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F9DC0" w14:textId="661D175C" w:rsidR="00582B4D" w:rsidRDefault="00610EEE" w:rsidP="00610EEE">
      <w:pPr>
        <w:jc w:val="center"/>
      </w:pPr>
      <w:r>
        <w:rPr>
          <w:noProof/>
        </w:rPr>
        <w:drawing>
          <wp:inline distT="0" distB="0" distL="0" distR="0" wp14:anchorId="05161126" wp14:editId="3A9C816C">
            <wp:extent cx="2714202" cy="822960"/>
            <wp:effectExtent l="0" t="0" r="0" b="0"/>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hap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3035" cy="825638"/>
                    </a:xfrm>
                    <a:prstGeom prst="rect">
                      <a:avLst/>
                    </a:prstGeom>
                    <a:noFill/>
                    <a:ln>
                      <a:noFill/>
                    </a:ln>
                  </pic:spPr>
                </pic:pic>
              </a:graphicData>
            </a:graphic>
          </wp:inline>
        </w:drawing>
      </w:r>
    </w:p>
    <w:p w14:paraId="562E3F3B" w14:textId="77777777" w:rsidR="00610EEE" w:rsidRDefault="00610EEE" w:rsidP="00610EEE">
      <w:pPr>
        <w:jc w:val="center"/>
      </w:pPr>
    </w:p>
    <w:p w14:paraId="73FEA126" w14:textId="77777777" w:rsidR="00610EEE" w:rsidRPr="0052647F" w:rsidRDefault="00610EEE" w:rsidP="00610EEE">
      <w:pPr>
        <w:pStyle w:val="CommentText"/>
        <w:spacing w:line="360" w:lineRule="auto"/>
        <w:jc w:val="center"/>
        <w:rPr>
          <w:rFonts w:ascii="Cambria" w:hAnsi="Cambria" w:cs="Arial"/>
          <w:b/>
          <w:bCs/>
          <w:sz w:val="32"/>
          <w:szCs w:val="32"/>
          <w:lang w:val="en-GB"/>
        </w:rPr>
      </w:pPr>
      <w:r w:rsidRPr="0052647F">
        <w:rPr>
          <w:rFonts w:ascii="Cambria" w:hAnsi="Cambria" w:cs="Arial"/>
          <w:b/>
          <w:bCs/>
          <w:sz w:val="32"/>
          <w:szCs w:val="32"/>
          <w:lang w:val="en-GB"/>
        </w:rPr>
        <w:t>Pharmacist Involvement in Diabetes Primary Care Management in Saudi Arabia: a Mixed Methods Study of Healthcare Professionals’ View</w:t>
      </w:r>
    </w:p>
    <w:p w14:paraId="0A792891" w14:textId="77777777" w:rsidR="00610EEE" w:rsidRPr="006B2FC7" w:rsidRDefault="00610EEE" w:rsidP="00610EEE">
      <w:pPr>
        <w:pStyle w:val="CommentText"/>
        <w:spacing w:line="360" w:lineRule="auto"/>
        <w:rPr>
          <w:rFonts w:ascii="Arial" w:hAnsi="Arial" w:cs="Arial"/>
          <w:b/>
          <w:bCs/>
          <w:sz w:val="24"/>
          <w:szCs w:val="24"/>
          <w:lang w:val="en-GB"/>
        </w:rPr>
      </w:pPr>
    </w:p>
    <w:p w14:paraId="6515FC98" w14:textId="77777777" w:rsidR="00610EEE" w:rsidRPr="00991ADE" w:rsidRDefault="00610EEE" w:rsidP="00610EEE">
      <w:pPr>
        <w:pStyle w:val="CommentText"/>
        <w:spacing w:line="360" w:lineRule="auto"/>
        <w:jc w:val="center"/>
        <w:rPr>
          <w:rFonts w:ascii="Cambria" w:hAnsi="Cambria" w:cs="Arial"/>
          <w:sz w:val="28"/>
          <w:szCs w:val="28"/>
          <w:lang w:val="en-GB"/>
        </w:rPr>
      </w:pPr>
      <w:r w:rsidRPr="00991ADE">
        <w:rPr>
          <w:rFonts w:ascii="Cambria" w:hAnsi="Cambria" w:cs="Arial"/>
          <w:sz w:val="28"/>
          <w:szCs w:val="28"/>
          <w:lang w:val="en-GB"/>
        </w:rPr>
        <w:t>Narjis Al Shurafa</w:t>
      </w:r>
    </w:p>
    <w:p w14:paraId="17883CB8" w14:textId="77777777" w:rsidR="00610EEE" w:rsidRDefault="00610EEE" w:rsidP="00610EEE">
      <w:pPr>
        <w:pStyle w:val="CommentText"/>
        <w:spacing w:line="360" w:lineRule="auto"/>
        <w:rPr>
          <w:rFonts w:ascii="Arial" w:hAnsi="Arial" w:cs="Arial"/>
          <w:b/>
          <w:bCs/>
          <w:sz w:val="24"/>
          <w:szCs w:val="24"/>
          <w:lang w:val="en-GB"/>
        </w:rPr>
      </w:pPr>
    </w:p>
    <w:p w14:paraId="608E2F17" w14:textId="77777777" w:rsidR="00610EEE" w:rsidRPr="006F4AFC" w:rsidRDefault="00610EEE" w:rsidP="00610EEE">
      <w:pPr>
        <w:pStyle w:val="CommentText"/>
        <w:spacing w:line="360" w:lineRule="auto"/>
        <w:jc w:val="center"/>
        <w:rPr>
          <w:rFonts w:ascii="Cambria" w:hAnsi="Cambria" w:cs="Arial"/>
          <w:sz w:val="28"/>
          <w:szCs w:val="28"/>
          <w:lang w:val="en-GB"/>
        </w:rPr>
      </w:pPr>
      <w:r w:rsidRPr="006F4AFC">
        <w:rPr>
          <w:rFonts w:ascii="Cambria" w:hAnsi="Cambria" w:cs="Arial"/>
          <w:sz w:val="28"/>
          <w:szCs w:val="28"/>
          <w:lang w:val="en-GB"/>
        </w:rPr>
        <w:t>A thesis submitted in partial fulfilment of the requirements for the degree of Doctor of Philosophy</w:t>
      </w:r>
    </w:p>
    <w:p w14:paraId="49B173CD" w14:textId="77777777" w:rsidR="00610EEE" w:rsidRPr="006F4AFC" w:rsidRDefault="00610EEE" w:rsidP="00610EEE">
      <w:pPr>
        <w:pStyle w:val="CommentText"/>
        <w:spacing w:line="360" w:lineRule="auto"/>
        <w:jc w:val="center"/>
        <w:rPr>
          <w:rFonts w:ascii="Cambria" w:hAnsi="Cambria" w:cs="Arial"/>
          <w:sz w:val="28"/>
          <w:szCs w:val="28"/>
          <w:lang w:val="en-GB"/>
        </w:rPr>
      </w:pPr>
    </w:p>
    <w:p w14:paraId="37B44F46" w14:textId="5C41D3CC" w:rsidR="00610EEE" w:rsidRPr="006F4AFC" w:rsidRDefault="00610EEE" w:rsidP="00610EEE">
      <w:pPr>
        <w:pStyle w:val="CommentText"/>
        <w:spacing w:line="360" w:lineRule="auto"/>
        <w:jc w:val="center"/>
        <w:rPr>
          <w:rFonts w:ascii="Cambria" w:hAnsi="Cambria" w:cs="Arial"/>
          <w:sz w:val="28"/>
          <w:szCs w:val="28"/>
          <w:lang w:val="en-GB"/>
        </w:rPr>
      </w:pPr>
      <w:r w:rsidRPr="006F4AFC">
        <w:rPr>
          <w:rFonts w:ascii="Cambria" w:hAnsi="Cambria" w:cs="Arial"/>
          <w:sz w:val="28"/>
          <w:szCs w:val="28"/>
          <w:lang w:val="en-GB"/>
        </w:rPr>
        <w:t>The University of Sheffield Faculty of Medicine</w:t>
      </w:r>
      <w:r w:rsidR="00BD7856">
        <w:rPr>
          <w:rFonts w:ascii="Cambria" w:hAnsi="Cambria" w:cs="Arial"/>
          <w:sz w:val="28"/>
          <w:szCs w:val="28"/>
          <w:lang w:val="en-GB"/>
        </w:rPr>
        <w:t xml:space="preserve">, </w:t>
      </w:r>
      <w:r w:rsidRPr="006F4AFC">
        <w:rPr>
          <w:rFonts w:ascii="Cambria" w:hAnsi="Cambria" w:cs="Arial"/>
          <w:sz w:val="28"/>
          <w:szCs w:val="28"/>
          <w:lang w:val="en-GB"/>
        </w:rPr>
        <w:t>Dentistry</w:t>
      </w:r>
      <w:r w:rsidR="00BD7856">
        <w:rPr>
          <w:rFonts w:ascii="Cambria" w:hAnsi="Cambria" w:cs="Arial"/>
          <w:sz w:val="28"/>
          <w:szCs w:val="28"/>
          <w:lang w:val="en-GB"/>
        </w:rPr>
        <w:t xml:space="preserve"> </w:t>
      </w:r>
      <w:r w:rsidR="00BD7856" w:rsidRPr="006F4AFC">
        <w:rPr>
          <w:rFonts w:ascii="Cambria" w:hAnsi="Cambria" w:cs="Arial"/>
          <w:sz w:val="28"/>
          <w:szCs w:val="28"/>
          <w:lang w:val="en-GB"/>
        </w:rPr>
        <w:t>and</w:t>
      </w:r>
      <w:r w:rsidR="00BD7856">
        <w:rPr>
          <w:rFonts w:ascii="Cambria" w:hAnsi="Cambria" w:cs="Arial"/>
          <w:sz w:val="28"/>
          <w:szCs w:val="28"/>
          <w:lang w:val="en-GB"/>
        </w:rPr>
        <w:t xml:space="preserve"> Health</w:t>
      </w:r>
    </w:p>
    <w:p w14:paraId="1B51F511" w14:textId="3ECCD8E7" w:rsidR="00610EEE" w:rsidRPr="006F4AFC" w:rsidRDefault="00610EEE" w:rsidP="00610EEE">
      <w:pPr>
        <w:pStyle w:val="CommentText"/>
        <w:spacing w:line="360" w:lineRule="auto"/>
        <w:jc w:val="center"/>
        <w:rPr>
          <w:rFonts w:ascii="Cambria" w:hAnsi="Cambria" w:cs="Arial"/>
          <w:sz w:val="28"/>
          <w:szCs w:val="28"/>
          <w:lang w:val="en-GB"/>
        </w:rPr>
      </w:pPr>
      <w:r w:rsidRPr="006F4AFC">
        <w:rPr>
          <w:rFonts w:ascii="Cambria" w:hAnsi="Cambria" w:cs="Arial"/>
          <w:sz w:val="28"/>
          <w:szCs w:val="28"/>
          <w:lang w:val="en-GB"/>
        </w:rPr>
        <w:t xml:space="preserve">School of </w:t>
      </w:r>
      <w:r w:rsidR="002C2725">
        <w:rPr>
          <w:rFonts w:ascii="Cambria" w:hAnsi="Cambria" w:cs="Arial"/>
          <w:sz w:val="28"/>
          <w:szCs w:val="28"/>
          <w:lang w:val="en-GB"/>
        </w:rPr>
        <w:t>Me</w:t>
      </w:r>
      <w:r w:rsidR="00152077">
        <w:rPr>
          <w:rFonts w:ascii="Cambria" w:hAnsi="Cambria" w:cs="Arial"/>
          <w:sz w:val="28"/>
          <w:szCs w:val="28"/>
          <w:lang w:val="en-GB"/>
        </w:rPr>
        <w:t xml:space="preserve">dicine </w:t>
      </w:r>
      <w:r w:rsidRPr="006F4AFC">
        <w:rPr>
          <w:rFonts w:ascii="Cambria" w:hAnsi="Cambria" w:cs="Arial"/>
          <w:sz w:val="28"/>
          <w:szCs w:val="28"/>
          <w:lang w:val="en-GB"/>
        </w:rPr>
        <w:t xml:space="preserve">and </w:t>
      </w:r>
      <w:r w:rsidR="00152077">
        <w:rPr>
          <w:rFonts w:ascii="Cambria" w:hAnsi="Cambria" w:cs="Arial"/>
          <w:sz w:val="28"/>
          <w:szCs w:val="28"/>
          <w:lang w:val="en-GB"/>
        </w:rPr>
        <w:t>Population Health</w:t>
      </w:r>
    </w:p>
    <w:p w14:paraId="32334F57" w14:textId="77777777" w:rsidR="00610EEE" w:rsidRPr="006F4AFC" w:rsidRDefault="00610EEE" w:rsidP="00610EEE">
      <w:pPr>
        <w:pStyle w:val="CommentText"/>
        <w:spacing w:line="360" w:lineRule="auto"/>
        <w:jc w:val="center"/>
        <w:rPr>
          <w:rFonts w:ascii="Cambria" w:hAnsi="Cambria" w:cs="Arial"/>
          <w:sz w:val="28"/>
          <w:szCs w:val="28"/>
          <w:lang w:val="en-GB"/>
        </w:rPr>
      </w:pPr>
    </w:p>
    <w:p w14:paraId="75777EFD" w14:textId="2B54E4E5" w:rsidR="00610EEE" w:rsidRPr="006F4AFC" w:rsidRDefault="00615396" w:rsidP="00610EEE">
      <w:pPr>
        <w:pStyle w:val="CommentText"/>
        <w:spacing w:line="360" w:lineRule="auto"/>
        <w:jc w:val="center"/>
        <w:rPr>
          <w:rFonts w:ascii="Cambria" w:hAnsi="Cambria" w:cs="Arial"/>
          <w:sz w:val="28"/>
          <w:szCs w:val="28"/>
          <w:lang w:val="en-GB"/>
        </w:rPr>
      </w:pPr>
      <w:r>
        <w:rPr>
          <w:rFonts w:ascii="Cambria" w:hAnsi="Cambria" w:cs="Arial"/>
          <w:sz w:val="28"/>
          <w:szCs w:val="28"/>
          <w:lang w:val="en-GB"/>
        </w:rPr>
        <w:t>December</w:t>
      </w:r>
      <w:r w:rsidR="00137EFB">
        <w:rPr>
          <w:rFonts w:ascii="Cambria" w:hAnsi="Cambria" w:cs="Arial"/>
          <w:sz w:val="28"/>
          <w:szCs w:val="28"/>
          <w:lang w:val="en-GB"/>
        </w:rPr>
        <w:t xml:space="preserve"> </w:t>
      </w:r>
      <w:r w:rsidR="00610EEE" w:rsidRPr="006F4AFC">
        <w:rPr>
          <w:rFonts w:ascii="Cambria" w:hAnsi="Cambria" w:cs="Arial"/>
          <w:sz w:val="28"/>
          <w:szCs w:val="28"/>
          <w:lang w:val="en-GB"/>
        </w:rPr>
        <w:t>2023</w:t>
      </w:r>
    </w:p>
    <w:p w14:paraId="7B5E8419" w14:textId="5EB70C3B" w:rsidR="00610EEE" w:rsidRDefault="00610EEE">
      <w:r>
        <w:br w:type="page"/>
      </w:r>
    </w:p>
    <w:p w14:paraId="492372FA" w14:textId="77777777" w:rsidR="00610EEE" w:rsidRPr="00F60CD9" w:rsidRDefault="00610EEE" w:rsidP="00610EEE">
      <w:pPr>
        <w:pStyle w:val="Heading1"/>
        <w:jc w:val="center"/>
      </w:pPr>
      <w:bookmarkStart w:id="0" w:name="_Toc153894123"/>
      <w:r w:rsidRPr="00F60CD9">
        <w:lastRenderedPageBreak/>
        <w:t>Abstract</w:t>
      </w:r>
      <w:bookmarkEnd w:id="0"/>
    </w:p>
    <w:p w14:paraId="6FFED003" w14:textId="77777777" w:rsidR="00610EEE" w:rsidRPr="001870A6" w:rsidRDefault="00610EEE" w:rsidP="00610EEE">
      <w:pPr>
        <w:rPr>
          <w:lang w:val="en-GB"/>
        </w:rPr>
      </w:pPr>
    </w:p>
    <w:p w14:paraId="1D7EF236" w14:textId="77777777" w:rsidR="00610EEE" w:rsidRPr="008232D4" w:rsidRDefault="00610EEE" w:rsidP="00610EEE">
      <w:pPr>
        <w:spacing w:after="0" w:line="360" w:lineRule="auto"/>
        <w:jc w:val="both"/>
        <w:rPr>
          <w:rFonts w:asciiTheme="minorBidi" w:hAnsiTheme="minorBidi"/>
          <w:sz w:val="24"/>
          <w:szCs w:val="24"/>
          <w:lang w:val="en-GB"/>
        </w:rPr>
      </w:pPr>
      <w:r>
        <w:rPr>
          <w:rFonts w:asciiTheme="minorBidi" w:hAnsiTheme="minorBidi"/>
          <w:b/>
          <w:bCs/>
          <w:sz w:val="24"/>
          <w:szCs w:val="24"/>
          <w:lang w:val="en-GB"/>
        </w:rPr>
        <w:t>Background and aims</w:t>
      </w:r>
      <w:r w:rsidRPr="00EF4EE4">
        <w:rPr>
          <w:rFonts w:asciiTheme="minorBidi" w:hAnsiTheme="minorBidi"/>
          <w:sz w:val="24"/>
          <w:szCs w:val="24"/>
          <w:lang w:val="en-GB"/>
        </w:rPr>
        <w:t xml:space="preserve">. </w:t>
      </w:r>
      <w:r w:rsidRPr="00DA2A05">
        <w:rPr>
          <w:rFonts w:asciiTheme="minorBidi" w:hAnsiTheme="minorBidi"/>
          <w:sz w:val="24"/>
          <w:szCs w:val="24"/>
          <w:lang w:val="en-GB"/>
        </w:rPr>
        <w:t xml:space="preserve">Diabetes is a major health issue in </w:t>
      </w:r>
      <w:r>
        <w:rPr>
          <w:rFonts w:asciiTheme="minorBidi" w:hAnsiTheme="minorBidi"/>
          <w:sz w:val="24"/>
          <w:szCs w:val="24"/>
          <w:lang w:val="en-GB"/>
        </w:rPr>
        <w:t xml:space="preserve">many countries including </w:t>
      </w:r>
      <w:r w:rsidRPr="00DA2A05">
        <w:rPr>
          <w:rFonts w:asciiTheme="minorBidi" w:hAnsiTheme="minorBidi"/>
          <w:sz w:val="24"/>
          <w:szCs w:val="24"/>
          <w:lang w:val="en-GB"/>
        </w:rPr>
        <w:t>Saudi Arabia (SA)</w:t>
      </w:r>
      <w:r>
        <w:rPr>
          <w:rFonts w:asciiTheme="minorBidi" w:hAnsiTheme="minorBidi"/>
          <w:sz w:val="24"/>
          <w:szCs w:val="24"/>
          <w:lang w:val="en-GB"/>
        </w:rPr>
        <w:t xml:space="preserve"> and a</w:t>
      </w:r>
      <w:r w:rsidRPr="00DA2A05">
        <w:rPr>
          <w:rFonts w:asciiTheme="minorBidi" w:hAnsiTheme="minorBidi"/>
          <w:sz w:val="24"/>
          <w:szCs w:val="24"/>
          <w:lang w:val="en-GB"/>
        </w:rPr>
        <w:t xml:space="preserve"> multidisciplinary team approach is recommended to optimise disease management. Th</w:t>
      </w:r>
      <w:r>
        <w:rPr>
          <w:rFonts w:asciiTheme="minorBidi" w:hAnsiTheme="minorBidi"/>
          <w:sz w:val="24"/>
          <w:szCs w:val="24"/>
          <w:lang w:val="en-GB"/>
        </w:rPr>
        <w:t>is</w:t>
      </w:r>
      <w:r w:rsidRPr="00DA2A05">
        <w:rPr>
          <w:rFonts w:asciiTheme="minorBidi" w:hAnsiTheme="minorBidi"/>
          <w:sz w:val="24"/>
          <w:szCs w:val="24"/>
          <w:lang w:val="en-GB"/>
        </w:rPr>
        <w:t xml:space="preserve"> research aims to </w:t>
      </w:r>
      <w:r>
        <w:rPr>
          <w:rFonts w:asciiTheme="minorBidi" w:hAnsiTheme="minorBidi"/>
          <w:sz w:val="24"/>
          <w:szCs w:val="24"/>
          <w:lang w:val="en-GB"/>
        </w:rPr>
        <w:t xml:space="preserve">explore </w:t>
      </w:r>
      <w:bookmarkStart w:id="1" w:name="_Hlk135825449"/>
      <w:r w:rsidRPr="00DA2A05">
        <w:rPr>
          <w:rFonts w:asciiTheme="minorBidi" w:hAnsiTheme="minorBidi"/>
          <w:sz w:val="24"/>
          <w:szCs w:val="24"/>
          <w:lang w:val="en-GB"/>
        </w:rPr>
        <w:t xml:space="preserve">healthcare professional (HCP) </w:t>
      </w:r>
      <w:r>
        <w:rPr>
          <w:rFonts w:asciiTheme="minorBidi" w:hAnsiTheme="minorBidi"/>
          <w:sz w:val="24"/>
          <w:szCs w:val="24"/>
          <w:lang w:val="en-GB"/>
        </w:rPr>
        <w:t xml:space="preserve">views </w:t>
      </w:r>
      <w:r w:rsidRPr="00DA2A05">
        <w:rPr>
          <w:rFonts w:asciiTheme="minorBidi" w:hAnsiTheme="minorBidi"/>
          <w:sz w:val="24"/>
          <w:szCs w:val="24"/>
          <w:lang w:val="en-GB"/>
        </w:rPr>
        <w:t xml:space="preserve">on </w:t>
      </w:r>
      <w:r>
        <w:rPr>
          <w:rFonts w:asciiTheme="minorBidi" w:hAnsiTheme="minorBidi"/>
          <w:sz w:val="24"/>
          <w:szCs w:val="24"/>
          <w:lang w:val="en-GB"/>
        </w:rPr>
        <w:t xml:space="preserve">pharmacists involvement in diabetes primary care management </w:t>
      </w:r>
      <w:r w:rsidRPr="00DA2A05">
        <w:rPr>
          <w:rFonts w:asciiTheme="minorBidi" w:hAnsiTheme="minorBidi"/>
          <w:sz w:val="24"/>
          <w:szCs w:val="24"/>
          <w:lang w:val="en-GB"/>
        </w:rPr>
        <w:t xml:space="preserve">and </w:t>
      </w:r>
      <w:r>
        <w:rPr>
          <w:rFonts w:asciiTheme="minorBidi" w:hAnsiTheme="minorBidi"/>
          <w:sz w:val="24"/>
          <w:szCs w:val="24"/>
          <w:lang w:val="en-GB"/>
        </w:rPr>
        <w:t xml:space="preserve">associated </w:t>
      </w:r>
      <w:r w:rsidRPr="00DA2A05">
        <w:rPr>
          <w:rFonts w:asciiTheme="minorBidi" w:hAnsiTheme="minorBidi"/>
          <w:sz w:val="24"/>
          <w:szCs w:val="24"/>
          <w:lang w:val="en-GB"/>
        </w:rPr>
        <w:t>facilitators and barriers</w:t>
      </w:r>
      <w:r>
        <w:rPr>
          <w:rFonts w:asciiTheme="minorBidi" w:hAnsiTheme="minorBidi"/>
          <w:sz w:val="24"/>
          <w:szCs w:val="24"/>
          <w:lang w:val="en-GB"/>
        </w:rPr>
        <w:t xml:space="preserve">. </w:t>
      </w:r>
    </w:p>
    <w:bookmarkEnd w:id="1"/>
    <w:p w14:paraId="2A1EC37B" w14:textId="77777777" w:rsidR="00610EEE" w:rsidRPr="00D37FFB" w:rsidRDefault="00610EEE" w:rsidP="00610EEE">
      <w:pPr>
        <w:spacing w:before="240" w:after="0" w:line="360" w:lineRule="auto"/>
        <w:jc w:val="both"/>
        <w:rPr>
          <w:rFonts w:asciiTheme="minorBidi" w:hAnsiTheme="minorBidi"/>
          <w:sz w:val="24"/>
          <w:szCs w:val="24"/>
          <w:lang w:val="en-GB"/>
        </w:rPr>
      </w:pPr>
      <w:r w:rsidRPr="00B46B68">
        <w:rPr>
          <w:rFonts w:asciiTheme="minorBidi" w:hAnsiTheme="minorBidi"/>
          <w:b/>
          <w:bCs/>
          <w:sz w:val="24"/>
          <w:szCs w:val="24"/>
          <w:lang w:val="en-GB"/>
        </w:rPr>
        <w:t xml:space="preserve">Method: </w:t>
      </w:r>
      <w:r w:rsidRPr="007A2687">
        <w:rPr>
          <w:rFonts w:asciiTheme="minorBidi" w:hAnsiTheme="minorBidi"/>
          <w:sz w:val="24"/>
          <w:szCs w:val="24"/>
          <w:lang w:val="en-GB"/>
        </w:rPr>
        <w:t>An explanatory sequential mixed methods design was used</w:t>
      </w:r>
      <w:r>
        <w:rPr>
          <w:rFonts w:asciiTheme="minorBidi" w:hAnsiTheme="minorBidi"/>
          <w:sz w:val="24"/>
          <w:szCs w:val="24"/>
          <w:lang w:val="en-GB"/>
        </w:rPr>
        <w:t xml:space="preserve"> that involved</w:t>
      </w:r>
      <w:r w:rsidRPr="007A2687">
        <w:rPr>
          <w:rFonts w:asciiTheme="minorBidi" w:hAnsiTheme="minorBidi"/>
          <w:sz w:val="24"/>
          <w:szCs w:val="24"/>
          <w:lang w:val="en-GB"/>
        </w:rPr>
        <w:t xml:space="preserve"> a quantitative online</w:t>
      </w:r>
      <w:r>
        <w:rPr>
          <w:rFonts w:asciiTheme="minorBidi" w:hAnsiTheme="minorBidi"/>
          <w:sz w:val="24"/>
          <w:szCs w:val="24"/>
          <w:lang w:val="en-GB"/>
        </w:rPr>
        <w:t xml:space="preserve"> survey followed by qualitative semi-structured online interviews with a purposive sample of HCP </w:t>
      </w:r>
      <w:r w:rsidRPr="007A2687">
        <w:rPr>
          <w:rFonts w:asciiTheme="minorBidi" w:hAnsiTheme="minorBidi"/>
          <w:sz w:val="24"/>
          <w:szCs w:val="24"/>
          <w:lang w:val="en-GB"/>
        </w:rPr>
        <w:t xml:space="preserve">in </w:t>
      </w:r>
      <w:r>
        <w:rPr>
          <w:rFonts w:asciiTheme="minorBidi" w:hAnsiTheme="minorBidi"/>
          <w:sz w:val="24"/>
          <w:szCs w:val="24"/>
          <w:lang w:val="en-GB"/>
        </w:rPr>
        <w:t>the E</w:t>
      </w:r>
      <w:r w:rsidRPr="00B46B68">
        <w:rPr>
          <w:rFonts w:asciiTheme="minorBidi" w:hAnsiTheme="minorBidi"/>
          <w:sz w:val="24"/>
          <w:szCs w:val="24"/>
          <w:lang w:val="en-GB"/>
        </w:rPr>
        <w:t xml:space="preserve">astern </w:t>
      </w:r>
      <w:r>
        <w:rPr>
          <w:rFonts w:asciiTheme="minorBidi" w:hAnsiTheme="minorBidi"/>
          <w:sz w:val="24"/>
          <w:szCs w:val="24"/>
          <w:lang w:val="en-GB"/>
        </w:rPr>
        <w:t>Province,</w:t>
      </w:r>
      <w:r w:rsidRPr="00B46B68">
        <w:rPr>
          <w:rFonts w:asciiTheme="minorBidi" w:hAnsiTheme="minorBidi"/>
          <w:sz w:val="24"/>
          <w:szCs w:val="24"/>
          <w:lang w:val="en-GB"/>
        </w:rPr>
        <w:t xml:space="preserve"> </w:t>
      </w:r>
      <w:r w:rsidRPr="007A2687">
        <w:rPr>
          <w:rFonts w:asciiTheme="minorBidi" w:hAnsiTheme="minorBidi"/>
          <w:sz w:val="24"/>
          <w:szCs w:val="24"/>
          <w:lang w:val="en-GB"/>
        </w:rPr>
        <w:t>SA</w:t>
      </w:r>
      <w:r>
        <w:rPr>
          <w:rFonts w:asciiTheme="minorBidi" w:hAnsiTheme="minorBidi"/>
          <w:sz w:val="24"/>
          <w:szCs w:val="24"/>
          <w:lang w:val="en-GB"/>
        </w:rPr>
        <w:t>. The surveys and interviews sought opinions from HCPs</w:t>
      </w:r>
      <w:r w:rsidRPr="007A2687">
        <w:rPr>
          <w:rFonts w:asciiTheme="minorBidi" w:hAnsiTheme="minorBidi"/>
          <w:sz w:val="24"/>
          <w:szCs w:val="24"/>
          <w:lang w:val="en-GB"/>
        </w:rPr>
        <w:t xml:space="preserve"> </w:t>
      </w:r>
      <w:r>
        <w:rPr>
          <w:rFonts w:asciiTheme="minorBidi" w:hAnsiTheme="minorBidi"/>
          <w:sz w:val="24"/>
          <w:szCs w:val="24"/>
          <w:lang w:val="en-GB"/>
        </w:rPr>
        <w:t xml:space="preserve">about current and future </w:t>
      </w:r>
      <w:r w:rsidRPr="007A2687">
        <w:rPr>
          <w:rFonts w:asciiTheme="minorBidi" w:hAnsiTheme="minorBidi"/>
          <w:sz w:val="24"/>
          <w:szCs w:val="24"/>
          <w:lang w:val="en-GB"/>
        </w:rPr>
        <w:t>pharmacist role</w:t>
      </w:r>
      <w:r>
        <w:rPr>
          <w:rFonts w:asciiTheme="minorBidi" w:hAnsiTheme="minorBidi"/>
          <w:sz w:val="24"/>
          <w:szCs w:val="24"/>
          <w:lang w:val="en-GB"/>
        </w:rPr>
        <w:t>s</w:t>
      </w:r>
      <w:r w:rsidRPr="007A2687">
        <w:rPr>
          <w:rFonts w:asciiTheme="minorBidi" w:hAnsiTheme="minorBidi"/>
          <w:sz w:val="24"/>
          <w:szCs w:val="24"/>
          <w:lang w:val="en-GB"/>
        </w:rPr>
        <w:t xml:space="preserve"> in diabetes management</w:t>
      </w:r>
      <w:r>
        <w:rPr>
          <w:rFonts w:asciiTheme="minorBidi" w:hAnsiTheme="minorBidi"/>
          <w:sz w:val="24"/>
          <w:szCs w:val="24"/>
          <w:lang w:val="en-GB"/>
        </w:rPr>
        <w:t xml:space="preserve"> and they also explored the </w:t>
      </w:r>
      <w:r w:rsidRPr="007A2687">
        <w:rPr>
          <w:rFonts w:asciiTheme="minorBidi" w:hAnsiTheme="minorBidi"/>
          <w:sz w:val="24"/>
          <w:szCs w:val="24"/>
          <w:lang w:val="en-GB"/>
        </w:rPr>
        <w:t xml:space="preserve">current pharmacists </w:t>
      </w:r>
      <w:r>
        <w:rPr>
          <w:rFonts w:asciiTheme="minorBidi" w:hAnsiTheme="minorBidi"/>
          <w:sz w:val="24"/>
          <w:szCs w:val="24"/>
          <w:lang w:val="en-GB"/>
        </w:rPr>
        <w:t xml:space="preserve">roles and involvement in PHC </w:t>
      </w:r>
      <w:r w:rsidRPr="007A2687">
        <w:rPr>
          <w:rFonts w:asciiTheme="minorBidi" w:hAnsiTheme="minorBidi"/>
          <w:sz w:val="24"/>
          <w:szCs w:val="24"/>
          <w:lang w:val="en-GB"/>
        </w:rPr>
        <w:t>diabetes</w:t>
      </w:r>
      <w:r>
        <w:rPr>
          <w:rFonts w:asciiTheme="minorBidi" w:hAnsiTheme="minorBidi"/>
          <w:sz w:val="24"/>
          <w:szCs w:val="24"/>
          <w:lang w:val="en-GB"/>
        </w:rPr>
        <w:t xml:space="preserve"> care</w:t>
      </w:r>
      <w:r w:rsidRPr="007A2687">
        <w:rPr>
          <w:rFonts w:asciiTheme="minorBidi" w:hAnsiTheme="minorBidi"/>
          <w:sz w:val="24"/>
          <w:szCs w:val="24"/>
          <w:lang w:val="en-GB"/>
        </w:rPr>
        <w:t>.</w:t>
      </w:r>
    </w:p>
    <w:p w14:paraId="793E128F" w14:textId="66AA9441" w:rsidR="00610EEE" w:rsidRDefault="00610EEE" w:rsidP="00610EEE">
      <w:pPr>
        <w:spacing w:before="240" w:line="360" w:lineRule="auto"/>
        <w:jc w:val="both"/>
        <w:rPr>
          <w:rFonts w:asciiTheme="minorBidi" w:hAnsiTheme="minorBidi"/>
          <w:sz w:val="24"/>
          <w:szCs w:val="24"/>
        </w:rPr>
      </w:pPr>
      <w:r w:rsidRPr="00BC40D4">
        <w:rPr>
          <w:rFonts w:asciiTheme="minorBidi" w:hAnsiTheme="minorBidi"/>
          <w:b/>
          <w:bCs/>
          <w:sz w:val="24"/>
          <w:szCs w:val="24"/>
          <w:lang w:val="en-GB"/>
        </w:rPr>
        <w:t>Results</w:t>
      </w:r>
      <w:r>
        <w:rPr>
          <w:rFonts w:asciiTheme="minorBidi" w:hAnsiTheme="minorBidi"/>
          <w:sz w:val="24"/>
          <w:szCs w:val="24"/>
        </w:rPr>
        <w:t xml:space="preserve">: In total, </w:t>
      </w:r>
      <w:r>
        <w:rPr>
          <w:rFonts w:ascii="Arial" w:hAnsi="Arial" w:cs="Arial"/>
          <w:sz w:val="24"/>
          <w:szCs w:val="24"/>
          <w:shd w:val="clear" w:color="auto" w:fill="FFFFFF"/>
          <w:lang w:val="en-GB"/>
        </w:rPr>
        <w:t>106</w:t>
      </w:r>
      <w:r w:rsidRPr="00732FD0">
        <w:rPr>
          <w:rFonts w:ascii="Arial" w:hAnsi="Arial" w:cs="Arial"/>
          <w:sz w:val="24"/>
          <w:szCs w:val="24"/>
          <w:shd w:val="clear" w:color="auto" w:fill="FFFFFF"/>
          <w:lang w:val="en-GB"/>
        </w:rPr>
        <w:t xml:space="preserve"> </w:t>
      </w:r>
      <w:r>
        <w:rPr>
          <w:rFonts w:asciiTheme="minorBidi" w:hAnsiTheme="minorBidi"/>
          <w:sz w:val="24"/>
          <w:szCs w:val="24"/>
        </w:rPr>
        <w:t>HCPs responded to the s</w:t>
      </w:r>
      <w:r w:rsidRPr="00676BA5">
        <w:rPr>
          <w:rFonts w:asciiTheme="minorBidi" w:hAnsiTheme="minorBidi"/>
          <w:sz w:val="24"/>
          <w:szCs w:val="24"/>
        </w:rPr>
        <w:t>urvey</w:t>
      </w:r>
      <w:r>
        <w:rPr>
          <w:rFonts w:asciiTheme="minorBidi" w:hAnsiTheme="minorBidi"/>
          <w:sz w:val="24"/>
          <w:szCs w:val="24"/>
        </w:rPr>
        <w:t xml:space="preserve">, and </w:t>
      </w:r>
      <w:r>
        <w:rPr>
          <w:rFonts w:asciiTheme="minorBidi" w:hAnsiTheme="minorBidi"/>
          <w:sz w:val="24"/>
          <w:szCs w:val="24"/>
          <w:lang w:val="en-GB"/>
        </w:rPr>
        <w:t xml:space="preserve">9 were interviewed. </w:t>
      </w:r>
      <w:r>
        <w:rPr>
          <w:rFonts w:asciiTheme="minorBidi" w:hAnsiTheme="minorBidi"/>
          <w:sz w:val="24"/>
          <w:szCs w:val="24"/>
        </w:rPr>
        <w:t xml:space="preserve">The majority indicated positivity </w:t>
      </w:r>
      <w:r w:rsidRPr="00676BA5">
        <w:rPr>
          <w:rFonts w:asciiTheme="minorBidi" w:hAnsiTheme="minorBidi"/>
          <w:sz w:val="24"/>
          <w:szCs w:val="24"/>
        </w:rPr>
        <w:t xml:space="preserve">towards pharmacists’ </w:t>
      </w:r>
      <w:r>
        <w:rPr>
          <w:rFonts w:asciiTheme="minorBidi" w:hAnsiTheme="minorBidi"/>
          <w:sz w:val="24"/>
          <w:szCs w:val="24"/>
        </w:rPr>
        <w:t>involvement in diabetes management; most support was from pharmacists and least among doctors (particularly in relation to prescribing), with future diabetes care involvement being viewed more favourable.</w:t>
      </w:r>
      <w:r w:rsidRPr="00676BA5">
        <w:rPr>
          <w:rFonts w:asciiTheme="minorBidi" w:hAnsiTheme="minorBidi"/>
          <w:sz w:val="24"/>
          <w:szCs w:val="24"/>
        </w:rPr>
        <w:t xml:space="preserve"> </w:t>
      </w:r>
      <w:r>
        <w:rPr>
          <w:rFonts w:asciiTheme="minorBidi" w:hAnsiTheme="minorBidi"/>
          <w:sz w:val="24"/>
          <w:szCs w:val="24"/>
        </w:rPr>
        <w:t>P</w:t>
      </w:r>
      <w:r w:rsidRPr="00DE5FCD">
        <w:rPr>
          <w:rFonts w:asciiTheme="minorBidi" w:hAnsiTheme="minorBidi"/>
          <w:sz w:val="24"/>
          <w:szCs w:val="24"/>
        </w:rPr>
        <w:t xml:space="preserve">harmacists </w:t>
      </w:r>
      <w:r>
        <w:rPr>
          <w:rFonts w:asciiTheme="minorBidi" w:hAnsiTheme="minorBidi"/>
          <w:sz w:val="24"/>
          <w:szCs w:val="24"/>
        </w:rPr>
        <w:t>were infrequently reported to provide services</w:t>
      </w:r>
      <w:r w:rsidRPr="00DE5FCD">
        <w:rPr>
          <w:rFonts w:asciiTheme="minorBidi" w:hAnsiTheme="minorBidi"/>
          <w:sz w:val="24"/>
          <w:szCs w:val="24"/>
        </w:rPr>
        <w:t xml:space="preserve"> beyond traditional medicines</w:t>
      </w:r>
      <w:r>
        <w:rPr>
          <w:rFonts w:asciiTheme="minorBidi" w:hAnsiTheme="minorBidi"/>
          <w:sz w:val="24"/>
          <w:szCs w:val="24"/>
        </w:rPr>
        <w:t xml:space="preserve"> dispensing. Multiple b</w:t>
      </w:r>
      <w:r w:rsidRPr="00DE5FCD">
        <w:rPr>
          <w:rFonts w:asciiTheme="minorBidi" w:hAnsiTheme="minorBidi"/>
          <w:sz w:val="24"/>
          <w:szCs w:val="24"/>
        </w:rPr>
        <w:t xml:space="preserve">arriers to </w:t>
      </w:r>
      <w:r w:rsidR="008353A5" w:rsidRPr="00DE5FCD">
        <w:rPr>
          <w:rFonts w:asciiTheme="minorBidi" w:hAnsiTheme="minorBidi"/>
          <w:sz w:val="24"/>
          <w:szCs w:val="24"/>
        </w:rPr>
        <w:t>pharmacists’</w:t>
      </w:r>
      <w:r w:rsidRPr="00DE5FCD">
        <w:rPr>
          <w:rFonts w:asciiTheme="minorBidi" w:hAnsiTheme="minorBidi"/>
          <w:sz w:val="24"/>
          <w:szCs w:val="24"/>
        </w:rPr>
        <w:t xml:space="preserve"> </w:t>
      </w:r>
      <w:r>
        <w:rPr>
          <w:rFonts w:asciiTheme="minorBidi" w:hAnsiTheme="minorBidi"/>
          <w:sz w:val="24"/>
          <w:szCs w:val="24"/>
        </w:rPr>
        <w:t xml:space="preserve">diabetes care involvement were identified involving the </w:t>
      </w:r>
      <w:r w:rsidRPr="00DE5FCD">
        <w:rPr>
          <w:rFonts w:asciiTheme="minorBidi" w:hAnsiTheme="minorBidi"/>
          <w:sz w:val="24"/>
          <w:szCs w:val="24"/>
        </w:rPr>
        <w:t>lack of: well-defined pharmacist role</w:t>
      </w:r>
      <w:r>
        <w:rPr>
          <w:rFonts w:asciiTheme="minorBidi" w:hAnsiTheme="minorBidi"/>
          <w:sz w:val="24"/>
          <w:szCs w:val="24"/>
        </w:rPr>
        <w:t>s</w:t>
      </w:r>
      <w:r w:rsidRPr="00DE5FCD">
        <w:rPr>
          <w:rFonts w:asciiTheme="minorBidi" w:hAnsiTheme="minorBidi"/>
          <w:sz w:val="24"/>
          <w:szCs w:val="24"/>
        </w:rPr>
        <w:t xml:space="preserve">, </w:t>
      </w:r>
      <w:r>
        <w:rPr>
          <w:rFonts w:asciiTheme="minorBidi" w:hAnsiTheme="minorBidi"/>
          <w:sz w:val="24"/>
          <w:szCs w:val="24"/>
        </w:rPr>
        <w:t>consultation rooms</w:t>
      </w:r>
      <w:r w:rsidRPr="00DE5FCD">
        <w:rPr>
          <w:rFonts w:asciiTheme="minorBidi" w:hAnsiTheme="minorBidi"/>
          <w:sz w:val="24"/>
          <w:szCs w:val="24"/>
        </w:rPr>
        <w:t xml:space="preserve">, </w:t>
      </w:r>
      <w:r>
        <w:rPr>
          <w:rFonts w:asciiTheme="minorBidi" w:hAnsiTheme="minorBidi"/>
          <w:sz w:val="24"/>
          <w:szCs w:val="24"/>
        </w:rPr>
        <w:t xml:space="preserve">HCP </w:t>
      </w:r>
      <w:r w:rsidRPr="00DE5FCD">
        <w:rPr>
          <w:rFonts w:asciiTheme="minorBidi" w:hAnsiTheme="minorBidi"/>
          <w:sz w:val="24"/>
          <w:szCs w:val="24"/>
        </w:rPr>
        <w:t xml:space="preserve">awareness </w:t>
      </w:r>
      <w:r>
        <w:rPr>
          <w:rFonts w:asciiTheme="minorBidi" w:hAnsiTheme="minorBidi"/>
          <w:sz w:val="24"/>
          <w:szCs w:val="24"/>
        </w:rPr>
        <w:t>of pharmacists’ skills</w:t>
      </w:r>
      <w:r w:rsidRPr="00DE5FCD">
        <w:rPr>
          <w:rFonts w:asciiTheme="minorBidi" w:hAnsiTheme="minorBidi"/>
          <w:sz w:val="24"/>
          <w:szCs w:val="24"/>
        </w:rPr>
        <w:t xml:space="preserve">, and </w:t>
      </w:r>
      <w:r>
        <w:rPr>
          <w:rFonts w:asciiTheme="minorBidi" w:hAnsiTheme="minorBidi"/>
          <w:sz w:val="24"/>
          <w:szCs w:val="24"/>
        </w:rPr>
        <w:t xml:space="preserve">pharmacist </w:t>
      </w:r>
      <w:r w:rsidRPr="00DE5FCD">
        <w:rPr>
          <w:rFonts w:asciiTheme="minorBidi" w:hAnsiTheme="minorBidi"/>
          <w:sz w:val="24"/>
          <w:szCs w:val="24"/>
        </w:rPr>
        <w:t xml:space="preserve">clinical experience. </w:t>
      </w:r>
      <w:r w:rsidRPr="009F0C2A">
        <w:rPr>
          <w:rFonts w:asciiTheme="minorBidi" w:hAnsiTheme="minorBidi"/>
          <w:sz w:val="24"/>
          <w:szCs w:val="24"/>
        </w:rPr>
        <w:t>Interview</w:t>
      </w:r>
      <w:r>
        <w:rPr>
          <w:rFonts w:asciiTheme="minorBidi" w:hAnsiTheme="minorBidi"/>
          <w:sz w:val="24"/>
          <w:szCs w:val="24"/>
        </w:rPr>
        <w:t xml:space="preserve">ees felt there was a </w:t>
      </w:r>
      <w:r w:rsidRPr="009F0C2A">
        <w:rPr>
          <w:rFonts w:asciiTheme="minorBidi" w:hAnsiTheme="minorBidi"/>
          <w:sz w:val="24"/>
          <w:szCs w:val="24"/>
        </w:rPr>
        <w:t xml:space="preserve">need for pharmacists </w:t>
      </w:r>
      <w:r>
        <w:rPr>
          <w:rFonts w:asciiTheme="minorBidi" w:hAnsiTheme="minorBidi"/>
          <w:sz w:val="24"/>
          <w:szCs w:val="24"/>
        </w:rPr>
        <w:t>in</w:t>
      </w:r>
      <w:r w:rsidRPr="009F0C2A">
        <w:rPr>
          <w:rFonts w:asciiTheme="minorBidi" w:hAnsiTheme="minorBidi"/>
          <w:sz w:val="24"/>
          <w:szCs w:val="24"/>
        </w:rPr>
        <w:t xml:space="preserve"> the diabetes primary care team</w:t>
      </w:r>
      <w:r w:rsidRPr="004E41BC">
        <w:rPr>
          <w:rFonts w:asciiTheme="minorBidi" w:hAnsiTheme="minorBidi"/>
          <w:sz w:val="24"/>
          <w:szCs w:val="24"/>
        </w:rPr>
        <w:t xml:space="preserve">. </w:t>
      </w:r>
      <w:r>
        <w:rPr>
          <w:rFonts w:asciiTheme="minorBidi" w:hAnsiTheme="minorBidi"/>
          <w:sz w:val="24"/>
          <w:szCs w:val="24"/>
        </w:rPr>
        <w:t xml:space="preserve">However, recent decisions to </w:t>
      </w:r>
      <w:r w:rsidRPr="004E41BC">
        <w:rPr>
          <w:rFonts w:asciiTheme="minorBidi" w:hAnsiTheme="minorBidi"/>
          <w:sz w:val="24"/>
          <w:szCs w:val="24"/>
        </w:rPr>
        <w:t>mov</w:t>
      </w:r>
      <w:r>
        <w:rPr>
          <w:rFonts w:asciiTheme="minorBidi" w:hAnsiTheme="minorBidi"/>
          <w:sz w:val="24"/>
          <w:szCs w:val="24"/>
        </w:rPr>
        <w:t>e</w:t>
      </w:r>
      <w:r w:rsidRPr="004E41BC">
        <w:rPr>
          <w:rFonts w:asciiTheme="minorBidi" w:hAnsiTheme="minorBidi"/>
          <w:sz w:val="24"/>
          <w:szCs w:val="24"/>
        </w:rPr>
        <w:t xml:space="preserve"> pharmacists away from </w:t>
      </w:r>
      <w:r>
        <w:rPr>
          <w:rFonts w:asciiTheme="minorBidi" w:hAnsiTheme="minorBidi"/>
          <w:sz w:val="24"/>
          <w:szCs w:val="24"/>
        </w:rPr>
        <w:t>PHC</w:t>
      </w:r>
      <w:r w:rsidRPr="004E41BC">
        <w:rPr>
          <w:rFonts w:asciiTheme="minorBidi" w:hAnsiTheme="minorBidi"/>
          <w:sz w:val="24"/>
          <w:szCs w:val="24"/>
        </w:rPr>
        <w:t xml:space="preserve"> practice </w:t>
      </w:r>
      <w:r>
        <w:rPr>
          <w:rFonts w:asciiTheme="minorBidi" w:hAnsiTheme="minorBidi"/>
          <w:sz w:val="24"/>
          <w:szCs w:val="24"/>
        </w:rPr>
        <w:t>were viewed negatively due to resulting</w:t>
      </w:r>
      <w:r w:rsidRPr="004E41BC">
        <w:rPr>
          <w:rFonts w:asciiTheme="minorBidi" w:hAnsiTheme="minorBidi"/>
          <w:sz w:val="24"/>
          <w:szCs w:val="24"/>
        </w:rPr>
        <w:t xml:space="preserve"> gap </w:t>
      </w:r>
      <w:r>
        <w:rPr>
          <w:rFonts w:asciiTheme="minorBidi" w:hAnsiTheme="minorBidi"/>
          <w:sz w:val="24"/>
          <w:szCs w:val="24"/>
        </w:rPr>
        <w:t xml:space="preserve">in </w:t>
      </w:r>
      <w:r w:rsidRPr="004E41BC">
        <w:rPr>
          <w:rFonts w:asciiTheme="minorBidi" w:hAnsiTheme="minorBidi"/>
          <w:sz w:val="24"/>
          <w:szCs w:val="24"/>
        </w:rPr>
        <w:t>services</w:t>
      </w:r>
      <w:r>
        <w:rPr>
          <w:rFonts w:asciiTheme="minorBidi" w:hAnsiTheme="minorBidi"/>
          <w:sz w:val="24"/>
          <w:szCs w:val="24"/>
        </w:rPr>
        <w:t xml:space="preserve"> delivery.</w:t>
      </w:r>
      <w:r w:rsidRPr="004E41BC">
        <w:rPr>
          <w:rFonts w:asciiTheme="minorBidi" w:hAnsiTheme="minorBidi"/>
          <w:sz w:val="24"/>
          <w:szCs w:val="24"/>
        </w:rPr>
        <w:t xml:space="preserve"> </w:t>
      </w:r>
      <w:r>
        <w:rPr>
          <w:rFonts w:asciiTheme="minorBidi" w:hAnsiTheme="minorBidi"/>
          <w:sz w:val="24"/>
          <w:szCs w:val="24"/>
        </w:rPr>
        <w:t xml:space="preserve">Current pharmacy </w:t>
      </w:r>
      <w:r w:rsidRPr="004E41BC">
        <w:rPr>
          <w:rFonts w:asciiTheme="minorBidi" w:hAnsiTheme="minorBidi"/>
          <w:sz w:val="24"/>
          <w:szCs w:val="24"/>
        </w:rPr>
        <w:t>services</w:t>
      </w:r>
      <w:r>
        <w:rPr>
          <w:rFonts w:asciiTheme="minorBidi" w:hAnsiTheme="minorBidi"/>
          <w:sz w:val="24"/>
          <w:szCs w:val="24"/>
        </w:rPr>
        <w:t xml:space="preserve"> remain important but are also threatened by policy change.</w:t>
      </w:r>
    </w:p>
    <w:p w14:paraId="5D5ADFB9" w14:textId="77777777" w:rsidR="00610EEE" w:rsidRPr="00E9584E" w:rsidRDefault="00610EEE" w:rsidP="00610EEE">
      <w:pPr>
        <w:spacing w:before="240" w:line="360" w:lineRule="auto"/>
        <w:jc w:val="both"/>
      </w:pPr>
      <w:r w:rsidRPr="00AC32E9">
        <w:rPr>
          <w:rFonts w:ascii="Arial" w:hAnsi="Arial" w:cs="Arial"/>
          <w:b/>
          <w:bCs/>
          <w:sz w:val="24"/>
          <w:szCs w:val="24"/>
          <w:lang w:val="en-GB"/>
        </w:rPr>
        <w:t>Conclusion</w:t>
      </w:r>
      <w:r w:rsidRPr="00F2700D">
        <w:rPr>
          <w:lang w:val="en-GB"/>
        </w:rPr>
        <w:t>:</w:t>
      </w:r>
      <w:r>
        <w:rPr>
          <w:lang w:val="en-GB"/>
        </w:rPr>
        <w:t xml:space="preserve"> </w:t>
      </w:r>
      <w:r>
        <w:rPr>
          <w:rFonts w:ascii="Arial" w:hAnsi="Arial" w:cs="Arial"/>
          <w:sz w:val="24"/>
          <w:szCs w:val="24"/>
        </w:rPr>
        <w:t xml:space="preserve">Despite HCP </w:t>
      </w:r>
      <w:r w:rsidRPr="00210DA9">
        <w:rPr>
          <w:rFonts w:ascii="Arial" w:hAnsi="Arial" w:cs="Arial"/>
          <w:sz w:val="24"/>
          <w:szCs w:val="24"/>
        </w:rPr>
        <w:t xml:space="preserve">positivity towards pharmacists' </w:t>
      </w:r>
      <w:r>
        <w:rPr>
          <w:rFonts w:ascii="Arial" w:hAnsi="Arial" w:cs="Arial"/>
          <w:sz w:val="24"/>
          <w:szCs w:val="24"/>
        </w:rPr>
        <w:t xml:space="preserve">future </w:t>
      </w:r>
      <w:r w:rsidRPr="00210DA9">
        <w:rPr>
          <w:rFonts w:ascii="Arial" w:hAnsi="Arial" w:cs="Arial"/>
          <w:sz w:val="24"/>
          <w:szCs w:val="24"/>
        </w:rPr>
        <w:t>role in diabetes management</w:t>
      </w:r>
      <w:r>
        <w:rPr>
          <w:rFonts w:ascii="Arial" w:hAnsi="Arial" w:cs="Arial"/>
          <w:sz w:val="24"/>
          <w:szCs w:val="24"/>
        </w:rPr>
        <w:t xml:space="preserve"> and multidisciplinary teams</w:t>
      </w:r>
      <w:r w:rsidRPr="00210DA9">
        <w:rPr>
          <w:rFonts w:ascii="Arial" w:hAnsi="Arial" w:cs="Arial"/>
          <w:sz w:val="24"/>
          <w:szCs w:val="24"/>
        </w:rPr>
        <w:t xml:space="preserve">, </w:t>
      </w:r>
      <w:r>
        <w:rPr>
          <w:rFonts w:ascii="Arial" w:hAnsi="Arial" w:cs="Arial"/>
          <w:sz w:val="24"/>
          <w:szCs w:val="24"/>
        </w:rPr>
        <w:t>pharmacists are currently</w:t>
      </w:r>
      <w:r w:rsidRPr="00210DA9">
        <w:rPr>
          <w:rFonts w:ascii="Arial" w:hAnsi="Arial" w:cs="Arial"/>
          <w:sz w:val="24"/>
          <w:szCs w:val="24"/>
        </w:rPr>
        <w:t xml:space="preserve"> under</w:t>
      </w:r>
      <w:r>
        <w:rPr>
          <w:rFonts w:ascii="Arial" w:hAnsi="Arial" w:cs="Arial"/>
          <w:sz w:val="24"/>
          <w:szCs w:val="24"/>
        </w:rPr>
        <w:t>-</w:t>
      </w:r>
      <w:r w:rsidRPr="00210DA9">
        <w:rPr>
          <w:rFonts w:ascii="Arial" w:hAnsi="Arial" w:cs="Arial"/>
          <w:sz w:val="24"/>
          <w:szCs w:val="24"/>
        </w:rPr>
        <w:t xml:space="preserve">utilised in </w:t>
      </w:r>
      <w:r>
        <w:rPr>
          <w:rFonts w:ascii="Arial" w:hAnsi="Arial" w:cs="Arial"/>
          <w:sz w:val="24"/>
          <w:szCs w:val="24"/>
        </w:rPr>
        <w:t>PHC diabetes care with multiple emerging perceived barriers to their increased involvement mainly linked to policy decisions.</w:t>
      </w:r>
      <w:r w:rsidRPr="000F4A03">
        <w:rPr>
          <w:rFonts w:asciiTheme="minorBidi" w:hAnsiTheme="minorBidi"/>
          <w:sz w:val="24"/>
          <w:szCs w:val="24"/>
          <w:shd w:val="clear" w:color="auto" w:fill="FFFFFF"/>
        </w:rPr>
        <w:t xml:space="preserve"> </w:t>
      </w:r>
    </w:p>
    <w:p w14:paraId="0245AC14" w14:textId="77777777" w:rsidR="00610EEE" w:rsidRDefault="00610EEE" w:rsidP="00610EEE">
      <w:pPr>
        <w:pStyle w:val="Heading1"/>
        <w:jc w:val="center"/>
      </w:pPr>
      <w:bookmarkStart w:id="2" w:name="_Toc153894124"/>
      <w:r w:rsidRPr="00371399">
        <w:t>Acknowledgements</w:t>
      </w:r>
      <w:bookmarkEnd w:id="2"/>
    </w:p>
    <w:p w14:paraId="45E73602" w14:textId="77777777" w:rsidR="00610EEE" w:rsidRPr="00E02ABC" w:rsidRDefault="00610EEE" w:rsidP="00610EEE"/>
    <w:p w14:paraId="520FD427" w14:textId="77777777" w:rsidR="00610EEE" w:rsidRPr="0084268A" w:rsidRDefault="00610EEE" w:rsidP="00610EEE">
      <w:pPr>
        <w:spacing w:line="360" w:lineRule="auto"/>
        <w:jc w:val="both"/>
        <w:rPr>
          <w:rFonts w:ascii="Arial" w:hAnsi="Arial" w:cs="Arial"/>
          <w:sz w:val="24"/>
          <w:szCs w:val="24"/>
        </w:rPr>
      </w:pPr>
      <w:r w:rsidRPr="0084268A">
        <w:rPr>
          <w:rFonts w:ascii="Arial" w:hAnsi="Arial" w:cs="Arial"/>
          <w:sz w:val="24"/>
          <w:szCs w:val="24"/>
        </w:rPr>
        <w:t xml:space="preserve">I begin with the name of the Almighty </w:t>
      </w:r>
      <w:r>
        <w:rPr>
          <w:rFonts w:ascii="Arial" w:hAnsi="Arial" w:cs="Arial"/>
          <w:sz w:val="24"/>
          <w:szCs w:val="24"/>
        </w:rPr>
        <w:t>God</w:t>
      </w:r>
      <w:r w:rsidRPr="0084268A">
        <w:rPr>
          <w:rFonts w:ascii="Arial" w:hAnsi="Arial" w:cs="Arial"/>
          <w:sz w:val="24"/>
          <w:szCs w:val="24"/>
        </w:rPr>
        <w:t xml:space="preserve">, the compassionate, the merciful, who created everything in the utmost perfection. And prayers and peace be upon the pure and beloved Messenger of God, the peak of his creation, the symbol of humanity, the holy prophet Muhammad, and upon his pure offspring, may </w:t>
      </w:r>
      <w:r>
        <w:rPr>
          <w:rFonts w:ascii="Arial" w:hAnsi="Arial" w:cs="Arial"/>
          <w:sz w:val="24"/>
          <w:szCs w:val="24"/>
        </w:rPr>
        <w:t>G</w:t>
      </w:r>
      <w:r w:rsidRPr="0084268A">
        <w:rPr>
          <w:rFonts w:ascii="Arial" w:hAnsi="Arial" w:cs="Arial"/>
          <w:sz w:val="24"/>
          <w:szCs w:val="24"/>
        </w:rPr>
        <w:t>od's prayers and peace be upon them</w:t>
      </w:r>
      <w:r>
        <w:rPr>
          <w:rFonts w:ascii="Arial" w:hAnsi="Arial" w:cs="Arial"/>
          <w:sz w:val="24"/>
          <w:szCs w:val="24"/>
        </w:rPr>
        <w:t xml:space="preserve"> all</w:t>
      </w:r>
      <w:r w:rsidRPr="0084268A">
        <w:rPr>
          <w:rFonts w:ascii="Arial" w:hAnsi="Arial" w:cs="Arial"/>
          <w:sz w:val="24"/>
          <w:szCs w:val="24"/>
        </w:rPr>
        <w:t>.</w:t>
      </w:r>
    </w:p>
    <w:p w14:paraId="444ABC73" w14:textId="77777777" w:rsidR="00610EEE" w:rsidRPr="0084268A" w:rsidRDefault="00610EEE" w:rsidP="00610EEE">
      <w:pPr>
        <w:spacing w:line="360" w:lineRule="auto"/>
        <w:jc w:val="both"/>
        <w:rPr>
          <w:rFonts w:ascii="Arial" w:hAnsi="Arial" w:cs="Arial"/>
          <w:sz w:val="24"/>
          <w:szCs w:val="24"/>
        </w:rPr>
      </w:pPr>
      <w:r w:rsidRPr="0084268A">
        <w:rPr>
          <w:rFonts w:ascii="Arial" w:hAnsi="Arial" w:cs="Arial"/>
          <w:sz w:val="24"/>
          <w:szCs w:val="24"/>
        </w:rPr>
        <w:t>Thank you,</w:t>
      </w:r>
      <w:r>
        <w:rPr>
          <w:rFonts w:ascii="Arial" w:hAnsi="Arial" w:cs="Arial"/>
          <w:sz w:val="24"/>
          <w:szCs w:val="24"/>
        </w:rPr>
        <w:t xml:space="preserve"> Allah</w:t>
      </w:r>
      <w:r w:rsidRPr="0084268A">
        <w:rPr>
          <w:rFonts w:ascii="Arial" w:hAnsi="Arial" w:cs="Arial"/>
          <w:sz w:val="24"/>
          <w:szCs w:val="24"/>
        </w:rPr>
        <w:t>, for the countless blessings you have bestowed upon me that have enabled me to complete this research. Praise</w:t>
      </w:r>
      <w:r>
        <w:rPr>
          <w:rFonts w:ascii="Arial" w:hAnsi="Arial" w:cs="Arial"/>
          <w:sz w:val="24"/>
          <w:szCs w:val="24"/>
        </w:rPr>
        <w:t xml:space="preserve"> to</w:t>
      </w:r>
      <w:r w:rsidRPr="0084268A">
        <w:rPr>
          <w:rFonts w:ascii="Arial" w:hAnsi="Arial" w:cs="Arial"/>
          <w:sz w:val="24"/>
          <w:szCs w:val="24"/>
        </w:rPr>
        <w:t xml:space="preserve"> God for </w:t>
      </w:r>
      <w:r>
        <w:rPr>
          <w:rFonts w:ascii="Arial" w:hAnsi="Arial" w:cs="Arial"/>
          <w:sz w:val="24"/>
          <w:szCs w:val="24"/>
        </w:rPr>
        <w:t>allowing me the chance to start my</w:t>
      </w:r>
      <w:r w:rsidRPr="0084268A">
        <w:rPr>
          <w:rFonts w:ascii="Arial" w:hAnsi="Arial" w:cs="Arial"/>
          <w:sz w:val="24"/>
          <w:szCs w:val="24"/>
        </w:rPr>
        <w:t xml:space="preserve"> PhD study</w:t>
      </w:r>
      <w:r>
        <w:rPr>
          <w:rFonts w:ascii="Arial" w:hAnsi="Arial" w:cs="Arial"/>
          <w:sz w:val="24"/>
          <w:szCs w:val="24"/>
        </w:rPr>
        <w:t>.</w:t>
      </w:r>
    </w:p>
    <w:p w14:paraId="022C7148" w14:textId="77777777" w:rsidR="00610EEE" w:rsidRPr="0084268A" w:rsidRDefault="00610EEE" w:rsidP="00610EEE">
      <w:pPr>
        <w:spacing w:line="360" w:lineRule="auto"/>
        <w:jc w:val="both"/>
        <w:rPr>
          <w:rFonts w:ascii="Arial" w:hAnsi="Arial" w:cs="Arial"/>
          <w:sz w:val="24"/>
          <w:szCs w:val="24"/>
        </w:rPr>
      </w:pPr>
      <w:r w:rsidRPr="0084268A">
        <w:rPr>
          <w:rFonts w:ascii="Arial" w:hAnsi="Arial" w:cs="Arial"/>
          <w:sz w:val="24"/>
          <w:szCs w:val="24"/>
        </w:rPr>
        <w:t xml:space="preserve">I want to express my deep gratitude to Dr. Richard Cooper and Dr. Katy Cooper, </w:t>
      </w:r>
      <w:r>
        <w:rPr>
          <w:rFonts w:ascii="Arial" w:hAnsi="Arial" w:cs="Arial"/>
          <w:sz w:val="24"/>
          <w:szCs w:val="24"/>
        </w:rPr>
        <w:t>my</w:t>
      </w:r>
      <w:r w:rsidRPr="0084268A">
        <w:rPr>
          <w:rFonts w:ascii="Arial" w:hAnsi="Arial" w:cs="Arial"/>
          <w:sz w:val="24"/>
          <w:szCs w:val="24"/>
        </w:rPr>
        <w:t xml:space="preserve"> research supervisors, for giving me the opportunity to conduct this research and providing </w:t>
      </w:r>
      <w:r>
        <w:rPr>
          <w:rFonts w:ascii="Arial" w:hAnsi="Arial" w:cs="Arial"/>
          <w:sz w:val="24"/>
          <w:szCs w:val="24"/>
        </w:rPr>
        <w:t xml:space="preserve">me with </w:t>
      </w:r>
      <w:r w:rsidRPr="0084268A">
        <w:rPr>
          <w:rFonts w:ascii="Arial" w:hAnsi="Arial" w:cs="Arial"/>
          <w:sz w:val="24"/>
          <w:szCs w:val="24"/>
        </w:rPr>
        <w:t>invaluable guidance throughout my journey. Their enthusiasm, outstanding knowledge and great att</w:t>
      </w:r>
      <w:r>
        <w:rPr>
          <w:rFonts w:ascii="Arial" w:hAnsi="Arial" w:cs="Arial"/>
          <w:sz w:val="24"/>
          <w:szCs w:val="24"/>
        </w:rPr>
        <w:t xml:space="preserve">itude pushed me toward my goal and kept me </w:t>
      </w:r>
      <w:r w:rsidRPr="0084268A">
        <w:rPr>
          <w:rFonts w:ascii="Arial" w:hAnsi="Arial" w:cs="Arial"/>
          <w:sz w:val="24"/>
          <w:szCs w:val="24"/>
        </w:rPr>
        <w:t>on track. They reviewed my work and answered all my inquiries with goodwill and patience.</w:t>
      </w:r>
    </w:p>
    <w:p w14:paraId="7E02810A" w14:textId="77777777" w:rsidR="00610EEE" w:rsidRPr="0084268A" w:rsidRDefault="00610EEE" w:rsidP="00610EEE">
      <w:pPr>
        <w:spacing w:line="360" w:lineRule="auto"/>
        <w:jc w:val="both"/>
        <w:rPr>
          <w:rFonts w:ascii="Arial" w:hAnsi="Arial" w:cs="Arial"/>
          <w:sz w:val="24"/>
          <w:szCs w:val="24"/>
        </w:rPr>
      </w:pPr>
      <w:r w:rsidRPr="0084268A">
        <w:rPr>
          <w:rFonts w:ascii="Arial" w:hAnsi="Arial" w:cs="Arial"/>
          <w:sz w:val="24"/>
          <w:szCs w:val="24"/>
        </w:rPr>
        <w:t>To my parents, without your prayers and support, I would not have reached this stage</w:t>
      </w:r>
      <w:r>
        <w:rPr>
          <w:rFonts w:ascii="Arial" w:hAnsi="Arial" w:cs="Arial"/>
          <w:sz w:val="24"/>
          <w:szCs w:val="24"/>
        </w:rPr>
        <w:t>.</w:t>
      </w:r>
      <w:r w:rsidRPr="0084268A">
        <w:rPr>
          <w:rFonts w:ascii="Arial" w:hAnsi="Arial" w:cs="Arial"/>
          <w:sz w:val="24"/>
          <w:szCs w:val="24"/>
        </w:rPr>
        <w:t xml:space="preserve"> Thank you, and I sincerely pray for you</w:t>
      </w:r>
      <w:r>
        <w:rPr>
          <w:rFonts w:ascii="Arial" w:hAnsi="Arial" w:cs="Arial"/>
          <w:sz w:val="24"/>
          <w:szCs w:val="24"/>
        </w:rPr>
        <w:t>r health and happiness</w:t>
      </w:r>
      <w:r w:rsidRPr="0084268A">
        <w:rPr>
          <w:rFonts w:ascii="Arial" w:hAnsi="Arial" w:cs="Arial"/>
          <w:sz w:val="24"/>
          <w:szCs w:val="24"/>
        </w:rPr>
        <w:t>.</w:t>
      </w:r>
    </w:p>
    <w:p w14:paraId="411D4B14" w14:textId="77777777" w:rsidR="00610EEE" w:rsidRPr="0084268A" w:rsidRDefault="00610EEE" w:rsidP="00610EEE">
      <w:pPr>
        <w:spacing w:line="360" w:lineRule="auto"/>
        <w:jc w:val="both"/>
        <w:rPr>
          <w:rFonts w:ascii="Arial" w:hAnsi="Arial" w:cs="Arial"/>
          <w:sz w:val="24"/>
          <w:szCs w:val="24"/>
        </w:rPr>
      </w:pPr>
      <w:r w:rsidRPr="0084268A">
        <w:rPr>
          <w:rFonts w:ascii="Arial" w:hAnsi="Arial" w:cs="Arial"/>
          <w:sz w:val="24"/>
          <w:szCs w:val="24"/>
        </w:rPr>
        <w:t xml:space="preserve">To my husband, thank you for your endless support and understanding of my </w:t>
      </w:r>
      <w:r>
        <w:rPr>
          <w:rFonts w:ascii="Arial" w:hAnsi="Arial" w:cs="Arial"/>
          <w:sz w:val="24"/>
          <w:szCs w:val="24"/>
        </w:rPr>
        <w:t>situation</w:t>
      </w:r>
      <w:r w:rsidRPr="0084268A">
        <w:rPr>
          <w:rFonts w:ascii="Arial" w:hAnsi="Arial" w:cs="Arial"/>
          <w:sz w:val="24"/>
          <w:szCs w:val="24"/>
        </w:rPr>
        <w:t xml:space="preserve"> </w:t>
      </w:r>
      <w:r>
        <w:rPr>
          <w:rFonts w:ascii="Arial" w:hAnsi="Arial" w:cs="Arial"/>
          <w:sz w:val="24"/>
          <w:szCs w:val="24"/>
        </w:rPr>
        <w:t>throughout my</w:t>
      </w:r>
      <w:r w:rsidRPr="0084268A">
        <w:rPr>
          <w:rFonts w:ascii="Arial" w:hAnsi="Arial" w:cs="Arial"/>
          <w:sz w:val="24"/>
          <w:szCs w:val="24"/>
        </w:rPr>
        <w:t xml:space="preserve"> journey; without your presence </w:t>
      </w:r>
      <w:r>
        <w:rPr>
          <w:rFonts w:ascii="Arial" w:hAnsi="Arial" w:cs="Arial"/>
          <w:sz w:val="24"/>
          <w:szCs w:val="24"/>
        </w:rPr>
        <w:t>and patience</w:t>
      </w:r>
      <w:r w:rsidRPr="0084268A">
        <w:rPr>
          <w:rFonts w:ascii="Arial" w:hAnsi="Arial" w:cs="Arial"/>
          <w:sz w:val="24"/>
          <w:szCs w:val="24"/>
        </w:rPr>
        <w:t xml:space="preserve">, I would not have been able to </w:t>
      </w:r>
      <w:r>
        <w:rPr>
          <w:rFonts w:ascii="Arial" w:hAnsi="Arial" w:cs="Arial"/>
          <w:sz w:val="24"/>
          <w:szCs w:val="24"/>
        </w:rPr>
        <w:t>complete this chapter of my life.</w:t>
      </w:r>
      <w:r w:rsidRPr="0084268A">
        <w:rPr>
          <w:rFonts w:ascii="Arial" w:hAnsi="Arial" w:cs="Arial"/>
          <w:sz w:val="24"/>
          <w:szCs w:val="24"/>
        </w:rPr>
        <w:t xml:space="preserve"> I sincerely appreciate everything you have done for me</w:t>
      </w:r>
      <w:r>
        <w:rPr>
          <w:rFonts w:ascii="Arial" w:hAnsi="Arial" w:cs="Arial"/>
          <w:sz w:val="24"/>
          <w:szCs w:val="24"/>
        </w:rPr>
        <w:t>,</w:t>
      </w:r>
      <w:r w:rsidRPr="0084268A">
        <w:rPr>
          <w:rFonts w:ascii="Arial" w:hAnsi="Arial" w:cs="Arial"/>
          <w:sz w:val="24"/>
          <w:szCs w:val="24"/>
        </w:rPr>
        <w:t xml:space="preserve"> </w:t>
      </w:r>
      <w:r>
        <w:rPr>
          <w:rFonts w:ascii="Arial" w:hAnsi="Arial" w:cs="Arial"/>
          <w:sz w:val="24"/>
          <w:szCs w:val="24"/>
        </w:rPr>
        <w:t>and I am unsure if I could ever express the amount of gratitude, I feel towards you.</w:t>
      </w:r>
      <w:r w:rsidRPr="0084268A">
        <w:rPr>
          <w:rFonts w:ascii="Arial" w:hAnsi="Arial" w:cs="Arial"/>
          <w:sz w:val="24"/>
          <w:szCs w:val="24"/>
        </w:rPr>
        <w:t xml:space="preserve"> </w:t>
      </w:r>
    </w:p>
    <w:p w14:paraId="1BD62525" w14:textId="77777777" w:rsidR="00610EEE" w:rsidRPr="0084268A" w:rsidRDefault="00610EEE" w:rsidP="00610EEE">
      <w:pPr>
        <w:spacing w:line="360" w:lineRule="auto"/>
        <w:jc w:val="both"/>
        <w:rPr>
          <w:rFonts w:ascii="Arial" w:hAnsi="Arial" w:cs="Arial"/>
          <w:sz w:val="24"/>
          <w:szCs w:val="24"/>
        </w:rPr>
      </w:pPr>
      <w:r w:rsidRPr="0084268A">
        <w:rPr>
          <w:rFonts w:ascii="Arial" w:hAnsi="Arial" w:cs="Arial"/>
          <w:sz w:val="24"/>
          <w:szCs w:val="24"/>
        </w:rPr>
        <w:t xml:space="preserve">To my children and sisters who </w:t>
      </w:r>
      <w:r>
        <w:rPr>
          <w:rFonts w:ascii="Arial" w:hAnsi="Arial" w:cs="Arial"/>
          <w:sz w:val="24"/>
          <w:szCs w:val="24"/>
        </w:rPr>
        <w:t>have been</w:t>
      </w:r>
      <w:r w:rsidRPr="0084268A">
        <w:rPr>
          <w:rFonts w:ascii="Arial" w:hAnsi="Arial" w:cs="Arial"/>
          <w:sz w:val="24"/>
          <w:szCs w:val="24"/>
        </w:rPr>
        <w:t xml:space="preserve"> with me and supported me through this stage of </w:t>
      </w:r>
      <w:r>
        <w:rPr>
          <w:rFonts w:ascii="Arial" w:hAnsi="Arial" w:cs="Arial"/>
          <w:sz w:val="24"/>
          <w:szCs w:val="24"/>
        </w:rPr>
        <w:t xml:space="preserve">this </w:t>
      </w:r>
      <w:r w:rsidRPr="0084268A">
        <w:rPr>
          <w:rFonts w:ascii="Arial" w:hAnsi="Arial" w:cs="Arial"/>
          <w:sz w:val="24"/>
          <w:szCs w:val="24"/>
        </w:rPr>
        <w:t>journey, I thank you all and wish you a bright future.</w:t>
      </w:r>
    </w:p>
    <w:p w14:paraId="015BBEFB" w14:textId="77777777" w:rsidR="00610EEE" w:rsidRPr="00F20DDC" w:rsidRDefault="00610EEE" w:rsidP="00610EEE">
      <w:pPr>
        <w:spacing w:line="360" w:lineRule="auto"/>
      </w:pPr>
      <w:r w:rsidRPr="0084268A">
        <w:rPr>
          <w:rFonts w:ascii="Arial" w:hAnsi="Arial" w:cs="Arial"/>
          <w:sz w:val="24"/>
          <w:szCs w:val="24"/>
        </w:rPr>
        <w:t>Finally, I w</w:t>
      </w:r>
      <w:r>
        <w:rPr>
          <w:rFonts w:ascii="Arial" w:hAnsi="Arial" w:cs="Arial"/>
          <w:sz w:val="24"/>
          <w:szCs w:val="24"/>
        </w:rPr>
        <w:t>ould like</w:t>
      </w:r>
      <w:r w:rsidRPr="0084268A">
        <w:rPr>
          <w:rFonts w:ascii="Arial" w:hAnsi="Arial" w:cs="Arial"/>
          <w:sz w:val="24"/>
          <w:szCs w:val="24"/>
        </w:rPr>
        <w:t xml:space="preserve"> to express my heartfelt appreciation to all people who were eager to </w:t>
      </w:r>
      <w:r>
        <w:rPr>
          <w:rFonts w:ascii="Arial" w:hAnsi="Arial" w:cs="Arial"/>
          <w:sz w:val="24"/>
          <w:szCs w:val="24"/>
        </w:rPr>
        <w:t>help</w:t>
      </w:r>
      <w:r w:rsidRPr="0084268A">
        <w:rPr>
          <w:rFonts w:ascii="Arial" w:hAnsi="Arial" w:cs="Arial"/>
          <w:sz w:val="24"/>
          <w:szCs w:val="24"/>
        </w:rPr>
        <w:t xml:space="preserve"> </w:t>
      </w:r>
      <w:r>
        <w:rPr>
          <w:rFonts w:ascii="Arial" w:hAnsi="Arial" w:cs="Arial"/>
          <w:sz w:val="24"/>
          <w:szCs w:val="24"/>
        </w:rPr>
        <w:t>throughout the years</w:t>
      </w:r>
      <w:r w:rsidRPr="0084268A">
        <w:rPr>
          <w:rFonts w:ascii="Arial" w:hAnsi="Arial" w:cs="Arial"/>
          <w:sz w:val="24"/>
          <w:szCs w:val="24"/>
        </w:rPr>
        <w:t>.</w:t>
      </w:r>
    </w:p>
    <w:p w14:paraId="37BA620D" w14:textId="77777777" w:rsidR="00610EEE" w:rsidRPr="0084268A" w:rsidRDefault="00610EEE" w:rsidP="00610EEE">
      <w:pPr>
        <w:spacing w:line="360" w:lineRule="auto"/>
        <w:jc w:val="both"/>
        <w:rPr>
          <w:rFonts w:ascii="Arial" w:hAnsi="Arial" w:cs="Arial"/>
          <w:sz w:val="24"/>
          <w:szCs w:val="24"/>
        </w:rPr>
      </w:pPr>
      <w:r w:rsidRPr="0084268A">
        <w:rPr>
          <w:rFonts w:ascii="Arial" w:hAnsi="Arial" w:cs="Arial"/>
          <w:sz w:val="24"/>
          <w:szCs w:val="24"/>
        </w:rPr>
        <w:br w:type="page"/>
      </w:r>
    </w:p>
    <w:sdt>
      <w:sdtPr>
        <w:rPr>
          <w:rFonts w:asciiTheme="minorHAnsi" w:eastAsiaTheme="minorHAnsi" w:hAnsiTheme="minorHAnsi" w:cstheme="minorBidi"/>
          <w:b w:val="0"/>
          <w:bCs w:val="0"/>
          <w:color w:val="auto"/>
          <w:sz w:val="22"/>
          <w:szCs w:val="22"/>
        </w:rPr>
        <w:id w:val="-367682049"/>
        <w:docPartObj>
          <w:docPartGallery w:val="Table of Contents"/>
          <w:docPartUnique/>
        </w:docPartObj>
      </w:sdtPr>
      <w:sdtEndPr>
        <w:rPr>
          <w:noProof/>
        </w:rPr>
      </w:sdtEndPr>
      <w:sdtContent>
        <w:p w14:paraId="04504F6A" w14:textId="77777777" w:rsidR="00610EEE" w:rsidRDefault="00610EEE" w:rsidP="00610EEE">
          <w:pPr>
            <w:pStyle w:val="TOCHeading"/>
            <w:jc w:val="center"/>
          </w:pPr>
          <w:r>
            <w:t>Table of Contents</w:t>
          </w:r>
        </w:p>
        <w:p w14:paraId="1829AA0C" w14:textId="2B314F2C" w:rsidR="005503BA" w:rsidRDefault="00610EEE" w:rsidP="00E92158">
          <w:pPr>
            <w:pStyle w:val="TOC1"/>
            <w:rPr>
              <w:rFonts w:eastAsiaTheme="minorEastAsia" w:cstheme="minorBidi"/>
              <w:noProof/>
              <w:kern w:val="2"/>
              <w:sz w:val="22"/>
              <w:szCs w:val="22"/>
              <w14:ligatures w14:val="standardContextual"/>
            </w:rPr>
          </w:pPr>
          <w:r>
            <w:fldChar w:fldCharType="begin"/>
          </w:r>
          <w:r>
            <w:instrText xml:space="preserve"> TOC \o "1-3" \h \z \u </w:instrText>
          </w:r>
          <w:r>
            <w:fldChar w:fldCharType="separate"/>
          </w:r>
          <w:hyperlink w:anchor="_Toc153894123" w:history="1">
            <w:r w:rsidR="005503BA" w:rsidRPr="0062492F">
              <w:rPr>
                <w:rStyle w:val="Hyperlink"/>
                <w:noProof/>
              </w:rPr>
              <w:t>Abstract</w:t>
            </w:r>
            <w:r w:rsidR="005503BA">
              <w:rPr>
                <w:noProof/>
                <w:webHidden/>
              </w:rPr>
              <w:tab/>
            </w:r>
            <w:r w:rsidR="005503BA">
              <w:rPr>
                <w:noProof/>
                <w:webHidden/>
              </w:rPr>
              <w:fldChar w:fldCharType="begin"/>
            </w:r>
            <w:r w:rsidR="005503BA">
              <w:rPr>
                <w:noProof/>
                <w:webHidden/>
              </w:rPr>
              <w:instrText xml:space="preserve"> PAGEREF _Toc153894123 \h </w:instrText>
            </w:r>
            <w:r w:rsidR="005503BA">
              <w:rPr>
                <w:noProof/>
                <w:webHidden/>
              </w:rPr>
            </w:r>
            <w:r w:rsidR="005503BA">
              <w:rPr>
                <w:noProof/>
                <w:webHidden/>
              </w:rPr>
              <w:fldChar w:fldCharType="separate"/>
            </w:r>
            <w:r w:rsidR="005503BA">
              <w:rPr>
                <w:noProof/>
                <w:webHidden/>
              </w:rPr>
              <w:t>1</w:t>
            </w:r>
            <w:r w:rsidR="005503BA">
              <w:rPr>
                <w:noProof/>
                <w:webHidden/>
              </w:rPr>
              <w:fldChar w:fldCharType="end"/>
            </w:r>
          </w:hyperlink>
        </w:p>
        <w:p w14:paraId="116D4F8D" w14:textId="28D470C9" w:rsidR="005503BA" w:rsidRDefault="00000000" w:rsidP="00E92158">
          <w:pPr>
            <w:pStyle w:val="TOC1"/>
            <w:rPr>
              <w:rFonts w:eastAsiaTheme="minorEastAsia" w:cstheme="minorBidi"/>
              <w:noProof/>
              <w:kern w:val="2"/>
              <w:sz w:val="22"/>
              <w:szCs w:val="22"/>
              <w14:ligatures w14:val="standardContextual"/>
            </w:rPr>
          </w:pPr>
          <w:hyperlink w:anchor="_Toc153894124" w:history="1">
            <w:r w:rsidR="005503BA" w:rsidRPr="0062492F">
              <w:rPr>
                <w:rStyle w:val="Hyperlink"/>
                <w:noProof/>
              </w:rPr>
              <w:t>Acknowledgements</w:t>
            </w:r>
            <w:r w:rsidR="005503BA">
              <w:rPr>
                <w:noProof/>
                <w:webHidden/>
              </w:rPr>
              <w:tab/>
            </w:r>
            <w:r w:rsidR="005503BA">
              <w:rPr>
                <w:noProof/>
                <w:webHidden/>
              </w:rPr>
              <w:fldChar w:fldCharType="begin"/>
            </w:r>
            <w:r w:rsidR="005503BA">
              <w:rPr>
                <w:noProof/>
                <w:webHidden/>
              </w:rPr>
              <w:instrText xml:space="preserve"> PAGEREF _Toc153894124 \h </w:instrText>
            </w:r>
            <w:r w:rsidR="005503BA">
              <w:rPr>
                <w:noProof/>
                <w:webHidden/>
              </w:rPr>
            </w:r>
            <w:r w:rsidR="005503BA">
              <w:rPr>
                <w:noProof/>
                <w:webHidden/>
              </w:rPr>
              <w:fldChar w:fldCharType="separate"/>
            </w:r>
            <w:r w:rsidR="005503BA">
              <w:rPr>
                <w:noProof/>
                <w:webHidden/>
              </w:rPr>
              <w:t>2</w:t>
            </w:r>
            <w:r w:rsidR="005503BA">
              <w:rPr>
                <w:noProof/>
                <w:webHidden/>
              </w:rPr>
              <w:fldChar w:fldCharType="end"/>
            </w:r>
          </w:hyperlink>
        </w:p>
        <w:p w14:paraId="299188C0" w14:textId="331000E3" w:rsidR="005503BA" w:rsidRDefault="00000000" w:rsidP="00E92158">
          <w:pPr>
            <w:pStyle w:val="TOC1"/>
            <w:rPr>
              <w:rFonts w:eastAsiaTheme="minorEastAsia" w:cstheme="minorBidi"/>
              <w:noProof/>
              <w:kern w:val="2"/>
              <w:sz w:val="22"/>
              <w:szCs w:val="22"/>
              <w14:ligatures w14:val="standardContextual"/>
            </w:rPr>
          </w:pPr>
          <w:hyperlink w:anchor="_Toc153894125" w:history="1">
            <w:r w:rsidR="005503BA" w:rsidRPr="0062492F">
              <w:rPr>
                <w:rStyle w:val="Hyperlink"/>
                <w:noProof/>
                <w:lang w:val="en-GB"/>
              </w:rPr>
              <w:t>1.</w:t>
            </w:r>
            <w:r w:rsidR="005503BA">
              <w:rPr>
                <w:rFonts w:eastAsiaTheme="minorEastAsia" w:cstheme="minorBidi"/>
                <w:noProof/>
                <w:kern w:val="2"/>
                <w:sz w:val="22"/>
                <w:szCs w:val="22"/>
                <w14:ligatures w14:val="standardContextual"/>
              </w:rPr>
              <w:tab/>
            </w:r>
            <w:r w:rsidR="005503BA" w:rsidRPr="0062492F">
              <w:rPr>
                <w:rStyle w:val="Hyperlink"/>
                <w:noProof/>
                <w:lang w:val="en-GB"/>
              </w:rPr>
              <w:t>Chapter One: Introduction and Background</w:t>
            </w:r>
            <w:r w:rsidR="005503BA">
              <w:rPr>
                <w:noProof/>
                <w:webHidden/>
              </w:rPr>
              <w:tab/>
            </w:r>
            <w:r w:rsidR="005503BA">
              <w:rPr>
                <w:noProof/>
                <w:webHidden/>
              </w:rPr>
              <w:fldChar w:fldCharType="begin"/>
            </w:r>
            <w:r w:rsidR="005503BA">
              <w:rPr>
                <w:noProof/>
                <w:webHidden/>
              </w:rPr>
              <w:instrText xml:space="preserve"> PAGEREF _Toc153894125 \h </w:instrText>
            </w:r>
            <w:r w:rsidR="005503BA">
              <w:rPr>
                <w:noProof/>
                <w:webHidden/>
              </w:rPr>
            </w:r>
            <w:r w:rsidR="005503BA">
              <w:rPr>
                <w:noProof/>
                <w:webHidden/>
              </w:rPr>
              <w:fldChar w:fldCharType="separate"/>
            </w:r>
            <w:r w:rsidR="005503BA">
              <w:rPr>
                <w:noProof/>
                <w:webHidden/>
              </w:rPr>
              <w:t>17</w:t>
            </w:r>
            <w:r w:rsidR="005503BA">
              <w:rPr>
                <w:noProof/>
                <w:webHidden/>
              </w:rPr>
              <w:fldChar w:fldCharType="end"/>
            </w:r>
          </w:hyperlink>
        </w:p>
        <w:p w14:paraId="4F37EDE3" w14:textId="431448E9"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26" w:history="1">
            <w:r w:rsidR="005503BA" w:rsidRPr="0062492F">
              <w:rPr>
                <w:rStyle w:val="Hyperlink"/>
                <w:rFonts w:asciiTheme="minorBidi" w:hAnsiTheme="minorBidi"/>
                <w:noProof/>
                <w:lang w:val="en-GB"/>
              </w:rPr>
              <w:t>1.1.</w:t>
            </w:r>
            <w:r w:rsidR="005503BA">
              <w:rPr>
                <w:rFonts w:eastAsiaTheme="minorEastAsia" w:cstheme="minorBidi"/>
                <w:b w:val="0"/>
                <w:bCs w:val="0"/>
                <w:noProof/>
                <w:kern w:val="2"/>
                <w14:ligatures w14:val="standardContextual"/>
              </w:rPr>
              <w:tab/>
            </w:r>
            <w:r w:rsidR="005503BA" w:rsidRPr="0062492F">
              <w:rPr>
                <w:rStyle w:val="Hyperlink"/>
                <w:noProof/>
                <w:lang w:val="en-GB"/>
              </w:rPr>
              <w:t>Introduction</w:t>
            </w:r>
            <w:r w:rsidR="005503BA">
              <w:rPr>
                <w:noProof/>
                <w:webHidden/>
              </w:rPr>
              <w:tab/>
            </w:r>
            <w:r w:rsidR="005503BA">
              <w:rPr>
                <w:noProof/>
                <w:webHidden/>
              </w:rPr>
              <w:fldChar w:fldCharType="begin"/>
            </w:r>
            <w:r w:rsidR="005503BA">
              <w:rPr>
                <w:noProof/>
                <w:webHidden/>
              </w:rPr>
              <w:instrText xml:space="preserve"> PAGEREF _Toc153894126 \h </w:instrText>
            </w:r>
            <w:r w:rsidR="005503BA">
              <w:rPr>
                <w:noProof/>
                <w:webHidden/>
              </w:rPr>
            </w:r>
            <w:r w:rsidR="005503BA">
              <w:rPr>
                <w:noProof/>
                <w:webHidden/>
              </w:rPr>
              <w:fldChar w:fldCharType="separate"/>
            </w:r>
            <w:r w:rsidR="005503BA">
              <w:rPr>
                <w:noProof/>
                <w:webHidden/>
              </w:rPr>
              <w:t>17</w:t>
            </w:r>
            <w:r w:rsidR="005503BA">
              <w:rPr>
                <w:noProof/>
                <w:webHidden/>
              </w:rPr>
              <w:fldChar w:fldCharType="end"/>
            </w:r>
          </w:hyperlink>
        </w:p>
        <w:p w14:paraId="2FAE09E3" w14:textId="3FD87750"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27" w:history="1">
            <w:r w:rsidR="005503BA" w:rsidRPr="0062492F">
              <w:rPr>
                <w:rStyle w:val="Hyperlink"/>
                <w:rFonts w:asciiTheme="minorBidi" w:hAnsiTheme="minorBidi"/>
                <w:noProof/>
              </w:rPr>
              <w:t>1.2.</w:t>
            </w:r>
            <w:r w:rsidR="005503BA">
              <w:rPr>
                <w:rFonts w:eastAsiaTheme="minorEastAsia" w:cstheme="minorBidi"/>
                <w:b w:val="0"/>
                <w:bCs w:val="0"/>
                <w:noProof/>
                <w:kern w:val="2"/>
                <w14:ligatures w14:val="standardContextual"/>
              </w:rPr>
              <w:tab/>
            </w:r>
            <w:r w:rsidR="005503BA" w:rsidRPr="0062492F">
              <w:rPr>
                <w:rStyle w:val="Hyperlink"/>
                <w:rFonts w:cs="Arial"/>
                <w:noProof/>
                <w:lang w:val="en-GB"/>
              </w:rPr>
              <w:t xml:space="preserve">The national transformation programme </w:t>
            </w:r>
            <w:r w:rsidR="005503BA" w:rsidRPr="0062492F">
              <w:rPr>
                <w:rStyle w:val="Hyperlink"/>
                <w:rFonts w:cs="Arial"/>
                <w:noProof/>
              </w:rPr>
              <w:t>of the Saudi Ministry of Health</w:t>
            </w:r>
            <w:r w:rsidR="005503BA">
              <w:rPr>
                <w:noProof/>
                <w:webHidden/>
              </w:rPr>
              <w:tab/>
            </w:r>
            <w:r w:rsidR="005503BA">
              <w:rPr>
                <w:noProof/>
                <w:webHidden/>
              </w:rPr>
              <w:fldChar w:fldCharType="begin"/>
            </w:r>
            <w:r w:rsidR="005503BA">
              <w:rPr>
                <w:noProof/>
                <w:webHidden/>
              </w:rPr>
              <w:instrText xml:space="preserve"> PAGEREF _Toc153894127 \h </w:instrText>
            </w:r>
            <w:r w:rsidR="005503BA">
              <w:rPr>
                <w:noProof/>
                <w:webHidden/>
              </w:rPr>
            </w:r>
            <w:r w:rsidR="005503BA">
              <w:rPr>
                <w:noProof/>
                <w:webHidden/>
              </w:rPr>
              <w:fldChar w:fldCharType="separate"/>
            </w:r>
            <w:r w:rsidR="005503BA">
              <w:rPr>
                <w:noProof/>
                <w:webHidden/>
              </w:rPr>
              <w:t>18</w:t>
            </w:r>
            <w:r w:rsidR="005503BA">
              <w:rPr>
                <w:noProof/>
                <w:webHidden/>
              </w:rPr>
              <w:fldChar w:fldCharType="end"/>
            </w:r>
          </w:hyperlink>
        </w:p>
        <w:p w14:paraId="42BE1CEF" w14:textId="0E6E6795"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28" w:history="1">
            <w:r w:rsidR="005503BA" w:rsidRPr="0062492F">
              <w:rPr>
                <w:rStyle w:val="Hyperlink"/>
                <w:rFonts w:asciiTheme="minorBidi" w:hAnsiTheme="minorBidi"/>
                <w:noProof/>
                <w:lang w:val="en-GB"/>
              </w:rPr>
              <w:t>1.3.</w:t>
            </w:r>
            <w:r w:rsidR="005503BA">
              <w:rPr>
                <w:rFonts w:eastAsiaTheme="minorEastAsia" w:cstheme="minorBidi"/>
                <w:b w:val="0"/>
                <w:bCs w:val="0"/>
                <w:noProof/>
                <w:kern w:val="2"/>
                <w14:ligatures w14:val="standardContextual"/>
              </w:rPr>
              <w:tab/>
            </w:r>
            <w:r w:rsidR="005503BA" w:rsidRPr="0062492F">
              <w:rPr>
                <w:rStyle w:val="Hyperlink"/>
                <w:rFonts w:cs="Arial"/>
                <w:noProof/>
                <w:lang w:val="en-GB"/>
              </w:rPr>
              <w:t>Primary healthcare in Saudi Arabia</w:t>
            </w:r>
            <w:r w:rsidR="005503BA">
              <w:rPr>
                <w:noProof/>
                <w:webHidden/>
              </w:rPr>
              <w:tab/>
            </w:r>
            <w:r w:rsidR="005503BA">
              <w:rPr>
                <w:noProof/>
                <w:webHidden/>
              </w:rPr>
              <w:fldChar w:fldCharType="begin"/>
            </w:r>
            <w:r w:rsidR="005503BA">
              <w:rPr>
                <w:noProof/>
                <w:webHidden/>
              </w:rPr>
              <w:instrText xml:space="preserve"> PAGEREF _Toc153894128 \h </w:instrText>
            </w:r>
            <w:r w:rsidR="005503BA">
              <w:rPr>
                <w:noProof/>
                <w:webHidden/>
              </w:rPr>
            </w:r>
            <w:r w:rsidR="005503BA">
              <w:rPr>
                <w:noProof/>
                <w:webHidden/>
              </w:rPr>
              <w:fldChar w:fldCharType="separate"/>
            </w:r>
            <w:r w:rsidR="005503BA">
              <w:rPr>
                <w:noProof/>
                <w:webHidden/>
              </w:rPr>
              <w:t>20</w:t>
            </w:r>
            <w:r w:rsidR="005503BA">
              <w:rPr>
                <w:noProof/>
                <w:webHidden/>
              </w:rPr>
              <w:fldChar w:fldCharType="end"/>
            </w:r>
          </w:hyperlink>
        </w:p>
        <w:p w14:paraId="1268E401" w14:textId="1E0CD821"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29" w:history="1">
            <w:r w:rsidR="005503BA" w:rsidRPr="0062492F">
              <w:rPr>
                <w:rStyle w:val="Hyperlink"/>
                <w:rFonts w:asciiTheme="minorBidi" w:hAnsiTheme="minorBidi"/>
                <w:noProof/>
              </w:rPr>
              <w:t>1.4.</w:t>
            </w:r>
            <w:r w:rsidR="005503BA">
              <w:rPr>
                <w:rFonts w:eastAsiaTheme="minorEastAsia" w:cstheme="minorBidi"/>
                <w:b w:val="0"/>
                <w:bCs w:val="0"/>
                <w:noProof/>
                <w:kern w:val="2"/>
                <w14:ligatures w14:val="standardContextual"/>
              </w:rPr>
              <w:tab/>
            </w:r>
            <w:r w:rsidR="005503BA" w:rsidRPr="0062492F">
              <w:rPr>
                <w:rStyle w:val="Hyperlink"/>
                <w:noProof/>
              </w:rPr>
              <w:t>My motivation and reflection for undertaking this research</w:t>
            </w:r>
            <w:r w:rsidR="005503BA">
              <w:rPr>
                <w:noProof/>
                <w:webHidden/>
              </w:rPr>
              <w:tab/>
            </w:r>
            <w:r w:rsidR="005503BA">
              <w:rPr>
                <w:noProof/>
                <w:webHidden/>
              </w:rPr>
              <w:fldChar w:fldCharType="begin"/>
            </w:r>
            <w:r w:rsidR="005503BA">
              <w:rPr>
                <w:noProof/>
                <w:webHidden/>
              </w:rPr>
              <w:instrText xml:space="preserve"> PAGEREF _Toc153894129 \h </w:instrText>
            </w:r>
            <w:r w:rsidR="005503BA">
              <w:rPr>
                <w:noProof/>
                <w:webHidden/>
              </w:rPr>
            </w:r>
            <w:r w:rsidR="005503BA">
              <w:rPr>
                <w:noProof/>
                <w:webHidden/>
              </w:rPr>
              <w:fldChar w:fldCharType="separate"/>
            </w:r>
            <w:r w:rsidR="005503BA">
              <w:rPr>
                <w:noProof/>
                <w:webHidden/>
              </w:rPr>
              <w:t>21</w:t>
            </w:r>
            <w:r w:rsidR="005503BA">
              <w:rPr>
                <w:noProof/>
                <w:webHidden/>
              </w:rPr>
              <w:fldChar w:fldCharType="end"/>
            </w:r>
          </w:hyperlink>
        </w:p>
        <w:p w14:paraId="5CFFB269" w14:textId="25540825"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30" w:history="1">
            <w:r w:rsidR="005503BA" w:rsidRPr="0062492F">
              <w:rPr>
                <w:rStyle w:val="Hyperlink"/>
                <w:rFonts w:asciiTheme="minorBidi" w:hAnsiTheme="minorBidi"/>
                <w:noProof/>
                <w:lang w:val="en-GB"/>
              </w:rPr>
              <w:t>1.5.</w:t>
            </w:r>
            <w:r w:rsidR="005503BA">
              <w:rPr>
                <w:rFonts w:eastAsiaTheme="minorEastAsia" w:cstheme="minorBidi"/>
                <w:b w:val="0"/>
                <w:bCs w:val="0"/>
                <w:noProof/>
                <w:kern w:val="2"/>
                <w14:ligatures w14:val="standardContextual"/>
              </w:rPr>
              <w:tab/>
            </w:r>
            <w:r w:rsidR="005503BA" w:rsidRPr="0062492F">
              <w:rPr>
                <w:rStyle w:val="Hyperlink"/>
                <w:rFonts w:cs="Arial"/>
                <w:noProof/>
                <w:lang w:val="en-GB"/>
              </w:rPr>
              <w:t>R</w:t>
            </w:r>
            <w:r w:rsidR="005503BA" w:rsidRPr="0062492F">
              <w:rPr>
                <w:rStyle w:val="Hyperlink"/>
                <w:rFonts w:cs="Arial"/>
                <w:noProof/>
                <w:lang w:val="en"/>
              </w:rPr>
              <w:t xml:space="preserve">ole of pharmacists in PHCs </w:t>
            </w:r>
            <w:r w:rsidR="005503BA" w:rsidRPr="0062492F">
              <w:rPr>
                <w:rStyle w:val="Hyperlink"/>
                <w:rFonts w:cs="Arial"/>
                <w:noProof/>
                <w:lang w:val="en-GB"/>
              </w:rPr>
              <w:t>in Saudi Arabia</w:t>
            </w:r>
            <w:r w:rsidR="005503BA">
              <w:rPr>
                <w:noProof/>
                <w:webHidden/>
              </w:rPr>
              <w:tab/>
            </w:r>
            <w:r w:rsidR="005503BA">
              <w:rPr>
                <w:noProof/>
                <w:webHidden/>
              </w:rPr>
              <w:fldChar w:fldCharType="begin"/>
            </w:r>
            <w:r w:rsidR="005503BA">
              <w:rPr>
                <w:noProof/>
                <w:webHidden/>
              </w:rPr>
              <w:instrText xml:space="preserve"> PAGEREF _Toc153894130 \h </w:instrText>
            </w:r>
            <w:r w:rsidR="005503BA">
              <w:rPr>
                <w:noProof/>
                <w:webHidden/>
              </w:rPr>
            </w:r>
            <w:r w:rsidR="005503BA">
              <w:rPr>
                <w:noProof/>
                <w:webHidden/>
              </w:rPr>
              <w:fldChar w:fldCharType="separate"/>
            </w:r>
            <w:r w:rsidR="005503BA">
              <w:rPr>
                <w:noProof/>
                <w:webHidden/>
              </w:rPr>
              <w:t>22</w:t>
            </w:r>
            <w:r w:rsidR="005503BA">
              <w:rPr>
                <w:noProof/>
                <w:webHidden/>
              </w:rPr>
              <w:fldChar w:fldCharType="end"/>
            </w:r>
          </w:hyperlink>
        </w:p>
        <w:p w14:paraId="586C3AE3" w14:textId="78ABA971"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31" w:history="1">
            <w:r w:rsidR="005503BA" w:rsidRPr="0062492F">
              <w:rPr>
                <w:rStyle w:val="Hyperlink"/>
                <w:noProof/>
                <w:lang w:val="en-GB"/>
              </w:rPr>
              <w:t>1.5.1.</w:t>
            </w:r>
            <w:r w:rsidR="005503BA">
              <w:rPr>
                <w:rFonts w:eastAsiaTheme="minorEastAsia" w:cstheme="minorBidi"/>
                <w:noProof/>
                <w:kern w:val="2"/>
                <w:sz w:val="22"/>
                <w:szCs w:val="22"/>
                <w14:ligatures w14:val="standardContextual"/>
              </w:rPr>
              <w:tab/>
            </w:r>
            <w:r w:rsidR="005503BA" w:rsidRPr="0062492F">
              <w:rPr>
                <w:rStyle w:val="Hyperlink"/>
                <w:noProof/>
                <w:lang w:val="en-GB"/>
              </w:rPr>
              <w:t>Pharmacy workforce</w:t>
            </w:r>
            <w:r w:rsidR="005503BA">
              <w:rPr>
                <w:noProof/>
                <w:webHidden/>
              </w:rPr>
              <w:tab/>
            </w:r>
            <w:r w:rsidR="005503BA">
              <w:rPr>
                <w:noProof/>
                <w:webHidden/>
              </w:rPr>
              <w:fldChar w:fldCharType="begin"/>
            </w:r>
            <w:r w:rsidR="005503BA">
              <w:rPr>
                <w:noProof/>
                <w:webHidden/>
              </w:rPr>
              <w:instrText xml:space="preserve"> PAGEREF _Toc153894131 \h </w:instrText>
            </w:r>
            <w:r w:rsidR="005503BA">
              <w:rPr>
                <w:noProof/>
                <w:webHidden/>
              </w:rPr>
            </w:r>
            <w:r w:rsidR="005503BA">
              <w:rPr>
                <w:noProof/>
                <w:webHidden/>
              </w:rPr>
              <w:fldChar w:fldCharType="separate"/>
            </w:r>
            <w:r w:rsidR="005503BA">
              <w:rPr>
                <w:noProof/>
                <w:webHidden/>
              </w:rPr>
              <w:t>23</w:t>
            </w:r>
            <w:r w:rsidR="005503BA">
              <w:rPr>
                <w:noProof/>
                <w:webHidden/>
              </w:rPr>
              <w:fldChar w:fldCharType="end"/>
            </w:r>
          </w:hyperlink>
        </w:p>
        <w:p w14:paraId="4B1C0103" w14:textId="5EF26708"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32" w:history="1">
            <w:r w:rsidR="005503BA" w:rsidRPr="0062492F">
              <w:rPr>
                <w:rStyle w:val="Hyperlink"/>
                <w:noProof/>
                <w:lang w:val="en-GB"/>
              </w:rPr>
              <w:t>1.5.2.</w:t>
            </w:r>
            <w:r w:rsidR="005503BA">
              <w:rPr>
                <w:rFonts w:eastAsiaTheme="minorEastAsia" w:cstheme="minorBidi"/>
                <w:noProof/>
                <w:kern w:val="2"/>
                <w:sz w:val="22"/>
                <w:szCs w:val="22"/>
                <w14:ligatures w14:val="standardContextual"/>
              </w:rPr>
              <w:tab/>
            </w:r>
            <w:r w:rsidR="005503BA" w:rsidRPr="0062492F">
              <w:rPr>
                <w:rStyle w:val="Hyperlink"/>
                <w:noProof/>
                <w:lang w:val="en-GB"/>
              </w:rPr>
              <w:t>Transformation of primary care pharmacy practice in PHCs</w:t>
            </w:r>
            <w:r w:rsidR="005503BA">
              <w:rPr>
                <w:noProof/>
                <w:webHidden/>
              </w:rPr>
              <w:tab/>
            </w:r>
            <w:r w:rsidR="005503BA">
              <w:rPr>
                <w:noProof/>
                <w:webHidden/>
              </w:rPr>
              <w:fldChar w:fldCharType="begin"/>
            </w:r>
            <w:r w:rsidR="005503BA">
              <w:rPr>
                <w:noProof/>
                <w:webHidden/>
              </w:rPr>
              <w:instrText xml:space="preserve"> PAGEREF _Toc153894132 \h </w:instrText>
            </w:r>
            <w:r w:rsidR="005503BA">
              <w:rPr>
                <w:noProof/>
                <w:webHidden/>
              </w:rPr>
            </w:r>
            <w:r w:rsidR="005503BA">
              <w:rPr>
                <w:noProof/>
                <w:webHidden/>
              </w:rPr>
              <w:fldChar w:fldCharType="separate"/>
            </w:r>
            <w:r w:rsidR="005503BA">
              <w:rPr>
                <w:noProof/>
                <w:webHidden/>
              </w:rPr>
              <w:t>25</w:t>
            </w:r>
            <w:r w:rsidR="005503BA">
              <w:rPr>
                <w:noProof/>
                <w:webHidden/>
              </w:rPr>
              <w:fldChar w:fldCharType="end"/>
            </w:r>
          </w:hyperlink>
        </w:p>
        <w:p w14:paraId="0C5FB52C" w14:textId="0BFB2078"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33" w:history="1">
            <w:r w:rsidR="005503BA" w:rsidRPr="0062492F">
              <w:rPr>
                <w:rStyle w:val="Hyperlink"/>
                <w:rFonts w:asciiTheme="minorBidi" w:hAnsiTheme="minorBidi"/>
                <w:noProof/>
                <w:lang w:val="en"/>
              </w:rPr>
              <w:t>1.6.</w:t>
            </w:r>
            <w:r w:rsidR="005503BA">
              <w:rPr>
                <w:rFonts w:eastAsiaTheme="minorEastAsia" w:cstheme="minorBidi"/>
                <w:b w:val="0"/>
                <w:bCs w:val="0"/>
                <w:noProof/>
                <w:kern w:val="2"/>
                <w14:ligatures w14:val="standardContextual"/>
              </w:rPr>
              <w:tab/>
            </w:r>
            <w:r w:rsidR="005503BA" w:rsidRPr="0062492F">
              <w:rPr>
                <w:rStyle w:val="Hyperlink"/>
                <w:noProof/>
                <w:lang w:val="en-GB"/>
              </w:rPr>
              <w:t>Impact of integrating pharmacists into primary care teams</w:t>
            </w:r>
            <w:r w:rsidR="005503BA">
              <w:rPr>
                <w:noProof/>
                <w:webHidden/>
              </w:rPr>
              <w:tab/>
            </w:r>
            <w:r w:rsidR="005503BA">
              <w:rPr>
                <w:noProof/>
                <w:webHidden/>
              </w:rPr>
              <w:fldChar w:fldCharType="begin"/>
            </w:r>
            <w:r w:rsidR="005503BA">
              <w:rPr>
                <w:noProof/>
                <w:webHidden/>
              </w:rPr>
              <w:instrText xml:space="preserve"> PAGEREF _Toc153894133 \h </w:instrText>
            </w:r>
            <w:r w:rsidR="005503BA">
              <w:rPr>
                <w:noProof/>
                <w:webHidden/>
              </w:rPr>
            </w:r>
            <w:r w:rsidR="005503BA">
              <w:rPr>
                <w:noProof/>
                <w:webHidden/>
              </w:rPr>
              <w:fldChar w:fldCharType="separate"/>
            </w:r>
            <w:r w:rsidR="005503BA">
              <w:rPr>
                <w:noProof/>
                <w:webHidden/>
              </w:rPr>
              <w:t>26</w:t>
            </w:r>
            <w:r w:rsidR="005503BA">
              <w:rPr>
                <w:noProof/>
                <w:webHidden/>
              </w:rPr>
              <w:fldChar w:fldCharType="end"/>
            </w:r>
          </w:hyperlink>
        </w:p>
        <w:p w14:paraId="4EB60DBC" w14:textId="6FE28915"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34" w:history="1">
            <w:r w:rsidR="005503BA" w:rsidRPr="0062492F">
              <w:rPr>
                <w:rStyle w:val="Hyperlink"/>
                <w:rFonts w:asciiTheme="minorBidi" w:hAnsiTheme="minorBidi"/>
                <w:noProof/>
                <w:lang w:val="en-GB"/>
              </w:rPr>
              <w:t>1.7.</w:t>
            </w:r>
            <w:r w:rsidR="005503BA">
              <w:rPr>
                <w:rFonts w:eastAsiaTheme="minorEastAsia" w:cstheme="minorBidi"/>
                <w:b w:val="0"/>
                <w:bCs w:val="0"/>
                <w:noProof/>
                <w:kern w:val="2"/>
                <w14:ligatures w14:val="standardContextual"/>
              </w:rPr>
              <w:tab/>
            </w:r>
            <w:r w:rsidR="005503BA" w:rsidRPr="0062492F">
              <w:rPr>
                <w:rStyle w:val="Hyperlink"/>
                <w:rFonts w:cs="Arial"/>
                <w:noProof/>
              </w:rPr>
              <w:t>Diabetes Mellitus</w:t>
            </w:r>
            <w:r w:rsidR="005503BA" w:rsidRPr="0062492F">
              <w:rPr>
                <w:rStyle w:val="Hyperlink"/>
                <w:rFonts w:cs="Arial"/>
                <w:noProof/>
                <w:lang w:val="en-GB"/>
              </w:rPr>
              <w:t xml:space="preserve"> in Saudi Arabia</w:t>
            </w:r>
            <w:r w:rsidR="005503BA">
              <w:rPr>
                <w:noProof/>
                <w:webHidden/>
              </w:rPr>
              <w:tab/>
            </w:r>
            <w:r w:rsidR="005503BA">
              <w:rPr>
                <w:noProof/>
                <w:webHidden/>
              </w:rPr>
              <w:fldChar w:fldCharType="begin"/>
            </w:r>
            <w:r w:rsidR="005503BA">
              <w:rPr>
                <w:noProof/>
                <w:webHidden/>
              </w:rPr>
              <w:instrText xml:space="preserve"> PAGEREF _Toc153894134 \h </w:instrText>
            </w:r>
            <w:r w:rsidR="005503BA">
              <w:rPr>
                <w:noProof/>
                <w:webHidden/>
              </w:rPr>
            </w:r>
            <w:r w:rsidR="005503BA">
              <w:rPr>
                <w:noProof/>
                <w:webHidden/>
              </w:rPr>
              <w:fldChar w:fldCharType="separate"/>
            </w:r>
            <w:r w:rsidR="005503BA">
              <w:rPr>
                <w:noProof/>
                <w:webHidden/>
              </w:rPr>
              <w:t>29</w:t>
            </w:r>
            <w:r w:rsidR="005503BA">
              <w:rPr>
                <w:noProof/>
                <w:webHidden/>
              </w:rPr>
              <w:fldChar w:fldCharType="end"/>
            </w:r>
          </w:hyperlink>
        </w:p>
        <w:p w14:paraId="3939BA57" w14:textId="21140355"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35" w:history="1">
            <w:r w:rsidR="005503BA" w:rsidRPr="0062492F">
              <w:rPr>
                <w:rStyle w:val="Hyperlink"/>
                <w:rFonts w:cs="Arial"/>
                <w:noProof/>
                <w:lang w:val="en-GB"/>
              </w:rPr>
              <w:t>1.7.1.</w:t>
            </w:r>
            <w:r w:rsidR="005503BA">
              <w:rPr>
                <w:rFonts w:eastAsiaTheme="minorEastAsia" w:cstheme="minorBidi"/>
                <w:noProof/>
                <w:kern w:val="2"/>
                <w:sz w:val="22"/>
                <w:szCs w:val="22"/>
                <w14:ligatures w14:val="standardContextual"/>
              </w:rPr>
              <w:tab/>
            </w:r>
            <w:r w:rsidR="005503BA" w:rsidRPr="0062492F">
              <w:rPr>
                <w:rStyle w:val="Hyperlink"/>
                <w:rFonts w:cs="Arial"/>
                <w:noProof/>
                <w:lang w:val="en-GB"/>
              </w:rPr>
              <w:t>Background</w:t>
            </w:r>
            <w:r w:rsidR="005503BA">
              <w:rPr>
                <w:noProof/>
                <w:webHidden/>
              </w:rPr>
              <w:tab/>
            </w:r>
            <w:r w:rsidR="005503BA">
              <w:rPr>
                <w:noProof/>
                <w:webHidden/>
              </w:rPr>
              <w:fldChar w:fldCharType="begin"/>
            </w:r>
            <w:r w:rsidR="005503BA">
              <w:rPr>
                <w:noProof/>
                <w:webHidden/>
              </w:rPr>
              <w:instrText xml:space="preserve"> PAGEREF _Toc153894135 \h </w:instrText>
            </w:r>
            <w:r w:rsidR="005503BA">
              <w:rPr>
                <w:noProof/>
                <w:webHidden/>
              </w:rPr>
            </w:r>
            <w:r w:rsidR="005503BA">
              <w:rPr>
                <w:noProof/>
                <w:webHidden/>
              </w:rPr>
              <w:fldChar w:fldCharType="separate"/>
            </w:r>
            <w:r w:rsidR="005503BA">
              <w:rPr>
                <w:noProof/>
                <w:webHidden/>
              </w:rPr>
              <w:t>29</w:t>
            </w:r>
            <w:r w:rsidR="005503BA">
              <w:rPr>
                <w:noProof/>
                <w:webHidden/>
              </w:rPr>
              <w:fldChar w:fldCharType="end"/>
            </w:r>
          </w:hyperlink>
        </w:p>
        <w:p w14:paraId="76AE7BA9" w14:textId="0EE3EB05"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36" w:history="1">
            <w:r w:rsidR="005503BA" w:rsidRPr="0062492F">
              <w:rPr>
                <w:rStyle w:val="Hyperlink"/>
                <w:rFonts w:cs="Arial"/>
                <w:noProof/>
                <w:lang w:val="en-GB"/>
              </w:rPr>
              <w:t>1.7.2.</w:t>
            </w:r>
            <w:r w:rsidR="005503BA">
              <w:rPr>
                <w:rFonts w:eastAsiaTheme="minorEastAsia" w:cstheme="minorBidi"/>
                <w:noProof/>
                <w:kern w:val="2"/>
                <w:sz w:val="22"/>
                <w:szCs w:val="22"/>
                <w14:ligatures w14:val="standardContextual"/>
              </w:rPr>
              <w:tab/>
            </w:r>
            <w:r w:rsidR="005503BA" w:rsidRPr="0062492F">
              <w:rPr>
                <w:rStyle w:val="Hyperlink"/>
                <w:rFonts w:cs="Arial"/>
                <w:noProof/>
                <w:lang w:val="en-GB"/>
              </w:rPr>
              <w:t>Role of healthcare staff in diabetes management in primary care in Saudi Arabia</w:t>
            </w:r>
            <w:r w:rsidR="005503BA">
              <w:rPr>
                <w:noProof/>
                <w:webHidden/>
              </w:rPr>
              <w:tab/>
            </w:r>
            <w:r w:rsidR="005503BA">
              <w:rPr>
                <w:noProof/>
                <w:webHidden/>
              </w:rPr>
              <w:fldChar w:fldCharType="begin"/>
            </w:r>
            <w:r w:rsidR="005503BA">
              <w:rPr>
                <w:noProof/>
                <w:webHidden/>
              </w:rPr>
              <w:instrText xml:space="preserve"> PAGEREF _Toc153894136 \h </w:instrText>
            </w:r>
            <w:r w:rsidR="005503BA">
              <w:rPr>
                <w:noProof/>
                <w:webHidden/>
              </w:rPr>
            </w:r>
            <w:r w:rsidR="005503BA">
              <w:rPr>
                <w:noProof/>
                <w:webHidden/>
              </w:rPr>
              <w:fldChar w:fldCharType="separate"/>
            </w:r>
            <w:r w:rsidR="005503BA">
              <w:rPr>
                <w:noProof/>
                <w:webHidden/>
              </w:rPr>
              <w:t>32</w:t>
            </w:r>
            <w:r w:rsidR="005503BA">
              <w:rPr>
                <w:noProof/>
                <w:webHidden/>
              </w:rPr>
              <w:fldChar w:fldCharType="end"/>
            </w:r>
          </w:hyperlink>
        </w:p>
        <w:p w14:paraId="1ECAFD5B" w14:textId="3F96AF27"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37" w:history="1">
            <w:r w:rsidR="005503BA" w:rsidRPr="0062492F">
              <w:rPr>
                <w:rStyle w:val="Hyperlink"/>
                <w:rFonts w:asciiTheme="minorBidi" w:hAnsiTheme="minorBidi"/>
                <w:noProof/>
              </w:rPr>
              <w:t>1.8.</w:t>
            </w:r>
            <w:r w:rsidR="005503BA">
              <w:rPr>
                <w:rFonts w:eastAsiaTheme="minorEastAsia" w:cstheme="minorBidi"/>
                <w:b w:val="0"/>
                <w:bCs w:val="0"/>
                <w:noProof/>
                <w:kern w:val="2"/>
                <w14:ligatures w14:val="standardContextual"/>
              </w:rPr>
              <w:tab/>
            </w:r>
            <w:r w:rsidR="005503BA" w:rsidRPr="0062492F">
              <w:rPr>
                <w:rStyle w:val="Hyperlink"/>
                <w:rFonts w:cs="Arial"/>
                <w:noProof/>
                <w:lang w:val="en"/>
              </w:rPr>
              <w:t>Summary</w:t>
            </w:r>
            <w:r w:rsidR="005503BA">
              <w:rPr>
                <w:noProof/>
                <w:webHidden/>
              </w:rPr>
              <w:tab/>
            </w:r>
            <w:r w:rsidR="005503BA">
              <w:rPr>
                <w:noProof/>
                <w:webHidden/>
              </w:rPr>
              <w:fldChar w:fldCharType="begin"/>
            </w:r>
            <w:r w:rsidR="005503BA">
              <w:rPr>
                <w:noProof/>
                <w:webHidden/>
              </w:rPr>
              <w:instrText xml:space="preserve"> PAGEREF _Toc153894137 \h </w:instrText>
            </w:r>
            <w:r w:rsidR="005503BA">
              <w:rPr>
                <w:noProof/>
                <w:webHidden/>
              </w:rPr>
            </w:r>
            <w:r w:rsidR="005503BA">
              <w:rPr>
                <w:noProof/>
                <w:webHidden/>
              </w:rPr>
              <w:fldChar w:fldCharType="separate"/>
            </w:r>
            <w:r w:rsidR="005503BA">
              <w:rPr>
                <w:noProof/>
                <w:webHidden/>
              </w:rPr>
              <w:t>33</w:t>
            </w:r>
            <w:r w:rsidR="005503BA">
              <w:rPr>
                <w:noProof/>
                <w:webHidden/>
              </w:rPr>
              <w:fldChar w:fldCharType="end"/>
            </w:r>
          </w:hyperlink>
        </w:p>
        <w:p w14:paraId="6C664261" w14:textId="40D5585A" w:rsidR="005503BA" w:rsidRDefault="00000000" w:rsidP="00E92158">
          <w:pPr>
            <w:pStyle w:val="TOC1"/>
            <w:rPr>
              <w:rFonts w:eastAsiaTheme="minorEastAsia" w:cstheme="minorBidi"/>
              <w:noProof/>
              <w:kern w:val="2"/>
              <w:sz w:val="22"/>
              <w:szCs w:val="22"/>
              <w14:ligatures w14:val="standardContextual"/>
            </w:rPr>
          </w:pPr>
          <w:hyperlink w:anchor="_Toc153894138" w:history="1">
            <w:r w:rsidR="005503BA" w:rsidRPr="0062492F">
              <w:rPr>
                <w:rStyle w:val="Hyperlink"/>
                <w:noProof/>
                <w:lang w:val="en-GB"/>
              </w:rPr>
              <w:t>2.</w:t>
            </w:r>
            <w:r w:rsidR="005503BA">
              <w:rPr>
                <w:rFonts w:eastAsiaTheme="minorEastAsia" w:cstheme="minorBidi"/>
                <w:noProof/>
                <w:kern w:val="2"/>
                <w:sz w:val="22"/>
                <w:szCs w:val="22"/>
                <w14:ligatures w14:val="standardContextual"/>
              </w:rPr>
              <w:tab/>
            </w:r>
            <w:r w:rsidR="005503BA" w:rsidRPr="0062492F">
              <w:rPr>
                <w:rStyle w:val="Hyperlink"/>
                <w:noProof/>
                <w:lang w:val="en-GB"/>
              </w:rPr>
              <w:t>Chapter Two: Narrative Review of the Literature on Involvement of   Pharmacists in Diabetes Care</w:t>
            </w:r>
            <w:r w:rsidR="005503BA">
              <w:rPr>
                <w:noProof/>
                <w:webHidden/>
              </w:rPr>
              <w:tab/>
            </w:r>
            <w:r w:rsidR="005503BA">
              <w:rPr>
                <w:noProof/>
                <w:webHidden/>
              </w:rPr>
              <w:fldChar w:fldCharType="begin"/>
            </w:r>
            <w:r w:rsidR="005503BA">
              <w:rPr>
                <w:noProof/>
                <w:webHidden/>
              </w:rPr>
              <w:instrText xml:space="preserve"> PAGEREF _Toc153894138 \h </w:instrText>
            </w:r>
            <w:r w:rsidR="005503BA">
              <w:rPr>
                <w:noProof/>
                <w:webHidden/>
              </w:rPr>
            </w:r>
            <w:r w:rsidR="005503BA">
              <w:rPr>
                <w:noProof/>
                <w:webHidden/>
              </w:rPr>
              <w:fldChar w:fldCharType="separate"/>
            </w:r>
            <w:r w:rsidR="005503BA">
              <w:rPr>
                <w:noProof/>
                <w:webHidden/>
              </w:rPr>
              <w:t>34</w:t>
            </w:r>
            <w:r w:rsidR="005503BA">
              <w:rPr>
                <w:noProof/>
                <w:webHidden/>
              </w:rPr>
              <w:fldChar w:fldCharType="end"/>
            </w:r>
          </w:hyperlink>
        </w:p>
        <w:p w14:paraId="2A0D7787" w14:textId="78EC56CF"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39" w:history="1">
            <w:r w:rsidR="005503BA" w:rsidRPr="0062492F">
              <w:rPr>
                <w:rStyle w:val="Hyperlink"/>
                <w:rFonts w:asciiTheme="minorBidi" w:hAnsiTheme="minorBidi"/>
                <w:noProof/>
                <w:lang w:val="en-GB"/>
              </w:rPr>
              <w:t>2.1.</w:t>
            </w:r>
            <w:r w:rsidR="005503BA">
              <w:rPr>
                <w:rFonts w:eastAsiaTheme="minorEastAsia" w:cstheme="minorBidi"/>
                <w:b w:val="0"/>
                <w:bCs w:val="0"/>
                <w:noProof/>
                <w:kern w:val="2"/>
                <w14:ligatures w14:val="standardContextual"/>
              </w:rPr>
              <w:tab/>
            </w:r>
            <w:r w:rsidR="005503BA" w:rsidRPr="0062492F">
              <w:rPr>
                <w:rStyle w:val="Hyperlink"/>
                <w:noProof/>
              </w:rPr>
              <w:t>Introduction</w:t>
            </w:r>
            <w:r w:rsidR="005503BA">
              <w:rPr>
                <w:noProof/>
                <w:webHidden/>
              </w:rPr>
              <w:tab/>
            </w:r>
            <w:r w:rsidR="005503BA">
              <w:rPr>
                <w:noProof/>
                <w:webHidden/>
              </w:rPr>
              <w:fldChar w:fldCharType="begin"/>
            </w:r>
            <w:r w:rsidR="005503BA">
              <w:rPr>
                <w:noProof/>
                <w:webHidden/>
              </w:rPr>
              <w:instrText xml:space="preserve"> PAGEREF _Toc153894139 \h </w:instrText>
            </w:r>
            <w:r w:rsidR="005503BA">
              <w:rPr>
                <w:noProof/>
                <w:webHidden/>
              </w:rPr>
            </w:r>
            <w:r w:rsidR="005503BA">
              <w:rPr>
                <w:noProof/>
                <w:webHidden/>
              </w:rPr>
              <w:fldChar w:fldCharType="separate"/>
            </w:r>
            <w:r w:rsidR="005503BA">
              <w:rPr>
                <w:noProof/>
                <w:webHidden/>
              </w:rPr>
              <w:t>34</w:t>
            </w:r>
            <w:r w:rsidR="005503BA">
              <w:rPr>
                <w:noProof/>
                <w:webHidden/>
              </w:rPr>
              <w:fldChar w:fldCharType="end"/>
            </w:r>
          </w:hyperlink>
        </w:p>
        <w:p w14:paraId="61AF4C49" w14:textId="4F7C6154"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40" w:history="1">
            <w:r w:rsidR="005503BA" w:rsidRPr="0062492F">
              <w:rPr>
                <w:rStyle w:val="Hyperlink"/>
                <w:noProof/>
                <w:lang w:val="en-GB"/>
              </w:rPr>
              <w:t>2.1.1.</w:t>
            </w:r>
            <w:r w:rsidR="005503BA">
              <w:rPr>
                <w:rFonts w:eastAsiaTheme="minorEastAsia" w:cstheme="minorBidi"/>
                <w:noProof/>
                <w:kern w:val="2"/>
                <w:sz w:val="22"/>
                <w:szCs w:val="22"/>
                <w14:ligatures w14:val="standardContextual"/>
              </w:rPr>
              <w:tab/>
            </w:r>
            <w:r w:rsidR="005503BA" w:rsidRPr="0062492F">
              <w:rPr>
                <w:rStyle w:val="Hyperlink"/>
                <w:noProof/>
                <w:lang w:val="en-GB"/>
              </w:rPr>
              <w:t>Review questions</w:t>
            </w:r>
            <w:r w:rsidR="005503BA">
              <w:rPr>
                <w:noProof/>
                <w:webHidden/>
              </w:rPr>
              <w:tab/>
            </w:r>
            <w:r w:rsidR="005503BA">
              <w:rPr>
                <w:noProof/>
                <w:webHidden/>
              </w:rPr>
              <w:fldChar w:fldCharType="begin"/>
            </w:r>
            <w:r w:rsidR="005503BA">
              <w:rPr>
                <w:noProof/>
                <w:webHidden/>
              </w:rPr>
              <w:instrText xml:space="preserve"> PAGEREF _Toc153894140 \h </w:instrText>
            </w:r>
            <w:r w:rsidR="005503BA">
              <w:rPr>
                <w:noProof/>
                <w:webHidden/>
              </w:rPr>
            </w:r>
            <w:r w:rsidR="005503BA">
              <w:rPr>
                <w:noProof/>
                <w:webHidden/>
              </w:rPr>
              <w:fldChar w:fldCharType="separate"/>
            </w:r>
            <w:r w:rsidR="005503BA">
              <w:rPr>
                <w:noProof/>
                <w:webHidden/>
              </w:rPr>
              <w:t>34</w:t>
            </w:r>
            <w:r w:rsidR="005503BA">
              <w:rPr>
                <w:noProof/>
                <w:webHidden/>
              </w:rPr>
              <w:fldChar w:fldCharType="end"/>
            </w:r>
          </w:hyperlink>
        </w:p>
        <w:p w14:paraId="1D0E68FC" w14:textId="64F58009"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41" w:history="1">
            <w:r w:rsidR="005503BA" w:rsidRPr="0062492F">
              <w:rPr>
                <w:rStyle w:val="Hyperlink"/>
                <w:rFonts w:asciiTheme="minorBidi" w:hAnsiTheme="minorBidi"/>
                <w:noProof/>
                <w:lang w:val="en-GB"/>
              </w:rPr>
              <w:t>2.2.</w:t>
            </w:r>
            <w:r w:rsidR="005503BA">
              <w:rPr>
                <w:rFonts w:eastAsiaTheme="minorEastAsia" w:cstheme="minorBidi"/>
                <w:b w:val="0"/>
                <w:bCs w:val="0"/>
                <w:noProof/>
                <w:kern w:val="2"/>
                <w14:ligatures w14:val="standardContextual"/>
              </w:rPr>
              <w:tab/>
            </w:r>
            <w:r w:rsidR="005503BA" w:rsidRPr="0062492F">
              <w:rPr>
                <w:rStyle w:val="Hyperlink"/>
                <w:noProof/>
                <w:lang w:val="en-GB"/>
              </w:rPr>
              <w:t>Review methods</w:t>
            </w:r>
            <w:r w:rsidR="005503BA">
              <w:rPr>
                <w:noProof/>
                <w:webHidden/>
              </w:rPr>
              <w:tab/>
            </w:r>
            <w:r w:rsidR="005503BA">
              <w:rPr>
                <w:noProof/>
                <w:webHidden/>
              </w:rPr>
              <w:fldChar w:fldCharType="begin"/>
            </w:r>
            <w:r w:rsidR="005503BA">
              <w:rPr>
                <w:noProof/>
                <w:webHidden/>
              </w:rPr>
              <w:instrText xml:space="preserve"> PAGEREF _Toc153894141 \h </w:instrText>
            </w:r>
            <w:r w:rsidR="005503BA">
              <w:rPr>
                <w:noProof/>
                <w:webHidden/>
              </w:rPr>
            </w:r>
            <w:r w:rsidR="005503BA">
              <w:rPr>
                <w:noProof/>
                <w:webHidden/>
              </w:rPr>
              <w:fldChar w:fldCharType="separate"/>
            </w:r>
            <w:r w:rsidR="005503BA">
              <w:rPr>
                <w:noProof/>
                <w:webHidden/>
              </w:rPr>
              <w:t>35</w:t>
            </w:r>
            <w:r w:rsidR="005503BA">
              <w:rPr>
                <w:noProof/>
                <w:webHidden/>
              </w:rPr>
              <w:fldChar w:fldCharType="end"/>
            </w:r>
          </w:hyperlink>
        </w:p>
        <w:p w14:paraId="4CDE4491" w14:textId="7A6CF247"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42" w:history="1">
            <w:r w:rsidR="005503BA" w:rsidRPr="0062492F">
              <w:rPr>
                <w:rStyle w:val="Hyperlink"/>
                <w:noProof/>
                <w:lang w:val="en-GB"/>
              </w:rPr>
              <w:t>2.2.1.</w:t>
            </w:r>
            <w:r w:rsidR="005503BA">
              <w:rPr>
                <w:rFonts w:eastAsiaTheme="minorEastAsia" w:cstheme="minorBidi"/>
                <w:noProof/>
                <w:kern w:val="2"/>
                <w:sz w:val="22"/>
                <w:szCs w:val="22"/>
                <w14:ligatures w14:val="standardContextual"/>
              </w:rPr>
              <w:tab/>
            </w:r>
            <w:r w:rsidR="005503BA" w:rsidRPr="0062492F">
              <w:rPr>
                <w:rStyle w:val="Hyperlink"/>
                <w:noProof/>
                <w:lang w:val="en-GB"/>
              </w:rPr>
              <w:t>Inclusion and exclusion criteria</w:t>
            </w:r>
            <w:r w:rsidR="005503BA">
              <w:rPr>
                <w:noProof/>
                <w:webHidden/>
              </w:rPr>
              <w:tab/>
            </w:r>
            <w:r w:rsidR="005503BA">
              <w:rPr>
                <w:noProof/>
                <w:webHidden/>
              </w:rPr>
              <w:fldChar w:fldCharType="begin"/>
            </w:r>
            <w:r w:rsidR="005503BA">
              <w:rPr>
                <w:noProof/>
                <w:webHidden/>
              </w:rPr>
              <w:instrText xml:space="preserve"> PAGEREF _Toc153894142 \h </w:instrText>
            </w:r>
            <w:r w:rsidR="005503BA">
              <w:rPr>
                <w:noProof/>
                <w:webHidden/>
              </w:rPr>
            </w:r>
            <w:r w:rsidR="005503BA">
              <w:rPr>
                <w:noProof/>
                <w:webHidden/>
              </w:rPr>
              <w:fldChar w:fldCharType="separate"/>
            </w:r>
            <w:r w:rsidR="005503BA">
              <w:rPr>
                <w:noProof/>
                <w:webHidden/>
              </w:rPr>
              <w:t>35</w:t>
            </w:r>
            <w:r w:rsidR="005503BA">
              <w:rPr>
                <w:noProof/>
                <w:webHidden/>
              </w:rPr>
              <w:fldChar w:fldCharType="end"/>
            </w:r>
          </w:hyperlink>
        </w:p>
        <w:p w14:paraId="05F95149" w14:textId="706D8A06"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43" w:history="1">
            <w:r w:rsidR="005503BA" w:rsidRPr="0062492F">
              <w:rPr>
                <w:rStyle w:val="Hyperlink"/>
                <w:noProof/>
                <w:lang w:val="en-GB"/>
              </w:rPr>
              <w:t>2.2.2.</w:t>
            </w:r>
            <w:r w:rsidR="005503BA">
              <w:rPr>
                <w:rFonts w:eastAsiaTheme="minorEastAsia" w:cstheme="minorBidi"/>
                <w:noProof/>
                <w:kern w:val="2"/>
                <w:sz w:val="22"/>
                <w:szCs w:val="22"/>
                <w14:ligatures w14:val="standardContextual"/>
              </w:rPr>
              <w:tab/>
            </w:r>
            <w:r w:rsidR="005503BA" w:rsidRPr="0062492F">
              <w:rPr>
                <w:rStyle w:val="Hyperlink"/>
                <w:noProof/>
                <w:lang w:val="en-GB"/>
              </w:rPr>
              <w:t>Data sources</w:t>
            </w:r>
            <w:r w:rsidR="005503BA">
              <w:rPr>
                <w:noProof/>
                <w:webHidden/>
              </w:rPr>
              <w:tab/>
            </w:r>
            <w:r w:rsidR="005503BA">
              <w:rPr>
                <w:noProof/>
                <w:webHidden/>
              </w:rPr>
              <w:fldChar w:fldCharType="begin"/>
            </w:r>
            <w:r w:rsidR="005503BA">
              <w:rPr>
                <w:noProof/>
                <w:webHidden/>
              </w:rPr>
              <w:instrText xml:space="preserve"> PAGEREF _Toc153894143 \h </w:instrText>
            </w:r>
            <w:r w:rsidR="005503BA">
              <w:rPr>
                <w:noProof/>
                <w:webHidden/>
              </w:rPr>
            </w:r>
            <w:r w:rsidR="005503BA">
              <w:rPr>
                <w:noProof/>
                <w:webHidden/>
              </w:rPr>
              <w:fldChar w:fldCharType="separate"/>
            </w:r>
            <w:r w:rsidR="005503BA">
              <w:rPr>
                <w:noProof/>
                <w:webHidden/>
              </w:rPr>
              <w:t>37</w:t>
            </w:r>
            <w:r w:rsidR="005503BA">
              <w:rPr>
                <w:noProof/>
                <w:webHidden/>
              </w:rPr>
              <w:fldChar w:fldCharType="end"/>
            </w:r>
          </w:hyperlink>
        </w:p>
        <w:p w14:paraId="48B0127E" w14:textId="06D987F7"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44" w:history="1">
            <w:r w:rsidR="005503BA" w:rsidRPr="0062492F">
              <w:rPr>
                <w:rStyle w:val="Hyperlink"/>
                <w:noProof/>
                <w:lang w:val="en-GB"/>
              </w:rPr>
              <w:t>2.2.3.</w:t>
            </w:r>
            <w:r w:rsidR="005503BA">
              <w:rPr>
                <w:rFonts w:eastAsiaTheme="minorEastAsia" w:cstheme="minorBidi"/>
                <w:noProof/>
                <w:kern w:val="2"/>
                <w:sz w:val="22"/>
                <w:szCs w:val="22"/>
                <w14:ligatures w14:val="standardContextual"/>
              </w:rPr>
              <w:tab/>
            </w:r>
            <w:r w:rsidR="005503BA" w:rsidRPr="0062492F">
              <w:rPr>
                <w:rStyle w:val="Hyperlink"/>
                <w:noProof/>
                <w:lang w:val="en-GB"/>
              </w:rPr>
              <w:t>Literature search strategy</w:t>
            </w:r>
            <w:r w:rsidR="005503BA">
              <w:rPr>
                <w:noProof/>
                <w:webHidden/>
              </w:rPr>
              <w:tab/>
            </w:r>
            <w:r w:rsidR="005503BA">
              <w:rPr>
                <w:noProof/>
                <w:webHidden/>
              </w:rPr>
              <w:fldChar w:fldCharType="begin"/>
            </w:r>
            <w:r w:rsidR="005503BA">
              <w:rPr>
                <w:noProof/>
                <w:webHidden/>
              </w:rPr>
              <w:instrText xml:space="preserve"> PAGEREF _Toc153894144 \h </w:instrText>
            </w:r>
            <w:r w:rsidR="005503BA">
              <w:rPr>
                <w:noProof/>
                <w:webHidden/>
              </w:rPr>
            </w:r>
            <w:r w:rsidR="005503BA">
              <w:rPr>
                <w:noProof/>
                <w:webHidden/>
              </w:rPr>
              <w:fldChar w:fldCharType="separate"/>
            </w:r>
            <w:r w:rsidR="005503BA">
              <w:rPr>
                <w:noProof/>
                <w:webHidden/>
              </w:rPr>
              <w:t>37</w:t>
            </w:r>
            <w:r w:rsidR="005503BA">
              <w:rPr>
                <w:noProof/>
                <w:webHidden/>
              </w:rPr>
              <w:fldChar w:fldCharType="end"/>
            </w:r>
          </w:hyperlink>
        </w:p>
        <w:p w14:paraId="25C255B9" w14:textId="01CB81E0"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45" w:history="1">
            <w:r w:rsidR="005503BA" w:rsidRPr="0062492F">
              <w:rPr>
                <w:rStyle w:val="Hyperlink"/>
                <w:noProof/>
                <w:lang w:val="en-GB"/>
              </w:rPr>
              <w:t>2.2.4.</w:t>
            </w:r>
            <w:r w:rsidR="005503BA">
              <w:rPr>
                <w:rFonts w:eastAsiaTheme="minorEastAsia" w:cstheme="minorBidi"/>
                <w:noProof/>
                <w:kern w:val="2"/>
                <w:sz w:val="22"/>
                <w:szCs w:val="22"/>
                <w14:ligatures w14:val="standardContextual"/>
              </w:rPr>
              <w:tab/>
            </w:r>
            <w:r w:rsidR="005503BA" w:rsidRPr="0062492F">
              <w:rPr>
                <w:rStyle w:val="Hyperlink"/>
                <w:noProof/>
                <w:lang w:val="en-GB"/>
              </w:rPr>
              <w:t>Study selection</w:t>
            </w:r>
            <w:r w:rsidR="005503BA">
              <w:rPr>
                <w:noProof/>
                <w:webHidden/>
              </w:rPr>
              <w:tab/>
            </w:r>
            <w:r w:rsidR="005503BA">
              <w:rPr>
                <w:noProof/>
                <w:webHidden/>
              </w:rPr>
              <w:fldChar w:fldCharType="begin"/>
            </w:r>
            <w:r w:rsidR="005503BA">
              <w:rPr>
                <w:noProof/>
                <w:webHidden/>
              </w:rPr>
              <w:instrText xml:space="preserve"> PAGEREF _Toc153894145 \h </w:instrText>
            </w:r>
            <w:r w:rsidR="005503BA">
              <w:rPr>
                <w:noProof/>
                <w:webHidden/>
              </w:rPr>
            </w:r>
            <w:r w:rsidR="005503BA">
              <w:rPr>
                <w:noProof/>
                <w:webHidden/>
              </w:rPr>
              <w:fldChar w:fldCharType="separate"/>
            </w:r>
            <w:r w:rsidR="005503BA">
              <w:rPr>
                <w:noProof/>
                <w:webHidden/>
              </w:rPr>
              <w:t>40</w:t>
            </w:r>
            <w:r w:rsidR="005503BA">
              <w:rPr>
                <w:noProof/>
                <w:webHidden/>
              </w:rPr>
              <w:fldChar w:fldCharType="end"/>
            </w:r>
          </w:hyperlink>
        </w:p>
        <w:p w14:paraId="2B5F6DE7" w14:textId="2A2A36DE"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46" w:history="1">
            <w:r w:rsidR="005503BA" w:rsidRPr="0062492F">
              <w:rPr>
                <w:rStyle w:val="Hyperlink"/>
                <w:noProof/>
                <w:lang w:val="en-GB"/>
              </w:rPr>
              <w:t>2.2.5.</w:t>
            </w:r>
            <w:r w:rsidR="005503BA">
              <w:rPr>
                <w:rFonts w:eastAsiaTheme="minorEastAsia" w:cstheme="minorBidi"/>
                <w:noProof/>
                <w:kern w:val="2"/>
                <w:sz w:val="22"/>
                <w:szCs w:val="22"/>
                <w14:ligatures w14:val="standardContextual"/>
              </w:rPr>
              <w:tab/>
            </w:r>
            <w:r w:rsidR="005503BA" w:rsidRPr="0062492F">
              <w:rPr>
                <w:rStyle w:val="Hyperlink"/>
                <w:noProof/>
                <w:lang w:val="en-GB"/>
              </w:rPr>
              <w:t>Data extraction</w:t>
            </w:r>
            <w:r w:rsidR="005503BA">
              <w:rPr>
                <w:noProof/>
                <w:webHidden/>
              </w:rPr>
              <w:tab/>
            </w:r>
            <w:r w:rsidR="005503BA">
              <w:rPr>
                <w:noProof/>
                <w:webHidden/>
              </w:rPr>
              <w:fldChar w:fldCharType="begin"/>
            </w:r>
            <w:r w:rsidR="005503BA">
              <w:rPr>
                <w:noProof/>
                <w:webHidden/>
              </w:rPr>
              <w:instrText xml:space="preserve"> PAGEREF _Toc153894146 \h </w:instrText>
            </w:r>
            <w:r w:rsidR="005503BA">
              <w:rPr>
                <w:noProof/>
                <w:webHidden/>
              </w:rPr>
            </w:r>
            <w:r w:rsidR="005503BA">
              <w:rPr>
                <w:noProof/>
                <w:webHidden/>
              </w:rPr>
              <w:fldChar w:fldCharType="separate"/>
            </w:r>
            <w:r w:rsidR="005503BA">
              <w:rPr>
                <w:noProof/>
                <w:webHidden/>
              </w:rPr>
              <w:t>40</w:t>
            </w:r>
            <w:r w:rsidR="005503BA">
              <w:rPr>
                <w:noProof/>
                <w:webHidden/>
              </w:rPr>
              <w:fldChar w:fldCharType="end"/>
            </w:r>
          </w:hyperlink>
        </w:p>
        <w:p w14:paraId="07080CA4" w14:textId="2795B257"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47" w:history="1">
            <w:r w:rsidR="005503BA" w:rsidRPr="0062492F">
              <w:rPr>
                <w:rStyle w:val="Hyperlink"/>
                <w:noProof/>
                <w:lang w:val="en-GB"/>
              </w:rPr>
              <w:t>2.2.6.</w:t>
            </w:r>
            <w:r w:rsidR="005503BA">
              <w:rPr>
                <w:rFonts w:eastAsiaTheme="minorEastAsia" w:cstheme="minorBidi"/>
                <w:noProof/>
                <w:kern w:val="2"/>
                <w:sz w:val="22"/>
                <w:szCs w:val="22"/>
                <w14:ligatures w14:val="standardContextual"/>
              </w:rPr>
              <w:tab/>
            </w:r>
            <w:r w:rsidR="005503BA" w:rsidRPr="0062492F">
              <w:rPr>
                <w:rStyle w:val="Hyperlink"/>
                <w:noProof/>
                <w:lang w:val="en-GB"/>
              </w:rPr>
              <w:t>Assessment of study quality</w:t>
            </w:r>
            <w:r w:rsidR="005503BA">
              <w:rPr>
                <w:noProof/>
                <w:webHidden/>
              </w:rPr>
              <w:tab/>
            </w:r>
            <w:r w:rsidR="005503BA">
              <w:rPr>
                <w:noProof/>
                <w:webHidden/>
              </w:rPr>
              <w:fldChar w:fldCharType="begin"/>
            </w:r>
            <w:r w:rsidR="005503BA">
              <w:rPr>
                <w:noProof/>
                <w:webHidden/>
              </w:rPr>
              <w:instrText xml:space="preserve"> PAGEREF _Toc153894147 \h </w:instrText>
            </w:r>
            <w:r w:rsidR="005503BA">
              <w:rPr>
                <w:noProof/>
                <w:webHidden/>
              </w:rPr>
            </w:r>
            <w:r w:rsidR="005503BA">
              <w:rPr>
                <w:noProof/>
                <w:webHidden/>
              </w:rPr>
              <w:fldChar w:fldCharType="separate"/>
            </w:r>
            <w:r w:rsidR="005503BA">
              <w:rPr>
                <w:noProof/>
                <w:webHidden/>
              </w:rPr>
              <w:t>40</w:t>
            </w:r>
            <w:r w:rsidR="005503BA">
              <w:rPr>
                <w:noProof/>
                <w:webHidden/>
              </w:rPr>
              <w:fldChar w:fldCharType="end"/>
            </w:r>
          </w:hyperlink>
        </w:p>
        <w:p w14:paraId="5AD99B43" w14:textId="13F18FF6"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48" w:history="1">
            <w:r w:rsidR="005503BA" w:rsidRPr="0062492F">
              <w:rPr>
                <w:rStyle w:val="Hyperlink"/>
                <w:noProof/>
                <w:lang w:val="en-GB"/>
              </w:rPr>
              <w:t>2.2.7.</w:t>
            </w:r>
            <w:r w:rsidR="005503BA">
              <w:rPr>
                <w:rFonts w:eastAsiaTheme="minorEastAsia" w:cstheme="minorBidi"/>
                <w:noProof/>
                <w:kern w:val="2"/>
                <w:sz w:val="22"/>
                <w:szCs w:val="22"/>
                <w14:ligatures w14:val="standardContextual"/>
              </w:rPr>
              <w:tab/>
            </w:r>
            <w:r w:rsidR="005503BA" w:rsidRPr="0062492F">
              <w:rPr>
                <w:rStyle w:val="Hyperlink"/>
                <w:noProof/>
                <w:lang w:val="en-GB"/>
              </w:rPr>
              <w:t>Synthesis of extracted data</w:t>
            </w:r>
            <w:r w:rsidR="005503BA">
              <w:rPr>
                <w:noProof/>
                <w:webHidden/>
              </w:rPr>
              <w:tab/>
            </w:r>
            <w:r w:rsidR="005503BA">
              <w:rPr>
                <w:noProof/>
                <w:webHidden/>
              </w:rPr>
              <w:fldChar w:fldCharType="begin"/>
            </w:r>
            <w:r w:rsidR="005503BA">
              <w:rPr>
                <w:noProof/>
                <w:webHidden/>
              </w:rPr>
              <w:instrText xml:space="preserve"> PAGEREF _Toc153894148 \h </w:instrText>
            </w:r>
            <w:r w:rsidR="005503BA">
              <w:rPr>
                <w:noProof/>
                <w:webHidden/>
              </w:rPr>
            </w:r>
            <w:r w:rsidR="005503BA">
              <w:rPr>
                <w:noProof/>
                <w:webHidden/>
              </w:rPr>
              <w:fldChar w:fldCharType="separate"/>
            </w:r>
            <w:r w:rsidR="005503BA">
              <w:rPr>
                <w:noProof/>
                <w:webHidden/>
              </w:rPr>
              <w:t>40</w:t>
            </w:r>
            <w:r w:rsidR="005503BA">
              <w:rPr>
                <w:noProof/>
                <w:webHidden/>
              </w:rPr>
              <w:fldChar w:fldCharType="end"/>
            </w:r>
          </w:hyperlink>
        </w:p>
        <w:p w14:paraId="69262F35" w14:textId="7EEA4965"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49" w:history="1">
            <w:r w:rsidR="005503BA" w:rsidRPr="0062492F">
              <w:rPr>
                <w:rStyle w:val="Hyperlink"/>
                <w:rFonts w:asciiTheme="minorBidi" w:hAnsiTheme="minorBidi"/>
                <w:noProof/>
                <w:lang w:val="en-GB"/>
              </w:rPr>
              <w:t>2.3.</w:t>
            </w:r>
            <w:r w:rsidR="005503BA">
              <w:rPr>
                <w:rFonts w:eastAsiaTheme="minorEastAsia" w:cstheme="minorBidi"/>
                <w:b w:val="0"/>
                <w:bCs w:val="0"/>
                <w:noProof/>
                <w:kern w:val="2"/>
                <w14:ligatures w14:val="standardContextual"/>
              </w:rPr>
              <w:tab/>
            </w:r>
            <w:r w:rsidR="005503BA" w:rsidRPr="0062492F">
              <w:rPr>
                <w:rStyle w:val="Hyperlink"/>
                <w:noProof/>
                <w:lang w:val="en-GB"/>
              </w:rPr>
              <w:t>Results of narrative review</w:t>
            </w:r>
            <w:r w:rsidR="005503BA">
              <w:rPr>
                <w:noProof/>
                <w:webHidden/>
              </w:rPr>
              <w:tab/>
            </w:r>
            <w:r w:rsidR="005503BA">
              <w:rPr>
                <w:noProof/>
                <w:webHidden/>
              </w:rPr>
              <w:fldChar w:fldCharType="begin"/>
            </w:r>
            <w:r w:rsidR="005503BA">
              <w:rPr>
                <w:noProof/>
                <w:webHidden/>
              </w:rPr>
              <w:instrText xml:space="preserve"> PAGEREF _Toc153894149 \h </w:instrText>
            </w:r>
            <w:r w:rsidR="005503BA">
              <w:rPr>
                <w:noProof/>
                <w:webHidden/>
              </w:rPr>
            </w:r>
            <w:r w:rsidR="005503BA">
              <w:rPr>
                <w:noProof/>
                <w:webHidden/>
              </w:rPr>
              <w:fldChar w:fldCharType="separate"/>
            </w:r>
            <w:r w:rsidR="005503BA">
              <w:rPr>
                <w:noProof/>
                <w:webHidden/>
              </w:rPr>
              <w:t>41</w:t>
            </w:r>
            <w:r w:rsidR="005503BA">
              <w:rPr>
                <w:noProof/>
                <w:webHidden/>
              </w:rPr>
              <w:fldChar w:fldCharType="end"/>
            </w:r>
          </w:hyperlink>
        </w:p>
        <w:p w14:paraId="78EDE43C" w14:textId="03116332"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50" w:history="1">
            <w:r w:rsidR="005503BA" w:rsidRPr="0062492F">
              <w:rPr>
                <w:rStyle w:val="Hyperlink"/>
                <w:noProof/>
                <w:lang w:val="en-GB"/>
              </w:rPr>
              <w:t>2.3.1.</w:t>
            </w:r>
            <w:r w:rsidR="005503BA">
              <w:rPr>
                <w:rFonts w:eastAsiaTheme="minorEastAsia" w:cstheme="minorBidi"/>
                <w:noProof/>
                <w:kern w:val="2"/>
                <w:sz w:val="22"/>
                <w:szCs w:val="22"/>
                <w14:ligatures w14:val="standardContextual"/>
              </w:rPr>
              <w:tab/>
            </w:r>
            <w:r w:rsidR="005503BA" w:rsidRPr="0062492F">
              <w:rPr>
                <w:rStyle w:val="Hyperlink"/>
                <w:noProof/>
                <w:lang w:val="en-GB"/>
              </w:rPr>
              <w:t xml:space="preserve">Literature selections </w:t>
            </w:r>
            <w:r w:rsidR="005503BA">
              <w:rPr>
                <w:noProof/>
                <w:webHidden/>
              </w:rPr>
              <w:tab/>
            </w:r>
            <w:r w:rsidR="005503BA">
              <w:rPr>
                <w:noProof/>
                <w:webHidden/>
              </w:rPr>
              <w:fldChar w:fldCharType="begin"/>
            </w:r>
            <w:r w:rsidR="005503BA">
              <w:rPr>
                <w:noProof/>
                <w:webHidden/>
              </w:rPr>
              <w:instrText xml:space="preserve"> PAGEREF _Toc153894150 \h </w:instrText>
            </w:r>
            <w:r w:rsidR="005503BA">
              <w:rPr>
                <w:noProof/>
                <w:webHidden/>
              </w:rPr>
            </w:r>
            <w:r w:rsidR="005503BA">
              <w:rPr>
                <w:noProof/>
                <w:webHidden/>
              </w:rPr>
              <w:fldChar w:fldCharType="separate"/>
            </w:r>
            <w:r w:rsidR="005503BA">
              <w:rPr>
                <w:noProof/>
                <w:webHidden/>
              </w:rPr>
              <w:t>41</w:t>
            </w:r>
            <w:r w:rsidR="005503BA">
              <w:rPr>
                <w:noProof/>
                <w:webHidden/>
              </w:rPr>
              <w:fldChar w:fldCharType="end"/>
            </w:r>
          </w:hyperlink>
        </w:p>
        <w:p w14:paraId="5959C5C9" w14:textId="2218083F"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51" w:history="1">
            <w:r w:rsidR="005503BA" w:rsidRPr="0062492F">
              <w:rPr>
                <w:rStyle w:val="Hyperlink"/>
                <w:noProof/>
                <w:lang w:val="en-GB"/>
              </w:rPr>
              <w:t>2.3.2.</w:t>
            </w:r>
            <w:r w:rsidR="005503BA">
              <w:rPr>
                <w:rFonts w:eastAsiaTheme="minorEastAsia" w:cstheme="minorBidi"/>
                <w:noProof/>
                <w:kern w:val="2"/>
                <w:sz w:val="22"/>
                <w:szCs w:val="22"/>
                <w14:ligatures w14:val="standardContextual"/>
              </w:rPr>
              <w:tab/>
            </w:r>
            <w:r w:rsidR="005503BA" w:rsidRPr="0062492F">
              <w:rPr>
                <w:rStyle w:val="Hyperlink"/>
                <w:noProof/>
                <w:lang w:val="en-GB"/>
              </w:rPr>
              <w:t>Summary of identified studies</w:t>
            </w:r>
            <w:r w:rsidR="005503BA">
              <w:rPr>
                <w:noProof/>
                <w:webHidden/>
              </w:rPr>
              <w:tab/>
            </w:r>
            <w:r w:rsidR="005503BA">
              <w:rPr>
                <w:noProof/>
                <w:webHidden/>
              </w:rPr>
              <w:fldChar w:fldCharType="begin"/>
            </w:r>
            <w:r w:rsidR="005503BA">
              <w:rPr>
                <w:noProof/>
                <w:webHidden/>
              </w:rPr>
              <w:instrText xml:space="preserve"> PAGEREF _Toc153894151 \h </w:instrText>
            </w:r>
            <w:r w:rsidR="005503BA">
              <w:rPr>
                <w:noProof/>
                <w:webHidden/>
              </w:rPr>
            </w:r>
            <w:r w:rsidR="005503BA">
              <w:rPr>
                <w:noProof/>
                <w:webHidden/>
              </w:rPr>
              <w:fldChar w:fldCharType="separate"/>
            </w:r>
            <w:r w:rsidR="005503BA">
              <w:rPr>
                <w:noProof/>
                <w:webHidden/>
              </w:rPr>
              <w:t>43</w:t>
            </w:r>
            <w:r w:rsidR="005503BA">
              <w:rPr>
                <w:noProof/>
                <w:webHidden/>
              </w:rPr>
              <w:fldChar w:fldCharType="end"/>
            </w:r>
          </w:hyperlink>
        </w:p>
        <w:p w14:paraId="640590C0" w14:textId="6D511F25"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52" w:history="1">
            <w:r w:rsidR="005503BA" w:rsidRPr="0062492F">
              <w:rPr>
                <w:rStyle w:val="Hyperlink"/>
                <w:noProof/>
              </w:rPr>
              <w:t>2.3.3.</w:t>
            </w:r>
            <w:r w:rsidR="005503BA">
              <w:rPr>
                <w:rFonts w:eastAsiaTheme="minorEastAsia" w:cstheme="minorBidi"/>
                <w:noProof/>
                <w:kern w:val="2"/>
                <w:sz w:val="22"/>
                <w:szCs w:val="22"/>
                <w14:ligatures w14:val="standardContextual"/>
              </w:rPr>
              <w:tab/>
            </w:r>
            <w:r w:rsidR="005503BA" w:rsidRPr="0062492F">
              <w:rPr>
                <w:rStyle w:val="Hyperlink"/>
                <w:noProof/>
              </w:rPr>
              <w:t>Overview of the review</w:t>
            </w:r>
            <w:r w:rsidR="005503BA">
              <w:rPr>
                <w:noProof/>
                <w:webHidden/>
              </w:rPr>
              <w:tab/>
            </w:r>
            <w:r w:rsidR="005503BA">
              <w:rPr>
                <w:noProof/>
                <w:webHidden/>
              </w:rPr>
              <w:fldChar w:fldCharType="begin"/>
            </w:r>
            <w:r w:rsidR="005503BA">
              <w:rPr>
                <w:noProof/>
                <w:webHidden/>
              </w:rPr>
              <w:instrText xml:space="preserve"> PAGEREF _Toc153894152 \h </w:instrText>
            </w:r>
            <w:r w:rsidR="005503BA">
              <w:rPr>
                <w:noProof/>
                <w:webHidden/>
              </w:rPr>
            </w:r>
            <w:r w:rsidR="005503BA">
              <w:rPr>
                <w:noProof/>
                <w:webHidden/>
              </w:rPr>
              <w:fldChar w:fldCharType="separate"/>
            </w:r>
            <w:r w:rsidR="005503BA">
              <w:rPr>
                <w:noProof/>
                <w:webHidden/>
              </w:rPr>
              <w:t>43</w:t>
            </w:r>
            <w:r w:rsidR="005503BA">
              <w:rPr>
                <w:noProof/>
                <w:webHidden/>
              </w:rPr>
              <w:fldChar w:fldCharType="end"/>
            </w:r>
          </w:hyperlink>
        </w:p>
        <w:p w14:paraId="448F02B2" w14:textId="38627D67"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53" w:history="1">
            <w:r w:rsidR="005503BA" w:rsidRPr="0062492F">
              <w:rPr>
                <w:rStyle w:val="Hyperlink"/>
                <w:noProof/>
                <w:lang w:val="en-GB"/>
              </w:rPr>
              <w:t>2.3.4.</w:t>
            </w:r>
            <w:r w:rsidR="005503BA">
              <w:rPr>
                <w:rFonts w:eastAsiaTheme="minorEastAsia" w:cstheme="minorBidi"/>
                <w:noProof/>
                <w:kern w:val="2"/>
                <w:sz w:val="22"/>
                <w:szCs w:val="22"/>
                <w14:ligatures w14:val="standardContextual"/>
              </w:rPr>
              <w:tab/>
            </w:r>
            <w:r w:rsidR="005503BA" w:rsidRPr="0062492F">
              <w:rPr>
                <w:rStyle w:val="Hyperlink"/>
                <w:noProof/>
                <w:lang w:val="en-GB"/>
              </w:rPr>
              <w:t xml:space="preserve">Pharmacist’s role in diabetes management </w:t>
            </w:r>
            <w:r w:rsidR="005503BA">
              <w:rPr>
                <w:noProof/>
                <w:webHidden/>
              </w:rPr>
              <w:tab/>
            </w:r>
            <w:r w:rsidR="005503BA">
              <w:rPr>
                <w:noProof/>
                <w:webHidden/>
              </w:rPr>
              <w:fldChar w:fldCharType="begin"/>
            </w:r>
            <w:r w:rsidR="005503BA">
              <w:rPr>
                <w:noProof/>
                <w:webHidden/>
              </w:rPr>
              <w:instrText xml:space="preserve"> PAGEREF _Toc153894153 \h </w:instrText>
            </w:r>
            <w:r w:rsidR="005503BA">
              <w:rPr>
                <w:noProof/>
                <w:webHidden/>
              </w:rPr>
            </w:r>
            <w:r w:rsidR="005503BA">
              <w:rPr>
                <w:noProof/>
                <w:webHidden/>
              </w:rPr>
              <w:fldChar w:fldCharType="separate"/>
            </w:r>
            <w:r w:rsidR="005503BA">
              <w:rPr>
                <w:noProof/>
                <w:webHidden/>
              </w:rPr>
              <w:t>44</w:t>
            </w:r>
            <w:r w:rsidR="005503BA">
              <w:rPr>
                <w:noProof/>
                <w:webHidden/>
              </w:rPr>
              <w:fldChar w:fldCharType="end"/>
            </w:r>
          </w:hyperlink>
        </w:p>
        <w:p w14:paraId="3D67448D" w14:textId="2334484C"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54" w:history="1">
            <w:r w:rsidR="005503BA" w:rsidRPr="0062492F">
              <w:rPr>
                <w:rStyle w:val="Hyperlink"/>
                <w:noProof/>
              </w:rPr>
              <w:t>2.3.5.</w:t>
            </w:r>
            <w:r w:rsidR="005503BA">
              <w:rPr>
                <w:rFonts w:eastAsiaTheme="minorEastAsia" w:cstheme="minorBidi"/>
                <w:noProof/>
                <w:kern w:val="2"/>
                <w:sz w:val="22"/>
                <w:szCs w:val="22"/>
                <w14:ligatures w14:val="standardContextual"/>
              </w:rPr>
              <w:tab/>
            </w:r>
            <w:r w:rsidR="005503BA" w:rsidRPr="0062492F">
              <w:rPr>
                <w:rStyle w:val="Hyperlink"/>
                <w:noProof/>
              </w:rPr>
              <w:t>Types of pharmacists’ interventions in diabetes management</w:t>
            </w:r>
            <w:r w:rsidR="005503BA">
              <w:rPr>
                <w:noProof/>
                <w:webHidden/>
              </w:rPr>
              <w:tab/>
            </w:r>
            <w:r w:rsidR="005503BA">
              <w:rPr>
                <w:noProof/>
                <w:webHidden/>
              </w:rPr>
              <w:fldChar w:fldCharType="begin"/>
            </w:r>
            <w:r w:rsidR="005503BA">
              <w:rPr>
                <w:noProof/>
                <w:webHidden/>
              </w:rPr>
              <w:instrText xml:space="preserve"> PAGEREF _Toc153894154 \h </w:instrText>
            </w:r>
            <w:r w:rsidR="005503BA">
              <w:rPr>
                <w:noProof/>
                <w:webHidden/>
              </w:rPr>
            </w:r>
            <w:r w:rsidR="005503BA">
              <w:rPr>
                <w:noProof/>
                <w:webHidden/>
              </w:rPr>
              <w:fldChar w:fldCharType="separate"/>
            </w:r>
            <w:r w:rsidR="005503BA">
              <w:rPr>
                <w:noProof/>
                <w:webHidden/>
              </w:rPr>
              <w:t>43</w:t>
            </w:r>
            <w:r w:rsidR="005503BA">
              <w:rPr>
                <w:noProof/>
                <w:webHidden/>
              </w:rPr>
              <w:fldChar w:fldCharType="end"/>
            </w:r>
          </w:hyperlink>
        </w:p>
        <w:p w14:paraId="3DBD9F8D" w14:textId="2D4DA813"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55" w:history="1">
            <w:r w:rsidR="005503BA" w:rsidRPr="0062492F">
              <w:rPr>
                <w:rStyle w:val="Hyperlink"/>
                <w:noProof/>
              </w:rPr>
              <w:t>2.3.6.</w:t>
            </w:r>
            <w:r w:rsidR="005503BA">
              <w:rPr>
                <w:rFonts w:eastAsiaTheme="minorEastAsia" w:cstheme="minorBidi"/>
                <w:noProof/>
                <w:kern w:val="2"/>
                <w:sz w:val="22"/>
                <w:szCs w:val="22"/>
                <w14:ligatures w14:val="standardContextual"/>
              </w:rPr>
              <w:tab/>
            </w:r>
            <w:r w:rsidR="005503BA" w:rsidRPr="0062492F">
              <w:rPr>
                <w:rStyle w:val="Hyperlink"/>
                <w:rFonts w:cs="Arial"/>
                <w:noProof/>
                <w:lang w:val="en-GB"/>
              </w:rPr>
              <w:t>Global literature on pharmacist impact and involvement</w:t>
            </w:r>
            <w:r w:rsidR="005503BA">
              <w:rPr>
                <w:noProof/>
                <w:webHidden/>
              </w:rPr>
              <w:tab/>
            </w:r>
            <w:r w:rsidR="005503BA">
              <w:rPr>
                <w:noProof/>
                <w:webHidden/>
              </w:rPr>
              <w:fldChar w:fldCharType="begin"/>
            </w:r>
            <w:r w:rsidR="005503BA">
              <w:rPr>
                <w:noProof/>
                <w:webHidden/>
              </w:rPr>
              <w:instrText xml:space="preserve"> PAGEREF _Toc153894155 \h </w:instrText>
            </w:r>
            <w:r w:rsidR="005503BA">
              <w:rPr>
                <w:noProof/>
                <w:webHidden/>
              </w:rPr>
            </w:r>
            <w:r w:rsidR="005503BA">
              <w:rPr>
                <w:noProof/>
                <w:webHidden/>
              </w:rPr>
              <w:fldChar w:fldCharType="separate"/>
            </w:r>
            <w:r w:rsidR="005503BA">
              <w:rPr>
                <w:noProof/>
                <w:webHidden/>
              </w:rPr>
              <w:t>48</w:t>
            </w:r>
            <w:r w:rsidR="005503BA">
              <w:rPr>
                <w:noProof/>
                <w:webHidden/>
              </w:rPr>
              <w:fldChar w:fldCharType="end"/>
            </w:r>
          </w:hyperlink>
        </w:p>
        <w:p w14:paraId="2E9EC542" w14:textId="3654359B"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56" w:history="1">
            <w:r w:rsidR="005503BA" w:rsidRPr="0062492F">
              <w:rPr>
                <w:rStyle w:val="Hyperlink"/>
                <w:noProof/>
                <w:lang w:val="en-GB"/>
              </w:rPr>
              <w:t>2.3.7.</w:t>
            </w:r>
            <w:r w:rsidR="005503BA">
              <w:rPr>
                <w:rFonts w:eastAsiaTheme="minorEastAsia" w:cstheme="minorBidi"/>
                <w:noProof/>
                <w:kern w:val="2"/>
                <w:sz w:val="22"/>
                <w:szCs w:val="22"/>
                <w14:ligatures w14:val="standardContextual"/>
              </w:rPr>
              <w:tab/>
            </w:r>
            <w:r w:rsidR="005503BA" w:rsidRPr="0062492F">
              <w:rPr>
                <w:rStyle w:val="Hyperlink"/>
                <w:noProof/>
                <w:shd w:val="clear" w:color="auto" w:fill="FFFFFF"/>
              </w:rPr>
              <w:t>Evidence from Saudi Arabia</w:t>
            </w:r>
            <w:r w:rsidR="005503BA">
              <w:rPr>
                <w:noProof/>
                <w:webHidden/>
              </w:rPr>
              <w:tab/>
            </w:r>
            <w:r w:rsidR="005503BA">
              <w:rPr>
                <w:noProof/>
                <w:webHidden/>
              </w:rPr>
              <w:fldChar w:fldCharType="begin"/>
            </w:r>
            <w:r w:rsidR="005503BA">
              <w:rPr>
                <w:noProof/>
                <w:webHidden/>
              </w:rPr>
              <w:instrText xml:space="preserve"> PAGEREF _Toc153894156 \h </w:instrText>
            </w:r>
            <w:r w:rsidR="005503BA">
              <w:rPr>
                <w:noProof/>
                <w:webHidden/>
              </w:rPr>
            </w:r>
            <w:r w:rsidR="005503BA">
              <w:rPr>
                <w:noProof/>
                <w:webHidden/>
              </w:rPr>
              <w:fldChar w:fldCharType="separate"/>
            </w:r>
            <w:r w:rsidR="005503BA">
              <w:rPr>
                <w:noProof/>
                <w:webHidden/>
              </w:rPr>
              <w:t>70</w:t>
            </w:r>
            <w:r w:rsidR="005503BA">
              <w:rPr>
                <w:noProof/>
                <w:webHidden/>
              </w:rPr>
              <w:fldChar w:fldCharType="end"/>
            </w:r>
          </w:hyperlink>
        </w:p>
        <w:p w14:paraId="1C023112" w14:textId="376F4EB2"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57" w:history="1">
            <w:r w:rsidR="005503BA" w:rsidRPr="0062492F">
              <w:rPr>
                <w:rStyle w:val="Hyperlink"/>
                <w:noProof/>
                <w:lang w:val="en-GB"/>
              </w:rPr>
              <w:t>2.3.8.</w:t>
            </w:r>
            <w:r w:rsidR="005503BA">
              <w:rPr>
                <w:rFonts w:eastAsiaTheme="minorEastAsia" w:cstheme="minorBidi"/>
                <w:noProof/>
                <w:kern w:val="2"/>
                <w:sz w:val="22"/>
                <w:szCs w:val="22"/>
                <w14:ligatures w14:val="standardContextual"/>
              </w:rPr>
              <w:tab/>
            </w:r>
            <w:r w:rsidR="005503BA" w:rsidRPr="0062492F">
              <w:rPr>
                <w:rStyle w:val="Hyperlink"/>
                <w:noProof/>
                <w:lang w:val="en-GB"/>
              </w:rPr>
              <w:t>Barriers and facilitators of involvement of pharmacists to the diabetes care team</w:t>
            </w:r>
            <w:r w:rsidR="005503BA">
              <w:rPr>
                <w:noProof/>
                <w:webHidden/>
              </w:rPr>
              <w:tab/>
            </w:r>
            <w:r w:rsidR="005503BA">
              <w:rPr>
                <w:noProof/>
                <w:webHidden/>
              </w:rPr>
              <w:fldChar w:fldCharType="begin"/>
            </w:r>
            <w:r w:rsidR="005503BA">
              <w:rPr>
                <w:noProof/>
                <w:webHidden/>
              </w:rPr>
              <w:instrText xml:space="preserve"> PAGEREF _Toc153894157 \h </w:instrText>
            </w:r>
            <w:r w:rsidR="005503BA">
              <w:rPr>
                <w:noProof/>
                <w:webHidden/>
              </w:rPr>
            </w:r>
            <w:r w:rsidR="005503BA">
              <w:rPr>
                <w:noProof/>
                <w:webHidden/>
              </w:rPr>
              <w:fldChar w:fldCharType="separate"/>
            </w:r>
            <w:r w:rsidR="005503BA">
              <w:rPr>
                <w:noProof/>
                <w:webHidden/>
              </w:rPr>
              <w:t>79</w:t>
            </w:r>
            <w:r w:rsidR="005503BA">
              <w:rPr>
                <w:noProof/>
                <w:webHidden/>
              </w:rPr>
              <w:fldChar w:fldCharType="end"/>
            </w:r>
          </w:hyperlink>
        </w:p>
        <w:p w14:paraId="1B214CF1" w14:textId="45220852"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58" w:history="1">
            <w:r w:rsidR="005503BA" w:rsidRPr="0062492F">
              <w:rPr>
                <w:rStyle w:val="Hyperlink"/>
                <w:rFonts w:asciiTheme="minorBidi" w:hAnsiTheme="minorBidi"/>
                <w:noProof/>
              </w:rPr>
              <w:t>2.4.</w:t>
            </w:r>
            <w:r w:rsidR="005503BA">
              <w:rPr>
                <w:rFonts w:eastAsiaTheme="minorEastAsia" w:cstheme="minorBidi"/>
                <w:b w:val="0"/>
                <w:bCs w:val="0"/>
                <w:noProof/>
                <w:kern w:val="2"/>
                <w14:ligatures w14:val="standardContextual"/>
              </w:rPr>
              <w:tab/>
            </w:r>
            <w:r w:rsidR="005503BA" w:rsidRPr="0062492F">
              <w:rPr>
                <w:rStyle w:val="Hyperlink"/>
                <w:noProof/>
              </w:rPr>
              <w:t>Discussion</w:t>
            </w:r>
            <w:r w:rsidR="005503BA">
              <w:rPr>
                <w:noProof/>
                <w:webHidden/>
              </w:rPr>
              <w:tab/>
            </w:r>
            <w:r w:rsidR="005503BA">
              <w:rPr>
                <w:noProof/>
                <w:webHidden/>
              </w:rPr>
              <w:fldChar w:fldCharType="begin"/>
            </w:r>
            <w:r w:rsidR="005503BA">
              <w:rPr>
                <w:noProof/>
                <w:webHidden/>
              </w:rPr>
              <w:instrText xml:space="preserve"> PAGEREF _Toc153894158 \h </w:instrText>
            </w:r>
            <w:r w:rsidR="005503BA">
              <w:rPr>
                <w:noProof/>
                <w:webHidden/>
              </w:rPr>
            </w:r>
            <w:r w:rsidR="005503BA">
              <w:rPr>
                <w:noProof/>
                <w:webHidden/>
              </w:rPr>
              <w:fldChar w:fldCharType="separate"/>
            </w:r>
            <w:r w:rsidR="005503BA">
              <w:rPr>
                <w:noProof/>
                <w:webHidden/>
              </w:rPr>
              <w:t>83</w:t>
            </w:r>
            <w:r w:rsidR="005503BA">
              <w:rPr>
                <w:noProof/>
                <w:webHidden/>
              </w:rPr>
              <w:fldChar w:fldCharType="end"/>
            </w:r>
          </w:hyperlink>
        </w:p>
        <w:p w14:paraId="67918560" w14:textId="79CE5817"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59" w:history="1">
            <w:r w:rsidR="005503BA" w:rsidRPr="0062492F">
              <w:rPr>
                <w:rStyle w:val="Hyperlink"/>
                <w:rFonts w:asciiTheme="minorBidi" w:hAnsiTheme="minorBidi"/>
                <w:noProof/>
              </w:rPr>
              <w:t>2.5.</w:t>
            </w:r>
            <w:r w:rsidR="005503BA">
              <w:rPr>
                <w:rFonts w:eastAsiaTheme="minorEastAsia" w:cstheme="minorBidi"/>
                <w:b w:val="0"/>
                <w:bCs w:val="0"/>
                <w:noProof/>
                <w:kern w:val="2"/>
                <w14:ligatures w14:val="standardContextual"/>
              </w:rPr>
              <w:tab/>
            </w:r>
            <w:r w:rsidR="005503BA" w:rsidRPr="0062492F">
              <w:rPr>
                <w:rStyle w:val="Hyperlink"/>
                <w:noProof/>
              </w:rPr>
              <w:t>Conclusion</w:t>
            </w:r>
            <w:r w:rsidR="005503BA">
              <w:rPr>
                <w:noProof/>
                <w:webHidden/>
              </w:rPr>
              <w:tab/>
            </w:r>
            <w:r w:rsidR="005503BA">
              <w:rPr>
                <w:noProof/>
                <w:webHidden/>
              </w:rPr>
              <w:fldChar w:fldCharType="begin"/>
            </w:r>
            <w:r w:rsidR="005503BA">
              <w:rPr>
                <w:noProof/>
                <w:webHidden/>
              </w:rPr>
              <w:instrText xml:space="preserve"> PAGEREF _Toc153894159 \h </w:instrText>
            </w:r>
            <w:r w:rsidR="005503BA">
              <w:rPr>
                <w:noProof/>
                <w:webHidden/>
              </w:rPr>
            </w:r>
            <w:r w:rsidR="005503BA">
              <w:rPr>
                <w:noProof/>
                <w:webHidden/>
              </w:rPr>
              <w:fldChar w:fldCharType="separate"/>
            </w:r>
            <w:r w:rsidR="005503BA">
              <w:rPr>
                <w:noProof/>
                <w:webHidden/>
              </w:rPr>
              <w:t>86</w:t>
            </w:r>
            <w:r w:rsidR="005503BA">
              <w:rPr>
                <w:noProof/>
                <w:webHidden/>
              </w:rPr>
              <w:fldChar w:fldCharType="end"/>
            </w:r>
          </w:hyperlink>
        </w:p>
        <w:p w14:paraId="54B6AD2F" w14:textId="1F797540" w:rsidR="005503BA" w:rsidRDefault="00000000" w:rsidP="00E92158">
          <w:pPr>
            <w:pStyle w:val="TOC1"/>
            <w:rPr>
              <w:rFonts w:eastAsiaTheme="minorEastAsia" w:cstheme="minorBidi"/>
              <w:noProof/>
              <w:kern w:val="2"/>
              <w:sz w:val="22"/>
              <w:szCs w:val="22"/>
              <w14:ligatures w14:val="standardContextual"/>
            </w:rPr>
          </w:pPr>
          <w:hyperlink w:anchor="_Toc153894160" w:history="1">
            <w:r w:rsidR="005503BA" w:rsidRPr="0062492F">
              <w:rPr>
                <w:rStyle w:val="Hyperlink"/>
                <w:noProof/>
              </w:rPr>
              <w:t>3.</w:t>
            </w:r>
            <w:r w:rsidR="005503BA">
              <w:rPr>
                <w:rFonts w:eastAsiaTheme="minorEastAsia" w:cstheme="minorBidi"/>
                <w:noProof/>
                <w:kern w:val="2"/>
                <w:sz w:val="22"/>
                <w:szCs w:val="22"/>
                <w14:ligatures w14:val="standardContextual"/>
              </w:rPr>
              <w:tab/>
            </w:r>
            <w:r w:rsidR="005503BA" w:rsidRPr="0062492F">
              <w:rPr>
                <w:rStyle w:val="Hyperlink"/>
                <w:noProof/>
              </w:rPr>
              <w:t>Chapter Three: Rationale for Research and Scientific Justification</w:t>
            </w:r>
            <w:r w:rsidR="005503BA">
              <w:rPr>
                <w:noProof/>
                <w:webHidden/>
              </w:rPr>
              <w:tab/>
            </w:r>
            <w:r w:rsidR="005503BA">
              <w:rPr>
                <w:noProof/>
                <w:webHidden/>
              </w:rPr>
              <w:fldChar w:fldCharType="begin"/>
            </w:r>
            <w:r w:rsidR="005503BA">
              <w:rPr>
                <w:noProof/>
                <w:webHidden/>
              </w:rPr>
              <w:instrText xml:space="preserve"> PAGEREF _Toc153894160 \h </w:instrText>
            </w:r>
            <w:r w:rsidR="005503BA">
              <w:rPr>
                <w:noProof/>
                <w:webHidden/>
              </w:rPr>
            </w:r>
            <w:r w:rsidR="005503BA">
              <w:rPr>
                <w:noProof/>
                <w:webHidden/>
              </w:rPr>
              <w:fldChar w:fldCharType="separate"/>
            </w:r>
            <w:r w:rsidR="005503BA">
              <w:rPr>
                <w:noProof/>
                <w:webHidden/>
              </w:rPr>
              <w:t>88</w:t>
            </w:r>
            <w:r w:rsidR="005503BA">
              <w:rPr>
                <w:noProof/>
                <w:webHidden/>
              </w:rPr>
              <w:fldChar w:fldCharType="end"/>
            </w:r>
          </w:hyperlink>
        </w:p>
        <w:p w14:paraId="7F1EC0D5" w14:textId="3295BDC7"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61" w:history="1">
            <w:r w:rsidR="005503BA" w:rsidRPr="0062492F">
              <w:rPr>
                <w:rStyle w:val="Hyperlink"/>
                <w:rFonts w:asciiTheme="minorBidi" w:hAnsiTheme="minorBidi"/>
                <w:noProof/>
              </w:rPr>
              <w:t>3.1.</w:t>
            </w:r>
            <w:r w:rsidR="005503BA">
              <w:rPr>
                <w:rFonts w:eastAsiaTheme="minorEastAsia" w:cstheme="minorBidi"/>
                <w:b w:val="0"/>
                <w:bCs w:val="0"/>
                <w:noProof/>
                <w:kern w:val="2"/>
                <w14:ligatures w14:val="standardContextual"/>
              </w:rPr>
              <w:tab/>
            </w:r>
            <w:r w:rsidR="005503BA" w:rsidRPr="0062492F">
              <w:rPr>
                <w:rStyle w:val="Hyperlink"/>
                <w:noProof/>
              </w:rPr>
              <w:t>Introduction</w:t>
            </w:r>
            <w:r w:rsidR="005503BA">
              <w:rPr>
                <w:noProof/>
                <w:webHidden/>
              </w:rPr>
              <w:tab/>
            </w:r>
            <w:r w:rsidR="005503BA">
              <w:rPr>
                <w:noProof/>
                <w:webHidden/>
              </w:rPr>
              <w:fldChar w:fldCharType="begin"/>
            </w:r>
            <w:r w:rsidR="005503BA">
              <w:rPr>
                <w:noProof/>
                <w:webHidden/>
              </w:rPr>
              <w:instrText xml:space="preserve"> PAGEREF _Toc153894161 \h </w:instrText>
            </w:r>
            <w:r w:rsidR="005503BA">
              <w:rPr>
                <w:noProof/>
                <w:webHidden/>
              </w:rPr>
            </w:r>
            <w:r w:rsidR="005503BA">
              <w:rPr>
                <w:noProof/>
                <w:webHidden/>
              </w:rPr>
              <w:fldChar w:fldCharType="separate"/>
            </w:r>
            <w:r w:rsidR="005503BA">
              <w:rPr>
                <w:noProof/>
                <w:webHidden/>
              </w:rPr>
              <w:t>88</w:t>
            </w:r>
            <w:r w:rsidR="005503BA">
              <w:rPr>
                <w:noProof/>
                <w:webHidden/>
              </w:rPr>
              <w:fldChar w:fldCharType="end"/>
            </w:r>
          </w:hyperlink>
        </w:p>
        <w:p w14:paraId="59D8A6A2" w14:textId="438F2AD1"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62" w:history="1">
            <w:r w:rsidR="005503BA" w:rsidRPr="0062492F">
              <w:rPr>
                <w:rStyle w:val="Hyperlink"/>
                <w:rFonts w:asciiTheme="minorBidi" w:hAnsiTheme="minorBidi"/>
                <w:noProof/>
                <w:lang w:val="en-GB"/>
              </w:rPr>
              <w:t>3.2.</w:t>
            </w:r>
            <w:r w:rsidR="005503BA">
              <w:rPr>
                <w:rFonts w:eastAsiaTheme="minorEastAsia" w:cstheme="minorBidi"/>
                <w:b w:val="0"/>
                <w:bCs w:val="0"/>
                <w:noProof/>
                <w:kern w:val="2"/>
                <w14:ligatures w14:val="standardContextual"/>
              </w:rPr>
              <w:tab/>
            </w:r>
            <w:r w:rsidR="005503BA" w:rsidRPr="0062492F">
              <w:rPr>
                <w:rStyle w:val="Hyperlink"/>
                <w:noProof/>
                <w:lang w:val="en-GB"/>
              </w:rPr>
              <w:t>Rationale for research</w:t>
            </w:r>
            <w:r w:rsidR="005503BA">
              <w:rPr>
                <w:noProof/>
                <w:webHidden/>
              </w:rPr>
              <w:tab/>
            </w:r>
            <w:r w:rsidR="005503BA">
              <w:rPr>
                <w:noProof/>
                <w:webHidden/>
              </w:rPr>
              <w:fldChar w:fldCharType="begin"/>
            </w:r>
            <w:r w:rsidR="005503BA">
              <w:rPr>
                <w:noProof/>
                <w:webHidden/>
              </w:rPr>
              <w:instrText xml:space="preserve"> PAGEREF _Toc153894162 \h </w:instrText>
            </w:r>
            <w:r w:rsidR="005503BA">
              <w:rPr>
                <w:noProof/>
                <w:webHidden/>
              </w:rPr>
            </w:r>
            <w:r w:rsidR="005503BA">
              <w:rPr>
                <w:noProof/>
                <w:webHidden/>
              </w:rPr>
              <w:fldChar w:fldCharType="separate"/>
            </w:r>
            <w:r w:rsidR="005503BA">
              <w:rPr>
                <w:noProof/>
                <w:webHidden/>
              </w:rPr>
              <w:t>88</w:t>
            </w:r>
            <w:r w:rsidR="005503BA">
              <w:rPr>
                <w:noProof/>
                <w:webHidden/>
              </w:rPr>
              <w:fldChar w:fldCharType="end"/>
            </w:r>
          </w:hyperlink>
        </w:p>
        <w:p w14:paraId="677D8D69" w14:textId="19D477F6"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63" w:history="1">
            <w:r w:rsidR="005503BA" w:rsidRPr="0062492F">
              <w:rPr>
                <w:rStyle w:val="Hyperlink"/>
                <w:rFonts w:asciiTheme="minorBidi" w:hAnsiTheme="minorBidi"/>
                <w:noProof/>
                <w:lang w:val="en-GB"/>
              </w:rPr>
              <w:t>3.3.</w:t>
            </w:r>
            <w:r w:rsidR="005503BA">
              <w:rPr>
                <w:rFonts w:eastAsiaTheme="minorEastAsia" w:cstheme="minorBidi"/>
                <w:b w:val="0"/>
                <w:bCs w:val="0"/>
                <w:noProof/>
                <w:kern w:val="2"/>
                <w14:ligatures w14:val="standardContextual"/>
              </w:rPr>
              <w:tab/>
            </w:r>
            <w:r w:rsidR="005503BA" w:rsidRPr="0062492F">
              <w:rPr>
                <w:rStyle w:val="Hyperlink"/>
                <w:noProof/>
                <w:lang w:val="en-GB"/>
              </w:rPr>
              <w:t>Research questions</w:t>
            </w:r>
            <w:r w:rsidR="005503BA">
              <w:rPr>
                <w:noProof/>
                <w:webHidden/>
              </w:rPr>
              <w:tab/>
            </w:r>
            <w:r w:rsidR="005503BA">
              <w:rPr>
                <w:noProof/>
                <w:webHidden/>
              </w:rPr>
              <w:fldChar w:fldCharType="begin"/>
            </w:r>
            <w:r w:rsidR="005503BA">
              <w:rPr>
                <w:noProof/>
                <w:webHidden/>
              </w:rPr>
              <w:instrText xml:space="preserve"> PAGEREF _Toc153894163 \h </w:instrText>
            </w:r>
            <w:r w:rsidR="005503BA">
              <w:rPr>
                <w:noProof/>
                <w:webHidden/>
              </w:rPr>
            </w:r>
            <w:r w:rsidR="005503BA">
              <w:rPr>
                <w:noProof/>
                <w:webHidden/>
              </w:rPr>
              <w:fldChar w:fldCharType="separate"/>
            </w:r>
            <w:r w:rsidR="005503BA">
              <w:rPr>
                <w:noProof/>
                <w:webHidden/>
              </w:rPr>
              <w:t>90</w:t>
            </w:r>
            <w:r w:rsidR="005503BA">
              <w:rPr>
                <w:noProof/>
                <w:webHidden/>
              </w:rPr>
              <w:fldChar w:fldCharType="end"/>
            </w:r>
          </w:hyperlink>
        </w:p>
        <w:p w14:paraId="56A6D8F3" w14:textId="4CA07573"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64" w:history="1">
            <w:r w:rsidR="005503BA" w:rsidRPr="0062492F">
              <w:rPr>
                <w:rStyle w:val="Hyperlink"/>
                <w:rFonts w:asciiTheme="minorBidi" w:hAnsiTheme="minorBidi"/>
                <w:noProof/>
                <w:lang w:val="en-GB"/>
              </w:rPr>
              <w:t>3.4.</w:t>
            </w:r>
            <w:r w:rsidR="005503BA">
              <w:rPr>
                <w:rFonts w:eastAsiaTheme="minorEastAsia" w:cstheme="minorBidi"/>
                <w:b w:val="0"/>
                <w:bCs w:val="0"/>
                <w:noProof/>
                <w:kern w:val="2"/>
                <w14:ligatures w14:val="standardContextual"/>
              </w:rPr>
              <w:tab/>
            </w:r>
            <w:r w:rsidR="005503BA" w:rsidRPr="0062492F">
              <w:rPr>
                <w:rStyle w:val="Hyperlink"/>
                <w:noProof/>
                <w:lang w:val="en-GB"/>
              </w:rPr>
              <w:t>Aims of the research</w:t>
            </w:r>
            <w:r w:rsidR="005503BA">
              <w:rPr>
                <w:noProof/>
                <w:webHidden/>
              </w:rPr>
              <w:tab/>
            </w:r>
            <w:r w:rsidR="005503BA">
              <w:rPr>
                <w:noProof/>
                <w:webHidden/>
              </w:rPr>
              <w:fldChar w:fldCharType="begin"/>
            </w:r>
            <w:r w:rsidR="005503BA">
              <w:rPr>
                <w:noProof/>
                <w:webHidden/>
              </w:rPr>
              <w:instrText xml:space="preserve"> PAGEREF _Toc153894164 \h </w:instrText>
            </w:r>
            <w:r w:rsidR="005503BA">
              <w:rPr>
                <w:noProof/>
                <w:webHidden/>
              </w:rPr>
            </w:r>
            <w:r w:rsidR="005503BA">
              <w:rPr>
                <w:noProof/>
                <w:webHidden/>
              </w:rPr>
              <w:fldChar w:fldCharType="separate"/>
            </w:r>
            <w:r w:rsidR="005503BA">
              <w:rPr>
                <w:noProof/>
                <w:webHidden/>
              </w:rPr>
              <w:t>90</w:t>
            </w:r>
            <w:r w:rsidR="005503BA">
              <w:rPr>
                <w:noProof/>
                <w:webHidden/>
              </w:rPr>
              <w:fldChar w:fldCharType="end"/>
            </w:r>
          </w:hyperlink>
        </w:p>
        <w:p w14:paraId="59DDBA04" w14:textId="3710F3BB"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65" w:history="1">
            <w:r w:rsidR="005503BA" w:rsidRPr="0062492F">
              <w:rPr>
                <w:rStyle w:val="Hyperlink"/>
                <w:rFonts w:asciiTheme="minorBidi" w:hAnsiTheme="minorBidi"/>
                <w:noProof/>
              </w:rPr>
              <w:t>3.5.</w:t>
            </w:r>
            <w:r w:rsidR="005503BA">
              <w:rPr>
                <w:rFonts w:eastAsiaTheme="minorEastAsia" w:cstheme="minorBidi"/>
                <w:b w:val="0"/>
                <w:bCs w:val="0"/>
                <w:noProof/>
                <w:kern w:val="2"/>
                <w14:ligatures w14:val="standardContextual"/>
              </w:rPr>
              <w:tab/>
            </w:r>
            <w:r w:rsidR="005503BA" w:rsidRPr="0062492F">
              <w:rPr>
                <w:rStyle w:val="Hyperlink"/>
                <w:noProof/>
              </w:rPr>
              <w:t>Research objectives</w:t>
            </w:r>
            <w:r w:rsidR="005503BA">
              <w:rPr>
                <w:noProof/>
                <w:webHidden/>
              </w:rPr>
              <w:tab/>
            </w:r>
            <w:r w:rsidR="005503BA">
              <w:rPr>
                <w:noProof/>
                <w:webHidden/>
              </w:rPr>
              <w:fldChar w:fldCharType="begin"/>
            </w:r>
            <w:r w:rsidR="005503BA">
              <w:rPr>
                <w:noProof/>
                <w:webHidden/>
              </w:rPr>
              <w:instrText xml:space="preserve"> PAGEREF _Toc153894165 \h </w:instrText>
            </w:r>
            <w:r w:rsidR="005503BA">
              <w:rPr>
                <w:noProof/>
                <w:webHidden/>
              </w:rPr>
            </w:r>
            <w:r w:rsidR="005503BA">
              <w:rPr>
                <w:noProof/>
                <w:webHidden/>
              </w:rPr>
              <w:fldChar w:fldCharType="separate"/>
            </w:r>
            <w:r w:rsidR="005503BA">
              <w:rPr>
                <w:noProof/>
                <w:webHidden/>
              </w:rPr>
              <w:t>91</w:t>
            </w:r>
            <w:r w:rsidR="005503BA">
              <w:rPr>
                <w:noProof/>
                <w:webHidden/>
              </w:rPr>
              <w:fldChar w:fldCharType="end"/>
            </w:r>
          </w:hyperlink>
        </w:p>
        <w:p w14:paraId="2A362031" w14:textId="52BBC146" w:rsidR="005503BA" w:rsidRDefault="00000000" w:rsidP="00E92158">
          <w:pPr>
            <w:pStyle w:val="TOC1"/>
            <w:rPr>
              <w:rFonts w:eastAsiaTheme="minorEastAsia" w:cstheme="minorBidi"/>
              <w:noProof/>
              <w:kern w:val="2"/>
              <w:sz w:val="22"/>
              <w:szCs w:val="22"/>
              <w14:ligatures w14:val="standardContextual"/>
            </w:rPr>
          </w:pPr>
          <w:hyperlink w:anchor="_Toc153894166" w:history="1">
            <w:r w:rsidR="005503BA" w:rsidRPr="0062492F">
              <w:rPr>
                <w:rStyle w:val="Hyperlink"/>
                <w:noProof/>
                <w:lang w:val="en-GB"/>
              </w:rPr>
              <w:t>4. Chapter Four: Methodology</w:t>
            </w:r>
            <w:r w:rsidR="005503BA">
              <w:rPr>
                <w:noProof/>
                <w:webHidden/>
              </w:rPr>
              <w:tab/>
            </w:r>
            <w:r w:rsidR="005503BA">
              <w:rPr>
                <w:noProof/>
                <w:webHidden/>
              </w:rPr>
              <w:fldChar w:fldCharType="begin"/>
            </w:r>
            <w:r w:rsidR="005503BA">
              <w:rPr>
                <w:noProof/>
                <w:webHidden/>
              </w:rPr>
              <w:instrText xml:space="preserve"> PAGEREF _Toc153894166 \h </w:instrText>
            </w:r>
            <w:r w:rsidR="005503BA">
              <w:rPr>
                <w:noProof/>
                <w:webHidden/>
              </w:rPr>
            </w:r>
            <w:r w:rsidR="005503BA">
              <w:rPr>
                <w:noProof/>
                <w:webHidden/>
              </w:rPr>
              <w:fldChar w:fldCharType="separate"/>
            </w:r>
            <w:r w:rsidR="005503BA">
              <w:rPr>
                <w:noProof/>
                <w:webHidden/>
              </w:rPr>
              <w:t>92</w:t>
            </w:r>
            <w:r w:rsidR="005503BA">
              <w:rPr>
                <w:noProof/>
                <w:webHidden/>
              </w:rPr>
              <w:fldChar w:fldCharType="end"/>
            </w:r>
          </w:hyperlink>
        </w:p>
        <w:p w14:paraId="797DD17D" w14:textId="356393B1"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67" w:history="1">
            <w:r w:rsidR="005503BA" w:rsidRPr="0062492F">
              <w:rPr>
                <w:rStyle w:val="Hyperlink"/>
                <w:noProof/>
              </w:rPr>
              <w:t>4.1.</w:t>
            </w:r>
            <w:r w:rsidR="005503BA">
              <w:rPr>
                <w:rFonts w:eastAsiaTheme="minorEastAsia" w:cstheme="minorBidi"/>
                <w:b w:val="0"/>
                <w:bCs w:val="0"/>
                <w:noProof/>
                <w:kern w:val="2"/>
                <w14:ligatures w14:val="standardContextual"/>
              </w:rPr>
              <w:tab/>
            </w:r>
            <w:r w:rsidR="005503BA" w:rsidRPr="0062492F">
              <w:rPr>
                <w:rStyle w:val="Hyperlink"/>
                <w:noProof/>
              </w:rPr>
              <w:t>Introduction</w:t>
            </w:r>
            <w:r w:rsidR="005503BA">
              <w:rPr>
                <w:noProof/>
                <w:webHidden/>
              </w:rPr>
              <w:tab/>
            </w:r>
            <w:r w:rsidR="005503BA">
              <w:rPr>
                <w:noProof/>
                <w:webHidden/>
              </w:rPr>
              <w:fldChar w:fldCharType="begin"/>
            </w:r>
            <w:r w:rsidR="005503BA">
              <w:rPr>
                <w:noProof/>
                <w:webHidden/>
              </w:rPr>
              <w:instrText xml:space="preserve"> PAGEREF _Toc153894167 \h </w:instrText>
            </w:r>
            <w:r w:rsidR="005503BA">
              <w:rPr>
                <w:noProof/>
                <w:webHidden/>
              </w:rPr>
            </w:r>
            <w:r w:rsidR="005503BA">
              <w:rPr>
                <w:noProof/>
                <w:webHidden/>
              </w:rPr>
              <w:fldChar w:fldCharType="separate"/>
            </w:r>
            <w:r w:rsidR="005503BA">
              <w:rPr>
                <w:noProof/>
                <w:webHidden/>
              </w:rPr>
              <w:t>92</w:t>
            </w:r>
            <w:r w:rsidR="005503BA">
              <w:rPr>
                <w:noProof/>
                <w:webHidden/>
              </w:rPr>
              <w:fldChar w:fldCharType="end"/>
            </w:r>
          </w:hyperlink>
        </w:p>
        <w:p w14:paraId="6ADA9282" w14:textId="70A92D11"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68" w:history="1">
            <w:r w:rsidR="005503BA" w:rsidRPr="0062492F">
              <w:rPr>
                <w:rStyle w:val="Hyperlink"/>
                <w:noProof/>
              </w:rPr>
              <w:t>4.1.1.</w:t>
            </w:r>
            <w:r w:rsidR="005503BA">
              <w:rPr>
                <w:rFonts w:eastAsiaTheme="minorEastAsia" w:cstheme="minorBidi"/>
                <w:noProof/>
                <w:kern w:val="2"/>
                <w:sz w:val="22"/>
                <w:szCs w:val="22"/>
                <w14:ligatures w14:val="standardContextual"/>
              </w:rPr>
              <w:tab/>
            </w:r>
            <w:r w:rsidR="005503BA" w:rsidRPr="0062492F">
              <w:rPr>
                <w:rStyle w:val="Hyperlink"/>
                <w:noProof/>
              </w:rPr>
              <w:t>Research plan of activities</w:t>
            </w:r>
            <w:r w:rsidR="005503BA">
              <w:rPr>
                <w:noProof/>
                <w:webHidden/>
              </w:rPr>
              <w:tab/>
            </w:r>
            <w:r w:rsidR="005503BA">
              <w:rPr>
                <w:noProof/>
                <w:webHidden/>
              </w:rPr>
              <w:fldChar w:fldCharType="begin"/>
            </w:r>
            <w:r w:rsidR="005503BA">
              <w:rPr>
                <w:noProof/>
                <w:webHidden/>
              </w:rPr>
              <w:instrText xml:space="preserve"> PAGEREF _Toc153894168 \h </w:instrText>
            </w:r>
            <w:r w:rsidR="005503BA">
              <w:rPr>
                <w:noProof/>
                <w:webHidden/>
              </w:rPr>
            </w:r>
            <w:r w:rsidR="005503BA">
              <w:rPr>
                <w:noProof/>
                <w:webHidden/>
              </w:rPr>
              <w:fldChar w:fldCharType="separate"/>
            </w:r>
            <w:r w:rsidR="005503BA">
              <w:rPr>
                <w:noProof/>
                <w:webHidden/>
              </w:rPr>
              <w:t>92</w:t>
            </w:r>
            <w:r w:rsidR="005503BA">
              <w:rPr>
                <w:noProof/>
                <w:webHidden/>
              </w:rPr>
              <w:fldChar w:fldCharType="end"/>
            </w:r>
          </w:hyperlink>
        </w:p>
        <w:p w14:paraId="5E3366DB" w14:textId="69F82AA9"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69" w:history="1">
            <w:r w:rsidR="005503BA" w:rsidRPr="0062492F">
              <w:rPr>
                <w:rStyle w:val="Hyperlink"/>
                <w:noProof/>
              </w:rPr>
              <w:t>4.2.</w:t>
            </w:r>
            <w:r w:rsidR="005503BA">
              <w:rPr>
                <w:rFonts w:eastAsiaTheme="minorEastAsia" w:cstheme="minorBidi"/>
                <w:b w:val="0"/>
                <w:bCs w:val="0"/>
                <w:noProof/>
                <w:kern w:val="2"/>
                <w14:ligatures w14:val="standardContextual"/>
              </w:rPr>
              <w:tab/>
            </w:r>
            <w:r w:rsidR="005503BA" w:rsidRPr="0062492F">
              <w:rPr>
                <w:rStyle w:val="Hyperlink"/>
                <w:noProof/>
              </w:rPr>
              <w:t>Research design</w:t>
            </w:r>
            <w:r w:rsidR="005503BA">
              <w:rPr>
                <w:noProof/>
                <w:webHidden/>
              </w:rPr>
              <w:tab/>
            </w:r>
            <w:r w:rsidR="005503BA">
              <w:rPr>
                <w:noProof/>
                <w:webHidden/>
              </w:rPr>
              <w:fldChar w:fldCharType="begin"/>
            </w:r>
            <w:r w:rsidR="005503BA">
              <w:rPr>
                <w:noProof/>
                <w:webHidden/>
              </w:rPr>
              <w:instrText xml:space="preserve"> PAGEREF _Toc153894169 \h </w:instrText>
            </w:r>
            <w:r w:rsidR="005503BA">
              <w:rPr>
                <w:noProof/>
                <w:webHidden/>
              </w:rPr>
            </w:r>
            <w:r w:rsidR="005503BA">
              <w:rPr>
                <w:noProof/>
                <w:webHidden/>
              </w:rPr>
              <w:fldChar w:fldCharType="separate"/>
            </w:r>
            <w:r w:rsidR="005503BA">
              <w:rPr>
                <w:noProof/>
                <w:webHidden/>
              </w:rPr>
              <w:t>94</w:t>
            </w:r>
            <w:r w:rsidR="005503BA">
              <w:rPr>
                <w:noProof/>
                <w:webHidden/>
              </w:rPr>
              <w:fldChar w:fldCharType="end"/>
            </w:r>
          </w:hyperlink>
        </w:p>
        <w:p w14:paraId="74FDD378" w14:textId="129AB82A"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70" w:history="1">
            <w:r w:rsidR="005503BA" w:rsidRPr="0062492F">
              <w:rPr>
                <w:rStyle w:val="Hyperlink"/>
                <w:noProof/>
              </w:rPr>
              <w:t>4.2.1.</w:t>
            </w:r>
            <w:r w:rsidR="005503BA">
              <w:rPr>
                <w:rFonts w:eastAsiaTheme="minorEastAsia" w:cstheme="minorBidi"/>
                <w:noProof/>
                <w:kern w:val="2"/>
                <w:sz w:val="22"/>
                <w:szCs w:val="22"/>
                <w14:ligatures w14:val="standardContextual"/>
              </w:rPr>
              <w:tab/>
            </w:r>
            <w:r w:rsidR="005503BA" w:rsidRPr="0062492F">
              <w:rPr>
                <w:rStyle w:val="Hyperlink"/>
                <w:noProof/>
              </w:rPr>
              <w:t>Research philosophy</w:t>
            </w:r>
            <w:r w:rsidR="005503BA">
              <w:rPr>
                <w:noProof/>
                <w:webHidden/>
              </w:rPr>
              <w:tab/>
            </w:r>
            <w:r w:rsidR="005503BA">
              <w:rPr>
                <w:noProof/>
                <w:webHidden/>
              </w:rPr>
              <w:fldChar w:fldCharType="begin"/>
            </w:r>
            <w:r w:rsidR="005503BA">
              <w:rPr>
                <w:noProof/>
                <w:webHidden/>
              </w:rPr>
              <w:instrText xml:space="preserve"> PAGEREF _Toc153894170 \h </w:instrText>
            </w:r>
            <w:r w:rsidR="005503BA">
              <w:rPr>
                <w:noProof/>
                <w:webHidden/>
              </w:rPr>
            </w:r>
            <w:r w:rsidR="005503BA">
              <w:rPr>
                <w:noProof/>
                <w:webHidden/>
              </w:rPr>
              <w:fldChar w:fldCharType="separate"/>
            </w:r>
            <w:r w:rsidR="005503BA">
              <w:rPr>
                <w:noProof/>
                <w:webHidden/>
              </w:rPr>
              <w:t>94</w:t>
            </w:r>
            <w:r w:rsidR="005503BA">
              <w:rPr>
                <w:noProof/>
                <w:webHidden/>
              </w:rPr>
              <w:fldChar w:fldCharType="end"/>
            </w:r>
          </w:hyperlink>
        </w:p>
        <w:p w14:paraId="48A6A2B9" w14:textId="77F89B37"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71" w:history="1">
            <w:r w:rsidR="005503BA" w:rsidRPr="0062492F">
              <w:rPr>
                <w:rStyle w:val="Hyperlink"/>
                <w:noProof/>
              </w:rPr>
              <w:t>4.2.2.</w:t>
            </w:r>
            <w:r w:rsidR="005503BA">
              <w:rPr>
                <w:rFonts w:eastAsiaTheme="minorEastAsia" w:cstheme="minorBidi"/>
                <w:noProof/>
                <w:kern w:val="2"/>
                <w:sz w:val="22"/>
                <w:szCs w:val="22"/>
                <w14:ligatures w14:val="standardContextual"/>
              </w:rPr>
              <w:tab/>
            </w:r>
            <w:r w:rsidR="005503BA" w:rsidRPr="0062492F">
              <w:rPr>
                <w:rStyle w:val="Hyperlink"/>
                <w:noProof/>
              </w:rPr>
              <w:t>Research type</w:t>
            </w:r>
            <w:r w:rsidR="005503BA">
              <w:rPr>
                <w:noProof/>
                <w:webHidden/>
              </w:rPr>
              <w:tab/>
            </w:r>
            <w:r w:rsidR="005503BA">
              <w:rPr>
                <w:noProof/>
                <w:webHidden/>
              </w:rPr>
              <w:fldChar w:fldCharType="begin"/>
            </w:r>
            <w:r w:rsidR="005503BA">
              <w:rPr>
                <w:noProof/>
                <w:webHidden/>
              </w:rPr>
              <w:instrText xml:space="preserve"> PAGEREF _Toc153894171 \h </w:instrText>
            </w:r>
            <w:r w:rsidR="005503BA">
              <w:rPr>
                <w:noProof/>
                <w:webHidden/>
              </w:rPr>
            </w:r>
            <w:r w:rsidR="005503BA">
              <w:rPr>
                <w:noProof/>
                <w:webHidden/>
              </w:rPr>
              <w:fldChar w:fldCharType="separate"/>
            </w:r>
            <w:r w:rsidR="005503BA">
              <w:rPr>
                <w:noProof/>
                <w:webHidden/>
              </w:rPr>
              <w:t>95</w:t>
            </w:r>
            <w:r w:rsidR="005503BA">
              <w:rPr>
                <w:noProof/>
                <w:webHidden/>
              </w:rPr>
              <w:fldChar w:fldCharType="end"/>
            </w:r>
          </w:hyperlink>
        </w:p>
        <w:p w14:paraId="3BBD5E10" w14:textId="4D6E2843"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72" w:history="1">
            <w:r w:rsidR="005503BA" w:rsidRPr="0062492F">
              <w:rPr>
                <w:rStyle w:val="Hyperlink"/>
                <w:rFonts w:cs="Arial"/>
                <w:noProof/>
              </w:rPr>
              <w:t>4.2.3.</w:t>
            </w:r>
            <w:r w:rsidR="005503BA">
              <w:rPr>
                <w:rFonts w:eastAsiaTheme="minorEastAsia" w:cstheme="minorBidi"/>
                <w:noProof/>
                <w:kern w:val="2"/>
                <w:sz w:val="22"/>
                <w:szCs w:val="22"/>
                <w14:ligatures w14:val="standardContextual"/>
              </w:rPr>
              <w:tab/>
            </w:r>
            <w:r w:rsidR="005503BA" w:rsidRPr="0062492F">
              <w:rPr>
                <w:rStyle w:val="Hyperlink"/>
                <w:rFonts w:cs="Arial"/>
                <w:noProof/>
              </w:rPr>
              <w:t>Mixed-methods design</w:t>
            </w:r>
            <w:r w:rsidR="005503BA">
              <w:rPr>
                <w:noProof/>
                <w:webHidden/>
              </w:rPr>
              <w:tab/>
            </w:r>
            <w:r w:rsidR="005503BA">
              <w:rPr>
                <w:noProof/>
                <w:webHidden/>
              </w:rPr>
              <w:fldChar w:fldCharType="begin"/>
            </w:r>
            <w:r w:rsidR="005503BA">
              <w:rPr>
                <w:noProof/>
                <w:webHidden/>
              </w:rPr>
              <w:instrText xml:space="preserve"> PAGEREF _Toc153894172 \h </w:instrText>
            </w:r>
            <w:r w:rsidR="005503BA">
              <w:rPr>
                <w:noProof/>
                <w:webHidden/>
              </w:rPr>
            </w:r>
            <w:r w:rsidR="005503BA">
              <w:rPr>
                <w:noProof/>
                <w:webHidden/>
              </w:rPr>
              <w:fldChar w:fldCharType="separate"/>
            </w:r>
            <w:r w:rsidR="005503BA">
              <w:rPr>
                <w:noProof/>
                <w:webHidden/>
              </w:rPr>
              <w:t>99</w:t>
            </w:r>
            <w:r w:rsidR="005503BA">
              <w:rPr>
                <w:noProof/>
                <w:webHidden/>
              </w:rPr>
              <w:fldChar w:fldCharType="end"/>
            </w:r>
          </w:hyperlink>
        </w:p>
        <w:p w14:paraId="6ACE50E5" w14:textId="2C2EAADD"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73" w:history="1">
            <w:r w:rsidR="005503BA" w:rsidRPr="0062492F">
              <w:rPr>
                <w:rStyle w:val="Hyperlink"/>
                <w:noProof/>
              </w:rPr>
              <w:t>4.2.4.</w:t>
            </w:r>
            <w:r w:rsidR="005503BA">
              <w:rPr>
                <w:rFonts w:eastAsiaTheme="minorEastAsia" w:cstheme="minorBidi"/>
                <w:noProof/>
                <w:kern w:val="2"/>
                <w:sz w:val="22"/>
                <w:szCs w:val="22"/>
                <w14:ligatures w14:val="standardContextual"/>
              </w:rPr>
              <w:tab/>
            </w:r>
            <w:r w:rsidR="005503BA" w:rsidRPr="0062492F">
              <w:rPr>
                <w:rStyle w:val="Hyperlink"/>
                <w:noProof/>
              </w:rPr>
              <w:t>Mixed methods design chosen for this research</w:t>
            </w:r>
            <w:r w:rsidR="005503BA">
              <w:rPr>
                <w:noProof/>
                <w:webHidden/>
              </w:rPr>
              <w:tab/>
            </w:r>
            <w:r w:rsidR="005503BA">
              <w:rPr>
                <w:noProof/>
                <w:webHidden/>
              </w:rPr>
              <w:fldChar w:fldCharType="begin"/>
            </w:r>
            <w:r w:rsidR="005503BA">
              <w:rPr>
                <w:noProof/>
                <w:webHidden/>
              </w:rPr>
              <w:instrText xml:space="preserve"> PAGEREF _Toc153894173 \h </w:instrText>
            </w:r>
            <w:r w:rsidR="005503BA">
              <w:rPr>
                <w:noProof/>
                <w:webHidden/>
              </w:rPr>
            </w:r>
            <w:r w:rsidR="005503BA">
              <w:rPr>
                <w:noProof/>
                <w:webHidden/>
              </w:rPr>
              <w:fldChar w:fldCharType="separate"/>
            </w:r>
            <w:r w:rsidR="005503BA">
              <w:rPr>
                <w:noProof/>
                <w:webHidden/>
              </w:rPr>
              <w:t>100</w:t>
            </w:r>
            <w:r w:rsidR="005503BA">
              <w:rPr>
                <w:noProof/>
                <w:webHidden/>
              </w:rPr>
              <w:fldChar w:fldCharType="end"/>
            </w:r>
          </w:hyperlink>
        </w:p>
        <w:p w14:paraId="08024D2B" w14:textId="01E21255"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74" w:history="1">
            <w:r w:rsidR="005503BA" w:rsidRPr="0062492F">
              <w:rPr>
                <w:rStyle w:val="Hyperlink"/>
                <w:noProof/>
              </w:rPr>
              <w:t>4.2.5.</w:t>
            </w:r>
            <w:r w:rsidR="005503BA">
              <w:rPr>
                <w:rFonts w:eastAsiaTheme="minorEastAsia" w:cstheme="minorBidi"/>
                <w:noProof/>
                <w:kern w:val="2"/>
                <w:sz w:val="22"/>
                <w:szCs w:val="22"/>
                <w14:ligatures w14:val="standardContextual"/>
              </w:rPr>
              <w:tab/>
            </w:r>
            <w:r w:rsidR="005503BA" w:rsidRPr="0062492F">
              <w:rPr>
                <w:rStyle w:val="Hyperlink"/>
                <w:noProof/>
              </w:rPr>
              <w:t>Research strategy</w:t>
            </w:r>
            <w:r w:rsidR="005503BA">
              <w:rPr>
                <w:noProof/>
                <w:webHidden/>
              </w:rPr>
              <w:tab/>
            </w:r>
            <w:r w:rsidR="005503BA">
              <w:rPr>
                <w:noProof/>
                <w:webHidden/>
              </w:rPr>
              <w:fldChar w:fldCharType="begin"/>
            </w:r>
            <w:r w:rsidR="005503BA">
              <w:rPr>
                <w:noProof/>
                <w:webHidden/>
              </w:rPr>
              <w:instrText xml:space="preserve"> PAGEREF _Toc153894174 \h </w:instrText>
            </w:r>
            <w:r w:rsidR="005503BA">
              <w:rPr>
                <w:noProof/>
                <w:webHidden/>
              </w:rPr>
            </w:r>
            <w:r w:rsidR="005503BA">
              <w:rPr>
                <w:noProof/>
                <w:webHidden/>
              </w:rPr>
              <w:fldChar w:fldCharType="separate"/>
            </w:r>
            <w:r w:rsidR="005503BA">
              <w:rPr>
                <w:noProof/>
                <w:webHidden/>
              </w:rPr>
              <w:t>101</w:t>
            </w:r>
            <w:r w:rsidR="005503BA">
              <w:rPr>
                <w:noProof/>
                <w:webHidden/>
              </w:rPr>
              <w:fldChar w:fldCharType="end"/>
            </w:r>
          </w:hyperlink>
        </w:p>
        <w:p w14:paraId="5B57145B" w14:textId="425E12EA"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75" w:history="1">
            <w:r w:rsidR="005503BA" w:rsidRPr="0062492F">
              <w:rPr>
                <w:rStyle w:val="Hyperlink"/>
                <w:noProof/>
              </w:rPr>
              <w:t>4.2.6.</w:t>
            </w:r>
            <w:r w:rsidR="005503BA">
              <w:rPr>
                <w:rFonts w:eastAsiaTheme="minorEastAsia" w:cstheme="minorBidi"/>
                <w:noProof/>
                <w:kern w:val="2"/>
                <w:sz w:val="22"/>
                <w:szCs w:val="22"/>
                <w14:ligatures w14:val="standardContextual"/>
              </w:rPr>
              <w:tab/>
            </w:r>
            <w:r w:rsidR="005503BA" w:rsidRPr="0062492F">
              <w:rPr>
                <w:rStyle w:val="Hyperlink"/>
                <w:noProof/>
              </w:rPr>
              <w:t xml:space="preserve">Sampling and recruitment </w:t>
            </w:r>
            <w:r w:rsidR="005503BA">
              <w:rPr>
                <w:noProof/>
                <w:webHidden/>
              </w:rPr>
              <w:tab/>
            </w:r>
            <w:r w:rsidR="005503BA">
              <w:rPr>
                <w:noProof/>
                <w:webHidden/>
              </w:rPr>
              <w:fldChar w:fldCharType="begin"/>
            </w:r>
            <w:r w:rsidR="005503BA">
              <w:rPr>
                <w:noProof/>
                <w:webHidden/>
              </w:rPr>
              <w:instrText xml:space="preserve"> PAGEREF _Toc153894175 \h </w:instrText>
            </w:r>
            <w:r w:rsidR="005503BA">
              <w:rPr>
                <w:noProof/>
                <w:webHidden/>
              </w:rPr>
            </w:r>
            <w:r w:rsidR="005503BA">
              <w:rPr>
                <w:noProof/>
                <w:webHidden/>
              </w:rPr>
              <w:fldChar w:fldCharType="separate"/>
            </w:r>
            <w:r w:rsidR="005503BA">
              <w:rPr>
                <w:noProof/>
                <w:webHidden/>
              </w:rPr>
              <w:t>102</w:t>
            </w:r>
            <w:r w:rsidR="005503BA">
              <w:rPr>
                <w:noProof/>
                <w:webHidden/>
              </w:rPr>
              <w:fldChar w:fldCharType="end"/>
            </w:r>
          </w:hyperlink>
        </w:p>
        <w:p w14:paraId="36B4C791" w14:textId="33954F68"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76" w:history="1">
            <w:r w:rsidR="005503BA" w:rsidRPr="0062492F">
              <w:rPr>
                <w:rStyle w:val="Hyperlink"/>
                <w:noProof/>
              </w:rPr>
              <w:t>4.2.7.</w:t>
            </w:r>
            <w:r w:rsidR="005503BA">
              <w:rPr>
                <w:rFonts w:eastAsiaTheme="minorEastAsia" w:cstheme="minorBidi"/>
                <w:noProof/>
                <w:kern w:val="2"/>
                <w:sz w:val="22"/>
                <w:szCs w:val="22"/>
                <w14:ligatures w14:val="standardContextual"/>
              </w:rPr>
              <w:tab/>
            </w:r>
            <w:r w:rsidR="005503BA" w:rsidRPr="0062492F">
              <w:rPr>
                <w:rStyle w:val="Hyperlink"/>
                <w:noProof/>
              </w:rPr>
              <w:t>Techniques and procedures of data collection and data analysis</w:t>
            </w:r>
            <w:r w:rsidR="005503BA">
              <w:rPr>
                <w:noProof/>
                <w:webHidden/>
              </w:rPr>
              <w:tab/>
            </w:r>
            <w:r w:rsidR="005503BA">
              <w:rPr>
                <w:noProof/>
                <w:webHidden/>
              </w:rPr>
              <w:fldChar w:fldCharType="begin"/>
            </w:r>
            <w:r w:rsidR="005503BA">
              <w:rPr>
                <w:noProof/>
                <w:webHidden/>
              </w:rPr>
              <w:instrText xml:space="preserve"> PAGEREF _Toc153894176 \h </w:instrText>
            </w:r>
            <w:r w:rsidR="005503BA">
              <w:rPr>
                <w:noProof/>
                <w:webHidden/>
              </w:rPr>
            </w:r>
            <w:r w:rsidR="005503BA">
              <w:rPr>
                <w:noProof/>
                <w:webHidden/>
              </w:rPr>
              <w:fldChar w:fldCharType="separate"/>
            </w:r>
            <w:r w:rsidR="005503BA">
              <w:rPr>
                <w:noProof/>
                <w:webHidden/>
              </w:rPr>
              <w:t>104</w:t>
            </w:r>
            <w:r w:rsidR="005503BA">
              <w:rPr>
                <w:noProof/>
                <w:webHidden/>
              </w:rPr>
              <w:fldChar w:fldCharType="end"/>
            </w:r>
          </w:hyperlink>
        </w:p>
        <w:p w14:paraId="5058DDB7" w14:textId="5CBED571"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77" w:history="1">
            <w:r w:rsidR="005503BA" w:rsidRPr="0062492F">
              <w:rPr>
                <w:rStyle w:val="Hyperlink"/>
                <w:noProof/>
              </w:rPr>
              <w:t>4.2.8.</w:t>
            </w:r>
            <w:r w:rsidR="005503BA">
              <w:rPr>
                <w:rFonts w:eastAsiaTheme="minorEastAsia" w:cstheme="minorBidi"/>
                <w:noProof/>
                <w:kern w:val="2"/>
                <w:sz w:val="22"/>
                <w:szCs w:val="22"/>
                <w14:ligatures w14:val="standardContextual"/>
              </w:rPr>
              <w:tab/>
            </w:r>
            <w:r w:rsidR="005503BA" w:rsidRPr="0062492F">
              <w:rPr>
                <w:rStyle w:val="Hyperlink"/>
                <w:noProof/>
              </w:rPr>
              <w:t>Quantitative data collection: online survey</w:t>
            </w:r>
            <w:r w:rsidR="005503BA">
              <w:rPr>
                <w:noProof/>
                <w:webHidden/>
              </w:rPr>
              <w:tab/>
            </w:r>
            <w:r w:rsidR="005503BA">
              <w:rPr>
                <w:noProof/>
                <w:webHidden/>
              </w:rPr>
              <w:fldChar w:fldCharType="begin"/>
            </w:r>
            <w:r w:rsidR="005503BA">
              <w:rPr>
                <w:noProof/>
                <w:webHidden/>
              </w:rPr>
              <w:instrText xml:space="preserve"> PAGEREF _Toc153894177 \h </w:instrText>
            </w:r>
            <w:r w:rsidR="005503BA">
              <w:rPr>
                <w:noProof/>
                <w:webHidden/>
              </w:rPr>
            </w:r>
            <w:r w:rsidR="005503BA">
              <w:rPr>
                <w:noProof/>
                <w:webHidden/>
              </w:rPr>
              <w:fldChar w:fldCharType="separate"/>
            </w:r>
            <w:r w:rsidR="005503BA">
              <w:rPr>
                <w:noProof/>
                <w:webHidden/>
              </w:rPr>
              <w:t>105</w:t>
            </w:r>
            <w:r w:rsidR="005503BA">
              <w:rPr>
                <w:noProof/>
                <w:webHidden/>
              </w:rPr>
              <w:fldChar w:fldCharType="end"/>
            </w:r>
          </w:hyperlink>
        </w:p>
        <w:p w14:paraId="7C3E9FBA" w14:textId="73D1C5F3"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78" w:history="1">
            <w:r w:rsidR="005503BA" w:rsidRPr="0062492F">
              <w:rPr>
                <w:rStyle w:val="Hyperlink"/>
                <w:noProof/>
              </w:rPr>
              <w:t>4.2.9.</w:t>
            </w:r>
            <w:r w:rsidR="005503BA">
              <w:rPr>
                <w:rFonts w:eastAsiaTheme="minorEastAsia" w:cstheme="minorBidi"/>
                <w:noProof/>
                <w:kern w:val="2"/>
                <w:sz w:val="22"/>
                <w:szCs w:val="22"/>
                <w14:ligatures w14:val="standardContextual"/>
              </w:rPr>
              <w:tab/>
            </w:r>
            <w:r w:rsidR="005503BA" w:rsidRPr="0062492F">
              <w:rPr>
                <w:rStyle w:val="Hyperlink"/>
                <w:noProof/>
              </w:rPr>
              <w:t>Qualitative data collection: interviews</w:t>
            </w:r>
            <w:r w:rsidR="005503BA">
              <w:rPr>
                <w:noProof/>
                <w:webHidden/>
              </w:rPr>
              <w:tab/>
            </w:r>
            <w:r w:rsidR="005503BA">
              <w:rPr>
                <w:noProof/>
                <w:webHidden/>
              </w:rPr>
              <w:fldChar w:fldCharType="begin"/>
            </w:r>
            <w:r w:rsidR="005503BA">
              <w:rPr>
                <w:noProof/>
                <w:webHidden/>
              </w:rPr>
              <w:instrText xml:space="preserve"> PAGEREF _Toc153894178 \h </w:instrText>
            </w:r>
            <w:r w:rsidR="005503BA">
              <w:rPr>
                <w:noProof/>
                <w:webHidden/>
              </w:rPr>
            </w:r>
            <w:r w:rsidR="005503BA">
              <w:rPr>
                <w:noProof/>
                <w:webHidden/>
              </w:rPr>
              <w:fldChar w:fldCharType="separate"/>
            </w:r>
            <w:r w:rsidR="005503BA">
              <w:rPr>
                <w:noProof/>
                <w:webHidden/>
              </w:rPr>
              <w:t>112</w:t>
            </w:r>
            <w:r w:rsidR="005503BA">
              <w:rPr>
                <w:noProof/>
                <w:webHidden/>
              </w:rPr>
              <w:fldChar w:fldCharType="end"/>
            </w:r>
          </w:hyperlink>
        </w:p>
        <w:p w14:paraId="09829224" w14:textId="47517780"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79" w:history="1">
            <w:r w:rsidR="005503BA" w:rsidRPr="0062492F">
              <w:rPr>
                <w:rStyle w:val="Hyperlink"/>
                <w:noProof/>
                <w:lang w:val="en-GB"/>
              </w:rPr>
              <w:t>4.2.10.</w:t>
            </w:r>
            <w:r w:rsidR="005503BA">
              <w:rPr>
                <w:rFonts w:eastAsiaTheme="minorEastAsia" w:cstheme="minorBidi"/>
                <w:noProof/>
                <w:kern w:val="2"/>
                <w:sz w:val="22"/>
                <w:szCs w:val="22"/>
                <w14:ligatures w14:val="standardContextual"/>
              </w:rPr>
              <w:tab/>
            </w:r>
            <w:r w:rsidR="005503BA" w:rsidRPr="0062492F">
              <w:rPr>
                <w:rStyle w:val="Hyperlink"/>
                <w:noProof/>
                <w:shd w:val="clear" w:color="auto" w:fill="FFFFFF"/>
                <w:lang w:val="en-GB"/>
              </w:rPr>
              <w:t>Data analysis techniques</w:t>
            </w:r>
            <w:r w:rsidR="005503BA">
              <w:rPr>
                <w:noProof/>
                <w:webHidden/>
              </w:rPr>
              <w:tab/>
            </w:r>
            <w:r w:rsidR="005503BA">
              <w:rPr>
                <w:noProof/>
                <w:webHidden/>
              </w:rPr>
              <w:fldChar w:fldCharType="begin"/>
            </w:r>
            <w:r w:rsidR="005503BA">
              <w:rPr>
                <w:noProof/>
                <w:webHidden/>
              </w:rPr>
              <w:instrText xml:space="preserve"> PAGEREF _Toc153894179 \h </w:instrText>
            </w:r>
            <w:r w:rsidR="005503BA">
              <w:rPr>
                <w:noProof/>
                <w:webHidden/>
              </w:rPr>
            </w:r>
            <w:r w:rsidR="005503BA">
              <w:rPr>
                <w:noProof/>
                <w:webHidden/>
              </w:rPr>
              <w:fldChar w:fldCharType="separate"/>
            </w:r>
            <w:r w:rsidR="005503BA">
              <w:rPr>
                <w:noProof/>
                <w:webHidden/>
              </w:rPr>
              <w:t>118</w:t>
            </w:r>
            <w:r w:rsidR="005503BA">
              <w:rPr>
                <w:noProof/>
                <w:webHidden/>
              </w:rPr>
              <w:fldChar w:fldCharType="end"/>
            </w:r>
          </w:hyperlink>
        </w:p>
        <w:p w14:paraId="712D3462" w14:textId="32F64318"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80" w:history="1">
            <w:r w:rsidR="005503BA" w:rsidRPr="0062492F">
              <w:rPr>
                <w:rStyle w:val="Hyperlink"/>
                <w:noProof/>
              </w:rPr>
              <w:t>4.2.11.</w:t>
            </w:r>
            <w:r w:rsidR="005503BA">
              <w:rPr>
                <w:rFonts w:eastAsiaTheme="minorEastAsia" w:cstheme="minorBidi"/>
                <w:noProof/>
                <w:kern w:val="2"/>
                <w:sz w:val="22"/>
                <w:szCs w:val="22"/>
                <w14:ligatures w14:val="standardContextual"/>
              </w:rPr>
              <w:tab/>
            </w:r>
            <w:r w:rsidR="005503BA" w:rsidRPr="0062492F">
              <w:rPr>
                <w:rStyle w:val="Hyperlink"/>
                <w:noProof/>
              </w:rPr>
              <w:t>Quantitative data analysis</w:t>
            </w:r>
            <w:r w:rsidR="005503BA">
              <w:rPr>
                <w:noProof/>
                <w:webHidden/>
              </w:rPr>
              <w:tab/>
            </w:r>
            <w:r w:rsidR="005503BA">
              <w:rPr>
                <w:noProof/>
                <w:webHidden/>
              </w:rPr>
              <w:fldChar w:fldCharType="begin"/>
            </w:r>
            <w:r w:rsidR="005503BA">
              <w:rPr>
                <w:noProof/>
                <w:webHidden/>
              </w:rPr>
              <w:instrText xml:space="preserve"> PAGEREF _Toc153894180 \h </w:instrText>
            </w:r>
            <w:r w:rsidR="005503BA">
              <w:rPr>
                <w:noProof/>
                <w:webHidden/>
              </w:rPr>
            </w:r>
            <w:r w:rsidR="005503BA">
              <w:rPr>
                <w:noProof/>
                <w:webHidden/>
              </w:rPr>
              <w:fldChar w:fldCharType="separate"/>
            </w:r>
            <w:r w:rsidR="005503BA">
              <w:rPr>
                <w:noProof/>
                <w:webHidden/>
              </w:rPr>
              <w:t>118</w:t>
            </w:r>
            <w:r w:rsidR="005503BA">
              <w:rPr>
                <w:noProof/>
                <w:webHidden/>
              </w:rPr>
              <w:fldChar w:fldCharType="end"/>
            </w:r>
          </w:hyperlink>
        </w:p>
        <w:p w14:paraId="6E3F947A" w14:textId="2A7987A0"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81" w:history="1">
            <w:r w:rsidR="005503BA" w:rsidRPr="0062492F">
              <w:rPr>
                <w:rStyle w:val="Hyperlink"/>
                <w:noProof/>
              </w:rPr>
              <w:t>4.2.12.</w:t>
            </w:r>
            <w:r w:rsidR="005503BA">
              <w:rPr>
                <w:rFonts w:eastAsiaTheme="minorEastAsia" w:cstheme="minorBidi"/>
                <w:noProof/>
                <w:kern w:val="2"/>
                <w:sz w:val="22"/>
                <w:szCs w:val="22"/>
                <w14:ligatures w14:val="standardContextual"/>
              </w:rPr>
              <w:tab/>
            </w:r>
            <w:r w:rsidR="005503BA" w:rsidRPr="0062492F">
              <w:rPr>
                <w:rStyle w:val="Hyperlink"/>
                <w:noProof/>
                <w:shd w:val="clear" w:color="auto" w:fill="FFFFFF"/>
              </w:rPr>
              <w:t>Qualitative data analysis</w:t>
            </w:r>
            <w:r w:rsidR="005503BA">
              <w:rPr>
                <w:noProof/>
                <w:webHidden/>
              </w:rPr>
              <w:tab/>
            </w:r>
            <w:r w:rsidR="005503BA">
              <w:rPr>
                <w:noProof/>
                <w:webHidden/>
              </w:rPr>
              <w:fldChar w:fldCharType="begin"/>
            </w:r>
            <w:r w:rsidR="005503BA">
              <w:rPr>
                <w:noProof/>
                <w:webHidden/>
              </w:rPr>
              <w:instrText xml:space="preserve"> PAGEREF _Toc153894181 \h </w:instrText>
            </w:r>
            <w:r w:rsidR="005503BA">
              <w:rPr>
                <w:noProof/>
                <w:webHidden/>
              </w:rPr>
            </w:r>
            <w:r w:rsidR="005503BA">
              <w:rPr>
                <w:noProof/>
                <w:webHidden/>
              </w:rPr>
              <w:fldChar w:fldCharType="separate"/>
            </w:r>
            <w:r w:rsidR="005503BA">
              <w:rPr>
                <w:noProof/>
                <w:webHidden/>
              </w:rPr>
              <w:t>121</w:t>
            </w:r>
            <w:r w:rsidR="005503BA">
              <w:rPr>
                <w:noProof/>
                <w:webHidden/>
              </w:rPr>
              <w:fldChar w:fldCharType="end"/>
            </w:r>
          </w:hyperlink>
        </w:p>
        <w:p w14:paraId="182FF659" w14:textId="0CC1F32F"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82" w:history="1">
            <w:r w:rsidR="005503BA" w:rsidRPr="0062492F">
              <w:rPr>
                <w:rStyle w:val="Hyperlink"/>
                <w:noProof/>
              </w:rPr>
              <w:t>4.2.13.</w:t>
            </w:r>
            <w:r w:rsidR="005503BA">
              <w:rPr>
                <w:rFonts w:eastAsiaTheme="minorEastAsia" w:cstheme="minorBidi"/>
                <w:noProof/>
                <w:kern w:val="2"/>
                <w:sz w:val="22"/>
                <w:szCs w:val="22"/>
                <w14:ligatures w14:val="standardContextual"/>
              </w:rPr>
              <w:tab/>
            </w:r>
            <w:r w:rsidR="005503BA" w:rsidRPr="0062492F">
              <w:rPr>
                <w:rStyle w:val="Hyperlink"/>
                <w:noProof/>
                <w:shd w:val="clear" w:color="auto" w:fill="FFFFFF"/>
              </w:rPr>
              <w:t>Triangulation protocol</w:t>
            </w:r>
            <w:r w:rsidR="005503BA">
              <w:rPr>
                <w:noProof/>
                <w:webHidden/>
              </w:rPr>
              <w:tab/>
            </w:r>
            <w:r w:rsidR="005503BA">
              <w:rPr>
                <w:noProof/>
                <w:webHidden/>
              </w:rPr>
              <w:fldChar w:fldCharType="begin"/>
            </w:r>
            <w:r w:rsidR="005503BA">
              <w:rPr>
                <w:noProof/>
                <w:webHidden/>
              </w:rPr>
              <w:instrText xml:space="preserve"> PAGEREF _Toc153894182 \h </w:instrText>
            </w:r>
            <w:r w:rsidR="005503BA">
              <w:rPr>
                <w:noProof/>
                <w:webHidden/>
              </w:rPr>
            </w:r>
            <w:r w:rsidR="005503BA">
              <w:rPr>
                <w:noProof/>
                <w:webHidden/>
              </w:rPr>
              <w:fldChar w:fldCharType="separate"/>
            </w:r>
            <w:r w:rsidR="005503BA">
              <w:rPr>
                <w:noProof/>
                <w:webHidden/>
              </w:rPr>
              <w:t>128</w:t>
            </w:r>
            <w:r w:rsidR="005503BA">
              <w:rPr>
                <w:noProof/>
                <w:webHidden/>
              </w:rPr>
              <w:fldChar w:fldCharType="end"/>
            </w:r>
          </w:hyperlink>
        </w:p>
        <w:p w14:paraId="030A68B6" w14:textId="70029566"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83" w:history="1">
            <w:r w:rsidR="005503BA" w:rsidRPr="0062492F">
              <w:rPr>
                <w:rStyle w:val="Hyperlink"/>
                <w:noProof/>
              </w:rPr>
              <w:t>4.2.14.</w:t>
            </w:r>
            <w:r w:rsidR="005503BA">
              <w:rPr>
                <w:rFonts w:eastAsiaTheme="minorEastAsia" w:cstheme="minorBidi"/>
                <w:noProof/>
                <w:kern w:val="2"/>
                <w:sz w:val="22"/>
                <w:szCs w:val="22"/>
                <w14:ligatures w14:val="standardContextual"/>
              </w:rPr>
              <w:tab/>
            </w:r>
            <w:r w:rsidR="005503BA" w:rsidRPr="0062492F">
              <w:rPr>
                <w:rStyle w:val="Hyperlink"/>
                <w:noProof/>
                <w:shd w:val="clear" w:color="auto" w:fill="FFFFFF"/>
              </w:rPr>
              <w:t>Adherence to reporting guidelines of mixed methods research</w:t>
            </w:r>
            <w:r w:rsidR="005503BA">
              <w:rPr>
                <w:noProof/>
                <w:webHidden/>
              </w:rPr>
              <w:tab/>
            </w:r>
            <w:r w:rsidR="005503BA">
              <w:rPr>
                <w:noProof/>
                <w:webHidden/>
              </w:rPr>
              <w:fldChar w:fldCharType="begin"/>
            </w:r>
            <w:r w:rsidR="005503BA">
              <w:rPr>
                <w:noProof/>
                <w:webHidden/>
              </w:rPr>
              <w:instrText xml:space="preserve"> PAGEREF _Toc153894183 \h </w:instrText>
            </w:r>
            <w:r w:rsidR="005503BA">
              <w:rPr>
                <w:noProof/>
                <w:webHidden/>
              </w:rPr>
            </w:r>
            <w:r w:rsidR="005503BA">
              <w:rPr>
                <w:noProof/>
                <w:webHidden/>
              </w:rPr>
              <w:fldChar w:fldCharType="separate"/>
            </w:r>
            <w:r w:rsidR="005503BA">
              <w:rPr>
                <w:noProof/>
                <w:webHidden/>
              </w:rPr>
              <w:t>131</w:t>
            </w:r>
            <w:r w:rsidR="005503BA">
              <w:rPr>
                <w:noProof/>
                <w:webHidden/>
              </w:rPr>
              <w:fldChar w:fldCharType="end"/>
            </w:r>
          </w:hyperlink>
        </w:p>
        <w:p w14:paraId="415FC052" w14:textId="39AFEAA9"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84" w:history="1">
            <w:r w:rsidR="005503BA" w:rsidRPr="0062492F">
              <w:rPr>
                <w:rStyle w:val="Hyperlink"/>
                <w:noProof/>
              </w:rPr>
              <w:t>4.3.</w:t>
            </w:r>
            <w:r w:rsidR="005503BA">
              <w:rPr>
                <w:rFonts w:eastAsiaTheme="minorEastAsia" w:cstheme="minorBidi"/>
                <w:b w:val="0"/>
                <w:bCs w:val="0"/>
                <w:noProof/>
                <w:kern w:val="2"/>
                <w14:ligatures w14:val="standardContextual"/>
              </w:rPr>
              <w:tab/>
            </w:r>
            <w:r w:rsidR="005503BA" w:rsidRPr="0062492F">
              <w:rPr>
                <w:rStyle w:val="Hyperlink"/>
                <w:noProof/>
              </w:rPr>
              <w:t>Ethical and regulatory considerations</w:t>
            </w:r>
            <w:r w:rsidR="005503BA">
              <w:rPr>
                <w:noProof/>
                <w:webHidden/>
              </w:rPr>
              <w:tab/>
            </w:r>
            <w:r w:rsidR="005503BA">
              <w:rPr>
                <w:noProof/>
                <w:webHidden/>
              </w:rPr>
              <w:fldChar w:fldCharType="begin"/>
            </w:r>
            <w:r w:rsidR="005503BA">
              <w:rPr>
                <w:noProof/>
                <w:webHidden/>
              </w:rPr>
              <w:instrText xml:space="preserve"> PAGEREF _Toc153894184 \h </w:instrText>
            </w:r>
            <w:r w:rsidR="005503BA">
              <w:rPr>
                <w:noProof/>
                <w:webHidden/>
              </w:rPr>
            </w:r>
            <w:r w:rsidR="005503BA">
              <w:rPr>
                <w:noProof/>
                <w:webHidden/>
              </w:rPr>
              <w:fldChar w:fldCharType="separate"/>
            </w:r>
            <w:r w:rsidR="005503BA">
              <w:rPr>
                <w:noProof/>
                <w:webHidden/>
              </w:rPr>
              <w:t>131</w:t>
            </w:r>
            <w:r w:rsidR="005503BA">
              <w:rPr>
                <w:noProof/>
                <w:webHidden/>
              </w:rPr>
              <w:fldChar w:fldCharType="end"/>
            </w:r>
          </w:hyperlink>
        </w:p>
        <w:p w14:paraId="1161D818" w14:textId="07B7C06D"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85" w:history="1">
            <w:r w:rsidR="005503BA" w:rsidRPr="0062492F">
              <w:rPr>
                <w:rStyle w:val="Hyperlink"/>
                <w:noProof/>
              </w:rPr>
              <w:t>4.3.1.</w:t>
            </w:r>
            <w:r w:rsidR="005503BA">
              <w:rPr>
                <w:rFonts w:eastAsiaTheme="minorEastAsia" w:cstheme="minorBidi"/>
                <w:noProof/>
                <w:kern w:val="2"/>
                <w:sz w:val="22"/>
                <w:szCs w:val="22"/>
                <w14:ligatures w14:val="standardContextual"/>
              </w:rPr>
              <w:tab/>
            </w:r>
            <w:r w:rsidR="005503BA" w:rsidRPr="0062492F">
              <w:rPr>
                <w:rStyle w:val="Hyperlink"/>
                <w:noProof/>
              </w:rPr>
              <w:t>Data management</w:t>
            </w:r>
            <w:r w:rsidR="005503BA">
              <w:rPr>
                <w:noProof/>
                <w:webHidden/>
              </w:rPr>
              <w:tab/>
            </w:r>
            <w:r w:rsidR="005503BA">
              <w:rPr>
                <w:noProof/>
                <w:webHidden/>
              </w:rPr>
              <w:fldChar w:fldCharType="begin"/>
            </w:r>
            <w:r w:rsidR="005503BA">
              <w:rPr>
                <w:noProof/>
                <w:webHidden/>
              </w:rPr>
              <w:instrText xml:space="preserve"> PAGEREF _Toc153894185 \h </w:instrText>
            </w:r>
            <w:r w:rsidR="005503BA">
              <w:rPr>
                <w:noProof/>
                <w:webHidden/>
              </w:rPr>
            </w:r>
            <w:r w:rsidR="005503BA">
              <w:rPr>
                <w:noProof/>
                <w:webHidden/>
              </w:rPr>
              <w:fldChar w:fldCharType="separate"/>
            </w:r>
            <w:r w:rsidR="005503BA">
              <w:rPr>
                <w:noProof/>
                <w:webHidden/>
              </w:rPr>
              <w:t>131</w:t>
            </w:r>
            <w:r w:rsidR="005503BA">
              <w:rPr>
                <w:noProof/>
                <w:webHidden/>
              </w:rPr>
              <w:fldChar w:fldCharType="end"/>
            </w:r>
          </w:hyperlink>
        </w:p>
        <w:p w14:paraId="71ABD414" w14:textId="1DF96DF1"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86" w:history="1">
            <w:r w:rsidR="005503BA" w:rsidRPr="0062492F">
              <w:rPr>
                <w:rStyle w:val="Hyperlink"/>
                <w:noProof/>
              </w:rPr>
              <w:t>4.3.2.</w:t>
            </w:r>
            <w:r w:rsidR="005503BA">
              <w:rPr>
                <w:rFonts w:eastAsiaTheme="minorEastAsia" w:cstheme="minorBidi"/>
                <w:noProof/>
                <w:kern w:val="2"/>
                <w:sz w:val="22"/>
                <w:szCs w:val="22"/>
                <w14:ligatures w14:val="standardContextual"/>
              </w:rPr>
              <w:tab/>
            </w:r>
            <w:r w:rsidR="005503BA" w:rsidRPr="0062492F">
              <w:rPr>
                <w:rStyle w:val="Hyperlink"/>
                <w:noProof/>
              </w:rPr>
              <w:t>Ethical considerations</w:t>
            </w:r>
            <w:r w:rsidR="005503BA">
              <w:rPr>
                <w:noProof/>
                <w:webHidden/>
              </w:rPr>
              <w:tab/>
            </w:r>
            <w:r w:rsidR="005503BA">
              <w:rPr>
                <w:noProof/>
                <w:webHidden/>
              </w:rPr>
              <w:fldChar w:fldCharType="begin"/>
            </w:r>
            <w:r w:rsidR="005503BA">
              <w:rPr>
                <w:noProof/>
                <w:webHidden/>
              </w:rPr>
              <w:instrText xml:space="preserve"> PAGEREF _Toc153894186 \h </w:instrText>
            </w:r>
            <w:r w:rsidR="005503BA">
              <w:rPr>
                <w:noProof/>
                <w:webHidden/>
              </w:rPr>
            </w:r>
            <w:r w:rsidR="005503BA">
              <w:rPr>
                <w:noProof/>
                <w:webHidden/>
              </w:rPr>
              <w:fldChar w:fldCharType="separate"/>
            </w:r>
            <w:r w:rsidR="005503BA">
              <w:rPr>
                <w:noProof/>
                <w:webHidden/>
              </w:rPr>
              <w:t>133</w:t>
            </w:r>
            <w:r w:rsidR="005503BA">
              <w:rPr>
                <w:noProof/>
                <w:webHidden/>
              </w:rPr>
              <w:fldChar w:fldCharType="end"/>
            </w:r>
          </w:hyperlink>
        </w:p>
        <w:p w14:paraId="67F3E86B" w14:textId="16AEF508"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87" w:history="1">
            <w:r w:rsidR="005503BA" w:rsidRPr="0062492F">
              <w:rPr>
                <w:rStyle w:val="Hyperlink"/>
                <w:noProof/>
              </w:rPr>
              <w:t>4.4.</w:t>
            </w:r>
            <w:r w:rsidR="005503BA">
              <w:rPr>
                <w:rFonts w:eastAsiaTheme="minorEastAsia" w:cstheme="minorBidi"/>
                <w:b w:val="0"/>
                <w:bCs w:val="0"/>
                <w:noProof/>
                <w:kern w:val="2"/>
                <w14:ligatures w14:val="standardContextual"/>
              </w:rPr>
              <w:tab/>
            </w:r>
            <w:r w:rsidR="005503BA" w:rsidRPr="0062492F">
              <w:rPr>
                <w:rStyle w:val="Hyperlink"/>
                <w:noProof/>
              </w:rPr>
              <w:t>Methodological limitations</w:t>
            </w:r>
            <w:r w:rsidR="005503BA">
              <w:rPr>
                <w:noProof/>
                <w:webHidden/>
              </w:rPr>
              <w:tab/>
            </w:r>
            <w:r w:rsidR="005503BA">
              <w:rPr>
                <w:noProof/>
                <w:webHidden/>
              </w:rPr>
              <w:fldChar w:fldCharType="begin"/>
            </w:r>
            <w:r w:rsidR="005503BA">
              <w:rPr>
                <w:noProof/>
                <w:webHidden/>
              </w:rPr>
              <w:instrText xml:space="preserve"> PAGEREF _Toc153894187 \h </w:instrText>
            </w:r>
            <w:r w:rsidR="005503BA">
              <w:rPr>
                <w:noProof/>
                <w:webHidden/>
              </w:rPr>
            </w:r>
            <w:r w:rsidR="005503BA">
              <w:rPr>
                <w:noProof/>
                <w:webHidden/>
              </w:rPr>
              <w:fldChar w:fldCharType="separate"/>
            </w:r>
            <w:r w:rsidR="005503BA">
              <w:rPr>
                <w:noProof/>
                <w:webHidden/>
              </w:rPr>
              <w:t>136</w:t>
            </w:r>
            <w:r w:rsidR="005503BA">
              <w:rPr>
                <w:noProof/>
                <w:webHidden/>
              </w:rPr>
              <w:fldChar w:fldCharType="end"/>
            </w:r>
          </w:hyperlink>
        </w:p>
        <w:p w14:paraId="1328331B" w14:textId="5AE76A0F"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88" w:history="1">
            <w:r w:rsidR="005503BA" w:rsidRPr="0062492F">
              <w:rPr>
                <w:rStyle w:val="Hyperlink"/>
                <w:noProof/>
              </w:rPr>
              <w:t>4.5.</w:t>
            </w:r>
            <w:r w:rsidR="005503BA">
              <w:rPr>
                <w:rFonts w:eastAsiaTheme="minorEastAsia" w:cstheme="minorBidi"/>
                <w:b w:val="0"/>
                <w:bCs w:val="0"/>
                <w:noProof/>
                <w:kern w:val="2"/>
                <w14:ligatures w14:val="standardContextual"/>
              </w:rPr>
              <w:tab/>
            </w:r>
            <w:r w:rsidR="005503BA" w:rsidRPr="0062492F">
              <w:rPr>
                <w:rStyle w:val="Hyperlink"/>
                <w:noProof/>
              </w:rPr>
              <w:t>Conclusion</w:t>
            </w:r>
            <w:r w:rsidR="005503BA">
              <w:rPr>
                <w:noProof/>
                <w:webHidden/>
              </w:rPr>
              <w:tab/>
            </w:r>
            <w:r w:rsidR="005503BA">
              <w:rPr>
                <w:noProof/>
                <w:webHidden/>
              </w:rPr>
              <w:fldChar w:fldCharType="begin"/>
            </w:r>
            <w:r w:rsidR="005503BA">
              <w:rPr>
                <w:noProof/>
                <w:webHidden/>
              </w:rPr>
              <w:instrText xml:space="preserve"> PAGEREF _Toc153894188 \h </w:instrText>
            </w:r>
            <w:r w:rsidR="005503BA">
              <w:rPr>
                <w:noProof/>
                <w:webHidden/>
              </w:rPr>
            </w:r>
            <w:r w:rsidR="005503BA">
              <w:rPr>
                <w:noProof/>
                <w:webHidden/>
              </w:rPr>
              <w:fldChar w:fldCharType="separate"/>
            </w:r>
            <w:r w:rsidR="005503BA">
              <w:rPr>
                <w:noProof/>
                <w:webHidden/>
              </w:rPr>
              <w:t>137</w:t>
            </w:r>
            <w:r w:rsidR="005503BA">
              <w:rPr>
                <w:noProof/>
                <w:webHidden/>
              </w:rPr>
              <w:fldChar w:fldCharType="end"/>
            </w:r>
          </w:hyperlink>
        </w:p>
        <w:p w14:paraId="083D4B4F" w14:textId="6C196B40" w:rsidR="005503BA" w:rsidRDefault="00000000" w:rsidP="00E92158">
          <w:pPr>
            <w:pStyle w:val="TOC1"/>
            <w:rPr>
              <w:rFonts w:eastAsiaTheme="minorEastAsia" w:cstheme="minorBidi"/>
              <w:noProof/>
              <w:kern w:val="2"/>
              <w:sz w:val="22"/>
              <w:szCs w:val="22"/>
              <w14:ligatures w14:val="standardContextual"/>
            </w:rPr>
          </w:pPr>
          <w:hyperlink w:anchor="_Toc153894189" w:history="1">
            <w:r w:rsidR="005503BA" w:rsidRPr="0062492F">
              <w:rPr>
                <w:rStyle w:val="Hyperlink"/>
                <w:noProof/>
              </w:rPr>
              <w:t>5.</w:t>
            </w:r>
            <w:r w:rsidR="005503BA">
              <w:rPr>
                <w:rFonts w:eastAsiaTheme="minorEastAsia" w:cstheme="minorBidi"/>
                <w:noProof/>
                <w:kern w:val="2"/>
                <w:sz w:val="22"/>
                <w:szCs w:val="22"/>
                <w14:ligatures w14:val="standardContextual"/>
              </w:rPr>
              <w:tab/>
            </w:r>
            <w:r w:rsidR="005503BA" w:rsidRPr="0062492F">
              <w:rPr>
                <w:rStyle w:val="Hyperlink"/>
                <w:noProof/>
              </w:rPr>
              <w:t>Chapter Five: Quantitative Results</w:t>
            </w:r>
            <w:r w:rsidR="005503BA">
              <w:rPr>
                <w:noProof/>
                <w:webHidden/>
              </w:rPr>
              <w:tab/>
            </w:r>
            <w:r w:rsidR="005503BA">
              <w:rPr>
                <w:noProof/>
                <w:webHidden/>
              </w:rPr>
              <w:fldChar w:fldCharType="begin"/>
            </w:r>
            <w:r w:rsidR="005503BA">
              <w:rPr>
                <w:noProof/>
                <w:webHidden/>
              </w:rPr>
              <w:instrText xml:space="preserve"> PAGEREF _Toc153894189 \h </w:instrText>
            </w:r>
            <w:r w:rsidR="005503BA">
              <w:rPr>
                <w:noProof/>
                <w:webHidden/>
              </w:rPr>
            </w:r>
            <w:r w:rsidR="005503BA">
              <w:rPr>
                <w:noProof/>
                <w:webHidden/>
              </w:rPr>
              <w:fldChar w:fldCharType="separate"/>
            </w:r>
            <w:r w:rsidR="005503BA">
              <w:rPr>
                <w:noProof/>
                <w:webHidden/>
              </w:rPr>
              <w:t>139</w:t>
            </w:r>
            <w:r w:rsidR="005503BA">
              <w:rPr>
                <w:noProof/>
                <w:webHidden/>
              </w:rPr>
              <w:fldChar w:fldCharType="end"/>
            </w:r>
          </w:hyperlink>
        </w:p>
        <w:p w14:paraId="327EC787" w14:textId="2C0211EF"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90" w:history="1">
            <w:r w:rsidR="005503BA" w:rsidRPr="0062492F">
              <w:rPr>
                <w:rStyle w:val="Hyperlink"/>
                <w:noProof/>
              </w:rPr>
              <w:t>5.1.</w:t>
            </w:r>
            <w:r w:rsidR="005503BA">
              <w:rPr>
                <w:rFonts w:eastAsiaTheme="minorEastAsia" w:cstheme="minorBidi"/>
                <w:b w:val="0"/>
                <w:bCs w:val="0"/>
                <w:noProof/>
                <w:kern w:val="2"/>
                <w14:ligatures w14:val="standardContextual"/>
              </w:rPr>
              <w:tab/>
            </w:r>
            <w:r w:rsidR="005503BA" w:rsidRPr="0062492F">
              <w:rPr>
                <w:rStyle w:val="Hyperlink"/>
                <w:noProof/>
              </w:rPr>
              <w:t>Survey results</w:t>
            </w:r>
            <w:r w:rsidR="005503BA">
              <w:rPr>
                <w:noProof/>
                <w:webHidden/>
              </w:rPr>
              <w:tab/>
            </w:r>
            <w:r w:rsidR="005503BA">
              <w:rPr>
                <w:noProof/>
                <w:webHidden/>
              </w:rPr>
              <w:fldChar w:fldCharType="begin"/>
            </w:r>
            <w:r w:rsidR="005503BA">
              <w:rPr>
                <w:noProof/>
                <w:webHidden/>
              </w:rPr>
              <w:instrText xml:space="preserve"> PAGEREF _Toc153894190 \h </w:instrText>
            </w:r>
            <w:r w:rsidR="005503BA">
              <w:rPr>
                <w:noProof/>
                <w:webHidden/>
              </w:rPr>
            </w:r>
            <w:r w:rsidR="005503BA">
              <w:rPr>
                <w:noProof/>
                <w:webHidden/>
              </w:rPr>
              <w:fldChar w:fldCharType="separate"/>
            </w:r>
            <w:r w:rsidR="005503BA">
              <w:rPr>
                <w:noProof/>
                <w:webHidden/>
              </w:rPr>
              <w:t>139</w:t>
            </w:r>
            <w:r w:rsidR="005503BA">
              <w:rPr>
                <w:noProof/>
                <w:webHidden/>
              </w:rPr>
              <w:fldChar w:fldCharType="end"/>
            </w:r>
          </w:hyperlink>
        </w:p>
        <w:p w14:paraId="44B957DD" w14:textId="50A0A6EE"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91" w:history="1">
            <w:r w:rsidR="005503BA" w:rsidRPr="0062492F">
              <w:rPr>
                <w:rStyle w:val="Hyperlink"/>
                <w:noProof/>
              </w:rPr>
              <w:t>5.1.1.</w:t>
            </w:r>
            <w:r w:rsidR="005503BA">
              <w:rPr>
                <w:rFonts w:eastAsiaTheme="minorEastAsia" w:cstheme="minorBidi"/>
                <w:noProof/>
                <w:kern w:val="2"/>
                <w:sz w:val="22"/>
                <w:szCs w:val="22"/>
                <w14:ligatures w14:val="standardContextual"/>
              </w:rPr>
              <w:tab/>
            </w:r>
            <w:r w:rsidR="005503BA" w:rsidRPr="0062492F">
              <w:rPr>
                <w:rStyle w:val="Hyperlink"/>
                <w:noProof/>
              </w:rPr>
              <w:t>Response rate</w:t>
            </w:r>
            <w:r w:rsidR="005503BA">
              <w:rPr>
                <w:noProof/>
                <w:webHidden/>
              </w:rPr>
              <w:tab/>
            </w:r>
            <w:r w:rsidR="005503BA">
              <w:rPr>
                <w:noProof/>
                <w:webHidden/>
              </w:rPr>
              <w:fldChar w:fldCharType="begin"/>
            </w:r>
            <w:r w:rsidR="005503BA">
              <w:rPr>
                <w:noProof/>
                <w:webHidden/>
              </w:rPr>
              <w:instrText xml:space="preserve"> PAGEREF _Toc153894191 \h </w:instrText>
            </w:r>
            <w:r w:rsidR="005503BA">
              <w:rPr>
                <w:noProof/>
                <w:webHidden/>
              </w:rPr>
            </w:r>
            <w:r w:rsidR="005503BA">
              <w:rPr>
                <w:noProof/>
                <w:webHidden/>
              </w:rPr>
              <w:fldChar w:fldCharType="separate"/>
            </w:r>
            <w:r w:rsidR="005503BA">
              <w:rPr>
                <w:noProof/>
                <w:webHidden/>
              </w:rPr>
              <w:t>139</w:t>
            </w:r>
            <w:r w:rsidR="005503BA">
              <w:rPr>
                <w:noProof/>
                <w:webHidden/>
              </w:rPr>
              <w:fldChar w:fldCharType="end"/>
            </w:r>
          </w:hyperlink>
        </w:p>
        <w:p w14:paraId="156CA09D" w14:textId="4CFA4325"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92" w:history="1">
            <w:r w:rsidR="005503BA" w:rsidRPr="0062492F">
              <w:rPr>
                <w:rStyle w:val="Hyperlink"/>
                <w:noProof/>
              </w:rPr>
              <w:t>5.1.2.</w:t>
            </w:r>
            <w:r w:rsidR="005503BA">
              <w:rPr>
                <w:rFonts w:eastAsiaTheme="minorEastAsia" w:cstheme="minorBidi"/>
                <w:noProof/>
                <w:kern w:val="2"/>
                <w:sz w:val="22"/>
                <w:szCs w:val="22"/>
                <w14:ligatures w14:val="standardContextual"/>
              </w:rPr>
              <w:tab/>
            </w:r>
            <w:r w:rsidR="005503BA" w:rsidRPr="0062492F">
              <w:rPr>
                <w:rStyle w:val="Hyperlink"/>
                <w:noProof/>
              </w:rPr>
              <w:t>Participants' demographic information</w:t>
            </w:r>
            <w:r w:rsidR="005503BA">
              <w:rPr>
                <w:noProof/>
                <w:webHidden/>
              </w:rPr>
              <w:tab/>
            </w:r>
            <w:r w:rsidR="005503BA">
              <w:rPr>
                <w:noProof/>
                <w:webHidden/>
              </w:rPr>
              <w:fldChar w:fldCharType="begin"/>
            </w:r>
            <w:r w:rsidR="005503BA">
              <w:rPr>
                <w:noProof/>
                <w:webHidden/>
              </w:rPr>
              <w:instrText xml:space="preserve"> PAGEREF _Toc153894192 \h </w:instrText>
            </w:r>
            <w:r w:rsidR="005503BA">
              <w:rPr>
                <w:noProof/>
                <w:webHidden/>
              </w:rPr>
            </w:r>
            <w:r w:rsidR="005503BA">
              <w:rPr>
                <w:noProof/>
                <w:webHidden/>
              </w:rPr>
              <w:fldChar w:fldCharType="separate"/>
            </w:r>
            <w:r w:rsidR="005503BA">
              <w:rPr>
                <w:noProof/>
                <w:webHidden/>
              </w:rPr>
              <w:t>140</w:t>
            </w:r>
            <w:r w:rsidR="005503BA">
              <w:rPr>
                <w:noProof/>
                <w:webHidden/>
              </w:rPr>
              <w:fldChar w:fldCharType="end"/>
            </w:r>
          </w:hyperlink>
        </w:p>
        <w:p w14:paraId="035A6D06" w14:textId="78299052"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93" w:history="1">
            <w:r w:rsidR="005503BA" w:rsidRPr="0062492F">
              <w:rPr>
                <w:rStyle w:val="Hyperlink"/>
                <w:noProof/>
              </w:rPr>
              <w:t>5.1.3.</w:t>
            </w:r>
            <w:r w:rsidR="005503BA">
              <w:rPr>
                <w:rFonts w:eastAsiaTheme="minorEastAsia" w:cstheme="minorBidi"/>
                <w:noProof/>
                <w:kern w:val="2"/>
                <w:sz w:val="22"/>
                <w:szCs w:val="22"/>
                <w14:ligatures w14:val="standardContextual"/>
              </w:rPr>
              <w:tab/>
            </w:r>
            <w:r w:rsidR="005503BA" w:rsidRPr="0062492F">
              <w:rPr>
                <w:rStyle w:val="Hyperlink"/>
                <w:noProof/>
              </w:rPr>
              <w:t>Pharmaceutical Care Services Provided to Patients with Diabetes</w:t>
            </w:r>
            <w:r w:rsidR="005503BA">
              <w:rPr>
                <w:noProof/>
                <w:webHidden/>
              </w:rPr>
              <w:tab/>
            </w:r>
            <w:r w:rsidR="005503BA">
              <w:rPr>
                <w:noProof/>
                <w:webHidden/>
              </w:rPr>
              <w:fldChar w:fldCharType="begin"/>
            </w:r>
            <w:r w:rsidR="005503BA">
              <w:rPr>
                <w:noProof/>
                <w:webHidden/>
              </w:rPr>
              <w:instrText xml:space="preserve"> PAGEREF _Toc153894193 \h </w:instrText>
            </w:r>
            <w:r w:rsidR="005503BA">
              <w:rPr>
                <w:noProof/>
                <w:webHidden/>
              </w:rPr>
            </w:r>
            <w:r w:rsidR="005503BA">
              <w:rPr>
                <w:noProof/>
                <w:webHidden/>
              </w:rPr>
              <w:fldChar w:fldCharType="separate"/>
            </w:r>
            <w:r w:rsidR="005503BA">
              <w:rPr>
                <w:noProof/>
                <w:webHidden/>
              </w:rPr>
              <w:t>143</w:t>
            </w:r>
            <w:r w:rsidR="005503BA">
              <w:rPr>
                <w:noProof/>
                <w:webHidden/>
              </w:rPr>
              <w:fldChar w:fldCharType="end"/>
            </w:r>
          </w:hyperlink>
        </w:p>
        <w:p w14:paraId="3F152552" w14:textId="72DC6896"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94" w:history="1">
            <w:r w:rsidR="005503BA" w:rsidRPr="0062492F">
              <w:rPr>
                <w:rStyle w:val="Hyperlink"/>
                <w:noProof/>
              </w:rPr>
              <w:t>5.1.4.</w:t>
            </w:r>
            <w:r w:rsidR="005503BA">
              <w:rPr>
                <w:rFonts w:eastAsiaTheme="minorEastAsia" w:cstheme="minorBidi"/>
                <w:noProof/>
                <w:kern w:val="2"/>
                <w:sz w:val="22"/>
                <w:szCs w:val="22"/>
                <w14:ligatures w14:val="standardContextual"/>
              </w:rPr>
              <w:tab/>
            </w:r>
            <w:r w:rsidR="005503BA" w:rsidRPr="0062492F">
              <w:rPr>
                <w:rStyle w:val="Hyperlink"/>
                <w:noProof/>
              </w:rPr>
              <w:t>Healthcare Professionals' Views on Potential Pharmacist Involvement in Diabetes Care</w:t>
            </w:r>
            <w:r w:rsidR="005503BA">
              <w:rPr>
                <w:noProof/>
                <w:webHidden/>
              </w:rPr>
              <w:tab/>
            </w:r>
            <w:r w:rsidR="005503BA">
              <w:rPr>
                <w:noProof/>
                <w:webHidden/>
              </w:rPr>
              <w:fldChar w:fldCharType="begin"/>
            </w:r>
            <w:r w:rsidR="005503BA">
              <w:rPr>
                <w:noProof/>
                <w:webHidden/>
              </w:rPr>
              <w:instrText xml:space="preserve"> PAGEREF _Toc153894194 \h </w:instrText>
            </w:r>
            <w:r w:rsidR="005503BA">
              <w:rPr>
                <w:noProof/>
                <w:webHidden/>
              </w:rPr>
            </w:r>
            <w:r w:rsidR="005503BA">
              <w:rPr>
                <w:noProof/>
                <w:webHidden/>
              </w:rPr>
              <w:fldChar w:fldCharType="separate"/>
            </w:r>
            <w:r w:rsidR="005503BA">
              <w:rPr>
                <w:noProof/>
                <w:webHidden/>
              </w:rPr>
              <w:t>145</w:t>
            </w:r>
            <w:r w:rsidR="005503BA">
              <w:rPr>
                <w:noProof/>
                <w:webHidden/>
              </w:rPr>
              <w:fldChar w:fldCharType="end"/>
            </w:r>
          </w:hyperlink>
        </w:p>
        <w:p w14:paraId="29457FBA" w14:textId="182E729D"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95" w:history="1">
            <w:r w:rsidR="005503BA" w:rsidRPr="0062492F">
              <w:rPr>
                <w:rStyle w:val="Hyperlink"/>
                <w:noProof/>
              </w:rPr>
              <w:t>5.1.5.</w:t>
            </w:r>
            <w:r w:rsidR="005503BA">
              <w:rPr>
                <w:rFonts w:eastAsiaTheme="minorEastAsia" w:cstheme="minorBidi"/>
                <w:noProof/>
                <w:kern w:val="2"/>
                <w:sz w:val="22"/>
                <w:szCs w:val="22"/>
                <w14:ligatures w14:val="standardContextual"/>
              </w:rPr>
              <w:tab/>
            </w:r>
            <w:r w:rsidR="005503BA" w:rsidRPr="0062492F">
              <w:rPr>
                <w:rStyle w:val="Hyperlink"/>
                <w:noProof/>
              </w:rPr>
              <w:t>Healthcare Professionals’ Views on Potential Impact of Pharmacist Involvement in Diabetes Primary Care Management</w:t>
            </w:r>
            <w:r w:rsidR="005503BA">
              <w:rPr>
                <w:noProof/>
                <w:webHidden/>
              </w:rPr>
              <w:tab/>
            </w:r>
            <w:r w:rsidR="005503BA">
              <w:rPr>
                <w:noProof/>
                <w:webHidden/>
              </w:rPr>
              <w:fldChar w:fldCharType="begin"/>
            </w:r>
            <w:r w:rsidR="005503BA">
              <w:rPr>
                <w:noProof/>
                <w:webHidden/>
              </w:rPr>
              <w:instrText xml:space="preserve"> PAGEREF _Toc153894195 \h </w:instrText>
            </w:r>
            <w:r w:rsidR="005503BA">
              <w:rPr>
                <w:noProof/>
                <w:webHidden/>
              </w:rPr>
            </w:r>
            <w:r w:rsidR="005503BA">
              <w:rPr>
                <w:noProof/>
                <w:webHidden/>
              </w:rPr>
              <w:fldChar w:fldCharType="separate"/>
            </w:r>
            <w:r w:rsidR="005503BA">
              <w:rPr>
                <w:noProof/>
                <w:webHidden/>
              </w:rPr>
              <w:t>160</w:t>
            </w:r>
            <w:r w:rsidR="005503BA">
              <w:rPr>
                <w:noProof/>
                <w:webHidden/>
              </w:rPr>
              <w:fldChar w:fldCharType="end"/>
            </w:r>
          </w:hyperlink>
        </w:p>
        <w:p w14:paraId="6A41BA3D" w14:textId="17EFA8E4"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96" w:history="1">
            <w:r w:rsidR="005503BA" w:rsidRPr="0062492F">
              <w:rPr>
                <w:rStyle w:val="Hyperlink"/>
                <w:rFonts w:eastAsia="Times New Roman"/>
                <w:noProof/>
              </w:rPr>
              <w:t>5.1.6.</w:t>
            </w:r>
            <w:r w:rsidR="005503BA">
              <w:rPr>
                <w:rFonts w:eastAsiaTheme="minorEastAsia" w:cstheme="minorBidi"/>
                <w:noProof/>
                <w:kern w:val="2"/>
                <w:sz w:val="22"/>
                <w:szCs w:val="22"/>
                <w14:ligatures w14:val="standardContextual"/>
              </w:rPr>
              <w:tab/>
            </w:r>
            <w:r w:rsidR="005503BA" w:rsidRPr="0062492F">
              <w:rPr>
                <w:rStyle w:val="Hyperlink"/>
                <w:noProof/>
              </w:rPr>
              <w:t>The association between participants' attributes and their attitudes toward the primary care pharmacist role in Saudi Arabia</w:t>
            </w:r>
            <w:r w:rsidR="005503BA" w:rsidRPr="0062492F">
              <w:rPr>
                <w:rStyle w:val="Hyperlink"/>
                <w:rFonts w:eastAsia="Times New Roman"/>
                <w:noProof/>
              </w:rPr>
              <w:t>.</w:t>
            </w:r>
            <w:r w:rsidR="005503BA">
              <w:rPr>
                <w:noProof/>
                <w:webHidden/>
              </w:rPr>
              <w:tab/>
            </w:r>
            <w:r w:rsidR="005503BA">
              <w:rPr>
                <w:noProof/>
                <w:webHidden/>
              </w:rPr>
              <w:fldChar w:fldCharType="begin"/>
            </w:r>
            <w:r w:rsidR="005503BA">
              <w:rPr>
                <w:noProof/>
                <w:webHidden/>
              </w:rPr>
              <w:instrText xml:space="preserve"> PAGEREF _Toc153894196 \h </w:instrText>
            </w:r>
            <w:r w:rsidR="005503BA">
              <w:rPr>
                <w:noProof/>
                <w:webHidden/>
              </w:rPr>
            </w:r>
            <w:r w:rsidR="005503BA">
              <w:rPr>
                <w:noProof/>
                <w:webHidden/>
              </w:rPr>
              <w:fldChar w:fldCharType="separate"/>
            </w:r>
            <w:r w:rsidR="005503BA">
              <w:rPr>
                <w:noProof/>
                <w:webHidden/>
              </w:rPr>
              <w:t>163</w:t>
            </w:r>
            <w:r w:rsidR="005503BA">
              <w:rPr>
                <w:noProof/>
                <w:webHidden/>
              </w:rPr>
              <w:fldChar w:fldCharType="end"/>
            </w:r>
          </w:hyperlink>
        </w:p>
        <w:p w14:paraId="7692B4C9" w14:textId="6804FBDC"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197" w:history="1">
            <w:r w:rsidR="005503BA" w:rsidRPr="0062492F">
              <w:rPr>
                <w:rStyle w:val="Hyperlink"/>
                <w:noProof/>
              </w:rPr>
              <w:t>5.1.7.</w:t>
            </w:r>
            <w:r w:rsidR="005503BA">
              <w:rPr>
                <w:rFonts w:eastAsiaTheme="minorEastAsia" w:cstheme="minorBidi"/>
                <w:noProof/>
                <w:kern w:val="2"/>
                <w:sz w:val="22"/>
                <w:szCs w:val="22"/>
                <w14:ligatures w14:val="standardContextual"/>
              </w:rPr>
              <w:tab/>
            </w:r>
            <w:r w:rsidR="005503BA" w:rsidRPr="0062492F">
              <w:rPr>
                <w:rStyle w:val="Hyperlink"/>
                <w:noProof/>
              </w:rPr>
              <w:t>Barriers to Pharmacist Involvement in Diabetes Primary Care Management</w:t>
            </w:r>
            <w:r w:rsidR="005503BA">
              <w:rPr>
                <w:noProof/>
                <w:webHidden/>
              </w:rPr>
              <w:tab/>
            </w:r>
            <w:r w:rsidR="005503BA">
              <w:rPr>
                <w:noProof/>
                <w:webHidden/>
              </w:rPr>
              <w:fldChar w:fldCharType="begin"/>
            </w:r>
            <w:r w:rsidR="005503BA">
              <w:rPr>
                <w:noProof/>
                <w:webHidden/>
              </w:rPr>
              <w:instrText xml:space="preserve"> PAGEREF _Toc153894197 \h </w:instrText>
            </w:r>
            <w:r w:rsidR="005503BA">
              <w:rPr>
                <w:noProof/>
                <w:webHidden/>
              </w:rPr>
            </w:r>
            <w:r w:rsidR="005503BA">
              <w:rPr>
                <w:noProof/>
                <w:webHidden/>
              </w:rPr>
              <w:fldChar w:fldCharType="separate"/>
            </w:r>
            <w:r w:rsidR="005503BA">
              <w:rPr>
                <w:noProof/>
                <w:webHidden/>
              </w:rPr>
              <w:t>180</w:t>
            </w:r>
            <w:r w:rsidR="005503BA">
              <w:rPr>
                <w:noProof/>
                <w:webHidden/>
              </w:rPr>
              <w:fldChar w:fldCharType="end"/>
            </w:r>
          </w:hyperlink>
        </w:p>
        <w:p w14:paraId="752E822C" w14:textId="1EC38C9E"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198" w:history="1">
            <w:r w:rsidR="005503BA" w:rsidRPr="0062492F">
              <w:rPr>
                <w:rStyle w:val="Hyperlink"/>
                <w:noProof/>
                <w:lang w:val="en-GB"/>
              </w:rPr>
              <w:t>5.2.</w:t>
            </w:r>
            <w:r w:rsidR="005503BA">
              <w:rPr>
                <w:rFonts w:eastAsiaTheme="minorEastAsia" w:cstheme="minorBidi"/>
                <w:b w:val="0"/>
                <w:bCs w:val="0"/>
                <w:noProof/>
                <w:kern w:val="2"/>
                <w14:ligatures w14:val="standardContextual"/>
              </w:rPr>
              <w:tab/>
            </w:r>
            <w:r w:rsidR="005503BA" w:rsidRPr="0062492F">
              <w:rPr>
                <w:rStyle w:val="Hyperlink"/>
                <w:noProof/>
                <w:lang w:val="en-GB"/>
              </w:rPr>
              <w:t>Summary and Conclusion</w:t>
            </w:r>
            <w:r w:rsidR="005503BA">
              <w:rPr>
                <w:noProof/>
                <w:webHidden/>
              </w:rPr>
              <w:tab/>
            </w:r>
            <w:r w:rsidR="005503BA">
              <w:rPr>
                <w:noProof/>
                <w:webHidden/>
              </w:rPr>
              <w:fldChar w:fldCharType="begin"/>
            </w:r>
            <w:r w:rsidR="005503BA">
              <w:rPr>
                <w:noProof/>
                <w:webHidden/>
              </w:rPr>
              <w:instrText xml:space="preserve"> PAGEREF _Toc153894198 \h </w:instrText>
            </w:r>
            <w:r w:rsidR="005503BA">
              <w:rPr>
                <w:noProof/>
                <w:webHidden/>
              </w:rPr>
            </w:r>
            <w:r w:rsidR="005503BA">
              <w:rPr>
                <w:noProof/>
                <w:webHidden/>
              </w:rPr>
              <w:fldChar w:fldCharType="separate"/>
            </w:r>
            <w:r w:rsidR="005503BA">
              <w:rPr>
                <w:noProof/>
                <w:webHidden/>
              </w:rPr>
              <w:t>192</w:t>
            </w:r>
            <w:r w:rsidR="005503BA">
              <w:rPr>
                <w:noProof/>
                <w:webHidden/>
              </w:rPr>
              <w:fldChar w:fldCharType="end"/>
            </w:r>
          </w:hyperlink>
        </w:p>
        <w:p w14:paraId="1444B544" w14:textId="140639D7" w:rsidR="005503BA" w:rsidRDefault="00000000" w:rsidP="00E92158">
          <w:pPr>
            <w:pStyle w:val="TOC1"/>
            <w:rPr>
              <w:rFonts w:eastAsiaTheme="minorEastAsia" w:cstheme="minorBidi"/>
              <w:noProof/>
              <w:kern w:val="2"/>
              <w:sz w:val="22"/>
              <w:szCs w:val="22"/>
              <w14:ligatures w14:val="standardContextual"/>
            </w:rPr>
          </w:pPr>
          <w:hyperlink w:anchor="_Toc153894199" w:history="1">
            <w:r w:rsidR="005503BA" w:rsidRPr="0062492F">
              <w:rPr>
                <w:rStyle w:val="Hyperlink"/>
                <w:noProof/>
              </w:rPr>
              <w:t>6.</w:t>
            </w:r>
            <w:r w:rsidR="005503BA">
              <w:rPr>
                <w:rFonts w:eastAsiaTheme="minorEastAsia" w:cstheme="minorBidi"/>
                <w:noProof/>
                <w:kern w:val="2"/>
                <w:sz w:val="22"/>
                <w:szCs w:val="22"/>
                <w14:ligatures w14:val="standardContextual"/>
              </w:rPr>
              <w:tab/>
            </w:r>
            <w:r w:rsidR="005503BA" w:rsidRPr="0062492F">
              <w:rPr>
                <w:rStyle w:val="Hyperlink"/>
                <w:noProof/>
              </w:rPr>
              <w:t>Chapter six: Qualitative Results</w:t>
            </w:r>
            <w:r w:rsidR="005503BA">
              <w:rPr>
                <w:noProof/>
                <w:webHidden/>
              </w:rPr>
              <w:tab/>
            </w:r>
            <w:r w:rsidR="005503BA">
              <w:rPr>
                <w:noProof/>
                <w:webHidden/>
              </w:rPr>
              <w:fldChar w:fldCharType="begin"/>
            </w:r>
            <w:r w:rsidR="005503BA">
              <w:rPr>
                <w:noProof/>
                <w:webHidden/>
              </w:rPr>
              <w:instrText xml:space="preserve"> PAGEREF _Toc153894199 \h </w:instrText>
            </w:r>
            <w:r w:rsidR="005503BA">
              <w:rPr>
                <w:noProof/>
                <w:webHidden/>
              </w:rPr>
            </w:r>
            <w:r w:rsidR="005503BA">
              <w:rPr>
                <w:noProof/>
                <w:webHidden/>
              </w:rPr>
              <w:fldChar w:fldCharType="separate"/>
            </w:r>
            <w:r w:rsidR="005503BA">
              <w:rPr>
                <w:noProof/>
                <w:webHidden/>
              </w:rPr>
              <w:t>194</w:t>
            </w:r>
            <w:r w:rsidR="005503BA">
              <w:rPr>
                <w:noProof/>
                <w:webHidden/>
              </w:rPr>
              <w:fldChar w:fldCharType="end"/>
            </w:r>
          </w:hyperlink>
        </w:p>
        <w:p w14:paraId="2AEABF1B" w14:textId="2C837B38"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200" w:history="1">
            <w:r w:rsidR="005503BA" w:rsidRPr="0062492F">
              <w:rPr>
                <w:rStyle w:val="Hyperlink"/>
                <w:noProof/>
              </w:rPr>
              <w:t>6.1.</w:t>
            </w:r>
            <w:r w:rsidR="005503BA">
              <w:rPr>
                <w:rFonts w:eastAsiaTheme="minorEastAsia" w:cstheme="minorBidi"/>
                <w:b w:val="0"/>
                <w:bCs w:val="0"/>
                <w:noProof/>
                <w:kern w:val="2"/>
                <w14:ligatures w14:val="standardContextual"/>
              </w:rPr>
              <w:tab/>
            </w:r>
            <w:r w:rsidR="005503BA" w:rsidRPr="0062492F">
              <w:rPr>
                <w:rStyle w:val="Hyperlink"/>
                <w:noProof/>
              </w:rPr>
              <w:t>Interview findings</w:t>
            </w:r>
            <w:r w:rsidR="005503BA">
              <w:rPr>
                <w:noProof/>
                <w:webHidden/>
              </w:rPr>
              <w:tab/>
            </w:r>
            <w:r w:rsidR="005503BA">
              <w:rPr>
                <w:noProof/>
                <w:webHidden/>
              </w:rPr>
              <w:fldChar w:fldCharType="begin"/>
            </w:r>
            <w:r w:rsidR="005503BA">
              <w:rPr>
                <w:noProof/>
                <w:webHidden/>
              </w:rPr>
              <w:instrText xml:space="preserve"> PAGEREF _Toc153894200 \h </w:instrText>
            </w:r>
            <w:r w:rsidR="005503BA">
              <w:rPr>
                <w:noProof/>
                <w:webHidden/>
              </w:rPr>
            </w:r>
            <w:r w:rsidR="005503BA">
              <w:rPr>
                <w:noProof/>
                <w:webHidden/>
              </w:rPr>
              <w:fldChar w:fldCharType="separate"/>
            </w:r>
            <w:r w:rsidR="005503BA">
              <w:rPr>
                <w:noProof/>
                <w:webHidden/>
              </w:rPr>
              <w:t>194</w:t>
            </w:r>
            <w:r w:rsidR="005503BA">
              <w:rPr>
                <w:noProof/>
                <w:webHidden/>
              </w:rPr>
              <w:fldChar w:fldCharType="end"/>
            </w:r>
          </w:hyperlink>
        </w:p>
        <w:p w14:paraId="0AB23AA4" w14:textId="4B177AA2"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01" w:history="1">
            <w:r w:rsidR="005503BA" w:rsidRPr="0062492F">
              <w:rPr>
                <w:rStyle w:val="Hyperlink"/>
                <w:noProof/>
              </w:rPr>
              <w:t>6.1.1.</w:t>
            </w:r>
            <w:r w:rsidR="005503BA">
              <w:rPr>
                <w:rFonts w:eastAsiaTheme="minorEastAsia" w:cstheme="minorBidi"/>
                <w:noProof/>
                <w:kern w:val="2"/>
                <w:sz w:val="22"/>
                <w:szCs w:val="22"/>
                <w14:ligatures w14:val="standardContextual"/>
              </w:rPr>
              <w:tab/>
            </w:r>
            <w:r w:rsidR="005503BA" w:rsidRPr="0062492F">
              <w:rPr>
                <w:rStyle w:val="Hyperlink"/>
                <w:noProof/>
              </w:rPr>
              <w:t>Participants demographic information</w:t>
            </w:r>
            <w:r w:rsidR="005503BA">
              <w:rPr>
                <w:noProof/>
                <w:webHidden/>
              </w:rPr>
              <w:tab/>
            </w:r>
            <w:r w:rsidR="005503BA">
              <w:rPr>
                <w:noProof/>
                <w:webHidden/>
              </w:rPr>
              <w:fldChar w:fldCharType="begin"/>
            </w:r>
            <w:r w:rsidR="005503BA">
              <w:rPr>
                <w:noProof/>
                <w:webHidden/>
              </w:rPr>
              <w:instrText xml:space="preserve"> PAGEREF _Toc153894201 \h </w:instrText>
            </w:r>
            <w:r w:rsidR="005503BA">
              <w:rPr>
                <w:noProof/>
                <w:webHidden/>
              </w:rPr>
            </w:r>
            <w:r w:rsidR="005503BA">
              <w:rPr>
                <w:noProof/>
                <w:webHidden/>
              </w:rPr>
              <w:fldChar w:fldCharType="separate"/>
            </w:r>
            <w:r w:rsidR="005503BA">
              <w:rPr>
                <w:noProof/>
                <w:webHidden/>
              </w:rPr>
              <w:t>195</w:t>
            </w:r>
            <w:r w:rsidR="005503BA">
              <w:rPr>
                <w:noProof/>
                <w:webHidden/>
              </w:rPr>
              <w:fldChar w:fldCharType="end"/>
            </w:r>
          </w:hyperlink>
        </w:p>
        <w:p w14:paraId="72805228" w14:textId="4B236777"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02" w:history="1">
            <w:r w:rsidR="005503BA" w:rsidRPr="0062492F">
              <w:rPr>
                <w:rStyle w:val="Hyperlink"/>
                <w:noProof/>
              </w:rPr>
              <w:t>6.1.2.</w:t>
            </w:r>
            <w:r w:rsidR="005503BA">
              <w:rPr>
                <w:rFonts w:eastAsiaTheme="minorEastAsia" w:cstheme="minorBidi"/>
                <w:noProof/>
                <w:kern w:val="2"/>
                <w:sz w:val="22"/>
                <w:szCs w:val="22"/>
                <w14:ligatures w14:val="standardContextual"/>
              </w:rPr>
              <w:tab/>
            </w:r>
            <w:r w:rsidR="005503BA" w:rsidRPr="0062492F">
              <w:rPr>
                <w:rStyle w:val="Hyperlink"/>
                <w:noProof/>
              </w:rPr>
              <w:t>Thematic groups</w:t>
            </w:r>
            <w:r w:rsidR="005503BA">
              <w:rPr>
                <w:noProof/>
                <w:webHidden/>
              </w:rPr>
              <w:tab/>
            </w:r>
            <w:r w:rsidR="005503BA">
              <w:rPr>
                <w:noProof/>
                <w:webHidden/>
              </w:rPr>
              <w:fldChar w:fldCharType="begin"/>
            </w:r>
            <w:r w:rsidR="005503BA">
              <w:rPr>
                <w:noProof/>
                <w:webHidden/>
              </w:rPr>
              <w:instrText xml:space="preserve"> PAGEREF _Toc153894202 \h </w:instrText>
            </w:r>
            <w:r w:rsidR="005503BA">
              <w:rPr>
                <w:noProof/>
                <w:webHidden/>
              </w:rPr>
            </w:r>
            <w:r w:rsidR="005503BA">
              <w:rPr>
                <w:noProof/>
                <w:webHidden/>
              </w:rPr>
              <w:fldChar w:fldCharType="separate"/>
            </w:r>
            <w:r w:rsidR="005503BA">
              <w:rPr>
                <w:noProof/>
                <w:webHidden/>
              </w:rPr>
              <w:t>196</w:t>
            </w:r>
            <w:r w:rsidR="005503BA">
              <w:rPr>
                <w:noProof/>
                <w:webHidden/>
              </w:rPr>
              <w:fldChar w:fldCharType="end"/>
            </w:r>
          </w:hyperlink>
        </w:p>
        <w:p w14:paraId="3FDCCBA8" w14:textId="39BE6517"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03" w:history="1">
            <w:r w:rsidR="005503BA" w:rsidRPr="0062492F">
              <w:rPr>
                <w:rStyle w:val="Hyperlink"/>
                <w:noProof/>
              </w:rPr>
              <w:t>6.1.3.</w:t>
            </w:r>
            <w:r w:rsidR="005503BA">
              <w:rPr>
                <w:rFonts w:eastAsiaTheme="minorEastAsia" w:cstheme="minorBidi"/>
                <w:noProof/>
                <w:kern w:val="2"/>
                <w:sz w:val="22"/>
                <w:szCs w:val="22"/>
                <w14:ligatures w14:val="standardContextual"/>
              </w:rPr>
              <w:tab/>
            </w:r>
            <w:r w:rsidR="005503BA" w:rsidRPr="0062492F">
              <w:rPr>
                <w:rStyle w:val="Hyperlink"/>
                <w:noProof/>
              </w:rPr>
              <w:t>Role of pharmacists in primary care settings</w:t>
            </w:r>
            <w:r w:rsidR="005503BA">
              <w:rPr>
                <w:noProof/>
                <w:webHidden/>
              </w:rPr>
              <w:tab/>
            </w:r>
            <w:r w:rsidR="005503BA">
              <w:rPr>
                <w:noProof/>
                <w:webHidden/>
              </w:rPr>
              <w:fldChar w:fldCharType="begin"/>
            </w:r>
            <w:r w:rsidR="005503BA">
              <w:rPr>
                <w:noProof/>
                <w:webHidden/>
              </w:rPr>
              <w:instrText xml:space="preserve"> PAGEREF _Toc153894203 \h </w:instrText>
            </w:r>
            <w:r w:rsidR="005503BA">
              <w:rPr>
                <w:noProof/>
                <w:webHidden/>
              </w:rPr>
            </w:r>
            <w:r w:rsidR="005503BA">
              <w:rPr>
                <w:noProof/>
                <w:webHidden/>
              </w:rPr>
              <w:fldChar w:fldCharType="separate"/>
            </w:r>
            <w:r w:rsidR="005503BA">
              <w:rPr>
                <w:noProof/>
                <w:webHidden/>
              </w:rPr>
              <w:t>199</w:t>
            </w:r>
            <w:r w:rsidR="005503BA">
              <w:rPr>
                <w:noProof/>
                <w:webHidden/>
              </w:rPr>
              <w:fldChar w:fldCharType="end"/>
            </w:r>
          </w:hyperlink>
        </w:p>
        <w:p w14:paraId="147DC114" w14:textId="5ECDA040"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04" w:history="1">
            <w:r w:rsidR="005503BA" w:rsidRPr="0062492F">
              <w:rPr>
                <w:rStyle w:val="Hyperlink"/>
                <w:noProof/>
              </w:rPr>
              <w:t>6.1.4.</w:t>
            </w:r>
            <w:r w:rsidR="005503BA">
              <w:rPr>
                <w:rFonts w:eastAsiaTheme="minorEastAsia" w:cstheme="minorBidi"/>
                <w:noProof/>
                <w:kern w:val="2"/>
                <w:sz w:val="22"/>
                <w:szCs w:val="22"/>
                <w14:ligatures w14:val="standardContextual"/>
              </w:rPr>
              <w:tab/>
            </w:r>
            <w:r w:rsidR="005503BA" w:rsidRPr="0062492F">
              <w:rPr>
                <w:rStyle w:val="Hyperlink"/>
                <w:noProof/>
              </w:rPr>
              <w:t>Healthcare providers’ attitudes, perceptions, and expectations of the pharmacist’s role in diabetes care</w:t>
            </w:r>
            <w:r w:rsidR="005503BA">
              <w:rPr>
                <w:noProof/>
                <w:webHidden/>
              </w:rPr>
              <w:tab/>
            </w:r>
            <w:r w:rsidR="005503BA">
              <w:rPr>
                <w:noProof/>
                <w:webHidden/>
              </w:rPr>
              <w:fldChar w:fldCharType="begin"/>
            </w:r>
            <w:r w:rsidR="005503BA">
              <w:rPr>
                <w:noProof/>
                <w:webHidden/>
              </w:rPr>
              <w:instrText xml:space="preserve"> PAGEREF _Toc153894204 \h </w:instrText>
            </w:r>
            <w:r w:rsidR="005503BA">
              <w:rPr>
                <w:noProof/>
                <w:webHidden/>
              </w:rPr>
            </w:r>
            <w:r w:rsidR="005503BA">
              <w:rPr>
                <w:noProof/>
                <w:webHidden/>
              </w:rPr>
              <w:fldChar w:fldCharType="separate"/>
            </w:r>
            <w:r w:rsidR="005503BA">
              <w:rPr>
                <w:noProof/>
                <w:webHidden/>
              </w:rPr>
              <w:t>216</w:t>
            </w:r>
            <w:r w:rsidR="005503BA">
              <w:rPr>
                <w:noProof/>
                <w:webHidden/>
              </w:rPr>
              <w:fldChar w:fldCharType="end"/>
            </w:r>
          </w:hyperlink>
        </w:p>
        <w:p w14:paraId="3764D5F6" w14:textId="3E1BB785"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05" w:history="1">
            <w:r w:rsidR="005503BA" w:rsidRPr="0062492F">
              <w:rPr>
                <w:rStyle w:val="Hyperlink"/>
                <w:noProof/>
              </w:rPr>
              <w:t>6.1.5.</w:t>
            </w:r>
            <w:r w:rsidR="005503BA">
              <w:rPr>
                <w:rFonts w:eastAsiaTheme="minorEastAsia" w:cstheme="minorBidi"/>
                <w:noProof/>
                <w:kern w:val="2"/>
                <w:sz w:val="22"/>
                <w:szCs w:val="22"/>
                <w14:ligatures w14:val="standardContextual"/>
              </w:rPr>
              <w:tab/>
            </w:r>
            <w:r w:rsidR="005503BA" w:rsidRPr="0062492F">
              <w:rPr>
                <w:rStyle w:val="Hyperlink"/>
                <w:noProof/>
              </w:rPr>
              <w:t>Challenges of engaging pharmacists in diabetes primary care management</w:t>
            </w:r>
            <w:r w:rsidR="005503BA">
              <w:rPr>
                <w:noProof/>
                <w:webHidden/>
              </w:rPr>
              <w:tab/>
            </w:r>
            <w:r w:rsidR="005503BA">
              <w:rPr>
                <w:noProof/>
                <w:webHidden/>
              </w:rPr>
              <w:fldChar w:fldCharType="begin"/>
            </w:r>
            <w:r w:rsidR="005503BA">
              <w:rPr>
                <w:noProof/>
                <w:webHidden/>
              </w:rPr>
              <w:instrText xml:space="preserve"> PAGEREF _Toc153894205 \h </w:instrText>
            </w:r>
            <w:r w:rsidR="005503BA">
              <w:rPr>
                <w:noProof/>
                <w:webHidden/>
              </w:rPr>
            </w:r>
            <w:r w:rsidR="005503BA">
              <w:rPr>
                <w:noProof/>
                <w:webHidden/>
              </w:rPr>
              <w:fldChar w:fldCharType="separate"/>
            </w:r>
            <w:r w:rsidR="005503BA">
              <w:rPr>
                <w:noProof/>
                <w:webHidden/>
              </w:rPr>
              <w:t>226</w:t>
            </w:r>
            <w:r w:rsidR="005503BA">
              <w:rPr>
                <w:noProof/>
                <w:webHidden/>
              </w:rPr>
              <w:fldChar w:fldCharType="end"/>
            </w:r>
          </w:hyperlink>
        </w:p>
        <w:p w14:paraId="327112F6" w14:textId="285A7922" w:rsidR="005503BA" w:rsidRDefault="00000000">
          <w:pPr>
            <w:pStyle w:val="TOC3"/>
            <w:tabs>
              <w:tab w:val="right" w:leader="dot" w:pos="9350"/>
            </w:tabs>
            <w:rPr>
              <w:rFonts w:eastAsiaTheme="minorEastAsia" w:cstheme="minorBidi"/>
              <w:noProof/>
              <w:kern w:val="2"/>
              <w:sz w:val="22"/>
              <w:szCs w:val="22"/>
              <w14:ligatures w14:val="standardContextual"/>
            </w:rPr>
          </w:pPr>
          <w:hyperlink w:anchor="_Toc153894206" w:history="1">
            <w:r w:rsidR="005503BA" w:rsidRPr="0062492F">
              <w:rPr>
                <w:rStyle w:val="Hyperlink"/>
                <w:noProof/>
              </w:rPr>
              <w:t>6.4.6. Facilitators to pharmacists’ involvement in diabetes primary care management</w:t>
            </w:r>
            <w:r w:rsidR="005503BA">
              <w:rPr>
                <w:noProof/>
                <w:webHidden/>
              </w:rPr>
              <w:tab/>
            </w:r>
            <w:r w:rsidR="005503BA">
              <w:rPr>
                <w:noProof/>
                <w:webHidden/>
              </w:rPr>
              <w:fldChar w:fldCharType="begin"/>
            </w:r>
            <w:r w:rsidR="005503BA">
              <w:rPr>
                <w:noProof/>
                <w:webHidden/>
              </w:rPr>
              <w:instrText xml:space="preserve"> PAGEREF _Toc153894206 \h </w:instrText>
            </w:r>
            <w:r w:rsidR="005503BA">
              <w:rPr>
                <w:noProof/>
                <w:webHidden/>
              </w:rPr>
            </w:r>
            <w:r w:rsidR="005503BA">
              <w:rPr>
                <w:noProof/>
                <w:webHidden/>
              </w:rPr>
              <w:fldChar w:fldCharType="separate"/>
            </w:r>
            <w:r w:rsidR="005503BA">
              <w:rPr>
                <w:noProof/>
                <w:webHidden/>
              </w:rPr>
              <w:t>237</w:t>
            </w:r>
            <w:r w:rsidR="005503BA">
              <w:rPr>
                <w:noProof/>
                <w:webHidden/>
              </w:rPr>
              <w:fldChar w:fldCharType="end"/>
            </w:r>
          </w:hyperlink>
        </w:p>
        <w:p w14:paraId="36F143FB" w14:textId="5B96E381"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07" w:history="1">
            <w:r w:rsidR="005503BA" w:rsidRPr="0062492F">
              <w:rPr>
                <w:rStyle w:val="Hyperlink"/>
                <w:noProof/>
              </w:rPr>
              <w:t>6.4.7.</w:t>
            </w:r>
            <w:r w:rsidR="005503BA">
              <w:rPr>
                <w:rFonts w:eastAsiaTheme="minorEastAsia" w:cstheme="minorBidi"/>
                <w:noProof/>
                <w:kern w:val="2"/>
                <w:sz w:val="22"/>
                <w:szCs w:val="22"/>
                <w14:ligatures w14:val="standardContextual"/>
              </w:rPr>
              <w:tab/>
            </w:r>
            <w:r w:rsidR="005503BA" w:rsidRPr="0062492F">
              <w:rPr>
                <w:rStyle w:val="Hyperlink"/>
                <w:noProof/>
              </w:rPr>
              <w:t>Conclusion</w:t>
            </w:r>
            <w:r w:rsidR="005503BA">
              <w:rPr>
                <w:noProof/>
                <w:webHidden/>
              </w:rPr>
              <w:tab/>
            </w:r>
            <w:r w:rsidR="005503BA">
              <w:rPr>
                <w:noProof/>
                <w:webHidden/>
              </w:rPr>
              <w:fldChar w:fldCharType="begin"/>
            </w:r>
            <w:r w:rsidR="005503BA">
              <w:rPr>
                <w:noProof/>
                <w:webHidden/>
              </w:rPr>
              <w:instrText xml:space="preserve"> PAGEREF _Toc153894207 \h </w:instrText>
            </w:r>
            <w:r w:rsidR="005503BA">
              <w:rPr>
                <w:noProof/>
                <w:webHidden/>
              </w:rPr>
            </w:r>
            <w:r w:rsidR="005503BA">
              <w:rPr>
                <w:noProof/>
                <w:webHidden/>
              </w:rPr>
              <w:fldChar w:fldCharType="separate"/>
            </w:r>
            <w:r w:rsidR="005503BA">
              <w:rPr>
                <w:noProof/>
                <w:webHidden/>
              </w:rPr>
              <w:t>243</w:t>
            </w:r>
            <w:r w:rsidR="005503BA">
              <w:rPr>
                <w:noProof/>
                <w:webHidden/>
              </w:rPr>
              <w:fldChar w:fldCharType="end"/>
            </w:r>
          </w:hyperlink>
        </w:p>
        <w:p w14:paraId="60C9BB24" w14:textId="45DFC305" w:rsidR="005503BA" w:rsidRDefault="00000000" w:rsidP="00E92158">
          <w:pPr>
            <w:pStyle w:val="TOC1"/>
            <w:rPr>
              <w:rFonts w:eastAsiaTheme="minorEastAsia" w:cstheme="minorBidi"/>
              <w:noProof/>
              <w:kern w:val="2"/>
              <w:sz w:val="22"/>
              <w:szCs w:val="22"/>
              <w14:ligatures w14:val="standardContextual"/>
            </w:rPr>
          </w:pPr>
          <w:hyperlink w:anchor="_Toc153894208" w:history="1">
            <w:r w:rsidR="005503BA" w:rsidRPr="0062492F">
              <w:rPr>
                <w:rStyle w:val="Hyperlink"/>
                <w:noProof/>
              </w:rPr>
              <w:t>7.</w:t>
            </w:r>
            <w:r w:rsidR="005503BA">
              <w:rPr>
                <w:rFonts w:eastAsiaTheme="minorEastAsia" w:cstheme="minorBidi"/>
                <w:noProof/>
                <w:kern w:val="2"/>
                <w:sz w:val="22"/>
                <w:szCs w:val="22"/>
                <w14:ligatures w14:val="standardContextual"/>
              </w:rPr>
              <w:tab/>
            </w:r>
            <w:r w:rsidR="005503BA" w:rsidRPr="0062492F">
              <w:rPr>
                <w:rStyle w:val="Hyperlink"/>
                <w:noProof/>
              </w:rPr>
              <w:t>Chapter 7: Discussion and Integration of Finding</w:t>
            </w:r>
            <w:r w:rsidR="005503BA">
              <w:rPr>
                <w:noProof/>
                <w:webHidden/>
              </w:rPr>
              <w:tab/>
            </w:r>
            <w:r w:rsidR="005503BA">
              <w:rPr>
                <w:noProof/>
                <w:webHidden/>
              </w:rPr>
              <w:fldChar w:fldCharType="begin"/>
            </w:r>
            <w:r w:rsidR="005503BA">
              <w:rPr>
                <w:noProof/>
                <w:webHidden/>
              </w:rPr>
              <w:instrText xml:space="preserve"> PAGEREF _Toc153894208 \h </w:instrText>
            </w:r>
            <w:r w:rsidR="005503BA">
              <w:rPr>
                <w:noProof/>
                <w:webHidden/>
              </w:rPr>
            </w:r>
            <w:r w:rsidR="005503BA">
              <w:rPr>
                <w:noProof/>
                <w:webHidden/>
              </w:rPr>
              <w:fldChar w:fldCharType="separate"/>
            </w:r>
            <w:r w:rsidR="005503BA">
              <w:rPr>
                <w:noProof/>
                <w:webHidden/>
              </w:rPr>
              <w:t>244</w:t>
            </w:r>
            <w:r w:rsidR="005503BA">
              <w:rPr>
                <w:noProof/>
                <w:webHidden/>
              </w:rPr>
              <w:fldChar w:fldCharType="end"/>
            </w:r>
          </w:hyperlink>
        </w:p>
        <w:p w14:paraId="361D2E71" w14:textId="63163ACC"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209" w:history="1">
            <w:r w:rsidR="005503BA" w:rsidRPr="0062492F">
              <w:rPr>
                <w:rStyle w:val="Hyperlink"/>
                <w:noProof/>
              </w:rPr>
              <w:t>7.1.</w:t>
            </w:r>
            <w:r w:rsidR="005503BA">
              <w:rPr>
                <w:rFonts w:eastAsiaTheme="minorEastAsia" w:cstheme="minorBidi"/>
                <w:b w:val="0"/>
                <w:bCs w:val="0"/>
                <w:noProof/>
                <w:kern w:val="2"/>
                <w14:ligatures w14:val="standardContextual"/>
              </w:rPr>
              <w:tab/>
            </w:r>
            <w:r w:rsidR="005503BA" w:rsidRPr="0062492F">
              <w:rPr>
                <w:rStyle w:val="Hyperlink"/>
                <w:noProof/>
              </w:rPr>
              <w:t>Introduction</w:t>
            </w:r>
            <w:r w:rsidR="005503BA">
              <w:rPr>
                <w:noProof/>
                <w:webHidden/>
              </w:rPr>
              <w:tab/>
            </w:r>
            <w:r w:rsidR="005503BA">
              <w:rPr>
                <w:noProof/>
                <w:webHidden/>
              </w:rPr>
              <w:fldChar w:fldCharType="begin"/>
            </w:r>
            <w:r w:rsidR="005503BA">
              <w:rPr>
                <w:noProof/>
                <w:webHidden/>
              </w:rPr>
              <w:instrText xml:space="preserve"> PAGEREF _Toc153894209 \h </w:instrText>
            </w:r>
            <w:r w:rsidR="005503BA">
              <w:rPr>
                <w:noProof/>
                <w:webHidden/>
              </w:rPr>
            </w:r>
            <w:r w:rsidR="005503BA">
              <w:rPr>
                <w:noProof/>
                <w:webHidden/>
              </w:rPr>
              <w:fldChar w:fldCharType="separate"/>
            </w:r>
            <w:r w:rsidR="005503BA">
              <w:rPr>
                <w:noProof/>
                <w:webHidden/>
              </w:rPr>
              <w:t>244</w:t>
            </w:r>
            <w:r w:rsidR="005503BA">
              <w:rPr>
                <w:noProof/>
                <w:webHidden/>
              </w:rPr>
              <w:fldChar w:fldCharType="end"/>
            </w:r>
          </w:hyperlink>
        </w:p>
        <w:p w14:paraId="188B8124" w14:textId="152580EC"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210" w:history="1">
            <w:r w:rsidR="005503BA" w:rsidRPr="0062492F">
              <w:rPr>
                <w:rStyle w:val="Hyperlink"/>
                <w:noProof/>
              </w:rPr>
              <w:t>7.2.</w:t>
            </w:r>
            <w:r w:rsidR="005503BA">
              <w:rPr>
                <w:rFonts w:eastAsiaTheme="minorEastAsia" w:cstheme="minorBidi"/>
                <w:b w:val="0"/>
                <w:bCs w:val="0"/>
                <w:noProof/>
                <w:kern w:val="2"/>
                <w14:ligatures w14:val="standardContextual"/>
              </w:rPr>
              <w:tab/>
            </w:r>
            <w:r w:rsidR="005503BA" w:rsidRPr="0062492F">
              <w:rPr>
                <w:rStyle w:val="Hyperlink"/>
                <w:noProof/>
              </w:rPr>
              <w:t>Integration of quantitative and qualitative findings</w:t>
            </w:r>
            <w:r w:rsidR="005503BA">
              <w:rPr>
                <w:noProof/>
                <w:webHidden/>
              </w:rPr>
              <w:tab/>
            </w:r>
            <w:r w:rsidR="005503BA">
              <w:rPr>
                <w:noProof/>
                <w:webHidden/>
              </w:rPr>
              <w:fldChar w:fldCharType="begin"/>
            </w:r>
            <w:r w:rsidR="005503BA">
              <w:rPr>
                <w:noProof/>
                <w:webHidden/>
              </w:rPr>
              <w:instrText xml:space="preserve"> PAGEREF _Toc153894210 \h </w:instrText>
            </w:r>
            <w:r w:rsidR="005503BA">
              <w:rPr>
                <w:noProof/>
                <w:webHidden/>
              </w:rPr>
            </w:r>
            <w:r w:rsidR="005503BA">
              <w:rPr>
                <w:noProof/>
                <w:webHidden/>
              </w:rPr>
              <w:fldChar w:fldCharType="separate"/>
            </w:r>
            <w:r w:rsidR="005503BA">
              <w:rPr>
                <w:noProof/>
                <w:webHidden/>
              </w:rPr>
              <w:t>244</w:t>
            </w:r>
            <w:r w:rsidR="005503BA">
              <w:rPr>
                <w:noProof/>
                <w:webHidden/>
              </w:rPr>
              <w:fldChar w:fldCharType="end"/>
            </w:r>
          </w:hyperlink>
        </w:p>
        <w:p w14:paraId="3AE5FE9F" w14:textId="324E9CC8" w:rsidR="005503BA" w:rsidRDefault="00000000">
          <w:pPr>
            <w:pStyle w:val="TOC3"/>
            <w:tabs>
              <w:tab w:val="right" w:leader="dot" w:pos="9350"/>
            </w:tabs>
            <w:rPr>
              <w:rFonts w:eastAsiaTheme="minorEastAsia" w:cstheme="minorBidi"/>
              <w:noProof/>
              <w:kern w:val="2"/>
              <w:sz w:val="22"/>
              <w:szCs w:val="22"/>
              <w14:ligatures w14:val="standardContextual"/>
            </w:rPr>
          </w:pPr>
          <w:hyperlink w:anchor="_Toc153894211" w:history="1">
            <w:r w:rsidR="005503BA" w:rsidRPr="0062492F">
              <w:rPr>
                <w:rStyle w:val="Hyperlink"/>
                <w:noProof/>
              </w:rPr>
              <w:t>7.2.1. The relevance of primary care pharmacy practice and diabetes care</w:t>
            </w:r>
            <w:r w:rsidR="005503BA">
              <w:rPr>
                <w:noProof/>
                <w:webHidden/>
              </w:rPr>
              <w:tab/>
            </w:r>
            <w:r w:rsidR="005503BA">
              <w:rPr>
                <w:noProof/>
                <w:webHidden/>
              </w:rPr>
              <w:fldChar w:fldCharType="begin"/>
            </w:r>
            <w:r w:rsidR="005503BA">
              <w:rPr>
                <w:noProof/>
                <w:webHidden/>
              </w:rPr>
              <w:instrText xml:space="preserve"> PAGEREF _Toc153894211 \h </w:instrText>
            </w:r>
            <w:r w:rsidR="005503BA">
              <w:rPr>
                <w:noProof/>
                <w:webHidden/>
              </w:rPr>
            </w:r>
            <w:r w:rsidR="005503BA">
              <w:rPr>
                <w:noProof/>
                <w:webHidden/>
              </w:rPr>
              <w:fldChar w:fldCharType="separate"/>
            </w:r>
            <w:r w:rsidR="005503BA">
              <w:rPr>
                <w:noProof/>
                <w:webHidden/>
              </w:rPr>
              <w:t>245</w:t>
            </w:r>
            <w:r w:rsidR="005503BA">
              <w:rPr>
                <w:noProof/>
                <w:webHidden/>
              </w:rPr>
              <w:fldChar w:fldCharType="end"/>
            </w:r>
          </w:hyperlink>
        </w:p>
        <w:p w14:paraId="2465EA9D" w14:textId="06C6DD08"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12" w:history="1">
            <w:r w:rsidR="005503BA" w:rsidRPr="0062492F">
              <w:rPr>
                <w:rStyle w:val="Hyperlink"/>
                <w:noProof/>
              </w:rPr>
              <w:t>7.2.2.</w:t>
            </w:r>
            <w:r w:rsidR="005503BA">
              <w:rPr>
                <w:rFonts w:eastAsiaTheme="minorEastAsia" w:cstheme="minorBidi"/>
                <w:noProof/>
                <w:kern w:val="2"/>
                <w:sz w:val="22"/>
                <w:szCs w:val="22"/>
                <w14:ligatures w14:val="standardContextual"/>
              </w:rPr>
              <w:tab/>
            </w:r>
            <w:r w:rsidR="005503BA" w:rsidRPr="0062492F">
              <w:rPr>
                <w:rStyle w:val="Hyperlink"/>
                <w:noProof/>
              </w:rPr>
              <w:t>Supportive attitudes and views on pharmacists' involvement in diabetes primary     care management</w:t>
            </w:r>
            <w:r w:rsidR="005503BA">
              <w:rPr>
                <w:noProof/>
                <w:webHidden/>
              </w:rPr>
              <w:tab/>
            </w:r>
            <w:r w:rsidR="005503BA">
              <w:rPr>
                <w:noProof/>
                <w:webHidden/>
              </w:rPr>
              <w:fldChar w:fldCharType="begin"/>
            </w:r>
            <w:r w:rsidR="005503BA">
              <w:rPr>
                <w:noProof/>
                <w:webHidden/>
              </w:rPr>
              <w:instrText xml:space="preserve"> PAGEREF _Toc153894212 \h </w:instrText>
            </w:r>
            <w:r w:rsidR="005503BA">
              <w:rPr>
                <w:noProof/>
                <w:webHidden/>
              </w:rPr>
            </w:r>
            <w:r w:rsidR="005503BA">
              <w:rPr>
                <w:noProof/>
                <w:webHidden/>
              </w:rPr>
              <w:fldChar w:fldCharType="separate"/>
            </w:r>
            <w:r w:rsidR="005503BA">
              <w:rPr>
                <w:noProof/>
                <w:webHidden/>
              </w:rPr>
              <w:t>252</w:t>
            </w:r>
            <w:r w:rsidR="005503BA">
              <w:rPr>
                <w:noProof/>
                <w:webHidden/>
              </w:rPr>
              <w:fldChar w:fldCharType="end"/>
            </w:r>
          </w:hyperlink>
        </w:p>
        <w:p w14:paraId="74E63C22" w14:textId="6CF04709"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13" w:history="1">
            <w:r w:rsidR="005503BA" w:rsidRPr="0062492F">
              <w:rPr>
                <w:rStyle w:val="Hyperlink"/>
                <w:noProof/>
              </w:rPr>
              <w:t>7.2.3.</w:t>
            </w:r>
            <w:r w:rsidR="005503BA">
              <w:rPr>
                <w:rFonts w:eastAsiaTheme="minorEastAsia" w:cstheme="minorBidi"/>
                <w:noProof/>
                <w:kern w:val="2"/>
                <w:sz w:val="22"/>
                <w:szCs w:val="22"/>
                <w14:ligatures w14:val="standardContextual"/>
              </w:rPr>
              <w:tab/>
            </w:r>
            <w:r w:rsidR="005503BA" w:rsidRPr="0062492F">
              <w:rPr>
                <w:rStyle w:val="Hyperlink"/>
                <w:noProof/>
                <w:shd w:val="clear" w:color="auto" w:fill="FFFFFF"/>
              </w:rPr>
              <w:t>Challenges to pharmacists’ involvement in diabetes management and proposed solutions</w:t>
            </w:r>
            <w:r w:rsidR="005503BA">
              <w:rPr>
                <w:noProof/>
                <w:webHidden/>
              </w:rPr>
              <w:tab/>
            </w:r>
            <w:r w:rsidR="005503BA">
              <w:rPr>
                <w:noProof/>
                <w:webHidden/>
              </w:rPr>
              <w:fldChar w:fldCharType="begin"/>
            </w:r>
            <w:r w:rsidR="005503BA">
              <w:rPr>
                <w:noProof/>
                <w:webHidden/>
              </w:rPr>
              <w:instrText xml:space="preserve"> PAGEREF _Toc153894213 \h </w:instrText>
            </w:r>
            <w:r w:rsidR="005503BA">
              <w:rPr>
                <w:noProof/>
                <w:webHidden/>
              </w:rPr>
            </w:r>
            <w:r w:rsidR="005503BA">
              <w:rPr>
                <w:noProof/>
                <w:webHidden/>
              </w:rPr>
              <w:fldChar w:fldCharType="separate"/>
            </w:r>
            <w:r w:rsidR="005503BA">
              <w:rPr>
                <w:noProof/>
                <w:webHidden/>
              </w:rPr>
              <w:t>262</w:t>
            </w:r>
            <w:r w:rsidR="005503BA">
              <w:rPr>
                <w:noProof/>
                <w:webHidden/>
              </w:rPr>
              <w:fldChar w:fldCharType="end"/>
            </w:r>
          </w:hyperlink>
        </w:p>
        <w:p w14:paraId="3F9DDFE9" w14:textId="143B04AA"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14" w:history="1">
            <w:r w:rsidR="005503BA" w:rsidRPr="0062492F">
              <w:rPr>
                <w:rStyle w:val="Hyperlink"/>
                <w:noProof/>
              </w:rPr>
              <w:t>7.2.4.</w:t>
            </w:r>
            <w:r w:rsidR="005503BA">
              <w:rPr>
                <w:rFonts w:eastAsiaTheme="minorEastAsia" w:cstheme="minorBidi"/>
                <w:noProof/>
                <w:kern w:val="2"/>
                <w:sz w:val="22"/>
                <w:szCs w:val="22"/>
                <w14:ligatures w14:val="standardContextual"/>
              </w:rPr>
              <w:tab/>
            </w:r>
            <w:r w:rsidR="005503BA" w:rsidRPr="0062492F">
              <w:rPr>
                <w:rStyle w:val="Hyperlink"/>
                <w:noProof/>
                <w:shd w:val="clear" w:color="auto" w:fill="FFFFFF"/>
              </w:rPr>
              <w:t>Involving pharmacists in diabetes management in line with the transformation of the Saudi Ministry of Health system</w:t>
            </w:r>
            <w:r w:rsidR="005503BA">
              <w:rPr>
                <w:noProof/>
                <w:webHidden/>
              </w:rPr>
              <w:tab/>
            </w:r>
            <w:r w:rsidR="005503BA">
              <w:rPr>
                <w:noProof/>
                <w:webHidden/>
              </w:rPr>
              <w:fldChar w:fldCharType="begin"/>
            </w:r>
            <w:r w:rsidR="005503BA">
              <w:rPr>
                <w:noProof/>
                <w:webHidden/>
              </w:rPr>
              <w:instrText xml:space="preserve"> PAGEREF _Toc153894214 \h </w:instrText>
            </w:r>
            <w:r w:rsidR="005503BA">
              <w:rPr>
                <w:noProof/>
                <w:webHidden/>
              </w:rPr>
            </w:r>
            <w:r w:rsidR="005503BA">
              <w:rPr>
                <w:noProof/>
                <w:webHidden/>
              </w:rPr>
              <w:fldChar w:fldCharType="separate"/>
            </w:r>
            <w:r w:rsidR="005503BA">
              <w:rPr>
                <w:noProof/>
                <w:webHidden/>
              </w:rPr>
              <w:t>269</w:t>
            </w:r>
            <w:r w:rsidR="005503BA">
              <w:rPr>
                <w:noProof/>
                <w:webHidden/>
              </w:rPr>
              <w:fldChar w:fldCharType="end"/>
            </w:r>
          </w:hyperlink>
        </w:p>
        <w:p w14:paraId="26A3B55A" w14:textId="7CA3F7FA"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215" w:history="1">
            <w:r w:rsidR="005503BA" w:rsidRPr="0062492F">
              <w:rPr>
                <w:rStyle w:val="Hyperlink"/>
                <w:noProof/>
              </w:rPr>
              <w:t>7.3.</w:t>
            </w:r>
            <w:r w:rsidR="005503BA">
              <w:rPr>
                <w:rFonts w:eastAsiaTheme="minorEastAsia" w:cstheme="minorBidi"/>
                <w:b w:val="0"/>
                <w:bCs w:val="0"/>
                <w:noProof/>
                <w:kern w:val="2"/>
                <w14:ligatures w14:val="standardContextual"/>
              </w:rPr>
              <w:tab/>
            </w:r>
            <w:r w:rsidR="005503BA" w:rsidRPr="0062492F">
              <w:rPr>
                <w:rStyle w:val="Hyperlink"/>
                <w:noProof/>
              </w:rPr>
              <w:t>Strengths and limitations</w:t>
            </w:r>
            <w:r w:rsidR="005503BA">
              <w:rPr>
                <w:noProof/>
                <w:webHidden/>
              </w:rPr>
              <w:tab/>
            </w:r>
            <w:r w:rsidR="005503BA">
              <w:rPr>
                <w:noProof/>
                <w:webHidden/>
              </w:rPr>
              <w:fldChar w:fldCharType="begin"/>
            </w:r>
            <w:r w:rsidR="005503BA">
              <w:rPr>
                <w:noProof/>
                <w:webHidden/>
              </w:rPr>
              <w:instrText xml:space="preserve"> PAGEREF _Toc153894215 \h </w:instrText>
            </w:r>
            <w:r w:rsidR="005503BA">
              <w:rPr>
                <w:noProof/>
                <w:webHidden/>
              </w:rPr>
            </w:r>
            <w:r w:rsidR="005503BA">
              <w:rPr>
                <w:noProof/>
                <w:webHidden/>
              </w:rPr>
              <w:fldChar w:fldCharType="separate"/>
            </w:r>
            <w:r w:rsidR="005503BA">
              <w:rPr>
                <w:noProof/>
                <w:webHidden/>
              </w:rPr>
              <w:t>276</w:t>
            </w:r>
            <w:r w:rsidR="005503BA">
              <w:rPr>
                <w:noProof/>
                <w:webHidden/>
              </w:rPr>
              <w:fldChar w:fldCharType="end"/>
            </w:r>
          </w:hyperlink>
        </w:p>
        <w:p w14:paraId="71711103" w14:textId="6B268F89"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16" w:history="1">
            <w:r w:rsidR="005503BA" w:rsidRPr="0062492F">
              <w:rPr>
                <w:rStyle w:val="Hyperlink"/>
                <w:noProof/>
              </w:rPr>
              <w:t>7.3.2.</w:t>
            </w:r>
            <w:r w:rsidR="005503BA">
              <w:rPr>
                <w:rFonts w:eastAsiaTheme="minorEastAsia" w:cstheme="minorBidi"/>
                <w:noProof/>
                <w:kern w:val="2"/>
                <w:sz w:val="22"/>
                <w:szCs w:val="22"/>
                <w14:ligatures w14:val="standardContextual"/>
              </w:rPr>
              <w:tab/>
            </w:r>
            <w:r w:rsidR="005503BA" w:rsidRPr="0062492F">
              <w:rPr>
                <w:rStyle w:val="Hyperlink"/>
                <w:noProof/>
              </w:rPr>
              <w:t>Strengths</w:t>
            </w:r>
            <w:r w:rsidR="005503BA">
              <w:rPr>
                <w:noProof/>
                <w:webHidden/>
              </w:rPr>
              <w:tab/>
            </w:r>
            <w:r w:rsidR="005503BA">
              <w:rPr>
                <w:noProof/>
                <w:webHidden/>
              </w:rPr>
              <w:fldChar w:fldCharType="begin"/>
            </w:r>
            <w:r w:rsidR="005503BA">
              <w:rPr>
                <w:noProof/>
                <w:webHidden/>
              </w:rPr>
              <w:instrText xml:space="preserve"> PAGEREF _Toc153894216 \h </w:instrText>
            </w:r>
            <w:r w:rsidR="005503BA">
              <w:rPr>
                <w:noProof/>
                <w:webHidden/>
              </w:rPr>
            </w:r>
            <w:r w:rsidR="005503BA">
              <w:rPr>
                <w:noProof/>
                <w:webHidden/>
              </w:rPr>
              <w:fldChar w:fldCharType="separate"/>
            </w:r>
            <w:r w:rsidR="005503BA">
              <w:rPr>
                <w:noProof/>
                <w:webHidden/>
              </w:rPr>
              <w:t>276</w:t>
            </w:r>
            <w:r w:rsidR="005503BA">
              <w:rPr>
                <w:noProof/>
                <w:webHidden/>
              </w:rPr>
              <w:fldChar w:fldCharType="end"/>
            </w:r>
          </w:hyperlink>
        </w:p>
        <w:p w14:paraId="19A69FB2" w14:textId="350E37F8"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17" w:history="1">
            <w:r w:rsidR="005503BA" w:rsidRPr="0062492F">
              <w:rPr>
                <w:rStyle w:val="Hyperlink"/>
                <w:noProof/>
              </w:rPr>
              <w:t>7.3.3.</w:t>
            </w:r>
            <w:r w:rsidR="005503BA">
              <w:rPr>
                <w:rFonts w:eastAsiaTheme="minorEastAsia" w:cstheme="minorBidi"/>
                <w:noProof/>
                <w:kern w:val="2"/>
                <w:sz w:val="22"/>
                <w:szCs w:val="22"/>
                <w14:ligatures w14:val="standardContextual"/>
              </w:rPr>
              <w:tab/>
            </w:r>
            <w:r w:rsidR="005503BA" w:rsidRPr="0062492F">
              <w:rPr>
                <w:rStyle w:val="Hyperlink"/>
                <w:noProof/>
              </w:rPr>
              <w:t>Limitations</w:t>
            </w:r>
            <w:r w:rsidR="005503BA">
              <w:rPr>
                <w:noProof/>
                <w:webHidden/>
              </w:rPr>
              <w:tab/>
            </w:r>
            <w:r w:rsidR="005503BA">
              <w:rPr>
                <w:noProof/>
                <w:webHidden/>
              </w:rPr>
              <w:fldChar w:fldCharType="begin"/>
            </w:r>
            <w:r w:rsidR="005503BA">
              <w:rPr>
                <w:noProof/>
                <w:webHidden/>
              </w:rPr>
              <w:instrText xml:space="preserve"> PAGEREF _Toc153894217 \h </w:instrText>
            </w:r>
            <w:r w:rsidR="005503BA">
              <w:rPr>
                <w:noProof/>
                <w:webHidden/>
              </w:rPr>
            </w:r>
            <w:r w:rsidR="005503BA">
              <w:rPr>
                <w:noProof/>
                <w:webHidden/>
              </w:rPr>
              <w:fldChar w:fldCharType="separate"/>
            </w:r>
            <w:r w:rsidR="005503BA">
              <w:rPr>
                <w:noProof/>
                <w:webHidden/>
              </w:rPr>
              <w:t>277</w:t>
            </w:r>
            <w:r w:rsidR="005503BA">
              <w:rPr>
                <w:noProof/>
                <w:webHidden/>
              </w:rPr>
              <w:fldChar w:fldCharType="end"/>
            </w:r>
          </w:hyperlink>
        </w:p>
        <w:p w14:paraId="28493007" w14:textId="5810583C"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218" w:history="1">
            <w:r w:rsidR="005503BA" w:rsidRPr="0062492F">
              <w:rPr>
                <w:rStyle w:val="Hyperlink"/>
                <w:noProof/>
              </w:rPr>
              <w:t>7.4.</w:t>
            </w:r>
            <w:r w:rsidR="005503BA">
              <w:rPr>
                <w:rFonts w:eastAsiaTheme="minorEastAsia" w:cstheme="minorBidi"/>
                <w:b w:val="0"/>
                <w:bCs w:val="0"/>
                <w:noProof/>
                <w:kern w:val="2"/>
                <w14:ligatures w14:val="standardContextual"/>
              </w:rPr>
              <w:tab/>
            </w:r>
            <w:r w:rsidR="005503BA" w:rsidRPr="0062492F">
              <w:rPr>
                <w:rStyle w:val="Hyperlink"/>
                <w:noProof/>
              </w:rPr>
              <w:t>Implications for diabetes care in Saudi Arabia</w:t>
            </w:r>
            <w:r w:rsidR="005503BA">
              <w:rPr>
                <w:noProof/>
                <w:webHidden/>
              </w:rPr>
              <w:tab/>
            </w:r>
            <w:r w:rsidR="005503BA">
              <w:rPr>
                <w:noProof/>
                <w:webHidden/>
              </w:rPr>
              <w:fldChar w:fldCharType="begin"/>
            </w:r>
            <w:r w:rsidR="005503BA">
              <w:rPr>
                <w:noProof/>
                <w:webHidden/>
              </w:rPr>
              <w:instrText xml:space="preserve"> PAGEREF _Toc153894218 \h </w:instrText>
            </w:r>
            <w:r w:rsidR="005503BA">
              <w:rPr>
                <w:noProof/>
                <w:webHidden/>
              </w:rPr>
            </w:r>
            <w:r w:rsidR="005503BA">
              <w:rPr>
                <w:noProof/>
                <w:webHidden/>
              </w:rPr>
              <w:fldChar w:fldCharType="separate"/>
            </w:r>
            <w:r w:rsidR="005503BA">
              <w:rPr>
                <w:noProof/>
                <w:webHidden/>
              </w:rPr>
              <w:t>280</w:t>
            </w:r>
            <w:r w:rsidR="005503BA">
              <w:rPr>
                <w:noProof/>
                <w:webHidden/>
              </w:rPr>
              <w:fldChar w:fldCharType="end"/>
            </w:r>
          </w:hyperlink>
        </w:p>
        <w:p w14:paraId="1AC45782" w14:textId="7DB36E48"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19" w:history="1">
            <w:r w:rsidR="005503BA" w:rsidRPr="0062492F">
              <w:rPr>
                <w:rStyle w:val="Hyperlink"/>
                <w:noProof/>
              </w:rPr>
              <w:t>7.4.2.</w:t>
            </w:r>
            <w:r w:rsidR="005503BA">
              <w:rPr>
                <w:rFonts w:eastAsiaTheme="minorEastAsia" w:cstheme="minorBidi"/>
                <w:noProof/>
                <w:kern w:val="2"/>
                <w:sz w:val="22"/>
                <w:szCs w:val="22"/>
                <w14:ligatures w14:val="standardContextual"/>
              </w:rPr>
              <w:tab/>
            </w:r>
            <w:r w:rsidR="005503BA" w:rsidRPr="0062492F">
              <w:rPr>
                <w:rStyle w:val="Hyperlink"/>
                <w:noProof/>
              </w:rPr>
              <w:t>Implications for practice</w:t>
            </w:r>
            <w:r w:rsidR="005503BA">
              <w:rPr>
                <w:noProof/>
                <w:webHidden/>
              </w:rPr>
              <w:tab/>
            </w:r>
            <w:r w:rsidR="005503BA">
              <w:rPr>
                <w:noProof/>
                <w:webHidden/>
              </w:rPr>
              <w:fldChar w:fldCharType="begin"/>
            </w:r>
            <w:r w:rsidR="005503BA">
              <w:rPr>
                <w:noProof/>
                <w:webHidden/>
              </w:rPr>
              <w:instrText xml:space="preserve"> PAGEREF _Toc153894219 \h </w:instrText>
            </w:r>
            <w:r w:rsidR="005503BA">
              <w:rPr>
                <w:noProof/>
                <w:webHidden/>
              </w:rPr>
            </w:r>
            <w:r w:rsidR="005503BA">
              <w:rPr>
                <w:noProof/>
                <w:webHidden/>
              </w:rPr>
              <w:fldChar w:fldCharType="separate"/>
            </w:r>
            <w:r w:rsidR="005503BA">
              <w:rPr>
                <w:noProof/>
                <w:webHidden/>
              </w:rPr>
              <w:t>280</w:t>
            </w:r>
            <w:r w:rsidR="005503BA">
              <w:rPr>
                <w:noProof/>
                <w:webHidden/>
              </w:rPr>
              <w:fldChar w:fldCharType="end"/>
            </w:r>
          </w:hyperlink>
        </w:p>
        <w:p w14:paraId="795DDD55" w14:textId="40E7450B"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20" w:history="1">
            <w:r w:rsidR="005503BA" w:rsidRPr="0062492F">
              <w:rPr>
                <w:rStyle w:val="Hyperlink"/>
                <w:noProof/>
              </w:rPr>
              <w:t>7.4.3.</w:t>
            </w:r>
            <w:r w:rsidR="005503BA">
              <w:rPr>
                <w:rFonts w:eastAsiaTheme="minorEastAsia" w:cstheme="minorBidi"/>
                <w:noProof/>
                <w:kern w:val="2"/>
                <w:sz w:val="22"/>
                <w:szCs w:val="22"/>
                <w14:ligatures w14:val="standardContextual"/>
              </w:rPr>
              <w:tab/>
            </w:r>
            <w:r w:rsidR="005503BA" w:rsidRPr="0062492F">
              <w:rPr>
                <w:rStyle w:val="Hyperlink"/>
                <w:noProof/>
              </w:rPr>
              <w:t>Recommendations for practice</w:t>
            </w:r>
            <w:r w:rsidR="005503BA">
              <w:rPr>
                <w:noProof/>
                <w:webHidden/>
              </w:rPr>
              <w:tab/>
            </w:r>
            <w:r w:rsidR="005503BA">
              <w:rPr>
                <w:noProof/>
                <w:webHidden/>
              </w:rPr>
              <w:fldChar w:fldCharType="begin"/>
            </w:r>
            <w:r w:rsidR="005503BA">
              <w:rPr>
                <w:noProof/>
                <w:webHidden/>
              </w:rPr>
              <w:instrText xml:space="preserve"> PAGEREF _Toc153894220 \h </w:instrText>
            </w:r>
            <w:r w:rsidR="005503BA">
              <w:rPr>
                <w:noProof/>
                <w:webHidden/>
              </w:rPr>
            </w:r>
            <w:r w:rsidR="005503BA">
              <w:rPr>
                <w:noProof/>
                <w:webHidden/>
              </w:rPr>
              <w:fldChar w:fldCharType="separate"/>
            </w:r>
            <w:r w:rsidR="005503BA">
              <w:rPr>
                <w:noProof/>
                <w:webHidden/>
              </w:rPr>
              <w:t>280</w:t>
            </w:r>
            <w:r w:rsidR="005503BA">
              <w:rPr>
                <w:noProof/>
                <w:webHidden/>
              </w:rPr>
              <w:fldChar w:fldCharType="end"/>
            </w:r>
          </w:hyperlink>
        </w:p>
        <w:p w14:paraId="2100EE2E" w14:textId="3C6DDA2E"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21" w:history="1">
            <w:r w:rsidR="005503BA" w:rsidRPr="0062492F">
              <w:rPr>
                <w:rStyle w:val="Hyperlink"/>
                <w:noProof/>
              </w:rPr>
              <w:t>7.4.4.</w:t>
            </w:r>
            <w:r w:rsidR="005503BA">
              <w:rPr>
                <w:rFonts w:eastAsiaTheme="minorEastAsia" w:cstheme="minorBidi"/>
                <w:noProof/>
                <w:kern w:val="2"/>
                <w:sz w:val="22"/>
                <w:szCs w:val="22"/>
                <w14:ligatures w14:val="standardContextual"/>
              </w:rPr>
              <w:tab/>
            </w:r>
            <w:r w:rsidR="005503BA" w:rsidRPr="0062492F">
              <w:rPr>
                <w:rStyle w:val="Hyperlink"/>
                <w:noProof/>
              </w:rPr>
              <w:t>Implication for policy</w:t>
            </w:r>
            <w:r w:rsidR="005503BA">
              <w:rPr>
                <w:noProof/>
                <w:webHidden/>
              </w:rPr>
              <w:tab/>
            </w:r>
            <w:r w:rsidR="005503BA">
              <w:rPr>
                <w:noProof/>
                <w:webHidden/>
              </w:rPr>
              <w:fldChar w:fldCharType="begin"/>
            </w:r>
            <w:r w:rsidR="005503BA">
              <w:rPr>
                <w:noProof/>
                <w:webHidden/>
              </w:rPr>
              <w:instrText xml:space="preserve"> PAGEREF _Toc153894221 \h </w:instrText>
            </w:r>
            <w:r w:rsidR="005503BA">
              <w:rPr>
                <w:noProof/>
                <w:webHidden/>
              </w:rPr>
            </w:r>
            <w:r w:rsidR="005503BA">
              <w:rPr>
                <w:noProof/>
                <w:webHidden/>
              </w:rPr>
              <w:fldChar w:fldCharType="separate"/>
            </w:r>
            <w:r w:rsidR="005503BA">
              <w:rPr>
                <w:noProof/>
                <w:webHidden/>
              </w:rPr>
              <w:t>281</w:t>
            </w:r>
            <w:r w:rsidR="005503BA">
              <w:rPr>
                <w:noProof/>
                <w:webHidden/>
              </w:rPr>
              <w:fldChar w:fldCharType="end"/>
            </w:r>
          </w:hyperlink>
        </w:p>
        <w:p w14:paraId="3BBE2E8E" w14:textId="2338585D"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22" w:history="1">
            <w:r w:rsidR="005503BA" w:rsidRPr="0062492F">
              <w:rPr>
                <w:rStyle w:val="Hyperlink"/>
                <w:noProof/>
              </w:rPr>
              <w:t>7.4.5.</w:t>
            </w:r>
            <w:r w:rsidR="005503BA">
              <w:rPr>
                <w:rFonts w:eastAsiaTheme="minorEastAsia" w:cstheme="minorBidi"/>
                <w:noProof/>
                <w:kern w:val="2"/>
                <w:sz w:val="22"/>
                <w:szCs w:val="22"/>
                <w14:ligatures w14:val="standardContextual"/>
              </w:rPr>
              <w:tab/>
            </w:r>
            <w:r w:rsidR="005503BA" w:rsidRPr="0062492F">
              <w:rPr>
                <w:rStyle w:val="Hyperlink"/>
                <w:noProof/>
              </w:rPr>
              <w:t>Recommendations for policy-makers</w:t>
            </w:r>
            <w:r w:rsidR="005503BA">
              <w:rPr>
                <w:noProof/>
                <w:webHidden/>
              </w:rPr>
              <w:tab/>
            </w:r>
            <w:r w:rsidR="005503BA">
              <w:rPr>
                <w:noProof/>
                <w:webHidden/>
              </w:rPr>
              <w:fldChar w:fldCharType="begin"/>
            </w:r>
            <w:r w:rsidR="005503BA">
              <w:rPr>
                <w:noProof/>
                <w:webHidden/>
              </w:rPr>
              <w:instrText xml:space="preserve"> PAGEREF _Toc153894222 \h </w:instrText>
            </w:r>
            <w:r w:rsidR="005503BA">
              <w:rPr>
                <w:noProof/>
                <w:webHidden/>
              </w:rPr>
            </w:r>
            <w:r w:rsidR="005503BA">
              <w:rPr>
                <w:noProof/>
                <w:webHidden/>
              </w:rPr>
              <w:fldChar w:fldCharType="separate"/>
            </w:r>
            <w:r w:rsidR="005503BA">
              <w:rPr>
                <w:noProof/>
                <w:webHidden/>
              </w:rPr>
              <w:t>282</w:t>
            </w:r>
            <w:r w:rsidR="005503BA">
              <w:rPr>
                <w:noProof/>
                <w:webHidden/>
              </w:rPr>
              <w:fldChar w:fldCharType="end"/>
            </w:r>
          </w:hyperlink>
        </w:p>
        <w:p w14:paraId="0A0CE13F" w14:textId="3A0FB95A" w:rsidR="005503BA" w:rsidRDefault="00000000">
          <w:pPr>
            <w:pStyle w:val="TOC3"/>
            <w:tabs>
              <w:tab w:val="left" w:pos="1320"/>
              <w:tab w:val="right" w:leader="dot" w:pos="9350"/>
            </w:tabs>
            <w:rPr>
              <w:rFonts w:eastAsiaTheme="minorEastAsia" w:cstheme="minorBidi"/>
              <w:noProof/>
              <w:kern w:val="2"/>
              <w:sz w:val="22"/>
              <w:szCs w:val="22"/>
              <w14:ligatures w14:val="standardContextual"/>
            </w:rPr>
          </w:pPr>
          <w:hyperlink w:anchor="_Toc153894223" w:history="1">
            <w:r w:rsidR="005503BA" w:rsidRPr="0062492F">
              <w:rPr>
                <w:rStyle w:val="Hyperlink"/>
                <w:noProof/>
              </w:rPr>
              <w:t>7.4.6.</w:t>
            </w:r>
            <w:r w:rsidR="005503BA">
              <w:rPr>
                <w:rFonts w:eastAsiaTheme="minorEastAsia" w:cstheme="minorBidi"/>
                <w:noProof/>
                <w:kern w:val="2"/>
                <w:sz w:val="22"/>
                <w:szCs w:val="22"/>
                <w14:ligatures w14:val="standardContextual"/>
              </w:rPr>
              <w:tab/>
            </w:r>
            <w:r w:rsidR="005503BA" w:rsidRPr="0062492F">
              <w:rPr>
                <w:rStyle w:val="Hyperlink"/>
                <w:noProof/>
              </w:rPr>
              <w:t>Future research</w:t>
            </w:r>
            <w:r w:rsidR="005503BA">
              <w:rPr>
                <w:noProof/>
                <w:webHidden/>
              </w:rPr>
              <w:tab/>
            </w:r>
            <w:r w:rsidR="005503BA">
              <w:rPr>
                <w:noProof/>
                <w:webHidden/>
              </w:rPr>
              <w:fldChar w:fldCharType="begin"/>
            </w:r>
            <w:r w:rsidR="005503BA">
              <w:rPr>
                <w:noProof/>
                <w:webHidden/>
              </w:rPr>
              <w:instrText xml:space="preserve"> PAGEREF _Toc153894223 \h </w:instrText>
            </w:r>
            <w:r w:rsidR="005503BA">
              <w:rPr>
                <w:noProof/>
                <w:webHidden/>
              </w:rPr>
            </w:r>
            <w:r w:rsidR="005503BA">
              <w:rPr>
                <w:noProof/>
                <w:webHidden/>
              </w:rPr>
              <w:fldChar w:fldCharType="separate"/>
            </w:r>
            <w:r w:rsidR="005503BA">
              <w:rPr>
                <w:noProof/>
                <w:webHidden/>
              </w:rPr>
              <w:t>283</w:t>
            </w:r>
            <w:r w:rsidR="005503BA">
              <w:rPr>
                <w:noProof/>
                <w:webHidden/>
              </w:rPr>
              <w:fldChar w:fldCharType="end"/>
            </w:r>
          </w:hyperlink>
        </w:p>
        <w:p w14:paraId="2B29D154" w14:textId="3A0ED0B2" w:rsidR="005503BA" w:rsidRDefault="00000000">
          <w:pPr>
            <w:pStyle w:val="TOC2"/>
            <w:tabs>
              <w:tab w:val="left" w:pos="880"/>
              <w:tab w:val="right" w:leader="dot" w:pos="9350"/>
            </w:tabs>
            <w:rPr>
              <w:rFonts w:eastAsiaTheme="minorEastAsia" w:cstheme="minorBidi"/>
              <w:b w:val="0"/>
              <w:bCs w:val="0"/>
              <w:noProof/>
              <w:kern w:val="2"/>
              <w14:ligatures w14:val="standardContextual"/>
            </w:rPr>
          </w:pPr>
          <w:hyperlink w:anchor="_Toc153894224" w:history="1">
            <w:r w:rsidR="005503BA" w:rsidRPr="0062492F">
              <w:rPr>
                <w:rStyle w:val="Hyperlink"/>
                <w:noProof/>
              </w:rPr>
              <w:t>7.5.</w:t>
            </w:r>
            <w:r w:rsidR="005503BA">
              <w:rPr>
                <w:rFonts w:eastAsiaTheme="minorEastAsia" w:cstheme="minorBidi"/>
                <w:b w:val="0"/>
                <w:bCs w:val="0"/>
                <w:noProof/>
                <w:kern w:val="2"/>
                <w14:ligatures w14:val="standardContextual"/>
              </w:rPr>
              <w:tab/>
            </w:r>
            <w:r w:rsidR="005503BA" w:rsidRPr="0062492F">
              <w:rPr>
                <w:rStyle w:val="Hyperlink"/>
                <w:noProof/>
              </w:rPr>
              <w:t>CONCLUSION</w:t>
            </w:r>
            <w:r w:rsidR="005503BA">
              <w:rPr>
                <w:noProof/>
                <w:webHidden/>
              </w:rPr>
              <w:tab/>
            </w:r>
            <w:r w:rsidR="005503BA">
              <w:rPr>
                <w:noProof/>
                <w:webHidden/>
              </w:rPr>
              <w:fldChar w:fldCharType="begin"/>
            </w:r>
            <w:r w:rsidR="005503BA">
              <w:rPr>
                <w:noProof/>
                <w:webHidden/>
              </w:rPr>
              <w:instrText xml:space="preserve"> PAGEREF _Toc153894224 \h </w:instrText>
            </w:r>
            <w:r w:rsidR="005503BA">
              <w:rPr>
                <w:noProof/>
                <w:webHidden/>
              </w:rPr>
            </w:r>
            <w:r w:rsidR="005503BA">
              <w:rPr>
                <w:noProof/>
                <w:webHidden/>
              </w:rPr>
              <w:fldChar w:fldCharType="separate"/>
            </w:r>
            <w:r w:rsidR="005503BA">
              <w:rPr>
                <w:noProof/>
                <w:webHidden/>
              </w:rPr>
              <w:t>284</w:t>
            </w:r>
            <w:r w:rsidR="005503BA">
              <w:rPr>
                <w:noProof/>
                <w:webHidden/>
              </w:rPr>
              <w:fldChar w:fldCharType="end"/>
            </w:r>
          </w:hyperlink>
        </w:p>
        <w:p w14:paraId="7E505A21" w14:textId="2EC7615E" w:rsidR="005503BA" w:rsidRDefault="00000000" w:rsidP="00E92158">
          <w:pPr>
            <w:pStyle w:val="TOC1"/>
            <w:rPr>
              <w:rFonts w:eastAsiaTheme="minorEastAsia" w:cstheme="minorBidi"/>
              <w:noProof/>
              <w:kern w:val="2"/>
              <w:sz w:val="22"/>
              <w:szCs w:val="22"/>
              <w14:ligatures w14:val="standardContextual"/>
            </w:rPr>
          </w:pPr>
          <w:hyperlink w:anchor="_Toc153894225" w:history="1">
            <w:r w:rsidR="005503BA" w:rsidRPr="0062492F">
              <w:rPr>
                <w:rStyle w:val="Hyperlink"/>
                <w:noProof/>
              </w:rPr>
              <w:t>References</w:t>
            </w:r>
            <w:r w:rsidR="005503BA">
              <w:rPr>
                <w:noProof/>
                <w:webHidden/>
              </w:rPr>
              <w:tab/>
            </w:r>
            <w:r w:rsidR="005503BA">
              <w:rPr>
                <w:noProof/>
                <w:webHidden/>
              </w:rPr>
              <w:fldChar w:fldCharType="begin"/>
            </w:r>
            <w:r w:rsidR="005503BA">
              <w:rPr>
                <w:noProof/>
                <w:webHidden/>
              </w:rPr>
              <w:instrText xml:space="preserve"> PAGEREF _Toc153894225 \h </w:instrText>
            </w:r>
            <w:r w:rsidR="005503BA">
              <w:rPr>
                <w:noProof/>
                <w:webHidden/>
              </w:rPr>
            </w:r>
            <w:r w:rsidR="005503BA">
              <w:rPr>
                <w:noProof/>
                <w:webHidden/>
              </w:rPr>
              <w:fldChar w:fldCharType="separate"/>
            </w:r>
            <w:r w:rsidR="005503BA">
              <w:rPr>
                <w:noProof/>
                <w:webHidden/>
              </w:rPr>
              <w:t>287</w:t>
            </w:r>
            <w:r w:rsidR="005503BA">
              <w:rPr>
                <w:noProof/>
                <w:webHidden/>
              </w:rPr>
              <w:fldChar w:fldCharType="end"/>
            </w:r>
          </w:hyperlink>
        </w:p>
        <w:p w14:paraId="6B9EA34A" w14:textId="76066078" w:rsidR="005503BA" w:rsidRDefault="00000000" w:rsidP="00E92158">
          <w:pPr>
            <w:pStyle w:val="TOC1"/>
            <w:rPr>
              <w:rFonts w:eastAsiaTheme="minorEastAsia" w:cstheme="minorBidi"/>
              <w:noProof/>
              <w:kern w:val="2"/>
              <w:sz w:val="22"/>
              <w:szCs w:val="22"/>
              <w14:ligatures w14:val="standardContextual"/>
            </w:rPr>
          </w:pPr>
          <w:hyperlink w:anchor="_Toc153894226" w:history="1">
            <w:r w:rsidR="005503BA" w:rsidRPr="0062492F">
              <w:rPr>
                <w:rStyle w:val="Hyperlink"/>
                <w:noProof/>
              </w:rPr>
              <w:t>Appendices</w:t>
            </w:r>
            <w:r w:rsidR="005503BA">
              <w:rPr>
                <w:noProof/>
                <w:webHidden/>
              </w:rPr>
              <w:tab/>
            </w:r>
            <w:r w:rsidR="005503BA">
              <w:rPr>
                <w:noProof/>
                <w:webHidden/>
              </w:rPr>
              <w:fldChar w:fldCharType="begin"/>
            </w:r>
            <w:r w:rsidR="005503BA">
              <w:rPr>
                <w:noProof/>
                <w:webHidden/>
              </w:rPr>
              <w:instrText xml:space="preserve"> PAGEREF _Toc153894226 \h </w:instrText>
            </w:r>
            <w:r w:rsidR="005503BA">
              <w:rPr>
                <w:noProof/>
                <w:webHidden/>
              </w:rPr>
            </w:r>
            <w:r w:rsidR="005503BA">
              <w:rPr>
                <w:noProof/>
                <w:webHidden/>
              </w:rPr>
              <w:fldChar w:fldCharType="separate"/>
            </w:r>
            <w:r w:rsidR="005503BA">
              <w:rPr>
                <w:noProof/>
                <w:webHidden/>
              </w:rPr>
              <w:t>302</w:t>
            </w:r>
            <w:r w:rsidR="005503BA">
              <w:rPr>
                <w:noProof/>
                <w:webHidden/>
              </w:rPr>
              <w:fldChar w:fldCharType="end"/>
            </w:r>
          </w:hyperlink>
        </w:p>
        <w:p w14:paraId="7BFEA78D" w14:textId="1C45D275" w:rsidR="00610EEE" w:rsidRPr="0084280E" w:rsidRDefault="00610EEE" w:rsidP="00610EEE">
          <w:pPr>
            <w:jc w:val="both"/>
          </w:pPr>
          <w:r>
            <w:rPr>
              <w:b/>
              <w:bCs/>
              <w:noProof/>
            </w:rPr>
            <w:fldChar w:fldCharType="end"/>
          </w:r>
        </w:p>
      </w:sdtContent>
    </w:sdt>
    <w:p w14:paraId="736EB8DE" w14:textId="77777777" w:rsidR="00610EEE" w:rsidRDefault="00610EEE" w:rsidP="00610EEE">
      <w:pPr>
        <w:rPr>
          <w:rFonts w:ascii="Arial" w:hAnsi="Arial" w:cs="Arial"/>
          <w:b/>
          <w:bCs/>
          <w:sz w:val="24"/>
          <w:szCs w:val="24"/>
        </w:rPr>
      </w:pPr>
      <w:r>
        <w:rPr>
          <w:rFonts w:ascii="Arial" w:hAnsi="Arial" w:cs="Arial"/>
          <w:b/>
          <w:bCs/>
          <w:sz w:val="24"/>
          <w:szCs w:val="24"/>
        </w:rPr>
        <w:br w:type="page"/>
      </w:r>
    </w:p>
    <w:p w14:paraId="79B7052C" w14:textId="77777777" w:rsidR="00610EEE" w:rsidRDefault="00610EEE" w:rsidP="00610EEE">
      <w:pPr>
        <w:pStyle w:val="TableofFigures"/>
        <w:tabs>
          <w:tab w:val="right" w:leader="dot" w:pos="9350"/>
        </w:tabs>
        <w:jc w:val="center"/>
        <w:rPr>
          <w:rFonts w:ascii="Arial" w:hAnsi="Arial" w:cs="Arial"/>
          <w:b/>
          <w:bCs/>
          <w:sz w:val="24"/>
          <w:szCs w:val="24"/>
        </w:rPr>
      </w:pPr>
      <w:r>
        <w:rPr>
          <w:rFonts w:ascii="Arial" w:hAnsi="Arial" w:cs="Arial"/>
          <w:b/>
          <w:bCs/>
          <w:sz w:val="24"/>
          <w:szCs w:val="24"/>
        </w:rPr>
        <w:t>List of Tables</w:t>
      </w:r>
    </w:p>
    <w:p w14:paraId="7D4E51CE" w14:textId="77777777" w:rsidR="00610EEE" w:rsidRDefault="00610EEE" w:rsidP="00610EEE">
      <w:pPr>
        <w:pStyle w:val="TableofFigures"/>
        <w:tabs>
          <w:tab w:val="right" w:leader="dot" w:pos="9350"/>
        </w:tabs>
        <w:rPr>
          <w:rFonts w:ascii="Arial" w:hAnsi="Arial" w:cs="Arial"/>
          <w:b/>
          <w:bCs/>
          <w:sz w:val="24"/>
          <w:szCs w:val="24"/>
        </w:rPr>
      </w:pPr>
    </w:p>
    <w:p w14:paraId="3D68B02B" w14:textId="081F188C" w:rsidR="00330067" w:rsidRPr="004F0077" w:rsidRDefault="00610EEE" w:rsidP="000B2609">
      <w:pPr>
        <w:pStyle w:val="TableofFigures"/>
        <w:tabs>
          <w:tab w:val="right" w:leader="dot" w:pos="9350"/>
        </w:tabs>
        <w:spacing w:line="276" w:lineRule="auto"/>
        <w:rPr>
          <w:rFonts w:eastAsiaTheme="minorEastAsia"/>
          <w:noProof/>
          <w:kern w:val="2"/>
          <w:sz w:val="24"/>
          <w:szCs w:val="24"/>
          <w14:ligatures w14:val="standardContextual"/>
        </w:rPr>
      </w:pPr>
      <w:r w:rsidRPr="000B2609">
        <w:rPr>
          <w:rFonts w:ascii="Arial" w:hAnsi="Arial" w:cs="Arial"/>
          <w:b/>
          <w:bCs/>
          <w:sz w:val="24"/>
          <w:szCs w:val="24"/>
        </w:rPr>
        <w:fldChar w:fldCharType="begin"/>
      </w:r>
      <w:r w:rsidRPr="000B2609">
        <w:rPr>
          <w:rFonts w:ascii="Arial" w:hAnsi="Arial" w:cs="Arial"/>
          <w:b/>
          <w:bCs/>
          <w:sz w:val="24"/>
          <w:szCs w:val="24"/>
        </w:rPr>
        <w:instrText xml:space="preserve"> TOC \h \z \c "Table" </w:instrText>
      </w:r>
      <w:r w:rsidRPr="000B2609">
        <w:rPr>
          <w:rFonts w:ascii="Arial" w:hAnsi="Arial" w:cs="Arial"/>
          <w:b/>
          <w:bCs/>
          <w:sz w:val="24"/>
          <w:szCs w:val="24"/>
        </w:rPr>
        <w:fldChar w:fldCharType="separate"/>
      </w:r>
      <w:hyperlink w:anchor="_Toc153894555" w:history="1">
        <w:r w:rsidR="00330067" w:rsidRPr="004F0077">
          <w:rPr>
            <w:rStyle w:val="Hyperlink"/>
            <w:noProof/>
            <w:sz w:val="24"/>
            <w:szCs w:val="24"/>
          </w:rPr>
          <w:t>Table 1: Prevalence of diabetes and related risk factors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_Toc153894555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27</w:t>
        </w:r>
        <w:r w:rsidR="00330067" w:rsidRPr="004F0077">
          <w:rPr>
            <w:noProof/>
            <w:webHidden/>
            <w:sz w:val="24"/>
            <w:szCs w:val="24"/>
          </w:rPr>
          <w:fldChar w:fldCharType="end"/>
        </w:r>
      </w:hyperlink>
    </w:p>
    <w:p w14:paraId="743B42A6" w14:textId="3150CF68"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56" w:history="1">
        <w:r w:rsidR="00330067" w:rsidRPr="004F0077">
          <w:rPr>
            <w:rStyle w:val="Hyperlink"/>
            <w:noProof/>
            <w:sz w:val="24"/>
            <w:szCs w:val="24"/>
          </w:rPr>
          <w:t>Table 2: The inclusion criteria for the review</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_Toc153894556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33</w:t>
        </w:r>
        <w:r w:rsidR="00330067" w:rsidRPr="004F0077">
          <w:rPr>
            <w:noProof/>
            <w:webHidden/>
            <w:sz w:val="24"/>
            <w:szCs w:val="24"/>
          </w:rPr>
          <w:fldChar w:fldCharType="end"/>
        </w:r>
      </w:hyperlink>
    </w:p>
    <w:p w14:paraId="2078E320" w14:textId="5F4108A8"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57" w:history="1">
        <w:r w:rsidR="00330067" w:rsidRPr="004F0077">
          <w:rPr>
            <w:rStyle w:val="Hyperlink"/>
            <w:noProof/>
            <w:sz w:val="24"/>
            <w:szCs w:val="24"/>
          </w:rPr>
          <w:t>Table 3: Search terms for literature review</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_Toc153894557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35</w:t>
        </w:r>
        <w:r w:rsidR="00330067" w:rsidRPr="004F0077">
          <w:rPr>
            <w:noProof/>
            <w:webHidden/>
            <w:sz w:val="24"/>
            <w:szCs w:val="24"/>
          </w:rPr>
          <w:fldChar w:fldCharType="end"/>
        </w:r>
      </w:hyperlink>
    </w:p>
    <w:p w14:paraId="58AE102D" w14:textId="06DFDD7A"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58" w:history="1">
        <w:r w:rsidR="00330067" w:rsidRPr="004F0077">
          <w:rPr>
            <w:rStyle w:val="Hyperlink"/>
            <w:noProof/>
            <w:sz w:val="24"/>
            <w:szCs w:val="24"/>
            <w:lang w:val="en-GB"/>
          </w:rPr>
          <w:t>Table 4: Diabetes-related services which can be provided by pharmacists.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_Toc153894558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42</w:t>
        </w:r>
        <w:r w:rsidR="00330067" w:rsidRPr="004F0077">
          <w:rPr>
            <w:noProof/>
            <w:webHidden/>
            <w:sz w:val="24"/>
            <w:szCs w:val="24"/>
          </w:rPr>
          <w:fldChar w:fldCharType="end"/>
        </w:r>
      </w:hyperlink>
    </w:p>
    <w:p w14:paraId="28AF681D" w14:textId="76132281"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59" w:history="1">
        <w:r w:rsidR="00330067" w:rsidRPr="004F0077">
          <w:rPr>
            <w:rStyle w:val="Hyperlink"/>
            <w:noProof/>
            <w:sz w:val="24"/>
            <w:szCs w:val="24"/>
          </w:rPr>
          <w:t>Table 5: Pharmacist involvement in diabetes management identified in this review.</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_Toc153894559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46</w:t>
        </w:r>
        <w:r w:rsidR="00330067" w:rsidRPr="004F0077">
          <w:rPr>
            <w:noProof/>
            <w:webHidden/>
            <w:sz w:val="24"/>
            <w:szCs w:val="24"/>
          </w:rPr>
          <w:fldChar w:fldCharType="end"/>
        </w:r>
      </w:hyperlink>
    </w:p>
    <w:p w14:paraId="6C39EB3C" w14:textId="5B4E8C50"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60" w:history="1">
        <w:r w:rsidR="00330067" w:rsidRPr="004F0077">
          <w:rPr>
            <w:rStyle w:val="Hyperlink"/>
            <w:noProof/>
            <w:sz w:val="24"/>
            <w:szCs w:val="24"/>
          </w:rPr>
          <w:t>Table 6: Barriers to the involvement of pharmacists in diabetes care team</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_Toc153894560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79</w:t>
        </w:r>
        <w:r w:rsidR="00330067" w:rsidRPr="004F0077">
          <w:rPr>
            <w:noProof/>
            <w:webHidden/>
            <w:sz w:val="24"/>
            <w:szCs w:val="24"/>
          </w:rPr>
          <w:fldChar w:fldCharType="end"/>
        </w:r>
      </w:hyperlink>
    </w:p>
    <w:p w14:paraId="050260AD" w14:textId="41C54979"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61" w:history="1">
        <w:r w:rsidR="00330067" w:rsidRPr="004F0077">
          <w:rPr>
            <w:rStyle w:val="Hyperlink"/>
            <w:noProof/>
            <w:sz w:val="24"/>
            <w:szCs w:val="24"/>
          </w:rPr>
          <w:t>Table 7: Eastern province summary of PHCs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_Toc153894561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103</w:t>
        </w:r>
        <w:r w:rsidR="00330067" w:rsidRPr="004F0077">
          <w:rPr>
            <w:noProof/>
            <w:webHidden/>
            <w:sz w:val="24"/>
            <w:szCs w:val="24"/>
          </w:rPr>
          <w:fldChar w:fldCharType="end"/>
        </w:r>
      </w:hyperlink>
    </w:p>
    <w:p w14:paraId="47437456" w14:textId="2FF89DF9"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62" w:history="1">
        <w:r w:rsidR="00330067" w:rsidRPr="004F0077">
          <w:rPr>
            <w:rStyle w:val="Hyperlink"/>
            <w:noProof/>
            <w:sz w:val="24"/>
            <w:szCs w:val="24"/>
          </w:rPr>
          <w:t>Table 8: Summary of questionnaire benefits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_Toc153894562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106</w:t>
        </w:r>
        <w:r w:rsidR="00330067" w:rsidRPr="004F0077">
          <w:rPr>
            <w:noProof/>
            <w:webHidden/>
            <w:sz w:val="24"/>
            <w:szCs w:val="24"/>
          </w:rPr>
          <w:fldChar w:fldCharType="end"/>
        </w:r>
      </w:hyperlink>
    </w:p>
    <w:p w14:paraId="01D2D685" w14:textId="4858B340"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63" w:history="1">
        <w:r w:rsidR="00330067" w:rsidRPr="004F0077">
          <w:rPr>
            <w:rStyle w:val="Hyperlink"/>
            <w:noProof/>
            <w:sz w:val="24"/>
            <w:szCs w:val="24"/>
          </w:rPr>
          <w:t>Table 9: Domains of questions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_Toc153894563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109</w:t>
        </w:r>
        <w:r w:rsidR="00330067" w:rsidRPr="004F0077">
          <w:rPr>
            <w:noProof/>
            <w:webHidden/>
            <w:sz w:val="24"/>
            <w:szCs w:val="24"/>
          </w:rPr>
          <w:fldChar w:fldCharType="end"/>
        </w:r>
      </w:hyperlink>
    </w:p>
    <w:p w14:paraId="107C668A" w14:textId="6F4B0658"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64" w:history="1">
        <w:r w:rsidR="00330067" w:rsidRPr="004F0077">
          <w:rPr>
            <w:rStyle w:val="Hyperlink"/>
            <w:noProof/>
            <w:sz w:val="24"/>
            <w:szCs w:val="24"/>
          </w:rPr>
          <w:t>Table 10: Phases of Braun and Clarke (2006) thematic analysis process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_Toc153894564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123</w:t>
        </w:r>
        <w:r w:rsidR="00330067" w:rsidRPr="004F0077">
          <w:rPr>
            <w:noProof/>
            <w:webHidden/>
            <w:sz w:val="24"/>
            <w:szCs w:val="24"/>
          </w:rPr>
          <w:fldChar w:fldCharType="end"/>
        </w:r>
      </w:hyperlink>
    </w:p>
    <w:p w14:paraId="0F7674C9" w14:textId="480A5259"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65" w:history="1">
        <w:r w:rsidR="00330067" w:rsidRPr="004F0077">
          <w:rPr>
            <w:rStyle w:val="Hyperlink"/>
            <w:noProof/>
            <w:sz w:val="24"/>
            <w:szCs w:val="24"/>
          </w:rPr>
          <w:t>Table 11: Guba and Lincoln's concepts for investigating quality in qualitative research</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_Toc153894565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126</w:t>
        </w:r>
        <w:r w:rsidR="00330067" w:rsidRPr="004F0077">
          <w:rPr>
            <w:noProof/>
            <w:webHidden/>
            <w:sz w:val="24"/>
            <w:szCs w:val="24"/>
          </w:rPr>
          <w:fldChar w:fldCharType="end"/>
        </w:r>
      </w:hyperlink>
    </w:p>
    <w:p w14:paraId="4E6AF36C" w14:textId="736685B3"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66" w:history="1">
        <w:r w:rsidR="00330067" w:rsidRPr="004F0077">
          <w:rPr>
            <w:rStyle w:val="Hyperlink"/>
            <w:noProof/>
            <w:sz w:val="24"/>
            <w:szCs w:val="24"/>
          </w:rPr>
          <w:t>Table 12: Mixed-methods integration at different levels of the study; Link between the research questions, methods, target sample, analysis, interpretation, and reporting</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_Toc153894566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129</w:t>
        </w:r>
        <w:r w:rsidR="00330067" w:rsidRPr="004F0077">
          <w:rPr>
            <w:noProof/>
            <w:webHidden/>
            <w:sz w:val="24"/>
            <w:szCs w:val="24"/>
          </w:rPr>
          <w:fldChar w:fldCharType="end"/>
        </w:r>
      </w:hyperlink>
    </w:p>
    <w:p w14:paraId="78095D1C" w14:textId="3D1F824D"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67" w:history="1">
        <w:r w:rsidR="00330067" w:rsidRPr="004F0077">
          <w:rPr>
            <w:rStyle w:val="Hyperlink"/>
            <w:noProof/>
            <w:sz w:val="24"/>
            <w:szCs w:val="24"/>
          </w:rPr>
          <w:t>Table 13: Good Reporting of a Mixed Methods Study (GRAMMS)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_Toc153894567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131</w:t>
        </w:r>
        <w:r w:rsidR="00330067" w:rsidRPr="004F0077">
          <w:rPr>
            <w:noProof/>
            <w:webHidden/>
            <w:sz w:val="24"/>
            <w:szCs w:val="24"/>
          </w:rPr>
          <w:fldChar w:fldCharType="end"/>
        </w:r>
      </w:hyperlink>
    </w:p>
    <w:p w14:paraId="1A45E413" w14:textId="42C66DF6"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68" w:history="1">
        <w:r w:rsidR="00330067" w:rsidRPr="004F0077">
          <w:rPr>
            <w:rStyle w:val="Hyperlink"/>
            <w:noProof/>
            <w:sz w:val="24"/>
            <w:szCs w:val="24"/>
          </w:rPr>
          <w:t>Table 14: Demographic profile of respondents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_Toc153894568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141</w:t>
        </w:r>
        <w:r w:rsidR="00330067" w:rsidRPr="004F0077">
          <w:rPr>
            <w:noProof/>
            <w:webHidden/>
            <w:sz w:val="24"/>
            <w:szCs w:val="24"/>
          </w:rPr>
          <w:fldChar w:fldCharType="end"/>
        </w:r>
      </w:hyperlink>
    </w:p>
    <w:p w14:paraId="064B6BC5" w14:textId="636B2657"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69" w:history="1">
        <w:r w:rsidR="00330067" w:rsidRPr="004F0077">
          <w:rPr>
            <w:rStyle w:val="Hyperlink"/>
            <w:noProof/>
            <w:sz w:val="24"/>
            <w:szCs w:val="24"/>
          </w:rPr>
          <w:t>Table 15: Average time spent with each diabetic patient by profession</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_Toc153894569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142</w:t>
        </w:r>
        <w:r w:rsidR="00330067" w:rsidRPr="004F0077">
          <w:rPr>
            <w:noProof/>
            <w:webHidden/>
            <w:sz w:val="24"/>
            <w:szCs w:val="24"/>
          </w:rPr>
          <w:fldChar w:fldCharType="end"/>
        </w:r>
      </w:hyperlink>
    </w:p>
    <w:p w14:paraId="16722741" w14:textId="7E88F6A5"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70" w:history="1">
        <w:r w:rsidR="00330067" w:rsidRPr="004F0077">
          <w:rPr>
            <w:rStyle w:val="Hyperlink"/>
            <w:noProof/>
            <w:sz w:val="24"/>
            <w:szCs w:val="24"/>
          </w:rPr>
          <w:t>Table 16: Views of Healthcare Professionals on Potential Pharmacist Involvement in Diabetes Care</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_Toc153894570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146</w:t>
        </w:r>
        <w:r w:rsidR="00330067" w:rsidRPr="004F0077">
          <w:rPr>
            <w:noProof/>
            <w:webHidden/>
            <w:sz w:val="24"/>
            <w:szCs w:val="24"/>
          </w:rPr>
          <w:fldChar w:fldCharType="end"/>
        </w:r>
      </w:hyperlink>
    </w:p>
    <w:p w14:paraId="3458B56A" w14:textId="3C873822"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71" w:history="1">
        <w:r w:rsidR="00330067" w:rsidRPr="004F0077">
          <w:rPr>
            <w:rStyle w:val="Hyperlink"/>
            <w:noProof/>
            <w:sz w:val="24"/>
            <w:szCs w:val="24"/>
          </w:rPr>
          <w:t>Table 17: Respondents’ views according to profession; Views on Potential Pharmacist Involvement in Diabetes Care</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_Toc153894571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150</w:t>
        </w:r>
        <w:r w:rsidR="00330067" w:rsidRPr="004F0077">
          <w:rPr>
            <w:noProof/>
            <w:webHidden/>
            <w:sz w:val="24"/>
            <w:szCs w:val="24"/>
          </w:rPr>
          <w:fldChar w:fldCharType="end"/>
        </w:r>
      </w:hyperlink>
    </w:p>
    <w:p w14:paraId="4A348451" w14:textId="261F0F50"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72" w:history="1">
        <w:r w:rsidR="00330067" w:rsidRPr="004F0077">
          <w:rPr>
            <w:rStyle w:val="Hyperlink"/>
            <w:noProof/>
            <w:sz w:val="24"/>
            <w:szCs w:val="24"/>
          </w:rPr>
          <w:t>Table 18: Healthcare Professionals' Opinion toward Potential Impact of Pharmacist Involvement in Diabetes Primary Care Management</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_Toc153894572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161</w:t>
        </w:r>
        <w:r w:rsidR="00330067" w:rsidRPr="004F0077">
          <w:rPr>
            <w:noProof/>
            <w:webHidden/>
            <w:sz w:val="24"/>
            <w:szCs w:val="24"/>
          </w:rPr>
          <w:fldChar w:fldCharType="end"/>
        </w:r>
      </w:hyperlink>
    </w:p>
    <w:p w14:paraId="5BC4E4FA" w14:textId="5716320A"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73" w:history="1">
        <w:r w:rsidR="00330067" w:rsidRPr="004F0077">
          <w:rPr>
            <w:rStyle w:val="Hyperlink"/>
            <w:noProof/>
            <w:sz w:val="24"/>
            <w:szCs w:val="24"/>
          </w:rPr>
          <w:t>Table 19: Respondents’ views according to profession; Views on Potential Impact of Pharmacist Involvement in Diabetes Care</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_Toc153894573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165</w:t>
        </w:r>
        <w:r w:rsidR="00330067" w:rsidRPr="004F0077">
          <w:rPr>
            <w:noProof/>
            <w:webHidden/>
            <w:sz w:val="24"/>
            <w:szCs w:val="24"/>
          </w:rPr>
          <w:fldChar w:fldCharType="end"/>
        </w:r>
      </w:hyperlink>
    </w:p>
    <w:p w14:paraId="2B912496" w14:textId="2C3B29D2"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74" w:history="1">
        <w:r w:rsidR="00330067" w:rsidRPr="004F0077">
          <w:rPr>
            <w:rStyle w:val="Hyperlink"/>
            <w:noProof/>
            <w:sz w:val="24"/>
            <w:szCs w:val="24"/>
          </w:rPr>
          <w:t>Table 20: Percetage of doctors, pharmacists, and nurses and the source of the participants' qualification degree</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_Toc153894574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169</w:t>
        </w:r>
        <w:r w:rsidR="00330067" w:rsidRPr="004F0077">
          <w:rPr>
            <w:noProof/>
            <w:webHidden/>
            <w:sz w:val="24"/>
            <w:szCs w:val="24"/>
          </w:rPr>
          <w:fldChar w:fldCharType="end"/>
        </w:r>
      </w:hyperlink>
    </w:p>
    <w:p w14:paraId="7A355931" w14:textId="0522937F"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75" w:history="1">
        <w:r w:rsidR="00330067" w:rsidRPr="004F0077">
          <w:rPr>
            <w:rStyle w:val="Hyperlink"/>
            <w:noProof/>
            <w:sz w:val="24"/>
            <w:szCs w:val="24"/>
          </w:rPr>
          <w:t>Table 21: Respondents' views according to the country issuing their qualifications; Views on Potential Impact of Pharmacist Involvement in Diabetes Care</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_Toc153894575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170</w:t>
        </w:r>
        <w:r w:rsidR="00330067" w:rsidRPr="004F0077">
          <w:rPr>
            <w:noProof/>
            <w:webHidden/>
            <w:sz w:val="24"/>
            <w:szCs w:val="24"/>
          </w:rPr>
          <w:fldChar w:fldCharType="end"/>
        </w:r>
      </w:hyperlink>
    </w:p>
    <w:p w14:paraId="6BABB0AC" w14:textId="6DD5711F"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76" w:history="1">
        <w:r w:rsidR="00330067" w:rsidRPr="004F0077">
          <w:rPr>
            <w:rStyle w:val="Hyperlink"/>
            <w:noProof/>
            <w:sz w:val="24"/>
            <w:szCs w:val="24"/>
          </w:rPr>
          <w:t>Table 22: Percentages of different professional groups per experience category</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_Toc153894576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175</w:t>
        </w:r>
        <w:r w:rsidR="00330067" w:rsidRPr="004F0077">
          <w:rPr>
            <w:noProof/>
            <w:webHidden/>
            <w:sz w:val="24"/>
            <w:szCs w:val="24"/>
          </w:rPr>
          <w:fldChar w:fldCharType="end"/>
        </w:r>
      </w:hyperlink>
    </w:p>
    <w:p w14:paraId="34A5AAB3" w14:textId="7AE4180D"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77" w:history="1">
        <w:r w:rsidR="00330067" w:rsidRPr="004F0077">
          <w:rPr>
            <w:rStyle w:val="Hyperlink"/>
            <w:noProof/>
            <w:sz w:val="24"/>
            <w:szCs w:val="24"/>
          </w:rPr>
          <w:t>Table 23: Respondents' views based on their experiences; Views on Potential Impact of Pharmacist Involvement in Diabetes Care</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_Toc153894577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176</w:t>
        </w:r>
        <w:r w:rsidR="00330067" w:rsidRPr="004F0077">
          <w:rPr>
            <w:noProof/>
            <w:webHidden/>
            <w:sz w:val="24"/>
            <w:szCs w:val="24"/>
          </w:rPr>
          <w:fldChar w:fldCharType="end"/>
        </w:r>
      </w:hyperlink>
    </w:p>
    <w:p w14:paraId="52926460" w14:textId="2E31312A"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78" w:history="1">
        <w:r w:rsidR="00330067" w:rsidRPr="004F0077">
          <w:rPr>
            <w:rStyle w:val="Hyperlink"/>
            <w:noProof/>
            <w:sz w:val="24"/>
            <w:szCs w:val="24"/>
          </w:rPr>
          <w:t>Table 24: Barriers to primary care pharmacists providing clinical services to patients with diabetes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_Toc153894578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182</w:t>
        </w:r>
        <w:r w:rsidR="00330067" w:rsidRPr="004F0077">
          <w:rPr>
            <w:noProof/>
            <w:webHidden/>
            <w:sz w:val="24"/>
            <w:szCs w:val="24"/>
          </w:rPr>
          <w:fldChar w:fldCharType="end"/>
        </w:r>
      </w:hyperlink>
    </w:p>
    <w:p w14:paraId="55219E6D" w14:textId="4D38BF2C"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79" w:history="1">
        <w:r w:rsidR="00330067" w:rsidRPr="004F0077">
          <w:rPr>
            <w:rStyle w:val="Hyperlink"/>
            <w:noProof/>
            <w:sz w:val="24"/>
            <w:szCs w:val="24"/>
          </w:rPr>
          <w:t>Table 25: Views of doctors, pharmacists, and nurses on the barriers to pharmacists providing diabetes-related services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_Toc153894579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186</w:t>
        </w:r>
        <w:r w:rsidR="00330067" w:rsidRPr="004F0077">
          <w:rPr>
            <w:noProof/>
            <w:webHidden/>
            <w:sz w:val="24"/>
            <w:szCs w:val="24"/>
          </w:rPr>
          <w:fldChar w:fldCharType="end"/>
        </w:r>
      </w:hyperlink>
    </w:p>
    <w:p w14:paraId="05C7967D" w14:textId="2EC57EF1"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80" w:history="1">
        <w:r w:rsidR="00330067" w:rsidRPr="004F0077">
          <w:rPr>
            <w:rStyle w:val="Hyperlink"/>
            <w:noProof/>
            <w:sz w:val="24"/>
            <w:szCs w:val="24"/>
          </w:rPr>
          <w:t>Table 26: Demographic Information of the Participants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_Toc153894580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195</w:t>
        </w:r>
        <w:r w:rsidR="00330067" w:rsidRPr="004F0077">
          <w:rPr>
            <w:noProof/>
            <w:webHidden/>
            <w:sz w:val="24"/>
            <w:szCs w:val="24"/>
          </w:rPr>
          <w:fldChar w:fldCharType="end"/>
        </w:r>
      </w:hyperlink>
    </w:p>
    <w:p w14:paraId="54E4F98C" w14:textId="28F8BE4C"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81" w:history="1">
        <w:r w:rsidR="00330067" w:rsidRPr="004F0077">
          <w:rPr>
            <w:rStyle w:val="Hyperlink"/>
            <w:noProof/>
            <w:sz w:val="24"/>
            <w:szCs w:val="24"/>
          </w:rPr>
          <w:t>Table 27: Themes identified in qualitative interview data</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_Toc153894581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198</w:t>
        </w:r>
        <w:r w:rsidR="00330067" w:rsidRPr="004F0077">
          <w:rPr>
            <w:noProof/>
            <w:webHidden/>
            <w:sz w:val="24"/>
            <w:szCs w:val="24"/>
          </w:rPr>
          <w:fldChar w:fldCharType="end"/>
        </w:r>
      </w:hyperlink>
    </w:p>
    <w:p w14:paraId="6F465C47" w14:textId="416D9DA3"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82" w:history="1">
        <w:r w:rsidR="00330067" w:rsidRPr="004F0077">
          <w:rPr>
            <w:rStyle w:val="Hyperlink"/>
            <w:noProof/>
            <w:sz w:val="24"/>
            <w:szCs w:val="24"/>
            <w:lang w:val="en-GB"/>
          </w:rPr>
          <w:t>Table 28: Integration of Pharmaceutical Care Services Provided to Patients with Diabetes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_Toc153894582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250</w:t>
        </w:r>
        <w:r w:rsidR="00330067" w:rsidRPr="004F0077">
          <w:rPr>
            <w:noProof/>
            <w:webHidden/>
            <w:sz w:val="24"/>
            <w:szCs w:val="24"/>
          </w:rPr>
          <w:fldChar w:fldCharType="end"/>
        </w:r>
      </w:hyperlink>
    </w:p>
    <w:p w14:paraId="794F09A0" w14:textId="55FCC73B"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83" w:history="1">
        <w:r w:rsidR="00330067" w:rsidRPr="004F0077">
          <w:rPr>
            <w:rStyle w:val="Hyperlink"/>
            <w:noProof/>
            <w:sz w:val="24"/>
            <w:szCs w:val="24"/>
          </w:rPr>
          <w:t>Table 29: Integration of Healthcare Professionals' Views on Potential Current and Future roles of Pharmacist in Diabetes Management</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_Toc153894583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258</w:t>
        </w:r>
        <w:r w:rsidR="00330067" w:rsidRPr="004F0077">
          <w:rPr>
            <w:noProof/>
            <w:webHidden/>
            <w:sz w:val="24"/>
            <w:szCs w:val="24"/>
          </w:rPr>
          <w:fldChar w:fldCharType="end"/>
        </w:r>
      </w:hyperlink>
    </w:p>
    <w:p w14:paraId="68312673" w14:textId="0E6F2191"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84" w:history="1">
        <w:r w:rsidR="00330067" w:rsidRPr="004F0077">
          <w:rPr>
            <w:rStyle w:val="Hyperlink"/>
            <w:noProof/>
            <w:sz w:val="24"/>
            <w:szCs w:val="24"/>
          </w:rPr>
          <w:t>Table 30: Integrating of Healthcare Professionals’ Views on Potential Impact of Pharmacist Involvement in Diabetes Primary Care Management</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_Toc153894584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260</w:t>
        </w:r>
        <w:r w:rsidR="00330067" w:rsidRPr="004F0077">
          <w:rPr>
            <w:noProof/>
            <w:webHidden/>
            <w:sz w:val="24"/>
            <w:szCs w:val="24"/>
          </w:rPr>
          <w:fldChar w:fldCharType="end"/>
        </w:r>
      </w:hyperlink>
    </w:p>
    <w:p w14:paraId="409CF633" w14:textId="1541EF0B"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85" w:history="1">
        <w:r w:rsidR="00330067" w:rsidRPr="004F0077">
          <w:rPr>
            <w:rStyle w:val="Hyperlink"/>
            <w:noProof/>
            <w:sz w:val="24"/>
            <w:szCs w:val="24"/>
          </w:rPr>
          <w:t>Table 31: Integrating of Barriers to Pharmacist Involvement in Diabetes Primary Care Management</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_Toc153894585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267</w:t>
        </w:r>
        <w:r w:rsidR="00330067" w:rsidRPr="004F0077">
          <w:rPr>
            <w:noProof/>
            <w:webHidden/>
            <w:sz w:val="24"/>
            <w:szCs w:val="24"/>
          </w:rPr>
          <w:fldChar w:fldCharType="end"/>
        </w:r>
      </w:hyperlink>
    </w:p>
    <w:p w14:paraId="609DD5FF" w14:textId="5FBCC390"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86" w:history="1">
        <w:r w:rsidR="00330067" w:rsidRPr="004F0077">
          <w:rPr>
            <w:rStyle w:val="Hyperlink"/>
            <w:noProof/>
            <w:sz w:val="24"/>
            <w:szCs w:val="24"/>
          </w:rPr>
          <w:t>Table 32: Integrating of facilitators to pharmacists’ involvement in diabetes primary care management</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_Toc153894586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274</w:t>
        </w:r>
        <w:r w:rsidR="00330067" w:rsidRPr="004F0077">
          <w:rPr>
            <w:noProof/>
            <w:webHidden/>
            <w:sz w:val="24"/>
            <w:szCs w:val="24"/>
          </w:rPr>
          <w:fldChar w:fldCharType="end"/>
        </w:r>
      </w:hyperlink>
    </w:p>
    <w:p w14:paraId="22277ED1" w14:textId="32031FE7" w:rsidR="00330067" w:rsidRPr="004F0077" w:rsidRDefault="00000000" w:rsidP="000B2609">
      <w:pPr>
        <w:pStyle w:val="TableofFigures"/>
        <w:tabs>
          <w:tab w:val="right" w:leader="dot" w:pos="9350"/>
        </w:tabs>
        <w:spacing w:line="276" w:lineRule="auto"/>
        <w:rPr>
          <w:rFonts w:eastAsiaTheme="minorEastAsia"/>
          <w:noProof/>
          <w:kern w:val="2"/>
          <w:sz w:val="24"/>
          <w:szCs w:val="24"/>
          <w14:ligatures w14:val="standardContextual"/>
        </w:rPr>
      </w:pPr>
      <w:hyperlink w:anchor="_Toc153894587" w:history="1">
        <w:r w:rsidR="00330067" w:rsidRPr="004F0077">
          <w:rPr>
            <w:rStyle w:val="Hyperlink"/>
            <w:noProof/>
            <w:sz w:val="24"/>
            <w:szCs w:val="24"/>
          </w:rPr>
          <w:t>Table 33:  Percentage of pharmaceutical care services provided to patients with diabetes</w:t>
        </w:r>
        <w:r w:rsidR="00330067" w:rsidRPr="004F0077">
          <w:rPr>
            <w:noProof/>
            <w:webHidden/>
            <w:sz w:val="24"/>
            <w:szCs w:val="24"/>
          </w:rPr>
          <w:tab/>
        </w:r>
        <w:r w:rsidR="00330067" w:rsidRPr="004F0077">
          <w:rPr>
            <w:noProof/>
            <w:webHidden/>
            <w:sz w:val="24"/>
            <w:szCs w:val="24"/>
          </w:rPr>
          <w:fldChar w:fldCharType="begin"/>
        </w:r>
        <w:r w:rsidR="00330067" w:rsidRPr="004F0077">
          <w:rPr>
            <w:noProof/>
            <w:webHidden/>
            <w:sz w:val="24"/>
            <w:szCs w:val="24"/>
          </w:rPr>
          <w:instrText xml:space="preserve"> PAGEREF _Toc153894587 \h </w:instrText>
        </w:r>
        <w:r w:rsidR="00330067" w:rsidRPr="004F0077">
          <w:rPr>
            <w:noProof/>
            <w:webHidden/>
            <w:sz w:val="24"/>
            <w:szCs w:val="24"/>
          </w:rPr>
        </w:r>
        <w:r w:rsidR="00330067" w:rsidRPr="004F0077">
          <w:rPr>
            <w:noProof/>
            <w:webHidden/>
            <w:sz w:val="24"/>
            <w:szCs w:val="24"/>
          </w:rPr>
          <w:fldChar w:fldCharType="separate"/>
        </w:r>
        <w:r w:rsidR="00330067" w:rsidRPr="004F0077">
          <w:rPr>
            <w:noProof/>
            <w:webHidden/>
            <w:sz w:val="24"/>
            <w:szCs w:val="24"/>
          </w:rPr>
          <w:t>389</w:t>
        </w:r>
        <w:r w:rsidR="00330067" w:rsidRPr="004F0077">
          <w:rPr>
            <w:noProof/>
            <w:webHidden/>
            <w:sz w:val="24"/>
            <w:szCs w:val="24"/>
          </w:rPr>
          <w:fldChar w:fldCharType="end"/>
        </w:r>
      </w:hyperlink>
    </w:p>
    <w:p w14:paraId="2626FCF8" w14:textId="4F06754A" w:rsidR="00610EEE" w:rsidRPr="000B2609" w:rsidRDefault="00610EEE" w:rsidP="000B2609">
      <w:pPr>
        <w:spacing w:line="276" w:lineRule="auto"/>
        <w:jc w:val="both"/>
        <w:rPr>
          <w:rFonts w:ascii="Arial" w:hAnsi="Arial" w:cs="Arial"/>
          <w:b/>
          <w:bCs/>
          <w:sz w:val="24"/>
          <w:szCs w:val="24"/>
        </w:rPr>
      </w:pPr>
      <w:r w:rsidRPr="000B2609">
        <w:rPr>
          <w:rFonts w:ascii="Arial" w:hAnsi="Arial" w:cs="Arial"/>
          <w:b/>
          <w:bCs/>
          <w:sz w:val="24"/>
          <w:szCs w:val="24"/>
        </w:rPr>
        <w:fldChar w:fldCharType="end"/>
      </w:r>
    </w:p>
    <w:p w14:paraId="40C37DF3" w14:textId="77777777" w:rsidR="00610EEE" w:rsidRDefault="00610EEE" w:rsidP="00610EEE">
      <w:pPr>
        <w:rPr>
          <w:rFonts w:ascii="Arial" w:hAnsi="Arial" w:cs="Arial"/>
          <w:b/>
          <w:bCs/>
          <w:sz w:val="24"/>
          <w:szCs w:val="24"/>
        </w:rPr>
      </w:pPr>
      <w:r>
        <w:rPr>
          <w:rFonts w:ascii="Arial" w:hAnsi="Arial" w:cs="Arial"/>
          <w:b/>
          <w:bCs/>
          <w:sz w:val="24"/>
          <w:szCs w:val="24"/>
        </w:rPr>
        <w:br w:type="page"/>
      </w:r>
    </w:p>
    <w:p w14:paraId="26C3B489" w14:textId="77777777" w:rsidR="00610EEE" w:rsidRDefault="00610EEE" w:rsidP="00610EEE">
      <w:pPr>
        <w:rPr>
          <w:rFonts w:ascii="Arial" w:hAnsi="Arial" w:cs="Arial"/>
          <w:b/>
          <w:bCs/>
          <w:sz w:val="24"/>
          <w:szCs w:val="24"/>
        </w:rPr>
      </w:pPr>
    </w:p>
    <w:p w14:paraId="3CF1BCC4" w14:textId="77777777" w:rsidR="00610EEE" w:rsidRDefault="00610EEE" w:rsidP="00610EEE">
      <w:pPr>
        <w:jc w:val="center"/>
        <w:rPr>
          <w:rFonts w:ascii="Arial" w:hAnsi="Arial" w:cs="Arial"/>
          <w:b/>
          <w:bCs/>
          <w:sz w:val="24"/>
          <w:szCs w:val="24"/>
        </w:rPr>
      </w:pPr>
      <w:r>
        <w:rPr>
          <w:rFonts w:ascii="Arial" w:hAnsi="Arial" w:cs="Arial"/>
          <w:b/>
          <w:bCs/>
          <w:sz w:val="24"/>
          <w:szCs w:val="24"/>
        </w:rPr>
        <w:t>List of Figures</w:t>
      </w:r>
    </w:p>
    <w:p w14:paraId="69F90C00" w14:textId="37FAD7E7" w:rsidR="003A6693" w:rsidRPr="001B3A6C" w:rsidRDefault="00610EEE" w:rsidP="00D97274">
      <w:pPr>
        <w:pStyle w:val="TableofFigures"/>
        <w:tabs>
          <w:tab w:val="right" w:leader="dot" w:pos="9350"/>
        </w:tabs>
        <w:spacing w:line="276" w:lineRule="auto"/>
        <w:rPr>
          <w:rFonts w:eastAsiaTheme="minorEastAsia"/>
          <w:noProof/>
          <w:kern w:val="2"/>
          <w:sz w:val="24"/>
          <w:szCs w:val="24"/>
          <w14:ligatures w14:val="standardContextual"/>
        </w:rPr>
      </w:pPr>
      <w:r w:rsidRPr="001B3A6C">
        <w:rPr>
          <w:rFonts w:ascii="Arial" w:hAnsi="Arial" w:cs="Arial"/>
          <w:b/>
          <w:bCs/>
          <w:sz w:val="24"/>
          <w:szCs w:val="24"/>
        </w:rPr>
        <w:fldChar w:fldCharType="begin"/>
      </w:r>
      <w:r w:rsidRPr="001B3A6C">
        <w:rPr>
          <w:rFonts w:ascii="Arial" w:hAnsi="Arial" w:cs="Arial"/>
          <w:b/>
          <w:bCs/>
          <w:sz w:val="24"/>
          <w:szCs w:val="24"/>
        </w:rPr>
        <w:instrText xml:space="preserve"> TOC \h \z \c "Figure" </w:instrText>
      </w:r>
      <w:r w:rsidRPr="001B3A6C">
        <w:rPr>
          <w:rFonts w:ascii="Arial" w:hAnsi="Arial" w:cs="Arial"/>
          <w:b/>
          <w:bCs/>
          <w:sz w:val="24"/>
          <w:szCs w:val="24"/>
        </w:rPr>
        <w:fldChar w:fldCharType="separate"/>
      </w:r>
      <w:hyperlink w:anchor="_Toc153894789" w:history="1">
        <w:r w:rsidR="003A6693" w:rsidRPr="001B3A6C">
          <w:rPr>
            <w:rStyle w:val="Hyperlink"/>
            <w:noProof/>
            <w:sz w:val="24"/>
            <w:szCs w:val="24"/>
          </w:rPr>
          <w:t>Figure 1: Flow diagram of the literature search process (PRISMA 2009 Flow Diagram).</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_Toc153894789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39</w:t>
        </w:r>
        <w:r w:rsidR="003A6693" w:rsidRPr="001B3A6C">
          <w:rPr>
            <w:noProof/>
            <w:webHidden/>
            <w:sz w:val="24"/>
            <w:szCs w:val="24"/>
          </w:rPr>
          <w:fldChar w:fldCharType="end"/>
        </w:r>
      </w:hyperlink>
    </w:p>
    <w:p w14:paraId="124E5889" w14:textId="185F52AA"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790" w:history="1">
        <w:r w:rsidR="003A6693" w:rsidRPr="001B3A6C">
          <w:rPr>
            <w:rStyle w:val="Hyperlink"/>
            <w:noProof/>
            <w:sz w:val="24"/>
            <w:szCs w:val="24"/>
          </w:rPr>
          <w:t>Figure 2: Percentage of Pharmaceutical Care Services Provided to Patients with Diabetes</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_Toc153894790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144</w:t>
        </w:r>
        <w:r w:rsidR="003A6693" w:rsidRPr="001B3A6C">
          <w:rPr>
            <w:noProof/>
            <w:webHidden/>
            <w:sz w:val="24"/>
            <w:szCs w:val="24"/>
          </w:rPr>
          <w:fldChar w:fldCharType="end"/>
        </w:r>
      </w:hyperlink>
    </w:p>
    <w:p w14:paraId="62A72EE6" w14:textId="61523948"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791" w:history="1">
        <w:r w:rsidR="003A6693" w:rsidRPr="001B3A6C">
          <w:rPr>
            <w:rStyle w:val="Hyperlink"/>
            <w:noProof/>
            <w:sz w:val="24"/>
            <w:szCs w:val="24"/>
          </w:rPr>
          <w:t>Figure 3: Views of healthcare professionals on the involvement of pharmacists in diabetes management</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_Toc153894791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148</w:t>
        </w:r>
        <w:r w:rsidR="003A6693" w:rsidRPr="001B3A6C">
          <w:rPr>
            <w:noProof/>
            <w:webHidden/>
            <w:sz w:val="24"/>
            <w:szCs w:val="24"/>
          </w:rPr>
          <w:fldChar w:fldCharType="end"/>
        </w:r>
      </w:hyperlink>
    </w:p>
    <w:p w14:paraId="42BF110F" w14:textId="3460DE8B"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792" w:history="1">
        <w:r w:rsidR="003A6693" w:rsidRPr="001B3A6C">
          <w:rPr>
            <w:rStyle w:val="Hyperlink"/>
            <w:noProof/>
            <w:sz w:val="24"/>
            <w:szCs w:val="24"/>
          </w:rPr>
          <w:t>Figure 4: Healthcare professionals’ opinions on the role of independent prescribers</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_Toc153894792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152</w:t>
        </w:r>
        <w:r w:rsidR="003A6693" w:rsidRPr="001B3A6C">
          <w:rPr>
            <w:noProof/>
            <w:webHidden/>
            <w:sz w:val="24"/>
            <w:szCs w:val="24"/>
          </w:rPr>
          <w:fldChar w:fldCharType="end"/>
        </w:r>
      </w:hyperlink>
    </w:p>
    <w:p w14:paraId="36FE4EAE" w14:textId="6922ED87"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793" w:history="1">
        <w:r w:rsidR="003A6693" w:rsidRPr="001B3A6C">
          <w:rPr>
            <w:rStyle w:val="Hyperlink"/>
            <w:noProof/>
            <w:sz w:val="24"/>
            <w:szCs w:val="24"/>
          </w:rPr>
          <w:t>Figure 5: opinions of healthcare professionals about the current involvement of pharmacists in some diabetes-related services</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_Toc153894793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154</w:t>
        </w:r>
        <w:r w:rsidR="003A6693" w:rsidRPr="001B3A6C">
          <w:rPr>
            <w:noProof/>
            <w:webHidden/>
            <w:sz w:val="24"/>
            <w:szCs w:val="24"/>
          </w:rPr>
          <w:fldChar w:fldCharType="end"/>
        </w:r>
      </w:hyperlink>
    </w:p>
    <w:p w14:paraId="551D4812" w14:textId="4142FC7B"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794" w:history="1">
        <w:r w:rsidR="003A6693" w:rsidRPr="001B3A6C">
          <w:rPr>
            <w:rStyle w:val="Hyperlink"/>
            <w:noProof/>
            <w:sz w:val="24"/>
            <w:szCs w:val="24"/>
          </w:rPr>
          <w:t>Figure 6: Different opinions of healthcare professionals about the current involvement of pharmacists in some diabetes-related services</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_Toc153894794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155</w:t>
        </w:r>
        <w:r w:rsidR="003A6693" w:rsidRPr="001B3A6C">
          <w:rPr>
            <w:noProof/>
            <w:webHidden/>
            <w:sz w:val="24"/>
            <w:szCs w:val="24"/>
          </w:rPr>
          <w:fldChar w:fldCharType="end"/>
        </w:r>
      </w:hyperlink>
    </w:p>
    <w:p w14:paraId="5F62B2BA" w14:textId="104EEE40"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795" w:history="1">
        <w:r w:rsidR="003A6693" w:rsidRPr="001B3A6C">
          <w:rPr>
            <w:rStyle w:val="Hyperlink"/>
            <w:noProof/>
            <w:sz w:val="24"/>
            <w:szCs w:val="24"/>
          </w:rPr>
          <w:t>Figure 7: Opinions of healthcare professionals about the involvement of pharmacists in diabetes-related services in the future</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_Toc153894795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158</w:t>
        </w:r>
        <w:r w:rsidR="003A6693" w:rsidRPr="001B3A6C">
          <w:rPr>
            <w:noProof/>
            <w:webHidden/>
            <w:sz w:val="24"/>
            <w:szCs w:val="24"/>
          </w:rPr>
          <w:fldChar w:fldCharType="end"/>
        </w:r>
      </w:hyperlink>
    </w:p>
    <w:p w14:paraId="686F81C1" w14:textId="7BAB5ABC"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796" w:history="1">
        <w:r w:rsidR="003A6693" w:rsidRPr="001B3A6C">
          <w:rPr>
            <w:rStyle w:val="Hyperlink"/>
            <w:noProof/>
            <w:sz w:val="24"/>
            <w:szCs w:val="24"/>
          </w:rPr>
          <w:t>Figure 8: Different opinions from healthcare professionals about the role of pharmacists in prescribing now and in the future</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_Toc153894796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159</w:t>
        </w:r>
        <w:r w:rsidR="003A6693" w:rsidRPr="001B3A6C">
          <w:rPr>
            <w:noProof/>
            <w:webHidden/>
            <w:sz w:val="24"/>
            <w:szCs w:val="24"/>
          </w:rPr>
          <w:fldChar w:fldCharType="end"/>
        </w:r>
      </w:hyperlink>
    </w:p>
    <w:p w14:paraId="18D1B071" w14:textId="4E50412A"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797" w:history="1">
        <w:r w:rsidR="003A6693" w:rsidRPr="001B3A6C">
          <w:rPr>
            <w:rStyle w:val="Hyperlink"/>
            <w:noProof/>
            <w:sz w:val="24"/>
            <w:szCs w:val="24"/>
          </w:rPr>
          <w:t>Figure 9: Healthcare Professionals' Opinion toward Potential Benefits of Pharmacists’ Involvement in Diabetes Management</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_Toc153894797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162</w:t>
        </w:r>
        <w:r w:rsidR="003A6693" w:rsidRPr="001B3A6C">
          <w:rPr>
            <w:noProof/>
            <w:webHidden/>
            <w:sz w:val="24"/>
            <w:szCs w:val="24"/>
          </w:rPr>
          <w:fldChar w:fldCharType="end"/>
        </w:r>
      </w:hyperlink>
    </w:p>
    <w:p w14:paraId="3F6AA509" w14:textId="1C14F9CF"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798" w:history="1">
        <w:r w:rsidR="003A6693" w:rsidRPr="001B3A6C">
          <w:rPr>
            <w:rStyle w:val="Hyperlink"/>
            <w:noProof/>
            <w:sz w:val="24"/>
            <w:szCs w:val="24"/>
          </w:rPr>
          <w:t>Figure 10: Respondents’ views according to profession; Views on Potential Impact of Pharmacist Involvement in Diabetes Care</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_Toc153894798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168</w:t>
        </w:r>
        <w:r w:rsidR="003A6693" w:rsidRPr="001B3A6C">
          <w:rPr>
            <w:noProof/>
            <w:webHidden/>
            <w:sz w:val="24"/>
            <w:szCs w:val="24"/>
          </w:rPr>
          <w:fldChar w:fldCharType="end"/>
        </w:r>
      </w:hyperlink>
    </w:p>
    <w:p w14:paraId="794A16C5" w14:textId="1950481B"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799" w:history="1">
        <w:r w:rsidR="003A6693" w:rsidRPr="001B3A6C">
          <w:rPr>
            <w:rStyle w:val="Hyperlink"/>
            <w:noProof/>
            <w:sz w:val="24"/>
            <w:szCs w:val="24"/>
          </w:rPr>
          <w:t>Figure 11: Respondents' views according to the country issuing their qualifications; Views on Potential Impact of Pharmacist Involvement in Diabetes Care</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_Toc153894799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173</w:t>
        </w:r>
        <w:r w:rsidR="003A6693" w:rsidRPr="001B3A6C">
          <w:rPr>
            <w:noProof/>
            <w:webHidden/>
            <w:sz w:val="24"/>
            <w:szCs w:val="24"/>
          </w:rPr>
          <w:fldChar w:fldCharType="end"/>
        </w:r>
      </w:hyperlink>
    </w:p>
    <w:p w14:paraId="2A586EDE" w14:textId="2BD35F10"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800" w:history="1">
        <w:r w:rsidR="003A6693" w:rsidRPr="001B3A6C">
          <w:rPr>
            <w:rStyle w:val="Hyperlink"/>
            <w:noProof/>
            <w:sz w:val="24"/>
            <w:szCs w:val="24"/>
          </w:rPr>
          <w:t>Figure 12: Respondents' views based on their experiences; Views on Potential Impact of Pharmacist Involvement in Diabetes Care</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_Toc153894800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179</w:t>
        </w:r>
        <w:r w:rsidR="003A6693" w:rsidRPr="001B3A6C">
          <w:rPr>
            <w:noProof/>
            <w:webHidden/>
            <w:sz w:val="24"/>
            <w:szCs w:val="24"/>
          </w:rPr>
          <w:fldChar w:fldCharType="end"/>
        </w:r>
      </w:hyperlink>
    </w:p>
    <w:p w14:paraId="1DA1F253" w14:textId="1154E03E"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801" w:history="1">
        <w:r w:rsidR="003A6693" w:rsidRPr="001B3A6C">
          <w:rPr>
            <w:rStyle w:val="Hyperlink"/>
            <w:noProof/>
            <w:sz w:val="24"/>
            <w:szCs w:val="24"/>
          </w:rPr>
          <w:t>Figure 13: Barriers to primary care pharmacists providing clinical services to patients with diabetes</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_Toc153894801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184</w:t>
        </w:r>
        <w:r w:rsidR="003A6693" w:rsidRPr="001B3A6C">
          <w:rPr>
            <w:noProof/>
            <w:webHidden/>
            <w:sz w:val="24"/>
            <w:szCs w:val="24"/>
          </w:rPr>
          <w:fldChar w:fldCharType="end"/>
        </w:r>
      </w:hyperlink>
    </w:p>
    <w:p w14:paraId="68DA0C0D" w14:textId="6140CE14" w:rsidR="003A6693" w:rsidRPr="001B3A6C" w:rsidRDefault="00000000" w:rsidP="00D97274">
      <w:pPr>
        <w:pStyle w:val="TableofFigures"/>
        <w:tabs>
          <w:tab w:val="right" w:leader="dot" w:pos="9350"/>
        </w:tabs>
        <w:spacing w:line="276" w:lineRule="auto"/>
        <w:rPr>
          <w:rFonts w:eastAsiaTheme="minorEastAsia"/>
          <w:noProof/>
          <w:kern w:val="2"/>
          <w:sz w:val="24"/>
          <w:szCs w:val="24"/>
          <w14:ligatures w14:val="standardContextual"/>
        </w:rPr>
      </w:pPr>
      <w:hyperlink w:anchor="_Toc153894802" w:history="1">
        <w:r w:rsidR="003A6693" w:rsidRPr="001B3A6C">
          <w:rPr>
            <w:rStyle w:val="Hyperlink"/>
            <w:noProof/>
            <w:sz w:val="24"/>
            <w:szCs w:val="24"/>
          </w:rPr>
          <w:t>Figure 14: Barriers to primary care pharmacists providing clinical services to patients with diabetes</w:t>
        </w:r>
        <w:r w:rsidR="003A6693" w:rsidRPr="001B3A6C">
          <w:rPr>
            <w:noProof/>
            <w:webHidden/>
            <w:sz w:val="24"/>
            <w:szCs w:val="24"/>
          </w:rPr>
          <w:tab/>
        </w:r>
        <w:r w:rsidR="003A6693" w:rsidRPr="001B3A6C">
          <w:rPr>
            <w:noProof/>
            <w:webHidden/>
            <w:sz w:val="24"/>
            <w:szCs w:val="24"/>
          </w:rPr>
          <w:fldChar w:fldCharType="begin"/>
        </w:r>
        <w:r w:rsidR="003A6693" w:rsidRPr="001B3A6C">
          <w:rPr>
            <w:noProof/>
            <w:webHidden/>
            <w:sz w:val="24"/>
            <w:szCs w:val="24"/>
          </w:rPr>
          <w:instrText xml:space="preserve"> PAGEREF _Toc153894802 \h </w:instrText>
        </w:r>
        <w:r w:rsidR="003A6693" w:rsidRPr="001B3A6C">
          <w:rPr>
            <w:noProof/>
            <w:webHidden/>
            <w:sz w:val="24"/>
            <w:szCs w:val="24"/>
          </w:rPr>
        </w:r>
        <w:r w:rsidR="003A6693" w:rsidRPr="001B3A6C">
          <w:rPr>
            <w:noProof/>
            <w:webHidden/>
            <w:sz w:val="24"/>
            <w:szCs w:val="24"/>
          </w:rPr>
          <w:fldChar w:fldCharType="separate"/>
        </w:r>
        <w:r w:rsidR="003A6693" w:rsidRPr="001B3A6C">
          <w:rPr>
            <w:noProof/>
            <w:webHidden/>
            <w:sz w:val="24"/>
            <w:szCs w:val="24"/>
          </w:rPr>
          <w:t>191</w:t>
        </w:r>
        <w:r w:rsidR="003A6693" w:rsidRPr="001B3A6C">
          <w:rPr>
            <w:noProof/>
            <w:webHidden/>
            <w:sz w:val="24"/>
            <w:szCs w:val="24"/>
          </w:rPr>
          <w:fldChar w:fldCharType="end"/>
        </w:r>
      </w:hyperlink>
    </w:p>
    <w:p w14:paraId="1AD5227C" w14:textId="2A9C760A" w:rsidR="00610EEE" w:rsidRPr="001B3A6C" w:rsidRDefault="00610EEE" w:rsidP="00D97274">
      <w:pPr>
        <w:spacing w:line="276" w:lineRule="auto"/>
        <w:jc w:val="both"/>
        <w:rPr>
          <w:rFonts w:ascii="Arial" w:hAnsi="Arial" w:cs="Arial"/>
          <w:b/>
          <w:bCs/>
          <w:sz w:val="24"/>
          <w:szCs w:val="24"/>
        </w:rPr>
      </w:pPr>
      <w:r w:rsidRPr="001B3A6C">
        <w:rPr>
          <w:rFonts w:ascii="Arial" w:hAnsi="Arial" w:cs="Arial"/>
          <w:b/>
          <w:bCs/>
          <w:sz w:val="24"/>
          <w:szCs w:val="24"/>
        </w:rPr>
        <w:fldChar w:fldCharType="end"/>
      </w:r>
    </w:p>
    <w:p w14:paraId="7D98B39A" w14:textId="77777777" w:rsidR="00610EEE" w:rsidRDefault="00610EEE" w:rsidP="00610EEE">
      <w:pPr>
        <w:rPr>
          <w:rFonts w:ascii="Arial" w:hAnsi="Arial" w:cs="Arial"/>
          <w:sz w:val="28"/>
          <w:szCs w:val="28"/>
        </w:rPr>
      </w:pPr>
      <w:r>
        <w:rPr>
          <w:rFonts w:ascii="Arial" w:hAnsi="Arial" w:cs="Arial"/>
          <w:sz w:val="28"/>
          <w:szCs w:val="28"/>
        </w:rPr>
        <w:br w:type="page"/>
      </w:r>
    </w:p>
    <w:p w14:paraId="662F22DD" w14:textId="77777777" w:rsidR="00610EEE" w:rsidRDefault="00610EEE" w:rsidP="00610EEE">
      <w:pPr>
        <w:jc w:val="center"/>
        <w:rPr>
          <w:rFonts w:ascii="Arial" w:hAnsi="Arial" w:cs="Arial"/>
          <w:sz w:val="28"/>
          <w:szCs w:val="28"/>
        </w:rPr>
      </w:pPr>
      <w:r>
        <w:rPr>
          <w:rFonts w:ascii="Arial" w:hAnsi="Arial" w:cs="Arial"/>
          <w:sz w:val="28"/>
          <w:szCs w:val="28"/>
        </w:rPr>
        <w:t>List of Abbreviations</w:t>
      </w:r>
    </w:p>
    <w:tbl>
      <w:tblPr>
        <w:tblW w:w="8529" w:type="dxa"/>
        <w:jc w:val="center"/>
        <w:tblLook w:val="04A0" w:firstRow="1" w:lastRow="0" w:firstColumn="1" w:lastColumn="0" w:noHBand="0" w:noVBand="1"/>
      </w:tblPr>
      <w:tblGrid>
        <w:gridCol w:w="2250"/>
        <w:gridCol w:w="6279"/>
      </w:tblGrid>
      <w:tr w:rsidR="00610EEE" w:rsidRPr="00314995" w14:paraId="7AE18C01" w14:textId="77777777" w:rsidTr="00282204">
        <w:trPr>
          <w:trHeight w:val="727"/>
          <w:jc w:val="center"/>
        </w:trPr>
        <w:tc>
          <w:tcPr>
            <w:tcW w:w="2250" w:type="dxa"/>
            <w:tcBorders>
              <w:top w:val="single" w:sz="4" w:space="0" w:color="auto"/>
            </w:tcBorders>
            <w:shd w:val="clear" w:color="auto" w:fill="auto"/>
            <w:vAlign w:val="center"/>
            <w:hideMark/>
          </w:tcPr>
          <w:p w14:paraId="3959654E"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ADA</w:t>
            </w:r>
          </w:p>
        </w:tc>
        <w:tc>
          <w:tcPr>
            <w:tcW w:w="6279" w:type="dxa"/>
            <w:tcBorders>
              <w:top w:val="single" w:sz="4" w:space="0" w:color="auto"/>
            </w:tcBorders>
            <w:shd w:val="clear" w:color="auto" w:fill="auto"/>
            <w:vAlign w:val="center"/>
            <w:hideMark/>
          </w:tcPr>
          <w:p w14:paraId="35904631"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lang w:val="en-GB"/>
              </w:rPr>
              <w:t xml:space="preserve"> American Diabetes Association </w:t>
            </w:r>
          </w:p>
        </w:tc>
      </w:tr>
      <w:tr w:rsidR="00610EEE" w:rsidRPr="00314995" w14:paraId="655F64AD" w14:textId="77777777" w:rsidTr="00282204">
        <w:trPr>
          <w:trHeight w:val="813"/>
          <w:jc w:val="center"/>
        </w:trPr>
        <w:tc>
          <w:tcPr>
            <w:tcW w:w="2250" w:type="dxa"/>
            <w:shd w:val="clear" w:color="auto" w:fill="auto"/>
            <w:vAlign w:val="center"/>
            <w:hideMark/>
          </w:tcPr>
          <w:p w14:paraId="39C50A22"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BMI</w:t>
            </w:r>
          </w:p>
        </w:tc>
        <w:tc>
          <w:tcPr>
            <w:tcW w:w="6279" w:type="dxa"/>
            <w:shd w:val="clear" w:color="auto" w:fill="auto"/>
            <w:vAlign w:val="center"/>
            <w:hideMark/>
          </w:tcPr>
          <w:p w14:paraId="57229949" w14:textId="77777777" w:rsidR="00610EEE" w:rsidRPr="00314995" w:rsidRDefault="00610EEE" w:rsidP="0028220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en-GB"/>
              </w:rPr>
              <w:t>B</w:t>
            </w:r>
            <w:r w:rsidRPr="00314995">
              <w:rPr>
                <w:rFonts w:ascii="Arial" w:eastAsia="Times New Roman" w:hAnsi="Arial" w:cs="Arial"/>
                <w:color w:val="000000"/>
                <w:sz w:val="24"/>
                <w:szCs w:val="24"/>
                <w:lang w:val="en-GB"/>
              </w:rPr>
              <w:t xml:space="preserve">ody </w:t>
            </w:r>
            <w:r>
              <w:rPr>
                <w:rFonts w:ascii="Arial" w:eastAsia="Times New Roman" w:hAnsi="Arial" w:cs="Arial"/>
                <w:color w:val="000000"/>
                <w:sz w:val="24"/>
                <w:szCs w:val="24"/>
                <w:lang w:val="en-GB"/>
              </w:rPr>
              <w:t>M</w:t>
            </w:r>
            <w:r w:rsidRPr="00314995">
              <w:rPr>
                <w:rFonts w:ascii="Arial" w:eastAsia="Times New Roman" w:hAnsi="Arial" w:cs="Arial"/>
                <w:color w:val="000000"/>
                <w:sz w:val="24"/>
                <w:szCs w:val="24"/>
                <w:lang w:val="en-GB"/>
              </w:rPr>
              <w:t xml:space="preserve">ass </w:t>
            </w:r>
            <w:r>
              <w:rPr>
                <w:rFonts w:ascii="Arial" w:eastAsia="Times New Roman" w:hAnsi="Arial" w:cs="Arial"/>
                <w:color w:val="000000"/>
                <w:sz w:val="24"/>
                <w:szCs w:val="24"/>
                <w:lang w:val="en-GB"/>
              </w:rPr>
              <w:t>I</w:t>
            </w:r>
            <w:r w:rsidRPr="00314995">
              <w:rPr>
                <w:rFonts w:ascii="Arial" w:eastAsia="Times New Roman" w:hAnsi="Arial" w:cs="Arial"/>
                <w:color w:val="000000"/>
                <w:sz w:val="24"/>
                <w:szCs w:val="24"/>
                <w:lang w:val="en-GB"/>
              </w:rPr>
              <w:t xml:space="preserve">ndex </w:t>
            </w:r>
          </w:p>
        </w:tc>
      </w:tr>
      <w:tr w:rsidR="00610EEE" w:rsidRPr="00314995" w14:paraId="268836CC" w14:textId="77777777" w:rsidTr="00282204">
        <w:trPr>
          <w:trHeight w:val="685"/>
          <w:jc w:val="center"/>
        </w:trPr>
        <w:tc>
          <w:tcPr>
            <w:tcW w:w="2250" w:type="dxa"/>
            <w:shd w:val="clear" w:color="auto" w:fill="auto"/>
            <w:vAlign w:val="center"/>
            <w:hideMark/>
          </w:tcPr>
          <w:p w14:paraId="17A634EA"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BP</w:t>
            </w:r>
          </w:p>
        </w:tc>
        <w:tc>
          <w:tcPr>
            <w:tcW w:w="6279" w:type="dxa"/>
            <w:shd w:val="clear" w:color="auto" w:fill="auto"/>
            <w:vAlign w:val="center"/>
            <w:hideMark/>
          </w:tcPr>
          <w:p w14:paraId="5E48B658" w14:textId="77777777" w:rsidR="00610EEE" w:rsidRPr="00314995" w:rsidRDefault="00610EEE" w:rsidP="0028220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en-GB"/>
              </w:rPr>
              <w:t>B</w:t>
            </w:r>
            <w:r w:rsidRPr="00314995">
              <w:rPr>
                <w:rFonts w:ascii="Arial" w:eastAsia="Times New Roman" w:hAnsi="Arial" w:cs="Arial"/>
                <w:color w:val="000000"/>
                <w:sz w:val="24"/>
                <w:szCs w:val="24"/>
                <w:lang w:val="en-GB"/>
              </w:rPr>
              <w:t xml:space="preserve">lood </w:t>
            </w:r>
            <w:r>
              <w:rPr>
                <w:rFonts w:ascii="Arial" w:eastAsia="Times New Roman" w:hAnsi="Arial" w:cs="Arial"/>
                <w:color w:val="000000"/>
                <w:sz w:val="24"/>
                <w:szCs w:val="24"/>
                <w:lang w:val="en-GB"/>
              </w:rPr>
              <w:t>P</w:t>
            </w:r>
            <w:r w:rsidRPr="00314995">
              <w:rPr>
                <w:rFonts w:ascii="Arial" w:eastAsia="Times New Roman" w:hAnsi="Arial" w:cs="Arial"/>
                <w:color w:val="000000"/>
                <w:sz w:val="24"/>
                <w:szCs w:val="24"/>
                <w:lang w:val="en-GB"/>
              </w:rPr>
              <w:t>ressure</w:t>
            </w:r>
          </w:p>
        </w:tc>
      </w:tr>
      <w:tr w:rsidR="00610EEE" w:rsidRPr="00314995" w14:paraId="0D2B6333" w14:textId="77777777" w:rsidTr="00282204">
        <w:trPr>
          <w:trHeight w:val="798"/>
          <w:jc w:val="center"/>
        </w:trPr>
        <w:tc>
          <w:tcPr>
            <w:tcW w:w="2250" w:type="dxa"/>
            <w:shd w:val="clear" w:color="auto" w:fill="auto"/>
            <w:vAlign w:val="center"/>
            <w:hideMark/>
          </w:tcPr>
          <w:p w14:paraId="52AAE801"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CVD</w:t>
            </w:r>
          </w:p>
        </w:tc>
        <w:tc>
          <w:tcPr>
            <w:tcW w:w="6279" w:type="dxa"/>
            <w:shd w:val="clear" w:color="auto" w:fill="auto"/>
            <w:vAlign w:val="center"/>
            <w:hideMark/>
          </w:tcPr>
          <w:p w14:paraId="01935B8A" w14:textId="77777777" w:rsidR="00610EEE" w:rsidRPr="00314995" w:rsidRDefault="00610EEE" w:rsidP="0028220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en-GB"/>
              </w:rPr>
              <w:t>C</w:t>
            </w:r>
            <w:r w:rsidRPr="00314995">
              <w:rPr>
                <w:rFonts w:ascii="Arial" w:eastAsia="Times New Roman" w:hAnsi="Arial" w:cs="Arial"/>
                <w:color w:val="000000"/>
                <w:sz w:val="24"/>
                <w:szCs w:val="24"/>
                <w:lang w:val="en-GB"/>
              </w:rPr>
              <w:t xml:space="preserve">ardiovascular </w:t>
            </w:r>
            <w:r>
              <w:rPr>
                <w:rFonts w:ascii="Arial" w:eastAsia="Times New Roman" w:hAnsi="Arial" w:cs="Arial"/>
                <w:color w:val="000000"/>
                <w:sz w:val="24"/>
                <w:szCs w:val="24"/>
                <w:lang w:val="en-GB"/>
              </w:rPr>
              <w:t>D</w:t>
            </w:r>
            <w:r w:rsidRPr="00314995">
              <w:rPr>
                <w:rFonts w:ascii="Arial" w:eastAsia="Times New Roman" w:hAnsi="Arial" w:cs="Arial"/>
                <w:color w:val="000000"/>
                <w:sz w:val="24"/>
                <w:szCs w:val="24"/>
                <w:lang w:val="en-GB"/>
              </w:rPr>
              <w:t xml:space="preserve">isease </w:t>
            </w:r>
          </w:p>
        </w:tc>
      </w:tr>
      <w:tr w:rsidR="00610EEE" w:rsidRPr="00314995" w14:paraId="5BF17676" w14:textId="77777777" w:rsidTr="00282204">
        <w:trPr>
          <w:trHeight w:val="813"/>
          <w:jc w:val="center"/>
        </w:trPr>
        <w:tc>
          <w:tcPr>
            <w:tcW w:w="2250" w:type="dxa"/>
            <w:shd w:val="clear" w:color="auto" w:fill="auto"/>
            <w:vAlign w:val="center"/>
            <w:hideMark/>
          </w:tcPr>
          <w:p w14:paraId="5489597E"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DM</w:t>
            </w:r>
          </w:p>
        </w:tc>
        <w:tc>
          <w:tcPr>
            <w:tcW w:w="6279" w:type="dxa"/>
            <w:shd w:val="clear" w:color="auto" w:fill="auto"/>
            <w:vAlign w:val="center"/>
            <w:hideMark/>
          </w:tcPr>
          <w:p w14:paraId="343B246F"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 xml:space="preserve">Diabetes Mellitus </w:t>
            </w:r>
          </w:p>
        </w:tc>
      </w:tr>
      <w:tr w:rsidR="00610EEE" w:rsidRPr="00314995" w14:paraId="39E466DF" w14:textId="77777777" w:rsidTr="00282204">
        <w:trPr>
          <w:trHeight w:val="671"/>
          <w:jc w:val="center"/>
        </w:trPr>
        <w:tc>
          <w:tcPr>
            <w:tcW w:w="2250" w:type="dxa"/>
            <w:shd w:val="clear" w:color="auto" w:fill="auto"/>
            <w:vAlign w:val="center"/>
            <w:hideMark/>
          </w:tcPr>
          <w:p w14:paraId="595A794A"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
              </w:rPr>
              <w:t>DRPs</w:t>
            </w:r>
          </w:p>
        </w:tc>
        <w:tc>
          <w:tcPr>
            <w:tcW w:w="6279" w:type="dxa"/>
            <w:shd w:val="clear" w:color="auto" w:fill="auto"/>
            <w:vAlign w:val="center"/>
            <w:hideMark/>
          </w:tcPr>
          <w:p w14:paraId="7EEBDF59" w14:textId="77777777" w:rsidR="00610EEE" w:rsidRPr="00314995" w:rsidRDefault="00610EEE" w:rsidP="0028220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en"/>
              </w:rPr>
              <w:t>D</w:t>
            </w:r>
            <w:r w:rsidRPr="00314995">
              <w:rPr>
                <w:rFonts w:ascii="Arial" w:eastAsia="Times New Roman" w:hAnsi="Arial" w:cs="Arial"/>
                <w:color w:val="000000"/>
                <w:sz w:val="24"/>
                <w:szCs w:val="24"/>
                <w:lang w:val="en"/>
              </w:rPr>
              <w:t>rug-</w:t>
            </w:r>
            <w:r>
              <w:rPr>
                <w:rFonts w:ascii="Arial" w:eastAsia="Times New Roman" w:hAnsi="Arial" w:cs="Arial"/>
                <w:color w:val="000000"/>
                <w:sz w:val="24"/>
                <w:szCs w:val="24"/>
                <w:lang w:val="en"/>
              </w:rPr>
              <w:t>R</w:t>
            </w:r>
            <w:r w:rsidRPr="00314995">
              <w:rPr>
                <w:rFonts w:ascii="Arial" w:eastAsia="Times New Roman" w:hAnsi="Arial" w:cs="Arial"/>
                <w:color w:val="000000"/>
                <w:sz w:val="24"/>
                <w:szCs w:val="24"/>
                <w:lang w:val="en"/>
              </w:rPr>
              <w:t xml:space="preserve">elated </w:t>
            </w:r>
            <w:r>
              <w:rPr>
                <w:rFonts w:ascii="Arial" w:eastAsia="Times New Roman" w:hAnsi="Arial" w:cs="Arial"/>
                <w:color w:val="000000"/>
                <w:sz w:val="24"/>
                <w:szCs w:val="24"/>
                <w:lang w:val="en"/>
              </w:rPr>
              <w:t>P</w:t>
            </w:r>
            <w:r w:rsidRPr="00314995">
              <w:rPr>
                <w:rFonts w:ascii="Arial" w:eastAsia="Times New Roman" w:hAnsi="Arial" w:cs="Arial"/>
                <w:color w:val="000000"/>
                <w:sz w:val="24"/>
                <w:szCs w:val="24"/>
                <w:lang w:val="en"/>
              </w:rPr>
              <w:t xml:space="preserve">roblems </w:t>
            </w:r>
          </w:p>
        </w:tc>
      </w:tr>
      <w:tr w:rsidR="00610EEE" w:rsidRPr="00314995" w14:paraId="4ED73142" w14:textId="77777777" w:rsidTr="00282204">
        <w:trPr>
          <w:trHeight w:val="798"/>
          <w:jc w:val="center"/>
        </w:trPr>
        <w:tc>
          <w:tcPr>
            <w:tcW w:w="2250" w:type="dxa"/>
            <w:shd w:val="clear" w:color="auto" w:fill="auto"/>
            <w:vAlign w:val="center"/>
            <w:hideMark/>
          </w:tcPr>
          <w:p w14:paraId="0A4B5780"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EHC</w:t>
            </w:r>
          </w:p>
        </w:tc>
        <w:tc>
          <w:tcPr>
            <w:tcW w:w="6279" w:type="dxa"/>
            <w:shd w:val="clear" w:color="auto" w:fill="auto"/>
            <w:vAlign w:val="center"/>
            <w:hideMark/>
          </w:tcPr>
          <w:p w14:paraId="07687EDA"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lang w:val="en-GB"/>
              </w:rPr>
              <w:t xml:space="preserve">Eastern Health Cluster </w:t>
            </w:r>
          </w:p>
        </w:tc>
      </w:tr>
      <w:tr w:rsidR="00610EEE" w:rsidRPr="00314995" w14:paraId="68DFF506" w14:textId="77777777" w:rsidTr="00282204">
        <w:trPr>
          <w:trHeight w:val="813"/>
          <w:jc w:val="center"/>
        </w:trPr>
        <w:tc>
          <w:tcPr>
            <w:tcW w:w="2250" w:type="dxa"/>
            <w:shd w:val="clear" w:color="auto" w:fill="auto"/>
            <w:vAlign w:val="center"/>
            <w:hideMark/>
          </w:tcPr>
          <w:p w14:paraId="3089966E"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G.P.</w:t>
            </w:r>
          </w:p>
        </w:tc>
        <w:tc>
          <w:tcPr>
            <w:tcW w:w="6279" w:type="dxa"/>
            <w:shd w:val="clear" w:color="auto" w:fill="auto"/>
            <w:vAlign w:val="center"/>
            <w:hideMark/>
          </w:tcPr>
          <w:p w14:paraId="295CD18E"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lang w:val="en-GB"/>
              </w:rPr>
              <w:t xml:space="preserve">General </w:t>
            </w:r>
            <w:r w:rsidRPr="00A70002">
              <w:rPr>
                <w:rFonts w:ascii="Arial" w:eastAsia="Times New Roman" w:hAnsi="Arial" w:cs="Arial"/>
                <w:color w:val="000000"/>
                <w:sz w:val="24"/>
                <w:szCs w:val="24"/>
                <w:lang w:val="en-GB"/>
              </w:rPr>
              <w:t>P</w:t>
            </w:r>
            <w:r w:rsidRPr="00314995">
              <w:rPr>
                <w:rFonts w:ascii="Arial" w:eastAsia="Times New Roman" w:hAnsi="Arial" w:cs="Arial"/>
                <w:color w:val="000000"/>
                <w:sz w:val="24"/>
                <w:szCs w:val="24"/>
                <w:lang w:val="en-GB"/>
              </w:rPr>
              <w:t xml:space="preserve">hysicians </w:t>
            </w:r>
            <w:r>
              <w:rPr>
                <w:rFonts w:ascii="Arial" w:eastAsia="Times New Roman" w:hAnsi="Arial" w:cs="Arial"/>
                <w:color w:val="000000"/>
                <w:sz w:val="24"/>
                <w:szCs w:val="24"/>
                <w:lang w:val="en-GB"/>
              </w:rPr>
              <w:t xml:space="preserve">(used in SA for non-training/junior doctor) </w:t>
            </w:r>
          </w:p>
        </w:tc>
      </w:tr>
      <w:tr w:rsidR="00610EEE" w:rsidRPr="00314995" w14:paraId="0F9B7725" w14:textId="77777777" w:rsidTr="00282204">
        <w:trPr>
          <w:trHeight w:val="813"/>
          <w:jc w:val="center"/>
        </w:trPr>
        <w:tc>
          <w:tcPr>
            <w:tcW w:w="2250" w:type="dxa"/>
            <w:shd w:val="clear" w:color="auto" w:fill="auto"/>
            <w:vAlign w:val="center"/>
            <w:hideMark/>
          </w:tcPr>
          <w:p w14:paraId="72C7C91C"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GPs</w:t>
            </w:r>
          </w:p>
        </w:tc>
        <w:tc>
          <w:tcPr>
            <w:tcW w:w="6279" w:type="dxa"/>
            <w:shd w:val="clear" w:color="auto" w:fill="auto"/>
            <w:vAlign w:val="center"/>
            <w:hideMark/>
          </w:tcPr>
          <w:p w14:paraId="757B2085" w14:textId="77777777" w:rsidR="00610EEE" w:rsidRPr="00314995" w:rsidRDefault="00610EEE" w:rsidP="0028220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en-GB"/>
              </w:rPr>
              <w:t>G</w:t>
            </w:r>
            <w:r w:rsidRPr="00314995">
              <w:rPr>
                <w:rFonts w:ascii="Arial" w:eastAsia="Times New Roman" w:hAnsi="Arial" w:cs="Arial"/>
                <w:color w:val="000000"/>
                <w:sz w:val="24"/>
                <w:szCs w:val="24"/>
                <w:lang w:val="en-GB"/>
              </w:rPr>
              <w:t xml:space="preserve">eneral </w:t>
            </w:r>
            <w:r>
              <w:rPr>
                <w:rFonts w:ascii="Arial" w:eastAsia="Times New Roman" w:hAnsi="Arial" w:cs="Arial"/>
                <w:color w:val="000000"/>
                <w:sz w:val="24"/>
                <w:szCs w:val="24"/>
                <w:lang w:val="en-GB"/>
              </w:rPr>
              <w:t>P</w:t>
            </w:r>
            <w:r w:rsidRPr="00314995">
              <w:rPr>
                <w:rFonts w:ascii="Arial" w:eastAsia="Times New Roman" w:hAnsi="Arial" w:cs="Arial"/>
                <w:color w:val="000000"/>
                <w:sz w:val="24"/>
                <w:szCs w:val="24"/>
                <w:lang w:val="en-GB"/>
              </w:rPr>
              <w:t xml:space="preserve">ractitioners </w:t>
            </w:r>
            <w:r>
              <w:rPr>
                <w:rFonts w:ascii="Arial" w:eastAsia="Times New Roman" w:hAnsi="Arial" w:cs="Arial"/>
                <w:color w:val="000000"/>
                <w:sz w:val="24"/>
                <w:szCs w:val="24"/>
                <w:lang w:val="en-GB"/>
              </w:rPr>
              <w:t>(used in the UK and equivalent to family medicine trained doctor in SA)</w:t>
            </w:r>
          </w:p>
        </w:tc>
      </w:tr>
      <w:tr w:rsidR="00610EEE" w:rsidRPr="00314995" w14:paraId="487296D3" w14:textId="77777777" w:rsidTr="00282204">
        <w:trPr>
          <w:trHeight w:val="813"/>
          <w:jc w:val="center"/>
        </w:trPr>
        <w:tc>
          <w:tcPr>
            <w:tcW w:w="2250" w:type="dxa"/>
            <w:shd w:val="clear" w:color="auto" w:fill="auto"/>
            <w:vAlign w:val="center"/>
            <w:hideMark/>
          </w:tcPr>
          <w:p w14:paraId="5A367E69"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GRAMMS</w:t>
            </w:r>
          </w:p>
        </w:tc>
        <w:tc>
          <w:tcPr>
            <w:tcW w:w="6279" w:type="dxa"/>
            <w:shd w:val="clear" w:color="auto" w:fill="auto"/>
            <w:vAlign w:val="center"/>
            <w:hideMark/>
          </w:tcPr>
          <w:p w14:paraId="779C7648"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Good Reporting of a Mixed Methods Study</w:t>
            </w:r>
          </w:p>
        </w:tc>
      </w:tr>
      <w:tr w:rsidR="00610EEE" w:rsidRPr="00314995" w14:paraId="524B7FD7" w14:textId="77777777" w:rsidTr="00282204">
        <w:trPr>
          <w:trHeight w:val="826"/>
          <w:jc w:val="center"/>
        </w:trPr>
        <w:tc>
          <w:tcPr>
            <w:tcW w:w="2250" w:type="dxa"/>
            <w:shd w:val="clear" w:color="auto" w:fill="auto"/>
            <w:vAlign w:val="center"/>
            <w:hideMark/>
          </w:tcPr>
          <w:p w14:paraId="6F11016E"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HbA1c</w:t>
            </w:r>
          </w:p>
        </w:tc>
        <w:tc>
          <w:tcPr>
            <w:tcW w:w="6279" w:type="dxa"/>
            <w:shd w:val="clear" w:color="auto" w:fill="auto"/>
            <w:vAlign w:val="center"/>
            <w:hideMark/>
          </w:tcPr>
          <w:p w14:paraId="7A70BE8F" w14:textId="77777777" w:rsidR="00610EEE" w:rsidRPr="00314995" w:rsidRDefault="00610EEE" w:rsidP="0028220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en-GB"/>
              </w:rPr>
              <w:t>G</w:t>
            </w:r>
            <w:r w:rsidRPr="00314995">
              <w:rPr>
                <w:rFonts w:ascii="Arial" w:eastAsia="Times New Roman" w:hAnsi="Arial" w:cs="Arial"/>
                <w:color w:val="000000"/>
                <w:sz w:val="24"/>
                <w:szCs w:val="24"/>
                <w:lang w:val="en-GB"/>
              </w:rPr>
              <w:t xml:space="preserve">lycosylated </w:t>
            </w:r>
            <w:r>
              <w:rPr>
                <w:rFonts w:ascii="Arial" w:eastAsia="Times New Roman" w:hAnsi="Arial" w:cs="Arial"/>
                <w:color w:val="000000"/>
                <w:sz w:val="24"/>
                <w:szCs w:val="24"/>
                <w:lang w:val="en-GB"/>
              </w:rPr>
              <w:t>H</w:t>
            </w:r>
            <w:r w:rsidRPr="00314995">
              <w:rPr>
                <w:rFonts w:ascii="Arial" w:eastAsia="Times New Roman" w:hAnsi="Arial" w:cs="Arial"/>
                <w:color w:val="000000"/>
                <w:sz w:val="24"/>
                <w:szCs w:val="24"/>
                <w:lang w:val="en-GB"/>
              </w:rPr>
              <w:t>aemoglobin</w:t>
            </w:r>
          </w:p>
        </w:tc>
      </w:tr>
      <w:tr w:rsidR="00610EEE" w:rsidRPr="00314995" w14:paraId="655141E2" w14:textId="77777777" w:rsidTr="00282204">
        <w:trPr>
          <w:trHeight w:val="953"/>
          <w:jc w:val="center"/>
        </w:trPr>
        <w:tc>
          <w:tcPr>
            <w:tcW w:w="2250" w:type="dxa"/>
            <w:shd w:val="clear" w:color="auto" w:fill="auto"/>
            <w:vAlign w:val="center"/>
            <w:hideMark/>
          </w:tcPr>
          <w:p w14:paraId="357439BE"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HCPs</w:t>
            </w:r>
          </w:p>
        </w:tc>
        <w:tc>
          <w:tcPr>
            <w:tcW w:w="6279" w:type="dxa"/>
            <w:shd w:val="clear" w:color="auto" w:fill="auto"/>
            <w:vAlign w:val="center"/>
            <w:hideMark/>
          </w:tcPr>
          <w:p w14:paraId="46D7F14F"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lang w:val="en-GB"/>
              </w:rPr>
              <w:t xml:space="preserve">Healthcare </w:t>
            </w:r>
            <w:r>
              <w:rPr>
                <w:rFonts w:ascii="Arial" w:eastAsia="Times New Roman" w:hAnsi="Arial" w:cs="Arial"/>
                <w:color w:val="000000"/>
                <w:sz w:val="24"/>
                <w:szCs w:val="24"/>
                <w:lang w:val="en-GB"/>
              </w:rPr>
              <w:t>P</w:t>
            </w:r>
            <w:r w:rsidRPr="00314995">
              <w:rPr>
                <w:rFonts w:ascii="Arial" w:eastAsia="Times New Roman" w:hAnsi="Arial" w:cs="Arial"/>
                <w:color w:val="000000"/>
                <w:sz w:val="24"/>
                <w:szCs w:val="24"/>
                <w:lang w:val="en-GB"/>
              </w:rPr>
              <w:t>rofessionals</w:t>
            </w:r>
            <w:r>
              <w:rPr>
                <w:rFonts w:ascii="Arial" w:eastAsia="Times New Roman" w:hAnsi="Arial" w:cs="Arial"/>
                <w:color w:val="000000"/>
                <w:sz w:val="24"/>
                <w:szCs w:val="24"/>
                <w:lang w:val="en-GB"/>
              </w:rPr>
              <w:t>/ P</w:t>
            </w:r>
            <w:r w:rsidRPr="00314995">
              <w:rPr>
                <w:rFonts w:ascii="Arial" w:eastAsia="Times New Roman" w:hAnsi="Arial" w:cs="Arial"/>
                <w:color w:val="000000"/>
                <w:sz w:val="24"/>
                <w:szCs w:val="24"/>
                <w:lang w:val="en-GB"/>
              </w:rPr>
              <w:t xml:space="preserve">roviders </w:t>
            </w:r>
          </w:p>
        </w:tc>
      </w:tr>
      <w:tr w:rsidR="00610EEE" w:rsidRPr="00314995" w14:paraId="38DF6B22" w14:textId="77777777" w:rsidTr="00282204">
        <w:trPr>
          <w:trHeight w:val="813"/>
          <w:jc w:val="center"/>
        </w:trPr>
        <w:tc>
          <w:tcPr>
            <w:tcW w:w="2250" w:type="dxa"/>
            <w:shd w:val="clear" w:color="auto" w:fill="auto"/>
            <w:vAlign w:val="center"/>
            <w:hideMark/>
          </w:tcPr>
          <w:p w14:paraId="7959614D"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HDL-C</w:t>
            </w:r>
          </w:p>
        </w:tc>
        <w:tc>
          <w:tcPr>
            <w:tcW w:w="6279" w:type="dxa"/>
            <w:shd w:val="clear" w:color="auto" w:fill="auto"/>
            <w:vAlign w:val="center"/>
            <w:hideMark/>
          </w:tcPr>
          <w:p w14:paraId="74F6BDE2" w14:textId="77777777" w:rsidR="00610EEE" w:rsidRPr="00314995" w:rsidRDefault="00610EEE" w:rsidP="0028220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en-GB"/>
              </w:rPr>
              <w:t>H</w:t>
            </w:r>
            <w:r w:rsidRPr="00314995">
              <w:rPr>
                <w:rFonts w:ascii="Arial" w:eastAsia="Times New Roman" w:hAnsi="Arial" w:cs="Arial"/>
                <w:color w:val="000000"/>
                <w:sz w:val="24"/>
                <w:szCs w:val="24"/>
                <w:lang w:val="en-GB"/>
              </w:rPr>
              <w:t>igh-</w:t>
            </w:r>
            <w:r>
              <w:rPr>
                <w:rFonts w:ascii="Arial" w:eastAsia="Times New Roman" w:hAnsi="Arial" w:cs="Arial"/>
                <w:color w:val="000000"/>
                <w:sz w:val="24"/>
                <w:szCs w:val="24"/>
                <w:lang w:val="en-GB"/>
              </w:rPr>
              <w:t>D</w:t>
            </w:r>
            <w:r w:rsidRPr="00314995">
              <w:rPr>
                <w:rFonts w:ascii="Arial" w:eastAsia="Times New Roman" w:hAnsi="Arial" w:cs="Arial"/>
                <w:color w:val="000000"/>
                <w:sz w:val="24"/>
                <w:szCs w:val="24"/>
                <w:lang w:val="en-GB"/>
              </w:rPr>
              <w:t xml:space="preserve">ensity </w:t>
            </w:r>
            <w:r>
              <w:rPr>
                <w:rFonts w:ascii="Arial" w:eastAsia="Times New Roman" w:hAnsi="Arial" w:cs="Arial"/>
                <w:color w:val="000000"/>
                <w:sz w:val="24"/>
                <w:szCs w:val="24"/>
                <w:lang w:val="en-GB"/>
              </w:rPr>
              <w:t>L</w:t>
            </w:r>
            <w:r w:rsidRPr="00314995">
              <w:rPr>
                <w:rFonts w:ascii="Arial" w:eastAsia="Times New Roman" w:hAnsi="Arial" w:cs="Arial"/>
                <w:color w:val="000000"/>
                <w:sz w:val="24"/>
                <w:szCs w:val="24"/>
                <w:lang w:val="en-GB"/>
              </w:rPr>
              <w:t xml:space="preserve">ipoprotein </w:t>
            </w:r>
            <w:r>
              <w:rPr>
                <w:rFonts w:ascii="Arial" w:eastAsia="Times New Roman" w:hAnsi="Arial" w:cs="Arial"/>
                <w:color w:val="000000"/>
                <w:sz w:val="24"/>
                <w:szCs w:val="24"/>
                <w:lang w:val="en-GB"/>
              </w:rPr>
              <w:t>C</w:t>
            </w:r>
            <w:r w:rsidRPr="00314995">
              <w:rPr>
                <w:rFonts w:ascii="Arial" w:eastAsia="Times New Roman" w:hAnsi="Arial" w:cs="Arial"/>
                <w:color w:val="000000"/>
                <w:sz w:val="24"/>
                <w:szCs w:val="24"/>
                <w:lang w:val="en-GB"/>
              </w:rPr>
              <w:t xml:space="preserve">holesterol </w:t>
            </w:r>
          </w:p>
        </w:tc>
      </w:tr>
      <w:tr w:rsidR="00610EEE" w:rsidRPr="00314995" w14:paraId="57BA6DEC" w14:textId="77777777" w:rsidTr="00282204">
        <w:trPr>
          <w:trHeight w:val="813"/>
          <w:jc w:val="center"/>
        </w:trPr>
        <w:tc>
          <w:tcPr>
            <w:tcW w:w="2250" w:type="dxa"/>
            <w:shd w:val="clear" w:color="auto" w:fill="auto"/>
            <w:vAlign w:val="center"/>
            <w:hideMark/>
          </w:tcPr>
          <w:p w14:paraId="6E1DBDB5"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HRQo</w:t>
            </w:r>
            <w:r>
              <w:rPr>
                <w:rFonts w:ascii="Arial" w:eastAsia="Times New Roman" w:hAnsi="Arial" w:cs="Arial"/>
                <w:color w:val="000000"/>
                <w:sz w:val="24"/>
                <w:szCs w:val="24"/>
                <w:lang w:val="en-GB"/>
              </w:rPr>
              <w:t>L</w:t>
            </w:r>
          </w:p>
        </w:tc>
        <w:tc>
          <w:tcPr>
            <w:tcW w:w="6279" w:type="dxa"/>
            <w:shd w:val="clear" w:color="auto" w:fill="auto"/>
            <w:vAlign w:val="center"/>
            <w:hideMark/>
          </w:tcPr>
          <w:p w14:paraId="0603B81A" w14:textId="77777777" w:rsidR="00610EEE" w:rsidRPr="00314995" w:rsidRDefault="00610EEE" w:rsidP="0028220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en-GB"/>
              </w:rPr>
              <w:t>H</w:t>
            </w:r>
            <w:r w:rsidRPr="00314995">
              <w:rPr>
                <w:rFonts w:ascii="Arial" w:eastAsia="Times New Roman" w:hAnsi="Arial" w:cs="Arial"/>
                <w:color w:val="000000"/>
                <w:sz w:val="24"/>
                <w:szCs w:val="24"/>
                <w:lang w:val="en-GB"/>
              </w:rPr>
              <w:t>ealth-</w:t>
            </w:r>
            <w:r>
              <w:rPr>
                <w:rFonts w:ascii="Arial" w:eastAsia="Times New Roman" w:hAnsi="Arial" w:cs="Arial"/>
                <w:color w:val="000000"/>
                <w:sz w:val="24"/>
                <w:szCs w:val="24"/>
                <w:lang w:val="en-GB"/>
              </w:rPr>
              <w:t>R</w:t>
            </w:r>
            <w:r w:rsidRPr="00314995">
              <w:rPr>
                <w:rFonts w:ascii="Arial" w:eastAsia="Times New Roman" w:hAnsi="Arial" w:cs="Arial"/>
                <w:color w:val="000000"/>
                <w:sz w:val="24"/>
                <w:szCs w:val="24"/>
                <w:lang w:val="en-GB"/>
              </w:rPr>
              <w:t xml:space="preserve">elated </w:t>
            </w:r>
            <w:r>
              <w:rPr>
                <w:rFonts w:ascii="Arial" w:eastAsia="Times New Roman" w:hAnsi="Arial" w:cs="Arial"/>
                <w:color w:val="000000"/>
                <w:sz w:val="24"/>
                <w:szCs w:val="24"/>
                <w:lang w:val="en-GB"/>
              </w:rPr>
              <w:t>Q</w:t>
            </w:r>
            <w:r w:rsidRPr="00314995">
              <w:rPr>
                <w:rFonts w:ascii="Arial" w:eastAsia="Times New Roman" w:hAnsi="Arial" w:cs="Arial"/>
                <w:color w:val="000000"/>
                <w:sz w:val="24"/>
                <w:szCs w:val="24"/>
                <w:lang w:val="en-GB"/>
              </w:rPr>
              <w:t xml:space="preserve">uality of </w:t>
            </w:r>
            <w:r>
              <w:rPr>
                <w:rFonts w:ascii="Arial" w:eastAsia="Times New Roman" w:hAnsi="Arial" w:cs="Arial"/>
                <w:color w:val="000000"/>
                <w:sz w:val="24"/>
                <w:szCs w:val="24"/>
                <w:lang w:val="en-GB"/>
              </w:rPr>
              <w:t>L</w:t>
            </w:r>
            <w:r w:rsidRPr="00314995">
              <w:rPr>
                <w:rFonts w:ascii="Arial" w:eastAsia="Times New Roman" w:hAnsi="Arial" w:cs="Arial"/>
                <w:color w:val="000000"/>
                <w:sz w:val="24"/>
                <w:szCs w:val="24"/>
                <w:lang w:val="en-GB"/>
              </w:rPr>
              <w:t xml:space="preserve">ife </w:t>
            </w:r>
          </w:p>
        </w:tc>
      </w:tr>
      <w:tr w:rsidR="00610EEE" w:rsidRPr="00314995" w14:paraId="53A14819" w14:textId="77777777" w:rsidTr="00282204">
        <w:trPr>
          <w:trHeight w:val="813"/>
          <w:jc w:val="center"/>
        </w:trPr>
        <w:tc>
          <w:tcPr>
            <w:tcW w:w="2250" w:type="dxa"/>
            <w:shd w:val="clear" w:color="auto" w:fill="auto"/>
            <w:vAlign w:val="center"/>
            <w:hideMark/>
          </w:tcPr>
          <w:p w14:paraId="2617E495"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KSA</w:t>
            </w:r>
          </w:p>
        </w:tc>
        <w:tc>
          <w:tcPr>
            <w:tcW w:w="6279" w:type="dxa"/>
            <w:shd w:val="clear" w:color="auto" w:fill="auto"/>
            <w:vAlign w:val="center"/>
            <w:hideMark/>
          </w:tcPr>
          <w:p w14:paraId="7DA8E68A"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Kingdom of Saudi Arabia</w:t>
            </w:r>
          </w:p>
        </w:tc>
      </w:tr>
      <w:tr w:rsidR="00610EEE" w:rsidRPr="00314995" w14:paraId="3825C944" w14:textId="77777777" w:rsidTr="00282204">
        <w:trPr>
          <w:trHeight w:val="671"/>
          <w:jc w:val="center"/>
        </w:trPr>
        <w:tc>
          <w:tcPr>
            <w:tcW w:w="2250" w:type="dxa"/>
            <w:shd w:val="clear" w:color="auto" w:fill="auto"/>
            <w:vAlign w:val="center"/>
            <w:hideMark/>
          </w:tcPr>
          <w:p w14:paraId="6D57CC9C"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LDL-C</w:t>
            </w:r>
          </w:p>
        </w:tc>
        <w:tc>
          <w:tcPr>
            <w:tcW w:w="6279" w:type="dxa"/>
            <w:shd w:val="clear" w:color="auto" w:fill="auto"/>
            <w:vAlign w:val="center"/>
            <w:hideMark/>
          </w:tcPr>
          <w:p w14:paraId="5C515B3B" w14:textId="77777777" w:rsidR="00610EEE" w:rsidRPr="00314995" w:rsidRDefault="00610EEE" w:rsidP="0028220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en-GB"/>
              </w:rPr>
              <w:t>L</w:t>
            </w:r>
            <w:r w:rsidRPr="00314995">
              <w:rPr>
                <w:rFonts w:ascii="Arial" w:eastAsia="Times New Roman" w:hAnsi="Arial" w:cs="Arial"/>
                <w:color w:val="000000"/>
                <w:sz w:val="24"/>
                <w:szCs w:val="24"/>
                <w:lang w:val="en-GB"/>
              </w:rPr>
              <w:t>ow-</w:t>
            </w:r>
            <w:r>
              <w:rPr>
                <w:rFonts w:ascii="Arial" w:eastAsia="Times New Roman" w:hAnsi="Arial" w:cs="Arial"/>
                <w:color w:val="000000"/>
                <w:sz w:val="24"/>
                <w:szCs w:val="24"/>
                <w:lang w:val="en-GB"/>
              </w:rPr>
              <w:t>D</w:t>
            </w:r>
            <w:r w:rsidRPr="00314995">
              <w:rPr>
                <w:rFonts w:ascii="Arial" w:eastAsia="Times New Roman" w:hAnsi="Arial" w:cs="Arial"/>
                <w:color w:val="000000"/>
                <w:sz w:val="24"/>
                <w:szCs w:val="24"/>
                <w:lang w:val="en-GB"/>
              </w:rPr>
              <w:t xml:space="preserve">ensity </w:t>
            </w:r>
            <w:r>
              <w:rPr>
                <w:rFonts w:ascii="Arial" w:eastAsia="Times New Roman" w:hAnsi="Arial" w:cs="Arial"/>
                <w:color w:val="000000"/>
                <w:sz w:val="24"/>
                <w:szCs w:val="24"/>
                <w:lang w:val="en-GB"/>
              </w:rPr>
              <w:t>L</w:t>
            </w:r>
            <w:r w:rsidRPr="00314995">
              <w:rPr>
                <w:rFonts w:ascii="Arial" w:eastAsia="Times New Roman" w:hAnsi="Arial" w:cs="Arial"/>
                <w:color w:val="000000"/>
                <w:sz w:val="24"/>
                <w:szCs w:val="24"/>
                <w:lang w:val="en-GB"/>
              </w:rPr>
              <w:t xml:space="preserve">ipoprotein </w:t>
            </w:r>
            <w:r>
              <w:rPr>
                <w:rFonts w:ascii="Arial" w:eastAsia="Times New Roman" w:hAnsi="Arial" w:cs="Arial"/>
                <w:color w:val="000000"/>
                <w:sz w:val="24"/>
                <w:szCs w:val="24"/>
                <w:lang w:val="en-GB"/>
              </w:rPr>
              <w:t>C</w:t>
            </w:r>
            <w:r w:rsidRPr="00314995">
              <w:rPr>
                <w:rFonts w:ascii="Arial" w:eastAsia="Times New Roman" w:hAnsi="Arial" w:cs="Arial"/>
                <w:color w:val="000000"/>
                <w:sz w:val="24"/>
                <w:szCs w:val="24"/>
                <w:lang w:val="en-GB"/>
              </w:rPr>
              <w:t xml:space="preserve">holesterol </w:t>
            </w:r>
          </w:p>
        </w:tc>
      </w:tr>
      <w:tr w:rsidR="00610EEE" w:rsidRPr="00314995" w14:paraId="7EA7661F" w14:textId="77777777" w:rsidTr="00282204">
        <w:trPr>
          <w:trHeight w:val="666"/>
          <w:jc w:val="center"/>
        </w:trPr>
        <w:tc>
          <w:tcPr>
            <w:tcW w:w="2250" w:type="dxa"/>
            <w:shd w:val="clear" w:color="auto" w:fill="auto"/>
            <w:vAlign w:val="center"/>
            <w:hideMark/>
          </w:tcPr>
          <w:p w14:paraId="1CA6FF96"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MDT</w:t>
            </w:r>
          </w:p>
        </w:tc>
        <w:tc>
          <w:tcPr>
            <w:tcW w:w="6279" w:type="dxa"/>
            <w:shd w:val="clear" w:color="auto" w:fill="auto"/>
            <w:vAlign w:val="center"/>
            <w:hideMark/>
          </w:tcPr>
          <w:p w14:paraId="4DA7D4B7" w14:textId="77777777" w:rsidR="00610EEE" w:rsidRDefault="00610EEE" w:rsidP="00282204">
            <w:pPr>
              <w:spacing w:after="0" w:line="240" w:lineRule="auto"/>
              <w:rPr>
                <w:rFonts w:ascii="Arial" w:eastAsia="Times New Roman" w:hAnsi="Arial" w:cs="Arial"/>
                <w:color w:val="000000"/>
                <w:sz w:val="24"/>
                <w:szCs w:val="24"/>
                <w:lang w:val="en-GB"/>
              </w:rPr>
            </w:pPr>
            <w:r w:rsidRPr="00314995">
              <w:rPr>
                <w:rFonts w:ascii="Arial" w:eastAsia="Times New Roman" w:hAnsi="Arial" w:cs="Arial"/>
                <w:color w:val="000000"/>
                <w:sz w:val="24"/>
                <w:szCs w:val="24"/>
                <w:lang w:val="en-GB"/>
              </w:rPr>
              <w:t xml:space="preserve">Multidisciplinary </w:t>
            </w:r>
            <w:r>
              <w:rPr>
                <w:rFonts w:ascii="Arial" w:eastAsia="Times New Roman" w:hAnsi="Arial" w:cs="Arial"/>
                <w:color w:val="000000"/>
                <w:sz w:val="24"/>
                <w:szCs w:val="24"/>
                <w:lang w:val="en-GB"/>
              </w:rPr>
              <w:t>T</w:t>
            </w:r>
            <w:r w:rsidRPr="00314995">
              <w:rPr>
                <w:rFonts w:ascii="Arial" w:eastAsia="Times New Roman" w:hAnsi="Arial" w:cs="Arial"/>
                <w:color w:val="000000"/>
                <w:sz w:val="24"/>
                <w:szCs w:val="24"/>
                <w:lang w:val="en-GB"/>
              </w:rPr>
              <w:t>eam</w:t>
            </w:r>
          </w:p>
          <w:p w14:paraId="3A98454D" w14:textId="77777777" w:rsidR="00610EEE" w:rsidRPr="00314995" w:rsidRDefault="00610EEE" w:rsidP="00282204">
            <w:pPr>
              <w:spacing w:after="0" w:line="240" w:lineRule="auto"/>
              <w:rPr>
                <w:rFonts w:ascii="Arial" w:eastAsia="Times New Roman" w:hAnsi="Arial" w:cs="Arial"/>
                <w:color w:val="000000"/>
                <w:sz w:val="24"/>
                <w:szCs w:val="24"/>
              </w:rPr>
            </w:pPr>
          </w:p>
        </w:tc>
      </w:tr>
      <w:tr w:rsidR="00610EEE" w:rsidRPr="00314995" w14:paraId="32752BD7" w14:textId="77777777" w:rsidTr="00282204">
        <w:trPr>
          <w:trHeight w:val="529"/>
          <w:jc w:val="center"/>
        </w:trPr>
        <w:tc>
          <w:tcPr>
            <w:tcW w:w="2250" w:type="dxa"/>
            <w:shd w:val="clear" w:color="auto" w:fill="auto"/>
            <w:vAlign w:val="center"/>
            <w:hideMark/>
          </w:tcPr>
          <w:p w14:paraId="7705BA94"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MoH</w:t>
            </w:r>
          </w:p>
        </w:tc>
        <w:tc>
          <w:tcPr>
            <w:tcW w:w="6279" w:type="dxa"/>
            <w:shd w:val="clear" w:color="auto" w:fill="auto"/>
            <w:vAlign w:val="center"/>
            <w:hideMark/>
          </w:tcPr>
          <w:p w14:paraId="31D3C1C4" w14:textId="77777777" w:rsidR="00610EEE"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Ministry of Health (Saudi Arabia)</w:t>
            </w:r>
          </w:p>
          <w:p w14:paraId="23BD5BBD" w14:textId="77777777" w:rsidR="00610EEE" w:rsidRPr="00314995" w:rsidRDefault="00610EEE" w:rsidP="00282204">
            <w:pPr>
              <w:spacing w:after="0" w:line="240" w:lineRule="auto"/>
              <w:rPr>
                <w:rFonts w:ascii="Arial" w:eastAsia="Times New Roman" w:hAnsi="Arial" w:cs="Arial"/>
                <w:color w:val="000000"/>
                <w:sz w:val="24"/>
                <w:szCs w:val="24"/>
              </w:rPr>
            </w:pPr>
          </w:p>
        </w:tc>
      </w:tr>
      <w:tr w:rsidR="00610EEE" w:rsidRPr="00314995" w14:paraId="01196B10" w14:textId="77777777" w:rsidTr="00282204">
        <w:trPr>
          <w:trHeight w:val="674"/>
          <w:jc w:val="center"/>
        </w:trPr>
        <w:tc>
          <w:tcPr>
            <w:tcW w:w="2250" w:type="dxa"/>
            <w:shd w:val="clear" w:color="auto" w:fill="auto"/>
            <w:vAlign w:val="center"/>
            <w:hideMark/>
          </w:tcPr>
          <w:p w14:paraId="541FAA33" w14:textId="77777777" w:rsidR="00610EEE" w:rsidRDefault="00610EEE" w:rsidP="00282204">
            <w:pPr>
              <w:spacing w:after="0" w:line="240" w:lineRule="auto"/>
              <w:jc w:val="center"/>
              <w:rPr>
                <w:rFonts w:ascii="Arial" w:eastAsia="Times New Roman" w:hAnsi="Arial" w:cs="Arial"/>
                <w:color w:val="000000"/>
                <w:sz w:val="24"/>
                <w:szCs w:val="24"/>
                <w:lang w:val="en"/>
              </w:rPr>
            </w:pPr>
            <w:r w:rsidRPr="00314995">
              <w:rPr>
                <w:rFonts w:ascii="Arial" w:eastAsia="Times New Roman" w:hAnsi="Arial" w:cs="Arial"/>
                <w:color w:val="000000"/>
                <w:sz w:val="24"/>
                <w:szCs w:val="24"/>
                <w:lang w:val="en"/>
              </w:rPr>
              <w:t>MTM</w:t>
            </w:r>
          </w:p>
          <w:p w14:paraId="5DD15139" w14:textId="77777777" w:rsidR="00610EEE" w:rsidRPr="00314995" w:rsidRDefault="00610EEE" w:rsidP="00282204">
            <w:pPr>
              <w:spacing w:after="0" w:line="240" w:lineRule="auto"/>
              <w:jc w:val="center"/>
              <w:rPr>
                <w:rFonts w:ascii="Arial" w:eastAsia="Times New Roman" w:hAnsi="Arial" w:cs="Arial"/>
                <w:color w:val="000000"/>
                <w:sz w:val="24"/>
                <w:szCs w:val="24"/>
              </w:rPr>
            </w:pPr>
          </w:p>
        </w:tc>
        <w:tc>
          <w:tcPr>
            <w:tcW w:w="6279" w:type="dxa"/>
            <w:shd w:val="clear" w:color="auto" w:fill="auto"/>
            <w:vAlign w:val="center"/>
            <w:hideMark/>
          </w:tcPr>
          <w:p w14:paraId="4225EAB9" w14:textId="77777777" w:rsidR="00610EEE" w:rsidRDefault="00610EEE" w:rsidP="00282204">
            <w:pPr>
              <w:spacing w:after="0" w:line="240" w:lineRule="auto"/>
              <w:rPr>
                <w:rFonts w:ascii="Arial" w:eastAsia="Times New Roman" w:hAnsi="Arial" w:cs="Arial"/>
                <w:color w:val="000000"/>
                <w:sz w:val="24"/>
                <w:szCs w:val="24"/>
                <w:lang w:val="en"/>
              </w:rPr>
            </w:pPr>
            <w:r w:rsidRPr="00314995">
              <w:rPr>
                <w:rFonts w:ascii="Arial" w:eastAsia="Times New Roman" w:hAnsi="Arial" w:cs="Arial"/>
                <w:color w:val="000000"/>
                <w:sz w:val="24"/>
                <w:szCs w:val="24"/>
                <w:lang w:val="en"/>
              </w:rPr>
              <w:t xml:space="preserve">Medication </w:t>
            </w:r>
            <w:r>
              <w:rPr>
                <w:rFonts w:ascii="Arial" w:eastAsia="Times New Roman" w:hAnsi="Arial" w:cs="Arial"/>
                <w:color w:val="000000"/>
                <w:sz w:val="24"/>
                <w:szCs w:val="24"/>
                <w:lang w:val="en"/>
              </w:rPr>
              <w:t>T</w:t>
            </w:r>
            <w:r w:rsidRPr="00314995">
              <w:rPr>
                <w:rFonts w:ascii="Arial" w:eastAsia="Times New Roman" w:hAnsi="Arial" w:cs="Arial"/>
                <w:color w:val="000000"/>
                <w:sz w:val="24"/>
                <w:szCs w:val="24"/>
                <w:lang w:val="en"/>
              </w:rPr>
              <w:t xml:space="preserve">herapy </w:t>
            </w:r>
            <w:r>
              <w:rPr>
                <w:rFonts w:ascii="Arial" w:eastAsia="Times New Roman" w:hAnsi="Arial" w:cs="Arial"/>
                <w:color w:val="000000"/>
                <w:sz w:val="24"/>
                <w:szCs w:val="24"/>
                <w:lang w:val="en"/>
              </w:rPr>
              <w:t>M</w:t>
            </w:r>
            <w:r w:rsidRPr="00314995">
              <w:rPr>
                <w:rFonts w:ascii="Arial" w:eastAsia="Times New Roman" w:hAnsi="Arial" w:cs="Arial"/>
                <w:color w:val="000000"/>
                <w:sz w:val="24"/>
                <w:szCs w:val="24"/>
                <w:lang w:val="en"/>
              </w:rPr>
              <w:t xml:space="preserve">anagement </w:t>
            </w:r>
          </w:p>
          <w:p w14:paraId="43AA8E14" w14:textId="77777777" w:rsidR="00610EEE" w:rsidRPr="00314995" w:rsidRDefault="00610EEE" w:rsidP="00282204">
            <w:pPr>
              <w:spacing w:after="0" w:line="240" w:lineRule="auto"/>
              <w:rPr>
                <w:rFonts w:ascii="Arial" w:eastAsia="Times New Roman" w:hAnsi="Arial" w:cs="Arial"/>
                <w:color w:val="000000"/>
                <w:sz w:val="24"/>
                <w:szCs w:val="24"/>
              </w:rPr>
            </w:pPr>
          </w:p>
        </w:tc>
      </w:tr>
      <w:tr w:rsidR="00610EEE" w:rsidRPr="00314995" w14:paraId="5FA19FA4" w14:textId="77777777" w:rsidTr="00282204">
        <w:trPr>
          <w:trHeight w:val="683"/>
          <w:jc w:val="center"/>
        </w:trPr>
        <w:tc>
          <w:tcPr>
            <w:tcW w:w="2250" w:type="dxa"/>
            <w:shd w:val="clear" w:color="auto" w:fill="auto"/>
            <w:vAlign w:val="center"/>
            <w:hideMark/>
          </w:tcPr>
          <w:p w14:paraId="472CF777"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PHC</w:t>
            </w:r>
          </w:p>
        </w:tc>
        <w:tc>
          <w:tcPr>
            <w:tcW w:w="6279" w:type="dxa"/>
            <w:shd w:val="clear" w:color="auto" w:fill="auto"/>
            <w:vAlign w:val="center"/>
            <w:hideMark/>
          </w:tcPr>
          <w:p w14:paraId="231E61FB"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 xml:space="preserve">Primary Health Care </w:t>
            </w:r>
          </w:p>
        </w:tc>
      </w:tr>
      <w:tr w:rsidR="00610EEE" w:rsidRPr="00314995" w14:paraId="30D73891" w14:textId="77777777" w:rsidTr="00282204">
        <w:trPr>
          <w:trHeight w:val="595"/>
          <w:jc w:val="center"/>
        </w:trPr>
        <w:tc>
          <w:tcPr>
            <w:tcW w:w="2250" w:type="dxa"/>
            <w:shd w:val="clear" w:color="auto" w:fill="auto"/>
            <w:vAlign w:val="center"/>
            <w:hideMark/>
          </w:tcPr>
          <w:p w14:paraId="56763F07"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PHCs</w:t>
            </w:r>
          </w:p>
        </w:tc>
        <w:tc>
          <w:tcPr>
            <w:tcW w:w="6279" w:type="dxa"/>
            <w:shd w:val="clear" w:color="auto" w:fill="auto"/>
            <w:vAlign w:val="center"/>
            <w:hideMark/>
          </w:tcPr>
          <w:p w14:paraId="115CD154"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Primary Health Care Centres</w:t>
            </w:r>
          </w:p>
        </w:tc>
      </w:tr>
      <w:tr w:rsidR="00610EEE" w:rsidRPr="00314995" w14:paraId="6DF452D1" w14:textId="77777777" w:rsidTr="00282204">
        <w:trPr>
          <w:trHeight w:val="671"/>
          <w:jc w:val="center"/>
        </w:trPr>
        <w:tc>
          <w:tcPr>
            <w:tcW w:w="2250" w:type="dxa"/>
            <w:shd w:val="clear" w:color="auto" w:fill="auto"/>
            <w:vAlign w:val="center"/>
            <w:hideMark/>
          </w:tcPr>
          <w:p w14:paraId="4BA1DD3B"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PIS</w:t>
            </w:r>
          </w:p>
        </w:tc>
        <w:tc>
          <w:tcPr>
            <w:tcW w:w="6279" w:type="dxa"/>
            <w:shd w:val="clear" w:color="auto" w:fill="auto"/>
            <w:vAlign w:val="center"/>
            <w:hideMark/>
          </w:tcPr>
          <w:p w14:paraId="1BB0F003"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 xml:space="preserve">Participant Information Sheet </w:t>
            </w:r>
          </w:p>
        </w:tc>
      </w:tr>
      <w:tr w:rsidR="00610EEE" w:rsidRPr="00314995" w14:paraId="602F8A4B" w14:textId="77777777" w:rsidTr="00282204">
        <w:trPr>
          <w:trHeight w:val="813"/>
          <w:jc w:val="center"/>
        </w:trPr>
        <w:tc>
          <w:tcPr>
            <w:tcW w:w="2250" w:type="dxa"/>
            <w:shd w:val="clear" w:color="auto" w:fill="auto"/>
            <w:vAlign w:val="center"/>
            <w:hideMark/>
          </w:tcPr>
          <w:p w14:paraId="511A10D0"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PSMMC</w:t>
            </w:r>
          </w:p>
        </w:tc>
        <w:tc>
          <w:tcPr>
            <w:tcW w:w="6279" w:type="dxa"/>
            <w:shd w:val="clear" w:color="auto" w:fill="auto"/>
            <w:vAlign w:val="center"/>
            <w:hideMark/>
          </w:tcPr>
          <w:p w14:paraId="7003E330"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 xml:space="preserve">Prince Sultan Military Medical City </w:t>
            </w:r>
          </w:p>
        </w:tc>
      </w:tr>
      <w:tr w:rsidR="00610EEE" w:rsidRPr="00314995" w14:paraId="46D99877" w14:textId="77777777" w:rsidTr="00282204">
        <w:trPr>
          <w:trHeight w:val="704"/>
          <w:jc w:val="center"/>
        </w:trPr>
        <w:tc>
          <w:tcPr>
            <w:tcW w:w="2250" w:type="dxa"/>
            <w:shd w:val="clear" w:color="auto" w:fill="auto"/>
            <w:vAlign w:val="center"/>
            <w:hideMark/>
          </w:tcPr>
          <w:p w14:paraId="1AD941C8"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QoL</w:t>
            </w:r>
          </w:p>
        </w:tc>
        <w:tc>
          <w:tcPr>
            <w:tcW w:w="6279" w:type="dxa"/>
            <w:shd w:val="clear" w:color="auto" w:fill="auto"/>
            <w:vAlign w:val="center"/>
            <w:hideMark/>
          </w:tcPr>
          <w:p w14:paraId="1BBD43AA" w14:textId="77777777" w:rsidR="00610EEE" w:rsidRPr="00314995" w:rsidRDefault="00610EEE" w:rsidP="0028220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lang w:val="en-GB"/>
              </w:rPr>
              <w:t>Q</w:t>
            </w:r>
            <w:r w:rsidRPr="00314995">
              <w:rPr>
                <w:rFonts w:ascii="Arial" w:eastAsia="Times New Roman" w:hAnsi="Arial" w:cs="Arial"/>
                <w:color w:val="000000"/>
                <w:sz w:val="24"/>
                <w:szCs w:val="24"/>
                <w:lang w:val="en-GB"/>
              </w:rPr>
              <w:t xml:space="preserve">uality of </w:t>
            </w:r>
            <w:r>
              <w:rPr>
                <w:rFonts w:ascii="Arial" w:eastAsia="Times New Roman" w:hAnsi="Arial" w:cs="Arial"/>
                <w:color w:val="000000"/>
                <w:sz w:val="24"/>
                <w:szCs w:val="24"/>
                <w:lang w:val="en-GB"/>
              </w:rPr>
              <w:t>L</w:t>
            </w:r>
            <w:r w:rsidRPr="00314995">
              <w:rPr>
                <w:rFonts w:ascii="Arial" w:eastAsia="Times New Roman" w:hAnsi="Arial" w:cs="Arial"/>
                <w:color w:val="000000"/>
                <w:sz w:val="24"/>
                <w:szCs w:val="24"/>
                <w:lang w:val="en-GB"/>
              </w:rPr>
              <w:t xml:space="preserve">ife </w:t>
            </w:r>
          </w:p>
        </w:tc>
      </w:tr>
      <w:tr w:rsidR="00610EEE" w:rsidRPr="00314995" w14:paraId="6FAC4784" w14:textId="77777777" w:rsidTr="00282204">
        <w:trPr>
          <w:trHeight w:val="704"/>
          <w:jc w:val="center"/>
        </w:trPr>
        <w:tc>
          <w:tcPr>
            <w:tcW w:w="2250" w:type="dxa"/>
            <w:shd w:val="clear" w:color="auto" w:fill="auto"/>
            <w:vAlign w:val="center"/>
            <w:hideMark/>
          </w:tcPr>
          <w:p w14:paraId="24BAE08D"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SA</w:t>
            </w:r>
          </w:p>
        </w:tc>
        <w:tc>
          <w:tcPr>
            <w:tcW w:w="6279" w:type="dxa"/>
            <w:shd w:val="clear" w:color="auto" w:fill="auto"/>
            <w:vAlign w:val="center"/>
            <w:hideMark/>
          </w:tcPr>
          <w:p w14:paraId="30455A77"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Saudi Arabia</w:t>
            </w:r>
          </w:p>
        </w:tc>
      </w:tr>
      <w:tr w:rsidR="00610EEE" w:rsidRPr="00314995" w14:paraId="25933BAE" w14:textId="77777777" w:rsidTr="00282204">
        <w:trPr>
          <w:trHeight w:val="666"/>
          <w:jc w:val="center"/>
        </w:trPr>
        <w:tc>
          <w:tcPr>
            <w:tcW w:w="2250" w:type="dxa"/>
            <w:shd w:val="clear" w:color="auto" w:fill="auto"/>
            <w:vAlign w:val="center"/>
            <w:hideMark/>
          </w:tcPr>
          <w:p w14:paraId="3F408D50"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SPSS</w:t>
            </w:r>
          </w:p>
        </w:tc>
        <w:tc>
          <w:tcPr>
            <w:tcW w:w="6279" w:type="dxa"/>
            <w:shd w:val="clear" w:color="auto" w:fill="auto"/>
            <w:vAlign w:val="center"/>
            <w:hideMark/>
          </w:tcPr>
          <w:p w14:paraId="2A7A015E"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lang w:val="en-GB"/>
              </w:rPr>
              <w:t xml:space="preserve">Statistical Package for Social Sciences </w:t>
            </w:r>
          </w:p>
        </w:tc>
      </w:tr>
      <w:tr w:rsidR="00610EEE" w:rsidRPr="00314995" w14:paraId="7CDE05B3" w14:textId="77777777" w:rsidTr="00282204">
        <w:trPr>
          <w:trHeight w:val="910"/>
          <w:jc w:val="center"/>
        </w:trPr>
        <w:tc>
          <w:tcPr>
            <w:tcW w:w="2250" w:type="dxa"/>
            <w:shd w:val="clear" w:color="auto" w:fill="auto"/>
            <w:vAlign w:val="center"/>
          </w:tcPr>
          <w:p w14:paraId="1C655575" w14:textId="77777777" w:rsidR="00610EEE" w:rsidRPr="00314995" w:rsidRDefault="00610EEE" w:rsidP="00282204">
            <w:pPr>
              <w:spacing w:after="0" w:line="240" w:lineRule="auto"/>
              <w:jc w:val="center"/>
              <w:rPr>
                <w:rFonts w:ascii="Arial" w:eastAsia="Times New Roman" w:hAnsi="Arial" w:cs="Arial"/>
                <w:color w:val="000000"/>
                <w:sz w:val="24"/>
                <w:szCs w:val="24"/>
                <w:lang w:val="en-GB"/>
              </w:rPr>
            </w:pPr>
            <w:r w:rsidRPr="00FE719E">
              <w:rPr>
                <w:rFonts w:ascii="Arial" w:eastAsia="Times New Roman" w:hAnsi="Arial" w:cs="Arial"/>
                <w:color w:val="000000"/>
                <w:sz w:val="24"/>
                <w:szCs w:val="24"/>
                <w:lang w:val="en-GB"/>
              </w:rPr>
              <w:t>T2D</w:t>
            </w:r>
          </w:p>
        </w:tc>
        <w:tc>
          <w:tcPr>
            <w:tcW w:w="6279" w:type="dxa"/>
            <w:shd w:val="clear" w:color="auto" w:fill="auto"/>
            <w:vAlign w:val="center"/>
          </w:tcPr>
          <w:p w14:paraId="768C3BC6" w14:textId="77777777" w:rsidR="00610EEE" w:rsidRPr="00314995" w:rsidRDefault="00610EEE" w:rsidP="00282204">
            <w:pPr>
              <w:spacing w:after="0" w:line="240" w:lineRule="auto"/>
              <w:rPr>
                <w:rFonts w:ascii="Arial" w:eastAsia="Times New Roman" w:hAnsi="Arial" w:cs="Arial"/>
                <w:color w:val="000000"/>
                <w:sz w:val="24"/>
                <w:szCs w:val="24"/>
                <w:lang w:val="en-GB"/>
              </w:rPr>
            </w:pPr>
            <w:r>
              <w:rPr>
                <w:rFonts w:ascii="Arial" w:eastAsia="Times New Roman" w:hAnsi="Arial" w:cs="Arial"/>
                <w:color w:val="000000"/>
                <w:sz w:val="24"/>
                <w:szCs w:val="24"/>
                <w:lang w:val="en-GB"/>
              </w:rPr>
              <w:t xml:space="preserve">Type Two Diabetes </w:t>
            </w:r>
          </w:p>
        </w:tc>
      </w:tr>
      <w:tr w:rsidR="00610EEE" w:rsidRPr="00314995" w14:paraId="7FC4031B" w14:textId="77777777" w:rsidTr="00282204">
        <w:trPr>
          <w:trHeight w:val="531"/>
          <w:jc w:val="center"/>
        </w:trPr>
        <w:tc>
          <w:tcPr>
            <w:tcW w:w="2250" w:type="dxa"/>
            <w:shd w:val="clear" w:color="auto" w:fill="auto"/>
            <w:vAlign w:val="center"/>
            <w:hideMark/>
          </w:tcPr>
          <w:p w14:paraId="6C8D9E15"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UK</w:t>
            </w:r>
          </w:p>
        </w:tc>
        <w:tc>
          <w:tcPr>
            <w:tcW w:w="6279" w:type="dxa"/>
            <w:shd w:val="clear" w:color="auto" w:fill="auto"/>
            <w:vAlign w:val="center"/>
            <w:hideMark/>
          </w:tcPr>
          <w:p w14:paraId="0FF687CA"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United Kingdom</w:t>
            </w:r>
          </w:p>
        </w:tc>
      </w:tr>
      <w:tr w:rsidR="00610EEE" w:rsidRPr="00314995" w14:paraId="555E0CDE" w14:textId="77777777" w:rsidTr="00282204">
        <w:trPr>
          <w:trHeight w:val="953"/>
          <w:jc w:val="center"/>
        </w:trPr>
        <w:tc>
          <w:tcPr>
            <w:tcW w:w="2250" w:type="dxa"/>
            <w:shd w:val="clear" w:color="auto" w:fill="auto"/>
            <w:vAlign w:val="center"/>
            <w:hideMark/>
          </w:tcPr>
          <w:p w14:paraId="1DB821E4"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lang w:val="en-GB"/>
              </w:rPr>
              <w:t>UREC</w:t>
            </w:r>
          </w:p>
        </w:tc>
        <w:tc>
          <w:tcPr>
            <w:tcW w:w="6279" w:type="dxa"/>
            <w:shd w:val="clear" w:color="auto" w:fill="auto"/>
            <w:vAlign w:val="center"/>
            <w:hideMark/>
          </w:tcPr>
          <w:p w14:paraId="3BF8DDB4"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lang w:val="en-GB"/>
              </w:rPr>
              <w:t xml:space="preserve">University Research Ethics Committee </w:t>
            </w:r>
          </w:p>
        </w:tc>
      </w:tr>
      <w:tr w:rsidR="00610EEE" w:rsidRPr="00314995" w14:paraId="6B96A72F" w14:textId="77777777" w:rsidTr="00282204">
        <w:trPr>
          <w:trHeight w:val="813"/>
          <w:jc w:val="center"/>
        </w:trPr>
        <w:tc>
          <w:tcPr>
            <w:tcW w:w="2250" w:type="dxa"/>
            <w:shd w:val="clear" w:color="auto" w:fill="auto"/>
            <w:vAlign w:val="center"/>
            <w:hideMark/>
          </w:tcPr>
          <w:p w14:paraId="14208F9F"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USA/US</w:t>
            </w:r>
          </w:p>
        </w:tc>
        <w:tc>
          <w:tcPr>
            <w:tcW w:w="6279" w:type="dxa"/>
            <w:shd w:val="clear" w:color="auto" w:fill="auto"/>
            <w:vAlign w:val="center"/>
            <w:hideMark/>
          </w:tcPr>
          <w:p w14:paraId="40327A9D"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United State</w:t>
            </w:r>
            <w:r>
              <w:rPr>
                <w:rFonts w:ascii="Arial" w:eastAsia="Times New Roman" w:hAnsi="Arial" w:cs="Arial"/>
                <w:color w:val="000000"/>
                <w:sz w:val="24"/>
                <w:szCs w:val="24"/>
              </w:rPr>
              <w:t xml:space="preserve">s </w:t>
            </w:r>
            <w:r w:rsidRPr="00314995">
              <w:rPr>
                <w:rFonts w:ascii="Arial" w:eastAsia="Times New Roman" w:hAnsi="Arial" w:cs="Arial"/>
                <w:color w:val="000000"/>
                <w:sz w:val="24"/>
                <w:szCs w:val="24"/>
              </w:rPr>
              <w:t>of America</w:t>
            </w:r>
          </w:p>
        </w:tc>
      </w:tr>
      <w:tr w:rsidR="00610EEE" w:rsidRPr="00314995" w14:paraId="18029A16" w14:textId="77777777" w:rsidTr="00282204">
        <w:trPr>
          <w:trHeight w:val="813"/>
          <w:jc w:val="center"/>
        </w:trPr>
        <w:tc>
          <w:tcPr>
            <w:tcW w:w="2250" w:type="dxa"/>
            <w:shd w:val="clear" w:color="auto" w:fill="auto"/>
            <w:vAlign w:val="center"/>
            <w:hideMark/>
          </w:tcPr>
          <w:p w14:paraId="0D98A13A" w14:textId="77777777" w:rsidR="00610EEE" w:rsidRPr="00314995" w:rsidRDefault="00610EEE" w:rsidP="00282204">
            <w:pPr>
              <w:spacing w:after="0" w:line="240" w:lineRule="auto"/>
              <w:jc w:val="center"/>
              <w:rPr>
                <w:rFonts w:ascii="Arial" w:eastAsia="Times New Roman" w:hAnsi="Arial" w:cs="Arial"/>
                <w:color w:val="000000"/>
                <w:sz w:val="24"/>
                <w:szCs w:val="24"/>
              </w:rPr>
            </w:pPr>
            <w:r w:rsidRPr="00314995">
              <w:rPr>
                <w:rFonts w:ascii="Arial" w:eastAsia="Times New Roman" w:hAnsi="Arial" w:cs="Arial"/>
                <w:color w:val="000000"/>
                <w:sz w:val="24"/>
                <w:szCs w:val="24"/>
              </w:rPr>
              <w:t>WHO</w:t>
            </w:r>
          </w:p>
        </w:tc>
        <w:tc>
          <w:tcPr>
            <w:tcW w:w="6279" w:type="dxa"/>
            <w:shd w:val="clear" w:color="auto" w:fill="auto"/>
            <w:vAlign w:val="center"/>
            <w:hideMark/>
          </w:tcPr>
          <w:p w14:paraId="336DD7F5" w14:textId="77777777" w:rsidR="00610EEE" w:rsidRPr="00314995" w:rsidRDefault="00610EEE" w:rsidP="00282204">
            <w:pPr>
              <w:spacing w:after="0" w:line="240" w:lineRule="auto"/>
              <w:rPr>
                <w:rFonts w:ascii="Arial" w:eastAsia="Times New Roman" w:hAnsi="Arial" w:cs="Arial"/>
                <w:color w:val="000000"/>
                <w:sz w:val="24"/>
                <w:szCs w:val="24"/>
              </w:rPr>
            </w:pPr>
            <w:r w:rsidRPr="00314995">
              <w:rPr>
                <w:rFonts w:ascii="Arial" w:eastAsia="Times New Roman" w:hAnsi="Arial" w:cs="Arial"/>
                <w:color w:val="000000"/>
                <w:sz w:val="24"/>
                <w:szCs w:val="24"/>
              </w:rPr>
              <w:t>World Health Organization</w:t>
            </w:r>
          </w:p>
        </w:tc>
      </w:tr>
    </w:tbl>
    <w:p w14:paraId="36DE0DCB" w14:textId="77777777" w:rsidR="00610EEE" w:rsidRDefault="00610EEE" w:rsidP="00610EEE">
      <w:pPr>
        <w:rPr>
          <w:rFonts w:ascii="Arial" w:hAnsi="Arial" w:cs="Arial"/>
          <w:b/>
          <w:bCs/>
          <w:sz w:val="24"/>
          <w:szCs w:val="24"/>
        </w:rPr>
      </w:pPr>
    </w:p>
    <w:p w14:paraId="7FC3E960" w14:textId="77777777" w:rsidR="00610EEE" w:rsidRDefault="00610EEE" w:rsidP="00610EEE">
      <w:pPr>
        <w:rPr>
          <w:rFonts w:ascii="Arial" w:hAnsi="Arial" w:cs="Arial"/>
          <w:b/>
          <w:bCs/>
          <w:sz w:val="24"/>
          <w:szCs w:val="24"/>
        </w:rPr>
      </w:pPr>
      <w:r>
        <w:rPr>
          <w:rFonts w:ascii="Arial" w:hAnsi="Arial" w:cs="Arial"/>
          <w:b/>
          <w:bCs/>
          <w:sz w:val="24"/>
          <w:szCs w:val="24"/>
        </w:rPr>
        <w:br w:type="page"/>
      </w:r>
    </w:p>
    <w:p w14:paraId="19DD16C4" w14:textId="77777777" w:rsidR="00610EEE" w:rsidRPr="00107CCE" w:rsidRDefault="00610EEE" w:rsidP="00610EEE">
      <w:pPr>
        <w:jc w:val="center"/>
        <w:rPr>
          <w:rFonts w:ascii="Arial" w:hAnsi="Arial" w:cs="Arial"/>
          <w:b/>
          <w:bCs/>
          <w:sz w:val="24"/>
          <w:szCs w:val="24"/>
        </w:rPr>
      </w:pPr>
      <w:r w:rsidRPr="00107CCE">
        <w:rPr>
          <w:rFonts w:ascii="Arial" w:hAnsi="Arial" w:cs="Arial"/>
          <w:b/>
          <w:bCs/>
          <w:sz w:val="24"/>
          <w:szCs w:val="24"/>
        </w:rPr>
        <w:t>Structure of the Thesis</w:t>
      </w:r>
    </w:p>
    <w:p w14:paraId="51BF1FAA" w14:textId="77777777" w:rsidR="00610EEE" w:rsidRDefault="00610EEE" w:rsidP="00610EEE">
      <w:pPr>
        <w:rPr>
          <w:rFonts w:ascii="Arial" w:hAnsi="Arial" w:cs="Arial"/>
          <w:sz w:val="28"/>
          <w:szCs w:val="28"/>
        </w:rPr>
      </w:pPr>
    </w:p>
    <w:p w14:paraId="2C2E9B05" w14:textId="77777777" w:rsidR="00610EEE" w:rsidRPr="00E0470B" w:rsidRDefault="00610EEE" w:rsidP="00610EEE">
      <w:pPr>
        <w:spacing w:line="360" w:lineRule="auto"/>
        <w:jc w:val="both"/>
        <w:rPr>
          <w:rFonts w:ascii="Arial" w:hAnsi="Arial" w:cs="Arial"/>
          <w:sz w:val="24"/>
          <w:szCs w:val="24"/>
        </w:rPr>
      </w:pPr>
      <w:r w:rsidRPr="00E0470B">
        <w:rPr>
          <w:rFonts w:ascii="Arial" w:hAnsi="Arial" w:cs="Arial"/>
          <w:sz w:val="24"/>
          <w:szCs w:val="24"/>
        </w:rPr>
        <w:t xml:space="preserve">This thesis consists of </w:t>
      </w:r>
      <w:r>
        <w:rPr>
          <w:rFonts w:ascii="Arial" w:hAnsi="Arial" w:cs="Arial"/>
          <w:sz w:val="24"/>
          <w:szCs w:val="24"/>
        </w:rPr>
        <w:t>seven</w:t>
      </w:r>
      <w:r w:rsidRPr="00E0470B">
        <w:rPr>
          <w:rFonts w:ascii="Arial" w:hAnsi="Arial" w:cs="Arial"/>
          <w:sz w:val="24"/>
          <w:szCs w:val="24"/>
        </w:rPr>
        <w:t xml:space="preserve"> chapters, as follows:</w:t>
      </w:r>
    </w:p>
    <w:p w14:paraId="12FDD5A0" w14:textId="77777777" w:rsidR="00610EEE" w:rsidRPr="00E0470B" w:rsidRDefault="00610EEE" w:rsidP="00610EEE">
      <w:pPr>
        <w:spacing w:line="360" w:lineRule="auto"/>
        <w:jc w:val="both"/>
        <w:rPr>
          <w:rFonts w:ascii="Arial" w:hAnsi="Arial" w:cs="Arial"/>
          <w:bCs/>
          <w:sz w:val="24"/>
          <w:szCs w:val="24"/>
          <w:lang w:val="en-GB"/>
        </w:rPr>
      </w:pPr>
      <w:r w:rsidRPr="00103D21">
        <w:rPr>
          <w:rFonts w:ascii="Arial" w:hAnsi="Arial" w:cs="Arial"/>
          <w:b/>
          <w:sz w:val="24"/>
          <w:szCs w:val="24"/>
          <w:lang w:val="en-GB"/>
        </w:rPr>
        <w:t>Chapter 1</w:t>
      </w:r>
      <w:r w:rsidRPr="00E0470B">
        <w:rPr>
          <w:rFonts w:ascii="Arial" w:hAnsi="Arial" w:cs="Arial"/>
          <w:bCs/>
          <w:sz w:val="24"/>
          <w:szCs w:val="24"/>
          <w:lang w:val="en-GB"/>
        </w:rPr>
        <w:t xml:space="preserve"> is an introduction and background about the healthcare system in Saudi Arabia</w:t>
      </w:r>
      <w:r w:rsidRPr="006B2FC7">
        <w:rPr>
          <w:rFonts w:ascii="Arial" w:hAnsi="Arial" w:cs="Arial"/>
          <w:bCs/>
          <w:sz w:val="24"/>
          <w:szCs w:val="24"/>
          <w:lang w:val="en-GB"/>
        </w:rPr>
        <w:t xml:space="preserve"> </w:t>
      </w:r>
      <w:r>
        <w:rPr>
          <w:rFonts w:ascii="Arial" w:hAnsi="Arial" w:cs="Arial"/>
          <w:bCs/>
          <w:sz w:val="24"/>
          <w:szCs w:val="24"/>
          <w:lang w:val="en-GB"/>
        </w:rPr>
        <w:t xml:space="preserve">and </w:t>
      </w:r>
      <w:r w:rsidRPr="006B2FC7">
        <w:rPr>
          <w:rFonts w:ascii="Arial" w:hAnsi="Arial" w:cs="Arial"/>
          <w:bCs/>
          <w:sz w:val="24"/>
          <w:szCs w:val="24"/>
          <w:lang w:val="en-GB"/>
        </w:rPr>
        <w:t xml:space="preserve">the current national transformation programme </w:t>
      </w:r>
      <w:r w:rsidRPr="00E0470B">
        <w:rPr>
          <w:rFonts w:ascii="Arial" w:hAnsi="Arial" w:cs="Arial"/>
          <w:bCs/>
          <w:sz w:val="24"/>
          <w:szCs w:val="24"/>
          <w:lang w:val="en-GB"/>
        </w:rPr>
        <w:t>of the Ministry of Health. It also includes background about diabetes, and role of primary care providers in managing patients with diabetes.</w:t>
      </w:r>
    </w:p>
    <w:p w14:paraId="2EF9278E" w14:textId="77777777" w:rsidR="00610EEE" w:rsidRPr="00E0470B" w:rsidRDefault="00610EEE" w:rsidP="00610EEE">
      <w:pPr>
        <w:spacing w:line="360" w:lineRule="auto"/>
        <w:jc w:val="both"/>
        <w:rPr>
          <w:rFonts w:ascii="Arial" w:hAnsi="Arial" w:cs="Arial"/>
          <w:bCs/>
          <w:sz w:val="24"/>
          <w:szCs w:val="24"/>
          <w:lang w:val="en-GB"/>
        </w:rPr>
      </w:pPr>
      <w:r w:rsidRPr="00103D21">
        <w:rPr>
          <w:rFonts w:ascii="Arial" w:hAnsi="Arial" w:cs="Arial"/>
          <w:b/>
          <w:sz w:val="24"/>
          <w:szCs w:val="24"/>
          <w:lang w:val="en-GB"/>
        </w:rPr>
        <w:t>Chapter 2</w:t>
      </w:r>
      <w:r w:rsidRPr="00E0470B">
        <w:rPr>
          <w:rFonts w:ascii="Arial" w:hAnsi="Arial" w:cs="Arial"/>
          <w:bCs/>
          <w:sz w:val="24"/>
          <w:szCs w:val="24"/>
          <w:lang w:val="en-GB"/>
        </w:rPr>
        <w:t xml:space="preserve"> is the literature review and includ</w:t>
      </w:r>
      <w:r>
        <w:rPr>
          <w:rFonts w:ascii="Arial" w:hAnsi="Arial" w:cs="Arial"/>
          <w:bCs/>
          <w:sz w:val="24"/>
          <w:szCs w:val="24"/>
          <w:lang w:val="en-GB"/>
        </w:rPr>
        <w:t>es</w:t>
      </w:r>
      <w:r w:rsidRPr="00E0470B">
        <w:rPr>
          <w:rFonts w:ascii="Arial" w:hAnsi="Arial" w:cs="Arial"/>
          <w:bCs/>
          <w:sz w:val="24"/>
          <w:szCs w:val="24"/>
          <w:lang w:val="en-GB"/>
        </w:rPr>
        <w:t xml:space="preserve"> a </w:t>
      </w:r>
      <w:r>
        <w:rPr>
          <w:rFonts w:ascii="Arial" w:hAnsi="Arial" w:cs="Arial"/>
          <w:bCs/>
          <w:sz w:val="24"/>
          <w:szCs w:val="24"/>
          <w:lang w:val="en-GB"/>
        </w:rPr>
        <w:t>s</w:t>
      </w:r>
      <w:r w:rsidRPr="00E0470B">
        <w:rPr>
          <w:rFonts w:ascii="Arial" w:hAnsi="Arial" w:cs="Arial"/>
          <w:bCs/>
          <w:sz w:val="24"/>
          <w:szCs w:val="24"/>
          <w:lang w:val="en-GB"/>
        </w:rPr>
        <w:t xml:space="preserve">ystematic review of the literature on involvement of pharmacists in diabetes care (internationally), and </w:t>
      </w:r>
      <w:bookmarkStart w:id="3" w:name="_Toc122626369"/>
      <w:r w:rsidRPr="00E0470B">
        <w:rPr>
          <w:rFonts w:ascii="Arial" w:hAnsi="Arial" w:cs="Arial"/>
          <w:bCs/>
          <w:sz w:val="24"/>
          <w:szCs w:val="24"/>
          <w:lang w:val="en-GB"/>
        </w:rPr>
        <w:t>a systematic scoping review of pharmacist contributions to diabetes management in Saudi Arabia</w:t>
      </w:r>
      <w:bookmarkEnd w:id="3"/>
      <w:r>
        <w:rPr>
          <w:rFonts w:ascii="Arial" w:hAnsi="Arial" w:cs="Arial"/>
          <w:bCs/>
          <w:sz w:val="24"/>
          <w:szCs w:val="24"/>
          <w:lang w:val="en-GB"/>
        </w:rPr>
        <w:t>.</w:t>
      </w:r>
    </w:p>
    <w:p w14:paraId="276F308E" w14:textId="77777777" w:rsidR="00610EEE" w:rsidRPr="00CD2107" w:rsidRDefault="00610EEE" w:rsidP="00610EEE">
      <w:pPr>
        <w:spacing w:line="360" w:lineRule="auto"/>
        <w:jc w:val="both"/>
        <w:rPr>
          <w:rFonts w:ascii="Arial" w:hAnsi="Arial" w:cs="Arial"/>
          <w:bCs/>
          <w:sz w:val="24"/>
          <w:szCs w:val="24"/>
          <w:lang w:val="en-GB"/>
        </w:rPr>
      </w:pPr>
      <w:r w:rsidRPr="00E0470B">
        <w:rPr>
          <w:rFonts w:ascii="Arial" w:hAnsi="Arial" w:cs="Arial"/>
          <w:bCs/>
          <w:sz w:val="24"/>
          <w:szCs w:val="24"/>
          <w:lang w:val="en-GB"/>
        </w:rPr>
        <w:t xml:space="preserve"> </w:t>
      </w:r>
      <w:r w:rsidRPr="00103D21">
        <w:rPr>
          <w:rFonts w:ascii="Arial" w:hAnsi="Arial" w:cs="Arial"/>
          <w:b/>
          <w:sz w:val="24"/>
          <w:szCs w:val="24"/>
          <w:lang w:val="en-GB"/>
        </w:rPr>
        <w:t>Chapter 3</w:t>
      </w:r>
      <w:r w:rsidRPr="00E0470B">
        <w:rPr>
          <w:rFonts w:ascii="Arial" w:hAnsi="Arial" w:cs="Arial"/>
          <w:bCs/>
          <w:sz w:val="24"/>
          <w:szCs w:val="24"/>
          <w:lang w:val="en-GB"/>
        </w:rPr>
        <w:t xml:space="preserve"> presents the rationale and scientific justification to conduct this research. It also presents the aims of the </w:t>
      </w:r>
      <w:r>
        <w:rPr>
          <w:rFonts w:ascii="Arial" w:hAnsi="Arial" w:cs="Arial"/>
          <w:bCs/>
          <w:sz w:val="24"/>
          <w:szCs w:val="24"/>
          <w:lang w:val="en-GB"/>
        </w:rPr>
        <w:t>research</w:t>
      </w:r>
      <w:r w:rsidRPr="00E0470B">
        <w:rPr>
          <w:rFonts w:ascii="Arial" w:hAnsi="Arial" w:cs="Arial"/>
          <w:bCs/>
          <w:sz w:val="24"/>
          <w:szCs w:val="24"/>
          <w:lang w:val="en-GB"/>
        </w:rPr>
        <w:t xml:space="preserve">, the research questions, and </w:t>
      </w:r>
      <w:r>
        <w:rPr>
          <w:rFonts w:ascii="Arial" w:hAnsi="Arial" w:cs="Arial"/>
          <w:bCs/>
          <w:sz w:val="24"/>
          <w:szCs w:val="24"/>
        </w:rPr>
        <w:t>the</w:t>
      </w:r>
      <w:r w:rsidRPr="00200C77">
        <w:rPr>
          <w:rFonts w:ascii="Arial" w:hAnsi="Arial" w:cs="Arial"/>
          <w:bCs/>
          <w:sz w:val="24"/>
          <w:szCs w:val="24"/>
        </w:rPr>
        <w:t xml:space="preserve"> </w:t>
      </w:r>
      <w:r w:rsidRPr="00E0470B">
        <w:rPr>
          <w:rFonts w:ascii="Arial" w:hAnsi="Arial" w:cs="Arial"/>
          <w:bCs/>
          <w:sz w:val="24"/>
          <w:szCs w:val="24"/>
          <w:lang w:val="en-GB"/>
        </w:rPr>
        <w:t xml:space="preserve">objectives.  </w:t>
      </w:r>
    </w:p>
    <w:p w14:paraId="6FA67360" w14:textId="77777777" w:rsidR="00610EEE" w:rsidRPr="00E0470B" w:rsidRDefault="00610EEE" w:rsidP="00610EEE">
      <w:pPr>
        <w:spacing w:line="360" w:lineRule="auto"/>
        <w:jc w:val="both"/>
        <w:rPr>
          <w:rFonts w:ascii="Arial" w:hAnsi="Arial" w:cs="Arial"/>
          <w:bCs/>
          <w:sz w:val="24"/>
          <w:szCs w:val="24"/>
          <w:lang w:val="en-GB"/>
        </w:rPr>
      </w:pPr>
      <w:r w:rsidRPr="00103D21">
        <w:rPr>
          <w:rFonts w:ascii="Arial" w:hAnsi="Arial" w:cs="Arial"/>
          <w:b/>
          <w:sz w:val="24"/>
          <w:szCs w:val="24"/>
          <w:lang w:val="en-GB"/>
        </w:rPr>
        <w:t>Chapter 4</w:t>
      </w:r>
      <w:r w:rsidRPr="00E0470B">
        <w:rPr>
          <w:rFonts w:ascii="Arial" w:hAnsi="Arial" w:cs="Arial"/>
          <w:bCs/>
          <w:sz w:val="24"/>
          <w:szCs w:val="24"/>
          <w:lang w:val="en-GB"/>
        </w:rPr>
        <w:t xml:space="preserve"> presents the general methodology. A discussion about the research philosophy, approaches, strategies, designs, time horizon, and techniques and procedures of collecting and analysing data is provided in this chapter. </w:t>
      </w:r>
    </w:p>
    <w:p w14:paraId="5FA52821" w14:textId="033A05CB" w:rsidR="00610EEE" w:rsidRPr="00E0470B" w:rsidRDefault="00610EEE" w:rsidP="00610EEE">
      <w:pPr>
        <w:spacing w:line="360" w:lineRule="auto"/>
        <w:jc w:val="both"/>
        <w:rPr>
          <w:rFonts w:ascii="Arial" w:hAnsi="Arial" w:cs="Arial"/>
          <w:bCs/>
          <w:sz w:val="24"/>
          <w:szCs w:val="24"/>
          <w:lang w:val="en-GB"/>
        </w:rPr>
      </w:pPr>
      <w:r w:rsidRPr="00103D21">
        <w:rPr>
          <w:rFonts w:ascii="Arial" w:hAnsi="Arial" w:cs="Arial"/>
          <w:b/>
          <w:sz w:val="24"/>
          <w:szCs w:val="24"/>
          <w:lang w:val="en-GB"/>
        </w:rPr>
        <w:t>Chapter 5</w:t>
      </w:r>
      <w:r w:rsidRPr="00E0470B">
        <w:rPr>
          <w:rFonts w:ascii="Arial" w:hAnsi="Arial" w:cs="Arial"/>
          <w:bCs/>
          <w:sz w:val="24"/>
          <w:szCs w:val="24"/>
          <w:lang w:val="en-GB"/>
        </w:rPr>
        <w:t xml:space="preserve"> presents the </w:t>
      </w:r>
      <w:r w:rsidR="00E124CA">
        <w:rPr>
          <w:rFonts w:ascii="Arial" w:hAnsi="Arial" w:cs="Arial"/>
          <w:bCs/>
          <w:sz w:val="24"/>
          <w:szCs w:val="24"/>
          <w:lang w:val="en-GB"/>
        </w:rPr>
        <w:t xml:space="preserve">results of the </w:t>
      </w:r>
      <w:r w:rsidRPr="00E0470B">
        <w:rPr>
          <w:rFonts w:ascii="Arial" w:hAnsi="Arial" w:cs="Arial"/>
          <w:bCs/>
          <w:sz w:val="24"/>
          <w:szCs w:val="24"/>
          <w:lang w:val="en-GB"/>
        </w:rPr>
        <w:t>quantitative research phase, where the healthcare professionals’ (doctors, pharmacists, and nurses) surveys</w:t>
      </w:r>
      <w:r w:rsidR="00261C15">
        <w:rPr>
          <w:rFonts w:ascii="Arial" w:hAnsi="Arial" w:cs="Arial"/>
          <w:bCs/>
          <w:sz w:val="24"/>
          <w:szCs w:val="24"/>
          <w:lang w:val="en-GB"/>
        </w:rPr>
        <w:t>, providing</w:t>
      </w:r>
      <w:r w:rsidR="00B61567">
        <w:rPr>
          <w:rFonts w:ascii="Arial" w:hAnsi="Arial" w:cs="Arial"/>
          <w:bCs/>
          <w:sz w:val="24"/>
          <w:szCs w:val="24"/>
          <w:lang w:val="en-GB"/>
        </w:rPr>
        <w:t xml:space="preserve"> results</w:t>
      </w:r>
      <w:r w:rsidRPr="00E0470B">
        <w:rPr>
          <w:rFonts w:ascii="Arial" w:hAnsi="Arial" w:cs="Arial"/>
          <w:bCs/>
          <w:sz w:val="24"/>
          <w:szCs w:val="24"/>
          <w:lang w:val="en-GB"/>
        </w:rPr>
        <w:t xml:space="preserve"> are and conclusio</w:t>
      </w:r>
      <w:r w:rsidR="00261052">
        <w:rPr>
          <w:rFonts w:ascii="Arial" w:hAnsi="Arial" w:cs="Arial"/>
          <w:bCs/>
          <w:sz w:val="24"/>
          <w:szCs w:val="24"/>
          <w:lang w:val="en-GB"/>
        </w:rPr>
        <w:t>n.</w:t>
      </w:r>
    </w:p>
    <w:p w14:paraId="5E015660" w14:textId="0F367CC2" w:rsidR="00610EEE" w:rsidRPr="008A2409" w:rsidRDefault="00610EEE" w:rsidP="00610EEE">
      <w:pPr>
        <w:pStyle w:val="pf0"/>
        <w:spacing w:line="360" w:lineRule="auto"/>
        <w:jc w:val="both"/>
        <w:rPr>
          <w:rFonts w:ascii="Arial" w:hAnsi="Arial" w:cs="Arial"/>
          <w:sz w:val="20"/>
          <w:szCs w:val="20"/>
        </w:rPr>
      </w:pPr>
      <w:r w:rsidRPr="00103D21">
        <w:rPr>
          <w:rFonts w:ascii="Arial" w:hAnsi="Arial" w:cs="Arial"/>
          <w:b/>
          <w:lang w:val="en-GB"/>
        </w:rPr>
        <w:t>Chapter 6</w:t>
      </w:r>
      <w:r w:rsidRPr="00E0470B">
        <w:rPr>
          <w:rFonts w:ascii="Arial" w:hAnsi="Arial" w:cs="Arial"/>
          <w:bCs/>
          <w:lang w:val="en-GB"/>
        </w:rPr>
        <w:t xml:space="preserve"> presents the qualitative research phase</w:t>
      </w:r>
      <w:r w:rsidR="008F0DAD">
        <w:rPr>
          <w:rFonts w:ascii="Arial" w:hAnsi="Arial" w:cs="Arial"/>
          <w:bCs/>
          <w:lang w:val="en-GB"/>
        </w:rPr>
        <w:t xml:space="preserve"> findings</w:t>
      </w:r>
      <w:r w:rsidRPr="00E0470B">
        <w:rPr>
          <w:rFonts w:ascii="Arial" w:hAnsi="Arial" w:cs="Arial"/>
          <w:bCs/>
          <w:lang w:val="en-GB"/>
        </w:rPr>
        <w:t xml:space="preserve">, </w:t>
      </w:r>
      <w:r>
        <w:rPr>
          <w:rFonts w:ascii="Arial" w:hAnsi="Arial" w:cs="Arial"/>
          <w:bCs/>
          <w:lang w:val="en-GB"/>
        </w:rPr>
        <w:t xml:space="preserve">which </w:t>
      </w:r>
      <w:r w:rsidR="0003563C" w:rsidRPr="0003563C">
        <w:rPr>
          <w:rFonts w:ascii="Arial" w:hAnsi="Arial" w:cs="Arial"/>
          <w:bCs/>
          <w:lang w:val="en-GB"/>
        </w:rPr>
        <w:t>were</w:t>
      </w:r>
      <w:r w:rsidR="0003563C">
        <w:rPr>
          <w:rFonts w:ascii="Arial" w:hAnsi="Arial" w:cs="Arial"/>
          <w:bCs/>
          <w:lang w:val="en-GB"/>
        </w:rPr>
        <w:t xml:space="preserve"> </w:t>
      </w:r>
      <w:r>
        <w:rPr>
          <w:rFonts w:ascii="Arial" w:hAnsi="Arial" w:cs="Arial"/>
          <w:bCs/>
          <w:lang w:val="en-GB"/>
        </w:rPr>
        <w:t>interviews with healthcare professionals, providing</w:t>
      </w:r>
      <w:r w:rsidRPr="00E0470B">
        <w:rPr>
          <w:rFonts w:ascii="Arial" w:hAnsi="Arial" w:cs="Arial"/>
          <w:bCs/>
          <w:lang w:val="en-GB"/>
        </w:rPr>
        <w:t xml:space="preserve"> results</w:t>
      </w:r>
      <w:r>
        <w:rPr>
          <w:rFonts w:ascii="Arial" w:hAnsi="Arial" w:cs="Arial"/>
          <w:bCs/>
          <w:lang w:val="en-GB"/>
        </w:rPr>
        <w:t xml:space="preserve"> </w:t>
      </w:r>
      <w:r w:rsidRPr="00E0470B">
        <w:rPr>
          <w:rFonts w:ascii="Arial" w:hAnsi="Arial" w:cs="Arial"/>
          <w:bCs/>
          <w:lang w:val="en-GB"/>
        </w:rPr>
        <w:t xml:space="preserve">and conclusion. </w:t>
      </w:r>
    </w:p>
    <w:p w14:paraId="745B794A" w14:textId="77777777" w:rsidR="00610EEE" w:rsidRPr="00E0470B" w:rsidRDefault="00610EEE" w:rsidP="00610EEE">
      <w:pPr>
        <w:spacing w:line="360" w:lineRule="auto"/>
        <w:jc w:val="both"/>
        <w:rPr>
          <w:rFonts w:ascii="Arial" w:hAnsi="Arial" w:cs="Arial"/>
          <w:bCs/>
          <w:sz w:val="24"/>
          <w:szCs w:val="24"/>
          <w:lang w:val="en-GB"/>
        </w:rPr>
      </w:pPr>
      <w:r w:rsidRPr="00103D21">
        <w:rPr>
          <w:rFonts w:ascii="Arial" w:hAnsi="Arial" w:cs="Arial"/>
          <w:b/>
          <w:sz w:val="24"/>
          <w:szCs w:val="24"/>
          <w:lang w:val="en-GB"/>
        </w:rPr>
        <w:t>Chapter 7</w:t>
      </w:r>
      <w:r w:rsidRPr="00E0470B">
        <w:rPr>
          <w:rFonts w:ascii="Arial" w:hAnsi="Arial" w:cs="Arial"/>
          <w:bCs/>
          <w:sz w:val="24"/>
          <w:szCs w:val="24"/>
          <w:lang w:val="en-GB"/>
        </w:rPr>
        <w:t xml:space="preserve"> </w:t>
      </w:r>
      <w:r w:rsidRPr="002B01A7">
        <w:rPr>
          <w:rFonts w:ascii="Arial" w:hAnsi="Arial" w:cs="Arial"/>
          <w:bCs/>
          <w:sz w:val="24"/>
          <w:szCs w:val="24"/>
        </w:rPr>
        <w:t xml:space="preserve">presents a discussion </w:t>
      </w:r>
      <w:r>
        <w:rPr>
          <w:rFonts w:ascii="Arial" w:hAnsi="Arial" w:cs="Arial"/>
          <w:bCs/>
          <w:sz w:val="24"/>
          <w:szCs w:val="24"/>
        </w:rPr>
        <w:t xml:space="preserve">and </w:t>
      </w:r>
      <w:r w:rsidRPr="00E0470B">
        <w:rPr>
          <w:rFonts w:ascii="Arial" w:hAnsi="Arial" w:cs="Arial"/>
          <w:bCs/>
          <w:sz w:val="24"/>
          <w:szCs w:val="24"/>
          <w:lang w:val="en-GB"/>
        </w:rPr>
        <w:t xml:space="preserve">integration of the quantitative and qualitative findings. </w:t>
      </w:r>
      <w:r>
        <w:rPr>
          <w:rFonts w:ascii="Arial" w:hAnsi="Arial" w:cs="Arial"/>
          <w:bCs/>
          <w:sz w:val="24"/>
          <w:szCs w:val="24"/>
          <w:lang w:val="en-GB"/>
        </w:rPr>
        <w:t xml:space="preserve">It also includes </w:t>
      </w:r>
      <w:r w:rsidRPr="00E0470B">
        <w:rPr>
          <w:rFonts w:ascii="Arial" w:hAnsi="Arial" w:cs="Arial"/>
          <w:bCs/>
          <w:sz w:val="24"/>
          <w:szCs w:val="24"/>
          <w:lang w:val="en-GB"/>
        </w:rPr>
        <w:t xml:space="preserve">the strengths and limitations of the thesis as a whole, the implications of this research </w:t>
      </w:r>
      <w:r>
        <w:rPr>
          <w:rFonts w:ascii="Arial" w:hAnsi="Arial" w:cs="Arial"/>
          <w:bCs/>
          <w:sz w:val="24"/>
          <w:szCs w:val="24"/>
          <w:lang w:val="en-GB"/>
        </w:rPr>
        <w:t>for</w:t>
      </w:r>
      <w:r w:rsidRPr="00E0470B">
        <w:rPr>
          <w:rFonts w:ascii="Arial" w:hAnsi="Arial" w:cs="Arial"/>
          <w:bCs/>
          <w:sz w:val="24"/>
          <w:szCs w:val="24"/>
          <w:lang w:val="en-GB"/>
        </w:rPr>
        <w:t xml:space="preserve"> the future provision of diabetes care in Saudi Arabia, </w:t>
      </w:r>
      <w:r>
        <w:rPr>
          <w:rFonts w:ascii="Arial" w:hAnsi="Arial" w:cs="Arial"/>
          <w:bCs/>
          <w:sz w:val="24"/>
          <w:szCs w:val="24"/>
          <w:lang w:val="en-GB"/>
        </w:rPr>
        <w:t xml:space="preserve">and </w:t>
      </w:r>
      <w:r w:rsidRPr="00E0470B">
        <w:rPr>
          <w:rFonts w:ascii="Arial" w:hAnsi="Arial" w:cs="Arial"/>
          <w:bCs/>
          <w:sz w:val="24"/>
          <w:szCs w:val="24"/>
          <w:lang w:val="en-GB"/>
        </w:rPr>
        <w:t>suggestions and recommendations for future research. Finally, this chapter concludes with important final remarks summarising the findings of this research.</w:t>
      </w:r>
    </w:p>
    <w:p w14:paraId="7448F29B" w14:textId="77777777" w:rsidR="00610EEE" w:rsidRPr="00103D21" w:rsidRDefault="00610EEE" w:rsidP="00610EEE">
      <w:pPr>
        <w:rPr>
          <w:i/>
          <w:iCs/>
          <w:color w:val="44546A" w:themeColor="text2"/>
          <w:sz w:val="20"/>
          <w:szCs w:val="20"/>
        </w:rPr>
      </w:pPr>
      <w:r>
        <w:rPr>
          <w:rFonts w:ascii="Arial" w:hAnsi="Arial" w:cs="Arial"/>
          <w:sz w:val="28"/>
          <w:szCs w:val="28"/>
        </w:rPr>
        <w:br w:type="page"/>
      </w:r>
    </w:p>
    <w:p w14:paraId="694C8BCA" w14:textId="7E8120BE" w:rsidR="00610EEE" w:rsidRDefault="00610EEE" w:rsidP="00610EEE">
      <w:pPr>
        <w:pStyle w:val="Heading1"/>
        <w:numPr>
          <w:ilvl w:val="0"/>
          <w:numId w:val="1"/>
        </w:numPr>
        <w:ind w:left="0" w:firstLine="0"/>
        <w:jc w:val="center"/>
        <w:rPr>
          <w:lang w:val="en-GB"/>
        </w:rPr>
      </w:pPr>
      <w:bookmarkStart w:id="4" w:name="_Toc122626341"/>
      <w:bookmarkStart w:id="5" w:name="_Toc153894125"/>
      <w:r w:rsidRPr="001B1AC6">
        <w:rPr>
          <w:lang w:val="en-GB"/>
        </w:rPr>
        <w:t xml:space="preserve">Chapter </w:t>
      </w:r>
      <w:r>
        <w:rPr>
          <w:lang w:val="en-GB"/>
        </w:rPr>
        <w:t>O</w:t>
      </w:r>
      <w:r w:rsidRPr="001B1AC6">
        <w:rPr>
          <w:lang w:val="en-GB"/>
        </w:rPr>
        <w:t>ne: Introduction and Background</w:t>
      </w:r>
      <w:bookmarkStart w:id="6" w:name="_Toc122626342"/>
      <w:bookmarkEnd w:id="4"/>
      <w:bookmarkEnd w:id="5"/>
    </w:p>
    <w:p w14:paraId="2769AB7A" w14:textId="77777777" w:rsidR="00610EEE" w:rsidRPr="00610EEE" w:rsidRDefault="00610EEE" w:rsidP="00610EEE">
      <w:pPr>
        <w:rPr>
          <w:lang w:val="en-GB"/>
        </w:rPr>
      </w:pPr>
    </w:p>
    <w:p w14:paraId="389BB094" w14:textId="77777777" w:rsidR="00610EEE" w:rsidRPr="006B2FC7" w:rsidRDefault="00610EEE" w:rsidP="00610EEE">
      <w:pPr>
        <w:pStyle w:val="Heading2"/>
        <w:spacing w:line="360" w:lineRule="auto"/>
        <w:ind w:left="432"/>
        <w:rPr>
          <w:lang w:val="en-GB"/>
        </w:rPr>
      </w:pPr>
      <w:bookmarkStart w:id="7" w:name="_Toc153894126"/>
      <w:r w:rsidRPr="006B2FC7">
        <w:rPr>
          <w:lang w:val="en-GB"/>
        </w:rPr>
        <w:t>Introduction</w:t>
      </w:r>
      <w:bookmarkEnd w:id="6"/>
      <w:bookmarkEnd w:id="7"/>
    </w:p>
    <w:p w14:paraId="47D202B2" w14:textId="5AD367E2" w:rsidR="00610EEE" w:rsidRDefault="00610EEE" w:rsidP="00610EEE">
      <w:pPr>
        <w:spacing w:line="360" w:lineRule="auto"/>
        <w:jc w:val="both"/>
        <w:rPr>
          <w:rFonts w:ascii="Arial" w:hAnsi="Arial" w:cs="Arial"/>
          <w:bCs/>
          <w:sz w:val="24"/>
          <w:szCs w:val="24"/>
        </w:rPr>
      </w:pPr>
      <w:r w:rsidRPr="006B2FC7">
        <w:rPr>
          <w:rFonts w:ascii="Arial" w:hAnsi="Arial" w:cs="Arial"/>
          <w:bCs/>
          <w:sz w:val="24"/>
          <w:szCs w:val="24"/>
        </w:rPr>
        <w:t>The role of pharmacists is being reviewed in many countries, following changes to their traditional activities through the impact of technological advances and less emphasis on previous dispensing and compounding of medicines. This has led to an expansion of their roles and particularly into areas where other healthcare professionals</w:t>
      </w:r>
      <w:r>
        <w:rPr>
          <w:rFonts w:ascii="Arial" w:hAnsi="Arial" w:cs="Arial"/>
          <w:bCs/>
          <w:sz w:val="24"/>
          <w:szCs w:val="24"/>
        </w:rPr>
        <w:t xml:space="preserve"> (HCPs)</w:t>
      </w:r>
      <w:r w:rsidRPr="006B2FC7">
        <w:rPr>
          <w:rFonts w:ascii="Arial" w:hAnsi="Arial" w:cs="Arial"/>
          <w:bCs/>
          <w:sz w:val="24"/>
          <w:szCs w:val="24"/>
        </w:rPr>
        <w:t xml:space="preserve"> previously dominated </w:t>
      </w:r>
      <w:r>
        <w:rPr>
          <w:rFonts w:ascii="Arial" w:hAnsi="Arial" w:cs="Arial"/>
          <w:bCs/>
          <w:sz w:val="24"/>
          <w:szCs w:val="24"/>
        </w:rPr>
        <w:fldChar w:fldCharType="begin" w:fldLock="1"/>
      </w:r>
      <w:r>
        <w:rPr>
          <w:rFonts w:ascii="Arial" w:hAnsi="Arial" w:cs="Arial"/>
          <w:bCs/>
          <w:sz w:val="24"/>
          <w:szCs w:val="24"/>
        </w:rPr>
        <w:instrText>ADDIN CSL_CITATION {"citationItems":[{"id":"ITEM-1","itemData":{"DOI":"10.1111/j.1467-9566.2005.00463.x","abstract":"The healthcare professions have never been static in terms of their own disciplinary boundaries, nor in their role or status in society. Healthcare provision has been defined by changing societal expectations and beliefs, new ways of perceiving health and illness, the introduction of a range of technologies and, more recently, the formal recognition of particular groups through the introduction of education and regulation. It has also been shaped by both inter-professional and profession-state relationships forged over time. A number of factors have converged that place new pressures on workforce boundaries, including an unmet demand for some healthcare services; neo-liberal management philosophies and a greater emphasis on consumer preferences than professional-led services. To date, however, there has been little analysis of the evolution of the workforce as a whole. The discussion of workforce change that has taken place has largely been from the perspective of individual disciplines. Yet the dynamic boundaries of each discipline mean that there is an interrelationship between the components of the workforce that cannot be ignored. The purpose of this paper is to describe four directions in which the existing workforce can change: diversification; specialisation and vertical and horizontal substitution, and to discuss the implications of these changes for the workforce.","author":[{"dropping-particle":"","family":"Nancarrow","given":"Susan A","non-dropping-particle":"","parse-names":false,"suffix":""},{"dropping-particle":"","family":"Borthwick","given":"A M","non-dropping-particle":"","parse-names":false,"suffix":""},{"dropping-particle":"","family":"Borthwick","given":"Alan M","non-dropping-particle":"","parse-names":false,"suffix":""}],"container-title":"Sociology of Health &amp; Illness","id":"ITEM-1","issued":{"date-parts":[["2005"]]},"page":"897-919","title":"Dynamic professional boundaries in the healthcare workforce","type":"article-journal"},"uris":["http://www.mendeley.com/documents/?uuid=a89a07db-565d-3714-acee-88dfbecffde7"]}],"mendeley":{"formattedCitation":"(Nancarrow, Borthwick and Borthwick, 2005)","manualFormatting":"(Nancarrow and Borthwick, 2005)","plainTextFormattedCitation":"(Nancarrow, Borthwick and Borthwick, 2005)","previouslyFormattedCitation":"(Nancarrow, Borthwick and Borthwick, 2005)"},"properties":{"noteIndex":0},"schema":"https://github.com/citation-style-language/schema/raw/master/csl-citation.json"}</w:instrText>
      </w:r>
      <w:r>
        <w:rPr>
          <w:rFonts w:ascii="Arial" w:hAnsi="Arial" w:cs="Arial"/>
          <w:bCs/>
          <w:sz w:val="24"/>
          <w:szCs w:val="24"/>
        </w:rPr>
        <w:fldChar w:fldCharType="separate"/>
      </w:r>
      <w:r w:rsidRPr="00B55EDD">
        <w:rPr>
          <w:rFonts w:ascii="Arial" w:hAnsi="Arial" w:cs="Arial"/>
          <w:bCs/>
          <w:noProof/>
          <w:sz w:val="24"/>
          <w:szCs w:val="24"/>
        </w:rPr>
        <w:t>(Nancarrow and Borthwick, 2005)</w:t>
      </w:r>
      <w:r>
        <w:rPr>
          <w:rFonts w:ascii="Arial" w:hAnsi="Arial" w:cs="Arial"/>
          <w:bCs/>
          <w:sz w:val="24"/>
          <w:szCs w:val="24"/>
        </w:rPr>
        <w:fldChar w:fldCharType="end"/>
      </w:r>
      <w:r>
        <w:rPr>
          <w:rFonts w:ascii="Arial" w:hAnsi="Arial" w:cs="Arial"/>
          <w:bCs/>
          <w:sz w:val="24"/>
          <w:szCs w:val="24"/>
        </w:rPr>
        <w:t>.</w:t>
      </w:r>
      <w:r w:rsidRPr="006B2FC7">
        <w:rPr>
          <w:rFonts w:ascii="Arial" w:hAnsi="Arial" w:cs="Arial"/>
          <w:bCs/>
          <w:sz w:val="24"/>
          <w:szCs w:val="24"/>
        </w:rPr>
        <w:t xml:space="preserve"> </w:t>
      </w:r>
      <w:r w:rsidRPr="0091686C">
        <w:rPr>
          <w:rFonts w:ascii="Arial" w:hAnsi="Arial" w:cs="Arial"/>
          <w:bCs/>
          <w:sz w:val="24"/>
          <w:szCs w:val="24"/>
        </w:rPr>
        <w:t xml:space="preserve">This research considered the involvement of pharmacists in diabetes management as a result of the changing role of pharmacists in the context of Saudi Arabia (SA), </w:t>
      </w:r>
      <w:r w:rsidRPr="006B2FC7">
        <w:rPr>
          <w:rFonts w:ascii="Arial" w:hAnsi="Arial" w:cs="Arial"/>
          <w:bCs/>
          <w:sz w:val="24"/>
          <w:szCs w:val="24"/>
        </w:rPr>
        <w:t xml:space="preserve">where </w:t>
      </w:r>
      <w:r>
        <w:rPr>
          <w:rFonts w:ascii="Arial" w:hAnsi="Arial" w:cs="Arial"/>
          <w:bCs/>
          <w:sz w:val="24"/>
          <w:szCs w:val="24"/>
        </w:rPr>
        <w:t xml:space="preserve">a </w:t>
      </w:r>
      <w:r w:rsidRPr="006B2FC7">
        <w:rPr>
          <w:rFonts w:ascii="Arial" w:hAnsi="Arial" w:cs="Arial"/>
          <w:bCs/>
          <w:sz w:val="24"/>
          <w:szCs w:val="24"/>
        </w:rPr>
        <w:t>considerable change in its health system is currently being undertaken and particularly in primary care.</w:t>
      </w:r>
      <w:r>
        <w:rPr>
          <w:rFonts w:asciiTheme="minorBidi" w:hAnsiTheme="minorBidi"/>
          <w:sz w:val="24"/>
          <w:szCs w:val="24"/>
        </w:rPr>
        <w:t xml:space="preserve"> </w:t>
      </w:r>
      <w:r w:rsidRPr="006B2FC7">
        <w:rPr>
          <w:rFonts w:ascii="Arial" w:hAnsi="Arial" w:cs="Arial"/>
          <w:bCs/>
          <w:sz w:val="24"/>
          <w:szCs w:val="24"/>
        </w:rPr>
        <w:t xml:space="preserve">It will do so using the example of diabetes care – a disease with a significant burden in SA - and draw on the perspective of not only pharmacists but also other </w:t>
      </w:r>
      <w:r>
        <w:rPr>
          <w:rFonts w:ascii="Arial" w:hAnsi="Arial" w:cs="Arial"/>
          <w:bCs/>
          <w:sz w:val="24"/>
          <w:szCs w:val="24"/>
        </w:rPr>
        <w:t>HCPs</w:t>
      </w:r>
      <w:r w:rsidRPr="006B2FC7">
        <w:rPr>
          <w:rFonts w:ascii="Arial" w:hAnsi="Arial" w:cs="Arial"/>
          <w:bCs/>
          <w:sz w:val="24"/>
          <w:szCs w:val="24"/>
        </w:rPr>
        <w:t xml:space="preserve"> such as nurses and doctors.</w:t>
      </w:r>
      <w:r>
        <w:rPr>
          <w:rFonts w:ascii="Arial" w:hAnsi="Arial" w:cs="Arial"/>
          <w:bCs/>
          <w:sz w:val="24"/>
          <w:szCs w:val="24"/>
        </w:rPr>
        <w:t xml:space="preserve"> </w:t>
      </w:r>
      <w:r w:rsidRPr="006B2FC7">
        <w:rPr>
          <w:rFonts w:ascii="Arial" w:hAnsi="Arial" w:cs="Arial"/>
          <w:bCs/>
          <w:sz w:val="24"/>
          <w:szCs w:val="24"/>
        </w:rPr>
        <w:t xml:space="preserve">This first chapter will provide an overview of the research. It will first describe the background to </w:t>
      </w:r>
      <w:r w:rsidRPr="006B2FC7">
        <w:rPr>
          <w:rFonts w:ascii="Arial" w:hAnsi="Arial" w:cs="Arial"/>
          <w:bCs/>
          <w:sz w:val="24"/>
          <w:szCs w:val="24"/>
          <w:lang w:val="en-GB"/>
        </w:rPr>
        <w:t xml:space="preserve">the current national transformation programme </w:t>
      </w:r>
      <w:r w:rsidRPr="006B2FC7">
        <w:rPr>
          <w:rFonts w:ascii="Arial" w:hAnsi="Arial" w:cs="Arial"/>
          <w:bCs/>
          <w:sz w:val="24"/>
          <w:szCs w:val="24"/>
        </w:rPr>
        <w:t>of the Ministry of Health (M</w:t>
      </w:r>
      <w:r>
        <w:rPr>
          <w:rFonts w:ascii="Arial" w:hAnsi="Arial" w:cs="Arial"/>
          <w:bCs/>
          <w:sz w:val="24"/>
          <w:szCs w:val="24"/>
        </w:rPr>
        <w:t>o</w:t>
      </w:r>
      <w:r w:rsidRPr="006B2FC7">
        <w:rPr>
          <w:rFonts w:ascii="Arial" w:hAnsi="Arial" w:cs="Arial"/>
          <w:bCs/>
          <w:sz w:val="24"/>
          <w:szCs w:val="24"/>
        </w:rPr>
        <w:t>H) of SA</w:t>
      </w:r>
      <w:r w:rsidRPr="006B2FC7">
        <w:rPr>
          <w:rFonts w:ascii="Arial" w:hAnsi="Arial" w:cs="Arial"/>
          <w:bCs/>
          <w:sz w:val="24"/>
          <w:szCs w:val="24"/>
          <w:lang w:val="en-GB"/>
        </w:rPr>
        <w:t xml:space="preserve"> before </w:t>
      </w:r>
      <w:r>
        <w:rPr>
          <w:rFonts w:ascii="Arial" w:hAnsi="Arial" w:cs="Arial"/>
          <w:bCs/>
          <w:sz w:val="24"/>
          <w:szCs w:val="24"/>
          <w:lang w:val="en-GB"/>
        </w:rPr>
        <w:t>moving</w:t>
      </w:r>
      <w:r w:rsidRPr="006B2FC7">
        <w:rPr>
          <w:rFonts w:ascii="Arial" w:hAnsi="Arial" w:cs="Arial"/>
          <w:bCs/>
          <w:sz w:val="24"/>
          <w:szCs w:val="24"/>
          <w:lang w:val="en-GB"/>
        </w:rPr>
        <w:t xml:space="preserve"> </w:t>
      </w:r>
      <w:r>
        <w:rPr>
          <w:rFonts w:ascii="Arial" w:hAnsi="Arial" w:cs="Arial"/>
          <w:bCs/>
          <w:sz w:val="24"/>
          <w:szCs w:val="24"/>
          <w:lang w:val="en-GB"/>
        </w:rPr>
        <w:t>to</w:t>
      </w:r>
      <w:r w:rsidRPr="006B2FC7">
        <w:rPr>
          <w:rFonts w:ascii="Arial" w:hAnsi="Arial" w:cs="Arial"/>
          <w:bCs/>
          <w:sz w:val="24"/>
          <w:szCs w:val="24"/>
          <w:lang w:val="en-GB"/>
        </w:rPr>
        <w:t xml:space="preserve"> explore the provision of healthcare services in primary care in SA</w:t>
      </w:r>
      <w:r w:rsidRPr="006B2FC7">
        <w:rPr>
          <w:rFonts w:ascii="Arial" w:hAnsi="Arial" w:cs="Arial"/>
          <w:bCs/>
          <w:sz w:val="24"/>
          <w:szCs w:val="24"/>
        </w:rPr>
        <w:t xml:space="preserve">. The third main section will shift the </w:t>
      </w:r>
      <w:r w:rsidRPr="00FF48B2">
        <w:rPr>
          <w:rFonts w:ascii="Arial" w:hAnsi="Arial" w:cs="Arial"/>
          <w:bCs/>
          <w:sz w:val="24"/>
          <w:szCs w:val="24"/>
        </w:rPr>
        <w:t xml:space="preserve">emphasis and focus more specifically on the prevalence of diabetes in SA and its burden on the health and economy. </w:t>
      </w:r>
      <w:r w:rsidRPr="00245EFD">
        <w:rPr>
          <w:rFonts w:ascii="Arial" w:hAnsi="Arial" w:cs="Arial"/>
          <w:bCs/>
          <w:sz w:val="24"/>
          <w:szCs w:val="24"/>
        </w:rPr>
        <w:t>The role of healthcare providers (doctors and nurses) in managing diabetes in primary healthcare centres (PHCs) will be offered in this chapter</w:t>
      </w:r>
      <w:r>
        <w:rPr>
          <w:rFonts w:ascii="Arial" w:hAnsi="Arial" w:cs="Arial"/>
          <w:bCs/>
          <w:sz w:val="24"/>
          <w:szCs w:val="24"/>
        </w:rPr>
        <w:t xml:space="preserve">. </w:t>
      </w:r>
      <w:r w:rsidRPr="00FF48B2">
        <w:rPr>
          <w:rFonts w:ascii="Arial" w:hAnsi="Arial" w:cs="Arial"/>
          <w:bCs/>
          <w:sz w:val="24"/>
          <w:szCs w:val="24"/>
        </w:rPr>
        <w:t>The role of pharmacists in SA will then be considered and in particular how integrating pharmacists into diverse healthcare teams is being undertaken and for what purpose</w:t>
      </w:r>
      <w:r>
        <w:rPr>
          <w:rFonts w:ascii="Arial" w:hAnsi="Arial" w:cs="Arial"/>
          <w:bCs/>
          <w:sz w:val="24"/>
          <w:szCs w:val="24"/>
        </w:rPr>
        <w:t xml:space="preserve">. </w:t>
      </w:r>
      <w:r w:rsidRPr="00245EFD">
        <w:rPr>
          <w:rFonts w:ascii="Arial" w:hAnsi="Arial" w:cs="Arial"/>
          <w:bCs/>
          <w:sz w:val="24"/>
          <w:szCs w:val="24"/>
        </w:rPr>
        <w:t xml:space="preserve">This will be done to set the scene of this research and link to the next chapter, which will offer a more detailed review of the existing empirical literature and evidence about the impact of the involvement of pharmacists in diabetes care globally and in SA. </w:t>
      </w:r>
    </w:p>
    <w:p w14:paraId="5EBE33D7" w14:textId="77777777" w:rsidR="00610EEE" w:rsidRDefault="00610EEE" w:rsidP="00610EEE">
      <w:pPr>
        <w:rPr>
          <w:rFonts w:ascii="Arial" w:eastAsia="Times New Roman" w:hAnsi="Arial" w:cs="Arial"/>
          <w:bCs/>
          <w:sz w:val="24"/>
          <w:szCs w:val="24"/>
          <w:lang w:val="en-GB"/>
        </w:rPr>
      </w:pPr>
      <w:r>
        <w:rPr>
          <w:rFonts w:ascii="Arial" w:eastAsia="Times New Roman" w:hAnsi="Arial" w:cs="Arial"/>
          <w:bCs/>
          <w:sz w:val="24"/>
          <w:szCs w:val="24"/>
          <w:lang w:val="en-GB"/>
        </w:rPr>
        <w:br w:type="page"/>
      </w:r>
    </w:p>
    <w:p w14:paraId="41D79C64" w14:textId="77777777" w:rsidR="00610EEE" w:rsidRPr="006B2FC7" w:rsidRDefault="00610EEE" w:rsidP="00610EEE">
      <w:pPr>
        <w:pStyle w:val="CommentText"/>
        <w:spacing w:line="360" w:lineRule="auto"/>
        <w:rPr>
          <w:rFonts w:ascii="Arial" w:eastAsia="Times New Roman" w:hAnsi="Arial" w:cs="Arial"/>
          <w:bCs/>
          <w:sz w:val="24"/>
          <w:szCs w:val="24"/>
          <w:lang w:val="en-GB"/>
        </w:rPr>
      </w:pPr>
    </w:p>
    <w:p w14:paraId="079787A4" w14:textId="77777777" w:rsidR="00610EEE" w:rsidRPr="00C45AD6" w:rsidRDefault="00610EEE" w:rsidP="00610EEE">
      <w:pPr>
        <w:pStyle w:val="Heading2"/>
        <w:spacing w:line="360" w:lineRule="auto"/>
        <w:ind w:left="431" w:hanging="431"/>
        <w:rPr>
          <w:rFonts w:cs="Arial"/>
        </w:rPr>
      </w:pPr>
      <w:bookmarkStart w:id="8" w:name="_Toc122626343"/>
      <w:bookmarkStart w:id="9" w:name="_Toc153894127"/>
      <w:r w:rsidRPr="006B2FC7">
        <w:rPr>
          <w:rFonts w:cs="Arial"/>
          <w:lang w:val="en-GB"/>
        </w:rPr>
        <w:t xml:space="preserve">The national transformation programme </w:t>
      </w:r>
      <w:r w:rsidRPr="006B2FC7">
        <w:rPr>
          <w:rFonts w:cs="Arial"/>
        </w:rPr>
        <w:t>of the Saudi Ministry of Health</w:t>
      </w:r>
      <w:bookmarkEnd w:id="8"/>
      <w:bookmarkEnd w:id="9"/>
      <w:r w:rsidRPr="006B2FC7">
        <w:rPr>
          <w:rFonts w:cs="Arial"/>
        </w:rPr>
        <w:t xml:space="preserve"> </w:t>
      </w:r>
    </w:p>
    <w:p w14:paraId="5B3B53DA" w14:textId="05B9054B" w:rsidR="00610EEE" w:rsidRPr="006B2FC7" w:rsidRDefault="00610EEE" w:rsidP="00610EEE">
      <w:pPr>
        <w:spacing w:line="360" w:lineRule="auto"/>
        <w:jc w:val="both"/>
        <w:rPr>
          <w:rFonts w:ascii="Arial" w:hAnsi="Arial" w:cs="Arial"/>
          <w:sz w:val="24"/>
          <w:szCs w:val="24"/>
          <w:lang w:val="en-GB"/>
        </w:rPr>
      </w:pPr>
      <w:r w:rsidRPr="006B2FC7">
        <w:rPr>
          <w:rFonts w:ascii="Arial" w:hAnsi="Arial" w:cs="Arial"/>
          <w:sz w:val="24"/>
          <w:szCs w:val="24"/>
          <w:shd w:val="clear" w:color="auto" w:fill="FFFFFF"/>
          <w:lang w:val="en-GB"/>
        </w:rPr>
        <w:t>The K</w:t>
      </w:r>
      <w:r>
        <w:rPr>
          <w:rFonts w:ascii="Arial" w:hAnsi="Arial" w:cs="Arial"/>
          <w:sz w:val="24"/>
          <w:szCs w:val="24"/>
          <w:shd w:val="clear" w:color="auto" w:fill="FFFFFF"/>
          <w:lang w:val="en-GB"/>
        </w:rPr>
        <w:t xml:space="preserve">ingdom of </w:t>
      </w:r>
      <w:r w:rsidRPr="006B2FC7">
        <w:rPr>
          <w:rFonts w:ascii="Arial" w:hAnsi="Arial" w:cs="Arial"/>
          <w:sz w:val="24"/>
          <w:szCs w:val="24"/>
          <w:shd w:val="clear" w:color="auto" w:fill="FFFFFF"/>
          <w:lang w:val="en-GB"/>
        </w:rPr>
        <w:t>S</w:t>
      </w:r>
      <w:r>
        <w:rPr>
          <w:rFonts w:ascii="Arial" w:hAnsi="Arial" w:cs="Arial"/>
          <w:sz w:val="24"/>
          <w:szCs w:val="24"/>
          <w:shd w:val="clear" w:color="auto" w:fill="FFFFFF"/>
          <w:lang w:val="en-GB"/>
        </w:rPr>
        <w:t xml:space="preserve">audi </w:t>
      </w:r>
      <w:r w:rsidRPr="006B2FC7">
        <w:rPr>
          <w:rFonts w:ascii="Arial" w:hAnsi="Arial" w:cs="Arial"/>
          <w:sz w:val="24"/>
          <w:szCs w:val="24"/>
          <w:shd w:val="clear" w:color="auto" w:fill="FFFFFF"/>
          <w:lang w:val="en-GB"/>
        </w:rPr>
        <w:t>A</w:t>
      </w:r>
      <w:r>
        <w:rPr>
          <w:rFonts w:ascii="Arial" w:hAnsi="Arial" w:cs="Arial"/>
          <w:sz w:val="24"/>
          <w:szCs w:val="24"/>
          <w:shd w:val="clear" w:color="auto" w:fill="FFFFFF"/>
          <w:lang w:val="en-GB"/>
        </w:rPr>
        <w:t>rabia (KSA)</w:t>
      </w:r>
      <w:r w:rsidRPr="006B2FC7">
        <w:rPr>
          <w:rFonts w:ascii="Arial" w:hAnsi="Arial" w:cs="Arial"/>
          <w:sz w:val="24"/>
          <w:szCs w:val="24"/>
          <w:shd w:val="clear" w:color="auto" w:fill="FFFFFF"/>
          <w:lang w:val="en-GB"/>
        </w:rPr>
        <w:t>, like many high-income countries, is undergoing changes within its health system</w:t>
      </w:r>
      <w:r w:rsidRPr="006B2FC7">
        <w:rPr>
          <w:rFonts w:ascii="Arial" w:hAnsi="Arial" w:cs="Arial"/>
          <w:sz w:val="24"/>
          <w:szCs w:val="24"/>
          <w:lang w:val="en-GB"/>
        </w:rPr>
        <w:t xml:space="preserve">. </w:t>
      </w:r>
      <w:r>
        <w:rPr>
          <w:rFonts w:ascii="Arial" w:hAnsi="Arial" w:cs="Arial"/>
          <w:sz w:val="24"/>
          <w:szCs w:val="24"/>
          <w:lang w:val="en-GB"/>
        </w:rPr>
        <w:t xml:space="preserve">The </w:t>
      </w:r>
      <w:r w:rsidRPr="006B2FC7">
        <w:rPr>
          <w:rFonts w:ascii="Arial" w:hAnsi="Arial" w:cs="Arial"/>
          <w:sz w:val="24"/>
          <w:szCs w:val="24"/>
          <w:shd w:val="clear" w:color="auto" w:fill="FFFFFF"/>
          <w:lang w:val="en-GB"/>
        </w:rPr>
        <w:t xml:space="preserve">KSA launched the ‘Saudi Vision 2030’ in late 2016, a strategic plan </w:t>
      </w:r>
      <w:r w:rsidRPr="006B2FC7">
        <w:rPr>
          <w:rFonts w:ascii="Arial" w:hAnsi="Arial" w:cs="Arial"/>
          <w:sz w:val="24"/>
          <w:szCs w:val="24"/>
          <w:lang w:val="en-GB"/>
        </w:rPr>
        <w:t xml:space="preserve">aiming to enhance the strength of </w:t>
      </w:r>
      <w:r>
        <w:rPr>
          <w:rFonts w:ascii="Arial" w:hAnsi="Arial" w:cs="Arial"/>
          <w:sz w:val="24"/>
          <w:szCs w:val="24"/>
          <w:lang w:val="en-GB"/>
        </w:rPr>
        <w:t>SA</w:t>
      </w:r>
      <w:r w:rsidRPr="006B2FC7">
        <w:rPr>
          <w:rFonts w:ascii="Arial" w:hAnsi="Arial" w:cs="Arial"/>
          <w:sz w:val="24"/>
          <w:szCs w:val="24"/>
          <w:lang w:val="en-GB"/>
        </w:rPr>
        <w:t xml:space="preserve"> and grant it a leading position in fields such as health, education, and the economy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{"citationItems":[{"id":"ITEM-1","itemData":{"DOI":"10.1017/CBO9781107415324.004","ISBN":"9788578110796","ISSN":"1098-6596","PMID":"25246403","id":"ITEM-1","issued":{"date-parts":[["0"]]},"number-of-pages":"1-85","title":"Saudi Vision2030","type":"book"},"uris":["http://www.mendeley.com/documents/?uuid=37c38f61-d2a3-4e4f-8713-98a706e092e1"]}],"mendeley":{"formattedCitation":"(&lt;i&gt;Saudi Vision2030&lt;/i&gt;, no date)","manualFormatting":"(Saudi Vision2030, 2020)","plainTextFormattedCitation":"(Saudi Vision2030, no date)","previouslyFormattedCitation":"(&lt;i&gt;Saudi Vision2030&lt;/i&gt;, no date)"},"properties":{"noteIndex":0},"schema":"https://github.com/citation-style-language/schema/raw/master/csl-citation.json"}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w:t>
      </w:r>
      <w:r w:rsidRPr="006B2FC7">
        <w:rPr>
          <w:rFonts w:ascii="Arial" w:hAnsi="Arial" w:cs="Arial"/>
          <w:i/>
          <w:noProof/>
          <w:sz w:val="24"/>
          <w:szCs w:val="24"/>
          <w:lang w:val="en-GB"/>
        </w:rPr>
        <w:t>Saudi Vision2030</w:t>
      </w:r>
      <w:r w:rsidRPr="006B2FC7">
        <w:rPr>
          <w:rFonts w:ascii="Arial" w:hAnsi="Arial" w:cs="Arial"/>
          <w:noProof/>
          <w:sz w:val="24"/>
          <w:szCs w:val="24"/>
          <w:lang w:val="en-GB"/>
        </w:rPr>
        <w:t>, 2020)</w:t>
      </w:r>
      <w:r w:rsidRPr="006B2FC7">
        <w:rPr>
          <w:rFonts w:ascii="Arial" w:hAnsi="Arial" w:cs="Arial"/>
          <w:sz w:val="24"/>
          <w:szCs w:val="24"/>
          <w:lang w:val="en-GB"/>
        </w:rPr>
        <w:fldChar w:fldCharType="end"/>
      </w:r>
      <w:r w:rsidRPr="006B2FC7">
        <w:rPr>
          <w:rFonts w:ascii="Arial" w:hAnsi="Arial" w:cs="Arial"/>
          <w:sz w:val="24"/>
          <w:szCs w:val="24"/>
          <w:lang w:val="en-GB"/>
        </w:rPr>
        <w:t>. The strategic plan is made up of several programmes, of which the national transformation programme is one. This programme aims to use innovative methods to identify challenges and opportunities, use effective planning tools, implement projects and evaluate performance, in addition to activating the role of the private sector to achieve the vision’s strategic objectives. Accordingly, the M</w:t>
      </w:r>
      <w:r>
        <w:rPr>
          <w:rFonts w:ascii="Arial" w:hAnsi="Arial" w:cs="Arial"/>
          <w:sz w:val="24"/>
          <w:szCs w:val="24"/>
          <w:lang w:val="en-GB"/>
        </w:rPr>
        <w:t>o</w:t>
      </w:r>
      <w:r w:rsidRPr="006B2FC7">
        <w:rPr>
          <w:rFonts w:ascii="Arial" w:hAnsi="Arial" w:cs="Arial"/>
          <w:sz w:val="24"/>
          <w:szCs w:val="24"/>
          <w:lang w:val="en-GB"/>
        </w:rPr>
        <w:t xml:space="preserve">H and several other ministries and government entities are subject to a restructuring process in order to accomplish the Saudi vision and objectives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{"citationItems":[{"id":"ITEM-1","itemData":{"abstract":"NTP 2020 is one of programs created to acheive Saudi Arabia’s Vision 2030","author":[{"dropping-particle":"","family":"Kingdom of Saudi Arabia","given":"","non-dropping-particle":"","parse-names":false,"suffix":""}],"container-title":"Saudi Vision 2030","id":"ITEM-1","issued":{"date-parts":[["2016"]]},"page":"1-57","title":"National transformation program 2020","type":"article-journal"},"uris":["http://www.mendeley.com/documents/?uuid=64720a9e-bbb5-49bc-a9f9-f0bb24d29630"]}],"mendeley":{"formattedCitation":"(Kingdom of Saudi Arabia, 2016)","plainTextFormattedCitation":"(Kingdom of Saudi Arabia, 2016)","previouslyFormattedCitation":"(Kingdom of Saudi Arabia, 2016)"},"properties":{"noteIndex":0},"schema":"https://github.com/citation-style-language/schema/raw/master/csl-citation.json"}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(Kingdom of Saudi Arabia, 2016)</w:t>
      </w:r>
      <w:r w:rsidRPr="006B2FC7">
        <w:rPr>
          <w:rFonts w:ascii="Arial" w:hAnsi="Arial" w:cs="Arial"/>
          <w:sz w:val="24"/>
          <w:szCs w:val="24"/>
          <w:lang w:val="en-GB"/>
        </w:rPr>
        <w:fldChar w:fldCharType="end"/>
      </w:r>
      <w:r w:rsidRPr="006B2FC7">
        <w:rPr>
          <w:rFonts w:ascii="Arial" w:hAnsi="Arial" w:cs="Arial"/>
          <w:sz w:val="24"/>
          <w:szCs w:val="24"/>
          <w:lang w:val="en-GB"/>
        </w:rPr>
        <w:t xml:space="preserve">. </w:t>
      </w:r>
    </w:p>
    <w:p w14:paraId="0E0CB1A8" w14:textId="53BE18E0" w:rsidR="00610EEE" w:rsidRPr="007D15DD" w:rsidRDefault="00610EEE" w:rsidP="00610EEE">
      <w:pPr>
        <w:spacing w:line="360" w:lineRule="auto"/>
        <w:jc w:val="both"/>
        <w:rPr>
          <w:rFonts w:ascii="Arial" w:hAnsi="Arial" w:cs="Arial"/>
          <w:color w:val="4472C4" w:themeColor="accent1"/>
          <w:sz w:val="24"/>
          <w:szCs w:val="24"/>
          <w:lang w:val="en-GB"/>
        </w:rPr>
      </w:pPr>
      <w:r w:rsidRPr="006B2FC7">
        <w:rPr>
          <w:rFonts w:ascii="Arial" w:hAnsi="Arial" w:cs="Arial"/>
          <w:sz w:val="24"/>
          <w:szCs w:val="24"/>
          <w:lang w:val="en-GB"/>
        </w:rPr>
        <w:t>The Saudi government gives a high priority to the development of healthcare services and plans to spend over 23 billion SAR (around £</w:t>
      </w:r>
      <w:r>
        <w:rPr>
          <w:rFonts w:ascii="Arial" w:hAnsi="Arial" w:cs="Arial"/>
          <w:sz w:val="24"/>
          <w:szCs w:val="24"/>
          <w:lang w:val="en-GB"/>
        </w:rPr>
        <w:t>5</w:t>
      </w:r>
      <w:r w:rsidRPr="006B2FC7">
        <w:rPr>
          <w:rFonts w:ascii="Arial" w:hAnsi="Arial" w:cs="Arial"/>
          <w:sz w:val="24"/>
          <w:szCs w:val="24"/>
          <w:lang w:val="en-GB"/>
        </w:rPr>
        <w:t xml:space="preserve"> billion) on new initiatives and programmes during the period 2018-2023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{"citationItems":[{"id":"ITEM-1","itemData":{"DOI":"10.1080/20479700.2018.1433459","ISSN":"2047-9700","abstract":"With an anticipated population increase of 33% over the next three decades, the Saudi Arabian healthcare sector needs to cater to an every growing population and demand of healthcare services. The demand for healthcare is high as compared to the supply of healthcare services, a scenario recognized by the Saudi Arabian government, which has lately encouraged the private sector to match the shortfall and benefit from this potentially lucrative sector. This exploratory research thus assesses the development of healthcare services in the Kingdom of Saudi Arabia over the past nine decades and key elements impacting the Saudi Arabian healthcare sector and its future. The research indicates that automation would be a reality, training, and development of healthcare professional would gain a centre stage, and primary healthcare centres would be further developed. The research concludes that both public and private sector should address the issue of shortage of beds at the earliest, by utilizing the funding to develop new hospitals and also, by improving and growing the existing facilities. Furthermore, the government should restructure the funding of the healthcare sector so that it becomes self-reliant and less dependent on the government budget.","author":[{"dropping-particle":"","family":"Sajjad","given":"Rumaiya","non-dropping-particle":"","parse-names":false,"suffix":""},{"dropping-particle":"","family":"Qureshi","given":"Mohammed Owais","non-dropping-particle":"","parse-names":false,"suffix":""}],"container-title":"International Journal of Healthcare Management","id":"ITEM-1","issue":"0","issued":{"date-parts":[["2018"]]},"page":"1-9","publisher":"Taylor &amp; Francis","title":"An assessment of the healthcare services in the Kingdom of Saudi Arabia: An analysis of the old, current, and future systems","type":"article-journal","volume":"0"},"uris":["http://www.mendeley.com/documents/?uuid=ae0fa0c1-626d-44f6-9ba0-04544fca426b"]}],"mendeley":{"formattedCitation":"(Sajjad and Qureshi, 2018)","plainTextFormattedCitation":"(Sajjad and Qureshi, 2018)","previouslyFormattedCitation":"(Sajjad and Qureshi, 2018)"},"properties":{"noteIndex":0},"schema":"https://github.com/citation-style-language/schema/raw/master/csl-citation.json"}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(Sajjad and Qureshi, 2018)</w:t>
      </w:r>
      <w:r w:rsidRPr="006B2FC7">
        <w:rPr>
          <w:rFonts w:ascii="Arial" w:hAnsi="Arial" w:cs="Arial"/>
          <w:sz w:val="24"/>
          <w:szCs w:val="24"/>
          <w:lang w:val="en-GB"/>
        </w:rPr>
        <w:fldChar w:fldCharType="end"/>
      </w:r>
      <w:r w:rsidRPr="006B2FC7">
        <w:rPr>
          <w:rFonts w:ascii="Arial" w:hAnsi="Arial" w:cs="Arial"/>
          <w:sz w:val="24"/>
          <w:szCs w:val="24"/>
          <w:lang w:val="en-GB"/>
        </w:rPr>
        <w:t xml:space="preserve"> to achieve the main objectives of Saudi’s healthcare reforms. These reforms aim to improve the quality of healthcare, reduce unnecessary costs, enhance equity and increase consumers’ satisfaction by improving access to the healthcare services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{"citationItems":[{"id":"ITEM-1","itemData":{"DOI":"10.1002/hpm.2584","author":[{"dropping-particle":"","family":"Rahman","given":"Redwanur","non-dropping-particle":"","parse-names":false,"suffix":""},{"dropping-particle":"","family":"Alsharqi","given":"Omar Z","non-dropping-particle":"","parse-names":false,"suffix":""}],"id":"ITEM-1","issue":"April 2018","issued":{"date-parts":[["2019"]]},"page":"100-110","title":"What drove the health system reforms in the Kingdom of Saudi Arabia ? An analysis","type":"article-journal"},"uris":["http://www.mendeley.com/documents/?uuid=765797ce-1c35-46ba-b22f-225c03337ebd"]}],"mendeley":{"formattedCitation":"(Rahman and Alsharqi, 2019)","plainTextFormattedCitation":"(Rahman and Alsharqi, 2019)","previouslyFormattedCitation":"(Rahman and Alsharqi, 2019)"},"properties":{"noteIndex":0},"schema":"https://github.com/citation-style-language/schema/raw/master/csl-citation.json"}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(Rahman and Alsharqi, 2019)</w:t>
      </w:r>
      <w:r w:rsidRPr="006B2FC7">
        <w:rPr>
          <w:rFonts w:ascii="Arial" w:hAnsi="Arial" w:cs="Arial"/>
          <w:sz w:val="24"/>
          <w:szCs w:val="24"/>
          <w:lang w:val="en-GB"/>
        </w:rPr>
        <w:fldChar w:fldCharType="end"/>
      </w:r>
      <w:r w:rsidRPr="006B2FC7">
        <w:rPr>
          <w:rFonts w:ascii="Arial" w:hAnsi="Arial" w:cs="Arial"/>
          <w:sz w:val="24"/>
          <w:szCs w:val="24"/>
          <w:lang w:val="en-GB"/>
        </w:rPr>
        <w:t xml:space="preserve">. These objectives have been adopted in the context of the Saudi Vision 2030 plan. Examples of new initiatives include promoting the following: growth in technology and informatic systems, and a shift from paper-based to electronic-based recording systems; remodelling the team composition at primary care level and </w:t>
      </w:r>
      <w:r>
        <w:rPr>
          <w:rFonts w:ascii="Arial" w:hAnsi="Arial" w:cs="Arial"/>
          <w:sz w:val="24"/>
          <w:szCs w:val="24"/>
          <w:lang w:val="en-GB"/>
        </w:rPr>
        <w:t xml:space="preserve">adopting </w:t>
      </w:r>
      <w:r w:rsidRPr="006B2FC7">
        <w:rPr>
          <w:rFonts w:ascii="Arial" w:hAnsi="Arial" w:cs="Arial"/>
          <w:sz w:val="24"/>
          <w:szCs w:val="24"/>
          <w:lang w:val="en-GB"/>
        </w:rPr>
        <w:t xml:space="preserve">the team-based care model; enhancing the training of </w:t>
      </w:r>
      <w:r>
        <w:rPr>
          <w:rFonts w:ascii="Arial" w:hAnsi="Arial" w:cs="Arial"/>
          <w:sz w:val="24"/>
          <w:szCs w:val="24"/>
          <w:lang w:val="en-GB"/>
        </w:rPr>
        <w:t>HCPs</w:t>
      </w:r>
      <w:r w:rsidRPr="006B2FC7">
        <w:rPr>
          <w:rFonts w:ascii="Arial" w:hAnsi="Arial" w:cs="Arial"/>
          <w:sz w:val="24"/>
          <w:szCs w:val="24"/>
          <w:lang w:val="en-GB"/>
        </w:rPr>
        <w:t xml:space="preserve"> and increasing the number of family physicians in the PHCs</w:t>
      </w:r>
      <w:r>
        <w:rPr>
          <w:rFonts w:ascii="Arial" w:hAnsi="Arial" w:cs="Arial"/>
          <w:sz w:val="24"/>
          <w:szCs w:val="24"/>
          <w:lang w:val="en-GB"/>
        </w:rPr>
        <w:t xml:space="preserve"> </w:t>
      </w:r>
      <w:r w:rsidRPr="006B2FC7">
        <w:rPr>
          <w:rFonts w:ascii="Arial" w:hAnsi="Arial" w:cs="Arial"/>
          <w:sz w:val="24"/>
          <w:szCs w:val="24"/>
          <w:lang w:val="en-GB"/>
        </w:rPr>
        <w:t xml:space="preserve">to meet the population needs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{"citationItems":[{"id":"ITEM-1","itemData":{"DOI":"10.1080/20479700.2018.1433459","ISSN":"2047-9700","abstract":"With an anticipated population increase of 33% over the next three decades, the Saudi Arabian healthcare sector needs to cater to an every growing population and demand of healthcare services. The demand for healthcare is high as compared to the supply of healthcare services, a scenario recognized by the Saudi Arabian government, which has lately encouraged the private sector to match the shortfall and benefit from this potentially lucrative sector. This exploratory research thus assesses the development of healthcare services in the Kingdom of Saudi Arabia over the past nine decades and key elements impacting the Saudi Arabian healthcare sector and its future. The research indicates that automation would be a reality, training, and development of healthcare professional would gain a centre stage, and primary healthcare centres would be further developed. The research concludes that both public and private sector should address the issue of shortage of beds at the earliest, by utilizing the funding to develop new hospitals and also, by improving and growing the existing facilities. Furthermore, the government should restructure the funding of the healthcare sector so that it becomes self-reliant and less dependent on the government budget.","author":[{"dropping-particle":"","family":"Sajjad","given":"Rumaiya","non-dropping-particle":"","parse-names":false,"suffix":""},{"dropping-particle":"","family":"Qureshi","given":"Mohammed Owais","non-dropping-particle":"","parse-names":false,"suffix":""}],"container-title":"International Journal of Healthcare Management","id":"ITEM-1","issue":"0","issued":{"date-parts":[["2018"]]},"page":"1-9","publisher":"Taylor &amp; Francis","title":"An assessment of the healthcare services in the Kingdom of Saudi Arabia: An analysis of the old, current, and future systems","type":"article-journal","volume":"0"},"uris":["http://www.mendeley.com/documents/?uuid=ae0fa0c1-626d-44f6-9ba0-04544fca426b"]}],"mendeley":{"formattedCitation":"(Sajjad and Qureshi, 2018)","plainTextFormattedCitation":"(Sajjad and Qureshi, 2018)","previouslyFormattedCitation":"(Sajjad and Qureshi, 2018)"},"properties":{"noteIndex":0},"schema":"https://github.com/citation-style-language/schema/raw/master/csl-citation.json"}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(Sajjad and Qureshi, 2018)</w:t>
      </w:r>
      <w:r w:rsidRPr="006B2FC7">
        <w:rPr>
          <w:rFonts w:ascii="Arial" w:hAnsi="Arial" w:cs="Arial"/>
          <w:sz w:val="24"/>
          <w:szCs w:val="24"/>
          <w:lang w:val="en-GB"/>
        </w:rPr>
        <w:fldChar w:fldCharType="end"/>
      </w:r>
      <w:r w:rsidRPr="006B2FC7">
        <w:rPr>
          <w:rFonts w:ascii="Arial" w:hAnsi="Arial" w:cs="Arial"/>
          <w:sz w:val="24"/>
          <w:szCs w:val="24"/>
          <w:lang w:val="en-GB"/>
        </w:rPr>
        <w:t>. Figures released by M</w:t>
      </w:r>
      <w:r>
        <w:rPr>
          <w:rFonts w:ascii="Arial" w:hAnsi="Arial" w:cs="Arial"/>
          <w:sz w:val="24"/>
          <w:szCs w:val="24"/>
          <w:lang w:val="en-GB"/>
        </w:rPr>
        <w:t>o</w:t>
      </w:r>
      <w:r w:rsidRPr="006B2FC7">
        <w:rPr>
          <w:rFonts w:ascii="Arial" w:hAnsi="Arial" w:cs="Arial"/>
          <w:sz w:val="24"/>
          <w:szCs w:val="24"/>
          <w:lang w:val="en-GB"/>
        </w:rPr>
        <w:t xml:space="preserve">H show </w:t>
      </w:r>
      <w:r>
        <w:rPr>
          <w:rFonts w:ascii="Arial" w:hAnsi="Arial" w:cs="Arial"/>
          <w:sz w:val="24"/>
          <w:szCs w:val="24"/>
          <w:lang w:val="en-GB"/>
        </w:rPr>
        <w:t xml:space="preserve">that </w:t>
      </w:r>
      <w:r w:rsidRPr="006B2FC7">
        <w:rPr>
          <w:rFonts w:ascii="Arial" w:hAnsi="Arial" w:cs="Arial"/>
          <w:sz w:val="24"/>
          <w:szCs w:val="24"/>
          <w:lang w:val="en-GB"/>
        </w:rPr>
        <w:t xml:space="preserve">there </w:t>
      </w:r>
      <w:r>
        <w:rPr>
          <w:rFonts w:ascii="Arial" w:hAnsi="Arial" w:cs="Arial"/>
          <w:sz w:val="24"/>
          <w:szCs w:val="24"/>
          <w:lang w:val="en-GB"/>
        </w:rPr>
        <w:t xml:space="preserve">is a single </w:t>
      </w:r>
      <w:r w:rsidRPr="006B2FC7">
        <w:rPr>
          <w:rFonts w:ascii="Arial" w:hAnsi="Arial" w:cs="Arial"/>
          <w:sz w:val="24"/>
          <w:szCs w:val="24"/>
          <w:lang w:val="en-GB"/>
        </w:rPr>
        <w:t xml:space="preserve">physician for every 800 people in the KSA, compared to the global average of two and a half (2.5) physicians per 1000 people according to the world health organisation (WHO)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{"citationItems":[{"id":"ITEM-1","itemData":{"DOI":"10.1080/20479700.2018.1433459","ISSN":"2047-9700","abstract":"With an anticipated population increase of 33% over the next three decades, the Saudi Arabian healthcare sector needs to cater to an every growing population and demand of healthcare services. The demand for healthcare is high as compared to the supply of healthcare services, a scenario recognized by the Saudi Arabian government, which has lately encouraged the private sector to match the shortfall and benefit from this potentially lucrative sector. This exploratory research thus assesses the development of healthcare services in the Kingdom of Saudi Arabia over the past nine decades and key elements impacting the Saudi Arabian healthcare sector and its future. The research indicates that automation would be a reality, training, and development of healthcare professional would gain a centre stage, and primary healthcare centres would be further developed. The research concludes that both public and private sector should address the issue of shortage of beds at the earliest, by utilizing the funding to develop new hospitals and also, by improving and growing the existing facilities. Furthermore, the government should restructure the funding of the healthcare sector so that it becomes self-reliant and less dependent on the government budget.","author":[{"dropping-particle":"","family":"Sajjad","given":"Rumaiya","non-dropping-particle":"","parse-names":false,"suffix":""},{"dropping-particle":"","family":"Qureshi","given":"Mohammed Owais","non-dropping-particle":"","parse-names":false,"suffix":""}],"container-title":"International Journal of Healthcare Management","id":"ITEM-1","issue":"0","issued":{"date-parts":[["2018"]]},"page":"1-9","publisher":"Taylor &amp; Francis","title":"An assessment of the healthcare services in the Kingdom of Saudi Arabia: An analysis of the old, current, and future systems","type":"article-journal","volume":"0"},"uris":["http://www.mendeley.com/documents/?uuid=ae0fa0c1-626d-44f6-9ba0-04544fca426b"]}],"mendeley":{"formattedCitation":"(Sajjad and Qureshi, 2018)","plainTextFormattedCitation":"(Sajjad and Qureshi, 2018)","previouslyFormattedCitation":"(Sajjad and Qureshi, 2018)"},"properties":{"noteIndex":0},"schema":"https://github.com/citation-style-language/schema/raw/master/csl-citation.json"}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(Sajjad and Qureshi, 2018)</w:t>
      </w:r>
      <w:r w:rsidRPr="006B2FC7">
        <w:rPr>
          <w:rFonts w:ascii="Arial" w:hAnsi="Arial" w:cs="Arial"/>
          <w:sz w:val="24"/>
          <w:szCs w:val="24"/>
          <w:lang w:val="en-GB"/>
        </w:rPr>
        <w:fldChar w:fldCharType="end"/>
      </w:r>
      <w:r w:rsidRPr="006B2FC7">
        <w:rPr>
          <w:rFonts w:ascii="Arial" w:hAnsi="Arial" w:cs="Arial"/>
          <w:sz w:val="24"/>
          <w:szCs w:val="24"/>
          <w:lang w:val="en-GB"/>
        </w:rPr>
        <w:t xml:space="preserve">.  Further initiatives are being introduced to ensure there is </w:t>
      </w:r>
      <w:r>
        <w:rPr>
          <w:rFonts w:ascii="Arial" w:hAnsi="Arial" w:cs="Arial"/>
          <w:sz w:val="24"/>
          <w:szCs w:val="24"/>
          <w:lang w:val="en-GB"/>
        </w:rPr>
        <w:t xml:space="preserve">a </w:t>
      </w:r>
      <w:r w:rsidRPr="006B2FC7">
        <w:rPr>
          <w:rFonts w:ascii="Arial" w:hAnsi="Arial" w:cs="Arial"/>
          <w:sz w:val="24"/>
          <w:szCs w:val="24"/>
          <w:lang w:val="en-GB"/>
        </w:rPr>
        <w:t>full integration of</w:t>
      </w:r>
      <w:r w:rsidRPr="006B2FC7">
        <w:rPr>
          <w:rFonts w:ascii="Arial" w:hAnsi="Arial" w:cs="Arial"/>
          <w:color w:val="FF0000"/>
          <w:sz w:val="24"/>
          <w:szCs w:val="24"/>
          <w:lang w:val="en-GB"/>
        </w:rPr>
        <w:t xml:space="preserve"> </w:t>
      </w:r>
      <w:r w:rsidRPr="006B2FC7">
        <w:rPr>
          <w:rFonts w:ascii="Arial" w:hAnsi="Arial" w:cs="Arial"/>
          <w:sz w:val="24"/>
          <w:szCs w:val="24"/>
          <w:lang w:val="en-GB"/>
        </w:rPr>
        <w:t xml:space="preserve">non-communicable diseases such as chronic conditions into primary care, and implementing quality management department to monitor and evaluate the health institutions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{"citationItems":[{"id":"ITEM-1","itemData":{"DOI":"10.1080/20479700.2018.1433459","ISSN":"2047-9700","abstract":"With an anticipated population increase of 33% over the next three decades, the Saudi Arabian healthcare sector needs to cater to an every growing population and demand of healthcare services. The demand for healthcare is high as compared to the supply of healthcare services, a scenario recognized by the Saudi Arabian government, which has lately encouraged the private sector to match the shortfall and benefit from this potentially lucrative sector. This exploratory research thus assesses the development of healthcare services in the Kingdom of Saudi Arabia over the past nine decades and key elements impacting the Saudi Arabian healthcare sector and its future. The research indicates that automation would be a reality, training, and development of healthcare professional would gain a centre stage, and primary healthcare centres would be further developed. The research concludes that both public and private sector should address the issue of shortage of beds at the earliest, by utilizing the funding to develop new hospitals and also, by improving and growing the existing facilities. Furthermore, the government should restructure the funding of the healthcare sector so that it becomes self-reliant and less dependent on the government budget.","author":[{"dropping-particle":"","family":"Sajjad","given":"Rumaiya","non-dropping-particle":"","parse-names":false,"suffix":""},{"dropping-particle":"","family":"Qureshi","given":"Mohammed Owais","non-dropping-particle":"","parse-names":false,"suffix":""}],"container-title":"International Journal of Healthcare Management","id":"ITEM-1","issue":"0","issued":{"date-parts":[["2018"]]},"page":"1-9","publisher":"Taylor &amp; Francis","title":"An assessment of the healthcare services in the Kingdom of Saudi Arabia: An analysis of the old, current, and future systems","type":"article-journal","volume":"0"},"uris":["http://www.mendeley.com/documents/?uuid=ae0fa0c1-626d-44f6-9ba0-04544fca426b"]}],"mendeley":{"formattedCitation":"(Sajjad and Qureshi, 2018)","plainTextFormattedCitation":"(Sajjad and Qureshi, 2018)","previouslyFormattedCitation":"(Sajjad and Qureshi, 2018)"},"properties":{"noteIndex":0},"schema":"https://github.com/citation-style-language/schema/raw/master/csl-citation.json"}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(Sajjad and Qureshi, 2018)</w:t>
      </w:r>
      <w:r w:rsidRPr="006B2FC7">
        <w:rPr>
          <w:rFonts w:ascii="Arial" w:hAnsi="Arial" w:cs="Arial"/>
          <w:sz w:val="24"/>
          <w:szCs w:val="24"/>
          <w:lang w:val="en-GB"/>
        </w:rPr>
        <w:fldChar w:fldCharType="end"/>
      </w:r>
      <w:r w:rsidRPr="006B2FC7">
        <w:rPr>
          <w:rFonts w:ascii="Arial" w:hAnsi="Arial" w:cs="Arial"/>
          <w:sz w:val="24"/>
          <w:szCs w:val="24"/>
          <w:lang w:val="en-GB"/>
        </w:rPr>
        <w:t>.</w:t>
      </w:r>
      <w:r>
        <w:rPr>
          <w:rFonts w:ascii="Arial" w:hAnsi="Arial" w:cs="Arial"/>
          <w:sz w:val="24"/>
          <w:szCs w:val="24"/>
          <w:lang w:val="en-GB"/>
        </w:rPr>
        <w:t xml:space="preserve"> </w:t>
      </w:r>
      <w:r w:rsidRPr="003422FE">
        <w:rPr>
          <w:rFonts w:ascii="Arial" w:hAnsi="Arial" w:cs="Arial"/>
          <w:sz w:val="24"/>
          <w:szCs w:val="24"/>
          <w:lang w:val="en-GB"/>
        </w:rPr>
        <w:fldChar w:fldCharType="begin" w:fldLock="1"/>
      </w:r>
      <w:r w:rsidRPr="003422FE">
        <w:rPr>
          <w:rFonts w:ascii="Arial" w:hAnsi="Arial" w:cs="Arial"/>
          <w:sz w:val="24"/>
          <w:szCs w:val="24"/>
          <w:lang w:val="en-GB"/>
        </w:rPr>
        <w:instrText>ADDIN CSL_CITATION {"citationItems":[{"id":"ITEM-1","itemData":{"DOI":"10.1002/jac5.1577","author":[{"dropping-particle":"","family":"Alshaya","given":"Omar A","non-dropping-particle":"","parse-names":false,"suffix":""},{"dropping-particle":"","family":"Osama","given":"Omaima","non-dropping-particle":"","parse-names":false,"suffix":""},{"dropping-particle":"","family":"Pharm","given":"Arab","non-dropping-particle":"","parse-names":false,"suffix":""},{"dropping-particle":"","family":"Alhifany","given":"Abdullah A","non-dropping-particle":"","parse-names":false,"suffix":""},{"dropping-particle":"","family":"Abdulaziz","given":"Pharm D","non-dropping-particle":"","parse-names":false,"suffix":""},{"dropping-particle":"","family":"Pharm","given":"Alhossan","non-dropping-particle":"","parse-names":false,"suffix":""},{"dropping-particle":"","family":"Alomar","given":"Mukhtar","non-dropping-particle":"","parse-names":false,"suffix":""},{"dropping-particle":"","family":"Abdulaziz","given":"Pharm D","non-dropping-particle":"","parse-names":false,"suffix":""},{"dropping-particle":"","family":"Pharm","given":"G Alqahtani","non-dropping-particle":"","parse-names":false,"suffix":""},{"dropping-particle":"","family":"Almolaiki","given":"Maha A","non-dropping-particle":"","parse-names":false,"suffix":""},{"dropping-particle":"","family":"Sultan","given":"Pharm D","non-dropping-particle":"","parse-names":false,"suffix":""},{"dropping-particle":"","family":"Bscpharm","given":"Mubarki","non-dropping-particle":"","parse-names":false,"suffix":""},{"dropping-particle":"","family":"Alruwaisan","given":"Rana","non-dropping-particle":"","parse-names":false,"suffix":""},{"dropping-particle":"","family":"Abdulrahman","given":"Pharm D","non-dropping-particle":"","parse-names":false,"suffix":""},{"dropping-particle":"","family":"Bscpharm","given":"Alturaiki","non-dropping-particle":"","parse-names":false,"suffix":""},{"dropping-particle":"","family":"Alzuman","given":"Sitah","non-dropping-particle":"","parse-names":false,"suffix":""},{"dropping-particle":"","family":"Ahmed","given":"Bscpharm","non-dropping-particle":"","parse-names":false,"suffix":""},{"dropping-particle":"","family":"Alsaqer","given":"Ibrahim","non-dropping-particle":"","parse-names":false,"suffix":""},{"dropping-particle":"","family":"D","given":"Ghazwa B Korayem Pharm","non-dropping-particle":"","parse-names":false,"suffix":""}],"container-title":"Journal of the American College of Clinical Pharmacy","id":"ITEM-1","issue":"October 2021","issued":{"date-parts":[["2021"]]},"page":"332-341","title":"Ambulatory care pharmacy in Saudi Arabia ; definition , history , present , future potentials , and expected challenges","type":"article-journal"},"uris":["http://www.mendeley.com/documents/?uuid=b56e313e-724e-49a9-96fd-ca50aa6b852e"]}],"mendeley":{"formattedCitation":"(Alshaya &lt;i&gt;et al.&lt;/i&gt;, 2021)","manualFormatting":"Alshaya et al., (2021)","plainTextFormattedCitation":"(Alshaya et al., 2021)","previouslyFormattedCitation":"(Alshaya &lt;i&gt;et al.&lt;/i&gt;, 2021)"},"properties":{"noteIndex":0},"schema":"https://github.com/citation-style-language/schema/raw/master/csl-citation.json"}</w:instrText>
      </w:r>
      <w:r w:rsidRPr="003422FE">
        <w:rPr>
          <w:rFonts w:ascii="Arial" w:hAnsi="Arial" w:cs="Arial"/>
          <w:sz w:val="24"/>
          <w:szCs w:val="24"/>
          <w:lang w:val="en-GB"/>
        </w:rPr>
        <w:fldChar w:fldCharType="separate"/>
      </w:r>
      <w:r w:rsidRPr="003422FE">
        <w:rPr>
          <w:rFonts w:ascii="Arial" w:hAnsi="Arial" w:cs="Arial"/>
          <w:noProof/>
          <w:sz w:val="24"/>
          <w:szCs w:val="24"/>
          <w:lang w:val="en-GB"/>
        </w:rPr>
        <w:t xml:space="preserve">Alshaya </w:t>
      </w:r>
      <w:r w:rsidRPr="003422FE">
        <w:rPr>
          <w:rFonts w:ascii="Arial" w:hAnsi="Arial" w:cs="Arial"/>
          <w:i/>
          <w:noProof/>
          <w:sz w:val="24"/>
          <w:szCs w:val="24"/>
          <w:lang w:val="en-GB"/>
        </w:rPr>
        <w:t>et al.</w:t>
      </w:r>
      <w:r w:rsidRPr="003422FE">
        <w:rPr>
          <w:rFonts w:ascii="Arial" w:hAnsi="Arial" w:cs="Arial"/>
          <w:noProof/>
          <w:sz w:val="24"/>
          <w:szCs w:val="24"/>
          <w:lang w:val="en-GB"/>
        </w:rPr>
        <w:t>, (2021)</w:t>
      </w:r>
      <w:r w:rsidRPr="003422FE">
        <w:rPr>
          <w:rFonts w:ascii="Arial" w:hAnsi="Arial" w:cs="Arial"/>
          <w:sz w:val="24"/>
          <w:szCs w:val="24"/>
          <w:lang w:val="en-GB"/>
        </w:rPr>
        <w:fldChar w:fldCharType="end"/>
      </w:r>
      <w:r w:rsidRPr="003422FE">
        <w:rPr>
          <w:rFonts w:ascii="Arial" w:hAnsi="Arial" w:cs="Arial"/>
          <w:sz w:val="24"/>
          <w:szCs w:val="24"/>
          <w:lang w:val="en-GB"/>
        </w:rPr>
        <w:t xml:space="preserve"> claim that these initiatives provide unprecedented opportunities for pharmacists in SA to participate in achieving health transformation goals, particularly in primary care services or, as it is known in SA, ambulatory care services. </w:t>
      </w:r>
    </w:p>
    <w:p w14:paraId="18083D3F" w14:textId="77777777" w:rsidR="00610EEE" w:rsidRDefault="00610EEE" w:rsidP="00610EEE">
      <w:pPr>
        <w:autoSpaceDE w:val="0"/>
        <w:autoSpaceDN w:val="0"/>
        <w:adjustRightInd w:val="0"/>
        <w:spacing w:line="360" w:lineRule="auto"/>
        <w:jc w:val="both"/>
        <w:rPr>
          <w:rFonts w:asciiTheme="minorBidi" w:hAnsiTheme="minorBidi"/>
          <w:color w:val="000000"/>
          <w:sz w:val="24"/>
          <w:szCs w:val="24"/>
          <w:shd w:val="clear" w:color="auto" w:fill="FFFFFF"/>
          <w:lang w:val="en-GB"/>
        </w:rPr>
      </w:pPr>
      <w:r>
        <w:rPr>
          <w:rFonts w:ascii="Arial" w:hAnsi="Arial" w:cs="Arial"/>
          <w:sz w:val="24"/>
          <w:szCs w:val="24"/>
          <w:lang w:val="en-GB"/>
        </w:rPr>
        <w:t>The s</w:t>
      </w:r>
      <w:r w:rsidRPr="006B2FC7">
        <w:rPr>
          <w:rFonts w:ascii="Arial" w:hAnsi="Arial" w:cs="Arial"/>
          <w:sz w:val="24"/>
          <w:szCs w:val="24"/>
          <w:lang w:val="en-GB"/>
        </w:rPr>
        <w:t xml:space="preserve">everal </w:t>
      </w:r>
      <w:r w:rsidRPr="006B2FC7">
        <w:rPr>
          <w:rFonts w:ascii="Arial" w:hAnsi="Arial" w:cs="Arial"/>
          <w:sz w:val="24"/>
          <w:szCs w:val="24"/>
        </w:rPr>
        <w:t>challenges facing Saudi healthcare reform include: the health workforce; changing patterns of diseases; financing and expenditure</w:t>
      </w:r>
      <w:r>
        <w:rPr>
          <w:rFonts w:ascii="Arial" w:hAnsi="Arial" w:cs="Arial"/>
          <w:sz w:val="24"/>
          <w:szCs w:val="24"/>
        </w:rPr>
        <w:t xml:space="preserve"> of healthcare services</w:t>
      </w:r>
      <w:r w:rsidRPr="006B2FC7">
        <w:rPr>
          <w:rFonts w:ascii="Arial" w:hAnsi="Arial" w:cs="Arial"/>
          <w:sz w:val="24"/>
          <w:szCs w:val="24"/>
        </w:rPr>
        <w:t xml:space="preserve">; the utilisation of an electronic health system; the privatisation of healthcare services and the introduction of the cooperative health insurance scheme </w:t>
      </w:r>
      <w:r w:rsidRPr="006B2FC7">
        <w:rPr>
          <w:rFonts w:ascii="Arial" w:hAnsi="Arial" w:cs="Arial"/>
          <w:sz w:val="24"/>
          <w:szCs w:val="24"/>
        </w:rPr>
        <w:fldChar w:fldCharType="begin" w:fldLock="1"/>
      </w:r>
      <w:r>
        <w:rPr>
          <w:rFonts w:ascii="Arial" w:hAnsi="Arial" w:cs="Arial"/>
          <w:sz w:val="24"/>
          <w:szCs w:val="24"/>
        </w:rPr>
        <w:instrText>ADDIN CSL_CITATION {"citationItems":[{"id":"ITEM-1","itemData":{"DOI":"10.1111/j.1466-7657.2011.00890.x","ISSN":"00208132","abstract":"Aim: The study aims to provide an overview of the nursing profession in Saudi Arabia, including its history, educational development, workforce and professional practice. Background: Saudi Arabia is faced with a chronic shortage of Saudi nurses, accompanied by high rates of turnover. Expatriate nurses form a large proportion of the nursing workforce in Saudi healthcare facilities, with Saudis comprising only 29.1% of the total nursing workforce. Despite the fact that the proportion of Saudi nurses is very low in general, this rate is lower in the private health sector where local nurses comprise only 4.1% of the total. Methods: Data relating to the nursing profession in Saudi Arabia were extracted from published literature identified through search of a range of publically available databases such as Medline, CINAHL, Google Scholar, Saudi health databases, Saudi health journals, government reports and relevant texts. Obtained information was evaluated for relevance and grouped on a thematic basis. Conclusion: The status of nursing in Saudi Arabia should be enhanced in order to make it a worthwhile career. The media should engage in helping to promote a positive image of the nursing profession. The education sector should reconsider the length of nursing training (5 years compared with 3 years in many developed countries) while maintaining competent and safe practice. Reducing the financial burden on the nursing student through provision of additional financial support would encourage more students. In particular, nurses should be paid a full salary during the intern year as currently occurs with medical students. © 2011 The Authors. International Nursing Review © 2011 International Council of Nurses.","author":[{"dropping-particle":"","family":"Almalki","given":"M.","non-dropping-particle":"","parse-names":false,"suffix":""},{"dropping-particle":"","family":"Fitzgerald","given":"G.","non-dropping-particle":"","parse-names":false,"suffix":""},{"dropping-particle":"","family":"Clark","given":"M.","non-dropping-particle":"","parse-names":false,"suffix":""}],"container-title":"International Nursing Review","id":"ITEM-1","issue":"3","issued":{"date-parts":[["2011"]]},"page":"304-311","title":"Health care system in Saudi Arabia: an overview","type":"article-journal","volume":"58"},"uris":["http://www.mendeley.com/documents/?uuid=bbd453d0-b675-4b63-bc98-c425953b9294"]}],"mendeley":{"formattedCitation":"(Almalki, Fitzgerald and Clark, 2011)","manualFormatting":"(Almalki et al., 2011)","plainTextFormattedCitation":"(Almalki, Fitzgerald and Clark, 2011)","previouslyFormattedCitation":"(Almalki, Fitzgerald and Clark, 2011)"},"properties":{"noteIndex":0},"schema":"https://github.com/citation-style-language/schema/raw/master/csl-citation.json"}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(Almalki</w:t>
      </w:r>
      <w:r>
        <w:rPr>
          <w:rFonts w:ascii="Arial" w:hAnsi="Arial" w:cs="Arial"/>
          <w:noProof/>
          <w:sz w:val="24"/>
          <w:szCs w:val="24"/>
        </w:rPr>
        <w:t xml:space="preserve"> et al.</w:t>
      </w:r>
      <w:r w:rsidRPr="006B2FC7">
        <w:rPr>
          <w:rFonts w:ascii="Arial" w:hAnsi="Arial" w:cs="Arial"/>
          <w:noProof/>
          <w:sz w:val="24"/>
          <w:szCs w:val="24"/>
        </w:rPr>
        <w:t>, 2011)</w:t>
      </w:r>
      <w:r w:rsidRPr="006B2FC7">
        <w:rPr>
          <w:rFonts w:ascii="Arial" w:hAnsi="Arial" w:cs="Arial"/>
          <w:sz w:val="24"/>
          <w:szCs w:val="24"/>
        </w:rPr>
        <w:fldChar w:fldCharType="end"/>
      </w:r>
      <w:r w:rsidRPr="006B2FC7">
        <w:rPr>
          <w:rFonts w:ascii="Arial" w:hAnsi="Arial" w:cs="Arial"/>
          <w:sz w:val="24"/>
          <w:szCs w:val="24"/>
        </w:rPr>
        <w:t xml:space="preserve">. </w:t>
      </w:r>
      <w:r w:rsidRPr="006B2FC7">
        <w:rPr>
          <w:rFonts w:ascii="Arial" w:hAnsi="Arial" w:cs="Arial"/>
          <w:sz w:val="24"/>
          <w:szCs w:val="24"/>
          <w:lang w:val="en-GB"/>
        </w:rPr>
        <w:t>Privatisation could be the biggest challenge in the national transformation programme because Saudi citizens used to receive all healthcare services free through a government-funded M</w:t>
      </w:r>
      <w:r>
        <w:rPr>
          <w:rFonts w:ascii="Arial" w:hAnsi="Arial" w:cs="Arial"/>
          <w:sz w:val="24"/>
          <w:szCs w:val="24"/>
          <w:lang w:val="en-GB"/>
        </w:rPr>
        <w:t>o</w:t>
      </w:r>
      <w:r w:rsidRPr="006B2FC7">
        <w:rPr>
          <w:rFonts w:ascii="Arial" w:hAnsi="Arial" w:cs="Arial"/>
          <w:sz w:val="24"/>
          <w:szCs w:val="24"/>
          <w:lang w:val="en-GB"/>
        </w:rPr>
        <w:t xml:space="preserve">H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{"citationItems":[{"id":"ITEM-1","itemData":{"DOI":"10.1080/20479700.2018.1433459","ISSN":"2047-9700","abstract":"With an anticipated population increase of 33% over the next three decades, the Saudi Arabian healthcare sector needs to cater to an every growing population and demand of healthcare services. The demand for healthcare is high as compared to the supply of healthcare services, a scenario recognized by the Saudi Arabian government, which has lately encouraged the private sector to match the shortfall and benefit from this potentially lucrative sector. This exploratory research thus assesses the development of healthcare services in the Kingdom of Saudi Arabia over the past nine decades and key elements impacting the Saudi Arabian healthcare sector and its future. The research indicates that automation would be a reality, training, and development of healthcare professional would gain a centre stage, and primary healthcare centres would be further developed. The research concludes that both public and private sector should address the issue of shortage of beds at the earliest, by utilizing the funding to develop new hospitals and also, by improving and growing the existing facilities. Furthermore, the government should restructure the funding of the healthcare sector so that it becomes self-reliant and less dependent on the government budget.","author":[{"dropping-particle":"","family":"Sajjad","given":"Rumaiya","non-dropping-particle":"","parse-names":false,"suffix":""},{"dropping-particle":"","family":"Qureshi","given":"Mohammed Owais","non-dropping-particle":"","parse-names":false,"suffix":""}],"container-title":"International Journal of Healthcare Management","id":"ITEM-1","issue":"0","issued":{"date-parts":[["2018"]]},"page":"1-9","publisher":"Taylor &amp; Francis","title":"An assessment of the healthcare services in the Kingdom of Saudi Arabia: An analysis of the old, current, and future systems","type":"article-journal","volume":"0"},"uris":["http://www.mendeley.com/documents/?uuid=ae0fa0c1-626d-44f6-9ba0-04544fca426b"]}],"mendeley":{"formattedCitation":"(Sajjad and Qureshi, 2018)","plainTextFormattedCitation":"(Sajjad and Qureshi, 2018)","previouslyFormattedCitation":"(Sajjad and Qureshi, 2018)"},"properties":{"noteIndex":0},"schema":"https://github.com/citation-style-language/schema/raw/master/csl-citation.json"}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(Sajjad and Qureshi, 2018)</w:t>
      </w:r>
      <w:r w:rsidRPr="006B2FC7">
        <w:rPr>
          <w:rFonts w:ascii="Arial" w:hAnsi="Arial" w:cs="Arial"/>
          <w:sz w:val="24"/>
          <w:szCs w:val="24"/>
          <w:lang w:val="en-GB"/>
        </w:rPr>
        <w:fldChar w:fldCharType="end"/>
      </w:r>
      <w:r w:rsidRPr="006B2FC7">
        <w:rPr>
          <w:rFonts w:ascii="Arial" w:hAnsi="Arial" w:cs="Arial"/>
          <w:sz w:val="24"/>
          <w:szCs w:val="24"/>
          <w:lang w:val="en-GB"/>
        </w:rPr>
        <w:t>.</w:t>
      </w:r>
      <w:r>
        <w:rPr>
          <w:rFonts w:ascii="Arial" w:hAnsi="Arial" w:cs="Arial"/>
          <w:sz w:val="24"/>
          <w:szCs w:val="24"/>
          <w:lang w:val="en-GB"/>
        </w:rPr>
        <w:t xml:space="preserve"> </w:t>
      </w:r>
      <w:r w:rsidRPr="006B2FC7">
        <w:rPr>
          <w:rFonts w:ascii="Arial" w:hAnsi="Arial" w:cs="Arial"/>
          <w:color w:val="000000"/>
          <w:sz w:val="24"/>
          <w:szCs w:val="24"/>
          <w:shd w:val="clear" w:color="auto" w:fill="FFFFFF"/>
          <w:lang w:val="en-GB"/>
        </w:rPr>
        <w:t>Privatisation is one of the vital elements of the Saudi Vision 2030. The Saudi M</w:t>
      </w:r>
      <w:r>
        <w:rPr>
          <w:rFonts w:ascii="Arial" w:hAnsi="Arial" w:cs="Arial"/>
          <w:color w:val="000000"/>
          <w:sz w:val="24"/>
          <w:szCs w:val="24"/>
          <w:shd w:val="clear" w:color="auto" w:fill="FFFFFF"/>
          <w:lang w:val="en-GB"/>
        </w:rPr>
        <w:t>o</w:t>
      </w:r>
      <w:r w:rsidRPr="006B2FC7">
        <w:rPr>
          <w:rFonts w:ascii="Arial" w:hAnsi="Arial" w:cs="Arial"/>
          <w:color w:val="000000"/>
          <w:sz w:val="24"/>
          <w:szCs w:val="24"/>
          <w:shd w:val="clear" w:color="auto" w:fill="FFFFFF"/>
          <w:lang w:val="en-GB"/>
        </w:rPr>
        <w:t xml:space="preserve">H plans to privatise 295 hospitals and 2259 health centres by 2030 </w:t>
      </w:r>
      <w:r w:rsidRPr="006B2FC7">
        <w:rPr>
          <w:rFonts w:ascii="Arial" w:hAnsi="Arial" w:cs="Arial"/>
          <w:color w:val="000000"/>
          <w:sz w:val="24"/>
          <w:szCs w:val="24"/>
          <w:shd w:val="clear" w:color="auto" w:fill="FFFFFF"/>
          <w:lang w:val="en-GB"/>
        </w:rPr>
        <w:fldChar w:fldCharType="begin" w:fldLock="1"/>
      </w:r>
      <w:r w:rsidRPr="006B2FC7">
        <w:rPr>
          <w:rFonts w:ascii="Arial" w:hAnsi="Arial" w:cs="Arial"/>
          <w:color w:val="000000"/>
          <w:sz w:val="24"/>
          <w:szCs w:val="24"/>
          <w:shd w:val="clear" w:color="auto" w:fill="FFFFFF"/>
          <w:lang w:val="en-GB"/>
        </w:rPr>
        <w:instrText>ADDIN CSL_CITATION {"citationItems":[{"id":"ITEM-1","itemData":{"DOI":"10.1080/20479700.2018.1433459","ISSN":"2047-9700","abstract":"With an anticipated population increase of 33% over the next three decades, the Saudi Arabian healthcare sector needs to cater to an every growing population and demand of healthcare services. The demand for healthcare is high as compared to the supply of healthcare services, a scenario recognized by the Saudi Arabian government, which has lately encouraged the private sector to match the shortfall and benefit from this potentially lucrative sector. This exploratory research thus assesses the development of healthcare services in the Kingdom of Saudi Arabia over the past nine decades and key elements impacting the Saudi Arabian healthcare sector and its future. The research indicates that automation would be a reality, training, and development of healthcare professional would gain a centre stage, and primary healthcare centres would be further developed. The research concludes that both public and private sector should address the issue of shortage of beds at the earliest, by utilizing the funding to develop new hospitals and also, by improving and growing the existing facilities. Furthermore, the government should restructure the funding of the healthcare sector so that it becomes self-reliant and less dependent on the government budget.","author":[{"dropping-particle":"","family":"Sajjad","given":"Rumaiya","non-dropping-particle":"","parse-names":false,"suffix":""},{"dropping-particle":"","family":"Qureshi","given":"Mohammed Owais","non-dropping-particle":"","parse-names":false,"suffix":""}],"container-title":"International Journal of Healthcare Management","id":"ITEM-1","issue":"0","issued":{"date-parts":[["2018"]]},"page":"1-9","publisher":"Taylor &amp; Francis","title":"An assessment of the healthcare services in the Kingdom of Saudi Arabia: An analysis of the old, current, and future systems","type":"article-journal","volume":"0"},"uris":["http://www.mendeley.com/documents/?uuid=ae0fa0c1-626d-44f6-9ba0-04544fca426b"]}],"mendeley":{"formattedCitation":"(Sajjad and Qureshi, 2018)","plainTextFormattedCitation":"(Sajjad and Qureshi, 2018)","previouslyFormattedCitation":"(Sajjad and Qureshi, 2018)"},"properties":{"noteIndex":0},"schema":"https://github.com/citation-style-language/schema/raw/master/csl-citation.json"}</w:instrText>
      </w:r>
      <w:r w:rsidRPr="006B2FC7">
        <w:rPr>
          <w:rFonts w:ascii="Arial" w:hAnsi="Arial" w:cs="Arial"/>
          <w:color w:val="000000"/>
          <w:sz w:val="24"/>
          <w:szCs w:val="24"/>
          <w:shd w:val="clear" w:color="auto" w:fill="FFFFFF"/>
          <w:lang w:val="en-GB"/>
        </w:rPr>
        <w:fldChar w:fldCharType="separate"/>
      </w:r>
      <w:r w:rsidRPr="006B2FC7">
        <w:rPr>
          <w:rFonts w:ascii="Arial" w:hAnsi="Arial" w:cs="Arial"/>
          <w:noProof/>
          <w:color w:val="000000"/>
          <w:sz w:val="24"/>
          <w:szCs w:val="24"/>
          <w:shd w:val="clear" w:color="auto" w:fill="FFFFFF"/>
          <w:lang w:val="en-GB"/>
        </w:rPr>
        <w:t>(Sajjad and Qureshi, 2018)</w:t>
      </w:r>
      <w:r w:rsidRPr="006B2FC7">
        <w:rPr>
          <w:rFonts w:ascii="Arial" w:hAnsi="Arial" w:cs="Arial"/>
          <w:color w:val="000000"/>
          <w:sz w:val="24"/>
          <w:szCs w:val="24"/>
          <w:shd w:val="clear" w:color="auto" w:fill="FFFFFF"/>
          <w:lang w:val="en-GB"/>
        </w:rPr>
        <w:fldChar w:fldCharType="end"/>
      </w:r>
      <w:r w:rsidRPr="006B2FC7">
        <w:rPr>
          <w:rFonts w:ascii="Arial" w:hAnsi="Arial" w:cs="Arial"/>
          <w:color w:val="000000"/>
          <w:sz w:val="24"/>
          <w:szCs w:val="24"/>
          <w:shd w:val="clear" w:color="auto" w:fill="FFFFFF"/>
          <w:lang w:val="en-GB"/>
        </w:rPr>
        <w:t xml:space="preserve">. It has also started to close pharmacies that are located in the </w:t>
      </w:r>
      <w:r>
        <w:rPr>
          <w:rFonts w:ascii="Arial" w:hAnsi="Arial" w:cs="Arial"/>
          <w:color w:val="000000"/>
          <w:sz w:val="24"/>
          <w:szCs w:val="24"/>
          <w:shd w:val="clear" w:color="auto" w:fill="FFFFFF"/>
          <w:lang w:val="en-GB"/>
        </w:rPr>
        <w:t>PHCs</w:t>
      </w:r>
      <w:r w:rsidRPr="006B2FC7">
        <w:rPr>
          <w:rFonts w:ascii="Arial" w:hAnsi="Arial" w:cs="Arial"/>
          <w:color w:val="000000"/>
          <w:sz w:val="24"/>
          <w:szCs w:val="24"/>
          <w:shd w:val="clear" w:color="auto" w:fill="FFFFFF"/>
          <w:lang w:val="en-GB"/>
        </w:rPr>
        <w:t xml:space="preserve"> and forward prescriptions for outpatients at hospitals and </w:t>
      </w:r>
      <w:r>
        <w:rPr>
          <w:rFonts w:ascii="Arial" w:hAnsi="Arial" w:cs="Arial"/>
          <w:color w:val="000000"/>
          <w:sz w:val="24"/>
          <w:szCs w:val="24"/>
          <w:shd w:val="clear" w:color="auto" w:fill="FFFFFF"/>
          <w:lang w:val="en-GB"/>
        </w:rPr>
        <w:t>PHCs</w:t>
      </w:r>
      <w:r w:rsidRPr="006B2FC7">
        <w:rPr>
          <w:rFonts w:ascii="Arial" w:hAnsi="Arial" w:cs="Arial"/>
          <w:color w:val="000000"/>
          <w:sz w:val="24"/>
          <w:szCs w:val="24"/>
          <w:shd w:val="clear" w:color="auto" w:fill="FFFFFF"/>
          <w:lang w:val="en-GB"/>
        </w:rPr>
        <w:t>, which are to be dispensed through the retail community pharmacy, as private sector participation is a significant factor in the privatisation approach</w:t>
      </w:r>
      <w:r>
        <w:rPr>
          <w:rFonts w:ascii="Arial" w:hAnsi="Arial" w:cs="Arial"/>
          <w:color w:val="000000"/>
          <w:sz w:val="24"/>
          <w:szCs w:val="24"/>
          <w:shd w:val="clear" w:color="auto" w:fill="FFFFFF"/>
          <w:lang w:val="en-GB"/>
        </w:rPr>
        <w:t xml:space="preserve"> </w:t>
      </w:r>
      <w:r>
        <w:rPr>
          <w:rFonts w:ascii="Arial" w:hAnsi="Arial" w:cs="Arial"/>
          <w:color w:val="000000"/>
          <w:sz w:val="24"/>
          <w:szCs w:val="24"/>
          <w:shd w:val="clear" w:color="auto" w:fill="FFFFFF"/>
          <w:lang w:val="en-GB"/>
        </w:rPr>
        <w:fldChar w:fldCharType="begin" w:fldLock="1"/>
      </w:r>
      <w:r>
        <w:rPr>
          <w:rFonts w:ascii="Arial" w:hAnsi="Arial" w:cs="Arial"/>
          <w:color w:val="000000"/>
          <w:sz w:val="24"/>
          <w:szCs w:val="24"/>
          <w:shd w:val="clear" w:color="auto" w:fill="FFFFFF"/>
          <w:lang w:val="en-GB"/>
        </w:rPr>
        <w:instrText>ADDIN CSL_CITATION {"citationItems":[{"id":"ITEM-1","itemData":{"DOI":"10.5530/jppcm.2017.3.40","author":[{"dropping-particle":"","family":"Alomi","given":"Yousef Ahmed","non-dropping-particle":"","parse-names":false,"suffix":""}],"container-title":"Journal of Pharmacy Practice and Community Medicine","id":"ITEM-1","issue":"3","issued":{"date-parts":[["2017"]]},"page":"194-196","title":"New Pharmacy Model for Vision 2030 in Saudi Arabia","type":"article-journal","volume":"3"},"uris":["http://www.mendeley.com/documents/?uuid=052cc1bf-6e7d-4fdc-a5cd-783b51865f08"]}],"mendeley":{"formattedCitation":"(Alomi, 2017)","plainTextFormattedCitation":"(Alomi, 2017)","previouslyFormattedCitation":"(Alomi, 2017)"},"properties":{"noteIndex":0},"schema":"https://github.com/citation-style-language/schema/raw/master/csl-citation.json"}</w:instrText>
      </w:r>
      <w:r>
        <w:rPr>
          <w:rFonts w:ascii="Arial" w:hAnsi="Arial" w:cs="Arial"/>
          <w:color w:val="000000"/>
          <w:sz w:val="24"/>
          <w:szCs w:val="24"/>
          <w:shd w:val="clear" w:color="auto" w:fill="FFFFFF"/>
          <w:lang w:val="en-GB"/>
        </w:rPr>
        <w:fldChar w:fldCharType="separate"/>
      </w:r>
      <w:r w:rsidRPr="003E6B0D">
        <w:rPr>
          <w:rFonts w:ascii="Arial" w:hAnsi="Arial" w:cs="Arial"/>
          <w:noProof/>
          <w:color w:val="000000"/>
          <w:sz w:val="24"/>
          <w:szCs w:val="24"/>
          <w:shd w:val="clear" w:color="auto" w:fill="FFFFFF"/>
          <w:lang w:val="en-GB"/>
        </w:rPr>
        <w:t>(Alomi, 2017)</w:t>
      </w:r>
      <w:r>
        <w:rPr>
          <w:rFonts w:ascii="Arial" w:hAnsi="Arial" w:cs="Arial"/>
          <w:color w:val="000000"/>
          <w:sz w:val="24"/>
          <w:szCs w:val="24"/>
          <w:shd w:val="clear" w:color="auto" w:fill="FFFFFF"/>
          <w:lang w:val="en-GB"/>
        </w:rPr>
        <w:fldChar w:fldCharType="end"/>
      </w:r>
      <w:r w:rsidRPr="006B2FC7">
        <w:rPr>
          <w:rFonts w:ascii="Arial" w:hAnsi="Arial" w:cs="Arial"/>
          <w:color w:val="000000"/>
          <w:sz w:val="24"/>
          <w:szCs w:val="24"/>
          <w:shd w:val="clear" w:color="auto" w:fill="FFFFFF"/>
          <w:lang w:val="en-GB"/>
        </w:rPr>
        <w:t xml:space="preserve">. The ‘Wasfaty’ project has been launched aiming to enhance the level of health services through converting prescriptions from paper to electronic and to </w:t>
      </w:r>
      <w:r w:rsidRPr="006B2FC7">
        <w:rPr>
          <w:rFonts w:ascii="Arial" w:hAnsi="Arial" w:cs="Arial"/>
          <w:sz w:val="24"/>
          <w:szCs w:val="24"/>
          <w:shd w:val="clear" w:color="auto" w:fill="FFFFFF"/>
          <w:lang w:val="en-GB"/>
        </w:rPr>
        <w:t xml:space="preserve">transfer the dispensing medicine from government pharmacies to retail pharmacies </w:t>
      </w:r>
      <w:r w:rsidRPr="006B2FC7">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URL":"https://wasfaty.sa/","accessed":{"date-parts":[["2019","7","31"]]},"id":"ITEM-1","issued":{"date-parts":[["0"]]},"title":"Wasfaty","type":"webpage"},"uris":["http://www.mendeley.com/documents/?uuid=7287f72d-7e7a-3eb0-b474-df01126f959a"]}],"mendeley":{"formattedCitation":"(&lt;i&gt;Wasfaty&lt;/i&gt;, no date)","manualFormatting":"(Wasfaty, 2022)","plainTextFormattedCitation":"(Wasfaty, no date)","previouslyFormattedCitation":"(&lt;i&gt;Wasfaty&lt;/i&gt;, no date)"},"properties":{"noteIndex":0},"schema":"https://github.com/citation-style-language/schema/raw/master/csl-citation.json"}</w:instrText>
      </w:r>
      <w:r w:rsidRPr="006B2FC7">
        <w:rPr>
          <w:rFonts w:ascii="Arial" w:eastAsia="Times New Roman" w:hAnsi="Arial" w:cs="Arial"/>
          <w:sz w:val="24"/>
          <w:szCs w:val="24"/>
        </w:rPr>
        <w:fldChar w:fldCharType="separate"/>
      </w:r>
      <w:r w:rsidRPr="006B2FC7">
        <w:rPr>
          <w:rFonts w:ascii="Arial" w:eastAsia="Times New Roman" w:hAnsi="Arial" w:cs="Arial"/>
          <w:noProof/>
          <w:sz w:val="24"/>
          <w:szCs w:val="24"/>
        </w:rPr>
        <w:t>(</w:t>
      </w:r>
      <w:r w:rsidRPr="006B2FC7">
        <w:rPr>
          <w:rFonts w:ascii="Arial" w:eastAsia="Times New Roman" w:hAnsi="Arial" w:cs="Arial"/>
          <w:iCs/>
          <w:noProof/>
          <w:sz w:val="24"/>
          <w:szCs w:val="24"/>
        </w:rPr>
        <w:t>Wasfaty</w:t>
      </w:r>
      <w:r w:rsidRPr="006B2FC7">
        <w:rPr>
          <w:rFonts w:ascii="Arial" w:eastAsia="Times New Roman" w:hAnsi="Arial" w:cs="Arial"/>
          <w:noProof/>
          <w:sz w:val="24"/>
          <w:szCs w:val="24"/>
        </w:rPr>
        <w:t>, 202</w:t>
      </w:r>
      <w:r>
        <w:rPr>
          <w:rFonts w:ascii="Arial" w:eastAsia="Times New Roman" w:hAnsi="Arial" w:cs="Arial"/>
          <w:noProof/>
          <w:sz w:val="24"/>
          <w:szCs w:val="24"/>
        </w:rPr>
        <w:t>2</w:t>
      </w:r>
      <w:r w:rsidRPr="006B2FC7">
        <w:rPr>
          <w:rFonts w:ascii="Arial" w:eastAsia="Times New Roman" w:hAnsi="Arial" w:cs="Arial"/>
          <w:noProof/>
          <w:sz w:val="24"/>
          <w:szCs w:val="24"/>
        </w:rPr>
        <w:t>)</w:t>
      </w:r>
      <w:r w:rsidRPr="006B2FC7">
        <w:rPr>
          <w:rFonts w:ascii="Arial" w:eastAsia="Times New Roman" w:hAnsi="Arial" w:cs="Arial"/>
          <w:sz w:val="24"/>
          <w:szCs w:val="24"/>
        </w:rPr>
        <w:fldChar w:fldCharType="end"/>
      </w:r>
      <w:r w:rsidRPr="006B2FC7">
        <w:rPr>
          <w:rFonts w:ascii="Arial" w:eastAsia="Times New Roman" w:hAnsi="Arial" w:cs="Arial"/>
          <w:sz w:val="24"/>
          <w:szCs w:val="24"/>
        </w:rPr>
        <w:t>.</w:t>
      </w:r>
      <w:r>
        <w:rPr>
          <w:rFonts w:ascii="Arial" w:eastAsia="Times New Roman" w:hAnsi="Arial" w:cs="Arial"/>
          <w:sz w:val="24"/>
          <w:szCs w:val="24"/>
        </w:rPr>
        <w:t xml:space="preserve"> </w:t>
      </w:r>
      <w:r w:rsidRPr="00167F42">
        <w:rPr>
          <w:rFonts w:asciiTheme="minorBidi" w:eastAsia="Times New Roman" w:hAnsiTheme="minorBidi"/>
          <w:sz w:val="24"/>
          <w:szCs w:val="24"/>
        </w:rPr>
        <w:t>This project could bring many useful features</w:t>
      </w:r>
      <w:r>
        <w:rPr>
          <w:rFonts w:asciiTheme="minorBidi" w:eastAsia="Times New Roman" w:hAnsiTheme="minorBidi"/>
          <w:sz w:val="24"/>
          <w:szCs w:val="24"/>
        </w:rPr>
        <w:t>;</w:t>
      </w:r>
      <w:r w:rsidRPr="00167F42">
        <w:rPr>
          <w:rFonts w:asciiTheme="minorBidi" w:eastAsia="Times New Roman" w:hAnsiTheme="minorBidi"/>
          <w:sz w:val="24"/>
          <w:szCs w:val="24"/>
        </w:rPr>
        <w:t xml:space="preserve"> for</w:t>
      </w:r>
      <w:r>
        <w:rPr>
          <w:rFonts w:asciiTheme="minorBidi" w:eastAsia="Times New Roman" w:hAnsiTheme="minorBidi"/>
          <w:sz w:val="24"/>
          <w:szCs w:val="24"/>
        </w:rPr>
        <w:t xml:space="preserve"> </w:t>
      </w:r>
      <w:r w:rsidRPr="00167F42">
        <w:rPr>
          <w:rFonts w:asciiTheme="minorBidi" w:eastAsia="Times New Roman" w:hAnsiTheme="minorBidi"/>
          <w:sz w:val="24"/>
          <w:szCs w:val="24"/>
        </w:rPr>
        <w:t>patient</w:t>
      </w:r>
      <w:r>
        <w:rPr>
          <w:rFonts w:asciiTheme="minorBidi" w:eastAsia="Times New Roman" w:hAnsiTheme="minorBidi"/>
          <w:sz w:val="24"/>
          <w:szCs w:val="24"/>
        </w:rPr>
        <w:t>s</w:t>
      </w:r>
      <w:r w:rsidRPr="00167F42">
        <w:rPr>
          <w:rFonts w:asciiTheme="minorBidi" w:eastAsia="Times New Roman" w:hAnsiTheme="minorBidi"/>
          <w:sz w:val="24"/>
          <w:szCs w:val="24"/>
        </w:rPr>
        <w:t xml:space="preserve"> by allowing </w:t>
      </w:r>
      <w:r>
        <w:rPr>
          <w:rFonts w:asciiTheme="minorBidi" w:eastAsia="Times New Roman" w:hAnsiTheme="minorBidi"/>
          <w:sz w:val="24"/>
          <w:szCs w:val="24"/>
        </w:rPr>
        <w:t>them</w:t>
      </w:r>
      <w:r w:rsidRPr="00167F42">
        <w:rPr>
          <w:rFonts w:asciiTheme="minorBidi" w:eastAsia="Times New Roman" w:hAnsiTheme="minorBidi"/>
          <w:sz w:val="24"/>
          <w:szCs w:val="24"/>
        </w:rPr>
        <w:t xml:space="preserve"> to </w:t>
      </w:r>
      <w:r>
        <w:rPr>
          <w:rFonts w:asciiTheme="minorBidi" w:eastAsia="Times New Roman" w:hAnsiTheme="minorBidi"/>
          <w:sz w:val="24"/>
          <w:szCs w:val="24"/>
        </w:rPr>
        <w:t>access their</w:t>
      </w:r>
      <w:r w:rsidRPr="00167F42">
        <w:rPr>
          <w:rFonts w:asciiTheme="minorBidi" w:eastAsia="Times New Roman" w:hAnsiTheme="minorBidi"/>
          <w:sz w:val="24"/>
          <w:szCs w:val="24"/>
        </w:rPr>
        <w:t xml:space="preserve"> prescription</w:t>
      </w:r>
      <w:r>
        <w:rPr>
          <w:rFonts w:asciiTheme="minorBidi" w:eastAsia="Times New Roman" w:hAnsiTheme="minorBidi"/>
          <w:sz w:val="24"/>
          <w:szCs w:val="24"/>
        </w:rPr>
        <w:t>s</w:t>
      </w:r>
      <w:r w:rsidRPr="00167F42">
        <w:rPr>
          <w:rFonts w:asciiTheme="minorBidi" w:eastAsia="Times New Roman" w:hAnsiTheme="minorBidi"/>
          <w:sz w:val="24"/>
          <w:szCs w:val="24"/>
        </w:rPr>
        <w:t xml:space="preserve"> from the closest pharmacy, </w:t>
      </w:r>
      <w:r>
        <w:rPr>
          <w:rFonts w:asciiTheme="minorBidi" w:eastAsia="Times New Roman" w:hAnsiTheme="minorBidi"/>
          <w:sz w:val="24"/>
          <w:szCs w:val="24"/>
        </w:rPr>
        <w:t>for</w:t>
      </w:r>
      <w:r w:rsidRPr="00167F42">
        <w:rPr>
          <w:rFonts w:asciiTheme="minorBidi" w:eastAsia="Times New Roman" w:hAnsiTheme="minorBidi"/>
          <w:sz w:val="24"/>
          <w:szCs w:val="24"/>
        </w:rPr>
        <w:t xml:space="preserve"> practice pharmacist</w:t>
      </w:r>
      <w:r>
        <w:rPr>
          <w:rFonts w:asciiTheme="minorBidi" w:eastAsia="Times New Roman" w:hAnsiTheme="minorBidi"/>
          <w:sz w:val="24"/>
          <w:szCs w:val="24"/>
        </w:rPr>
        <w:t>s</w:t>
      </w:r>
      <w:r w:rsidRPr="00167F42">
        <w:rPr>
          <w:rFonts w:asciiTheme="minorBidi" w:eastAsia="Times New Roman" w:hAnsiTheme="minorBidi"/>
          <w:sz w:val="24"/>
          <w:szCs w:val="24"/>
        </w:rPr>
        <w:t xml:space="preserve"> by playing the cognitive/clinical role instead of </w:t>
      </w:r>
      <w:r>
        <w:rPr>
          <w:rFonts w:asciiTheme="minorBidi" w:eastAsia="Times New Roman" w:hAnsiTheme="minorBidi"/>
          <w:sz w:val="24"/>
          <w:szCs w:val="24"/>
        </w:rPr>
        <w:t xml:space="preserve">focusing on </w:t>
      </w:r>
      <w:r w:rsidRPr="00167F42">
        <w:rPr>
          <w:rFonts w:asciiTheme="minorBidi" w:eastAsia="Times New Roman" w:hAnsiTheme="minorBidi"/>
          <w:sz w:val="24"/>
          <w:szCs w:val="24"/>
        </w:rPr>
        <w:t>dispensing</w:t>
      </w:r>
      <w:r>
        <w:rPr>
          <w:rFonts w:asciiTheme="minorBidi" w:eastAsia="Times New Roman" w:hAnsiTheme="minorBidi"/>
          <w:sz w:val="24"/>
          <w:szCs w:val="24"/>
        </w:rPr>
        <w:t xml:space="preserve"> the prescription which is the traditional role of pharmacists in the Saudi PHCs</w:t>
      </w:r>
      <w:r w:rsidRPr="00167F42">
        <w:rPr>
          <w:rFonts w:asciiTheme="minorBidi" w:eastAsia="Times New Roman" w:hAnsiTheme="minorBidi"/>
          <w:sz w:val="24"/>
          <w:szCs w:val="24"/>
        </w:rPr>
        <w:t xml:space="preserve">, and </w:t>
      </w:r>
      <w:r>
        <w:rPr>
          <w:rFonts w:asciiTheme="minorBidi" w:eastAsia="Times New Roman" w:hAnsiTheme="minorBidi"/>
          <w:sz w:val="24"/>
          <w:szCs w:val="24"/>
        </w:rPr>
        <w:t xml:space="preserve">for </w:t>
      </w:r>
      <w:r w:rsidRPr="00167F42">
        <w:rPr>
          <w:rFonts w:asciiTheme="minorBidi" w:eastAsia="Times New Roman" w:hAnsiTheme="minorBidi"/>
          <w:sz w:val="24"/>
          <w:szCs w:val="24"/>
        </w:rPr>
        <w:t xml:space="preserve">doctors </w:t>
      </w:r>
      <w:r w:rsidRPr="00167F42">
        <w:rPr>
          <w:rFonts w:asciiTheme="minorBidi" w:hAnsiTheme="minorBidi"/>
          <w:sz w:val="24"/>
          <w:szCs w:val="24"/>
          <w:shd w:val="clear" w:color="auto" w:fill="FFFFFF"/>
          <w:lang w:val="en-GB"/>
        </w:rPr>
        <w:t xml:space="preserve">by improving the </w:t>
      </w:r>
      <w:r w:rsidRPr="00167F42">
        <w:rPr>
          <w:rFonts w:asciiTheme="minorBidi" w:eastAsia="Times New Roman" w:hAnsiTheme="minorBidi"/>
          <w:sz w:val="24"/>
          <w:szCs w:val="24"/>
        </w:rPr>
        <w:t>prescription</w:t>
      </w:r>
      <w:r>
        <w:rPr>
          <w:rFonts w:asciiTheme="minorBidi" w:eastAsia="Times New Roman" w:hAnsiTheme="minorBidi"/>
          <w:sz w:val="24"/>
          <w:szCs w:val="24"/>
        </w:rPr>
        <w:t>s</w:t>
      </w:r>
      <w:r w:rsidRPr="00167F42">
        <w:rPr>
          <w:rFonts w:asciiTheme="minorBidi" w:eastAsia="Times New Roman" w:hAnsiTheme="minorBidi"/>
          <w:sz w:val="24"/>
          <w:szCs w:val="24"/>
        </w:rPr>
        <w:t xml:space="preserve"> </w:t>
      </w:r>
      <w:r w:rsidRPr="00167F42">
        <w:rPr>
          <w:rFonts w:asciiTheme="minorBidi" w:hAnsiTheme="minorBidi"/>
          <w:sz w:val="24"/>
          <w:szCs w:val="24"/>
          <w:shd w:val="clear" w:color="auto" w:fill="FFFFFF"/>
          <w:lang w:val="en-GB"/>
        </w:rPr>
        <w:t xml:space="preserve">and minimising handwriting errors. </w:t>
      </w:r>
    </w:p>
    <w:p w14:paraId="0F224ABE" w14:textId="7F924D3C" w:rsidR="00610EEE" w:rsidRPr="006844C5" w:rsidRDefault="00610EEE" w:rsidP="00D53957">
      <w:pPr>
        <w:shd w:val="clear" w:color="auto" w:fill="FFFFFF"/>
        <w:spacing w:line="360" w:lineRule="auto"/>
        <w:jc w:val="both"/>
        <w:rPr>
          <w:rFonts w:asciiTheme="minorBidi" w:hAnsiTheme="minorBidi"/>
          <w:sz w:val="24"/>
          <w:szCs w:val="24"/>
          <w:shd w:val="clear" w:color="auto" w:fill="FFFFFF"/>
          <w:lang w:val="en-GB"/>
        </w:rPr>
      </w:pPr>
      <w:r>
        <w:rPr>
          <w:rFonts w:asciiTheme="minorBidi" w:hAnsiTheme="minorBidi"/>
          <w:color w:val="000000"/>
          <w:sz w:val="24"/>
          <w:szCs w:val="24"/>
          <w:shd w:val="clear" w:color="auto" w:fill="FFFFFF"/>
          <w:lang w:val="en-GB"/>
        </w:rPr>
        <w:t xml:space="preserve">Conversely, the Wasfaty project as a step of the privatisation process  </w:t>
      </w:r>
      <w:r w:rsidRPr="00A376C7">
        <w:rPr>
          <w:rFonts w:asciiTheme="minorBidi" w:hAnsiTheme="minorBidi"/>
          <w:color w:val="000000"/>
          <w:sz w:val="24"/>
          <w:szCs w:val="24"/>
          <w:shd w:val="clear" w:color="auto" w:fill="FFFFFF"/>
          <w:lang w:val="en-GB"/>
        </w:rPr>
        <w:t>could b</w:t>
      </w:r>
      <w:r>
        <w:rPr>
          <w:rFonts w:asciiTheme="minorBidi" w:hAnsiTheme="minorBidi"/>
          <w:color w:val="000000"/>
          <w:sz w:val="24"/>
          <w:szCs w:val="24"/>
          <w:shd w:val="clear" w:color="auto" w:fill="FFFFFF"/>
          <w:lang w:val="en-GB"/>
        </w:rPr>
        <w:t>ring</w:t>
      </w:r>
      <w:r w:rsidRPr="00A376C7">
        <w:rPr>
          <w:rFonts w:asciiTheme="minorBidi" w:hAnsiTheme="minorBidi"/>
          <w:color w:val="000000"/>
          <w:sz w:val="24"/>
          <w:szCs w:val="24"/>
          <w:shd w:val="clear" w:color="auto" w:fill="FFFFFF"/>
          <w:lang w:val="en-GB"/>
        </w:rPr>
        <w:t xml:space="preserve"> risk</w:t>
      </w:r>
      <w:r>
        <w:rPr>
          <w:rFonts w:asciiTheme="minorBidi" w:hAnsiTheme="minorBidi"/>
          <w:color w:val="000000"/>
          <w:sz w:val="24"/>
          <w:szCs w:val="24"/>
          <w:shd w:val="clear" w:color="auto" w:fill="FFFFFF"/>
          <w:lang w:val="en-GB"/>
        </w:rPr>
        <w:t>s</w:t>
      </w:r>
      <w:r w:rsidRPr="00A376C7">
        <w:rPr>
          <w:rFonts w:asciiTheme="minorBidi" w:hAnsiTheme="minorBidi"/>
          <w:color w:val="000000"/>
          <w:sz w:val="24"/>
          <w:szCs w:val="24"/>
          <w:shd w:val="clear" w:color="auto" w:fill="FFFFFF"/>
          <w:lang w:val="en-GB"/>
        </w:rPr>
        <w:t xml:space="preserve"> by moving pharmacists from these centres to </w:t>
      </w:r>
      <w:r>
        <w:rPr>
          <w:rFonts w:asciiTheme="minorBidi" w:hAnsiTheme="minorBidi"/>
          <w:color w:val="000000"/>
          <w:sz w:val="24"/>
          <w:szCs w:val="24"/>
          <w:shd w:val="clear" w:color="auto" w:fill="FFFFFF"/>
          <w:lang w:val="en-GB"/>
        </w:rPr>
        <w:t>different</w:t>
      </w:r>
      <w:r w:rsidRPr="00A376C7">
        <w:rPr>
          <w:rFonts w:asciiTheme="minorBidi" w:hAnsiTheme="minorBidi"/>
          <w:color w:val="000000"/>
          <w:sz w:val="24"/>
          <w:szCs w:val="24"/>
          <w:shd w:val="clear" w:color="auto" w:fill="FFFFFF"/>
          <w:lang w:val="en-GB"/>
        </w:rPr>
        <w:t xml:space="preserve"> healthcare settings such as community pharmacies or hospitals</w:t>
      </w:r>
      <w:r>
        <w:rPr>
          <w:rFonts w:asciiTheme="minorBidi" w:hAnsiTheme="minorBidi"/>
          <w:color w:val="000000"/>
          <w:sz w:val="24"/>
          <w:szCs w:val="24"/>
          <w:shd w:val="clear" w:color="auto" w:fill="FFFFFF"/>
          <w:lang w:val="en-GB"/>
        </w:rPr>
        <w:t>.</w:t>
      </w:r>
      <w:r w:rsidRPr="00A376C7">
        <w:rPr>
          <w:rFonts w:asciiTheme="minorBidi" w:hAnsiTheme="minorBidi"/>
          <w:color w:val="000000"/>
          <w:sz w:val="24"/>
          <w:szCs w:val="24"/>
          <w:shd w:val="clear" w:color="auto" w:fill="FFFFFF"/>
          <w:lang w:val="en-GB"/>
        </w:rPr>
        <w:t xml:space="preserve"> </w:t>
      </w:r>
      <w:r w:rsidRPr="00A376C7">
        <w:rPr>
          <w:rFonts w:asciiTheme="minorBidi" w:hAnsiTheme="minorBidi"/>
          <w:color w:val="000000"/>
          <w:sz w:val="24"/>
          <w:szCs w:val="24"/>
          <w:shd w:val="clear" w:color="auto" w:fill="FFFFFF"/>
          <w:lang w:val="en-GB"/>
        </w:rPr>
        <w:fldChar w:fldCharType="begin" w:fldLock="1"/>
      </w:r>
      <w:r>
        <w:rPr>
          <w:rFonts w:asciiTheme="minorBidi" w:hAnsiTheme="minorBidi"/>
          <w:color w:val="000000"/>
          <w:sz w:val="24"/>
          <w:szCs w:val="24"/>
          <w:shd w:val="clear" w:color="auto" w:fill="FFFFFF"/>
          <w:lang w:val="en-GB"/>
        </w:rPr>
        <w:instrText>ADDIN CSL_CITATION {"citationItems":[{"id":"ITEM-1","itemData":{"DOI":"10.3390/pharmacy5020023","ISSN":"2226-4787","abstract":"Even though pharmaceutical care is not a new concept in pharmacy, its introduction and development has proved to be challenging. In Iceland, general practitioners are not familiar with pharmaceutical care and additionally no such service is offered in pharmacies or primary care settings. Introducing pharmaceutical care in primary care in Iceland is making great efforts to follow other countries, which are bringing the pharmacist more into patient care. General practitioners are key stakeholders in this endeavor. The aim of this study was to introduce pharmacist-led pharmaceutical care into primary care clinics in Iceland in collaboration with general practitioners by presenting different setting structures. Action research provided the framework for this research. Data was collected from pharmaceutical care interventions, whereby the pharmaceutical care practitioner ensures that each of a patient’s medications is assessed to determine if it is appropriate, effective, safe, and that the patient can take medicine as expected. Sources of data included pharmaceutical care notes on patients, researcher’s notes, meetings, and interviews with general practitioners over the period of the study. The study ran from September 2013 to October 2015. Three separate semi-structured in-depth interviews were conducted with five general practitioners from one primary health care clinic in Iceland at different time points throughout the study. Pharmaceutical care was provided to elderly patients (n = 125) before and between general practitioners’ interviews. The study setting was a primary care clinic in the Reykjavik area and the patients’ homes. Results showed that the GPs’ knowledge about pharmacist competencies as healthcare providers and their potential in patient care increased. GPs would now like to have access to a pharmacist on a daily basis. Direct contact between the pharmacist and GPs is better when working in the same physical space. Pharmacist’s access to medical records is necessary for optimal service. Pharmacist-led clinical service was deemed most needed in dose dispensing polypharmacy patients. This research indicated that it was essential to introduce Icelandic GPs to the potential contribution of pharmacists in patient care and that action research was a useful methodology to promote and develop a relationship between those two health care providers in primary care in Iceland.","author":[{"dropping-particle":"","family":"Blondal","given":"Anna Bryndis","non-dropping-particle":"","parse-names":false,"suffix":""},{"dropping-particle":"","family":"Sporrong","given":"Sofia Kalvemark","non-dropping-particle":"","parse-names":false,"suffix":""},{"dropping-particle":"","family":"Almarsdottir","given":"Anna Birna","non-dropping-particle":"","parse-names":false,"suffix":""}],"container-title":"MDPI Pharmacy","id":"ITEM-1","issue":"4","issued":{"date-parts":[["2017"]]},"page":"23","title":"Introducing Pharmaceutical Care to Primary Care in Iceland—An Action Research Study","type":"article-journal","volume":"5"},"uris":["http://www.mendeley.com/documents/?uuid=ca02dac1-9348-428b-9acc-9176b46adc4e"]}],"mendeley":{"formattedCitation":"(Blondal, Sporrong and Almarsdottir, 2017)","manualFormatting":"Blondal et al. (2017)","plainTextFormattedCitation":"(Blondal, Sporrong and Almarsdottir, 2017)","previouslyFormattedCitation":"(Blondal, Sporrong and Almarsdottir, 2017)"},"properties":{"noteIndex":0},"schema":"https://github.com/citation-style-language/schema/raw/master/csl-citation.json"}</w:instrText>
      </w:r>
      <w:r w:rsidRPr="00A376C7">
        <w:rPr>
          <w:rFonts w:asciiTheme="minorBidi" w:hAnsiTheme="minorBidi"/>
          <w:color w:val="000000"/>
          <w:sz w:val="24"/>
          <w:szCs w:val="24"/>
          <w:shd w:val="clear" w:color="auto" w:fill="FFFFFF"/>
          <w:lang w:val="en-GB"/>
        </w:rPr>
        <w:fldChar w:fldCharType="separate"/>
      </w:r>
      <w:r w:rsidRPr="00A376C7">
        <w:rPr>
          <w:rFonts w:asciiTheme="minorBidi" w:hAnsiTheme="minorBidi"/>
          <w:noProof/>
          <w:color w:val="000000"/>
          <w:sz w:val="24"/>
          <w:szCs w:val="24"/>
          <w:shd w:val="clear" w:color="auto" w:fill="FFFFFF"/>
          <w:lang w:val="en-GB"/>
        </w:rPr>
        <w:t>Blondal</w:t>
      </w:r>
      <w:r>
        <w:rPr>
          <w:rFonts w:asciiTheme="minorBidi" w:hAnsiTheme="minorBidi"/>
          <w:noProof/>
          <w:color w:val="000000"/>
          <w:sz w:val="24"/>
          <w:szCs w:val="24"/>
          <w:shd w:val="clear" w:color="auto" w:fill="FFFFFF"/>
          <w:lang w:val="en-GB"/>
        </w:rPr>
        <w:t xml:space="preserve"> et al. (</w:t>
      </w:r>
      <w:r w:rsidRPr="00A376C7">
        <w:rPr>
          <w:rFonts w:asciiTheme="minorBidi" w:hAnsiTheme="minorBidi"/>
          <w:noProof/>
          <w:color w:val="000000"/>
          <w:sz w:val="24"/>
          <w:szCs w:val="24"/>
          <w:shd w:val="clear" w:color="auto" w:fill="FFFFFF"/>
          <w:lang w:val="en-GB"/>
        </w:rPr>
        <w:t>2017)</w:t>
      </w:r>
      <w:r w:rsidRPr="00A376C7">
        <w:rPr>
          <w:rFonts w:asciiTheme="minorBidi" w:hAnsiTheme="minorBidi"/>
          <w:color w:val="000000"/>
          <w:sz w:val="24"/>
          <w:szCs w:val="24"/>
          <w:shd w:val="clear" w:color="auto" w:fill="FFFFFF"/>
          <w:lang w:val="en-GB"/>
        </w:rPr>
        <w:fldChar w:fldCharType="end"/>
      </w:r>
      <w:r w:rsidRPr="00A376C7">
        <w:rPr>
          <w:rFonts w:asciiTheme="minorBidi" w:hAnsiTheme="minorBidi"/>
          <w:color w:val="000000"/>
          <w:sz w:val="24"/>
          <w:szCs w:val="24"/>
          <w:shd w:val="clear" w:color="auto" w:fill="FFFFFF"/>
          <w:lang w:val="en-GB"/>
        </w:rPr>
        <w:t xml:space="preserve"> highlighted </w:t>
      </w:r>
      <w:r>
        <w:rPr>
          <w:rFonts w:asciiTheme="minorBidi" w:hAnsiTheme="minorBidi"/>
          <w:color w:val="000000"/>
          <w:sz w:val="24"/>
          <w:szCs w:val="24"/>
          <w:shd w:val="clear" w:color="auto" w:fill="FFFFFF"/>
          <w:lang w:val="en-GB"/>
        </w:rPr>
        <w:t xml:space="preserve">that </w:t>
      </w:r>
      <w:r>
        <w:rPr>
          <w:rFonts w:asciiTheme="minorBidi" w:hAnsiTheme="minorBidi"/>
          <w:sz w:val="24"/>
          <w:szCs w:val="24"/>
          <w:shd w:val="clear" w:color="auto" w:fill="FFFFFF"/>
          <w:lang w:val="en-GB"/>
        </w:rPr>
        <w:t>t</w:t>
      </w:r>
      <w:r w:rsidRPr="00A376C7">
        <w:rPr>
          <w:rFonts w:asciiTheme="minorBidi" w:hAnsiTheme="minorBidi"/>
          <w:sz w:val="24"/>
          <w:szCs w:val="24"/>
          <w:shd w:val="clear" w:color="auto" w:fill="FFFFFF"/>
          <w:lang w:val="en-GB"/>
        </w:rPr>
        <w:t xml:space="preserve">he main challenge in </w:t>
      </w:r>
      <w:r>
        <w:rPr>
          <w:rFonts w:asciiTheme="minorBidi" w:hAnsiTheme="minorBidi"/>
          <w:sz w:val="24"/>
          <w:szCs w:val="24"/>
          <w:shd w:val="clear" w:color="auto" w:fill="FFFFFF"/>
          <w:lang w:val="en-GB"/>
        </w:rPr>
        <w:t>countries</w:t>
      </w:r>
      <w:r w:rsidRPr="00A376C7">
        <w:rPr>
          <w:rFonts w:asciiTheme="minorBidi" w:hAnsiTheme="minorBidi"/>
          <w:sz w:val="24"/>
          <w:szCs w:val="24"/>
          <w:shd w:val="clear" w:color="auto" w:fill="FFFFFF"/>
          <w:lang w:val="en-GB"/>
        </w:rPr>
        <w:t xml:space="preserve"> </w:t>
      </w:r>
      <w:r>
        <w:rPr>
          <w:rFonts w:asciiTheme="minorBidi" w:hAnsiTheme="minorBidi"/>
          <w:sz w:val="24"/>
          <w:szCs w:val="24"/>
          <w:shd w:val="clear" w:color="auto" w:fill="FFFFFF"/>
          <w:lang w:val="en-GB"/>
        </w:rPr>
        <w:t>lacking</w:t>
      </w:r>
      <w:r w:rsidRPr="00A376C7">
        <w:rPr>
          <w:rFonts w:asciiTheme="minorBidi" w:hAnsiTheme="minorBidi"/>
          <w:sz w:val="24"/>
          <w:szCs w:val="24"/>
          <w:shd w:val="clear" w:color="auto" w:fill="FFFFFF"/>
          <w:lang w:val="en-GB"/>
        </w:rPr>
        <w:t xml:space="preserve"> a pharmacist-led pharmaceutical care services in their primary care clinics is that there is little communication between community pharmacists and general practitioners (GPs) on clinical and medication issues.</w:t>
      </w:r>
      <w:r>
        <w:rPr>
          <w:rFonts w:asciiTheme="minorBidi" w:hAnsiTheme="minorBidi"/>
          <w:sz w:val="24"/>
          <w:szCs w:val="24"/>
          <w:shd w:val="clear" w:color="auto" w:fill="FFFFFF"/>
          <w:lang w:val="en-GB"/>
        </w:rPr>
        <w:t xml:space="preserve"> </w:t>
      </w:r>
      <w:r w:rsidRPr="00A376C7">
        <w:rPr>
          <w:rFonts w:asciiTheme="minorBidi" w:hAnsiTheme="minorBidi"/>
          <w:sz w:val="24"/>
          <w:szCs w:val="24"/>
          <w:shd w:val="clear" w:color="auto" w:fill="FFFFFF"/>
          <w:lang w:val="en-GB"/>
        </w:rPr>
        <w:t xml:space="preserve">The action research study in Iceland found that the most efficient collaboration between pharmacists and GPs is when they work side by side at the primary care clinic because the relationship between those two </w:t>
      </w:r>
      <w:r>
        <w:rPr>
          <w:rFonts w:asciiTheme="minorBidi" w:hAnsiTheme="minorBidi"/>
          <w:sz w:val="24"/>
          <w:szCs w:val="24"/>
          <w:shd w:val="clear" w:color="auto" w:fill="FFFFFF"/>
          <w:lang w:val="en-GB"/>
        </w:rPr>
        <w:t>HCPs</w:t>
      </w:r>
      <w:r w:rsidRPr="00A376C7">
        <w:rPr>
          <w:rFonts w:asciiTheme="minorBidi" w:hAnsiTheme="minorBidi"/>
          <w:sz w:val="24"/>
          <w:szCs w:val="24"/>
          <w:shd w:val="clear" w:color="auto" w:fill="FFFFFF"/>
          <w:lang w:val="en-GB"/>
        </w:rPr>
        <w:t xml:space="preserve"> </w:t>
      </w:r>
      <w:r>
        <w:rPr>
          <w:rFonts w:asciiTheme="minorBidi" w:hAnsiTheme="minorBidi"/>
          <w:sz w:val="24"/>
          <w:szCs w:val="24"/>
          <w:shd w:val="clear" w:color="auto" w:fill="FFFFFF"/>
          <w:lang w:val="en-GB"/>
        </w:rPr>
        <w:t>can be established and developed -</w:t>
      </w:r>
      <w:r w:rsidRPr="00A376C7">
        <w:rPr>
          <w:rFonts w:asciiTheme="minorBidi" w:hAnsiTheme="minorBidi"/>
          <w:sz w:val="24"/>
          <w:szCs w:val="24"/>
          <w:shd w:val="clear" w:color="auto" w:fill="FFFFFF"/>
          <w:lang w:val="en-GB"/>
        </w:rPr>
        <w:t xml:space="preserve"> when they are working in the same clinic</w:t>
      </w:r>
      <w:r>
        <w:rPr>
          <w:rFonts w:asciiTheme="minorBidi" w:hAnsiTheme="minorBidi"/>
          <w:sz w:val="24"/>
          <w:szCs w:val="24"/>
          <w:shd w:val="clear" w:color="auto" w:fill="FFFFFF"/>
          <w:lang w:val="en-GB"/>
        </w:rPr>
        <w:t xml:space="preserve"> </w:t>
      </w:r>
      <w:r>
        <w:rPr>
          <w:rFonts w:asciiTheme="minorBidi" w:hAnsiTheme="minorBidi"/>
          <w:sz w:val="24"/>
          <w:szCs w:val="24"/>
          <w:shd w:val="clear" w:color="auto" w:fill="FFFFFF"/>
          <w:lang w:val="en-GB"/>
        </w:rPr>
        <w:fldChar w:fldCharType="begin" w:fldLock="1"/>
      </w:r>
      <w:r>
        <w:rPr>
          <w:rFonts w:asciiTheme="minorBidi" w:hAnsiTheme="minorBidi"/>
          <w:sz w:val="24"/>
          <w:szCs w:val="24"/>
          <w:shd w:val="clear" w:color="auto" w:fill="FFFFFF"/>
          <w:lang w:val="en-GB"/>
        </w:rPr>
        <w:instrText>ADDIN CSL_CITATION {"citationItems":[{"id":"ITEM-1","itemData":{"DOI":"10.3390/pharmacy5020023","ISSN":"2226-4787","abstract":"Even though pharmaceutical care is not a new concept in pharmacy, its introduction and development has proved to be challenging. In Iceland, general practitioners are not familiar with pharmaceutical care and additionally no such service is offered in pharmacies or primary care settings. Introducing pharmaceutical care in primary care in Iceland is making great efforts to follow other countries, which are bringing the pharmacist more into patient care. General practitioners are key stakeholders in this endeavor. The aim of this study was to introduce pharmacist-led pharmaceutical care into primary care clinics in Iceland in collaboration with general practitioners by presenting different setting structures. Action research provided the framework for this research. Data was collected from pharmaceutical care interventions, whereby the pharmaceutical care practitioner ensures that each of a patient’s medications is assessed to determine if it is appropriate, effective, safe, and that the patient can take medicine as expected. Sources of data included pharmaceutical care notes on patients, researcher’s notes, meetings, and interviews with general practitioners over the period of the study. The study ran from September 2013 to October 2015. Three separate semi-structured in-depth interviews were conducted with five general practitioners from one primary health care clinic in Iceland at different time points throughout the study. Pharmaceutical care was provided to elderly patients (n = 125) before and between general practitioners’ interviews. The study setting was a primary care clinic in the Reykjavik area and the patients’ homes. Results showed that the GPs’ knowledge about pharmacist competencies as healthcare providers and their potential in patient care increased. GPs would now like to have access to a pharmacist on a daily basis. Direct contact between the pharmacist and GPs is better when working in the same physical space. Pharmacist’s access to medical records is necessary for optimal service. Pharmacist-led clinical service was deemed most needed in dose dispensing polypharmacy patients. This research indicated that it was essential to introduce Icelandic GPs to the potential contribution of pharmacists in patient care and that action research was a useful methodology to promote and develop a relationship between those two health care providers in primary care in Iceland.","author":[{"dropping-particle":"","family":"Blondal","given":"Anna Bryndis","non-dropping-particle":"","parse-names":false,"suffix":""},{"dropping-particle":"","family":"Sporrong","given":"Sofia Kalvemark","non-dropping-particle":"","parse-names":false,"suffix":""},{"dropping-particle":"","family":"Almarsdottir","given":"Anna Birna","non-dropping-particle":"","parse-names":false,"suffix":""}],"container-title":"MDPI Pharmacy","id":"ITEM-1","issue":"4","issued":{"date-parts":[["2017"]]},"page":"23","title":"Introducing Pharmaceutical Care to Primary Care in Iceland—An Action Research Study","type":"article-journal","volume":"5"},"uris":["http://www.mendeley.com/documents/?uuid=ca02dac1-9348-428b-9acc-9176b46adc4e"]}],"mendeley":{"formattedCitation":"(Blondal, Sporrong and Almarsdottir, 2017)","manualFormatting":"( Blondal et al., 2017)","plainTextFormattedCitation":"(Blondal, Sporrong and Almarsdottir, 2017)","previouslyFormattedCitation":"(Blondal, Sporrong and Almarsdottir, 2017)"},"properties":{"noteIndex":0},"schema":"https://github.com/citation-style-language/schema/raw/master/csl-citation.json"}</w:instrText>
      </w:r>
      <w:r>
        <w:rPr>
          <w:rFonts w:asciiTheme="minorBidi" w:hAnsiTheme="minorBidi"/>
          <w:sz w:val="24"/>
          <w:szCs w:val="24"/>
          <w:shd w:val="clear" w:color="auto" w:fill="FFFFFF"/>
          <w:lang w:val="en-GB"/>
        </w:rPr>
        <w:fldChar w:fldCharType="separate"/>
      </w:r>
      <w:r w:rsidRPr="00884C0C">
        <w:rPr>
          <w:rFonts w:asciiTheme="minorBidi" w:hAnsiTheme="minorBidi"/>
          <w:noProof/>
          <w:sz w:val="24"/>
          <w:szCs w:val="24"/>
          <w:shd w:val="clear" w:color="auto" w:fill="FFFFFF"/>
          <w:lang w:val="en-GB"/>
        </w:rPr>
        <w:t>(</w:t>
      </w:r>
      <w:r w:rsidRPr="00436D9E">
        <w:rPr>
          <w:rFonts w:asciiTheme="minorBidi" w:hAnsiTheme="minorBidi"/>
          <w:noProof/>
          <w:color w:val="000000"/>
          <w:sz w:val="24"/>
          <w:szCs w:val="24"/>
          <w:shd w:val="clear" w:color="auto" w:fill="FFFFFF"/>
          <w:lang w:val="en-GB"/>
        </w:rPr>
        <w:t xml:space="preserve"> </w:t>
      </w:r>
      <w:r w:rsidRPr="00A376C7">
        <w:rPr>
          <w:rFonts w:asciiTheme="minorBidi" w:hAnsiTheme="minorBidi"/>
          <w:noProof/>
          <w:color w:val="000000"/>
          <w:sz w:val="24"/>
          <w:szCs w:val="24"/>
          <w:shd w:val="clear" w:color="auto" w:fill="FFFFFF"/>
          <w:lang w:val="en-GB"/>
        </w:rPr>
        <w:t>Blondal</w:t>
      </w:r>
      <w:r>
        <w:rPr>
          <w:rFonts w:asciiTheme="minorBidi" w:hAnsiTheme="minorBidi"/>
          <w:noProof/>
          <w:color w:val="000000"/>
          <w:sz w:val="24"/>
          <w:szCs w:val="24"/>
          <w:shd w:val="clear" w:color="auto" w:fill="FFFFFF"/>
          <w:lang w:val="en-GB"/>
        </w:rPr>
        <w:t xml:space="preserve"> et al.</w:t>
      </w:r>
      <w:r w:rsidRPr="00884C0C">
        <w:rPr>
          <w:rFonts w:asciiTheme="minorBidi" w:hAnsiTheme="minorBidi"/>
          <w:noProof/>
          <w:sz w:val="24"/>
          <w:szCs w:val="24"/>
          <w:shd w:val="clear" w:color="auto" w:fill="FFFFFF"/>
          <w:lang w:val="en-GB"/>
        </w:rPr>
        <w:t>, 2017)</w:t>
      </w:r>
      <w:r>
        <w:rPr>
          <w:rFonts w:asciiTheme="minorBidi" w:hAnsiTheme="minorBidi"/>
          <w:sz w:val="24"/>
          <w:szCs w:val="24"/>
          <w:shd w:val="clear" w:color="auto" w:fill="FFFFFF"/>
          <w:lang w:val="en-GB"/>
        </w:rPr>
        <w:fldChar w:fldCharType="end"/>
      </w:r>
      <w:r>
        <w:rPr>
          <w:rFonts w:asciiTheme="minorBidi" w:hAnsiTheme="minorBidi"/>
          <w:sz w:val="24"/>
          <w:szCs w:val="24"/>
          <w:shd w:val="clear" w:color="auto" w:fill="FFFFFF"/>
          <w:lang w:val="en-GB"/>
        </w:rPr>
        <w:t xml:space="preserve">. </w:t>
      </w:r>
      <w:r w:rsidRPr="006844C5">
        <w:rPr>
          <w:rFonts w:asciiTheme="minorBidi" w:hAnsiTheme="minorBidi"/>
          <w:sz w:val="24"/>
          <w:szCs w:val="24"/>
          <w:shd w:val="clear" w:color="auto" w:fill="FFFFFF"/>
          <w:lang w:val="en-GB"/>
        </w:rPr>
        <w:t xml:space="preserve">This </w:t>
      </w:r>
      <w:r w:rsidR="00125DD4" w:rsidRPr="006844C5">
        <w:rPr>
          <w:rFonts w:asciiTheme="minorBidi" w:hAnsiTheme="minorBidi"/>
          <w:sz w:val="24"/>
          <w:szCs w:val="24"/>
          <w:shd w:val="clear" w:color="auto" w:fill="FFFFFF"/>
          <w:lang w:val="en-GB"/>
        </w:rPr>
        <w:t xml:space="preserve">is </w:t>
      </w:r>
      <w:r w:rsidRPr="006844C5">
        <w:rPr>
          <w:rFonts w:asciiTheme="minorBidi" w:hAnsiTheme="minorBidi"/>
          <w:sz w:val="24"/>
          <w:szCs w:val="24"/>
          <w:shd w:val="clear" w:color="auto" w:fill="FFFFFF"/>
          <w:lang w:val="en-GB"/>
        </w:rPr>
        <w:t xml:space="preserve">also supported by </w:t>
      </w:r>
      <w:r w:rsidRPr="006844C5">
        <w:rPr>
          <w:rFonts w:asciiTheme="minorBidi" w:hAnsiTheme="minorBidi"/>
          <w:sz w:val="24"/>
          <w:szCs w:val="24"/>
          <w:shd w:val="clear" w:color="auto" w:fill="FFFFFF"/>
          <w:lang w:val="en-GB"/>
        </w:rPr>
        <w:fldChar w:fldCharType="begin" w:fldLock="1"/>
      </w:r>
      <w:r w:rsidR="008C7645" w:rsidRPr="006844C5">
        <w:rPr>
          <w:rFonts w:asciiTheme="minorBidi" w:hAnsiTheme="minorBidi"/>
          <w:sz w:val="24"/>
          <w:szCs w:val="24"/>
          <w:shd w:val="clear" w:color="auto" w:fill="FFFFFF"/>
          <w:lang w:val="en-GB"/>
        </w:rPr>
        <w:instrText>ADDIN CSL_CITATION {"citationItems":[{"id":"ITEM-1","itemData":{"DOI":"10.5334/gh.1184","ISSN":"22118179","PMID":"36846722","abstract":"Objective: To assess whether inter-professional, bidirectional collaboration between general practitioners (GPs) and pharmacists has an impact on improving cardiovascular risk outcomes among patients in the primary care setting. It also aimed to understand the different types of collaborative care models used. Study design: Systematic review and Hartung-Knapp-Sidik-Jonkman random effects meta-analyses of randomised control trials (RCTs) in inter-professional bidirectional collaboration between GP and pharmacists assessing a change of patient cardiovascular risk in the primary care setting. Data sources: MEDLINE, EMBASE, Cochrane, CINAHL and International Pharmaceutical Abstracts, scanned reference lists of relevant studies, hand searched key journals and key papers until August 2021. Data synthesis: Twenty-eight RCTs were identified. Collaboration was associated with significant reductions in systolic and diastolic blood pressure (23 studies, 5,620 participants) of –6.42 mmHg (95% confidence interval (95%CI) –7.99 to –4.84) and –2.33 mmHg (95%CI –3.76 to –0.91), respectively. Changes in other cardiovascular risk factors included total cholesterol (6 studies, 1,917 participants) –0.26 mmol/L (95%CI –0.49 to –0.03); low-density lipoprotein (8 studies, 1,817 participants) –0.16 mmol/L (95%CI –0.63 to 0.32); high-density lipoprotein (7 studies, 1,525 participants) 0.02 mmol/L (95%CI –0.02 to 0.07). Reduction in haemoglobin A1c (HbA1C) (10 studies, 2,025 participants), body mass index (8 studies, 1,708 participants) and smoking cessation (1 study, 132 participants) was observed with GP-pharmacist collaboration. Meta-analysis was not conducted for these changes. Various models of collaborative care included verbal communication (via phone calls or face to face), and written communication (emails, letters). We found that co-location was associated with positive changes in cardiovascular risk factors. Conclusion: Although it is clear that collaborative care is ideal compared to usual care, greater details in the description of the collaborative model of care in studies is required for a core comprehensive evaluation of the different models of collaboration.","author":[{"dropping-particle":"","family":"Chaudhri","given":"Kanika","non-dropping-particle":"","parse-names":false,"suffix":""},{"dropping-particle":"","family":"Caleres","given":"Gabriella","non-dropping-particle":"","parse-names":false,"suffix":""},{"dropping-particle":"","family":"Saunders","given":"Samantha","non-dropping-particle":"","parse-names":false,"suffix":""},{"dropping-particle":"","family":"Michail","given":"Peter","non-dropping-particle":"","parse-names":false,"suffix":""},{"dropping-particle":"","family":"Tanna","given":"Gian Luca","non-dropping-particle":"Di","parse-names":false,"suffix":""},{"dropping-particle":"","family":"Lung","given":"Thomas","non-dropping-particle":"","parse-names":false,"suffix":""},{"dropping-particle":"","family":"Liu","given":"Hueiming","non-dropping-particle":"","parse-names":false,"suffix":""},{"dropping-particle":"","family":"Joshi","given":"Rohina","non-dropping-particle":"","parse-names":false,"suffix":""}],"container-title":"Global Heart","id":"ITEM-1","issue":"1","issued":{"date-parts":[["2023"]]},"title":"Does Collaboration between General Practitioners and Pharmacists Improve Risk Factors for Cardiovascular Disease and Diabetes? A Systematic Review and Meta-Analysis","type":"article-journal","volume":"18"},"uris":["http://www.mendeley.com/documents/?uuid=4f4a5e14-9316-43ae-afb9-c7e0200c729b"]}],"mendeley":{"formattedCitation":"(Chaudhri &lt;i&gt;et al.&lt;/i&gt;, 2023)","manualFormatting":"Chaudhri et al. (2023)","plainTextFormattedCitation":"(Chaudhri et al., 2023)","previouslyFormattedCitation":"(Chaudhri &lt;i&gt;et al.&lt;/i&gt;, 2023)"},"properties":{"noteIndex":0},"schema":"https://github.com/citation-style-language/schema/raw/master/csl-citation.json"}</w:instrText>
      </w:r>
      <w:r w:rsidRPr="006844C5">
        <w:rPr>
          <w:rFonts w:asciiTheme="minorBidi" w:hAnsiTheme="minorBidi"/>
          <w:sz w:val="24"/>
          <w:szCs w:val="24"/>
          <w:shd w:val="clear" w:color="auto" w:fill="FFFFFF"/>
          <w:lang w:val="en-GB"/>
        </w:rPr>
        <w:fldChar w:fldCharType="separate"/>
      </w:r>
      <w:r w:rsidRPr="006844C5">
        <w:rPr>
          <w:rFonts w:asciiTheme="minorBidi" w:hAnsiTheme="minorBidi"/>
          <w:noProof/>
          <w:sz w:val="24"/>
          <w:szCs w:val="24"/>
          <w:shd w:val="clear" w:color="auto" w:fill="FFFFFF"/>
          <w:lang w:val="en-GB"/>
        </w:rPr>
        <w:t xml:space="preserve">Chaudhri </w:t>
      </w:r>
      <w:r w:rsidRPr="006844C5">
        <w:rPr>
          <w:rFonts w:asciiTheme="minorBidi" w:hAnsiTheme="minorBidi"/>
          <w:i/>
          <w:noProof/>
          <w:sz w:val="24"/>
          <w:szCs w:val="24"/>
          <w:shd w:val="clear" w:color="auto" w:fill="FFFFFF"/>
          <w:lang w:val="en-GB"/>
        </w:rPr>
        <w:t>et al.</w:t>
      </w:r>
      <w:r w:rsidRPr="006844C5">
        <w:rPr>
          <w:rFonts w:asciiTheme="minorBidi" w:hAnsiTheme="minorBidi"/>
          <w:noProof/>
          <w:sz w:val="24"/>
          <w:szCs w:val="24"/>
          <w:shd w:val="clear" w:color="auto" w:fill="FFFFFF"/>
          <w:lang w:val="en-GB"/>
        </w:rPr>
        <w:t xml:space="preserve"> </w:t>
      </w:r>
      <w:r w:rsidR="00E9548C" w:rsidRPr="006844C5">
        <w:rPr>
          <w:rFonts w:asciiTheme="minorBidi" w:hAnsiTheme="minorBidi"/>
          <w:noProof/>
          <w:sz w:val="24"/>
          <w:szCs w:val="24"/>
          <w:shd w:val="clear" w:color="auto" w:fill="FFFFFF"/>
          <w:lang w:val="en-GB"/>
        </w:rPr>
        <w:t>(</w:t>
      </w:r>
      <w:r w:rsidRPr="006844C5">
        <w:rPr>
          <w:rFonts w:asciiTheme="minorBidi" w:hAnsiTheme="minorBidi"/>
          <w:noProof/>
          <w:sz w:val="24"/>
          <w:szCs w:val="24"/>
          <w:shd w:val="clear" w:color="auto" w:fill="FFFFFF"/>
          <w:lang w:val="en-GB"/>
        </w:rPr>
        <w:t>2023)</w:t>
      </w:r>
      <w:r w:rsidRPr="006844C5">
        <w:rPr>
          <w:rFonts w:asciiTheme="minorBidi" w:hAnsiTheme="minorBidi"/>
          <w:sz w:val="24"/>
          <w:szCs w:val="24"/>
          <w:shd w:val="clear" w:color="auto" w:fill="FFFFFF"/>
          <w:lang w:val="en-GB"/>
        </w:rPr>
        <w:fldChar w:fldCharType="end"/>
      </w:r>
      <w:r w:rsidRPr="006844C5">
        <w:rPr>
          <w:rFonts w:asciiTheme="minorBidi" w:hAnsiTheme="minorBidi"/>
          <w:sz w:val="24"/>
          <w:szCs w:val="24"/>
          <w:shd w:val="clear" w:color="auto" w:fill="FFFFFF"/>
          <w:lang w:val="en-GB"/>
        </w:rPr>
        <w:t xml:space="preserve">, </w:t>
      </w:r>
      <w:r w:rsidR="008C7645" w:rsidRPr="006844C5">
        <w:rPr>
          <w:rFonts w:asciiTheme="minorBidi" w:hAnsiTheme="minorBidi"/>
          <w:sz w:val="24"/>
          <w:szCs w:val="24"/>
          <w:shd w:val="clear" w:color="auto" w:fill="FFFFFF"/>
          <w:lang w:val="en-GB"/>
        </w:rPr>
        <w:t xml:space="preserve">who found that the collaboration between pharmacists and doctors when they work at the same site was associated with improvements in CVD risk factors. </w:t>
      </w:r>
      <w:r w:rsidRPr="006844C5">
        <w:rPr>
          <w:rFonts w:asciiTheme="minorBidi" w:hAnsiTheme="minorBidi"/>
          <w:sz w:val="24"/>
          <w:szCs w:val="24"/>
          <w:shd w:val="clear" w:color="auto" w:fill="FFFFFF"/>
          <w:lang w:val="en-GB"/>
        </w:rPr>
        <w:t xml:space="preserve"> </w:t>
      </w:r>
    </w:p>
    <w:p w14:paraId="319A1EFC" w14:textId="77777777" w:rsidR="00610EEE" w:rsidRDefault="00610EEE" w:rsidP="00610EEE">
      <w:pPr>
        <w:shd w:val="clear" w:color="auto" w:fill="FFFFFF"/>
        <w:spacing w:line="360" w:lineRule="auto"/>
        <w:jc w:val="both"/>
        <w:rPr>
          <w:rFonts w:asciiTheme="minorBidi" w:hAnsiTheme="minorBidi"/>
          <w:sz w:val="24"/>
          <w:szCs w:val="24"/>
          <w:shd w:val="clear" w:color="auto" w:fill="FFFFFF"/>
          <w:lang w:val="en-GB"/>
        </w:rPr>
      </w:pPr>
      <w:r w:rsidRPr="000902A0">
        <w:rPr>
          <w:rFonts w:asciiTheme="minorBidi" w:hAnsiTheme="minorBidi"/>
          <w:sz w:val="24"/>
          <w:szCs w:val="24"/>
          <w:shd w:val="clear" w:color="auto" w:fill="FFFFFF"/>
          <w:lang w:val="en-GB"/>
        </w:rPr>
        <w:t xml:space="preserve">Therefore, </w:t>
      </w:r>
      <w:r w:rsidRPr="00D224F2">
        <w:rPr>
          <w:rFonts w:asciiTheme="minorBidi" w:hAnsiTheme="minorBidi"/>
          <w:sz w:val="24"/>
          <w:szCs w:val="24"/>
          <w:shd w:val="clear" w:color="auto" w:fill="FFFFFF"/>
          <w:lang w:val="en-GB"/>
        </w:rPr>
        <w:t xml:space="preserve">the presence of the pharmacist in </w:t>
      </w:r>
      <w:r>
        <w:rPr>
          <w:rFonts w:asciiTheme="minorBidi" w:hAnsiTheme="minorBidi"/>
          <w:sz w:val="24"/>
          <w:szCs w:val="24"/>
          <w:shd w:val="clear" w:color="auto" w:fill="FFFFFF"/>
          <w:lang w:val="en-GB"/>
        </w:rPr>
        <w:t>PHCs</w:t>
      </w:r>
      <w:r w:rsidRPr="00D224F2">
        <w:rPr>
          <w:rFonts w:asciiTheme="minorBidi" w:hAnsiTheme="minorBidi"/>
          <w:sz w:val="24"/>
          <w:szCs w:val="24"/>
          <w:shd w:val="clear" w:color="auto" w:fill="FFFFFF"/>
          <w:lang w:val="en-GB"/>
        </w:rPr>
        <w:t xml:space="preserve"> in SA could potentially help to provide a high quality of patient care, as well as improve the delivery of healthcare services. Pharmacists working </w:t>
      </w:r>
      <w:r w:rsidRPr="000902A0">
        <w:rPr>
          <w:rFonts w:asciiTheme="minorBidi" w:hAnsiTheme="minorBidi"/>
          <w:sz w:val="24"/>
          <w:szCs w:val="24"/>
          <w:shd w:val="clear" w:color="auto" w:fill="FFFFFF"/>
          <w:lang w:val="en-GB"/>
        </w:rPr>
        <w:t xml:space="preserve">closely with other healthcare providers </w:t>
      </w:r>
      <w:r>
        <w:rPr>
          <w:rFonts w:asciiTheme="minorBidi" w:hAnsiTheme="minorBidi"/>
          <w:sz w:val="24"/>
          <w:szCs w:val="24"/>
          <w:shd w:val="clear" w:color="auto" w:fill="FFFFFF"/>
          <w:lang w:val="en-GB"/>
        </w:rPr>
        <w:t xml:space="preserve">(HCPs) </w:t>
      </w:r>
      <w:r w:rsidRPr="000902A0">
        <w:rPr>
          <w:rFonts w:asciiTheme="minorBidi" w:hAnsiTheme="minorBidi"/>
          <w:sz w:val="24"/>
          <w:szCs w:val="24"/>
          <w:shd w:val="clear" w:color="auto" w:fill="FFFFFF"/>
          <w:lang w:val="en-GB"/>
        </w:rPr>
        <w:t xml:space="preserve">in PHCs can enhance planning and designing the delivery of healthcare services in the most effective way.  </w:t>
      </w:r>
    </w:p>
    <w:p w14:paraId="00A379B9" w14:textId="77777777" w:rsidR="00610EEE" w:rsidRPr="00451F3E" w:rsidRDefault="00610EEE" w:rsidP="00610EEE">
      <w:pPr>
        <w:shd w:val="clear" w:color="auto" w:fill="FFFFFF"/>
        <w:spacing w:line="360" w:lineRule="auto"/>
        <w:jc w:val="both"/>
        <w:rPr>
          <w:rFonts w:asciiTheme="minorBidi" w:hAnsiTheme="minorBidi"/>
          <w:sz w:val="24"/>
          <w:szCs w:val="24"/>
          <w:shd w:val="clear" w:color="auto" w:fill="FFFFFF"/>
          <w:lang w:val="en-GB"/>
        </w:rPr>
      </w:pPr>
    </w:p>
    <w:p w14:paraId="469C1394" w14:textId="612969A4" w:rsidR="00364131" w:rsidRPr="00364131" w:rsidRDefault="00364131" w:rsidP="00364131">
      <w:pPr>
        <w:pStyle w:val="Heading2"/>
        <w:tabs>
          <w:tab w:val="left" w:pos="630"/>
        </w:tabs>
        <w:spacing w:line="257" w:lineRule="auto"/>
        <w:ind w:left="432"/>
        <w:rPr>
          <w:lang w:val="en-GB"/>
        </w:rPr>
      </w:pPr>
      <w:bookmarkStart w:id="10" w:name="_Toc153894128"/>
      <w:r w:rsidRPr="006B2FC7">
        <w:rPr>
          <w:rFonts w:cs="Arial"/>
          <w:lang w:val="en-GB"/>
        </w:rPr>
        <w:t xml:space="preserve">Primary healthcare in </w:t>
      </w:r>
      <w:r>
        <w:rPr>
          <w:rFonts w:cs="Arial"/>
          <w:lang w:val="en-GB"/>
        </w:rPr>
        <w:t>Saudi Arabia</w:t>
      </w:r>
      <w:bookmarkEnd w:id="10"/>
    </w:p>
    <w:p w14:paraId="60542A69" w14:textId="42F42466" w:rsidR="00756461" w:rsidRPr="00364131" w:rsidRDefault="008445AD" w:rsidP="00137F09">
      <w:pPr>
        <w:spacing w:line="360" w:lineRule="auto"/>
        <w:jc w:val="both"/>
        <w:rPr>
          <w:rFonts w:ascii="Arial" w:hAnsi="Arial" w:cs="Arial"/>
          <w:color w:val="FF0000"/>
          <w:sz w:val="24"/>
          <w:szCs w:val="24"/>
          <w:lang w:val="en-GB"/>
        </w:rPr>
      </w:pPr>
      <w:r w:rsidRPr="00364131">
        <w:rPr>
          <w:rFonts w:ascii="Arial" w:hAnsi="Arial" w:cs="Arial"/>
          <w:sz w:val="24"/>
          <w:szCs w:val="24"/>
          <w:lang w:val="en-GB"/>
        </w:rPr>
        <w:t xml:space="preserve">Health services in SA improved significantly in 2000. According to the WHO’s ranking of the world health systems, SA </w:t>
      </w:r>
      <w:r w:rsidR="00190761" w:rsidRPr="00364131">
        <w:rPr>
          <w:rFonts w:ascii="Arial" w:hAnsi="Arial" w:cs="Arial"/>
          <w:sz w:val="24"/>
          <w:szCs w:val="24"/>
          <w:lang w:val="en-GB"/>
        </w:rPr>
        <w:t>was</w:t>
      </w:r>
      <w:r w:rsidRPr="00364131">
        <w:rPr>
          <w:rFonts w:ascii="Arial" w:hAnsi="Arial" w:cs="Arial"/>
          <w:sz w:val="24"/>
          <w:szCs w:val="24"/>
          <w:lang w:val="en-GB"/>
        </w:rPr>
        <w:t xml:space="preserve"> ranked 26</w:t>
      </w:r>
      <w:r w:rsidRPr="00364131">
        <w:rPr>
          <w:rFonts w:ascii="Arial" w:hAnsi="Arial" w:cs="Arial"/>
          <w:sz w:val="24"/>
          <w:szCs w:val="24"/>
          <w:vertAlign w:val="superscript"/>
          <w:lang w:val="en-GB"/>
        </w:rPr>
        <w:t>th</w:t>
      </w:r>
      <w:r w:rsidRPr="00364131">
        <w:rPr>
          <w:rFonts w:ascii="Arial" w:hAnsi="Arial" w:cs="Arial"/>
          <w:sz w:val="24"/>
          <w:szCs w:val="24"/>
          <w:lang w:val="en-GB"/>
        </w:rPr>
        <w:t xml:space="preserve"> for the efficiency of its performance </w:t>
      </w:r>
      <w:r w:rsidRPr="00364131">
        <w:rPr>
          <w:rFonts w:ascii="Arial" w:hAnsi="Arial" w:cs="Arial"/>
          <w:sz w:val="24"/>
          <w:szCs w:val="24"/>
          <w:lang w:val="en-GB"/>
        </w:rPr>
        <w:fldChar w:fldCharType="begin" w:fldLock="1"/>
      </w:r>
      <w:r w:rsidRPr="00364131">
        <w:rPr>
          <w:rFonts w:ascii="Arial" w:hAnsi="Arial" w:cs="Arial"/>
          <w:sz w:val="24"/>
          <w:szCs w:val="24"/>
          <w:lang w:val="en-GB"/>
        </w:rPr>
        <w:instrText>ADDIN CSL_CITATION {"citationItems":[{"id":"ITEM-1","itemData":{"URL":"https://www.who.int/whr/2000/media_centre/press_release/en/","accessed":{"date-parts":[["2020","5","31"]]},"author":[{"dropping-particle":"","family":"WHO","given":"","non-dropping-particle":"","parse-names":false,"suffix":""}],"id":"ITEM-1","issued":{"date-parts":[["2000"]]},"title":"WHO | World Health Organization Assesses the World's Health Systems","type":"webpage"},"uris":["http://www.mendeley.com/documents/?uuid=75afe03c-58e3-3f9b-a96f-d8e7dd461c5c"]}],"mendeley":{"formattedCitation":"(WHO, 2000)","plainTextFormattedCitation":"(WHO, 2000)","previouslyFormattedCitation":"(WHO, 2000)"},"properties":{"noteIndex":0},"schema":"https://github.com/citation-style-language/schema/raw/master/csl-citation.json"}</w:instrText>
      </w:r>
      <w:r w:rsidRPr="00364131">
        <w:rPr>
          <w:rFonts w:ascii="Arial" w:hAnsi="Arial" w:cs="Arial"/>
          <w:sz w:val="24"/>
          <w:szCs w:val="24"/>
          <w:lang w:val="en-GB"/>
        </w:rPr>
        <w:fldChar w:fldCharType="separate"/>
      </w:r>
      <w:r w:rsidRPr="00364131">
        <w:rPr>
          <w:rFonts w:ascii="Arial" w:hAnsi="Arial" w:cs="Arial"/>
          <w:noProof/>
          <w:sz w:val="24"/>
          <w:szCs w:val="24"/>
          <w:lang w:val="en-GB"/>
        </w:rPr>
        <w:t>(WHO, 2000)</w:t>
      </w:r>
      <w:r w:rsidRPr="00364131">
        <w:rPr>
          <w:rFonts w:ascii="Arial" w:hAnsi="Arial" w:cs="Arial"/>
          <w:sz w:val="24"/>
          <w:szCs w:val="24"/>
          <w:lang w:val="en-GB"/>
        </w:rPr>
        <w:fldChar w:fldCharType="end"/>
      </w:r>
      <w:r w:rsidRPr="00364131">
        <w:rPr>
          <w:rFonts w:ascii="Arial" w:hAnsi="Arial" w:cs="Arial"/>
          <w:sz w:val="24"/>
          <w:szCs w:val="24"/>
          <w:lang w:val="en-GB"/>
        </w:rPr>
        <w:t>. However,</w:t>
      </w:r>
      <w:r w:rsidR="003A44BB" w:rsidRPr="00364131">
        <w:rPr>
          <w:rFonts w:ascii="Arial" w:hAnsi="Arial" w:cs="Arial"/>
          <w:sz w:val="24"/>
          <w:szCs w:val="24"/>
          <w:lang w:val="en-GB"/>
        </w:rPr>
        <w:t xml:space="preserve"> </w:t>
      </w:r>
      <w:r w:rsidR="003A44BB" w:rsidRPr="00364131">
        <w:rPr>
          <w:rFonts w:ascii="Arial" w:hAnsi="Arial" w:cs="Arial"/>
          <w:sz w:val="24"/>
          <w:szCs w:val="24"/>
          <w:shd w:val="clear" w:color="auto" w:fill="FFFFFF"/>
          <w:lang w:val="en-GB"/>
        </w:rPr>
        <w:fldChar w:fldCharType="begin" w:fldLock="1"/>
      </w:r>
      <w:r w:rsidR="007A4CAB">
        <w:rPr>
          <w:rFonts w:ascii="Arial" w:hAnsi="Arial" w:cs="Arial"/>
          <w:sz w:val="24"/>
          <w:szCs w:val="24"/>
          <w:shd w:val="clear" w:color="auto" w:fill="FFFFFF"/>
          <w:lang w:val="en-GB"/>
        </w:rPr>
        <w:instrText>ADDIN CSL_CITATION {"citationItems":[{"id":"ITEM-1","itemData":{"URL":"https://www.statista.com/statistics/1376359/health-and-health-system-ranking-of-countries-worldwide/","abstract":"Health and health systems ranking of countries worldwide in 2023","author":[{"dropping-particle":"","family":"Vankar","given":"Preeti","non-dropping-particle":"","parse-names":false,"suffix":""}],"container-title":"Statista.com","id":"ITEM-1","issued":{"date-parts":[["2023"]]},"title":"Health and health systems ranking of countries worldwide in 2023","type":"webpage"},"uris":["http://www.mendeley.com/documents/?uuid=a7597ed4-8999-419c-9b4f-44b4cbbec2d8"]}],"mendeley":{"formattedCitation":"(Vankar, 2023)","manualFormatting":"Vankar","plainTextFormattedCitation":"(Vankar, 2023)","previouslyFormattedCitation":"(Vankar, 2023)"},"properties":{"noteIndex":0},"schema":"https://github.com/citation-style-language/schema/raw/master/csl-citation.json"}</w:instrText>
      </w:r>
      <w:r w:rsidR="003A44BB" w:rsidRPr="00364131">
        <w:rPr>
          <w:rFonts w:ascii="Arial" w:hAnsi="Arial" w:cs="Arial"/>
          <w:sz w:val="24"/>
          <w:szCs w:val="24"/>
          <w:shd w:val="clear" w:color="auto" w:fill="FFFFFF"/>
          <w:lang w:val="en-GB"/>
        </w:rPr>
        <w:fldChar w:fldCharType="separate"/>
      </w:r>
      <w:r w:rsidR="003A44BB" w:rsidRPr="00364131">
        <w:rPr>
          <w:rFonts w:ascii="Arial" w:hAnsi="Arial" w:cs="Arial"/>
          <w:noProof/>
          <w:sz w:val="24"/>
          <w:szCs w:val="24"/>
          <w:shd w:val="clear" w:color="auto" w:fill="FFFFFF"/>
          <w:lang w:val="en-GB"/>
        </w:rPr>
        <w:t>Vankar</w:t>
      </w:r>
      <w:r w:rsidR="003A44BB" w:rsidRPr="00364131">
        <w:rPr>
          <w:rFonts w:ascii="Arial" w:hAnsi="Arial" w:cs="Arial"/>
          <w:sz w:val="24"/>
          <w:szCs w:val="24"/>
          <w:shd w:val="clear" w:color="auto" w:fill="FFFFFF"/>
          <w:lang w:val="en-GB"/>
        </w:rPr>
        <w:fldChar w:fldCharType="end"/>
      </w:r>
      <w:r w:rsidR="00FE1E92" w:rsidRPr="00364131">
        <w:rPr>
          <w:rFonts w:ascii="Arial" w:hAnsi="Arial" w:cs="Arial"/>
          <w:sz w:val="24"/>
          <w:szCs w:val="24"/>
          <w:shd w:val="clear" w:color="auto" w:fill="FFFFFF"/>
          <w:lang w:val="en-GB"/>
        </w:rPr>
        <w:t>, 20</w:t>
      </w:r>
      <w:r w:rsidR="00C34AED" w:rsidRPr="00364131">
        <w:rPr>
          <w:rFonts w:ascii="Arial" w:hAnsi="Arial" w:cs="Arial"/>
          <w:sz w:val="24"/>
          <w:szCs w:val="24"/>
          <w:shd w:val="clear" w:color="auto" w:fill="FFFFFF"/>
          <w:lang w:val="en-GB"/>
        </w:rPr>
        <w:t>2</w:t>
      </w:r>
      <w:r w:rsidR="00FE1E92" w:rsidRPr="00364131">
        <w:rPr>
          <w:rFonts w:ascii="Arial" w:hAnsi="Arial" w:cs="Arial"/>
          <w:sz w:val="24"/>
          <w:szCs w:val="24"/>
          <w:shd w:val="clear" w:color="auto" w:fill="FFFFFF"/>
          <w:lang w:val="en-GB"/>
        </w:rPr>
        <w:t>3</w:t>
      </w:r>
      <w:r w:rsidR="003A44BB" w:rsidRPr="00364131">
        <w:rPr>
          <w:rFonts w:ascii="Arial" w:hAnsi="Arial" w:cs="Arial"/>
          <w:sz w:val="24"/>
          <w:szCs w:val="24"/>
          <w:lang w:val="en-GB"/>
        </w:rPr>
        <w:t xml:space="preserve"> has published</w:t>
      </w:r>
      <w:r w:rsidRPr="00364131">
        <w:rPr>
          <w:rFonts w:ascii="Arial" w:hAnsi="Arial" w:cs="Arial"/>
          <w:sz w:val="24"/>
          <w:szCs w:val="24"/>
          <w:lang w:val="en-GB"/>
        </w:rPr>
        <w:t xml:space="preserve"> </w:t>
      </w:r>
      <w:r w:rsidR="00FE1E92" w:rsidRPr="00364131">
        <w:rPr>
          <w:rFonts w:ascii="Arial" w:hAnsi="Arial" w:cs="Arial"/>
          <w:sz w:val="24"/>
          <w:szCs w:val="24"/>
          <w:lang w:val="en-GB"/>
        </w:rPr>
        <w:t>the ranking of health and health systems of countries worldwide</w:t>
      </w:r>
      <w:r w:rsidR="001046B7" w:rsidRPr="00364131">
        <w:rPr>
          <w:rFonts w:ascii="Arial" w:hAnsi="Arial" w:cs="Arial"/>
          <w:sz w:val="24"/>
          <w:szCs w:val="24"/>
          <w:lang w:val="en-GB"/>
        </w:rPr>
        <w:t xml:space="preserve"> in the Statista website</w:t>
      </w:r>
      <w:r w:rsidR="00FE1E92" w:rsidRPr="00364131">
        <w:rPr>
          <w:rFonts w:ascii="Arial" w:hAnsi="Arial" w:cs="Arial"/>
          <w:sz w:val="24"/>
          <w:szCs w:val="24"/>
          <w:lang w:val="en-GB"/>
        </w:rPr>
        <w:t xml:space="preserve"> </w:t>
      </w:r>
      <w:r w:rsidR="0009483B" w:rsidRPr="00364131">
        <w:rPr>
          <w:rFonts w:ascii="Arial" w:hAnsi="Arial" w:cs="Arial"/>
          <w:sz w:val="24"/>
          <w:szCs w:val="24"/>
          <w:lang w:val="en-GB"/>
        </w:rPr>
        <w:t xml:space="preserve">in </w:t>
      </w:r>
      <w:r w:rsidR="00F51068" w:rsidRPr="00364131">
        <w:rPr>
          <w:rFonts w:ascii="Arial" w:hAnsi="Arial" w:cs="Arial"/>
          <w:sz w:val="24"/>
          <w:szCs w:val="24"/>
          <w:lang w:val="en-GB"/>
        </w:rPr>
        <w:t>which</w:t>
      </w:r>
      <w:r w:rsidRPr="00364131">
        <w:rPr>
          <w:rFonts w:ascii="Arial" w:hAnsi="Arial" w:cs="Arial"/>
          <w:sz w:val="24"/>
          <w:szCs w:val="24"/>
          <w:lang w:val="en-GB"/>
        </w:rPr>
        <w:t xml:space="preserve"> </w:t>
      </w:r>
      <w:r w:rsidR="006C1E9E" w:rsidRPr="00364131">
        <w:rPr>
          <w:rFonts w:ascii="Arial" w:hAnsi="Arial" w:cs="Arial"/>
          <w:sz w:val="24"/>
          <w:szCs w:val="24"/>
          <w:lang w:val="en-GB"/>
        </w:rPr>
        <w:t>SA</w:t>
      </w:r>
      <w:r w:rsidRPr="00364131">
        <w:rPr>
          <w:rFonts w:ascii="Arial" w:hAnsi="Arial" w:cs="Arial"/>
          <w:sz w:val="24"/>
          <w:szCs w:val="24"/>
          <w:lang w:val="en-GB"/>
        </w:rPr>
        <w:t xml:space="preserve"> </w:t>
      </w:r>
      <w:r w:rsidR="001C65EB" w:rsidRPr="00364131">
        <w:rPr>
          <w:rFonts w:ascii="Arial" w:hAnsi="Arial" w:cs="Arial"/>
          <w:sz w:val="24"/>
          <w:szCs w:val="24"/>
          <w:lang w:val="en-GB"/>
        </w:rPr>
        <w:t xml:space="preserve">has </w:t>
      </w:r>
      <w:r w:rsidRPr="00364131">
        <w:rPr>
          <w:rFonts w:ascii="Arial" w:hAnsi="Arial" w:cs="Arial"/>
          <w:sz w:val="24"/>
          <w:szCs w:val="24"/>
          <w:lang w:val="en-GB"/>
        </w:rPr>
        <w:t>ranked 56</w:t>
      </w:r>
      <w:r w:rsidR="001C65EB" w:rsidRPr="00364131">
        <w:rPr>
          <w:rFonts w:ascii="Arial" w:hAnsi="Arial" w:cs="Arial"/>
          <w:sz w:val="24"/>
          <w:szCs w:val="24"/>
          <w:vertAlign w:val="superscript"/>
          <w:lang w:val="en-GB"/>
        </w:rPr>
        <w:t>th</w:t>
      </w:r>
      <w:r w:rsidR="00F51068" w:rsidRPr="00364131">
        <w:rPr>
          <w:rFonts w:ascii="Arial" w:hAnsi="Arial" w:cs="Arial"/>
          <w:sz w:val="24"/>
          <w:szCs w:val="24"/>
          <w:lang w:val="en-GB"/>
        </w:rPr>
        <w:t xml:space="preserve"> for its system</w:t>
      </w:r>
      <w:r w:rsidR="00364131" w:rsidRPr="00364131">
        <w:rPr>
          <w:rFonts w:ascii="Arial" w:hAnsi="Arial" w:cs="Arial"/>
          <w:sz w:val="24"/>
          <w:szCs w:val="24"/>
          <w:lang w:val="en-GB"/>
        </w:rPr>
        <w:t xml:space="preserve"> </w:t>
      </w:r>
      <w:r w:rsidR="00364131" w:rsidRPr="00364131">
        <w:rPr>
          <w:rFonts w:ascii="Arial" w:hAnsi="Arial" w:cs="Arial"/>
          <w:sz w:val="24"/>
          <w:szCs w:val="24"/>
          <w:lang w:val="en-GB"/>
        </w:rPr>
        <w:fldChar w:fldCharType="begin" w:fldLock="1"/>
      </w:r>
      <w:r w:rsidR="007A4CAB">
        <w:rPr>
          <w:rFonts w:ascii="Arial" w:hAnsi="Arial" w:cs="Arial"/>
          <w:sz w:val="24"/>
          <w:szCs w:val="24"/>
          <w:lang w:val="en-GB"/>
        </w:rPr>
        <w:instrText>ADDIN CSL_CITATION {"citationItems":[{"id":"ITEM-1","itemData":{"URL":"https://www.statista.com/statistics/1376359/health-and-health-system-ranking-of-countries-worldwide/","abstract":"Health and health systems ranking of countries worldwide in 2023","author":[{"dropping-particle":"","family":"Vankar","given":"Preeti","non-dropping-particle":"","parse-names":false,"suffix":""}],"container-title":"Statista.com","id":"ITEM-1","issued":{"date-parts":[["2023"]]},"title":"Health and health systems ranking of countries worldwide in 2023","type":"webpage"},"uris":["http://www.mendeley.com/documents/?uuid=a7597ed4-8999-419c-9b4f-44b4cbbec2d8"]}],"mendeley":{"formattedCitation":"(Vankar, 2023)","plainTextFormattedCitation":"(Vankar, 2023)","previouslyFormattedCitation":"(Vankar, 2023)"},"properties":{"noteIndex":0},"schema":"https://github.com/citation-style-language/schema/raw/master/csl-citation.json"}</w:instrText>
      </w:r>
      <w:r w:rsidR="00364131" w:rsidRPr="00364131">
        <w:rPr>
          <w:rFonts w:ascii="Arial" w:hAnsi="Arial" w:cs="Arial"/>
          <w:sz w:val="24"/>
          <w:szCs w:val="24"/>
          <w:lang w:val="en-GB"/>
        </w:rPr>
        <w:fldChar w:fldCharType="separate"/>
      </w:r>
      <w:r w:rsidR="00364131" w:rsidRPr="00364131">
        <w:rPr>
          <w:rFonts w:ascii="Arial" w:hAnsi="Arial" w:cs="Arial"/>
          <w:noProof/>
          <w:sz w:val="24"/>
          <w:szCs w:val="24"/>
          <w:lang w:val="en-GB"/>
        </w:rPr>
        <w:t>(Vankar, 2023)</w:t>
      </w:r>
      <w:r w:rsidR="00364131" w:rsidRPr="00364131">
        <w:rPr>
          <w:rFonts w:ascii="Arial" w:hAnsi="Arial" w:cs="Arial"/>
          <w:sz w:val="24"/>
          <w:szCs w:val="24"/>
          <w:lang w:val="en-GB"/>
        </w:rPr>
        <w:fldChar w:fldCharType="end"/>
      </w:r>
      <w:r w:rsidR="00364131" w:rsidRPr="00364131">
        <w:rPr>
          <w:rFonts w:ascii="Arial" w:hAnsi="Arial" w:cs="Arial"/>
          <w:sz w:val="24"/>
          <w:szCs w:val="24"/>
          <w:lang w:val="en-GB"/>
        </w:rPr>
        <w:t>.</w:t>
      </w:r>
    </w:p>
    <w:p w14:paraId="5D28C5E0" w14:textId="77777777" w:rsidR="00610EEE" w:rsidRPr="006B2FC7" w:rsidRDefault="00610EEE" w:rsidP="00610EEE">
      <w:pPr>
        <w:shd w:val="clear" w:color="auto" w:fill="FFFFFF"/>
        <w:spacing w:line="360" w:lineRule="auto"/>
        <w:jc w:val="both"/>
        <w:rPr>
          <w:rFonts w:ascii="Arial" w:hAnsi="Arial" w:cs="Arial"/>
          <w:sz w:val="24"/>
          <w:szCs w:val="24"/>
          <w:lang w:val="en-GB"/>
        </w:rPr>
      </w:pPr>
      <w:r>
        <w:rPr>
          <w:rFonts w:ascii="Arial" w:hAnsi="Arial" w:cs="Arial"/>
          <w:sz w:val="24"/>
          <w:szCs w:val="24"/>
          <w:lang w:val="en-GB"/>
        </w:rPr>
        <w:t xml:space="preserve">PHCs </w:t>
      </w:r>
      <w:r w:rsidRPr="006B2FC7">
        <w:rPr>
          <w:rFonts w:ascii="Arial" w:hAnsi="Arial" w:cs="Arial"/>
          <w:sz w:val="24"/>
          <w:szCs w:val="24"/>
          <w:lang w:val="en-GB"/>
        </w:rPr>
        <w:t xml:space="preserve">in SA are the first level of contact for individuals with the health system. Based on the </w:t>
      </w:r>
      <w:r>
        <w:rPr>
          <w:rFonts w:ascii="Arial" w:hAnsi="Arial" w:cs="Arial"/>
          <w:sz w:val="24"/>
          <w:szCs w:val="24"/>
          <w:lang w:val="en-GB"/>
        </w:rPr>
        <w:t xml:space="preserve">Saudi </w:t>
      </w:r>
      <w:r w:rsidRPr="006B2FC7">
        <w:rPr>
          <w:rFonts w:ascii="Arial" w:hAnsi="Arial" w:cs="Arial"/>
          <w:sz w:val="24"/>
          <w:szCs w:val="24"/>
          <w:lang w:val="en-GB"/>
        </w:rPr>
        <w:t>M</w:t>
      </w:r>
      <w:r>
        <w:rPr>
          <w:rFonts w:ascii="Arial" w:hAnsi="Arial" w:cs="Arial"/>
          <w:sz w:val="24"/>
          <w:szCs w:val="24"/>
          <w:lang w:val="en-GB"/>
        </w:rPr>
        <w:t>o</w:t>
      </w:r>
      <w:r w:rsidRPr="006B2FC7">
        <w:rPr>
          <w:rFonts w:ascii="Arial" w:hAnsi="Arial" w:cs="Arial"/>
          <w:sz w:val="24"/>
          <w:szCs w:val="24"/>
          <w:lang w:val="en-GB"/>
        </w:rPr>
        <w:t>H statistical yearbook, there were around 2,259 PHCs across</w:t>
      </w:r>
      <w:r>
        <w:rPr>
          <w:rFonts w:ascii="Arial" w:hAnsi="Arial" w:cs="Arial"/>
          <w:sz w:val="24"/>
          <w:szCs w:val="24"/>
          <w:lang w:val="en-GB"/>
        </w:rPr>
        <w:t xml:space="preserve"> </w:t>
      </w:r>
      <w:r w:rsidRPr="006B2FC7">
        <w:rPr>
          <w:rFonts w:ascii="Arial" w:hAnsi="Arial" w:cs="Arial"/>
          <w:sz w:val="24"/>
          <w:szCs w:val="24"/>
          <w:lang w:val="en-GB"/>
        </w:rPr>
        <w:t xml:space="preserve">SA in 2012, and each centre provided healthcare services to approximately 13,455 people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{"citationItems":[{"id":"ITEM-1","itemData":{"DOI":"10.1080/20479700.2018.1433459","ISSN":"2047-9700","abstract":"With an anticipated population increase of 33% over the next three decades, the Saudi Arabian healthcare sector needs to cater to an every growing population and demand of healthcare services. The demand for healthcare is high as compared to the supply of healthcare services, a scenario recognized by the Saudi Arabian government, which has lately encouraged the private sector to match the shortfall and benefit from this potentially lucrative sector. This exploratory research thus assesses the development of healthcare services in the Kingdom of Saudi Arabia over the past nine decades and key elements impacting the Saudi Arabian healthcare sector and its future. The research indicates that automation would be a reality, training, and development of healthcare professional would gain a centre stage, and primary healthcare centres would be further developed. The research concludes that both public and private sector should address the issue of shortage of beds at the earliest, by utilizing the funding to develop new hospitals and also, by improving and growing the existing facilities. Furthermore, the government should restructure the funding of the healthcare sector so that it becomes self-reliant and less dependent on the government budget.","author":[{"dropping-particle":"","family":"Sajjad","given":"Rumaiya","non-dropping-particle":"","parse-names":false,"suffix":""},{"dropping-particle":"","family":"Qureshi","given":"Mohammed Owais","non-dropping-particle":"","parse-names":false,"suffix":""}],"container-title":"International Journal of Healthcare Management","id":"ITEM-1","issue":"0","issued":{"date-parts":[["2018"]]},"page":"1-9","publisher":"Taylor &amp; Francis","title":"An assessment of the healthcare services in the Kingdom of Saudi Arabia: An analysis of the old, current, and future systems","type":"article-journal","volume":"0"},"uris":["http://www.mendeley.com/documents/?uuid=ae0fa0c1-626d-44f6-9ba0-04544fca426b"]}],"mendeley":{"formattedCitation":"(Sajjad and Qureshi, 2018)","plainTextFormattedCitation":"(Sajjad and Qureshi, 2018)","previouslyFormattedCitation":"(Sajjad and Qureshi, 2018)"},"properties":{"noteIndex":0},"schema":"https://github.com/citation-style-language/schema/raw/master/csl-citation.json"}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(Sajjad and Qureshi, 2018)</w:t>
      </w:r>
      <w:r w:rsidRPr="006B2FC7">
        <w:rPr>
          <w:rFonts w:ascii="Arial" w:hAnsi="Arial" w:cs="Arial"/>
          <w:sz w:val="24"/>
          <w:szCs w:val="24"/>
          <w:lang w:val="en-GB"/>
        </w:rPr>
        <w:fldChar w:fldCharType="end"/>
      </w:r>
      <w:r w:rsidRPr="006B2FC7">
        <w:rPr>
          <w:rFonts w:ascii="Arial" w:hAnsi="Arial" w:cs="Arial"/>
          <w:sz w:val="24"/>
          <w:szCs w:val="24"/>
          <w:lang w:val="en-GB"/>
        </w:rPr>
        <w:t xml:space="preserve">. The number of PHCs increased to 2,282 in 2015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{"citationItems":[{"id":"ITEM-1","itemData":{"author":[{"dropping-particle":"","family":"Alharbi","given":"Musaed","non-dropping-particle":"","parse-names":false,"suffix":""}],"container-title":"Medwell journals","id":"ITEM-1","issue":"1","issued":{"date-parts":[["2018"]]},"page":"12-25","title":"An overview of the Reality of Healthcare Reform in Saudi Arabia with Emphasis on Public Hospitals: A Critical Appraisal","type":"article-journal","volume":"12"},"uris":["http://www.mendeley.com/documents/?uuid=2246d607-6743-40bf-a95f-7400832a0aee"]}],"mendeley":{"formattedCitation":"(Alharbi, 2018)","plainTextFormattedCitation":"(Alharbi, 2018)","previouslyFormattedCitation":"(Alharbi, 2018)"},"properties":{"noteIndex":0},"schema":"https://github.com/citation-style-language/schema/raw/master/csl-citation.json"}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(Alharbi, 2018)</w:t>
      </w:r>
      <w:r w:rsidRPr="006B2FC7">
        <w:rPr>
          <w:rFonts w:ascii="Arial" w:hAnsi="Arial" w:cs="Arial"/>
          <w:sz w:val="24"/>
          <w:szCs w:val="24"/>
          <w:lang w:val="en-GB"/>
        </w:rPr>
        <w:fldChar w:fldCharType="end"/>
      </w:r>
      <w:r w:rsidRPr="006B2FC7">
        <w:rPr>
          <w:rFonts w:ascii="Arial" w:hAnsi="Arial" w:cs="Arial"/>
          <w:sz w:val="24"/>
          <w:szCs w:val="24"/>
          <w:lang w:val="en-GB"/>
        </w:rPr>
        <w:t xml:space="preserve">. This growth indicates an increased demand for healthcare services at these centres. SA has a population growth rate of about 2.7% per year. As the population increases, so the need for health services rises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{"citationItems":[{"id":"ITEM-1","itemData":{"DOI":"10.1017/CBO9781107415324.004","ISBN":"9788578110796","ISSN":"1098-6596","PMID":"25246403","abstract":"Healthcare in Saudi Arabia: Increasing capacity, improving quality? is an Economist Intelligence Unit report which discusses the shifting healthcare landscape of Saudi Arabia; the challenge of expanding healthcare capacity in the kingdom; and measures to improve the quality of healthcare services. The findings of this briefing paper are based on desk research and interviews with a range of experts, conducted by TheThe Economist Intelligence Unit. The research was sponsored by Philips. The Economist Intelligence Unit bears sole responsibility for the content of this report. The findings and views expressed in the report do not necessarily reflect the views of the sponsor. Christopher Watts was the author of the report, and Aviva Freudmann was the editor.","author":[{"dropping-particle":"","family":"Lingawi","given":"Sattam","non-dropping-particle":"","parse-names":false,"suffix":""},{"dropping-particle":"","family":"Shalawi","given":"Musfer","non-dropping-particle":"","parse-names":false,"suffix":""},{"dropping-particle":"","family":"Bokhari","given":"Imad","non-dropping-particle":"","parse-names":false,"suffix":""},{"dropping-particle":"","family":"Jahdaly","given":"Emad","non-dropping-particle":"","parse-names":false,"suffix":""},{"dropping-particle":"Al","family":"Yamany","given":"Mahmoud","non-dropping-particle":"","parse-names":false,"suffix":""},{"dropping-particle":"","family":"Zamakhshary","given":"Mohammed","non-dropping-particle":"","parse-names":false,"suffix":""},{"dropping-particle":"","family":"Khaliq","given":"Amir a","non-dropping-particle":"","parse-names":false,"suffix":""}],"container-title":"The economist","id":"ITEM-1","issued":{"date-parts":[["2014"]]},"title":"Healthcare in Saudi Arabia Increasing capacity, improving quality?","type":"report"},"uris":["http://www.mendeley.com/documents/?uuid=7d31273f-d2c5-46b6-b82f-0c939222a3ee"]}],"mendeley":{"formattedCitation":"(Lingawi &lt;i&gt;et al.&lt;/i&gt;, 2014)","plainTextFormattedCitation":"(Lingawi et al., 2014)","previouslyFormattedCitation":"(Lingawi &lt;i&gt;et al.&lt;/i&gt;, 2014)"},"properties":{"noteIndex":0},"schema":"https://github.com/citation-style-language/schema/raw/master/csl-citation.json"}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 xml:space="preserve">(Lingawi </w:t>
      </w:r>
      <w:r w:rsidRPr="006B2FC7">
        <w:rPr>
          <w:rFonts w:ascii="Arial" w:hAnsi="Arial" w:cs="Arial"/>
          <w:i/>
          <w:noProof/>
          <w:sz w:val="24"/>
          <w:szCs w:val="24"/>
          <w:lang w:val="en-GB"/>
        </w:rPr>
        <w:t>et al.</w:t>
      </w:r>
      <w:r w:rsidRPr="006B2FC7">
        <w:rPr>
          <w:rFonts w:ascii="Arial" w:hAnsi="Arial" w:cs="Arial"/>
          <w:noProof/>
          <w:sz w:val="24"/>
          <w:szCs w:val="24"/>
          <w:lang w:val="en-GB"/>
        </w:rPr>
        <w:t>, 2014)</w:t>
      </w:r>
      <w:r w:rsidRPr="006B2FC7">
        <w:rPr>
          <w:rFonts w:ascii="Arial" w:hAnsi="Arial" w:cs="Arial"/>
          <w:sz w:val="24"/>
          <w:szCs w:val="24"/>
          <w:lang w:val="en-GB"/>
        </w:rPr>
        <w:fldChar w:fldCharType="end"/>
      </w:r>
      <w:r w:rsidRPr="006B2FC7">
        <w:rPr>
          <w:rFonts w:ascii="Arial" w:hAnsi="Arial" w:cs="Arial"/>
          <w:sz w:val="24"/>
          <w:szCs w:val="24"/>
          <w:lang w:val="en-GB"/>
        </w:rPr>
        <w:t xml:space="preserve">. In addition, life expectancy has increased, alongside the prevalence of chronic diseases such as diabetes, hypertension, heart disease and cancer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{"citationItems":[{"id":"ITEM-1","itemData":{"ISSN":"1718-3340","PMID":"22555119","abstract":"This review article provides information about the origins, history, evolution and current status of the Saudi healthcare system, which is currently being transformed from a publicly financed and managed welfare system to a market-oriented, employment-based, insurance-driven system. Since its inception in the 1920s, the system has provided free healthcare to all Saudi nationals at publicly owned facilities run by government-employed administrators and healthcare providers. For millions of foreign workers in the country, healthcare at privately owned for-profit facilities has been paid for either by the employer or by the individual. At the completion of the three-stage transition, everyone in the country, whether employed in the public or private sector, is expected to have insurance coverage provided by the employer. All Ministry of Health-owned hospitals will be divested to the private sector, whereas primary health centres are likely to be retained by the government. Many of the operational details of the transition are unclear at this stage and will be worked out in the coming years. This paper provides a context for these changes and highlights some of the existing issues and weaknesses. The article also points to some of the future challenges and cautions against pitfalls involved in the complete transformation of the system.","author":[{"dropping-particle":"","family":"Khaliq","given":"Amir A","non-dropping-particle":"","parse-names":false,"suffix":""}],"container-title":"World health &amp; population","id":"ITEM-1","issued":{"date-parts":[["2012"]]},"title":"The Saudi health care system: a view from the minaret.","type":"article-journal"},"uris":["http://www.mendeley.com/documents/?uuid=a5a39473-7d39-482d-8f99-8617df241aa6"]}],"mendeley":{"formattedCitation":"(Khaliq, 2012)","plainTextFormattedCitation":"(Khaliq, 2012)","previouslyFormattedCitation":"(Khaliq, 2012)"},"properties":{"noteIndex":0},"schema":"https://github.com/citation-style-language/schema/raw/master/csl-citation.json"}</w:instrText>
      </w:r>
      <w:r>
        <w:rPr>
          <w:rFonts w:ascii="Arial" w:hAnsi="Arial" w:cs="Arial"/>
          <w:sz w:val="24"/>
          <w:szCs w:val="24"/>
          <w:lang w:val="en-GB"/>
        </w:rPr>
        <w:fldChar w:fldCharType="separate"/>
      </w:r>
      <w:r w:rsidRPr="00B55EDD">
        <w:rPr>
          <w:rFonts w:ascii="Arial" w:hAnsi="Arial" w:cs="Arial"/>
          <w:noProof/>
          <w:sz w:val="24"/>
          <w:szCs w:val="24"/>
          <w:lang w:val="en-GB"/>
        </w:rPr>
        <w:t>(Khaliq, 2012)</w:t>
      </w:r>
      <w:r>
        <w:rPr>
          <w:rFonts w:ascii="Arial" w:hAnsi="Arial" w:cs="Arial"/>
          <w:sz w:val="24"/>
          <w:szCs w:val="24"/>
          <w:lang w:val="en-GB"/>
        </w:rPr>
        <w:fldChar w:fldCharType="end"/>
      </w:r>
      <w:r>
        <w:rPr>
          <w:rFonts w:ascii="Arial" w:hAnsi="Arial" w:cs="Arial"/>
          <w:sz w:val="24"/>
          <w:szCs w:val="24"/>
          <w:lang w:val="en-GB"/>
        </w:rPr>
        <w:t>.</w:t>
      </w:r>
      <w:r w:rsidRPr="006B2FC7">
        <w:rPr>
          <w:rFonts w:ascii="Arial" w:hAnsi="Arial" w:cs="Arial"/>
          <w:sz w:val="24"/>
          <w:szCs w:val="24"/>
          <w:lang w:val="en-GB"/>
        </w:rPr>
        <w:t xml:space="preserve"> </w:t>
      </w:r>
    </w:p>
    <w:p w14:paraId="003C1D30" w14:textId="23AB7121" w:rsidR="00610EEE" w:rsidRPr="006B2FC7" w:rsidRDefault="00610EEE" w:rsidP="00610EEE">
      <w:pPr>
        <w:shd w:val="clear" w:color="auto" w:fill="FFFFFF"/>
        <w:spacing w:line="360" w:lineRule="auto"/>
        <w:jc w:val="both"/>
        <w:rPr>
          <w:rFonts w:ascii="Arial" w:hAnsi="Arial" w:cs="Arial"/>
          <w:sz w:val="24"/>
          <w:szCs w:val="24"/>
          <w:lang w:val="en-GB"/>
        </w:rPr>
      </w:pPr>
      <w:r w:rsidRPr="006B2FC7">
        <w:rPr>
          <w:rFonts w:ascii="Arial" w:hAnsi="Arial" w:cs="Arial"/>
          <w:sz w:val="24"/>
          <w:szCs w:val="24"/>
          <w:lang w:val="en-GB"/>
        </w:rPr>
        <w:t>PHCs in SA include many services, such as chronic care, dental care, antenatal care, vaccinations,</w:t>
      </w:r>
      <w:r>
        <w:rPr>
          <w:rFonts w:ascii="Arial" w:hAnsi="Arial" w:cs="Arial"/>
          <w:sz w:val="24"/>
          <w:szCs w:val="24"/>
          <w:lang w:val="en-GB"/>
        </w:rPr>
        <w:t xml:space="preserve"> </w:t>
      </w:r>
      <w:r w:rsidRPr="006B2FC7">
        <w:rPr>
          <w:rFonts w:ascii="Arial" w:hAnsi="Arial" w:cs="Arial"/>
          <w:sz w:val="24"/>
          <w:szCs w:val="24"/>
          <w:lang w:val="en-GB"/>
        </w:rPr>
        <w:t>pharmaceutical care services</w:t>
      </w:r>
      <w:r w:rsidR="00DD229F">
        <w:rPr>
          <w:rFonts w:ascii="Arial" w:eastAsia="Times New Roman" w:hAnsi="Arial" w:cs="Arial"/>
          <w:color w:val="000000"/>
          <w:sz w:val="24"/>
          <w:szCs w:val="24"/>
          <w:lang w:val="en-GB"/>
        </w:rPr>
        <w:t>,</w:t>
      </w:r>
      <w:r>
        <w:rPr>
          <w:rFonts w:ascii="Arial" w:eastAsia="Times New Roman" w:hAnsi="Arial" w:cs="Arial"/>
          <w:color w:val="000000"/>
          <w:sz w:val="24"/>
          <w:szCs w:val="24"/>
          <w:lang w:val="en-GB"/>
        </w:rPr>
        <w:t xml:space="preserve"> and emergency services. PHCs also include several clinics such as g</w:t>
      </w:r>
      <w:r w:rsidRPr="00314995">
        <w:rPr>
          <w:rFonts w:ascii="Arial" w:eastAsia="Times New Roman" w:hAnsi="Arial" w:cs="Arial"/>
          <w:color w:val="000000"/>
          <w:sz w:val="24"/>
          <w:szCs w:val="24"/>
          <w:lang w:val="en-GB"/>
        </w:rPr>
        <w:t xml:space="preserve">eneral </w:t>
      </w:r>
      <w:r>
        <w:rPr>
          <w:rFonts w:ascii="Arial" w:eastAsia="Times New Roman" w:hAnsi="Arial" w:cs="Arial"/>
          <w:color w:val="000000"/>
          <w:sz w:val="24"/>
          <w:szCs w:val="24"/>
          <w:lang w:val="en-GB"/>
        </w:rPr>
        <w:t>p</w:t>
      </w:r>
      <w:r w:rsidRPr="00314995">
        <w:rPr>
          <w:rFonts w:ascii="Arial" w:eastAsia="Times New Roman" w:hAnsi="Arial" w:cs="Arial"/>
          <w:color w:val="000000"/>
          <w:sz w:val="24"/>
          <w:szCs w:val="24"/>
          <w:lang w:val="en-GB"/>
        </w:rPr>
        <w:t>hysicians</w:t>
      </w:r>
      <w:r w:rsidRPr="006B2FC7">
        <w:rPr>
          <w:rFonts w:ascii="Arial" w:hAnsi="Arial" w:cs="Arial"/>
          <w:sz w:val="24"/>
          <w:szCs w:val="24"/>
          <w:lang w:val="en-GB"/>
        </w:rPr>
        <w:t xml:space="preserve"> </w:t>
      </w:r>
      <w:r w:rsidRPr="002B2490">
        <w:rPr>
          <w:rFonts w:ascii="Arial" w:hAnsi="Arial" w:cs="Arial"/>
          <w:sz w:val="24"/>
          <w:szCs w:val="24"/>
          <w:lang w:val="en-GB"/>
        </w:rPr>
        <w:t>(G.P.)</w:t>
      </w:r>
      <w:r w:rsidRPr="006B2FC7">
        <w:rPr>
          <w:rFonts w:ascii="Arial" w:hAnsi="Arial" w:cs="Arial"/>
          <w:sz w:val="24"/>
          <w:szCs w:val="24"/>
          <w:lang w:val="en-GB"/>
        </w:rPr>
        <w:t xml:space="preserve"> clinics, family medicine clinics, dental clinics,</w:t>
      </w:r>
      <w:r w:rsidR="00DD229F">
        <w:rPr>
          <w:rFonts w:ascii="Arial" w:hAnsi="Arial" w:cs="Arial"/>
          <w:sz w:val="24"/>
          <w:szCs w:val="24"/>
          <w:lang w:val="en-GB"/>
        </w:rPr>
        <w:t xml:space="preserve"> </w:t>
      </w:r>
      <w:r w:rsidRPr="006B2FC7">
        <w:rPr>
          <w:rFonts w:ascii="Arial" w:hAnsi="Arial" w:cs="Arial"/>
          <w:sz w:val="24"/>
          <w:szCs w:val="24"/>
          <w:lang w:val="en-GB"/>
        </w:rPr>
        <w:t xml:space="preserve">X-ray and ultrasound clinics, </w:t>
      </w:r>
      <w:r w:rsidR="00DD229F" w:rsidRPr="006B2FC7">
        <w:rPr>
          <w:rFonts w:ascii="Arial" w:hAnsi="Arial" w:cs="Arial"/>
          <w:sz w:val="24"/>
          <w:szCs w:val="24"/>
          <w:lang w:val="en-GB"/>
        </w:rPr>
        <w:t>patient education</w:t>
      </w:r>
      <w:r w:rsidR="00DD229F">
        <w:rPr>
          <w:rFonts w:ascii="Arial" w:hAnsi="Arial" w:cs="Arial"/>
          <w:sz w:val="24"/>
          <w:szCs w:val="24"/>
          <w:lang w:val="en-GB"/>
        </w:rPr>
        <w:t xml:space="preserve"> </w:t>
      </w:r>
      <w:r>
        <w:rPr>
          <w:rFonts w:ascii="Arial" w:hAnsi="Arial" w:cs="Arial"/>
          <w:sz w:val="24"/>
          <w:szCs w:val="24"/>
          <w:lang w:val="en-GB"/>
        </w:rPr>
        <w:t xml:space="preserve">and </w:t>
      </w:r>
      <w:r w:rsidRPr="006B2FC7">
        <w:rPr>
          <w:rFonts w:ascii="Arial" w:hAnsi="Arial" w:cs="Arial"/>
          <w:sz w:val="24"/>
          <w:szCs w:val="24"/>
          <w:lang w:val="en-GB"/>
        </w:rPr>
        <w:t>smoking cessation clinics, which tend to deliver a higher quality of patient care</w:t>
      </w:r>
      <w:r>
        <w:rPr>
          <w:rFonts w:ascii="Arial" w:hAnsi="Arial" w:cs="Arial"/>
          <w:sz w:val="24"/>
          <w:szCs w:val="24"/>
          <w:lang w:val="en-GB"/>
        </w:rPr>
        <w:t xml:space="preserve"> (CBAHI, 2015)</w:t>
      </w:r>
      <w:r w:rsidRPr="006B2FC7">
        <w:rPr>
          <w:rFonts w:ascii="Arial" w:hAnsi="Arial" w:cs="Arial"/>
          <w:sz w:val="24"/>
          <w:szCs w:val="24"/>
          <w:lang w:val="en-GB"/>
        </w:rPr>
        <w:t>. Some PHCs also include internal medicine, paediatrics, obstetrics</w:t>
      </w:r>
      <w:r>
        <w:rPr>
          <w:rFonts w:ascii="Arial" w:hAnsi="Arial" w:cs="Arial"/>
          <w:sz w:val="24"/>
          <w:szCs w:val="24"/>
          <w:lang w:val="en-GB"/>
        </w:rPr>
        <w:t xml:space="preserve"> and </w:t>
      </w:r>
      <w:r w:rsidRPr="006B2FC7">
        <w:rPr>
          <w:rFonts w:ascii="Arial" w:hAnsi="Arial" w:cs="Arial"/>
          <w:sz w:val="24"/>
          <w:szCs w:val="24"/>
          <w:lang w:val="en-GB"/>
        </w:rPr>
        <w:t xml:space="preserve">gynaecology and geriatric clinics. Therefore, </w:t>
      </w:r>
      <w:r>
        <w:rPr>
          <w:rFonts w:ascii="Arial" w:hAnsi="Arial" w:cs="Arial"/>
          <w:sz w:val="24"/>
          <w:szCs w:val="24"/>
          <w:lang w:val="en-GB"/>
        </w:rPr>
        <w:t xml:space="preserve">the </w:t>
      </w:r>
      <w:r w:rsidRPr="006B2FC7">
        <w:rPr>
          <w:rFonts w:ascii="Arial" w:hAnsi="Arial" w:cs="Arial"/>
          <w:sz w:val="24"/>
          <w:szCs w:val="24"/>
          <w:lang w:val="en-GB"/>
        </w:rPr>
        <w:t xml:space="preserve">PHC in SA has shown the great benefits of inter-professional communication and the development of collaborative working relationships. According to findings from a 2013 study by Al Asmary et al in the </w:t>
      </w:r>
      <w:r>
        <w:rPr>
          <w:rFonts w:ascii="Arial" w:hAnsi="Arial" w:cs="Arial"/>
          <w:sz w:val="24"/>
          <w:szCs w:val="24"/>
          <w:lang w:val="en-GB"/>
        </w:rPr>
        <w:t>PHC</w:t>
      </w:r>
      <w:r w:rsidRPr="006B2FC7">
        <w:rPr>
          <w:rFonts w:ascii="Arial" w:hAnsi="Arial" w:cs="Arial"/>
          <w:sz w:val="24"/>
          <w:szCs w:val="24"/>
          <w:lang w:val="en-GB"/>
        </w:rPr>
        <w:t xml:space="preserve"> in Riyadh,</w:t>
      </w:r>
      <w:r>
        <w:rPr>
          <w:rFonts w:ascii="Arial" w:hAnsi="Arial" w:cs="Arial"/>
          <w:sz w:val="24"/>
          <w:szCs w:val="24"/>
          <w:lang w:val="en-GB"/>
        </w:rPr>
        <w:t xml:space="preserve"> SA</w:t>
      </w:r>
      <w:r w:rsidRPr="006B2FC7">
        <w:rPr>
          <w:rFonts w:ascii="Arial" w:hAnsi="Arial" w:cs="Arial"/>
          <w:sz w:val="24"/>
          <w:szCs w:val="24"/>
          <w:lang w:val="en-GB"/>
        </w:rPr>
        <w:t>, multidisciplinary care-based practice had positive outcomes for patients with uncontrolled type two diabetes, as HbA1c, fasting blood glucose (FBG), lipid profile, and</w:t>
      </w:r>
      <w:r>
        <w:rPr>
          <w:rFonts w:ascii="Arial" w:hAnsi="Arial" w:cs="Arial"/>
          <w:sz w:val="24"/>
          <w:szCs w:val="24"/>
          <w:lang w:val="en-GB"/>
        </w:rPr>
        <w:t xml:space="preserve"> blood pressure</w:t>
      </w:r>
      <w:r w:rsidRPr="006B2FC7">
        <w:rPr>
          <w:rFonts w:ascii="Arial" w:hAnsi="Arial" w:cs="Arial"/>
          <w:sz w:val="24"/>
          <w:szCs w:val="24"/>
          <w:lang w:val="en-GB"/>
        </w:rPr>
        <w:t xml:space="preserve"> </w:t>
      </w:r>
      <w:r>
        <w:rPr>
          <w:rFonts w:ascii="Arial" w:hAnsi="Arial" w:cs="Arial"/>
          <w:sz w:val="24"/>
          <w:szCs w:val="24"/>
          <w:lang w:val="en-GB"/>
        </w:rPr>
        <w:t>(</w:t>
      </w:r>
      <w:r w:rsidRPr="006B2FC7">
        <w:rPr>
          <w:rFonts w:ascii="Arial" w:hAnsi="Arial" w:cs="Arial"/>
          <w:sz w:val="24"/>
          <w:szCs w:val="24"/>
          <w:lang w:val="en-GB"/>
        </w:rPr>
        <w:t>BP</w:t>
      </w:r>
      <w:r>
        <w:rPr>
          <w:rFonts w:ascii="Arial" w:hAnsi="Arial" w:cs="Arial"/>
          <w:sz w:val="24"/>
          <w:szCs w:val="24"/>
          <w:lang w:val="en-GB"/>
        </w:rPr>
        <w:t>)</w:t>
      </w:r>
      <w:r w:rsidRPr="006B2FC7">
        <w:rPr>
          <w:rFonts w:ascii="Arial" w:hAnsi="Arial" w:cs="Arial"/>
          <w:sz w:val="24"/>
          <w:szCs w:val="24"/>
          <w:lang w:val="en-GB"/>
        </w:rPr>
        <w:t xml:space="preserve"> were significantly reduced in the post-intervention stage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2013)","plainTextFormattedCitation":"(Al Asmary et al., 2013)","previouslyFormattedCitation":"(Al Asmary &lt;i&gt;et al.&lt;/i&gt;, 2013)"},"properties":{"noteIndex":0},"schema":"https://github.com/citation-style-language/schema/raw/master/csl-citation.json"}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 xml:space="preserve">(Al Asmary </w:t>
      </w:r>
      <w:r w:rsidRPr="006B2FC7">
        <w:rPr>
          <w:rFonts w:ascii="Arial" w:hAnsi="Arial" w:cs="Arial"/>
          <w:iCs/>
          <w:noProof/>
          <w:sz w:val="24"/>
          <w:szCs w:val="24"/>
          <w:lang w:val="en-GB"/>
        </w:rPr>
        <w:t>et al.</w:t>
      </w:r>
      <w:r w:rsidRPr="006B2FC7">
        <w:rPr>
          <w:rFonts w:ascii="Arial" w:hAnsi="Arial" w:cs="Arial"/>
          <w:noProof/>
          <w:sz w:val="24"/>
          <w:szCs w:val="24"/>
          <w:lang w:val="en-GB"/>
        </w:rPr>
        <w:t>, 2013)</w:t>
      </w:r>
      <w:r w:rsidRPr="006B2FC7">
        <w:rPr>
          <w:rFonts w:ascii="Arial" w:hAnsi="Arial" w:cs="Arial"/>
          <w:sz w:val="24"/>
          <w:szCs w:val="24"/>
          <w:lang w:val="en-GB"/>
        </w:rPr>
        <w:fldChar w:fldCharType="end"/>
      </w:r>
      <w:r w:rsidRPr="006B2FC7">
        <w:rPr>
          <w:rFonts w:ascii="Arial" w:hAnsi="Arial" w:cs="Arial"/>
          <w:sz w:val="24"/>
          <w:szCs w:val="24"/>
          <w:lang w:val="en-GB"/>
        </w:rPr>
        <w:t>. The</w:t>
      </w:r>
      <w:r>
        <w:rPr>
          <w:rFonts w:ascii="Arial" w:hAnsi="Arial" w:cs="Arial"/>
          <w:sz w:val="24"/>
          <w:szCs w:val="24"/>
          <w:lang w:val="en-GB"/>
        </w:rPr>
        <w:t xml:space="preserve"> multidisciplinary care team (MDT) </w:t>
      </w:r>
      <w:r w:rsidRPr="006B2FC7">
        <w:rPr>
          <w:rFonts w:ascii="Arial" w:hAnsi="Arial" w:cs="Arial"/>
          <w:sz w:val="24"/>
          <w:szCs w:val="24"/>
          <w:lang w:val="en-GB"/>
        </w:rPr>
        <w:t>in this study included a family physician, clinical pharmacist, nurse, dietician, health educator, diabetic educator, and social worker. Therefore, team-based practice is one of the M</w:t>
      </w:r>
      <w:r>
        <w:rPr>
          <w:rFonts w:ascii="Arial" w:hAnsi="Arial" w:cs="Arial"/>
          <w:sz w:val="24"/>
          <w:szCs w:val="24"/>
          <w:lang w:val="en-GB"/>
        </w:rPr>
        <w:t>o</w:t>
      </w:r>
      <w:r w:rsidRPr="006B2FC7">
        <w:rPr>
          <w:rFonts w:ascii="Arial" w:hAnsi="Arial" w:cs="Arial"/>
          <w:sz w:val="24"/>
          <w:szCs w:val="24"/>
          <w:lang w:val="en-GB"/>
        </w:rPr>
        <w:t xml:space="preserve">H objectives which aims to improve the provision of PHCs and bring positive clinical and economic outcomes to healthcare organisations. </w:t>
      </w:r>
    </w:p>
    <w:p w14:paraId="1D3862C0" w14:textId="77777777" w:rsidR="00610EEE" w:rsidRDefault="00610EEE" w:rsidP="00610EEE">
      <w:pPr>
        <w:autoSpaceDE w:val="0"/>
        <w:autoSpaceDN w:val="0"/>
        <w:adjustRightInd w:val="0"/>
        <w:spacing w:line="360" w:lineRule="auto"/>
        <w:jc w:val="both"/>
        <w:rPr>
          <w:rFonts w:ascii="Arial" w:hAnsi="Arial" w:cs="Arial"/>
          <w:color w:val="FFFF00"/>
          <w:sz w:val="24"/>
          <w:szCs w:val="24"/>
          <w:lang w:val="en-GB"/>
        </w:rPr>
      </w:pPr>
      <w:r w:rsidRPr="006B2FC7">
        <w:rPr>
          <w:rFonts w:ascii="Arial" w:hAnsi="Arial" w:cs="Arial"/>
          <w:sz w:val="24"/>
          <w:szCs w:val="24"/>
          <w:lang w:val="en-GB"/>
        </w:rPr>
        <w:t xml:space="preserve">In light of the study above, the presence of the pharmacist in </w:t>
      </w:r>
      <w:r>
        <w:rPr>
          <w:rFonts w:ascii="Arial" w:hAnsi="Arial" w:cs="Arial"/>
          <w:sz w:val="24"/>
          <w:szCs w:val="24"/>
          <w:lang w:val="en-GB"/>
        </w:rPr>
        <w:t>the PHC</w:t>
      </w:r>
      <w:r w:rsidRPr="006B2FC7">
        <w:rPr>
          <w:rFonts w:ascii="Arial" w:hAnsi="Arial" w:cs="Arial"/>
          <w:sz w:val="24"/>
          <w:szCs w:val="24"/>
          <w:lang w:val="en-GB"/>
        </w:rPr>
        <w:t xml:space="preserve"> in</w:t>
      </w:r>
      <w:r>
        <w:rPr>
          <w:rFonts w:ascii="Arial" w:hAnsi="Arial" w:cs="Arial"/>
          <w:sz w:val="24"/>
          <w:szCs w:val="24"/>
          <w:lang w:val="en-GB"/>
        </w:rPr>
        <w:t xml:space="preserve"> </w:t>
      </w:r>
      <w:r w:rsidRPr="006B2FC7">
        <w:rPr>
          <w:rFonts w:ascii="Arial" w:hAnsi="Arial" w:cs="Arial"/>
          <w:sz w:val="24"/>
          <w:szCs w:val="24"/>
          <w:lang w:val="en-GB"/>
        </w:rPr>
        <w:t>SA could potentially provide a high quality of patient care, as well as improving the delivery of healthcare services.</w:t>
      </w:r>
      <w:r w:rsidRPr="006B2FC7">
        <w:rPr>
          <w:rFonts w:ascii="Arial" w:hAnsi="Arial" w:cs="Arial"/>
          <w:color w:val="FFFF00"/>
          <w:sz w:val="24"/>
          <w:szCs w:val="24"/>
          <w:lang w:val="en-GB"/>
        </w:rPr>
        <w:t xml:space="preserve"> </w:t>
      </w:r>
    </w:p>
    <w:p w14:paraId="17312EF4" w14:textId="77777777" w:rsidR="00610EEE" w:rsidRDefault="00610EEE" w:rsidP="00610EEE">
      <w:pPr>
        <w:autoSpaceDE w:val="0"/>
        <w:autoSpaceDN w:val="0"/>
        <w:adjustRightInd w:val="0"/>
        <w:spacing w:line="360" w:lineRule="auto"/>
        <w:jc w:val="both"/>
        <w:rPr>
          <w:rFonts w:ascii="Arial" w:hAnsi="Arial" w:cs="Arial"/>
          <w:color w:val="FFFF00"/>
          <w:sz w:val="24"/>
          <w:szCs w:val="24"/>
          <w:lang w:val="en-GB"/>
        </w:rPr>
      </w:pPr>
    </w:p>
    <w:p w14:paraId="05D62688" w14:textId="77777777" w:rsidR="00364131" w:rsidRDefault="00306680" w:rsidP="00364131">
      <w:pPr>
        <w:pStyle w:val="Heading2"/>
        <w:tabs>
          <w:tab w:val="left" w:pos="540"/>
        </w:tabs>
        <w:spacing w:line="257" w:lineRule="auto"/>
        <w:ind w:left="432"/>
        <w:rPr>
          <w:rFonts w:ascii="Segoe UI" w:hAnsi="Segoe UI" w:cs="Segoe UI"/>
          <w:b/>
          <w:bCs/>
          <w:sz w:val="18"/>
          <w:szCs w:val="18"/>
          <w:shd w:val="clear" w:color="auto" w:fill="FFFF00"/>
        </w:rPr>
      </w:pPr>
      <w:bookmarkStart w:id="11" w:name="_Toc153894129"/>
      <w:r>
        <w:t>M</w:t>
      </w:r>
      <w:r w:rsidR="00D17C98" w:rsidRPr="00364131">
        <w:t>y motivation and reflection for undertak</w:t>
      </w:r>
      <w:r w:rsidR="00364131">
        <w:t>ing</w:t>
      </w:r>
      <w:r w:rsidR="00D17C98" w:rsidRPr="00364131">
        <w:t xml:space="preserve"> this research</w:t>
      </w:r>
      <w:bookmarkEnd w:id="11"/>
      <w:r w:rsidRPr="00364131">
        <w:rPr>
          <w:rFonts w:ascii="Segoe UI" w:eastAsiaTheme="minorHAnsi" w:hAnsi="Segoe UI" w:cs="Segoe UI"/>
          <w:b/>
          <w:bCs/>
          <w:color w:val="auto"/>
          <w:sz w:val="18"/>
          <w:szCs w:val="18"/>
          <w:shd w:val="clear" w:color="auto" w:fill="FFFF00"/>
        </w:rPr>
        <w:t xml:space="preserve"> </w:t>
      </w:r>
    </w:p>
    <w:p w14:paraId="24C16A21" w14:textId="719F42E4" w:rsidR="00610EEE" w:rsidRPr="00364131" w:rsidRDefault="00610EEE" w:rsidP="00364131">
      <w:pPr>
        <w:spacing w:line="360" w:lineRule="auto"/>
        <w:jc w:val="both"/>
        <w:rPr>
          <w:rFonts w:ascii="Arial" w:hAnsi="Arial" w:cs="Arial"/>
          <w:sz w:val="24"/>
          <w:szCs w:val="24"/>
        </w:rPr>
      </w:pPr>
      <w:r w:rsidRPr="00364131">
        <w:rPr>
          <w:rFonts w:ascii="Arial" w:hAnsi="Arial" w:cs="Arial"/>
          <w:sz w:val="24"/>
          <w:szCs w:val="24"/>
        </w:rPr>
        <w:t xml:space="preserve">This study was undertaken </w:t>
      </w:r>
      <w:r w:rsidR="005F3496" w:rsidRPr="00364131">
        <w:rPr>
          <w:rFonts w:ascii="Arial" w:hAnsi="Arial" w:cs="Arial"/>
          <w:sz w:val="24"/>
          <w:szCs w:val="24"/>
        </w:rPr>
        <w:t xml:space="preserve">whilst I enrolled as a doctoral research </w:t>
      </w:r>
      <w:r w:rsidR="006F1D12" w:rsidRPr="00364131">
        <w:rPr>
          <w:rFonts w:ascii="Arial" w:hAnsi="Arial" w:cs="Arial"/>
          <w:sz w:val="24"/>
          <w:szCs w:val="24"/>
        </w:rPr>
        <w:t>student,</w:t>
      </w:r>
      <w:r w:rsidR="005F3496" w:rsidRPr="00364131">
        <w:rPr>
          <w:rFonts w:ascii="Arial" w:hAnsi="Arial" w:cs="Arial"/>
          <w:sz w:val="24"/>
          <w:szCs w:val="24"/>
        </w:rPr>
        <w:t xml:space="preserve"> but I also have experience as </w:t>
      </w:r>
      <w:r w:rsidRPr="00364131">
        <w:rPr>
          <w:rFonts w:ascii="Arial" w:hAnsi="Arial" w:cs="Arial"/>
          <w:sz w:val="24"/>
          <w:szCs w:val="24"/>
        </w:rPr>
        <w:t xml:space="preserve">a </w:t>
      </w:r>
      <w:r w:rsidR="006F1D12" w:rsidRPr="00364131">
        <w:rPr>
          <w:rFonts w:ascii="Arial" w:hAnsi="Arial" w:cs="Arial"/>
          <w:sz w:val="24"/>
          <w:szCs w:val="24"/>
        </w:rPr>
        <w:t>practicing</w:t>
      </w:r>
      <w:r w:rsidRPr="00364131">
        <w:rPr>
          <w:rFonts w:ascii="Arial" w:hAnsi="Arial" w:cs="Arial"/>
          <w:sz w:val="24"/>
          <w:szCs w:val="24"/>
        </w:rPr>
        <w:t xml:space="preserve"> pharmacist </w:t>
      </w:r>
      <w:r w:rsidR="005F3496" w:rsidRPr="00364131">
        <w:rPr>
          <w:rFonts w:ascii="Arial" w:hAnsi="Arial" w:cs="Arial"/>
          <w:sz w:val="24"/>
          <w:szCs w:val="24"/>
        </w:rPr>
        <w:t xml:space="preserve">in Saudi Arabia. I have pursued </w:t>
      </w:r>
      <w:r w:rsidR="00EF59A2" w:rsidRPr="00364131">
        <w:rPr>
          <w:rFonts w:ascii="Arial" w:hAnsi="Arial" w:cs="Arial"/>
          <w:sz w:val="24"/>
          <w:szCs w:val="24"/>
        </w:rPr>
        <w:t>interests</w:t>
      </w:r>
      <w:r w:rsidR="005F3496" w:rsidRPr="00364131">
        <w:rPr>
          <w:rFonts w:ascii="Arial" w:hAnsi="Arial" w:cs="Arial"/>
          <w:sz w:val="24"/>
          <w:szCs w:val="24"/>
        </w:rPr>
        <w:t xml:space="preserve"> in clinical practice through a </w:t>
      </w:r>
      <w:r w:rsidRPr="00364131">
        <w:rPr>
          <w:rFonts w:ascii="Arial" w:hAnsi="Arial" w:cs="Arial"/>
          <w:sz w:val="24"/>
          <w:szCs w:val="24"/>
        </w:rPr>
        <w:t xml:space="preserve">master's degree in advancing clinical pharmacy practice </w:t>
      </w:r>
      <w:r w:rsidR="005F3496" w:rsidRPr="00364131">
        <w:rPr>
          <w:rFonts w:ascii="Arial" w:hAnsi="Arial" w:cs="Arial"/>
          <w:sz w:val="24"/>
          <w:szCs w:val="24"/>
        </w:rPr>
        <w:t xml:space="preserve">in </w:t>
      </w:r>
      <w:r w:rsidRPr="00364131">
        <w:rPr>
          <w:rFonts w:ascii="Arial" w:hAnsi="Arial" w:cs="Arial"/>
          <w:sz w:val="24"/>
          <w:szCs w:val="24"/>
        </w:rPr>
        <w:t xml:space="preserve">the UK. </w:t>
      </w:r>
      <w:r w:rsidR="005F3496" w:rsidRPr="00364131">
        <w:rPr>
          <w:rFonts w:ascii="Arial" w:hAnsi="Arial" w:cs="Arial"/>
          <w:sz w:val="24"/>
          <w:szCs w:val="24"/>
        </w:rPr>
        <w:t xml:space="preserve">My practice experiences in Saudi Arabia included several years working as </w:t>
      </w:r>
      <w:r w:rsidRPr="00364131">
        <w:rPr>
          <w:rFonts w:ascii="Arial" w:hAnsi="Arial" w:cs="Arial"/>
          <w:sz w:val="24"/>
          <w:szCs w:val="24"/>
        </w:rPr>
        <w:t xml:space="preserve">a primary care pharmacist </w:t>
      </w:r>
      <w:r w:rsidR="005F3496" w:rsidRPr="00364131">
        <w:rPr>
          <w:rFonts w:ascii="Arial" w:hAnsi="Arial" w:cs="Arial"/>
          <w:sz w:val="24"/>
          <w:szCs w:val="24"/>
        </w:rPr>
        <w:t xml:space="preserve">undertaking </w:t>
      </w:r>
      <w:r w:rsidRPr="00364131">
        <w:rPr>
          <w:rFonts w:ascii="Arial" w:hAnsi="Arial" w:cs="Arial"/>
          <w:sz w:val="24"/>
          <w:szCs w:val="24"/>
        </w:rPr>
        <w:t>different roles, such as pharmacist practitioner, supervisor, and manager</w:t>
      </w:r>
      <w:r w:rsidR="00EF59A2" w:rsidRPr="00364131">
        <w:rPr>
          <w:rFonts w:ascii="Arial" w:hAnsi="Arial" w:cs="Arial"/>
          <w:sz w:val="24"/>
          <w:szCs w:val="24"/>
        </w:rPr>
        <w:t>. L</w:t>
      </w:r>
      <w:r w:rsidR="00896825" w:rsidRPr="00364131">
        <w:rPr>
          <w:rFonts w:ascii="Arial" w:hAnsi="Arial" w:cs="Arial"/>
          <w:sz w:val="24"/>
          <w:szCs w:val="24"/>
        </w:rPr>
        <w:t>inked to these I have been involved in mentoring of pharmacists and the developing of pharmacy service standards</w:t>
      </w:r>
      <w:r w:rsidRPr="00364131">
        <w:rPr>
          <w:rFonts w:ascii="Arial" w:hAnsi="Arial" w:cs="Arial"/>
          <w:sz w:val="24"/>
          <w:szCs w:val="24"/>
        </w:rPr>
        <w:t>.</w:t>
      </w:r>
      <w:r w:rsidR="00896825" w:rsidRPr="00364131">
        <w:rPr>
          <w:rFonts w:ascii="Arial" w:hAnsi="Arial" w:cs="Arial"/>
          <w:sz w:val="24"/>
          <w:szCs w:val="24"/>
        </w:rPr>
        <w:t xml:space="preserve"> </w:t>
      </w:r>
      <w:r w:rsidR="005F3496" w:rsidRPr="00364131">
        <w:rPr>
          <w:rFonts w:ascii="Arial" w:hAnsi="Arial" w:cs="Arial"/>
          <w:sz w:val="24"/>
          <w:szCs w:val="24"/>
        </w:rPr>
        <w:t>These</w:t>
      </w:r>
      <w:r w:rsidRPr="00364131">
        <w:rPr>
          <w:rFonts w:ascii="Arial" w:hAnsi="Arial" w:cs="Arial"/>
          <w:sz w:val="24"/>
          <w:szCs w:val="24"/>
        </w:rPr>
        <w:t xml:space="preserve"> leadership duties as a supervisor of pharmacists in Qatif PHCs</w:t>
      </w:r>
      <w:r w:rsidR="005F3496" w:rsidRPr="00364131">
        <w:rPr>
          <w:rFonts w:ascii="Arial" w:hAnsi="Arial" w:cs="Arial"/>
          <w:sz w:val="24"/>
          <w:szCs w:val="24"/>
        </w:rPr>
        <w:t xml:space="preserve">, in </w:t>
      </w:r>
      <w:r w:rsidR="00EF59A2" w:rsidRPr="00364131">
        <w:rPr>
          <w:rFonts w:ascii="Arial" w:hAnsi="Arial" w:cs="Arial"/>
          <w:sz w:val="24"/>
          <w:szCs w:val="24"/>
        </w:rPr>
        <w:t>particular, have</w:t>
      </w:r>
      <w:r w:rsidRPr="00364131">
        <w:rPr>
          <w:rFonts w:ascii="Arial" w:hAnsi="Arial" w:cs="Arial"/>
          <w:sz w:val="24"/>
          <w:szCs w:val="24"/>
        </w:rPr>
        <w:t xml:space="preserve"> </w:t>
      </w:r>
      <w:r w:rsidR="005F3496" w:rsidRPr="00364131">
        <w:rPr>
          <w:rFonts w:ascii="Arial" w:hAnsi="Arial" w:cs="Arial"/>
          <w:sz w:val="24"/>
          <w:szCs w:val="24"/>
        </w:rPr>
        <w:t>allowed me to remain</w:t>
      </w:r>
      <w:r w:rsidR="00DD2D39" w:rsidRPr="00364131">
        <w:rPr>
          <w:rFonts w:ascii="Arial" w:hAnsi="Arial" w:cs="Arial"/>
          <w:sz w:val="24"/>
          <w:szCs w:val="24"/>
        </w:rPr>
        <w:t xml:space="preserve"> </w:t>
      </w:r>
      <w:r w:rsidRPr="00364131">
        <w:rPr>
          <w:rFonts w:ascii="Arial" w:hAnsi="Arial" w:cs="Arial"/>
          <w:sz w:val="24"/>
          <w:szCs w:val="24"/>
        </w:rPr>
        <w:t xml:space="preserve">up to date with the newest pharmaceutical care practice in PHCs and seek more opportunities to involve pharmacists in patient care. </w:t>
      </w:r>
      <w:r w:rsidR="005F3496" w:rsidRPr="00364131">
        <w:rPr>
          <w:rFonts w:ascii="Arial" w:hAnsi="Arial" w:cs="Arial"/>
          <w:sz w:val="24"/>
          <w:szCs w:val="24"/>
        </w:rPr>
        <w:t>As has been argued</w:t>
      </w:r>
      <w:r w:rsidR="00896825" w:rsidRPr="00364131">
        <w:rPr>
          <w:rFonts w:ascii="Arial" w:hAnsi="Arial" w:cs="Arial"/>
          <w:sz w:val="24"/>
          <w:szCs w:val="24"/>
        </w:rPr>
        <w:t xml:space="preserve"> in </w:t>
      </w:r>
      <w:r w:rsidR="00EF59A2" w:rsidRPr="00364131">
        <w:rPr>
          <w:rFonts w:ascii="Arial" w:hAnsi="Arial" w:cs="Arial"/>
          <w:sz w:val="24"/>
          <w:szCs w:val="24"/>
        </w:rPr>
        <w:t>this</w:t>
      </w:r>
      <w:r w:rsidR="00896825" w:rsidRPr="00364131">
        <w:rPr>
          <w:rFonts w:ascii="Arial" w:hAnsi="Arial" w:cs="Arial"/>
          <w:sz w:val="24"/>
          <w:szCs w:val="24"/>
        </w:rPr>
        <w:t xml:space="preserve"> thesis</w:t>
      </w:r>
      <w:r w:rsidR="005F3496" w:rsidRPr="00364131">
        <w:rPr>
          <w:rFonts w:ascii="Arial" w:hAnsi="Arial" w:cs="Arial"/>
          <w:sz w:val="24"/>
          <w:szCs w:val="24"/>
        </w:rPr>
        <w:t>, d</w:t>
      </w:r>
      <w:r w:rsidRPr="00364131">
        <w:rPr>
          <w:rFonts w:ascii="Arial" w:hAnsi="Arial" w:cs="Arial"/>
          <w:sz w:val="24"/>
          <w:szCs w:val="24"/>
        </w:rPr>
        <w:t xml:space="preserve">iabetes care was </w:t>
      </w:r>
      <w:r w:rsidR="005F3496" w:rsidRPr="00364131">
        <w:rPr>
          <w:rFonts w:ascii="Arial" w:hAnsi="Arial" w:cs="Arial"/>
          <w:sz w:val="24"/>
          <w:szCs w:val="24"/>
        </w:rPr>
        <w:t>chosen as the focus of</w:t>
      </w:r>
      <w:r w:rsidRPr="00364131">
        <w:rPr>
          <w:rFonts w:ascii="Arial" w:hAnsi="Arial" w:cs="Arial"/>
          <w:sz w:val="24"/>
          <w:szCs w:val="24"/>
        </w:rPr>
        <w:t xml:space="preserve"> this research because it is a progressive disease and requires timely management to prevent serious health complications. </w:t>
      </w:r>
      <w:r w:rsidR="005F3496" w:rsidRPr="00364131">
        <w:rPr>
          <w:rFonts w:ascii="Arial" w:hAnsi="Arial" w:cs="Arial"/>
          <w:sz w:val="24"/>
          <w:szCs w:val="24"/>
        </w:rPr>
        <w:t>Considering my experiences, I feel that the</w:t>
      </w:r>
      <w:r w:rsidRPr="00364131">
        <w:rPr>
          <w:rFonts w:ascii="Arial" w:hAnsi="Arial" w:cs="Arial"/>
          <w:sz w:val="24"/>
          <w:szCs w:val="24"/>
        </w:rPr>
        <w:t xml:space="preserve"> ultimate goal of pharmac</w:t>
      </w:r>
      <w:r w:rsidR="005F3496" w:rsidRPr="00364131">
        <w:rPr>
          <w:rFonts w:ascii="Arial" w:hAnsi="Arial" w:cs="Arial"/>
          <w:sz w:val="24"/>
          <w:szCs w:val="24"/>
        </w:rPr>
        <w:t>y practice</w:t>
      </w:r>
      <w:r w:rsidRPr="00364131">
        <w:rPr>
          <w:rFonts w:ascii="Arial" w:hAnsi="Arial" w:cs="Arial"/>
          <w:sz w:val="24"/>
          <w:szCs w:val="24"/>
        </w:rPr>
        <w:t xml:space="preserve"> is to collaborate with healthcare professionals to provide effective and efficient patient care. </w:t>
      </w:r>
      <w:r w:rsidR="005F3496" w:rsidRPr="00364131">
        <w:rPr>
          <w:rFonts w:ascii="Arial" w:hAnsi="Arial" w:cs="Arial"/>
          <w:sz w:val="24"/>
          <w:szCs w:val="24"/>
        </w:rPr>
        <w:t xml:space="preserve">This belief in the value and potential of pharmacy led me to pursue this topic and to undertake research to explore </w:t>
      </w:r>
      <w:r w:rsidRPr="00364131">
        <w:rPr>
          <w:rFonts w:ascii="Arial" w:hAnsi="Arial" w:cs="Arial"/>
          <w:sz w:val="24"/>
          <w:szCs w:val="24"/>
        </w:rPr>
        <w:t>opportunities where pharmacists</w:t>
      </w:r>
      <w:r w:rsidR="005F3496" w:rsidRPr="00364131">
        <w:rPr>
          <w:rFonts w:ascii="Arial" w:hAnsi="Arial" w:cs="Arial"/>
          <w:sz w:val="24"/>
          <w:szCs w:val="24"/>
        </w:rPr>
        <w:t>’</w:t>
      </w:r>
      <w:r w:rsidRPr="00364131">
        <w:rPr>
          <w:rFonts w:ascii="Arial" w:hAnsi="Arial" w:cs="Arial"/>
          <w:sz w:val="24"/>
          <w:szCs w:val="24"/>
        </w:rPr>
        <w:t xml:space="preserve"> contribution</w:t>
      </w:r>
      <w:r w:rsidR="005F3496" w:rsidRPr="00364131">
        <w:rPr>
          <w:rFonts w:ascii="Arial" w:hAnsi="Arial" w:cs="Arial"/>
          <w:sz w:val="24"/>
          <w:szCs w:val="24"/>
        </w:rPr>
        <w:t>s</w:t>
      </w:r>
      <w:r w:rsidRPr="00364131">
        <w:rPr>
          <w:rFonts w:ascii="Arial" w:hAnsi="Arial" w:cs="Arial"/>
          <w:sz w:val="24"/>
          <w:szCs w:val="24"/>
        </w:rPr>
        <w:t xml:space="preserve"> </w:t>
      </w:r>
      <w:r w:rsidR="005F3496" w:rsidRPr="00364131">
        <w:rPr>
          <w:rFonts w:ascii="Arial" w:hAnsi="Arial" w:cs="Arial"/>
          <w:sz w:val="24"/>
          <w:szCs w:val="24"/>
        </w:rPr>
        <w:t xml:space="preserve">may be most </w:t>
      </w:r>
      <w:r w:rsidRPr="00364131">
        <w:rPr>
          <w:rFonts w:ascii="Arial" w:hAnsi="Arial" w:cs="Arial"/>
          <w:sz w:val="24"/>
          <w:szCs w:val="24"/>
        </w:rPr>
        <w:t xml:space="preserve">valuable, </w:t>
      </w:r>
      <w:r w:rsidR="005F3496" w:rsidRPr="00364131">
        <w:rPr>
          <w:rFonts w:ascii="Arial" w:hAnsi="Arial" w:cs="Arial"/>
          <w:sz w:val="24"/>
          <w:szCs w:val="24"/>
        </w:rPr>
        <w:t xml:space="preserve">and this is no more so I believe that </w:t>
      </w:r>
      <w:r w:rsidRPr="00364131">
        <w:rPr>
          <w:rFonts w:ascii="Arial" w:hAnsi="Arial" w:cs="Arial"/>
          <w:sz w:val="24"/>
          <w:szCs w:val="24"/>
        </w:rPr>
        <w:t xml:space="preserve">in diabetes management in PHCs. </w:t>
      </w:r>
    </w:p>
    <w:p w14:paraId="2B1141C4" w14:textId="27C63149" w:rsidR="00610EEE" w:rsidRPr="002E3D1C" w:rsidRDefault="00896825" w:rsidP="00610EEE">
      <w:pPr>
        <w:spacing w:line="360" w:lineRule="auto"/>
        <w:jc w:val="both"/>
        <w:rPr>
          <w:rFonts w:ascii="Arial" w:hAnsi="Arial" w:cs="Arial"/>
          <w:sz w:val="24"/>
          <w:szCs w:val="24"/>
        </w:rPr>
      </w:pPr>
      <w:r w:rsidRPr="00D25CA4">
        <w:rPr>
          <w:rFonts w:ascii="Arial" w:hAnsi="Arial" w:cs="Arial"/>
          <w:sz w:val="24"/>
          <w:szCs w:val="24"/>
        </w:rPr>
        <w:t>As well as considering my experiences and views as a practicing pharmacist with an interest in the potential development of pharmacists, I have reflected on possible issues relating to this</w:t>
      </w:r>
      <w:r w:rsidR="00657B90" w:rsidRPr="00D25CA4">
        <w:rPr>
          <w:rFonts w:ascii="Arial" w:hAnsi="Arial" w:cs="Arial"/>
          <w:sz w:val="24"/>
          <w:szCs w:val="24"/>
        </w:rPr>
        <w:t xml:space="preserve">; in particular, </w:t>
      </w:r>
      <w:r w:rsidRPr="00D25CA4">
        <w:rPr>
          <w:rFonts w:ascii="Arial" w:hAnsi="Arial" w:cs="Arial"/>
          <w:sz w:val="24"/>
          <w:szCs w:val="24"/>
        </w:rPr>
        <w:t xml:space="preserve">with respect to me as both a pharmacist and a researcher and my </w:t>
      </w:r>
      <w:r w:rsidR="00657B90" w:rsidRPr="00D25CA4">
        <w:rPr>
          <w:rFonts w:ascii="Arial" w:hAnsi="Arial" w:cs="Arial"/>
          <w:sz w:val="24"/>
          <w:szCs w:val="24"/>
        </w:rPr>
        <w:t xml:space="preserve">resulting </w:t>
      </w:r>
      <w:r w:rsidRPr="00D25CA4">
        <w:rPr>
          <w:rFonts w:ascii="Arial" w:hAnsi="Arial" w:cs="Arial"/>
          <w:sz w:val="24"/>
          <w:szCs w:val="24"/>
        </w:rPr>
        <w:t xml:space="preserve">status as an </w:t>
      </w:r>
      <w:r w:rsidR="00610EEE" w:rsidRPr="00D25CA4">
        <w:rPr>
          <w:rFonts w:ascii="Arial" w:hAnsi="Arial" w:cs="Arial"/>
          <w:sz w:val="24"/>
          <w:szCs w:val="24"/>
        </w:rPr>
        <w:t>insider- researcher</w:t>
      </w:r>
      <w:r w:rsidR="009C2440" w:rsidRPr="00D25CA4">
        <w:rPr>
          <w:rFonts w:ascii="Arial" w:hAnsi="Arial" w:cs="Arial"/>
          <w:sz w:val="24"/>
          <w:szCs w:val="24"/>
        </w:rPr>
        <w:t xml:space="preserve"> </w:t>
      </w:r>
      <w:r w:rsidR="003C49C5" w:rsidRPr="002E3D1C">
        <w:rPr>
          <w:rFonts w:ascii="Arial" w:hAnsi="Arial" w:cs="Arial"/>
          <w:sz w:val="24"/>
          <w:szCs w:val="24"/>
        </w:rPr>
        <w:fldChar w:fldCharType="begin" w:fldLock="1"/>
      </w:r>
      <w:r w:rsidR="00407AAE" w:rsidRPr="00D25CA4">
        <w:rPr>
          <w:rFonts w:ascii="Arial" w:hAnsi="Arial" w:cs="Arial"/>
          <w:sz w:val="24"/>
          <w:szCs w:val="24"/>
        </w:rPr>
        <w:instrText>ADDIN CSL_CITATION {"citationItems":[{"id":"ITEM-1","itemData":{"DOI":"10.4135/9781446287880","ISBN":"9781848606784","author":[{"dropping-particle":"","family":"Costley","given":"Carol","non-dropping-particle":"","parse-names":false,"suffix":""},{"dropping-particle":"","family":"Elliott","given":"Geoffrey","non-dropping-particle":"","parse-names":false,"suffix":""},{"dropping-particle":"","family":"Gibbs","given":"Paul","non-dropping-particle":"","parse-names":false,"suffix":""}],"container-title":"SAGE","id":"ITEM-1","issued":{"date-parts":[["2010"]]},"title":"Key Concepts for the Insider-Researcher In: Doing Work Based Research: Approaches to Enquiry for Insider-Researchers","type":"article-journal"},"uris":["http://www.mendeley.com/documents/?uuid=b3532d29-d442-3ada-bbc0-86188952344b"]}],"mendeley":{"formattedCitation":"(Costley, Elliott and Gibbs, 2010)","manualFormatting":"(Costley, Elliott and Gibbs, 2010;","plainTextFormattedCitation":"(Costley, Elliott and Gibbs, 2010)","previouslyFormattedCitation":"(Costley, Elliott and Gibbs, 2010)"},"properties":{"noteIndex":0},"schema":"https://github.com/citation-style-language/schema/raw/master/csl-citation.json"}</w:instrText>
      </w:r>
      <w:r w:rsidR="003C49C5" w:rsidRPr="002E3D1C">
        <w:rPr>
          <w:rFonts w:ascii="Arial" w:hAnsi="Arial" w:cs="Arial"/>
          <w:sz w:val="24"/>
          <w:szCs w:val="24"/>
        </w:rPr>
        <w:fldChar w:fldCharType="separate"/>
      </w:r>
      <w:r w:rsidR="003C49C5" w:rsidRPr="00D25CA4">
        <w:rPr>
          <w:rFonts w:ascii="Arial" w:hAnsi="Arial" w:cs="Arial"/>
          <w:noProof/>
          <w:sz w:val="24"/>
          <w:szCs w:val="24"/>
        </w:rPr>
        <w:t>(Costley, Elliott and Gibbs, 2010;</w:t>
      </w:r>
      <w:r w:rsidR="003C49C5" w:rsidRPr="002E3D1C">
        <w:rPr>
          <w:rFonts w:ascii="Arial" w:hAnsi="Arial" w:cs="Arial"/>
          <w:sz w:val="24"/>
          <w:szCs w:val="24"/>
        </w:rPr>
        <w:fldChar w:fldCharType="end"/>
      </w:r>
      <w:r w:rsidR="003C49C5" w:rsidRPr="00D25CA4">
        <w:rPr>
          <w:rFonts w:ascii="Arial" w:hAnsi="Arial" w:cs="Arial"/>
          <w:sz w:val="24"/>
          <w:szCs w:val="24"/>
        </w:rPr>
        <w:t xml:space="preserve"> </w:t>
      </w:r>
      <w:r w:rsidR="00407AAE" w:rsidRPr="002E3D1C">
        <w:rPr>
          <w:rFonts w:ascii="Arial" w:hAnsi="Arial" w:cs="Arial"/>
          <w:sz w:val="24"/>
          <w:szCs w:val="24"/>
        </w:rPr>
        <w:fldChar w:fldCharType="begin" w:fldLock="1"/>
      </w:r>
      <w:r w:rsidR="008E3042" w:rsidRPr="00D25CA4">
        <w:rPr>
          <w:rFonts w:ascii="Arial" w:hAnsi="Arial" w:cs="Arial"/>
          <w:sz w:val="24"/>
          <w:szCs w:val="24"/>
        </w:rPr>
        <w:instrText>ADDIN CSL_CITATION {"citationItems":[{"id":"ITEM-1","itemData":{"author":[{"dropping-particle":"","family":"Saidin","given":"Khaliza","non-dropping-particle":"","parse-names":false,"suffix":""},{"dropping-particle":"","family":"Yaacob","given":"Aizan","non-dropping-particle":"","parse-names":false,"suffix":""}],"id":"ITEM-1","issued":{"date-parts":[["2016"]]},"page":"849-854","title":"INSIDER RESEARCHERS : CHALLENGES &amp; OPPORTUNITIES","type":"article-journal","volume":"1"},"uris":["http://www.mendeley.com/documents/?uuid=f7dfea88-7187-4085-a5c0-82131bc97000"]}],"mendeley":{"formattedCitation":"(Saidin and Yaacob, 2016)","manualFormatting":"Saidin and Yaacob, 2016)","plainTextFormattedCitation":"(Saidin and Yaacob, 2016)","previouslyFormattedCitation":"(Saidin and Yaacob, 2016)"},"properties":{"noteIndex":0},"schema":"https://github.com/citation-style-language/schema/raw/master/csl-citation.json"}</w:instrText>
      </w:r>
      <w:r w:rsidR="00407AAE" w:rsidRPr="002E3D1C">
        <w:rPr>
          <w:rFonts w:ascii="Arial" w:hAnsi="Arial" w:cs="Arial"/>
          <w:sz w:val="24"/>
          <w:szCs w:val="24"/>
        </w:rPr>
        <w:fldChar w:fldCharType="separate"/>
      </w:r>
      <w:r w:rsidR="00407AAE" w:rsidRPr="00D25CA4">
        <w:rPr>
          <w:rFonts w:ascii="Arial" w:hAnsi="Arial" w:cs="Arial"/>
          <w:noProof/>
          <w:sz w:val="24"/>
          <w:szCs w:val="24"/>
        </w:rPr>
        <w:t>Saidin and Yaacob, 2016)</w:t>
      </w:r>
      <w:r w:rsidR="00407AAE" w:rsidRPr="002E3D1C">
        <w:rPr>
          <w:rFonts w:ascii="Arial" w:hAnsi="Arial" w:cs="Arial"/>
          <w:sz w:val="24"/>
          <w:szCs w:val="24"/>
        </w:rPr>
        <w:fldChar w:fldCharType="end"/>
      </w:r>
      <w:r w:rsidRPr="00D25CA4">
        <w:rPr>
          <w:rFonts w:ascii="Arial" w:hAnsi="Arial" w:cs="Arial"/>
          <w:sz w:val="24"/>
          <w:szCs w:val="24"/>
        </w:rPr>
        <w:t>,</w:t>
      </w:r>
      <w:r w:rsidR="00610EEE" w:rsidRPr="00D25CA4">
        <w:rPr>
          <w:rFonts w:ascii="Arial" w:hAnsi="Arial" w:cs="Arial"/>
          <w:sz w:val="24"/>
          <w:szCs w:val="24"/>
        </w:rPr>
        <w:t xml:space="preserve"> with special knowledge about that topic. </w:t>
      </w:r>
      <w:r w:rsidR="00657B90" w:rsidRPr="00D25CA4">
        <w:rPr>
          <w:rFonts w:ascii="Arial" w:hAnsi="Arial" w:cs="Arial"/>
          <w:sz w:val="24"/>
          <w:szCs w:val="24"/>
        </w:rPr>
        <w:t xml:space="preserve">As will be considered later in the methods chapter, I was mindful that subsequent data collection stages and recognition of my pharmacist status might influence how participants chose to respond. </w:t>
      </w:r>
      <w:r w:rsidR="00657B90" w:rsidRPr="00272D36">
        <w:rPr>
          <w:rFonts w:ascii="Arial" w:hAnsi="Arial" w:cs="Arial"/>
          <w:sz w:val="24"/>
          <w:szCs w:val="24"/>
        </w:rPr>
        <w:t xml:space="preserve">An additional aspect was that for </w:t>
      </w:r>
      <w:r w:rsidR="00693973" w:rsidRPr="00272D36">
        <w:rPr>
          <w:rFonts w:ascii="Arial" w:hAnsi="Arial" w:cs="Arial"/>
          <w:sz w:val="24"/>
          <w:szCs w:val="24"/>
        </w:rPr>
        <w:t xml:space="preserve">the </w:t>
      </w:r>
      <w:r w:rsidR="00657B90" w:rsidRPr="00272D36">
        <w:rPr>
          <w:rFonts w:ascii="Arial" w:hAnsi="Arial" w:cs="Arial"/>
          <w:sz w:val="24"/>
          <w:szCs w:val="24"/>
        </w:rPr>
        <w:t xml:space="preserve">qualitative </w:t>
      </w:r>
      <w:r w:rsidR="00EF59A2" w:rsidRPr="00272D36">
        <w:rPr>
          <w:rFonts w:ascii="Arial" w:hAnsi="Arial" w:cs="Arial"/>
          <w:sz w:val="24"/>
          <w:szCs w:val="24"/>
        </w:rPr>
        <w:t>interviews</w:t>
      </w:r>
      <w:r w:rsidR="00A9270F" w:rsidRPr="00272D36">
        <w:rPr>
          <w:rFonts w:ascii="Arial" w:hAnsi="Arial" w:cs="Arial"/>
          <w:sz w:val="24"/>
          <w:szCs w:val="24"/>
        </w:rPr>
        <w:t>, m</w:t>
      </w:r>
      <w:r w:rsidR="00EF59A2" w:rsidRPr="00272D36">
        <w:rPr>
          <w:rFonts w:ascii="Arial" w:hAnsi="Arial" w:cs="Arial"/>
          <w:sz w:val="24"/>
          <w:szCs w:val="24"/>
        </w:rPr>
        <w:t>ost</w:t>
      </w:r>
      <w:r w:rsidR="00610EEE" w:rsidRPr="00272D36">
        <w:rPr>
          <w:rFonts w:ascii="Arial" w:hAnsi="Arial" w:cs="Arial"/>
          <w:sz w:val="24"/>
          <w:szCs w:val="24"/>
        </w:rPr>
        <w:t xml:space="preserve"> of </w:t>
      </w:r>
      <w:r w:rsidR="00657B90" w:rsidRPr="00272D36">
        <w:rPr>
          <w:rFonts w:ascii="Arial" w:hAnsi="Arial" w:cs="Arial"/>
          <w:sz w:val="24"/>
          <w:szCs w:val="24"/>
        </w:rPr>
        <w:t xml:space="preserve">the </w:t>
      </w:r>
      <w:r w:rsidR="00610EEE" w:rsidRPr="00272D36">
        <w:rPr>
          <w:rFonts w:ascii="Arial" w:hAnsi="Arial" w:cs="Arial"/>
          <w:sz w:val="24"/>
          <w:szCs w:val="24"/>
        </w:rPr>
        <w:t xml:space="preserve">participants were from the same workplace </w:t>
      </w:r>
      <w:r w:rsidR="00657B90" w:rsidRPr="00272D36">
        <w:rPr>
          <w:rFonts w:ascii="Arial" w:hAnsi="Arial" w:cs="Arial"/>
          <w:sz w:val="24"/>
          <w:szCs w:val="24"/>
        </w:rPr>
        <w:t xml:space="preserve">as me, </w:t>
      </w:r>
      <w:r w:rsidR="00610EEE" w:rsidRPr="00272D36">
        <w:rPr>
          <w:rFonts w:ascii="Arial" w:hAnsi="Arial" w:cs="Arial"/>
          <w:sz w:val="24"/>
          <w:szCs w:val="24"/>
        </w:rPr>
        <w:t>which</w:t>
      </w:r>
      <w:r w:rsidR="00657B90" w:rsidRPr="00272D36">
        <w:rPr>
          <w:rFonts w:ascii="Arial" w:hAnsi="Arial" w:cs="Arial"/>
          <w:sz w:val="24"/>
          <w:szCs w:val="24"/>
        </w:rPr>
        <w:t xml:space="preserve"> </w:t>
      </w:r>
      <w:r w:rsidR="00407AAE" w:rsidRPr="00272D36">
        <w:rPr>
          <w:rFonts w:ascii="Arial" w:hAnsi="Arial" w:cs="Arial"/>
          <w:sz w:val="24"/>
          <w:szCs w:val="24"/>
        </w:rPr>
        <w:t>could influence</w:t>
      </w:r>
      <w:r w:rsidR="00610EEE" w:rsidRPr="00272D36">
        <w:rPr>
          <w:rFonts w:ascii="Arial" w:hAnsi="Arial" w:cs="Arial"/>
          <w:sz w:val="24"/>
          <w:szCs w:val="24"/>
        </w:rPr>
        <w:t xml:space="preserve"> their response</w:t>
      </w:r>
      <w:r w:rsidR="00657B90" w:rsidRPr="00272D36">
        <w:rPr>
          <w:rFonts w:ascii="Arial" w:hAnsi="Arial" w:cs="Arial"/>
          <w:sz w:val="24"/>
          <w:szCs w:val="24"/>
        </w:rPr>
        <w:t xml:space="preserve">s. I </w:t>
      </w:r>
      <w:r w:rsidR="00EC05E1" w:rsidRPr="00272D36">
        <w:rPr>
          <w:rFonts w:ascii="Arial" w:hAnsi="Arial" w:cs="Arial"/>
          <w:sz w:val="24"/>
          <w:szCs w:val="24"/>
        </w:rPr>
        <w:t xml:space="preserve">was </w:t>
      </w:r>
      <w:r w:rsidR="00657B90" w:rsidRPr="00272D36">
        <w:rPr>
          <w:rFonts w:ascii="Arial" w:hAnsi="Arial" w:cs="Arial"/>
          <w:sz w:val="24"/>
          <w:szCs w:val="24"/>
        </w:rPr>
        <w:t>also aware that my subsequent analysis and</w:t>
      </w:r>
      <w:r w:rsidR="00610EEE" w:rsidRPr="00272D36">
        <w:rPr>
          <w:rFonts w:ascii="Arial" w:hAnsi="Arial" w:cs="Arial"/>
          <w:sz w:val="24"/>
          <w:szCs w:val="24"/>
        </w:rPr>
        <w:t xml:space="preserve"> interpretation of findings due to previous knowledge </w:t>
      </w:r>
      <w:r w:rsidR="00657B90" w:rsidRPr="00272D36">
        <w:rPr>
          <w:rFonts w:ascii="Arial" w:hAnsi="Arial" w:cs="Arial"/>
          <w:sz w:val="24"/>
          <w:szCs w:val="24"/>
        </w:rPr>
        <w:t xml:space="preserve">and shared workplace experiences </w:t>
      </w:r>
      <w:r w:rsidR="00610EEE" w:rsidRPr="00272D36">
        <w:rPr>
          <w:rFonts w:ascii="Arial" w:hAnsi="Arial" w:cs="Arial"/>
          <w:sz w:val="24"/>
          <w:szCs w:val="24"/>
        </w:rPr>
        <w:t xml:space="preserve">could influence </w:t>
      </w:r>
      <w:r w:rsidR="00657B90" w:rsidRPr="00272D36">
        <w:rPr>
          <w:rFonts w:ascii="Arial" w:hAnsi="Arial" w:cs="Arial"/>
          <w:sz w:val="24"/>
          <w:szCs w:val="24"/>
        </w:rPr>
        <w:t>this research.</w:t>
      </w:r>
      <w:r w:rsidR="00BF27F0">
        <w:rPr>
          <w:rFonts w:ascii="Arial" w:hAnsi="Arial" w:cs="Arial"/>
          <w:color w:val="00B050"/>
          <w:sz w:val="24"/>
          <w:szCs w:val="24"/>
        </w:rPr>
        <w:t xml:space="preserve"> </w:t>
      </w:r>
      <w:r w:rsidR="00BF27F0" w:rsidRPr="002E3D1C">
        <w:rPr>
          <w:rFonts w:ascii="Arial" w:hAnsi="Arial" w:cs="Arial"/>
          <w:sz w:val="24"/>
          <w:szCs w:val="24"/>
        </w:rPr>
        <w:t>These possible concerns were also openly and transparently discussed and reflected on with my supervisory team.</w:t>
      </w:r>
    </w:p>
    <w:p w14:paraId="5014C482" w14:textId="441F2021" w:rsidR="00610EEE" w:rsidRPr="002E3D1C" w:rsidRDefault="00BF27F0" w:rsidP="00610EEE">
      <w:pPr>
        <w:spacing w:line="360" w:lineRule="auto"/>
        <w:jc w:val="both"/>
        <w:rPr>
          <w:rFonts w:ascii="TUOS Blake" w:hAnsi="TUOS Blake"/>
          <w:bCs/>
        </w:rPr>
      </w:pPr>
      <w:r w:rsidRPr="002E3D1C">
        <w:rPr>
          <w:rFonts w:ascii="Arial" w:hAnsi="Arial" w:cs="Arial"/>
          <w:sz w:val="24"/>
          <w:szCs w:val="24"/>
        </w:rPr>
        <w:t xml:space="preserve">My </w:t>
      </w:r>
      <w:r w:rsidR="00EF59A2" w:rsidRPr="002E3D1C">
        <w:rPr>
          <w:rFonts w:ascii="Arial" w:hAnsi="Arial" w:cs="Arial"/>
          <w:sz w:val="24"/>
          <w:szCs w:val="24"/>
        </w:rPr>
        <w:t>aim</w:t>
      </w:r>
      <w:r w:rsidRPr="002E3D1C">
        <w:rPr>
          <w:rFonts w:ascii="Arial" w:hAnsi="Arial" w:cs="Arial"/>
          <w:sz w:val="24"/>
          <w:szCs w:val="24"/>
        </w:rPr>
        <w:t xml:space="preserve"> in this research is to advance understanding about this topic and the possible role of pharmacists in diabetes care in Saudi Arabia and to inform subsequent policy and practice. I also hope that the research and other skills and experiences I gain in this journey will enhance my own capabilities and potential to directly influence pharmacy practice in Saudi Arabia. </w:t>
      </w:r>
    </w:p>
    <w:p w14:paraId="350EF019" w14:textId="77777777" w:rsidR="00610EEE" w:rsidRDefault="00610EEE" w:rsidP="00610EEE">
      <w:pPr>
        <w:rPr>
          <w:rFonts w:ascii="TUOS Blake" w:hAnsi="TUOS Blake"/>
          <w:bCs/>
        </w:rPr>
      </w:pPr>
    </w:p>
    <w:p w14:paraId="191DB25F" w14:textId="77777777" w:rsidR="00610EEE" w:rsidRPr="009B1C2B" w:rsidRDefault="00610EEE" w:rsidP="00610EEE">
      <w:pPr>
        <w:rPr>
          <w:rFonts w:ascii="TUOS Blake" w:hAnsi="TUOS Blake"/>
          <w:bCs/>
        </w:rPr>
      </w:pPr>
    </w:p>
    <w:p w14:paraId="23509E56" w14:textId="77777777" w:rsidR="00610EEE" w:rsidRDefault="00610EEE" w:rsidP="00610EEE">
      <w:pPr>
        <w:pStyle w:val="Heading2"/>
        <w:spacing w:line="360" w:lineRule="auto"/>
        <w:ind w:left="431" w:hanging="431"/>
        <w:rPr>
          <w:rFonts w:cs="Arial"/>
          <w:lang w:val="en-GB"/>
        </w:rPr>
      </w:pPr>
      <w:bookmarkStart w:id="12" w:name="_Toc153894130"/>
      <w:r w:rsidRPr="006B2FC7">
        <w:rPr>
          <w:rFonts w:cs="Arial"/>
          <w:lang w:val="en-GB"/>
        </w:rPr>
        <w:t>R</w:t>
      </w:r>
      <w:r w:rsidRPr="006B2FC7">
        <w:rPr>
          <w:rFonts w:cs="Arial"/>
          <w:lang w:val="en"/>
        </w:rPr>
        <w:t>ole of pharmacist</w:t>
      </w:r>
      <w:r>
        <w:rPr>
          <w:rFonts w:cs="Arial"/>
          <w:lang w:val="en"/>
        </w:rPr>
        <w:t>s</w:t>
      </w:r>
      <w:r w:rsidRPr="006B2FC7">
        <w:rPr>
          <w:rFonts w:cs="Arial"/>
          <w:lang w:val="en"/>
        </w:rPr>
        <w:t xml:space="preserve"> in </w:t>
      </w:r>
      <w:r>
        <w:rPr>
          <w:rFonts w:cs="Arial"/>
          <w:lang w:val="en"/>
        </w:rPr>
        <w:t xml:space="preserve">PHCs </w:t>
      </w:r>
      <w:r w:rsidRPr="006B2FC7">
        <w:rPr>
          <w:rFonts w:cs="Arial"/>
          <w:lang w:val="en-GB"/>
        </w:rPr>
        <w:t>in S</w:t>
      </w:r>
      <w:r>
        <w:rPr>
          <w:rFonts w:cs="Arial"/>
          <w:lang w:val="en-GB"/>
        </w:rPr>
        <w:t xml:space="preserve">audi </w:t>
      </w:r>
      <w:r w:rsidRPr="006B2FC7">
        <w:rPr>
          <w:rFonts w:cs="Arial"/>
          <w:lang w:val="en-GB"/>
        </w:rPr>
        <w:t>A</w:t>
      </w:r>
      <w:r>
        <w:rPr>
          <w:rFonts w:cs="Arial"/>
          <w:lang w:val="en-GB"/>
        </w:rPr>
        <w:t>rabia</w:t>
      </w:r>
      <w:bookmarkEnd w:id="12"/>
    </w:p>
    <w:p w14:paraId="66D70914" w14:textId="77777777" w:rsidR="00610EEE" w:rsidRPr="00845AF7" w:rsidRDefault="00610EEE" w:rsidP="00610EEE">
      <w:pPr>
        <w:autoSpaceDE w:val="0"/>
        <w:autoSpaceDN w:val="0"/>
        <w:adjustRightInd w:val="0"/>
        <w:spacing w:line="360" w:lineRule="auto"/>
        <w:jc w:val="both"/>
        <w:rPr>
          <w:rFonts w:ascii="Arial" w:hAnsi="Arial" w:cs="Arial"/>
          <w:noProof/>
          <w:sz w:val="24"/>
          <w:szCs w:val="24"/>
          <w:lang w:val="en-GB"/>
        </w:rPr>
      </w:pPr>
      <w:r w:rsidRPr="00845AF7">
        <w:rPr>
          <w:rFonts w:ascii="Arial" w:hAnsi="Arial" w:cs="Arial"/>
          <w:sz w:val="24"/>
          <w:szCs w:val="24"/>
          <w:lang w:val="en-GB"/>
        </w:rPr>
        <w:t>Pharmaceutical care is a core element of the healthcare system. The concept of pharmaceutical care was originally defined by Hepler and Strand in 1990 as follows, “</w:t>
      </w:r>
      <w:r w:rsidRPr="00845AF7">
        <w:rPr>
          <w:rFonts w:ascii="Arial" w:hAnsi="Arial" w:cs="Arial"/>
          <w:i/>
          <w:iCs/>
          <w:sz w:val="24"/>
          <w:szCs w:val="24"/>
          <w:lang w:val="en-GB"/>
        </w:rPr>
        <w:t>the responsible provision of drug therapy for the purpose of achieving definite outcomes that improve a patient’s quality of life</w:t>
      </w:r>
      <w:r w:rsidRPr="00845AF7">
        <w:rPr>
          <w:rFonts w:ascii="Arial" w:hAnsi="Arial" w:cs="Arial"/>
          <w:sz w:val="24"/>
          <w:szCs w:val="24"/>
          <w:lang w:val="en-GB"/>
        </w:rPr>
        <w:t xml:space="preserve">” </w:t>
      </w:r>
      <w:r w:rsidRPr="00845AF7">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{"citationItems":[{"id":"ITEM-1","itemData":{"DOI":"10.1211/0022357055551","ISSN":"0961-7671","abstract":"Objective To systematically review the evidence for the effect of pharmaceutical care practice on patient outcomes. Setting Community and outpatient setting. Method Randomised controlled trials (RCTs) published in English between 1990 and 2003 were identified through a systematic literature search. To be included, studies had to assess the effect of a pharmaceutical care intervention, defined as a one-to-one consultation between each patient and a pharmacist with a focus on managing health or resolving drug-related problems, development of a care plan and follow-up. Key findings Twenty-two RCTs met the review criteria. Studies targeted general patient populations at risk of drug-related problems, disease-specific target groups or patients with risk factors including hypertension and raised cholesterol. While a number of trials have been undertaken, the variability in the application of endpoints utilised means the evidence for effectiveness of single endpoints apart from quality of life is generally limited to one or two controlled trial results. Collectively, the studies provide evidence that the service improves signs and symptoms for people with asthma, surrogate endpoints such as blood pressure, cholesterol levels and glycosylated hae-moglobin and medication use, but do not provide evidence supporting improved health-related quality of life. One study showed an improvement in combined all-cause mortality and non-fatal heart failure-related events in patients with heart failure. Conclusion Pharmaceutical care services are effective in improving medication use and surrogate endpoints, but improvement in other outcomes is less conclusive. Given that the focus of the service is to resolve medication-related problems, consideration should be given to the use of adverse drug events and resolution of medication-related problems as an outcome measure in future studies.","author":[{"dropping-particle":"","family":"Roughead","given":"E E","non-dropping-particle":"","parse-names":false,"suffix":""},{"dropping-particle":"","family":"Pharm","given":"B","non-dropping-particle":"","parse-names":false,"suffix":""},{"dropping-particle":"","family":"Semple","given":"Susan","non-dropping-particle":"","parse-names":false,"suffix":""},{"dropping-particle":"","family":"Semple","given":"S J","non-dropping-particle":"","parse-names":false,"suffix":""},{"dropping-particle":"","family":"Vitry","given":"A I","non-dropping-particle":"","parse-names":false,"suffix":""}],"container-title":"IJPP","id":"ITEM-1","issued":{"date-parts":[["2005"]]},"page":"53-70","title":"Pharmaceutical care services: a systematic review of published studies, 1990 to 2003, examining effectiveness in improving patient outcomes","type":"article-journal","volume":"13"},"uris":["http://www.mendeley.com/documents/?uuid=453b7a37-4d0f-3e3a-bb51-f70209a1f7ad"]}],"mendeley":{"formattedCitation":"(Roughead &lt;i&gt;et al.&lt;/i&gt;, 2005)","manualFormatting":"(Roughead et al., 2005; 53)","plainTextFormattedCitation":"(Roughead et al., 2005)","previouslyFormattedCitation":"(Roughead &lt;i&gt;et al.&lt;/i&gt;, 2005)"},"properties":{"noteIndex":0},"schema":"https://github.com/citation-style-language/schema/raw/master/csl-citation.json"}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 xml:space="preserve">(Roughead </w:t>
      </w:r>
      <w:r w:rsidRPr="00845AF7">
        <w:rPr>
          <w:rFonts w:ascii="Arial" w:hAnsi="Arial" w:cs="Arial"/>
          <w:i/>
          <w:noProof/>
          <w:sz w:val="24"/>
          <w:szCs w:val="24"/>
          <w:lang w:val="en-GB"/>
        </w:rPr>
        <w:t>et al.</w:t>
      </w:r>
      <w:r w:rsidRPr="00845AF7">
        <w:rPr>
          <w:rFonts w:ascii="Arial" w:hAnsi="Arial" w:cs="Arial"/>
          <w:noProof/>
          <w:sz w:val="24"/>
          <w:szCs w:val="24"/>
          <w:lang w:val="en-GB"/>
        </w:rPr>
        <w:t>, 2005</w:t>
      </w:r>
      <w:r>
        <w:rPr>
          <w:rFonts w:ascii="Arial" w:hAnsi="Arial" w:cs="Arial"/>
          <w:noProof/>
          <w:sz w:val="24"/>
          <w:szCs w:val="24"/>
          <w:lang w:val="en-GB"/>
        </w:rPr>
        <w:t>; 53</w:t>
      </w:r>
      <w:r w:rsidRPr="00845AF7">
        <w:rPr>
          <w:rFonts w:ascii="Arial" w:hAnsi="Arial" w:cs="Arial"/>
          <w:noProof/>
          <w:sz w:val="24"/>
          <w:szCs w:val="24"/>
          <w:lang w:val="en-GB"/>
        </w:rPr>
        <w:t>)</w:t>
      </w:r>
      <w:r w:rsidRPr="00845AF7">
        <w:rPr>
          <w:rFonts w:ascii="Arial" w:hAnsi="Arial" w:cs="Arial"/>
          <w:sz w:val="24"/>
          <w:szCs w:val="24"/>
          <w:lang w:val="en-GB"/>
        </w:rPr>
        <w:fldChar w:fldCharType="end"/>
      </w:r>
      <w:r w:rsidRPr="00845AF7">
        <w:rPr>
          <w:rFonts w:ascii="Arial" w:hAnsi="Arial" w:cs="Arial"/>
          <w:sz w:val="24"/>
          <w:szCs w:val="24"/>
          <w:lang w:val="en-GB"/>
        </w:rPr>
        <w:t xml:space="preserve">. This concept was introduced to describe how the pharmacy practice changed from being a products and dispensing focused practice to a patient focused practice that ensures the best medication therapy and patient medication safety is provided to patients </w:t>
      </w:r>
      <w:r w:rsidRPr="00845AF7">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{"citationItems":[{"id":"ITEM-1","itemData":{"DOI":"10.1177/193229680900300120","ISSN":"1932-2968","abstract":"Today there are significant gaps between reaching the goal of \"optimal medication therapy\" and the current state of medication use in the United States. Pharmacists are highly accessible and well-trained--yet often underutilized--key health care professionals who can move us closer toward achieving better medication therapy outcomes for patients. Diabetes medication management programs led by pharmacists are described. This is consistent with the \"medical home\" concept of care that promotes primary care providers working collaboratively to coordinate patient-centered care. Pharmacists utilize their clinical expertise in monitoring and managing diabetes medication plans to positively impact health outcomes and empower patients to actively manage their health. In addition, pharmacists can serve as a resource to other health care providers and payers to assure safe, appropriate, cost-effective diabetes medication use. Copyright © Diabetes Technology Society","author":[{"dropping-particle":"","family":"Smith","given":"Marie","non-dropping-particle":"","parse-names":false,"suffix":""}],"container-title":"Journal of diabetes science and technology","id":"ITEM-1","issue":"1","issued":{"date-parts":[["2009"]]},"page":"175-179","publisher-place":"United States","title":"Pharmacists' role in improving diabetes medication management.","type":"article-journal","volume":"3"},"uris":["http://www.mendeley.com/documents/?uuid=c2cb55be-1358-4fc7-b6e1-19582e66b4ce"]}],"mendeley":{"formattedCitation":"(Smith, 2009a)","manualFormatting":"(Smith, 2009)","plainTextFormattedCitation":"(Smith, 2009a)","previouslyFormattedCitation":"(Smith, 2009a)"},"properties":{"noteIndex":0},"schema":"https://github.com/citation-style-language/schema/raw/master/csl-citation.json"}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(Smith, 2009)</w:t>
      </w:r>
      <w:r w:rsidRPr="00845AF7">
        <w:rPr>
          <w:rFonts w:ascii="Arial" w:hAnsi="Arial" w:cs="Arial"/>
          <w:sz w:val="24"/>
          <w:szCs w:val="24"/>
          <w:lang w:val="en-GB"/>
        </w:rPr>
        <w:fldChar w:fldCharType="end"/>
      </w:r>
      <w:r w:rsidRPr="00845AF7">
        <w:rPr>
          <w:rFonts w:ascii="Arial" w:hAnsi="Arial" w:cs="Arial"/>
          <w:sz w:val="24"/>
          <w:szCs w:val="24"/>
          <w:lang w:val="en-GB"/>
        </w:rPr>
        <w:t xml:space="preserve">. </w:t>
      </w:r>
      <w:r>
        <w:rPr>
          <w:rFonts w:ascii="Arial" w:hAnsi="Arial" w:cs="Arial"/>
          <w:sz w:val="24"/>
          <w:szCs w:val="24"/>
          <w:lang w:val="en-GB"/>
        </w:rPr>
        <w:t xml:space="preserve">Pharmacists, therefore, </w:t>
      </w:r>
      <w:r w:rsidRPr="00845AF7">
        <w:rPr>
          <w:rFonts w:ascii="Arial" w:hAnsi="Arial" w:cs="Arial"/>
          <w:sz w:val="24"/>
          <w:szCs w:val="24"/>
          <w:lang w:val="en-GB"/>
        </w:rPr>
        <w:t>focusses on the patient’s medications, which are either prescription, non-prescription or herbal, and assesses their appropriateness, effectiveness, and safety, and whether the patient is able to take the medication as expected</w:t>
      </w:r>
      <w:r>
        <w:rPr>
          <w:rFonts w:ascii="Arial" w:hAnsi="Arial" w:cs="Arial"/>
          <w:sz w:val="24"/>
          <w:szCs w:val="24"/>
          <w:lang w:val="en-GB"/>
        </w:rPr>
        <w:t xml:space="preserv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{"citationItems":[{"id":"ITEM-1","itemData":{"DOI":"10.3390/pharmacy5020023","ISSN":"2226-4787","abstract":"Even though pharmaceutical care is not a new concept in pharmacy, its introduction and development has proved to be challenging. In Iceland, general practitioners are not familiar with pharmaceutical care and additionally no such service is offered in pharmacies or primary care settings. Introducing pharmaceutical care in primary care in Iceland is making great efforts to follow other countries, which are bringing the pharmacist more into patient care. General practitioners are key stakeholders in this endeavor. The aim of this study was to introduce pharmacist-led pharmaceutical care into primary care clinics in Iceland in collaboration with general practitioners by presenting different setting structures. Action research provided the framework for this research. Data was collected from pharmaceutical care interventions, whereby the pharmaceutical care practitioner ensures that each of a patient’s medications is assessed to determine if it is appropriate, effective, safe, and that the patient can take medicine as expected. Sources of data included pharmaceutical care notes on patients, researcher’s notes, meetings, and interviews with general practitioners over the period of the study. The study ran from September 2013 to October 2015. Three separate semi-structured in-depth interviews were conducted with five general practitioners from one primary health care clinic in Iceland at different time points throughout the study. Pharmaceutical care was provided to elderly patients (n = 125) before and between general practitioners’ interviews. The study setting was a primary care clinic in the Reykjavik area and the patients’ homes. Results showed that the GPs’ knowledge about pharmacist competencies as healthcare providers and their potential in patient care increased. GPs would now like to have access to a pharmacist on a daily basis. Direct contact between the pharmacist and GPs is better when working in the same physical space. Pharmacist’s access to medical records is necessary for optimal service. Pharmacist-led clinical service was deemed most needed in dose dispensing polypharmacy patients. This research indicated that it was essential to introduce Icelandic GPs to the potential contribution of pharmacists in patient care and that action research was a useful methodology to promote and develop a relationship between those two health care providers in primary care in Iceland.","author":[{"dropping-particle":"","family":"Blondal","given":"Anna Bryndis","non-dropping-particle":"","parse-names":false,"suffix":""},{"dropping-particle":"","family":"Sporrong","given":"Sofia Kalvemark","non-dropping-particle":"","parse-names":false,"suffix":""},{"dropping-particle":"","family":"Almarsdottir","given":"Anna Birna","non-dropping-particle":"","parse-names":false,"suffix":""}],"container-title":"MDPI Pharmacy","id":"ITEM-1","issue":"4","issued":{"date-parts":[["2017"]]},"page":"23","title":"Introducing Pharmaceutical Care to Primary Care in Iceland—An Action Research Study","type":"article-journal","volume":"5"},"uris":["http://www.mendeley.com/documents/?uuid=ca02dac1-9348-428b-9acc-9176b46adc4e"]}],"mendeley":{"formattedCitation":"(Blondal, Sporrong and Almarsdottir, 2017)","manualFormatting":"(Blondal et al. , 2017)","plainTextFormattedCitation":"(Blondal, Sporrong and Almarsdottir, 2017)","previouslyFormattedCitation":"(Blondal, Sporrong and Almarsdottir, 2017)"},"properties":{"noteIndex":0},"schema":"https://github.com/citation-style-language/schema/raw/master/csl-citation.json"}</w:instrText>
      </w:r>
      <w:r>
        <w:rPr>
          <w:rFonts w:ascii="Arial" w:hAnsi="Arial" w:cs="Arial"/>
          <w:sz w:val="24"/>
          <w:szCs w:val="24"/>
          <w:lang w:val="en-GB"/>
        </w:rPr>
        <w:fldChar w:fldCharType="separate"/>
      </w:r>
      <w:r w:rsidRPr="00B55EDD">
        <w:rPr>
          <w:rFonts w:ascii="Arial" w:hAnsi="Arial" w:cs="Arial"/>
          <w:noProof/>
          <w:sz w:val="24"/>
          <w:szCs w:val="24"/>
          <w:lang w:val="en-GB"/>
        </w:rPr>
        <w:t>(Blondal</w:t>
      </w:r>
      <w:r>
        <w:rPr>
          <w:rFonts w:ascii="Arial" w:hAnsi="Arial" w:cs="Arial"/>
          <w:noProof/>
          <w:sz w:val="24"/>
          <w:szCs w:val="24"/>
          <w:lang w:val="en-GB"/>
        </w:rPr>
        <w:t xml:space="preserve"> et al.</w:t>
      </w:r>
      <w:r w:rsidRPr="00B55EDD">
        <w:rPr>
          <w:rFonts w:ascii="Arial" w:hAnsi="Arial" w:cs="Arial"/>
          <w:noProof/>
          <w:sz w:val="24"/>
          <w:szCs w:val="24"/>
          <w:lang w:val="en-GB"/>
        </w:rPr>
        <w:t xml:space="preserve"> , 2017)</w:t>
      </w:r>
      <w:r>
        <w:rPr>
          <w:rFonts w:ascii="Arial" w:hAnsi="Arial" w:cs="Arial"/>
          <w:sz w:val="24"/>
          <w:szCs w:val="24"/>
          <w:lang w:val="en-GB"/>
        </w:rPr>
        <w:fldChar w:fldCharType="end"/>
      </w:r>
      <w:r>
        <w:rPr>
          <w:rFonts w:ascii="Arial" w:hAnsi="Arial" w:cs="Arial"/>
          <w:noProof/>
          <w:sz w:val="24"/>
          <w:szCs w:val="24"/>
          <w:lang w:val="en-GB"/>
        </w:rPr>
        <w:t>.</w:t>
      </w:r>
    </w:p>
    <w:p w14:paraId="62843B2D" w14:textId="572DA4CF" w:rsidR="00610EEE" w:rsidRDefault="00610EEE" w:rsidP="00610EEE">
      <w:pPr>
        <w:autoSpaceDE w:val="0"/>
        <w:autoSpaceDN w:val="0"/>
        <w:adjustRightInd w:val="0"/>
        <w:spacing w:line="360" w:lineRule="auto"/>
        <w:jc w:val="both"/>
        <w:rPr>
          <w:rFonts w:asciiTheme="minorBidi" w:hAnsiTheme="minorBidi"/>
          <w:sz w:val="24"/>
          <w:szCs w:val="24"/>
          <w:lang w:val="en-GB"/>
        </w:rPr>
      </w:pPr>
      <w:r w:rsidRPr="00845AF7">
        <w:rPr>
          <w:rFonts w:ascii="Arial" w:hAnsi="Arial" w:cs="Arial"/>
          <w:sz w:val="24"/>
          <w:szCs w:val="24"/>
          <w:lang w:val="en-GB"/>
        </w:rPr>
        <w:t xml:space="preserve">Primary care pharmacists in SA have a range of functions, including administrative and clinical duties that are related to medication use and safety. The role of the pharmacist in PHCs is to apply the pharmaceutical care services standards by following processes: ordering medicines, and implementing medication safety strategies by: ensuring medication security and safety, medication labelling, dispensing, storage, emergency medications, monitoring medication effects, medication error identification and reporting, adverse drug events identification, as well as reporting, responding, retrieving and managing recalled medications, controlled drugs management, and checking and reviewing the prescription before dispensing. Pharmacists in PHCs also participate in the continued educational programmes by providing presentations to </w:t>
      </w:r>
      <w:r>
        <w:rPr>
          <w:rFonts w:ascii="Arial" w:hAnsi="Arial" w:cs="Arial"/>
          <w:sz w:val="24"/>
          <w:szCs w:val="24"/>
          <w:lang w:val="en-GB"/>
        </w:rPr>
        <w:t>HCPs</w:t>
      </w:r>
      <w:r w:rsidRPr="00845AF7">
        <w:rPr>
          <w:rFonts w:ascii="Arial" w:hAnsi="Arial" w:cs="Arial"/>
          <w:sz w:val="24"/>
          <w:szCs w:val="24"/>
          <w:lang w:val="en-GB"/>
        </w:rPr>
        <w:t xml:space="preserve"> and internship students, as well as drug information, education and the counselling of the patient and their families regarding prescribed medications</w:t>
      </w:r>
      <w:r>
        <w:rPr>
          <w:rFonts w:ascii="Arial" w:hAnsi="Arial" w:cs="Arial"/>
          <w:sz w:val="24"/>
          <w:szCs w:val="24"/>
          <w:lang w:val="en-GB"/>
        </w:rPr>
        <w:t xml:space="preserv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{"citationItems":[{"id":"ITEM-1","itemData":{"URL":"https://portal.cbahi.gov.sa/english/cbahi-standards","accessed":{"date-parts":[["2020","5","31"]]},"id":"ITEM-1","issued":{"date-parts":[["2020"]]},"title":"CBAHI Standards | CBAHI","type":"webpage"},"uris":["http://www.mendeley.com/documents/?uuid=ee0f98f9-61e2-3eda-8fe8-e659e1234dee"]}],"mendeley":{"formattedCitation":"(&lt;i&gt;CBAHI Standards | CBAHI&lt;/i&gt;, 2020)","manualFormatting":"(CBAHI Standards, 2020","plainTextFormattedCitation":"(CBAHI Standards | CBAHI, 2020)","previouslyFormattedCitation":"(&lt;i&gt;CBAHI Standards | CBAHI&lt;/i&gt;, 2020)"},"properties":{"noteIndex":0},"schema":"https://github.com/citation-style-language/schema/raw/master/csl-citation.json"}</w:instrText>
      </w:r>
      <w:r>
        <w:rPr>
          <w:rFonts w:ascii="Arial" w:hAnsi="Arial" w:cs="Arial"/>
          <w:sz w:val="24"/>
          <w:szCs w:val="24"/>
          <w:lang w:val="en-GB"/>
        </w:rPr>
        <w:fldChar w:fldCharType="separate"/>
      </w:r>
      <w:r w:rsidRPr="00270076">
        <w:rPr>
          <w:rFonts w:ascii="Arial" w:hAnsi="Arial" w:cs="Arial"/>
          <w:noProof/>
          <w:sz w:val="24"/>
          <w:szCs w:val="24"/>
          <w:lang w:val="en-GB"/>
        </w:rPr>
        <w:t>(</w:t>
      </w:r>
      <w:r w:rsidRPr="00270076">
        <w:rPr>
          <w:rFonts w:ascii="Arial" w:hAnsi="Arial" w:cs="Arial"/>
          <w:i/>
          <w:noProof/>
          <w:sz w:val="24"/>
          <w:szCs w:val="24"/>
          <w:lang w:val="en-GB"/>
        </w:rPr>
        <w:t>CBAHI Standards</w:t>
      </w:r>
      <w:r w:rsidRPr="00270076">
        <w:rPr>
          <w:rFonts w:ascii="Arial" w:hAnsi="Arial" w:cs="Arial"/>
          <w:noProof/>
          <w:sz w:val="24"/>
          <w:szCs w:val="24"/>
          <w:lang w:val="en-GB"/>
        </w:rPr>
        <w:t>, 2020</w:t>
      </w:r>
      <w:r>
        <w:rPr>
          <w:rFonts w:ascii="Arial" w:hAnsi="Arial" w:cs="Arial"/>
          <w:sz w:val="24"/>
          <w:szCs w:val="24"/>
          <w:lang w:val="en-GB"/>
        </w:rPr>
        <w:fldChar w:fldCharType="end"/>
      </w:r>
      <w:r>
        <w:rPr>
          <w:rFonts w:ascii="Arial" w:hAnsi="Arial" w:cs="Arial"/>
          <w:sz w:val="24"/>
          <w:szCs w:val="24"/>
          <w:lang w:val="en-GB"/>
        </w:rPr>
        <w:t>; CBAHI, 2015),</w:t>
      </w:r>
      <w:r w:rsidRPr="00845AF7">
        <w:rPr>
          <w:rFonts w:ascii="Arial" w:hAnsi="Arial" w:cs="Arial"/>
          <w:sz w:val="24"/>
          <w:szCs w:val="24"/>
          <w:lang w:val="en-GB"/>
        </w:rPr>
        <w:t xml:space="preserve"> </w:t>
      </w:r>
      <w:r>
        <w:rPr>
          <w:rFonts w:ascii="Arial" w:hAnsi="Arial" w:cs="Arial"/>
          <w:sz w:val="24"/>
          <w:szCs w:val="24"/>
          <w:lang w:val="en-GB"/>
        </w:rPr>
        <w:t xml:space="preserve">see </w:t>
      </w:r>
      <w:r w:rsidRPr="007B7A2C">
        <w:rPr>
          <w:rFonts w:asciiTheme="minorBidi" w:hAnsiTheme="minorBidi"/>
          <w:color w:val="1F3864" w:themeColor="accent1" w:themeShade="80"/>
          <w:sz w:val="24"/>
          <w:szCs w:val="24"/>
          <w:lang w:val="en-GB"/>
        </w:rPr>
        <w:t>(</w:t>
      </w:r>
      <w:r w:rsidR="007B7A2C" w:rsidRPr="007B7A2C">
        <w:rPr>
          <w:rFonts w:asciiTheme="minorBidi" w:hAnsiTheme="minorBidi"/>
          <w:color w:val="1F3864" w:themeColor="accent1" w:themeShade="80"/>
          <w:sz w:val="24"/>
          <w:szCs w:val="24"/>
          <w:lang w:val="en-GB"/>
        </w:rPr>
        <w:fldChar w:fldCharType="begin"/>
      </w:r>
      <w:r w:rsidR="007B7A2C" w:rsidRPr="007B7A2C">
        <w:rPr>
          <w:rFonts w:asciiTheme="minorBidi" w:hAnsiTheme="minorBidi"/>
          <w:color w:val="1F3864" w:themeColor="accent1" w:themeShade="80"/>
          <w:sz w:val="24"/>
          <w:szCs w:val="24"/>
          <w:lang w:val="en-GB"/>
        </w:rPr>
        <w:instrText xml:space="preserve"> REF _Ref148511421 \h </w:instrText>
      </w:r>
      <w:r w:rsidR="007B7A2C">
        <w:rPr>
          <w:rFonts w:asciiTheme="minorBidi" w:hAnsiTheme="minorBidi"/>
          <w:color w:val="1F3864" w:themeColor="accent1" w:themeShade="80"/>
          <w:sz w:val="24"/>
          <w:szCs w:val="24"/>
          <w:lang w:val="en-GB"/>
        </w:rPr>
        <w:instrText xml:space="preserve"> \* MERGEFORMAT </w:instrText>
      </w:r>
      <w:r w:rsidR="007B7A2C" w:rsidRPr="007B7A2C">
        <w:rPr>
          <w:rFonts w:asciiTheme="minorBidi" w:hAnsiTheme="minorBidi"/>
          <w:color w:val="1F3864" w:themeColor="accent1" w:themeShade="80"/>
          <w:sz w:val="24"/>
          <w:szCs w:val="24"/>
          <w:lang w:val="en-GB"/>
        </w:rPr>
      </w:r>
      <w:r w:rsidR="007B7A2C" w:rsidRPr="007B7A2C">
        <w:rPr>
          <w:rFonts w:asciiTheme="minorBidi" w:hAnsiTheme="minorBidi"/>
          <w:color w:val="1F3864" w:themeColor="accent1" w:themeShade="80"/>
          <w:sz w:val="24"/>
          <w:szCs w:val="24"/>
          <w:lang w:val="en-GB"/>
        </w:rPr>
        <w:fldChar w:fldCharType="separate"/>
      </w:r>
      <w:r w:rsidR="007B7A2C" w:rsidRPr="007B7A2C">
        <w:rPr>
          <w:rFonts w:asciiTheme="minorBidi" w:hAnsiTheme="minorBidi"/>
          <w:color w:val="1F3864" w:themeColor="accent1" w:themeShade="80"/>
          <w:sz w:val="24"/>
          <w:szCs w:val="24"/>
          <w:lang w:val="en-GB"/>
        </w:rPr>
        <w:t>Appendix A</w:t>
      </w:r>
      <w:r w:rsidR="007B7A2C" w:rsidRPr="007B7A2C">
        <w:rPr>
          <w:rFonts w:asciiTheme="minorBidi" w:hAnsiTheme="minorBidi"/>
          <w:color w:val="1F3864" w:themeColor="accent1" w:themeShade="80"/>
          <w:sz w:val="24"/>
          <w:szCs w:val="24"/>
          <w:lang w:val="en-GB"/>
        </w:rPr>
        <w:fldChar w:fldCharType="end"/>
      </w:r>
      <w:r w:rsidR="007B7A2C" w:rsidRPr="007B7A2C">
        <w:rPr>
          <w:rFonts w:asciiTheme="minorBidi" w:hAnsiTheme="minorBidi"/>
          <w:color w:val="1F3864" w:themeColor="accent1" w:themeShade="80"/>
          <w:sz w:val="24"/>
          <w:szCs w:val="24"/>
          <w:lang w:val="en-GB"/>
        </w:rPr>
        <w:t xml:space="preserve"> &amp; </w:t>
      </w:r>
      <w:r w:rsidR="007B7A2C" w:rsidRPr="007B7A2C">
        <w:rPr>
          <w:rFonts w:asciiTheme="minorBidi" w:hAnsiTheme="minorBidi"/>
          <w:color w:val="1F3864" w:themeColor="accent1" w:themeShade="80"/>
          <w:sz w:val="24"/>
          <w:szCs w:val="24"/>
          <w:lang w:val="en-GB"/>
        </w:rPr>
        <w:fldChar w:fldCharType="begin"/>
      </w:r>
      <w:r w:rsidR="007B7A2C" w:rsidRPr="007B7A2C">
        <w:rPr>
          <w:rFonts w:asciiTheme="minorBidi" w:hAnsiTheme="minorBidi"/>
          <w:color w:val="1F3864" w:themeColor="accent1" w:themeShade="80"/>
          <w:sz w:val="24"/>
          <w:szCs w:val="24"/>
          <w:lang w:val="en-GB"/>
        </w:rPr>
        <w:instrText xml:space="preserve"> REF _Ref148511450 \h </w:instrText>
      </w:r>
      <w:r w:rsidR="007B7A2C">
        <w:rPr>
          <w:rFonts w:asciiTheme="minorBidi" w:hAnsiTheme="minorBidi"/>
          <w:color w:val="1F3864" w:themeColor="accent1" w:themeShade="80"/>
          <w:sz w:val="24"/>
          <w:szCs w:val="24"/>
          <w:lang w:val="en-GB"/>
        </w:rPr>
        <w:instrText xml:space="preserve"> \* MERGEFORMAT </w:instrText>
      </w:r>
      <w:r w:rsidR="007B7A2C" w:rsidRPr="007B7A2C">
        <w:rPr>
          <w:rFonts w:asciiTheme="minorBidi" w:hAnsiTheme="minorBidi"/>
          <w:color w:val="1F3864" w:themeColor="accent1" w:themeShade="80"/>
          <w:sz w:val="24"/>
          <w:szCs w:val="24"/>
          <w:lang w:val="en-GB"/>
        </w:rPr>
      </w:r>
      <w:r w:rsidR="007B7A2C" w:rsidRPr="007B7A2C">
        <w:rPr>
          <w:rFonts w:asciiTheme="minorBidi" w:hAnsiTheme="minorBidi"/>
          <w:color w:val="1F3864" w:themeColor="accent1" w:themeShade="80"/>
          <w:sz w:val="24"/>
          <w:szCs w:val="24"/>
          <w:lang w:val="en-GB"/>
        </w:rPr>
        <w:fldChar w:fldCharType="separate"/>
      </w:r>
      <w:r w:rsidR="007B7A2C" w:rsidRPr="007B7A2C">
        <w:rPr>
          <w:rFonts w:asciiTheme="minorBidi" w:hAnsiTheme="minorBidi"/>
          <w:color w:val="1F3864" w:themeColor="accent1" w:themeShade="80"/>
          <w:sz w:val="24"/>
          <w:szCs w:val="24"/>
          <w:lang w:val="en-GB"/>
        </w:rPr>
        <w:t>Appendix B</w:t>
      </w:r>
      <w:r w:rsidR="007B7A2C">
        <w:rPr>
          <w:rFonts w:asciiTheme="minorBidi" w:hAnsiTheme="minorBidi"/>
          <w:color w:val="1F3864" w:themeColor="accent1" w:themeShade="80"/>
          <w:sz w:val="24"/>
          <w:szCs w:val="24"/>
          <w:lang w:val="en-GB"/>
        </w:rPr>
        <w:t xml:space="preserve">) </w:t>
      </w:r>
      <w:r w:rsidR="007B7A2C" w:rsidRPr="007B7A2C">
        <w:rPr>
          <w:rFonts w:asciiTheme="minorBidi" w:hAnsiTheme="minorBidi"/>
          <w:color w:val="1F3864" w:themeColor="accent1" w:themeShade="80"/>
          <w:sz w:val="24"/>
          <w:szCs w:val="24"/>
          <w:lang w:val="en-GB"/>
        </w:rPr>
        <w:t xml:space="preserve"> </w:t>
      </w:r>
      <w:r w:rsidR="007B7A2C" w:rsidRPr="007B7A2C">
        <w:rPr>
          <w:rFonts w:asciiTheme="minorBidi" w:hAnsiTheme="minorBidi"/>
          <w:color w:val="1F3864" w:themeColor="accent1" w:themeShade="80"/>
          <w:sz w:val="24"/>
          <w:szCs w:val="24"/>
          <w:lang w:val="en-GB"/>
        </w:rPr>
        <w:fldChar w:fldCharType="end"/>
      </w:r>
    </w:p>
    <w:p w14:paraId="05DF114E" w14:textId="77777777" w:rsidR="00610EEE" w:rsidRDefault="00610EEE" w:rsidP="00610EEE">
      <w:pPr>
        <w:autoSpaceDE w:val="0"/>
        <w:autoSpaceDN w:val="0"/>
        <w:adjustRightInd w:val="0"/>
        <w:spacing w:line="360" w:lineRule="auto"/>
        <w:jc w:val="both"/>
        <w:rPr>
          <w:rFonts w:ascii="Arial" w:hAnsi="Arial" w:cs="Arial"/>
          <w:sz w:val="24"/>
          <w:szCs w:val="24"/>
          <w:lang w:val="en-GB"/>
        </w:rPr>
      </w:pPr>
    </w:p>
    <w:p w14:paraId="59A79CA6" w14:textId="77777777" w:rsidR="00610EEE" w:rsidRPr="002764E0" w:rsidRDefault="00610EEE" w:rsidP="00610EEE">
      <w:pPr>
        <w:pStyle w:val="Heading3"/>
        <w:spacing w:line="360" w:lineRule="auto"/>
        <w:ind w:left="0" w:firstLine="0"/>
        <w:rPr>
          <w:lang w:val="en-GB"/>
        </w:rPr>
      </w:pPr>
      <w:bookmarkStart w:id="13" w:name="_Toc153894131"/>
      <w:r w:rsidRPr="002764E0">
        <w:rPr>
          <w:lang w:val="en-GB"/>
        </w:rPr>
        <w:t>Pharmacy workforce</w:t>
      </w:r>
      <w:bookmarkEnd w:id="13"/>
    </w:p>
    <w:p w14:paraId="0E3178CE" w14:textId="77777777" w:rsidR="00610EEE" w:rsidRDefault="00610EEE" w:rsidP="00610EEE">
      <w:pPr>
        <w:spacing w:line="360" w:lineRule="auto"/>
        <w:jc w:val="both"/>
        <w:rPr>
          <w:rFonts w:ascii="Arial" w:hAnsi="Arial" w:cs="Arial"/>
          <w:sz w:val="24"/>
          <w:szCs w:val="24"/>
        </w:rPr>
      </w:pPr>
      <w:r w:rsidRPr="00845AF7">
        <w:rPr>
          <w:rFonts w:ascii="Arial" w:hAnsi="Arial" w:cs="Arial"/>
          <w:sz w:val="24"/>
          <w:szCs w:val="24"/>
          <w:lang w:val="en-GB"/>
        </w:rPr>
        <w:t xml:space="preserve">Pharmaceutical care services in PHCs </w:t>
      </w:r>
      <w:r>
        <w:rPr>
          <w:rFonts w:ascii="Arial" w:hAnsi="Arial" w:cs="Arial"/>
          <w:sz w:val="24"/>
          <w:szCs w:val="24"/>
          <w:lang w:val="en-GB"/>
        </w:rPr>
        <w:t xml:space="preserve">in SA </w:t>
      </w:r>
      <w:r w:rsidRPr="00845AF7">
        <w:rPr>
          <w:rFonts w:ascii="Arial" w:hAnsi="Arial" w:cs="Arial"/>
          <w:sz w:val="24"/>
          <w:szCs w:val="24"/>
          <w:lang w:val="en-GB"/>
        </w:rPr>
        <w:t xml:space="preserve">are often delivered by a single pharmacist or pharmacy technician, but the pharmacy is sometimes run by two employees, one pharmacist and one technician, depending on the size of the centre and the population served. </w:t>
      </w:r>
      <w:r>
        <w:rPr>
          <w:rFonts w:ascii="Arial" w:hAnsi="Arial" w:cs="Arial"/>
          <w:sz w:val="24"/>
          <w:szCs w:val="24"/>
          <w:lang w:val="en-GB"/>
        </w:rPr>
        <w:t>T</w:t>
      </w:r>
      <w:r w:rsidRPr="00845AF7">
        <w:rPr>
          <w:rFonts w:ascii="Arial" w:hAnsi="Arial" w:cs="Arial"/>
          <w:sz w:val="24"/>
          <w:szCs w:val="24"/>
          <w:lang w:val="en-GB"/>
        </w:rPr>
        <w:t xml:space="preserve">he workforce guidelines that were approved by the </w:t>
      </w:r>
      <w:r>
        <w:rPr>
          <w:rFonts w:ascii="Arial" w:hAnsi="Arial" w:cs="Arial"/>
          <w:sz w:val="24"/>
          <w:szCs w:val="24"/>
          <w:lang w:val="en-GB"/>
        </w:rPr>
        <w:t xml:space="preserve">Saudi </w:t>
      </w:r>
      <w:r w:rsidRPr="00845AF7">
        <w:rPr>
          <w:rFonts w:ascii="Arial" w:hAnsi="Arial" w:cs="Arial"/>
          <w:sz w:val="24"/>
          <w:szCs w:val="24"/>
          <w:lang w:val="en-GB"/>
        </w:rPr>
        <w:t>M</w:t>
      </w:r>
      <w:r>
        <w:rPr>
          <w:rFonts w:ascii="Arial" w:hAnsi="Arial" w:cs="Arial"/>
          <w:sz w:val="24"/>
          <w:szCs w:val="24"/>
          <w:lang w:val="en-GB"/>
        </w:rPr>
        <w:t>o</w:t>
      </w:r>
      <w:r w:rsidRPr="00845AF7">
        <w:rPr>
          <w:rFonts w:ascii="Arial" w:hAnsi="Arial" w:cs="Arial"/>
          <w:sz w:val="24"/>
          <w:szCs w:val="24"/>
          <w:lang w:val="en-GB"/>
        </w:rPr>
        <w:t xml:space="preserve">H in 2014 emphasised a crucial need for a minimum of four pharmacy staff (one pharmacy technician, two pharmacists and one general clinical pharmacist) in each PHC centre that serves up to 12,000 people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{"citationItems":[{"id":"ITEM-1","itemData":{"DOI":"10.19080/jpcr.2016.01.555555","author":[{"dropping-particle":"","family":"Alomi","given":"Yousef Ahmed","non-dropping-particle":"","parse-names":false,"suffix":""}],"container-title":"Journal of pharmacology &amp; clinical research","id":"ITEM-1","issue":"1","issued":{"date-parts":[["2016"]]},"page":"10-13","title":"Primary Care Center Pharmacy Manpower New Guidelines in Saudi Arabia","type":"article-journal","volume":"1"},"uris":["http://www.mendeley.com/documents/?uuid=e07afb8e-8ad0-498d-8680-2b79acd71888"]}],"mendeley":{"formattedCitation":"(Alomi, 2016)","plainTextFormattedCitation":"(Alomi, 2016)","previouslyFormattedCitation":"(Alomi, 2016)"},"properties":{"noteIndex":0},"schema":"https://github.com/citation-style-language/schema/raw/master/csl-citation.json"}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(Alomi, 2016)</w:t>
      </w:r>
      <w:r w:rsidRPr="00845AF7">
        <w:rPr>
          <w:rFonts w:ascii="Arial" w:hAnsi="Arial" w:cs="Arial"/>
          <w:sz w:val="24"/>
          <w:szCs w:val="24"/>
          <w:lang w:val="en-GB"/>
        </w:rPr>
        <w:fldChar w:fldCharType="end"/>
      </w:r>
      <w:r w:rsidRPr="00845AF7">
        <w:rPr>
          <w:rFonts w:ascii="Arial" w:hAnsi="Arial" w:cs="Arial"/>
          <w:sz w:val="24"/>
          <w:szCs w:val="24"/>
          <w:lang w:val="en-GB"/>
        </w:rPr>
        <w:t xml:space="preserve">. </w:t>
      </w:r>
      <w:r>
        <w:rPr>
          <w:rFonts w:ascii="Arial" w:hAnsi="Arial" w:cs="Arial"/>
          <w:sz w:val="24"/>
          <w:szCs w:val="24"/>
          <w:lang w:val="en-GB"/>
        </w:rPr>
        <w:t>E</w:t>
      </w:r>
      <w:r w:rsidRPr="00845AF7">
        <w:rPr>
          <w:rFonts w:ascii="Arial" w:hAnsi="Arial" w:cs="Arial"/>
          <w:sz w:val="24"/>
          <w:szCs w:val="24"/>
          <w:lang w:val="en-GB"/>
        </w:rPr>
        <w:t xml:space="preserve">ach centre provided healthcare services to around 13,455 people </w:t>
      </w:r>
      <w:r>
        <w:rPr>
          <w:rFonts w:ascii="Arial" w:hAnsi="Arial" w:cs="Arial"/>
          <w:sz w:val="24"/>
          <w:szCs w:val="24"/>
          <w:lang w:val="en-GB"/>
        </w:rPr>
        <w:t xml:space="preserve">as earlier mentioned </w:t>
      </w:r>
      <w:r w:rsidRPr="00845AF7">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{"citationItems":[{"id":"ITEM-1","itemData":{"DOI":"10.1080/20479700.2018.1433459","ISSN":"2047-9700","abstract":"With an anticipated population increase of 33% over the next three decades, the Saudi Arabian healthcare sector needs to cater to an every growing population and demand of healthcare services. The demand for healthcare is high as compared to the supply of healthcare services, a scenario recognized by the Saudi Arabian government, which has lately encouraged the private sector to match the shortfall and benefit from this potentially lucrative sector. This exploratory research thus assesses the development of healthcare services in the Kingdom of Saudi Arabia over the past nine decades and key elements impacting the Saudi Arabian healthcare sector and its future. The research indicates that automation would be a reality, training, and development of healthcare professional would gain a centre stage, and primary healthcare centres would be further developed. The research concludes that both public and private sector should address the issue of shortage of beds at the earliest, by utilizing the funding to develop new hospitals and also, by improving and growing the existing facilities. Furthermore, the government should restructure the funding of the healthcare sector so that it becomes self-reliant and less dependent on the government budget.","author":[{"dropping-particle":"","family":"Sajjad","given":"Rumaiya","non-dropping-particle":"","parse-names":false,"suffix":""},{"dropping-particle":"","family":"Qureshi","given":"Mohammed Owais","non-dropping-particle":"","parse-names":false,"suffix":""}],"container-title":"International Journal of Healthcare Management","id":"ITEM-1","issue":"0","issued":{"date-parts":[["2018"]]},"page":"1-9","publisher":"Taylor &amp; Francis","title":"An assessment of the healthcare services in the Kingdom of Saudi Arabia: An analysis of the old, current, and future systems","type":"article-journal","volume":"0"},"uris":["http://www.mendeley.com/documents/?uuid=ae0fa0c1-626d-44f6-9ba0-04544fca426b"]}],"mendeley":{"formattedCitation":"(Sajjad and Qureshi, 2018)","manualFormatting":"by Sajjad and Qureshi, (2018)","plainTextFormattedCitation":"(Sajjad and Qureshi, 2018)","previouslyFormattedCitation":"(Sajjad and Qureshi, 2018)"},"properties":{"noteIndex":0},"schema":"https://github.com/citation-style-language/schema/raw/master/csl-citation.json"}</w:instrText>
      </w:r>
      <w:r w:rsidRPr="00845AF7">
        <w:rPr>
          <w:rFonts w:ascii="Arial" w:hAnsi="Arial" w:cs="Arial"/>
          <w:sz w:val="24"/>
          <w:szCs w:val="24"/>
          <w:lang w:val="en-GB"/>
        </w:rPr>
        <w:fldChar w:fldCharType="separate"/>
      </w:r>
      <w:r>
        <w:rPr>
          <w:rFonts w:ascii="Arial" w:hAnsi="Arial" w:cs="Arial"/>
          <w:noProof/>
          <w:sz w:val="24"/>
          <w:szCs w:val="24"/>
          <w:lang w:val="en-GB"/>
        </w:rPr>
        <w:t xml:space="preserve">by </w:t>
      </w:r>
      <w:r w:rsidRPr="00845AF7">
        <w:rPr>
          <w:rFonts w:ascii="Arial" w:hAnsi="Arial" w:cs="Arial"/>
          <w:noProof/>
          <w:sz w:val="24"/>
          <w:szCs w:val="24"/>
          <w:lang w:val="en-GB"/>
        </w:rPr>
        <w:t xml:space="preserve">Sajjad and Qureshi, </w:t>
      </w:r>
      <w:r>
        <w:rPr>
          <w:rFonts w:ascii="Arial" w:hAnsi="Arial" w:cs="Arial"/>
          <w:noProof/>
          <w:sz w:val="24"/>
          <w:szCs w:val="24"/>
          <w:lang w:val="en-GB"/>
        </w:rPr>
        <w:t>(</w:t>
      </w:r>
      <w:r w:rsidRPr="00845AF7">
        <w:rPr>
          <w:rFonts w:ascii="Arial" w:hAnsi="Arial" w:cs="Arial"/>
          <w:noProof/>
          <w:sz w:val="24"/>
          <w:szCs w:val="24"/>
          <w:lang w:val="en-GB"/>
        </w:rPr>
        <w:t>2018)</w:t>
      </w:r>
      <w:r w:rsidRPr="00845AF7">
        <w:rPr>
          <w:rFonts w:ascii="Arial" w:hAnsi="Arial" w:cs="Arial"/>
          <w:sz w:val="24"/>
          <w:szCs w:val="24"/>
          <w:lang w:val="en-GB"/>
        </w:rPr>
        <w:fldChar w:fldCharType="end"/>
      </w:r>
      <w:r w:rsidRPr="00845AF7">
        <w:rPr>
          <w:rFonts w:ascii="Arial" w:hAnsi="Arial" w:cs="Arial"/>
          <w:sz w:val="24"/>
          <w:szCs w:val="24"/>
          <w:lang w:val="en-GB"/>
        </w:rPr>
        <w:t>. Therefore, a minimum four of pharmacy workforce are needed in each centre but this is not the situation as in 2018, the number of PHCs in SA reached  2,390, and the total number of pharmacists in these centres was 536, with the rate of 0.16 pharmacists</w:t>
      </w:r>
      <w:r>
        <w:rPr>
          <w:rFonts w:ascii="Arial" w:hAnsi="Arial" w:cs="Arial"/>
          <w:sz w:val="24"/>
          <w:szCs w:val="24"/>
          <w:lang w:val="en-GB"/>
        </w:rPr>
        <w:t xml:space="preserve"> per 1</w:t>
      </w:r>
      <w:r w:rsidRPr="00845AF7">
        <w:rPr>
          <w:rFonts w:ascii="Arial" w:hAnsi="Arial" w:cs="Arial"/>
          <w:sz w:val="24"/>
          <w:szCs w:val="24"/>
          <w:lang w:val="en-GB"/>
        </w:rPr>
        <w:t xml:space="preserve">0,000 population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{"citationItems":[{"id":"ITEM-1","itemData":{"author":[{"dropping-particle":"","family":"Saudi Ministry of Health","given":"","non-dropping-particle":"","parse-names":false,"suffix":""}],"id":"ITEM-1","issued":{"date-parts":[["2018"]]},"title":"Statistical Book for the year 2018","type":"report"},"uris":["http://www.mendeley.com/documents/?uuid=576b6b3a-8e14-3c3c-89c2-4778a4af3a31"]}],"mendeley":{"formattedCitation":"(Saudi Ministry of Health, 2018)","plainTextFormattedCitation":"(Saudi Ministry of Health, 2018)","previouslyFormattedCitation":"(Saudi Ministry of Health, 2018)"},"properties":{"noteIndex":0},"schema":"https://github.com/citation-style-language/schema/raw/master/csl-citation.json"}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(Saudi Ministry of Health, 2018)</w:t>
      </w:r>
      <w:r w:rsidRPr="00845AF7">
        <w:rPr>
          <w:rFonts w:ascii="Arial" w:hAnsi="Arial" w:cs="Arial"/>
          <w:sz w:val="24"/>
          <w:szCs w:val="24"/>
          <w:lang w:val="en-GB"/>
        </w:rPr>
        <w:fldChar w:fldCharType="end"/>
      </w:r>
      <w:r w:rsidRPr="00845AF7">
        <w:rPr>
          <w:rFonts w:ascii="Arial" w:hAnsi="Arial" w:cs="Arial"/>
          <w:sz w:val="24"/>
          <w:szCs w:val="24"/>
          <w:lang w:val="en-GB"/>
        </w:rPr>
        <w:t xml:space="preserve">. This figure indicates the shortages in pharmacy staff who cover these centres. </w:t>
      </w:r>
      <w:r w:rsidRPr="006B2FC7">
        <w:rPr>
          <w:rFonts w:ascii="Arial" w:hAnsi="Arial" w:cs="Arial"/>
          <w:sz w:val="24"/>
          <w:szCs w:val="24"/>
        </w:rPr>
        <w:t xml:space="preserve">Shortages in the pharmacy workforce in PHCs in SA may be overwhelmed by all the pharmacy duties; from the management of medication storage and supplies medication, dispensing, medication inspection, reporting monthly/quarterly/and annually statistics of dispensing medications, provision of drug information to </w:t>
      </w:r>
      <w:r>
        <w:rPr>
          <w:rFonts w:ascii="Arial" w:hAnsi="Arial" w:cs="Arial"/>
          <w:sz w:val="24"/>
          <w:szCs w:val="24"/>
        </w:rPr>
        <w:t>HCPs</w:t>
      </w:r>
      <w:r w:rsidRPr="006B2FC7">
        <w:rPr>
          <w:rFonts w:ascii="Arial" w:hAnsi="Arial" w:cs="Arial"/>
          <w:sz w:val="24"/>
          <w:szCs w:val="24"/>
        </w:rPr>
        <w:t xml:space="preserve"> and patients. This burden of tasks could limit pharmacist’s contribution to diabetes care and providing more clinical intervention to diabetes patients.</w:t>
      </w:r>
    </w:p>
    <w:p w14:paraId="1AF42AEA" w14:textId="77777777" w:rsidR="00610EEE" w:rsidRPr="00C60FF4" w:rsidRDefault="00610EEE" w:rsidP="00610EEE">
      <w:pPr>
        <w:spacing w:line="360" w:lineRule="auto"/>
        <w:jc w:val="both"/>
        <w:rPr>
          <w:rFonts w:ascii="Arial" w:hAnsi="Arial" w:cs="Arial"/>
          <w:sz w:val="24"/>
          <w:szCs w:val="24"/>
        </w:rPr>
      </w:pPr>
      <w:r w:rsidRPr="00D94448">
        <w:rPr>
          <w:rFonts w:ascii="Arial" w:hAnsi="Arial" w:cs="Arial"/>
          <w:color w:val="000000" w:themeColor="text1"/>
          <w:sz w:val="24"/>
          <w:szCs w:val="24"/>
        </w:rPr>
        <w:t xml:space="preserve">Due to </w:t>
      </w:r>
      <w:r w:rsidRPr="00D94448">
        <w:rPr>
          <w:rFonts w:ascii="Arial" w:hAnsi="Arial" w:cs="Arial"/>
          <w:color w:val="000000" w:themeColor="text1"/>
          <w:sz w:val="24"/>
          <w:szCs w:val="24"/>
          <w:lang w:val="en-GB"/>
        </w:rPr>
        <w:t>the closing of pharmacies at these centres, the number of pharmacy staff that was recommended by the former general manager of general administration of pharmaceutical care in the Saudi MoH in 2014 might change</w:t>
      </w:r>
      <w:r>
        <w:rPr>
          <w:rFonts w:ascii="Arial" w:hAnsi="Arial" w:cs="Arial"/>
          <w:color w:val="000000" w:themeColor="text1"/>
          <w:sz w:val="24"/>
          <w:szCs w:val="24"/>
          <w:lang w:val="en-GB"/>
        </w:rPr>
        <w:t>.</w:t>
      </w:r>
      <w:r>
        <w:rPr>
          <w:rFonts w:ascii="Arial" w:hAnsi="Arial" w:cs="Arial"/>
          <w:sz w:val="24"/>
          <w:szCs w:val="24"/>
          <w:lang w:val="en-GB"/>
        </w:rPr>
        <w:t xml:space="preserve"> S</w:t>
      </w:r>
      <w:r w:rsidRPr="00845AF7">
        <w:rPr>
          <w:rFonts w:ascii="Arial" w:hAnsi="Arial" w:cs="Arial"/>
          <w:sz w:val="24"/>
          <w:szCs w:val="24"/>
          <w:lang w:val="en-GB"/>
        </w:rPr>
        <w:t>everal studies (</w:t>
      </w:r>
      <w:r w:rsidRPr="00845AF7">
        <w:rPr>
          <w:rFonts w:ascii="Arial" w:hAnsi="Arial" w:cs="Arial"/>
          <w:noProof/>
          <w:sz w:val="24"/>
          <w:szCs w:val="24"/>
          <w:lang w:val="en-GB"/>
        </w:rPr>
        <w:t xml:space="preserve">Tan </w:t>
      </w:r>
      <w:r w:rsidRPr="00845AF7">
        <w:rPr>
          <w:rFonts w:ascii="Arial" w:hAnsi="Arial" w:cs="Arial"/>
          <w:i/>
          <w:noProof/>
          <w:sz w:val="24"/>
          <w:szCs w:val="24"/>
          <w:lang w:val="en-GB"/>
        </w:rPr>
        <w:t>et al.</w:t>
      </w:r>
      <w:r w:rsidRPr="00845AF7">
        <w:rPr>
          <w:rFonts w:ascii="Arial" w:hAnsi="Arial" w:cs="Arial"/>
          <w:noProof/>
          <w:sz w:val="24"/>
          <w:szCs w:val="24"/>
          <w:lang w:val="en-GB"/>
        </w:rPr>
        <w:t>, (2014)</w:t>
      </w:r>
      <w:r>
        <w:rPr>
          <w:rFonts w:ascii="Arial" w:hAnsi="Arial" w:cs="Arial"/>
          <w:noProof/>
          <w:sz w:val="24"/>
          <w:szCs w:val="24"/>
          <w:lang w:val="en-GB"/>
        </w:rPr>
        <w:t>;</w:t>
      </w:r>
      <w:r w:rsidRPr="00845AF7">
        <w:rPr>
          <w:rFonts w:ascii="Arial" w:hAnsi="Arial" w:cs="Arial"/>
          <w:noProof/>
          <w:sz w:val="24"/>
          <w:szCs w:val="24"/>
          <w:lang w:val="en-GB"/>
        </w:rPr>
        <w:t xml:space="preserve"> Simpson </w:t>
      </w:r>
      <w:r w:rsidRPr="00845AF7">
        <w:rPr>
          <w:rFonts w:ascii="Arial" w:hAnsi="Arial" w:cs="Arial"/>
          <w:i/>
          <w:noProof/>
          <w:sz w:val="24"/>
          <w:szCs w:val="24"/>
          <w:lang w:val="en-GB"/>
        </w:rPr>
        <w:t>et al.</w:t>
      </w:r>
      <w:r w:rsidRPr="00845AF7">
        <w:rPr>
          <w:rFonts w:ascii="Arial" w:hAnsi="Arial" w:cs="Arial"/>
          <w:noProof/>
          <w:sz w:val="24"/>
          <w:szCs w:val="24"/>
          <w:lang w:val="en-GB"/>
        </w:rPr>
        <w:t>, (2015)</w:t>
      </w:r>
      <w:r>
        <w:rPr>
          <w:rFonts w:ascii="Arial" w:hAnsi="Arial" w:cs="Arial"/>
          <w:noProof/>
          <w:sz w:val="24"/>
          <w:szCs w:val="24"/>
          <w:lang w:val="en-GB"/>
        </w:rPr>
        <w:t>;</w:t>
      </w:r>
      <w:r w:rsidRPr="00845AF7">
        <w:rPr>
          <w:rFonts w:ascii="Arial" w:hAnsi="Arial" w:cs="Arial"/>
          <w:noProof/>
          <w:sz w:val="24"/>
          <w:szCs w:val="24"/>
          <w:lang w:val="en-GB"/>
        </w:rPr>
        <w:t xml:space="preserve"> </w:t>
      </w:r>
      <w:r w:rsidRPr="00845AF7">
        <w:rPr>
          <w:rFonts w:ascii="Arial" w:hAnsi="Arial" w:cs="Arial"/>
          <w:sz w:val="24"/>
          <w:szCs w:val="24"/>
          <w:lang w:val="en-GB"/>
        </w:rPr>
        <w:t>Moreno</w:t>
      </w:r>
      <w:r w:rsidRPr="00845AF7">
        <w:rPr>
          <w:rFonts w:ascii="Arial" w:hAnsi="Arial" w:cs="Arial"/>
          <w:noProof/>
          <w:sz w:val="24"/>
          <w:szCs w:val="24"/>
          <w:lang w:val="en-GB"/>
        </w:rPr>
        <w:t xml:space="preserve"> </w:t>
      </w:r>
      <w:r w:rsidRPr="00845AF7">
        <w:rPr>
          <w:rFonts w:ascii="Arial" w:hAnsi="Arial" w:cs="Arial"/>
          <w:i/>
          <w:noProof/>
          <w:sz w:val="24"/>
          <w:szCs w:val="24"/>
          <w:lang w:val="en-GB"/>
        </w:rPr>
        <w:t>et al.</w:t>
      </w:r>
      <w:r w:rsidRPr="00845AF7">
        <w:rPr>
          <w:rFonts w:ascii="Arial" w:hAnsi="Arial" w:cs="Arial"/>
          <w:noProof/>
          <w:sz w:val="24"/>
          <w:szCs w:val="24"/>
          <w:lang w:val="en-GB"/>
        </w:rPr>
        <w:t>, (2017)</w:t>
      </w:r>
      <w:r>
        <w:rPr>
          <w:rFonts w:ascii="Arial" w:hAnsi="Arial" w:cs="Arial"/>
          <w:noProof/>
          <w:sz w:val="24"/>
          <w:szCs w:val="24"/>
          <w:lang w:val="en-GB"/>
        </w:rPr>
        <w:t>;</w:t>
      </w:r>
      <w:r w:rsidRPr="00845AF7">
        <w:rPr>
          <w:rFonts w:ascii="Arial" w:hAnsi="Arial" w:cs="Arial"/>
          <w:noProof/>
          <w:sz w:val="24"/>
          <w:szCs w:val="24"/>
          <w:lang w:val="en-GB"/>
        </w:rPr>
        <w:t xml:space="preserve"> Blondal </w:t>
      </w:r>
      <w:r w:rsidRPr="00033021">
        <w:rPr>
          <w:rFonts w:ascii="Arial" w:hAnsi="Arial" w:cs="Arial"/>
          <w:i/>
          <w:noProof/>
          <w:sz w:val="24"/>
          <w:szCs w:val="24"/>
          <w:lang w:val="en-GB"/>
        </w:rPr>
        <w:t>et al.,</w:t>
      </w:r>
      <w:r w:rsidRPr="00845AF7">
        <w:rPr>
          <w:rFonts w:ascii="Arial" w:hAnsi="Arial" w:cs="Arial"/>
          <w:noProof/>
          <w:sz w:val="24"/>
          <w:szCs w:val="24"/>
          <w:lang w:val="en-GB"/>
        </w:rPr>
        <w:t xml:space="preserve"> (2017)</w:t>
      </w:r>
      <w:r>
        <w:rPr>
          <w:rFonts w:ascii="Arial" w:hAnsi="Arial" w:cs="Arial"/>
          <w:noProof/>
          <w:sz w:val="24"/>
          <w:szCs w:val="24"/>
          <w:lang w:val="en-GB"/>
        </w:rPr>
        <w:t>;</w:t>
      </w:r>
      <w:r w:rsidRPr="00845AF7">
        <w:rPr>
          <w:rFonts w:ascii="Arial" w:hAnsi="Arial" w:cs="Arial"/>
          <w:noProof/>
          <w:sz w:val="24"/>
          <w:szCs w:val="24"/>
          <w:lang w:val="en-GB"/>
        </w:rPr>
        <w:t xml:space="preserve"> </w:t>
      </w:r>
      <w:r>
        <w:rPr>
          <w:rFonts w:ascii="Arial" w:hAnsi="Arial" w:cs="Arial"/>
          <w:noProof/>
          <w:sz w:val="24"/>
          <w:szCs w:val="24"/>
          <w:lang w:val="en-GB"/>
        </w:rPr>
        <w:t xml:space="preserve">Alomi, (2017) </w:t>
      </w:r>
      <w:r w:rsidRPr="00845AF7">
        <w:rPr>
          <w:rFonts w:ascii="Arial" w:hAnsi="Arial" w:cs="Arial"/>
          <w:noProof/>
          <w:sz w:val="24"/>
          <w:szCs w:val="24"/>
          <w:lang w:val="en-GB"/>
        </w:rPr>
        <w:t xml:space="preserve">and Abdulrhim </w:t>
      </w:r>
      <w:r w:rsidRPr="00845AF7">
        <w:rPr>
          <w:rFonts w:ascii="Arial" w:hAnsi="Arial" w:cs="Arial"/>
          <w:i/>
          <w:noProof/>
          <w:sz w:val="24"/>
          <w:szCs w:val="24"/>
          <w:lang w:val="en-GB"/>
        </w:rPr>
        <w:t>et al.</w:t>
      </w:r>
      <w:r w:rsidRPr="00845AF7">
        <w:rPr>
          <w:rFonts w:ascii="Arial" w:hAnsi="Arial" w:cs="Arial"/>
          <w:noProof/>
          <w:sz w:val="24"/>
          <w:szCs w:val="24"/>
          <w:lang w:val="en-GB"/>
        </w:rPr>
        <w:t>, (2019)</w:t>
      </w:r>
      <w:r>
        <w:rPr>
          <w:rFonts w:ascii="Arial" w:hAnsi="Arial" w:cs="Arial"/>
          <w:noProof/>
          <w:sz w:val="24"/>
          <w:szCs w:val="24"/>
          <w:lang w:val="en-GB"/>
        </w:rPr>
        <w:t>)</w:t>
      </w:r>
      <w:r>
        <w:rPr>
          <w:rFonts w:ascii="Arial" w:hAnsi="Arial" w:cs="Arial"/>
          <w:sz w:val="24"/>
          <w:szCs w:val="24"/>
          <w:lang w:val="en-GB"/>
        </w:rPr>
        <w:t xml:space="preserve"> </w:t>
      </w:r>
      <w:r w:rsidRPr="00845AF7">
        <w:rPr>
          <w:rFonts w:ascii="Arial" w:hAnsi="Arial" w:cs="Arial"/>
          <w:sz w:val="24"/>
          <w:szCs w:val="24"/>
          <w:lang w:val="en-GB"/>
        </w:rPr>
        <w:t>recommend the need for a minimum general clinical pharmacist to provide pharmaceutical care for patients in primary care settings.</w:t>
      </w:r>
    </w:p>
    <w:p w14:paraId="241F0FB4" w14:textId="77777777" w:rsidR="00610EEE" w:rsidRDefault="00610EEE" w:rsidP="00610EEE">
      <w:pPr>
        <w:spacing w:line="360" w:lineRule="auto"/>
        <w:jc w:val="both"/>
        <w:rPr>
          <w:rFonts w:ascii="Arial" w:hAnsi="Arial" w:cs="Arial"/>
          <w:sz w:val="24"/>
          <w:szCs w:val="24"/>
          <w:lang w:val="en"/>
        </w:rPr>
      </w:pPr>
      <w:r w:rsidRPr="00845AF7">
        <w:rPr>
          <w:rFonts w:ascii="Arial" w:hAnsi="Arial" w:cs="Arial"/>
          <w:sz w:val="24"/>
          <w:szCs w:val="24"/>
          <w:lang w:val="en-GB"/>
        </w:rPr>
        <w:t xml:space="preserve">SA has experienced a serious shortage of clinical pharmacists and </w:t>
      </w:r>
      <w:r w:rsidRPr="00146A35">
        <w:rPr>
          <w:rFonts w:ascii="Arial" w:hAnsi="Arial" w:cs="Arial"/>
          <w:sz w:val="24"/>
          <w:szCs w:val="24"/>
          <w:lang w:val="en-GB"/>
        </w:rPr>
        <w:t xml:space="preserve">this has affected </w:t>
      </w:r>
      <w:r w:rsidRPr="00845AF7">
        <w:rPr>
          <w:rFonts w:ascii="Arial" w:hAnsi="Arial" w:cs="Arial"/>
          <w:sz w:val="24"/>
          <w:szCs w:val="24"/>
          <w:lang w:val="en-GB"/>
        </w:rPr>
        <w:t>the provision of full pharmaceutical care services</w:t>
      </w:r>
      <w:r>
        <w:rPr>
          <w:rFonts w:ascii="Arial" w:hAnsi="Arial" w:cs="Arial"/>
          <w:sz w:val="24"/>
          <w:szCs w:val="24"/>
          <w:lang w:val="en-GB"/>
        </w:rPr>
        <w:t xml:space="preserve">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{"citationItems":[{"id":"ITEM-1","itemData":{"DOI":"10.1177/2050312115594816","ISBN":"2050312115594","ISSN":"2050-3121","abstract":"OBJECTIVES: The shortage of clinical pharmacists in Saudi Arabia has limited the full implementation of pharmaceutical care in most of its hospitals. The National Guard Health Affairs hospitals. This work discussed the Department of Pharmaceutical Care, and the King Saud Bin Abdulaziz University for Health Sciences College of Pharmacy four initiatives that were planned in 2009-2010 to develop and recruit clinical pharmacists, practitioners, or faculty., METHODS: The combined initiatives were aimed at (1) instituting a 4-year clinical skills development career ladder, (2) expanding the National Guard Health Affairs postgraduate residency program, (3) offering scholarships to qualified pharmacy graduates to pursue the PharmD degree and a PGY-1 residency training in the United States, and (4) recruiting non-Saudi clinical pharmacists educated and trained in the United States to ameliorate the current shortage of practitioner., RESULTS: The current number of clinical pharmacists practicing at the National Guard Health Affairs at central region is 24, most of whom are Board Certified by the American Pharmacists Association Board of Pharmacy Specialties., CONCLUSIONS: The four initiatives, based on current trends, suggest that 60-65 positions will be added by 2017-2018, barring attrition. Saudi Arabia and many developing countries will continue to experience a shortage in clinical pharmacists due to the high demand for clinical pharmacy services. A multifaceted approach is recommended to address the problem.","author":[{"dropping-particle":"","family":"Albekairy","given":"Abdulkareem M","non-dropping-particle":"","parse-names":false,"suffix":""},{"dropping-particle":"","family":"Khalidi","given":"Nabil","non-dropping-particle":"","parse-names":false,"suffix":""},{"dropping-particle":"","family":"Alkatheri","given":"Abdulmalik M","non-dropping-particle":"","parse-names":false,"suffix":""},{"dropping-particle":"","family":"Althiab","given":"Khalifa","non-dropping-particle":"","parse-names":false,"suffix":""},{"dropping-particle":"","family":"Alharbi","given":"Shmeylan","non-dropping-particle":"","parse-names":false,"suffix":""},{"dropping-particle":"","family":"Aldekhael","given":"Saleh","non-dropping-particle":"","parse-names":false,"suffix":""},{"dropping-particle":"","family":"Qandil","given":"Amjad M","non-dropping-particle":"","parse-names":false,"suffix":""},{"dropping-particle":"","family":"Alknawy","given":"Bandar","non-dropping-particle":"","parse-names":false,"suffix":""}],"container-title":"SAGE Open Medicine","id":"ITEM-1","issued":{"date-parts":[["2015"]]},"page":"205031211559481","title":"Strategic initiatives to maintain pharmaceutical care and clinical pharmacists sufficiency in Saudi Arabia","type":"article-journal","volume":"3"},"uris":["http://www.mendeley.com/documents/?uuid=0e5c6ac0-4959-46d8-9272-a98ab1d155c1"]}],"mendeley":{"formattedCitation":"(Albekairy &lt;i&gt;et al.&lt;/i&gt;, 2015)","manualFormatting":"Albekairy et al., 2015","plainTextFormattedCitation":"(Albekairy et al., 2015)","previouslyFormattedCitation":"(Albekairy &lt;i&gt;et al.&lt;/i&gt;, 2015)"},"properties":{"noteIndex":0},"schema":"https://github.com/citation-style-language/schema/raw/master/csl-citation.json"}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 xml:space="preserve">Albekairy </w:t>
      </w:r>
      <w:r w:rsidRPr="00DE52F4">
        <w:rPr>
          <w:rFonts w:ascii="Arial" w:hAnsi="Arial" w:cs="Arial"/>
          <w:i/>
          <w:iCs/>
          <w:noProof/>
          <w:sz w:val="24"/>
          <w:szCs w:val="24"/>
          <w:lang w:val="en-GB"/>
        </w:rPr>
        <w:t>et al.</w:t>
      </w:r>
      <w:r w:rsidRPr="00845AF7">
        <w:rPr>
          <w:rFonts w:ascii="Arial" w:hAnsi="Arial" w:cs="Arial"/>
          <w:noProof/>
          <w:sz w:val="24"/>
          <w:szCs w:val="24"/>
          <w:lang w:val="en-GB"/>
        </w:rPr>
        <w:t>, 2015</w:t>
      </w:r>
      <w:r w:rsidRPr="00845AF7">
        <w:rPr>
          <w:rFonts w:ascii="Arial" w:hAnsi="Arial" w:cs="Arial"/>
          <w:sz w:val="24"/>
          <w:szCs w:val="24"/>
          <w:lang w:val="en-GB"/>
        </w:rPr>
        <w:fldChar w:fldCharType="end"/>
      </w:r>
      <w:r>
        <w:rPr>
          <w:rFonts w:ascii="Arial" w:hAnsi="Arial" w:cs="Arial"/>
          <w:sz w:val="24"/>
          <w:szCs w:val="24"/>
          <w:lang w:val="en-GB"/>
        </w:rPr>
        <w:t xml:space="preserve">) </w:t>
      </w:r>
      <w:r w:rsidRPr="00845AF7">
        <w:rPr>
          <w:rFonts w:ascii="Arial" w:hAnsi="Arial" w:cs="Arial"/>
          <w:sz w:val="24"/>
          <w:szCs w:val="24"/>
          <w:lang w:val="en-GB"/>
        </w:rPr>
        <w:t xml:space="preserve">. </w:t>
      </w:r>
      <w:r>
        <w:rPr>
          <w:rFonts w:ascii="Arial" w:hAnsi="Arial" w:cs="Arial"/>
          <w:sz w:val="24"/>
          <w:szCs w:val="24"/>
          <w:lang w:val="en-GB"/>
        </w:rPr>
        <w:t xml:space="preserve">This shortages </w:t>
      </w:r>
      <w:r w:rsidRPr="00845AF7">
        <w:rPr>
          <w:rFonts w:ascii="Arial" w:hAnsi="Arial" w:cs="Arial"/>
          <w:sz w:val="24"/>
          <w:szCs w:val="24"/>
          <w:lang w:val="en-GB"/>
        </w:rPr>
        <w:t>due to the presence of a small number of pharmacy colleges with limited clinical training</w:t>
      </w:r>
      <w:r>
        <w:rPr>
          <w:rFonts w:ascii="Arial" w:hAnsi="Arial" w:cs="Arial"/>
          <w:sz w:val="24"/>
          <w:szCs w:val="24"/>
          <w:lang w:val="en-GB"/>
        </w:rPr>
        <w:t xml:space="preserve">, which </w:t>
      </w:r>
      <w:r w:rsidRPr="00845AF7">
        <w:rPr>
          <w:rFonts w:ascii="Arial" w:hAnsi="Arial" w:cs="Arial"/>
          <w:sz w:val="24"/>
          <w:szCs w:val="24"/>
          <w:lang w:val="en-GB"/>
        </w:rPr>
        <w:t xml:space="preserve">resulted in these colleges being unable to produce sufficient clinical pharmacists who can carry on pharmaceutical care </w:t>
      </w:r>
      <w:r w:rsidRPr="00845AF7">
        <w:rPr>
          <w:rFonts w:ascii="Arial" w:hAnsi="Arial" w:cs="Arial"/>
          <w:sz w:val="24"/>
          <w:szCs w:val="24"/>
          <w:lang w:val="en"/>
        </w:rPr>
        <w:fldChar w:fldCharType="begin" w:fldLock="1"/>
      </w:r>
      <w:r w:rsidRPr="00845AF7">
        <w:rPr>
          <w:rFonts w:ascii="Arial" w:hAnsi="Arial" w:cs="Arial"/>
          <w:sz w:val="24"/>
          <w:szCs w:val="24"/>
          <w:lang w:val="en"/>
        </w:rPr>
        <w:instrText>ADDIN CSL_CITATION {"citationItems":[{"id":"ITEM-1","itemData":{"DOI":"10.1177/2050312115594816","ISBN":"2050312115594","ISSN":"2050-3121","abstract":"OBJECTIVES: The shortage of clinical pharmacists in Saudi Arabia has limited the full implementation of pharmaceutical care in most of its hospitals. The National Guard Health Affairs hospitals. This work discussed the Department of Pharmaceutical Care, and the King Saud Bin Abdulaziz University for Health Sciences College of Pharmacy four initiatives that were planned in 2009-2010 to develop and recruit clinical pharmacists, practitioners, or faculty., METHODS: The combined initiatives were aimed at (1) instituting a 4-year clinical skills development career ladder, (2) expanding the National Guard Health Affairs postgraduate residency program, (3) offering scholarships to qualified pharmacy graduates to pursue the PharmD degree and a PGY-1 residency training in the United States, and (4) recruiting non-Saudi clinical pharmacists educated and trained in the United States to ameliorate the current shortage of practitioner., RESULTS: The current number of clinical pharmacists practicing at the National Guard Health Affairs at central region is 24, most of whom are Board Certified by the American Pharmacists Association Board of Pharmacy Specialties., CONCLUSIONS: The four initiatives, based on current trends, suggest that 60-65 positions will be added by 2017-2018, barring attrition. Saudi Arabia and many developing countries will continue to experience a shortage in clinical pharmacists due to the high demand for clinical pharmacy services. A multifaceted approach is recommended to address the problem.","author":[{"dropping-particle":"","family":"Albekairy","given":"Abdulkareem M","non-dropping-particle":"","parse-names":false,"suffix":""},{"dropping-particle":"","family":"Khalidi","given":"Nabil","non-dropping-particle":"","parse-names":false,"suffix":""},{"dropping-particle":"","family":"Alkatheri","given":"Abdulmalik M","non-dropping-particle":"","parse-names":false,"suffix":""},{"dropping-particle":"","family":"Althiab","given":"Khalifa","non-dropping-particle":"","parse-names":false,"suffix":""},{"dropping-particle":"","family":"Alharbi","given":"Shmeylan","non-dropping-particle":"","parse-names":false,"suffix":""},{"dropping-particle":"","family":"Aldekhael","given":"Saleh","non-dropping-particle":"","parse-names":false,"suffix":""},{"dropping-particle":"","family":"Qandil","given":"Amjad M","non-dropping-particle":"","parse-names":false,"suffix":""},{"dropping-particle":"","family":"Alknawy","given":"Bandar","non-dropping-particle":"","parse-names":false,"suffix":""}],"container-title":"SAGE Open Medicine","id":"ITEM-1","issued":{"date-parts":[["2015"]]},"page":"205031211559481","title":"Strategic initiatives to maintain pharmaceutical care and clinical pharmacists sufficiency in Saudi Arabia","type":"article-journal","volume":"3"},"uris":["http://www.mendeley.com/documents/?uuid=0e5c6ac0-4959-46d8-9272-a98ab1d155c1"]}],"mendeley":{"formattedCitation":"(Albekairy &lt;i&gt;et al.&lt;/i&gt;, 2015)","plainTextFormattedCitation":"(Albekairy et al., 2015)","previouslyFormattedCitation":"(Albekairy &lt;i&gt;et al.&lt;/i&gt;, 2015)"},"properties":{"noteIndex":0},"schema":"https://github.com/citation-style-language/schema/raw/master/csl-citation.json"}</w:instrText>
      </w:r>
      <w:r w:rsidRPr="00845AF7">
        <w:rPr>
          <w:rFonts w:ascii="Arial" w:hAnsi="Arial" w:cs="Arial"/>
          <w:sz w:val="24"/>
          <w:szCs w:val="24"/>
          <w:lang w:val="en"/>
        </w:rPr>
        <w:fldChar w:fldCharType="separate"/>
      </w:r>
      <w:r w:rsidRPr="00845AF7">
        <w:rPr>
          <w:rFonts w:ascii="Arial" w:hAnsi="Arial" w:cs="Arial"/>
          <w:noProof/>
          <w:sz w:val="24"/>
          <w:szCs w:val="24"/>
          <w:lang w:val="en"/>
        </w:rPr>
        <w:t xml:space="preserve">(Albekairy </w:t>
      </w:r>
      <w:r w:rsidRPr="00845AF7">
        <w:rPr>
          <w:rFonts w:ascii="Arial" w:hAnsi="Arial" w:cs="Arial"/>
          <w:i/>
          <w:noProof/>
          <w:sz w:val="24"/>
          <w:szCs w:val="24"/>
          <w:lang w:val="en"/>
        </w:rPr>
        <w:t>et al.</w:t>
      </w:r>
      <w:r w:rsidRPr="00845AF7">
        <w:rPr>
          <w:rFonts w:ascii="Arial" w:hAnsi="Arial" w:cs="Arial"/>
          <w:noProof/>
          <w:sz w:val="24"/>
          <w:szCs w:val="24"/>
          <w:lang w:val="en"/>
        </w:rPr>
        <w:t>, 2015)</w:t>
      </w:r>
      <w:r w:rsidRPr="00845AF7">
        <w:rPr>
          <w:rFonts w:ascii="Arial" w:hAnsi="Arial" w:cs="Arial"/>
          <w:sz w:val="24"/>
          <w:szCs w:val="24"/>
          <w:lang w:val="en"/>
        </w:rPr>
        <w:fldChar w:fldCharType="end"/>
      </w:r>
    </w:p>
    <w:p w14:paraId="56AA24D0" w14:textId="77777777" w:rsidR="00610EEE" w:rsidRDefault="00610EEE" w:rsidP="00610EEE">
      <w:pPr>
        <w:spacing w:line="360" w:lineRule="auto"/>
        <w:jc w:val="both"/>
        <w:rPr>
          <w:rFonts w:asciiTheme="minorBidi" w:hAnsiTheme="minorBidi"/>
          <w:sz w:val="24"/>
          <w:szCs w:val="24"/>
          <w:lang w:val="en-GB"/>
        </w:rPr>
      </w:pPr>
      <w:r>
        <w:rPr>
          <w:rFonts w:asciiTheme="minorBidi" w:hAnsiTheme="minorBidi"/>
          <w:sz w:val="24"/>
          <w:szCs w:val="24"/>
          <w:lang w:val="en-GB"/>
        </w:rPr>
        <w:t xml:space="preserve">In contrast, a report by </w:t>
      </w:r>
      <w:r>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ISBN":"9780902936447","author":[{"dropping-particle":"","family":"Bates","given":"Ian","non-dropping-particle":"","parse-names":false,"suffix":""},{"dropping-particle":"","family":"Meilianyi","given":"Sherly","non-dropping-particle":"","parse-names":false,"suffix":""},{"dropping-particle":"","family":"John","given":"Christopher","non-dropping-particle":"","parse-names":false,"suffix":""},{"dropping-particle":"","family":"Bader","given":"Lina R.","non-dropping-particle":"","parse-names":false,"suffix":""}],"id":"ITEM-1","issued":{"date-parts":[["2018"]]},"title":"Pharmacy Workforce Intelligence: Global Trends Report 2018","type":"book"},"uris":["http://www.mendeley.com/documents/?uuid=4a54e41f-357e-4a46-9056-ad429f60f563"]}],"mendeley":{"formattedCitation":"(Bates &lt;i&gt;et al.&lt;/i&gt;, 2018)","manualFormatting":"Bates et al., (2018)","plainTextFormattedCitation":"(Bates et al., 2018)","previouslyFormattedCitation":"(Bates &lt;i&gt;et al.&lt;/i&gt;, 2018)"},"properties":{"noteIndex":0},"schema":"https://github.com/citation-style-language/schema/raw/master/csl-citation.json"}</w:instrText>
      </w:r>
      <w:r>
        <w:rPr>
          <w:rFonts w:asciiTheme="minorBidi" w:hAnsiTheme="minorBidi"/>
          <w:sz w:val="24"/>
          <w:szCs w:val="24"/>
          <w:lang w:val="en-GB"/>
        </w:rPr>
        <w:fldChar w:fldCharType="separate"/>
      </w:r>
      <w:r w:rsidRPr="00E0481B">
        <w:rPr>
          <w:rFonts w:asciiTheme="minorBidi" w:hAnsiTheme="minorBidi"/>
          <w:noProof/>
          <w:sz w:val="24"/>
          <w:szCs w:val="24"/>
          <w:lang w:val="en-GB"/>
        </w:rPr>
        <w:t xml:space="preserve">Bates </w:t>
      </w:r>
      <w:r w:rsidRPr="00E0481B">
        <w:rPr>
          <w:rFonts w:asciiTheme="minorBidi" w:hAnsiTheme="minorBidi"/>
          <w:i/>
          <w:noProof/>
          <w:sz w:val="24"/>
          <w:szCs w:val="24"/>
          <w:lang w:val="en-GB"/>
        </w:rPr>
        <w:t>et al.</w:t>
      </w:r>
      <w:r w:rsidRPr="00E0481B">
        <w:rPr>
          <w:rFonts w:asciiTheme="minorBidi" w:hAnsiTheme="minorBidi"/>
          <w:noProof/>
          <w:sz w:val="24"/>
          <w:szCs w:val="24"/>
          <w:lang w:val="en-GB"/>
        </w:rPr>
        <w:t xml:space="preserve">, </w:t>
      </w:r>
      <w:r>
        <w:rPr>
          <w:rFonts w:asciiTheme="minorBidi" w:hAnsiTheme="minorBidi"/>
          <w:noProof/>
          <w:sz w:val="24"/>
          <w:szCs w:val="24"/>
          <w:lang w:val="en-GB"/>
        </w:rPr>
        <w:t>(</w:t>
      </w:r>
      <w:r w:rsidRPr="00E0481B">
        <w:rPr>
          <w:rFonts w:asciiTheme="minorBidi" w:hAnsiTheme="minorBidi"/>
          <w:noProof/>
          <w:sz w:val="24"/>
          <w:szCs w:val="24"/>
          <w:lang w:val="en-GB"/>
        </w:rPr>
        <w:t>2018)</w:t>
      </w:r>
      <w:r>
        <w:rPr>
          <w:rFonts w:asciiTheme="minorBidi" w:hAnsiTheme="minorBidi"/>
          <w:sz w:val="24"/>
          <w:szCs w:val="24"/>
          <w:lang w:val="en-GB"/>
        </w:rPr>
        <w:fldChar w:fldCharType="end"/>
      </w:r>
      <w:r>
        <w:rPr>
          <w:rFonts w:asciiTheme="minorBidi" w:hAnsiTheme="minorBidi"/>
          <w:sz w:val="24"/>
          <w:szCs w:val="24"/>
          <w:lang w:val="en-GB"/>
        </w:rPr>
        <w:t xml:space="preserve"> indicates that the d</w:t>
      </w:r>
      <w:r w:rsidRPr="00C90FBA">
        <w:rPr>
          <w:rFonts w:asciiTheme="minorBidi" w:hAnsiTheme="minorBidi"/>
          <w:sz w:val="24"/>
          <w:szCs w:val="24"/>
          <w:lang w:val="en-GB"/>
        </w:rPr>
        <w:t xml:space="preserve">ensity </w:t>
      </w:r>
      <w:r>
        <w:rPr>
          <w:rFonts w:asciiTheme="minorBidi" w:hAnsiTheme="minorBidi"/>
          <w:sz w:val="24"/>
          <w:szCs w:val="24"/>
          <w:lang w:val="en-GB"/>
        </w:rPr>
        <w:t>of</w:t>
      </w:r>
      <w:r w:rsidRPr="00C90FBA">
        <w:rPr>
          <w:rFonts w:asciiTheme="minorBidi" w:hAnsiTheme="minorBidi"/>
          <w:sz w:val="24"/>
          <w:szCs w:val="24"/>
          <w:lang w:val="en-GB"/>
        </w:rPr>
        <w:t xml:space="preserve"> pharmacists per 10,000 population</w:t>
      </w:r>
      <w:r>
        <w:rPr>
          <w:rFonts w:asciiTheme="minorBidi" w:hAnsiTheme="minorBidi"/>
          <w:sz w:val="24"/>
          <w:szCs w:val="24"/>
          <w:lang w:val="en-GB"/>
        </w:rPr>
        <w:t xml:space="preserve"> in SA in 2016 was </w:t>
      </w:r>
      <w:r w:rsidRPr="00E0481B">
        <w:rPr>
          <w:rFonts w:asciiTheme="minorBidi" w:hAnsiTheme="minorBidi"/>
          <w:sz w:val="24"/>
          <w:szCs w:val="24"/>
          <w:lang w:val="en-GB"/>
        </w:rPr>
        <w:t>9.16</w:t>
      </w:r>
      <w:r>
        <w:rPr>
          <w:rFonts w:asciiTheme="minorBidi" w:hAnsiTheme="minorBidi"/>
          <w:sz w:val="24"/>
          <w:szCs w:val="24"/>
          <w:lang w:val="en-GB"/>
        </w:rPr>
        <w:t>; by comparing this figure with other high-income countries such as the UK (</w:t>
      </w:r>
      <w:r w:rsidRPr="00C90FBA">
        <w:rPr>
          <w:rFonts w:asciiTheme="minorBidi" w:hAnsiTheme="minorBidi"/>
          <w:sz w:val="24"/>
          <w:szCs w:val="24"/>
          <w:lang w:val="en-GB"/>
        </w:rPr>
        <w:t>8.21</w:t>
      </w:r>
      <w:r>
        <w:rPr>
          <w:rFonts w:asciiTheme="minorBidi" w:hAnsiTheme="minorBidi"/>
          <w:sz w:val="24"/>
          <w:szCs w:val="24"/>
          <w:lang w:val="en-GB"/>
        </w:rPr>
        <w:t>), US (</w:t>
      </w:r>
      <w:r w:rsidRPr="00C90FBA">
        <w:rPr>
          <w:rFonts w:asciiTheme="minorBidi" w:hAnsiTheme="minorBidi"/>
          <w:sz w:val="24"/>
          <w:szCs w:val="24"/>
          <w:lang w:val="en-GB"/>
        </w:rPr>
        <w:t>9.19</w:t>
      </w:r>
      <w:r>
        <w:rPr>
          <w:rFonts w:asciiTheme="minorBidi" w:hAnsiTheme="minorBidi"/>
          <w:sz w:val="24"/>
          <w:szCs w:val="24"/>
          <w:lang w:val="en-GB"/>
        </w:rPr>
        <w:t>), Canada (</w:t>
      </w:r>
      <w:r w:rsidRPr="00C90FBA">
        <w:rPr>
          <w:rFonts w:asciiTheme="minorBidi" w:hAnsiTheme="minorBidi"/>
          <w:sz w:val="24"/>
          <w:szCs w:val="24"/>
          <w:lang w:val="en-GB"/>
        </w:rPr>
        <w:t>11.74</w:t>
      </w:r>
      <w:r>
        <w:rPr>
          <w:rFonts w:asciiTheme="minorBidi" w:hAnsiTheme="minorBidi"/>
          <w:sz w:val="24"/>
          <w:szCs w:val="24"/>
          <w:lang w:val="en-GB"/>
        </w:rPr>
        <w:t>) and Australia (</w:t>
      </w:r>
      <w:r w:rsidRPr="00C90FBA">
        <w:rPr>
          <w:rFonts w:asciiTheme="minorBidi" w:hAnsiTheme="minorBidi"/>
          <w:sz w:val="24"/>
          <w:szCs w:val="24"/>
          <w:lang w:val="en-GB"/>
        </w:rPr>
        <w:t>12.59</w:t>
      </w:r>
      <w:r>
        <w:rPr>
          <w:rFonts w:asciiTheme="minorBidi" w:hAnsiTheme="minorBidi"/>
          <w:sz w:val="24"/>
          <w:szCs w:val="24"/>
          <w:lang w:val="en-GB"/>
        </w:rPr>
        <w:t>), it seems the status of pharmacy workforce in SA is in line with these advanced countries. However,  the rate of pharmacists/</w:t>
      </w:r>
      <w:r w:rsidRPr="00C90FBA">
        <w:rPr>
          <w:rFonts w:asciiTheme="minorBidi" w:hAnsiTheme="minorBidi"/>
          <w:sz w:val="24"/>
          <w:szCs w:val="24"/>
          <w:lang w:val="en-GB"/>
        </w:rPr>
        <w:t>10,000 population</w:t>
      </w:r>
      <w:r>
        <w:rPr>
          <w:rFonts w:asciiTheme="minorBidi" w:hAnsiTheme="minorBidi"/>
          <w:sz w:val="24"/>
          <w:szCs w:val="24"/>
          <w:lang w:val="en-GB"/>
        </w:rPr>
        <w:t xml:space="preserve"> in this report  </w:t>
      </w:r>
      <w:r w:rsidRPr="00E0481B">
        <w:rPr>
          <w:rFonts w:asciiTheme="minorBidi" w:hAnsiTheme="minorBidi"/>
          <w:sz w:val="24"/>
          <w:szCs w:val="24"/>
          <w:lang w:val="en-GB"/>
        </w:rPr>
        <w:t xml:space="preserve">refers to </w:t>
      </w:r>
      <w:r>
        <w:rPr>
          <w:rFonts w:asciiTheme="minorBidi" w:hAnsiTheme="minorBidi"/>
          <w:sz w:val="24"/>
          <w:szCs w:val="24"/>
          <w:lang w:val="en-GB"/>
        </w:rPr>
        <w:t>all</w:t>
      </w:r>
      <w:r w:rsidRPr="00E0481B">
        <w:rPr>
          <w:rFonts w:asciiTheme="minorBidi" w:hAnsiTheme="minorBidi"/>
          <w:sz w:val="24"/>
          <w:szCs w:val="24"/>
          <w:lang w:val="en-GB"/>
        </w:rPr>
        <w:t xml:space="preserve"> pharmacy related workforce (e.g. pharmacist practitioners, pharmaceutical scientists, pharmacy technicians and other pharmacy </w:t>
      </w:r>
      <w:r>
        <w:rPr>
          <w:rFonts w:asciiTheme="minorBidi" w:hAnsiTheme="minorBidi"/>
          <w:sz w:val="24"/>
          <w:szCs w:val="24"/>
          <w:lang w:val="en-GB"/>
        </w:rPr>
        <w:t>assistance</w:t>
      </w:r>
      <w:r w:rsidRPr="00E0481B">
        <w:rPr>
          <w:rFonts w:asciiTheme="minorBidi" w:hAnsiTheme="minorBidi"/>
          <w:sz w:val="24"/>
          <w:szCs w:val="24"/>
          <w:lang w:val="en-GB"/>
        </w:rPr>
        <w:t xml:space="preserve">, </w:t>
      </w:r>
      <w:r>
        <w:rPr>
          <w:rFonts w:asciiTheme="minorBidi" w:hAnsiTheme="minorBidi"/>
          <w:sz w:val="24"/>
          <w:szCs w:val="24"/>
          <w:lang w:val="en-GB"/>
        </w:rPr>
        <w:t xml:space="preserve">and </w:t>
      </w:r>
      <w:r w:rsidRPr="00E0481B">
        <w:rPr>
          <w:rFonts w:asciiTheme="minorBidi" w:hAnsiTheme="minorBidi"/>
          <w:sz w:val="24"/>
          <w:szCs w:val="24"/>
          <w:lang w:val="en-GB"/>
        </w:rPr>
        <w:t>preservice students/trainees) working in a diversity of settings (e.g. community</w:t>
      </w:r>
      <w:r>
        <w:rPr>
          <w:rFonts w:asciiTheme="minorBidi" w:hAnsiTheme="minorBidi"/>
          <w:sz w:val="24"/>
          <w:szCs w:val="24"/>
          <w:lang w:val="en-GB"/>
        </w:rPr>
        <w:t xml:space="preserve"> pharmacy</w:t>
      </w:r>
      <w:r w:rsidRPr="00E0481B">
        <w:rPr>
          <w:rFonts w:asciiTheme="minorBidi" w:hAnsiTheme="minorBidi"/>
          <w:sz w:val="24"/>
          <w:szCs w:val="24"/>
          <w:lang w:val="en-GB"/>
        </w:rPr>
        <w:t>, hospital, research and development,</w:t>
      </w:r>
      <w:r>
        <w:rPr>
          <w:rFonts w:asciiTheme="minorBidi" w:hAnsiTheme="minorBidi"/>
          <w:sz w:val="24"/>
          <w:szCs w:val="24"/>
          <w:lang w:val="en-GB"/>
        </w:rPr>
        <w:t xml:space="preserve"> </w:t>
      </w:r>
      <w:r w:rsidRPr="00E0481B">
        <w:rPr>
          <w:rFonts w:asciiTheme="minorBidi" w:hAnsiTheme="minorBidi"/>
          <w:sz w:val="24"/>
          <w:szCs w:val="24"/>
          <w:lang w:val="en-GB"/>
        </w:rPr>
        <w:t>academia</w:t>
      </w:r>
      <w:r>
        <w:rPr>
          <w:rFonts w:asciiTheme="minorBidi" w:hAnsiTheme="minorBidi"/>
          <w:sz w:val="24"/>
          <w:szCs w:val="24"/>
          <w:lang w:val="en-GB"/>
        </w:rPr>
        <w:t>,</w:t>
      </w:r>
      <w:r w:rsidRPr="00E0481B">
        <w:rPr>
          <w:rFonts w:asciiTheme="minorBidi" w:hAnsiTheme="minorBidi"/>
          <w:sz w:val="24"/>
          <w:szCs w:val="24"/>
          <w:lang w:val="en-GB"/>
        </w:rPr>
        <w:t xml:space="preserve"> industry, military, regulatory and other sectors) </w:t>
      </w:r>
      <w:r>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ISBN":"9780902936447","author":[{"dropping-particle":"","family":"Bates","given":"Ian","non-dropping-particle":"","parse-names":false,"suffix":""},{"dropping-particle":"","family":"Meilianyi","given":"Sherly","non-dropping-particle":"","parse-names":false,"suffix":""},{"dropping-particle":"","family":"John","given":"Christopher","non-dropping-particle":"","parse-names":false,"suffix":""},{"dropping-particle":"","family":"Bader","given":"Lina R.","non-dropping-particle":"","parse-names":false,"suffix":""}],"id":"ITEM-1","issued":{"date-parts":[["2018"]]},"title":"Pharmacy Workforce Intelligence: Global Trends Report 2018","type":"book"},"uris":["http://www.mendeley.com/documents/?uuid=4a54e41f-357e-4a46-9056-ad429f60f563"]}],"mendeley":{"formattedCitation":"(Bates &lt;i&gt;et al.&lt;/i&gt;, 2018)","plainTextFormattedCitation":"(Bates et al., 2018)","previouslyFormattedCitation":"(Bates &lt;i&gt;et al.&lt;/i&gt;, 2018)"},"properties":{"noteIndex":0},"schema":"https://github.com/citation-style-language/schema/raw/master/csl-citation.json"}</w:instrText>
      </w:r>
      <w:r>
        <w:rPr>
          <w:rFonts w:asciiTheme="minorBidi" w:hAnsiTheme="minorBidi"/>
          <w:sz w:val="24"/>
          <w:szCs w:val="24"/>
          <w:lang w:val="en-GB"/>
        </w:rPr>
        <w:fldChar w:fldCharType="separate"/>
      </w:r>
      <w:r w:rsidRPr="001117E1">
        <w:rPr>
          <w:rFonts w:asciiTheme="minorBidi" w:hAnsiTheme="minorBidi"/>
          <w:noProof/>
          <w:sz w:val="24"/>
          <w:szCs w:val="24"/>
          <w:lang w:val="en-GB"/>
        </w:rPr>
        <w:t xml:space="preserve">(Bates </w:t>
      </w:r>
      <w:r w:rsidRPr="001117E1">
        <w:rPr>
          <w:rFonts w:asciiTheme="minorBidi" w:hAnsiTheme="minorBidi"/>
          <w:i/>
          <w:noProof/>
          <w:sz w:val="24"/>
          <w:szCs w:val="24"/>
          <w:lang w:val="en-GB"/>
        </w:rPr>
        <w:t>et al.</w:t>
      </w:r>
      <w:r w:rsidRPr="001117E1">
        <w:rPr>
          <w:rFonts w:asciiTheme="minorBidi" w:hAnsiTheme="minorBidi"/>
          <w:noProof/>
          <w:sz w:val="24"/>
          <w:szCs w:val="24"/>
          <w:lang w:val="en-GB"/>
        </w:rPr>
        <w:t>, 2018)</w:t>
      </w:r>
      <w:r>
        <w:rPr>
          <w:rFonts w:asciiTheme="minorBidi" w:hAnsiTheme="minorBidi"/>
          <w:sz w:val="24"/>
          <w:szCs w:val="24"/>
          <w:lang w:val="en-GB"/>
        </w:rPr>
        <w:fldChar w:fldCharType="end"/>
      </w:r>
      <w:r>
        <w:rPr>
          <w:rFonts w:asciiTheme="minorBidi" w:hAnsiTheme="minorBidi"/>
          <w:sz w:val="24"/>
          <w:szCs w:val="24"/>
          <w:lang w:val="en-GB"/>
        </w:rPr>
        <w:t>.</w:t>
      </w:r>
    </w:p>
    <w:p w14:paraId="585310C9" w14:textId="77777777" w:rsidR="00610EEE" w:rsidRDefault="00610EEE" w:rsidP="00610EEE">
      <w:pPr>
        <w:spacing w:line="360" w:lineRule="auto"/>
        <w:jc w:val="both"/>
        <w:rPr>
          <w:rFonts w:asciiTheme="minorBidi" w:hAnsiTheme="minorBidi"/>
          <w:sz w:val="24"/>
          <w:szCs w:val="24"/>
          <w:lang w:val="en-GB"/>
        </w:rPr>
      </w:pPr>
    </w:p>
    <w:p w14:paraId="05B7C4F7" w14:textId="77777777" w:rsidR="00610EEE" w:rsidRPr="00D77AB9" w:rsidRDefault="00610EEE" w:rsidP="00610EEE">
      <w:pPr>
        <w:pStyle w:val="Heading3"/>
        <w:spacing w:line="360" w:lineRule="auto"/>
        <w:ind w:left="0" w:firstLine="0"/>
        <w:rPr>
          <w:lang w:val="en-GB"/>
        </w:rPr>
      </w:pPr>
      <w:bookmarkStart w:id="14" w:name="_Toc153894132"/>
      <w:r w:rsidRPr="002764E0">
        <w:rPr>
          <w:lang w:val="en-GB"/>
        </w:rPr>
        <w:t>Transformation of primary care pharmacy practice in PHCs</w:t>
      </w:r>
      <w:bookmarkEnd w:id="14"/>
      <w:r w:rsidRPr="002764E0">
        <w:rPr>
          <w:lang w:val="en-GB"/>
        </w:rPr>
        <w:t xml:space="preserve"> </w:t>
      </w:r>
    </w:p>
    <w:p w14:paraId="760BF851" w14:textId="77777777" w:rsidR="00610EEE" w:rsidRDefault="00610EEE" w:rsidP="00610EEE">
      <w:pPr>
        <w:spacing w:line="360" w:lineRule="auto"/>
        <w:jc w:val="both"/>
        <w:rPr>
          <w:rFonts w:ascii="Arial" w:hAnsi="Arial" w:cs="Arial"/>
          <w:sz w:val="24"/>
          <w:szCs w:val="24"/>
          <w:lang w:val="en-GB"/>
        </w:rPr>
      </w:pPr>
      <w:r w:rsidRPr="00845AF7">
        <w:rPr>
          <w:rFonts w:ascii="Arial" w:hAnsi="Arial" w:cs="Arial"/>
          <w:sz w:val="24"/>
          <w:szCs w:val="24"/>
          <w:lang w:val="en-GB"/>
        </w:rPr>
        <w:t>Shifting the pharmaceutical services in the PHCs in SA from dispensing services to non-dispensing services is a significant contributory factor in the strategic transformation plan of Saudi M</w:t>
      </w:r>
      <w:r>
        <w:rPr>
          <w:rFonts w:ascii="Arial" w:hAnsi="Arial" w:cs="Arial"/>
          <w:sz w:val="24"/>
          <w:szCs w:val="24"/>
          <w:lang w:val="en-GB"/>
        </w:rPr>
        <w:t>o</w:t>
      </w:r>
      <w:r w:rsidRPr="00845AF7">
        <w:rPr>
          <w:rFonts w:ascii="Arial" w:hAnsi="Arial" w:cs="Arial"/>
          <w:sz w:val="24"/>
          <w:szCs w:val="24"/>
          <w:lang w:val="en-GB"/>
        </w:rPr>
        <w:t>H</w:t>
      </w:r>
      <w:r>
        <w:rPr>
          <w:rFonts w:ascii="Arial" w:hAnsi="Arial" w:cs="Arial"/>
          <w:sz w:val="24"/>
          <w:szCs w:val="24"/>
          <w:lang w:val="en-GB"/>
        </w:rPr>
        <w:t xml:space="preserve">. </w:t>
      </w:r>
      <w:r w:rsidRPr="00BF12B2">
        <w:rPr>
          <w:rFonts w:ascii="Arial" w:hAnsi="Arial" w:cs="Arial"/>
          <w:iCs/>
          <w:sz w:val="24"/>
          <w:szCs w:val="24"/>
          <w:shd w:val="clear" w:color="auto" w:fill="FFFFFF"/>
          <w:lang w:val="en-GB"/>
        </w:rPr>
        <w:t xml:space="preserve">PHCs prescriptions will </w:t>
      </w:r>
      <w:r>
        <w:rPr>
          <w:rFonts w:ascii="Arial" w:hAnsi="Arial" w:cs="Arial"/>
          <w:iCs/>
          <w:sz w:val="24"/>
          <w:szCs w:val="24"/>
          <w:shd w:val="clear" w:color="auto" w:fill="FFFFFF"/>
          <w:lang w:val="en-GB"/>
        </w:rPr>
        <w:t xml:space="preserve">be </w:t>
      </w:r>
      <w:r w:rsidRPr="00BF12B2">
        <w:rPr>
          <w:rFonts w:ascii="Arial" w:hAnsi="Arial" w:cs="Arial"/>
          <w:iCs/>
          <w:sz w:val="24"/>
          <w:szCs w:val="24"/>
          <w:shd w:val="clear" w:color="auto" w:fill="FFFFFF"/>
          <w:lang w:val="en-GB"/>
        </w:rPr>
        <w:t>dispense</w:t>
      </w:r>
      <w:r>
        <w:rPr>
          <w:rFonts w:ascii="Arial" w:hAnsi="Arial" w:cs="Arial"/>
          <w:iCs/>
          <w:sz w:val="24"/>
          <w:szCs w:val="24"/>
          <w:shd w:val="clear" w:color="auto" w:fill="FFFFFF"/>
          <w:lang w:val="en-GB"/>
        </w:rPr>
        <w:t>d</w:t>
      </w:r>
      <w:r w:rsidRPr="00BF12B2">
        <w:rPr>
          <w:rFonts w:ascii="Arial" w:hAnsi="Arial" w:cs="Arial"/>
          <w:iCs/>
          <w:sz w:val="24"/>
          <w:szCs w:val="24"/>
          <w:shd w:val="clear" w:color="auto" w:fill="FFFFFF"/>
          <w:lang w:val="en-GB"/>
        </w:rPr>
        <w:t xml:space="preserve"> through retail community pharmacies</w:t>
      </w:r>
      <w:r>
        <w:rPr>
          <w:rFonts w:ascii="Arial" w:hAnsi="Arial" w:cs="Arial"/>
          <w:iCs/>
          <w:sz w:val="24"/>
          <w:szCs w:val="24"/>
          <w:shd w:val="clear" w:color="auto" w:fill="FFFFFF"/>
          <w:lang w:val="en-GB"/>
        </w:rPr>
        <w:t xml:space="preserve"> </w:t>
      </w:r>
      <w:r>
        <w:rPr>
          <w:rFonts w:ascii="Arial" w:hAnsi="Arial" w:cs="Arial"/>
          <w:iCs/>
          <w:sz w:val="24"/>
          <w:szCs w:val="24"/>
          <w:shd w:val="clear" w:color="auto" w:fill="FFFFFF"/>
          <w:lang w:val="en-GB"/>
        </w:rPr>
        <w:fldChar w:fldCharType="begin" w:fldLock="1"/>
      </w:r>
      <w:r>
        <w:rPr>
          <w:rFonts w:ascii="Arial" w:hAnsi="Arial" w:cs="Arial"/>
          <w:iCs/>
          <w:sz w:val="24"/>
          <w:szCs w:val="24"/>
          <w:shd w:val="clear" w:color="auto" w:fill="FFFFFF"/>
          <w:lang w:val="en-GB"/>
        </w:rPr>
        <w:instrText>ADDIN CSL_CITATION {"citationItems":[{"id":"ITEM-1","itemData":{"DOI":"10.5530/jppcm.2017.3.40","author":[{"dropping-particle":"","family":"Alomi","given":"Yousef Ahmed","non-dropping-particle":"","parse-names":false,"suffix":""}],"container-title":"Journal of Pharmacy Practice and Community Medicine","id":"ITEM-1","issue":"3","issued":{"date-parts":[["2017"]]},"page":"194-196","title":"New Pharmacy Model for Vision 2030 in Saudi Arabia","type":"article-journal","volume":"3"},"uris":["http://www.mendeley.com/documents/?uuid=052cc1bf-6e7d-4fdc-a5cd-783b51865f08"]}],"mendeley":{"formattedCitation":"(Alomi, 2017)","plainTextFormattedCitation":"(Alomi, 2017)","previouslyFormattedCitation":"(Alomi, 2017)"},"properties":{"noteIndex":0},"schema":"https://github.com/citation-style-language/schema/raw/master/csl-citation.json"}</w:instrText>
      </w:r>
      <w:r>
        <w:rPr>
          <w:rFonts w:ascii="Arial" w:hAnsi="Arial" w:cs="Arial"/>
          <w:iCs/>
          <w:sz w:val="24"/>
          <w:szCs w:val="24"/>
          <w:shd w:val="clear" w:color="auto" w:fill="FFFFFF"/>
          <w:lang w:val="en-GB"/>
        </w:rPr>
        <w:fldChar w:fldCharType="separate"/>
      </w:r>
      <w:r w:rsidRPr="00593F02">
        <w:rPr>
          <w:rFonts w:ascii="Arial" w:hAnsi="Arial" w:cs="Arial"/>
          <w:iCs/>
          <w:noProof/>
          <w:sz w:val="24"/>
          <w:szCs w:val="24"/>
          <w:shd w:val="clear" w:color="auto" w:fill="FFFFFF"/>
          <w:lang w:val="en-GB"/>
        </w:rPr>
        <w:t>(Alomi, 2017)</w:t>
      </w:r>
      <w:r>
        <w:rPr>
          <w:rFonts w:ascii="Arial" w:hAnsi="Arial" w:cs="Arial"/>
          <w:iCs/>
          <w:sz w:val="24"/>
          <w:szCs w:val="24"/>
          <w:shd w:val="clear" w:color="auto" w:fill="FFFFFF"/>
          <w:lang w:val="en-GB"/>
        </w:rPr>
        <w:fldChar w:fldCharType="end"/>
      </w:r>
      <w:r w:rsidRPr="00BF12B2">
        <w:rPr>
          <w:rFonts w:ascii="Arial" w:hAnsi="Arial" w:cs="Arial"/>
          <w:iCs/>
          <w:sz w:val="24"/>
          <w:szCs w:val="24"/>
          <w:lang w:val="en-GB"/>
        </w:rPr>
        <w:t>.</w:t>
      </w:r>
      <w:r w:rsidRPr="00845AF7">
        <w:rPr>
          <w:rFonts w:ascii="Arial" w:hAnsi="Arial" w:cs="Arial"/>
          <w:sz w:val="24"/>
          <w:szCs w:val="24"/>
          <w:lang w:val="en-GB"/>
        </w:rPr>
        <w:t xml:space="preserve"> Therefore, implementing new pharmaceutical care services in PHC in SA is necessary to maintain the existence of pharmaceutical professionals in these settings. This was supported by the former general manager of general administration of pharmaceutical care in the Saudi </w:t>
      </w:r>
      <w:r>
        <w:rPr>
          <w:rFonts w:ascii="Arial" w:hAnsi="Arial" w:cs="Arial"/>
          <w:sz w:val="24"/>
          <w:szCs w:val="24"/>
          <w:lang w:val="en-GB"/>
        </w:rPr>
        <w:t>MoH</w:t>
      </w:r>
      <w:r w:rsidRPr="00845AF7">
        <w:rPr>
          <w:rFonts w:ascii="Arial" w:hAnsi="Arial" w:cs="Arial"/>
          <w:sz w:val="24"/>
          <w:szCs w:val="24"/>
          <w:lang w:val="en-GB"/>
        </w:rPr>
        <w:t xml:space="preserve"> and the head of the Saudi Clinical Pharmacy Forum and Pharmacy Research and Development (R &amp; D) Administration in SA, who states that the proposed new pharmacy model in the Saudi M</w:t>
      </w:r>
      <w:r>
        <w:rPr>
          <w:rFonts w:ascii="Arial" w:hAnsi="Arial" w:cs="Arial"/>
          <w:sz w:val="24"/>
          <w:szCs w:val="24"/>
          <w:lang w:val="en-GB"/>
        </w:rPr>
        <w:t>o</w:t>
      </w:r>
      <w:r w:rsidRPr="00845AF7">
        <w:rPr>
          <w:rFonts w:ascii="Arial" w:hAnsi="Arial" w:cs="Arial"/>
          <w:sz w:val="24"/>
          <w:szCs w:val="24"/>
          <w:lang w:val="en-GB"/>
        </w:rPr>
        <w:t xml:space="preserve">H will let pharmacists provide pharmaceutical care with more clinical roles (a change that has come about because of the growth in the chronic disease population and to accomplish the Saudi vision 2030), and a more significant focus on the primary health care setting to manage these targeted populations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{"citationItems":[{"id":"ITEM-1","itemData":{"DOI":"10.5530/jppcm.2017.3.40","author":[{"dropping-particle":"","family":"Alomi","given":"Yousef Ahmed","non-dropping-particle":"","parse-names":false,"suffix":""}],"container-title":"Journal of Pharmacy Practice and Community Medicine","id":"ITEM-1","issue":"3","issued":{"date-parts":[["2017"]]},"page":"194-196","title":"New Pharmacy Model for Vision 2030 in Saudi Arabia","type":"article-journal","volume":"3"},"uris":["http://www.mendeley.com/documents/?uuid=052cc1bf-6e7d-4fdc-a5cd-783b51865f08"]}],"mendeley":{"formattedCitation":"(Alomi, 2017)","plainTextFormattedCitation":"(Alomi, 2017)","previouslyFormattedCitation":"(Alomi, 2017)"},"properties":{"noteIndex":0},"schema":"https://github.com/citation-style-language/schema/raw/master/csl-citation.json"}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(Alomi, 2017)</w:t>
      </w:r>
      <w:r w:rsidRPr="00845AF7">
        <w:rPr>
          <w:rFonts w:ascii="Arial" w:hAnsi="Arial" w:cs="Arial"/>
          <w:sz w:val="24"/>
          <w:szCs w:val="24"/>
          <w:lang w:val="en-GB"/>
        </w:rPr>
        <w:fldChar w:fldCharType="end"/>
      </w:r>
      <w:r w:rsidRPr="00845AF7">
        <w:rPr>
          <w:rFonts w:ascii="Arial" w:hAnsi="Arial" w:cs="Arial"/>
          <w:sz w:val="24"/>
          <w:szCs w:val="24"/>
          <w:lang w:val="en-GB"/>
        </w:rPr>
        <w:t xml:space="preserve">. </w:t>
      </w:r>
    </w:p>
    <w:p w14:paraId="44422B4B" w14:textId="5790A95E" w:rsidR="00610EEE" w:rsidRDefault="00610EEE" w:rsidP="00610EEE">
      <w:pPr>
        <w:spacing w:line="360" w:lineRule="auto"/>
        <w:jc w:val="both"/>
        <w:rPr>
          <w:rFonts w:ascii="Arial" w:hAnsi="Arial" w:cs="Arial"/>
          <w:sz w:val="24"/>
          <w:szCs w:val="24"/>
          <w:lang w:val="en-GB"/>
        </w:rPr>
      </w:pPr>
      <w:r w:rsidRPr="001056C0">
        <w:rPr>
          <w:rFonts w:asciiTheme="minorBidi" w:hAnsiTheme="minorBidi"/>
          <w:sz w:val="24"/>
          <w:szCs w:val="24"/>
          <w:lang w:val="en-GB"/>
        </w:rPr>
        <w:t>Pharmacy practice in many developed countries has shifted from product-based practice to patient</w:t>
      </w:r>
      <w:r>
        <w:rPr>
          <w:rFonts w:asciiTheme="minorBidi" w:hAnsiTheme="minorBidi"/>
          <w:sz w:val="24"/>
          <w:szCs w:val="24"/>
          <w:lang w:val="en-GB"/>
        </w:rPr>
        <w:t>-</w:t>
      </w:r>
      <w:r w:rsidRPr="001056C0">
        <w:rPr>
          <w:rFonts w:asciiTheme="minorBidi" w:hAnsiTheme="minorBidi"/>
          <w:sz w:val="24"/>
          <w:szCs w:val="24"/>
          <w:lang w:val="en-GB"/>
        </w:rPr>
        <w:t>focus</w:t>
      </w:r>
      <w:r>
        <w:rPr>
          <w:rFonts w:asciiTheme="minorBidi" w:hAnsiTheme="minorBidi"/>
          <w:sz w:val="24"/>
          <w:szCs w:val="24"/>
          <w:lang w:val="en-GB"/>
        </w:rPr>
        <w:t>sed</w:t>
      </w:r>
      <w:r w:rsidRPr="001056C0">
        <w:rPr>
          <w:rFonts w:asciiTheme="minorBidi" w:hAnsiTheme="minorBidi"/>
          <w:sz w:val="24"/>
          <w:szCs w:val="24"/>
          <w:lang w:val="en-GB"/>
        </w:rPr>
        <w:t xml:space="preserve"> practice. Accordingly, the role of pharmacists has expanded beyond medication dispensing to a more clinically active involvement in patient care </w:t>
      </w:r>
      <w:r w:rsidRPr="001056C0">
        <w:rPr>
          <w:rFonts w:asciiTheme="minorBidi" w:hAnsiTheme="minorBidi"/>
          <w:sz w:val="24"/>
          <w:szCs w:val="24"/>
          <w:lang w:val="en-GB"/>
        </w:rPr>
        <w:fldChar w:fldCharType="begin" w:fldLock="1"/>
      </w:r>
      <w:r w:rsidR="001D6014">
        <w:rPr>
          <w:rFonts w:asciiTheme="minorBidi" w:hAnsiTheme="minorBidi"/>
          <w:sz w:val="24"/>
          <w:szCs w:val="24"/>
          <w:lang w:val="en-GB"/>
        </w:rPr>
        <w:instrText>ADDIN CSL_CITATION {"citationItems":[{"id":"ITEM-1","itemData":{"DOI":"10.1016/j.jsps.2014.07.008","ISSN":"13190164","abstract":"Background Diabetes mellitus is a rapidly growing disease world-wide that is estimated to be present in 6.6% of the international population and projected to be increased by 7.8% in 2030. Treating diabetic patients is multifaceted in all aspects and they require objectives and optimum information in order to obtain the maximum benefits of their treatment and avoid complications. Pharmacists are increasingly considered as a part of the health care system. Hence, the aim of this review is to address and summarize the effectiveness of clinical pharmacists in managing diabetic patients. Method This is a narrative review of the evidence from the literature in order to answer the present question of what is the evidence of the role of clinical pharmacists in managing diabetic patients. We searched five databases including: the Cochrane library, MEDLINE, EMBASE, TRIP, and Science Direct. We will also try to look for other potentially eligible trials or ancillary publications by searching the reference lists of retrieved included trials, (systematic) reviews, meta-analyses and health technology assessment reports. Outcomes included short-term and long-term measures. Results Final search revealed nine studies. They were heterogeneous in terms of interventions, participants, settings and outcomes. Studies varied in their quality and/or reporting of their findings conducted in several settings. Majority of the studies were conducted in Western countries, one in Hong Kong and one in South India. In majority of the studies, pharmacists’ role was mainly to specify all drug-related problems including poor drug compliance and side effects and communicating these to the physician. We found that those who received the pharmacist care had a statistically significant reduction in coronary heart disease, blood pressure, HA1c, quality of life and lipid profile. Conclusion Our review demonstrated the important role of clinical pharmacists in managing diabetic patients at diverse settings worldwide. There is an urgent need to recognize and change regulations to allow shared practice agreements among physicians, pharmacists, and other allied health professionals. These mutual agreements would allow more streamlined provision of health care delivery from non-physician health professionals to participants with common health conditions.","author":[{"dropping-particle":"","family":"Alhabib","given":"Samia","non-dropping-particle":"","parse-names":false,"suffix":""},{"dropping-particle":"","family":"Aldraimly","given":"Maha","non-dropping-particle":"","parse-names":false,"suffix":""},{"dropping-particle":"","family":"Alfarhan","given":"Ali","non-dropping-particle":"","parse-names":false,"suffix":""}],"container-title":"Saudi Pharmaceutical Journal","id":"ITEM-1","issued":{"date-parts":[["2016"]]},"title":"An evolving role of clinical pharmacists in managing diabetes: Evidence from the literature","type":"article"},"uris":["http://www.mendeley.com/documents/?uuid=59af0f9f-e1af-388b-af75-18f59cb94211"]}],"mendeley":{"formattedCitation":"(Alhabib, Aldraimly and Alfarhan, 2016a)","manualFormatting":"(Alhabib et al., 2016)","plainTextFormattedCitation":"(Alhabib, Aldraimly and Alfarhan, 2016a)","previouslyFormattedCitation":"(Alhabib, Aldraimly and Alfarhan, 2016a)"},"properties":{"noteIndex":0},"schema":"https://github.com/citation-style-language/schema/raw/master/csl-citation.json"}</w:instrText>
      </w:r>
      <w:r w:rsidRPr="001056C0">
        <w:rPr>
          <w:rFonts w:asciiTheme="minorBidi" w:hAnsiTheme="minorBidi"/>
          <w:sz w:val="24"/>
          <w:szCs w:val="24"/>
          <w:lang w:val="en-GB"/>
        </w:rPr>
        <w:fldChar w:fldCharType="separate"/>
      </w:r>
      <w:r w:rsidRPr="001056C0">
        <w:rPr>
          <w:rFonts w:asciiTheme="minorBidi" w:hAnsiTheme="minorBidi"/>
          <w:noProof/>
          <w:sz w:val="24"/>
          <w:szCs w:val="24"/>
          <w:lang w:val="en-GB"/>
        </w:rPr>
        <w:t>(Alhabib</w:t>
      </w:r>
      <w:r>
        <w:rPr>
          <w:rFonts w:asciiTheme="minorBidi" w:hAnsiTheme="minorBidi"/>
          <w:noProof/>
          <w:sz w:val="24"/>
          <w:szCs w:val="24"/>
          <w:lang w:val="en-GB"/>
        </w:rPr>
        <w:t xml:space="preserve"> et al.</w:t>
      </w:r>
      <w:r w:rsidRPr="001056C0">
        <w:rPr>
          <w:rFonts w:asciiTheme="minorBidi" w:hAnsiTheme="minorBidi"/>
          <w:noProof/>
          <w:sz w:val="24"/>
          <w:szCs w:val="24"/>
          <w:lang w:val="en-GB"/>
        </w:rPr>
        <w:t>,</w:t>
      </w:r>
      <w:r>
        <w:rPr>
          <w:rFonts w:asciiTheme="minorBidi" w:hAnsiTheme="minorBidi"/>
          <w:noProof/>
          <w:sz w:val="24"/>
          <w:szCs w:val="24"/>
          <w:lang w:val="en-GB"/>
        </w:rPr>
        <w:t xml:space="preserve"> </w:t>
      </w:r>
      <w:r w:rsidRPr="001056C0">
        <w:rPr>
          <w:rFonts w:asciiTheme="minorBidi" w:hAnsiTheme="minorBidi"/>
          <w:noProof/>
          <w:sz w:val="24"/>
          <w:szCs w:val="24"/>
          <w:lang w:val="en-GB"/>
        </w:rPr>
        <w:t>2016)</w:t>
      </w:r>
      <w:r w:rsidRPr="001056C0">
        <w:rPr>
          <w:rFonts w:asciiTheme="minorBidi" w:hAnsiTheme="minorBidi"/>
          <w:sz w:val="24"/>
          <w:szCs w:val="24"/>
          <w:lang w:val="en-GB"/>
        </w:rPr>
        <w:fldChar w:fldCharType="end"/>
      </w:r>
      <w:r w:rsidRPr="001056C0">
        <w:rPr>
          <w:rFonts w:asciiTheme="minorBidi" w:hAnsiTheme="minorBidi"/>
          <w:sz w:val="24"/>
          <w:szCs w:val="24"/>
          <w:lang w:val="en-GB"/>
        </w:rPr>
        <w:t>.</w:t>
      </w:r>
      <w:r w:rsidRPr="001056C0">
        <w:rPr>
          <w:rFonts w:asciiTheme="minorBidi" w:hAnsiTheme="minorBidi"/>
          <w:sz w:val="28"/>
          <w:szCs w:val="28"/>
          <w:lang w:val="en-GB"/>
        </w:rPr>
        <w:t xml:space="preserve"> </w:t>
      </w:r>
      <w:r w:rsidRPr="00845AF7">
        <w:rPr>
          <w:rFonts w:ascii="Arial" w:hAnsi="Arial" w:cs="Arial"/>
          <w:sz w:val="24"/>
          <w:szCs w:val="24"/>
          <w:lang w:val="en-GB"/>
        </w:rPr>
        <w:t xml:space="preserve">Pharmacists in advanced countries, such as the USA, the UK and Canada, </w:t>
      </w:r>
      <w:r w:rsidRPr="00845AF7">
        <w:rPr>
          <w:rFonts w:ascii="Arial" w:hAnsi="Arial" w:cs="Arial"/>
          <w:color w:val="000000" w:themeColor="text1"/>
          <w:sz w:val="24"/>
          <w:szCs w:val="24"/>
          <w:lang w:val="en-GB"/>
        </w:rPr>
        <w:t xml:space="preserve">have roles in several healthcare services such as carrying out </w:t>
      </w:r>
      <w:r w:rsidRPr="00845AF7">
        <w:rPr>
          <w:rFonts w:ascii="Arial" w:hAnsi="Arial" w:cs="Arial"/>
          <w:sz w:val="24"/>
          <w:szCs w:val="24"/>
          <w:lang w:val="en-GB"/>
        </w:rPr>
        <w:t>medication reviews, running disease management clinics, medication information resource, health promotion and education and counselling</w:t>
      </w:r>
      <w:r>
        <w:rPr>
          <w:rFonts w:ascii="Arial" w:hAnsi="Arial" w:cs="Arial"/>
          <w:sz w:val="24"/>
          <w:szCs w:val="24"/>
          <w:lang w:val="en-GB"/>
        </w:rPr>
        <w:t xml:space="preserve"> (see </w:t>
      </w:r>
      <w:r>
        <w:rPr>
          <w:rFonts w:ascii="Arial" w:hAnsi="Arial" w:cs="Arial"/>
          <w:sz w:val="24"/>
          <w:szCs w:val="24"/>
          <w:lang w:val="en-GB"/>
        </w:rPr>
        <w:fldChar w:fldCharType="begin"/>
      </w:r>
      <w:r>
        <w:rPr>
          <w:rFonts w:ascii="Arial" w:hAnsi="Arial" w:cs="Arial"/>
          <w:sz w:val="24"/>
          <w:szCs w:val="24"/>
          <w:lang w:val="en-GB"/>
        </w:rPr>
        <w:instrText xml:space="preserve"> REF _Ref124374428 \h  \* MERGEFORMAT </w:instrText>
      </w:r>
      <w:r>
        <w:rPr>
          <w:rFonts w:ascii="Arial" w:hAnsi="Arial" w:cs="Arial"/>
          <w:sz w:val="24"/>
          <w:szCs w:val="24"/>
          <w:lang w:val="en-GB"/>
        </w:rPr>
      </w:r>
      <w:r>
        <w:rPr>
          <w:rFonts w:ascii="Arial" w:hAnsi="Arial" w:cs="Arial"/>
          <w:sz w:val="24"/>
          <w:szCs w:val="24"/>
          <w:lang w:val="en-GB"/>
        </w:rPr>
        <w:fldChar w:fldCharType="separate"/>
      </w:r>
      <w:r w:rsidRPr="005B2002">
        <w:rPr>
          <w:rFonts w:ascii="Arial" w:hAnsi="Arial" w:cs="Arial"/>
          <w:color w:val="1F3864" w:themeColor="accent1" w:themeShade="80"/>
          <w:sz w:val="24"/>
          <w:szCs w:val="24"/>
          <w:lang w:val="en-GB"/>
        </w:rPr>
        <w:t>Appendix F</w:t>
      </w:r>
      <w:r w:rsidRPr="005B2002">
        <w:rPr>
          <w:rFonts w:ascii="Arial" w:hAnsi="Arial" w:cs="Arial"/>
          <w:sz w:val="24"/>
          <w:szCs w:val="24"/>
          <w:lang w:val="en-GB"/>
        </w:rPr>
        <w:t xml:space="preserve"> </w:t>
      </w:r>
      <w:r>
        <w:rPr>
          <w:rFonts w:ascii="Arial" w:hAnsi="Arial" w:cs="Arial"/>
          <w:sz w:val="24"/>
          <w:szCs w:val="24"/>
          <w:lang w:val="en-GB"/>
        </w:rPr>
        <w:fldChar w:fldCharType="end"/>
      </w:r>
      <w:r>
        <w:rPr>
          <w:rFonts w:ascii="Arial" w:hAnsi="Arial" w:cs="Arial"/>
          <w:sz w:val="24"/>
          <w:szCs w:val="24"/>
          <w:lang w:val="en-GB"/>
        </w:rPr>
        <w:t>for more details)</w:t>
      </w:r>
      <w:r w:rsidRPr="00845AF7">
        <w:rPr>
          <w:rFonts w:ascii="Arial" w:hAnsi="Arial" w:cs="Arial"/>
          <w:sz w:val="24"/>
          <w:szCs w:val="24"/>
          <w:lang w:val="en-GB"/>
        </w:rPr>
        <w:t>. Pharmacists are in a position to provide these services effectively because they are experts in medication use and safety</w:t>
      </w:r>
      <w:r w:rsidRPr="00845AF7">
        <w:rPr>
          <w:rFonts w:ascii="Arial" w:hAnsi="Arial" w:cs="Arial"/>
          <w:sz w:val="24"/>
          <w:szCs w:val="24"/>
        </w:rPr>
        <w:t xml:space="preserve"> </w:t>
      </w:r>
      <w:r w:rsidRPr="00845AF7">
        <w:rPr>
          <w:rFonts w:ascii="Arial" w:hAnsi="Arial" w:cs="Arial"/>
          <w:sz w:val="24"/>
          <w:szCs w:val="24"/>
        </w:rPr>
        <w:fldChar w:fldCharType="begin" w:fldLock="1"/>
      </w:r>
      <w:r w:rsidRPr="00845AF7">
        <w:rPr>
          <w:rFonts w:ascii="Arial" w:hAnsi="Arial" w:cs="Arial"/>
          <w:sz w:val="24"/>
          <w:szCs w:val="24"/>
        </w:rPr>
        <w:instrText>ADDIN CSL_CITATION {"citationItems":[{"id":"ITEM-1","itemData":{"DOI":"10.1016/j.sapharm.2013.08.006","abstract":"Background: Integration of pharmacists into primary care general practice clinics has the potential to improve interdisciplinary teamwork and patient care; however this practice is not widespread. Objective: The aim of this study was to review the effectiveness of clinical pharmacist services delivered in primary care general practice clinics. Methods: A systematic review of English language randomized controlled trials cited in the Cochrane Central Register of Controlled Trials, MEDLINE, EMBASE and International Pharmaceutical Abstracts was conducted. Studies were included if pharmacists had a regular and ongoing relationship with the clinic; delivered an intervention aimed at optimizing prescribing for, and/or medication use by, clinic patients; and were physically present within the clinic for all or part of the intervention, or for communication with staff. The search generated 1484 articles. After removal of duplicates and screening of titles and abstracts against inclusion criteria, 131 articles remained. A total of 38 studies were included in the review and assessed for quality. Seventeen studies had common endpoints (blood pressure, glycosylated hemoglobin, cholesterol and/or Framingham risk score) and were included in meta-analyses. Results: Twenty-nine of the 38 studies recruited patients with specific medical conditions, most commonly cardiovascular disease (15 studies) and/or diabetes (9 studies). The remaining 9 studies recruited patients at general risk of medication misadventure. Pharmacist interventions usually involved medication review (86.8%), with or without other activities delivered collaboratively with the general practitioner (family physician). Positive effects on primary outcomes related to medication use or clinical outcomes were reported in 19 studies, mixed effects in six studies, and no effect in 13 studies. The results of meta-analyses favored the pharmacist intervention, with significant improvements in blood pressure, glycosylated hemoglobin, cholesterol and Framingham risk score in intervention patients compared to control patients. Conclusions: Pharmacists co-located in general practice clinics delivered a range of interventions, with favorable results in various areas of chronic disease management and quality use of medicines.","author":[{"dropping-particle":"","family":"Tan","given":"Edwin C K","non-dropping-particle":"","parse-names":false,"suffix":""},{"dropping-particle":"","family":"Stewart","given":"Kay","non-dropping-particle":"","parse-names":false,"suffix":""},{"dropping-particle":"","family":"Elliott","given":"Rohan A","non-dropping-particle":"","parse-names":false,"suffix":""},{"dropping-particle":"","family":"Clin","given":"M Pharm","non-dropping-particle":"","parse-names":false,"suffix":""},{"dropping-particle":"","family":"George","given":"Johnson","non-dropping-particle":"","parse-names":false,"suffix":""}],"id":"ITEM-1","issued":{"date-parts":[["0"]]},"title":"Pharmacist services provided in general practice clinics: A systematic review and meta-analysis","type":"article-journal"},"uris":["http://www.mendeley.com/documents/?uuid=b70f418c-5171-3ac7-8bc7-8a75712412f7"]}],"mendeley":{"formattedCitation":"(Tan &lt;i&gt;et al.&lt;/i&gt;, no date)","manualFormatting":"(Tan et al., 2014)","plainTextFormattedCitation":"(Tan et al., no date)","previouslyFormattedCitation":"(Tan &lt;i&gt;et al.&lt;/i&gt;, no date)"},"properties":{"noteIndex":0},"schema":"https://github.com/citation-style-language/schema/raw/master/csl-citation.json"}</w:instrText>
      </w:r>
      <w:r w:rsidRPr="00845AF7">
        <w:rPr>
          <w:rFonts w:ascii="Arial" w:hAnsi="Arial" w:cs="Arial"/>
          <w:sz w:val="24"/>
          <w:szCs w:val="24"/>
        </w:rPr>
        <w:fldChar w:fldCharType="separate"/>
      </w:r>
      <w:r w:rsidRPr="00845AF7">
        <w:rPr>
          <w:rFonts w:ascii="Arial" w:hAnsi="Arial" w:cs="Arial"/>
          <w:noProof/>
          <w:sz w:val="24"/>
          <w:szCs w:val="24"/>
        </w:rPr>
        <w:t xml:space="preserve">(Tan </w:t>
      </w:r>
      <w:r w:rsidRPr="00252E66">
        <w:rPr>
          <w:rFonts w:ascii="Arial" w:hAnsi="Arial" w:cs="Arial"/>
          <w:i/>
          <w:noProof/>
          <w:sz w:val="24"/>
          <w:szCs w:val="24"/>
        </w:rPr>
        <w:t>et al.</w:t>
      </w:r>
      <w:r w:rsidRPr="00845AF7">
        <w:rPr>
          <w:rFonts w:ascii="Arial" w:hAnsi="Arial" w:cs="Arial"/>
          <w:iCs/>
          <w:noProof/>
          <w:sz w:val="24"/>
          <w:szCs w:val="24"/>
        </w:rPr>
        <w:t xml:space="preserve">, </w:t>
      </w:r>
      <w:r w:rsidRPr="00845AF7">
        <w:rPr>
          <w:rFonts w:ascii="Arial" w:hAnsi="Arial" w:cs="Arial"/>
          <w:noProof/>
          <w:sz w:val="24"/>
          <w:szCs w:val="24"/>
        </w:rPr>
        <w:t>2014)</w:t>
      </w:r>
      <w:r w:rsidRPr="00845AF7">
        <w:rPr>
          <w:rFonts w:ascii="Arial" w:hAnsi="Arial" w:cs="Arial"/>
          <w:sz w:val="24"/>
          <w:szCs w:val="24"/>
        </w:rPr>
        <w:fldChar w:fldCharType="end"/>
      </w:r>
      <w:r w:rsidRPr="00845AF7">
        <w:rPr>
          <w:rFonts w:ascii="Arial" w:hAnsi="Arial" w:cs="Arial"/>
          <w:sz w:val="24"/>
          <w:szCs w:val="24"/>
        </w:rPr>
        <w:t xml:space="preserve">. </w:t>
      </w:r>
      <w:r w:rsidRPr="00845AF7">
        <w:rPr>
          <w:rFonts w:ascii="Arial" w:hAnsi="Arial" w:cs="Arial"/>
          <w:sz w:val="24"/>
          <w:szCs w:val="24"/>
          <w:lang w:val="en-GB"/>
        </w:rPr>
        <w:t>Therefore, pharmacists in PHCs in SA could perform a range of functions, including clinical and administrative duties based on their expertise</w:t>
      </w:r>
      <w:r>
        <w:rPr>
          <w:rFonts w:ascii="Arial" w:hAnsi="Arial" w:cs="Arial"/>
          <w:sz w:val="24"/>
          <w:szCs w:val="24"/>
          <w:lang w:val="en-GB"/>
        </w:rPr>
        <w:t>.</w:t>
      </w:r>
    </w:p>
    <w:p w14:paraId="3983BD6E" w14:textId="77777777" w:rsidR="00610EEE" w:rsidRPr="00ED0327" w:rsidRDefault="00610EEE" w:rsidP="00610EEE">
      <w:pPr>
        <w:spacing w:line="360" w:lineRule="auto"/>
        <w:jc w:val="both"/>
        <w:rPr>
          <w:rFonts w:ascii="Arial" w:hAnsi="Arial" w:cs="Arial"/>
          <w:sz w:val="24"/>
          <w:szCs w:val="24"/>
          <w:lang w:val="en-GB"/>
        </w:rPr>
      </w:pPr>
      <w:r w:rsidRPr="00ED0327">
        <w:rPr>
          <w:rFonts w:asciiTheme="minorBidi" w:hAnsiTheme="minorBidi"/>
          <w:sz w:val="24"/>
          <w:szCs w:val="24"/>
        </w:rPr>
        <w:t xml:space="preserve">Part of framing of this research is the discussions </w:t>
      </w:r>
      <w:r w:rsidRPr="00ED0327">
        <w:rPr>
          <w:rFonts w:ascii="Arial" w:hAnsi="Arial" w:cs="Arial"/>
          <w:sz w:val="24"/>
          <w:szCs w:val="24"/>
          <w:lang w:val="en-GB"/>
        </w:rPr>
        <w:t>around changing boundaries of the health workforce, that have been raised in the last three decades. Changing role boundaries and what is also been termed substitution type of activities; involves one of the professional groups negotiating or simply undertaking activities and roles that would have been previously associated with or allocated to others</w:t>
      </w:r>
      <w:r>
        <w:rPr>
          <w:rFonts w:ascii="Arial" w:hAnsi="Arial" w:cs="Arial"/>
          <w:sz w:val="24"/>
          <w:szCs w:val="24"/>
          <w:lang w:val="en-GB"/>
        </w:rPr>
        <w:t>, f</w:t>
      </w:r>
      <w:r w:rsidRPr="00ED0327">
        <w:rPr>
          <w:rFonts w:ascii="Arial" w:hAnsi="Arial" w:cs="Arial"/>
          <w:sz w:val="24"/>
          <w:szCs w:val="24"/>
          <w:lang w:val="en-GB"/>
        </w:rPr>
        <w:t xml:space="preserve">or example, non-medical prescribing nurses and pharmacists. HCPs, </w:t>
      </w:r>
      <w:r>
        <w:rPr>
          <w:rFonts w:ascii="Arial" w:hAnsi="Arial" w:cs="Arial"/>
          <w:sz w:val="24"/>
          <w:szCs w:val="24"/>
          <w:lang w:val="en-GB"/>
        </w:rPr>
        <w:t>including</w:t>
      </w:r>
      <w:r w:rsidRPr="00ED0327">
        <w:rPr>
          <w:rFonts w:ascii="Arial" w:hAnsi="Arial" w:cs="Arial"/>
          <w:sz w:val="24"/>
          <w:szCs w:val="24"/>
          <w:lang w:val="en-GB"/>
        </w:rPr>
        <w:t xml:space="preserve"> pharmacists, could change their disciplinary boundaries by identifying </w:t>
      </w:r>
      <w:r w:rsidRPr="00F77FC5">
        <w:rPr>
          <w:rFonts w:ascii="Arial" w:hAnsi="Arial" w:cs="Arial"/>
          <w:sz w:val="24"/>
          <w:szCs w:val="24"/>
          <w:lang w:val="en-GB"/>
        </w:rPr>
        <w:t>new areas of work</w:t>
      </w:r>
      <w:r w:rsidRPr="00ED0327">
        <w:rPr>
          <w:rFonts w:ascii="Arial" w:hAnsi="Arial" w:cs="Arial"/>
          <w:sz w:val="24"/>
          <w:szCs w:val="24"/>
          <w:lang w:val="en-GB"/>
        </w:rPr>
        <w:t xml:space="preserve"> and moving from the traditional dispensing role into more clinical </w:t>
      </w:r>
      <w:r>
        <w:rPr>
          <w:rFonts w:ascii="Arial" w:hAnsi="Arial" w:cs="Arial"/>
          <w:sz w:val="24"/>
          <w:szCs w:val="24"/>
          <w:lang w:val="en-GB"/>
        </w:rPr>
        <w:t>role</w:t>
      </w:r>
      <w:r w:rsidRPr="00ED0327">
        <w:rPr>
          <w:rFonts w:ascii="Arial" w:hAnsi="Arial" w:cs="Arial"/>
          <w:sz w:val="24"/>
          <w:szCs w:val="24"/>
          <w:lang w:val="en-GB"/>
        </w:rPr>
        <w:t xml:space="preserve"> </w:t>
      </w:r>
      <w:r w:rsidRPr="00ED0327">
        <w:rPr>
          <w:rFonts w:ascii="Arial" w:hAnsi="Arial" w:cs="Arial"/>
          <w:sz w:val="24"/>
          <w:szCs w:val="24"/>
          <w:lang w:val="en-GB"/>
        </w:rPr>
        <w:fldChar w:fldCharType="begin" w:fldLock="1"/>
      </w:r>
      <w:r w:rsidRPr="00ED0327">
        <w:rPr>
          <w:rFonts w:ascii="Arial" w:hAnsi="Arial" w:cs="Arial"/>
          <w:sz w:val="24"/>
          <w:szCs w:val="24"/>
          <w:lang w:val="en-GB"/>
        </w:rPr>
        <w:instrText>ADDIN CSL_CITATION {"citationItems":[{"id":"ITEM-1","itemData":{"DOI":"10.1111/j.1467-9566.2005.00463.x","ISSN":"01419889","PMID":"16313522","abstract":"The healthcare professions have never been static in terms of their own disciplinary boundaries, nor in their role or status in society. Healthcare provision has been defined by changing societal expectations and beliefs, new ways of perceiving health and illness, the introduction of a range of technologies and, more recently, the formal recognition of particular groups through the introduction of education and regulation. It has also been shaped by both interprofessional and profession-state relationships forged over time. A number of factors have converged that place new pressures on workforce boundaries, including an unmet demand for some healthcare services; neo-liberal management philosophies and a greater emphasis on consumer preferences than professional-led services. To date, however, there has been little analysis of the evolution of the workforce as a whole. The discussion of workforce change that has taken place has largely been from the perspective of individual disciplines. Yet the dynamic boundaries of each discipline mean that there is an interrelationship between the components of the workforce that cannot be ignored. The purpose of this paper is to describe four directions in which the existing workforce can change: diversification; specialisation and vertical and horizontal substitution, and to discuss the implications of these changes for the workforce. © Blackwell Publishing Ltd/Foundation for the Sociology of Health &amp; Illness 2005.","author":[{"dropping-particle":"","family":"Nancarrow","given":"Susan A.","non-dropping-particle":"","parse-names":false,"suffix":""},{"dropping-particle":"","family":"Borthwick","given":"Alan M.","non-dropping-particle":"","parse-names":false,"suffix":""}],"container-title":"Sociology of Health and Illness","id":"ITEM-1","issue":"7","issued":{"date-parts":[["2005"]]},"page":"897-919","title":"Dynamic professional boundaries in the healthcare workforce","type":"article-journal","volume":"27"},"uris":["http://www.mendeley.com/documents/?uuid=2e37f9d3-1d5b-4e9e-8862-b22c243fac96"]}],"mendeley":{"formattedCitation":"(Nancarrow and Borthwick, 2005)","plainTextFormattedCitation":"(Nancarrow and Borthwick, 2005)","previouslyFormattedCitation":"(Nancarrow and Borthwick, 2005)"},"properties":{"noteIndex":0},"schema":"https://github.com/citation-style-language/schema/raw/master/csl-citation.json"}</w:instrText>
      </w:r>
      <w:r w:rsidRPr="00ED0327">
        <w:rPr>
          <w:rFonts w:ascii="Arial" w:hAnsi="Arial" w:cs="Arial"/>
          <w:sz w:val="24"/>
          <w:szCs w:val="24"/>
          <w:lang w:val="en-GB"/>
        </w:rPr>
        <w:fldChar w:fldCharType="separate"/>
      </w:r>
      <w:r w:rsidRPr="00ED0327">
        <w:rPr>
          <w:rFonts w:ascii="Arial" w:hAnsi="Arial" w:cs="Arial"/>
          <w:noProof/>
          <w:sz w:val="24"/>
          <w:szCs w:val="24"/>
          <w:lang w:val="en-GB"/>
        </w:rPr>
        <w:t>(Nancarrow and Borthwick, 2005)</w:t>
      </w:r>
      <w:r w:rsidRPr="00ED0327">
        <w:rPr>
          <w:rFonts w:ascii="Arial" w:hAnsi="Arial" w:cs="Arial"/>
          <w:sz w:val="24"/>
          <w:szCs w:val="24"/>
          <w:lang w:val="en-GB"/>
        </w:rPr>
        <w:fldChar w:fldCharType="end"/>
      </w:r>
      <w:r w:rsidRPr="00ED0327">
        <w:rPr>
          <w:rFonts w:ascii="Arial" w:hAnsi="Arial" w:cs="Arial"/>
          <w:sz w:val="24"/>
          <w:szCs w:val="24"/>
          <w:lang w:val="en-GB"/>
        </w:rPr>
        <w:t xml:space="preserve">. </w:t>
      </w:r>
      <w:r>
        <w:rPr>
          <w:rFonts w:ascii="Arial" w:hAnsi="Arial" w:cs="Arial"/>
          <w:sz w:val="24"/>
          <w:szCs w:val="24"/>
          <w:lang w:val="en-GB"/>
        </w:rPr>
        <w:t>Ph</w:t>
      </w:r>
      <w:r w:rsidRPr="00ED0327">
        <w:rPr>
          <w:rFonts w:ascii="Arial" w:hAnsi="Arial" w:cs="Arial"/>
          <w:sz w:val="24"/>
          <w:szCs w:val="24"/>
          <w:lang w:val="en-GB"/>
        </w:rPr>
        <w:t xml:space="preserve">armacists </w:t>
      </w:r>
      <w:r>
        <w:rPr>
          <w:rFonts w:ascii="Arial" w:hAnsi="Arial" w:cs="Arial"/>
          <w:sz w:val="24"/>
          <w:szCs w:val="24"/>
          <w:lang w:val="en-GB"/>
        </w:rPr>
        <w:t>were</w:t>
      </w:r>
      <w:r w:rsidRPr="00ED0327">
        <w:rPr>
          <w:rFonts w:ascii="Arial" w:hAnsi="Arial" w:cs="Arial"/>
          <w:sz w:val="24"/>
          <w:szCs w:val="24"/>
          <w:lang w:val="en-GB"/>
        </w:rPr>
        <w:t xml:space="preserve"> </w:t>
      </w:r>
      <w:r>
        <w:rPr>
          <w:rFonts w:ascii="Arial" w:hAnsi="Arial" w:cs="Arial"/>
          <w:sz w:val="24"/>
          <w:szCs w:val="24"/>
          <w:lang w:val="en-GB"/>
        </w:rPr>
        <w:t>considered</w:t>
      </w:r>
      <w:r w:rsidRPr="00ED0327">
        <w:rPr>
          <w:rFonts w:ascii="Arial" w:hAnsi="Arial" w:cs="Arial"/>
          <w:sz w:val="24"/>
          <w:szCs w:val="24"/>
          <w:lang w:val="en-GB"/>
        </w:rPr>
        <w:t xml:space="preserve"> trusted profession</w:t>
      </w:r>
      <w:r>
        <w:rPr>
          <w:rFonts w:ascii="Arial" w:hAnsi="Arial" w:cs="Arial"/>
          <w:sz w:val="24"/>
          <w:szCs w:val="24"/>
          <w:lang w:val="en-GB"/>
        </w:rPr>
        <w:t>als as they</w:t>
      </w:r>
      <w:r w:rsidRPr="00ED0327">
        <w:rPr>
          <w:rFonts w:ascii="Arial" w:hAnsi="Arial" w:cs="Arial"/>
          <w:sz w:val="24"/>
          <w:szCs w:val="24"/>
          <w:lang w:val="en-GB"/>
        </w:rPr>
        <w:t xml:space="preserve"> ranked third on a trust scale in 14 different European countries—</w:t>
      </w:r>
      <w:r>
        <w:rPr>
          <w:rFonts w:ascii="Arial" w:hAnsi="Arial" w:cs="Arial"/>
          <w:sz w:val="24"/>
          <w:szCs w:val="24"/>
          <w:lang w:val="en-GB"/>
        </w:rPr>
        <w:t>just behind</w:t>
      </w:r>
      <w:r w:rsidRPr="00ED0327">
        <w:rPr>
          <w:rFonts w:ascii="Arial" w:hAnsi="Arial" w:cs="Arial"/>
          <w:sz w:val="24"/>
          <w:szCs w:val="24"/>
          <w:lang w:val="en-GB"/>
        </w:rPr>
        <w:t xml:space="preserve"> firefighters and airline pilots </w:t>
      </w:r>
      <w:r>
        <w:rPr>
          <w:rFonts w:ascii="Arial" w:hAnsi="Arial" w:cs="Arial"/>
          <w:sz w:val="24"/>
          <w:szCs w:val="24"/>
          <w:lang w:val="en-GB"/>
        </w:rPr>
        <w:t>and</w:t>
      </w:r>
      <w:r w:rsidRPr="00ED0327">
        <w:rPr>
          <w:rFonts w:ascii="Arial" w:hAnsi="Arial" w:cs="Arial"/>
          <w:sz w:val="24"/>
          <w:szCs w:val="24"/>
          <w:lang w:val="en-GB"/>
        </w:rPr>
        <w:t xml:space="preserve"> above </w:t>
      </w:r>
      <w:r>
        <w:rPr>
          <w:rFonts w:ascii="Arial" w:hAnsi="Arial" w:cs="Arial"/>
          <w:sz w:val="24"/>
          <w:szCs w:val="24"/>
          <w:lang w:val="en-GB"/>
        </w:rPr>
        <w:t xml:space="preserve">both </w:t>
      </w:r>
      <w:r w:rsidRPr="00ED0327">
        <w:rPr>
          <w:rFonts w:ascii="Arial" w:hAnsi="Arial" w:cs="Arial"/>
          <w:sz w:val="24"/>
          <w:szCs w:val="24"/>
          <w:lang w:val="en-GB"/>
        </w:rPr>
        <w:t xml:space="preserve">doctors and nurses. These results </w:t>
      </w:r>
      <w:r>
        <w:rPr>
          <w:rFonts w:ascii="Arial" w:hAnsi="Arial" w:cs="Arial"/>
          <w:sz w:val="24"/>
          <w:szCs w:val="24"/>
          <w:lang w:val="en-GB"/>
        </w:rPr>
        <w:t xml:space="preserve">were </w:t>
      </w:r>
      <w:r w:rsidRPr="00ED0327">
        <w:rPr>
          <w:rFonts w:ascii="Arial" w:hAnsi="Arial" w:cs="Arial"/>
          <w:sz w:val="24"/>
          <w:szCs w:val="24"/>
          <w:lang w:val="en-GB"/>
        </w:rPr>
        <w:t xml:space="preserve">based on the study </w:t>
      </w:r>
      <w:r>
        <w:rPr>
          <w:rFonts w:ascii="Arial" w:hAnsi="Arial" w:cs="Arial"/>
          <w:sz w:val="24"/>
          <w:szCs w:val="24"/>
          <w:lang w:val="en-GB"/>
        </w:rPr>
        <w:t>titled</w:t>
      </w:r>
      <w:r w:rsidRPr="00ED0327">
        <w:rPr>
          <w:rFonts w:ascii="Arial" w:hAnsi="Arial" w:cs="Arial"/>
          <w:sz w:val="24"/>
          <w:szCs w:val="24"/>
          <w:lang w:val="en-GB"/>
        </w:rPr>
        <w:t xml:space="preserve"> “Reader’s Digest European Trusted Brands 2005”, </w:t>
      </w:r>
      <w:r w:rsidRPr="00ED0327">
        <w:rPr>
          <w:rFonts w:ascii="Arial" w:hAnsi="Arial" w:cs="Arial"/>
          <w:sz w:val="24"/>
          <w:szCs w:val="24"/>
          <w:lang w:val="en-GB"/>
        </w:rPr>
        <w:fldChar w:fldCharType="begin" w:fldLock="1"/>
      </w:r>
      <w:r w:rsidRPr="00ED0327">
        <w:rPr>
          <w:rFonts w:ascii="Arial" w:hAnsi="Arial" w:cs="Arial"/>
          <w:sz w:val="24"/>
          <w:szCs w:val="24"/>
          <w:lang w:val="en-GB"/>
        </w:rPr>
        <w:instrText>ADDIN CSL_CITATION {"citationItems":[{"id":"ITEM-1","itemData":{"DOI":"10.1080/15602210600636273","ISSN":"14772701","abstract":"Many actors in health care would like to abolish the pharmaceutical profession. Politicians in search of further cost saving alternatives have seized upon the retail margins of pharmacies. Many physicians bear antipathy towards their competitor for the scarce financial health care resources. And in times of e-commerce and industrially produced drugs, many people are convinced that pharmacists are dispensable. Therefore, pharmacists should commonly provide competent and helpful advice to patients and physicians, learn more about the politics of the health system and become more flexible than at present. Unfortunately, they are not on the right path yet. This paper describes the need for action and concludes that pharmaceutical faculties must impart not only learning about chemistry and galenics, but also a profound knowledge of the health system, social skills, cost structures and the clinical benefit and cost-benefit-ratio of drugs.","author":[{"dropping-particle":"","family":"Dietrich","given":"Eva S.","non-dropping-particle":"","parse-names":false,"suffix":""}],"container-title":"Pharmacy Education","id":"ITEM-1","issue":"2","issued":{"date-parts":[["2006"]]},"page":"149-153","title":"The division of labour in healthcare - The role of the pharmacist","type":"article-journal","volume":"6"},"uris":["http://www.mendeley.com/documents/?uuid=874fbe87-0cec-4188-b0ff-b1d95b9c9c82"]}],"mendeley":{"formattedCitation":"(Dietrich, 2006)","plainTextFormattedCitation":"(Dietrich, 2006)","previouslyFormattedCitation":"(Dietrich, 2006)"},"properties":{"noteIndex":0},"schema":"https://github.com/citation-style-language/schema/raw/master/csl-citation.json"}</w:instrText>
      </w:r>
      <w:r w:rsidRPr="00ED0327">
        <w:rPr>
          <w:rFonts w:ascii="Arial" w:hAnsi="Arial" w:cs="Arial"/>
          <w:sz w:val="24"/>
          <w:szCs w:val="24"/>
          <w:lang w:val="en-GB"/>
        </w:rPr>
        <w:fldChar w:fldCharType="separate"/>
      </w:r>
      <w:r w:rsidRPr="00ED0327">
        <w:rPr>
          <w:rFonts w:ascii="Arial" w:hAnsi="Arial" w:cs="Arial"/>
          <w:noProof/>
          <w:sz w:val="24"/>
          <w:szCs w:val="24"/>
          <w:lang w:val="en-GB"/>
        </w:rPr>
        <w:t>(Dietrich, 2006)</w:t>
      </w:r>
      <w:r w:rsidRPr="00ED0327">
        <w:rPr>
          <w:rFonts w:ascii="Arial" w:hAnsi="Arial" w:cs="Arial"/>
          <w:sz w:val="24"/>
          <w:szCs w:val="24"/>
          <w:lang w:val="en-GB"/>
        </w:rPr>
        <w:fldChar w:fldCharType="end"/>
      </w:r>
      <w:r w:rsidRPr="00ED0327">
        <w:rPr>
          <w:rFonts w:ascii="Arial" w:hAnsi="Arial" w:cs="Arial"/>
          <w:sz w:val="24"/>
          <w:szCs w:val="24"/>
          <w:lang w:val="en-GB"/>
        </w:rPr>
        <w:t xml:space="preserve">. </w:t>
      </w:r>
    </w:p>
    <w:p w14:paraId="0E06EEFE" w14:textId="77777777" w:rsidR="00610EEE" w:rsidRPr="00ED0327" w:rsidRDefault="00610EEE" w:rsidP="00610EEE">
      <w:pPr>
        <w:spacing w:after="0" w:line="360" w:lineRule="auto"/>
        <w:jc w:val="both"/>
        <w:rPr>
          <w:rFonts w:ascii="Arial" w:hAnsi="Arial" w:cs="Arial"/>
          <w:sz w:val="24"/>
          <w:szCs w:val="24"/>
          <w:lang w:val="en-GB"/>
        </w:rPr>
      </w:pPr>
      <w:r w:rsidRPr="00ED0327">
        <w:rPr>
          <w:rFonts w:ascii="Arial" w:hAnsi="Arial" w:cs="Arial"/>
          <w:sz w:val="24"/>
          <w:szCs w:val="24"/>
          <w:lang w:val="en-GB"/>
        </w:rPr>
        <w:t xml:space="preserve">Some of the implications of the boundary changes of the health workforce will be presented in the following section. </w:t>
      </w:r>
    </w:p>
    <w:p w14:paraId="3B0B4B6F" w14:textId="77777777" w:rsidR="00610EEE" w:rsidRPr="00ED0327" w:rsidRDefault="00610EEE" w:rsidP="00610EEE">
      <w:pPr>
        <w:autoSpaceDE w:val="0"/>
        <w:autoSpaceDN w:val="0"/>
        <w:adjustRightInd w:val="0"/>
        <w:spacing w:after="0" w:line="360" w:lineRule="auto"/>
        <w:rPr>
          <w:rFonts w:ascii="Arial" w:hAnsi="Arial" w:cs="Arial"/>
          <w:sz w:val="24"/>
          <w:szCs w:val="24"/>
          <w:lang w:val="en-GB"/>
        </w:rPr>
      </w:pPr>
    </w:p>
    <w:p w14:paraId="3B59ADE7" w14:textId="77777777" w:rsidR="00610EEE" w:rsidRPr="00E22E30" w:rsidRDefault="00610EEE" w:rsidP="00610EEE">
      <w:pPr>
        <w:pStyle w:val="Heading2"/>
        <w:shd w:val="clear" w:color="auto" w:fill="FFFFFF"/>
        <w:spacing w:line="360" w:lineRule="auto"/>
        <w:ind w:left="431" w:hanging="431"/>
        <w:rPr>
          <w:rFonts w:asciiTheme="minorBidi" w:hAnsiTheme="minorBidi"/>
          <w:sz w:val="24"/>
          <w:szCs w:val="24"/>
          <w:lang w:val="en"/>
        </w:rPr>
      </w:pPr>
      <w:bookmarkStart w:id="15" w:name="_Toc153894133"/>
      <w:r w:rsidRPr="00E22E30">
        <w:rPr>
          <w:lang w:val="en-GB"/>
        </w:rPr>
        <w:t>Impact of integrating pharmacists into primary care teams</w:t>
      </w:r>
      <w:bookmarkEnd w:id="15"/>
    </w:p>
    <w:p w14:paraId="7A7142D1" w14:textId="77777777" w:rsidR="00610EEE" w:rsidRDefault="00610EEE" w:rsidP="00610EEE">
      <w:pPr>
        <w:spacing w:line="360" w:lineRule="auto"/>
        <w:jc w:val="both"/>
        <w:rPr>
          <w:rFonts w:asciiTheme="minorBidi" w:hAnsiTheme="minorBidi"/>
          <w:sz w:val="24"/>
          <w:szCs w:val="24"/>
          <w:lang w:val="en"/>
        </w:rPr>
      </w:pPr>
      <w:r w:rsidRPr="00213C8C">
        <w:rPr>
          <w:rFonts w:asciiTheme="minorBidi" w:hAnsiTheme="minorBidi"/>
          <w:sz w:val="24"/>
          <w:szCs w:val="24"/>
          <w:lang w:val="en"/>
        </w:rPr>
        <w:t xml:space="preserve">Pharmacy practice has been expanded from conventional product-focused practice (dispensing) to patient-focused practice </w:t>
      </w:r>
      <w:r w:rsidRPr="00213C8C">
        <w:rPr>
          <w:rFonts w:asciiTheme="minorBidi" w:hAnsiTheme="minorBidi"/>
          <w:sz w:val="24"/>
          <w:szCs w:val="24"/>
          <w:lang w:val="en"/>
        </w:rPr>
        <w:fldChar w:fldCharType="begin" w:fldLock="1"/>
      </w:r>
      <w:r w:rsidRPr="00213C8C">
        <w:rPr>
          <w:rFonts w:asciiTheme="minorBidi" w:hAnsiTheme="minorBidi"/>
          <w:sz w:val="24"/>
          <w:szCs w:val="24"/>
          <w:lang w:val="en"/>
        </w:rPr>
        <w:instrText>ADDIN CSL_CITATION {"citationItems":[{"id":"ITEM-1","itemData":{"DOI":"10.1016/j.jcjd.2017.08.240","ISSN":"23523840","author":[{"dropping-particle":"","family":"Gagnon","given":"Antony","non-dropping-particle":"","parse-names":false,"suffix":""},{"dropping-particle":"","family":"Jin","given":"Margaret","non-dropping-particle":"","parse-names":false,"suffix":""},{"dropping-particle":"","family":"Malak","given":"Mark","non-dropping-particle":"","parse-names":false,"suffix":""},{"dropping-particle":"","family":"Bednarowski","given":"Katalin","non-dropping-particle":"","parse-names":false,"suffix":""},{"dropping-particle":"","family":"Feng","given":"Lucy","non-dropping-particle":"","parse-names":false,"suffix":""},{"dropping-particle":"","family":"Francis-Pringle","given":"Sophia","non-dropping-particle":"","parse-names":false,"suffix":""},{"dropping-particle":"","family":"Lu","given":"Sandy","non-dropping-particle":"","parse-names":false,"suffix":""},{"dropping-particle":"","family":"Mallin","given":"Anne","non-dropping-particle":"","parse-names":false,"suffix":""},{"dropping-particle":"","family":"Skokovic-Sunjic","given":"Dragana","non-dropping-particle":"","parse-names":false,"suffix":""},{"dropping-particle":"","family":"Vedelago","given":"Annette","non-dropping-particle":"","parse-names":false,"suffix":""}],"container-title":"Canadian Journal of Diabetes","id":"ITEM-1","issue":"6","issued":{"date-parts":[["2017"]]},"page":"576-579","publisher":"Elsevier Inc.","title":"Pharmacists Managing People with Diabetes in Primary Care: 10 Years of Experience at the Hamilton Family Health Team","type":"article-journal","volume":"41"},"uris":["http://www.mendeley.com/documents/?uuid=9e28f21f-6300-478b-afe2-6ef620de5cce"]}],"mendeley":{"formattedCitation":"(Gagnon &lt;i&gt;et al.&lt;/i&gt;, 2017)","plainTextFormattedCitation":"(Gagnon et al., 2017)","previouslyFormattedCitation":"(Gagnon &lt;i&gt;et al.&lt;/i&gt;, 2017)"},"properties":{"noteIndex":0},"schema":"https://github.com/citation-style-language/schema/raw/master/csl-citation.json"}</w:instrText>
      </w:r>
      <w:r w:rsidRPr="00213C8C">
        <w:rPr>
          <w:rFonts w:asciiTheme="minorBidi" w:hAnsiTheme="minorBidi"/>
          <w:sz w:val="24"/>
          <w:szCs w:val="24"/>
          <w:lang w:val="en"/>
        </w:rPr>
        <w:fldChar w:fldCharType="separate"/>
      </w:r>
      <w:r w:rsidRPr="00213C8C">
        <w:rPr>
          <w:rFonts w:asciiTheme="minorBidi" w:hAnsiTheme="minorBidi"/>
          <w:noProof/>
          <w:sz w:val="24"/>
          <w:szCs w:val="24"/>
          <w:lang w:val="en"/>
        </w:rPr>
        <w:t xml:space="preserve">(Gagnon </w:t>
      </w:r>
      <w:r w:rsidRPr="00CC4490">
        <w:rPr>
          <w:rFonts w:asciiTheme="minorBidi" w:hAnsiTheme="minorBidi"/>
          <w:i/>
          <w:iCs/>
          <w:noProof/>
          <w:sz w:val="24"/>
          <w:szCs w:val="24"/>
          <w:lang w:val="en"/>
        </w:rPr>
        <w:t>et al.</w:t>
      </w:r>
      <w:r w:rsidRPr="00213C8C">
        <w:rPr>
          <w:rFonts w:asciiTheme="minorBidi" w:hAnsiTheme="minorBidi"/>
          <w:noProof/>
          <w:sz w:val="24"/>
          <w:szCs w:val="24"/>
          <w:lang w:val="en"/>
        </w:rPr>
        <w:t>, 2017)</w:t>
      </w:r>
      <w:r w:rsidRPr="00213C8C">
        <w:rPr>
          <w:rFonts w:asciiTheme="minorBidi" w:hAnsiTheme="minorBidi"/>
          <w:sz w:val="24"/>
          <w:szCs w:val="24"/>
          <w:lang w:val="en"/>
        </w:rPr>
        <w:fldChar w:fldCharType="end"/>
      </w:r>
      <w:r w:rsidRPr="00213C8C">
        <w:rPr>
          <w:rFonts w:asciiTheme="minorBidi" w:hAnsiTheme="minorBidi"/>
          <w:sz w:val="24"/>
          <w:szCs w:val="24"/>
          <w:lang w:val="en"/>
        </w:rPr>
        <w:t xml:space="preserve">. Pharmacists are more than just experts in the medication field; they are </w:t>
      </w:r>
      <w:r>
        <w:rPr>
          <w:rFonts w:asciiTheme="minorBidi" w:hAnsiTheme="minorBidi"/>
          <w:sz w:val="24"/>
          <w:szCs w:val="24"/>
          <w:lang w:val="en"/>
        </w:rPr>
        <w:t>HCPs</w:t>
      </w:r>
      <w:r w:rsidRPr="00213C8C">
        <w:rPr>
          <w:rFonts w:asciiTheme="minorBidi" w:hAnsiTheme="minorBidi"/>
          <w:sz w:val="24"/>
          <w:szCs w:val="24"/>
          <w:lang w:val="en"/>
        </w:rPr>
        <w:t xml:space="preserve"> with a broad knowledge of healthcare. This has been seen in the new roles of pharmacists such as prescribing pharmacists and clinical practitioners. </w:t>
      </w:r>
    </w:p>
    <w:p w14:paraId="661D4C33" w14:textId="77777777" w:rsidR="00610EEE" w:rsidRPr="00840A1E" w:rsidRDefault="00610EEE" w:rsidP="00610EEE">
      <w:pPr>
        <w:shd w:val="clear" w:color="auto" w:fill="FFFFFF"/>
        <w:spacing w:line="360" w:lineRule="auto"/>
        <w:jc w:val="both"/>
        <w:rPr>
          <w:rFonts w:asciiTheme="minorBidi" w:hAnsiTheme="minorBidi"/>
          <w:sz w:val="24"/>
          <w:szCs w:val="24"/>
          <w:lang w:val="en"/>
        </w:rPr>
      </w:pPr>
      <w:r w:rsidRPr="00840A1E">
        <w:rPr>
          <w:rFonts w:asciiTheme="minorBidi" w:hAnsiTheme="minorBidi"/>
          <w:sz w:val="24"/>
          <w:szCs w:val="24"/>
          <w:lang w:val="en"/>
        </w:rPr>
        <w:t xml:space="preserve">Pharmacists have been providing services in primary care </w:t>
      </w:r>
      <w:r w:rsidRPr="008329C5">
        <w:rPr>
          <w:rFonts w:asciiTheme="minorBidi" w:hAnsiTheme="minorBidi"/>
          <w:sz w:val="24"/>
          <w:szCs w:val="24"/>
          <w:lang w:val="en"/>
        </w:rPr>
        <w:t>practices</w:t>
      </w:r>
      <w:r w:rsidRPr="00840A1E">
        <w:rPr>
          <w:rFonts w:asciiTheme="minorBidi" w:hAnsiTheme="minorBidi"/>
          <w:sz w:val="24"/>
          <w:szCs w:val="24"/>
          <w:lang w:val="en"/>
        </w:rPr>
        <w:t xml:space="preserve"> for many years. A range of different activities has been identified, including enhancing medication safety programmes, providing medicines information as well as medication audit,  managing refill (repeat) prescriptions, treating minor illnesses and </w:t>
      </w:r>
      <w:r w:rsidRPr="00840A1E">
        <w:rPr>
          <w:rFonts w:asciiTheme="minorBidi" w:hAnsiTheme="minorBidi"/>
          <w:sz w:val="24"/>
          <w:szCs w:val="24"/>
          <w:lang w:val="en-GB"/>
        </w:rPr>
        <w:t xml:space="preserve">running chronic disease clinics </w:t>
      </w:r>
      <w:r w:rsidRPr="00840A1E">
        <w:rPr>
          <w:rFonts w:asciiTheme="minorBidi" w:hAnsiTheme="minorBidi"/>
          <w:sz w:val="24"/>
          <w:szCs w:val="24"/>
          <w:lang w:val="en"/>
        </w:rPr>
        <w:fldChar w:fldCharType="begin" w:fldLock="1"/>
      </w:r>
      <w:r w:rsidRPr="00840A1E">
        <w:rPr>
          <w:rFonts w:asciiTheme="minorBidi" w:hAnsiTheme="minorBidi"/>
          <w:sz w:val="24"/>
          <w:szCs w:val="24"/>
          <w:lang w:val="en"/>
        </w:rPr>
        <w:instrText>ADDIN CSL_CITATION {"citationItems":[{"id":"ITEM-1","itemData":{"DOI":"10.3399/bjgp19X705461","author":[{"dropping-particle":"","family":"Hayhoe","given":"Benedict","non-dropping-particle":"","parse-names":false,"suffix":""},{"dropping-particle":"","family":"Cespedes","given":"Jose Acuyo","non-dropping-particle":"","parse-names":false,"suffix":""},{"dropping-particle":"","family":"Foley","given":"Kimberley","non-dropping-particle":"","parse-names":false,"suffix":""},{"dropping-particle":"","family":"Majeed","given":"Azeem","non-dropping-particle":"","parse-names":false,"suffix":""},{"dropping-particle":"","family":"Greenfield","given":"Geva","non-dropping-particle":"","parse-names":false,"suffix":""}],"id":"ITEM-1","issued":{"date-parts":[["2019"]]},"title":"Impact of integrating pharmacists into primary care teams on health systems indicators:","type":"article-journal"},"uris":["http://www.mendeley.com/documents/?uuid=1e2a8780-2488-3f8b-b141-224567891090"]}],"mendeley":{"formattedCitation":"(Hayhoe &lt;i&gt;et al.&lt;/i&gt;, 2019)","plainTextFormattedCitation":"(Hayhoe et al., 2019)","previouslyFormattedCitation":"(Hayhoe &lt;i&gt;et al.&lt;/i&gt;, 2019)"},"properties":{"noteIndex":0},"schema":"https://github.com/citation-style-language/schema/raw/master/csl-citation.json"}</w:instrText>
      </w:r>
      <w:r w:rsidRPr="00840A1E">
        <w:rPr>
          <w:rFonts w:asciiTheme="minorBidi" w:hAnsiTheme="minorBidi"/>
          <w:sz w:val="24"/>
          <w:szCs w:val="24"/>
          <w:lang w:val="en"/>
        </w:rPr>
        <w:fldChar w:fldCharType="separate"/>
      </w:r>
      <w:r w:rsidRPr="00840A1E">
        <w:rPr>
          <w:rFonts w:asciiTheme="minorBidi" w:hAnsiTheme="minorBidi"/>
          <w:noProof/>
          <w:sz w:val="24"/>
          <w:szCs w:val="24"/>
          <w:lang w:val="en"/>
        </w:rPr>
        <w:t>(Hayhoe et al., 2019)</w:t>
      </w:r>
      <w:r w:rsidRPr="00840A1E">
        <w:rPr>
          <w:rFonts w:asciiTheme="minorBidi" w:hAnsiTheme="minorBidi"/>
          <w:sz w:val="24"/>
          <w:szCs w:val="24"/>
          <w:lang w:val="en"/>
        </w:rPr>
        <w:fldChar w:fldCharType="end"/>
      </w:r>
      <w:r w:rsidRPr="00840A1E">
        <w:rPr>
          <w:rFonts w:asciiTheme="minorBidi" w:hAnsiTheme="minorBidi"/>
          <w:sz w:val="24"/>
          <w:szCs w:val="24"/>
          <w:lang w:val="en"/>
        </w:rPr>
        <w:t xml:space="preserve">. These have been associated with positive outcomes related to improving clinical outcomes, increasing patient satisfaction by facilitating access to the medical care, enhance physicians satisfaction by decreasing the workload and letting them focus on more complicated cases that are medically necessary, rather than drug reviews and refill issues (Hayhoe et al., 2019, and </w:t>
      </w:r>
      <w:r>
        <w:rPr>
          <w:rFonts w:asciiTheme="minorBidi" w:hAnsiTheme="minorBidi"/>
          <w:sz w:val="24"/>
          <w:szCs w:val="24"/>
          <w:lang w:val="en"/>
        </w:rPr>
        <w:fldChar w:fldCharType="begin" w:fldLock="1"/>
      </w:r>
      <w:r>
        <w:rPr>
          <w:rFonts w:asciiTheme="minorBidi" w:hAnsiTheme="minorBidi"/>
          <w:sz w:val="24"/>
          <w:szCs w:val="24"/>
          <w:lang w:val="en"/>
        </w:rPr>
        <w:instrText>ADDIN CSL_CITATION {"citationItems":[{"id":"ITEM-1","itemData":{"DOI":"10.1186/s12875-019-0912-0","abstract":"Background: This study aimed to use marketing theory to examine the views of patients, pharmacists and general practitioners (GPs) on how community pharmacies are currently used and to identify how community pharmacy services may be better integrated within the primary care pathway for people with long-term conditions (LTCs). Methods: A qualitative research design was used. Two focus groups were conducted with respiratory patients (n = 6, 5) and two with type 2 diabetes patients (both n = 5). Two focus groups were held with pharmacists (n = 7, 5) and two with GPs (both n = 5). The \"7Ps marketing mix\" (\"product\", \"price\", \"place\", \"promotion\", \"people\", \"process\", \"physical evidence\") was used to frame data collection and analysis. Data was analysed using thematic analysis.","author":[{"dropping-particle":"","family":"Hindi","given":"Ali M K","non-dropping-particle":"","parse-names":false,"suffix":""},{"dropping-particle":"","family":"Schafheutle","given":"Ellen I","non-dropping-particle":"","parse-names":false,"suffix":""},{"dropping-particle":"","family":"Jacobs","given":"Sally","non-dropping-particle":"","parse-names":false,"suffix":""}],"container-title":"BMC Family Practice","id":"ITEM-1","issue":"26","issued":{"date-parts":[["2019"]]},"title":"Community pharmacy integration within the primary care pathway for people with long-term conditions: a focus group study of patients' , pharmacists' and GPs' experiences and expectations","type":"article-journal","volume":"20"},"uris":["http://www.mendeley.com/documents/?uuid=83ef7b7f-d44f-38fa-b442-3a8ad34c99db"]}],"mendeley":{"formattedCitation":"(Hindi, Schafheutle and Jacobs, 2019)","manualFormatting":"Hindi et al., 2019)","plainTextFormattedCitation":"(Hindi, Schafheutle and Jacobs, 2019)","previouslyFormattedCitation":"(Hindi, Schafheutle and Jacobs, 2019)"},"properties":{"noteIndex":0},"schema":"https://github.com/citation-style-language/schema/raw/master/csl-citation.json"}</w:instrText>
      </w:r>
      <w:r>
        <w:rPr>
          <w:rFonts w:asciiTheme="minorBidi" w:hAnsiTheme="minorBidi"/>
          <w:sz w:val="24"/>
          <w:szCs w:val="24"/>
          <w:lang w:val="en"/>
        </w:rPr>
        <w:fldChar w:fldCharType="separate"/>
      </w:r>
      <w:r w:rsidRPr="00F43FF1">
        <w:rPr>
          <w:rFonts w:asciiTheme="minorBidi" w:hAnsiTheme="minorBidi"/>
          <w:noProof/>
          <w:sz w:val="24"/>
          <w:szCs w:val="24"/>
          <w:lang w:val="en"/>
        </w:rPr>
        <w:t>Hindi</w:t>
      </w:r>
      <w:r>
        <w:rPr>
          <w:rFonts w:asciiTheme="minorBidi" w:hAnsiTheme="minorBidi"/>
          <w:noProof/>
          <w:sz w:val="24"/>
          <w:szCs w:val="24"/>
          <w:lang w:val="en"/>
        </w:rPr>
        <w:t xml:space="preserve"> et al., </w:t>
      </w:r>
      <w:r w:rsidRPr="00F43FF1">
        <w:rPr>
          <w:rFonts w:asciiTheme="minorBidi" w:hAnsiTheme="minorBidi"/>
          <w:noProof/>
          <w:sz w:val="24"/>
          <w:szCs w:val="24"/>
          <w:lang w:val="en"/>
        </w:rPr>
        <w:t>2019)</w:t>
      </w:r>
      <w:r>
        <w:rPr>
          <w:rFonts w:asciiTheme="minorBidi" w:hAnsiTheme="minorBidi"/>
          <w:sz w:val="24"/>
          <w:szCs w:val="24"/>
          <w:lang w:val="en"/>
        </w:rPr>
        <w:fldChar w:fldCharType="end"/>
      </w:r>
      <w:r>
        <w:rPr>
          <w:rFonts w:asciiTheme="minorBidi" w:hAnsiTheme="minorBidi"/>
          <w:sz w:val="24"/>
          <w:szCs w:val="24"/>
          <w:lang w:val="en"/>
        </w:rPr>
        <w:t>.</w:t>
      </w:r>
      <w:r w:rsidRPr="00840A1E">
        <w:rPr>
          <w:rFonts w:asciiTheme="minorBidi" w:hAnsiTheme="minorBidi"/>
          <w:sz w:val="24"/>
          <w:szCs w:val="24"/>
          <w:lang w:val="en"/>
        </w:rPr>
        <w:t xml:space="preserve"> </w:t>
      </w:r>
      <w:r w:rsidRPr="00840A1E">
        <w:rPr>
          <w:rFonts w:asciiTheme="minorBidi" w:hAnsiTheme="minorBidi"/>
          <w:sz w:val="24"/>
          <w:szCs w:val="24"/>
          <w:lang w:val="en"/>
        </w:rPr>
        <w:fldChar w:fldCharType="begin" w:fldLock="1"/>
      </w:r>
      <w:r w:rsidRPr="00840A1E">
        <w:rPr>
          <w:rFonts w:asciiTheme="minorBidi" w:hAnsiTheme="minorBidi"/>
          <w:sz w:val="24"/>
          <w:szCs w:val="24"/>
          <w:lang w:val="en"/>
        </w:rPr>
        <w:instrText>ADDIN CSL_CITATION {"citationItems":[{"id":"ITEM-1","itemData":{"DOI":"10.1016/j.japh.2017.06.018","ISSN":"15443450","abstract":"Background Improving medication management is an important component of comprehensive care coordination for health systems. The Managing Your Medication for Education and Daily Support (MyMeds) medication management program at the University of California Los Angeles addresses medication management issues by embedding trained clinical pharmacists in primary care practice teams. Objectives The aim of this work was to examine and explore physician opinions about the clinical pharmacist program and identify common themes among physician experiences as well as barriers to integration of clinical pharmacists into primary care practice teams. Methods We conducted a mixed quantitative–qualitative methods study consisting of a cross-sectional physician survey (n = 69) as well as semistructured one-on-one physician interviews (n = 13). Descriptive statistics were used to summarize survey responses, and standard qualitative content-analysis methods were used to identify major themes from the interviews. Results The survey response rate was 61%; 13 interviews were conducted. Ninety percent of survey respondents agreed or strongly agreed that having the pharmacist in the office makes management of the patient's medication more efficient, 93% agreed or strongly agreed that pharmacist recommendations are clinically helpful, 71% agreed or strongly agreed that having access to a pharmacist has increased their knowledge about medications they prescribe, and 75% agreed or strongly agreed that having a pharmacist as part of the primary care team has made their job easier. Qualitative interviews corroborated survey findings, and physicians highlighted the value of the clinical pharmacist's communication, team care and expanded roles, and medication management. Conclusion Primary care physicians valued the integrated pharmacy program highly, particularly its features of strong communication, expanded roles, and medication management. Pharmacists were viewed as integral members of the health care team.","author":[{"dropping-particle":"","family":"Moreno","given":"Gerardo","non-dropping-particle":"","parse-names":false,"suffix":""},{"dropping-particle":"","family":"Lonowski","given":"Sarah","non-dropping-particle":"","parse-names":false,"suffix":""},{"dropping-particle":"","family":"Fu","given":"Jeffrey","non-dropping-particle":"","parse-names":false,"suffix":""},{"dropping-particle":"","family":"Chon","given":"Janet S.","non-dropping-particle":"","parse-names":false,"suffix":""},{"dropping-particle":"","family":"Whitmire","given":"Natalie","non-dropping-particle":"","parse-names":false,"suffix":""},{"dropping-particle":"","family":"Vasquez","given":"Carolina","non-dropping-particle":"","parse-names":false,"suffix":""},{"dropping-particle":"","family":"Skootsky","given":"Samuel A.","non-dropping-particle":"","parse-names":false,"suffix":""},{"dropping-particle":"","family":"Bell","given":"Douglas S.","non-dropping-particle":"","parse-names":false,"suffix":""},{"dropping-particle":"","family":"Maranon","given":"Richard","non-dropping-particle":"","parse-names":false,"suffix":""},{"dropping-particle":"","family":"Mangione","given":"Carol M.","non-dropping-particle":"","parse-names":false,"suffix":""}],"container-title":"Journal of the American Pharmacists Association","id":"ITEM-1","issue":"6","issued":{"date-parts":[["2017"]]},"page":"686-691","publisher":"American Pharmacists Association®","title":"Physician experiences with clinical pharmacists in primary care teams","type":"article-journal","volume":"57"},"uris":["http://www.mendeley.com/documents/?uuid=c616567c-4385-4a1a-ba6a-5b1dac03d077"]}],"mendeley":{"formattedCitation":"(Moreno &lt;i&gt;et al.&lt;/i&gt;, 2017)","manualFormatting":"Moreno et al. (2017","plainTextFormattedCitation":"(Moreno et al., 2017)","previouslyFormattedCitation":"(Moreno &lt;i&gt;et al.&lt;/i&gt;, 2017)"},"properties":{"noteIndex":0},"schema":"https://github.com/citation-style-language/schema/raw/master/csl-citation.json"}</w:instrText>
      </w:r>
      <w:r w:rsidRPr="00840A1E">
        <w:rPr>
          <w:rFonts w:asciiTheme="minorBidi" w:hAnsiTheme="minorBidi"/>
          <w:sz w:val="24"/>
          <w:szCs w:val="24"/>
          <w:lang w:val="en"/>
        </w:rPr>
        <w:fldChar w:fldCharType="separate"/>
      </w:r>
      <w:r w:rsidRPr="00840A1E">
        <w:rPr>
          <w:rFonts w:asciiTheme="minorBidi" w:hAnsiTheme="minorBidi"/>
          <w:noProof/>
          <w:sz w:val="24"/>
          <w:szCs w:val="24"/>
          <w:lang w:val="en"/>
        </w:rPr>
        <w:t>Moreno et al. (2017</w:t>
      </w:r>
      <w:r w:rsidRPr="00840A1E">
        <w:rPr>
          <w:rFonts w:asciiTheme="minorBidi" w:hAnsiTheme="minorBidi"/>
          <w:sz w:val="24"/>
          <w:szCs w:val="24"/>
          <w:lang w:val="en"/>
        </w:rPr>
        <w:fldChar w:fldCharType="end"/>
      </w:r>
      <w:r w:rsidRPr="00840A1E">
        <w:rPr>
          <w:rFonts w:asciiTheme="minorBidi" w:hAnsiTheme="minorBidi"/>
          <w:sz w:val="24"/>
          <w:szCs w:val="24"/>
          <w:lang w:val="en"/>
        </w:rPr>
        <w:t xml:space="preserve">) also found that physicians within a primary care office are highly satisfied with the integration of pharmacists into team-based care in the primary healthcare setting.  </w:t>
      </w:r>
      <w:r w:rsidRPr="00840A1E">
        <w:rPr>
          <w:rFonts w:asciiTheme="minorBidi" w:hAnsiTheme="minorBidi"/>
          <w:sz w:val="24"/>
          <w:szCs w:val="24"/>
          <w:lang w:val="en"/>
        </w:rPr>
        <w:fldChar w:fldCharType="begin" w:fldLock="1"/>
      </w:r>
      <w:r w:rsidRPr="00840A1E">
        <w:rPr>
          <w:rFonts w:asciiTheme="minorBidi" w:hAnsiTheme="minorBidi"/>
          <w:sz w:val="24"/>
          <w:szCs w:val="24"/>
          <w:lang w:val="en"/>
        </w:rPr>
        <w:instrText>ADDIN CSL_CITATION {"citationItems":[{"id":"ITEM-1","itemData":{"DOI":"10.1016/j.japh.2017.06.018","ISSN":"15443450","abstract":"Background Improving medication management is an important component of comprehensive care coordination for health systems. The Managing Your Medication for Education and Daily Support (MyMeds) medication management program at the University of California Los Angeles addresses medication management issues by embedding trained clinical pharmacists in primary care practice teams. Objectives The aim of this work was to examine and explore physician opinions about the clinical pharmacist program and identify common themes among physician experiences as well as barriers to integration of clinical pharmacists into primary care practice teams. Methods We conducted a mixed quantitative–qualitative methods study consisting of a cross-sectional physician survey (n = 69) as well as semistructured one-on-one physician interviews (n = 13). Descriptive statistics were used to summarize survey responses, and standard qualitative content-analysis methods were used to identify major themes from the interviews. Results The survey response rate was 61%; 13 interviews were conducted. Ninety percent of survey respondents agreed or strongly agreed that having the pharmacist in the office makes management of the patient's medication more efficient, 93% agreed or strongly agreed that pharmacist recommendations are clinically helpful, 71% agreed or strongly agreed that having access to a pharmacist has increased their knowledge about medications they prescribe, and 75% agreed or strongly agreed that having a pharmacist as part of the primary care team has made their job easier. Qualitative interviews corroborated survey findings, and physicians highlighted the value of the clinical pharmacist's communication, team care and expanded roles, and medication management. Conclusion Primary care physicians valued the integrated pharmacy program highly, particularly its features of strong communication, expanded roles, and medication management. Pharmacists were viewed as integral members of the health care team.","author":[{"dropping-particle":"","family":"Moreno","given":"Gerardo","non-dropping-particle":"","parse-names":false,"suffix":""},{"dropping-particle":"","family":"Lonowski","given":"Sarah","non-dropping-particle":"","parse-names":false,"suffix":""},{"dropping-particle":"","family":"Fu","given":"Jeffrey","non-dropping-particle":"","parse-names":false,"suffix":""},{"dropping-particle":"","family":"Chon","given":"Janet S.","non-dropping-particle":"","parse-names":false,"suffix":""},{"dropping-particle":"","family":"Whitmire","given":"Natalie","non-dropping-particle":"","parse-names":false,"suffix":""},{"dropping-particle":"","family":"Vasquez","given":"Carolina","non-dropping-particle":"","parse-names":false,"suffix":""},{"dropping-particle":"","family":"Skootsky","given":"Samuel A.","non-dropping-particle":"","parse-names":false,"suffix":""},{"dropping-particle":"","family":"Bell","given":"Douglas S.","non-dropping-particle":"","parse-names":false,"suffix":""},{"dropping-particle":"","family":"Maranon","given":"Richard","non-dropping-particle":"","parse-names":false,"suffix":""},{"dropping-particle":"","family":"Mangione","given":"Carol M.","non-dropping-particle":"","parse-names":false,"suffix":""}],"container-title":"Journal of the American Pharmacists Association","id":"ITEM-1","issue":"6","issued":{"date-parts":[["2017"]]},"page":"686-691","publisher":"American Pharmacists Association®","title":"Physician experiences with clinical pharmacists in primary care teams","type":"article-journal","volume":"57"},"uris":["http://www.mendeley.com/documents/?uuid=c616567c-4385-4a1a-ba6a-5b1dac03d077"]}],"mendeley":{"formattedCitation":"(Moreno &lt;i&gt;et al.&lt;/i&gt;, 2017)","manualFormatting":"Moreno et al. (2017","plainTextFormattedCitation":"(Moreno et al., 2017)","previouslyFormattedCitation":"(Moreno &lt;i&gt;et al.&lt;/i&gt;, 2017)"},"properties":{"noteIndex":0},"schema":"https://github.com/citation-style-language/schema/raw/master/csl-citation.json"}</w:instrText>
      </w:r>
      <w:r w:rsidRPr="00840A1E">
        <w:rPr>
          <w:rFonts w:asciiTheme="minorBidi" w:hAnsiTheme="minorBidi"/>
          <w:sz w:val="24"/>
          <w:szCs w:val="24"/>
          <w:lang w:val="en"/>
        </w:rPr>
        <w:fldChar w:fldCharType="separate"/>
      </w:r>
      <w:r w:rsidRPr="00840A1E">
        <w:rPr>
          <w:rFonts w:asciiTheme="minorBidi" w:hAnsiTheme="minorBidi"/>
          <w:noProof/>
          <w:sz w:val="24"/>
          <w:szCs w:val="24"/>
          <w:lang w:val="en"/>
        </w:rPr>
        <w:t>Moreno et al. (2017</w:t>
      </w:r>
      <w:r w:rsidRPr="00840A1E">
        <w:rPr>
          <w:rFonts w:asciiTheme="minorBidi" w:hAnsiTheme="minorBidi"/>
          <w:sz w:val="24"/>
          <w:szCs w:val="24"/>
          <w:lang w:val="en"/>
        </w:rPr>
        <w:fldChar w:fldCharType="end"/>
      </w:r>
      <w:r w:rsidRPr="00840A1E">
        <w:rPr>
          <w:rFonts w:asciiTheme="minorBidi" w:hAnsiTheme="minorBidi"/>
          <w:sz w:val="24"/>
          <w:szCs w:val="24"/>
          <w:lang w:val="en"/>
        </w:rPr>
        <w:t xml:space="preserve">), </w:t>
      </w:r>
      <w:r w:rsidRPr="00840A1E">
        <w:rPr>
          <w:rFonts w:asciiTheme="minorBidi" w:hAnsiTheme="minorBidi"/>
          <w:sz w:val="24"/>
          <w:szCs w:val="24"/>
          <w:lang w:val="en-GB"/>
        </w:rPr>
        <w:t xml:space="preserve">therefore, suggested it might be suitable for pharmacists to lead routine medication reviews that may </w:t>
      </w:r>
      <w:r w:rsidRPr="00840A1E">
        <w:rPr>
          <w:rFonts w:asciiTheme="minorBidi" w:hAnsiTheme="minorBidi"/>
          <w:sz w:val="24"/>
          <w:szCs w:val="24"/>
          <w:lang w:val="en"/>
        </w:rPr>
        <w:t>help to alleviate the workload for</w:t>
      </w:r>
      <w:r w:rsidRPr="00840A1E">
        <w:rPr>
          <w:rFonts w:asciiTheme="minorBidi" w:hAnsiTheme="minorBidi"/>
          <w:sz w:val="24"/>
          <w:szCs w:val="24"/>
          <w:lang w:val="en-GB"/>
        </w:rPr>
        <w:t xml:space="preserve"> GPs </w:t>
      </w:r>
      <w:r w:rsidRPr="00840A1E">
        <w:rPr>
          <w:rFonts w:asciiTheme="minorBidi" w:hAnsiTheme="minorBidi"/>
          <w:sz w:val="24"/>
          <w:szCs w:val="24"/>
          <w:lang w:val="en"/>
        </w:rPr>
        <w:t>to allow for more time for patient care activities</w:t>
      </w:r>
      <w:r w:rsidRPr="00840A1E">
        <w:rPr>
          <w:rFonts w:asciiTheme="minorBidi" w:hAnsiTheme="minorBidi"/>
          <w:sz w:val="24"/>
          <w:szCs w:val="24"/>
          <w:lang w:val="en-GB"/>
        </w:rPr>
        <w:t xml:space="preserve"> and to deal with acute cases.</w:t>
      </w:r>
    </w:p>
    <w:p w14:paraId="0D013F89" w14:textId="77777777" w:rsidR="00610EEE" w:rsidRPr="00840A1E" w:rsidRDefault="00610EEE" w:rsidP="00610EEE">
      <w:pPr>
        <w:shd w:val="clear" w:color="auto" w:fill="FFFFFF"/>
        <w:spacing w:line="360" w:lineRule="auto"/>
        <w:jc w:val="both"/>
        <w:rPr>
          <w:lang w:val="en"/>
        </w:rPr>
      </w:pPr>
      <w:r w:rsidRPr="00840A1E">
        <w:rPr>
          <w:rFonts w:asciiTheme="minorBidi" w:hAnsiTheme="minorBidi"/>
          <w:sz w:val="24"/>
          <w:szCs w:val="24"/>
          <w:lang w:val="en"/>
        </w:rPr>
        <w:t>Saving in overall expenditure on both primary and secondary health care is another crucial outcome has been identified of integration pharmacists into primary care (Hayhoe et al., 2019 and Moreno et al., 2017). A reduced overall cost by optimising prescribing and saving the wastages of medications by improving patients’ adherence to medications, as shown by Moreno et al., 2017, and cost reductions based on decreases in emergency department use as found by Hayhoe et al., 2019.</w:t>
      </w:r>
    </w:p>
    <w:p w14:paraId="03EF19AE" w14:textId="77777777" w:rsidR="00610EEE" w:rsidRDefault="00610EEE" w:rsidP="00610EEE">
      <w:pPr>
        <w:autoSpaceDE w:val="0"/>
        <w:autoSpaceDN w:val="0"/>
        <w:adjustRightInd w:val="0"/>
        <w:spacing w:line="360" w:lineRule="auto"/>
        <w:jc w:val="both"/>
        <w:rPr>
          <w:rFonts w:asciiTheme="minorBidi" w:hAnsiTheme="minorBidi"/>
          <w:sz w:val="24"/>
          <w:szCs w:val="24"/>
          <w:lang w:val="en"/>
        </w:rPr>
      </w:pPr>
      <w:r w:rsidRPr="00AE0FEC">
        <w:rPr>
          <w:rFonts w:asciiTheme="minorBidi" w:hAnsiTheme="minorBidi"/>
          <w:sz w:val="24"/>
          <w:szCs w:val="24"/>
          <w:lang w:val="en"/>
        </w:rPr>
        <w:t>Many other published studies</w:t>
      </w:r>
      <w:r>
        <w:rPr>
          <w:rFonts w:asciiTheme="minorBidi" w:hAnsiTheme="minorBidi"/>
          <w:sz w:val="24"/>
          <w:szCs w:val="24"/>
          <w:lang w:val="en"/>
        </w:rPr>
        <w:t xml:space="preserve"> </w:t>
      </w:r>
      <w:r w:rsidRPr="00DF1E38">
        <w:rPr>
          <w:rFonts w:asciiTheme="minorBidi" w:hAnsiTheme="minorBidi"/>
          <w:sz w:val="24"/>
          <w:szCs w:val="24"/>
          <w:lang w:val="en"/>
        </w:rPr>
        <w:t>describe the role of the pharmacist and the impacts of their interventions in primary healthcare settings. For instance, the ‘medication reviews’ was the most common type of intervention in Bush et al., 2018 study, who conducted a retrospective study to evaluate the activity of clinical pharmacists in general practice in Dudley Clinical Commissioning Group (CCG), a UK primary care organi</w:t>
      </w:r>
      <w:r>
        <w:rPr>
          <w:rFonts w:asciiTheme="minorBidi" w:hAnsiTheme="minorBidi"/>
          <w:sz w:val="24"/>
          <w:szCs w:val="24"/>
          <w:lang w:val="en"/>
        </w:rPr>
        <w:t>s</w:t>
      </w:r>
      <w:r w:rsidRPr="00DF1E38">
        <w:rPr>
          <w:rFonts w:asciiTheme="minorBidi" w:hAnsiTheme="minorBidi"/>
          <w:sz w:val="24"/>
          <w:szCs w:val="24"/>
          <w:lang w:val="en"/>
        </w:rPr>
        <w:t xml:space="preserve">ation. Bush et al., 2018 found that using clinical pharmacists in general practice was saving the CCG over £1 million within nine months, with an annual financial saving of approximately £1.5 million. Moreover, clinical pharmacists saved GPs' time by reducing the number of GPs' appointments plus hours that GPs dedicate to medication reviews and management of refill prescribing/prescriptions </w:t>
      </w:r>
      <w:r>
        <w:rPr>
          <w:rFonts w:asciiTheme="minorBidi" w:hAnsiTheme="minorBidi"/>
          <w:sz w:val="24"/>
          <w:szCs w:val="24"/>
          <w:lang w:val="en"/>
        </w:rPr>
        <w:fldChar w:fldCharType="begin" w:fldLock="1"/>
      </w:r>
      <w:r>
        <w:rPr>
          <w:rFonts w:asciiTheme="minorBidi" w:hAnsiTheme="minorBidi"/>
          <w:sz w:val="24"/>
          <w:szCs w:val="24"/>
          <w:lang w:val="en"/>
        </w:rPr>
        <w:instrText>ADDIN CSL_CITATION {"citationItems":[{"id":"ITEM-1","itemData":{"DOI":"10.1111/ijpp.12426","ISSN":"20427174","abstract":"We investigated whether aging affects several components of how people select items for study during multitrial learning. Younger and older adults studied paired-associate items and then made delayed judgments of learning (JOLs). Immediately after making a JOL for an item, some participants decided whether to restudy the item on sub sequent trials; for other participants, the computer selected for restudy the items that had been judged as least- well learned. Next, paired-associate recall occurred, which was followed by restudy-test trials. As expected, age differences occurred in recall on the first trial, and this difference was propagated across trials. In contrast to the hypothesis that older adults would be more conservative in selecting items, both age groups selected to restudy (a) the items that they had rated as least-well learned and (b) the majority of items that would not be recalled on the first trial. Comparisons between participants who self- selected items vs the groups in which the computer controlled selection also converged on the conclusion of age equivalence in processes underlying item selection.","author":[{"dropping-particle":"","family":"Bush","given":"Joseph","non-dropping-particle":"","parse-names":false,"suffix":""},{"dropping-particle":"","family":"Langley","given":"Christopher A.","non-dropping-particle":"","parse-names":false,"suffix":""},{"dropping-particle":"","family":"Jenkins","given":"Duncan","non-dropping-particle":"","parse-names":false,"suffix":""},{"dropping-particle":"","family":"Johal","given":"Jaspal","non-dropping-particle":"","parse-names":false,"suffix":""},{"dropping-particle":"","family":"Huckerby","given":"Clair","non-dropping-particle":"","parse-names":false,"suffix":""}],"container-title":"International Journal of Pharmacy Practice","id":"ITEM-1","issue":"6","issued":{"date-parts":[["2018"]]},"note":"From Duplicate 1 (Clinical pharmacists in general practice: an initial evaluation of activity in one English primary care organisation - Bush, Joseph; Langley, Christopher A.; Jenkins, Duncan; Johal, Jaspal; Huckerby, Clair)\n\nFrom Duplicate 1 (Clinical pharmacists in general practice: an initial evaluation of activity in one English primary care organisation - Bush, J; Langley, C A; Jenkins, D; Johal, J; Huckerby, C)\n\nCited By :3\n\nExport Date: 19 June 2019","page":"501-506","title":"Clinical pharmacists in general practice: an initial evaluation of activity in one English primary care organisation","type":"article-journal","volume":"26"},"uris":["http://www.mendeley.com/documents/?uuid=e61afa17-48be-4967-9ac8-ff68f721cf38"]}],"mendeley":{"formattedCitation":"(Bush &lt;i&gt;et al.&lt;/i&gt;, 2018)","plainTextFormattedCitation":"(Bush et al., 2018)","previouslyFormattedCitation":"(Bush &lt;i&gt;et al.&lt;/i&gt;, 2018)"},"properties":{"noteIndex":0},"schema":"https://github.com/citation-style-language/schema/raw/master/csl-citation.json"}</w:instrText>
      </w:r>
      <w:r>
        <w:rPr>
          <w:rFonts w:asciiTheme="minorBidi" w:hAnsiTheme="minorBidi"/>
          <w:sz w:val="24"/>
          <w:szCs w:val="24"/>
          <w:lang w:val="en"/>
        </w:rPr>
        <w:fldChar w:fldCharType="separate"/>
      </w:r>
      <w:r w:rsidRPr="00F43FF1">
        <w:rPr>
          <w:rFonts w:asciiTheme="minorBidi" w:hAnsiTheme="minorBidi"/>
          <w:noProof/>
          <w:sz w:val="24"/>
          <w:szCs w:val="24"/>
          <w:lang w:val="en"/>
        </w:rPr>
        <w:t xml:space="preserve">(Bush </w:t>
      </w:r>
      <w:r w:rsidRPr="00F43FF1">
        <w:rPr>
          <w:rFonts w:asciiTheme="minorBidi" w:hAnsiTheme="minorBidi"/>
          <w:i/>
          <w:noProof/>
          <w:sz w:val="24"/>
          <w:szCs w:val="24"/>
          <w:lang w:val="en"/>
        </w:rPr>
        <w:t>et al.</w:t>
      </w:r>
      <w:r w:rsidRPr="00F43FF1">
        <w:rPr>
          <w:rFonts w:asciiTheme="minorBidi" w:hAnsiTheme="minorBidi"/>
          <w:noProof/>
          <w:sz w:val="24"/>
          <w:szCs w:val="24"/>
          <w:lang w:val="en"/>
        </w:rPr>
        <w:t>, 2018)</w:t>
      </w:r>
      <w:r>
        <w:rPr>
          <w:rFonts w:asciiTheme="minorBidi" w:hAnsiTheme="minorBidi"/>
          <w:sz w:val="24"/>
          <w:szCs w:val="24"/>
          <w:lang w:val="en"/>
        </w:rPr>
        <w:fldChar w:fldCharType="end"/>
      </w:r>
      <w:r>
        <w:rPr>
          <w:rFonts w:asciiTheme="minorBidi" w:hAnsiTheme="minorBidi"/>
          <w:sz w:val="24"/>
          <w:szCs w:val="24"/>
          <w:lang w:val="en"/>
        </w:rPr>
        <w:t>.</w:t>
      </w:r>
      <w:r w:rsidRPr="00DF1E38">
        <w:rPr>
          <w:rFonts w:asciiTheme="minorBidi" w:hAnsiTheme="minorBidi"/>
          <w:sz w:val="24"/>
          <w:szCs w:val="24"/>
          <w:lang w:val="en"/>
        </w:rPr>
        <w:t xml:space="preserve"> This study, therefore, highlighted the importance of resource allocation, showing that pharmacists can deliver clinical interventions efficiently which could lead to promoting patient care, improve health services, and save GPs' time to manage new and acute cases.</w:t>
      </w:r>
    </w:p>
    <w:p w14:paraId="06B8D074" w14:textId="77777777" w:rsidR="00610EEE" w:rsidRDefault="00610EEE" w:rsidP="00610EEE">
      <w:pPr>
        <w:autoSpaceDE w:val="0"/>
        <w:autoSpaceDN w:val="0"/>
        <w:adjustRightInd w:val="0"/>
        <w:spacing w:line="360" w:lineRule="auto"/>
        <w:jc w:val="both"/>
        <w:rPr>
          <w:rFonts w:asciiTheme="minorBidi" w:hAnsiTheme="minorBidi"/>
          <w:sz w:val="24"/>
          <w:szCs w:val="24"/>
          <w:lang w:val="en"/>
        </w:rPr>
      </w:pPr>
      <w:r w:rsidRPr="00197F14">
        <w:rPr>
          <w:rFonts w:asciiTheme="minorBidi" w:hAnsiTheme="minorBidi"/>
          <w:sz w:val="24"/>
          <w:szCs w:val="24"/>
          <w:lang w:val="en"/>
        </w:rPr>
        <w:t xml:space="preserve">A study by Benson et al., 2018, is another example that identified positive outcomes associated with pharmacists' interventions in primary care settings. It has been shown that pharmacists can enhance medication safety programmes </w:t>
      </w:r>
      <w:r>
        <w:rPr>
          <w:rFonts w:asciiTheme="minorBidi" w:hAnsiTheme="minorBidi"/>
          <w:sz w:val="24"/>
          <w:szCs w:val="24"/>
          <w:lang w:val="en"/>
        </w:rPr>
        <w:t xml:space="preserve"> </w:t>
      </w:r>
      <w:r>
        <w:rPr>
          <w:rFonts w:asciiTheme="minorBidi" w:hAnsiTheme="minorBidi"/>
          <w:sz w:val="24"/>
          <w:szCs w:val="24"/>
          <w:lang w:val="en"/>
        </w:rPr>
        <w:fldChar w:fldCharType="begin" w:fldLock="1"/>
      </w:r>
      <w:r>
        <w:rPr>
          <w:rFonts w:asciiTheme="minorBidi" w:hAnsiTheme="minorBidi"/>
          <w:sz w:val="24"/>
          <w:szCs w:val="24"/>
          <w:lang w:val="en"/>
        </w:rPr>
        <w:instrText>ADDIN CSL_CITATION {"citationItems":[{"id":"ITEM-1","itemData":{"DOI":"10.1007/s11096-018-0617-9","ISSN":"1086-5802","abstract":"Background: Clinical guidelines derived from scientific evidence provide the basis of consistent standardized prescribing. Despite an alarming increase of diabetes in Kuwait, no studies related to the quality of prescribing in diabetes were found. Before pharmaceutical care can be implemented to improve the quality of care of patients with diabetes, it is important to determine whether prescribers are compliant with comprehensive international guidelines for cardioprevention and glycaemic control.Objective: To evaluate the adherence to clinical guidelines for treating patients with type 2 diabetes mellitus in primary care centres and secondary care centres (hospitals) using a developed and validated medication assessment tool with reference to international guidelines.Setting: Outpatient diabetes clinics in 8 primary care centres and 4 secondary care centres across four healthcare regions in Kuwait.Method: A quantitative, cross-sectional study involving a sample of 652 Kuwaiti patients with type 2 diabetes, who were selected using systematic sampling from the study settings. Data were collected retrospectively from the patients' medical records using a validated 43-criterion medication assessment tool (MATKW) designed to assess cardioprevention and treatment in patients with type 2 diabetes. Descriptive and comparative analysis was conducted using SPSS version 17.Main Outcome Measure: Frequency of prescribing adherence to agreed definitions of criteria derived from international guidelines.Results: Overall adherence to prescribing diabetes guidelines was 77.7 % (95 % CI 76.7-78.6 %). Significantly higher prescribing adherence was found in the secondary care facilities, 82.4 % (95 % CI 81.2-83.6 %) compared to primary care 72.5 % (95 % CI 71.0-73.9 %) (p &lt; 0.001). Nineteen criteria out of 43 achieved an adherence &gt;80 % in secondary care compared to ten criteria in primary care. The documentation of patients' records was found to be inconsistent at the study healthcare facilities. Nonoptimal achievement of target goals for HbA1c, blood pressure and BMI was prevalent among the study population.Conclusion: A tool such as MATKW highlights areas for review and possible improvement in prescribing adherence. Our findings reveal problem areas in prescribing practices and documentation of patients' records. Cost-effective multifaceted interventions are needed to improve current prescribing practices and documentation.","author":[{"dropping-particle":"","family":"Benson","given":"H","non-dropping-particle":"","parse-names":false,"suffix":""},{"dropping-particle":"","family":"Lucas","given":"C","non-dropping-particle":"","parse-names":false,"suffix":""},{"dropping-particle":"","family":"Kmet","given":"W","non-dropping-particle":"","parse-names":false,"suffix":""},{"dropping-particle":"","family":"Benrimoj","given":"S I","non-dropping-particle":"","parse-names":false,"suffix":""},{"dropping-particle":"","family":"Williams","given":"K","non-dropping-particle":"","parse-names":false,"suffix":""}],"container-title":"International Journal of Clinical Pharmacy","id":"ITEM-1","issue":"1","issued":{"date-parts":[["2018","4"]]},"note":"From Duplicate 1 (Pharmacists in general practice: a focus on drug-related problems - Benson, H; Lucas, C; Kmet, W; Benrimoj, S I; Williams, K)\n\nFrom Duplicate 1 (Pharmacists in general practice: a focus on drug-related problems - Benson, H; Lucas, C; Kmet, W; Benrimoj, S I; Williams, K; Abdulrhim, Sara Hamdi; Saleh, Rana Ahmed; Mohamed Hussain, Mohamed Abdelazim; Al Raey, Hend; Babiker, Ahmed Hussein; Kheir, Nadir; Awaisu, Ahmed; Anton Torres, R; Murcia Lopez, A; Borras Blasco, J; Navarro Gracia, J F; Navarro Ruiz, A; Gonzalez Delgado, M; Aparasu, R R; Baars, Erik W; Kooreman, Peter; Bajcar, Jana M; Kennie, Natalie; Einarson, Thomas R; Blondal, Anna Bryndis; Sporrong, Sofia Kalvemark; Almarsdottir, Anna Birna; Kolar, G R; Al-Taweel, Dalal M; Awad, Abdelmoneim I; Johnson, B Julienne; Dent, Larry A; Stratton, Timothy P; Cochran, Gayle A; Singhal, Puneet K; Gupchup, Gireesh V; Raisch, Dennis W; Schommer, Jon C; Holdsworth, Mark T; Solomon, D K; Portner, T S; Bass, G E; Gourley, D R; Gourley, G A; Holt, J M; Wicke, W R; Braden, R L; Eberle, T N; Self, T H; Lawrence, B L; Portner, T S; Gourley, D R; Rigolosi, E L; Holt, J M; Solomon, D K; Bass, G E; Wicke, W R; Braden, R L; Portner, T S; Bass, G E; Gourley, D R; Gourley, G A; Holt, J M; Wicke, W R; Braden, R L; Eberle, T N; Self, T H; Lawrence, B L; Portner, T S; Gourley, D R; Rigolosi, E L; Holt, J M; Solomon, D K; Bass, G E; Wicke, W R; Braden, R L; Hussein, R N; Ibrahim, O M; Krzyżaniak, N; Pawłowska, I; Pawłowski, L; Kocić, I; Bajorek, B; Lee, H; Song, I; Shin, S M; Jeong, H E; Lee, E.-K.; Shin, J.-Y.; Frisk, P; Holtendal, C; Bastholm-Rahmner, P; Sporrong, Sofia Kalvemark; Bradley, K D; Schumacher, C; Borchert, J S; Kliethermes, M A; Anderson, D K; Megías-Vericat, J E; Monte-Boquet, E; Martín-Cerezuela, M; Cuéllar-Monreal, M J; Tarazona-Casany, M V; Pérez-Huertas, P; Bonanad, S; Poveda-Andrés, J L; Abdulameer, S A; Griese-Mammen, N; Hersberger, K E; Messerli, M; Leikola, S; Horvat, N; van Mil, J W F; Kos, M; Stewart, D; Gibson-Smith, K; Cunningham, S; Pfleger, S; Rushworth, G; Irons, B K; Edwards, K L; Chastain, L M; Black, R L; Brown, C D; Seifert, C F; Feng, S; Guo, J; Lu, Y; Kruse, R C; Li, Z; Prideaux, C C; Brown, A W; Shim, Y W; Chua, S S; Wong, H C; Alwi, S; Benson, H; Lucas, C; Kmet, W; Benrimoj, S I; Williams, K; Sousa, S.R.A.E.; Shoemaker, S J; do Nascimento, M M G; Costa, M S; Ramalho de Oliveira, D; Hazen, A; de Groot, E; de Gier, H; Damoiseaux, R; Zwart, D; Leendertse, A; Tahaineh, L M; Khasawneh, A H; Bech, C F; Frederiksen, T; Villesen, C T; Højsted, J; Nielsen, P R; Kjeldsen, L J; Nørgaard, L S; Christrup, L L; Oboh, L; Leon, C; Qadir, S; Smith, F; Francis, S.-A.; El Hajj, M S; Abu Yousef, S E; Basri, M A; Fegadolli, C; Cavaco, A M; Fonseca, D C)\n\nFrom Duplicate 1 (Pharmacists in general practice: a focus on drug-related problems - Abdulrhim, Sara Hamdi; Saleh, Rana Ahmed; Mohamed Hussain, Mohamed Abdelazim; Al Raey, Hend; Babiker, Ahmed Hussein; Kheir, Nadir; Awaisu, Ahmed; Anton Torres, R; Murcia Lopez, A; Borras Blasco, J; Navarro Gracia, J F; Navarro Ruiz, A; Gonzalez Delgado, M; Aparasu, R R; Baars, Erik W; Kooreman, Peter; Bajcar, Jana M; Kennie, Natalie; Einarson, Thomas R; Blondal, Anna Bryndis; Sporrong, Sofia Kalvemark; Almarsdottir, Anna Birna; Kolar, G R; Al-Taweel, Dalal M; Awad, Abdelmoneim I; Johnson, B Julienne; Dent, Larry A; Stratton, Timothy P; Cochran, Gayle A; Singhal, Puneet K; Gupchup, Gireesh V; Raisch, Dennis W; Schommer, Jon C; Holdsworth, Mark T; Solomon, D K; Portner, T S; Bass, G E; Gourley, D R; Gourley, G A; Holt, J M; Wicke, W R; Braden, R L; Eberle, T N; Self, T H; Lawrence, B L; Portner, T S; Gourley, D R; Rigolosi, E L; Holt, J M; Solomon, D K; Bass, G E; Wicke, W R; Braden, R L; Portner, T S; Bass, G E; Gourley, D R; Gourley, G A; Holt, J M; Wicke, W R; Braden, R L; Eberle, T N; Self, T H; Lawrence, B L; Portner, T S; Gourley, D R; Rigolosi, E L; Holt, J M; Solomon, D K; Bass, G E; Wicke, W R; Braden, R L; Hussein, R N; Ibrahim, O M; Krzyżaniak, N; Pawłowska, I; Pawłowski, L; Kocić, I; Bajorek, B; Lee, H; Song, I; Shin, S M; Jeong, H E; Lee, E.-K.; Shin, J.-Y.; Frisk, P; Holtendal, C; Bastholm-Rahmner, P; Sporrong, Sofia Kalvemark; Bradley, K D; Schumacher, C; Borchert, J S; Kliethermes, M A; Anderson, D K; Megías-Vericat, J E; Monte-Boquet, E; Martín-Cerezuela, M; Cuéllar-Monreal, M J; Tarazona-Casany, M V; Pérez-Huertas, P; Bonanad, S; Poveda-Andrés, J L; Abdulameer, S A; Griese-Mammen, N; Hersberger, K E; Messerli, M; Leikola, S; Horvat, N; van Mil, J W F; Kos, M; Stewart, D; Gibson-Smith, K; Cunningham, S; Pfleger, S; Rushworth, G; Irons, B K; Edwards, K L; Chastain, L M; Black, R L; Brown, C D; Seifert, C F; Feng, S; Guo, J; Lu, Y; Kruse, R C; Li, Z; Prideaux, C C; Brown, A W; Shim, Y W; Chua, S S; Wong, H C; Alwi, S; Benson, H; Lucas, C; Kmet, W; Benrimoj, S I; Williams, K; Sousa, S.R.A.E.; Shoemaker, S J; do Nascimento, M M G; Costa, M S; Ramalho de Oliveira, D; Hazen, A; de Groot, E; de Gier, H; Damoiseaux, R; Zwart, D; Leendertse, A; Tahaineh, L M; Khasawneh, A H; Bech, C F; Frederiksen, T; Villesen, C T; Højsted, J; Nielsen, P R; Kjeldsen, L J; Nørgaard, L S; Christrup, L L; Oboh, L; Leon, C; Qadir, S; Smith, F; Francis, S.-A.; El Hajj, M S; Abu Yousef, S E; Basri, M A; Fegadolli, C; Cavaco, A M; Fonseca, D C)\n\nFrom Duplicate 1 (Revisiting concepts, attitudes and expectations of Brazilian pharmacists to the practice of pharmaceutical care: A qualitative perspective - Fegadolli, C; Cavaco, A M; Fonseca, D C)\nAnd Duplicate 3 (Frail older people with multi-morbidities in primary care: a new integrated care clinical pharmacy service - Oboh, L; Leon, C; Qadir, S; Smith, F; Francis, S.-A.)\nAnd Duplicate 4 (Healthcare professionals’ agreement on clinical relevance of drug-related problems among elderly patients - Bech, C F; Frederiksen, T; Villesen, C T; Højsted, J; Nielsen, P R; Kjeldsen, L J; Nørgaard, L S; Christrup, L L)\nAnd Duplicate 9 (Collaborative intervention between pharmacists and physicians on elderly patients: A randomized controlled trial - Shim, Y W; Chua, S S; Wong, H C; Alwi, S)\nAnd Duplicate 10 (Pharmacologic Treatment for Depression at Injury Is Associated With Fewer Clinician Visits for Persistent Symptoms After Mild Traumatic Brain Injury: A Medical Record Review Study - Kruse, R C; Li, Z; Prideaux, C C; Brown, A W)\nAnd Duplicate 11 (Pharmaceutical practice and value of pharmacists under the new medical reform situation - Feng, S; Guo, J; Lu, Y)\nAnd Duplicate 12 (Assessment of a didactic ambulatory care pharmacy elective on student perceptions and subsequent performance in an ambulatory care advanced pharmacy practice experience - Irons, B K; Edwards, K L; Chastain, L M; Black, R L; Brown, C D; Seifert, C F)\nAnd Duplicate 13 (A qualitative study of the perspectives of older people in remote Scotland on accessibility to healthcare, medicines and medicines-taking - Stewart, D; Gibson-Smith, K; Cunningham, S; Pfleger, S; Rushworth, G)\nAnd Duplicate 16 (Pilot evaluation of home delivery programme in haemophilia - Megías-Vericat, J E; Monte-Boquet, E; Martín-Cerezuela, M; Cuéllar-Monreal, M J; Tarazona-Casany, M V; Pérez-Huertas, P; Bonanad, S; Poveda-Andrés, J L)\nAnd Duplicate 17 (Validity and reliability pilot study of a tool for assessing ambulatory care pharmacist practice - Bradley, K D; Schumacher, C; Borchert, J S; Kliethermes, M A; Anderson, D K)\nAnd Duplicate 18 (Competence, competition and collaboration: Perceived challenges among Swedish community pharmacists engaging in pharmaceutical services provision and research - Frisk, P; Holtendal, C; Bastholm-Rahmner, P; Sporrong, S K)\nAnd Duplicate 19 (Regulatory effect of decreasing therapeutic duplication of respiratory drugs using a prescription database between 2012 and 2015 - Lee, H; Song, I; Shin, S M; Jeong, H E; Lee, E.-K.; Shin, J.-Y.)\nAnd Duplicate 20 (Pharmaceutical care in the neonatal intensive care unit: Perspectives of Polish medical and pharmacy students - Krzyżaniak, N; Pawłowska, I; Pawłowski, L; Kocić, I; Bajorek, B)\nAnd Duplicate 21 (Assessment of treatment-related problems and associated factors among hospitalized patients in the United Arab Emirates: a retrospective study - Hussein, R N; Ibrahim, O M)\n\nExport Date: 12 June 2019\n\nFrom Duplicate 2 (Diabetes care in Qatar: a survey of pharmacists’ activities, attitudes and knowledge - El Hajj, M S; Abu Yousef, S E; Basri, M A)\nAnd Duplicate 14 (PCNE definition of medication review: reaching agreement - Griese-Mammen, N; Hersberger, K E; Messerli, M; Leikola, S; Horvat, N; van Mil, J W F; Kos, M)\n\nCited By :4\n\nExport Date: 12 June 2019\n\nFrom Duplicate 5 (A randomised control trial to evaluate the clinical pharmacist's role in managing iron deficiency anaemia patients - Tahaineh, L M; Khasawneh, A H)\nAnd Duplicate 7 (Development and validation of a logic model for comprehensive medication management services - Sousa, S.R.A.E.; Shoemaker, S J; do Nascimento, M M G; Costa, M S; Ramalho de Oliveira, D)\nAnd Duplicate 15 (A cross-sectional pilot study to investigate diabetic knowledge and pharmaceutical care practice among registered and unregistered pharmacists in Iraq - Abdulameer, S A)\n\nCited By :1\n\nExport Date: 12 June 2019\n\nFrom Duplicate 6 (Design of a 15-month interprofessional workplace learning program to expand the added value of clinical pharmacists in primary care - Hazen, A; de Groot, E; de Gier, H; Damoiseaux, R; Zwart, D; Leendertse, A)\nAnd Duplicate 8 (Pharmacists in general practice: a focus on drug-related problems - Benson, H; Lucas, C; Kmet, W; Benrimoj, S I; Williams, K)\n\nCited By :2\n\nExport Date: 12 June 2019\n\nFrom Duplicate 25 (Evaluation of adherence to international guidelines for treating patients with type 2 diabetes mellitus in Kuwait. - Al-Taweel, Dalal M; Awad, Abdelmoneim I; Johnson, B Julienne)\n\nAccession Number: 104265261. Language: English. Entry Date: 20131004. Revision Date: 20171105. Publication Type: journal article; research. Journal Subset: Biomedical; Continental Europe; Europe. NLM UID: 101554912.\n\nFrom Duplicate 27 (ASHP accreditation standard for residency in pharmacy practice (with an emphasis on pharmaceutical care) - Abdulrhim, Sara Hamdi; Saleh, Rana Ahmed; Mohamed Hussain, Mohamed Abdelazim; Al Raey, Hend; Babiker, Ahmed Hussein; Kheir, Nadir; Awaisu, Ahmed; Anton Torres, R; Murcia Lopez, A; Borras Blasco, J; Navarro Gracia, J F; Navarro Ruiz, A; Gonzalez Delgado, M; Aparasu, R R; Baars, Erik W; Kooreman, Peter; Bajcar, Jana M; Kennie, Natalie; Einarson, Thomas R; Blondal, Anna Bryndis; Sporrong, Sofia Kalvemark; Almarsdottir, Anna Birna)\n\nFrom Duplicate 12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M)\nAnd Duplicate 13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M)\nAnd Duplicate 14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M)\n\nNavarro Ruiz, Andres/0000-0001-7009-280X\n\nFrom Duplicate 2 (Pharmacists in general practice: a focus on drug-related problems - Benson, H; Lucas, C; Kmet, W; Benrimoj, S I; Williams, K)\n\nCited By :2\n\nExport Date: 12 June 2019\n\nFrom Duplicate 2 (Pharmacists in general practice: a focus on drug-related problems - Abdulrhim, Sara Hamdi; Saleh, Rana Ahmed; Mohamed Hussain, Mohamed Abdelazim; Al Raey, Hend; Babiker, Ahmed Hussein; Kheir, Nadir; Awaisu, Ahmed; Anton Torres, R; Murcia Lopez, A; Borras Blasco, J; Navarro Gracia, J F; Navarro Ruiz, A; Gonzalez Delgado, M; Aparasu, R R; Baars, Erik W; Kooreman, Peter; Bajcar, Jana M; Kennie, Natalie; Einarson, Thomas R; Blondal, Anna Bryndis; Sporrong, Sofia Kalvemark; Almarsdottir, Anna Birna; Kolar, G R; Al-Taweel, Dalal M; Awad, Abdelmoneim I; Johnson, B Julienne; Dent, Larry A; Stratton, Timothy P; Cochran, Gayle A; Singhal, Puneet K; Gupchup, Gireesh V; Raisch, Dennis W; Schommer, Jon C; Holdsworth, Mark T; Solomon, D K; Portner, T S; Bass, G E; Gourley, D R; Gourley, G A; Holt, J M; Wicke, W R; Braden, R L; Eberle, T N; Self, T H; Lawrence, B L; Portner, T S; Gourley, D R; Rigolosi, E L; Holt, J M; Solomon, D K; Bass, G E; Wicke, W R; Braden, R L; Portner, T S; Bass, G E; Gourley, D R; Gourley, G A; Holt, J M; Wicke, W R; Braden, R L; Eberle, T N; Self, T H; Lawrence, B L; Portner, T S; Gourley, D R; Rigolosi, E L; Holt, J M; Solomon, D K; Bass, G E; Wicke, W R; Braden, R L; Hussein, R N; Ibrahim, O M; Krzyżaniak, N; Pawłowska, I; Pawłowski, L; Kocić, I; Bajorek, B; Lee, H; Song, I; Shin, S M; Jeong, H E; Lee, E.-K.; Shin, J.-Y.; Frisk, P; Holtendal, C; Bastholm-Rahmner, P; Sporrong, Sofia Kalvemark; Bradley, K D; Schumacher, C; Borchert, J S; Kliethermes, M A; Anderson, D K; Megías-Vericat, J E; Monte-Boquet, E; Martín-Cerezuela, M; Cuéllar-Monreal, M J; Tarazona-Casany, M V; Pérez-Huertas, P; Bonanad, S; Poveda-Andrés, J L; Abdulameer, S A; Griese-Mammen, N; Hersberger, K E; Messerli, M; Leikola, S; Horvat, N; van Mil, J W F; Kos, M; Stewart, D; Gibson-Smith, K; Cunningham, S; Pfleger, S; Rushworth, G; Irons, B K; Edwards, K L; Chastain, L M; Black, R L; Brown, C D; Seifert, C F; Feng, S; Guo, J; Lu, Y; Kruse, R C; Li, Z; Prideaux, C C; Brown, A W; Shim, Y W; Chua, S S; Wong, H C; Alwi, S; Benson, H; Lucas, C; Kmet, W; Benrimoj, S I; Williams, K; Sousa, S.R.A.E.; Shoemaker, S J; do Nascimento, M M G; Costa, M S; Ramalho de Oliveira, D; Hazen, A; de Groot, E; de Gier, H; Damoiseaux, R; Zwart, D; Leendertse, A; Tahaineh, L M; Khasawneh, A H; Bech, C F; Frederiksen, T; Villesen, C T; Højsted, J; Nielsen, P R; Kjeldsen, L J; Nørgaard, L S; Christrup, L L; Oboh, L; Leon, C; Qadir, S; Smith, F; Francis, S.-A.; El Hajj, M S; Abu Yousef, S E; Basri, M A; Fegadolli, C; Cavaco, A M; Fonseca, D C)\n\nFrom Duplicate 1 (Revisiting concepts, attitudes and expectations of Brazilian pharmacists to the practice of pharmaceutical care: A qualitative perspective - Fegadolli, C; Cavaco, A M; Fonseca, D C)\nAnd Duplicate 3 (Frail older people with multi-morbidities in primary care: a new integrated care clinical pharmacy service - Oboh, L; Leon, C; Qadir, S; Smith, F; Francis, S.-A.)\nAnd Duplicate 4 (Healthcare professionals’ agreement on clinical relevance of drug-related problems among elderly patients - Bech, C F; Frederiksen, T; Villesen, C T; Højsted, J; Nielsen, P R; Kjeldsen, L J; Nørgaard, L S; Christrup, L L)\nAnd Duplicate 9 (Collaborative intervention between pharmacists and physicians on elderly patients: A randomized controlled trial - Shim, Y W; Chua, S S; Wong, H C; Alwi, S)\nAnd Duplicate 10 (Pharmacologic Treatment for Depression at Injury Is Associated With Fewer Clinician Visits for Persistent Symptoms After Mild Traumatic Brain Injury: A Medical Record Review Study - Kruse, R C; Li, Z; Prideaux, C C; Brown, A W)\nAnd Duplicate 11 (Pharmaceutical practice and value of pharmacists under the new medical reform situation - Feng, S; Guo, J; Lu, Y)\nAnd Duplicate 12 (Assessment of a didactic ambulatory care pharmacy elective on student perceptions and subsequent performance in an ambulatory care advanced pharmacy practice experience - Irons, B K; Edwards, K L; Chastain, L M; Black, R L; Brown, C D; Seifert, C F)\nAnd Duplicate 13 (A qualitative study of the perspectives of older people in remote Scotland on accessibility to healthcare, medicines and medicines-taking - Stewart, D; Gibson-Smith, K; Cunningham, S; Pfleger, S; Rushworth, G)\nAnd Duplicate 16 (Pilot evaluation of home delivery programme in haemophilia - Megías-Vericat, J E; Monte-Boquet, E; Martín-Cerezuela, M; Cuéllar-Monreal, M J; Tarazona-Casany, M V; Pérez-Huertas, P; Bonanad, S; Poveda-Andrés, J L)\nAnd Duplicate 17 (Validity and reliability pilot study of a tool for assessing ambulatory care pharmacist practice - Bradley, K D; Schumacher, C; Borchert, J S; Kliethermes, M A; Anderson, D K)\nAnd Duplicate 18 (Competence, competition and collaboration: Perceived challenges among Swedish community pharmacists engaging in pharmaceutical services provision and research - Frisk, P; Holtendal, C; Bastholm-Rahmner, P; Sporrong, S K)\nAnd Duplicate 19 (Regulatory effect of decreasing therapeutic duplication of respiratory drugs using a prescription database between 2012 and 2015 - Lee, H; Song, I; Shin, S M; Jeong, H E; Lee, E.-K.; Shin, J.-Y.)\nAnd Duplicate 20 (Pharmaceutical care in the neonatal intensive care unit: Perspectives of Polish medical and pharmacy students - Krzyżaniak, N; Pawłowska, I; Pawłowski, L; Kocić, I; Bajorek, B)\nAnd Duplicate 21 (Assessment of treatment-related problems and associated factors among hospitalized patients in the United Arab Emirates: a retrospective study - Hussein, R N; Ibrahim, O M)\n\nExport Date: 12 June 2019\n\nFrom Duplicate 2 (Diabetes care in Qatar: a survey of pharmacists’ activities, attitudes and knowledge - El Hajj, M S; Abu Yousef, S E; Basri, M A)\nAnd Duplicate 14 (PCNE definition of medication review: reaching agreement - Griese-Mammen, N; Hersberger, K E; Messerli, M; Leikola, S; Horvat, N; van Mil, J W F; Kos, M)\n\nCited By :4\n\nExport Date: 12 June 2019\n\nFrom Duplicate 5 (A randomised control trial to evaluate the clinical pharmacist's role in managing iron deficiency anaemia patients - Tahaineh, L M; Khasawneh, A H)\nAnd Duplicate 7 (Development and validation of a logic model for comprehensive medication management services - Sousa, S.R.A.E.; Shoemaker, S J; do Nascimento, M M G; Costa, M S; Ramalho de Oliveira, D)\nAnd Duplicate 15 (A cross-sectional pilot study to investigate diabetic knowledge and pharmaceutical care practice among registered and unregistered pharmacists in Iraq - Abdulameer, S A)\n\nCited By :1\n\nExport Date: 12 June 2019\n\nFrom Duplicate 6 (Design of a 15-month interprofessional workplace learning program to expand the added value of clinical pharmacists in primary care - Hazen, A; de Groot, E; de Gier, H; Damoiseaux, R; Zwart, D; Leendertse, A)\nAnd Duplicate 8 (Pharmacists in general practice: a focus on drug-related problems - Benson, H; Lucas, C; Kmet, W; Benrimoj, S I; Williams, K)\n\nCited By :2\n\nExport Date: 12 June 2019\n\nFrom Duplicate 25 (Evaluation of adherence to international guidelines for treating patients with type 2 diabetes mellitus in Kuwait. - Al-Taweel, Dalal M; Awad, Abdelmoneim I; Johnson, B Julienne)\n\nAccession Number: 104265261. Language: English. Entry Date: 20131004. Revision Date: 20171105. Publication Type: journal article; research. Journal Subset: Biomedical; Continental Europe; Europe. NLM UID: 101554912.\n\nFrom Duplicate 27 (ASHP accreditation standard for residency in pharmacy practice (with an emphasis on pharmaceutical care) - Abdulrhim, Sara Hamdi; Saleh, Rana Ahmed; Mohamed Hussain, Mohamed Abdelazim; Al Raey, Hend; Babiker, Ahmed Hussein; Kheir, Nadir; Awaisu, Ahmed; Anton Torres, R; Murcia Lopez, A; Borras Blasco, J; Navarro Gracia, J F; Navarro Ruiz, A; Gonzalez Delgado, M; Aparasu, R R; Baars, Erik W; Kooreman, Peter; Bajcar, Jana M; Kennie, Natalie; Einarson, Thomas R; Blondal, Anna Bryndis; Sporrong, Sofia Kalvemark; Almarsdottir, Anna Birna)\n\nFrom Duplicate 12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M)\nAnd Duplicate 13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M)\nAnd Duplicate 14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M)\n\nNavarro Ruiz, Andres/0000-0001-7009-280X\n\n\nFrom Duplicate 1 (Pharmacists in general practice: a focus on dr","page":"566-572","publisher":"Springer Nature","publisher-place":"Strathclyde Institute of Pharmacy and Biomedical Science, University of Strathclyde, Glasgow, UK.","title":"Pharmacists in general practice: a focus on drug-related problems","type":"article-journal","volume":"40"},"uris":["http://www.mendeley.com/documents/?uuid=83947ad9-e43b-4ce7-9bb1-ff09b65e0245"]}],"mendeley":{"formattedCitation":"(Benson &lt;i&gt;et al.&lt;/i&gt;, 2018)","plainTextFormattedCitation":"(Benson et al., 2018)","previouslyFormattedCitation":"(Benson &lt;i&gt;et al.&lt;/i&gt;, 2018)"},"properties":{"noteIndex":0},"schema":"https://github.com/citation-style-language/schema/raw/master/csl-citation.json"}</w:instrText>
      </w:r>
      <w:r>
        <w:rPr>
          <w:rFonts w:asciiTheme="minorBidi" w:hAnsiTheme="minorBidi"/>
          <w:sz w:val="24"/>
          <w:szCs w:val="24"/>
          <w:lang w:val="en"/>
        </w:rPr>
        <w:fldChar w:fldCharType="separate"/>
      </w:r>
      <w:r w:rsidRPr="001A1755">
        <w:rPr>
          <w:rFonts w:asciiTheme="minorBidi" w:hAnsiTheme="minorBidi"/>
          <w:noProof/>
          <w:sz w:val="24"/>
          <w:szCs w:val="24"/>
          <w:lang w:val="en"/>
        </w:rPr>
        <w:t xml:space="preserve">(Benson </w:t>
      </w:r>
      <w:r w:rsidRPr="001A1755">
        <w:rPr>
          <w:rFonts w:asciiTheme="minorBidi" w:hAnsiTheme="minorBidi"/>
          <w:i/>
          <w:noProof/>
          <w:sz w:val="24"/>
          <w:szCs w:val="24"/>
          <w:lang w:val="en"/>
        </w:rPr>
        <w:t>et al.</w:t>
      </w:r>
      <w:r w:rsidRPr="001A1755">
        <w:rPr>
          <w:rFonts w:asciiTheme="minorBidi" w:hAnsiTheme="minorBidi"/>
          <w:noProof/>
          <w:sz w:val="24"/>
          <w:szCs w:val="24"/>
          <w:lang w:val="en"/>
        </w:rPr>
        <w:t>, 2018)</w:t>
      </w:r>
      <w:r>
        <w:rPr>
          <w:rFonts w:asciiTheme="minorBidi" w:hAnsiTheme="minorBidi"/>
          <w:sz w:val="24"/>
          <w:szCs w:val="24"/>
          <w:lang w:val="en"/>
        </w:rPr>
        <w:fldChar w:fldCharType="end"/>
      </w:r>
      <w:r w:rsidRPr="00197F14">
        <w:rPr>
          <w:rFonts w:asciiTheme="minorBidi" w:hAnsiTheme="minorBidi"/>
          <w:sz w:val="24"/>
          <w:szCs w:val="24"/>
          <w:lang w:val="en"/>
        </w:rPr>
        <w:t xml:space="preserve">. This study was a multi-centre prospective observational study carried out in 15 general practice primary care offices in Australia. It aimed to identify the impacts of the integration pharmacists on general practice settings, focusing on drug-related problems (DRPs). The study found that the integration pharmacists identified 1124 DRPs (medication used without indication, too high/low dose, inappropriate medication selection, missing therapy, inappropriate combination of medications, lab test requested, adverse drug reaction occurred, and medication underused). The pharmacists made 984 recommendations to resolve DRPs, and 685 (70%) were recorded as accepted by the GPs </w:t>
      </w:r>
      <w:r>
        <w:rPr>
          <w:rFonts w:asciiTheme="minorBidi" w:hAnsiTheme="minorBidi"/>
          <w:sz w:val="24"/>
          <w:szCs w:val="24"/>
          <w:lang w:val="en"/>
        </w:rPr>
        <w:fldChar w:fldCharType="begin" w:fldLock="1"/>
      </w:r>
      <w:r>
        <w:rPr>
          <w:rFonts w:asciiTheme="minorBidi" w:hAnsiTheme="minorBidi"/>
          <w:sz w:val="24"/>
          <w:szCs w:val="24"/>
          <w:lang w:val="en"/>
        </w:rPr>
        <w:instrText>ADDIN CSL_CITATION {"citationItems":[{"id":"ITEM-1","itemData":{"DOI":"10.1007/s11096-018-0617-9","ISSN":"1086-5802","abstract":"Background: Clinical guidelines derived from scientific evidence provide the basis of consistent standardized prescribing. Despite an alarming increase of diabetes in Kuwait, no studies related to the quality of prescribing in diabetes were found. Before pharmaceutical care can be implemented to improve the quality of care of patients with diabetes, it is important to determine whether prescribers are compliant with comprehensive international guidelines for cardioprevention and glycaemic control.Objective: To evaluate the adherence to clinical guidelines for treating patients with type 2 diabetes mellitus in primary care centres and secondary care centres (hospitals) using a developed and validated medication assessment tool with reference to international guidelines.Setting: Outpatient diabetes clinics in 8 primary care centres and 4 secondary care centres across four healthcare regions in Kuwait.Method: A quantitative, cross-sectional study involving a sample of 652 Kuwaiti patients with type 2 diabetes, who were selected using systematic sampling from the study settings. Data were collected retrospectively from the patients' medical records using a validated 43-criterion medication assessment tool (MATKW) designed to assess cardioprevention and treatment in patients with type 2 diabetes. Descriptive and comparative analysis was conducted using SPSS version 17.Main Outcome Measure: Frequency of prescribing adherence to agreed definitions of criteria derived from international guidelines.Results: Overall adherence to prescribing diabetes guidelines was 77.7 % (95 % CI 76.7-78.6 %). Significantly higher prescribing adherence was found in the secondary care facilities, 82.4 % (95 % CI 81.2-83.6 %) compared to primary care 72.5 % (95 % CI 71.0-73.9 %) (p &lt; 0.001). Nineteen criteria out of 43 achieved an adherence &gt;80 % in secondary care compared to ten criteria in primary care. The documentation of patients' records was found to be inconsistent at the study healthcare facilities. Nonoptimal achievement of target goals for HbA1c, blood pressure and BMI was prevalent among the study population.Conclusion: A tool such as MATKW highlights areas for review and possible improvement in prescribing adherence. Our findings reveal problem areas in prescribing practices and documentation of patients' records. Cost-effective multifaceted interventions are needed to improve current prescribing practices and documentation.","author":[{"dropping-particle":"","family":"Benson","given":"H","non-dropping-particle":"","parse-names":false,"suffix":""},{"dropping-particle":"","family":"Lucas","given":"C","non-dropping-particle":"","parse-names":false,"suffix":""},{"dropping-particle":"","family":"Kmet","given":"W","non-dropping-particle":"","parse-names":false,"suffix":""},{"dropping-particle":"","family":"Benrimoj","given":"S I","non-dropping-particle":"","parse-names":false,"suffix":""},{"dropping-particle":"","family":"Williams","given":"K","non-dropping-particle":"","parse-names":false,"suffix":""}],"container-title":"International Journal of Clinical Pharmacy","id":"ITEM-1","issue":"1","issued":{"date-parts":[["2018","4"]]},"note":"From Duplicate 1 (Pharmacists in general practice: a focus on drug-related problems - Benson, H; Lucas, C; Kmet, W; Benrimoj, S I; Williams, K)\n\nFrom Duplicate 1 (Pharmacists in general practice: a focus on drug-related problems - Benson, H; Lucas, C; Kmet, W; Benrimoj, S I; Williams, K; Abdulrhim, Sara Hamdi; Saleh, Rana Ahmed; Mohamed Hussain, Mohamed Abdelazim; Al Raey, Hend; Babiker, Ahmed Hussein; Kheir, Nadir; Awaisu, Ahmed; Anton Torres, R; Murcia Lopez, A; Borras Blasco, J; Navarro Gracia, J F; Navarro Ruiz, A; Gonzalez Delgado, M; Aparasu, R R; Baars, Erik W; Kooreman, Peter; Bajcar, Jana M; Kennie, Natalie; Einarson, Thomas R; Blondal, Anna Bryndis; Sporrong, Sofia Kalvemark; Almarsdottir, Anna Birna; Kolar, G R; Al-Taweel, Dalal M; Awad, Abdelmoneim I; Johnson, B Julienne; Dent, Larry A; Stratton, Timothy P; Cochran, Gayle A; Singhal, Puneet K; Gupchup, Gireesh V; Raisch, Dennis W; Schommer, Jon C; Holdsworth, Mark T; Solomon, D K; Portner, T S; Bass, G E; Gourley, D R; Gourley, G A; Holt, J M; Wicke, W R; Braden, R L; Eberle, T N; Self, T H; Lawrence, B L; Portner, T S; Gourley, D R; Rigolosi, E L; Holt, J M; Solomon, D K; Bass, G E; Wicke, W R; Braden, R L; Portner, T S; Bass, G E; Gourley, D R; Gourley, G A; Holt, J M; Wicke, W R; Braden, R L; Eberle, T N; Self, T H; Lawrence, B L; Portner, T S; Gourley, D R; Rigolosi, E L; Holt, J M; Solomon, D K; Bass, G E; Wicke, W R; Braden, R L; Hussein, R N; Ibrahim, O M; Krzyżaniak, N; Pawłowska, I; Pawłowski, L; Kocić, I; Bajorek, B; Lee, H; Song, I; Shin, S M; Jeong, H E; Lee, E.-K.; Shin, J.-Y.; Frisk, P; Holtendal, C; Bastholm-Rahmner, P; Sporrong, Sofia Kalvemark; Bradley, K D; Schumacher, C; Borchert, J S; Kliethermes, M A; Anderson, D K; Megías-Vericat, J E; Monte-Boquet, E; Martín-Cerezuela, M; Cuéllar-Monreal, M J; Tarazona-Casany, M V; Pérez-Huertas, P; Bonanad, S; Poveda-Andrés, J L; Abdulameer, S A; Griese-Mammen, N; Hersberger, K E; Messerli, M; Leikola, S; Horvat, N; van Mil, J W F; Kos, M; Stewart, D; Gibson-Smith, K; Cunningham, S; Pfleger, S; Rushworth, G; Irons, B K; Edwards, K L; Chastain, L M; Black, R L; Brown, C D; Seifert, C F; Feng, S; Guo, J; Lu, Y; Kruse, R C; Li, Z; Prideaux, C C; Brown, A W; Shim, Y W; Chua, S S; Wong, H C; Alwi, S; Benson, H; Lucas, C; Kmet, W; Benrimoj, S I; Williams, K; Sousa, S.R.A.E.; Shoemaker, S J; do Nascimento, M M G; Costa, M S; Ramalho de Oliveira, D; Hazen, A; de Groot, E; de Gier, H; Damoiseaux, R; Zwart, D; Leendertse, A; Tahaineh, L M; Khasawneh, A H; Bech, C F; Frederiksen, T; Villesen, C T; Højsted, J; Nielsen, P R; Kjeldsen, L J; Nørgaard, L S; Christrup, L L; Oboh, L; Leon, C; Qadir, S; Smith, F; Francis, S.-A.; El Hajj, M S; Abu Yousef, S E; Basri, M A; Fegadolli, C; Cavaco, A M; Fonseca, D C)\n\nFrom Duplicate 1 (Pharmacists in general practice: a focus on drug-related problems - Abdulrhim, Sara Hamdi; Saleh, Rana Ahmed; Mohamed Hussain, Mohamed Abdelazim; Al Raey, Hend; Babiker, Ahmed Hussein; Kheir, Nadir; Awaisu, Ahmed; Anton Torres, R; Murcia Lopez, A; Borras Blasco, J; Navarro Gracia, J F; Navarro Ruiz, A; Gonzalez Delgado, M; Aparasu, R R; Baars, Erik W; Kooreman, Peter; Bajcar, Jana M; Kennie, Natalie; Einarson, Thomas R; Blondal, Anna Bryndis; Sporrong, Sofia Kalvemark; Almarsdottir, Anna Birna; Kolar, G R; Al-Taweel, Dalal M; Awad, Abdelmoneim I; Johnson, B Julienne; Dent, Larry A; Stratton, Timothy P; Cochran, Gayle A; Singhal, Puneet K; Gupchup, Gireesh V; Raisch, Dennis W; Schommer, Jon C; Holdsworth, Mark T; Solomon, D K; Portner, T S; Bass, G E; Gourley, D R; Gourley, G A; Holt, J M; Wicke, W R; Braden, R L; Eberle, T N; Self, T H; Lawrence, B L; Portner, T S; Gourley, D R; Rigolosi, E L; Holt, J M; Solomon, D K; Bass, G E; Wicke, W R; Braden, R L; Portner, T S; Bass, G E; Gourley, D R; Gourley, G A; Holt, J M; Wicke, W R; Braden, R L; Eberle, T N; Self, T H; Lawrence, B L; Portner, T S; Gourley, D R; Rigolosi, E L; Holt, J M; Solomon, D K; Bass, G E; Wicke, W R; Braden, R L; Hussein, R N; Ibrahim, O M; Krzyżaniak, N; Pawłowska, I; Pawłowski, L; Kocić, I; Bajorek, B; Lee, H; Song, I; Shin, S M; Jeong, H E; Lee, E.-K.; Shin, J.-Y.; Frisk, P; Holtendal, C; Bastholm-Rahmner, P; Sporrong, Sofia Kalvemark; Bradley, K D; Schumacher, C; Borchert, J S; Kliethermes, M A; Anderson, D K; Megías-Vericat, J E; Monte-Boquet, E; Martín-Cerezuela, M; Cuéllar-Monreal, M J; Tarazona-Casany, M V; Pérez-Huertas, P; Bonanad, S; Poveda-Andrés, J L; Abdulameer, S A; Griese-Mammen, N; Hersberger, K E; Messerli, M; Leikola, S; Horvat, N; van Mil, J W F; Kos, M; Stewart, D; Gibson-Smith, K; Cunningham, S; Pfleger, S; Rushworth, G; Irons, B K; Edwards, K L; Chastain, L M; Black, R L; Brown, C D; Seifert, C F; Feng, S; Guo, J; Lu, Y; Kruse, R C; Li, Z; Prideaux, C C; Brown, A W; Shim, Y W; Chua, S S; Wong, H C; Alwi, S; Benson, H; Lucas, C; Kmet, W; Benrimoj, S I; Williams, K; Sousa, S.R.A.E.; Shoemaker, S J; do Nascimento, M M G; Costa, M S; Ramalho de Oliveira, D; Hazen, A; de Groot, E; de Gier, H; Damoiseaux, R; Zwart, D; Leendertse, A; Tahaineh, L M; Khasawneh, A H; Bech, C F; Frederiksen, T; Villesen, C T; Højsted, J; Nielsen, P R; Kjeldsen, L J; Nørgaard, L S; Christrup, L L; Oboh, L; Leon, C; Qadir, S; Smith, F; Francis, S.-A.; El Hajj, M S; Abu Yousef, S E; Basri, M A; Fegadolli, C; Cavaco, A M; Fonseca, D C)\n\nFrom Duplicate 1 (Revisiting concepts, attitudes and expectations of Brazilian pharmacists to the practice of pharmaceutical care: A qualitative perspective - Fegadolli, C; Cavaco, A M; Fonseca, D C)\nAnd Duplicate 3 (Frail older people with multi-morbidities in primary care: a new integrated care clinical pharmacy service - Oboh, L; Leon, C; Qadir, S; Smith, F; Francis, S.-A.)\nAnd Duplicate 4 (Healthcare professionals’ agreement on clinical relevance of drug-related problems among elderly patients - Bech, C F; Frederiksen, T; Villesen, C T; Højsted, J; Nielsen, P R; Kjeldsen, L J; Nørgaard, L S; Christrup, L L)\nAnd Duplicate 9 (Collaborative intervention between pharmacists and physicians on elderly patients: A randomized controlled trial - Shim, Y W; Chua, S S; Wong, H C; Alwi, S)\nAnd Duplicate 10 (Pharmacologic Treatment for Depression at Injury Is Associated With Fewer Clinician Visits for Persistent Symptoms After Mild Traumatic Brain Injury: A Medical Record Review Study - Kruse, R C; Li, Z; Prideaux, C C; Brown, A W)\nAnd Duplicate 11 (Pharmaceutical practice and value of pharmacists under the new medical reform situation - Feng, S; Guo, J; Lu, Y)\nAnd Duplicate 12 (Assessment of a didactic ambulatory care pharmacy elective on student perceptions and subsequent performance in an ambulatory care advanced pharmacy practice experience - Irons, B K; Edwards, K L; Chastain, L M; Black, R L; Brown, C D; Seifert, C F)\nAnd Duplicate 13 (A qualitative study of the perspectives of older people in remote Scotland on accessibility to healthcare, medicines and medicines-taking - Stewart, D; Gibson-Smith, K; Cunningham, S; Pfleger, S; Rushworth, G)\nAnd Duplicate 16 (Pilot evaluation of home delivery programme in haemophilia - Megías-Vericat, J E; Monte-Boquet, E; Martín-Cerezuela, M; Cuéllar-Monreal, M J; Tarazona-Casany, M V; Pérez-Huertas, P; Bonanad, S; Poveda-Andrés, J L)\nAnd Duplicate 17 (Validity and reliability pilot study of a tool for assessing ambulatory care pharmacist practice - Bradley, K D; Schumacher, C; Borchert, J S; Kliethermes, M A; Anderson, D K)\nAnd Duplicate 18 (Competence, competition and collaboration: Perceived challenges among Swedish community pharmacists engaging in pharmaceutical services provision and research - Frisk, P; Holtendal, C; Bastholm-Rahmner, P; Sporrong, S K)\nAnd Duplicate 19 (Regulatory effect of decreasing therapeutic duplication of respiratory drugs using a prescription database between 2012 and 2015 - Lee, H; Song, I; Shin, S M; Jeong, H E; Lee, E.-K.; Shin, J.-Y.)\nAnd Duplicate 20 (Pharmaceutical care in the neonatal intensive care unit: Perspectives of Polish medical and pharmacy students - Krzyżaniak, N; Pawłowska, I; Pawłowski, L; Kocić, I; Bajorek, B)\nAnd Duplicate 21 (Assessment of treatment-related problems and associated factors among hospitalized patients in the United Arab Emirates: a retrospective study - Hussein, R N; Ibrahim, O M)\n\nExport Date: 12 June 2019\n\nFrom Duplicate 2 (Diabetes care in Qatar: a survey of pharmacists’ activities, attitudes and knowledge - El Hajj, M S; Abu Yousef, S E; Basri, M A)\nAnd Duplicate 14 (PCNE definition of medication review: reaching agreement - Griese-Mammen, N; Hersberger, K E; Messerli, M; Leikola, S; Horvat, N; van Mil, J W F; Kos, M)\n\nCited By :4\n\nExport Date: 12 June 2019\n\nFrom Duplicate 5 (A randomised control trial to evaluate the clinical pharmacist's role in managing iron deficiency anaemia patients - Tahaineh, L M; Khasawneh, A H)\nAnd Duplicate 7 (Development and validation of a logic model for comprehensive medication management services - Sousa, S.R.A.E.; Shoemaker, S J; do Nascimento, M M G; Costa, M S; Ramalho de Oliveira, D)\nAnd Duplicate 15 (A cross-sectional pilot study to investigate diabetic knowledge and pharmaceutical care practice among registered and unregistered pharmacists in Iraq - Abdulameer, S A)\n\nCited By :1\n\nExport Date: 12 June 2019\n\nFrom Duplicate 6 (Design of a 15-month interprofessional workplace learning program to expand the added value of clinical pharmacists in primary care - Hazen, A; de Groot, E; de Gier, H; Damoiseaux, R; Zwart, D; Leendertse, A)\nAnd Duplicate 8 (Pharmacists in general practice: a focus on drug-related problems - Benson, H; Lucas, C; Kmet, W; Benrimoj, S I; Williams, K)\n\nCited By :2\n\nExport Date: 12 June 2019\n\nFrom Duplicate 25 (Evaluation of adherence to international guidelines for treating patients with type 2 diabetes mellitus in Kuwait. - Al-Taweel, Dalal M; Awad, Abdelmoneim I; Johnson, B Julienne)\n\nAccession Number: 104265261. Language: English. Entry Date: 20131004. Revision Date: 20171105. Publication Type: journal article; research. Journal Subset: Biomedical; Continental Europe; Europe. NLM UID: 101554912.\n\nFrom Duplicate 27 (ASHP accreditation standard for residency in pharmacy practice (with an emphasis on pharmaceutical care) - Abdulrhim, Sara Hamdi; Saleh, Rana Ahmed; Mohamed Hussain, Mohamed Abdelazim; Al Raey, Hend; Babiker, Ahmed Hussein; Kheir, Nadir; Awaisu, Ahmed; Anton Torres, R; Murcia Lopez, A; Borras Blasco, J; Navarro Gracia, J F; Navarro Ruiz, A; Gonzalez Delgado, M; Aparasu, R R; Baars, Erik W; Kooreman, Peter; Bajcar, Jana M; Kennie, Natalie; Einarson, Thomas R; Blondal, Anna Bryndis; Sporrong, Sofia Kalvemark; Almarsdottir, Anna Birna)\n\nFrom Duplicate 12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M)\nAnd Duplicate 13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M)\nAnd Duplicate 14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M)\n\nNavarro Ruiz, Andres/0000-0001-7009-280X\n\nFrom Duplicate 2 (Pharmacists in general practice: a focus on drug-related problems - Benson, H; Lucas, C; Kmet, W; Benrimoj, S I; Williams, K)\n\nCited By :2\n\nExport Date: 12 June 2019\n\nFrom Duplicate 2 (Pharmacists in general practice: a focus on drug-related problems - Abdulrhim, Sara Hamdi; Saleh, Rana Ahmed; Mohamed Hussain, Mohamed Abdelazim; Al Raey, Hend; Babiker, Ahmed Hussein; Kheir, Nadir; Awaisu, Ahmed; Anton Torres, R; Murcia Lopez, A; Borras Blasco, J; Navarro Gracia, J F; Navarro Ruiz, A; Gonzalez Delgado, M; Aparasu, R R; Baars, Erik W; Kooreman, Peter; Bajcar, Jana M; Kennie, Natalie; Einarson, Thomas R; Blondal, Anna Bryndis; Sporrong, Sofia Kalvemark; Almarsdottir, Anna Birna; Kolar, G R; Al-Taweel, Dalal M; Awad, Abdelmoneim I; Johnson, B Julienne; Dent, Larry A; Stratton, Timothy P; Cochran, Gayle A; Singhal, Puneet K; Gupchup, Gireesh V; Raisch, Dennis W; Schommer, Jon C; Holdsworth, Mark T; Solomon, D K; Portner, T S; Bass, G E; Gourley, D R; Gourley, G A; Holt, J M; Wicke, W R; Braden, R L; Eberle, T N; Self, T H; Lawrence, B L; Portner, T S; Gourley, D R; Rigolosi, E L; Holt, J M; Solomon, D K; Bass, G E; Wicke, W R; Braden, R L; Portner, T S; Bass, G E; Gourley, D R; Gourley, G A; Holt, J M; Wicke, W R; Braden, R L; Eberle, T N; Self, T H; Lawrence, B L; Portner, T S; Gourley, D R; Rigolosi, E L; Holt, J M; Solomon, D K; Bass, G E; Wicke, W R; Braden, R L; Hussein, R N; Ibrahim, O M; Krzyżaniak, N; Pawłowska, I; Pawłowski, L; Kocić, I; Bajorek, B; Lee, H; Song, I; Shin, S M; Jeong, H E; Lee, E.-K.; Shin, J.-Y.; Frisk, P; Holtendal, C; Bastholm-Rahmner, P; Sporrong, Sofia Kalvemark; Bradley, K D; Schumacher, C; Borchert, J S; Kliethermes, M A; Anderson, D K; Megías-Vericat, J E; Monte-Boquet, E; Martín-Cerezuela, M; Cuéllar-Monreal, M J; Tarazona-Casany, M V; Pérez-Huertas, P; Bonanad, S; Poveda-Andrés, J L; Abdulameer, S A; Griese-Mammen, N; Hersberger, K E; Messerli, M; Leikola, S; Horvat, N; van Mil, J W F; Kos, M; Stewart, D; Gibson-Smith, K; Cunningham, S; Pfleger, S; Rushworth, G; Irons, B K; Edwards, K L; Chastain, L M; Black, R L; Brown, C D; Seifert, C F; Feng, S; Guo, J; Lu, Y; Kruse, R C; Li, Z; Prideaux, C C; Brown, A W; Shim, Y W; Chua, S S; Wong, H C; Alwi, S; Benson, H; Lucas, C; Kmet, W; Benrimoj, S I; Williams, K; Sousa, S.R.A.E.; Shoemaker, S J; do Nascimento, M M G; Costa, M S; Ramalho de Oliveira, D; Hazen, A; de Groot, E; de Gier, H; Damoiseaux, R; Zwart, D; Leendertse, A; Tahaineh, L M; Khasawneh, A H; Bech, C F; Frederiksen, T; Villesen, C T; Højsted, J; Nielsen, P R; Kjeldsen, L J; Nørgaard, L S; Christrup, L L; Oboh, L; Leon, C; Qadir, S; Smith, F; Francis, S.-A.; El Hajj, M S; Abu Yousef, S E; Basri, M A; Fegadolli, C; Cavaco, A M; Fonseca, D C)\n\nFrom Duplicate 1 (Revisiting concepts, attitudes and expectations of Brazilian pharmacists to the practice of pharmaceutical care: A qualitative perspective - Fegadolli, C; Cavaco, A M; Fonseca, D C)\nAnd Duplicate 3 (Frail older people with multi-morbidities in primary care: a new integrated care clinical pharmacy service - Oboh, L; Leon, C; Qadir, S; Smith, F; Francis, S.-A.)\nAnd Duplicate 4 (Healthcare professionals’ agreement on clinical relevance of drug-related problems among elderly patients - Bech, C F; Frederiksen, T; Villesen, C T; Højsted, J; Nielsen, P R; Kjeldsen, L J; Nørgaard, L S; Christrup, L L)\nAnd Duplicate 9 (Collaborative intervention between pharmacists and physicians on elderly patients: A randomized controlled trial - Shim, Y W; Chua, S S; Wong, H C; Alwi, S)\nAnd Duplicate 10 (Pharmacologic Treatment for Depression at Injury Is Associated With Fewer Clinician Visits for Persistent Symptoms After Mild Traumatic Brain Injury: A Medical Record Review Study - Kruse, R C; Li, Z; Prideaux, C C; Brown, A W)\nAnd Duplicate 11 (Pharmaceutical practice and value of pharmacists under the new medical reform situation - Feng, S; Guo, J; Lu, Y)\nAnd Duplicate 12 (Assessment of a didactic ambulatory care pharmacy elective on student perceptions and subsequent performance in an ambulatory care advanced pharmacy practice experience - Irons, B K; Edwards, K L; Chastain, L M; Black, R L; Brown, C D; Seifert, C F)\nAnd Duplicate 13 (A qualitative study of the perspectives of older people in remote Scotland on accessibility to healthcare, medicines and medicines-taking - Stewart, D; Gibson-Smith, K; Cunningham, S; Pfleger, S; Rushworth, G)\nAnd Duplicate 16 (Pilot evaluation of home delivery programme in haemophilia - Megías-Vericat, J E; Monte-Boquet, E; Martín-Cerezuela, M; Cuéllar-Monreal, M J; Tarazona-Casany, M V; Pérez-Huertas, P; Bonanad, S; Poveda-Andrés, J L)\nAnd Duplicate 17 (Validity and reliability pilot study of a tool for assessing ambulatory care pharmacist practice - Bradley, K D; Schumacher, C; Borchert, J S; Kliethermes, M A; Anderson, D K)\nAnd Duplicate 18 (Competence, competition and collaboration: Perceived challenges among Swedish community pharmacists engaging in pharmaceutical services provision and research - Frisk, P; Holtendal, C; Bastholm-Rahmner, P; Sporrong, S K)\nAnd Duplicate 19 (Regulatory effect of decreasing therapeutic duplication of respiratory drugs using a prescription database between 2012 and 2015 - Lee, H; Song, I; Shin, S M; Jeong, H E; Lee, E.-K.; Shin, J.-Y.)\nAnd Duplicate 20 (Pharmaceutical care in the neonatal intensive care unit: Perspectives of Polish medical and pharmacy students - Krzyżaniak, N; Pawłowska, I; Pawłowski, L; Kocić, I; Bajorek, B)\nAnd Duplicate 21 (Assessment of treatment-related problems and associated factors among hospitalized patients in the United Arab Emirates: a retrospective study - Hussein, R N; Ibrahim, O M)\n\nExport Date: 12 June 2019\n\nFrom Duplicate 2 (Diabetes care in Qatar: a survey of pharmacists’ activities, attitudes and knowledge - El Hajj, M S; Abu Yousef, S E; Basri, M A)\nAnd Duplicate 14 (PCNE definition of medication review: reaching agreement - Griese-Mammen, N; Hersberger, K E; Messerli, M; Leikola, S; Horvat, N; van Mil, J W F; Kos, M)\n\nCited By :4\n\nExport Date: 12 June 2019\n\nFrom Duplicate 5 (A randomised control trial to evaluate the clinical pharmacist's role in managing iron deficiency anaemia patients - Tahaineh, L M; Khasawneh, A H)\nAnd Duplicate 7 (Development and validation of a logic model for comprehensive medication management services - Sousa, S.R.A.E.; Shoemaker, S J; do Nascimento, M M G; Costa, M S; Ramalho de Oliveira, D)\nAnd Duplicate 15 (A cross-sectional pilot study to investigate diabetic knowledge and pharmaceutical care practice among registered and unregistered pharmacists in Iraq - Abdulameer, S A)\n\nCited By :1\n\nExport Date: 12 June 2019\n\nFrom Duplicate 6 (Design of a 15-month interprofessional workplace learning program to expand the added value of clinical pharmacists in primary care - Hazen, A; de Groot, E; de Gier, H; Damoiseaux, R; Zwart, D; Leendertse, A)\nAnd Duplicate 8 (Pharmacists in general practice: a focus on drug-related problems - Benson, H; Lucas, C; Kmet, W; Benrimoj, S I; Williams, K)\n\nCited By :2\n\nExport Date: 12 June 2019\n\nFrom Duplicate 25 (Evaluation of adherence to international guidelines for treating patients with type 2 diabetes mellitus in Kuwait. - Al-Taweel, Dalal M; Awad, Abdelmoneim I; Johnson, B Julienne)\n\nAccession Number: 104265261. Language: English. Entry Date: 20131004. Revision Date: 20171105. Publication Type: journal article; research. Journal Subset: Biomedical; Continental Europe; Europe. NLM UID: 101554912.\n\nFrom Duplicate 27 (ASHP accreditation standard for residency in pharmacy practice (with an emphasis on pharmaceutical care) - Abdulrhim, Sara Hamdi; Saleh, Rana Ahmed; Mohamed Hussain, Mohamed Abdelazim; Al Raey, Hend; Babiker, Ahmed Hussein; Kheir, Nadir; Awaisu, Ahmed; Anton Torres, R; Murcia Lopez, A; Borras Blasco, J; Navarro Gracia, J F; Navarro Ruiz, A; Gonzalez Delgado, M; Aparasu, R R; Baars, Erik W; Kooreman, Peter; Bajcar, Jana M; Kennie, Natalie; Einarson, Thomas R; Blondal, Anna Bryndis; Sporrong, Sofia Kalvemark; Almarsdottir, Anna Birna)\n\nFrom Duplicate 12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M)\nAnd Duplicate 13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M)\nAnd Duplicate 14 (Assessment of quality as perceived by users of an outpatient pharmaceutical care unit TT - Evaluacion de la calidad percibida por los usuarios de una unidad de atencion farmaceutica a pacientes externos. - Anton Torres, R; Murcia Lopez, A; Borras Blasco, J; Navarro Gracia, J F; Navarro Ruiz, A; Gonzalez Delgado, M)\n\nNavarro Ruiz, Andres/0000-0001-7009-280X\n\n\nFrom Duplicate 1 (Pharmacists in general practice: a focus on dr","page":"566-572","publisher":"Springer Nature","publisher-place":"Strathclyde Institute of Pharmacy and Biomedical Science, University of Strathclyde, Glasgow, UK.","title":"Pharmacists in general practice: a focus on drug-related problems","type":"article-journal","volume":"40"},"uris":["http://www.mendeley.com/documents/?uuid=83947ad9-e43b-4ce7-9bb1-ff09b65e0245"]}],"mendeley":{"formattedCitation":"(Benson &lt;i&gt;et al.&lt;/i&gt;, 2018)","plainTextFormattedCitation":"(Benson et al., 2018)","previouslyFormattedCitation":"(Benson &lt;i&gt;et al.&lt;/i&gt;, 2018)"},"properties":{"noteIndex":0},"schema":"https://github.com/citation-style-language/schema/raw/master/csl-citation.json"}</w:instrText>
      </w:r>
      <w:r>
        <w:rPr>
          <w:rFonts w:asciiTheme="minorBidi" w:hAnsiTheme="minorBidi"/>
          <w:sz w:val="24"/>
          <w:szCs w:val="24"/>
          <w:lang w:val="en"/>
        </w:rPr>
        <w:fldChar w:fldCharType="separate"/>
      </w:r>
      <w:r w:rsidRPr="00F43FF1">
        <w:rPr>
          <w:rFonts w:asciiTheme="minorBidi" w:hAnsiTheme="minorBidi"/>
          <w:noProof/>
          <w:sz w:val="24"/>
          <w:szCs w:val="24"/>
          <w:lang w:val="en"/>
        </w:rPr>
        <w:t xml:space="preserve">(Benson </w:t>
      </w:r>
      <w:r w:rsidRPr="00F43FF1">
        <w:rPr>
          <w:rFonts w:asciiTheme="minorBidi" w:hAnsiTheme="minorBidi"/>
          <w:i/>
          <w:noProof/>
          <w:sz w:val="24"/>
          <w:szCs w:val="24"/>
          <w:lang w:val="en"/>
        </w:rPr>
        <w:t>et al.</w:t>
      </w:r>
      <w:r w:rsidRPr="00F43FF1">
        <w:rPr>
          <w:rFonts w:asciiTheme="minorBidi" w:hAnsiTheme="minorBidi"/>
          <w:noProof/>
          <w:sz w:val="24"/>
          <w:szCs w:val="24"/>
          <w:lang w:val="en"/>
        </w:rPr>
        <w:t>, 2018)</w:t>
      </w:r>
      <w:r>
        <w:rPr>
          <w:rFonts w:asciiTheme="minorBidi" w:hAnsiTheme="minorBidi"/>
          <w:sz w:val="24"/>
          <w:szCs w:val="24"/>
          <w:lang w:val="en"/>
        </w:rPr>
        <w:fldChar w:fldCharType="end"/>
      </w:r>
      <w:r>
        <w:rPr>
          <w:rFonts w:asciiTheme="minorBidi" w:hAnsiTheme="minorBidi"/>
          <w:sz w:val="24"/>
          <w:szCs w:val="24"/>
          <w:lang w:val="en"/>
        </w:rPr>
        <w:t>.</w:t>
      </w:r>
      <w:r w:rsidRPr="00197F14">
        <w:rPr>
          <w:rFonts w:asciiTheme="minorBidi" w:hAnsiTheme="minorBidi"/>
          <w:sz w:val="24"/>
          <w:szCs w:val="24"/>
          <w:lang w:val="en"/>
        </w:rPr>
        <w:t xml:space="preserve"> The 70 percent of acceptance rate of pharmacists’ recommendations is considered high, which suggests that GPs were willing to collaborate with pharmacists to resolve DRPs.</w:t>
      </w:r>
    </w:p>
    <w:p w14:paraId="5237EE76" w14:textId="511AF568" w:rsidR="00610EEE" w:rsidRPr="004C4C32" w:rsidRDefault="00610EEE" w:rsidP="004C4C32">
      <w:pPr>
        <w:pStyle w:val="CommentText"/>
        <w:spacing w:line="360" w:lineRule="auto"/>
        <w:jc w:val="both"/>
        <w:rPr>
          <w:rFonts w:asciiTheme="minorBidi" w:hAnsiTheme="minorBidi"/>
          <w:sz w:val="24"/>
          <w:szCs w:val="24"/>
          <w:shd w:val="clear" w:color="auto" w:fill="FFFFFF"/>
        </w:rPr>
      </w:pPr>
      <w:r w:rsidRPr="009178EB">
        <w:rPr>
          <w:rFonts w:asciiTheme="minorBidi" w:hAnsiTheme="minorBidi"/>
          <w:sz w:val="24"/>
          <w:szCs w:val="24"/>
          <w:shd w:val="clear" w:color="auto" w:fill="FFFFFF"/>
        </w:rPr>
        <w:t>The evidence presented in this section suggests that pharmacists have a critical role in patient care as well as patient safety. The evidence demonstrates improvements in the provision of healthcare services as well as saving in the overall expenditure of healthcare organisations with an integrated pharmacist in diverse healthcare teams. Therefore, adding the pharmacist to the primary healthcare team to provide direct patient care, could be a viable solution to develop and upgrade the healthcare services in SA, particularly improving diabetes care in PHCs.</w:t>
      </w:r>
    </w:p>
    <w:p w14:paraId="46C407B3" w14:textId="77777777" w:rsidR="00610EEE" w:rsidRDefault="00610EEE" w:rsidP="00610EEE">
      <w:pPr>
        <w:spacing w:line="360" w:lineRule="auto"/>
        <w:jc w:val="both"/>
        <w:rPr>
          <w:rFonts w:ascii="Arial" w:hAnsi="Arial" w:cs="Arial"/>
          <w:sz w:val="24"/>
          <w:szCs w:val="24"/>
          <w:lang w:val="en-GB"/>
        </w:rPr>
      </w:pPr>
      <w:r w:rsidRPr="006B2FC7">
        <w:rPr>
          <w:rFonts w:ascii="Arial" w:hAnsi="Arial" w:cs="Arial"/>
          <w:sz w:val="24"/>
          <w:szCs w:val="24"/>
          <w:lang w:val="en-GB"/>
        </w:rPr>
        <w:t>So far in this chapter, an overview of the considerable changes that are planned and currently occurring in SA have been described, coupled with the provision of health services in primary care. This chapter moves on to offer a more specific focus, to consider the issue of diabetes mellitus</w:t>
      </w:r>
      <w:r>
        <w:rPr>
          <w:rFonts w:ascii="Arial" w:hAnsi="Arial" w:cs="Arial"/>
          <w:sz w:val="24"/>
          <w:szCs w:val="24"/>
          <w:lang w:val="en-GB"/>
        </w:rPr>
        <w:t xml:space="preserve"> </w:t>
      </w:r>
      <w:r w:rsidRPr="006B2FC7">
        <w:rPr>
          <w:rFonts w:ascii="Arial" w:hAnsi="Arial" w:cs="Arial"/>
          <w:sz w:val="24"/>
          <w:szCs w:val="24"/>
          <w:lang w:val="en-GB"/>
        </w:rPr>
        <w:t>in this setting. This will show that this represents a key burden on the population and indeed that SA is disproportionately affected by this non-communicable disease.</w:t>
      </w:r>
    </w:p>
    <w:p w14:paraId="696827E8" w14:textId="77777777" w:rsidR="00610EEE" w:rsidRPr="006B2FC7" w:rsidRDefault="00610EEE" w:rsidP="00610EEE">
      <w:pPr>
        <w:rPr>
          <w:rFonts w:ascii="Arial" w:hAnsi="Arial" w:cs="Arial"/>
          <w:sz w:val="24"/>
          <w:szCs w:val="24"/>
          <w:lang w:val="en-GB"/>
        </w:rPr>
      </w:pPr>
      <w:r>
        <w:rPr>
          <w:rFonts w:ascii="Arial" w:hAnsi="Arial" w:cs="Arial"/>
          <w:sz w:val="24"/>
          <w:szCs w:val="24"/>
          <w:lang w:val="en-GB"/>
        </w:rPr>
        <w:br w:type="page"/>
      </w:r>
    </w:p>
    <w:p w14:paraId="5BCFCCDE" w14:textId="77777777" w:rsidR="00610EEE" w:rsidRPr="006B2FC7" w:rsidRDefault="00610EEE" w:rsidP="00610EEE">
      <w:pPr>
        <w:rPr>
          <w:rFonts w:ascii="Arial" w:hAnsi="Arial" w:cs="Arial"/>
          <w:lang w:val="en-GB"/>
        </w:rPr>
      </w:pPr>
    </w:p>
    <w:p w14:paraId="4DF33577" w14:textId="77777777" w:rsidR="00610EEE" w:rsidRPr="006B2FC7" w:rsidRDefault="00610EEE" w:rsidP="00610EEE">
      <w:pPr>
        <w:pStyle w:val="Heading2"/>
        <w:spacing w:line="259" w:lineRule="auto"/>
        <w:ind w:left="431" w:hanging="431"/>
        <w:rPr>
          <w:rFonts w:cs="Arial"/>
          <w:lang w:val="en-GB"/>
        </w:rPr>
      </w:pPr>
      <w:bookmarkStart w:id="16" w:name="_Toc122626346"/>
      <w:bookmarkStart w:id="17" w:name="_Toc153894134"/>
      <w:r w:rsidRPr="006B2FC7">
        <w:rPr>
          <w:rFonts w:cs="Arial"/>
        </w:rPr>
        <w:t>Diabetes Mellitus</w:t>
      </w:r>
      <w:r w:rsidRPr="006B2FC7">
        <w:rPr>
          <w:rFonts w:cs="Arial"/>
          <w:lang w:val="en-GB"/>
        </w:rPr>
        <w:t xml:space="preserve"> in </w:t>
      </w:r>
      <w:bookmarkEnd w:id="16"/>
      <w:r>
        <w:rPr>
          <w:rFonts w:cs="Arial"/>
          <w:lang w:val="en-GB"/>
        </w:rPr>
        <w:t>Saudi Arabia</w:t>
      </w:r>
      <w:bookmarkEnd w:id="17"/>
    </w:p>
    <w:p w14:paraId="065707C0" w14:textId="77777777" w:rsidR="00610EEE" w:rsidRPr="006B2FC7" w:rsidRDefault="00610EEE" w:rsidP="00610EEE">
      <w:pPr>
        <w:rPr>
          <w:rFonts w:cs="Arial"/>
          <w:lang w:val="en-GB"/>
        </w:rPr>
      </w:pPr>
    </w:p>
    <w:p w14:paraId="53D10B58" w14:textId="77777777" w:rsidR="00610EEE" w:rsidRPr="006B2FC7" w:rsidRDefault="00610EEE" w:rsidP="00610EEE">
      <w:pPr>
        <w:pStyle w:val="Heading3"/>
        <w:spacing w:line="259" w:lineRule="auto"/>
        <w:ind w:left="504"/>
        <w:rPr>
          <w:rFonts w:cs="Arial"/>
          <w:lang w:val="en-GB"/>
        </w:rPr>
      </w:pPr>
      <w:bookmarkStart w:id="18" w:name="_Toc122626347"/>
      <w:bookmarkStart w:id="19" w:name="_Toc153894135"/>
      <w:r w:rsidRPr="006B2FC7">
        <w:rPr>
          <w:rFonts w:cs="Arial"/>
          <w:lang w:val="en-GB"/>
        </w:rPr>
        <w:t>Background</w:t>
      </w:r>
      <w:bookmarkEnd w:id="18"/>
      <w:bookmarkEnd w:id="19"/>
    </w:p>
    <w:p w14:paraId="15AD0A76" w14:textId="77777777" w:rsidR="00610EEE" w:rsidRDefault="00610EEE" w:rsidP="00610EEE">
      <w:pPr>
        <w:shd w:val="clear" w:color="auto" w:fill="FFFFFF"/>
        <w:spacing w:line="360" w:lineRule="auto"/>
        <w:jc w:val="both"/>
        <w:rPr>
          <w:rFonts w:ascii="Arial" w:hAnsi="Arial" w:cs="Arial"/>
          <w:sz w:val="24"/>
          <w:szCs w:val="24"/>
          <w:lang w:val="en-GB"/>
        </w:rPr>
      </w:pPr>
      <w:r w:rsidRPr="006B2FC7">
        <w:rPr>
          <w:rFonts w:ascii="Arial" w:hAnsi="Arial" w:cs="Arial"/>
          <w:sz w:val="24"/>
          <w:szCs w:val="24"/>
        </w:rPr>
        <w:t xml:space="preserve">Diabetes Mellitus (DM) is an </w:t>
      </w:r>
      <w:r>
        <w:rPr>
          <w:rFonts w:ascii="Arial" w:hAnsi="Arial" w:cs="Arial"/>
          <w:sz w:val="24"/>
          <w:szCs w:val="24"/>
        </w:rPr>
        <w:t xml:space="preserve">increasing </w:t>
      </w:r>
      <w:r w:rsidRPr="006B2FC7">
        <w:rPr>
          <w:rFonts w:ascii="Arial" w:hAnsi="Arial" w:cs="Arial"/>
          <w:sz w:val="24"/>
          <w:szCs w:val="24"/>
        </w:rPr>
        <w:t>global health concern</w:t>
      </w:r>
      <w:r>
        <w:rPr>
          <w:rFonts w:ascii="Arial" w:hAnsi="Arial" w:cs="Arial"/>
          <w:sz w:val="24"/>
          <w:szCs w:val="24"/>
        </w:rPr>
        <w:t xml:space="preserve">. </w:t>
      </w:r>
      <w:r w:rsidRPr="001056C0">
        <w:rPr>
          <w:rFonts w:asciiTheme="minorBidi" w:hAnsiTheme="minorBidi"/>
          <w:sz w:val="24"/>
          <w:szCs w:val="24"/>
          <w:lang w:val="en-GB"/>
        </w:rPr>
        <w:t xml:space="preserve">It is considered an epidemic disease, as its prevalence </w:t>
      </w:r>
      <w:r>
        <w:rPr>
          <w:rFonts w:asciiTheme="minorBidi" w:hAnsiTheme="minorBidi"/>
          <w:sz w:val="24"/>
          <w:szCs w:val="24"/>
          <w:lang w:val="en-GB"/>
        </w:rPr>
        <w:t>ha</w:t>
      </w:r>
      <w:r w:rsidRPr="001056C0">
        <w:rPr>
          <w:rFonts w:asciiTheme="minorBidi" w:hAnsiTheme="minorBidi"/>
          <w:sz w:val="24"/>
          <w:szCs w:val="24"/>
          <w:lang w:val="en-GB"/>
        </w:rPr>
        <w:t>s steadily increased around the world. The number of people living with diabetes has increased dramatically since 2000. It affected an estimated 171 million people worldwide in 2000</w:t>
      </w:r>
      <w:r>
        <w:rPr>
          <w:rFonts w:asciiTheme="minorBidi" w:hAnsiTheme="minorBidi"/>
          <w:sz w:val="24"/>
          <w:szCs w:val="24"/>
          <w:lang w:val="en-GB"/>
        </w:rPr>
        <w:t>,</w:t>
      </w:r>
      <w:r w:rsidRPr="001056C0">
        <w:rPr>
          <w:rFonts w:asciiTheme="minorBidi" w:hAnsiTheme="minorBidi"/>
          <w:sz w:val="24"/>
          <w:szCs w:val="24"/>
          <w:lang w:val="en-GB"/>
        </w:rPr>
        <w:t xml:space="preserve"> r</w:t>
      </w:r>
      <w:r>
        <w:rPr>
          <w:rFonts w:asciiTheme="minorBidi" w:hAnsiTheme="minorBidi"/>
          <w:sz w:val="24"/>
          <w:szCs w:val="24"/>
          <w:lang w:val="en-GB"/>
        </w:rPr>
        <w:t>o</w:t>
      </w:r>
      <w:r w:rsidRPr="001056C0">
        <w:rPr>
          <w:rFonts w:asciiTheme="minorBidi" w:hAnsiTheme="minorBidi"/>
          <w:sz w:val="24"/>
          <w:szCs w:val="24"/>
          <w:lang w:val="en-GB"/>
        </w:rPr>
        <w:t>se to more than 285 million in 2010</w:t>
      </w:r>
      <w:r>
        <w:rPr>
          <w:rFonts w:asciiTheme="minorBidi" w:hAnsiTheme="minorBidi"/>
          <w:sz w:val="24"/>
          <w:szCs w:val="24"/>
          <w:lang w:val="en-GB"/>
        </w:rPr>
        <w:t xml:space="preserve">, </w:t>
      </w:r>
      <w:r w:rsidRPr="001056C0">
        <w:rPr>
          <w:rFonts w:asciiTheme="minorBidi" w:hAnsiTheme="minorBidi"/>
          <w:sz w:val="24"/>
          <w:szCs w:val="24"/>
          <w:lang w:val="en-GB"/>
        </w:rPr>
        <w:t>reached 463 million</w:t>
      </w:r>
      <w:r>
        <w:rPr>
          <w:rFonts w:asciiTheme="minorBidi" w:hAnsiTheme="minorBidi"/>
          <w:sz w:val="24"/>
          <w:szCs w:val="24"/>
          <w:lang w:val="en-GB"/>
        </w:rPr>
        <w:t xml:space="preserve"> people</w:t>
      </w:r>
      <w:r w:rsidRPr="001056C0">
        <w:rPr>
          <w:rFonts w:asciiTheme="minorBidi" w:hAnsiTheme="minorBidi"/>
          <w:sz w:val="24"/>
          <w:szCs w:val="24"/>
          <w:lang w:val="en-GB"/>
        </w:rPr>
        <w:t xml:space="preserve"> in 2019</w:t>
      </w:r>
      <w:r>
        <w:rPr>
          <w:rFonts w:asciiTheme="minorBidi" w:hAnsiTheme="minorBidi"/>
          <w:sz w:val="24"/>
          <w:szCs w:val="24"/>
          <w:lang w:val="en-GB"/>
        </w:rPr>
        <w:t>,</w:t>
      </w:r>
      <w:r w:rsidRPr="001056C0">
        <w:rPr>
          <w:rFonts w:asciiTheme="minorBidi" w:hAnsiTheme="minorBidi"/>
          <w:sz w:val="24"/>
          <w:szCs w:val="24"/>
          <w:lang w:val="en-GB"/>
        </w:rPr>
        <w:t xml:space="preserve"> and numbers are expected to exceed 578 million by 2030</w:t>
      </w:r>
      <w:r w:rsidRPr="001056C0">
        <w:rPr>
          <w:rFonts w:ascii="Arial" w:hAnsi="Arial" w:cs="Arial"/>
          <w:lang w:val="en-GB"/>
        </w:rPr>
        <w:t xml:space="preserve"> </w:t>
      </w:r>
      <w:r>
        <w:rPr>
          <w:rFonts w:ascii="Arial" w:hAnsi="Arial" w:cs="Arial"/>
          <w:sz w:val="24"/>
          <w:szCs w:val="24"/>
        </w:rPr>
        <w:t xml:space="preserve"> </w:t>
      </w:r>
      <w:r w:rsidRPr="006B2FC7">
        <w:rPr>
          <w:rFonts w:ascii="Arial" w:hAnsi="Arial" w:cs="Arial"/>
          <w:sz w:val="24"/>
          <w:szCs w:val="24"/>
        </w:rPr>
        <w:fldChar w:fldCharType="begin" w:fldLock="1"/>
      </w:r>
      <w:r>
        <w:rPr>
          <w:rFonts w:ascii="Arial" w:hAnsi="Arial" w:cs="Arial"/>
          <w:sz w:val="24"/>
          <w:szCs w:val="24"/>
        </w:rPr>
        <w:instrText>ADDIN CSL_CITATION {"citationItems":[{"id":"ITEM-1","itemData":{"DOI":"10.1016/j.jegh.2017.10.001","author":[{"dropping-particle":"","family":"Alotaibi","given":"Abdulellah","non-dropping-particle":"","parse-names":false,"suffix":""},{"dropping-particle":"","family":"Perry","given":"Lin","non-dropping-particle":"","parse-names":false,"suffix":""},{"dropping-particle":"","family":"Gholizadeh","given":"Leila","non-dropping-particle":"","parse-names":false,"suffix":""},{"dropping-particle":"","family":"Al-Ganmi","given":"Ali","non-dropping-particle":"","parse-names":false,"suffix":""}],"id":"ITEM-1","issued":{"date-parts":[["2017"]]},"title":"Incidence and prevalence rates of diabetes mellitus in Saudi Arabia: An overview","type":"article-journal"},"uris":["http://www.mendeley.com/documents/?uuid=fc5198a0-7fff-3796-9f12-c083663841d0"]}],"mendeley":{"formattedCitation":"(Alotaibi &lt;i&gt;et al.&lt;/i&gt;, 2017)","manualFormatting":"(Alotaibi et al., 2017;","plainTextFormattedCitation":"(Alotaibi et al., 2017)","previouslyFormattedCitation":"(Alotaibi &lt;i&gt;et al.&lt;/i&gt;, 2017)"},"properties":{"noteIndex":0},"schema":"https://github.com/citation-style-language/schema/raw/master/csl-citation.json"}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 xml:space="preserve">(Alotaibi </w:t>
      </w:r>
      <w:r w:rsidRPr="006B2FC7">
        <w:rPr>
          <w:rFonts w:ascii="Arial" w:hAnsi="Arial" w:cs="Arial"/>
          <w:iCs/>
          <w:noProof/>
          <w:sz w:val="24"/>
          <w:szCs w:val="24"/>
        </w:rPr>
        <w:t>et al.,</w:t>
      </w:r>
      <w:r w:rsidRPr="006B2FC7">
        <w:rPr>
          <w:rFonts w:ascii="Arial" w:hAnsi="Arial" w:cs="Arial"/>
          <w:noProof/>
          <w:sz w:val="24"/>
          <w:szCs w:val="24"/>
        </w:rPr>
        <w:t xml:space="preserve"> 2017</w:t>
      </w:r>
      <w:r>
        <w:rPr>
          <w:rFonts w:ascii="Arial" w:hAnsi="Arial" w:cs="Arial"/>
          <w:noProof/>
          <w:sz w:val="24"/>
          <w:szCs w:val="24"/>
        </w:rPr>
        <w:t>;</w:t>
      </w:r>
      <w:r w:rsidRPr="006B2FC7">
        <w:rPr>
          <w:rFonts w:ascii="Arial" w:hAnsi="Arial" w:cs="Arial"/>
          <w:sz w:val="24"/>
          <w:szCs w:val="24"/>
        </w:rPr>
        <w:fldChar w:fldCharType="end"/>
      </w:r>
      <w:r>
        <w:rPr>
          <w:rFonts w:ascii="Arial" w:hAnsi="Arial" w:cs="Arial"/>
          <w:sz w:val="24"/>
          <w:szCs w:val="24"/>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{"citationItems":[{"id":"ITEM-1","itemData":{"URL":"https://diabetesatlas.org/data/en/world/","accessed":{"date-parts":[["2021","2","7"]]},"id":"ITEM-1","issued":{"date-parts":[["0"]]},"title":"Global diabetes data report 2010 — 2045","type":"webpage"},"uris":["http://www.mendeley.com/documents/?uuid=7dfd2616-f8cf-3e5e-906a-a8f97554d423"]}],"mendeley":{"formattedCitation":"(&lt;i&gt;Global diabetes data report 2010 — 2045&lt;/i&gt;, no date)","manualFormatting":"Global diabetes data report 2010 — 2045, 2021)","plainTextFormattedCitation":"(Global diabetes data report 2010 — 2045, no date)","previouslyFormattedCitation":"(&lt;i&gt;Global diabetes data report 2010 — 2045&lt;/i&gt;, no date)"},"properties":{"noteIndex":0},"schema":"https://github.com/citation-style-language/schema/raw/master/csl-citation.json"}</w:instrText>
      </w:r>
      <w:r w:rsidRPr="001056C0">
        <w:rPr>
          <w:rFonts w:ascii="Arial" w:hAnsi="Arial" w:cs="Arial"/>
          <w:sz w:val="24"/>
          <w:szCs w:val="24"/>
          <w:lang w:val="en-GB"/>
        </w:rPr>
        <w:fldChar w:fldCharType="separate"/>
      </w:r>
      <w:r w:rsidRPr="00D14055">
        <w:rPr>
          <w:rFonts w:ascii="Arial" w:hAnsi="Arial" w:cs="Arial"/>
          <w:noProof/>
          <w:sz w:val="24"/>
          <w:szCs w:val="24"/>
          <w:lang w:val="en-GB"/>
        </w:rPr>
        <w:t>Global diabetes data report 2010 — 2045</w:t>
      </w:r>
      <w:r w:rsidRPr="001056C0">
        <w:rPr>
          <w:rFonts w:ascii="Arial" w:hAnsi="Arial" w:cs="Arial"/>
          <w:noProof/>
          <w:sz w:val="24"/>
          <w:szCs w:val="24"/>
          <w:lang w:val="en-GB"/>
        </w:rPr>
        <w:t>, 2021)</w:t>
      </w:r>
      <w:r w:rsidRPr="001056C0">
        <w:rPr>
          <w:rFonts w:ascii="Arial" w:hAnsi="Arial" w:cs="Arial"/>
          <w:sz w:val="24"/>
          <w:szCs w:val="24"/>
          <w:lang w:val="en-GB"/>
        </w:rPr>
        <w:fldChar w:fldCharType="end"/>
      </w:r>
      <w:r w:rsidRPr="006B2FC7">
        <w:rPr>
          <w:rFonts w:ascii="Arial" w:hAnsi="Arial" w:cs="Arial"/>
          <w:sz w:val="24"/>
          <w:szCs w:val="24"/>
        </w:rPr>
        <w:t>.</w:t>
      </w:r>
      <w:r w:rsidRPr="006B2FC7">
        <w:rPr>
          <w:rFonts w:ascii="Arial" w:hAnsi="Arial" w:cs="Arial"/>
          <w:sz w:val="24"/>
          <w:szCs w:val="24"/>
          <w:lang w:val="en-GB"/>
        </w:rPr>
        <w:t xml:space="preserve"> </w:t>
      </w:r>
    </w:p>
    <w:p w14:paraId="289C8FB1" w14:textId="0263FE7B" w:rsidR="006704BC" w:rsidRPr="00DF31CF" w:rsidRDefault="00C87CE5" w:rsidP="00A4395A">
      <w:pPr>
        <w:spacing w:line="360" w:lineRule="auto"/>
        <w:jc w:val="both"/>
        <w:rPr>
          <w:rFonts w:ascii="Arial" w:hAnsi="Arial" w:cs="Arial"/>
          <w:noProof/>
          <w:color w:val="FF0000"/>
          <w:sz w:val="24"/>
          <w:szCs w:val="24"/>
          <w:lang w:val="en-GB"/>
        </w:rPr>
      </w:pPr>
      <w:r w:rsidRPr="00DF31CF">
        <w:rPr>
          <w:rFonts w:ascii="Arial" w:hAnsi="Arial" w:cs="Arial"/>
          <w:noProof/>
          <w:sz w:val="24"/>
          <w:szCs w:val="24"/>
          <w:lang w:val="en-GB"/>
        </w:rPr>
        <w:t xml:space="preserve">The Saudi health information survey for non-communicable disease showed that the total prevalence of diabetes was 14% in 2013 </w:t>
      </w:r>
      <w:r w:rsidRPr="00DF31CF">
        <w:rPr>
          <w:rFonts w:ascii="Arial" w:hAnsi="Arial" w:cs="Arial"/>
          <w:noProof/>
          <w:sz w:val="24"/>
          <w:szCs w:val="24"/>
          <w:lang w:val="en-GB"/>
        </w:rPr>
        <w:fldChar w:fldCharType="begin" w:fldLock="1"/>
      </w:r>
      <w:r w:rsidRPr="00DF31CF">
        <w:rPr>
          <w:rFonts w:ascii="Arial" w:hAnsi="Arial" w:cs="Arial"/>
          <w:noProof/>
          <w:sz w:val="24"/>
          <w:szCs w:val="24"/>
          <w:lang w:val="en-GB"/>
        </w:rPr>
        <w:instrText>ADDIN CSL_CITATION {"citationItems":[{"id":"ITEM-1","itemData":{"URL":"https://www.moh.gov.sa/en/Ministry/MediaCenter/Publications/Pages/Publications-2013-11-12-001.aspx","accessed":{"date-parts":[["2020","7","15"]]},"author":[{"dropping-particle":"","family":"Ministry of Health-Saudi Arabia","given":"","non-dropping-particle":"","parse-names":false,"suffix":""}],"id":"ITEM-1","issued":{"date-parts":[["2020"]]},"title":"MOH Publications - Media Report on the MOH Efforts of Educating on Diabetes","type":"webpage"},"uris":["http://www.mendeley.com/documents/?uuid=29fe155b-7881-319f-8d4d-84841bc74e7b"]}],"mendeley":{"formattedCitation":"(Ministry of Health-Saudi Arabia, 2020)","plainTextFormattedCitation":"(Ministry of Health-Saudi Arabia, 2020)","previouslyFormattedCitation":"(Ministry of Health-Saudi Arabia, 2020)"},"properties":{"noteIndex":0},"schema":"https://github.com/citation-style-language/schema/raw/master/csl-citation.json"}</w:instrText>
      </w:r>
      <w:r w:rsidRPr="00DF31CF">
        <w:rPr>
          <w:rFonts w:ascii="Arial" w:hAnsi="Arial" w:cs="Arial"/>
          <w:noProof/>
          <w:sz w:val="24"/>
          <w:szCs w:val="24"/>
          <w:lang w:val="en-GB"/>
        </w:rPr>
        <w:fldChar w:fldCharType="separate"/>
      </w:r>
      <w:r w:rsidRPr="00DF31CF">
        <w:rPr>
          <w:rFonts w:ascii="Arial" w:hAnsi="Arial" w:cs="Arial"/>
          <w:noProof/>
          <w:sz w:val="24"/>
          <w:szCs w:val="24"/>
          <w:lang w:val="en-GB"/>
        </w:rPr>
        <w:t>(Ministry of Health-Saudi Arabia, 2020)</w:t>
      </w:r>
      <w:r w:rsidRPr="00DF31CF">
        <w:rPr>
          <w:rFonts w:ascii="Arial" w:hAnsi="Arial" w:cs="Arial"/>
          <w:noProof/>
          <w:sz w:val="24"/>
          <w:szCs w:val="24"/>
          <w:lang w:val="en-GB"/>
        </w:rPr>
        <w:fldChar w:fldCharType="end"/>
      </w:r>
      <w:r w:rsidRPr="00DF31CF">
        <w:rPr>
          <w:rFonts w:ascii="Arial" w:hAnsi="Arial" w:cs="Arial"/>
          <w:noProof/>
          <w:sz w:val="24"/>
          <w:szCs w:val="24"/>
          <w:lang w:val="en-GB"/>
        </w:rPr>
        <w:t xml:space="preserve">.  In 2021, the prevalence of diabetes </w:t>
      </w:r>
      <w:r w:rsidR="00364131" w:rsidRPr="00DF31CF">
        <w:rPr>
          <w:rFonts w:ascii="Arial" w:hAnsi="Arial" w:cs="Arial"/>
          <w:noProof/>
          <w:sz w:val="24"/>
          <w:szCs w:val="24"/>
          <w:lang w:val="en-GB"/>
        </w:rPr>
        <w:t xml:space="preserve">in SA </w:t>
      </w:r>
      <w:r w:rsidRPr="00DF31CF">
        <w:rPr>
          <w:rFonts w:ascii="Arial" w:hAnsi="Arial" w:cs="Arial"/>
          <w:noProof/>
          <w:sz w:val="24"/>
          <w:szCs w:val="24"/>
          <w:lang w:val="en-GB"/>
        </w:rPr>
        <w:t xml:space="preserve">in the age group of 20–79 reached 18.7% and is expected to reach 20.4% by 2030 </w:t>
      </w:r>
      <w:r w:rsidRPr="00DF31CF">
        <w:rPr>
          <w:rFonts w:ascii="Arial" w:hAnsi="Arial" w:cs="Arial"/>
          <w:noProof/>
          <w:sz w:val="24"/>
          <w:szCs w:val="24"/>
          <w:lang w:val="en-GB"/>
        </w:rPr>
        <w:fldChar w:fldCharType="begin" w:fldLock="1"/>
      </w:r>
      <w:r w:rsidR="003E4A88">
        <w:rPr>
          <w:rFonts w:ascii="Arial" w:hAnsi="Arial" w:cs="Arial"/>
          <w:noProof/>
          <w:sz w:val="24"/>
          <w:szCs w:val="24"/>
          <w:lang w:val="en-GB"/>
        </w:rPr>
        <w:instrText>ADDIN CSL_CITATION {"citationItems":[{"id":"ITEM-1","itemData":{"URL":"https://diabetesatlas.org/data/en/country/174/sa.html","author":[{"dropping-particle":"","family":"IDF Diabetes Atlas","given":"","non-dropping-particle":"","parse-names":false,"suffix":""}],"container-title":"2021","id":"ITEM-1","issued":{"date-parts":[["2023"]]},"title":"Saudi Arabia Diabetes report 2000 — 2045","type":"webpage"},"uris":["http://www.mendeley.com/documents/?uuid=39b0f210-e397-4aef-81f4-110120da0ab2"]}],"mendeley":{"formattedCitation":"(IDF Diabetes Atlas, 2023)","manualFormatting":"(IDF Diabetes Atlas, 2023)","plainTextFormattedCitation":"(IDF Diabetes Atlas, 2023)","previouslyFormattedCitation":"(IDF Diabetes Atlas, no date)"},"properties":{"noteIndex":0},"schema":"https://github.com/citation-style-language/schema/raw/master/csl-citation.json"}</w:instrText>
      </w:r>
      <w:r w:rsidRPr="00DF31CF">
        <w:rPr>
          <w:rFonts w:ascii="Arial" w:hAnsi="Arial" w:cs="Arial"/>
          <w:noProof/>
          <w:sz w:val="24"/>
          <w:szCs w:val="24"/>
          <w:lang w:val="en-GB"/>
        </w:rPr>
        <w:fldChar w:fldCharType="separate"/>
      </w:r>
      <w:r w:rsidRPr="00DF31CF">
        <w:rPr>
          <w:rFonts w:ascii="Arial" w:hAnsi="Arial" w:cs="Arial"/>
          <w:noProof/>
          <w:sz w:val="24"/>
          <w:szCs w:val="24"/>
          <w:lang w:val="en-GB"/>
        </w:rPr>
        <w:t>(IDF Diabetes Atlas, 202</w:t>
      </w:r>
      <w:r w:rsidR="001A52D0">
        <w:rPr>
          <w:rFonts w:ascii="Arial" w:hAnsi="Arial" w:cs="Arial"/>
          <w:noProof/>
          <w:sz w:val="24"/>
          <w:szCs w:val="24"/>
          <w:lang w:val="en-GB"/>
        </w:rPr>
        <w:t>3)</w:t>
      </w:r>
      <w:r w:rsidRPr="00DF31CF">
        <w:rPr>
          <w:rFonts w:ascii="Arial" w:hAnsi="Arial" w:cs="Arial"/>
          <w:noProof/>
          <w:sz w:val="24"/>
          <w:szCs w:val="24"/>
          <w:lang w:val="en-GB"/>
        </w:rPr>
        <w:fldChar w:fldCharType="end"/>
      </w:r>
      <w:r w:rsidR="002676CE" w:rsidRPr="00DF31CF">
        <w:rPr>
          <w:rFonts w:ascii="Arial" w:hAnsi="Arial" w:cs="Arial"/>
          <w:noProof/>
          <w:sz w:val="24"/>
          <w:szCs w:val="24"/>
          <w:lang w:val="en-GB"/>
        </w:rPr>
        <w:t>.</w:t>
      </w:r>
      <w:r w:rsidR="00E278F8" w:rsidRPr="00DF31CF">
        <w:rPr>
          <w:rFonts w:ascii="Arial" w:hAnsi="Arial" w:cs="Arial"/>
          <w:noProof/>
          <w:sz w:val="24"/>
          <w:szCs w:val="24"/>
          <w:lang w:val="en-GB"/>
        </w:rPr>
        <w:t xml:space="preserve"> </w:t>
      </w:r>
      <w:r w:rsidR="00BE3884" w:rsidRPr="00DF31CF">
        <w:rPr>
          <w:rFonts w:ascii="Arial" w:hAnsi="Arial" w:cs="Arial"/>
          <w:noProof/>
          <w:sz w:val="24"/>
          <w:szCs w:val="24"/>
          <w:lang w:val="en-GB"/>
        </w:rPr>
        <w:t xml:space="preserve">The World Population Review website also published estimates from the International Diabetes Foundation </w:t>
      </w:r>
      <w:r w:rsidR="008E5AC0">
        <w:rPr>
          <w:rFonts w:ascii="Arial" w:hAnsi="Arial" w:cs="Arial"/>
          <w:noProof/>
          <w:sz w:val="24"/>
          <w:szCs w:val="24"/>
          <w:lang w:val="en-GB"/>
        </w:rPr>
        <w:t xml:space="preserve">(IDF) </w:t>
      </w:r>
      <w:r w:rsidR="00BE3884" w:rsidRPr="00DF31CF">
        <w:rPr>
          <w:rFonts w:ascii="Arial" w:hAnsi="Arial" w:cs="Arial"/>
          <w:noProof/>
          <w:sz w:val="24"/>
          <w:szCs w:val="24"/>
          <w:lang w:val="en-GB"/>
        </w:rPr>
        <w:t xml:space="preserve">indicating that the prevalence of diabetes in </w:t>
      </w:r>
      <w:r w:rsidR="00390EB1">
        <w:rPr>
          <w:rFonts w:ascii="Arial" w:hAnsi="Arial" w:cs="Arial"/>
          <w:noProof/>
          <w:sz w:val="24"/>
          <w:szCs w:val="24"/>
          <w:lang w:val="en-GB"/>
        </w:rPr>
        <w:t>SA</w:t>
      </w:r>
      <w:r w:rsidR="00BE3884" w:rsidRPr="00DF31CF">
        <w:rPr>
          <w:rFonts w:ascii="Arial" w:hAnsi="Arial" w:cs="Arial"/>
          <w:noProof/>
          <w:sz w:val="24"/>
          <w:szCs w:val="24"/>
          <w:lang w:val="en-GB"/>
        </w:rPr>
        <w:t xml:space="preserve"> in 2021 </w:t>
      </w:r>
      <w:r w:rsidR="00364131" w:rsidRPr="00DF31CF">
        <w:rPr>
          <w:rFonts w:ascii="Arial" w:hAnsi="Arial" w:cs="Arial"/>
          <w:noProof/>
          <w:sz w:val="24"/>
          <w:szCs w:val="24"/>
          <w:lang w:val="en-GB"/>
        </w:rPr>
        <w:t>was</w:t>
      </w:r>
      <w:r w:rsidR="00BE3884" w:rsidRPr="00DF31CF">
        <w:rPr>
          <w:rFonts w:ascii="Arial" w:hAnsi="Arial" w:cs="Arial"/>
          <w:noProof/>
          <w:sz w:val="24"/>
          <w:szCs w:val="24"/>
          <w:lang w:val="en-GB"/>
        </w:rPr>
        <w:t xml:space="preserve"> 19% </w:t>
      </w:r>
      <w:r w:rsidR="00BC4C49" w:rsidRPr="00DF31CF">
        <w:rPr>
          <w:rFonts w:ascii="Arial" w:hAnsi="Arial" w:cs="Arial"/>
          <w:noProof/>
          <w:sz w:val="24"/>
          <w:szCs w:val="24"/>
          <w:lang w:val="en-GB"/>
        </w:rPr>
        <w:fldChar w:fldCharType="begin" w:fldLock="1"/>
      </w:r>
      <w:r w:rsidR="00B134CA" w:rsidRPr="00DF31CF">
        <w:rPr>
          <w:rFonts w:ascii="Arial" w:hAnsi="Arial" w:cs="Arial"/>
          <w:noProof/>
          <w:sz w:val="24"/>
          <w:szCs w:val="24"/>
          <w:lang w:val="en-GB"/>
        </w:rPr>
        <w:instrText>ADDIN CSL_CITATION {"citationItems":[{"id":"ITEM-1","itemData":{"URL":"https://worldpopulationreview.com/country-rankings/diabetes-rates-by-country","abstract":"Diabetes Rates by Country 2023","author":[{"dropping-particle":"","family":"World Population Review organization","given":"","non-dropping-particle":"","parse-names":false,"suffix":""}],"id":"ITEM-1","issued":{"date-parts":[["2023"]]},"title":"Diabetes Rates by Country","type":"webpage"},"uris":["http://www.mendeley.com/documents/?uuid=34e9aa99-817b-4e51-b224-c05dad0f8c9a"]}],"mendeley":{"formattedCitation":"(World Population Review organization, 2023)","plainTextFormattedCitation":"(World Population Review organization, 2023)","previouslyFormattedCitation":"(World Population Review organization, 2023)"},"properties":{"noteIndex":0},"schema":"https://github.com/citation-style-language/schema/raw/master/csl-citation.json"}</w:instrText>
      </w:r>
      <w:r w:rsidR="00BC4C49" w:rsidRPr="00DF31CF">
        <w:rPr>
          <w:rFonts w:ascii="Arial" w:hAnsi="Arial" w:cs="Arial"/>
          <w:noProof/>
          <w:sz w:val="24"/>
          <w:szCs w:val="24"/>
          <w:lang w:val="en-GB"/>
        </w:rPr>
        <w:fldChar w:fldCharType="separate"/>
      </w:r>
      <w:r w:rsidR="00BC4C49" w:rsidRPr="00DF31CF">
        <w:rPr>
          <w:rFonts w:ascii="Arial" w:hAnsi="Arial" w:cs="Arial"/>
          <w:noProof/>
          <w:sz w:val="24"/>
          <w:szCs w:val="24"/>
          <w:lang w:val="en-GB"/>
        </w:rPr>
        <w:t>(World Population Review organization, 2023)</w:t>
      </w:r>
      <w:r w:rsidR="00BC4C49" w:rsidRPr="00DF31CF">
        <w:rPr>
          <w:rFonts w:ascii="Arial" w:hAnsi="Arial" w:cs="Arial"/>
          <w:noProof/>
          <w:sz w:val="24"/>
          <w:szCs w:val="24"/>
          <w:lang w:val="en-GB"/>
        </w:rPr>
        <w:fldChar w:fldCharType="end"/>
      </w:r>
      <w:r w:rsidR="00390EB1" w:rsidRPr="00390EB1">
        <w:rPr>
          <w:rFonts w:ascii="Arial" w:hAnsi="Arial" w:cs="Arial"/>
          <w:noProof/>
          <w:sz w:val="24"/>
          <w:szCs w:val="24"/>
          <w:lang w:val="en-GB"/>
        </w:rPr>
        <w:t>.</w:t>
      </w:r>
    </w:p>
    <w:p w14:paraId="31AF63FF" w14:textId="2100B9E7" w:rsidR="00610EEE" w:rsidRDefault="00610EEE" w:rsidP="00610EEE">
      <w:pPr>
        <w:spacing w:line="360" w:lineRule="auto"/>
        <w:ind w:left="720"/>
        <w:jc w:val="both"/>
        <w:rPr>
          <w:rFonts w:ascii="Arial" w:hAnsi="Arial" w:cs="Arial"/>
          <w:iCs/>
          <w:sz w:val="24"/>
          <w:szCs w:val="24"/>
          <w:lang w:val="en-GB"/>
        </w:rPr>
      </w:pPr>
      <w:r w:rsidRPr="001056C0">
        <w:rPr>
          <w:rFonts w:asciiTheme="minorBidi" w:hAnsiTheme="minorBidi"/>
          <w:sz w:val="24"/>
          <w:szCs w:val="24"/>
          <w:lang w:val="en-GB"/>
        </w:rPr>
        <w:t>“</w:t>
      </w:r>
      <w:r w:rsidRPr="00025168">
        <w:rPr>
          <w:rFonts w:asciiTheme="minorBidi" w:hAnsiTheme="minorBidi"/>
          <w:i/>
          <w:iCs/>
          <w:sz w:val="24"/>
          <w:szCs w:val="24"/>
          <w:lang w:val="en-GB"/>
        </w:rPr>
        <w:t>Diabetes is the fifth leading cause of death in Saudi Arabia</w:t>
      </w:r>
      <w:r w:rsidRPr="001056C0">
        <w:rPr>
          <w:rFonts w:asciiTheme="minorBidi" w:hAnsiTheme="minorBidi"/>
          <w:sz w:val="24"/>
          <w:szCs w:val="24"/>
          <w:lang w:val="en-GB"/>
        </w:rPr>
        <w:t>”</w:t>
      </w:r>
      <w:r w:rsidRPr="001056C0">
        <w:rPr>
          <w:rFonts w:asciiTheme="minorBidi" w:hAnsiTheme="minorBidi"/>
          <w:color w:val="C00000"/>
          <w:sz w:val="28"/>
          <w:szCs w:val="28"/>
          <w:lang w:val="en-GB"/>
        </w:rPr>
        <w:t xml:space="preserve"> </w:t>
      </w:r>
      <w:r w:rsidRPr="00D44590">
        <w:rPr>
          <w:rFonts w:ascii="Arial" w:hAnsi="Arial" w:cs="Arial"/>
          <w:iCs/>
          <w:sz w:val="24"/>
          <w:szCs w:val="24"/>
          <w:lang w:val="en-GB"/>
        </w:rPr>
        <w:fldChar w:fldCharType="begin" w:fldLock="1"/>
      </w:r>
      <w:r>
        <w:rPr>
          <w:rFonts w:ascii="Arial" w:hAnsi="Arial" w:cs="Arial"/>
          <w:iCs/>
          <w:sz w:val="24"/>
          <w:szCs w:val="24"/>
          <w:lang w:val="en-GB"/>
        </w:rPr>
        <w:instrText>ADDIN CSL_CITATION {"citationItems":[{"id":"ITEM-1","itemData":{"DOI":"10.1016/j.jsps.2020.11.002","ISSN":"13190164","author":[{"dropping-particle":"","family":"Alsuwayni","given":"Bashayr","non-dropping-particle":"","parse-names":false,"suffix":""},{"dropping-particle":"","family":"Alhossan","given":"Abdulaziz","non-dropping-particle":"","parse-names":false,"suffix":""}],"container-title":"Saudi Pharmaceutical Journal","id":"ITEM-1","issue":"12","issued":{"date-parts":[["2020"]]},"page":"1756-1759","publisher":"King Saud University","title":"Impact of clinical pharmacist-led diabetes management clinic on health outcomes at an academic hospital in Riyadh, Saudi Arabia: A prospective cohort study","type":"article-journal","volume":"28"},"uris":["http://www.mendeley.com/documents/?uuid=8c96643a-8124-455f-8442-cb7dc2cbdf33"]}],"mendeley":{"formattedCitation":"(Alsuwayni and Alhossan, 2020)","manualFormatting":"(Alsuwayni and Alhossan, 2020, p1)","plainTextFormattedCitation":"(Alsuwayni and Alhossan, 2020)","previouslyFormattedCitation":"(Alsuwayni and Alhossan, 2020)"},"properties":{"noteIndex":0},"schema":"https://github.com/citation-style-language/schema/raw/master/csl-citation.json"}</w:instrText>
      </w:r>
      <w:r w:rsidRPr="00D44590">
        <w:rPr>
          <w:rFonts w:ascii="Arial" w:hAnsi="Arial" w:cs="Arial"/>
          <w:iCs/>
          <w:sz w:val="24"/>
          <w:szCs w:val="24"/>
          <w:lang w:val="en-GB"/>
        </w:rPr>
        <w:fldChar w:fldCharType="separate"/>
      </w:r>
      <w:r w:rsidRPr="006F4DE0">
        <w:rPr>
          <w:rFonts w:ascii="Arial" w:hAnsi="Arial" w:cs="Arial"/>
          <w:iCs/>
          <w:noProof/>
          <w:sz w:val="24"/>
          <w:szCs w:val="24"/>
          <w:lang w:val="en-GB"/>
        </w:rPr>
        <w:t>(Alsuwayni and Alhossan, 2020</w:t>
      </w:r>
      <w:r>
        <w:rPr>
          <w:rFonts w:ascii="Arial" w:hAnsi="Arial" w:cs="Arial"/>
          <w:iCs/>
          <w:noProof/>
          <w:sz w:val="24"/>
          <w:szCs w:val="24"/>
          <w:lang w:val="en-GB"/>
        </w:rPr>
        <w:t>, p1</w:t>
      </w:r>
      <w:r w:rsidRPr="006F4DE0">
        <w:rPr>
          <w:rFonts w:ascii="Arial" w:hAnsi="Arial" w:cs="Arial"/>
          <w:iCs/>
          <w:noProof/>
          <w:sz w:val="24"/>
          <w:szCs w:val="24"/>
          <w:lang w:val="en-GB"/>
        </w:rPr>
        <w:t>)</w:t>
      </w:r>
      <w:r w:rsidRPr="00D44590">
        <w:rPr>
          <w:rFonts w:ascii="Arial" w:hAnsi="Arial" w:cs="Arial"/>
          <w:iCs/>
          <w:sz w:val="24"/>
          <w:szCs w:val="24"/>
          <w:lang w:val="en-GB"/>
        </w:rPr>
        <w:fldChar w:fldCharType="end"/>
      </w:r>
      <w:r w:rsidRPr="006F4DE0">
        <w:rPr>
          <w:rFonts w:ascii="Arial" w:hAnsi="Arial" w:cs="Arial"/>
          <w:iCs/>
          <w:sz w:val="24"/>
          <w:szCs w:val="24"/>
          <w:lang w:val="en-GB"/>
        </w:rPr>
        <w:t>.</w:t>
      </w:r>
    </w:p>
    <w:p w14:paraId="6224961A" w14:textId="6BCD5F59" w:rsidR="003E4A88" w:rsidRDefault="00364131" w:rsidP="003E4A88">
      <w:pPr>
        <w:shd w:val="clear" w:color="auto" w:fill="FFFFFF"/>
        <w:spacing w:line="360" w:lineRule="auto"/>
        <w:jc w:val="both"/>
        <w:rPr>
          <w:rFonts w:asciiTheme="minorBidi" w:hAnsiTheme="minorBidi"/>
          <w:noProof/>
          <w:sz w:val="24"/>
          <w:szCs w:val="24"/>
          <w:lang w:val="en-GB"/>
        </w:rPr>
      </w:pPr>
      <w:r w:rsidRPr="00364131">
        <w:rPr>
          <w:rFonts w:asciiTheme="minorBidi" w:hAnsiTheme="minorBidi"/>
          <w:sz w:val="24"/>
          <w:szCs w:val="24"/>
          <w:lang w:val="en-GB"/>
        </w:rPr>
        <w:t>According to the IDF</w:t>
      </w:r>
      <w:r w:rsidR="005279F6">
        <w:rPr>
          <w:rFonts w:asciiTheme="minorBidi" w:hAnsiTheme="minorBidi"/>
          <w:sz w:val="24"/>
          <w:szCs w:val="24"/>
          <w:lang w:val="en-GB"/>
        </w:rPr>
        <w:t xml:space="preserve"> in 2021</w:t>
      </w:r>
      <w:r w:rsidRPr="00364131">
        <w:rPr>
          <w:rFonts w:asciiTheme="minorBidi" w:hAnsiTheme="minorBidi"/>
          <w:sz w:val="24"/>
          <w:szCs w:val="24"/>
          <w:lang w:val="en-GB"/>
        </w:rPr>
        <w:t xml:space="preserve">, </w:t>
      </w:r>
      <w:r w:rsidRPr="00B81449">
        <w:rPr>
          <w:rFonts w:asciiTheme="minorBidi" w:hAnsiTheme="minorBidi"/>
          <w:sz w:val="24"/>
          <w:szCs w:val="24"/>
          <w:lang w:val="en-GB"/>
        </w:rPr>
        <w:t>13.8</w:t>
      </w:r>
      <w:r w:rsidRPr="00364131" w:rsidDel="00364131">
        <w:rPr>
          <w:rFonts w:asciiTheme="minorBidi" w:hAnsiTheme="minorBidi"/>
          <w:sz w:val="24"/>
          <w:szCs w:val="24"/>
          <w:lang w:val="en-GB"/>
        </w:rPr>
        <w:t xml:space="preserve"> </w:t>
      </w:r>
      <w:r w:rsidRPr="00364131">
        <w:rPr>
          <w:rFonts w:asciiTheme="minorBidi" w:hAnsiTheme="minorBidi"/>
          <w:sz w:val="24"/>
          <w:szCs w:val="24"/>
          <w:lang w:val="en-GB"/>
        </w:rPr>
        <w:t>% of diabetes-related deaths in SA occur</w:t>
      </w:r>
      <w:r>
        <w:rPr>
          <w:rFonts w:asciiTheme="minorBidi" w:hAnsiTheme="minorBidi"/>
          <w:sz w:val="24"/>
          <w:szCs w:val="24"/>
          <w:lang w:val="en-GB"/>
        </w:rPr>
        <w:t>red</w:t>
      </w:r>
      <w:r w:rsidRPr="00364131">
        <w:rPr>
          <w:rFonts w:asciiTheme="minorBidi" w:hAnsiTheme="minorBidi"/>
          <w:sz w:val="24"/>
          <w:szCs w:val="24"/>
          <w:lang w:val="en-GB"/>
        </w:rPr>
        <w:t xml:space="preserve"> in people under 60 years of age</w:t>
      </w:r>
      <w:r w:rsidR="003160F9">
        <w:rPr>
          <w:rFonts w:asciiTheme="minorBidi" w:hAnsiTheme="minorBidi"/>
          <w:sz w:val="24"/>
          <w:szCs w:val="24"/>
          <w:lang w:val="en-GB"/>
        </w:rPr>
        <w:t xml:space="preserve"> </w:t>
      </w:r>
      <w:r w:rsidR="007A4CAB">
        <w:rPr>
          <w:rFonts w:asciiTheme="minorBidi" w:hAnsiTheme="minorBidi"/>
          <w:sz w:val="24"/>
          <w:szCs w:val="24"/>
          <w:lang w:val="en-GB"/>
        </w:rPr>
        <w:fldChar w:fldCharType="begin" w:fldLock="1"/>
      </w:r>
      <w:r w:rsidR="003E4A88">
        <w:rPr>
          <w:rFonts w:asciiTheme="minorBidi" w:hAnsiTheme="minorBidi"/>
          <w:sz w:val="24"/>
          <w:szCs w:val="24"/>
          <w:lang w:val="en-GB"/>
        </w:rPr>
        <w:instrText>ADDIN CSL_CITATION {"citationItems":[{"id":"ITEM-1","itemData":{"URL":"https://diabetesatlas.org/data/en/country/174/sa.html","author":[{"dropping-particle":"","family":"IDF Diabetes Atlas","given":"","non-dropping-particle":"","parse-names":false,"suffix":""}],"container-title":"2021","id":"ITEM-1","issued":{"date-parts":[["2023"]]},"title":"Saudi Arabia Diabetes report 2000 — 2045","type":"webpage"},"uris":["http://www.mendeley.com/documents/?uuid=39b0f210-e397-4aef-81f4-110120da0ab2"]}],"mendeley":{"formattedCitation":"(IDF Diabetes Atlas, 2023)","manualFormatting":"(IDF Diabetes Atlas, 2023)","plainTextFormattedCitation":"(IDF Diabetes Atlas, 2023)","previouslyFormattedCitation":"(IDF Diabetes Atlas, no date)"},"properties":{"noteIndex":0},"schema":"https://github.com/citation-style-language/schema/raw/master/csl-citation.json"}</w:instrText>
      </w:r>
      <w:r w:rsidR="007A4CAB">
        <w:rPr>
          <w:rFonts w:asciiTheme="minorBidi" w:hAnsiTheme="minorBidi"/>
          <w:sz w:val="24"/>
          <w:szCs w:val="24"/>
          <w:lang w:val="en-GB"/>
        </w:rPr>
        <w:fldChar w:fldCharType="separate"/>
      </w:r>
      <w:r w:rsidR="007A4CAB" w:rsidRPr="007A4CAB">
        <w:rPr>
          <w:rFonts w:asciiTheme="minorBidi" w:hAnsiTheme="minorBidi"/>
          <w:noProof/>
          <w:sz w:val="24"/>
          <w:szCs w:val="24"/>
          <w:lang w:val="en-GB"/>
        </w:rPr>
        <w:t xml:space="preserve">(IDF Diabetes Atlas, </w:t>
      </w:r>
      <w:r w:rsidR="001A52D0">
        <w:rPr>
          <w:rFonts w:asciiTheme="minorBidi" w:hAnsiTheme="minorBidi"/>
          <w:noProof/>
          <w:sz w:val="24"/>
          <w:szCs w:val="24"/>
          <w:lang w:val="en-GB"/>
        </w:rPr>
        <w:t>2023</w:t>
      </w:r>
      <w:r w:rsidR="007A4CAB" w:rsidRPr="007A4CAB">
        <w:rPr>
          <w:rFonts w:asciiTheme="minorBidi" w:hAnsiTheme="minorBidi"/>
          <w:noProof/>
          <w:sz w:val="24"/>
          <w:szCs w:val="24"/>
          <w:lang w:val="en-GB"/>
        </w:rPr>
        <w:t>)</w:t>
      </w:r>
      <w:r w:rsidR="007A4CAB">
        <w:rPr>
          <w:rFonts w:asciiTheme="minorBidi" w:hAnsiTheme="minorBidi"/>
          <w:sz w:val="24"/>
          <w:szCs w:val="24"/>
          <w:lang w:val="en-GB"/>
        </w:rPr>
        <w:fldChar w:fldCharType="end"/>
      </w:r>
      <w:r w:rsidRPr="00B81449">
        <w:rPr>
          <w:rFonts w:ascii="Arial" w:hAnsi="Arial" w:cs="Arial"/>
          <w:noProof/>
          <w:sz w:val="24"/>
          <w:szCs w:val="24"/>
          <w:lang w:val="en-GB"/>
        </w:rPr>
        <w:t>.</w:t>
      </w:r>
      <w:r w:rsidR="003E4A88">
        <w:rPr>
          <w:rFonts w:asciiTheme="minorBidi" w:hAnsiTheme="minorBidi"/>
          <w:noProof/>
          <w:sz w:val="24"/>
          <w:szCs w:val="24"/>
          <w:lang w:val="en-GB"/>
        </w:rPr>
        <w:t xml:space="preserve"> </w:t>
      </w:r>
    </w:p>
    <w:p w14:paraId="309C041B" w14:textId="4085A555" w:rsidR="00610EEE" w:rsidRDefault="00610EEE" w:rsidP="003E4A88">
      <w:pPr>
        <w:shd w:val="clear" w:color="auto" w:fill="FFFFFF"/>
        <w:spacing w:line="360" w:lineRule="auto"/>
        <w:jc w:val="both"/>
        <w:rPr>
          <w:rFonts w:ascii="Arial" w:hAnsi="Arial" w:cs="Arial"/>
          <w:sz w:val="24"/>
          <w:szCs w:val="24"/>
          <w:lang w:val="en-GB"/>
        </w:rPr>
      </w:pPr>
      <w:r w:rsidRPr="00A376C7">
        <w:rPr>
          <w:rFonts w:asciiTheme="minorBidi" w:hAnsiTheme="minorBidi"/>
          <w:noProof/>
          <w:sz w:val="24"/>
          <w:szCs w:val="24"/>
          <w:lang w:val="en-GB"/>
        </w:rPr>
        <w:t>Khan et al., 2019</w:t>
      </w:r>
      <w:r>
        <w:rPr>
          <w:rFonts w:asciiTheme="minorBidi" w:hAnsiTheme="minorBidi"/>
          <w:noProof/>
          <w:sz w:val="24"/>
          <w:szCs w:val="24"/>
          <w:lang w:val="en-GB"/>
        </w:rPr>
        <w:t xml:space="preserve"> found that </w:t>
      </w:r>
      <w:r w:rsidRPr="00A376C7">
        <w:rPr>
          <w:rFonts w:asciiTheme="minorBidi" w:hAnsiTheme="minorBidi"/>
          <w:sz w:val="24"/>
          <w:szCs w:val="24"/>
          <w:lang w:val="en-GB"/>
        </w:rPr>
        <w:t xml:space="preserve">over the last 30 years, the prevalence of </w:t>
      </w:r>
      <w:r>
        <w:rPr>
          <w:rFonts w:asciiTheme="minorBidi" w:hAnsiTheme="minorBidi"/>
          <w:sz w:val="24"/>
          <w:szCs w:val="24"/>
          <w:lang w:val="en-GB"/>
        </w:rPr>
        <w:t>DM</w:t>
      </w:r>
      <w:r w:rsidRPr="00A376C7">
        <w:rPr>
          <w:rFonts w:asciiTheme="minorBidi" w:hAnsiTheme="minorBidi"/>
          <w:sz w:val="24"/>
          <w:szCs w:val="24"/>
          <w:lang w:val="en-GB"/>
        </w:rPr>
        <w:t xml:space="preserve"> has increased from 4.3 to 13.4</w:t>
      </w:r>
      <w:r>
        <w:rPr>
          <w:rFonts w:asciiTheme="minorBidi" w:hAnsiTheme="minorBidi"/>
          <w:sz w:val="24"/>
          <w:szCs w:val="24"/>
          <w:lang w:val="en-GB"/>
        </w:rPr>
        <w:t xml:space="preserve"> per cent </w:t>
      </w:r>
      <w:r w:rsidRPr="00A376C7">
        <w:rPr>
          <w:rFonts w:asciiTheme="minorBidi" w:hAnsiTheme="minorBidi"/>
          <w:sz w:val="24"/>
          <w:szCs w:val="24"/>
          <w:lang w:val="en-GB"/>
        </w:rPr>
        <w:fldChar w:fldCharType="begin" w:fldLock="1"/>
      </w:r>
      <w:r w:rsidRPr="00A376C7">
        <w:rPr>
          <w:rFonts w:asciiTheme="minorBidi" w:hAnsiTheme="minorBidi"/>
          <w:sz w:val="24"/>
          <w:szCs w:val="24"/>
          <w:lang w:val="en-GB"/>
        </w:rPr>
        <w:instrText>ADDIN CSL_CITATION {"citationItems":[{"id":"ITEM-1","itemData":{"DOI":"https://dx.doi.org/10.1111/ijpp.12572","ISSN":"2042-7174","abstract":"OBJECTIVE: The aim of this program was to demonstrate that retail community pharmacists could successfully recruit, engage and counsel people with diabetes by serving as a trusted source of diabetes information. We evaluated the outcomes of this clinical program in preparation for a wider roll out., METHODS: Joslin Diabetes Center collaborated with Nahdi Medical Company, a large retail pharmacy chain in Saudi Arabia, to offer a 'Let's Talk About Diabetes' (LTAD) program. LTAD consists of four 1: 1 counselling sessions, approximately 20 min each, scheduled over a 2-4 month period with a focus on medications, lab results, glucose monitoring and doctor visits. Twenty-five pharmacists completed diabetes education certification and intensive on-site training to deliver the LTAD program., RESULTS: The 25 program pharmacists in 11 locations enrolled 2639 individual customers into the program. Of these, 1582 participated in at least one session and 1137 (71.9%) participated in at least one LTAD session and completed follow-up surveys. There were 380 customers with paired HbA1C results which demonstrated a reduction from 8.50% (69 mmol/mol) to 7.32% (56 mmol/mol) (P &lt; 0.001). There were improvements in diabetes awareness, attitudes towards diabetes and medication adherence., CONCLUSION: The evaluation of this community program suggests that a pharmacy-led diabetes education program is feasible in Saudi Arabia. Copyright © 2019 Royal Pharmaceutical Society.","author":[{"dropping-particle":"","family":"Khan","given":"Yasmin","non-dropping-particle":"","parse-names":false,"suffix":""},{"dropping-particle":"","family":"Imershein","given":"Sarah","non-dropping-particle":"","parse-names":false,"suffix":""},{"dropping-particle":"","family":"Maryniuk","given":"Melinda","non-dropping-particle":"","parse-names":false,"suffix":""},{"dropping-particle":"","family":"Armian","given":"Haleh","non-dropping-particle":"","parse-names":false,"suffix":""},{"dropping-particle":"","family":"Turkistani","given":"Sarah Anwar","non-dropping-particle":"","parse-names":false,"suffix":""},{"dropping-particle":"","family":"Bayoumi","given":"Aly H","non-dropping-particle":"","parse-names":false,"suffix":""},{"dropping-particle":"","family":"Al-Harbi","given":"Mohammed Yahia","non-dropping-particle":"","parse-names":false,"suffix":""},{"dropping-particle":"","family":"Hsu","given":"William C","non-dropping-particle":"","parse-names":false,"suffix":""}],"container-title":"The International journal of pharmacy practice","id":"ITEM-1","issued":{"date-parts":[["2019"]]},"publisher-place":"England","title":"A program utilizing community pharmacists to improve diabetes education in the Kingdom of Saudi Arabia.","type":"article-journal"},"uris":["http://www.mendeley.com/documents/?uuid=b43291bb-29ad-498c-bb34-c8f47e77c848"]}],"mendeley":{"formattedCitation":"(Khan &lt;i&gt;et al.&lt;/i&gt;, 2019)","plainTextFormattedCitation":"(Khan et al., 2019)","previouslyFormattedCitation":"(Khan &lt;i&gt;et al.&lt;/i&gt;, 2019)"},"properties":{"noteIndex":0},"schema":"https://github.com/citation-style-language/schema/raw/master/csl-citation.json"}</w:instrText>
      </w:r>
      <w:r w:rsidRPr="00A376C7">
        <w:rPr>
          <w:rFonts w:asciiTheme="minorBidi" w:hAnsiTheme="minorBidi"/>
          <w:sz w:val="24"/>
          <w:szCs w:val="24"/>
          <w:lang w:val="en-GB"/>
        </w:rPr>
        <w:fldChar w:fldCharType="separate"/>
      </w:r>
      <w:r w:rsidRPr="00A376C7">
        <w:rPr>
          <w:rFonts w:asciiTheme="minorBidi" w:hAnsiTheme="minorBidi"/>
          <w:noProof/>
          <w:sz w:val="24"/>
          <w:szCs w:val="24"/>
          <w:lang w:val="en-GB"/>
        </w:rPr>
        <w:t>(Khan et al., 2019)</w:t>
      </w:r>
      <w:r w:rsidRPr="00A376C7">
        <w:rPr>
          <w:rFonts w:asciiTheme="minorBidi" w:hAnsiTheme="minorBidi"/>
          <w:sz w:val="24"/>
          <w:szCs w:val="24"/>
          <w:lang w:val="en-GB"/>
        </w:rPr>
        <w:fldChar w:fldCharType="end"/>
      </w:r>
      <w:r>
        <w:rPr>
          <w:rFonts w:asciiTheme="minorBidi" w:hAnsiTheme="minorBidi"/>
          <w:sz w:val="24"/>
          <w:szCs w:val="24"/>
          <w:lang w:val="en-GB"/>
        </w:rPr>
        <w:t xml:space="preserve"> and </w:t>
      </w:r>
      <w:r w:rsidRPr="006B2FC7">
        <w:rPr>
          <w:rFonts w:ascii="Arial" w:hAnsi="Arial" w:cs="Arial"/>
          <w:sz w:val="24"/>
          <w:szCs w:val="24"/>
          <w:lang w:val="en-GB"/>
        </w:rPr>
        <w:t xml:space="preserve">Makeen (2017) also commented that the prevalence of </w:t>
      </w:r>
      <w:r>
        <w:rPr>
          <w:rFonts w:ascii="Arial" w:hAnsi="Arial" w:cs="Arial"/>
          <w:sz w:val="24"/>
          <w:szCs w:val="24"/>
          <w:lang w:val="en-GB"/>
        </w:rPr>
        <w:t>DM</w:t>
      </w:r>
      <w:r w:rsidRPr="006B2FC7">
        <w:rPr>
          <w:rFonts w:ascii="Arial" w:hAnsi="Arial" w:cs="Arial"/>
          <w:sz w:val="24"/>
          <w:szCs w:val="24"/>
          <w:lang w:val="en-GB"/>
        </w:rPr>
        <w:t xml:space="preserve"> in SA is three times higher compared to the rest of the world (based on the report by the </w:t>
      </w:r>
      <w:r w:rsidR="00A4395A">
        <w:rPr>
          <w:rFonts w:ascii="Arial" w:hAnsi="Arial" w:cs="Arial"/>
          <w:sz w:val="24"/>
          <w:szCs w:val="24"/>
          <w:lang w:val="en-GB"/>
        </w:rPr>
        <w:t>IDF</w:t>
      </w:r>
      <w:r w:rsidRPr="006B2FC7">
        <w:rPr>
          <w:rFonts w:ascii="Arial" w:hAnsi="Arial" w:cs="Arial"/>
          <w:sz w:val="24"/>
          <w:szCs w:val="24"/>
          <w:lang w:val="en-GB"/>
        </w:rPr>
        <w:t xml:space="preserve"> in 2011). Despite diabetes being in general an age-associated disorder, this pattern is not reflected in Saudi society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2017)","plainTextFormattedCitation":"(Makeen, 2017)","previouslyFormattedCitation":"(Makeen, 2017)"},"properties":{"noteIndex":0},"schema":"https://github.com/citation-style-language/schema/raw/master/csl-citation.json"}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(Makeen, 2017)</w:t>
      </w:r>
      <w:r w:rsidRPr="006B2FC7">
        <w:rPr>
          <w:rFonts w:ascii="Arial" w:hAnsi="Arial" w:cs="Arial"/>
          <w:sz w:val="24"/>
          <w:szCs w:val="24"/>
          <w:lang w:val="en-GB"/>
        </w:rPr>
        <w:fldChar w:fldCharType="end"/>
      </w:r>
      <w:r w:rsidRPr="006B2FC7">
        <w:rPr>
          <w:rFonts w:ascii="Arial" w:hAnsi="Arial" w:cs="Arial"/>
          <w:sz w:val="24"/>
          <w:szCs w:val="24"/>
          <w:lang w:val="en-GB"/>
        </w:rPr>
        <w:t xml:space="preserve">, and more than 25% of the adult population has diabetes, a figure predicted to more than </w:t>
      </w:r>
      <w:r w:rsidRPr="00B55EDD">
        <w:rPr>
          <w:rFonts w:ascii="Arial" w:hAnsi="Arial" w:cs="Arial"/>
          <w:sz w:val="24"/>
          <w:szCs w:val="24"/>
          <w:lang w:val="en-GB"/>
        </w:rPr>
        <w:t>double b</w:t>
      </w:r>
      <w:r w:rsidRPr="006B2FC7">
        <w:rPr>
          <w:rFonts w:ascii="Arial" w:hAnsi="Arial" w:cs="Arial"/>
          <w:sz w:val="24"/>
          <w:szCs w:val="24"/>
          <w:lang w:val="en-GB"/>
        </w:rPr>
        <w:t>y 2030</w:t>
      </w:r>
      <w:r w:rsidRPr="006B2FC7">
        <w:rPr>
          <w:rFonts w:ascii="Arial" w:hAnsi="Arial" w:cs="Arial"/>
          <w:color w:val="FF0000"/>
          <w:sz w:val="24"/>
          <w:szCs w:val="24"/>
          <w:lang w:val="en-GB"/>
        </w:rPr>
        <w:t xml:space="preserve"> </w:t>
      </w:r>
      <w:r w:rsidRPr="00B55EDD">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{"citationItems":[{"id":"ITEM-1","itemData":{"abstract":"The World Health Organization has ranked Saudi Arabia as having the second highest rate of diabetes in the Middle East (7 th highest in the world) with an estimated population of 7 million living with diabetes and more than 3 million with pre-diabetes. This presents a pressing public health problem. Several challenges in diabetes management need to be tackled in Saudi Arabia, including the growing prevalence (chiefly among children and young adults), micro-and macrovascular complications , lifestyle changes, late diagnosis, poor awareness and high treatment costs. Over the last two decades , the Saudi population saw an increase in the expenses in healthcare and treatment of diabetes by by more than 500%. In 2014, the health care budget was 180 billion (Saudi Riyal) of which 17 billion was spent on all Saudis, with an approximate 25 billion on the entire Saudi diabetic population. This implies that the direct expense of diabetes is costing Saudi Arabia around 13.9% of the total health expenditure. Therefore, unless a comprehensive epidemic control program/multidisciplinary approach is stringently enforced, the diabetes mellitus burden on Saudi Arabia will probably increase to very serious levels. It is crucial to implement improved health and health-related quality of life of to those with diabetes, thus minimizing the social and personal expenses for diabetes care in Saudi Arabia. In this study we discuss the significant and major threats posed by diabetes mellitus to the Saudi population and recommend essential possible solutions to delay/prevent this formidable issue.","author":[{"dropping-particle":"","family":"Robert","given":"Asirvatham Alwin","non-dropping-particle":"","parse-names":false,"suffix":""},{"dropping-particle":"","family":"Abdulaziz Al Dawish","given":"Mohamed","non-dropping-particle":"","parse-names":false,"suffix":""},{"dropping-particle":"","family":"Braham","given":"Rim","non-dropping-particle":"","parse-names":false,"suffix":""},{"dropping-particle":"","family":"Ali Musallam","given":"Maha","non-dropping-particle":"","parse-names":false,"suffix":""},{"dropping-particle":"","family":"Abdullah Al Hayek","given":"Ayman","non-dropping-particle":"","parse-names":false,"suffix":""},{"dropping-particle":"","family":"Hazza Al Kahtany","given":"Nasser","non-dropping-particle":"","parse-names":false,"suffix":""}],"container-title":"Bentham Science Publishers","id":"ITEM-1","issued":{"date-parts":[["2016"]]},"title":"Type 2 Diabetes Mellitus in Saudi Arabia: Major Challenges and Possible Solutions","type":"article-journal"},"uris":["http://www.mendeley.com/documents/?uuid=51ebfa95-993d-389e-8716-96403897a3c3"]}],"mendeley":{"formattedCitation":"(Robert &lt;i&gt;et al.&lt;/i&gt;, 2016)","plainTextFormattedCitation":"(Robert et al., 2016)","previouslyFormattedCitation":"(Robert &lt;i&gt;et al.&lt;/i&gt;, 2016)"},"properties":{"noteIndex":0},"schema":"https://github.com/citation-style-language/schema/raw/master/csl-citation.json"}</w:instrText>
      </w:r>
      <w:r w:rsidRPr="00B55EDD">
        <w:rPr>
          <w:rFonts w:ascii="Arial" w:hAnsi="Arial" w:cs="Arial"/>
          <w:sz w:val="24"/>
          <w:szCs w:val="24"/>
          <w:lang w:val="en-GB"/>
        </w:rPr>
        <w:fldChar w:fldCharType="separate"/>
      </w:r>
      <w:r w:rsidRPr="00B55EDD">
        <w:rPr>
          <w:rFonts w:ascii="Arial" w:hAnsi="Arial" w:cs="Arial"/>
          <w:noProof/>
          <w:sz w:val="24"/>
          <w:szCs w:val="24"/>
          <w:lang w:val="en-GB"/>
        </w:rPr>
        <w:t xml:space="preserve">(Robert </w:t>
      </w:r>
      <w:r w:rsidRPr="00B55EDD">
        <w:rPr>
          <w:rFonts w:ascii="Arial" w:hAnsi="Arial" w:cs="Arial"/>
          <w:i/>
          <w:noProof/>
          <w:sz w:val="24"/>
          <w:szCs w:val="24"/>
          <w:lang w:val="en-GB"/>
        </w:rPr>
        <w:t>et al.</w:t>
      </w:r>
      <w:r w:rsidRPr="00B55EDD">
        <w:rPr>
          <w:rFonts w:ascii="Arial" w:hAnsi="Arial" w:cs="Arial"/>
          <w:noProof/>
          <w:sz w:val="24"/>
          <w:szCs w:val="24"/>
          <w:lang w:val="en-GB"/>
        </w:rPr>
        <w:t>, 2016)</w:t>
      </w:r>
      <w:r w:rsidRPr="00B55EDD">
        <w:rPr>
          <w:rFonts w:ascii="Arial" w:hAnsi="Arial" w:cs="Arial"/>
          <w:sz w:val="24"/>
          <w:szCs w:val="24"/>
          <w:lang w:val="en-GB"/>
        </w:rPr>
        <w:fldChar w:fldCharType="end"/>
      </w:r>
      <w:r>
        <w:rPr>
          <w:rFonts w:ascii="Arial" w:hAnsi="Arial" w:cs="Arial"/>
          <w:sz w:val="24"/>
          <w:szCs w:val="24"/>
          <w:lang w:val="en-GB"/>
        </w:rPr>
        <w:t xml:space="preserve">. </w:t>
      </w:r>
    </w:p>
    <w:p w14:paraId="6C564ACF" w14:textId="77777777" w:rsidR="00610EEE" w:rsidRPr="00A376C7" w:rsidRDefault="00610EEE" w:rsidP="00610EEE">
      <w:pPr>
        <w:shd w:val="clear" w:color="auto" w:fill="FFFFFF"/>
        <w:spacing w:line="360" w:lineRule="auto"/>
        <w:jc w:val="both"/>
        <w:rPr>
          <w:rFonts w:asciiTheme="minorBidi" w:hAnsiTheme="minorBidi"/>
          <w:sz w:val="24"/>
          <w:szCs w:val="24"/>
          <w:lang w:val="en-GB"/>
        </w:rPr>
      </w:pPr>
      <w:r w:rsidRPr="00A376C7">
        <w:rPr>
          <w:rFonts w:asciiTheme="minorBidi" w:hAnsiTheme="minorBidi"/>
          <w:sz w:val="24"/>
          <w:szCs w:val="24"/>
          <w:lang w:val="en-GB"/>
        </w:rPr>
        <w:t>DM is a metabolic disorder disease because of the glucose intolerance associated with disturbances of carbohydrate, fat, and protein metabolism. DM has three main types; type1; type 2; and gestational diabetes mellitus (GDM)</w:t>
      </w:r>
      <w:r>
        <w:rPr>
          <w:rFonts w:asciiTheme="minorBidi" w:hAnsiTheme="minorBidi"/>
          <w:sz w:val="24"/>
          <w:szCs w:val="24"/>
          <w:lang w:val="en-GB"/>
        </w:rPr>
        <w:t xml:space="preserve">. In SA, type 2 diabetes (T2D) accounts for 90% of diabetic cases </w:t>
      </w:r>
      <w:r>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{"citationItems":[{"id":"ITEM-1","itemData":{"URL":"https://www.moh.gov.sa/en/Ministry/MediaCenter/Publications/Pages/Publications-2013-11-12-001.aspx","accessed":{"date-parts":[["2020","7","15"]]},"author":[{"dropping-particle":"","family":"Ministry of Health-Saudi Arabia","given":"","non-dropping-particle":"","parse-names":false,"suffix":""}],"id":"ITEM-1","issued":{"date-parts":[["2020"]]},"title":"MOH Publications - Media Report on the MOH Efforts of Educating on Diabetes","type":"webpage"},"uris":["http://www.mendeley.com/documents/?uuid=29fe155b-7881-319f-8d4d-84841bc74e7b"]}],"mendeley":{"formattedCitation":"(Ministry of Health-Saudi Arabia, 2020)","manualFormatting":"(Ministry of Health-Saudi Arabia, 2020)","plainTextFormattedCitation":"(Ministry of Health-Saudi Arabia, 2020)","previouslyFormattedCitation":"(Ministry of Health-Saudi Arabia, 2020)"},"properties":{"noteIndex":0},"schema":"https://github.com/citation-style-language/schema/raw/master/csl-citation.json"}</w:instrText>
      </w:r>
      <w:r>
        <w:rPr>
          <w:rFonts w:asciiTheme="minorBidi" w:hAnsiTheme="minorBidi"/>
          <w:sz w:val="24"/>
          <w:szCs w:val="24"/>
          <w:lang w:val="en-GB"/>
        </w:rPr>
        <w:fldChar w:fldCharType="separate"/>
      </w:r>
      <w:r w:rsidRPr="009C3B6A">
        <w:rPr>
          <w:rFonts w:asciiTheme="minorBidi" w:hAnsiTheme="minorBidi"/>
          <w:noProof/>
          <w:sz w:val="24"/>
          <w:szCs w:val="24"/>
          <w:lang w:val="en-GB"/>
        </w:rPr>
        <w:t xml:space="preserve">(Ministry of Health-Saudi Arabia, </w:t>
      </w:r>
      <w:r>
        <w:rPr>
          <w:rFonts w:asciiTheme="minorBidi" w:hAnsiTheme="minorBidi"/>
          <w:noProof/>
          <w:sz w:val="24"/>
          <w:szCs w:val="24"/>
          <w:lang w:val="en-GB"/>
        </w:rPr>
        <w:t>2020</w:t>
      </w:r>
      <w:r w:rsidRPr="009C3B6A">
        <w:rPr>
          <w:rFonts w:asciiTheme="minorBidi" w:hAnsiTheme="minorBidi"/>
          <w:noProof/>
          <w:sz w:val="24"/>
          <w:szCs w:val="24"/>
          <w:lang w:val="en-GB"/>
        </w:rPr>
        <w:t>)</w:t>
      </w:r>
      <w:r>
        <w:rPr>
          <w:rFonts w:asciiTheme="minorBidi" w:hAnsiTheme="minorBidi"/>
          <w:sz w:val="24"/>
          <w:szCs w:val="24"/>
          <w:lang w:val="en-GB"/>
        </w:rPr>
        <w:fldChar w:fldCharType="end"/>
      </w:r>
      <w:r>
        <w:rPr>
          <w:rFonts w:asciiTheme="minorBidi" w:hAnsiTheme="minorBidi"/>
          <w:sz w:val="24"/>
          <w:szCs w:val="24"/>
          <w:lang w:val="en-GB"/>
        </w:rPr>
        <w:t>. DM</w:t>
      </w:r>
      <w:r w:rsidRPr="00A376C7">
        <w:rPr>
          <w:rFonts w:asciiTheme="minorBidi" w:hAnsiTheme="minorBidi"/>
          <w:sz w:val="24"/>
          <w:szCs w:val="24"/>
          <w:lang w:val="en-GB"/>
        </w:rPr>
        <w:t xml:space="preserve"> is characteri</w:t>
      </w:r>
      <w:r>
        <w:rPr>
          <w:rFonts w:asciiTheme="minorBidi" w:hAnsiTheme="minorBidi"/>
          <w:sz w:val="24"/>
          <w:szCs w:val="24"/>
          <w:lang w:val="en-GB"/>
        </w:rPr>
        <w:t>s</w:t>
      </w:r>
      <w:r w:rsidRPr="00A376C7">
        <w:rPr>
          <w:rFonts w:asciiTheme="minorBidi" w:hAnsiTheme="minorBidi"/>
          <w:sz w:val="24"/>
          <w:szCs w:val="24"/>
          <w:lang w:val="en-GB"/>
        </w:rPr>
        <w:t xml:space="preserve">ed by sustained hyperglycaemia caused by the inadequate insulin secretion, impaired effectiveness of insulin action, or a combination of the two as in </w:t>
      </w:r>
      <w:r>
        <w:rPr>
          <w:rFonts w:asciiTheme="minorBidi" w:hAnsiTheme="minorBidi"/>
          <w:sz w:val="24"/>
          <w:szCs w:val="24"/>
          <w:lang w:val="en-GB"/>
        </w:rPr>
        <w:t>T2D</w:t>
      </w:r>
      <w:r w:rsidRPr="00A376C7">
        <w:rPr>
          <w:rFonts w:asciiTheme="minorBidi" w:hAnsiTheme="minorBidi"/>
          <w:sz w:val="24"/>
          <w:szCs w:val="24"/>
          <w:lang w:val="en-GB"/>
        </w:rPr>
        <w:t>, or absence of insulin secretion as in type 1 DM</w:t>
      </w:r>
      <w:r>
        <w:rPr>
          <w:rFonts w:asciiTheme="minorBidi" w:hAnsiTheme="minorBidi"/>
          <w:sz w:val="24"/>
          <w:szCs w:val="24"/>
          <w:lang w:val="en-GB"/>
        </w:rPr>
        <w:t xml:space="preserve"> </w:t>
      </w:r>
      <w:r>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{"citationItems":[{"id":"ITEM-1","itemData":{"DOI":"10.2147/DMSO.S156214","ISSN":"11787007","abstract":"Background: Although the prevalence of type 2 diabetes mellitus (T2DM) is rising sharply in Saudi Arabia, data on glycemic control, crucial to reducing diabetes mellitus complications, remain scarce. This study therefore investigated glycemic control status and the factors influencing poor glycemic control among adult T2DM patients in Saudi Arabia. Methods: This cross-sectional study examined 423 T2DM patients at a diabetic center in Tabuk, Saudi Arabia between September 2016 and July 2017. Glycemic levels were measured via fasting blood glucose (FBG) levels, and “poor glycemic control” was defined as FBG &gt;130 mg/dL. Poor glycemic control’s risk factors were identified using a logistic regression. Results: In the sample, 74.9% of the patients had poor blood glycemic control. Logistic regression revealed that T2DM patients had an increased chance of poorly controlled diabetes if they had family histories of diabetes (adjusted odds ratio [AOR] =7.38, 95% CI 4.09–13.31), longer diabetic durations (AOR =2.33, 95% CI 1.14–4.78 for 5–10 years and AOR =5.19, 95% CI 2.50–10.69 for &gt;10 years), insufficient physical exercise (AOR =19.02, 95% CI 6.23–58.06), or were overweight (AOR =3.79, 95% CI 2.00–7.18), or obese (AOR =5.35, 95% CI 2.72–12.59). Conclusion: A high proportion of the sampled patients had poor glycemic control, therefore, health care professionals should manage the associated risk factors to limit disease complications and improve the health of patients with diabetes.","author":[{"dropping-particle":"","family":"Alzaheb","given":"Riyadh A.","non-dropping-particle":"","parse-names":false,"suffix":""},{"dropping-particle":"","family":"Altemani","given":"Abdullah H.","non-dropping-particle":"","parse-names":false,"suffix":""}],"container-title":"Diabetes, Metabolic Syndrome and Obesity: Targets and Therapy","id":"ITEM-1","issued":{"date-parts":[["2018"]]},"page":"15-21","title":"The prevalence and determinants of poor glycemic control among adults with type 2 diabetes mellitus in Saudi Arabia","type":"article-journal","volume":"11"},"uris":["http://www.mendeley.com/documents/?uuid=fdd6d1e5-9141-471b-9ab3-10f753af0409"]}],"mendeley":{"formattedCitation":"(Alzaheb and Altemani, 2018)","plainTextFormattedCitation":"(Alzaheb and Altemani, 2018)","previouslyFormattedCitation":"(Alzaheb and Altemani, 2018)"},"properties":{"noteIndex":0},"schema":"https://github.com/citation-style-language/schema/raw/master/csl-citation.json"}</w:instrText>
      </w:r>
      <w:r>
        <w:rPr>
          <w:rFonts w:asciiTheme="minorBidi" w:hAnsiTheme="minorBidi"/>
          <w:sz w:val="24"/>
          <w:szCs w:val="24"/>
          <w:lang w:val="en-GB"/>
        </w:rPr>
        <w:fldChar w:fldCharType="separate"/>
      </w:r>
      <w:r w:rsidRPr="00E356A0">
        <w:rPr>
          <w:rFonts w:asciiTheme="minorBidi" w:hAnsiTheme="minorBidi"/>
          <w:noProof/>
          <w:sz w:val="24"/>
          <w:szCs w:val="24"/>
          <w:lang w:val="en-GB"/>
        </w:rPr>
        <w:t>(Alzaheb and Altemani, 2018)</w:t>
      </w:r>
      <w:r>
        <w:rPr>
          <w:rFonts w:asciiTheme="minorBidi" w:hAnsiTheme="minorBidi"/>
          <w:sz w:val="24"/>
          <w:szCs w:val="24"/>
          <w:lang w:val="en-GB"/>
        </w:rPr>
        <w:fldChar w:fldCharType="end"/>
      </w:r>
      <w:r>
        <w:rPr>
          <w:rFonts w:asciiTheme="minorBidi" w:hAnsiTheme="minorBidi"/>
          <w:sz w:val="24"/>
          <w:szCs w:val="24"/>
          <w:lang w:val="en-GB"/>
        </w:rPr>
        <w:t>.</w:t>
      </w:r>
    </w:p>
    <w:p w14:paraId="4580E095" w14:textId="77777777" w:rsidR="00610EEE" w:rsidRDefault="00610EEE" w:rsidP="00610EEE">
      <w:pPr>
        <w:shd w:val="clear" w:color="auto" w:fill="FFFFFF"/>
        <w:spacing w:line="360" w:lineRule="auto"/>
        <w:jc w:val="both"/>
        <w:rPr>
          <w:rFonts w:ascii="Arial" w:hAnsi="Arial" w:cs="Arial"/>
          <w:sz w:val="24"/>
          <w:szCs w:val="24"/>
          <w:lang w:val="en-GB"/>
        </w:rPr>
      </w:pPr>
      <w:r w:rsidRPr="006B2FC7">
        <w:rPr>
          <w:rFonts w:ascii="Arial" w:hAnsi="Arial" w:cs="Arial"/>
          <w:sz w:val="24"/>
          <w:szCs w:val="24"/>
          <w:lang w:val="en-GB"/>
        </w:rPr>
        <w:t xml:space="preserve">DM is </w:t>
      </w:r>
      <w:r w:rsidRPr="00A376C7">
        <w:rPr>
          <w:rFonts w:asciiTheme="minorBidi" w:hAnsiTheme="minorBidi"/>
          <w:sz w:val="24"/>
          <w:szCs w:val="24"/>
          <w:lang w:val="en-GB"/>
        </w:rPr>
        <w:t>known as a long-term condition</w:t>
      </w:r>
      <w:r>
        <w:rPr>
          <w:rFonts w:asciiTheme="minorBidi" w:hAnsiTheme="minorBidi"/>
          <w:sz w:val="24"/>
          <w:szCs w:val="24"/>
          <w:lang w:val="en-GB"/>
        </w:rPr>
        <w:t xml:space="preserve"> as well as a</w:t>
      </w:r>
      <w:r w:rsidRPr="00A376C7">
        <w:rPr>
          <w:rFonts w:asciiTheme="minorBidi" w:hAnsiTheme="minorBidi"/>
          <w:sz w:val="24"/>
          <w:szCs w:val="24"/>
          <w:lang w:val="en-GB"/>
        </w:rPr>
        <w:t xml:space="preserve"> </w:t>
      </w:r>
      <w:r w:rsidRPr="006B2FC7">
        <w:rPr>
          <w:rFonts w:ascii="Arial" w:hAnsi="Arial" w:cs="Arial"/>
          <w:sz w:val="24"/>
          <w:szCs w:val="24"/>
          <w:lang w:val="en-GB"/>
        </w:rPr>
        <w:t>progressive disease and, if not appropriately managed, could lead to severe health complications</w:t>
      </w:r>
      <w:r>
        <w:rPr>
          <w:rFonts w:ascii="Arial" w:hAnsi="Arial" w:cs="Arial"/>
          <w:sz w:val="24"/>
          <w:szCs w:val="24"/>
          <w:lang w:val="en-GB"/>
        </w:rPr>
        <w:t xml:space="preserv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{"citationItems":[{"id":"ITEM-1","itemData":{"ISBN":"2930229802","author":[{"dropping-particle":"","family":"Internation Diabetes Federation","given":"","non-dropping-particle":"","parse-names":false,"suffix":""}],"container-title":"Dunia : IDF","id":"ITEM-1","issued":{"date-parts":[["2015"]]},"title":"IDF Diabetes Atlas Seventh","type":"book"},"uris":["http://www.mendeley.com/documents/?uuid=1521a427-dfc3-4727-bb25-d50f3dba563f"]}],"mendeley":{"formattedCitation":"(Internation Diabetes Federation, 2015)","manualFormatting":"(International Diabetes Federation, 2015)","plainTextFormattedCitation":"(Internation Diabetes Federation, 2015)","previouslyFormattedCitation":"(Internation Diabetes Federation, 2015)"},"properties":{"noteIndex":0},"schema":"https://github.com/citation-style-language/schema/raw/master/csl-citation.json"}</w:instrText>
      </w:r>
      <w:r>
        <w:rPr>
          <w:rFonts w:ascii="Arial" w:hAnsi="Arial" w:cs="Arial"/>
          <w:sz w:val="24"/>
          <w:szCs w:val="24"/>
          <w:lang w:val="en-GB"/>
        </w:rPr>
        <w:fldChar w:fldCharType="separate"/>
      </w:r>
      <w:r w:rsidRPr="00B55EDD">
        <w:rPr>
          <w:rFonts w:ascii="Arial" w:hAnsi="Arial" w:cs="Arial"/>
          <w:noProof/>
          <w:sz w:val="24"/>
          <w:szCs w:val="24"/>
          <w:lang w:val="en-GB"/>
        </w:rPr>
        <w:t>(Internation</w:t>
      </w:r>
      <w:r>
        <w:rPr>
          <w:rFonts w:ascii="Arial" w:hAnsi="Arial" w:cs="Arial"/>
          <w:noProof/>
          <w:sz w:val="24"/>
          <w:szCs w:val="24"/>
          <w:lang w:val="en-GB"/>
        </w:rPr>
        <w:t>al</w:t>
      </w:r>
      <w:r w:rsidRPr="00B55EDD">
        <w:rPr>
          <w:rFonts w:ascii="Arial" w:hAnsi="Arial" w:cs="Arial"/>
          <w:noProof/>
          <w:sz w:val="24"/>
          <w:szCs w:val="24"/>
          <w:lang w:val="en-GB"/>
        </w:rPr>
        <w:t xml:space="preserve"> Diabetes Federation, 2015)</w:t>
      </w:r>
      <w:r>
        <w:rPr>
          <w:rFonts w:ascii="Arial" w:hAnsi="Arial" w:cs="Arial"/>
          <w:sz w:val="24"/>
          <w:szCs w:val="24"/>
          <w:lang w:val="en-GB"/>
        </w:rPr>
        <w:fldChar w:fldCharType="end"/>
      </w:r>
      <w:r w:rsidRPr="006B2FC7">
        <w:rPr>
          <w:rFonts w:ascii="Arial" w:hAnsi="Arial" w:cs="Arial"/>
          <w:sz w:val="24"/>
          <w:szCs w:val="24"/>
          <w:lang w:val="en-GB"/>
        </w:rPr>
        <w:t>.</w:t>
      </w:r>
      <w:r>
        <w:rPr>
          <w:rFonts w:ascii="Arial" w:hAnsi="Arial" w:cs="Arial"/>
          <w:sz w:val="24"/>
          <w:szCs w:val="24"/>
          <w:lang w:val="en-GB"/>
        </w:rPr>
        <w:t xml:space="preserve"> </w:t>
      </w:r>
      <w:r w:rsidRPr="006B2FC7">
        <w:rPr>
          <w:rFonts w:ascii="Arial" w:hAnsi="Arial" w:cs="Arial"/>
          <w:sz w:val="24"/>
          <w:szCs w:val="24"/>
          <w:lang w:val="en-GB"/>
        </w:rPr>
        <w:t xml:space="preserve">Diabetes-related problems target various organs and complications are classified as macrovascular (increasing risks of coronary heart diseases, stroke, and peripheral vascular disease) and microvascular (with risks of renal failure, neuropathy and foot ulcers, as well as retinopathy and visual impairment)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2017)","plainTextFormattedCitation":"(Makeen, 2017)","previouslyFormattedCitation":"(Makeen, 2017)"},"properties":{"noteIndex":0},"schema":"https://github.com/citation-style-language/schema/raw/master/csl-citation.json"}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(Makeen, 2017)</w:t>
      </w:r>
      <w:r w:rsidRPr="006B2FC7">
        <w:rPr>
          <w:rFonts w:ascii="Arial" w:hAnsi="Arial" w:cs="Arial"/>
          <w:sz w:val="24"/>
          <w:szCs w:val="24"/>
          <w:lang w:val="en-GB"/>
        </w:rPr>
        <w:fldChar w:fldCharType="end"/>
      </w:r>
      <w:r w:rsidRPr="006B2FC7">
        <w:rPr>
          <w:rFonts w:ascii="Arial" w:hAnsi="Arial" w:cs="Arial"/>
          <w:sz w:val="24"/>
          <w:szCs w:val="24"/>
          <w:lang w:val="en-GB"/>
        </w:rPr>
        <w:t>.</w:t>
      </w:r>
      <w:r>
        <w:rPr>
          <w:rFonts w:ascii="Arial" w:hAnsi="Arial" w:cs="Arial"/>
          <w:sz w:val="24"/>
          <w:szCs w:val="24"/>
          <w:lang w:val="en-GB"/>
        </w:rPr>
        <w:t xml:space="preserve"> </w:t>
      </w:r>
    </w:p>
    <w:p w14:paraId="7C3497DB" w14:textId="4637E89B" w:rsidR="00610EEE" w:rsidRDefault="00610EEE" w:rsidP="00610EEE">
      <w:pPr>
        <w:shd w:val="clear" w:color="auto" w:fill="FFFFFF"/>
        <w:spacing w:line="360" w:lineRule="auto"/>
        <w:jc w:val="both"/>
        <w:rPr>
          <w:rFonts w:ascii="Arial" w:hAnsi="Arial" w:cs="Arial"/>
          <w:sz w:val="24"/>
          <w:szCs w:val="24"/>
          <w:lang w:val="en-GB"/>
        </w:rPr>
      </w:pPr>
      <w:r w:rsidRPr="00FC7648">
        <w:rPr>
          <w:rFonts w:ascii="Arial" w:hAnsi="Arial" w:cs="Arial"/>
          <w:sz w:val="24"/>
          <w:szCs w:val="24"/>
          <w:lang w:val="en-GB"/>
        </w:rPr>
        <w:t>People with diabetes are more likely to die from cardiovascular diseases (CVD). The incidence of CVD in these people is approximately twice that of those without diabetes. CVD</w:t>
      </w:r>
      <w:r>
        <w:rPr>
          <w:rFonts w:ascii="Arial" w:hAnsi="Arial" w:cs="Arial"/>
          <w:sz w:val="24"/>
          <w:szCs w:val="24"/>
          <w:lang w:val="en-GB"/>
        </w:rPr>
        <w:t>, therefore,</w:t>
      </w:r>
      <w:r w:rsidRPr="00FC7648">
        <w:rPr>
          <w:rFonts w:ascii="Arial" w:hAnsi="Arial" w:cs="Arial"/>
          <w:sz w:val="24"/>
          <w:szCs w:val="24"/>
          <w:lang w:val="en-GB"/>
        </w:rPr>
        <w:t xml:space="preserve"> are considered the leading cause of death among people with diabetes</w:t>
      </w:r>
      <w:r>
        <w:rPr>
          <w:rFonts w:ascii="Arial" w:hAnsi="Arial" w:cs="Arial"/>
          <w:sz w:val="24"/>
          <w:szCs w:val="24"/>
          <w:lang w:val="en-GB"/>
        </w:rPr>
        <w:t xml:space="preserve"> </w:t>
      </w:r>
      <w:r>
        <w:rPr>
          <w:rFonts w:ascii="Arial" w:hAnsi="Arial" w:cs="Arial"/>
          <w:sz w:val="24"/>
          <w:szCs w:val="24"/>
          <w:lang w:val="en-GB"/>
        </w:rPr>
        <w:fldChar w:fldCharType="begin" w:fldLock="1"/>
      </w:r>
      <w:r w:rsidR="00310DAC">
        <w:rPr>
          <w:rFonts w:ascii="Arial" w:hAnsi="Arial" w:cs="Arial"/>
          <w:sz w:val="24"/>
          <w:szCs w:val="24"/>
          <w:lang w:val="en-GB"/>
        </w:rPr>
        <w:instrText>ADDIN CSL_CITATION {"citationItems":[{"id":"ITEM-1","itemData":{"DOI":"10.2337/dc12-0369","ISSN":"01495992","PMID":"23173140","abstract":"OBJECTIVE - This systematic review and meta-analysis of randomized controlled trials (RCTs) assesses the effect of pharmacist care on cardiovascular disease (CVD) risk factors among outpatients with diabetes. RESEARCH DESIGN AND METHODS - MEDLINE, EMBASE, CINAHL, and the Cochrane Central Register of Controlled Trials were searched. Pharmacist interventions were classified, and a meta-analysis of mean changes of blood pressure (BP), total cholesterol (TC), LDL cholesterol, HDL cholesterol, and BMI was performed using random-effects models. RESULTS - The meta-analysis included 15 RCTs (9,111 outpatients) in which interventions were conducted exclusively by pharmacists in 8 studies and in collaboration with physicians, nurses, dietitians, or physical therapists in 7 studies. Pharmacist interventions included medication management, educational interventions, feedback to physicians, measurement of CVD risk factors, or patient-reminder systems. Compared with usual care, pharmacist care was associated with significant reductions for systolic BP (12 studies with 1,894 patients; -6.2 mmHg [95% CI -7.8 to -4.6]); diastolic BP (9 studies with 1,496 patients; -4.5 mmHg [-6.2 to -2.8]); TC (8 studies with 1,280 patients; -15.2 mg/dL [-24.7 to -5.7]); LDL cholesterol (9 studies with 8,084 patients; -11.7mg/dL [-15.8 to-7.6]); and BMI (5 studies with 751 patients; -0.9 kg/m2 [-1.7 to -0.1]). Pharmacist care was not associated with a significant change in HDL cholesterol (6 studies with 826 patients; 0.2 mg/dL [-1.9 to 2.4]). CONCLUSIONS - This meta-analysis supports pharmacist interventions - alone or in collaboration with other health care professionals - to improve major CVD risk factors among outpatients with diabetes. © 2012 by the American Diabetes Association.","author":[{"dropping-particle":"","family":"Santschi","given":"Valérie","non-dropping-particle":"","parse-names":false,"suffix":""},{"dropping-particle":"","family":"Colosimo","given":"April L.","non-dropping-particle":"","parse-names":false,"suffix":""},{"dropping-particle":"","family":"Chiolero","given":"Arnaud","non-dropping-particle":"","parse-names":false,"suffix":""},{"dropping-particle":"","family":"Burnand","given":"Bernard","non-dropping-particle":"","parse-names":false,"suffix":""},{"dropping-particle":"","family":"Paradis","given":"Gilles","non-dropping-particle":"","parse-names":false,"suffix":""}],"container-title":"Diabetes Care","id":"ITEM-1","issue":"12","issued":{"date-parts":[["2012"]]},"page":"2706-2717","title":"Pharmacist interventions to improve cardiovascular disease risk factors in diabetes: A systematic review and meta-analysis of randomized controlled trials","type":"article-journal","volume":"35"},"uris":["http://www.mendeley.com/documents/?uuid=18e4bb6b-cf5b-4195-a39f-51ac6af47cf5"]}],"mendeley":{"formattedCitation":"(Santschi &lt;i&gt;et al.&lt;/i&gt;, 2012)","plainTextFormattedCitation":"(Santschi et al., 2012)","previouslyFormattedCitation":"(Santschi &lt;i&gt;et al.&lt;/i&gt;, 2012)"},"properties":{"noteIndex":0},"schema":"https://github.com/citation-style-language/schema/raw/master/csl-citation.json"}</w:instrText>
      </w:r>
      <w:r>
        <w:rPr>
          <w:rFonts w:ascii="Arial" w:hAnsi="Arial" w:cs="Arial"/>
          <w:sz w:val="24"/>
          <w:szCs w:val="24"/>
          <w:lang w:val="en-GB"/>
        </w:rPr>
        <w:fldChar w:fldCharType="separate"/>
      </w:r>
      <w:r w:rsidRPr="00684D1C">
        <w:rPr>
          <w:rFonts w:ascii="Arial" w:hAnsi="Arial" w:cs="Arial"/>
          <w:noProof/>
          <w:sz w:val="24"/>
          <w:szCs w:val="24"/>
          <w:lang w:val="en-GB"/>
        </w:rPr>
        <w:t xml:space="preserve">(Santschi </w:t>
      </w:r>
      <w:r w:rsidRPr="00684D1C">
        <w:rPr>
          <w:rFonts w:ascii="Arial" w:hAnsi="Arial" w:cs="Arial"/>
          <w:i/>
          <w:noProof/>
          <w:sz w:val="24"/>
          <w:szCs w:val="24"/>
          <w:lang w:val="en-GB"/>
        </w:rPr>
        <w:t>et al.</w:t>
      </w:r>
      <w:r w:rsidRPr="00684D1C">
        <w:rPr>
          <w:rFonts w:ascii="Arial" w:hAnsi="Arial" w:cs="Arial"/>
          <w:noProof/>
          <w:sz w:val="24"/>
          <w:szCs w:val="24"/>
          <w:lang w:val="en-GB"/>
        </w:rPr>
        <w:t>, 2012)</w:t>
      </w:r>
      <w:r>
        <w:rPr>
          <w:rFonts w:ascii="Arial" w:hAnsi="Arial" w:cs="Arial"/>
          <w:sz w:val="24"/>
          <w:szCs w:val="24"/>
          <w:lang w:val="en-GB"/>
        </w:rPr>
        <w:fldChar w:fldCharType="end"/>
      </w:r>
      <w:r>
        <w:rPr>
          <w:rFonts w:ascii="Arial" w:hAnsi="Arial" w:cs="Arial"/>
          <w:sz w:val="24"/>
          <w:szCs w:val="24"/>
          <w:lang w:val="en-GB"/>
        </w:rPr>
        <w:t>.</w:t>
      </w:r>
    </w:p>
    <w:p w14:paraId="08B2A3B3" w14:textId="77777777" w:rsidR="00610EEE" w:rsidRDefault="00610EEE" w:rsidP="00610EEE">
      <w:pPr>
        <w:shd w:val="clear" w:color="auto" w:fill="FFFFFF"/>
        <w:spacing w:line="360" w:lineRule="auto"/>
        <w:jc w:val="both"/>
        <w:rPr>
          <w:rFonts w:ascii="Arial" w:hAnsi="Arial" w:cs="Arial"/>
          <w:sz w:val="24"/>
          <w:szCs w:val="24"/>
          <w:lang w:val="en-GB"/>
        </w:rPr>
      </w:pPr>
      <w:r w:rsidRPr="006B2FC7">
        <w:rPr>
          <w:rFonts w:ascii="Arial" w:hAnsi="Arial" w:cs="Arial"/>
          <w:sz w:val="24"/>
          <w:szCs w:val="24"/>
          <w:lang w:val="en-GB"/>
        </w:rPr>
        <w:t xml:space="preserve">Therefore, DM management aims to delay these complications as well as hinder its progression, which could be achieved by improving glycaemic control and managing the risk of cardiovascular disease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{"citationItems":[{"id":"ITEM-1","itemData":{"DOI":"10.2147/DMSO.S156214","ISSN":"11787007","abstract":"Background: Although the prevalence of type 2 diabetes mellitus (T2DM) is rising sharply in Saudi Arabia, data on glycemic control, crucial to reducing diabetes mellitus complications, remain scarce. This study therefore investigated glycemic control status and the factors influencing poor glycemic control among adult T2DM patients in Saudi Arabia. Methods: This cross-sectional study examined 423 T2DM patients at a diabetic center in Tabuk, Saudi Arabia between September 2016 and July 2017. Glycemic levels were measured via fasting blood glucose (FBG) levels, and “poor glycemic control” was defined as FBG &gt;130 mg/dL. Poor glycemic control’s risk factors were identified using a logistic regression. Results: In the sample, 74.9% of the patients had poor blood glycemic control. Logistic regression revealed that T2DM patients had an increased chance of poorly controlled diabetes if they had family histories of diabetes (adjusted odds ratio [AOR] =7.38, 95% CI 4.09–13.31), longer diabetic durations (AOR =2.33, 95% CI 1.14–4.78 for 5–10 years and AOR =5.19, 95% CI 2.50–10.69 for &gt;10 years), insufficient physical exercise (AOR =19.02, 95% CI 6.23–58.06), or were overweight (AOR =3.79, 95% CI 2.00–7.18), or obese (AOR =5.35, 95% CI 2.72–12.59). Conclusion: A high proportion of the sampled patients had poor glycemic control, therefore, health care professionals should manage the associated risk factors to limit disease complications and improve the health of patients with diabetes.","author":[{"dropping-particle":"","family":"Alzaheb","given":"Riyadh A.","non-dropping-particle":"","parse-names":false,"suffix":""},{"dropping-particle":"","family":"Altemani","given":"Abdullah H.","non-dropping-particle":"","parse-names":false,"suffix":""}],"container-title":"Diabetes, Metabolic Syndrome and Obesity: Targets and Therapy","id":"ITEM-1","issued":{"date-parts":[["2018"]]},"page":"15-21","title":"The prevalence and determinants of poor glycemic control among adults with type 2 diabetes mellitus in Saudi Arabia","type":"article-journal","volume":"11"},"uris":["http://www.mendeley.com/documents/?uuid=fdd6d1e5-9141-471b-9ab3-10f753af0409"]}],"mendeley":{"formattedCitation":"(Alzaheb and Altemani, 2018)","plainTextFormattedCitation":"(Alzaheb and Altemani, 2018)","previouslyFormattedCitation":"(Alzaheb and Altemani, 2018)"},"properties":{"noteIndex":0},"schema":"https://github.com/citation-style-language/schema/raw/master/csl-citation.json"}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(Alzaheb and Altemani, 2018)</w:t>
      </w:r>
      <w:r w:rsidRPr="006B2FC7">
        <w:rPr>
          <w:rFonts w:ascii="Arial" w:hAnsi="Arial" w:cs="Arial"/>
          <w:sz w:val="24"/>
          <w:szCs w:val="24"/>
          <w:lang w:val="en-GB"/>
        </w:rPr>
        <w:fldChar w:fldCharType="end"/>
      </w:r>
      <w:r w:rsidRPr="006B2FC7">
        <w:rPr>
          <w:rFonts w:ascii="Arial" w:hAnsi="Arial" w:cs="Arial"/>
          <w:sz w:val="24"/>
          <w:szCs w:val="24"/>
          <w:lang w:val="en-GB"/>
        </w:rPr>
        <w:t xml:space="preserve">. </w:t>
      </w:r>
      <w:r>
        <w:rPr>
          <w:rFonts w:ascii="Arial" w:hAnsi="Arial" w:cs="Arial"/>
          <w:sz w:val="24"/>
          <w:szCs w:val="24"/>
          <w:lang w:val="en-GB"/>
        </w:rPr>
        <w:t xml:space="preserve">The mortality rate of DM in SA is 5% for all age and cardiovascular diseases is 46%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10.1038/532S1a","ISSN":"14764687","author":[{"dropping-particle":"","family":"WHO","given":"","non-dropping-particle":"","parse-names":false,"suffix":""}],"container-title":"Nature","id":"ITEM-1","issue":"7600","issued":{"date-parts":[["2016"]]},"page":"S1","title":"Saudi Arabia","type":"article-journal","volume":"532"},"uris":["http://www.mendeley.com/documents/?uuid=6db8b440-99d9-435d-b671-de18e50eb3a7"]}],"mendeley":{"formattedCitation":"(WHO, 2016)","plainTextFormattedCitation":"(WHO, 2016)","previouslyFormattedCitation":"(WHO, 2016)"},"properties":{"noteIndex":0},"schema":"https://github.com/citation-style-language/schema/raw/master/csl-citation.json"}</w:instrText>
      </w:r>
      <w:r>
        <w:rPr>
          <w:rFonts w:ascii="Arial" w:hAnsi="Arial" w:cs="Arial"/>
          <w:sz w:val="24"/>
          <w:szCs w:val="24"/>
          <w:lang w:val="en-GB"/>
        </w:rPr>
        <w:fldChar w:fldCharType="separate"/>
      </w:r>
      <w:r w:rsidRPr="0006539D">
        <w:rPr>
          <w:rFonts w:ascii="Arial" w:hAnsi="Arial" w:cs="Arial"/>
          <w:noProof/>
          <w:sz w:val="24"/>
          <w:szCs w:val="24"/>
          <w:lang w:val="en-GB"/>
        </w:rPr>
        <w:t>(WHO, 2016)</w:t>
      </w:r>
      <w:r>
        <w:rPr>
          <w:rFonts w:ascii="Arial" w:hAnsi="Arial" w:cs="Arial"/>
          <w:sz w:val="24"/>
          <w:szCs w:val="24"/>
          <w:lang w:val="en-GB"/>
        </w:rPr>
        <w:fldChar w:fldCharType="end"/>
      </w:r>
    </w:p>
    <w:p w14:paraId="483EB64F" w14:textId="77777777" w:rsidR="00610EEE" w:rsidRDefault="00610EEE" w:rsidP="00610EEE">
      <w:pPr>
        <w:shd w:val="clear" w:color="auto" w:fill="FFFFFF"/>
        <w:spacing w:line="360" w:lineRule="auto"/>
        <w:jc w:val="both"/>
        <w:rPr>
          <w:rFonts w:asciiTheme="minorBidi" w:hAnsiTheme="minorBidi"/>
          <w:sz w:val="24"/>
          <w:szCs w:val="24"/>
          <w:lang w:val="en-GB"/>
        </w:rPr>
      </w:pPr>
      <w:r w:rsidRPr="00A376C7">
        <w:rPr>
          <w:rFonts w:asciiTheme="minorBidi" w:hAnsiTheme="minorBidi"/>
          <w:sz w:val="24"/>
          <w:szCs w:val="24"/>
          <w:lang w:val="en-GB"/>
        </w:rPr>
        <w:t>The main i</w:t>
      </w:r>
      <w:r>
        <w:rPr>
          <w:rFonts w:asciiTheme="minorBidi" w:hAnsiTheme="minorBidi"/>
          <w:sz w:val="24"/>
          <w:szCs w:val="24"/>
          <w:lang w:val="en-GB"/>
        </w:rPr>
        <w:t>s</w:t>
      </w:r>
      <w:r w:rsidRPr="00A376C7">
        <w:rPr>
          <w:rFonts w:asciiTheme="minorBidi" w:hAnsiTheme="minorBidi"/>
          <w:sz w:val="24"/>
          <w:szCs w:val="24"/>
          <w:lang w:val="en-GB"/>
        </w:rPr>
        <w:t>su</w:t>
      </w:r>
      <w:r>
        <w:rPr>
          <w:rFonts w:asciiTheme="minorBidi" w:hAnsiTheme="minorBidi"/>
          <w:sz w:val="24"/>
          <w:szCs w:val="24"/>
          <w:lang w:val="en-GB"/>
        </w:rPr>
        <w:t>e</w:t>
      </w:r>
      <w:r w:rsidRPr="00A376C7">
        <w:rPr>
          <w:rFonts w:asciiTheme="minorBidi" w:hAnsiTheme="minorBidi"/>
          <w:sz w:val="24"/>
          <w:szCs w:val="24"/>
          <w:lang w:val="en-GB"/>
        </w:rPr>
        <w:t xml:space="preserve"> with </w:t>
      </w:r>
      <w:r>
        <w:rPr>
          <w:rFonts w:asciiTheme="minorBidi" w:hAnsiTheme="minorBidi"/>
          <w:sz w:val="24"/>
          <w:szCs w:val="24"/>
          <w:lang w:val="en-GB"/>
        </w:rPr>
        <w:t>T2D</w:t>
      </w:r>
      <w:r w:rsidRPr="00A376C7">
        <w:rPr>
          <w:rFonts w:asciiTheme="minorBidi" w:hAnsiTheme="minorBidi"/>
          <w:sz w:val="24"/>
          <w:szCs w:val="24"/>
          <w:lang w:val="en-GB"/>
        </w:rPr>
        <w:t xml:space="preserve"> that people may have this illness and remain unaware of it for </w:t>
      </w:r>
      <w:r>
        <w:rPr>
          <w:rFonts w:asciiTheme="minorBidi" w:hAnsiTheme="minorBidi"/>
          <w:sz w:val="24"/>
          <w:szCs w:val="24"/>
          <w:lang w:val="en-GB"/>
        </w:rPr>
        <w:t xml:space="preserve">a </w:t>
      </w:r>
      <w:r w:rsidRPr="00A376C7">
        <w:rPr>
          <w:rFonts w:asciiTheme="minorBidi" w:hAnsiTheme="minorBidi"/>
          <w:sz w:val="24"/>
          <w:szCs w:val="24"/>
          <w:lang w:val="en-GB"/>
        </w:rPr>
        <w:t>long time because the symptoms of such condition may take years to appear or be recognised. By the time, the body is being damaged by excessi</w:t>
      </w:r>
      <w:r>
        <w:rPr>
          <w:rFonts w:asciiTheme="minorBidi" w:hAnsiTheme="minorBidi"/>
          <w:sz w:val="24"/>
          <w:szCs w:val="24"/>
          <w:lang w:val="en-GB"/>
        </w:rPr>
        <w:t>ve</w:t>
      </w:r>
      <w:r w:rsidRPr="00A376C7">
        <w:rPr>
          <w:rFonts w:asciiTheme="minorBidi" w:hAnsiTheme="minorBidi"/>
          <w:sz w:val="24"/>
          <w:szCs w:val="24"/>
          <w:lang w:val="en-GB"/>
        </w:rPr>
        <w:t xml:space="preserve"> blood glucose level. The complications of diabetes, therefore, become evident in many cases before </w:t>
      </w:r>
      <w:r>
        <w:rPr>
          <w:rFonts w:asciiTheme="minorBidi" w:hAnsiTheme="minorBidi"/>
          <w:sz w:val="24"/>
          <w:szCs w:val="24"/>
          <w:lang w:val="en-GB"/>
        </w:rPr>
        <w:t xml:space="preserve">diagnosis </w:t>
      </w:r>
      <w:r>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{"citationItems":[{"id":"ITEM-1","itemData":{"ISBN":"2930229802","author":[{"dropping-particle":"","family":"Internation Diabetes Federation","given":"","non-dropping-particle":"","parse-names":false,"suffix":""}],"container-title":"Dunia : IDF","id":"ITEM-1","issued":{"date-parts":[["2015"]]},"title":"IDF Diabetes Atlas Seventh","type":"book"},"uris":["http://www.mendeley.com/documents/?uuid=1521a427-dfc3-4727-bb25-d50f3dba563f"]}],"mendeley":{"formattedCitation":"(Internation Diabetes Federation, 2015)","plainTextFormattedCitation":"(Internation Diabetes Federation, 2015)","previouslyFormattedCitation":"(Internation Diabetes Federation, 2015)"},"properties":{"noteIndex":0},"schema":"https://github.com/citation-style-language/schema/raw/master/csl-citation.json"}</w:instrText>
      </w:r>
      <w:r>
        <w:rPr>
          <w:rFonts w:asciiTheme="minorBidi" w:hAnsiTheme="minorBidi"/>
          <w:sz w:val="24"/>
          <w:szCs w:val="24"/>
          <w:lang w:val="en-GB"/>
        </w:rPr>
        <w:fldChar w:fldCharType="separate"/>
      </w:r>
      <w:r w:rsidRPr="00F43FF1">
        <w:rPr>
          <w:rFonts w:asciiTheme="minorBidi" w:hAnsiTheme="minorBidi"/>
          <w:noProof/>
          <w:sz w:val="24"/>
          <w:szCs w:val="24"/>
          <w:lang w:val="en-GB"/>
        </w:rPr>
        <w:t>(Internation Diabetes Federation, 2015)</w:t>
      </w:r>
      <w:r>
        <w:rPr>
          <w:rFonts w:asciiTheme="minorBidi" w:hAnsiTheme="minorBidi"/>
          <w:sz w:val="24"/>
          <w:szCs w:val="24"/>
          <w:lang w:val="en-GB"/>
        </w:rPr>
        <w:fldChar w:fldCharType="end"/>
      </w:r>
      <w:r w:rsidRPr="00940708">
        <w:rPr>
          <w:rFonts w:asciiTheme="minorBidi" w:hAnsiTheme="minorBidi"/>
          <w:sz w:val="24"/>
          <w:szCs w:val="24"/>
          <w:lang w:val="en-GB"/>
        </w:rPr>
        <w:t xml:space="preserve">. </w:t>
      </w:r>
      <w:r w:rsidRPr="00A376C7">
        <w:rPr>
          <w:rFonts w:asciiTheme="minorBidi" w:hAnsiTheme="minorBidi"/>
          <w:sz w:val="24"/>
          <w:szCs w:val="24"/>
          <w:lang w:val="en-GB"/>
        </w:rPr>
        <w:t>Thus, it is crucial to provide the most effective healthcare for diabetic patients and optimise their glycaemic control to reduce long-term complications. The UK Prospective Diabetes Study (UKPDS) found that one per</w:t>
      </w:r>
      <w:r>
        <w:rPr>
          <w:rFonts w:asciiTheme="minorBidi" w:hAnsiTheme="minorBidi"/>
          <w:sz w:val="24"/>
          <w:szCs w:val="24"/>
          <w:lang w:val="en-GB"/>
        </w:rPr>
        <w:t xml:space="preserve"> </w:t>
      </w:r>
      <w:r w:rsidRPr="00A376C7">
        <w:rPr>
          <w:rFonts w:asciiTheme="minorBidi" w:hAnsiTheme="minorBidi"/>
          <w:sz w:val="24"/>
          <w:szCs w:val="24"/>
          <w:lang w:val="en-GB"/>
        </w:rPr>
        <w:t>cent (1%) decrease in HbA1c is associated with a thirty</w:t>
      </w:r>
      <w:r>
        <w:rPr>
          <w:rFonts w:asciiTheme="minorBidi" w:hAnsiTheme="minorBidi"/>
          <w:sz w:val="24"/>
          <w:szCs w:val="24"/>
          <w:lang w:val="en-GB"/>
        </w:rPr>
        <w:t>-</w:t>
      </w:r>
      <w:r w:rsidRPr="00A376C7">
        <w:rPr>
          <w:rFonts w:asciiTheme="minorBidi" w:hAnsiTheme="minorBidi"/>
          <w:sz w:val="24"/>
          <w:szCs w:val="24"/>
          <w:lang w:val="en-GB"/>
        </w:rPr>
        <w:t>seven per</w:t>
      </w:r>
      <w:r>
        <w:rPr>
          <w:rFonts w:asciiTheme="minorBidi" w:hAnsiTheme="minorBidi"/>
          <w:sz w:val="24"/>
          <w:szCs w:val="24"/>
          <w:lang w:val="en-GB"/>
        </w:rPr>
        <w:t xml:space="preserve"> </w:t>
      </w:r>
      <w:r w:rsidRPr="00A376C7">
        <w:rPr>
          <w:rFonts w:asciiTheme="minorBidi" w:hAnsiTheme="minorBidi"/>
          <w:sz w:val="24"/>
          <w:szCs w:val="24"/>
          <w:lang w:val="en-GB"/>
        </w:rPr>
        <w:t xml:space="preserve">cent (37%) reduction in microvascular complications </w:t>
      </w:r>
      <w:r w:rsidRPr="00A376C7">
        <w:rPr>
          <w:rFonts w:asciiTheme="minorBidi" w:hAnsiTheme="minorBidi"/>
          <w:sz w:val="24"/>
          <w:szCs w:val="24"/>
          <w:lang w:val="en-GB"/>
        </w:rPr>
        <w:fldChar w:fldCharType="begin" w:fldLock="1"/>
      </w:r>
      <w:r w:rsidRPr="00A376C7">
        <w:rPr>
          <w:rFonts w:asciiTheme="minorBidi" w:hAnsiTheme="minorBidi"/>
          <w:sz w:val="24"/>
          <w:szCs w:val="24"/>
          <w:lang w:val="en-GB"/>
        </w:rPr>
        <w:instrText>ADDIN CSL_CITATION {"citationItems":[{"id":"ITEM-1","itemData":{"DOI":"10.2146/ajhp120238","ISSN":"15352900","abstract":"PURPOSE: The impact of pharmacist interventions on short-term clinical markers and long-term cardiovascular risk in patients with type 2 diabetes is investigated. METHODS: Selected health outcomes were retrospectively analyzed in 147 adults with type 2 diabetes whose care was managed by a team of providers including a pharmacist (the enhanced care group) and a matched sample of patients (n = 147) managed by a primary care physician only (the control group). All patients received services through the same health maintenance organization (HMO). The primary study endpoints were (1) the changes from baseline to 12-month follow-up in glycosylated hemoglobin (HbA1c), low-density lipoprotein cholesterol (LDL-C), and blood pressure (BP) values, (2) rates of attainment of HbA1c, LDL-C and BP goals, and (3) changes from baseline in predicted 10-year risks of coronary heart disease (CHD) and stroke. RESULTS: During the 12-month study period, the mean HbA1c value was decreased from 9.5% to 6.9% in the enhanced care group and from 9.3% to 8.4% in the control group (p &lt; 0.001); patients in the enhanced care group were significantly more likely to attain goals for HbA1c (odds ratio [OR], 3.9), LDL-C (OR, 2.0), and BP reduction (OR, 2.0) and three times more likely to attain all three goals (OR, 3.2). The estimated 10-year risk of CHD was decreased from 16.4% to 9.3% with enhanced care versus a reduction from 17.4% to 14.8% with usual care (p &lt; 0.001). CONCLUSION: The addition of a pharmacist to an HMO primary care team improved short-term surrogate markers as well as long-term cardiovascular risk in adult patients with type 2 diabetes.","author":[{"dropping-particle":"","family":"Ip","given":"Eric J.","non-dropping-particle":"","parse-names":false,"suffix":""},{"dropping-particle":"","family":"Shah","given":"Bijal M.","non-dropping-particle":"","parse-names":false,"suffix":""},{"dropping-particle":"","family":"Yu","given":"Junhua","non-dropping-particle":"","parse-names":false,"suffix":""},{"dropping-particle":"","family":"Chan","given":"James","non-dropping-particle":"","parse-names":false,"suffix":""},{"dropping-particle":"","family":"Nguyen","given":"Lynda T.","non-dropping-particle":"","parse-names":false,"suffix":""},{"dropping-particle":"","family":"Bhatt","given":"Deempal C.","non-dropping-particle":"","parse-names":false,"suffix":""}],"container-title":"American journal of health-system pharmacy : AJHP : official journal of the American Society of Health-System Pharmacists","id":"ITEM-1","issue":"10","issued":{"date-parts":[["2013"]]},"page":"877-886","title":"Enhancing diabetes care by adding a pharmacist to the primary care team.","type":"article-journal","volume":"70"},"uris":["http://www.mendeley.com/documents/?uuid=27bebab5-8d07-43db-8caa-0bd7446c608d"]}],"mendeley":{"formattedCitation":"(Ip &lt;i&gt;et al.&lt;/i&gt;, 2013)","plainTextFormattedCitation":"(Ip et al., 2013)","previouslyFormattedCitation":"(Ip &lt;i&gt;et al.&lt;/i&gt;, 2013)"},"properties":{"noteIndex":0},"schema":"https://github.com/citation-style-language/schema/raw/master/csl-citation.json"}</w:instrText>
      </w:r>
      <w:r w:rsidRPr="00A376C7">
        <w:rPr>
          <w:rFonts w:asciiTheme="minorBidi" w:hAnsiTheme="minorBidi"/>
          <w:sz w:val="24"/>
          <w:szCs w:val="24"/>
          <w:lang w:val="en-GB"/>
        </w:rPr>
        <w:fldChar w:fldCharType="separate"/>
      </w:r>
      <w:r w:rsidRPr="00A376C7">
        <w:rPr>
          <w:rFonts w:asciiTheme="minorBidi" w:hAnsiTheme="minorBidi"/>
          <w:noProof/>
          <w:sz w:val="24"/>
          <w:szCs w:val="24"/>
          <w:lang w:val="en-GB"/>
        </w:rPr>
        <w:t>(Ip et al., 2013)</w:t>
      </w:r>
      <w:r w:rsidRPr="00A376C7">
        <w:rPr>
          <w:rFonts w:asciiTheme="minorBidi" w:hAnsiTheme="minorBidi"/>
          <w:sz w:val="24"/>
          <w:szCs w:val="24"/>
          <w:lang w:val="en-GB"/>
        </w:rPr>
        <w:fldChar w:fldCharType="end"/>
      </w:r>
      <w:r w:rsidRPr="00A376C7">
        <w:rPr>
          <w:rFonts w:asciiTheme="minorBidi" w:hAnsiTheme="minorBidi"/>
          <w:sz w:val="24"/>
          <w:szCs w:val="24"/>
          <w:lang w:val="en-GB"/>
        </w:rPr>
        <w:t>.</w:t>
      </w:r>
    </w:p>
    <w:p w14:paraId="28E4DBF4" w14:textId="77777777" w:rsidR="00610EEE" w:rsidRDefault="00610EEE" w:rsidP="00610EEE">
      <w:pPr>
        <w:shd w:val="clear" w:color="auto" w:fill="FFFFFF"/>
        <w:spacing w:line="360" w:lineRule="auto"/>
        <w:jc w:val="both"/>
        <w:rPr>
          <w:rFonts w:ascii="Arial" w:hAnsi="Arial" w:cs="Arial"/>
          <w:sz w:val="24"/>
          <w:szCs w:val="24"/>
          <w:lang w:val="en-GB"/>
        </w:rPr>
      </w:pPr>
      <w:r>
        <w:rPr>
          <w:rFonts w:asciiTheme="minorBidi" w:hAnsiTheme="minorBidi"/>
          <w:sz w:val="24"/>
          <w:szCs w:val="24"/>
          <w:lang w:val="en-GB"/>
        </w:rPr>
        <w:t>Several risk factors</w:t>
      </w:r>
      <w:r w:rsidRPr="00A376C7">
        <w:rPr>
          <w:rFonts w:asciiTheme="minorBidi" w:hAnsiTheme="minorBidi"/>
          <w:sz w:val="24"/>
          <w:szCs w:val="24"/>
          <w:lang w:val="en-GB"/>
        </w:rPr>
        <w:t xml:space="preserve"> influence </w:t>
      </w:r>
      <w:r>
        <w:rPr>
          <w:rFonts w:asciiTheme="minorBidi" w:hAnsiTheme="minorBidi"/>
          <w:sz w:val="24"/>
          <w:szCs w:val="24"/>
          <w:lang w:val="en-GB"/>
        </w:rPr>
        <w:t xml:space="preserve">the risk of developing </w:t>
      </w:r>
      <w:r w:rsidRPr="00A376C7">
        <w:rPr>
          <w:rFonts w:asciiTheme="minorBidi" w:hAnsiTheme="minorBidi"/>
          <w:sz w:val="24"/>
          <w:szCs w:val="24"/>
          <w:lang w:val="en-GB"/>
        </w:rPr>
        <w:t>diabetes</w:t>
      </w:r>
      <w:r>
        <w:rPr>
          <w:rFonts w:asciiTheme="minorBidi" w:hAnsiTheme="minorBidi"/>
          <w:sz w:val="24"/>
          <w:szCs w:val="24"/>
          <w:lang w:val="en-GB"/>
        </w:rPr>
        <w:t xml:space="preserve">: </w:t>
      </w:r>
      <w:r w:rsidRPr="00A376C7">
        <w:rPr>
          <w:rFonts w:asciiTheme="minorBidi" w:hAnsiTheme="minorBidi"/>
          <w:sz w:val="24"/>
          <w:szCs w:val="24"/>
          <w:lang w:val="en-GB"/>
        </w:rPr>
        <w:t>urbanisation lifestyle, which is mainly characterised with</w:t>
      </w:r>
      <w:r>
        <w:rPr>
          <w:rFonts w:asciiTheme="minorBidi" w:hAnsiTheme="minorBidi"/>
          <w:sz w:val="24"/>
          <w:szCs w:val="24"/>
          <w:lang w:val="en-GB"/>
        </w:rPr>
        <w:t xml:space="preserve">: poor quality of </w:t>
      </w:r>
      <w:r w:rsidRPr="00A376C7">
        <w:rPr>
          <w:rFonts w:asciiTheme="minorBidi" w:hAnsiTheme="minorBidi"/>
          <w:sz w:val="24"/>
          <w:szCs w:val="24"/>
          <w:lang w:val="en-GB"/>
        </w:rPr>
        <w:t xml:space="preserve"> nutrition</w:t>
      </w:r>
      <w:r>
        <w:rPr>
          <w:rFonts w:asciiTheme="minorBidi" w:hAnsiTheme="minorBidi"/>
          <w:sz w:val="24"/>
          <w:szCs w:val="24"/>
          <w:lang w:val="en-GB"/>
        </w:rPr>
        <w:t xml:space="preserve">, excess of sugars </w:t>
      </w:r>
      <w:r w:rsidRPr="00A376C7">
        <w:rPr>
          <w:rFonts w:asciiTheme="minorBidi" w:hAnsiTheme="minorBidi"/>
          <w:sz w:val="24"/>
          <w:szCs w:val="24"/>
          <w:lang w:val="en-GB"/>
        </w:rPr>
        <w:t xml:space="preserve">, </w:t>
      </w:r>
      <w:r>
        <w:rPr>
          <w:rFonts w:asciiTheme="minorBidi" w:hAnsiTheme="minorBidi"/>
          <w:sz w:val="24"/>
          <w:szCs w:val="24"/>
          <w:lang w:val="en-GB"/>
        </w:rPr>
        <w:t>and</w:t>
      </w:r>
      <w:r w:rsidRPr="00A376C7">
        <w:rPr>
          <w:rFonts w:asciiTheme="minorBidi" w:hAnsiTheme="minorBidi"/>
          <w:sz w:val="24"/>
          <w:szCs w:val="24"/>
          <w:lang w:val="en-GB"/>
        </w:rPr>
        <w:t xml:space="preserve"> low physical activities leading to obesity, which is one of the </w:t>
      </w:r>
      <w:r>
        <w:rPr>
          <w:rFonts w:asciiTheme="minorBidi" w:hAnsiTheme="minorBidi"/>
          <w:sz w:val="24"/>
          <w:szCs w:val="24"/>
          <w:lang w:val="en-GB"/>
        </w:rPr>
        <w:t>significant</w:t>
      </w:r>
      <w:r w:rsidRPr="00A376C7">
        <w:rPr>
          <w:rFonts w:asciiTheme="minorBidi" w:hAnsiTheme="minorBidi"/>
          <w:sz w:val="24"/>
          <w:szCs w:val="24"/>
          <w:lang w:val="en-GB"/>
        </w:rPr>
        <w:t xml:space="preserve"> risk factors of </w:t>
      </w:r>
      <w:r>
        <w:rPr>
          <w:rFonts w:asciiTheme="minorBidi" w:hAnsiTheme="minorBidi"/>
          <w:sz w:val="24"/>
          <w:szCs w:val="24"/>
          <w:lang w:val="en-GB"/>
        </w:rPr>
        <w:t>T2D</w:t>
      </w:r>
      <w:r w:rsidRPr="00A376C7">
        <w:rPr>
          <w:rFonts w:asciiTheme="minorBidi" w:hAnsiTheme="minorBidi"/>
          <w:sz w:val="24"/>
          <w:szCs w:val="24"/>
          <w:lang w:val="en-GB"/>
        </w:rPr>
        <w:t xml:space="preserve"> </w:t>
      </w:r>
      <w:r w:rsidRPr="00A376C7">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{"citationItems":[{"id":"ITEM-1","itemData":{"ISBN":"2930229802","author":[{"dropping-particle":"","family":"Internation Diabetes Federation","given":"","non-dropping-particle":"","parse-names":false,"suffix":""}],"container-title":"Dunia : IDF","id":"ITEM-1","issued":{"date-parts":[["2015"]]},"title":"IDF Diabetes Atlas Seventh","type":"book"},"uris":["http://www.mendeley.com/documents/?uuid=1521a427-dfc3-4727-bb25-d50f3dba563f"]}],"mendeley":{"formattedCitation":"(Internation Diabetes Federation, 2015)","manualFormatting":"(International Diabetes Federation, 2015)","plainTextFormattedCitation":"(Internation Diabetes Federation, 2015)","previouslyFormattedCitation":"(Internation Diabetes Federation, 2015)"},"properties":{"noteIndex":0},"schema":"https://github.com/citation-style-language/schema/raw/master/csl-citation.json"}</w:instrText>
      </w:r>
      <w:r w:rsidRPr="00A376C7">
        <w:rPr>
          <w:rFonts w:asciiTheme="minorBidi" w:hAnsiTheme="minorBidi"/>
          <w:sz w:val="24"/>
          <w:szCs w:val="24"/>
          <w:lang w:val="en-GB"/>
        </w:rPr>
        <w:fldChar w:fldCharType="separate"/>
      </w:r>
      <w:r w:rsidRPr="00A376C7">
        <w:rPr>
          <w:rFonts w:asciiTheme="minorBidi" w:hAnsiTheme="minorBidi"/>
          <w:noProof/>
          <w:sz w:val="24"/>
          <w:szCs w:val="24"/>
          <w:lang w:val="en-GB"/>
        </w:rPr>
        <w:t>(Internation</w:t>
      </w:r>
      <w:r>
        <w:rPr>
          <w:rFonts w:asciiTheme="minorBidi" w:hAnsiTheme="minorBidi"/>
          <w:noProof/>
          <w:sz w:val="24"/>
          <w:szCs w:val="24"/>
          <w:lang w:val="en-GB"/>
        </w:rPr>
        <w:t>al</w:t>
      </w:r>
      <w:r w:rsidRPr="00A376C7">
        <w:rPr>
          <w:rFonts w:asciiTheme="minorBidi" w:hAnsiTheme="minorBidi"/>
          <w:noProof/>
          <w:sz w:val="24"/>
          <w:szCs w:val="24"/>
          <w:lang w:val="en-GB"/>
        </w:rPr>
        <w:t xml:space="preserve"> Diabetes Federation, 2015)</w:t>
      </w:r>
      <w:r w:rsidRPr="00A376C7">
        <w:rPr>
          <w:rFonts w:asciiTheme="minorBidi" w:hAnsiTheme="minorBidi"/>
          <w:sz w:val="24"/>
          <w:szCs w:val="24"/>
          <w:lang w:val="en-GB"/>
        </w:rPr>
        <w:fldChar w:fldCharType="end"/>
      </w:r>
      <w:r>
        <w:rPr>
          <w:rFonts w:asciiTheme="minorBidi" w:hAnsiTheme="minorBidi"/>
          <w:sz w:val="24"/>
          <w:szCs w:val="24"/>
          <w:lang w:val="en-GB"/>
        </w:rPr>
        <w:t>.</w:t>
      </w:r>
      <w:r>
        <w:rPr>
          <w:rFonts w:ascii="Arial" w:hAnsi="Arial" w:cs="Arial"/>
          <w:sz w:val="24"/>
          <w:szCs w:val="24"/>
          <w:lang w:val="en-GB"/>
        </w:rPr>
        <w:t xml:space="preserve"> </w:t>
      </w:r>
      <w:r w:rsidRPr="006B2FC7">
        <w:rPr>
          <w:rFonts w:ascii="Arial" w:hAnsi="Arial" w:cs="Arial"/>
          <w:sz w:val="24"/>
          <w:szCs w:val="24"/>
          <w:lang w:val="en-GB"/>
        </w:rPr>
        <w:t xml:space="preserve">SA is a wealthy oil-producing country. Rapid economic development and improvement in socioeconomic status associated with the urban lifestyle has led to a marked increase in diabetes incidence rate in SA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2017)","plainTextFormattedCitation":"(Makeen, 2017)","previouslyFormattedCitation":"(Makeen, 2017)"},"properties":{"noteIndex":0},"schema":"https://github.com/citation-style-language/schema/raw/master/csl-citation.json"}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(Makeen, 2017)</w:t>
      </w:r>
      <w:r w:rsidRPr="006B2FC7">
        <w:rPr>
          <w:rFonts w:ascii="Arial" w:hAnsi="Arial" w:cs="Arial"/>
          <w:sz w:val="24"/>
          <w:szCs w:val="24"/>
          <w:lang w:val="en-GB"/>
        </w:rPr>
        <w:fldChar w:fldCharType="end"/>
      </w:r>
      <w:r w:rsidRPr="006B2FC7">
        <w:rPr>
          <w:rFonts w:ascii="Arial" w:hAnsi="Arial" w:cs="Arial"/>
          <w:sz w:val="24"/>
          <w:szCs w:val="24"/>
          <w:lang w:val="en-GB"/>
        </w:rPr>
        <w:t xml:space="preserve">. </w:t>
      </w:r>
      <w:r w:rsidRPr="009C3B6A">
        <w:rPr>
          <w:rFonts w:ascii="Arial" w:hAnsi="Arial" w:cs="Arial"/>
          <w:sz w:val="24"/>
          <w:szCs w:val="24"/>
          <w:lang w:val="en-GB"/>
        </w:rPr>
        <w:t>Obesity is probably main factor affecting the prevalence of T2D</w:t>
      </w:r>
      <w:r>
        <w:rPr>
          <w:rFonts w:ascii="Arial" w:hAnsi="Arial" w:cs="Arial"/>
          <w:sz w:val="24"/>
          <w:szCs w:val="24"/>
          <w:lang w:val="en-GB"/>
        </w:rPr>
        <w:t xml:space="preserve"> in SA</w:t>
      </w:r>
      <w:r w:rsidRPr="009C3B6A">
        <w:rPr>
          <w:rFonts w:ascii="Arial" w:hAnsi="Arial" w:cs="Arial"/>
          <w:sz w:val="24"/>
          <w:szCs w:val="24"/>
          <w:lang w:val="en-GB"/>
        </w:rPr>
        <w:t>, which has reached</w:t>
      </w:r>
      <w:r>
        <w:rPr>
          <w:rFonts w:ascii="Arial" w:hAnsi="Arial" w:cs="Arial"/>
          <w:sz w:val="24"/>
          <w:szCs w:val="24"/>
          <w:lang w:val="en-GB"/>
        </w:rPr>
        <w:t xml:space="preserve"> </w:t>
      </w:r>
      <w:r w:rsidRPr="009C3B6A">
        <w:rPr>
          <w:rFonts w:ascii="Arial" w:hAnsi="Arial" w:cs="Arial"/>
          <w:sz w:val="24"/>
          <w:szCs w:val="24"/>
          <w:lang w:val="en-GB"/>
        </w:rPr>
        <w:t xml:space="preserve">20.3% </w:t>
      </w:r>
      <w:r>
        <w:rPr>
          <w:rFonts w:ascii="Arial" w:hAnsi="Arial" w:cs="Arial"/>
          <w:sz w:val="24"/>
          <w:szCs w:val="24"/>
          <w:lang w:val="en-GB"/>
        </w:rPr>
        <w:t xml:space="preserve"> among Saudi citizen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{"citationItems":[{"id":"ITEM-1","itemData":{"DOI":"10.1016/j.diabres.2014.08.019","ISBN":"4407500660158","author":[{"dropping-particle":"","family":"Alharbi","given":"Nouf Sahal","non-dropping-particle":"","parse-names":false,"suffix":""},{"dropping-particle":"","family":"Almutari","given":"Reem","non-dropping-particle":"","parse-names":false,"suffix":""},{"dropping-particle":"","family":"Jones","given":"Simon","non-dropping-particle":"","parse-names":false,"suffix":""},{"dropping-particle":"","family":"Al-Daghri","given":"Nasser","non-dropping-particle":"","parse-names":false,"suffix":""},{"dropping-particle":"","family":"Khunti","given":"Kamlesh","non-dropping-particle":"","parse-names":false,"suffix":""},{"dropping-particle":"","family":"Lusignan","given":"Simon","non-dropping-particle":"De","parse-names":false,"suffix":""}],"container-title":"Diabetes research and clinical practice","id":"ITEM-1","issued":{"date-parts":[["2014"]]},"title":"Trends in the prevalence of type 2 diabetes mellitus and obesity in the Arabian Gulf States: Systematic review and meta-analysis","type":"article-journal"},"uris":["http://www.mendeley.com/documents/?uuid=0d0f8535-c38e-3bdb-bc4e-689d8ed60017"]}],"mendeley":{"formattedCitation":"(Alharbi &lt;i&gt;et al.&lt;/i&gt;, 2014)","plainTextFormattedCitation":"(Alharbi et al., 2014)","previouslyFormattedCitation":"(Alharbi &lt;i&gt;et al.&lt;/i&gt;, 2014)"},"properties":{"noteIndex":0},"schema":"https://github.com/citation-style-language/schema/raw/master/csl-citation.json"}</w:instrText>
      </w:r>
      <w:r>
        <w:rPr>
          <w:rFonts w:ascii="Arial" w:hAnsi="Arial" w:cs="Arial"/>
          <w:sz w:val="24"/>
          <w:szCs w:val="24"/>
          <w:lang w:val="en-GB"/>
        </w:rPr>
        <w:fldChar w:fldCharType="separate"/>
      </w:r>
      <w:r w:rsidRPr="009C3B6A">
        <w:rPr>
          <w:rFonts w:ascii="Arial" w:hAnsi="Arial" w:cs="Arial"/>
          <w:noProof/>
          <w:sz w:val="24"/>
          <w:szCs w:val="24"/>
          <w:lang w:val="en-GB"/>
        </w:rPr>
        <w:t xml:space="preserve">(Alharbi </w:t>
      </w:r>
      <w:r w:rsidRPr="009C3B6A">
        <w:rPr>
          <w:rFonts w:ascii="Arial" w:hAnsi="Arial" w:cs="Arial"/>
          <w:i/>
          <w:noProof/>
          <w:sz w:val="24"/>
          <w:szCs w:val="24"/>
          <w:lang w:val="en-GB"/>
        </w:rPr>
        <w:t>et al.</w:t>
      </w:r>
      <w:r w:rsidRPr="009C3B6A">
        <w:rPr>
          <w:rFonts w:ascii="Arial" w:hAnsi="Arial" w:cs="Arial"/>
          <w:noProof/>
          <w:sz w:val="24"/>
          <w:szCs w:val="24"/>
          <w:lang w:val="en-GB"/>
        </w:rPr>
        <w:t>, 2014)</w:t>
      </w:r>
      <w:r>
        <w:rPr>
          <w:rFonts w:ascii="Arial" w:hAnsi="Arial" w:cs="Arial"/>
          <w:sz w:val="24"/>
          <w:szCs w:val="24"/>
          <w:lang w:val="en-GB"/>
        </w:rPr>
        <w:fldChar w:fldCharType="end"/>
      </w:r>
      <w:r>
        <w:rPr>
          <w:rFonts w:ascii="Arial" w:hAnsi="Arial" w:cs="Arial"/>
          <w:sz w:val="24"/>
          <w:szCs w:val="24"/>
          <w:lang w:val="en-GB"/>
        </w:rPr>
        <w:t xml:space="preserve">. </w:t>
      </w:r>
    </w:p>
    <w:p w14:paraId="6ED6DEA7" w14:textId="77777777" w:rsidR="00610EEE" w:rsidRDefault="00610EEE" w:rsidP="00610EEE">
      <w:pPr>
        <w:shd w:val="clear" w:color="auto" w:fill="FFFFFF"/>
        <w:spacing w:line="360" w:lineRule="auto"/>
        <w:jc w:val="both"/>
        <w:rPr>
          <w:rFonts w:ascii="Arial" w:hAnsi="Arial" w:cs="Arial"/>
          <w:sz w:val="24"/>
          <w:szCs w:val="24"/>
          <w:lang w:val="en-GB"/>
        </w:rPr>
      </w:pPr>
      <w:r>
        <w:rPr>
          <w:rFonts w:ascii="Arial" w:hAnsi="Arial" w:cs="Arial"/>
          <w:sz w:val="24"/>
          <w:szCs w:val="24"/>
          <w:lang w:val="en-GB"/>
        </w:rPr>
        <w:t xml:space="preserve">Prevalence of DM and related risk factors is shown in table </w:t>
      </w:r>
      <w:r w:rsidRPr="00B266C9">
        <w:rPr>
          <w:rFonts w:asciiTheme="minorBidi" w:hAnsiTheme="minorBidi"/>
          <w:color w:val="1F3864" w:themeColor="accent1" w:themeShade="80"/>
          <w:sz w:val="24"/>
          <w:szCs w:val="24"/>
          <w:lang w:val="en-GB"/>
        </w:rPr>
        <w:fldChar w:fldCharType="begin"/>
      </w:r>
      <w:r w:rsidRPr="00B266C9">
        <w:rPr>
          <w:rFonts w:asciiTheme="minorBidi" w:hAnsiTheme="minorBidi"/>
          <w:color w:val="1F3864" w:themeColor="accent1" w:themeShade="80"/>
          <w:sz w:val="24"/>
          <w:szCs w:val="24"/>
          <w:lang w:val="en-GB"/>
        </w:rPr>
        <w:instrText xml:space="preserve"> REF _Ref117081658 \h  \* MERGEFORMAT </w:instrText>
      </w:r>
      <w:r w:rsidRPr="00B266C9">
        <w:rPr>
          <w:rFonts w:asciiTheme="minorBidi" w:hAnsiTheme="minorBidi"/>
          <w:color w:val="1F3864" w:themeColor="accent1" w:themeShade="80"/>
          <w:sz w:val="24"/>
          <w:szCs w:val="24"/>
          <w:lang w:val="en-GB"/>
        </w:rPr>
      </w:r>
      <w:r w:rsidRPr="00B266C9">
        <w:rPr>
          <w:rFonts w:asciiTheme="minorBidi" w:hAnsiTheme="minorBidi"/>
          <w:color w:val="1F3864" w:themeColor="accent1" w:themeShade="80"/>
          <w:sz w:val="24"/>
          <w:szCs w:val="24"/>
          <w:lang w:val="en-GB"/>
        </w:rPr>
        <w:fldChar w:fldCharType="separate"/>
      </w:r>
      <w:r w:rsidRPr="00B266C9">
        <w:rPr>
          <w:rFonts w:asciiTheme="minorBidi" w:hAnsiTheme="minorBidi"/>
          <w:color w:val="1F3864" w:themeColor="accent1" w:themeShade="80"/>
          <w:sz w:val="24"/>
          <w:szCs w:val="24"/>
        </w:rPr>
        <w:t xml:space="preserve">Table </w:t>
      </w:r>
      <w:r w:rsidRPr="00B266C9">
        <w:rPr>
          <w:rFonts w:asciiTheme="minorBidi" w:hAnsiTheme="minorBidi"/>
          <w:noProof/>
          <w:color w:val="1F3864" w:themeColor="accent1" w:themeShade="80"/>
          <w:sz w:val="24"/>
          <w:szCs w:val="24"/>
        </w:rPr>
        <w:t>1</w:t>
      </w:r>
      <w:r w:rsidRPr="00B266C9">
        <w:rPr>
          <w:rFonts w:asciiTheme="minorBidi" w:hAnsiTheme="minorBidi"/>
          <w:color w:val="1F3864" w:themeColor="accent1" w:themeShade="80"/>
          <w:sz w:val="24"/>
          <w:szCs w:val="24"/>
          <w:lang w:val="en-GB"/>
        </w:rPr>
        <w:fldChar w:fldCharType="end"/>
      </w:r>
      <w:r>
        <w:rPr>
          <w:rFonts w:ascii="Arial" w:hAnsi="Arial" w:cs="Arial"/>
          <w:sz w:val="24"/>
          <w:szCs w:val="24"/>
          <w:lang w:val="en-GB"/>
        </w:rPr>
        <w:t xml:space="preserve"> based on WHO</w:t>
      </w:r>
      <w:r w:rsidRPr="00FE7E28">
        <w:rPr>
          <w:rFonts w:ascii="Arial" w:hAnsi="Arial" w:cs="Arial"/>
          <w:sz w:val="24"/>
          <w:szCs w:val="24"/>
          <w:lang w:val="en-GB"/>
        </w:rPr>
        <w:t xml:space="preserve"> – Diabetes country profiles, </w:t>
      </w:r>
      <w:r>
        <w:rPr>
          <w:rFonts w:ascii="Arial" w:hAnsi="Arial" w:cs="Arial"/>
          <w:sz w:val="24"/>
          <w:szCs w:val="24"/>
          <w:lang w:val="en-GB"/>
        </w:rPr>
        <w:t xml:space="preserve">in </w:t>
      </w:r>
      <w:r w:rsidRPr="00FE7E28">
        <w:rPr>
          <w:rFonts w:ascii="Arial" w:hAnsi="Arial" w:cs="Arial"/>
          <w:sz w:val="24"/>
          <w:szCs w:val="24"/>
          <w:lang w:val="en-GB"/>
        </w:rPr>
        <w:t>2016.</w:t>
      </w:r>
      <w:r>
        <w:rPr>
          <w:rFonts w:ascii="Arial" w:hAnsi="Arial" w:cs="Arial"/>
          <w:sz w:val="24"/>
          <w:szCs w:val="24"/>
          <w:lang w:val="en-GB"/>
        </w:rPr>
        <w:t xml:space="preserve"> </w:t>
      </w:r>
    </w:p>
    <w:p w14:paraId="4428A3A7" w14:textId="2E0B0410" w:rsidR="00610EEE" w:rsidRPr="005642A8" w:rsidRDefault="00610EEE" w:rsidP="00610EEE">
      <w:pPr>
        <w:pStyle w:val="Caption"/>
        <w:rPr>
          <w:rFonts w:ascii="Arial" w:hAnsi="Arial" w:cs="Arial"/>
          <w:sz w:val="32"/>
          <w:szCs w:val="32"/>
          <w:lang w:val="en-GB"/>
        </w:rPr>
      </w:pPr>
      <w:bookmarkStart w:id="20" w:name="_Ref148517031"/>
      <w:bookmarkStart w:id="21" w:name="_Ref117081658"/>
      <w:bookmarkStart w:id="22" w:name="_Toc153894555"/>
      <w:r w:rsidRPr="00DF5C8F">
        <w:rPr>
          <w:sz w:val="22"/>
          <w:szCs w:val="22"/>
        </w:rPr>
        <w:t xml:space="preserve">Table </w:t>
      </w:r>
      <w:r w:rsidRPr="00DF5C8F">
        <w:rPr>
          <w:sz w:val="22"/>
          <w:szCs w:val="22"/>
        </w:rPr>
        <w:fldChar w:fldCharType="begin"/>
      </w:r>
      <w:r w:rsidRPr="00DF5C8F">
        <w:rPr>
          <w:sz w:val="22"/>
          <w:szCs w:val="22"/>
        </w:rPr>
        <w:instrText xml:space="preserve"> SEQ Table \* ARABIC </w:instrText>
      </w:r>
      <w:r w:rsidRPr="00DF5C8F">
        <w:rPr>
          <w:sz w:val="22"/>
          <w:szCs w:val="22"/>
        </w:rPr>
        <w:fldChar w:fldCharType="separate"/>
      </w:r>
      <w:r w:rsidR="009B31EB">
        <w:rPr>
          <w:noProof/>
          <w:sz w:val="22"/>
          <w:szCs w:val="22"/>
        </w:rPr>
        <w:t>1</w:t>
      </w:r>
      <w:r w:rsidRPr="00DF5C8F">
        <w:rPr>
          <w:sz w:val="22"/>
          <w:szCs w:val="22"/>
        </w:rPr>
        <w:fldChar w:fldCharType="end"/>
      </w:r>
      <w:bookmarkEnd w:id="20"/>
      <w:r w:rsidRPr="00DF5C8F">
        <w:rPr>
          <w:sz w:val="22"/>
          <w:szCs w:val="22"/>
        </w:rPr>
        <w:t>:</w:t>
      </w:r>
      <w:bookmarkEnd w:id="21"/>
      <w:r w:rsidRPr="00DF5C8F">
        <w:rPr>
          <w:sz w:val="22"/>
          <w:szCs w:val="22"/>
        </w:rPr>
        <w:t xml:space="preserve"> Prevalence</w:t>
      </w:r>
      <w:r w:rsidRPr="005642A8">
        <w:rPr>
          <w:sz w:val="22"/>
          <w:szCs w:val="22"/>
        </w:rPr>
        <w:t xml:space="preserve"> of diabetes and related risk factors</w:t>
      </w:r>
      <w:bookmarkEnd w:id="22"/>
      <w:r w:rsidRPr="005642A8">
        <w:rPr>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8"/>
        <w:gridCol w:w="3209"/>
      </w:tblGrid>
      <w:tr w:rsidR="00610EEE" w:rsidRPr="00ED696A" w14:paraId="3AF10A6A" w14:textId="77777777" w:rsidTr="00282204">
        <w:trPr>
          <w:trHeight w:val="377"/>
        </w:trPr>
        <w:tc>
          <w:tcPr>
            <w:tcW w:w="6417" w:type="dxa"/>
            <w:gridSpan w:val="2"/>
            <w:tcBorders>
              <w:bottom w:val="single" w:sz="4" w:space="0" w:color="auto"/>
            </w:tcBorders>
          </w:tcPr>
          <w:p w14:paraId="661B2897" w14:textId="77777777" w:rsidR="00610EEE" w:rsidRPr="00ED696A" w:rsidRDefault="00610EEE" w:rsidP="00282204">
            <w:pPr>
              <w:spacing w:line="360" w:lineRule="auto"/>
              <w:rPr>
                <w:rFonts w:asciiTheme="minorBidi" w:hAnsiTheme="minorBidi"/>
                <w:lang w:val="en-GB"/>
              </w:rPr>
            </w:pPr>
            <w:r w:rsidRPr="00ED696A">
              <w:rPr>
                <w:rFonts w:asciiTheme="minorBidi" w:hAnsiTheme="minorBidi"/>
                <w:lang w:val="en-GB"/>
              </w:rPr>
              <w:t>Prevalence of diabetes and related risk factors</w:t>
            </w:r>
          </w:p>
        </w:tc>
      </w:tr>
      <w:tr w:rsidR="00610EEE" w:rsidRPr="00ED696A" w14:paraId="2B679DF7" w14:textId="77777777" w:rsidTr="00282204">
        <w:trPr>
          <w:trHeight w:val="377"/>
        </w:trPr>
        <w:tc>
          <w:tcPr>
            <w:tcW w:w="3208" w:type="dxa"/>
            <w:tcBorders>
              <w:top w:val="single" w:sz="4" w:space="0" w:color="auto"/>
            </w:tcBorders>
          </w:tcPr>
          <w:p w14:paraId="4C294B04" w14:textId="77777777" w:rsidR="00610EEE" w:rsidRPr="00ED696A" w:rsidRDefault="00610EEE" w:rsidP="00282204">
            <w:pPr>
              <w:spacing w:line="360" w:lineRule="auto"/>
              <w:rPr>
                <w:rFonts w:asciiTheme="minorBidi" w:hAnsiTheme="minorBidi"/>
                <w:lang w:val="en-GB"/>
              </w:rPr>
            </w:pPr>
            <w:r w:rsidRPr="00ED696A">
              <w:rPr>
                <w:rFonts w:asciiTheme="minorBidi" w:hAnsiTheme="minorBidi"/>
              </w:rPr>
              <w:t>Diabetes</w:t>
            </w:r>
          </w:p>
        </w:tc>
        <w:tc>
          <w:tcPr>
            <w:tcW w:w="3208" w:type="dxa"/>
            <w:tcBorders>
              <w:top w:val="single" w:sz="4" w:space="0" w:color="auto"/>
            </w:tcBorders>
          </w:tcPr>
          <w:p w14:paraId="672FAF5E" w14:textId="77777777" w:rsidR="00610EEE" w:rsidRPr="00ED696A" w:rsidRDefault="00610EEE" w:rsidP="00282204">
            <w:pPr>
              <w:spacing w:line="360" w:lineRule="auto"/>
              <w:rPr>
                <w:rFonts w:asciiTheme="minorBidi" w:hAnsiTheme="minorBidi"/>
                <w:lang w:val="en-GB"/>
              </w:rPr>
            </w:pPr>
            <w:r w:rsidRPr="00ED696A">
              <w:rPr>
                <w:rFonts w:asciiTheme="minorBidi" w:hAnsiTheme="minorBidi"/>
                <w:lang w:val="en-GB"/>
              </w:rPr>
              <w:t>14.4%</w:t>
            </w:r>
          </w:p>
        </w:tc>
      </w:tr>
      <w:tr w:rsidR="00610EEE" w:rsidRPr="00ED696A" w14:paraId="03603B8B" w14:textId="77777777" w:rsidTr="00282204">
        <w:trPr>
          <w:trHeight w:val="377"/>
        </w:trPr>
        <w:tc>
          <w:tcPr>
            <w:tcW w:w="3208" w:type="dxa"/>
          </w:tcPr>
          <w:p w14:paraId="4123C706" w14:textId="77777777" w:rsidR="00610EEE" w:rsidRPr="00ED696A" w:rsidRDefault="00610EEE" w:rsidP="00282204">
            <w:pPr>
              <w:spacing w:line="360" w:lineRule="auto"/>
              <w:rPr>
                <w:rFonts w:asciiTheme="minorBidi" w:hAnsiTheme="minorBidi"/>
                <w:lang w:val="en-GB"/>
              </w:rPr>
            </w:pPr>
            <w:r w:rsidRPr="00ED696A">
              <w:rPr>
                <w:rFonts w:asciiTheme="minorBidi" w:hAnsiTheme="minorBidi"/>
              </w:rPr>
              <w:t xml:space="preserve">Overweight </w:t>
            </w:r>
          </w:p>
        </w:tc>
        <w:tc>
          <w:tcPr>
            <w:tcW w:w="3208" w:type="dxa"/>
          </w:tcPr>
          <w:p w14:paraId="14971729" w14:textId="77777777" w:rsidR="00610EEE" w:rsidRPr="00ED696A" w:rsidRDefault="00610EEE" w:rsidP="00282204">
            <w:pPr>
              <w:spacing w:line="360" w:lineRule="auto"/>
              <w:rPr>
                <w:rFonts w:asciiTheme="minorBidi" w:hAnsiTheme="minorBidi"/>
                <w:lang w:val="en-GB"/>
              </w:rPr>
            </w:pPr>
            <w:r w:rsidRPr="00ED696A">
              <w:rPr>
                <w:rFonts w:asciiTheme="minorBidi" w:hAnsiTheme="minorBidi"/>
                <w:lang w:val="en-GB"/>
              </w:rPr>
              <w:t>68.2%</w:t>
            </w:r>
          </w:p>
        </w:tc>
      </w:tr>
      <w:tr w:rsidR="00610EEE" w:rsidRPr="00ED696A" w14:paraId="41FB9A8F" w14:textId="77777777" w:rsidTr="00282204">
        <w:trPr>
          <w:trHeight w:val="377"/>
        </w:trPr>
        <w:tc>
          <w:tcPr>
            <w:tcW w:w="3208" w:type="dxa"/>
          </w:tcPr>
          <w:p w14:paraId="1DD8E717" w14:textId="77777777" w:rsidR="00610EEE" w:rsidRPr="00ED696A" w:rsidRDefault="00610EEE" w:rsidP="00282204">
            <w:pPr>
              <w:spacing w:line="360" w:lineRule="auto"/>
              <w:rPr>
                <w:rFonts w:asciiTheme="minorBidi" w:hAnsiTheme="minorBidi"/>
                <w:lang w:val="en-GB"/>
              </w:rPr>
            </w:pPr>
            <w:r w:rsidRPr="00ED696A">
              <w:rPr>
                <w:rFonts w:asciiTheme="minorBidi" w:hAnsiTheme="minorBidi"/>
              </w:rPr>
              <w:t>Obesity</w:t>
            </w:r>
          </w:p>
        </w:tc>
        <w:tc>
          <w:tcPr>
            <w:tcW w:w="3208" w:type="dxa"/>
          </w:tcPr>
          <w:p w14:paraId="25261B8C" w14:textId="77777777" w:rsidR="00610EEE" w:rsidRPr="00ED696A" w:rsidRDefault="00610EEE" w:rsidP="00282204">
            <w:pPr>
              <w:spacing w:line="360" w:lineRule="auto"/>
              <w:rPr>
                <w:rFonts w:asciiTheme="minorBidi" w:hAnsiTheme="minorBidi"/>
                <w:lang w:val="en-GB"/>
              </w:rPr>
            </w:pPr>
            <w:r w:rsidRPr="00ED696A">
              <w:rPr>
                <w:rFonts w:asciiTheme="minorBidi" w:hAnsiTheme="minorBidi"/>
                <w:lang w:val="en-GB"/>
              </w:rPr>
              <w:t>33.7%</w:t>
            </w:r>
          </w:p>
        </w:tc>
      </w:tr>
      <w:tr w:rsidR="00610EEE" w:rsidRPr="00ED696A" w14:paraId="76260D6E" w14:textId="77777777" w:rsidTr="00282204">
        <w:trPr>
          <w:trHeight w:val="377"/>
        </w:trPr>
        <w:tc>
          <w:tcPr>
            <w:tcW w:w="3208" w:type="dxa"/>
            <w:tcBorders>
              <w:bottom w:val="single" w:sz="4" w:space="0" w:color="auto"/>
            </w:tcBorders>
          </w:tcPr>
          <w:p w14:paraId="6C652B79" w14:textId="77777777" w:rsidR="00610EEE" w:rsidRPr="00ED696A" w:rsidRDefault="00610EEE" w:rsidP="00282204">
            <w:pPr>
              <w:spacing w:line="360" w:lineRule="auto"/>
              <w:rPr>
                <w:rFonts w:asciiTheme="minorBidi" w:hAnsiTheme="minorBidi"/>
                <w:lang w:val="en-GB"/>
              </w:rPr>
            </w:pPr>
            <w:r w:rsidRPr="00ED696A">
              <w:rPr>
                <w:rFonts w:asciiTheme="minorBidi" w:hAnsiTheme="minorBidi"/>
              </w:rPr>
              <w:t>Physical inactivity</w:t>
            </w:r>
          </w:p>
        </w:tc>
        <w:tc>
          <w:tcPr>
            <w:tcW w:w="3208" w:type="dxa"/>
            <w:tcBorders>
              <w:bottom w:val="single" w:sz="4" w:space="0" w:color="auto"/>
            </w:tcBorders>
          </w:tcPr>
          <w:p w14:paraId="0041C4C3" w14:textId="77777777" w:rsidR="00610EEE" w:rsidRPr="00ED696A" w:rsidRDefault="00610EEE" w:rsidP="00282204">
            <w:pPr>
              <w:spacing w:line="360" w:lineRule="auto"/>
              <w:rPr>
                <w:rFonts w:asciiTheme="minorBidi" w:hAnsiTheme="minorBidi"/>
                <w:lang w:val="en-GB"/>
              </w:rPr>
            </w:pPr>
            <w:r w:rsidRPr="00ED696A">
              <w:rPr>
                <w:rFonts w:asciiTheme="minorBidi" w:hAnsiTheme="minorBidi"/>
                <w:lang w:val="en-GB"/>
              </w:rPr>
              <w:t>58.5%</w:t>
            </w:r>
          </w:p>
        </w:tc>
      </w:tr>
    </w:tbl>
    <w:p w14:paraId="2CDE35B1" w14:textId="77777777" w:rsidR="00610EEE" w:rsidRPr="00ED696A" w:rsidRDefault="00610EEE" w:rsidP="00610EEE">
      <w:pPr>
        <w:shd w:val="clear" w:color="auto" w:fill="FFFFFF"/>
        <w:spacing w:line="360" w:lineRule="auto"/>
        <w:rPr>
          <w:rFonts w:asciiTheme="minorBidi" w:hAnsiTheme="minorBidi"/>
        </w:rPr>
      </w:pPr>
      <w:r w:rsidRPr="00ED696A">
        <w:rPr>
          <w:rFonts w:asciiTheme="minorBidi" w:hAnsiTheme="minorBidi"/>
        </w:rPr>
        <w:t>Reference: World Health Organization – Diabetes country profiles, 2016.</w:t>
      </w:r>
    </w:p>
    <w:p w14:paraId="63BE8B69" w14:textId="77777777" w:rsidR="00610EEE" w:rsidRPr="006B2FC7" w:rsidRDefault="00610EEE" w:rsidP="00610EEE">
      <w:pPr>
        <w:autoSpaceDE w:val="0"/>
        <w:autoSpaceDN w:val="0"/>
        <w:adjustRightInd w:val="0"/>
        <w:spacing w:line="360" w:lineRule="auto"/>
        <w:jc w:val="both"/>
        <w:rPr>
          <w:rFonts w:ascii="Arial" w:hAnsi="Arial" w:cs="Arial"/>
          <w:sz w:val="24"/>
          <w:szCs w:val="24"/>
          <w:lang w:val="en-GB"/>
        </w:rPr>
      </w:pPr>
      <w:r w:rsidRPr="006B2FC7">
        <w:rPr>
          <w:rFonts w:ascii="Arial" w:hAnsi="Arial" w:cs="Arial"/>
          <w:sz w:val="24"/>
          <w:szCs w:val="24"/>
          <w:lang w:val="en-GB"/>
        </w:rPr>
        <w:t xml:space="preserve">The management of DM and its complications are also costly. Healthcare and treatment of DM expenses rose by more than 500 per cent in SA over the last two decades. In 2014, the </w:t>
      </w:r>
      <w:r>
        <w:rPr>
          <w:rFonts w:ascii="Arial" w:hAnsi="Arial" w:cs="Arial"/>
          <w:sz w:val="24"/>
          <w:szCs w:val="24"/>
          <w:lang w:val="en-GB"/>
        </w:rPr>
        <w:t xml:space="preserve">Saudi </w:t>
      </w:r>
      <w:r w:rsidRPr="006B2FC7">
        <w:rPr>
          <w:rFonts w:ascii="Arial" w:hAnsi="Arial" w:cs="Arial"/>
          <w:sz w:val="24"/>
          <w:szCs w:val="24"/>
          <w:lang w:val="en-GB"/>
        </w:rPr>
        <w:t>M</w:t>
      </w:r>
      <w:r>
        <w:rPr>
          <w:rFonts w:ascii="Arial" w:hAnsi="Arial" w:cs="Arial"/>
          <w:sz w:val="24"/>
          <w:szCs w:val="24"/>
          <w:lang w:val="en-GB"/>
        </w:rPr>
        <w:t>o</w:t>
      </w:r>
      <w:r w:rsidRPr="006B2FC7">
        <w:rPr>
          <w:rFonts w:ascii="Arial" w:hAnsi="Arial" w:cs="Arial"/>
          <w:sz w:val="24"/>
          <w:szCs w:val="24"/>
          <w:lang w:val="en-GB"/>
        </w:rPr>
        <w:t>H dispensed 25 billion SAR (about £5 billion) on the Saudi diabetic population, which is approximately 14 per cent of the total M</w:t>
      </w:r>
      <w:r>
        <w:rPr>
          <w:rFonts w:ascii="Arial" w:hAnsi="Arial" w:cs="Arial"/>
          <w:sz w:val="24"/>
          <w:szCs w:val="24"/>
          <w:lang w:val="en-GB"/>
        </w:rPr>
        <w:t>o</w:t>
      </w:r>
      <w:r w:rsidRPr="006B2FC7">
        <w:rPr>
          <w:rFonts w:ascii="Arial" w:hAnsi="Arial" w:cs="Arial"/>
          <w:sz w:val="24"/>
          <w:szCs w:val="24"/>
          <w:lang w:val="en-GB"/>
        </w:rPr>
        <w:t xml:space="preserve">H budget (180 Billion SAR)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{"citationItems":[{"id":"ITEM-1","itemData":{"abstract":"The World Health Organization has ranked Saudi Arabia as having the second highest rate of diabetes in the Middle East (7 th highest in the world) with an estimated population of 7 million living with diabetes and more than 3 million with pre-diabetes. This presents a pressing public health problem. Several challenges in diabetes management need to be tackled in Saudi Arabia, including the growing prevalence (chiefly among children and young adults), micro-and macrovascular complications , lifestyle changes, late diagnosis, poor awareness and high treatment costs. Over the last two decades , the Saudi population saw an increase in the expenses in healthcare and treatment of diabetes by by more than 500%. In 2014, the health care budget was 180 billion (Saudi Riyal) of which 17 billion was spent on all Saudis, with an approximate 25 billion on the entire Saudi diabetic population. This implies that the direct expense of diabetes is costing Saudi Arabia around 13.9% of the total health expenditure. Therefore, unless a comprehensive epidemic control program/multidisciplinary approach is stringently enforced, the diabetes mellitus burden on Saudi Arabia will probably increase to very serious levels. It is crucial to implement improved health and health-related quality of life of to those with diabetes, thus minimizing the social and personal expenses for diabetes care in Saudi Arabia. In this study we discuss the significant and major threats posed by diabetes mellitus to the Saudi population and recommend essential possible solutions to delay/prevent this formidable issue.","author":[{"dropping-particle":"","family":"Robert","given":"Asirvatham Alwin","non-dropping-particle":"","parse-names":false,"suffix":""},{"dropping-particle":"","family":"Abdulaziz Al Dawish","given":"Mohamed","non-dropping-particle":"","parse-names":false,"suffix":""},{"dropping-particle":"","family":"Braham","given":"Rim","non-dropping-particle":"","parse-names":false,"suffix":""},{"dropping-particle":"","family":"Ali Musallam","given":"Maha","non-dropping-particle":"","parse-names":false,"suffix":""},{"dropping-particle":"","family":"Abdullah Al Hayek","given":"Ayman","non-dropping-particle":"","parse-names":false,"suffix":""},{"dropping-particle":"","family":"Hazza Al Kahtany","given":"Nasser","non-dropping-particle":"","parse-names":false,"suffix":""}],"container-title":"Bentham Science Publishers","id":"ITEM-1","issued":{"date-parts":[["2016"]]},"title":"Type 2 Diabetes Mellitus in Saudi Arabia: Major Challenges and Possible Solutions","type":"article-journal"},"uris":["http://www.mendeley.com/documents/?uuid=51ebfa95-993d-389e-8716-96403897a3c3"]}],"mendeley":{"formattedCitation":"(Robert &lt;i&gt;et al.&lt;/i&gt;, 2016)","plainTextFormattedCitation":"(Robert et al., 2016)","previouslyFormattedCitation":"(Robert &lt;i&gt;et al.&lt;/i&gt;, 2016)"},"properties":{"noteIndex":0},"schema":"https://github.com/citation-style-language/schema/raw/master/csl-citation.json"}</w:instrText>
      </w:r>
      <w:r>
        <w:rPr>
          <w:rFonts w:ascii="Arial" w:hAnsi="Arial" w:cs="Arial"/>
          <w:sz w:val="24"/>
          <w:szCs w:val="24"/>
          <w:lang w:val="en-GB"/>
        </w:rPr>
        <w:fldChar w:fldCharType="separate"/>
      </w:r>
      <w:r w:rsidRPr="00B55EDD">
        <w:rPr>
          <w:rFonts w:ascii="Arial" w:hAnsi="Arial" w:cs="Arial"/>
          <w:noProof/>
          <w:sz w:val="24"/>
          <w:szCs w:val="24"/>
          <w:lang w:val="en-GB"/>
        </w:rPr>
        <w:t xml:space="preserve">(Robert </w:t>
      </w:r>
      <w:r w:rsidRPr="00B55EDD">
        <w:rPr>
          <w:rFonts w:ascii="Arial" w:hAnsi="Arial" w:cs="Arial"/>
          <w:i/>
          <w:noProof/>
          <w:sz w:val="24"/>
          <w:szCs w:val="24"/>
          <w:lang w:val="en-GB"/>
        </w:rPr>
        <w:t>et al.</w:t>
      </w:r>
      <w:r w:rsidRPr="00B55EDD">
        <w:rPr>
          <w:rFonts w:ascii="Arial" w:hAnsi="Arial" w:cs="Arial"/>
          <w:noProof/>
          <w:sz w:val="24"/>
          <w:szCs w:val="24"/>
          <w:lang w:val="en-GB"/>
        </w:rPr>
        <w:t>, 2016)</w:t>
      </w:r>
      <w:r>
        <w:rPr>
          <w:rFonts w:ascii="Arial" w:hAnsi="Arial" w:cs="Arial"/>
          <w:sz w:val="24"/>
          <w:szCs w:val="24"/>
          <w:lang w:val="en-GB"/>
        </w:rPr>
        <w:fldChar w:fldCharType="end"/>
      </w:r>
      <w:r>
        <w:rPr>
          <w:rFonts w:ascii="Arial" w:hAnsi="Arial" w:cs="Arial"/>
          <w:sz w:val="24"/>
          <w:szCs w:val="24"/>
          <w:lang w:val="en-GB"/>
        </w:rPr>
        <w:t>.</w:t>
      </w:r>
      <w:r w:rsidRPr="006B2FC7">
        <w:rPr>
          <w:rFonts w:ascii="Arial" w:hAnsi="Arial" w:cs="Arial"/>
          <w:sz w:val="24"/>
          <w:szCs w:val="24"/>
          <w:lang w:val="en-GB"/>
        </w:rPr>
        <w:t xml:space="preserve"> </w:t>
      </w:r>
      <w:r>
        <w:rPr>
          <w:rFonts w:asciiTheme="minorBidi" w:hAnsiTheme="minorBidi"/>
          <w:sz w:val="24"/>
          <w:szCs w:val="24"/>
          <w:lang w:val="en-GB"/>
        </w:rPr>
        <w:t>T</w:t>
      </w:r>
      <w:r w:rsidRPr="00A376C7">
        <w:rPr>
          <w:rFonts w:asciiTheme="minorBidi" w:hAnsiTheme="minorBidi"/>
          <w:sz w:val="24"/>
          <w:szCs w:val="24"/>
          <w:lang w:val="en-GB"/>
        </w:rPr>
        <w:t xml:space="preserve">his figure of expenditure on managing diabetes was estimated to be in 2020 </w:t>
      </w:r>
      <w:r>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2017)","plainTextFormattedCitation":"(Makeen, 2017)","previouslyFormattedCitation":"(Makeen, 2017)"},"properties":{"noteIndex":0},"schema":"https://github.com/citation-style-language/schema/raw/master/csl-citation.json"}</w:instrText>
      </w:r>
      <w:r>
        <w:rPr>
          <w:rFonts w:asciiTheme="minorBidi" w:hAnsiTheme="minorBidi"/>
          <w:sz w:val="24"/>
          <w:szCs w:val="24"/>
          <w:lang w:val="en-GB"/>
        </w:rPr>
        <w:fldChar w:fldCharType="separate"/>
      </w:r>
      <w:r w:rsidRPr="007E75EE">
        <w:rPr>
          <w:rFonts w:asciiTheme="minorBidi" w:hAnsiTheme="minorBidi"/>
          <w:noProof/>
          <w:sz w:val="24"/>
          <w:szCs w:val="24"/>
          <w:lang w:val="en-GB"/>
        </w:rPr>
        <w:t>(Makeen, 2017)</w:t>
      </w:r>
      <w:r>
        <w:rPr>
          <w:rFonts w:asciiTheme="minorBidi" w:hAnsiTheme="minorBidi"/>
          <w:sz w:val="24"/>
          <w:szCs w:val="24"/>
          <w:lang w:val="en-GB"/>
        </w:rPr>
        <w:fldChar w:fldCharType="end"/>
      </w:r>
      <w:r>
        <w:rPr>
          <w:rFonts w:asciiTheme="minorBidi" w:hAnsiTheme="minorBidi"/>
          <w:sz w:val="24"/>
          <w:szCs w:val="24"/>
          <w:lang w:val="en-GB"/>
        </w:rPr>
        <w:t xml:space="preserve">. </w:t>
      </w:r>
      <w:r w:rsidRPr="006B2FC7">
        <w:rPr>
          <w:rFonts w:ascii="Arial" w:hAnsi="Arial" w:cs="Arial"/>
          <w:sz w:val="24"/>
          <w:szCs w:val="24"/>
          <w:lang w:val="en-GB"/>
        </w:rPr>
        <w:t>DM is</w:t>
      </w:r>
      <w:r>
        <w:rPr>
          <w:rFonts w:ascii="Arial" w:hAnsi="Arial" w:cs="Arial"/>
          <w:sz w:val="24"/>
          <w:szCs w:val="24"/>
          <w:lang w:val="en-GB"/>
        </w:rPr>
        <w:t>, therefore,</w:t>
      </w:r>
      <w:r w:rsidRPr="006B2FC7">
        <w:rPr>
          <w:rFonts w:ascii="Arial" w:hAnsi="Arial" w:cs="Arial"/>
          <w:sz w:val="24"/>
          <w:szCs w:val="24"/>
          <w:lang w:val="en-GB"/>
        </w:rPr>
        <w:t xml:space="preserve"> a significant factor to the morbidity and mortality; it brings a substantial socioeconomic burden in SA. </w:t>
      </w:r>
    </w:p>
    <w:p w14:paraId="1FF71942" w14:textId="2BBC925D" w:rsidR="00610EEE" w:rsidRPr="005F001B" w:rsidRDefault="00610EEE" w:rsidP="00610EEE">
      <w:pPr>
        <w:spacing w:line="360" w:lineRule="auto"/>
        <w:jc w:val="both"/>
        <w:rPr>
          <w:rFonts w:ascii="Arial" w:hAnsi="Arial" w:cs="Arial"/>
          <w:i/>
          <w:sz w:val="24"/>
          <w:szCs w:val="24"/>
          <w:lang w:val="en-GB"/>
        </w:rPr>
      </w:pPr>
      <w:r w:rsidRPr="00A376C7">
        <w:rPr>
          <w:rFonts w:asciiTheme="minorBidi" w:hAnsiTheme="minorBidi"/>
          <w:sz w:val="24"/>
          <w:szCs w:val="24"/>
          <w:lang w:val="en-GB"/>
        </w:rPr>
        <w:t xml:space="preserve">DM is now a medical and national priority and one of the most worrying health issues </w:t>
      </w:r>
      <w:r>
        <w:rPr>
          <w:rFonts w:asciiTheme="minorBidi" w:hAnsiTheme="minorBidi"/>
          <w:sz w:val="24"/>
          <w:szCs w:val="24"/>
          <w:lang w:val="en-GB"/>
        </w:rPr>
        <w:t xml:space="preserve">in SA </w:t>
      </w:r>
      <w:r w:rsidRPr="00A376C7">
        <w:rPr>
          <w:rFonts w:asciiTheme="minorBidi" w:hAnsiTheme="minorBidi"/>
          <w:sz w:val="24"/>
          <w:szCs w:val="24"/>
          <w:lang w:val="en-GB"/>
        </w:rPr>
        <w:t xml:space="preserve">due to escalating the numbers affected with it and </w:t>
      </w:r>
      <w:r>
        <w:rPr>
          <w:rFonts w:asciiTheme="minorBidi" w:hAnsiTheme="minorBidi"/>
          <w:sz w:val="24"/>
          <w:szCs w:val="24"/>
          <w:lang w:val="en-GB"/>
        </w:rPr>
        <w:t>the</w:t>
      </w:r>
      <w:r w:rsidRPr="00A376C7">
        <w:rPr>
          <w:rFonts w:asciiTheme="minorBidi" w:hAnsiTheme="minorBidi"/>
          <w:sz w:val="24"/>
          <w:szCs w:val="24"/>
          <w:lang w:val="en-GB"/>
        </w:rPr>
        <w:t xml:space="preserve"> economic </w:t>
      </w:r>
      <w:r>
        <w:rPr>
          <w:rFonts w:asciiTheme="minorBidi" w:hAnsiTheme="minorBidi"/>
          <w:sz w:val="24"/>
          <w:szCs w:val="24"/>
          <w:lang w:val="en-GB"/>
        </w:rPr>
        <w:t>burden as shown above. I</w:t>
      </w:r>
      <w:r w:rsidRPr="00A376C7">
        <w:rPr>
          <w:rFonts w:asciiTheme="minorBidi" w:hAnsiTheme="minorBidi"/>
          <w:sz w:val="24"/>
          <w:szCs w:val="24"/>
          <w:lang w:val="en-GB"/>
        </w:rPr>
        <w:t xml:space="preserve">t is </w:t>
      </w:r>
      <w:r>
        <w:rPr>
          <w:rFonts w:asciiTheme="minorBidi" w:hAnsiTheme="minorBidi"/>
          <w:sz w:val="24"/>
          <w:szCs w:val="24"/>
          <w:lang w:val="en-GB"/>
        </w:rPr>
        <w:t xml:space="preserve">therefore </w:t>
      </w:r>
      <w:r w:rsidRPr="00A376C7">
        <w:rPr>
          <w:rFonts w:asciiTheme="minorBidi" w:hAnsiTheme="minorBidi"/>
          <w:sz w:val="24"/>
          <w:szCs w:val="24"/>
          <w:lang w:val="en-GB"/>
        </w:rPr>
        <w:t xml:space="preserve">crucial to provide the most effective healthcare for diabetic patients, and </w:t>
      </w:r>
      <w:r>
        <w:rPr>
          <w:rFonts w:asciiTheme="minorBidi" w:hAnsiTheme="minorBidi"/>
          <w:sz w:val="24"/>
          <w:szCs w:val="24"/>
          <w:lang w:val="en-GB"/>
        </w:rPr>
        <w:t xml:space="preserve">the </w:t>
      </w:r>
      <w:r w:rsidRPr="00A376C7">
        <w:rPr>
          <w:rFonts w:asciiTheme="minorBidi" w:hAnsiTheme="minorBidi"/>
          <w:sz w:val="24"/>
          <w:szCs w:val="24"/>
          <w:lang w:val="en-GB"/>
        </w:rPr>
        <w:t xml:space="preserve">multidisciplinary care team approach </w:t>
      </w:r>
      <w:r>
        <w:rPr>
          <w:rFonts w:asciiTheme="minorBidi" w:hAnsiTheme="minorBidi"/>
          <w:sz w:val="24"/>
          <w:szCs w:val="24"/>
          <w:lang w:val="en-GB"/>
        </w:rPr>
        <w:t>might</w:t>
      </w:r>
      <w:r w:rsidRPr="00A376C7">
        <w:rPr>
          <w:rFonts w:asciiTheme="minorBidi" w:hAnsiTheme="minorBidi"/>
          <w:sz w:val="24"/>
          <w:szCs w:val="24"/>
          <w:lang w:val="en-GB"/>
        </w:rPr>
        <w:t xml:space="preserve"> be considered to optimise the management of </w:t>
      </w:r>
      <w:r>
        <w:rPr>
          <w:rFonts w:asciiTheme="minorBidi" w:hAnsiTheme="minorBidi"/>
          <w:sz w:val="24"/>
          <w:szCs w:val="24"/>
          <w:lang w:val="en-GB"/>
        </w:rPr>
        <w:t>the disease</w:t>
      </w:r>
      <w:r w:rsidRPr="00A376C7">
        <w:rPr>
          <w:rFonts w:asciiTheme="minorBidi" w:hAnsiTheme="minorBidi"/>
          <w:sz w:val="24"/>
          <w:szCs w:val="24"/>
          <w:lang w:val="en-GB"/>
        </w:rPr>
        <w:t xml:space="preserve">. Due to the complex nature of diabetes, the American Diabetes Association (ADA) strongly recommend a collaborative and integrated team approach for its management, in which the patient plays an active role along with </w:t>
      </w:r>
      <w:r>
        <w:rPr>
          <w:rFonts w:asciiTheme="minorBidi" w:hAnsiTheme="minorBidi"/>
          <w:sz w:val="24"/>
          <w:szCs w:val="24"/>
          <w:lang w:val="en-GB"/>
        </w:rPr>
        <w:t xml:space="preserve">a </w:t>
      </w:r>
      <w:r w:rsidRPr="00A376C7">
        <w:rPr>
          <w:rFonts w:asciiTheme="minorBidi" w:hAnsiTheme="minorBidi"/>
          <w:sz w:val="24"/>
          <w:szCs w:val="24"/>
          <w:lang w:val="en-GB"/>
        </w:rPr>
        <w:t xml:space="preserve">multi-professional health care team </w:t>
      </w:r>
      <w:r w:rsidRPr="00A376C7">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{"citationItems":[{"id":"ITEM-1","itemData":{"DOI":"https://dx.doi.org/10.18553/jmcp.2016.22.5.493","ISSN":"2376-1032","PMID":"27123912","abstract":"BACKGROUND: Diabetes mellitus is a major health problem that is growing rapidly worldwide. A collaborative and integrated team approach in which pharmacists can play a pivotal role should be sought when managing patients with diabetes., OBJECTIVE: To identify and summarize the main outcomes of pharmacist interventions in the management of type 2 diabetes., METHODS: PubMed, Cochrane Central Register of Controlled Trials, and Web of Science were searched for randomized controlled trials evaluating the effectiveness of any pharmacist intervention directed at patients with type 2 diabetes in comparison with usual care. Outcome measures of interest included glycosylated hemoglobin (Alc), blood glucose, blood pressure, lipid profile, body mass index (BMI), 10-year coronary heart disease (CHD) risk, medication adherence, health-related quality of life (HRQoL), and economic outcomes. The risk of bias in included studies was assessed using the Cochrane risk of bias tool., RESULTS: Thirty-six studies were included in this systematic review, involving 5,761 participants. The studies evaluated the effects of several pharmacist interventions carried out in various countries and in different health care facilities, such as community pharmacies, primary care clinics, and hospitals. The number of studies reporting each outcome of interest varied. Alc was evaluated in 26 studies, of which 24 reported a greater reduction in this outcome in the intervention group compared with the control group, with the difference in change between groups ranging from -0.18% to -2.1%. Eighteen studies assessed change in systolic blood pressure, of which 17 studies reported a greater improvement in this outcome in the intervention group, with the difference in change between groups varying between -3.3 mmHg and -23.05 mmHg. For diastolic blood pressure, a greater effect was also observed in the intervention group in 14 out of 15 studies, with the difference in change between groups varying between -0.21 mmHg and -9.1 mmHg. Thirteen studies described total cholesterol as an outcome measure, of which 10 reported a greater improvement in this outcome in the intervention group, with the difference in change between groups ranging from +18.95 mg dL(-1) to -32.48 mg dL(-1). With regard to low-density lipoprotein cholesterol, a greater reduction in this parameter in the intervention group was documented in 12 out of 15 studies, with the difference in change between groups varying between +7.35 m…","author":[{"dropping-particle":"","family":"Pousinho","given":"Sarah","non-dropping-particle":"","parse-names":false,"suffix":""},{"dropping-particle":"","family":"Morgado","given":"Manuel","non-dropping-particle":"","parse-names":false,"suffix":""},{"dropping-particle":"","family":"Falcão","given":"Amílcar","non-dropping-particle":"","parse-names":false,"suffix":""},{"dropping-particle":"","family":"Alves","given":"Gilberto","non-dropping-particle":"","parse-names":false,"suffix":""},{"dropping-particle":"","family":"Falcao","given":"Amilcar","non-dropping-particle":"","parse-names":false,"suffix":""},{"dropping-particle":"","family":"Alves","given":"Gilberto","non-dropping-particle":"","parse-names":false,"suffix":""}],"container-title":"Journal of managed care &amp; specialty pharmacy","id":"ITEM-1","issue":"5","issued":{"date-parts":[["2016","5","1"]]},"page":"493-515","publisher":"Academy of Managed Care Pharmacy (AMCP)","publisher-place":"United States","title":"Pharmacist Interventions in the Management of Type 2 Diabetes Mellitus: A Systematic Review of Randomized Controlled Trials.","type":"article-journal","volume":"22"},"uris":["http://www.mendeley.com/documents/?uuid=5ba65295-ecb5-4236-9c6c-4d2012560a2c"]}],"mendeley":{"formattedCitation":"(Pousinho &lt;i&gt;et al.&lt;/i&gt;, 2016)","manualFormatting":"(Pousinho et al., 2016.)","plainTextFormattedCitation":"(Pousinho et al., 2016)","previouslyFormattedCitation":"(Pousinho &lt;i&gt;et al.&lt;/i&gt;, 2016)"},"properties":{"noteIndex":0},"schema":"https://github.com/citation-style-language/schema/raw/master/csl-citation.json"}</w:instrText>
      </w:r>
      <w:r w:rsidRPr="00A376C7">
        <w:rPr>
          <w:rFonts w:asciiTheme="minorBidi" w:hAnsiTheme="minorBidi"/>
          <w:sz w:val="24"/>
          <w:szCs w:val="24"/>
          <w:lang w:val="en-GB"/>
        </w:rPr>
        <w:fldChar w:fldCharType="separate"/>
      </w:r>
      <w:r w:rsidRPr="00A376C7">
        <w:rPr>
          <w:rFonts w:asciiTheme="minorBidi" w:hAnsiTheme="minorBidi"/>
          <w:noProof/>
          <w:sz w:val="24"/>
          <w:szCs w:val="24"/>
          <w:lang w:val="en-GB"/>
        </w:rPr>
        <w:t>(Pousinho et al., 2016</w:t>
      </w:r>
      <w:r>
        <w:rPr>
          <w:rFonts w:asciiTheme="minorBidi" w:hAnsiTheme="minorBidi"/>
          <w:noProof/>
          <w:sz w:val="24"/>
          <w:szCs w:val="24"/>
          <w:lang w:val="en-GB"/>
        </w:rPr>
        <w:t>.</w:t>
      </w:r>
      <w:r w:rsidRPr="00A376C7">
        <w:rPr>
          <w:rFonts w:asciiTheme="minorBidi" w:hAnsiTheme="minorBidi"/>
          <w:noProof/>
          <w:sz w:val="24"/>
          <w:szCs w:val="24"/>
          <w:lang w:val="en-GB"/>
        </w:rPr>
        <w:t>)</w:t>
      </w:r>
      <w:r w:rsidRPr="00A376C7">
        <w:rPr>
          <w:rFonts w:asciiTheme="minorBidi" w:hAnsiTheme="minorBidi"/>
          <w:sz w:val="24"/>
          <w:szCs w:val="24"/>
          <w:lang w:val="en-GB"/>
        </w:rPr>
        <w:fldChar w:fldCharType="end"/>
      </w:r>
      <w:r w:rsidRPr="00A376C7">
        <w:rPr>
          <w:rFonts w:asciiTheme="minorBidi" w:hAnsiTheme="minorBidi"/>
          <w:sz w:val="24"/>
          <w:szCs w:val="24"/>
          <w:lang w:val="en-GB"/>
        </w:rPr>
        <w:t xml:space="preserve">. </w:t>
      </w:r>
      <w:r>
        <w:rPr>
          <w:rStyle w:val="lookup-resultcontent"/>
          <w:rFonts w:asciiTheme="minorBidi" w:eastAsia="Times New Roman" w:hAnsiTheme="minorBidi"/>
          <w:sz w:val="24"/>
          <w:szCs w:val="24"/>
        </w:rPr>
        <w:t xml:space="preserve">Similarly, </w:t>
      </w:r>
      <w:r w:rsidRPr="00FE4B4B">
        <w:rPr>
          <w:rFonts w:asciiTheme="minorBidi" w:hAnsiTheme="minorBidi"/>
          <w:noProof/>
          <w:sz w:val="24"/>
          <w:szCs w:val="24"/>
        </w:rPr>
        <w:t xml:space="preserve">Willens </w:t>
      </w:r>
      <w:r w:rsidRPr="00167F42">
        <w:rPr>
          <w:rFonts w:asciiTheme="minorBidi" w:hAnsiTheme="minorBidi"/>
          <w:iCs/>
          <w:noProof/>
          <w:sz w:val="24"/>
          <w:szCs w:val="24"/>
        </w:rPr>
        <w:t>et al.</w:t>
      </w:r>
      <w:r>
        <w:rPr>
          <w:rFonts w:asciiTheme="minorBidi" w:hAnsiTheme="minorBidi"/>
          <w:iCs/>
          <w:noProof/>
          <w:sz w:val="24"/>
          <w:szCs w:val="24"/>
        </w:rPr>
        <w:t xml:space="preserve"> (</w:t>
      </w:r>
      <w:r w:rsidRPr="00FE4B4B">
        <w:rPr>
          <w:rFonts w:asciiTheme="minorBidi" w:hAnsiTheme="minorBidi"/>
          <w:noProof/>
          <w:sz w:val="24"/>
          <w:szCs w:val="24"/>
        </w:rPr>
        <w:t>2011</w:t>
      </w:r>
      <w:r>
        <w:rPr>
          <w:rFonts w:asciiTheme="minorBidi" w:hAnsiTheme="minorBidi"/>
          <w:noProof/>
          <w:sz w:val="24"/>
          <w:szCs w:val="24"/>
        </w:rPr>
        <w:t>)</w:t>
      </w:r>
      <w:r>
        <w:rPr>
          <w:rStyle w:val="lookup-resultcontent"/>
          <w:rFonts w:asciiTheme="minorBidi" w:eastAsia="Times New Roman" w:hAnsiTheme="minorBidi"/>
          <w:sz w:val="24"/>
          <w:szCs w:val="24"/>
        </w:rPr>
        <w:t xml:space="preserve"> state that </w:t>
      </w:r>
      <w:r>
        <w:rPr>
          <w:rFonts w:asciiTheme="minorBidi" w:hAnsiTheme="minorBidi"/>
          <w:sz w:val="24"/>
          <w:szCs w:val="24"/>
        </w:rPr>
        <w:t>‘</w:t>
      </w:r>
      <w:r w:rsidRPr="00167F42">
        <w:rPr>
          <w:rFonts w:asciiTheme="minorBidi" w:hAnsiTheme="minorBidi"/>
          <w:i/>
          <w:iCs/>
          <w:sz w:val="24"/>
          <w:szCs w:val="24"/>
        </w:rPr>
        <w:t>teams of providers working collaboratively at the top of their skill sets can best meet patients’ complex needs’</w:t>
      </w:r>
      <w:r>
        <w:rPr>
          <w:rFonts w:asciiTheme="minorBidi" w:hAnsiTheme="minorBidi"/>
          <w:sz w:val="24"/>
          <w:szCs w:val="24"/>
        </w:rPr>
        <w:t xml:space="preserve"> </w:t>
      </w:r>
      <w:r>
        <w:rPr>
          <w:rFonts w:asciiTheme="minorBidi" w:hAnsiTheme="minorBidi"/>
          <w:sz w:val="24"/>
          <w:szCs w:val="24"/>
        </w:rPr>
        <w:fldChar w:fldCharType="begin" w:fldLock="1"/>
      </w:r>
      <w:r w:rsidR="001D6014">
        <w:rPr>
          <w:rFonts w:asciiTheme="minorBidi" w:hAnsiTheme="minorBidi"/>
          <w:sz w:val="24"/>
          <w:szCs w:val="24"/>
        </w:rPr>
        <w:instrText>ADDIN CSL_CITATION {"citationItems":[{"id":"ITEM-1","itemData":{"author":[{"dropping-particle":"","family":"Willens","given":"David","non-dropping-particle":"","parse-names":false,"suffix":""},{"dropping-particle":"","family":"Cripps","given":"Rebecca","non-dropping-particle":"","parse-names":false,"suffix":""},{"dropping-particle":"","family":"Wilson","given":"Amy","non-dropping-particle":"","parse-names":false,"suffix":""},{"dropping-particle":"","family":"Wolff","given":"Kathleen","non-dropping-particle":"","parse-names":false,"suffix":""},{"dropping-particle":"","family":"Rothman","given":"Russell","non-dropping-particle":"","parse-names":false,"suffix":""}],"container-title":"Clinical Diabetes","id":"ITEM-1","issue":"2","issued":{"date-parts":[["2011"]]},"title":"Interdisciplinary Team Care for Diabetic Patients by Primary Care Physicians, Advanced Practice Nurses, and Clinical Pharmacists","type":"article-journal","volume":"29"},"uris":["http://www.mendeley.com/documents/?uuid=cbab824b-805e-3469-8cd8-97223cf09ef7"]}],"mendeley":{"formattedCitation":"(Willens &lt;i&gt;et al.&lt;/i&gt;, 2011)","manualFormatting":"(Willens et al., 2011a, p 66)","plainTextFormattedCitation":"(Willens et al., 2011)","previouslyFormattedCitation":"(Willens &lt;i&gt;et al.&lt;/i&gt;, 2011)"},"properties":{"noteIndex":0},"schema":"https://github.com/citation-style-language/schema/raw/master/csl-citation.json"}</w:instrText>
      </w:r>
      <w:r>
        <w:rPr>
          <w:rFonts w:asciiTheme="minorBidi" w:hAnsiTheme="minorBidi"/>
          <w:sz w:val="24"/>
          <w:szCs w:val="24"/>
        </w:rPr>
        <w:fldChar w:fldCharType="separate"/>
      </w:r>
      <w:r w:rsidRPr="008368A8">
        <w:rPr>
          <w:rFonts w:asciiTheme="minorBidi" w:hAnsiTheme="minorBidi"/>
          <w:noProof/>
          <w:sz w:val="24"/>
          <w:szCs w:val="24"/>
        </w:rPr>
        <w:t xml:space="preserve">(Willens </w:t>
      </w:r>
      <w:r w:rsidRPr="008368A8">
        <w:rPr>
          <w:rFonts w:asciiTheme="minorBidi" w:hAnsiTheme="minorBidi"/>
          <w:i/>
          <w:noProof/>
          <w:sz w:val="24"/>
          <w:szCs w:val="24"/>
        </w:rPr>
        <w:t>et al.</w:t>
      </w:r>
      <w:r w:rsidRPr="008368A8">
        <w:rPr>
          <w:rFonts w:asciiTheme="minorBidi" w:hAnsiTheme="minorBidi"/>
          <w:noProof/>
          <w:sz w:val="24"/>
          <w:szCs w:val="24"/>
        </w:rPr>
        <w:t>, 2011a</w:t>
      </w:r>
      <w:r>
        <w:rPr>
          <w:rFonts w:asciiTheme="minorBidi" w:hAnsiTheme="minorBidi"/>
          <w:noProof/>
          <w:sz w:val="24"/>
          <w:szCs w:val="24"/>
        </w:rPr>
        <w:t>, p 66</w:t>
      </w:r>
      <w:r w:rsidRPr="008368A8">
        <w:rPr>
          <w:rFonts w:asciiTheme="minorBidi" w:hAnsiTheme="minorBidi"/>
          <w:noProof/>
          <w:sz w:val="24"/>
          <w:szCs w:val="24"/>
        </w:rPr>
        <w:t>)</w:t>
      </w:r>
      <w:r>
        <w:rPr>
          <w:rFonts w:asciiTheme="minorBidi" w:hAnsiTheme="minorBidi"/>
          <w:sz w:val="24"/>
          <w:szCs w:val="24"/>
        </w:rPr>
        <w:fldChar w:fldCharType="end"/>
      </w:r>
      <w:r>
        <w:rPr>
          <w:rFonts w:asciiTheme="minorBidi" w:hAnsiTheme="minorBidi"/>
          <w:sz w:val="24"/>
          <w:szCs w:val="24"/>
        </w:rPr>
        <w:t xml:space="preserve">. </w:t>
      </w:r>
    </w:p>
    <w:p w14:paraId="6590B1D8" w14:textId="3E36CC0B" w:rsidR="00610EEE" w:rsidRPr="005F001B" w:rsidRDefault="00610EEE" w:rsidP="00610EEE">
      <w:pPr>
        <w:spacing w:line="360" w:lineRule="auto"/>
        <w:jc w:val="both"/>
        <w:rPr>
          <w:rFonts w:ascii="Arial" w:hAnsi="Arial" w:cs="Arial"/>
          <w:i/>
          <w:sz w:val="24"/>
          <w:szCs w:val="24"/>
          <w:lang w:val="en-GB"/>
        </w:rPr>
      </w:pPr>
      <w:r>
        <w:rPr>
          <w:rFonts w:asciiTheme="minorBidi" w:hAnsiTheme="minorBidi"/>
          <w:sz w:val="24"/>
          <w:szCs w:val="24"/>
          <w:lang w:val="en-GB"/>
        </w:rPr>
        <w:t xml:space="preserve">In terms of those who are involved in diabetes care within health systems and where a considerable amount of the healthcare cost is used, traditional roles such as those of doctors and nurses are key. In addition, and due to the recognised complications of DM, ophthalmology and podiatry services are also. Other HCPs are also, and in the next section the role of pharmacists is </w:t>
      </w:r>
      <w:r w:rsidR="005812B9">
        <w:rPr>
          <w:rFonts w:asciiTheme="minorBidi" w:hAnsiTheme="minorBidi"/>
          <w:sz w:val="24"/>
          <w:szCs w:val="24"/>
          <w:lang w:val="en-GB"/>
        </w:rPr>
        <w:t>presented and</w:t>
      </w:r>
      <w:r>
        <w:rPr>
          <w:rFonts w:asciiTheme="minorBidi" w:hAnsiTheme="minorBidi"/>
          <w:sz w:val="24"/>
          <w:szCs w:val="24"/>
          <w:lang w:val="en-GB"/>
        </w:rPr>
        <w:t xml:space="preserve"> will form the subsequent focus of this research. However, i</w:t>
      </w:r>
      <w:r w:rsidRPr="001056C0">
        <w:rPr>
          <w:rFonts w:asciiTheme="minorBidi" w:hAnsiTheme="minorBidi"/>
          <w:sz w:val="24"/>
          <w:szCs w:val="24"/>
          <w:lang w:val="en-GB"/>
        </w:rPr>
        <w:t>n SA</w:t>
      </w:r>
      <w:r>
        <w:rPr>
          <w:rFonts w:asciiTheme="minorBidi" w:hAnsiTheme="minorBidi"/>
          <w:sz w:val="24"/>
          <w:szCs w:val="24"/>
          <w:lang w:val="en-GB"/>
        </w:rPr>
        <w:t xml:space="preserve">, </w:t>
      </w:r>
      <w:r w:rsidRPr="001056C0">
        <w:rPr>
          <w:rFonts w:asciiTheme="minorBidi" w:hAnsiTheme="minorBidi"/>
          <w:sz w:val="24"/>
          <w:szCs w:val="24"/>
          <w:lang w:val="en-GB"/>
        </w:rPr>
        <w:t>only doctors are expected to be the primary source of all medical information</w:t>
      </w:r>
      <w:r>
        <w:rPr>
          <w:rFonts w:asciiTheme="minorBidi" w:hAnsiTheme="minorBidi"/>
          <w:sz w:val="24"/>
          <w:szCs w:val="24"/>
          <w:lang w:val="en-GB"/>
        </w:rPr>
        <w:t>,</w:t>
      </w:r>
      <w:r w:rsidRPr="001056C0">
        <w:rPr>
          <w:rFonts w:asciiTheme="minorBidi" w:hAnsiTheme="minorBidi"/>
          <w:sz w:val="24"/>
          <w:szCs w:val="24"/>
          <w:lang w:val="en-GB"/>
        </w:rPr>
        <w:t xml:space="preserve"> </w:t>
      </w:r>
      <w:r>
        <w:rPr>
          <w:rFonts w:asciiTheme="minorBidi" w:hAnsiTheme="minorBidi"/>
          <w:sz w:val="24"/>
          <w:szCs w:val="24"/>
          <w:lang w:val="en-GB"/>
        </w:rPr>
        <w:t>which</w:t>
      </w:r>
      <w:r w:rsidRPr="001056C0">
        <w:rPr>
          <w:rFonts w:asciiTheme="minorBidi" w:hAnsiTheme="minorBidi"/>
          <w:sz w:val="24"/>
          <w:szCs w:val="24"/>
          <w:lang w:val="en-GB"/>
        </w:rPr>
        <w:t xml:space="preserve"> dismi</w:t>
      </w:r>
      <w:r>
        <w:rPr>
          <w:rFonts w:asciiTheme="minorBidi" w:hAnsiTheme="minorBidi"/>
          <w:sz w:val="24"/>
          <w:szCs w:val="24"/>
          <w:lang w:val="en-GB"/>
        </w:rPr>
        <w:t>s</w:t>
      </w:r>
      <w:r w:rsidRPr="001056C0">
        <w:rPr>
          <w:rFonts w:asciiTheme="minorBidi" w:hAnsiTheme="minorBidi"/>
          <w:sz w:val="24"/>
          <w:szCs w:val="24"/>
          <w:lang w:val="en-GB"/>
        </w:rPr>
        <w:t>s</w:t>
      </w:r>
      <w:r>
        <w:rPr>
          <w:rFonts w:asciiTheme="minorBidi" w:hAnsiTheme="minorBidi"/>
          <w:sz w:val="24"/>
          <w:szCs w:val="24"/>
          <w:lang w:val="en-GB"/>
        </w:rPr>
        <w:t>e</w:t>
      </w:r>
      <w:r w:rsidRPr="001056C0">
        <w:rPr>
          <w:rFonts w:asciiTheme="minorBidi" w:hAnsiTheme="minorBidi"/>
          <w:sz w:val="24"/>
          <w:szCs w:val="24"/>
          <w:lang w:val="en-GB"/>
        </w:rPr>
        <w:t>s or minimise</w:t>
      </w:r>
      <w:r>
        <w:rPr>
          <w:rFonts w:asciiTheme="minorBidi" w:hAnsiTheme="minorBidi"/>
          <w:sz w:val="24"/>
          <w:szCs w:val="24"/>
          <w:lang w:val="en-GB"/>
        </w:rPr>
        <w:t>s</w:t>
      </w:r>
      <w:r w:rsidRPr="001056C0">
        <w:rPr>
          <w:rFonts w:asciiTheme="minorBidi" w:hAnsiTheme="minorBidi"/>
          <w:sz w:val="24"/>
          <w:szCs w:val="24"/>
          <w:lang w:val="en-GB"/>
        </w:rPr>
        <w:t xml:space="preserve"> the role of other </w:t>
      </w:r>
      <w:r>
        <w:rPr>
          <w:rFonts w:asciiTheme="minorBidi" w:hAnsiTheme="minorBidi"/>
          <w:sz w:val="24"/>
          <w:szCs w:val="24"/>
          <w:lang w:val="en-GB"/>
        </w:rPr>
        <w:t>HCPs, such as p</w:t>
      </w:r>
      <w:r w:rsidRPr="001056C0">
        <w:rPr>
          <w:rFonts w:asciiTheme="minorBidi" w:hAnsiTheme="minorBidi"/>
          <w:sz w:val="24"/>
          <w:szCs w:val="24"/>
          <w:lang w:val="en-GB"/>
        </w:rPr>
        <w:t>harmacists</w:t>
      </w:r>
      <w:r w:rsidRPr="001056C0">
        <w:rPr>
          <w:rFonts w:ascii="Gill Sans MT" w:hAnsi="Gill Sans MT" w:cs="Times New Roman"/>
          <w:szCs w:val="28"/>
          <w:lang w:val="en-GB"/>
        </w:rPr>
        <w:t xml:space="preserve"> </w:t>
      </w:r>
      <w:r w:rsidRPr="001056C0">
        <w:rPr>
          <w:rFonts w:ascii="Arial" w:hAnsi="Arial" w:cs="Arial"/>
          <w:i/>
          <w:sz w:val="24"/>
          <w:szCs w:val="24"/>
          <w:lang w:val="en-GB"/>
        </w:rPr>
        <w:fldChar w:fldCharType="begin" w:fldLock="1"/>
      </w:r>
      <w:r w:rsidRPr="001056C0">
        <w:rPr>
          <w:rFonts w:ascii="Arial" w:hAnsi="Arial" w:cs="Arial"/>
          <w:i/>
          <w:sz w:val="24"/>
          <w:szCs w:val="24"/>
          <w:lang w:val="en-GB"/>
        </w:rPr>
        <w:instrText>ADDIN CSL_CITATION {"citationItems":[{"id":"ITEM-1","itemData":{"DOI":"10.1177/1474651412444143","ISSN":"14746514","author":[{"dropping-particle":"","family":"Alzaid","given":"Aus","non-dropping-particle":"","parse-names":false,"suffix":""}],"container-title":"British Journal of Diabetes and Vascular Disease","id":"ITEM-1","issue":"2","issued":{"date-parts":[["2012"]]},"page":"57-59","title":"Diabetes: A tale of two cultures","type":"article-journal","volume":"12"},"uris":["http://www.mendeley.com/documents/?uuid=c69bf50a-63d4-4583-a6de-ccc5afc3f625"]}],"mendeley":{"formattedCitation":"(Alzaid, 2012)","plainTextFormattedCitation":"(Alzaid, 2012)","previouslyFormattedCitation":"(Alzaid, 2012)"},"properties":{"noteIndex":0},"schema":"https://github.com/citation-style-language/schema/raw/master/csl-citation.json"}</w:instrText>
      </w:r>
      <w:r w:rsidRPr="001056C0">
        <w:rPr>
          <w:rFonts w:ascii="Arial" w:hAnsi="Arial" w:cs="Arial"/>
          <w:i/>
          <w:sz w:val="24"/>
          <w:szCs w:val="24"/>
          <w:lang w:val="en-GB"/>
        </w:rPr>
        <w:fldChar w:fldCharType="separate"/>
      </w:r>
      <w:r w:rsidRPr="00CE194A">
        <w:rPr>
          <w:rFonts w:ascii="Arial" w:hAnsi="Arial" w:cs="Arial"/>
          <w:noProof/>
          <w:sz w:val="24"/>
          <w:szCs w:val="24"/>
          <w:lang w:val="en-GB"/>
        </w:rPr>
        <w:t>(Alzaid, 2012</w:t>
      </w:r>
      <w:r w:rsidRPr="001056C0">
        <w:rPr>
          <w:rFonts w:ascii="Arial" w:hAnsi="Arial" w:cs="Arial"/>
          <w:i/>
          <w:noProof/>
          <w:sz w:val="24"/>
          <w:szCs w:val="24"/>
          <w:lang w:val="en-GB"/>
        </w:rPr>
        <w:t>)</w:t>
      </w:r>
      <w:r w:rsidRPr="001056C0">
        <w:rPr>
          <w:rFonts w:ascii="Arial" w:hAnsi="Arial" w:cs="Arial"/>
          <w:i/>
          <w:sz w:val="24"/>
          <w:szCs w:val="24"/>
          <w:lang w:val="en-GB"/>
        </w:rPr>
        <w:fldChar w:fldCharType="end"/>
      </w:r>
      <w:r w:rsidRPr="001056C0">
        <w:rPr>
          <w:rFonts w:ascii="Arial" w:hAnsi="Arial" w:cs="Arial"/>
          <w:i/>
          <w:sz w:val="24"/>
          <w:szCs w:val="24"/>
          <w:lang w:val="en-GB"/>
        </w:rPr>
        <w:t>.</w:t>
      </w:r>
    </w:p>
    <w:p w14:paraId="7B03A67F" w14:textId="77777777" w:rsidR="00610EEE" w:rsidRDefault="00610EEE" w:rsidP="00610EEE">
      <w:pPr>
        <w:shd w:val="clear" w:color="auto" w:fill="FFFFFF"/>
        <w:spacing w:line="360" w:lineRule="auto"/>
        <w:jc w:val="both"/>
        <w:rPr>
          <w:rFonts w:asciiTheme="minorBidi" w:hAnsiTheme="minorBidi"/>
          <w:sz w:val="24"/>
          <w:szCs w:val="24"/>
          <w:lang w:val="en-GB"/>
        </w:rPr>
      </w:pPr>
    </w:p>
    <w:p w14:paraId="56176014" w14:textId="77777777" w:rsidR="00610EEE" w:rsidRPr="0018003F" w:rsidRDefault="00610EEE" w:rsidP="00610EEE">
      <w:pPr>
        <w:pStyle w:val="Heading3"/>
        <w:spacing w:line="360" w:lineRule="auto"/>
        <w:ind w:left="504"/>
        <w:rPr>
          <w:rFonts w:cs="Arial"/>
          <w:lang w:val="en-GB"/>
        </w:rPr>
      </w:pPr>
      <w:bookmarkStart w:id="23" w:name="_Toc122626348"/>
      <w:bookmarkStart w:id="24" w:name="_Toc153894136"/>
      <w:r w:rsidRPr="0018003F">
        <w:rPr>
          <w:rFonts w:cs="Arial"/>
          <w:lang w:val="en-GB"/>
        </w:rPr>
        <w:t>Role of healthcare staff in diabetes management in primary care in</w:t>
      </w:r>
      <w:bookmarkEnd w:id="23"/>
      <w:r>
        <w:rPr>
          <w:rFonts w:cs="Arial"/>
          <w:lang w:val="en-GB"/>
        </w:rPr>
        <w:t xml:space="preserve"> Saudi Arabia</w:t>
      </w:r>
      <w:bookmarkEnd w:id="24"/>
    </w:p>
    <w:p w14:paraId="59CDC88A" w14:textId="66573F6B" w:rsidR="00610EEE" w:rsidRPr="005D38A0" w:rsidRDefault="00610EEE" w:rsidP="00610EEE">
      <w:pPr>
        <w:shd w:val="clear" w:color="auto" w:fill="FFFFFF"/>
        <w:spacing w:line="360" w:lineRule="auto"/>
        <w:jc w:val="both"/>
        <w:rPr>
          <w:rFonts w:asciiTheme="minorBidi" w:hAnsiTheme="minorBidi"/>
          <w:sz w:val="24"/>
          <w:szCs w:val="24"/>
          <w:lang w:val="en-GB"/>
        </w:rPr>
      </w:pPr>
      <w:r>
        <w:rPr>
          <w:rFonts w:ascii="Arial" w:hAnsi="Arial" w:cs="Arial"/>
          <w:sz w:val="24"/>
          <w:szCs w:val="24"/>
          <w:lang w:val="en-GB"/>
        </w:rPr>
        <w:t>To manage diabetes</w:t>
      </w:r>
      <w:r w:rsidRPr="00845AF7">
        <w:rPr>
          <w:rFonts w:ascii="Arial" w:hAnsi="Arial" w:cs="Arial"/>
          <w:sz w:val="24"/>
          <w:szCs w:val="24"/>
          <w:lang w:val="en-GB"/>
        </w:rPr>
        <w:t xml:space="preserve"> within health systems </w:t>
      </w:r>
      <w:r>
        <w:rPr>
          <w:rFonts w:ascii="Arial" w:hAnsi="Arial" w:cs="Arial"/>
          <w:sz w:val="24"/>
          <w:szCs w:val="24"/>
          <w:lang w:val="en-GB"/>
        </w:rPr>
        <w:t xml:space="preserve">- </w:t>
      </w:r>
      <w:r w:rsidRPr="00845AF7">
        <w:rPr>
          <w:rFonts w:ascii="Arial" w:hAnsi="Arial" w:cs="Arial"/>
          <w:sz w:val="24"/>
          <w:szCs w:val="24"/>
          <w:lang w:val="en-GB"/>
        </w:rPr>
        <w:t>and where a considerable amount of the healthcare cost is used</w:t>
      </w:r>
      <w:r>
        <w:rPr>
          <w:rFonts w:ascii="Arial" w:hAnsi="Arial" w:cs="Arial"/>
          <w:sz w:val="24"/>
          <w:szCs w:val="24"/>
          <w:lang w:val="en-GB"/>
        </w:rPr>
        <w:t xml:space="preserve"> - </w:t>
      </w:r>
      <w:r w:rsidRPr="00845AF7">
        <w:rPr>
          <w:rFonts w:ascii="Arial" w:hAnsi="Arial" w:cs="Arial"/>
          <w:sz w:val="24"/>
          <w:szCs w:val="24"/>
          <w:lang w:val="en-GB"/>
        </w:rPr>
        <w:t xml:space="preserve">traditional roles such as those of doctors and nurses </w:t>
      </w:r>
      <w:r>
        <w:rPr>
          <w:rFonts w:ascii="Arial" w:hAnsi="Arial" w:cs="Arial"/>
          <w:sz w:val="24"/>
          <w:szCs w:val="24"/>
          <w:lang w:val="en-GB"/>
        </w:rPr>
        <w:t xml:space="preserve">have been considered key but also allied health occupations such as </w:t>
      </w:r>
      <w:r w:rsidRPr="00845AF7">
        <w:rPr>
          <w:rFonts w:ascii="Arial" w:hAnsi="Arial" w:cs="Arial"/>
          <w:sz w:val="24"/>
          <w:szCs w:val="24"/>
          <w:lang w:val="en-GB"/>
        </w:rPr>
        <w:t>ophthalmology and podiatry</w:t>
      </w:r>
      <w:r>
        <w:rPr>
          <w:rFonts w:ascii="Arial" w:hAnsi="Arial" w:cs="Arial"/>
          <w:sz w:val="24"/>
          <w:szCs w:val="24"/>
          <w:lang w:val="en-GB"/>
        </w:rPr>
        <w:t xml:space="preserve"> and as will be shown, the role of pharmacists. </w:t>
      </w:r>
      <w:r w:rsidRPr="006B2FC7">
        <w:rPr>
          <w:rFonts w:ascii="Arial" w:hAnsi="Arial" w:cs="Arial"/>
          <w:sz w:val="24"/>
          <w:szCs w:val="24"/>
          <w:lang w:val="en-GB"/>
        </w:rPr>
        <w:t>The role of the physician in a diabetes management clinic includes, but is not limited to, providing a comprehensive health service (prevention, therapeutic and rehabilitation), taking care of diabetic patients and then following up; providing patients with health promotion and prevention with DM to prevent disease complications; providing health education for the patients, their family, and caregivers on all topic that are related to diabetes care. The physician also performs periodic laboratory and radiology investigations, and refers the patient for annual check-ups, such as dental and ophthalmology clinics. The physician in PHCs refers patients who need more care or have not improved during the plan of care to the appropriate specialty in the hospital for further consultation and to receive secondary care, according to the patient's needs</w:t>
      </w:r>
      <w:r>
        <w:rPr>
          <w:rFonts w:ascii="Arial" w:hAnsi="Arial" w:cs="Arial"/>
          <w:sz w:val="24"/>
          <w:szCs w:val="24"/>
          <w:lang w:val="en-GB"/>
        </w:rPr>
        <w:t xml:space="preserv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{"citationItems":[{"id":"ITEM-1","itemData":{"URL":"https://portal.cbahi.gov.sa/english/cbahi-standards","accessed":{"date-parts":[["2020","5","31"]]},"id":"ITEM-1","issued":{"date-parts":[["2020"]]},"title":"CBAHI Standards | CBAHI","type":"webpage"},"uris":["http://www.mendeley.com/documents/?uuid=ee0f98f9-61e2-3eda-8fe8-e659e1234dee"]}],"mendeley":{"formattedCitation":"(&lt;i&gt;CBAHI Standards | CBAHI&lt;/i&gt;, 2020)","manualFormatting":"(CBAHI Standards, 2020;","plainTextFormattedCitation":"(CBAHI Standards | CBAHI, 2020)","previouslyFormattedCitation":"(&lt;i&gt;CBAHI Standards | CBAHI&lt;/i&gt;, 2020)"},"properties":{"noteIndex":0},"schema":"https://github.com/citation-style-language/schema/raw/master/csl-citation.json"}</w:instrText>
      </w:r>
      <w:r>
        <w:rPr>
          <w:rFonts w:ascii="Arial" w:hAnsi="Arial" w:cs="Arial"/>
          <w:sz w:val="24"/>
          <w:szCs w:val="24"/>
          <w:lang w:val="en-GB"/>
        </w:rPr>
        <w:fldChar w:fldCharType="separate"/>
      </w:r>
      <w:r w:rsidRPr="00270076">
        <w:rPr>
          <w:rFonts w:ascii="Arial" w:hAnsi="Arial" w:cs="Arial"/>
          <w:noProof/>
          <w:sz w:val="24"/>
          <w:szCs w:val="24"/>
          <w:lang w:val="en-GB"/>
        </w:rPr>
        <w:t>(</w:t>
      </w:r>
      <w:r w:rsidRPr="00270076">
        <w:rPr>
          <w:rFonts w:ascii="Arial" w:hAnsi="Arial" w:cs="Arial"/>
          <w:i/>
          <w:noProof/>
          <w:sz w:val="24"/>
          <w:szCs w:val="24"/>
          <w:lang w:val="en-GB"/>
        </w:rPr>
        <w:t>CBAHI Standards</w:t>
      </w:r>
      <w:r w:rsidRPr="00270076">
        <w:rPr>
          <w:rFonts w:ascii="Arial" w:hAnsi="Arial" w:cs="Arial"/>
          <w:noProof/>
          <w:sz w:val="24"/>
          <w:szCs w:val="24"/>
          <w:lang w:val="en-GB"/>
        </w:rPr>
        <w:t>, 2020</w:t>
      </w:r>
      <w:r>
        <w:rPr>
          <w:rFonts w:ascii="Arial" w:hAnsi="Arial" w:cs="Arial"/>
          <w:noProof/>
          <w:sz w:val="24"/>
          <w:szCs w:val="24"/>
          <w:lang w:val="en-GB"/>
        </w:rPr>
        <w:t>;</w:t>
      </w:r>
      <w:r>
        <w:rPr>
          <w:rFonts w:ascii="Arial" w:hAnsi="Arial" w:cs="Arial"/>
          <w:sz w:val="24"/>
          <w:szCs w:val="24"/>
          <w:lang w:val="en-GB"/>
        </w:rPr>
        <w:fldChar w:fldCharType="end"/>
      </w:r>
      <w:r>
        <w:rPr>
          <w:rFonts w:ascii="Arial" w:hAnsi="Arial" w:cs="Arial"/>
          <w:sz w:val="24"/>
          <w:szCs w:val="24"/>
          <w:lang w:val="en-GB"/>
        </w:rPr>
        <w:t xml:space="preserve"> CBAHI, 2015), </w:t>
      </w:r>
      <w:r>
        <w:rPr>
          <w:rFonts w:asciiTheme="minorBidi" w:hAnsiTheme="minorBidi"/>
          <w:sz w:val="24"/>
          <w:szCs w:val="24"/>
          <w:lang w:val="en-GB"/>
        </w:rPr>
        <w:t>s</w:t>
      </w:r>
      <w:r w:rsidRPr="005D38A0">
        <w:rPr>
          <w:rFonts w:asciiTheme="minorBidi" w:hAnsiTheme="minorBidi"/>
          <w:sz w:val="24"/>
          <w:szCs w:val="24"/>
          <w:lang w:val="en-GB"/>
        </w:rPr>
        <w:t>ee (</w:t>
      </w:r>
      <w:r w:rsidR="006479A2" w:rsidRPr="006479A2">
        <w:rPr>
          <w:rFonts w:asciiTheme="minorBidi" w:hAnsiTheme="minorBidi"/>
          <w:color w:val="1F3864" w:themeColor="accent1" w:themeShade="80"/>
          <w:sz w:val="24"/>
          <w:szCs w:val="24"/>
          <w:lang w:val="en-GB"/>
        </w:rPr>
        <w:fldChar w:fldCharType="begin"/>
      </w:r>
      <w:r w:rsidR="006479A2" w:rsidRPr="006479A2">
        <w:rPr>
          <w:rFonts w:asciiTheme="minorBidi" w:hAnsiTheme="minorBidi"/>
          <w:color w:val="1F3864" w:themeColor="accent1" w:themeShade="80"/>
          <w:sz w:val="24"/>
          <w:szCs w:val="24"/>
          <w:lang w:val="en-GB"/>
        </w:rPr>
        <w:instrText xml:space="preserve"> REF _Ref148511565 \h </w:instrText>
      </w:r>
      <w:r w:rsidR="006479A2">
        <w:rPr>
          <w:rFonts w:asciiTheme="minorBidi" w:hAnsiTheme="minorBidi"/>
          <w:color w:val="1F3864" w:themeColor="accent1" w:themeShade="80"/>
          <w:sz w:val="24"/>
          <w:szCs w:val="24"/>
          <w:lang w:val="en-GB"/>
        </w:rPr>
        <w:instrText xml:space="preserve"> \* MERGEFORMAT </w:instrText>
      </w:r>
      <w:r w:rsidR="006479A2" w:rsidRPr="006479A2">
        <w:rPr>
          <w:rFonts w:asciiTheme="minorBidi" w:hAnsiTheme="minorBidi"/>
          <w:color w:val="1F3864" w:themeColor="accent1" w:themeShade="80"/>
          <w:sz w:val="24"/>
          <w:szCs w:val="24"/>
          <w:lang w:val="en-GB"/>
        </w:rPr>
      </w:r>
      <w:r w:rsidR="006479A2" w:rsidRPr="006479A2">
        <w:rPr>
          <w:rFonts w:asciiTheme="minorBidi" w:hAnsiTheme="minorBidi"/>
          <w:color w:val="1F3864" w:themeColor="accent1" w:themeShade="80"/>
          <w:sz w:val="24"/>
          <w:szCs w:val="24"/>
          <w:lang w:val="en-GB"/>
        </w:rPr>
        <w:fldChar w:fldCharType="separate"/>
      </w:r>
      <w:r w:rsidR="006479A2" w:rsidRPr="006479A2">
        <w:rPr>
          <w:rFonts w:asciiTheme="minorBidi" w:hAnsiTheme="minorBidi"/>
          <w:color w:val="1F3864" w:themeColor="accent1" w:themeShade="80"/>
          <w:sz w:val="24"/>
          <w:szCs w:val="24"/>
          <w:lang w:val="en-GB"/>
        </w:rPr>
        <w:t>Appendix C</w:t>
      </w:r>
      <w:r w:rsidR="006479A2" w:rsidRPr="006479A2">
        <w:rPr>
          <w:rFonts w:asciiTheme="minorBidi" w:hAnsiTheme="minorBidi"/>
          <w:color w:val="1F3864" w:themeColor="accent1" w:themeShade="80"/>
          <w:sz w:val="24"/>
          <w:szCs w:val="24"/>
          <w:lang w:val="en-GB"/>
        </w:rPr>
        <w:fldChar w:fldCharType="end"/>
      </w:r>
      <w:r w:rsidR="006479A2">
        <w:rPr>
          <w:rFonts w:asciiTheme="minorBidi" w:hAnsiTheme="minorBidi"/>
          <w:color w:val="1F3864" w:themeColor="accent1" w:themeShade="80"/>
          <w:sz w:val="24"/>
          <w:szCs w:val="24"/>
          <w:lang w:val="en-GB"/>
        </w:rPr>
        <w:t>)</w:t>
      </w:r>
      <w:r w:rsidR="006479A2">
        <w:rPr>
          <w:rFonts w:asciiTheme="minorBidi" w:hAnsiTheme="minorBidi"/>
          <w:sz w:val="24"/>
          <w:szCs w:val="24"/>
          <w:lang w:val="en-GB"/>
        </w:rPr>
        <w:t xml:space="preserve">. </w:t>
      </w:r>
    </w:p>
    <w:p w14:paraId="469337D7" w14:textId="54C5779F" w:rsidR="00610EEE" w:rsidRPr="00AC1DA5" w:rsidRDefault="00610EEE" w:rsidP="00610EEE">
      <w:pPr>
        <w:autoSpaceDE w:val="0"/>
        <w:autoSpaceDN w:val="0"/>
        <w:adjustRightInd w:val="0"/>
        <w:spacing w:line="360" w:lineRule="auto"/>
        <w:jc w:val="both"/>
        <w:rPr>
          <w:rFonts w:ascii="Arial" w:hAnsi="Arial" w:cs="Arial"/>
          <w:color w:val="1F3864" w:themeColor="accent1" w:themeShade="80"/>
          <w:sz w:val="24"/>
          <w:szCs w:val="24"/>
          <w:lang w:val="en-GB"/>
        </w:rPr>
      </w:pPr>
      <w:r w:rsidRPr="006B2FC7">
        <w:rPr>
          <w:rFonts w:ascii="Arial" w:hAnsi="Arial" w:cs="Arial"/>
          <w:sz w:val="24"/>
          <w:szCs w:val="24"/>
          <w:lang w:val="en-GB"/>
        </w:rPr>
        <w:t>The role of the nurse in the non-communicable disease clinic is to perform the nursing assessment of all patients with DM, such as measuring BP, pulse, weight, body mass index (BMI), blood glucose level, and then register these results in the patient’s health record. The nurse ensures the last laboratory investigation is present in the patient’s file before taking the patient through to the doctor. The nurse also provides education for the patients and their families on the prevention of complications, nutritional diet, foot care, medications, and how to use insulin self-injections. The nurse gives the patient an appointment card for follow-up visits and coordinates these follow-up visits with the other services, according to the plan of care. For example, health education, social services, dental and oral health referrals. The nurse also performs statistical duties, such as doing the monthly and annual statistics forms, and calculates and follows up the defaulter patients from the clinic. A nurse who works in a diabetes clinic must have graduated from an accredited school or college of nursing with a diploma or bachelor's degree</w:t>
      </w:r>
      <w:r>
        <w:rPr>
          <w:rFonts w:ascii="Arial" w:hAnsi="Arial" w:cs="Arial"/>
          <w:sz w:val="24"/>
          <w:szCs w:val="24"/>
          <w:lang w:val="en-GB"/>
        </w:rPr>
        <w:t xml:space="preserv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{"citationItems":[{"id":"ITEM-1","itemData":{"URL":"https://portal.cbahi.gov.sa/english/cbahi-standards","accessed":{"date-parts":[["2020","5","31"]]},"id":"ITEM-1","issued":{"date-parts":[["2020"]]},"title":"CBAHI Standards | CBAHI","type":"webpage"},"uris":["http://www.mendeley.com/documents/?uuid=ee0f98f9-61e2-3eda-8fe8-e659e1234dee"]}],"mendeley":{"formattedCitation":"(&lt;i&gt;CBAHI Standards | CBAHI&lt;/i&gt;, 2020)","manualFormatting":"(CBAHI Standards, 2020;","plainTextFormattedCitation":"(CBAHI Standards | CBAHI, 2020)","previouslyFormattedCitation":"(&lt;i&gt;CBAHI Standards | CBAHI&lt;/i&gt;, 2020)"},"properties":{"noteIndex":0},"schema":"https://github.com/citation-style-language/schema/raw/master/csl-citation.json"}</w:instrText>
      </w:r>
      <w:r>
        <w:rPr>
          <w:rFonts w:ascii="Arial" w:hAnsi="Arial" w:cs="Arial"/>
          <w:sz w:val="24"/>
          <w:szCs w:val="24"/>
          <w:lang w:val="en-GB"/>
        </w:rPr>
        <w:fldChar w:fldCharType="separate"/>
      </w:r>
      <w:r w:rsidRPr="00270076">
        <w:rPr>
          <w:rFonts w:ascii="Arial" w:hAnsi="Arial" w:cs="Arial"/>
          <w:noProof/>
          <w:sz w:val="24"/>
          <w:szCs w:val="24"/>
          <w:lang w:val="en-GB"/>
        </w:rPr>
        <w:t>(</w:t>
      </w:r>
      <w:r w:rsidRPr="00270076">
        <w:rPr>
          <w:rFonts w:ascii="Arial" w:hAnsi="Arial" w:cs="Arial"/>
          <w:i/>
          <w:noProof/>
          <w:sz w:val="24"/>
          <w:szCs w:val="24"/>
          <w:lang w:val="en-GB"/>
        </w:rPr>
        <w:t>CBAHI Standards</w:t>
      </w:r>
      <w:r w:rsidRPr="00270076">
        <w:rPr>
          <w:rFonts w:ascii="Arial" w:hAnsi="Arial" w:cs="Arial"/>
          <w:noProof/>
          <w:sz w:val="24"/>
          <w:szCs w:val="24"/>
          <w:lang w:val="en-GB"/>
        </w:rPr>
        <w:t>, 2020</w:t>
      </w:r>
      <w:r>
        <w:rPr>
          <w:rFonts w:ascii="Arial" w:hAnsi="Arial" w:cs="Arial"/>
          <w:noProof/>
          <w:sz w:val="24"/>
          <w:szCs w:val="24"/>
          <w:lang w:val="en-GB"/>
        </w:rPr>
        <w:t>;</w:t>
      </w:r>
      <w:r>
        <w:rPr>
          <w:rFonts w:ascii="Arial" w:hAnsi="Arial" w:cs="Arial"/>
          <w:sz w:val="24"/>
          <w:szCs w:val="24"/>
          <w:lang w:val="en-GB"/>
        </w:rPr>
        <w:fldChar w:fldCharType="end"/>
      </w:r>
      <w:r>
        <w:rPr>
          <w:rFonts w:ascii="Arial" w:hAnsi="Arial" w:cs="Arial"/>
          <w:sz w:val="24"/>
          <w:szCs w:val="24"/>
          <w:lang w:val="en-GB"/>
        </w:rPr>
        <w:t xml:space="preserve"> CBAHI, 2015), see</w:t>
      </w:r>
      <w:r w:rsidR="00AC1DA5">
        <w:rPr>
          <w:rFonts w:ascii="Arial" w:hAnsi="Arial" w:cs="Arial"/>
          <w:sz w:val="24"/>
          <w:szCs w:val="24"/>
          <w:lang w:val="en-GB"/>
        </w:rPr>
        <w:t xml:space="preserve"> </w:t>
      </w:r>
      <w:r w:rsidR="006F581E">
        <w:rPr>
          <w:rFonts w:ascii="Arial" w:hAnsi="Arial" w:cs="Arial"/>
          <w:sz w:val="24"/>
          <w:szCs w:val="24"/>
          <w:lang w:val="en-GB"/>
        </w:rPr>
        <w:t>(</w:t>
      </w:r>
      <w:r w:rsidR="00AC1DA5" w:rsidRPr="00AC1DA5">
        <w:rPr>
          <w:rFonts w:ascii="Arial" w:hAnsi="Arial" w:cs="Arial"/>
          <w:color w:val="1F3864" w:themeColor="accent1" w:themeShade="80"/>
          <w:sz w:val="24"/>
          <w:szCs w:val="24"/>
          <w:lang w:val="en-GB"/>
        </w:rPr>
        <w:fldChar w:fldCharType="begin"/>
      </w:r>
      <w:r w:rsidR="00AC1DA5" w:rsidRPr="00AC1DA5">
        <w:rPr>
          <w:rFonts w:ascii="Arial" w:hAnsi="Arial" w:cs="Arial"/>
          <w:color w:val="1F3864" w:themeColor="accent1" w:themeShade="80"/>
          <w:sz w:val="24"/>
          <w:szCs w:val="24"/>
          <w:lang w:val="en-GB"/>
        </w:rPr>
        <w:instrText xml:space="preserve"> REF _Ref148511648 \h </w:instrText>
      </w:r>
      <w:r w:rsidR="00AC1DA5">
        <w:rPr>
          <w:rFonts w:ascii="Arial" w:hAnsi="Arial" w:cs="Arial"/>
          <w:color w:val="1F3864" w:themeColor="accent1" w:themeShade="80"/>
          <w:sz w:val="24"/>
          <w:szCs w:val="24"/>
          <w:lang w:val="en-GB"/>
        </w:rPr>
        <w:instrText xml:space="preserve"> \* MERGEFORMAT </w:instrText>
      </w:r>
      <w:r w:rsidR="00AC1DA5" w:rsidRPr="00AC1DA5">
        <w:rPr>
          <w:rFonts w:ascii="Arial" w:hAnsi="Arial" w:cs="Arial"/>
          <w:color w:val="1F3864" w:themeColor="accent1" w:themeShade="80"/>
          <w:sz w:val="24"/>
          <w:szCs w:val="24"/>
          <w:lang w:val="en-GB"/>
        </w:rPr>
      </w:r>
      <w:r w:rsidR="00AC1DA5" w:rsidRPr="00AC1DA5">
        <w:rPr>
          <w:rFonts w:ascii="Arial" w:hAnsi="Arial" w:cs="Arial"/>
          <w:color w:val="1F3864" w:themeColor="accent1" w:themeShade="80"/>
          <w:sz w:val="24"/>
          <w:szCs w:val="24"/>
          <w:lang w:val="en-GB"/>
        </w:rPr>
        <w:fldChar w:fldCharType="separate"/>
      </w:r>
      <w:r w:rsidR="00AC1DA5" w:rsidRPr="00AC1DA5">
        <w:rPr>
          <w:rFonts w:ascii="Arial" w:hAnsi="Arial" w:cs="Arial"/>
          <w:color w:val="1F3864" w:themeColor="accent1" w:themeShade="80"/>
          <w:sz w:val="24"/>
          <w:szCs w:val="24"/>
          <w:lang w:val="en-GB"/>
        </w:rPr>
        <w:t>Appendix D</w:t>
      </w:r>
      <w:r w:rsidR="00AC1DA5" w:rsidRPr="00AC1DA5">
        <w:rPr>
          <w:rFonts w:ascii="Arial" w:hAnsi="Arial" w:cs="Arial"/>
          <w:color w:val="1F3864" w:themeColor="accent1" w:themeShade="80"/>
          <w:sz w:val="24"/>
          <w:szCs w:val="24"/>
          <w:lang w:val="en-GB"/>
        </w:rPr>
        <w:fldChar w:fldCharType="end"/>
      </w:r>
      <w:r w:rsidR="006F581E">
        <w:rPr>
          <w:rFonts w:ascii="Arial" w:hAnsi="Arial" w:cs="Arial"/>
          <w:color w:val="1F3864" w:themeColor="accent1" w:themeShade="80"/>
          <w:sz w:val="24"/>
          <w:szCs w:val="24"/>
          <w:lang w:val="en-GB"/>
        </w:rPr>
        <w:t>)</w:t>
      </w:r>
    </w:p>
    <w:p w14:paraId="4ECCCADE" w14:textId="3B4AD307" w:rsidR="00610EEE" w:rsidRPr="00610EEE" w:rsidRDefault="00610EEE" w:rsidP="00610EEE">
      <w:pPr>
        <w:tabs>
          <w:tab w:val="right" w:pos="4111"/>
        </w:tabs>
        <w:spacing w:after="200" w:line="360" w:lineRule="auto"/>
        <w:rPr>
          <w:rFonts w:ascii="Arial" w:hAnsi="Arial" w:cs="Arial"/>
          <w:sz w:val="24"/>
          <w:szCs w:val="24"/>
          <w:lang w:val="en-GB"/>
        </w:rPr>
      </w:pPr>
      <w:r w:rsidRPr="006B2FC7">
        <w:rPr>
          <w:rFonts w:ascii="Arial" w:hAnsi="Arial" w:cs="Arial"/>
          <w:sz w:val="24"/>
          <w:szCs w:val="24"/>
          <w:lang w:val="en-GB"/>
        </w:rPr>
        <w:t xml:space="preserve"> </w:t>
      </w:r>
    </w:p>
    <w:p w14:paraId="218F9565" w14:textId="77777777" w:rsidR="00610EEE" w:rsidRPr="006B2FC7" w:rsidRDefault="00610EEE" w:rsidP="00610EEE">
      <w:pPr>
        <w:pStyle w:val="Heading2"/>
        <w:spacing w:line="360" w:lineRule="auto"/>
        <w:ind w:left="431" w:hanging="431"/>
        <w:rPr>
          <w:rFonts w:cs="Arial"/>
          <w:shd w:val="clear" w:color="auto" w:fill="FFFFFF"/>
        </w:rPr>
      </w:pPr>
      <w:bookmarkStart w:id="25" w:name="_Toc122626351"/>
      <w:bookmarkStart w:id="26" w:name="_Toc153894137"/>
      <w:r w:rsidRPr="00871A77">
        <w:rPr>
          <w:rFonts w:cs="Arial"/>
          <w:lang w:val="en"/>
        </w:rPr>
        <w:t>Summary</w:t>
      </w:r>
      <w:bookmarkEnd w:id="25"/>
      <w:bookmarkEnd w:id="26"/>
    </w:p>
    <w:p w14:paraId="1C630901" w14:textId="77777777" w:rsidR="00610EEE" w:rsidRPr="006B2FC7" w:rsidRDefault="00610EEE" w:rsidP="00610EEE">
      <w:pPr>
        <w:spacing w:line="360" w:lineRule="auto"/>
        <w:jc w:val="both"/>
        <w:rPr>
          <w:rFonts w:ascii="Arial" w:hAnsi="Arial" w:cs="Arial"/>
          <w:sz w:val="24"/>
          <w:szCs w:val="24"/>
          <w:shd w:val="clear" w:color="auto" w:fill="FFFFFF"/>
        </w:rPr>
      </w:pPr>
      <w:r w:rsidRPr="006B2FC7">
        <w:rPr>
          <w:rFonts w:ascii="Arial" w:hAnsi="Arial" w:cs="Arial"/>
          <w:sz w:val="24"/>
          <w:szCs w:val="24"/>
          <w:shd w:val="clear" w:color="auto" w:fill="FFFFFF"/>
        </w:rPr>
        <w:t>An overview of the changes within the healthcare system in SA has been described in this chapter. It has been shown that one of the objectives of the transformation strategy of M</w:t>
      </w:r>
      <w:r>
        <w:rPr>
          <w:rFonts w:ascii="Arial" w:hAnsi="Arial" w:cs="Arial"/>
          <w:sz w:val="24"/>
          <w:szCs w:val="24"/>
          <w:shd w:val="clear" w:color="auto" w:fill="FFFFFF"/>
        </w:rPr>
        <w:t>o</w:t>
      </w:r>
      <w:r w:rsidRPr="006B2FC7">
        <w:rPr>
          <w:rFonts w:ascii="Arial" w:hAnsi="Arial" w:cs="Arial"/>
          <w:sz w:val="24"/>
          <w:szCs w:val="24"/>
          <w:shd w:val="clear" w:color="auto" w:fill="FFFFFF"/>
        </w:rPr>
        <w:t xml:space="preserve">H of SA is privatisation healthcare services (hospitals and PHCs), starting by closing the pharmacies in the PHCs and transfer the prescriptions to be dispensed through retail pharmacies. The significant changes in pharmaceutical services in PHCs may allow pharmacists to play a more clinical role than traditional (dispensing).  </w:t>
      </w:r>
    </w:p>
    <w:p w14:paraId="42EDC529" w14:textId="1DA54D7A" w:rsidR="00DD229F" w:rsidRDefault="00610EEE" w:rsidP="00DD229F">
      <w:pPr>
        <w:spacing w:line="360" w:lineRule="auto"/>
        <w:jc w:val="both"/>
        <w:rPr>
          <w:rFonts w:ascii="Arial" w:hAnsi="Arial" w:cs="Arial"/>
          <w:sz w:val="24"/>
          <w:szCs w:val="24"/>
          <w:shd w:val="clear" w:color="auto" w:fill="FFFFFF"/>
        </w:rPr>
      </w:pPr>
      <w:r w:rsidRPr="006B2FC7">
        <w:rPr>
          <w:rFonts w:ascii="Arial" w:hAnsi="Arial" w:cs="Arial"/>
          <w:sz w:val="24"/>
          <w:szCs w:val="24"/>
          <w:shd w:val="clear" w:color="auto" w:fill="FFFFFF"/>
        </w:rPr>
        <w:t>This chapter also shows that DM is now a medical and national priority because of its economic burden, which results from its high prevalence in SA. The role of doctors and nurses in the management of DM was also mentioned here</w:t>
      </w:r>
      <w:r>
        <w:rPr>
          <w:rFonts w:ascii="Arial" w:hAnsi="Arial" w:cs="Arial"/>
          <w:sz w:val="24"/>
          <w:szCs w:val="24"/>
          <w:shd w:val="clear" w:color="auto" w:fill="FFFFFF"/>
        </w:rPr>
        <w:t>,</w:t>
      </w:r>
      <w:r w:rsidRPr="006B2FC7">
        <w:rPr>
          <w:rFonts w:ascii="Arial" w:hAnsi="Arial" w:cs="Arial"/>
          <w:sz w:val="24"/>
          <w:szCs w:val="24"/>
          <w:shd w:val="clear" w:color="auto" w:fill="FFFFFF"/>
        </w:rPr>
        <w:t xml:space="preserve"> </w:t>
      </w:r>
      <w:r>
        <w:rPr>
          <w:rFonts w:ascii="Arial" w:hAnsi="Arial" w:cs="Arial"/>
          <w:sz w:val="24"/>
          <w:szCs w:val="24"/>
          <w:shd w:val="clear" w:color="auto" w:fill="FFFFFF"/>
        </w:rPr>
        <w:t xml:space="preserve">followed by describing </w:t>
      </w:r>
      <w:r w:rsidRPr="006B2FC7">
        <w:rPr>
          <w:rFonts w:ascii="Arial" w:hAnsi="Arial" w:cs="Arial"/>
          <w:sz w:val="24"/>
          <w:szCs w:val="24"/>
          <w:shd w:val="clear" w:color="auto" w:fill="FFFFFF"/>
        </w:rPr>
        <w:t xml:space="preserve">the role of </w:t>
      </w:r>
      <w:r>
        <w:rPr>
          <w:rFonts w:ascii="Arial" w:hAnsi="Arial" w:cs="Arial"/>
          <w:sz w:val="24"/>
          <w:szCs w:val="24"/>
          <w:shd w:val="clear" w:color="auto" w:fill="FFFFFF"/>
        </w:rPr>
        <w:t>pharmacists</w:t>
      </w:r>
      <w:r w:rsidRPr="006B2FC7">
        <w:rPr>
          <w:rFonts w:ascii="Arial" w:hAnsi="Arial" w:cs="Arial"/>
          <w:sz w:val="24"/>
          <w:szCs w:val="24"/>
          <w:shd w:val="clear" w:color="auto" w:fill="FFFFFF"/>
        </w:rPr>
        <w:t xml:space="preserve"> in PHCs in SA. </w:t>
      </w:r>
      <w:r w:rsidRPr="005F0B79">
        <w:rPr>
          <w:rFonts w:ascii="Arial" w:hAnsi="Arial" w:cs="Arial"/>
          <w:sz w:val="24"/>
          <w:szCs w:val="24"/>
          <w:shd w:val="clear" w:color="auto" w:fill="FFFFFF"/>
        </w:rPr>
        <w:t xml:space="preserve">Finally, </w:t>
      </w:r>
      <w:r w:rsidRPr="006B2FC7">
        <w:rPr>
          <w:rFonts w:ascii="Arial" w:hAnsi="Arial" w:cs="Arial"/>
          <w:sz w:val="24"/>
          <w:szCs w:val="24"/>
          <w:shd w:val="clear" w:color="auto" w:fill="FFFFFF"/>
        </w:rPr>
        <w:t xml:space="preserve">it concludes by </w:t>
      </w:r>
      <w:r w:rsidRPr="005F0B79">
        <w:rPr>
          <w:rFonts w:ascii="Arial" w:hAnsi="Arial" w:cs="Arial"/>
          <w:sz w:val="24"/>
          <w:szCs w:val="24"/>
          <w:shd w:val="clear" w:color="auto" w:fill="FFFFFF"/>
        </w:rPr>
        <w:t>illustrat</w:t>
      </w:r>
      <w:r>
        <w:rPr>
          <w:rFonts w:ascii="Arial" w:hAnsi="Arial" w:cs="Arial"/>
          <w:sz w:val="24"/>
          <w:szCs w:val="24"/>
          <w:shd w:val="clear" w:color="auto" w:fill="FFFFFF"/>
        </w:rPr>
        <w:t>ing</w:t>
      </w:r>
      <w:r w:rsidRPr="005F0B79">
        <w:rPr>
          <w:rFonts w:ascii="Arial" w:hAnsi="Arial" w:cs="Arial"/>
          <w:sz w:val="24"/>
          <w:szCs w:val="24"/>
          <w:shd w:val="clear" w:color="auto" w:fill="FFFFFF"/>
        </w:rPr>
        <w:t xml:space="preserve"> the impact of integrating pharmacists into healthcare teams on the health system, specifically in improving patient care delivery, patient safety, and costs.</w:t>
      </w:r>
      <w:r>
        <w:rPr>
          <w:rFonts w:ascii="Arial" w:hAnsi="Arial" w:cs="Arial"/>
          <w:sz w:val="24"/>
          <w:szCs w:val="24"/>
          <w:shd w:val="clear" w:color="auto" w:fill="FFFFFF"/>
        </w:rPr>
        <w:t xml:space="preserve"> The next chapter will go on to consider the evidence relating to pharmacists’ role in DM management more specifically.</w:t>
      </w:r>
    </w:p>
    <w:p w14:paraId="5C7D134B" w14:textId="77777777" w:rsidR="00DD229F" w:rsidRDefault="00DD229F" w:rsidP="00DD229F">
      <w:pPr>
        <w:pStyle w:val="Heading1"/>
        <w:numPr>
          <w:ilvl w:val="0"/>
          <w:numId w:val="1"/>
        </w:numPr>
        <w:ind w:left="360"/>
        <w:jc w:val="center"/>
        <w:rPr>
          <w:lang w:val="en-GB"/>
        </w:rPr>
      </w:pPr>
      <w:bookmarkStart w:id="27" w:name="_Toc153894138"/>
      <w:r>
        <w:rPr>
          <w:lang w:val="en-GB"/>
        </w:rPr>
        <w:t xml:space="preserve">Chapter Two: </w:t>
      </w:r>
      <w:bookmarkStart w:id="28" w:name="_Toc122626353"/>
      <w:r>
        <w:rPr>
          <w:lang w:val="en-GB"/>
        </w:rPr>
        <w:t>Narrative</w:t>
      </w:r>
      <w:r w:rsidRPr="00CF15D7">
        <w:rPr>
          <w:lang w:val="en-GB"/>
        </w:rPr>
        <w:t xml:space="preserve"> Review of the Literature on </w:t>
      </w:r>
      <w:r w:rsidRPr="00DC6859">
        <w:rPr>
          <w:lang w:val="en-GB"/>
        </w:rPr>
        <w:t xml:space="preserve">Involvement of </w:t>
      </w:r>
      <w:r>
        <w:rPr>
          <w:lang w:val="en-GB"/>
        </w:rPr>
        <w:t xml:space="preserve">  </w:t>
      </w:r>
      <w:r w:rsidRPr="00DC6859">
        <w:rPr>
          <w:lang w:val="en-GB"/>
        </w:rPr>
        <w:t xml:space="preserve">Pharmacists in Diabetes </w:t>
      </w:r>
      <w:r>
        <w:rPr>
          <w:lang w:val="en-GB"/>
        </w:rPr>
        <w:t>C</w:t>
      </w:r>
      <w:r w:rsidRPr="00DC6859">
        <w:rPr>
          <w:lang w:val="en-GB"/>
        </w:rPr>
        <w:t>are</w:t>
      </w:r>
      <w:bookmarkEnd w:id="27"/>
      <w:r w:rsidRPr="00DC6859">
        <w:rPr>
          <w:lang w:val="en-GB"/>
        </w:rPr>
        <w:t xml:space="preserve"> </w:t>
      </w:r>
      <w:bookmarkEnd w:id="28"/>
    </w:p>
    <w:p w14:paraId="455A055A" w14:textId="77777777" w:rsidR="00DD229F" w:rsidRPr="0015439A" w:rsidRDefault="00DD229F" w:rsidP="00DD229F">
      <w:pPr>
        <w:rPr>
          <w:lang w:val="en-GB"/>
        </w:rPr>
      </w:pPr>
    </w:p>
    <w:p w14:paraId="298C371F" w14:textId="77777777" w:rsidR="00DD229F" w:rsidRPr="00965613" w:rsidRDefault="00DD229F" w:rsidP="00DD229F">
      <w:pPr>
        <w:pStyle w:val="Heading2"/>
        <w:spacing w:line="257" w:lineRule="auto"/>
        <w:ind w:left="432"/>
        <w:rPr>
          <w:rFonts w:asciiTheme="minorBidi" w:hAnsiTheme="minorBidi"/>
          <w:sz w:val="24"/>
          <w:szCs w:val="24"/>
          <w:lang w:val="en-GB"/>
        </w:rPr>
      </w:pPr>
      <w:bookmarkStart w:id="29" w:name="_Toc153894139"/>
      <w:bookmarkStart w:id="30" w:name="_Toc40034231"/>
      <w:r>
        <w:t>Introduction</w:t>
      </w:r>
      <w:bookmarkEnd w:id="29"/>
    </w:p>
    <w:p w14:paraId="032B698C" w14:textId="1F12D04D" w:rsidR="00DD229F" w:rsidRPr="0086125C" w:rsidRDefault="00D36813" w:rsidP="00DD229F">
      <w:pPr>
        <w:shd w:val="clear" w:color="auto" w:fill="FFFFFF"/>
        <w:spacing w:line="360" w:lineRule="auto"/>
        <w:jc w:val="both"/>
        <w:rPr>
          <w:rFonts w:asciiTheme="minorBidi" w:hAnsiTheme="minorBidi"/>
          <w:sz w:val="24"/>
          <w:szCs w:val="24"/>
        </w:rPr>
      </w:pPr>
      <w:r w:rsidRPr="000F5DF4">
        <w:rPr>
          <w:rFonts w:asciiTheme="minorBidi" w:hAnsiTheme="minorBidi"/>
          <w:sz w:val="24"/>
          <w:szCs w:val="24"/>
          <w:lang w:val="en-GB"/>
        </w:rPr>
        <w:t xml:space="preserve">This review </w:t>
      </w:r>
      <w:r w:rsidR="001B77F6">
        <w:rPr>
          <w:rFonts w:asciiTheme="minorBidi" w:hAnsiTheme="minorBidi"/>
          <w:sz w:val="24"/>
          <w:szCs w:val="24"/>
          <w:lang w:val="en-GB"/>
        </w:rPr>
        <w:t>aims</w:t>
      </w:r>
      <w:r w:rsidR="001B77F6" w:rsidRPr="000F5DF4">
        <w:rPr>
          <w:rFonts w:asciiTheme="minorBidi" w:hAnsiTheme="minorBidi"/>
          <w:sz w:val="24"/>
          <w:szCs w:val="24"/>
          <w:lang w:val="en-GB"/>
        </w:rPr>
        <w:t xml:space="preserve"> </w:t>
      </w:r>
      <w:r w:rsidRPr="000F5DF4">
        <w:rPr>
          <w:rFonts w:asciiTheme="minorBidi" w:hAnsiTheme="minorBidi"/>
          <w:sz w:val="24"/>
          <w:szCs w:val="24"/>
          <w:lang w:val="en-GB"/>
        </w:rPr>
        <w:t xml:space="preserve">to deepen our understanding of the evidence base around pharmacist involvement in diabetes primary care management. </w:t>
      </w:r>
      <w:r w:rsidR="00DD229F" w:rsidRPr="000F5DF4">
        <w:rPr>
          <w:rFonts w:asciiTheme="minorBidi" w:hAnsiTheme="minorBidi"/>
          <w:sz w:val="24"/>
          <w:szCs w:val="24"/>
          <w:lang w:val="en-GB"/>
        </w:rPr>
        <w:t>A com</w:t>
      </w:r>
      <w:r w:rsidR="00DD229F" w:rsidRPr="00384B46">
        <w:rPr>
          <w:rFonts w:asciiTheme="minorBidi" w:hAnsiTheme="minorBidi"/>
          <w:sz w:val="24"/>
          <w:szCs w:val="24"/>
          <w:lang w:val="en-GB"/>
        </w:rPr>
        <w:t xml:space="preserve">prehensive literature review was conducted to find any research undertaken in relation to </w:t>
      </w:r>
      <w:r w:rsidR="00DD229F">
        <w:rPr>
          <w:rFonts w:asciiTheme="minorBidi" w:hAnsiTheme="minorBidi"/>
          <w:sz w:val="24"/>
          <w:szCs w:val="24"/>
          <w:lang w:val="en-GB"/>
        </w:rPr>
        <w:t>this</w:t>
      </w:r>
      <w:r w:rsidR="00DD229F" w:rsidRPr="00384B46">
        <w:rPr>
          <w:rFonts w:asciiTheme="minorBidi" w:hAnsiTheme="minorBidi"/>
          <w:sz w:val="24"/>
          <w:szCs w:val="24"/>
          <w:lang w:val="en-GB"/>
        </w:rPr>
        <w:t xml:space="preserve"> topic</w:t>
      </w:r>
      <w:r w:rsidR="00DD229F">
        <w:rPr>
          <w:rFonts w:asciiTheme="minorBidi" w:hAnsiTheme="minorBidi"/>
          <w:sz w:val="24"/>
          <w:szCs w:val="24"/>
          <w:lang w:val="en-GB"/>
        </w:rPr>
        <w:t xml:space="preserve">. </w:t>
      </w:r>
      <w:r w:rsidR="00DD229F" w:rsidRPr="002C7CE7">
        <w:rPr>
          <w:rFonts w:asciiTheme="minorBidi" w:hAnsiTheme="minorBidi"/>
          <w:sz w:val="24"/>
          <w:szCs w:val="24"/>
        </w:rPr>
        <w:t xml:space="preserve">The </w:t>
      </w:r>
      <w:r w:rsidR="00DD229F">
        <w:rPr>
          <w:rFonts w:asciiTheme="minorBidi" w:hAnsiTheme="minorBidi"/>
          <w:sz w:val="24"/>
          <w:szCs w:val="24"/>
        </w:rPr>
        <w:t xml:space="preserve">primary </w:t>
      </w:r>
      <w:r w:rsidR="00DD229F" w:rsidRPr="002C7CE7">
        <w:rPr>
          <w:rFonts w:asciiTheme="minorBidi" w:hAnsiTheme="minorBidi"/>
          <w:sz w:val="24"/>
          <w:szCs w:val="24"/>
        </w:rPr>
        <w:t xml:space="preserve">aim </w:t>
      </w:r>
      <w:r w:rsidR="00DD229F">
        <w:rPr>
          <w:rFonts w:asciiTheme="minorBidi" w:hAnsiTheme="minorBidi"/>
          <w:sz w:val="24"/>
          <w:szCs w:val="24"/>
        </w:rPr>
        <w:t>of this review was</w:t>
      </w:r>
      <w:r w:rsidR="00DD229F" w:rsidRPr="002C7CE7">
        <w:rPr>
          <w:rFonts w:asciiTheme="minorBidi" w:hAnsiTheme="minorBidi"/>
          <w:sz w:val="24"/>
          <w:szCs w:val="24"/>
        </w:rPr>
        <w:t xml:space="preserve"> to identify any specific literature and evidence that relates to </w:t>
      </w:r>
      <w:r w:rsidR="005812B9" w:rsidRPr="002C7CE7">
        <w:rPr>
          <w:rFonts w:asciiTheme="minorBidi" w:hAnsiTheme="minorBidi"/>
          <w:sz w:val="24"/>
          <w:szCs w:val="24"/>
        </w:rPr>
        <w:t>SA, but</w:t>
      </w:r>
      <w:r w:rsidR="00DD229F" w:rsidRPr="002C7CE7">
        <w:rPr>
          <w:rFonts w:asciiTheme="minorBidi" w:hAnsiTheme="minorBidi"/>
          <w:sz w:val="24"/>
          <w:szCs w:val="24"/>
        </w:rPr>
        <w:t xml:space="preserve"> also </w:t>
      </w:r>
      <w:r w:rsidR="00DD229F">
        <w:rPr>
          <w:rFonts w:asciiTheme="minorBidi" w:hAnsiTheme="minorBidi"/>
          <w:sz w:val="24"/>
          <w:szCs w:val="24"/>
        </w:rPr>
        <w:t xml:space="preserve">to </w:t>
      </w:r>
      <w:r w:rsidR="00DD229F" w:rsidRPr="002C7CE7">
        <w:rPr>
          <w:rFonts w:asciiTheme="minorBidi" w:hAnsiTheme="minorBidi"/>
          <w:sz w:val="24"/>
          <w:szCs w:val="24"/>
        </w:rPr>
        <w:t xml:space="preserve">describe </w:t>
      </w:r>
      <w:r w:rsidR="00DD229F">
        <w:rPr>
          <w:rFonts w:asciiTheme="minorBidi" w:hAnsiTheme="minorBidi"/>
          <w:sz w:val="24"/>
          <w:szCs w:val="24"/>
        </w:rPr>
        <w:t xml:space="preserve">and </w:t>
      </w:r>
      <w:r w:rsidR="00DD229F" w:rsidRPr="002C7CE7">
        <w:rPr>
          <w:rFonts w:asciiTheme="minorBidi" w:hAnsiTheme="minorBidi"/>
          <w:sz w:val="24"/>
          <w:szCs w:val="24"/>
        </w:rPr>
        <w:t>summarise what is known internationally</w:t>
      </w:r>
      <w:r w:rsidR="00DD229F">
        <w:rPr>
          <w:rFonts w:asciiTheme="minorBidi" w:hAnsiTheme="minorBidi"/>
          <w:sz w:val="24"/>
          <w:szCs w:val="24"/>
          <w:lang w:val="en-GB"/>
        </w:rPr>
        <w:t>. This</w:t>
      </w:r>
      <w:r w:rsidR="00DD229F" w:rsidRPr="007B78FD">
        <w:rPr>
          <w:rFonts w:asciiTheme="minorBidi" w:hAnsiTheme="minorBidi"/>
          <w:sz w:val="24"/>
          <w:szCs w:val="24"/>
        </w:rPr>
        <w:t xml:space="preserve"> narrative literature review </w:t>
      </w:r>
      <w:r w:rsidR="00DD229F">
        <w:rPr>
          <w:rFonts w:asciiTheme="minorBidi" w:hAnsiTheme="minorBidi"/>
          <w:sz w:val="24"/>
          <w:szCs w:val="24"/>
        </w:rPr>
        <w:t xml:space="preserve">presents a detailed description of </w:t>
      </w:r>
      <w:r w:rsidR="00DD229F" w:rsidRPr="002C7CE7">
        <w:rPr>
          <w:rFonts w:asciiTheme="minorBidi" w:hAnsiTheme="minorBidi"/>
          <w:sz w:val="24"/>
          <w:szCs w:val="24"/>
        </w:rPr>
        <w:t xml:space="preserve">existing evidence relating to the involvement of pharmacists in diabetes </w:t>
      </w:r>
      <w:r w:rsidR="00DD229F">
        <w:rPr>
          <w:rFonts w:asciiTheme="minorBidi" w:hAnsiTheme="minorBidi"/>
          <w:sz w:val="24"/>
          <w:szCs w:val="24"/>
        </w:rPr>
        <w:t xml:space="preserve">primary care </w:t>
      </w:r>
      <w:r w:rsidR="00DD229F" w:rsidRPr="002C7CE7">
        <w:rPr>
          <w:rFonts w:asciiTheme="minorBidi" w:hAnsiTheme="minorBidi"/>
          <w:sz w:val="24"/>
          <w:szCs w:val="24"/>
        </w:rPr>
        <w:t>management</w:t>
      </w:r>
      <w:r w:rsidR="00DD229F">
        <w:rPr>
          <w:rFonts w:asciiTheme="minorBidi" w:hAnsiTheme="minorBidi"/>
          <w:sz w:val="24"/>
          <w:szCs w:val="24"/>
        </w:rPr>
        <w:t xml:space="preserve"> </w:t>
      </w:r>
      <w:r w:rsidR="00DD229F" w:rsidRPr="002C7CE7">
        <w:rPr>
          <w:rFonts w:asciiTheme="minorBidi" w:hAnsiTheme="minorBidi"/>
          <w:sz w:val="24"/>
          <w:szCs w:val="24"/>
        </w:rPr>
        <w:t xml:space="preserve">in primary healthcare settings, including healthcare centres, </w:t>
      </w:r>
      <w:r w:rsidR="00DD229F">
        <w:rPr>
          <w:rFonts w:asciiTheme="minorBidi" w:hAnsiTheme="minorBidi"/>
          <w:sz w:val="24"/>
          <w:szCs w:val="24"/>
        </w:rPr>
        <w:t>general practices</w:t>
      </w:r>
      <w:r w:rsidR="00DD229F" w:rsidRPr="002C7CE7">
        <w:rPr>
          <w:rFonts w:asciiTheme="minorBidi" w:hAnsiTheme="minorBidi"/>
          <w:sz w:val="24"/>
          <w:szCs w:val="24"/>
        </w:rPr>
        <w:t xml:space="preserve"> and family practices</w:t>
      </w:r>
      <w:r w:rsidR="00DD229F">
        <w:rPr>
          <w:rFonts w:asciiTheme="minorBidi" w:hAnsiTheme="minorBidi"/>
          <w:sz w:val="24"/>
          <w:szCs w:val="24"/>
        </w:rPr>
        <w:t xml:space="preserve">. </w:t>
      </w:r>
      <w:r w:rsidR="00DD229F" w:rsidRPr="0086125C">
        <w:rPr>
          <w:rFonts w:asciiTheme="minorBidi" w:hAnsiTheme="minorBidi"/>
          <w:sz w:val="24"/>
          <w:szCs w:val="24"/>
        </w:rPr>
        <w:t xml:space="preserve">This review focused on primary care because the majority of people with chronic illness such as diabetes in SA are managed in governmental primary care centres </w:t>
      </w:r>
      <w:r w:rsidR="00DD229F" w:rsidRPr="00E13433">
        <w:rPr>
          <w:rFonts w:asciiTheme="minorBidi" w:hAnsiTheme="minorBidi"/>
          <w:sz w:val="24"/>
          <w:szCs w:val="24"/>
        </w:rPr>
        <w:fldChar w:fldCharType="begin" w:fldLock="1"/>
      </w:r>
      <w:r w:rsidR="00DD229F" w:rsidRPr="0086125C">
        <w:rPr>
          <w:rFonts w:asciiTheme="minorBidi" w:hAnsiTheme="minorBidi"/>
          <w:sz w:val="24"/>
          <w:szCs w:val="24"/>
        </w:rPr>
        <w:instrText>ADDIN CSL_CITATION {"citationItems":[{"id":"ITEM-1","itemData":{"author":[{"dropping-particle":"","family":"Alharbi","given":"Musaed","non-dropping-particle":"","parse-names":false,"suffix":""}],"container-title":"Medwell journals","id":"ITEM-1","issue":"1","issued":{"date-parts":[["2018"]]},"page":"12-25","title":"An overview of the Reality of Healthcare Reform in Saudi Arabia with Emphasis on Public Hospitals: A Critical Appraisal","type":"article-journal","volume":"12"},"uris":["http://www.mendeley.com/documents/?uuid=2246d607-6743-40bf-a95f-7400832a0aee"]}],"mendeley":{"formattedCitation":"(Alharbi, 2018)","plainTextFormattedCitation":"(Alharbi, 2018)","previouslyFormattedCitation":"(Alharbi, 2018)"},"properties":{"noteIndex":0},"schema":"https://github.com/citation-style-language/schema/raw/master/csl-citation.json"}</w:instrText>
      </w:r>
      <w:r w:rsidR="00DD229F" w:rsidRPr="00E13433">
        <w:rPr>
          <w:rFonts w:asciiTheme="minorBidi" w:hAnsiTheme="minorBidi"/>
          <w:sz w:val="24"/>
          <w:szCs w:val="24"/>
        </w:rPr>
        <w:fldChar w:fldCharType="separate"/>
      </w:r>
      <w:r w:rsidR="00DD229F" w:rsidRPr="0086125C">
        <w:rPr>
          <w:rFonts w:asciiTheme="minorBidi" w:hAnsiTheme="minorBidi"/>
          <w:noProof/>
          <w:sz w:val="24"/>
          <w:szCs w:val="24"/>
        </w:rPr>
        <w:t>(Alharbi, 2018)</w:t>
      </w:r>
      <w:r w:rsidR="00DD229F" w:rsidRPr="00E13433">
        <w:rPr>
          <w:rFonts w:asciiTheme="minorBidi" w:hAnsiTheme="minorBidi"/>
          <w:sz w:val="24"/>
          <w:szCs w:val="24"/>
        </w:rPr>
        <w:fldChar w:fldCharType="end"/>
      </w:r>
      <w:r w:rsidR="00DD229F" w:rsidRPr="0086125C">
        <w:rPr>
          <w:rFonts w:asciiTheme="minorBidi" w:hAnsiTheme="minorBidi"/>
          <w:sz w:val="24"/>
          <w:szCs w:val="24"/>
        </w:rPr>
        <w:t xml:space="preserve">. </w:t>
      </w:r>
    </w:p>
    <w:p w14:paraId="337CC5B3" w14:textId="61E3EECE" w:rsidR="00DD229F" w:rsidRPr="0086125C" w:rsidRDefault="00DD229F" w:rsidP="00DD229F">
      <w:pPr>
        <w:shd w:val="clear" w:color="auto" w:fill="FFFFFF"/>
        <w:spacing w:line="360" w:lineRule="auto"/>
        <w:jc w:val="both"/>
        <w:rPr>
          <w:rFonts w:ascii="Arial" w:hAnsi="Arial" w:cs="Arial"/>
          <w:sz w:val="24"/>
          <w:szCs w:val="24"/>
        </w:rPr>
      </w:pPr>
      <w:r>
        <w:rPr>
          <w:rFonts w:asciiTheme="minorBidi" w:hAnsiTheme="minorBidi"/>
          <w:sz w:val="24"/>
          <w:szCs w:val="24"/>
        </w:rPr>
        <w:t>This</w:t>
      </w:r>
      <w:r w:rsidRPr="002C7CE7">
        <w:rPr>
          <w:rFonts w:asciiTheme="minorBidi" w:hAnsiTheme="minorBidi"/>
          <w:sz w:val="24"/>
          <w:szCs w:val="24"/>
        </w:rPr>
        <w:t xml:space="preserve"> </w:t>
      </w:r>
      <w:r>
        <w:rPr>
          <w:rFonts w:asciiTheme="minorBidi" w:hAnsiTheme="minorBidi"/>
          <w:sz w:val="24"/>
          <w:szCs w:val="24"/>
        </w:rPr>
        <w:t xml:space="preserve">section </w:t>
      </w:r>
      <w:r w:rsidRPr="002C7CE7">
        <w:rPr>
          <w:rFonts w:asciiTheme="minorBidi" w:hAnsiTheme="minorBidi"/>
          <w:sz w:val="24"/>
          <w:szCs w:val="24"/>
        </w:rPr>
        <w:t xml:space="preserve">will begin with </w:t>
      </w:r>
      <w:r>
        <w:rPr>
          <w:rFonts w:asciiTheme="minorBidi" w:hAnsiTheme="minorBidi"/>
          <w:sz w:val="24"/>
          <w:szCs w:val="24"/>
        </w:rPr>
        <w:t xml:space="preserve">review questions, then with </w:t>
      </w:r>
      <w:r w:rsidRPr="002C7CE7">
        <w:rPr>
          <w:rFonts w:asciiTheme="minorBidi" w:hAnsiTheme="minorBidi"/>
          <w:sz w:val="24"/>
          <w:szCs w:val="24"/>
        </w:rPr>
        <w:t>a description of the search strategy</w:t>
      </w:r>
      <w:r>
        <w:rPr>
          <w:rFonts w:asciiTheme="minorBidi" w:hAnsiTheme="minorBidi"/>
          <w:sz w:val="24"/>
          <w:szCs w:val="24"/>
        </w:rPr>
        <w:t xml:space="preserve">, </w:t>
      </w:r>
      <w:r w:rsidRPr="002C7CE7">
        <w:rPr>
          <w:rFonts w:asciiTheme="minorBidi" w:hAnsiTheme="minorBidi"/>
          <w:sz w:val="24"/>
          <w:szCs w:val="24"/>
        </w:rPr>
        <w:t>inclusion and exclusion criteria,</w:t>
      </w:r>
      <w:r>
        <w:rPr>
          <w:rFonts w:asciiTheme="minorBidi" w:hAnsiTheme="minorBidi"/>
          <w:sz w:val="24"/>
          <w:szCs w:val="24"/>
        </w:rPr>
        <w:t xml:space="preserve"> and methods for</w:t>
      </w:r>
      <w:r w:rsidRPr="002C7CE7">
        <w:rPr>
          <w:rFonts w:asciiTheme="minorBidi" w:hAnsiTheme="minorBidi"/>
          <w:sz w:val="24"/>
          <w:szCs w:val="24"/>
        </w:rPr>
        <w:t xml:space="preserve"> </w:t>
      </w:r>
      <w:r>
        <w:rPr>
          <w:rFonts w:asciiTheme="minorBidi" w:hAnsiTheme="minorBidi"/>
          <w:sz w:val="24"/>
          <w:szCs w:val="24"/>
        </w:rPr>
        <w:t xml:space="preserve">data extraction and synthesis, </w:t>
      </w:r>
      <w:r w:rsidRPr="002C7CE7">
        <w:rPr>
          <w:rFonts w:asciiTheme="minorBidi" w:hAnsiTheme="minorBidi"/>
          <w:sz w:val="24"/>
          <w:szCs w:val="24"/>
        </w:rPr>
        <w:t xml:space="preserve">followed by </w:t>
      </w:r>
      <w:r>
        <w:rPr>
          <w:rFonts w:asciiTheme="minorBidi" w:hAnsiTheme="minorBidi"/>
          <w:sz w:val="24"/>
          <w:szCs w:val="24"/>
        </w:rPr>
        <w:t>a summary of includable articles</w:t>
      </w:r>
      <w:r w:rsidRPr="002C7CE7">
        <w:rPr>
          <w:rFonts w:asciiTheme="minorBidi" w:hAnsiTheme="minorBidi"/>
          <w:sz w:val="24"/>
          <w:szCs w:val="24"/>
        </w:rPr>
        <w:t xml:space="preserve"> via a PRISMA flowchart. It will then go on to describe the role</w:t>
      </w:r>
      <w:r>
        <w:rPr>
          <w:rFonts w:asciiTheme="minorBidi" w:hAnsiTheme="minorBidi"/>
          <w:sz w:val="24"/>
          <w:szCs w:val="24"/>
        </w:rPr>
        <w:t xml:space="preserve"> and involvement</w:t>
      </w:r>
      <w:r w:rsidRPr="002C7CE7">
        <w:rPr>
          <w:rFonts w:asciiTheme="minorBidi" w:hAnsiTheme="minorBidi"/>
          <w:sz w:val="24"/>
          <w:szCs w:val="24"/>
        </w:rPr>
        <w:t xml:space="preserve"> of the pharmacist in diabetes management</w:t>
      </w:r>
      <w:r>
        <w:rPr>
          <w:rFonts w:asciiTheme="minorBidi" w:hAnsiTheme="minorBidi"/>
          <w:sz w:val="24"/>
          <w:szCs w:val="24"/>
        </w:rPr>
        <w:t xml:space="preserve"> in primary care, the perceptions of stakeholders regarding pharmacist involvement, and </w:t>
      </w:r>
      <w:r w:rsidRPr="0086125C">
        <w:rPr>
          <w:rFonts w:asciiTheme="minorBidi" w:hAnsiTheme="minorBidi"/>
          <w:sz w:val="24"/>
          <w:szCs w:val="24"/>
          <w:lang w:val="en-GB"/>
        </w:rPr>
        <w:t>the barriers and facilitators to pharmacists’ involvement in diabetes management</w:t>
      </w:r>
      <w:r w:rsidRPr="0086125C">
        <w:rPr>
          <w:rFonts w:asciiTheme="minorBidi" w:hAnsiTheme="minorBidi"/>
          <w:sz w:val="24"/>
          <w:szCs w:val="24"/>
        </w:rPr>
        <w:t xml:space="preserve">. </w:t>
      </w:r>
      <w:r w:rsidRPr="0086125C">
        <w:rPr>
          <w:rFonts w:ascii="Arial" w:hAnsi="Arial" w:cs="Arial"/>
          <w:sz w:val="24"/>
          <w:szCs w:val="24"/>
        </w:rPr>
        <w:t>It will also summarise the impact of pharmacist involvement and pharmacist interventions in</w:t>
      </w:r>
      <w:r w:rsidRPr="0086125C">
        <w:rPr>
          <w:rFonts w:asciiTheme="minorBidi" w:hAnsiTheme="minorBidi"/>
          <w:sz w:val="24"/>
          <w:szCs w:val="24"/>
          <w:lang w:val="en-GB"/>
        </w:rPr>
        <w:t xml:space="preserve"> diabetes care</w:t>
      </w:r>
      <w:r w:rsidRPr="0086125C">
        <w:rPr>
          <w:rFonts w:ascii="Arial" w:hAnsi="Arial" w:cs="Arial"/>
          <w:sz w:val="24"/>
          <w:szCs w:val="24"/>
        </w:rPr>
        <w:t>. After that, the evidence regarding pharmacists' contributions to diabetes management will be discussed to identify the gap in knowledge regarding pharmacist involvement in diabetes management in primary care. This is an important step to provide a rationale for conducting this research.</w:t>
      </w:r>
    </w:p>
    <w:bookmarkEnd w:id="30"/>
    <w:p w14:paraId="54B93374" w14:textId="77777777" w:rsidR="00DD229F" w:rsidRDefault="00DD229F" w:rsidP="00DD229F">
      <w:pPr>
        <w:pStyle w:val="CommentText"/>
        <w:spacing w:line="360" w:lineRule="auto"/>
        <w:rPr>
          <w:rFonts w:asciiTheme="minorBidi" w:hAnsiTheme="minorBidi"/>
          <w:sz w:val="24"/>
          <w:szCs w:val="24"/>
          <w:lang w:val="en-GB"/>
        </w:rPr>
      </w:pPr>
    </w:p>
    <w:p w14:paraId="5FF7C84C" w14:textId="77777777" w:rsidR="00DD229F" w:rsidRPr="00091A77" w:rsidRDefault="00DD229F" w:rsidP="00DD229F">
      <w:pPr>
        <w:pStyle w:val="Heading3"/>
        <w:spacing w:line="257" w:lineRule="auto"/>
        <w:ind w:left="504"/>
        <w:rPr>
          <w:lang w:val="en-GB"/>
        </w:rPr>
      </w:pPr>
      <w:bookmarkStart w:id="31" w:name="_Toc153894140"/>
      <w:r w:rsidRPr="00091A77">
        <w:rPr>
          <w:lang w:val="en-GB"/>
        </w:rPr>
        <w:t>Review questions</w:t>
      </w:r>
      <w:bookmarkEnd w:id="31"/>
      <w:r w:rsidRPr="00091A77">
        <w:rPr>
          <w:lang w:val="en-GB"/>
        </w:rPr>
        <w:t xml:space="preserve"> </w:t>
      </w:r>
    </w:p>
    <w:p w14:paraId="3FCBFFAC" w14:textId="21641842" w:rsidR="00DD229F" w:rsidRPr="004515F8" w:rsidRDefault="00DD229F" w:rsidP="00DD229F">
      <w:pPr>
        <w:tabs>
          <w:tab w:val="left" w:pos="5670"/>
        </w:tabs>
        <w:spacing w:line="360" w:lineRule="auto"/>
        <w:jc w:val="both"/>
        <w:rPr>
          <w:rFonts w:asciiTheme="minorBidi" w:hAnsiTheme="minorBidi"/>
          <w:sz w:val="24"/>
          <w:szCs w:val="24"/>
          <w:lang w:val="en-GB"/>
        </w:rPr>
      </w:pPr>
      <w:r w:rsidRPr="004515F8">
        <w:rPr>
          <w:rFonts w:asciiTheme="minorBidi" w:hAnsiTheme="minorBidi"/>
          <w:sz w:val="24"/>
          <w:szCs w:val="24"/>
          <w:lang w:val="en-GB"/>
        </w:rPr>
        <w:t>Th</w:t>
      </w:r>
      <w:r w:rsidR="00BE1D40" w:rsidRPr="004515F8">
        <w:rPr>
          <w:rFonts w:asciiTheme="minorBidi" w:hAnsiTheme="minorBidi"/>
          <w:sz w:val="24"/>
          <w:szCs w:val="24"/>
          <w:lang w:val="en-GB"/>
        </w:rPr>
        <w:t>is</w:t>
      </w:r>
      <w:r w:rsidRPr="004515F8">
        <w:rPr>
          <w:rFonts w:asciiTheme="minorBidi" w:hAnsiTheme="minorBidi"/>
          <w:sz w:val="24"/>
          <w:szCs w:val="24"/>
          <w:lang w:val="en-GB"/>
        </w:rPr>
        <w:t xml:space="preserve"> review aimed to answer the following questions: </w:t>
      </w:r>
    </w:p>
    <w:p w14:paraId="101C5130" w14:textId="2B5B7C87" w:rsidR="00DD229F" w:rsidRPr="004515F8" w:rsidRDefault="00DD229F" w:rsidP="00DD229F">
      <w:pPr>
        <w:pStyle w:val="ListParagraph"/>
        <w:numPr>
          <w:ilvl w:val="0"/>
          <w:numId w:val="32"/>
        </w:numPr>
        <w:tabs>
          <w:tab w:val="left" w:pos="5670"/>
        </w:tabs>
        <w:spacing w:line="360" w:lineRule="auto"/>
        <w:jc w:val="both"/>
        <w:rPr>
          <w:rFonts w:asciiTheme="minorBidi" w:hAnsiTheme="minorBidi"/>
          <w:sz w:val="24"/>
          <w:szCs w:val="24"/>
          <w:lang w:val="en-GB"/>
        </w:rPr>
      </w:pPr>
      <w:r w:rsidRPr="004515F8">
        <w:rPr>
          <w:rFonts w:asciiTheme="minorBidi" w:hAnsiTheme="minorBidi"/>
          <w:sz w:val="24"/>
          <w:szCs w:val="24"/>
          <w:lang w:val="en-GB"/>
        </w:rPr>
        <w:t xml:space="preserve">What is the role of the pharmacist in diabetes management in </w:t>
      </w:r>
      <w:r w:rsidR="00BE1D40" w:rsidRPr="004515F8">
        <w:rPr>
          <w:rFonts w:asciiTheme="minorBidi" w:hAnsiTheme="minorBidi"/>
          <w:sz w:val="24"/>
          <w:szCs w:val="24"/>
          <w:lang w:val="en-GB"/>
        </w:rPr>
        <w:t xml:space="preserve">the </w:t>
      </w:r>
      <w:r w:rsidRPr="004515F8">
        <w:rPr>
          <w:rFonts w:asciiTheme="minorBidi" w:hAnsiTheme="minorBidi"/>
          <w:sz w:val="24"/>
          <w:szCs w:val="24"/>
          <w:lang w:val="en-GB"/>
        </w:rPr>
        <w:t xml:space="preserve">primary care settings, and to </w:t>
      </w:r>
      <w:r w:rsidRPr="004515F8">
        <w:rPr>
          <w:rFonts w:ascii="Arial" w:hAnsi="Arial" w:cs="Arial"/>
          <w:sz w:val="24"/>
          <w:szCs w:val="24"/>
          <w:lang w:val="en-GB"/>
        </w:rPr>
        <w:t>what extent are pharmacists involved in diabetes management?</w:t>
      </w:r>
    </w:p>
    <w:p w14:paraId="296360E7" w14:textId="77777777" w:rsidR="00DD229F" w:rsidRPr="004515F8" w:rsidRDefault="00DD229F" w:rsidP="00DD229F">
      <w:pPr>
        <w:pStyle w:val="ListParagraph"/>
        <w:numPr>
          <w:ilvl w:val="0"/>
          <w:numId w:val="32"/>
        </w:numPr>
        <w:tabs>
          <w:tab w:val="left" w:pos="5670"/>
        </w:tabs>
        <w:spacing w:line="360" w:lineRule="auto"/>
        <w:jc w:val="both"/>
        <w:rPr>
          <w:rFonts w:asciiTheme="minorBidi" w:hAnsiTheme="minorBidi"/>
          <w:sz w:val="24"/>
          <w:szCs w:val="24"/>
          <w:lang w:val="en-GB"/>
        </w:rPr>
      </w:pPr>
      <w:r w:rsidRPr="004515F8">
        <w:rPr>
          <w:rFonts w:ascii="Arial" w:hAnsi="Arial" w:cs="Arial"/>
          <w:sz w:val="24"/>
          <w:szCs w:val="24"/>
          <w:lang w:val="en-GB"/>
        </w:rPr>
        <w:t>W</w:t>
      </w:r>
      <w:r w:rsidRPr="004515F8">
        <w:rPr>
          <w:rFonts w:asciiTheme="minorBidi" w:hAnsiTheme="minorBidi"/>
          <w:sz w:val="24"/>
          <w:szCs w:val="24"/>
          <w:lang w:val="en-GB"/>
        </w:rPr>
        <w:t>hat are the perceptions of stakeholders about the role and involvement of pharmacists in diabetes management?</w:t>
      </w:r>
    </w:p>
    <w:p w14:paraId="648935D0" w14:textId="77777777" w:rsidR="00DD229F" w:rsidRPr="004515F8" w:rsidRDefault="00DD229F" w:rsidP="00DD229F">
      <w:pPr>
        <w:pStyle w:val="ListParagraph"/>
        <w:numPr>
          <w:ilvl w:val="0"/>
          <w:numId w:val="32"/>
        </w:numPr>
        <w:tabs>
          <w:tab w:val="left" w:pos="5670"/>
        </w:tabs>
        <w:spacing w:line="360" w:lineRule="auto"/>
        <w:jc w:val="both"/>
        <w:rPr>
          <w:rFonts w:asciiTheme="minorBidi" w:hAnsiTheme="minorBidi"/>
          <w:sz w:val="24"/>
          <w:szCs w:val="24"/>
          <w:lang w:val="en-GB"/>
        </w:rPr>
      </w:pPr>
      <w:r w:rsidRPr="004515F8">
        <w:rPr>
          <w:rFonts w:asciiTheme="minorBidi" w:hAnsiTheme="minorBidi"/>
          <w:sz w:val="24"/>
          <w:szCs w:val="24"/>
          <w:lang w:val="en-GB"/>
        </w:rPr>
        <w:t>What are the barriers and facilitators to pharmacists’ involvement in diabetes management in primary care settings?</w:t>
      </w:r>
    </w:p>
    <w:p w14:paraId="4C994DB9" w14:textId="703F4B0F" w:rsidR="00DD229F" w:rsidRPr="004515F8" w:rsidRDefault="00DD229F" w:rsidP="00770DDE">
      <w:pPr>
        <w:pStyle w:val="ListParagraph"/>
        <w:numPr>
          <w:ilvl w:val="0"/>
          <w:numId w:val="32"/>
        </w:numPr>
        <w:tabs>
          <w:tab w:val="left" w:pos="5670"/>
        </w:tabs>
        <w:spacing w:line="360" w:lineRule="auto"/>
        <w:jc w:val="both"/>
        <w:rPr>
          <w:rFonts w:asciiTheme="minorBidi" w:hAnsiTheme="minorBidi"/>
          <w:sz w:val="24"/>
          <w:szCs w:val="24"/>
          <w:lang w:val="en-GB"/>
        </w:rPr>
      </w:pPr>
      <w:r w:rsidRPr="004515F8">
        <w:rPr>
          <w:rFonts w:asciiTheme="minorBidi" w:hAnsiTheme="minorBidi"/>
          <w:sz w:val="24"/>
          <w:szCs w:val="24"/>
          <w:lang w:val="en-GB"/>
        </w:rPr>
        <w:t xml:space="preserve">What is the impact of pharmacists’ involvement in diabetes management, and what are the impacts of pharmacist interventions on diabetes care (including </w:t>
      </w:r>
      <w:r w:rsidRPr="004515F8">
        <w:rPr>
          <w:rFonts w:ascii="Arial" w:hAnsi="Arial" w:cs="Arial"/>
          <w:sz w:val="24"/>
          <w:szCs w:val="24"/>
          <w:lang w:val="en-GB"/>
        </w:rPr>
        <w:t xml:space="preserve">three aspects: clinical, economic and humanistic </w:t>
      </w:r>
      <w:r w:rsidRPr="004515F8">
        <w:rPr>
          <w:rFonts w:asciiTheme="minorBidi" w:hAnsiTheme="minorBidi"/>
          <w:sz w:val="24"/>
          <w:szCs w:val="24"/>
          <w:lang w:val="en-GB"/>
        </w:rPr>
        <w:t>effects</w:t>
      </w:r>
      <w:r w:rsidRPr="004515F8">
        <w:rPr>
          <w:rFonts w:ascii="Arial" w:hAnsi="Arial" w:cs="Arial"/>
          <w:sz w:val="24"/>
          <w:szCs w:val="24"/>
          <w:lang w:val="en-GB"/>
        </w:rPr>
        <w:t xml:space="preserve">)? </w:t>
      </w:r>
    </w:p>
    <w:p w14:paraId="6D39540F" w14:textId="77777777" w:rsidR="001C37F7" w:rsidRPr="0086125C" w:rsidRDefault="001C37F7" w:rsidP="001C37F7">
      <w:pPr>
        <w:pStyle w:val="ListParagraph"/>
        <w:tabs>
          <w:tab w:val="left" w:pos="5670"/>
        </w:tabs>
        <w:spacing w:line="360" w:lineRule="auto"/>
        <w:jc w:val="both"/>
        <w:rPr>
          <w:rFonts w:asciiTheme="minorBidi" w:hAnsiTheme="minorBidi"/>
          <w:sz w:val="24"/>
          <w:szCs w:val="24"/>
          <w:lang w:val="en-GB"/>
        </w:rPr>
      </w:pPr>
    </w:p>
    <w:p w14:paraId="3047968A" w14:textId="77777777" w:rsidR="00DD229F" w:rsidRDefault="00DD229F" w:rsidP="00DD229F">
      <w:pPr>
        <w:pStyle w:val="Heading2"/>
        <w:spacing w:line="257" w:lineRule="auto"/>
        <w:ind w:left="432"/>
        <w:rPr>
          <w:lang w:val="en-GB"/>
        </w:rPr>
      </w:pPr>
      <w:bookmarkStart w:id="32" w:name="_Toc122626356"/>
      <w:bookmarkStart w:id="33" w:name="_Toc153894141"/>
      <w:r>
        <w:rPr>
          <w:lang w:val="en-GB"/>
        </w:rPr>
        <w:t>Review method</w:t>
      </w:r>
      <w:bookmarkEnd w:id="32"/>
      <w:r>
        <w:rPr>
          <w:lang w:val="en-GB"/>
        </w:rPr>
        <w:t>s</w:t>
      </w:r>
      <w:bookmarkEnd w:id="33"/>
    </w:p>
    <w:p w14:paraId="4566E7ED" w14:textId="77777777" w:rsidR="00DD229F" w:rsidRDefault="00DD229F" w:rsidP="00DD229F">
      <w:pPr>
        <w:spacing w:after="0"/>
        <w:rPr>
          <w:lang w:val="en-GB"/>
        </w:rPr>
      </w:pPr>
    </w:p>
    <w:p w14:paraId="17DC46FE" w14:textId="77777777" w:rsidR="00DD229F" w:rsidRPr="00067E03" w:rsidRDefault="00DD229F" w:rsidP="00DD229F">
      <w:pPr>
        <w:pStyle w:val="Heading3"/>
        <w:spacing w:line="257" w:lineRule="auto"/>
        <w:ind w:left="504"/>
        <w:rPr>
          <w:lang w:val="en-GB"/>
        </w:rPr>
      </w:pPr>
      <w:bookmarkStart w:id="34" w:name="_Toc153894142"/>
      <w:r w:rsidRPr="00067E03">
        <w:rPr>
          <w:lang w:val="en-GB"/>
        </w:rPr>
        <w:t>Inclusion and exclusion criteria</w:t>
      </w:r>
      <w:bookmarkEnd w:id="34"/>
    </w:p>
    <w:p w14:paraId="40C5087A" w14:textId="3763E423" w:rsidR="00FC0DD0" w:rsidRPr="00876389" w:rsidRDefault="00793651" w:rsidP="007323E7">
      <w:pPr>
        <w:pStyle w:val="CommentText"/>
        <w:spacing w:line="360" w:lineRule="auto"/>
        <w:jc w:val="both"/>
        <w:rPr>
          <w:rFonts w:asciiTheme="minorBidi" w:hAnsiTheme="minorBidi"/>
          <w:sz w:val="24"/>
          <w:szCs w:val="24"/>
          <w:lang w:val="en-GB"/>
        </w:rPr>
      </w:pPr>
      <w:r w:rsidRPr="007323E7">
        <w:rPr>
          <w:rFonts w:asciiTheme="minorBidi" w:hAnsiTheme="minorBidi"/>
          <w:sz w:val="24"/>
          <w:szCs w:val="24"/>
          <w:lang w:val="en-GB"/>
        </w:rPr>
        <w:t>T</w:t>
      </w:r>
      <w:r w:rsidR="0048040D" w:rsidRPr="007323E7">
        <w:rPr>
          <w:rFonts w:asciiTheme="minorBidi" w:hAnsiTheme="minorBidi"/>
          <w:sz w:val="24"/>
          <w:szCs w:val="24"/>
          <w:lang w:val="en-GB"/>
        </w:rPr>
        <w:t xml:space="preserve">he </w:t>
      </w:r>
      <w:r w:rsidRPr="007323E7">
        <w:rPr>
          <w:rFonts w:asciiTheme="minorBidi" w:hAnsiTheme="minorBidi"/>
          <w:sz w:val="24"/>
          <w:szCs w:val="24"/>
          <w:lang w:val="en-GB"/>
        </w:rPr>
        <w:t>inclusion</w:t>
      </w:r>
      <w:r w:rsidR="0048040D" w:rsidRPr="007323E7">
        <w:rPr>
          <w:rFonts w:asciiTheme="minorBidi" w:hAnsiTheme="minorBidi"/>
          <w:sz w:val="24"/>
          <w:szCs w:val="24"/>
          <w:lang w:val="en-GB"/>
        </w:rPr>
        <w:t xml:space="preserve"> criteria for the review followed the following format</w:t>
      </w:r>
      <w:r w:rsidR="00DD0B76">
        <w:rPr>
          <w:rFonts w:asciiTheme="minorBidi" w:hAnsiTheme="minorBidi"/>
          <w:sz w:val="24"/>
          <w:szCs w:val="24"/>
          <w:lang w:val="en-GB"/>
        </w:rPr>
        <w:t xml:space="preserve"> (</w:t>
      </w:r>
      <w:r w:rsidR="00C63885">
        <w:rPr>
          <w:rFonts w:asciiTheme="minorBidi" w:hAnsiTheme="minorBidi"/>
          <w:sz w:val="24"/>
          <w:szCs w:val="24"/>
          <w:lang w:val="en-GB"/>
        </w:rPr>
        <w:t xml:space="preserve">see </w:t>
      </w:r>
      <w:r w:rsidR="00C63885">
        <w:rPr>
          <w:rFonts w:asciiTheme="minorBidi" w:hAnsiTheme="minorBidi"/>
          <w:sz w:val="24"/>
          <w:szCs w:val="24"/>
          <w:lang w:val="en-GB"/>
        </w:rPr>
        <w:fldChar w:fldCharType="begin"/>
      </w:r>
      <w:r w:rsidR="00C63885">
        <w:rPr>
          <w:rFonts w:asciiTheme="minorBidi" w:hAnsiTheme="minorBidi"/>
          <w:sz w:val="24"/>
          <w:szCs w:val="24"/>
          <w:lang w:val="en-GB"/>
        </w:rPr>
        <w:instrText xml:space="preserve"> REF _Ref148112431 \h  \* MERGEFORMAT </w:instrText>
      </w:r>
      <w:r w:rsidR="00C63885">
        <w:rPr>
          <w:rFonts w:asciiTheme="minorBidi" w:hAnsiTheme="minorBidi"/>
          <w:sz w:val="24"/>
          <w:szCs w:val="24"/>
          <w:lang w:val="en-GB"/>
        </w:rPr>
      </w:r>
      <w:r w:rsidR="00C63885">
        <w:rPr>
          <w:rFonts w:asciiTheme="minorBidi" w:hAnsiTheme="minorBidi"/>
          <w:sz w:val="24"/>
          <w:szCs w:val="24"/>
          <w:lang w:val="en-GB"/>
        </w:rPr>
        <w:fldChar w:fldCharType="separate"/>
      </w:r>
      <w:r w:rsidR="00C63885" w:rsidRPr="00876389">
        <w:rPr>
          <w:rFonts w:asciiTheme="minorBidi" w:hAnsiTheme="minorBidi"/>
          <w:sz w:val="24"/>
          <w:szCs w:val="24"/>
          <w:lang w:val="en-GB"/>
        </w:rPr>
        <w:t>Table 2</w:t>
      </w:r>
      <w:r w:rsidR="00C63885">
        <w:rPr>
          <w:rFonts w:asciiTheme="minorBidi" w:hAnsiTheme="minorBidi"/>
          <w:sz w:val="24"/>
          <w:szCs w:val="24"/>
          <w:lang w:val="en-GB"/>
        </w:rPr>
        <w:fldChar w:fldCharType="end"/>
      </w:r>
      <w:r w:rsidR="00DD0B76">
        <w:rPr>
          <w:rFonts w:asciiTheme="minorBidi" w:hAnsiTheme="minorBidi"/>
          <w:sz w:val="24"/>
          <w:szCs w:val="24"/>
          <w:lang w:val="en-GB"/>
        </w:rPr>
        <w:t>)</w:t>
      </w:r>
      <w:r w:rsidR="0048040D" w:rsidRPr="007323E7">
        <w:rPr>
          <w:rFonts w:asciiTheme="minorBidi" w:hAnsiTheme="minorBidi"/>
          <w:sz w:val="24"/>
          <w:szCs w:val="24"/>
          <w:lang w:val="en-GB"/>
        </w:rPr>
        <w:t>:</w:t>
      </w:r>
    </w:p>
    <w:p w14:paraId="3FBCAE03" w14:textId="6EA3024B" w:rsidR="00C457D0" w:rsidRPr="006B4E4B" w:rsidRDefault="00DD229F" w:rsidP="00AF1D06">
      <w:pPr>
        <w:pStyle w:val="CommentText"/>
        <w:spacing w:line="360" w:lineRule="auto"/>
        <w:jc w:val="both"/>
        <w:rPr>
          <w:rFonts w:asciiTheme="minorBidi" w:hAnsiTheme="minorBidi"/>
          <w:sz w:val="24"/>
          <w:szCs w:val="24"/>
          <w:lang w:val="en-GB"/>
        </w:rPr>
      </w:pPr>
      <w:r w:rsidRPr="003C6C10">
        <w:rPr>
          <w:rFonts w:asciiTheme="minorBidi" w:hAnsiTheme="minorBidi"/>
          <w:b/>
          <w:bCs/>
          <w:sz w:val="24"/>
          <w:szCs w:val="24"/>
          <w:lang w:val="en-GB"/>
        </w:rPr>
        <w:t>Population</w:t>
      </w:r>
      <w:r w:rsidR="00D52142" w:rsidRPr="003C6C10">
        <w:rPr>
          <w:rFonts w:asciiTheme="minorBidi" w:hAnsiTheme="minorBidi"/>
          <w:b/>
          <w:bCs/>
          <w:sz w:val="24"/>
          <w:szCs w:val="24"/>
          <w:lang w:val="en-GB"/>
        </w:rPr>
        <w:t xml:space="preserve"> and </w:t>
      </w:r>
      <w:r w:rsidR="00AF1D06" w:rsidRPr="003C6C10">
        <w:rPr>
          <w:rFonts w:asciiTheme="minorBidi" w:hAnsiTheme="minorBidi"/>
          <w:b/>
          <w:bCs/>
          <w:sz w:val="24"/>
          <w:szCs w:val="24"/>
          <w:lang w:val="en-GB"/>
        </w:rPr>
        <w:t>Setting</w:t>
      </w:r>
      <w:r w:rsidRPr="003C6C10">
        <w:rPr>
          <w:rFonts w:asciiTheme="minorBidi" w:hAnsiTheme="minorBidi"/>
          <w:b/>
          <w:bCs/>
          <w:sz w:val="24"/>
          <w:szCs w:val="24"/>
          <w:lang w:val="en-GB"/>
        </w:rPr>
        <w:t>:</w:t>
      </w:r>
      <w:r w:rsidRPr="003C6C10">
        <w:rPr>
          <w:rFonts w:asciiTheme="minorBidi" w:hAnsiTheme="minorBidi"/>
          <w:sz w:val="24"/>
          <w:szCs w:val="24"/>
          <w:lang w:val="en-GB"/>
        </w:rPr>
        <w:t xml:space="preserve"> The relevant population was management of patients with diabetes. The relevant setting was primary care. The literature review focused on studies of pharmacists working in PHC and </w:t>
      </w:r>
      <w:r w:rsidRPr="00D6369D">
        <w:rPr>
          <w:rFonts w:asciiTheme="minorBidi" w:hAnsiTheme="minorBidi"/>
          <w:sz w:val="24"/>
          <w:szCs w:val="24"/>
          <w:lang w:val="en-GB"/>
        </w:rPr>
        <w:t xml:space="preserve">GP </w:t>
      </w:r>
      <w:r w:rsidR="006B4E90" w:rsidRPr="00D6369D">
        <w:rPr>
          <w:rFonts w:asciiTheme="minorBidi" w:hAnsiTheme="minorBidi"/>
          <w:sz w:val="24"/>
          <w:szCs w:val="24"/>
          <w:lang w:val="en-GB"/>
        </w:rPr>
        <w:t>practices</w:t>
      </w:r>
      <w:r w:rsidR="006B4E90">
        <w:rPr>
          <w:rFonts w:asciiTheme="minorBidi" w:hAnsiTheme="minorBidi"/>
          <w:sz w:val="24"/>
          <w:szCs w:val="24"/>
          <w:lang w:val="en-GB"/>
        </w:rPr>
        <w:t xml:space="preserve"> and</w:t>
      </w:r>
      <w:r>
        <w:rPr>
          <w:rFonts w:asciiTheme="minorBidi" w:hAnsiTheme="minorBidi"/>
          <w:sz w:val="24"/>
          <w:szCs w:val="24"/>
          <w:lang w:val="en-GB"/>
        </w:rPr>
        <w:t xml:space="preserve"> excluded those that included pharmacists working in a private/retail community pharmacy and hospital settings. </w:t>
      </w:r>
      <w:r w:rsidR="00C457D0" w:rsidRPr="006B4E4B">
        <w:rPr>
          <w:rFonts w:asciiTheme="minorBidi" w:hAnsiTheme="minorBidi"/>
          <w:sz w:val="24"/>
          <w:szCs w:val="24"/>
          <w:lang w:val="en-GB"/>
        </w:rPr>
        <w:t>S</w:t>
      </w:r>
      <w:r w:rsidR="008124EA" w:rsidRPr="006B4E4B">
        <w:rPr>
          <w:rFonts w:asciiTheme="minorBidi" w:hAnsiTheme="minorBidi"/>
          <w:sz w:val="24"/>
          <w:szCs w:val="24"/>
          <w:lang w:val="en-GB"/>
        </w:rPr>
        <w:t>ystematic reviews were considered relevant and included in the review if they included studies focusing on community pharmacie</w:t>
      </w:r>
      <w:r w:rsidR="00DE6C17" w:rsidRPr="006B4E4B">
        <w:rPr>
          <w:rFonts w:asciiTheme="minorBidi" w:hAnsiTheme="minorBidi"/>
          <w:sz w:val="24"/>
          <w:szCs w:val="24"/>
          <w:lang w:val="en-GB"/>
        </w:rPr>
        <w:t>s.</w:t>
      </w:r>
    </w:p>
    <w:p w14:paraId="6E860317" w14:textId="440DC634" w:rsidR="00DD229F" w:rsidRPr="007D5751" w:rsidRDefault="00DD229F" w:rsidP="00AF1D06">
      <w:pPr>
        <w:pStyle w:val="CommentText"/>
        <w:spacing w:line="360" w:lineRule="auto"/>
        <w:jc w:val="both"/>
        <w:rPr>
          <w:rFonts w:asciiTheme="minorBidi" w:hAnsiTheme="minorBidi"/>
          <w:sz w:val="24"/>
          <w:szCs w:val="24"/>
          <w:lang w:val="en-GB"/>
        </w:rPr>
      </w:pPr>
      <w:r>
        <w:rPr>
          <w:rFonts w:asciiTheme="minorBidi" w:hAnsiTheme="minorBidi"/>
          <w:sz w:val="24"/>
          <w:szCs w:val="24"/>
          <w:lang w:val="en-GB"/>
        </w:rPr>
        <w:t xml:space="preserve">In addition, for Saudi Arabia only, the inclusion criteria were widened to include studies of </w:t>
      </w:r>
      <w:r w:rsidRPr="007D5751">
        <w:rPr>
          <w:rFonts w:asciiTheme="minorBidi" w:hAnsiTheme="minorBidi"/>
          <w:sz w:val="24"/>
          <w:szCs w:val="24"/>
          <w:lang w:val="en-GB"/>
        </w:rPr>
        <w:t xml:space="preserve">hospital ambulatory care clinics or hospital outpatient clinics; the rationale for this was that these studies are considered in the KSA to be equivalent to primary care in other countries. </w:t>
      </w:r>
    </w:p>
    <w:p w14:paraId="26316AEA" w14:textId="04DA63C2" w:rsidR="00DD229F" w:rsidRPr="007D5751" w:rsidRDefault="00DD229F" w:rsidP="00DD229F">
      <w:pPr>
        <w:pStyle w:val="CommentText"/>
        <w:spacing w:line="360" w:lineRule="auto"/>
        <w:jc w:val="both"/>
        <w:rPr>
          <w:rFonts w:asciiTheme="minorBidi" w:hAnsiTheme="minorBidi"/>
          <w:sz w:val="24"/>
          <w:szCs w:val="24"/>
          <w:lang w:val="en-GB"/>
        </w:rPr>
      </w:pPr>
      <w:r w:rsidRPr="007D5751">
        <w:rPr>
          <w:rFonts w:asciiTheme="minorBidi" w:hAnsiTheme="minorBidi"/>
          <w:b/>
          <w:bCs/>
          <w:sz w:val="24"/>
          <w:szCs w:val="24"/>
          <w:lang w:val="en-GB"/>
        </w:rPr>
        <w:t xml:space="preserve">Intervention or </w:t>
      </w:r>
      <w:r w:rsidR="00D52142" w:rsidRPr="007D5751">
        <w:rPr>
          <w:rFonts w:asciiTheme="minorBidi" w:hAnsiTheme="minorBidi"/>
          <w:b/>
          <w:bCs/>
          <w:sz w:val="24"/>
          <w:szCs w:val="24"/>
          <w:lang w:val="en-GB"/>
        </w:rPr>
        <w:t>Exposure</w:t>
      </w:r>
      <w:r w:rsidRPr="007D5751">
        <w:rPr>
          <w:rFonts w:asciiTheme="minorBidi" w:hAnsiTheme="minorBidi"/>
          <w:b/>
          <w:bCs/>
          <w:sz w:val="24"/>
          <w:szCs w:val="24"/>
          <w:lang w:val="en-GB"/>
        </w:rPr>
        <w:t>:</w:t>
      </w:r>
      <w:r w:rsidRPr="007D5751">
        <w:rPr>
          <w:rFonts w:asciiTheme="minorBidi" w:hAnsiTheme="minorBidi"/>
          <w:sz w:val="24"/>
          <w:szCs w:val="24"/>
          <w:lang w:val="en-GB"/>
        </w:rPr>
        <w:t xml:space="preserve"> </w:t>
      </w:r>
      <w:r w:rsidR="00390009" w:rsidRPr="007D5751">
        <w:rPr>
          <w:rFonts w:asciiTheme="minorBidi" w:hAnsiTheme="minorBidi"/>
          <w:sz w:val="24"/>
          <w:szCs w:val="24"/>
          <w:lang w:val="en-GB"/>
        </w:rPr>
        <w:t>Studies reporting on t</w:t>
      </w:r>
      <w:r w:rsidRPr="007D5751">
        <w:rPr>
          <w:rFonts w:asciiTheme="minorBidi" w:hAnsiTheme="minorBidi"/>
          <w:sz w:val="24"/>
          <w:szCs w:val="24"/>
          <w:lang w:val="en-GB"/>
        </w:rPr>
        <w:t>he role or involvement of pharmacists in diabetes management; the perceptions of stakeholders about their role or involvement; barriers and facilitators to pharmacists’ involvement; and impact of pharmacist involvement and pharmacist interventions in diabetes management</w:t>
      </w:r>
      <w:r w:rsidR="00D52142" w:rsidRPr="007D5751">
        <w:rPr>
          <w:rFonts w:asciiTheme="minorBidi" w:hAnsiTheme="minorBidi"/>
          <w:sz w:val="24"/>
          <w:szCs w:val="24"/>
          <w:lang w:val="en-GB"/>
        </w:rPr>
        <w:t xml:space="preserve"> were considered</w:t>
      </w:r>
      <w:r w:rsidRPr="007D5751">
        <w:rPr>
          <w:rFonts w:asciiTheme="minorBidi" w:hAnsiTheme="minorBidi"/>
          <w:sz w:val="24"/>
          <w:szCs w:val="24"/>
          <w:lang w:val="en-GB"/>
        </w:rPr>
        <w:t>.</w:t>
      </w:r>
    </w:p>
    <w:p w14:paraId="237FB39D" w14:textId="4D3EF066" w:rsidR="00DD229F" w:rsidRDefault="00DD229F" w:rsidP="00DD229F">
      <w:pPr>
        <w:pStyle w:val="CommentText"/>
        <w:spacing w:line="360" w:lineRule="auto"/>
        <w:jc w:val="both"/>
        <w:rPr>
          <w:rFonts w:asciiTheme="minorBidi" w:hAnsiTheme="minorBidi"/>
          <w:color w:val="00B050"/>
          <w:sz w:val="24"/>
          <w:szCs w:val="24"/>
          <w:lang w:val="en-GB"/>
        </w:rPr>
      </w:pPr>
      <w:r w:rsidRPr="007D5751">
        <w:rPr>
          <w:rFonts w:asciiTheme="minorBidi" w:hAnsiTheme="minorBidi"/>
          <w:b/>
          <w:bCs/>
          <w:sz w:val="24"/>
          <w:szCs w:val="24"/>
          <w:lang w:val="en-GB"/>
        </w:rPr>
        <w:t>Outcomes:</w:t>
      </w:r>
      <w:r w:rsidRPr="007D5751">
        <w:rPr>
          <w:rFonts w:asciiTheme="minorBidi" w:hAnsiTheme="minorBidi"/>
          <w:sz w:val="24"/>
          <w:szCs w:val="24"/>
          <w:lang w:val="en-GB"/>
        </w:rPr>
        <w:t xml:space="preserve"> </w:t>
      </w:r>
      <w:r w:rsidR="00D52142" w:rsidRPr="007D5751">
        <w:rPr>
          <w:rFonts w:asciiTheme="minorBidi" w:hAnsiTheme="minorBidi"/>
          <w:sz w:val="24"/>
          <w:szCs w:val="24"/>
          <w:lang w:val="en-GB"/>
        </w:rPr>
        <w:t>Outcome of interest were i) t</w:t>
      </w:r>
      <w:r w:rsidRPr="007D5751">
        <w:rPr>
          <w:rFonts w:asciiTheme="minorBidi" w:hAnsiTheme="minorBidi"/>
          <w:sz w:val="24"/>
          <w:szCs w:val="24"/>
          <w:lang w:val="en-GB"/>
        </w:rPr>
        <w:t xml:space="preserve">he role or involvement of pharmacists in diabetes management; </w:t>
      </w:r>
      <w:r w:rsidR="00D52142" w:rsidRPr="007D5751">
        <w:rPr>
          <w:rFonts w:asciiTheme="minorBidi" w:hAnsiTheme="minorBidi"/>
          <w:sz w:val="24"/>
          <w:szCs w:val="24"/>
          <w:lang w:val="en-GB"/>
        </w:rPr>
        <w:t xml:space="preserve">ii) </w:t>
      </w:r>
      <w:r w:rsidRPr="007D5751">
        <w:rPr>
          <w:rFonts w:asciiTheme="minorBidi" w:hAnsiTheme="minorBidi"/>
          <w:sz w:val="24"/>
          <w:szCs w:val="24"/>
          <w:lang w:val="en-GB"/>
        </w:rPr>
        <w:t>perceptions of stakeholders</w:t>
      </w:r>
      <w:r w:rsidR="000E7A3E" w:rsidRPr="007D5751">
        <w:rPr>
          <w:rFonts w:asciiTheme="minorBidi" w:hAnsiTheme="minorBidi"/>
          <w:sz w:val="24"/>
          <w:szCs w:val="24"/>
          <w:lang w:val="en-GB"/>
        </w:rPr>
        <w:t xml:space="preserve"> about the role and involvement of pharmacists in diabetes management</w:t>
      </w:r>
      <w:r w:rsidRPr="007D5751">
        <w:rPr>
          <w:rFonts w:asciiTheme="minorBidi" w:hAnsiTheme="minorBidi"/>
          <w:sz w:val="24"/>
          <w:szCs w:val="24"/>
          <w:lang w:val="en-GB"/>
        </w:rPr>
        <w:t xml:space="preserve">; </w:t>
      </w:r>
      <w:r w:rsidR="00D52142" w:rsidRPr="007D5751">
        <w:rPr>
          <w:rFonts w:asciiTheme="minorBidi" w:hAnsiTheme="minorBidi"/>
          <w:sz w:val="24"/>
          <w:szCs w:val="24"/>
          <w:lang w:val="en-GB"/>
        </w:rPr>
        <w:t xml:space="preserve">iii) </w:t>
      </w:r>
      <w:r w:rsidRPr="007D5751">
        <w:rPr>
          <w:rFonts w:asciiTheme="minorBidi" w:hAnsiTheme="minorBidi"/>
          <w:sz w:val="24"/>
          <w:szCs w:val="24"/>
          <w:lang w:val="en-GB"/>
        </w:rPr>
        <w:t>barriers and facilitators to pharmacist involvement</w:t>
      </w:r>
      <w:r w:rsidR="00D52142" w:rsidRPr="007D5751">
        <w:rPr>
          <w:rFonts w:asciiTheme="minorBidi" w:hAnsiTheme="minorBidi"/>
          <w:sz w:val="24"/>
          <w:szCs w:val="24"/>
          <w:lang w:val="en-GB"/>
        </w:rPr>
        <w:t xml:space="preserve"> (Question 1-3)</w:t>
      </w:r>
      <w:r w:rsidRPr="007D5751">
        <w:rPr>
          <w:rFonts w:asciiTheme="minorBidi" w:hAnsiTheme="minorBidi"/>
          <w:sz w:val="24"/>
          <w:szCs w:val="24"/>
          <w:lang w:val="en-GB"/>
        </w:rPr>
        <w:t xml:space="preserve">. </w:t>
      </w:r>
      <w:r w:rsidR="00D52142" w:rsidRPr="007D5751">
        <w:rPr>
          <w:rFonts w:asciiTheme="minorBidi" w:hAnsiTheme="minorBidi"/>
          <w:sz w:val="24"/>
          <w:szCs w:val="24"/>
          <w:lang w:val="en-GB"/>
        </w:rPr>
        <w:t>Also, iv) the</w:t>
      </w:r>
      <w:r w:rsidRPr="007D5751">
        <w:rPr>
          <w:rFonts w:asciiTheme="minorBidi" w:hAnsiTheme="minorBidi"/>
          <w:sz w:val="24"/>
          <w:szCs w:val="24"/>
          <w:lang w:val="en-GB"/>
        </w:rPr>
        <w:t xml:space="preserve"> impact of pharmacist involvement and interventions, clinical, economic, and humanistic outcomes were </w:t>
      </w:r>
      <w:r w:rsidR="00D52142" w:rsidRPr="007D5751">
        <w:rPr>
          <w:rFonts w:asciiTheme="minorBidi" w:hAnsiTheme="minorBidi"/>
          <w:sz w:val="24"/>
          <w:szCs w:val="24"/>
          <w:lang w:val="en-GB"/>
        </w:rPr>
        <w:t xml:space="preserve">also outcome of interest </w:t>
      </w:r>
      <w:r w:rsidR="00354E1E" w:rsidRPr="007D5751">
        <w:rPr>
          <w:rFonts w:asciiTheme="minorBidi" w:hAnsiTheme="minorBidi"/>
          <w:sz w:val="24"/>
          <w:szCs w:val="24"/>
          <w:lang w:val="en-GB"/>
        </w:rPr>
        <w:t xml:space="preserve">for </w:t>
      </w:r>
      <w:r w:rsidR="00D52142" w:rsidRPr="007D5751">
        <w:rPr>
          <w:rFonts w:asciiTheme="minorBidi" w:hAnsiTheme="minorBidi"/>
          <w:sz w:val="24"/>
          <w:szCs w:val="24"/>
          <w:lang w:val="en-GB"/>
        </w:rPr>
        <w:t>this review (addresses Question 4</w:t>
      </w:r>
      <w:r w:rsidR="00D95712" w:rsidRPr="007D5751">
        <w:rPr>
          <w:rFonts w:asciiTheme="minorBidi" w:hAnsiTheme="minorBidi"/>
          <w:sz w:val="24"/>
          <w:szCs w:val="24"/>
          <w:lang w:val="en-GB"/>
        </w:rPr>
        <w:t>).</w:t>
      </w:r>
      <w:r w:rsidRPr="007D5751">
        <w:rPr>
          <w:rFonts w:asciiTheme="minorBidi" w:hAnsiTheme="minorBidi"/>
          <w:sz w:val="24"/>
          <w:szCs w:val="24"/>
          <w:lang w:val="en-GB"/>
        </w:rPr>
        <w:t xml:space="preserve"> </w:t>
      </w:r>
      <w:r w:rsidR="00D52142" w:rsidRPr="007D5751">
        <w:rPr>
          <w:rFonts w:asciiTheme="minorBidi" w:hAnsiTheme="minorBidi"/>
          <w:sz w:val="24"/>
          <w:szCs w:val="24"/>
          <w:lang w:val="en-GB"/>
        </w:rPr>
        <w:t xml:space="preserve">In addition, </w:t>
      </w:r>
      <w:r w:rsidR="00D52142">
        <w:rPr>
          <w:rFonts w:asciiTheme="minorBidi" w:hAnsiTheme="minorBidi"/>
          <w:sz w:val="24"/>
          <w:szCs w:val="24"/>
          <w:lang w:val="en-GB"/>
        </w:rPr>
        <w:t>r</w:t>
      </w:r>
      <w:r>
        <w:rPr>
          <w:rFonts w:asciiTheme="minorBidi" w:hAnsiTheme="minorBidi"/>
          <w:sz w:val="24"/>
          <w:szCs w:val="24"/>
          <w:lang w:val="en-GB"/>
        </w:rPr>
        <w:t xml:space="preserve">elevant clinical outcomes </w:t>
      </w:r>
      <w:r w:rsidR="00D52142">
        <w:rPr>
          <w:rFonts w:asciiTheme="minorBidi" w:hAnsiTheme="minorBidi"/>
          <w:sz w:val="24"/>
          <w:szCs w:val="24"/>
          <w:lang w:val="en-GB"/>
        </w:rPr>
        <w:t xml:space="preserve">reviewed </w:t>
      </w:r>
      <w:r>
        <w:rPr>
          <w:rFonts w:asciiTheme="minorBidi" w:hAnsiTheme="minorBidi"/>
          <w:sz w:val="24"/>
          <w:szCs w:val="24"/>
          <w:lang w:val="en-GB"/>
        </w:rPr>
        <w:t>included: glycosylated haemoglobin (HbA1c); blood glucose level (fasting/postprandial/random); blood pressure (BP); lipid profile (total cholesterol [TC], low-density lipoprotein cholesterol [LDL-C], high-density lipoprotein cholesterol [HDL-C], and triglycerides [TG]); Body Mass Index [BMI]; 10-years predicted cardiovascular disease (CVD) risk, medication adherence, health-related quality of life (HRQol).</w:t>
      </w:r>
    </w:p>
    <w:p w14:paraId="751A543D" w14:textId="77777777" w:rsidR="00DD229F" w:rsidRDefault="00DD229F" w:rsidP="00DD229F">
      <w:pPr>
        <w:pStyle w:val="CommentText"/>
        <w:spacing w:line="360" w:lineRule="auto"/>
        <w:jc w:val="both"/>
        <w:rPr>
          <w:rFonts w:asciiTheme="minorBidi" w:hAnsiTheme="minorBidi"/>
          <w:sz w:val="24"/>
          <w:szCs w:val="24"/>
          <w:lang w:val="en-GB"/>
        </w:rPr>
      </w:pPr>
      <w:r w:rsidRPr="00797733">
        <w:rPr>
          <w:rFonts w:asciiTheme="minorBidi" w:hAnsiTheme="minorBidi"/>
          <w:b/>
          <w:bCs/>
          <w:sz w:val="24"/>
          <w:szCs w:val="24"/>
          <w:lang w:val="en-GB"/>
        </w:rPr>
        <w:t>Study designs:</w:t>
      </w:r>
      <w:r w:rsidRPr="00797733">
        <w:rPr>
          <w:rFonts w:asciiTheme="minorBidi" w:hAnsiTheme="minorBidi"/>
          <w:sz w:val="24"/>
          <w:szCs w:val="24"/>
          <w:lang w:val="en-GB"/>
        </w:rPr>
        <w:t xml:space="preserve"> For the first three review questions, all study </w:t>
      </w:r>
      <w:r>
        <w:rPr>
          <w:rFonts w:asciiTheme="minorBidi" w:hAnsiTheme="minorBidi"/>
          <w:sz w:val="24"/>
          <w:szCs w:val="24"/>
          <w:lang w:val="en-GB"/>
        </w:rPr>
        <w:t xml:space="preserve">designs were considered for inclusion, including qualitative and quantitative studies. For the review question on impact of </w:t>
      </w:r>
      <w:r w:rsidRPr="00EA1EF1">
        <w:rPr>
          <w:rFonts w:asciiTheme="minorBidi" w:hAnsiTheme="minorBidi"/>
          <w:sz w:val="24"/>
          <w:szCs w:val="24"/>
          <w:lang w:val="en-GB"/>
        </w:rPr>
        <w:t>pharmacist involvement and pharmacist interventions</w:t>
      </w:r>
      <w:r>
        <w:rPr>
          <w:rFonts w:asciiTheme="minorBidi" w:hAnsiTheme="minorBidi"/>
          <w:sz w:val="24"/>
          <w:szCs w:val="24"/>
          <w:lang w:val="en-GB"/>
        </w:rPr>
        <w:t xml:space="preserve">, systematic reviews and meta-analyses were prioritised, supplemented by data from RCTs or any study with </w:t>
      </w:r>
      <w:r w:rsidRPr="00681594">
        <w:rPr>
          <w:rFonts w:asciiTheme="minorBidi" w:hAnsiTheme="minorBidi"/>
          <w:sz w:val="24"/>
          <w:szCs w:val="24"/>
          <w:lang w:val="en-GB"/>
        </w:rPr>
        <w:t>a control group or baseline compariso</w:t>
      </w:r>
      <w:r>
        <w:rPr>
          <w:rFonts w:asciiTheme="minorBidi" w:hAnsiTheme="minorBidi"/>
          <w:sz w:val="24"/>
          <w:szCs w:val="24"/>
          <w:lang w:val="en-GB"/>
        </w:rPr>
        <w:t xml:space="preserve">n. </w:t>
      </w:r>
    </w:p>
    <w:p w14:paraId="0E1EAFEF" w14:textId="77777777" w:rsidR="00DD229F" w:rsidRDefault="00DD229F" w:rsidP="00DD229F">
      <w:pPr>
        <w:pStyle w:val="CommentText"/>
        <w:spacing w:line="360" w:lineRule="auto"/>
        <w:jc w:val="both"/>
        <w:rPr>
          <w:rFonts w:asciiTheme="minorBidi" w:hAnsiTheme="minorBidi"/>
          <w:sz w:val="24"/>
          <w:szCs w:val="24"/>
          <w:lang w:val="en-GB"/>
        </w:rPr>
      </w:pPr>
      <w:r w:rsidRPr="00D42962">
        <w:rPr>
          <w:rFonts w:asciiTheme="minorBidi" w:hAnsiTheme="minorBidi"/>
          <w:b/>
          <w:bCs/>
          <w:sz w:val="24"/>
          <w:szCs w:val="24"/>
          <w:lang w:val="en-GB"/>
        </w:rPr>
        <w:t>Date and language:</w:t>
      </w:r>
      <w:r>
        <w:rPr>
          <w:rFonts w:asciiTheme="minorBidi" w:hAnsiTheme="minorBidi"/>
          <w:sz w:val="24"/>
          <w:szCs w:val="24"/>
          <w:lang w:val="en-GB"/>
        </w:rPr>
        <w:t xml:space="preserve"> </w:t>
      </w:r>
      <w:r w:rsidRPr="00EF03E3">
        <w:rPr>
          <w:rFonts w:asciiTheme="minorBidi" w:hAnsiTheme="minorBidi"/>
          <w:sz w:val="24"/>
          <w:szCs w:val="24"/>
          <w:lang w:val="en-GB"/>
        </w:rPr>
        <w:t xml:space="preserve">Searches were limited to </w:t>
      </w:r>
      <w:r>
        <w:rPr>
          <w:rFonts w:asciiTheme="minorBidi" w:hAnsiTheme="minorBidi"/>
          <w:sz w:val="24"/>
          <w:szCs w:val="24"/>
          <w:lang w:val="en-GB"/>
        </w:rPr>
        <w:t xml:space="preserve">studies </w:t>
      </w:r>
      <w:r w:rsidRPr="00EF03E3">
        <w:rPr>
          <w:rFonts w:asciiTheme="minorBidi" w:hAnsiTheme="minorBidi"/>
          <w:sz w:val="24"/>
          <w:szCs w:val="24"/>
          <w:lang w:val="en-GB"/>
        </w:rPr>
        <w:t xml:space="preserve">published in English from </w:t>
      </w:r>
      <w:r>
        <w:rPr>
          <w:rFonts w:asciiTheme="minorBidi" w:hAnsiTheme="minorBidi"/>
          <w:sz w:val="24"/>
          <w:szCs w:val="24"/>
          <w:lang w:val="en-GB"/>
        </w:rPr>
        <w:t>2009</w:t>
      </w:r>
      <w:r w:rsidRPr="00421AE0">
        <w:rPr>
          <w:rFonts w:asciiTheme="minorBidi" w:hAnsiTheme="minorBidi"/>
          <w:sz w:val="24"/>
          <w:szCs w:val="24"/>
          <w:lang w:val="en-GB"/>
        </w:rPr>
        <w:t xml:space="preserve"> to 202</w:t>
      </w:r>
      <w:r>
        <w:rPr>
          <w:rFonts w:asciiTheme="minorBidi" w:hAnsiTheme="minorBidi"/>
          <w:sz w:val="24"/>
          <w:szCs w:val="24"/>
          <w:lang w:val="en-GB"/>
        </w:rPr>
        <w:t>3</w:t>
      </w:r>
      <w:r w:rsidRPr="008A72C7">
        <w:rPr>
          <w:rFonts w:asciiTheme="minorBidi" w:hAnsiTheme="minorBidi"/>
          <w:sz w:val="24"/>
          <w:szCs w:val="24"/>
          <w:lang w:val="en-GB"/>
        </w:rPr>
        <w:t>.</w:t>
      </w:r>
      <w:r>
        <w:rPr>
          <w:rFonts w:asciiTheme="minorBidi" w:hAnsiTheme="minorBidi"/>
          <w:sz w:val="24"/>
          <w:szCs w:val="24"/>
          <w:lang w:val="en-GB"/>
        </w:rPr>
        <w:t xml:space="preserve"> This is </w:t>
      </w:r>
      <w:r w:rsidRPr="008A72C7">
        <w:rPr>
          <w:rFonts w:asciiTheme="minorBidi" w:hAnsiTheme="minorBidi"/>
          <w:sz w:val="24"/>
          <w:szCs w:val="24"/>
          <w:lang w:val="en-GB"/>
        </w:rPr>
        <w:t xml:space="preserve">because </w:t>
      </w:r>
      <w:r>
        <w:rPr>
          <w:rFonts w:asciiTheme="minorBidi" w:hAnsiTheme="minorBidi"/>
          <w:sz w:val="24"/>
          <w:szCs w:val="24"/>
          <w:lang w:val="en-GB"/>
        </w:rPr>
        <w:t>the participation</w:t>
      </w:r>
      <w:r w:rsidRPr="008A72C7">
        <w:rPr>
          <w:rFonts w:asciiTheme="minorBidi" w:hAnsiTheme="minorBidi"/>
          <w:sz w:val="24"/>
          <w:szCs w:val="24"/>
          <w:lang w:val="en-GB"/>
        </w:rPr>
        <w:t xml:space="preserve"> </w:t>
      </w:r>
      <w:r>
        <w:rPr>
          <w:rFonts w:asciiTheme="minorBidi" w:hAnsiTheme="minorBidi"/>
          <w:sz w:val="24"/>
          <w:szCs w:val="24"/>
          <w:lang w:val="en-GB"/>
        </w:rPr>
        <w:t xml:space="preserve">of pharmacists </w:t>
      </w:r>
      <w:r w:rsidRPr="008A72C7">
        <w:rPr>
          <w:rFonts w:asciiTheme="minorBidi" w:hAnsiTheme="minorBidi"/>
          <w:sz w:val="24"/>
          <w:szCs w:val="24"/>
          <w:lang w:val="en-GB"/>
        </w:rPr>
        <w:t>in the provision of primary healthcare</w:t>
      </w:r>
      <w:r>
        <w:rPr>
          <w:rFonts w:asciiTheme="minorBidi" w:hAnsiTheme="minorBidi"/>
          <w:sz w:val="24"/>
          <w:szCs w:val="24"/>
          <w:lang w:val="en-GB"/>
        </w:rPr>
        <w:t xml:space="preserve"> can be</w:t>
      </w:r>
      <w:r w:rsidRPr="008A72C7">
        <w:rPr>
          <w:rFonts w:asciiTheme="minorBidi" w:hAnsiTheme="minorBidi"/>
          <w:sz w:val="24"/>
          <w:szCs w:val="24"/>
          <w:lang w:val="en-GB"/>
        </w:rPr>
        <w:t xml:space="preserve"> considered a new model of care</w:t>
      </w:r>
      <w:r>
        <w:rPr>
          <w:rFonts w:asciiTheme="minorBidi" w:hAnsiTheme="minorBidi"/>
          <w:sz w:val="24"/>
          <w:szCs w:val="24"/>
          <w:lang w:val="en-GB"/>
        </w:rPr>
        <w:t>, so studies more than 15 years old may not be reflective of current practice</w:t>
      </w:r>
      <w:r w:rsidRPr="008A72C7">
        <w:rPr>
          <w:rFonts w:asciiTheme="minorBidi" w:hAnsiTheme="minorBidi"/>
          <w:sz w:val="24"/>
          <w:szCs w:val="24"/>
          <w:lang w:val="en-GB"/>
        </w:rPr>
        <w:t xml:space="preserve">. </w:t>
      </w:r>
    </w:p>
    <w:p w14:paraId="4A501C65" w14:textId="77777777" w:rsidR="00DD229F" w:rsidRDefault="00DD229F" w:rsidP="00DD229F">
      <w:pPr>
        <w:rPr>
          <w:rFonts w:asciiTheme="minorBidi" w:hAnsiTheme="minorBidi"/>
          <w:sz w:val="24"/>
          <w:szCs w:val="24"/>
          <w:lang w:val="en-GB"/>
        </w:rPr>
      </w:pPr>
      <w:r>
        <w:rPr>
          <w:rFonts w:asciiTheme="minorBidi" w:hAnsiTheme="minorBidi"/>
          <w:sz w:val="24"/>
          <w:szCs w:val="24"/>
          <w:lang w:val="en-GB"/>
        </w:rPr>
        <w:br w:type="page"/>
      </w:r>
    </w:p>
    <w:p w14:paraId="7E5E2DD9" w14:textId="77777777" w:rsidR="00DD229F" w:rsidRDefault="00DD229F" w:rsidP="00DD229F">
      <w:pPr>
        <w:pStyle w:val="CommentText"/>
        <w:spacing w:line="360" w:lineRule="auto"/>
        <w:jc w:val="both"/>
        <w:rPr>
          <w:rFonts w:asciiTheme="minorBidi" w:hAnsiTheme="minorBidi"/>
          <w:sz w:val="24"/>
          <w:szCs w:val="24"/>
          <w:lang w:val="en-GB"/>
        </w:rPr>
      </w:pPr>
    </w:p>
    <w:p w14:paraId="7E11D1E4" w14:textId="751892BC" w:rsidR="00DD229F" w:rsidRPr="002361A9" w:rsidRDefault="002361A9" w:rsidP="002361A9">
      <w:pPr>
        <w:pStyle w:val="Caption"/>
        <w:rPr>
          <w:sz w:val="22"/>
          <w:szCs w:val="22"/>
        </w:rPr>
      </w:pPr>
      <w:bookmarkStart w:id="35" w:name="_Ref148112431"/>
      <w:bookmarkStart w:id="36" w:name="_Toc153894556"/>
      <w:r w:rsidRPr="002361A9">
        <w:rPr>
          <w:sz w:val="22"/>
          <w:szCs w:val="22"/>
        </w:rPr>
        <w:t xml:space="preserve">Table </w:t>
      </w:r>
      <w:r w:rsidRPr="002361A9">
        <w:rPr>
          <w:sz w:val="22"/>
          <w:szCs w:val="22"/>
        </w:rPr>
        <w:fldChar w:fldCharType="begin"/>
      </w:r>
      <w:r w:rsidRPr="002361A9">
        <w:rPr>
          <w:sz w:val="22"/>
          <w:szCs w:val="22"/>
        </w:rPr>
        <w:instrText xml:space="preserve"> SEQ Table \* ARABIC </w:instrText>
      </w:r>
      <w:r w:rsidRPr="002361A9">
        <w:rPr>
          <w:sz w:val="22"/>
          <w:szCs w:val="22"/>
        </w:rPr>
        <w:fldChar w:fldCharType="separate"/>
      </w:r>
      <w:r w:rsidR="009B31EB">
        <w:rPr>
          <w:noProof/>
          <w:sz w:val="22"/>
          <w:szCs w:val="22"/>
        </w:rPr>
        <w:t>2</w:t>
      </w:r>
      <w:r w:rsidRPr="002361A9">
        <w:rPr>
          <w:sz w:val="22"/>
          <w:szCs w:val="22"/>
        </w:rPr>
        <w:fldChar w:fldCharType="end"/>
      </w:r>
      <w:bookmarkEnd w:id="35"/>
      <w:r w:rsidR="00DD229F" w:rsidRPr="00820F5C">
        <w:rPr>
          <w:sz w:val="22"/>
          <w:szCs w:val="22"/>
        </w:rPr>
        <w:t>:</w:t>
      </w:r>
      <w:r w:rsidRPr="00820F5C">
        <w:rPr>
          <w:sz w:val="22"/>
          <w:szCs w:val="22"/>
        </w:rPr>
        <w:t xml:space="preserve"> </w:t>
      </w:r>
      <w:r w:rsidR="00797733" w:rsidRPr="00820F5C">
        <w:rPr>
          <w:sz w:val="22"/>
          <w:szCs w:val="22"/>
        </w:rPr>
        <w:t>The inclusion criteria for the review</w:t>
      </w:r>
      <w:bookmarkEnd w:id="36"/>
      <w:r w:rsidR="00797733" w:rsidRPr="007323E7">
        <w:rPr>
          <w:rFonts w:asciiTheme="minorBidi" w:hAnsiTheme="minorBidi"/>
          <w:sz w:val="24"/>
          <w:szCs w:val="24"/>
          <w:lang w:val="en-GB"/>
        </w:rPr>
        <w:t xml:space="preserve"> </w:t>
      </w:r>
    </w:p>
    <w:tbl>
      <w:tblPr>
        <w:tblW w:w="9351" w:type="dxa"/>
        <w:shd w:val="clear" w:color="auto" w:fill="FFFFFF"/>
        <w:tblCellMar>
          <w:left w:w="0" w:type="dxa"/>
          <w:right w:w="0" w:type="dxa"/>
        </w:tblCellMar>
        <w:tblLook w:val="04A0" w:firstRow="1" w:lastRow="0" w:firstColumn="1" w:lastColumn="0" w:noHBand="0" w:noVBand="1"/>
      </w:tblPr>
      <w:tblGrid>
        <w:gridCol w:w="2263"/>
        <w:gridCol w:w="7088"/>
      </w:tblGrid>
      <w:tr w:rsidR="008F16B4" w:rsidRPr="008F16B4" w14:paraId="076722B1" w14:textId="77777777" w:rsidTr="00282204">
        <w:tc>
          <w:tcPr>
            <w:tcW w:w="226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AE25F8"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b/>
                <w:bCs/>
              </w:rPr>
              <w:t>Population</w:t>
            </w:r>
          </w:p>
        </w:tc>
        <w:tc>
          <w:tcPr>
            <w:tcW w:w="70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FF3649A"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Diabetes management</w:t>
            </w:r>
          </w:p>
        </w:tc>
      </w:tr>
      <w:tr w:rsidR="008F16B4" w:rsidRPr="008F16B4" w14:paraId="728B8860" w14:textId="77777777" w:rsidTr="00282204">
        <w:tc>
          <w:tcPr>
            <w:tcW w:w="22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AAA35D"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b/>
                <w:bCs/>
              </w:rPr>
              <w:t>Setting</w:t>
            </w:r>
          </w:p>
        </w:tc>
        <w:tc>
          <w:tcPr>
            <w:tcW w:w="7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49F011"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Primary care</w:t>
            </w:r>
          </w:p>
        </w:tc>
      </w:tr>
      <w:tr w:rsidR="008F16B4" w:rsidRPr="008F16B4" w14:paraId="563E0C9E" w14:textId="77777777" w:rsidTr="00282204">
        <w:tc>
          <w:tcPr>
            <w:tcW w:w="22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FBC0A9" w14:textId="5CB9FE7D"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b/>
                <w:bCs/>
              </w:rPr>
              <w:t xml:space="preserve">Intervention or </w:t>
            </w:r>
            <w:r w:rsidR="00E81257" w:rsidRPr="007A3EF4">
              <w:rPr>
                <w:rFonts w:ascii="Calibri" w:eastAsia="Times New Roman" w:hAnsi="Calibri" w:cs="Calibri"/>
                <w:b/>
                <w:bCs/>
              </w:rPr>
              <w:t>exposure</w:t>
            </w:r>
          </w:p>
        </w:tc>
        <w:tc>
          <w:tcPr>
            <w:tcW w:w="7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B01E9"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 Role or involvement of pharmacists in diabetes management</w:t>
            </w:r>
          </w:p>
          <w:p w14:paraId="1D2544DA"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 xml:space="preserve">- Perceptions of stakeholders about the role or involvement of pharmacists in diabetes management </w:t>
            </w:r>
          </w:p>
          <w:p w14:paraId="39CF26C1"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 Barriers and facilitators to pharmacist involvement in diabetes management</w:t>
            </w:r>
          </w:p>
          <w:p w14:paraId="5B0E7F7F"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 xml:space="preserve">- Impact of pharmacist involvement and pharmacist interventions in diabetes management. </w:t>
            </w:r>
          </w:p>
        </w:tc>
      </w:tr>
      <w:tr w:rsidR="008F16B4" w:rsidRPr="008F16B4" w14:paraId="7FCEA224" w14:textId="77777777" w:rsidTr="00282204">
        <w:tc>
          <w:tcPr>
            <w:tcW w:w="22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4CC470"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b/>
                <w:bCs/>
              </w:rPr>
              <w:t>Outcomes</w:t>
            </w:r>
          </w:p>
        </w:tc>
        <w:tc>
          <w:tcPr>
            <w:tcW w:w="7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18D0E7"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 First three review questions: Data (qualitative or quantitative) on the role or involvement of pharmacists in diabetes management, perceptions of stakeholders, and barriers and facilitators</w:t>
            </w:r>
          </w:p>
          <w:p w14:paraId="5413346A"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 Impact of pharmacist involvement and interventions: clinical, economic, and humanistic outcomes</w:t>
            </w:r>
          </w:p>
        </w:tc>
      </w:tr>
      <w:tr w:rsidR="008F16B4" w:rsidRPr="008F16B4" w14:paraId="25CA0B26" w14:textId="77777777" w:rsidTr="00282204">
        <w:tc>
          <w:tcPr>
            <w:tcW w:w="22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2F44E7"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b/>
                <w:bCs/>
              </w:rPr>
              <w:t>Study designs</w:t>
            </w:r>
          </w:p>
        </w:tc>
        <w:tc>
          <w:tcPr>
            <w:tcW w:w="7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731547"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 First three review questions: Any study types, including quantitative and qualitative studies  </w:t>
            </w:r>
          </w:p>
          <w:p w14:paraId="670429F2"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 Impact of pharmacist involvement and interventions: Systematic reviews, RCTs, studies with control group or baseline comparison [prioritised systematic reviews and meta-analyses]</w:t>
            </w:r>
          </w:p>
        </w:tc>
      </w:tr>
      <w:tr w:rsidR="008F16B4" w:rsidRPr="008F16B4" w14:paraId="27BC2815" w14:textId="77777777" w:rsidTr="00282204">
        <w:tc>
          <w:tcPr>
            <w:tcW w:w="22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1A694D"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b/>
                <w:bCs/>
              </w:rPr>
              <w:t>Year</w:t>
            </w:r>
          </w:p>
        </w:tc>
        <w:tc>
          <w:tcPr>
            <w:tcW w:w="7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46872A"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 xml:space="preserve">2009 to 2023 </w:t>
            </w:r>
          </w:p>
        </w:tc>
      </w:tr>
      <w:tr w:rsidR="008F16B4" w:rsidRPr="008F16B4" w14:paraId="12232E8C" w14:textId="77777777" w:rsidTr="00282204">
        <w:tc>
          <w:tcPr>
            <w:tcW w:w="226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5A6E97"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b/>
                <w:bCs/>
              </w:rPr>
              <w:t>Language</w:t>
            </w:r>
          </w:p>
        </w:tc>
        <w:tc>
          <w:tcPr>
            <w:tcW w:w="7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0518334" w14:textId="77777777" w:rsidR="00DD229F" w:rsidRPr="007A3EF4" w:rsidRDefault="00DD229F" w:rsidP="00282204">
            <w:pPr>
              <w:spacing w:after="0" w:line="240" w:lineRule="auto"/>
              <w:rPr>
                <w:rFonts w:ascii="Calibri" w:eastAsia="Times New Roman" w:hAnsi="Calibri" w:cs="Calibri"/>
              </w:rPr>
            </w:pPr>
            <w:r w:rsidRPr="007A3EF4">
              <w:rPr>
                <w:rFonts w:ascii="Calibri" w:eastAsia="Times New Roman" w:hAnsi="Calibri" w:cs="Calibri"/>
              </w:rPr>
              <w:t>English language</w:t>
            </w:r>
          </w:p>
        </w:tc>
      </w:tr>
    </w:tbl>
    <w:p w14:paraId="6ABD5D5D" w14:textId="77777777" w:rsidR="00DD229F" w:rsidRDefault="00DD229F" w:rsidP="00DD229F">
      <w:pPr>
        <w:pStyle w:val="CommentText"/>
        <w:spacing w:line="360" w:lineRule="auto"/>
        <w:jc w:val="both"/>
        <w:rPr>
          <w:rFonts w:asciiTheme="minorBidi" w:hAnsiTheme="minorBidi"/>
          <w:sz w:val="24"/>
          <w:szCs w:val="24"/>
          <w:lang w:val="en-GB"/>
        </w:rPr>
      </w:pPr>
    </w:p>
    <w:p w14:paraId="7DB3B4F0" w14:textId="77777777" w:rsidR="00DD229F" w:rsidRDefault="00DD229F" w:rsidP="00DD229F">
      <w:pPr>
        <w:pStyle w:val="Heading3"/>
        <w:spacing w:line="257" w:lineRule="auto"/>
        <w:ind w:left="504"/>
        <w:rPr>
          <w:lang w:val="en-GB"/>
        </w:rPr>
      </w:pPr>
      <w:bookmarkStart w:id="37" w:name="_Toc153894143"/>
      <w:r>
        <w:rPr>
          <w:lang w:val="en-GB"/>
        </w:rPr>
        <w:t>Data sources</w:t>
      </w:r>
      <w:bookmarkEnd w:id="37"/>
      <w:r>
        <w:rPr>
          <w:lang w:val="en-GB"/>
        </w:rPr>
        <w:t xml:space="preserve"> </w:t>
      </w:r>
    </w:p>
    <w:p w14:paraId="72315A90" w14:textId="30948BBF" w:rsidR="00DD229F" w:rsidRDefault="00DD229F" w:rsidP="003341B8">
      <w:pPr>
        <w:spacing w:line="360" w:lineRule="auto"/>
        <w:jc w:val="both"/>
        <w:rPr>
          <w:rFonts w:asciiTheme="minorBidi" w:hAnsiTheme="minorBidi"/>
          <w:sz w:val="24"/>
          <w:szCs w:val="24"/>
          <w:lang w:val="en-GB"/>
        </w:rPr>
      </w:pPr>
      <w:r w:rsidRPr="008E38CF">
        <w:rPr>
          <w:rFonts w:asciiTheme="minorBidi" w:hAnsiTheme="minorBidi"/>
          <w:sz w:val="24"/>
          <w:szCs w:val="24"/>
          <w:lang w:val="en-GB"/>
        </w:rPr>
        <w:t xml:space="preserve">The following databases were searched: Scopus, Medline via Ovid and PubMed. </w:t>
      </w:r>
      <w:r w:rsidRPr="004C5C5E">
        <w:rPr>
          <w:rFonts w:asciiTheme="minorBidi" w:hAnsiTheme="minorBidi"/>
          <w:sz w:val="24"/>
          <w:szCs w:val="24"/>
          <w:lang w:val="en-GB"/>
        </w:rPr>
        <w:t>These databases are considered appropriate for retrieving relevant articles</w:t>
      </w:r>
      <w:r w:rsidR="004D5B20">
        <w:rPr>
          <w:rFonts w:asciiTheme="minorBidi" w:hAnsiTheme="minorBidi"/>
          <w:sz w:val="24"/>
          <w:szCs w:val="24"/>
          <w:lang w:val="en-GB"/>
        </w:rPr>
        <w:t xml:space="preserve"> </w:t>
      </w:r>
      <w:r w:rsidR="00D36813" w:rsidRPr="004C5C5E">
        <w:rPr>
          <w:rFonts w:asciiTheme="minorBidi" w:hAnsiTheme="minorBidi"/>
          <w:sz w:val="24"/>
          <w:szCs w:val="24"/>
          <w:lang w:val="en-GB"/>
        </w:rPr>
        <w:t xml:space="preserve">as </w:t>
      </w:r>
      <w:r w:rsidR="004D5B20" w:rsidRPr="004C5C5E">
        <w:rPr>
          <w:rFonts w:asciiTheme="minorBidi" w:hAnsiTheme="minorBidi"/>
          <w:sz w:val="24"/>
          <w:szCs w:val="24"/>
          <w:lang w:val="en-GB"/>
        </w:rPr>
        <w:t>they</w:t>
      </w:r>
      <w:r w:rsidR="00D36813" w:rsidRPr="004C5C5E">
        <w:rPr>
          <w:rFonts w:asciiTheme="minorBidi" w:hAnsiTheme="minorBidi"/>
          <w:sz w:val="24"/>
          <w:szCs w:val="24"/>
          <w:lang w:val="en-GB"/>
        </w:rPr>
        <w:t xml:space="preserve"> are the major health related databases that are available in the </w:t>
      </w:r>
      <w:r w:rsidR="003341B8" w:rsidRPr="008E38CF">
        <w:rPr>
          <w:rFonts w:asciiTheme="minorBidi" w:hAnsiTheme="minorBidi"/>
          <w:sz w:val="24"/>
          <w:szCs w:val="24"/>
          <w:lang w:val="en-GB"/>
        </w:rPr>
        <w:t xml:space="preserve">the </w:t>
      </w:r>
      <w:r w:rsidR="003341B8">
        <w:rPr>
          <w:rFonts w:asciiTheme="minorBidi" w:hAnsiTheme="minorBidi"/>
          <w:sz w:val="24"/>
          <w:szCs w:val="24"/>
          <w:lang w:val="en-GB"/>
        </w:rPr>
        <w:t>F</w:t>
      </w:r>
      <w:r w:rsidR="003341B8" w:rsidRPr="008E38CF">
        <w:rPr>
          <w:rFonts w:asciiTheme="minorBidi" w:hAnsiTheme="minorBidi"/>
          <w:sz w:val="24"/>
          <w:szCs w:val="24"/>
          <w:lang w:val="en-GB"/>
        </w:rPr>
        <w:t xml:space="preserve">aculty of </w:t>
      </w:r>
      <w:r w:rsidR="003341B8">
        <w:rPr>
          <w:rFonts w:asciiTheme="minorBidi" w:hAnsiTheme="minorBidi"/>
          <w:sz w:val="24"/>
          <w:szCs w:val="24"/>
          <w:lang w:val="en-GB"/>
        </w:rPr>
        <w:t>M</w:t>
      </w:r>
      <w:r w:rsidR="003341B8" w:rsidRPr="008E38CF">
        <w:rPr>
          <w:rFonts w:asciiTheme="minorBidi" w:hAnsiTheme="minorBidi"/>
          <w:sz w:val="24"/>
          <w:szCs w:val="24"/>
          <w:lang w:val="en-GB"/>
        </w:rPr>
        <w:t xml:space="preserve">edicine, </w:t>
      </w:r>
      <w:r w:rsidR="003341B8">
        <w:rPr>
          <w:rFonts w:asciiTheme="minorBidi" w:hAnsiTheme="minorBidi"/>
          <w:sz w:val="24"/>
          <w:szCs w:val="24"/>
          <w:lang w:val="en-GB"/>
        </w:rPr>
        <w:t>D</w:t>
      </w:r>
      <w:r w:rsidR="003341B8" w:rsidRPr="008E38CF">
        <w:rPr>
          <w:rFonts w:asciiTheme="minorBidi" w:hAnsiTheme="minorBidi"/>
          <w:sz w:val="24"/>
          <w:szCs w:val="24"/>
          <w:lang w:val="en-GB"/>
        </w:rPr>
        <w:t xml:space="preserve">entistry, and </w:t>
      </w:r>
      <w:r w:rsidR="003341B8">
        <w:rPr>
          <w:rFonts w:asciiTheme="minorBidi" w:hAnsiTheme="minorBidi"/>
          <w:sz w:val="24"/>
          <w:szCs w:val="24"/>
          <w:lang w:val="en-GB"/>
        </w:rPr>
        <w:t>H</w:t>
      </w:r>
      <w:r w:rsidR="003341B8" w:rsidRPr="008E38CF">
        <w:rPr>
          <w:rFonts w:asciiTheme="minorBidi" w:hAnsiTheme="minorBidi"/>
          <w:sz w:val="24"/>
          <w:szCs w:val="24"/>
          <w:lang w:val="en-GB"/>
        </w:rPr>
        <w:t xml:space="preserve">ealth research school </w:t>
      </w:r>
      <w:r w:rsidR="00D268CE">
        <w:rPr>
          <w:rFonts w:asciiTheme="minorBidi" w:hAnsiTheme="minorBidi"/>
          <w:sz w:val="24"/>
          <w:szCs w:val="24"/>
          <w:lang w:val="en-GB"/>
        </w:rPr>
        <w:t>(</w:t>
      </w:r>
      <w:r w:rsidR="00D36813" w:rsidRPr="00922F0D">
        <w:rPr>
          <w:rFonts w:asciiTheme="minorBidi" w:hAnsiTheme="minorBidi"/>
          <w:sz w:val="24"/>
          <w:szCs w:val="24"/>
          <w:lang w:val="en-GB"/>
        </w:rPr>
        <w:t>FMDH</w:t>
      </w:r>
      <w:r w:rsidR="00D268CE">
        <w:rPr>
          <w:rFonts w:asciiTheme="minorBidi" w:hAnsiTheme="minorBidi"/>
          <w:sz w:val="24"/>
          <w:szCs w:val="24"/>
          <w:lang w:val="en-GB"/>
        </w:rPr>
        <w:t>)</w:t>
      </w:r>
      <w:r w:rsidR="00D36813" w:rsidRPr="00922F0D">
        <w:rPr>
          <w:rFonts w:asciiTheme="minorBidi" w:hAnsiTheme="minorBidi"/>
          <w:sz w:val="24"/>
          <w:szCs w:val="24"/>
          <w:lang w:val="en-GB"/>
        </w:rPr>
        <w:t xml:space="preserve"> electronic library</w:t>
      </w:r>
      <w:r w:rsidR="00D268CE">
        <w:rPr>
          <w:rFonts w:asciiTheme="minorBidi" w:hAnsiTheme="minorBidi"/>
          <w:sz w:val="24"/>
          <w:szCs w:val="24"/>
          <w:lang w:val="en-GB"/>
        </w:rPr>
        <w:t>.</w:t>
      </w:r>
      <w:r w:rsidR="00D36813" w:rsidRPr="00922F0D">
        <w:rPr>
          <w:rFonts w:asciiTheme="minorBidi" w:hAnsiTheme="minorBidi"/>
          <w:sz w:val="24"/>
          <w:szCs w:val="24"/>
          <w:lang w:val="en-GB"/>
        </w:rPr>
        <w:t xml:space="preserve"> </w:t>
      </w:r>
      <w:r w:rsidRPr="008E38CF">
        <w:rPr>
          <w:rFonts w:asciiTheme="minorBidi" w:hAnsiTheme="minorBidi"/>
          <w:sz w:val="24"/>
          <w:szCs w:val="24"/>
          <w:lang w:val="en-GB"/>
        </w:rPr>
        <w:t xml:space="preserve"> </w:t>
      </w:r>
    </w:p>
    <w:p w14:paraId="6A6C3E6C" w14:textId="58E51EA7" w:rsidR="00DD229F" w:rsidRDefault="004A4B72" w:rsidP="00DD229F">
      <w:pPr>
        <w:spacing w:line="360" w:lineRule="auto"/>
        <w:jc w:val="both"/>
        <w:rPr>
          <w:rFonts w:asciiTheme="minorBidi" w:hAnsiTheme="minorBidi"/>
          <w:sz w:val="24"/>
          <w:szCs w:val="24"/>
          <w:lang w:val="en-GB"/>
        </w:rPr>
      </w:pPr>
      <w:r w:rsidRPr="004A4B72">
        <w:rPr>
          <w:rFonts w:asciiTheme="minorBidi" w:hAnsiTheme="minorBidi"/>
          <w:sz w:val="24"/>
          <w:szCs w:val="24"/>
          <w:lang w:val="en-GB"/>
        </w:rPr>
        <w:t>Google Scholar was also searched to find studies relevant to Saudi Arabia, as limited studies were found from the three databases mentioned above.</w:t>
      </w:r>
    </w:p>
    <w:p w14:paraId="55A395AB" w14:textId="77777777" w:rsidR="00DD229F" w:rsidRPr="002039E2" w:rsidRDefault="00DD229F" w:rsidP="00DD229F">
      <w:pPr>
        <w:pStyle w:val="Heading3"/>
        <w:spacing w:line="257" w:lineRule="auto"/>
        <w:ind w:left="504"/>
        <w:rPr>
          <w:lang w:val="en-GB"/>
        </w:rPr>
      </w:pPr>
      <w:bookmarkStart w:id="38" w:name="_Toc153894144"/>
      <w:r w:rsidRPr="002039E2">
        <w:rPr>
          <w:lang w:val="en-GB"/>
        </w:rPr>
        <w:t>Literature search strategy</w:t>
      </w:r>
      <w:bookmarkEnd w:id="38"/>
    </w:p>
    <w:p w14:paraId="7FB19231" w14:textId="2D20D937" w:rsidR="00DD229F" w:rsidRDefault="00DD229F" w:rsidP="00520DD0">
      <w:pPr>
        <w:pStyle w:val="CommentText"/>
        <w:spacing w:line="360" w:lineRule="auto"/>
        <w:jc w:val="both"/>
        <w:rPr>
          <w:rFonts w:asciiTheme="minorBidi" w:hAnsiTheme="minorBidi"/>
          <w:sz w:val="24"/>
          <w:szCs w:val="24"/>
        </w:rPr>
      </w:pPr>
      <w:r w:rsidRPr="002C7CE7">
        <w:rPr>
          <w:rFonts w:asciiTheme="minorBidi" w:hAnsiTheme="minorBidi"/>
          <w:sz w:val="24"/>
          <w:szCs w:val="24"/>
        </w:rPr>
        <w:t xml:space="preserve">Planning an effective </w:t>
      </w:r>
      <w:r>
        <w:rPr>
          <w:rFonts w:asciiTheme="minorBidi" w:hAnsiTheme="minorBidi"/>
          <w:sz w:val="24"/>
          <w:szCs w:val="24"/>
        </w:rPr>
        <w:t>literature search</w:t>
      </w:r>
      <w:r w:rsidRPr="002C7CE7">
        <w:rPr>
          <w:rFonts w:asciiTheme="minorBidi" w:hAnsiTheme="minorBidi"/>
          <w:sz w:val="24"/>
          <w:szCs w:val="24"/>
        </w:rPr>
        <w:t xml:space="preserve"> </w:t>
      </w:r>
      <w:r>
        <w:rPr>
          <w:rFonts w:asciiTheme="minorBidi" w:hAnsiTheme="minorBidi"/>
          <w:sz w:val="24"/>
          <w:szCs w:val="24"/>
        </w:rPr>
        <w:t>involved</w:t>
      </w:r>
      <w:r w:rsidRPr="002C7CE7">
        <w:rPr>
          <w:rFonts w:asciiTheme="minorBidi" w:hAnsiTheme="minorBidi"/>
          <w:sz w:val="24"/>
          <w:szCs w:val="24"/>
        </w:rPr>
        <w:t xml:space="preserve"> </w:t>
      </w:r>
      <w:r>
        <w:rPr>
          <w:rFonts w:asciiTheme="minorBidi" w:hAnsiTheme="minorBidi"/>
          <w:sz w:val="24"/>
          <w:szCs w:val="24"/>
        </w:rPr>
        <w:t>two</w:t>
      </w:r>
      <w:r w:rsidRPr="002C7CE7">
        <w:rPr>
          <w:rFonts w:asciiTheme="minorBidi" w:hAnsiTheme="minorBidi"/>
          <w:sz w:val="24"/>
          <w:szCs w:val="24"/>
        </w:rPr>
        <w:t xml:space="preserve"> basic steps</w:t>
      </w:r>
      <w:r>
        <w:rPr>
          <w:rFonts w:asciiTheme="minorBidi" w:hAnsiTheme="minorBidi"/>
          <w:sz w:val="24"/>
          <w:szCs w:val="24"/>
        </w:rPr>
        <w:t xml:space="preserve">: specification of key concepts, and identification of </w:t>
      </w:r>
      <w:r w:rsidRPr="002C7CE7">
        <w:rPr>
          <w:rFonts w:asciiTheme="minorBidi" w:hAnsiTheme="minorBidi"/>
          <w:sz w:val="24"/>
          <w:szCs w:val="24"/>
        </w:rPr>
        <w:t>rel</w:t>
      </w:r>
      <w:r>
        <w:rPr>
          <w:rFonts w:asciiTheme="minorBidi" w:hAnsiTheme="minorBidi"/>
          <w:sz w:val="24"/>
          <w:szCs w:val="24"/>
        </w:rPr>
        <w:t>evant</w:t>
      </w:r>
      <w:r w:rsidRPr="002C7CE7">
        <w:rPr>
          <w:rFonts w:asciiTheme="minorBidi" w:hAnsiTheme="minorBidi"/>
          <w:sz w:val="24"/>
          <w:szCs w:val="24"/>
        </w:rPr>
        <w:t xml:space="preserve"> keywords</w:t>
      </w:r>
      <w:r>
        <w:rPr>
          <w:rFonts w:asciiTheme="minorBidi" w:hAnsiTheme="minorBidi"/>
          <w:sz w:val="24"/>
          <w:szCs w:val="24"/>
        </w:rPr>
        <w:t xml:space="preserve"> relating to these key concepts.</w:t>
      </w:r>
      <w:r w:rsidRPr="001634F7">
        <w:rPr>
          <w:rFonts w:asciiTheme="minorBidi" w:hAnsiTheme="minorBidi"/>
          <w:sz w:val="24"/>
          <w:szCs w:val="24"/>
        </w:rPr>
        <w:t xml:space="preserve"> </w:t>
      </w:r>
      <w:r>
        <w:rPr>
          <w:rFonts w:asciiTheme="minorBidi" w:hAnsiTheme="minorBidi"/>
          <w:sz w:val="24"/>
          <w:szCs w:val="24"/>
        </w:rPr>
        <w:t xml:space="preserve">MeSH terms and free text terms were </w:t>
      </w:r>
      <w:r w:rsidR="00520DD0">
        <w:rPr>
          <w:rFonts w:asciiTheme="minorBidi" w:hAnsiTheme="minorBidi"/>
          <w:sz w:val="24"/>
          <w:szCs w:val="24"/>
        </w:rPr>
        <w:t>used.</w:t>
      </w:r>
      <w:r w:rsidR="00520DD0">
        <w:rPr>
          <w:rStyle w:val="CommentReference"/>
        </w:rPr>
        <w:t xml:space="preserve"> </w:t>
      </w:r>
      <w:r w:rsidR="00520DD0">
        <w:rPr>
          <w:rFonts w:asciiTheme="minorBidi" w:hAnsiTheme="minorBidi"/>
          <w:sz w:val="24"/>
          <w:szCs w:val="24"/>
        </w:rPr>
        <w:t>See</w:t>
      </w:r>
      <w:r w:rsidR="002673BF">
        <w:rPr>
          <w:rFonts w:asciiTheme="minorBidi" w:hAnsiTheme="minorBidi"/>
          <w:sz w:val="24"/>
          <w:szCs w:val="24"/>
        </w:rPr>
        <w:t xml:space="preserve"> </w:t>
      </w:r>
      <w:r w:rsidR="00520DD0" w:rsidRPr="00520DD0">
        <w:rPr>
          <w:rFonts w:asciiTheme="minorBidi" w:hAnsiTheme="minorBidi"/>
          <w:color w:val="1F3864" w:themeColor="accent1" w:themeShade="80"/>
          <w:sz w:val="24"/>
          <w:szCs w:val="24"/>
          <w:lang w:val="en-GB"/>
        </w:rPr>
        <w:t>(</w:t>
      </w:r>
      <w:r w:rsidR="00005E28" w:rsidRPr="00520DD0">
        <w:rPr>
          <w:rFonts w:asciiTheme="minorBidi" w:hAnsiTheme="minorBidi"/>
          <w:color w:val="1F3864" w:themeColor="accent1" w:themeShade="80"/>
          <w:sz w:val="24"/>
          <w:szCs w:val="24"/>
          <w:lang w:val="en-GB"/>
        </w:rPr>
        <w:fldChar w:fldCharType="begin"/>
      </w:r>
      <w:r w:rsidR="00005E28" w:rsidRPr="00520DD0">
        <w:rPr>
          <w:rFonts w:asciiTheme="minorBidi" w:hAnsiTheme="minorBidi"/>
          <w:color w:val="1F3864" w:themeColor="accent1" w:themeShade="80"/>
          <w:sz w:val="24"/>
          <w:szCs w:val="24"/>
          <w:lang w:val="en-GB"/>
        </w:rPr>
        <w:instrText xml:space="preserve"> REF _Ref148512570 \h </w:instrText>
      </w:r>
      <w:r w:rsidR="00520DD0">
        <w:rPr>
          <w:rFonts w:asciiTheme="minorBidi" w:hAnsiTheme="minorBidi"/>
          <w:color w:val="1F3864" w:themeColor="accent1" w:themeShade="80"/>
          <w:sz w:val="24"/>
          <w:szCs w:val="24"/>
          <w:lang w:val="en-GB"/>
        </w:rPr>
        <w:instrText xml:space="preserve"> \* MERGEFORMAT </w:instrText>
      </w:r>
      <w:r w:rsidR="00005E28" w:rsidRPr="00520DD0">
        <w:rPr>
          <w:rFonts w:asciiTheme="minorBidi" w:hAnsiTheme="minorBidi"/>
          <w:color w:val="1F3864" w:themeColor="accent1" w:themeShade="80"/>
          <w:sz w:val="24"/>
          <w:szCs w:val="24"/>
          <w:lang w:val="en-GB"/>
        </w:rPr>
      </w:r>
      <w:r w:rsidR="00005E28" w:rsidRPr="00520DD0">
        <w:rPr>
          <w:rFonts w:asciiTheme="minorBidi" w:hAnsiTheme="minorBidi"/>
          <w:color w:val="1F3864" w:themeColor="accent1" w:themeShade="80"/>
          <w:sz w:val="24"/>
          <w:szCs w:val="24"/>
          <w:lang w:val="en-GB"/>
        </w:rPr>
        <w:fldChar w:fldCharType="separate"/>
      </w:r>
      <w:r w:rsidR="00005E28" w:rsidRPr="00520DD0">
        <w:rPr>
          <w:rFonts w:asciiTheme="minorBidi" w:hAnsiTheme="minorBidi"/>
          <w:color w:val="1F3864" w:themeColor="accent1" w:themeShade="80"/>
          <w:sz w:val="24"/>
          <w:szCs w:val="24"/>
          <w:lang w:val="en-GB"/>
        </w:rPr>
        <w:t>Appendix E</w:t>
      </w:r>
      <w:r w:rsidR="00520DD0" w:rsidRPr="00520DD0">
        <w:rPr>
          <w:rFonts w:asciiTheme="minorBidi" w:hAnsiTheme="minorBidi"/>
          <w:color w:val="1F3864" w:themeColor="accent1" w:themeShade="80"/>
          <w:sz w:val="24"/>
          <w:szCs w:val="24"/>
          <w:lang w:val="en-GB"/>
        </w:rPr>
        <w:t>)</w:t>
      </w:r>
      <w:r w:rsidR="00005E28" w:rsidRPr="00520DD0">
        <w:rPr>
          <w:rFonts w:asciiTheme="minorBidi" w:hAnsiTheme="minorBidi"/>
          <w:color w:val="1F3864" w:themeColor="accent1" w:themeShade="80"/>
          <w:sz w:val="24"/>
          <w:szCs w:val="24"/>
          <w:lang w:val="en-GB"/>
        </w:rPr>
        <w:fldChar w:fldCharType="end"/>
      </w:r>
      <w:r w:rsidR="00520DD0">
        <w:rPr>
          <w:rFonts w:asciiTheme="minorBidi" w:hAnsiTheme="minorBidi"/>
          <w:sz w:val="24"/>
          <w:szCs w:val="24"/>
        </w:rPr>
        <w:t xml:space="preserve"> </w:t>
      </w:r>
    </w:p>
    <w:p w14:paraId="5A42502B" w14:textId="32E2CE8C" w:rsidR="00DD229F" w:rsidRDefault="00DD229F" w:rsidP="00DD229F">
      <w:pPr>
        <w:pStyle w:val="CommentText"/>
        <w:spacing w:line="360" w:lineRule="auto"/>
        <w:jc w:val="both"/>
        <w:rPr>
          <w:rFonts w:asciiTheme="minorBidi" w:hAnsiTheme="minorBidi"/>
          <w:sz w:val="24"/>
          <w:szCs w:val="24"/>
        </w:rPr>
      </w:pPr>
      <w:r w:rsidRPr="00384B46">
        <w:rPr>
          <w:rFonts w:asciiTheme="minorBidi" w:hAnsiTheme="minorBidi"/>
          <w:sz w:val="24"/>
          <w:szCs w:val="24"/>
          <w:lang w:val="en-GB"/>
        </w:rPr>
        <w:t xml:space="preserve">The literature search was undertaken in two </w:t>
      </w:r>
      <w:r>
        <w:rPr>
          <w:rFonts w:asciiTheme="minorBidi" w:hAnsiTheme="minorBidi"/>
          <w:sz w:val="24"/>
          <w:szCs w:val="24"/>
          <w:lang w:val="en-GB"/>
        </w:rPr>
        <w:t>phases</w:t>
      </w:r>
      <w:r w:rsidRPr="00384B46">
        <w:rPr>
          <w:rFonts w:asciiTheme="minorBidi" w:hAnsiTheme="minorBidi"/>
          <w:sz w:val="24"/>
          <w:szCs w:val="24"/>
          <w:lang w:val="en-GB"/>
        </w:rPr>
        <w:t>.</w:t>
      </w:r>
      <w:r>
        <w:rPr>
          <w:rFonts w:asciiTheme="minorBidi" w:hAnsiTheme="minorBidi"/>
          <w:sz w:val="24"/>
          <w:szCs w:val="24"/>
          <w:lang w:val="en-GB"/>
        </w:rPr>
        <w:t xml:space="preserve"> The first phase involved the following three search concepts: </w:t>
      </w:r>
      <w:r w:rsidRPr="002C7CE7">
        <w:rPr>
          <w:rFonts w:asciiTheme="minorBidi" w:hAnsiTheme="minorBidi"/>
          <w:sz w:val="24"/>
          <w:szCs w:val="24"/>
        </w:rPr>
        <w:t>pharmacist, primary healthcare settings, and diabetes</w:t>
      </w:r>
      <w:r>
        <w:rPr>
          <w:rFonts w:asciiTheme="minorBidi" w:hAnsiTheme="minorBidi"/>
          <w:sz w:val="24"/>
          <w:szCs w:val="24"/>
        </w:rPr>
        <w:t xml:space="preserve"> (</w:t>
      </w:r>
      <w:r w:rsidR="00554134">
        <w:rPr>
          <w:rFonts w:asciiTheme="minorBidi" w:hAnsiTheme="minorBidi"/>
          <w:sz w:val="24"/>
          <w:szCs w:val="24"/>
        </w:rPr>
        <w:fldChar w:fldCharType="begin"/>
      </w:r>
      <w:r w:rsidR="00554134">
        <w:rPr>
          <w:rFonts w:asciiTheme="minorBidi" w:hAnsiTheme="minorBidi"/>
          <w:sz w:val="24"/>
          <w:szCs w:val="24"/>
        </w:rPr>
        <w:instrText xml:space="preserve"> REF _Ref148112536 \h  \* MERGEFORMAT </w:instrText>
      </w:r>
      <w:r w:rsidR="00554134">
        <w:rPr>
          <w:rFonts w:asciiTheme="minorBidi" w:hAnsiTheme="minorBidi"/>
          <w:sz w:val="24"/>
          <w:szCs w:val="24"/>
        </w:rPr>
      </w:r>
      <w:r w:rsidR="00554134">
        <w:rPr>
          <w:rFonts w:asciiTheme="minorBidi" w:hAnsiTheme="minorBidi"/>
          <w:sz w:val="24"/>
          <w:szCs w:val="24"/>
        </w:rPr>
        <w:fldChar w:fldCharType="separate"/>
      </w:r>
      <w:r w:rsidR="00554134" w:rsidRPr="00554134">
        <w:rPr>
          <w:rFonts w:asciiTheme="minorBidi" w:hAnsiTheme="minorBidi"/>
          <w:sz w:val="24"/>
          <w:szCs w:val="24"/>
        </w:rPr>
        <w:t>Table 3</w:t>
      </w:r>
      <w:r w:rsidR="00554134">
        <w:rPr>
          <w:rFonts w:asciiTheme="minorBidi" w:hAnsiTheme="minorBidi"/>
          <w:sz w:val="24"/>
          <w:szCs w:val="24"/>
        </w:rPr>
        <w:fldChar w:fldCharType="end"/>
      </w:r>
      <w:r>
        <w:rPr>
          <w:rFonts w:asciiTheme="minorBidi" w:hAnsiTheme="minorBidi"/>
          <w:sz w:val="24"/>
          <w:szCs w:val="24"/>
        </w:rPr>
        <w:t>). These three concepts cover the Population, Setting and Intervention/</w:t>
      </w:r>
      <w:r w:rsidR="00156C16">
        <w:rPr>
          <w:rFonts w:asciiTheme="minorBidi" w:hAnsiTheme="minorBidi"/>
          <w:sz w:val="24"/>
          <w:szCs w:val="24"/>
        </w:rPr>
        <w:t>exposure</w:t>
      </w:r>
      <w:r>
        <w:rPr>
          <w:rFonts w:asciiTheme="minorBidi" w:hAnsiTheme="minorBidi"/>
          <w:sz w:val="24"/>
          <w:szCs w:val="24"/>
        </w:rPr>
        <w:t xml:space="preserve"> from the PICO</w:t>
      </w:r>
      <w:r w:rsidR="00E80B95">
        <w:rPr>
          <w:rFonts w:asciiTheme="minorBidi" w:hAnsiTheme="minorBidi"/>
          <w:sz w:val="24"/>
          <w:szCs w:val="24"/>
        </w:rPr>
        <w:t>S</w:t>
      </w:r>
      <w:r>
        <w:rPr>
          <w:rFonts w:asciiTheme="minorBidi" w:hAnsiTheme="minorBidi"/>
          <w:sz w:val="24"/>
          <w:szCs w:val="24"/>
        </w:rPr>
        <w:t xml:space="preserve"> structure in </w:t>
      </w:r>
      <w:r w:rsidR="00554134">
        <w:rPr>
          <w:rFonts w:asciiTheme="minorBidi" w:hAnsiTheme="minorBidi"/>
          <w:sz w:val="24"/>
          <w:szCs w:val="24"/>
        </w:rPr>
        <w:fldChar w:fldCharType="begin"/>
      </w:r>
      <w:r w:rsidR="00554134">
        <w:rPr>
          <w:rFonts w:asciiTheme="minorBidi" w:hAnsiTheme="minorBidi"/>
          <w:sz w:val="24"/>
          <w:szCs w:val="24"/>
        </w:rPr>
        <w:instrText xml:space="preserve"> REF _Ref148112431 \h </w:instrText>
      </w:r>
      <w:r w:rsidR="001301B3">
        <w:rPr>
          <w:rFonts w:asciiTheme="minorBidi" w:hAnsiTheme="minorBidi"/>
          <w:sz w:val="24"/>
          <w:szCs w:val="24"/>
        </w:rPr>
        <w:instrText xml:space="preserve"> \* MERGEFORMAT </w:instrText>
      </w:r>
      <w:r w:rsidR="00554134">
        <w:rPr>
          <w:rFonts w:asciiTheme="minorBidi" w:hAnsiTheme="minorBidi"/>
          <w:sz w:val="24"/>
          <w:szCs w:val="24"/>
        </w:rPr>
      </w:r>
      <w:r w:rsidR="00554134">
        <w:rPr>
          <w:rFonts w:asciiTheme="minorBidi" w:hAnsiTheme="minorBidi"/>
          <w:sz w:val="24"/>
          <w:szCs w:val="24"/>
        </w:rPr>
        <w:fldChar w:fldCharType="separate"/>
      </w:r>
      <w:r w:rsidR="00554134" w:rsidRPr="001301B3">
        <w:rPr>
          <w:rFonts w:asciiTheme="minorBidi" w:hAnsiTheme="minorBidi"/>
          <w:sz w:val="24"/>
          <w:szCs w:val="24"/>
        </w:rPr>
        <w:t>Table 2</w:t>
      </w:r>
      <w:r w:rsidR="00554134">
        <w:rPr>
          <w:rFonts w:asciiTheme="minorBidi" w:hAnsiTheme="minorBidi"/>
          <w:sz w:val="24"/>
          <w:szCs w:val="24"/>
        </w:rPr>
        <w:fldChar w:fldCharType="end"/>
      </w:r>
      <w:r>
        <w:rPr>
          <w:rFonts w:asciiTheme="minorBidi" w:hAnsiTheme="minorBidi"/>
          <w:sz w:val="24"/>
          <w:szCs w:val="24"/>
        </w:rPr>
        <w:t xml:space="preserve">. The search was not restricted to specific terms for Comparator, Outcome or Study Design. </w:t>
      </w:r>
    </w:p>
    <w:p w14:paraId="3D0A70E4" w14:textId="539ECDFB" w:rsidR="00DD229F" w:rsidRPr="001301B3" w:rsidRDefault="00DD229F" w:rsidP="00DD229F">
      <w:pPr>
        <w:pStyle w:val="CommentText"/>
        <w:spacing w:line="360" w:lineRule="auto"/>
        <w:jc w:val="both"/>
        <w:rPr>
          <w:rFonts w:asciiTheme="minorBidi" w:hAnsiTheme="minorBidi"/>
          <w:sz w:val="24"/>
          <w:szCs w:val="24"/>
        </w:rPr>
      </w:pPr>
      <w:r>
        <w:rPr>
          <w:rFonts w:asciiTheme="minorBidi" w:hAnsiTheme="minorBidi"/>
          <w:sz w:val="24"/>
          <w:szCs w:val="24"/>
        </w:rPr>
        <w:t xml:space="preserve">Because very few studies were identified from SA in the first phase, the second phase consisted of </w:t>
      </w:r>
      <w:r>
        <w:rPr>
          <w:rFonts w:asciiTheme="minorBidi" w:hAnsiTheme="minorBidi"/>
          <w:sz w:val="24"/>
          <w:szCs w:val="24"/>
          <w:lang w:val="en-GB"/>
        </w:rPr>
        <w:t>a</w:t>
      </w:r>
      <w:r w:rsidRPr="00384B46">
        <w:rPr>
          <w:rFonts w:asciiTheme="minorBidi" w:hAnsiTheme="minorBidi"/>
          <w:sz w:val="24"/>
          <w:szCs w:val="24"/>
          <w:lang w:val="en-GB"/>
        </w:rPr>
        <w:t xml:space="preserve"> targeted search </w:t>
      </w:r>
      <w:r>
        <w:rPr>
          <w:rFonts w:asciiTheme="minorBidi" w:hAnsiTheme="minorBidi"/>
          <w:sz w:val="24"/>
          <w:szCs w:val="24"/>
          <w:lang w:val="en-GB"/>
        </w:rPr>
        <w:t>for</w:t>
      </w:r>
      <w:r w:rsidRPr="00384B46">
        <w:rPr>
          <w:rFonts w:asciiTheme="minorBidi" w:hAnsiTheme="minorBidi"/>
          <w:sz w:val="24"/>
          <w:szCs w:val="24"/>
          <w:lang w:val="en-GB"/>
        </w:rPr>
        <w:t xml:space="preserve"> Saudi literature</w:t>
      </w:r>
      <w:r>
        <w:rPr>
          <w:rFonts w:asciiTheme="minorBidi" w:hAnsiTheme="minorBidi"/>
          <w:sz w:val="24"/>
          <w:szCs w:val="24"/>
          <w:lang w:val="en-GB"/>
        </w:rPr>
        <w:t>. This</w:t>
      </w:r>
      <w:r w:rsidRPr="00384B46">
        <w:rPr>
          <w:rFonts w:asciiTheme="minorBidi" w:hAnsiTheme="minorBidi"/>
          <w:sz w:val="24"/>
          <w:szCs w:val="24"/>
          <w:lang w:val="en-GB"/>
        </w:rPr>
        <w:t xml:space="preserve"> search was not limited to primary care </w:t>
      </w:r>
      <w:r>
        <w:rPr>
          <w:rFonts w:asciiTheme="minorBidi" w:hAnsiTheme="minorBidi"/>
          <w:sz w:val="24"/>
          <w:szCs w:val="24"/>
          <w:lang w:val="en-GB"/>
        </w:rPr>
        <w:t xml:space="preserve">in order </w:t>
      </w:r>
      <w:r w:rsidRPr="00384B46">
        <w:rPr>
          <w:rFonts w:asciiTheme="minorBidi" w:hAnsiTheme="minorBidi"/>
          <w:sz w:val="24"/>
          <w:szCs w:val="24"/>
          <w:lang w:val="en-GB"/>
        </w:rPr>
        <w:t xml:space="preserve">to </w:t>
      </w:r>
      <w:r>
        <w:rPr>
          <w:rFonts w:asciiTheme="minorBidi" w:hAnsiTheme="minorBidi"/>
          <w:sz w:val="24"/>
          <w:szCs w:val="24"/>
          <w:lang w:val="en-GB"/>
        </w:rPr>
        <w:t>identify</w:t>
      </w:r>
      <w:r w:rsidRPr="00384B46">
        <w:rPr>
          <w:rFonts w:asciiTheme="minorBidi" w:hAnsiTheme="minorBidi"/>
          <w:sz w:val="24"/>
          <w:szCs w:val="24"/>
          <w:lang w:val="en-GB"/>
        </w:rPr>
        <w:t xml:space="preserve"> all studies related to pharmacists' </w:t>
      </w:r>
      <w:r>
        <w:rPr>
          <w:rFonts w:asciiTheme="minorBidi" w:hAnsiTheme="minorBidi"/>
          <w:sz w:val="24"/>
          <w:szCs w:val="24"/>
          <w:lang w:val="en-GB"/>
        </w:rPr>
        <w:t xml:space="preserve">involvement in </w:t>
      </w:r>
      <w:r w:rsidRPr="00384B46">
        <w:rPr>
          <w:rFonts w:asciiTheme="minorBidi" w:hAnsiTheme="minorBidi"/>
          <w:sz w:val="24"/>
          <w:szCs w:val="24"/>
          <w:lang w:val="en-GB"/>
        </w:rPr>
        <w:t xml:space="preserve">diabetes management in </w:t>
      </w:r>
      <w:r>
        <w:rPr>
          <w:rFonts w:asciiTheme="minorBidi" w:hAnsiTheme="minorBidi"/>
          <w:sz w:val="24"/>
          <w:szCs w:val="24"/>
          <w:lang w:val="en-GB"/>
        </w:rPr>
        <w:t xml:space="preserve">SA; the rationale for this was that some Saudi studies are not described as “primary care” as they took place in hospital outpatient settings, but are actually equivalent to primary care in other countries. </w:t>
      </w:r>
      <w:r w:rsidR="001A4B95">
        <w:rPr>
          <w:rFonts w:asciiTheme="minorBidi" w:hAnsiTheme="minorBidi"/>
          <w:sz w:val="24"/>
          <w:szCs w:val="24"/>
          <w:lang w:val="en-GB"/>
        </w:rPr>
        <w:t>Therefore,</w:t>
      </w:r>
      <w:r>
        <w:rPr>
          <w:rFonts w:asciiTheme="minorBidi" w:hAnsiTheme="minorBidi"/>
          <w:sz w:val="24"/>
          <w:szCs w:val="24"/>
          <w:lang w:val="en-GB"/>
        </w:rPr>
        <w:t xml:space="preserve"> the search concepts for phase two were </w:t>
      </w:r>
      <w:r w:rsidRPr="002C7CE7">
        <w:rPr>
          <w:rFonts w:asciiTheme="minorBidi" w:hAnsiTheme="minorBidi"/>
          <w:sz w:val="24"/>
          <w:szCs w:val="24"/>
        </w:rPr>
        <w:t>pharmacist, diabetes</w:t>
      </w:r>
      <w:r>
        <w:rPr>
          <w:rFonts w:asciiTheme="minorBidi" w:hAnsiTheme="minorBidi"/>
          <w:sz w:val="24"/>
          <w:szCs w:val="24"/>
        </w:rPr>
        <w:t xml:space="preserve"> and Saudi Arabia (</w:t>
      </w:r>
      <w:r w:rsidR="00936162">
        <w:rPr>
          <w:rFonts w:asciiTheme="minorBidi" w:hAnsiTheme="minorBidi"/>
          <w:sz w:val="24"/>
          <w:szCs w:val="24"/>
        </w:rPr>
        <w:fldChar w:fldCharType="begin"/>
      </w:r>
      <w:r w:rsidR="00936162">
        <w:rPr>
          <w:rFonts w:asciiTheme="minorBidi" w:hAnsiTheme="minorBidi"/>
          <w:sz w:val="24"/>
          <w:szCs w:val="24"/>
        </w:rPr>
        <w:instrText xml:space="preserve"> REF _Ref148112536 \h </w:instrText>
      </w:r>
      <w:r w:rsidR="001301B3">
        <w:rPr>
          <w:rFonts w:asciiTheme="minorBidi" w:hAnsiTheme="minorBidi"/>
          <w:sz w:val="24"/>
          <w:szCs w:val="24"/>
        </w:rPr>
        <w:instrText xml:space="preserve"> \* MERGEFORMAT </w:instrText>
      </w:r>
      <w:r w:rsidR="00936162">
        <w:rPr>
          <w:rFonts w:asciiTheme="minorBidi" w:hAnsiTheme="minorBidi"/>
          <w:sz w:val="24"/>
          <w:szCs w:val="24"/>
        </w:rPr>
      </w:r>
      <w:r w:rsidR="00936162">
        <w:rPr>
          <w:rFonts w:asciiTheme="minorBidi" w:hAnsiTheme="minorBidi"/>
          <w:sz w:val="24"/>
          <w:szCs w:val="24"/>
        </w:rPr>
        <w:fldChar w:fldCharType="separate"/>
      </w:r>
      <w:r w:rsidR="00936162" w:rsidRPr="001301B3">
        <w:rPr>
          <w:rFonts w:asciiTheme="minorBidi" w:hAnsiTheme="minorBidi"/>
          <w:sz w:val="24"/>
          <w:szCs w:val="24"/>
        </w:rPr>
        <w:t>Table 3</w:t>
      </w:r>
      <w:r w:rsidR="00936162">
        <w:rPr>
          <w:rFonts w:asciiTheme="minorBidi" w:hAnsiTheme="minorBidi"/>
          <w:sz w:val="24"/>
          <w:szCs w:val="24"/>
        </w:rPr>
        <w:fldChar w:fldCharType="end"/>
      </w:r>
      <w:r>
        <w:rPr>
          <w:rFonts w:asciiTheme="minorBidi" w:hAnsiTheme="minorBidi"/>
          <w:sz w:val="24"/>
          <w:szCs w:val="24"/>
        </w:rPr>
        <w:t>).</w:t>
      </w:r>
    </w:p>
    <w:p w14:paraId="5499AA8D" w14:textId="77777777" w:rsidR="00DD229F" w:rsidRDefault="00DD229F" w:rsidP="00DD229F">
      <w:pPr>
        <w:rPr>
          <w:rFonts w:asciiTheme="minorBidi" w:hAnsiTheme="minorBidi"/>
          <w:sz w:val="24"/>
          <w:szCs w:val="24"/>
          <w:lang w:val="en-GB"/>
        </w:rPr>
      </w:pPr>
      <w:r>
        <w:rPr>
          <w:rFonts w:asciiTheme="minorBidi" w:hAnsiTheme="minorBidi"/>
          <w:sz w:val="24"/>
          <w:szCs w:val="24"/>
          <w:lang w:val="en-GB"/>
        </w:rPr>
        <w:br w:type="page"/>
      </w:r>
    </w:p>
    <w:p w14:paraId="2630C741" w14:textId="31B0279E" w:rsidR="00DD229F" w:rsidRPr="00502D6F" w:rsidRDefault="00DD229F" w:rsidP="00DD229F">
      <w:pPr>
        <w:pStyle w:val="Caption"/>
        <w:keepNext/>
        <w:rPr>
          <w:sz w:val="24"/>
          <w:szCs w:val="24"/>
        </w:rPr>
      </w:pPr>
      <w:bookmarkStart w:id="39" w:name="_Ref148112536"/>
      <w:bookmarkStart w:id="40" w:name="_Toc153894557"/>
      <w:r w:rsidRPr="00502D6F">
        <w:rPr>
          <w:sz w:val="24"/>
          <w:szCs w:val="24"/>
        </w:rPr>
        <w:t xml:space="preserve">Table </w:t>
      </w:r>
      <w:r w:rsidRPr="00502D6F">
        <w:rPr>
          <w:sz w:val="24"/>
          <w:szCs w:val="24"/>
        </w:rPr>
        <w:fldChar w:fldCharType="begin"/>
      </w:r>
      <w:r w:rsidRPr="00502D6F">
        <w:rPr>
          <w:sz w:val="24"/>
          <w:szCs w:val="24"/>
        </w:rPr>
        <w:instrText xml:space="preserve"> SEQ Table \* ARABIC </w:instrText>
      </w:r>
      <w:r w:rsidRPr="00502D6F">
        <w:rPr>
          <w:sz w:val="24"/>
          <w:szCs w:val="24"/>
        </w:rPr>
        <w:fldChar w:fldCharType="separate"/>
      </w:r>
      <w:r w:rsidR="009B31EB">
        <w:rPr>
          <w:noProof/>
          <w:sz w:val="24"/>
          <w:szCs w:val="24"/>
        </w:rPr>
        <w:t>3</w:t>
      </w:r>
      <w:r w:rsidRPr="00502D6F">
        <w:rPr>
          <w:sz w:val="24"/>
          <w:szCs w:val="24"/>
        </w:rPr>
        <w:fldChar w:fldCharType="end"/>
      </w:r>
      <w:bookmarkEnd w:id="39"/>
      <w:r w:rsidRPr="00502D6F">
        <w:rPr>
          <w:sz w:val="24"/>
          <w:szCs w:val="24"/>
        </w:rPr>
        <w:t xml:space="preserve">: Search terms </w:t>
      </w:r>
      <w:r>
        <w:rPr>
          <w:sz w:val="24"/>
          <w:szCs w:val="24"/>
        </w:rPr>
        <w:t>for literature review</w:t>
      </w:r>
      <w:bookmarkEnd w:id="40"/>
      <w:r w:rsidRPr="00502D6F">
        <w:rPr>
          <w:sz w:val="24"/>
          <w:szCs w:val="24"/>
        </w:rPr>
        <w:t xml:space="preserve"> </w:t>
      </w:r>
    </w:p>
    <w:tbl>
      <w:tblPr>
        <w:tblStyle w:val="TableGrid"/>
        <w:tblW w:w="0" w:type="auto"/>
        <w:tblLook w:val="04A0" w:firstRow="1" w:lastRow="0" w:firstColumn="1" w:lastColumn="0" w:noHBand="0" w:noVBand="1"/>
      </w:tblPr>
      <w:tblGrid>
        <w:gridCol w:w="1129"/>
        <w:gridCol w:w="2133"/>
        <w:gridCol w:w="2970"/>
        <w:gridCol w:w="2835"/>
      </w:tblGrid>
      <w:tr w:rsidR="007A3EF4" w:rsidRPr="007A3EF4" w14:paraId="0A86482C" w14:textId="77777777" w:rsidTr="00282204">
        <w:tc>
          <w:tcPr>
            <w:tcW w:w="1129" w:type="dxa"/>
          </w:tcPr>
          <w:p w14:paraId="3858CEE6" w14:textId="77777777" w:rsidR="00DD229F" w:rsidRPr="007A3EF4" w:rsidRDefault="00DD229F" w:rsidP="00282204">
            <w:pPr>
              <w:pStyle w:val="CommentText"/>
              <w:rPr>
                <w:rFonts w:cstheme="minorHAnsi"/>
                <w:b/>
                <w:bCs/>
                <w:sz w:val="22"/>
                <w:szCs w:val="22"/>
                <w:lang w:val="en-GB"/>
              </w:rPr>
            </w:pPr>
            <w:r w:rsidRPr="007A3EF4">
              <w:rPr>
                <w:rFonts w:cstheme="minorHAnsi"/>
                <w:b/>
                <w:bCs/>
                <w:sz w:val="22"/>
                <w:szCs w:val="22"/>
                <w:lang w:val="en-GB"/>
              </w:rPr>
              <w:t>Phase</w:t>
            </w:r>
          </w:p>
        </w:tc>
        <w:tc>
          <w:tcPr>
            <w:tcW w:w="2133" w:type="dxa"/>
          </w:tcPr>
          <w:p w14:paraId="42060F91" w14:textId="77777777" w:rsidR="00DD229F" w:rsidRPr="007A3EF4" w:rsidRDefault="00DD229F" w:rsidP="00282204">
            <w:pPr>
              <w:pStyle w:val="CommentText"/>
              <w:rPr>
                <w:rFonts w:cstheme="minorHAnsi"/>
                <w:b/>
                <w:bCs/>
                <w:sz w:val="22"/>
                <w:szCs w:val="22"/>
                <w:lang w:val="en-GB"/>
              </w:rPr>
            </w:pPr>
            <w:r w:rsidRPr="007A3EF4">
              <w:rPr>
                <w:rFonts w:cstheme="minorHAnsi"/>
                <w:b/>
                <w:bCs/>
                <w:sz w:val="22"/>
                <w:szCs w:val="22"/>
                <w:lang w:val="en-GB"/>
              </w:rPr>
              <w:t xml:space="preserve">Concept </w:t>
            </w:r>
          </w:p>
        </w:tc>
        <w:tc>
          <w:tcPr>
            <w:tcW w:w="2970" w:type="dxa"/>
          </w:tcPr>
          <w:p w14:paraId="7D90087C" w14:textId="77777777" w:rsidR="00DD229F" w:rsidRPr="007A3EF4" w:rsidRDefault="00DD229F" w:rsidP="00282204">
            <w:pPr>
              <w:pStyle w:val="CommentText"/>
              <w:rPr>
                <w:rFonts w:cstheme="minorHAnsi"/>
                <w:b/>
                <w:bCs/>
                <w:sz w:val="22"/>
                <w:szCs w:val="22"/>
                <w:lang w:val="en-GB"/>
              </w:rPr>
            </w:pPr>
            <w:r w:rsidRPr="007A3EF4">
              <w:rPr>
                <w:rFonts w:cstheme="minorHAnsi"/>
                <w:b/>
                <w:bCs/>
                <w:sz w:val="22"/>
                <w:szCs w:val="22"/>
                <w:lang w:val="en-GB"/>
              </w:rPr>
              <w:t xml:space="preserve">Search terms used in Medline via Ovid </w:t>
            </w:r>
          </w:p>
        </w:tc>
        <w:tc>
          <w:tcPr>
            <w:tcW w:w="2835" w:type="dxa"/>
          </w:tcPr>
          <w:p w14:paraId="19A282F2" w14:textId="77777777" w:rsidR="00DD229F" w:rsidRPr="007A3EF4" w:rsidRDefault="00DD229F" w:rsidP="00282204">
            <w:pPr>
              <w:pStyle w:val="CommentText"/>
              <w:rPr>
                <w:rFonts w:cstheme="minorHAnsi"/>
                <w:b/>
                <w:bCs/>
                <w:sz w:val="22"/>
                <w:szCs w:val="22"/>
                <w:lang w:val="en-GB"/>
              </w:rPr>
            </w:pPr>
            <w:r w:rsidRPr="007A3EF4">
              <w:rPr>
                <w:rFonts w:cstheme="minorHAnsi"/>
                <w:b/>
                <w:bCs/>
                <w:sz w:val="22"/>
                <w:szCs w:val="22"/>
                <w:lang w:val="en-GB"/>
              </w:rPr>
              <w:t xml:space="preserve">Search terms used in Scopus </w:t>
            </w:r>
          </w:p>
        </w:tc>
      </w:tr>
      <w:tr w:rsidR="007A3EF4" w:rsidRPr="007A3EF4" w14:paraId="17449225" w14:textId="77777777" w:rsidTr="00282204">
        <w:tc>
          <w:tcPr>
            <w:tcW w:w="1129" w:type="dxa"/>
            <w:vMerge w:val="restart"/>
          </w:tcPr>
          <w:p w14:paraId="5C8B73AF" w14:textId="77777777" w:rsidR="00DD229F" w:rsidRPr="007A3EF4" w:rsidRDefault="00DD229F" w:rsidP="00282204">
            <w:pPr>
              <w:pStyle w:val="CommentText"/>
              <w:rPr>
                <w:rFonts w:cstheme="minorHAnsi"/>
                <w:sz w:val="22"/>
                <w:szCs w:val="22"/>
                <w:lang w:val="en-GB"/>
              </w:rPr>
            </w:pPr>
            <w:r w:rsidRPr="007A3EF4">
              <w:rPr>
                <w:rFonts w:cstheme="minorHAnsi"/>
                <w:sz w:val="22"/>
                <w:szCs w:val="22"/>
                <w:lang w:val="en-GB"/>
              </w:rPr>
              <w:t xml:space="preserve">One </w:t>
            </w:r>
          </w:p>
        </w:tc>
        <w:tc>
          <w:tcPr>
            <w:tcW w:w="2133" w:type="dxa"/>
          </w:tcPr>
          <w:p w14:paraId="6CE1E726" w14:textId="77777777" w:rsidR="00DD229F" w:rsidRPr="007A3EF4" w:rsidRDefault="00DD229F" w:rsidP="00282204">
            <w:pPr>
              <w:pStyle w:val="CommentText"/>
              <w:rPr>
                <w:rFonts w:cstheme="minorHAnsi"/>
                <w:sz w:val="22"/>
                <w:szCs w:val="22"/>
                <w:lang w:val="en-GB"/>
              </w:rPr>
            </w:pPr>
            <w:r w:rsidRPr="007A3EF4">
              <w:rPr>
                <w:rFonts w:cstheme="minorHAnsi"/>
                <w:sz w:val="22"/>
                <w:szCs w:val="22"/>
                <w:lang w:val="en-GB"/>
              </w:rPr>
              <w:t>Pharmacist</w:t>
            </w:r>
          </w:p>
        </w:tc>
        <w:tc>
          <w:tcPr>
            <w:tcW w:w="2970" w:type="dxa"/>
          </w:tcPr>
          <w:p w14:paraId="316D9032" w14:textId="04040483" w:rsidR="00DD229F" w:rsidRPr="007A3EF4" w:rsidRDefault="00DD229F" w:rsidP="00282204">
            <w:pPr>
              <w:pStyle w:val="CommentText"/>
              <w:rPr>
                <w:rFonts w:cstheme="minorHAnsi"/>
                <w:sz w:val="22"/>
                <w:szCs w:val="22"/>
                <w:lang w:val="en-GB"/>
              </w:rPr>
            </w:pPr>
            <w:r w:rsidRPr="007A3EF4">
              <w:rPr>
                <w:rFonts w:eastAsia="Times New Roman" w:cstheme="minorHAnsi"/>
                <w:sz w:val="22"/>
                <w:szCs w:val="22"/>
              </w:rPr>
              <w:t xml:space="preserve">Clinical pharmacist.mp. or Pharmacists/ or exp Pharmaceutical Services/ or exp Medication Therapy Management/ or exp Pharmacy/ or Pharmaceutical care.mp. or exp Pharmaceutical Services/ or community pharmacist.mp. or community pharmacists.mp. </w:t>
            </w:r>
            <w:r w:rsidR="00936162" w:rsidRPr="007A3EF4">
              <w:rPr>
                <w:rFonts w:eastAsia="Times New Roman" w:cstheme="minorHAnsi"/>
                <w:sz w:val="22"/>
                <w:szCs w:val="22"/>
              </w:rPr>
              <w:t>or Pharmacists/</w:t>
            </w:r>
            <w:r w:rsidRPr="007A3EF4">
              <w:rPr>
                <w:rFonts w:eastAsia="Times New Roman" w:cstheme="minorHAnsi"/>
                <w:sz w:val="22"/>
                <w:szCs w:val="22"/>
              </w:rPr>
              <w:t xml:space="preserve"> Practice Patterns, Pharmacists'/ or Community Pharmacy Services/ or Professional Role/ or "Attitude of Health Personnel"/ or pharmacists contribution*.mp. or pharmacists responsibilities*.mp or pharmacists practice*.mp. or pharmacist intervention*.mp. or pharmacists education*.mp.</w:t>
            </w:r>
          </w:p>
        </w:tc>
        <w:tc>
          <w:tcPr>
            <w:tcW w:w="2835" w:type="dxa"/>
          </w:tcPr>
          <w:p w14:paraId="53419D83" w14:textId="77777777" w:rsidR="00DD229F" w:rsidRPr="007A3EF4" w:rsidRDefault="00DD229F" w:rsidP="00282204">
            <w:pPr>
              <w:pStyle w:val="CommentText"/>
              <w:rPr>
                <w:rFonts w:eastAsia="Times New Roman" w:cstheme="minorHAnsi"/>
                <w:sz w:val="22"/>
                <w:szCs w:val="22"/>
              </w:rPr>
            </w:pPr>
            <w:r w:rsidRPr="007A3EF4">
              <w:rPr>
                <w:rFonts w:eastAsia="Times New Roman" w:cstheme="minorHAnsi"/>
                <w:sz w:val="22"/>
                <w:szCs w:val="22"/>
              </w:rPr>
              <w:t>"pharmacists" OR "pharmacist" OR "pharmacy service" OR "pharmaceutical care" OR "clinical pharmacists" OR "clinical pharmacist" OR "medication therapy management" OR "Community pharmacists “OR "Community pharmacist" OR "Pharmacies" OR "pharmacists’ responsibilities" OR "pharmacists’ contribution" OR "pharmacists practice" OR "pharmacist intervention" "pharmacists’ education"</w:t>
            </w:r>
            <w:r w:rsidRPr="007A3EF4">
              <w:rPr>
                <w:rFonts w:ascii="Arial" w:eastAsia="Times New Roman" w:hAnsi="Arial" w:cs="Arial"/>
                <w:sz w:val="24"/>
                <w:szCs w:val="24"/>
              </w:rPr>
              <w:t> </w:t>
            </w:r>
          </w:p>
        </w:tc>
      </w:tr>
      <w:tr w:rsidR="007A3EF4" w:rsidRPr="007A3EF4" w14:paraId="6AEC0AAA" w14:textId="77777777" w:rsidTr="00282204">
        <w:tc>
          <w:tcPr>
            <w:tcW w:w="1129" w:type="dxa"/>
            <w:vMerge/>
          </w:tcPr>
          <w:p w14:paraId="3CA749F7" w14:textId="77777777" w:rsidR="00DD229F" w:rsidRPr="007A3EF4" w:rsidRDefault="00DD229F" w:rsidP="00282204">
            <w:pPr>
              <w:pStyle w:val="CommentText"/>
              <w:rPr>
                <w:rFonts w:cstheme="minorHAnsi"/>
                <w:sz w:val="22"/>
                <w:szCs w:val="22"/>
                <w:lang w:val="en-GB"/>
              </w:rPr>
            </w:pPr>
          </w:p>
        </w:tc>
        <w:tc>
          <w:tcPr>
            <w:tcW w:w="2133" w:type="dxa"/>
          </w:tcPr>
          <w:p w14:paraId="78CD6F3B" w14:textId="77777777" w:rsidR="00DD229F" w:rsidRPr="007A3EF4" w:rsidRDefault="00DD229F" w:rsidP="00282204">
            <w:pPr>
              <w:pStyle w:val="CommentText"/>
              <w:rPr>
                <w:rFonts w:cstheme="minorHAnsi"/>
                <w:sz w:val="22"/>
                <w:szCs w:val="22"/>
                <w:lang w:val="en-GB"/>
              </w:rPr>
            </w:pPr>
            <w:r w:rsidRPr="007A3EF4">
              <w:rPr>
                <w:rFonts w:cstheme="minorHAnsi"/>
                <w:sz w:val="22"/>
                <w:szCs w:val="22"/>
                <w:lang w:val="en-GB"/>
              </w:rPr>
              <w:t>Diabetes</w:t>
            </w:r>
          </w:p>
        </w:tc>
        <w:tc>
          <w:tcPr>
            <w:tcW w:w="2970" w:type="dxa"/>
          </w:tcPr>
          <w:p w14:paraId="7C3116DA" w14:textId="77777777" w:rsidR="00DD229F" w:rsidRPr="007A3EF4" w:rsidRDefault="00DD229F" w:rsidP="00282204">
            <w:pPr>
              <w:pStyle w:val="CommentText"/>
              <w:rPr>
                <w:rFonts w:cstheme="minorHAnsi"/>
                <w:sz w:val="22"/>
                <w:szCs w:val="22"/>
                <w:lang w:val="pt-PT"/>
              </w:rPr>
            </w:pPr>
            <w:r w:rsidRPr="007A3EF4">
              <w:rPr>
                <w:rFonts w:eastAsia="Times New Roman" w:cstheme="minorHAnsi"/>
                <w:sz w:val="22"/>
                <w:szCs w:val="22"/>
                <w:lang w:val="pt-PT"/>
              </w:rPr>
              <w:t>exp Diabetes Mellitus/ or Diabetes.mp. or diabetic.mp.</w:t>
            </w:r>
          </w:p>
        </w:tc>
        <w:tc>
          <w:tcPr>
            <w:tcW w:w="2835" w:type="dxa"/>
          </w:tcPr>
          <w:p w14:paraId="0246A31C" w14:textId="77777777" w:rsidR="00DD229F" w:rsidRPr="007A3EF4" w:rsidRDefault="00DD229F" w:rsidP="00282204">
            <w:pPr>
              <w:pStyle w:val="CommentText"/>
              <w:rPr>
                <w:rFonts w:eastAsia="Times New Roman" w:cstheme="minorHAnsi"/>
                <w:sz w:val="22"/>
                <w:szCs w:val="22"/>
                <w:lang w:val="pt-PT"/>
              </w:rPr>
            </w:pPr>
            <w:r w:rsidRPr="007A3EF4">
              <w:rPr>
                <w:rFonts w:eastAsia="Times New Roman" w:cstheme="minorHAnsi"/>
                <w:sz w:val="22"/>
                <w:szCs w:val="22"/>
                <w:lang w:val="pt-PT"/>
              </w:rPr>
              <w:t>"diabetes mellitus” OR “diabetes” OR “diabetic”</w:t>
            </w:r>
          </w:p>
        </w:tc>
      </w:tr>
      <w:tr w:rsidR="007A3EF4" w:rsidRPr="007A3EF4" w14:paraId="6408917B" w14:textId="77777777" w:rsidTr="00282204">
        <w:tc>
          <w:tcPr>
            <w:tcW w:w="1129" w:type="dxa"/>
            <w:vMerge/>
          </w:tcPr>
          <w:p w14:paraId="7C61FD04" w14:textId="77777777" w:rsidR="00DD229F" w:rsidRPr="007A3EF4" w:rsidRDefault="00DD229F" w:rsidP="00282204">
            <w:pPr>
              <w:pStyle w:val="CommentText"/>
              <w:rPr>
                <w:rFonts w:cstheme="minorHAnsi"/>
                <w:sz w:val="22"/>
                <w:szCs w:val="22"/>
                <w:lang w:val="pt-PT"/>
              </w:rPr>
            </w:pPr>
          </w:p>
        </w:tc>
        <w:tc>
          <w:tcPr>
            <w:tcW w:w="2133" w:type="dxa"/>
          </w:tcPr>
          <w:p w14:paraId="56346A87" w14:textId="77777777" w:rsidR="00DD229F" w:rsidRPr="007A3EF4" w:rsidRDefault="00DD229F" w:rsidP="00282204">
            <w:pPr>
              <w:pStyle w:val="CommentText"/>
              <w:rPr>
                <w:rFonts w:cstheme="minorHAnsi"/>
                <w:sz w:val="22"/>
                <w:szCs w:val="22"/>
                <w:lang w:val="en-GB"/>
              </w:rPr>
            </w:pPr>
            <w:r w:rsidRPr="007A3EF4">
              <w:rPr>
                <w:rFonts w:cstheme="minorHAnsi"/>
                <w:sz w:val="22"/>
                <w:szCs w:val="22"/>
              </w:rPr>
              <w:t>Primary healthcare settings</w:t>
            </w:r>
          </w:p>
        </w:tc>
        <w:tc>
          <w:tcPr>
            <w:tcW w:w="2970" w:type="dxa"/>
          </w:tcPr>
          <w:p w14:paraId="33E7A26C" w14:textId="77777777" w:rsidR="00DD229F" w:rsidRPr="007A3EF4" w:rsidRDefault="00DD229F" w:rsidP="00282204">
            <w:pPr>
              <w:pStyle w:val="CommentText"/>
              <w:rPr>
                <w:rFonts w:cstheme="minorHAnsi"/>
                <w:sz w:val="22"/>
                <w:szCs w:val="22"/>
                <w:lang w:val="en-GB"/>
              </w:rPr>
            </w:pPr>
            <w:r w:rsidRPr="007A3EF4">
              <w:rPr>
                <w:rFonts w:eastAsia="Times New Roman" w:cstheme="minorHAnsi"/>
                <w:sz w:val="22"/>
                <w:szCs w:val="22"/>
              </w:rPr>
              <w:t>(Primary healthcare or primary health care).mp. or exp Primary Health Care/ or Primary care.mp. or exp Ambulatory Care/ or exp Ambulatory Care/ or exp Family Practice/ or exp General Practice/</w:t>
            </w:r>
          </w:p>
        </w:tc>
        <w:tc>
          <w:tcPr>
            <w:tcW w:w="2835" w:type="dxa"/>
          </w:tcPr>
          <w:p w14:paraId="584ED9DB" w14:textId="77777777" w:rsidR="00DD229F" w:rsidRPr="007A3EF4" w:rsidRDefault="00DD229F" w:rsidP="00282204">
            <w:pPr>
              <w:pStyle w:val="CommentText"/>
              <w:rPr>
                <w:rFonts w:eastAsia="Times New Roman" w:cstheme="minorHAnsi"/>
                <w:sz w:val="22"/>
                <w:szCs w:val="22"/>
              </w:rPr>
            </w:pPr>
            <w:r w:rsidRPr="007A3EF4">
              <w:rPr>
                <w:rFonts w:eastAsia="Times New Roman" w:cstheme="minorHAnsi"/>
                <w:sz w:val="22"/>
                <w:szCs w:val="22"/>
              </w:rPr>
              <w:t>"primary health care" OR “primary healthcare” OR “primary care” OR "ambulatory care" OR "general practice" OR "family practice</w:t>
            </w:r>
          </w:p>
        </w:tc>
      </w:tr>
      <w:tr w:rsidR="007A3EF4" w:rsidRPr="007A3EF4" w14:paraId="7AB0DBD2" w14:textId="77777777" w:rsidTr="00282204">
        <w:tc>
          <w:tcPr>
            <w:tcW w:w="1129" w:type="dxa"/>
            <w:vMerge/>
          </w:tcPr>
          <w:p w14:paraId="37C1FD3E" w14:textId="77777777" w:rsidR="00DD229F" w:rsidRPr="007A3EF4" w:rsidRDefault="00DD229F" w:rsidP="00282204">
            <w:pPr>
              <w:pStyle w:val="CommentText"/>
              <w:rPr>
                <w:rFonts w:cstheme="minorHAnsi"/>
                <w:sz w:val="22"/>
                <w:szCs w:val="22"/>
              </w:rPr>
            </w:pPr>
          </w:p>
        </w:tc>
        <w:tc>
          <w:tcPr>
            <w:tcW w:w="7938" w:type="dxa"/>
            <w:gridSpan w:val="3"/>
          </w:tcPr>
          <w:p w14:paraId="281CFA08" w14:textId="77777777" w:rsidR="00DD229F" w:rsidRPr="007A3EF4" w:rsidRDefault="00DD229F" w:rsidP="00282204">
            <w:pPr>
              <w:pStyle w:val="CommentText"/>
              <w:rPr>
                <w:rFonts w:eastAsia="Times New Roman" w:cstheme="minorHAnsi"/>
                <w:sz w:val="22"/>
                <w:szCs w:val="22"/>
              </w:rPr>
            </w:pPr>
            <w:r w:rsidRPr="007A3EF4">
              <w:rPr>
                <w:rFonts w:cstheme="minorHAnsi"/>
                <w:sz w:val="22"/>
                <w:szCs w:val="22"/>
              </w:rPr>
              <w:t xml:space="preserve">The three concepts above were combined using Boolean connectors (AND) to identify relevant/ eligible studies </w:t>
            </w:r>
          </w:p>
        </w:tc>
      </w:tr>
      <w:tr w:rsidR="007A3EF4" w:rsidRPr="007A3EF4" w14:paraId="7476755E" w14:textId="77777777" w:rsidTr="00282204">
        <w:tc>
          <w:tcPr>
            <w:tcW w:w="1129" w:type="dxa"/>
          </w:tcPr>
          <w:p w14:paraId="6DEDFC1A" w14:textId="77777777" w:rsidR="00DD229F" w:rsidRPr="007A3EF4" w:rsidRDefault="00DD229F" w:rsidP="00282204">
            <w:pPr>
              <w:pStyle w:val="CommentText"/>
              <w:rPr>
                <w:rFonts w:cstheme="minorHAnsi"/>
                <w:sz w:val="22"/>
                <w:szCs w:val="22"/>
              </w:rPr>
            </w:pPr>
            <w:r w:rsidRPr="007A3EF4">
              <w:rPr>
                <w:rFonts w:cstheme="minorHAnsi"/>
                <w:sz w:val="22"/>
                <w:szCs w:val="22"/>
              </w:rPr>
              <w:t>Two</w:t>
            </w:r>
          </w:p>
        </w:tc>
        <w:tc>
          <w:tcPr>
            <w:tcW w:w="7938" w:type="dxa"/>
            <w:gridSpan w:val="3"/>
          </w:tcPr>
          <w:p w14:paraId="7D1BD199" w14:textId="77777777" w:rsidR="00DD229F" w:rsidRPr="007A3EF4" w:rsidRDefault="00DD229F" w:rsidP="00282204">
            <w:pPr>
              <w:pStyle w:val="CommentText"/>
              <w:rPr>
                <w:rFonts w:cstheme="minorHAnsi"/>
                <w:sz w:val="22"/>
                <w:szCs w:val="22"/>
              </w:rPr>
            </w:pPr>
            <w:r w:rsidRPr="007A3EF4">
              <w:rPr>
                <w:rFonts w:cstheme="minorHAnsi"/>
                <w:sz w:val="22"/>
                <w:szCs w:val="22"/>
              </w:rPr>
              <w:t xml:space="preserve">The same databases were searched but not limited to primary care settings to understand more about the current practice related to pharmacist involvement in diabetes management in SA. The concepts of pharmacists, diabetes, and Saudi Arabia were combined using AND to find relevant studies.  </w:t>
            </w:r>
          </w:p>
          <w:p w14:paraId="74E6D3D0" w14:textId="77777777" w:rsidR="00282204" w:rsidRPr="007A3EF4" w:rsidRDefault="00282204" w:rsidP="00282204">
            <w:pPr>
              <w:pStyle w:val="CommentText"/>
              <w:rPr>
                <w:rFonts w:cstheme="minorHAnsi"/>
                <w:sz w:val="22"/>
                <w:szCs w:val="22"/>
              </w:rPr>
            </w:pPr>
            <w:r w:rsidRPr="007A3EF4">
              <w:rPr>
                <w:rFonts w:cstheme="minorHAnsi"/>
                <w:sz w:val="22"/>
                <w:szCs w:val="22"/>
              </w:rPr>
              <w:t>In addition, Google Scholar searched, and the following terms were used:</w:t>
            </w:r>
          </w:p>
          <w:p w14:paraId="5DED522D" w14:textId="5658CC65" w:rsidR="00282204" w:rsidRPr="007A3EF4" w:rsidRDefault="00282204" w:rsidP="00282204">
            <w:pPr>
              <w:pStyle w:val="CommentText"/>
              <w:rPr>
                <w:rFonts w:cstheme="minorHAnsi"/>
                <w:sz w:val="22"/>
                <w:szCs w:val="22"/>
              </w:rPr>
            </w:pPr>
            <w:r w:rsidRPr="007A3EF4">
              <w:rPr>
                <w:rFonts w:cstheme="minorHAnsi"/>
                <w:sz w:val="22"/>
                <w:szCs w:val="22"/>
              </w:rPr>
              <w:t>Pharmacists AND diabetes AND ambulatory care OR primary care AND Saudi Arabia</w:t>
            </w:r>
          </w:p>
        </w:tc>
      </w:tr>
    </w:tbl>
    <w:p w14:paraId="7F817C00" w14:textId="77777777" w:rsidR="00DD229F" w:rsidRDefault="00DD229F" w:rsidP="00DD229F">
      <w:pPr>
        <w:pStyle w:val="CommentText"/>
        <w:spacing w:line="360" w:lineRule="auto"/>
        <w:jc w:val="both"/>
        <w:rPr>
          <w:rFonts w:asciiTheme="minorBidi" w:hAnsiTheme="minorBidi"/>
          <w:color w:val="FF0000"/>
          <w:sz w:val="24"/>
          <w:szCs w:val="24"/>
          <w:lang w:val="en-GB"/>
        </w:rPr>
      </w:pPr>
    </w:p>
    <w:p w14:paraId="257EF8B9" w14:textId="77777777" w:rsidR="00DD229F" w:rsidRPr="00067E03" w:rsidRDefault="00DD229F" w:rsidP="00DD229F">
      <w:pPr>
        <w:pStyle w:val="Heading3"/>
        <w:spacing w:line="257" w:lineRule="auto"/>
        <w:ind w:left="504"/>
        <w:rPr>
          <w:lang w:val="en-GB"/>
        </w:rPr>
      </w:pPr>
      <w:bookmarkStart w:id="41" w:name="_Toc153894145"/>
      <w:r>
        <w:rPr>
          <w:lang w:val="en-GB"/>
        </w:rPr>
        <w:t>Study selection</w:t>
      </w:r>
      <w:bookmarkEnd w:id="41"/>
    </w:p>
    <w:p w14:paraId="13189A44" w14:textId="77777777" w:rsidR="00DD229F" w:rsidRPr="007A3EF4" w:rsidRDefault="00DD229F" w:rsidP="00DD229F">
      <w:pPr>
        <w:shd w:val="clear" w:color="auto" w:fill="FFFFFF"/>
        <w:spacing w:line="360" w:lineRule="auto"/>
        <w:jc w:val="both"/>
        <w:rPr>
          <w:rFonts w:asciiTheme="minorBidi" w:hAnsiTheme="minorBidi"/>
          <w:sz w:val="24"/>
          <w:szCs w:val="24"/>
        </w:rPr>
      </w:pPr>
      <w:r w:rsidRPr="008A72C7">
        <w:rPr>
          <w:rFonts w:asciiTheme="minorBidi" w:hAnsiTheme="minorBidi"/>
          <w:sz w:val="24"/>
          <w:szCs w:val="24"/>
          <w:lang w:val="en-GB"/>
        </w:rPr>
        <w:t>Search results from multiple databases were transferred to reference manage</w:t>
      </w:r>
      <w:r>
        <w:rPr>
          <w:rFonts w:asciiTheme="minorBidi" w:hAnsiTheme="minorBidi"/>
          <w:sz w:val="24"/>
          <w:szCs w:val="24"/>
          <w:lang w:val="en-GB"/>
        </w:rPr>
        <w:t>ment software</w:t>
      </w:r>
      <w:r w:rsidRPr="008A72C7">
        <w:rPr>
          <w:rFonts w:asciiTheme="minorBidi" w:hAnsiTheme="minorBidi"/>
          <w:sz w:val="24"/>
          <w:szCs w:val="24"/>
          <w:lang w:val="en-GB"/>
        </w:rPr>
        <w:t xml:space="preserve">, Mendeley. </w:t>
      </w:r>
      <w:r>
        <w:rPr>
          <w:rFonts w:asciiTheme="minorBidi" w:hAnsiTheme="minorBidi"/>
          <w:sz w:val="24"/>
          <w:szCs w:val="24"/>
          <w:lang w:val="en-GB"/>
        </w:rPr>
        <w:t xml:space="preserve">Titles and abstracts were assessed for relevance against the inclusion criteria, then full texts of remaining studies were assessed for relevance. </w:t>
      </w:r>
      <w:r w:rsidRPr="007A3EF4">
        <w:rPr>
          <w:rFonts w:asciiTheme="minorBidi" w:hAnsiTheme="minorBidi"/>
          <w:sz w:val="24"/>
          <w:szCs w:val="24"/>
        </w:rPr>
        <w:t>It is recommended that the evaluation of studies for eligibility includes at least two independent reviewers. However, in this review, due to being part of a PhD thesis, the included studies were evaluated by a single researcher, which may have resulted in missing some relevant studies.</w:t>
      </w:r>
    </w:p>
    <w:p w14:paraId="31E2DA00" w14:textId="77777777" w:rsidR="00DD229F" w:rsidRPr="00BA5205" w:rsidRDefault="00DD229F" w:rsidP="00DD229F">
      <w:pPr>
        <w:pStyle w:val="Heading3"/>
        <w:spacing w:line="257" w:lineRule="auto"/>
        <w:ind w:left="504"/>
        <w:rPr>
          <w:lang w:val="en-GB"/>
        </w:rPr>
      </w:pPr>
      <w:bookmarkStart w:id="42" w:name="_Toc153894146"/>
      <w:r w:rsidRPr="00BA5205">
        <w:rPr>
          <w:lang w:val="en-GB"/>
        </w:rPr>
        <w:t>Data extraction</w:t>
      </w:r>
      <w:bookmarkEnd w:id="42"/>
    </w:p>
    <w:p w14:paraId="2367C56B" w14:textId="092B2E35" w:rsidR="00DD229F" w:rsidRPr="006B23C0" w:rsidRDefault="00DD229F" w:rsidP="008E3042">
      <w:pPr>
        <w:spacing w:line="360" w:lineRule="auto"/>
        <w:jc w:val="lowKashida"/>
        <w:rPr>
          <w:rFonts w:ascii="Arial" w:hAnsi="Arial" w:cs="Arial"/>
          <w:strike/>
          <w:sz w:val="24"/>
          <w:szCs w:val="24"/>
        </w:rPr>
      </w:pPr>
      <w:r>
        <w:rPr>
          <w:rFonts w:ascii="Arial" w:hAnsi="Arial" w:cs="Arial"/>
          <w:sz w:val="24"/>
          <w:szCs w:val="24"/>
        </w:rPr>
        <w:t xml:space="preserve">Data were extracted from individual studies, including details of reported findings, </w:t>
      </w:r>
      <w:r w:rsidRPr="00651B6B">
        <w:rPr>
          <w:rFonts w:ascii="Arial" w:hAnsi="Arial" w:cs="Arial"/>
          <w:sz w:val="24"/>
          <w:szCs w:val="24"/>
        </w:rPr>
        <w:t xml:space="preserve">author, country, study design, methods, results, and conclusion. </w:t>
      </w:r>
      <w:r>
        <w:rPr>
          <w:rFonts w:ascii="Arial" w:hAnsi="Arial" w:cs="Arial"/>
          <w:sz w:val="24"/>
          <w:szCs w:val="24"/>
        </w:rPr>
        <w:t xml:space="preserve"> </w:t>
      </w:r>
      <w:r w:rsidRPr="003F08B3">
        <w:rPr>
          <w:rFonts w:ascii="Arial" w:hAnsi="Arial" w:cs="Arial"/>
          <w:sz w:val="24"/>
          <w:szCs w:val="24"/>
        </w:rPr>
        <w:t xml:space="preserve">Data extraction was performed by one reviewer (NS). </w:t>
      </w:r>
      <w:r>
        <w:rPr>
          <w:rFonts w:ascii="Arial" w:hAnsi="Arial" w:cs="Arial"/>
          <w:sz w:val="24"/>
          <w:szCs w:val="24"/>
        </w:rPr>
        <w:t>Data were checked by the same reviewer</w:t>
      </w:r>
      <w:r w:rsidRPr="003F08B3">
        <w:rPr>
          <w:rFonts w:ascii="Arial" w:hAnsi="Arial" w:cs="Arial"/>
          <w:sz w:val="24"/>
          <w:szCs w:val="24"/>
        </w:rPr>
        <w:t xml:space="preserve"> to confirm the results and to </w:t>
      </w:r>
      <w:r>
        <w:rPr>
          <w:rFonts w:ascii="Arial" w:hAnsi="Arial" w:cs="Arial"/>
          <w:sz w:val="24"/>
          <w:szCs w:val="24"/>
        </w:rPr>
        <w:t>reduce</w:t>
      </w:r>
      <w:r w:rsidRPr="003F08B3">
        <w:rPr>
          <w:rFonts w:ascii="Arial" w:hAnsi="Arial" w:cs="Arial"/>
          <w:sz w:val="24"/>
          <w:szCs w:val="24"/>
        </w:rPr>
        <w:t xml:space="preserve"> </w:t>
      </w:r>
      <w:r>
        <w:rPr>
          <w:rFonts w:ascii="Arial" w:hAnsi="Arial" w:cs="Arial"/>
          <w:sz w:val="24"/>
          <w:szCs w:val="24"/>
        </w:rPr>
        <w:t>the errors</w:t>
      </w:r>
      <w:r w:rsidRPr="003F08B3">
        <w:rPr>
          <w:rFonts w:ascii="Arial" w:hAnsi="Arial" w:cs="Arial"/>
          <w:sz w:val="24"/>
          <w:szCs w:val="24"/>
        </w:rPr>
        <w:t xml:space="preserve">. </w:t>
      </w:r>
    </w:p>
    <w:p w14:paraId="5F0D54D7" w14:textId="77777777" w:rsidR="00DD229F" w:rsidRPr="00BA5205" w:rsidRDefault="00DD229F" w:rsidP="00DD229F">
      <w:pPr>
        <w:pStyle w:val="Heading3"/>
        <w:spacing w:line="257" w:lineRule="auto"/>
        <w:ind w:left="504"/>
        <w:rPr>
          <w:lang w:val="en-GB"/>
        </w:rPr>
      </w:pPr>
      <w:bookmarkStart w:id="43" w:name="_Toc153894147"/>
      <w:r w:rsidRPr="00BA5205">
        <w:rPr>
          <w:lang w:val="en-GB"/>
        </w:rPr>
        <w:t>Assessment of study quality</w:t>
      </w:r>
      <w:bookmarkEnd w:id="43"/>
      <w:r w:rsidRPr="00BA5205">
        <w:rPr>
          <w:lang w:val="en-GB"/>
        </w:rPr>
        <w:t xml:space="preserve"> </w:t>
      </w:r>
    </w:p>
    <w:p w14:paraId="1D7C9413" w14:textId="77777777" w:rsidR="00DD229F" w:rsidRPr="00E30E19" w:rsidRDefault="00DD229F" w:rsidP="00DD229F">
      <w:pPr>
        <w:pStyle w:val="CommentText"/>
        <w:spacing w:line="360" w:lineRule="auto"/>
        <w:jc w:val="both"/>
        <w:rPr>
          <w:rFonts w:ascii="Arial" w:hAnsi="Arial" w:cs="Arial"/>
          <w:sz w:val="24"/>
          <w:szCs w:val="24"/>
        </w:rPr>
      </w:pPr>
      <w:r>
        <w:rPr>
          <w:rFonts w:ascii="Arial" w:hAnsi="Arial" w:cs="Arial"/>
          <w:sz w:val="24"/>
          <w:szCs w:val="24"/>
        </w:rPr>
        <w:t>No formal quality assessment</w:t>
      </w:r>
      <w:r w:rsidRPr="00057212">
        <w:rPr>
          <w:rFonts w:ascii="Arial" w:hAnsi="Arial" w:cs="Arial"/>
          <w:sz w:val="24"/>
          <w:szCs w:val="24"/>
        </w:rPr>
        <w:t xml:space="preserve"> of included studies</w:t>
      </w:r>
      <w:r>
        <w:rPr>
          <w:rFonts w:ascii="Arial" w:hAnsi="Arial" w:cs="Arial"/>
          <w:sz w:val="24"/>
          <w:szCs w:val="24"/>
        </w:rPr>
        <w:t xml:space="preserve"> was undertaken,</w:t>
      </w:r>
      <w:r w:rsidRPr="00057212">
        <w:rPr>
          <w:rFonts w:ascii="Arial" w:hAnsi="Arial" w:cs="Arial"/>
          <w:sz w:val="24"/>
          <w:szCs w:val="24"/>
        </w:rPr>
        <w:t xml:space="preserve"> because </w:t>
      </w:r>
      <w:r>
        <w:rPr>
          <w:rFonts w:ascii="Arial" w:hAnsi="Arial" w:cs="Arial"/>
          <w:sz w:val="24"/>
          <w:szCs w:val="24"/>
        </w:rPr>
        <w:t xml:space="preserve">this was a narrative review which included several types of study designs. </w:t>
      </w:r>
    </w:p>
    <w:p w14:paraId="4F4959D2" w14:textId="77777777" w:rsidR="00DD229F" w:rsidRDefault="00DD229F" w:rsidP="00DD229F">
      <w:pPr>
        <w:spacing w:line="360" w:lineRule="auto"/>
        <w:jc w:val="both"/>
        <w:rPr>
          <w:rFonts w:ascii="Arial" w:hAnsi="Arial" w:cs="Arial"/>
          <w:sz w:val="24"/>
          <w:szCs w:val="24"/>
        </w:rPr>
      </w:pPr>
      <w:r w:rsidRPr="00057212">
        <w:rPr>
          <w:rFonts w:ascii="Arial" w:hAnsi="Arial" w:cs="Arial"/>
          <w:sz w:val="24"/>
          <w:szCs w:val="24"/>
        </w:rPr>
        <w:t>I</w:t>
      </w:r>
      <w:r>
        <w:rPr>
          <w:rFonts w:ascii="Arial" w:hAnsi="Arial" w:cs="Arial"/>
          <w:sz w:val="24"/>
          <w:szCs w:val="24"/>
        </w:rPr>
        <w:t>nstead, i</w:t>
      </w:r>
      <w:r w:rsidRPr="00057212">
        <w:rPr>
          <w:rFonts w:ascii="Arial" w:hAnsi="Arial" w:cs="Arial"/>
          <w:sz w:val="24"/>
          <w:szCs w:val="24"/>
        </w:rPr>
        <w:t xml:space="preserve">n terms of </w:t>
      </w:r>
      <w:r w:rsidRPr="005237B0">
        <w:rPr>
          <w:rFonts w:ascii="Arial" w:hAnsi="Arial" w:cs="Arial"/>
          <w:sz w:val="24"/>
          <w:szCs w:val="24"/>
        </w:rPr>
        <w:t>quality and nature of the overall evidence base,</w:t>
      </w:r>
      <w:r w:rsidRPr="00057212">
        <w:rPr>
          <w:rFonts w:ascii="Arial" w:hAnsi="Arial" w:cs="Arial"/>
          <w:sz w:val="24"/>
          <w:szCs w:val="24"/>
        </w:rPr>
        <w:t xml:space="preserve"> </w:t>
      </w:r>
      <w:r>
        <w:rPr>
          <w:rFonts w:ascii="Arial" w:hAnsi="Arial" w:cs="Arial"/>
          <w:sz w:val="24"/>
          <w:szCs w:val="24"/>
        </w:rPr>
        <w:t xml:space="preserve">the researcher provided overall comments about the quantity, the relevance, and nature (type and size of the study) of the identified literature. </w:t>
      </w:r>
    </w:p>
    <w:p w14:paraId="4C079A9D" w14:textId="77777777" w:rsidR="00DD229F" w:rsidRPr="00244E09" w:rsidRDefault="00DD229F" w:rsidP="00DD229F">
      <w:pPr>
        <w:pStyle w:val="Heading3"/>
        <w:spacing w:line="257" w:lineRule="auto"/>
        <w:ind w:left="504"/>
        <w:rPr>
          <w:lang w:val="en-GB"/>
        </w:rPr>
      </w:pPr>
      <w:bookmarkStart w:id="44" w:name="_Toc153894148"/>
      <w:r w:rsidRPr="00244E09">
        <w:rPr>
          <w:lang w:val="en-GB"/>
        </w:rPr>
        <w:t xml:space="preserve">Synthesis of </w:t>
      </w:r>
      <w:r>
        <w:rPr>
          <w:lang w:val="en-GB"/>
        </w:rPr>
        <w:t>extracted</w:t>
      </w:r>
      <w:r w:rsidRPr="00244E09">
        <w:rPr>
          <w:lang w:val="en-GB"/>
        </w:rPr>
        <w:t xml:space="preserve"> </w:t>
      </w:r>
      <w:r>
        <w:rPr>
          <w:lang w:val="en-GB"/>
        </w:rPr>
        <w:t>data</w:t>
      </w:r>
      <w:bookmarkEnd w:id="44"/>
      <w:r>
        <w:rPr>
          <w:lang w:val="en-GB"/>
        </w:rPr>
        <w:t xml:space="preserve"> </w:t>
      </w:r>
    </w:p>
    <w:p w14:paraId="5AC36442" w14:textId="08C7454B" w:rsidR="00DD229F" w:rsidRDefault="00156C16" w:rsidP="00DD229F">
      <w:pPr>
        <w:spacing w:line="360" w:lineRule="auto"/>
        <w:jc w:val="both"/>
        <w:rPr>
          <w:rFonts w:ascii="Arial" w:hAnsi="Arial" w:cs="Arial"/>
          <w:sz w:val="24"/>
          <w:szCs w:val="24"/>
          <w:lang w:val="en-GB"/>
        </w:rPr>
      </w:pPr>
      <w:r w:rsidRPr="007A6B43">
        <w:rPr>
          <w:rFonts w:ascii="Arial" w:hAnsi="Arial" w:cs="Arial"/>
          <w:sz w:val="24"/>
          <w:szCs w:val="24"/>
          <w:lang w:val="en-GB"/>
        </w:rPr>
        <w:t xml:space="preserve">A narrative synthesis of the extracted data was </w:t>
      </w:r>
      <w:r w:rsidR="00E64928">
        <w:rPr>
          <w:rFonts w:ascii="Arial" w:hAnsi="Arial" w:cs="Arial"/>
          <w:sz w:val="24"/>
          <w:szCs w:val="24"/>
          <w:lang w:val="en-GB"/>
        </w:rPr>
        <w:t xml:space="preserve">used </w:t>
      </w:r>
      <w:r w:rsidR="00DD229F" w:rsidRPr="00683DF7">
        <w:rPr>
          <w:rFonts w:ascii="Arial" w:hAnsi="Arial" w:cs="Arial"/>
          <w:sz w:val="24"/>
          <w:szCs w:val="24"/>
          <w:lang w:val="en-GB"/>
        </w:rPr>
        <w:t>to identify major theme</w:t>
      </w:r>
      <w:r w:rsidR="00DD229F">
        <w:rPr>
          <w:rFonts w:ascii="Arial" w:hAnsi="Arial" w:cs="Arial"/>
          <w:sz w:val="24"/>
          <w:szCs w:val="24"/>
          <w:lang w:val="en-GB"/>
        </w:rPr>
        <w:t>s</w:t>
      </w:r>
      <w:r w:rsidR="00DD229F" w:rsidRPr="00683DF7">
        <w:rPr>
          <w:rFonts w:ascii="Arial" w:hAnsi="Arial" w:cs="Arial"/>
          <w:sz w:val="24"/>
          <w:szCs w:val="24"/>
          <w:lang w:val="en-GB"/>
        </w:rPr>
        <w:t xml:space="preserve"> </w:t>
      </w:r>
      <w:r w:rsidR="00DD229F">
        <w:rPr>
          <w:rFonts w:ascii="Arial" w:hAnsi="Arial" w:cs="Arial"/>
          <w:sz w:val="24"/>
          <w:szCs w:val="24"/>
          <w:lang w:val="en-GB"/>
        </w:rPr>
        <w:t>from the</w:t>
      </w:r>
      <w:r w:rsidR="00DD229F" w:rsidRPr="00683DF7">
        <w:rPr>
          <w:rFonts w:ascii="Arial" w:hAnsi="Arial" w:cs="Arial"/>
          <w:sz w:val="24"/>
          <w:szCs w:val="24"/>
          <w:lang w:val="en-GB"/>
        </w:rPr>
        <w:t xml:space="preserve"> literature as well as to summaris</w:t>
      </w:r>
      <w:r w:rsidR="00DD229F">
        <w:rPr>
          <w:rFonts w:ascii="Arial" w:hAnsi="Arial" w:cs="Arial"/>
          <w:sz w:val="24"/>
          <w:szCs w:val="24"/>
          <w:lang w:val="en-GB"/>
        </w:rPr>
        <w:t>e</w:t>
      </w:r>
      <w:r w:rsidR="00DD229F" w:rsidRPr="00683DF7">
        <w:rPr>
          <w:rFonts w:ascii="Arial" w:hAnsi="Arial" w:cs="Arial"/>
          <w:sz w:val="24"/>
          <w:szCs w:val="24"/>
          <w:lang w:val="en-GB"/>
        </w:rPr>
        <w:t xml:space="preserve"> the findings of included studies</w:t>
      </w:r>
      <w:r w:rsidR="00DD229F">
        <w:rPr>
          <w:rFonts w:ascii="Arial" w:hAnsi="Arial" w:cs="Arial"/>
          <w:sz w:val="24"/>
          <w:szCs w:val="24"/>
          <w:lang w:val="en-GB"/>
        </w:rPr>
        <w:t xml:space="preserve">, </w:t>
      </w:r>
      <w:r w:rsidR="00DD229F" w:rsidRPr="00BA2C44">
        <w:rPr>
          <w:rFonts w:ascii="Arial" w:hAnsi="Arial" w:cs="Arial"/>
          <w:sz w:val="24"/>
          <w:szCs w:val="24"/>
          <w:lang w:val="en-GB"/>
        </w:rPr>
        <w:t xml:space="preserve">but </w:t>
      </w:r>
      <w:r w:rsidR="00DD229F">
        <w:rPr>
          <w:rFonts w:ascii="Arial" w:hAnsi="Arial" w:cs="Arial"/>
          <w:sz w:val="24"/>
          <w:szCs w:val="24"/>
          <w:lang w:val="en-GB"/>
        </w:rPr>
        <w:t xml:space="preserve">results were </w:t>
      </w:r>
      <w:r w:rsidR="00DD229F" w:rsidRPr="00BA2C44">
        <w:rPr>
          <w:rFonts w:ascii="Arial" w:hAnsi="Arial" w:cs="Arial"/>
          <w:sz w:val="24"/>
          <w:szCs w:val="24"/>
          <w:lang w:val="en-GB"/>
        </w:rPr>
        <w:t>not statistically combined</w:t>
      </w:r>
      <w:r w:rsidR="00DD229F" w:rsidRPr="00683DF7">
        <w:rPr>
          <w:rFonts w:ascii="Arial" w:hAnsi="Arial" w:cs="Arial"/>
          <w:sz w:val="24"/>
          <w:szCs w:val="24"/>
          <w:lang w:val="en-GB"/>
        </w:rPr>
        <w:t>.  The advantage of this approach is</w:t>
      </w:r>
      <w:r w:rsidR="00DD229F" w:rsidRPr="005F436F">
        <w:rPr>
          <w:rFonts w:ascii="Arial" w:hAnsi="Arial" w:cs="Arial"/>
          <w:sz w:val="24"/>
          <w:szCs w:val="24"/>
          <w:lang w:val="en-GB"/>
        </w:rPr>
        <w:t xml:space="preserve"> </w:t>
      </w:r>
      <w:r w:rsidR="00DD229F">
        <w:rPr>
          <w:rFonts w:ascii="Arial" w:hAnsi="Arial" w:cs="Arial"/>
          <w:sz w:val="24"/>
          <w:szCs w:val="24"/>
          <w:lang w:val="en-GB"/>
        </w:rPr>
        <w:t>that it is</w:t>
      </w:r>
      <w:r w:rsidR="00DD229F" w:rsidRPr="00683DF7">
        <w:rPr>
          <w:rFonts w:ascii="Arial" w:hAnsi="Arial" w:cs="Arial"/>
          <w:sz w:val="24"/>
          <w:szCs w:val="24"/>
          <w:lang w:val="en-GB"/>
        </w:rPr>
        <w:t xml:space="preserve"> flexible and can deal with diverse evidence types. However, the </w:t>
      </w:r>
      <w:r w:rsidR="00DD229F">
        <w:rPr>
          <w:rFonts w:ascii="Arial" w:hAnsi="Arial" w:cs="Arial"/>
          <w:sz w:val="24"/>
          <w:szCs w:val="24"/>
          <w:lang w:val="en-GB"/>
        </w:rPr>
        <w:t>limitations</w:t>
      </w:r>
      <w:r w:rsidR="00DD229F" w:rsidRPr="00683DF7">
        <w:rPr>
          <w:rFonts w:ascii="Arial" w:hAnsi="Arial" w:cs="Arial"/>
          <w:sz w:val="24"/>
          <w:szCs w:val="24"/>
          <w:lang w:val="en-GB"/>
        </w:rPr>
        <w:t xml:space="preserve"> of following this approach are a lack of transparency and largely descriptive basis.</w:t>
      </w:r>
      <w:r w:rsidR="00DD229F">
        <w:rPr>
          <w:rFonts w:ascii="Arial" w:hAnsi="Arial" w:cs="Arial"/>
          <w:sz w:val="24"/>
          <w:szCs w:val="24"/>
          <w:lang w:val="en-GB"/>
        </w:rPr>
        <w:t xml:space="preserve"> </w:t>
      </w:r>
    </w:p>
    <w:p w14:paraId="14EA0F0C" w14:textId="77777777" w:rsidR="00DD229F" w:rsidRDefault="00DD229F" w:rsidP="00DD229F">
      <w:pPr>
        <w:spacing w:line="360" w:lineRule="auto"/>
        <w:jc w:val="both"/>
        <w:rPr>
          <w:rFonts w:ascii="Arial" w:hAnsi="Arial" w:cs="Arial"/>
          <w:sz w:val="24"/>
          <w:szCs w:val="24"/>
          <w:lang w:val="en-GB"/>
        </w:rPr>
      </w:pPr>
    </w:p>
    <w:p w14:paraId="724FF561" w14:textId="77777777" w:rsidR="00DD229F" w:rsidRDefault="00DD229F" w:rsidP="00DD229F">
      <w:pPr>
        <w:pStyle w:val="Heading2"/>
        <w:spacing w:line="257" w:lineRule="auto"/>
        <w:ind w:left="432"/>
        <w:rPr>
          <w:lang w:val="en-GB"/>
        </w:rPr>
      </w:pPr>
      <w:bookmarkStart w:id="45" w:name="_Toc153894149"/>
      <w:r>
        <w:rPr>
          <w:lang w:val="en-GB"/>
        </w:rPr>
        <w:t>Results of narrative review</w:t>
      </w:r>
      <w:bookmarkEnd w:id="45"/>
      <w:r>
        <w:rPr>
          <w:lang w:val="en-GB"/>
        </w:rPr>
        <w:t xml:space="preserve"> </w:t>
      </w:r>
    </w:p>
    <w:p w14:paraId="00858905" w14:textId="77777777" w:rsidR="00DD229F" w:rsidRPr="00057CEC" w:rsidRDefault="00DD229F" w:rsidP="00DD229F">
      <w:pPr>
        <w:pStyle w:val="Heading3"/>
        <w:spacing w:line="257" w:lineRule="auto"/>
        <w:ind w:left="504"/>
        <w:rPr>
          <w:lang w:val="en-GB"/>
        </w:rPr>
      </w:pPr>
      <w:bookmarkStart w:id="46" w:name="_Toc153894150"/>
      <w:r>
        <w:rPr>
          <w:lang w:val="en-GB"/>
        </w:rPr>
        <w:t>L</w:t>
      </w:r>
      <w:r w:rsidRPr="00C0436C">
        <w:rPr>
          <w:lang w:val="en-GB"/>
        </w:rPr>
        <w:t xml:space="preserve">iterature </w:t>
      </w:r>
      <w:r w:rsidRPr="00057CEC">
        <w:rPr>
          <w:lang w:val="en-GB"/>
        </w:rPr>
        <w:t>se</w:t>
      </w:r>
      <w:r>
        <w:rPr>
          <w:lang w:val="en-GB"/>
        </w:rPr>
        <w:t xml:space="preserve">lections </w:t>
      </w:r>
      <w:bookmarkEnd w:id="46"/>
    </w:p>
    <w:p w14:paraId="1DE6452F" w14:textId="79170137" w:rsidR="00DD229F" w:rsidRPr="002A16EC" w:rsidRDefault="00DD229F" w:rsidP="00DD229F">
      <w:pPr>
        <w:shd w:val="clear" w:color="auto" w:fill="FFFFFF"/>
        <w:spacing w:line="360" w:lineRule="auto"/>
        <w:jc w:val="both"/>
        <w:rPr>
          <w:rFonts w:ascii="Arial" w:hAnsi="Arial" w:cs="Arial"/>
          <w:sz w:val="24"/>
          <w:szCs w:val="24"/>
          <w:lang w:val="en-GB"/>
        </w:rPr>
      </w:pPr>
      <w:r w:rsidRPr="006B2FC7">
        <w:rPr>
          <w:rFonts w:ascii="Arial" w:hAnsi="Arial" w:cs="Arial"/>
          <w:sz w:val="24"/>
          <w:szCs w:val="24"/>
          <w:lang w:val="en-GB"/>
        </w:rPr>
        <w:t xml:space="preserve">The electronic database searches initially retrieved </w:t>
      </w:r>
      <w:r>
        <w:rPr>
          <w:rFonts w:ascii="Arial" w:hAnsi="Arial" w:cs="Arial"/>
          <w:sz w:val="24"/>
          <w:szCs w:val="24"/>
          <w:lang w:val="en-GB"/>
        </w:rPr>
        <w:t xml:space="preserve">2,093 </w:t>
      </w:r>
      <w:r w:rsidRPr="006B2FC7">
        <w:rPr>
          <w:rFonts w:ascii="Arial" w:hAnsi="Arial" w:cs="Arial"/>
          <w:sz w:val="24"/>
          <w:szCs w:val="24"/>
          <w:lang w:val="en-GB"/>
        </w:rPr>
        <w:t>articles</w:t>
      </w:r>
      <w:r>
        <w:rPr>
          <w:rFonts w:ascii="Arial" w:hAnsi="Arial" w:cs="Arial"/>
          <w:sz w:val="24"/>
          <w:szCs w:val="24"/>
          <w:lang w:val="en-GB"/>
        </w:rPr>
        <w:t xml:space="preserve"> (see PRISMA flow chart in </w:t>
      </w:r>
      <w:r w:rsidR="00E8415C">
        <w:rPr>
          <w:rFonts w:ascii="Arial" w:hAnsi="Arial" w:cs="Arial"/>
          <w:sz w:val="24"/>
          <w:szCs w:val="24"/>
          <w:lang w:val="en-GB"/>
        </w:rPr>
        <w:fldChar w:fldCharType="begin"/>
      </w:r>
      <w:r w:rsidR="00E8415C">
        <w:rPr>
          <w:rFonts w:ascii="Arial" w:hAnsi="Arial" w:cs="Arial"/>
          <w:sz w:val="24"/>
          <w:szCs w:val="24"/>
          <w:lang w:val="en-GB"/>
        </w:rPr>
        <w:instrText xml:space="preserve"> REF _Ref148112661 \h </w:instrText>
      </w:r>
      <w:r w:rsidR="001C225C">
        <w:rPr>
          <w:rFonts w:ascii="Arial" w:hAnsi="Arial" w:cs="Arial"/>
          <w:sz w:val="24"/>
          <w:szCs w:val="24"/>
          <w:lang w:val="en-GB"/>
        </w:rPr>
        <w:instrText xml:space="preserve"> \* MERGEFORMAT </w:instrText>
      </w:r>
      <w:r w:rsidR="00E8415C">
        <w:rPr>
          <w:rFonts w:ascii="Arial" w:hAnsi="Arial" w:cs="Arial"/>
          <w:sz w:val="24"/>
          <w:szCs w:val="24"/>
          <w:lang w:val="en-GB"/>
        </w:rPr>
      </w:r>
      <w:r w:rsidR="00E8415C">
        <w:rPr>
          <w:rFonts w:ascii="Arial" w:hAnsi="Arial" w:cs="Arial"/>
          <w:sz w:val="24"/>
          <w:szCs w:val="24"/>
          <w:lang w:val="en-GB"/>
        </w:rPr>
        <w:fldChar w:fldCharType="separate"/>
      </w:r>
      <w:r w:rsidR="00E8415C" w:rsidRPr="001C225C">
        <w:rPr>
          <w:rFonts w:ascii="Arial" w:hAnsi="Arial" w:cs="Arial"/>
          <w:sz w:val="24"/>
          <w:szCs w:val="24"/>
          <w:lang w:val="en-GB"/>
        </w:rPr>
        <w:t>Figure 1</w:t>
      </w:r>
      <w:r w:rsidR="00E8415C">
        <w:rPr>
          <w:rFonts w:ascii="Arial" w:hAnsi="Arial" w:cs="Arial"/>
          <w:sz w:val="24"/>
          <w:szCs w:val="24"/>
          <w:lang w:val="en-GB"/>
        </w:rPr>
        <w:fldChar w:fldCharType="end"/>
      </w:r>
      <w:r>
        <w:rPr>
          <w:rFonts w:ascii="Arial" w:hAnsi="Arial" w:cs="Arial"/>
          <w:sz w:val="24"/>
          <w:szCs w:val="24"/>
          <w:lang w:val="en-GB"/>
        </w:rPr>
        <w:t xml:space="preserve">). </w:t>
      </w:r>
      <w:r w:rsidRPr="006B2FC7">
        <w:rPr>
          <w:rFonts w:ascii="Arial" w:hAnsi="Arial" w:cs="Arial"/>
          <w:sz w:val="24"/>
          <w:szCs w:val="24"/>
          <w:lang w:val="en-GB"/>
        </w:rPr>
        <w:t>After the removal of duplicates, the title and abstracts</w:t>
      </w:r>
      <w:r>
        <w:rPr>
          <w:rFonts w:ascii="Arial" w:hAnsi="Arial" w:cs="Arial"/>
          <w:sz w:val="24"/>
          <w:szCs w:val="24"/>
          <w:lang w:val="en-GB"/>
        </w:rPr>
        <w:t xml:space="preserve"> of 1,086 </w:t>
      </w:r>
      <w:r w:rsidRPr="006B2FC7">
        <w:rPr>
          <w:rFonts w:ascii="Arial" w:hAnsi="Arial" w:cs="Arial"/>
          <w:sz w:val="24"/>
          <w:szCs w:val="24"/>
          <w:lang w:val="en-GB"/>
        </w:rPr>
        <w:t xml:space="preserve">articles were reviewed, and </w:t>
      </w:r>
      <w:r>
        <w:rPr>
          <w:rFonts w:ascii="Arial" w:hAnsi="Arial" w:cs="Arial"/>
          <w:sz w:val="24"/>
          <w:szCs w:val="24"/>
          <w:lang w:val="en-GB"/>
        </w:rPr>
        <w:t xml:space="preserve">654 </w:t>
      </w:r>
      <w:r w:rsidRPr="006B2FC7">
        <w:rPr>
          <w:rFonts w:ascii="Arial" w:hAnsi="Arial" w:cs="Arial"/>
          <w:sz w:val="24"/>
          <w:szCs w:val="24"/>
          <w:lang w:val="en-GB"/>
        </w:rPr>
        <w:t xml:space="preserve">studies were excluded. </w:t>
      </w:r>
      <w:r>
        <w:rPr>
          <w:rFonts w:ascii="Arial" w:hAnsi="Arial" w:cs="Arial"/>
          <w:sz w:val="24"/>
          <w:szCs w:val="24"/>
          <w:lang w:val="en-GB"/>
        </w:rPr>
        <w:t>Subsequently, 432</w:t>
      </w:r>
      <w:r w:rsidRPr="000F766A">
        <w:rPr>
          <w:rFonts w:ascii="Arial" w:hAnsi="Arial" w:cs="Arial"/>
          <w:sz w:val="24"/>
          <w:szCs w:val="24"/>
          <w:lang w:val="en-GB"/>
        </w:rPr>
        <w:t xml:space="preserve"> </w:t>
      </w:r>
      <w:r>
        <w:rPr>
          <w:rFonts w:ascii="Arial" w:hAnsi="Arial" w:cs="Arial"/>
          <w:sz w:val="24"/>
          <w:szCs w:val="24"/>
          <w:lang w:val="en-GB"/>
        </w:rPr>
        <w:t xml:space="preserve">full-text </w:t>
      </w:r>
      <w:r w:rsidRPr="006B2FC7">
        <w:rPr>
          <w:rFonts w:ascii="Arial" w:hAnsi="Arial" w:cs="Arial"/>
          <w:sz w:val="24"/>
          <w:szCs w:val="24"/>
          <w:lang w:val="en-GB"/>
        </w:rPr>
        <w:t>articles were assessed for eligibility</w:t>
      </w:r>
      <w:r>
        <w:rPr>
          <w:rFonts w:ascii="Arial" w:hAnsi="Arial" w:cs="Arial"/>
          <w:sz w:val="24"/>
          <w:szCs w:val="24"/>
          <w:lang w:val="en-GB"/>
        </w:rPr>
        <w:t>, of which 357</w:t>
      </w:r>
      <w:r w:rsidRPr="006B2FC7">
        <w:rPr>
          <w:rFonts w:ascii="Arial" w:hAnsi="Arial" w:cs="Arial"/>
          <w:sz w:val="24"/>
          <w:szCs w:val="24"/>
          <w:lang w:val="en-GB"/>
        </w:rPr>
        <w:t xml:space="preserve"> were excluded because they did not meet the inclusion criteria.</w:t>
      </w:r>
      <w:r>
        <w:rPr>
          <w:rFonts w:ascii="Arial" w:hAnsi="Arial" w:cs="Arial"/>
          <w:sz w:val="24"/>
          <w:szCs w:val="24"/>
          <w:lang w:val="en-GB"/>
        </w:rPr>
        <w:t xml:space="preserve"> </w:t>
      </w:r>
      <w:r w:rsidRPr="002A16EC">
        <w:rPr>
          <w:rFonts w:ascii="Arial" w:hAnsi="Arial" w:cs="Arial"/>
          <w:sz w:val="24"/>
          <w:szCs w:val="24"/>
          <w:lang w:val="en-GB"/>
        </w:rPr>
        <w:t>Therefore 75 articles met the inclusion criteria and were included in the review.</w:t>
      </w:r>
      <w:r w:rsidRPr="002A16EC">
        <w:br w:type="page"/>
      </w:r>
    </w:p>
    <w:p w14:paraId="0D2442C4" w14:textId="310C93C3" w:rsidR="00156C16" w:rsidRPr="000919AC" w:rsidRDefault="00156C16" w:rsidP="00DD229F">
      <w:pPr>
        <w:pStyle w:val="Header"/>
        <w:rPr>
          <w:sz w:val="28"/>
          <w:szCs w:val="28"/>
        </w:rPr>
      </w:pPr>
      <w:bookmarkStart w:id="47" w:name="_Hlk34343159"/>
      <w:r>
        <w:rPr>
          <w:rFonts w:ascii="Calibri" w:hAnsi="Calibri"/>
          <w:b/>
          <w:bCs/>
          <w:sz w:val="28"/>
          <w:szCs w:val="28"/>
        </w:rPr>
        <w:t xml:space="preserve">PRISMA FLOW CHART </w:t>
      </w:r>
    </w:p>
    <w:p w14:paraId="556A4F75" w14:textId="1CC4C08D" w:rsidR="00DD229F" w:rsidRDefault="00A41E4C" w:rsidP="00DD229F">
      <w:r>
        <w:rPr>
          <w:noProof/>
        </w:rPr>
        <mc:AlternateContent>
          <mc:Choice Requires="wps">
            <w:drawing>
              <wp:anchor distT="0" distB="0" distL="114300" distR="114300" simplePos="0" relativeHeight="251598336" behindDoc="0" locked="0" layoutInCell="1" allowOverlap="1" wp14:anchorId="682F3312" wp14:editId="4ADB621A">
                <wp:simplePos x="0" y="0"/>
                <wp:positionH relativeFrom="column">
                  <wp:posOffset>1167898</wp:posOffset>
                </wp:positionH>
                <wp:positionV relativeFrom="paragraph">
                  <wp:posOffset>353198</wp:posOffset>
                </wp:positionV>
                <wp:extent cx="3501120" cy="558165"/>
                <wp:effectExtent l="0" t="0" r="23495" b="13335"/>
                <wp:wrapNone/>
                <wp:docPr id="74573819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1120" cy="558165"/>
                        </a:xfrm>
                        <a:prstGeom prst="rect">
                          <a:avLst/>
                        </a:prstGeom>
                        <a:solidFill>
                          <a:srgbClr val="FFFFFF"/>
                        </a:solidFill>
                        <a:ln w="9525">
                          <a:solidFill>
                            <a:srgbClr val="000000"/>
                          </a:solidFill>
                          <a:miter lim="800000"/>
                          <a:headEnd/>
                          <a:tailEnd/>
                        </a:ln>
                      </wps:spPr>
                      <wps:txbx>
                        <w:txbxContent>
                          <w:p w14:paraId="55038F8C" w14:textId="77777777" w:rsidR="00DD229F" w:rsidRDefault="00DD229F" w:rsidP="00DD229F">
                            <w:pPr>
                              <w:spacing w:after="0" w:line="240" w:lineRule="auto"/>
                              <w:jc w:val="center"/>
                              <w:rPr>
                                <w:rFonts w:ascii="Calibri" w:hAnsi="Calibri"/>
                              </w:rPr>
                            </w:pPr>
                            <w:r>
                              <w:rPr>
                                <w:rFonts w:ascii="Calibri" w:hAnsi="Calibri"/>
                              </w:rPr>
                              <w:t xml:space="preserve">Records identified through database searching: </w:t>
                            </w:r>
                          </w:p>
                          <w:p w14:paraId="04A6C049" w14:textId="77777777" w:rsidR="00DD229F" w:rsidRDefault="00DD229F" w:rsidP="00DD229F">
                            <w:pPr>
                              <w:spacing w:after="0" w:line="240" w:lineRule="auto"/>
                              <w:jc w:val="center"/>
                              <w:rPr>
                                <w:rFonts w:ascii="Calibri" w:hAnsi="Calibri"/>
                                <w:lang w:val="en"/>
                              </w:rPr>
                            </w:pPr>
                            <w:r>
                              <w:rPr>
                                <w:rFonts w:ascii="Calibri" w:hAnsi="Calibri"/>
                              </w:rPr>
                              <w:t>(n=</w:t>
                            </w:r>
                            <w:r w:rsidRPr="00E649A9">
                              <w:rPr>
                                <w:rFonts w:ascii="Calibri" w:hAnsi="Calibri"/>
                              </w:rPr>
                              <w:t>2,0</w:t>
                            </w:r>
                            <w:r>
                              <w:rPr>
                                <w:rFonts w:ascii="Calibri" w:hAnsi="Calibri"/>
                              </w:rPr>
                              <w:t>93)</w:t>
                            </w:r>
                            <w:r>
                              <w:rPr>
                                <w:rFonts w:ascii="Calibri" w:hAnsi="Calibri"/>
                              </w:rPr>
                              <w:br/>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2F3312" id="Rectangle 11" o:spid="_x0000_s1026" style="position:absolute;margin-left:91.95pt;margin-top:27.8pt;width:275.7pt;height:43.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">
                <v:textbox inset=",7.2pt,,7.2pt">
                  <w:txbxContent>
                    <w:p w14:paraId="55038F8C" w14:textId="77777777" w:rsidR="00DD229F" w:rsidRDefault="00DD229F" w:rsidP="00DD229F">
                      <w:pPr>
                        <w:spacing w:after="0" w:line="240" w:lineRule="auto"/>
                        <w:jc w:val="center"/>
                        <w:rPr>
                          <w:rFonts w:ascii="Calibri" w:hAnsi="Calibri"/>
                        </w:rPr>
                      </w:pPr>
                      <w:r>
                        <w:rPr>
                          <w:rFonts w:ascii="Calibri" w:hAnsi="Calibri"/>
                        </w:rPr>
                        <w:t xml:space="preserve">Records identified through database searching: </w:t>
                      </w:r>
                    </w:p>
                    <w:p w14:paraId="04A6C049" w14:textId="77777777" w:rsidR="00DD229F" w:rsidRDefault="00DD229F" w:rsidP="00DD229F">
                      <w:pPr>
                        <w:spacing w:after="0" w:line="240" w:lineRule="auto"/>
                        <w:jc w:val="center"/>
                        <w:rPr>
                          <w:rFonts w:ascii="Calibri" w:hAnsi="Calibri"/>
                          <w:lang w:val="en"/>
                        </w:rPr>
                      </w:pPr>
                      <w:r>
                        <w:rPr>
                          <w:rFonts w:ascii="Calibri" w:hAnsi="Calibri"/>
                        </w:rPr>
                        <w:t>(n=</w:t>
                      </w:r>
                      <w:r w:rsidRPr="00E649A9">
                        <w:rPr>
                          <w:rFonts w:ascii="Calibri" w:hAnsi="Calibri"/>
                        </w:rPr>
                        <w:t>2,0</w:t>
                      </w:r>
                      <w:r>
                        <w:rPr>
                          <w:rFonts w:ascii="Calibri" w:hAnsi="Calibri"/>
                        </w:rPr>
                        <w:t>93)</w:t>
                      </w:r>
                      <w:r>
                        <w:rPr>
                          <w:rFonts w:ascii="Calibri" w:hAnsi="Calibri"/>
                        </w:rPr>
                        <w:br/>
                      </w:r>
                    </w:p>
                  </w:txbxContent>
                </v:textbox>
              </v:rect>
            </w:pict>
          </mc:Fallback>
        </mc:AlternateContent>
      </w:r>
      <w:r w:rsidR="00DD229F">
        <w:br/>
      </w:r>
    </w:p>
    <w:bookmarkEnd w:id="47"/>
    <w:p w14:paraId="6A770C16" w14:textId="77777777" w:rsidR="00DD229F" w:rsidRDefault="00DD229F" w:rsidP="00DD229F">
      <w:pPr>
        <w:tabs>
          <w:tab w:val="left" w:pos="8002"/>
        </w:tabs>
      </w:pPr>
      <w:r>
        <w:tab/>
      </w:r>
    </w:p>
    <w:p w14:paraId="7417A292" w14:textId="28CB80C2" w:rsidR="00DD229F" w:rsidRPr="00E741EC" w:rsidRDefault="00A41E4C" w:rsidP="00DD229F">
      <w:r>
        <w:rPr>
          <w:noProof/>
        </w:rPr>
        <mc:AlternateContent>
          <mc:Choice Requires="wps">
            <w:drawing>
              <wp:anchor distT="0" distB="0" distL="114299" distR="114299" simplePos="0" relativeHeight="251671040" behindDoc="0" locked="0" layoutInCell="1" allowOverlap="1" wp14:anchorId="585202E0" wp14:editId="279A076F">
                <wp:simplePos x="0" y="0"/>
                <wp:positionH relativeFrom="column">
                  <wp:posOffset>2161886</wp:posOffset>
                </wp:positionH>
                <wp:positionV relativeFrom="paragraph">
                  <wp:posOffset>159410</wp:posOffset>
                </wp:positionV>
                <wp:extent cx="0" cy="483235"/>
                <wp:effectExtent l="76200" t="0" r="38100" b="31115"/>
                <wp:wrapNone/>
                <wp:docPr id="109950075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323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187635B" id="_x0000_t32" coordsize="21600,21600" o:spt="32" o:oned="t" path="m,l21600,21600e" filled="f">
                <v:path arrowok="t" fillok="f" o:connecttype="none"/>
                <o:lock v:ext="edit" shapetype="t"/>
              </v:shapetype>
              <v:shape id="Straight Arrow Connector 10" o:spid="_x0000_s1026" type="#_x0000_t32" style="position:absolute;margin-left:170.25pt;margin-top:12.55pt;width:0;height:38.05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" strokecolor="black [3200]" strokeweight="1pt">
                <v:stroke endarrow="block" joinstyle="miter"/>
                <o:lock v:ext="edit" shapetype="f"/>
              </v:shape>
            </w:pict>
          </mc:Fallback>
        </mc:AlternateContent>
      </w:r>
    </w:p>
    <w:p w14:paraId="49C4C189" w14:textId="77777777" w:rsidR="00DD229F" w:rsidRPr="00E741EC" w:rsidRDefault="00DD229F" w:rsidP="00DD229F"/>
    <w:p w14:paraId="1C418069" w14:textId="663B4CDE" w:rsidR="00DD229F" w:rsidRPr="00E741EC" w:rsidRDefault="00A41E4C" w:rsidP="00DD229F">
      <w:r>
        <w:rPr>
          <w:noProof/>
        </w:rPr>
        <mc:AlternateContent>
          <mc:Choice Requires="wps">
            <w:drawing>
              <wp:anchor distT="0" distB="0" distL="114300" distR="114300" simplePos="0" relativeHeight="251604480" behindDoc="0" locked="0" layoutInCell="1" allowOverlap="1" wp14:anchorId="09CA1DD4" wp14:editId="5EFD9D3C">
                <wp:simplePos x="0" y="0"/>
                <wp:positionH relativeFrom="column">
                  <wp:posOffset>1068309</wp:posOffset>
                </wp:positionH>
                <wp:positionV relativeFrom="paragraph">
                  <wp:posOffset>76886</wp:posOffset>
                </wp:positionV>
                <wp:extent cx="2348865" cy="679010"/>
                <wp:effectExtent l="0" t="0" r="13335" b="26035"/>
                <wp:wrapNone/>
                <wp:docPr id="30642328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865" cy="679010"/>
                        </a:xfrm>
                        <a:prstGeom prst="rect">
                          <a:avLst/>
                        </a:prstGeom>
                        <a:solidFill>
                          <a:srgbClr val="FFFFFF"/>
                        </a:solidFill>
                        <a:ln w="9525">
                          <a:solidFill>
                            <a:srgbClr val="000000"/>
                          </a:solidFill>
                          <a:miter lim="800000"/>
                          <a:headEnd/>
                          <a:tailEnd/>
                        </a:ln>
                      </wps:spPr>
                      <wps:txbx>
                        <w:txbxContent>
                          <w:p w14:paraId="76888C3D" w14:textId="77777777" w:rsidR="00DD229F" w:rsidRPr="005931AD" w:rsidRDefault="00DD229F" w:rsidP="00DD229F">
                            <w:pPr>
                              <w:spacing w:after="0" w:line="240" w:lineRule="auto"/>
                              <w:jc w:val="center"/>
                              <w:rPr>
                                <w:rFonts w:ascii="Calibri" w:hAnsi="Calibri"/>
                              </w:rPr>
                            </w:pPr>
                            <w:r>
                              <w:rPr>
                                <w:rFonts w:ascii="Calibri" w:hAnsi="Calibri"/>
                              </w:rPr>
                              <w:t>Records after duplicates removed</w:t>
                            </w:r>
                            <w:r>
                              <w:rPr>
                                <w:rFonts w:ascii="Calibri" w:hAnsi="Calibri"/>
                              </w:rPr>
                              <w:br/>
                              <w:t xml:space="preserve">(n = </w:t>
                            </w:r>
                            <w:r w:rsidRPr="005931AD">
                              <w:rPr>
                                <w:rFonts w:ascii="Calibri" w:hAnsi="Calibri"/>
                              </w:rPr>
                              <w:t>1,0</w:t>
                            </w:r>
                            <w:r>
                              <w:rPr>
                                <w:rFonts w:ascii="Calibri" w:hAnsi="Calibri"/>
                              </w:rPr>
                              <w:t>86)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A1DD4" id="Rectangle 9" o:spid="_x0000_s1027" style="position:absolute;margin-left:84.1pt;margin-top:6.05pt;width:184.95pt;height:53.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">
                <v:textbox inset=",7.2pt,,7.2pt">
                  <w:txbxContent>
                    <w:p w14:paraId="76888C3D" w14:textId="77777777" w:rsidR="00DD229F" w:rsidRPr="005931AD" w:rsidRDefault="00DD229F" w:rsidP="00DD229F">
                      <w:pPr>
                        <w:spacing w:after="0" w:line="240" w:lineRule="auto"/>
                        <w:jc w:val="center"/>
                        <w:rPr>
                          <w:rFonts w:ascii="Calibri" w:hAnsi="Calibri"/>
                        </w:rPr>
                      </w:pPr>
                      <w:r>
                        <w:rPr>
                          <w:rFonts w:ascii="Calibri" w:hAnsi="Calibri"/>
                        </w:rPr>
                        <w:t>Records after duplicates removed</w:t>
                      </w:r>
                      <w:r>
                        <w:rPr>
                          <w:rFonts w:ascii="Calibri" w:hAnsi="Calibri"/>
                        </w:rPr>
                        <w:br/>
                        <w:t xml:space="preserve">(n = </w:t>
                      </w:r>
                      <w:r w:rsidRPr="005931AD">
                        <w:rPr>
                          <w:rFonts w:ascii="Calibri" w:hAnsi="Calibri"/>
                        </w:rPr>
                        <w:t>1,0</w:t>
                      </w:r>
                      <w:r>
                        <w:rPr>
                          <w:rFonts w:ascii="Calibri" w:hAnsi="Calibri"/>
                        </w:rPr>
                        <w:t>86)</w:t>
                      </w:r>
                    </w:p>
                  </w:txbxContent>
                </v:textbox>
              </v:rect>
            </w:pict>
          </mc:Fallback>
        </mc:AlternateContent>
      </w:r>
    </w:p>
    <w:p w14:paraId="17E7F53E" w14:textId="594F873C" w:rsidR="00DD229F" w:rsidRPr="00E741EC" w:rsidRDefault="00DD229F" w:rsidP="00DD229F"/>
    <w:p w14:paraId="38B80EBC" w14:textId="0720B0AD" w:rsidR="00DD229F" w:rsidRPr="00E741EC" w:rsidRDefault="00DF006F" w:rsidP="00DD229F">
      <w:r>
        <w:rPr>
          <w:noProof/>
        </w:rPr>
        <mc:AlternateContent>
          <mc:Choice Requires="wps">
            <w:drawing>
              <wp:anchor distT="0" distB="0" distL="114300" distR="114300" simplePos="0" relativeHeight="251614720" behindDoc="0" locked="0" layoutInCell="1" allowOverlap="1" wp14:anchorId="70651995" wp14:editId="211D706B">
                <wp:simplePos x="0" y="0"/>
                <wp:positionH relativeFrom="column">
                  <wp:posOffset>3808661</wp:posOffset>
                </wp:positionH>
                <wp:positionV relativeFrom="paragraph">
                  <wp:posOffset>58911</wp:posOffset>
                </wp:positionV>
                <wp:extent cx="2393950" cy="1835150"/>
                <wp:effectExtent l="0" t="0" r="6350" b="0"/>
                <wp:wrapNone/>
                <wp:docPr id="1575693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1835150"/>
                        </a:xfrm>
                        <a:prstGeom prst="rect">
                          <a:avLst/>
                        </a:prstGeom>
                        <a:solidFill>
                          <a:srgbClr val="FFFFFF"/>
                        </a:solidFill>
                        <a:ln w="9525">
                          <a:solidFill>
                            <a:srgbClr val="000000"/>
                          </a:solidFill>
                          <a:miter lim="800000"/>
                          <a:headEnd/>
                          <a:tailEnd/>
                        </a:ln>
                      </wps:spPr>
                      <wps:txbx>
                        <w:txbxContent>
                          <w:p w14:paraId="0E831362" w14:textId="77777777" w:rsidR="00DD229F" w:rsidRPr="00B763F5" w:rsidRDefault="00DD229F" w:rsidP="00DD229F">
                            <w:pPr>
                              <w:spacing w:after="0" w:line="240" w:lineRule="auto"/>
                              <w:jc w:val="center"/>
                              <w:rPr>
                                <w:rFonts w:ascii="Calibri" w:hAnsi="Calibri"/>
                              </w:rPr>
                            </w:pPr>
                            <w:r w:rsidRPr="00B763F5">
                              <w:rPr>
                                <w:rFonts w:ascii="Calibri" w:hAnsi="Calibri"/>
                              </w:rPr>
                              <w:t>Records excluded after title and abstract screening (n = 654)</w:t>
                            </w:r>
                          </w:p>
                          <w:p w14:paraId="558B49ED" w14:textId="77777777" w:rsidR="00DD229F" w:rsidRPr="00B763F5" w:rsidRDefault="00DD229F" w:rsidP="00DD229F">
                            <w:pPr>
                              <w:spacing w:after="0" w:line="240" w:lineRule="auto"/>
                              <w:jc w:val="center"/>
                              <w:rPr>
                                <w:rFonts w:ascii="Calibri" w:hAnsi="Calibri"/>
                              </w:rPr>
                            </w:pPr>
                          </w:p>
                          <w:p w14:paraId="5B9FF332" w14:textId="77777777" w:rsidR="00DD229F" w:rsidRPr="00B763F5" w:rsidRDefault="00DD229F" w:rsidP="00DD229F">
                            <w:pPr>
                              <w:spacing w:after="0" w:line="240" w:lineRule="auto"/>
                              <w:jc w:val="center"/>
                              <w:rPr>
                                <w:rFonts w:ascii="Calibri" w:hAnsi="Calibri"/>
                              </w:rPr>
                            </w:pPr>
                            <w:r w:rsidRPr="00B763F5">
                              <w:rPr>
                                <w:rFonts w:ascii="Calibri" w:hAnsi="Calibri"/>
                              </w:rPr>
                              <w:t>Medication evaluation</w:t>
                            </w:r>
                          </w:p>
                          <w:p w14:paraId="2241A6CC" w14:textId="77777777" w:rsidR="00DD229F" w:rsidRPr="00B763F5" w:rsidRDefault="00DD229F" w:rsidP="00DD229F">
                            <w:pPr>
                              <w:spacing w:after="0" w:line="240" w:lineRule="auto"/>
                              <w:jc w:val="center"/>
                              <w:rPr>
                                <w:rFonts w:ascii="Calibri" w:hAnsi="Calibri"/>
                              </w:rPr>
                            </w:pPr>
                            <w:r w:rsidRPr="00B763F5">
                              <w:rPr>
                                <w:rFonts w:ascii="Calibri" w:hAnsi="Calibri"/>
                              </w:rPr>
                              <w:t>Policy/guideline review</w:t>
                            </w:r>
                          </w:p>
                          <w:p w14:paraId="4BA8AD96" w14:textId="77777777" w:rsidR="00DD229F" w:rsidRPr="00B763F5" w:rsidRDefault="00DD229F" w:rsidP="00DD229F">
                            <w:pPr>
                              <w:spacing w:after="0" w:line="240" w:lineRule="auto"/>
                              <w:jc w:val="center"/>
                              <w:rPr>
                                <w:rFonts w:ascii="Calibri" w:hAnsi="Calibri"/>
                              </w:rPr>
                            </w:pPr>
                            <w:r w:rsidRPr="00B763F5">
                              <w:rPr>
                                <w:rFonts w:ascii="Calibri" w:hAnsi="Calibri"/>
                              </w:rPr>
                              <w:t>Other conditions</w:t>
                            </w:r>
                          </w:p>
                          <w:p w14:paraId="2118264A" w14:textId="77777777" w:rsidR="00DD229F" w:rsidRPr="00B763F5" w:rsidRDefault="00DD229F" w:rsidP="00DD229F">
                            <w:pPr>
                              <w:spacing w:after="0" w:line="240" w:lineRule="auto"/>
                              <w:jc w:val="center"/>
                              <w:rPr>
                                <w:rFonts w:ascii="Calibri" w:hAnsi="Calibri"/>
                              </w:rPr>
                            </w:pPr>
                            <w:r w:rsidRPr="00B763F5">
                              <w:rPr>
                                <w:rFonts w:ascii="Calibri" w:hAnsi="Calibri"/>
                              </w:rPr>
                              <w:t>No pharmacy intervention</w:t>
                            </w:r>
                          </w:p>
                          <w:p w14:paraId="3681B3B5" w14:textId="77777777" w:rsidR="00DD229F" w:rsidRPr="00B763F5" w:rsidRDefault="00DD229F" w:rsidP="00DD229F">
                            <w:pPr>
                              <w:spacing w:after="0" w:line="240" w:lineRule="auto"/>
                              <w:jc w:val="center"/>
                              <w:rPr>
                                <w:rFonts w:ascii="Calibri" w:hAnsi="Calibri"/>
                              </w:rPr>
                            </w:pPr>
                            <w:r w:rsidRPr="00B763F5">
                              <w:rPr>
                                <w:rFonts w:ascii="Calibri" w:hAnsi="Calibri"/>
                              </w:rPr>
                              <w:t>Evaluate delivery system of medicines</w:t>
                            </w:r>
                          </w:p>
                          <w:p w14:paraId="28D803E4" w14:textId="77777777" w:rsidR="00DD229F" w:rsidRPr="00B763F5" w:rsidRDefault="00DD229F" w:rsidP="00DD229F">
                            <w:pPr>
                              <w:spacing w:after="0" w:line="240" w:lineRule="auto"/>
                              <w:jc w:val="center"/>
                              <w:rPr>
                                <w:rFonts w:ascii="Calibri" w:hAnsi="Calibri"/>
                              </w:rPr>
                            </w:pPr>
                            <w:r w:rsidRPr="00B763F5">
                              <w:rPr>
                                <w:rFonts w:ascii="Calibri" w:hAnsi="Calibri"/>
                              </w:rPr>
                              <w:t>Studies with medications</w:t>
                            </w:r>
                          </w:p>
                          <w:p w14:paraId="021A1334" w14:textId="77777777" w:rsidR="00DD229F" w:rsidRPr="002E1566" w:rsidRDefault="00DD229F" w:rsidP="00DD229F">
                            <w:pPr>
                              <w:spacing w:after="0" w:line="240" w:lineRule="auto"/>
                              <w:jc w:val="center"/>
                              <w:rPr>
                                <w:rFonts w:ascii="Calibri" w:hAnsi="Calibri"/>
                                <w:sz w:val="20"/>
                                <w:szCs w:val="20"/>
                              </w:rPr>
                            </w:pPr>
                          </w:p>
                          <w:p w14:paraId="3D5F6F68" w14:textId="77777777" w:rsidR="00DD229F" w:rsidRPr="002E1566" w:rsidRDefault="00DD229F" w:rsidP="00DD229F">
                            <w:pPr>
                              <w:spacing w:after="0" w:line="240" w:lineRule="auto"/>
                              <w:jc w:val="center"/>
                              <w:rPr>
                                <w:rFonts w:ascii="Calibri" w:hAnsi="Calibri"/>
                                <w:sz w:val="20"/>
                                <w:szCs w:val="20"/>
                              </w:rPr>
                            </w:pPr>
                          </w:p>
                          <w:p w14:paraId="1141C77F" w14:textId="77777777" w:rsidR="00DD229F" w:rsidRPr="002E1566" w:rsidRDefault="00DD229F" w:rsidP="00DD229F">
                            <w:pPr>
                              <w:spacing w:after="0" w:line="240" w:lineRule="auto"/>
                              <w:jc w:val="center"/>
                              <w:rPr>
                                <w:rFonts w:ascii="Calibri" w:hAnsi="Calibri"/>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51995" id="Rectangle 8" o:spid="_x0000_s1028" style="position:absolute;margin-left:299.9pt;margin-top:4.65pt;width:188.5pt;height:14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">
                <v:textbox inset=",7.2pt,,7.2pt">
                  <w:txbxContent>
                    <w:p w14:paraId="0E831362" w14:textId="77777777" w:rsidR="00DD229F" w:rsidRPr="00B763F5" w:rsidRDefault="00DD229F" w:rsidP="00DD229F">
                      <w:pPr>
                        <w:spacing w:after="0" w:line="240" w:lineRule="auto"/>
                        <w:jc w:val="center"/>
                        <w:rPr>
                          <w:rFonts w:ascii="Calibri" w:hAnsi="Calibri"/>
                        </w:rPr>
                      </w:pPr>
                      <w:r w:rsidRPr="00B763F5">
                        <w:rPr>
                          <w:rFonts w:ascii="Calibri" w:hAnsi="Calibri"/>
                        </w:rPr>
                        <w:t>Records excluded after title and abstract screening (n = 654)</w:t>
                      </w:r>
                    </w:p>
                    <w:p w14:paraId="558B49ED" w14:textId="77777777" w:rsidR="00DD229F" w:rsidRPr="00B763F5" w:rsidRDefault="00DD229F" w:rsidP="00DD229F">
                      <w:pPr>
                        <w:spacing w:after="0" w:line="240" w:lineRule="auto"/>
                        <w:jc w:val="center"/>
                        <w:rPr>
                          <w:rFonts w:ascii="Calibri" w:hAnsi="Calibri"/>
                        </w:rPr>
                      </w:pPr>
                    </w:p>
                    <w:p w14:paraId="5B9FF332" w14:textId="77777777" w:rsidR="00DD229F" w:rsidRPr="00B763F5" w:rsidRDefault="00DD229F" w:rsidP="00DD229F">
                      <w:pPr>
                        <w:spacing w:after="0" w:line="240" w:lineRule="auto"/>
                        <w:jc w:val="center"/>
                        <w:rPr>
                          <w:rFonts w:ascii="Calibri" w:hAnsi="Calibri"/>
                        </w:rPr>
                      </w:pPr>
                      <w:r w:rsidRPr="00B763F5">
                        <w:rPr>
                          <w:rFonts w:ascii="Calibri" w:hAnsi="Calibri"/>
                        </w:rPr>
                        <w:t>Medication evaluation</w:t>
                      </w:r>
                    </w:p>
                    <w:p w14:paraId="2241A6CC" w14:textId="77777777" w:rsidR="00DD229F" w:rsidRPr="00B763F5" w:rsidRDefault="00DD229F" w:rsidP="00DD229F">
                      <w:pPr>
                        <w:spacing w:after="0" w:line="240" w:lineRule="auto"/>
                        <w:jc w:val="center"/>
                        <w:rPr>
                          <w:rFonts w:ascii="Calibri" w:hAnsi="Calibri"/>
                        </w:rPr>
                      </w:pPr>
                      <w:r w:rsidRPr="00B763F5">
                        <w:rPr>
                          <w:rFonts w:ascii="Calibri" w:hAnsi="Calibri"/>
                        </w:rPr>
                        <w:t>Policy/guideline review</w:t>
                      </w:r>
                    </w:p>
                    <w:p w14:paraId="4BA8AD96" w14:textId="77777777" w:rsidR="00DD229F" w:rsidRPr="00B763F5" w:rsidRDefault="00DD229F" w:rsidP="00DD229F">
                      <w:pPr>
                        <w:spacing w:after="0" w:line="240" w:lineRule="auto"/>
                        <w:jc w:val="center"/>
                        <w:rPr>
                          <w:rFonts w:ascii="Calibri" w:hAnsi="Calibri"/>
                        </w:rPr>
                      </w:pPr>
                      <w:r w:rsidRPr="00B763F5">
                        <w:rPr>
                          <w:rFonts w:ascii="Calibri" w:hAnsi="Calibri"/>
                        </w:rPr>
                        <w:t>Other conditions</w:t>
                      </w:r>
                    </w:p>
                    <w:p w14:paraId="2118264A" w14:textId="77777777" w:rsidR="00DD229F" w:rsidRPr="00B763F5" w:rsidRDefault="00DD229F" w:rsidP="00DD229F">
                      <w:pPr>
                        <w:spacing w:after="0" w:line="240" w:lineRule="auto"/>
                        <w:jc w:val="center"/>
                        <w:rPr>
                          <w:rFonts w:ascii="Calibri" w:hAnsi="Calibri"/>
                        </w:rPr>
                      </w:pPr>
                      <w:r w:rsidRPr="00B763F5">
                        <w:rPr>
                          <w:rFonts w:ascii="Calibri" w:hAnsi="Calibri"/>
                        </w:rPr>
                        <w:t>No pharmacy intervention</w:t>
                      </w:r>
                    </w:p>
                    <w:p w14:paraId="3681B3B5" w14:textId="77777777" w:rsidR="00DD229F" w:rsidRPr="00B763F5" w:rsidRDefault="00DD229F" w:rsidP="00DD229F">
                      <w:pPr>
                        <w:spacing w:after="0" w:line="240" w:lineRule="auto"/>
                        <w:jc w:val="center"/>
                        <w:rPr>
                          <w:rFonts w:ascii="Calibri" w:hAnsi="Calibri"/>
                        </w:rPr>
                      </w:pPr>
                      <w:r w:rsidRPr="00B763F5">
                        <w:rPr>
                          <w:rFonts w:ascii="Calibri" w:hAnsi="Calibri"/>
                        </w:rPr>
                        <w:t>Evaluate delivery system of medicines</w:t>
                      </w:r>
                    </w:p>
                    <w:p w14:paraId="28D803E4" w14:textId="77777777" w:rsidR="00DD229F" w:rsidRPr="00B763F5" w:rsidRDefault="00DD229F" w:rsidP="00DD229F">
                      <w:pPr>
                        <w:spacing w:after="0" w:line="240" w:lineRule="auto"/>
                        <w:jc w:val="center"/>
                        <w:rPr>
                          <w:rFonts w:ascii="Calibri" w:hAnsi="Calibri"/>
                        </w:rPr>
                      </w:pPr>
                      <w:r w:rsidRPr="00B763F5">
                        <w:rPr>
                          <w:rFonts w:ascii="Calibri" w:hAnsi="Calibri"/>
                        </w:rPr>
                        <w:t>Studies with medications</w:t>
                      </w:r>
                    </w:p>
                    <w:p w14:paraId="021A1334" w14:textId="77777777" w:rsidR="00DD229F" w:rsidRPr="002E1566" w:rsidRDefault="00DD229F" w:rsidP="00DD229F">
                      <w:pPr>
                        <w:spacing w:after="0" w:line="240" w:lineRule="auto"/>
                        <w:jc w:val="center"/>
                        <w:rPr>
                          <w:rFonts w:ascii="Calibri" w:hAnsi="Calibri"/>
                          <w:sz w:val="20"/>
                          <w:szCs w:val="20"/>
                        </w:rPr>
                      </w:pPr>
                    </w:p>
                    <w:p w14:paraId="3D5F6F68" w14:textId="77777777" w:rsidR="00DD229F" w:rsidRPr="002E1566" w:rsidRDefault="00DD229F" w:rsidP="00DD229F">
                      <w:pPr>
                        <w:spacing w:after="0" w:line="240" w:lineRule="auto"/>
                        <w:jc w:val="center"/>
                        <w:rPr>
                          <w:rFonts w:ascii="Calibri" w:hAnsi="Calibri"/>
                          <w:sz w:val="20"/>
                          <w:szCs w:val="20"/>
                        </w:rPr>
                      </w:pPr>
                    </w:p>
                    <w:p w14:paraId="1141C77F" w14:textId="77777777" w:rsidR="00DD229F" w:rsidRPr="002E1566" w:rsidRDefault="00DD229F" w:rsidP="00DD229F">
                      <w:pPr>
                        <w:spacing w:after="0" w:line="240" w:lineRule="auto"/>
                        <w:jc w:val="center"/>
                        <w:rPr>
                          <w:rFonts w:ascii="Calibri" w:hAnsi="Calibri"/>
                          <w:sz w:val="20"/>
                          <w:szCs w:val="20"/>
                        </w:rPr>
                      </w:pPr>
                    </w:p>
                  </w:txbxContent>
                </v:textbox>
              </v:rect>
            </w:pict>
          </mc:Fallback>
        </mc:AlternateContent>
      </w:r>
      <w:r w:rsidR="00A41E4C">
        <w:rPr>
          <w:noProof/>
        </w:rPr>
        <mc:AlternateContent>
          <mc:Choice Requires="wps">
            <w:drawing>
              <wp:anchor distT="0" distB="0" distL="114299" distR="114299" simplePos="0" relativeHeight="251681280" behindDoc="0" locked="0" layoutInCell="1" allowOverlap="1" wp14:anchorId="0257C4A7" wp14:editId="3BB16A07">
                <wp:simplePos x="0" y="0"/>
                <wp:positionH relativeFrom="column">
                  <wp:posOffset>2108199</wp:posOffset>
                </wp:positionH>
                <wp:positionV relativeFrom="paragraph">
                  <wp:posOffset>236855</wp:posOffset>
                </wp:positionV>
                <wp:extent cx="0" cy="1450975"/>
                <wp:effectExtent l="76200" t="0" r="38100" b="34925"/>
                <wp:wrapNone/>
                <wp:docPr id="76952128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097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C09E84" id="Straight Arrow Connector 7" o:spid="_x0000_s1026" type="#_x0000_t32" style="position:absolute;margin-left:166pt;margin-top:18.65pt;width:0;height:114.25pt;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" strokecolor="black [3200]" strokeweight="1pt">
                <v:stroke endarrow="block" joinstyle="miter"/>
                <o:lock v:ext="edit" shapetype="f"/>
              </v:shape>
            </w:pict>
          </mc:Fallback>
        </mc:AlternateContent>
      </w:r>
    </w:p>
    <w:p w14:paraId="081A1984" w14:textId="74F293C7" w:rsidR="00DD229F" w:rsidRPr="00E741EC" w:rsidRDefault="00DD229F" w:rsidP="00DD229F"/>
    <w:p w14:paraId="6C51A0E9" w14:textId="6309CE8B" w:rsidR="00DD229F" w:rsidRPr="00E741EC" w:rsidRDefault="00A41E4C" w:rsidP="00DD229F">
      <w:r>
        <w:rPr>
          <w:noProof/>
        </w:rPr>
        <mc:AlternateContent>
          <mc:Choice Requires="wps">
            <w:drawing>
              <wp:anchor distT="4294967295" distB="4294967295" distL="114300" distR="114300" simplePos="0" relativeHeight="251704832" behindDoc="0" locked="0" layoutInCell="1" allowOverlap="1" wp14:anchorId="5C989AA7" wp14:editId="16391A68">
                <wp:simplePos x="0" y="0"/>
                <wp:positionH relativeFrom="column">
                  <wp:posOffset>2108200</wp:posOffset>
                </wp:positionH>
                <wp:positionV relativeFrom="paragraph">
                  <wp:posOffset>227329</wp:posOffset>
                </wp:positionV>
                <wp:extent cx="1676400" cy="0"/>
                <wp:effectExtent l="0" t="76200" r="0" b="76200"/>
                <wp:wrapNone/>
                <wp:docPr id="144472176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7D9C8D" id="Straight Arrow Connector 6" o:spid="_x0000_s1026" type="#_x0000_t32" style="position:absolute;margin-left:166pt;margin-top:17.9pt;width:132pt;height:0;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" strokecolor="black [3200]" strokeweight="1pt">
                <v:stroke endarrow="block" joinstyle="miter"/>
                <o:lock v:ext="edit" shapetype="f"/>
              </v:shape>
            </w:pict>
          </mc:Fallback>
        </mc:AlternateContent>
      </w:r>
    </w:p>
    <w:p w14:paraId="46152956" w14:textId="1735EDC3" w:rsidR="00DD229F" w:rsidRPr="00E741EC" w:rsidRDefault="00DD229F" w:rsidP="00DD229F"/>
    <w:p w14:paraId="34DFAA19" w14:textId="7AA7F6AF" w:rsidR="00DD229F" w:rsidRPr="00E741EC" w:rsidRDefault="00DD229F" w:rsidP="00DD229F"/>
    <w:p w14:paraId="038D6378" w14:textId="5191F54B" w:rsidR="00DD229F" w:rsidRPr="00E741EC" w:rsidRDefault="00DF006F" w:rsidP="00DD229F">
      <w:r>
        <w:rPr>
          <w:noProof/>
        </w:rPr>
        <mc:AlternateContent>
          <mc:Choice Requires="wps">
            <w:drawing>
              <wp:anchor distT="0" distB="0" distL="114300" distR="114300" simplePos="0" relativeHeight="251637248" behindDoc="0" locked="0" layoutInCell="1" allowOverlap="1" wp14:anchorId="102B8CD0" wp14:editId="1F390FB8">
                <wp:simplePos x="0" y="0"/>
                <wp:positionH relativeFrom="column">
                  <wp:posOffset>985520</wp:posOffset>
                </wp:positionH>
                <wp:positionV relativeFrom="paragraph">
                  <wp:posOffset>264795</wp:posOffset>
                </wp:positionV>
                <wp:extent cx="2341880" cy="570230"/>
                <wp:effectExtent l="0" t="0" r="20320" b="20320"/>
                <wp:wrapNone/>
                <wp:docPr id="20283379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880" cy="570230"/>
                        </a:xfrm>
                        <a:prstGeom prst="rect">
                          <a:avLst/>
                        </a:prstGeom>
                        <a:solidFill>
                          <a:srgbClr val="FFFFFF"/>
                        </a:solidFill>
                        <a:ln w="9525">
                          <a:solidFill>
                            <a:srgbClr val="000000"/>
                          </a:solidFill>
                          <a:miter lim="800000"/>
                          <a:headEnd/>
                          <a:tailEnd/>
                        </a:ln>
                      </wps:spPr>
                      <wps:txbx>
                        <w:txbxContent>
                          <w:p w14:paraId="421A19E7" w14:textId="77777777" w:rsidR="00DD229F" w:rsidRPr="005931AD" w:rsidRDefault="00DD229F" w:rsidP="00DD229F">
                            <w:pPr>
                              <w:spacing w:after="0" w:line="240" w:lineRule="auto"/>
                              <w:jc w:val="center"/>
                              <w:rPr>
                                <w:rFonts w:ascii="Calibri" w:hAnsi="Calibri"/>
                              </w:rPr>
                            </w:pPr>
                            <w:r>
                              <w:rPr>
                                <w:rFonts w:ascii="Calibri" w:hAnsi="Calibri"/>
                              </w:rPr>
                              <w:t>Full-text articles assessed for eligibility</w:t>
                            </w:r>
                            <w:r>
                              <w:rPr>
                                <w:rFonts w:ascii="Calibri" w:hAnsi="Calibri"/>
                              </w:rPr>
                              <w:br/>
                              <w:t>(n = 432)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B8CD0" id="Rectangle 5" o:spid="_x0000_s1029" style="position:absolute;margin-left:77.6pt;margin-top:20.85pt;width:184.4pt;height:44.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">
                <v:textbox inset=",7.2pt,,7.2pt">
                  <w:txbxContent>
                    <w:p w14:paraId="421A19E7" w14:textId="77777777" w:rsidR="00DD229F" w:rsidRPr="005931AD" w:rsidRDefault="00DD229F" w:rsidP="00DD229F">
                      <w:pPr>
                        <w:spacing w:after="0" w:line="240" w:lineRule="auto"/>
                        <w:jc w:val="center"/>
                        <w:rPr>
                          <w:rFonts w:ascii="Calibri" w:hAnsi="Calibri"/>
                        </w:rPr>
                      </w:pPr>
                      <w:r>
                        <w:rPr>
                          <w:rFonts w:ascii="Calibri" w:hAnsi="Calibri"/>
                        </w:rPr>
                        <w:t>Full-text articles assessed for eligibility</w:t>
                      </w:r>
                      <w:r>
                        <w:rPr>
                          <w:rFonts w:ascii="Calibri" w:hAnsi="Calibri"/>
                        </w:rPr>
                        <w:br/>
                        <w:t>(n = 432)</w:t>
                      </w:r>
                    </w:p>
                  </w:txbxContent>
                </v:textbox>
              </v:rect>
            </w:pict>
          </mc:Fallback>
        </mc:AlternateContent>
      </w:r>
    </w:p>
    <w:p w14:paraId="622D92A9" w14:textId="1D6F4AB6" w:rsidR="00DD229F" w:rsidRPr="00E741EC" w:rsidRDefault="00DD229F" w:rsidP="00DD229F"/>
    <w:p w14:paraId="096053B6" w14:textId="7A37C519" w:rsidR="00DD229F" w:rsidRPr="00E741EC" w:rsidRDefault="00DF006F" w:rsidP="00DD229F">
      <w:r>
        <w:rPr>
          <w:noProof/>
        </w:rPr>
        <mc:AlternateContent>
          <mc:Choice Requires="wps">
            <w:drawing>
              <wp:anchor distT="0" distB="0" distL="114299" distR="114299" simplePos="0" relativeHeight="251690496" behindDoc="0" locked="0" layoutInCell="1" allowOverlap="1" wp14:anchorId="595C58FF" wp14:editId="186808B7">
                <wp:simplePos x="0" y="0"/>
                <wp:positionH relativeFrom="column">
                  <wp:posOffset>2067511</wp:posOffset>
                </wp:positionH>
                <wp:positionV relativeFrom="paragraph">
                  <wp:posOffset>204338</wp:posOffset>
                </wp:positionV>
                <wp:extent cx="45719" cy="1566243"/>
                <wp:effectExtent l="38100" t="0" r="69215" b="53340"/>
                <wp:wrapNone/>
                <wp:docPr id="93302387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1566243"/>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95DAAE" id="Straight Arrow Connector 4" o:spid="_x0000_s1026" type="#_x0000_t32" style="position:absolute;margin-left:162.8pt;margin-top:16.1pt;width:3.6pt;height:123.35pt;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" strokecolor="black [3200]" strokeweight="1pt">
                <v:stroke endarrow="block" joinstyle="miter"/>
                <o:lock v:ext="edit" shapetype="f"/>
              </v:shape>
            </w:pict>
          </mc:Fallback>
        </mc:AlternateContent>
      </w:r>
    </w:p>
    <w:p w14:paraId="4F781953" w14:textId="16634AC2" w:rsidR="00DD229F" w:rsidRPr="00E741EC" w:rsidRDefault="00DF006F" w:rsidP="00DD229F">
      <w:r>
        <w:rPr>
          <w:noProof/>
        </w:rPr>
        <mc:AlternateContent>
          <mc:Choice Requires="wps">
            <w:drawing>
              <wp:anchor distT="0" distB="0" distL="114300" distR="114300" simplePos="0" relativeHeight="251722240" behindDoc="0" locked="0" layoutInCell="1" allowOverlap="1" wp14:anchorId="5A69C026" wp14:editId="366423A8">
                <wp:simplePos x="0" y="0"/>
                <wp:positionH relativeFrom="column">
                  <wp:posOffset>3974471</wp:posOffset>
                </wp:positionH>
                <wp:positionV relativeFrom="paragraph">
                  <wp:posOffset>18176</wp:posOffset>
                </wp:positionV>
                <wp:extent cx="2098675" cy="1772920"/>
                <wp:effectExtent l="0" t="0" r="15875" b="17780"/>
                <wp:wrapNone/>
                <wp:docPr id="5515085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675" cy="1772920"/>
                        </a:xfrm>
                        <a:prstGeom prst="rect">
                          <a:avLst/>
                        </a:prstGeom>
                        <a:solidFill>
                          <a:srgbClr val="FFFFFF"/>
                        </a:solidFill>
                        <a:ln w="9525">
                          <a:solidFill>
                            <a:srgbClr val="000000"/>
                          </a:solidFill>
                          <a:miter lim="800000"/>
                          <a:headEnd/>
                          <a:tailEnd/>
                        </a:ln>
                      </wps:spPr>
                      <wps:txbx>
                        <w:txbxContent>
                          <w:p w14:paraId="285BF003" w14:textId="77777777" w:rsidR="00DF006F" w:rsidRPr="00B763F5" w:rsidRDefault="00DF006F" w:rsidP="00DF006F">
                            <w:pPr>
                              <w:spacing w:after="0" w:line="240" w:lineRule="auto"/>
                              <w:jc w:val="center"/>
                              <w:rPr>
                                <w:rFonts w:ascii="Calibri" w:hAnsi="Calibri"/>
                              </w:rPr>
                            </w:pPr>
                            <w:r w:rsidRPr="00B763F5">
                              <w:rPr>
                                <w:rFonts w:ascii="Calibri" w:hAnsi="Calibri"/>
                              </w:rPr>
                              <w:t xml:space="preserve">Articles excluded at full-text screening (n = 357) </w:t>
                            </w:r>
                          </w:p>
                          <w:p w14:paraId="6A136267" w14:textId="77777777" w:rsidR="00DF006F" w:rsidRPr="00B763F5" w:rsidRDefault="00DF006F" w:rsidP="00DF006F">
                            <w:pPr>
                              <w:spacing w:after="0" w:line="240" w:lineRule="auto"/>
                              <w:jc w:val="center"/>
                              <w:rPr>
                                <w:rFonts w:ascii="Calibri" w:hAnsi="Calibri"/>
                              </w:rPr>
                            </w:pPr>
                          </w:p>
                          <w:p w14:paraId="04B2F5EB" w14:textId="77777777" w:rsidR="00DF006F" w:rsidRPr="00B763F5" w:rsidRDefault="00DF006F" w:rsidP="00DF006F">
                            <w:pPr>
                              <w:spacing w:after="0" w:line="240" w:lineRule="auto"/>
                              <w:jc w:val="center"/>
                              <w:rPr>
                                <w:rFonts w:ascii="Calibri" w:hAnsi="Calibri"/>
                              </w:rPr>
                            </w:pPr>
                            <w:r w:rsidRPr="00B763F5">
                              <w:rPr>
                                <w:rFonts w:ascii="Calibri" w:hAnsi="Calibri"/>
                              </w:rPr>
                              <w:t>Hospital based ambulatory care</w:t>
                            </w:r>
                          </w:p>
                          <w:p w14:paraId="6090EC72" w14:textId="77777777" w:rsidR="00DF006F" w:rsidRPr="00B763F5" w:rsidRDefault="00DF006F" w:rsidP="00DF006F">
                            <w:pPr>
                              <w:spacing w:after="0" w:line="240" w:lineRule="auto"/>
                              <w:jc w:val="center"/>
                              <w:rPr>
                                <w:rFonts w:ascii="Calibri" w:hAnsi="Calibri"/>
                              </w:rPr>
                            </w:pPr>
                            <w:r w:rsidRPr="00B763F5">
                              <w:rPr>
                                <w:rFonts w:ascii="Calibri" w:hAnsi="Calibri"/>
                              </w:rPr>
                              <w:t>Community retail pharmacies</w:t>
                            </w:r>
                          </w:p>
                          <w:p w14:paraId="32CBB478" w14:textId="77777777" w:rsidR="00DF006F" w:rsidRPr="00B763F5" w:rsidRDefault="00DF006F" w:rsidP="00DF006F">
                            <w:pPr>
                              <w:spacing w:after="0" w:line="240" w:lineRule="auto"/>
                              <w:jc w:val="center"/>
                              <w:rPr>
                                <w:rFonts w:ascii="Calibri" w:hAnsi="Calibri"/>
                              </w:rPr>
                            </w:pPr>
                            <w:r w:rsidRPr="00B763F5">
                              <w:rPr>
                                <w:rFonts w:ascii="Calibri" w:hAnsi="Calibri"/>
                              </w:rPr>
                              <w:t>Not specific to diabetes</w:t>
                            </w:r>
                          </w:p>
                          <w:p w14:paraId="4BD73E61" w14:textId="77777777" w:rsidR="00DF006F" w:rsidRPr="00B763F5" w:rsidRDefault="00DF006F" w:rsidP="00DF006F">
                            <w:pPr>
                              <w:spacing w:after="0" w:line="240" w:lineRule="auto"/>
                              <w:jc w:val="center"/>
                              <w:rPr>
                                <w:rFonts w:ascii="Calibri" w:hAnsi="Calibri"/>
                              </w:rPr>
                            </w:pPr>
                            <w:r w:rsidRPr="00B763F5">
                              <w:rPr>
                                <w:rFonts w:ascii="Calibri" w:hAnsi="Calibri"/>
                              </w:rPr>
                              <w:t>Unable to find full text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9C026" id="Rectangle 3" o:spid="_x0000_s1030" style="position:absolute;margin-left:312.95pt;margin-top:1.45pt;width:165.25pt;height:139.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">
                <v:textbox inset=",7.2pt,,7.2pt">
                  <w:txbxContent>
                    <w:p w14:paraId="285BF003" w14:textId="77777777" w:rsidR="00DF006F" w:rsidRPr="00B763F5" w:rsidRDefault="00DF006F" w:rsidP="00DF006F">
                      <w:pPr>
                        <w:spacing w:after="0" w:line="240" w:lineRule="auto"/>
                        <w:jc w:val="center"/>
                        <w:rPr>
                          <w:rFonts w:ascii="Calibri" w:hAnsi="Calibri"/>
                        </w:rPr>
                      </w:pPr>
                      <w:r w:rsidRPr="00B763F5">
                        <w:rPr>
                          <w:rFonts w:ascii="Calibri" w:hAnsi="Calibri"/>
                        </w:rPr>
                        <w:t xml:space="preserve">Articles excluded at full-text screening (n = 357) </w:t>
                      </w:r>
                    </w:p>
                    <w:p w14:paraId="6A136267" w14:textId="77777777" w:rsidR="00DF006F" w:rsidRPr="00B763F5" w:rsidRDefault="00DF006F" w:rsidP="00DF006F">
                      <w:pPr>
                        <w:spacing w:after="0" w:line="240" w:lineRule="auto"/>
                        <w:jc w:val="center"/>
                        <w:rPr>
                          <w:rFonts w:ascii="Calibri" w:hAnsi="Calibri"/>
                        </w:rPr>
                      </w:pPr>
                    </w:p>
                    <w:p w14:paraId="04B2F5EB" w14:textId="77777777" w:rsidR="00DF006F" w:rsidRPr="00B763F5" w:rsidRDefault="00DF006F" w:rsidP="00DF006F">
                      <w:pPr>
                        <w:spacing w:after="0" w:line="240" w:lineRule="auto"/>
                        <w:jc w:val="center"/>
                        <w:rPr>
                          <w:rFonts w:ascii="Calibri" w:hAnsi="Calibri"/>
                        </w:rPr>
                      </w:pPr>
                      <w:r w:rsidRPr="00B763F5">
                        <w:rPr>
                          <w:rFonts w:ascii="Calibri" w:hAnsi="Calibri"/>
                        </w:rPr>
                        <w:t>Hospital based ambulatory care</w:t>
                      </w:r>
                    </w:p>
                    <w:p w14:paraId="6090EC72" w14:textId="77777777" w:rsidR="00DF006F" w:rsidRPr="00B763F5" w:rsidRDefault="00DF006F" w:rsidP="00DF006F">
                      <w:pPr>
                        <w:spacing w:after="0" w:line="240" w:lineRule="auto"/>
                        <w:jc w:val="center"/>
                        <w:rPr>
                          <w:rFonts w:ascii="Calibri" w:hAnsi="Calibri"/>
                        </w:rPr>
                      </w:pPr>
                      <w:r w:rsidRPr="00B763F5">
                        <w:rPr>
                          <w:rFonts w:ascii="Calibri" w:hAnsi="Calibri"/>
                        </w:rPr>
                        <w:t>Community retail pharmacies</w:t>
                      </w:r>
                    </w:p>
                    <w:p w14:paraId="32CBB478" w14:textId="77777777" w:rsidR="00DF006F" w:rsidRPr="00B763F5" w:rsidRDefault="00DF006F" w:rsidP="00DF006F">
                      <w:pPr>
                        <w:spacing w:after="0" w:line="240" w:lineRule="auto"/>
                        <w:jc w:val="center"/>
                        <w:rPr>
                          <w:rFonts w:ascii="Calibri" w:hAnsi="Calibri"/>
                        </w:rPr>
                      </w:pPr>
                      <w:r w:rsidRPr="00B763F5">
                        <w:rPr>
                          <w:rFonts w:ascii="Calibri" w:hAnsi="Calibri"/>
                        </w:rPr>
                        <w:t>Not specific to diabetes</w:t>
                      </w:r>
                    </w:p>
                    <w:p w14:paraId="4BD73E61" w14:textId="77777777" w:rsidR="00DF006F" w:rsidRPr="00B763F5" w:rsidRDefault="00DF006F" w:rsidP="00DF006F">
                      <w:pPr>
                        <w:spacing w:after="0" w:line="240" w:lineRule="auto"/>
                        <w:jc w:val="center"/>
                        <w:rPr>
                          <w:rFonts w:ascii="Calibri" w:hAnsi="Calibri"/>
                        </w:rPr>
                      </w:pPr>
                      <w:r w:rsidRPr="00B763F5">
                        <w:rPr>
                          <w:rFonts w:ascii="Calibri" w:hAnsi="Calibri"/>
                        </w:rPr>
                        <w:t>Unable to find full text</w:t>
                      </w:r>
                    </w:p>
                  </w:txbxContent>
                </v:textbox>
              </v:rect>
            </w:pict>
          </mc:Fallback>
        </mc:AlternateContent>
      </w:r>
      <w:r w:rsidR="00A41E4C">
        <w:rPr>
          <w:noProof/>
        </w:rPr>
        <mc:AlternateContent>
          <mc:Choice Requires="wps">
            <w:drawing>
              <wp:anchor distT="4294967295" distB="4294967295" distL="114300" distR="114300" simplePos="0" relativeHeight="251714048" behindDoc="0" locked="0" layoutInCell="1" allowOverlap="1" wp14:anchorId="6A9EBB8E" wp14:editId="7E0AFE7B">
                <wp:simplePos x="0" y="0"/>
                <wp:positionH relativeFrom="column">
                  <wp:posOffset>2139950</wp:posOffset>
                </wp:positionH>
                <wp:positionV relativeFrom="paragraph">
                  <wp:posOffset>277494</wp:posOffset>
                </wp:positionV>
                <wp:extent cx="1676400" cy="0"/>
                <wp:effectExtent l="0" t="76200" r="0" b="76200"/>
                <wp:wrapNone/>
                <wp:docPr id="3904751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64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904B81" id="Straight Arrow Connector 2" o:spid="_x0000_s1026" type="#_x0000_t32" style="position:absolute;margin-left:168.5pt;margin-top:21.85pt;width:132pt;height:0;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" strokecolor="black [3200]" strokeweight="1pt">
                <v:stroke endarrow="block" joinstyle="miter"/>
                <o:lock v:ext="edit" shapetype="f"/>
              </v:shape>
            </w:pict>
          </mc:Fallback>
        </mc:AlternateContent>
      </w:r>
    </w:p>
    <w:p w14:paraId="3A2FE4D0" w14:textId="1C0928CE" w:rsidR="00DF006F" w:rsidRPr="00E741EC" w:rsidRDefault="00DF006F" w:rsidP="00DF006F"/>
    <w:p w14:paraId="4D70656F" w14:textId="77777777" w:rsidR="00DD229F" w:rsidRPr="00E741EC" w:rsidRDefault="00DD229F" w:rsidP="00DD229F"/>
    <w:p w14:paraId="6BF03CD2" w14:textId="77777777" w:rsidR="00DD229F" w:rsidRPr="00E741EC" w:rsidRDefault="00DD229F" w:rsidP="00DD229F"/>
    <w:p w14:paraId="7A5A3AE6" w14:textId="77777777" w:rsidR="00DD229F" w:rsidRPr="00E741EC" w:rsidRDefault="00DD229F" w:rsidP="00DD229F"/>
    <w:p w14:paraId="72927812" w14:textId="05D546AA" w:rsidR="00DD229F" w:rsidRPr="00E741EC" w:rsidRDefault="00A41E4C" w:rsidP="00DD229F">
      <w:r>
        <w:rPr>
          <w:noProof/>
        </w:rPr>
        <mc:AlternateContent>
          <mc:Choice Requires="wps">
            <w:drawing>
              <wp:anchor distT="0" distB="0" distL="114300" distR="114300" simplePos="0" relativeHeight="251664896" behindDoc="0" locked="0" layoutInCell="1" allowOverlap="1" wp14:anchorId="43353A10" wp14:editId="2EB58C54">
                <wp:simplePos x="0" y="0"/>
                <wp:positionH relativeFrom="column">
                  <wp:posOffset>1066165</wp:posOffset>
                </wp:positionH>
                <wp:positionV relativeFrom="paragraph">
                  <wp:posOffset>57785</wp:posOffset>
                </wp:positionV>
                <wp:extent cx="2381250" cy="623570"/>
                <wp:effectExtent l="0" t="0" r="0" b="5080"/>
                <wp:wrapNone/>
                <wp:docPr id="12103135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623570"/>
                        </a:xfrm>
                        <a:prstGeom prst="rect">
                          <a:avLst/>
                        </a:prstGeom>
                        <a:solidFill>
                          <a:srgbClr val="FFFFFF"/>
                        </a:solidFill>
                        <a:ln w="9525">
                          <a:solidFill>
                            <a:srgbClr val="000000"/>
                          </a:solidFill>
                          <a:miter lim="800000"/>
                          <a:headEnd/>
                          <a:tailEnd/>
                        </a:ln>
                      </wps:spPr>
                      <wps:txbx>
                        <w:txbxContent>
                          <w:p w14:paraId="01BC33FF" w14:textId="77777777" w:rsidR="00DD229F" w:rsidRDefault="00DD229F" w:rsidP="00DD229F">
                            <w:pPr>
                              <w:spacing w:after="0" w:line="240" w:lineRule="auto"/>
                              <w:jc w:val="center"/>
                              <w:rPr>
                                <w:rFonts w:ascii="Calibri" w:hAnsi="Calibri"/>
                              </w:rPr>
                            </w:pPr>
                            <w:r>
                              <w:rPr>
                                <w:rFonts w:ascii="Calibri" w:hAnsi="Calibri"/>
                              </w:rPr>
                              <w:t>Total articles included in the literature review =75</w:t>
                            </w:r>
                          </w:p>
                          <w:p w14:paraId="2C237E60" w14:textId="77777777" w:rsidR="00DD229F" w:rsidRDefault="00DD229F" w:rsidP="00DD229F">
                            <w:pPr>
                              <w:rPr>
                                <w:rFonts w:ascii="Calibri" w:hAnsi="Calibri"/>
                                <w:lang w:val="en"/>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53A10" id="Rectangle 1" o:spid="_x0000_s1031" style="position:absolute;margin-left:83.95pt;margin-top:4.55pt;width:187.5pt;height:49.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">
                <v:textbox inset=",7.2pt,,7.2pt">
                  <w:txbxContent>
                    <w:p w14:paraId="01BC33FF" w14:textId="77777777" w:rsidR="00DD229F" w:rsidRDefault="00DD229F" w:rsidP="00DD229F">
                      <w:pPr>
                        <w:spacing w:after="0" w:line="240" w:lineRule="auto"/>
                        <w:jc w:val="center"/>
                        <w:rPr>
                          <w:rFonts w:ascii="Calibri" w:hAnsi="Calibri"/>
                        </w:rPr>
                      </w:pPr>
                      <w:r>
                        <w:rPr>
                          <w:rFonts w:ascii="Calibri" w:hAnsi="Calibri"/>
                        </w:rPr>
                        <w:t>Total articles included in the literature review =75</w:t>
                      </w:r>
                    </w:p>
                    <w:p w14:paraId="2C237E60" w14:textId="77777777" w:rsidR="00DD229F" w:rsidRDefault="00DD229F" w:rsidP="00DD229F">
                      <w:pPr>
                        <w:rPr>
                          <w:rFonts w:ascii="Calibri" w:hAnsi="Calibri"/>
                          <w:lang w:val="en"/>
                        </w:rPr>
                      </w:pPr>
                    </w:p>
                  </w:txbxContent>
                </v:textbox>
              </v:rect>
            </w:pict>
          </mc:Fallback>
        </mc:AlternateContent>
      </w:r>
    </w:p>
    <w:p w14:paraId="781547BE" w14:textId="77777777" w:rsidR="00DD229F" w:rsidRPr="00E741EC" w:rsidRDefault="00DD229F" w:rsidP="00DD229F"/>
    <w:p w14:paraId="636E31F1" w14:textId="5F406CAB" w:rsidR="00DD229F" w:rsidRPr="00E741EC" w:rsidRDefault="00DD229F" w:rsidP="00DD229F"/>
    <w:p w14:paraId="157ED660" w14:textId="77777777" w:rsidR="00DD229F" w:rsidRDefault="00DD229F" w:rsidP="00DD229F"/>
    <w:p w14:paraId="3DF2E2F6" w14:textId="26A929CF" w:rsidR="00DD229F" w:rsidRPr="006F434E" w:rsidRDefault="006F6BA9" w:rsidP="006F6BA9">
      <w:pPr>
        <w:pStyle w:val="Caption"/>
        <w:rPr>
          <w:sz w:val="22"/>
          <w:szCs w:val="22"/>
        </w:rPr>
      </w:pPr>
      <w:bookmarkStart w:id="48" w:name="_Ref148112661"/>
      <w:bookmarkStart w:id="49" w:name="_Toc153894789"/>
      <w:r w:rsidRPr="006F434E">
        <w:rPr>
          <w:sz w:val="22"/>
          <w:szCs w:val="22"/>
        </w:rPr>
        <w:t xml:space="preserve">Figure </w:t>
      </w:r>
      <w:r w:rsidRPr="006F434E">
        <w:rPr>
          <w:sz w:val="22"/>
          <w:szCs w:val="22"/>
        </w:rPr>
        <w:fldChar w:fldCharType="begin"/>
      </w:r>
      <w:r w:rsidRPr="006F434E">
        <w:rPr>
          <w:sz w:val="22"/>
          <w:szCs w:val="22"/>
        </w:rPr>
        <w:instrText xml:space="preserve"> SEQ Figure \* ARABIC </w:instrText>
      </w:r>
      <w:r w:rsidRPr="006F434E">
        <w:rPr>
          <w:sz w:val="22"/>
          <w:szCs w:val="22"/>
        </w:rPr>
        <w:fldChar w:fldCharType="separate"/>
      </w:r>
      <w:r w:rsidR="000507B7" w:rsidRPr="006F434E">
        <w:rPr>
          <w:noProof/>
          <w:sz w:val="22"/>
          <w:szCs w:val="22"/>
        </w:rPr>
        <w:t>1</w:t>
      </w:r>
      <w:r w:rsidRPr="006F434E">
        <w:rPr>
          <w:noProof/>
          <w:sz w:val="22"/>
          <w:szCs w:val="22"/>
        </w:rPr>
        <w:fldChar w:fldCharType="end"/>
      </w:r>
      <w:bookmarkEnd w:id="48"/>
      <w:r w:rsidR="00E8415C" w:rsidRPr="006F434E">
        <w:rPr>
          <w:sz w:val="22"/>
          <w:szCs w:val="22"/>
        </w:rPr>
        <w:t xml:space="preserve">: </w:t>
      </w:r>
      <w:r w:rsidR="00DD229F" w:rsidRPr="006F434E">
        <w:rPr>
          <w:sz w:val="22"/>
          <w:szCs w:val="22"/>
        </w:rPr>
        <w:t>Flow diagram of the literature search process (PRISMA 2009 Flow Diagram).</w:t>
      </w:r>
      <w:bookmarkEnd w:id="49"/>
    </w:p>
    <w:p w14:paraId="29F9D926" w14:textId="77777777" w:rsidR="00DD229F" w:rsidRDefault="00DD229F" w:rsidP="00DD229F"/>
    <w:p w14:paraId="710C6237" w14:textId="77777777" w:rsidR="00DD229F" w:rsidRPr="0049399C" w:rsidRDefault="00DD229F" w:rsidP="00DD229F">
      <w:pPr>
        <w:pStyle w:val="Heading3"/>
        <w:spacing w:line="257" w:lineRule="auto"/>
        <w:ind w:left="504"/>
        <w:rPr>
          <w:lang w:val="en-GB"/>
        </w:rPr>
      </w:pPr>
      <w:bookmarkStart w:id="50" w:name="_Toc40034235"/>
      <w:bookmarkStart w:id="51" w:name="_Toc153894151"/>
      <w:r w:rsidRPr="0049399C">
        <w:rPr>
          <w:lang w:val="en-GB"/>
        </w:rPr>
        <w:t>Summary of identified studies</w:t>
      </w:r>
      <w:bookmarkEnd w:id="50"/>
      <w:bookmarkEnd w:id="51"/>
      <w:r w:rsidRPr="0049399C">
        <w:rPr>
          <w:lang w:val="en-GB"/>
        </w:rPr>
        <w:t xml:space="preserve"> </w:t>
      </w:r>
    </w:p>
    <w:p w14:paraId="0320C8E7" w14:textId="2D57F8A3" w:rsidR="00DD229F" w:rsidRPr="002A16EC" w:rsidRDefault="00DD229F" w:rsidP="00DD229F">
      <w:pPr>
        <w:autoSpaceDE w:val="0"/>
        <w:autoSpaceDN w:val="0"/>
        <w:adjustRightInd w:val="0"/>
        <w:spacing w:line="360" w:lineRule="auto"/>
        <w:jc w:val="both"/>
        <w:rPr>
          <w:rFonts w:ascii="Arial" w:hAnsi="Arial" w:cs="Arial"/>
          <w:sz w:val="24"/>
          <w:szCs w:val="24"/>
          <w:lang w:val="en-GB"/>
        </w:rPr>
      </w:pPr>
      <w:r w:rsidRPr="002A16EC">
        <w:rPr>
          <w:rFonts w:ascii="Arial" w:hAnsi="Arial" w:cs="Arial"/>
          <w:sz w:val="24"/>
          <w:szCs w:val="24"/>
          <w:lang w:val="en-GB"/>
        </w:rPr>
        <w:t xml:space="preserve">A total of 75 articles were included in the final review. Most of these were related to the research undertaken in </w:t>
      </w:r>
      <w:r w:rsidR="00822E50" w:rsidRPr="002A16EC">
        <w:rPr>
          <w:rFonts w:ascii="Arial" w:hAnsi="Arial" w:cs="Arial"/>
          <w:sz w:val="24"/>
          <w:szCs w:val="24"/>
          <w:lang w:val="en-GB"/>
        </w:rPr>
        <w:t xml:space="preserve">High Income </w:t>
      </w:r>
      <w:r w:rsidRPr="002A16EC">
        <w:rPr>
          <w:rFonts w:ascii="Arial" w:hAnsi="Arial" w:cs="Arial"/>
          <w:sz w:val="24"/>
          <w:szCs w:val="24"/>
          <w:lang w:val="en-GB"/>
        </w:rPr>
        <w:t xml:space="preserve">countries (such as the USA, the UK, Canada, Australia), with 22 of the studies relating to SA. </w:t>
      </w:r>
    </w:p>
    <w:p w14:paraId="1BC7EF35" w14:textId="77777777" w:rsidR="00DD229F" w:rsidRDefault="00DD229F" w:rsidP="00DD229F">
      <w:pPr>
        <w:autoSpaceDE w:val="0"/>
        <w:autoSpaceDN w:val="0"/>
        <w:adjustRightInd w:val="0"/>
        <w:spacing w:line="360" w:lineRule="auto"/>
        <w:jc w:val="both"/>
        <w:rPr>
          <w:rFonts w:ascii="Arial" w:hAnsi="Arial" w:cs="Arial"/>
          <w:sz w:val="24"/>
          <w:szCs w:val="24"/>
          <w:lang w:val="en-GB"/>
        </w:rPr>
      </w:pPr>
      <w:r w:rsidRPr="006B2FC7">
        <w:rPr>
          <w:rFonts w:ascii="Arial" w:hAnsi="Arial" w:cs="Arial"/>
          <w:sz w:val="24"/>
          <w:szCs w:val="24"/>
          <w:lang w:val="en-GB"/>
        </w:rPr>
        <w:t xml:space="preserve">The types of </w:t>
      </w:r>
      <w:r>
        <w:rPr>
          <w:rFonts w:ascii="Arial" w:hAnsi="Arial" w:cs="Arial"/>
          <w:sz w:val="24"/>
          <w:szCs w:val="24"/>
          <w:lang w:val="en-GB"/>
        </w:rPr>
        <w:t xml:space="preserve">included </w:t>
      </w:r>
      <w:r w:rsidRPr="006B2FC7">
        <w:rPr>
          <w:rFonts w:ascii="Arial" w:hAnsi="Arial" w:cs="Arial"/>
          <w:sz w:val="24"/>
          <w:szCs w:val="24"/>
          <w:lang w:val="en-GB"/>
        </w:rPr>
        <w:t xml:space="preserve">studies included were as follows: systematic review and meta-analysis </w:t>
      </w:r>
      <w:r>
        <w:rPr>
          <w:rFonts w:ascii="Arial" w:hAnsi="Arial" w:cs="Arial"/>
          <w:sz w:val="24"/>
          <w:szCs w:val="24"/>
          <w:lang w:val="en-GB"/>
        </w:rPr>
        <w:t>(10</w:t>
      </w:r>
      <w:r w:rsidRPr="006B2FC7">
        <w:rPr>
          <w:rFonts w:ascii="Arial" w:hAnsi="Arial" w:cs="Arial"/>
          <w:sz w:val="24"/>
          <w:szCs w:val="24"/>
          <w:lang w:val="en-GB"/>
        </w:rPr>
        <w:t xml:space="preserve"> studies</w:t>
      </w:r>
      <w:r>
        <w:rPr>
          <w:rFonts w:ascii="Arial" w:hAnsi="Arial" w:cs="Arial"/>
          <w:sz w:val="24"/>
          <w:szCs w:val="24"/>
          <w:lang w:val="en-GB"/>
        </w:rPr>
        <w:t>)</w:t>
      </w:r>
      <w:r w:rsidRPr="006B2FC7">
        <w:rPr>
          <w:rFonts w:ascii="Arial" w:hAnsi="Arial" w:cs="Arial"/>
          <w:sz w:val="24"/>
          <w:szCs w:val="24"/>
          <w:lang w:val="en-GB"/>
        </w:rPr>
        <w:t xml:space="preserve">, systematic review </w:t>
      </w:r>
      <w:r>
        <w:rPr>
          <w:rFonts w:ascii="Arial" w:hAnsi="Arial" w:cs="Arial"/>
          <w:sz w:val="24"/>
          <w:szCs w:val="24"/>
          <w:lang w:val="en-GB"/>
        </w:rPr>
        <w:t>(11)</w:t>
      </w:r>
      <w:r w:rsidRPr="006B2FC7">
        <w:rPr>
          <w:rFonts w:ascii="Arial" w:hAnsi="Arial" w:cs="Arial"/>
          <w:sz w:val="24"/>
          <w:szCs w:val="24"/>
          <w:lang w:val="en-GB"/>
        </w:rPr>
        <w:t xml:space="preserve">, </w:t>
      </w:r>
      <w:r w:rsidRPr="009D4F6B">
        <w:rPr>
          <w:rFonts w:ascii="Arial" w:hAnsi="Arial" w:cs="Arial"/>
          <w:sz w:val="24"/>
          <w:szCs w:val="24"/>
          <w:lang w:val="en-GB"/>
        </w:rPr>
        <w:t>umbrella review of published systematic reviews</w:t>
      </w:r>
      <w:r w:rsidRPr="006B2FC7">
        <w:rPr>
          <w:rFonts w:ascii="Arial" w:hAnsi="Arial" w:cs="Arial"/>
          <w:sz w:val="24"/>
          <w:szCs w:val="24"/>
          <w:lang w:val="en-GB"/>
        </w:rPr>
        <w:t xml:space="preserve"> </w:t>
      </w:r>
      <w:r>
        <w:rPr>
          <w:rFonts w:ascii="Arial" w:hAnsi="Arial" w:cs="Arial"/>
          <w:sz w:val="24"/>
          <w:szCs w:val="24"/>
          <w:lang w:val="en-GB"/>
        </w:rPr>
        <w:t xml:space="preserve">(1), </w:t>
      </w:r>
      <w:r w:rsidRPr="006B2FC7">
        <w:rPr>
          <w:rFonts w:ascii="Arial" w:hAnsi="Arial" w:cs="Arial"/>
          <w:sz w:val="24"/>
          <w:szCs w:val="24"/>
          <w:lang w:val="en-GB"/>
        </w:rPr>
        <w:t>randomised control</w:t>
      </w:r>
      <w:r>
        <w:rPr>
          <w:rFonts w:ascii="Arial" w:hAnsi="Arial" w:cs="Arial"/>
          <w:sz w:val="24"/>
          <w:szCs w:val="24"/>
          <w:lang w:val="en-GB"/>
        </w:rPr>
        <w:t>led</w:t>
      </w:r>
      <w:r w:rsidRPr="006B2FC7">
        <w:rPr>
          <w:rFonts w:ascii="Arial" w:hAnsi="Arial" w:cs="Arial"/>
          <w:sz w:val="24"/>
          <w:szCs w:val="24"/>
          <w:lang w:val="en-GB"/>
        </w:rPr>
        <w:t xml:space="preserve"> trial</w:t>
      </w:r>
      <w:r>
        <w:rPr>
          <w:rFonts w:ascii="Arial" w:hAnsi="Arial" w:cs="Arial"/>
          <w:sz w:val="24"/>
          <w:szCs w:val="24"/>
          <w:lang w:val="en-GB"/>
        </w:rPr>
        <w:t xml:space="preserve"> (RCT)</w:t>
      </w:r>
      <w:r w:rsidRPr="006B2FC7">
        <w:rPr>
          <w:rFonts w:ascii="Arial" w:hAnsi="Arial" w:cs="Arial"/>
          <w:sz w:val="24"/>
          <w:szCs w:val="24"/>
          <w:lang w:val="en-GB"/>
        </w:rPr>
        <w:t xml:space="preserve"> </w:t>
      </w:r>
      <w:r>
        <w:rPr>
          <w:rFonts w:ascii="Arial" w:hAnsi="Arial" w:cs="Arial"/>
          <w:sz w:val="24"/>
          <w:szCs w:val="24"/>
          <w:lang w:val="en-GB"/>
        </w:rPr>
        <w:t>(10)</w:t>
      </w:r>
      <w:r w:rsidRPr="006B2FC7">
        <w:rPr>
          <w:rFonts w:ascii="Arial" w:hAnsi="Arial" w:cs="Arial"/>
          <w:sz w:val="24"/>
          <w:szCs w:val="24"/>
          <w:lang w:val="en-GB"/>
        </w:rPr>
        <w:t xml:space="preserve">, </w:t>
      </w:r>
      <w:r>
        <w:rPr>
          <w:rFonts w:ascii="Arial" w:hAnsi="Arial" w:cs="Arial"/>
          <w:sz w:val="24"/>
          <w:szCs w:val="24"/>
          <w:lang w:val="en-GB"/>
        </w:rPr>
        <w:t xml:space="preserve">clinical/narrative review (3), </w:t>
      </w:r>
      <w:r w:rsidRPr="006D64CA">
        <w:rPr>
          <w:rFonts w:ascii="Arial" w:hAnsi="Arial" w:cs="Arial"/>
          <w:sz w:val="24"/>
          <w:szCs w:val="24"/>
          <w:lang w:val="en-GB"/>
        </w:rPr>
        <w:t xml:space="preserve">uncontrolled quasi-experimental </w:t>
      </w:r>
      <w:r w:rsidRPr="001056C0">
        <w:rPr>
          <w:rFonts w:ascii="Arial" w:hAnsi="Arial" w:cs="Arial"/>
          <w:sz w:val="24"/>
          <w:szCs w:val="24"/>
          <w:lang w:val="en-GB"/>
        </w:rPr>
        <w:t>intervention study</w:t>
      </w:r>
      <w:r>
        <w:rPr>
          <w:rFonts w:ascii="Arial" w:hAnsi="Arial" w:cs="Arial"/>
          <w:sz w:val="24"/>
          <w:szCs w:val="24"/>
          <w:lang w:val="en-GB"/>
        </w:rPr>
        <w:t xml:space="preserve"> (</w:t>
      </w:r>
      <w:r w:rsidRPr="00E50C60">
        <w:rPr>
          <w:rFonts w:ascii="Arial" w:hAnsi="Arial" w:cs="Arial"/>
          <w:sz w:val="24"/>
          <w:szCs w:val="24"/>
          <w:lang w:val="en-GB"/>
        </w:rPr>
        <w:t>pre–post assessment</w:t>
      </w:r>
      <w:r>
        <w:rPr>
          <w:rFonts w:ascii="Arial" w:hAnsi="Arial" w:cs="Arial"/>
          <w:sz w:val="24"/>
          <w:szCs w:val="24"/>
          <w:lang w:val="en-GB"/>
        </w:rPr>
        <w:t xml:space="preserve">) (1), </w:t>
      </w:r>
      <w:r w:rsidRPr="006B2FC7">
        <w:rPr>
          <w:rFonts w:ascii="Arial" w:hAnsi="Arial" w:cs="Arial"/>
          <w:sz w:val="24"/>
          <w:szCs w:val="24"/>
          <w:lang w:val="en-GB"/>
        </w:rPr>
        <w:t xml:space="preserve">action research </w:t>
      </w:r>
      <w:r>
        <w:rPr>
          <w:rFonts w:ascii="Arial" w:hAnsi="Arial" w:cs="Arial"/>
          <w:sz w:val="24"/>
          <w:szCs w:val="24"/>
          <w:lang w:val="en-GB"/>
        </w:rPr>
        <w:t>(</w:t>
      </w:r>
      <w:r w:rsidRPr="006B2FC7">
        <w:rPr>
          <w:rFonts w:ascii="Arial" w:hAnsi="Arial" w:cs="Arial"/>
          <w:sz w:val="24"/>
          <w:szCs w:val="24"/>
          <w:lang w:val="en-GB"/>
        </w:rPr>
        <w:t>1</w:t>
      </w:r>
      <w:r>
        <w:rPr>
          <w:rFonts w:ascii="Arial" w:hAnsi="Arial" w:cs="Arial"/>
          <w:sz w:val="24"/>
          <w:szCs w:val="24"/>
          <w:lang w:val="en-GB"/>
        </w:rPr>
        <w:t>)</w:t>
      </w:r>
      <w:r w:rsidRPr="006B2FC7">
        <w:rPr>
          <w:rFonts w:ascii="Arial" w:hAnsi="Arial" w:cs="Arial"/>
          <w:sz w:val="24"/>
          <w:szCs w:val="24"/>
          <w:lang w:val="en-GB"/>
        </w:rPr>
        <w:t>, retrospective</w:t>
      </w:r>
      <w:r>
        <w:rPr>
          <w:rFonts w:ascii="Arial" w:hAnsi="Arial" w:cs="Arial"/>
          <w:sz w:val="24"/>
          <w:szCs w:val="24"/>
          <w:lang w:val="en-GB"/>
        </w:rPr>
        <w:t xml:space="preserve"> study</w:t>
      </w:r>
      <w:r w:rsidRPr="006B2FC7">
        <w:rPr>
          <w:rFonts w:ascii="Arial" w:hAnsi="Arial" w:cs="Arial"/>
          <w:sz w:val="24"/>
          <w:szCs w:val="24"/>
          <w:lang w:val="en-GB"/>
        </w:rPr>
        <w:t xml:space="preserve"> </w:t>
      </w:r>
      <w:r>
        <w:rPr>
          <w:rFonts w:ascii="Arial" w:hAnsi="Arial" w:cs="Arial"/>
          <w:sz w:val="24"/>
          <w:szCs w:val="24"/>
          <w:lang w:val="en-GB"/>
        </w:rPr>
        <w:t>(12)</w:t>
      </w:r>
      <w:r w:rsidRPr="006B2FC7">
        <w:rPr>
          <w:rFonts w:ascii="Arial" w:hAnsi="Arial" w:cs="Arial"/>
          <w:sz w:val="24"/>
          <w:szCs w:val="24"/>
          <w:lang w:val="en-GB"/>
        </w:rPr>
        <w:t>, prospective</w:t>
      </w:r>
      <w:r>
        <w:rPr>
          <w:rFonts w:ascii="Arial" w:hAnsi="Arial" w:cs="Arial"/>
          <w:sz w:val="24"/>
          <w:szCs w:val="24"/>
          <w:lang w:val="en-GB"/>
        </w:rPr>
        <w:t xml:space="preserve"> study</w:t>
      </w:r>
      <w:r w:rsidRPr="006B2FC7">
        <w:rPr>
          <w:rFonts w:ascii="Arial" w:hAnsi="Arial" w:cs="Arial"/>
          <w:sz w:val="24"/>
          <w:szCs w:val="24"/>
          <w:lang w:val="en-GB"/>
        </w:rPr>
        <w:t xml:space="preserve"> </w:t>
      </w:r>
      <w:r>
        <w:rPr>
          <w:rFonts w:ascii="Arial" w:hAnsi="Arial" w:cs="Arial"/>
          <w:sz w:val="24"/>
          <w:szCs w:val="24"/>
          <w:lang w:val="en-GB"/>
        </w:rPr>
        <w:t>(3)</w:t>
      </w:r>
      <w:r w:rsidRPr="006B2FC7">
        <w:rPr>
          <w:rFonts w:ascii="Arial" w:hAnsi="Arial" w:cs="Arial"/>
          <w:sz w:val="24"/>
          <w:szCs w:val="24"/>
          <w:lang w:val="en-GB"/>
        </w:rPr>
        <w:t xml:space="preserve">, quasi-experimental intervention study </w:t>
      </w:r>
      <w:r>
        <w:rPr>
          <w:rFonts w:ascii="Arial" w:hAnsi="Arial" w:cs="Arial"/>
          <w:sz w:val="24"/>
          <w:szCs w:val="24"/>
          <w:lang w:val="en-GB"/>
        </w:rPr>
        <w:t>(2)</w:t>
      </w:r>
      <w:r w:rsidRPr="006B2FC7">
        <w:rPr>
          <w:rFonts w:ascii="Arial" w:hAnsi="Arial" w:cs="Arial"/>
          <w:sz w:val="24"/>
          <w:szCs w:val="24"/>
          <w:lang w:val="en-GB"/>
        </w:rPr>
        <w:t xml:space="preserve">, </w:t>
      </w:r>
      <w:r>
        <w:rPr>
          <w:rFonts w:ascii="Arial" w:hAnsi="Arial" w:cs="Arial"/>
          <w:sz w:val="24"/>
          <w:szCs w:val="24"/>
          <w:lang w:val="en-GB"/>
        </w:rPr>
        <w:t xml:space="preserve">reports (3), </w:t>
      </w:r>
      <w:r w:rsidRPr="006B2FC7">
        <w:rPr>
          <w:rFonts w:ascii="Arial" w:hAnsi="Arial" w:cs="Arial"/>
          <w:sz w:val="24"/>
          <w:szCs w:val="24"/>
          <w:lang w:val="en-GB"/>
        </w:rPr>
        <w:t xml:space="preserve">mixed-methods </w:t>
      </w:r>
      <w:r>
        <w:rPr>
          <w:rFonts w:ascii="Arial" w:hAnsi="Arial" w:cs="Arial"/>
          <w:sz w:val="24"/>
          <w:szCs w:val="24"/>
          <w:lang w:val="en-GB"/>
        </w:rPr>
        <w:t>study (3)</w:t>
      </w:r>
      <w:r w:rsidRPr="006B2FC7">
        <w:rPr>
          <w:rFonts w:ascii="Arial" w:hAnsi="Arial" w:cs="Arial"/>
          <w:sz w:val="24"/>
          <w:szCs w:val="24"/>
          <w:lang w:val="en-GB"/>
        </w:rPr>
        <w:t xml:space="preserve">, </w:t>
      </w:r>
      <w:r>
        <w:rPr>
          <w:rFonts w:ascii="Arial" w:hAnsi="Arial" w:cs="Arial"/>
          <w:sz w:val="24"/>
          <w:szCs w:val="24"/>
          <w:lang w:val="en-GB"/>
        </w:rPr>
        <w:t xml:space="preserve">programme evaluation (1), </w:t>
      </w:r>
      <w:r w:rsidRPr="006B2FC7">
        <w:rPr>
          <w:rFonts w:ascii="Arial" w:hAnsi="Arial" w:cs="Arial"/>
          <w:sz w:val="24"/>
          <w:szCs w:val="24"/>
          <w:lang w:val="en-GB"/>
        </w:rPr>
        <w:t xml:space="preserve">descriptive cross-sectional survey </w:t>
      </w:r>
      <w:r>
        <w:rPr>
          <w:rFonts w:ascii="Arial" w:hAnsi="Arial" w:cs="Arial"/>
          <w:sz w:val="24"/>
          <w:szCs w:val="24"/>
          <w:lang w:val="en-GB"/>
        </w:rPr>
        <w:t>(14)</w:t>
      </w:r>
      <w:r w:rsidRPr="006B2FC7">
        <w:rPr>
          <w:rFonts w:ascii="Arial" w:hAnsi="Arial" w:cs="Arial"/>
          <w:sz w:val="24"/>
          <w:szCs w:val="24"/>
          <w:lang w:val="en-GB"/>
        </w:rPr>
        <w:t>.</w:t>
      </w:r>
    </w:p>
    <w:p w14:paraId="43B3AFC6" w14:textId="77777777" w:rsidR="00941883" w:rsidRDefault="00941883" w:rsidP="00DD229F">
      <w:pPr>
        <w:autoSpaceDE w:val="0"/>
        <w:autoSpaceDN w:val="0"/>
        <w:adjustRightInd w:val="0"/>
        <w:spacing w:line="360" w:lineRule="auto"/>
        <w:jc w:val="both"/>
        <w:rPr>
          <w:rFonts w:ascii="Arial" w:hAnsi="Arial" w:cs="Arial"/>
          <w:sz w:val="24"/>
          <w:szCs w:val="24"/>
          <w:lang w:val="en-GB"/>
        </w:rPr>
      </w:pPr>
    </w:p>
    <w:p w14:paraId="2E84A0BB" w14:textId="01DEA3D6" w:rsidR="00941883" w:rsidRPr="003C75E6" w:rsidRDefault="00941883" w:rsidP="00941883">
      <w:pPr>
        <w:pStyle w:val="Heading3"/>
        <w:spacing w:line="257" w:lineRule="auto"/>
        <w:ind w:left="504"/>
      </w:pPr>
      <w:bookmarkStart w:id="52" w:name="_Toc153894152"/>
      <w:r>
        <w:t xml:space="preserve">Overview of </w:t>
      </w:r>
      <w:r w:rsidR="00505610">
        <w:t>the review</w:t>
      </w:r>
      <w:bookmarkEnd w:id="52"/>
      <w:r w:rsidR="00505610">
        <w:t xml:space="preserve"> </w:t>
      </w:r>
    </w:p>
    <w:p w14:paraId="723E9403" w14:textId="6C689CE9" w:rsidR="00113E68" w:rsidRPr="004552BD" w:rsidRDefault="002F5F9F" w:rsidP="004552BD">
      <w:pPr>
        <w:spacing w:before="240" w:line="360" w:lineRule="auto"/>
        <w:jc w:val="both"/>
        <w:rPr>
          <w:rFonts w:ascii="Arial" w:hAnsi="Arial" w:cs="Arial"/>
          <w:sz w:val="24"/>
          <w:szCs w:val="24"/>
          <w:lang w:val="en-GB"/>
        </w:rPr>
      </w:pPr>
      <w:r w:rsidRPr="004552BD">
        <w:rPr>
          <w:rFonts w:ascii="Arial" w:hAnsi="Arial" w:cs="Arial"/>
          <w:sz w:val="24"/>
          <w:szCs w:val="24"/>
          <w:lang w:val="en-GB"/>
        </w:rPr>
        <w:t>The report of the review is presented under the following headings:</w:t>
      </w:r>
    </w:p>
    <w:p w14:paraId="4D2275E2" w14:textId="35089A54" w:rsidR="007141D8" w:rsidRPr="004552BD" w:rsidRDefault="007141D8" w:rsidP="004552BD">
      <w:pPr>
        <w:shd w:val="clear" w:color="auto" w:fill="FFFFFF"/>
        <w:spacing w:after="0" w:line="360" w:lineRule="auto"/>
        <w:rPr>
          <w:rFonts w:ascii="Arial" w:hAnsi="Arial" w:cs="Arial"/>
          <w:sz w:val="24"/>
          <w:szCs w:val="24"/>
          <w:lang w:val="en-GB"/>
        </w:rPr>
      </w:pPr>
      <w:r w:rsidRPr="004552BD">
        <w:rPr>
          <w:rFonts w:ascii="Arial" w:hAnsi="Arial" w:cs="Arial"/>
          <w:sz w:val="24"/>
          <w:szCs w:val="24"/>
          <w:lang w:val="en-GB"/>
        </w:rPr>
        <w:t>2.3.4</w:t>
      </w:r>
      <w:r w:rsidR="00065BCB">
        <w:rPr>
          <w:rFonts w:ascii="Arial" w:hAnsi="Arial" w:cs="Arial"/>
          <w:sz w:val="24"/>
          <w:szCs w:val="24"/>
          <w:lang w:val="en-GB"/>
        </w:rPr>
        <w:t>.</w:t>
      </w:r>
      <w:r w:rsidRPr="004552BD">
        <w:rPr>
          <w:rFonts w:ascii="Arial" w:hAnsi="Arial" w:cs="Arial"/>
          <w:sz w:val="24"/>
          <w:szCs w:val="24"/>
          <w:lang w:val="en-GB"/>
        </w:rPr>
        <w:t> Role of pharmacists in diabetes management</w:t>
      </w:r>
      <w:r w:rsidRPr="004552BD">
        <w:rPr>
          <w:rFonts w:ascii="Arial" w:hAnsi="Arial" w:cs="Arial"/>
          <w:sz w:val="24"/>
          <w:szCs w:val="24"/>
          <w:lang w:val="en-GB"/>
        </w:rPr>
        <w:br/>
        <w:t>2.3.5</w:t>
      </w:r>
      <w:r w:rsidR="00065BCB">
        <w:rPr>
          <w:rFonts w:ascii="Arial" w:hAnsi="Arial" w:cs="Arial"/>
          <w:sz w:val="24"/>
          <w:szCs w:val="24"/>
          <w:lang w:val="en-GB"/>
        </w:rPr>
        <w:t>.</w:t>
      </w:r>
      <w:r w:rsidRPr="004552BD">
        <w:rPr>
          <w:rFonts w:ascii="Arial" w:hAnsi="Arial" w:cs="Arial"/>
          <w:sz w:val="24"/>
          <w:szCs w:val="24"/>
          <w:lang w:val="en-GB"/>
        </w:rPr>
        <w:t> Types of pharmacists’ interventions in diabetes management</w:t>
      </w:r>
      <w:r w:rsidRPr="004552BD">
        <w:rPr>
          <w:rFonts w:ascii="Arial" w:hAnsi="Arial" w:cs="Arial"/>
          <w:sz w:val="24"/>
          <w:szCs w:val="24"/>
          <w:lang w:val="en-GB"/>
        </w:rPr>
        <w:br/>
        <w:t>2.3.6</w:t>
      </w:r>
      <w:r w:rsidR="00065BCB">
        <w:rPr>
          <w:rFonts w:ascii="Arial" w:hAnsi="Arial" w:cs="Arial"/>
          <w:sz w:val="24"/>
          <w:szCs w:val="24"/>
          <w:lang w:val="en-GB"/>
        </w:rPr>
        <w:t>.</w:t>
      </w:r>
      <w:r w:rsidRPr="004552BD">
        <w:rPr>
          <w:rFonts w:ascii="Arial" w:hAnsi="Arial" w:cs="Arial"/>
          <w:sz w:val="24"/>
          <w:szCs w:val="24"/>
          <w:lang w:val="en-GB"/>
        </w:rPr>
        <w:t> Global literature on pharmacist impact and involvement</w:t>
      </w:r>
    </w:p>
    <w:p w14:paraId="3E112D7A" w14:textId="4AF7426F" w:rsidR="007141D8" w:rsidRPr="004552BD" w:rsidRDefault="007141D8" w:rsidP="004552BD">
      <w:pPr>
        <w:shd w:val="clear" w:color="auto" w:fill="FFFFFF"/>
        <w:spacing w:after="0" w:line="360" w:lineRule="auto"/>
        <w:rPr>
          <w:rFonts w:ascii="Arial" w:hAnsi="Arial" w:cs="Arial"/>
          <w:sz w:val="24"/>
          <w:szCs w:val="24"/>
          <w:lang w:val="en-GB"/>
        </w:rPr>
      </w:pPr>
      <w:r w:rsidRPr="004552BD">
        <w:rPr>
          <w:rFonts w:ascii="Arial" w:hAnsi="Arial" w:cs="Arial"/>
          <w:sz w:val="24"/>
          <w:szCs w:val="24"/>
          <w:lang w:val="en-GB"/>
        </w:rPr>
        <w:t>   2.3.6.1</w:t>
      </w:r>
      <w:r w:rsidR="00065BCB">
        <w:rPr>
          <w:rFonts w:ascii="Arial" w:hAnsi="Arial" w:cs="Arial"/>
          <w:sz w:val="24"/>
          <w:szCs w:val="24"/>
          <w:lang w:val="en-GB"/>
        </w:rPr>
        <w:t>.</w:t>
      </w:r>
      <w:r w:rsidRPr="004552BD">
        <w:rPr>
          <w:rFonts w:ascii="Arial" w:hAnsi="Arial" w:cs="Arial"/>
          <w:sz w:val="24"/>
          <w:szCs w:val="24"/>
          <w:lang w:val="en-GB"/>
        </w:rPr>
        <w:t xml:space="preserve"> Global literature: Impact of pharmacists' interventions on clinical, economic and humanistic outcomes</w:t>
      </w:r>
    </w:p>
    <w:p w14:paraId="340A7B03" w14:textId="6CB31E66" w:rsidR="007141D8" w:rsidRPr="004552BD" w:rsidRDefault="007141D8" w:rsidP="004552BD">
      <w:pPr>
        <w:shd w:val="clear" w:color="auto" w:fill="FFFFFF"/>
        <w:spacing w:after="0" w:line="360" w:lineRule="auto"/>
        <w:rPr>
          <w:rFonts w:ascii="Arial" w:hAnsi="Arial" w:cs="Arial"/>
          <w:sz w:val="24"/>
          <w:szCs w:val="24"/>
          <w:lang w:val="en-GB"/>
        </w:rPr>
      </w:pPr>
      <w:r w:rsidRPr="004552BD">
        <w:rPr>
          <w:rFonts w:ascii="Arial" w:hAnsi="Arial" w:cs="Arial"/>
          <w:sz w:val="24"/>
          <w:szCs w:val="24"/>
          <w:lang w:val="en-GB"/>
        </w:rPr>
        <w:t>   2.3.6.2</w:t>
      </w:r>
      <w:r w:rsidR="00065BCB">
        <w:rPr>
          <w:rFonts w:ascii="Arial" w:hAnsi="Arial" w:cs="Arial"/>
          <w:sz w:val="24"/>
          <w:szCs w:val="24"/>
          <w:lang w:val="en-GB"/>
        </w:rPr>
        <w:t>.</w:t>
      </w:r>
      <w:r w:rsidRPr="004552BD">
        <w:rPr>
          <w:rFonts w:ascii="Arial" w:hAnsi="Arial" w:cs="Arial"/>
          <w:sz w:val="24"/>
          <w:szCs w:val="24"/>
          <w:lang w:val="en-GB"/>
        </w:rPr>
        <w:t xml:space="preserve"> Global literature: Pharmacist involvement in diabetes management focusing on multidisciplinary teams (MDT)</w:t>
      </w:r>
    </w:p>
    <w:p w14:paraId="111DE5D4" w14:textId="6BFC8F5D" w:rsidR="007141D8" w:rsidRPr="004552BD" w:rsidRDefault="007141D8" w:rsidP="004552BD">
      <w:pPr>
        <w:shd w:val="clear" w:color="auto" w:fill="FFFFFF"/>
        <w:spacing w:after="0" w:line="360" w:lineRule="auto"/>
        <w:rPr>
          <w:rFonts w:ascii="Arial" w:hAnsi="Arial" w:cs="Arial"/>
          <w:sz w:val="24"/>
          <w:szCs w:val="24"/>
          <w:lang w:val="en-GB"/>
        </w:rPr>
      </w:pPr>
      <w:r w:rsidRPr="004552BD">
        <w:rPr>
          <w:rFonts w:ascii="Arial" w:hAnsi="Arial" w:cs="Arial"/>
          <w:sz w:val="24"/>
          <w:szCs w:val="24"/>
          <w:lang w:val="en-GB"/>
        </w:rPr>
        <w:t>2.3.7</w:t>
      </w:r>
      <w:r w:rsidR="00065BCB">
        <w:rPr>
          <w:rFonts w:ascii="Arial" w:hAnsi="Arial" w:cs="Arial"/>
          <w:sz w:val="24"/>
          <w:szCs w:val="24"/>
          <w:lang w:val="en-GB"/>
        </w:rPr>
        <w:t>.</w:t>
      </w:r>
      <w:r w:rsidRPr="004552BD">
        <w:rPr>
          <w:rFonts w:ascii="Arial" w:hAnsi="Arial" w:cs="Arial"/>
          <w:sz w:val="24"/>
          <w:szCs w:val="24"/>
          <w:lang w:val="en-GB"/>
        </w:rPr>
        <w:t xml:space="preserve"> Evidence from Saudi Arabia</w:t>
      </w:r>
    </w:p>
    <w:p w14:paraId="4306B149" w14:textId="3E5E49C9" w:rsidR="007141D8" w:rsidRPr="004552BD" w:rsidRDefault="007141D8" w:rsidP="004552BD">
      <w:pPr>
        <w:shd w:val="clear" w:color="auto" w:fill="FFFFFF"/>
        <w:spacing w:after="0" w:line="360" w:lineRule="auto"/>
        <w:rPr>
          <w:rFonts w:ascii="Arial" w:hAnsi="Arial" w:cs="Arial"/>
          <w:sz w:val="24"/>
          <w:szCs w:val="24"/>
          <w:lang w:val="en-GB"/>
        </w:rPr>
      </w:pPr>
      <w:r w:rsidRPr="004552BD">
        <w:rPr>
          <w:rFonts w:ascii="Arial" w:hAnsi="Arial" w:cs="Arial"/>
          <w:sz w:val="24"/>
          <w:szCs w:val="24"/>
          <w:lang w:val="en-GB"/>
        </w:rPr>
        <w:t>   2.3.7.1</w:t>
      </w:r>
      <w:r w:rsidR="00065BCB">
        <w:rPr>
          <w:rFonts w:ascii="Arial" w:hAnsi="Arial" w:cs="Arial"/>
          <w:sz w:val="24"/>
          <w:szCs w:val="24"/>
          <w:lang w:val="en-GB"/>
        </w:rPr>
        <w:t>.</w:t>
      </w:r>
      <w:r w:rsidRPr="004552BD">
        <w:rPr>
          <w:rFonts w:ascii="Arial" w:hAnsi="Arial" w:cs="Arial"/>
          <w:sz w:val="24"/>
          <w:szCs w:val="24"/>
          <w:lang w:val="en-GB"/>
        </w:rPr>
        <w:t xml:space="preserve"> Saudi Arabia: Impact of pharmacists' interventions</w:t>
      </w:r>
    </w:p>
    <w:p w14:paraId="72CC0AFE" w14:textId="73343C12" w:rsidR="007141D8" w:rsidRPr="004552BD" w:rsidRDefault="007141D8" w:rsidP="004552BD">
      <w:pPr>
        <w:shd w:val="clear" w:color="auto" w:fill="FFFFFF"/>
        <w:spacing w:after="0" w:line="360" w:lineRule="auto"/>
        <w:rPr>
          <w:rFonts w:ascii="Arial" w:hAnsi="Arial" w:cs="Arial"/>
          <w:sz w:val="24"/>
          <w:szCs w:val="24"/>
          <w:lang w:val="en-GB"/>
        </w:rPr>
      </w:pPr>
      <w:r w:rsidRPr="004552BD">
        <w:rPr>
          <w:rFonts w:ascii="Arial" w:hAnsi="Arial" w:cs="Arial"/>
          <w:sz w:val="24"/>
          <w:szCs w:val="24"/>
          <w:lang w:val="en-GB"/>
        </w:rPr>
        <w:t>   2.3.7.2 Saudi Arabia: Pharmacist involvement </w:t>
      </w:r>
      <w:r w:rsidR="00CD7C9F">
        <w:rPr>
          <w:rFonts w:ascii="Arial" w:hAnsi="Arial" w:cs="Arial"/>
          <w:sz w:val="24"/>
          <w:szCs w:val="24"/>
          <w:lang w:val="en-GB"/>
        </w:rPr>
        <w:t xml:space="preserve">in MDT </w:t>
      </w:r>
      <w:r w:rsidRPr="004552BD">
        <w:rPr>
          <w:rFonts w:ascii="Arial" w:hAnsi="Arial" w:cs="Arial"/>
          <w:sz w:val="24"/>
          <w:szCs w:val="24"/>
          <w:lang w:val="en-GB"/>
        </w:rPr>
        <w:t>in diabetes management in PHCs</w:t>
      </w:r>
    </w:p>
    <w:p w14:paraId="18CEAB6F" w14:textId="28A7C7B1" w:rsidR="007141D8" w:rsidRPr="00D44486" w:rsidRDefault="007141D8" w:rsidP="004552BD">
      <w:pPr>
        <w:shd w:val="clear" w:color="auto" w:fill="FFFFFF"/>
        <w:spacing w:after="0" w:line="360" w:lineRule="auto"/>
        <w:rPr>
          <w:rFonts w:ascii="Arial" w:hAnsi="Arial" w:cs="Arial"/>
          <w:color w:val="FF0000"/>
          <w:sz w:val="24"/>
          <w:szCs w:val="24"/>
          <w:lang w:val="en-GB"/>
        </w:rPr>
      </w:pPr>
      <w:r w:rsidRPr="004552BD">
        <w:rPr>
          <w:rFonts w:ascii="Arial" w:hAnsi="Arial" w:cs="Arial"/>
          <w:sz w:val="24"/>
          <w:szCs w:val="24"/>
          <w:lang w:val="en-GB"/>
        </w:rPr>
        <w:t>2.3.8</w:t>
      </w:r>
      <w:r w:rsidR="00065BCB">
        <w:rPr>
          <w:rFonts w:ascii="Arial" w:hAnsi="Arial" w:cs="Arial"/>
          <w:sz w:val="24"/>
          <w:szCs w:val="24"/>
          <w:lang w:val="en-GB"/>
        </w:rPr>
        <w:t>.</w:t>
      </w:r>
      <w:r w:rsidRPr="004552BD">
        <w:rPr>
          <w:rFonts w:ascii="Arial" w:hAnsi="Arial" w:cs="Arial"/>
          <w:sz w:val="24"/>
          <w:szCs w:val="24"/>
          <w:lang w:val="en-GB"/>
        </w:rPr>
        <w:t> Barriers and facilitators to pharmacists’ involvement in diabetes management</w:t>
      </w:r>
    </w:p>
    <w:p w14:paraId="0FDF4CDC" w14:textId="77777777" w:rsidR="003A63B7" w:rsidRPr="00D44486" w:rsidRDefault="003A63B7" w:rsidP="00746758">
      <w:pPr>
        <w:spacing w:line="360" w:lineRule="auto"/>
        <w:jc w:val="both"/>
        <w:rPr>
          <w:rFonts w:ascii="Arial" w:hAnsi="Arial" w:cs="Arial"/>
          <w:color w:val="FF0000"/>
          <w:sz w:val="24"/>
          <w:szCs w:val="24"/>
          <w:lang w:val="en-GB"/>
        </w:rPr>
      </w:pPr>
    </w:p>
    <w:p w14:paraId="5B2297CE" w14:textId="1B5F8B51" w:rsidR="00941883" w:rsidRPr="00D44486" w:rsidRDefault="00941883" w:rsidP="00941883">
      <w:pPr>
        <w:spacing w:line="360" w:lineRule="auto"/>
        <w:jc w:val="both"/>
        <w:rPr>
          <w:rFonts w:ascii="Arial" w:hAnsi="Arial" w:cs="Arial"/>
          <w:color w:val="00B050"/>
          <w:sz w:val="24"/>
          <w:szCs w:val="24"/>
        </w:rPr>
      </w:pPr>
    </w:p>
    <w:p w14:paraId="5926ADE6" w14:textId="77777777" w:rsidR="00941883" w:rsidRPr="005577B2" w:rsidRDefault="00941883" w:rsidP="00941883">
      <w:pPr>
        <w:pStyle w:val="Heading3"/>
        <w:spacing w:line="257" w:lineRule="auto"/>
        <w:ind w:left="504"/>
        <w:rPr>
          <w:lang w:val="en-GB"/>
        </w:rPr>
      </w:pPr>
      <w:bookmarkStart w:id="53" w:name="_Toc153894153"/>
      <w:r w:rsidRPr="00261E07">
        <w:rPr>
          <w:lang w:val="en-GB"/>
        </w:rPr>
        <w:t xml:space="preserve">Pharmacist’s role in diabetes management </w:t>
      </w:r>
      <w:bookmarkEnd w:id="53"/>
    </w:p>
    <w:p w14:paraId="3BEA3842" w14:textId="28E536DB" w:rsidR="00941883" w:rsidRPr="00CB0AF4" w:rsidRDefault="00941883" w:rsidP="00941883">
      <w:pPr>
        <w:shd w:val="clear" w:color="auto" w:fill="FFFFFF"/>
        <w:spacing w:line="360" w:lineRule="auto"/>
        <w:jc w:val="both"/>
        <w:rPr>
          <w:rFonts w:ascii="Arial" w:hAnsi="Arial" w:cs="Arial"/>
          <w:sz w:val="24"/>
          <w:szCs w:val="24"/>
          <w:lang w:val="en-GB"/>
        </w:rPr>
      </w:pPr>
      <w:r w:rsidRPr="006B2FC7">
        <w:rPr>
          <w:rFonts w:ascii="Arial" w:hAnsi="Arial" w:cs="Arial"/>
          <w:sz w:val="24"/>
          <w:szCs w:val="24"/>
          <w:lang w:val="en-GB"/>
        </w:rPr>
        <w:t xml:space="preserve">Opportunities for pharmacists to contribute to the care and management of diabetic patients are increasingly being recognised by several healthcare </w:t>
      </w:r>
      <w:r w:rsidRPr="000A551A">
        <w:rPr>
          <w:rFonts w:ascii="Arial" w:hAnsi="Arial" w:cs="Arial"/>
          <w:sz w:val="24"/>
          <w:szCs w:val="24"/>
          <w:lang w:val="en-GB"/>
        </w:rPr>
        <w:t>systems</w:t>
      </w:r>
      <w:r w:rsidRPr="00CB0AF4">
        <w:rPr>
          <w:rFonts w:ascii="Arial" w:hAnsi="Arial" w:cs="Arial"/>
          <w:sz w:val="24"/>
          <w:szCs w:val="24"/>
          <w:lang w:val="en-GB"/>
        </w:rPr>
        <w:t xml:space="preserve">. </w:t>
      </w:r>
      <w:r w:rsidR="00822E50" w:rsidRPr="00CB0AF4">
        <w:rPr>
          <w:rFonts w:ascii="Arial" w:hAnsi="Arial" w:cs="Arial"/>
          <w:sz w:val="24"/>
          <w:szCs w:val="24"/>
          <w:lang w:val="en-GB"/>
        </w:rPr>
        <w:t>P</w:t>
      </w:r>
      <w:r w:rsidRPr="00CB0AF4">
        <w:rPr>
          <w:rFonts w:ascii="Arial" w:hAnsi="Arial" w:cs="Arial"/>
          <w:sz w:val="24"/>
          <w:szCs w:val="24"/>
          <w:lang w:val="en-GB"/>
        </w:rPr>
        <w:t>harmacist</w:t>
      </w:r>
      <w:r w:rsidR="00822E50" w:rsidRPr="00CB0AF4">
        <w:rPr>
          <w:rFonts w:ascii="Arial" w:hAnsi="Arial" w:cs="Arial"/>
          <w:sz w:val="24"/>
          <w:szCs w:val="24"/>
          <w:lang w:val="en-GB"/>
        </w:rPr>
        <w:t>s</w:t>
      </w:r>
      <w:r w:rsidRPr="00CB0AF4">
        <w:rPr>
          <w:rFonts w:ascii="Arial" w:hAnsi="Arial" w:cs="Arial"/>
          <w:sz w:val="24"/>
          <w:szCs w:val="24"/>
          <w:lang w:val="en-GB"/>
        </w:rPr>
        <w:t xml:space="preserve"> </w:t>
      </w:r>
      <w:r w:rsidR="00822E50" w:rsidRPr="00CB0AF4">
        <w:rPr>
          <w:rFonts w:ascii="Arial" w:hAnsi="Arial" w:cs="Arial"/>
          <w:sz w:val="24"/>
          <w:szCs w:val="24"/>
          <w:lang w:val="en-GB"/>
        </w:rPr>
        <w:t>may</w:t>
      </w:r>
      <w:r w:rsidRPr="00CB0AF4">
        <w:rPr>
          <w:rFonts w:ascii="Arial" w:hAnsi="Arial" w:cs="Arial"/>
          <w:sz w:val="24"/>
          <w:szCs w:val="24"/>
          <w:lang w:val="en-GB"/>
        </w:rPr>
        <w:t xml:space="preserve"> be </w:t>
      </w:r>
      <w:r w:rsidR="00822E50" w:rsidRPr="00CB0AF4">
        <w:rPr>
          <w:rFonts w:ascii="Arial" w:hAnsi="Arial" w:cs="Arial"/>
          <w:sz w:val="24"/>
          <w:szCs w:val="24"/>
          <w:lang w:val="en-GB"/>
        </w:rPr>
        <w:t xml:space="preserve">well </w:t>
      </w:r>
      <w:r w:rsidRPr="00CB0AF4">
        <w:rPr>
          <w:rFonts w:ascii="Arial" w:hAnsi="Arial" w:cs="Arial"/>
          <w:sz w:val="24"/>
          <w:szCs w:val="24"/>
          <w:lang w:val="en-GB"/>
        </w:rPr>
        <w:t xml:space="preserve">suited to </w:t>
      </w:r>
      <w:r w:rsidR="00857339" w:rsidRPr="00CB0AF4">
        <w:rPr>
          <w:rFonts w:ascii="Arial" w:hAnsi="Arial" w:cs="Arial"/>
          <w:sz w:val="24"/>
          <w:szCs w:val="24"/>
          <w:lang w:val="en-GB"/>
        </w:rPr>
        <w:t>carrying</w:t>
      </w:r>
      <w:r w:rsidRPr="00CB0AF4">
        <w:rPr>
          <w:rFonts w:ascii="Arial" w:hAnsi="Arial" w:cs="Arial"/>
          <w:sz w:val="24"/>
          <w:szCs w:val="24"/>
          <w:lang w:val="en-GB"/>
        </w:rPr>
        <w:t xml:space="preserve"> out effective interventions to enhance long-term health outcomes because they have been described as caregivers, communicators, teachers, leaders and decision-makers </w:t>
      </w:r>
      <w:r w:rsidRPr="00CB0AF4">
        <w:rPr>
          <w:rFonts w:ascii="Arial" w:hAnsi="Arial" w:cs="Arial"/>
          <w:sz w:val="24"/>
          <w:szCs w:val="24"/>
          <w:lang w:val="en-GB"/>
        </w:rPr>
        <w:fldChar w:fldCharType="begin" w:fldLock="1"/>
      </w:r>
      <w:r w:rsidRPr="00CB0AF4">
        <w:rPr>
          <w:rFonts w:ascii="Arial" w:hAnsi="Arial" w:cs="Arial"/>
          <w:sz w:val="24"/>
          <w:szCs w:val="24"/>
          <w:lang w:val="en-GB"/>
        </w:rPr>
        <w:instrText>ADDIN CSL_CITATION {"citationItems":[{"id":"ITEM-1","itemData":{"ISSN":"14668955","abstract":"Diabetes is one of the primary causes of death and disability globally, affecting over 371 million people, which is said to rise to 552 million people by 2030 (International Diabetes Federation, 2012). Current estimates suggest that there are over 3 million people in England with diabetes, of whom roughly a quarter are undiagnosed (Holman et al, 2011). The prevalence of diabetes is higher in developed countries than in developing countries but as developing countries become more industrialised, the incidence of diabetes will also increase. In the UK, it is estimated that the cost of treating diabetes and its related complications is approximately £14 billion (around 85% of that being due to type 2 diabetes), accounting for around 10% of the total NHS expenditure for England and Wales (Kanavos et al, 2012). In 2012, around 4.8 million deaths resulted from the disease and its associated complications worldwide (International Diabetes Federation, 2012). Diabetes has been stated to be the underlying cause of 12% of all new cases of legal blindness, over one third of new cases of end-stage renal disease and approximately half of non-traumatic lower-extremity amputations. It has also been indicated that people with diabetes are two to four times more likely to die from heart disease or suffer a stoke (Powers, 2001).","author":[{"dropping-particle":"","family":"Khunti","given":"Nitisha","non-dropping-particle":"","parse-names":false,"suffix":""},{"dropping-particle":"","family":"Willis","given":"Andrew","non-dropping-particle":"","parse-names":false,"suffix":""},{"dropping-particle":"","family":"Davies","given":"Melanie","non-dropping-particle":"","parse-names":false,"suffix":""},{"dropping-particle":"","family":"Khunti","given":"Kamlesh","non-dropping-particle":"","parse-names":false,"suffix":""}],"container-title":"Diabetes and Primary Care","id":"ITEM-1","issue":"3","issued":{"date-parts":[["2013"]]},"page":"131-140","title":"The role of pharmacists in the management of type 2 diabetes: A literature review","type":"article-journal","volume":"15"},"uris":["http://www.mendeley.com/documents/?uuid=6900c8a1-9e62-438f-95c1-aed9be81e4d2"]}],"mendeley":{"formattedCitation":"(Khunti &lt;i&gt;et al.&lt;/i&gt;, 2013)","plainTextFormattedCitation":"(Khunti et al., 2013)","previouslyFormattedCitation":"(Khunti &lt;i&gt;et al.&lt;/i&gt;, 2013)"},"properties":{"noteIndex":0},"schema":"https://github.com/citation-style-language/schema/raw/master/csl-citation.json"}</w:instrText>
      </w:r>
      <w:r w:rsidRPr="00CB0AF4">
        <w:rPr>
          <w:rFonts w:ascii="Arial" w:hAnsi="Arial" w:cs="Arial"/>
          <w:sz w:val="24"/>
          <w:szCs w:val="24"/>
          <w:lang w:val="en-GB"/>
        </w:rPr>
        <w:fldChar w:fldCharType="separate"/>
      </w:r>
      <w:r w:rsidRPr="00CB0AF4">
        <w:rPr>
          <w:rFonts w:ascii="Arial" w:hAnsi="Arial" w:cs="Arial"/>
          <w:noProof/>
          <w:sz w:val="24"/>
          <w:szCs w:val="24"/>
          <w:lang w:val="en-GB"/>
        </w:rPr>
        <w:t xml:space="preserve">(Khunti </w:t>
      </w:r>
      <w:r w:rsidRPr="00CB0AF4">
        <w:rPr>
          <w:rFonts w:ascii="Arial" w:hAnsi="Arial" w:cs="Arial"/>
          <w:i/>
          <w:noProof/>
          <w:sz w:val="24"/>
          <w:szCs w:val="24"/>
          <w:lang w:val="en-GB"/>
        </w:rPr>
        <w:t>et al.</w:t>
      </w:r>
      <w:r w:rsidRPr="00CB0AF4">
        <w:rPr>
          <w:rFonts w:ascii="Arial" w:hAnsi="Arial" w:cs="Arial"/>
          <w:noProof/>
          <w:sz w:val="24"/>
          <w:szCs w:val="24"/>
          <w:lang w:val="en-GB"/>
        </w:rPr>
        <w:t>, 2013)</w:t>
      </w:r>
      <w:r w:rsidRPr="00CB0AF4">
        <w:rPr>
          <w:rFonts w:ascii="Arial" w:hAnsi="Arial" w:cs="Arial"/>
          <w:sz w:val="24"/>
          <w:szCs w:val="24"/>
          <w:lang w:val="en-GB"/>
        </w:rPr>
        <w:fldChar w:fldCharType="end"/>
      </w:r>
      <w:r w:rsidRPr="00CB0AF4">
        <w:rPr>
          <w:rFonts w:ascii="Arial" w:hAnsi="Arial" w:cs="Arial"/>
          <w:sz w:val="24"/>
          <w:szCs w:val="24"/>
          <w:lang w:val="en-GB"/>
        </w:rPr>
        <w:t xml:space="preserve">. </w:t>
      </w:r>
      <w:r w:rsidR="00822E50" w:rsidRPr="00CB0AF4">
        <w:rPr>
          <w:rFonts w:ascii="Arial" w:hAnsi="Arial" w:cs="Arial"/>
          <w:sz w:val="24"/>
          <w:szCs w:val="24"/>
          <w:lang w:val="en-GB"/>
        </w:rPr>
        <w:t>More specifically, p</w:t>
      </w:r>
      <w:r w:rsidRPr="00CB0AF4">
        <w:rPr>
          <w:rFonts w:ascii="Arial" w:hAnsi="Arial" w:cs="Arial"/>
          <w:sz w:val="24"/>
          <w:szCs w:val="24"/>
          <w:lang w:val="en-GB"/>
        </w:rPr>
        <w:t xml:space="preserve">harmacists </w:t>
      </w:r>
      <w:r w:rsidR="00822E50" w:rsidRPr="00CB0AF4">
        <w:rPr>
          <w:rFonts w:ascii="Arial" w:hAnsi="Arial" w:cs="Arial"/>
          <w:sz w:val="24"/>
          <w:szCs w:val="24"/>
          <w:lang w:val="en-GB"/>
        </w:rPr>
        <w:t>have been championed as having a</w:t>
      </w:r>
      <w:r w:rsidRPr="00CB0AF4">
        <w:rPr>
          <w:rFonts w:ascii="Arial" w:hAnsi="Arial" w:cs="Arial"/>
          <w:sz w:val="24"/>
          <w:szCs w:val="24"/>
          <w:lang w:val="en-GB"/>
        </w:rPr>
        <w:t xml:space="preserve"> play a key role in diabetes management; particularly when therapeutic goals </w:t>
      </w:r>
      <w:r w:rsidR="00822E50" w:rsidRPr="00CB0AF4">
        <w:rPr>
          <w:rFonts w:ascii="Arial" w:hAnsi="Arial" w:cs="Arial"/>
          <w:sz w:val="24"/>
          <w:szCs w:val="24"/>
          <w:lang w:val="en-GB"/>
        </w:rPr>
        <w:t>have not previously been</w:t>
      </w:r>
      <w:r w:rsidRPr="00CB0AF4">
        <w:rPr>
          <w:rFonts w:ascii="Arial" w:hAnsi="Arial" w:cs="Arial"/>
          <w:sz w:val="24"/>
          <w:szCs w:val="24"/>
          <w:lang w:val="en-GB"/>
        </w:rPr>
        <w:t xml:space="preserve"> a</w:t>
      </w:r>
      <w:r w:rsidR="00822E50" w:rsidRPr="00CB0AF4">
        <w:rPr>
          <w:rFonts w:ascii="Arial" w:hAnsi="Arial" w:cs="Arial"/>
          <w:sz w:val="24"/>
          <w:szCs w:val="24"/>
          <w:lang w:val="en-GB"/>
        </w:rPr>
        <w:t>chieved</w:t>
      </w:r>
      <w:r w:rsidRPr="00CB0AF4">
        <w:rPr>
          <w:rFonts w:ascii="Arial" w:hAnsi="Arial" w:cs="Arial"/>
          <w:sz w:val="24"/>
          <w:szCs w:val="24"/>
          <w:lang w:val="en-GB"/>
        </w:rPr>
        <w:t xml:space="preserve">. Pharmacists can </w:t>
      </w:r>
      <w:r w:rsidR="00822E50" w:rsidRPr="00CB0AF4">
        <w:rPr>
          <w:rFonts w:ascii="Arial" w:hAnsi="Arial" w:cs="Arial"/>
          <w:sz w:val="24"/>
          <w:szCs w:val="24"/>
          <w:lang w:val="en-GB"/>
        </w:rPr>
        <w:t xml:space="preserve">also </w:t>
      </w:r>
      <w:r w:rsidRPr="00CB0AF4">
        <w:rPr>
          <w:rFonts w:ascii="Arial" w:hAnsi="Arial" w:cs="Arial"/>
          <w:sz w:val="24"/>
          <w:szCs w:val="24"/>
          <w:lang w:val="en-GB"/>
        </w:rPr>
        <w:t xml:space="preserve">identify patients who are not adhering to their medications and provide support to those patients before looking at intensifying therapy or having additional examinations </w:t>
      </w:r>
      <w:r w:rsidRPr="00CB0AF4">
        <w:rPr>
          <w:rFonts w:ascii="Arial" w:hAnsi="Arial" w:cs="Arial"/>
          <w:sz w:val="24"/>
          <w:szCs w:val="24"/>
          <w:lang w:val="en-GB"/>
        </w:rPr>
        <w:fldChar w:fldCharType="begin" w:fldLock="1"/>
      </w:r>
      <w:r w:rsidRPr="00CB0AF4">
        <w:rPr>
          <w:rFonts w:ascii="Arial" w:hAnsi="Arial" w:cs="Arial"/>
          <w:sz w:val="24"/>
          <w:szCs w:val="24"/>
          <w:lang w:val="en-GB"/>
        </w:rPr>
        <w:instrText>ADDIN CSL_CITATION {"citationItems":[{"id":"ITEM-1","itemData":{"DOI":"10.1016/j.jcjd.2019.04.017","ISSN":"23523840","PMID":"31164301","author":[{"dropping-particle":"","family":"Boivin","given":"Michael","non-dropping-particle":"","parse-names":false,"suffix":""}],"container-title":"Canadian Journal of Diabetes","id":"ITEM-1","issue":"6","issued":{"date-parts":[["2019"]]},"page":"429-432","publisher":"Canadian Diabetes Association","title":"Role of the Pharmacist Certified Diabetes Educator Along the Type 2 Diabetes Care Continuum","type":"article-journal","volume":"43"},"uris":["http://www.mendeley.com/documents/?uuid=05f97a0c-d440-46e6-903a-10cfca6adc36"]}],"mendeley":{"formattedCitation":"(Boivin, 2019)","manualFormatting":"(Boivin, 2019","plainTextFormattedCitation":"(Boivin, 2019)","previouslyFormattedCitation":"(Boivin, 2019)"},"properties":{"noteIndex":0},"schema":"https://github.com/citation-style-language/schema/raw/master/csl-citation.json"}</w:instrText>
      </w:r>
      <w:r w:rsidRPr="00CB0AF4">
        <w:rPr>
          <w:rFonts w:ascii="Arial" w:hAnsi="Arial" w:cs="Arial"/>
          <w:sz w:val="24"/>
          <w:szCs w:val="24"/>
          <w:lang w:val="en-GB"/>
        </w:rPr>
        <w:fldChar w:fldCharType="separate"/>
      </w:r>
      <w:r w:rsidRPr="00CB0AF4">
        <w:rPr>
          <w:rFonts w:ascii="Arial" w:hAnsi="Arial" w:cs="Arial"/>
          <w:noProof/>
          <w:sz w:val="24"/>
          <w:szCs w:val="24"/>
          <w:lang w:val="en-GB"/>
        </w:rPr>
        <w:t>(Boivin, 2019</w:t>
      </w:r>
      <w:r w:rsidRPr="00CB0AF4">
        <w:rPr>
          <w:rFonts w:ascii="Arial" w:hAnsi="Arial" w:cs="Arial"/>
          <w:sz w:val="24"/>
          <w:szCs w:val="24"/>
          <w:lang w:val="en-GB"/>
        </w:rPr>
        <w:fldChar w:fldCharType="end"/>
      </w:r>
      <w:r w:rsidRPr="00CB0AF4">
        <w:rPr>
          <w:rFonts w:ascii="Arial" w:hAnsi="Arial" w:cs="Arial"/>
          <w:sz w:val="24"/>
          <w:szCs w:val="24"/>
          <w:lang w:val="en-GB"/>
        </w:rPr>
        <w:t xml:space="preserve">; </w:t>
      </w:r>
      <w:r w:rsidRPr="00CB0AF4">
        <w:rPr>
          <w:rFonts w:ascii="Arial" w:hAnsi="Arial" w:cs="Arial"/>
          <w:sz w:val="24"/>
          <w:szCs w:val="24"/>
          <w:lang w:val="en-GB"/>
        </w:rPr>
        <w:fldChar w:fldCharType="begin" w:fldLock="1"/>
      </w:r>
      <w:r w:rsidRPr="00CB0AF4">
        <w:rPr>
          <w:rFonts w:ascii="Arial" w:hAnsi="Arial" w:cs="Arial"/>
          <w:sz w:val="24"/>
          <w:szCs w:val="24"/>
          <w:lang w:val="en-GB"/>
        </w:rPr>
        <w:instrText>ADDIN CSL_CITATION {"citationItems":[{"id":"ITEM-1","itemData":{"DOI":"10.1097/ceh.0000000000000466","ISBN":"0000000000000","ISSN":"0894-1912","PMID":"36877813","author":[{"dropping-particle":"","family":"Bawab","given":"Noura","non-dropping-particle":"","parse-names":false,"suffix":""},{"dropping-particle":"","family":"Moullin","given":"Joanna","non-dropping-particle":"","parse-names":false,"suffix":""},{"dropping-particle":"","family":"Jotterand","given":"Sébastien","non-dropping-particle":"","parse-names":false,"suffix":""},{"dropping-particle":"","family":"Rossier","given":"Christophe","non-dropping-particle":"","parse-names":false,"suffix":""},{"dropping-particle":"","family":"Schneider","given":"Marie-Paule","non-dropping-particle":"","parse-names":false,"suffix":""},{"dropping-particle":"","family":"Perraudin","given":"Clémence","non-dropping-particle":"","parse-names":false,"suffix":""}],"container-title":"Journal of Continuing Education in the Health Professions","id":"ITEM-1","issue":"2","issued":{"date-parts":[["2023"]]},"page":"77-86","title":"Building Interprofessional Collaborative Practices Through a Support Program for Patients With Type 2 Diabetes in Primary Care","type":"article-journal","volume":"Publish Ah"},"uris":["http://www.mendeley.com/documents/?uuid=ccf49918-2d21-41b6-b591-6e98ccaaefad"]}],"mendeley":{"formattedCitation":"(Bawab &lt;i&gt;et al.&lt;/i&gt;, 2023)","manualFormatting":"Bawab et al., 2023)","plainTextFormattedCitation":"(Bawab et al., 2023)","previouslyFormattedCitation":"(Bawab &lt;i&gt;et al.&lt;/i&gt;, 2023)"},"properties":{"noteIndex":0},"schema":"https://github.com/citation-style-language/schema/raw/master/csl-citation.json"}</w:instrText>
      </w:r>
      <w:r w:rsidRPr="00CB0AF4">
        <w:rPr>
          <w:rFonts w:ascii="Arial" w:hAnsi="Arial" w:cs="Arial"/>
          <w:sz w:val="24"/>
          <w:szCs w:val="24"/>
          <w:lang w:val="en-GB"/>
        </w:rPr>
        <w:fldChar w:fldCharType="separate"/>
      </w:r>
      <w:r w:rsidRPr="00CB0AF4">
        <w:rPr>
          <w:rFonts w:ascii="Arial" w:hAnsi="Arial" w:cs="Arial"/>
          <w:noProof/>
          <w:sz w:val="24"/>
          <w:szCs w:val="24"/>
          <w:lang w:val="en-GB"/>
        </w:rPr>
        <w:t xml:space="preserve">Bawab </w:t>
      </w:r>
      <w:r w:rsidRPr="00CB0AF4">
        <w:rPr>
          <w:rFonts w:ascii="Arial" w:hAnsi="Arial" w:cs="Arial"/>
          <w:i/>
          <w:noProof/>
          <w:sz w:val="24"/>
          <w:szCs w:val="24"/>
          <w:lang w:val="en-GB"/>
        </w:rPr>
        <w:t>et al.</w:t>
      </w:r>
      <w:r w:rsidRPr="00CB0AF4">
        <w:rPr>
          <w:rFonts w:ascii="Arial" w:hAnsi="Arial" w:cs="Arial"/>
          <w:noProof/>
          <w:sz w:val="24"/>
          <w:szCs w:val="24"/>
          <w:lang w:val="en-GB"/>
        </w:rPr>
        <w:t>, 2023)</w:t>
      </w:r>
      <w:r w:rsidRPr="00CB0AF4">
        <w:rPr>
          <w:rFonts w:ascii="Arial" w:hAnsi="Arial" w:cs="Arial"/>
          <w:sz w:val="24"/>
          <w:szCs w:val="24"/>
          <w:lang w:val="en-GB"/>
        </w:rPr>
        <w:fldChar w:fldCharType="end"/>
      </w:r>
      <w:r w:rsidRPr="00CB0AF4">
        <w:rPr>
          <w:rFonts w:ascii="Arial" w:hAnsi="Arial" w:cs="Arial"/>
          <w:sz w:val="24"/>
          <w:szCs w:val="24"/>
          <w:lang w:val="en-GB"/>
        </w:rPr>
        <w:t xml:space="preserve">. </w:t>
      </w:r>
    </w:p>
    <w:p w14:paraId="237CFE71" w14:textId="28C52F29" w:rsidR="00941883" w:rsidRPr="000A551A" w:rsidRDefault="00941883" w:rsidP="00941883">
      <w:pPr>
        <w:shd w:val="clear" w:color="auto" w:fill="FFFFFF"/>
        <w:spacing w:line="360" w:lineRule="auto"/>
        <w:jc w:val="both"/>
        <w:rPr>
          <w:rFonts w:ascii="Arial" w:hAnsi="Arial" w:cs="Arial"/>
          <w:sz w:val="24"/>
          <w:szCs w:val="24"/>
          <w:lang w:val="en-GB"/>
        </w:rPr>
      </w:pPr>
      <w:r w:rsidRPr="000A551A">
        <w:rPr>
          <w:rFonts w:ascii="Arial" w:hAnsi="Arial" w:cs="Arial"/>
          <w:sz w:val="24"/>
          <w:szCs w:val="24"/>
          <w:lang w:val="en-GB"/>
        </w:rPr>
        <w:t xml:space="preserve">Pharmacists can contribute to diabetes care by using their knowledge, skills and professional judgment to evaluate patients’ medication and ensure each patient’s medication needs are managed </w:t>
      </w:r>
      <w:r w:rsidRPr="000A551A">
        <w:rPr>
          <w:rFonts w:ascii="Arial" w:hAnsi="Arial" w:cs="Arial"/>
          <w:sz w:val="24"/>
          <w:szCs w:val="24"/>
          <w:lang w:val="en-GB"/>
        </w:rPr>
        <w:fldChar w:fldCharType="begin" w:fldLock="1"/>
      </w:r>
      <w:r w:rsidRPr="000A551A">
        <w:rPr>
          <w:rFonts w:ascii="Arial" w:hAnsi="Arial" w:cs="Arial"/>
          <w:sz w:val="24"/>
          <w:szCs w:val="24"/>
          <w:lang w:val="en-GB"/>
        </w:rPr>
        <w:instrText>ADDIN CSL_CITATION {"citationItems":[{"id":"ITEM-1","itemData":{"DOI":"https://dx.doi.org/10.1016/j.jcjd.2017.09.005","ISSN":"2352-3840","author":[{"dropping-particle":"","family":"Simpson","given":"Scot H","non-dropping-particle":"","parse-names":false,"suffix":""},{"dropping-particle":"","family":"MacCallum","given":"Lori","non-dropping-particle":"","parse-names":false,"suffix":""},{"dropping-particle":"","family":"Mansell","given":"Kerry","non-dropping-particle":"","parse-names":false,"suffix":""}],"container-title":"Canadian journal of diabetes","id":"ITEM-1","issue":"6","issued":{"date-parts":[["2017"]]},"page":"549-550","publisher-place":"Canada","title":"Pharmacy Practice and Diabetes Care.","type":"article-journal","volume":"41"},"uris":["http://www.mendeley.com/documents/?uuid=27ea9606-df98-426b-b49b-61114c1c8113"]}],"mendeley":{"formattedCitation":"(Simpson, MacCallum and Mansell, 2017)","manualFormatting":"(Simpson et al., 2017)","plainTextFormattedCitation":"(Simpson, MacCallum and Mansell, 2017)","previouslyFormattedCitation":"(Simpson, MacCallum and Mansell, 2017)"},"properties":{"noteIndex":0},"schema":"https://github.com/citation-style-language/schema/raw/master/csl-citation.json"}</w:instrText>
      </w:r>
      <w:r w:rsidRPr="000A551A">
        <w:rPr>
          <w:rFonts w:ascii="Arial" w:hAnsi="Arial" w:cs="Arial"/>
          <w:sz w:val="24"/>
          <w:szCs w:val="24"/>
          <w:lang w:val="en-GB"/>
        </w:rPr>
        <w:fldChar w:fldCharType="separate"/>
      </w:r>
      <w:r w:rsidRPr="000A551A">
        <w:rPr>
          <w:rFonts w:ascii="Arial" w:hAnsi="Arial" w:cs="Arial"/>
          <w:noProof/>
          <w:sz w:val="24"/>
          <w:szCs w:val="24"/>
          <w:lang w:val="en-GB"/>
        </w:rPr>
        <w:t>(Simpson et al., 2017)</w:t>
      </w:r>
      <w:r w:rsidRPr="000A551A">
        <w:rPr>
          <w:rFonts w:ascii="Arial" w:hAnsi="Arial" w:cs="Arial"/>
          <w:sz w:val="24"/>
          <w:szCs w:val="24"/>
          <w:lang w:val="en-GB"/>
        </w:rPr>
        <w:fldChar w:fldCharType="end"/>
      </w:r>
      <w:r w:rsidRPr="000A551A">
        <w:rPr>
          <w:rFonts w:ascii="Arial" w:hAnsi="Arial" w:cs="Arial"/>
          <w:sz w:val="24"/>
          <w:szCs w:val="24"/>
          <w:lang w:val="en-GB"/>
        </w:rPr>
        <w:t xml:space="preserve">. Pharmacists can provide a variety of patient-specific tailored services (see </w:t>
      </w:r>
      <w:r w:rsidR="00B223D3" w:rsidRPr="000A551A">
        <w:rPr>
          <w:rFonts w:ascii="Arial" w:hAnsi="Arial" w:cs="Arial"/>
          <w:sz w:val="24"/>
          <w:szCs w:val="24"/>
          <w:lang w:val="en-GB"/>
        </w:rPr>
        <w:fldChar w:fldCharType="begin"/>
      </w:r>
      <w:r w:rsidR="00B223D3" w:rsidRPr="000A551A">
        <w:rPr>
          <w:rFonts w:ascii="Arial" w:hAnsi="Arial" w:cs="Arial"/>
          <w:sz w:val="24"/>
          <w:szCs w:val="24"/>
          <w:lang w:val="en-GB"/>
        </w:rPr>
        <w:instrText xml:space="preserve"> REF _Ref148112796 \h  \* MERGEFORMAT </w:instrText>
      </w:r>
      <w:r w:rsidR="00B223D3" w:rsidRPr="000A551A">
        <w:rPr>
          <w:rFonts w:ascii="Arial" w:hAnsi="Arial" w:cs="Arial"/>
          <w:sz w:val="24"/>
          <w:szCs w:val="24"/>
          <w:lang w:val="en-GB"/>
        </w:rPr>
      </w:r>
      <w:r w:rsidR="00B223D3" w:rsidRPr="000A551A">
        <w:rPr>
          <w:rFonts w:ascii="Arial" w:hAnsi="Arial" w:cs="Arial"/>
          <w:sz w:val="24"/>
          <w:szCs w:val="24"/>
          <w:lang w:val="en-GB"/>
        </w:rPr>
        <w:fldChar w:fldCharType="separate"/>
      </w:r>
      <w:r w:rsidR="00B223D3" w:rsidRPr="000A551A">
        <w:rPr>
          <w:rFonts w:ascii="Arial" w:hAnsi="Arial" w:cs="Arial"/>
          <w:sz w:val="24"/>
          <w:szCs w:val="24"/>
          <w:lang w:val="en-GB"/>
        </w:rPr>
        <w:t>Table 4</w:t>
      </w:r>
      <w:r w:rsidR="00B223D3" w:rsidRPr="000A551A">
        <w:rPr>
          <w:rFonts w:ascii="Arial" w:hAnsi="Arial" w:cs="Arial"/>
          <w:sz w:val="24"/>
          <w:szCs w:val="24"/>
          <w:lang w:val="en-GB"/>
        </w:rPr>
        <w:fldChar w:fldCharType="end"/>
      </w:r>
      <w:r w:rsidRPr="000A551A">
        <w:rPr>
          <w:rFonts w:ascii="Arial" w:hAnsi="Arial" w:cs="Arial"/>
          <w:sz w:val="24"/>
          <w:szCs w:val="24"/>
          <w:lang w:val="en-GB"/>
        </w:rPr>
        <w:t>; for more details</w:t>
      </w:r>
      <w:r w:rsidRPr="00CB0AF4">
        <w:rPr>
          <w:rFonts w:ascii="Arial" w:hAnsi="Arial" w:cs="Arial"/>
          <w:sz w:val="24"/>
          <w:szCs w:val="24"/>
          <w:lang w:val="en-GB"/>
        </w:rPr>
        <w:t xml:space="preserve">, </w:t>
      </w:r>
      <w:r w:rsidRPr="000A551A">
        <w:rPr>
          <w:rFonts w:ascii="Arial" w:hAnsi="Arial" w:cs="Arial"/>
          <w:sz w:val="24"/>
          <w:szCs w:val="24"/>
          <w:lang w:val="en-GB"/>
        </w:rPr>
        <w:t>see</w:t>
      </w:r>
      <w:r w:rsidR="00F677C7" w:rsidRPr="00CB0AF4">
        <w:rPr>
          <w:rFonts w:ascii="Arial" w:hAnsi="Arial" w:cs="Arial"/>
          <w:sz w:val="24"/>
          <w:szCs w:val="24"/>
          <w:lang w:val="en-GB"/>
        </w:rPr>
        <w:t xml:space="preserve"> </w:t>
      </w:r>
      <w:r w:rsidR="00A11427" w:rsidRPr="00CB0AF4">
        <w:rPr>
          <w:rFonts w:ascii="Arial" w:hAnsi="Arial" w:cs="Arial"/>
          <w:sz w:val="24"/>
          <w:szCs w:val="24"/>
          <w:lang w:val="en-GB"/>
        </w:rPr>
        <w:fldChar w:fldCharType="begin"/>
      </w:r>
      <w:r w:rsidR="00A11427" w:rsidRPr="00CB0AF4">
        <w:rPr>
          <w:rFonts w:ascii="Arial" w:hAnsi="Arial" w:cs="Arial"/>
          <w:sz w:val="24"/>
          <w:szCs w:val="24"/>
          <w:lang w:val="en-GB"/>
        </w:rPr>
        <w:instrText xml:space="preserve"> REF _Ref127377433 \h  \* MERGEFORMAT </w:instrText>
      </w:r>
      <w:r w:rsidR="00A11427" w:rsidRPr="00CB0AF4">
        <w:rPr>
          <w:rFonts w:ascii="Arial" w:hAnsi="Arial" w:cs="Arial"/>
          <w:sz w:val="24"/>
          <w:szCs w:val="24"/>
          <w:lang w:val="en-GB"/>
        </w:rPr>
      </w:r>
      <w:r w:rsidR="00A11427" w:rsidRPr="00CB0AF4">
        <w:rPr>
          <w:rFonts w:ascii="Arial" w:hAnsi="Arial" w:cs="Arial"/>
          <w:sz w:val="24"/>
          <w:szCs w:val="24"/>
          <w:lang w:val="en-GB"/>
        </w:rPr>
        <w:fldChar w:fldCharType="separate"/>
      </w:r>
      <w:r w:rsidR="00A11427" w:rsidRPr="00CB0AF4">
        <w:rPr>
          <w:rFonts w:ascii="Arial" w:hAnsi="Arial" w:cs="Arial"/>
          <w:sz w:val="24"/>
          <w:szCs w:val="24"/>
          <w:lang w:val="en-GB"/>
        </w:rPr>
        <w:t>Appendix G</w:t>
      </w:r>
      <w:r w:rsidR="00DE10ED" w:rsidRPr="00CB0AF4">
        <w:rPr>
          <w:rFonts w:ascii="Arial" w:hAnsi="Arial" w:cs="Arial"/>
          <w:sz w:val="24"/>
          <w:szCs w:val="24"/>
          <w:lang w:val="en-GB"/>
        </w:rPr>
        <w:t>)</w:t>
      </w:r>
      <w:r w:rsidR="00DE10ED" w:rsidRPr="000A551A">
        <w:rPr>
          <w:sz w:val="24"/>
          <w:szCs w:val="24"/>
        </w:rPr>
        <w:t>.</w:t>
      </w:r>
      <w:r w:rsidR="00A11427" w:rsidRPr="00CB0AF4">
        <w:rPr>
          <w:rFonts w:ascii="Arial" w:hAnsi="Arial" w:cs="Arial"/>
          <w:sz w:val="24"/>
          <w:szCs w:val="24"/>
          <w:lang w:val="en-GB"/>
        </w:rPr>
        <w:fldChar w:fldCharType="end"/>
      </w:r>
      <w:r w:rsidR="00DE10ED" w:rsidRPr="000A551A">
        <w:rPr>
          <w:rFonts w:ascii="Arial" w:hAnsi="Arial" w:cs="Arial"/>
          <w:sz w:val="24"/>
          <w:szCs w:val="24"/>
          <w:lang w:val="en-GB"/>
        </w:rPr>
        <w:t xml:space="preserve"> </w:t>
      </w:r>
      <w:r w:rsidRPr="000A551A">
        <w:rPr>
          <w:rFonts w:ascii="Arial" w:hAnsi="Arial" w:cs="Arial"/>
          <w:sz w:val="24"/>
          <w:szCs w:val="24"/>
          <w:lang w:val="en-GB"/>
        </w:rPr>
        <w:t xml:space="preserve">They work closely with other HCPs and the patient in designing, implementing, and monitoring therapeutic plans to achieve the targets of a management plan that could improve the patient’s quality of life (QoL) </w:t>
      </w:r>
      <w:r w:rsidRPr="000A551A">
        <w:rPr>
          <w:rFonts w:ascii="Arial" w:hAnsi="Arial" w:cs="Arial"/>
          <w:sz w:val="24"/>
          <w:szCs w:val="24"/>
          <w:lang w:val="en-GB"/>
        </w:rPr>
        <w:fldChar w:fldCharType="begin" w:fldLock="1"/>
      </w:r>
      <w:r w:rsidRPr="000A551A">
        <w:rPr>
          <w:rFonts w:ascii="Arial" w:hAnsi="Arial" w:cs="Arial"/>
          <w:sz w:val="24"/>
          <w:szCs w:val="24"/>
          <w:lang w:val="en-GB"/>
        </w:rPr>
        <w:instrText>ADDIN CSL_CITATION {"citationItems":[{"id":"ITEM-1","itemData":{"DOI":"https://dx.doi.org/10.18553/jmcp.2016.22.5.493","ISSN":"2376-1032","PMID":"27123912","abstract":"BACKGROUND: Diabetes mellitus is a major health problem that is growing rapidly worldwide. A collaborative and integrated team approach in which pharmacists can play a pivotal role should be sought when managing patients with diabetes., OBJECTIVE: To identify and summarize the main outcomes of pharmacist interventions in the management of type 2 diabetes., METHODS: PubMed, Cochrane Central Register of Controlled Trials, and Web of Science were searched for randomized controlled trials evaluating the effectiveness of any pharmacist intervention directed at patients with type 2 diabetes in comparison with usual care. Outcome measures of interest included glycosylated hemoglobin (Alc), blood glucose, blood pressure, lipid profile, body mass index (BMI), 10-year coronary heart disease (CHD) risk, medication adherence, health-related quality of life (HRQoL), and economic outcomes. The risk of bias in included studies was assessed using the Cochrane risk of bias tool., RESULTS: Thirty-six studies were included in this systematic review, involving 5,761 participants. The studies evaluated the effects of several pharmacist interventions carried out in various countries and in different health care facilities, such as community pharmacies, primary care clinics, and hospitals. The number of studies reporting each outcome of interest varied. Alc was evaluated in 26 studies, of which 24 reported a greater reduction in this outcome in the intervention group compared with the control group, with the difference in change between groups ranging from -0.18% to -2.1%. Eighteen studies assessed change in systolic blood pressure, of which 17 studies reported a greater improvement in this outcome in the intervention group, with the difference in change between groups varying between -3.3 mmHg and -23.05 mmHg. For diastolic blood pressure, a greater effect was also observed in the intervention group in 14 out of 15 studies, with the difference in change between groups varying between -0.21 mmHg and -9.1 mmHg. Thirteen studies described total cholesterol as an outcome measure, of which 10 reported a greater improvement in this outcome in the intervention group, with the difference in change between groups ranging from +18.95 mg dL(-1) to -32.48 mg dL(-1). With regard to low-density lipoprotein cholesterol, a greater reduction in this parameter in the intervention group was documented in 12 out of 15 studies, with the difference in change between groups varying between +7.35 m…","author":[{"dropping-particle":"","family":"Pousinho","given":"Sarah","non-dropping-particle":"","parse-names":false,"suffix":""},{"dropping-particle":"","family":"Morgado","given":"Manuel","non-dropping-particle":"","parse-names":false,"suffix":""},{"dropping-particle":"","family":"Falcão","given":"Amílcar","non-dropping-particle":"","parse-names":false,"suffix":""},{"dropping-particle":"","family":"Alves","given":"Gilberto","non-dropping-particle":"","parse-names":false,"suffix":""},{"dropping-particle":"","family":"Falcao","given":"Amilcar","non-dropping-particle":"","parse-names":false,"suffix":""},{"dropping-particle":"","family":"Alves","given":"Gilberto","non-dropping-particle":"","parse-names":false,"suffix":""}],"container-title":"Journal of managed care &amp; specialty pharmacy","id":"ITEM-1","issue":"5","issued":{"date-parts":[["2016","5","1"]]},"page":"493-515","publisher":"Academy of Managed Care Pharmacy (AMCP)","publisher-place":"United States","title":"Pharmacist Interventions in the Management of Type 2 Diabetes Mellitus: A Systematic Review of Randomized Controlled Trials.","type":"article-journal","volume":"22"},"uris":["http://www.mendeley.com/documents/?uuid=5ba65295-ecb5-4236-9c6c-4d2012560a2c"]}],"mendeley":{"formattedCitation":"(Pousinho &lt;i&gt;et al.&lt;/i&gt;, 2016)","plainTextFormattedCitation":"(Pousinho et al., 2016)","previouslyFormattedCitation":"(Pousinho &lt;i&gt;et al.&lt;/i&gt;, 2016)"},"properties":{"noteIndex":0},"schema":"https://github.com/citation-style-language/schema/raw/master/csl-citation.json"}</w:instrText>
      </w:r>
      <w:r w:rsidRPr="000A551A">
        <w:rPr>
          <w:rFonts w:ascii="Arial" w:hAnsi="Arial" w:cs="Arial"/>
          <w:sz w:val="24"/>
          <w:szCs w:val="24"/>
          <w:lang w:val="en-GB"/>
        </w:rPr>
        <w:fldChar w:fldCharType="separate"/>
      </w:r>
      <w:r w:rsidRPr="000A551A">
        <w:rPr>
          <w:rFonts w:ascii="Arial" w:hAnsi="Arial" w:cs="Arial"/>
          <w:noProof/>
          <w:sz w:val="24"/>
          <w:szCs w:val="24"/>
          <w:lang w:val="en-GB"/>
        </w:rPr>
        <w:t xml:space="preserve">(Pousinho </w:t>
      </w:r>
      <w:r w:rsidRPr="000A551A">
        <w:rPr>
          <w:rFonts w:ascii="Arial" w:hAnsi="Arial" w:cs="Arial"/>
          <w:i/>
          <w:noProof/>
          <w:sz w:val="24"/>
          <w:szCs w:val="24"/>
          <w:lang w:val="en-GB"/>
        </w:rPr>
        <w:t>et al.</w:t>
      </w:r>
      <w:r w:rsidRPr="000A551A">
        <w:rPr>
          <w:rFonts w:ascii="Arial" w:hAnsi="Arial" w:cs="Arial"/>
          <w:noProof/>
          <w:sz w:val="24"/>
          <w:szCs w:val="24"/>
          <w:lang w:val="en-GB"/>
        </w:rPr>
        <w:t>, 2016)</w:t>
      </w:r>
      <w:r w:rsidRPr="000A551A">
        <w:rPr>
          <w:rFonts w:ascii="Arial" w:hAnsi="Arial" w:cs="Arial"/>
          <w:sz w:val="24"/>
          <w:szCs w:val="24"/>
          <w:lang w:val="en-GB"/>
        </w:rPr>
        <w:fldChar w:fldCharType="end"/>
      </w:r>
      <w:r w:rsidRPr="000A551A">
        <w:rPr>
          <w:rFonts w:ascii="Arial" w:hAnsi="Arial" w:cs="Arial"/>
          <w:sz w:val="24"/>
          <w:szCs w:val="24"/>
          <w:lang w:val="en-GB"/>
        </w:rPr>
        <w:t xml:space="preserve">. Pharmacists can improve diabetes care by prompting physicians to apply standards of care, and adhere to the clinical guidelines that provide medication therapy consultations for medical staff </w:t>
      </w:r>
      <w:r w:rsidRPr="000A551A">
        <w:rPr>
          <w:rFonts w:ascii="Arial" w:hAnsi="Arial" w:cs="Arial"/>
          <w:sz w:val="24"/>
          <w:szCs w:val="24"/>
          <w:lang w:val="en-GB"/>
        </w:rPr>
        <w:fldChar w:fldCharType="begin" w:fldLock="1"/>
      </w:r>
      <w:r w:rsidRPr="000A551A">
        <w:rPr>
          <w:rFonts w:ascii="Arial" w:hAnsi="Arial" w:cs="Arial"/>
          <w:sz w:val="24"/>
          <w:szCs w:val="24"/>
          <w:lang w:val="en-GB"/>
        </w:rPr>
        <w:instrText>ADDIN CSL_CITATION {"citationItems":[{"id":"ITEM-1","itemData":{"DOI":"10.1177/0897190009336668","ISSN":"1531-1937","PMID":"21507822","author":[{"dropping-particle":"","family":"Armor","given":"Becky L","non-dropping-particle":"","parse-names":false,"suffix":""},{"dropping-particle":"","family":"Britton","given":"Mark L","non-dropping-particle":"","parse-names":false,"suffix":""},{"dropping-particle":"","family":"Dennis","given":"Vincent C","non-dropping-particle":"","parse-names":false,"suffix":""},{"dropping-particle":"","family":"Letassy","given":"Nancy A","non-dropping-particle":"","parse-names":false,"suffix":""}],"container-title":"Journal of pharmacy practice","id":"ITEM-1","issue":"3","issued":{"date-parts":[["2010","6","28"]]},"page":"250-64","title":"A Review of Pharmacist Contributions to Diabetes Care in the United States","type":"article-journal","volume":"23"},"uris":["http://www.mendeley.com/documents/?uuid=0916d5c9-b2f1-47a4-bc07-8c5f7043846b"]}],"mendeley":{"formattedCitation":"(Armor &lt;i&gt;et al.&lt;/i&gt;, 2010)","plainTextFormattedCitation":"(Armor et al., 2010)","previouslyFormattedCitation":"(Armor &lt;i&gt;et al.&lt;/i&gt;, 2010)"},"properties":{"noteIndex":0},"schema":"https://github.com/citation-style-language/schema/raw/master/csl-citation.json"}</w:instrText>
      </w:r>
      <w:r w:rsidRPr="000A551A">
        <w:rPr>
          <w:rFonts w:ascii="Arial" w:hAnsi="Arial" w:cs="Arial"/>
          <w:sz w:val="24"/>
          <w:szCs w:val="24"/>
          <w:lang w:val="en-GB"/>
        </w:rPr>
        <w:fldChar w:fldCharType="separate"/>
      </w:r>
      <w:r w:rsidRPr="000A551A">
        <w:rPr>
          <w:rFonts w:ascii="Arial" w:hAnsi="Arial" w:cs="Arial"/>
          <w:noProof/>
          <w:sz w:val="24"/>
          <w:szCs w:val="24"/>
          <w:lang w:val="en-GB"/>
        </w:rPr>
        <w:t xml:space="preserve">(Armor </w:t>
      </w:r>
      <w:r w:rsidRPr="000A551A">
        <w:rPr>
          <w:rFonts w:ascii="Arial" w:hAnsi="Arial" w:cs="Arial"/>
          <w:i/>
          <w:noProof/>
          <w:sz w:val="24"/>
          <w:szCs w:val="24"/>
          <w:lang w:val="en-GB"/>
        </w:rPr>
        <w:t>et al.</w:t>
      </w:r>
      <w:r w:rsidRPr="000A551A">
        <w:rPr>
          <w:rFonts w:ascii="Arial" w:hAnsi="Arial" w:cs="Arial"/>
          <w:noProof/>
          <w:sz w:val="24"/>
          <w:szCs w:val="24"/>
          <w:lang w:val="en-GB"/>
        </w:rPr>
        <w:t>, 2010)</w:t>
      </w:r>
      <w:r w:rsidRPr="000A551A">
        <w:rPr>
          <w:rFonts w:ascii="Arial" w:hAnsi="Arial" w:cs="Arial"/>
          <w:sz w:val="24"/>
          <w:szCs w:val="24"/>
          <w:lang w:val="en-GB"/>
        </w:rPr>
        <w:fldChar w:fldCharType="end"/>
      </w:r>
      <w:r w:rsidRPr="000A551A">
        <w:rPr>
          <w:rFonts w:ascii="Arial" w:hAnsi="Arial" w:cs="Arial"/>
          <w:sz w:val="24"/>
          <w:szCs w:val="24"/>
          <w:lang w:val="en-GB"/>
        </w:rPr>
        <w:t>.</w:t>
      </w:r>
    </w:p>
    <w:p w14:paraId="0D39ECF3" w14:textId="5A6AE4A3" w:rsidR="00941883" w:rsidRPr="00CB0AF4" w:rsidRDefault="00753021" w:rsidP="00941883">
      <w:pPr>
        <w:shd w:val="clear" w:color="auto" w:fill="FFFFFF"/>
        <w:spacing w:line="360" w:lineRule="auto"/>
        <w:jc w:val="both"/>
        <w:rPr>
          <w:rFonts w:ascii="Arial" w:hAnsi="Arial" w:cs="Arial"/>
          <w:sz w:val="24"/>
          <w:szCs w:val="24"/>
          <w:lang w:val="en-GB"/>
        </w:rPr>
      </w:pPr>
      <w:r w:rsidRPr="00CB0AF4">
        <w:rPr>
          <w:rFonts w:ascii="Arial" w:hAnsi="Arial" w:cs="Arial"/>
          <w:sz w:val="24"/>
          <w:szCs w:val="24"/>
          <w:lang w:val="en-GB"/>
        </w:rPr>
        <w:t xml:space="preserve">As well as the range of opportunities for pharmacists to contribute </w:t>
      </w:r>
      <w:r w:rsidR="00800097" w:rsidRPr="00CB0AF4">
        <w:rPr>
          <w:rFonts w:ascii="Arial" w:hAnsi="Arial" w:cs="Arial"/>
          <w:sz w:val="24"/>
          <w:szCs w:val="24"/>
          <w:lang w:val="en-GB"/>
        </w:rPr>
        <w:t>to</w:t>
      </w:r>
      <w:r w:rsidRPr="00CB0AF4">
        <w:rPr>
          <w:rFonts w:ascii="Arial" w:hAnsi="Arial" w:cs="Arial"/>
          <w:sz w:val="24"/>
          <w:szCs w:val="24"/>
          <w:lang w:val="en-GB"/>
        </w:rPr>
        <w:t xml:space="preserve"> diabetes noted </w:t>
      </w:r>
      <w:r w:rsidR="00154A5A" w:rsidRPr="00CB0AF4">
        <w:rPr>
          <w:rFonts w:ascii="Arial" w:hAnsi="Arial" w:cs="Arial"/>
          <w:sz w:val="24"/>
          <w:szCs w:val="24"/>
          <w:lang w:val="en-GB"/>
        </w:rPr>
        <w:t>above, Boivin</w:t>
      </w:r>
      <w:r w:rsidRPr="00CB0AF4">
        <w:rPr>
          <w:rFonts w:ascii="Arial" w:hAnsi="Arial" w:cs="Arial"/>
          <w:sz w:val="24"/>
          <w:szCs w:val="24"/>
          <w:lang w:val="en-GB"/>
        </w:rPr>
        <w:t xml:space="preserve"> (</w:t>
      </w:r>
      <w:r w:rsidR="00941883" w:rsidRPr="00CB0AF4">
        <w:rPr>
          <w:rFonts w:ascii="Arial" w:hAnsi="Arial" w:cs="Arial"/>
          <w:sz w:val="24"/>
          <w:szCs w:val="24"/>
          <w:lang w:val="en-GB"/>
        </w:rPr>
        <w:t>2019</w:t>
      </w:r>
      <w:r w:rsidR="00CA573E" w:rsidRPr="00CB0AF4">
        <w:rPr>
          <w:rFonts w:ascii="Arial" w:hAnsi="Arial" w:cs="Arial"/>
          <w:sz w:val="24"/>
          <w:szCs w:val="24"/>
          <w:lang w:val="en-GB"/>
        </w:rPr>
        <w:t>)</w:t>
      </w:r>
      <w:r w:rsidRPr="00CB0AF4">
        <w:rPr>
          <w:rFonts w:ascii="Arial" w:hAnsi="Arial" w:cs="Arial"/>
          <w:sz w:val="24"/>
          <w:szCs w:val="24"/>
          <w:lang w:val="en-GB"/>
        </w:rPr>
        <w:t xml:space="preserve"> identified further potential roles </w:t>
      </w:r>
      <w:r w:rsidR="00941883" w:rsidRPr="00CB0AF4">
        <w:rPr>
          <w:rFonts w:ascii="Arial" w:hAnsi="Arial" w:cs="Arial"/>
          <w:sz w:val="24"/>
          <w:szCs w:val="24"/>
          <w:lang w:val="en-GB"/>
        </w:rPr>
        <w:t>rang</w:t>
      </w:r>
      <w:r w:rsidRPr="00CB0AF4">
        <w:rPr>
          <w:rFonts w:ascii="Arial" w:hAnsi="Arial" w:cs="Arial"/>
          <w:sz w:val="24"/>
          <w:szCs w:val="24"/>
          <w:lang w:val="en-GB"/>
        </w:rPr>
        <w:t>ing</w:t>
      </w:r>
      <w:r w:rsidR="00941883" w:rsidRPr="00CB0AF4">
        <w:rPr>
          <w:rFonts w:ascii="Arial" w:hAnsi="Arial" w:cs="Arial"/>
          <w:sz w:val="24"/>
          <w:szCs w:val="24"/>
          <w:lang w:val="en-GB"/>
        </w:rPr>
        <w:t xml:space="preserve"> from initial screening of diabetes risk to </w:t>
      </w:r>
      <w:r w:rsidRPr="00CB0AF4">
        <w:rPr>
          <w:rFonts w:ascii="Arial" w:hAnsi="Arial" w:cs="Arial"/>
          <w:sz w:val="24"/>
          <w:szCs w:val="24"/>
          <w:lang w:val="en-GB"/>
        </w:rPr>
        <w:t xml:space="preserve">overall </w:t>
      </w:r>
      <w:r w:rsidR="00941883" w:rsidRPr="00CB0AF4">
        <w:rPr>
          <w:rFonts w:ascii="Arial" w:hAnsi="Arial" w:cs="Arial"/>
          <w:sz w:val="24"/>
          <w:szCs w:val="24"/>
          <w:lang w:val="en-GB"/>
        </w:rPr>
        <w:t xml:space="preserve">diabetes management. One </w:t>
      </w:r>
      <w:r w:rsidRPr="00CB0AF4">
        <w:rPr>
          <w:rFonts w:ascii="Arial" w:hAnsi="Arial" w:cs="Arial"/>
          <w:sz w:val="24"/>
          <w:szCs w:val="24"/>
          <w:lang w:val="en-GB"/>
        </w:rPr>
        <w:t xml:space="preserve">key additional role </w:t>
      </w:r>
      <w:r w:rsidR="00CA573E" w:rsidRPr="00CB0AF4">
        <w:rPr>
          <w:rFonts w:ascii="Arial" w:hAnsi="Arial" w:cs="Arial"/>
          <w:sz w:val="24"/>
          <w:szCs w:val="24"/>
          <w:lang w:val="en-GB"/>
        </w:rPr>
        <w:t>Boivin</w:t>
      </w:r>
      <w:r w:rsidRPr="00CB0AF4">
        <w:rPr>
          <w:rFonts w:ascii="Arial" w:hAnsi="Arial" w:cs="Arial"/>
          <w:sz w:val="24"/>
          <w:szCs w:val="24"/>
          <w:lang w:val="en-GB"/>
        </w:rPr>
        <w:t xml:space="preserve"> identified was that of </w:t>
      </w:r>
      <w:r w:rsidR="00941883" w:rsidRPr="00CB0AF4">
        <w:rPr>
          <w:rFonts w:ascii="Arial" w:hAnsi="Arial" w:cs="Arial"/>
          <w:sz w:val="24"/>
          <w:szCs w:val="24"/>
          <w:lang w:val="en-GB"/>
        </w:rPr>
        <w:t>diabetes educator</w:t>
      </w:r>
      <w:r w:rsidR="00CA573E" w:rsidRPr="00CB0AF4">
        <w:rPr>
          <w:rFonts w:ascii="Arial" w:hAnsi="Arial" w:cs="Arial"/>
          <w:sz w:val="24"/>
          <w:szCs w:val="24"/>
          <w:lang w:val="en-GB"/>
        </w:rPr>
        <w:t xml:space="preserve">, </w:t>
      </w:r>
      <w:r w:rsidRPr="00CB0AF4">
        <w:rPr>
          <w:rFonts w:ascii="Arial" w:hAnsi="Arial" w:cs="Arial"/>
          <w:sz w:val="24"/>
          <w:szCs w:val="24"/>
          <w:lang w:val="en-GB"/>
        </w:rPr>
        <w:t>argu</w:t>
      </w:r>
      <w:r w:rsidR="00CA573E" w:rsidRPr="00CB0AF4">
        <w:rPr>
          <w:rFonts w:ascii="Arial" w:hAnsi="Arial" w:cs="Arial"/>
          <w:sz w:val="24"/>
          <w:szCs w:val="24"/>
          <w:lang w:val="en-GB"/>
        </w:rPr>
        <w:t xml:space="preserve">ing </w:t>
      </w:r>
      <w:r w:rsidR="00154A5A" w:rsidRPr="00CB0AF4">
        <w:rPr>
          <w:rFonts w:ascii="Arial" w:hAnsi="Arial" w:cs="Arial"/>
          <w:sz w:val="24"/>
          <w:szCs w:val="24"/>
          <w:lang w:val="en-GB"/>
        </w:rPr>
        <w:t>that pharmacists</w:t>
      </w:r>
      <w:r w:rsidR="00941883" w:rsidRPr="00CB0AF4">
        <w:rPr>
          <w:rFonts w:ascii="Arial" w:hAnsi="Arial" w:cs="Arial"/>
          <w:sz w:val="24"/>
          <w:szCs w:val="24"/>
          <w:lang w:val="en-GB"/>
        </w:rPr>
        <w:t xml:space="preserve"> can play an important role in educating people </w:t>
      </w:r>
      <w:r w:rsidRPr="00CB0AF4">
        <w:rPr>
          <w:rFonts w:ascii="Arial" w:hAnsi="Arial" w:cs="Arial"/>
          <w:sz w:val="24"/>
          <w:szCs w:val="24"/>
          <w:lang w:val="en-GB"/>
        </w:rPr>
        <w:t xml:space="preserve">who are </w:t>
      </w:r>
      <w:r w:rsidR="00941883" w:rsidRPr="00CB0AF4">
        <w:rPr>
          <w:rFonts w:ascii="Arial" w:hAnsi="Arial" w:cs="Arial"/>
          <w:sz w:val="24"/>
          <w:szCs w:val="24"/>
          <w:lang w:val="en-GB"/>
        </w:rPr>
        <w:t xml:space="preserve">at high risk of developing diabetes. This role could be accomplished by working together with other HCPs to inform people about healthy lifestyle choices that can lower their chance of having diabetes. In addition, pharmacists can provide patient counselling and support patients with their self- management (Boivin, 2019). Other potential roles of pharmacists in diabetes management include identifying </w:t>
      </w:r>
      <w:r w:rsidR="00CA573E" w:rsidRPr="00CB0AF4">
        <w:rPr>
          <w:rFonts w:ascii="Arial" w:hAnsi="Arial" w:cs="Arial"/>
          <w:sz w:val="24"/>
          <w:szCs w:val="24"/>
          <w:lang w:val="en-GB"/>
        </w:rPr>
        <w:t>cardiovascular</w:t>
      </w:r>
      <w:r w:rsidR="00941883" w:rsidRPr="00CB0AF4">
        <w:rPr>
          <w:rFonts w:ascii="Arial" w:hAnsi="Arial" w:cs="Arial"/>
          <w:sz w:val="24"/>
          <w:szCs w:val="24"/>
          <w:lang w:val="en-GB"/>
        </w:rPr>
        <w:t xml:space="preserve"> </w:t>
      </w:r>
      <w:r w:rsidR="00CA573E" w:rsidRPr="00CB0AF4">
        <w:rPr>
          <w:rFonts w:ascii="Arial" w:hAnsi="Arial" w:cs="Arial"/>
          <w:sz w:val="24"/>
          <w:szCs w:val="24"/>
          <w:lang w:val="en-GB"/>
        </w:rPr>
        <w:t xml:space="preserve">disease </w:t>
      </w:r>
      <w:r w:rsidR="00941883" w:rsidRPr="00CB0AF4">
        <w:rPr>
          <w:rFonts w:ascii="Arial" w:hAnsi="Arial" w:cs="Arial"/>
          <w:sz w:val="24"/>
          <w:szCs w:val="24"/>
          <w:lang w:val="en-GB"/>
        </w:rPr>
        <w:t xml:space="preserve">risk factors, evaluating patients’ medications, and monitoring patients’ adherence to their treatment plan. </w:t>
      </w:r>
      <w:r w:rsidR="00CA573E" w:rsidRPr="00CB0AF4">
        <w:rPr>
          <w:rFonts w:ascii="Arial" w:hAnsi="Arial" w:cs="Arial"/>
          <w:sz w:val="24"/>
          <w:szCs w:val="24"/>
          <w:lang w:val="en-GB"/>
        </w:rPr>
        <w:t xml:space="preserve">Such a </w:t>
      </w:r>
      <w:r w:rsidR="00941883" w:rsidRPr="00CB0AF4">
        <w:rPr>
          <w:rFonts w:ascii="Arial" w:hAnsi="Arial" w:cs="Arial"/>
          <w:sz w:val="24"/>
          <w:szCs w:val="24"/>
          <w:lang w:val="en-GB"/>
        </w:rPr>
        <w:t>diabetes educator</w:t>
      </w:r>
      <w:r w:rsidR="00CA573E" w:rsidRPr="00CB0AF4">
        <w:rPr>
          <w:rFonts w:ascii="Arial" w:hAnsi="Arial" w:cs="Arial"/>
          <w:sz w:val="24"/>
          <w:szCs w:val="24"/>
          <w:lang w:val="en-GB"/>
        </w:rPr>
        <w:t xml:space="preserve"> role for </w:t>
      </w:r>
      <w:r w:rsidR="00941883" w:rsidRPr="00CB0AF4">
        <w:rPr>
          <w:rFonts w:ascii="Arial" w:hAnsi="Arial" w:cs="Arial"/>
          <w:sz w:val="24"/>
          <w:szCs w:val="24"/>
          <w:lang w:val="en-GB"/>
        </w:rPr>
        <w:t xml:space="preserve"> pharmacists </w:t>
      </w:r>
      <w:r w:rsidR="00CA573E" w:rsidRPr="00CB0AF4">
        <w:rPr>
          <w:rFonts w:ascii="Arial" w:hAnsi="Arial" w:cs="Arial"/>
          <w:sz w:val="24"/>
          <w:szCs w:val="24"/>
          <w:lang w:val="en-GB"/>
        </w:rPr>
        <w:t xml:space="preserve">may </w:t>
      </w:r>
      <w:r w:rsidR="00941883" w:rsidRPr="00CB0AF4">
        <w:rPr>
          <w:rFonts w:ascii="Arial" w:hAnsi="Arial" w:cs="Arial"/>
          <w:sz w:val="24"/>
          <w:szCs w:val="24"/>
          <w:lang w:val="en-GB"/>
        </w:rPr>
        <w:t xml:space="preserve">be extremely helpful in achieving pharmacological and non-pharmacological target goals </w:t>
      </w:r>
      <w:r w:rsidR="00941883" w:rsidRPr="00CB0AF4">
        <w:rPr>
          <w:rFonts w:ascii="Arial" w:hAnsi="Arial" w:cs="Arial"/>
          <w:sz w:val="24"/>
          <w:szCs w:val="24"/>
          <w:lang w:val="en-GB"/>
        </w:rPr>
        <w:fldChar w:fldCharType="begin" w:fldLock="1"/>
      </w:r>
      <w:r w:rsidR="00941883" w:rsidRPr="00CB0AF4">
        <w:rPr>
          <w:rFonts w:ascii="Arial" w:hAnsi="Arial" w:cs="Arial"/>
          <w:sz w:val="24"/>
          <w:szCs w:val="24"/>
          <w:lang w:val="en-GB"/>
        </w:rPr>
        <w:instrText>ADDIN CSL_CITATION {"citationItems":[{"id":"ITEM-1","itemData":{"DOI":"10.1016/j.jcjd.2019.04.017","ISSN":"23523840","PMID":"31164301","author":[{"dropping-particle":"","family":"Boivin","given":"Michael","non-dropping-particle":"","parse-names":false,"suffix":""}],"container-title":"Canadian Journal of Diabetes","id":"ITEM-1","issue":"6","issued":{"date-parts":[["2019"]]},"page":"429-432","publisher":"Canadian Diabetes Association","title":"Role of the Pharmacist Certified Diabetes Educator Along the Type 2 Diabetes Care Continuum","type":"article-journal","volume":"43"},"uris":["http://www.mendeley.com/documents/?uuid=05f97a0c-d440-46e6-903a-10cfca6adc36"]}],"mendeley":{"formattedCitation":"(Boivin, 2019)","plainTextFormattedCitation":"(Boivin, 2019)","previouslyFormattedCitation":"(Boivin, 2019)"},"properties":{"noteIndex":0},"schema":"https://github.com/citation-style-language/schema/raw/master/csl-citation.json"}</w:instrText>
      </w:r>
      <w:r w:rsidR="00941883" w:rsidRPr="00CB0AF4">
        <w:rPr>
          <w:rFonts w:ascii="Arial" w:hAnsi="Arial" w:cs="Arial"/>
          <w:sz w:val="24"/>
          <w:szCs w:val="24"/>
          <w:lang w:val="en-GB"/>
        </w:rPr>
        <w:fldChar w:fldCharType="separate"/>
      </w:r>
      <w:r w:rsidR="00941883" w:rsidRPr="00CB0AF4">
        <w:rPr>
          <w:rFonts w:ascii="Arial" w:hAnsi="Arial" w:cs="Arial"/>
          <w:noProof/>
          <w:sz w:val="24"/>
          <w:szCs w:val="24"/>
          <w:lang w:val="en-GB"/>
        </w:rPr>
        <w:t>(Boivin, 2019)</w:t>
      </w:r>
      <w:r w:rsidR="00941883" w:rsidRPr="00CB0AF4">
        <w:rPr>
          <w:rFonts w:ascii="Arial" w:hAnsi="Arial" w:cs="Arial"/>
          <w:sz w:val="24"/>
          <w:szCs w:val="24"/>
          <w:lang w:val="en-GB"/>
        </w:rPr>
        <w:fldChar w:fldCharType="end"/>
      </w:r>
      <w:r w:rsidR="00941883" w:rsidRPr="00CB0AF4">
        <w:rPr>
          <w:rFonts w:ascii="Arial" w:hAnsi="Arial" w:cs="Arial"/>
          <w:sz w:val="24"/>
          <w:szCs w:val="24"/>
          <w:lang w:val="en-GB"/>
        </w:rPr>
        <w:t xml:space="preserve">. However, </w:t>
      </w:r>
      <w:r w:rsidR="00CA573E" w:rsidRPr="00CB0AF4">
        <w:rPr>
          <w:rFonts w:ascii="Arial" w:hAnsi="Arial" w:cs="Arial"/>
          <w:sz w:val="24"/>
          <w:szCs w:val="24"/>
          <w:lang w:val="en-GB"/>
        </w:rPr>
        <w:t xml:space="preserve">others have noted that </w:t>
      </w:r>
      <w:r w:rsidR="00941883" w:rsidRPr="00CB0AF4">
        <w:rPr>
          <w:rFonts w:ascii="Arial" w:hAnsi="Arial" w:cs="Arial"/>
          <w:sz w:val="24"/>
          <w:szCs w:val="24"/>
          <w:lang w:val="en-GB"/>
        </w:rPr>
        <w:t xml:space="preserve">pharmacists may not be able to undertake a diabetes educator role until they obtain the necessary qualifications that enable them to practice as diabetes educators </w:t>
      </w:r>
      <w:r w:rsidR="00941883" w:rsidRPr="00CB0AF4">
        <w:rPr>
          <w:rFonts w:ascii="Arial" w:hAnsi="Arial" w:cs="Arial"/>
          <w:sz w:val="24"/>
          <w:szCs w:val="24"/>
          <w:lang w:val="en-GB"/>
        </w:rPr>
        <w:fldChar w:fldCharType="begin" w:fldLock="1"/>
      </w:r>
      <w:r w:rsidR="00941883" w:rsidRPr="00CB0AF4">
        <w:rPr>
          <w:rFonts w:ascii="Arial" w:hAnsi="Arial" w:cs="Arial"/>
          <w:sz w:val="24"/>
          <w:szCs w:val="24"/>
          <w:lang w:val="en-GB"/>
        </w:rPr>
        <w:instrText>ADDIN CSL_CITATION {"citationItems":[{"id":"ITEM-1","itemData":{"DOI":"10.1016/j.pcd.2019.12.007","ISSN":"18780210","PMID":"31926868","abstract":"Objective: To systematically review published systematic reviews (SRs) examining the impact of pharmacist interventions in multidisciplinary diabetes care teams on diabetes-related clinical, humanistic, and economic outcomes in primary care settings. Methods: PubMed, EMBASE, Scopus, Database of Abstracts of Reviews of Effects, Cochrane Library, Joanna Briggs Institute (JBI) Database, Google Scholar, and PROSPERO were searched from inception to 2018. Studies published in English evaluating the effect of pharmacist interventions on diabetes outcomes were included. Two independent reviewers were involved in screening of titles and abstracts, selection of studies, and methodological quality assessment. Results: Seven SRs were included in the study. Three of them included only randomized controlled trials, while the rest involved other study designs. Educational interventions by clinical pharmacists within the healthcare team were the most common types of interventions reported across all SRs. Pharmacist's interventions compared to usual care resulted in favorable significant improvements in hemoglobin A1c (HbA1c), fasting blood glucose, blood pressure, body mass index, total cholesterol, low density lipoprotein, high density lipoprotein and triglycerides in more than 50% of the SRs. Improvement in HbA1c was the mostly reported clinical outcome of pharmacist intervention in the literature (reported in six SRs). Pharmacist's interventions led to significant cost-saving ($8–$85,000 per person per year), cost-utility, and cost-benefit (benefit-to-cost ratio range from 1:1 to 8.5:1) versus usual care. Pharmacist's interventions improved patients’ quality of life (QoL) in three SRs; however, no conclusion can be drawn due to the use of diverse QoL assessment tools. Conclusions: Most SRs support the benefit of pharmacist care on diabetes-related clinical, humanistic, and economic outcomes in primary care settings. Improvements in diabetes outcomes can significantly reduce the burden of diabetes on healthcare system. Hence, the incorporation of pharmacists into multidisciplinary diabetes care teams is beneficial and should be strongly considered by clinicians and health policymakers.","author":[{"dropping-particle":"","family":"Abdulrhim","given":"Sara","non-dropping-particle":"","parse-names":false,"suffix":""},{"dropping-particle":"","family":"Sankaralingam","given":"Sowndramalingam","non-dropping-particle":"","parse-names":false,"suffix":""},{"dropping-particle":"","family":"Ibrahim","given":"Mohamed Izham Mohamed","non-dropping-particle":"","parse-names":false,"suffix":""},{"dropping-particle":"","family":"Awaisu","given":"Ahmed","non-dropping-particle":"","parse-names":false,"suffix":""}],"container-title":"Primary Care Diabetes","id":"ITEM-1","issue":"5","issued":{"date-parts":[["2020"]]},"page":"393-400","publisher":"Primary Care Diabetes Europe","title":"The impact of pharmacist care on diabetes outcomes in primary care settings: An umbrella review of published systematic reviews","type":"article-journal","volume":"14"},"uris":["http://www.mendeley.com/documents/?uuid=a7eb446a-de47-457d-997b-74af713305a0"]}],"mendeley":{"formattedCitation":"(Abdulrhim &lt;i&gt;et al.&lt;/i&gt;, 2020)","plainTextFormattedCitation":"(Abdulrhim et al., 2020)","previouslyFormattedCitation":"(Abdulrhim &lt;i&gt;et al.&lt;/i&gt;, 2020)"},"properties":{"noteIndex":0},"schema":"https://github.com/citation-style-language/schema/raw/master/csl-citation.json"}</w:instrText>
      </w:r>
      <w:r w:rsidR="00941883" w:rsidRPr="00CB0AF4">
        <w:rPr>
          <w:rFonts w:ascii="Arial" w:hAnsi="Arial" w:cs="Arial"/>
          <w:sz w:val="24"/>
          <w:szCs w:val="24"/>
          <w:lang w:val="en-GB"/>
        </w:rPr>
        <w:fldChar w:fldCharType="separate"/>
      </w:r>
      <w:r w:rsidR="00941883" w:rsidRPr="00CB0AF4">
        <w:rPr>
          <w:rFonts w:ascii="Arial" w:hAnsi="Arial" w:cs="Arial"/>
          <w:noProof/>
          <w:sz w:val="24"/>
          <w:szCs w:val="24"/>
          <w:lang w:val="en-GB"/>
        </w:rPr>
        <w:t xml:space="preserve">(Abdulrhim </w:t>
      </w:r>
      <w:r w:rsidR="00941883" w:rsidRPr="00CB0AF4">
        <w:rPr>
          <w:rFonts w:ascii="Arial" w:hAnsi="Arial" w:cs="Arial"/>
          <w:i/>
          <w:noProof/>
          <w:sz w:val="24"/>
          <w:szCs w:val="24"/>
          <w:lang w:val="en-GB"/>
        </w:rPr>
        <w:t>et al.</w:t>
      </w:r>
      <w:r w:rsidR="00941883" w:rsidRPr="00CB0AF4">
        <w:rPr>
          <w:rFonts w:ascii="Arial" w:hAnsi="Arial" w:cs="Arial"/>
          <w:noProof/>
          <w:sz w:val="24"/>
          <w:szCs w:val="24"/>
          <w:lang w:val="en-GB"/>
        </w:rPr>
        <w:t>, 2020)</w:t>
      </w:r>
      <w:r w:rsidR="00941883" w:rsidRPr="00CB0AF4">
        <w:rPr>
          <w:rFonts w:ascii="Arial" w:hAnsi="Arial" w:cs="Arial"/>
          <w:sz w:val="24"/>
          <w:szCs w:val="24"/>
          <w:lang w:val="en-GB"/>
        </w:rPr>
        <w:fldChar w:fldCharType="end"/>
      </w:r>
      <w:r w:rsidR="00941883" w:rsidRPr="00CB0AF4">
        <w:rPr>
          <w:rFonts w:ascii="Arial" w:hAnsi="Arial" w:cs="Arial"/>
          <w:sz w:val="24"/>
          <w:szCs w:val="24"/>
          <w:lang w:val="en-GB"/>
        </w:rPr>
        <w:t xml:space="preserve">.   </w:t>
      </w:r>
    </w:p>
    <w:p w14:paraId="0243ED17" w14:textId="6F0061E4" w:rsidR="00941883" w:rsidRPr="00CB0AF4" w:rsidRDefault="00941883" w:rsidP="00941883">
      <w:pPr>
        <w:shd w:val="clear" w:color="auto" w:fill="FFFFFF"/>
        <w:spacing w:line="360" w:lineRule="auto"/>
        <w:jc w:val="both"/>
        <w:rPr>
          <w:rFonts w:ascii="Arial" w:eastAsia="Times New Roman" w:hAnsi="Arial" w:cs="Arial"/>
          <w:sz w:val="24"/>
          <w:szCs w:val="24"/>
          <w:lang w:val="en-GB"/>
        </w:rPr>
      </w:pPr>
      <w:r w:rsidRPr="00CB0AF4">
        <w:rPr>
          <w:rFonts w:ascii="Arial" w:hAnsi="Arial" w:cs="Arial"/>
          <w:sz w:val="24"/>
          <w:szCs w:val="24"/>
          <w:lang w:val="en-GB"/>
        </w:rPr>
        <w:t xml:space="preserve">Patient education is </w:t>
      </w:r>
      <w:r w:rsidR="00CA573E" w:rsidRPr="00CB0AF4">
        <w:rPr>
          <w:rFonts w:ascii="Arial" w:hAnsi="Arial" w:cs="Arial"/>
          <w:sz w:val="24"/>
          <w:szCs w:val="24"/>
          <w:lang w:val="en-GB"/>
        </w:rPr>
        <w:t xml:space="preserve">also a </w:t>
      </w:r>
      <w:r w:rsidRPr="00CB0AF4">
        <w:rPr>
          <w:rFonts w:ascii="Arial" w:hAnsi="Arial" w:cs="Arial"/>
          <w:sz w:val="24"/>
          <w:szCs w:val="24"/>
          <w:lang w:val="en-GB"/>
        </w:rPr>
        <w:t xml:space="preserve">vital </w:t>
      </w:r>
      <w:r w:rsidR="00CA573E" w:rsidRPr="00CB0AF4">
        <w:rPr>
          <w:rFonts w:ascii="Arial" w:hAnsi="Arial" w:cs="Arial"/>
          <w:sz w:val="24"/>
          <w:szCs w:val="24"/>
          <w:lang w:val="en-GB"/>
        </w:rPr>
        <w:t xml:space="preserve">component </w:t>
      </w:r>
      <w:r w:rsidRPr="00CB0AF4">
        <w:rPr>
          <w:rFonts w:ascii="Arial" w:hAnsi="Arial" w:cs="Arial"/>
          <w:sz w:val="24"/>
          <w:szCs w:val="24"/>
          <w:lang w:val="en-GB"/>
        </w:rPr>
        <w:t xml:space="preserve">in promoting patients' adherence to their treatment plan. To obtain better treatment outcomes, healthcare providers and policymakers should develop practical strategies, such as involving pharmacists in patient education and medication counselling, to improve medication adherence in their daily activities </w:t>
      </w:r>
      <w:r w:rsidRPr="00CB0AF4">
        <w:rPr>
          <w:rFonts w:ascii="Arial" w:eastAsia="Times New Roman" w:hAnsi="Arial" w:cs="Arial"/>
          <w:sz w:val="24"/>
          <w:szCs w:val="24"/>
          <w:lang w:val="en-GB"/>
        </w:rPr>
        <w:fldChar w:fldCharType="begin" w:fldLock="1"/>
      </w:r>
      <w:r w:rsidRPr="00CB0AF4">
        <w:rPr>
          <w:rFonts w:ascii="Arial" w:eastAsia="Times New Roman" w:hAnsi="Arial" w:cs="Arial"/>
          <w:sz w:val="24"/>
          <w:szCs w:val="24"/>
          <w:lang w:val="en-GB"/>
        </w:rPr>
        <w:instrText>ADDIN CSL_CITATION {"citationItems":[{"id":"ITEM-1","itemData":{"DOI":"10.3390/ijerph191610053","ISSN":"16604601","PMID":"36011690","abstract":"Introduction: The management of chronic illnesses commonly includes a long-term pharmacological approach. Although these medications effectively control disease, their full benefits are often not realized because approximately 50% of patients do not take their medications as prescribed. Medication adherence has become a big concern to clinicians and healthcare systems in Saudi Arabia and worldwide because of growing evidence associating nonadherence with adverse outcomes and higher costs of care. Despite it being a well-recognized problem, few studies have investigated medication adherence in Saudi Arabia. Therefore, this study aims to gain a better perspective on medication adherence among patients with chronic diseases in Saudi Arabia. Method: A questionnaire-based cross-sectional study was conducted among patients with chronic diseases in the Makkah region, Saudi Arabia, from 1 May to 31 July 2021. Patients aged 18 years and above who were taking prescribed or over-the-counter medications were included. Descriptive statistics were used to describe the participants’ characteristics, and categorical variables were reported as frequencies and percentages. A Chi-square test was used to test the relations between variables. Results: In total, 239 participants were included in the study. Females represented 62% of the participants. In terms of the history of chronic diseases, 44% had hypertension, 40% had diabetes mellitus, 21% had heart diseases and 9% had asthma. Nearly half (49%) of participants did not follow up regularly with a primary healthcare center and 42% said that they had forgotten to take their medications in the past. However, most of the participants (78%) stated that they took their medicine as instructed by their doctor or pharmacist, and 61% took their medications on time. The majority of participants (85%) said that the pharmacist explained the method of using the medications and the instructions for use, while 30% thought that the medications they took were too much. In regard to the reasons for medication nonadherence, having no specific reasons for medication nonadherence was the most common cause for nonadherence in our study. The relationship between patients taking medications as instructed by a healthcare provider (the doctor or pharmacist) and the healthcare provider giving clear instructions to patients about medication use was significant (p &lt; 0.001). Conclusions: Failure to adhere is a significant problem that not only affect…","author":[{"dropping-particle":"","family":"Alosaimi","given":"Khulud","non-dropping-particle":"","parse-names":false,"suffix":""},{"dropping-particle":"","family":"Alwafi","given":"Hassan","non-dropping-particle":"","parse-names":false,"suffix":""},{"dropping-particle":"","family":"Alhindi","given":"Yosra","non-dropping-particle":"","parse-names":false,"suffix":""},{"dropping-particle":"","family":"Falemban","given":"Alaa","non-dropping-particle":"","parse-names":false,"suffix":""},{"dropping-particle":"","family":"Alshanberi","given":"Asim","non-dropping-particle":"","parse-names":false,"suffix":""},{"dropping-particle":"","family":"Ayoub","given":"Nahla","non-dropping-particle":"","parse-names":false,"suffix":""},{"dropping-particle":"","family":"Alsanosi","given":"Safaa","non-dropping-particle":"","parse-names":false,"suffix":""}],"container-title":"International Journal of Environmental Research and Public Health","id":"ITEM-1","issue":"16","issued":{"date-parts":[["2022"]]},"page":"1-9","title":"Medication Adherence among Patients with Chronic Diseases in Saudi Arabia","type":"article-journal","volume":"19"},"uris":["http://www.mendeley.com/documents/?uuid=e060aaca-5521-4314-9e7a-ffeab7af8347"]}],"mendeley":{"formattedCitation":"(Alosaimi &lt;i&gt;et al.&lt;/i&gt;, 2022)","plainTextFormattedCitation":"(Alosaimi et al., 2022)","previouslyFormattedCitation":"(Alosaimi &lt;i&gt;et al.&lt;/i&gt;, 2022)"},"properties":{"noteIndex":0},"schema":"https://github.com/citation-style-language/schema/raw/master/csl-citation.json"}</w:instrText>
      </w:r>
      <w:r w:rsidRPr="00CB0AF4">
        <w:rPr>
          <w:rFonts w:ascii="Arial" w:eastAsia="Times New Roman" w:hAnsi="Arial" w:cs="Arial"/>
          <w:sz w:val="24"/>
          <w:szCs w:val="24"/>
          <w:lang w:val="en-GB"/>
        </w:rPr>
        <w:fldChar w:fldCharType="separate"/>
      </w:r>
      <w:r w:rsidRPr="00CB0AF4">
        <w:rPr>
          <w:rFonts w:ascii="Arial" w:eastAsia="Times New Roman" w:hAnsi="Arial" w:cs="Arial"/>
          <w:noProof/>
          <w:sz w:val="24"/>
          <w:szCs w:val="24"/>
          <w:lang w:val="en-GB"/>
        </w:rPr>
        <w:t xml:space="preserve">(Alosaimi </w:t>
      </w:r>
      <w:r w:rsidRPr="00CB0AF4">
        <w:rPr>
          <w:rFonts w:ascii="Arial" w:eastAsia="Times New Roman" w:hAnsi="Arial" w:cs="Arial"/>
          <w:i/>
          <w:noProof/>
          <w:sz w:val="24"/>
          <w:szCs w:val="24"/>
          <w:lang w:val="en-GB"/>
        </w:rPr>
        <w:t>et al.</w:t>
      </w:r>
      <w:r w:rsidRPr="00CB0AF4">
        <w:rPr>
          <w:rFonts w:ascii="Arial" w:eastAsia="Times New Roman" w:hAnsi="Arial" w:cs="Arial"/>
          <w:noProof/>
          <w:sz w:val="24"/>
          <w:szCs w:val="24"/>
          <w:lang w:val="en-GB"/>
        </w:rPr>
        <w:t>, 2022)</w:t>
      </w:r>
      <w:r w:rsidRPr="00CB0AF4">
        <w:rPr>
          <w:rFonts w:ascii="Arial" w:eastAsia="Times New Roman" w:hAnsi="Arial" w:cs="Arial"/>
          <w:sz w:val="24"/>
          <w:szCs w:val="24"/>
          <w:lang w:val="en-GB"/>
        </w:rPr>
        <w:fldChar w:fldCharType="end"/>
      </w:r>
      <w:r w:rsidRPr="00CB0AF4">
        <w:rPr>
          <w:rFonts w:ascii="Arial" w:eastAsia="Times New Roman" w:hAnsi="Arial" w:cs="Arial"/>
          <w:sz w:val="24"/>
          <w:szCs w:val="24"/>
          <w:lang w:val="en-GB"/>
        </w:rPr>
        <w:t>.</w:t>
      </w:r>
    </w:p>
    <w:p w14:paraId="02EB316C" w14:textId="27AE4DDF" w:rsidR="00941883" w:rsidRPr="000A551A" w:rsidRDefault="00941883" w:rsidP="00941883">
      <w:pPr>
        <w:shd w:val="clear" w:color="auto" w:fill="FFFFFF"/>
        <w:spacing w:line="360" w:lineRule="auto"/>
        <w:jc w:val="both"/>
        <w:rPr>
          <w:rFonts w:ascii="Arial" w:hAnsi="Arial" w:cs="Arial"/>
          <w:sz w:val="24"/>
          <w:szCs w:val="24"/>
          <w:lang w:val="en-GB"/>
        </w:rPr>
      </w:pPr>
      <w:r w:rsidRPr="00CB0AF4">
        <w:rPr>
          <w:rFonts w:ascii="Arial" w:hAnsi="Arial" w:cs="Arial"/>
          <w:sz w:val="24"/>
          <w:szCs w:val="24"/>
          <w:lang w:val="en-GB"/>
        </w:rPr>
        <w:t xml:space="preserve">Another important role where the use of pharmacist expertise could be beneficial is </w:t>
      </w:r>
      <w:r w:rsidR="007C5CC7" w:rsidRPr="00CB0AF4">
        <w:rPr>
          <w:rFonts w:ascii="Arial" w:hAnsi="Arial" w:cs="Arial"/>
          <w:sz w:val="24"/>
          <w:szCs w:val="24"/>
          <w:lang w:val="en-GB"/>
        </w:rPr>
        <w:t xml:space="preserve">in </w:t>
      </w:r>
      <w:r w:rsidRPr="00CB0AF4">
        <w:rPr>
          <w:rFonts w:ascii="Arial" w:hAnsi="Arial" w:cs="Arial"/>
          <w:sz w:val="24"/>
          <w:szCs w:val="24"/>
          <w:lang w:val="en-GB"/>
        </w:rPr>
        <w:t xml:space="preserve">optimising medication for patients with comorbidities </w:t>
      </w:r>
      <w:r w:rsidRPr="00CB0AF4">
        <w:rPr>
          <w:rFonts w:ascii="Arial" w:hAnsi="Arial" w:cs="Arial"/>
          <w:sz w:val="24"/>
          <w:szCs w:val="24"/>
          <w:lang w:val="en-GB"/>
        </w:rPr>
        <w:fldChar w:fldCharType="begin" w:fldLock="1"/>
      </w:r>
      <w:r w:rsidRPr="00CB0AF4">
        <w:rPr>
          <w:rFonts w:ascii="Arial" w:hAnsi="Arial" w:cs="Arial"/>
          <w:sz w:val="24"/>
          <w:szCs w:val="24"/>
          <w:lang w:val="en-GB"/>
        </w:rPr>
        <w:instrText>ADDIN CSL_CITATION {"citationItems":[{"id":"ITEM-1","itemData":{"DOI":"10.3399/bjgp20X708197","ISSN":"14785242","PMID":"32041767","abstract":"Background Many UK GP practices now employ a practice pharmacist, but little is known about how GPs and pharmacists work together to optimise medications for complex patients with multimorbidity. Aim To explore GP and pharmacist perspectives on collaborative working within the context of optimising medications for patients with multimorbidity. Design and setting A qualitative analysis of semi-structured interviews with GPs and pharmacists working in the West of England, Northern England, and Scotland. Method Thirteen GPs and 10 pharmacists were sampled from practices enrolled in the 3D trial (a complex intervention for people with multimorbidity). Participants' views on collaborative working were explored with interviews that were audiorecorded, transcribed, and analysed thematically. Saturation of data was achieved with no new insights arising from later interviews. Results GPs from surgeries that employed a pharmacist tended to value their expertise more than GPs who had not worked with one. Three key themes were identified: resources and competing priorities; responsibility; and professional boundaries. GPs valued pharmacist recommendations that were perceived to improve patient safety, as opposed to those that were technical and unlikely to benefit the patient. Pharmacists who were not known to GPs felt undervalued and wanted feedback from the GPs about their recommendations, particularly those that were not actioned. Conclusion A good working relationship between the GP and pharmacist, where each profession understood the other's skills and expertise, was key. The importance of face-to-face meetings and feedback should be considered in future studies of interdisciplinary interventions, and by GP practices that employ pharmacists and other allied health professionals.","author":[{"dropping-particle":"","family":"Duncan","given":"Polly","non-dropping-particle":"","parse-names":false,"suffix":""},{"dropping-particle":"","family":"Ridd","given":"Matthew J.","non-dropping-particle":"","parse-names":false,"suffix":""},{"dropping-particle":"","family":"McCahon","given":"Deborah","non-dropping-particle":"","parse-names":false,"suffix":""},{"dropping-particle":"","family":"Cabral","given":"Christie","non-dropping-particle":"","parse-names":false,"suffix":""},{"dropping-particle":"","family":"Guthrie","given":"Bruce","non-dropping-particle":"","parse-names":false,"suffix":""}],"container-title":"British Journal of General Practice","id":"ITEM-1","issue":"692","issued":{"date-parts":[["2020"]]},"page":"E155-E163","title":"Barriers and enablers to collaborative working between GPs and pharmacists: A qualitative interview study","type":"article-journal","volume":"70"},"uris":["http://www.mendeley.com/documents/?uuid=95f5fbf7-a577-4beb-8988-b65ce95d2ac9"]}],"mendeley":{"formattedCitation":"(Duncan &lt;i&gt;et al.&lt;/i&gt;, 2020)","plainTextFormattedCitation":"(Duncan et al., 2020)","previouslyFormattedCitation":"(Duncan &lt;i&gt;et al.&lt;/i&gt;, 2020)"},"properties":{"noteIndex":0},"schema":"https://github.com/citation-style-language/schema/raw/master/csl-citation.json"}</w:instrText>
      </w:r>
      <w:r w:rsidRPr="00CB0AF4">
        <w:rPr>
          <w:rFonts w:ascii="Arial" w:hAnsi="Arial" w:cs="Arial"/>
          <w:sz w:val="24"/>
          <w:szCs w:val="24"/>
          <w:lang w:val="en-GB"/>
        </w:rPr>
        <w:fldChar w:fldCharType="separate"/>
      </w:r>
      <w:r w:rsidRPr="00CB0AF4">
        <w:rPr>
          <w:rFonts w:ascii="Arial" w:hAnsi="Arial" w:cs="Arial"/>
          <w:noProof/>
          <w:sz w:val="24"/>
          <w:szCs w:val="24"/>
          <w:lang w:val="en-GB"/>
        </w:rPr>
        <w:t xml:space="preserve">(Duncan </w:t>
      </w:r>
      <w:r w:rsidRPr="00CB0AF4">
        <w:rPr>
          <w:rFonts w:ascii="Arial" w:hAnsi="Arial" w:cs="Arial"/>
          <w:i/>
          <w:noProof/>
          <w:sz w:val="24"/>
          <w:szCs w:val="24"/>
          <w:lang w:val="en-GB"/>
        </w:rPr>
        <w:t>et al.</w:t>
      </w:r>
      <w:r w:rsidRPr="00CB0AF4">
        <w:rPr>
          <w:rFonts w:ascii="Arial" w:hAnsi="Arial" w:cs="Arial"/>
          <w:noProof/>
          <w:sz w:val="24"/>
          <w:szCs w:val="24"/>
          <w:lang w:val="en-GB"/>
        </w:rPr>
        <w:t>, 2020)</w:t>
      </w:r>
      <w:r w:rsidRPr="00CB0AF4">
        <w:rPr>
          <w:rFonts w:ascii="Arial" w:hAnsi="Arial" w:cs="Arial"/>
          <w:sz w:val="24"/>
          <w:szCs w:val="24"/>
          <w:lang w:val="en-GB"/>
        </w:rPr>
        <w:fldChar w:fldCharType="end"/>
      </w:r>
      <w:r w:rsidRPr="00CB0AF4">
        <w:rPr>
          <w:rFonts w:ascii="Arial" w:hAnsi="Arial" w:cs="Arial"/>
          <w:sz w:val="24"/>
          <w:szCs w:val="24"/>
          <w:lang w:val="en-GB"/>
        </w:rPr>
        <w:t xml:space="preserve">. </w:t>
      </w:r>
      <w:r w:rsidRPr="00CB0AF4">
        <w:rPr>
          <w:rFonts w:ascii="Arial" w:hAnsi="Arial" w:cs="Arial"/>
          <w:noProof/>
          <w:sz w:val="24"/>
          <w:szCs w:val="24"/>
          <w:lang w:val="en-GB"/>
        </w:rPr>
        <w:t xml:space="preserve">Abdulrhim </w:t>
      </w:r>
      <w:r w:rsidRPr="00CB0AF4">
        <w:rPr>
          <w:rFonts w:ascii="Arial" w:hAnsi="Arial" w:cs="Arial"/>
          <w:i/>
          <w:noProof/>
          <w:sz w:val="24"/>
          <w:szCs w:val="24"/>
          <w:lang w:val="en-GB"/>
        </w:rPr>
        <w:t>et al.</w:t>
      </w:r>
      <w:r w:rsidRPr="00CB0AF4">
        <w:rPr>
          <w:rFonts w:ascii="Arial" w:hAnsi="Arial" w:cs="Arial"/>
          <w:noProof/>
          <w:sz w:val="24"/>
          <w:szCs w:val="24"/>
          <w:lang w:val="en-GB"/>
        </w:rPr>
        <w:t xml:space="preserve">, 2020 reported that pharmacists should acquire the appropriate qualification and develop the appropriate skills to participate effectively in multidisplinary diabetes care teams. For example, a pharmacist certified diabetes educator can play an integral role in diabetes care including reviewing patients’ medications, optimising treatment, monitoring patients adherence, providing self management education and supporting and improving clinical inertia </w:t>
      </w:r>
      <w:r w:rsidRPr="000A551A">
        <w:rPr>
          <w:rFonts w:ascii="Arial" w:hAnsi="Arial" w:cs="Arial"/>
          <w:sz w:val="24"/>
          <w:szCs w:val="24"/>
          <w:lang w:val="en-GB"/>
        </w:rPr>
        <w:fldChar w:fldCharType="begin" w:fldLock="1"/>
      </w:r>
      <w:r w:rsidRPr="000A551A">
        <w:rPr>
          <w:rFonts w:ascii="Arial" w:hAnsi="Arial" w:cs="Arial"/>
          <w:sz w:val="24"/>
          <w:szCs w:val="24"/>
          <w:lang w:val="en-GB"/>
        </w:rPr>
        <w:instrText>ADDIN CSL_CITATION {"citationItems":[{"id":"ITEM-1","itemData":{"DOI":"10.1016/j.jcjd.2019.04.017","ISSN":"23523840","PMID":"31164301","author":[{"dropping-particle":"","family":"Boivin","given":"Michael","non-dropping-particle":"","parse-names":false,"suffix":""}],"container-title":"Canadian Journal of Diabetes","id":"ITEM-1","issue":"6","issued":{"date-parts":[["2019"]]},"page":"429-432","publisher":"Canadian Diabetes Association","title":"Role of the Pharmacist Certified Diabetes Educator Along the Type 2 Diabetes Care Continuum","type":"article-journal","volume":"43"},"uris":["http://www.mendeley.com/documents/?uuid=05f97a0c-d440-46e6-903a-10cfca6adc36"]}],"mendeley":{"formattedCitation":"(Boivin, 2019)","plainTextFormattedCitation":"(Boivin, 2019)","previouslyFormattedCitation":"(Boivin, 2019)"},"properties":{"noteIndex":0},"schema":"https://github.com/citation-style-language/schema/raw/master/csl-citation.json"}</w:instrText>
      </w:r>
      <w:r w:rsidRPr="000A551A">
        <w:rPr>
          <w:rFonts w:ascii="Arial" w:hAnsi="Arial" w:cs="Arial"/>
          <w:sz w:val="24"/>
          <w:szCs w:val="24"/>
          <w:lang w:val="en-GB"/>
        </w:rPr>
        <w:fldChar w:fldCharType="separate"/>
      </w:r>
      <w:r w:rsidRPr="000A551A">
        <w:rPr>
          <w:rFonts w:ascii="Arial" w:hAnsi="Arial" w:cs="Arial"/>
          <w:noProof/>
          <w:sz w:val="24"/>
          <w:szCs w:val="24"/>
          <w:lang w:val="en-GB"/>
        </w:rPr>
        <w:t>(Boivin, 2019)</w:t>
      </w:r>
      <w:r w:rsidRPr="000A551A">
        <w:rPr>
          <w:rFonts w:ascii="Arial" w:hAnsi="Arial" w:cs="Arial"/>
          <w:sz w:val="24"/>
          <w:szCs w:val="24"/>
          <w:lang w:val="en-GB"/>
        </w:rPr>
        <w:fldChar w:fldCharType="end"/>
      </w:r>
      <w:r w:rsidRPr="000A551A">
        <w:rPr>
          <w:rFonts w:ascii="Arial" w:hAnsi="Arial" w:cs="Arial"/>
          <w:sz w:val="24"/>
          <w:szCs w:val="24"/>
          <w:lang w:val="en-GB"/>
        </w:rPr>
        <w:t xml:space="preserve">. </w:t>
      </w:r>
    </w:p>
    <w:p w14:paraId="13D3BA35" w14:textId="2114CB2A" w:rsidR="00941883" w:rsidRPr="00CB0AF4" w:rsidRDefault="00941883" w:rsidP="00941883">
      <w:pPr>
        <w:spacing w:line="360" w:lineRule="auto"/>
        <w:jc w:val="both"/>
        <w:rPr>
          <w:rFonts w:ascii="Arial" w:hAnsi="Arial" w:cs="Arial"/>
          <w:sz w:val="24"/>
          <w:szCs w:val="24"/>
          <w:lang w:val="en-GB"/>
        </w:rPr>
      </w:pPr>
      <w:r w:rsidRPr="00CB0AF4">
        <w:rPr>
          <w:rFonts w:ascii="Arial" w:hAnsi="Arial" w:cs="Arial"/>
          <w:sz w:val="24"/>
          <w:szCs w:val="24"/>
          <w:lang w:val="en-GB"/>
        </w:rPr>
        <w:t xml:space="preserve">Pharmacists can also play a crucial role in managing patients with polypharmacy, as pharmacists play an essential role in medication safety and efficacy </w:t>
      </w:r>
      <w:r w:rsidRPr="00CB0AF4">
        <w:rPr>
          <w:rFonts w:ascii="Arial" w:eastAsia="Times New Roman" w:hAnsi="Arial" w:cs="Arial"/>
          <w:sz w:val="24"/>
          <w:szCs w:val="24"/>
          <w:lang w:val="en-GB"/>
        </w:rPr>
        <w:t xml:space="preserve"> </w:t>
      </w:r>
      <w:r w:rsidRPr="000A551A">
        <w:rPr>
          <w:rFonts w:ascii="Arial" w:eastAsia="Times New Roman" w:hAnsi="Arial" w:cs="Arial"/>
          <w:sz w:val="24"/>
          <w:szCs w:val="24"/>
          <w:lang w:val="en-GB"/>
        </w:rPr>
        <w:fldChar w:fldCharType="begin" w:fldLock="1"/>
      </w:r>
      <w:r w:rsidRPr="000A551A">
        <w:rPr>
          <w:rFonts w:ascii="Arial" w:eastAsia="Times New Roman" w:hAnsi="Arial" w:cs="Arial"/>
          <w:sz w:val="24"/>
          <w:szCs w:val="24"/>
          <w:lang w:val="en-GB"/>
        </w:rPr>
        <w:instrText>ADDIN CSL_CITATION {"citationItems":[{"id":"ITEM-1","itemData":{"DOI":"10.3389/fphar.2023.1098207","ISSN":"16639812","abstract":"Background: Physician-pharmacist collaboration is a well-established care mode for the management of type 2 diabetes mellitus (T2DM) in developed countries, but no study has been conducted in primary healthcare in China. This study aims to evaluate the effects of physician-pharmacist collaborative clinics to manage T2DM in primary healthcare in China, and to better understand the factors influencing the implementation of physician-pharmacist collaborative clinics. Methods: Two hundred and sixty-seven patients involved in a 12-month randomized controlled trial were assigned to physician-pharmacist collaborative clinics and usual clinics, completing surveys regarding medication compliance, quality of life (QoL) and care-seeking behavior at the baseline, 3rd, 6th, 9th and 12th month respectively, and diabetes knowledge at baseline and 12th month. A sample of twenty-two Patients, nine physicians and twelve pharmacists participated in semi-structured face-to-face interviews. The quantitative and qualitative data was integrated by triangulation. Results: Patients in physician-pharmacist collaborative clinics had significant improvements in medication compliance (p = 0.009), QoL (p = 0.036) and emergency visits (p = 0.003) over the 12-month. Pairwise comparison showed the medication compliance score in the intervention group had been significantly improved at 3rd month (p = 0.001), which is more rapidly than that in the control group at 9th month (p = 0.030). Factors influencing the implementation of physician-pharmacist collaborative clinics were driven by five themes: pharmaceutical service, team-base care, psychological support, acceptability of care and barriers to implementation. Conclusion: Integration of quantitative and qualitative findings showed the effectiveness of physician-pharmacist collaborative clinics in patient medication compliance and QoL in primary healthcare. The qualitative study uncovered barriers in insufficient clinical experience and understaffing of pharmacist. Therefore, the professional training of the primary pharmacist team should be improved in the future. Clinical Trial Registration: clinicaltrials.gov, identifier ChiCTR2000031839.","author":[{"dropping-particle":"","family":"Xiao","given":"Jie","non-dropping-particle":"","parse-names":false,"suffix":""},{"dropping-particle":"","family":"Wang","given":"Qing","non-dropping-particle":"","parse-names":false,"suffix":""},{"dropping-particle":"","family":"Tan","given":"Shenglan","non-dropping-particle":"","parse-names":false,"suffix":""},{"dropping-particle":"","family":"Chen","given":"Lei","non-dropping-particle":"","parse-names":false,"suffix":""},{"dropping-particle":"","family":"Tang","given":"Bingjie","non-dropping-particle":"","parse-names":false,"suffix":""},{"dropping-particle":"","family":"Huang","given":"Shuting","non-dropping-particle":"","parse-names":false,"suffix":""},{"dropping-particle":"","family":"Zhou","given":"Yangang","non-dropping-particle":"","parse-names":false,"suffix":""},{"dropping-particle":"","family":"Xu","given":"Ping","non-dropping-particle":"","parse-names":false,"suffix":""}],"container-title":"Frontiers in Pharmacology","id":"ITEM-1","issue":"March","issued":{"date-parts":[["2023"]]},"page":"1-15","title":"Analysis of patient medication compliance and quality of life of physician-pharmacist collaborative clinics for T2DM management in primary healthcare in China: A mixed-methods study","type":"article-journal","volume":"14"},"uris":["http://www.mendeley.com/documents/?uuid=679e88fc-bc3d-4c75-8576-9e7b3d6c7abb"]}],"mendeley":{"formattedCitation":"(Xiao &lt;i&gt;et al.&lt;/i&gt;, 2023)","plainTextFormattedCitation":"(Xiao et al., 2023)","previouslyFormattedCitation":"(Xiao &lt;i&gt;et al.&lt;/i&gt;, 2023)"},"properties":{"noteIndex":0},"schema":"https://github.com/citation-style-language/schema/raw/master/csl-citation.json"}</w:instrText>
      </w:r>
      <w:r w:rsidRPr="000A551A">
        <w:rPr>
          <w:rFonts w:ascii="Arial" w:eastAsia="Times New Roman" w:hAnsi="Arial" w:cs="Arial"/>
          <w:sz w:val="24"/>
          <w:szCs w:val="24"/>
          <w:lang w:val="en-GB"/>
        </w:rPr>
        <w:fldChar w:fldCharType="separate"/>
      </w:r>
      <w:r w:rsidRPr="000A551A">
        <w:rPr>
          <w:rFonts w:ascii="Arial" w:eastAsia="Times New Roman" w:hAnsi="Arial" w:cs="Arial"/>
          <w:noProof/>
          <w:sz w:val="24"/>
          <w:szCs w:val="24"/>
          <w:lang w:val="en-GB"/>
        </w:rPr>
        <w:t xml:space="preserve">(Xiao </w:t>
      </w:r>
      <w:r w:rsidRPr="000A551A">
        <w:rPr>
          <w:rFonts w:ascii="Arial" w:eastAsia="Times New Roman" w:hAnsi="Arial" w:cs="Arial"/>
          <w:i/>
          <w:noProof/>
          <w:sz w:val="24"/>
          <w:szCs w:val="24"/>
          <w:lang w:val="en-GB"/>
        </w:rPr>
        <w:t>et al.</w:t>
      </w:r>
      <w:r w:rsidRPr="000A551A">
        <w:rPr>
          <w:rFonts w:ascii="Arial" w:eastAsia="Times New Roman" w:hAnsi="Arial" w:cs="Arial"/>
          <w:noProof/>
          <w:sz w:val="24"/>
          <w:szCs w:val="24"/>
          <w:lang w:val="en-GB"/>
        </w:rPr>
        <w:t>, 2023)</w:t>
      </w:r>
      <w:r w:rsidRPr="000A551A">
        <w:rPr>
          <w:rFonts w:ascii="Arial" w:eastAsia="Times New Roman" w:hAnsi="Arial" w:cs="Arial"/>
          <w:sz w:val="24"/>
          <w:szCs w:val="24"/>
          <w:lang w:val="en-GB"/>
        </w:rPr>
        <w:fldChar w:fldCharType="end"/>
      </w:r>
      <w:r w:rsidRPr="000A551A">
        <w:rPr>
          <w:rFonts w:ascii="Arial" w:eastAsia="Times New Roman" w:hAnsi="Arial" w:cs="Arial"/>
          <w:sz w:val="24"/>
          <w:szCs w:val="24"/>
          <w:lang w:val="en-GB"/>
        </w:rPr>
        <w:t xml:space="preserve">. </w:t>
      </w:r>
      <w:r w:rsidRPr="00CB0AF4">
        <w:rPr>
          <w:rFonts w:ascii="Arial" w:eastAsia="Times New Roman" w:hAnsi="Arial" w:cs="Arial"/>
          <w:sz w:val="24"/>
          <w:szCs w:val="24"/>
          <w:lang w:val="en-GB"/>
        </w:rPr>
        <w:t xml:space="preserve">In addition to the roles of pharmacists in diabetes care listed above, pharmacists are becoming increasingly involved in advanced clinical care, such as independent prescribing </w:t>
      </w:r>
      <w:r w:rsidRPr="00CB0AF4">
        <w:rPr>
          <w:rFonts w:ascii="Arial" w:eastAsia="Times New Roman" w:hAnsi="Arial" w:cs="Arial"/>
          <w:sz w:val="24"/>
          <w:szCs w:val="24"/>
          <w:lang w:val="en-GB"/>
        </w:rPr>
        <w:fldChar w:fldCharType="begin" w:fldLock="1"/>
      </w:r>
      <w:r w:rsidRPr="00CB0AF4">
        <w:rPr>
          <w:rFonts w:ascii="Arial" w:eastAsia="Times New Roman" w:hAnsi="Arial" w:cs="Arial"/>
          <w:sz w:val="24"/>
          <w:szCs w:val="24"/>
          <w:lang w:val="en-GB"/>
        </w:rPr>
        <w:instrText>ADDIN CSL_CITATION {"citationItems":[{"id":"ITEM-1","itemData":{"ISSN":"14668955","abstract":"Diabetes is one of the primary causes of death and disability globally, affecting over 371 million people, which is said to rise to 552 million people by 2030 (International Diabetes Federation, 2012). Current estimates suggest that there are over 3 million people in England with diabetes, of whom roughly a quarter are undiagnosed (Holman et al, 2011). The prevalence of diabetes is higher in developed countries than in developing countries but as developing countries become more industrialised, the incidence of diabetes will also increase. In the UK, it is estimated that the cost of treating diabetes and its related complications is approximately £14 billion (around 85% of that being due to type 2 diabetes), accounting for around 10% of the total NHS expenditure for England and Wales (Kanavos et al, 2012). In 2012, around 4.8 million deaths resulted from the disease and its associated complications worldwide (International Diabetes Federation, 2012). Diabetes has been stated to be the underlying cause of 12% of all new cases of legal blindness, over one third of new cases of end-stage renal disease and approximately half of non-traumatic lower-extremity amputations. It has also been indicated that people with diabetes are two to four times more likely to die from heart disease or suffer a stoke (Powers, 2001).","author":[{"dropping-particle":"","family":"Khunti","given":"Nitisha","non-dropping-particle":"","parse-names":false,"suffix":""},{"dropping-particle":"","family":"Willis","given":"Andrew","non-dropping-particle":"","parse-names":false,"suffix":""},{"dropping-particle":"","family":"Davies","given":"Melanie","non-dropping-particle":"","parse-names":false,"suffix":""},{"dropping-particle":"","family":"Khunti","given":"Kamlesh","non-dropping-particle":"","parse-names":false,"suffix":""}],"container-title":"Diabetes and Primary Care","id":"ITEM-1","issue":"3","issued":{"date-parts":[["2013"]]},"page":"131-140","title":"The role of pharmacists in the management of type 2 diabetes: A literature review","type":"article-journal","volume":"15"},"uris":["http://www.mendeley.com/documents/?uuid=6900c8a1-9e62-438f-95c1-aed9be81e4d2"]}],"mendeley":{"formattedCitation":"(Khunti &lt;i&gt;et al.&lt;/i&gt;, 2013)","plainTextFormattedCitation":"(Khunti et al., 2013)","previouslyFormattedCitation":"(Khunti &lt;i&gt;et al.&lt;/i&gt;, 2013)"},"properties":{"noteIndex":0},"schema":"https://github.com/citation-style-language/schema/raw/master/csl-citation.json"}</w:instrText>
      </w:r>
      <w:r w:rsidRPr="00CB0AF4">
        <w:rPr>
          <w:rFonts w:ascii="Arial" w:eastAsia="Times New Roman" w:hAnsi="Arial" w:cs="Arial"/>
          <w:sz w:val="24"/>
          <w:szCs w:val="24"/>
          <w:lang w:val="en-GB"/>
        </w:rPr>
        <w:fldChar w:fldCharType="separate"/>
      </w:r>
      <w:r w:rsidRPr="00CB0AF4">
        <w:rPr>
          <w:rFonts w:ascii="Arial" w:eastAsia="Times New Roman" w:hAnsi="Arial" w:cs="Arial"/>
          <w:noProof/>
          <w:sz w:val="24"/>
          <w:szCs w:val="24"/>
          <w:lang w:val="en-GB"/>
        </w:rPr>
        <w:t xml:space="preserve">(Khunti </w:t>
      </w:r>
      <w:r w:rsidRPr="00CB0AF4">
        <w:rPr>
          <w:rFonts w:ascii="Arial" w:eastAsia="Times New Roman" w:hAnsi="Arial" w:cs="Arial"/>
          <w:i/>
          <w:noProof/>
          <w:sz w:val="24"/>
          <w:szCs w:val="24"/>
          <w:lang w:val="en-GB"/>
        </w:rPr>
        <w:t>et al.</w:t>
      </w:r>
      <w:r w:rsidRPr="00CB0AF4">
        <w:rPr>
          <w:rFonts w:ascii="Arial" w:eastAsia="Times New Roman" w:hAnsi="Arial" w:cs="Arial"/>
          <w:noProof/>
          <w:sz w:val="24"/>
          <w:szCs w:val="24"/>
          <w:lang w:val="en-GB"/>
        </w:rPr>
        <w:t>, 2013)</w:t>
      </w:r>
      <w:r w:rsidRPr="00CB0AF4">
        <w:rPr>
          <w:rFonts w:ascii="Arial" w:eastAsia="Times New Roman" w:hAnsi="Arial" w:cs="Arial"/>
          <w:sz w:val="24"/>
          <w:szCs w:val="24"/>
          <w:lang w:val="en-GB"/>
        </w:rPr>
        <w:fldChar w:fldCharType="end"/>
      </w:r>
      <w:r w:rsidR="00CB0AF4">
        <w:rPr>
          <w:rFonts w:ascii="Arial" w:eastAsia="Times New Roman" w:hAnsi="Arial" w:cs="Arial"/>
          <w:sz w:val="24"/>
          <w:szCs w:val="24"/>
          <w:lang w:val="en-GB"/>
        </w:rPr>
        <w:t>.</w:t>
      </w:r>
    </w:p>
    <w:p w14:paraId="3C9B2FAF" w14:textId="77777777" w:rsidR="00941883" w:rsidRPr="00C63FEE" w:rsidRDefault="00941883" w:rsidP="00941883">
      <w:pPr>
        <w:spacing w:line="360" w:lineRule="auto"/>
        <w:jc w:val="both"/>
        <w:rPr>
          <w:rFonts w:asciiTheme="minorBidi" w:hAnsiTheme="minorBidi"/>
          <w:sz w:val="24"/>
          <w:szCs w:val="24"/>
        </w:rPr>
      </w:pPr>
      <w:r w:rsidRPr="00EF5B8C">
        <w:rPr>
          <w:rFonts w:ascii="Arial" w:hAnsi="Arial" w:cs="Arial"/>
          <w:sz w:val="24"/>
          <w:szCs w:val="24"/>
        </w:rPr>
        <w:t xml:space="preserve">Based on the above, it is evident that a pharmacist can provide a range of different services for diabetes patients that can contribute to improving diabetes care. </w:t>
      </w:r>
      <w:r w:rsidRPr="00331724">
        <w:rPr>
          <w:rFonts w:asciiTheme="minorBidi" w:hAnsiTheme="minorBidi"/>
          <w:sz w:val="24"/>
          <w:szCs w:val="24"/>
        </w:rPr>
        <w:t>Expanding the s</w:t>
      </w:r>
      <w:r w:rsidRPr="00C63FEE">
        <w:rPr>
          <w:rFonts w:asciiTheme="minorBidi" w:hAnsiTheme="minorBidi"/>
          <w:sz w:val="24"/>
          <w:szCs w:val="24"/>
        </w:rPr>
        <w:t xml:space="preserve">cope of pharmacy practice in SA, to provide diabetes related services, is argued to be a possible viable option </w:t>
      </w:r>
      <w:r>
        <w:rPr>
          <w:rFonts w:asciiTheme="minorBidi" w:hAnsiTheme="minorBidi"/>
          <w:sz w:val="24"/>
          <w:szCs w:val="24"/>
          <w:lang w:val="en-GB"/>
        </w:rPr>
        <w:fldChar w:fldCharType="begin" w:fldLock="1"/>
      </w:r>
      <w:r w:rsidRPr="00C63FEE">
        <w:rPr>
          <w:rFonts w:asciiTheme="minorBidi" w:hAnsiTheme="minorBidi"/>
          <w:sz w:val="24"/>
          <w:szCs w:val="24"/>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2017)","plainTextFormattedCitation":"(Makeen, 2017)","previouslyFormattedCitation":"(Makeen, 2017)"},"properties":{"noteIndex":0},"schema":"https://github.com/citation-style-language/schema/raw/master/csl-citation.json"}</w:instrText>
      </w:r>
      <w:r>
        <w:rPr>
          <w:rFonts w:asciiTheme="minorBidi" w:hAnsiTheme="minorBidi"/>
          <w:sz w:val="24"/>
          <w:szCs w:val="24"/>
          <w:lang w:val="en-GB"/>
        </w:rPr>
        <w:fldChar w:fldCharType="separate"/>
      </w:r>
      <w:r w:rsidRPr="00C63FEE">
        <w:rPr>
          <w:rFonts w:asciiTheme="minorBidi" w:hAnsiTheme="minorBidi"/>
          <w:noProof/>
          <w:sz w:val="24"/>
          <w:szCs w:val="24"/>
        </w:rPr>
        <w:t>(Makeen, 2017)</w:t>
      </w:r>
      <w:r>
        <w:rPr>
          <w:rFonts w:asciiTheme="minorBidi" w:hAnsiTheme="minorBidi"/>
          <w:sz w:val="24"/>
          <w:szCs w:val="24"/>
          <w:lang w:val="en-GB"/>
        </w:rPr>
        <w:fldChar w:fldCharType="end"/>
      </w:r>
      <w:r w:rsidRPr="00C63FEE">
        <w:rPr>
          <w:rFonts w:asciiTheme="minorBidi" w:hAnsiTheme="minorBidi"/>
          <w:sz w:val="24"/>
          <w:szCs w:val="24"/>
        </w:rPr>
        <w:t xml:space="preserve">, and it would align SA more with the role of pharmacists in other developed countries. </w:t>
      </w:r>
    </w:p>
    <w:p w14:paraId="288113C7" w14:textId="77777777" w:rsidR="00941883" w:rsidRPr="00542EEE" w:rsidRDefault="00941883" w:rsidP="00941883">
      <w:pPr>
        <w:spacing w:line="360" w:lineRule="auto"/>
        <w:jc w:val="both"/>
        <w:rPr>
          <w:rFonts w:ascii="Arial" w:hAnsi="Arial" w:cs="Arial"/>
          <w:i/>
          <w:iCs/>
          <w:color w:val="44546A" w:themeColor="text2"/>
          <w:sz w:val="18"/>
          <w:szCs w:val="18"/>
          <w:lang w:val="en-GB"/>
        </w:rPr>
      </w:pPr>
      <w:r w:rsidRPr="00C63FEE">
        <w:rPr>
          <w:rFonts w:ascii="Arial" w:hAnsi="Arial" w:cs="Arial"/>
          <w:sz w:val="24"/>
          <w:szCs w:val="24"/>
        </w:rPr>
        <w:t>In brief, pharmacists can positively intervene in diabetes management in several ways as shown in this section. The following section presents the key types of pharmacists’ interve</w:t>
      </w:r>
      <w:r w:rsidRPr="006B2FC7">
        <w:rPr>
          <w:rFonts w:ascii="Arial" w:hAnsi="Arial" w:cs="Arial"/>
          <w:sz w:val="24"/>
          <w:szCs w:val="24"/>
          <w:lang w:val="en-GB"/>
        </w:rPr>
        <w:t xml:space="preserve">ntions in diabetes patients' care.   </w:t>
      </w:r>
    </w:p>
    <w:p w14:paraId="7AE07A54" w14:textId="77777777" w:rsidR="00941883" w:rsidRDefault="00941883" w:rsidP="00941883">
      <w:pPr>
        <w:spacing w:line="360" w:lineRule="auto"/>
        <w:jc w:val="both"/>
        <w:rPr>
          <w:rFonts w:ascii="Arial" w:hAnsi="Arial" w:cs="Arial"/>
          <w:sz w:val="24"/>
          <w:szCs w:val="24"/>
          <w:lang w:val="en-GB"/>
        </w:rPr>
        <w:sectPr w:rsidR="00941883" w:rsidSect="00282204">
          <w:footerReference w:type="default" r:id="rId9"/>
          <w:pgSz w:w="12240" w:h="15840"/>
          <w:pgMar w:top="1440" w:right="1440" w:bottom="1440" w:left="1440" w:header="720" w:footer="720" w:gutter="0"/>
          <w:pgNumType w:start="0" w:chapStyle="1"/>
          <w:cols w:space="720"/>
          <w:docGrid w:linePitch="360"/>
        </w:sectPr>
      </w:pPr>
    </w:p>
    <w:p w14:paraId="10C1DBD5" w14:textId="7BCC7702" w:rsidR="00941883" w:rsidRDefault="00941883" w:rsidP="00941883">
      <w:pPr>
        <w:pStyle w:val="Caption"/>
        <w:rPr>
          <w:sz w:val="24"/>
          <w:szCs w:val="24"/>
          <w:lang w:val="en-GB"/>
        </w:rPr>
      </w:pPr>
      <w:bookmarkStart w:id="54" w:name="_Ref148112796"/>
      <w:bookmarkStart w:id="55" w:name="_Toc153894558"/>
      <w:r w:rsidRPr="0024441B">
        <w:rPr>
          <w:sz w:val="24"/>
          <w:szCs w:val="24"/>
          <w:lang w:val="en-GB"/>
        </w:rPr>
        <w:t xml:space="preserve">Table </w:t>
      </w:r>
      <w:r w:rsidRPr="0024441B">
        <w:rPr>
          <w:sz w:val="24"/>
          <w:szCs w:val="24"/>
          <w:lang w:val="en-GB"/>
        </w:rPr>
        <w:fldChar w:fldCharType="begin"/>
      </w:r>
      <w:r w:rsidRPr="0024441B">
        <w:rPr>
          <w:sz w:val="24"/>
          <w:szCs w:val="24"/>
          <w:lang w:val="en-GB"/>
        </w:rPr>
        <w:instrText xml:space="preserve"> SEQ Table \* ARABIC </w:instrText>
      </w:r>
      <w:r w:rsidRPr="0024441B">
        <w:rPr>
          <w:sz w:val="24"/>
          <w:szCs w:val="24"/>
          <w:lang w:val="en-GB"/>
        </w:rPr>
        <w:fldChar w:fldCharType="separate"/>
      </w:r>
      <w:r w:rsidR="009B31EB">
        <w:rPr>
          <w:noProof/>
          <w:sz w:val="24"/>
          <w:szCs w:val="24"/>
          <w:lang w:val="en-GB"/>
        </w:rPr>
        <w:t>4</w:t>
      </w:r>
      <w:r w:rsidRPr="0024441B">
        <w:rPr>
          <w:sz w:val="24"/>
          <w:szCs w:val="24"/>
          <w:lang w:val="en-GB"/>
        </w:rPr>
        <w:fldChar w:fldCharType="end"/>
      </w:r>
      <w:bookmarkEnd w:id="54"/>
      <w:r w:rsidRPr="007037D4">
        <w:rPr>
          <w:sz w:val="24"/>
          <w:szCs w:val="24"/>
          <w:lang w:val="en-GB"/>
        </w:rPr>
        <w:t xml:space="preserve">: Diabetes-related services </w:t>
      </w:r>
      <w:r>
        <w:rPr>
          <w:sz w:val="24"/>
          <w:szCs w:val="24"/>
          <w:lang w:val="en-GB"/>
        </w:rPr>
        <w:t xml:space="preserve">which </w:t>
      </w:r>
      <w:r w:rsidRPr="007037D4">
        <w:rPr>
          <w:sz w:val="24"/>
          <w:szCs w:val="24"/>
          <w:lang w:val="en-GB"/>
        </w:rPr>
        <w:t>can be provided by pharmacists.</w:t>
      </w:r>
      <w:bookmarkEnd w:id="55"/>
    </w:p>
    <w:tbl>
      <w:tblPr>
        <w:tblW w:w="13919" w:type="dxa"/>
        <w:tblLook w:val="04A0" w:firstRow="1" w:lastRow="0" w:firstColumn="1" w:lastColumn="0" w:noHBand="0" w:noVBand="1"/>
      </w:tblPr>
      <w:tblGrid>
        <w:gridCol w:w="2566"/>
        <w:gridCol w:w="4994"/>
        <w:gridCol w:w="6359"/>
      </w:tblGrid>
      <w:tr w:rsidR="00941883" w:rsidRPr="00CE384E" w14:paraId="1586B165" w14:textId="77777777" w:rsidTr="00282204">
        <w:trPr>
          <w:trHeight w:val="452"/>
        </w:trPr>
        <w:tc>
          <w:tcPr>
            <w:tcW w:w="2566" w:type="dxa"/>
            <w:tcBorders>
              <w:bottom w:val="single" w:sz="4" w:space="0" w:color="auto"/>
            </w:tcBorders>
            <w:shd w:val="clear" w:color="000000" w:fill="D0CECE"/>
            <w:vAlign w:val="center"/>
          </w:tcPr>
          <w:p w14:paraId="781B42D5" w14:textId="77777777" w:rsidR="00941883" w:rsidRPr="00CE384E"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Stage</w:t>
            </w:r>
          </w:p>
        </w:tc>
        <w:tc>
          <w:tcPr>
            <w:tcW w:w="4994" w:type="dxa"/>
            <w:tcBorders>
              <w:bottom w:val="single" w:sz="4" w:space="0" w:color="auto"/>
            </w:tcBorders>
            <w:shd w:val="clear" w:color="000000" w:fill="D0CECE"/>
            <w:vAlign w:val="center"/>
            <w:hideMark/>
          </w:tcPr>
          <w:p w14:paraId="48DFD805" w14:textId="77777777" w:rsidR="00941883" w:rsidRPr="00CE384E" w:rsidRDefault="00941883" w:rsidP="00282204">
            <w:pPr>
              <w:spacing w:after="0" w:line="240" w:lineRule="auto"/>
              <w:rPr>
                <w:rFonts w:ascii="Arial" w:eastAsia="Times New Roman" w:hAnsi="Arial" w:cs="Arial"/>
                <w:color w:val="000000"/>
                <w:sz w:val="20"/>
                <w:szCs w:val="20"/>
              </w:rPr>
            </w:pPr>
            <w:r w:rsidRPr="00CE384E">
              <w:rPr>
                <w:rFonts w:ascii="Arial" w:eastAsia="Times New Roman" w:hAnsi="Arial" w:cs="Arial"/>
                <w:color w:val="000000"/>
                <w:sz w:val="20"/>
                <w:szCs w:val="20"/>
                <w:lang w:val="en-GB"/>
              </w:rPr>
              <w:t>Type of service</w:t>
            </w:r>
          </w:p>
        </w:tc>
        <w:tc>
          <w:tcPr>
            <w:tcW w:w="6359" w:type="dxa"/>
            <w:tcBorders>
              <w:bottom w:val="single" w:sz="4" w:space="0" w:color="auto"/>
            </w:tcBorders>
            <w:shd w:val="clear" w:color="000000" w:fill="D0CECE"/>
            <w:vAlign w:val="center"/>
            <w:hideMark/>
          </w:tcPr>
          <w:p w14:paraId="4E6F0E5C" w14:textId="77777777" w:rsidR="00941883" w:rsidRPr="00CE384E" w:rsidRDefault="00941883" w:rsidP="00282204">
            <w:pPr>
              <w:spacing w:after="0" w:line="240" w:lineRule="auto"/>
              <w:rPr>
                <w:rFonts w:ascii="Arial" w:eastAsia="Times New Roman" w:hAnsi="Arial" w:cs="Arial"/>
                <w:color w:val="000000"/>
                <w:sz w:val="20"/>
                <w:szCs w:val="20"/>
              </w:rPr>
            </w:pPr>
            <w:r w:rsidRPr="00CE384E">
              <w:rPr>
                <w:rFonts w:ascii="Arial" w:eastAsia="Times New Roman" w:hAnsi="Arial" w:cs="Arial"/>
                <w:color w:val="000000"/>
                <w:sz w:val="20"/>
                <w:szCs w:val="20"/>
                <w:lang w:val="en-GB"/>
              </w:rPr>
              <w:t>Aim of service</w:t>
            </w:r>
            <w:r>
              <w:rPr>
                <w:rFonts w:ascii="Arial" w:eastAsia="Times New Roman" w:hAnsi="Arial" w:cs="Arial"/>
                <w:color w:val="000000"/>
                <w:sz w:val="20"/>
                <w:szCs w:val="20"/>
                <w:lang w:val="en-GB"/>
              </w:rPr>
              <w:t>: To</w:t>
            </w:r>
            <w:r w:rsidRPr="00CE384E">
              <w:rPr>
                <w:rFonts w:ascii="Arial" w:eastAsia="Times New Roman" w:hAnsi="Arial" w:cs="Arial"/>
                <w:color w:val="000000"/>
                <w:sz w:val="20"/>
                <w:szCs w:val="20"/>
                <w:lang w:val="en-GB"/>
              </w:rPr>
              <w:t xml:space="preserve"> </w:t>
            </w:r>
          </w:p>
        </w:tc>
      </w:tr>
      <w:tr w:rsidR="00941883" w:rsidRPr="00CE384E" w14:paraId="41C32DA7" w14:textId="77777777" w:rsidTr="00282204">
        <w:trPr>
          <w:trHeight w:val="555"/>
        </w:trPr>
        <w:tc>
          <w:tcPr>
            <w:tcW w:w="2566" w:type="dxa"/>
            <w:vAlign w:val="center"/>
          </w:tcPr>
          <w:p w14:paraId="6B503E97" w14:textId="77777777" w:rsidR="00941883"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Initial</w:t>
            </w:r>
          </w:p>
        </w:tc>
        <w:tc>
          <w:tcPr>
            <w:tcW w:w="4994" w:type="dxa"/>
            <w:shd w:val="clear" w:color="auto" w:fill="auto"/>
            <w:vAlign w:val="center"/>
          </w:tcPr>
          <w:p w14:paraId="007E0AF7" w14:textId="77777777" w:rsidR="00941883" w:rsidRPr="00CE384E"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Screening for diabetes </w:t>
            </w:r>
          </w:p>
        </w:tc>
        <w:tc>
          <w:tcPr>
            <w:tcW w:w="6359" w:type="dxa"/>
            <w:shd w:val="clear" w:color="auto" w:fill="auto"/>
            <w:vAlign w:val="center"/>
          </w:tcPr>
          <w:p w14:paraId="7E774C9D" w14:textId="77777777" w:rsidR="00941883" w:rsidRPr="00CE384E"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Screen individuals who at risk of type 2 diabetes </w:t>
            </w:r>
          </w:p>
        </w:tc>
      </w:tr>
      <w:tr w:rsidR="00941883" w:rsidRPr="00CE384E" w14:paraId="77953EAB" w14:textId="77777777" w:rsidTr="00282204">
        <w:trPr>
          <w:trHeight w:val="555"/>
        </w:trPr>
        <w:tc>
          <w:tcPr>
            <w:tcW w:w="2566" w:type="dxa"/>
            <w:vAlign w:val="center"/>
          </w:tcPr>
          <w:p w14:paraId="77BB4664" w14:textId="77777777" w:rsidR="00941883" w:rsidRPr="00CE384E"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Treatment plan/review </w:t>
            </w:r>
          </w:p>
        </w:tc>
        <w:tc>
          <w:tcPr>
            <w:tcW w:w="4994" w:type="dxa"/>
            <w:shd w:val="clear" w:color="auto" w:fill="auto"/>
            <w:vAlign w:val="center"/>
            <w:hideMark/>
          </w:tcPr>
          <w:p w14:paraId="66886BA7" w14:textId="77777777" w:rsidR="00941883"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Medication review (MR)/Medication Therapy Management (MTM)/</w:t>
            </w:r>
            <w:r>
              <w:t xml:space="preserve"> </w:t>
            </w:r>
            <w:r w:rsidRPr="00DC5B4B">
              <w:rPr>
                <w:rFonts w:ascii="Arial" w:eastAsia="Times New Roman" w:hAnsi="Arial" w:cs="Arial"/>
                <w:color w:val="000000"/>
                <w:sz w:val="20"/>
                <w:szCs w:val="20"/>
                <w:lang w:val="en-GB"/>
              </w:rPr>
              <w:t>independent prescribing</w:t>
            </w:r>
          </w:p>
          <w:p w14:paraId="1A96D34A" w14:textId="77777777" w:rsidR="00941883" w:rsidRPr="00CE384E" w:rsidRDefault="00941883" w:rsidP="00282204">
            <w:pPr>
              <w:spacing w:after="0" w:line="240" w:lineRule="auto"/>
              <w:rPr>
                <w:rFonts w:ascii="Arial" w:eastAsia="Times New Roman" w:hAnsi="Arial" w:cs="Arial"/>
                <w:color w:val="000000"/>
                <w:sz w:val="20"/>
                <w:szCs w:val="20"/>
              </w:rPr>
            </w:pPr>
          </w:p>
        </w:tc>
        <w:tc>
          <w:tcPr>
            <w:tcW w:w="6359" w:type="dxa"/>
            <w:shd w:val="clear" w:color="auto" w:fill="auto"/>
            <w:vAlign w:val="center"/>
            <w:hideMark/>
          </w:tcPr>
          <w:p w14:paraId="27348DC2" w14:textId="77777777" w:rsidR="00941883"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D</w:t>
            </w:r>
            <w:r w:rsidRPr="00CE384E">
              <w:rPr>
                <w:rFonts w:ascii="Arial" w:eastAsia="Times New Roman" w:hAnsi="Arial" w:cs="Arial"/>
                <w:color w:val="000000"/>
                <w:sz w:val="20"/>
                <w:szCs w:val="20"/>
                <w:lang w:val="en-GB"/>
              </w:rPr>
              <w:t>esign a personalised diabetes management plan to optimise medication-therapy regimens.</w:t>
            </w:r>
          </w:p>
          <w:p w14:paraId="262F1715" w14:textId="77777777" w:rsidR="00941883" w:rsidRPr="00CE384E" w:rsidRDefault="00941883" w:rsidP="00282204">
            <w:pPr>
              <w:spacing w:after="0" w:line="240" w:lineRule="auto"/>
              <w:rPr>
                <w:rFonts w:ascii="Arial" w:eastAsia="Times New Roman" w:hAnsi="Arial" w:cs="Arial"/>
                <w:color w:val="000000"/>
                <w:sz w:val="20"/>
                <w:szCs w:val="20"/>
              </w:rPr>
            </w:pPr>
          </w:p>
        </w:tc>
      </w:tr>
      <w:tr w:rsidR="00941883" w:rsidRPr="00CE384E" w14:paraId="7AD0BC07" w14:textId="77777777" w:rsidTr="00282204">
        <w:trPr>
          <w:trHeight w:val="674"/>
        </w:trPr>
        <w:tc>
          <w:tcPr>
            <w:tcW w:w="2566" w:type="dxa"/>
            <w:vAlign w:val="center"/>
          </w:tcPr>
          <w:p w14:paraId="33920F3F" w14:textId="77777777" w:rsidR="00941883" w:rsidRPr="00CE384E" w:rsidRDefault="00941883" w:rsidP="00282204">
            <w:pPr>
              <w:spacing w:after="0" w:line="240" w:lineRule="auto"/>
              <w:rPr>
                <w:rFonts w:ascii="Arial" w:eastAsia="Times New Roman" w:hAnsi="Arial" w:cs="Arial"/>
                <w:color w:val="000000"/>
                <w:sz w:val="20"/>
                <w:szCs w:val="20"/>
                <w:lang w:val="en-GB"/>
              </w:rPr>
            </w:pPr>
          </w:p>
        </w:tc>
        <w:tc>
          <w:tcPr>
            <w:tcW w:w="4994" w:type="dxa"/>
            <w:shd w:val="clear" w:color="auto" w:fill="auto"/>
            <w:vAlign w:val="center"/>
            <w:hideMark/>
          </w:tcPr>
          <w:p w14:paraId="055FB7BC" w14:textId="77777777" w:rsidR="00941883" w:rsidRPr="00360749" w:rsidRDefault="00941883" w:rsidP="00282204">
            <w:pPr>
              <w:spacing w:after="0" w:line="240" w:lineRule="auto"/>
              <w:rPr>
                <w:rFonts w:ascii="Arial" w:eastAsia="Times New Roman" w:hAnsi="Arial" w:cs="Arial"/>
                <w:color w:val="000000"/>
                <w:sz w:val="20"/>
                <w:szCs w:val="20"/>
              </w:rPr>
            </w:pPr>
            <w:r w:rsidRPr="00360749">
              <w:rPr>
                <w:rFonts w:ascii="Arial" w:eastAsia="Times New Roman" w:hAnsi="Arial" w:cs="Arial"/>
                <w:color w:val="000000"/>
                <w:sz w:val="20"/>
                <w:szCs w:val="20"/>
                <w:lang w:val="en-GB"/>
              </w:rPr>
              <w:t>Comorbid disease management</w:t>
            </w:r>
          </w:p>
        </w:tc>
        <w:tc>
          <w:tcPr>
            <w:tcW w:w="6359" w:type="dxa"/>
            <w:shd w:val="clear" w:color="auto" w:fill="auto"/>
            <w:vAlign w:val="center"/>
            <w:hideMark/>
          </w:tcPr>
          <w:p w14:paraId="44186497" w14:textId="3F107CC8" w:rsidR="00941883"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R</w:t>
            </w:r>
            <w:r w:rsidRPr="00CE384E">
              <w:rPr>
                <w:rFonts w:ascii="Arial" w:eastAsia="Times New Roman" w:hAnsi="Arial" w:cs="Arial"/>
                <w:color w:val="000000"/>
                <w:sz w:val="20"/>
                <w:szCs w:val="20"/>
                <w:lang w:val="en-GB"/>
              </w:rPr>
              <w:t>educe morbidity and mortality rates that result from diabetes-related problems.</w:t>
            </w:r>
            <w:r>
              <w:rPr>
                <w:rFonts w:ascii="Arial" w:eastAsia="Times New Roman" w:hAnsi="Arial" w:cs="Arial"/>
                <w:color w:val="000000"/>
                <w:sz w:val="20"/>
                <w:szCs w:val="20"/>
                <w:lang w:val="en-GB"/>
              </w:rPr>
              <w:t xml:space="preserve"> Focusing on CV risk factors to reduce macrovascular </w:t>
            </w:r>
            <w:r w:rsidR="00911AE5">
              <w:rPr>
                <w:rFonts w:ascii="Arial" w:eastAsia="Times New Roman" w:hAnsi="Arial" w:cs="Arial"/>
                <w:color w:val="000000"/>
                <w:sz w:val="20"/>
                <w:szCs w:val="20"/>
                <w:lang w:val="en-GB"/>
              </w:rPr>
              <w:t>complications.</w:t>
            </w:r>
          </w:p>
          <w:p w14:paraId="76D7BEA8" w14:textId="77777777" w:rsidR="00941883" w:rsidRDefault="00941883" w:rsidP="00282204">
            <w:pPr>
              <w:spacing w:after="0" w:line="240" w:lineRule="auto"/>
              <w:rPr>
                <w:rFonts w:ascii="Arial" w:eastAsia="Times New Roman" w:hAnsi="Arial" w:cs="Arial"/>
                <w:color w:val="000000"/>
                <w:sz w:val="20"/>
                <w:szCs w:val="20"/>
                <w:lang w:val="en-GB"/>
              </w:rPr>
            </w:pPr>
          </w:p>
          <w:p w14:paraId="4DBA3003" w14:textId="77777777" w:rsidR="00941883" w:rsidRPr="00CE384E" w:rsidRDefault="00941883" w:rsidP="00282204">
            <w:pPr>
              <w:spacing w:after="0" w:line="240" w:lineRule="auto"/>
              <w:rPr>
                <w:rFonts w:ascii="Arial" w:eastAsia="Times New Roman" w:hAnsi="Arial" w:cs="Arial"/>
                <w:color w:val="000000"/>
                <w:sz w:val="20"/>
                <w:szCs w:val="20"/>
              </w:rPr>
            </w:pPr>
          </w:p>
        </w:tc>
      </w:tr>
      <w:tr w:rsidR="00941883" w:rsidRPr="00CE384E" w14:paraId="54EB22DE" w14:textId="77777777" w:rsidTr="00282204">
        <w:trPr>
          <w:trHeight w:val="475"/>
        </w:trPr>
        <w:tc>
          <w:tcPr>
            <w:tcW w:w="2566" w:type="dxa"/>
            <w:vAlign w:val="center"/>
          </w:tcPr>
          <w:p w14:paraId="34CA49B0" w14:textId="77777777" w:rsidR="00941883" w:rsidRPr="00CE384E" w:rsidRDefault="00941883" w:rsidP="00282204">
            <w:pPr>
              <w:spacing w:after="0" w:line="240" w:lineRule="auto"/>
              <w:rPr>
                <w:rFonts w:ascii="Arial" w:eastAsia="Times New Roman" w:hAnsi="Arial" w:cs="Arial"/>
                <w:i/>
                <w:iCs/>
                <w:color w:val="000000"/>
                <w:sz w:val="20"/>
                <w:szCs w:val="20"/>
                <w:lang w:val="en-GB"/>
              </w:rPr>
            </w:pPr>
          </w:p>
        </w:tc>
        <w:tc>
          <w:tcPr>
            <w:tcW w:w="4994" w:type="dxa"/>
            <w:shd w:val="clear" w:color="auto" w:fill="auto"/>
            <w:vAlign w:val="center"/>
            <w:hideMark/>
          </w:tcPr>
          <w:p w14:paraId="4F79A334" w14:textId="77777777" w:rsidR="00941883" w:rsidRPr="00CE384E" w:rsidRDefault="00941883" w:rsidP="00282204">
            <w:pPr>
              <w:spacing w:after="0" w:line="240" w:lineRule="auto"/>
              <w:rPr>
                <w:rFonts w:ascii="Arial" w:eastAsia="Times New Roman" w:hAnsi="Arial" w:cs="Arial"/>
                <w:i/>
                <w:iCs/>
                <w:color w:val="000000"/>
                <w:sz w:val="20"/>
                <w:szCs w:val="20"/>
              </w:rPr>
            </w:pPr>
            <w:r w:rsidRPr="004014B4">
              <w:rPr>
                <w:rFonts w:ascii="Arial" w:eastAsia="Times New Roman" w:hAnsi="Arial" w:cs="Arial"/>
                <w:color w:val="000000"/>
                <w:sz w:val="20"/>
                <w:szCs w:val="20"/>
                <w:lang w:val="en-GB"/>
              </w:rPr>
              <w:t>Hypoglycaemia management</w:t>
            </w:r>
          </w:p>
        </w:tc>
        <w:tc>
          <w:tcPr>
            <w:tcW w:w="6359" w:type="dxa"/>
            <w:shd w:val="clear" w:color="auto" w:fill="auto"/>
            <w:vAlign w:val="center"/>
            <w:hideMark/>
          </w:tcPr>
          <w:p w14:paraId="0876D98F" w14:textId="77777777" w:rsidR="00941883"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A</w:t>
            </w:r>
            <w:r w:rsidRPr="00CE384E">
              <w:rPr>
                <w:rFonts w:ascii="Arial" w:eastAsia="Times New Roman" w:hAnsi="Arial" w:cs="Arial"/>
                <w:color w:val="000000"/>
                <w:sz w:val="20"/>
                <w:szCs w:val="20"/>
                <w:lang w:val="en-GB"/>
              </w:rPr>
              <w:t>void serious adverse drug events.</w:t>
            </w:r>
          </w:p>
          <w:p w14:paraId="52850A5B" w14:textId="77777777" w:rsidR="00941883" w:rsidRPr="00CE384E" w:rsidRDefault="00941883" w:rsidP="00282204">
            <w:pPr>
              <w:spacing w:after="0" w:line="240" w:lineRule="auto"/>
              <w:rPr>
                <w:rFonts w:ascii="Arial" w:eastAsia="Times New Roman" w:hAnsi="Arial" w:cs="Arial"/>
                <w:color w:val="000000"/>
                <w:sz w:val="20"/>
                <w:szCs w:val="20"/>
              </w:rPr>
            </w:pPr>
          </w:p>
        </w:tc>
      </w:tr>
      <w:tr w:rsidR="00941883" w:rsidRPr="00CE384E" w14:paraId="4CC3A91A" w14:textId="77777777" w:rsidTr="00282204">
        <w:trPr>
          <w:trHeight w:val="862"/>
        </w:trPr>
        <w:tc>
          <w:tcPr>
            <w:tcW w:w="2566" w:type="dxa"/>
            <w:vAlign w:val="center"/>
          </w:tcPr>
          <w:p w14:paraId="5BA5885F" w14:textId="77777777" w:rsidR="00941883" w:rsidRPr="00067891"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Monitoring </w:t>
            </w:r>
          </w:p>
        </w:tc>
        <w:tc>
          <w:tcPr>
            <w:tcW w:w="4994" w:type="dxa"/>
            <w:shd w:val="clear" w:color="auto" w:fill="auto"/>
            <w:vAlign w:val="center"/>
            <w:hideMark/>
          </w:tcPr>
          <w:p w14:paraId="786D89A9" w14:textId="77777777" w:rsidR="00941883" w:rsidRPr="00E37260" w:rsidRDefault="00941883" w:rsidP="00282204">
            <w:pPr>
              <w:spacing w:after="0" w:line="240" w:lineRule="auto"/>
              <w:rPr>
                <w:rFonts w:ascii="Arial" w:eastAsia="Times New Roman" w:hAnsi="Arial" w:cs="Arial"/>
                <w:color w:val="000000"/>
                <w:sz w:val="20"/>
                <w:szCs w:val="20"/>
              </w:rPr>
            </w:pPr>
            <w:r w:rsidRPr="00E37260">
              <w:rPr>
                <w:rFonts w:ascii="Arial" w:eastAsia="Times New Roman" w:hAnsi="Arial" w:cs="Arial"/>
                <w:color w:val="000000"/>
                <w:sz w:val="20"/>
                <w:szCs w:val="20"/>
                <w:lang w:val="en-GB"/>
              </w:rPr>
              <w:t>“Blood glucose monitoring”</w:t>
            </w:r>
          </w:p>
        </w:tc>
        <w:tc>
          <w:tcPr>
            <w:tcW w:w="6359" w:type="dxa"/>
            <w:shd w:val="clear" w:color="auto" w:fill="auto"/>
            <w:vAlign w:val="center"/>
            <w:hideMark/>
          </w:tcPr>
          <w:p w14:paraId="1D4720D7" w14:textId="77777777" w:rsidR="00941883" w:rsidRPr="00CE384E" w:rsidRDefault="00941883" w:rsidP="00282204">
            <w:pPr>
              <w:spacing w:after="0" w:line="240" w:lineRule="auto"/>
              <w:rPr>
                <w:rFonts w:ascii="Arial" w:eastAsia="Times New Roman" w:hAnsi="Arial" w:cs="Arial"/>
                <w:color w:val="000000"/>
                <w:sz w:val="20"/>
                <w:szCs w:val="20"/>
              </w:rPr>
            </w:pPr>
            <w:r w:rsidRPr="00CE384E">
              <w:rPr>
                <w:rFonts w:ascii="Arial" w:eastAsia="Times New Roman" w:hAnsi="Arial" w:cs="Arial"/>
                <w:color w:val="000000"/>
                <w:sz w:val="20"/>
                <w:szCs w:val="20"/>
                <w:lang w:val="en-GB"/>
              </w:rPr>
              <w:t>To monitor blood glucose levels to check if blood glucose control is affected by any new medications, diabetes treatment changes, lifestyle changes or over the counter or herbal products</w:t>
            </w:r>
          </w:p>
        </w:tc>
      </w:tr>
      <w:tr w:rsidR="00941883" w:rsidRPr="00CE384E" w14:paraId="2A8E9316" w14:textId="77777777" w:rsidTr="00282204">
        <w:trPr>
          <w:trHeight w:val="397"/>
        </w:trPr>
        <w:tc>
          <w:tcPr>
            <w:tcW w:w="2566" w:type="dxa"/>
            <w:vAlign w:val="center"/>
          </w:tcPr>
          <w:p w14:paraId="093B31DA" w14:textId="77777777" w:rsidR="00941883" w:rsidRDefault="00941883" w:rsidP="00282204">
            <w:pPr>
              <w:spacing w:after="0" w:line="240" w:lineRule="auto"/>
              <w:rPr>
                <w:rFonts w:ascii="Arial" w:eastAsia="Times New Roman" w:hAnsi="Arial" w:cs="Arial"/>
                <w:color w:val="000000"/>
                <w:sz w:val="20"/>
                <w:szCs w:val="20"/>
                <w:lang w:val="en-GB"/>
              </w:rPr>
            </w:pPr>
          </w:p>
        </w:tc>
        <w:tc>
          <w:tcPr>
            <w:tcW w:w="4994" w:type="dxa"/>
            <w:shd w:val="clear" w:color="auto" w:fill="auto"/>
            <w:vAlign w:val="center"/>
          </w:tcPr>
          <w:p w14:paraId="3EF41EC9" w14:textId="77777777" w:rsidR="00941883" w:rsidRPr="00E37260" w:rsidRDefault="00941883" w:rsidP="00282204">
            <w:pPr>
              <w:spacing w:after="0" w:line="240" w:lineRule="auto"/>
              <w:rPr>
                <w:rFonts w:ascii="Arial" w:eastAsia="Times New Roman" w:hAnsi="Arial" w:cs="Arial"/>
                <w:color w:val="000000"/>
                <w:sz w:val="20"/>
                <w:szCs w:val="20"/>
                <w:lang w:val="en-GB"/>
              </w:rPr>
            </w:pPr>
            <w:r w:rsidRPr="00E37260">
              <w:rPr>
                <w:rFonts w:ascii="Arial" w:eastAsia="Times New Roman" w:hAnsi="Arial" w:cs="Arial"/>
                <w:color w:val="000000"/>
                <w:sz w:val="20"/>
                <w:szCs w:val="20"/>
                <w:lang w:val="en-GB"/>
              </w:rPr>
              <w:t xml:space="preserve">Monitoring compliance </w:t>
            </w:r>
          </w:p>
        </w:tc>
        <w:tc>
          <w:tcPr>
            <w:tcW w:w="6359" w:type="dxa"/>
            <w:shd w:val="clear" w:color="auto" w:fill="auto"/>
            <w:vAlign w:val="center"/>
          </w:tcPr>
          <w:p w14:paraId="364DCD67" w14:textId="77777777" w:rsidR="00941883"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Enhance patient adherence. </w:t>
            </w:r>
          </w:p>
          <w:p w14:paraId="61CDADBA" w14:textId="77777777" w:rsidR="00941883" w:rsidRPr="00CE384E" w:rsidRDefault="00941883" w:rsidP="00282204">
            <w:pPr>
              <w:spacing w:after="0" w:line="240" w:lineRule="auto"/>
              <w:rPr>
                <w:rFonts w:ascii="Arial" w:eastAsia="Times New Roman" w:hAnsi="Arial" w:cs="Arial"/>
                <w:color w:val="000000"/>
                <w:sz w:val="20"/>
                <w:szCs w:val="20"/>
                <w:lang w:val="en-GB"/>
              </w:rPr>
            </w:pPr>
          </w:p>
        </w:tc>
      </w:tr>
      <w:tr w:rsidR="00941883" w:rsidRPr="00CE384E" w14:paraId="3AFC65E4" w14:textId="77777777" w:rsidTr="00282204">
        <w:trPr>
          <w:trHeight w:val="375"/>
        </w:trPr>
        <w:tc>
          <w:tcPr>
            <w:tcW w:w="2566" w:type="dxa"/>
            <w:vAlign w:val="center"/>
          </w:tcPr>
          <w:p w14:paraId="3AAD76A7" w14:textId="77777777" w:rsidR="00941883" w:rsidRPr="00CE384E"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Patient education </w:t>
            </w:r>
          </w:p>
        </w:tc>
        <w:tc>
          <w:tcPr>
            <w:tcW w:w="4994" w:type="dxa"/>
            <w:shd w:val="clear" w:color="auto" w:fill="auto"/>
            <w:vAlign w:val="center"/>
            <w:hideMark/>
          </w:tcPr>
          <w:p w14:paraId="2BADBF55" w14:textId="77777777" w:rsidR="00941883"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Patient education and consultation about health lifestyle choices</w:t>
            </w:r>
          </w:p>
          <w:p w14:paraId="4391F17A" w14:textId="77777777" w:rsidR="00941883" w:rsidRDefault="00941883" w:rsidP="00282204">
            <w:pPr>
              <w:spacing w:after="0" w:line="240" w:lineRule="auto"/>
              <w:rPr>
                <w:rFonts w:ascii="Arial" w:eastAsia="Times New Roman" w:hAnsi="Arial" w:cs="Arial"/>
                <w:color w:val="000000"/>
                <w:sz w:val="20"/>
                <w:szCs w:val="20"/>
                <w:lang w:val="en-GB"/>
              </w:rPr>
            </w:pPr>
          </w:p>
          <w:p w14:paraId="50E9A7BE" w14:textId="77777777" w:rsidR="00941883" w:rsidRPr="00CE384E" w:rsidRDefault="00941883" w:rsidP="00282204">
            <w:pPr>
              <w:spacing w:after="0" w:line="240" w:lineRule="auto"/>
              <w:rPr>
                <w:rFonts w:ascii="Arial" w:eastAsia="Times New Roman" w:hAnsi="Arial" w:cs="Arial"/>
                <w:color w:val="000000"/>
                <w:sz w:val="20"/>
                <w:szCs w:val="20"/>
              </w:rPr>
            </w:pPr>
          </w:p>
        </w:tc>
        <w:tc>
          <w:tcPr>
            <w:tcW w:w="6359" w:type="dxa"/>
            <w:shd w:val="clear" w:color="auto" w:fill="auto"/>
            <w:vAlign w:val="center"/>
            <w:hideMark/>
          </w:tcPr>
          <w:p w14:paraId="2ED4F65F" w14:textId="77777777" w:rsidR="00941883" w:rsidRPr="00CE384E" w:rsidRDefault="00941883" w:rsidP="0028220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lang w:val="en-GB"/>
              </w:rPr>
              <w:t>I</w:t>
            </w:r>
            <w:r w:rsidRPr="00CE384E">
              <w:rPr>
                <w:rFonts w:ascii="Arial" w:eastAsia="Times New Roman" w:hAnsi="Arial" w:cs="Arial"/>
                <w:color w:val="000000"/>
                <w:sz w:val="20"/>
                <w:szCs w:val="20"/>
                <w:lang w:val="en-GB"/>
              </w:rPr>
              <w:t>mprove the patient’s QoL.</w:t>
            </w:r>
          </w:p>
        </w:tc>
      </w:tr>
      <w:tr w:rsidR="00941883" w:rsidRPr="00CE384E" w14:paraId="389C3341" w14:textId="77777777" w:rsidTr="00282204">
        <w:trPr>
          <w:trHeight w:val="375"/>
        </w:trPr>
        <w:tc>
          <w:tcPr>
            <w:tcW w:w="2566" w:type="dxa"/>
            <w:tcBorders>
              <w:bottom w:val="single" w:sz="4" w:space="0" w:color="auto"/>
            </w:tcBorders>
            <w:vAlign w:val="center"/>
          </w:tcPr>
          <w:p w14:paraId="7FDDAB53" w14:textId="77777777" w:rsidR="00941883"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Others </w:t>
            </w:r>
          </w:p>
        </w:tc>
        <w:tc>
          <w:tcPr>
            <w:tcW w:w="4994" w:type="dxa"/>
            <w:tcBorders>
              <w:bottom w:val="single" w:sz="4" w:space="0" w:color="auto"/>
            </w:tcBorders>
            <w:shd w:val="clear" w:color="auto" w:fill="auto"/>
            <w:vAlign w:val="center"/>
          </w:tcPr>
          <w:p w14:paraId="760284A3" w14:textId="50F872EA" w:rsidR="00941883"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Collaborative with other HCPs and referral patients to specialist for medical advice when </w:t>
            </w:r>
            <w:r w:rsidR="00911AE5">
              <w:rPr>
                <w:rFonts w:ascii="Arial" w:eastAsia="Times New Roman" w:hAnsi="Arial" w:cs="Arial"/>
                <w:color w:val="000000"/>
                <w:sz w:val="20"/>
                <w:szCs w:val="20"/>
                <w:lang w:val="en-GB"/>
              </w:rPr>
              <w:t>needed.</w:t>
            </w:r>
            <w:r>
              <w:rPr>
                <w:rFonts w:ascii="Arial" w:eastAsia="Times New Roman" w:hAnsi="Arial" w:cs="Arial"/>
                <w:color w:val="000000"/>
                <w:sz w:val="20"/>
                <w:szCs w:val="20"/>
                <w:lang w:val="en-GB"/>
              </w:rPr>
              <w:t xml:space="preserve"> </w:t>
            </w:r>
          </w:p>
          <w:p w14:paraId="59A75A39" w14:textId="77777777" w:rsidR="00941883" w:rsidRDefault="00941883" w:rsidP="00282204">
            <w:pPr>
              <w:spacing w:after="0" w:line="240" w:lineRule="auto"/>
              <w:rPr>
                <w:rFonts w:ascii="Arial" w:eastAsia="Times New Roman" w:hAnsi="Arial" w:cs="Arial"/>
                <w:color w:val="000000"/>
                <w:sz w:val="20"/>
                <w:szCs w:val="20"/>
                <w:lang w:val="en-GB"/>
              </w:rPr>
            </w:pPr>
          </w:p>
        </w:tc>
        <w:tc>
          <w:tcPr>
            <w:tcW w:w="6359" w:type="dxa"/>
            <w:tcBorders>
              <w:bottom w:val="single" w:sz="4" w:space="0" w:color="auto"/>
            </w:tcBorders>
            <w:shd w:val="clear" w:color="auto" w:fill="auto"/>
            <w:vAlign w:val="center"/>
          </w:tcPr>
          <w:p w14:paraId="043D240A" w14:textId="77777777" w:rsidR="00941883" w:rsidRPr="00CE384E" w:rsidRDefault="00941883" w:rsidP="00282204">
            <w:pPr>
              <w:spacing w:after="0" w:line="240"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Optimise patient management </w:t>
            </w:r>
          </w:p>
        </w:tc>
      </w:tr>
    </w:tbl>
    <w:p w14:paraId="5B67111D" w14:textId="77777777" w:rsidR="00941883" w:rsidRPr="002F505A" w:rsidRDefault="00941883" w:rsidP="00941883">
      <w:pPr>
        <w:spacing w:after="0" w:line="240" w:lineRule="auto"/>
        <w:jc w:val="both"/>
        <w:rPr>
          <w:rFonts w:ascii="Arial" w:hAnsi="Arial" w:cs="Arial"/>
          <w:i/>
          <w:iCs/>
          <w:noProof/>
          <w:color w:val="44546A" w:themeColor="text2"/>
          <w:sz w:val="18"/>
          <w:szCs w:val="18"/>
          <w:lang w:val="nl-NL"/>
        </w:rPr>
      </w:pPr>
      <w:r w:rsidRPr="001056C0">
        <w:rPr>
          <w:rFonts w:ascii="Arial" w:hAnsi="Arial" w:cs="Arial"/>
          <w:i/>
          <w:iCs/>
          <w:color w:val="44546A" w:themeColor="text2"/>
          <w:sz w:val="18"/>
          <w:szCs w:val="18"/>
          <w:lang w:val="en-GB"/>
        </w:rPr>
        <w:t xml:space="preserve">Reference: </w:t>
      </w:r>
      <w:r w:rsidRPr="001056C0">
        <w:rPr>
          <w:rFonts w:ascii="Arial" w:hAnsi="Arial" w:cs="Arial"/>
          <w:i/>
          <w:iCs/>
          <w:color w:val="44546A" w:themeColor="text2"/>
          <w:sz w:val="18"/>
          <w:szCs w:val="18"/>
          <w:lang w:val="en-GB"/>
        </w:rPr>
        <w:fldChar w:fldCharType="begin" w:fldLock="1"/>
      </w:r>
      <w:r>
        <w:rPr>
          <w:rFonts w:ascii="Arial" w:hAnsi="Arial" w:cs="Arial"/>
          <w:i/>
          <w:iCs/>
          <w:color w:val="44546A" w:themeColor="text2"/>
          <w:sz w:val="18"/>
          <w:szCs w:val="18"/>
          <w:lang w:val="en-GB"/>
        </w:rPr>
        <w:instrText>ADDIN CSL_CITATION {"citationItems":[{"id":"ITEM-1","itemData":{"DOI":"10.1177/193229680900300120","ISSN":"1932-2968","abstract":"Today there are significant gaps between reaching the goal of \"optimal medication therapy\" and the current state of medication use in the United States. Pharmacists are highly accessible and well-trained--yet often underutilized--key health care professionals who can move us closer toward achieving better medication therapy outcomes for patients. Diabetes medication management programs led by pharmacists are described. This is consistent with the \"medical home\" concept of care that promotes primary care providers working collaboratively to coordinate patient-centered care. Pharmacists utilize their clinical expertise in monitoring and managing diabetes medication plans to positively impact health outcomes and empower patients to actively manage their health. In addition, pharmacists can serve as a resource to other health care providers and payers to assure safe, appropriate, cost-effective diabetes medication use. Copyright © Diabetes Technology Society","author":[{"dropping-particle":"","family":"Smith","given":"Marie","non-dropping-particle":"","parse-names":false,"suffix":""}],"container-title":"Journal of diabetes science and technology","id":"ITEM-1","issue":"1","issued":{"date-parts":[["2009"]]},"page":"175-179","publisher-place":"United States","title":"Pharmacists' role in improving diabetes medication management.","type":"article-journal","volume":"3"},"uris":["http://www.mendeley.com/documents/?uuid=c2cb55be-1358-4fc7-b6e1-19582e66b4ce"]}],"mendeley":{"formattedCitation":"(Smith, 2009a)","manualFormatting":"(Smith, 2009","plainTextFormattedCitation":"(Smith, 2009a)","previouslyFormattedCitation":"(Smith, 2009a)"},"properties":{"noteIndex":0},"schema":"https://github.com/citation-style-language/schema/raw/master/csl-citation.json"}</w:instrText>
      </w:r>
      <w:r w:rsidRPr="001056C0">
        <w:rPr>
          <w:rFonts w:ascii="Arial" w:hAnsi="Arial" w:cs="Arial"/>
          <w:i/>
          <w:iCs/>
          <w:color w:val="44546A" w:themeColor="text2"/>
          <w:sz w:val="18"/>
          <w:szCs w:val="18"/>
          <w:lang w:val="en-GB"/>
        </w:rPr>
        <w:fldChar w:fldCharType="separate"/>
      </w:r>
      <w:r w:rsidRPr="001056C0">
        <w:rPr>
          <w:rFonts w:ascii="Arial" w:hAnsi="Arial" w:cs="Arial"/>
          <w:i/>
          <w:iCs/>
          <w:noProof/>
          <w:color w:val="44546A" w:themeColor="text2"/>
          <w:sz w:val="18"/>
          <w:szCs w:val="18"/>
          <w:lang w:val="en-GB"/>
        </w:rPr>
        <w:t>(Smith, 2009</w:t>
      </w:r>
      <w:r w:rsidRPr="001056C0">
        <w:rPr>
          <w:rFonts w:ascii="Arial" w:hAnsi="Arial" w:cs="Arial"/>
          <w:i/>
          <w:iCs/>
          <w:color w:val="44546A" w:themeColor="text2"/>
          <w:sz w:val="18"/>
          <w:szCs w:val="18"/>
          <w:lang w:val="en-GB"/>
        </w:rPr>
        <w:fldChar w:fldCharType="end"/>
      </w:r>
      <w:r>
        <w:rPr>
          <w:rFonts w:ascii="Arial" w:hAnsi="Arial" w:cs="Arial"/>
          <w:i/>
          <w:iCs/>
          <w:color w:val="44546A" w:themeColor="text2"/>
          <w:sz w:val="18"/>
          <w:szCs w:val="18"/>
          <w:lang w:val="en-GB"/>
        </w:rPr>
        <w:t xml:space="preserve">; </w:t>
      </w:r>
      <w:r w:rsidRPr="001056C0">
        <w:rPr>
          <w:rFonts w:ascii="Arial" w:hAnsi="Arial" w:cs="Arial"/>
          <w:i/>
          <w:iCs/>
          <w:color w:val="44546A" w:themeColor="text2"/>
          <w:sz w:val="18"/>
          <w:szCs w:val="18"/>
          <w:lang w:val="en-GB"/>
        </w:rPr>
        <w:fldChar w:fldCharType="begin" w:fldLock="1"/>
      </w:r>
      <w:r>
        <w:rPr>
          <w:rFonts w:ascii="Arial" w:hAnsi="Arial" w:cs="Arial"/>
          <w:i/>
          <w:iCs/>
          <w:color w:val="44546A" w:themeColor="text2"/>
          <w:sz w:val="18"/>
          <w:szCs w:val="18"/>
          <w:lang w:val="en-GB"/>
        </w:rPr>
        <w:instrText>ADDIN CSL_CITATION {"citationItems":[{"id":"ITEM-1","itemData":{"DOI":"10.1177/0897190009336668","ISSN":"1531-1937","PMID":"21507822","author":[{"dropping-particle":"","family":"Armor","given":"Becky L","non-dropping-particle":"","parse-names":false,"suffix":""},{"dropping-particle":"","family":"Britton","given":"Mark L","non-dropping-particle":"","parse-names":false,"suffix":""},{"dropping-particle":"","family":"Dennis","given":"Vincent C","non-dropping-particle":"","parse-names":false,"suffix":""},{"dropping-particle":"","family":"Letassy","given":"Nancy A","non-dropping-particle":"","parse-names":false,"suffix":""}],"container-title":"Journal of pharmacy practice","id":"ITEM-1","issue":"3","issued":{"date-parts":[["2010","6","28"]]},"page":"250-64","title":"A Review of Pharmacist Contributions to Diabetes Care in the United States","type":"article-journal","volume":"23"},"uris":["http://www.mendeley.com/documents/?uuid=0916d5c9-b2f1-47a4-bc07-8c5f7043846b"]}],"mendeley":{"formattedCitation":"(Armor &lt;i&gt;et al.&lt;/i&gt;, 2010)","manualFormatting":"Armor et al., 2010","plainTextFormattedCitation":"(Armor et al., 2010)","previouslyFormattedCitation":"(Armor &lt;i&gt;et al.&lt;/i&gt;, 2010)"},"properties":{"noteIndex":0},"schema":"https://github.com/citation-style-language/schema/raw/master/csl-citation.json"}</w:instrText>
      </w:r>
      <w:r w:rsidRPr="001056C0">
        <w:rPr>
          <w:rFonts w:ascii="Arial" w:hAnsi="Arial" w:cs="Arial"/>
          <w:i/>
          <w:iCs/>
          <w:color w:val="44546A" w:themeColor="text2"/>
          <w:sz w:val="18"/>
          <w:szCs w:val="18"/>
          <w:lang w:val="en-GB"/>
        </w:rPr>
        <w:fldChar w:fldCharType="separate"/>
      </w:r>
      <w:r w:rsidRPr="001056C0">
        <w:rPr>
          <w:rFonts w:ascii="Arial" w:hAnsi="Arial" w:cs="Arial"/>
          <w:i/>
          <w:iCs/>
          <w:noProof/>
          <w:color w:val="44546A" w:themeColor="text2"/>
          <w:sz w:val="18"/>
          <w:szCs w:val="18"/>
          <w:lang w:val="en-GB"/>
        </w:rPr>
        <w:t>Armor et al., 2010</w:t>
      </w:r>
      <w:r w:rsidRPr="001056C0">
        <w:rPr>
          <w:rFonts w:ascii="Arial" w:hAnsi="Arial" w:cs="Arial"/>
          <w:i/>
          <w:iCs/>
          <w:color w:val="44546A" w:themeColor="text2"/>
          <w:sz w:val="18"/>
          <w:szCs w:val="18"/>
          <w:lang w:val="en-GB"/>
        </w:rPr>
        <w:fldChar w:fldCharType="end"/>
      </w:r>
      <w:r>
        <w:rPr>
          <w:rFonts w:ascii="Arial" w:hAnsi="Arial" w:cs="Arial"/>
          <w:i/>
          <w:iCs/>
          <w:color w:val="44546A" w:themeColor="text2"/>
          <w:sz w:val="18"/>
          <w:szCs w:val="18"/>
          <w:lang w:val="en-GB"/>
        </w:rPr>
        <w:t xml:space="preserve">; </w:t>
      </w:r>
      <w:r w:rsidRPr="001056C0">
        <w:rPr>
          <w:rFonts w:ascii="Arial" w:hAnsi="Arial" w:cs="Arial"/>
          <w:i/>
          <w:iCs/>
          <w:color w:val="44546A" w:themeColor="text2"/>
          <w:sz w:val="18"/>
          <w:szCs w:val="18"/>
          <w:lang w:val="en-GB"/>
        </w:rPr>
        <w:fldChar w:fldCharType="begin" w:fldLock="1"/>
      </w:r>
      <w:r>
        <w:rPr>
          <w:rFonts w:ascii="Arial" w:hAnsi="Arial" w:cs="Arial"/>
          <w:i/>
          <w:iCs/>
          <w:color w:val="44546A" w:themeColor="text2"/>
          <w:sz w:val="18"/>
          <w:szCs w:val="18"/>
          <w:lang w:val="en-GB"/>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sidRPr="001056C0">
        <w:rPr>
          <w:rFonts w:ascii="Arial" w:hAnsi="Arial" w:cs="Arial"/>
          <w:i/>
          <w:iCs/>
          <w:color w:val="44546A" w:themeColor="text2"/>
          <w:sz w:val="18"/>
          <w:szCs w:val="18"/>
          <w:lang w:val="en-GB"/>
        </w:rPr>
        <w:fldChar w:fldCharType="separate"/>
      </w:r>
      <w:r w:rsidRPr="001056C0">
        <w:rPr>
          <w:rFonts w:ascii="Arial" w:hAnsi="Arial" w:cs="Arial"/>
          <w:i/>
          <w:iCs/>
          <w:noProof/>
          <w:color w:val="44546A" w:themeColor="text2"/>
          <w:sz w:val="18"/>
          <w:szCs w:val="18"/>
          <w:lang w:val="en-GB"/>
        </w:rPr>
        <w:t>Al-Taweel et al., 2014</w:t>
      </w:r>
      <w:r w:rsidRPr="001056C0">
        <w:rPr>
          <w:rFonts w:ascii="Arial" w:hAnsi="Arial" w:cs="Arial"/>
          <w:i/>
          <w:iCs/>
          <w:color w:val="44546A" w:themeColor="text2"/>
          <w:sz w:val="18"/>
          <w:szCs w:val="18"/>
          <w:lang w:val="en-GB"/>
        </w:rPr>
        <w:fldChar w:fldCharType="end"/>
      </w:r>
      <w:r>
        <w:rPr>
          <w:rFonts w:ascii="Arial" w:hAnsi="Arial" w:cs="Arial"/>
          <w:i/>
          <w:iCs/>
          <w:color w:val="44546A" w:themeColor="text2"/>
          <w:sz w:val="18"/>
          <w:szCs w:val="18"/>
          <w:lang w:val="en-GB"/>
        </w:rPr>
        <w:t>;</w:t>
      </w:r>
      <w:r w:rsidRPr="001056C0">
        <w:rPr>
          <w:rFonts w:ascii="Arial" w:hAnsi="Arial" w:cs="Arial"/>
          <w:i/>
          <w:iCs/>
          <w:color w:val="44546A" w:themeColor="text2"/>
          <w:sz w:val="18"/>
          <w:szCs w:val="18"/>
          <w:lang w:val="en-GB"/>
        </w:rPr>
        <w:fldChar w:fldCharType="begin" w:fldLock="1"/>
      </w:r>
      <w:r>
        <w:rPr>
          <w:rFonts w:ascii="Arial" w:hAnsi="Arial" w:cs="Arial"/>
          <w:i/>
          <w:iCs/>
          <w:color w:val="44546A" w:themeColor="text2"/>
          <w:sz w:val="18"/>
          <w:szCs w:val="18"/>
          <w:lang w:val="en-GB"/>
        </w:rPr>
        <w:instrText>ADDIN CSL_CITATION {"citationItems":[{"id":"ITEM-1","itemData":{"DOI":"https://dx.doi.org/10.18553/jmcp.2016.22.5.493","ISSN":"2376-1032","PMID":"27123912","abstract":"BACKGROUND: Diabetes mellitus is a major health problem that is growing rapidly worldwide. A collaborative and integrated team approach in which pharmacists can play a pivotal role should be sought when managing patients with diabetes., OBJECTIVE: To identify and summarize the main outcomes of pharmacist interventions in the management of type 2 diabetes., METHODS: PubMed, Cochrane Central Register of Controlled Trials, and Web of Science were searched for randomized controlled trials evaluating the effectiveness of any pharmacist intervention directed at patients with type 2 diabetes in comparison with usual care. Outcome measures of interest included glycosylated hemoglobin (Alc), blood glucose, blood pressure, lipid profile, body mass index (BMI), 10-year coronary heart disease (CHD) risk, medication adherence, health-related quality of life (HRQoL), and economic outcomes. The risk of bias in included studies was assessed using the Cochrane risk of bias tool., RESULTS: Thirty-six studies were included in this systematic review, involving 5,761 participants. The studies evaluated the effects of several pharmacist interventions carried out in various countries and in different health care facilities, such as community pharmacies, primary care clinics, and hospitals. The number of studies reporting each outcome of interest varied. Alc was evaluated in 26 studies, of which 24 reported a greater reduction in this outcome in the intervention group compared with the control group, with the difference in change between groups ranging from -0.18% to -2.1%. Eighteen studies assessed change in systolic blood pressure, of which 17 studies reported a greater improvement in this outcome in the intervention group, with the difference in change between groups varying between -3.3 mmHg and -23.05 mmHg. For diastolic blood pressure, a greater effect was also observed in the intervention group in 14 out of 15 studies, with the difference in change between groups varying between -0.21 mmHg and -9.1 mmHg. Thirteen studies described total cholesterol as an outcome measure, of which 10 reported a greater improvement in this outcome in the intervention group, with the difference in change between groups ranging from +18.95 mg dL(-1) to -32.48 mg dL(-1). With regard to low-density lipoprotein cholesterol, a greater reduction in this parameter in the intervention group was documented in 12 out of 15 studies, with the difference in change between groups varying between +7.35 m…","author":[{"dropping-particle":"","family":"Pousinho","given":"Sarah","non-dropping-particle":"","parse-names":false,"suffix":""},{"dropping-particle":"","family":"Morgado","given":"Manuel","non-dropping-particle":"","parse-names":false,"suffix":""},{"dropping-particle":"","family":"Falcão","given":"Amílcar","non-dropping-particle":"","parse-names":false,"suffix":""},{"dropping-particle":"","family":"Alves","given":"Gilberto","non-dropping-particle":"","parse-names":false,"suffix":""},{"dropping-particle":"","family":"Falcao","given":"Amilcar","non-dropping-particle":"","parse-names":false,"suffix":""},{"dropping-particle":"","family":"Alves","given":"Gilberto","non-dropping-particle":"","parse-names":false,"suffix":""}],"container-title":"Journal of managed care &amp; specialty pharmacy","id":"ITEM-1","issue":"5","issued":{"date-parts":[["2016","5","1"]]},"page":"493-515","publisher":"Academy of Managed Care Pharmacy (AMCP)","publisher-place":"United States","title":"Pharmacist Interventions in the Management of Type 2 Diabetes Mellitus: A Systematic Review of Randomized Controlled Trials.","type":"article-journal","volume":"22"},"uris":["http://www.mendeley.com/documents/?uuid=5ba65295-ecb5-4236-9c6c-4d2012560a2c"]}],"mendeley":{"formattedCitation":"(Pousinho &lt;i&gt;et al.&lt;/i&gt;, 2016)","manualFormatting":" Pousinho et al., 2016","plainTextFormattedCitation":"(Pousinho et al., 2016)","previouslyFormattedCitation":"(Pousinho &lt;i&gt;et al.&lt;/i&gt;, 2016)"},"properties":{"noteIndex":0},"schema":"https://github.com/citation-style-language/schema/raw/master/csl-citation.json"}</w:instrText>
      </w:r>
      <w:r w:rsidRPr="001056C0">
        <w:rPr>
          <w:rFonts w:ascii="Arial" w:hAnsi="Arial" w:cs="Arial"/>
          <w:i/>
          <w:iCs/>
          <w:color w:val="44546A" w:themeColor="text2"/>
          <w:sz w:val="18"/>
          <w:szCs w:val="18"/>
          <w:lang w:val="en-GB"/>
        </w:rPr>
        <w:fldChar w:fldCharType="separate"/>
      </w:r>
      <w:r>
        <w:rPr>
          <w:rFonts w:ascii="Arial" w:hAnsi="Arial" w:cs="Arial"/>
          <w:i/>
          <w:iCs/>
          <w:noProof/>
          <w:color w:val="44546A" w:themeColor="text2"/>
          <w:sz w:val="18"/>
          <w:szCs w:val="18"/>
          <w:lang w:val="en-GB"/>
        </w:rPr>
        <w:t xml:space="preserve"> </w:t>
      </w:r>
      <w:r w:rsidRPr="001056C0">
        <w:rPr>
          <w:rFonts w:ascii="Arial" w:hAnsi="Arial" w:cs="Arial"/>
          <w:i/>
          <w:iCs/>
          <w:noProof/>
          <w:color w:val="44546A" w:themeColor="text2"/>
          <w:sz w:val="18"/>
          <w:szCs w:val="18"/>
          <w:lang w:val="en-GB"/>
        </w:rPr>
        <w:t>Pousinho et al., 2016</w:t>
      </w:r>
      <w:r w:rsidRPr="001056C0">
        <w:rPr>
          <w:rFonts w:ascii="Arial" w:hAnsi="Arial" w:cs="Arial"/>
          <w:i/>
          <w:iCs/>
          <w:color w:val="44546A" w:themeColor="text2"/>
          <w:sz w:val="18"/>
          <w:szCs w:val="18"/>
          <w:lang w:val="en-GB"/>
        </w:rPr>
        <w:fldChar w:fldCharType="end"/>
      </w:r>
      <w:r>
        <w:rPr>
          <w:rFonts w:ascii="Arial" w:hAnsi="Arial" w:cs="Arial"/>
          <w:i/>
          <w:iCs/>
          <w:color w:val="44546A" w:themeColor="text2"/>
          <w:sz w:val="18"/>
          <w:szCs w:val="18"/>
          <w:lang w:val="en-GB"/>
        </w:rPr>
        <w:t xml:space="preserve">; </w:t>
      </w:r>
      <w:r w:rsidRPr="001056C0">
        <w:rPr>
          <w:rFonts w:ascii="Arial" w:hAnsi="Arial" w:cs="Arial"/>
          <w:i/>
          <w:iCs/>
          <w:color w:val="44546A" w:themeColor="text2"/>
          <w:sz w:val="18"/>
          <w:szCs w:val="18"/>
          <w:lang w:val="en-GB"/>
        </w:rPr>
        <w:fldChar w:fldCharType="begin" w:fldLock="1"/>
      </w:r>
      <w:r>
        <w:rPr>
          <w:rFonts w:ascii="Arial" w:hAnsi="Arial" w:cs="Arial"/>
          <w:i/>
          <w:iCs/>
          <w:color w:val="44546A" w:themeColor="text2"/>
          <w:sz w:val="18"/>
          <w:szCs w:val="18"/>
          <w:lang w:val="en-GB"/>
        </w:rPr>
        <w:instrText>ADDIN CSL_CITATION {"citationItems":[{"id":"ITEM-1","itemData":{"DOI":"10.1159/000456088","ISSN":"14230151","abstract":"Objectives: The objectives of this study were to measure pharmacists' attitudes toward management of diabetes, identify current levels of pharmacy service provided to patients with diabetes, and identify barriers for further provision of diabetes-related services. Subjects and Methods: A descriptive, cross-sectional study was conducted on a sample of 198 pharmacists working in primary and secondary health care settings in one health region of Kuwait using a pretested self-administered questionnaire. Descriptive statistics, correlations, and comparative analysis were performed. Results: The response rate was 84.4% (n = 168). Respondents had overall positive attitudes toward management of diabetes. Pharmacists regularly provided their patients with counseling on the appropriate time to administer their medications; however, services related to hypoglycemia and management of comorbid diseases were rarely provided. A negative correlation was found between the positive overall diabetes-related attitudes and pharmacists' involvement in providing the following diabetes-related services: glucose monitoring (r = -0.25, p = 0.001), comorbid disease management (r = -0.243, p = 0.001), and healthy living choices (r = -0.237, p = 0.002). The perception that some physicians and patients have of pharmacists as dispensers only was identified as the most important barrier to providing diabetes-related ser</w:instrText>
      </w:r>
      <w:r w:rsidRPr="000D0E69">
        <w:rPr>
          <w:rFonts w:ascii="Arial" w:hAnsi="Arial" w:cs="Arial"/>
          <w:i/>
          <w:iCs/>
          <w:color w:val="44546A" w:themeColor="text2"/>
          <w:sz w:val="18"/>
          <w:szCs w:val="18"/>
          <w:lang w:val="nl-NL"/>
        </w:rPr>
        <w:instrText>vices. Conclusion: Pharmacists have positive diabetes-related attitudes; however, they provide limited diabetes-related services to their patients. Barriers to provision of pharmacy services to patients with diabetes should be addressed to enable optimum patient care delivery.","author":[{"dropping-particle":"","family":"Haqan","given":"Asmaa A.","non-dropping-particle":"Al","parse-names":false,"suffix":""},{"dropping-particle":"","family":"Al-Taweel","given":"Dalal M.","non-dropping-particle":"","parse-names":false,"suffix":""},{"dropping-particle":"","family":"Awad","given":"Abdelmoneim","non-dropping-particle":"","parse-names":false,"suffix":""},{"dropping-particle":"","family":"Wake","given":"Deborah Jane","non-dropping-particle":"","parse-names":false,"suffix":""}],"container-title":"Medical Principles and Practice","id":"ITEM-1","issue":"3","issued":{"date-parts":[["2017","5","1"]]},"page":"273-279","publisher":"S. Karger AG","title":"Pharmacists' Attitudes and Role in Diabetes Management in Kuwait","type":"article-journal","volume":"26"},"uris":["http://www.mendeley.com/documents/?uuid=6cc31e18-9dc2-3473-bf05-43a9df581f33"]}],"mendeley":{"formattedCitation":"(Al Haqan &lt;i&gt;et al.&lt;/i&gt;, 2017)","manualFormatting":"Al Haqan et al., 2017; ","plainTextFormattedCitation":"(Al Haqan et al., 2017)","previouslyFormattedCitation":"(Al Haqan &lt;i&gt;et al.&lt;/i&gt;, 2017)"},"properties":{"noteIndex":0},"schema":"https://github.com/citation-style-language/schema/raw/master/csl-citation.json"}</w:instrText>
      </w:r>
      <w:r w:rsidRPr="001056C0">
        <w:rPr>
          <w:rFonts w:ascii="Arial" w:hAnsi="Arial" w:cs="Arial"/>
          <w:i/>
          <w:iCs/>
          <w:color w:val="44546A" w:themeColor="text2"/>
          <w:sz w:val="18"/>
          <w:szCs w:val="18"/>
          <w:lang w:val="en-GB"/>
        </w:rPr>
        <w:fldChar w:fldCharType="separate"/>
      </w:r>
      <w:r w:rsidRPr="000D0E69">
        <w:rPr>
          <w:rFonts w:ascii="Arial" w:hAnsi="Arial" w:cs="Arial"/>
          <w:i/>
          <w:iCs/>
          <w:noProof/>
          <w:color w:val="44546A" w:themeColor="text2"/>
          <w:sz w:val="18"/>
          <w:szCs w:val="18"/>
          <w:lang w:val="nl-NL"/>
        </w:rPr>
        <w:t xml:space="preserve">Al Haqan et al., 2017; </w:t>
      </w:r>
      <w:r w:rsidRPr="001056C0">
        <w:rPr>
          <w:rFonts w:ascii="Arial" w:hAnsi="Arial" w:cs="Arial"/>
          <w:i/>
          <w:iCs/>
          <w:color w:val="44546A" w:themeColor="text2"/>
          <w:sz w:val="18"/>
          <w:szCs w:val="18"/>
          <w:lang w:val="en-GB"/>
        </w:rPr>
        <w:fldChar w:fldCharType="end"/>
      </w:r>
      <w:r w:rsidRPr="000D0E69">
        <w:rPr>
          <w:rFonts w:ascii="Arial" w:hAnsi="Arial" w:cs="Arial"/>
          <w:i/>
          <w:iCs/>
          <w:color w:val="44546A" w:themeColor="text2"/>
          <w:sz w:val="18"/>
          <w:szCs w:val="18"/>
          <w:lang w:val="nl-NL"/>
        </w:rPr>
        <w:t xml:space="preserve"> </w:t>
      </w:r>
      <w:r w:rsidRPr="001056C0">
        <w:rPr>
          <w:rFonts w:ascii="Arial" w:hAnsi="Arial" w:cs="Arial"/>
          <w:i/>
          <w:iCs/>
          <w:color w:val="44546A" w:themeColor="text2"/>
          <w:sz w:val="18"/>
          <w:szCs w:val="18"/>
          <w:lang w:val="en-GB"/>
        </w:rPr>
        <w:fldChar w:fldCharType="begin" w:fldLock="1"/>
      </w:r>
      <w:r w:rsidRPr="000D0E69">
        <w:rPr>
          <w:rFonts w:ascii="Arial" w:hAnsi="Arial" w:cs="Arial"/>
          <w:i/>
          <w:iCs/>
          <w:color w:val="44546A" w:themeColor="text2"/>
          <w:sz w:val="18"/>
          <w:szCs w:val="18"/>
          <w:lang w:val="nl-NL"/>
        </w:rPr>
        <w:instrText>ADDIN CSL_CITATION {"citationItems":[{"id":"ITEM-1","itemData":{"DOI":"10.1016/j.jcjd.2017.08.240","ISSN":"23523840","author":[{"dropping-particle":"","family":"Gagnon","given":"Antony","non-dropping-particle":"","parse-names":false,"suffix":""},{"dropping-particle":"","family":"Jin","given":"Margaret","non-dropping-particle":"","parse-names":false,"suffix":""},{"dropping-particle":"","family":"Malak","given":"Mark","non-dropping-particle":"","parse-names":false,"suffix":""},{"dropping-particle":"","family":"Bednarowski","given":"Katalin","non-dropping-particle":"","parse-names":false,"suf</w:instrText>
      </w:r>
      <w:r w:rsidRPr="0027677E">
        <w:rPr>
          <w:rFonts w:ascii="Arial" w:hAnsi="Arial" w:cs="Arial"/>
          <w:i/>
          <w:iCs/>
          <w:color w:val="44546A" w:themeColor="text2"/>
          <w:sz w:val="18"/>
          <w:szCs w:val="18"/>
          <w:lang w:val="nl-NL"/>
        </w:rPr>
        <w:instrText>fix":""},{"dropping-particle":"","family":"Feng","given":"Lucy","non-dropping-particle":"","parse-names":false,"suffix":""},{"dropping-particle":"","family":"Francis-Pringle","given":"Sophia","non-dropping-particle":"","parse-names":false,"suffix":""},{"dropping-particle":"","family":"Lu","given":"Sandy","non-dropping-particle":"","parse-names":false,"suffix":""},{"dropping-particle":"","family":"Mallin","given":"Anne","non-dropping-particle":"","parse-names":false,"suffix":""},{"dropping-particle":"","family":"Skokovic-Sunjic","given":"Dragana","non-dropping-particle":"","parse-names":false,"suffix":""},{"dropping-particle":"","family":"Vedelago","given":"Annette","non-dropping-particle":"","parse-names":false,"suffix":""}],"container-title":"Canadian Journal of Diabetes","id":"ITEM-1","issue":"6","issued":{"date-parts":[["2017"]]},"page":"576-579","publisher":"Elsevier Inc.","title":"Pharmacists Managing People with Diabetes in Primary Care: 10 Years of Experience at the Hamilton Family Health Team","type":"article-journal","volume":"41"},"uris":["http://www.mendeley.com/documents/?uuid=9e28f21f-6300-478b-afe2-6ef620de5cce"]}],"mendeley":{"formattedCitation":"(Gagnon &lt;i&gt;et al.&lt;/i&gt;, 2017)","manualFormatting":"Gagnon et al., 2017)","plainTextFormattedCitation":"(Gagnon et al., 2017)","previouslyFormattedCitation":"(Gagnon &lt;i&gt;et al.&lt;/i&gt;, 2017)"},"properties":{"noteIndex":0},"schema":"https://github.com/citation-style-language/schema/raw/master/csl-citation.json"}</w:instrText>
      </w:r>
      <w:r w:rsidRPr="001056C0">
        <w:rPr>
          <w:rFonts w:ascii="Arial" w:hAnsi="Arial" w:cs="Arial"/>
          <w:i/>
          <w:iCs/>
          <w:color w:val="44546A" w:themeColor="text2"/>
          <w:sz w:val="18"/>
          <w:szCs w:val="18"/>
          <w:lang w:val="en-GB"/>
        </w:rPr>
        <w:fldChar w:fldCharType="separate"/>
      </w:r>
      <w:r w:rsidRPr="0027677E">
        <w:rPr>
          <w:rFonts w:ascii="Arial" w:hAnsi="Arial" w:cs="Arial"/>
          <w:iCs/>
          <w:noProof/>
          <w:color w:val="44546A" w:themeColor="text2"/>
          <w:sz w:val="18"/>
          <w:szCs w:val="18"/>
          <w:lang w:val="nl-NL"/>
        </w:rPr>
        <w:t xml:space="preserve">Gagnon </w:t>
      </w:r>
      <w:r w:rsidRPr="0027677E">
        <w:rPr>
          <w:rFonts w:ascii="Arial" w:hAnsi="Arial" w:cs="Arial"/>
          <w:i/>
          <w:iCs/>
          <w:noProof/>
          <w:color w:val="44546A" w:themeColor="text2"/>
          <w:sz w:val="18"/>
          <w:szCs w:val="18"/>
          <w:lang w:val="nl-NL"/>
        </w:rPr>
        <w:t>et al.</w:t>
      </w:r>
      <w:r w:rsidRPr="0027677E">
        <w:rPr>
          <w:rFonts w:ascii="Arial" w:hAnsi="Arial" w:cs="Arial"/>
          <w:iCs/>
          <w:noProof/>
          <w:color w:val="44546A" w:themeColor="text2"/>
          <w:sz w:val="18"/>
          <w:szCs w:val="18"/>
          <w:lang w:val="nl-NL"/>
        </w:rPr>
        <w:t>, 2017)</w:t>
      </w:r>
      <w:r w:rsidRPr="001056C0">
        <w:rPr>
          <w:rFonts w:ascii="Arial" w:hAnsi="Arial" w:cs="Arial"/>
          <w:i/>
          <w:iCs/>
          <w:color w:val="44546A" w:themeColor="text2"/>
          <w:sz w:val="18"/>
          <w:szCs w:val="18"/>
          <w:lang w:val="en-GB"/>
        </w:rPr>
        <w:fldChar w:fldCharType="end"/>
      </w:r>
      <w:r w:rsidRPr="00331724">
        <w:rPr>
          <w:rFonts w:ascii="Arial" w:hAnsi="Arial" w:cs="Arial"/>
          <w:i/>
          <w:iCs/>
          <w:color w:val="44546A" w:themeColor="text2"/>
          <w:sz w:val="18"/>
          <w:szCs w:val="18"/>
          <w:lang w:val="nl-NL"/>
        </w:rPr>
        <w:t>,</w:t>
      </w:r>
      <w:r w:rsidRPr="0027677E">
        <w:rPr>
          <w:rFonts w:ascii="Arial" w:hAnsi="Arial" w:cs="Arial"/>
          <w:i/>
          <w:iCs/>
          <w:color w:val="44546A" w:themeColor="text2"/>
          <w:sz w:val="18"/>
          <w:szCs w:val="18"/>
          <w:lang w:val="nl-NL"/>
        </w:rPr>
        <w:t xml:space="preserve"> </w:t>
      </w:r>
      <w:r w:rsidRPr="00EF5B8C">
        <w:rPr>
          <w:rFonts w:ascii="Arial" w:hAnsi="Arial" w:cs="Arial"/>
          <w:iCs/>
          <w:noProof/>
          <w:color w:val="44546A" w:themeColor="text2"/>
          <w:sz w:val="18"/>
          <w:szCs w:val="18"/>
          <w:lang w:val="nl-NL"/>
        </w:rPr>
        <w:fldChar w:fldCharType="begin" w:fldLock="1"/>
      </w:r>
      <w:r w:rsidRPr="00EF5B8C">
        <w:rPr>
          <w:rFonts w:ascii="Arial" w:hAnsi="Arial" w:cs="Arial"/>
          <w:iCs/>
          <w:noProof/>
          <w:color w:val="44546A" w:themeColor="text2"/>
          <w:sz w:val="18"/>
          <w:szCs w:val="18"/>
          <w:lang w:val="nl-NL"/>
        </w:rPr>
        <w:instrText>ADDIN CSL_CITATION {"citationItems":[{"id":"ITEM-1","itemData":{"DOI":"10.2147/iprp.s103783","ISSN":"2230-5254","abstract":"Type 2 diabetes is a chronic disease occurring in ever increasing numbers worldwide. It contributes significantly to the cost of health globally; however, its management remains in the most part less than optimal. Patients must be empowered to self-manage their disease, and they do this in partnership with health care professionals. Whilst the traditional role of the pharmacist has been centered around the supply of medicines and patient counseling, there is an evergrowing body of evidence that pharmacists, through a range of extended services, may contribute positively to the clinical and humanistic outcomes of those with diabetes. Further, these services can be delivered cost-effectively. This paper provides a review of the current evidence supporting the role of pharmacists in diabetes care, whilst providing a commentary of the future roles of pharmacists in this area.","author":[{"dropping-particle":"","family":"Hughes","given":"Jeffery","non-dropping-particle":"","parse-names":false,"suffix":""},{"dropping-particle":"","family":"Wibowo","given":"Yosi","non-dropping-particle":"","parse-names":false,"suffix":""},{"dropping-particle":"","family":"Sunderland","given":"Bruce","non-dropping-particle":"","parse-names":false,"suffix":""},{"dropping-particle":"","family":"Hoti","given":"Kreshnik","non-dropping-particle":"","parse-names":false,"suffix":""}],"container-title":"Integrated Pharmacy Research and Practice","id":"ITEM-1","issued":{"date-parts":[["2017"]]},"page":"15-27","title":"The role of the pharmacist in the management of type 2 diabetes: current insights and future directions","type":"article-journal","volume":"Volume 6"},"uris":["http://www.mendeley.com/documents/?uuid=a2c3ea65-5db9-428b-8c01-78eeb7569be3"]}],"mendeley":{"formattedCitation":"(Hughes &lt;i&gt;et al.&lt;/i&gt;, 2017)","plainTextFormattedCitation":"(Hughes et al., 2017)","previouslyFormattedCitation":"(Hughes &lt;i&gt;et al.&lt;/i&gt;, 2017)"},"properties":{"noteIndex":0},"schema":"https://github.com/citation-style-language/schema/raw/master/csl-citation.json"}</w:instrText>
      </w:r>
      <w:r w:rsidRPr="00EF5B8C">
        <w:rPr>
          <w:rFonts w:ascii="Arial" w:hAnsi="Arial" w:cs="Arial"/>
          <w:iCs/>
          <w:noProof/>
          <w:color w:val="44546A" w:themeColor="text2"/>
          <w:sz w:val="18"/>
          <w:szCs w:val="18"/>
          <w:lang w:val="nl-NL"/>
        </w:rPr>
        <w:fldChar w:fldCharType="separate"/>
      </w:r>
      <w:r w:rsidRPr="0027677E">
        <w:rPr>
          <w:rFonts w:ascii="Arial" w:hAnsi="Arial" w:cs="Arial"/>
          <w:iCs/>
          <w:noProof/>
          <w:color w:val="44546A" w:themeColor="text2"/>
          <w:sz w:val="18"/>
          <w:szCs w:val="18"/>
          <w:lang w:val="nl-NL"/>
        </w:rPr>
        <w:t xml:space="preserve">(Hughes </w:t>
      </w:r>
      <w:r w:rsidRPr="00EF5B8C">
        <w:rPr>
          <w:rFonts w:ascii="Arial" w:hAnsi="Arial" w:cs="Arial"/>
          <w:iCs/>
          <w:noProof/>
          <w:color w:val="44546A" w:themeColor="text2"/>
          <w:sz w:val="18"/>
          <w:szCs w:val="18"/>
          <w:lang w:val="nl-NL"/>
        </w:rPr>
        <w:t>et al.</w:t>
      </w:r>
      <w:r w:rsidRPr="0027677E">
        <w:rPr>
          <w:rFonts w:ascii="Arial" w:hAnsi="Arial" w:cs="Arial"/>
          <w:iCs/>
          <w:noProof/>
          <w:color w:val="44546A" w:themeColor="text2"/>
          <w:sz w:val="18"/>
          <w:szCs w:val="18"/>
          <w:lang w:val="nl-NL"/>
        </w:rPr>
        <w:t>, 2017)</w:t>
      </w:r>
      <w:r w:rsidRPr="00EF5B8C">
        <w:rPr>
          <w:rFonts w:ascii="Arial" w:hAnsi="Arial" w:cs="Arial"/>
          <w:iCs/>
          <w:noProof/>
          <w:color w:val="44546A" w:themeColor="text2"/>
          <w:sz w:val="18"/>
          <w:szCs w:val="18"/>
          <w:lang w:val="nl-NL"/>
        </w:rPr>
        <w:fldChar w:fldCharType="end"/>
      </w:r>
      <w:r w:rsidRPr="00EF5B8C">
        <w:rPr>
          <w:rFonts w:ascii="Arial" w:hAnsi="Arial" w:cs="Arial"/>
          <w:iCs/>
          <w:noProof/>
          <w:color w:val="44546A" w:themeColor="text2"/>
          <w:sz w:val="18"/>
          <w:szCs w:val="18"/>
          <w:lang w:val="nl-NL"/>
        </w:rPr>
        <w:t xml:space="preserve">, </w:t>
      </w:r>
      <w:r w:rsidRPr="002F505A">
        <w:rPr>
          <w:rFonts w:ascii="Arial" w:hAnsi="Arial" w:cs="Arial"/>
          <w:i/>
          <w:iCs/>
          <w:noProof/>
          <w:color w:val="44546A" w:themeColor="text2"/>
          <w:sz w:val="18"/>
          <w:szCs w:val="18"/>
          <w:lang w:val="nl-NL"/>
        </w:rPr>
        <w:fldChar w:fldCharType="begin" w:fldLock="1"/>
      </w:r>
      <w:r w:rsidRPr="002F505A">
        <w:rPr>
          <w:rFonts w:ascii="Arial" w:hAnsi="Arial" w:cs="Arial"/>
          <w:i/>
          <w:iCs/>
          <w:noProof/>
          <w:color w:val="44546A" w:themeColor="text2"/>
          <w:sz w:val="18"/>
          <w:szCs w:val="18"/>
          <w:lang w:val="nl-NL"/>
        </w:rPr>
        <w:instrText>ADDIN CSL_CITATION {"citationItems":[{"id":"ITEM-1","itemData":{"DOI":"10.1016/j.sapharm.2017.10.011","ISSN":"15517411","PMID":"29100941","abstract":"Background: Utilization of telemedicine allows pharmacists to extend the reach of clinical interventions, connecting them with patients and providers, but the overall impact of these services is under-studied. Objective: Identify the impact of clinical pharmacist telemedicine interventions on clinical outcomes, subsequently defined as clinical disease management, patient self-management, and adherence, in outpatient or ambulatory settings. Methods: A literature search was conducted from database inception through May 2016 in Medline, SCOPUS, and EMBASE. Broad terms “telemedicine” “telehealth” and “telephone” were used in combination with “pharmacist” or “pharmacy” and “telepharmacy”. The search and extraction process followed PRISMA guidelines. Results were screened for pharmacist interventions and reviewed to identify studies in outpatient our ambulatory settings. Studies of non-clinical outcomes (i.e. dispensing or product preparation) and with no comparator were excluded. The final studies were categorized by types of outcomes reported: clinical disease management, patient self-management, and adherence. Results: Only 34 studies measured clinical outcomes against a comparator, consistent with the research question. The majority utilized scheduled models of care (n = 29). Telephone was the most common communication method (n = 25). The most utilized interventions were pharmacist-led telephonic clinics (n = 10). Most studies focused on chronic disease management in adults including hypertension, diabetes, anticoagulation, depression, hyperlipidemia, asthma, heart failure, HIV, PTSD, CKD, stroke, COPD and smoking cessation. Twenty-three studies had a positive impact with one reporting negative results. Higher positive impact rate was observed for scheduled (72.4%, 21/29) and continuous (100%, 2/2) models compared to responsive/reactive (25%, 1/4). Conclusions: Clinical pharmacy telemedicine interventions in the outpatient or ambulatory setting, primarily via phone, have an overall positive impact on outcomes related to clinical disease management, patient self-management, and adherence in the management of chronic diseases. Commonalities among studies with positive impact included utilization of continuous or scheduled models via telephone, with frequent monitoring and interventions. Studies identified did not evaluate benefits of video capability over telephone or cost-effectiveness, both of which are useful directions for future study.","author":[{"dropping-particle":"","family":"Niznik","given":"Joshua D.","non-dropping-particle":"","parse-names":false,"suffix":""},{"dropping-particle":"","family":"He","given":"Harvey","non-dropping-particle":"","parse-names":false,"suffix":""},{"dropping-particle":"","family":"Kane-Gill","given":"Sandra L.","non-dropping-particle":"","parse-names":false,"suffix":""}],"container-title":"Research in Social and Administrative Pharmacy","id":"ITEM-1","issue":"8","issued":{"date-parts":[["2018"]]},"page":"707-717","publisher":"Elsevier","title":"Impact of clinical pharmacist services delivered via telemedicine in the outpatient or ambulatory care setting: A systematic review","type":"article-journal","volume":"14"},"uris":["http://www.mendeley.com/documents/?uuid=1c591e75-6a1d-44e8-8bc3-de4541557836"]}],"mendeley":{"formattedCitation":"(Niznik, He and Kane-Gill, 2018)","plainTextFormattedCitation":"(Niznik, He and Kane-Gill, 2018)","previouslyFormattedCitation":"(Niznik, He and Kane-Gill, 2018)"},"properties":{"noteIndex":0},"schema":"https://github.com/citation-style-language/schema/raw/master/csl-citation.json"}</w:instrText>
      </w:r>
      <w:r w:rsidRPr="002F505A">
        <w:rPr>
          <w:rFonts w:ascii="Arial" w:hAnsi="Arial" w:cs="Arial"/>
          <w:i/>
          <w:iCs/>
          <w:noProof/>
          <w:color w:val="44546A" w:themeColor="text2"/>
          <w:sz w:val="18"/>
          <w:szCs w:val="18"/>
          <w:lang w:val="nl-NL"/>
        </w:rPr>
        <w:fldChar w:fldCharType="separate"/>
      </w:r>
      <w:r w:rsidRPr="002F505A">
        <w:rPr>
          <w:rFonts w:ascii="Arial" w:hAnsi="Arial" w:cs="Arial"/>
          <w:i/>
          <w:iCs/>
          <w:noProof/>
          <w:color w:val="44546A" w:themeColor="text2"/>
          <w:sz w:val="18"/>
          <w:szCs w:val="18"/>
          <w:lang w:val="nl-NL"/>
        </w:rPr>
        <w:t>(Niznik, He and Kane-Gill, 2018)</w:t>
      </w:r>
      <w:r w:rsidRPr="002F505A">
        <w:rPr>
          <w:rFonts w:ascii="Arial" w:hAnsi="Arial" w:cs="Arial"/>
          <w:i/>
          <w:iCs/>
          <w:noProof/>
          <w:color w:val="44546A" w:themeColor="text2"/>
          <w:sz w:val="18"/>
          <w:szCs w:val="18"/>
          <w:lang w:val="nl-NL"/>
        </w:rPr>
        <w:fldChar w:fldCharType="end"/>
      </w:r>
      <w:r w:rsidRPr="002F505A">
        <w:rPr>
          <w:rFonts w:ascii="Arial" w:hAnsi="Arial" w:cs="Arial"/>
          <w:i/>
          <w:iCs/>
          <w:noProof/>
          <w:color w:val="44546A" w:themeColor="text2"/>
          <w:sz w:val="18"/>
          <w:szCs w:val="18"/>
          <w:lang w:val="nl-NL"/>
        </w:rPr>
        <w:t>, (Boivin</w:t>
      </w:r>
      <w:r w:rsidRPr="00EF5B8C">
        <w:rPr>
          <w:rFonts w:ascii="Arial" w:hAnsi="Arial" w:cs="Arial"/>
          <w:i/>
          <w:iCs/>
          <w:noProof/>
          <w:color w:val="44546A" w:themeColor="text2"/>
          <w:sz w:val="18"/>
          <w:szCs w:val="18"/>
          <w:lang w:val="nl-NL"/>
        </w:rPr>
        <w:t xml:space="preserve">, 2019), </w:t>
      </w:r>
      <w:r w:rsidRPr="00EF5B8C">
        <w:rPr>
          <w:rFonts w:ascii="Arial" w:hAnsi="Arial" w:cs="Arial"/>
          <w:i/>
          <w:iCs/>
          <w:noProof/>
          <w:color w:val="44546A" w:themeColor="text2"/>
          <w:sz w:val="18"/>
          <w:szCs w:val="18"/>
          <w:lang w:val="nl-NL"/>
        </w:rPr>
        <w:fldChar w:fldCharType="begin" w:fldLock="1"/>
      </w:r>
      <w:r w:rsidRPr="00EF5B8C">
        <w:rPr>
          <w:rFonts w:ascii="Arial" w:hAnsi="Arial" w:cs="Arial"/>
          <w:i/>
          <w:iCs/>
          <w:noProof/>
          <w:color w:val="44546A" w:themeColor="text2"/>
          <w:sz w:val="18"/>
          <w:szCs w:val="18"/>
          <w:lang w:val="nl-NL"/>
        </w:rPr>
        <w:instrText>ADDIN CSL_CITATION {"citationItems":[{"id":"ITEM-1","itemData":{"DOI":"10.1016/j.pcd.2019.12.007","ISSN":"18780210","PMID":"31926868","abstract":"Objective: To systematically review published systematic reviews (SRs) examining the impact of pharmacist interventions in multidisciplinary diabetes care teams on diabetes-related clinical, humanistic, and economic outcomes in primary care settings. Methods: PubMed, EMBASE, Scopus, Database of Abstracts of Reviews of Effects, Cochrane Library, Joanna Briggs Institute (JBI) Database, Google Scholar, and PROSPERO were searched from inception to 2018. Studies published in English evaluating the effect of pharmacist interventions on diabetes outcomes were included. Two independent reviewers were involved in screening of titles and abstracts, selection of studies, and methodological quality assessment. Results: Seven SRs were included in the study. Three of them included only randomized controlled trials, while the rest involved other study designs. Educational interventions by clinical pharmacists within the healthcare team were the most common types of interventions reported across all SRs. Pharmacist's interventions compared to usual care resulted in favorable significant improvements in hemoglobin A1c (HbA1c), fasting blood glucose, blood pressure, body mass index, total cholesterol, low density lipoprotein, high density lipoprotein and triglycerides in more than 50% of the SRs. Improvement in HbA1c was the mostly reported clinical outcome of pharmacist intervention in the literature (reported in six SRs). Pharmacist's interventions led to significant cost-saving ($8–$85,000 per person per year), cost-utility, and cost-benefit (benefit-to-cost ratio range from 1:1 to 8.5:1) versus usual care. Pharmacist's interventions improved patients’ quality of life (QoL) in three SRs; however, no conclusion can be drawn due to the use of diverse QoL assessment tools. Conclusions: Most SRs support the benefit of pharmacist care on diabetes-related clinical, humanistic, and economic outcomes in primary care settings. Improvements in diabetes outcomes can significantly reduce the burden of diabetes on healthcare system. Hence, the incorporation of pharmacists into multidisciplinary diabetes care teams is beneficial and should be strongly considered by clinicians and health policymakers.","author":[{"dropping-particle":"","family":"Abdulrhim","given":"Sara","non-dropping-particle":"","parse-names":false,"suffix":""},{"dropping-particle":"","family":"Sankaralingam","given":"Sowndramalingam","non-dropping-particle":"","parse-names":false,"suffix":""},{"dropping-particle":"","family":"Ibrahim","given":"Mohamed Izham Mohamed","non-dropping-particle":"","parse-names":false,"suffix":""},{"dropping-particle":"","family":"Awaisu","given":"Ahmed","non-dropping-particle":"","parse-names":false,"suffix":""}],"container-title":"Primary Care Diabetes","id":"ITEM-1","issue":"5","issued":{"date-parts":[["2020"]]},"page":"393-400","publisher":"Primary Care Diabetes Europe","title":"The impact of pharmacist care on diabetes outcomes in primary care settings: An umbrella review of published systematic reviews","type":"article-journal","volume":"14"},"uris":["http://www.mendeley.com/documents/?uuid=a7eb446a-de47-457d-997b-74af713305a0"]}],"mendeley":{"formattedCitation":"(Abdulrhim &lt;i&gt;et al.&lt;/i&gt;, 2020)","plainTextFormattedCitation":"(Abdulrhim et al., 2020)","previouslyFormattedCitation":"(Abdulrhim &lt;i&gt;et al.&lt;/i&gt;, 2020)"},"properties":{"noteIndex":0},"schema":"https://github.com/citation-style-language/schema/raw/master/csl-citation.json"}</w:instrText>
      </w:r>
      <w:r w:rsidRPr="00EF5B8C">
        <w:rPr>
          <w:rFonts w:ascii="Arial" w:hAnsi="Arial" w:cs="Arial"/>
          <w:i/>
          <w:iCs/>
          <w:noProof/>
          <w:color w:val="44546A" w:themeColor="text2"/>
          <w:sz w:val="18"/>
          <w:szCs w:val="18"/>
          <w:lang w:val="nl-NL"/>
        </w:rPr>
        <w:fldChar w:fldCharType="separate"/>
      </w:r>
      <w:r w:rsidRPr="00EF5B8C">
        <w:rPr>
          <w:rFonts w:ascii="Arial" w:hAnsi="Arial" w:cs="Arial"/>
          <w:i/>
          <w:iCs/>
          <w:noProof/>
          <w:color w:val="44546A" w:themeColor="text2"/>
          <w:sz w:val="18"/>
          <w:szCs w:val="18"/>
          <w:lang w:val="nl-NL"/>
        </w:rPr>
        <w:t>(Abdulrhim et al., 2020)</w:t>
      </w:r>
      <w:r w:rsidRPr="00EF5B8C">
        <w:rPr>
          <w:rFonts w:ascii="Arial" w:hAnsi="Arial" w:cs="Arial"/>
          <w:i/>
          <w:iCs/>
          <w:noProof/>
          <w:color w:val="44546A" w:themeColor="text2"/>
          <w:sz w:val="18"/>
          <w:szCs w:val="18"/>
          <w:lang w:val="nl-NL"/>
        </w:rPr>
        <w:fldChar w:fldCharType="end"/>
      </w:r>
      <w:r w:rsidRPr="00EF5B8C">
        <w:rPr>
          <w:rFonts w:ascii="Arial" w:hAnsi="Arial" w:cs="Arial"/>
          <w:i/>
          <w:iCs/>
          <w:noProof/>
          <w:color w:val="44546A" w:themeColor="text2"/>
          <w:sz w:val="18"/>
          <w:szCs w:val="18"/>
          <w:lang w:val="nl-NL"/>
        </w:rPr>
        <w:t xml:space="preserve">, </w:t>
      </w:r>
      <w:r w:rsidRPr="00EF5B8C">
        <w:rPr>
          <w:rFonts w:ascii="Arial" w:hAnsi="Arial" w:cs="Arial"/>
          <w:i/>
          <w:iCs/>
          <w:noProof/>
          <w:color w:val="44546A" w:themeColor="text2"/>
          <w:sz w:val="18"/>
          <w:szCs w:val="18"/>
          <w:lang w:val="nl-NL"/>
        </w:rPr>
        <w:fldChar w:fldCharType="begin" w:fldLock="1"/>
      </w:r>
      <w:r w:rsidRPr="00EF5B8C">
        <w:rPr>
          <w:rFonts w:ascii="Arial" w:hAnsi="Arial" w:cs="Arial"/>
          <w:i/>
          <w:iCs/>
          <w:noProof/>
          <w:color w:val="44546A" w:themeColor="text2"/>
          <w:sz w:val="18"/>
          <w:szCs w:val="18"/>
          <w:lang w:val="nl-NL"/>
        </w:rPr>
        <w:instrText>ADDIN CSL_CITATION {"citationItems":[{"id":"ITEM-1","itemData":{"DOI":"10.3399/bjgp20X708197","ISSN":"14785242","PMID":"32041767","abstract":"Background Many UK GP practices now employ a practice pharmacist, but little is known about how GPs and pharmacists work together to optimise medications for complex patients with multimorbidity. Aim To explore GP and pharmacist perspectives on collaborative working within the context of optimising medications for patients with multimorbidity. Design and setting A qualitative analysis of semi-structured interviews with GPs and pharmacists working in the West of England, Northern England, and Scotland. Method Thirteen GPs and 10 pharmacists were sampled from practices enrolled in the 3D trial (a complex intervention for people with multimorbidity). Participants' views on collaborative working were explored with interviews that were audiorecorded, transcribed, and analysed thematically. Saturation of data was achieved with no new insights arising from later interviews. Results GPs from surgeries that employed a pharmacist tended to value their expertise more than GPs who had not worked with one. Three key themes were identified: resources and competing priorities; responsibility; and professional boundaries. GPs valued pharmacist recommendations that were perceived to improve patient safety, as opposed to those that were technical and unlikely to benefit the patient. Pharmacists who were not known to GPs felt undervalued and wanted feedback from the GPs about their recommendations, particularly those that were not actioned. Conclusion A good working relationship between the GP and pharmacist, where each profession understood the other's skills and expertise, was key. The importance of face-to-face meetings and feedback should be considered in future studies of interdisciplinary interventions, and by GP practices that employ pharmacists and other allied health professionals.","author":[{"dropping-particle":"","family":"Duncan","given":"Polly","non-dropping-particle":"","parse-names":false,"suffix":""},{"dropping-particle":"","family":"Ridd","given":"Matthew J.","non-dropping-particle":"","parse-names":false,"suffix":""},{"dropping-particle":"","family":"McCahon","given":"Deborah","non-dropping-particle":"","parse-names":false,"suffix":""},{"dropping-particle":"","family":"Cabral","given":"Christie","non-dropping-particle":"","parse-names":false,"suffix":""},{"dropping-particle":"","family":"Guthrie","given":"Bruce","non-dropping-particle":"","parse-names":false,"suffix":""}],"container-title":"British Journal of General Practice","id":"ITEM-1","issue":"692","issued":{"date-parts":[["2020"]]},"page":"E155-E163","title":"Barriers and enablers to collaborative working between GPs and pharmacists: A qualitative interview study","type":"article-journal","volume":"70"},"uris":["http://www.mendeley.com/documents/?uuid=95f5fbf7-a577-4beb-8988-b65ce95d2ac9"]}],"mendeley":{"formattedCitation":"(Duncan &lt;i&gt;et al.&lt;/i&gt;, 2020)","plainTextFormattedCitation":"(Duncan et al., 2020)","previouslyFormattedCitation":"(Duncan &lt;i&gt;et al.&lt;/i&gt;, 2020)"},"properties":{"noteIndex":0},"schema":"https://github.com/citation-style-language/schema/raw/master/csl-citation.json"}</w:instrText>
      </w:r>
      <w:r w:rsidRPr="00EF5B8C">
        <w:rPr>
          <w:rFonts w:ascii="Arial" w:hAnsi="Arial" w:cs="Arial"/>
          <w:i/>
          <w:iCs/>
          <w:noProof/>
          <w:color w:val="44546A" w:themeColor="text2"/>
          <w:sz w:val="18"/>
          <w:szCs w:val="18"/>
          <w:lang w:val="nl-NL"/>
        </w:rPr>
        <w:fldChar w:fldCharType="separate"/>
      </w:r>
      <w:r w:rsidRPr="00EF5B8C">
        <w:rPr>
          <w:rFonts w:ascii="Arial" w:hAnsi="Arial" w:cs="Arial"/>
          <w:i/>
          <w:iCs/>
          <w:noProof/>
          <w:color w:val="44546A" w:themeColor="text2"/>
          <w:sz w:val="18"/>
          <w:szCs w:val="18"/>
          <w:lang w:val="nl-NL"/>
        </w:rPr>
        <w:t>(Duncan et al., 2020)</w:t>
      </w:r>
      <w:r w:rsidRPr="00EF5B8C">
        <w:rPr>
          <w:rFonts w:ascii="Arial" w:hAnsi="Arial" w:cs="Arial"/>
          <w:i/>
          <w:iCs/>
          <w:noProof/>
          <w:color w:val="44546A" w:themeColor="text2"/>
          <w:sz w:val="18"/>
          <w:szCs w:val="18"/>
          <w:lang w:val="nl-NL"/>
        </w:rPr>
        <w:fldChar w:fldCharType="end"/>
      </w:r>
      <w:r w:rsidRPr="00EF5B8C">
        <w:rPr>
          <w:rFonts w:ascii="Arial" w:hAnsi="Arial" w:cs="Arial"/>
          <w:i/>
          <w:iCs/>
          <w:noProof/>
          <w:color w:val="44546A" w:themeColor="text2"/>
          <w:sz w:val="18"/>
          <w:szCs w:val="18"/>
          <w:lang w:val="nl-NL"/>
        </w:rPr>
        <w:t xml:space="preserve">, </w:t>
      </w:r>
      <w:r w:rsidRPr="00EF5B8C">
        <w:rPr>
          <w:rFonts w:ascii="Arial" w:hAnsi="Arial" w:cs="Arial"/>
          <w:i/>
          <w:iCs/>
          <w:noProof/>
          <w:color w:val="44546A" w:themeColor="text2"/>
          <w:sz w:val="18"/>
          <w:szCs w:val="18"/>
          <w:lang w:val="nl-NL"/>
        </w:rPr>
        <w:fldChar w:fldCharType="begin" w:fldLock="1"/>
      </w:r>
      <w:r w:rsidRPr="00EF5B8C">
        <w:rPr>
          <w:rFonts w:ascii="Arial" w:hAnsi="Arial" w:cs="Arial"/>
          <w:i/>
          <w:iCs/>
          <w:noProof/>
          <w:color w:val="44546A" w:themeColor="text2"/>
          <w:sz w:val="18"/>
          <w:szCs w:val="18"/>
          <w:lang w:val="nl-NL"/>
        </w:rPr>
        <w:instrText>ADDIN CSL_CITATION {"citationItems":[{"id":"ITEM-1","itemData":{"DOI":"10.1097/ceh.0000000000000466","ISBN":"0000000000000","ISSN":"0894-1912","PMID":"36877813","author":[{"dropping-particle":"","family":"Bawab","given":"Noura","non-dropping-particle":"","parse-names":false,"suffix":""},{"dropping-particle":"","family":"Moullin","given":"Joanna","non-dropping-particle":"","parse-names":false,"suffix":""},{"dropping-particle":"","family":"Jotterand","given":"Sébastien","non-dropping-particle":"","parse-names":false,"suffix":""},{"dropping-particle":"","family":"Rossier","given":"Christophe","non-dropping-particle":"","parse-names":false,"suffix":""},{"dropping-particle":"","family":"Schneider","given":"Marie-Paule","non-dropping-particle":"","parse-names":false,"suffix":""},{"dropping-particle":"","family":"Perraudin","given":"Clémence","non-dropping-particle":"","parse-names":false,"suffix":""}],"container-title":"Journal of Continuing Education in the Health Professions","id":"ITEM-1","issue":"2","issued":{"date-parts":[["2023"]]},"page":"77-86","title":"Building Interprofessional Collaborative Practices Through a Support Program for Patients With Type 2 Diabetes in Primary Care","type":"article-journal","volume":"Publish Ah"},"uris":["http://www.mendeley.com/documents/?uuid=ccf49918-2d21-41b6-b591-6e98ccaaefad"]}],"mendeley":{"formattedCitation":"(Bawab &lt;i&gt;et al.&lt;/i&gt;, 2023)","plainTextFormattedCitation":"(Bawab et al., 2023)","previouslyFormattedCitation":"(Bawab &lt;i&gt;et al.&lt;/i&gt;, 2023)"},"properties":{"noteIndex":0},"schema":"https://github.com/citation-style-language/schema/raw/master/csl-citation.json"}</w:instrText>
      </w:r>
      <w:r w:rsidRPr="00EF5B8C">
        <w:rPr>
          <w:rFonts w:ascii="Arial" w:hAnsi="Arial" w:cs="Arial"/>
          <w:i/>
          <w:iCs/>
          <w:noProof/>
          <w:color w:val="44546A" w:themeColor="text2"/>
          <w:sz w:val="18"/>
          <w:szCs w:val="18"/>
          <w:lang w:val="nl-NL"/>
        </w:rPr>
        <w:fldChar w:fldCharType="separate"/>
      </w:r>
      <w:r w:rsidRPr="00EF5B8C">
        <w:rPr>
          <w:rFonts w:ascii="Arial" w:hAnsi="Arial" w:cs="Arial"/>
          <w:i/>
          <w:iCs/>
          <w:noProof/>
          <w:color w:val="44546A" w:themeColor="text2"/>
          <w:sz w:val="18"/>
          <w:szCs w:val="18"/>
          <w:lang w:val="nl-NL"/>
        </w:rPr>
        <w:t>(Bawab et al., 2023)</w:t>
      </w:r>
      <w:r w:rsidRPr="00EF5B8C">
        <w:rPr>
          <w:rFonts w:ascii="Arial" w:hAnsi="Arial" w:cs="Arial"/>
          <w:i/>
          <w:iCs/>
          <w:noProof/>
          <w:color w:val="44546A" w:themeColor="text2"/>
          <w:sz w:val="18"/>
          <w:szCs w:val="18"/>
          <w:lang w:val="nl-NL"/>
        </w:rPr>
        <w:fldChar w:fldCharType="end"/>
      </w:r>
    </w:p>
    <w:p w14:paraId="1C0870D6" w14:textId="77777777" w:rsidR="00941883" w:rsidRDefault="00941883" w:rsidP="00941883">
      <w:pPr>
        <w:rPr>
          <w:rFonts w:ascii="Arial" w:hAnsi="Arial" w:cs="Arial"/>
          <w:i/>
          <w:iCs/>
          <w:noProof/>
          <w:color w:val="44546A" w:themeColor="text2"/>
          <w:sz w:val="18"/>
          <w:szCs w:val="18"/>
          <w:lang w:val="nl-NL"/>
        </w:rPr>
      </w:pPr>
      <w:r>
        <w:rPr>
          <w:rFonts w:ascii="Arial" w:hAnsi="Arial" w:cs="Arial"/>
          <w:i/>
          <w:iCs/>
          <w:noProof/>
          <w:color w:val="44546A" w:themeColor="text2"/>
          <w:sz w:val="18"/>
          <w:szCs w:val="18"/>
          <w:lang w:val="nl-NL"/>
        </w:rPr>
        <w:br w:type="page"/>
      </w:r>
    </w:p>
    <w:p w14:paraId="789B1901" w14:textId="77777777" w:rsidR="00090DA0" w:rsidRDefault="00090DA0" w:rsidP="00941883">
      <w:pPr>
        <w:spacing w:line="360" w:lineRule="auto"/>
        <w:jc w:val="both"/>
        <w:rPr>
          <w:rFonts w:ascii="Arial" w:hAnsi="Arial" w:cs="Arial"/>
          <w:sz w:val="24"/>
          <w:szCs w:val="24"/>
          <w:lang w:val="nl-NL"/>
        </w:rPr>
        <w:sectPr w:rsidR="00090DA0" w:rsidSect="00AC75DF">
          <w:pgSz w:w="15840" w:h="12240" w:orient="landscape"/>
          <w:pgMar w:top="1440" w:right="1440" w:bottom="1440" w:left="1440" w:header="720" w:footer="720" w:gutter="0"/>
          <w:pgNumType w:start="42"/>
          <w:cols w:space="720"/>
          <w:docGrid w:linePitch="360"/>
        </w:sectPr>
      </w:pPr>
    </w:p>
    <w:p w14:paraId="50926376" w14:textId="77777777" w:rsidR="002E2D31" w:rsidRPr="003C75E6" w:rsidRDefault="002E2D31" w:rsidP="002E2D31">
      <w:pPr>
        <w:pStyle w:val="Heading3"/>
        <w:spacing w:line="257" w:lineRule="auto"/>
        <w:ind w:left="504"/>
      </w:pPr>
      <w:r w:rsidRPr="003C75E6">
        <w:t xml:space="preserve">Types of pharmacists’ interventions in diabetes management </w:t>
      </w:r>
    </w:p>
    <w:p w14:paraId="1AFE8734" w14:textId="77777777" w:rsidR="002E2D31" w:rsidRPr="00B01CD9" w:rsidRDefault="002E2D31" w:rsidP="002E2D31">
      <w:pPr>
        <w:autoSpaceDE w:val="0"/>
        <w:autoSpaceDN w:val="0"/>
        <w:adjustRightInd w:val="0"/>
        <w:spacing w:line="360" w:lineRule="auto"/>
        <w:jc w:val="both"/>
        <w:rPr>
          <w:rStyle w:val="CommentReference"/>
        </w:rPr>
      </w:pPr>
      <w:r w:rsidRPr="009B4D6E">
        <w:rPr>
          <w:rFonts w:ascii="Arial" w:hAnsi="Arial" w:cs="Arial"/>
          <w:sz w:val="24"/>
          <w:szCs w:val="24"/>
        </w:rPr>
        <w:t>A range of different interventions involving pharmacists in diabet</w:t>
      </w:r>
      <w:r>
        <w:rPr>
          <w:rFonts w:ascii="Arial" w:hAnsi="Arial" w:cs="Arial"/>
          <w:sz w:val="24"/>
          <w:szCs w:val="24"/>
        </w:rPr>
        <w:t>es</w:t>
      </w:r>
      <w:r w:rsidRPr="009B4D6E">
        <w:rPr>
          <w:rFonts w:ascii="Arial" w:hAnsi="Arial" w:cs="Arial"/>
          <w:sz w:val="24"/>
          <w:szCs w:val="24"/>
        </w:rPr>
        <w:t xml:space="preserve"> care were identified in the literature.</w:t>
      </w:r>
      <w:r>
        <w:rPr>
          <w:rFonts w:ascii="Arial" w:hAnsi="Arial" w:cs="Arial"/>
          <w:sz w:val="24"/>
          <w:szCs w:val="24"/>
        </w:rPr>
        <w:t xml:space="preserve"> </w:t>
      </w:r>
      <w:r w:rsidRPr="00B01CD9">
        <w:rPr>
          <w:rFonts w:asciiTheme="minorBidi" w:hAnsiTheme="minorBidi"/>
          <w:sz w:val="24"/>
          <w:szCs w:val="24"/>
          <w:lang w:val="en-GB"/>
        </w:rPr>
        <w:t xml:space="preserve">This review demonstrated various diabetes-related services pharmacists provide, such as case management, medication therapy management, medication review, patient education and counselling, clinician education, and patient reminder systems (see </w:t>
      </w:r>
      <w:r w:rsidRPr="00B01CD9">
        <w:rPr>
          <w:rFonts w:asciiTheme="minorBidi" w:hAnsiTheme="minorBidi"/>
          <w:sz w:val="24"/>
          <w:szCs w:val="24"/>
          <w:lang w:val="en-GB"/>
        </w:rPr>
        <w:fldChar w:fldCharType="begin"/>
      </w:r>
      <w:r w:rsidRPr="00B01CD9">
        <w:rPr>
          <w:rFonts w:asciiTheme="minorBidi" w:hAnsiTheme="minorBidi"/>
          <w:sz w:val="24"/>
          <w:szCs w:val="24"/>
          <w:lang w:val="en-GB"/>
        </w:rPr>
        <w:instrText xml:space="preserve"> REF _Ref148113452 \h  \* MERGEFORMAT </w:instrText>
      </w:r>
      <w:r w:rsidRPr="00B01CD9">
        <w:rPr>
          <w:rFonts w:asciiTheme="minorBidi" w:hAnsiTheme="minorBidi"/>
          <w:sz w:val="24"/>
          <w:szCs w:val="24"/>
          <w:lang w:val="en-GB"/>
        </w:rPr>
      </w:r>
      <w:r w:rsidRPr="00B01CD9">
        <w:rPr>
          <w:rFonts w:asciiTheme="minorBidi" w:hAnsiTheme="minorBidi"/>
          <w:sz w:val="24"/>
          <w:szCs w:val="24"/>
          <w:lang w:val="en-GB"/>
        </w:rPr>
        <w:fldChar w:fldCharType="separate"/>
      </w:r>
      <w:r w:rsidRPr="00B01CD9">
        <w:rPr>
          <w:rFonts w:asciiTheme="minorBidi" w:hAnsiTheme="minorBidi"/>
          <w:sz w:val="24"/>
          <w:szCs w:val="24"/>
          <w:lang w:val="en-GB"/>
        </w:rPr>
        <w:t>Table 5</w:t>
      </w:r>
      <w:r w:rsidRPr="00B01CD9">
        <w:rPr>
          <w:rFonts w:asciiTheme="minorBidi" w:hAnsiTheme="minorBidi"/>
          <w:sz w:val="24"/>
          <w:szCs w:val="24"/>
          <w:lang w:val="en-GB"/>
        </w:rPr>
        <w:fldChar w:fldCharType="end"/>
      </w:r>
      <w:r w:rsidRPr="00B01CD9">
        <w:rPr>
          <w:rFonts w:asciiTheme="minorBidi" w:hAnsiTheme="minorBidi"/>
          <w:sz w:val="24"/>
          <w:szCs w:val="24"/>
          <w:lang w:val="en-GB"/>
        </w:rPr>
        <w:t>)</w:t>
      </w:r>
      <w:r w:rsidRPr="00B01CD9">
        <w:rPr>
          <w:rStyle w:val="CommentReference"/>
        </w:rPr>
        <w:t>.</w:t>
      </w:r>
    </w:p>
    <w:p w14:paraId="3195877F" w14:textId="77777777" w:rsidR="002E2D31" w:rsidRPr="00876389" w:rsidRDefault="002E2D31" w:rsidP="002E2D31">
      <w:pPr>
        <w:autoSpaceDE w:val="0"/>
        <w:autoSpaceDN w:val="0"/>
        <w:adjustRightInd w:val="0"/>
        <w:spacing w:line="360" w:lineRule="auto"/>
        <w:jc w:val="both"/>
        <w:rPr>
          <w:rFonts w:ascii="Arial" w:hAnsi="Arial" w:cs="Arial"/>
          <w:sz w:val="24"/>
          <w:szCs w:val="24"/>
          <w:lang w:val="en-GB"/>
        </w:rPr>
      </w:pPr>
      <w:r w:rsidRPr="008A19AF">
        <w:rPr>
          <w:rFonts w:ascii="Arial" w:hAnsi="Arial" w:cs="Arial"/>
          <w:b/>
          <w:bCs/>
          <w:sz w:val="24"/>
          <w:szCs w:val="24"/>
          <w:lang w:val="en"/>
        </w:rPr>
        <w:fldChar w:fldCharType="begin" w:fldLock="1"/>
      </w:r>
      <w:r w:rsidRPr="008A19AF">
        <w:rPr>
          <w:rFonts w:ascii="Arial" w:hAnsi="Arial" w:cs="Arial"/>
          <w:b/>
          <w:bCs/>
          <w:sz w:val="24"/>
          <w:szCs w:val="24"/>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from pharmacist intervention compared with those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2021)","manualFormatting":"Alabkal et al. (2021)","plainTextFormattedCitation":"(Alabkal et al., 2021)","previouslyFormattedCitation":"(Alabkal &lt;i&gt;et al.&lt;/i&gt;, 2021)"},"properties":{"noteIndex":0},"schema":"https://github.com/citation-style-language/schema/raw/master/csl-citation.json"}</w:instrText>
      </w:r>
      <w:r w:rsidRPr="008A19AF">
        <w:rPr>
          <w:rFonts w:ascii="Arial" w:hAnsi="Arial" w:cs="Arial"/>
          <w:b/>
          <w:bCs/>
          <w:sz w:val="24"/>
          <w:szCs w:val="24"/>
          <w:lang w:val="en"/>
        </w:rPr>
        <w:fldChar w:fldCharType="separate"/>
      </w:r>
      <w:r w:rsidRPr="008A19AF">
        <w:rPr>
          <w:rFonts w:ascii="Arial" w:hAnsi="Arial" w:cs="Arial"/>
          <w:bCs/>
          <w:noProof/>
          <w:sz w:val="24"/>
          <w:szCs w:val="24"/>
        </w:rPr>
        <w:t xml:space="preserve">Alabkal </w:t>
      </w:r>
      <w:r w:rsidRPr="008A19AF">
        <w:rPr>
          <w:rFonts w:ascii="Arial" w:hAnsi="Arial" w:cs="Arial"/>
          <w:bCs/>
          <w:i/>
          <w:noProof/>
          <w:sz w:val="24"/>
          <w:szCs w:val="24"/>
        </w:rPr>
        <w:t>et al.</w:t>
      </w:r>
      <w:r w:rsidRPr="008A19AF">
        <w:rPr>
          <w:rFonts w:ascii="Arial" w:hAnsi="Arial" w:cs="Arial"/>
          <w:bCs/>
          <w:noProof/>
          <w:sz w:val="24"/>
          <w:szCs w:val="24"/>
        </w:rPr>
        <w:t xml:space="preserve"> (2021)</w:t>
      </w:r>
      <w:r w:rsidRPr="008A19AF">
        <w:rPr>
          <w:rFonts w:ascii="Arial" w:hAnsi="Arial" w:cs="Arial"/>
          <w:b/>
          <w:bCs/>
          <w:sz w:val="24"/>
          <w:szCs w:val="24"/>
          <w:lang w:val="en"/>
        </w:rPr>
        <w:fldChar w:fldCharType="end"/>
      </w:r>
      <w:r w:rsidRPr="008A19AF">
        <w:rPr>
          <w:rFonts w:ascii="Arial" w:hAnsi="Arial" w:cs="Arial"/>
          <w:b/>
          <w:bCs/>
          <w:sz w:val="24"/>
          <w:szCs w:val="24"/>
        </w:rPr>
        <w:t xml:space="preserve"> </w:t>
      </w:r>
      <w:r w:rsidRPr="008A19AF">
        <w:rPr>
          <w:rFonts w:ascii="Arial" w:hAnsi="Arial" w:cs="Arial"/>
          <w:sz w:val="24"/>
          <w:szCs w:val="24"/>
        </w:rPr>
        <w:t>categorised pharmacists’ interventions into four categories: educational, clinical, behavioral, and psychological interventions and most of the studies included in this research literature review reported pharmacists’ involvement in diabetes management as a combination of these four interventions</w:t>
      </w:r>
      <w:r>
        <w:rPr>
          <w:rFonts w:ascii="Arial" w:hAnsi="Arial" w:cs="Arial"/>
          <w:color w:val="00B050"/>
          <w:sz w:val="24"/>
          <w:szCs w:val="24"/>
        </w:rPr>
        <w:t xml:space="preserve"> </w:t>
      </w:r>
      <w:r w:rsidRPr="00CA5BC5">
        <w:rPr>
          <w:rFonts w:asciiTheme="minorBidi" w:hAnsiTheme="minorBidi"/>
          <w:color w:val="1F3864" w:themeColor="accent1" w:themeShade="80"/>
          <w:sz w:val="24"/>
          <w:szCs w:val="24"/>
        </w:rPr>
        <w:t>(</w:t>
      </w:r>
      <w:r>
        <w:rPr>
          <w:rFonts w:ascii="Arial" w:hAnsi="Arial" w:cs="Arial"/>
          <w:color w:val="1F3864" w:themeColor="accent1" w:themeShade="80"/>
          <w:sz w:val="24"/>
          <w:szCs w:val="24"/>
        </w:rPr>
        <w:t xml:space="preserve">See </w:t>
      </w:r>
      <w:r w:rsidRPr="00FC0103">
        <w:rPr>
          <w:rFonts w:ascii="Arial" w:hAnsi="Arial" w:cs="Arial"/>
          <w:sz w:val="24"/>
          <w:szCs w:val="24"/>
        </w:rPr>
        <w:fldChar w:fldCharType="begin"/>
      </w:r>
      <w:r w:rsidRPr="00FC0103">
        <w:rPr>
          <w:rFonts w:ascii="Arial" w:hAnsi="Arial" w:cs="Arial"/>
          <w:sz w:val="24"/>
          <w:szCs w:val="24"/>
        </w:rPr>
        <w:instrText xml:space="preserve"> REF _Ref148113452 \h </w:instrText>
      </w:r>
      <w:r>
        <w:rPr>
          <w:rFonts w:ascii="Arial" w:hAnsi="Arial" w:cs="Arial"/>
          <w:sz w:val="24"/>
          <w:szCs w:val="24"/>
        </w:rPr>
        <w:instrText xml:space="preserve"> \* MERGEFORMAT </w:instrText>
      </w:r>
      <w:r w:rsidRPr="00FC0103">
        <w:rPr>
          <w:rFonts w:ascii="Arial" w:hAnsi="Arial" w:cs="Arial"/>
          <w:sz w:val="24"/>
          <w:szCs w:val="24"/>
        </w:rPr>
      </w:r>
      <w:r w:rsidRPr="00FC0103">
        <w:rPr>
          <w:rFonts w:ascii="Arial" w:hAnsi="Arial" w:cs="Arial"/>
          <w:sz w:val="24"/>
          <w:szCs w:val="24"/>
        </w:rPr>
        <w:fldChar w:fldCharType="separate"/>
      </w:r>
      <w:r w:rsidRPr="00FC0103">
        <w:rPr>
          <w:rFonts w:ascii="Arial" w:hAnsi="Arial" w:cs="Arial"/>
          <w:sz w:val="24"/>
          <w:szCs w:val="24"/>
        </w:rPr>
        <w:t>Table 5</w:t>
      </w:r>
      <w:r w:rsidRPr="00FC0103">
        <w:rPr>
          <w:rFonts w:ascii="Arial" w:hAnsi="Arial" w:cs="Arial"/>
          <w:sz w:val="24"/>
          <w:szCs w:val="24"/>
        </w:rPr>
        <w:fldChar w:fldCharType="end"/>
      </w:r>
      <w:r w:rsidRPr="00FC0103">
        <w:rPr>
          <w:rFonts w:ascii="Arial" w:hAnsi="Arial" w:cs="Arial"/>
          <w:sz w:val="24"/>
          <w:szCs w:val="24"/>
        </w:rPr>
        <w:t>)</w:t>
      </w:r>
      <w:r w:rsidRPr="00CA5BC5">
        <w:rPr>
          <w:rFonts w:ascii="Arial" w:hAnsi="Arial" w:cs="Arial"/>
          <w:sz w:val="24"/>
          <w:szCs w:val="24"/>
        </w:rPr>
        <w:t>. The clinical interventions</w:t>
      </w:r>
      <w:r>
        <w:rPr>
          <w:rFonts w:ascii="Arial" w:hAnsi="Arial" w:cs="Arial"/>
          <w:sz w:val="24"/>
          <w:szCs w:val="24"/>
        </w:rPr>
        <w:t xml:space="preserve"> focuses on</w:t>
      </w:r>
      <w:r w:rsidRPr="00CA5BC5">
        <w:rPr>
          <w:rFonts w:ascii="Arial" w:hAnsi="Arial" w:cs="Arial"/>
          <w:sz w:val="24"/>
          <w:szCs w:val="24"/>
        </w:rPr>
        <w:t xml:space="preserve"> the medication regimen and ensure that the standards of care are met (e.g., therapeutic modifications, simplifying the dosing regimens/ schedules, improving adherence, laboratory ordering/monitoring, and referrals for needed screenings) </w:t>
      </w:r>
      <w:r>
        <w:rPr>
          <w:rFonts w:ascii="Arial" w:hAnsi="Arial" w:cs="Arial"/>
          <w:sz w:val="24"/>
          <w:szCs w:val="24"/>
          <w:lang w:val="en-GB"/>
        </w:rPr>
        <w:fldChar w:fldCharType="begin" w:fldLock="1"/>
      </w:r>
      <w:r w:rsidRPr="00CA5BC5">
        <w:rPr>
          <w:rFonts w:ascii="Arial" w:hAnsi="Arial" w:cs="Arial"/>
          <w:sz w:val="24"/>
          <w:szCs w:val="24"/>
        </w:rPr>
        <w:instrText>ADDIN CSL_CITATION {"citationItems":[{"id":"ITEM-1","itemData":{"DOI":"10.1177/1060028017711454","ISSN":"15426270","PMID":"28573873","abstract":"Objective: To conduct a comprehensive systematic review and meta-analyses examining the impact of pharmacist interventions as part of health care teams on diabetes therapeutic outcomes in ambulatory care settings. Data Sources: PubMed/MEDLINE, EMBASE, Cochrane Library, International Pharmaceutical Abstracts, Web of Science, Scopus, WHO’s Global Health Library, ClinicalTrials.gov, and Google Scholar were searched (1995 to February 2017). Search terms included pharmacist, team, and diabet</w:instrText>
      </w:r>
      <w:r w:rsidRPr="00301D45">
        <w:rPr>
          <w:rFonts w:ascii="Arial" w:hAnsi="Arial" w:cs="Arial"/>
          <w:sz w:val="24"/>
          <w:szCs w:val="24"/>
        </w:rPr>
        <w:instrText xml:space="preserve">es. Study Selection: Full-text articles published in English with comparative designs, including randomized controlled trials, nonrandomized controlled trials, </w:instrText>
      </w:r>
      <w:r>
        <w:rPr>
          <w:rFonts w:ascii="Arial" w:hAnsi="Arial" w:cs="Arial"/>
          <w:sz w:val="24"/>
          <w:szCs w:val="24"/>
          <w:lang w:val="en-GB"/>
        </w:rPr>
        <w:instrText>and pretest-posttest studies evaluating hemoglobin A1C (A1C), were assessed. Data Extraction and Synthesis: Two reviewers independently screened for study inclusion and extracted data. Quality of the studies was assessed using tools developed based on the framework of the Cochrane Collaboration’s recommendations. Data Synthesis: A total of 1908 studies were identified from the literature and reference searches; 42 studies were included in the systematic review (n = 10 860) and 35 in the meta-analyses (n = 7417). Mean age ranged from 42 to 73 years, and 8% to 100% were male. The overall standardized mean difference (SMD) for A1C for pharmacist care versus comparison was 0.57 (P &amp;lt; 0.01), a moderate effect representing a mean difference of 1.1% (95% CI = 0.88-1.27). The effects for systolic blood pressure and low-density lipoprotein cholesterol were between small and moderate (SMD = 0.31 and 0.32; P &amp;lt; 0.01). The heterogeneity was high for all outcomes (&amp;gt;83%), indicating functional differences among the studies. No publication bias was detected. Conclusion: Pharmacists’ interventions as part of the patient’s health care team improved diabetes therapeutic outcomes, substantiating the important role of pharmacists in team-based diabetes management. © 2017, © The Author(s) 2017.","author":[{"dropping-particle":"","family":"Fazel","given":"Maryam T.","non-dropping-particle":"","parse-names":false,"suffix":""},{"dropping-particle":"","family":"Bagalagel","given":"Alaa","non-dropping-particle":"","parse-names":false,"suffix":""},{"dropping-particle":"","family":"Lee","given":"Jeannie K.","non-dropping-particle":"","parse-names":false,"suffix":""},{"dropping-particle":"","family":"Martin","given":"Jennifer R.","non-dropping-particle":"","parse-names":false,"suffix":""},{"dropping-particle":"","family":"Slack","given":"Marion K.","non-dropping-particle":"","parse-names":false,"suffix":""}],"container-title":"Annals of Pharmacotherapy","id":"ITEM-1","issue":"10","issued":{"date-parts":[["2017","10","1"]]},"note":"From Duplicate 3 (Impact of Diabetes Care by Pharmacists as Part of Health Care Team in Ambulatory Settings: A Systematic Review and Meta-analysis - Fazel, Maryam T.; Bagalagel, Alaa; Lee, Jeannie K.; Martin, Jennifer R.; Slack, Marion K.)\n\nFrom Duplicate 1 (Impact of Diabetes Care by Pharmacists as Part of Health Care Team in Ambulatory Settings: A Systematic Review and Meta-analysis - Fazel, Maryam T.; Bagalagel, Alaa; Lee, Jeannie K.; Martin, Jennifer R.; Slack, Marion K.)\n\nFrom Duplicate 1 (Impact of Diabetes Care by Pharmacists as Part of Health Care Team in Ambulatory Settings: A Systematic Review and Meta-analysis - Fazel, Maryam T.; Bagalagel, Alaa; Lee, Jeannie K.; Martin, Jennifer R.; Slack, Marion K.)\n\nFrom Duplicate 4 (Impact of Diabetes Care by Pharmacists as Part of Health Care Team in Ambulatory Settings: A Systematic Review and Meta-analysis - Fazel, M T; Bagalagel, A; Lee, J K; Martin, J R; Slack, M K)\n\nCited By :10\n\nExport Date: 19 June 2019","page":"890-907","publisher":"SAGE Publications Inc.","publisher-place":"The University of Arizona, Tucson, AZ, United States","title":"Impact of Diabetes Care by Pharmacists as Part of Health Care Team in Ambulatory Settings: A Systematic Review and Meta-analysis","type":"article-journal","volume":"51"},"uris":["http://www.mendeley.com/documents/?uuid=9beb7df0-7d6c-4017-aad6-0c6e601443bf"]}],"mendeley":{"formattedCitation":"(Fazel &lt;i&gt;et al.&lt;/i&gt;, 2017)","plainTextFormattedCitation":"(Fazel et al., 2017)","previouslyFormattedCitation":"(Fazel &lt;i&gt;et al.&lt;/i&gt;, 2017)"},"properties":{"noteIndex":0},"schema":"https://github.com/citation-style-language/schema/raw/master/csl-citation.json"}</w:instrText>
      </w:r>
      <w:r>
        <w:rPr>
          <w:rFonts w:ascii="Arial" w:hAnsi="Arial" w:cs="Arial"/>
          <w:sz w:val="24"/>
          <w:szCs w:val="24"/>
          <w:lang w:val="en-GB"/>
        </w:rPr>
        <w:fldChar w:fldCharType="separate"/>
      </w:r>
      <w:r w:rsidRPr="006B2FC7">
        <w:rPr>
          <w:rFonts w:ascii="Arial" w:hAnsi="Arial" w:cs="Arial"/>
          <w:noProof/>
          <w:sz w:val="24"/>
          <w:szCs w:val="24"/>
          <w:lang w:val="en-GB"/>
        </w:rPr>
        <w:t xml:space="preserve">(Fazel </w:t>
      </w:r>
      <w:r w:rsidRPr="006B2FC7">
        <w:rPr>
          <w:rFonts w:ascii="Arial" w:hAnsi="Arial" w:cs="Arial"/>
          <w:i/>
          <w:noProof/>
          <w:sz w:val="24"/>
          <w:szCs w:val="24"/>
          <w:lang w:val="en-GB"/>
        </w:rPr>
        <w:t>et al.</w:t>
      </w:r>
      <w:r w:rsidRPr="006B2FC7">
        <w:rPr>
          <w:rFonts w:ascii="Arial" w:hAnsi="Arial" w:cs="Arial"/>
          <w:noProof/>
          <w:sz w:val="24"/>
          <w:szCs w:val="24"/>
          <w:lang w:val="en-GB"/>
        </w:rPr>
        <w:t>, 2017)</w:t>
      </w:r>
      <w:r>
        <w:rPr>
          <w:rFonts w:ascii="Arial" w:hAnsi="Arial" w:cs="Arial"/>
          <w:sz w:val="24"/>
          <w:szCs w:val="24"/>
          <w:lang w:val="en-GB"/>
        </w:rPr>
        <w:fldChar w:fldCharType="end"/>
      </w:r>
      <w:r>
        <w:rPr>
          <w:rFonts w:ascii="Arial" w:hAnsi="Arial" w:cs="Arial"/>
          <w:sz w:val="24"/>
          <w:szCs w:val="24"/>
          <w:lang w:val="en-GB"/>
        </w:rPr>
        <w:t xml:space="preserve">. </w:t>
      </w:r>
      <w:r w:rsidRPr="006B2FC7">
        <w:rPr>
          <w:rFonts w:ascii="Arial" w:hAnsi="Arial" w:cs="Arial"/>
          <w:sz w:val="24"/>
          <w:szCs w:val="24"/>
          <w:lang w:val="en-GB"/>
        </w:rPr>
        <w:t xml:space="preserve">The educational </w:t>
      </w:r>
      <w:r>
        <w:rPr>
          <w:rFonts w:ascii="Arial" w:hAnsi="Arial" w:cs="Arial"/>
          <w:sz w:val="24"/>
          <w:szCs w:val="24"/>
          <w:lang w:val="en-GB"/>
        </w:rPr>
        <w:t xml:space="preserve">and behavioural </w:t>
      </w:r>
      <w:r w:rsidRPr="006B2FC7">
        <w:rPr>
          <w:rFonts w:ascii="Arial" w:hAnsi="Arial" w:cs="Arial"/>
          <w:sz w:val="24"/>
          <w:szCs w:val="24"/>
          <w:lang w:val="en-GB"/>
        </w:rPr>
        <w:t xml:space="preserve">interventions </w:t>
      </w:r>
      <w:r w:rsidRPr="006B2FC7">
        <w:rPr>
          <w:rFonts w:ascii="Arial" w:hAnsi="Arial" w:cs="Arial"/>
          <w:sz w:val="24"/>
          <w:szCs w:val="24"/>
          <w:lang w:val="en"/>
        </w:rPr>
        <w:t>aim</w:t>
      </w:r>
      <w:r>
        <w:rPr>
          <w:rFonts w:ascii="Arial" w:hAnsi="Arial" w:cs="Arial"/>
          <w:sz w:val="24"/>
          <w:szCs w:val="24"/>
          <w:lang w:val="en"/>
        </w:rPr>
        <w:t xml:space="preserve"> </w:t>
      </w:r>
      <w:r w:rsidRPr="006B2FC7">
        <w:rPr>
          <w:rFonts w:ascii="Arial" w:hAnsi="Arial" w:cs="Arial"/>
          <w:sz w:val="24"/>
          <w:szCs w:val="24"/>
          <w:lang w:val="en"/>
        </w:rPr>
        <w:t xml:space="preserve">to enhance patients’ knowledge about their condition (aetiology, risk factors of disease, short and long-term complication of illness) and strengthen their diabetes management plan (treatment target monitoring, lifestyle-changing behaviour, the timing of medication and medication adherence, adverse drug reactions monitoring) to make them more involved and aware of their condition which could encourage them to change their behaviour to achieve better outcomes </w:t>
      </w:r>
      <w:r w:rsidRPr="00381A9B">
        <w:rPr>
          <w:rFonts w:ascii="Arial" w:hAnsi="Arial" w:cs="Arial"/>
          <w:sz w:val="24"/>
          <w:szCs w:val="24"/>
          <w:lang w:val="en"/>
        </w:rPr>
        <w:fldChar w:fldCharType="begin" w:fldLock="1"/>
      </w:r>
      <w:r w:rsidRPr="00381A9B">
        <w:rPr>
          <w:rFonts w:ascii="Arial" w:hAnsi="Arial" w:cs="Arial"/>
          <w:sz w:val="24"/>
          <w:szCs w:val="24"/>
          <w:lang w:val="en"/>
        </w:rPr>
        <w:instrText>ADDIN CSL_CITATION {"citationItems":[{"id":"ITEM-1","itemData":{"DOI":"10.1016/j.sapharm.2018.09.021","ISSN":"15517411","abstract":"Background: Control of blood glucose and a reduced risk of complications are important treatment goals in diabetes. Medication non-adherence can influence the outcome of diabetes. Involvement of a pharmacist in diabetes care might help patients to achieve better treatment outcomes. Existing literature reviews have focused on a limited number of interventions and outcome measures, and have involved different healthcare professionals. None of the previous reviews have used a standardized effect size to compare the effects of different pharmacist-led interventions and different outcome measures. Objective: To review pharmacist-led interventions to improve medication adherence in patients with diabetes and to assess the effectiveness of these interventions on medication adherence. Methods: Six databases were systematically searched between March and September 2017 for randomized controlled trials: PubMed, Cochrane library, EMBASE, CINAHL, JSTOR, and Web of Science. The outcome measures used were: medication adherence, HbA1c, fasting plasma glucose (FPG), post-prandial blood glucose (PPG), or random blood glucose (RBG). Cohen's d, a standardized effect size, enabled a comparison of studies with different outcome measures. The Cochrane risk of bias tool was used to assess the quality of the studies. Results: Fifty-nine studies were included in this review. Pharmacist-led interventions enhanced outcomes in patients with diabetes (standardized mean difference (SMD) −0.68; 95% CI-0.79, −0.58; p &lt; 0.001). Subgroup analysis by intervention strategy, the type of intervention and outcome measures produced similar results. Further analysis showed that education, printed/digital material, training/group discussion, were more effective than other interventions. Conclusion: This finding supports the role of the pharmacist in diabetes care to enhance medication adherence.","author":[{"dropping-particle":"","family":"Presley","given":"Bobby","non-dropping-particle":"","parse-names":false,"suffix":""},{"dropping-particle":"","family":"Groot","given":"Wim","non-dropping-particle":"","parse-names":false,"suffix":""},{"dropping-particle":"","family":"Pavlova","given":"Milena","non-dropping-particle":"","parse-names":false,"suffix":""}],"container-title":"Research in Social and Administrative Pharmacy","id":"ITEM-1","issue":"9","issued":{"date-parts":[["2019"]]},"note":"From Duplicate 2 (Pharmacy-led interventions to improve medication adherence among adults with diabetes: A systematic review and meta-analysis - Presley, Bobby; Groot, Wim; Pavlova, Milena)\n\nFrom Duplicate 1 (Pharmacy-led interventions to improve medication adherence among adults with diabetes: A systematic review and meta-analysis - Presley, B; Groot, W; Pavlova, M)\n\nExport Date: 26 September 2019","page":"1057-1067","title":"Pharmacy-led interventions to improve medication adherence among adults with diabetes: A systematic review and meta-analysis","type":"article-journal","volume":"15"},"uris":["http://www.mendeley.com/documents/?uuid=39971cc1-6a7e-4018-bada-ea697b410b37"]}],"mendeley":{"formattedCitation":"(Presley, Groot and Pavlova, 2019)","manualFormatting":"(Presley et al., 2019)","plainTextFormattedCitation":"(Presley, Groot and Pavlova, 2019)","previouslyFormattedCitation":"(Presley, Groot and Pavlova, 2019)"},"properties":{"noteIndex":0},"schema":"https://github.com/citation-style-language/schema/raw/master/csl-citation.json"}</w:instrText>
      </w:r>
      <w:r w:rsidRPr="00381A9B">
        <w:rPr>
          <w:rFonts w:ascii="Arial" w:hAnsi="Arial" w:cs="Arial"/>
          <w:sz w:val="24"/>
          <w:szCs w:val="24"/>
          <w:lang w:val="en"/>
        </w:rPr>
        <w:fldChar w:fldCharType="separate"/>
      </w:r>
      <w:r w:rsidRPr="00381A9B">
        <w:rPr>
          <w:rFonts w:ascii="Arial" w:hAnsi="Arial" w:cs="Arial"/>
          <w:noProof/>
          <w:sz w:val="24"/>
          <w:szCs w:val="24"/>
          <w:lang w:val="en"/>
        </w:rPr>
        <w:t>(Presley et al., 2019)</w:t>
      </w:r>
      <w:r w:rsidRPr="00381A9B">
        <w:rPr>
          <w:rFonts w:ascii="Arial" w:hAnsi="Arial" w:cs="Arial"/>
          <w:sz w:val="24"/>
          <w:szCs w:val="24"/>
          <w:lang w:val="en"/>
        </w:rPr>
        <w:fldChar w:fldCharType="end"/>
      </w:r>
      <w:r w:rsidRPr="00381A9B">
        <w:rPr>
          <w:rFonts w:ascii="Arial" w:hAnsi="Arial" w:cs="Arial"/>
          <w:sz w:val="24"/>
          <w:szCs w:val="24"/>
          <w:lang w:val="en"/>
        </w:rPr>
        <w:t>.</w:t>
      </w:r>
      <w:r w:rsidRPr="00883E86">
        <w:rPr>
          <w:rFonts w:ascii="Arial" w:hAnsi="Arial" w:cs="Arial"/>
          <w:sz w:val="24"/>
          <w:szCs w:val="24"/>
          <w:lang w:val="en"/>
        </w:rPr>
        <w:t xml:space="preserve"> Behavioral intervention also includes providing advice on diet, exercise, and smoking cessation (</w:t>
      </w:r>
      <w:r w:rsidRPr="00883E86">
        <w:rPr>
          <w:rFonts w:ascii="Arial" w:hAnsi="Arial" w:cs="Arial"/>
          <w:noProof/>
          <w:sz w:val="24"/>
          <w:szCs w:val="24"/>
        </w:rPr>
        <w:t xml:space="preserve">Alabkal </w:t>
      </w:r>
      <w:r w:rsidRPr="00883E86">
        <w:rPr>
          <w:rFonts w:ascii="Arial" w:hAnsi="Arial" w:cs="Arial"/>
          <w:i/>
          <w:noProof/>
          <w:sz w:val="24"/>
          <w:szCs w:val="24"/>
        </w:rPr>
        <w:t>et al.</w:t>
      </w:r>
      <w:r w:rsidRPr="00883E86">
        <w:rPr>
          <w:rFonts w:ascii="Arial" w:hAnsi="Arial" w:cs="Arial"/>
          <w:noProof/>
          <w:sz w:val="24"/>
          <w:szCs w:val="24"/>
        </w:rPr>
        <w:t>, 2021)</w:t>
      </w:r>
      <w:r w:rsidRPr="00883E86">
        <w:rPr>
          <w:rFonts w:ascii="Arial" w:hAnsi="Arial" w:cs="Arial"/>
          <w:sz w:val="24"/>
          <w:szCs w:val="24"/>
          <w:lang w:val="en"/>
        </w:rPr>
        <w:t>. The last type of intervention by pharmacists that was identified in this review related to psychological interventions where pharmacists were involved in activities such as screening for depression and anxiety</w:t>
      </w:r>
      <w:r w:rsidRPr="00883E86">
        <w:rPr>
          <w:rFonts w:ascii="Arial" w:hAnsi="Arial" w:cs="Arial"/>
          <w:b/>
          <w:bCs/>
          <w:sz w:val="24"/>
          <w:szCs w:val="24"/>
          <w:lang w:val="en"/>
        </w:rPr>
        <w:t xml:space="preserve"> </w:t>
      </w:r>
      <w:r w:rsidRPr="00876389">
        <w:rPr>
          <w:rFonts w:ascii="Arial" w:hAnsi="Arial" w:cs="Arial"/>
          <w:sz w:val="24"/>
          <w:szCs w:val="24"/>
          <w:lang w:val="en-GB"/>
        </w:rPr>
        <w:fldChar w:fldCharType="begin" w:fldLock="1"/>
      </w:r>
      <w:r w:rsidRPr="00883E86">
        <w:rPr>
          <w:rFonts w:ascii="Arial" w:hAnsi="Arial" w:cs="Arial"/>
          <w:sz w:val="24"/>
          <w:szCs w:val="24"/>
          <w:lang w:val="en-GB"/>
        </w:rPr>
        <w:instrText>ADDIN CSL_CITATION {"citationItems":[{"id":"ITEM-1","itemData":{"DOI":"10.1007/s40200-020-00528-x","ISSN":"22516581","abstract":"Purpose: The quality of life (QoL) of patients with type 2 diabetes mellitus (T2DM) is a measure of the successful outcomes of therapy. The program of management of chronic diseases “Program Pengelolaan Penyakit Kronis” (Prolanis) among patients with hypertension and T2DM is a new strategy of the Badan Penyelenggara Jaminan Sosial (BPJS), which is the Indonesian national health insurance system. Here, we analyzed the impact of pharmacist counseling interventions on health-related QoL (HRQoL) in Prolanis T2DM patients. Methods: This cluster randomized controlled trial was designed to include two groups [control (n = 111) and intervention (n = 109) groups], and pre- and post-test procedures. The participants were Prolanis T2DM patients who attended four primary health-care centers (Puskesmas) in Makassar City, South Sulawesi, Indonesia from August 2017 to August 2018. The intervention group received systematic counseling for 6 months. The data were collected using the Bahasa Indonesia version of the European Quality of Life 5 Dimensions 5 Levels (EQ-5D-5 L) questionnaire and were analyzed using EQ-5D preference weight for each health state with the Indonesian EQ-5D-5 L value Set. Furthermore, the EQ-5D index and the EQ-5D VAS score were calculated and HbA1c levels were assessed. Results: The change in the EQ-5D-5 L index score (post-pre) was 0.01 in the control group and 0.04 in the intervention group (P = 0.041). The change in the VAS score was −0.07in the control group (post-pre) and 2.66 in the intervention group (P = 0.000). Conclusion: Pharmacist counseling may help improve the HRQoL of Prolanis T2DM patients.","author":[{"dropping-particle":"","family":"Fajriansyah","given":"","non-dropping-particle":"","parse-names":false,"suffix":""},{"dropping-particle":"","family":"Iskandarsyah","given":"Aulia","non-dropping-particle":"","parse-names":false,"suffix":""},{"dropping-particle":"","family":"Puspitasari","given":"Irma M.","non-dropping-particle":"","parse-names":false,"suffix":""},{"dropping-particle":"","family":"Lestari","given":"Keri","non-dropping-particle":"","parse-names":false,"suffix":""}],"container-title":"Journal of Diabetes and Metabolic Disorders","id":"ITEM-1","issue":"2","issued":{"date-parts":[["2020"]]},"page":"675-682","publisher":"Journal of Diabetes &amp; Metabolic Disorders","title":"Impact of pharmacist counseling on health-related quality of life of patients with type 2 diabetes mellitus: a cluster randomized controlled study","type":"article-journal","volume":"19"},"uris":["http://www.mendeley.com/documents/?uuid=98aa4f3c-47e4-4678-942c-45b754477b3f"]}],"mendeley":{"formattedCitation":"(Fajriansyah &lt;i&gt;et al.&lt;/i&gt;, 2020)","manualFormatting":"(Fajriansyah et al., 2020","plainTextFormattedCitation":"(Fajriansyah et al., 2020)","previouslyFormattedCitation":"(Fajriansyah &lt;i&gt;et al.&lt;/i&gt;, 2020)"},"properties":{"noteIndex":0},"schema":"https://github.com/citation-style-language/schema/raw/master/csl-citation.json"}</w:instrText>
      </w:r>
      <w:r w:rsidRPr="00876389">
        <w:rPr>
          <w:rFonts w:ascii="Arial" w:hAnsi="Arial" w:cs="Arial"/>
          <w:sz w:val="24"/>
          <w:szCs w:val="24"/>
          <w:lang w:val="en-GB"/>
        </w:rPr>
        <w:fldChar w:fldCharType="separate"/>
      </w:r>
      <w:r w:rsidRPr="00883E86">
        <w:rPr>
          <w:rFonts w:ascii="Arial" w:hAnsi="Arial" w:cs="Arial"/>
          <w:noProof/>
          <w:sz w:val="24"/>
          <w:szCs w:val="24"/>
          <w:lang w:val="en-GB"/>
        </w:rPr>
        <w:t xml:space="preserve">(Fajriansyah </w:t>
      </w:r>
      <w:r w:rsidRPr="00883E86">
        <w:rPr>
          <w:rFonts w:ascii="Arial" w:hAnsi="Arial" w:cs="Arial"/>
          <w:i/>
          <w:noProof/>
          <w:sz w:val="24"/>
          <w:szCs w:val="24"/>
          <w:lang w:val="en-GB"/>
        </w:rPr>
        <w:t>et al.</w:t>
      </w:r>
      <w:r w:rsidRPr="00883E86">
        <w:rPr>
          <w:rFonts w:ascii="Arial" w:hAnsi="Arial" w:cs="Arial"/>
          <w:noProof/>
          <w:sz w:val="24"/>
          <w:szCs w:val="24"/>
          <w:lang w:val="en-GB"/>
        </w:rPr>
        <w:t>, 2020</w:t>
      </w:r>
      <w:r w:rsidRPr="00876389">
        <w:rPr>
          <w:rFonts w:ascii="Arial" w:hAnsi="Arial" w:cs="Arial"/>
          <w:sz w:val="24"/>
          <w:szCs w:val="24"/>
          <w:lang w:val="en-GB"/>
        </w:rPr>
        <w:fldChar w:fldCharType="end"/>
      </w:r>
      <w:r w:rsidRPr="00876389">
        <w:rPr>
          <w:rFonts w:ascii="Arial" w:hAnsi="Arial" w:cs="Arial"/>
          <w:sz w:val="24"/>
          <w:szCs w:val="24"/>
        </w:rPr>
        <w:fldChar w:fldCharType="begin" w:fldLock="1"/>
      </w:r>
      <w:r w:rsidRPr="00876389">
        <w:rPr>
          <w:rFonts w:ascii="Arial" w:hAnsi="Arial" w:cs="Arial"/>
          <w:sz w:val="24"/>
          <w:szCs w:val="24"/>
        </w:rPr>
        <w:instrText>ADDIN CSL_CITATION {"citationItems":[{"id":"ITEM-1","itemData":{"DOI":"10.1016/j.japh.2021.12.015","ISSN":"15443450","PMID":"35027281","abstract":"Background: There is a growing shortage of primary care physicians. Pharmacists can fill the gap, and interdisciplinary teams are being evaluated as part of health care reform. Objective: This study aimed to determine whether adding a pharmacist to an interprofessional health team will improve diabetes outcomes. Methods: In this 2-phase pilot study, Medicaid-eligible patients with diabetes were randomized to receive standard of care (control arm) or standard of care plus the care of a pharmacist (intervention arm) for 12 months (phase 1). The primary outcome was change in glycated hemoglobin (A1C) from baseline. Secondary outcomes included identifying and correcting medication therapy problems (MTPs) for comorbid conditions, adherence to preventive care visits, health care utilization, self-rated health, and satisfaction surveys. After phase 1, patients in the control arm who did not achieve an A1C of &lt; 8% were eligible to enroll into phase 2 where they received treatment with a pharmacist for 6 months. Results: Of the 239 patients enrolled, 122 completed phase 1. At 12 months, intervention patients’ mean A1C was 1.85 percentage point (pp) below baseline versus 0.94 pp for control (between-group difference 0.91 pp; P = 0.0218). Most control patients (79%) who completed phase 1 and enrolled into phase 2 improved their A1C by more than 1 pp (P &lt; 0.01). The pharmacists completed 806 patient visits and identified 2638 MTPs. Intervention patients were more adherent to preventive care visits with nutrition (P = 0.043), ophthalmology (P = 0.002), and dentistry (P = 0.007). For intervention patients, 78% rated their experience with the pharmacist as excellent whereas, for control patients, 37% rated their experience with their provider as excellent. Conclusion: Pharmacist comanagement of patients with diabetes can significantly improve glucose control and patient satisfaction. Creative payment models were used to include pharmacists in the interprofessional patient care team.","author":[{"dropping-particle":"","family":"Wagner","given":"Mary L.","non-dropping-particle":"","parse-names":false,"suffix":""},{"dropping-particle":"","family":"McCarthy","given":"Caitlin","non-dropping-particle":"","parse-names":false,"suffix":""},{"dropping-particle":"","family":"Bateman","given":"M. Thomas","non-dropping-particle":"","parse-names":false,"suffix":""},{"dropping-particle":"","family":"Simmons","given":"Daniel","non-dropping-particle":"","parse-names":false,"suffix":""},{"dropping-particle":"","family":"Prioli","given":"Katherine M.","non-dropping-particle":"","parse-names":false,"suffix":""}],"container-title":"Journal of the American Pharmacists Association","id":"ITEM-1","issue":"3","issued":{"date-parts":[["2022"]]},"page":"775-782.e3","publisher":"American Pharmacists Association®","title":"Pharmacists improve diabetes outcomes: a randomized controlled trial","type":"article-journal","volume":"62"},"uris":["http://www.mendeley.com/documents/?uuid=34bb99b6-2c20-4cd3-9a92-b8ce9fbc53d5"]}],"mendeley":{"formattedCitation":"(Wagner &lt;i&gt;et al.&lt;/i&gt;, 2022)","manualFormatting":"; Wagner et al., 2022)","plainTextFormattedCitation":"(Wagner et al., 2022)","previouslyFormattedCitation":"(Wagner &lt;i&gt;et al.&lt;/i&gt;, 2022)"},"properties":{"noteIndex":0},"schema":"https://github.com/citation-style-language/schema/raw/master/csl-citation.json"}</w:instrText>
      </w:r>
      <w:r w:rsidRPr="00876389">
        <w:rPr>
          <w:rFonts w:ascii="Arial" w:hAnsi="Arial" w:cs="Arial"/>
          <w:sz w:val="24"/>
          <w:szCs w:val="24"/>
        </w:rPr>
        <w:fldChar w:fldCharType="separate"/>
      </w:r>
      <w:r w:rsidRPr="00876389">
        <w:rPr>
          <w:rFonts w:ascii="Arial" w:hAnsi="Arial" w:cs="Arial"/>
          <w:noProof/>
          <w:sz w:val="24"/>
          <w:szCs w:val="24"/>
        </w:rPr>
        <w:t xml:space="preserve">; Wagner </w:t>
      </w:r>
      <w:r w:rsidRPr="00876389">
        <w:rPr>
          <w:rFonts w:ascii="Arial" w:hAnsi="Arial" w:cs="Arial"/>
          <w:i/>
          <w:noProof/>
          <w:sz w:val="24"/>
          <w:szCs w:val="24"/>
        </w:rPr>
        <w:t>et al.</w:t>
      </w:r>
      <w:r w:rsidRPr="00876389">
        <w:rPr>
          <w:rFonts w:ascii="Arial" w:hAnsi="Arial" w:cs="Arial"/>
          <w:noProof/>
          <w:sz w:val="24"/>
          <w:szCs w:val="24"/>
        </w:rPr>
        <w:t>, 2022)</w:t>
      </w:r>
      <w:r w:rsidRPr="00876389">
        <w:rPr>
          <w:rFonts w:ascii="Arial" w:hAnsi="Arial" w:cs="Arial"/>
          <w:sz w:val="24"/>
          <w:szCs w:val="24"/>
        </w:rPr>
        <w:fldChar w:fldCharType="end"/>
      </w:r>
      <w:r w:rsidRPr="00876389">
        <w:rPr>
          <w:rFonts w:ascii="Arial" w:hAnsi="Arial" w:cs="Arial"/>
          <w:sz w:val="24"/>
          <w:szCs w:val="24"/>
        </w:rPr>
        <w:t xml:space="preserve">. </w:t>
      </w:r>
    </w:p>
    <w:p w14:paraId="507BD00E" w14:textId="77777777" w:rsidR="002E2D31" w:rsidRPr="00883E86" w:rsidRDefault="002E2D31" w:rsidP="002E2D31">
      <w:pPr>
        <w:spacing w:line="360" w:lineRule="auto"/>
        <w:jc w:val="both"/>
        <w:rPr>
          <w:rFonts w:ascii="Arial" w:hAnsi="Arial" w:cs="Arial"/>
          <w:sz w:val="24"/>
          <w:szCs w:val="24"/>
        </w:rPr>
      </w:pPr>
      <w:r w:rsidRPr="00876389">
        <w:rPr>
          <w:rFonts w:ascii="Arial" w:hAnsi="Arial" w:cs="Arial"/>
          <w:sz w:val="24"/>
          <w:szCs w:val="24"/>
        </w:rPr>
        <w:t xml:space="preserve">Pharmacists can play a critical role in diabetes care through counseling and patient education, which can enhance patient outcomes  This was confirmed in a review of systematic reviews by </w:t>
      </w:r>
      <w:r w:rsidRPr="00883E86">
        <w:rPr>
          <w:rFonts w:ascii="Arial" w:hAnsi="Arial" w:cs="Arial"/>
          <w:sz w:val="24"/>
          <w:szCs w:val="24"/>
          <w:lang w:val="en"/>
        </w:rPr>
        <w:fldChar w:fldCharType="begin" w:fldLock="1"/>
      </w:r>
      <w:r w:rsidRPr="00883E86">
        <w:rPr>
          <w:rFonts w:ascii="Arial" w:hAnsi="Arial" w:cs="Arial"/>
          <w:sz w:val="24"/>
          <w:szCs w:val="24"/>
          <w:lang w:val="en"/>
        </w:rPr>
        <w:instrText>ADDIN CSL_CITATION {"citationItems":[{"id":"ITEM-1","itemData":{"DOI":"10.1016/j.pcd.2019.12.007","ISSN":"18780210","PMID":"31926868","abstract":"Objective: To systematically review published systematic reviews (SRs) examining the impact of pharmacist interventions in multidisciplinary diabetes care teams on diabetes-related clinical, humanistic, and economic outcomes in primary care settings. Methods: PubMed, EMBASE, Scopus, Database of Abstracts of Reviews of Effects, Cochrane Library, Joanna Briggs Institute (JBI) Database, Google Scholar, and PROSPERO were searched from inception to 2018. Studies published in English evaluating the effect of pharmacist interventions on diabetes outcomes were included. Two independent reviewers were involved in screening of titles and abstracts, selection of studies, and methodological quality assessment. Results: Seven SRs were included in the study. Three of them included only randomized controlled trials, while the rest involved other study designs. Educational interventions by clinical pharmacists within the healthcare team were the most common types of interventions reported across all SRs. Pharmacist's interventions compared to usual care resulted in favorable significant improvements in hemoglobin A1c (HbA1c), fasting blood glucose, blood pressure, body mass index, total cholesterol, low density lipoprotein, high density lipoprotein and triglycerides in more than 50% of the SRs. Improvement in HbA1c was the mostly reported clinical outcome of pharmacist intervention in the literature (reported in six SRs). Pharmacist's interventions led to significant cost-saving ($8–$85,000 per person per year), cost-utility, and cost-benefit (benefit-to-cost ratio range from 1:1 to 8.5:1) versus usual care. Pharmacist's interventions improved patients’ quality of life (QoL) in three SRs; however, no conclusion can be drawn due to the use of diverse QoL assessment tools. Conclusions: Most SRs support the benefit of pharmacist care on diabetes-related clinical, humanistic, and economic outcomes in primary care settings. Improvements in diabetes outcomes can significantly reduce the burden of diabe</w:instrText>
      </w:r>
      <w:r w:rsidRPr="00883E86">
        <w:rPr>
          <w:rFonts w:ascii="Arial" w:hAnsi="Arial" w:cs="Arial"/>
          <w:sz w:val="24"/>
          <w:szCs w:val="24"/>
        </w:rPr>
        <w:instrText>tes on healthcare system. Hence, the incorporation of pharmacists into multidisciplinary diabetes care teams is beneficial and should be strongly considered by clinicians and health policymakers.","author":[{"dropping-particle":"","family":"Abdulrhim","given":"Sara","non-dropping-particle":"","parse-names":false,"suffix":""},{"dropping-particle":"","family":"Sankaralingam","given":"Sowndramalingam","non-dropping-particle":"","parse-names":false,"suffix":""},{"dropping-particle":"","family":"Ibrahim","given":"Mohamed Izham Mohamed","non-dropping-particle":"","parse-names":false,"suffix":""},{"dropping-particle":"","family":"Awaisu","given":"Ahmed","non-dropping-particle":"","parse-names":false,"suffix":""}],"container-title":"Primary Care Diabetes","id":"ITEM-1","issue":"5","issued":{"date-parts":[["2020"]]},"page":"393-400","publisher":"Primary Care Diabetes Europe","title":"The impact of pharmacist care on diabetes outcomes in primary care settings: An umbrella review of published systematic reviews","type":"article-journal","volume":"14"},"uris":["http://www.mendeley.com/documents/?uuid=a7eb446a-de47-457d-997b-74af713305a0"]}],"mendeley":{"formattedCitation":"(Abdulrhim &lt;i&gt;et al.&lt;/i&gt;, 2020)","manualFormatting":"Abdulrhim et al., (2020)","plainTextFormattedCitation":"(Abdulrhim et al., 2020)","previouslyFormattedCitation":"(Abdulrhim &lt;i&gt;et al.&lt;/i&gt;, 2020)"},"properties":{"noteIndex":0},"schema":"https://github.com/citation-style-language/schema/raw/master/csl-citation.json"}</w:instrText>
      </w:r>
      <w:r w:rsidRPr="00883E86">
        <w:rPr>
          <w:rFonts w:ascii="Arial" w:hAnsi="Arial" w:cs="Arial"/>
          <w:sz w:val="24"/>
          <w:szCs w:val="24"/>
          <w:lang w:val="en"/>
        </w:rPr>
        <w:fldChar w:fldCharType="separate"/>
      </w:r>
      <w:r w:rsidRPr="00883E86">
        <w:rPr>
          <w:rFonts w:ascii="Arial" w:hAnsi="Arial" w:cs="Arial"/>
          <w:noProof/>
          <w:sz w:val="24"/>
          <w:szCs w:val="24"/>
        </w:rPr>
        <w:t xml:space="preserve">Abdulrhim </w:t>
      </w:r>
      <w:r w:rsidRPr="00883E86">
        <w:rPr>
          <w:rFonts w:ascii="Arial" w:hAnsi="Arial" w:cs="Arial"/>
          <w:i/>
          <w:noProof/>
          <w:sz w:val="24"/>
          <w:szCs w:val="24"/>
        </w:rPr>
        <w:t>et al.</w:t>
      </w:r>
      <w:r w:rsidRPr="00883E86">
        <w:rPr>
          <w:rFonts w:ascii="Arial" w:hAnsi="Arial" w:cs="Arial"/>
          <w:noProof/>
          <w:sz w:val="24"/>
          <w:szCs w:val="24"/>
        </w:rPr>
        <w:t>, (2020)</w:t>
      </w:r>
      <w:r w:rsidRPr="00883E86">
        <w:rPr>
          <w:rFonts w:ascii="Arial" w:hAnsi="Arial" w:cs="Arial"/>
          <w:sz w:val="24"/>
          <w:szCs w:val="24"/>
          <w:lang w:val="en"/>
        </w:rPr>
        <w:fldChar w:fldCharType="end"/>
      </w:r>
      <w:r w:rsidRPr="00876389">
        <w:rPr>
          <w:rFonts w:ascii="Arial" w:hAnsi="Arial" w:cs="Arial"/>
          <w:sz w:val="24"/>
          <w:szCs w:val="24"/>
          <w:lang w:val="en"/>
        </w:rPr>
        <w:t xml:space="preserve"> who </w:t>
      </w:r>
      <w:r w:rsidRPr="00876389">
        <w:rPr>
          <w:rFonts w:ascii="Arial" w:hAnsi="Arial" w:cs="Arial"/>
          <w:sz w:val="24"/>
          <w:szCs w:val="24"/>
        </w:rPr>
        <w:t xml:space="preserve">found that educational interventions by clinical pharmacists were the </w:t>
      </w:r>
      <w:r w:rsidRPr="00876389">
        <w:rPr>
          <w:rFonts w:ascii="Arial" w:hAnsi="Arial" w:cs="Arial"/>
          <w:sz w:val="24"/>
          <w:szCs w:val="24"/>
          <w:lang w:val="en"/>
        </w:rPr>
        <w:t>most common types of interventions.</w:t>
      </w:r>
      <w:r w:rsidRPr="00876389">
        <w:rPr>
          <w:rFonts w:ascii="Arial" w:hAnsi="Arial" w:cs="Arial"/>
          <w:sz w:val="24"/>
          <w:szCs w:val="24"/>
        </w:rPr>
        <w:t xml:space="preserve"> In addition, </w:t>
      </w:r>
      <w:r w:rsidRPr="00381A9B">
        <w:rPr>
          <w:rFonts w:ascii="Arial" w:hAnsi="Arial" w:cs="Arial"/>
          <w:noProof/>
          <w:sz w:val="24"/>
          <w:szCs w:val="24"/>
        </w:rPr>
        <w:fldChar w:fldCharType="begin" w:fldLock="1"/>
      </w:r>
      <w:r w:rsidRPr="00381A9B">
        <w:rPr>
          <w:rFonts w:ascii="Arial" w:hAnsi="Arial" w:cs="Arial"/>
          <w:noProof/>
          <w:sz w:val="24"/>
          <w:szCs w:val="24"/>
        </w:rPr>
        <w:instrText>ADDIN CSL_CITATION {"citationItems":[{"id":"ITEM-1","itemData":{"DOI":"10.1177/0897190020948678","ISSN":"15311937","PMID":"32783491","abstract":"Background/Objectives: Diabetes is a chronic disease that is associated with many other health problems, but studies have shown that patient education can improve outcomes. The purpose of this project was to determine if a pharmacist-led group diabetes education class led to improvement in hemoglobin A1c levels. Methods: Pharmacists in a family medicine clinic conduct a group diabetes education class for patients seen within the health system. The once monthly, 90-minute education class includes content regarding pathophysiology, complications, monitoring, dietary and exercise recommendations, and common antidiabetic medications. Data were collected via retrospective chart reviews and included 66 patients. The primary outcome was change in A1c from pre-class measurement to first, post-class measurement at least 3 months after pre-class measurement. Secondary outcomes included pre-class to post-class changes in weight, systolic blood pressure (SBP), and diastolic blood pressure (DBP). Outcome data were analyzed using a paired t-test and demographic data were presented with descriptive statistics. Results: The pharmacist-led diabetes education class was associated with statistically significant improvements on A1c lab values (mean decrease = 1.16%, p-value = 0.001) and weight (mean decrease = 1.8 kg, p-value = 0.03). However, SBP (mean decrease = 1.5 mmHg, p-value = 0.57) and DBP (mean decrease = 3.4 mmHg, p-value = 0.15) did not improve significantly. Implications: The results from this study support the idea that diabetes education classes are beneficial for the patient in learning how to properly manage this disease state. Pharmacists can play a vital role in diabetes management through counseling and patient education, which can improve patient outcomes.","author":[{"dropping-particle":"","family":"Lakey","given":"Hannah","non-dropping-particle":"","parse-names":false,"suffix":""},{"dropping-particle":"","family":"Boehmer","given":"Kaci","non-dropping-particle":"","parse-names":false,"suffix":""},{"dropping-particle":"","family":"Johnson","given":"Chris","non-dropping-particle":"","parse-names":false,"suffix":""}],"container-title":"Journal of Pharmacy Practice","id":"ITEM-1","issue":"1","issued":{"date-parts":[["2022"]]},"page":"54-56","title":"Impact of a Pharmacist-Led Group Diabetes Class","type":"article-journal","volume":"35"},"uris":["http://www.mendeley.com/documents/?uuid=b7c7357a-33bf-4943-94b5-ce4560835cdc"]}],"mendeley":{"formattedCitation":"(Lakey, Boehmer and Johnson, 2022)","manualFormatting":"Lakey et al., (2022)","plainTextFormattedCitation":"(Lakey, Boehmer and Johnson, 2022)","previouslyFormattedCitation":"(Lakey, Boehmer and Johnson, 2022)"},"properties":{"noteIndex":0},"schema":"https://github.com/citation-style-language/schema/raw/master/csl-citation.json"}</w:instrText>
      </w:r>
      <w:r w:rsidRPr="00381A9B">
        <w:rPr>
          <w:rFonts w:ascii="Arial" w:hAnsi="Arial" w:cs="Arial"/>
          <w:noProof/>
          <w:sz w:val="24"/>
          <w:szCs w:val="24"/>
        </w:rPr>
        <w:fldChar w:fldCharType="separate"/>
      </w:r>
      <w:r w:rsidRPr="00381A9B">
        <w:rPr>
          <w:rFonts w:ascii="Arial" w:hAnsi="Arial" w:cs="Arial"/>
          <w:noProof/>
          <w:sz w:val="24"/>
          <w:szCs w:val="24"/>
        </w:rPr>
        <w:t>Lakey</w:t>
      </w:r>
      <w:r w:rsidRPr="00381A9B">
        <w:rPr>
          <w:rFonts w:ascii="Arial" w:hAnsi="Arial" w:cs="Arial"/>
          <w:noProof/>
          <w:sz w:val="24"/>
          <w:szCs w:val="24"/>
          <w:lang w:val="en"/>
        </w:rPr>
        <w:t xml:space="preserve"> et al.</w:t>
      </w:r>
      <w:r w:rsidRPr="00381A9B">
        <w:rPr>
          <w:rFonts w:ascii="Arial" w:hAnsi="Arial" w:cs="Arial"/>
          <w:noProof/>
          <w:sz w:val="24"/>
          <w:szCs w:val="24"/>
        </w:rPr>
        <w:t>, (2022)</w:t>
      </w:r>
      <w:r w:rsidRPr="00381A9B">
        <w:rPr>
          <w:rFonts w:ascii="Arial" w:hAnsi="Arial" w:cs="Arial"/>
          <w:noProof/>
          <w:sz w:val="24"/>
          <w:szCs w:val="24"/>
        </w:rPr>
        <w:fldChar w:fldCharType="end"/>
      </w:r>
      <w:r w:rsidRPr="00381A9B">
        <w:rPr>
          <w:rFonts w:ascii="Arial" w:hAnsi="Arial" w:cs="Arial"/>
          <w:noProof/>
          <w:sz w:val="24"/>
          <w:szCs w:val="24"/>
        </w:rPr>
        <w:t xml:space="preserve"> </w:t>
      </w:r>
      <w:r w:rsidRPr="00883E86">
        <w:rPr>
          <w:rFonts w:ascii="Arial" w:hAnsi="Arial" w:cs="Arial"/>
          <w:noProof/>
          <w:sz w:val="24"/>
          <w:szCs w:val="24"/>
        </w:rPr>
        <w:t xml:space="preserve">found that a pharmacist-led diabetes education class was associated with statistically significant improvements in HbA1c and  weight. Patients benefited from the diabetes education classes delivered by pharmacists by learning how to effectively manage their condition. Education about diabetes mellitus and medication review were also the two most crucial aspects of pharmacist's interventions identified in another systematic review and mata analysis study </w:t>
      </w:r>
      <w:r w:rsidRPr="00876389">
        <w:rPr>
          <w:rFonts w:ascii="Arial" w:hAnsi="Arial" w:cs="Arial"/>
          <w:noProof/>
          <w:sz w:val="24"/>
          <w:szCs w:val="24"/>
        </w:rPr>
        <w:fldChar w:fldCharType="begin" w:fldLock="1"/>
      </w:r>
      <w:r w:rsidRPr="00883E86">
        <w:rPr>
          <w:rFonts w:ascii="Arial" w:hAnsi="Arial" w:cs="Arial"/>
          <w:noProof/>
          <w:sz w:val="24"/>
          <w:szCs w:val="24"/>
        </w:rPr>
        <w:instrText>ADDIN CSL_CITATION {"citationItems":[{"id":"ITEM-1","itemData":{"DOI":"10.1186/s13643-022-02117-w","ISSN":"20464053","PMID":"36522687","abstract":"Type 2 diabetes mellitus (T2D) is responsible for an important premature mortality. Phar- macists involved in community-based pharmaceutical care services could help patients with diabetes through education and management as they participate in their regular and long-term care. This meta-analysis aimed to evaluate the association between interventions led by pharmacists in the primary care setting and mean change in HbA1c levels. Randomized controlled trials and quasi- experimental studies with a control group were included. Standardized mean differences (SMD) and their 95% confidence intervals (95% CI) were calculated to compare the mean change in HbA1c values between baseline and end of the intervention in each group. Subgroup analyses were performed to explore heterogeneity. Twelve articles were included. The results showed that pharmacist’s inter- ventions significantly reduced HbA1c compared to usual care with an overall SMD of −0.67 (95% CI = [−0.87; −0.48], p &lt; 0.0001). Even if no significant difference between subgroups were found, the reduction of HbA1c seemed more important when baseline HbA1c was ≥8.5%, the intervention occurred monthly, in a primary care center and in countries with a lower human development index. Our results suggest that pharmacists-led interventions in the primary care setting can improve glycemic control for adults with T2D. Keywords:","author":[{"dropping-particle":"","family":"Coutureau","given":"Claire","non-dropping-particle":"","parse-names":false,"suffix":""},{"dropping-particle":"","family":"Slimano","given":"Florian","non-dropping-particle":"","parse-names":false,"suffix":""},{"dropping-particle":"","family":"Mongaret","given":"Céline","non-dropping-particle":"","parse-names":false,"suffix":""},{"dropping-particle":"","family":"Kanagaratnam","given":"Lukshe","non-dropping-particle":"","parse-names":false,"suffix":""}],"container-title":"International Journal of Environmental Research and Public Health","id":"ITEM-1","issue":"1","issued":{"date-parts":[["2022"]]},"title":"Impact of Pharmacists-Led Interventions in Primary Care for Adults with Type 2 Diabetes on HbA1c Levels: A Systematic Review and Meta-Analysis","type":"article-journal","volume":"19"},"uris":["http://www.mendeley.com/documents/?uuid=e3879d85-9237-46bb-b5d5-09effa390d16"]}],"mendeley":{"formattedCitation":"(Coutureau &lt;i&gt;et al.&lt;/i&gt;, 2022)","manualFormatting":"undertaken by Coutureau et al., (2022)","plainTextFormattedCitation":"(Coutureau et al., 2022)","previouslyFormattedCitation":"(Coutureau &lt;i&gt;et al.&lt;/i&gt;, 2022)"},"properties":{"noteIndex":0},"schema":"https://github.com/citation-style-language/schema/raw/master/csl-citation.json"}</w:instrText>
      </w:r>
      <w:r w:rsidRPr="00876389">
        <w:rPr>
          <w:rFonts w:ascii="Arial" w:hAnsi="Arial" w:cs="Arial"/>
          <w:noProof/>
          <w:sz w:val="24"/>
          <w:szCs w:val="24"/>
        </w:rPr>
        <w:fldChar w:fldCharType="separate"/>
      </w:r>
      <w:r w:rsidRPr="00883E86">
        <w:rPr>
          <w:rFonts w:ascii="Arial" w:hAnsi="Arial" w:cs="Arial"/>
          <w:noProof/>
          <w:sz w:val="24"/>
          <w:szCs w:val="24"/>
        </w:rPr>
        <w:t xml:space="preserve">undertaken by Coutureau </w:t>
      </w:r>
      <w:r w:rsidRPr="00883E86">
        <w:rPr>
          <w:rFonts w:ascii="Arial" w:hAnsi="Arial" w:cs="Arial"/>
          <w:i/>
          <w:noProof/>
          <w:sz w:val="24"/>
          <w:szCs w:val="24"/>
        </w:rPr>
        <w:t>et al.</w:t>
      </w:r>
      <w:r w:rsidRPr="00883E86">
        <w:rPr>
          <w:rFonts w:ascii="Arial" w:hAnsi="Arial" w:cs="Arial"/>
          <w:noProof/>
          <w:sz w:val="24"/>
          <w:szCs w:val="24"/>
        </w:rPr>
        <w:t>, (2022)</w:t>
      </w:r>
      <w:r w:rsidRPr="00876389">
        <w:rPr>
          <w:rFonts w:ascii="Arial" w:hAnsi="Arial" w:cs="Arial"/>
          <w:noProof/>
          <w:sz w:val="24"/>
          <w:szCs w:val="24"/>
        </w:rPr>
        <w:fldChar w:fldCharType="end"/>
      </w:r>
      <w:r w:rsidRPr="00883E86">
        <w:rPr>
          <w:rFonts w:ascii="Arial" w:hAnsi="Arial" w:cs="Arial"/>
          <w:noProof/>
          <w:sz w:val="24"/>
          <w:szCs w:val="24"/>
        </w:rPr>
        <w:t>.</w:t>
      </w:r>
    </w:p>
    <w:p w14:paraId="38E9766A" w14:textId="77777777" w:rsidR="002E2D31" w:rsidRPr="00876389" w:rsidRDefault="002E2D31" w:rsidP="002E2D31">
      <w:pPr>
        <w:spacing w:line="360" w:lineRule="auto"/>
        <w:jc w:val="both"/>
        <w:rPr>
          <w:rFonts w:ascii="Arial" w:hAnsi="Arial" w:cs="Arial"/>
          <w:sz w:val="24"/>
          <w:szCs w:val="24"/>
        </w:rPr>
      </w:pPr>
      <w:r w:rsidRPr="00381A9B">
        <w:rPr>
          <w:rFonts w:ascii="Arial" w:hAnsi="Arial" w:cs="Arial"/>
          <w:noProof/>
          <w:sz w:val="24"/>
          <w:szCs w:val="24"/>
        </w:rPr>
        <w:t xml:space="preserve">Positive </w:t>
      </w:r>
      <w:r w:rsidRPr="00381A9B">
        <w:rPr>
          <w:rFonts w:ascii="Arial" w:hAnsi="Arial" w:cs="Arial"/>
          <w:sz w:val="24"/>
          <w:szCs w:val="24"/>
          <w:lang w:val="en"/>
        </w:rPr>
        <w:t xml:space="preserve">effects and outcomes were </w:t>
      </w:r>
      <w:r w:rsidRPr="00381A9B">
        <w:rPr>
          <w:rFonts w:ascii="Arial" w:hAnsi="Arial" w:cs="Arial"/>
          <w:noProof/>
          <w:sz w:val="24"/>
          <w:szCs w:val="24"/>
        </w:rPr>
        <w:t xml:space="preserve">identified </w:t>
      </w:r>
      <w:r w:rsidRPr="00381A9B">
        <w:rPr>
          <w:rFonts w:ascii="Arial" w:hAnsi="Arial" w:cs="Arial"/>
          <w:sz w:val="24"/>
          <w:szCs w:val="24"/>
          <w:lang w:val="en"/>
        </w:rPr>
        <w:t xml:space="preserve">more often </w:t>
      </w:r>
      <w:r w:rsidRPr="00381A9B">
        <w:rPr>
          <w:rFonts w:ascii="Arial" w:hAnsi="Arial" w:cs="Arial"/>
          <w:noProof/>
          <w:sz w:val="24"/>
          <w:szCs w:val="24"/>
        </w:rPr>
        <w:t>in research involving interventions where pharmacists adopted a multifaceted/combination approach</w:t>
      </w:r>
      <w:r w:rsidRPr="00381A9B">
        <w:rPr>
          <w:rFonts w:ascii="Arial" w:hAnsi="Arial" w:cs="Arial"/>
          <w:sz w:val="24"/>
          <w:szCs w:val="24"/>
          <w:lang w:val="en"/>
        </w:rPr>
        <w:t>. The multifaceted intervention combined with follow-up of patients,</w:t>
      </w:r>
      <w:r w:rsidRPr="00381A9B">
        <w:t xml:space="preserve"> </w:t>
      </w:r>
      <w:r w:rsidRPr="00876389">
        <w:rPr>
          <w:rFonts w:ascii="Arial" w:hAnsi="Arial" w:cs="Arial"/>
          <w:sz w:val="24"/>
          <w:szCs w:val="24"/>
          <w:lang w:val="en"/>
        </w:rPr>
        <w:t xml:space="preserve">monitoring of their adherence to treatment plan, and reminding them to refill their prescription on time, </w:t>
      </w:r>
      <w:r w:rsidRPr="00381A9B">
        <w:rPr>
          <w:rFonts w:ascii="Arial" w:hAnsi="Arial" w:cs="Arial"/>
          <w:sz w:val="24"/>
          <w:szCs w:val="24"/>
          <w:lang w:val="en"/>
        </w:rPr>
        <w:t xml:space="preserve">rather than delivering education, counselling, medication reviews, or drug information in isolation, is considered a best practice approach to achieve satisfactory outcomes in improving the quality of care, and patient knowledge and satisfaction </w:t>
      </w:r>
      <w:r w:rsidRPr="00381A9B">
        <w:rPr>
          <w:rFonts w:ascii="Arial" w:hAnsi="Arial" w:cs="Arial"/>
          <w:sz w:val="24"/>
          <w:szCs w:val="24"/>
          <w:lang w:val="en"/>
        </w:rPr>
        <w:fldChar w:fldCharType="begin" w:fldLock="1"/>
      </w:r>
      <w:r w:rsidRPr="00381A9B">
        <w:rPr>
          <w:rFonts w:ascii="Arial" w:hAnsi="Arial" w:cs="Arial"/>
          <w:sz w:val="24"/>
          <w:szCs w:val="24"/>
          <w:lang w:val="en"/>
        </w:rPr>
        <w:instrText>ADDIN CSL_CITATION {"citationItems":[{"id":"ITEM-1","itemData":{"ISSN":"14668955","abstract":"Diabetes is one of the primary causes of death and disability globally, affecting over 371 million people, which is said to rise to 552 million people by 2030 (International Diabetes Federation, 2012). Current estimates suggest that there are over 3 million people in England with diabetes, of whom roughly a quarter are undiagnosed (Holman et al, 2011). The prevalence of diabetes is higher in developed countries than in developing countries but as developing countries become more industrialised, the incidence of diabetes will also increase. In the UK, it is estimated that the cost of treating diabetes and its related complications is approximately £14 billion (around 85% of that being due to type 2 diabetes), accounting for around 10% of the total NHS expenditure for England and Wales (Kanavos et al, 2012). In 2012, around 4.8 million deaths resulted from the disease and its associated complications worldwide (International Diabetes Federation, 2012). Diabetes has been stated to be the underlying cause of 12% of all new cases of legal blindness, over one third of new cases of end-stage renal disease and approximately half of non-traumatic lower-extremity amputations. It has also been indicated that people with diabetes are two to four times more likely to die from heart disease or suffer a stoke (Powers, 2001).","author":[{"dropping-particle":"","family":"Khunti","given":"Nitisha","non-dropping-particle":"","parse-names":false,"suffix":""},{"dropping-particle":"","family":"Willis","given":"Andrew","non-dropping-particle":"","parse-names":false,"suffix":""},{"dropping-particle":"","family":"Davies","given":"Melanie","non-dropping-particle":"","parse-names":false,"suffix":""},{"dropping-particle":"","family":"Khunti","given":"Kamlesh","non-dropping-particle":"","parse-names":false,"suffix":""}],"container-title":"Diabetes and Primary Care","id":"ITEM-1","issue":"3","issued":{"date-parts":[["2013"]]},"page":"131-140","title":"The role of pharmacists in the management of type 2 diabetes: A literature review","type":"article-journal","volume":"15"},"uris":["http://www.mendeley.com/documents/?uuid=6900c8a1-9e62-438f-95c1-aed9be81e4d2"]}],"mendeley":{"formattedCitation":"(Khunti &lt;i&gt;et al.&lt;/i&gt;, 2013)","manualFormatting":"(Khunti et al., 2013;","plainTextFormattedCitation":"(Khunti et al., 2013)","previouslyFormattedCitation":"(Khunti &lt;i&gt;et al.&lt;/i&gt;, 2013)"},"properties":{"noteIndex":0},"schema":"https://github.com/citation-style-language/schema/raw/master/csl-citation.json"}</w:instrText>
      </w:r>
      <w:r w:rsidRPr="00381A9B">
        <w:rPr>
          <w:rFonts w:ascii="Arial" w:hAnsi="Arial" w:cs="Arial"/>
          <w:sz w:val="24"/>
          <w:szCs w:val="24"/>
          <w:lang w:val="en"/>
        </w:rPr>
        <w:fldChar w:fldCharType="separate"/>
      </w:r>
      <w:r w:rsidRPr="00381A9B">
        <w:rPr>
          <w:rFonts w:ascii="Arial" w:hAnsi="Arial" w:cs="Arial"/>
          <w:noProof/>
          <w:sz w:val="24"/>
          <w:szCs w:val="24"/>
          <w:lang w:val="en"/>
        </w:rPr>
        <w:t>(</w:t>
      </w:r>
      <w:r w:rsidRPr="00876389">
        <w:rPr>
          <w:rFonts w:ascii="Arial" w:hAnsi="Arial" w:cs="Arial"/>
          <w:noProof/>
          <w:sz w:val="24"/>
          <w:szCs w:val="24"/>
          <w:lang w:val="en"/>
        </w:rPr>
        <w:t xml:space="preserve">Khunti </w:t>
      </w:r>
      <w:r w:rsidRPr="00876389">
        <w:rPr>
          <w:rFonts w:ascii="Arial" w:hAnsi="Arial" w:cs="Arial"/>
          <w:i/>
          <w:noProof/>
          <w:sz w:val="24"/>
          <w:szCs w:val="24"/>
          <w:lang w:val="en"/>
        </w:rPr>
        <w:t>et al.</w:t>
      </w:r>
      <w:r w:rsidRPr="00876389">
        <w:rPr>
          <w:rFonts w:ascii="Arial" w:hAnsi="Arial" w:cs="Arial"/>
          <w:noProof/>
          <w:sz w:val="24"/>
          <w:szCs w:val="24"/>
          <w:lang w:val="en"/>
        </w:rPr>
        <w:t>, 2013;</w:t>
      </w:r>
      <w:r w:rsidRPr="00381A9B">
        <w:rPr>
          <w:rFonts w:ascii="Arial" w:hAnsi="Arial" w:cs="Arial"/>
          <w:sz w:val="24"/>
          <w:szCs w:val="24"/>
          <w:lang w:val="en"/>
        </w:rPr>
        <w:fldChar w:fldCharType="end"/>
      </w:r>
      <w:r w:rsidRPr="00381A9B">
        <w:rPr>
          <w:rFonts w:ascii="Arial" w:hAnsi="Arial" w:cs="Arial"/>
          <w:sz w:val="24"/>
          <w:szCs w:val="24"/>
          <w:lang w:val="en"/>
        </w:rPr>
        <w:t xml:space="preserve"> </w:t>
      </w:r>
      <w:r w:rsidRPr="00381A9B">
        <w:rPr>
          <w:rFonts w:ascii="Arial" w:hAnsi="Arial" w:cs="Arial"/>
          <w:sz w:val="24"/>
          <w:szCs w:val="24"/>
          <w:lang w:val="en"/>
        </w:rPr>
        <w:fldChar w:fldCharType="begin" w:fldLock="1"/>
      </w:r>
      <w:r w:rsidRPr="00381A9B">
        <w:rPr>
          <w:rFonts w:ascii="Arial" w:hAnsi="Arial" w:cs="Arial"/>
          <w:sz w:val="24"/>
          <w:szCs w:val="24"/>
          <w:lang w:val="en"/>
        </w:rPr>
        <w:instrText>ADDIN CSL_CITATION {"citationItems":[{"id":"ITEM-1","itemData":{"DOI":"10.1016/j.sapharm.2013.08.006","ISSN":"15517411","abstract":"Background: Integration of pharmacists into primary care general practice clinics has the potential to improve interdisciplinary teamwork and patient care; however this practice is not widespread. Objective: The aim of this study was to review the effectiveness of clinical pharmacist services delivered in primary care general practice clinics. Methods: A systematic review of English language randomized controlled trials cited in the Cochrane Central Register of Controlled Trials, MEDLINE, EMBASE and International Pharmaceutical Abstracts was conducted. Studies were included if pharmacists had a regular and ongoing relationship with the clinic; delivered an intervention aimed at optimizing prescribing for, and/or medication use by, clinic patients; and were physically present within the clinic for all or part of the intervention, or for communication with staff. The search generated 1484 articles. After removal of duplicates and screening of titles and abstracts against inclusion criteria, 131 articles remained. A total of 38 studies were included in the review and assessed for quality. Seventeen studies had common endpoints (blood pressure, glycosylated hemoglobin, cholesterol and/or Framingham risk score) and were included in meta-analyses. Results: Twenty-nine of the 38 studies recruited patients with specific medical conditions, most commonly cardiovascular disease (15 studies) and/or diabetes (9 studies). The remaining 9 studies recruited patients at general risk of medication misadventure. Pharmacist interventions usually involved medication review (86.8%), with or without other activities delivered collaboratively with the general practitioner (family physician). Positive effects on primary outcomes related to medication use or clinical outcomes were reported in 19 studies, mixed effects in six studies, and no effect in 13 studies. The results of meta-analyses favored the pharmacist intervention, with significant improvements in blood pressure, glycosylated hemoglobin, cholesterol and Framingham risk score in intervention patients compared to control patients. Conclusions: Pharmacists co-located in general practice clinics delivered a range of interventions, with favorable results in various areas of chronic disease management and quality use of medicines. © 2014 Elsevier Inc.","author":[{"dropping-particle":"","family":"Tan","given":"Edwin C.K. K","non-dropping-particle":"","parse-names":false,"suffix":""},{"dropping-particle":"","family":"Stewart","given":"Kay","non-dropping-particle":"","parse-names":false,"suffix":""},{"dropping-particle":"","family":"Elliott","given":"Rohan A.","non-dropping-particle":"","parse-names":false,"suffix":""},{"dropping-particle":"","family":"Clin","given":"M Pharm","non-dropping-particle":"","parse-names":false,"suffix":""},{"dropping-particle":"","family":"George","given":"Johnson","non-dropping-particle":"","parse-names":false,"suffix":""},{"dropping-particle":"","family":"Clin","given":"M Pharm","non-dropping-particle":"","parse-names":false,"suffix":""},{"dropping-particle":"","family":"George","given":"Johnson","non-dropping-particle":"","parse-names":false,"suffix":""}],"container-title":"Research in Social and Administrative Pharmacy","id":"ITEM-1","issue":"4","issued":{"date-parts":[["2014","7"]]},"note":"From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w:instrText>
      </w:r>
      <w:r w:rsidRPr="00876389">
        <w:rPr>
          <w:rFonts w:ascii="Arial" w:hAnsi="Arial" w:cs="Arial"/>
          <w:sz w:val="24"/>
          <w:szCs w:val="24"/>
          <w:lang w:val="es-ES_tradnl"/>
        </w:rPr>
        <w:instrText xml:space="preserve"> George, J)\n\nCited By :85\n\nExport Date: 19 June 2019\n\nFrom Duplicate 2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 C K; Stewart, K; Elliott, R A; George, J)\n\nCited By :85\n\nExport Date: 19 June 2019","page":"608-622","publisher":"Elsevier Inc","title":"Pharmacist services provided in general practice clinics: A systematic review and meta-analysis","type":"article-journal","volume":"10"},"uris":["http://www.mendeley.com/documents/?uuid=0ba34a9a-c4c4-4c3f-a0ee-541c10cd2c32"]}],"mendeley":{"formattedCitation":"(Tan &lt;i&gt;et al.&lt;/i&gt;, 2014)","manualFormatting":"Tan et al., 2014;","plainTextFormattedCitation":"(Tan et al., 2014)","previouslyFormattedCitation":"(Tan &lt;i&gt;et al.&lt;/i&gt;, 2014)"},"properties":{"noteIndex":0},"schema":"https://github.com/citation-style-language/schema/raw/master/csl-citation.json"}</w:instrText>
      </w:r>
      <w:r w:rsidRPr="00381A9B">
        <w:rPr>
          <w:rFonts w:ascii="Arial" w:hAnsi="Arial" w:cs="Arial"/>
          <w:sz w:val="24"/>
          <w:szCs w:val="24"/>
          <w:lang w:val="en"/>
        </w:rPr>
        <w:fldChar w:fldCharType="separate"/>
      </w:r>
      <w:r w:rsidRPr="00876389">
        <w:rPr>
          <w:rFonts w:ascii="Arial" w:hAnsi="Arial" w:cs="Arial"/>
          <w:noProof/>
          <w:sz w:val="24"/>
          <w:szCs w:val="24"/>
          <w:lang w:val="es-ES_tradnl"/>
        </w:rPr>
        <w:t xml:space="preserve">Tan </w:t>
      </w:r>
      <w:r w:rsidRPr="00876389">
        <w:rPr>
          <w:rFonts w:ascii="Arial" w:hAnsi="Arial" w:cs="Arial"/>
          <w:i/>
          <w:noProof/>
          <w:sz w:val="24"/>
          <w:szCs w:val="24"/>
          <w:lang w:val="es-ES_tradnl"/>
        </w:rPr>
        <w:t>et al.</w:t>
      </w:r>
      <w:r w:rsidRPr="00876389">
        <w:rPr>
          <w:rFonts w:ascii="Arial" w:hAnsi="Arial" w:cs="Arial"/>
          <w:noProof/>
          <w:sz w:val="24"/>
          <w:szCs w:val="24"/>
          <w:lang w:val="es-ES_tradnl"/>
        </w:rPr>
        <w:t>, 2014;</w:t>
      </w:r>
      <w:r w:rsidRPr="00381A9B">
        <w:rPr>
          <w:rFonts w:ascii="Arial" w:hAnsi="Arial" w:cs="Arial"/>
          <w:sz w:val="24"/>
          <w:szCs w:val="24"/>
          <w:lang w:val="en"/>
        </w:rPr>
        <w:fldChar w:fldCharType="end"/>
      </w:r>
      <w:r w:rsidRPr="00876389">
        <w:rPr>
          <w:rFonts w:ascii="Arial" w:hAnsi="Arial" w:cs="Arial"/>
          <w:sz w:val="24"/>
          <w:szCs w:val="24"/>
          <w:lang w:val="es-ES_tradnl"/>
        </w:rPr>
        <w:t xml:space="preserve"> </w:t>
      </w:r>
      <w:r w:rsidRPr="00381A9B">
        <w:rPr>
          <w:rFonts w:ascii="Arial" w:hAnsi="Arial" w:cs="Arial"/>
          <w:sz w:val="24"/>
          <w:szCs w:val="24"/>
          <w:lang w:val="en"/>
        </w:rPr>
        <w:fldChar w:fldCharType="begin" w:fldLock="1"/>
      </w:r>
      <w:r w:rsidRPr="00876389">
        <w:rPr>
          <w:rFonts w:ascii="Arial" w:hAnsi="Arial" w:cs="Arial"/>
          <w:sz w:val="24"/>
          <w:szCs w:val="24"/>
          <w:lang w:val="es-ES_tradnl"/>
        </w:rPr>
        <w:instrText>ADDIN CSL_CITATION {"citationItems":[{"id":"ITEM-1","itemData":{"DOI":"10.3390/ijerph19106188","ISSN":"16604601","PMID":"35627724","abstract":"Type 2 diabetes mellitus has been assessed as a widespread disease globally. Unfortunately, this illness can occasionally go undetected and without symptoms until it reaches the emergency condition, and this can be notably true in patients who do not receive routine medical care. Pharmacists are the foremost accessible health care providers. They can help patients select the most appropriate hypoglycemic management strategy through their experiences. This review aimed to provide an overview of the literature published on community pharmacists’ interventions that are currently used and their usefulness in improving patient adherence and glycosylated hemoglobin (HbA1c) levels. Relevant studies were retrieved through a comprehensive search of three databases, PubMed/Medline, Web of Science, and CINAHL (2010 to 2020). In total, 8362 publications were identified. The final protocol was based on the “Preferred Reporting Items for Systematic Review and Meta-Analysis (PRISMA)”. After applying inclusion and exclusion measures, 21 articles were deemed relevant. In pharmacists’ interventions in diabetes care, patient education and counseling were the most common intervention methods. Essentially, this systematic review provides evidence and identifies the key features that may predict success in enhancing clinical outcomes and patient adherence to treatment. Based on our findings, we suggest further investigations of the root causes of non-adherence problems.","author":[{"dropping-particle":"","family":"Assaf","given":"Sarah","non-dropping-particle":"Al","parse-names":false,"suffix":""},{"dropping-particle":"","family":"Zelko","given":"Romana","non-dropping-particle":"","parse-names":false,"suffix":""},{"dropping-particle":"","family":"Hanko","given":"Balazs","non-dropping-particle":"","parse-names":false,"suffix":""}],"container-title":"International Journal of Environmental Research and Public Health","id":"ITEM-1","issue":"10","issued":{"date-parts":[["2022"]]},"title":"The Effect of Interventions Led by Community Pharmacists in Primary Care for Adults with Type 2 Diabetes Mellitus on Therapeutic Adherence and HbA1c Levels: A Systematic Review","type":"article-journal","volume":"19"},"uris":["http://www.mendeley.com/documents/?uuid=03eb66c1-df31-4fbe-8973-6fb41167a258"]}],"mendeley":{"formattedCitation":"(Al Assaf, Zelko and Hanko, 2022)","manualFormatting":"Al Assaf et al., 2022)","plainTextFormattedCitation":"(Al Assaf, Zelko and Hanko, 2022)","previouslyFormattedCitation":"(Al Assaf, Zelko and Hanko, 2022)"},"properties":{"noteIndex":0},"schema":"https://github.com/citation-style-language/schema/raw/master/csl-citation.json"}</w:instrText>
      </w:r>
      <w:r w:rsidRPr="00381A9B">
        <w:rPr>
          <w:rFonts w:ascii="Arial" w:hAnsi="Arial" w:cs="Arial"/>
          <w:sz w:val="24"/>
          <w:szCs w:val="24"/>
          <w:lang w:val="en"/>
        </w:rPr>
        <w:fldChar w:fldCharType="separate"/>
      </w:r>
      <w:r w:rsidRPr="00876389">
        <w:rPr>
          <w:rFonts w:ascii="Arial" w:hAnsi="Arial" w:cs="Arial"/>
          <w:noProof/>
          <w:sz w:val="24"/>
          <w:szCs w:val="24"/>
          <w:lang w:val="es-ES_tradnl"/>
        </w:rPr>
        <w:t>Al Assaf</w:t>
      </w:r>
      <w:r w:rsidRPr="00876389">
        <w:rPr>
          <w:rFonts w:ascii="Arial" w:hAnsi="Arial" w:cs="Arial"/>
          <w:i/>
          <w:noProof/>
          <w:sz w:val="24"/>
          <w:szCs w:val="24"/>
          <w:lang w:val="es-ES_tradnl"/>
        </w:rPr>
        <w:t xml:space="preserve"> et al.</w:t>
      </w:r>
      <w:r w:rsidRPr="00876389">
        <w:rPr>
          <w:rFonts w:ascii="Arial" w:hAnsi="Arial" w:cs="Arial"/>
          <w:noProof/>
          <w:sz w:val="24"/>
          <w:szCs w:val="24"/>
          <w:lang w:val="es-ES_tradnl"/>
        </w:rPr>
        <w:t>, 2022)</w:t>
      </w:r>
      <w:r w:rsidRPr="00381A9B">
        <w:rPr>
          <w:rFonts w:ascii="Arial" w:hAnsi="Arial" w:cs="Arial"/>
          <w:sz w:val="24"/>
          <w:szCs w:val="24"/>
          <w:lang w:val="en"/>
        </w:rPr>
        <w:fldChar w:fldCharType="end"/>
      </w:r>
      <w:r w:rsidRPr="00876389">
        <w:rPr>
          <w:rFonts w:ascii="Arial" w:hAnsi="Arial" w:cs="Arial"/>
          <w:sz w:val="24"/>
          <w:szCs w:val="24"/>
          <w:lang w:val="es-ES_tradnl"/>
        </w:rPr>
        <w:t xml:space="preserve">. </w:t>
      </w:r>
      <w:r w:rsidRPr="002E2D31">
        <w:rPr>
          <w:rFonts w:ascii="Arial" w:hAnsi="Arial" w:cs="Arial"/>
          <w:sz w:val="24"/>
          <w:szCs w:val="24"/>
          <w:shd w:val="clear" w:color="auto" w:fill="FFFFFF"/>
        </w:rPr>
        <w:t xml:space="preserve">This is consistent with the results of a meta-analysis which showed that various pharmacist-led interventions including patient education, consultation, and follow-up were associated with improvement in multiple clinical measures including HbA1c, BP, lipid profiles, and BMI </w:t>
      </w:r>
      <w:r w:rsidRPr="00876389">
        <w:rPr>
          <w:rFonts w:ascii="Arial" w:hAnsi="Arial" w:cs="Arial"/>
          <w:sz w:val="24"/>
          <w:szCs w:val="24"/>
          <w:shd w:val="clear" w:color="auto" w:fill="FFFFFF"/>
        </w:rPr>
        <w:fldChar w:fldCharType="begin" w:fldLock="1"/>
      </w:r>
      <w:r w:rsidRPr="002E2D31">
        <w:rPr>
          <w:rFonts w:ascii="Arial" w:hAnsi="Arial" w:cs="Arial"/>
          <w:sz w:val="24"/>
          <w:szCs w:val="24"/>
          <w:shd w:val="clear" w:color="auto" w:fill="FFFFFF"/>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w:instrText>
      </w:r>
      <w:r w:rsidRPr="00876389">
        <w:rPr>
          <w:rFonts w:ascii="Arial" w:hAnsi="Arial" w:cs="Arial"/>
          <w:sz w:val="24"/>
          <w:szCs w:val="24"/>
          <w:shd w:val="clear" w:color="auto" w:fill="FFFFFF"/>
        </w:rPr>
        <w:instrText>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from pharmacist intervention compared with those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2021)","plainTextFormattedCitation":"(Alabkal et al., 2021)","previouslyFormattedCitation":"(Alabkal &lt;i&gt;et al.&lt;/i&gt;, 2021)"},"properties":{"noteIndex":0},"schema":"https://github.com/citation-style-language/schema/raw/master/csl-citation.json"}</w:instrText>
      </w:r>
      <w:r w:rsidRPr="00876389">
        <w:rPr>
          <w:rFonts w:ascii="Arial" w:hAnsi="Arial" w:cs="Arial"/>
          <w:sz w:val="24"/>
          <w:szCs w:val="24"/>
          <w:shd w:val="clear" w:color="auto" w:fill="FFFFFF"/>
        </w:rPr>
        <w:fldChar w:fldCharType="separate"/>
      </w:r>
      <w:r w:rsidRPr="00876389">
        <w:rPr>
          <w:rFonts w:ascii="Arial" w:hAnsi="Arial" w:cs="Arial"/>
          <w:noProof/>
          <w:sz w:val="24"/>
          <w:szCs w:val="24"/>
          <w:shd w:val="clear" w:color="auto" w:fill="FFFFFF"/>
        </w:rPr>
        <w:t xml:space="preserve">(Alabkal </w:t>
      </w:r>
      <w:r w:rsidRPr="00876389">
        <w:rPr>
          <w:rFonts w:ascii="Arial" w:hAnsi="Arial" w:cs="Arial"/>
          <w:i/>
          <w:noProof/>
          <w:sz w:val="24"/>
          <w:szCs w:val="24"/>
          <w:shd w:val="clear" w:color="auto" w:fill="FFFFFF"/>
        </w:rPr>
        <w:t>et al.</w:t>
      </w:r>
      <w:r w:rsidRPr="00876389">
        <w:rPr>
          <w:rFonts w:ascii="Arial" w:hAnsi="Arial" w:cs="Arial"/>
          <w:noProof/>
          <w:sz w:val="24"/>
          <w:szCs w:val="24"/>
          <w:shd w:val="clear" w:color="auto" w:fill="FFFFFF"/>
        </w:rPr>
        <w:t>, 2021)</w:t>
      </w:r>
      <w:r w:rsidRPr="00876389">
        <w:rPr>
          <w:rFonts w:ascii="Arial" w:hAnsi="Arial" w:cs="Arial"/>
          <w:sz w:val="24"/>
          <w:szCs w:val="24"/>
          <w:shd w:val="clear" w:color="auto" w:fill="FFFFFF"/>
        </w:rPr>
        <w:fldChar w:fldCharType="end"/>
      </w:r>
      <w:r w:rsidRPr="00876389">
        <w:rPr>
          <w:rFonts w:ascii="Arial" w:hAnsi="Arial" w:cs="Arial"/>
          <w:sz w:val="24"/>
          <w:szCs w:val="24"/>
          <w:lang w:val="nl-NL"/>
        </w:rPr>
        <w:t>.</w:t>
      </w:r>
      <w:r w:rsidRPr="00876389">
        <w:rPr>
          <w:rFonts w:ascii="Arial" w:hAnsi="Arial" w:cs="Arial"/>
          <w:sz w:val="24"/>
          <w:szCs w:val="24"/>
          <w:shd w:val="clear" w:color="auto" w:fill="FFFFFF"/>
          <w:lang w:val="nl-NL"/>
        </w:rPr>
        <w:t xml:space="preserve"> </w:t>
      </w:r>
    </w:p>
    <w:p w14:paraId="6F70855D" w14:textId="77777777" w:rsidR="002E2D31" w:rsidRPr="00876389" w:rsidRDefault="002E2D31" w:rsidP="002E2D31">
      <w:pPr>
        <w:spacing w:line="360" w:lineRule="auto"/>
        <w:jc w:val="both"/>
        <w:rPr>
          <w:rFonts w:ascii="Arial" w:hAnsi="Arial" w:cs="Arial"/>
          <w:sz w:val="24"/>
          <w:szCs w:val="24"/>
          <w:shd w:val="clear" w:color="auto" w:fill="FFFFFF"/>
        </w:rPr>
      </w:pPr>
      <w:r w:rsidRPr="00876389">
        <w:rPr>
          <w:rFonts w:ascii="Arial" w:hAnsi="Arial" w:cs="Arial"/>
          <w:sz w:val="24"/>
          <w:szCs w:val="24"/>
          <w:lang w:val="en"/>
        </w:rPr>
        <w:fldChar w:fldCharType="begin" w:fldLock="1"/>
      </w:r>
      <w:r w:rsidRPr="00876389">
        <w:rPr>
          <w:rFonts w:ascii="Arial" w:hAnsi="Arial" w:cs="Arial"/>
          <w:sz w:val="24"/>
          <w:szCs w:val="24"/>
          <w:lang w:val="nl-NL"/>
        </w:rPr>
        <w:instrText xml:space="preserve">ADDIN CSL_CITATION {"citationItems":[{"id":"ITEM-1","itemData":{"DOI":"10.3390/ijerph19106188","ISSN":"16604601","PMID":"35627724","abstract":"Type 2 diabetes mellitus has been assessed as a widespread disease globally. Unfortunately, this illness can occasionally go undetected and without symptoms until it reaches the emergency condition, and this can be notably true in patients who do not receive routine medical care. Pharmacists are the foremost accessible health care providers. They can help patients select the most appropriate hypoglycemic management strategy through their experiences. This review aimed to provide an overview of the literature published on community pharmacists’ interventions that are currently used and their usefulness in improving patient adherence and glycosylated hemoglobin (HbA1c) levels. Relevant studies were retrieved through a comprehensive search of three databases, PubMed/Medline, Web of Science, and CINAHL (2010 to 2020). In total, 8362 publications were identified. The final protocol was based on the “Preferred Reporting Items for Systematic Review and Meta-Analysis (PRISMA)”. After applying inclusion and exclusion measures, 21 articles were deemed relevant. In pharmacists’ interventions in diabetes care, patient education and counseling were the most common </w:instrText>
      </w:r>
      <w:r w:rsidRPr="00876389">
        <w:rPr>
          <w:rFonts w:ascii="Arial" w:hAnsi="Arial" w:cs="Arial"/>
          <w:sz w:val="24"/>
          <w:szCs w:val="24"/>
        </w:rPr>
        <w:instrText>intervention methods. Essentially, this systematic review provides evidence and identifies the key features that may predict success in enhancing clinical outcomes and patient adherence to treatment. Based on our findings, we suggest further investigations of the root causes of non-adherence problems.","author":[{"dropping-particle":"","family":"Assaf","given":"Sarah","non-dropping-particle":"Al","parse-names":false,"suffix":""},{"dropping-particle":"","family":"Zelko","given":"Romana","non-dropping-particle":"","parse-names":false,"suffix":""},{"dropping-particle":"","family":"Hanko","given":"Balazs","non-dropping-particle":"","parse-names":false,"suffix":""}],"container-title":"International Journal of Environmental Research and Public Health","id":"ITEM-1","issue":"10","issued":{"date-parts":[["2022"]]},"title":"The Effect of Interventions Led by Community Pharmacists in Primary Care for Adults with Type 2 Diabetes Mellitus on Therapeutic Adherence and HbA1c Levels: A Systematic Review","type":"article-journal","volume":"19"},"uris":["http://www.mendeley.com/documents/?uuid=03eb66c1-df31-4fbe-8973-6fb41167a258"]}],"mendeley":{"formattedCitation":"(Al Assaf, Zelko and Hanko, 2022)","manualFormatting":"Al Assaf  et al. (2022)","plainTextFormattedCitation":"(Al Assaf, Zelko and Hanko, 2022)","previouslyFormattedCitation":"(Al Assaf, Zelko and Hanko, 2022)"},"properties":{"noteIndex":0},"schema":"https://github.com/citation-style-language/schema/raw/master/csl-citation.json"}</w:instrText>
      </w:r>
      <w:r w:rsidRPr="00876389">
        <w:rPr>
          <w:rFonts w:ascii="Arial" w:hAnsi="Arial" w:cs="Arial"/>
          <w:sz w:val="24"/>
          <w:szCs w:val="24"/>
          <w:lang w:val="en"/>
        </w:rPr>
        <w:fldChar w:fldCharType="separate"/>
      </w:r>
      <w:r w:rsidRPr="00876389">
        <w:rPr>
          <w:rFonts w:ascii="Arial" w:hAnsi="Arial" w:cs="Arial"/>
          <w:noProof/>
          <w:sz w:val="24"/>
          <w:szCs w:val="24"/>
        </w:rPr>
        <w:t>Al Assaf  et al. (2022)</w:t>
      </w:r>
      <w:r w:rsidRPr="00876389">
        <w:rPr>
          <w:rFonts w:ascii="Arial" w:hAnsi="Arial" w:cs="Arial"/>
          <w:sz w:val="24"/>
          <w:szCs w:val="24"/>
          <w:lang w:val="en"/>
        </w:rPr>
        <w:fldChar w:fldCharType="end"/>
      </w:r>
      <w:r w:rsidRPr="00876389">
        <w:rPr>
          <w:rFonts w:ascii="Arial" w:hAnsi="Arial" w:cs="Arial"/>
          <w:sz w:val="24"/>
          <w:szCs w:val="24"/>
          <w:lang w:val="en"/>
        </w:rPr>
        <w:t xml:space="preserve"> </w:t>
      </w:r>
      <w:r w:rsidRPr="00876389">
        <w:rPr>
          <w:rFonts w:ascii="Arial" w:hAnsi="Arial" w:cs="Arial"/>
          <w:sz w:val="24"/>
          <w:szCs w:val="24"/>
          <w:shd w:val="clear" w:color="auto" w:fill="FFFFFF"/>
        </w:rPr>
        <w:t>similarly concluded</w:t>
      </w:r>
      <w:r w:rsidRPr="00876389">
        <w:rPr>
          <w:rFonts w:ascii="Arial" w:hAnsi="Arial" w:cs="Arial"/>
          <w:sz w:val="24"/>
          <w:szCs w:val="24"/>
        </w:rPr>
        <w:t xml:space="preserve"> </w:t>
      </w:r>
      <w:r w:rsidRPr="00876389">
        <w:rPr>
          <w:rFonts w:ascii="Arial" w:hAnsi="Arial" w:cs="Arial"/>
          <w:sz w:val="24"/>
          <w:szCs w:val="24"/>
          <w:shd w:val="clear" w:color="auto" w:fill="FFFFFF"/>
        </w:rPr>
        <w:t xml:space="preserve">from their study that pharmacists who followed multiple diabetes management strategies improved patient outcomes more. In addition to the positive impact on clinical parameters of pharmaceutical care in diabetes management, positive effects on health-related quality of life and health costs have also been shown in a systematic review and meta-analysis </w:t>
      </w:r>
      <w:r w:rsidRPr="00876389">
        <w:rPr>
          <w:rFonts w:ascii="Arial" w:hAnsi="Arial" w:cs="Arial"/>
          <w:sz w:val="24"/>
          <w:szCs w:val="24"/>
          <w:lang w:val="en"/>
        </w:rPr>
        <w:fldChar w:fldCharType="begin" w:fldLock="1"/>
      </w:r>
      <w:r w:rsidRPr="00876389">
        <w:rPr>
          <w:rFonts w:ascii="Arial" w:hAnsi="Arial" w:cs="Arial"/>
          <w:sz w:val="24"/>
          <w:szCs w:val="24"/>
          <w:lang w:val="en"/>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w:instrText>
      </w:r>
      <w:r w:rsidRPr="00876389">
        <w:rPr>
          <w:rFonts w:ascii="Arial" w:hAnsi="Arial" w:cs="Arial"/>
          <w:sz w:val="24"/>
          <w:szCs w:val="24"/>
        </w:rPr>
        <w:instrText>m pharmacist intervention compared with those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2021)","plainTextFormattedCitation":"(Alabkal et al., 2021)","previouslyFormattedCitation":"(Alabkal &lt;i&gt;et al.&lt;/i&gt;, 2021)"},"properties":{"noteIndex":0},"schema":"https://github.com/citation-style-language/schema/raw/master/csl-citation.json"}</w:instrText>
      </w:r>
      <w:r w:rsidRPr="00876389">
        <w:rPr>
          <w:rFonts w:ascii="Arial" w:hAnsi="Arial" w:cs="Arial"/>
          <w:sz w:val="24"/>
          <w:szCs w:val="24"/>
          <w:lang w:val="en"/>
        </w:rPr>
        <w:fldChar w:fldCharType="separate"/>
      </w:r>
      <w:r w:rsidRPr="00876389">
        <w:rPr>
          <w:rFonts w:ascii="Arial" w:hAnsi="Arial" w:cs="Arial"/>
          <w:noProof/>
          <w:sz w:val="24"/>
          <w:szCs w:val="24"/>
        </w:rPr>
        <w:t xml:space="preserve">(Alabkal </w:t>
      </w:r>
      <w:r w:rsidRPr="00876389">
        <w:rPr>
          <w:rFonts w:ascii="Arial" w:hAnsi="Arial" w:cs="Arial"/>
          <w:i/>
          <w:noProof/>
          <w:sz w:val="24"/>
          <w:szCs w:val="24"/>
        </w:rPr>
        <w:t>et al.</w:t>
      </w:r>
      <w:r w:rsidRPr="00876389">
        <w:rPr>
          <w:rFonts w:ascii="Arial" w:hAnsi="Arial" w:cs="Arial"/>
          <w:noProof/>
          <w:sz w:val="24"/>
          <w:szCs w:val="24"/>
        </w:rPr>
        <w:t>, 2021)</w:t>
      </w:r>
      <w:r w:rsidRPr="00876389">
        <w:rPr>
          <w:rFonts w:ascii="Arial" w:hAnsi="Arial" w:cs="Arial"/>
          <w:sz w:val="24"/>
          <w:szCs w:val="24"/>
          <w:lang w:val="en"/>
        </w:rPr>
        <w:fldChar w:fldCharType="end"/>
      </w:r>
      <w:r w:rsidRPr="00876389">
        <w:rPr>
          <w:rFonts w:ascii="Arial" w:hAnsi="Arial" w:cs="Arial"/>
          <w:sz w:val="24"/>
          <w:szCs w:val="24"/>
        </w:rPr>
        <w:t>.</w:t>
      </w:r>
      <w:r w:rsidRPr="00876389">
        <w:rPr>
          <w:rFonts w:ascii="Arial" w:hAnsi="Arial" w:cs="Arial"/>
          <w:sz w:val="24"/>
          <w:szCs w:val="24"/>
          <w:shd w:val="clear" w:color="auto" w:fill="FFFFFF"/>
        </w:rPr>
        <w:t xml:space="preserve">  </w:t>
      </w:r>
    </w:p>
    <w:p w14:paraId="6BBE156A" w14:textId="6C406B83" w:rsidR="00941883" w:rsidRDefault="002E2D31" w:rsidP="009B063C">
      <w:pPr>
        <w:spacing w:line="360" w:lineRule="auto"/>
        <w:jc w:val="both"/>
        <w:rPr>
          <w:rFonts w:ascii="Arial" w:hAnsi="Arial" w:cs="Arial"/>
          <w:sz w:val="24"/>
          <w:szCs w:val="24"/>
          <w:lang w:val="en-GB"/>
        </w:rPr>
      </w:pPr>
      <w:r w:rsidRPr="00052D21">
        <w:rPr>
          <w:rFonts w:ascii="Arial" w:hAnsi="Arial" w:cs="Arial"/>
          <w:sz w:val="24"/>
          <w:szCs w:val="24"/>
          <w:shd w:val="clear" w:color="auto" w:fill="FFFFFF"/>
        </w:rPr>
        <w:t xml:space="preserve">In conclusion, </w:t>
      </w:r>
      <w:r w:rsidRPr="00052D21">
        <w:rPr>
          <w:rFonts w:ascii="Arial" w:eastAsia="Times New Roman" w:hAnsi="Arial" w:cs="Arial"/>
          <w:sz w:val="24"/>
          <w:szCs w:val="24"/>
          <w:lang w:val="en-GB"/>
        </w:rPr>
        <w:t xml:space="preserve">pharmacists can play an important role in diabetes management by providing several clinical activities as outlined above. </w:t>
      </w:r>
      <w:r w:rsidRPr="00052D21">
        <w:rPr>
          <w:rFonts w:ascii="Arial" w:hAnsi="Arial" w:cs="Arial"/>
          <w:sz w:val="24"/>
          <w:szCs w:val="24"/>
          <w:lang w:val="en-GB"/>
        </w:rPr>
        <w:t xml:space="preserve">In summary a range of different interventions have been identified in this literature. Medication review, medication therapy management, and patient education and counselling were the most types of pharmacists’ interventions in diabetes management.  </w:t>
      </w:r>
    </w:p>
    <w:p w14:paraId="0ADD796B" w14:textId="21F7C58E" w:rsidR="009B063C" w:rsidRPr="00A57FA9" w:rsidRDefault="009B063C" w:rsidP="00A57FA9">
      <w:pPr>
        <w:pStyle w:val="Caption"/>
        <w:spacing w:line="360" w:lineRule="auto"/>
        <w:rPr>
          <w:rFonts w:ascii="Arial" w:hAnsi="Arial" w:cs="Arial"/>
          <w:i w:val="0"/>
          <w:iCs w:val="0"/>
          <w:color w:val="auto"/>
          <w:sz w:val="24"/>
          <w:szCs w:val="24"/>
          <w:lang w:val="en-GB"/>
        </w:rPr>
        <w:sectPr w:rsidR="009B063C" w:rsidRPr="00A57FA9" w:rsidSect="002E2D31">
          <w:pgSz w:w="12240" w:h="15840"/>
          <w:pgMar w:top="1440" w:right="1440" w:bottom="1440" w:left="1440" w:header="720" w:footer="720" w:gutter="0"/>
          <w:pgNumType w:start="42"/>
          <w:cols w:space="720"/>
          <w:docGrid w:linePitch="360"/>
        </w:sectPr>
      </w:pPr>
      <w:r w:rsidRPr="009B063C">
        <w:rPr>
          <w:rFonts w:ascii="Arial" w:hAnsi="Arial" w:cs="Arial"/>
          <w:i w:val="0"/>
          <w:iCs w:val="0"/>
          <w:color w:val="auto"/>
          <w:sz w:val="24"/>
          <w:szCs w:val="24"/>
          <w:lang w:val="en-GB"/>
        </w:rPr>
        <w:t>The following sections will present the evidence from the global and Saudi literature on the impact of pharmacists' interventions and involvement in diabetes management, focusing on three aspects: clinical, economic and humanistic outcomes.</w:t>
      </w:r>
    </w:p>
    <w:p w14:paraId="6AEB429E" w14:textId="247941CF" w:rsidR="00941883" w:rsidRPr="004D4993" w:rsidRDefault="00941883" w:rsidP="00941883">
      <w:pPr>
        <w:pStyle w:val="Caption"/>
        <w:rPr>
          <w:sz w:val="28"/>
          <w:szCs w:val="28"/>
        </w:rPr>
      </w:pPr>
      <w:bookmarkStart w:id="56" w:name="_Ref148113452"/>
      <w:bookmarkStart w:id="57" w:name="_Toc153894559"/>
      <w:r w:rsidRPr="004D4993">
        <w:rPr>
          <w:sz w:val="22"/>
          <w:szCs w:val="22"/>
        </w:rPr>
        <w:t xml:space="preserve">Table </w:t>
      </w:r>
      <w:r w:rsidRPr="004D4993">
        <w:rPr>
          <w:sz w:val="22"/>
          <w:szCs w:val="22"/>
        </w:rPr>
        <w:fldChar w:fldCharType="begin"/>
      </w:r>
      <w:r w:rsidRPr="004D4993">
        <w:rPr>
          <w:sz w:val="22"/>
          <w:szCs w:val="22"/>
        </w:rPr>
        <w:instrText xml:space="preserve"> SEQ Table \* ARABIC </w:instrText>
      </w:r>
      <w:r w:rsidRPr="004D4993">
        <w:rPr>
          <w:sz w:val="22"/>
          <w:szCs w:val="22"/>
        </w:rPr>
        <w:fldChar w:fldCharType="separate"/>
      </w:r>
      <w:r w:rsidR="009B31EB">
        <w:rPr>
          <w:noProof/>
          <w:sz w:val="22"/>
          <w:szCs w:val="22"/>
        </w:rPr>
        <w:t>5</w:t>
      </w:r>
      <w:r w:rsidRPr="004D4993">
        <w:rPr>
          <w:sz w:val="22"/>
          <w:szCs w:val="22"/>
        </w:rPr>
        <w:fldChar w:fldCharType="end"/>
      </w:r>
      <w:bookmarkEnd w:id="56"/>
      <w:r w:rsidRPr="004D4993">
        <w:rPr>
          <w:sz w:val="22"/>
          <w:szCs w:val="22"/>
        </w:rPr>
        <w:t xml:space="preserve">: </w:t>
      </w:r>
      <w:r w:rsidR="00D62D8D">
        <w:rPr>
          <w:sz w:val="22"/>
          <w:szCs w:val="22"/>
        </w:rPr>
        <w:t>P</w:t>
      </w:r>
      <w:r>
        <w:rPr>
          <w:sz w:val="22"/>
          <w:szCs w:val="22"/>
        </w:rPr>
        <w:t>harmacist</w:t>
      </w:r>
      <w:r w:rsidRPr="004D4993">
        <w:rPr>
          <w:sz w:val="22"/>
          <w:szCs w:val="22"/>
        </w:rPr>
        <w:t xml:space="preserve"> </w:t>
      </w:r>
      <w:r w:rsidR="00BE16A1">
        <w:rPr>
          <w:sz w:val="22"/>
          <w:szCs w:val="22"/>
        </w:rPr>
        <w:t>involvement in diabetes management</w:t>
      </w:r>
      <w:r w:rsidRPr="004D4993">
        <w:rPr>
          <w:sz w:val="22"/>
          <w:szCs w:val="22"/>
        </w:rPr>
        <w:t xml:space="preserve"> identified in this review.</w:t>
      </w:r>
      <w:bookmarkEnd w:id="57"/>
      <w:r w:rsidRPr="004D4993">
        <w:rPr>
          <w:sz w:val="22"/>
          <w:szCs w:val="22"/>
        </w:rPr>
        <w:t xml:space="preserve"> </w:t>
      </w:r>
    </w:p>
    <w:tbl>
      <w:tblPr>
        <w:tblpPr w:leftFromText="180" w:rightFromText="180" w:horzAnchor="margin" w:tblpY="498"/>
        <w:tblW w:w="13406" w:type="dxa"/>
        <w:tblLook w:val="04A0" w:firstRow="1" w:lastRow="0" w:firstColumn="1" w:lastColumn="0" w:noHBand="0" w:noVBand="1"/>
      </w:tblPr>
      <w:tblGrid>
        <w:gridCol w:w="1854"/>
        <w:gridCol w:w="6156"/>
        <w:gridCol w:w="5396"/>
      </w:tblGrid>
      <w:tr w:rsidR="00941883" w:rsidRPr="00172655" w14:paraId="3825D083" w14:textId="77777777" w:rsidTr="00282204">
        <w:trPr>
          <w:trHeight w:val="472"/>
        </w:trPr>
        <w:tc>
          <w:tcPr>
            <w:tcW w:w="1854" w:type="dxa"/>
            <w:tcBorders>
              <w:bottom w:val="single" w:sz="4" w:space="0" w:color="auto"/>
            </w:tcBorders>
            <w:shd w:val="clear" w:color="000000" w:fill="F2F2F2"/>
            <w:vAlign w:val="center"/>
            <w:hideMark/>
          </w:tcPr>
          <w:p w14:paraId="5E6797B7" w14:textId="77777777" w:rsidR="00941883" w:rsidRPr="00172655" w:rsidRDefault="00941883" w:rsidP="00282204">
            <w:pPr>
              <w:spacing w:after="0" w:line="240" w:lineRule="auto"/>
              <w:rPr>
                <w:rFonts w:ascii="Arial" w:eastAsia="Times New Roman" w:hAnsi="Arial" w:cs="Arial"/>
                <w:color w:val="000000"/>
                <w:sz w:val="20"/>
                <w:szCs w:val="20"/>
              </w:rPr>
            </w:pPr>
            <w:r w:rsidRPr="00172655">
              <w:rPr>
                <w:rFonts w:ascii="Arial" w:eastAsia="Times New Roman" w:hAnsi="Arial" w:cs="Arial"/>
                <w:color w:val="000000"/>
                <w:sz w:val="20"/>
                <w:szCs w:val="20"/>
                <w:lang w:val="en-GB"/>
              </w:rPr>
              <w:t>Intervention type</w:t>
            </w:r>
          </w:p>
        </w:tc>
        <w:tc>
          <w:tcPr>
            <w:tcW w:w="6156" w:type="dxa"/>
            <w:tcBorders>
              <w:bottom w:val="single" w:sz="4" w:space="0" w:color="auto"/>
            </w:tcBorders>
            <w:shd w:val="clear" w:color="000000" w:fill="F2F2F2"/>
            <w:vAlign w:val="center"/>
            <w:hideMark/>
          </w:tcPr>
          <w:p w14:paraId="47342C1C" w14:textId="77777777" w:rsidR="00941883" w:rsidRPr="00172655" w:rsidRDefault="00941883" w:rsidP="00282204">
            <w:pPr>
              <w:spacing w:after="0" w:line="240" w:lineRule="auto"/>
              <w:rPr>
                <w:rFonts w:ascii="Arial" w:eastAsia="Times New Roman" w:hAnsi="Arial" w:cs="Arial"/>
                <w:color w:val="000000"/>
                <w:sz w:val="20"/>
                <w:szCs w:val="20"/>
              </w:rPr>
            </w:pPr>
            <w:r w:rsidRPr="00172655">
              <w:rPr>
                <w:rFonts w:ascii="Arial" w:eastAsia="Times New Roman" w:hAnsi="Arial" w:cs="Arial"/>
                <w:color w:val="000000"/>
                <w:sz w:val="20"/>
                <w:szCs w:val="20"/>
                <w:lang w:val="en-GB"/>
              </w:rPr>
              <w:t>Scope of service</w:t>
            </w:r>
          </w:p>
        </w:tc>
        <w:tc>
          <w:tcPr>
            <w:tcW w:w="5396" w:type="dxa"/>
            <w:tcBorders>
              <w:bottom w:val="single" w:sz="4" w:space="0" w:color="auto"/>
            </w:tcBorders>
            <w:shd w:val="clear" w:color="000000" w:fill="F2F2F2"/>
            <w:vAlign w:val="center"/>
            <w:hideMark/>
          </w:tcPr>
          <w:p w14:paraId="378D05D7" w14:textId="77777777" w:rsidR="00941883" w:rsidRPr="00172655" w:rsidRDefault="00941883" w:rsidP="00282204">
            <w:pPr>
              <w:spacing w:after="0" w:line="240" w:lineRule="auto"/>
              <w:rPr>
                <w:rFonts w:ascii="Arial" w:eastAsia="Times New Roman" w:hAnsi="Arial" w:cs="Arial"/>
                <w:color w:val="000000"/>
                <w:sz w:val="20"/>
                <w:szCs w:val="20"/>
              </w:rPr>
            </w:pPr>
            <w:r w:rsidRPr="00172655">
              <w:rPr>
                <w:rFonts w:ascii="Arial" w:eastAsia="Times New Roman" w:hAnsi="Arial" w:cs="Arial"/>
                <w:color w:val="000000"/>
                <w:sz w:val="20"/>
                <w:szCs w:val="20"/>
                <w:lang w:val="en-GB"/>
              </w:rPr>
              <w:t>Studies</w:t>
            </w:r>
          </w:p>
        </w:tc>
      </w:tr>
      <w:tr w:rsidR="00941883" w:rsidRPr="00172655" w14:paraId="5A2FE647" w14:textId="77777777" w:rsidTr="00282204">
        <w:trPr>
          <w:trHeight w:val="2217"/>
        </w:trPr>
        <w:tc>
          <w:tcPr>
            <w:tcW w:w="1854" w:type="dxa"/>
            <w:tcBorders>
              <w:top w:val="single" w:sz="4" w:space="0" w:color="auto"/>
              <w:bottom w:val="single" w:sz="4" w:space="0" w:color="auto"/>
            </w:tcBorders>
            <w:shd w:val="clear" w:color="auto" w:fill="auto"/>
            <w:vAlign w:val="center"/>
            <w:hideMark/>
          </w:tcPr>
          <w:p w14:paraId="1DBD0F67" w14:textId="77777777" w:rsidR="00941883" w:rsidRPr="00172655" w:rsidRDefault="00941883" w:rsidP="00282204">
            <w:pPr>
              <w:spacing w:after="0" w:line="240" w:lineRule="auto"/>
              <w:rPr>
                <w:rFonts w:ascii="Arial" w:eastAsia="Times New Roman" w:hAnsi="Arial" w:cs="Arial"/>
                <w:color w:val="000000"/>
                <w:sz w:val="20"/>
                <w:szCs w:val="20"/>
                <w:lang w:val="en-GB"/>
              </w:rPr>
            </w:pPr>
            <w:r w:rsidRPr="00172655">
              <w:rPr>
                <w:rFonts w:ascii="Arial" w:eastAsia="Times New Roman" w:hAnsi="Arial" w:cs="Arial"/>
                <w:color w:val="000000"/>
                <w:sz w:val="20"/>
                <w:szCs w:val="20"/>
                <w:lang w:val="en-GB"/>
              </w:rPr>
              <w:t>Medication review</w:t>
            </w:r>
          </w:p>
          <w:p w14:paraId="7904A5C6" w14:textId="77777777" w:rsidR="00941883" w:rsidRPr="00172655" w:rsidRDefault="00941883" w:rsidP="00282204">
            <w:pPr>
              <w:spacing w:after="0" w:line="240" w:lineRule="auto"/>
              <w:rPr>
                <w:rFonts w:ascii="Arial" w:eastAsia="Times New Roman" w:hAnsi="Arial" w:cs="Arial"/>
                <w:color w:val="000000"/>
                <w:sz w:val="20"/>
                <w:szCs w:val="20"/>
                <w:lang w:val="en-GB"/>
              </w:rPr>
            </w:pPr>
          </w:p>
          <w:p w14:paraId="4258A872" w14:textId="77777777" w:rsidR="00941883" w:rsidRPr="00172655" w:rsidRDefault="00941883" w:rsidP="00282204">
            <w:pPr>
              <w:spacing w:after="0" w:line="240" w:lineRule="auto"/>
              <w:rPr>
                <w:rFonts w:ascii="Arial" w:eastAsia="Times New Roman" w:hAnsi="Arial" w:cs="Arial"/>
                <w:color w:val="000000"/>
                <w:sz w:val="20"/>
                <w:szCs w:val="20"/>
                <w:lang w:val="en-GB"/>
              </w:rPr>
            </w:pPr>
          </w:p>
          <w:p w14:paraId="5E42FFA5" w14:textId="77777777" w:rsidR="00941883" w:rsidRPr="00172655" w:rsidRDefault="00941883" w:rsidP="00282204">
            <w:pPr>
              <w:spacing w:after="0" w:line="240" w:lineRule="auto"/>
              <w:rPr>
                <w:rFonts w:ascii="Arial" w:eastAsia="Times New Roman" w:hAnsi="Arial" w:cs="Arial"/>
                <w:color w:val="000000"/>
                <w:sz w:val="20"/>
                <w:szCs w:val="20"/>
                <w:lang w:val="en-GB"/>
              </w:rPr>
            </w:pPr>
          </w:p>
          <w:p w14:paraId="4B563BCD" w14:textId="77777777" w:rsidR="00941883" w:rsidRPr="00172655" w:rsidRDefault="00941883" w:rsidP="00282204">
            <w:pPr>
              <w:spacing w:after="0" w:line="240" w:lineRule="auto"/>
              <w:rPr>
                <w:rFonts w:ascii="Arial" w:eastAsia="Times New Roman" w:hAnsi="Arial" w:cs="Arial"/>
                <w:color w:val="000000"/>
                <w:sz w:val="20"/>
                <w:szCs w:val="20"/>
                <w:lang w:val="en-GB"/>
              </w:rPr>
            </w:pPr>
          </w:p>
          <w:p w14:paraId="4640FFAA" w14:textId="77777777" w:rsidR="00941883" w:rsidRPr="00172655" w:rsidRDefault="00941883" w:rsidP="00282204">
            <w:pPr>
              <w:spacing w:after="0" w:line="240" w:lineRule="auto"/>
              <w:rPr>
                <w:rFonts w:ascii="Arial" w:eastAsia="Times New Roman" w:hAnsi="Arial" w:cs="Arial"/>
                <w:color w:val="000000"/>
                <w:sz w:val="20"/>
                <w:szCs w:val="20"/>
                <w:lang w:val="en-GB"/>
              </w:rPr>
            </w:pPr>
          </w:p>
          <w:p w14:paraId="469CEE94" w14:textId="77777777" w:rsidR="00941883" w:rsidRPr="00172655" w:rsidRDefault="00941883" w:rsidP="00282204">
            <w:pPr>
              <w:spacing w:after="0" w:line="240" w:lineRule="auto"/>
              <w:rPr>
                <w:rFonts w:ascii="Arial" w:eastAsia="Times New Roman" w:hAnsi="Arial" w:cs="Arial"/>
                <w:color w:val="000000"/>
                <w:sz w:val="20"/>
                <w:szCs w:val="20"/>
              </w:rPr>
            </w:pPr>
          </w:p>
        </w:tc>
        <w:tc>
          <w:tcPr>
            <w:tcW w:w="6156" w:type="dxa"/>
            <w:tcBorders>
              <w:top w:val="single" w:sz="4" w:space="0" w:color="auto"/>
              <w:bottom w:val="single" w:sz="4" w:space="0" w:color="auto"/>
            </w:tcBorders>
            <w:shd w:val="clear" w:color="auto" w:fill="auto"/>
            <w:vAlign w:val="center"/>
            <w:hideMark/>
          </w:tcPr>
          <w:p w14:paraId="0D798B18" w14:textId="77777777" w:rsidR="00941883" w:rsidRPr="00172655" w:rsidRDefault="00941883" w:rsidP="00282204">
            <w:pPr>
              <w:spacing w:after="0" w:line="240" w:lineRule="auto"/>
              <w:rPr>
                <w:rFonts w:ascii="Arial" w:eastAsia="Times New Roman" w:hAnsi="Arial" w:cs="Arial"/>
                <w:color w:val="000000"/>
                <w:sz w:val="20"/>
                <w:szCs w:val="20"/>
                <w:lang w:val="en-GB"/>
              </w:rPr>
            </w:pPr>
          </w:p>
          <w:p w14:paraId="0AD9DDB5" w14:textId="77777777" w:rsidR="00941883" w:rsidRPr="00B63395" w:rsidRDefault="00941883" w:rsidP="00941883">
            <w:pPr>
              <w:pStyle w:val="ListParagraph"/>
              <w:numPr>
                <w:ilvl w:val="0"/>
                <w:numId w:val="33"/>
              </w:numPr>
              <w:spacing w:after="0" w:line="240" w:lineRule="auto"/>
              <w:jc w:val="both"/>
              <w:rPr>
                <w:rFonts w:ascii="Arial" w:eastAsia="Times New Roman" w:hAnsi="Arial" w:cs="Arial"/>
                <w:color w:val="000000"/>
                <w:sz w:val="20"/>
                <w:szCs w:val="20"/>
                <w:lang w:val="en-GB"/>
              </w:rPr>
            </w:pPr>
            <w:r w:rsidRPr="00B63395">
              <w:rPr>
                <w:rFonts w:ascii="Arial" w:eastAsia="Times New Roman" w:hAnsi="Arial" w:cs="Arial"/>
                <w:color w:val="000000"/>
                <w:sz w:val="20"/>
                <w:szCs w:val="20"/>
                <w:lang w:val="en-GB"/>
              </w:rPr>
              <w:t>A pharmacist reviewed patients’ medications and offered suggestions to physicians, considering treatment in the context of the patient’s underlying condition and symptoms.</w:t>
            </w:r>
          </w:p>
          <w:p w14:paraId="631B0EE4" w14:textId="77777777" w:rsidR="00941883" w:rsidRPr="009A3F92" w:rsidRDefault="00941883" w:rsidP="00941883">
            <w:pPr>
              <w:pStyle w:val="ListParagraph"/>
              <w:numPr>
                <w:ilvl w:val="0"/>
                <w:numId w:val="33"/>
              </w:numPr>
              <w:spacing w:after="0" w:line="240" w:lineRule="auto"/>
              <w:jc w:val="both"/>
              <w:rPr>
                <w:rFonts w:ascii="Arial" w:eastAsia="Times New Roman" w:hAnsi="Arial" w:cs="Arial"/>
                <w:color w:val="000000"/>
                <w:sz w:val="20"/>
                <w:szCs w:val="20"/>
                <w:lang w:val="en-GB"/>
              </w:rPr>
            </w:pPr>
            <w:r w:rsidRPr="007A51F7">
              <w:rPr>
                <w:rFonts w:ascii="Arial" w:eastAsia="Times New Roman" w:hAnsi="Arial" w:cs="Arial"/>
                <w:color w:val="000000"/>
                <w:sz w:val="20"/>
                <w:szCs w:val="20"/>
                <w:lang w:val="en-GB"/>
              </w:rPr>
              <w:t>The aims medication reviews are to recognise where adherence support is required, to evaluate whether there are adverse effects, and to identify certain medications that would benefit the patient (Blenkinsopp et al., 2012).</w:t>
            </w:r>
          </w:p>
        </w:tc>
        <w:tc>
          <w:tcPr>
            <w:tcW w:w="5396" w:type="dxa"/>
            <w:tcBorders>
              <w:top w:val="single" w:sz="4" w:space="0" w:color="auto"/>
              <w:bottom w:val="single" w:sz="4" w:space="0" w:color="auto"/>
            </w:tcBorders>
            <w:shd w:val="clear" w:color="auto" w:fill="auto"/>
            <w:vAlign w:val="center"/>
            <w:hideMark/>
          </w:tcPr>
          <w:p w14:paraId="20172C21" w14:textId="77777777" w:rsidR="00941883" w:rsidRPr="00A86E71" w:rsidRDefault="00941883" w:rsidP="00282204">
            <w:pPr>
              <w:spacing w:after="0" w:line="240" w:lineRule="auto"/>
              <w:rPr>
                <w:rFonts w:ascii="Arial" w:eastAsia="Times New Roman" w:hAnsi="Arial" w:cs="Arial"/>
                <w:noProof/>
                <w:color w:val="000000"/>
                <w:sz w:val="20"/>
                <w:szCs w:val="20"/>
              </w:rPr>
            </w:pPr>
          </w:p>
          <w:p w14:paraId="3404A5A9" w14:textId="77777777" w:rsidR="00941883" w:rsidRPr="00172655" w:rsidRDefault="00941883" w:rsidP="00282204">
            <w:pPr>
              <w:spacing w:after="0" w:line="240" w:lineRule="auto"/>
              <w:jc w:val="both"/>
              <w:rPr>
                <w:rFonts w:ascii="Arial" w:eastAsia="Times New Roman" w:hAnsi="Arial" w:cs="Arial"/>
                <w:color w:val="000000"/>
                <w:sz w:val="20"/>
                <w:szCs w:val="20"/>
                <w:lang w:val="en-GB"/>
              </w:rPr>
            </w:pPr>
            <w:r w:rsidRPr="00787EB1">
              <w:rPr>
                <w:rFonts w:ascii="Arial" w:eastAsia="Times New Roman" w:hAnsi="Arial" w:cs="Arial"/>
                <w:noProof/>
                <w:color w:val="000000"/>
                <w:sz w:val="20"/>
                <w:szCs w:val="20"/>
              </w:rPr>
              <w:fldChar w:fldCharType="begin" w:fldLock="1"/>
            </w:r>
            <w:r w:rsidRPr="00787EB1">
              <w:rPr>
                <w:rFonts w:ascii="Arial" w:eastAsia="Times New Roman" w:hAnsi="Arial" w:cs="Arial"/>
                <w:noProof/>
                <w:color w:val="000000"/>
                <w:sz w:val="20"/>
                <w:szCs w:val="20"/>
              </w:rPr>
              <w:instrText>ADDIN CSL_CITATION {"citationItems":[{"id":"ITEM-1","itemData":{"DOI":"10.1186/s13643-022-02117-w","ISSN":"20464053","PMID":"36522687","abstract":"Type 2 diabetes mellitus (T2D) is responsible for an important premature mortality. Phar- macists involved in community-based pharmaceutical care services could help patients with diabetes through education and management as they participate in their regular and long-term care. This meta-analysis aimed to evaluate the association between interventions led by pharmacists in the primary care setting and mean change in HbA1c levels. Randomized controlled trials and quasi- experimental studies with a control group were included. Standardized mean differences (SMD) and their 95% confidence intervals (95% CI) were calculated to compare the mean change in HbA1c values between baseline and end of the intervention in each group. Subgroup analyses were performed to explore heterogeneity. Twelve articles were included. The results showed that pharmacist’s inter- ventions significantly reduced HbA1c compared to usual care with an overall SMD of −0.67 (95% CI = [−0.87; −0.48], p &lt; 0.0001). Even if no significant difference between subgroups were found, the reduction of HbA1c seemed more important when baseline HbA1c was ≥8.5%, the intervention occurred monthly, in a primary care center and in countries with a lower human development index. Our results suggest that pharmacists-led interventions in the primary care setting can improve glycemic control for adults with T2D. Keywords:","author":[{"dropping-particle":"","family":"Coutureau","given":"Claire","non-dropping-particle":"","parse-names":false,"suffix":""},{"dropping-particle":"","family":"Slimano","given":"Florian","non-dropping-particle":"","parse-names":false,"suffix":""},{"dropping-particle":"","family":"Mongaret","given":"Céline","non-dropping-particle":"","parse-names":false,"suffix":""},{"dropping-particle":"","family":"Kanagaratnam","given":"Lukshe","non-dropping-particle":"","parse-names":false,"suffix":""}],"container-title":"International Journal of Environmental Research and Public Health","id":"ITEM-1","issue":"1","issued":{"date-parts":[["2022"]]},"title":"Impact of Pharmacists-Led Interventions in Primary Care for Adults with Type 2 Diabetes on HbA1c Levels: A Systematic Review and Meta-Analysis","type":"article-journal","volume":"19"},"uris":["http://www.mendeley.com/documents/?uuid=e3879d85-9237-46bb-b5d5-09effa390d16"]}],"mendeley":{"formattedCitation":"(Coutureau &lt;i&gt;et al.&lt;/i&gt;, 2022)","plainTextFormattedCitation":"(Coutureau et al., 2022)","previouslyFormattedCitation":"(Coutureau &lt;i&gt;et al.&lt;/i&gt;, 2022)"},"properties":{"noteIndex":0},"schema":"https://github.com/citation-style-language/schema/raw/master/csl-citation.json"}</w:instrText>
            </w:r>
            <w:r w:rsidRPr="00787EB1">
              <w:rPr>
                <w:rFonts w:ascii="Arial" w:eastAsia="Times New Roman" w:hAnsi="Arial" w:cs="Arial"/>
                <w:noProof/>
                <w:color w:val="000000"/>
                <w:sz w:val="20"/>
                <w:szCs w:val="20"/>
              </w:rPr>
              <w:fldChar w:fldCharType="separate"/>
            </w:r>
            <w:r w:rsidRPr="00787EB1">
              <w:rPr>
                <w:rFonts w:ascii="Arial" w:eastAsia="Times New Roman" w:hAnsi="Arial" w:cs="Arial"/>
                <w:noProof/>
                <w:color w:val="000000"/>
                <w:sz w:val="20"/>
                <w:szCs w:val="20"/>
              </w:rPr>
              <w:t>(Coutureau et al., 2022)</w:t>
            </w:r>
            <w:r w:rsidRPr="00787EB1">
              <w:rPr>
                <w:rFonts w:ascii="Arial" w:eastAsia="Times New Roman" w:hAnsi="Arial" w:cs="Arial"/>
                <w:noProof/>
                <w:color w:val="000000"/>
                <w:sz w:val="20"/>
                <w:szCs w:val="20"/>
              </w:rPr>
              <w:fldChar w:fldCharType="end"/>
            </w:r>
            <w:r w:rsidRPr="00787EB1">
              <w:rPr>
                <w:rFonts w:ascii="Arial" w:eastAsia="Times New Roman" w:hAnsi="Arial" w:cs="Arial"/>
                <w:noProof/>
                <w:color w:val="000000"/>
                <w:sz w:val="20"/>
                <w:szCs w:val="20"/>
              </w:rPr>
              <w:t xml:space="preserve">, </w:t>
            </w:r>
            <w:r w:rsidRPr="00787EB1">
              <w:rPr>
                <w:rFonts w:ascii="Arial" w:eastAsia="Times New Roman" w:hAnsi="Arial" w:cs="Arial"/>
                <w:noProof/>
                <w:color w:val="000000"/>
                <w:sz w:val="20"/>
                <w:szCs w:val="20"/>
              </w:rPr>
              <w:fldChar w:fldCharType="begin" w:fldLock="1"/>
            </w:r>
            <w:r>
              <w:rPr>
                <w:rFonts w:ascii="Arial" w:eastAsia="Times New Roman" w:hAnsi="Arial" w:cs="Arial"/>
                <w:noProof/>
                <w:color w:val="000000"/>
                <w:sz w:val="20"/>
                <w:szCs w:val="20"/>
              </w:rPr>
              <w:instrText>ADDIN CSL_CITATION {"citationItems":[{"id":"ITEM-1","itemData":{"DOI":"10.3390/ijerph19106188","ISSN":"16604601","PMID":"35627724","abstract":"Type 2 diabetes mellitus has been assessed as a widespread disease globally. Unfortunately, this illness can occasionally go undetected and without symptoms until it reaches the emergency condition, and this can be notably true in patients who do not receive routine medical care. Pharmacists are the foremost accessible health care providers. They can help patients select the most appropriate hypoglycemic management strategy through their experiences. This review aimed to provide an overview of the literature published on community pharmacists’ interventions that are currently used and their usefulness in improving patient adherence and glycosylated hemoglobin (HbA1c) levels. Relevant studies were retrieved through a comprehensive search of three databases, PubMed/Medline, Web of Science, and CINAHL (2010 to 2020). In total, 8362 publications were identified. The final protocol was based on the “Preferred Reporting Items for Systematic Review and Meta-Analysis (PRISMA)”. After applying inclusion and exclusion measures, 21 articles were deemed relevant. In pharmacists’ interventions in diabetes care, patient education and counseling were the most common intervention methods. Essentially, this systematic review provides evidence and identifies the key features that may predict success in enhancing clinical outcomes and patient adherence to treatment. Based on our findings, we suggest further investigations of the root causes of non-adherence problems.","author":[{"dropping-particle":"","family":"Assaf","given":"Sarah","non-dropping-particle":"Al","parse-names":false,"suffix":""},{"dropping-particle":"","family":"Zelko","given":"Romana","non-dropping-particle":"","parse-names":false,"suffix":""},{"dropping-particle":"","family":"Hanko","given":"Balazs","non-dropping-particle":"","parse-names":false,"suffix":""}],"container-title":"International Journal of Environmental Research and Public Health","id":"ITEM-1","issue":"10","issued":{"date-parts":[["2022"]]},"title":"The Effect of Interventions Led by Community Pharmacists in Primary Care for Adults with Type 2 Diabetes Mellitus on Therapeutic Adherence and HbA1c Levels: A Systematic Review","type":"article-journal","volume":"19"},"uris":["http://www.mendeley.com/documents/?uuid=03eb66c1-df31-4fbe-8973-6fb41167a258"]}],"mendeley":{"formattedCitation":"(Al Assaf, Zelko and Hanko, 2022)","manualFormatting":"(Al Assaf et al., 2022)","plainTextFormattedCitation":"(Al Assaf, Zelko and Hanko, 2022)","previouslyFormattedCitation":"(Al Assaf, Zelko and Hanko, 2022)"},"properties":{"noteIndex":0},"schema":"https://github.com/citation-style-language/schema/raw/master/csl-citation.json"}</w:instrText>
            </w:r>
            <w:r w:rsidRPr="00787EB1">
              <w:rPr>
                <w:rFonts w:ascii="Arial" w:eastAsia="Times New Roman" w:hAnsi="Arial" w:cs="Arial"/>
                <w:noProof/>
                <w:color w:val="000000"/>
                <w:sz w:val="20"/>
                <w:szCs w:val="20"/>
              </w:rPr>
              <w:fldChar w:fldCharType="separate"/>
            </w:r>
            <w:r w:rsidRPr="000878BB">
              <w:rPr>
                <w:rFonts w:ascii="Arial" w:eastAsia="Times New Roman" w:hAnsi="Arial" w:cs="Arial"/>
                <w:noProof/>
                <w:color w:val="000000"/>
                <w:sz w:val="20"/>
                <w:szCs w:val="20"/>
              </w:rPr>
              <w:t>(Al Assaf</w:t>
            </w:r>
            <w:r w:rsidRPr="00787EB1">
              <w:rPr>
                <w:rFonts w:ascii="Arial" w:eastAsia="Times New Roman" w:hAnsi="Arial" w:cs="Arial"/>
                <w:noProof/>
                <w:color w:val="000000"/>
                <w:sz w:val="20"/>
                <w:szCs w:val="20"/>
              </w:rPr>
              <w:t xml:space="preserve"> et al.</w:t>
            </w:r>
            <w:r w:rsidRPr="000878BB">
              <w:rPr>
                <w:rFonts w:ascii="Arial" w:eastAsia="Times New Roman" w:hAnsi="Arial" w:cs="Arial"/>
                <w:noProof/>
                <w:color w:val="000000"/>
                <w:sz w:val="20"/>
                <w:szCs w:val="20"/>
              </w:rPr>
              <w:t>, 2022)</w:t>
            </w:r>
            <w:r w:rsidRPr="00787EB1">
              <w:rPr>
                <w:rFonts w:ascii="Arial" w:eastAsia="Times New Roman" w:hAnsi="Arial" w:cs="Arial"/>
                <w:noProof/>
                <w:color w:val="000000"/>
                <w:sz w:val="20"/>
                <w:szCs w:val="20"/>
              </w:rPr>
              <w:fldChar w:fldCharType="end"/>
            </w:r>
            <w:r w:rsidRPr="000878BB">
              <w:rPr>
                <w:rFonts w:ascii="Arial" w:eastAsia="Times New Roman" w:hAnsi="Arial" w:cs="Arial"/>
                <w:noProof/>
                <w:color w:val="000000"/>
                <w:sz w:val="20"/>
                <w:szCs w:val="20"/>
              </w:rPr>
              <w:t>,</w:t>
            </w:r>
            <w:r>
              <w:rPr>
                <w:rFonts w:ascii="Arial" w:eastAsia="Times New Roman" w:hAnsi="Arial" w:cs="Arial"/>
                <w:noProof/>
                <w:color w:val="000000"/>
                <w:sz w:val="20"/>
                <w:szCs w:val="20"/>
              </w:rPr>
              <w:t xml:space="preserve"> </w:t>
            </w:r>
            <w:r>
              <w:rPr>
                <w:rFonts w:ascii="Arial" w:eastAsia="Times New Roman" w:hAnsi="Arial" w:cs="Arial"/>
                <w:noProof/>
                <w:color w:val="000000"/>
                <w:sz w:val="20"/>
                <w:szCs w:val="20"/>
                <w:lang w:val="nl-NL"/>
              </w:rPr>
              <w:fldChar w:fldCharType="begin" w:fldLock="1"/>
            </w:r>
            <w:r>
              <w:rPr>
                <w:rFonts w:ascii="Arial" w:eastAsia="Times New Roman" w:hAnsi="Arial" w:cs="Arial"/>
                <w:noProof/>
                <w:color w:val="000000"/>
                <w:sz w:val="20"/>
                <w:szCs w:val="20"/>
                <w:lang w:val="nl-NL"/>
              </w:rPr>
              <w:instrText>ADDIN CSL_CITATION {"citationItems":[{"id":"ITEM-1","itemData":{"DOI":"10.1016/j.japh.2021.12.015","ISSN":"15443450","PMID":"35027281","abstract":"Background: There is a growing shortage of primary care physicians. Pharmacists can fill the gap, and interdisciplinary teams are being evaluated as part of health care reform. Objective: This study aimed to determine whether adding a pharmacist to an interprofessional health team will improve diabetes outcomes. Methods: In this 2-phase pilot study, Medicaid-eligible patients with diabetes were randomized to receive standard of care (control arm) or standard of care plus the care of a pharmacist (intervention arm) for 12 months (phase 1). The primary outcome was change in glycated hemoglobin (A1C) from baseline. Secondary outcomes included identifying and correcting medication therapy problems (MTPs) for comorbid conditions, adherence to preventive care visits, health care utilization, self-rated health, and satisfaction surveys. After phase 1, patients in the control arm who did not achieve an A1C of &lt; 8% were eligible to enroll into phase 2 where they received treatment with a pharmacist for 6 months. Results: Of the 239 patients enrolled, 122 completed phase 1. At 12 months, intervention patients’ mean A1C was 1.85 percentage point (pp) below baseline versus 0.94 pp for control (between-group difference 0.91 pp; P = 0.0218). Most control patients (79%) who completed phase 1 and enrolled into phase 2 improved their A1C by more than 1 pp (P &lt; 0.01). The pharmacists completed 806 patient visits and identified 2638 MTPs. Intervention patients were more adherent to preventive care visits with nutrition (P = 0.043), ophthalmology (P = 0.002), and dentistry (P = 0.007). For intervention patients, 78% rated their experience with the pharmacist as excellent whereas, for control patients, 37% rated their experience with their provider as excellent. Conclusion: Pharmacist comanagement of patients with diab</w:instrText>
            </w:r>
            <w:r w:rsidRPr="00586CF4">
              <w:rPr>
                <w:rFonts w:ascii="Arial" w:eastAsia="Times New Roman" w:hAnsi="Arial" w:cs="Arial"/>
                <w:noProof/>
                <w:color w:val="000000"/>
                <w:sz w:val="20"/>
                <w:szCs w:val="20"/>
              </w:rPr>
              <w:instrText>etes can significantly improve glucose control and patient satisfaction. Creative payment models were used to include pharmacists in the interprofessional patient care team.","author":[{"dropping-particle":"","family":"Wagner","given":"Mary L.","non-dropping-particle":"","parse-names":false,"suffix":""},{"dropping-particle":"","family":"McCarthy","given":"Caitlin","non-dropping-particle":"","parse-names":false,"suffix":""},{"dropping-particle":"","family":"Bateman","given":"M. Thomas","non-dropping-particle":"","parse-names":false,"suffix":""},{"dropping-particle":"","family":"Simmons","given":"Daniel","non-dropping-particle":"","parse-names":false,"suffix":""},{"dropping-particle":"","family":"Prioli","given":"Katherine M.","non-dropping-particle":"","parse-names":false,"suffix":""}],"container-title":"Journal of the American Pharmacists Association","id":"ITEM-1","issue":"3","issued":{"date-parts":[["2022"]]},"page":"775-782.e3","publisher":"American Pharmacists Association®","title":"Pharmacists improve diabetes outcomes: a randomized controlled trial","type":"article-journal","volume":"62"},"uris":["http://www.mendeley.com/documents/?uuid=34bb99b6-2c20-4cd3-9a92-b8ce9fbc53d5"]}],"mendeley":{"formattedCitation":"(Wagner &lt;i&gt;et al.&lt;/i&gt;, 2022)","plainTextFormattedCitation":"(Wagner et al., 2022)","previouslyFormattedCitation":"(Wagner &lt;i&gt;et al.&lt;/i&gt;, 2022)"},"properties":{"noteIndex":0},"schema":"https://github.com/citation-style-language/schema/raw/master/csl-citation.json"}</w:instrText>
            </w:r>
            <w:r>
              <w:rPr>
                <w:rFonts w:ascii="Arial" w:eastAsia="Times New Roman" w:hAnsi="Arial" w:cs="Arial"/>
                <w:noProof/>
                <w:color w:val="000000"/>
                <w:sz w:val="20"/>
                <w:szCs w:val="20"/>
                <w:lang w:val="nl-NL"/>
              </w:rPr>
              <w:fldChar w:fldCharType="separate"/>
            </w:r>
            <w:r w:rsidRPr="000D620F">
              <w:rPr>
                <w:rFonts w:ascii="Arial" w:eastAsia="Times New Roman" w:hAnsi="Arial" w:cs="Arial"/>
                <w:noProof/>
                <w:color w:val="000000"/>
                <w:sz w:val="20"/>
                <w:szCs w:val="20"/>
              </w:rPr>
              <w:t xml:space="preserve">(Wagner </w:t>
            </w:r>
            <w:r w:rsidRPr="000D620F">
              <w:rPr>
                <w:rFonts w:ascii="Arial" w:eastAsia="Times New Roman" w:hAnsi="Arial" w:cs="Arial"/>
                <w:i/>
                <w:noProof/>
                <w:color w:val="000000"/>
                <w:sz w:val="20"/>
                <w:szCs w:val="20"/>
              </w:rPr>
              <w:t>et al.</w:t>
            </w:r>
            <w:r w:rsidRPr="000D620F">
              <w:rPr>
                <w:rFonts w:ascii="Arial" w:eastAsia="Times New Roman" w:hAnsi="Arial" w:cs="Arial"/>
                <w:noProof/>
                <w:color w:val="000000"/>
                <w:sz w:val="20"/>
                <w:szCs w:val="20"/>
              </w:rPr>
              <w:t>, 2022)</w:t>
            </w:r>
            <w:r>
              <w:rPr>
                <w:rFonts w:ascii="Arial" w:eastAsia="Times New Roman" w:hAnsi="Arial" w:cs="Arial"/>
                <w:noProof/>
                <w:color w:val="000000"/>
                <w:sz w:val="20"/>
                <w:szCs w:val="20"/>
                <w:lang w:val="nl-NL"/>
              </w:rPr>
              <w:fldChar w:fldCharType="end"/>
            </w:r>
            <w:r w:rsidRPr="000D620F">
              <w:rPr>
                <w:rFonts w:ascii="Arial" w:eastAsia="Times New Roman" w:hAnsi="Arial" w:cs="Arial"/>
                <w:noProof/>
                <w:color w:val="000000"/>
                <w:sz w:val="20"/>
                <w:szCs w:val="20"/>
              </w:rPr>
              <w:t xml:space="preserve">, </w:t>
            </w:r>
            <w:r>
              <w:rPr>
                <w:rFonts w:ascii="Arial" w:eastAsia="Times New Roman" w:hAnsi="Arial" w:cs="Arial"/>
                <w:noProof/>
                <w:color w:val="000000"/>
                <w:sz w:val="20"/>
                <w:szCs w:val="20"/>
              </w:rPr>
              <w:fldChar w:fldCharType="begin" w:fldLock="1"/>
            </w:r>
            <w:r>
              <w:rPr>
                <w:rFonts w:ascii="Arial" w:eastAsia="Times New Roman" w:hAnsi="Arial" w:cs="Arial"/>
                <w:noProof/>
                <w:color w:val="000000"/>
                <w:sz w:val="20"/>
                <w:szCs w:val="20"/>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from pharmacist intervention compared with those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2021)","plainTextFormattedCitation":"(Alabkal et al., 2021)","previouslyFormattedCitation":"(Alabkal &lt;i&gt;et al.&lt;/i&gt;, 2021)"},"properties":{"noteIndex":0},"schema":"https://github.com/citation-style-language/schema/raw/master/csl-citation.json"}</w:instrText>
            </w:r>
            <w:r>
              <w:rPr>
                <w:rFonts w:ascii="Arial" w:eastAsia="Times New Roman" w:hAnsi="Arial" w:cs="Arial"/>
                <w:noProof/>
                <w:color w:val="000000"/>
                <w:sz w:val="20"/>
                <w:szCs w:val="20"/>
              </w:rPr>
              <w:fldChar w:fldCharType="separate"/>
            </w:r>
            <w:r w:rsidRPr="00CD0320">
              <w:rPr>
                <w:rFonts w:ascii="Arial" w:eastAsia="Times New Roman" w:hAnsi="Arial" w:cs="Arial"/>
                <w:noProof/>
                <w:color w:val="000000"/>
                <w:sz w:val="20"/>
                <w:szCs w:val="20"/>
              </w:rPr>
              <w:t xml:space="preserve">(Alabkal </w:t>
            </w:r>
            <w:r w:rsidRPr="00CD0320">
              <w:rPr>
                <w:rFonts w:ascii="Arial" w:eastAsia="Times New Roman" w:hAnsi="Arial" w:cs="Arial"/>
                <w:i/>
                <w:noProof/>
                <w:color w:val="000000"/>
                <w:sz w:val="20"/>
                <w:szCs w:val="20"/>
              </w:rPr>
              <w:t>et al.</w:t>
            </w:r>
            <w:r w:rsidRPr="00CD0320">
              <w:rPr>
                <w:rFonts w:ascii="Arial" w:eastAsia="Times New Roman" w:hAnsi="Arial" w:cs="Arial"/>
                <w:noProof/>
                <w:color w:val="000000"/>
                <w:sz w:val="20"/>
                <w:szCs w:val="20"/>
              </w:rPr>
              <w:t>, 2021)</w:t>
            </w:r>
            <w:r>
              <w:rPr>
                <w:rFonts w:ascii="Arial" w:eastAsia="Times New Roman" w:hAnsi="Arial" w:cs="Arial"/>
                <w:noProof/>
                <w:color w:val="000000"/>
                <w:sz w:val="20"/>
                <w:szCs w:val="20"/>
              </w:rPr>
              <w:fldChar w:fldCharType="end"/>
            </w:r>
            <w:r>
              <w:rPr>
                <w:rFonts w:ascii="Arial" w:eastAsia="Times New Roman" w:hAnsi="Arial" w:cs="Arial"/>
                <w:noProof/>
                <w:color w:val="000000"/>
                <w:sz w:val="20"/>
                <w:szCs w:val="20"/>
              </w:rPr>
              <w:t xml:space="preserve">, </w:t>
            </w:r>
            <w:r w:rsidRPr="00172655">
              <w:rPr>
                <w:rFonts w:ascii="Arial" w:eastAsia="Times New Roman" w:hAnsi="Arial" w:cs="Arial"/>
                <w:color w:val="000000"/>
                <w:sz w:val="20"/>
                <w:szCs w:val="20"/>
                <w:lang w:val="en-GB"/>
              </w:rPr>
              <w:t xml:space="preserve">Simpson et al 2015, Bush et al 2018, </w:t>
            </w:r>
            <w:r w:rsidRPr="00876389">
              <w:rPr>
                <w:rFonts w:ascii="Arial" w:eastAsia="Times New Roman" w:hAnsi="Arial" w:cs="Arial"/>
                <w:noProof/>
                <w:color w:val="000000"/>
                <w:sz w:val="20"/>
                <w:szCs w:val="20"/>
              </w:rPr>
              <w:t>(Al-Arifi and Al-Omar, 2018)</w:t>
            </w:r>
            <w:r w:rsidRPr="00172655">
              <w:rPr>
                <w:rFonts w:ascii="Arial" w:eastAsia="Times New Roman" w:hAnsi="Arial" w:cs="Arial"/>
                <w:color w:val="000000"/>
                <w:sz w:val="20"/>
                <w:szCs w:val="20"/>
                <w:lang w:val="en-GB"/>
              </w:rPr>
              <w:t xml:space="preserve"> (Abdulrhim </w:t>
            </w:r>
            <w:r w:rsidRPr="00172655">
              <w:rPr>
                <w:rFonts w:ascii="Arial" w:eastAsia="Times New Roman" w:hAnsi="Arial" w:cs="Arial"/>
                <w:i/>
                <w:iCs/>
                <w:color w:val="000000"/>
                <w:sz w:val="20"/>
                <w:szCs w:val="20"/>
                <w:lang w:val="en-GB"/>
              </w:rPr>
              <w:t>et al.</w:t>
            </w:r>
            <w:r w:rsidRPr="00172655">
              <w:rPr>
                <w:rFonts w:ascii="Arial" w:eastAsia="Times New Roman" w:hAnsi="Arial" w:cs="Arial"/>
                <w:color w:val="000000"/>
                <w:sz w:val="20"/>
                <w:szCs w:val="20"/>
                <w:lang w:val="en-GB"/>
              </w:rPr>
              <w:t xml:space="preserve">, 2019), (Javaid </w:t>
            </w:r>
            <w:r w:rsidRPr="00172655">
              <w:rPr>
                <w:rFonts w:ascii="Arial" w:eastAsia="Times New Roman" w:hAnsi="Arial" w:cs="Arial"/>
                <w:i/>
                <w:iCs/>
                <w:color w:val="000000"/>
                <w:sz w:val="20"/>
                <w:szCs w:val="20"/>
                <w:lang w:val="en-GB"/>
              </w:rPr>
              <w:t>et al.</w:t>
            </w:r>
            <w:r w:rsidRPr="00172655">
              <w:rPr>
                <w:rFonts w:ascii="Arial" w:eastAsia="Times New Roman" w:hAnsi="Arial" w:cs="Arial"/>
                <w:color w:val="000000"/>
                <w:sz w:val="20"/>
                <w:szCs w:val="20"/>
                <w:lang w:val="en-GB"/>
              </w:rPr>
              <w:t xml:space="preserve">, 2019), (Presley et al., 2019), (Tourkmani </w:t>
            </w:r>
            <w:r w:rsidRPr="00172655">
              <w:rPr>
                <w:rFonts w:ascii="Arial" w:eastAsia="Times New Roman" w:hAnsi="Arial" w:cs="Arial"/>
                <w:i/>
                <w:iCs/>
                <w:color w:val="000000"/>
                <w:sz w:val="20"/>
                <w:szCs w:val="20"/>
                <w:lang w:val="en-GB"/>
              </w:rPr>
              <w:t>et al.</w:t>
            </w:r>
            <w:r w:rsidRPr="00172655">
              <w:rPr>
                <w:rFonts w:ascii="Arial" w:eastAsia="Times New Roman" w:hAnsi="Arial" w:cs="Arial"/>
                <w:color w:val="000000"/>
                <w:sz w:val="20"/>
                <w:szCs w:val="20"/>
                <w:lang w:val="en-GB"/>
              </w:rPr>
              <w:t xml:space="preserve">, 2018), (Gagnon </w:t>
            </w:r>
            <w:r w:rsidRPr="00172655">
              <w:rPr>
                <w:rFonts w:ascii="Arial" w:eastAsia="Times New Roman" w:hAnsi="Arial" w:cs="Arial"/>
                <w:i/>
                <w:iCs/>
                <w:color w:val="000000"/>
                <w:sz w:val="20"/>
                <w:szCs w:val="20"/>
                <w:lang w:val="en-GB"/>
              </w:rPr>
              <w:t>et al.</w:t>
            </w:r>
            <w:r w:rsidRPr="00172655">
              <w:rPr>
                <w:rFonts w:ascii="Arial" w:eastAsia="Times New Roman" w:hAnsi="Arial" w:cs="Arial"/>
                <w:color w:val="000000"/>
                <w:sz w:val="20"/>
                <w:szCs w:val="20"/>
                <w:lang w:val="en-GB"/>
              </w:rPr>
              <w:t xml:space="preserve">, 2017), (Fazel </w:t>
            </w:r>
            <w:r w:rsidRPr="00172655">
              <w:rPr>
                <w:rFonts w:ascii="Arial" w:eastAsia="Times New Roman" w:hAnsi="Arial" w:cs="Arial"/>
                <w:i/>
                <w:iCs/>
                <w:color w:val="000000"/>
                <w:sz w:val="20"/>
                <w:szCs w:val="20"/>
                <w:lang w:val="en-GB"/>
              </w:rPr>
              <w:t>et al.</w:t>
            </w:r>
            <w:r w:rsidRPr="00172655">
              <w:rPr>
                <w:rFonts w:ascii="Arial" w:eastAsia="Times New Roman" w:hAnsi="Arial" w:cs="Arial"/>
                <w:color w:val="000000"/>
                <w:sz w:val="20"/>
                <w:szCs w:val="20"/>
                <w:lang w:val="en-GB"/>
              </w:rPr>
              <w:t>, 2017), (Davis, Ross and Bloodworth, 2017), (Blondal</w:t>
            </w:r>
            <w:r w:rsidRPr="00CD0320">
              <w:rPr>
                <w:rFonts w:ascii="Arial" w:eastAsia="Times New Roman" w:hAnsi="Arial" w:cs="Arial"/>
                <w:i/>
                <w:noProof/>
                <w:color w:val="000000"/>
                <w:sz w:val="20"/>
                <w:szCs w:val="20"/>
              </w:rPr>
              <w:t xml:space="preserve"> et al.</w:t>
            </w:r>
            <w:r w:rsidRPr="00172655">
              <w:rPr>
                <w:rFonts w:ascii="Arial" w:eastAsia="Times New Roman" w:hAnsi="Arial" w:cs="Arial"/>
                <w:color w:val="000000"/>
                <w:sz w:val="20"/>
                <w:szCs w:val="20"/>
                <w:lang w:val="en-GB"/>
              </w:rPr>
              <w:t xml:space="preserve">, 2017), (Pousinho </w:t>
            </w:r>
            <w:r w:rsidRPr="00172655">
              <w:rPr>
                <w:rFonts w:ascii="Arial" w:eastAsia="Times New Roman" w:hAnsi="Arial" w:cs="Arial"/>
                <w:i/>
                <w:iCs/>
                <w:color w:val="000000"/>
                <w:sz w:val="20"/>
                <w:szCs w:val="20"/>
                <w:lang w:val="en-GB"/>
              </w:rPr>
              <w:t>et al.</w:t>
            </w:r>
            <w:r w:rsidRPr="00172655">
              <w:rPr>
                <w:rFonts w:ascii="Arial" w:eastAsia="Times New Roman" w:hAnsi="Arial" w:cs="Arial"/>
                <w:color w:val="000000"/>
                <w:sz w:val="20"/>
                <w:szCs w:val="20"/>
                <w:lang w:val="en-GB"/>
              </w:rPr>
              <w:t xml:space="preserve">, 2016), (Tan </w:t>
            </w:r>
            <w:r w:rsidRPr="00172655">
              <w:rPr>
                <w:rFonts w:ascii="Arial" w:eastAsia="Times New Roman" w:hAnsi="Arial" w:cs="Arial"/>
                <w:i/>
                <w:iCs/>
                <w:color w:val="000000"/>
                <w:sz w:val="20"/>
                <w:szCs w:val="20"/>
                <w:lang w:val="en-GB"/>
              </w:rPr>
              <w:t>et al.</w:t>
            </w:r>
            <w:r w:rsidRPr="00172655">
              <w:rPr>
                <w:rFonts w:ascii="Arial" w:eastAsia="Times New Roman" w:hAnsi="Arial" w:cs="Arial"/>
                <w:color w:val="000000"/>
                <w:sz w:val="20"/>
                <w:szCs w:val="20"/>
                <w:lang w:val="en-GB"/>
              </w:rPr>
              <w:t xml:space="preserve">, 2014), (Jarab, 2012), (Willens </w:t>
            </w:r>
            <w:r w:rsidRPr="00172655">
              <w:rPr>
                <w:rFonts w:ascii="Arial" w:eastAsia="Times New Roman" w:hAnsi="Arial" w:cs="Arial"/>
                <w:i/>
                <w:iCs/>
                <w:color w:val="000000"/>
                <w:sz w:val="20"/>
                <w:szCs w:val="20"/>
                <w:lang w:val="en-GB"/>
              </w:rPr>
              <w:t>et al.</w:t>
            </w:r>
            <w:r w:rsidRPr="00172655">
              <w:rPr>
                <w:rFonts w:ascii="Arial" w:eastAsia="Times New Roman" w:hAnsi="Arial" w:cs="Arial"/>
                <w:color w:val="000000"/>
                <w:sz w:val="20"/>
                <w:szCs w:val="20"/>
                <w:lang w:val="en-GB"/>
              </w:rPr>
              <w:t xml:space="preserve">, 2011), (LaMarr </w:t>
            </w:r>
            <w:r w:rsidRPr="00172655">
              <w:rPr>
                <w:rFonts w:ascii="Arial" w:eastAsia="Times New Roman" w:hAnsi="Arial" w:cs="Arial"/>
                <w:i/>
                <w:iCs/>
                <w:color w:val="000000"/>
                <w:sz w:val="20"/>
                <w:szCs w:val="20"/>
                <w:lang w:val="en-GB"/>
              </w:rPr>
              <w:t>et al.</w:t>
            </w:r>
            <w:r w:rsidRPr="00172655">
              <w:rPr>
                <w:rFonts w:ascii="Arial" w:eastAsia="Times New Roman" w:hAnsi="Arial" w:cs="Arial"/>
                <w:color w:val="000000"/>
                <w:sz w:val="20"/>
                <w:szCs w:val="20"/>
                <w:lang w:val="en-GB"/>
              </w:rPr>
              <w:t xml:space="preserve">, 2010), (Chisholm-burns </w:t>
            </w:r>
            <w:r w:rsidRPr="00172655">
              <w:rPr>
                <w:rFonts w:ascii="Arial" w:eastAsia="Times New Roman" w:hAnsi="Arial" w:cs="Arial"/>
                <w:i/>
                <w:iCs/>
                <w:color w:val="000000"/>
                <w:sz w:val="20"/>
                <w:szCs w:val="20"/>
                <w:lang w:val="en-GB"/>
              </w:rPr>
              <w:t>et al.</w:t>
            </w:r>
            <w:r w:rsidRPr="00172655">
              <w:rPr>
                <w:rFonts w:ascii="Arial" w:eastAsia="Times New Roman" w:hAnsi="Arial" w:cs="Arial"/>
                <w:color w:val="000000"/>
                <w:sz w:val="20"/>
                <w:szCs w:val="20"/>
                <w:lang w:val="en-GB"/>
              </w:rPr>
              <w:t>, 2010)</w:t>
            </w:r>
          </w:p>
          <w:p w14:paraId="31541CA9" w14:textId="77777777" w:rsidR="00941883" w:rsidRPr="00172655" w:rsidRDefault="00941883" w:rsidP="00282204">
            <w:pPr>
              <w:spacing w:after="0" w:line="240" w:lineRule="auto"/>
              <w:rPr>
                <w:rFonts w:ascii="Arial" w:eastAsia="Times New Roman" w:hAnsi="Arial" w:cs="Arial"/>
                <w:color w:val="000000"/>
                <w:sz w:val="20"/>
                <w:szCs w:val="20"/>
                <w:lang w:val="en-GB"/>
              </w:rPr>
            </w:pPr>
          </w:p>
          <w:p w14:paraId="02DC5830" w14:textId="77777777" w:rsidR="00941883" w:rsidRPr="00172655" w:rsidRDefault="00941883" w:rsidP="00282204">
            <w:pPr>
              <w:spacing w:after="0" w:line="240" w:lineRule="auto"/>
              <w:rPr>
                <w:rFonts w:ascii="Arial" w:eastAsia="Times New Roman" w:hAnsi="Arial" w:cs="Arial"/>
                <w:color w:val="000000"/>
                <w:sz w:val="20"/>
                <w:szCs w:val="20"/>
              </w:rPr>
            </w:pPr>
          </w:p>
        </w:tc>
      </w:tr>
      <w:tr w:rsidR="00941883" w:rsidRPr="008E52ED" w14:paraId="08E8B3DC" w14:textId="77777777" w:rsidTr="00282204">
        <w:trPr>
          <w:trHeight w:val="1618"/>
        </w:trPr>
        <w:tc>
          <w:tcPr>
            <w:tcW w:w="1854" w:type="dxa"/>
            <w:tcBorders>
              <w:top w:val="single" w:sz="4" w:space="0" w:color="auto"/>
              <w:bottom w:val="single" w:sz="4" w:space="0" w:color="auto"/>
            </w:tcBorders>
            <w:shd w:val="clear" w:color="auto" w:fill="auto"/>
            <w:vAlign w:val="center"/>
            <w:hideMark/>
          </w:tcPr>
          <w:p w14:paraId="7AA21E83" w14:textId="77777777" w:rsidR="00941883" w:rsidRPr="00172655" w:rsidRDefault="00941883" w:rsidP="00282204">
            <w:pPr>
              <w:spacing w:after="0" w:line="240" w:lineRule="auto"/>
              <w:rPr>
                <w:rFonts w:ascii="Arial" w:eastAsia="Times New Roman" w:hAnsi="Arial" w:cs="Arial"/>
                <w:color w:val="000000"/>
                <w:sz w:val="20"/>
                <w:szCs w:val="20"/>
                <w:lang w:val="en-GB"/>
              </w:rPr>
            </w:pPr>
            <w:r w:rsidRPr="00172655">
              <w:rPr>
                <w:rFonts w:ascii="Arial" w:eastAsia="Times New Roman" w:hAnsi="Arial" w:cs="Arial"/>
                <w:color w:val="000000"/>
                <w:sz w:val="20"/>
                <w:szCs w:val="20"/>
                <w:lang w:val="en-GB"/>
              </w:rPr>
              <w:t>Medication therapy management (MTM)</w:t>
            </w:r>
          </w:p>
          <w:p w14:paraId="38798DF0" w14:textId="77777777" w:rsidR="00941883" w:rsidRPr="00172655" w:rsidRDefault="00941883" w:rsidP="00282204">
            <w:pPr>
              <w:spacing w:after="0" w:line="240" w:lineRule="auto"/>
              <w:rPr>
                <w:rFonts w:ascii="Arial" w:eastAsia="Times New Roman" w:hAnsi="Arial" w:cs="Arial"/>
                <w:color w:val="000000"/>
                <w:sz w:val="20"/>
                <w:szCs w:val="20"/>
                <w:lang w:val="en-GB"/>
              </w:rPr>
            </w:pPr>
          </w:p>
          <w:p w14:paraId="2A46FDE4" w14:textId="77777777" w:rsidR="00941883" w:rsidRPr="00172655" w:rsidRDefault="00941883" w:rsidP="00282204">
            <w:pPr>
              <w:spacing w:after="0" w:line="240" w:lineRule="auto"/>
              <w:rPr>
                <w:rFonts w:ascii="Arial" w:eastAsia="Times New Roman" w:hAnsi="Arial" w:cs="Arial"/>
                <w:color w:val="000000"/>
                <w:sz w:val="20"/>
                <w:szCs w:val="20"/>
              </w:rPr>
            </w:pPr>
          </w:p>
        </w:tc>
        <w:tc>
          <w:tcPr>
            <w:tcW w:w="6156" w:type="dxa"/>
            <w:tcBorders>
              <w:top w:val="single" w:sz="4" w:space="0" w:color="auto"/>
              <w:bottom w:val="single" w:sz="4" w:space="0" w:color="auto"/>
            </w:tcBorders>
            <w:shd w:val="clear" w:color="auto" w:fill="auto"/>
            <w:vAlign w:val="center"/>
            <w:hideMark/>
          </w:tcPr>
          <w:p w14:paraId="0086D52B" w14:textId="77777777" w:rsidR="00941883" w:rsidRPr="00172655" w:rsidRDefault="00941883" w:rsidP="00282204">
            <w:pPr>
              <w:spacing w:after="0" w:line="240" w:lineRule="auto"/>
              <w:rPr>
                <w:rFonts w:ascii="Arial" w:eastAsia="Times New Roman" w:hAnsi="Arial" w:cs="Arial"/>
                <w:color w:val="000000"/>
                <w:sz w:val="20"/>
                <w:szCs w:val="20"/>
                <w:lang w:val="en-GB"/>
              </w:rPr>
            </w:pPr>
          </w:p>
          <w:p w14:paraId="4FAC9515" w14:textId="77777777" w:rsidR="00941883" w:rsidRPr="00DA14AE" w:rsidRDefault="00941883" w:rsidP="00941883">
            <w:pPr>
              <w:pStyle w:val="ListParagraph"/>
              <w:numPr>
                <w:ilvl w:val="0"/>
                <w:numId w:val="33"/>
              </w:numPr>
              <w:spacing w:after="0" w:line="240" w:lineRule="auto"/>
              <w:jc w:val="both"/>
              <w:rPr>
                <w:rFonts w:ascii="Arial" w:eastAsia="Times New Roman" w:hAnsi="Arial" w:cs="Arial"/>
                <w:color w:val="000000"/>
                <w:sz w:val="20"/>
                <w:szCs w:val="20"/>
                <w:lang w:val="en-GB"/>
              </w:rPr>
            </w:pPr>
            <w:r w:rsidRPr="00DA14AE">
              <w:rPr>
                <w:rFonts w:ascii="Arial" w:eastAsia="Times New Roman" w:hAnsi="Arial" w:cs="Arial"/>
                <w:color w:val="000000"/>
                <w:sz w:val="20"/>
                <w:szCs w:val="20"/>
                <w:lang w:val="en-GB"/>
              </w:rPr>
              <w:t xml:space="preserve">A pharmacist managed patients’ treatment, including ordering laboratory tests, seeing patients regularly, and, prescribing medication when necessary in collaboration with physician or independently. </w:t>
            </w:r>
            <w:r w:rsidRPr="00DA14AE">
              <w:rPr>
                <w:rFonts w:ascii="Arial" w:eastAsia="Times New Roman" w:hAnsi="Arial" w:cs="Arial"/>
                <w:color w:val="000000"/>
                <w:sz w:val="20"/>
                <w:szCs w:val="20"/>
                <w:lang w:val="en-GB"/>
              </w:rPr>
              <w:fldChar w:fldCharType="begin" w:fldLock="1"/>
            </w:r>
            <w:r w:rsidRPr="00DA14AE">
              <w:rPr>
                <w:rFonts w:ascii="Arial" w:eastAsia="Times New Roman" w:hAnsi="Arial" w:cs="Arial"/>
                <w:color w:val="000000"/>
                <w:sz w:val="20"/>
                <w:szCs w:val="20"/>
                <w:lang w:val="en-GB"/>
              </w:rPr>
              <w:instrText>ADDIN CSL_CITATION {"citationItems":[{"id":"ITEM-1","itemData":{"DOI":"10.1371/journal.pone.0280654","ISBN":"1111111111","ISSN":"19326203","PMID":"36662741","abstract":"Background An enhanced primary care team model was implemented to provide proactive, longitudinal care to patients with diabetes, grounded in close partnership between primary care providers (PCPs), nurses, and Medication Management Services (MMS) pharmacists. The purpose of this study is to evaluate the impact of the MMS pharmacist involvement in the enhanced primary care model for patients with diabetes. Methods This retrospective cohort study compared the quality of diabetes care between patients referred to a pharmacist and propensity score matched controls who were not. Eligible patients were adults (age 18 to 75 years) enrolled in the enhanced primary care team process who did not meet at least one of four diabetes quality indicators at 13 Mayo Clinic Rochester primary care practice locations. The intervention examined was asynchronous econsults by pharmacists affiliated with the primary care practice. Main measures The primary outcome was change in the proportion of patients meeting the composite of four diabetes treatment goals (D4), including hemoglobin A1c (HbA1c) control, blood pressure control, aspirin use, and statin use at six months from enrollment among patients who received pharmacist intervention compared to matched patients who did not. Secondary outcomes were each of the D4 goal individually. Results The proportion of patients meeting the D4 increased with pharmacist e-consults (N = 85) compared to matched controls with no review (N = 170) (27% vs 7.0%, p&lt;0.001). The change in patients meeting treatment goals of HbA1c (12.9% vs 4.1%, p = 0.020), blood pressure (9.4% vs 2.4%, p = 0.023), aspirin use (10.6% vs 2.9%, p = 0.018), and statin use (17.6% vs -1.2%, p&lt;0.001) all increased with pharmacist e-consults. Conclusions Pharmacist engagement in the enhanced primary care team improved diabetes management. This supports the inclusion and utilization of pharmacists in multidisciplinary efforts to improve diabetes care.","author":[{"dropping-particle":"","family":"Firkus","given":"Danielle","non-dropping-particle":"","parse-names":false,"suffix":""},{"dropping-particle":"","family":"McCoy","given":"Rozalina G.","non-dropping-particle":"","parse-names":false,"suffix":""},{"dropping-particle":"","family":"Matulis","given":"John","non-dropping-particle":"","parse-names":false,"suffix":""},{"dropping-particle":"","family":"Kessler","given":"Maya","non-dropping-particle":"","parse-names":false,"suffix":""},{"dropping-particle":"","family":"Mara","given":"Kristin","non-dropping-particle":"","parse-names":false,"suffix":""},{"dropping-particle":"","family":"Herges","given":"Joseph","non-dropping-particle":"","parse-names":false,"suffix":""}],"container-title":"PLoS ONE","id":"ITEM-1","issue":"1 January","issued":{"date-parts":[["2023"]]},"page":"1-11","title":"Evaluation of pharmacist consults within a collaborative enhanced primary care team model to improve diabetes care","type":"article-journal","volume":"18"},"uris":["http://www.mendeley.com/documents/?uuid=3442fc06-aa3f-440d-8cef-875b6bf549e5"]}],"mendeley":{"formattedCitation":"(Firkus &lt;i&gt;et al.&lt;/i&gt;, 2023)","plainTextFormattedCitation":"(Firkus et al., 2023)","previouslyFormattedCitation":"(Firkus &lt;i&gt;et al.&lt;/i&gt;, 2023)"},"properties":{"noteIndex":0},"schema":"https://github.com/citation-style-language/schema/raw/master/csl-citation.json"}</w:instrText>
            </w:r>
            <w:r w:rsidRPr="00DA14AE">
              <w:rPr>
                <w:rFonts w:ascii="Arial" w:eastAsia="Times New Roman" w:hAnsi="Arial" w:cs="Arial"/>
                <w:color w:val="000000"/>
                <w:sz w:val="20"/>
                <w:szCs w:val="20"/>
                <w:lang w:val="en-GB"/>
              </w:rPr>
              <w:fldChar w:fldCharType="separate"/>
            </w:r>
            <w:r w:rsidRPr="00DA14AE">
              <w:rPr>
                <w:rFonts w:ascii="Arial" w:eastAsia="Times New Roman" w:hAnsi="Arial" w:cs="Arial"/>
                <w:noProof/>
                <w:color w:val="000000"/>
                <w:sz w:val="20"/>
                <w:szCs w:val="20"/>
                <w:lang w:val="en-GB"/>
              </w:rPr>
              <w:t xml:space="preserve">(Firkus </w:t>
            </w:r>
            <w:r w:rsidRPr="00DA14AE">
              <w:rPr>
                <w:rFonts w:ascii="Arial" w:eastAsia="Times New Roman" w:hAnsi="Arial" w:cs="Arial"/>
                <w:i/>
                <w:noProof/>
                <w:color w:val="000000"/>
                <w:sz w:val="20"/>
                <w:szCs w:val="20"/>
                <w:lang w:val="en-GB"/>
              </w:rPr>
              <w:t>et al.</w:t>
            </w:r>
            <w:r w:rsidRPr="00DA14AE">
              <w:rPr>
                <w:rFonts w:ascii="Arial" w:eastAsia="Times New Roman" w:hAnsi="Arial" w:cs="Arial"/>
                <w:noProof/>
                <w:color w:val="000000"/>
                <w:sz w:val="20"/>
                <w:szCs w:val="20"/>
                <w:lang w:val="en-GB"/>
              </w:rPr>
              <w:t>, 2023)</w:t>
            </w:r>
            <w:r w:rsidRPr="00DA14AE">
              <w:rPr>
                <w:rFonts w:ascii="Arial" w:eastAsia="Times New Roman" w:hAnsi="Arial" w:cs="Arial"/>
                <w:color w:val="000000"/>
                <w:sz w:val="20"/>
                <w:szCs w:val="20"/>
                <w:lang w:val="en-GB"/>
              </w:rPr>
              <w:fldChar w:fldCharType="end"/>
            </w:r>
          </w:p>
          <w:p w14:paraId="2AE024E4" w14:textId="77777777" w:rsidR="00941883" w:rsidRPr="00DA14AE" w:rsidRDefault="00941883" w:rsidP="00941883">
            <w:pPr>
              <w:pStyle w:val="ListParagraph"/>
              <w:numPr>
                <w:ilvl w:val="0"/>
                <w:numId w:val="33"/>
              </w:numPr>
              <w:spacing w:after="0" w:line="240" w:lineRule="auto"/>
              <w:jc w:val="both"/>
              <w:rPr>
                <w:rFonts w:ascii="Arial" w:eastAsia="Times New Roman" w:hAnsi="Arial" w:cs="Arial"/>
                <w:color w:val="000000"/>
                <w:sz w:val="20"/>
                <w:szCs w:val="20"/>
                <w:lang w:val="en-GB"/>
              </w:rPr>
            </w:pPr>
            <w:r w:rsidRPr="00DA14AE">
              <w:rPr>
                <w:rFonts w:ascii="Arial" w:eastAsia="Times New Roman" w:hAnsi="Arial" w:cs="Arial"/>
                <w:color w:val="000000"/>
                <w:sz w:val="20"/>
                <w:szCs w:val="20"/>
                <w:lang w:val="en-GB"/>
              </w:rPr>
              <w:t>“</w:t>
            </w:r>
            <w:r w:rsidRPr="00DA14AE">
              <w:rPr>
                <w:rFonts w:ascii="Arial" w:eastAsia="Times New Roman" w:hAnsi="Arial" w:cs="Arial"/>
                <w:i/>
                <w:iCs/>
                <w:color w:val="000000"/>
                <w:sz w:val="20"/>
                <w:szCs w:val="20"/>
                <w:lang w:val="en-GB"/>
              </w:rPr>
              <w:t>MTM deals with the two R’s–the right dose and the right use of medications</w:t>
            </w:r>
            <w:r w:rsidRPr="00DA14AE">
              <w:rPr>
                <w:rFonts w:ascii="Arial" w:eastAsia="Times New Roman" w:hAnsi="Arial" w:cs="Arial"/>
                <w:color w:val="000000"/>
                <w:sz w:val="20"/>
                <w:szCs w:val="20"/>
                <w:lang w:val="en-GB"/>
              </w:rPr>
              <w:t xml:space="preserve">” </w:t>
            </w:r>
            <w:r w:rsidRPr="00DA14AE">
              <w:rPr>
                <w:rFonts w:ascii="Arial" w:eastAsia="Times New Roman" w:hAnsi="Arial" w:cs="Arial"/>
                <w:color w:val="000000"/>
                <w:sz w:val="20"/>
                <w:szCs w:val="20"/>
                <w:lang w:val="en-GB"/>
              </w:rPr>
              <w:fldChar w:fldCharType="begin" w:fldLock="1"/>
            </w:r>
            <w:r w:rsidRPr="00DA14AE">
              <w:rPr>
                <w:rFonts w:ascii="Arial" w:eastAsia="Times New Roman" w:hAnsi="Arial" w:cs="Arial"/>
                <w:color w:val="000000"/>
                <w:sz w:val="20"/>
                <w:szCs w:val="20"/>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2017)","manualFormatting":"(Makeen, 2017, p 940)","plainTextFormattedCitation":"(Makeen, 2017)","previouslyFormattedCitation":"(Makeen, 2017)"},"properties":{"noteIndex":0},"schema":"https://github.com/citation-style-language/schema/raw/master/csl-citation.json"}</w:instrText>
            </w:r>
            <w:r w:rsidRPr="00DA14AE">
              <w:rPr>
                <w:rFonts w:ascii="Arial" w:eastAsia="Times New Roman" w:hAnsi="Arial" w:cs="Arial"/>
                <w:color w:val="000000"/>
                <w:sz w:val="20"/>
                <w:szCs w:val="20"/>
                <w:lang w:val="en-GB"/>
              </w:rPr>
              <w:fldChar w:fldCharType="separate"/>
            </w:r>
            <w:r w:rsidRPr="00DA14AE">
              <w:rPr>
                <w:rFonts w:ascii="Arial" w:eastAsia="Times New Roman" w:hAnsi="Arial" w:cs="Arial"/>
                <w:noProof/>
                <w:color w:val="000000"/>
                <w:sz w:val="20"/>
                <w:szCs w:val="20"/>
                <w:lang w:val="en-GB"/>
              </w:rPr>
              <w:t>(Makeen, 2017, p 940)</w:t>
            </w:r>
            <w:r w:rsidRPr="00DA14AE">
              <w:rPr>
                <w:rFonts w:ascii="Arial" w:eastAsia="Times New Roman" w:hAnsi="Arial" w:cs="Arial"/>
                <w:color w:val="000000"/>
                <w:sz w:val="20"/>
                <w:szCs w:val="20"/>
                <w:lang w:val="en-GB"/>
              </w:rPr>
              <w:fldChar w:fldCharType="end"/>
            </w:r>
          </w:p>
          <w:p w14:paraId="73F41119" w14:textId="77777777" w:rsidR="00941883" w:rsidRDefault="00941883" w:rsidP="00941883">
            <w:pPr>
              <w:pStyle w:val="ListParagraph"/>
              <w:numPr>
                <w:ilvl w:val="0"/>
                <w:numId w:val="33"/>
              </w:numPr>
              <w:spacing w:after="0" w:line="240" w:lineRule="auto"/>
              <w:jc w:val="both"/>
              <w:rPr>
                <w:rFonts w:ascii="Arial" w:eastAsia="Times New Roman" w:hAnsi="Arial" w:cs="Arial"/>
                <w:color w:val="000000"/>
                <w:sz w:val="20"/>
                <w:szCs w:val="20"/>
                <w:lang w:val="en-GB"/>
              </w:rPr>
            </w:pPr>
            <w:r w:rsidRPr="00B0048E">
              <w:rPr>
                <w:rFonts w:ascii="Arial" w:eastAsia="Times New Roman" w:hAnsi="Arial" w:cs="Arial"/>
                <w:color w:val="000000"/>
                <w:sz w:val="20"/>
                <w:szCs w:val="20"/>
                <w:lang w:val="en-GB"/>
              </w:rPr>
              <w:t>A pharmacist managing patients’ treatment, including diabetes medication dose or frequency adjustments, medication addition or alteration, ordering laboratory tests, seeing patients regularly, and prescribing medication when necessary in collaboration with physician or independently.</w:t>
            </w:r>
          </w:p>
          <w:p w14:paraId="7540D6DA" w14:textId="77777777" w:rsidR="00941883" w:rsidRPr="0034212E" w:rsidRDefault="00941883" w:rsidP="00941883">
            <w:pPr>
              <w:pStyle w:val="ListParagraph"/>
              <w:numPr>
                <w:ilvl w:val="0"/>
                <w:numId w:val="33"/>
              </w:numPr>
              <w:spacing w:after="0" w:line="240" w:lineRule="auto"/>
              <w:jc w:val="both"/>
              <w:rPr>
                <w:rFonts w:ascii="Arial" w:eastAsia="Times New Roman" w:hAnsi="Arial" w:cs="Arial"/>
                <w:sz w:val="20"/>
                <w:szCs w:val="20"/>
                <w:lang w:val="en-GB"/>
              </w:rPr>
            </w:pPr>
            <w:r w:rsidRPr="0034212E">
              <w:rPr>
                <w:rFonts w:ascii="Arial" w:eastAsia="Times New Roman" w:hAnsi="Arial" w:cs="Arial"/>
                <w:sz w:val="20"/>
                <w:szCs w:val="20"/>
                <w:lang w:val="en-GB"/>
              </w:rPr>
              <w:t>This is a type of Pharmacist–physician collaborative model.</w:t>
            </w:r>
          </w:p>
          <w:p w14:paraId="537F6341" w14:textId="77777777" w:rsidR="00941883" w:rsidRPr="0016075D" w:rsidRDefault="00941883" w:rsidP="00282204">
            <w:pPr>
              <w:pStyle w:val="ListParagraph"/>
              <w:spacing w:after="0" w:line="240" w:lineRule="auto"/>
              <w:rPr>
                <w:rFonts w:ascii="Arial" w:eastAsia="Times New Roman" w:hAnsi="Arial" w:cs="Arial"/>
                <w:color w:val="FF0000"/>
                <w:sz w:val="20"/>
                <w:szCs w:val="20"/>
                <w:lang w:val="en-GB"/>
              </w:rPr>
            </w:pPr>
          </w:p>
          <w:p w14:paraId="590F8A68" w14:textId="77777777" w:rsidR="00941883" w:rsidRPr="00172655" w:rsidRDefault="00941883" w:rsidP="00282204">
            <w:pPr>
              <w:spacing w:after="0" w:line="240" w:lineRule="auto"/>
              <w:rPr>
                <w:rFonts w:ascii="Arial" w:eastAsia="Times New Roman" w:hAnsi="Arial" w:cs="Arial"/>
                <w:color w:val="000000"/>
                <w:sz w:val="20"/>
                <w:szCs w:val="20"/>
              </w:rPr>
            </w:pPr>
          </w:p>
        </w:tc>
        <w:tc>
          <w:tcPr>
            <w:tcW w:w="5396" w:type="dxa"/>
            <w:tcBorders>
              <w:top w:val="single" w:sz="4" w:space="0" w:color="auto"/>
              <w:bottom w:val="single" w:sz="4" w:space="0" w:color="auto"/>
            </w:tcBorders>
            <w:shd w:val="clear" w:color="auto" w:fill="auto"/>
            <w:vAlign w:val="center"/>
            <w:hideMark/>
          </w:tcPr>
          <w:p w14:paraId="443D90CC" w14:textId="77777777" w:rsidR="00941883" w:rsidRPr="008E52ED" w:rsidRDefault="00941883" w:rsidP="00282204">
            <w:pPr>
              <w:spacing w:after="0" w:line="240" w:lineRule="auto"/>
              <w:jc w:val="both"/>
              <w:rPr>
                <w:rFonts w:ascii="Arial" w:eastAsia="Times New Roman" w:hAnsi="Arial" w:cs="Arial"/>
                <w:noProof/>
                <w:color w:val="000000"/>
                <w:sz w:val="20"/>
                <w:szCs w:val="20"/>
                <w:lang w:val="es-ES_tradnl"/>
              </w:rPr>
            </w:pPr>
            <w:r w:rsidRPr="009A3F92">
              <w:rPr>
                <w:rFonts w:ascii="Arial" w:eastAsia="Times New Roman" w:hAnsi="Arial" w:cs="Arial"/>
                <w:noProof/>
                <w:color w:val="000000"/>
                <w:sz w:val="20"/>
                <w:szCs w:val="20"/>
              </w:rPr>
              <w:fldChar w:fldCharType="begin" w:fldLock="1"/>
            </w:r>
            <w:r>
              <w:rPr>
                <w:rFonts w:ascii="Arial" w:eastAsia="Times New Roman" w:hAnsi="Arial" w:cs="Arial"/>
                <w:noProof/>
                <w:color w:val="000000"/>
                <w:sz w:val="20"/>
                <w:szCs w:val="20"/>
              </w:rPr>
              <w:instrText>ADDIN CSL_CITATION {"citationItems":[{"id":"ITEM-1","itemData":{"DOI":"10.3390/ijerph19106188","ISSN":"16604601","PMID":"35627724","abstract":"Type 2 diabetes mellitus has been assessed as a widespread disease globally. Unfortunately, this illness can occasionally go undetected and without symptoms until it reaches the emergency condition, and this can be notably true in patients who do not receive routine medical care. Pharmacists are the foremost accessible health care providers. They can help patients select the most appropriate hypoglycemic management strategy through their experiences. This review aimed to provide an overview of the literature published on community pharmacists’ interventions that are currently used and their usefulness in improving patient adherence and glycosylated hemoglobin (HbA1c) levels. Relevant studies were retrieved through a comprehensive search of three databases, PubMed/Medline, Web of Science, and CINAHL (2010 to 2020). In total, 8362 publications were identified. The final protocol was based on the “Preferred Reporting Items for Systematic Review and Meta-Analysis (PRISMA)”. After applying inclusion and exclusion measures, 21 articles were deemed relevant. In pharmacists’ interventions in diabetes care, patient education and counseling were the most common intervention methods. Essentially, this systematic review provides evidence and identifies the key features that may predict success in enhancing clinical outcomes and patient adherence to treatment. Based on our findings, we suggest further investigations of the root causes of non-adherence problems.","author":[{"dropping-particle":"","family":"Assaf","given":"Sarah","non-dropping-particle":"Al","parse-names":false,"suffix":""},{"dropping-particle":"","family":"Zelko","given":"Romana","non-dropping-particle":"","parse-names":false,"suffix":""},{"dropping-particle":"","family":"Hanko","given":"Balazs","non-dropping-particle":"","parse-names":false,"suffix":""}],"container-title":"International Journal of Environmental Research and Public Health","id":"ITEM-1","issue":"10","issued":{"date-parts":[["2022"]]},"title":"The Effect of Interventions Led by Community Pharmacists in Primary Care for Adults with Type 2 Diabetes Mellitus on Therapeutic Adherence and HbA1c Levels: A Systematic Review","type":"article-journal","volume":"19"},"uris":["http://www.mendeley.com/documents/?uuid=03eb66c1-df31-4fbe-8973-6fb41167a258"]}],"mendeley":{"formattedCitation":"(Al Assaf, Zelko and Hanko, 2022)","manualFormatting":"(Al Assaf et al., 2022)","plainTextFormattedCitation":"(Al Assaf, Zelko and Hanko, 2022)","previouslyFormattedCitation":"(Al Assaf, Zelko and Hanko, 2022)"},"properties":{"noteIndex":0},"schema":"https://github.com/citation-style-language/schema/raw/master/csl-citation.json"}</w:instrText>
            </w:r>
            <w:r w:rsidRPr="009A3F92">
              <w:rPr>
                <w:rFonts w:ascii="Arial" w:eastAsia="Times New Roman" w:hAnsi="Arial" w:cs="Arial"/>
                <w:noProof/>
                <w:color w:val="000000"/>
                <w:sz w:val="20"/>
                <w:szCs w:val="20"/>
              </w:rPr>
              <w:fldChar w:fldCharType="separate"/>
            </w:r>
            <w:r w:rsidRPr="0042711A">
              <w:rPr>
                <w:rFonts w:ascii="Arial" w:eastAsia="Times New Roman" w:hAnsi="Arial" w:cs="Arial"/>
                <w:noProof/>
                <w:color w:val="000000"/>
                <w:sz w:val="20"/>
                <w:szCs w:val="20"/>
              </w:rPr>
              <w:t>(Al Assaf</w:t>
            </w:r>
            <w:r w:rsidRPr="009A3F92">
              <w:rPr>
                <w:rFonts w:ascii="Arial" w:eastAsia="Times New Roman" w:hAnsi="Arial" w:cs="Arial"/>
                <w:noProof/>
                <w:color w:val="000000"/>
                <w:sz w:val="20"/>
                <w:szCs w:val="20"/>
              </w:rPr>
              <w:t xml:space="preserve"> et al.</w:t>
            </w:r>
            <w:r w:rsidRPr="0042711A">
              <w:rPr>
                <w:rFonts w:ascii="Arial" w:eastAsia="Times New Roman" w:hAnsi="Arial" w:cs="Arial"/>
                <w:noProof/>
                <w:color w:val="000000"/>
                <w:sz w:val="20"/>
                <w:szCs w:val="20"/>
              </w:rPr>
              <w:t>, 2022)</w:t>
            </w:r>
            <w:r w:rsidRPr="009A3F92">
              <w:rPr>
                <w:rFonts w:ascii="Arial" w:eastAsia="Times New Roman" w:hAnsi="Arial" w:cs="Arial"/>
                <w:noProof/>
                <w:color w:val="000000"/>
                <w:sz w:val="20"/>
                <w:szCs w:val="20"/>
              </w:rPr>
              <w:fldChar w:fldCharType="end"/>
            </w:r>
            <w:r w:rsidRPr="0042711A">
              <w:rPr>
                <w:rFonts w:ascii="Arial" w:eastAsia="Times New Roman" w:hAnsi="Arial" w:cs="Arial"/>
                <w:noProof/>
                <w:color w:val="000000"/>
                <w:sz w:val="20"/>
                <w:szCs w:val="20"/>
              </w:rPr>
              <w:t>,</w:t>
            </w:r>
            <w:r>
              <w:rPr>
                <w:rFonts w:ascii="Arial" w:eastAsia="Times New Roman" w:hAnsi="Arial" w:cs="Arial"/>
                <w:noProof/>
                <w:color w:val="000000"/>
                <w:sz w:val="20"/>
                <w:szCs w:val="20"/>
              </w:rPr>
              <w:t xml:space="preserve"> </w:t>
            </w:r>
            <w:r w:rsidRPr="009A3F92">
              <w:rPr>
                <w:rFonts w:ascii="Arial" w:eastAsia="Times New Roman" w:hAnsi="Arial" w:cs="Arial"/>
                <w:noProof/>
                <w:color w:val="000000"/>
                <w:sz w:val="20"/>
                <w:szCs w:val="20"/>
              </w:rPr>
              <w:fldChar w:fldCharType="begin" w:fldLock="1"/>
            </w:r>
            <w:r w:rsidRPr="009A3F92">
              <w:rPr>
                <w:rFonts w:ascii="Arial" w:eastAsia="Times New Roman" w:hAnsi="Arial" w:cs="Arial"/>
                <w:noProof/>
                <w:color w:val="000000"/>
                <w:sz w:val="20"/>
                <w:szCs w:val="20"/>
              </w:rPr>
              <w:instrText>ADDIN CSL_CITATION {"citationItems":[{"id":"ITEM-1","itemData":{"DOI":"10.1016/j.japh.2021.12.015","ISSN":"15443450","PMID":"35027281","abstract":"Background: There is a growing shortage of primary care physicians. Pharmacists can fill the gap, and interdisciplinary teams are being evaluated as part of health care reform. Objective: This study aimed to determine whether adding a pharmacist to an interprofessional health team will improve diabetes outcomes. Methods: In this 2-phase pilot study, Medicaid-eligible patients with diabetes were randomized to receive standard of care (control arm) or standard of care plus the care of a pharmacist (intervention arm) for 12 months (phase 1). The primary outcome was change in glycated hemoglobin (A1C) from baseline. Secondary outcomes included identifying and correcting medication therapy problems (MTPs) for comorbid conditions, adherence to preventive care visits, health care utilization, self-rated health, and satisfaction surveys. After phase 1, patients in the control arm who did not achieve an A1C of &lt; 8% were eligible to enroll into phase 2 where they received treatment with a pharmacist for 6 months. Results: Of the 239 patients enrolled, 122 completed phase 1. At 12 months, intervention patients’ mean A1C was 1.85 percentage point (pp) below baseline versus 0.94 pp for control (between-group difference 0.91 pp; P = 0.0218). Most control patients (79%) who completed phase 1 and enrolled into phase 2 improved their A1C by more than 1 pp (P &lt; 0.01). The pharmacists completed 806 patient visits and identified 2638 MTPs. Intervention patients were more adherent to preventive care visits with nutrition (P = 0.043), ophthalmology (P = 0.002), and dentistry (P = 0.007). For intervention patients, 78% rated their experience with the pharmacist as excellent whereas, for control patients, 37% rated their experience with their provider as excellent. Conclusion: Pharmacist comanagement of patients with diab</w:instrText>
            </w:r>
            <w:r w:rsidRPr="00586CF4">
              <w:rPr>
                <w:rFonts w:ascii="Arial" w:eastAsia="Times New Roman" w:hAnsi="Arial" w:cs="Arial"/>
                <w:noProof/>
                <w:color w:val="000000"/>
                <w:sz w:val="20"/>
                <w:szCs w:val="20"/>
              </w:rPr>
              <w:instrText>etes can significantly improve glucose control and patient satisfaction. Creative payment models were used to include pharmacists in the interprofessional patient care team.","author":[{"dropping-particle":"","family":"Wagner","given":"Mary L.","non-dropping-particle":"","parse-names":false,"suffix":""},{"dropping-particle":"","family":"McCarthy","given":"Caitlin","non-dropping-particle":"","parse-names":false,"suffix":""},{"dropping-particle":"","family":"Bateman","given":"M. Thomas","non-dropping-particle":"","parse-names":false,"suffix":""},{"dropping-particle":"","family":"Simmons","given":"Daniel","non-dropping-particle":"","parse-names":false,"suffix":""},{"dropping-particle":"","family":"Prioli","given":"Katherine M.","non-dropping-particle":"","parse-names":false,"suffix":""}],"container-title":"Journal of the American Pharmacists Association","id":"ITEM-1","issue":"3","issued":{"date-parts":[["2022"]]},"page":"775-782.e3","publisher":"American Pharmacists Association®","title":"Pharmacists improve diabetes outcomes: a randomized controlled trial","type":"article-journal","volume":"62"},"uris":["http://www.mendeley.com/documents/?uuid=34bb99b6-2c20-4cd3-9a92-b8ce9fbc53d5"]}],"mendeley":{"formattedCitation":"(Wagner &lt;i&gt;et al.&lt;/i&gt;, 2022)","plainTextFormattedCitation":"(Wagner et al., 2022)","previouslyFormattedCitation":"(Wagner &lt;i&gt;et al.&lt;/i&gt;, 2022)"},"properties":{"noteIndex":0},"schema":"https://github.com/citation-style-language/schema/raw/master/csl-citation.json"}</w:instrText>
            </w:r>
            <w:r w:rsidRPr="009A3F92">
              <w:rPr>
                <w:rFonts w:ascii="Arial" w:eastAsia="Times New Roman" w:hAnsi="Arial" w:cs="Arial"/>
                <w:noProof/>
                <w:color w:val="000000"/>
                <w:sz w:val="20"/>
                <w:szCs w:val="20"/>
              </w:rPr>
              <w:fldChar w:fldCharType="separate"/>
            </w:r>
            <w:r w:rsidRPr="00586CF4">
              <w:rPr>
                <w:rFonts w:ascii="Arial" w:eastAsia="Times New Roman" w:hAnsi="Arial" w:cs="Arial"/>
                <w:noProof/>
                <w:color w:val="000000"/>
                <w:sz w:val="20"/>
                <w:szCs w:val="20"/>
              </w:rPr>
              <w:t xml:space="preserve">(Wagner </w:t>
            </w:r>
            <w:r w:rsidRPr="009A3F92">
              <w:rPr>
                <w:rFonts w:ascii="Arial" w:eastAsia="Times New Roman" w:hAnsi="Arial" w:cs="Arial"/>
                <w:noProof/>
                <w:color w:val="000000"/>
                <w:sz w:val="20"/>
                <w:szCs w:val="20"/>
              </w:rPr>
              <w:t>et al.</w:t>
            </w:r>
            <w:r w:rsidRPr="00586CF4">
              <w:rPr>
                <w:rFonts w:ascii="Arial" w:eastAsia="Times New Roman" w:hAnsi="Arial" w:cs="Arial"/>
                <w:noProof/>
                <w:color w:val="000000"/>
                <w:sz w:val="20"/>
                <w:szCs w:val="20"/>
              </w:rPr>
              <w:t>, 2022)</w:t>
            </w:r>
            <w:r w:rsidRPr="009A3F92">
              <w:rPr>
                <w:rFonts w:ascii="Arial" w:eastAsia="Times New Roman" w:hAnsi="Arial" w:cs="Arial"/>
                <w:noProof/>
                <w:color w:val="000000"/>
                <w:sz w:val="20"/>
                <w:szCs w:val="20"/>
              </w:rPr>
              <w:fldChar w:fldCharType="end"/>
            </w:r>
            <w:r w:rsidRPr="00586CF4">
              <w:rPr>
                <w:rFonts w:ascii="Arial" w:eastAsia="Times New Roman" w:hAnsi="Arial" w:cs="Arial"/>
                <w:noProof/>
                <w:color w:val="000000"/>
                <w:sz w:val="20"/>
                <w:szCs w:val="20"/>
              </w:rPr>
              <w:t xml:space="preserve">, </w:t>
            </w:r>
            <w:r>
              <w:rPr>
                <w:rFonts w:ascii="Arial" w:eastAsia="Times New Roman" w:hAnsi="Arial" w:cs="Arial"/>
                <w:noProof/>
                <w:color w:val="000000"/>
                <w:sz w:val="20"/>
                <w:szCs w:val="20"/>
              </w:rPr>
              <w:fldChar w:fldCharType="begin" w:fldLock="1"/>
            </w:r>
            <w:r>
              <w:rPr>
                <w:rFonts w:ascii="Arial" w:eastAsia="Times New Roman" w:hAnsi="Arial" w:cs="Arial"/>
                <w:noProof/>
                <w:color w:val="000000"/>
                <w:sz w:val="20"/>
                <w:szCs w:val="20"/>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w:instrText>
            </w:r>
            <w:r w:rsidRPr="00EC05E1">
              <w:rPr>
                <w:rFonts w:ascii="Arial" w:eastAsia="Times New Roman" w:hAnsi="Arial" w:cs="Arial"/>
                <w:noProof/>
                <w:color w:val="000000"/>
                <w:sz w:val="20"/>
                <w:szCs w:val="20"/>
                <w:lang w:val="nl-NL"/>
              </w:rPr>
              <w:instrText>m pharmacist intervention compared with those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2021)","plainTextFormattedCitation":"(Alabkal et al., 2021)","previouslyFormattedCitation":"(Alabkal &lt;i&gt;et al.&lt;/i&gt;, 2021)"},"properties":{"noteIndex":0},"schema":"https://github.com/citation-style-language/schema/raw/master/csl-citation.json"}</w:instrText>
            </w:r>
            <w:r>
              <w:rPr>
                <w:rFonts w:ascii="Arial" w:eastAsia="Times New Roman" w:hAnsi="Arial" w:cs="Arial"/>
                <w:noProof/>
                <w:color w:val="000000"/>
                <w:sz w:val="20"/>
                <w:szCs w:val="20"/>
              </w:rPr>
              <w:fldChar w:fldCharType="separate"/>
            </w:r>
            <w:r w:rsidRPr="00EC05E1">
              <w:rPr>
                <w:rFonts w:ascii="Arial" w:eastAsia="Times New Roman" w:hAnsi="Arial" w:cs="Arial"/>
                <w:noProof/>
                <w:color w:val="000000"/>
                <w:sz w:val="20"/>
                <w:szCs w:val="20"/>
                <w:lang w:val="nl-NL"/>
              </w:rPr>
              <w:t>(Alabkal et al., 2021)</w:t>
            </w:r>
            <w:r>
              <w:rPr>
                <w:rFonts w:ascii="Arial" w:eastAsia="Times New Roman" w:hAnsi="Arial" w:cs="Arial"/>
                <w:noProof/>
                <w:color w:val="000000"/>
                <w:sz w:val="20"/>
                <w:szCs w:val="20"/>
              </w:rPr>
              <w:fldChar w:fldCharType="end"/>
            </w:r>
            <w:r w:rsidRPr="00EC05E1">
              <w:rPr>
                <w:rFonts w:ascii="Arial" w:eastAsia="Times New Roman" w:hAnsi="Arial" w:cs="Arial"/>
                <w:noProof/>
                <w:color w:val="000000"/>
                <w:sz w:val="20"/>
                <w:szCs w:val="20"/>
                <w:lang w:val="nl-NL"/>
              </w:rPr>
              <w:t xml:space="preserve">, (Alsuwayni and Alhossan, 2020), </w:t>
            </w:r>
            <w:r w:rsidRPr="009A3F92">
              <w:rPr>
                <w:rFonts w:ascii="Arial" w:eastAsia="Times New Roman" w:hAnsi="Arial" w:cs="Arial"/>
                <w:noProof/>
                <w:color w:val="000000"/>
                <w:sz w:val="20"/>
                <w:szCs w:val="20"/>
              </w:rPr>
              <w:fldChar w:fldCharType="begin" w:fldLock="1"/>
            </w:r>
            <w:r w:rsidRPr="00EC05E1">
              <w:rPr>
                <w:rFonts w:ascii="Arial" w:eastAsia="Times New Roman" w:hAnsi="Arial" w:cs="Arial"/>
                <w:noProof/>
                <w:color w:val="000000"/>
                <w:sz w:val="20"/>
                <w:szCs w:val="20"/>
                <w:lang w:val="nl-NL"/>
              </w:rPr>
              <w:instrText>ADDIN CSL_CITATION {"citationItems":[{"id":"ITEM-1","itemData":{"DOI":"10.1016/j.jcjd.2019.04.017","ISSN":"23523840","PMID":"31164301","author":[{"dropping-particle":"","family":"Boivin","given":"Michael","non-dropping-particle":"","parse-names":false,"suffix":""}],"container-title":"Canadian Journal of Diabetes","id":"ITEM-1","issue":"6","issued":{"date-parts":[["2019"]]},"page":"429-432","publisher":"Canadian Diabetes Association","title":"Role of the Pharmacist Certified Diabetes Educator Along the Type 2 Diabetes Care Continuum","type":"article-journal","volume":"43"},"uris":["http://www.mendeley.com/documents/?uuid=05f97a0c-d440-46e6-903a-10cfca6adc36"]}],"mendeley":{"formattedCitation":"(Boivin, 2019)","plainTextFormattedCitation":"(Boivin, 2019)","previouslyFormattedCitation":"(Boivin, 2019)"},"properties":{"noteIndex":0},"schema":"https://github.com/citation-style-language/schema/raw/master/csl-citation.json"}</w:instrText>
            </w:r>
            <w:r w:rsidRPr="009A3F92">
              <w:rPr>
                <w:rFonts w:ascii="Arial" w:eastAsia="Times New Roman" w:hAnsi="Arial" w:cs="Arial"/>
                <w:noProof/>
                <w:color w:val="000000"/>
                <w:sz w:val="20"/>
                <w:szCs w:val="20"/>
              </w:rPr>
              <w:fldChar w:fldCharType="separate"/>
            </w:r>
            <w:r w:rsidRPr="00EC05E1">
              <w:rPr>
                <w:rFonts w:ascii="Arial" w:eastAsia="Times New Roman" w:hAnsi="Arial" w:cs="Arial"/>
                <w:noProof/>
                <w:color w:val="000000"/>
                <w:sz w:val="20"/>
                <w:szCs w:val="20"/>
                <w:lang w:val="nl-NL"/>
              </w:rPr>
              <w:t>(Boivin, 2019)</w:t>
            </w:r>
            <w:r w:rsidRPr="009A3F92">
              <w:rPr>
                <w:rFonts w:ascii="Arial" w:eastAsia="Times New Roman" w:hAnsi="Arial" w:cs="Arial"/>
                <w:noProof/>
                <w:color w:val="000000"/>
                <w:sz w:val="20"/>
                <w:szCs w:val="20"/>
              </w:rPr>
              <w:fldChar w:fldCharType="end"/>
            </w:r>
            <w:r w:rsidRPr="00EC05E1">
              <w:rPr>
                <w:rFonts w:ascii="Arial" w:eastAsia="Times New Roman" w:hAnsi="Arial" w:cs="Arial"/>
                <w:noProof/>
                <w:color w:val="000000"/>
                <w:sz w:val="20"/>
                <w:szCs w:val="20"/>
                <w:lang w:val="nl-NL"/>
              </w:rPr>
              <w:t xml:space="preserve">, (Simpson et al., 2015), , Bush et al 2018, (Schultz et al., 2018), (Peterson et al., 2018), (Gagnon et al., 2017), (Fazel et al., 2017), (Pousinho et al., 2016), (Tan et al., 2014), (Gilani et al., 2013), (Al Asmary et al., 2013), </w:t>
            </w:r>
            <w:r w:rsidRPr="00AA5614">
              <w:rPr>
                <w:rFonts w:ascii="Arial" w:eastAsia="Times New Roman" w:hAnsi="Arial" w:cs="Arial"/>
                <w:noProof/>
                <w:color w:val="000000"/>
                <w:sz w:val="20"/>
                <w:szCs w:val="20"/>
                <w:lang w:val="es-ES_tradnl"/>
              </w:rPr>
              <w:fldChar w:fldCharType="begin" w:fldLock="1"/>
            </w:r>
            <w:r w:rsidRPr="00876389">
              <w:rPr>
                <w:rFonts w:ascii="Arial" w:eastAsia="Times New Roman" w:hAnsi="Arial" w:cs="Arial"/>
                <w:noProof/>
                <w:color w:val="000000"/>
                <w:sz w:val="20"/>
                <w:szCs w:val="20"/>
                <w:lang w:val="nl-NL"/>
              </w:rPr>
              <w:instrText>ADDIN CSL_CITATION {"citationItems":[{"id":"ITEM-1","itemData":{"DOI":"10.2337/dc12-0369","ISSN":"01495992","PMID":"23173140","abstract":"OBJECTIVE - This systematic review and meta-analysis of randomized controlled trials (RCTs) assesses the effect of pharmaci</w:instrText>
            </w:r>
            <w:r w:rsidRPr="00AA5614">
              <w:rPr>
                <w:rFonts w:ascii="Arial" w:eastAsia="Times New Roman" w:hAnsi="Arial" w:cs="Arial"/>
                <w:noProof/>
                <w:color w:val="000000"/>
                <w:sz w:val="20"/>
                <w:szCs w:val="20"/>
                <w:lang w:val="es-ES_tradnl"/>
              </w:rPr>
              <w:instrText>st care on cardiovascular disease (CVD) risk factors among outpatients with diabetes. RESEARCH DESIGN AND METHODS - MEDLINE, EMBASE, CINAHL, and the Cochrane Central Register of Controlled Trials were searched. Pharmacist interventions were classified, and a meta-analysis of mean changes of blood pressure (BP), total cholesterol (TC), LDL cholesterol, HDL cholesterol, and BMI was performed using random-effects models. RESULTS - The meta-analysis included 15 RCTs (9,111 outpatients) in which interventions were conducted exclusively by pharmacists in 8 studies and in collaboration with physicians, nurses, dietitians, or physical therapists in 7 studies. Pharmacist interventions included medication management, educational interventions, feedback to physicians, measurement of CVD risk factors, or patient-reminder systems. Compared with usual care, pharmacist care was associated with significant reductions for systolic BP (12 studies with 1,894 patients; -6.2 mmHg [95% CI -7.8 to -4.6]); diastolic BP (9 studies with 1,496 patients; -4.5 mmHg [-6.2 to -2.8]); TC (8 studies with 1,280 patients; -15.2 mg/dL [-24.7 to -5.7]); LDL cholesterol (9 studies with 8,084 patients; -11.7mg/dL [-15.8 to-7.6]); and BMI (5 studies with 751 patients; -0.9 kg/m2 [-1.7 to -0.1]). Pharmacist care was not associated with a significant change in HDL cholesterol (6 studies with 826 patients; 0.2 mg/dL [-1.9 to 2.4]). CONCLUSIONS - This meta-analysis supports pharmacist interventions - alone or i</w:instrText>
            </w:r>
            <w:r w:rsidRPr="008E52ED">
              <w:rPr>
                <w:rFonts w:ascii="Arial" w:eastAsia="Times New Roman" w:hAnsi="Arial" w:cs="Arial"/>
                <w:noProof/>
                <w:color w:val="000000"/>
                <w:sz w:val="20"/>
                <w:szCs w:val="20"/>
                <w:lang w:val="es-ES_tradnl"/>
              </w:rPr>
              <w:instrText>n collaboration with other health care professionals - to improve major CVD risk factors among outpatients with diabetes. © 2012 by the American Diabetes Association.","author":[{"dropping-particle":"","family":"Santschi","given":"Valérie","non-dropping-particle":"","parse-names":false,"suffix":""},{"dropping-particle":"","family":"Colosimo","given":"April L.","non-dropping-particle":"","parse-names":false,"suffix":""},{"dropping-particle":"","family":"Chiolero","given":"Arnaud","non-dropping-particle":"","parse-names":false,"suffix":""},{"dropping-particle":"","family":"Burnand","given":"Bernard","non-dropping-particle":"","parse-names":false,"suffix":""},{"dropping-particle":"","family":"Paradis","given":"Gilles","non-dropping-particle":"","parse-names":false,"suffix":""}],"container-title":"Diabetes Care","id":"ITEM-1","issue":"12","issued":{"date-parts":[["2012"]]},"page":"2706-2717","title":"Pharmacist interventions to improve cardiovascular disease risk factors in diabetes: A systematic review and meta-analysis of randomized controlled trials","type":"article-journal","volume":"35"},"uris":["http://www.mendeley.com/documents/?uuid=18e4bb6b-cf5b-4195-a39f-51ac6af47cf5"]}],"mendeley":{"formattedCitation":"(Santschi &lt;i&gt;et al.&lt;/i&gt;, 2012)","plainTextFormattedCitation":"(Santschi et al., 2012)","previouslyFormattedCitation":"(Santschi &lt;i&gt;et al.&lt;/i&gt;, 2012)"},"properties":{"noteIndex":0},"schema":"https://github.com/citation-style-language/schema/raw/master/csl-citation.json"}</w:instrText>
            </w:r>
            <w:r w:rsidRPr="00AA5614">
              <w:rPr>
                <w:rFonts w:ascii="Arial" w:eastAsia="Times New Roman" w:hAnsi="Arial" w:cs="Arial"/>
                <w:noProof/>
                <w:color w:val="000000"/>
                <w:sz w:val="20"/>
                <w:szCs w:val="20"/>
                <w:lang w:val="es-ES_tradnl"/>
              </w:rPr>
              <w:fldChar w:fldCharType="separate"/>
            </w:r>
            <w:r w:rsidRPr="008E52ED">
              <w:rPr>
                <w:rFonts w:ascii="Arial" w:eastAsia="Times New Roman" w:hAnsi="Arial" w:cs="Arial"/>
                <w:noProof/>
                <w:color w:val="000000"/>
                <w:sz w:val="20"/>
                <w:szCs w:val="20"/>
                <w:lang w:val="es-ES_tradnl"/>
              </w:rPr>
              <w:t>(Santschi et al., 2012)</w:t>
            </w:r>
            <w:r w:rsidRPr="00AA5614">
              <w:rPr>
                <w:rFonts w:ascii="Arial" w:eastAsia="Times New Roman" w:hAnsi="Arial" w:cs="Arial"/>
                <w:noProof/>
                <w:color w:val="000000"/>
                <w:sz w:val="20"/>
                <w:szCs w:val="20"/>
                <w:lang w:val="es-ES_tradnl"/>
              </w:rPr>
              <w:fldChar w:fldCharType="end"/>
            </w:r>
            <w:r w:rsidRPr="008E52ED">
              <w:rPr>
                <w:rFonts w:ascii="Arial" w:eastAsia="Times New Roman" w:hAnsi="Arial" w:cs="Arial"/>
                <w:noProof/>
                <w:color w:val="000000"/>
                <w:sz w:val="20"/>
                <w:szCs w:val="20"/>
                <w:lang w:val="es-ES_tradnl"/>
              </w:rPr>
              <w:t>, (Willens et al., 2011), (Armor et al., 2010), (Chisholm-burns et al., 2010)</w:t>
            </w:r>
          </w:p>
        </w:tc>
      </w:tr>
      <w:tr w:rsidR="00941883" w:rsidRPr="00BD7856" w14:paraId="7FC0C271" w14:textId="77777777" w:rsidTr="00282204">
        <w:trPr>
          <w:trHeight w:val="1618"/>
        </w:trPr>
        <w:tc>
          <w:tcPr>
            <w:tcW w:w="1854" w:type="dxa"/>
            <w:tcBorders>
              <w:top w:val="single" w:sz="4" w:space="0" w:color="auto"/>
              <w:bottom w:val="single" w:sz="4" w:space="0" w:color="auto"/>
            </w:tcBorders>
            <w:shd w:val="clear" w:color="auto" w:fill="auto"/>
            <w:vAlign w:val="center"/>
          </w:tcPr>
          <w:p w14:paraId="6248B8EA" w14:textId="77777777" w:rsidR="00941883" w:rsidRPr="008E52ED" w:rsidRDefault="00941883" w:rsidP="00282204">
            <w:pPr>
              <w:spacing w:after="0" w:line="240" w:lineRule="auto"/>
              <w:rPr>
                <w:rFonts w:ascii="Arial" w:eastAsia="Times New Roman" w:hAnsi="Arial" w:cs="Arial"/>
                <w:color w:val="000000"/>
                <w:sz w:val="20"/>
                <w:szCs w:val="20"/>
                <w:lang w:val="es-ES_tradnl"/>
              </w:rPr>
            </w:pPr>
            <w:r w:rsidRPr="008E52ED">
              <w:rPr>
                <w:rFonts w:ascii="Arial" w:eastAsia="Times New Roman" w:hAnsi="Arial" w:cs="Arial"/>
                <w:color w:val="000000"/>
                <w:sz w:val="20"/>
                <w:szCs w:val="20"/>
                <w:lang w:val="es-ES_tradnl"/>
              </w:rPr>
              <w:t>Led diabetes clinic</w:t>
            </w:r>
          </w:p>
        </w:tc>
        <w:tc>
          <w:tcPr>
            <w:tcW w:w="6156" w:type="dxa"/>
            <w:tcBorders>
              <w:top w:val="single" w:sz="4" w:space="0" w:color="auto"/>
              <w:bottom w:val="single" w:sz="4" w:space="0" w:color="auto"/>
            </w:tcBorders>
            <w:shd w:val="clear" w:color="auto" w:fill="auto"/>
            <w:vAlign w:val="center"/>
          </w:tcPr>
          <w:p w14:paraId="1AEAD97A" w14:textId="77777777" w:rsidR="00941883" w:rsidRPr="008E52ED" w:rsidRDefault="00941883" w:rsidP="00282204">
            <w:pPr>
              <w:spacing w:after="0" w:line="240" w:lineRule="auto"/>
              <w:rPr>
                <w:rFonts w:ascii="Arial" w:eastAsia="Times New Roman" w:hAnsi="Arial" w:cs="Arial"/>
                <w:color w:val="000000"/>
                <w:sz w:val="20"/>
                <w:szCs w:val="20"/>
                <w:lang w:val="es-ES_tradnl"/>
              </w:rPr>
            </w:pPr>
          </w:p>
          <w:p w14:paraId="3EA5E973" w14:textId="77777777" w:rsidR="00941883" w:rsidRPr="008E52ED" w:rsidRDefault="00941883" w:rsidP="00941883">
            <w:pPr>
              <w:pStyle w:val="ListParagraph"/>
              <w:numPr>
                <w:ilvl w:val="0"/>
                <w:numId w:val="33"/>
              </w:numPr>
              <w:spacing w:after="0" w:line="240" w:lineRule="auto"/>
              <w:jc w:val="both"/>
              <w:rPr>
                <w:rFonts w:ascii="Arial" w:eastAsia="Times New Roman" w:hAnsi="Arial" w:cs="Arial"/>
                <w:color w:val="000000"/>
                <w:sz w:val="20"/>
                <w:szCs w:val="20"/>
                <w:lang w:val="es-ES_tradnl"/>
              </w:rPr>
            </w:pPr>
            <w:r w:rsidRPr="008E52ED">
              <w:rPr>
                <w:rFonts w:ascii="Arial" w:eastAsia="Times New Roman" w:hAnsi="Arial" w:cs="Arial"/>
                <w:color w:val="000000"/>
                <w:sz w:val="20"/>
                <w:szCs w:val="20"/>
                <w:lang w:val="es-ES_tradnl"/>
              </w:rPr>
              <w:t xml:space="preserve">A pharmacist can assess a patient's condition, monitor the patient's adherence to the management plan, follow up with patients and order related laboratory tests, and prescribe and modify medications under a collaborative practice agreement between pharmacists and other healthcare providers.  </w:t>
            </w:r>
          </w:p>
          <w:p w14:paraId="7DF9A93B" w14:textId="77777777" w:rsidR="00941883" w:rsidRPr="008E52ED" w:rsidRDefault="00941883" w:rsidP="00282204">
            <w:pPr>
              <w:spacing w:after="0" w:line="240" w:lineRule="auto"/>
              <w:ind w:left="360"/>
              <w:rPr>
                <w:rFonts w:ascii="Arial" w:eastAsia="Times New Roman" w:hAnsi="Arial" w:cs="Arial"/>
                <w:color w:val="000000"/>
                <w:sz w:val="20"/>
                <w:szCs w:val="20"/>
                <w:lang w:val="es-ES_tradnl"/>
              </w:rPr>
            </w:pPr>
          </w:p>
        </w:tc>
        <w:tc>
          <w:tcPr>
            <w:tcW w:w="5396" w:type="dxa"/>
            <w:tcBorders>
              <w:top w:val="single" w:sz="4" w:space="0" w:color="auto"/>
              <w:bottom w:val="single" w:sz="4" w:space="0" w:color="auto"/>
            </w:tcBorders>
            <w:shd w:val="clear" w:color="auto" w:fill="auto"/>
            <w:vAlign w:val="center"/>
          </w:tcPr>
          <w:p w14:paraId="6DDE2F12" w14:textId="77777777" w:rsidR="00941883" w:rsidRPr="00A86E71" w:rsidRDefault="00941883" w:rsidP="00282204">
            <w:pPr>
              <w:spacing w:after="0" w:line="240" w:lineRule="auto"/>
              <w:jc w:val="both"/>
              <w:rPr>
                <w:rFonts w:ascii="Arial" w:eastAsia="Times New Roman" w:hAnsi="Arial" w:cs="Arial"/>
                <w:noProof/>
                <w:color w:val="000000"/>
                <w:sz w:val="20"/>
                <w:szCs w:val="20"/>
                <w:lang w:val="nl-NL"/>
              </w:rPr>
            </w:pPr>
            <w:r w:rsidRPr="009A3F92">
              <w:rPr>
                <w:rFonts w:ascii="Arial" w:eastAsia="Times New Roman" w:hAnsi="Arial" w:cs="Arial"/>
                <w:noProof/>
                <w:color w:val="000000"/>
                <w:sz w:val="20"/>
                <w:szCs w:val="20"/>
              </w:rPr>
              <w:fldChar w:fldCharType="begin" w:fldLock="1"/>
            </w:r>
            <w:r w:rsidRPr="008E52ED">
              <w:rPr>
                <w:rFonts w:ascii="Arial" w:eastAsia="Times New Roman" w:hAnsi="Arial" w:cs="Arial"/>
                <w:noProof/>
                <w:color w:val="000000"/>
                <w:sz w:val="20"/>
                <w:szCs w:val="20"/>
                <w:lang w:val="es-ES_tradnl"/>
              </w:rPr>
              <w:instrText>ADDIN CSL_CITATION {"citationItems":[{"id":"ITEM-1","itemData":{"auth</w:instrText>
            </w:r>
            <w:r w:rsidRPr="00876389">
              <w:rPr>
                <w:rFonts w:ascii="Arial" w:eastAsia="Times New Roman" w:hAnsi="Arial" w:cs="Arial"/>
                <w:noProof/>
                <w:color w:val="000000"/>
                <w:sz w:val="20"/>
                <w:szCs w:val="20"/>
                <w:lang w:val="es-ES_tradnl"/>
              </w:rPr>
              <w:instrText>or":[{"dropping-particle":"","family":"Alghadeer","given":"Sultan M","non-dropping-particle":"","parse-names":false,"suffix":""},{"dropping-particle":"","family":"Alsuwayni","given":"Bashayr","non-dropping-particle":"","parse-names":false,"suffix":""},{"dropping-particle":"","family":"Almuwayjid","given":"Abdulmohsen K","non-dropping-particle":"","parse-names":false,"suffix":""},{"dropping-particle":"","family":"Almadi","given":"Mohammed S","non-dropping-particle":"","parse-names":false,"suffix":""},{"dropping-particle":"","family":"Mubarak","given":"Abdullah M","non-dropping-particle":"","parse-names":false,"suffix":""},{"dropping-particle":"","family":"Khunayn","given":"R</w:instrText>
            </w:r>
            <w:r w:rsidRPr="00BD7856">
              <w:rPr>
                <w:rFonts w:ascii="Arial" w:eastAsia="Times New Roman" w:hAnsi="Arial" w:cs="Arial"/>
                <w:noProof/>
                <w:color w:val="000000"/>
                <w:sz w:val="20"/>
                <w:szCs w:val="20"/>
              </w:rPr>
              <w:instrText>awan M","non-dropping-particle":"","parse-names":false,"suffix":""},{"dropping-particle":"","family":"Al-arifi","given":"Mohamed N","non-dropping-particle":"","parse-names":false,"suffix":""}],"id":"ITEM-1","issued":{"date-parts":[["2022"]]},"page":"1-9","title":"Glycemic Control and Management in Pharmacist-Led Diabetic Clini</w:instrText>
            </w:r>
            <w:r w:rsidRPr="00A86E71">
              <w:rPr>
                <w:rFonts w:ascii="Arial" w:eastAsia="Times New Roman" w:hAnsi="Arial" w:cs="Arial"/>
                <w:noProof/>
                <w:color w:val="000000"/>
                <w:sz w:val="20"/>
                <w:szCs w:val="20"/>
                <w:lang w:val="nl-NL"/>
              </w:rPr>
              <w:instrText>c vs . Physician-Led Diabetic Clinic","type":"article-journal"},"uris":["http://www.mendeley.com/documents/?uuid=0aae8201-f410-4f68-ae0c-7d27a405e309"]}],"mendeley":{"formattedCitation":"(Alghadeer &lt;i&gt;et al.&lt;/i&gt;, 2022)","manualFormatting":"(Alghadeer et al., 2022;","plainTextFormattedCitation":"(Alghadeer et al., 2022)","previouslyFormattedCitation":"(Alghadeer &lt;i&gt;et al.&lt;/i&gt;, 2022)"},"properties":{"noteIndex":0},"schema":"https://github.com/citation-style-language/schema/raw/master/csl-citation.json"}</w:instrText>
            </w:r>
            <w:r w:rsidRPr="009A3F92">
              <w:rPr>
                <w:rFonts w:ascii="Arial" w:eastAsia="Times New Roman" w:hAnsi="Arial" w:cs="Arial"/>
                <w:noProof/>
                <w:color w:val="000000"/>
                <w:sz w:val="20"/>
                <w:szCs w:val="20"/>
              </w:rPr>
              <w:fldChar w:fldCharType="separate"/>
            </w:r>
            <w:r w:rsidRPr="00A86E71">
              <w:rPr>
                <w:rFonts w:ascii="Arial" w:eastAsia="Times New Roman" w:hAnsi="Arial" w:cs="Arial"/>
                <w:noProof/>
                <w:color w:val="000000"/>
                <w:sz w:val="20"/>
                <w:szCs w:val="20"/>
                <w:lang w:val="nl-NL"/>
              </w:rPr>
              <w:t>(Alghadeer et al., 2022;</w:t>
            </w:r>
            <w:r w:rsidRPr="009A3F92">
              <w:rPr>
                <w:rFonts w:ascii="Arial" w:eastAsia="Times New Roman" w:hAnsi="Arial" w:cs="Arial"/>
                <w:noProof/>
                <w:color w:val="000000"/>
                <w:sz w:val="20"/>
                <w:szCs w:val="20"/>
              </w:rPr>
              <w:fldChar w:fldCharType="end"/>
            </w:r>
            <w:r w:rsidRPr="00A86E71">
              <w:rPr>
                <w:rFonts w:ascii="Arial" w:eastAsia="Times New Roman" w:hAnsi="Arial" w:cs="Arial"/>
                <w:noProof/>
                <w:color w:val="000000"/>
                <w:sz w:val="20"/>
                <w:szCs w:val="20"/>
                <w:lang w:val="nl-NL"/>
              </w:rPr>
              <w:t xml:space="preserve"> </w:t>
            </w:r>
            <w:r w:rsidRPr="009A3F92">
              <w:rPr>
                <w:rFonts w:ascii="Arial" w:eastAsia="Times New Roman" w:hAnsi="Arial" w:cs="Arial"/>
                <w:noProof/>
                <w:color w:val="000000"/>
                <w:sz w:val="20"/>
                <w:szCs w:val="20"/>
              </w:rPr>
              <w:fldChar w:fldCharType="begin" w:fldLock="1"/>
            </w:r>
            <w:r w:rsidRPr="00A86E71">
              <w:rPr>
                <w:rFonts w:ascii="Arial" w:eastAsia="Times New Roman" w:hAnsi="Arial" w:cs="Arial"/>
                <w:noProof/>
                <w:color w:val="000000"/>
                <w:sz w:val="20"/>
                <w:szCs w:val="20"/>
                <w:lang w:val="nl-NL"/>
              </w:rPr>
              <w:instrText>ADDIN CSL_CITATION {"citationItems":[{"id":"ITEM-1","itemData":{"DOI":"10.7759/cureus.25923","author":[{"dropping-particle":"","family":"Alqifari","given":"Saleh F","non-dropping-particle":"","parse-names":false,"suffix":""},{"dropping-particle":"","family":"Almharwal","given":"Bader","non-dropping-particle":"","parse-names":false,"suffix":""},{"dropping-particle":"","family":"Aldawish","given":"Rahaf","non-dropping-particle":"","parse-names":false,"suffix":""},{"dropping-particle":"","family":"Almokhlef","given":"Salman A","non-dropping-particle":"","parse-names":false,"suffix":""}],"id":"ITEM-1","issue":"6","issued":{"date-parts":[["2022"]]},"page":"8-13","title":"Impact of Pharmacist-Led Clinics on Health Outcomes of Patients With Diabetes at a Ministry of Health Diabetes &amp; Endocrinology Center , Saudi Arabia : A Retrospective Study","type":"article-journal","volume":"14"},"uris":["http://www.mendeley.com/documents/?uuid=b4794254-e216-4fdf-bd51-7876d2c5e639"]}],"mendeley":{"formattedCitation":"(Alqifari &lt;i&gt;et al.&lt;/i&gt;, 2022)","manualFormatting":"Alqifari et al., 2022;","plainTextFormattedCitation":"(Alqifari et al., 2022)","previouslyFormattedCitation":"(Alqifari &lt;i&gt;et al.&lt;/i&gt;, 2022)"},"properties":{"noteIndex":0},"schema":"https://github.com/citation-style-language/schema/raw/master/csl-citation.json"}</w:instrText>
            </w:r>
            <w:r w:rsidRPr="009A3F92">
              <w:rPr>
                <w:rFonts w:ascii="Arial" w:eastAsia="Times New Roman" w:hAnsi="Arial" w:cs="Arial"/>
                <w:noProof/>
                <w:color w:val="000000"/>
                <w:sz w:val="20"/>
                <w:szCs w:val="20"/>
              </w:rPr>
              <w:fldChar w:fldCharType="separate"/>
            </w:r>
            <w:r w:rsidRPr="00A86E71">
              <w:rPr>
                <w:rFonts w:ascii="Arial" w:eastAsia="Times New Roman" w:hAnsi="Arial" w:cs="Arial"/>
                <w:noProof/>
                <w:color w:val="000000"/>
                <w:sz w:val="20"/>
                <w:szCs w:val="20"/>
                <w:lang w:val="nl-NL"/>
              </w:rPr>
              <w:t>Alqifari et al., 2022;</w:t>
            </w:r>
            <w:r w:rsidRPr="009A3F92">
              <w:rPr>
                <w:rFonts w:ascii="Arial" w:eastAsia="Times New Roman" w:hAnsi="Arial" w:cs="Arial"/>
                <w:noProof/>
                <w:color w:val="000000"/>
                <w:sz w:val="20"/>
                <w:szCs w:val="20"/>
              </w:rPr>
              <w:fldChar w:fldCharType="end"/>
            </w:r>
            <w:r w:rsidRPr="00A86E71">
              <w:rPr>
                <w:rFonts w:ascii="Arial" w:eastAsia="Times New Roman" w:hAnsi="Arial" w:cs="Arial"/>
                <w:noProof/>
                <w:color w:val="000000"/>
                <w:sz w:val="20"/>
                <w:szCs w:val="20"/>
                <w:lang w:val="nl-NL"/>
              </w:rPr>
              <w:t xml:space="preserve"> </w:t>
            </w:r>
            <w:r w:rsidRPr="009A3F92">
              <w:rPr>
                <w:rFonts w:ascii="Arial" w:eastAsia="Times New Roman" w:hAnsi="Arial" w:cs="Arial"/>
                <w:noProof/>
                <w:color w:val="000000"/>
                <w:sz w:val="20"/>
                <w:szCs w:val="20"/>
              </w:rPr>
              <w:fldChar w:fldCharType="begin" w:fldLock="1"/>
            </w:r>
            <w:r w:rsidRPr="00A86E71">
              <w:rPr>
                <w:rFonts w:ascii="Arial" w:eastAsia="Times New Roman" w:hAnsi="Arial" w:cs="Arial"/>
                <w:noProof/>
                <w:color w:val="000000"/>
                <w:sz w:val="20"/>
                <w:szCs w:val="20"/>
                <w:lang w:val="nl-NL"/>
              </w:rPr>
              <w:instrText>ADDIN CSL_CITATION {"citationItems":[{"id":"ITEM-1","itemData":{"author":[{"dropping-particle":"","family":"Alsubaie","given":"Nawal","non-dropping-particle":"","parse-names":false,"suffix":""},{"dropping-particle":"","family":"Alsallal","given":"Mohannad","non-dropping-particle":"","parse-names":false,"suffix":""},{"dropping-particle":"","family":"Altwaijri","given":"Sulaiman","non-dropping-particle":"","parse-names":false,"suffix":""},{"dropping-particle":"","family":"Alotaibi","given":"Ahmed","non-dropping-particle":"","parse-names":false,"suffix":""},{"dropping-particle":"","family":"Alharbi","given":"Bandar","non-dropping-particle":"","parse-names":false,"suffix":""},{"dropping-particle":"","family":"Aleissa","given":"Mohammad","non-dropping-particle":"","parse-names":false,"suffix":""}],"id":"ITEM-1","issued":{"date-parts":[["2022"]]},"page":"887-892","title":"Impact of Clinical Pharmacist Diabetes Clinic on the Improvement of Health Outcomes in Type 2 Diabetes Subjects","type":"article-journal","volume":"10"},"uris":["http://www.mendeley.com/documents/?uuid=f4bab006-c942-4961-9501-a0ea0c0f1f08"]}],"mendeley":{"formattedCitation":"(Alsubaie &lt;i&gt;et al.&lt;/i&gt;, 2022)","manualFormatting":"Alsubaie et al., 2022;","plainTextFormattedCitation":"(Alsubaie et al., 2022)","previouslyFormattedCitation":"(Alsubaie &lt;i&gt;et al.&lt;/i&gt;, 2022)"},"properties":{"noteIndex":0},"schema":"https://github.com/citation-style-language/schema/raw/master/csl-citation.json"}</w:instrText>
            </w:r>
            <w:r w:rsidRPr="009A3F92">
              <w:rPr>
                <w:rFonts w:ascii="Arial" w:eastAsia="Times New Roman" w:hAnsi="Arial" w:cs="Arial"/>
                <w:noProof/>
                <w:color w:val="000000"/>
                <w:sz w:val="20"/>
                <w:szCs w:val="20"/>
              </w:rPr>
              <w:fldChar w:fldCharType="separate"/>
            </w:r>
            <w:r w:rsidRPr="00A86E71">
              <w:rPr>
                <w:rFonts w:ascii="Arial" w:eastAsia="Times New Roman" w:hAnsi="Arial" w:cs="Arial"/>
                <w:noProof/>
                <w:color w:val="000000"/>
                <w:sz w:val="20"/>
                <w:szCs w:val="20"/>
                <w:lang w:val="nl-NL"/>
              </w:rPr>
              <w:t>Alsubaie et al., 2022;</w:t>
            </w:r>
            <w:r w:rsidRPr="009A3F92">
              <w:rPr>
                <w:rFonts w:ascii="Arial" w:eastAsia="Times New Roman" w:hAnsi="Arial" w:cs="Arial"/>
                <w:noProof/>
                <w:color w:val="000000"/>
                <w:sz w:val="20"/>
                <w:szCs w:val="20"/>
              </w:rPr>
              <w:fldChar w:fldCharType="end"/>
            </w:r>
            <w:r w:rsidRPr="00A86E71">
              <w:rPr>
                <w:rFonts w:ascii="Arial" w:eastAsia="Times New Roman" w:hAnsi="Arial" w:cs="Arial"/>
                <w:noProof/>
                <w:color w:val="000000"/>
                <w:sz w:val="20"/>
                <w:szCs w:val="20"/>
                <w:lang w:val="nl-NL"/>
              </w:rPr>
              <w:t xml:space="preserve"> </w:t>
            </w:r>
            <w:r w:rsidRPr="009A3F92">
              <w:rPr>
                <w:rFonts w:ascii="Arial" w:eastAsia="Times New Roman" w:hAnsi="Arial" w:cs="Arial"/>
                <w:noProof/>
                <w:color w:val="000000"/>
                <w:sz w:val="20"/>
                <w:szCs w:val="20"/>
              </w:rPr>
              <w:fldChar w:fldCharType="begin" w:fldLock="1"/>
            </w:r>
            <w:r w:rsidRPr="00A86E71">
              <w:rPr>
                <w:rFonts w:ascii="Arial" w:eastAsia="Times New Roman" w:hAnsi="Arial" w:cs="Arial"/>
                <w:noProof/>
                <w:color w:val="000000"/>
                <w:sz w:val="20"/>
                <w:szCs w:val="20"/>
                <w:lang w:val="nl-NL"/>
              </w:rPr>
              <w:instrText>ADDIN CSL_CITATION {"citationItems":[{"id":"ITEM-1","itemData":{"DOI":"10.1002/jac5.1602","author":[{"dropping-particle":"","family":"Abdullah","given":"Meshal","non-dropping-particle":"","parse-names":false,"suffix":""},{"dropping-particle":"","family":"Pharm","given":"Alnais B S","non-dropping-particle":"","parse-names":false,"suffix":""},{"dropping-particle":"","family":"Faris","given":"Ali","non-dropping-particle":"","parse-names":false,"suffix":""},{"dropping-particle":"","family":"Pharm","given":"Altebainawi","non-dropping-particle":"","parse-names":false,"suffix":""}],"container-title":"Journal of the American College of Clinical Pharmacy","id":"ITEM-1","issue":"July 2021","issued":{"date-parts":[["2022"]]},"page":"509-515","title":"Implementation of the first pharmacist-led diabetes clinic at Ministry of Health Hospitals , Saudi Arabia","type":"article-journal"},"uris":["http://www.mendeley.com/documents/?uuid=592d6c66-e6f5-41c4-818f-386fbf7e2b9b"]}],"mendeley":{"formattedCitation":"(Abdullah &lt;i&gt;et al.&lt;/i&gt;, 2022)","manualFormatting":"Abdullah et al., 2022)","plainTextFormattedCitation":"(Abdullah et al., 2022)","previouslyFormattedCitation":"(Abdullah &lt;i&gt;et al.&lt;/i&gt;, 2022)"},"properties":{"noteIndex":0},"schema":"https://github.com/citation-style-language/schema/raw/master/csl-citation.json"}</w:instrText>
            </w:r>
            <w:r w:rsidRPr="009A3F92">
              <w:rPr>
                <w:rFonts w:ascii="Arial" w:eastAsia="Times New Roman" w:hAnsi="Arial" w:cs="Arial"/>
                <w:noProof/>
                <w:color w:val="000000"/>
                <w:sz w:val="20"/>
                <w:szCs w:val="20"/>
              </w:rPr>
              <w:fldChar w:fldCharType="separate"/>
            </w:r>
            <w:r w:rsidRPr="00A86E71">
              <w:rPr>
                <w:rFonts w:ascii="Arial" w:eastAsia="Times New Roman" w:hAnsi="Arial" w:cs="Arial"/>
                <w:noProof/>
                <w:color w:val="000000"/>
                <w:sz w:val="20"/>
                <w:szCs w:val="20"/>
                <w:lang w:val="nl-NL"/>
              </w:rPr>
              <w:t>Abdullah et al., 2022)</w:t>
            </w:r>
            <w:r w:rsidRPr="009A3F92">
              <w:rPr>
                <w:rFonts w:ascii="Arial" w:eastAsia="Times New Roman" w:hAnsi="Arial" w:cs="Arial"/>
                <w:noProof/>
                <w:color w:val="000000"/>
                <w:sz w:val="20"/>
                <w:szCs w:val="20"/>
              </w:rPr>
              <w:fldChar w:fldCharType="end"/>
            </w:r>
          </w:p>
        </w:tc>
      </w:tr>
      <w:tr w:rsidR="00941883" w:rsidRPr="00BD7856" w14:paraId="30F2E6AD" w14:textId="77777777" w:rsidTr="00282204">
        <w:trPr>
          <w:trHeight w:val="1250"/>
        </w:trPr>
        <w:tc>
          <w:tcPr>
            <w:tcW w:w="1854" w:type="dxa"/>
            <w:tcBorders>
              <w:top w:val="single" w:sz="4" w:space="0" w:color="auto"/>
              <w:bottom w:val="single" w:sz="4" w:space="0" w:color="auto"/>
            </w:tcBorders>
            <w:shd w:val="clear" w:color="auto" w:fill="auto"/>
            <w:vAlign w:val="center"/>
          </w:tcPr>
          <w:p w14:paraId="20F06176" w14:textId="77777777" w:rsidR="00941883" w:rsidRDefault="00941883" w:rsidP="00282204">
            <w:pPr>
              <w:spacing w:after="0" w:line="240" w:lineRule="auto"/>
              <w:rPr>
                <w:rFonts w:ascii="Arial" w:eastAsia="Times New Roman" w:hAnsi="Arial" w:cs="Arial"/>
                <w:color w:val="000000"/>
                <w:sz w:val="20"/>
                <w:szCs w:val="20"/>
              </w:rPr>
            </w:pPr>
            <w:r w:rsidRPr="00684079">
              <w:rPr>
                <w:rFonts w:ascii="Arial" w:eastAsia="Times New Roman" w:hAnsi="Arial" w:cs="Arial"/>
                <w:color w:val="000000"/>
                <w:sz w:val="20"/>
                <w:szCs w:val="20"/>
                <w:lang w:val="en-GB"/>
              </w:rPr>
              <w:t>Case management</w:t>
            </w:r>
          </w:p>
        </w:tc>
        <w:tc>
          <w:tcPr>
            <w:tcW w:w="6156" w:type="dxa"/>
            <w:tcBorders>
              <w:top w:val="single" w:sz="4" w:space="0" w:color="auto"/>
              <w:bottom w:val="single" w:sz="4" w:space="0" w:color="auto"/>
            </w:tcBorders>
            <w:shd w:val="clear" w:color="auto" w:fill="auto"/>
            <w:vAlign w:val="center"/>
          </w:tcPr>
          <w:p w14:paraId="40D7C1CF" w14:textId="77777777" w:rsidR="00941883" w:rsidRPr="00F017C5" w:rsidRDefault="00941883" w:rsidP="00941883">
            <w:pPr>
              <w:pStyle w:val="ListParagraph"/>
              <w:numPr>
                <w:ilvl w:val="0"/>
                <w:numId w:val="33"/>
              </w:numPr>
              <w:spacing w:after="0" w:line="240" w:lineRule="auto"/>
              <w:jc w:val="both"/>
              <w:rPr>
                <w:rFonts w:ascii="Arial" w:eastAsia="Times New Roman" w:hAnsi="Arial" w:cs="Arial"/>
                <w:color w:val="000000"/>
                <w:sz w:val="20"/>
                <w:szCs w:val="20"/>
              </w:rPr>
            </w:pPr>
            <w:r w:rsidRPr="00F017C5">
              <w:rPr>
                <w:rFonts w:ascii="Arial" w:eastAsia="Times New Roman" w:hAnsi="Arial" w:cs="Arial"/>
                <w:color w:val="000000"/>
                <w:sz w:val="20"/>
                <w:szCs w:val="20"/>
                <w:lang w:val="en-GB"/>
              </w:rPr>
              <w:t>A pharmacist is responsible for arranging the appointments with other specialties as needed per the care plan and evaluating the compliance as well as adverse effects of the new care plan.</w:t>
            </w:r>
          </w:p>
        </w:tc>
        <w:tc>
          <w:tcPr>
            <w:tcW w:w="5396" w:type="dxa"/>
            <w:tcBorders>
              <w:top w:val="single" w:sz="4" w:space="0" w:color="auto"/>
              <w:bottom w:val="single" w:sz="4" w:space="0" w:color="auto"/>
            </w:tcBorders>
            <w:shd w:val="clear" w:color="auto" w:fill="auto"/>
            <w:vAlign w:val="center"/>
          </w:tcPr>
          <w:p w14:paraId="30330927" w14:textId="77777777" w:rsidR="00941883" w:rsidRPr="004C5280" w:rsidRDefault="00941883" w:rsidP="00282204">
            <w:pPr>
              <w:spacing w:after="0" w:line="240" w:lineRule="auto"/>
              <w:rPr>
                <w:rFonts w:ascii="Arial" w:hAnsi="Arial" w:cs="Arial"/>
                <w:sz w:val="20"/>
                <w:szCs w:val="20"/>
                <w:lang w:val="nl-NL"/>
              </w:rPr>
            </w:pPr>
            <w:r w:rsidRPr="000D0E69">
              <w:rPr>
                <w:rFonts w:ascii="Arial" w:hAnsi="Arial" w:cs="Arial"/>
                <w:noProof/>
                <w:color w:val="000000"/>
                <w:sz w:val="20"/>
                <w:szCs w:val="20"/>
                <w:lang w:val="nl-NL"/>
              </w:rPr>
              <w:t>(Al Asmary et al., 2013; Tourkmani et al., 2018)</w:t>
            </w:r>
          </w:p>
        </w:tc>
      </w:tr>
      <w:tr w:rsidR="00941883" w:rsidRPr="00C63FEE" w14:paraId="7ED283A6" w14:textId="77777777" w:rsidTr="00282204">
        <w:trPr>
          <w:trHeight w:val="260"/>
        </w:trPr>
        <w:tc>
          <w:tcPr>
            <w:tcW w:w="1854" w:type="dxa"/>
            <w:tcBorders>
              <w:top w:val="single" w:sz="4" w:space="0" w:color="auto"/>
              <w:bottom w:val="single" w:sz="4" w:space="0" w:color="auto"/>
            </w:tcBorders>
            <w:shd w:val="clear" w:color="auto" w:fill="auto"/>
            <w:vAlign w:val="center"/>
            <w:hideMark/>
          </w:tcPr>
          <w:p w14:paraId="71883597" w14:textId="77777777" w:rsidR="00941883" w:rsidRPr="00586CF4" w:rsidRDefault="00941883" w:rsidP="00282204">
            <w:pPr>
              <w:spacing w:after="0" w:line="240" w:lineRule="auto"/>
              <w:rPr>
                <w:rFonts w:ascii="Arial" w:eastAsia="Times New Roman" w:hAnsi="Arial" w:cs="Arial"/>
                <w:color w:val="000000"/>
                <w:sz w:val="20"/>
                <w:szCs w:val="20"/>
              </w:rPr>
            </w:pPr>
            <w:r w:rsidRPr="00586CF4">
              <w:rPr>
                <w:rFonts w:ascii="Arial" w:eastAsia="Times New Roman" w:hAnsi="Arial" w:cs="Arial"/>
                <w:color w:val="000000"/>
                <w:sz w:val="20"/>
                <w:szCs w:val="20"/>
              </w:rPr>
              <w:t>Patient education</w:t>
            </w:r>
            <w:r>
              <w:rPr>
                <w:rFonts w:ascii="Arial" w:eastAsia="Times New Roman" w:hAnsi="Arial" w:cs="Arial"/>
                <w:color w:val="000000"/>
                <w:sz w:val="20"/>
                <w:szCs w:val="20"/>
              </w:rPr>
              <w:t xml:space="preserve"> and counseling </w:t>
            </w:r>
          </w:p>
          <w:p w14:paraId="117CCB48" w14:textId="77777777" w:rsidR="00941883" w:rsidRPr="00586CF4" w:rsidRDefault="00941883" w:rsidP="00282204">
            <w:pPr>
              <w:spacing w:after="0" w:line="240" w:lineRule="auto"/>
              <w:rPr>
                <w:rFonts w:ascii="Arial" w:eastAsia="Times New Roman" w:hAnsi="Arial" w:cs="Arial"/>
                <w:color w:val="000000"/>
                <w:sz w:val="20"/>
                <w:szCs w:val="20"/>
              </w:rPr>
            </w:pPr>
          </w:p>
          <w:p w14:paraId="7B8F5282" w14:textId="77777777" w:rsidR="00941883" w:rsidRPr="00586CF4" w:rsidRDefault="00941883" w:rsidP="00282204">
            <w:pPr>
              <w:spacing w:after="0" w:line="240" w:lineRule="auto"/>
              <w:rPr>
                <w:rFonts w:ascii="Arial" w:eastAsia="Times New Roman" w:hAnsi="Arial" w:cs="Arial"/>
                <w:color w:val="000000"/>
                <w:sz w:val="20"/>
                <w:szCs w:val="20"/>
              </w:rPr>
            </w:pPr>
          </w:p>
        </w:tc>
        <w:tc>
          <w:tcPr>
            <w:tcW w:w="6156" w:type="dxa"/>
            <w:tcBorders>
              <w:top w:val="single" w:sz="4" w:space="0" w:color="auto"/>
              <w:bottom w:val="single" w:sz="4" w:space="0" w:color="auto"/>
            </w:tcBorders>
            <w:shd w:val="clear" w:color="auto" w:fill="auto"/>
            <w:vAlign w:val="center"/>
            <w:hideMark/>
          </w:tcPr>
          <w:p w14:paraId="445D3EC3" w14:textId="77777777" w:rsidR="00941883" w:rsidRDefault="00941883" w:rsidP="00941883">
            <w:pPr>
              <w:pStyle w:val="ListParagraph"/>
              <w:numPr>
                <w:ilvl w:val="0"/>
                <w:numId w:val="33"/>
              </w:numPr>
              <w:spacing w:after="0" w:line="240" w:lineRule="auto"/>
              <w:jc w:val="both"/>
              <w:rPr>
                <w:rFonts w:ascii="Arial" w:eastAsia="Times New Roman" w:hAnsi="Arial" w:cs="Arial"/>
                <w:color w:val="000000"/>
                <w:sz w:val="20"/>
                <w:szCs w:val="20"/>
                <w:lang w:val="en-GB"/>
              </w:rPr>
            </w:pPr>
            <w:r w:rsidRPr="0007004D">
              <w:rPr>
                <w:rFonts w:ascii="Arial" w:eastAsia="Times New Roman" w:hAnsi="Arial" w:cs="Arial"/>
                <w:color w:val="000000"/>
                <w:sz w:val="20"/>
                <w:szCs w:val="20"/>
              </w:rPr>
              <w:t>A pharmacist educated pa</w:t>
            </w:r>
            <w:r w:rsidRPr="0007004D">
              <w:rPr>
                <w:rFonts w:ascii="Arial" w:eastAsia="Times New Roman" w:hAnsi="Arial" w:cs="Arial"/>
                <w:color w:val="000000"/>
                <w:sz w:val="20"/>
                <w:szCs w:val="20"/>
                <w:lang w:val="en-GB"/>
              </w:rPr>
              <w:t xml:space="preserve">tients on lifestyle factors/ behaviours to improve their health, enhance patients’ knowledge about their illness </w:t>
            </w:r>
            <w:r>
              <w:rPr>
                <w:rFonts w:ascii="Arial" w:eastAsia="Times New Roman" w:hAnsi="Arial" w:cs="Arial"/>
                <w:color w:val="000000"/>
                <w:sz w:val="20"/>
                <w:szCs w:val="20"/>
                <w:lang w:val="en-GB"/>
              </w:rPr>
              <w:t>and</w:t>
            </w:r>
            <w:r w:rsidRPr="0007004D">
              <w:rPr>
                <w:rFonts w:ascii="Arial" w:eastAsia="Times New Roman" w:hAnsi="Arial" w:cs="Arial"/>
                <w:color w:val="000000"/>
                <w:sz w:val="20"/>
                <w:szCs w:val="20"/>
                <w:lang w:val="en-GB"/>
              </w:rPr>
              <w:t xml:space="preserve"> make them more involved and aware of their condition.</w:t>
            </w:r>
          </w:p>
          <w:p w14:paraId="483D8A4B" w14:textId="77777777" w:rsidR="00941883" w:rsidRDefault="00941883" w:rsidP="00941883">
            <w:pPr>
              <w:pStyle w:val="ListParagraph"/>
              <w:numPr>
                <w:ilvl w:val="0"/>
                <w:numId w:val="33"/>
              </w:numPr>
              <w:spacing w:after="0" w:line="240" w:lineRule="auto"/>
              <w:jc w:val="both"/>
              <w:rPr>
                <w:rFonts w:ascii="Arial" w:eastAsia="Times New Roman" w:hAnsi="Arial" w:cs="Arial"/>
                <w:color w:val="000000"/>
                <w:sz w:val="20"/>
                <w:szCs w:val="20"/>
                <w:lang w:val="en-GB"/>
              </w:rPr>
            </w:pPr>
            <w:r w:rsidRPr="0007004D">
              <w:rPr>
                <w:rFonts w:ascii="Arial" w:eastAsia="Times New Roman" w:hAnsi="Arial" w:cs="Arial"/>
                <w:color w:val="000000"/>
                <w:sz w:val="20"/>
                <w:szCs w:val="20"/>
                <w:lang w:val="en-GB"/>
              </w:rPr>
              <w:t>Additionally, they provide information and counselling to patients on the importance of controlling blood pressure in diabetes, diabetes foot care, regular screening for nephropathy, neuropathy and retinopathy.</w:t>
            </w:r>
          </w:p>
          <w:p w14:paraId="7BEF35B6" w14:textId="77777777" w:rsidR="00941883" w:rsidRPr="00225E47" w:rsidRDefault="00941883" w:rsidP="00941883">
            <w:pPr>
              <w:pStyle w:val="ListParagraph"/>
              <w:numPr>
                <w:ilvl w:val="0"/>
                <w:numId w:val="33"/>
              </w:numPr>
              <w:spacing w:after="0" w:line="240" w:lineRule="auto"/>
              <w:jc w:val="both"/>
              <w:rPr>
                <w:rFonts w:ascii="Arial" w:eastAsia="Times New Roman" w:hAnsi="Arial" w:cs="Arial"/>
                <w:color w:val="000000"/>
                <w:sz w:val="20"/>
                <w:szCs w:val="20"/>
                <w:lang w:val="en-GB"/>
              </w:rPr>
            </w:pPr>
            <w:r w:rsidRPr="0007004D">
              <w:rPr>
                <w:rFonts w:ascii="Arial" w:eastAsia="Times New Roman" w:hAnsi="Arial" w:cs="Arial"/>
                <w:color w:val="000000"/>
                <w:sz w:val="20"/>
                <w:szCs w:val="20"/>
                <w:lang w:val="en-GB"/>
              </w:rPr>
              <w:t xml:space="preserve">They also provide education to patients about prevention therapy, such as the importance of immunization for influenza and pneumococcal pneumonia in diabetes, as well as basic information on diet and exercise as they relate to diabetes management. </w:t>
            </w:r>
          </w:p>
          <w:p w14:paraId="22EC787C" w14:textId="77777777" w:rsidR="00941883" w:rsidRPr="0034212E" w:rsidRDefault="00941883" w:rsidP="00941883">
            <w:pPr>
              <w:pStyle w:val="ListParagraph"/>
              <w:numPr>
                <w:ilvl w:val="0"/>
                <w:numId w:val="33"/>
              </w:numPr>
              <w:spacing w:after="0" w:line="240" w:lineRule="auto"/>
              <w:jc w:val="both"/>
              <w:rPr>
                <w:rFonts w:ascii="Arial" w:eastAsia="Times New Roman" w:hAnsi="Arial" w:cs="Arial"/>
                <w:sz w:val="20"/>
                <w:szCs w:val="20"/>
                <w:lang w:val="en-GB"/>
              </w:rPr>
            </w:pPr>
            <w:r w:rsidRPr="0034212E">
              <w:rPr>
                <w:rFonts w:ascii="Arial" w:eastAsia="Times New Roman" w:hAnsi="Arial" w:cs="Arial"/>
                <w:sz w:val="20"/>
                <w:szCs w:val="20"/>
                <w:lang w:val="en-GB"/>
              </w:rPr>
              <w:t xml:space="preserve">Self-management education and support are considered key elements in diabetes education </w:t>
            </w:r>
            <w:r w:rsidRPr="0034212E">
              <w:rPr>
                <w:rFonts w:ascii="Arial" w:eastAsia="Times New Roman" w:hAnsi="Arial" w:cs="Arial"/>
                <w:sz w:val="20"/>
                <w:szCs w:val="20"/>
                <w:lang w:val="en-GB"/>
              </w:rPr>
              <w:fldChar w:fldCharType="begin" w:fldLock="1"/>
            </w:r>
            <w:r w:rsidRPr="0034212E">
              <w:rPr>
                <w:rFonts w:ascii="Arial" w:eastAsia="Times New Roman" w:hAnsi="Arial" w:cs="Arial"/>
                <w:sz w:val="20"/>
                <w:szCs w:val="20"/>
                <w:lang w:val="en-GB"/>
              </w:rPr>
              <w:instrText>ADDIN CSL_CITATION {"citationItems":[{"id":"ITEM-1","itemData":{"DOI":"10.1016/j.jcjd.2019.04.017","ISSN":"23523840","PMID":"31164301","author":[{"dropping-particle":"","family":"Boivin","given":"Michael","non-dropping-particle":"","parse-names":false,"suffix":""}],"container-title":"Canadian Journal of Diabetes","id":"ITEM-1","issue":"6","issued":{"date-parts":[["2019"]]},"page":"429-432","publisher":"Canadian Diabetes Association","title":"Role of the Pharmacist Certified Diabetes Educator Along the Type 2 Diabetes Care Continuum","type":"article-journal","volume":"43"},"uris":["http://www.mendeley.com/documents/?uuid=05f97a0c-d440-46e6-903a-10cfca6adc36"]}],"mendeley":{"formattedCitation":"(Boivin, 2019)","plainTextFormattedCitation":"(Boivin, 2019)","previouslyFormattedCitation":"(Boivin, 2019)"},"properties":{"noteIndex":0},"schema":"https://github.com/citation-style-language/schema/raw/master/csl-citation.json"}</w:instrText>
            </w:r>
            <w:r w:rsidRPr="0034212E">
              <w:rPr>
                <w:rFonts w:ascii="Arial" w:eastAsia="Times New Roman" w:hAnsi="Arial" w:cs="Arial"/>
                <w:sz w:val="20"/>
                <w:szCs w:val="20"/>
                <w:lang w:val="en-GB"/>
              </w:rPr>
              <w:fldChar w:fldCharType="separate"/>
            </w:r>
            <w:r w:rsidRPr="0034212E">
              <w:rPr>
                <w:rFonts w:ascii="Arial" w:eastAsia="Times New Roman" w:hAnsi="Arial" w:cs="Arial"/>
                <w:noProof/>
                <w:sz w:val="20"/>
                <w:szCs w:val="20"/>
                <w:lang w:val="en-GB"/>
              </w:rPr>
              <w:t>(Boivin, 2019)</w:t>
            </w:r>
            <w:r w:rsidRPr="0034212E">
              <w:rPr>
                <w:rFonts w:ascii="Arial" w:eastAsia="Times New Roman" w:hAnsi="Arial" w:cs="Arial"/>
                <w:sz w:val="20"/>
                <w:szCs w:val="20"/>
                <w:lang w:val="en-GB"/>
              </w:rPr>
              <w:fldChar w:fldCharType="end"/>
            </w:r>
          </w:p>
          <w:p w14:paraId="64D70024" w14:textId="77777777" w:rsidR="00941883" w:rsidRPr="0034212E" w:rsidRDefault="00941883" w:rsidP="00941883">
            <w:pPr>
              <w:pStyle w:val="ListParagraph"/>
              <w:numPr>
                <w:ilvl w:val="0"/>
                <w:numId w:val="33"/>
              </w:numPr>
              <w:spacing w:after="0" w:line="240" w:lineRule="auto"/>
              <w:jc w:val="both"/>
              <w:rPr>
                <w:rFonts w:ascii="Arial" w:eastAsia="Times New Roman" w:hAnsi="Arial" w:cs="Arial"/>
                <w:sz w:val="20"/>
                <w:szCs w:val="20"/>
              </w:rPr>
            </w:pPr>
            <w:r w:rsidRPr="0034212E">
              <w:rPr>
                <w:rFonts w:ascii="Arial" w:eastAsia="Times New Roman" w:hAnsi="Arial" w:cs="Arial"/>
                <w:sz w:val="20"/>
                <w:szCs w:val="20"/>
              </w:rPr>
              <w:t>A pharmacist provides E-consults, Motivational interview strategy (Telephone-led by pharmacist) Medication.</w:t>
            </w:r>
          </w:p>
          <w:p w14:paraId="272D4FC7" w14:textId="77777777" w:rsidR="00941883" w:rsidRPr="0007004D" w:rsidRDefault="00941883" w:rsidP="00941883">
            <w:pPr>
              <w:pStyle w:val="ListParagraph"/>
              <w:numPr>
                <w:ilvl w:val="0"/>
                <w:numId w:val="33"/>
              </w:numPr>
              <w:spacing w:after="0" w:line="240" w:lineRule="auto"/>
              <w:jc w:val="both"/>
              <w:rPr>
                <w:rFonts w:ascii="Arial" w:eastAsia="Times New Roman" w:hAnsi="Arial" w:cs="Arial"/>
                <w:color w:val="000000"/>
                <w:sz w:val="20"/>
                <w:szCs w:val="20"/>
                <w:lang w:val="en-GB"/>
              </w:rPr>
            </w:pPr>
            <w:r w:rsidRPr="0034212E">
              <w:rPr>
                <w:rFonts w:ascii="Arial" w:eastAsia="Times New Roman" w:hAnsi="Arial" w:cs="Arial"/>
                <w:sz w:val="20"/>
                <w:szCs w:val="20"/>
                <w:lang w:val="en-GB"/>
              </w:rPr>
              <w:t xml:space="preserve">A pharmacist </w:t>
            </w:r>
            <w:r w:rsidRPr="0034212E">
              <w:rPr>
                <w:rFonts w:ascii="Arial" w:eastAsia="Times New Roman" w:hAnsi="Arial" w:cs="Arial"/>
                <w:sz w:val="20"/>
                <w:szCs w:val="20"/>
              </w:rPr>
              <w:t>led group di</w:t>
            </w:r>
            <w:r w:rsidRPr="00C60863">
              <w:rPr>
                <w:rFonts w:ascii="Arial" w:eastAsia="Times New Roman" w:hAnsi="Arial" w:cs="Arial"/>
                <w:color w:val="000000"/>
                <w:sz w:val="20"/>
                <w:szCs w:val="20"/>
              </w:rPr>
              <w:t>abetes education class.</w:t>
            </w:r>
          </w:p>
          <w:p w14:paraId="105A51F3" w14:textId="77777777" w:rsidR="00941883" w:rsidRPr="00AD4D3E" w:rsidRDefault="00941883" w:rsidP="00282204">
            <w:pPr>
              <w:spacing w:line="240" w:lineRule="auto"/>
              <w:rPr>
                <w:rFonts w:ascii="Arial" w:eastAsia="Times New Roman" w:hAnsi="Arial" w:cs="Arial"/>
                <w:sz w:val="20"/>
                <w:szCs w:val="20"/>
                <w:lang w:val="en-GB"/>
              </w:rPr>
            </w:pPr>
          </w:p>
        </w:tc>
        <w:tc>
          <w:tcPr>
            <w:tcW w:w="5396" w:type="dxa"/>
            <w:tcBorders>
              <w:top w:val="single" w:sz="4" w:space="0" w:color="auto"/>
              <w:bottom w:val="single" w:sz="4" w:space="0" w:color="auto"/>
            </w:tcBorders>
            <w:shd w:val="clear" w:color="auto" w:fill="auto"/>
            <w:vAlign w:val="center"/>
            <w:hideMark/>
          </w:tcPr>
          <w:p w14:paraId="740683C8" w14:textId="77777777" w:rsidR="00941883" w:rsidRPr="00172655" w:rsidRDefault="00941883" w:rsidP="00282204">
            <w:pPr>
              <w:spacing w:after="0" w:line="240" w:lineRule="auto"/>
              <w:rPr>
                <w:rFonts w:ascii="Arial" w:eastAsia="Times New Roman" w:hAnsi="Arial" w:cs="Arial"/>
                <w:noProof/>
                <w:color w:val="000000"/>
                <w:sz w:val="20"/>
                <w:szCs w:val="20"/>
                <w:lang w:val="en-GB"/>
              </w:rPr>
            </w:pPr>
          </w:p>
          <w:p w14:paraId="38FA8BD0" w14:textId="77777777" w:rsidR="00941883" w:rsidRPr="00331724" w:rsidRDefault="00941883" w:rsidP="00282204">
            <w:pPr>
              <w:spacing w:after="0" w:line="240" w:lineRule="auto"/>
              <w:jc w:val="both"/>
              <w:rPr>
                <w:rFonts w:ascii="Arial" w:eastAsia="Times New Roman" w:hAnsi="Arial" w:cs="Arial"/>
                <w:noProof/>
                <w:color w:val="000000"/>
                <w:sz w:val="20"/>
                <w:szCs w:val="20"/>
              </w:rPr>
            </w:pPr>
            <w:r>
              <w:rPr>
                <w:rFonts w:ascii="Arial" w:eastAsia="Times New Roman" w:hAnsi="Arial" w:cs="Arial"/>
                <w:noProof/>
                <w:color w:val="000000"/>
                <w:sz w:val="20"/>
                <w:szCs w:val="20"/>
                <w:lang w:val="en-GB"/>
              </w:rPr>
              <w:fldChar w:fldCharType="begin" w:fldLock="1"/>
            </w:r>
            <w:r w:rsidRPr="00331724">
              <w:rPr>
                <w:rFonts w:ascii="Arial" w:eastAsia="Times New Roman" w:hAnsi="Arial" w:cs="Arial"/>
                <w:noProof/>
                <w:color w:val="000000"/>
                <w:sz w:val="20"/>
                <w:szCs w:val="20"/>
              </w:rPr>
              <w:instrText>ADDIN CSL_CITATION {"citationItems":[{"id":"ITEM-1","itemData":{</w:instrText>
            </w:r>
            <w:r w:rsidRPr="00BE13D9">
              <w:rPr>
                <w:rFonts w:ascii="Arial" w:eastAsia="Times New Roman" w:hAnsi="Arial" w:cs="Arial"/>
                <w:noProof/>
                <w:color w:val="000000"/>
                <w:sz w:val="20"/>
                <w:szCs w:val="20"/>
              </w:rPr>
              <w:instrText>"DOI":"10.1371/journal.pone.0280654","ISBN":"1111111111","ISSN":"1932620</w:instrText>
            </w:r>
            <w:r>
              <w:rPr>
                <w:rFonts w:ascii="Arial" w:eastAsia="Times New Roman" w:hAnsi="Arial" w:cs="Arial"/>
                <w:noProof/>
                <w:color w:val="000000"/>
                <w:sz w:val="20"/>
                <w:szCs w:val="20"/>
                <w:lang w:val="en-GB"/>
              </w:rPr>
              <w:instrText>3","PMID":"36662741","abstract":"Background An enhanced primary care team model was implemented to provide proactive, longitudinal care to patients with diabetes, grounded in close partnership between primary care providers (PCPs), nurses, and Medication Management Services (MMS) pharmacists. The purpose of this study is to evaluate the impact of the MMS pharmacist involvement in the enhanced primary care model for patients with diabetes. Methods This retrospective cohort study compared the quality of diabetes care between patients referred to a pharmacist and propensity score matched controls who were not. Eligible patients were adults (age 18 to 75 years) enrolled in the enhanced primary care team process who did not meet at least one of four diabetes quality indicators at 13 Mayo Clinic Rochester primary care practice locations. The intervention examined was asynchronous econsults by pharmacists affiliated with the primary care practice. Main measures The primary outcome was change in the proportion of patients meeting the composite of four diabetes treatment goals (D4), including hemoglobin A1c (HbA1c) control, blood pressure control, aspirin use, and statin use at six months from enrollment among patients who received pharmacist intervention compared to matched patients who did not. Secondary outcomes were each of the D4 goal individually. Results The proportion of patients meeting the D4 increased with pharmacist e-consults (N = 85) compared to matched controls with no review (N = 170) (27% vs 7.0%, p&lt;0.001). The change in patients meeting treatment goals of HbA1c (12.9% vs 4.1%, p = 0.020), blood pressure (9.4% vs 2.4%, p = 0.023), aspirin use (10.6% vs 2.9%, p = 0.018), and statin use (17.6% vs -1.2%, p&lt;0.001) all increased with pharmacist e-consults. Conclusions Pharmacist engagement in the enhanced primary care team improved diabetes management. This sup</w:instrText>
            </w:r>
            <w:r w:rsidRPr="00876389">
              <w:rPr>
                <w:rFonts w:ascii="Arial" w:eastAsia="Times New Roman" w:hAnsi="Arial" w:cs="Arial"/>
                <w:noProof/>
                <w:color w:val="000000"/>
                <w:sz w:val="20"/>
                <w:szCs w:val="20"/>
                <w:lang w:val="fr-FR"/>
              </w:rPr>
              <w:instrText>ports the inclusion and utilization of pharmacists in multidisciplinary efforts to improve diabetes care.","author":[{"dropping-particle":"","family":"Firkus","given":"Danielle","non-dropping-particle":"","parse-names":false,"suffix":""},{"dropping-particle":"","family":"McCoy","given":"Rozalina G.","non-dropping-particle":"","parse-names":false,"suffix":""},{"dropping-particle":"","family":"Matulis","given":"John","non-dropping-particle":"","parse-names":false,"suffix":""},{"dropping-particle":"","family":"Kessler","given":"Maya","non-dropping-particle":"","parse-names":false,"suffix":""},{"dropping-particle":"","family":"Mara","given":"Kristin","non-dropping-particle":"","parse-names":false,"suffix":""},{"dropping-particle":"","family":"Herges","given":"Joseph","non-dropping-particle":"","parse-names":false,"suffix":""}],"container-title":"PLoS ONE","id":"ITEM-1","issue":"1 January","issued":{"date-parts":[["2023"]]},"page":"1-11","title":"Evaluation of pharmacist consults within a collaborative enhanced primary care team model to improve diabetes care","type":"article-journal","volume":"18"},"uris":["http://www.mendeley.com/documents/?uuid=3442fc06-aa3f-440d-8cef-875b6bf549e5"]}],"mendeley":{"formattedCitation":"(Firkus &lt;i&gt;et al.&lt;/i&gt;, 2023)","plainTextFormattedCitation":"(Firkus et al., 2023)","previouslyFormattedCitation":"(Firkus &lt;i&gt;et al.&lt;/i&gt;, 2023)"},"properties":{"noteIndex":0},"schema":"https://github.com/citation-style-language/schema/raw/master/csl-citation.json"}</w:instrText>
            </w:r>
            <w:r>
              <w:rPr>
                <w:rFonts w:ascii="Arial" w:eastAsia="Times New Roman" w:hAnsi="Arial" w:cs="Arial"/>
                <w:noProof/>
                <w:color w:val="000000"/>
                <w:sz w:val="20"/>
                <w:szCs w:val="20"/>
                <w:lang w:val="en-GB"/>
              </w:rPr>
              <w:fldChar w:fldCharType="separate"/>
            </w:r>
            <w:r w:rsidRPr="00876389">
              <w:rPr>
                <w:rFonts w:ascii="Arial" w:eastAsia="Times New Roman" w:hAnsi="Arial" w:cs="Arial"/>
                <w:noProof/>
                <w:color w:val="000000"/>
                <w:sz w:val="20"/>
                <w:szCs w:val="20"/>
                <w:lang w:val="fr-FR"/>
              </w:rPr>
              <w:t xml:space="preserve">(Firkus </w:t>
            </w:r>
            <w:r w:rsidRPr="00876389">
              <w:rPr>
                <w:rFonts w:ascii="Arial" w:eastAsia="Times New Roman" w:hAnsi="Arial" w:cs="Arial"/>
                <w:i/>
                <w:noProof/>
                <w:color w:val="000000"/>
                <w:sz w:val="20"/>
                <w:szCs w:val="20"/>
                <w:lang w:val="fr-FR"/>
              </w:rPr>
              <w:t>et al.</w:t>
            </w:r>
            <w:r w:rsidRPr="00876389">
              <w:rPr>
                <w:rFonts w:ascii="Arial" w:eastAsia="Times New Roman" w:hAnsi="Arial" w:cs="Arial"/>
                <w:noProof/>
                <w:color w:val="000000"/>
                <w:sz w:val="20"/>
                <w:szCs w:val="20"/>
                <w:lang w:val="fr-FR"/>
              </w:rPr>
              <w:t>, 2023)</w:t>
            </w:r>
            <w:r>
              <w:rPr>
                <w:rFonts w:ascii="Arial" w:eastAsia="Times New Roman" w:hAnsi="Arial" w:cs="Arial"/>
                <w:noProof/>
                <w:color w:val="000000"/>
                <w:sz w:val="20"/>
                <w:szCs w:val="20"/>
                <w:lang w:val="en-GB"/>
              </w:rPr>
              <w:fldChar w:fldCharType="end"/>
            </w:r>
            <w:r w:rsidRPr="00876389">
              <w:rPr>
                <w:rFonts w:ascii="Arial" w:eastAsia="Times New Roman" w:hAnsi="Arial" w:cs="Arial"/>
                <w:noProof/>
                <w:color w:val="000000"/>
                <w:sz w:val="20"/>
                <w:szCs w:val="20"/>
                <w:lang w:val="fr-FR"/>
              </w:rPr>
              <w:t xml:space="preserve">, </w:t>
            </w:r>
            <w:r w:rsidRPr="00787EB1">
              <w:rPr>
                <w:rFonts w:ascii="Arial" w:eastAsia="Times New Roman" w:hAnsi="Arial" w:cs="Arial"/>
                <w:noProof/>
                <w:color w:val="000000"/>
                <w:sz w:val="20"/>
                <w:szCs w:val="20"/>
              </w:rPr>
              <w:fldChar w:fldCharType="begin" w:fldLock="1"/>
            </w:r>
            <w:r w:rsidRPr="00876389">
              <w:rPr>
                <w:rFonts w:ascii="Arial" w:eastAsia="Times New Roman" w:hAnsi="Arial" w:cs="Arial"/>
                <w:noProof/>
                <w:color w:val="000000"/>
                <w:sz w:val="20"/>
                <w:szCs w:val="20"/>
                <w:lang w:val="fr-FR"/>
              </w:rPr>
              <w:instrText>ADDIN CSL_CITATION {"citationItems":[{"id":"ITEM-1","itemData":{"DOI":"10.1186/s13643-022-02117-w","ISSN":"20464053","PMID":"36522687","abstract":"Type 2 diabetes mellitus (T2D) is responsible for an important premature mortality. Phar- macists involved in community-based pharmaceutical care services could help patients with diabetes through education and management as they participate in their regular and long-term care. This meta-analysis aimed to evaluate the association between interventions led by pharmacists in the primary care setting and mean change in HbA1c levels. Randomized controlled trials and quasi- experimental studies with a control group were included. Standardized mean differences (SMD) and their 95% confidence intervals (95% CI) were calculated to compare the mean change in HbA1c values between baseline and end of the intervention in each group. Subgroup analyses were performed to explore heterogeneity. Twelve articles were included. The results showed that pharmacist’s inter- ventions significantly reduced HbA1c compared to usual care with an overall SMD of −0.67 (95% CI = [−0.87; −0.48], p &lt; 0.0001). Even if no significant difference between subgroups were found, the reduction of HbA1c seemed more important when baseline HbA1c was ≥8.5%, the intervention occurred monthly, in a primary care center and in countries with a lower human development index. Our results suggest that pharmacists-led interventions in the primary care setting can improve glycemic control for adults with T2D. Keywords:","author":[{"dropping-particle":"","family":"Coutureau","given":"Claire","non-dropping-particle":"","parse-names":false,"suffix":""},{"dropping-particle":"","family":"Slimano","given":"Florian","non-dropping-particle":"","parse-names":false,"suffix":""},{"dropping-particle":"","family":"Mongaret","given":"Céline","non-dropping-particle":"","parse-names":false,"suffix":""},{"dropping-particle":"","family":"Kanagaratnam","given":"Lukshe","non-dropping-particle":"","parse-names":false,"suffix":""}],"container-title":"International Journal of Environmental Research and Public Health","id":"ITEM-1","issue":"1","issued":{"date-parts":[["2022"]]},"title":"Impact of Pharmacists-Led Interventions in Primary Care for Adults with Type 2 Diabetes on HbA1c Levels: A Systematic Review and Meta-Analysis","type":"article-journal","volume":"19"},"uris":["http://www.mendeley.com/documents/?uuid=e3879d85-9237-46bb-b5d5-09effa390d16"]}],"mendeley":{"formattedCitation":"(Coutureau &lt;i&gt;et al.&lt;/i&gt;, 2022)","plainTextFormattedCitation":"(Coutureau et al., 2022)","previouslyFormattedCitation":"(Coutureau &lt;i&gt;et al.&lt;/i&gt;, 2022)"},"properties":{"noteIndex":0},"schema":"https://github.com/citation-style-language/schema/raw/master/csl-citation.json"}</w:instrText>
            </w:r>
            <w:r w:rsidRPr="00787EB1">
              <w:rPr>
                <w:rFonts w:ascii="Arial" w:eastAsia="Times New Roman" w:hAnsi="Arial" w:cs="Arial"/>
                <w:noProof/>
                <w:color w:val="000000"/>
                <w:sz w:val="20"/>
                <w:szCs w:val="20"/>
              </w:rPr>
              <w:fldChar w:fldCharType="separate"/>
            </w:r>
            <w:r w:rsidRPr="00876389">
              <w:rPr>
                <w:rFonts w:ascii="Arial" w:eastAsia="Times New Roman" w:hAnsi="Arial" w:cs="Arial"/>
                <w:noProof/>
                <w:color w:val="000000"/>
                <w:sz w:val="20"/>
                <w:szCs w:val="20"/>
                <w:lang w:val="fr-FR"/>
              </w:rPr>
              <w:t>(Coutureau et al., 2022)</w:t>
            </w:r>
            <w:r w:rsidRPr="00787EB1">
              <w:rPr>
                <w:rFonts w:ascii="Arial" w:eastAsia="Times New Roman" w:hAnsi="Arial" w:cs="Arial"/>
                <w:noProof/>
                <w:color w:val="000000"/>
                <w:sz w:val="20"/>
                <w:szCs w:val="20"/>
              </w:rPr>
              <w:fldChar w:fldCharType="end"/>
            </w:r>
            <w:r w:rsidRPr="00876389">
              <w:rPr>
                <w:rFonts w:ascii="Arial" w:eastAsia="Times New Roman" w:hAnsi="Arial" w:cs="Arial"/>
                <w:noProof/>
                <w:color w:val="000000"/>
                <w:sz w:val="20"/>
                <w:szCs w:val="20"/>
                <w:lang w:val="fr-FR"/>
              </w:rPr>
              <w:t xml:space="preserve">, </w:t>
            </w:r>
            <w:r w:rsidRPr="00787EB1">
              <w:rPr>
                <w:rFonts w:ascii="Arial" w:eastAsia="Times New Roman" w:hAnsi="Arial" w:cs="Arial"/>
                <w:noProof/>
                <w:color w:val="000000"/>
                <w:sz w:val="20"/>
                <w:szCs w:val="20"/>
              </w:rPr>
              <w:fldChar w:fldCharType="begin" w:fldLock="1"/>
            </w:r>
            <w:r w:rsidRPr="00876389">
              <w:rPr>
                <w:rFonts w:ascii="Arial" w:eastAsia="Times New Roman" w:hAnsi="Arial" w:cs="Arial"/>
                <w:noProof/>
                <w:color w:val="000000"/>
                <w:sz w:val="20"/>
                <w:szCs w:val="20"/>
                <w:lang w:val="fr-FR"/>
              </w:rPr>
              <w:instrText>ADDIN CSL_CITATION {"citationItems":[{"id":"ITEM-1","itemData":{"DOI":"10.3390/ijerph19106188","ISSN":"16604601","PMID":"35627724","abstract":"Type 2 diabetes mellitus has been assessed as a widespread disease globally. Unfortunately, this illness can occasionally go undetected and without symptoms until it reaches the emergency condition, and this can be notably true in patients who do not receive routine medical care. Pharmacists are the foremost accessible health care providers. They can help patients select the most appropriate hypoglycemic management strategy through their experiences. This review aimed to provide an overview of the literature published on community pharmacists’ interventions that are currently used and their usefulness in improving patient adherence and glycosylated hemoglobin (HbA1c) levels. Relevant studies were retrieved through a comprehensive search of three databases, PubMed/Medline, Web of Science, and CINAHL (2010 to 2020). In total, 8362 publications were identified. The final protocol was based on the “Preferred Reporting Items for Systematic Review and Meta-Analysis (PRISMA)”. After applying inclusion and exclusion measures, 21 articles were deemed relevant. In pharmacists’ interventions in diabetes care, patient education and counseling were the most common intervention methods. Essentially, this systematic review provides evidence and identifies the key features that may predict success in enhancing clinical outcomes and patient adherence to treatment. Based on our findings, we suggest further investigations of the root causes of non-adherence problems.","author":[{"dropping-particle":"","family":"Assaf","given":"Sarah","non-dropping-particle":"Al","parse-names":false,"suffix":""},{"dropping-particle":"","family":"Zelko","given":"Romana","non-dropping-particle":"","parse-names":false,"suffix":""},{"dropping-particle":"","family":"Hanko","given":"Balazs","non-dropping-particle":"","parse-names":false,"suffix":""}],"container-title":"International Journal of Environmental Research and Public Health","id":"ITEM-1","issue":"10","issued":{"date-parts":[["2022"]]},"title":"The Effect of Interventions Led by Community Pharmacists in Primary Care for Adults with Type 2 Diabetes Mellitus on Therapeutic Adherence and HbA1c Levels: A Systematic Review","type":"article-journal","volume":"19"},"uris":["http://www.mendeley.com/documents/?uuid=03eb66c1-df31-4fbe-8973-6fb41167a258"]}],"mendeley":{"formattedCitation":"(Al Assaf, Zelko and Hanko, 2022)","manualFormatting":"(Al Assaf et al., 2022)","plainTextFormattedCitation":"(Al Assaf, Zelko and Hanko, 2022)","previouslyFormattedCitation":"(Al Assaf, Zelko and Hanko, 2022)"},"properties":{"noteIndex":0},"schema":"https://github.com/citation-style-language/schema/raw/master/csl-citation.json"}</w:instrText>
            </w:r>
            <w:r w:rsidRPr="00787EB1">
              <w:rPr>
                <w:rFonts w:ascii="Arial" w:eastAsia="Times New Roman" w:hAnsi="Arial" w:cs="Arial"/>
                <w:noProof/>
                <w:color w:val="000000"/>
                <w:sz w:val="20"/>
                <w:szCs w:val="20"/>
              </w:rPr>
              <w:fldChar w:fldCharType="separate"/>
            </w:r>
            <w:r w:rsidRPr="00876389">
              <w:rPr>
                <w:rFonts w:ascii="Arial" w:eastAsia="Times New Roman" w:hAnsi="Arial" w:cs="Arial"/>
                <w:noProof/>
                <w:color w:val="000000"/>
                <w:sz w:val="20"/>
                <w:szCs w:val="20"/>
                <w:lang w:val="fr-FR"/>
              </w:rPr>
              <w:t>(Al Assaf et al., 2022)</w:t>
            </w:r>
            <w:r w:rsidRPr="00787EB1">
              <w:rPr>
                <w:rFonts w:ascii="Arial" w:eastAsia="Times New Roman" w:hAnsi="Arial" w:cs="Arial"/>
                <w:noProof/>
                <w:color w:val="000000"/>
                <w:sz w:val="20"/>
                <w:szCs w:val="20"/>
              </w:rPr>
              <w:fldChar w:fldCharType="end"/>
            </w:r>
            <w:r w:rsidRPr="00876389">
              <w:rPr>
                <w:rFonts w:ascii="Arial" w:eastAsia="Times New Roman" w:hAnsi="Arial" w:cs="Arial"/>
                <w:noProof/>
                <w:color w:val="000000"/>
                <w:sz w:val="20"/>
                <w:szCs w:val="20"/>
                <w:lang w:val="fr-FR"/>
              </w:rPr>
              <w:t xml:space="preserve">, </w:t>
            </w:r>
            <w:r>
              <w:rPr>
                <w:rFonts w:ascii="Arial" w:eastAsia="Times New Roman" w:hAnsi="Arial" w:cs="Arial"/>
                <w:noProof/>
                <w:color w:val="000000"/>
                <w:sz w:val="20"/>
                <w:szCs w:val="20"/>
              </w:rPr>
              <w:fldChar w:fldCharType="begin" w:fldLock="1"/>
            </w:r>
            <w:r w:rsidRPr="00876389">
              <w:rPr>
                <w:rFonts w:ascii="Arial" w:eastAsia="Times New Roman" w:hAnsi="Arial" w:cs="Arial"/>
                <w:noProof/>
                <w:color w:val="000000"/>
                <w:sz w:val="20"/>
                <w:szCs w:val="20"/>
                <w:lang w:val="fr-FR"/>
              </w:rPr>
              <w:instrText xml:space="preserve">ADDIN CSL_CITATION {"citationItems":[{"id":"ITEM-1","itemData":{"DOI":"10.1177/0897190020948678","ISSN":"15311937","PMID":"32783491","abstract":"Background/Objectives: Diabetes is a chronic disease that is associated with many other health problems, but studies have shown that patient education can improve outcomes. The purpose of this project was to determine if a pharmacist-led group diabetes education class led to improvement in hemoglobin A1c levels. Methods: Pharmacists in a family medicine clinic conduct a group diabetes education class for patients seen within the health system. The once monthly, 90-minute education class includes content regarding pathophysiology, complications, monitoring, dietary and exercise recommendations, and common antidiabetic medications. Data were collected via retrospective chart reviews and included 66 patients. The primary outcome was change in A1c from pre-class measurement to first, post-class measurement at least 3 months after pre-class measurement. Secondary outcomes included pre-class to post-class changes in weight, systolic blood pressure (SBP), and diastolic blood pressure (DBP). Outcome data were analyzed using a paired t-test and demographic data were presented with descriptive statistics. Results: The pharmacist-led diabetes education class was associated with statistically significant improvements on A1c lab values (mean decrease = 1.16%, p-value = 0.001) and weight (mean decrease = 1.8 kg, p-value = 0.03). However, </w:instrText>
            </w:r>
            <w:r w:rsidRPr="00286951">
              <w:rPr>
                <w:rFonts w:ascii="Arial" w:eastAsia="Times New Roman" w:hAnsi="Arial" w:cs="Arial"/>
                <w:noProof/>
                <w:color w:val="000000"/>
                <w:sz w:val="20"/>
                <w:szCs w:val="20"/>
                <w:lang w:val="nl-NL"/>
              </w:rPr>
              <w:instrText>SBP (mean decrease = 1.5 mmHg, p-value = 0.57) and DBP (mean decrease = 3.4 mmHg, p-value = 0.15) did not improve significantly. Implications: The results from this study support the idea that diabetes education classes are beneficial for the patient in learning how to properly manage this disease state. Pharmacists can play a vital role in diabetes management through counseling and patient education, which can improve patient outcomes.","author":[{"dropping-particle":"","family":"Lakey","given":"Hannah","non-dropping-particle":"","parse-names":false,"suffix":""},{"dropping-particle":"","family":"Boehmer","given":"Kaci","non-dropping-particle":"","parse-names":false,"suffix":""},{"dropping-particle":"","family":"Johnson","given":"Chris","non-dropping-particle":"","parse-names":false,"suffix":""}],"container-title":"Journal of Pharmacy Practice","id":"ITEM-1","issue":"1","issued":{"date-parts":[["2022"]]},"page":"54-56","title":"Impact of a Pharmacist-Led Group Diabetes Class","type":"article-journal","volume":"35"},"uris":["http://www.mendeley.com/documents/?uuid=b7c7357a-33bf-4943-94b5-ce4560835cdc"]}],"mendeley":{"formattedCitation":"(Lakey, Boehmer and Johnson, 2022)","plainTextFormattedCitation":"(Lakey, Boehmer and Johnson, 2022)","previouslyFormattedCitation":"(Lakey, Boehmer and Johnson, 2022)"},"properties":{"noteIndex":0},"schema":"https://github.com/citation-style-language/schema/raw/master/csl-citation.json"}</w:instrText>
            </w:r>
            <w:r>
              <w:rPr>
                <w:rFonts w:ascii="Arial" w:eastAsia="Times New Roman" w:hAnsi="Arial" w:cs="Arial"/>
                <w:noProof/>
                <w:color w:val="000000"/>
                <w:sz w:val="20"/>
                <w:szCs w:val="20"/>
              </w:rPr>
              <w:fldChar w:fldCharType="separate"/>
            </w:r>
            <w:r w:rsidRPr="00286951">
              <w:rPr>
                <w:rFonts w:ascii="Arial" w:eastAsia="Times New Roman" w:hAnsi="Arial" w:cs="Arial"/>
                <w:noProof/>
                <w:color w:val="000000"/>
                <w:sz w:val="20"/>
                <w:szCs w:val="20"/>
                <w:lang w:val="nl-NL"/>
              </w:rPr>
              <w:t>(Lakey, Boehmer and Johnson, 2022)</w:t>
            </w:r>
            <w:r>
              <w:rPr>
                <w:rFonts w:ascii="Arial" w:eastAsia="Times New Roman" w:hAnsi="Arial" w:cs="Arial"/>
                <w:noProof/>
                <w:color w:val="000000"/>
                <w:sz w:val="20"/>
                <w:szCs w:val="20"/>
              </w:rPr>
              <w:fldChar w:fldCharType="end"/>
            </w:r>
            <w:r w:rsidRPr="00286951">
              <w:rPr>
                <w:rFonts w:ascii="Arial" w:eastAsia="Times New Roman" w:hAnsi="Arial" w:cs="Arial"/>
                <w:noProof/>
                <w:color w:val="000000"/>
                <w:sz w:val="20"/>
                <w:szCs w:val="20"/>
                <w:lang w:val="nl-NL"/>
              </w:rPr>
              <w:t xml:space="preserve">, </w:t>
            </w:r>
            <w:r>
              <w:rPr>
                <w:rFonts w:ascii="Arial" w:eastAsia="Times New Roman" w:hAnsi="Arial" w:cs="Arial"/>
                <w:noProof/>
                <w:color w:val="000000"/>
                <w:sz w:val="20"/>
                <w:szCs w:val="20"/>
                <w:lang w:val="nl-NL"/>
              </w:rPr>
              <w:fldChar w:fldCharType="begin" w:fldLock="1"/>
            </w:r>
            <w:r>
              <w:rPr>
                <w:rFonts w:ascii="Arial" w:eastAsia="Times New Roman" w:hAnsi="Arial" w:cs="Arial"/>
                <w:noProof/>
                <w:color w:val="000000"/>
                <w:sz w:val="20"/>
                <w:szCs w:val="20"/>
                <w:lang w:val="nl-NL"/>
              </w:rPr>
              <w:instrText>ADDIN CSL_CITATION {"citationItems":[{"id":"ITEM-1","itemData":{"DOI":"10.1016/j.japh.2021.12.015","ISSN":"15443450","PMID":"35027281","abstract":"Background: There is a growing shortage of primary care physicians. Pharmacists can fill the gap, and interdisciplinary teams are being evaluated as part of health care reform. Objective: This study aimed to determine whether adding a pharmacist to an interprofessional health team will improve diabetes outcomes. Methods: In this 2-phase pilot study, Medicaid-eligible patients with diabetes were randomized to receive standard of care (control arm) or standard of care plus the care of a pharmacist (intervention arm) for 12 months (phase 1). The primary outcome was change in glycated hemoglobin (A1C) from baseline. Secondary outcomes included identifying and correcting medication therapy problems (MTPs) for comorbid conditions, adherence to preventive care visits, health care utilization, self-rated health, and satisfaction surveys. After phase 1, patients in the control arm who did not achieve an A1C of &lt; 8% were eligible to enroll into phase 2 where they received treatment with a pharmacist for 6 months. Results: Of the 239 patients enrolled, 122 completed phase 1. At 12 months, intervention patients’ mean A1C was 1.85 percentage point (pp) below baseline versus 0.94 pp for control (between-group difference 0.91 pp; P = 0.0218). Most control patients (79%) who completed phase 1 and enrolled into phase 2 improved their A1C by more than 1 pp (P &lt; 0.01). The pharmacists completed 806 patient visits and identified 2638 MTPs. Intervention patients were more adherent to preventive care visits with nutrition (P = 0.043), ophthalmology (P = 0.002), and dentistry (P = 0.007). For intervention patients, 78% rated their experience with the pharmacist as excellent whereas, for control patients, 37% rated their experience with their provider as excellent. Conclusion: Pharmacist comanagement of patients with diabetes can significantly improve glucose control and patient satisfaction. Creative payment models were used to include pharmacists in the interprofessional patient care team.","author":[{"dropping-particle":"","family":"Wagner","given":"Mary L.","non-dropping-particle":"","parse-names":false,"suffix":""},{"dropping-particle":"","family":"McCarthy","given":"Caitlin","non-dropping-particle":"","parse-names":false,"suffix":""},{"dropping-particle":"","family":"Bateman","given":"M. Thomas","non-dropping-particle":"","parse-names":false,"suffix":""},{"dropping-particle":"","family":"Simmons","given":"Daniel","non-dropping-particle":"","parse-names":false,"suffix":""},{"dropping-particle":"","family":"Prioli","given":"Katherine M.","non-dropping-particle":"","parse-names":false,"suffix":""}],"container-title":"Journal of the American Pharmacists Association","id":"ITEM-1","issue":"3","issued":{"date-parts":[["2022"]]},"page":"775-782.e3","publisher":"American Pharmacists Association®","title":"Pharmacists improve diabetes outcomes: a randomized controlled trial","type":"article-journal","volume":"62"},"uris":["http://www.mendeley.com/documents/?uuid=34bb99b6-2c20-4cd3-9a92-b8ce9fbc53d5"]}],"mendeley":{"formattedCitation":"(Wagner &lt;i&gt;et al.&lt;/i&gt;, 2022)","plainTextFormattedCitation":"(Wagner et al., 2022)","previouslyFormattedCitation":"(Wagner &lt;i&gt;et al.&lt;/i&gt;, 2022)"},"properties":{"noteIndex":0},"schema":"https://github.com/citation-style-language/schema/raw/master/csl-citation.json"}</w:instrText>
            </w:r>
            <w:r>
              <w:rPr>
                <w:rFonts w:ascii="Arial" w:eastAsia="Times New Roman" w:hAnsi="Arial" w:cs="Arial"/>
                <w:noProof/>
                <w:color w:val="000000"/>
                <w:sz w:val="20"/>
                <w:szCs w:val="20"/>
                <w:lang w:val="nl-NL"/>
              </w:rPr>
              <w:fldChar w:fldCharType="separate"/>
            </w:r>
            <w:r w:rsidRPr="009C3CA9">
              <w:rPr>
                <w:rFonts w:ascii="Arial" w:eastAsia="Times New Roman" w:hAnsi="Arial" w:cs="Arial"/>
                <w:noProof/>
                <w:color w:val="000000"/>
                <w:sz w:val="20"/>
                <w:szCs w:val="20"/>
                <w:lang w:val="nl-NL"/>
              </w:rPr>
              <w:t xml:space="preserve">(Wagner </w:t>
            </w:r>
            <w:r w:rsidRPr="009C3CA9">
              <w:rPr>
                <w:rFonts w:ascii="Arial" w:eastAsia="Times New Roman" w:hAnsi="Arial" w:cs="Arial"/>
                <w:i/>
                <w:noProof/>
                <w:color w:val="000000"/>
                <w:sz w:val="20"/>
                <w:szCs w:val="20"/>
                <w:lang w:val="nl-NL"/>
              </w:rPr>
              <w:t>et al.</w:t>
            </w:r>
            <w:r w:rsidRPr="009C3CA9">
              <w:rPr>
                <w:rFonts w:ascii="Arial" w:eastAsia="Times New Roman" w:hAnsi="Arial" w:cs="Arial"/>
                <w:noProof/>
                <w:color w:val="000000"/>
                <w:sz w:val="20"/>
                <w:szCs w:val="20"/>
                <w:lang w:val="nl-NL"/>
              </w:rPr>
              <w:t>, 2022)</w:t>
            </w:r>
            <w:r>
              <w:rPr>
                <w:rFonts w:ascii="Arial" w:eastAsia="Times New Roman" w:hAnsi="Arial" w:cs="Arial"/>
                <w:noProof/>
                <w:color w:val="000000"/>
                <w:sz w:val="20"/>
                <w:szCs w:val="20"/>
                <w:lang w:val="nl-NL"/>
              </w:rPr>
              <w:fldChar w:fldCharType="end"/>
            </w:r>
            <w:r>
              <w:rPr>
                <w:rFonts w:ascii="Arial" w:eastAsia="Times New Roman" w:hAnsi="Arial" w:cs="Arial"/>
                <w:noProof/>
                <w:color w:val="000000"/>
                <w:sz w:val="20"/>
                <w:szCs w:val="20"/>
                <w:lang w:val="nl-NL"/>
              </w:rPr>
              <w:t xml:space="preserve">, </w:t>
            </w:r>
            <w:r>
              <w:rPr>
                <w:rFonts w:ascii="Arial" w:eastAsia="Times New Roman" w:hAnsi="Arial" w:cs="Arial"/>
                <w:noProof/>
                <w:color w:val="000000"/>
                <w:sz w:val="20"/>
                <w:szCs w:val="20"/>
              </w:rPr>
              <w:fldChar w:fldCharType="begin" w:fldLock="1"/>
            </w:r>
            <w:r>
              <w:rPr>
                <w:rFonts w:ascii="Arial" w:eastAsia="Times New Roman" w:hAnsi="Arial" w:cs="Arial"/>
                <w:noProof/>
                <w:color w:val="000000"/>
                <w:sz w:val="20"/>
                <w:szCs w:val="20"/>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w:instrText>
            </w:r>
            <w:r w:rsidRPr="00EC05E1">
              <w:rPr>
                <w:rFonts w:ascii="Arial" w:eastAsia="Times New Roman" w:hAnsi="Arial" w:cs="Arial"/>
                <w:noProof/>
                <w:color w:val="000000"/>
                <w:sz w:val="20"/>
                <w:szCs w:val="20"/>
                <w:lang w:val="nl-NL"/>
              </w:rPr>
              <w:instrText>m pharmacist intervention compared with those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2021)","plainTextFormattedCitation":"(Alabkal et al., 2021)","previouslyFormattedCitation":"(Alabkal &lt;i&gt;et al.&lt;/i&gt;, 2021)"},"properties":{"noteIndex":0},"schema":"https://github.com/citation-style-language/schema/raw/master/csl-citation.json"}</w:instrText>
            </w:r>
            <w:r>
              <w:rPr>
                <w:rFonts w:ascii="Arial" w:eastAsia="Times New Roman" w:hAnsi="Arial" w:cs="Arial"/>
                <w:noProof/>
                <w:color w:val="000000"/>
                <w:sz w:val="20"/>
                <w:szCs w:val="20"/>
              </w:rPr>
              <w:fldChar w:fldCharType="separate"/>
            </w:r>
            <w:r w:rsidRPr="00EC05E1">
              <w:rPr>
                <w:rFonts w:ascii="Arial" w:eastAsia="Times New Roman" w:hAnsi="Arial" w:cs="Arial"/>
                <w:noProof/>
                <w:color w:val="000000"/>
                <w:sz w:val="20"/>
                <w:szCs w:val="20"/>
                <w:lang w:val="nl-NL"/>
              </w:rPr>
              <w:t xml:space="preserve">(Alabkal </w:t>
            </w:r>
            <w:r w:rsidRPr="00EC05E1">
              <w:rPr>
                <w:rFonts w:ascii="Arial" w:eastAsia="Times New Roman" w:hAnsi="Arial" w:cs="Arial"/>
                <w:i/>
                <w:noProof/>
                <w:color w:val="000000"/>
                <w:sz w:val="20"/>
                <w:szCs w:val="20"/>
                <w:lang w:val="nl-NL"/>
              </w:rPr>
              <w:t>et al.</w:t>
            </w:r>
            <w:r w:rsidRPr="00EC05E1">
              <w:rPr>
                <w:rFonts w:ascii="Arial" w:eastAsia="Times New Roman" w:hAnsi="Arial" w:cs="Arial"/>
                <w:noProof/>
                <w:color w:val="000000"/>
                <w:sz w:val="20"/>
                <w:szCs w:val="20"/>
                <w:lang w:val="nl-NL"/>
              </w:rPr>
              <w:t>, 2021)</w:t>
            </w:r>
            <w:r>
              <w:rPr>
                <w:rFonts w:ascii="Arial" w:eastAsia="Times New Roman" w:hAnsi="Arial" w:cs="Arial"/>
                <w:noProof/>
                <w:color w:val="000000"/>
                <w:sz w:val="20"/>
                <w:szCs w:val="20"/>
              </w:rPr>
              <w:fldChar w:fldCharType="end"/>
            </w:r>
            <w:r w:rsidRPr="00EC05E1">
              <w:rPr>
                <w:rFonts w:ascii="Arial" w:eastAsia="Times New Roman" w:hAnsi="Arial" w:cs="Arial"/>
                <w:noProof/>
                <w:color w:val="000000"/>
                <w:sz w:val="20"/>
                <w:szCs w:val="20"/>
                <w:lang w:val="nl-NL"/>
              </w:rPr>
              <w:t xml:space="preserve">, (Khan et al., 2020; Al-Arifi and Al-Omar, 2018; Emeka et al., 2020), </w:t>
            </w:r>
            <w:r>
              <w:rPr>
                <w:rFonts w:ascii="Arial" w:eastAsia="Times New Roman" w:hAnsi="Arial" w:cs="Arial"/>
                <w:noProof/>
                <w:color w:val="000000"/>
                <w:sz w:val="20"/>
                <w:szCs w:val="20"/>
                <w:lang w:val="nl-NL"/>
              </w:rPr>
              <w:fldChar w:fldCharType="begin" w:fldLock="1"/>
            </w:r>
            <w:r w:rsidRPr="00EC05E1">
              <w:rPr>
                <w:rFonts w:ascii="Arial" w:eastAsia="Times New Roman" w:hAnsi="Arial" w:cs="Arial"/>
                <w:noProof/>
                <w:color w:val="000000"/>
                <w:sz w:val="20"/>
                <w:szCs w:val="20"/>
                <w:lang w:val="nl-NL"/>
              </w:rPr>
              <w:instrText>ADDIN CSL_CITATION {"citationItems":[{"id":"ITEM-1","itemData":{"DOI":"10.1016/j.jcjd.2019.04.017","ISSN":"23523840","PMID":"31164301","author":[{"dropping-particle":"","family":"Boivin","given":"Michael","non-dropping-particle":"","parse-names":false,"suffix":""}],"container-title":"Canadian Journal of Diabetes","id":"ITEM-1","issue":"6","issued":{"date-parts":[["2019"]]},"page":"429-432","publisher":"Canadian Diabetes Association","title":"Role of the Pharmacist Certified Diabetes Educator Along the Type 2 Diabetes Care Continuum","type":"article-journal","volume":"43"},"uris":["http://www.mendeley.com/documents/?uuid=05f97a0c-d440-46e6-903a-10cfca6adc36"]}],"mendeley":{"formattedCitation":"(Boivin, 2019)","plainTextFormattedCitation":"(Boivin, 2019)","previouslyFormattedCitation":"(Boivin, 2019)"},"properties":{"noteIndex":0},"schema":"https://github.com/citation-style-language/schema/raw/master/csl-citation.json"}</w:instrText>
            </w:r>
            <w:r>
              <w:rPr>
                <w:rFonts w:ascii="Arial" w:eastAsia="Times New Roman" w:hAnsi="Arial" w:cs="Arial"/>
                <w:noProof/>
                <w:color w:val="000000"/>
                <w:sz w:val="20"/>
                <w:szCs w:val="20"/>
                <w:lang w:val="nl-NL"/>
              </w:rPr>
              <w:fldChar w:fldCharType="separate"/>
            </w:r>
            <w:r w:rsidRPr="00EC05E1">
              <w:rPr>
                <w:rFonts w:ascii="Arial" w:eastAsia="Times New Roman" w:hAnsi="Arial" w:cs="Arial"/>
                <w:noProof/>
                <w:color w:val="000000"/>
                <w:sz w:val="20"/>
                <w:szCs w:val="20"/>
                <w:lang w:val="nl-NL"/>
              </w:rPr>
              <w:t>(Boivin, 2019)</w:t>
            </w:r>
            <w:r>
              <w:rPr>
                <w:rFonts w:ascii="Arial" w:eastAsia="Times New Roman" w:hAnsi="Arial" w:cs="Arial"/>
                <w:noProof/>
                <w:color w:val="000000"/>
                <w:sz w:val="20"/>
                <w:szCs w:val="20"/>
                <w:lang w:val="nl-NL"/>
              </w:rPr>
              <w:fldChar w:fldCharType="end"/>
            </w:r>
            <w:r w:rsidRPr="00EC05E1">
              <w:rPr>
                <w:rFonts w:ascii="Arial" w:eastAsia="Times New Roman" w:hAnsi="Arial" w:cs="Arial"/>
                <w:noProof/>
                <w:color w:val="000000"/>
                <w:sz w:val="20"/>
                <w:szCs w:val="20"/>
                <w:lang w:val="nl-NL"/>
              </w:rPr>
              <w:t xml:space="preserve">, (Abdulrhim </w:t>
            </w:r>
            <w:r w:rsidRPr="00EC05E1">
              <w:rPr>
                <w:rFonts w:ascii="Arial" w:eastAsia="Times New Roman" w:hAnsi="Arial" w:cs="Arial"/>
                <w:i/>
                <w:iCs/>
                <w:noProof/>
                <w:color w:val="000000"/>
                <w:sz w:val="20"/>
                <w:szCs w:val="20"/>
                <w:lang w:val="nl-NL"/>
              </w:rPr>
              <w:t>et al.</w:t>
            </w:r>
            <w:r w:rsidRPr="00EC05E1">
              <w:rPr>
                <w:rFonts w:ascii="Arial" w:eastAsia="Times New Roman" w:hAnsi="Arial" w:cs="Arial"/>
                <w:noProof/>
                <w:color w:val="000000"/>
                <w:sz w:val="20"/>
                <w:szCs w:val="20"/>
                <w:lang w:val="nl-NL"/>
              </w:rPr>
              <w:t xml:space="preserve">, 2019), (Javaid </w:t>
            </w:r>
            <w:r w:rsidRPr="00EC05E1">
              <w:rPr>
                <w:rFonts w:ascii="Arial" w:eastAsia="Times New Roman" w:hAnsi="Arial" w:cs="Arial"/>
                <w:i/>
                <w:iCs/>
                <w:noProof/>
                <w:color w:val="000000"/>
                <w:sz w:val="20"/>
                <w:szCs w:val="20"/>
                <w:lang w:val="nl-NL"/>
              </w:rPr>
              <w:t>et al.</w:t>
            </w:r>
            <w:r w:rsidRPr="00EC05E1">
              <w:rPr>
                <w:rFonts w:ascii="Arial" w:eastAsia="Times New Roman" w:hAnsi="Arial" w:cs="Arial"/>
                <w:noProof/>
                <w:color w:val="000000"/>
                <w:sz w:val="20"/>
                <w:szCs w:val="20"/>
                <w:lang w:val="nl-NL"/>
              </w:rPr>
              <w:t xml:space="preserve">, 2019), (Presley et al., 2019), (Peterson </w:t>
            </w:r>
            <w:r w:rsidRPr="00EC05E1">
              <w:rPr>
                <w:rFonts w:ascii="Arial" w:eastAsia="Times New Roman" w:hAnsi="Arial" w:cs="Arial"/>
                <w:i/>
                <w:iCs/>
                <w:noProof/>
                <w:color w:val="000000"/>
                <w:sz w:val="20"/>
                <w:szCs w:val="20"/>
                <w:lang w:val="nl-NL"/>
              </w:rPr>
              <w:t>et al.</w:t>
            </w:r>
            <w:r w:rsidRPr="00EC05E1">
              <w:rPr>
                <w:rFonts w:ascii="Arial" w:eastAsia="Times New Roman" w:hAnsi="Arial" w:cs="Arial"/>
                <w:noProof/>
                <w:color w:val="000000"/>
                <w:sz w:val="20"/>
                <w:szCs w:val="20"/>
                <w:lang w:val="nl-NL"/>
              </w:rPr>
              <w:t xml:space="preserve">, 2018), (Gagnon </w:t>
            </w:r>
            <w:r w:rsidRPr="00EC05E1">
              <w:rPr>
                <w:rFonts w:ascii="Arial" w:eastAsia="Times New Roman" w:hAnsi="Arial" w:cs="Arial"/>
                <w:i/>
                <w:iCs/>
                <w:noProof/>
                <w:color w:val="000000"/>
                <w:sz w:val="20"/>
                <w:szCs w:val="20"/>
                <w:lang w:val="nl-NL"/>
              </w:rPr>
              <w:t>et al.</w:t>
            </w:r>
            <w:r w:rsidRPr="00EC05E1">
              <w:rPr>
                <w:rFonts w:ascii="Arial" w:eastAsia="Times New Roman" w:hAnsi="Arial" w:cs="Arial"/>
                <w:noProof/>
                <w:color w:val="000000"/>
                <w:sz w:val="20"/>
                <w:szCs w:val="20"/>
                <w:lang w:val="nl-NL"/>
              </w:rPr>
              <w:t xml:space="preserve">, 2017), (Fazel </w:t>
            </w:r>
            <w:r w:rsidRPr="00EC05E1">
              <w:rPr>
                <w:rFonts w:ascii="Arial" w:eastAsia="Times New Roman" w:hAnsi="Arial" w:cs="Arial"/>
                <w:i/>
                <w:iCs/>
                <w:noProof/>
                <w:color w:val="000000"/>
                <w:sz w:val="20"/>
                <w:szCs w:val="20"/>
                <w:lang w:val="nl-NL"/>
              </w:rPr>
              <w:t>et al.</w:t>
            </w:r>
            <w:r w:rsidRPr="00EC05E1">
              <w:rPr>
                <w:rFonts w:ascii="Arial" w:eastAsia="Times New Roman" w:hAnsi="Arial" w:cs="Arial"/>
                <w:noProof/>
                <w:color w:val="000000"/>
                <w:sz w:val="20"/>
                <w:szCs w:val="20"/>
                <w:lang w:val="nl-NL"/>
              </w:rPr>
              <w:t xml:space="preserve">, 2017), (Yaghoubi </w:t>
            </w:r>
            <w:r w:rsidRPr="00EC05E1">
              <w:rPr>
                <w:rFonts w:ascii="Arial" w:eastAsia="Times New Roman" w:hAnsi="Arial" w:cs="Arial"/>
                <w:i/>
                <w:iCs/>
                <w:noProof/>
                <w:color w:val="000000"/>
                <w:sz w:val="20"/>
                <w:szCs w:val="20"/>
                <w:lang w:val="nl-NL"/>
              </w:rPr>
              <w:t>et al.</w:t>
            </w:r>
            <w:r w:rsidRPr="00EC05E1">
              <w:rPr>
                <w:rFonts w:ascii="Arial" w:eastAsia="Times New Roman" w:hAnsi="Arial" w:cs="Arial"/>
                <w:noProof/>
                <w:color w:val="000000"/>
                <w:sz w:val="20"/>
                <w:szCs w:val="20"/>
                <w:lang w:val="nl-NL"/>
              </w:rPr>
              <w:t xml:space="preserve">, 2017), (Davis, Ross and Bloodworth, 2017), (Pousinho </w:t>
            </w:r>
            <w:r w:rsidRPr="00EC05E1">
              <w:rPr>
                <w:rFonts w:ascii="Arial" w:eastAsia="Times New Roman" w:hAnsi="Arial" w:cs="Arial"/>
                <w:i/>
                <w:iCs/>
                <w:noProof/>
                <w:color w:val="000000"/>
                <w:sz w:val="20"/>
                <w:szCs w:val="20"/>
                <w:lang w:val="nl-NL"/>
              </w:rPr>
              <w:t>et al.</w:t>
            </w:r>
            <w:r w:rsidRPr="00EC05E1">
              <w:rPr>
                <w:rFonts w:ascii="Arial" w:eastAsia="Times New Roman" w:hAnsi="Arial" w:cs="Arial"/>
                <w:noProof/>
                <w:color w:val="000000"/>
                <w:sz w:val="20"/>
                <w:szCs w:val="20"/>
                <w:lang w:val="nl-NL"/>
              </w:rPr>
              <w:t xml:space="preserve">, 2016), (Tan </w:t>
            </w:r>
            <w:r w:rsidRPr="00EC05E1">
              <w:rPr>
                <w:rFonts w:ascii="Arial" w:eastAsia="Times New Roman" w:hAnsi="Arial" w:cs="Arial"/>
                <w:i/>
                <w:iCs/>
                <w:noProof/>
                <w:color w:val="000000"/>
                <w:sz w:val="20"/>
                <w:szCs w:val="20"/>
                <w:lang w:val="nl-NL"/>
              </w:rPr>
              <w:t>et al.</w:t>
            </w:r>
            <w:r w:rsidRPr="00EC05E1">
              <w:rPr>
                <w:rFonts w:ascii="Arial" w:eastAsia="Times New Roman" w:hAnsi="Arial" w:cs="Arial"/>
                <w:noProof/>
                <w:color w:val="000000"/>
                <w:sz w:val="20"/>
                <w:szCs w:val="20"/>
                <w:lang w:val="nl-NL"/>
              </w:rPr>
              <w:t xml:space="preserve">, 2014), (Jarab, 2012), </w:t>
            </w:r>
            <w:r w:rsidRPr="00AA5614">
              <w:rPr>
                <w:rFonts w:ascii="Arial" w:eastAsia="Times New Roman" w:hAnsi="Arial" w:cs="Arial"/>
                <w:noProof/>
                <w:color w:val="000000"/>
                <w:sz w:val="20"/>
                <w:szCs w:val="20"/>
                <w:lang w:val="es-ES_tradnl"/>
              </w:rPr>
              <w:fldChar w:fldCharType="begin" w:fldLock="1"/>
            </w:r>
            <w:r w:rsidRPr="00876389">
              <w:rPr>
                <w:rFonts w:ascii="Arial" w:eastAsia="Times New Roman" w:hAnsi="Arial" w:cs="Arial"/>
                <w:noProof/>
                <w:color w:val="000000"/>
                <w:sz w:val="20"/>
                <w:szCs w:val="20"/>
                <w:lang w:val="nl-NL"/>
              </w:rPr>
              <w:instrText xml:space="preserve">ADDIN CSL_CITATION {"citationItems":[{"id":"ITEM-1","itemData":{"DOI":"10.2337/dc12-0369","ISSN":"01495992","PMID":"23173140","abstract":"OBJECTIVE - This systematic review and meta-analysis </w:instrText>
            </w:r>
            <w:r w:rsidRPr="00AA5614">
              <w:rPr>
                <w:rFonts w:ascii="Arial" w:eastAsia="Times New Roman" w:hAnsi="Arial" w:cs="Arial"/>
                <w:noProof/>
                <w:color w:val="000000"/>
                <w:sz w:val="20"/>
                <w:szCs w:val="20"/>
                <w:lang w:val="es-ES_tradnl"/>
              </w:rPr>
              <w:instrText>of randomized controlled trials (RCTs) assesses the effect of pharmacist care on cardiovascular disease (CVD) risk factors among outpatients with diabetes. RESEARCH DESIGN AND METHODS - MEDLINE, EMBASE, CINAHL, and the Cochrane Central Register of Controlled Trials were searched. Pharmacist interventions were classified, and a meta-analysis of mean changes of blood pressure (BP), total cholesterol (TC), LDL cholesterol, HDL cholesterol, and BMI was performed using random-effects models. RESULTS - The meta-analysis included 15 RCTs (9,111 outpatients) in which interventions were conducted exclusively by pharmacists in 8 studies and in collaboration with physicians, nurses, dietitians, or physical therapists in 7 studies. Pharmacist interventions included medication management, educational interventions, feedback to physicians, measurement of CVD risk factors, or patient-reminder systems. Compared with usual care, pharmacist care was associated with significant reductions for systolic BP (12 studies with 1,894 patients; -6.2 mmHg [95% CI -7.8 to -4.6]); diastolic BP (9 studies with 1,496 patients; -4.5 mmHg [-6.2 to -2.8]); TC (8 studies with 1,280 patients; -15.2 mg/dL [-24.7 to -5.7]); LDL cholesterol (9 studies with 8,084 patients; -11.7mg/dL [-15.8 to-7.6]); and BMI (5 studies with 751 patients; -0.9 kg/m2 [-1.7 to -0.1]). Pharmacist care was not associated with a significant change in HDL cholesterol (6 studies with 826 patients; 0.2 mg/dL [-1.9 to 2.4]). CONCLUSIONS - This meta-analysis supports pharmacist interventions - alone or i</w:instrText>
            </w:r>
            <w:r w:rsidRPr="00876389">
              <w:rPr>
                <w:rFonts w:ascii="Arial" w:eastAsia="Times New Roman" w:hAnsi="Arial" w:cs="Arial"/>
                <w:noProof/>
                <w:color w:val="000000"/>
                <w:sz w:val="20"/>
                <w:szCs w:val="20"/>
                <w:lang w:val="en-GB"/>
              </w:rPr>
              <w:instrText>n collaboration with other health care professionals - to improve major CVD risk factors among outpatients with diabetes. © 2012 by the American Diabetes Association.","author":[{"dropping-particle":"","family":"Santschi","given":"Valérie","non-dropping-particle":"","parse-names":false,"suffix":""},{"dropping-particle":"","family":"Colosimo","given":"April L.","non-dropping-particle":"","parse-names":false,"suffix":""},{"dropping-particle":"","family":"Chiolero","given":"Arnaud","non-dropping-particle":"","parse-names":false,"suffix":""},{"dropping-particle":"","family":"Burnand","given":"Bernard","non-dropping-particle":"","parse-names":false,"suffix":""},{"dropping-particle":"","family":"Paradis","given":"Gilles","non-dropping-particle":"","parse-names":false,"suffix":""}],"container-title":"Diabetes Care","id":"ITEM-1","issue":"12","issued":{"date-parts":[["2012"]]},"page":"2706-2717","title":"Pharmacist interventions to improve cardiovascular disease risk factors in diabetes: A systematic review and meta-analysis of randomized controlled trials","type":"article-journal","volume":"35"},"uris":["http://www.mendeley.com/documents/?uuid=18e4bb6b-cf5b-4195-a39f-51ac6af47cf5"]}],"mendeley":{"formattedCitation":"(Santschi &lt;i&gt;et al.&lt;/i&gt;, 2012)","plainTextFormattedCitation":"(Santschi et al., 2012)","previouslyFormattedCitation":"(Santschi &lt;i&gt;et al.&lt;/i&gt;, 2012)"},"properties":{"noteIndex":0},"schema":"https://github.com/citation-style-language/schema/raw/master/csl-citation.json"}</w:instrText>
            </w:r>
            <w:r w:rsidRPr="00AA5614">
              <w:rPr>
                <w:rFonts w:ascii="Arial" w:eastAsia="Times New Roman" w:hAnsi="Arial" w:cs="Arial"/>
                <w:noProof/>
                <w:color w:val="000000"/>
                <w:sz w:val="20"/>
                <w:szCs w:val="20"/>
                <w:lang w:val="es-ES_tradnl"/>
              </w:rPr>
              <w:fldChar w:fldCharType="separate"/>
            </w:r>
            <w:r w:rsidRPr="00876389">
              <w:rPr>
                <w:rFonts w:ascii="Arial" w:eastAsia="Times New Roman" w:hAnsi="Arial" w:cs="Arial"/>
                <w:noProof/>
                <w:color w:val="000000"/>
                <w:sz w:val="20"/>
                <w:szCs w:val="20"/>
                <w:lang w:val="en-GB"/>
              </w:rPr>
              <w:t>(Santschi et al., 2012)</w:t>
            </w:r>
            <w:r w:rsidRPr="00AA5614">
              <w:rPr>
                <w:rFonts w:ascii="Arial" w:eastAsia="Times New Roman" w:hAnsi="Arial" w:cs="Arial"/>
                <w:noProof/>
                <w:color w:val="000000"/>
                <w:sz w:val="20"/>
                <w:szCs w:val="20"/>
                <w:lang w:val="es-ES_tradnl"/>
              </w:rPr>
              <w:fldChar w:fldCharType="end"/>
            </w:r>
            <w:r w:rsidRPr="00876389">
              <w:rPr>
                <w:rFonts w:ascii="Arial" w:eastAsia="Times New Roman" w:hAnsi="Arial" w:cs="Arial"/>
                <w:noProof/>
                <w:color w:val="000000"/>
                <w:sz w:val="20"/>
                <w:szCs w:val="20"/>
                <w:lang w:val="en-GB"/>
              </w:rPr>
              <w:t xml:space="preserve">, </w:t>
            </w:r>
            <w:r w:rsidRPr="005D2053">
              <w:rPr>
                <w:rFonts w:ascii="Arial" w:eastAsia="Times New Roman" w:hAnsi="Arial" w:cs="Arial"/>
                <w:noProof/>
                <w:color w:val="000000"/>
                <w:sz w:val="20"/>
                <w:szCs w:val="20"/>
              </w:rPr>
              <w:t xml:space="preserve">(Willens et al., 2011), (LaMarr et al., 2010), (Armor et al., 2010), (Chisholm-burns et al., 2010) </w:t>
            </w:r>
          </w:p>
        </w:tc>
      </w:tr>
      <w:tr w:rsidR="00941883" w:rsidRPr="00090DA0" w14:paraId="03924DF9" w14:textId="77777777" w:rsidTr="00282204">
        <w:trPr>
          <w:trHeight w:val="536"/>
        </w:trPr>
        <w:tc>
          <w:tcPr>
            <w:tcW w:w="1854" w:type="dxa"/>
            <w:tcBorders>
              <w:top w:val="single" w:sz="4" w:space="0" w:color="auto"/>
              <w:bottom w:val="single" w:sz="4" w:space="0" w:color="auto"/>
            </w:tcBorders>
            <w:shd w:val="clear" w:color="auto" w:fill="auto"/>
            <w:vAlign w:val="center"/>
          </w:tcPr>
          <w:p w14:paraId="6D117661" w14:textId="77777777" w:rsidR="00941883" w:rsidRPr="00331724" w:rsidRDefault="00941883" w:rsidP="00282204">
            <w:pPr>
              <w:spacing w:after="0" w:line="240" w:lineRule="auto"/>
              <w:rPr>
                <w:rFonts w:ascii="Arial" w:eastAsia="Times New Roman" w:hAnsi="Arial" w:cs="Arial"/>
                <w:color w:val="000000"/>
                <w:sz w:val="20"/>
                <w:szCs w:val="20"/>
              </w:rPr>
            </w:pPr>
            <w:r w:rsidRPr="00331724">
              <w:rPr>
                <w:rFonts w:ascii="Arial" w:eastAsia="Times New Roman" w:hAnsi="Arial" w:cs="Arial"/>
                <w:color w:val="000000"/>
                <w:sz w:val="20"/>
                <w:szCs w:val="20"/>
              </w:rPr>
              <w:t>Follow up</w:t>
            </w:r>
          </w:p>
        </w:tc>
        <w:tc>
          <w:tcPr>
            <w:tcW w:w="6156" w:type="dxa"/>
            <w:tcBorders>
              <w:top w:val="single" w:sz="4" w:space="0" w:color="auto"/>
              <w:bottom w:val="single" w:sz="4" w:space="0" w:color="auto"/>
            </w:tcBorders>
            <w:shd w:val="clear" w:color="auto" w:fill="auto"/>
            <w:vAlign w:val="center"/>
          </w:tcPr>
          <w:p w14:paraId="51F769D6" w14:textId="77777777" w:rsidR="00941883" w:rsidRPr="00AD4D3E" w:rsidRDefault="00941883" w:rsidP="00941883">
            <w:pPr>
              <w:pStyle w:val="ListParagraph"/>
              <w:numPr>
                <w:ilvl w:val="0"/>
                <w:numId w:val="33"/>
              </w:numPr>
              <w:spacing w:after="0" w:line="240" w:lineRule="auto"/>
              <w:rPr>
                <w:rFonts w:ascii="Arial" w:eastAsia="Times New Roman" w:hAnsi="Arial" w:cs="Arial"/>
                <w:color w:val="000000"/>
                <w:sz w:val="20"/>
                <w:szCs w:val="20"/>
              </w:rPr>
            </w:pPr>
            <w:r w:rsidRPr="00690706">
              <w:rPr>
                <w:rFonts w:ascii="Arial" w:eastAsia="Times New Roman" w:hAnsi="Arial" w:cs="Arial"/>
                <w:color w:val="000000"/>
                <w:sz w:val="20"/>
                <w:szCs w:val="20"/>
                <w:lang w:val="en-GB"/>
              </w:rPr>
              <w:t>Patient reminder systems</w:t>
            </w:r>
            <w:r>
              <w:rPr>
                <w:rFonts w:ascii="Arial" w:eastAsia="Times New Roman" w:hAnsi="Arial" w:cs="Arial"/>
                <w:color w:val="000000"/>
                <w:sz w:val="20"/>
                <w:szCs w:val="20"/>
                <w:lang w:val="en-GB"/>
              </w:rPr>
              <w:t xml:space="preserve">: A </w:t>
            </w:r>
            <w:r w:rsidRPr="00690706">
              <w:rPr>
                <w:rFonts w:ascii="Arial" w:eastAsia="Times New Roman" w:hAnsi="Arial" w:cs="Arial"/>
                <w:color w:val="000000"/>
                <w:sz w:val="20"/>
                <w:szCs w:val="20"/>
                <w:lang w:val="en-GB"/>
              </w:rPr>
              <w:t xml:space="preserve">pharmacist contacts patients to remind them about an appointment, and requests them to complete their laboratory tests prior the </w:t>
            </w:r>
            <w:r w:rsidRPr="00D720E0">
              <w:rPr>
                <w:rFonts w:ascii="Arial" w:eastAsia="Times New Roman" w:hAnsi="Arial" w:cs="Arial"/>
                <w:color w:val="000000"/>
                <w:sz w:val="20"/>
                <w:szCs w:val="20"/>
                <w:lang w:val="en-GB"/>
              </w:rPr>
              <w:t>appointment and</w:t>
            </w:r>
            <w:r w:rsidRPr="00690706">
              <w:rPr>
                <w:rFonts w:ascii="Arial" w:eastAsia="Times New Roman" w:hAnsi="Arial" w:cs="Arial"/>
                <w:color w:val="000000"/>
                <w:sz w:val="20"/>
                <w:szCs w:val="20"/>
                <w:lang w:val="en-GB"/>
              </w:rPr>
              <w:t xml:space="preserve"> finish their blood glucose readings.</w:t>
            </w:r>
          </w:p>
        </w:tc>
        <w:tc>
          <w:tcPr>
            <w:tcW w:w="5396" w:type="dxa"/>
            <w:tcBorders>
              <w:top w:val="single" w:sz="4" w:space="0" w:color="auto"/>
              <w:bottom w:val="single" w:sz="4" w:space="0" w:color="auto"/>
            </w:tcBorders>
            <w:shd w:val="clear" w:color="auto" w:fill="auto"/>
            <w:vAlign w:val="center"/>
          </w:tcPr>
          <w:p w14:paraId="1BA427A9" w14:textId="77777777" w:rsidR="00941883" w:rsidRPr="00AA5614" w:rsidRDefault="00941883" w:rsidP="00282204">
            <w:pPr>
              <w:autoSpaceDE w:val="0"/>
              <w:autoSpaceDN w:val="0"/>
              <w:adjustRightInd w:val="0"/>
              <w:spacing w:line="240" w:lineRule="auto"/>
              <w:rPr>
                <w:rFonts w:ascii="Arial" w:eastAsia="Times New Roman" w:hAnsi="Arial" w:cs="Arial"/>
                <w:color w:val="FF0000"/>
                <w:sz w:val="24"/>
                <w:szCs w:val="24"/>
                <w:lang w:val="nl-NL"/>
              </w:rPr>
            </w:pPr>
            <w:r w:rsidRPr="00876389">
              <w:rPr>
                <w:rFonts w:ascii="Arial" w:eastAsia="Times New Roman" w:hAnsi="Arial" w:cs="Arial"/>
                <w:noProof/>
                <w:color w:val="000000"/>
                <w:sz w:val="20"/>
                <w:szCs w:val="20"/>
                <w:lang w:val="en-GB"/>
              </w:rPr>
              <w:t xml:space="preserve">  </w:t>
            </w:r>
            <w:r w:rsidRPr="00AA5614">
              <w:rPr>
                <w:rFonts w:ascii="Arial" w:eastAsia="Times New Roman" w:hAnsi="Arial" w:cs="Arial"/>
                <w:noProof/>
                <w:color w:val="000000"/>
                <w:sz w:val="20"/>
                <w:szCs w:val="20"/>
                <w:lang w:val="es-ES_tradnl"/>
              </w:rPr>
              <w:fldChar w:fldCharType="begin" w:fldLock="1"/>
            </w:r>
            <w:r w:rsidRPr="00876389">
              <w:rPr>
                <w:rFonts w:ascii="Arial" w:eastAsia="Times New Roman" w:hAnsi="Arial" w:cs="Arial"/>
                <w:noProof/>
                <w:color w:val="000000"/>
                <w:sz w:val="20"/>
                <w:szCs w:val="20"/>
                <w:lang w:val="en-GB"/>
              </w:rPr>
              <w:instrText>ADDIN CSL_CITATION {"citationItems":[{"id":"ITEM-1","itemData":{"DOI":"10.2337/dc12-0369","ISSN":"01495992","PMID":"23173140","abstract":"OBJECTIVE - This systematic review and meta-analysis of randomized controlled trials (RCTs) assesses the effect of pharmacist care on cardiovascular disease (CVD) risk factors among outpatients with diabetes. RESEARCH DESIGN AND METHODS - MEDLINE, EMBASE, CINAHL, and the Cochrane Central Register of Controlled Trials were searched. Pharmacist interventions were classified, and a meta-analysis of mean changes of blood pressure (BP), total cholesterol (TC), LDL cholesterol, HDL cholesterol, and BMI was performed using random-effects models. RESULTS - The meta-analysis included 15 RCTs (9,111 outpatients) in which interventions were conducted exclusively by pharmacists in 8 studies and in collaboration with physicians, nurses, dietitians, or physical therapists in 7 studies. Pharmacist interventions included medication management, educational interventions, feedback to physicians, measurement of CVD risk factors, or patient-reminder systems. Compared with usual care, pharmacist care was associated wi</w:instrText>
            </w:r>
            <w:r w:rsidRPr="00AA5614">
              <w:rPr>
                <w:rFonts w:ascii="Arial" w:eastAsia="Times New Roman" w:hAnsi="Arial" w:cs="Arial"/>
                <w:noProof/>
                <w:color w:val="000000"/>
                <w:sz w:val="20"/>
                <w:szCs w:val="20"/>
                <w:lang w:val="es-ES_tradnl"/>
              </w:rPr>
              <w:instrText>th significant reductions for systolic BP (12 studies with 1,894 patients; -6.2 mmHg [95% CI -7.8 to -4.6]); diastolic BP (9 studies with 1,496 patients; -4.5 mmHg [-6.2 to -2.8]); TC (8 studies with 1,280 patients; -15.2 mg/dL [-24.7 to -5.7]); LDL cholesterol (9 studies with 8,084 patients; -11.7mg/dL [-15.8 to-7.6]); and BMI (5 studies with 751 patients; -0.9 kg/m2 [-1.7 to -0.1]). Pharmacist care was not associated with a significant change in HDL cholesterol (6 studies with 826 patients; 0.2 mg/dL [-1.9 to 2.4]). CONCLUSIONS - This meta-analysis supports pharmacist interventions - alone or in collaboration with other health care professionals - to improve major CVD risk factors among outpatients with diabetes. © 2012 by the American Diabetes Association.","author":[{"dropping-particle":"","family":"Santschi","given":"Valérie","non-dropping-particle":"","parse-names":false,"suffix":""},{"dropping-particle":"","family":"Colosimo","given":"April L.","non-dropping-particle":"","parse-names":false,"suffix":""},{"dropping-particle":"","family":"Chiolero","given":"Arnaud","non-dropping-particle":"","parse-names":false,"suffix":""},{"dropping-particle":"","family":"Burnand","given":"Bernard","non-dropping-particle":"","parse-names":false,"suffix":""},{"dropping-particle":"","family":"Paradis","given":"Gilles","non-dropping-particle":"","parse-names":false,"suffix":""}],"container-title":"Diabetes Care","id":"ITEM-1","issue":"12","issued":{"date-parts":[["2012"]]},"page":"2706-2717","title":"Pharmacist interventions to improve cardiovascular disease risk factors in diabetes: A systematic review and meta-analysis of randomized controlled trials","type":"article-journal","volume":"35"},"uris":["http://www.mendeley.com/documents/?uuid=18e4bb6b-cf5b-4195-a39f-51ac6af47cf5"]}],"mendeley":{"formattedCitation":"(Santschi &lt;i&gt;et al.&lt;/i&gt;, 2012)","plainTextFormattedCitation":"(Santschi et al., 2012)","previouslyFormattedCitation":"(Santschi &lt;i&gt;et al.&lt;/i&gt;, 2012)"},"properties":{"noteIndex":0},"schema":"https://github.com/citation-style-language/schema/raw/master/csl-citation.json"}</w:instrText>
            </w:r>
            <w:r w:rsidRPr="00AA5614">
              <w:rPr>
                <w:rFonts w:ascii="Arial" w:eastAsia="Times New Roman" w:hAnsi="Arial" w:cs="Arial"/>
                <w:noProof/>
                <w:color w:val="000000"/>
                <w:sz w:val="20"/>
                <w:szCs w:val="20"/>
                <w:lang w:val="es-ES_tradnl"/>
              </w:rPr>
              <w:fldChar w:fldCharType="separate"/>
            </w:r>
            <w:r w:rsidRPr="00AA5614">
              <w:rPr>
                <w:rFonts w:ascii="Arial" w:eastAsia="Times New Roman" w:hAnsi="Arial" w:cs="Arial"/>
                <w:noProof/>
                <w:color w:val="000000"/>
                <w:sz w:val="20"/>
                <w:szCs w:val="20"/>
                <w:lang w:val="es-ES_tradnl"/>
              </w:rPr>
              <w:t>(Santschi et al., 2012)</w:t>
            </w:r>
            <w:r w:rsidRPr="00AA5614">
              <w:rPr>
                <w:rFonts w:ascii="Arial" w:eastAsia="Times New Roman" w:hAnsi="Arial" w:cs="Arial"/>
                <w:noProof/>
                <w:color w:val="000000"/>
                <w:sz w:val="20"/>
                <w:szCs w:val="20"/>
                <w:lang w:val="es-ES_tradnl"/>
              </w:rPr>
              <w:fldChar w:fldCharType="end"/>
            </w:r>
            <w:r w:rsidRPr="00AA5614">
              <w:rPr>
                <w:rFonts w:ascii="Arial" w:eastAsia="Times New Roman" w:hAnsi="Arial" w:cs="Arial"/>
                <w:noProof/>
                <w:color w:val="000000"/>
                <w:sz w:val="20"/>
                <w:szCs w:val="20"/>
                <w:lang w:val="es-ES_tradnl"/>
              </w:rPr>
              <w:t xml:space="preserve"> </w:t>
            </w:r>
            <w:r w:rsidRPr="008D5F19">
              <w:rPr>
                <w:rFonts w:ascii="Arial" w:eastAsia="Times New Roman" w:hAnsi="Arial" w:cs="Arial"/>
                <w:noProof/>
                <w:color w:val="000000"/>
                <w:sz w:val="20"/>
                <w:szCs w:val="20"/>
                <w:lang w:val="es-ES_tradnl"/>
              </w:rPr>
              <w:t>(Khan et al., 2020; Al-Arifi and Al-Omar, 2018)</w:t>
            </w:r>
          </w:p>
        </w:tc>
      </w:tr>
      <w:tr w:rsidR="00941883" w:rsidRPr="007C5B3D" w14:paraId="25BB3A22" w14:textId="77777777" w:rsidTr="00282204">
        <w:trPr>
          <w:trHeight w:val="536"/>
        </w:trPr>
        <w:tc>
          <w:tcPr>
            <w:tcW w:w="1854" w:type="dxa"/>
            <w:tcBorders>
              <w:top w:val="single" w:sz="4" w:space="0" w:color="auto"/>
              <w:bottom w:val="single" w:sz="4" w:space="0" w:color="auto"/>
            </w:tcBorders>
            <w:shd w:val="clear" w:color="auto" w:fill="auto"/>
            <w:vAlign w:val="center"/>
          </w:tcPr>
          <w:p w14:paraId="1EC5F930" w14:textId="77777777" w:rsidR="00941883" w:rsidRPr="00770385" w:rsidRDefault="00941883" w:rsidP="00282204">
            <w:pPr>
              <w:spacing w:after="0" w:line="240" w:lineRule="auto"/>
              <w:rPr>
                <w:rFonts w:ascii="Arial" w:eastAsia="Times New Roman" w:hAnsi="Arial" w:cs="Arial"/>
                <w:color w:val="000000"/>
                <w:sz w:val="20"/>
                <w:szCs w:val="20"/>
              </w:rPr>
            </w:pPr>
            <w:r w:rsidRPr="00770385">
              <w:rPr>
                <w:rFonts w:ascii="Arial" w:eastAsia="Times New Roman" w:hAnsi="Arial" w:cs="Arial"/>
                <w:color w:val="000000"/>
                <w:sz w:val="20"/>
                <w:szCs w:val="20"/>
              </w:rPr>
              <w:t xml:space="preserve">Family support </w:t>
            </w:r>
          </w:p>
        </w:tc>
        <w:tc>
          <w:tcPr>
            <w:tcW w:w="6156" w:type="dxa"/>
            <w:tcBorders>
              <w:top w:val="single" w:sz="4" w:space="0" w:color="auto"/>
              <w:bottom w:val="single" w:sz="4" w:space="0" w:color="auto"/>
            </w:tcBorders>
            <w:shd w:val="clear" w:color="auto" w:fill="auto"/>
            <w:vAlign w:val="center"/>
          </w:tcPr>
          <w:p w14:paraId="2BF574F7" w14:textId="77777777" w:rsidR="00941883" w:rsidRPr="008664C7" w:rsidRDefault="00941883" w:rsidP="00282204">
            <w:pPr>
              <w:spacing w:after="0" w:line="240" w:lineRule="auto"/>
              <w:rPr>
                <w:rFonts w:ascii="Arial" w:eastAsia="Times New Roman" w:hAnsi="Arial" w:cs="Arial"/>
                <w:color w:val="000000"/>
                <w:sz w:val="20"/>
                <w:szCs w:val="20"/>
              </w:rPr>
            </w:pPr>
          </w:p>
        </w:tc>
        <w:tc>
          <w:tcPr>
            <w:tcW w:w="5396" w:type="dxa"/>
            <w:tcBorders>
              <w:top w:val="single" w:sz="4" w:space="0" w:color="auto"/>
              <w:bottom w:val="single" w:sz="4" w:space="0" w:color="auto"/>
            </w:tcBorders>
            <w:shd w:val="clear" w:color="auto" w:fill="auto"/>
            <w:vAlign w:val="center"/>
          </w:tcPr>
          <w:p w14:paraId="0294E8FF" w14:textId="77777777" w:rsidR="00941883" w:rsidRPr="00A87C73" w:rsidRDefault="00941883" w:rsidP="00282204">
            <w:pPr>
              <w:spacing w:after="0" w:line="240" w:lineRule="auto"/>
              <w:rPr>
                <w:rFonts w:ascii="Arial" w:eastAsia="Times New Roman" w:hAnsi="Arial" w:cs="Arial"/>
                <w:noProof/>
                <w:color w:val="000000"/>
                <w:sz w:val="20"/>
                <w:szCs w:val="20"/>
              </w:rPr>
            </w:pPr>
            <w:r>
              <w:rPr>
                <w:rFonts w:ascii="Arial" w:eastAsia="Times New Roman" w:hAnsi="Arial" w:cs="Arial"/>
                <w:noProof/>
                <w:color w:val="000000"/>
                <w:sz w:val="20"/>
                <w:szCs w:val="20"/>
                <w:lang w:val="en-GB"/>
              </w:rPr>
              <w:fldChar w:fldCharType="begin" w:fldLock="1"/>
            </w:r>
            <w:r>
              <w:rPr>
                <w:rFonts w:ascii="Arial" w:eastAsia="Times New Roman" w:hAnsi="Arial" w:cs="Arial"/>
                <w:noProof/>
                <w:color w:val="000000"/>
                <w:sz w:val="20"/>
                <w:szCs w:val="20"/>
                <w:lang w:val="en-GB"/>
              </w:rPr>
              <w:instrText>ADDIN CSL_CITATION {"citationItems":[{"id":"ITEM-1","itemData":{"DOI":"10.3390/ijerph19106188","ISSN":"16604601","PMID":"35627724","abstract":"Type 2 diabetes mellitus has been assessed as a widespread disease globally. Unfortunately, this illness can occasionally go undetected and without symptoms until it reaches the emergency condition, and this can be notably true in patients who do not receive routine medical care. Pharmacists are the foremost accessible health care providers. They can help patients select the most appropriate hypoglycemic management strategy through their experiences. This review aimed to provide an overview of the literature published on community pharmacists’ interventions that are currently used and their usefulness in improving patient adherence and glycosylated hemoglobin (HbA1c) levels. Relevant studies were retrieved through a comprehensive search of three databases, PubMed/Medline, Web of Science, and CINAHL (2010 to 2020). In total, 8362 publications were identified. The final protocol was based on the “Preferred Reporting Items for Systematic Review and Meta-Analysis (PRISMA)”. After applying inclusion and exclusion measures, 21 articles were deemed relevant. In pharmacists’ interventions in diabetes care, patient education and counseling were the most common intervention methods. Essentially, this systematic review provides evidence and identifies the key features that may predict success in enhancing clinical outcomes and patient adherence to treatment. Based on our findings, we suggest further investigations of the root causes of non-adherence problems.","author":[{"dropping-particle":"","family":"Assaf","given":"Sarah","non-dropping-particle":"Al","parse-names":false,"suffix":""},{"dropping-particle":"","family":"Zelko","given":"Romana","non-dropping-particle":"","parse-names":false,"suffix":""},{"dropping-particle":"","family":"Hanko","given":"Balazs","non-dropping-particle":"","parse-names":false,"suffix":""}],"container-title":"International Journal of Environmental Research and Public Health","id":"ITEM-1","issue":"10","issued":{"date-parts":[["2022"]]},"title":"The Effect of Interventions Led by Community Pharmacists in Primary Care for Adults with Type 2 Diabetes Mellitus on Therapeutic Adherence and HbA1c Levels: A Systematic Review","type":"article-journal","volume":"19"},"uris":["http://www.mendeley.com/documents/?uuid=03eb66c1-df31-4fbe-8973-6fb41167a258"]}],"mendeley":{"formattedCitation":"(Al Assaf, Zelko and Hanko, 2022)","plainTextFormattedCitation":"(Al Assaf, Zelko and Hanko, 2022)","previouslyFormattedCitation":"(Al Assaf, Zelko and Hanko, 2022)"},"properties":{"noteIndex":0},"schema":"https://github.com/citation-style-language/schema/raw/master/csl-citation.json"}</w:instrText>
            </w:r>
            <w:r>
              <w:rPr>
                <w:rFonts w:ascii="Arial" w:eastAsia="Times New Roman" w:hAnsi="Arial" w:cs="Arial"/>
                <w:noProof/>
                <w:color w:val="000000"/>
                <w:sz w:val="20"/>
                <w:szCs w:val="20"/>
                <w:lang w:val="en-GB"/>
              </w:rPr>
              <w:fldChar w:fldCharType="separate"/>
            </w:r>
            <w:r w:rsidRPr="00770385">
              <w:rPr>
                <w:rFonts w:ascii="Arial" w:eastAsia="Times New Roman" w:hAnsi="Arial" w:cs="Arial"/>
                <w:noProof/>
                <w:color w:val="000000"/>
                <w:sz w:val="20"/>
                <w:szCs w:val="20"/>
                <w:lang w:val="en-GB"/>
              </w:rPr>
              <w:t>(Al Assaf, Zelko and Hanko, 2022)</w:t>
            </w:r>
            <w:r>
              <w:rPr>
                <w:rFonts w:ascii="Arial" w:eastAsia="Times New Roman" w:hAnsi="Arial" w:cs="Arial"/>
                <w:noProof/>
                <w:color w:val="000000"/>
                <w:sz w:val="20"/>
                <w:szCs w:val="20"/>
                <w:lang w:val="en-GB"/>
              </w:rPr>
              <w:fldChar w:fldCharType="end"/>
            </w:r>
            <w:r>
              <w:rPr>
                <w:rFonts w:ascii="Arial" w:eastAsia="Times New Roman" w:hAnsi="Arial" w:cs="Arial"/>
                <w:noProof/>
                <w:color w:val="000000"/>
                <w:sz w:val="20"/>
                <w:szCs w:val="20"/>
                <w:lang w:val="en-GB"/>
              </w:rPr>
              <w:t xml:space="preserve">, </w:t>
            </w:r>
            <w:r>
              <w:rPr>
                <w:rFonts w:ascii="Arial" w:eastAsia="Times New Roman" w:hAnsi="Arial" w:cs="Arial"/>
                <w:noProof/>
                <w:color w:val="000000"/>
                <w:sz w:val="20"/>
                <w:szCs w:val="20"/>
                <w:lang w:val="nl-NL"/>
              </w:rPr>
              <w:fldChar w:fldCharType="begin" w:fldLock="1"/>
            </w:r>
            <w:r>
              <w:rPr>
                <w:rFonts w:ascii="Arial" w:eastAsia="Times New Roman" w:hAnsi="Arial" w:cs="Arial"/>
                <w:noProof/>
                <w:color w:val="000000"/>
                <w:sz w:val="20"/>
                <w:szCs w:val="20"/>
                <w:lang w:val="nl-NL"/>
              </w:rPr>
              <w:instrText>ADDIN CSL_CITATION {"citationItems":[{"id":"ITEM-1","itemData":{"DOI":"10.1016/j.japh.2021.12.015","ISSN":"15443450","PMID":"35027281","abstract":"Background: There is a growing shortage of primary care physicians. Pharmacists can fill the gap, and interdisciplinary teams are being evaluated as part of health care reform. Objective: This study aimed to determine whether adding a pharmacist to an interprofessional health team will improve diabetes outcomes. Methods: In this 2-phase pilot study, Medicaid-eligible patients with diabetes were randomized to receive standard of care (control arm) or standard of care plus the care of a pharmacist (intervention arm) for 12 months (phase 1). The primary outcome was change in glycated hemoglobin (A1C) from baseline. Secondary outcomes included identifying and correcting medication therapy problems (MTPs) for comorbid conditions, adherence to preventive care visits, health care utilization, self-rated health, and satisfaction surveys. After phase 1, patients in the control arm who did not achieve an A1C of &lt; 8% were eligible to enroll into phase 2 where they received treatment with a pharmacist for 6 months. Results: Of the 239 patients enrolled, 122 completed phase 1. At 12 months, intervention patients’ mean A1C was 1.85 percentage point (pp) below baseline versus 0.94 pp for control (between-group difference 0.91 pp; P = 0.0218). Most control patients (79%) who completed phase 1 and enrolled into phase 2 improved their A1C by more than 1 pp (P &lt; 0.01). The pharmacists completed 806 patient visits and identified 2638 MTPs. Intervention patients were more adherent to preventive care visits with nutrition (P = 0.043), ophthalmology (P = 0.002), and dentistry (P = 0.007). For intervention patients, 78% rated their experience with the pharmacist as excellent whereas, for control patients, 37% rated their experience with their provider as excellent. Conclusion: Pharmacist comanagement of patients with diab</w:instrText>
            </w:r>
            <w:r w:rsidRPr="00A87C73">
              <w:rPr>
                <w:rFonts w:ascii="Arial" w:eastAsia="Times New Roman" w:hAnsi="Arial" w:cs="Arial"/>
                <w:noProof/>
                <w:color w:val="000000"/>
                <w:sz w:val="20"/>
                <w:szCs w:val="20"/>
              </w:rPr>
              <w:instrText>etes can significantly improve glucose control and patient satisfaction. Creative payment models were used to include pharmacists in the interprofessional patient care team.","author":[{"dropping-particle":"","family":"Wagner","given":"Mary L.","non-dropping-particle":"","parse-names":false,"suffix":""},{"dropping-particle":"","family":"McCarthy","given":"Caitlin","non-dropping-particle":"","parse-names":false,"suffix":""},{"dropping-particle":"","family":"Bateman","given":"M. Thomas","non-dropping-particle":"","parse-names":false,"suffix":""},{"dropping-particle":"","family":"Simmons","given":"Daniel","non-dropping-particle":"","parse-names":false,"suffix":""},{"dropping-particle":"","family":"Prioli","given":"Katherine M.","non-dropping-particle":"","parse-names":false,"suffix":""}],"container-title":"Journal of the American Pharmacists Association","id":"ITEM-1","issue":"3","issued":{"date-parts":[["2022"]]},"page":"775-782.e3","publisher":"American Pharmacists Association®","title":"Pharmacists improve diabetes outcomes: a randomized controlled trial","type":"article-journal","volume":"62"},"uris":["http://www.mendeley.com/documents/?uuid=34bb99b6-2c20-4cd3-9a92-b8ce9fbc53d5"]}],"mendeley":{"formattedCitation":"(Wagner &lt;i&gt;et al.&lt;/i&gt;, 2022)","plainTextFormattedCitation":"(Wagner et al., 2022)","previouslyFormattedCitation":"(Wagner &lt;i&gt;et al.&lt;/i&gt;, 2022)"},"properties":{"noteIndex":0},"schema":"https://github.com/citation-style-language/schema/raw/master/csl-citation.json"}</w:instrText>
            </w:r>
            <w:r>
              <w:rPr>
                <w:rFonts w:ascii="Arial" w:eastAsia="Times New Roman" w:hAnsi="Arial" w:cs="Arial"/>
                <w:noProof/>
                <w:color w:val="000000"/>
                <w:sz w:val="20"/>
                <w:szCs w:val="20"/>
                <w:lang w:val="nl-NL"/>
              </w:rPr>
              <w:fldChar w:fldCharType="separate"/>
            </w:r>
            <w:r w:rsidRPr="00A87C73">
              <w:rPr>
                <w:rFonts w:ascii="Arial" w:eastAsia="Times New Roman" w:hAnsi="Arial" w:cs="Arial"/>
                <w:noProof/>
                <w:color w:val="000000"/>
                <w:sz w:val="20"/>
                <w:szCs w:val="20"/>
              </w:rPr>
              <w:t xml:space="preserve">(Wagner </w:t>
            </w:r>
            <w:r w:rsidRPr="00A87C73">
              <w:rPr>
                <w:rFonts w:ascii="Arial" w:eastAsia="Times New Roman" w:hAnsi="Arial" w:cs="Arial"/>
                <w:i/>
                <w:noProof/>
                <w:color w:val="000000"/>
                <w:sz w:val="20"/>
                <w:szCs w:val="20"/>
              </w:rPr>
              <w:t>et al.</w:t>
            </w:r>
            <w:r w:rsidRPr="00A87C73">
              <w:rPr>
                <w:rFonts w:ascii="Arial" w:eastAsia="Times New Roman" w:hAnsi="Arial" w:cs="Arial"/>
                <w:noProof/>
                <w:color w:val="000000"/>
                <w:sz w:val="20"/>
                <w:szCs w:val="20"/>
              </w:rPr>
              <w:t>, 2022)</w:t>
            </w:r>
            <w:r>
              <w:rPr>
                <w:rFonts w:ascii="Arial" w:eastAsia="Times New Roman" w:hAnsi="Arial" w:cs="Arial"/>
                <w:noProof/>
                <w:color w:val="000000"/>
                <w:sz w:val="20"/>
                <w:szCs w:val="20"/>
                <w:lang w:val="nl-NL"/>
              </w:rPr>
              <w:fldChar w:fldCharType="end"/>
            </w:r>
          </w:p>
        </w:tc>
      </w:tr>
      <w:tr w:rsidR="00941883" w:rsidRPr="007C5B3D" w14:paraId="7D7213E2" w14:textId="77777777" w:rsidTr="00282204">
        <w:trPr>
          <w:trHeight w:val="536"/>
        </w:trPr>
        <w:tc>
          <w:tcPr>
            <w:tcW w:w="1854" w:type="dxa"/>
            <w:tcBorders>
              <w:top w:val="single" w:sz="4" w:space="0" w:color="auto"/>
              <w:bottom w:val="single" w:sz="4" w:space="0" w:color="auto"/>
            </w:tcBorders>
            <w:shd w:val="clear" w:color="auto" w:fill="auto"/>
            <w:vAlign w:val="center"/>
          </w:tcPr>
          <w:p w14:paraId="1AB1E660" w14:textId="77777777" w:rsidR="00941883" w:rsidRPr="00A87C73" w:rsidRDefault="00941883" w:rsidP="00282204">
            <w:pPr>
              <w:spacing w:after="0" w:line="240" w:lineRule="auto"/>
              <w:rPr>
                <w:rFonts w:ascii="Arial" w:eastAsia="Times New Roman" w:hAnsi="Arial" w:cs="Arial"/>
                <w:color w:val="000000"/>
                <w:sz w:val="20"/>
                <w:szCs w:val="20"/>
              </w:rPr>
            </w:pPr>
            <w:r w:rsidRPr="00A87C73">
              <w:rPr>
                <w:rFonts w:ascii="Arial" w:eastAsia="Times New Roman" w:hAnsi="Arial" w:cs="Arial"/>
                <w:color w:val="000000"/>
                <w:sz w:val="20"/>
                <w:szCs w:val="20"/>
              </w:rPr>
              <w:t>Clinician education</w:t>
            </w:r>
            <w:r w:rsidRPr="00A87C73">
              <w:rPr>
                <w:rFonts w:ascii="Arial" w:eastAsia="Times New Roman" w:hAnsi="Arial" w:cs="Arial"/>
                <w:noProof/>
                <w:color w:val="000000"/>
                <w:sz w:val="20"/>
                <w:szCs w:val="20"/>
              </w:rPr>
              <w:t xml:space="preserve"> </w:t>
            </w:r>
          </w:p>
        </w:tc>
        <w:tc>
          <w:tcPr>
            <w:tcW w:w="6156" w:type="dxa"/>
            <w:tcBorders>
              <w:top w:val="single" w:sz="4" w:space="0" w:color="auto"/>
              <w:bottom w:val="single" w:sz="4" w:space="0" w:color="auto"/>
            </w:tcBorders>
            <w:shd w:val="clear" w:color="auto" w:fill="auto"/>
            <w:vAlign w:val="center"/>
          </w:tcPr>
          <w:p w14:paraId="35DFA7F3" w14:textId="77777777" w:rsidR="00941883" w:rsidRPr="00A87C73" w:rsidRDefault="00941883" w:rsidP="00941883">
            <w:pPr>
              <w:pStyle w:val="ListParagraph"/>
              <w:numPr>
                <w:ilvl w:val="0"/>
                <w:numId w:val="33"/>
              </w:numPr>
              <w:spacing w:after="0" w:line="240" w:lineRule="auto"/>
              <w:jc w:val="both"/>
              <w:rPr>
                <w:rFonts w:ascii="Arial" w:eastAsia="Times New Roman" w:hAnsi="Arial" w:cs="Arial"/>
                <w:color w:val="000000"/>
                <w:sz w:val="20"/>
                <w:szCs w:val="20"/>
              </w:rPr>
            </w:pPr>
            <w:r w:rsidRPr="00A87C73">
              <w:rPr>
                <w:rFonts w:ascii="Arial" w:eastAsia="Times New Roman" w:hAnsi="Arial" w:cs="Arial"/>
                <w:color w:val="000000"/>
                <w:sz w:val="20"/>
                <w:szCs w:val="20"/>
              </w:rPr>
              <w:t>A pharmacist providing education sessions to improve prescribing of anti-diabetic medications in order to provide effective treatment for diabetes</w:t>
            </w:r>
          </w:p>
          <w:p w14:paraId="603ADC28" w14:textId="77777777" w:rsidR="00941883" w:rsidRPr="00A87C73" w:rsidRDefault="00941883" w:rsidP="00282204">
            <w:pPr>
              <w:spacing w:after="0" w:line="240" w:lineRule="auto"/>
              <w:rPr>
                <w:rFonts w:ascii="Arial" w:eastAsia="Times New Roman" w:hAnsi="Arial" w:cs="Arial"/>
                <w:color w:val="000000"/>
                <w:sz w:val="20"/>
                <w:szCs w:val="20"/>
              </w:rPr>
            </w:pPr>
          </w:p>
        </w:tc>
        <w:tc>
          <w:tcPr>
            <w:tcW w:w="5396" w:type="dxa"/>
            <w:tcBorders>
              <w:top w:val="single" w:sz="4" w:space="0" w:color="auto"/>
              <w:bottom w:val="single" w:sz="4" w:space="0" w:color="auto"/>
            </w:tcBorders>
            <w:shd w:val="clear" w:color="auto" w:fill="auto"/>
            <w:vAlign w:val="center"/>
          </w:tcPr>
          <w:p w14:paraId="4D1CE44A" w14:textId="77777777" w:rsidR="00941883" w:rsidRPr="00A87C73" w:rsidRDefault="00941883" w:rsidP="00282204">
            <w:pPr>
              <w:spacing w:after="0" w:line="240" w:lineRule="auto"/>
              <w:rPr>
                <w:rFonts w:ascii="Arial" w:eastAsia="Times New Roman" w:hAnsi="Arial" w:cs="Arial"/>
                <w:color w:val="000000"/>
                <w:sz w:val="20"/>
                <w:szCs w:val="20"/>
              </w:rPr>
            </w:pPr>
            <w:r w:rsidRPr="00A87C73">
              <w:rPr>
                <w:rFonts w:ascii="Arial" w:eastAsia="Times New Roman" w:hAnsi="Arial" w:cs="Arial"/>
                <w:noProof/>
                <w:color w:val="000000"/>
                <w:sz w:val="20"/>
                <w:szCs w:val="20"/>
              </w:rPr>
              <w:t>(Aldraimly et al., 2019)</w:t>
            </w:r>
          </w:p>
          <w:p w14:paraId="686ECB17" w14:textId="77777777" w:rsidR="00941883" w:rsidRPr="00A87C73" w:rsidRDefault="00941883" w:rsidP="00282204">
            <w:pPr>
              <w:spacing w:after="0" w:line="240" w:lineRule="auto"/>
              <w:rPr>
                <w:rFonts w:ascii="Arial" w:eastAsia="Times New Roman" w:hAnsi="Arial" w:cs="Arial"/>
                <w:noProof/>
                <w:color w:val="000000"/>
                <w:sz w:val="20"/>
                <w:szCs w:val="20"/>
              </w:rPr>
            </w:pPr>
          </w:p>
        </w:tc>
      </w:tr>
    </w:tbl>
    <w:p w14:paraId="1C71BFD6" w14:textId="77777777" w:rsidR="00941883" w:rsidRPr="00A87C73" w:rsidRDefault="00941883" w:rsidP="00941883">
      <w:pPr>
        <w:tabs>
          <w:tab w:val="left" w:pos="1760"/>
        </w:tabs>
        <w:rPr>
          <w:rFonts w:cs="Arial"/>
          <w:sz w:val="16"/>
          <w:szCs w:val="16"/>
        </w:rPr>
      </w:pPr>
      <w:r w:rsidRPr="00A87C73">
        <w:rPr>
          <w:rFonts w:cs="Arial"/>
          <w:sz w:val="16"/>
          <w:szCs w:val="16"/>
        </w:rPr>
        <w:tab/>
      </w:r>
    </w:p>
    <w:p w14:paraId="52D93C99" w14:textId="77777777" w:rsidR="00941883" w:rsidRPr="00A87C73" w:rsidRDefault="00941883" w:rsidP="00941883">
      <w:pPr>
        <w:tabs>
          <w:tab w:val="left" w:pos="1760"/>
        </w:tabs>
        <w:rPr>
          <w:rFonts w:cs="Arial"/>
          <w:sz w:val="16"/>
          <w:szCs w:val="16"/>
        </w:rPr>
      </w:pPr>
    </w:p>
    <w:p w14:paraId="72F69AD6" w14:textId="77777777" w:rsidR="00941883" w:rsidRPr="00A87C73" w:rsidRDefault="00941883" w:rsidP="00941883">
      <w:pPr>
        <w:spacing w:line="360" w:lineRule="auto"/>
        <w:jc w:val="both"/>
        <w:rPr>
          <w:rFonts w:ascii="Arial" w:hAnsi="Arial" w:cs="Arial"/>
          <w:color w:val="00B050"/>
          <w:sz w:val="24"/>
          <w:szCs w:val="24"/>
          <w:shd w:val="clear" w:color="auto" w:fill="FFFFFF"/>
        </w:rPr>
      </w:pPr>
    </w:p>
    <w:p w14:paraId="799EFB1A" w14:textId="77777777" w:rsidR="00941883" w:rsidRDefault="00941883" w:rsidP="00941883">
      <w:pPr>
        <w:spacing w:line="360" w:lineRule="auto"/>
        <w:jc w:val="both"/>
        <w:rPr>
          <w:rFonts w:ascii="Arial" w:hAnsi="Arial" w:cs="Arial"/>
          <w:color w:val="00B050"/>
          <w:sz w:val="24"/>
          <w:szCs w:val="24"/>
          <w:shd w:val="clear" w:color="auto" w:fill="FFFFFF"/>
        </w:rPr>
        <w:sectPr w:rsidR="00941883" w:rsidSect="005F2D78">
          <w:pgSz w:w="15840" w:h="12240" w:orient="landscape"/>
          <w:pgMar w:top="1440" w:right="1440" w:bottom="1440" w:left="1440" w:header="720" w:footer="720" w:gutter="0"/>
          <w:pgNumType w:start="46" w:chapStyle="1"/>
          <w:cols w:space="720"/>
          <w:docGrid w:linePitch="360"/>
        </w:sectPr>
      </w:pPr>
    </w:p>
    <w:p w14:paraId="478BB00F" w14:textId="2B3203BD" w:rsidR="0088188E" w:rsidRDefault="0088188E" w:rsidP="00941883">
      <w:pPr>
        <w:tabs>
          <w:tab w:val="left" w:pos="5670"/>
        </w:tabs>
        <w:spacing w:line="360" w:lineRule="auto"/>
        <w:jc w:val="both"/>
        <w:rPr>
          <w:rFonts w:ascii="Arial" w:hAnsi="Arial" w:cs="Arial"/>
          <w:color w:val="00B050"/>
          <w:sz w:val="24"/>
          <w:szCs w:val="24"/>
          <w:lang w:val="en-GB"/>
        </w:rPr>
      </w:pPr>
    </w:p>
    <w:p w14:paraId="48FFC1D0" w14:textId="508C3877" w:rsidR="00AF260B" w:rsidRPr="00745BDA" w:rsidRDefault="000D1AC1">
      <w:pPr>
        <w:pStyle w:val="Heading3"/>
        <w:spacing w:line="257" w:lineRule="auto"/>
        <w:ind w:left="504"/>
        <w:rPr>
          <w:color w:val="2F5496" w:themeColor="accent1" w:themeShade="BF"/>
        </w:rPr>
      </w:pPr>
      <w:bookmarkStart w:id="58" w:name="_Toc153894155"/>
      <w:r w:rsidRPr="00745BDA">
        <w:rPr>
          <w:rFonts w:eastAsiaTheme="minorHAnsi" w:cs="Arial"/>
          <w:color w:val="2F5496" w:themeColor="accent1" w:themeShade="BF"/>
          <w:lang w:val="en-GB"/>
        </w:rPr>
        <w:t>Global literature on pharmacist impact and involvement</w:t>
      </w:r>
      <w:bookmarkEnd w:id="58"/>
    </w:p>
    <w:p w14:paraId="6153CE6E" w14:textId="50C93A7B" w:rsidR="00237799" w:rsidRPr="00467EDF" w:rsidRDefault="000D789A" w:rsidP="005333E4">
      <w:pPr>
        <w:tabs>
          <w:tab w:val="left" w:pos="5670"/>
        </w:tabs>
        <w:spacing w:line="360" w:lineRule="auto"/>
        <w:jc w:val="both"/>
        <w:rPr>
          <w:rFonts w:ascii="Arial" w:hAnsi="Arial" w:cs="Arial"/>
          <w:sz w:val="24"/>
          <w:szCs w:val="24"/>
        </w:rPr>
      </w:pPr>
      <w:r w:rsidRPr="00876389">
        <w:rPr>
          <w:rFonts w:ascii="Arial" w:hAnsi="Arial" w:cs="Arial"/>
          <w:sz w:val="24"/>
          <w:szCs w:val="24"/>
        </w:rPr>
        <w:t xml:space="preserve">Pharmacists’ intervention in diabetes management have been evaluated by several systematic reviews and meta-analyses drawing on a range of research design including RCTs. These studies will be presented in this section by focusing on a description of the impacts of pharmacists' interventions on diabetes management including </w:t>
      </w:r>
      <w:r w:rsidRPr="00876389">
        <w:rPr>
          <w:rFonts w:ascii="Arial" w:hAnsi="Arial" w:cs="Arial"/>
          <w:sz w:val="24"/>
          <w:szCs w:val="24"/>
          <w:lang w:val="en-GB"/>
        </w:rPr>
        <w:t xml:space="preserve">clinical, economic, </w:t>
      </w:r>
      <w:r w:rsidRPr="00876389">
        <w:rPr>
          <w:rFonts w:ascii="Arial" w:hAnsi="Arial" w:cs="Arial"/>
          <w:sz w:val="24"/>
          <w:szCs w:val="24"/>
        </w:rPr>
        <w:t>and humanistic outcomes</w:t>
      </w:r>
      <w:r w:rsidR="005C5F9C" w:rsidRPr="00467EDF">
        <w:rPr>
          <w:rFonts w:ascii="Arial" w:hAnsi="Arial" w:cs="Arial"/>
          <w:sz w:val="24"/>
          <w:szCs w:val="24"/>
        </w:rPr>
        <w:t>. Then</w:t>
      </w:r>
      <w:r w:rsidR="009D4F09" w:rsidRPr="00467EDF">
        <w:rPr>
          <w:rFonts w:ascii="Arial" w:hAnsi="Arial" w:cs="Arial"/>
          <w:sz w:val="24"/>
          <w:szCs w:val="24"/>
        </w:rPr>
        <w:t>,</w:t>
      </w:r>
      <w:r w:rsidR="00FF76B5" w:rsidRPr="00467EDF">
        <w:rPr>
          <w:rFonts w:ascii="Arial" w:hAnsi="Arial" w:cs="Arial"/>
          <w:sz w:val="24"/>
          <w:szCs w:val="24"/>
        </w:rPr>
        <w:t xml:space="preserve"> </w:t>
      </w:r>
      <w:r w:rsidR="00FC1057" w:rsidRPr="00467EDF">
        <w:rPr>
          <w:rFonts w:ascii="Arial" w:hAnsi="Arial" w:cs="Arial"/>
          <w:sz w:val="24"/>
          <w:szCs w:val="24"/>
        </w:rPr>
        <w:t>p</w:t>
      </w:r>
      <w:r w:rsidR="00FF76B5" w:rsidRPr="00467EDF">
        <w:rPr>
          <w:rFonts w:ascii="Arial" w:hAnsi="Arial" w:cs="Arial"/>
          <w:sz w:val="24"/>
          <w:szCs w:val="24"/>
        </w:rPr>
        <w:t>harmacist involvement in diabetes management focusing on multidisciplinary teams (MDT)</w:t>
      </w:r>
      <w:r w:rsidR="009D4F09" w:rsidRPr="00467EDF">
        <w:rPr>
          <w:rFonts w:ascii="Arial" w:hAnsi="Arial" w:cs="Arial"/>
          <w:sz w:val="24"/>
          <w:szCs w:val="24"/>
        </w:rPr>
        <w:t xml:space="preserve"> </w:t>
      </w:r>
      <w:r w:rsidR="00CD6421" w:rsidRPr="00467EDF">
        <w:rPr>
          <w:rFonts w:ascii="Arial" w:hAnsi="Arial" w:cs="Arial"/>
          <w:sz w:val="24"/>
          <w:szCs w:val="24"/>
        </w:rPr>
        <w:t>will be presented</w:t>
      </w:r>
      <w:r w:rsidR="00FC1057" w:rsidRPr="00467EDF">
        <w:rPr>
          <w:rFonts w:ascii="Arial" w:hAnsi="Arial" w:cs="Arial"/>
          <w:sz w:val="24"/>
          <w:szCs w:val="24"/>
        </w:rPr>
        <w:t>.</w:t>
      </w:r>
    </w:p>
    <w:p w14:paraId="07A865E3" w14:textId="2E84C411" w:rsidR="00855CEE" w:rsidRPr="00876389" w:rsidRDefault="00446458" w:rsidP="00876389">
      <w:pPr>
        <w:pStyle w:val="Heading4"/>
        <w:spacing w:after="240"/>
        <w:rPr>
          <w:rFonts w:asciiTheme="minorBidi" w:hAnsiTheme="minorBidi"/>
          <w:color w:val="00B050"/>
          <w:sz w:val="28"/>
          <w:szCs w:val="28"/>
        </w:rPr>
      </w:pPr>
      <w:r w:rsidRPr="00876389">
        <w:rPr>
          <w:rFonts w:asciiTheme="minorBidi" w:hAnsiTheme="minorBidi" w:cstheme="minorBidi"/>
          <w:sz w:val="24"/>
          <w:szCs w:val="24"/>
          <w:shd w:val="clear" w:color="auto" w:fill="FFFFFF"/>
        </w:rPr>
        <w:t>2.3.6.1</w:t>
      </w:r>
      <w:r w:rsidR="00DE0BB4">
        <w:rPr>
          <w:rFonts w:asciiTheme="minorBidi" w:hAnsiTheme="minorBidi" w:cstheme="minorBidi"/>
          <w:sz w:val="24"/>
          <w:szCs w:val="24"/>
          <w:shd w:val="clear" w:color="auto" w:fill="FFFFFF"/>
        </w:rPr>
        <w:t>.</w:t>
      </w:r>
      <w:r w:rsidRPr="00876389">
        <w:rPr>
          <w:rFonts w:asciiTheme="minorBidi" w:hAnsiTheme="minorBidi" w:cstheme="minorBidi"/>
          <w:sz w:val="24"/>
          <w:szCs w:val="24"/>
          <w:shd w:val="clear" w:color="auto" w:fill="FFFFFF"/>
        </w:rPr>
        <w:t xml:space="preserve"> Global literature: Impact of pharmacists' interventions on clinical, economic and humanistic outcomes</w:t>
      </w:r>
    </w:p>
    <w:p w14:paraId="4067AAA6" w14:textId="071AFE33" w:rsidR="00941883" w:rsidRPr="00EC6E4A" w:rsidRDefault="00AE4EE9" w:rsidP="00402D29">
      <w:pPr>
        <w:spacing w:line="360" w:lineRule="auto"/>
        <w:jc w:val="both"/>
        <w:rPr>
          <w:rFonts w:ascii="Arial" w:hAnsi="Arial" w:cs="Arial"/>
          <w:sz w:val="24"/>
          <w:szCs w:val="24"/>
        </w:rPr>
      </w:pPr>
      <w:r w:rsidRPr="00EC6E4A">
        <w:rPr>
          <w:rFonts w:ascii="Arial" w:hAnsi="Arial" w:cs="Arial"/>
          <w:sz w:val="24"/>
          <w:szCs w:val="24"/>
        </w:rPr>
        <w:t xml:space="preserve">Overall, most of the included studies in this review demonstrated positive outcomes of pharmacists’ interventions on clinical, economic, and humanistic outcomes. For example, a review of systematic reviews </w:t>
      </w:r>
      <w:r w:rsidRPr="00EC6E4A">
        <w:rPr>
          <w:rFonts w:asciiTheme="minorBidi" w:hAnsiTheme="minorBidi"/>
        </w:rPr>
        <w:fldChar w:fldCharType="begin" w:fldLock="1"/>
      </w:r>
      <w:r w:rsidRPr="00EC6E4A">
        <w:rPr>
          <w:rFonts w:asciiTheme="minorBidi" w:hAnsiTheme="minorBidi"/>
        </w:rPr>
        <w:instrText>ADDIN CSL_CITATION {"citationItems":[{"id":"ITEM-1","itemData":{"DOI":"10.2147/iprp.s103783","ISSN":"2230-5254","abstract":"Type 2 diabetes is a chronic disease occurring in ever increasing numbers worldwide. It contributes significantly to the cost of health globally; however, its management remains in the most part less than optimal. Patients must be empowered to self-manage their disease, and they do this in partnership with health care professionals. Whilst the traditional role of the pharmacist has been centered around the supply of medicines and patient counseling, there is an evergrowing body of evidence that pharmacists, through a range of extended services, may contribute positively to the clinical and humanistic outcomes of those with diabetes. Further, these services can be delivered cost-effectively. This paper provides a review of the current evidence supporting the role of pharmacists in diabetes care, whilst providing a commentary of the future roles of pharmacists in this area.","author":[{"dropping-particle":"","family":"Hughes","given":"Jeffery","non-dropping-particle":"","parse-names":false,"suffix":""},{"dropping-particle":"","family":"Wibowo","given":"Yosi","non-dropping-particle":"","parse-names":false,"suffix":""},{"dropping-particle":"","family":"Sunderland","given":"Bruce","non-dropping-particle":"","parse-names":false,"suffix":""},{"dropping-particle":"","family":"Hoti","given":"Kreshnik","non-dropping-particle":"","parse-names":false,"suffix":""}],"container-title":"Integrated Pharmacy Research and Practice","id":"ITEM-1","issued":{"date-parts":[["2017"]]},"page":"15-27","title":"The role of the pharmacist in the management of type 2 diabetes: current insights and future directions","type":"article-journal","volume":"Volume 6"},"uris":["http://www.mendeley.com/documents/?uuid=a2c3ea65-5db9-428b-8c01-78eeb7569be3"]}],"mendeley":{"formattedCitation":"(Hughes &lt;i&gt;et al.&lt;/i&gt;, 2017)","plainTextFormattedCitation":"(Hughes et al., 2017)","previouslyFormattedCitation":"(Hughes &lt;i&gt;et al.&lt;/i&gt;, 2017)"},"properties":{"noteIndex":0},"schema":"https://github.com/citation-style-language/schema/raw/master/csl-citation.json"}</w:instrText>
      </w:r>
      <w:r w:rsidRPr="00EC6E4A">
        <w:rPr>
          <w:rFonts w:asciiTheme="minorBidi" w:hAnsiTheme="minorBidi"/>
        </w:rPr>
        <w:fldChar w:fldCharType="separate"/>
      </w:r>
      <w:r w:rsidRPr="00EC6E4A">
        <w:rPr>
          <w:rFonts w:asciiTheme="minorBidi" w:hAnsiTheme="minorBidi"/>
          <w:noProof/>
        </w:rPr>
        <w:t xml:space="preserve">(Hughes </w:t>
      </w:r>
      <w:r w:rsidRPr="00EC6E4A">
        <w:rPr>
          <w:rFonts w:asciiTheme="minorBidi" w:hAnsiTheme="minorBidi"/>
          <w:i/>
          <w:noProof/>
        </w:rPr>
        <w:t>et al.</w:t>
      </w:r>
      <w:r w:rsidRPr="00EC6E4A">
        <w:rPr>
          <w:rFonts w:asciiTheme="minorBidi" w:hAnsiTheme="minorBidi"/>
          <w:noProof/>
        </w:rPr>
        <w:t>, 2017)</w:t>
      </w:r>
      <w:r w:rsidRPr="00EC6E4A">
        <w:rPr>
          <w:rFonts w:asciiTheme="minorBidi" w:hAnsiTheme="minorBidi"/>
        </w:rPr>
        <w:fldChar w:fldCharType="end"/>
      </w:r>
      <w:r w:rsidRPr="00EC6E4A">
        <w:rPr>
          <w:rFonts w:ascii="Arial" w:hAnsi="Arial" w:cs="Arial"/>
          <w:sz w:val="24"/>
          <w:szCs w:val="24"/>
        </w:rPr>
        <w:t xml:space="preserve"> evaluated pharmacists' interventions in diabetes management. This review found positive effects on clinical, humanistic, and economic outcomes from pharmacists' interventions in diabetes care in all systematic reviews included in this study, supporting the role of pharmacists in diabetes care. The role of clinical pharmacists in managing diabetic patients was also reported by the narrative review published by </w:t>
      </w:r>
      <w:r w:rsidRPr="00EC6E4A">
        <w:rPr>
          <w:rFonts w:ascii="Arial" w:hAnsi="Arial" w:cs="Arial"/>
          <w:sz w:val="24"/>
          <w:szCs w:val="24"/>
        </w:rPr>
        <w:fldChar w:fldCharType="begin" w:fldLock="1"/>
      </w:r>
      <w:r w:rsidRPr="00EC6E4A">
        <w:rPr>
          <w:rFonts w:ascii="Arial" w:hAnsi="Arial" w:cs="Arial"/>
          <w:sz w:val="24"/>
          <w:szCs w:val="24"/>
        </w:rPr>
        <w:instrText>ADDIN CSL_CITATION {"citationItems":[{"id":"ITEM-1","itemData":{"DOI":"10.1016/j.jsps.2014.07.008","ISSN":"13190164","abstract":"Background Diabetes mellitus is a rapidly growing disease world-wide that is estimated to be present in 6.6% of the international population and projected to be increased by 7.8% in 2030. Treating diabetic patients is multifaceted in all aspects and they require objectives and optimum information in order to obtain the maximum benefits of their treatment and avoid complications. Pharmacists are increasingly considered as a part of the health care system. Hence, the aim of this review is to address and summarize the effectiveness of clinical pharmacists in managing diabetic patients. Method This is a narrative review of the evidence from the literature in order to answer the present question of what is the evidence of the role of clinical pharmacists in managing diabetic patients. We searched five databases including: the Cochrane library, MEDLINE, EMBASE, TRIP, and Science Direct. We will also try to look for other potentially eligible trials or ancillary publications by searching the reference lists of retrieved included trials, (systematic) reviews, meta-analyses and health technology assessment reports. Outcomes included short-term and long-term measures. Results Final search revealed nine studies. They were heterogeneous in terms of interventions, participants, settings and outcomes. Studies varied in their quality and/or reporting of their findings conducted in several settings. Majority of the studies were conducted in Western countries, one in Hong Kong and one in South India. In majority of the studies, pharmacists’ role was mainly to specify all drug-related problems including poor drug compliance and side effects and communicating these to the physician. We found that those who received the pharmacist care had a statistically significant reduction in coronary heart disease, blood pressure, HA1c, quality of life and lipid profile. Conclusion Our review demonstrated the important role of clinical pharmacists in managing diabetic patients at diverse settings worldwide. There is an urgent need to recognize and change regulations to allow shared practice agreements among physicians, pharmacists, and other allied health professionals. These mutual agreements would allow more streamlined provision of health care delivery from non-physician health professionals to participants with common health conditions.","author":[{"dropping-particle":"","family":"Alhabib","given":"Samia","non-dropping-particle":"","parse-names":false,"suffix":""},{"dropping-particle":"","family":"Aldraimly","given":"Maha","non-dropping-particle":"","parse-names":false,"suffix":""},{"dropping-particle":"","family":"Alfarhan","given":"Ali","non-dropping-particle":"","parse-names":false,"suffix":""}],"container-title":"Saudi Pharmaceutical Journal","id":"ITEM-1","issue":"4","issued":{"date-parts":[["2016"]]},"page":"441-446","publisher":"King Saud University","title":"An evolving role of clinical pharmacists in managing diabetes: Evidence from the literature","type":"article-journal","volume":"24"},"uris":["http://www.mendeley.com/documents/?uuid=7a3d8b99-22d9-4c22-bd83-7230dd60053c"]}],"mendeley":{"formattedCitation":"(Alhabib, Aldraimly and Alfarhan, 2016b)","manualFormatting":"(Alhabib et al., 2016)","plainTextFormattedCitation":"(Alhabib, Aldraimly and Alfarhan, 2016b)","previouslyFormattedCitation":"(Alhabib, Aldraimly and Alfarhan, 2016b)"},"properties":{"noteIndex":0},"schema":"https://github.com/citation-style-language/schema/raw/master/csl-citation.json"}</w:instrText>
      </w:r>
      <w:r w:rsidRPr="00EC6E4A">
        <w:rPr>
          <w:rFonts w:ascii="Arial" w:hAnsi="Arial" w:cs="Arial"/>
          <w:sz w:val="24"/>
          <w:szCs w:val="24"/>
        </w:rPr>
        <w:fldChar w:fldCharType="separate"/>
      </w:r>
      <w:r w:rsidRPr="00EC6E4A">
        <w:rPr>
          <w:rFonts w:ascii="Arial" w:hAnsi="Arial" w:cs="Arial"/>
          <w:noProof/>
          <w:sz w:val="24"/>
          <w:szCs w:val="24"/>
        </w:rPr>
        <w:t xml:space="preserve">(Alhabib </w:t>
      </w:r>
      <w:r w:rsidRPr="00EC6E4A">
        <w:rPr>
          <w:rFonts w:ascii="Arial" w:hAnsi="Arial" w:cs="Arial"/>
          <w:i/>
          <w:iCs/>
          <w:noProof/>
          <w:sz w:val="24"/>
          <w:szCs w:val="24"/>
        </w:rPr>
        <w:t>et</w:t>
      </w:r>
      <w:r w:rsidRPr="00EC6E4A">
        <w:rPr>
          <w:rFonts w:ascii="Arial" w:hAnsi="Arial" w:cs="Arial"/>
          <w:noProof/>
          <w:sz w:val="24"/>
          <w:szCs w:val="24"/>
        </w:rPr>
        <w:t xml:space="preserve"> </w:t>
      </w:r>
      <w:r w:rsidRPr="00EC6E4A">
        <w:rPr>
          <w:rFonts w:ascii="Arial" w:hAnsi="Arial" w:cs="Arial"/>
          <w:i/>
          <w:iCs/>
          <w:noProof/>
          <w:sz w:val="24"/>
          <w:szCs w:val="24"/>
        </w:rPr>
        <w:t>al.</w:t>
      </w:r>
      <w:r w:rsidRPr="00EC6E4A">
        <w:rPr>
          <w:rFonts w:ascii="Arial" w:hAnsi="Arial" w:cs="Arial"/>
          <w:noProof/>
          <w:sz w:val="24"/>
          <w:szCs w:val="24"/>
        </w:rPr>
        <w:t>, 2016)</w:t>
      </w:r>
      <w:r w:rsidRPr="00EC6E4A">
        <w:rPr>
          <w:rFonts w:ascii="Arial" w:hAnsi="Arial" w:cs="Arial"/>
          <w:sz w:val="24"/>
          <w:szCs w:val="24"/>
        </w:rPr>
        <w:fldChar w:fldCharType="end"/>
      </w:r>
      <w:r w:rsidRPr="00EC6E4A">
        <w:rPr>
          <w:rFonts w:ascii="Arial" w:hAnsi="Arial" w:cs="Arial"/>
          <w:sz w:val="24"/>
          <w:szCs w:val="24"/>
        </w:rPr>
        <w:t xml:space="preserve">. Pharmacists' interventions in this review showed statistically significant reductions in coronary heart disease, HbA1c, BP, and lipid profile. In a similar vein, an umbrella review of systematic reviews </w:t>
      </w:r>
      <w:r w:rsidRPr="00EC6E4A">
        <w:rPr>
          <w:rFonts w:ascii="Arial" w:hAnsi="Arial" w:cs="Arial"/>
          <w:sz w:val="24"/>
          <w:szCs w:val="24"/>
        </w:rPr>
        <w:fldChar w:fldCharType="begin" w:fldLock="1"/>
      </w:r>
      <w:r w:rsidRPr="00EC6E4A">
        <w:rPr>
          <w:rFonts w:ascii="Arial" w:hAnsi="Arial" w:cs="Arial"/>
          <w:sz w:val="24"/>
          <w:szCs w:val="24"/>
        </w:rPr>
        <w:instrText>ADDIN CSL_CITATION {"citationItems":[{"id":"ITEM-1","itemData":{"DOI":"10.1016/j.pcd.2019.12.007","ISSN":"18780210","PMID":"31926868","abstract":"Objective: To systematically review published systematic reviews (SRs) examining the impact of pharmacist interventions in multidisciplinary diabetes care teams on diabetes-related clinical, humanistic, and economic outcomes in primary care settings. Methods: PubMed, EMBASE, Scopus, Database of Abstracts of Reviews of Effects, Cochrane Library, Joanna Briggs Institute (JBI) Database, Google Scholar, and PROSPERO were searched from inception to 2018. Studies published in English evaluating the effect of pharmacist interventions on diabetes outcomes were included. Two independent reviewers were involved in screening of titles and abstracts, selection of studies, and methodological quality assessment. Results: Seven SRs were included in the study. Three of them included only randomized controlled trials, while the rest involved other study designs. Educational interventions by clinical pharmacists within the healthcare team were the most common types of interventions reported across all SRs. Pharmacist's interventions compared to usual care resulted in favorable significant improvements in hemoglobin A1c (HbA1c), fasting blood glucose, blood pressure, body mass index, total cholesterol, low density lipoprotein, high density lipoprotein and triglycerides in more than 50% of the SRs. Improvement in HbA1c was the mostly reported clinical outcome of pharmacist intervention in the literature (reported in six SRs). Pharmacist's interventions led to significant cost-saving ($8–$85,000 per person per year), cost-utility, and cost-benefit (benefit-to-cost ratio range from 1:1 to 8.5:1) versus usual care. Pharmacist's interventions improved patients’ quality of life (QoL) in three SRs; however, no conclusion can be drawn due to the use of diverse QoL assessment tools. Conclusions: Most SRs support the benefit of pharmacist care on diabetes-related clinical, humanistic, and economic outcomes in primary care settings. Improvements in diabetes outcomes can significantly reduce the burden of diabetes on healthcare system. Hence, the incorporation of pharmacists into multidisciplinary diabetes care teams is beneficial and should be strongly considered by clinicians and health policymakers.","author":[{"dropping-particle":"","family":"Abdulrhim","given":"Sara","non-dropping-particle":"","parse-names":false,"suffix":""},{"dropping-particle":"","family":"Sankaralingam","given":"Sowndramalingam","non-dropping-particle":"","parse-names":false,"suffix":""},{"dropping-particle":"","family":"Ibrahim","given":"Mohamed Izham Mohamed","non-dropping-particle":"","parse-names":false,"suffix":""},{"dropping-particle":"","family":"Awaisu","given":"Ahmed","non-dropping-particle":"","parse-names":false,"suffix":""}],"container-title":"Primary Care Diabetes","id":"ITEM-1","issue":"5","issued":{"date-parts":[["2020"]]},"page":"393-400","publisher":"Primary Care Diabetes Europe","title":"The impact of pharmacist care on diabetes outcomes in primary care settings: An umbrella review of published systematic reviews","type":"article-journal","volume":"14"},"uris":["http://www.mendeley.com/documents/?uuid=a7eb446a-de47-457d-997b-74af713305a0"]}],"mendeley":{"formattedCitation":"(Abdulrhim &lt;i&gt;et al.&lt;/i&gt;, 2020)","plainTextFormattedCitation":"(Abdulrhim et al., 2020)","previouslyFormattedCitation":"(Abdulrhim &lt;i&gt;et al.&lt;/i&gt;, 2020)"},"properties":{"noteIndex":0},"schema":"https://github.com/citation-style-language/schema/raw/master/csl-citation.json"}</w:instrText>
      </w:r>
      <w:r w:rsidRPr="00EC6E4A">
        <w:rPr>
          <w:rFonts w:ascii="Arial" w:hAnsi="Arial" w:cs="Arial"/>
          <w:sz w:val="24"/>
          <w:szCs w:val="24"/>
        </w:rPr>
        <w:fldChar w:fldCharType="separate"/>
      </w:r>
      <w:r w:rsidRPr="00EC6E4A">
        <w:rPr>
          <w:rFonts w:ascii="Arial" w:hAnsi="Arial" w:cs="Arial"/>
          <w:noProof/>
          <w:sz w:val="24"/>
          <w:szCs w:val="24"/>
        </w:rPr>
        <w:t>(Abdulrhim et al., 2020)</w:t>
      </w:r>
      <w:r w:rsidRPr="00EC6E4A">
        <w:rPr>
          <w:rFonts w:ascii="Arial" w:hAnsi="Arial" w:cs="Arial"/>
          <w:sz w:val="24"/>
          <w:szCs w:val="24"/>
        </w:rPr>
        <w:fldChar w:fldCharType="end"/>
      </w:r>
      <w:r w:rsidRPr="00EC6E4A">
        <w:rPr>
          <w:rFonts w:ascii="Arial" w:hAnsi="Arial" w:cs="Arial"/>
          <w:sz w:val="24"/>
          <w:szCs w:val="24"/>
        </w:rPr>
        <w:t xml:space="preserve"> found that most systematic reviews supported the role of pharmacists in diabetes management in primary care settings as their interventions, compared with usual care, led to significant positive clinical improvements in HbA1c, fasting blood glucose level, BP, BMI, and lipid profile. Other benefits of pharmaceutical care have also been shown to be economical and humanistic, with pharmacist care leading to significant cost savings and improved patients' quality of life (QoL).</w:t>
      </w:r>
    </w:p>
    <w:p w14:paraId="6EFF22D3" w14:textId="0C5660EF" w:rsidR="00CF5E6B" w:rsidRPr="00EC6E4A" w:rsidRDefault="00CF5E6B" w:rsidP="00CF5E6B">
      <w:pPr>
        <w:spacing w:line="360" w:lineRule="auto"/>
        <w:jc w:val="both"/>
      </w:pPr>
      <w:r w:rsidRPr="00EC6E4A">
        <w:rPr>
          <w:rFonts w:ascii="Arial" w:hAnsi="Arial" w:cs="Arial"/>
          <w:sz w:val="24"/>
          <w:szCs w:val="24"/>
        </w:rPr>
        <w:t>The clinical, economic, and humanistic findings from the included studies will be presented in detail in the following sections</w:t>
      </w:r>
      <w:r w:rsidRPr="00EC6E4A">
        <w:t>.</w:t>
      </w:r>
    </w:p>
    <w:p w14:paraId="6C66EF1E" w14:textId="77777777" w:rsidR="005D3953" w:rsidRPr="00793AE0" w:rsidRDefault="005D3953" w:rsidP="00402D29">
      <w:pPr>
        <w:spacing w:line="360" w:lineRule="auto"/>
        <w:jc w:val="both"/>
        <w:rPr>
          <w:color w:val="FF0000"/>
        </w:rPr>
      </w:pPr>
    </w:p>
    <w:p w14:paraId="4A2688FB" w14:textId="2072452E" w:rsidR="00423FED" w:rsidRPr="00FD6CFB" w:rsidRDefault="00423FED" w:rsidP="00FD6CFB">
      <w:pPr>
        <w:pStyle w:val="Heading5"/>
        <w:spacing w:after="240"/>
        <w:rPr>
          <w:rFonts w:asciiTheme="minorBidi" w:eastAsia="Times New Roman" w:hAnsiTheme="minorBidi" w:cstheme="minorBidi"/>
          <w:sz w:val="28"/>
          <w:szCs w:val="28"/>
        </w:rPr>
      </w:pPr>
      <w:r w:rsidRPr="00FD6CFB">
        <w:rPr>
          <w:rFonts w:asciiTheme="minorBidi" w:hAnsiTheme="minorBidi" w:cstheme="minorBidi"/>
          <w:sz w:val="24"/>
          <w:szCs w:val="24"/>
        </w:rPr>
        <w:t>Improve</w:t>
      </w:r>
      <w:r w:rsidR="00CF5E6B">
        <w:rPr>
          <w:rFonts w:asciiTheme="minorBidi" w:hAnsiTheme="minorBidi" w:cstheme="minorBidi"/>
          <w:sz w:val="24"/>
          <w:szCs w:val="24"/>
        </w:rPr>
        <w:t>d</w:t>
      </w:r>
      <w:r w:rsidRPr="00FD6CFB">
        <w:rPr>
          <w:rFonts w:asciiTheme="minorBidi" w:hAnsiTheme="minorBidi" w:cstheme="minorBidi"/>
          <w:sz w:val="24"/>
          <w:szCs w:val="24"/>
        </w:rPr>
        <w:t xml:space="preserve"> clinical outcomes</w:t>
      </w:r>
    </w:p>
    <w:p w14:paraId="43D69F68" w14:textId="59BF41F1" w:rsidR="006259FD" w:rsidRDefault="006259FD">
      <w:pPr>
        <w:spacing w:line="360" w:lineRule="auto"/>
        <w:jc w:val="both"/>
        <w:rPr>
          <w:rFonts w:ascii="Arial" w:eastAsia="Times New Roman" w:hAnsi="Arial" w:cs="Arial"/>
          <w:sz w:val="24"/>
          <w:szCs w:val="24"/>
        </w:rPr>
      </w:pPr>
      <w:r w:rsidRPr="00876389">
        <w:rPr>
          <w:rFonts w:ascii="Arial" w:eastAsia="Times New Roman" w:hAnsi="Arial" w:cs="Arial"/>
          <w:sz w:val="24"/>
          <w:szCs w:val="24"/>
        </w:rPr>
        <w:t xml:space="preserve">The desired clinical outcomes of diabetes management can be achieved through improving key biomarkers in diabetes management, such as HbA1c, preventing further long-term complications, improving medication adherence and optimising medication therapy in patients with diabetes. </w:t>
      </w:r>
    </w:p>
    <w:p w14:paraId="716268FA" w14:textId="4F251D19" w:rsidR="002C27A9" w:rsidRPr="00C957A6" w:rsidRDefault="00CD411E" w:rsidP="00C957A6">
      <w:pPr>
        <w:pStyle w:val="Heading6"/>
        <w:spacing w:after="240"/>
        <w:rPr>
          <w:rFonts w:asciiTheme="minorBidi" w:hAnsiTheme="minorBidi" w:cstheme="minorBidi"/>
          <w:sz w:val="24"/>
          <w:szCs w:val="24"/>
        </w:rPr>
      </w:pPr>
      <w:r w:rsidRPr="00C957A6">
        <w:rPr>
          <w:rFonts w:asciiTheme="minorBidi" w:hAnsiTheme="minorBidi" w:cstheme="minorBidi"/>
          <w:sz w:val="24"/>
          <w:szCs w:val="24"/>
        </w:rPr>
        <w:t xml:space="preserve">Improved key biomarkers in diabetes management </w:t>
      </w:r>
    </w:p>
    <w:p w14:paraId="7EDF64EA" w14:textId="3CA93EAF" w:rsidR="00941883" w:rsidRDefault="00730BA7" w:rsidP="00941883">
      <w:pPr>
        <w:autoSpaceDE w:val="0"/>
        <w:autoSpaceDN w:val="0"/>
        <w:adjustRightInd w:val="0"/>
        <w:spacing w:line="360" w:lineRule="auto"/>
        <w:jc w:val="both"/>
        <w:rPr>
          <w:rFonts w:ascii="Arial" w:eastAsia="Times New Roman" w:hAnsi="Arial" w:cs="Arial"/>
          <w:sz w:val="24"/>
          <w:szCs w:val="24"/>
          <w:lang w:val="en-GB"/>
        </w:rPr>
      </w:pPr>
      <w:r>
        <w:rPr>
          <w:rFonts w:ascii="Arial" w:eastAsia="Times New Roman" w:hAnsi="Arial" w:cs="Arial"/>
          <w:sz w:val="24"/>
          <w:szCs w:val="24"/>
        </w:rPr>
        <w:t xml:space="preserve">Evidence from this review </w:t>
      </w:r>
      <w:r w:rsidR="00CB46F6">
        <w:rPr>
          <w:rFonts w:ascii="Arial" w:eastAsia="Times New Roman" w:hAnsi="Arial" w:cs="Arial"/>
          <w:sz w:val="24"/>
          <w:szCs w:val="24"/>
        </w:rPr>
        <w:t xml:space="preserve">showed </w:t>
      </w:r>
      <w:r w:rsidR="00941883" w:rsidRPr="00FC04D9">
        <w:rPr>
          <w:rFonts w:ascii="Arial" w:eastAsia="Times New Roman" w:hAnsi="Arial" w:cs="Arial"/>
          <w:sz w:val="24"/>
          <w:szCs w:val="24"/>
        </w:rPr>
        <w:t xml:space="preserve">that pharmacists’ involvement in diabetes care led to beneficial clinical outcomes, including key biomarkers in diabetes management such as HbA1c, blood glucose level (fasting/postprandial/random), BP, lipid profiles and BMI. Engaging US pharmacists in providing direct patient care significantly improved HbA1c among diabetes patients in various healthcare settings </w:t>
      </w:r>
      <w:r w:rsidR="00941883">
        <w:rPr>
          <w:rFonts w:ascii="Arial" w:eastAsia="Times New Roman" w:hAnsi="Arial" w:cs="Arial"/>
          <w:sz w:val="24"/>
          <w:szCs w:val="24"/>
          <w:lang w:val="en-GB"/>
        </w:rPr>
        <w:fldChar w:fldCharType="begin" w:fldLock="1"/>
      </w:r>
      <w:r w:rsidR="00941883" w:rsidRPr="00FC04D9">
        <w:rPr>
          <w:rFonts w:ascii="Arial" w:eastAsia="Times New Roman" w:hAnsi="Arial" w:cs="Arial"/>
          <w:sz w:val="24"/>
          <w:szCs w:val="24"/>
        </w:rPr>
        <w:instrText>ADDIN CSL_CITATION {"citationItems":[{"id":"ITEM-1","itemData":{"abstract":"Background: One approach postulated to improve the provision of health care is effective utilization of team-based care including pharmacists. Objective: The objective of this study was to conduct a compre hensive systematic review with focused meta-analyses to examine the effects of pharmacist-provided direct patient care on therapeutic, safety, and humanistic outcomes. Methods: The following databases were searched from inception to January 2009: NLM PubMed; Ov</w:instrText>
      </w:r>
      <w:r w:rsidR="00941883">
        <w:rPr>
          <w:rFonts w:ascii="Arial" w:eastAsia="Times New Roman" w:hAnsi="Arial" w:cs="Arial"/>
          <w:sz w:val="24"/>
          <w:szCs w:val="24"/>
          <w:lang w:val="en-GB"/>
        </w:rPr>
        <w:instrText>id/MEDLINE; ABI/IN FORM; Health Business Fulltext Elite; Academic Search Com plete; International Pharmaceutical Abstracts; PsycINFO; Co chrane Database of Systematic Reviews; National Guideline Clearinghouse; Database of Abstracts of Reviews of Effects; ClinicalTrials.gov; LexisNexis Academic Universe; and Google Scholar. Studies selected included those reporting pharmacist provided care, comparison groups, and patient-related outcomes. Of these, 56,573 citations were considered. Data were extracted by multidisciplinary study review teams. Variables examined included study characteristics, pharmacists' interventions/ser vices, patient characteristics, and study outcomes. Data for meta analyses were extracted from randomized controlled trials meet ing meta-analysis criteria. Results: A total of 298 studies were included. Favorable results were found in therapeutic and safety outcomes, and meta-analyses conducted for hemoglobin Ale, LDL cholesterol, blood pressure, and adverse drug events were significant (P &lt; 0.05), favoring pharmacists' direct patient care over comparative services. Results for humanistic outcomes were favorable with variability. Medication adherence, patient knowledge, and quality of life-general health meta-analyses were significant (P &lt; 0.05), favoring pharmacists' direct patient care. Conclusions: Pharmacist-provided direct patient care has favorable effects across various patient outcomes, health care settings, and disease states. Incorporating pharmacists as health care team mem bers in direct patient care is a viable solution to help improve US health care.","author":[{"dropping-particle":"","family":"Chisholm-burns","given":"Author Marie A","non-dropping-particle":"","parse-names":false,"suffix":""},{"dropping-particle":"","family":"Lee","given":"Jeannie 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Palmer","given":"John","non-dropping-particle":"","parse-names":false,"suffix":""},{"dropping-particle":"","family":"Martin","given":"Jennifer R","non-dropping-particle":"","parse-names":false,"suffix":""},{"dropping-particle":"","family":"Kramer","given":"Sandra S","non-dropping-particle":"","parse-names":false,"suffix":""},{"dropping-particle":"","family":"Wunz","given":"Timothy","non-dropping-particle":"","parse-names":false,"suffix":""},{"dropping-particle":"","family":"Chisholm-burns","given":"Marie A","non-dropping-particle":"","parse-names":false,"suffix":""},{"dropping-particle":"","family":"Lee","given":"Kim","non-dropping-particle":"","parse-names":false,"suffix":""},{"dropping-particle":"","family":"Spivey","given":"Christina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Wunz","given":"Timothy","non-dropping-particle":"","parse-names":false,"suffix":""}],"container-title":"Medical Care","id":"ITEM-1","issue":"10","issued":{"date-parts":[["2010"]]},"page":"923-933","title":"US Pharmacists ' Effect as Team Members on Patient Care Systematic Review and Meta-Analyses","type":"article-journal","volume":"48"},"uris":["http://www.mendeley.com/documents/?uuid=d279d6b6-fe77-42b1-9750-9b41d653a7dd"]}],"mendeley":{"formattedCitation":"(Chisholm-burns &lt;i&gt;et al.&lt;/i&gt;, 2010)","plainTextFormattedCitation":"(Chisholm-burns et al., 2010)","previouslyFormattedCitation":"(Chisholm-burns &lt;i&gt;et al.&lt;/i&gt;, 2010)"},"properties":{"noteIndex":0},"schema":"https://github.com/citation-style-language/schema/raw/master/csl-citation.json"}</w:instrText>
      </w:r>
      <w:r w:rsidR="00941883">
        <w:rPr>
          <w:rFonts w:ascii="Arial" w:eastAsia="Times New Roman" w:hAnsi="Arial" w:cs="Arial"/>
          <w:sz w:val="24"/>
          <w:szCs w:val="24"/>
          <w:lang w:val="en-GB"/>
        </w:rPr>
        <w:fldChar w:fldCharType="separate"/>
      </w:r>
      <w:r w:rsidR="00941883" w:rsidRPr="001F7FBB">
        <w:rPr>
          <w:rFonts w:ascii="Arial" w:eastAsia="Times New Roman" w:hAnsi="Arial" w:cs="Arial"/>
          <w:noProof/>
          <w:sz w:val="24"/>
          <w:szCs w:val="24"/>
          <w:lang w:val="en-GB"/>
        </w:rPr>
        <w:t xml:space="preserve">(Chisholm-burns </w:t>
      </w:r>
      <w:r w:rsidR="00941883" w:rsidRPr="001F7FBB">
        <w:rPr>
          <w:rFonts w:ascii="Arial" w:eastAsia="Times New Roman" w:hAnsi="Arial" w:cs="Arial"/>
          <w:i/>
          <w:noProof/>
          <w:sz w:val="24"/>
          <w:szCs w:val="24"/>
          <w:lang w:val="en-GB"/>
        </w:rPr>
        <w:t>et al.</w:t>
      </w:r>
      <w:r w:rsidR="00941883" w:rsidRPr="001F7FBB">
        <w:rPr>
          <w:rFonts w:ascii="Arial" w:eastAsia="Times New Roman" w:hAnsi="Arial" w:cs="Arial"/>
          <w:noProof/>
          <w:sz w:val="24"/>
          <w:szCs w:val="24"/>
          <w:lang w:val="en-GB"/>
        </w:rPr>
        <w:t>, 2010)</w:t>
      </w:r>
      <w:r w:rsidR="00941883">
        <w:rPr>
          <w:rFonts w:ascii="Arial" w:eastAsia="Times New Roman" w:hAnsi="Arial" w:cs="Arial"/>
          <w:sz w:val="24"/>
          <w:szCs w:val="24"/>
          <w:lang w:val="en-GB"/>
        </w:rPr>
        <w:fldChar w:fldCharType="end"/>
      </w:r>
      <w:r w:rsidR="00941883">
        <w:rPr>
          <w:rFonts w:ascii="Arial" w:eastAsia="Times New Roman" w:hAnsi="Arial" w:cs="Arial"/>
          <w:sz w:val="24"/>
          <w:szCs w:val="24"/>
          <w:lang w:val="en-GB"/>
        </w:rPr>
        <w:t xml:space="preserve">. </w:t>
      </w:r>
      <w:r w:rsidR="00941883" w:rsidRPr="006B2FC7">
        <w:rPr>
          <w:rFonts w:ascii="Arial" w:hAnsi="Arial" w:cs="Arial"/>
          <w:sz w:val="24"/>
          <w:szCs w:val="24"/>
          <w:shd w:val="clear" w:color="auto" w:fill="FFFFFF"/>
        </w:rPr>
        <w:t>These results are similar to those reported by</w:t>
      </w:r>
      <w:r w:rsidR="00941883" w:rsidRPr="006B2FC7">
        <w:rPr>
          <w:rFonts w:ascii="Arial" w:eastAsia="Times New Roman" w:hAnsi="Arial" w:cs="Arial"/>
          <w:sz w:val="24"/>
          <w:szCs w:val="24"/>
          <w:lang w:val="en-GB"/>
        </w:rPr>
        <w:t xml:space="preserve"> </w:t>
      </w:r>
      <w:r w:rsidR="00941883" w:rsidRPr="006B2FC7">
        <w:rPr>
          <w:rFonts w:ascii="Arial" w:eastAsia="Times New Roman" w:hAnsi="Arial" w:cs="Arial"/>
          <w:sz w:val="24"/>
          <w:szCs w:val="24"/>
          <w:lang w:val="en-GB"/>
        </w:rPr>
        <w:fldChar w:fldCharType="begin" w:fldLock="1"/>
      </w:r>
      <w:r w:rsidR="00941883">
        <w:rPr>
          <w:rFonts w:ascii="Arial" w:eastAsia="Times New Roman" w:hAnsi="Arial" w:cs="Arial"/>
          <w:sz w:val="24"/>
          <w:szCs w:val="24"/>
          <w:lang w:val="en-GB"/>
        </w:rPr>
        <w:instrText>ADDIN CSL_CITATION {"citationItems":[{"id":"ITEM-1","itemData":{"author":[{"dropping-particle":"","family":"Willens","given":"David","non-dropping-particle":"","parse-names":false,"suffix":""},{"dropping-particle":"","family":"Cripps","given":"Rebecca","non-dropping-particle":"","parse-names":false,"suffix":""},{"dropping-particle":"","family":"Wilson","given":"Amy","non-dropping-particle":"","parse-names":false,"suffix":""},{"dropping-particle":"","family":"Wolff","given":"Kathleen","non-dropping-particle":"","parse-names":false,"suffix":""},{"dropping-particle":"","family":"Rothman","given":"Russell","non-dropping-particle":"","parse-names":false,"suffix":""}],"container-title":"Clinical Diabetes","id":"ITEM-1","issue":"2","issued":{"date-parts":[["2011"]]},"title":"Interdisciplinary Team Care for Diabetic Patients by Primary Care Physicians, Advanced Practice Nurses, and Clinical Pharmacists","type":"article-journal","volume":"29"},"uris":["http://www.mendeley.com/documents/?uuid=cbab824b-805e-3469-8cd8-97223cf09ef7"]}],"mendeley":{"formattedCitation":"(Willens &lt;i&gt;et al.&lt;/i&gt;, 2011)","manualFormatting":"Willens et al. (2011), who ","plainTextFormattedCitation":"(Willens et al., 2011)","previouslyFormattedCitation":"(Willens &lt;i&gt;et al.&lt;/i&gt;, 2011)"},"properties":{"noteIndex":0},"schema":"https://github.com/citation-style-language/schema/raw/master/csl-citation.json"}</w:instrText>
      </w:r>
      <w:r w:rsidR="00941883" w:rsidRPr="006B2FC7">
        <w:rPr>
          <w:rFonts w:ascii="Arial" w:eastAsia="Times New Roman" w:hAnsi="Arial" w:cs="Arial"/>
          <w:sz w:val="24"/>
          <w:szCs w:val="24"/>
          <w:lang w:val="en-GB"/>
        </w:rPr>
        <w:fldChar w:fldCharType="separate"/>
      </w:r>
      <w:r w:rsidR="00941883" w:rsidRPr="006B2FC7">
        <w:rPr>
          <w:rFonts w:ascii="Arial" w:eastAsia="Times New Roman" w:hAnsi="Arial" w:cs="Arial"/>
          <w:noProof/>
          <w:sz w:val="24"/>
          <w:szCs w:val="24"/>
          <w:lang w:val="en-GB"/>
        </w:rPr>
        <w:t xml:space="preserve">Willens et al. (2011), who </w:t>
      </w:r>
      <w:r w:rsidR="00941883" w:rsidRPr="006B2FC7">
        <w:rPr>
          <w:rFonts w:ascii="Arial" w:eastAsia="Times New Roman" w:hAnsi="Arial" w:cs="Arial"/>
          <w:sz w:val="24"/>
          <w:szCs w:val="24"/>
          <w:lang w:val="en-GB"/>
        </w:rPr>
        <w:fldChar w:fldCharType="end"/>
      </w:r>
      <w:r w:rsidR="00941883" w:rsidRPr="006B2FC7">
        <w:rPr>
          <w:rFonts w:ascii="Arial" w:eastAsia="Times New Roman" w:hAnsi="Arial" w:cs="Arial"/>
          <w:sz w:val="24"/>
          <w:szCs w:val="24"/>
          <w:lang w:val="en-GB"/>
        </w:rPr>
        <w:t xml:space="preserve">found that a pharmacist-run diabetes management program demonstrated that the average HbA1c was </w:t>
      </w:r>
      <w:r w:rsidR="00941883">
        <w:rPr>
          <w:rFonts w:ascii="Arial" w:eastAsia="Times New Roman" w:hAnsi="Arial" w:cs="Arial"/>
          <w:sz w:val="24"/>
          <w:szCs w:val="24"/>
          <w:lang w:val="en-GB"/>
        </w:rPr>
        <w:t xml:space="preserve">significantly </w:t>
      </w:r>
      <w:r w:rsidR="00941883" w:rsidRPr="006B2FC7">
        <w:rPr>
          <w:rFonts w:ascii="Arial" w:eastAsia="Times New Roman" w:hAnsi="Arial" w:cs="Arial"/>
          <w:sz w:val="24"/>
          <w:szCs w:val="24"/>
          <w:lang w:val="en-GB"/>
        </w:rPr>
        <w:t xml:space="preserve">reduced </w:t>
      </w:r>
      <w:r w:rsidR="00941883">
        <w:rPr>
          <w:rFonts w:ascii="Arial" w:eastAsia="Times New Roman" w:hAnsi="Arial" w:cs="Arial"/>
          <w:sz w:val="24"/>
          <w:szCs w:val="24"/>
          <w:lang w:val="en-GB"/>
        </w:rPr>
        <w:t xml:space="preserve">(i.e. improved) </w:t>
      </w:r>
      <w:r w:rsidR="00941883" w:rsidRPr="006B2FC7">
        <w:rPr>
          <w:rFonts w:ascii="Arial" w:eastAsia="Times New Roman" w:hAnsi="Arial" w:cs="Arial"/>
          <w:sz w:val="24"/>
          <w:szCs w:val="24"/>
          <w:lang w:val="en-GB"/>
        </w:rPr>
        <w:t xml:space="preserve">after one year. </w:t>
      </w:r>
      <w:r w:rsidR="00941883" w:rsidRPr="00B90351">
        <w:rPr>
          <w:rFonts w:ascii="Arial" w:eastAsia="Times New Roman" w:hAnsi="Arial" w:cs="Arial"/>
          <w:sz w:val="24"/>
          <w:szCs w:val="24"/>
          <w:lang w:val="en-GB"/>
        </w:rPr>
        <w:t xml:space="preserve">Similarly, an RCT conducted in an outpatient diabetes clinic in Jordon in 2012 found that clinical pharmacists interventions gave significant improvement in HbA1c and BP but not BMI in a  6 months period compared with the usual care group </w:t>
      </w:r>
      <w:r w:rsidR="00941883" w:rsidRPr="0083311A">
        <w:rPr>
          <w:rFonts w:ascii="Arial" w:eastAsia="Times New Roman" w:hAnsi="Arial" w:cs="Arial"/>
          <w:sz w:val="24"/>
          <w:szCs w:val="24"/>
          <w:lang w:val="en-GB"/>
        </w:rPr>
        <w:fldChar w:fldCharType="begin" w:fldLock="1"/>
      </w:r>
      <w:r w:rsidR="00941883" w:rsidRPr="00B90351">
        <w:rPr>
          <w:rFonts w:ascii="Arial" w:eastAsia="Times New Roman" w:hAnsi="Arial" w:cs="Arial"/>
          <w:sz w:val="24"/>
          <w:szCs w:val="24"/>
          <w:lang w:val="en-GB"/>
        </w:rPr>
        <w:instrText>ADDIN CSL_CITATION {"citationItems":[{"id":"ITEM-1","itemData":{"author":[{"dropping-particle":"","family":"Jarab","given":"Anan Sadeq","non-dropping-particle":"","parse-names":false,"suffix":""}],"id":"ITEM-1","issue":"7","issued":{"date-parts":[["2012"]]},"title":"Randomized Controlled Trial of Clinical Pharmacy","type":"article-journal","volume":"18"},"uris":["http://www.mendeley.com/documents/?uuid=e4e8403b-b0d6-4040-a70c-4ccca2a67929"]}],"mendeley":{"formattedCitation":"(Jarab, 2012)","plainTextFormattedCitation":"(Jarab, 2012)","previouslyFormattedCitation":"(Jarab, 2012)"},"properties":{"noteIndex":0},"schema":"https://github.com/citation-style-language/schema/raw/master/csl-citation.json"}</w:instrText>
      </w:r>
      <w:r w:rsidR="00941883" w:rsidRPr="0083311A">
        <w:rPr>
          <w:rFonts w:ascii="Arial" w:eastAsia="Times New Roman" w:hAnsi="Arial" w:cs="Arial"/>
          <w:sz w:val="24"/>
          <w:szCs w:val="24"/>
          <w:lang w:val="en-GB"/>
        </w:rPr>
        <w:fldChar w:fldCharType="separate"/>
      </w:r>
      <w:r w:rsidR="00941883" w:rsidRPr="00B90351">
        <w:rPr>
          <w:rFonts w:ascii="Arial" w:eastAsia="Times New Roman" w:hAnsi="Arial" w:cs="Arial"/>
          <w:noProof/>
          <w:sz w:val="24"/>
          <w:szCs w:val="24"/>
          <w:lang w:val="en-GB"/>
        </w:rPr>
        <w:t>(Jarab, 2012)</w:t>
      </w:r>
      <w:r w:rsidR="00941883" w:rsidRPr="0083311A">
        <w:rPr>
          <w:rFonts w:ascii="Arial" w:eastAsia="Times New Roman" w:hAnsi="Arial" w:cs="Arial"/>
          <w:sz w:val="24"/>
          <w:szCs w:val="24"/>
          <w:lang w:val="en-GB"/>
        </w:rPr>
        <w:fldChar w:fldCharType="end"/>
      </w:r>
      <w:r w:rsidR="00941883" w:rsidRPr="00FA3E6C">
        <w:rPr>
          <w:rFonts w:ascii="Arial" w:eastAsia="Times New Roman" w:hAnsi="Arial" w:cs="Arial"/>
          <w:sz w:val="24"/>
          <w:szCs w:val="24"/>
          <w:lang w:val="en-GB"/>
        </w:rPr>
        <w:t>.</w:t>
      </w:r>
      <w:r w:rsidR="00941883" w:rsidRPr="006B2FC7">
        <w:rPr>
          <w:rFonts w:ascii="Arial" w:eastAsia="Times New Roman" w:hAnsi="Arial" w:cs="Arial"/>
          <w:sz w:val="24"/>
          <w:szCs w:val="24"/>
          <w:lang w:val="en-GB"/>
        </w:rPr>
        <w:t xml:space="preserve"> </w:t>
      </w:r>
      <w:r w:rsidR="00941883" w:rsidRPr="00876389">
        <w:rPr>
          <w:rFonts w:ascii="Arial" w:eastAsia="Times New Roman" w:hAnsi="Arial" w:cs="Arial"/>
          <w:sz w:val="24"/>
          <w:szCs w:val="24"/>
          <w:lang w:val="en-GB"/>
        </w:rPr>
        <w:t xml:space="preserve">Similarly, a meta-analysis by Santschi et al. (2012) found that pharmacists' interventions were associated with significant reductions in systolic and diastolic BP, LDL, TC, and BMI compared to usual care (without pharmacist care).  Therefore, this study supports the benefits of pharmacists' interventions in managing CVD risk factors among diabetes patients </w:t>
      </w:r>
      <w:r w:rsidR="00941883" w:rsidRPr="00876389">
        <w:rPr>
          <w:rFonts w:ascii="Arial" w:eastAsia="Times New Roman" w:hAnsi="Arial" w:cs="Arial"/>
          <w:sz w:val="24"/>
          <w:szCs w:val="24"/>
          <w:lang w:val="en-GB"/>
        </w:rPr>
        <w:fldChar w:fldCharType="begin" w:fldLock="1"/>
      </w:r>
      <w:r w:rsidR="00941883" w:rsidRPr="00876389">
        <w:rPr>
          <w:rFonts w:ascii="Arial" w:eastAsia="Times New Roman" w:hAnsi="Arial" w:cs="Arial"/>
          <w:sz w:val="24"/>
          <w:szCs w:val="24"/>
          <w:lang w:val="en-GB"/>
        </w:rPr>
        <w:instrText>ADDIN CSL_CITATION {"citationItems":[{"id":"ITEM-1","itemData":{"DOI":"10.2337/dc12-0369","ISSN":"01495992","PMID":"23173140","abstract":"OBJECTIVE - This systematic review and meta-analysis of randomized controlled trials (RCTs) assesses the effect of pharmacist care on cardiovascular disease (CVD) risk factors among outpatients with diabetes. RESEARCH DESIGN AND METHODS - MEDLINE, EMBASE, CINAHL, and the Cochrane Central Register of Controlled Trials were searched. Pharmacist interventions were classified, and a meta-analysis of mean changes of blood pressure (BP), total cholesterol (TC), LDL cholesterol, HDL cholesterol, and BMI was performed using random-effects models. RESULTS - The meta-analysis included 15 RCTs (9,111 outpatients) in which interventions were conducted exclusively by pharmacists in 8 studies and in collaboration with physicians, nurses, dietitians, or physical therapists in 7 studies. Pharmacist interventions included medication management, educational interventions, feedback to physicians, measurement of CVD risk factors, or patient-reminder systems. Compared with usual care, pharmacist care was associated with significant reductions for systolic BP (12 studies with 1,894 patients; -6.2 mmHg [95% CI -7.8 to -4.6]); diastolic BP (9 studies with 1,496 patients; -4.5 mmHg [-6.2 to -2.8]); TC (8 studies with 1,280 patients; -15.2 mg/dL [-24.7 to -5.7]); LDL cholesterol (9 studies with 8,084 patients; -11.7mg/dL [-15.8 to-7.6]); and BMI (5 studies with 751 patients; -0.9 kg/m2 [-1.7 to -0.1]). Pharmacist care was not associated with a significant change in HDL cholesterol (6 studies with 826 patients; 0.2 mg/dL [-1.9 to 2.4]). CONCLUSIONS - This meta-analysis supports pharmacist interventions - alone or in collaboration with other health care professionals - to improve major CVD risk factors among outpatients with diabetes. © 2012 by the American Diabetes Association.","author":[{"dropping-particle":"","family":"Santschi","given":"Valérie","non-dropping-particle":"","parse-names":false,"suffix":""},{"dropping-particle":"","family":"Colosimo","given":"April L.","non-dropping-particle":"","parse-names":false,"suffix":""},{"dropping-particle":"","family":"Chiolero","given":"Arnaud","non-dropping-particle":"","parse-names":false,"suffix":""},{"dropping-particle":"","family":"Burnand","given":"Bernard","non-dropping-particle":"","parse-names":false,"suffix":""},{"dropping-particle":"","family":"Paradis","given":"Gilles","non-dropping-particle":"","parse-names":false,"suffix":""}],"container-title":"Diabetes Care","id":"ITEM-1","issue":"12","issued":{"date-parts":[["2012"]]},"page":"2706-2717","title":"Pharmacist interventions to improve cardiovascular disease risk factors in diabetes: A systematic review and meta-analysis of randomized controlled trials","type":"article-journal","volume":"35"},"uris":["http://www.mendeley.com/documents/?uuid=18e4bb6b-cf5b-4195-a39f-51ac6af47cf5"]}],"mendeley":{"formattedCitation":"(Santschi &lt;i&gt;et al.&lt;/i&gt;, 2012)","plainTextFormattedCitation":"(Santschi et al., 2012)","previouslyFormattedCitation":"(Santschi &lt;i&gt;et al.&lt;/i&gt;, 2012)"},"properties":{"noteIndex":0},"schema":"https://github.com/citation-style-language/schema/raw/master/csl-citation.json"}</w:instrText>
      </w:r>
      <w:r w:rsidR="00941883" w:rsidRPr="00876389">
        <w:rPr>
          <w:rFonts w:ascii="Arial" w:eastAsia="Times New Roman" w:hAnsi="Arial" w:cs="Arial"/>
          <w:sz w:val="24"/>
          <w:szCs w:val="24"/>
          <w:lang w:val="en-GB"/>
        </w:rPr>
        <w:fldChar w:fldCharType="separate"/>
      </w:r>
      <w:r w:rsidR="00941883" w:rsidRPr="00876389">
        <w:rPr>
          <w:rFonts w:ascii="Arial" w:eastAsia="Times New Roman" w:hAnsi="Arial" w:cs="Arial"/>
          <w:noProof/>
          <w:sz w:val="24"/>
          <w:szCs w:val="24"/>
          <w:lang w:val="en-GB"/>
        </w:rPr>
        <w:t xml:space="preserve">(Santschi </w:t>
      </w:r>
      <w:r w:rsidR="00941883" w:rsidRPr="00876389">
        <w:rPr>
          <w:rFonts w:ascii="Arial" w:eastAsia="Times New Roman" w:hAnsi="Arial" w:cs="Arial"/>
          <w:i/>
          <w:noProof/>
          <w:sz w:val="24"/>
          <w:szCs w:val="24"/>
          <w:lang w:val="en-GB"/>
        </w:rPr>
        <w:t>et al.</w:t>
      </w:r>
      <w:r w:rsidR="00941883" w:rsidRPr="00876389">
        <w:rPr>
          <w:rFonts w:ascii="Arial" w:eastAsia="Times New Roman" w:hAnsi="Arial" w:cs="Arial"/>
          <w:noProof/>
          <w:sz w:val="24"/>
          <w:szCs w:val="24"/>
          <w:lang w:val="en-GB"/>
        </w:rPr>
        <w:t>, 2012)</w:t>
      </w:r>
      <w:r w:rsidR="00941883" w:rsidRPr="00876389">
        <w:rPr>
          <w:rFonts w:ascii="Arial" w:eastAsia="Times New Roman" w:hAnsi="Arial" w:cs="Arial"/>
          <w:sz w:val="24"/>
          <w:szCs w:val="24"/>
          <w:lang w:val="en-GB"/>
        </w:rPr>
        <w:fldChar w:fldCharType="end"/>
      </w:r>
      <w:r w:rsidR="00941883" w:rsidRPr="00876389">
        <w:rPr>
          <w:rFonts w:ascii="Arial" w:eastAsia="Times New Roman" w:hAnsi="Arial" w:cs="Arial"/>
          <w:sz w:val="24"/>
          <w:szCs w:val="24"/>
          <w:lang w:val="en-GB"/>
        </w:rPr>
        <w:t xml:space="preserve">. </w:t>
      </w:r>
      <w:r w:rsidR="00941883" w:rsidRPr="00226DD4">
        <w:rPr>
          <w:rFonts w:ascii="Arial" w:eastAsia="Times New Roman" w:hAnsi="Arial" w:cs="Arial"/>
          <w:color w:val="00B050"/>
          <w:sz w:val="24"/>
          <w:szCs w:val="24"/>
          <w:lang w:val="en-GB"/>
        </w:rPr>
        <w:t xml:space="preserve"> </w:t>
      </w:r>
      <w:r w:rsidR="00941883" w:rsidRPr="006B2FC7">
        <w:rPr>
          <w:rFonts w:ascii="Arial" w:eastAsia="Times New Roman" w:hAnsi="Arial" w:cs="Arial"/>
          <w:sz w:val="24"/>
          <w:szCs w:val="24"/>
          <w:lang w:val="en-GB"/>
        </w:rPr>
        <w:t>A retrospective study in a primary care medical centre in North California, USA, found that pharmacist involvement in adult diabetes management improved HbA1c, BP and LDL-C and reduced cardiovascular risk (</w:t>
      </w:r>
      <w:r w:rsidR="00941883" w:rsidRPr="006B2FC7">
        <w:rPr>
          <w:rFonts w:ascii="Arial" w:eastAsia="Times New Roman" w:hAnsi="Arial" w:cs="Arial"/>
          <w:sz w:val="24"/>
          <w:szCs w:val="24"/>
          <w:lang w:val="en-GB"/>
        </w:rPr>
        <w:fldChar w:fldCharType="begin" w:fldLock="1"/>
      </w:r>
      <w:r w:rsidR="00941883">
        <w:rPr>
          <w:rFonts w:ascii="Arial" w:eastAsia="Times New Roman" w:hAnsi="Arial" w:cs="Arial"/>
          <w:sz w:val="24"/>
          <w:szCs w:val="24"/>
          <w:lang w:val="en-GB"/>
        </w:rPr>
        <w:instrText>ADDIN CSL_CITATION {"citationItems":[{"id":"ITEM-1","itemData":{"DOI":"10.2146/ajhp120238","ISSN":"15352900","abstract":"PURPOSE: The impact of pharmacist interventions on short-term clinical markers and long-term cardiovascular risk in patients with type 2 diabetes is investigated. METHODS: Selected health outcomes were retrospectively analyzed in 147 adults with type 2 diabetes whose care was managed by a team of providers including a pharmacist (the enhanced care group) and a matched sample of patients (n = 147) managed by a primary care physician only (the control group). All patients received services through the same health maintenance organization (HMO). The primary study endpoints were (1) the changes from baseline to 12-month follow-up in glycosylated hemoglobin (HbA1c), low-density lipoprotein cholesterol (LDL-C), and blood pressure (BP) values, (2) rates of attainment of HbA1c, LDL-C and BP goals, and (3) changes from baseline in predicted 10-year risks of coronary heart disease (CHD) and stroke. RESULTS: During the 12-month study period, the mean HbA1c value was decreased from 9.5% to 6.9% in the enhanced care group and from 9.3% to 8.4% in the control group (p &lt; 0.001); patients in the enhanced care group were significantly more likely to attain goals for HbA1c (odds ratio [OR], 3.9), LDL-C (OR, 2.0), and BP reduction (OR, 2.0) and three times more likely to attain all three goals (OR, 3.2). The estimated 10-year risk of CHD was decreased from 16.4% to 9.3% with enhanced care versus a reduction from 17.4% to 14.8% with usual care (p &lt; 0.001). CONCLUSION: The addition of a pharmacist to an HMO primary care team improved short-term surrogate markers as well as long-term cardiovascular risk in adult patients with type 2 diabetes.","author":[{"dropping-particle":"","family":"Ip","given":"Eric J.","non-dropping-particle":"","parse-names":false,"suffix":""},{"dropping-particle":"","family":"Shah","given":"Bijal M.","non-dropping-particle":"","parse-names":false,"suffix":""},{"dropping-particle":"","family":"Yu","given":"Junhua","non-dropping-particle":"","parse-names":false,"suffix":""},{"dropping-particle":"","family":"Chan","given":"James","non-dropping-particle":"","parse-names":false,"suffix":""},{"dropping-particle":"","family":"Nguyen","given":"Lynda T.","non-dropping-particle":"","parse-names":false,"suffix":""},{"dropping-particle":"","family":"Bhatt","given":"Deempal C.","non-dropping-particle":"","parse-names":false,"suffix":""}],"container-title":"American journal of health-system pharmacy : AJHP : official journal of the American Society of Health-System Pharmacists","id":"ITEM-1","issue":"10","issued":{"date-parts":[["2013"]]},"page":"877-886","title":"Enhancing diabetes care by adding a pharmacist to the primary care team.","type":"article-journal","volume":"70"},"uris":["http://www.mendeley.com/documents/?uuid=27bebab5-8d07-43db-8caa-0bd7446c608d"]}],"mendeley":{"formattedCitation":"(Ip &lt;i&gt;et al.&lt;/i&gt;, 2013)","manualFormatting":"Ip et al. 2013","plainTextFormattedCitation":"(Ip et al., 2013)","previouslyFormattedCitation":"(Ip &lt;i&gt;et al.&lt;/i&gt;, 2013)"},"properties":{"noteIndex":0},"schema":"https://github.com/citation-style-language/schema/raw/master/csl-citation.json"}</w:instrText>
      </w:r>
      <w:r w:rsidR="00941883" w:rsidRPr="006B2FC7">
        <w:rPr>
          <w:rFonts w:ascii="Arial" w:eastAsia="Times New Roman" w:hAnsi="Arial" w:cs="Arial"/>
          <w:sz w:val="24"/>
          <w:szCs w:val="24"/>
          <w:lang w:val="en-GB"/>
        </w:rPr>
        <w:fldChar w:fldCharType="separate"/>
      </w:r>
      <w:r w:rsidR="00941883" w:rsidRPr="006B2FC7">
        <w:rPr>
          <w:rFonts w:ascii="Arial" w:eastAsia="Times New Roman" w:hAnsi="Arial" w:cs="Arial"/>
          <w:noProof/>
          <w:sz w:val="24"/>
          <w:szCs w:val="24"/>
          <w:lang w:val="en-GB"/>
        </w:rPr>
        <w:t xml:space="preserve">Ip </w:t>
      </w:r>
      <w:r w:rsidR="00941883" w:rsidRPr="006B2FC7">
        <w:rPr>
          <w:rFonts w:ascii="Arial" w:eastAsia="Times New Roman" w:hAnsi="Arial" w:cs="Arial"/>
          <w:iCs/>
          <w:noProof/>
          <w:sz w:val="24"/>
          <w:szCs w:val="24"/>
          <w:lang w:val="en-GB"/>
        </w:rPr>
        <w:t>et al.</w:t>
      </w:r>
      <w:r w:rsidR="00941883" w:rsidRPr="006B2FC7">
        <w:rPr>
          <w:rFonts w:ascii="Arial" w:eastAsia="Times New Roman" w:hAnsi="Arial" w:cs="Arial"/>
          <w:noProof/>
          <w:sz w:val="24"/>
          <w:szCs w:val="24"/>
          <w:lang w:val="en-GB"/>
        </w:rPr>
        <w:t xml:space="preserve"> 2013</w:t>
      </w:r>
      <w:r w:rsidR="00941883" w:rsidRPr="006B2FC7">
        <w:rPr>
          <w:rFonts w:ascii="Arial" w:eastAsia="Times New Roman" w:hAnsi="Arial" w:cs="Arial"/>
          <w:sz w:val="24"/>
          <w:szCs w:val="24"/>
          <w:lang w:val="en-GB"/>
        </w:rPr>
        <w:fldChar w:fldCharType="end"/>
      </w:r>
      <w:r w:rsidR="00941883" w:rsidRPr="006B2FC7">
        <w:rPr>
          <w:rFonts w:ascii="Arial" w:eastAsia="Times New Roman" w:hAnsi="Arial" w:cs="Arial"/>
          <w:sz w:val="24"/>
          <w:szCs w:val="24"/>
          <w:lang w:val="en-GB"/>
        </w:rPr>
        <w:t xml:space="preserve">). Using a Malaysian pharmacist intervention, </w:t>
      </w:r>
      <w:r w:rsidR="00941883">
        <w:rPr>
          <w:rFonts w:ascii="Arial" w:eastAsia="Times New Roman" w:hAnsi="Arial" w:cs="Arial"/>
          <w:sz w:val="24"/>
          <w:szCs w:val="24"/>
          <w:lang w:val="en-GB"/>
        </w:rPr>
        <w:fldChar w:fldCharType="begin" w:fldLock="1"/>
      </w:r>
      <w:r w:rsidR="00941883">
        <w:rPr>
          <w:rFonts w:ascii="Arial" w:eastAsia="Times New Roman" w:hAnsi="Arial" w:cs="Arial"/>
          <w:sz w:val="24"/>
          <w:szCs w:val="24"/>
          <w:lang w:val="en-GB"/>
        </w:rPr>
        <w:instrText>ADDIN CSL_CITATION {"citationItems":[{"id":"ITEM-1","itemData":{"DOI":"10.1016/j.jsps.2015.02.023","ISSN":"13190164","abstract":"Malaysia is situated in Western Pacific region which bears 36.17% of total diabetes mellitus population. Pharmacist led diabetes interventions have been shown to improve the clinical outcomes amongst diabetes patients in various parts of the world. Despite high prevalence of disease in this region there is a lack of reported intervention outcomes from this region. The aim of this study was to evaluate the impact of a pharmacist led intervention on HbA1c, medication adherence, quality of life and other secondary outcomes amongst type 2 diabetes patients. Method: Type 2 diabetes mellitus patients (n = 73) attending endocrine clinic at Universiti Kebangsaan Malaysia Medical Centre (UKMMC) were randomised to either control (n = 36) or intervention group (n = 37) after screening. Patients in the intervention group received an intervention from a pharmacist during the enrolment, after three and six months of the enrolment. Outcome measures such as HbA1c, BMI, lipid profile, Morisky scores and quality of life (QoL) scores were assessed at the enrolment and after 6 months of the study in both groups. Patients in the control group did not undergo intervention or educational module other than the standard care at UKMMC. Results: HbA1c values reduced significantly from 9.66% to 8.47% (P = 0.001) in the intervention group. However, no significant changes were noted in the control group (9.64-9.26%, P = 0.14). BMI values showed significant reduction in the intervention group (29.34-28.92 kg/m2; P = 0.03) and lipid profiles were unchanged in both groups. Morisky adherence scores significantly increased from 5.83 to 6.77 (P = 0.02) in the intervention group; however, no significant change was observed in the control group (5.95-5.98, P = 0.85). QoL profiles produced mixed results. Conclusion: This randomised controlled study provides evidence about favourable impact of a pharmacist led diabetes intervention programme on HbA1c, medication adherence and QoL scores amongst type 2 diabetes patients at UKMMC, Malaysia.","author":[{"dropping-particle":"","family":"Butt","given":"Mubashra","non-dropping-particle":"","parse-names":false,"suffix":""},{"dropping-particle":"","family":"Mhd Ali","given":"Adliah","non-dropping-particle":"","parse-names":false,"suffix":""},{"dropping-particle":"","family":"Bakry","given":"Mohd Makmor","non-dropping-particle":"","parse-names":false,"suffix":""},{"dropping-particle":"","family":"Mustafa","given":"Norlaila","non-dropping-particle":"","parse-names":false,"suffix":""}],"container-title":"Saudi Pharmaceutical Journal","id":"ITEM-1","issue":"1","issued":{"date-parts":[["2016"]]},"page":"40-48","publisher":"King Saud University","title":"Impact of a pharmacist led diabetes mellitus intervention on HbA1c, medication adherence and quality of life: A randomised controlled study","type":"article-journal","volume":"24"},"uris":["http://www.mendeley.com/documents/?uuid=1b0004da-1e9f-402f-a0bd-bc853e44c7bc"]}],"mendeley":{"formattedCitation":"(Butt &lt;i&gt;et al.&lt;/i&gt;, 2016)","manualFormatting":"Butt et al., (2016)","plainTextFormattedCitation":"(Butt et al., 2016)","previouslyFormattedCitation":"(Butt &lt;i&gt;et al.&lt;/i&gt;, 2016)"},"properties":{"noteIndex":0},"schema":"https://github.com/citation-style-language/schema/raw/master/csl-citation.json"}</w:instrText>
      </w:r>
      <w:r w:rsidR="00941883">
        <w:rPr>
          <w:rFonts w:ascii="Arial" w:eastAsia="Times New Roman" w:hAnsi="Arial" w:cs="Arial"/>
          <w:sz w:val="24"/>
          <w:szCs w:val="24"/>
          <w:lang w:val="en-GB"/>
        </w:rPr>
        <w:fldChar w:fldCharType="separate"/>
      </w:r>
      <w:r w:rsidR="00941883" w:rsidRPr="00AE5CB4">
        <w:rPr>
          <w:rFonts w:ascii="Arial" w:eastAsia="Times New Roman" w:hAnsi="Arial" w:cs="Arial"/>
          <w:noProof/>
          <w:sz w:val="24"/>
          <w:szCs w:val="24"/>
          <w:lang w:val="en-GB"/>
        </w:rPr>
        <w:t xml:space="preserve">Butt </w:t>
      </w:r>
      <w:r w:rsidR="00941883" w:rsidRPr="00AE5CB4">
        <w:rPr>
          <w:rFonts w:ascii="Arial" w:eastAsia="Times New Roman" w:hAnsi="Arial" w:cs="Arial"/>
          <w:i/>
          <w:noProof/>
          <w:sz w:val="24"/>
          <w:szCs w:val="24"/>
          <w:lang w:val="en-GB"/>
        </w:rPr>
        <w:t>et al.</w:t>
      </w:r>
      <w:r w:rsidR="00941883" w:rsidRPr="00AE5CB4">
        <w:rPr>
          <w:rFonts w:ascii="Arial" w:eastAsia="Times New Roman" w:hAnsi="Arial" w:cs="Arial"/>
          <w:noProof/>
          <w:sz w:val="24"/>
          <w:szCs w:val="24"/>
          <w:lang w:val="en-GB"/>
        </w:rPr>
        <w:t xml:space="preserve">, </w:t>
      </w:r>
      <w:r w:rsidR="00941883">
        <w:rPr>
          <w:rFonts w:ascii="Arial" w:eastAsia="Times New Roman" w:hAnsi="Arial" w:cs="Arial"/>
          <w:noProof/>
          <w:sz w:val="24"/>
          <w:szCs w:val="24"/>
          <w:lang w:val="en-GB"/>
        </w:rPr>
        <w:t>(</w:t>
      </w:r>
      <w:r w:rsidR="00941883" w:rsidRPr="00AE5CB4">
        <w:rPr>
          <w:rFonts w:ascii="Arial" w:eastAsia="Times New Roman" w:hAnsi="Arial" w:cs="Arial"/>
          <w:noProof/>
          <w:sz w:val="24"/>
          <w:szCs w:val="24"/>
          <w:lang w:val="en-GB"/>
        </w:rPr>
        <w:t>2016)</w:t>
      </w:r>
      <w:r w:rsidR="00941883">
        <w:rPr>
          <w:rFonts w:ascii="Arial" w:eastAsia="Times New Roman" w:hAnsi="Arial" w:cs="Arial"/>
          <w:sz w:val="24"/>
          <w:szCs w:val="24"/>
          <w:lang w:val="en-GB"/>
        </w:rPr>
        <w:fldChar w:fldCharType="end"/>
      </w:r>
      <w:r w:rsidR="00941883">
        <w:rPr>
          <w:rFonts w:ascii="Arial" w:eastAsia="Times New Roman" w:hAnsi="Arial" w:cs="Arial"/>
          <w:sz w:val="24"/>
          <w:szCs w:val="24"/>
          <w:lang w:val="en-GB"/>
        </w:rPr>
        <w:t xml:space="preserve"> </w:t>
      </w:r>
      <w:r w:rsidR="00941883" w:rsidRPr="006B2FC7">
        <w:rPr>
          <w:rFonts w:ascii="Arial" w:eastAsia="Times New Roman" w:hAnsi="Arial" w:cs="Arial"/>
          <w:sz w:val="24"/>
          <w:szCs w:val="24"/>
          <w:lang w:val="en-GB"/>
        </w:rPr>
        <w:t>found statistically significant reductions in HbA1c</w:t>
      </w:r>
      <w:r w:rsidR="00941883">
        <w:rPr>
          <w:rFonts w:ascii="Arial" w:eastAsia="Times New Roman" w:hAnsi="Arial" w:cs="Arial"/>
          <w:sz w:val="24"/>
          <w:szCs w:val="24"/>
          <w:lang w:val="en-GB"/>
        </w:rPr>
        <w:t xml:space="preserve"> and</w:t>
      </w:r>
      <w:r w:rsidR="00941883" w:rsidRPr="006B2FC7">
        <w:rPr>
          <w:rFonts w:ascii="Arial" w:eastAsia="Times New Roman" w:hAnsi="Arial" w:cs="Arial"/>
          <w:sz w:val="24"/>
          <w:szCs w:val="24"/>
          <w:lang w:val="en-GB"/>
        </w:rPr>
        <w:t xml:space="preserve"> BMI,</w:t>
      </w:r>
      <w:r w:rsidR="00941883">
        <w:rPr>
          <w:rFonts w:ascii="Arial" w:eastAsia="Times New Roman" w:hAnsi="Arial" w:cs="Arial"/>
          <w:sz w:val="24"/>
          <w:szCs w:val="24"/>
          <w:lang w:val="en-GB"/>
        </w:rPr>
        <w:t xml:space="preserve"> and</w:t>
      </w:r>
      <w:r w:rsidR="00941883" w:rsidRPr="006B2FC7">
        <w:rPr>
          <w:rFonts w:ascii="Arial" w:eastAsia="Times New Roman" w:hAnsi="Arial" w:cs="Arial"/>
          <w:sz w:val="24"/>
          <w:szCs w:val="24"/>
          <w:lang w:val="en-GB"/>
        </w:rPr>
        <w:t xml:space="preserve"> </w:t>
      </w:r>
      <w:r w:rsidR="00941883">
        <w:rPr>
          <w:rFonts w:ascii="Arial" w:eastAsia="Times New Roman" w:hAnsi="Arial" w:cs="Arial"/>
          <w:sz w:val="24"/>
          <w:szCs w:val="24"/>
          <w:lang w:val="en-GB"/>
        </w:rPr>
        <w:t xml:space="preserve">in addition, improvements in </w:t>
      </w:r>
      <w:r w:rsidR="00941883" w:rsidRPr="006B2FC7">
        <w:rPr>
          <w:rFonts w:ascii="Arial" w:eastAsia="Times New Roman" w:hAnsi="Arial" w:cs="Arial"/>
          <w:sz w:val="24"/>
          <w:szCs w:val="24"/>
          <w:lang w:val="en-GB"/>
        </w:rPr>
        <w:t xml:space="preserve">medicine adherence and </w:t>
      </w:r>
      <w:r w:rsidR="00941883">
        <w:rPr>
          <w:rFonts w:ascii="Arial" w:eastAsia="Times New Roman" w:hAnsi="Arial" w:cs="Arial"/>
          <w:sz w:val="24"/>
          <w:szCs w:val="24"/>
          <w:lang w:val="en-GB"/>
        </w:rPr>
        <w:t>QoL</w:t>
      </w:r>
      <w:r w:rsidR="00941883" w:rsidRPr="006B2FC7">
        <w:rPr>
          <w:rFonts w:ascii="Arial" w:eastAsia="Times New Roman" w:hAnsi="Arial" w:cs="Arial"/>
          <w:sz w:val="24"/>
          <w:szCs w:val="24"/>
          <w:lang w:val="en-GB"/>
        </w:rPr>
        <w:t xml:space="preserve"> after 6 months in this small RCT. </w:t>
      </w:r>
    </w:p>
    <w:p w14:paraId="5B2F686E" w14:textId="4B2EDDF9" w:rsidR="00941883" w:rsidRPr="000359E8" w:rsidRDefault="002D5EC5" w:rsidP="00941883">
      <w:pPr>
        <w:autoSpaceDE w:val="0"/>
        <w:autoSpaceDN w:val="0"/>
        <w:adjustRightInd w:val="0"/>
        <w:spacing w:line="360" w:lineRule="auto"/>
        <w:jc w:val="both"/>
        <w:rPr>
          <w:rFonts w:ascii="Arial" w:hAnsi="Arial" w:cs="Arial"/>
          <w:sz w:val="24"/>
          <w:szCs w:val="24"/>
          <w:lang w:val="en-GB"/>
        </w:rPr>
      </w:pPr>
      <w:r w:rsidRPr="002D5EC5">
        <w:rPr>
          <w:rFonts w:ascii="Arial" w:hAnsi="Arial" w:cs="Arial"/>
          <w:sz w:val="24"/>
          <w:szCs w:val="24"/>
        </w:rPr>
        <w:t xml:space="preserve">Evidence from the systematic review studies included in this review also showed generally positive </w:t>
      </w:r>
      <w:r w:rsidR="00F21C2A">
        <w:rPr>
          <w:rFonts w:ascii="Arial" w:hAnsi="Arial" w:cs="Arial"/>
          <w:sz w:val="24"/>
          <w:szCs w:val="24"/>
        </w:rPr>
        <w:t xml:space="preserve">clinical </w:t>
      </w:r>
      <w:r w:rsidRPr="002D5EC5">
        <w:rPr>
          <w:rFonts w:ascii="Arial" w:hAnsi="Arial" w:cs="Arial"/>
          <w:sz w:val="24"/>
          <w:szCs w:val="24"/>
        </w:rPr>
        <w:t>outcomes for pharmacists' intervention in diabetes management. For example, a</w:t>
      </w:r>
      <w:r w:rsidR="00941883">
        <w:rPr>
          <w:rFonts w:ascii="Arial" w:hAnsi="Arial" w:cs="Arial"/>
          <w:sz w:val="24"/>
          <w:szCs w:val="24"/>
        </w:rPr>
        <w:t xml:space="preserve"> </w:t>
      </w:r>
      <w:r w:rsidR="00941883" w:rsidRPr="006B2FC7">
        <w:rPr>
          <w:rFonts w:ascii="Arial" w:hAnsi="Arial" w:cs="Arial"/>
          <w:sz w:val="24"/>
          <w:szCs w:val="24"/>
        </w:rPr>
        <w:t xml:space="preserve">systematic review and meta-analysis by </w:t>
      </w:r>
      <w:r w:rsidR="00941883">
        <w:rPr>
          <w:rFonts w:ascii="Arial" w:hAnsi="Arial" w:cs="Arial"/>
          <w:sz w:val="24"/>
          <w:szCs w:val="24"/>
        </w:rPr>
        <w:fldChar w:fldCharType="begin" w:fldLock="1"/>
      </w:r>
      <w:r w:rsidR="00941883">
        <w:rPr>
          <w:rFonts w:ascii="Arial" w:hAnsi="Arial" w:cs="Arial"/>
          <w:sz w:val="24"/>
          <w:szCs w:val="24"/>
        </w:rPr>
        <w:instrText>ADDIN CSL_CITATION {"citationItems":[{"id":"ITEM-1","itemData":{"DOI":"10.1016/j.sapharm.2013.08.006","ISSN":"15517411","abstract":"Background: Integration of pharmacists into primary care general practice clinics has the potential to improve interdisciplinary teamwork and patient care; however this practice is not widespread. Objective: The aim of this study was to review the effectiveness of clinical pharmacist services delivered in primary care general practice clinics. Methods: A systematic review of English language randomized controlled trials cited in the Cochrane Central Register of Controlled Trials, MEDLINE, EMBASE and International Pharmaceutical Abstracts was conducted. Studies were included if pharmacists had a regular and ongoing relationship with the clinic; delivered an intervention aimed at optimizing prescribing for, and/or medication use by, clinic patients; and were physically present within the clinic for all or part of the intervention, or for communication with staff. The search generated 1484 articles. After removal of duplicates and screening of titles and abstracts against inclusion criteria, 131 articles remained. A total of 38 studies were included in the review and assessed for quality. Seventeen studies had common endpoints (blood pressure, glycosylated hemoglobin, cholesterol and/or Framingham risk score) and were included in meta-analyses. Results: Twenty-nine of the 38 studies recruited patients with specific medical conditions, most commonly cardiovascular disease (15 studies) and/or diabetes (9 studies). The remaining 9 studies recruited patients at general risk of medication misadventure. Pharmacist interventions usually involved medication review (86.8%), with or without other activities delivered collaboratively with the general practitioner (family physician). Positive effects on primary outcomes related to medication use or clinical outcomes were reported in 19 studies, mixed effects in six studies, and no effect in 13 studies. The results of meta-analyses favored the pharmacist intervention, with significant improvements in blood pressure, glycosylated hemoglobin, cholesterol and Framingham risk score in intervention patients compared to control patients. Conclusions: Pharmacists co-located in general practice clinics delivered a range of interventions, with favorable results in various areas of chronic disease management and quality use of medicines. © 2014 Elsevier Inc.","author":[{"dropping-particle":"","family":"Tan","given":"Edwin C.K. K","non-dropping-particle":"","parse-names":false,"suffix":""},{"dropping-particle":"","family":"Stewart","given":"Kay","non-dropping-particle":"","parse-names":false,"suffix":""},{"dropping-particle":"","family":"Elliott","given":"Rohan A.","non-dropping-particle":"","parse-names":false,"suffix":""},{"dropping-particle":"","family":"Clin","given":"M Pharm","non-dropping-particle":"","parse-names":false,"suffix":""},{"dropping-particle":"","family":"George","given":"Johnson","non-dropping-particle":"","parse-names":false,"suffix":""},{"dropping-particle":"","family":"Clin","given":"M Pharm","non-dropping-particle":"","parse-names":false,"suffix":""},{"dropping-particle":"","family":"George","given":"Johnson","non-dropping-particle":"","parse-names":false,"suffix":""}],"container-title":"Research in Social and Administrative Pharmacy","id":"ITEM-1","issue":"4","issued":{"date-parts":[["2014","7"]]},"note":"From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 C K; Stewart, K; Elliott, R A; George, J)\n\nCited By :85\n\nExport Date: 19 June 2019","page":"608-622","publisher":"Elsevier Inc","title":"Pharmacist services provided in general practice clinics: A systematic review and meta-analysis","type":"article-journal","volume":"10"},"uris":["http://www.mendeley.com/documents/?uuid=0ba34a9a-c4c4-4c3f-a0ee-541c10cd2c32"]}],"mendeley":{"formattedCitation":"(Tan &lt;i&gt;et al.&lt;/i&gt;, 2014)","manualFormatting":"Tan et al. (2014)","plainTextFormattedCitation":"(Tan et al., 2014)","previouslyFormattedCitation":"(Tan &lt;i&gt;et al.&lt;/i&gt;, 2014)"},"properties":{"noteIndex":0},"schema":"https://github.com/citation-style-language/schema/raw/master/csl-citation.json"}</w:instrText>
      </w:r>
      <w:r w:rsidR="00941883">
        <w:rPr>
          <w:rFonts w:ascii="Arial" w:hAnsi="Arial" w:cs="Arial"/>
          <w:sz w:val="24"/>
          <w:szCs w:val="24"/>
        </w:rPr>
        <w:fldChar w:fldCharType="separate"/>
      </w:r>
      <w:r w:rsidR="00941883" w:rsidRPr="00724232">
        <w:rPr>
          <w:rFonts w:ascii="Arial" w:hAnsi="Arial" w:cs="Arial"/>
          <w:noProof/>
          <w:sz w:val="24"/>
          <w:szCs w:val="24"/>
        </w:rPr>
        <w:t xml:space="preserve">Tan </w:t>
      </w:r>
      <w:r w:rsidR="00941883" w:rsidRPr="00724232">
        <w:rPr>
          <w:rFonts w:ascii="Arial" w:hAnsi="Arial" w:cs="Arial"/>
          <w:i/>
          <w:noProof/>
          <w:sz w:val="24"/>
          <w:szCs w:val="24"/>
        </w:rPr>
        <w:t>et al.</w:t>
      </w:r>
      <w:r w:rsidR="00941883" w:rsidRPr="00724232">
        <w:rPr>
          <w:rFonts w:ascii="Arial" w:hAnsi="Arial" w:cs="Arial"/>
          <w:noProof/>
          <w:sz w:val="24"/>
          <w:szCs w:val="24"/>
        </w:rPr>
        <w:t xml:space="preserve"> </w:t>
      </w:r>
      <w:r w:rsidR="00941883">
        <w:rPr>
          <w:rFonts w:ascii="Arial" w:hAnsi="Arial" w:cs="Arial"/>
          <w:noProof/>
          <w:sz w:val="24"/>
          <w:szCs w:val="24"/>
        </w:rPr>
        <w:t>(</w:t>
      </w:r>
      <w:r w:rsidR="00941883" w:rsidRPr="00724232">
        <w:rPr>
          <w:rFonts w:ascii="Arial" w:hAnsi="Arial" w:cs="Arial"/>
          <w:noProof/>
          <w:sz w:val="24"/>
          <w:szCs w:val="24"/>
        </w:rPr>
        <w:t>2014)</w:t>
      </w:r>
      <w:r w:rsidR="00941883">
        <w:rPr>
          <w:rFonts w:ascii="Arial" w:hAnsi="Arial" w:cs="Arial"/>
          <w:sz w:val="24"/>
          <w:szCs w:val="24"/>
        </w:rPr>
        <w:fldChar w:fldCharType="end"/>
      </w:r>
      <w:r w:rsidR="00941883">
        <w:rPr>
          <w:rFonts w:ascii="Arial" w:hAnsi="Arial" w:cs="Arial"/>
          <w:sz w:val="24"/>
          <w:szCs w:val="24"/>
        </w:rPr>
        <w:t xml:space="preserve">, </w:t>
      </w:r>
      <w:r w:rsidR="00941883" w:rsidRPr="006B2FC7">
        <w:rPr>
          <w:rFonts w:ascii="Arial" w:hAnsi="Arial" w:cs="Arial"/>
          <w:sz w:val="24"/>
          <w:szCs w:val="24"/>
        </w:rPr>
        <w:t>found that primary care pharmacists allocated to GP clinics had a significant impact on the clinical outcomes of patients with chronic conditions, such as CVD and diabetes, by improving the following parameters: HbA1c, BP, cholesterol and the Framingham risk score in intervention patients, compared to control patients. This study also demonstrated that pharmacist intervention in GP settings</w:t>
      </w:r>
      <w:r w:rsidR="00941883">
        <w:rPr>
          <w:rFonts w:ascii="Arial" w:hAnsi="Arial" w:cs="Arial"/>
          <w:sz w:val="24"/>
          <w:szCs w:val="24"/>
        </w:rPr>
        <w:t xml:space="preserve"> </w:t>
      </w:r>
      <w:r w:rsidR="00941883" w:rsidRPr="006B2FC7">
        <w:rPr>
          <w:rFonts w:ascii="Arial" w:hAnsi="Arial" w:cs="Arial"/>
          <w:sz w:val="24"/>
          <w:szCs w:val="24"/>
        </w:rPr>
        <w:t>improved the quality of prescribing medications, enhanced medication adherence and resolved medication-related problems.</w:t>
      </w:r>
      <w:r w:rsidR="00941883">
        <w:rPr>
          <w:rFonts w:ascii="Arial" w:hAnsi="Arial" w:cs="Arial"/>
          <w:sz w:val="24"/>
          <w:szCs w:val="24"/>
        </w:rPr>
        <w:t xml:space="preserve"> </w:t>
      </w:r>
      <w:r w:rsidR="00941883" w:rsidRPr="000359E8">
        <w:rPr>
          <w:rFonts w:ascii="Arial" w:hAnsi="Arial" w:cs="Arial"/>
          <w:sz w:val="24"/>
          <w:szCs w:val="24"/>
        </w:rPr>
        <w:t>This view is supported by Duncan et al (2020), who write that many GPs value pharmacist expertise in medicines and welcome pharmacists' interventions in chronic disease management. GPs also value pharmacist recommendations regarding medication management and acknowledge that their interventions improve prescribing safety</w:t>
      </w:r>
      <w:r w:rsidR="00941883" w:rsidRPr="000A2452">
        <w:rPr>
          <w:rFonts w:ascii="Arial" w:hAnsi="Arial" w:cs="Arial"/>
          <w:sz w:val="24"/>
          <w:szCs w:val="24"/>
        </w:rPr>
        <w:t xml:space="preserve"> </w:t>
      </w:r>
      <w:r w:rsidR="00941883">
        <w:rPr>
          <w:rFonts w:ascii="Arial" w:hAnsi="Arial" w:cs="Arial"/>
          <w:sz w:val="24"/>
          <w:szCs w:val="24"/>
        </w:rPr>
        <w:fldChar w:fldCharType="begin" w:fldLock="1"/>
      </w:r>
      <w:r w:rsidR="00941883">
        <w:rPr>
          <w:rFonts w:ascii="Arial" w:hAnsi="Arial" w:cs="Arial"/>
          <w:sz w:val="24"/>
          <w:szCs w:val="24"/>
        </w:rPr>
        <w:instrText>ADDIN CSL_CITATION {"citationItems":[{"id":"ITEM-1","itemData":{"DOI":"10.3399/bjgp20X708197","ISSN":"14785242","PMID":"32041767","abstract":"Background Many UK GP practices now employ a practice pharmacist, but little is known about how GPs and pharmacists work together to optimise medications for complex patients with multimorbidity. Aim To explore GP and pharmacist perspectives on collaborative working within the context of optimising medications for patients with multimorbidity. Design and setting A qualitative analysis of semi-structured interviews with GPs and pharmacists working in the West of England, Northern England, and Scotland. Method Thirteen GPs and 10 pharmacists were sampled from practices enrolled in the 3D trial (a complex intervention for people with multimorbidity). Participants' views on collaborative working were explored with interviews that were audiorecorded, transcribed, and analysed thematically. Saturation of data was achieved with no new insights arising from later interviews. Results GPs from surgeries that employed a pharmacist tended to value their expertise more than GPs who had not worked with one. Three key themes were identified: resources and competing priorities; responsibility; and professional boundaries. GPs valued pharmacist recommendations that were perceived to improve patient safety, as opposed to those that were technical and unlikely to benefit the patient. Pharmacists who were not known to GPs felt undervalued and wanted feedback from the GPs about their recommendations, particularly those that were not actioned. Conclusion A good working relationship between the GP and pharmacist, where each profession understood the other's skills and expertise, was key. The importance of face-to-face meetings and feedback should be considered in future studies of interdisciplinary interventions, and by GP practices that employ pharmacists and other allied health professionals.","author":[{"dropping-particle":"","family":"Duncan","given":"Polly","non-dropping-particle":"","parse-names":false,"suffix":""},{"dropping-particle":"","family":"Ridd","given":"Matthew J.","non-dropping-particle":"","parse-names":false,"suffix":""},{"dropping-particle":"","family":"McCahon","given":"Deborah","non-dropping-particle":"","parse-names":false,"suffix":""},{"dropping-particle":"","family":"Cabral","given":"Christie","non-dropping-particle":"","parse-names":false,"suffix":""},{"dropping-particle":"","family":"Guthrie","given":"Bruce","non-dropping-particle":"","parse-names":false,"suffix":""}],"container-title":"British Journal of General Practice","id":"ITEM-1","issue":"692","issued":{"date-parts":[["2020"]]},"page":"E155-E163","title":"Barriers and enablers to collaborative working between GPs and pharmacists: A qualitative interview study","type":"article-journal","volume":"70"},"uris":["http://www.mendeley.com/documents/?uuid=95f5fbf7-a577-4beb-8988-b65ce95d2ac9"]}],"mendeley":{"formattedCitation":"(Duncan &lt;i&gt;et al.&lt;/i&gt;, 2020)","plainTextFormattedCitation":"(Duncan et al., 2020)","previouslyFormattedCitation":"(Duncan &lt;i&gt;et al.&lt;/i&gt;, 2020)"},"properties":{"noteIndex":0},"schema":"https://github.com/citation-style-language/schema/raw/master/csl-citation.json"}</w:instrText>
      </w:r>
      <w:r w:rsidR="00941883">
        <w:rPr>
          <w:rFonts w:ascii="Arial" w:hAnsi="Arial" w:cs="Arial"/>
          <w:sz w:val="24"/>
          <w:szCs w:val="24"/>
        </w:rPr>
        <w:fldChar w:fldCharType="separate"/>
      </w:r>
      <w:r w:rsidR="00941883" w:rsidRPr="00F035C1">
        <w:rPr>
          <w:rFonts w:ascii="Arial" w:hAnsi="Arial" w:cs="Arial"/>
          <w:noProof/>
          <w:sz w:val="24"/>
          <w:szCs w:val="24"/>
        </w:rPr>
        <w:t xml:space="preserve">(Duncan </w:t>
      </w:r>
      <w:r w:rsidR="00941883" w:rsidRPr="00F035C1">
        <w:rPr>
          <w:rFonts w:ascii="Arial" w:hAnsi="Arial" w:cs="Arial"/>
          <w:i/>
          <w:noProof/>
          <w:sz w:val="24"/>
          <w:szCs w:val="24"/>
        </w:rPr>
        <w:t>et al.</w:t>
      </w:r>
      <w:r w:rsidR="00941883" w:rsidRPr="00F035C1">
        <w:rPr>
          <w:rFonts w:ascii="Arial" w:hAnsi="Arial" w:cs="Arial"/>
          <w:noProof/>
          <w:sz w:val="24"/>
          <w:szCs w:val="24"/>
        </w:rPr>
        <w:t>, 2020)</w:t>
      </w:r>
      <w:r w:rsidR="00941883">
        <w:rPr>
          <w:rFonts w:ascii="Arial" w:hAnsi="Arial" w:cs="Arial"/>
          <w:sz w:val="24"/>
          <w:szCs w:val="24"/>
        </w:rPr>
        <w:fldChar w:fldCharType="end"/>
      </w:r>
      <w:r w:rsidR="00941883">
        <w:rPr>
          <w:rFonts w:ascii="Arial" w:hAnsi="Arial" w:cs="Arial"/>
          <w:sz w:val="24"/>
          <w:szCs w:val="24"/>
        </w:rPr>
        <w:t xml:space="preserve">. </w:t>
      </w:r>
      <w:r w:rsidR="00941883" w:rsidRPr="006B2FC7">
        <w:rPr>
          <w:rFonts w:ascii="Arial" w:hAnsi="Arial" w:cs="Arial"/>
          <w:sz w:val="24"/>
          <w:szCs w:val="24"/>
        </w:rPr>
        <w:t xml:space="preserve">Similarly, studies reviewed by </w:t>
      </w:r>
      <w:r w:rsidR="00941883">
        <w:rPr>
          <w:rFonts w:ascii="Arial" w:hAnsi="Arial" w:cs="Arial"/>
          <w:sz w:val="24"/>
          <w:szCs w:val="24"/>
        </w:rPr>
        <w:fldChar w:fldCharType="begin" w:fldLock="1"/>
      </w:r>
      <w:r w:rsidR="00941883">
        <w:rPr>
          <w:rFonts w:ascii="Arial" w:hAnsi="Arial" w:cs="Arial"/>
          <w:sz w:val="24"/>
          <w:szCs w:val="24"/>
        </w:rPr>
        <w:instrText>ADDIN CSL_CITATION {"citationItems":[{"id":"ITEM-1","itemData":{"author":[{"dropping-particle":"","family":"Hassali","given":"M A","non-dropping-particle":"","parse-names":false,"suffix":""},{"dropping-particle":"","family":"Nazir","given":"S R","non-dropping-particle":"","parse-names":false,"suffix":""},{"dropping-particle":"","family":"Saleem","given":"F","non-dropping-particle":"","parse-names":false,"suffix":""},{"dropping-particle":"","family":"Masood","given":"I","non-dropping-particle":"","parse-names":false,"suffix":""}],"container-title":"Alternative Therapies in Health and Medicine","id":"ITEM-1","issue":"1","issued":{"date-parts":[["2015"]]},"note":"Cited By :6\n\nExport Date: 26 September 2019","page":"28-35","title":"Literature review: Pharmacists’ interventions to improve control and management in type 2 diabetes mellitus","type":"article-journal","volume":"21"},"uris":["http://www.mendeley.com/documents/?uuid=1f19d666-91f7-49d5-a7c5-d80fdd9f6d99"]}],"mendeley":{"formattedCitation":"(Hassali &lt;i&gt;et al.&lt;/i&gt;, 2015)","manualFormatting":"Hassali et al. (2015)","plainTextFormattedCitation":"(Hassali et al., 2015)","previouslyFormattedCitation":"(Hassali &lt;i&gt;et al.&lt;/i&gt;, 2015)"},"properties":{"noteIndex":0},"schema":"https://github.com/citation-style-language/schema/raw/master/csl-citation.json"}</w:instrText>
      </w:r>
      <w:r w:rsidR="00941883">
        <w:rPr>
          <w:rFonts w:ascii="Arial" w:hAnsi="Arial" w:cs="Arial"/>
          <w:sz w:val="24"/>
          <w:szCs w:val="24"/>
        </w:rPr>
        <w:fldChar w:fldCharType="separate"/>
      </w:r>
      <w:r w:rsidR="00941883" w:rsidRPr="005867BA">
        <w:rPr>
          <w:rFonts w:ascii="Arial" w:hAnsi="Arial" w:cs="Arial"/>
          <w:noProof/>
          <w:sz w:val="24"/>
          <w:szCs w:val="24"/>
        </w:rPr>
        <w:t xml:space="preserve">Hassali </w:t>
      </w:r>
      <w:r w:rsidR="00941883" w:rsidRPr="005867BA">
        <w:rPr>
          <w:rFonts w:ascii="Arial" w:hAnsi="Arial" w:cs="Arial"/>
          <w:i/>
          <w:noProof/>
          <w:sz w:val="24"/>
          <w:szCs w:val="24"/>
        </w:rPr>
        <w:t>et al.</w:t>
      </w:r>
      <w:r w:rsidR="00941883" w:rsidRPr="005867BA">
        <w:rPr>
          <w:rFonts w:ascii="Arial" w:hAnsi="Arial" w:cs="Arial"/>
          <w:noProof/>
          <w:sz w:val="24"/>
          <w:szCs w:val="24"/>
        </w:rPr>
        <w:t xml:space="preserve"> </w:t>
      </w:r>
      <w:r w:rsidR="00941883">
        <w:rPr>
          <w:rFonts w:ascii="Arial" w:hAnsi="Arial" w:cs="Arial"/>
          <w:noProof/>
          <w:sz w:val="24"/>
          <w:szCs w:val="24"/>
        </w:rPr>
        <w:t>(</w:t>
      </w:r>
      <w:r w:rsidR="00941883" w:rsidRPr="005867BA">
        <w:rPr>
          <w:rFonts w:ascii="Arial" w:hAnsi="Arial" w:cs="Arial"/>
          <w:noProof/>
          <w:sz w:val="24"/>
          <w:szCs w:val="24"/>
        </w:rPr>
        <w:t>2015)</w:t>
      </w:r>
      <w:r w:rsidR="00941883">
        <w:rPr>
          <w:rFonts w:ascii="Arial" w:hAnsi="Arial" w:cs="Arial"/>
          <w:sz w:val="24"/>
          <w:szCs w:val="24"/>
        </w:rPr>
        <w:fldChar w:fldCharType="end"/>
      </w:r>
      <w:r w:rsidR="00941883">
        <w:rPr>
          <w:rFonts w:ascii="Arial" w:hAnsi="Arial" w:cs="Arial"/>
          <w:sz w:val="24"/>
          <w:szCs w:val="24"/>
        </w:rPr>
        <w:t xml:space="preserve"> </w:t>
      </w:r>
      <w:r w:rsidR="00941883" w:rsidRPr="006B2FC7">
        <w:rPr>
          <w:rFonts w:ascii="Arial" w:hAnsi="Arial" w:cs="Arial"/>
          <w:sz w:val="24"/>
          <w:szCs w:val="24"/>
        </w:rPr>
        <w:t xml:space="preserve">showed that pharmacist interventions offered significant benefits in improving medication adherence in diabetes and reducing levels of HbA1c, BP, LDL-C, and diabetes-related complications. </w:t>
      </w:r>
      <w:r w:rsidR="00941883" w:rsidRPr="006B2FC7">
        <w:rPr>
          <w:rFonts w:ascii="Arial" w:eastAsia="Times New Roman" w:hAnsi="Arial" w:cs="Arial"/>
          <w:sz w:val="24"/>
          <w:szCs w:val="24"/>
        </w:rPr>
        <w:t xml:space="preserve">Likewise, </w:t>
      </w:r>
      <w:r w:rsidR="00941883" w:rsidRPr="006B2FC7">
        <w:rPr>
          <w:rFonts w:ascii="Arial" w:eastAsia="Times New Roman" w:hAnsi="Arial" w:cs="Arial"/>
          <w:sz w:val="24"/>
          <w:szCs w:val="24"/>
          <w:lang w:val="en-GB"/>
        </w:rPr>
        <w:t>another</w:t>
      </w:r>
      <w:r w:rsidR="00941883" w:rsidRPr="006B2FC7">
        <w:rPr>
          <w:rFonts w:ascii="Arial" w:hAnsi="Arial" w:cs="Arial"/>
          <w:sz w:val="24"/>
          <w:szCs w:val="24"/>
          <w:lang w:val="en-GB"/>
        </w:rPr>
        <w:t xml:space="preserve"> systematic review of randomised controlled studies published in 2016 evaluated the effectiveness of pharmacist interventions in the management of diabetes patients </w:t>
      </w:r>
      <w:r w:rsidR="00941883" w:rsidRPr="006B2FC7">
        <w:rPr>
          <w:rFonts w:ascii="Arial" w:hAnsi="Arial" w:cs="Arial"/>
          <w:sz w:val="24"/>
          <w:szCs w:val="24"/>
          <w:lang w:val="en-GB"/>
        </w:rPr>
        <w:fldChar w:fldCharType="begin" w:fldLock="1"/>
      </w:r>
      <w:r w:rsidR="00941883" w:rsidRPr="006B2FC7">
        <w:rPr>
          <w:rFonts w:ascii="Arial" w:hAnsi="Arial" w:cs="Arial"/>
          <w:sz w:val="24"/>
          <w:szCs w:val="24"/>
          <w:lang w:val="en-GB"/>
        </w:rPr>
        <w:instrText>ADDIN CSL_CITATION {"citationItems":[{"id":"ITEM-1","itemData":{"DOI":"https://dx.doi.org/10.18553/jmcp.2016.22.5.493","ISSN":"2376-1032","PMID":"27123912","abstract":"BACKGROUND: Diabetes mellitus is a major health problem that is growing rapidly worldwide. A collaborative and integrated team approach in which pharmacists can play a pivotal role should be sought when managing patients with diabetes., OBJECTIVE: To identify and summarize the main outcomes of pharmacist interventions in the management of type 2 diabetes., METHODS: PubMed, Cochrane Central Register of Controlled Trials, and Web of Science were searched for randomized controlled trials evaluating the effectiveness of any pharmacist intervention directed at patients with type 2 diabetes in comparison with usual care. Outcome measures of interest included glycosylated hemoglobin (Alc), blood glucose, blood pressure, lipid profile, body mass index (BMI), 10-year coronary heart disease (CHD) risk, medication adherence, health-related quality of life (HRQoL), and economic outcomes. The risk of bias in included studies was assessed using the Cochrane risk of bias tool., RESULTS: Thirty-six studies were included in this systematic review, involving 5,761 participants. The studies evaluated the effects of several pharmacist interventions carried out in various countries and in different health care facilities, such as community pharmacies, primary care clinics, and hospitals. The number of studies reporting each outcome of interest varied. Alc was evaluated in 26 studies, of which 24 reported a greater reduction in this outcome in the intervention group compared with the control group, with the difference in change between groups ranging from -0.18% to -2.1%. Eighteen studies assessed change in systolic blood pressure, of which 17 studies reported a greater improvement in this outcome in the intervention group, with the difference in change between groups varying between -3.3 mmHg and -23.05 mmHg. For diastolic blood pressure, a greater effect was also observed in the intervention group in 14 out of 15 studies, with the difference in change between groups varying between -0.21 mmHg and -9.1 mmHg. Thirteen studies described total cholesterol as an outcome measure, of which 10 reported a greater improvement in this outcome in the intervention group, with the difference in change between groups ranging from +18.95 mg dL(-1) to -32.48 mg dL(-1). With regard to low-density lipoprotein cholesterol, a greater reduction in this parameter in the intervention group was documented in 12 out of 15 studies, with the difference in change between groups varying between +7.35 m…","author":[{"dropping-particle":"","family":"Pousinho","given":"Sarah","non-dropping-particle":"","parse-names":false,"suffix":""},{"dropping-particle":"","family":"Morgado","given":"Manuel","non-dropping-particle":"","parse-names":false,"suffix":""},{"dropping-particle":"","family":"Falcão","given":"Amílcar","non-dropping-particle":"","parse-names":false,"suffix":""},{"dropping-particle":"","family":"Alves","given":"Gilberto","non-dropping-particle":"","parse-names":false,"suffix":""},{"dropping-particle":"","family":"Falcao","given":"Amilcar","non-dropping-particle":"","parse-names":false,"suffix":""},{"dropping-particle":"","family":"Alves","given":"Gilberto","non-dropping-particle":"","parse-names":false,"suffix":""}],"container-title":"Journal of managed care &amp; specialty pharmacy","id":"ITEM-1","issue":"5","issued":{"date-parts":[["2016","5","1"]]},"page":"493-515","publisher":"Academy of Managed Care Pharmacy (AMCP)","publisher-place":"United States","title":"Pharmacist Interventions in the Management of Type 2 Diabetes Mellitus: A Systematic Review of Randomized Controlled Trials.","type":"article-journal","volume":"22"},"uris":["http://www.mendeley.com/documents/?uuid=5ba65295-ecb5-4236-9c6c-4d2012560a2c"]}],"mendeley":{"formattedCitation":"(Pousinho &lt;i&gt;et al.&lt;/i&gt;, 2016)","plainTextFormattedCitation":"(Pousinho et al., 2016)","previouslyFormattedCitation":"(Pousinho &lt;i&gt;et al.&lt;/i&gt;, 2016)"},"properties":{"noteIndex":0},"schema":"https://github.com/citation-style-language/schema/raw/master/csl-citation.json"}</w:instrText>
      </w:r>
      <w:r w:rsidR="00941883" w:rsidRPr="006B2FC7">
        <w:rPr>
          <w:rFonts w:ascii="Arial" w:hAnsi="Arial" w:cs="Arial"/>
          <w:sz w:val="24"/>
          <w:szCs w:val="24"/>
          <w:lang w:val="en-GB"/>
        </w:rPr>
        <w:fldChar w:fldCharType="separate"/>
      </w:r>
      <w:r w:rsidR="00941883" w:rsidRPr="006B2FC7">
        <w:rPr>
          <w:rFonts w:ascii="Arial" w:hAnsi="Arial" w:cs="Arial"/>
          <w:noProof/>
          <w:sz w:val="24"/>
          <w:szCs w:val="24"/>
          <w:lang w:val="en-GB"/>
        </w:rPr>
        <w:t xml:space="preserve">(Pousinho </w:t>
      </w:r>
      <w:r w:rsidR="00941883" w:rsidRPr="006B2FC7">
        <w:rPr>
          <w:rFonts w:ascii="Arial" w:hAnsi="Arial" w:cs="Arial"/>
          <w:i/>
          <w:noProof/>
          <w:sz w:val="24"/>
          <w:szCs w:val="24"/>
          <w:lang w:val="en-GB"/>
        </w:rPr>
        <w:t>et al.</w:t>
      </w:r>
      <w:r w:rsidR="00941883" w:rsidRPr="006B2FC7">
        <w:rPr>
          <w:rFonts w:ascii="Arial" w:hAnsi="Arial" w:cs="Arial"/>
          <w:noProof/>
          <w:sz w:val="24"/>
          <w:szCs w:val="24"/>
          <w:lang w:val="en-GB"/>
        </w:rPr>
        <w:t>, 2016)</w:t>
      </w:r>
      <w:r w:rsidR="00941883" w:rsidRPr="006B2FC7">
        <w:rPr>
          <w:rFonts w:ascii="Arial" w:hAnsi="Arial" w:cs="Arial"/>
          <w:sz w:val="24"/>
          <w:szCs w:val="24"/>
          <w:lang w:val="en-GB"/>
        </w:rPr>
        <w:fldChar w:fldCharType="end"/>
      </w:r>
      <w:r w:rsidR="00941883" w:rsidRPr="006B2FC7">
        <w:rPr>
          <w:rFonts w:ascii="Arial" w:hAnsi="Arial" w:cs="Arial"/>
          <w:sz w:val="24"/>
          <w:szCs w:val="24"/>
          <w:lang w:val="en-GB"/>
        </w:rPr>
        <w:t xml:space="preserve">. This study included thirty-six studies conducted across different countries in different health care settings including primary care, hospital, and community pharmacies </w:t>
      </w:r>
      <w:r w:rsidR="00941883" w:rsidRPr="006B2FC7">
        <w:rPr>
          <w:rFonts w:ascii="Arial" w:hAnsi="Arial" w:cs="Arial"/>
          <w:sz w:val="24"/>
          <w:szCs w:val="24"/>
          <w:lang w:val="en-GB"/>
        </w:rPr>
        <w:fldChar w:fldCharType="begin" w:fldLock="1"/>
      </w:r>
      <w:r w:rsidR="00941883" w:rsidRPr="006B2FC7">
        <w:rPr>
          <w:rFonts w:ascii="Arial" w:hAnsi="Arial" w:cs="Arial"/>
          <w:sz w:val="24"/>
          <w:szCs w:val="24"/>
          <w:lang w:val="en-GB"/>
        </w:rPr>
        <w:instrText>ADDIN CSL_CITATION {"citationItems":[{"id":"ITEM-1","itemData":{"DOI":"https://dx.doi.org/10.18553/jmcp.2016.22.5.493","ISSN":"2376-1032","PMID":"27123912","abstract":"BACKGROUND: Diabetes mellitus is a major health problem that is growing rapidly worldwide. A collaborative and integrated team approach in which pharmacists can play a pivotal role should be sought when managing patients with diabetes., OBJECTIVE: To identify and summarize the main outcomes of pharmacist interventions in the management of type 2 diabetes., METHODS: PubMed, Cochrane Central Register of Controlled Trials, and Web of Science were searched for randomized controlled trials evaluating the effectiveness of any pharmacist intervention directed at patients with type 2 diabetes in comparison with usual care. Outcome measures of interest included glycosylated hemoglobin (Alc), blood glucose, blood pressure, lipid profile, body mass index (BMI), 10-year coronary heart disease (CHD) risk, medication adherence, health-related quality of life (HRQoL), and economic outcomes. The risk of bias in included studies was assessed using the Cochrane risk of bias tool., RESULTS: Thirty-six studies were included in this systematic review, involving 5,761 participants. The studies evaluated the effects of several pharmacist interventions carried out in various countries and in different health care facilities, such as community pharmacies, primary care clinics, and hospitals. The number of studies reporting each outcome of interest varied. Alc was evaluated in 26 studies, of which 24 reported a greater reduction in this outcome in the intervention group compared with the control group, with the difference in change between groups ranging from -0.18% to -2.1%. Eighteen studies assessed change in systolic blood pressure, of which 17 studies reported a greater improvement in this outcome in the intervention group, with the difference in change between groups varying between -3.3 mmHg and -23.05 mmHg. For diastolic blood pressure, a greater effect was also observed in the intervention group in 14 out of 15 studies, with the difference in change between groups varying between -0.21 mmHg and -9.1 mmHg. Thirteen studies described total cholesterol as an outcome measure, of which 10 reported a greater improvement in this outcome in the intervention group, with the difference in change between groups ranging from +18.95 mg dL(-1) to -32.48 mg dL(-1). With regard to low-density lipoprotein cholesterol, a greater reduction in this parameter in the intervention group was documented in 12 out of 15 studies, with the difference in change between groups varying between +7.35 m…","author":[{"dropping-particle":"","family":"Pousinho","given":"Sarah","non-dropping-particle":"","parse-names":false,"suffix":""},{"dropping-particle":"","family":"Morgado","given":"Manuel","non-dropping-particle":"","parse-names":false,"suffix":""},{"dropping-particle":"","family":"Falcão","given":"Amílcar","non-dropping-particle":"","parse-names":false,"suffix":""},{"dropping-particle":"","family":"Alves","given":"Gilberto","non-dropping-particle":"","parse-names":false,"suffix":""},{"dropping-particle":"","family":"Falcao","given":"Amilcar","non-dropping-particle":"","parse-names":false,"suffix":""},{"dropping-particle":"","family":"Alves","given":"Gilberto","non-dropping-particle":"","parse-names":false,"suffix":""}],"container-title":"Journal of managed care &amp; specialty pharmacy","id":"ITEM-1","issue":"5","issued":{"date-parts":[["2016","5","1"]]},"page":"493-515","publisher":"Academy of Managed Care Pharmacy (AMCP)","publisher-place":"United States","title":"Pharmacist Interventions in the Management of Type 2 Diabetes Mellitus: A Systematic Review of Randomized Controlled Trials.","type":"article-journal","volume":"22"},"uris":["http://www.mendeley.com/documents/?uuid=5ba65295-ecb5-4236-9c6c-4d2012560a2c"]}],"mendeley":{"formattedCitation":"(Pousinho &lt;i&gt;et al.&lt;/i&gt;, 2016)","plainTextFormattedCitation":"(Pousinho et al., 2016)","previouslyFormattedCitation":"(Pousinho &lt;i&gt;et al.&lt;/i&gt;, 2016)"},"properties":{"noteIndex":0},"schema":"https://github.com/citation-style-language/schema/raw/master/csl-citation.json"}</w:instrText>
      </w:r>
      <w:r w:rsidR="00941883" w:rsidRPr="006B2FC7">
        <w:rPr>
          <w:rFonts w:ascii="Arial" w:hAnsi="Arial" w:cs="Arial"/>
          <w:sz w:val="24"/>
          <w:szCs w:val="24"/>
          <w:lang w:val="en-GB"/>
        </w:rPr>
        <w:fldChar w:fldCharType="separate"/>
      </w:r>
      <w:r w:rsidR="00941883" w:rsidRPr="006B2FC7">
        <w:rPr>
          <w:rFonts w:ascii="Arial" w:hAnsi="Arial" w:cs="Arial"/>
          <w:noProof/>
          <w:sz w:val="24"/>
          <w:szCs w:val="24"/>
          <w:lang w:val="en-GB"/>
        </w:rPr>
        <w:t xml:space="preserve">(Pousinho </w:t>
      </w:r>
      <w:r w:rsidR="00941883" w:rsidRPr="006B2FC7">
        <w:rPr>
          <w:rFonts w:ascii="Arial" w:hAnsi="Arial" w:cs="Arial"/>
          <w:i/>
          <w:noProof/>
          <w:sz w:val="24"/>
          <w:szCs w:val="24"/>
          <w:lang w:val="en-GB"/>
        </w:rPr>
        <w:t>et al.</w:t>
      </w:r>
      <w:r w:rsidR="00941883" w:rsidRPr="006B2FC7">
        <w:rPr>
          <w:rFonts w:ascii="Arial" w:hAnsi="Arial" w:cs="Arial"/>
          <w:noProof/>
          <w:sz w:val="24"/>
          <w:szCs w:val="24"/>
          <w:lang w:val="en-GB"/>
        </w:rPr>
        <w:t>, 2016)</w:t>
      </w:r>
      <w:r w:rsidR="00941883" w:rsidRPr="006B2FC7">
        <w:rPr>
          <w:rFonts w:ascii="Arial" w:hAnsi="Arial" w:cs="Arial"/>
          <w:sz w:val="24"/>
          <w:szCs w:val="24"/>
          <w:lang w:val="en-GB"/>
        </w:rPr>
        <w:fldChar w:fldCharType="end"/>
      </w:r>
      <w:r w:rsidR="00941883" w:rsidRPr="006B2FC7">
        <w:rPr>
          <w:rFonts w:ascii="Arial" w:hAnsi="Arial" w:cs="Arial"/>
          <w:sz w:val="24"/>
          <w:szCs w:val="24"/>
          <w:lang w:val="en-GB"/>
        </w:rPr>
        <w:t xml:space="preserve">. This review demonstrated positive clinical impacts of pharmacists’ interventions in the management of patients with diabetes through the significant reduction in HbA1c, blood glucose level (fasting/postprandial/random), BP, BMI, and improvement in the lipid profile in the intervention group during the follow up period in most studies. </w:t>
      </w:r>
      <w:r w:rsidR="00941883">
        <w:rPr>
          <w:rFonts w:ascii="Arial" w:hAnsi="Arial" w:cs="Arial"/>
          <w:sz w:val="24"/>
          <w:szCs w:val="24"/>
          <w:lang w:val="en-GB"/>
        </w:rPr>
        <w:t xml:space="preserve">Based on these findings, </w:t>
      </w:r>
      <w:r w:rsidR="00941883" w:rsidRPr="006B2FC7">
        <w:rPr>
          <w:rFonts w:ascii="Arial" w:hAnsi="Arial" w:cs="Arial"/>
          <w:sz w:val="24"/>
          <w:szCs w:val="24"/>
          <w:lang w:val="en-GB"/>
        </w:rPr>
        <w:fldChar w:fldCharType="begin" w:fldLock="1"/>
      </w:r>
      <w:r w:rsidR="00941883">
        <w:rPr>
          <w:rFonts w:ascii="Arial" w:hAnsi="Arial" w:cs="Arial"/>
          <w:sz w:val="24"/>
          <w:szCs w:val="24"/>
          <w:lang w:val="en-GB"/>
        </w:rPr>
        <w:instrText>ADDIN CSL_CITATION {"citationItems":[{"id":"ITEM-1","itemData":{"DOI":"https://dx.doi.org/10.18553/jmcp.2016.22.5.493","ISSN":"2376-1032","PMID":"27123912","abstract":"BACKGROUND: Diabetes mellitus is a major health problem that is growing rapidly worldwide. A collaborative and integrated team approach in which pharmacists can play a pivotal role should be sought when managing patients with diabetes., OBJECTIVE: To identify and summarize the main outcomes of pharmacist interventions in the management of type 2 diabetes., METHODS: PubMed, Cochrane Central Register of Controlled Trials, and Web of Science were searched for randomized controlled trials evaluating the effectiveness of any pharmacist intervention directed at patients with type 2 diabetes in comparison with usual care. Outcome measures of interest included glycosylated hemoglobin (Alc), blood glucose, blood pressure, lipid profile, body mass index (BMI), 10-year coronary heart disease (CHD) risk, medication adherence, health-related quality of life (HRQoL), and economic outcomes. The risk of bias in included studies was assessed using the Cochrane risk of bias tool., RESULTS: Thirty-six studies were included in this systematic review, involving 5,761 participants. The studies evaluated the effects of several pharmacist interventions carried out in various countries and in different health care facilities, such as community pharmacies, primary care clinics, and hospitals. The number of studies reporting each outcome of interest varied. Alc was evaluated in 26 studies, of which 24 reported a greater reduction in this outcome in the intervention group compared with the control group, with the difference in change between groups ranging from -0.18% to -2.1%. Eighteen studies assessed change in systolic blood pressure, of which 17 studies reported a greater improvement in this outcome in the intervention group, with the difference in change between groups varying between -3.3 mmHg and -23.05 mmHg. For diastolic blood pressure, a greater effect was also observed in the intervention group in 14 out of 15 studies, with the difference in change between groups varying between -0.21 mmHg and -9.1 mmHg. Thirteen studies described total cholesterol as an outcome measure, of which 10 reported a greater improvement in this outcome in the intervention group, with the difference in change between groups ranging from +18.95 mg dL(-1) to -32.48 mg dL(-1). With regard to low-density lipoprotein cholesterol, a greater reduction in this parameter in the intervention group was documented in 12 out of 15 studies, with the difference in change between groups varying between +7.35 m…","author":[{"dropping-particle":"","family":"Pousinho","given":"Sarah","non-dropping-particle":"","parse-names":false,"suffix":""},{"dropping-particle":"","family":"Morgado","given":"Manuel","non-dropping-particle":"","parse-names":false,"suffix":""},{"dropping-particle":"","family":"Falcão","given":"Amílcar","non-dropping-particle":"","parse-names":false,"suffix":""},{"dropping-particle":"","family":"Alves","given":"Gilberto","non-dropping-particle":"","parse-names":false,"suffix":""},{"dropping-particle":"","family":"Falcao","given":"Amilcar","non-dropping-particle":"","parse-names":false,"suffix":""},{"dropping-particle":"","family":"Alves","given":"Gilberto","non-dropping-particle":"","parse-names":false,"suffix":""}],"container-title":"Journal of managed care &amp; specialty pharmacy","id":"ITEM-1","issue":"5","issued":{"date-parts":[["2016","5","1"]]},"page":"493-515","publisher":"Academy of Managed Care Pharmacy (AMCP)","publisher-place":"United States","title":"Pharmacist Interventions in the Management of Type 2 Diabetes Mellitus: A Systematic Review of Randomized Controlled Trials.","type":"article-journal","volume":"22"},"uris":["http://www.mendeley.com/documents/?uuid=5ba65295-ecb5-4236-9c6c-4d2012560a2c"]}],"mendeley":{"formattedCitation":"(Pousinho &lt;i&gt;et al.&lt;/i&gt;, 2016)","manualFormatting":"Pousinho et al. (2016)","plainTextFormattedCitation":"(Pousinho et al., 2016)","previouslyFormattedCitation":"(Pousinho &lt;i&gt;et al.&lt;/i&gt;, 2016)"},"properties":{"noteIndex":0},"schema":"https://github.com/citation-style-language/schema/raw/master/csl-citation.json"}</w:instrText>
      </w:r>
      <w:r w:rsidR="00941883" w:rsidRPr="006B2FC7">
        <w:rPr>
          <w:rFonts w:ascii="Arial" w:hAnsi="Arial" w:cs="Arial"/>
          <w:sz w:val="24"/>
          <w:szCs w:val="24"/>
          <w:lang w:val="en-GB"/>
        </w:rPr>
        <w:fldChar w:fldCharType="separate"/>
      </w:r>
      <w:r w:rsidR="00941883" w:rsidRPr="006B2FC7">
        <w:rPr>
          <w:rFonts w:ascii="Arial" w:hAnsi="Arial" w:cs="Arial"/>
          <w:noProof/>
          <w:sz w:val="24"/>
          <w:szCs w:val="24"/>
          <w:lang w:val="en-GB"/>
        </w:rPr>
        <w:t xml:space="preserve">Pousinho </w:t>
      </w:r>
      <w:r w:rsidR="00941883" w:rsidRPr="006B2FC7">
        <w:rPr>
          <w:rFonts w:ascii="Arial" w:hAnsi="Arial" w:cs="Arial"/>
          <w:i/>
          <w:noProof/>
          <w:sz w:val="24"/>
          <w:szCs w:val="24"/>
          <w:lang w:val="en-GB"/>
        </w:rPr>
        <w:t>et al.</w:t>
      </w:r>
      <w:r w:rsidR="00941883" w:rsidRPr="006B2FC7">
        <w:rPr>
          <w:rFonts w:ascii="Arial" w:hAnsi="Arial" w:cs="Arial"/>
          <w:noProof/>
          <w:sz w:val="24"/>
          <w:szCs w:val="24"/>
          <w:lang w:val="en-GB"/>
        </w:rPr>
        <w:t xml:space="preserve"> </w:t>
      </w:r>
      <w:r w:rsidR="00941883">
        <w:rPr>
          <w:rFonts w:ascii="Arial" w:hAnsi="Arial" w:cs="Arial"/>
          <w:noProof/>
          <w:sz w:val="24"/>
          <w:szCs w:val="24"/>
          <w:lang w:val="en-GB"/>
        </w:rPr>
        <w:t>(</w:t>
      </w:r>
      <w:r w:rsidR="00941883" w:rsidRPr="006B2FC7">
        <w:rPr>
          <w:rFonts w:ascii="Arial" w:hAnsi="Arial" w:cs="Arial"/>
          <w:noProof/>
          <w:sz w:val="24"/>
          <w:szCs w:val="24"/>
          <w:lang w:val="en-GB"/>
        </w:rPr>
        <w:t>2016)</w:t>
      </w:r>
      <w:r w:rsidR="00941883" w:rsidRPr="006B2FC7">
        <w:rPr>
          <w:rFonts w:ascii="Arial" w:hAnsi="Arial" w:cs="Arial"/>
          <w:sz w:val="24"/>
          <w:szCs w:val="24"/>
          <w:lang w:val="en-GB"/>
        </w:rPr>
        <w:fldChar w:fldCharType="end"/>
      </w:r>
      <w:r w:rsidR="00941883">
        <w:rPr>
          <w:rFonts w:ascii="Arial" w:hAnsi="Arial" w:cs="Arial"/>
          <w:sz w:val="24"/>
          <w:szCs w:val="24"/>
          <w:lang w:val="en-GB"/>
        </w:rPr>
        <w:t xml:space="preserve"> </w:t>
      </w:r>
      <w:r w:rsidR="00941883" w:rsidRPr="006B2FC7">
        <w:rPr>
          <w:rFonts w:ascii="Arial" w:hAnsi="Arial" w:cs="Arial"/>
          <w:sz w:val="24"/>
          <w:szCs w:val="24"/>
          <w:lang w:val="en-GB"/>
        </w:rPr>
        <w:t xml:space="preserve">conclude that pharmacists’ interventions can have positive clinical impacts on disease control and medication adherence of DM patients. This view is supported by </w:t>
      </w:r>
      <w:r w:rsidR="00941883" w:rsidRPr="006B2FC7">
        <w:rPr>
          <w:rFonts w:ascii="Arial" w:hAnsi="Arial" w:cs="Arial"/>
          <w:sz w:val="24"/>
          <w:szCs w:val="24"/>
          <w:lang w:val="en-GB"/>
        </w:rPr>
        <w:fldChar w:fldCharType="begin" w:fldLock="1"/>
      </w:r>
      <w:r w:rsidR="00941883" w:rsidRPr="006B2FC7">
        <w:rPr>
          <w:rFonts w:ascii="Arial" w:hAnsi="Arial" w:cs="Arial"/>
          <w:sz w:val="24"/>
          <w:szCs w:val="24"/>
          <w:lang w:val="en-GB"/>
        </w:rPr>
        <w:instrText>ADDIN CSL_CITATION {"citationItems":[{"id":"ITEM-1","itemData":{"DOI":"10.1371/journal.pone.0150999","abstract":"Objective To assess the effect of pharmacist interventions on glycemic control in type 2 diabetic patients and to examine factors that could explain the variation across studies. Methods A comprehensive literature search was performed in PubMed, Scopus, and LILACS databases for randomized controlled trials (RCTs) published up to July 2015. The search strategy included the use of MeSH terms or text words related to pharmacist interventions, type 2 diabetes, and randomized controlled trials. RCTs published in English, Portuguese, or Spanish that evaluated the effect of pharmacist intervention on glycemic control in type 2 diabetic outpatients were included. Two independent authors executed study selection, data extraction, and risk of bias assessment. Mean differences in glycosylated hemoglobin (HbA1c) were estimated using random-effect models, and heterogeneity was evaluated by subgroup and meta-regression analyses. Results The literature search yielded 963 records of potential interest, of which 30 were included in the systematic review and 22 in the meta-analysis. Most of these RCTs were conducted in the United States in patients in outpatient clinics using face-to-face contact only. All RCTs performed patient education, and most executed the medication review. The appraised sample showed uncertain or high risk of bias in most of the items evaluated, resulting in low-quality studies. In comparison with usual care, pharmacist interventions were associated with significant reductions in HbA1c levels (-8.5% [95% CI:-1.06,-0.65]; P &lt; 0.0001; I 2 = 67.3%). Subgroup analysis indicated differences of heterogeneity by country, baseline PLOS ONE |","author":[{"dropping-particle":"","family":"Melo Aguiar","given":"Patricia","non-dropping-particle":"","parse-names":false,"suffix":""},{"dropping-particle":"","family":"Carvalho Brito","given":"Giselle","non-dropping-particle":"De","parse-names":false,"suffix":""},{"dropping-particle":"","family":"Mendonça Lima","given":"Tácio","non-dropping-particle":"De","parse-names":false,"suffix":""},{"dropping-particle":"","family":"Patrícia Alves Lima Santos","given":"Ana","non-dropping-particle":"","parse-names":false,"suffix":""},{"dropping-particle":"","family":"Pereira Lyra","given":"Divaldo","non-dropping-particle":"","parse-names":false,"suffix":""},{"dropping-particle":"","family":"Storpirtis","given":"Sílvia","non-dropping-particle":"","parse-names":false,"suffix":""},{"dropping-particle":"","family":"Aguiar","given":"P M","non-dropping-particle":"","parse-names":false,"suffix":""},{"dropping-particle":"","family":"Carvalho Brito","given":"Giselle","non-dropping-particle":"De","parse-names":false,"suffix":""},{"dropping-particle":"","family":"Mendonça Lima","given":"Tácio","non-dropping-particle":"De","parse-names":false,"suffix":""},{"dropping-particle":"","family":"Santos","given":"A.P.A.L.","non-dropping-particle":"","parse-names":false,"suffix":""},{"dropping-particle":"","family":"Lyra","given":"D P","non-dropping-particle":"","parse-names":false,"suffix":""},{"dropping-particle":"","family":"Storpirtis","given":"Sílvia","non-dropping-particle":"","parse-names":false,"suffix":""}],"container-title":"PLoS ONE","id":"ITEM-1","issue":"3","issued":{"date-parts":[["2016"]]},"note":"From Duplicate 1 (Investigating sources of heterogeneity in randomized controlled trials of the effects of pharmacist interventions on glycemic control in type 2 diabetic patients: A systematic review and meta-analysis - Aguiar, P M; De Carvalho Brito, G; De Mendonça Lima, T; Santos, A.P.A.L.; Lyra, D P; Storpirtis, S)\n\nCited By :14\n\nExport Date: 26 September 2019","page":"150999","title":"Investigating sources of heterogeneity in randomized controlled trials of the effects of pharmacist interventions on glycemic control in type 2 diabetic patients: A systematic review and meta-analysis","type":"article-journal","volume":"11"},"uris":["http://www.mendeley.com/documents/?uuid=671daa02-229a-497e-bc02-80e16f311923"]}],"mendeley":{"formattedCitation":"(Melo Aguiar &lt;i&gt;et al.&lt;/i&gt;, 2016)","manualFormatting":"Melo Aguiar et al., (2016)","plainTextFormattedCitation":"(Melo Aguiar et al., 2016)","previouslyFormattedCitation":"(Melo Aguiar &lt;i&gt;et al.&lt;/i&gt;, 2016)"},"properties":{"noteIndex":0},"schema":"https://github.com/citation-style-language/schema/raw/master/csl-citation.json"}</w:instrText>
      </w:r>
      <w:r w:rsidR="00941883" w:rsidRPr="006B2FC7">
        <w:rPr>
          <w:rFonts w:ascii="Arial" w:hAnsi="Arial" w:cs="Arial"/>
          <w:sz w:val="24"/>
          <w:szCs w:val="24"/>
          <w:lang w:val="en-GB"/>
        </w:rPr>
        <w:fldChar w:fldCharType="separate"/>
      </w:r>
      <w:r w:rsidR="00941883" w:rsidRPr="006B2FC7">
        <w:rPr>
          <w:rFonts w:ascii="Arial" w:hAnsi="Arial" w:cs="Arial"/>
          <w:noProof/>
          <w:sz w:val="24"/>
          <w:szCs w:val="24"/>
          <w:lang w:val="en-GB"/>
        </w:rPr>
        <w:t>Melo Aguiar et al., (2016)</w:t>
      </w:r>
      <w:r w:rsidR="00941883" w:rsidRPr="006B2FC7">
        <w:rPr>
          <w:rFonts w:ascii="Arial" w:hAnsi="Arial" w:cs="Arial"/>
          <w:sz w:val="24"/>
          <w:szCs w:val="24"/>
          <w:lang w:val="en-GB"/>
        </w:rPr>
        <w:fldChar w:fldCharType="end"/>
      </w:r>
      <w:r w:rsidR="00941883" w:rsidRPr="006B2FC7">
        <w:rPr>
          <w:rFonts w:ascii="Arial" w:hAnsi="Arial" w:cs="Arial"/>
          <w:sz w:val="24"/>
          <w:szCs w:val="24"/>
          <w:lang w:val="en-GB"/>
        </w:rPr>
        <w:t xml:space="preserve"> who conducted a systematic review and meta-analysis that aimed to investigate the sources of heterogeneity in RCTs of the effects of pharmacist interventions on glycaemic control in type 2 diabetic patients. </w:t>
      </w:r>
      <w:r w:rsidR="00941883">
        <w:rPr>
          <w:rFonts w:ascii="Arial" w:hAnsi="Arial" w:cs="Arial"/>
          <w:sz w:val="24"/>
          <w:szCs w:val="24"/>
          <w:lang w:val="en-GB"/>
        </w:rPr>
        <w:t xml:space="preserve">A </w:t>
      </w:r>
      <w:r w:rsidR="00941883" w:rsidRPr="006B2FC7">
        <w:rPr>
          <w:rFonts w:ascii="Arial" w:hAnsi="Arial" w:cs="Arial"/>
          <w:sz w:val="24"/>
          <w:szCs w:val="24"/>
          <w:lang w:val="en-GB"/>
        </w:rPr>
        <w:t xml:space="preserve"> meta-analysis by </w:t>
      </w:r>
      <w:r w:rsidR="00941883" w:rsidRPr="006B2FC7">
        <w:rPr>
          <w:rFonts w:ascii="Arial" w:hAnsi="Arial" w:cs="Arial"/>
          <w:sz w:val="24"/>
          <w:szCs w:val="24"/>
          <w:lang w:val="en-GB"/>
        </w:rPr>
        <w:fldChar w:fldCharType="begin" w:fldLock="1"/>
      </w:r>
      <w:r w:rsidR="00941883" w:rsidRPr="006B2FC7">
        <w:rPr>
          <w:rFonts w:ascii="Arial" w:hAnsi="Arial" w:cs="Arial"/>
          <w:sz w:val="24"/>
          <w:szCs w:val="24"/>
          <w:lang w:val="en-GB"/>
        </w:rPr>
        <w:instrText>ADDIN CSL_CITATION {"citationItems":[{"id":"ITEM-1","itemData":{"DOI":"10.1371/journal.pone.0150999","abstract":"Objective To assess the effect of pharmacist interventions on glycemic control in type 2 diabetic patients and to examine factors that could explain the variation across studies. Methods A comprehensive literature search was performed in PubMed, Scopus, and LILACS databases for randomized controlled trials (RCTs) published up to July 2015. The search strategy included the use of MeSH terms or text words related to pharmacist interventions, type 2 diabetes, and randomized controlled trials. RCTs published in English, Portuguese, or Spanish that evaluated the effect of pharmacist intervention on glycemic control in type 2 diabetic outpatients were included. Two independent authors executed study selection, data extraction, and risk of bias assessment. Mean differences in glycosylated hemoglobin (HbA1c) were estimated using random-effect models, and heterogeneity was evaluated by subgroup and meta-regression analyses. Results The literature search yielded 963 records of potential interest, of which 30 were included in the systematic review and 22 in the meta-analysis. Most of these RCTs were conducted in the United States in patients in outpatient clinics using face-to-face contact only. All RCTs performed patient education, and most executed the medication review. The appraised sample showed uncertain or high risk of bias in most of the items evaluated, resulting in low-quality studies. In comparison with usual care, pharmacist interventions were associated with significant reductions in HbA1c levels (-8.5% [95% CI:-1.06,-0.65]; P &lt; 0.0001; I 2 = 67.3%). Subgroup analysis indicated differences of heterogeneity by country, baseline PLOS ONE |","author":[{"dropping-particle":"","family":"Melo Aguiar","given":"Patricia","non-dropping-particle":"","parse-names":false,"suffix":""},{"dropping-particle":"","family":"Carvalho Brito","given":"Giselle","non-dropping-particle":"De","parse-names":false,"suffix":""},{"dropping-particle":"","family":"Mendonça Lima","given":"Tácio","non-dropping-particle":"De","parse-names":false,"suffix":""},{"dropping-particle":"","family":"Patrícia Alves Lima Santos","given":"Ana","non-dropping-particle":"","parse-names":false,"suffix":""},{"dropping-particle":"","family":"Pereira Lyra","given":"Divaldo","non-dropping-particle":"","parse-names":false,"suffix":""},{"dropping-particle":"","family":"Storpirtis","given":"Sílvia","non-dropping-particle":"","parse-names":false,"suffix":""},{"dropping-particle":"","family":"Aguiar","given":"P M","non-dropping-particle":"","parse-names":false,"suffix":""},{"dropping-particle":"","family":"Carvalho Brito","given":"Giselle","non-dropping-particle":"De","parse-names":false,"suffix":""},{"dropping-particle":"","family":"Mendonça Lima","given":"Tácio","non-dropping-particle":"De","parse-names":false,"suffix":""},{"dropping-particle":"","family":"Santos","given":"A.P.A.L.","non-dropping-particle":"","parse-names":false,"suffix":""},{"dropping-particle":"","family":"Lyra","given":"D P","non-dropping-particle":"","parse-names":false,"suffix":""},{"dropping-particle":"","family":"Storpirtis","given":"Sílvia","non-dropping-particle":"","parse-names":false,"suffix":""}],"container-title":"PLoS ONE","id":"ITEM-1","issue":"3","issued":{"date-parts":[["2016"]]},"note":"From Duplicate 1 (Investigating sources of heterogeneity in randomized controlled trials of the effects of pharmacist interventions on glycemic control in type 2 diabetic patients: A systematic review and meta-analysis - Aguiar, P M; De Carvalho Brito, G; De Mendonça Lima, T; Santos, A.P.A.L.; Lyra, D P; Storpirtis, S)\n\nCited By :14\n\nExport Date: 26 September 2019","page":"150999","title":"Investigating sources of heterogeneity in randomized controlled trials of the effects of pharmacist interventions on glycemic control in type 2 diabetic patients: A systematic review and meta-analysis","type":"article-journal","volume":"11"},"uris":["http://www.mendeley.com/documents/?uuid=671daa02-229a-497e-bc02-80e16f311923"]}],"mendeley":{"formattedCitation":"(Melo Aguiar &lt;i&gt;et al.&lt;/i&gt;, 2016)","manualFormatting":"Melo Aguiar et al., (2016)","plainTextFormattedCitation":"(Melo Aguiar et al., 2016)","previouslyFormattedCitation":"(Melo Aguiar &lt;i&gt;et al.&lt;/i&gt;, 2016)"},"properties":{"noteIndex":0},"schema":"https://github.com/citation-style-language/schema/raw/master/csl-citation.json"}</w:instrText>
      </w:r>
      <w:r w:rsidR="00941883" w:rsidRPr="006B2FC7">
        <w:rPr>
          <w:rFonts w:ascii="Arial" w:hAnsi="Arial" w:cs="Arial"/>
          <w:sz w:val="24"/>
          <w:szCs w:val="24"/>
          <w:lang w:val="en-GB"/>
        </w:rPr>
        <w:fldChar w:fldCharType="separate"/>
      </w:r>
      <w:r w:rsidR="00941883" w:rsidRPr="006B2FC7">
        <w:rPr>
          <w:rFonts w:ascii="Arial" w:hAnsi="Arial" w:cs="Arial"/>
          <w:noProof/>
          <w:sz w:val="24"/>
          <w:szCs w:val="24"/>
          <w:lang w:val="en-GB"/>
        </w:rPr>
        <w:t>Melo Aguiar et al., (2016)</w:t>
      </w:r>
      <w:r w:rsidR="00941883" w:rsidRPr="006B2FC7">
        <w:rPr>
          <w:rFonts w:ascii="Arial" w:hAnsi="Arial" w:cs="Arial"/>
          <w:sz w:val="24"/>
          <w:szCs w:val="24"/>
          <w:lang w:val="en-GB"/>
        </w:rPr>
        <w:fldChar w:fldCharType="end"/>
      </w:r>
      <w:r w:rsidR="00941883" w:rsidRPr="006B2FC7">
        <w:rPr>
          <w:rFonts w:ascii="Arial" w:hAnsi="Arial" w:cs="Arial"/>
          <w:sz w:val="24"/>
          <w:szCs w:val="24"/>
          <w:lang w:val="en-GB"/>
        </w:rPr>
        <w:t xml:space="preserve"> included 22 studies</w:t>
      </w:r>
      <w:r w:rsidR="00941883">
        <w:rPr>
          <w:rFonts w:ascii="Arial" w:hAnsi="Arial" w:cs="Arial"/>
          <w:sz w:val="24"/>
          <w:szCs w:val="24"/>
          <w:lang w:val="en-GB"/>
        </w:rPr>
        <w:t xml:space="preserve"> and</w:t>
      </w:r>
      <w:r w:rsidR="00941883" w:rsidRPr="006B2FC7">
        <w:rPr>
          <w:rFonts w:ascii="Arial" w:hAnsi="Arial" w:cs="Arial"/>
          <w:sz w:val="24"/>
          <w:szCs w:val="24"/>
          <w:lang w:val="en-GB"/>
        </w:rPr>
        <w:t xml:space="preserve"> provided </w:t>
      </w:r>
      <w:r w:rsidR="00941883">
        <w:rPr>
          <w:rFonts w:ascii="Arial" w:hAnsi="Arial" w:cs="Arial"/>
          <w:sz w:val="24"/>
          <w:szCs w:val="24"/>
          <w:lang w:val="en-GB"/>
        </w:rPr>
        <w:t xml:space="preserve">yet more </w:t>
      </w:r>
      <w:r w:rsidR="00941883" w:rsidRPr="006B2FC7">
        <w:rPr>
          <w:rFonts w:ascii="Arial" w:hAnsi="Arial" w:cs="Arial"/>
          <w:sz w:val="24"/>
          <w:szCs w:val="24"/>
          <w:lang w:val="en-GB"/>
        </w:rPr>
        <w:t>evidence that supports the role of pharmacists in diabetes management</w:t>
      </w:r>
      <w:r w:rsidR="00941883">
        <w:rPr>
          <w:rFonts w:ascii="Arial" w:hAnsi="Arial" w:cs="Arial"/>
          <w:sz w:val="24"/>
          <w:szCs w:val="24"/>
          <w:lang w:val="en-GB"/>
        </w:rPr>
        <w:t xml:space="preserve">; with </w:t>
      </w:r>
      <w:r w:rsidR="00941883" w:rsidRPr="006B2FC7">
        <w:rPr>
          <w:rFonts w:ascii="Arial" w:hAnsi="Arial" w:cs="Arial"/>
          <w:sz w:val="24"/>
          <w:szCs w:val="24"/>
          <w:lang w:val="en-GB"/>
        </w:rPr>
        <w:t xml:space="preserve">pharmacist interventions reducing HbA1c levels. </w:t>
      </w:r>
      <w:r w:rsidR="00941883">
        <w:rPr>
          <w:rFonts w:asciiTheme="minorBidi" w:hAnsiTheme="minorBidi"/>
          <w:noProof/>
          <w:sz w:val="24"/>
          <w:szCs w:val="24"/>
          <w:shd w:val="clear" w:color="auto" w:fill="FFFFFF"/>
        </w:rPr>
        <w:t xml:space="preserve">This improvement was more effective for younger patients or those with poor glycemic control (higher baseline HbA1c levels). </w:t>
      </w:r>
      <w:r w:rsidR="00941883" w:rsidRPr="006B2FC7">
        <w:rPr>
          <w:rFonts w:ascii="Arial" w:hAnsi="Arial" w:cs="Arial"/>
          <w:sz w:val="24"/>
          <w:szCs w:val="24"/>
          <w:lang w:val="en-GB"/>
        </w:rPr>
        <w:t>However, most included studies showed an uncertain or high risk of bias in most of the evaluated items</w:t>
      </w:r>
      <w:r w:rsidR="00941883">
        <w:rPr>
          <w:rFonts w:ascii="Arial" w:hAnsi="Arial" w:cs="Arial"/>
          <w:sz w:val="24"/>
          <w:szCs w:val="24"/>
          <w:lang w:val="en-GB"/>
        </w:rPr>
        <w:t xml:space="preserve">. </w:t>
      </w:r>
      <w:r w:rsidR="00941883" w:rsidRPr="000359E8">
        <w:rPr>
          <w:rFonts w:ascii="Arial" w:hAnsi="Arial" w:cs="Arial"/>
          <w:sz w:val="24"/>
          <w:szCs w:val="24"/>
          <w:lang w:val="en-GB"/>
        </w:rPr>
        <w:t xml:space="preserve">Like Melo Aguiar et al., Coutureau et al. (2022) conducted a meta-analysis evaluating the association between pharmacists' interventions and average change in HbA1c levels and found that patients with higher baseline HbA1c values tended to benefit more from pharmacist intervention in terms of lowering HbA1c levels </w:t>
      </w:r>
      <w:r w:rsidR="00941883" w:rsidRPr="000359E8">
        <w:rPr>
          <w:rFonts w:ascii="Arial" w:hAnsi="Arial" w:cs="Arial"/>
          <w:sz w:val="24"/>
          <w:szCs w:val="24"/>
          <w:lang w:val="en-GB"/>
        </w:rPr>
        <w:fldChar w:fldCharType="begin" w:fldLock="1"/>
      </w:r>
      <w:r w:rsidR="00941883" w:rsidRPr="000359E8">
        <w:rPr>
          <w:rFonts w:ascii="Arial" w:hAnsi="Arial" w:cs="Arial"/>
          <w:sz w:val="24"/>
          <w:szCs w:val="24"/>
          <w:lang w:val="en-GB"/>
        </w:rPr>
        <w:instrText>ADDIN CSL_CITATION {"citationItems":[{"id":"ITEM-1","itemData":{"DOI":"10.1186/s13643-022-02117-w","ISSN":"20464053","PMID":"36522687","abstract":"Type 2 diabetes mellitus (T2D) is responsible for an important premature mortality. Phar- macists involved in community-based pharmaceutical care services could help patients with diabetes through education and management as they participate in their regular and long-term care. This meta-analysis aimed to evaluate the association between interventions led by pharmacists in the primary care setting and mean change in HbA1c levels. Randomized controlled trials and quasi- experimental studies with a control group were included. Standardized mean differences (SMD) and their 95% confidence intervals (95% CI) were calculated to compare the mean change in HbA1c values between baseline and end of the intervention in each group. Subgroup analyses were performed to explore heterogeneity. Twelve articles were included. The results showed that pharmacist’s inter- ventions significantly reduced HbA1c compared to usual care with an overall SMD of −0.67 (95% CI = [−0.87; −0.48], p &lt; 0.0001). Even if no significant difference between subgroups were found, the reduction of HbA1c seemed more important when baseline HbA1c was ≥8.5%, the intervention occurred monthly, in a primary care center and in countries with a lower human development index. Our results suggest that pharmacists-led interventions in the primary care setting can improve glycemic control for adults with T2D. Keywords:","author":[{"dropping-particle":"","family":"Coutureau","given":"Claire","non-dropping-particle":"","parse-names":false,"suffix":""},{"dropping-particle":"","family":"Slimano","given":"Florian","non-dropping-particle":"","parse-names":false,"suffix":""},{"dropping-particle":"","family":"Mongaret","given":"Céline","non-dropping-particle":"","parse-names":false,"suffix":""},{"dropping-particle":"","family":"Kanagaratnam","given":"Lukshe","non-dropping-particle":"","parse-names":false,"suffix":""}],"container-title":"International Journal of Environmental Research and Public Health","id":"ITEM-1","issue":"1","issued":{"date-parts":[["2022"]]},"title":"Impact of Pharmacists-Led Interventions in Primary Care for Adults with Type 2 Diabetes on HbA1c Levels: A Systematic Review and Meta-Analysis","type":"article-journal","volume":"19"},"uris":["http://www.mendeley.com/documents/?uuid=e3879d85-9237-46bb-b5d5-09effa390d16"]}],"mendeley":{"formattedCitation":"(Coutureau &lt;i&gt;et al.&lt;/i&gt;, 2022)","plainTextFormattedCitation":"(Coutureau et al., 2022)","previouslyFormattedCitation":"(Coutureau &lt;i&gt;et al.&lt;/i&gt;, 2022)"},"properties":{"noteIndex":0},"schema":"https://github.com/citation-style-language/schema/raw/master/csl-citation.json"}</w:instrText>
      </w:r>
      <w:r w:rsidR="00941883" w:rsidRPr="000359E8">
        <w:rPr>
          <w:rFonts w:ascii="Arial" w:hAnsi="Arial" w:cs="Arial"/>
          <w:sz w:val="24"/>
          <w:szCs w:val="24"/>
          <w:lang w:val="en-GB"/>
        </w:rPr>
        <w:fldChar w:fldCharType="separate"/>
      </w:r>
      <w:r w:rsidR="00941883" w:rsidRPr="000359E8">
        <w:rPr>
          <w:rFonts w:ascii="Arial" w:hAnsi="Arial" w:cs="Arial"/>
          <w:noProof/>
          <w:sz w:val="24"/>
          <w:szCs w:val="24"/>
          <w:lang w:val="en-GB"/>
        </w:rPr>
        <w:t xml:space="preserve">(Coutureau </w:t>
      </w:r>
      <w:r w:rsidR="00941883" w:rsidRPr="000359E8">
        <w:rPr>
          <w:rFonts w:ascii="Arial" w:hAnsi="Arial" w:cs="Arial"/>
          <w:i/>
          <w:noProof/>
          <w:sz w:val="24"/>
          <w:szCs w:val="24"/>
          <w:lang w:val="en-GB"/>
        </w:rPr>
        <w:t>et al.</w:t>
      </w:r>
      <w:r w:rsidR="00941883" w:rsidRPr="000359E8">
        <w:rPr>
          <w:rFonts w:ascii="Arial" w:hAnsi="Arial" w:cs="Arial"/>
          <w:noProof/>
          <w:sz w:val="24"/>
          <w:szCs w:val="24"/>
          <w:lang w:val="en-GB"/>
        </w:rPr>
        <w:t>, 2022)</w:t>
      </w:r>
      <w:r w:rsidR="00941883" w:rsidRPr="000359E8">
        <w:rPr>
          <w:rFonts w:ascii="Arial" w:hAnsi="Arial" w:cs="Arial"/>
          <w:sz w:val="24"/>
          <w:szCs w:val="24"/>
          <w:lang w:val="en-GB"/>
        </w:rPr>
        <w:fldChar w:fldCharType="end"/>
      </w:r>
      <w:r w:rsidR="00941883" w:rsidRPr="000359E8">
        <w:rPr>
          <w:rFonts w:ascii="Arial" w:hAnsi="Arial" w:cs="Arial"/>
          <w:sz w:val="24"/>
          <w:szCs w:val="24"/>
          <w:lang w:val="en-GB"/>
        </w:rPr>
        <w:t xml:space="preserve"> </w:t>
      </w:r>
    </w:p>
    <w:p w14:paraId="44C634E1" w14:textId="5E3ECD4A" w:rsidR="00941883" w:rsidRDefault="00434E4A" w:rsidP="00941883">
      <w:pPr>
        <w:autoSpaceDE w:val="0"/>
        <w:autoSpaceDN w:val="0"/>
        <w:adjustRightInd w:val="0"/>
        <w:spacing w:line="360" w:lineRule="auto"/>
        <w:jc w:val="both"/>
        <w:rPr>
          <w:rFonts w:ascii="Arial" w:hAnsi="Arial" w:cs="Arial"/>
          <w:sz w:val="24"/>
          <w:szCs w:val="24"/>
          <w:lang w:val="en-GB"/>
        </w:rPr>
      </w:pPr>
      <w:r>
        <w:rPr>
          <w:rFonts w:asciiTheme="minorBidi" w:hAnsiTheme="minorBidi"/>
          <w:sz w:val="24"/>
          <w:szCs w:val="24"/>
        </w:rPr>
        <w:t>In</w:t>
      </w:r>
      <w:r w:rsidR="00941883">
        <w:rPr>
          <w:rFonts w:asciiTheme="minorBidi" w:hAnsiTheme="minorBidi"/>
          <w:sz w:val="24"/>
          <w:szCs w:val="24"/>
        </w:rPr>
        <w:t xml:space="preserve"> </w:t>
      </w:r>
      <w:r w:rsidR="00941883">
        <w:rPr>
          <w:rFonts w:asciiTheme="minorBidi" w:hAnsiTheme="minorBidi"/>
          <w:sz w:val="24"/>
          <w:szCs w:val="24"/>
        </w:rPr>
        <w:fldChar w:fldCharType="begin" w:fldLock="1"/>
      </w:r>
      <w:r w:rsidR="00941883">
        <w:rPr>
          <w:rFonts w:asciiTheme="minorBidi" w:hAnsiTheme="minorBidi"/>
          <w:sz w:val="24"/>
          <w:szCs w:val="24"/>
        </w:rPr>
        <w:instrText>ADDIN CSL_CITATION {"citationItems":[{"id":"ITEM-1","itemData":{"DOI":"10.1177/1060028017711454","ISSN":"15426270","PMID":"28573873","abstract":"Objective: To conduct a comprehensive systematic review and meta-analyses examining the impact of pharmacist interventions as part of health care teams on diabetes therapeutic outcomes in ambulatory care settings. Data Sources: PubMed/MEDLINE, EMBASE, Cochrane Library, International Pharmaceutical Abstracts, Web of Science, Scopus, WHO’s Global Health Library, ClinicalTrials.gov, and Google Scholar were searched (1995 to February 2017). Search terms included pharmacist, team, and diabetes. Study Selection: Full-text articles published in English with comparative designs, including randomized controlled trials, nonrandomized controlled trials, and pretest-posttest studies evaluating hemoglobin A1C (A1C), were assessed. Data Extraction and Synthesis: Two reviewers independently screened for study inclusion and extracted data. Quality of the studies was assessed using tools developed based on the framework of the Cochrane Collaboration’s recommendations. Data Synthesis: A total of 1908 studies were identified from the literature and reference searches; 42 studies were included in the systematic review (n = 10 860) and 35 in the meta-analyses (n = 7417). Mean age ranged from 42 to 73 years, and 8% to 100% were male. The overall standardized mean difference (SMD) for A1C for pharmacist care versus comparison was 0.57 (P &amp;lt; 0.01), a moderate effect representing a mean difference of 1.1% (95% CI = 0.88-1.27). The effects for systolic blood pressure and low-density lipoprotein cholesterol were between small and moderate (SMD = 0.31 and 0.32; P &amp;lt; 0.01). The heterogeneity was high for all outcomes (&amp;gt;83%), indicating functional differences among the studies. No publication bias was detected. Conclusion: Pharmacists’ interventions as part of the patient’s health care team improved diabetes therapeutic outcomes, substantiating the important role of pharmacists in team-based diabetes management. © 2017, © The Author(s) 2017.","author":[{"dropping-particle":"","family":"Fazel","given":"Maryam T.","non-dropping-particle":"","parse-names":false,"suffix":""},{"dropping-particle":"","family":"Bagalagel","given":"Alaa","non-dropping-particle":"","parse-names":false,"suffix":""},{"dropping-particle":"","family":"Lee","given":"Jeannie K.","non-dropping-particle":"","parse-names":false,"suffix":""},{"dropping-particle":"","family":"Martin","given":"Jennifer R.","non-dropping-particle":"","parse-names":false,"suffix":""},{"dropping-particle":"","family":"Slack","given":"Marion K.","non-dropping-particle":"","parse-names":false,"suffix":""}],"container-title":"Annals of Pharmacotherapy","id":"ITEM-1","issue":"10","issued":{"date-parts":[["2017","10","1"]]},"note":"From Duplicate 3 (Impact of Diabetes Care by Pharmacists as Part of Health Care Team in Ambulatory Settings: A Systematic Review and Meta-analysis - Fazel, Maryam T.; Bagalagel, Alaa; Lee, Jeannie K.; Martin, Jennifer R.; Slack, Marion K.)\n\nFrom Duplicate 1 (Impact of Diabetes Care by Pharmacists as Part of Health Care Team in Ambulatory Settings: A Systematic Review and Meta-analysis - Fazel, Maryam T.; Bagalagel, Alaa; Lee, Jeannie K.; Martin, Jennifer R.; Slack, Marion K.)\n\nFrom Duplicate 1 (Impact of Diabetes Care by Pharmacists as Part of Health Care Team in Ambulatory Settings: A Systematic Review and Meta-analysis - Fazel, Maryam T.; Bagalagel, Alaa; Lee, Jeannie K.; Martin, Jennifer R.; Slack, Marion K.)\n\nFrom Duplicate 4 (Impact of Diabetes Care by Pharmacists as Part of Health Care Team in Ambulatory Settings: A Systematic Review and Meta-analysis - Fazel, M T; Bagalagel, A; Lee, J K; Martin, J R; Slack, M K)\n\nCited By :10\n\nExport Date: 19 June 2019","page":"890-907","publisher":"SAGE Publications Inc.","publisher-place":"The University of Arizona, Tucson, AZ, United States","title":"Impact of Diabetes Care by Pharmacists as Part of Health Care Team in Ambulatory Settings: A Systematic Review and Meta-analysis","type":"article-journal","volume":"51"},"uris":["http://www.mendeley.com/documents/?uuid=9beb7df0-7d6c-4017-aad6-0c6e601443bf"]}],"mendeley":{"formattedCitation":"(Fazel &lt;i&gt;et al.&lt;/i&gt;, 2017)","manualFormatting":"Fazel et al., (2017)","plainTextFormattedCitation":"(Fazel et al., 2017)","previouslyFormattedCitation":"(Fazel &lt;i&gt;et al.&lt;/i&gt;, 2017)"},"properties":{"noteIndex":0},"schema":"https://github.com/citation-style-language/schema/raw/master/csl-citation.json"}</w:instrText>
      </w:r>
      <w:r w:rsidR="00941883">
        <w:rPr>
          <w:rFonts w:asciiTheme="minorBidi" w:hAnsiTheme="minorBidi"/>
          <w:sz w:val="24"/>
          <w:szCs w:val="24"/>
        </w:rPr>
        <w:fldChar w:fldCharType="separate"/>
      </w:r>
      <w:r w:rsidR="00941883" w:rsidRPr="00F148C8">
        <w:rPr>
          <w:rFonts w:asciiTheme="minorBidi" w:hAnsiTheme="minorBidi"/>
          <w:noProof/>
          <w:sz w:val="24"/>
          <w:szCs w:val="24"/>
        </w:rPr>
        <w:t xml:space="preserve">Fazel </w:t>
      </w:r>
      <w:r w:rsidR="00941883" w:rsidRPr="00F148C8">
        <w:rPr>
          <w:rFonts w:asciiTheme="minorBidi" w:hAnsiTheme="minorBidi"/>
          <w:i/>
          <w:noProof/>
          <w:sz w:val="24"/>
          <w:szCs w:val="24"/>
        </w:rPr>
        <w:t>et al.</w:t>
      </w:r>
      <w:r w:rsidR="00941883" w:rsidRPr="00F148C8">
        <w:rPr>
          <w:rFonts w:asciiTheme="minorBidi" w:hAnsiTheme="minorBidi"/>
          <w:noProof/>
          <w:sz w:val="24"/>
          <w:szCs w:val="24"/>
        </w:rPr>
        <w:t xml:space="preserve">, </w:t>
      </w:r>
      <w:r w:rsidR="00941883">
        <w:rPr>
          <w:rFonts w:asciiTheme="minorBidi" w:hAnsiTheme="minorBidi"/>
          <w:noProof/>
          <w:sz w:val="24"/>
          <w:szCs w:val="24"/>
        </w:rPr>
        <w:t>(</w:t>
      </w:r>
      <w:r w:rsidR="00941883" w:rsidRPr="00F148C8">
        <w:rPr>
          <w:rFonts w:asciiTheme="minorBidi" w:hAnsiTheme="minorBidi"/>
          <w:noProof/>
          <w:sz w:val="24"/>
          <w:szCs w:val="24"/>
        </w:rPr>
        <w:t>2017)</w:t>
      </w:r>
      <w:r w:rsidR="00941883">
        <w:rPr>
          <w:rFonts w:asciiTheme="minorBidi" w:hAnsiTheme="minorBidi"/>
          <w:sz w:val="24"/>
          <w:szCs w:val="24"/>
        </w:rPr>
        <w:fldChar w:fldCharType="end"/>
      </w:r>
      <w:r w:rsidR="00941883">
        <w:rPr>
          <w:rFonts w:asciiTheme="minorBidi" w:hAnsiTheme="minorBidi"/>
          <w:noProof/>
          <w:sz w:val="24"/>
          <w:szCs w:val="24"/>
        </w:rPr>
        <w:t xml:space="preserve"> </w:t>
      </w:r>
      <w:r w:rsidR="00941883" w:rsidRPr="006B2FC7">
        <w:rPr>
          <w:rFonts w:ascii="Arial" w:hAnsi="Arial" w:cs="Arial"/>
          <w:noProof/>
          <w:sz w:val="24"/>
          <w:szCs w:val="24"/>
        </w:rPr>
        <w:t>systematic review and meta-analysis</w:t>
      </w:r>
      <w:r w:rsidR="00941883">
        <w:rPr>
          <w:rFonts w:ascii="Arial" w:hAnsi="Arial" w:cs="Arial"/>
          <w:noProof/>
          <w:sz w:val="24"/>
          <w:szCs w:val="24"/>
        </w:rPr>
        <w:t xml:space="preserve">, </w:t>
      </w:r>
      <w:r w:rsidR="00941883">
        <w:rPr>
          <w:rFonts w:ascii="Arial" w:hAnsi="Arial" w:cs="Arial"/>
          <w:sz w:val="24"/>
          <w:szCs w:val="24"/>
        </w:rPr>
        <w:t>t</w:t>
      </w:r>
      <w:r w:rsidR="00941883" w:rsidRPr="006B2FC7">
        <w:rPr>
          <w:rFonts w:ascii="Arial" w:hAnsi="Arial" w:cs="Arial"/>
          <w:sz w:val="24"/>
          <w:szCs w:val="24"/>
        </w:rPr>
        <w:t xml:space="preserve">hey found that pharmacists’ interventions showed benefits for participants regardless of their age or baseline HbA1c. </w:t>
      </w:r>
      <w:r w:rsidR="00941883">
        <w:rPr>
          <w:rFonts w:ascii="Arial" w:hAnsi="Arial" w:cs="Arial"/>
          <w:sz w:val="24"/>
          <w:szCs w:val="24"/>
        </w:rPr>
        <w:t xml:space="preserve">The authors </w:t>
      </w:r>
      <w:r w:rsidR="00941883" w:rsidRPr="006B2FC7">
        <w:rPr>
          <w:rFonts w:ascii="Arial" w:hAnsi="Arial" w:cs="Arial"/>
          <w:sz w:val="24"/>
          <w:szCs w:val="24"/>
          <w:lang w:val="en-GB"/>
        </w:rPr>
        <w:t>suggested that a pharmacist should be a part of the team-based DM management in ambulatory care settings because the clinical pharmacist has an important role in improving diabetes therapeutic outcomes</w:t>
      </w:r>
      <w:r w:rsidR="00941883">
        <w:rPr>
          <w:rFonts w:ascii="Arial" w:hAnsi="Arial" w:cs="Arial"/>
          <w:sz w:val="24"/>
          <w:szCs w:val="24"/>
          <w:lang w:val="en-GB"/>
        </w:rPr>
        <w:t xml:space="preserve">. </w:t>
      </w:r>
      <w:r w:rsidR="00941883" w:rsidRPr="006B2FC7">
        <w:rPr>
          <w:rFonts w:ascii="Arial" w:hAnsi="Arial" w:cs="Arial"/>
          <w:sz w:val="24"/>
          <w:szCs w:val="24"/>
          <w:lang w:val="en-GB"/>
        </w:rPr>
        <w:t xml:space="preserve">Findings from another systematic review and meta-analysis also demonstrated that pharmacists’ interventions provide significant improvements in HbA1c and BMI in the intervention group compared with the control group </w:t>
      </w:r>
      <w:r w:rsidR="00941883" w:rsidRPr="000359E8">
        <w:rPr>
          <w:rFonts w:ascii="Arial" w:hAnsi="Arial" w:cs="Arial"/>
          <w:sz w:val="24"/>
          <w:szCs w:val="24"/>
          <w:lang w:val="en-GB"/>
        </w:rPr>
        <w:fldChar w:fldCharType="begin" w:fldLock="1"/>
      </w:r>
      <w:r w:rsidR="00941883" w:rsidRPr="000359E8">
        <w:rPr>
          <w:rFonts w:ascii="Arial" w:hAnsi="Arial" w:cs="Arial"/>
          <w:sz w:val="24"/>
          <w:szCs w:val="24"/>
          <w:lang w:val="en-GB"/>
        </w:rPr>
        <w:instrText>ADDIN CSL_CITATION {"citationItems":[{"id":"ITEM-1","itemData":{"DOI":"https://dx.doi.org/10.1016/j.jcjd.2017.09.014","ISSN":"2352-3840","abstract":"OBJECTIVES: The aim of this systematic review and meta-analysis was to evaluate the effects of pharmacy-based interventions on clinical outcomes associated with diabetes-related complications as well as on nonclinical outcomes in people with diabetes., METHODS: We searched 4 main databases (MEDLINE, EMBASE, CINAHL and Cochrane Central Register of Controlled Trials) for studies that considered clinical and nonclinical outcomes of pharmacy-based interventions among people with diabetes. Clinical outcomes included patients' mean reductions of glycated hemoglobin (A1C) levels and body mass indexes (BMIs). Nonclinical outcomes included patients' healthcare utilization and quality of life. A meta-analysis was conducted to estimate the pooled net mean difference in clinical outcomes between the pharmacy-intervention and the control groups., RESULTS: Of the 44 studies included in the systematic review, 32 studies reported results from randomized controlled trials measuring reductions of A1C levels in 4,132 patients. Meta-analysis revealed that the standardized absolute mean difference in reduction of A1C levels from baseline to the time of the last follow up significantly favoured the pharmacy intervention versus the control group (0.96%; 95% CI 0.71 to 1.22; p&lt;0.001). Of the studies, 13 reported BMI kg/m2 in 1,827 patients. The estimation of standardized absolute mean difference in reduction of BMI unit calculated through meta-analysis was 0.61 (95% CI 0.20 to 1.03; p=0.000) in favour of the pharmacy-intervention group., CONCLUSIONS: Pharmacy-based interventions have significant positive effects on controlling 2 major risks factors associated with diabetes-related complications: A1C levels and BMI. However, there is a dearth of evidence about the effects of pharmacy-based intervention on nonclinical outcomes, including healthcare utilization and quality of life. Copyright © 2017 Diabetes Canada. Published by Elsevier Inc. All rights reserved.","author":[{"dropping-particle":"","family":"Yaghoubi","given":"Mohsen","non-dropping-particle":"","parse-names":false,"suffix":""},{"dropping-particle":"","family":"Mansell","given":"Kerry","non-dropping-particle":"","parse-names":false,"suffix":""},{"dropping-particle":"","family":"Vatanparastc","given":"Hassanali","non-dropping-particle":"","parse-names":false,"suffix":""},{"dropping-particle":"","family":"Steeves","given":"Megan","non-dropping-particle":"","parse-names":false,"suffix":""},{"dropping-particle":"","family":"Zeng","given":"Wu","non-dropping-particle":"","parse-names":false,"suffix":""},{"dropping-particle":"","family":"Farag","given":"Marwa","non-dropping-particle":"","parse-names":false,"suffix":""}],"container-title":"Canadian journal of diabetes","id":"ITEM-1","issue":"6","issued":{"date-parts":[["2017"]]},"page":"628-641","publisher-place":"Canada","title":"Effects of Pharmacy-Based Interventions on the Control and Management of Diabetes in Adults: A Systematic Review and Meta-Analysis.","type":"article-journal","volume":"41"},"uris":["http://www.mendeley.com/documents/?uuid=cb9ee9a5-bd35-48df-953c-75e3e92e5a5b"]}],"mendeley":{"formattedCitation":"(Yaghoubi &lt;i&gt;et al.&lt;/i&gt;, 2017)","plainTextFormattedCitation":"(Yaghoubi et al., 2017)","previouslyFormattedCitation":"(Yaghoubi &lt;i&gt;et al.&lt;/i&gt;, 2017)"},"properties":{"noteIndex":0},"schema":"https://github.com/citation-style-language/schema/raw/master/csl-citation.json"}</w:instrText>
      </w:r>
      <w:r w:rsidR="00941883" w:rsidRPr="000359E8">
        <w:rPr>
          <w:rFonts w:ascii="Arial" w:hAnsi="Arial" w:cs="Arial"/>
          <w:sz w:val="24"/>
          <w:szCs w:val="24"/>
          <w:lang w:val="en-GB"/>
        </w:rPr>
        <w:fldChar w:fldCharType="separate"/>
      </w:r>
      <w:r w:rsidR="00941883" w:rsidRPr="000359E8">
        <w:rPr>
          <w:rFonts w:ascii="Arial" w:hAnsi="Arial" w:cs="Arial"/>
          <w:noProof/>
          <w:sz w:val="24"/>
          <w:szCs w:val="24"/>
          <w:lang w:val="en-GB"/>
        </w:rPr>
        <w:t xml:space="preserve">(Yaghoubi </w:t>
      </w:r>
      <w:r w:rsidR="00941883" w:rsidRPr="000359E8">
        <w:rPr>
          <w:rFonts w:ascii="Arial" w:hAnsi="Arial" w:cs="Arial"/>
          <w:i/>
          <w:noProof/>
          <w:sz w:val="24"/>
          <w:szCs w:val="24"/>
          <w:lang w:val="en-GB"/>
        </w:rPr>
        <w:t>et al.</w:t>
      </w:r>
      <w:r w:rsidR="00941883" w:rsidRPr="000359E8">
        <w:rPr>
          <w:rFonts w:ascii="Arial" w:hAnsi="Arial" w:cs="Arial"/>
          <w:noProof/>
          <w:sz w:val="24"/>
          <w:szCs w:val="24"/>
          <w:lang w:val="en-GB"/>
        </w:rPr>
        <w:t>, 2017)</w:t>
      </w:r>
      <w:r w:rsidR="00941883" w:rsidRPr="000359E8">
        <w:rPr>
          <w:rFonts w:ascii="Arial" w:hAnsi="Arial" w:cs="Arial"/>
          <w:sz w:val="24"/>
          <w:szCs w:val="24"/>
          <w:lang w:val="en-GB"/>
        </w:rPr>
        <w:fldChar w:fldCharType="end"/>
      </w:r>
      <w:r w:rsidR="00941883" w:rsidRPr="000359E8">
        <w:rPr>
          <w:rFonts w:ascii="Arial" w:hAnsi="Arial" w:cs="Arial"/>
          <w:sz w:val="24"/>
          <w:szCs w:val="24"/>
          <w:lang w:val="en-GB"/>
        </w:rPr>
        <w:t xml:space="preserve">. </w:t>
      </w:r>
      <w:r w:rsidR="005641FF" w:rsidRPr="0084427D">
        <w:rPr>
          <w:rFonts w:ascii="Arial" w:hAnsi="Arial" w:cs="Arial"/>
          <w:sz w:val="24"/>
          <w:szCs w:val="24"/>
          <w:lang w:val="en-GB"/>
        </w:rPr>
        <w:t>A</w:t>
      </w:r>
      <w:r w:rsidR="00941883" w:rsidRPr="0084427D">
        <w:rPr>
          <w:rFonts w:ascii="Arial" w:hAnsi="Arial" w:cs="Arial"/>
          <w:sz w:val="24"/>
          <w:szCs w:val="24"/>
          <w:lang w:val="en-GB"/>
        </w:rPr>
        <w:t xml:space="preserve"> systematic review study by </w:t>
      </w:r>
      <w:r w:rsidR="00941883" w:rsidRPr="0084427D">
        <w:rPr>
          <w:rFonts w:ascii="Arial" w:hAnsi="Arial" w:cs="Arial"/>
          <w:sz w:val="24"/>
          <w:szCs w:val="24"/>
          <w:lang w:val="en-GB"/>
        </w:rPr>
        <w:fldChar w:fldCharType="begin" w:fldLock="1"/>
      </w:r>
      <w:r w:rsidR="000558B4" w:rsidRPr="0084427D">
        <w:rPr>
          <w:rFonts w:ascii="Arial" w:hAnsi="Arial" w:cs="Arial"/>
          <w:sz w:val="24"/>
          <w:szCs w:val="24"/>
          <w:lang w:val="en-GB"/>
        </w:rPr>
        <w:instrText>ADDIN CSL_CITATION {"citationItems":[{"id":"ITEM-1","itemData":{"DOI":"10.3390/ijerph19106188","ISSN":"16604601","PMID":"35627724","abstract":"Type 2 diabetes mellitus has been assessed as a widespread disease globally. Unfortunately, this illness can occasionally go undetected and without symptoms until it reaches the emergency condition, and this can be notably true in patients who do not receive routine medical care. Pharmacists are the foremost accessible health care providers. They can help patients select the most appropriate hypoglycemic management strategy through their experiences. This review aimed to provide an overview of the literature published on community pharmacists’ interventions that are currently used and their usefulness in improving patient adherence and glycosylated hemoglobin (HbA1c) levels. Relevant studies were retrieved through a comprehensive search of three databases, PubMed/Medline, Web of Science, and CINAHL (2010 to 2020). In total, 8362 publications were identified. The final protocol was based on the “Preferred Reporting Items for Systematic Review and Meta-Analysis (PRISMA)”. After applying inclusion and exclusion measures, 21 articles were deemed relevant. In pharmacists’ interventions in diabetes care, patient education and counseling were the most common intervention methods. Essentially, this systematic review provides evidence and identifies the key features that may predict success in enhancing clinical outcomes and patient adherence to treatment. Based on our findings, we suggest further investigations of the root causes of non-adherence problems.","author":[{"dropping-particle":"","family":"Assaf","given":"Sarah","non-dropping-particle":"Al","parse-names":false,"suffix":""},{"dropping-particle":"","family":"Zelko","given":"Romana","non-dropping-particle":"","parse-names":false,"suffix":""},{"dropping-particle":"","family":"Hanko","given":"Balazs","non-dropping-particle":"","parse-names":false,"suffix":""}],"container-title":"International Journal of Environmental Research and Public Health","id":"ITEM-1","issue":"10","issued":{"date-parts":[["2022"]]},"title":"The Effect of Interventions Led by Community Pharmacists in Primary Care for Adults with Type 2 Diabetes Mellitus on Therapeutic Adherence and HbA1c Levels: A Systematic Review","type":"article-journal","volume":"19"},"uris":["http://www.mendeley.com/documents/?uuid=03eb66c1-df31-4fbe-8973-6fb41167a258"]}],"mendeley":{"formattedCitation":"(Al Assaf, Zelko and Hanko, 2022)","manualFormatting":"Al Assaf et al (2022), ","plainTextFormattedCitation":"(Al Assaf, Zelko and Hanko, 2022)","previouslyFormattedCitation":"(Al Assaf, Zelko and Hanko, 2022)"},"properties":{"noteIndex":0},"schema":"https://github.com/citation-style-language/schema/raw/master/csl-citation.json"}</w:instrText>
      </w:r>
      <w:r w:rsidR="00941883" w:rsidRPr="0084427D">
        <w:rPr>
          <w:rFonts w:ascii="Arial" w:hAnsi="Arial" w:cs="Arial"/>
          <w:sz w:val="24"/>
          <w:szCs w:val="24"/>
          <w:lang w:val="en-GB"/>
        </w:rPr>
        <w:fldChar w:fldCharType="separate"/>
      </w:r>
      <w:r w:rsidR="00941883" w:rsidRPr="0084427D">
        <w:rPr>
          <w:rFonts w:ascii="Arial" w:hAnsi="Arial" w:cs="Arial"/>
          <w:noProof/>
          <w:sz w:val="24"/>
          <w:szCs w:val="24"/>
          <w:lang w:val="en-GB"/>
        </w:rPr>
        <w:t>Al Assaf et al</w:t>
      </w:r>
      <w:r w:rsidR="00995E41" w:rsidRPr="0084427D">
        <w:rPr>
          <w:rFonts w:ascii="Arial" w:hAnsi="Arial" w:cs="Arial"/>
          <w:noProof/>
          <w:sz w:val="24"/>
          <w:szCs w:val="24"/>
          <w:lang w:val="en-GB"/>
        </w:rPr>
        <w:t xml:space="preserve"> (2022)</w:t>
      </w:r>
      <w:r w:rsidR="00941883" w:rsidRPr="0084427D">
        <w:rPr>
          <w:rFonts w:ascii="Arial" w:hAnsi="Arial" w:cs="Arial"/>
          <w:noProof/>
          <w:sz w:val="24"/>
          <w:szCs w:val="24"/>
          <w:lang w:val="en-GB"/>
        </w:rPr>
        <w:t xml:space="preserve">, </w:t>
      </w:r>
      <w:r w:rsidR="00941883" w:rsidRPr="0084427D">
        <w:rPr>
          <w:rFonts w:ascii="Arial" w:hAnsi="Arial" w:cs="Arial"/>
          <w:sz w:val="24"/>
          <w:szCs w:val="24"/>
          <w:lang w:val="en-GB"/>
        </w:rPr>
        <w:fldChar w:fldCharType="end"/>
      </w:r>
      <w:r w:rsidR="00941883" w:rsidRPr="0084427D">
        <w:rPr>
          <w:rFonts w:ascii="Arial" w:hAnsi="Arial" w:cs="Arial"/>
          <w:sz w:val="24"/>
          <w:szCs w:val="24"/>
          <w:lang w:val="en-GB"/>
        </w:rPr>
        <w:t xml:space="preserve">provided further support </w:t>
      </w:r>
      <w:r w:rsidR="00507978" w:rsidRPr="0084427D">
        <w:rPr>
          <w:rFonts w:ascii="Arial" w:hAnsi="Arial" w:cs="Arial"/>
          <w:sz w:val="24"/>
          <w:szCs w:val="24"/>
          <w:lang w:val="en-GB"/>
        </w:rPr>
        <w:t>relating to</w:t>
      </w:r>
      <w:r w:rsidR="00941883" w:rsidRPr="0084427D">
        <w:rPr>
          <w:rFonts w:ascii="Arial" w:hAnsi="Arial" w:cs="Arial"/>
          <w:sz w:val="24"/>
          <w:szCs w:val="24"/>
          <w:lang w:val="en-GB"/>
        </w:rPr>
        <w:t xml:space="preserve"> the impact of pharmacist intervention in diabetes management. In this study, it was found that there were positive effects on medication adherence and glycaemic control among the pharmacists' intervention group</w:t>
      </w:r>
      <w:r w:rsidR="00941883" w:rsidRPr="000359E8">
        <w:rPr>
          <w:rFonts w:ascii="Arial" w:hAnsi="Arial" w:cs="Arial"/>
          <w:sz w:val="24"/>
          <w:szCs w:val="24"/>
          <w:lang w:val="en-GB"/>
        </w:rPr>
        <w:t>.</w:t>
      </w:r>
    </w:p>
    <w:p w14:paraId="02E76B51" w14:textId="1C78C602" w:rsidR="00941883" w:rsidRPr="008C5B4B" w:rsidRDefault="00941883" w:rsidP="00941883">
      <w:pPr>
        <w:autoSpaceDE w:val="0"/>
        <w:autoSpaceDN w:val="0"/>
        <w:adjustRightInd w:val="0"/>
        <w:spacing w:line="360" w:lineRule="auto"/>
        <w:jc w:val="both"/>
        <w:rPr>
          <w:rFonts w:ascii="Arial" w:eastAsia="Times New Roman" w:hAnsi="Arial" w:cs="Arial"/>
          <w:sz w:val="24"/>
          <w:szCs w:val="24"/>
          <w:lang w:val="en-GB"/>
        </w:rPr>
      </w:pPr>
      <w:r w:rsidRPr="006B2FC7">
        <w:rPr>
          <w:rFonts w:ascii="Arial" w:hAnsi="Arial" w:cs="Arial"/>
          <w:sz w:val="24"/>
          <w:szCs w:val="24"/>
          <w:lang w:val="en-GB"/>
        </w:rPr>
        <w:t xml:space="preserve">Expanding pharmacy practice to provide comprehensive disease state education, review medications, and implement the care plan that has been agreed with the doctor and patient can have a positive impact on the clinical parameters of diabetes management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{"citationItems":[{"id":"ITEM-1","itemData":{"DOI":"10.1177/0897190016631894","ISSN":"15311937","abstract":"Objective:The national initiative, Project IMProving America’s Communities Together (IMPACT): Diabetes, was intended to scale a proven American Pharmacists Association (APhA) Foundation process model, which integrates pharmacists on the collaborative health-care team, in communities greatly affected by diabetes to improve key indicators of diabetes. This article discusses the results from 1 community in Mississippi.Methods:This national prospective study followed patients with a hemoglobin A1c (HbA1c) &gt;7% from September 2011 to January 2013. Pharmacists collaborated with providers and other health-care professionals to provide medication therapy management services for a minimum of 3 visits. Outcome measures included HbA1c, systolic and diastolic blood pressure (SBP and DBP), fasting cholesterol panel, body mass index (BMI), influenza vaccine and smoking status, and foot and eye examination dates.Results:At this site, there were statistically significant outcomes including mean HbA1c decrease of 1.2% in S...","author":[{"dropping-particle":"","family":"Davis","given":"Courtney S.","non-dropping-particle":"","parse-names":false,"suffix":""},{"dropping-particle":"","family":"Ross","given":"Leigh Ann R.","non-dropping-particle":"","parse-names":false,"suffix":""},{"dropping-particle":"","family":"Bloodworth","given":"Lauren S.","non-dropping-particle":"","parse-names":false,"suffix":""}],"container-title":"Journal of Pharmacy Practice","id":"ITEM-1","issue":"3","issued":{"date-parts":[["2017","6","17"]]},"page":"286-290","title":"The Impact of Clinical Pharmacist Integration on a Collaborative Interdisciplinary Diabetes Management Team","type":"article-journal","volume":"30"},"uris":["http://www.mendeley.com/documents/?uuid=b468560e-6fe4-4fb5-81f9-d1e4467e6f70"]}],"mendeley":{"formattedCitation":"(Davis, Ross and Bloodworth, 2017)","manualFormatting":"(Davis et al., 2017)","plainTextFormattedCitation":"(Davis, Ross and Bloodworth, 2017)","previouslyFormattedCitation":"(Davis, Ross and Bloodworth, 2017)"},"properties":{"noteIndex":0},"schema":"https://github.com/citation-style-language/schema/raw/master/csl-citation.json"}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(Davis et al., 2017)</w:t>
      </w:r>
      <w:r w:rsidRPr="006B2FC7">
        <w:rPr>
          <w:rFonts w:ascii="Arial" w:hAnsi="Arial" w:cs="Arial"/>
          <w:sz w:val="24"/>
          <w:szCs w:val="24"/>
          <w:lang w:val="en-GB"/>
        </w:rPr>
        <w:fldChar w:fldCharType="end"/>
      </w:r>
      <w:r w:rsidRPr="006B2FC7">
        <w:rPr>
          <w:rFonts w:ascii="Arial" w:hAnsi="Arial" w:cs="Arial"/>
          <w:sz w:val="24"/>
          <w:szCs w:val="24"/>
          <w:lang w:val="en-GB"/>
        </w:rPr>
        <w:t xml:space="preserve">. </w:t>
      </w:r>
      <w:r>
        <w:rPr>
          <w:rFonts w:ascii="Arial" w:hAnsi="Arial" w:cs="Arial"/>
          <w:sz w:val="24"/>
          <w:szCs w:val="24"/>
          <w:lang w:val="en-GB"/>
        </w:rPr>
        <w:t xml:space="preserve">A </w:t>
      </w:r>
      <w:r w:rsidRPr="00A5336E">
        <w:rPr>
          <w:rFonts w:ascii="Arial" w:hAnsi="Arial" w:cs="Arial"/>
          <w:sz w:val="24"/>
          <w:szCs w:val="24"/>
          <w:lang w:val="en-GB"/>
        </w:rPr>
        <w:t xml:space="preserve">prospective study by </w:t>
      </w:r>
      <w:r w:rsidRPr="006B2FC7">
        <w:rPr>
          <w:rFonts w:ascii="Arial" w:eastAsia="Times New Roman" w:hAnsi="Arial" w:cs="Arial"/>
          <w:sz w:val="24"/>
          <w:szCs w:val="24"/>
          <w:lang w:val="en-GB"/>
        </w:rPr>
        <w:t>Davis et.al. (2017) found that in the USA, the integration of pharmacists into the healthcare team to provide MTM services has resulted in a statistically significant decrease in HbA1c, BP, and lipids profile.</w:t>
      </w:r>
      <w:r>
        <w:rPr>
          <w:rFonts w:ascii="Arial" w:eastAsia="Times New Roman" w:hAnsi="Arial" w:cs="Arial"/>
          <w:sz w:val="24"/>
          <w:szCs w:val="24"/>
          <w:lang w:val="en-GB"/>
        </w:rPr>
        <w:t xml:space="preserve"> </w:t>
      </w:r>
      <w:r w:rsidRPr="008C5B4B">
        <w:rPr>
          <w:rFonts w:ascii="Arial" w:eastAsia="Times New Roman" w:hAnsi="Arial" w:cs="Arial"/>
          <w:sz w:val="24"/>
          <w:szCs w:val="24"/>
          <w:lang w:val="en-GB"/>
        </w:rPr>
        <w:t>Bodenheimer and Willard Grace (2022) make a similar point in their study</w:t>
      </w:r>
      <w:r w:rsidR="00507978" w:rsidRPr="008C5B4B">
        <w:rPr>
          <w:rFonts w:ascii="Arial" w:eastAsia="Times New Roman" w:hAnsi="Arial" w:cs="Arial"/>
          <w:sz w:val="24"/>
          <w:szCs w:val="24"/>
          <w:lang w:val="en-GB"/>
        </w:rPr>
        <w:t>, noting that p</w:t>
      </w:r>
      <w:r w:rsidRPr="008C5B4B">
        <w:rPr>
          <w:rFonts w:ascii="Arial" w:eastAsia="Times New Roman" w:hAnsi="Arial" w:cs="Arial"/>
          <w:sz w:val="24"/>
          <w:szCs w:val="24"/>
          <w:lang w:val="en-GB"/>
        </w:rPr>
        <w:t>harmacists may become certified in diabetes care and educational specialists providing medication management, medication optimization, and medication adherence counselling to diabetic patients with comorbidities. This w</w:t>
      </w:r>
      <w:r w:rsidR="00507978" w:rsidRPr="008C5B4B">
        <w:rPr>
          <w:rFonts w:ascii="Arial" w:eastAsia="Times New Roman" w:hAnsi="Arial" w:cs="Arial"/>
          <w:sz w:val="24"/>
          <w:szCs w:val="24"/>
          <w:lang w:val="en-GB"/>
        </w:rPr>
        <w:t xml:space="preserve">as argued </w:t>
      </w:r>
      <w:r w:rsidR="00995E41" w:rsidRPr="008C5B4B">
        <w:rPr>
          <w:rFonts w:ascii="Arial" w:eastAsia="Times New Roman" w:hAnsi="Arial" w:cs="Arial"/>
          <w:sz w:val="24"/>
          <w:szCs w:val="24"/>
          <w:lang w:val="en-GB"/>
        </w:rPr>
        <w:t>to</w:t>
      </w:r>
      <w:r w:rsidRPr="008C5B4B">
        <w:rPr>
          <w:rFonts w:ascii="Arial" w:eastAsia="Times New Roman" w:hAnsi="Arial" w:cs="Arial"/>
          <w:sz w:val="24"/>
          <w:szCs w:val="24"/>
          <w:lang w:val="en-GB"/>
        </w:rPr>
        <w:t xml:space="preserve"> enable Medicare reimbursement because when pharmacists handle</w:t>
      </w:r>
      <w:r w:rsidR="00507978" w:rsidRPr="008C5B4B">
        <w:rPr>
          <w:rFonts w:ascii="Arial" w:eastAsia="Times New Roman" w:hAnsi="Arial" w:cs="Arial"/>
          <w:sz w:val="24"/>
          <w:szCs w:val="24"/>
          <w:lang w:val="en-GB"/>
        </w:rPr>
        <w:t>d</w:t>
      </w:r>
      <w:r w:rsidRPr="008C5B4B">
        <w:rPr>
          <w:rFonts w:ascii="Arial" w:eastAsia="Times New Roman" w:hAnsi="Arial" w:cs="Arial"/>
          <w:sz w:val="24"/>
          <w:szCs w:val="24"/>
          <w:lang w:val="en-GB"/>
        </w:rPr>
        <w:t xml:space="preserve"> medication-related care, doctors </w:t>
      </w:r>
      <w:r w:rsidR="00507978" w:rsidRPr="008C5B4B">
        <w:rPr>
          <w:rFonts w:ascii="Arial" w:eastAsia="Times New Roman" w:hAnsi="Arial" w:cs="Arial"/>
          <w:sz w:val="24"/>
          <w:szCs w:val="24"/>
          <w:lang w:val="en-GB"/>
        </w:rPr>
        <w:t>would have</w:t>
      </w:r>
      <w:r w:rsidRPr="008C5B4B">
        <w:rPr>
          <w:rFonts w:ascii="Arial" w:eastAsia="Times New Roman" w:hAnsi="Arial" w:cs="Arial"/>
          <w:sz w:val="24"/>
          <w:szCs w:val="24"/>
          <w:lang w:val="en-GB"/>
        </w:rPr>
        <w:t xml:space="preserve"> more time to make additional patient visits that generate income</w:t>
      </w:r>
      <w:r w:rsidRPr="0084427D">
        <w:rPr>
          <w:rFonts w:ascii="Arial" w:eastAsia="Times New Roman" w:hAnsi="Arial" w:cs="Arial"/>
          <w:sz w:val="24"/>
          <w:szCs w:val="24"/>
          <w:lang w:val="en-GB"/>
        </w:rPr>
        <w:t xml:space="preserve"> </w:t>
      </w:r>
      <w:r w:rsidRPr="008C5B4B">
        <w:rPr>
          <w:rFonts w:ascii="Arial" w:eastAsia="Times New Roman" w:hAnsi="Arial" w:cs="Arial"/>
          <w:sz w:val="24"/>
          <w:szCs w:val="24"/>
          <w:lang w:val="en-GB"/>
        </w:rPr>
        <w:fldChar w:fldCharType="begin" w:fldLock="1"/>
      </w:r>
      <w:r w:rsidRPr="008C5B4B">
        <w:rPr>
          <w:rFonts w:ascii="Arial" w:eastAsia="Times New Roman" w:hAnsi="Arial" w:cs="Arial"/>
          <w:sz w:val="24"/>
          <w:szCs w:val="24"/>
          <w:lang w:val="en-GB"/>
        </w:rPr>
        <w:instrText>ADDIN CSL_CITATION {"citationItems":[{"id":"ITEM-1","itemData":{"DOI":"10.1377/hlthaff.2022.00227","ISSN":"15445208","PMID":"35759701","abstract":"Managing patients with type 2 diabetes takes time. Clinicians in primary care, where most diabetes visits take place, lack that time. Planned visits by diabetes care managers-nurses, pharmacists, social workers, and other team members-assist clinicians and are associated with improved glycemic control. Particularly effective is care management featuring nurses or pharmacists adjusting medications without prior physician approval. Care management programs need to pay close attention to inequities in diabetes care and outcomes. The widespread implementation of diabetes care management in primary care faces several barriers: lack of an adequate, diverse, trained care manager workforce; regulations limiting care managers' scope of practice; and financial models not supportive of care management. Wide-ranging policies are needed to address these barriers. In particular, payment reform is needed to stimulate the spread of diabetes care management: adding fee-for-service codes that adequately pay care managers for their work, adopting shared savings models that channel savings back to primary care, and increasing the percentage of health care spending dedicated to primary care. In this article we explore key questions around type 2 diabetes care management, review the published evidence, examine the barriers to its wider use, and describe policy solutions.","author":[{"dropping-particle":"","family":"Bodenheimer","given":"Thomas S.","non-dropping-particle":"","parse-names":false,"suffix":""},{"dropping-particle":"","family":"Willard-Grace","given":"Rachel","non-dropping-particle":"","parse-names":false,"suffix":""}],"container-title":"Health affairs (Project Hope)","id":"ITEM-1","issue":"7","issued":{"date-parts":[["2022"]]},"page":"947-954","title":"Care Management For Patients With Type 2 Diabetes: The Roles Of Nurses, Pharmacists, And Social Workers","type":"article-journal","volume":"41"},"uris":["http://www.mendeley.com/documents/?uuid=a349e6f0-aae1-4d02-96c2-262258b0657b"]}],"mendeley":{"formattedCitation":"(Bodenheimer and Willard-Grace, 2022)","plainTextFormattedCitation":"(Bodenheimer and Willard-Grace, 2022)","previouslyFormattedCitation":"(Bodenheimer and Willard-Grace, 2022)"},"properties":{"noteIndex":0},"schema":"https://github.com/citation-style-language/schema/raw/master/csl-citation.json"}</w:instrText>
      </w:r>
      <w:r w:rsidRPr="008C5B4B">
        <w:rPr>
          <w:rFonts w:ascii="Arial" w:eastAsia="Times New Roman" w:hAnsi="Arial" w:cs="Arial"/>
          <w:sz w:val="24"/>
          <w:szCs w:val="24"/>
          <w:lang w:val="en-GB"/>
        </w:rPr>
        <w:fldChar w:fldCharType="separate"/>
      </w:r>
      <w:r w:rsidRPr="008C5B4B">
        <w:rPr>
          <w:rFonts w:ascii="Arial" w:eastAsia="Times New Roman" w:hAnsi="Arial" w:cs="Arial"/>
          <w:noProof/>
          <w:sz w:val="24"/>
          <w:szCs w:val="24"/>
          <w:lang w:val="en-GB"/>
        </w:rPr>
        <w:t>(Bodenheimer and Willard-Grace, 2022)</w:t>
      </w:r>
      <w:r w:rsidRPr="008C5B4B">
        <w:rPr>
          <w:rFonts w:ascii="Arial" w:eastAsia="Times New Roman" w:hAnsi="Arial" w:cs="Arial"/>
          <w:sz w:val="24"/>
          <w:szCs w:val="24"/>
          <w:lang w:val="en-GB"/>
        </w:rPr>
        <w:fldChar w:fldCharType="end"/>
      </w:r>
      <w:r w:rsidR="008C5B4B">
        <w:rPr>
          <w:rFonts w:ascii="Arial" w:eastAsia="Times New Roman" w:hAnsi="Arial" w:cs="Arial"/>
          <w:sz w:val="24"/>
          <w:szCs w:val="24"/>
          <w:lang w:val="en-GB"/>
        </w:rPr>
        <w:t>.</w:t>
      </w:r>
    </w:p>
    <w:p w14:paraId="030CB229" w14:textId="77777777" w:rsidR="00941883" w:rsidRPr="006B2FC7" w:rsidRDefault="00941883" w:rsidP="00941883">
      <w:pPr>
        <w:autoSpaceDE w:val="0"/>
        <w:autoSpaceDN w:val="0"/>
        <w:adjustRightInd w:val="0"/>
        <w:spacing w:line="360" w:lineRule="auto"/>
        <w:jc w:val="both"/>
        <w:rPr>
          <w:rFonts w:ascii="Arial" w:hAnsi="Arial" w:cs="Arial"/>
          <w:sz w:val="24"/>
          <w:szCs w:val="24"/>
          <w:lang w:val="en-GB"/>
        </w:rPr>
      </w:pPr>
      <w:r w:rsidRPr="006B2FC7">
        <w:rPr>
          <w:rFonts w:ascii="Arial" w:hAnsi="Arial" w:cs="Arial"/>
          <w:sz w:val="24"/>
          <w:szCs w:val="24"/>
          <w:lang w:val="en-GB"/>
        </w:rPr>
        <w:t xml:space="preserve">Likewise, in 2018, </w:t>
      </w:r>
      <w:r w:rsidRPr="006B2FC7">
        <w:rPr>
          <w:rFonts w:ascii="Arial" w:hAnsi="Arial" w:cs="Arial"/>
          <w:noProof/>
          <w:sz w:val="24"/>
          <w:szCs w:val="24"/>
          <w:lang w:val="en-GB"/>
        </w:rPr>
        <w:t>Schultz et al</w:t>
      </w:r>
      <w:r w:rsidRPr="006B2FC7">
        <w:rPr>
          <w:rFonts w:ascii="Arial" w:hAnsi="Arial" w:cs="Arial"/>
          <w:i/>
          <w:noProof/>
          <w:sz w:val="24"/>
          <w:szCs w:val="24"/>
          <w:lang w:val="en-GB"/>
        </w:rPr>
        <w:t>.</w:t>
      </w:r>
      <w:r w:rsidRPr="006B2FC7">
        <w:rPr>
          <w:rFonts w:ascii="Arial" w:hAnsi="Arial" w:cs="Arial"/>
          <w:noProof/>
          <w:sz w:val="24"/>
          <w:szCs w:val="24"/>
          <w:lang w:val="en-GB"/>
        </w:rPr>
        <w:t xml:space="preserve"> conducted </w:t>
      </w:r>
      <w:r w:rsidRPr="006B2FC7">
        <w:rPr>
          <w:rFonts w:ascii="Arial" w:hAnsi="Arial" w:cs="Arial"/>
          <w:sz w:val="24"/>
          <w:szCs w:val="24"/>
          <w:lang w:val="en-GB"/>
        </w:rPr>
        <w:t xml:space="preserve">a retrospective, observational chart review study aiming </w:t>
      </w:r>
      <w:r w:rsidRPr="006B2FC7">
        <w:rPr>
          <w:rFonts w:ascii="Arial" w:eastAsia="Times New Roman" w:hAnsi="Arial" w:cs="Arial"/>
          <w:sz w:val="24"/>
          <w:szCs w:val="24"/>
          <w:lang w:val="en-GB"/>
        </w:rPr>
        <w:t>to analyse the impact of a pharmacist-managed DM clinic on clinical outcomes compared to usual care received from primary care providers. The study was</w:t>
      </w:r>
      <w:r w:rsidRPr="006B2FC7">
        <w:rPr>
          <w:rFonts w:ascii="Arial" w:hAnsi="Arial" w:cs="Arial"/>
          <w:sz w:val="24"/>
          <w:szCs w:val="24"/>
          <w:lang w:val="en-GB"/>
        </w:rPr>
        <w:t xml:space="preserve"> conducted with patients who were referred to the pharmacist-managed clinic in Iowa clinics in the US from July 2009 to October 2014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{"citationItems":[{"id":"ITEM-1","itemData":{"DOI":"10.1177/0897190017710522","ISBN":"0897190017","ISSN":"15311937","abstract":"BACKGROUND: This study analyzed the impact of a pharmacist-managed diabetes clinic on clinical outcomes compared to usual care received from primary care providers (PCPs). This comparison may more definitively demonstrate the value of pharmacist management of chronic disease states., METHODS: Retrospective observational cohort study conducted in patients referred to a pharmacist-managed pharmacotherapy (PT) clinic from July 2009 to October 2014., RESULTS: For the primary outcome, the absolute change in A1c during the usual care phase was +1.53% (95% confidence interval [CI]: 1.10-1.96, P &lt; .0001) versus an absolute change of -1.63% (95% CI: -1.28 to -1.97, P &lt; .0001) in the intervention phase. For secondary outcomes, diabetes-related hospitalizations (10 vs 6, P = .104) and emergency room (ER) visits (27 vs 8, P = .049) decreased in the intervention phase compared to the usual care phase. The rate of diabetes-related interventions made per patient per year in the usual care phase was 2.7 versus 11.1 in the intervention phase ( P &lt; .0001)., CONCLUSION: Patients referred to the PT clinic had worsening blood glucose control prior to referral, and their control improved after referral to the clinic. Furthermore, there was an improvement in all diabetes-related outcomes in the intervention phase compared to the usual care phase.","author":[{"dropping-particle":"","family":"Schultz","given":"Jordan L.","non-dropping-particle":"","parse-names":false,"suffix":""},{"dropping-particle":"","family":"Horner","given":"Kathleen E.","non-dropping-particle":"","parse-names":false,"suffix":""},{"dropping-particle":"","family":"McDanel","given":"Deanna L.","non-dropping-particle":"","parse-names":false,"suffix":""},{"dropping-particle":"","family":"Miller","given":"Michelle L.","non-dropping-particle":"","parse-names":false,"suffix":""},{"dropping-particle":"","family":"Beranek","given":"Randi L.","non-dropping-particle":"","parse-names":false,"suffix":""},{"dropping-particle":"","family":"Jacobsen","given":"Ryan B.","non-dropping-particle":"","parse-names":false,"suffix":""},{"dropping-particle":"","family":"Sly","given":"Nichole J.","non-dropping-particle":"","parse-names":false,"suffix":""},{"dropping-particle":"","family":"Miller","given":"Aaron C.","non-dropping-particle":"","parse-names":false,"suffix":""},{"dropping-particle":"","family":"Mascardo","given":"Lisa A.","non-dropping-particle":"","parse-names":false,"suffix":""}],"container-title":"Journal of Pharmacy Practice","id":"ITEM-1","issue":"3","issued":{"date-parts":[["2018"]]},"page":"268-271","publisher-place":"United States","title":"Comparing Clinical Outcomes of a Pharmacist-Managed Diabetes Clinic to Usual Physician-Based Care","type":"article-journal","volume":"31"},"uris":["http://www.mendeley.com/documents/?uuid=b710020d-9e91-4262-be28-b27767472397"]}],"mendeley":{"formattedCitation":"(Schultz &lt;i&gt;et al.&lt;/i&gt;, 2018)","plainTextFormattedCitation":"(Schultz et al., 2018)","previouslyFormattedCitation":"(Schultz &lt;i&gt;et al.&lt;/i&gt;, 2018)"},"properties":{"noteIndex":0},"schema":"https://github.com/citation-style-language/schema/raw/master/csl-citation.json"}</w:instrText>
      </w:r>
      <w:r>
        <w:rPr>
          <w:rFonts w:ascii="Arial" w:hAnsi="Arial" w:cs="Arial"/>
          <w:sz w:val="24"/>
          <w:szCs w:val="24"/>
          <w:lang w:val="en-GB"/>
        </w:rPr>
        <w:fldChar w:fldCharType="separate"/>
      </w:r>
      <w:r w:rsidRPr="00F148C8">
        <w:rPr>
          <w:rFonts w:ascii="Arial" w:hAnsi="Arial" w:cs="Arial"/>
          <w:noProof/>
          <w:sz w:val="24"/>
          <w:szCs w:val="24"/>
          <w:lang w:val="en-GB"/>
        </w:rPr>
        <w:t xml:space="preserve">(Schultz </w:t>
      </w:r>
      <w:r w:rsidRPr="00F148C8">
        <w:rPr>
          <w:rFonts w:ascii="Arial" w:hAnsi="Arial" w:cs="Arial"/>
          <w:i/>
          <w:noProof/>
          <w:sz w:val="24"/>
          <w:szCs w:val="24"/>
          <w:lang w:val="en-GB"/>
        </w:rPr>
        <w:t>et al.</w:t>
      </w:r>
      <w:r w:rsidRPr="00F148C8">
        <w:rPr>
          <w:rFonts w:ascii="Arial" w:hAnsi="Arial" w:cs="Arial"/>
          <w:noProof/>
          <w:sz w:val="24"/>
          <w:szCs w:val="24"/>
          <w:lang w:val="en-GB"/>
        </w:rPr>
        <w:t>, 2018)</w:t>
      </w:r>
      <w:r>
        <w:rPr>
          <w:rFonts w:ascii="Arial" w:hAnsi="Arial" w:cs="Arial"/>
          <w:sz w:val="24"/>
          <w:szCs w:val="24"/>
          <w:lang w:val="en-GB"/>
        </w:rPr>
        <w:fldChar w:fldCharType="end"/>
      </w:r>
      <w:r>
        <w:rPr>
          <w:rFonts w:ascii="Arial" w:eastAsia="Times New Roman" w:hAnsi="Arial" w:cs="Arial"/>
          <w:sz w:val="24"/>
          <w:szCs w:val="24"/>
          <w:lang w:val="en-GB"/>
        </w:rPr>
        <w:t xml:space="preserve">. </w:t>
      </w:r>
      <w:r w:rsidRPr="006B2FC7">
        <w:rPr>
          <w:rFonts w:ascii="Arial" w:eastAsia="Times New Roman" w:hAnsi="Arial" w:cs="Arial"/>
          <w:sz w:val="24"/>
          <w:szCs w:val="24"/>
          <w:lang w:val="en-GB"/>
        </w:rPr>
        <w:t xml:space="preserve">The main finding of the study was a significant reduction (i.e an improvement) in Hb1Ac among patients in the intervention phase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{"citationItems":[{"id":"ITEM-1","itemData":{"DOI":"10.1177/0897190017710522","ISBN":"0897190017","ISSN":"15311937","abstract":"BACKGROUND: This study analyzed the impact of a pharmacist-managed diabetes clinic on clinical outcomes compared to usual care received from primary care providers (PCPs). This comparison may more definitively demonstrate the value of pharmacist management of chronic disease states., METHODS: Retrospective observational cohort study conducted in patients referred to a pharmacist-managed pharmacotherapy (PT) clinic from July 2009 to October 2014., RESULTS: For the primary outcome, the absolute change in A1c during the usual care phase was +1.53% (95% confidence interval [CI]: 1.10-1.96, P &lt; .0001) versus an absolute change of -1.63% (95% CI: -1.28 to -1.97, P &lt; .0001) in the intervention phase. For secondary outcomes, diabetes-related hospitalizations (10 vs 6, P = .104) and emergency room (ER) visits (27 vs 8, P = .049) decreased in the intervention phase compared to the usual care phase. The rate of diabetes-related interventions made per patient per year in the usual care phase was 2.7 versus 11.1 in the intervention phase ( P &lt; .0001)., CONCLUSION: Patients referred to the PT clinic had worsening blood glucose control prior to referral, and their control improved after referral to the clinic. Furthermore, there was an improvement in all diabetes-related outcomes in the intervention phase compared to the usual care phase.","author":[{"dropping-particle":"","family":"Schultz","given":"Jordan L.","non-dropping-particle":"","parse-names":false,"suffix":""},{"dropping-particle":"","family":"Horner","given":"Kathleen E.","non-dropping-particle":"","parse-names":false,"suffix":""},{"dropping-particle":"","family":"McDanel","given":"Deanna L.","non-dropping-particle":"","parse-names":false,"suffix":""},{"dropping-particle":"","family":"Miller","given":"Michelle L.","non-dropping-particle":"","parse-names":false,"suffix":""},{"dropping-particle":"","family":"Beranek","given":"Randi L.","non-dropping-particle":"","parse-names":false,"suffix":""},{"dropping-particle":"","family":"Jacobsen","given":"Ryan B.","non-dropping-particle":"","parse-names":false,"suffix":""},{"dropping-particle":"","family":"Sly","given":"Nichole J.","non-dropping-particle":"","parse-names":false,"suffix":""},{"dropping-particle":"","family":"Miller","given":"Aaron C.","non-dropping-particle":"","parse-names":false,"suffix":""},{"dropping-particle":"","family":"Mascardo","given":"Lisa A.","non-dropping-particle":"","parse-names":false,"suffix":""}],"container-title":"Journal of Pharmacy Practice","id":"ITEM-1","issue":"3","issued":{"date-parts":[["2018"]]},"page":"268-271","publisher-place":"United States","title":"Comparing Clinical Outcomes of a Pharmacist-Managed Diabetes Clinic to Usual Physician-Based Care","type":"article-journal","volume":"31"},"uris":["http://www.mendeley.com/documents/?uuid=b710020d-9e91-4262-be28-b27767472397"]}],"mendeley":{"formattedCitation":"(Schultz &lt;i&gt;et al.&lt;/i&gt;, 2018)","plainTextFormattedCitation":"(Schultz et al., 2018)","previouslyFormattedCitation":"(Schultz &lt;i&gt;et al.&lt;/i&gt;, 2018)"},"properties":{"noteIndex":0},"schema":"https://github.com/citation-style-language/schema/raw/master/csl-citation.json"}</w:instrText>
      </w:r>
      <w:r>
        <w:rPr>
          <w:rFonts w:ascii="Arial" w:hAnsi="Arial" w:cs="Arial"/>
          <w:sz w:val="24"/>
          <w:szCs w:val="24"/>
          <w:lang w:val="en-GB"/>
        </w:rPr>
        <w:fldChar w:fldCharType="separate"/>
      </w:r>
      <w:r w:rsidRPr="00F148C8">
        <w:rPr>
          <w:rFonts w:ascii="Arial" w:hAnsi="Arial" w:cs="Arial"/>
          <w:noProof/>
          <w:sz w:val="24"/>
          <w:szCs w:val="24"/>
          <w:lang w:val="en-GB"/>
        </w:rPr>
        <w:t xml:space="preserve">(Schultz </w:t>
      </w:r>
      <w:r w:rsidRPr="00F148C8">
        <w:rPr>
          <w:rFonts w:ascii="Arial" w:hAnsi="Arial" w:cs="Arial"/>
          <w:i/>
          <w:noProof/>
          <w:sz w:val="24"/>
          <w:szCs w:val="24"/>
          <w:lang w:val="en-GB"/>
        </w:rPr>
        <w:t>et al.</w:t>
      </w:r>
      <w:r w:rsidRPr="00F148C8">
        <w:rPr>
          <w:rFonts w:ascii="Arial" w:hAnsi="Arial" w:cs="Arial"/>
          <w:noProof/>
          <w:sz w:val="24"/>
          <w:szCs w:val="24"/>
          <w:lang w:val="en-GB"/>
        </w:rPr>
        <w:t>, 2018)</w:t>
      </w:r>
      <w:r>
        <w:rPr>
          <w:rFonts w:ascii="Arial" w:hAnsi="Arial" w:cs="Arial"/>
          <w:sz w:val="24"/>
          <w:szCs w:val="24"/>
          <w:lang w:val="en-GB"/>
        </w:rPr>
        <w:fldChar w:fldCharType="end"/>
      </w:r>
      <w:r>
        <w:rPr>
          <w:rFonts w:ascii="Arial" w:eastAsia="Times New Roman" w:hAnsi="Arial" w:cs="Arial"/>
          <w:sz w:val="24"/>
          <w:szCs w:val="24"/>
          <w:lang w:val="en-GB"/>
        </w:rPr>
        <w:t>.</w:t>
      </w:r>
      <w:r w:rsidRPr="006B2FC7">
        <w:rPr>
          <w:rFonts w:ascii="Arial" w:hAnsi="Arial" w:cs="Arial"/>
          <w:noProof/>
          <w:sz w:val="24"/>
          <w:szCs w:val="24"/>
          <w:lang w:val="en-GB"/>
        </w:rPr>
        <w:t xml:space="preserve">Therefore, </w:t>
      </w:r>
      <w:r w:rsidRPr="006B2FC7">
        <w:rPr>
          <w:rFonts w:ascii="Arial" w:hAnsi="Arial" w:cs="Arial"/>
          <w:sz w:val="24"/>
          <w:szCs w:val="24"/>
          <w:lang w:val="en-GB"/>
        </w:rPr>
        <w:t>Schultz et al., 2018 conclude that with their unique skills and knowledge of medication management, pharmacists can communicate with patients effectively which can lead to improving clinical outcomes in patients who had worsening blood glucose control.</w:t>
      </w:r>
    </w:p>
    <w:p w14:paraId="191B7710" w14:textId="77777777" w:rsidR="00941883" w:rsidRPr="006B2FC7" w:rsidRDefault="00941883" w:rsidP="00941883">
      <w:pPr>
        <w:autoSpaceDE w:val="0"/>
        <w:autoSpaceDN w:val="0"/>
        <w:adjustRightInd w:val="0"/>
        <w:spacing w:line="360" w:lineRule="auto"/>
        <w:jc w:val="both"/>
        <w:rPr>
          <w:rFonts w:ascii="Arial" w:hAnsi="Arial" w:cs="Arial"/>
          <w:sz w:val="24"/>
          <w:szCs w:val="24"/>
          <w:lang w:val="en"/>
        </w:rPr>
      </w:pPr>
      <w:r w:rsidRPr="006B2FC7">
        <w:rPr>
          <w:rFonts w:ascii="Arial" w:hAnsi="Arial" w:cs="Arial"/>
          <w:sz w:val="24"/>
          <w:szCs w:val="24"/>
          <w:lang w:val="en"/>
        </w:rPr>
        <w:t xml:space="preserve">In contrast to all the above findings regarding the impact of pharmacist interventions on HbA1c, </w:t>
      </w:r>
      <w:r w:rsidRPr="006B2FC7">
        <w:rPr>
          <w:rFonts w:ascii="Arial" w:hAnsi="Arial" w:cs="Arial"/>
          <w:sz w:val="24"/>
          <w:szCs w:val="24"/>
          <w:lang w:val="en"/>
        </w:rPr>
        <w:fldChar w:fldCharType="begin" w:fldLock="1"/>
      </w:r>
      <w:r w:rsidRPr="006B2FC7">
        <w:rPr>
          <w:rFonts w:ascii="Arial" w:hAnsi="Arial" w:cs="Arial"/>
          <w:sz w:val="24"/>
          <w:szCs w:val="24"/>
          <w:lang w:val="en"/>
        </w:rPr>
        <w:instrText>ADDIN CSL_CITATION {"citationItems":[{"id":"ITEM-1","itemData":{"DOI":"https://dx.doi.org/10.1371/journal.pone.0195898","ISSN":"1932-6203","abstract":"OBJECTIVES: The effectiveness and costs associated with addition of pharmacist-led group medical visits to standard care for patients with Type-2 Diabetes Mellitus (T2DM) is unknown., METHODS: Randomized-controlled-trial in three US Veteran Health Administration (VHA) Hospitals, where 250 patients with T2DM, HbA1c &gt;7% and either hypertension, active smoking or hyperlipidemia were randomized to either (1) addition of pharmacist-led group-medical-visits or (2) standard care alone for 13 months. Group (4-6 patients) visits consisted of 2-hour, education and comprehensive medication management sessions once weekly for 4 weeks, followed by quarterly visits. Change from baseline in cardiovascular risk estimated by the UKPDS-risk-score, health-related quality-of-life (SF36v) and institutional healthcare costs were compared between study arms., RESULTS: After 13 months, both groups had similar and significant improvements from baseline in UKPDS-risk-score (-0.02 +/-0.09 and -0.04 +/-0.09, group visit and standard care respectively, adjusted p&lt;0.05 for both); however, there was no significant difference between the study arms (adjusted p = 0.45). There were no significant differences on improvement from baseline in A1c, systolic-blood-pressure, and LDL as well as health-related quality-of-life measures between the study arms. Compared to 13 months prior, the increase in per-person outpatient expenditure from baseline was significantly lower in the group visit versus the standard care arm, both during the study intervention period and at 13-months after study interventions. The overall VHA healthcare costs/person were comparable between the study arms during the study period (p = 0.15); then decreased by 6% for the group visit but increased by 13% for the standard care arm 13 months post-study (p&lt;0.01)., CONCLUSIONS: Addition of pharmacist-led group medical visits in T2DM achieved similar improvements from baseline in cardiovascular risk factors than usual care, but with reduction in the healthcare costs in the group visit arm 13 months after completion compared to the steady rise in cost for the usual care arm., TRIAL REGISTRATION: NCT00554671 ClinicalTrials.gov.","author":[{"dropping-particle":"","family":"Wu","given":"Wen-Chih","non-dropping-particle":"","parse-names":false,"suffix":""},{"dropping-particle":"","family":"Taveira","given":"Tracey H.","non-dropping-particle":"","parse-names":false,"suffix":""},{"dropping-particle":"","family":"Jeffery","given":"Sean","non-dropping-particle":"","parse-names":false,"suffix":""},{"dropping-particle":"","family":"Jiang","given":"Lan","non-dropping-particle":"","parse-names":false,"suffix":""},{"dropping-particle":"","family":"Tokuda","given":"Lisa","non-dropping-particle":"","parse-names":false,"suffix":""},{"dropping-particle":"","family":"Musial","given":"Joanna","non-dropping-particle":"","parse-names":false,"suffix":""},{"dropping-particle":"","family":"Cohen","given":"Lisa B.","non-dropping-particle":"","parse-names":false,"suffix":""},{"dropping-particle":"","family":"Uhrle","given":"Fred","non-dropping-particle":"","parse-names":false,"suffix":""}],"container-title":"PloS one","editor":[{"dropping-particle":"","family":"Wouwe","given":"Jacobus P.","non-dropping-particle":"van","parse-names":false,"suffix":""}],"id":"ITEM-1","issue":"4","issued":{"date-parts":[["2018","4","19"]]},"page":"e0195898","publisher-place":"United States","title":"Costs and effectiveness of pharmacist-led group medical visits for type-2 diabetes: A multi-center randomized controlled trial.","type":"article-journal","volume":"13"},"uris":["http://www.mendeley.com/documents/?uuid=c252e6de-305e-4908-8843-48a75de5ea72"]}],"mendeley":{"formattedCitation":"(Wu &lt;i&gt;et al.&lt;/i&gt;, 2018)","manualFormatting":"Wu et al., (2018)","plainTextFormattedCitation":"(Wu et al., 2018)","previouslyFormattedCitation":"(Wu &lt;i&gt;et al.&lt;/i&gt;, 2018)"},"properties":{"noteIndex":0},"schema":"https://github.com/citation-style-language/schema/raw/master/csl-citation.json"}</w:instrText>
      </w:r>
      <w:r w:rsidRPr="006B2FC7">
        <w:rPr>
          <w:rFonts w:ascii="Arial" w:hAnsi="Arial" w:cs="Arial"/>
          <w:sz w:val="24"/>
          <w:szCs w:val="24"/>
          <w:lang w:val="en"/>
        </w:rPr>
        <w:fldChar w:fldCharType="separate"/>
      </w:r>
      <w:r w:rsidRPr="006B2FC7">
        <w:rPr>
          <w:rFonts w:ascii="Arial" w:hAnsi="Arial" w:cs="Arial"/>
          <w:noProof/>
          <w:sz w:val="24"/>
          <w:szCs w:val="24"/>
          <w:lang w:val="en"/>
        </w:rPr>
        <w:t xml:space="preserve">Wu </w:t>
      </w:r>
      <w:r w:rsidRPr="006B2FC7">
        <w:rPr>
          <w:rFonts w:ascii="Arial" w:hAnsi="Arial" w:cs="Arial"/>
          <w:i/>
          <w:noProof/>
          <w:sz w:val="24"/>
          <w:szCs w:val="24"/>
          <w:lang w:val="en"/>
        </w:rPr>
        <w:t>et al.</w:t>
      </w:r>
      <w:r w:rsidRPr="006B2FC7">
        <w:rPr>
          <w:rFonts w:ascii="Arial" w:hAnsi="Arial" w:cs="Arial"/>
          <w:noProof/>
          <w:sz w:val="24"/>
          <w:szCs w:val="24"/>
          <w:lang w:val="en"/>
        </w:rPr>
        <w:t>, (2018)</w:t>
      </w:r>
      <w:r w:rsidRPr="006B2FC7">
        <w:rPr>
          <w:rFonts w:ascii="Arial" w:hAnsi="Arial" w:cs="Arial"/>
          <w:sz w:val="24"/>
          <w:szCs w:val="24"/>
          <w:lang w:val="en"/>
        </w:rPr>
        <w:fldChar w:fldCharType="end"/>
      </w:r>
      <w:r w:rsidRPr="006B2FC7">
        <w:rPr>
          <w:rFonts w:ascii="Arial" w:hAnsi="Arial" w:cs="Arial"/>
          <w:sz w:val="24"/>
          <w:szCs w:val="24"/>
          <w:lang w:val="en"/>
        </w:rPr>
        <w:t xml:space="preserve"> reported that there were no statistically significant differences between the pharmacist care group and the standard care group in the change from baseline in Hb1Ac, </w:t>
      </w:r>
      <w:r w:rsidRPr="006B2FC7">
        <w:rPr>
          <w:rFonts w:ascii="Arial" w:hAnsi="Arial" w:cs="Arial"/>
          <w:sz w:val="24"/>
          <w:szCs w:val="24"/>
          <w:lang w:val="en-GB"/>
        </w:rPr>
        <w:t>SBP</w:t>
      </w:r>
      <w:r w:rsidRPr="006B2FC7">
        <w:rPr>
          <w:rFonts w:ascii="Arial" w:hAnsi="Arial" w:cs="Arial"/>
          <w:sz w:val="24"/>
          <w:szCs w:val="24"/>
          <w:lang w:val="en"/>
        </w:rPr>
        <w:t>,  and LDL-C levels but both groups had similar and significant improvements from baseline in CV risk which was estimated by the UKPDS risk-score. However, there was no significant difference between the study groups in UKPDS coronary risk-score</w:t>
      </w:r>
      <w:r>
        <w:rPr>
          <w:rFonts w:ascii="Arial" w:hAnsi="Arial" w:cs="Arial"/>
          <w:sz w:val="24"/>
          <w:szCs w:val="24"/>
          <w:lang w:val="en"/>
        </w:rPr>
        <w:t xml:space="preserve"> </w:t>
      </w:r>
      <w:r w:rsidRPr="006B2FC7">
        <w:rPr>
          <w:rFonts w:ascii="Arial" w:hAnsi="Arial" w:cs="Arial"/>
          <w:sz w:val="24"/>
          <w:szCs w:val="24"/>
          <w:lang w:val="en"/>
        </w:rPr>
        <w:fldChar w:fldCharType="begin" w:fldLock="1"/>
      </w:r>
      <w:r w:rsidRPr="006B2FC7">
        <w:rPr>
          <w:rFonts w:ascii="Arial" w:hAnsi="Arial" w:cs="Arial"/>
          <w:sz w:val="24"/>
          <w:szCs w:val="24"/>
          <w:lang w:val="en"/>
        </w:rPr>
        <w:instrText>ADDIN CSL_CITATION {"citationItems":[{"id":"ITEM-1","itemData":{"DOI":"https://dx.doi.org/10.1371/journal.pone.0195898","ISSN":"1932-6203","abstract":"OBJECTIVES: The effectiveness and costs associated with addition of pharmacist-led group medical visits to standard care for patients with Type-2 Diabetes Mellitus (T2DM) is unknown., METHODS: Randomized-controlled-trial in three US Veteran Health Administration (VHA) Hospitals, where 250 patients with T2DM, HbA1c &gt;7% and either hypertension, active smoking or hyperlipidemia were randomized to either (1) addition of pharmacist-led group-medical-visits or (2) standard care alone for 13 months. Group (4-6 patients) visits consisted of 2-hour, education and comprehensive medication management sessions once weekly for 4 weeks, followed by quarterly visits. Change from baseline in cardiovascular risk estimated by the UKPDS-risk-score, health-related quality-of-life (SF36v) and institutional healthcare costs were compared between study arms., RESULTS: After 13 months, both groups had similar and significant improvements from baseline in UKPDS-risk-score (-0.02 +/-0.09 and -0.04 +/-0.09, group visit and standard care respectively, adjusted p&lt;0.05 for both); however, there was no significant difference between the study arms (adjusted p = 0.45). There were no significant differences on improvement from baseline in A1c, systolic-blood-pressure, and LDL as well as health-related quality-of-life measures between the study arms. Compared to 13 months prior, the increase in per-person outpatient expenditure from baseline was significantly lower in the group visit versus the standard care arm, both during the study intervention period and at 13-months after study interventions. The overall VHA healthcare costs/person were comparable between the study arms during the study period (p = 0.15); then decreased by 6% for the group visit but increased by 13% for the standard care arm 13 months post-study (p&lt;0.01)., CONCLUSIONS: Addition of pharmacist-led group medical visits in T2DM achieved similar improvements from baseline in cardiovascular risk factors than usual care, but with reduction in the healthcare costs in the group visit arm 13 months after completion compared to the steady rise in cost for the usual care arm., TRIAL REGISTRATION: NCT00554671 ClinicalTrials.gov.","author":[{"dropping-particle":"","family":"Wu","given":"Wen-Chih","non-dropping-particle":"","parse-names":false,"suffix":""},{"dropping-particle":"","family":"Taveira","given":"Tracey H.","non-dropping-particle":"","parse-names":false,"suffix":""},{"dropping-particle":"","family":"Jeffery","given":"Sean","non-dropping-particle":"","parse-names":false,"suffix":""},{"dropping-particle":"","family":"Jiang","given":"Lan","non-dropping-particle":"","parse-names":false,"suffix":""},{"dropping-particle":"","family":"Tokuda","given":"Lisa","non-dropping-particle":"","parse-names":false,"suffix":""},{"dropping-particle":"","family":"Musial","given":"Joanna","non-dropping-particle":"","parse-names":false,"suffix":""},{"dropping-particle":"","family":"Cohen","given":"Lisa B.","non-dropping-particle":"","parse-names":false,"suffix":""},{"dropping-particle":"","family":"Uhrle","given":"Fred","non-dropping-particle":"","parse-names":false,"suffix":""}],"container-title":"PloS one","editor":[{"dropping-particle":"","family":"Wouwe","given":"Jacobus P.","non-dropping-particle":"van","parse-names":false,"suffix":""}],"id":"ITEM-1","issue":"4","issued":{"date-parts":[["2018","4","19"]]},"page":"e0195898","publisher-place":"United States","title":"Costs and effectiveness of pharmacist-led group medical visits for type-2 diabetes: A multi-center randomized controlled trial.","type":"article-journal","volume":"13"},"uris":["http://www.mendeley.com/documents/?uuid=c252e6de-305e-4908-8843-48a75de5ea72"]}],"mendeley":{"formattedCitation":"(Wu &lt;i&gt;et al.&lt;/i&gt;, 2018)","plainTextFormattedCitation":"(Wu et al., 2018)","previouslyFormattedCitation":"(Wu &lt;i&gt;et al.&lt;/i&gt;, 2018)"},"properties":{"noteIndex":0},"schema":"https://github.com/citation-style-language/schema/raw/master/csl-citation.json"}</w:instrText>
      </w:r>
      <w:r w:rsidRPr="006B2FC7">
        <w:rPr>
          <w:rFonts w:ascii="Arial" w:hAnsi="Arial" w:cs="Arial"/>
          <w:sz w:val="24"/>
          <w:szCs w:val="24"/>
          <w:lang w:val="en"/>
        </w:rPr>
        <w:fldChar w:fldCharType="separate"/>
      </w:r>
      <w:r w:rsidRPr="006B2FC7">
        <w:rPr>
          <w:rFonts w:ascii="Arial" w:hAnsi="Arial" w:cs="Arial"/>
          <w:noProof/>
          <w:sz w:val="24"/>
          <w:szCs w:val="24"/>
          <w:lang w:val="en"/>
        </w:rPr>
        <w:t xml:space="preserve">(Wu </w:t>
      </w:r>
      <w:r w:rsidRPr="006B2FC7">
        <w:rPr>
          <w:rFonts w:ascii="Arial" w:hAnsi="Arial" w:cs="Arial"/>
          <w:i/>
          <w:noProof/>
          <w:sz w:val="24"/>
          <w:szCs w:val="24"/>
          <w:lang w:val="en"/>
        </w:rPr>
        <w:t>et al.</w:t>
      </w:r>
      <w:r w:rsidRPr="006B2FC7">
        <w:rPr>
          <w:rFonts w:ascii="Arial" w:hAnsi="Arial" w:cs="Arial"/>
          <w:noProof/>
          <w:sz w:val="24"/>
          <w:szCs w:val="24"/>
          <w:lang w:val="en"/>
        </w:rPr>
        <w:t>, 2018)</w:t>
      </w:r>
      <w:r w:rsidRPr="006B2FC7">
        <w:rPr>
          <w:rFonts w:ascii="Arial" w:hAnsi="Arial" w:cs="Arial"/>
          <w:sz w:val="24"/>
          <w:szCs w:val="24"/>
          <w:lang w:val="en"/>
        </w:rPr>
        <w:fldChar w:fldCharType="end"/>
      </w:r>
      <w:r>
        <w:rPr>
          <w:rFonts w:ascii="Arial" w:hAnsi="Arial" w:cs="Arial"/>
          <w:sz w:val="24"/>
          <w:szCs w:val="24"/>
          <w:lang w:val="en"/>
        </w:rPr>
        <w:t>. Similarly</w:t>
      </w:r>
      <w:r w:rsidRPr="008C5B4B">
        <w:rPr>
          <w:rFonts w:ascii="Arial" w:hAnsi="Arial" w:cs="Arial"/>
          <w:sz w:val="24"/>
          <w:szCs w:val="24"/>
          <w:lang w:val="en"/>
        </w:rPr>
        <w:t xml:space="preserve">, no significant effect of the pharmacist interventions on Systolic BP was found in a meta-analysis performed by </w:t>
      </w:r>
      <w:r>
        <w:rPr>
          <w:rFonts w:ascii="Arial" w:hAnsi="Arial" w:cs="Arial"/>
          <w:sz w:val="24"/>
          <w:szCs w:val="24"/>
          <w:lang w:val="en"/>
        </w:rPr>
        <w:fldChar w:fldCharType="begin" w:fldLock="1"/>
      </w:r>
      <w:r>
        <w:rPr>
          <w:rFonts w:ascii="Arial" w:hAnsi="Arial" w:cs="Arial"/>
          <w:sz w:val="24"/>
          <w:szCs w:val="24"/>
          <w:lang w:val="en"/>
        </w:rPr>
        <w:instrText>ADDIN CSL_CITATION {"citationItems":[{"id":"ITEM-1","itemData":{"DOI":"10.1186/s13643-022-02117-w","ISSN":"20464053","PMID":"36522687","abstract":"Type 2 diabetes mellitus (T2D) is responsible for an important premature mortality. Phar- macists involved in community-based pharmaceutical care services could help patients with diabetes through education and management as they participate in their regular and long-term care. This meta-analysis aimed to evaluate the association between interventions led by pharmacists in the primary care setting and mean change in HbA1c levels. Randomized controlled trials and quasi- experimental studies with a control group were included. Standardized mean differences (SMD) and their 95% confidence intervals (95% CI) were calculated to compare the mean change in HbA1c values between baseline and end of the intervention in each group. Subgroup analyses were performed to explore heterogeneity. Twelve articles were included. The results showed that pharmacist’s inter- ventions significantly reduced HbA1c compared to usual care with an overall SMD of −0.67 (95% CI = [−0.87; −0.48], p &lt; 0.0001). Even if no significant difference between subgroups were found, the reduction of HbA1c seemed more important when baseline HbA1c was ≥8.5%, the intervention occurred monthly, in a primary care center and in countries with a lower human development index. Our results suggest that pharmacists-led interventions in the primary care setting can improve glycemic control for adults with T2D. Keywords:","author":[{"dropping-particle":"","family":"Coutureau","given":"Claire","non-dropping-particle":"","parse-names":false,"suffix":""},{"dropping-particle":"","family":"Slimano","given":"Florian","non-dropping-particle":"","parse-names":false,"suffix":""},{"dropping-particle":"","family":"Mongaret","given":"Céline","non-dropping-particle":"","parse-names":false,"suffix":""},{"dropping-particle":"","family":"Kanagaratnam","given":"Lukshe","non-dropping-particle":"","parse-names":false,"suffix":""}],"container-title":"International Journal of Environmental Research and Public Health","id":"ITEM-1","issue":"1","issued":{"date-parts":[["2022"]]},"title":"Impact of Pharmacists-Led Interventions in Primary Care for Adults with Type 2 Diabetes on HbA1c Levels: A Systematic Review and Meta-Analysis","type":"article-journal","volume":"19"},"uris":["http://www.mendeley.com/documents/?uuid=e3879d85-9237-46bb-b5d5-09effa390d16"]}],"mendeley":{"formattedCitation":"(Coutureau &lt;i&gt;et al.&lt;/i&gt;, 2022)","plainTextFormattedCitation":"(Coutureau et al., 2022)","previouslyFormattedCitation":"(Coutureau &lt;i&gt;et al.&lt;/i&gt;, 2022)"},"properties":{"noteIndex":0},"schema":"https://github.com/citation-style-language/schema/raw/master/csl-citation.json"}</w:instrText>
      </w:r>
      <w:r>
        <w:rPr>
          <w:rFonts w:ascii="Arial" w:hAnsi="Arial" w:cs="Arial"/>
          <w:sz w:val="24"/>
          <w:szCs w:val="24"/>
          <w:lang w:val="en"/>
        </w:rPr>
        <w:fldChar w:fldCharType="separate"/>
      </w:r>
      <w:r w:rsidRPr="00F95EDC">
        <w:rPr>
          <w:rFonts w:ascii="Arial" w:hAnsi="Arial" w:cs="Arial"/>
          <w:noProof/>
          <w:sz w:val="24"/>
          <w:szCs w:val="24"/>
          <w:lang w:val="en"/>
        </w:rPr>
        <w:t xml:space="preserve">(Coutureau </w:t>
      </w:r>
      <w:r w:rsidRPr="00F95EDC">
        <w:rPr>
          <w:rFonts w:ascii="Arial" w:hAnsi="Arial" w:cs="Arial"/>
          <w:i/>
          <w:noProof/>
          <w:sz w:val="24"/>
          <w:szCs w:val="24"/>
          <w:lang w:val="en"/>
        </w:rPr>
        <w:t>et al.</w:t>
      </w:r>
      <w:r w:rsidRPr="00F95EDC">
        <w:rPr>
          <w:rFonts w:ascii="Arial" w:hAnsi="Arial" w:cs="Arial"/>
          <w:noProof/>
          <w:sz w:val="24"/>
          <w:szCs w:val="24"/>
          <w:lang w:val="en"/>
        </w:rPr>
        <w:t>, 2022)</w:t>
      </w:r>
      <w:r>
        <w:rPr>
          <w:rFonts w:ascii="Arial" w:hAnsi="Arial" w:cs="Arial"/>
          <w:sz w:val="24"/>
          <w:szCs w:val="24"/>
          <w:lang w:val="en"/>
        </w:rPr>
        <w:fldChar w:fldCharType="end"/>
      </w:r>
      <w:r>
        <w:rPr>
          <w:rFonts w:ascii="Arial" w:hAnsi="Arial" w:cs="Arial"/>
          <w:sz w:val="24"/>
          <w:szCs w:val="24"/>
          <w:lang w:val="en"/>
        </w:rPr>
        <w:t xml:space="preserve">. </w:t>
      </w:r>
    </w:p>
    <w:p w14:paraId="4DB352B6" w14:textId="5AAA392B" w:rsidR="00941883" w:rsidRPr="00D87872" w:rsidRDefault="00941883" w:rsidP="00941883">
      <w:pPr>
        <w:autoSpaceDE w:val="0"/>
        <w:autoSpaceDN w:val="0"/>
        <w:adjustRightInd w:val="0"/>
        <w:spacing w:line="360" w:lineRule="auto"/>
        <w:jc w:val="both"/>
        <w:rPr>
          <w:rFonts w:ascii="Arial" w:hAnsi="Arial" w:cs="Arial"/>
          <w:sz w:val="24"/>
          <w:szCs w:val="24"/>
          <w:lang w:val="en-GB"/>
        </w:rPr>
      </w:pPr>
      <w:r w:rsidRPr="006B2FC7">
        <w:rPr>
          <w:rFonts w:ascii="Arial" w:hAnsi="Arial" w:cs="Arial"/>
          <w:sz w:val="24"/>
          <w:szCs w:val="24"/>
          <w:lang w:val="en"/>
        </w:rPr>
        <w:t>A</w:t>
      </w:r>
      <w:r w:rsidRPr="006B2FC7">
        <w:rPr>
          <w:rFonts w:ascii="Arial" w:hAnsi="Arial" w:cs="Arial"/>
          <w:sz w:val="24"/>
          <w:szCs w:val="24"/>
          <w:lang w:val="en-GB"/>
        </w:rPr>
        <w:t xml:space="preserve"> systematic review and meta-analysis published in 2019, however, provided additional robust evidence that supports the role of pharmacists in diabetes care </w:t>
      </w:r>
      <w:r w:rsidRPr="006B2FC7">
        <w:rPr>
          <w:rFonts w:ascii="Arial" w:hAnsi="Arial" w:cs="Arial"/>
          <w:sz w:val="24"/>
          <w:szCs w:val="24"/>
          <w:lang w:val="en"/>
        </w:rPr>
        <w:fldChar w:fldCharType="begin" w:fldLock="1"/>
      </w:r>
      <w:r w:rsidRPr="006B2FC7">
        <w:rPr>
          <w:rFonts w:ascii="Arial" w:hAnsi="Arial" w:cs="Arial"/>
          <w:sz w:val="24"/>
          <w:szCs w:val="24"/>
          <w:lang w:val="en"/>
        </w:rPr>
        <w:instrText>ADDIN CSL_CITATION {"citationItems":[{"id":"ITEM-1","itemData":{"DOI":"10.1016/j.sapharm.2018.09.021","ISSN":"15517411","abstract":"Background: Control of blood glucose and a reduced risk of complications are important treatment goals in diabetes. Medication non-adherence can influence the outcome of diabetes. Involvement of a pharmacist in diabetes care might help patients to achieve better treatment outcomes. Existing literature reviews have focused on a limited number of interventions and outcome measures, and have involved different healthcare professionals. None of the previous reviews have used a standardized effect size to compare the effects of different pharmacist-led interventions and different outcome measures. Objective: To review pharmacist-led interventions to improve medication adherence in patients with diabetes and to assess the effectiveness of these interventions on medication adherence. Methods: Six databases were systematically searched between March and September 2017 for randomized controlled trials: PubMed, Cochrane library, EMBASE, CINAHL, JSTOR, and Web of Science. The outcome measures used were: medication adherence, HbA1c, fasting plasma glucose (FPG), post-prandial blood glucose (PPG), or random blood glucose (RBG). Cohen's d, a standardized effect size, enabled a comparison of studies with different outcome measures. The Cochrane risk of bias tool was used to assess the quality of the studies. Results: Fifty-nine studies were included in this review. Pharmacist-led interventions enhanced outcomes in patients with diabetes (standardized mean difference (SMD) −0.68; 95% CI-0.79, −0.58; p &lt; 0.001). Subgroup analysis by intervention strategy, the type of intervention and outcome measures produced similar results. Further analysis showed that education, printed/digital material, training/group discussion, were more effective than other interventions. Conclusion: This finding supports the role of the pharmacist in diabetes care to enhance medication adherence.","author":[{"dropping-particle":"","family":"Presley","given":"Bobby","non-dropping-particle":"","parse-names":false,"suffix":""},{"dropping-particle":"","family":"Groot","given":"Wim","non-dropping-particle":"","parse-names":false,"suffix":""},{"dropping-particle":"","family":"Pavlova","given":"Milena","non-dropping-particle":"","parse-names":false,"suffix":""}],"container-title":"Research in Social and Administrative Pharmacy","id":"ITEM-1","issue":"9","issued":{"date-parts":[["2019"]]},"note":"From Duplicate 2 (Pharmacy-led interventions to improve medication adherence among adults with diabetes: A systematic review and meta-analysis - Presley, Bobby; Groot, Wim; Pavlova, Milena)\n\nFrom Duplicate 1 (Pharmacy-led interventions to improve medication adherence among adults with diabetes: A systematic review and meta-analysis - Presley, B; Groot, W; Pavlova, M)\n\nExport Date: 26 September 2019","page":"1057-1067","title":"Pharmacy-led interventions to improve medication adherence among adults with diabetes: A systematic review and meta-analysis","type":"article-journal","volume":"15"},"uris":["http://www.mendeley.com/documents/?uuid=39971cc1-6a7e-4018-bada-ea697b410b37"]}],"mendeley":{"formattedCitation":"(Presley, Groot and Pavlova, 2019)","manualFormatting":"(Presley et al., 2019)","plainTextFormattedCitation":"(Presley, Groot and Pavlova, 2019)","previouslyFormattedCitation":"(Presley, Groot and Pavlova, 2019)"},"properties":{"noteIndex":0},"schema":"https://github.com/citation-style-language/schema/raw/master/csl-citation.json"}</w:instrText>
      </w:r>
      <w:r w:rsidRPr="006B2FC7">
        <w:rPr>
          <w:rFonts w:ascii="Arial" w:hAnsi="Arial" w:cs="Arial"/>
          <w:sz w:val="24"/>
          <w:szCs w:val="24"/>
          <w:lang w:val="en"/>
        </w:rPr>
        <w:fldChar w:fldCharType="separate"/>
      </w:r>
      <w:r w:rsidRPr="006B2FC7">
        <w:rPr>
          <w:rFonts w:ascii="Arial" w:hAnsi="Arial" w:cs="Arial"/>
          <w:noProof/>
          <w:sz w:val="24"/>
          <w:szCs w:val="24"/>
          <w:lang w:val="en"/>
        </w:rPr>
        <w:t>(Presley et al., 2019)</w:t>
      </w:r>
      <w:r w:rsidRPr="006B2FC7">
        <w:rPr>
          <w:rFonts w:ascii="Arial" w:hAnsi="Arial" w:cs="Arial"/>
          <w:sz w:val="24"/>
          <w:szCs w:val="24"/>
          <w:lang w:val="en"/>
        </w:rPr>
        <w:fldChar w:fldCharType="end"/>
      </w:r>
      <w:r w:rsidRPr="006B2FC7">
        <w:rPr>
          <w:rFonts w:ascii="Arial" w:hAnsi="Arial" w:cs="Arial"/>
          <w:sz w:val="24"/>
          <w:szCs w:val="24"/>
          <w:lang w:val="en"/>
        </w:rPr>
        <w:t>.</w:t>
      </w:r>
      <w:r w:rsidRPr="006B2FC7">
        <w:rPr>
          <w:rFonts w:ascii="Arial" w:hAnsi="Arial" w:cs="Arial"/>
          <w:sz w:val="24"/>
          <w:szCs w:val="24"/>
          <w:lang w:val="en-GB"/>
        </w:rPr>
        <w:t xml:space="preserve"> This review </w:t>
      </w:r>
      <w:r w:rsidRPr="006B2FC7">
        <w:rPr>
          <w:rFonts w:ascii="Arial" w:hAnsi="Arial" w:cs="Arial"/>
          <w:sz w:val="24"/>
          <w:szCs w:val="24"/>
          <w:lang w:val="en"/>
        </w:rPr>
        <w:t xml:space="preserve">found that pharmacist interventions improve medication adherence and glycemic control among patients with </w:t>
      </w:r>
      <w:r w:rsidRPr="00F21C2A">
        <w:rPr>
          <w:rFonts w:ascii="Arial" w:hAnsi="Arial" w:cs="Arial"/>
          <w:sz w:val="24"/>
          <w:szCs w:val="24"/>
          <w:lang w:val="en"/>
        </w:rPr>
        <w:t>diabetes</w:t>
      </w:r>
      <w:r w:rsidRPr="00F21C2A">
        <w:rPr>
          <w:rFonts w:ascii="Arial" w:hAnsi="Arial" w:cs="Arial"/>
          <w:sz w:val="24"/>
          <w:szCs w:val="24"/>
          <w:lang w:val="en-GB"/>
        </w:rPr>
        <w:t xml:space="preserve"> </w:t>
      </w:r>
      <w:r w:rsidRPr="00F21C2A">
        <w:rPr>
          <w:rFonts w:ascii="Arial" w:hAnsi="Arial" w:cs="Arial"/>
          <w:sz w:val="24"/>
          <w:szCs w:val="24"/>
          <w:lang w:val="en-GB"/>
        </w:rPr>
        <w:fldChar w:fldCharType="begin" w:fldLock="1"/>
      </w:r>
      <w:r w:rsidRPr="00F21C2A">
        <w:rPr>
          <w:rFonts w:ascii="Arial" w:hAnsi="Arial" w:cs="Arial"/>
          <w:sz w:val="24"/>
          <w:szCs w:val="24"/>
          <w:lang w:val="en-GB"/>
        </w:rPr>
        <w:instrText>ADDIN CSL_CITATION {"citationItems":[{"id":"ITEM-1","itemData":{"DOI":"10.1016/j.sapharm.2018.09.021","ISSN":"15517411","abstract":"Background: Control of blood glucose and a reduced risk of complications are important treatment goals in diabetes. Medication non-adherence can influence the outcome of diabetes. Involvement of a pharmacist in diabetes care might help patients to achieve better treatment outcomes. Existing literature reviews have focused on a limited number of interventions and outcome measures, and have involved different healthcare professionals. None of the previous reviews have used a standardized effect size to compare the effects of different pharmacist-led interventions and different outcome measures. Objective: To review pharmacist-led interventions to improve medication adherence in patients with diabetes and to assess the effectiveness of these interventions on medication adherence. Methods: Six databases were systematically searched between March and September 2017 for randomized controlled trials: PubMed, Cochrane library, EMBASE, CINAHL, JSTOR, and Web of Science. The outcome measures used were: medication adherence, HbA1c, fasting plasma glucose (FPG), post-prandial blood glucose (PPG), or random blood glucose (RBG). Cohen's d, a standardized effect size, enabled a comparison of studies with different outcome measures. The Cochrane risk of bias tool was used to assess the quality of the studies. Results: Fifty-nine studies were included in this review. Pharmacist-led interventions enhanced outcomes in patients with diabetes (standardized mean difference (SMD) −0.68; 95% CI-0.79, −0.58; p &lt; 0.001). Subgroup analysis by intervention strategy, the type of intervention and outcome measures produced similar results. Further analysis showed that education, printed/digital material, training/group discussion, were more effective than other interventions. Conclusion: This finding supports the role of the pharmacist in diabetes care to enhance medication adherence.","author":[{"dropping-particle":"","family":"Presley","given":"Bobby","non-dropping-particle":"","parse-names":false,"suffix":""},{"dropping-particle":"","family":"Groot","given":"Wim","non-dropping-particle":"","parse-names":false,"suffix":""},{"dropping-particle":"","family":"Pavlova","given":"Milena","non-dropping-particle":"","parse-names":false,"suffix":""}],"container-title":"Research in Social and Administrative Pharmacy","id":"ITEM-1","issue":"9","issued":{"date-parts":[["2019"]]},"note":"From Duplicate 2 (Pharmacy-led interventions to improve medication adherence among adults with diabetes: A systematic review and meta-analysis - Presley, Bobby; Groot, Wim; Pavlova, Milena)\n\nFrom Duplicate 1 (Pharmacy-led interventions to improve medication adherence among adults with diabetes: A systematic review and meta-analysis - Presley, B; Groot, W; Pavlova, M)\n\nExport Date: 26 September 2019","page":"1057-1067","title":"Pharmacy-led interventions to improve medication adherence among adults with diabetes: A systematic review and meta-analysis","type":"article-journal","volume":"15"},"uris":["http://www.mendeley.com/documents/?uuid=39971cc1-6a7e-4018-bada-ea697b410b37"]}],"mendeley":{"formattedCitation":"(Presley, Groot and Pavlova, 2019)","manualFormatting":"(Presley et al., 2019)","plainTextFormattedCitation":"(Presley, Groot and Pavlova, 2019)","previouslyFormattedCitation":"(Presley, Groot and Pavlova, 2019)"},"properties":{"noteIndex":0},"schema":"https://github.com/citation-style-language/schema/raw/master/csl-citation.json"}</w:instrText>
      </w:r>
      <w:r w:rsidRPr="00F21C2A">
        <w:rPr>
          <w:rFonts w:ascii="Arial" w:hAnsi="Arial" w:cs="Arial"/>
          <w:sz w:val="24"/>
          <w:szCs w:val="24"/>
          <w:lang w:val="en-GB"/>
        </w:rPr>
        <w:fldChar w:fldCharType="separate"/>
      </w:r>
      <w:r w:rsidRPr="00F21C2A">
        <w:rPr>
          <w:rFonts w:ascii="Arial" w:hAnsi="Arial" w:cs="Arial"/>
          <w:noProof/>
          <w:sz w:val="24"/>
          <w:szCs w:val="24"/>
          <w:lang w:val="en-GB"/>
        </w:rPr>
        <w:t>(Presley et al., 2019)</w:t>
      </w:r>
      <w:r w:rsidRPr="00F21C2A">
        <w:rPr>
          <w:rFonts w:ascii="Arial" w:hAnsi="Arial" w:cs="Arial"/>
          <w:sz w:val="24"/>
          <w:szCs w:val="24"/>
          <w:lang w:val="en-GB"/>
        </w:rPr>
        <w:fldChar w:fldCharType="end"/>
      </w:r>
      <w:r w:rsidRPr="00F21C2A">
        <w:rPr>
          <w:rFonts w:ascii="Arial" w:hAnsi="Arial" w:cs="Arial"/>
          <w:sz w:val="24"/>
          <w:szCs w:val="24"/>
          <w:lang w:val="en-GB"/>
        </w:rPr>
        <w:t xml:space="preserve">. An </w:t>
      </w:r>
      <w:r w:rsidRPr="00D87872">
        <w:rPr>
          <w:rFonts w:ascii="Arial" w:hAnsi="Arial" w:cs="Arial"/>
          <w:sz w:val="24"/>
          <w:szCs w:val="24"/>
          <w:lang w:val="en-GB"/>
        </w:rPr>
        <w:t xml:space="preserve">umbrella review of systematic reviews examining the impact of pharmacists' interventions on clinical and other diabetes-related outcomes showing significant improvement in the following parameters: HbA1c, FBG, BP, BMI, and lipid profile (TC, LDL, HDL and TG) in more than half of the included studies </w:t>
      </w:r>
      <w:r w:rsidRPr="00D87872">
        <w:rPr>
          <w:rFonts w:ascii="Arial" w:hAnsi="Arial" w:cs="Arial"/>
          <w:sz w:val="24"/>
          <w:szCs w:val="24"/>
          <w:lang w:val="en-GB"/>
        </w:rPr>
        <w:fldChar w:fldCharType="begin" w:fldLock="1"/>
      </w:r>
      <w:r w:rsidRPr="00D87872">
        <w:rPr>
          <w:rFonts w:ascii="Arial" w:hAnsi="Arial" w:cs="Arial"/>
          <w:sz w:val="24"/>
          <w:szCs w:val="24"/>
          <w:lang w:val="en-GB"/>
        </w:rPr>
        <w:instrText>ADDIN CSL_CITATION {"citationItems":[{"id":"ITEM-1","itemData":{"DOI":"10.1016/j.pcd.2019.12.007","ISSN":"18780210","PMID":"31926868","abstract":"Objective: To systematically review published systematic reviews (SRs) examining the impact of pharmacist interventions in multidisciplinary diabetes care teams on diabetes-related clinical, humanistic, and economic outcomes in primary care settings. Methods: PubMed, EMBASE, Scopus, Database of Abstracts of Reviews of Effects, Cochrane Library, Joanna Briggs Institute (JBI) Database, Google Scholar, and PROSPERO were searched from inception to 2018. Studies published in English evaluating the effect of pharmacist interventions on diabetes outcomes were included. Two independent reviewers were involved in screening of titles and abstracts, selection of studies, and methodological quality assessment. Results: Seven SRs were included in the study. Three of them included only randomized controlled trials, while the rest involved other study designs. Educational interventions by clinical pharmacists within the healthcare team were the most common types of interventions reported across all SRs. Pharmacist's interventions compared to usual care resulted in favorable significant improvements in hemoglobin A1c (HbA1c), fasting blood glucose, blood pressure, body mass index, total cholesterol, low density lipoprotein, high density lipoprotein and triglycerides in more than 50% of the SRs. Improvement in HbA1c was the mostly reported clinical outcome of pharmacist intervention in the literature (reported in six SRs). Pharmacist's interventions led to significant cost-saving ($8–$85,000 per person per year), cost-utility, and cost-benefit (benefit-to-cost ratio range from 1:1 to 8.5:1) versus usual care. Pharmacist's interventions improved patients’ quality of life (QoL) in three SRs; however, no conclusion can be drawn due to the use of diverse QoL assessment tools. Conclusions: Most SRs support the benefit of pharmacist care on diabetes-related clinical, humanistic, and economic outcomes in primary care settings. Improvements in diabetes outcomes can significantly reduce the burden of diabetes on healthcare system. Hence, the incorporation of pharmacists into multidisciplinary diabetes care teams is beneficial and should be strongly considered by clinicians and health policymakers.","author":[{"dropping-particle":"","family":"Abdulrhim","given":"Sara","non-dropping-particle":"","parse-names":false,"suffix":""},{"dropping-particle":"","family":"Sankaralingam","given":"Sowndramalingam","non-dropping-particle":"","parse-names":false,"suffix":""},{"dropping-particle":"","family":"Ibrahim","given":"Mohamed Izham Mohamed","non-dropping-particle":"","parse-names":false,"suffix":""},{"dropping-particle":"","family":"Awaisu","given":"Ahmed","non-dropping-particle":"","parse-names":false,"suffix":""}],"container-title":"Primary Care Diabetes","id":"ITEM-1","issue":"5","issued":{"date-parts":[["2020"]]},"page":"393-400","publisher":"Primary Care Diabetes Europe","title":"The impact of pharmacist care on diabetes outcomes in primary care settings: An umbrella review of published systematic reviews","type":"article-journal","volume":"14"},"uris":["http://www.mendeley.com/documents/?uuid=a7eb446a-de47-457d-997b-74af713305a0"]}],"mendeley":{"formattedCitation":"(Abdulrhim &lt;i&gt;et al.&lt;/i&gt;, 2020)","plainTextFormattedCitation":"(Abdulrhim et al., 2020)","previouslyFormattedCitation":"(Abdulrhim &lt;i&gt;et al.&lt;/i&gt;, 2020)"},"properties":{"noteIndex":0},"schema":"https://github.com/citation-style-language/schema/raw/master/csl-citation.json"}</w:instrText>
      </w:r>
      <w:r w:rsidRPr="00D87872">
        <w:rPr>
          <w:rFonts w:ascii="Arial" w:hAnsi="Arial" w:cs="Arial"/>
          <w:sz w:val="24"/>
          <w:szCs w:val="24"/>
          <w:lang w:val="en-GB"/>
        </w:rPr>
        <w:fldChar w:fldCharType="separate"/>
      </w:r>
      <w:r w:rsidRPr="00D87872">
        <w:rPr>
          <w:rFonts w:ascii="Arial" w:hAnsi="Arial" w:cs="Arial"/>
          <w:noProof/>
          <w:sz w:val="24"/>
          <w:szCs w:val="24"/>
          <w:lang w:val="en-GB"/>
        </w:rPr>
        <w:t>(Abdulrhim et al., 2020)</w:t>
      </w:r>
      <w:r w:rsidRPr="00D87872">
        <w:rPr>
          <w:rFonts w:ascii="Arial" w:hAnsi="Arial" w:cs="Arial"/>
          <w:sz w:val="24"/>
          <w:szCs w:val="24"/>
          <w:lang w:val="en-GB"/>
        </w:rPr>
        <w:fldChar w:fldCharType="end"/>
      </w:r>
      <w:r w:rsidRPr="00D87872">
        <w:rPr>
          <w:rFonts w:ascii="Arial" w:hAnsi="Arial" w:cs="Arial"/>
          <w:sz w:val="24"/>
          <w:szCs w:val="24"/>
          <w:lang w:val="en-GB"/>
        </w:rPr>
        <w:t>. This</w:t>
      </w:r>
      <w:r w:rsidR="00507978" w:rsidRPr="00D87872">
        <w:rPr>
          <w:rFonts w:ascii="Arial" w:hAnsi="Arial" w:cs="Arial"/>
          <w:sz w:val="24"/>
          <w:szCs w:val="24"/>
          <w:lang w:val="en-GB"/>
        </w:rPr>
        <w:t xml:space="preserve"> review further</w:t>
      </w:r>
      <w:r w:rsidRPr="00D87872">
        <w:rPr>
          <w:rFonts w:ascii="Arial" w:hAnsi="Arial" w:cs="Arial"/>
          <w:sz w:val="24"/>
          <w:szCs w:val="24"/>
          <w:lang w:val="en-GB"/>
        </w:rPr>
        <w:t xml:space="preserve"> strengthen</w:t>
      </w:r>
      <w:r w:rsidR="00507978" w:rsidRPr="00D87872">
        <w:rPr>
          <w:rFonts w:ascii="Arial" w:hAnsi="Arial" w:cs="Arial"/>
          <w:sz w:val="24"/>
          <w:szCs w:val="24"/>
          <w:lang w:val="en-GB"/>
        </w:rPr>
        <w:t>s</w:t>
      </w:r>
      <w:r w:rsidRPr="00D87872">
        <w:rPr>
          <w:rFonts w:ascii="Arial" w:hAnsi="Arial" w:cs="Arial"/>
          <w:sz w:val="24"/>
          <w:szCs w:val="24"/>
          <w:lang w:val="en-GB"/>
        </w:rPr>
        <w:t xml:space="preserve"> existing evidence on the positive impacts of pharmacists' interventions in diabetes management in primary care settings</w:t>
      </w:r>
      <w:r w:rsidR="00507978" w:rsidRPr="00D87872">
        <w:rPr>
          <w:rFonts w:ascii="Arial" w:hAnsi="Arial" w:cs="Arial"/>
          <w:sz w:val="24"/>
          <w:szCs w:val="24"/>
          <w:lang w:val="en-GB"/>
        </w:rPr>
        <w:t xml:space="preserve"> adding to further support from an</w:t>
      </w:r>
      <w:r w:rsidRPr="00D87872">
        <w:rPr>
          <w:rFonts w:ascii="Arial" w:hAnsi="Arial" w:cs="Arial"/>
          <w:sz w:val="24"/>
          <w:szCs w:val="24"/>
          <w:lang w:val="en-GB"/>
        </w:rPr>
        <w:t xml:space="preserve"> RCT by Fajriansyah et al., (2020) </w:t>
      </w:r>
      <w:r w:rsidR="00507978" w:rsidRPr="00D87872">
        <w:rPr>
          <w:rFonts w:ascii="Arial" w:hAnsi="Arial" w:cs="Arial"/>
          <w:sz w:val="24"/>
          <w:szCs w:val="24"/>
          <w:lang w:val="en-GB"/>
        </w:rPr>
        <w:t xml:space="preserve">who </w:t>
      </w:r>
      <w:r w:rsidRPr="00D87872">
        <w:rPr>
          <w:rFonts w:ascii="Arial" w:hAnsi="Arial" w:cs="Arial"/>
          <w:sz w:val="24"/>
          <w:szCs w:val="24"/>
          <w:lang w:val="en-GB"/>
        </w:rPr>
        <w:t>found that pharmacist counselling intervention</w:t>
      </w:r>
      <w:r w:rsidR="00507978" w:rsidRPr="00D87872">
        <w:rPr>
          <w:rFonts w:ascii="Arial" w:hAnsi="Arial" w:cs="Arial"/>
          <w:sz w:val="24"/>
          <w:szCs w:val="24"/>
          <w:lang w:val="en-GB"/>
        </w:rPr>
        <w:t>s</w:t>
      </w:r>
      <w:r w:rsidRPr="00D87872">
        <w:rPr>
          <w:rFonts w:ascii="Arial" w:hAnsi="Arial" w:cs="Arial"/>
          <w:sz w:val="24"/>
          <w:szCs w:val="24"/>
          <w:lang w:val="en-GB"/>
        </w:rPr>
        <w:t xml:space="preserve"> decreases HbA1c levels. </w:t>
      </w:r>
    </w:p>
    <w:p w14:paraId="7378E148" w14:textId="309F9C51" w:rsidR="00941883" w:rsidRPr="002C73A1" w:rsidRDefault="00941883" w:rsidP="00941883">
      <w:pPr>
        <w:autoSpaceDE w:val="0"/>
        <w:autoSpaceDN w:val="0"/>
        <w:adjustRightInd w:val="0"/>
        <w:spacing w:line="360" w:lineRule="auto"/>
        <w:jc w:val="both"/>
        <w:rPr>
          <w:rFonts w:asciiTheme="minorBidi" w:hAnsiTheme="minorBidi"/>
          <w:sz w:val="24"/>
          <w:szCs w:val="24"/>
        </w:rPr>
      </w:pPr>
      <w:r w:rsidRPr="002C73A1">
        <w:rPr>
          <w:rFonts w:ascii="Arial" w:hAnsi="Arial" w:cs="Arial"/>
          <w:sz w:val="24"/>
          <w:szCs w:val="24"/>
          <w:lang w:val="en-GB"/>
        </w:rPr>
        <w:t xml:space="preserve">Another meta-analysis conducted by </w:t>
      </w:r>
      <w:r w:rsidRPr="002C73A1">
        <w:rPr>
          <w:rFonts w:ascii="Arial" w:hAnsi="Arial" w:cs="Arial"/>
          <w:sz w:val="24"/>
          <w:szCs w:val="24"/>
          <w:lang w:val="en-GB"/>
        </w:rPr>
        <w:fldChar w:fldCharType="begin" w:fldLock="1"/>
      </w:r>
      <w:r w:rsidR="00310DAC" w:rsidRPr="002C73A1">
        <w:rPr>
          <w:rFonts w:ascii="Arial" w:hAnsi="Arial" w:cs="Arial"/>
          <w:sz w:val="24"/>
          <w:szCs w:val="24"/>
          <w:lang w:val="en-GB"/>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from pharmacist intervention compared with those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2021)","manualFormatting":"Alabkal et al., (2021)","plainTextFormattedCitation":"(Alabkal et al., 2021)","previouslyFormattedCitation":"(Alabkal &lt;i&gt;et al.&lt;/i&gt;, 2021)"},"properties":{"noteIndex":0},"schema":"https://github.com/citation-style-language/schema/raw/master/csl-citation.json"}</w:instrText>
      </w:r>
      <w:r w:rsidRPr="002C73A1">
        <w:rPr>
          <w:rFonts w:ascii="Arial" w:hAnsi="Arial" w:cs="Arial"/>
          <w:sz w:val="24"/>
          <w:szCs w:val="24"/>
          <w:lang w:val="en-GB"/>
        </w:rPr>
        <w:fldChar w:fldCharType="separate"/>
      </w:r>
      <w:r w:rsidRPr="002C73A1">
        <w:rPr>
          <w:rFonts w:ascii="Arial" w:hAnsi="Arial" w:cs="Arial"/>
          <w:noProof/>
          <w:sz w:val="24"/>
          <w:szCs w:val="24"/>
          <w:lang w:val="en-GB"/>
        </w:rPr>
        <w:t xml:space="preserve">Alabkal </w:t>
      </w:r>
      <w:r w:rsidRPr="002C73A1">
        <w:rPr>
          <w:rFonts w:ascii="Arial" w:hAnsi="Arial" w:cs="Arial"/>
          <w:i/>
          <w:noProof/>
          <w:sz w:val="24"/>
          <w:szCs w:val="24"/>
          <w:lang w:val="en-GB"/>
        </w:rPr>
        <w:t>et al.</w:t>
      </w:r>
      <w:r w:rsidRPr="002C73A1">
        <w:rPr>
          <w:rFonts w:ascii="Arial" w:hAnsi="Arial" w:cs="Arial"/>
          <w:noProof/>
          <w:sz w:val="24"/>
          <w:szCs w:val="24"/>
          <w:lang w:val="en-GB"/>
        </w:rPr>
        <w:t xml:space="preserve">, </w:t>
      </w:r>
      <w:r w:rsidR="00507978" w:rsidRPr="002C73A1">
        <w:rPr>
          <w:rFonts w:ascii="Arial" w:hAnsi="Arial" w:cs="Arial"/>
          <w:noProof/>
          <w:sz w:val="24"/>
          <w:szCs w:val="24"/>
          <w:lang w:val="en-GB"/>
        </w:rPr>
        <w:t>(</w:t>
      </w:r>
      <w:r w:rsidRPr="002C73A1">
        <w:rPr>
          <w:rFonts w:ascii="Arial" w:hAnsi="Arial" w:cs="Arial"/>
          <w:noProof/>
          <w:sz w:val="24"/>
          <w:szCs w:val="24"/>
          <w:lang w:val="en-GB"/>
        </w:rPr>
        <w:t>2021)</w:t>
      </w:r>
      <w:r w:rsidRPr="002C73A1">
        <w:rPr>
          <w:rFonts w:ascii="Arial" w:hAnsi="Arial" w:cs="Arial"/>
          <w:sz w:val="24"/>
          <w:szCs w:val="24"/>
          <w:lang w:val="en-GB"/>
        </w:rPr>
        <w:fldChar w:fldCharType="end"/>
      </w:r>
      <w:r w:rsidRPr="002C73A1">
        <w:rPr>
          <w:rFonts w:ascii="Arial" w:hAnsi="Arial" w:cs="Arial"/>
          <w:sz w:val="24"/>
          <w:szCs w:val="24"/>
          <w:lang w:val="en-GB"/>
        </w:rPr>
        <w:t xml:space="preserve"> found a  significant reduction in HbA1c among patients in the pharmacists intervention group, and unlike a meta-analysis performed by </w:t>
      </w:r>
      <w:r w:rsidRPr="002C73A1">
        <w:rPr>
          <w:rFonts w:ascii="Arial" w:hAnsi="Arial" w:cs="Arial"/>
          <w:sz w:val="24"/>
          <w:szCs w:val="24"/>
          <w:lang w:val="en"/>
        </w:rPr>
        <w:fldChar w:fldCharType="begin" w:fldLock="1"/>
      </w:r>
      <w:r w:rsidR="00310DAC" w:rsidRPr="002C73A1">
        <w:rPr>
          <w:rFonts w:ascii="Arial" w:hAnsi="Arial" w:cs="Arial"/>
          <w:sz w:val="24"/>
          <w:szCs w:val="24"/>
          <w:lang w:val="en"/>
        </w:rPr>
        <w:instrText>ADDIN CSL_CITATION {"citationItems":[{"id":"ITEM-1","itemData":{"DOI":"10.1186/s13643-022-02117-w","ISSN":"20464053","PMID":"36522687","abstract":"Type 2 diabetes mellitus (T2D) is responsible for an important premature mortality. Phar- macists involved in community-based pharmaceutical care services could help patients with diabetes through education and management as they participate in their regular and long-term care. This meta-analysis aimed to evaluate the association between interventions led by pharmacists in the primary care setting and mean change in HbA1c levels. Randomized controlled trials and quasi- experimental studies with a control group were included. Standardized mean differences (SMD) and their 95% confidence intervals (95% CI) were calculated to compare the mean change in HbA1c values between baseline and end of the intervention in each group. Subgroup analyses were performed to explore heterogeneity. Twelve articles were included. The results showed that pharmacist’s inter- ventions significantly reduced HbA1c compared to usual care with an overall SMD of −0.67 (95% CI = [−0.87; −0.48], p &lt; 0.0001). Even if no significant difference between subgroups were found, the reduction of HbA1c seemed more important when baseline HbA1c was ≥8.5%, the intervention occurred monthly, in a primary care center and in countries with a lower human development index. Our results suggest that pharmacists-led interventions in the primary care setting can improve glycemic control for adults with T2D. Keywords:","author":[{"dropping-particle":"","family":"Coutureau","given":"Claire","non-dropping-particle":"","parse-names":false,"suffix":""},{"dropping-particle":"","family":"Slimano","given":"Florian","non-dropping-particle":"","parse-names":false,"suffix":""},{"dropping-particle":"","family":"Mongaret","given":"Céline","non-dropping-particle":"","parse-names":false,"suffix":""},{"dropping-particle":"","family":"Kanagaratnam","given":"Lukshe","non-dropping-particle":"","parse-names":false,"suffix":""}],"container-title":"International Journal of Environmental Research and Public Health","id":"ITEM-1","issue":"1","issued":{"date-parts":[["2022"]]},"title":"Impact of Pharmacists-Led Interventions in Primary Care for Adults with Type 2 Diabetes on HbA1c Levels: A Systematic Review and Meta-Analysis","type":"article-journal","volume":"19"},"uris":["http://www.mendeley.com/documents/?uuid=e3879d85-9237-46bb-b5d5-09effa390d16"]}],"mendeley":{"formattedCitation":"(Coutureau &lt;i&gt;et al.&lt;/i&gt;, 2022)","manualFormatting":"Coutureau et al., (2022)","plainTextFormattedCitation":"(Coutureau et al., 2022)","previouslyFormattedCitation":"(Coutureau &lt;i&gt;et al.&lt;/i&gt;, 2022)"},"properties":{"noteIndex":0},"schema":"https://github.com/citation-style-language/schema/raw/master/csl-citation.json"}</w:instrText>
      </w:r>
      <w:r w:rsidRPr="002C73A1">
        <w:rPr>
          <w:rFonts w:ascii="Arial" w:hAnsi="Arial" w:cs="Arial"/>
          <w:sz w:val="24"/>
          <w:szCs w:val="24"/>
          <w:lang w:val="en"/>
        </w:rPr>
        <w:fldChar w:fldCharType="separate"/>
      </w:r>
      <w:r w:rsidRPr="002C73A1">
        <w:rPr>
          <w:rFonts w:ascii="Arial" w:hAnsi="Arial" w:cs="Arial"/>
          <w:noProof/>
          <w:sz w:val="24"/>
          <w:szCs w:val="24"/>
          <w:lang w:val="en"/>
        </w:rPr>
        <w:t xml:space="preserve">Coutureau </w:t>
      </w:r>
      <w:r w:rsidRPr="002C73A1">
        <w:rPr>
          <w:rFonts w:ascii="Arial" w:hAnsi="Arial" w:cs="Arial"/>
          <w:i/>
          <w:noProof/>
          <w:sz w:val="24"/>
          <w:szCs w:val="24"/>
          <w:lang w:val="en"/>
        </w:rPr>
        <w:t>et al.</w:t>
      </w:r>
      <w:r w:rsidRPr="002C73A1">
        <w:rPr>
          <w:rFonts w:ascii="Arial" w:hAnsi="Arial" w:cs="Arial"/>
          <w:noProof/>
          <w:sz w:val="24"/>
          <w:szCs w:val="24"/>
          <w:lang w:val="en"/>
        </w:rPr>
        <w:t xml:space="preserve">, </w:t>
      </w:r>
      <w:r w:rsidR="00507978" w:rsidRPr="002C73A1">
        <w:rPr>
          <w:rFonts w:ascii="Arial" w:hAnsi="Arial" w:cs="Arial"/>
          <w:noProof/>
          <w:sz w:val="24"/>
          <w:szCs w:val="24"/>
          <w:lang w:val="en"/>
        </w:rPr>
        <w:t>(</w:t>
      </w:r>
      <w:r w:rsidRPr="002C73A1">
        <w:rPr>
          <w:rFonts w:ascii="Arial" w:hAnsi="Arial" w:cs="Arial"/>
          <w:noProof/>
          <w:sz w:val="24"/>
          <w:szCs w:val="24"/>
          <w:lang w:val="en"/>
        </w:rPr>
        <w:t>2022)</w:t>
      </w:r>
      <w:r w:rsidRPr="002C73A1">
        <w:rPr>
          <w:rFonts w:ascii="Arial" w:hAnsi="Arial" w:cs="Arial"/>
          <w:sz w:val="24"/>
          <w:szCs w:val="24"/>
          <w:lang w:val="en"/>
        </w:rPr>
        <w:fldChar w:fldCharType="end"/>
      </w:r>
      <w:r w:rsidRPr="002C73A1">
        <w:rPr>
          <w:rFonts w:ascii="Arial" w:hAnsi="Arial" w:cs="Arial"/>
          <w:sz w:val="24"/>
          <w:szCs w:val="24"/>
          <w:lang w:val="en-GB"/>
        </w:rPr>
        <w:t xml:space="preserve">, a significant reduction in </w:t>
      </w:r>
      <w:r w:rsidR="00507978" w:rsidRPr="002C73A1">
        <w:rPr>
          <w:rFonts w:ascii="Arial" w:hAnsi="Arial" w:cs="Arial"/>
          <w:sz w:val="24"/>
          <w:szCs w:val="24"/>
          <w:lang w:val="en-GB"/>
        </w:rPr>
        <w:t>s</w:t>
      </w:r>
      <w:r w:rsidRPr="002C73A1">
        <w:rPr>
          <w:rFonts w:ascii="Arial" w:hAnsi="Arial" w:cs="Arial"/>
          <w:sz w:val="24"/>
          <w:szCs w:val="24"/>
          <w:lang w:val="en-GB"/>
        </w:rPr>
        <w:t xml:space="preserve">ystolic BP in pharmacist intervention groups was found </w:t>
      </w:r>
      <w:r w:rsidR="00507978" w:rsidRPr="002C73A1">
        <w:rPr>
          <w:rFonts w:ascii="Arial" w:hAnsi="Arial" w:cs="Arial"/>
          <w:sz w:val="24"/>
          <w:szCs w:val="24"/>
          <w:lang w:val="en-GB"/>
        </w:rPr>
        <w:t xml:space="preserve">in </w:t>
      </w:r>
      <w:r w:rsidRPr="002C73A1">
        <w:rPr>
          <w:rFonts w:ascii="Arial" w:hAnsi="Arial" w:cs="Arial"/>
          <w:sz w:val="24"/>
          <w:szCs w:val="24"/>
          <w:lang w:val="en-GB"/>
        </w:rPr>
        <w:t>this meta-analysis study</w:t>
      </w:r>
      <w:r w:rsidR="00507978" w:rsidRPr="002C73A1">
        <w:rPr>
          <w:rFonts w:ascii="Arial" w:hAnsi="Arial" w:cs="Arial"/>
          <w:sz w:val="24"/>
          <w:szCs w:val="24"/>
          <w:lang w:val="en-GB"/>
        </w:rPr>
        <w:t>; of note is that this meta-</w:t>
      </w:r>
      <w:r w:rsidR="00730BA7" w:rsidRPr="002C73A1">
        <w:rPr>
          <w:rFonts w:ascii="Arial" w:hAnsi="Arial" w:cs="Arial"/>
          <w:sz w:val="24"/>
          <w:szCs w:val="24"/>
          <w:lang w:val="en-GB"/>
        </w:rPr>
        <w:t>analysis</w:t>
      </w:r>
      <w:r w:rsidR="00507978" w:rsidRPr="002C73A1">
        <w:rPr>
          <w:rFonts w:ascii="Arial" w:hAnsi="Arial" w:cs="Arial"/>
          <w:sz w:val="24"/>
          <w:szCs w:val="24"/>
          <w:lang w:val="en-GB"/>
        </w:rPr>
        <w:t xml:space="preserve"> differs from </w:t>
      </w:r>
      <w:r w:rsidRPr="002C73A1">
        <w:rPr>
          <w:rFonts w:ascii="Arial" w:hAnsi="Arial" w:cs="Arial"/>
          <w:sz w:val="24"/>
          <w:szCs w:val="24"/>
          <w:lang w:val="en-GB"/>
        </w:rPr>
        <w:t xml:space="preserve">the findings </w:t>
      </w:r>
      <w:r w:rsidRPr="002C73A1">
        <w:rPr>
          <w:rFonts w:asciiTheme="minorBidi" w:hAnsiTheme="minorBidi"/>
          <w:sz w:val="24"/>
          <w:szCs w:val="24"/>
          <w:lang w:val="en-GB"/>
        </w:rPr>
        <w:t xml:space="preserve">by </w:t>
      </w:r>
      <w:r w:rsidRPr="002C73A1">
        <w:rPr>
          <w:rFonts w:asciiTheme="minorBidi" w:hAnsiTheme="minorBidi"/>
          <w:sz w:val="24"/>
          <w:szCs w:val="24"/>
        </w:rPr>
        <w:fldChar w:fldCharType="begin" w:fldLock="1"/>
      </w:r>
      <w:r w:rsidRPr="002C73A1">
        <w:rPr>
          <w:rFonts w:asciiTheme="minorBidi" w:hAnsiTheme="minorBidi"/>
          <w:sz w:val="24"/>
          <w:szCs w:val="24"/>
        </w:rPr>
        <w:instrText>ADDIN CSL_CITATION {"citationItems":[{"id":"ITEM-1","itemData":{"DOI":"10.1016/j.pcd.2019.12.007","ISSN":"18780210","PMID":"31926868","abstract":"Objective: To systematically review published systematic reviews (SRs) examining the impact of pharmacist interventions in multidisciplinary diabetes care teams on diabetes-related clinical, humanistic, and economic outcomes in primary care settings. Methods: PubMed, EMBASE, Scopus, Database of Abstracts of Reviews of Effects, Cochrane Library, Joanna Briggs Institute (JBI) Database, Google Scholar, and PROSPERO were searched from inception to 2018. Studies published in English evaluating the effect of pharmacist interventions on diabetes outcomes were included. Two independent reviewers were involved in screening of titles and abstracts, selection of studies, and methodological quality assessment. Results: Seven SRs were included in the study. Three of them included only randomized controlled trials, while the rest involved other study designs. Educational interventions by clinical pharmacists within the healthcare team were the most common types of interventions reported across all SRs. Pharmacist's interventions compared to usual care resulted in favorable significant improvements in hemoglobin A1c (HbA1c), fasting blood glucose, blood pressure, body mass index, total cholesterol, low density lipoprotein, high density lipoprotein and triglycerides in more than 50% of the SRs. Improvement in HbA1c was the mostly reported clinical outcome of pharmacist intervention in the literature (reported in six SRs). Pharmacist's interventions led to significant cost-saving ($8–$85,000 per person per year), cost-utility, and cost-benefit (benefit-to-cost ratio range from 1:1 to 8.5:1) versus usual care. Pharmacist's interventions improved patients’ quality of life (QoL) in three SRs; however, no conclusion can be drawn due to the use of diverse QoL assessment tools. Conclusions: Most SRs support the benefit of pharmacist care on diabetes-related clinical, humanistic, and economic outcomes in primary care settings. Improvements in diabetes outcomes can significantly reduce the burden of diabetes on healthcare system. Hence, the incorporation of pharmacists into multidisciplinary diabetes care teams is beneficial and should be strongly considered by clinicians and health policymakers.","author":[{"dropping-particle":"","family":"Abdulrhim","given":"Sara","non-dropping-particle":"","parse-names":false,"suffix":""},{"dropping-particle":"","family":"Sankaralingam","given":"Sowndramalingam","non-dropping-particle":"","parse-names":false,"suffix":""},{"dropping-particle":"","family":"Ibrahim","given":"Mohamed Izham Mohamed","non-dropping-particle":"","parse-names":false,"suffix":""},{"dropping-particle":"","family":"Awaisu","given":"Ahmed","non-dropping-particle":"","parse-names":false,"suffix":""}],"container-title":"Primary Care Diabetes","id":"ITEM-1","issue":"5","issued":{"date-parts":[["2020"]]},"page":"393-400","publisher":"Primary Care Diabetes Europe","title":"The impact of pharmacist care on diabetes outcomes in primary care settings: An umbrella review of published systematic reviews","type":"article-journal","volume":"14"},"uris":["http://www.mendeley.com/documents/?uuid=a7eb446a-de47-457d-997b-74af713305a0"]}],"mendeley":{"formattedCitation":"(Abdulrhim &lt;i&gt;et al.&lt;/i&gt;, 2020)","manualFormatting":"Abdulrhim et al. (2020)","plainTextFormattedCitation":"(Abdulrhim et al., 2020)","previouslyFormattedCitation":"(Abdulrhim &lt;i&gt;et al.&lt;/i&gt;, 2020)"},"properties":{"noteIndex":0},"schema":"https://github.com/citation-style-language/schema/raw/master/csl-citation.json"}</w:instrText>
      </w:r>
      <w:r w:rsidRPr="002C73A1">
        <w:rPr>
          <w:rFonts w:asciiTheme="minorBidi" w:hAnsiTheme="minorBidi"/>
          <w:sz w:val="24"/>
          <w:szCs w:val="24"/>
        </w:rPr>
        <w:fldChar w:fldCharType="separate"/>
      </w:r>
      <w:r w:rsidRPr="002C73A1">
        <w:rPr>
          <w:rFonts w:asciiTheme="minorBidi" w:hAnsiTheme="minorBidi"/>
          <w:noProof/>
          <w:sz w:val="24"/>
          <w:szCs w:val="24"/>
        </w:rPr>
        <w:t xml:space="preserve">Abdulrhim </w:t>
      </w:r>
      <w:r w:rsidRPr="002C73A1">
        <w:rPr>
          <w:rFonts w:asciiTheme="minorBidi" w:hAnsiTheme="minorBidi"/>
          <w:i/>
          <w:noProof/>
          <w:sz w:val="24"/>
          <w:szCs w:val="24"/>
        </w:rPr>
        <w:t>et al.</w:t>
      </w:r>
      <w:r w:rsidRPr="002C73A1">
        <w:rPr>
          <w:rFonts w:asciiTheme="minorBidi" w:hAnsiTheme="minorBidi"/>
          <w:noProof/>
          <w:sz w:val="24"/>
          <w:szCs w:val="24"/>
        </w:rPr>
        <w:t xml:space="preserve"> (2020)</w:t>
      </w:r>
      <w:r w:rsidRPr="002C73A1">
        <w:rPr>
          <w:rFonts w:asciiTheme="minorBidi" w:hAnsiTheme="minorBidi"/>
          <w:sz w:val="24"/>
          <w:szCs w:val="24"/>
        </w:rPr>
        <w:fldChar w:fldCharType="end"/>
      </w:r>
      <w:r w:rsidRPr="002C73A1">
        <w:rPr>
          <w:rFonts w:asciiTheme="minorBidi" w:hAnsiTheme="minorBidi"/>
          <w:sz w:val="24"/>
          <w:szCs w:val="24"/>
        </w:rPr>
        <w:t xml:space="preserve">. </w:t>
      </w:r>
      <w:r w:rsidRPr="002C73A1">
        <w:rPr>
          <w:rFonts w:ascii="Arial" w:eastAsia="Times New Roman" w:hAnsi="Arial" w:cs="Arial"/>
          <w:sz w:val="24"/>
          <w:szCs w:val="24"/>
          <w:lang w:val="en-GB"/>
        </w:rPr>
        <w:t xml:space="preserve">An additional positive outcome found in a meta-analysis conducted by </w:t>
      </w:r>
      <w:r w:rsidRPr="002C73A1">
        <w:rPr>
          <w:rFonts w:ascii="Arial" w:hAnsi="Arial" w:cs="Arial"/>
          <w:sz w:val="24"/>
          <w:szCs w:val="24"/>
          <w:lang w:val="en-GB"/>
        </w:rPr>
        <w:fldChar w:fldCharType="begin" w:fldLock="1"/>
      </w:r>
      <w:r w:rsidRPr="002C73A1">
        <w:rPr>
          <w:rFonts w:ascii="Arial" w:hAnsi="Arial" w:cs="Arial"/>
          <w:sz w:val="24"/>
          <w:szCs w:val="24"/>
          <w:lang w:val="en-GB"/>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from pharmacist intervention compared with those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2021)","plainTextFormattedCitation":"(Alabkal et al., 2021)","previouslyFormattedCitation":"(Alabkal &lt;i&gt;et al.&lt;/i&gt;, 2021)"},"properties":{"noteIndex":0},"schema":"https://github.com/citation-style-language/schema/raw/master/csl-citation.json"}</w:instrText>
      </w:r>
      <w:r w:rsidRPr="002C73A1">
        <w:rPr>
          <w:rFonts w:ascii="Arial" w:hAnsi="Arial" w:cs="Arial"/>
          <w:sz w:val="24"/>
          <w:szCs w:val="24"/>
          <w:lang w:val="en-GB"/>
        </w:rPr>
        <w:fldChar w:fldCharType="separate"/>
      </w:r>
      <w:r w:rsidRPr="002C73A1">
        <w:rPr>
          <w:rFonts w:ascii="Arial" w:hAnsi="Arial" w:cs="Arial"/>
          <w:noProof/>
          <w:sz w:val="24"/>
          <w:szCs w:val="24"/>
          <w:lang w:val="en-GB"/>
        </w:rPr>
        <w:t xml:space="preserve">(Alabkal </w:t>
      </w:r>
      <w:r w:rsidRPr="002C73A1">
        <w:rPr>
          <w:rFonts w:ascii="Arial" w:hAnsi="Arial" w:cs="Arial"/>
          <w:i/>
          <w:noProof/>
          <w:sz w:val="24"/>
          <w:szCs w:val="24"/>
          <w:lang w:val="en-GB"/>
        </w:rPr>
        <w:t>et al.</w:t>
      </w:r>
      <w:r w:rsidRPr="002C73A1">
        <w:rPr>
          <w:rFonts w:ascii="Arial" w:hAnsi="Arial" w:cs="Arial"/>
          <w:noProof/>
          <w:sz w:val="24"/>
          <w:szCs w:val="24"/>
          <w:lang w:val="en-GB"/>
        </w:rPr>
        <w:t>, 2021)</w:t>
      </w:r>
      <w:r w:rsidRPr="002C73A1">
        <w:rPr>
          <w:rFonts w:ascii="Arial" w:hAnsi="Arial" w:cs="Arial"/>
          <w:sz w:val="24"/>
          <w:szCs w:val="24"/>
          <w:lang w:val="en-GB"/>
        </w:rPr>
        <w:fldChar w:fldCharType="end"/>
      </w:r>
      <w:r w:rsidRPr="002C73A1">
        <w:rPr>
          <w:rFonts w:ascii="Arial" w:eastAsia="Times New Roman" w:hAnsi="Arial" w:cs="Arial"/>
          <w:sz w:val="24"/>
          <w:szCs w:val="24"/>
          <w:lang w:val="en-GB"/>
        </w:rPr>
        <w:t xml:space="preserve"> </w:t>
      </w:r>
      <w:r w:rsidR="00507978" w:rsidRPr="002C73A1">
        <w:rPr>
          <w:rFonts w:ascii="Arial" w:eastAsia="Times New Roman" w:hAnsi="Arial" w:cs="Arial"/>
          <w:sz w:val="24"/>
          <w:szCs w:val="24"/>
          <w:lang w:val="en-GB"/>
        </w:rPr>
        <w:t>was</w:t>
      </w:r>
      <w:r w:rsidRPr="002C73A1">
        <w:rPr>
          <w:rFonts w:ascii="Arial" w:eastAsia="Times New Roman" w:hAnsi="Arial" w:cs="Arial"/>
          <w:sz w:val="24"/>
          <w:szCs w:val="24"/>
          <w:lang w:val="en-GB"/>
        </w:rPr>
        <w:t xml:space="preserve"> a decrease in BMI among patients under pharmacist care. </w:t>
      </w:r>
    </w:p>
    <w:p w14:paraId="7F67749F" w14:textId="667961DD" w:rsidR="00941883" w:rsidRPr="002C73A1" w:rsidRDefault="00941883" w:rsidP="00941883">
      <w:pPr>
        <w:autoSpaceDE w:val="0"/>
        <w:autoSpaceDN w:val="0"/>
        <w:adjustRightInd w:val="0"/>
        <w:spacing w:line="360" w:lineRule="auto"/>
        <w:jc w:val="both"/>
        <w:rPr>
          <w:rFonts w:ascii="Arial" w:eastAsia="Times New Roman" w:hAnsi="Arial" w:cs="Arial"/>
          <w:sz w:val="24"/>
          <w:szCs w:val="24"/>
          <w:lang w:val="en-GB"/>
        </w:rPr>
      </w:pPr>
      <w:r w:rsidRPr="002C73A1">
        <w:rPr>
          <w:rFonts w:asciiTheme="minorBidi" w:hAnsiTheme="minorBidi"/>
          <w:sz w:val="24"/>
          <w:szCs w:val="24"/>
          <w:shd w:val="clear" w:color="auto" w:fill="FFFFFF"/>
        </w:rPr>
        <w:t xml:space="preserve">In the same vein, </w:t>
      </w:r>
      <w:r w:rsidRPr="002C73A1">
        <w:rPr>
          <w:rFonts w:asciiTheme="minorBidi" w:hAnsiTheme="minorBidi"/>
          <w:sz w:val="24"/>
          <w:szCs w:val="24"/>
          <w:lang w:val="en-GB"/>
        </w:rPr>
        <w:fldChar w:fldCharType="begin" w:fldLock="1"/>
      </w:r>
      <w:r w:rsidRPr="002C73A1">
        <w:rPr>
          <w:rFonts w:asciiTheme="minorBidi" w:hAnsiTheme="minorBidi"/>
          <w:sz w:val="24"/>
          <w:szCs w:val="24"/>
        </w:rPr>
        <w:instrText>ADDIN CSL_CITATION {"citationItems":[{"id":"ITEM-1","itemData":{"DOI":"10.1177/08971900221125008","ISSN":"15311937","PMID":"36052841","abstract":"Objective: Examine the impact of a primary care-embedded clinical pharmacist-led intervention (UCMyRx) on hemoglobin A1C and blood pressure control, relative to usual care, among patients with Type 2 diabetes (TD2) and Medicaid, in a large healthcare system. Methods: We used data extracted from the Electronic Health Records system and a Difference-In-Differences study design with a 2:1 propensity-matched comparison group to evaluate the impact of UCMyRx on HbA1c and systolic blood pressure among patients with TD2 and Medicaid, relative to usual care. Results: Having at least one UCMyRx clinical pharmacist visit was associated with a significant reduction in HbA1c; (−.27%, P-value=.03) but no impact on SBP. We do not find differential UCMyRx effects on HbA1c or SBP among the subpopulations with baseline HbA1C ≥9% or SBP ≥150 mmHg, respectively. In Charlson Comorbidity Index (CCI)-stratified analyses we found stronger UCMyRx effects on HbA1C (−.47%, P-value&lt;.02) among the CCI tercile with the lowest comorbidity score (CC1 ≤ 5). Significant UCMyRx effects are only observed among the subpopulation of Medicaid beneficiaries without Medicare (−.35%, P-value=.02). Conclusions: The UCMyRx intervention is a useful strategy for improving HbA1c control among patients with TD2 and Medicaid.","author":[{"dropping-particle":"","family":"Narain","given":"Kimberly Danae Cauley","non-dropping-particle":"","parse-names":false,"suffix":""},{"dropping-particle":"","family":"Tseng","given":"Chi Hong","non-dropping-particle":"","parse-names":false,"suffix":""},{"dropping-particle":"","family":"Bell","given":"Douglas","non-dropping-particle":"","parse-names":false,"suffix":""},{"dropping-particle":"","family":"Do","given":"Amanda","non-dropping-particle":"","parse-names":false,"suffix":""},{"dropping-particle":"","family":"Follett","given":"Rob","non-dropping-particle":"","parse-names":false,"suffix":""},{"dropping-particle":"","family":"Duru","given":"O. Kenrik","non-dropping-particle":"","parse-names":false,"suffix":""},{"dropping-particle":"","family":"Moreno","given":"Gerardo","non-dropping-particle":"","parse-names":false,"suffix":""},{"dropping-particle":"","family":"Mangione","given":"Carol","non-dropping-particle":"","parse-names":false,"suffix":""}],"container-title":"Journal of Pharmacy Practice","id":"ITEM-1","issue":"0","issued":{"date-parts":[["2022"]]},"page":"1-8","title":"An Effectiveness Study of a Primary Care-embedded Clinical Pharmacist-Led Intervention Among Patients With Diabetes and Medicaid Coverage","type":"article-journal","volume":"0"},"uris":["http://www.mendeley.com/documents/?uuid=0bf38a1d-ae9f-4474-a779-bfb6a859e934"]}],"mendeley":{"formattedCitation":"(Narain &lt;i&gt;et al.&lt;/i&gt;, 2022)","manualFormatting":"Narain et al., (2022)","plainTextFormattedCitation":"(Narain et al., 2022)","previouslyFormattedCitation":"(Narain &lt;i&gt;et al.&lt;/i&gt;, 2022)"},"properties":{"noteIndex":0},"schema":"https://github.com/citation-style-language/schema/raw/master/csl-citation.json"}</w:instrText>
      </w:r>
      <w:r w:rsidRPr="002C73A1">
        <w:rPr>
          <w:rFonts w:asciiTheme="minorBidi" w:hAnsiTheme="minorBidi"/>
          <w:sz w:val="24"/>
          <w:szCs w:val="24"/>
          <w:lang w:val="en-GB"/>
        </w:rPr>
        <w:fldChar w:fldCharType="separate"/>
      </w:r>
      <w:r w:rsidRPr="002C73A1">
        <w:rPr>
          <w:rFonts w:asciiTheme="minorBidi" w:hAnsiTheme="minorBidi"/>
          <w:noProof/>
          <w:sz w:val="24"/>
          <w:szCs w:val="24"/>
          <w:lang w:val="en-GB"/>
        </w:rPr>
        <w:t xml:space="preserve">Narain </w:t>
      </w:r>
      <w:r w:rsidRPr="002C73A1">
        <w:rPr>
          <w:rFonts w:asciiTheme="minorBidi" w:hAnsiTheme="minorBidi"/>
          <w:i/>
          <w:noProof/>
          <w:sz w:val="24"/>
          <w:szCs w:val="24"/>
          <w:lang w:val="en-GB"/>
        </w:rPr>
        <w:t>et al.</w:t>
      </w:r>
      <w:r w:rsidRPr="002C73A1">
        <w:rPr>
          <w:rFonts w:asciiTheme="minorBidi" w:hAnsiTheme="minorBidi"/>
          <w:noProof/>
          <w:sz w:val="24"/>
          <w:szCs w:val="24"/>
          <w:lang w:val="en-GB"/>
        </w:rPr>
        <w:t>, (2022)</w:t>
      </w:r>
      <w:r w:rsidRPr="002C73A1">
        <w:rPr>
          <w:rFonts w:asciiTheme="minorBidi" w:hAnsiTheme="minorBidi"/>
          <w:sz w:val="24"/>
          <w:szCs w:val="24"/>
          <w:lang w:val="en-GB"/>
        </w:rPr>
        <w:fldChar w:fldCharType="end"/>
      </w:r>
      <w:r w:rsidRPr="002C73A1">
        <w:rPr>
          <w:rFonts w:asciiTheme="minorBidi" w:hAnsiTheme="minorBidi"/>
          <w:sz w:val="24"/>
          <w:szCs w:val="24"/>
          <w:shd w:val="clear" w:color="auto" w:fill="FFFFFF"/>
        </w:rPr>
        <w:t>, in their study, found that  </w:t>
      </w:r>
      <w:r w:rsidRPr="002C73A1">
        <w:rPr>
          <w:rFonts w:asciiTheme="minorBidi" w:hAnsiTheme="minorBidi"/>
          <w:sz w:val="24"/>
          <w:szCs w:val="24"/>
          <w:lang w:val="en-GB"/>
        </w:rPr>
        <w:t>HbA1c</w:t>
      </w:r>
      <w:r w:rsidRPr="002C73A1">
        <w:rPr>
          <w:rFonts w:ascii="Arial" w:hAnsi="Arial" w:cs="Arial"/>
          <w:sz w:val="24"/>
          <w:szCs w:val="24"/>
          <w:lang w:val="en-GB"/>
        </w:rPr>
        <w:t xml:space="preserve"> was significantly improved among patients with diabetes in the pharmacists intervention group compared to usual care. </w:t>
      </w:r>
      <w:r w:rsidR="00507978" w:rsidRPr="002C73A1">
        <w:rPr>
          <w:rFonts w:ascii="Arial" w:hAnsi="Arial" w:cs="Arial"/>
          <w:sz w:val="24"/>
          <w:szCs w:val="24"/>
          <w:lang w:val="en-GB"/>
        </w:rPr>
        <w:t>T</w:t>
      </w:r>
      <w:r w:rsidRPr="002C73A1">
        <w:rPr>
          <w:rFonts w:ascii="Arial" w:hAnsi="Arial" w:cs="Arial"/>
          <w:sz w:val="24"/>
          <w:szCs w:val="24"/>
          <w:lang w:val="en-GB"/>
        </w:rPr>
        <w:t>he authors concluded that clinical outcomes c</w:t>
      </w:r>
      <w:r w:rsidR="00507978" w:rsidRPr="002C73A1">
        <w:rPr>
          <w:rFonts w:ascii="Arial" w:hAnsi="Arial" w:cs="Arial"/>
          <w:sz w:val="24"/>
          <w:szCs w:val="24"/>
          <w:lang w:val="en-GB"/>
        </w:rPr>
        <w:t>ould</w:t>
      </w:r>
      <w:r w:rsidRPr="002C73A1">
        <w:rPr>
          <w:rFonts w:ascii="Arial" w:hAnsi="Arial" w:cs="Arial"/>
          <w:sz w:val="24"/>
          <w:szCs w:val="24"/>
          <w:lang w:val="en-GB"/>
        </w:rPr>
        <w:t xml:space="preserve"> be improved by embedding pharmacists in diabetes primary care management </w:t>
      </w:r>
      <w:r w:rsidRPr="002C73A1">
        <w:rPr>
          <w:rFonts w:ascii="Arial" w:hAnsi="Arial" w:cs="Arial"/>
          <w:sz w:val="24"/>
          <w:szCs w:val="24"/>
          <w:lang w:val="en-GB"/>
        </w:rPr>
        <w:fldChar w:fldCharType="begin" w:fldLock="1"/>
      </w:r>
      <w:r w:rsidRPr="002C73A1">
        <w:rPr>
          <w:rFonts w:ascii="Arial" w:hAnsi="Arial" w:cs="Arial"/>
          <w:sz w:val="24"/>
          <w:szCs w:val="24"/>
        </w:rPr>
        <w:instrText xml:space="preserve">ADDIN CSL_CITATION {"citationItems":[{"id":"ITEM-1","itemData":{"DOI":"10.1177/08971900221125008","ISSN":"15311937","PMID":"36052841","abstract":"Objective: Examine the impact of a primary care-embedded clinical pharmacist-led intervention (UCMyRx) on hemoglobin A1C and blood pressure control, relative to usual care, among patients with Type 2 diabetes (TD2) and Medicaid, in a large healthcare system. Methods: We used data extracted from the Electronic Health Records system and a Difference-In-Differences study design with a 2:1 propensity-matched comparison group to evaluate the impact of UCMyRx on HbA1c and systolic blood pressure among patients with TD2 and Medicaid, relative to usual care. Results: Having at least one UCMyRx clinical pharmacist visit was associated with a significant reduction in HbA1c; (−.27%, P-value=.03) but no impact on SBP. We do not find differential UCMyRx effects on HbA1c or SBP among the subpopulations with baseline HbA1C ≥9% or SBP ≥150 mmHg, respectively. In Charlson Comorbidity Index (CCI)-stratified analyses we found stronger UCMyRx effects on </w:instrText>
      </w:r>
      <w:r w:rsidRPr="002C73A1">
        <w:rPr>
          <w:rFonts w:ascii="Arial" w:hAnsi="Arial" w:cs="Arial"/>
          <w:sz w:val="24"/>
          <w:szCs w:val="24"/>
          <w:lang w:val="en-GB"/>
        </w:rPr>
        <w:instrText>HbA1C (−.47%, P-value&lt;.02) among the CCI tercile with the lowest comorbidity score (CC1 ≤ 5). Significant UCMyRx effects are only observed among the subpopulation of Medicaid beneficiaries without Medicare (−.35%, P-value=.02). Conclusions: The UCMyRx intervention is a useful strategy for improving HbA1c control among patients with TD2 and Medicaid.","author":[{"dropping-particle":"","family":"Narain","given":"Kimberly Danae Cauley","non-dropping-particle":"","parse-names":false,"suffix":""},{"dropping-particle":"","family":"Tseng","given":"Chi Hong","non-dropping-particle":"","parse-names":false,"suffix":""},{"dropping-particle":"","family":"Bell","given":"Douglas","non-dropping-particle":"","parse-names":false,"suffix":""},{"dropping-particle":"","family":"Do","given":"Amanda","non-dropping-particle":"","parse-names":false,"suffix":""},{"dropping-particle":"","family":"Follett","given":"Rob","non-dropping-particle":"","parse-names":false,"suffix":""},{"dropping-particle":"","family":"Duru","given":"O. Kenrik","non-dropping-particle":"","parse-names":false,"suffix":""},{"dropping-particle":"","family":"Moreno","given":"Gerardo","non-dropping-particle":"","parse-names":false,"suffix":""},{"dropping-particle":"","family":"Mangione","given":"Carol","non-dropping-particle":"","parse-names":false,"suffix":""}],"container-title":"Journal of Pharmacy Practice","id":"ITEM-1","issue":"0","issued":{"date-parts":[["2022"]]},"page":"1-8","title":"An Effectiveness Study of a Primary Care-embedded Clinical Pharmacist-Led Intervention Among Patients With Diabetes and Medicaid Coverage","type":"article-journal","volume":"0"},"uris":["http://www.mendeley.com/documents/?uuid=0bf38a1d-ae9f-4474-a779-bfb6a859e934"]}],"mendeley":{"formattedCitation":"(Narain &lt;i&gt;et al.&lt;/i&gt;, 2022)","plainTextFormattedCitation":"(Narain et al., 2022)","previouslyFormattedCitation":"(Narain &lt;i&gt;et al.&lt;/i&gt;, 2022)"},"properties":{"noteIndex":0},"schema":"https://github.com/citation-style-language/schema/raw/master/csl-citation.json"}</w:instrText>
      </w:r>
      <w:r w:rsidRPr="002C73A1">
        <w:rPr>
          <w:rFonts w:ascii="Arial" w:hAnsi="Arial" w:cs="Arial"/>
          <w:sz w:val="24"/>
          <w:szCs w:val="24"/>
          <w:lang w:val="en-GB"/>
        </w:rPr>
        <w:fldChar w:fldCharType="separate"/>
      </w:r>
      <w:r w:rsidRPr="002C73A1">
        <w:rPr>
          <w:rFonts w:ascii="Arial" w:hAnsi="Arial" w:cs="Arial"/>
          <w:noProof/>
          <w:sz w:val="24"/>
          <w:szCs w:val="24"/>
          <w:lang w:val="en-GB"/>
        </w:rPr>
        <w:t xml:space="preserve">(Narain </w:t>
      </w:r>
      <w:r w:rsidRPr="002C73A1">
        <w:rPr>
          <w:rFonts w:ascii="Arial" w:hAnsi="Arial" w:cs="Arial"/>
          <w:i/>
          <w:noProof/>
          <w:sz w:val="24"/>
          <w:szCs w:val="24"/>
          <w:lang w:val="en-GB"/>
        </w:rPr>
        <w:t>et al.</w:t>
      </w:r>
      <w:r w:rsidRPr="002C73A1">
        <w:rPr>
          <w:rFonts w:ascii="Arial" w:hAnsi="Arial" w:cs="Arial"/>
          <w:noProof/>
          <w:sz w:val="24"/>
          <w:szCs w:val="24"/>
          <w:lang w:val="en-GB"/>
        </w:rPr>
        <w:t>, 2022)</w:t>
      </w:r>
      <w:r w:rsidRPr="002C73A1">
        <w:rPr>
          <w:rFonts w:ascii="Arial" w:hAnsi="Arial" w:cs="Arial"/>
          <w:sz w:val="24"/>
          <w:szCs w:val="24"/>
          <w:lang w:val="en-GB"/>
        </w:rPr>
        <w:fldChar w:fldCharType="end"/>
      </w:r>
      <w:r w:rsidRPr="002C73A1">
        <w:rPr>
          <w:rFonts w:ascii="Arial" w:hAnsi="Arial" w:cs="Arial"/>
          <w:sz w:val="24"/>
          <w:szCs w:val="24"/>
          <w:lang w:val="en-GB"/>
        </w:rPr>
        <w:t xml:space="preserve">. A randomized controlled trial conducted by (Wagner et al., 2022) also support pharmacists' involvement in diabetes management and demonstrates their intervention in improving diabetes outcomes. This study highlights pharmacists' ability to provide a holistic approach to medication management and address any medication-related issues. These activities are essential in managing patients with diabetes as they are associated with improving patient outcomes. Similarly, a systematic review and meta-analysis study found that pharmacists interventions, through reviewing patients’ medications and educating them about diabetes and self- care, significantly reduced (i.e. improved) HbA1c compared to the care without pharmacists’ interventions </w:t>
      </w:r>
      <w:r w:rsidRPr="002C73A1">
        <w:rPr>
          <w:rFonts w:ascii="Arial" w:eastAsia="Times New Roman" w:hAnsi="Arial" w:cs="Arial"/>
          <w:sz w:val="24"/>
          <w:szCs w:val="24"/>
          <w:lang w:val="en-GB"/>
        </w:rPr>
        <w:fldChar w:fldCharType="begin" w:fldLock="1"/>
      </w:r>
      <w:r w:rsidRPr="002C73A1">
        <w:rPr>
          <w:rFonts w:ascii="Arial" w:eastAsia="Times New Roman" w:hAnsi="Arial" w:cs="Arial"/>
          <w:sz w:val="24"/>
          <w:szCs w:val="24"/>
          <w:lang w:val="en-GB"/>
        </w:rPr>
        <w:instrText>ADDIN CSL_CITATION {"citationItems":[{"id":"ITEM-1","itemData":{"DOI":"10.1186/s13643-022-02117-w","ISSN":"20464053","PMID":"36522687","abstract":"Type 2 diabetes mellitus (T2D) is responsible for an important premature mortality. Phar- macists involved in community-based pharmaceutical care services could help patients with diabetes through education and management as they participate in their regular and long-term care. This meta-analysis aimed to evaluate the association between interventions led by pharmacists in the primary care setting and mean change in HbA1c levels. Randomized controlled trials and quasi- experimental studies with a control group were included. Standardized mean differences (SMD) and their 95% confidence intervals (95% CI) were calculated to compare the mean change in HbA1c values between baseline and end of the intervention in each group. Subgroup analyses were performed to explore heterogeneity. Twelve articles were included. The results showed that pharmacist’s inter- ventions significantly reduced HbA1c compared to usual care with an overall SMD of −0.67 (95% CI = [−0.87; −0.48], p &lt; 0.0001). Even if no significant difference between subgroups were found, the reduction of HbA1c seemed more important when baseline HbA1c was ≥8.5%, the intervention occurred monthly, in a primary care center and in countries with a lower human development index. Our results suggest that pharmacists-led interventions in the primary care setting can improve glycemic control for adults with T2D. Keywords:","author":[{"dropping-particle":"","family":"Coutureau","given":"Claire","non-dropping-particle":"","parse-names":false,"suffix":""},{"dropping-particle":"","family":"Slimano","given":"Florian","non-dropping-particle":"","parse-names":false,"suffix":""},{"dropping-particle":"","family":"Mongaret","given":"Céline","non-dropping-particle":"","parse-names":false,"suffix":""},{"dropping-particle":"","family":"Kanagaratnam","given":"Lukshe","non-dropping-particle":"","parse-names":false,"suffix":""}],"container-title":"International Journal of Environmental Research and Public Health","id":"ITEM-1","issue":"1","issued":{"date-parts":[["2022"]]},"title":"Impact of Pharmacists-Led Interventions in Primary Care for Adults with Type 2 Diabetes on HbA1c Levels: A Systematic Review and Meta-Analysis","type":"article-journal","volume":"19"},"uris":["http://www.mendeley.com/documents/?uuid=e3879d85-9237-46bb-b5d5-09effa390d16"]}],"mendeley":{"formattedCitation":"(Coutureau &lt;i&gt;et al.&lt;/i&gt;, 2022)","plainTextFormattedCitation":"(Coutureau et al., 2022)","previouslyFormattedCitation":"(Coutureau &lt;i&gt;et al.&lt;/i&gt;, 2022)"},"properties":{"noteIndex":0},"schema":"https://github.com/citation-style-language/schema/raw/master/csl-citation.json"}</w:instrText>
      </w:r>
      <w:r w:rsidRPr="002C73A1">
        <w:rPr>
          <w:rFonts w:ascii="Arial" w:eastAsia="Times New Roman" w:hAnsi="Arial" w:cs="Arial"/>
          <w:sz w:val="24"/>
          <w:szCs w:val="24"/>
          <w:lang w:val="en-GB"/>
        </w:rPr>
        <w:fldChar w:fldCharType="separate"/>
      </w:r>
      <w:r w:rsidRPr="002C73A1">
        <w:rPr>
          <w:rFonts w:ascii="Arial" w:eastAsia="Times New Roman" w:hAnsi="Arial" w:cs="Arial"/>
          <w:noProof/>
          <w:sz w:val="24"/>
          <w:szCs w:val="24"/>
          <w:lang w:val="en-GB"/>
        </w:rPr>
        <w:t xml:space="preserve">(Coutureau </w:t>
      </w:r>
      <w:r w:rsidRPr="002C73A1">
        <w:rPr>
          <w:rFonts w:ascii="Arial" w:eastAsia="Times New Roman" w:hAnsi="Arial" w:cs="Arial"/>
          <w:i/>
          <w:noProof/>
          <w:sz w:val="24"/>
          <w:szCs w:val="24"/>
          <w:lang w:val="en-GB"/>
        </w:rPr>
        <w:t>et al.</w:t>
      </w:r>
      <w:r w:rsidRPr="002C73A1">
        <w:rPr>
          <w:rFonts w:ascii="Arial" w:eastAsia="Times New Roman" w:hAnsi="Arial" w:cs="Arial"/>
          <w:noProof/>
          <w:sz w:val="24"/>
          <w:szCs w:val="24"/>
          <w:lang w:val="en-GB"/>
        </w:rPr>
        <w:t>, 2022)</w:t>
      </w:r>
      <w:r w:rsidRPr="002C73A1">
        <w:rPr>
          <w:rFonts w:ascii="Arial" w:eastAsia="Times New Roman" w:hAnsi="Arial" w:cs="Arial"/>
          <w:sz w:val="24"/>
          <w:szCs w:val="24"/>
          <w:lang w:val="en-GB"/>
        </w:rPr>
        <w:fldChar w:fldCharType="end"/>
      </w:r>
      <w:r w:rsidRPr="002C73A1">
        <w:rPr>
          <w:rFonts w:ascii="Arial" w:eastAsia="Times New Roman" w:hAnsi="Arial" w:cs="Arial"/>
          <w:sz w:val="24"/>
          <w:szCs w:val="24"/>
          <w:lang w:val="en-GB"/>
        </w:rPr>
        <w:t xml:space="preserve">. </w:t>
      </w:r>
    </w:p>
    <w:p w14:paraId="3EF20680" w14:textId="43646CC4" w:rsidR="00941883" w:rsidRPr="002C73A1" w:rsidRDefault="00507978" w:rsidP="00941883">
      <w:pPr>
        <w:autoSpaceDE w:val="0"/>
        <w:autoSpaceDN w:val="0"/>
        <w:adjustRightInd w:val="0"/>
        <w:spacing w:line="360" w:lineRule="auto"/>
        <w:jc w:val="both"/>
        <w:rPr>
          <w:rFonts w:ascii="Arial" w:eastAsia="Times New Roman" w:hAnsi="Arial" w:cs="Arial"/>
          <w:sz w:val="24"/>
          <w:szCs w:val="24"/>
          <w:lang w:val="en-GB"/>
        </w:rPr>
      </w:pPr>
      <w:r w:rsidRPr="002C73A1">
        <w:rPr>
          <w:rFonts w:ascii="Arial" w:eastAsia="Times New Roman" w:hAnsi="Arial" w:cs="Arial"/>
          <w:sz w:val="24"/>
          <w:szCs w:val="24"/>
          <w:lang w:val="en-GB"/>
        </w:rPr>
        <w:t>It has been compellingly argued that both p</w:t>
      </w:r>
      <w:r w:rsidR="00941883" w:rsidRPr="002C73A1">
        <w:rPr>
          <w:rFonts w:ascii="Arial" w:eastAsia="Times New Roman" w:hAnsi="Arial" w:cs="Arial"/>
          <w:sz w:val="24"/>
          <w:szCs w:val="24"/>
          <w:lang w:val="en-GB"/>
        </w:rPr>
        <w:t xml:space="preserve">atient education and </w:t>
      </w:r>
      <w:r w:rsidRPr="002C73A1">
        <w:rPr>
          <w:rFonts w:ascii="Arial" w:eastAsia="Times New Roman" w:hAnsi="Arial" w:cs="Arial"/>
          <w:sz w:val="24"/>
          <w:szCs w:val="24"/>
          <w:lang w:val="en-GB"/>
        </w:rPr>
        <w:t xml:space="preserve">also </w:t>
      </w:r>
      <w:r w:rsidR="00941883" w:rsidRPr="002C73A1">
        <w:rPr>
          <w:rFonts w:ascii="Arial" w:eastAsia="Times New Roman" w:hAnsi="Arial" w:cs="Arial"/>
          <w:sz w:val="24"/>
          <w:szCs w:val="24"/>
          <w:lang w:val="en-GB"/>
        </w:rPr>
        <w:t xml:space="preserve">medication reviews are essential pharmaceutical care services that every licensed pharmacist should be able to provide to patients with type 2 diabetes </w:t>
      </w:r>
      <w:r w:rsidR="00941883" w:rsidRPr="002C73A1">
        <w:rPr>
          <w:rFonts w:ascii="Arial" w:eastAsia="Times New Roman" w:hAnsi="Arial" w:cs="Arial"/>
          <w:sz w:val="24"/>
          <w:szCs w:val="24"/>
          <w:lang w:val="en-GB"/>
        </w:rPr>
        <w:fldChar w:fldCharType="begin" w:fldLock="1"/>
      </w:r>
      <w:r w:rsidR="00941883" w:rsidRPr="002C73A1">
        <w:rPr>
          <w:rFonts w:ascii="Arial" w:eastAsia="Times New Roman" w:hAnsi="Arial" w:cs="Arial"/>
          <w:sz w:val="24"/>
          <w:szCs w:val="24"/>
          <w:lang w:val="en-GB"/>
        </w:rPr>
        <w:instrText>ADDIN CSL_CITATION {"citationItems":[{"id":"ITEM-1","itemData":{"DOI":"10.1186/s13643-022-02117-w","ISSN":"20464053","PMID":"36522687","abstract":"Type 2 diabetes mellitus (T2D) is responsible for an important premature mortality. Phar- macists involved in community-based pharmaceutical care services could help patients with diabetes through education and management as they participate in their regular and long-term care. This meta-analysis aimed to evaluate the association between interventions led by pharmacists in the primary care setting and mean change in HbA1c levels. Randomized controlled trials and quasi- experimental studies with a control group were included. Standardized mean differences (SMD) and their 95% confidence intervals (95% CI) were calculated to compare the mean change in HbA1c values between baseline and end of the intervention in each group. Subgroup analyses were performed to explore heterogeneity. Twelve articles were included. The results showed that pharmacist’s inter- ventions significantly reduced HbA1c compared to usual care with an overall SMD of −0.67 (95% CI = [−0.87; −0.48], p &lt; 0.0001). Even if no significant difference between subgroups were found, the reduction of HbA1c seemed more important when baseline HbA1c was ≥8.5%, the intervention occurred monthly, in a primary care center and in countries with a lower human development index. Our results suggest that pharmacists-led interventions in the primary care setting can improve glycemic control for adults with T2D. Keywords:","author":[{"dropping-particle":"","family":"Coutureau","given":"Claire","non-dropping-particle":"","parse-names":false,"suffix":""},{"dropping-particle":"","family":"Slimano","given":"Florian","non-dropping-particle":"","parse-names":false,"suffix":""},{"dropping-particle":"","family":"Mongaret","given":"Céline","non-dropping-particle":"","parse-names":false,"suffix":""},{"dropping-particle":"","family":"Kanagaratnam","given":"Lukshe","non-dropping-particle":"","parse-names":false,"suffix":""}],"container-title":"International Journal of Environmental Research and Public Health","id":"ITEM-1","issue":"1","issued":{"date-parts":[["2022"]]},"title":"Impact of Pharmacists-Led Interventions in Primary Care for Adults with Type 2 Diabetes on HbA1c Levels: A Systematic Review and Meta-Analysis","type":"article-journal","volume":"19"},"uris":["http://www.mendeley.com/documents/?uuid=e3879d85-9237-46bb-b5d5-09effa390d16"]}],"mendeley":{"formattedCitation":"(Coutureau &lt;i&gt;et al.&lt;/i&gt;, 2022)","plainTextFormattedCitation":"(Coutureau et al., 2022)","previouslyFormattedCitation":"(Coutureau &lt;i&gt;et al.&lt;/i&gt;, 2022)"},"properties":{"noteIndex":0},"schema":"https://github.com/citation-style-language/schema/raw/master/csl-citation.json"}</w:instrText>
      </w:r>
      <w:r w:rsidR="00941883" w:rsidRPr="002C73A1">
        <w:rPr>
          <w:rFonts w:ascii="Arial" w:eastAsia="Times New Roman" w:hAnsi="Arial" w:cs="Arial"/>
          <w:sz w:val="24"/>
          <w:szCs w:val="24"/>
          <w:lang w:val="en-GB"/>
        </w:rPr>
        <w:fldChar w:fldCharType="separate"/>
      </w:r>
      <w:r w:rsidR="00941883" w:rsidRPr="002C73A1">
        <w:rPr>
          <w:rFonts w:ascii="Arial" w:eastAsia="Times New Roman" w:hAnsi="Arial" w:cs="Arial"/>
          <w:noProof/>
          <w:sz w:val="24"/>
          <w:szCs w:val="24"/>
          <w:lang w:val="en-GB"/>
        </w:rPr>
        <w:t xml:space="preserve">(Coutureau </w:t>
      </w:r>
      <w:r w:rsidR="00941883" w:rsidRPr="002C73A1">
        <w:rPr>
          <w:rFonts w:ascii="Arial" w:eastAsia="Times New Roman" w:hAnsi="Arial" w:cs="Arial"/>
          <w:i/>
          <w:noProof/>
          <w:sz w:val="24"/>
          <w:szCs w:val="24"/>
          <w:lang w:val="en-GB"/>
        </w:rPr>
        <w:t>et al.</w:t>
      </w:r>
      <w:r w:rsidR="00941883" w:rsidRPr="002C73A1">
        <w:rPr>
          <w:rFonts w:ascii="Arial" w:eastAsia="Times New Roman" w:hAnsi="Arial" w:cs="Arial"/>
          <w:noProof/>
          <w:sz w:val="24"/>
          <w:szCs w:val="24"/>
          <w:lang w:val="en-GB"/>
        </w:rPr>
        <w:t>, 2022)</w:t>
      </w:r>
      <w:r w:rsidR="00941883" w:rsidRPr="002C73A1">
        <w:rPr>
          <w:rFonts w:ascii="Arial" w:eastAsia="Times New Roman" w:hAnsi="Arial" w:cs="Arial"/>
          <w:sz w:val="24"/>
          <w:szCs w:val="24"/>
          <w:lang w:val="en-GB"/>
        </w:rPr>
        <w:fldChar w:fldCharType="end"/>
      </w:r>
      <w:r w:rsidR="00941883" w:rsidRPr="002C73A1">
        <w:rPr>
          <w:rFonts w:ascii="Arial" w:eastAsia="Times New Roman" w:hAnsi="Arial" w:cs="Arial"/>
          <w:sz w:val="24"/>
          <w:szCs w:val="24"/>
          <w:lang w:val="en-GB"/>
        </w:rPr>
        <w:t xml:space="preserve">. This study did not include advancing clinical pharmacy practice like that provided by clinical pharmacists. The positive results of pharmacists' interventions described </w:t>
      </w:r>
      <w:r w:rsidRPr="002C73A1">
        <w:rPr>
          <w:rFonts w:ascii="Arial" w:eastAsia="Times New Roman" w:hAnsi="Arial" w:cs="Arial"/>
          <w:sz w:val="24"/>
          <w:szCs w:val="24"/>
          <w:lang w:val="en-GB"/>
        </w:rPr>
        <w:t xml:space="preserve">by </w:t>
      </w:r>
      <w:r w:rsidR="00941883" w:rsidRPr="002C73A1">
        <w:rPr>
          <w:rFonts w:ascii="Arial" w:eastAsia="Times New Roman" w:hAnsi="Arial" w:cs="Arial"/>
          <w:noProof/>
          <w:sz w:val="24"/>
          <w:szCs w:val="24"/>
          <w:lang w:val="en-GB"/>
        </w:rPr>
        <w:t xml:space="preserve">Coutureau </w:t>
      </w:r>
      <w:r w:rsidR="00941883" w:rsidRPr="002C73A1">
        <w:rPr>
          <w:rFonts w:ascii="Arial" w:eastAsia="Times New Roman" w:hAnsi="Arial" w:cs="Arial"/>
          <w:i/>
          <w:noProof/>
          <w:sz w:val="24"/>
          <w:szCs w:val="24"/>
          <w:lang w:val="en-GB"/>
        </w:rPr>
        <w:t xml:space="preserve">et al. </w:t>
      </w:r>
      <w:r w:rsidR="00941883" w:rsidRPr="002C73A1">
        <w:rPr>
          <w:rFonts w:ascii="Arial" w:eastAsia="Times New Roman" w:hAnsi="Arial" w:cs="Arial"/>
          <w:sz w:val="24"/>
          <w:szCs w:val="24"/>
          <w:lang w:val="en-GB"/>
        </w:rPr>
        <w:t xml:space="preserve">give hope that such positive outcomes can be found in PHC in SA if pharmacists provide essential pharmaceutical care services to patients with diabetes. Many pharmacists at the Saudi MoH hold a bachelor's degree in general pharmaceutical sciences and have received limited clinical training. Therefore, providing medication reviews and educational services by pharmacists for diabetics in PHCs in SA can be applied, which may in turn positively impact patient outcomes. </w:t>
      </w:r>
      <w:r w:rsidR="00941883" w:rsidRPr="002C73A1">
        <w:rPr>
          <w:rFonts w:ascii="Arial" w:hAnsi="Arial" w:cs="Arial"/>
          <w:sz w:val="24"/>
          <w:szCs w:val="24"/>
          <w:lang w:val="en"/>
        </w:rPr>
        <w:t xml:space="preserve">This is also supported by </w:t>
      </w:r>
      <w:r w:rsidR="00941883" w:rsidRPr="002C73A1">
        <w:rPr>
          <w:rFonts w:ascii="Arial" w:hAnsi="Arial" w:cs="Arial"/>
          <w:sz w:val="24"/>
          <w:szCs w:val="24"/>
          <w:lang w:val="en"/>
        </w:rPr>
        <w:fldChar w:fldCharType="begin" w:fldLock="1"/>
      </w:r>
      <w:r w:rsidR="00310DAC" w:rsidRPr="002C73A1">
        <w:rPr>
          <w:rFonts w:ascii="Arial" w:hAnsi="Arial" w:cs="Arial"/>
          <w:sz w:val="24"/>
          <w:szCs w:val="24"/>
          <w:lang w:val="en"/>
        </w:rPr>
        <w:instrText>ADDIN CSL_CITATION {"citationItems":[{"id":"ITEM-1","itemData":{"DOI":"10.1007/s11096-021-01327-x","ISBN":"0123456789","ISSN":"22107711","PMID":"34637104","abstract":"Background Diabetes mellitus is a complex multi-system disorder, requiring multi-disciplinary care. The conventional care model, where physicians are the sole caregivers may not be optimal. Addition of other healthcare team members improves healthcare outcomes for patients with diabetes. Aim To evaluate the impact of pharmacist-involved collaborative care on diabetes-related outcomes among patients with diabetes attending a primary healthcare setting in Qatar using real-world data. Method A retrospective cohort study was conducted among patients with diabetes attending Qatar Petroleum Diabetes Clinic. Patients were categorized as either receiving pharmacist-involved collaborative care (intervention group) or usual care (control group). Data were analyzed using SPSS®. Glycemic control (glycated hemoglobin A1c, HbA1c), blood pressure, lipid profile, and body mass index were evaluated at baseline and up to 17 months of follow-up. Results After 17 months of follow-up, pharmacist-involved collaborative care compared to usual care resulted in a significant decrease in HbA1c (6.8 ± 1.2% vs. 7.1 ± 1.3%, p &lt; 0.01). Moreover, compared to baseline, pharmacist-involved collaborative care significantly improved (p &lt; 0.05) the levels of HbA1c (7.5% vs. 6.8%), low-density lipoprotein cholesterol (3.7 mmol/L vs. 2.8 mmol/L), total cholesterol (5.43 mmol/L vs. 4.34 mmol/L), and body mass index (30.42 kg/m2 vs. 30.17 kg/m2) after 17 months within the intervention group. However, no significant changes for these parameters occurred within the control group. Conclusion The implementation of pharmacist-involved collaborative care in a primary healthcare setting improved several diabetes-related outcomes over 17 months. Future studies should determine the long-term impact of this care model.","author":[{"dropping-particle":"","family":"Abdulrhim","given":"Sara","non-dropping-particle":"","parse-names":false,"suffix":""},{"dropping-particle":"","family":"Awaisu","given":"Ahmed","non-dropping-particle":"","parse-names":false,"suffix":""},{"dropping-particle":"","family":"Ibrahim","given":"Mohamed Izham Mohamed","non-dropping-particle":"","parse-names":false,"suffix":""},{"dropping-particle":"","family":"Diab","given":"Mohammad Issam","non-dropping-particle":"","parse-names":false,"suffix":""},{"dropping-particle":"","family":"Hussain","given":"Mohamed Abdelazim Mohamed","non-dropping-particle":"","parse-names":false,"suffix":""},{"dropping-particle":"","family":"Raey","given":"Hend","non-dropping-particle":"Al","parse-names":false,"suffix":""},{"dropping-particle":"","family":"Ismail","given":"Mohammed Thahir","non-dropping-particle":"","parse-names":false,"suffix":""},{"dropping-particle":"","family":"Sankaralingam","given":"Sowndramalingam","non-dropping-particle":"","parse-names":false,"suffix":""}],"container-title":"International Journal of Clinical Pharmacy","id":"ITEM-1","issue":"1","issued":{"date-parts":[["2022"]]},"page":"153-162","publisher":"Springer International Publishing","title":"Impact of pharmacist-involved collaborative care on diabetes management in a primary healthcare setting using real-world data","type":"article-journal","volume":"44"},"uris":["http://www.mendeley.com/documents/?uuid=0051a59f-fa51-40c4-b0ec-510687cd46dc"]}],"mendeley":{"formattedCitation":"(Abdulrhim &lt;i&gt;et al.&lt;/i&gt;, 2022)","manualFormatting":"Abdulrhim et al., (2022)","plainTextFormattedCitation":"(Abdulrhim et al., 2022)","previouslyFormattedCitation":"(Abdulrhim &lt;i&gt;et al.&lt;/i&gt;, 2022)"},"properties":{"noteIndex":0},"schema":"https://github.com/citation-style-language/schema/raw/master/csl-citation.json"}</w:instrText>
      </w:r>
      <w:r w:rsidR="00941883" w:rsidRPr="002C73A1">
        <w:rPr>
          <w:rFonts w:ascii="Arial" w:hAnsi="Arial" w:cs="Arial"/>
          <w:sz w:val="24"/>
          <w:szCs w:val="24"/>
          <w:lang w:val="en"/>
        </w:rPr>
        <w:fldChar w:fldCharType="separate"/>
      </w:r>
      <w:r w:rsidR="00941883" w:rsidRPr="002C73A1">
        <w:rPr>
          <w:rFonts w:ascii="Arial" w:hAnsi="Arial" w:cs="Arial"/>
          <w:noProof/>
          <w:sz w:val="24"/>
          <w:szCs w:val="24"/>
          <w:lang w:val="en"/>
        </w:rPr>
        <w:t xml:space="preserve">Abdulrhim </w:t>
      </w:r>
      <w:r w:rsidR="00941883" w:rsidRPr="002C73A1">
        <w:rPr>
          <w:rFonts w:ascii="Arial" w:hAnsi="Arial" w:cs="Arial"/>
          <w:i/>
          <w:noProof/>
          <w:sz w:val="24"/>
          <w:szCs w:val="24"/>
          <w:lang w:val="en"/>
        </w:rPr>
        <w:t>et al.</w:t>
      </w:r>
      <w:r w:rsidR="00941883" w:rsidRPr="002C73A1">
        <w:rPr>
          <w:rFonts w:ascii="Arial" w:hAnsi="Arial" w:cs="Arial"/>
          <w:noProof/>
          <w:sz w:val="24"/>
          <w:szCs w:val="24"/>
          <w:lang w:val="en"/>
        </w:rPr>
        <w:t xml:space="preserve">, </w:t>
      </w:r>
      <w:r w:rsidR="008D1533" w:rsidRPr="002C73A1">
        <w:rPr>
          <w:rFonts w:ascii="Arial" w:hAnsi="Arial" w:cs="Arial"/>
          <w:noProof/>
          <w:sz w:val="24"/>
          <w:szCs w:val="24"/>
          <w:lang w:val="en"/>
        </w:rPr>
        <w:t>(</w:t>
      </w:r>
      <w:r w:rsidR="00941883" w:rsidRPr="002C73A1">
        <w:rPr>
          <w:rFonts w:ascii="Arial" w:hAnsi="Arial" w:cs="Arial"/>
          <w:noProof/>
          <w:sz w:val="24"/>
          <w:szCs w:val="24"/>
          <w:lang w:val="en"/>
        </w:rPr>
        <w:t>2022)</w:t>
      </w:r>
      <w:r w:rsidR="00941883" w:rsidRPr="002C73A1">
        <w:rPr>
          <w:rFonts w:ascii="Arial" w:hAnsi="Arial" w:cs="Arial"/>
          <w:sz w:val="24"/>
          <w:szCs w:val="24"/>
          <w:lang w:val="en"/>
        </w:rPr>
        <w:fldChar w:fldCharType="end"/>
      </w:r>
      <w:r w:rsidR="00941883" w:rsidRPr="002C73A1">
        <w:rPr>
          <w:rFonts w:ascii="Arial" w:hAnsi="Arial" w:cs="Arial"/>
          <w:sz w:val="24"/>
          <w:szCs w:val="24"/>
          <w:lang w:val="en"/>
        </w:rPr>
        <w:t xml:space="preserve"> who conducted a study that analysed data  </w:t>
      </w:r>
      <w:r w:rsidR="00992C2B" w:rsidRPr="002C73A1">
        <w:rPr>
          <w:rFonts w:ascii="Arial" w:hAnsi="Arial" w:cs="Arial"/>
          <w:sz w:val="24"/>
          <w:szCs w:val="24"/>
          <w:lang w:val="en"/>
        </w:rPr>
        <w:t xml:space="preserve">obtained from </w:t>
      </w:r>
      <w:r w:rsidR="00941883" w:rsidRPr="002C73A1">
        <w:rPr>
          <w:rFonts w:ascii="Arial" w:hAnsi="Arial" w:cs="Arial"/>
          <w:sz w:val="24"/>
          <w:szCs w:val="24"/>
          <w:lang w:val="en"/>
        </w:rPr>
        <w:t>a primary healthcare setting in Qatar and showed that collaborative care in which a pharmacist participates, compared to usual care, improves glycemic control in diabetic patients. Similarly, the HbA1c of patients under a pharmacist's care significantly improved in</w:t>
      </w:r>
      <w:r w:rsidR="008D1533" w:rsidRPr="002C73A1">
        <w:rPr>
          <w:rFonts w:ascii="Arial" w:hAnsi="Arial" w:cs="Arial"/>
          <w:sz w:val="24"/>
          <w:szCs w:val="24"/>
          <w:lang w:val="en"/>
        </w:rPr>
        <w:t xml:space="preserve"> the study by </w:t>
      </w:r>
      <w:r w:rsidR="00941883" w:rsidRPr="002C73A1">
        <w:rPr>
          <w:rFonts w:ascii="Arial" w:hAnsi="Arial" w:cs="Arial"/>
          <w:sz w:val="24"/>
          <w:szCs w:val="24"/>
          <w:lang w:val="en"/>
        </w:rPr>
        <w:t xml:space="preserve"> </w:t>
      </w:r>
      <w:r w:rsidR="00941883" w:rsidRPr="002C73A1">
        <w:rPr>
          <w:rFonts w:ascii="Arial" w:hAnsi="Arial" w:cs="Arial"/>
          <w:sz w:val="24"/>
          <w:szCs w:val="24"/>
          <w:lang w:val="en"/>
        </w:rPr>
        <w:fldChar w:fldCharType="begin" w:fldLock="1"/>
      </w:r>
      <w:r w:rsidR="00310DAC" w:rsidRPr="002C73A1">
        <w:rPr>
          <w:rFonts w:ascii="Arial" w:hAnsi="Arial" w:cs="Arial"/>
          <w:sz w:val="24"/>
          <w:szCs w:val="24"/>
          <w:lang w:val="en"/>
        </w:rPr>
        <w:instrText>ADDIN CSL_CITATION {"citationItems":[{"id":"ITEM-1","itemData":{"DOI":"10.1093/ajhp/zxac175","ISSN":"15352900","PMID":"35773167","abstract":"Purpose: To evaluate whether pharmacist engagement on the interdisciplinary team leads to improved performance on diabetes-related quality measures. Methods: This was a retrospective observational study of patients seen in primary care and specialty clinics from October 2014 to October 2020. Patients were included if they had a visit with a physician, nurse practitioner, physician's assistant, or clinical pharmacist practitioner (CPP) within the study period and had a diagnosis of diabetes. The intervention group included patients with at least one visit with a CPP, while the control group consisted of patients who were exclusively managed by non-CPP providers. The primary outcome of this study was the median change in glycosylated hemoglobin (HbA1c) from baseline to follow-up at 3, 6, and 12 months. The secondary outcome was the probability of achieving the HbA1c targets of &lt;7% and &lt;8% at 3, 6, and 12 months. Results: Patients referred to a CPP had higher HbA1c levels at baseline and were more likely to have concomitant hypertension (P &lt; 0.01). Patients seen by a CPP had 0.31%, 0.41%, and 0.44% greater reductions in HbA1c compared to patients in the control group at 3, 6, and 12 months, respectively (P &lt; 0.01). Patients managed by a CPP were also more likely to achieve the identified HbA1c targets of &lt;7% and &lt;8%. Conclusion: Patients referred to a CPP were more complex, but had greater reductions in HbA1c and were more likely to achieve HbA1c goals included in the organization's quality measures. This study demonstrates the value of pharmacists in improving patient care and their role in supporting an organization's achievement of value-based quality measures.","author":[{"dropping-particle":"","family":"Patti","given":"Michael","non-dropping-particle":"","parse-names":false,"suffix":""},{"dropping-particle":"","family":"Colmenares","given":"Evan W.","non-dropping-particle":"","parse-names":false,"suffix":""},{"dropping-particle":"","family":"Abrahamson","given":"Anna","non-dropping-particle":"","parse-names":false,"suffix":""},{"dropping-particle":"","family":"Weddle","given":"Sarah","non-dropping-particle":"","parse-names":false,"suffix":""},{"dropping-particle":"","family":"Cavanaugh","given":"Jamie","non-dropping-particle":"","parse-names":false,"suffix":""},{"dropping-particle":"","family":"Deyo","given":"Zack","non-dropping-particle":"","parse-names":false,"suffix":""},{"dropping-particle":"","family":"Vest","given":"Mary Haston","non-dropping-particle":"","parse-names":false,"suffix":""}],"container-title":"American Journal of Health-System Pharmacy","id":"ITEM-1","issue":"19","issued":{"date-parts":[["2022"]]},"page":"1645-1651","title":"Impact of pharmacist participation in the patient care team on value-based health measures","type":"article-journal","volume":"79"},"uris":["http://www.mendeley.com/documents/?uuid=f1fe9e67-7bf7-4d9c-ad56-de1c0c4024c0"]}],"mendeley":{"formattedCitation":"(Patti &lt;i&gt;et al.&lt;/i&gt;, 2022)","manualFormatting":"Patti et al., (2022)","plainTextFormattedCitation":"(Patti et al., 2022)","previouslyFormattedCitation":"(Patti &lt;i&gt;et al.&lt;/i&gt;, 2022)"},"properties":{"noteIndex":0},"schema":"https://github.com/citation-style-language/schema/raw/master/csl-citation.json"}</w:instrText>
      </w:r>
      <w:r w:rsidR="00941883" w:rsidRPr="002C73A1">
        <w:rPr>
          <w:rFonts w:ascii="Arial" w:hAnsi="Arial" w:cs="Arial"/>
          <w:sz w:val="24"/>
          <w:szCs w:val="24"/>
          <w:lang w:val="en"/>
        </w:rPr>
        <w:fldChar w:fldCharType="separate"/>
      </w:r>
      <w:r w:rsidR="00941883" w:rsidRPr="002C73A1">
        <w:rPr>
          <w:rFonts w:ascii="Arial" w:hAnsi="Arial" w:cs="Arial"/>
          <w:noProof/>
          <w:sz w:val="24"/>
          <w:szCs w:val="24"/>
          <w:lang w:val="en"/>
        </w:rPr>
        <w:t xml:space="preserve">Patti </w:t>
      </w:r>
      <w:r w:rsidR="00941883" w:rsidRPr="002C73A1">
        <w:rPr>
          <w:rFonts w:ascii="Arial" w:hAnsi="Arial" w:cs="Arial"/>
          <w:i/>
          <w:noProof/>
          <w:sz w:val="24"/>
          <w:szCs w:val="24"/>
          <w:lang w:val="en"/>
        </w:rPr>
        <w:t>et al.</w:t>
      </w:r>
      <w:r w:rsidR="00941883" w:rsidRPr="002C73A1">
        <w:rPr>
          <w:rFonts w:ascii="Arial" w:hAnsi="Arial" w:cs="Arial"/>
          <w:noProof/>
          <w:sz w:val="24"/>
          <w:szCs w:val="24"/>
          <w:lang w:val="en"/>
        </w:rPr>
        <w:t xml:space="preserve">, </w:t>
      </w:r>
      <w:r w:rsidR="008D1533" w:rsidRPr="002C73A1">
        <w:rPr>
          <w:rFonts w:ascii="Arial" w:hAnsi="Arial" w:cs="Arial"/>
          <w:noProof/>
          <w:sz w:val="24"/>
          <w:szCs w:val="24"/>
          <w:lang w:val="en"/>
        </w:rPr>
        <w:t>(</w:t>
      </w:r>
      <w:r w:rsidR="00941883" w:rsidRPr="002C73A1">
        <w:rPr>
          <w:rFonts w:ascii="Arial" w:hAnsi="Arial" w:cs="Arial"/>
          <w:noProof/>
          <w:sz w:val="24"/>
          <w:szCs w:val="24"/>
          <w:lang w:val="en"/>
        </w:rPr>
        <w:t>2022)</w:t>
      </w:r>
      <w:r w:rsidR="00941883" w:rsidRPr="002C73A1">
        <w:rPr>
          <w:rFonts w:ascii="Arial" w:hAnsi="Arial" w:cs="Arial"/>
          <w:sz w:val="24"/>
          <w:szCs w:val="24"/>
          <w:lang w:val="en"/>
        </w:rPr>
        <w:fldChar w:fldCharType="end"/>
      </w:r>
      <w:r w:rsidR="00941883" w:rsidRPr="002C73A1">
        <w:rPr>
          <w:rFonts w:ascii="Arial" w:hAnsi="Arial" w:cs="Arial"/>
          <w:sz w:val="24"/>
          <w:szCs w:val="24"/>
          <w:lang w:val="en"/>
        </w:rPr>
        <w:t xml:space="preserve"> . </w:t>
      </w:r>
    </w:p>
    <w:p w14:paraId="65F03763" w14:textId="60349F24" w:rsidR="00941883" w:rsidRPr="002C73A1" w:rsidRDefault="00941883" w:rsidP="00941883">
      <w:pPr>
        <w:autoSpaceDE w:val="0"/>
        <w:autoSpaceDN w:val="0"/>
        <w:adjustRightInd w:val="0"/>
        <w:spacing w:line="360" w:lineRule="auto"/>
        <w:jc w:val="both"/>
        <w:rPr>
          <w:rFonts w:ascii="Arial" w:hAnsi="Arial" w:cs="Arial"/>
          <w:sz w:val="24"/>
          <w:szCs w:val="24"/>
          <w:lang w:val="en-GB"/>
        </w:rPr>
      </w:pPr>
      <w:r w:rsidRPr="002C73A1">
        <w:rPr>
          <w:rFonts w:ascii="Arial" w:hAnsi="Arial" w:cs="Arial"/>
          <w:sz w:val="24"/>
          <w:szCs w:val="24"/>
          <w:lang w:val="en-GB"/>
        </w:rPr>
        <w:t xml:space="preserve">Improvement in HbA1c and BP with the pharmacist's intervention group compared to the control group without pharmacists was also found in a recent retrospective cohort study by </w:t>
      </w:r>
      <w:r w:rsidRPr="002C73A1">
        <w:rPr>
          <w:rFonts w:ascii="Arial" w:hAnsi="Arial" w:cs="Arial"/>
          <w:sz w:val="24"/>
          <w:szCs w:val="24"/>
          <w:lang w:val="en-GB"/>
        </w:rPr>
        <w:fldChar w:fldCharType="begin" w:fldLock="1"/>
      </w:r>
      <w:r w:rsidR="00310DAC" w:rsidRPr="002C73A1">
        <w:rPr>
          <w:rFonts w:ascii="Arial" w:hAnsi="Arial" w:cs="Arial"/>
          <w:sz w:val="24"/>
          <w:szCs w:val="24"/>
          <w:lang w:val="en-GB"/>
        </w:rPr>
        <w:instrText>ADDIN CSL_CITATION {"citationItems":[{"id":"ITEM-1","itemData":{"DOI":"10.1371/journal.pone.0280654","ISBN":"1111111111","ISSN":"19326203","PMID":"36662741","abstract":"Background An enhanced primary care team model was implemented to provide proactive, longitudinal care to patients with diabetes, grounded in close partnership between primary care providers (PCPs), nurses, and Medication Management Services (MMS) pharmacists. The purpose of this study is to evaluate the impact of the MMS pharmacist involvement in the enhanced primary care model for patients with diabetes. Methods This retrospective cohort study compared the quality of diabetes care between patients referred to a pharmacist and propensity score matched controls who were not. Eligible patients were adults (age 18 to 75 years) enrolled in the enhanced primary care team process who did not meet at least one of four diabetes quality indicators at 13 Mayo Clinic Rochester primary care practice locations. The intervention examined was asynchronous econsults by pharmacists affiliated with the primary care practice. Main measures The primary outcome was change in the proportion of patients meeting the composite of four diabetes treatment goals (D4), including hemoglobin A1c (HbA1c) control, blood pressure control, aspirin use, and statin use at six months from enrollment among patients who received pharmacist intervention compared to matched patients who did not. Secondary outcomes were each of the D4 goal individually. Results The proportion of patients meeting the D4 increased with pharmacist e-consults (N = 85) compared to matched controls with no review (N = 170) (27% vs 7.0%, p&lt;0.001). The change in patients meeting treatment goals of HbA1c (12.9% vs 4.1%, p = 0.020), blood pressure (9.4% vs 2.4%, p = 0.023), aspirin use (10.6% vs 2.9%, p = 0.018), and statin use (17.6% vs -1.2%, p&lt;0.001) all increased with pharmacist e-consults. Conclusions Pharmacist engagement in the enhanced primary care team improved diabetes management. This supports the inclusion and utilization of pharmacists in multidisciplinary efforts to improve diabetes care.","author":[{"dropping-particle":"","family":"Firkus","given":"Danielle","non-dropping-particle":"","parse-names":false,"suffix":""},{"dropping-particle":"","family":"McCoy","given":"Rozalina G.","non-dropping-particle":"","parse-names":false,"suffix":""},{"dropping-particle":"","family":"Matulis","given":"John","non-dropping-particle":"","parse-names":false,"suffix":""},{"dropping-particle":"","family":"Kessler","given":"Maya","non-dropping-particle":"","parse-names":false,"suffix":""},{"dropping-particle":"","family":"Mara","given":"Kristin","non-dropping-particle":"","parse-names":false,"suffix":""},{"dropping-particle":"","family":"Herges","given":"Joseph","non-dropping-particle":"","parse-names":false,"suffix":""}],"container-title":"PLoS ONE","id":"ITEM-1","issue":"1 January","issued":{"date-parts":[["2023"]]},"page":"1-11","title":"Evaluation of pharmacist consults within a collaborative enhanced primary care team model to improve diabetes care","type":"article-journal","volume":"18"},"uris":["http://www.mendeley.com/documents/?uuid=3442fc06-aa3f-440d-8cef-875b6bf549e5"]}],"mendeley":{"formattedCitation":"(Firkus &lt;i&gt;et al.&lt;/i&gt;, 2023)","manualFormatting":"Firkus et al., (2023)","plainTextFormattedCitation":"(Firkus et al., 2023)","previouslyFormattedCitation":"(Firkus &lt;i&gt;et al.&lt;/i&gt;, 2023)"},"properties":{"noteIndex":0},"schema":"https://github.com/citation-style-language/schema/raw/master/csl-citation.json"}</w:instrText>
      </w:r>
      <w:r w:rsidRPr="002C73A1">
        <w:rPr>
          <w:rFonts w:ascii="Arial" w:hAnsi="Arial" w:cs="Arial"/>
          <w:sz w:val="24"/>
          <w:szCs w:val="24"/>
          <w:lang w:val="en-GB"/>
        </w:rPr>
        <w:fldChar w:fldCharType="separate"/>
      </w:r>
      <w:r w:rsidRPr="002C73A1">
        <w:rPr>
          <w:rFonts w:ascii="Arial" w:hAnsi="Arial" w:cs="Arial"/>
          <w:noProof/>
          <w:sz w:val="24"/>
          <w:szCs w:val="24"/>
          <w:lang w:val="en-GB"/>
        </w:rPr>
        <w:t xml:space="preserve">Firkus </w:t>
      </w:r>
      <w:r w:rsidRPr="002C73A1">
        <w:rPr>
          <w:rFonts w:ascii="Arial" w:hAnsi="Arial" w:cs="Arial"/>
          <w:i/>
          <w:noProof/>
          <w:sz w:val="24"/>
          <w:szCs w:val="24"/>
          <w:lang w:val="en-GB"/>
        </w:rPr>
        <w:t>et al.</w:t>
      </w:r>
      <w:r w:rsidRPr="002C73A1">
        <w:rPr>
          <w:rFonts w:ascii="Arial" w:hAnsi="Arial" w:cs="Arial"/>
          <w:noProof/>
          <w:sz w:val="24"/>
          <w:szCs w:val="24"/>
          <w:lang w:val="en-GB"/>
        </w:rPr>
        <w:t xml:space="preserve">, </w:t>
      </w:r>
      <w:r w:rsidR="008D1533" w:rsidRPr="002C73A1">
        <w:rPr>
          <w:rFonts w:ascii="Arial" w:hAnsi="Arial" w:cs="Arial"/>
          <w:noProof/>
          <w:sz w:val="24"/>
          <w:szCs w:val="24"/>
          <w:lang w:val="en-GB"/>
        </w:rPr>
        <w:t>(</w:t>
      </w:r>
      <w:r w:rsidRPr="002C73A1">
        <w:rPr>
          <w:rFonts w:ascii="Arial" w:hAnsi="Arial" w:cs="Arial"/>
          <w:noProof/>
          <w:sz w:val="24"/>
          <w:szCs w:val="24"/>
          <w:lang w:val="en-GB"/>
        </w:rPr>
        <w:t>2023)</w:t>
      </w:r>
      <w:r w:rsidRPr="002C73A1">
        <w:rPr>
          <w:rFonts w:ascii="Arial" w:hAnsi="Arial" w:cs="Arial"/>
          <w:sz w:val="24"/>
          <w:szCs w:val="24"/>
          <w:lang w:val="en-GB"/>
        </w:rPr>
        <w:fldChar w:fldCharType="end"/>
      </w:r>
      <w:r w:rsidRPr="002C73A1">
        <w:rPr>
          <w:rFonts w:ascii="Arial" w:hAnsi="Arial" w:cs="Arial"/>
          <w:sz w:val="24"/>
          <w:szCs w:val="24"/>
          <w:lang w:val="en-GB"/>
        </w:rPr>
        <w:t xml:space="preserve"> that evaluated the impact of pharmacists' involvement in diabetes care. An increase in aspirin and statin use was also found in this study </w:t>
      </w:r>
      <w:r w:rsidR="008D1533" w:rsidRPr="002C73A1">
        <w:rPr>
          <w:rFonts w:ascii="Arial" w:hAnsi="Arial" w:cs="Arial"/>
          <w:sz w:val="24"/>
          <w:szCs w:val="24"/>
          <w:lang w:val="en-GB"/>
        </w:rPr>
        <w:t>linked to</w:t>
      </w:r>
      <w:r w:rsidRPr="002C73A1">
        <w:rPr>
          <w:rFonts w:ascii="Arial" w:hAnsi="Arial" w:cs="Arial"/>
          <w:sz w:val="24"/>
          <w:szCs w:val="24"/>
          <w:lang w:val="en-GB"/>
        </w:rPr>
        <w:t xml:space="preserve"> the intervention of pharmacists.</w:t>
      </w:r>
    </w:p>
    <w:p w14:paraId="4B89B777" w14:textId="1DD1EA0C" w:rsidR="00941883" w:rsidRPr="002C73A1" w:rsidRDefault="00941883" w:rsidP="00941883">
      <w:pPr>
        <w:autoSpaceDE w:val="0"/>
        <w:autoSpaceDN w:val="0"/>
        <w:adjustRightInd w:val="0"/>
        <w:spacing w:line="360" w:lineRule="auto"/>
        <w:jc w:val="both"/>
        <w:rPr>
          <w:rFonts w:ascii="Arial" w:hAnsi="Arial" w:cs="Arial"/>
          <w:sz w:val="24"/>
          <w:szCs w:val="24"/>
          <w:lang w:val="en-GB"/>
        </w:rPr>
      </w:pPr>
      <w:r w:rsidRPr="002C73A1">
        <w:rPr>
          <w:rFonts w:ascii="Arial" w:hAnsi="Arial" w:cs="Arial"/>
          <w:sz w:val="24"/>
          <w:szCs w:val="24"/>
          <w:lang w:val="en-GB"/>
        </w:rPr>
        <w:t xml:space="preserve">The findings of the recent systematic review and meta-analysis study published by Chaudhary et al. </w:t>
      </w:r>
      <w:r w:rsidR="008D1533" w:rsidRPr="002C73A1">
        <w:rPr>
          <w:rFonts w:ascii="Arial" w:hAnsi="Arial" w:cs="Arial"/>
          <w:sz w:val="24"/>
          <w:szCs w:val="24"/>
          <w:lang w:val="en-GB"/>
        </w:rPr>
        <w:t>(</w:t>
      </w:r>
      <w:r w:rsidRPr="002C73A1">
        <w:rPr>
          <w:rFonts w:ascii="Arial" w:hAnsi="Arial" w:cs="Arial"/>
          <w:sz w:val="24"/>
          <w:szCs w:val="24"/>
          <w:lang w:val="en-GB"/>
        </w:rPr>
        <w:t>2023</w:t>
      </w:r>
      <w:r w:rsidR="008D1533" w:rsidRPr="002C73A1">
        <w:rPr>
          <w:rFonts w:ascii="Arial" w:hAnsi="Arial" w:cs="Arial"/>
          <w:sz w:val="24"/>
          <w:szCs w:val="24"/>
          <w:lang w:val="en-GB"/>
        </w:rPr>
        <w:t>)</w:t>
      </w:r>
      <w:r w:rsidRPr="002C73A1">
        <w:rPr>
          <w:rFonts w:ascii="Arial" w:hAnsi="Arial" w:cs="Arial"/>
          <w:sz w:val="24"/>
          <w:szCs w:val="24"/>
          <w:lang w:val="en-GB"/>
        </w:rPr>
        <w:t xml:space="preserve"> were also roughly consistent with the abovementioned studies. This meta-analysis found a decrease in HbA1C, BP, cholesterol, and BMI. Additionally, an increase in smoking cessation was also found in this study. Improvement in CVD risk factors, which are considered significant contributors to disease-related mortality, particularly in patients with diabetes, was seen more clearly in practice involving pharmacists (the collaborative practice between pharmacists and GPs ) compared to the practice that did not include pharmacists. </w:t>
      </w:r>
      <w:r w:rsidRPr="002C73A1">
        <w:rPr>
          <w:rFonts w:ascii="Arial" w:eastAsia="Times New Roman" w:hAnsi="Arial" w:cs="Arial"/>
          <w:sz w:val="24"/>
          <w:szCs w:val="24"/>
          <w:lang w:val="en-GB"/>
        </w:rPr>
        <w:fldChar w:fldCharType="begin" w:fldLock="1"/>
      </w:r>
      <w:r w:rsidRPr="002C73A1">
        <w:rPr>
          <w:rFonts w:ascii="Arial" w:eastAsia="Times New Roman" w:hAnsi="Arial" w:cs="Arial"/>
          <w:sz w:val="24"/>
          <w:szCs w:val="24"/>
          <w:lang w:val="en-GB"/>
        </w:rPr>
        <w:instrText>ADDIN CSL_CITATION {"citationItems":[{"id":"ITEM-1","itemData":{"DOI":"10.5334/gh.1184","ISSN":"22118179","PMID":"36846722","abstract":"Objective: To assess whether inter-professional, bidirectional collaboration between general practitioners (GPs) and pharmacists has an impact on improving cardiovascular risk outcomes among patients in the primary care setting. It also aimed to understand the different types of collaborative care models used. Study design: Systematic review and Hartung-Knapp-Sidik-Jonkman random effects meta-analyses of randomised control trials (RCTs) in inter-professional bidirectional collaboration between GP and pharmacists assessing a change of patient cardiovascular risk in the primary care setting. Data sources: MEDLINE, EMBASE, Cochrane, CINAHL and International Pharmaceutical Abstracts, scanned reference lists of relevant studies, hand searched key journals and key papers until August 2021. Data synthesis: Twenty-eight RCTs were identified. Collaboration was associated with significant reductions in systolic and diastolic blood pressure (23 studies, 5,620 participants) of –6.42 mmHg (95% confidence interval (95%CI) –7.99 to –4.84) and –2.33 mmHg (95%CI –3.76 to –0.91), respectively. Changes in other cardiovascular risk factors included total cholesterol (6 studies, 1,917 participants) –0.26 mmol/L (95%CI –0.49 to –0.03); low-density lipoprotein (8 studies, 1,817 participants) –0.16 mmol/L (95%CI –0.63 to 0.32); high-density lipoprotein (7 studies, 1,525 participants) 0.02 mmol/L (95%CI –0.02 to 0.07). Reduction in haemoglobin A1c (HbA1C) (10 studies, 2,025 participants), body mass index (8 studies, 1,708 participants) and smoking cessation (1 study, 132 participants) was observed with GP-pharmacist collaboration. Meta-analysis was not conducted for these changes. Various models of collaborative care included verbal communication (via phone calls or face to face), and written communication (emails, letters). We found that co-location was associated with positive changes in cardiovascular risk factors. Conclusion: Although it is clear that collaborative care is ideal compared to usual care, greater details in the description of the collaborative model of care in studies is required for a core comprehensive evaluation of the different models of collaboration.","author":[{"dropping-particle":"","family":"Chaudhri","given":"Kanika","non-dropping-particle":"","parse-names":false,"suffix":""},{"dropping-particle":"","family":"Caleres","given":"Gabriella","non-dropping-particle":"","parse-names":false,"suffix":""},{"dropping-particle":"","family":"Saunders","given":"Samantha","non-dropping-particle":"","parse-names":false,"suffix":""},{"dropping-particle":"","family":"Michail","given":"Peter","non-dropping-particle":"","parse-names":false,"suffix":""},{"dropping-particle":"","family":"Tanna","given":"Gian Luca","non-dropping-particle":"Di","parse-names":false,"suffix":""},{"dropping-particle":"","family":"Lung","given":"Thomas","non-dropping-particle":"","parse-names":false,"suffix":""},{"dropping-particle":"","family":"Liu","given":"Hueiming","non-dropping-particle":"","parse-names":false,"suffix":""},{"dropping-particle":"","family":"Joshi","given":"Rohina","non-dropping-particle":"","parse-names":false,"suffix":""}],"container-title":"Global Heart","id":"ITEM-1","issue":"1","issued":{"date-parts":[["2023"]]},"title":"Does Collaboration between General Practitioners and Pharmacists Improve Risk Factors for Cardiovascular Disease and Diabetes? A Systematic Review and Meta-Analysis","type":"article-journal","volume":"18"},"uris":["http://www.mendeley.com/documents/?uuid=4f4a5e14-9316-43ae-afb9-c7e0200c729b"]}],"mendeley":{"formattedCitation":"(Chaudhri &lt;i&gt;et al.&lt;/i&gt;, 2023)","plainTextFormattedCitation":"(Chaudhri et al., 2023)","previouslyFormattedCitation":"(Chaudhri &lt;i&gt;et al.&lt;/i&gt;, 2023)"},"properties":{"noteIndex":0},"schema":"https://github.com/citation-style-language/schema/raw/master/csl-citation.json"}</w:instrText>
      </w:r>
      <w:r w:rsidRPr="002C73A1">
        <w:rPr>
          <w:rFonts w:ascii="Arial" w:eastAsia="Times New Roman" w:hAnsi="Arial" w:cs="Arial"/>
          <w:sz w:val="24"/>
          <w:szCs w:val="24"/>
          <w:lang w:val="en-GB"/>
        </w:rPr>
        <w:fldChar w:fldCharType="separate"/>
      </w:r>
      <w:r w:rsidRPr="002C73A1">
        <w:rPr>
          <w:rFonts w:ascii="Arial" w:eastAsia="Times New Roman" w:hAnsi="Arial" w:cs="Arial"/>
          <w:noProof/>
          <w:sz w:val="24"/>
          <w:szCs w:val="24"/>
          <w:lang w:val="en-GB"/>
        </w:rPr>
        <w:t xml:space="preserve">(Chaudhri </w:t>
      </w:r>
      <w:r w:rsidRPr="002C73A1">
        <w:rPr>
          <w:rFonts w:ascii="Arial" w:eastAsia="Times New Roman" w:hAnsi="Arial" w:cs="Arial"/>
          <w:i/>
          <w:noProof/>
          <w:sz w:val="24"/>
          <w:szCs w:val="24"/>
          <w:lang w:val="en-GB"/>
        </w:rPr>
        <w:t>et al.</w:t>
      </w:r>
      <w:r w:rsidRPr="002C73A1">
        <w:rPr>
          <w:rFonts w:ascii="Arial" w:eastAsia="Times New Roman" w:hAnsi="Arial" w:cs="Arial"/>
          <w:noProof/>
          <w:sz w:val="24"/>
          <w:szCs w:val="24"/>
          <w:lang w:val="en-GB"/>
        </w:rPr>
        <w:t>, 2023)</w:t>
      </w:r>
      <w:r w:rsidRPr="002C73A1">
        <w:rPr>
          <w:rFonts w:ascii="Arial" w:eastAsia="Times New Roman" w:hAnsi="Arial" w:cs="Arial"/>
          <w:sz w:val="24"/>
          <w:szCs w:val="24"/>
          <w:lang w:val="en-GB"/>
        </w:rPr>
        <w:fldChar w:fldCharType="end"/>
      </w:r>
      <w:r w:rsidRPr="002C73A1">
        <w:rPr>
          <w:rFonts w:ascii="Arial" w:eastAsia="Times New Roman" w:hAnsi="Arial" w:cs="Arial"/>
          <w:sz w:val="24"/>
          <w:szCs w:val="24"/>
          <w:lang w:val="en-GB"/>
        </w:rPr>
        <w:t xml:space="preserve">. </w:t>
      </w:r>
      <w:r w:rsidRPr="002C73A1">
        <w:rPr>
          <w:rFonts w:ascii="Arial" w:hAnsi="Arial" w:cs="Arial"/>
          <w:sz w:val="24"/>
          <w:szCs w:val="24"/>
          <w:lang w:val="en-GB"/>
        </w:rPr>
        <w:t xml:space="preserve">Similarly, a retrospective cohort research by Cowart et al. (2022) also showed improvements in A1C among patients in a pharmacist-physician collaborative practice model compared to a usual care practice. </w:t>
      </w:r>
    </w:p>
    <w:p w14:paraId="7D503CA6" w14:textId="77777777" w:rsidR="00941883" w:rsidRPr="006B2FC7" w:rsidRDefault="00941883" w:rsidP="00941883">
      <w:pPr>
        <w:autoSpaceDE w:val="0"/>
        <w:autoSpaceDN w:val="0"/>
        <w:adjustRightInd w:val="0"/>
        <w:spacing w:line="360" w:lineRule="auto"/>
        <w:jc w:val="both"/>
        <w:rPr>
          <w:rFonts w:ascii="Arial" w:hAnsi="Arial" w:cs="Arial"/>
          <w:sz w:val="24"/>
          <w:szCs w:val="24"/>
        </w:rPr>
      </w:pPr>
      <w:r w:rsidRPr="006B2FC7">
        <w:rPr>
          <w:rFonts w:ascii="Arial" w:hAnsi="Arial" w:cs="Arial"/>
          <w:sz w:val="24"/>
          <w:szCs w:val="24"/>
        </w:rPr>
        <w:t xml:space="preserve">Notably, almost every paper that has been written on the impact of pharmacists in DM management includes HbA1c as a primary outcome because it is considered a critical clinical parameter for long-term diabetes follow-up, and most these studies show a statistically significant improvement in HbA1c among the pharmacist intervention group compared with usual care. </w:t>
      </w:r>
    </w:p>
    <w:p w14:paraId="0A33A624" w14:textId="66943D0D" w:rsidR="00941883" w:rsidRPr="00623B2D" w:rsidRDefault="00941883" w:rsidP="00623B2D">
      <w:pPr>
        <w:pStyle w:val="Heading6"/>
        <w:rPr>
          <w:rFonts w:asciiTheme="minorBidi" w:hAnsiTheme="minorBidi" w:cstheme="minorBidi"/>
          <w:sz w:val="24"/>
          <w:szCs w:val="24"/>
        </w:rPr>
      </w:pPr>
      <w:r w:rsidRPr="00623B2D">
        <w:rPr>
          <w:rFonts w:asciiTheme="minorBidi" w:hAnsiTheme="minorBidi" w:cstheme="minorBidi"/>
          <w:sz w:val="24"/>
          <w:szCs w:val="24"/>
        </w:rPr>
        <w:t>Improved prescribing</w:t>
      </w:r>
      <w:r w:rsidR="00D448C3">
        <w:rPr>
          <w:rFonts w:asciiTheme="minorBidi" w:hAnsiTheme="minorBidi" w:cstheme="minorBidi"/>
          <w:sz w:val="24"/>
          <w:szCs w:val="24"/>
        </w:rPr>
        <w:t xml:space="preserve"> and </w:t>
      </w:r>
      <w:r w:rsidRPr="00623B2D">
        <w:rPr>
          <w:rFonts w:asciiTheme="minorBidi" w:hAnsiTheme="minorBidi" w:cstheme="minorBidi"/>
          <w:sz w:val="24"/>
          <w:szCs w:val="24"/>
        </w:rPr>
        <w:t>guideline adherence</w:t>
      </w:r>
    </w:p>
    <w:p w14:paraId="7A79740A" w14:textId="77777777" w:rsidR="00941883" w:rsidRPr="006B2FC7" w:rsidRDefault="00941883" w:rsidP="00623B2D">
      <w:pPr>
        <w:autoSpaceDE w:val="0"/>
        <w:autoSpaceDN w:val="0"/>
        <w:adjustRightInd w:val="0"/>
        <w:spacing w:before="240" w:line="360" w:lineRule="auto"/>
        <w:jc w:val="both"/>
        <w:rPr>
          <w:rFonts w:ascii="Arial" w:hAnsi="Arial" w:cs="Arial"/>
          <w:sz w:val="24"/>
          <w:szCs w:val="24"/>
          <w:lang w:val="en-GB"/>
        </w:rPr>
      </w:pPr>
      <w:r w:rsidRPr="006B2FC7">
        <w:rPr>
          <w:rFonts w:ascii="Arial" w:hAnsi="Arial" w:cs="Arial"/>
          <w:color w:val="000000" w:themeColor="text1"/>
          <w:sz w:val="24"/>
          <w:szCs w:val="24"/>
          <w:lang w:val="en-GB"/>
        </w:rPr>
        <w:t xml:space="preserve">Pharmacists have contributed to diabetes management by </w:t>
      </w:r>
      <w:r w:rsidRPr="006B2FC7">
        <w:rPr>
          <w:rFonts w:ascii="Arial" w:hAnsi="Arial" w:cs="Arial"/>
          <w:color w:val="000000" w:themeColor="text1"/>
          <w:sz w:val="24"/>
          <w:szCs w:val="24"/>
          <w:shd w:val="clear" w:color="auto" w:fill="FFFFFF"/>
          <w:lang w:val="en-GB"/>
        </w:rPr>
        <w:t>improving the prescription of the medications</w:t>
      </w:r>
      <w:r>
        <w:rPr>
          <w:rFonts w:ascii="Arial" w:hAnsi="Arial" w:cs="Arial"/>
          <w:color w:val="000000" w:themeColor="text1"/>
          <w:sz w:val="24"/>
          <w:szCs w:val="24"/>
          <w:shd w:val="clear" w:color="auto" w:fill="FFFFFF"/>
          <w:lang w:val="en-GB"/>
        </w:rPr>
        <w:t xml:space="preserve"> and enhancing </w:t>
      </w:r>
      <w:r>
        <w:rPr>
          <w:rFonts w:ascii="Arial" w:hAnsi="Arial" w:cs="Arial"/>
          <w:color w:val="000000" w:themeColor="text1"/>
          <w:sz w:val="24"/>
          <w:szCs w:val="24"/>
          <w:lang w:val="en-GB"/>
        </w:rPr>
        <w:t xml:space="preserve">the adherence of guidelines. For instance, </w:t>
      </w:r>
      <w:r w:rsidRPr="006B2FC7">
        <w:rPr>
          <w:rFonts w:ascii="Arial" w:hAnsi="Arial" w:cs="Arial"/>
          <w:color w:val="000000" w:themeColor="text1"/>
          <w:sz w:val="24"/>
          <w:szCs w:val="24"/>
          <w:lang w:val="en-GB"/>
        </w:rPr>
        <w:t xml:space="preserve">providing </w:t>
      </w:r>
      <w:r w:rsidRPr="006B2FC7">
        <w:rPr>
          <w:rFonts w:ascii="Arial" w:hAnsi="Arial" w:cs="Arial"/>
          <w:color w:val="000000" w:themeColor="text1"/>
          <w:sz w:val="24"/>
          <w:szCs w:val="24"/>
          <w:shd w:val="clear" w:color="auto" w:fill="FFFFFF"/>
          <w:lang w:val="en-GB"/>
        </w:rPr>
        <w:t>MTM</w:t>
      </w:r>
      <w:r>
        <w:rPr>
          <w:rFonts w:ascii="Arial" w:hAnsi="Arial" w:cs="Arial"/>
          <w:color w:val="000000" w:themeColor="text1"/>
          <w:sz w:val="24"/>
          <w:szCs w:val="24"/>
          <w:shd w:val="clear" w:color="auto" w:fill="FFFFFF"/>
          <w:lang w:val="en-GB"/>
        </w:rPr>
        <w:t xml:space="preserve"> </w:t>
      </w:r>
      <w:r w:rsidRPr="006B2FC7">
        <w:rPr>
          <w:rFonts w:ascii="Arial" w:hAnsi="Arial" w:cs="Arial"/>
          <w:color w:val="000000" w:themeColor="text1"/>
          <w:sz w:val="24"/>
          <w:szCs w:val="24"/>
          <w:shd w:val="clear" w:color="auto" w:fill="FFFFFF"/>
          <w:lang w:val="en-GB"/>
        </w:rPr>
        <w:t>is currently included in primary healthcare in the UK, as several studies have supported this intervention’s effectiveness in improving the prescription of the medications.</w:t>
      </w:r>
      <w:r>
        <w:rPr>
          <w:rFonts w:ascii="Arial" w:hAnsi="Arial" w:cs="Arial"/>
          <w:color w:val="000000" w:themeColor="text1"/>
          <w:sz w:val="24"/>
          <w:szCs w:val="24"/>
          <w:shd w:val="clear" w:color="auto" w:fill="FFFFFF"/>
          <w:lang w:val="en-GB"/>
        </w:rPr>
        <w:t xml:space="preserve"> </w:t>
      </w:r>
      <w:r w:rsidRPr="006B2FC7">
        <w:rPr>
          <w:rFonts w:ascii="Arial" w:hAnsi="Arial" w:cs="Arial"/>
          <w:color w:val="000000" w:themeColor="text1"/>
          <w:sz w:val="24"/>
          <w:szCs w:val="24"/>
          <w:shd w:val="clear" w:color="auto" w:fill="FFFFFF"/>
          <w:lang w:val="en-GB"/>
        </w:rPr>
        <w:fldChar w:fldCharType="begin" w:fldLock="1"/>
      </w:r>
      <w:r w:rsidRPr="006B2FC7">
        <w:rPr>
          <w:rFonts w:ascii="Arial" w:hAnsi="Arial" w:cs="Arial"/>
          <w:color w:val="000000" w:themeColor="text1"/>
          <w:sz w:val="24"/>
          <w:szCs w:val="24"/>
          <w:shd w:val="clear" w:color="auto" w:fill="FFFFFF"/>
          <w:lang w:val="en-GB"/>
        </w:rPr>
        <w:instrText>ADDIN CSL_CITATION {"citationItems":[{"id":"ITEM-1","itemData":{"DOI":"10.2146/ajhp090009","ISSN":"10792082","abstract":"Purpose. The influence of pharmacist intervention on the prescribing of angiotensin-converting-enzyme (ACE) inhibitors, angiotensin II-receptor blockers (ARBs), and aspirin for patients with diabetes was evaluated. Methods. A retrospective chart review was performed for diabetic patients seen in a family medicine clinic. Patients were included in the analyses if they were 18-88 years old, had a diagnosis of type 1 or type 2 diabetes had been seen in the family medicine clinic between July 2006 and October2008, and had received a consultation by pharmacy services. All selected charts were reviewed to assess appropriate use of ACE inhibitor, ARB, and aspirin therapy, as recommended by American Diabetes Association (ADA) guidelines, before and after pharmacist intervention. Typical pharmacist interventions consisted of direct consultation with the prescriber and therapeutic education sessions conducted by pharmacy personnel. All patients were seen and evaluated by pharmacy personnel before meeting with the prescriber. Results. Before pharmacist intervention, 41 (59%) of 70 patients were receiving appropriate ACE inhibitor or ARB therapy and 24 (34%) of 71 patients were receiving appropriate aspirin therapy as recommended by ADA. After pharmacist intervention, 63 (90%) of 70 patients were receiving appropriate ACE inhibitor or ARB therapy and 48 (68%) of 71 patients were receiving appropriate aspirin therapy as recommended by ADA (p &lt; 0.0001 for both differences). Conclusion. A pharmacy intervention program in a primary care setting was associated with a significant increase in prescriber adherence to ADA guidelines for ACE inhibitor or ARB therapy and for aspirin therapy in diabetic patients.","author":[{"dropping-particle":"","family":"LaMarr","given":"Brandon","non-dropping-particle":"","parse-names":false,"suffix":""},{"dropping-particle":"","family":"Valdez","given":"Connie","non-dropping-particle":"","parse-names":false,"suffix":""},{"dropping-particle":"","family":"Driscoll","given":"Katie","non-dropping-particle":"","parse-names":false,"suffix":""},{"dropping-particle":"","family":"Ryan","given":"Mary","non-dropping-particle":"","parse-names":false,"suffix":""}],"container-title":"American Journal of Health-System Pharmacy","id":"ITEM-1","issue":"4","issued":{"date-parts":[["2010"]]},"page":"290-294","title":"Influence of pharmacist intervention on prescribing of angiotensin- converting-enzyme inhibitors, angiotensin II-receptor blockers, and aspirin for diabetic patients","type":"article-journal","volume":"67"},"uris":["http://www.mendeley.com/documents/?uuid=0860f221-96cc-4dab-ae4e-10f6dc43d611"]}],"mendeley":{"formattedCitation":"(LaMarr &lt;i&gt;et al.&lt;/i&gt;, 2010)","manualFormatting":"LaMarr et al., (2010)","plainTextFormattedCitation":"(LaMarr et al., 2010)","previouslyFormattedCitation":"(LaMarr &lt;i&gt;et al.&lt;/i&gt;, 2010)"},"properties":{"noteIndex":0},"schema":"https://github.com/citation-style-language/schema/raw/master/csl-citation.json"}</w:instrText>
      </w:r>
      <w:r w:rsidRPr="006B2FC7">
        <w:rPr>
          <w:rFonts w:ascii="Arial" w:hAnsi="Arial" w:cs="Arial"/>
          <w:color w:val="000000" w:themeColor="text1"/>
          <w:sz w:val="24"/>
          <w:szCs w:val="24"/>
          <w:shd w:val="clear" w:color="auto" w:fill="FFFFFF"/>
          <w:lang w:val="en-GB"/>
        </w:rPr>
        <w:fldChar w:fldCharType="separate"/>
      </w:r>
      <w:r w:rsidRPr="006B2FC7">
        <w:rPr>
          <w:rFonts w:ascii="Arial" w:hAnsi="Arial" w:cs="Arial"/>
          <w:noProof/>
          <w:color w:val="000000" w:themeColor="text1"/>
          <w:sz w:val="24"/>
          <w:szCs w:val="24"/>
          <w:shd w:val="clear" w:color="auto" w:fill="FFFFFF"/>
          <w:lang w:val="en-GB"/>
        </w:rPr>
        <w:t xml:space="preserve">LaMarr </w:t>
      </w:r>
      <w:r w:rsidRPr="006B2FC7">
        <w:rPr>
          <w:rFonts w:ascii="Arial" w:hAnsi="Arial" w:cs="Arial"/>
          <w:i/>
          <w:noProof/>
          <w:color w:val="000000" w:themeColor="text1"/>
          <w:sz w:val="24"/>
          <w:szCs w:val="24"/>
          <w:shd w:val="clear" w:color="auto" w:fill="FFFFFF"/>
          <w:lang w:val="en-GB"/>
        </w:rPr>
        <w:t>et al.</w:t>
      </w:r>
      <w:r w:rsidRPr="006B2FC7">
        <w:rPr>
          <w:rFonts w:ascii="Arial" w:hAnsi="Arial" w:cs="Arial"/>
          <w:noProof/>
          <w:color w:val="000000" w:themeColor="text1"/>
          <w:sz w:val="24"/>
          <w:szCs w:val="24"/>
          <w:shd w:val="clear" w:color="auto" w:fill="FFFFFF"/>
          <w:lang w:val="en-GB"/>
        </w:rPr>
        <w:t>, (2010)</w:t>
      </w:r>
      <w:r w:rsidRPr="006B2FC7">
        <w:rPr>
          <w:rFonts w:ascii="Arial" w:hAnsi="Arial" w:cs="Arial"/>
          <w:color w:val="000000" w:themeColor="text1"/>
          <w:sz w:val="24"/>
          <w:szCs w:val="24"/>
          <w:shd w:val="clear" w:color="auto" w:fill="FFFFFF"/>
          <w:lang w:val="en-GB"/>
        </w:rPr>
        <w:fldChar w:fldCharType="end"/>
      </w:r>
      <w:r w:rsidRPr="006B2FC7">
        <w:rPr>
          <w:rFonts w:ascii="Arial" w:hAnsi="Arial" w:cs="Arial"/>
          <w:color w:val="000000" w:themeColor="text1"/>
          <w:sz w:val="24"/>
          <w:szCs w:val="24"/>
          <w:shd w:val="clear" w:color="auto" w:fill="FFFFFF"/>
          <w:lang w:val="en-GB"/>
        </w:rPr>
        <w:t xml:space="preserve"> </w:t>
      </w:r>
      <w:r w:rsidRPr="006B2FC7">
        <w:rPr>
          <w:rFonts w:ascii="Arial" w:hAnsi="Arial" w:cs="Arial"/>
          <w:sz w:val="24"/>
          <w:szCs w:val="24"/>
          <w:lang w:val="en-GB"/>
        </w:rPr>
        <w:t xml:space="preserve">argued that pharmacist’s intervention in primary care settings is associated with a significant increase in prescribing for anti-hypertensives and aspirin therapy in diabetic patients, which shows enhanced adherence to the ADA guideline for diabetic patients with hypertension or CV risk. In contrast, </w:t>
      </w:r>
      <w:r w:rsidRPr="006B2FC7">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0897190018807374","ISSN":"15311937","author":[{"dropping-particle":"","family":"Peterson","given":"Jasmine","non-dropping-particle":"","parse-names":false,"suffix":""},{"dropping-particle":"","family":"Hinds","given":"April","non-dropping-particle":"","parse-names":false,"suffix":""},{"dropping-particle":"","family":"Garza","given":"Aida","non-dropping-particle":"","parse-names":false,"suffix":""},{"dropping-particle":"","family":"Barner","given":"Jamie","non-dropping-particle":"","parse-names":false,"suffix":""},{"dropping-particle":"","family":"Hill","given":"Lucas","non-dropping-particle":"","parse-names":false,"suffix":""},{"dropping-particle":"","family":"Nguyen","given":"Michelle","non-dropping-particle":"","parse-names":false,"suffix":""},{"dropping-particle":"","family":"Lai","given":"Phillip","non-dropping-particle":"","parse-names":false,"suffix":""},{"dropping-particle":"","family":"Gums","given":"Tyler","non-dropping-particle":"","parse-names":false,"suffix":""}],"container-title":"Journal of Pharmacy Practice","id":"ITEM-1","issued":{"date-parts":[["2018"]]},"title":"Impact of Physician–Pharmacist Covisits at a Primary Care Clinic in Patients With Uncontrolled Diabetes","type":"article-journal"},"uris":["http://www.mendeley.com/documents/?uuid=6dbe9f42-8655-4b35-9ac4-535786e8abe6"]}],"mendeley":{"formattedCitation":"(Peterson &lt;i&gt;et al.&lt;/i&gt;, 2018)","manualFormatting":"Peterson et al. (2018)","plainTextFormattedCitation":"(Peterson et al., 2018)","previouslyFormattedCitation":"(Peterson &lt;i&gt;et al.&lt;/i&gt;, 2018)"},"properties":{"noteIndex":0},"schema":"https://github.com/citation-style-language/schema/raw/master/csl-citation.json"}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 xml:space="preserve">Peterson et al. </w:t>
      </w:r>
      <w:r>
        <w:rPr>
          <w:rFonts w:ascii="Arial" w:hAnsi="Arial" w:cs="Arial"/>
          <w:noProof/>
          <w:sz w:val="24"/>
          <w:szCs w:val="24"/>
          <w:lang w:val="en-GB"/>
        </w:rPr>
        <w:t>(</w:t>
      </w:r>
      <w:r w:rsidRPr="006B2FC7">
        <w:rPr>
          <w:rFonts w:ascii="Arial" w:hAnsi="Arial" w:cs="Arial"/>
          <w:noProof/>
          <w:sz w:val="24"/>
          <w:szCs w:val="24"/>
          <w:lang w:val="en-GB"/>
        </w:rPr>
        <w:t>2018)</w:t>
      </w:r>
      <w:r w:rsidRPr="006B2FC7">
        <w:rPr>
          <w:rFonts w:ascii="Arial" w:hAnsi="Arial" w:cs="Arial"/>
          <w:sz w:val="24"/>
          <w:szCs w:val="24"/>
          <w:lang w:val="en-GB"/>
        </w:rPr>
        <w:fldChar w:fldCharType="end"/>
      </w:r>
      <w:r>
        <w:rPr>
          <w:rFonts w:ascii="Arial" w:hAnsi="Arial" w:cs="Arial"/>
          <w:sz w:val="24"/>
          <w:szCs w:val="24"/>
          <w:lang w:val="en-GB"/>
        </w:rPr>
        <w:t xml:space="preserve"> </w:t>
      </w:r>
      <w:r w:rsidRPr="006B2FC7">
        <w:rPr>
          <w:rFonts w:ascii="Arial" w:hAnsi="Arial" w:cs="Arial"/>
          <w:sz w:val="24"/>
          <w:szCs w:val="24"/>
          <w:lang w:val="en-GB"/>
        </w:rPr>
        <w:t xml:space="preserve">found there were no effects of pharmacist interventions on either the percentage of patients receiving CV risk reduction medications (statin, aspirin, ACEI or ARB) or receiving recommended immunisations (Influenza, Hepatitis B, Pneumococcal, tetanus-diphtheria-acellular pertussis (Tdap))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10.1177/0897190018807374","ISSN":"15311937","author":[{"dropping-particle":"","family":"Peterson","given":"Jasmine","non-dropping-particle":"","parse-names":false,"suffix":""},{"dropping-particle":"","family":"Hinds","given":"April","non-dropping-particle":"","parse-names":false,"suffix":""},{"dropping-particle":"","family":"Garza","given":"Aida","non-dropping-particle":"","parse-names":false,"suffix":""},{"dropping-particle":"","family":"Barner","given":"Jamie","non-dropping-particle":"","parse-names":false,"suffix":""},{"dropping-particle":"","family":"Hill","given":"Lucas","non-dropping-particle":"","parse-names":false,"suffix":""},{"dropping-particle":"","family":"Nguyen","given":"Michelle","non-dropping-particle":"","parse-names":false,"suffix":""},{"dropping-particle":"","family":"Lai","given":"Phillip","non-dropping-particle":"","parse-names":false,"suffix":""},{"dropping-particle":"","family":"Gums","given":"Tyler","non-dropping-particle":"","parse-names":false,"suffix":""}],"container-title":"Journal of Pharmacy Practice","id":"ITEM-1","issued":{"date-parts":[["2018"]]},"title":"Impact of Physician–Pharmacist Covisits at a Primary Care Clinic in Patients With Uncontrolled Diabetes","type":"article-journal"},"uris":["http://www.mendeley.com/documents/?uuid=6dbe9f42-8655-4b35-9ac4-535786e8abe6"]}],"mendeley":{"formattedCitation":"(Peterson &lt;i&gt;et al.&lt;/i&gt;, 2018)","plainTextFormattedCitation":"(Peterson et al., 2018)","previouslyFormattedCitation":"(Peterson &lt;i&gt;et al.&lt;/i&gt;, 2018)"},"properties":{"noteIndex":0},"schema":"https://github.com/citation-style-language/schema/raw/master/csl-citation.json"}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(Peterson et al., 2018)</w:t>
      </w:r>
      <w:r w:rsidRPr="006B2FC7">
        <w:rPr>
          <w:rFonts w:ascii="Arial" w:hAnsi="Arial" w:cs="Arial"/>
          <w:sz w:val="24"/>
          <w:szCs w:val="24"/>
          <w:lang w:val="en-GB"/>
        </w:rPr>
        <w:fldChar w:fldCharType="end"/>
      </w:r>
      <w:r w:rsidRPr="006B2FC7">
        <w:rPr>
          <w:rFonts w:ascii="Arial" w:hAnsi="Arial" w:cs="Arial"/>
          <w:sz w:val="24"/>
          <w:szCs w:val="24"/>
          <w:lang w:val="en-GB"/>
        </w:rPr>
        <w:t xml:space="preserve">. </w:t>
      </w:r>
    </w:p>
    <w:p w14:paraId="20658FFB" w14:textId="77777777" w:rsidR="00941883" w:rsidRDefault="00941883" w:rsidP="00941883">
      <w:pPr>
        <w:pStyle w:val="CommentText"/>
        <w:spacing w:line="360" w:lineRule="auto"/>
        <w:jc w:val="both"/>
        <w:rPr>
          <w:rStyle w:val="lookup-resultcontent"/>
          <w:rFonts w:ascii="Arial" w:eastAsia="Times New Roman" w:hAnsi="Arial" w:cs="Arial"/>
          <w:sz w:val="24"/>
          <w:szCs w:val="24"/>
        </w:rPr>
      </w:pPr>
      <w:r w:rsidRPr="006B2FC7">
        <w:rPr>
          <w:rFonts w:ascii="Arial" w:hAnsi="Arial" w:cs="Arial"/>
          <w:color w:val="000000" w:themeColor="text1"/>
          <w:sz w:val="24"/>
          <w:szCs w:val="24"/>
          <w:shd w:val="clear" w:color="auto" w:fill="FFFFFF"/>
          <w:lang w:val="en-GB"/>
        </w:rPr>
        <w:t xml:space="preserve">A </w:t>
      </w:r>
      <w:r w:rsidRPr="006B2FC7">
        <w:rPr>
          <w:rFonts w:ascii="Arial" w:eastAsia="Times New Roman" w:hAnsi="Arial" w:cs="Arial"/>
          <w:color w:val="000000" w:themeColor="text1"/>
          <w:sz w:val="24"/>
          <w:szCs w:val="24"/>
          <w:lang w:val="en-GB"/>
        </w:rPr>
        <w:t xml:space="preserve">study </w:t>
      </w:r>
      <w:r w:rsidRPr="006B2FC7">
        <w:rPr>
          <w:rFonts w:ascii="Arial" w:hAnsi="Arial" w:cs="Arial"/>
          <w:color w:val="000000" w:themeColor="text1"/>
          <w:sz w:val="24"/>
          <w:szCs w:val="24"/>
          <w:shd w:val="clear" w:color="auto" w:fill="FFFFFF"/>
          <w:lang w:val="en-GB"/>
        </w:rPr>
        <w:t xml:space="preserve">by </w:t>
      </w:r>
      <w:r w:rsidRPr="006B2FC7">
        <w:rPr>
          <w:rFonts w:ascii="Arial" w:eastAsia="Times New Roman" w:hAnsi="Arial" w:cs="Arial"/>
          <w:color w:val="000000" w:themeColor="text1"/>
          <w:sz w:val="24"/>
          <w:szCs w:val="24"/>
          <w:lang w:val="en-GB"/>
        </w:rPr>
        <w:fldChar w:fldCharType="begin" w:fldLock="1"/>
      </w:r>
      <w:r w:rsidRPr="006B2FC7">
        <w:rPr>
          <w:rFonts w:ascii="Arial" w:eastAsia="Times New Roman" w:hAnsi="Arial" w:cs="Arial"/>
          <w:color w:val="000000" w:themeColor="text1"/>
          <w:sz w:val="24"/>
          <w:szCs w:val="24"/>
          <w:lang w:val="en-GB"/>
        </w:rPr>
        <w:instrText>ADDIN CSL_CITATION {"citationItems":[{"id":"ITEM-1","itemData":{"DOI":"https://dx.doi.org/10.1345/aph.1R552","ISSN":"1542-6270","abstract":"BACKGROUND: Antiplatelet therapy is recommended as part of a strategy to reduce the risk of cardiovascular events in patients with type 2 diabetes. However, compliance with these guideline-recommended therapies appears to be less than ideal., OBJECTIVE: To assess the effect of adding pharmacists to primary care teams on initiation of guideline-concordant antiplatelet therapy in type 2 diabetic patients., METHODS: Prespecified secondary analysis of randomized trial data. In the main study, the pharmacist intervention included a complete medication history, limited physical examination, provision of guideline-concordant recommendations to the physician to optimize drug therapy, and 1-year follow-up. Controls received usual care without pharmacist interactions. Patients with an indication for antiplatelet therapy, but not using an antiplatelet drug at randomization were included in this substudy. The primary outcome was the proportion of patients using an antiplatelet drug at 1 year., RESULTS: At randomization, 257 of 260 study patients had guideline-concordant indications for antiplatelet therapy, but less than half (121; 47%) were using an antiplatelet drug. Overall, 136 patients met inclusion criteria for the substudy (71 intervention and 65 controls): 60% were women, with mean (SD) age 58.0 (11.9) years, diabetes duration 5.3 (6.0) years, and hemoglobin A(1c) 7.6% (1.5). Sixteen (12%) had established cardiovascular disease at enrollment. At 1 year, 43 (61%) intervention patients and 15 (23%) controls were using an antiplatelet drug (38% absolute difference; number needed to treat, 3; relative increase, 2.6; 95% CI 1.5-4.7; p &lt; 0.001). Of these 58 patients, 52 (90%) were using aspirin 81 mg daily., CONCLUSIONS: Adding pharmacists to primary care teams significantly and substantially increased the proportion of type 2 diabetic patients using guideline-concordant antiplatelet therapy.","author":[{"dropping-particle":"","family":"Gilani","given":"Fizza","non-dropping-particle":"","parse-names":false,"suffix":""},{"dropping-particle":"","family":"Majumdar","given":"Sumit R","non-dropping-particle":"","parse-names":false,"suffix":""},{"dropping-particle":"","family":"Johnson","given":"Jeffrey A","non-dropping-particle":"","parse-names":false,"suffix":""},{"dropping-particle":"","family":"Tsuyuki","given":"Ross T","non-dropping-particle":"","parse-names":false,"suffix":""},{"dropping-particle":"","family":"Lewanczuk","given":"Richard Z","non-dropping-particle":"","parse-names":false,"suffix":""},{"dropping-particle":"","family":"Spooner","given":"Richard","non-dropping-particle":"","parse-names":false,"suffix":""},{"dropping-particle":"","family":"Simpson","given":"Scot H","non-dropping-particle":"","parse-names":false,"suffix":""}],"container-title":"The Annals of pharmacotherapy","id":"ITEM-1","issue":"1","issued":{"date-parts":[["2013"]]},"page":"43-48","publisher-place":"United States","title":"Adding pharmacists to primary care teams increases guideline-concordant antiplatelet use in patients with type 2 diabetes: results from a randomized trial.","type":"article-journal","volume":"47"},"uris":["http://www.mendeley.com/documents/?uuid=3ee8cef6-082a-4b9e-a1e8-d828e8e6ad8f"]}],"mendeley":{"formattedCitation":"(Gilani &lt;i&gt;et al.&lt;/i&gt;, 2013)","manualFormatting":"Gilani et al. (2013) ","plainTextFormattedCitation":"(Gilani et al., 2013)","previouslyFormattedCitation":"(Gilani &lt;i&gt;et al.&lt;/i&gt;, 2013)"},"properties":{"noteIndex":0},"schema":"https://github.com/citation-style-language/schema/raw/master/csl-citation.json"}</w:instrText>
      </w:r>
      <w:r w:rsidRPr="006B2FC7">
        <w:rPr>
          <w:rFonts w:ascii="Arial" w:eastAsia="Times New Roman" w:hAnsi="Arial" w:cs="Arial"/>
          <w:color w:val="000000" w:themeColor="text1"/>
          <w:sz w:val="24"/>
          <w:szCs w:val="24"/>
          <w:lang w:val="en-GB"/>
        </w:rPr>
        <w:fldChar w:fldCharType="separate"/>
      </w:r>
      <w:r w:rsidRPr="006B2FC7">
        <w:rPr>
          <w:rFonts w:ascii="Arial" w:eastAsia="Times New Roman" w:hAnsi="Arial" w:cs="Arial"/>
          <w:noProof/>
          <w:color w:val="000000" w:themeColor="text1"/>
          <w:sz w:val="24"/>
          <w:szCs w:val="24"/>
          <w:lang w:val="en-GB"/>
        </w:rPr>
        <w:t xml:space="preserve">Gilani </w:t>
      </w:r>
      <w:r w:rsidRPr="006B2FC7">
        <w:rPr>
          <w:rFonts w:ascii="Arial" w:eastAsia="Times New Roman" w:hAnsi="Arial" w:cs="Arial"/>
          <w:iCs/>
          <w:noProof/>
          <w:color w:val="000000" w:themeColor="text1"/>
          <w:sz w:val="24"/>
          <w:szCs w:val="24"/>
          <w:lang w:val="en-GB"/>
        </w:rPr>
        <w:t>et al.</w:t>
      </w:r>
      <w:r w:rsidRPr="006B2FC7">
        <w:rPr>
          <w:rFonts w:ascii="Arial" w:eastAsia="Times New Roman" w:hAnsi="Arial" w:cs="Arial"/>
          <w:noProof/>
          <w:color w:val="000000" w:themeColor="text1"/>
          <w:sz w:val="24"/>
          <w:szCs w:val="24"/>
          <w:lang w:val="en-GB"/>
        </w:rPr>
        <w:t xml:space="preserve"> (2013) </w:t>
      </w:r>
      <w:r w:rsidRPr="006B2FC7">
        <w:rPr>
          <w:rFonts w:ascii="Arial" w:eastAsia="Times New Roman" w:hAnsi="Arial" w:cs="Arial"/>
          <w:color w:val="000000" w:themeColor="text1"/>
          <w:sz w:val="24"/>
          <w:szCs w:val="24"/>
          <w:lang w:val="en-GB"/>
        </w:rPr>
        <w:fldChar w:fldCharType="end"/>
      </w:r>
      <w:r w:rsidRPr="006B2FC7">
        <w:rPr>
          <w:rFonts w:ascii="Arial" w:eastAsia="Times New Roman" w:hAnsi="Arial" w:cs="Arial"/>
          <w:color w:val="000000" w:themeColor="text1"/>
          <w:sz w:val="24"/>
          <w:szCs w:val="24"/>
          <w:lang w:val="en-GB"/>
        </w:rPr>
        <w:t xml:space="preserve"> found that adding pharmacists to primary care teams to conduct a complete medication review process, enhanced compliance with the Canadian Diabetes Association guideline recommendations for antiplatelet therapy in patients with type 2 diabetes that resulted in improving the management of </w:t>
      </w:r>
      <w:r>
        <w:rPr>
          <w:rFonts w:ascii="Arial" w:eastAsia="Times New Roman" w:hAnsi="Arial" w:cs="Arial"/>
          <w:color w:val="000000" w:themeColor="text1"/>
          <w:sz w:val="24"/>
          <w:szCs w:val="24"/>
          <w:lang w:val="en-GB"/>
        </w:rPr>
        <w:t>CV</w:t>
      </w:r>
      <w:r w:rsidRPr="006B2FC7">
        <w:rPr>
          <w:rFonts w:ascii="Arial" w:eastAsia="Times New Roman" w:hAnsi="Arial" w:cs="Arial"/>
          <w:color w:val="000000" w:themeColor="text1"/>
          <w:sz w:val="24"/>
          <w:szCs w:val="24"/>
          <w:lang w:val="en-GB"/>
        </w:rPr>
        <w:t xml:space="preserve"> risk factors </w:t>
      </w:r>
      <w:r>
        <w:rPr>
          <w:rFonts w:ascii="Arial" w:eastAsia="Times New Roman" w:hAnsi="Arial" w:cs="Arial"/>
          <w:color w:val="000000" w:themeColor="text1"/>
          <w:sz w:val="24"/>
          <w:szCs w:val="24"/>
          <w:lang w:val="en-GB"/>
        </w:rPr>
        <w:fldChar w:fldCharType="begin" w:fldLock="1"/>
      </w:r>
      <w:r>
        <w:rPr>
          <w:rFonts w:ascii="Arial" w:eastAsia="Times New Roman" w:hAnsi="Arial" w:cs="Arial"/>
          <w:color w:val="000000" w:themeColor="text1"/>
          <w:sz w:val="24"/>
          <w:szCs w:val="24"/>
          <w:lang w:val="en-GB"/>
        </w:rPr>
        <w:instrText>ADDIN CSL_CITATION {"citationItems":[{"id":"ITEM-1","itemData":{"DOI":"https://dx.doi.org/10.1345/aph.1R552","ISSN":"1542-6270","abstract":"BACKGROUND: Antiplatelet therapy is recommended as part of a strategy to reduce the risk of cardiovascular events in patients with type 2 diabetes. However, compliance with these guideline-recommended therapies appears to be less than ideal., OBJECTIVE: To assess the effect of adding pharmacists to primary care teams on initiation of guideline-concordant antiplatelet therapy in type 2 diabetic patients., METHODS: Prespecified secondary analysis of randomized trial data. In the main study, the pharmacist intervention included a complete medication history, limited physical examination, provision of guideline-concordant recommendations to the physician to optimize drug therapy, and 1-year follow-up. Controls received usual care without pharmacist interactions. Patients with an indication for antiplatelet therapy, but not using an antiplatelet drug at randomization were included in this substudy. The primary outcome was the proportion of patients using an antiplatelet drug at 1 year., RESULTS: At randomization, 257 of 260 study patients had guideline-concordant indications for antiplatelet therapy, but less than half (121; 47%) were using an antiplatelet drug. Overall, 136 patients met inclusion criteria for the substudy (71 intervention and 65 controls): 60% were women, with mean (SD) age 58.0 (11.9) years, diabetes duration 5.3 (6.0) years, and hemoglobin A(1c) 7.6% (1.5). Sixteen (12%) had established cardiovascular disease at enrollment. At 1 year, 43 (61%) intervention patients and 15 (23%) controls were using an antiplatelet drug (38% absolute difference; number needed to treat, 3; relative increase, 2.6; 95% CI 1.5-4.7; p &lt; 0.001). Of these 58 patients, 52 (90%) were using aspirin 81 mg daily., CONCLUSIONS: Adding pharmacists to primary care teams significantly and substantially increased the proportion of type 2 diabetic patients using guideline-concordant antiplatelet therapy.","author":[{"dropping-particle":"","family":"Gilani","given":"Fizza","non-dropping-particle":"","parse-names":false,"suffix":""},{"dropping-particle":"","family":"Majumdar","given":"Sumit R","non-dropping-particle":"","parse-names":false,"suffix":""},{"dropping-particle":"","family":"Johnson","given":"Jeffrey A","non-dropping-particle":"","parse-names":false,"suffix":""},{"dropping-particle":"","family":"Tsuyuki","given":"Ross T","non-dropping-particle":"","parse-names":false,"suffix":""},{"dropping-particle":"","family":"Lewanczuk","given":"Richard Z","non-dropping-particle":"","parse-names":false,"suffix":""},{"dropping-particle":"","family":"Spooner","given":"Richard","non-dropping-particle":"","parse-names":false,"suffix":""},{"dropping-particle":"","family":"Simpson","given":"Scot H","non-dropping-particle":"","parse-names":false,"suffix":""}],"container-title":"The Annals of pharmacotherapy","id":"ITEM-1","issue":"1","issued":{"date-parts":[["2013"]]},"page":"43-48","publisher-place":"United States","title":"Adding pharmacists to primary care teams increases guideline-concordant antiplatelet use in patients with type 2 diabetes: results from a randomized trial.","type":"article-journal","volume":"47"},"uris":["http://www.mendeley.com/documents/?uuid=3ee8cef6-082a-4b9e-a1e8-d828e8e6ad8f"]}],"mendeley":{"formattedCitation":"(Gilani &lt;i&gt;et al.&lt;/i&gt;, 2013)","plainTextFormattedCitation":"(Gilani et al., 2013)","previouslyFormattedCitation":"(Gilani &lt;i&gt;et al.&lt;/i&gt;, 2013)"},"properties":{"noteIndex":0},"schema":"https://github.com/citation-style-language/schema/raw/master/csl-citation.json"}</w:instrText>
      </w:r>
      <w:r>
        <w:rPr>
          <w:rFonts w:ascii="Arial" w:eastAsia="Times New Roman" w:hAnsi="Arial" w:cs="Arial"/>
          <w:color w:val="000000" w:themeColor="text1"/>
          <w:sz w:val="24"/>
          <w:szCs w:val="24"/>
          <w:lang w:val="en-GB"/>
        </w:rPr>
        <w:fldChar w:fldCharType="separate"/>
      </w:r>
      <w:r w:rsidRPr="00F148C8">
        <w:rPr>
          <w:rFonts w:ascii="Arial" w:eastAsia="Times New Roman" w:hAnsi="Arial" w:cs="Arial"/>
          <w:noProof/>
          <w:color w:val="000000" w:themeColor="text1"/>
          <w:sz w:val="24"/>
          <w:szCs w:val="24"/>
          <w:lang w:val="en-GB"/>
        </w:rPr>
        <w:t xml:space="preserve">(Gilani </w:t>
      </w:r>
      <w:r w:rsidRPr="00F148C8">
        <w:rPr>
          <w:rFonts w:ascii="Arial" w:eastAsia="Times New Roman" w:hAnsi="Arial" w:cs="Arial"/>
          <w:i/>
          <w:noProof/>
          <w:color w:val="000000" w:themeColor="text1"/>
          <w:sz w:val="24"/>
          <w:szCs w:val="24"/>
          <w:lang w:val="en-GB"/>
        </w:rPr>
        <w:t>et al.</w:t>
      </w:r>
      <w:r w:rsidRPr="00F148C8">
        <w:rPr>
          <w:rFonts w:ascii="Arial" w:eastAsia="Times New Roman" w:hAnsi="Arial" w:cs="Arial"/>
          <w:noProof/>
          <w:color w:val="000000" w:themeColor="text1"/>
          <w:sz w:val="24"/>
          <w:szCs w:val="24"/>
          <w:lang w:val="en-GB"/>
        </w:rPr>
        <w:t>, 2013)</w:t>
      </w:r>
      <w:r>
        <w:rPr>
          <w:rFonts w:ascii="Arial" w:eastAsia="Times New Roman" w:hAnsi="Arial" w:cs="Arial"/>
          <w:color w:val="000000" w:themeColor="text1"/>
          <w:sz w:val="24"/>
          <w:szCs w:val="24"/>
          <w:lang w:val="en-GB"/>
        </w:rPr>
        <w:fldChar w:fldCharType="end"/>
      </w:r>
      <w:r>
        <w:rPr>
          <w:rFonts w:ascii="Arial" w:eastAsia="Times New Roman" w:hAnsi="Arial" w:cs="Arial"/>
          <w:color w:val="000000" w:themeColor="text1"/>
          <w:sz w:val="24"/>
          <w:szCs w:val="24"/>
          <w:lang w:val="en-GB"/>
        </w:rPr>
        <w:t>.</w:t>
      </w:r>
      <w:r w:rsidRPr="006B2FC7">
        <w:rPr>
          <w:rFonts w:ascii="Arial" w:eastAsia="Times New Roman" w:hAnsi="Arial" w:cs="Arial"/>
          <w:color w:val="000000" w:themeColor="text1"/>
          <w:sz w:val="24"/>
          <w:szCs w:val="24"/>
          <w:lang w:val="en-GB"/>
        </w:rPr>
        <w:t xml:space="preserve"> Further supporting evidence is that </w:t>
      </w:r>
      <w:r w:rsidRPr="006B2FC7">
        <w:rPr>
          <w:rStyle w:val="lookup-resultcontent"/>
          <w:rFonts w:ascii="Arial" w:eastAsia="Times New Roman" w:hAnsi="Arial" w:cs="Arial"/>
          <w:sz w:val="24"/>
          <w:szCs w:val="24"/>
        </w:rPr>
        <w:t xml:space="preserve">the pharmaceutical care practitioner in the </w:t>
      </w:r>
      <w:r w:rsidRPr="006B2FC7">
        <w:rPr>
          <w:rStyle w:val="lookup-resultcontent"/>
          <w:rFonts w:ascii="Arial" w:eastAsia="Times New Roman" w:hAnsi="Arial" w:cs="Arial"/>
          <w:noProof/>
          <w:sz w:val="24"/>
          <w:szCs w:val="24"/>
        </w:rPr>
        <w:t>Blondal et al. study</w:t>
      </w:r>
      <w:r w:rsidRPr="006B2FC7">
        <w:rPr>
          <w:rStyle w:val="lookup-resultcontent"/>
          <w:rFonts w:ascii="Arial" w:eastAsia="Times New Roman" w:hAnsi="Arial" w:cs="Arial"/>
          <w:sz w:val="24"/>
          <w:szCs w:val="24"/>
        </w:rPr>
        <w:t xml:space="preserve"> was mainly providing medication review service through assessing each patient’s medications to determine if it is appropriate, effective, safe, and the patient can take it as expected (2017). The main findings of this study were that GPs found the “clinical decision-making of therapy” plan for their patients was better when the pharmacist worked alongside them</w:t>
      </w:r>
      <w:r>
        <w:rPr>
          <w:rStyle w:val="lookup-resultcontent"/>
          <w:rFonts w:ascii="Arial" w:eastAsia="Times New Roman" w:hAnsi="Arial" w:cs="Arial"/>
          <w:sz w:val="24"/>
          <w:szCs w:val="24"/>
        </w:rPr>
        <w:t xml:space="preserve"> </w:t>
      </w:r>
      <w:r>
        <w:rPr>
          <w:rStyle w:val="lookup-resultcontent"/>
          <w:rFonts w:ascii="Arial" w:eastAsia="Times New Roman" w:hAnsi="Arial" w:cs="Arial"/>
          <w:sz w:val="24"/>
          <w:szCs w:val="24"/>
        </w:rPr>
        <w:fldChar w:fldCharType="begin" w:fldLock="1"/>
      </w:r>
      <w:r>
        <w:rPr>
          <w:rStyle w:val="lookup-resultcontent"/>
          <w:rFonts w:ascii="Arial" w:eastAsia="Times New Roman" w:hAnsi="Arial" w:cs="Arial"/>
          <w:sz w:val="24"/>
          <w:szCs w:val="24"/>
        </w:rPr>
        <w:instrText>ADDIN CSL_CITATION {"citationItems":[{"id":"ITEM-1","itemData":{"DOI":"10.3390/pharmacy5020023","ISSN":"2226-4787","abstract":"Even though pharmaceutical care is not a new concept in pharmacy, its introduction and development has proved to be challenging. In Iceland, general practitioners are not familiar with pharmaceutical care and additionally no such service is offered in pharmacies or primary care settings. Introducing pharmaceutical care in primary care in Iceland is making great efforts to follow other countries, which are bringing the pharmacist more into patient care. General practitioners are key stakeholders in this endeavor. The aim of this study was to introduce pharmacist-led pharmaceutical care into primary care clinics in Iceland in collaboration with general practitioners by presenting different setting structures. Action research provided the framework for this research. Data was collected from pharmaceutical care interventions, whereby the pharmaceutical care practitioner ensures that each of a patient’s medications is assessed to determine if it is appropriate, effective, safe, and that the patient can take medicine as expected. Sources of data included pharmaceutical care notes on patients, researcher’s notes, meetings, and interviews with general practitioners over the period of the study. The study ran from September 2013 to October 2015. Three separate semi-structured in-depth interviews were conducted with five general practitioners from one primary health care clinic in Iceland at different time points throughout the study. Pharmaceutical care was provided to elderly patients (n = 125) before and between general practitioners’ interviews. The study setting was a primary care clinic in the Reykjavik area and the patients’ homes. Results showed that the GPs’ knowledge about pharmacist competencies as healthcare providers and their potential in patient care increased. GPs would now like to have access to a pharmacist on a daily basis. Direct contact between the pharmacist and GPs is better when working in the same physical space. Pharmacist’s access to medical records is necessary for optimal service. Pharmacist-led clinical service was deemed most needed in dose dispensing polypharmacy patients. This research indicated that it was essential to introduce Icelandic GPs to the potential contribution of pharmacists in patient care and that action research was a useful methodology to promote and develop a relationship between those two health care providers in primary care in Iceland.","author":[{"dropping-particle":"","family":"Blondal","given":"Anna Bryndis","non-dropping-particle":"","parse-names":false,"suffix":""},{"dropping-particle":"","family":"Sporrong","given":"Sofia Kalvemark","non-dropping-particle":"","parse-names":false,"suffix":""},{"dropping-particle":"","family":"Almarsdottir","given":"Anna Birna","non-dropping-particle":"","parse-names":false,"suffix":""}],"container-title":"MDPI Pharmacy","id":"ITEM-1","issue":"4","issued":{"date-parts":[["2017"]]},"page":"23","title":"Introducing Pharmaceutical Care to Primary Care in Iceland—An Action Research Study","type":"article-journal","volume":"5"},"uris":["http://www.mendeley.com/documents/?uuid=ca02dac1-9348-428b-9acc-9176b46adc4e"]}],"mendeley":{"formattedCitation":"(Blondal, Sporrong and Almarsdottir, 2017)","manualFormatting":"(Blondal et al., 2017)","plainTextFormattedCitation":"(Blondal, Sporrong and Almarsdottir, 2017)","previouslyFormattedCitation":"(Blondal, Sporrong and Almarsdottir, 2017)"},"properties":{"noteIndex":0},"schema":"https://github.com/citation-style-language/schema/raw/master/csl-citation.json"}</w:instrText>
      </w:r>
      <w:r>
        <w:rPr>
          <w:rStyle w:val="lookup-resultcontent"/>
          <w:rFonts w:ascii="Arial" w:eastAsia="Times New Roman" w:hAnsi="Arial" w:cs="Arial"/>
          <w:sz w:val="24"/>
          <w:szCs w:val="24"/>
        </w:rPr>
        <w:fldChar w:fldCharType="separate"/>
      </w:r>
      <w:r w:rsidRPr="000C281B">
        <w:rPr>
          <w:rStyle w:val="lookup-resultcontent"/>
          <w:rFonts w:ascii="Arial" w:eastAsia="Times New Roman" w:hAnsi="Arial" w:cs="Arial"/>
          <w:noProof/>
          <w:sz w:val="24"/>
          <w:szCs w:val="24"/>
        </w:rPr>
        <w:t>(Blondal</w:t>
      </w:r>
      <w:r>
        <w:rPr>
          <w:rStyle w:val="lookup-resultcontent"/>
          <w:rFonts w:ascii="Arial" w:eastAsia="Times New Roman" w:hAnsi="Arial" w:cs="Arial"/>
          <w:noProof/>
          <w:sz w:val="24"/>
          <w:szCs w:val="24"/>
        </w:rPr>
        <w:t xml:space="preserve"> et al.</w:t>
      </w:r>
      <w:r w:rsidRPr="000C281B">
        <w:rPr>
          <w:rStyle w:val="lookup-resultcontent"/>
          <w:rFonts w:ascii="Arial" w:eastAsia="Times New Roman" w:hAnsi="Arial" w:cs="Arial"/>
          <w:noProof/>
          <w:sz w:val="24"/>
          <w:szCs w:val="24"/>
        </w:rPr>
        <w:t>, 2017)</w:t>
      </w:r>
      <w:r>
        <w:rPr>
          <w:rStyle w:val="lookup-resultcontent"/>
          <w:rFonts w:ascii="Arial" w:eastAsia="Times New Roman" w:hAnsi="Arial" w:cs="Arial"/>
          <w:sz w:val="24"/>
          <w:szCs w:val="24"/>
        </w:rPr>
        <w:fldChar w:fldCharType="end"/>
      </w:r>
      <w:r>
        <w:rPr>
          <w:rStyle w:val="lookup-resultcontent"/>
          <w:rFonts w:ascii="Arial" w:eastAsia="Times New Roman" w:hAnsi="Arial" w:cs="Arial"/>
          <w:sz w:val="24"/>
          <w:szCs w:val="24"/>
        </w:rPr>
        <w:t>.</w:t>
      </w:r>
    </w:p>
    <w:p w14:paraId="003BAD2D" w14:textId="524BE1E2" w:rsidR="00D1644A" w:rsidRPr="00E7661F" w:rsidRDefault="00D1644A" w:rsidP="00E7661F">
      <w:pPr>
        <w:pStyle w:val="Heading6"/>
        <w:spacing w:after="240"/>
        <w:rPr>
          <w:rFonts w:asciiTheme="minorBidi" w:eastAsia="Times New Roman" w:hAnsiTheme="minorBidi" w:cstheme="minorBidi"/>
          <w:sz w:val="24"/>
          <w:szCs w:val="24"/>
          <w:lang w:val="en-GB"/>
        </w:rPr>
      </w:pPr>
      <w:r w:rsidRPr="00E7661F">
        <w:rPr>
          <w:rStyle w:val="lookup-resultcontent"/>
          <w:rFonts w:asciiTheme="minorBidi" w:eastAsia="Times New Roman" w:hAnsiTheme="minorBidi" w:cstheme="minorBidi"/>
          <w:sz w:val="24"/>
          <w:szCs w:val="24"/>
        </w:rPr>
        <w:t>I</w:t>
      </w:r>
      <w:r w:rsidR="00DF544E" w:rsidRPr="00E7661F">
        <w:rPr>
          <w:rStyle w:val="lookup-resultcontent"/>
          <w:rFonts w:asciiTheme="minorBidi" w:eastAsia="Times New Roman" w:hAnsiTheme="minorBidi" w:cstheme="minorBidi"/>
          <w:sz w:val="24"/>
          <w:szCs w:val="24"/>
        </w:rPr>
        <w:t xml:space="preserve">mproved </w:t>
      </w:r>
      <w:r w:rsidR="00DF544E" w:rsidRPr="00E7661F">
        <w:rPr>
          <w:rFonts w:asciiTheme="minorBidi" w:hAnsiTheme="minorBidi" w:cstheme="minorBidi"/>
          <w:sz w:val="24"/>
          <w:szCs w:val="24"/>
        </w:rPr>
        <w:t>patient adherence</w:t>
      </w:r>
    </w:p>
    <w:p w14:paraId="6730002F" w14:textId="0F818F3D" w:rsidR="002F7B1C" w:rsidRPr="00065DDB" w:rsidRDefault="002F7B1C" w:rsidP="002F7B1C">
      <w:pPr>
        <w:pStyle w:val="CommentText"/>
        <w:spacing w:line="360" w:lineRule="auto"/>
        <w:jc w:val="both"/>
        <w:rPr>
          <w:rFonts w:ascii="Arial" w:hAnsi="Arial" w:cs="Arial"/>
          <w:sz w:val="24"/>
          <w:szCs w:val="24"/>
          <w:lang w:val="en-GB"/>
        </w:rPr>
      </w:pPr>
      <w:r w:rsidRPr="00065DDB">
        <w:rPr>
          <w:rFonts w:ascii="Arial" w:hAnsi="Arial" w:cs="Arial"/>
          <w:sz w:val="24"/>
          <w:szCs w:val="24"/>
          <w:lang w:val="en-GB"/>
        </w:rPr>
        <w:t>Medication adherence has become a major concern for healthcare systems worldwide</w:t>
      </w:r>
      <w:r>
        <w:rPr>
          <w:rFonts w:ascii="Arial" w:hAnsi="Arial" w:cs="Arial"/>
          <w:sz w:val="24"/>
          <w:szCs w:val="24"/>
          <w:lang w:val="en-GB"/>
        </w:rPr>
        <w:t xml:space="preserve"> </w:t>
      </w:r>
      <w:r w:rsidRPr="00065DDB">
        <w:rPr>
          <w:rFonts w:ascii="Arial" w:hAnsi="Arial" w:cs="Arial"/>
          <w:sz w:val="24"/>
          <w:szCs w:val="24"/>
          <w:lang w:val="en-GB"/>
        </w:rPr>
        <w:t>due to growing evidence linking treatment non-adherence to unfavourable outcomes and higher care costs. Failure to adhere to the treatment is a serious issue that impacts the patient and the healthcare system. It causes significant disease progression, mortality, and excessive medical expenses (Alosaimi et al., 2022). Thes</w:t>
      </w:r>
      <w:r w:rsidR="00900C5A">
        <w:rPr>
          <w:rFonts w:ascii="Arial" w:hAnsi="Arial" w:cs="Arial"/>
          <w:sz w:val="24"/>
          <w:szCs w:val="24"/>
          <w:lang w:val="en-GB"/>
        </w:rPr>
        <w:t>e</w:t>
      </w:r>
      <w:r w:rsidRPr="00065DDB">
        <w:rPr>
          <w:rFonts w:ascii="Arial" w:hAnsi="Arial" w:cs="Arial"/>
          <w:sz w:val="24"/>
          <w:szCs w:val="24"/>
          <w:lang w:val="en-GB"/>
        </w:rPr>
        <w:t xml:space="preserve"> authors </w:t>
      </w:r>
      <w:r w:rsidRPr="00065DDB">
        <w:rPr>
          <w:rFonts w:ascii="Arial" w:eastAsia="Times New Roman" w:hAnsi="Arial" w:cs="Arial"/>
          <w:sz w:val="24"/>
          <w:szCs w:val="24"/>
          <w:lang w:val="en-GB"/>
        </w:rPr>
        <w:t xml:space="preserve">identified a relationship between taking medications and obtaining clear medical instructions; patients who receive explicit instructions from health care professionals, such as dosing instructions, are usually more adherent to their medications. This emphasises the value of spending more time with patients to provide clear medical instructions and answer their questions </w:t>
      </w:r>
      <w:r w:rsidRPr="00153F71">
        <w:rPr>
          <w:rFonts w:ascii="Arial" w:eastAsia="Times New Roman" w:hAnsi="Arial" w:cs="Arial"/>
          <w:sz w:val="24"/>
          <w:szCs w:val="24"/>
          <w:lang w:val="en-GB"/>
        </w:rPr>
        <w:fldChar w:fldCharType="begin" w:fldLock="1"/>
      </w:r>
      <w:r w:rsidRPr="00065DDB">
        <w:rPr>
          <w:rFonts w:ascii="Arial" w:eastAsia="Times New Roman" w:hAnsi="Arial" w:cs="Arial"/>
          <w:sz w:val="24"/>
          <w:szCs w:val="24"/>
          <w:lang w:val="en-GB"/>
        </w:rPr>
        <w:instrText>ADDIN CSL_CITATION {"citationItems":[{"id":"ITEM-1","itemData":{"DOI":"10.3390/ijerph191610053","ISSN":"16604601","PMID":"36011690","abstract":"Introduction: The management of chronic illnesses commonly includes a long-term pharmacological approach. Although these medications effectively control disease, their full benefits are often not realized because approximately 50% of patients do not take their medications as prescribed. Medication adherence has become a big concern to clinicians and healthcare systems in Saudi Arabia and worldwide because of growing evidence associating nonadherence with adverse outcomes and higher costs of care. Despite it being a well-recognized problem, few studies have investigated medication adherence in Saudi Arabia. Therefore, this study aims to gain a better perspective on medication adherence among patients with chronic diseases in Saudi Arabia. Method: A questionnaire-based cross-sectional study was conducted among patients with chronic diseases in the Makkah region, Saudi Arabia, from 1 May to 31 July 2021. Patients aged 18 years and above who were taking prescribed or over-the-counter medications were included. Descriptive statistics were used to describe the participants’ characteristics, and categorical variables were reported as frequencies and percentages. A Chi-square test was used to test the relations between variables. Results: In total, 239 participants were included in the study. Females represented 62% of the participants. In terms of the history of chronic diseases, 44% had hypertension, 40% had diabetes mellitus, 21% had heart diseases and 9% had asthma. Nearly half (49%) of participants did not follow up regularly with a primary healthcare center and 42% said that they had forgotten to take their medications in the past. However, most of the participants (78%) stated that they took their medicine as instructed by their doctor or pharmacist, and 61% took their medications on time. The majority of participants (85%) said that the pharmacist explained the method of using the medications and the instructions for use, while 30% thought that the medications they took were too much. In regard to the reasons for medication nonadherence, having no specific reasons for medication nonadherence was the most common cause for nonadherence in our study. The relationship between patients taking medications as instructed by a healthcare provider (the doctor or pharmacist) and the healthcare provider giving clear instructions to patients about medication use was significant (p &lt; 0.001). Conclusions: Failure to adhere is a significant problem that not only affect…","author":[{"dropping-particle":"","family":"Alosaimi","given":"Khulud","non-dropping-particle":"","parse-names":false,"suffix":""},{"dropping-particle":"","family":"Alwafi","given":"Hassan","non-dropping-particle":"","parse-names":false,"suffix":""},{"dropping-particle":"","family":"Alhindi","given":"Yosra","non-dropping-particle":"","parse-names":false,"suffix":""},{"dropping-particle":"","family":"Falemban","given":"Alaa","non-dropping-particle":"","parse-names":false,"suffix":""},{"dropping-particle":"","family":"Alshanberi","given":"Asim","non-dropping-particle":"","parse-names":false,"suffix":""},{"dropping-particle":"","family":"Ayoub","given":"Nahla","non-dropping-particle":"","parse-names":false,"suffix":""},{"dropping-particle":"","family":"Alsanosi","given":"Safaa","non-dropping-particle":"","parse-names":false,"suffix":""}],"container-title":"International Journal of Environmental Research and Public Health","id":"ITEM-1","issue":"16","issued":{"date-parts":[["2022"]]},"page":"1-9","title":"Medication Adherence among Patients with Chronic Diseases in Saudi Arabia","type":"article-journal","volume":"19"},"uris":["http://www.mendeley.com/documents/?uuid=e060aaca-5521-4314-9e7a-ffeab7af8347"]}],"mendeley":{"formattedCitation":"(Alosaimi &lt;i&gt;et al.&lt;/i&gt;, 2022)","plainTextFormattedCitation":"(Alosaimi et al., 2022)","previouslyFormattedCitation":"(Alosaimi &lt;i&gt;et al.&lt;/i&gt;, 2022)"},"properties":{"noteIndex":0},"schema":"https://github.com/citation-style-language/schema/raw/master/csl-citation.json"}</w:instrText>
      </w:r>
      <w:r w:rsidRPr="00153F71">
        <w:rPr>
          <w:rFonts w:ascii="Arial" w:eastAsia="Times New Roman" w:hAnsi="Arial" w:cs="Arial"/>
          <w:sz w:val="24"/>
          <w:szCs w:val="24"/>
          <w:lang w:val="en-GB"/>
        </w:rPr>
        <w:fldChar w:fldCharType="separate"/>
      </w:r>
      <w:r w:rsidRPr="00065DDB">
        <w:rPr>
          <w:rFonts w:ascii="Arial" w:eastAsia="Times New Roman" w:hAnsi="Arial" w:cs="Arial"/>
          <w:noProof/>
          <w:sz w:val="24"/>
          <w:szCs w:val="24"/>
          <w:lang w:val="en-GB"/>
        </w:rPr>
        <w:t xml:space="preserve">(Alosaimi </w:t>
      </w:r>
      <w:r w:rsidRPr="00065DDB">
        <w:rPr>
          <w:rFonts w:ascii="Arial" w:eastAsia="Times New Roman" w:hAnsi="Arial" w:cs="Arial"/>
          <w:i/>
          <w:noProof/>
          <w:sz w:val="24"/>
          <w:szCs w:val="24"/>
          <w:lang w:val="en-GB"/>
        </w:rPr>
        <w:t>et al.</w:t>
      </w:r>
      <w:r w:rsidRPr="00065DDB">
        <w:rPr>
          <w:rFonts w:ascii="Arial" w:eastAsia="Times New Roman" w:hAnsi="Arial" w:cs="Arial"/>
          <w:noProof/>
          <w:sz w:val="24"/>
          <w:szCs w:val="24"/>
          <w:lang w:val="en-GB"/>
        </w:rPr>
        <w:t>, 2022)</w:t>
      </w:r>
      <w:r w:rsidRPr="00153F71">
        <w:rPr>
          <w:rFonts w:ascii="Arial" w:eastAsia="Times New Roman" w:hAnsi="Arial" w:cs="Arial"/>
          <w:sz w:val="24"/>
          <w:szCs w:val="24"/>
          <w:lang w:val="en-GB"/>
        </w:rPr>
        <w:fldChar w:fldCharType="end"/>
      </w:r>
      <w:r w:rsidRPr="00065DDB">
        <w:rPr>
          <w:rFonts w:ascii="Arial" w:eastAsia="Times New Roman" w:hAnsi="Arial" w:cs="Arial"/>
          <w:sz w:val="24"/>
          <w:szCs w:val="24"/>
          <w:lang w:val="en-GB"/>
        </w:rPr>
        <w:t>.</w:t>
      </w:r>
      <w:r w:rsidRPr="00065DDB">
        <w:rPr>
          <w:rFonts w:ascii="Arial" w:hAnsi="Arial" w:cs="Arial"/>
          <w:sz w:val="24"/>
          <w:szCs w:val="24"/>
          <w:lang w:val="en-GB"/>
        </w:rPr>
        <w:t xml:space="preserve">  </w:t>
      </w:r>
    </w:p>
    <w:p w14:paraId="73515CD5" w14:textId="77777777" w:rsidR="00941883" w:rsidRDefault="00941883" w:rsidP="00941883">
      <w:pPr>
        <w:pStyle w:val="CommentText"/>
        <w:spacing w:line="360" w:lineRule="auto"/>
        <w:jc w:val="both"/>
        <w:rPr>
          <w:rFonts w:ascii="Arial" w:hAnsi="Arial" w:cs="Arial"/>
          <w:sz w:val="24"/>
          <w:szCs w:val="24"/>
          <w:lang w:val="en-GB"/>
        </w:rPr>
      </w:pPr>
      <w:r w:rsidRPr="006B2FC7">
        <w:rPr>
          <w:rFonts w:ascii="Arial" w:hAnsi="Arial" w:cs="Arial"/>
          <w:sz w:val="24"/>
          <w:szCs w:val="24"/>
          <w:lang w:val="en"/>
        </w:rPr>
        <w:fldChar w:fldCharType="begin" w:fldLock="1"/>
      </w:r>
      <w:r w:rsidRPr="006B2FC7">
        <w:rPr>
          <w:rFonts w:ascii="Arial" w:hAnsi="Arial" w:cs="Arial"/>
          <w:sz w:val="24"/>
          <w:szCs w:val="24"/>
          <w:lang w:val="en"/>
        </w:rPr>
        <w:instrText>ADDIN CSL_CITATION {"citationItems":[{"id":"ITEM-1","itemData":{"DOI":"10.1016/j.japh.2017.06.018","ISSN":"15443450","abstract":"Background Improving medication management is an important component of comprehensive care coordination for health systems. The Managing Your Medication for Education and Daily Support (MyMeds) medication management program at the University of California Los Angeles addresses medication management issues by embedding trained clinical pharmacists in primary care practice teams. Objectives The aim of this work was to examine and explore physician opinions about the clinical pharmacist program and identify common themes among physician experiences as well as barriers to integration of clinical pharmacists into primary care practice teams. Methods We conducted a mixed quantitative–qualitative methods study consisting of a cross-sectional physician survey (n = 69) as well as semistructured one-on-one physician interviews (n = 13). Descriptive statistics were used to summarize survey responses, and standard qualitative content-analysis methods were used to identify major themes from the interviews. Results The survey response rate was 61%; 13 interviews were conducted. Ninety percent of survey respondents agreed or strongly agreed that having the pharmacist in the office makes management of the patient's medication more efficient, 93% agreed or strongly agreed that pharmacist recommendations are clinically helpful, 71% agreed or strongly agreed that having access to a pharmacist has increased their knowledge about medications they prescribe, and 75% agreed or strongly agreed that having a pharmacist as part of the primary care team has made their job easier. Qualitative interviews corroborated survey findings, and physicians highlighted the value of the clinical pharmacist's communication, team care and expanded roles, and medication management. Conclusion Primary care physicians valued the integrated pharmacy program highly, particularly its features of strong communication, expanded roles, and medication management. Pharmacists were viewed as integral members of the health care team.","author":[{"dropping-particle":"","family":"Moreno","given":"Gerardo","non-dropping-particle":"","parse-names":false,"suffix":""},{"dropping-particle":"","family":"Lonowski","given":"Sarah","non-dropping-particle":"","parse-names":false,"suffix":""},{"dropping-particle":"","family":"Fu","given":"Jeffrey","non-dropping-particle":"","parse-names":false,"suffix":""},{"dropping-particle":"","family":"Chon","given":"Janet S.","non-dropping-particle":"","parse-names":false,"suffix":""},{"dropping-particle":"","family":"Whitmire","given":"Natalie","non-dropping-particle":"","parse-names":false,"suffix":""},{"dropping-particle":"","family":"Vasquez","given":"Carolina","non-dropping-particle":"","parse-names":false,"suffix":""},{"dropping-particle":"","family":"Skootsky","given":"Samuel A.","non-dropping-particle":"","parse-names":false,"suffix":""},{"dropping-particle":"","family":"Bell","given":"Douglas S.","non-dropping-particle":"","parse-names":false,"suffix":""},{"dropping-particle":"","family":"Maranon","given":"Richard","non-dropping-particle":"","parse-names":false,"suffix":""},{"dropping-particle":"","family":"Mangione","given":"Carol M.","non-dropping-particle":"","parse-names":false,"suffix":""}],"container-title":"Journal of the American Pharmacists Association","id":"ITEM-1","issue":"6","issued":{"date-parts":[["2017"]]},"page":"686-691","publisher":"American Pharmacists Association®","title":"Physician experiences with clinical pharmacists in primary care teams","type":"article-journal","volume":"57"},"uris":["http://www.mendeley.com/documents/?uuid=c616567c-4385-4a1a-ba6a-5b1dac03d077"]}],"mendeley":{"formattedCitation":"(Moreno &lt;i&gt;et al.&lt;/i&gt;, 2017)","manualFormatting":"Moreno et al. (2017","plainTextFormattedCitation":"(Moreno et al., 2017)","previouslyFormattedCitation":"(Moreno &lt;i&gt;et al.&lt;/i&gt;, 2017)"},"properties":{"noteIndex":0},"schema":"https://github.com/citation-style-language/schema/raw/master/csl-citation.json"}</w:instrText>
      </w:r>
      <w:r w:rsidRPr="006B2FC7">
        <w:rPr>
          <w:rFonts w:ascii="Arial" w:hAnsi="Arial" w:cs="Arial"/>
          <w:sz w:val="24"/>
          <w:szCs w:val="24"/>
          <w:lang w:val="en"/>
        </w:rPr>
        <w:fldChar w:fldCharType="separate"/>
      </w:r>
      <w:r w:rsidRPr="006B2FC7">
        <w:rPr>
          <w:rFonts w:ascii="Arial" w:hAnsi="Arial" w:cs="Arial"/>
          <w:noProof/>
          <w:sz w:val="24"/>
          <w:szCs w:val="24"/>
          <w:lang w:val="en"/>
        </w:rPr>
        <w:t>Moreno et al. (2017</w:t>
      </w:r>
      <w:r w:rsidRPr="006B2FC7">
        <w:rPr>
          <w:rFonts w:ascii="Arial" w:hAnsi="Arial" w:cs="Arial"/>
          <w:sz w:val="24"/>
          <w:szCs w:val="24"/>
          <w:lang w:val="en"/>
        </w:rPr>
        <w:fldChar w:fldCharType="end"/>
      </w:r>
      <w:r w:rsidRPr="006B2FC7">
        <w:rPr>
          <w:rFonts w:ascii="Arial" w:hAnsi="Arial" w:cs="Arial"/>
          <w:sz w:val="24"/>
          <w:szCs w:val="24"/>
          <w:lang w:val="en"/>
        </w:rPr>
        <w:t xml:space="preserve">) </w:t>
      </w:r>
      <w:r w:rsidRPr="006B2FC7">
        <w:rPr>
          <w:rStyle w:val="lookup-resultcontent"/>
          <w:rFonts w:ascii="Arial" w:hAnsi="Arial" w:cs="Arial"/>
          <w:color w:val="000000" w:themeColor="text1"/>
          <w:sz w:val="24"/>
          <w:szCs w:val="24"/>
          <w:lang w:val="en-GB"/>
        </w:rPr>
        <w:t xml:space="preserve">claims that a </w:t>
      </w:r>
      <w:r w:rsidRPr="006B2FC7">
        <w:rPr>
          <w:rFonts w:ascii="Arial" w:hAnsi="Arial" w:cs="Arial"/>
          <w:color w:val="000000" w:themeColor="text1"/>
          <w:sz w:val="24"/>
          <w:szCs w:val="24"/>
          <w:lang w:val="en-GB"/>
        </w:rPr>
        <w:t xml:space="preserve">pharmacist-led medication review has a positive impact on patients as it enables them to receive clear information regarding their prescribed medications. Therefore, it might be suitable for pharmacists to lead routine medication reviews that allow GPs to deal with acute cases. </w:t>
      </w:r>
      <w:r>
        <w:rPr>
          <w:rFonts w:ascii="Arial" w:hAnsi="Arial" w:cs="Arial"/>
          <w:sz w:val="24"/>
          <w:szCs w:val="24"/>
        </w:rPr>
        <w:fldChar w:fldCharType="begin" w:fldLock="1"/>
      </w:r>
      <w:r>
        <w:rPr>
          <w:rFonts w:ascii="Arial" w:hAnsi="Arial" w:cs="Arial"/>
          <w:sz w:val="24"/>
          <w:szCs w:val="24"/>
        </w:rPr>
        <w:instrText>ADDIN CSL_CITATION {"citationItems":[{"id":"ITEM-1","itemData":{"DOI":"10.1016/j.sapharm.2013.08.006","ISSN":"15517411","abstract":"Background: Integration of pharmacists into primary care general practice clinics has the potential to improve interdisciplinary teamwork and patient care; however this practice is not widespread. Objective: The aim of this study was to review the effectiveness of clinical pharmacist services delivered in primary care general practice clinics. Methods: A systematic review of English language randomized controlled trials cited in the Cochrane Central Register of Controlled Trials, MEDLINE, EMBASE and International Pharmaceutical Abstracts was conducted. Studies were included if pharmacists had a regular and ongoing relationship with the clinic; delivered an intervention aimed at optimizing prescribing for, and/or medication use by, clinic patients; and were physically present within the clinic for all or part of the intervention, or for communication with staff. The search generated 1484 articles. After removal of duplicates and screening of titles and abstracts against inclusion criteria, 131 articles remained. A total of 38 studies were included in the review and assessed for quality. Seventeen studies had common endpoints (blood pressure, glycosylated hemoglobin, cholesterol and/or Framingham risk score) and were included in meta-analyses. Results: Twenty-nine of the 38 studies recruited patients with specific medical conditions, most commonly cardiovascular disease (15 studies) and/or diabetes (9 studies). The remaining 9 studies recruited patients at general risk of medication misadventure. Pharmacist interventions usually involved medication review (86.8%), with or without other activities delivered collaboratively with the general practitioner (family physician). Positive effects on primary outcomes related to medication use or clinical outcomes were reported in 19 studies, mixed effects in six studies, and no effect in 13 studies. The results of meta-analyses favored the pharmacist intervention, with significant improvements in blood pressure, glycosylated hemoglobin, cholesterol and Framingham risk score in intervention patients compared to control patients. Conclusions: Pharmacists co-located in general practice clinics delivered a range of interventions, with favorable results in various areas of chronic disease management and quality use of medicines. © 2014 Elsevier Inc.","author":[{"dropping-particle":"","family":"Tan","given":"Edwin C.K. K","non-dropping-particle":"","parse-names":false,"suffix":""},{"dropping-particle":"","family":"Stewart","given":"Kay","non-dropping-particle":"","parse-names":false,"suffix":""},{"dropping-particle":"","family":"Elliott","given":"Rohan A.","non-dropping-particle":"","parse-names":false,"suffix":""},{"dropping-particle":"","family":"Clin","given":"M Pharm","non-dropping-particle":"","parse-names":false,"suffix":""},{"dropping-particle":"","family":"George","given":"Johnson","non-dropping-particle":"","parse-names":false,"suffix":""},{"dropping-particle":"","family":"Clin","given":"M Pharm","non-dropping-particle":"","parse-names":false,"suffix":""},{"dropping-particle":"","family":"George","given":"Johnson","non-dropping-particle":"","parse-names":false,"suffix":""}],"container-title":"Research in Social and Administrative Pharmacy","id":"ITEM-1","issue":"4","issued":{"date-parts":[["2014","7"]]},"note":"From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 C K; Stewart, K; Elliott, R A; George, J)\n\nCited By :85\n\nExport Date: 19 June 2019","page":"608-622","publisher":"Elsevier Inc","title":"Pharmacist services provided in general practice clinics: A systematic review and meta-analysis","type":"article-journal","volume":"10"},"uris":["http://www.mendeley.com/documents/?uuid=0ba34a9a-c4c4-4c3f-a0ee-541c10cd2c32"]}],"mendeley":{"formattedCitation":"(Tan &lt;i&gt;et al.&lt;/i&gt;, 2014)","manualFormatting":"Tan et al. (2014)","plainTextFormattedCitation":"(Tan et al., 2014)","previouslyFormattedCitation":"(Tan &lt;i&gt;et al.&lt;/i&gt;, 2014)"},"properties":{"noteIndex":0},"schema":"https://github.com/citation-style-language/schema/raw/master/csl-citation.json"}</w:instrText>
      </w:r>
      <w:r>
        <w:rPr>
          <w:rFonts w:ascii="Arial" w:hAnsi="Arial" w:cs="Arial"/>
          <w:sz w:val="24"/>
          <w:szCs w:val="24"/>
        </w:rPr>
        <w:fldChar w:fldCharType="separate"/>
      </w:r>
      <w:r w:rsidRPr="00724232">
        <w:rPr>
          <w:rFonts w:ascii="Arial" w:hAnsi="Arial" w:cs="Arial"/>
          <w:noProof/>
          <w:sz w:val="24"/>
          <w:szCs w:val="24"/>
        </w:rPr>
        <w:t xml:space="preserve">Tan </w:t>
      </w:r>
      <w:r w:rsidRPr="00724232">
        <w:rPr>
          <w:rFonts w:ascii="Arial" w:hAnsi="Arial" w:cs="Arial"/>
          <w:i/>
          <w:noProof/>
          <w:sz w:val="24"/>
          <w:szCs w:val="24"/>
        </w:rPr>
        <w:t>et al.</w:t>
      </w:r>
      <w:r w:rsidRPr="00724232">
        <w:rPr>
          <w:rFonts w:ascii="Arial" w:hAnsi="Arial" w:cs="Arial"/>
          <w:noProof/>
          <w:sz w:val="24"/>
          <w:szCs w:val="24"/>
        </w:rPr>
        <w:t xml:space="preserve"> </w:t>
      </w:r>
      <w:r>
        <w:rPr>
          <w:rFonts w:ascii="Arial" w:hAnsi="Arial" w:cs="Arial"/>
          <w:noProof/>
          <w:sz w:val="24"/>
          <w:szCs w:val="24"/>
        </w:rPr>
        <w:t>(</w:t>
      </w:r>
      <w:r w:rsidRPr="00724232">
        <w:rPr>
          <w:rFonts w:ascii="Arial" w:hAnsi="Arial" w:cs="Arial"/>
          <w:noProof/>
          <w:sz w:val="24"/>
          <w:szCs w:val="24"/>
        </w:rPr>
        <w:t>2014)</w:t>
      </w:r>
      <w:r>
        <w:rPr>
          <w:rFonts w:ascii="Arial" w:hAnsi="Arial" w:cs="Arial"/>
          <w:sz w:val="24"/>
          <w:szCs w:val="24"/>
        </w:rPr>
        <w:fldChar w:fldCharType="end"/>
      </w:r>
      <w:r w:rsidRPr="006B2FC7">
        <w:rPr>
          <w:rFonts w:ascii="Arial" w:hAnsi="Arial" w:cs="Arial"/>
          <w:sz w:val="24"/>
          <w:szCs w:val="24"/>
        </w:rPr>
        <w:t xml:space="preserve"> argue that </w:t>
      </w:r>
      <w:r>
        <w:rPr>
          <w:rFonts w:ascii="Arial" w:hAnsi="Arial" w:cs="Arial"/>
          <w:sz w:val="24"/>
          <w:szCs w:val="24"/>
        </w:rPr>
        <w:t xml:space="preserve">the </w:t>
      </w:r>
      <w:r w:rsidRPr="006B2FC7">
        <w:rPr>
          <w:rFonts w:ascii="Arial" w:hAnsi="Arial" w:cs="Arial"/>
          <w:sz w:val="24"/>
          <w:szCs w:val="24"/>
        </w:rPr>
        <w:t>medication management service may be delivered more effectively when pharmacist work within GP clinics. Similarly,</w:t>
      </w:r>
      <w:r>
        <w:rPr>
          <w:rFonts w:ascii="Arial" w:hAnsi="Arial" w:cs="Arial"/>
          <w:sz w:val="24"/>
          <w:szCs w:val="24"/>
        </w:rPr>
        <w:fldChar w:fldCharType="begin" w:fldLock="1"/>
      </w:r>
      <w:r>
        <w:rPr>
          <w:rFonts w:ascii="Arial" w:hAnsi="Arial" w:cs="Arial"/>
          <w:sz w:val="24"/>
          <w:szCs w:val="24"/>
        </w:rPr>
        <w:instrText>ADDIN CSL_CITATION {"citationItems":[{"id":"ITEM-1","itemData":{"DOI":"10.1177/0897190018807374","ISSN":"15311937","author":[{"dropping-particle":"","family":"Peterson","given":"Jasmine","non-dropping-particle":"","parse-names":false,"suffix":""},{"dropping-particle":"","family":"Hinds","given":"April","non-dropping-particle":"","parse-names":false,"suffix":""},{"dropping-particle":"","family":"Garza","given":"Aida","non-dropping-particle":"","parse-names":false,"suffix":""},{"dropping-particle":"","family":"Barner","given":"Jamie","non-dropping-particle":"","parse-names":false,"suffix":""},{"dropping-particle":"","family":"Hill","given":"Lucas","non-dropping-particle":"","parse-names":false,"suffix":""},{"dropping-particle":"","family":"Nguyen","given":"Michelle","non-dropping-particle":"","parse-names":false,"suffix":""},{"dropping-particle":"","family":"Lai","given":"Phillip","non-dropping-particle":"","parse-names":false,"suffix":""},{"dropping-particle":"","family":"Gums","given":"Tyler","non-dropping-particle":"","parse-names":false,"suffix":""}],"container-title":"Journal of Pharmacy Practice","id":"ITEM-1","issued":{"date-parts":[["2018"]]},"title":"Impact of Physician–Pharmacist Covisits at a Primary Care Clinic in Patients With Uncontrolled Diabetes","type":"article-journal"},"uris":["http://www.mendeley.com/documents/?uuid=6dbe9f42-8655-4b35-9ac4-535786e8abe6"]}],"mendeley":{"formattedCitation":"(Peterson &lt;i&gt;et al.&lt;/i&gt;, 2018)","manualFormatting":" Peterson et al., (2018)","plainTextFormattedCitation":"(Peterson et al., 2018)","previouslyFormattedCitation":"(Peterson &lt;i&gt;et al.&lt;/i&gt;, 2018)"},"properties":{"noteIndex":0},"schema":"https://github.com/citation-style-language/schema/raw/master/csl-citation.json"}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 xml:space="preserve"> </w:t>
      </w:r>
      <w:r w:rsidRPr="00F148C8">
        <w:rPr>
          <w:rFonts w:ascii="Arial" w:hAnsi="Arial" w:cs="Arial"/>
          <w:noProof/>
          <w:sz w:val="24"/>
          <w:szCs w:val="24"/>
        </w:rPr>
        <w:t xml:space="preserve">Peterson </w:t>
      </w:r>
      <w:r w:rsidRPr="00F148C8">
        <w:rPr>
          <w:rFonts w:ascii="Arial" w:hAnsi="Arial" w:cs="Arial"/>
          <w:i/>
          <w:noProof/>
          <w:sz w:val="24"/>
          <w:szCs w:val="24"/>
        </w:rPr>
        <w:t>et al.</w:t>
      </w:r>
      <w:r w:rsidRPr="00F148C8">
        <w:rPr>
          <w:rFonts w:ascii="Arial" w:hAnsi="Arial" w:cs="Arial"/>
          <w:noProof/>
          <w:sz w:val="24"/>
          <w:szCs w:val="24"/>
        </w:rPr>
        <w:t xml:space="preserve">, </w:t>
      </w:r>
      <w:r>
        <w:rPr>
          <w:rFonts w:ascii="Arial" w:hAnsi="Arial" w:cs="Arial"/>
          <w:noProof/>
          <w:sz w:val="24"/>
          <w:szCs w:val="24"/>
        </w:rPr>
        <w:t>(</w:t>
      </w:r>
      <w:r w:rsidRPr="00F148C8">
        <w:rPr>
          <w:rFonts w:ascii="Arial" w:hAnsi="Arial" w:cs="Arial"/>
          <w:noProof/>
          <w:sz w:val="24"/>
          <w:szCs w:val="24"/>
        </w:rPr>
        <w:t>2018)</w:t>
      </w:r>
      <w:r>
        <w:rPr>
          <w:rFonts w:ascii="Arial" w:hAnsi="Arial" w:cs="Arial"/>
          <w:sz w:val="24"/>
          <w:szCs w:val="24"/>
        </w:rPr>
        <w:fldChar w:fldCharType="end"/>
      </w:r>
      <w:r w:rsidRPr="006B2FC7">
        <w:rPr>
          <w:rFonts w:ascii="Arial" w:hAnsi="Arial" w:cs="Arial"/>
          <w:sz w:val="24"/>
          <w:szCs w:val="24"/>
          <w:lang w:val="en-GB"/>
        </w:rPr>
        <w:t xml:space="preserve"> found that patients with uncontrolled diabetes improved significantly and maintained improvement up to one year when implementing the physician-pharmacist covisit model at primary care clinic in Austin, USA. This model allows patients to see both a physician and pharmacist on the same day visit. This approach has several advantages for patients compared with the traditional approach in which patients usually see the physician on one day, who may then refer them to a pharmacist or vice versa. The covisit model could save patients’ time and travel costs as well as potential opportunity costs of missing time off work.</w:t>
      </w:r>
    </w:p>
    <w:p w14:paraId="1363509E" w14:textId="05761978" w:rsidR="00941883" w:rsidRPr="00065DDB" w:rsidRDefault="00941883" w:rsidP="00941883">
      <w:pPr>
        <w:pStyle w:val="CommentText"/>
        <w:spacing w:line="360" w:lineRule="auto"/>
        <w:jc w:val="both"/>
        <w:rPr>
          <w:rFonts w:ascii="Arial" w:hAnsi="Arial" w:cs="Arial"/>
          <w:sz w:val="24"/>
          <w:szCs w:val="24"/>
          <w:lang w:val="en-GB"/>
        </w:rPr>
      </w:pPr>
      <w:r w:rsidRPr="00065DDB">
        <w:rPr>
          <w:rFonts w:ascii="Arial" w:hAnsi="Arial" w:cs="Arial"/>
          <w:sz w:val="24"/>
          <w:szCs w:val="24"/>
          <w:lang w:val="en-GB"/>
        </w:rPr>
        <w:t xml:space="preserve">This model was also supported by </w:t>
      </w:r>
      <w:r w:rsidRPr="00FC4E86">
        <w:rPr>
          <w:rFonts w:ascii="Arial" w:hAnsi="Arial" w:cs="Arial"/>
          <w:sz w:val="24"/>
          <w:szCs w:val="24"/>
          <w:lang w:val="en-GB"/>
        </w:rPr>
        <w:fldChar w:fldCharType="begin" w:fldLock="1"/>
      </w:r>
      <w:r w:rsidR="00310DAC" w:rsidRPr="00065DDB">
        <w:rPr>
          <w:rFonts w:ascii="Arial" w:hAnsi="Arial" w:cs="Arial"/>
          <w:sz w:val="24"/>
          <w:szCs w:val="24"/>
          <w:lang w:val="en-GB"/>
        </w:rPr>
        <w:instrText>ADDIN CSL_CITATION {"citationItems":[{"id":"ITEM-1","itemData":{"DOI":"10.2146/ajhp080139","ISBN":"3016648601","ISSN":"10792082","PMID":"19299368","author":[{"dropping-particle":"","family":"Choe","given":"Hae Mi","non-dropping-particle":"","parse-names":false,"suffix":""},{"dropping-particle":"","family":"Bernstein","given":"Steven J.","non-dropping-particle":"","parse-names":false,"suffix":""},{"dropping-particle":"","family":"Mueller","given":"Bruce A.","non-dropping-particle":"","parse-names":false,"suffix":""},{"dropping-particle":"","family":"Walker","given":"Paul C.","non-dropping-particle":"","parse-names":false,"suffix":""},{"dropping-particle":"","family":"Stevenson","given":"James G.","non-dropping-particle":"","parse-names":false,"suffix":""},{"dropping-particle":"","family":"Standiford","given":"Connie J.","non-dropping-particle":"","parse-names":false,"suffix":""}],"container-title":"American Journal of Health-System Pharmacy","id":"ITEM-1","issue":"7","issued":{"date-parts":[["2009"]]},"page":"622-624","title":"Pharmacist leads primary care team to improve diabetes care","type":"article-journal","volume":"66"},"uris":["http://www.mendeley.com/documents/?uuid=06c679af-a230-4d7c-873e-4f2f6209f994"]}],"mendeley":{"formattedCitation":"(Choe &lt;i&gt;et al.&lt;/i&gt;, 2009)","manualFormatting":"Choe et al., (2009)","plainTextFormattedCitation":"(Choe et al., 2009)","previouslyFormattedCitation":"(Choe &lt;i&gt;et al.&lt;/i&gt;, 2009)"},"properties":{"noteIndex":0},"schema":"https://github.com/citation-style-language/schema/raw/master/csl-citation.json"}</w:instrText>
      </w:r>
      <w:r w:rsidRPr="00FC4E86">
        <w:rPr>
          <w:rFonts w:ascii="Arial" w:hAnsi="Arial" w:cs="Arial"/>
          <w:sz w:val="24"/>
          <w:szCs w:val="24"/>
          <w:lang w:val="en-GB"/>
        </w:rPr>
        <w:fldChar w:fldCharType="separate"/>
      </w:r>
      <w:r w:rsidRPr="00065DDB">
        <w:rPr>
          <w:rFonts w:ascii="Arial" w:hAnsi="Arial" w:cs="Arial"/>
          <w:noProof/>
          <w:sz w:val="24"/>
          <w:szCs w:val="24"/>
          <w:lang w:val="en-GB"/>
        </w:rPr>
        <w:t xml:space="preserve">Choe </w:t>
      </w:r>
      <w:r w:rsidRPr="00065DDB">
        <w:rPr>
          <w:rFonts w:ascii="Arial" w:hAnsi="Arial" w:cs="Arial"/>
          <w:i/>
          <w:noProof/>
          <w:sz w:val="24"/>
          <w:szCs w:val="24"/>
          <w:lang w:val="en-GB"/>
        </w:rPr>
        <w:t>et al.</w:t>
      </w:r>
      <w:r w:rsidRPr="00065DDB">
        <w:rPr>
          <w:rFonts w:ascii="Arial" w:hAnsi="Arial" w:cs="Arial"/>
          <w:noProof/>
          <w:sz w:val="24"/>
          <w:szCs w:val="24"/>
          <w:lang w:val="en-GB"/>
        </w:rPr>
        <w:t xml:space="preserve">, </w:t>
      </w:r>
      <w:r w:rsidR="008D1533" w:rsidRPr="00065DDB">
        <w:rPr>
          <w:rFonts w:ascii="Arial" w:hAnsi="Arial" w:cs="Arial"/>
          <w:noProof/>
          <w:sz w:val="24"/>
          <w:szCs w:val="24"/>
          <w:lang w:val="en-GB"/>
        </w:rPr>
        <w:t>(</w:t>
      </w:r>
      <w:r w:rsidRPr="00065DDB">
        <w:rPr>
          <w:rFonts w:ascii="Arial" w:hAnsi="Arial" w:cs="Arial"/>
          <w:noProof/>
          <w:sz w:val="24"/>
          <w:szCs w:val="24"/>
          <w:lang w:val="en-GB"/>
        </w:rPr>
        <w:t>2009)</w:t>
      </w:r>
      <w:r w:rsidRPr="00FC4E86">
        <w:rPr>
          <w:rFonts w:ascii="Arial" w:hAnsi="Arial" w:cs="Arial"/>
          <w:sz w:val="24"/>
          <w:szCs w:val="24"/>
          <w:lang w:val="en-GB"/>
        </w:rPr>
        <w:fldChar w:fldCharType="end"/>
      </w:r>
      <w:r w:rsidR="008D1533" w:rsidRPr="00065DDB">
        <w:rPr>
          <w:rFonts w:ascii="Arial" w:hAnsi="Arial" w:cs="Arial"/>
          <w:sz w:val="24"/>
          <w:szCs w:val="24"/>
          <w:lang w:val="en-GB"/>
        </w:rPr>
        <w:t xml:space="preserve"> who reported that </w:t>
      </w:r>
      <w:r w:rsidRPr="00065DDB">
        <w:rPr>
          <w:rFonts w:ascii="Arial" w:hAnsi="Arial" w:cs="Arial"/>
          <w:sz w:val="24"/>
          <w:szCs w:val="24"/>
          <w:lang w:val="en-GB"/>
        </w:rPr>
        <w:t xml:space="preserve"> </w:t>
      </w:r>
      <w:r w:rsidRPr="00065DDB">
        <w:rPr>
          <w:rFonts w:ascii="Arial" w:hAnsi="Arial" w:cs="Arial"/>
          <w:i/>
          <w:iCs/>
          <w:sz w:val="24"/>
          <w:szCs w:val="24"/>
          <w:lang w:val="en-GB"/>
        </w:rPr>
        <w:t>“</w:t>
      </w:r>
      <w:r w:rsidR="008D1533" w:rsidRPr="00065DDB">
        <w:rPr>
          <w:rFonts w:ascii="Arial" w:hAnsi="Arial" w:cs="Arial"/>
          <w:i/>
          <w:iCs/>
          <w:sz w:val="24"/>
          <w:szCs w:val="24"/>
          <w:lang w:val="en-GB"/>
        </w:rPr>
        <w:t>j</w:t>
      </w:r>
      <w:r w:rsidRPr="00065DDB">
        <w:rPr>
          <w:rFonts w:ascii="Arial" w:hAnsi="Arial" w:cs="Arial"/>
          <w:i/>
          <w:iCs/>
          <w:sz w:val="24"/>
          <w:szCs w:val="24"/>
          <w:lang w:val="en-GB"/>
        </w:rPr>
        <w:t xml:space="preserve">oint visits” </w:t>
      </w:r>
      <w:r w:rsidR="008D1533" w:rsidRPr="00065DDB">
        <w:rPr>
          <w:rFonts w:ascii="Arial" w:hAnsi="Arial" w:cs="Arial"/>
          <w:sz w:val="24"/>
          <w:szCs w:val="24"/>
          <w:lang w:val="en-GB"/>
        </w:rPr>
        <w:t>involving both</w:t>
      </w:r>
      <w:r w:rsidRPr="00065DDB">
        <w:rPr>
          <w:rFonts w:ascii="Arial" w:hAnsi="Arial" w:cs="Arial"/>
          <w:sz w:val="24"/>
          <w:szCs w:val="24"/>
          <w:lang w:val="en-GB"/>
        </w:rPr>
        <w:t xml:space="preserve"> a physician and pharmacist allow the physician to focus on medicine-related issues while the pharmacist focuses on and manages medication-related issues such as monitoring medication compliance, making therapeutic adjustments, and counselling the patient. In an environment where doctors are expected to see more patients in less time, a pharmacist can help them spend their time with patients more effectively </w:t>
      </w:r>
      <w:r w:rsidRPr="00FC4E86">
        <w:rPr>
          <w:rFonts w:ascii="Arial" w:hAnsi="Arial" w:cs="Arial"/>
          <w:sz w:val="24"/>
          <w:szCs w:val="24"/>
          <w:lang w:val="en-GB"/>
        </w:rPr>
        <w:fldChar w:fldCharType="begin" w:fldLock="1"/>
      </w:r>
      <w:r w:rsidRPr="00065DDB">
        <w:rPr>
          <w:rFonts w:ascii="Arial" w:hAnsi="Arial" w:cs="Arial"/>
          <w:sz w:val="24"/>
          <w:szCs w:val="24"/>
          <w:lang w:val="en-GB"/>
        </w:rPr>
        <w:instrText>ADDIN CSL_CITATION {"citationItems":[{"id":"ITEM-1","itemData":{"DOI":"10.2146/ajhp080139","ISBN":"3016648601","ISSN":"10792082","PMID":"19299368","author":[{"dropping-particle":"","family":"Choe","given":"Hae Mi","non-dropping-particle":"","parse-names":false,"suffix":""},{"dropping-particle":"","family":"Bernstein","given":"Steven J.","non-dropping-particle":"","parse-names":false,"suffix":""},{"dropping-particle":"","family":"Mueller","given":"Bruce A.","non-dropping-particle":"","parse-names":false,"suffix":""},{"dropping-particle":"","family":"Walker","given":"Paul C.","non-dropping-particle":"","parse-names":false,"suffix":""},{"dropping-particle":"","family":"Stevenson","given":"James G.","non-dropping-particle":"","parse-names":false,"suffix":""},{"dropping-particle":"","family":"Standiford","given":"Connie J.","non-dropping-particle":"","parse-names":false,"suffix":""}],"container-title":"American Journal of Health-System Pharmacy","id":"ITEM-1","issue":"7","issued":{"date-parts":[["2009"]]},"page":"622-624","title":"Pharmacist leads primary care team to improve diabetes care","type":"article-journal","volume":"66"},"uris":["http://www.mendeley.com/documents/?uuid=06c679af-a230-4d7c-873e-4f2f6209f994"]}],"mendeley":{"formattedCitation":"(Choe &lt;i&gt;et al.&lt;/i&gt;, 2009)","plainTextFormattedCitation":"(Choe et al., 2009)","previouslyFormattedCitation":"(Choe &lt;i&gt;et al.&lt;/i&gt;, 2009)"},"properties":{"noteIndex":0},"schema":"https://github.com/citation-style-language/schema/raw/master/csl-citation.json"}</w:instrText>
      </w:r>
      <w:r w:rsidRPr="00FC4E86">
        <w:rPr>
          <w:rFonts w:ascii="Arial" w:hAnsi="Arial" w:cs="Arial"/>
          <w:sz w:val="24"/>
          <w:szCs w:val="24"/>
          <w:lang w:val="en-GB"/>
        </w:rPr>
        <w:fldChar w:fldCharType="separate"/>
      </w:r>
      <w:r w:rsidRPr="00065DDB">
        <w:rPr>
          <w:rFonts w:ascii="Arial" w:hAnsi="Arial" w:cs="Arial"/>
          <w:noProof/>
          <w:sz w:val="24"/>
          <w:szCs w:val="24"/>
          <w:lang w:val="en-GB"/>
        </w:rPr>
        <w:t xml:space="preserve">(Choe </w:t>
      </w:r>
      <w:r w:rsidRPr="00065DDB">
        <w:rPr>
          <w:rFonts w:ascii="Arial" w:hAnsi="Arial" w:cs="Arial"/>
          <w:i/>
          <w:noProof/>
          <w:sz w:val="24"/>
          <w:szCs w:val="24"/>
          <w:lang w:val="en-GB"/>
        </w:rPr>
        <w:t>et al.</w:t>
      </w:r>
      <w:r w:rsidRPr="00065DDB">
        <w:rPr>
          <w:rFonts w:ascii="Arial" w:hAnsi="Arial" w:cs="Arial"/>
          <w:noProof/>
          <w:sz w:val="24"/>
          <w:szCs w:val="24"/>
          <w:lang w:val="en-GB"/>
        </w:rPr>
        <w:t>, 2009)</w:t>
      </w:r>
      <w:r w:rsidRPr="00FC4E86">
        <w:rPr>
          <w:rFonts w:ascii="Arial" w:hAnsi="Arial" w:cs="Arial"/>
          <w:sz w:val="24"/>
          <w:szCs w:val="24"/>
          <w:lang w:val="en-GB"/>
        </w:rPr>
        <w:fldChar w:fldCharType="end"/>
      </w:r>
      <w:r w:rsidRPr="00065DDB">
        <w:rPr>
          <w:rFonts w:ascii="Arial" w:hAnsi="Arial" w:cs="Arial"/>
          <w:sz w:val="24"/>
          <w:szCs w:val="24"/>
          <w:lang w:val="en-GB"/>
        </w:rPr>
        <w:t xml:space="preserve">. The traditional primary healthcare model, where doctors dominate, and independently make diagnoses, determine treatments, and provide drug advice, has shown many problems. According to Xiao et al. (2023), doctors are overwhelmed with many patient visits, leaving limited time to educate patients about their diseases or how to take their medications. These issues have been reported as causing decreased patient satisfaction </w:t>
      </w:r>
      <w:r w:rsidRPr="00FC4E86">
        <w:rPr>
          <w:rFonts w:ascii="Arial" w:hAnsi="Arial" w:cs="Arial"/>
          <w:sz w:val="24"/>
          <w:szCs w:val="24"/>
          <w:lang w:val="en-GB"/>
        </w:rPr>
        <w:fldChar w:fldCharType="begin" w:fldLock="1"/>
      </w:r>
      <w:r w:rsidRPr="00065DDB">
        <w:rPr>
          <w:rFonts w:ascii="Arial" w:hAnsi="Arial" w:cs="Arial"/>
          <w:sz w:val="24"/>
          <w:szCs w:val="24"/>
          <w:lang w:val="en-GB"/>
        </w:rPr>
        <w:instrText>ADDIN CSL_CITATION {"citationItems":[{"id":"ITEM-1","itemData":{"DOI":"10.3389/fphar.2023.1098207","ISSN":"16639812","abstract":"Background: Physician-pharmacist collaboration is a well-established care mode for the management of type 2 diabetes mellitus (T2DM) in developed countries, but no study has been conducted in primary healthcare in China. This study aims to evaluate the effects of physician-pharmacist collaborative clinics to manage T2DM in primary healthcare in China, and to better understand the factors influencing the implementation of physician-pharmacist collaborative clinics. Methods: Two hundred and sixty-seven patients involved in a 12-month randomized controlled trial were assigned to physician-pharmacist collaborative clinics and usual clinics, completing surveys regarding medication compliance, quality of life (QoL) and care-seeking behavior at the baseline, 3rd, 6th, 9th and 12th month respectively, and diabetes knowledge at baseline and 12th month. A sample of twenty-two Patients, nine physicians and twelve pharmacists participated in semi-structured face-to-face interviews. The quantitative and qualitative data was integrated by triangulation. Results: Patients in physician-pharmacist collaborative clinics had significant improvements in medication compliance (p = 0.009), QoL (p = 0.036) and emergency visits (p = 0.003) over the 12-month. Pairwise comparison showed the medication compliance score in the intervention group had been significantly improved at 3rd month (p = 0.001), which is more rapidly than that in the control group at 9th month (p = 0.030). Factors influencing the implementation of physician-pharmacist collaborative clinics were driven by five themes: pharmaceutical service, team-base care, psychological support, acceptability of care and barriers to implementation. Conclusion: Integration of quantitative and qualitative findings showed the effectiveness of physician-pharmacist collaborative clinics in patient medication compliance and QoL in primary healthcare. The qualitative study uncovered barriers in insufficient clinical experience and understaffing of pharmacist. Therefore, the professional training of the primary pharmacist team should be improved in the future. Clinical Trial Registration: clinicaltrials.gov, identifier ChiCTR2000031839.","author":[{"dropping-particle":"","family":"Xiao","given":"Jie","non-dropping-particle":"","parse-names":false,"suffix":""},{"dropping-particle":"","family":"Wang","given":"Qing","non-dropping-particle":"","parse-names":false,"suffix":""},{"dropping-particle":"","family":"Tan","given":"Shenglan","non-dropping-particle":"","parse-names":false,"suffix":""},{"dropping-particle":"","family":"Chen","given":"Lei","non-dropping-particle":"","parse-names":false,"suffix":""},{"dropping-particle":"","family":"Tang","given":"Bingjie","non-dropping-particle":"","parse-names":false,"suffix":""},{"dropping-particle":"","family":"Huang","given":"Shuting","non-dropping-particle":"","parse-names":false,"suffix":""},{"dropping-particle":"","family":"Zhou","given":"Yangang","non-dropping-particle":"","parse-names":false,"suffix":""},{"dropping-particle":"","family":"Xu","given":"Ping","non-dropping-particle":"","parse-names":false,"suffix":""}],"container-title":"Frontiers in Pharmacology","id":"ITEM-1","issue":"March","issued":{"date-parts":[["2023"]]},"page":"1-15","title":"Analysis of patient medication compliance and quality of life of physician-pharmacist collaborative clinics for T2DM management in primary healthcare in China: A mixed-methods study","type":"article-journal","volume":"14"},"uris":["http://www.mendeley.com/documents/?uuid=679e88fc-bc3d-4c75-8576-9e7b3d6c7abb"]}],"mendeley":{"formattedCitation":"(Xiao &lt;i&gt;et al.&lt;/i&gt;, 2023)","plainTextFormattedCitation":"(Xiao et al., 2023)","previouslyFormattedCitation":"(Xiao &lt;i&gt;et al.&lt;/i&gt;, 2023)"},"properties":{"noteIndex":0},"schema":"https://github.com/citation-style-language/schema/raw/master/csl-citation.json"}</w:instrText>
      </w:r>
      <w:r w:rsidRPr="00FC4E86">
        <w:rPr>
          <w:rFonts w:ascii="Arial" w:hAnsi="Arial" w:cs="Arial"/>
          <w:sz w:val="24"/>
          <w:szCs w:val="24"/>
          <w:lang w:val="en-GB"/>
        </w:rPr>
        <w:fldChar w:fldCharType="separate"/>
      </w:r>
      <w:r w:rsidRPr="00065DDB">
        <w:rPr>
          <w:rFonts w:ascii="Arial" w:hAnsi="Arial" w:cs="Arial"/>
          <w:noProof/>
          <w:sz w:val="24"/>
          <w:szCs w:val="24"/>
          <w:lang w:val="en-GB"/>
        </w:rPr>
        <w:t xml:space="preserve">(Xiao </w:t>
      </w:r>
      <w:r w:rsidRPr="00065DDB">
        <w:rPr>
          <w:rFonts w:ascii="Arial" w:hAnsi="Arial" w:cs="Arial"/>
          <w:i/>
          <w:noProof/>
          <w:sz w:val="24"/>
          <w:szCs w:val="24"/>
          <w:lang w:val="en-GB"/>
        </w:rPr>
        <w:t>et al.</w:t>
      </w:r>
      <w:r w:rsidRPr="00065DDB">
        <w:rPr>
          <w:rFonts w:ascii="Arial" w:hAnsi="Arial" w:cs="Arial"/>
          <w:noProof/>
          <w:sz w:val="24"/>
          <w:szCs w:val="24"/>
          <w:lang w:val="en-GB"/>
        </w:rPr>
        <w:t>, 2023)</w:t>
      </w:r>
      <w:r w:rsidRPr="00FC4E86">
        <w:rPr>
          <w:rFonts w:ascii="Arial" w:hAnsi="Arial" w:cs="Arial"/>
          <w:sz w:val="24"/>
          <w:szCs w:val="24"/>
          <w:lang w:val="en-GB"/>
        </w:rPr>
        <w:fldChar w:fldCharType="end"/>
      </w:r>
    </w:p>
    <w:p w14:paraId="292D0A70" w14:textId="0310E587" w:rsidR="00941883" w:rsidRDefault="00941883" w:rsidP="00941883">
      <w:pPr>
        <w:spacing w:line="360" w:lineRule="auto"/>
        <w:jc w:val="both"/>
        <w:rPr>
          <w:rFonts w:ascii="Arial" w:hAnsi="Arial" w:cs="Arial"/>
        </w:rPr>
      </w:pPr>
      <w:r w:rsidRPr="006B2FC7">
        <w:rPr>
          <w:rFonts w:ascii="Arial" w:hAnsi="Arial" w:cs="Arial"/>
          <w:sz w:val="24"/>
          <w:szCs w:val="24"/>
          <w:lang w:val="en"/>
        </w:rPr>
        <w:t xml:space="preserve">Considering all of this evidence, it </w:t>
      </w:r>
      <w:r w:rsidR="008D1533">
        <w:rPr>
          <w:rFonts w:ascii="Arial" w:hAnsi="Arial" w:cs="Arial"/>
          <w:sz w:val="24"/>
          <w:szCs w:val="24"/>
          <w:lang w:val="en"/>
        </w:rPr>
        <w:t>is apparent</w:t>
      </w:r>
      <w:r w:rsidRPr="006B2FC7">
        <w:rPr>
          <w:rFonts w:ascii="Arial" w:hAnsi="Arial" w:cs="Arial"/>
          <w:sz w:val="24"/>
          <w:szCs w:val="24"/>
          <w:lang w:val="en"/>
        </w:rPr>
        <w:t xml:space="preserve"> that pharmacists’ interventions have positive clinical impacts on diabetes patients by improving </w:t>
      </w:r>
      <w:r>
        <w:rPr>
          <w:rFonts w:ascii="Arial" w:hAnsi="Arial" w:cs="Arial"/>
          <w:sz w:val="24"/>
          <w:szCs w:val="24"/>
          <w:lang w:val="en"/>
        </w:rPr>
        <w:t>the key biomarkers in diabetes management (</w:t>
      </w:r>
      <w:r w:rsidRPr="006B2FC7">
        <w:rPr>
          <w:rFonts w:ascii="Arial" w:hAnsi="Arial" w:cs="Arial"/>
          <w:sz w:val="24"/>
          <w:szCs w:val="24"/>
          <w:lang w:val="en"/>
        </w:rPr>
        <w:t>HbA1c, BP, and lipid profiles</w:t>
      </w:r>
      <w:r>
        <w:rPr>
          <w:rFonts w:ascii="Arial" w:hAnsi="Arial" w:cs="Arial"/>
          <w:sz w:val="24"/>
          <w:szCs w:val="24"/>
          <w:lang w:val="en"/>
        </w:rPr>
        <w:t xml:space="preserve">), </w:t>
      </w:r>
      <w:r w:rsidRPr="001056C0">
        <w:rPr>
          <w:rFonts w:ascii="Arial" w:eastAsia="Times New Roman" w:hAnsi="Arial" w:cs="Arial"/>
          <w:sz w:val="24"/>
          <w:szCs w:val="24"/>
          <w:lang w:val="en-GB"/>
        </w:rPr>
        <w:t>preventing further long-term complications, improving medication adherence and optimising medication therapy in patients with diabetes</w:t>
      </w:r>
      <w:r>
        <w:rPr>
          <w:rFonts w:ascii="Arial" w:eastAsia="Times New Roman" w:hAnsi="Arial" w:cs="Arial"/>
          <w:sz w:val="24"/>
          <w:szCs w:val="24"/>
          <w:lang w:val="en-GB"/>
        </w:rPr>
        <w:t xml:space="preserve">, </w:t>
      </w:r>
      <w:r>
        <w:rPr>
          <w:rFonts w:ascii="Arial" w:hAnsi="Arial" w:cs="Arial"/>
          <w:sz w:val="24"/>
          <w:szCs w:val="24"/>
          <w:lang w:val="en"/>
        </w:rPr>
        <w:t>as well as</w:t>
      </w:r>
      <w:r w:rsidRPr="00000F0B">
        <w:rPr>
          <w:rFonts w:ascii="Arial" w:hAnsi="Arial" w:cs="Arial"/>
          <w:sz w:val="24"/>
          <w:szCs w:val="24"/>
          <w:lang w:val="en"/>
        </w:rPr>
        <w:t xml:space="preserve"> improvements in the prescribing pattern to adhere to the guidelines, </w:t>
      </w:r>
      <w:r w:rsidRPr="006B2FC7">
        <w:rPr>
          <w:rFonts w:ascii="Arial" w:hAnsi="Arial" w:cs="Arial"/>
          <w:sz w:val="24"/>
          <w:szCs w:val="24"/>
          <w:lang w:val="en"/>
        </w:rPr>
        <w:t>which consequently controls the disease and any disease-associated problems.</w:t>
      </w:r>
      <w:r w:rsidRPr="006B2FC7">
        <w:rPr>
          <w:rFonts w:ascii="Arial" w:hAnsi="Arial" w:cs="Arial"/>
        </w:rPr>
        <w:t xml:space="preserve"> </w:t>
      </w:r>
    </w:p>
    <w:p w14:paraId="6EA71BC6" w14:textId="2896D751" w:rsidR="0063192D" w:rsidRDefault="0063192D" w:rsidP="0063192D">
      <w:pPr>
        <w:autoSpaceDE w:val="0"/>
        <w:autoSpaceDN w:val="0"/>
        <w:adjustRightInd w:val="0"/>
        <w:spacing w:line="360" w:lineRule="auto"/>
        <w:jc w:val="both"/>
        <w:rPr>
          <w:rFonts w:ascii="Arial" w:hAnsi="Arial" w:cs="Arial"/>
          <w:sz w:val="24"/>
          <w:szCs w:val="24"/>
          <w:lang w:val="en"/>
        </w:rPr>
      </w:pPr>
      <w:r w:rsidRPr="006B2FC7">
        <w:rPr>
          <w:rFonts w:ascii="Arial" w:hAnsi="Arial" w:cs="Arial"/>
          <w:sz w:val="24"/>
          <w:szCs w:val="24"/>
          <w:lang w:val="en"/>
        </w:rPr>
        <w:t xml:space="preserve">The following section will evaluate the </w:t>
      </w:r>
      <w:r w:rsidR="00454134">
        <w:rPr>
          <w:rFonts w:ascii="Arial" w:hAnsi="Arial" w:cs="Arial"/>
          <w:sz w:val="24"/>
          <w:szCs w:val="24"/>
          <w:lang w:val="en"/>
        </w:rPr>
        <w:t>economic impact</w:t>
      </w:r>
      <w:r w:rsidRPr="006B2FC7">
        <w:rPr>
          <w:rFonts w:ascii="Arial" w:hAnsi="Arial" w:cs="Arial"/>
          <w:sz w:val="24"/>
          <w:szCs w:val="24"/>
          <w:lang w:val="en"/>
        </w:rPr>
        <w:t xml:space="preserve"> of pharmacists’ interventions in diabetes management. </w:t>
      </w:r>
    </w:p>
    <w:p w14:paraId="5EFC5DC8" w14:textId="77777777" w:rsidR="00941883" w:rsidRPr="003C4403" w:rsidRDefault="00941883" w:rsidP="00241975">
      <w:pPr>
        <w:autoSpaceDE w:val="0"/>
        <w:autoSpaceDN w:val="0"/>
        <w:adjustRightInd w:val="0"/>
        <w:spacing w:line="360" w:lineRule="auto"/>
        <w:jc w:val="both"/>
        <w:rPr>
          <w:lang w:val="en"/>
        </w:rPr>
      </w:pPr>
    </w:p>
    <w:p w14:paraId="12A69F3F" w14:textId="24632B71" w:rsidR="00941883" w:rsidRPr="00220325" w:rsidRDefault="007876D4" w:rsidP="00220325">
      <w:pPr>
        <w:pStyle w:val="Heading5"/>
        <w:spacing w:after="240"/>
        <w:rPr>
          <w:rFonts w:asciiTheme="minorBidi" w:hAnsiTheme="minorBidi" w:cstheme="minorBidi"/>
          <w:sz w:val="24"/>
          <w:szCs w:val="24"/>
          <w:lang w:val="en-GB"/>
        </w:rPr>
      </w:pPr>
      <w:r w:rsidRPr="00220325">
        <w:rPr>
          <w:rFonts w:asciiTheme="minorBidi" w:hAnsiTheme="minorBidi" w:cstheme="minorBidi"/>
          <w:sz w:val="24"/>
          <w:szCs w:val="24"/>
          <w:lang w:val="en-GB"/>
        </w:rPr>
        <w:t xml:space="preserve">Economic impact </w:t>
      </w:r>
    </w:p>
    <w:p w14:paraId="1D37E258" w14:textId="77777777" w:rsidR="00941883" w:rsidRPr="006B2FC7" w:rsidRDefault="00941883" w:rsidP="00941883">
      <w:pPr>
        <w:pStyle w:val="CommentText"/>
        <w:spacing w:line="360" w:lineRule="auto"/>
        <w:jc w:val="both"/>
        <w:rPr>
          <w:rFonts w:ascii="Arial" w:eastAsia="Times New Roman" w:hAnsi="Arial" w:cs="Arial"/>
          <w:sz w:val="24"/>
          <w:szCs w:val="24"/>
          <w:lang w:val="en-GB"/>
        </w:rPr>
      </w:pPr>
      <w:r w:rsidRPr="006B2FC7">
        <w:rPr>
          <w:rFonts w:ascii="Arial" w:eastAsia="Times New Roman" w:hAnsi="Arial" w:cs="Arial"/>
          <w:sz w:val="24"/>
          <w:szCs w:val="24"/>
          <w:lang w:val="en-GB"/>
        </w:rPr>
        <w:t>Adding pharmacists to the primary care team was found in several studies to be a cost-effective strategy, as will be shown in this section. The benefits of pharmacists’ involvement in diabetes care can be demonstrated by a reduction in healthcare expenditure, the enhancement of service delivery through the improvement of prescription patterns, the reduction of medication wastage by increasing patients’ adherence, and filling the gap that has been created by the shortage of physicians in primary healthcare practice. All these factors lead to cost savings for the health organisation.</w:t>
      </w:r>
    </w:p>
    <w:p w14:paraId="03F31520" w14:textId="77777777" w:rsidR="00941883" w:rsidRPr="006B2FC7" w:rsidRDefault="00941883" w:rsidP="00941883">
      <w:pPr>
        <w:pStyle w:val="CommentText"/>
        <w:spacing w:line="360" w:lineRule="auto"/>
        <w:jc w:val="both"/>
        <w:rPr>
          <w:rFonts w:ascii="Arial" w:eastAsia="Times New Roman" w:hAnsi="Arial" w:cs="Arial"/>
          <w:sz w:val="24"/>
          <w:szCs w:val="24"/>
          <w:lang w:val="en-GB"/>
        </w:rPr>
      </w:pPr>
      <w:r w:rsidRPr="006B2FC7">
        <w:rPr>
          <w:rFonts w:ascii="Arial" w:eastAsia="Times New Roman" w:hAnsi="Arial" w:cs="Arial"/>
          <w:sz w:val="24"/>
          <w:szCs w:val="24"/>
          <w:lang w:val="en-GB"/>
        </w:rPr>
        <w:t xml:space="preserve">For instance, </w:t>
      </w:r>
      <w:r w:rsidRPr="006B2FC7">
        <w:rPr>
          <w:rFonts w:ascii="Arial" w:eastAsia="Times New Roman" w:hAnsi="Arial" w:cs="Arial"/>
          <w:sz w:val="24"/>
          <w:szCs w:val="24"/>
          <w:lang w:val="en-GB"/>
        </w:rPr>
        <w:fldChar w:fldCharType="begin" w:fldLock="1"/>
      </w:r>
      <w:r>
        <w:rPr>
          <w:rFonts w:ascii="Arial" w:eastAsia="Times New Roman" w:hAnsi="Arial" w:cs="Arial"/>
          <w:sz w:val="24"/>
          <w:szCs w:val="24"/>
          <w:lang w:val="en-GB"/>
        </w:rPr>
        <w:instrText>ADDIN CSL_CITATION {"citationItems":[{"id":"ITEM-1","itemData":{"author":[{"dropping-particle":"","family":"Willens","given":"David","non-dropping-particle":"","parse-names":false,"suffix":""},{"dropping-particle":"","family":"Cripps","given":"Rebecca","non-dropping-particle":"","parse-names":false,"suffix":""},{"dropping-particle":"","family":"Wilson","given":"Amy","non-dropping-particle":"","parse-names":false,"suffix":""},{"dropping-particle":"","family":"Wolff","given":"Kathleen","non-dropping-particle":"","parse-names":false,"suffix":""},{"dropping-particle":"","family":"Rothman","given":"Russell","non-dropping-particle":"","parse-names":false,"suffix":""}],"container-title":"Clinical Diabetes","id":"ITEM-1","issue":"2","issued":{"date-parts":[["2011"]]},"title":"Interdisciplinary Team Care for Diabetic Patients by Primary Care Physicians, Advanced Practice Nurses, and Clinical Pharmacists","type":"article-journal","volume":"29"},"uris":["http://www.mendeley.com/documents/?uuid=cbab824b-805e-3469-8cd8-97223cf09ef7"]}],"mendeley":{"formattedCitation":"(Willens &lt;i&gt;et al.&lt;/i&gt;, 2011)","manualFormatting":"Willens et al. (2011) ","plainTextFormattedCitation":"(Willens et al., 2011)","previouslyFormattedCitation":"(Willens &lt;i&gt;et al.&lt;/i&gt;, 2011)"},"properties":{"noteIndex":0},"schema":"https://github.com/citation-style-language/schema/raw/master/csl-citation.json"}</w:instrText>
      </w:r>
      <w:r w:rsidRPr="006B2FC7">
        <w:rPr>
          <w:rFonts w:ascii="Arial" w:eastAsia="Times New Roman" w:hAnsi="Arial" w:cs="Arial"/>
          <w:sz w:val="24"/>
          <w:szCs w:val="24"/>
          <w:lang w:val="en-GB"/>
        </w:rPr>
        <w:fldChar w:fldCharType="separate"/>
      </w:r>
      <w:r w:rsidRPr="006B2FC7">
        <w:rPr>
          <w:rFonts w:ascii="Arial" w:eastAsia="Times New Roman" w:hAnsi="Arial" w:cs="Arial"/>
          <w:noProof/>
          <w:sz w:val="24"/>
          <w:szCs w:val="24"/>
          <w:lang w:val="en-GB"/>
        </w:rPr>
        <w:t xml:space="preserve">Willens et al. (2011) </w:t>
      </w:r>
      <w:r w:rsidRPr="006B2FC7">
        <w:rPr>
          <w:rFonts w:ascii="Arial" w:eastAsia="Times New Roman" w:hAnsi="Arial" w:cs="Arial"/>
          <w:sz w:val="24"/>
          <w:szCs w:val="24"/>
          <w:lang w:val="en-GB"/>
        </w:rPr>
        <w:fldChar w:fldCharType="end"/>
      </w:r>
      <w:r w:rsidRPr="006B2FC7">
        <w:rPr>
          <w:rFonts w:ascii="Arial" w:eastAsia="Times New Roman" w:hAnsi="Arial" w:cs="Arial"/>
          <w:sz w:val="24"/>
          <w:szCs w:val="24"/>
          <w:lang w:val="en-GB"/>
        </w:rPr>
        <w:t xml:space="preserve">found that a pharmacist-run diabetes management program demonstrated total cost savings of $59,040 after one year from establishing this programme. Similarly, </w:t>
      </w:r>
      <w:r>
        <w:rPr>
          <w:rFonts w:ascii="Arial" w:eastAsia="Times New Roman" w:hAnsi="Arial" w:cs="Arial"/>
          <w:sz w:val="24"/>
          <w:szCs w:val="24"/>
          <w:lang w:val="en-GB"/>
        </w:rPr>
        <w:fldChar w:fldCharType="begin" w:fldLock="1"/>
      </w:r>
      <w:r>
        <w:rPr>
          <w:rFonts w:ascii="Arial" w:eastAsia="Times New Roman" w:hAnsi="Arial" w:cs="Arial"/>
          <w:sz w:val="24"/>
          <w:szCs w:val="24"/>
          <w:lang w:val="en-GB"/>
        </w:rPr>
        <w:instrText>ADDIN CSL_CITATION {"citationItems":[{"id":"ITEM-1","itemData":{"DOI":"https://dx.doi.org/10.1111/dme.12692","ISSN":"1464-5491","abstract":"BACKGROUND: Adding pharmacists to primary care teams significantly improved blood pressure control and reduced predicted 10-year cardiovascular risk in patients with Type 2 diabetes. This pre-specified sub-study evaluated the economic implications of this cardiovascular risk reduction strategy., METHODS: One-year outcomes and healthcare utilization data from the trial were used to determine cost-effectiveness from the public payer perspective. Costs were expressed in 2014 Canadian dollars and effectiveness was based on annualized risk of cardiovascular events derived from the UKPDS Risk Engine., RESULTS: The 123 evaluable trial patients included in this analysis had a mean age of 62 ( +/- 11) years, 38% were men, and mean diabetes duration was 6 ( +/- 7) years. Pharmacists provided 3.0 ( +/- 1.9) hours of additional service to each intervention patient, which cost $226 ( +/- $1143) per patient. The overall one-year per-patient costs for healthcare utilization were $190 lower in the intervention group compared with usual care [95% confidence interval (CI): -$1040, $668). Intervention patients had a significant 0.3% greater reduction in the annualized risk of a cardiovascular event (95% CI: 0.08%, 0.6%) compared with usual care. In the cost-effectiveness analysis, the intervention dominated usual care in 66% of 10,000 bootstrap replications. At a societal willingness-to-pay of $4000 per 1% reduction in annual cardiovascular risk, the probability that the intervention was cost-effective compared with usual care reached 95%. A sensitivity analysis using multiple imputation to replace missing data produced similar results., CONCLUSIONS: Within a randomized trial, adding pharmacists to primary care teams was a cost-effective strategy for reducing cardiovascular risk in patients with Type 2 diabetes. In most circumstances, this intervention may also be cost saving. Copyright © 2015 The Authors. Diabetic Medicine © 2015 Diabetes UK.","author":[{"dropping-particle":"","family":"Simpson","given":"Scot H.","non-dropping-particle":"","parse-names":false,"suffix":""},{"dropping-particle":"","family":"Lier","given":"D. A.","non-dropping-particle":"","parse-names":false,"suffix":""},{"dropping-particle":"","family":"Majumdar","given":"S. R.","non-dropping-particle":"","parse-names":false,"suffix":""},{"dropping-particle":"","family":"Tsuyuki","given":"R. T.","non-dropping-particle":"","parse-names":false,"suffix":""},{"dropping-particle":"","family":"Lewanczuk","given":"R. Z.","non-dropping-particle":"","parse-names":false,"suffix":""},{"dropping-particle":"","family":"Spooner","given":"R.","non-dropping-particle":"","parse-names":false,"suffix":""},{"dropping-particle":"","family":"Johnson","given":"J. A.","non-dropping-particle":"","parse-names":false,"suffix":""}],"container-title":"Diabetic medicine : a journal of the British Diabetic Association","id":"ITEM-1","issue":"7","issued":{"date-parts":[["2015"]]},"page":"899-906","publisher-place":"England","title":"Cost-effectiveness analysis of adding pharmacists to primary care teams to reduce cardiovascular risk in patients with Type 2 diabetes: results from a randomized controlled trial.","type":"article-journal","volume":"32"},"uris":["http://www.mendeley.com/documents/?uuid=674fa02d-a4bc-45c7-b3b4-9afaf25a4ca3"]}],"mendeley":{"formattedCitation":"(Simpson &lt;i&gt;et al.&lt;/i&gt;, 2015)","manualFormatting":"Simpson et al. (2015)","plainTextFormattedCitation":"(Simpson et al., 2015)","previouslyFormattedCitation":"(Simpson &lt;i&gt;et al.&lt;/i&gt;, 2015)"},"properties":{"noteIndex":0},"schema":"https://github.com/citation-style-language/schema/raw/master/csl-citation.json"}</w:instrText>
      </w:r>
      <w:r>
        <w:rPr>
          <w:rFonts w:ascii="Arial" w:eastAsia="Times New Roman" w:hAnsi="Arial" w:cs="Arial"/>
          <w:sz w:val="24"/>
          <w:szCs w:val="24"/>
          <w:lang w:val="en-GB"/>
        </w:rPr>
        <w:fldChar w:fldCharType="separate"/>
      </w:r>
      <w:r w:rsidRPr="00004192">
        <w:rPr>
          <w:rFonts w:ascii="Arial" w:eastAsia="Times New Roman" w:hAnsi="Arial" w:cs="Arial"/>
          <w:noProof/>
          <w:sz w:val="24"/>
          <w:szCs w:val="24"/>
          <w:lang w:val="en-GB"/>
        </w:rPr>
        <w:t xml:space="preserve">Simpson </w:t>
      </w:r>
      <w:r w:rsidRPr="00004192">
        <w:rPr>
          <w:rFonts w:ascii="Arial" w:eastAsia="Times New Roman" w:hAnsi="Arial" w:cs="Arial"/>
          <w:i/>
          <w:noProof/>
          <w:sz w:val="24"/>
          <w:szCs w:val="24"/>
          <w:lang w:val="en-GB"/>
        </w:rPr>
        <w:t>et al.</w:t>
      </w:r>
      <w:r w:rsidRPr="00004192">
        <w:rPr>
          <w:rFonts w:ascii="Arial" w:eastAsia="Times New Roman" w:hAnsi="Arial" w:cs="Arial"/>
          <w:noProof/>
          <w:sz w:val="24"/>
          <w:szCs w:val="24"/>
          <w:lang w:val="en-GB"/>
        </w:rPr>
        <w:t xml:space="preserve"> </w:t>
      </w:r>
      <w:r>
        <w:rPr>
          <w:rFonts w:ascii="Arial" w:eastAsia="Times New Roman" w:hAnsi="Arial" w:cs="Arial"/>
          <w:noProof/>
          <w:sz w:val="24"/>
          <w:szCs w:val="24"/>
          <w:lang w:val="en-GB"/>
        </w:rPr>
        <w:t>(</w:t>
      </w:r>
      <w:r w:rsidRPr="00004192">
        <w:rPr>
          <w:rFonts w:ascii="Arial" w:eastAsia="Times New Roman" w:hAnsi="Arial" w:cs="Arial"/>
          <w:noProof/>
          <w:sz w:val="24"/>
          <w:szCs w:val="24"/>
          <w:lang w:val="en-GB"/>
        </w:rPr>
        <w:t>2015)</w:t>
      </w:r>
      <w:r>
        <w:rPr>
          <w:rFonts w:ascii="Arial" w:eastAsia="Times New Roman" w:hAnsi="Arial" w:cs="Arial"/>
          <w:sz w:val="24"/>
          <w:szCs w:val="24"/>
          <w:lang w:val="en-GB"/>
        </w:rPr>
        <w:fldChar w:fldCharType="end"/>
      </w:r>
      <w:r w:rsidRPr="006B2FC7">
        <w:rPr>
          <w:rFonts w:ascii="Arial" w:eastAsia="Times New Roman" w:hAnsi="Arial" w:cs="Arial"/>
          <w:sz w:val="24"/>
          <w:szCs w:val="24"/>
          <w:lang w:val="en-GB"/>
        </w:rPr>
        <w:t xml:space="preserve"> found an overall cost saving of $190 annually per patient for healthcare utilisation for the pharmacist intervention group. However, the cost difference between the intervention and control arms was small and not statistically significant (95% CI –$1040</w:t>
      </w:r>
      <w:r w:rsidRPr="006B2FC7">
        <w:rPr>
          <w:rFonts w:ascii="Arial" w:eastAsia="Times New Roman" w:hAnsi="Arial" w:cs="Arial"/>
          <w:sz w:val="24"/>
          <w:szCs w:val="24"/>
          <w:lang w:val="en-GB"/>
        </w:rPr>
        <w:softHyphen/>
        <w:t xml:space="preserve">-$668) </w:t>
      </w:r>
      <w:r w:rsidRPr="006B2FC7">
        <w:rPr>
          <w:rFonts w:ascii="Arial" w:eastAsia="Times New Roman" w:hAnsi="Arial" w:cs="Arial"/>
          <w:sz w:val="24"/>
          <w:szCs w:val="24"/>
          <w:lang w:val="en-GB"/>
        </w:rPr>
        <w:fldChar w:fldCharType="begin" w:fldLock="1"/>
      </w:r>
      <w:r w:rsidRPr="006B2FC7">
        <w:rPr>
          <w:rFonts w:ascii="Arial" w:eastAsia="Times New Roman" w:hAnsi="Arial" w:cs="Arial"/>
          <w:sz w:val="24"/>
          <w:szCs w:val="24"/>
          <w:lang w:val="en-GB"/>
        </w:rPr>
        <w:instrText>ADDIN CSL_CITATION {"citationItems":[{"id":"ITEM-1","itemData":{"DOI":"https://dx.doi.org/10.1111/dme.12692","ISSN":"1464-5491","abstract":"BACKGROUND: Adding pharmacists to primary care teams significantly improved blood pressure control and reduced predicted 10-year cardiovascular risk in patients with Type 2 diabetes. This pre-specified sub-study evaluated the economic implications of this cardiovascular risk reduction strategy., METHODS: One-year outcomes and healthcare utilization data from the trial were used to determine cost-effectiveness from the public payer perspective. Costs were expressed in 2014 Canadian dollars and effectiveness was based on annualized risk of cardiovascular events derived from the UKPDS Risk Engine., RESULTS: The 123 evaluable trial patients included in this analysis had a mean age of 62 ( +/- 11) years, 38% were men, and mean diabetes duration was 6 ( +/- 7) years. Pharmacists provided 3.0 ( +/- 1.9) hours of additional service to each intervention patient, which cost $226 ( +/- $1143) per patient. The overall one-year per-patient costs for healthcare utilization were $190 lower in the intervention group compared with usual care [95% confidence interval (CI): -$1040, $668). Intervention patients had a significant 0.3% greater reduction in the annualized risk of a cardiovascular event (95% CI: 0.08%, 0.6%) compared with usual care. In the cost-effectiveness analysis, the intervention dominated usual care in 66% of 10,000 bootstrap replications. At a societal willingness-to-pay of $4000 per 1% reduction in annual cardiovascular risk, the probability that the intervention was cost-effective compared with usual care reached 95%. A sensitivity analysis using multiple imputation to replace missing data produced similar results., CONCLUSIONS: Within a randomized trial, adding pharmacists to primary care teams was a cost-effective strategy for reducing cardiovascular risk in patients with Type 2 diabetes. In most circumstances, this intervention may also be cost saving. Copyright © 2015 The Authors. Diabetic Medicine © 2015 Diabetes UK.","author":[{"dropping-particle":"","family":"Simpson","given":"Scot H.","non-dropping-particle":"","parse-names":false,"suffix":""},{"dropping-particle":"","family":"Lier","given":"D. A.","non-dropping-particle":"","parse-names":false,"suffix":""},{"dropping-particle":"","family":"Majumdar","given":"S. R.","non-dropping-particle":"","parse-names":false,"suffix":""},{"dropping-particle":"","family":"Tsuyuki","given":"R. T.","non-dropping-particle":"","parse-names":false,"suffix":""},{"dropping-particle":"","family":"Lewanczuk","given":"R. Z.","non-dropping-particle":"","parse-names":false,"suffix":""},{"dropping-particle":"","family":"Spooner","given":"R.","non-dropping-particle":"","parse-names":false,"suffix":""},{"dropping-particle":"","family":"Johnson","given":"J. A.","non-dropping-particle":"","parse-names":false,"suffix":""}],"container-title":"Diabetic medicine : a journal of the British Diabetic Association","id":"ITEM-1","issue":"7","issued":{"date-parts":[["2015"]]},"page":"899-906","publisher-place":"England","title":"Cost-effectiveness analysis of adding pharmacists to primary care teams to reduce cardiovascular risk in patients with Type 2 diabetes: results from a randomized controlled trial.","type":"article-journal","volume":"32"},"uris":["http://www.mendeley.com/documents/?uuid=674fa02d-a4bc-45c7-b3b4-9afaf25a4ca3"]}],"mendeley":{"formattedCitation":"(Simpson &lt;i&gt;et al.&lt;/i&gt;, 2015)","plainTextFormattedCitation":"(Simpson et al., 2015)","previouslyFormattedCitation":"(Simpson &lt;i&gt;et al.&lt;/i&gt;, 2015)"},"properties":{"noteIndex":0},"schema":"https://github.com/citation-style-language/schema/raw/master/csl-citation.json"}</w:instrText>
      </w:r>
      <w:r w:rsidRPr="006B2FC7">
        <w:rPr>
          <w:rFonts w:ascii="Arial" w:eastAsia="Times New Roman" w:hAnsi="Arial" w:cs="Arial"/>
          <w:sz w:val="24"/>
          <w:szCs w:val="24"/>
          <w:lang w:val="en-GB"/>
        </w:rPr>
        <w:fldChar w:fldCharType="separate"/>
      </w:r>
      <w:r w:rsidRPr="006B2FC7">
        <w:rPr>
          <w:rFonts w:ascii="Arial" w:eastAsia="Times New Roman" w:hAnsi="Arial" w:cs="Arial"/>
          <w:noProof/>
          <w:sz w:val="24"/>
          <w:szCs w:val="24"/>
          <w:lang w:val="en-GB"/>
        </w:rPr>
        <w:t xml:space="preserve">(Simpson </w:t>
      </w:r>
      <w:r w:rsidRPr="006B2FC7">
        <w:rPr>
          <w:rFonts w:ascii="Arial" w:eastAsia="Times New Roman" w:hAnsi="Arial" w:cs="Arial"/>
          <w:i/>
          <w:noProof/>
          <w:sz w:val="24"/>
          <w:szCs w:val="24"/>
          <w:lang w:val="en-GB"/>
        </w:rPr>
        <w:t>et al.</w:t>
      </w:r>
      <w:r w:rsidRPr="006B2FC7">
        <w:rPr>
          <w:rFonts w:ascii="Arial" w:eastAsia="Times New Roman" w:hAnsi="Arial" w:cs="Arial"/>
          <w:noProof/>
          <w:sz w:val="24"/>
          <w:szCs w:val="24"/>
          <w:lang w:val="en-GB"/>
        </w:rPr>
        <w:t>, 2015)</w:t>
      </w:r>
      <w:r w:rsidRPr="006B2FC7">
        <w:rPr>
          <w:rFonts w:ascii="Arial" w:eastAsia="Times New Roman" w:hAnsi="Arial" w:cs="Arial"/>
          <w:sz w:val="24"/>
          <w:szCs w:val="24"/>
          <w:lang w:val="en-GB"/>
        </w:rPr>
        <w:fldChar w:fldCharType="end"/>
      </w:r>
      <w:r w:rsidRPr="006B2FC7">
        <w:rPr>
          <w:rFonts w:ascii="Arial" w:eastAsia="Times New Roman" w:hAnsi="Arial" w:cs="Arial"/>
          <w:sz w:val="24"/>
          <w:szCs w:val="24"/>
          <w:lang w:val="en-GB"/>
        </w:rPr>
        <w:t xml:space="preserve">. Simpson et al. argue that adding pharmacists to the Canadian primary care team can be a cost-effective strategy by reducing </w:t>
      </w:r>
      <w:r>
        <w:rPr>
          <w:rFonts w:ascii="Arial" w:eastAsia="Times New Roman" w:hAnsi="Arial" w:cs="Arial"/>
          <w:sz w:val="24"/>
          <w:szCs w:val="24"/>
          <w:lang w:val="en-GB"/>
        </w:rPr>
        <w:t>CV</w:t>
      </w:r>
      <w:r w:rsidRPr="006B2FC7">
        <w:rPr>
          <w:rFonts w:ascii="Arial" w:eastAsia="Times New Roman" w:hAnsi="Arial" w:cs="Arial"/>
          <w:sz w:val="24"/>
          <w:szCs w:val="24"/>
          <w:lang w:val="en-GB"/>
        </w:rPr>
        <w:t xml:space="preserve"> risk in a patient with type 2 DM and may also be cost-saving, because the study showed a societal willingness-to-pay of $4000 per 1 per cent reduction in annual </w:t>
      </w:r>
      <w:r>
        <w:rPr>
          <w:rFonts w:ascii="Arial" w:eastAsia="Times New Roman" w:hAnsi="Arial" w:cs="Arial"/>
          <w:sz w:val="24"/>
          <w:szCs w:val="24"/>
          <w:lang w:val="en-GB"/>
        </w:rPr>
        <w:t>CV</w:t>
      </w:r>
      <w:r w:rsidRPr="006B2FC7">
        <w:rPr>
          <w:rFonts w:ascii="Arial" w:eastAsia="Times New Roman" w:hAnsi="Arial" w:cs="Arial"/>
          <w:sz w:val="24"/>
          <w:szCs w:val="24"/>
          <w:lang w:val="en-GB"/>
        </w:rPr>
        <w:t xml:space="preserve"> risk </w:t>
      </w:r>
      <w:r w:rsidRPr="006B2FC7">
        <w:rPr>
          <w:rFonts w:ascii="Arial" w:eastAsia="Times New Roman" w:hAnsi="Arial" w:cs="Arial"/>
          <w:sz w:val="24"/>
          <w:szCs w:val="24"/>
          <w:lang w:val="en-GB"/>
        </w:rPr>
        <w:fldChar w:fldCharType="begin" w:fldLock="1"/>
      </w:r>
      <w:r w:rsidRPr="006B2FC7">
        <w:rPr>
          <w:rFonts w:ascii="Arial" w:eastAsia="Times New Roman" w:hAnsi="Arial" w:cs="Arial"/>
          <w:sz w:val="24"/>
          <w:szCs w:val="24"/>
          <w:lang w:val="en-GB"/>
        </w:rPr>
        <w:instrText>ADDIN CSL_CITATION {"citationItems":[{"id":"ITEM-1","itemData":{"DOI":"https://dx.doi.org/10.1111/dme.12692","ISSN":"1464-5491","abstract":"BACKGROUND: Adding pharmacists to primary care teams significantly improved blood pressure control and reduced predicted 10-year cardiovascular risk in patients with Type 2 diabetes. This pre-specified sub-study evaluated the economic implications of this cardiovascular risk reduction strategy., METHODS: One-year outcomes and healthcare utilization data from the trial were used to determine cost-effectiveness from the public payer perspective. Costs were expressed in 2014 Canadian dollars and effectiveness was based on annualized risk of cardiovascular events derived from the UKPDS Risk Engine., RESULTS: The 123 evaluable trial patients included in this analysis had a mean age of 62 ( +/- 11) years, 38% were men, and mean diabetes duration was 6 ( +/- 7) years. Pharmacists provided 3.0 ( +/- 1.9) hours of additional service to each intervention patient, which cost $226 ( +/- $1143) per patient. The overall one-year per-patient costs for healthcare utilization were $190 lower in the intervention group compared with usual care [95% confidence interval (CI): -$1040, $668). Intervention patients had a significant 0.3% greater reduction in the annualized risk of a cardiovascular event (95% CI: 0.08%, 0.6%) compared with usual care. In the cost-effectiveness analysis, the intervention dominated usual care in 66% of 10,000 bootstrap replications. At a societal willingness-to-pay of $4000 per 1% reduction in annual cardiovascular risk, the probability that the intervention was cost-effective compared with usual care reached 95%. A sensitivity analysis using multiple imputation to replace missing data produced similar results., CONCLUSIONS: Within a randomized trial, adding pharmacists to primary care teams was a cost-effective strategy for reducing cardiovascular risk in patients with Type 2 diabetes. In most circumstances, this intervention may also be cost saving. Copyright © 2015 The Authors. Diabetic Medicine © 2015 Diabetes UK.","author":[{"dropping-particle":"","family":"Simpson","given":"Scot H.","non-dropping-particle":"","parse-names":false,"suffix":""},{"dropping-particle":"","family":"Lier","given":"D. A.","non-dropping-particle":"","parse-names":false,"suffix":""},{"dropping-particle":"","family":"Majumdar","given":"S. R.","non-dropping-particle":"","parse-names":false,"suffix":""},{"dropping-particle":"","family":"Tsuyuki","given":"R. T.","non-dropping-particle":"","parse-names":false,"suffix":""},{"dropping-particle":"","family":"Lewanczuk","given":"R. Z.","non-dropping-particle":"","parse-names":false,"suffix":""},{"dropping-particle":"","family":"Spooner","given":"R.","non-dropping-particle":"","parse-names":false,"suffix":""},{"dropping-particle":"","family":"Johnson","given":"J. A.","non-dropping-particle":"","parse-names":false,"suffix":""}],"container-title":"Diabetic medicine : a journal of the British Diabetic Association","id":"ITEM-1","issue":"7","issued":{"date-parts":[["2015"]]},"page":"899-906","publisher-place":"England","title":"Cost-effectiveness analysis of adding pharmacists to primary care teams to reduce cardiovascular risk in patients with Type 2 diabetes: results from a randomized controlled trial.","type":"article-journal","volume":"32"},"uris":["http://www.mendeley.com/documents/?uuid=674fa02d-a4bc-45c7-b3b4-9afaf25a4ca3"]}],"mendeley":{"formattedCitation":"(Simpson &lt;i&gt;et al.&lt;/i&gt;, 2015)","plainTextFormattedCitation":"(Simpson et al., 2015)","previouslyFormattedCitation":"(Simpson &lt;i&gt;et al.&lt;/i&gt;, 2015)"},"properties":{"noteIndex":0},"schema":"https://github.com/citation-style-language/schema/raw/master/csl-citation.json"}</w:instrText>
      </w:r>
      <w:r w:rsidRPr="006B2FC7">
        <w:rPr>
          <w:rFonts w:ascii="Arial" w:eastAsia="Times New Roman" w:hAnsi="Arial" w:cs="Arial"/>
          <w:sz w:val="24"/>
          <w:szCs w:val="24"/>
          <w:lang w:val="en-GB"/>
        </w:rPr>
        <w:fldChar w:fldCharType="separate"/>
      </w:r>
      <w:r w:rsidRPr="006B2FC7">
        <w:rPr>
          <w:rFonts w:ascii="Arial" w:eastAsia="Times New Roman" w:hAnsi="Arial" w:cs="Arial"/>
          <w:noProof/>
          <w:sz w:val="24"/>
          <w:szCs w:val="24"/>
          <w:lang w:val="en-GB"/>
        </w:rPr>
        <w:t xml:space="preserve">(Simpson </w:t>
      </w:r>
      <w:r w:rsidRPr="006B2FC7">
        <w:rPr>
          <w:rFonts w:ascii="Arial" w:eastAsia="Times New Roman" w:hAnsi="Arial" w:cs="Arial"/>
          <w:i/>
          <w:noProof/>
          <w:sz w:val="24"/>
          <w:szCs w:val="24"/>
          <w:lang w:val="en-GB"/>
        </w:rPr>
        <w:t>et al.</w:t>
      </w:r>
      <w:r w:rsidRPr="006B2FC7">
        <w:rPr>
          <w:rFonts w:ascii="Arial" w:eastAsia="Times New Roman" w:hAnsi="Arial" w:cs="Arial"/>
          <w:noProof/>
          <w:sz w:val="24"/>
          <w:szCs w:val="24"/>
          <w:lang w:val="en-GB"/>
        </w:rPr>
        <w:t>, 2015)</w:t>
      </w:r>
      <w:r w:rsidRPr="006B2FC7">
        <w:rPr>
          <w:rFonts w:ascii="Arial" w:eastAsia="Times New Roman" w:hAnsi="Arial" w:cs="Arial"/>
          <w:sz w:val="24"/>
          <w:szCs w:val="24"/>
          <w:lang w:val="en-GB"/>
        </w:rPr>
        <w:fldChar w:fldCharType="end"/>
      </w:r>
      <w:r w:rsidRPr="006B2FC7">
        <w:rPr>
          <w:rFonts w:ascii="Arial" w:eastAsia="Times New Roman" w:hAnsi="Arial" w:cs="Arial"/>
          <w:sz w:val="24"/>
          <w:szCs w:val="24"/>
          <w:lang w:val="en-GB"/>
        </w:rPr>
        <w:t xml:space="preserve">. </w:t>
      </w:r>
    </w:p>
    <w:p w14:paraId="1F7E2739" w14:textId="77777777" w:rsidR="00941883" w:rsidRPr="004B478B" w:rsidRDefault="00941883" w:rsidP="00941883">
      <w:pPr>
        <w:autoSpaceDE w:val="0"/>
        <w:autoSpaceDN w:val="0"/>
        <w:adjustRightInd w:val="0"/>
        <w:spacing w:line="360" w:lineRule="auto"/>
        <w:jc w:val="both"/>
        <w:rPr>
          <w:rFonts w:ascii="Arial" w:eastAsia="Times New Roman" w:hAnsi="Arial" w:cs="Arial"/>
          <w:sz w:val="24"/>
          <w:szCs w:val="24"/>
          <w:lang w:val="nl-NL"/>
        </w:rPr>
      </w:pPr>
      <w:r w:rsidRPr="006B2FC7">
        <w:rPr>
          <w:rFonts w:ascii="Arial" w:eastAsia="Times New Roman" w:hAnsi="Arial" w:cs="Arial"/>
          <w:sz w:val="24"/>
          <w:szCs w:val="24"/>
          <w:lang w:val="en-GB"/>
        </w:rPr>
        <w:t xml:space="preserve">In the same line, the economic outcomes of pharmacist-managed services in patients with diabetes was determined in a systematic review by </w:t>
      </w:r>
      <w:r w:rsidRPr="006B2FC7">
        <w:rPr>
          <w:rFonts w:ascii="Arial" w:eastAsia="Times New Roman" w:hAnsi="Arial" w:cs="Arial"/>
          <w:sz w:val="24"/>
          <w:szCs w:val="24"/>
          <w:lang w:val="en-GB"/>
        </w:rPr>
        <w:fldChar w:fldCharType="begin" w:fldLock="1"/>
      </w:r>
      <w:r w:rsidRPr="006B2FC7">
        <w:rPr>
          <w:rFonts w:ascii="Arial" w:eastAsia="Times New Roman" w:hAnsi="Arial" w:cs="Arial"/>
          <w:sz w:val="24"/>
          <w:szCs w:val="24"/>
          <w:lang w:val="en-GB"/>
        </w:rPr>
        <w:instrText>ADDIN CSL_CITATION {"citationItems":[{"id":"ITEM-1","itemData":{"DOI":"https://dx.doi.org/10.1111/dme.12976","ISSN":"1464-5491","abstract":"AIM: To review and evaluate the most recent literature on the economic outcomes of pharmacist-managed services in people with diabetes., BACKGROUND: The global prevalence of diabetes is increasing. Although pharmacist-managed services have been shown to improve people's health outcomes, the economic impact of these programmes remains unclear., METHODS: A systematic review was conducted of six databases. Study inclusion criteria were: (1) original research; (2) evaluation of pharmacist-managed services in people with diabetes; (3) an economic evaluation; (4) English-language publication; and (5) full-text, published between January 2006 and December 2014. The quality of the full economic evaluations reviewed was evaluated using the Consolidated Health Economic Evaluation Reporting Standards checklist., RESULTS: A total of 2204 articles were screened and 25 studies were selected. These studies were conducted in a community pharmacy (n = 10), a clinic- /hospital-based outpatient facility (n = 8), or others. Pharmacist-managed services included targeted education (n = 24), general pharmacotherapeutic monitoring (n = 21), health screening or laboratory testing services (n = 9), immunization services (n = 2) and pharmacokinetic monitoring (n = 1). Compared with usual care, pharmacist-managed services resulted in cost savings that varied from $7 to $65,000 ($8 to $85,000 in 2014 US dollars) per person per year, and generated higher quality-adjusted life years with lower costs. Benefit-to-cost ratios ranged from 1:1 to 8.5:1. Among the 25 studies reviewed, 11 were full economic evaluations of moderate quality., CONCLUSIONS: Pharmacist-managed services had a positive return in terms of economic viability. With the expanding role of pharmacists in the healthcare sector, alongside increasing health expenditure, future economic studies of high quality are needed to investigate the cost-effectiveness of these services. Copyright © 2015 Diabetes UK.","author":[{"dropping-particle":"","family":"Wang","given":"Y.","non-dropping-particle":"","parse-names":false,"suffix":""},{"dropping-particle":"","family":"Yeo","given":"Q. Q.","non-dropping-particle":"","parse-names":false,"suffix":""},{"dropping-particle":"","family":"Ko","given":"Y.","non-dropping-particle":"","parse-names":false,"suffix":""}],"container-title":"Diabetic medicine : a journal of the British Diabetic Association","id":"ITEM-1","issue":"4","issued":{"date-parts":[["2016"]]},"page":"421-427","publisher-place":"England","title":"Economic evaluations of pharmacist-managed services in people with diabetes mellitus: a systematic review.","type":"article-journal","volume":"33"},"uris":["http://www.mendeley.com/documents/?uuid=fa1872d0-5bc5-4b6a-ba50-414a2b81957d"]}],"mendeley":{"formattedCitation":"(Wang, Yeo and Ko, 2016)","manualFormatting":"Wang et al., (2016)","plainTextFormattedCitation":"(Wang, Yeo and Ko, 2016)","previouslyFormattedCitation":"(Wang, Yeo and Ko, 2016)"},"properties":{"noteIndex":0},"schema":"https://github.com/citation-style-language/schema/raw/master/csl-citation.json"}</w:instrText>
      </w:r>
      <w:r w:rsidRPr="006B2FC7">
        <w:rPr>
          <w:rFonts w:ascii="Arial" w:eastAsia="Times New Roman" w:hAnsi="Arial" w:cs="Arial"/>
          <w:sz w:val="24"/>
          <w:szCs w:val="24"/>
          <w:lang w:val="en-GB"/>
        </w:rPr>
        <w:fldChar w:fldCharType="separate"/>
      </w:r>
      <w:r w:rsidRPr="006B2FC7">
        <w:rPr>
          <w:rFonts w:ascii="Arial" w:eastAsia="Times New Roman" w:hAnsi="Arial" w:cs="Arial"/>
          <w:noProof/>
          <w:sz w:val="24"/>
          <w:szCs w:val="24"/>
          <w:lang w:val="en-GB"/>
        </w:rPr>
        <w:t>Wang et al., (2016)</w:t>
      </w:r>
      <w:r w:rsidRPr="006B2FC7">
        <w:rPr>
          <w:rFonts w:ascii="Arial" w:eastAsia="Times New Roman" w:hAnsi="Arial" w:cs="Arial"/>
          <w:sz w:val="24"/>
          <w:szCs w:val="24"/>
          <w:lang w:val="en-GB"/>
        </w:rPr>
        <w:fldChar w:fldCharType="end"/>
      </w:r>
      <w:r w:rsidRPr="006B2FC7">
        <w:rPr>
          <w:rFonts w:ascii="Arial" w:eastAsia="Times New Roman" w:hAnsi="Arial" w:cs="Arial"/>
          <w:sz w:val="24"/>
          <w:szCs w:val="24"/>
          <w:lang w:val="en-GB"/>
        </w:rPr>
        <w:t xml:space="preserve">, which showed that pharmacist-managed services resulted in cost savings compared with usual care. However, more than a third of the included studies (10 out of 25) were conducted in community pharmacies which are not considered high-cost settings compared with other healthcare settings such as hospitals, outpatient clinics, or GPs settings. Similarly, RCT conducted in the US by </w:t>
      </w:r>
      <w:r w:rsidRPr="006B2FC7">
        <w:rPr>
          <w:rFonts w:ascii="Arial" w:eastAsia="Times New Roman" w:hAnsi="Arial" w:cs="Arial"/>
          <w:sz w:val="24"/>
          <w:szCs w:val="24"/>
          <w:lang w:val="en-GB"/>
        </w:rPr>
        <w:fldChar w:fldCharType="begin" w:fldLock="1"/>
      </w:r>
      <w:r w:rsidRPr="006B2FC7">
        <w:rPr>
          <w:rFonts w:ascii="Arial" w:eastAsia="Times New Roman" w:hAnsi="Arial" w:cs="Arial"/>
          <w:sz w:val="24"/>
          <w:szCs w:val="24"/>
          <w:lang w:val="en-GB"/>
        </w:rPr>
        <w:instrText>ADDIN CSL_CITATION {"citationItems":[{"id":"ITEM-1","itemData":{"DOI":"https://dx.doi.org/10.1371/journal.pone.0195898","ISSN":"1932-6203","abstract":"OBJECTIVES: The effectiveness and costs associated with addition of pharmacist-led group medical visits to standard care for patients with Type-2 Diabetes Mellitus (T2DM) is unknown., METHODS: Randomized-controlled-trial in three US Veteran Health Administration (VHA) Hospitals, where 250 patients with T2DM, HbA1c &gt;7% and either hypertension, active smoking or hyperlipidemia were randomized to either (1) addition of pharmacist-led group-medical-visits or (2) standard care alone for 13 months. Group (4-6 patients) visits consisted of 2-hour, education and comprehensive medication management sessions once weekly for 4 weeks, followed by quarterly visits. Change from baseline in cardiovascular risk estimated by the UKPDS-risk-score, health-related quality-of-life (SF36v) and institutional healthcare costs were compared between study arms., RESULTS: After 13 months, both groups had similar and significant improvements from baseline in UKPDS-risk-score (-0.02 +/-0.09 and -0.04 +/-0.09, group visit and standard care respectively, adjusted p&lt;0.05 for both); however, there was no significant difference between the study arms (adjusted p = 0.45). There were no significant differences on improvement from baseline in A1c, systolic-blood-pressure, and LDL as well as health-related quality-of-life measures between the study arms. Compared to 13 months prior, the increase in per-person outpatient expenditure from baseline was significantly lower in the group visit versus the standard care arm, both during the study intervention period and at 13-months after study interventions. The overall VHA healthcare costs/person were comparable between the study arms during the study period (p = 0.15); then decreased by 6% for the group visit but increased by 13% for the standard care arm 13 months post-study (p&lt;0.01)., CONCLUSIONS: Addition of pharmacist-led group medical visits in T2DM achieved similar improvements from baseline in cardiovascular risk factors than usual care, but with reduction in the healthcare costs in the group visit arm 13 months after completion compared to the steady rise in cost for the usual care arm., TRIAL REGISTRATION: NCT00554671 ClinicalTrials.gov.","author":[{"dropping-particle":"","family":"Wu","given":"Wen-Chih","non-dropping-particle":"","parse-names":false,"suffix":""},{"dropping-particle":"","family":"Taveira","given":"Tracey H.","non-dropping-particle":"","parse-names":false,"suffix":""},{"dropping-particle":"","family":"Jeffery","given":"Sean","non-dropping-particle":"","parse-names":false,"suffix":""},{"dropping-particle":"","family":"Jiang","given":"Lan","non-dropping-particle":"","parse-names":false,"suffix":""},{"dropping-particle":"","family":"Tokuda","given":"Lisa","non-dropping-particle":"","parse-names":false,"suffix":""},{"dropping-particle":"","family":"Musial","given":"Joanna","non-dropping-particle":"","parse-names":false,"suffix":""},{"dropping-particle":"","family":"Cohen","given":"Lisa B.","non-dropping-particle":"","parse-names":false,"suffix":""},{"dropping-particle":"","family":"Uhrle","given":"Fred","non-dropping-particle":"","parse-names":false,"suffix":""}],"container-title":"PloS one","editor":[{"dropping-particle":"","family":"Wouwe","given":"Jacobus P.","non-dropping-particle":"van","parse-names":false,"suffix":""}],"id":"ITEM-1","issue":"4","issued":{"date-parts":[["2018","4","19"]]},"page":"e0195898","publisher-place":"United States","title":"Costs and effectiveness of pharmacist-led group medical visits for type-2 diabetes: A multi-center randomized controlled trial.","type":"article-journal","volume":"13"},"uris":["http://www.mendeley.com/documents/?uuid=c252e6de-305e-4908-8843-48a75de5ea72"]}],"mendeley":{"formattedCitation":"(Wu &lt;i&gt;et al.&lt;/i&gt;, 2018)","manualFormatting":"Wu et al., (2018)","plainTextFormattedCitation":"(Wu et al., 2018)","previouslyFormattedCitation":"(Wu &lt;i&gt;et al.&lt;/i&gt;, 2018)"},"properties":{"noteIndex":0},"schema":"https://github.com/citation-style-language/schema/raw/master/csl-citation.json"}</w:instrText>
      </w:r>
      <w:r w:rsidRPr="006B2FC7">
        <w:rPr>
          <w:rFonts w:ascii="Arial" w:eastAsia="Times New Roman" w:hAnsi="Arial" w:cs="Arial"/>
          <w:sz w:val="24"/>
          <w:szCs w:val="24"/>
          <w:lang w:val="en-GB"/>
        </w:rPr>
        <w:fldChar w:fldCharType="separate"/>
      </w:r>
      <w:r w:rsidRPr="006B2FC7">
        <w:rPr>
          <w:rFonts w:ascii="Arial" w:eastAsia="Times New Roman" w:hAnsi="Arial" w:cs="Arial"/>
          <w:noProof/>
          <w:sz w:val="24"/>
          <w:szCs w:val="24"/>
          <w:lang w:val="en-GB"/>
        </w:rPr>
        <w:t xml:space="preserve">Wu </w:t>
      </w:r>
      <w:r w:rsidRPr="006B2FC7">
        <w:rPr>
          <w:rFonts w:ascii="Arial" w:eastAsia="Times New Roman" w:hAnsi="Arial" w:cs="Arial"/>
          <w:i/>
          <w:noProof/>
          <w:sz w:val="24"/>
          <w:szCs w:val="24"/>
          <w:lang w:val="en-GB"/>
        </w:rPr>
        <w:t>et al.</w:t>
      </w:r>
      <w:r w:rsidRPr="006B2FC7">
        <w:rPr>
          <w:rFonts w:ascii="Arial" w:eastAsia="Times New Roman" w:hAnsi="Arial" w:cs="Arial"/>
          <w:noProof/>
          <w:sz w:val="24"/>
          <w:szCs w:val="24"/>
          <w:lang w:val="en-GB"/>
        </w:rPr>
        <w:t>, (2018)</w:t>
      </w:r>
      <w:r w:rsidRPr="006B2FC7">
        <w:rPr>
          <w:rFonts w:ascii="Arial" w:eastAsia="Times New Roman" w:hAnsi="Arial" w:cs="Arial"/>
          <w:sz w:val="24"/>
          <w:szCs w:val="24"/>
          <w:lang w:val="en-GB"/>
        </w:rPr>
        <w:fldChar w:fldCharType="end"/>
      </w:r>
      <w:r w:rsidRPr="006B2FC7">
        <w:rPr>
          <w:rFonts w:ascii="Arial" w:eastAsia="Times New Roman" w:hAnsi="Arial" w:cs="Arial"/>
          <w:sz w:val="24"/>
          <w:szCs w:val="24"/>
          <w:lang w:val="en-GB"/>
        </w:rPr>
        <w:t xml:space="preserve"> found that pharmacist-led group medical visits (the intervention group) had lower outpatient expenditure compared to standard care (the control group). They also revealed that, 13 months after completion of the study period, there was an overall reduction in healthcare costs, which dropped to a level that was lower than the baseline (decreased by 6%), compared to the steady rise (of 13%) in the healthcare costs of the standard care group 13 months after the study. The </w:t>
      </w:r>
      <w:r>
        <w:rPr>
          <w:rFonts w:ascii="Arial" w:eastAsia="Times New Roman" w:hAnsi="Arial" w:cs="Arial"/>
          <w:sz w:val="24"/>
          <w:szCs w:val="24"/>
          <w:lang w:val="en-GB"/>
        </w:rPr>
        <w:t>intervention group</w:t>
      </w:r>
      <w:r w:rsidRPr="006B2FC7">
        <w:rPr>
          <w:rFonts w:ascii="Arial" w:eastAsia="Times New Roman" w:hAnsi="Arial" w:cs="Arial"/>
          <w:sz w:val="24"/>
          <w:szCs w:val="24"/>
          <w:lang w:val="en-GB"/>
        </w:rPr>
        <w:t xml:space="preserve"> consists of a clinical pharmacist</w:t>
      </w:r>
      <w:r>
        <w:rPr>
          <w:rFonts w:ascii="Arial" w:eastAsia="Times New Roman" w:hAnsi="Arial" w:cs="Arial"/>
          <w:sz w:val="24"/>
          <w:szCs w:val="24"/>
          <w:lang w:val="en-GB"/>
        </w:rPr>
        <w:t xml:space="preserve"> (group leader)</w:t>
      </w:r>
      <w:r w:rsidRPr="006B2FC7">
        <w:rPr>
          <w:rFonts w:ascii="Arial" w:eastAsia="Times New Roman" w:hAnsi="Arial" w:cs="Arial"/>
          <w:sz w:val="24"/>
          <w:szCs w:val="24"/>
          <w:lang w:val="en-GB"/>
        </w:rPr>
        <w:t>, nutritionist, nurse or physical therapist</w:t>
      </w:r>
      <w:r>
        <w:rPr>
          <w:rFonts w:ascii="Arial" w:eastAsia="Times New Roman" w:hAnsi="Arial" w:cs="Arial"/>
          <w:sz w:val="24"/>
          <w:szCs w:val="24"/>
          <w:lang w:val="en-GB"/>
        </w:rPr>
        <w:t xml:space="preserve">. </w:t>
      </w:r>
      <w:r w:rsidRPr="00004192">
        <w:rPr>
          <w:rFonts w:ascii="Arial" w:eastAsia="Times New Roman" w:hAnsi="Arial" w:cs="Arial"/>
          <w:sz w:val="24"/>
          <w:szCs w:val="24"/>
          <w:lang w:val="en-GB"/>
        </w:rPr>
        <w:t xml:space="preserve">Several factors led to reducing the healthcare cost in the pharmacist-led group, which include improving the efficiency of patient care delivery via providing education on diabetes self-care and supporting lifestyle modification; optimising patients’ medications; improving prescribing patterns and patient adherence. The optimal disease management could be challenging to achieve when care is only received from one individual, as is usually the case when care is provided </w:t>
      </w:r>
      <w:r w:rsidRPr="006B2FC7">
        <w:rPr>
          <w:rFonts w:ascii="Arial" w:eastAsia="Times New Roman" w:hAnsi="Arial" w:cs="Arial"/>
          <w:sz w:val="24"/>
          <w:szCs w:val="24"/>
          <w:lang w:val="en-GB"/>
        </w:rPr>
        <w:fldChar w:fldCharType="begin" w:fldLock="1"/>
      </w:r>
      <w:r w:rsidRPr="006B2FC7">
        <w:rPr>
          <w:rFonts w:ascii="Arial" w:eastAsia="Times New Roman" w:hAnsi="Arial" w:cs="Arial"/>
          <w:sz w:val="24"/>
          <w:szCs w:val="24"/>
          <w:lang w:val="en-GB"/>
        </w:rPr>
        <w:instrText>ADDIN CSL_CITATION {"citationItems":[{"id":"ITEM-1","itemData":{"DOI":"https://dx.doi.org/10.1371/journal.pone.0195898","ISSN":"1932-6203","abstract":"OBJECTIVES: The effectiveness and costs associated with addition of pharmacist-led group medical visits to standard care for patients with Type-2 Diabetes Mellitus (T2DM) is unknown., METHODS: Randomized-controlled-trial in three US Veteran Health Administration (VHA) Hospitals, where 250 patients with T2DM, HbA1c &gt;7% and either hypertension, active smoking or hyperlipidemia were randomized to either (1) addition of pharmacist-led group-medical-visits or (2) standard care alone for 13 months. Group (4-6 patients) visits consisted of 2-hour, education and comprehensive medication management sessions once weekly for 4 weeks, followed by quarterly visits. Change from baseline in cardiovascular risk estimated by the UKPDS-risk-score, health-related quality-of-life (SF36v) and institutional healthcare costs were compared between study arms., RESULTS: After 13 months, both groups had similar and significant improvements from baseline in UKPDS-risk-score (-0.02 +/-0.09 and -0.04 +/-0.09, group visit and standard care respectively, adjusted p&lt;0.05 for both); however, there was no significant difference between the study arms (adjusted p = 0.45). There were no significant differences on improvement from baseline in A1c, systolic-blood-pressure, and LDL as well as health-related quality-of-life measures between the study arms. Compared to 13 months prior, the increase in per-person outpatient expenditure from baseline was significantly lower in the group visit versus the standard care arm, both during the study intervention period and at 13-months after study interventions. The overall VHA healthcare costs/person were comparable between the study arms during the study period (p = 0.15); then decreased by 6% for the group visit but increased by 13% for the standard care arm 13 months post-study (p&lt;0.01)., CONCLUSIONS: Addition of pharmacist-led group medical visits in T2DM achieved similar improvements from baseline in cardiovascular risk factors than usual care, but with reduction in the healthcare costs in the group visit arm 13 months after completion compared to the steady rise in cost for the usual care arm., TRIAL REGISTRATION: NCT00554671 ClinicalTrials.gov.","author":[{"dropping-particle":"","family":"Wu","given":"Wen-Chih","non-dropping-particle":"","parse-names":false,"suffix":""},{"dropping-particle":"","family":"Taveira","given":"Tracey H.","non-dropping-particle":"","parse-names":false,"suffix":""},{"dropping-particle":"","family":"Jeffery","gi</w:instrText>
      </w:r>
      <w:r w:rsidRPr="004B478B">
        <w:rPr>
          <w:rFonts w:ascii="Arial" w:eastAsia="Times New Roman" w:hAnsi="Arial" w:cs="Arial"/>
          <w:sz w:val="24"/>
          <w:szCs w:val="24"/>
          <w:lang w:val="nl-NL"/>
        </w:rPr>
        <w:instrText>ven":"Sean","non-dropping-particle":"","parse-names":false,"suffix":""},{"dropping-particle":"","family":"Jiang","given":"Lan","non-dropping-particle":"","parse-names":false,"suffix":""},{"dropping-particle":"","family":"Tokuda","given":"Lisa","non-dropping-particle":"","parse-names":false,"suffix":""},{"dropping-particle":"","family":"Musial","given":"Joanna","non-dropping-particle":"","parse-names":false,"suffix":""},{"dropping-particle":"","family":"Cohen","given":"Lisa B.","non-dropping-particle":"","parse-names":false,"suffix":""},{"dropping-particle":"","family":"Uhrle","given":"Fred","non-dropping-particle":"","parse-names":false,"suffix":""}],"container-title":"PloS one","editor":[{"dropping-particle":"","family":"Wouwe","given":"Jacobus P.","non-dropping-particle":"van","parse-names":false,"suffix":""}],"id":"ITEM-1","issue":"4","issued":{"date-parts":[["2018","4","19"]]},"page":"e0195898","publisher-place":"United States","title":"Costs and effectiveness of pharmacist-led group medical visits for type-2 diabetes: A multi-center randomized controlled trial.","type":"article-journal","volume":"13"},"uris":["http://www.mendeley.com/documents/?uuid=c252e6de-305e-4908-8843-48a75de5ea72"]}],"mendeley":{"formattedCitation":"(Wu &lt;i&gt;et al.&lt;/i&gt;, 2018)","plainTextFormattedCitation":"(Wu et al., 2018)","previouslyFormattedCitation":"(Wu &lt;i&gt;et al.&lt;/i&gt;, 2018)"},"properties":{"noteIndex":0},"schema":"https://github.com/citation-style-language/schema/raw/master/csl-citation.json"}</w:instrText>
      </w:r>
      <w:r w:rsidRPr="006B2FC7">
        <w:rPr>
          <w:rFonts w:ascii="Arial" w:eastAsia="Times New Roman" w:hAnsi="Arial" w:cs="Arial"/>
          <w:sz w:val="24"/>
          <w:szCs w:val="24"/>
          <w:lang w:val="en-GB"/>
        </w:rPr>
        <w:fldChar w:fldCharType="separate"/>
      </w:r>
      <w:r w:rsidRPr="004B478B">
        <w:rPr>
          <w:rFonts w:ascii="Arial" w:eastAsia="Times New Roman" w:hAnsi="Arial" w:cs="Arial"/>
          <w:noProof/>
          <w:sz w:val="24"/>
          <w:szCs w:val="24"/>
          <w:lang w:val="nl-NL"/>
        </w:rPr>
        <w:t xml:space="preserve">(Wu </w:t>
      </w:r>
      <w:r w:rsidRPr="004B478B">
        <w:rPr>
          <w:rFonts w:ascii="Arial" w:eastAsia="Times New Roman" w:hAnsi="Arial" w:cs="Arial"/>
          <w:i/>
          <w:noProof/>
          <w:sz w:val="24"/>
          <w:szCs w:val="24"/>
          <w:lang w:val="nl-NL"/>
        </w:rPr>
        <w:t>et al.</w:t>
      </w:r>
      <w:r w:rsidRPr="004B478B">
        <w:rPr>
          <w:rFonts w:ascii="Arial" w:eastAsia="Times New Roman" w:hAnsi="Arial" w:cs="Arial"/>
          <w:noProof/>
          <w:sz w:val="24"/>
          <w:szCs w:val="24"/>
          <w:lang w:val="nl-NL"/>
        </w:rPr>
        <w:t>, 2018)</w:t>
      </w:r>
      <w:r w:rsidRPr="006B2FC7">
        <w:rPr>
          <w:rFonts w:ascii="Arial" w:eastAsia="Times New Roman" w:hAnsi="Arial" w:cs="Arial"/>
          <w:sz w:val="24"/>
          <w:szCs w:val="24"/>
          <w:lang w:val="en-GB"/>
        </w:rPr>
        <w:fldChar w:fldCharType="end"/>
      </w:r>
      <w:r w:rsidRPr="004B478B">
        <w:rPr>
          <w:rFonts w:ascii="Arial" w:eastAsia="Times New Roman" w:hAnsi="Arial" w:cs="Arial"/>
          <w:sz w:val="24"/>
          <w:szCs w:val="24"/>
          <w:lang w:val="nl-NL"/>
        </w:rPr>
        <w:t xml:space="preserve">. </w:t>
      </w:r>
    </w:p>
    <w:p w14:paraId="45B36AD5" w14:textId="77777777" w:rsidR="00941883" w:rsidRPr="006A7F1E" w:rsidRDefault="00941883" w:rsidP="00941883">
      <w:pPr>
        <w:tabs>
          <w:tab w:val="left" w:pos="3160"/>
        </w:tabs>
        <w:spacing w:line="360" w:lineRule="auto"/>
        <w:jc w:val="both"/>
        <w:rPr>
          <w:rFonts w:ascii="Arial" w:eastAsia="Times New Roman" w:hAnsi="Arial" w:cs="Arial"/>
          <w:sz w:val="24"/>
          <w:szCs w:val="24"/>
          <w:lang w:val="en-GB"/>
        </w:rPr>
      </w:pPr>
      <w:r w:rsidRPr="004B478B">
        <w:rPr>
          <w:rFonts w:ascii="Arial" w:eastAsia="Times New Roman" w:hAnsi="Arial" w:cs="Arial"/>
          <w:sz w:val="24"/>
          <w:szCs w:val="24"/>
          <w:lang w:val="nl-NL"/>
        </w:rPr>
        <w:t xml:space="preserve">Moreover, </w:t>
      </w:r>
      <w:r w:rsidRPr="006B2FC7">
        <w:rPr>
          <w:rFonts w:ascii="Arial" w:eastAsia="Times New Roman" w:hAnsi="Arial" w:cs="Arial"/>
          <w:sz w:val="24"/>
          <w:szCs w:val="24"/>
          <w:lang w:val="en-GB"/>
        </w:rPr>
        <w:fldChar w:fldCharType="begin" w:fldLock="1"/>
      </w:r>
      <w:r w:rsidRPr="004B478B">
        <w:rPr>
          <w:rFonts w:ascii="Arial" w:eastAsia="Times New Roman" w:hAnsi="Arial" w:cs="Arial"/>
          <w:sz w:val="24"/>
          <w:szCs w:val="24"/>
          <w:lang w:val="nl-NL"/>
        </w:rPr>
        <w:instrText>ADDIN CSL_CITATION {"citationItems":[{"id":"ITEM-1","itemData":{"DOI":"https://dx.doi.org/10.1371/journal.pone.0195898","ISSN":"1932-6203","abstract":"OBJECTIVES: The effectiveness and costs associated with addition of pharmacist-led group medical visits to standard care for patients with Type-2 Diabetes Mellitus (T2DM) is unknown., METHODS: Randomized-controlled-trial in three US Veteran Health Administration (VHA) Hospitals, where 250 patients with T2DM, HbA1c &gt;7% and either hypertension, active smoking or hyperlipidemia were randomized to either (1) addition of pharmacist-led group-medical-visits or (2) standard care alone for 13 months. Group (4-6 patients) visits consisted of 2-hour, education and comprehensive medication management sessions once weekly for 4 weeks, followed by quarterly visits. Change from baseline in cardiovascular risk estimated by the UKPDS-risk-score, health-related quality-of-life (SF36v) and institutional healthcare costs were compared between study arms., RESULTS: After 13 months, both groups had similar and significant improvements from baseline in UKPDS-risk-score (-0.02 +/-0.09 and -0.04 +/-0.09, group visit and standard care respectively, adjusted p&lt;0.05 for both); however, there was no significant difference between the study arms (adjusted p = 0.45). There were no significant differences on improvement from baseline in A1c, systolic-blood-pressure, and LDL as well as health-related quality-of-life measures between the study arms. Compared to 13 months prior, the increase in per-person outpatient expenditure from baseline was significantly lower in the group visit versus the standard care arm, both during the study intervention period and at 13-months after study interventions. The overall VHA healthcare costs/person were comparable between the study arms during the study period (p = 0.15); then decreased by 6% for the group visit but increased by 13% for the standard care arm 13 months post-study (p&lt;0.01)., CONCLUSIONS: Addition of pharmacist-led group medical visits in T2DM achieved similar improvements from baseline in cardiovascular risk factors than usual care, but with reduction in the healthcare costs in the group visit arm 13 months after completion compared to the steady rise in cost for the usual care arm., TRIAL REGISTRATION: NCT00554671 ClinicalTrials.gov.","author":[{"dropping-particle":"","family":"Wu","given":"Wen-Chih","non-dropping-particle":"","parse-names":false,"suffix":""},{"dropping-particle":"","family":"Taveira","given":"Tracey H.","non-dropping-particle":"","parse-names":false,"suffix":""},{"dropping-particle":"","family":"Jeffery","given":"Sean","non-dropping-particle":"","parse-names":false,"suffix":""},{"dropping-particle":"","family":"Jiang","given":"Lan","non-dropping-particle":"","parse-names":false,"suffix":""},{"dropping-particle":"","family":"Tokuda","given":"Lisa","non-dropping-particle":"","parse-names":false,"suffix":""},{"dropping-particle":"","family":"Musial","given":"Joanna","non-dropping-particle":"","parse-names":false,"suffix":""},{"dropping-particle":"","family":"Cohen","given":"Lisa B.","non-dropping-particle":"","parse-names":false,"suffix":""},{"dropping-particle":"","family":"Uhrle","given":"Fred","non-dropping-particle":"","parse-names":false,"suffix":""}],"container-title":"PloS one","editor":[{"dropping-particle":"","family":"Wouwe","given":"Jacobus P.","non-dropping-particle":"van","parse-names":false,"suffix":""}],"id":"ITEM-1","issue":"4","issued":{"date-parts":[["2018","4","19"]]},"page":"e0195898","publisher-place":"United States","title":"Costs and effectiveness of pharmacist-led group medical visits for type-2 diabetes: A multi-center randomized controlled trial.","type":"article-journal","volume":"13"},"uris":["http://www.mendeley.com/documents/?uuid=c252e6de-305e-4908-8843-48a75de5ea72"]}],"mendeley":{"formattedCitation":"(Wu &lt;i&gt;et al.&lt;/i&gt;, 2018)","manualFormatting":"Wu et al. (2018)","plainTextFormattedCitation":"(Wu et al., 2018)","previouslyFormattedCitation":"(Wu &lt;i&gt;et al.&lt;/i&gt;, 2018)"},"properties":{"noteIndex":0},"schema":"https://github.com/citation-style-language/schema/raw/master/csl-citation.json"}</w:instrText>
      </w:r>
      <w:r w:rsidRPr="006B2FC7">
        <w:rPr>
          <w:rFonts w:ascii="Arial" w:eastAsia="Times New Roman" w:hAnsi="Arial" w:cs="Arial"/>
          <w:sz w:val="24"/>
          <w:szCs w:val="24"/>
          <w:lang w:val="en-GB"/>
        </w:rPr>
        <w:fldChar w:fldCharType="separate"/>
      </w:r>
      <w:r w:rsidRPr="004B478B">
        <w:rPr>
          <w:rFonts w:ascii="Arial" w:eastAsia="Times New Roman" w:hAnsi="Arial" w:cs="Arial"/>
          <w:noProof/>
          <w:sz w:val="24"/>
          <w:szCs w:val="24"/>
          <w:lang w:val="nl-NL"/>
        </w:rPr>
        <w:t xml:space="preserve">Wu </w:t>
      </w:r>
      <w:r w:rsidRPr="004B478B">
        <w:rPr>
          <w:rFonts w:ascii="Arial" w:eastAsia="Times New Roman" w:hAnsi="Arial" w:cs="Arial"/>
          <w:i/>
          <w:noProof/>
          <w:sz w:val="24"/>
          <w:szCs w:val="24"/>
          <w:lang w:val="nl-NL"/>
        </w:rPr>
        <w:t>et al.</w:t>
      </w:r>
      <w:r w:rsidRPr="004B478B">
        <w:rPr>
          <w:rFonts w:ascii="Arial" w:eastAsia="Times New Roman" w:hAnsi="Arial" w:cs="Arial"/>
          <w:noProof/>
          <w:sz w:val="24"/>
          <w:szCs w:val="24"/>
          <w:lang w:val="nl-NL"/>
        </w:rPr>
        <w:t xml:space="preserve"> </w:t>
      </w:r>
      <w:r w:rsidRPr="00BD7856">
        <w:rPr>
          <w:rFonts w:ascii="Arial" w:eastAsia="Times New Roman" w:hAnsi="Arial" w:cs="Arial"/>
          <w:noProof/>
          <w:sz w:val="24"/>
          <w:szCs w:val="24"/>
        </w:rPr>
        <w:t>(2018)</w:t>
      </w:r>
      <w:r w:rsidRPr="006B2FC7">
        <w:rPr>
          <w:rFonts w:ascii="Arial" w:eastAsia="Times New Roman" w:hAnsi="Arial" w:cs="Arial"/>
          <w:sz w:val="24"/>
          <w:szCs w:val="24"/>
          <w:lang w:val="en-GB"/>
        </w:rPr>
        <w:fldChar w:fldCharType="end"/>
      </w:r>
      <w:r w:rsidRPr="00BD7856">
        <w:rPr>
          <w:rFonts w:ascii="Arial" w:eastAsia="Times New Roman" w:hAnsi="Arial" w:cs="Arial"/>
          <w:sz w:val="24"/>
          <w:szCs w:val="24"/>
        </w:rPr>
        <w:t xml:space="preserve"> argued that the addition of pharmacist-led diabetes care can be a cost-effective strategy with significant implications. </w:t>
      </w:r>
      <w:r w:rsidRPr="006B2FC7">
        <w:rPr>
          <w:rFonts w:ascii="Arial" w:eastAsia="Times New Roman" w:hAnsi="Arial" w:cs="Arial"/>
          <w:sz w:val="24"/>
          <w:szCs w:val="24"/>
          <w:lang w:val="en-GB"/>
        </w:rPr>
        <w:t xml:space="preserve">The pharmacist-led diabetes care model could participate in the reduction of healthcare expenditure as the findings demonstrated that there were no significant differences in the percentage of emergency room visits, hospitalisations, and deaths between the study groups. This may indicate that the pharmacist-led diabetes care group was as safe as the one led by the doctor in the standard care group. </w:t>
      </w:r>
      <w:r w:rsidRPr="006B2FC7">
        <w:rPr>
          <w:rStyle w:val="selectable"/>
          <w:rFonts w:ascii="Arial" w:hAnsi="Arial" w:cs="Arial"/>
          <w:sz w:val="24"/>
          <w:szCs w:val="24"/>
        </w:rPr>
        <w:t>These findings are also supported by</w:t>
      </w:r>
      <w:r>
        <w:rPr>
          <w:rStyle w:val="selectable"/>
          <w:rFonts w:ascii="Arial" w:hAnsi="Arial" w:cs="Arial"/>
          <w:sz w:val="24"/>
          <w:szCs w:val="24"/>
        </w:rPr>
        <w:t xml:space="preserve"> </w:t>
      </w:r>
      <w:r>
        <w:rPr>
          <w:rStyle w:val="selectable"/>
          <w:rFonts w:ascii="Arial" w:hAnsi="Arial" w:cs="Arial"/>
          <w:sz w:val="24"/>
          <w:szCs w:val="24"/>
        </w:rPr>
        <w:fldChar w:fldCharType="begin" w:fldLock="1"/>
      </w:r>
      <w:r>
        <w:rPr>
          <w:rStyle w:val="selectable"/>
          <w:rFonts w:ascii="Arial" w:hAnsi="Arial" w:cs="Arial"/>
          <w:sz w:val="24"/>
          <w:szCs w:val="24"/>
        </w:rPr>
        <w:instrText>ADDIN CSL_CITATION {"citationItems":[{"id":"ITEM-1","itemData":{"DOI":"10.1177/0897190017710522","ISBN":"0897190017","ISSN":"15311937","abstract":"BACKGROUND: This study analyzed the impact of a pharmacist-managed diabetes clinic on clinical outcomes compared to usual care received from primary care providers (PCPs). This comparison may more definitively demonstrate the value of pharmacist management of chronic disease states., METHODS: Retrospective observational cohort study conducted in patients referred to a pharmacist-managed pharmacotherapy (PT) clinic from July 2009 to October 2014., RESULTS: For the primary outcome, the absolute change in A1c during the usual care phase was +1.53% (95% confidence interval [CI]: 1.10-1.96, P &lt; .0001) versus an absolute change of -1.63% (95% CI: -1.28 to -1.97, P &lt; .0001) in the intervention phase. For secondary outcomes, diabetes-related hospitalizations (10 vs 6, P = .104) and emergency room (ER) visits (27 vs 8, P = .049) decreased in the intervention phase compared to the usual care phase. The rate of diabetes-related interventions made per patient per year in the usual care phase was 2.7 versus 11.1 in the intervention phase ( P &lt; .0001)., CONCLUSION: Patients referred to the PT clinic had worsening blood glucose control prior to referral, and their control improved after referral to the clinic. Furthermore, there was an improvement in all diabetes-related outcomes in the intervention phase compared to the usual care phase.","author":[{"dropping-particle":"","family":"Schultz","given":"Jordan L.","non-dropping-particle":"","parse-names":false,"suffix":""},{"dropping-particle":"","family":"Horner","given":"Kathleen E.","non-dropping-particle":"","parse-names":false,"suffix":""},{"dropping-particle":"","family":"McDanel","given":"Deanna L.","non-dropping-particle":"","parse-names":false,"suffix":""},{"dropping-particle":"","family":"Miller","given":"Michelle L.","non-dropping-particle":"","parse-names":false,"suffix":""},{"dropping-particle":"","family":"Beranek","given":"Randi L.","non-dropping-particle":"","parse-names":false,"suffix":""},{"dropping-particle":"","family":"Jacobsen","given":"Ryan B.","non-dropping-particle":"","parse-names":false,"suffix":""},{"dropping-particle":"","family":"Sly","given":"Nichole J.","non-dropping-particle":"","parse-names":false,"suffix":""},{"dropping-particle":"","family":"Miller","given":"Aaron C.","non-dropping-particle":"","parse-names":false,"suffix":""},{"dropping-particle":"","family":"Mascardo","given":"Lisa A.","non-dropping-particle":"","parse-names":false,"suffix":""}],"container-title":"Journal of Pharmacy Practice","id":"ITEM-1","issue":"3","issued":{"date-parts":[["2018"]]},"page":"268-271","publisher-place":"United States","title":"Comparing Clinical Outcomes of a Pharmacist-Managed Diabetes Clinic to Usual Physician-Based Care","type":"article-journal","volume":"31"},"uris":["http://www.mendeley.com/documents/?uuid=b710020d-9e91-4262-be28-b27767472397"]}],"mendeley":{"formattedCitation":"(Schultz &lt;i&gt;et al.&lt;/i&gt;, 2018)","manualFormatting":"Schultz et al. (2018)","plainTextFormattedCitation":"(Schultz et al., 2018)","previouslyFormattedCitation":"(Schultz &lt;i&gt;et al.&lt;/i&gt;, 2018)"},"properties":{"noteIndex":0},"schema":"https://github.com/citation-style-language/schema/raw/master/csl-citation.json"}</w:instrText>
      </w:r>
      <w:r>
        <w:rPr>
          <w:rStyle w:val="selectable"/>
          <w:rFonts w:ascii="Arial" w:hAnsi="Arial" w:cs="Arial"/>
          <w:sz w:val="24"/>
          <w:szCs w:val="24"/>
        </w:rPr>
        <w:fldChar w:fldCharType="separate"/>
      </w:r>
      <w:r w:rsidRPr="003A08F1">
        <w:rPr>
          <w:rStyle w:val="selectable"/>
          <w:rFonts w:ascii="Arial" w:hAnsi="Arial" w:cs="Arial"/>
          <w:noProof/>
          <w:sz w:val="24"/>
          <w:szCs w:val="24"/>
        </w:rPr>
        <w:t xml:space="preserve">Schultz </w:t>
      </w:r>
      <w:r w:rsidRPr="003A08F1">
        <w:rPr>
          <w:rStyle w:val="selectable"/>
          <w:rFonts w:ascii="Arial" w:hAnsi="Arial" w:cs="Arial"/>
          <w:i/>
          <w:noProof/>
          <w:sz w:val="24"/>
          <w:szCs w:val="24"/>
        </w:rPr>
        <w:t>et al.</w:t>
      </w:r>
      <w:r w:rsidRPr="003A08F1">
        <w:rPr>
          <w:rStyle w:val="selectable"/>
          <w:rFonts w:ascii="Arial" w:hAnsi="Arial" w:cs="Arial"/>
          <w:noProof/>
          <w:sz w:val="24"/>
          <w:szCs w:val="24"/>
        </w:rPr>
        <w:t xml:space="preserve"> </w:t>
      </w:r>
      <w:r>
        <w:rPr>
          <w:rStyle w:val="selectable"/>
          <w:rFonts w:ascii="Arial" w:hAnsi="Arial" w:cs="Arial"/>
          <w:noProof/>
          <w:sz w:val="24"/>
          <w:szCs w:val="24"/>
        </w:rPr>
        <w:t>(</w:t>
      </w:r>
      <w:r w:rsidRPr="003A08F1">
        <w:rPr>
          <w:rStyle w:val="selectable"/>
          <w:rFonts w:ascii="Arial" w:hAnsi="Arial" w:cs="Arial"/>
          <w:noProof/>
          <w:sz w:val="24"/>
          <w:szCs w:val="24"/>
        </w:rPr>
        <w:t>2018)</w:t>
      </w:r>
      <w:r>
        <w:rPr>
          <w:rStyle w:val="selectable"/>
          <w:rFonts w:ascii="Arial" w:hAnsi="Arial" w:cs="Arial"/>
          <w:sz w:val="24"/>
          <w:szCs w:val="24"/>
        </w:rPr>
        <w:fldChar w:fldCharType="end"/>
      </w:r>
      <w:r>
        <w:rPr>
          <w:rStyle w:val="selectable"/>
          <w:rFonts w:ascii="Arial" w:hAnsi="Arial" w:cs="Arial"/>
          <w:sz w:val="24"/>
          <w:szCs w:val="24"/>
        </w:rPr>
        <w:t xml:space="preserve">, </w:t>
      </w:r>
      <w:r w:rsidRPr="006B2FC7">
        <w:rPr>
          <w:rFonts w:ascii="Arial" w:eastAsia="Times New Roman" w:hAnsi="Arial" w:cs="Arial"/>
          <w:sz w:val="24"/>
          <w:szCs w:val="24"/>
          <w:lang w:val="en-GB"/>
        </w:rPr>
        <w:t>who found that there was no statistical significance regarding the number of hospitalisations that occurred between the usual care phase (before pharmacists were added) and the intervention phase.  While a statistical significance was found in the number of emergency room (ER) visits that related to diabetes and its associated complications in the intervention phase compared to the usual care.</w:t>
      </w:r>
      <w:r>
        <w:rPr>
          <w:rFonts w:ascii="Arial" w:eastAsia="Times New Roman" w:hAnsi="Arial" w:cs="Arial"/>
          <w:sz w:val="24"/>
          <w:szCs w:val="24"/>
          <w:lang w:val="en-GB"/>
        </w:rPr>
        <w:t xml:space="preserve"> </w:t>
      </w:r>
      <w:r w:rsidRPr="006A7F1E">
        <w:rPr>
          <w:rFonts w:ascii="Arial" w:eastAsia="Times New Roman" w:hAnsi="Arial" w:cs="Arial"/>
          <w:sz w:val="24"/>
          <w:szCs w:val="24"/>
          <w:lang w:val="en-GB"/>
        </w:rPr>
        <w:t xml:space="preserve">Similarly, </w:t>
      </w:r>
      <w:r w:rsidRPr="006A7F1E">
        <w:rPr>
          <w:rFonts w:ascii="Arial" w:eastAsia="Times New Roman" w:hAnsi="Arial" w:cs="Arial"/>
          <w:sz w:val="24"/>
          <w:szCs w:val="24"/>
          <w:lang w:val="en-GB"/>
        </w:rPr>
        <w:fldChar w:fldCharType="begin" w:fldLock="1"/>
      </w:r>
      <w:r w:rsidRPr="006A7F1E">
        <w:rPr>
          <w:rFonts w:ascii="Arial" w:eastAsia="Times New Roman" w:hAnsi="Arial" w:cs="Arial"/>
          <w:sz w:val="24"/>
          <w:szCs w:val="24"/>
          <w:lang w:val="en-GB"/>
        </w:rPr>
        <w:instrText>ADDIN CSL_CITATION {"citationItems":[{"id":"ITEM-1","itemData":{"DOI":"10.1097/MLR.0000000000001501","ISSN":"15371948","PMID":"33427796","abstract":"Background: Pharmacists are effective at improving control of cardiovascular risk factors, but it less clear whether these improvements translate into less emergency department (ED) use and fewer hospitalizations. The UCMyRx program embed pharmacists in primary care. Objective: The objective of this study was to examine if the integration of pharmacists into primary care was associated with lower ED and hospital use for patients with diabetes. Design: This was a quasi-experimental studywith a comparator group.This was a quasi-experimental study Subjects: The analytic sample included patients with diabetes with uncontrolled cardiovascular risk factors (A1C &gt;9%, blood pressure &gt;140/90 mm Hg, low-density lipoprotein-cholesterol &gt;130 mg/dL) who had 1 or more visits in either a UCMyRx (648 patients, 14 practices) or usual care practice (1944 patients, 14 practices). Measures: Our outcomes were ED and hospitalization rates as measured before and after the consultations between UCMyRx and usual care. Our predictor variable was the pharmacist consultation. Poisson generalized estimating equations model was used to estimate the adjusted predicted change in utilization before and after the pharmacist consultation. The Average Treatment Effect on the Treated was estimated. Results: In models adjusted, the adjusted mean predicted number of emergency department visits/month during the year before the consultation was 0.09 among UCMyRx patients. During the year after initiating the care with the pharmacists, this rate decreased to an adjusted mean monthly rate of 0.07, with an Average Treatment Effect on the Treated=0.021 (P=0.035), a predicted reduction of 21% in emergency department visits associated with the clinical pharmacist consults. There was a nonsignificant predicted 3.2% reduction in hospitalizations over time for patients in the UCMyRx program. Conclusion: Clinical pharmacists are an important addition to clinical care teams in primary care practices and significantly decreased utilization of the ED among patients with poorly controlled diabetes.","author":[{"dropping-particle":"","family":"Moreno","given":"Gerardo","non-dropping-particle":"","parse-names":false,"suffix":""},{"dropping-particle":"","family":"Fu","given":"Jeffery Y.","non-dropping-particle":"","parse-names":false,"suffix":""},{"dropping-particle":"","family":"Chon","given":"Janet S.","non-dropping-particle":"","parse-names":false,"suffix":""},{"dropping-particle":"","family":"Bell","given":"Douglas S.","non-dropping-particle":"","parse-names":false,"suffix":""},{"dropping-particle":"","family":"Grotts","given":"Jonathan","non-dropping-particle":"","parse-names":false,"suffix":""},{"dropping-particle":"","family":"Tseng","given":"Chi Hong","non-dropping-particle":"","parse-names":false,"suffix":""},{"dropping-particle":"","family":"Maranon","given":"Richard","non-dropping-particle":"","parse-names":false,"suffix":""},{"dropping-particle":"","family":"Skootsky","given":"Samuel S.","non-dropping-particle":"","parse-names":false,"suffix":""},{"dropping-particle":"","family":"Mangione","given":"Carol M.","non-dropping-particle":"","parse-names":false,"suffix":""}],"container-title":"Medical Care","id":"ITEM-1","issue":"4","issued":{"date-parts":[["2021"]]},"page":"348-353","title":"Reducing Emergency Department Visits among Patients with Diabetes by Embedding Clinical Pharmacists in the Primary Care Teams","type":"article-journal","volume":"59"},"uris":["http://www.mendeley.com/documents/?uuid=29a42631-6f48-46fa-ae61-d8f9efbee9e6"]}],"mendeley":{"formattedCitation":"(Moreno &lt;i&gt;et al.&lt;/i&gt;, 2021)","manualFormatting":"Moreno et al. (2021)","plainTextFormattedCitation":"(Moreno et al., 2021)","previouslyFormattedCitation":"(Moreno &lt;i&gt;et al.&lt;/i&gt;, 2021)"},"properties":{"noteIndex":0},"schema":"https://github.com/citation-style-language/schema/raw/master/csl-citation.json"}</w:instrText>
      </w:r>
      <w:r w:rsidRPr="006A7F1E">
        <w:rPr>
          <w:rFonts w:ascii="Arial" w:eastAsia="Times New Roman" w:hAnsi="Arial" w:cs="Arial"/>
          <w:sz w:val="24"/>
          <w:szCs w:val="24"/>
          <w:lang w:val="en-GB"/>
        </w:rPr>
        <w:fldChar w:fldCharType="separate"/>
      </w:r>
      <w:r w:rsidRPr="006A7F1E">
        <w:rPr>
          <w:rFonts w:ascii="Arial" w:eastAsia="Times New Roman" w:hAnsi="Arial" w:cs="Arial"/>
          <w:noProof/>
          <w:sz w:val="24"/>
          <w:szCs w:val="24"/>
          <w:lang w:val="en-GB"/>
        </w:rPr>
        <w:t>Moreno et al. (2021)</w:t>
      </w:r>
      <w:r w:rsidRPr="006A7F1E">
        <w:rPr>
          <w:rFonts w:ascii="Arial" w:eastAsia="Times New Roman" w:hAnsi="Arial" w:cs="Arial"/>
          <w:sz w:val="24"/>
          <w:szCs w:val="24"/>
          <w:lang w:val="en-GB"/>
        </w:rPr>
        <w:fldChar w:fldCharType="end"/>
      </w:r>
      <w:r w:rsidRPr="006A7F1E">
        <w:rPr>
          <w:rFonts w:ascii="Arial" w:eastAsia="Times New Roman" w:hAnsi="Arial" w:cs="Arial"/>
          <w:sz w:val="24"/>
          <w:szCs w:val="24"/>
          <w:lang w:val="en-GB"/>
        </w:rPr>
        <w:t xml:space="preserve"> found a significant reduction in emergency department visits among uncontrolled diabetes patients by integrating pharmacists into primary care teams. Likewise, </w:t>
      </w:r>
      <w:r w:rsidRPr="00876389">
        <w:rPr>
          <w:rFonts w:ascii="Arial" w:eastAsia="Times New Roman" w:hAnsi="Arial" w:cs="Arial"/>
          <w:sz w:val="24"/>
          <w:szCs w:val="24"/>
          <w:lang w:val="en-GB"/>
        </w:rPr>
        <w:fldChar w:fldCharType="begin" w:fldLock="1"/>
      </w:r>
      <w:r w:rsidRPr="006A7F1E">
        <w:rPr>
          <w:rFonts w:ascii="Arial" w:eastAsia="Times New Roman" w:hAnsi="Arial" w:cs="Arial"/>
          <w:sz w:val="24"/>
          <w:szCs w:val="24"/>
          <w:lang w:val="en-GB"/>
        </w:rPr>
        <w:instrText>ADDIN CSL_CITATION {"citationItems":[{"id":"ITEM-1","itemData":{"DOI":"10.3389/fphar.2023.1098207","ISSN":"16639812","abstract":"Background: Physician-pharmacist collaboration is a well-established care mode for the management of type 2 diabetes mellitus (T2DM) in developed countries, but no study has been conducted in primary healthcare in China. This study aims to evaluate the effects of physician-pharmacist collaborative clinics to manage T2DM in primary healthcare in China, and to better understand the factors influencing the implementation of physician-pharmacist collaborative clinics. Methods: Two hundred and sixty-seven patients involved in a 12-month randomized controlled trial were assigned to physician-pharmacist collaborative clinics and usual clinics, completing surveys regarding medication compliance, quality of life (QoL) and care-seeking behavior at the baseline, 3rd, 6th, 9th and 12th month respectively, and diabetes knowledge at baseline and 12th month. A sample of twenty-two Patients, nine physicians and twelve pharmacists participated in semi-structured face-to-face interviews. The quantitative and qualitative data was integrated by triangulation. Results: Patients in physician-pharmacist collaborative clinics had significant improvements in medication compliance (p = 0.009), QoL (p = 0.036) and emergency visits (p = 0.003) over the 12-month. Pairwise comparison showed the medication compliance score in the intervention group had been significantly improved at 3rd month (p = 0.001), which is more rapidly than that in the control group at 9th month (p = 0.030). Factors influencing the implementation of physician-pharmacist collaborative clinics were driven by five themes: pharmaceutical service, team-base care, psychological support, acceptability of care and barriers to implementation. Conclusion: Integration of quantitative and qualitative findings showed the effectiveness of physician-pharmacist collaborative clinics in patient medication compliance and QoL in primary healthcare. The qualitative study uncovered barriers in insufficient clinical experience and understaffing of pharmacist. Therefore, the professional training of the primary pharmacist team should be improved in the future. Clinical Trial Registration: clinicaltrials.gov, identifier ChiCTR2000031839.","author":[{"dropping-particle":"","family":"Xiao","given":"Jie","non-dropping-particle":"","parse-names":false,"suffix":""},{"dropping-particle":"","family":"Wang","given":"Qing","non-dropping-particle":"","parse-names":false,"suffix":""},{"dropping-particle":"","family":"Tan","given":"Shenglan","non-dropping-particle":"","parse-names":false,"suffix":""},{"dropping-particle":"","family":"Chen","given":"Lei","non-dropping-particle":"","parse-names":false,"suffix":""},{"dropping-particle":"","family":"Tang","given":"Bingjie","non-dropping-particle":"","parse-names":false,"suffix":""},{"dropping-particle":"","family":"Huang","given":"Shuting","non-dropping-particle":"","parse-names":false,"suffix":""},{"dropping-particle":"","family":"Zhou","given":"Yangang","non-dropping-particle":"","parse-names":false,"suffix":""},{"dropping-particle":"","family":"Xu","given":"Ping","non-dropping-particle":"","parse-names":false,"suffix":""}],"container-title":"Frontiers in Pharmacology","id":"ITEM-1","issue":"March","issued":{"date-parts":[["2023"]]},"page":"1-15","title":"Analysis of patient medication compliance and quality of life of physician-pharmacist collaborative clinics for T2DM management in primary healthcare in China: A mixed-methods study","type":"article-journal","volume":"14"},"uris":["http://www.mendeley.com/documents/?uuid=679e88fc-bc3d-4c75-8576-9e7b3d6c7abb"]}],"mendeley":{"formattedCitation":"(Xiao &lt;i&gt;et al.&lt;/i&gt;, 2023)","manualFormatting":"Xiao et al. (2023)","plainTextFormattedCitation":"(Xiao et al., 2023)","previouslyFormattedCitation":"(Xiao &lt;i&gt;et al.&lt;/i&gt;, 2023)"},"properties":{"noteIndex":0},"schema":"https://github.com/citation-style-language/schema/raw/master/csl-citation.json"}</w:instrText>
      </w:r>
      <w:r w:rsidRPr="00876389">
        <w:rPr>
          <w:rFonts w:ascii="Arial" w:eastAsia="Times New Roman" w:hAnsi="Arial" w:cs="Arial"/>
          <w:sz w:val="24"/>
          <w:szCs w:val="24"/>
          <w:lang w:val="en-GB"/>
        </w:rPr>
        <w:fldChar w:fldCharType="separate"/>
      </w:r>
      <w:r w:rsidRPr="006A7F1E">
        <w:rPr>
          <w:rFonts w:ascii="Arial" w:eastAsia="Times New Roman" w:hAnsi="Arial" w:cs="Arial"/>
          <w:noProof/>
          <w:sz w:val="24"/>
          <w:szCs w:val="24"/>
          <w:lang w:val="en-GB"/>
        </w:rPr>
        <w:t>Xiao et al. (2023)</w:t>
      </w:r>
      <w:r w:rsidRPr="00876389">
        <w:rPr>
          <w:rFonts w:ascii="Arial" w:eastAsia="Times New Roman" w:hAnsi="Arial" w:cs="Arial"/>
          <w:sz w:val="24"/>
          <w:szCs w:val="24"/>
          <w:lang w:val="en-GB"/>
        </w:rPr>
        <w:fldChar w:fldCharType="end"/>
      </w:r>
      <w:r w:rsidRPr="006A7F1E">
        <w:rPr>
          <w:rFonts w:ascii="Open Sans" w:hAnsi="Open Sans" w:cs="Open Sans"/>
          <w:sz w:val="21"/>
          <w:szCs w:val="21"/>
          <w:shd w:val="clear" w:color="auto" w:fill="FFFFFF"/>
        </w:rPr>
        <w:t xml:space="preserve"> </w:t>
      </w:r>
      <w:r w:rsidRPr="006A7F1E">
        <w:rPr>
          <w:rFonts w:ascii="Arial" w:eastAsia="Times New Roman" w:hAnsi="Arial" w:cs="Arial"/>
          <w:sz w:val="24"/>
          <w:szCs w:val="24"/>
          <w:lang w:val="en-GB"/>
        </w:rPr>
        <w:t>found significantly reduced emergency visits among patients in physician-pharmacist collaborative practice models.</w:t>
      </w:r>
    </w:p>
    <w:p w14:paraId="0F163EE7" w14:textId="77777777" w:rsidR="00941883" w:rsidRPr="006A7F1E" w:rsidRDefault="00941883" w:rsidP="00941883">
      <w:pPr>
        <w:autoSpaceDE w:val="0"/>
        <w:autoSpaceDN w:val="0"/>
        <w:adjustRightInd w:val="0"/>
        <w:spacing w:after="0" w:line="360" w:lineRule="auto"/>
        <w:jc w:val="both"/>
        <w:rPr>
          <w:rStyle w:val="selectable"/>
          <w:rFonts w:ascii="Arial" w:hAnsi="Arial" w:cs="Arial"/>
          <w:sz w:val="24"/>
          <w:szCs w:val="24"/>
        </w:rPr>
      </w:pPr>
      <w:r w:rsidRPr="006A7F1E">
        <w:rPr>
          <w:rFonts w:ascii="Arial" w:hAnsi="Arial" w:cs="Arial"/>
          <w:sz w:val="24"/>
          <w:szCs w:val="24"/>
        </w:rPr>
        <w:t xml:space="preserve">From these results, many researchers such as </w:t>
      </w:r>
      <w:r w:rsidRPr="00876389">
        <w:rPr>
          <w:rStyle w:val="selectable"/>
          <w:rFonts w:ascii="Arial" w:hAnsi="Arial" w:cs="Arial"/>
          <w:sz w:val="24"/>
          <w:szCs w:val="24"/>
        </w:rPr>
        <w:fldChar w:fldCharType="begin" w:fldLock="1"/>
      </w:r>
      <w:r w:rsidRPr="006A7F1E">
        <w:rPr>
          <w:rStyle w:val="selectable"/>
          <w:rFonts w:ascii="Arial" w:hAnsi="Arial" w:cs="Arial"/>
          <w:sz w:val="24"/>
          <w:szCs w:val="24"/>
        </w:rPr>
        <w:instrText>ADDIN CSL_CITATION {"citationItems":[{"id":"ITEM-1","itemData":{"DOI":"10.1177/0897190017710522","ISBN":"0897190017","ISSN":"15311937","abstract":"BACKGROUND: This study analyzed the impact of a pharmacist-managed diabetes clinic on clinical outcomes compared to usual care received from primary care providers (PCPs). This comparison may more definitively demonstrate the value of pharmacist management of chronic disease states., METHODS: Retrospective observational cohort study conducted in patients referred to a pharmacist-managed pharmacotherapy (PT) clinic from July 2009 to October 2014., RESULTS: For the primary outcome, the absolute change in A1c during the usual care phase was +1.53% (95% confidence interval [CI]: 1.10-1.96, P &lt; .0001) versus an absolute change of -1.63% (95% CI: -1.28 to -1.97, P &lt; .0001) in the intervention phase. For secondary outcomes, diabetes-related hospitalizations (10 vs 6, P = .104) and emergency room (ER) visits (27 vs 8, P = .049) decreased in the intervention phase compared to the usual care phase. The rate of diabetes-related interventions made per patient per year in the usual care phase was 2.7 versus 11.1 in the intervention phase ( P &lt; .0001)., CONCLUSION: Patients referred to the PT clinic had worsening blood glucose control prior to referral, and their control improved after referral to the clinic. Furthermore, there was an improvement in all diabetes-related outcomes in the intervention phase compared to the usual care phase.","author":[{"dropping-particle":"","family":"Schultz","given":"Jordan L.","non-dropping-particle":"","parse-names":false,"suffix":""},{"dropping-particle":"","family":"Horner","given":"Kathleen E.","non-dropping-particle":"","parse-names":false,"suffix":""},{"dropping-particle":"","family":"McDanel","given":"Deanna L.","non-dropping-particle":"","parse-names":false,"suffix":""},{"dropping-particle":"","family":"Miller","given":"Michelle L.","non-dropping-particle":"","parse-names":false,"suffix":""},{"dropping-particle":"","family":"Beranek","given":"Randi L.","non-dropping-particle":"","parse-names":false,"suffix":""},{"dropping-particle":"","family":"Jacobsen","given":"Ryan B.","non-dropping-particle":"","parse-names":false,"suffix":""},{"dropping-particle":"","family":"Sly","given":"Nichole J.","non-dropping-particle":"","parse-names":false,"suffix":""},{"dropping-particle":"","family":"Miller","given":"Aaron C.","non-dropping-particle":"","parse-names":false,"suffix":""},{"dropping-particle":"","family":"Mascardo","given":"Lisa A.","non-dropping-particle":"","parse-names":false,"suffix":""}],"container-title":"Journal of Pharmacy Practice","id":"ITEM-1","issue":"3","issued":{"date-parts":[["2018"]]},"page":"268-271","publisher-place":"United States","title":"Comparing Clinical Outcomes of a Pharmacist-Managed Diabetes Clinic to Usual Physician-Based Care","type":"article-journal","volume":"31"},"uris":["http://www.mendeley.com/docume</w:instrText>
      </w:r>
      <w:r w:rsidRPr="006A7F1E">
        <w:rPr>
          <w:rStyle w:val="selectable"/>
          <w:rFonts w:ascii="Arial" w:hAnsi="Arial" w:cs="Arial"/>
          <w:sz w:val="24"/>
          <w:szCs w:val="24"/>
          <w:lang w:val="nl-NL"/>
        </w:rPr>
        <w:instrText>nts/?uuid=b710020d-9e91-4262-be28-b27767472397"]}],"mendeley":{"formattedCitation":"(Schultz &lt;i&gt;et al.&lt;/i&gt;, 2018)","manualFormatting":"Schultz et al. (2018)","plainTextFormattedCitation":"(Schultz et al., 2018)","previouslyFormattedCitation":"(Schultz &lt;i&gt;et al.&lt;/i&gt;, 2018)"},"properties":{"noteIndex":0},"schema":"https://github.com/citation-style-language/schema/raw/master/csl-citation.json"}</w:instrText>
      </w:r>
      <w:r w:rsidRPr="00876389">
        <w:rPr>
          <w:rStyle w:val="selectable"/>
          <w:rFonts w:ascii="Arial" w:hAnsi="Arial" w:cs="Arial"/>
          <w:sz w:val="24"/>
          <w:szCs w:val="24"/>
        </w:rPr>
        <w:fldChar w:fldCharType="separate"/>
      </w:r>
      <w:r w:rsidRPr="006A7F1E">
        <w:rPr>
          <w:rStyle w:val="selectable"/>
          <w:rFonts w:ascii="Arial" w:hAnsi="Arial" w:cs="Arial"/>
          <w:noProof/>
          <w:sz w:val="24"/>
          <w:szCs w:val="24"/>
          <w:lang w:val="nl-NL"/>
        </w:rPr>
        <w:t xml:space="preserve">Schultz </w:t>
      </w:r>
      <w:r w:rsidRPr="006A7F1E">
        <w:rPr>
          <w:rStyle w:val="selectable"/>
          <w:rFonts w:ascii="Arial" w:hAnsi="Arial" w:cs="Arial"/>
          <w:i/>
          <w:noProof/>
          <w:sz w:val="24"/>
          <w:szCs w:val="24"/>
          <w:lang w:val="nl-NL"/>
        </w:rPr>
        <w:t>et al.</w:t>
      </w:r>
      <w:r w:rsidRPr="006A7F1E">
        <w:rPr>
          <w:rStyle w:val="selectable"/>
          <w:rFonts w:ascii="Arial" w:hAnsi="Arial" w:cs="Arial"/>
          <w:noProof/>
          <w:sz w:val="24"/>
          <w:szCs w:val="24"/>
          <w:lang w:val="nl-NL"/>
        </w:rPr>
        <w:t xml:space="preserve"> (2018)</w:t>
      </w:r>
      <w:r w:rsidRPr="00876389">
        <w:rPr>
          <w:rStyle w:val="selectable"/>
          <w:rFonts w:ascii="Arial" w:hAnsi="Arial" w:cs="Arial"/>
          <w:sz w:val="24"/>
          <w:szCs w:val="24"/>
        </w:rPr>
        <w:fldChar w:fldCharType="end"/>
      </w:r>
      <w:r w:rsidRPr="006A7F1E">
        <w:rPr>
          <w:rStyle w:val="selectable"/>
          <w:rFonts w:ascii="Arial" w:hAnsi="Arial" w:cs="Arial"/>
          <w:sz w:val="24"/>
          <w:szCs w:val="24"/>
        </w:rPr>
        <w:t xml:space="preserve"> </w:t>
      </w:r>
      <w:r w:rsidRPr="00876389">
        <w:rPr>
          <w:rFonts w:ascii="Arial" w:hAnsi="Arial" w:cs="Arial"/>
          <w:noProof/>
          <w:sz w:val="24"/>
          <w:szCs w:val="24"/>
          <w:lang w:val="en-GB"/>
        </w:rPr>
        <w:fldChar w:fldCharType="begin" w:fldLock="1"/>
      </w:r>
      <w:r w:rsidRPr="006A7F1E">
        <w:rPr>
          <w:rFonts w:ascii="Arial" w:hAnsi="Arial" w:cs="Arial"/>
          <w:noProof/>
          <w:sz w:val="24"/>
          <w:szCs w:val="24"/>
          <w:lang w:val="nl-NL"/>
        </w:rPr>
        <w:instrText>ADDIN CSL_CITATION {"citationItems":[{"id":"ITEM-1","itemData":{"DOI":"10.1016/j.pcd.2019.12.007","ISSN":"18780210","PMID":"31926868","abstract":"Objective: To systematically review published systematic reviews (SRs) examining the impact of pharmacist interventions in multidisciplinary diabetes care teams on diabetes-related clinical, humanistic, and economic outcomes in primary care settings. Methods: PubMed, EMBASE, Scopus, Database of Abstracts of Reviews of Effects, Cochrane Library, Joanna Briggs Institute (JBI) Database, Google Scholar, and PROSPERO were searched from inception to 2018. Studies published in English evaluating the effect of pharmacist interventions on diabetes outcomes were included. Two independent reviewers were involved in screening of titles and abstracts, selection of studies, and methodological quality assessment. Results: Seven SRs were included in the study. Three of them included only randomized controlled trials, while the rest involved other study designs. Educational interventions by clinical pharmacists within the healthcare team were the most common types of interventions reported across all SRs. Pharmacist's interventions compared to usual care resulted in favorable significant improvements in hemoglobin A1c (HbA1c), fasting blood glucose, blood pressure, body mass index, total cholesterol, low density lipoprotein, high density lipoprotein and triglycerides in more than 50% of the SRs. Improvement in HbA1c was the mostly reported clinical outcome of pharmacist intervention in the literature (reported in six SRs). Pharmacist's interventions led to significant cost-saving ($8–$85,000 per person per year), cost-utility, and cost-benefit (benefit-to-cost ratio range from 1:1 to 8.5:1) versus usual care. Pharmacist's interventions improved patients’ quality of life (QoL) in three SRs; however, no conclusion can be drawn due to the use of diverse QoL assessment tools. Conclusions: Most SRs support the benefit of pharmacist care on diabetes-related clinical, humanistic, and economic outcomes in primary care settings. Improvements in diabetes outcomes can significantly reduce the burden of diabe</w:instrText>
      </w:r>
      <w:r w:rsidRPr="006A7F1E">
        <w:rPr>
          <w:rFonts w:ascii="Arial" w:hAnsi="Arial" w:cs="Arial"/>
          <w:noProof/>
          <w:sz w:val="24"/>
          <w:szCs w:val="24"/>
        </w:rPr>
        <w:instrText>tes on healthcare system. Hence, the incorporation of pharmacists into multidisciplinary diabetes care teams is beneficial and should be strongly considered by clinicians and health policymakers.","author":[{"dropping-particle":"","family":"Abdulrhim","given":"Sara","non-dropping-particle":"","parse-names":false,"suffix":""},{"dropping-particle":"","family":"Sankaralingam","given":"Sowndramalingam","non-dropping-particle":"","parse-names":false,"suffix":""},{"dropping-particle":"","family":"Ibrahim","given":"Mohamed Izham Mohamed","non-dropping-particle":"","parse-names":false,"suffix":""},{"dropping-particle":"","family":"Awaisu","given":"Ahmed","non-dropping-particle":"","parse-names":false,"suffix":""}],"container-title":"Primary Care Diabetes","id":"ITEM-1","issue":"5","issued":{"date-parts":[["2020"]]},"page":"393-400","publisher":"Primary Care Diabetes Europe","title":"The impact of pharmacist care on diabetes outcomes in primary care settings: An umbrella review of published systematic reviews","type":"article-journal","volume":"14"},"uris":["http://www.mendeley.com/documents/?uuid=a7eb446a-de47-457d-997b-74af713305a0"]}],"mendeley":{"formattedCitation":"(Abdulrhim &lt;i&gt;et al.&lt;/i&gt;, 2020)","manualFormatting":"Abdulrhim et al., (2020)","plainTextFormattedCitation":"(Abdulrhim et al., 2020)","previouslyFormattedCitation":"(Abdulrhim &lt;i&gt;et al.&lt;/i&gt;, 2020)"},"properties":{"noteIndex":0},"schema":"https://github.com/citation-style-language/schema/raw/master/csl-citation.json"}</w:instrText>
      </w:r>
      <w:r w:rsidRPr="00876389">
        <w:rPr>
          <w:rFonts w:ascii="Arial" w:hAnsi="Arial" w:cs="Arial"/>
          <w:noProof/>
          <w:sz w:val="24"/>
          <w:szCs w:val="24"/>
          <w:lang w:val="en-GB"/>
        </w:rPr>
        <w:fldChar w:fldCharType="separate"/>
      </w:r>
      <w:r w:rsidRPr="006A7F1E">
        <w:rPr>
          <w:rFonts w:ascii="Arial" w:hAnsi="Arial" w:cs="Arial"/>
          <w:noProof/>
          <w:sz w:val="24"/>
          <w:szCs w:val="24"/>
          <w:lang w:val="en-GB"/>
        </w:rPr>
        <w:t xml:space="preserve">Abdulrhim </w:t>
      </w:r>
      <w:r w:rsidRPr="006A7F1E">
        <w:rPr>
          <w:rFonts w:ascii="Arial" w:hAnsi="Arial" w:cs="Arial"/>
          <w:i/>
          <w:noProof/>
          <w:sz w:val="24"/>
          <w:szCs w:val="24"/>
          <w:lang w:val="en-GB"/>
        </w:rPr>
        <w:t>et al.</w:t>
      </w:r>
      <w:r w:rsidRPr="006A7F1E">
        <w:rPr>
          <w:rFonts w:ascii="Arial" w:hAnsi="Arial" w:cs="Arial"/>
          <w:noProof/>
          <w:sz w:val="24"/>
          <w:szCs w:val="24"/>
          <w:lang w:val="en-GB"/>
        </w:rPr>
        <w:t>, (2020)</w:t>
      </w:r>
      <w:r w:rsidRPr="00876389">
        <w:rPr>
          <w:rFonts w:ascii="Arial" w:hAnsi="Arial" w:cs="Arial"/>
          <w:noProof/>
          <w:sz w:val="24"/>
          <w:szCs w:val="24"/>
          <w:lang w:val="en-GB"/>
        </w:rPr>
        <w:fldChar w:fldCharType="end"/>
      </w:r>
      <w:r w:rsidRPr="006A7F1E">
        <w:rPr>
          <w:rFonts w:ascii="Arial" w:hAnsi="Arial" w:cs="Arial"/>
          <w:noProof/>
          <w:sz w:val="24"/>
          <w:szCs w:val="24"/>
          <w:lang w:val="en-GB"/>
        </w:rPr>
        <w:t xml:space="preserve">, and </w:t>
      </w:r>
      <w:r w:rsidRPr="00876389">
        <w:rPr>
          <w:rFonts w:ascii="Arial" w:eastAsia="Times New Roman" w:hAnsi="Arial" w:cs="Arial"/>
          <w:sz w:val="24"/>
          <w:szCs w:val="24"/>
          <w:lang w:val="en-GB"/>
        </w:rPr>
        <w:fldChar w:fldCharType="begin" w:fldLock="1"/>
      </w:r>
      <w:r w:rsidRPr="006A7F1E">
        <w:rPr>
          <w:rFonts w:ascii="Arial" w:eastAsia="Times New Roman" w:hAnsi="Arial" w:cs="Arial"/>
          <w:sz w:val="24"/>
          <w:szCs w:val="24"/>
          <w:lang w:val="en-GB"/>
        </w:rPr>
        <w:instrText>ADDIN CSL_CITATION {"citationItems":[{"id":"ITEM-1","itemData":{"DOI":"10.1097/MLR.0000000000001501","ISSN":"15371948","PMID":"33427796","abstract":"Background: Pharmacists are effective at improving control of cardiovascular risk factors, but it less clear whether these improvements translate into less emergency department (ED) use and fewer hospitalizations. The UCMyRx program embed pharmacists in primary care. Objective: The objective of this study was to examine if the integration of pharmacists into primary care was associated with lower ED and hospital use for patients with diabetes. Design: This was a quasi-experimental studywith a comparator group.This was a quasi-experimental study Subjects: The analytic sample included patients with diabetes with uncontrolled cardiovascular risk factors (A1C &gt;9%, blood pressure &gt;140/90 mm Hg, low-density lipoprotein-cholesterol &gt;130 mg/dL) who had 1 or more visits in either a UCMyRx (648 patients, 14 practices) or usual care practice (1944 patients, 14 practices). Measures: Our outcomes were ED and hospitalization rates as measured before and after the consultations between UCMyRx and usual care. Our predictor variable was the pharmacist consultation. Poisson generalized estimating equations model was used to estimate the adjusted predicted change in utilization before and after the pharmacist consultation. The Average Treatment Effect on the Treated was estimated. Results: In models adjusted, the adjusted mean predicted number of emergency department visits/month during the year before the consultation was 0.09 among UCMyRx patients. During the year after initiating the care with the pharmacists, this rate decreased to an adjusted mean monthly rate of 0.07, with an Average Treatment Effect on the Treated=0.021 (P=0.035), a predicted reduction of 21% in emergency department visits associated with the clinical pharmacist consults. There was a nonsignificant predicted 3.2% reduction in hospitalizations over time for patients in the UCMyRx program. Conclusion: Clinical pharmacists are an important addition to clinical care teams in primary care practices and significantly decreased utilization of the ED among patients with poorly controlled diabetes.","author":[{"dropping-particle":"","family":"Moreno","given":"Gerardo","non-dropping-particle":"","parse-names":false,"suffix":""},{"dropping-particle":"","family":"Fu","given":"Jeffery Y.","non-dropping-particle":"","parse-names":false,"suffix":""},{"dropping-particle":"","family":"Chon","given":"Janet S.","non-dropping-particle":"","parse-names":false,"suffix":""},{"dropping-particle":"","family":"Bell","given":"Douglas S.","non-dropping-particle":"","parse-names":false,"suffix":""},{"dropping-particle":"","family":"Grotts","given":"Jonathan","non-dropping-particle":"","parse-names":false,"suffix":""},{"dropping-particle":"","family":"Tseng","given":"Chi Hong","non-dropping-particle":"","parse-names":false,"suffix":""},{"dropping-particle":"","family":"Maranon","given":"Richard","non-dropping-particle":"","parse-names":false,"suffix":""},{"dropping-particle":"","family":"Skootsky","given":"Samuel S.","non-dropping-particle":"","parse-names":false,"suffix":""},{"dropping-particle":"","family":"Mangione","given":"Carol M.","non-dropping-particle":"","parse-names":false,"suffix":""}],"container-title":"Medical Care","id":"ITEM-1","issue":"4","issued":{"date-parts":[["2021"]]},"page":"348-353","title":"Reducing Emergency Department Visits among Patients with Diabetes by Embedding Clinical Pharmacists in the Primary Care Teams","type":"article-journal","volume":"59"},"uris":["http://www.mendeley.com/documents/?uuid=29a42631-6f48-46fa-ae61-d8f9efbee9e6"]}],"mendeley":{"formattedCitation":"(Moreno &lt;i&gt;et al.&lt;/i&gt;, 2021)","manualFormatting":"Moreno et al. (2021)","plainTextFormattedCitation":"(Moreno et al., 2021)","previouslyFormattedCitation":"(Moreno &lt;i&gt;et al.&lt;/i&gt;, 2021)"},"properties":{"noteIndex":0},"schema":"https://github.com/citation-style-language/schema/raw/master/csl-citation.json"}</w:instrText>
      </w:r>
      <w:r w:rsidRPr="00876389">
        <w:rPr>
          <w:rFonts w:ascii="Arial" w:eastAsia="Times New Roman" w:hAnsi="Arial" w:cs="Arial"/>
          <w:sz w:val="24"/>
          <w:szCs w:val="24"/>
          <w:lang w:val="en-GB"/>
        </w:rPr>
        <w:fldChar w:fldCharType="separate"/>
      </w:r>
      <w:r w:rsidRPr="006A7F1E">
        <w:rPr>
          <w:rFonts w:ascii="Arial" w:eastAsia="Times New Roman" w:hAnsi="Arial" w:cs="Arial"/>
          <w:noProof/>
          <w:sz w:val="24"/>
          <w:szCs w:val="24"/>
          <w:lang w:val="en-GB"/>
        </w:rPr>
        <w:t xml:space="preserve">Moreno </w:t>
      </w:r>
      <w:r w:rsidRPr="006A7F1E">
        <w:rPr>
          <w:rFonts w:ascii="Arial" w:eastAsia="Times New Roman" w:hAnsi="Arial" w:cs="Arial"/>
          <w:i/>
          <w:iCs/>
          <w:noProof/>
          <w:sz w:val="24"/>
          <w:szCs w:val="24"/>
          <w:lang w:val="en-GB"/>
        </w:rPr>
        <w:t>et al.</w:t>
      </w:r>
      <w:r w:rsidRPr="006A7F1E">
        <w:rPr>
          <w:rFonts w:ascii="Arial" w:eastAsia="Times New Roman" w:hAnsi="Arial" w:cs="Arial"/>
          <w:noProof/>
          <w:sz w:val="24"/>
          <w:szCs w:val="24"/>
          <w:lang w:val="en-GB"/>
        </w:rPr>
        <w:t xml:space="preserve"> (2021)</w:t>
      </w:r>
      <w:r w:rsidRPr="00876389">
        <w:rPr>
          <w:rFonts w:ascii="Arial" w:eastAsia="Times New Roman" w:hAnsi="Arial" w:cs="Arial"/>
          <w:sz w:val="24"/>
          <w:szCs w:val="24"/>
          <w:lang w:val="en-GB"/>
        </w:rPr>
        <w:fldChar w:fldCharType="end"/>
      </w:r>
      <w:r w:rsidRPr="006A7F1E">
        <w:rPr>
          <w:rFonts w:ascii="Arial" w:hAnsi="Arial" w:cs="Arial"/>
          <w:noProof/>
          <w:sz w:val="24"/>
          <w:szCs w:val="24"/>
          <w:lang w:val="en-GB"/>
        </w:rPr>
        <w:t xml:space="preserve"> </w:t>
      </w:r>
      <w:r w:rsidRPr="006A7F1E">
        <w:rPr>
          <w:rFonts w:ascii="Arial" w:hAnsi="Arial" w:cs="Arial"/>
          <w:sz w:val="24"/>
          <w:szCs w:val="24"/>
        </w:rPr>
        <w:t xml:space="preserve">concluded that adding pharmacists to diabetes care is important and can be a cost-effective strategy because both the absolute number of disease-related hospitalisations and the number of DM-related visits to ER were decreased (i.e. a reduction in healthcare utilization) as a result of pharmacist’s interventions. However, </w:t>
      </w:r>
      <w:r w:rsidRPr="006A7F1E">
        <w:rPr>
          <w:rFonts w:ascii="Arial" w:hAnsi="Arial" w:cs="Arial"/>
          <w:noProof/>
          <w:sz w:val="24"/>
          <w:szCs w:val="24"/>
          <w:lang w:val="en-GB"/>
        </w:rPr>
        <w:t xml:space="preserve">Abdulrhim </w:t>
      </w:r>
      <w:r w:rsidRPr="006A7F1E">
        <w:rPr>
          <w:rFonts w:ascii="Arial" w:hAnsi="Arial" w:cs="Arial"/>
          <w:i/>
          <w:noProof/>
          <w:sz w:val="24"/>
          <w:szCs w:val="24"/>
          <w:lang w:val="en-GB"/>
        </w:rPr>
        <w:t>et al.</w:t>
      </w:r>
      <w:r w:rsidRPr="006A7F1E">
        <w:rPr>
          <w:rFonts w:ascii="Arial" w:hAnsi="Arial" w:cs="Arial"/>
          <w:noProof/>
          <w:sz w:val="24"/>
          <w:szCs w:val="24"/>
          <w:lang w:val="en-GB"/>
        </w:rPr>
        <w:t xml:space="preserve"> (2020)</w:t>
      </w:r>
      <w:r w:rsidRPr="006A7F1E">
        <w:rPr>
          <w:rFonts w:ascii="Arial" w:hAnsi="Arial" w:cs="Arial"/>
          <w:i/>
          <w:noProof/>
          <w:sz w:val="24"/>
          <w:szCs w:val="24"/>
          <w:lang w:val="en-GB"/>
        </w:rPr>
        <w:t xml:space="preserve"> and </w:t>
      </w:r>
      <w:r w:rsidRPr="00876389">
        <w:rPr>
          <w:rFonts w:ascii="Arial" w:eastAsia="Times New Roman" w:hAnsi="Arial" w:cs="Arial"/>
          <w:sz w:val="24"/>
          <w:szCs w:val="24"/>
          <w:lang w:val="en-GB"/>
        </w:rPr>
        <w:fldChar w:fldCharType="begin" w:fldLock="1"/>
      </w:r>
      <w:r w:rsidRPr="006A7F1E">
        <w:rPr>
          <w:rFonts w:ascii="Arial" w:eastAsia="Times New Roman" w:hAnsi="Arial" w:cs="Arial"/>
          <w:sz w:val="24"/>
          <w:szCs w:val="24"/>
          <w:lang w:val="en-GB"/>
        </w:rPr>
        <w:instrText>ADDIN CSL_CITATION {"citationItems":[{"id":"ITEM-1","itemData":{"DOI":"10.1016/j.japh.2021.12.015","ISSN":"15443450","PMID":"35027281","abstract":"Background: There is a growing shortage of primary care physicians. Pharmacists can fill the gap, and interdisciplinary teams are being evaluated as part of health care reform. Objective: This study aimed to determine whether adding a pharmacist to an interprofessional health team will improve diabetes outcomes. Methods: In this 2-phase pilot study, Medicaid-eligible patients with diabetes were randomized to receive standard of care (control arm) or standard of care plus the care of a pharmacist (intervention arm) for 12 months (phase 1). The primary outcome was change in glycated hemoglobin (A1C) from baseline. Secondary outcomes included identifying and correcting medication therapy problems (MTPs) for comorbid conditions, adherence to preventive care visits, health care utilization, self-rated health, and satisfaction surveys. After phase 1, patients in the control arm who did not achieve an A1C of &lt; 8% were eligible to enroll into phase 2 where they received treatment with a pharmacist for 6 months. Results: Of the 239 patients enrolled, 122 completed phase 1. At 12 months, intervention patients’ mean A1C was 1.85 percentage point (pp) below baseline versus 0.94 pp for control (between-group difference 0.91 pp; P = 0.0218). Most control patients (79%) who completed phase 1 and enrolled into phase 2 improved their A1C by more than 1 pp (P &lt; 0.01). The pharmacists completed 806 patient visits and identified 2638 MTPs. Intervention patients were more adherent to preventive care visits with nutrition (P = 0.043), ophthalmology (P = 0.002), and dentistry (P = 0.007). For intervention patients, 78% rated their experience with the pharmacist as excellent whereas, for control patients, 37% rated their experience with their provider as excellent. Conclusion: Pharmacist comanagement of patients with diabetes can significantly improve glucose control and patient satisfaction. Creative payment models were used to include pharmacists in the interprofessional patient care team.","author":[{"dropping-particle":"","family":"Wagner","given":"Mary L.","non-dropping-particle":"","parse-names":false,"suffix":""},{"dropping-particle":"","family":"McCarthy","given":"Caitlin","non-dropping-particle":"","parse-names":false,"suffix":""},{"dropping-particle":"","family":"Bateman","given":"M. Thomas","non-dropping-particle":"","parse-names":false,"suffix":""},{"dropping-particle":"","family":"Simmons","given":"Daniel","non-dropping-particle":"","parse-names":false,"suffix":""},{"dropping-particle":"","family":"Prioli","given":"Katherine M.","non-dropping-particle":"","parse-names":false,"suffix":""}],"container-title":"Journal of the American Pharmacists Association","id":"ITEM-1","issue":"3","issued":{"date-parts":[["2022"]]},"page":"775-782.e3","publisher":"American Pharmacists Association®","title":"Pharmacists improve diabetes outcomes: a randomized controlled trial","type":"article-journal","volume":"62"},"uris":["http://www.mendeley.com/documents/?uuid=34bb99b6-2c20-4cd3-9a92-b8ce9fbc53d5"]}],"mendeley":{"formattedCitation":"(Wagner &lt;i&gt;et al.&lt;/i&gt;, 2022)","plainTextFormattedCitation":"(Wagner et al., 2022)","previouslyFormattedCitation":"(Wagner &lt;i&gt;et al.&lt;/i&gt;, 2022)"},"properties":{"noteIndex":0},"schema":"https://github.com/citation-style-language/schema/raw/master/csl-citation.json"}</w:instrText>
      </w:r>
      <w:r w:rsidRPr="00876389">
        <w:rPr>
          <w:rFonts w:ascii="Arial" w:eastAsia="Times New Roman" w:hAnsi="Arial" w:cs="Arial"/>
          <w:sz w:val="24"/>
          <w:szCs w:val="24"/>
          <w:lang w:val="en-GB"/>
        </w:rPr>
        <w:fldChar w:fldCharType="separate"/>
      </w:r>
      <w:r w:rsidRPr="006A7F1E">
        <w:rPr>
          <w:rFonts w:ascii="Arial" w:eastAsia="Times New Roman" w:hAnsi="Arial" w:cs="Arial"/>
          <w:noProof/>
          <w:sz w:val="24"/>
          <w:szCs w:val="24"/>
          <w:lang w:val="en-GB"/>
        </w:rPr>
        <w:t xml:space="preserve">(Wagner </w:t>
      </w:r>
      <w:r w:rsidRPr="006A7F1E">
        <w:rPr>
          <w:rFonts w:ascii="Arial" w:eastAsia="Times New Roman" w:hAnsi="Arial" w:cs="Arial"/>
          <w:i/>
          <w:noProof/>
          <w:sz w:val="24"/>
          <w:szCs w:val="24"/>
          <w:lang w:val="en-GB"/>
        </w:rPr>
        <w:t>et al.</w:t>
      </w:r>
      <w:r w:rsidRPr="006A7F1E">
        <w:rPr>
          <w:rFonts w:ascii="Arial" w:eastAsia="Times New Roman" w:hAnsi="Arial" w:cs="Arial"/>
          <w:noProof/>
          <w:sz w:val="24"/>
          <w:szCs w:val="24"/>
          <w:lang w:val="en-GB"/>
        </w:rPr>
        <w:t>, 2022)</w:t>
      </w:r>
      <w:r w:rsidRPr="00876389">
        <w:rPr>
          <w:rFonts w:ascii="Arial" w:eastAsia="Times New Roman" w:hAnsi="Arial" w:cs="Arial"/>
          <w:sz w:val="24"/>
          <w:szCs w:val="24"/>
          <w:lang w:val="en-GB"/>
        </w:rPr>
        <w:fldChar w:fldCharType="end"/>
      </w:r>
      <w:r w:rsidRPr="006A7F1E">
        <w:rPr>
          <w:rFonts w:ascii="Arial" w:eastAsia="Times New Roman" w:hAnsi="Arial" w:cs="Arial"/>
          <w:sz w:val="24"/>
          <w:szCs w:val="24"/>
          <w:lang w:val="en-GB"/>
        </w:rPr>
        <w:t xml:space="preserve"> </w:t>
      </w:r>
      <w:r w:rsidRPr="006A7F1E">
        <w:rPr>
          <w:rFonts w:ascii="Arial" w:hAnsi="Arial" w:cs="Arial"/>
          <w:iCs/>
          <w:noProof/>
          <w:sz w:val="24"/>
          <w:szCs w:val="24"/>
          <w:lang w:val="en-GB"/>
        </w:rPr>
        <w:t>reported that</w:t>
      </w:r>
      <w:r w:rsidRPr="006A7F1E">
        <w:rPr>
          <w:rFonts w:ascii="Arial" w:hAnsi="Arial" w:cs="Arial"/>
          <w:i/>
          <w:noProof/>
          <w:sz w:val="24"/>
          <w:szCs w:val="24"/>
          <w:lang w:val="en-GB"/>
        </w:rPr>
        <w:t xml:space="preserve"> </w:t>
      </w:r>
      <w:r w:rsidRPr="006A7F1E">
        <w:rPr>
          <w:rFonts w:ascii="Arial" w:hAnsi="Arial" w:cs="Arial"/>
          <w:sz w:val="24"/>
          <w:szCs w:val="24"/>
          <w:lang w:val="en-GB"/>
        </w:rPr>
        <w:t xml:space="preserve">pharmacists’ interventions may increase medication cost, which can be explained by Cowart et.al (2022), who found that pharmacist-doctor collaborative care practices have improved diabetes-related therapeutic inertia by intensifying antidiabetic therapy. Although pharmacists' interventions may increase medications costs, </w:t>
      </w:r>
      <w:r w:rsidRPr="006A7F1E">
        <w:rPr>
          <w:rFonts w:ascii="Arial" w:hAnsi="Arial" w:cs="Arial"/>
          <w:noProof/>
          <w:sz w:val="24"/>
          <w:szCs w:val="24"/>
          <w:lang w:val="en-GB"/>
        </w:rPr>
        <w:t xml:space="preserve">Abdulrhim </w:t>
      </w:r>
      <w:r w:rsidRPr="006A7F1E">
        <w:rPr>
          <w:rFonts w:ascii="Arial" w:hAnsi="Arial" w:cs="Arial"/>
          <w:i/>
          <w:noProof/>
          <w:sz w:val="24"/>
          <w:szCs w:val="24"/>
          <w:lang w:val="en-GB"/>
        </w:rPr>
        <w:t>et al.</w:t>
      </w:r>
      <w:r w:rsidRPr="006A7F1E">
        <w:rPr>
          <w:rFonts w:ascii="Arial" w:hAnsi="Arial" w:cs="Arial"/>
          <w:noProof/>
          <w:sz w:val="24"/>
          <w:szCs w:val="24"/>
          <w:lang w:val="en-GB"/>
        </w:rPr>
        <w:t xml:space="preserve">, (2020) </w:t>
      </w:r>
      <w:r w:rsidRPr="006A7F1E">
        <w:rPr>
          <w:rFonts w:ascii="Arial" w:hAnsi="Arial" w:cs="Arial"/>
          <w:i/>
          <w:noProof/>
          <w:sz w:val="24"/>
          <w:szCs w:val="24"/>
          <w:lang w:val="en-GB"/>
        </w:rPr>
        <w:t xml:space="preserve">and </w:t>
      </w:r>
      <w:r w:rsidRPr="00876389">
        <w:rPr>
          <w:rFonts w:ascii="Arial" w:eastAsia="Times New Roman" w:hAnsi="Arial" w:cs="Arial"/>
          <w:sz w:val="24"/>
          <w:szCs w:val="24"/>
          <w:lang w:val="en-GB"/>
        </w:rPr>
        <w:fldChar w:fldCharType="begin" w:fldLock="1"/>
      </w:r>
      <w:r w:rsidRPr="006A7F1E">
        <w:rPr>
          <w:rFonts w:ascii="Arial" w:eastAsia="Times New Roman" w:hAnsi="Arial" w:cs="Arial"/>
          <w:sz w:val="24"/>
          <w:szCs w:val="24"/>
          <w:lang w:val="en-GB"/>
        </w:rPr>
        <w:instrText>ADDIN CSL_CITATION {"citationItems":[{"id":"ITEM-1","itemData":{"DOI":"10.1016/j.japh.2021.12.015","ISSN":"15443450","PMID":"35027281","abstract":"Background: There is a growing shortage of primary care physicians. Pharmacists can fill the gap, and interdisciplinary teams are being evaluated as part of health care reform. Objective: This study aimed to determine whether adding a pharmacist to an interprofessional health team will improve diabetes outcomes. Methods: In this 2-phase pilot study, Medicaid-eligible patients with diabetes were randomized to receive standard of care (control arm) or standard of care plus the care of a pharmacist (intervention arm) for 12 months (phase 1). The primary outcome was change in glycated hemoglobin (A1C) from baseline. Secondary outcomes included identifying and correcting medication therapy problems (MTPs) for comorbid conditions, adherence to preventive care visits, health care utilization, self-rated health, and satisfaction surveys. After phase 1, patients in the control arm who did not achieve an A1C of &lt; 8% were eligible to enroll into phase 2 where they received treatment with a pharmacist for 6 months. Results: Of the 239 patients enrolled, 122 completed phase 1. At 12 months, intervention patients’ mean A1C was 1.85 percentage point (pp) below baseline versus 0.94 pp for control (between-group difference 0.91 pp; P = 0.0218). Most control patients (79%) who completed phase 1 and enrolled into phase 2 improved their A1C by more than 1 pp (P &lt; 0.01). The pharmacists completed 806 patient visits and identified 2638 MTPs. Intervention patients were more adherent to preventive care visits with nutrition (P = 0.043), ophthalmology (P = 0.002), and dentistry (P = 0.007). For intervention patients, 78% rated their experience with the pharmacist as excellent whereas, for control patients, 37% rated their experience with their provider as excellent. Conclusion: Pharmacist comanagement of patients with diabetes can significantly improve glucose control and patient satisfaction. Creative payment models were used to include pharmacists in the interprofessional patient care team.","author":[{"dropping-particle":"","family":"Wagner","given":"Mary L.","non-dropping-particle":"","parse-names":false,"suffix":""},{"dropping-particle":"","family":"McCarthy","given":"Caitlin","non-dropping-particle":"","parse-names":false,"suffix":""},{"dropping-particle":"","family":"Bateman","given":"M. Thomas","non-dropping-particle":"","parse-names":false,"suffix":""},{"dropping-particle":"","family":"Simmons","given":"Daniel","non-dropping-particle":"","parse-names":false,"suffix":""},{"dropping-particle":"","family":"Prioli","given":"Katherine M.","non-dropping-particle":"","parse-names":false,"suffix":""}],"container-title":"Journal of the American Pharmacists Association","id":"ITEM-1","issue":"3","issued":{"date-parts":[["2022"]]},"page":"775-782.e3","publisher":"American Pharmacists Association®","title":"Pharmacists improve diabetes outcomes: a randomized controlled trial","type":"article-journal","volume":"62"},"uris":["http://www.mendeley.com/documents/?uuid=34bb99b6-2c20-4cd3-9a92-b8ce9fbc53d5"]}],"mendeley":{"formattedCitation":"(Wagner &lt;i&gt;et al.&lt;/i&gt;, 2022)","plainTextFormattedCitation":"(Wagner et al., 2022)","previouslyFormattedCitation":"(Wagner &lt;i&gt;et al.&lt;/i&gt;, 2022)"},"properties":{"noteIndex":0},"schema":"https://github.com/citation-style-language/schema/raw/master/csl-citation.json"}</w:instrText>
      </w:r>
      <w:r w:rsidRPr="00876389">
        <w:rPr>
          <w:rFonts w:ascii="Arial" w:eastAsia="Times New Roman" w:hAnsi="Arial" w:cs="Arial"/>
          <w:sz w:val="24"/>
          <w:szCs w:val="24"/>
          <w:lang w:val="en-GB"/>
        </w:rPr>
        <w:fldChar w:fldCharType="separate"/>
      </w:r>
      <w:r w:rsidRPr="006A7F1E">
        <w:rPr>
          <w:rFonts w:ascii="Arial" w:eastAsia="Times New Roman" w:hAnsi="Arial" w:cs="Arial"/>
          <w:noProof/>
          <w:sz w:val="24"/>
          <w:szCs w:val="24"/>
          <w:lang w:val="en-GB"/>
        </w:rPr>
        <w:t xml:space="preserve">(Wagner </w:t>
      </w:r>
      <w:r w:rsidRPr="006A7F1E">
        <w:rPr>
          <w:rFonts w:ascii="Arial" w:eastAsia="Times New Roman" w:hAnsi="Arial" w:cs="Arial"/>
          <w:i/>
          <w:noProof/>
          <w:sz w:val="24"/>
          <w:szCs w:val="24"/>
          <w:lang w:val="en-GB"/>
        </w:rPr>
        <w:t>et al.</w:t>
      </w:r>
      <w:r w:rsidRPr="006A7F1E">
        <w:rPr>
          <w:rFonts w:ascii="Arial" w:eastAsia="Times New Roman" w:hAnsi="Arial" w:cs="Arial"/>
          <w:noProof/>
          <w:sz w:val="24"/>
          <w:szCs w:val="24"/>
          <w:lang w:val="en-GB"/>
        </w:rPr>
        <w:t>, 2022)</w:t>
      </w:r>
      <w:r w:rsidRPr="00876389">
        <w:rPr>
          <w:rFonts w:ascii="Arial" w:eastAsia="Times New Roman" w:hAnsi="Arial" w:cs="Arial"/>
          <w:sz w:val="24"/>
          <w:szCs w:val="24"/>
          <w:lang w:val="en-GB"/>
        </w:rPr>
        <w:fldChar w:fldCharType="end"/>
      </w:r>
      <w:r w:rsidRPr="006A7F1E">
        <w:rPr>
          <w:rFonts w:ascii="Arial" w:eastAsia="Times New Roman" w:hAnsi="Arial" w:cs="Arial"/>
          <w:sz w:val="24"/>
          <w:szCs w:val="24"/>
          <w:lang w:val="en-GB"/>
        </w:rPr>
        <w:t xml:space="preserve">  </w:t>
      </w:r>
      <w:r w:rsidRPr="006A7F1E">
        <w:rPr>
          <w:rFonts w:ascii="Arial" w:hAnsi="Arial" w:cs="Arial"/>
          <w:noProof/>
          <w:sz w:val="24"/>
          <w:szCs w:val="24"/>
          <w:lang w:val="en-GB"/>
        </w:rPr>
        <w:t xml:space="preserve">concluded  that pharmacists' interventions can led to cost saving by reducing medical costs such as hospitalisation rates and emergency visits. </w:t>
      </w:r>
      <w:r w:rsidRPr="00876389">
        <w:rPr>
          <w:rFonts w:ascii="Arial" w:eastAsia="Times New Roman" w:hAnsi="Arial" w:cs="Arial"/>
          <w:sz w:val="24"/>
          <w:szCs w:val="24"/>
          <w:lang w:val="en-GB"/>
        </w:rPr>
        <w:fldChar w:fldCharType="begin" w:fldLock="1"/>
      </w:r>
      <w:r w:rsidRPr="006A7F1E">
        <w:rPr>
          <w:rFonts w:ascii="Arial" w:eastAsia="Times New Roman" w:hAnsi="Arial" w:cs="Arial"/>
          <w:sz w:val="24"/>
          <w:szCs w:val="24"/>
          <w:lang w:val="en-GB"/>
        </w:rPr>
        <w:instrText>ADDIN CSL_CITATION {"citationItems":[{"id":"ITEM-1","itemData":{"DOI":"10.1016/j.japh.2021.12.015","ISSN":"15443450","PMID":"35027281","abstract":"Background: There is a growing shortage of primary care physicians. Pharmacists can fill the gap, and interdisciplinary teams are being evaluated as part of health care reform. Objective: This study aimed to determine whether adding a pharmacist to an interprofessional health team will improve diabetes outcomes. Methods: In this 2-phase pilot study, Medicaid-eligible patients with diabetes were randomized to receive standard of care (control arm) or standard of care plus the care of a pharmacist (intervention arm) for 12 months (phase 1). The primary outcome was change in glycated hemoglobin (A1C) from baseline. Secondary outcomes included identifying and correcting medication therapy problems (MTPs) for comorbid conditions, adherence to preventive care visits, health care utilization, self-rated health, and satisfaction surveys. After phase 1, patients in the control arm who did not achieve an A1C of &lt; 8% were eligible to enroll into phase 2 where they received treatment with a pharmacist for 6 months. Results: Of the 239 patients enrolled, 122 completed phase 1. At 12 months, intervention patients’ mean A1C was 1.85 percentage point (pp) below baseline versus 0.94 pp for control (between-group difference 0.91 pp; P = 0.0218). Most control patients (79%) who completed phase 1 and enrolled into phase 2 improved their A1C by more than 1 pp (P &lt; 0.01). The pharmacists completed 806 patient visits and identified 2638 MTPs. Intervention patients were more adherent to preventive care visits with nutrition (P = 0.043), ophthalmology (P = 0.002), and dentistry (P = 0.007). For intervention patients, 78% rated their experience with the pharmacist as excellent whereas, for control patients, 37% rated their experience with their provider as excellent. Conclusion: Pharmacist comanagement of patients with diabetes can significantly improve glucose control and patient satisfaction. Creative payment models were used to include pharmacists in the interprofessional patient care team.","author":[{"dropping-particle":"","family":"Wagner","given":"Mary L.","non-dropping-particle":"","parse-names":false,"suffix":""},{"dropping-particle":"","family":"McCarthy","given":"Caitlin","non-dropping-particle":"","parse-names":false,"suffix":""},{"dropping-particle":"","family":"Bateman","given":"M. Thomas","non-dropping-particle":"","parse-names":false,"suffix":""},{"dropping-particle":"","family":"Simmons","given":"Daniel","non-dropping-particle":"","parse-names":false,"suffix":""},{"dropping-particle":"","family":"Prioli","given":"Katherine M.","non-dropping-particle":"","parse-names":false,"suffix":""}],"container-title":"Journal of the American Pharmacists Association","id":"ITEM-1","issue":"3","issued":{"date-parts":[["2022"]]},"page":"775-782.e3","publisher":"American Pharmacists Association®","title":"Pharmacists improve diabetes outcomes: a randomized controlled trial","type":"article-journal","volume":"62"},"uris":["http://www.mendeley.com/documents/?uuid=34bb99b6-2c20-4cd3-9a92-b8ce9fbc53d5"]}],"mendeley":{"formattedCitation":"(Wagner &lt;i&gt;et al.&lt;/i&gt;, 2022)","plainTextFormattedCitation":"(Wagner et al., 2022)","previouslyFormattedCitation":"(Wagner &lt;i&gt;et al.&lt;/i&gt;, 2022)"},"properties":{"noteIndex":0},"schema":"https://github.com/citation-style-language/schema/raw/master/csl-citation.json"}</w:instrText>
      </w:r>
      <w:r w:rsidRPr="00876389">
        <w:rPr>
          <w:rFonts w:ascii="Arial" w:eastAsia="Times New Roman" w:hAnsi="Arial" w:cs="Arial"/>
          <w:sz w:val="24"/>
          <w:szCs w:val="24"/>
          <w:lang w:val="en-GB"/>
        </w:rPr>
        <w:fldChar w:fldCharType="separate"/>
      </w:r>
      <w:r w:rsidRPr="006A7F1E">
        <w:rPr>
          <w:rFonts w:ascii="Arial" w:eastAsia="Times New Roman" w:hAnsi="Arial" w:cs="Arial"/>
          <w:noProof/>
          <w:sz w:val="24"/>
          <w:szCs w:val="24"/>
          <w:lang w:val="en-GB"/>
        </w:rPr>
        <w:t xml:space="preserve">(Wagner </w:t>
      </w:r>
      <w:r w:rsidRPr="006A7F1E">
        <w:rPr>
          <w:rFonts w:ascii="Arial" w:eastAsia="Times New Roman" w:hAnsi="Arial" w:cs="Arial"/>
          <w:i/>
          <w:noProof/>
          <w:sz w:val="24"/>
          <w:szCs w:val="24"/>
          <w:lang w:val="en-GB"/>
        </w:rPr>
        <w:t>et al.</w:t>
      </w:r>
      <w:r w:rsidRPr="006A7F1E">
        <w:rPr>
          <w:rFonts w:ascii="Arial" w:eastAsia="Times New Roman" w:hAnsi="Arial" w:cs="Arial"/>
          <w:noProof/>
          <w:sz w:val="24"/>
          <w:szCs w:val="24"/>
          <w:lang w:val="en-GB"/>
        </w:rPr>
        <w:t>, 2022)</w:t>
      </w:r>
      <w:r w:rsidRPr="00876389">
        <w:rPr>
          <w:rFonts w:ascii="Arial" w:eastAsia="Times New Roman" w:hAnsi="Arial" w:cs="Arial"/>
          <w:sz w:val="24"/>
          <w:szCs w:val="24"/>
          <w:lang w:val="en-GB"/>
        </w:rPr>
        <w:fldChar w:fldCharType="end"/>
      </w:r>
      <w:r w:rsidRPr="006A7F1E">
        <w:rPr>
          <w:rFonts w:ascii="Arial" w:eastAsia="Times New Roman" w:hAnsi="Arial" w:cs="Arial"/>
          <w:sz w:val="24"/>
          <w:szCs w:val="24"/>
          <w:lang w:val="en-GB"/>
        </w:rPr>
        <w:t xml:space="preserve"> </w:t>
      </w:r>
      <w:r w:rsidRPr="006A7F1E">
        <w:rPr>
          <w:rStyle w:val="selectable"/>
          <w:rFonts w:ascii="Arial" w:hAnsi="Arial" w:cs="Arial"/>
          <w:sz w:val="24"/>
          <w:szCs w:val="24"/>
        </w:rPr>
        <w:t>recommend that healthcare practitioners direct patients who are experiencing problems achieving their treatment objectives to a pharmacist because it is probably more affordable to do this before referring the patient to an endocrinologist.</w:t>
      </w:r>
    </w:p>
    <w:p w14:paraId="6377EF5E" w14:textId="77777777" w:rsidR="00941883" w:rsidRPr="006A7F1E" w:rsidRDefault="00941883" w:rsidP="00941883">
      <w:pPr>
        <w:autoSpaceDE w:val="0"/>
        <w:autoSpaceDN w:val="0"/>
        <w:adjustRightInd w:val="0"/>
        <w:spacing w:after="0" w:line="360" w:lineRule="auto"/>
        <w:jc w:val="both"/>
        <w:rPr>
          <w:rFonts w:ascii="Arial" w:hAnsi="Arial" w:cs="Arial"/>
          <w:noProof/>
          <w:sz w:val="24"/>
          <w:szCs w:val="24"/>
          <w:lang w:val="en-GB"/>
        </w:rPr>
      </w:pPr>
      <w:r w:rsidRPr="006A7F1E">
        <w:rPr>
          <w:rFonts w:ascii="Arial" w:hAnsi="Arial" w:cs="Arial"/>
          <w:sz w:val="24"/>
          <w:szCs w:val="24"/>
          <w:lang w:val="en-GB"/>
        </w:rPr>
        <w:t xml:space="preserve">These findings may suggest </w:t>
      </w:r>
      <w:r w:rsidRPr="006A7F1E">
        <w:rPr>
          <w:rFonts w:ascii="Arial" w:hAnsi="Arial" w:cs="Arial"/>
          <w:sz w:val="24"/>
          <w:szCs w:val="24"/>
        </w:rPr>
        <w:t xml:space="preserve">the efficiency and effectiveness of diabetes management by pharmacists </w:t>
      </w:r>
      <w:r w:rsidRPr="00876389">
        <w:rPr>
          <w:rStyle w:val="selectable"/>
          <w:rFonts w:ascii="Arial" w:hAnsi="Arial" w:cs="Arial"/>
          <w:sz w:val="24"/>
          <w:szCs w:val="24"/>
        </w:rPr>
        <w:fldChar w:fldCharType="begin" w:fldLock="1"/>
      </w:r>
      <w:r w:rsidRPr="006A7F1E">
        <w:rPr>
          <w:rStyle w:val="selectable"/>
          <w:rFonts w:ascii="Arial" w:hAnsi="Arial" w:cs="Arial"/>
          <w:sz w:val="24"/>
          <w:szCs w:val="24"/>
        </w:rPr>
        <w:instrText>ADDIN CSL_CITATION {"citationItems":[{"id":"ITEM-1","itemData":{"DOI":"10.1177/0897190017710522","ISBN":"0897190017","ISSN":"15311937","abstract":"BACKGROUND: This study analyzed the impact of a pharmacist-managed diabetes clinic on clinical outcomes compared to usual care received from primary care providers (PCPs). This comparison may more definitively demonstrate the value of pharmacist management of chronic disease states., METHODS: Retrospective observational cohort study conducted in patients referred to a pharmacist-managed pharmacotherapy (PT) clinic from July 2009 to October 2014., RESULTS: For the primary outcome, the absolute change in A1c during the usual care phase was +1.53% (95% confidence interval [CI]: 1.10-1.96, P &lt; .0001) versus an absolute change of -1.63% (95% CI: -1.28 to -1.97, P &lt; .0001) in the intervention phase. For secondary outcomes, diabetes-related hospitalizations (10 vs 6, P = .104) and emergency room (ER) visits (27 vs 8, P = .049) decreased in the intervention phase compared to the usual care phase. The rate of diabetes-related interventions made per patient per year in the usual care phase was 2.7 versus 11.1 in the intervention phase ( P &lt; .0001)., CONCLUSION: Patients referred to the PT clinic had worsening blood glucose control prior to referral, and their control improved after referral to the clinic. Furthermore, there was an improvement in all diabetes-related outcomes in the intervention phase compared to the usual care phase.","author":[{"dropping-particle":"","family":"Schultz","given":"Jordan L.","non-dropping-particle":"","parse-names":false,"suffix":""},{"dropping-particle":"","family":"Horner","given":"Kathleen E.","non-dropping-particle":"","parse-names":false,"suffix":""},{"dropping-particle":"","family":"McDanel","given":"Deanna L.","non-dropping-particle":"","parse-names":false,"suffix":""},{"dropping-particle":"","family":"Miller","given":"Michelle L.","non-dropping-particle":"","parse-names":false,"suffix":""},{"dropping-particle":"","family":"Beranek","given":"Randi L.","non-dropping-particle":"","parse-names":false,"suffix":""},{"dropping-particle":"","family":"Jacobsen","given":"Ryan B.","non-dropping-particle":"","parse-names":false,"suffix":""},{"dropping-particle":"","family":"Sly","given":"Nichole J.","non-dropping-particle":"","parse-names":false,"suffix":""},{"dropping-particle":"","family":"Miller","given":"Aaron C.","non-dropping-particle":"","parse-names":false,"suffix":""},{"dropping-particle":"","family":"Mascardo","given":"Lisa A.","non-dropping-particle":"","parse-names":false,"suffix":""}],"container-title":"Journal of Pharmacy Practice","id":"ITEM-1","issue":"3","issued":{"date-parts":[["2018"]]},"page":"268-271","publisher-place":"United States","title":"Comparing Clinical Outcomes of a Pharmacist-Managed Diabetes Clinic to Usual Physician-Based Care","type":"article-journal","volume":"31"},"uris":["http://www.mendeley.com/documents/?uuid=b710020d-9e91-4262-be28-b27767472397"]}],"mendeley":{"formattedCitation":"(Schultz &lt;i&gt;et al.&lt;/i&gt;, 2018)","plainTextFormattedCitation":"(Schultz et al., 2018)","previouslyFormattedCitation":"(Schultz &lt;i&gt;et al.&lt;/i&gt;, 2018)"},"properties":{"noteIndex":0},"schema":"https://github.com/citation-style-language/schema/raw/master/csl-citation.json"}</w:instrText>
      </w:r>
      <w:r w:rsidRPr="00876389">
        <w:rPr>
          <w:rStyle w:val="selectable"/>
          <w:rFonts w:ascii="Arial" w:hAnsi="Arial" w:cs="Arial"/>
          <w:sz w:val="24"/>
          <w:szCs w:val="24"/>
        </w:rPr>
        <w:fldChar w:fldCharType="separate"/>
      </w:r>
      <w:r w:rsidRPr="006A7F1E">
        <w:rPr>
          <w:rStyle w:val="selectable"/>
          <w:rFonts w:ascii="Arial" w:hAnsi="Arial" w:cs="Arial"/>
          <w:noProof/>
          <w:sz w:val="24"/>
          <w:szCs w:val="24"/>
        </w:rPr>
        <w:t xml:space="preserve">(Schultz </w:t>
      </w:r>
      <w:r w:rsidRPr="006A7F1E">
        <w:rPr>
          <w:rStyle w:val="selectable"/>
          <w:rFonts w:ascii="Arial" w:hAnsi="Arial" w:cs="Arial"/>
          <w:i/>
          <w:noProof/>
          <w:sz w:val="24"/>
          <w:szCs w:val="24"/>
        </w:rPr>
        <w:t>et al.</w:t>
      </w:r>
      <w:r w:rsidRPr="006A7F1E">
        <w:rPr>
          <w:rStyle w:val="selectable"/>
          <w:rFonts w:ascii="Arial" w:hAnsi="Arial" w:cs="Arial"/>
          <w:noProof/>
          <w:sz w:val="24"/>
          <w:szCs w:val="24"/>
        </w:rPr>
        <w:t>, 2018)</w:t>
      </w:r>
      <w:r w:rsidRPr="00876389">
        <w:rPr>
          <w:rStyle w:val="selectable"/>
          <w:rFonts w:ascii="Arial" w:hAnsi="Arial" w:cs="Arial"/>
          <w:sz w:val="24"/>
          <w:szCs w:val="24"/>
        </w:rPr>
        <w:fldChar w:fldCharType="end"/>
      </w:r>
      <w:r w:rsidRPr="006A7F1E">
        <w:rPr>
          <w:rFonts w:ascii="Arial" w:hAnsi="Arial" w:cs="Arial"/>
          <w:noProof/>
          <w:sz w:val="24"/>
          <w:szCs w:val="24"/>
          <w:lang w:val="en-GB"/>
        </w:rPr>
        <w:t>.</w:t>
      </w:r>
    </w:p>
    <w:p w14:paraId="0B26E5FC" w14:textId="77777777" w:rsidR="00941883" w:rsidRDefault="00941883" w:rsidP="00941883">
      <w:pPr>
        <w:autoSpaceDE w:val="0"/>
        <w:autoSpaceDN w:val="0"/>
        <w:adjustRightInd w:val="0"/>
        <w:spacing w:before="240" w:line="360" w:lineRule="auto"/>
        <w:jc w:val="both"/>
        <w:rPr>
          <w:rStyle w:val="selectable"/>
          <w:rFonts w:ascii="Arial" w:hAnsi="Arial" w:cs="Arial"/>
          <w:sz w:val="24"/>
          <w:szCs w:val="24"/>
        </w:rPr>
      </w:pPr>
      <w:r w:rsidRPr="006B2FC7">
        <w:rPr>
          <w:rFonts w:ascii="Arial" w:eastAsia="Times New Roman" w:hAnsi="Arial" w:cs="Arial"/>
          <w:sz w:val="24"/>
          <w:szCs w:val="24"/>
          <w:lang w:val="en-GB"/>
        </w:rPr>
        <w:fldChar w:fldCharType="begin" w:fldLock="1"/>
      </w:r>
      <w:r>
        <w:rPr>
          <w:rFonts w:ascii="Arial" w:eastAsia="Times New Roman" w:hAnsi="Arial" w:cs="Arial"/>
          <w:sz w:val="24"/>
          <w:szCs w:val="24"/>
          <w:lang w:val="en-GB"/>
        </w:rPr>
        <w:instrText>ADDIN CSL_CITATION {"citationItems":[{"id":"ITEM-1","itemData":{"DOI":"https://dx.doi.org/10.1371/journal.pone.0195898","ISSN":"1932-6203","abstract":"OBJECTIVES: The effectiveness and costs associated with addition of pharmacist-led group medical visits to standard care for patients with Type-2 Diabetes Mellitus (T2DM) is unknown., METHODS: Randomized-controlled-trial in three US Veteran Health Administration (VHA) Hospitals, where 250 patients with T2DM, HbA1c &gt;7% and either hypertension, active smoking or hyperlipidemia were randomized to either (1) addition of pharmacist-led group-medical-visits or (2) standard care alone for 13 months. Group (4-6 patients) visits consisted of 2-hour, education and comprehensive medication management sessions once weekly for 4 weeks, followed by quarterly visits. Change from baseline in cardiovascular risk estimated by the UKPDS-risk-score, health-related quality-of-life (SF36v) and institutional healthcare costs were compared between study arms., RESULTS: After 13 months, both groups had similar and significant improvements from baseline in UKPDS-risk-score (-0.02 +/-0.09 and -0.04 +/-0.09, group visit and standard care respectively, adjusted p&lt;0.05 for both); however, there was no significant difference between the study arms (adjusted p = 0.45). There were no significant differences on improvement from baseline in A1c, systolic-blood-pressure, and LDL as well as health-related quality-of-life measures between the study arms. Compared to 13 months prior, the increase in per-person outpatient expenditure from baseline was significantly lower in the group visit versus the standard care arm, both during the study intervention period and at 13-months after study interventions. The overall VHA healthcare costs/person were comparable between the study arms during the study period (p = 0.15); then decreased by 6% for the group visit but increased by 13% for the standard care arm 13 months post-study (p&lt;0.01)., CONCLUSIONS: Addition of pharmacist-led group medical visits in T2DM achieved similar improvements from baseline in cardiovascular risk factors than usual care, but with reduction in the healthcare costs in the group visit arm 13 months after completion compared to the steady rise in cost for the usual care arm., TRIAL REGISTRATION: NCT00554671 ClinicalTrials.gov.","author":[{"dropping-particle":"","family":"Wu","given":"Wen-Chih","non-dropping-particle":"","parse-names":false,"suffix":""},{"dropping-particle":"","family":"Taveira","given":"Tracey H.","non-dropping-particle":"","parse-names":false,"suffix":""},{"dropping-particle":"","family":"Jeffery","given":"Sean","non-dropping-particle":"","parse-names":false,"suffix":""},{"dropping-particle":"","family":"Jiang","given":"Lan","non-dropping-particle":"","parse-names":false,"suffix":""},{"dropping-particle":"","family":"Tokuda","given":"Lisa","non-dropping-particle":"","parse-names":false,"suffix":""},{"dropping-particle":"","family":"Musial","given":"Joanna","non-dropping-particle":"","parse-names":false,"suffix":""},{"dropping-particle":"","family":"Cohen","given":"Lisa B.","non-dropping-particle":"","parse-names":false,"suffix":""},{"dropping-particle":"","family":"Uhrle","given":"Fred","non-dropping-particle":"","parse-names":false,"suffix":""}],"container-title":"PloS one","editor":[{"dropping-particle":"","family":"Wouwe","given":"Jacobus P.","non-dropping-particle":"van","parse-names":false,"suffix":""}],"id":"ITEM-1","issue":"4","issued":{"date-parts":[["2018","4","19"]]},"page":"e0195898","publisher-place":"United States","title":"Costs and effectiveness of pharmacist-led group medical visits for type-2 diabetes: A multi-center randomized controlled trial.","type":"article-journal","volume":"13"},"uris":["http://www.mendeley.com/documents/?uuid=c252e6de-305e-4908-8843-48a75de5ea72"]}],"mendeley":{"formattedCitation":"(Wu &lt;i&gt;et al.&lt;/i&gt;, 2018)","manualFormatting":"Wu et al. (2018)","plainTextFormattedCitation":"(Wu et al., 2018)","previouslyFormattedCitation":"(Wu &lt;i&gt;et al.&lt;/i&gt;, 2018)"},"properties":{"noteIndex":0},"schema":"https://github.com/citation-style-language/schema/raw/master/csl-citation.json"}</w:instrText>
      </w:r>
      <w:r w:rsidRPr="006B2FC7">
        <w:rPr>
          <w:rFonts w:ascii="Arial" w:eastAsia="Times New Roman" w:hAnsi="Arial" w:cs="Arial"/>
          <w:sz w:val="24"/>
          <w:szCs w:val="24"/>
          <w:lang w:val="en-GB"/>
        </w:rPr>
        <w:fldChar w:fldCharType="separate"/>
      </w:r>
      <w:r w:rsidRPr="006B2FC7">
        <w:rPr>
          <w:rFonts w:ascii="Arial" w:eastAsia="Times New Roman" w:hAnsi="Arial" w:cs="Arial"/>
          <w:noProof/>
          <w:sz w:val="24"/>
          <w:szCs w:val="24"/>
          <w:lang w:val="en-GB"/>
        </w:rPr>
        <w:t xml:space="preserve">Wu </w:t>
      </w:r>
      <w:r w:rsidRPr="006B2FC7">
        <w:rPr>
          <w:rFonts w:ascii="Arial" w:eastAsia="Times New Roman" w:hAnsi="Arial" w:cs="Arial"/>
          <w:i/>
          <w:noProof/>
          <w:sz w:val="24"/>
          <w:szCs w:val="24"/>
          <w:lang w:val="en-GB"/>
        </w:rPr>
        <w:t>et al.</w:t>
      </w:r>
      <w:r w:rsidRPr="006B2FC7">
        <w:rPr>
          <w:rFonts w:ascii="Arial" w:eastAsia="Times New Roman" w:hAnsi="Arial" w:cs="Arial"/>
          <w:noProof/>
          <w:sz w:val="24"/>
          <w:szCs w:val="24"/>
          <w:lang w:val="en-GB"/>
        </w:rPr>
        <w:t xml:space="preserve"> </w:t>
      </w:r>
      <w:r>
        <w:rPr>
          <w:rFonts w:ascii="Arial" w:eastAsia="Times New Roman" w:hAnsi="Arial" w:cs="Arial"/>
          <w:noProof/>
          <w:sz w:val="24"/>
          <w:szCs w:val="24"/>
          <w:lang w:val="en-GB"/>
        </w:rPr>
        <w:t>(</w:t>
      </w:r>
      <w:r w:rsidRPr="006B2FC7">
        <w:rPr>
          <w:rFonts w:ascii="Arial" w:eastAsia="Times New Roman" w:hAnsi="Arial" w:cs="Arial"/>
          <w:noProof/>
          <w:sz w:val="24"/>
          <w:szCs w:val="24"/>
          <w:lang w:val="en-GB"/>
        </w:rPr>
        <w:t>2018)</w:t>
      </w:r>
      <w:r w:rsidRPr="006B2FC7">
        <w:rPr>
          <w:rFonts w:ascii="Arial" w:eastAsia="Times New Roman" w:hAnsi="Arial" w:cs="Arial"/>
          <w:sz w:val="24"/>
          <w:szCs w:val="24"/>
          <w:lang w:val="en-GB"/>
        </w:rPr>
        <w:fldChar w:fldCharType="end"/>
      </w:r>
      <w:r w:rsidRPr="006B2FC7">
        <w:rPr>
          <w:rFonts w:ascii="Arial" w:eastAsia="Times New Roman" w:hAnsi="Arial" w:cs="Arial"/>
          <w:sz w:val="24"/>
          <w:szCs w:val="24"/>
          <w:lang w:val="en-GB"/>
        </w:rPr>
        <w:t xml:space="preserve"> </w:t>
      </w:r>
      <w:r>
        <w:rPr>
          <w:rFonts w:ascii="Arial" w:eastAsia="Times New Roman" w:hAnsi="Arial" w:cs="Arial"/>
          <w:sz w:val="24"/>
          <w:szCs w:val="24"/>
          <w:lang w:val="en-GB"/>
        </w:rPr>
        <w:t xml:space="preserve">also </w:t>
      </w:r>
      <w:r w:rsidRPr="006B2FC7">
        <w:rPr>
          <w:rFonts w:ascii="Arial" w:eastAsia="Times New Roman" w:hAnsi="Arial" w:cs="Arial"/>
          <w:sz w:val="24"/>
          <w:szCs w:val="24"/>
          <w:lang w:val="en-GB"/>
        </w:rPr>
        <w:t>suggest that empowering clinical pharmacists to manage diabetes patients could help to improve the effectiveness of the health system’s provision of diabetes care. By using this approach, the healthcare systems in the Veterans Health Administration (</w:t>
      </w:r>
      <w:r w:rsidRPr="006B2FC7">
        <w:rPr>
          <w:rFonts w:ascii="Arial" w:eastAsia="Times New Roman" w:hAnsi="Arial" w:cs="Arial"/>
          <w:noProof/>
          <w:sz w:val="24"/>
          <w:szCs w:val="24"/>
          <w:lang w:val="en-GB"/>
        </w:rPr>
        <w:t>VHA) settings in the US</w:t>
      </w:r>
      <w:r w:rsidRPr="006B2FC7">
        <w:rPr>
          <w:rFonts w:ascii="Arial" w:eastAsia="Times New Roman" w:hAnsi="Arial" w:cs="Arial"/>
          <w:sz w:val="24"/>
          <w:szCs w:val="24"/>
          <w:lang w:val="en-GB"/>
        </w:rPr>
        <w:t xml:space="preserve"> are able to face the obstacles that come from rising prevalence of diabetes as well as to address the shortages of primary </w:t>
      </w:r>
      <w:r>
        <w:rPr>
          <w:rFonts w:ascii="Arial" w:eastAsia="Times New Roman" w:hAnsi="Arial" w:cs="Arial"/>
          <w:sz w:val="24"/>
          <w:szCs w:val="24"/>
          <w:lang w:val="en-GB"/>
        </w:rPr>
        <w:t>HCPs</w:t>
      </w:r>
      <w:r w:rsidRPr="006B2FC7">
        <w:rPr>
          <w:rFonts w:ascii="Arial" w:eastAsia="Times New Roman" w:hAnsi="Arial" w:cs="Arial"/>
          <w:sz w:val="24"/>
          <w:szCs w:val="24"/>
          <w:lang w:val="en-GB"/>
        </w:rPr>
        <w:t xml:space="preserve"> due to increasing the demand to primary healthcare practices and let physicians focus on more complicated cases </w:t>
      </w:r>
      <w:r w:rsidRPr="006B2FC7">
        <w:rPr>
          <w:rFonts w:ascii="Arial" w:eastAsia="Times New Roman" w:hAnsi="Arial" w:cs="Arial"/>
          <w:sz w:val="24"/>
          <w:szCs w:val="24"/>
          <w:lang w:val="en-GB"/>
        </w:rPr>
        <w:fldChar w:fldCharType="begin" w:fldLock="1"/>
      </w:r>
      <w:r w:rsidRPr="006B2FC7">
        <w:rPr>
          <w:rFonts w:ascii="Arial" w:eastAsia="Times New Roman" w:hAnsi="Arial" w:cs="Arial"/>
          <w:sz w:val="24"/>
          <w:szCs w:val="24"/>
          <w:lang w:val="en-GB"/>
        </w:rPr>
        <w:instrText>ADDIN CSL_CITATION {"citationItems":[{"id":"ITEM-1","itemData":{"DOI":"https://dx.doi.org/10.1371/journal.pone.0195898","ISSN":"1932-6203","abstract":"OBJECTIVES: The effectiveness and costs associated with addition of pharmacist-led group medical visits to standard care for patients with Type-2 Diabetes Mellitus (T2DM) is unknown., METHODS: Randomized-controlled-trial in three US Veteran Health Administration (VHA) Hospitals, where 250 patients with T2DM, HbA1c &gt;7% and either hypertension, active smoking or hyperlipidemia were randomized to either (1) addition of pharmacist-led group-medical-visits or (2) standard care alone for 13 months. Group (4-6 patients) visits consisted of 2-hour, education and comprehensive medication management sessions once weekly for 4 weeks, followed by quarterly visits. Change from baseline in cardiovascular risk estimated by the UKPDS-risk-score, health-related quality-of-life (SF36v) and institutional healthcare costs were compared between study arms., RESULTS: After 13 months, both groups had similar and significant improvements from baseline in UKPDS-risk-score (-0.02 +/-0.09 and -0.04 +/-0.09, group visit and standard care respectively, adjusted p&lt;0.05 for both); however, there was no significant difference between the study arms (adjusted p = 0.45). There were no significant differences on improvement from baseline in A1c, systolic-blood-pressure, and LDL as well as health-related quality-of-life measures between the study arms. Compared to 13 months prior, the increase in per-person outpatient expenditure from baseline was significantly lower in the group visit versus the standard care arm, both during the study intervention period and at 13-months after study interventions. The overall VHA healthcare costs/person were comparable between the study arms during the study period (p = 0.15); then decreased by 6% for the group visit but increased by 13% for the standard care arm 13 months post-study (p&lt;0.01)., CONCLUSIONS: Addition of pharmacist-led group medical visits in T2DM achieved similar improvements from baseline in cardiovascular risk factors than usual care, but with reduction in the healthcare costs in the group visit arm 13 months after completion compared to the steady rise in cost for the usual care arm., TRIAL REGISTRATION: NCT00554671 ClinicalTrials.gov.","author":[{"dropping-particle":"","family":"Wu","given":"Wen-Chih","non-dropping-particle":"","parse-names":false,"suffix":""},{"dropping-particle":"","family":"Taveira","given":"Tracey H.","non-dropping-particle":"","parse-names":false,"suffix":""},{"dropping-particle":"","family":"Jeffery","given":"Sean","non-dropping-particle":"","parse-names":false,"suffix":""},{"dropping-particle":"","family":"Jiang","given":"Lan","non-dropping-particle":"","parse-names":false,"suffix":""},{"dropping-particle":"","family":"Tokuda","given":"Lisa","non-dropping-particle":"","parse-names":false,"suffix":""},{"dropping-particle":"","family":"Musial","given":"Joanna","non-dropping-particle":"","parse-names":false,"suffix":""},{"dropping-particle":"","family":"Cohen","given":"Lisa B.","non-dropping-particle":"","parse-names":false,"suffix":""},{"dropping-particle":"","family":"Uhrle","given":"Fred","non-dropping-particle":"","parse-names":false,"suffix":""}],"container-title":"PloS one","editor":[{"dropping-particle":"","family":"Wouwe","given":"Jacobus P.","non-dropping-particle":"van","parse-names":false,"suffix":""}],"id":"ITEM-1","issue":"4","issued":{"date-parts":[["2018","4","19"]]},"page":"e0195898","publisher-place":"United States","title":"Costs and effectiveness of pharmacist-led group medical visits for type-2 diabetes: A multi-center randomized controlled trial.","type":"article-journal","volume":"13"},"uris":["http://www.mendeley.com/documents/?uuid=c252e6de-305e-4908-8843-48a75de5ea72"]}],"mendeley":{"formattedCitation":"(Wu &lt;i&gt;et al.&lt;/i&gt;, 2018)","plainTextFormattedCitation":"(Wu et al., 2018)","previouslyFormattedCitation":"(Wu &lt;i&gt;et al.&lt;/i&gt;, 2018)"},"properties":{"noteIndex":0},"schema":"https://github.com/citation-style-language/schema/raw/master/csl-citation.json"}</w:instrText>
      </w:r>
      <w:r w:rsidRPr="006B2FC7">
        <w:rPr>
          <w:rFonts w:ascii="Arial" w:eastAsia="Times New Roman" w:hAnsi="Arial" w:cs="Arial"/>
          <w:sz w:val="24"/>
          <w:szCs w:val="24"/>
          <w:lang w:val="en-GB"/>
        </w:rPr>
        <w:fldChar w:fldCharType="separate"/>
      </w:r>
      <w:r w:rsidRPr="006B2FC7">
        <w:rPr>
          <w:rFonts w:ascii="Arial" w:eastAsia="Times New Roman" w:hAnsi="Arial" w:cs="Arial"/>
          <w:noProof/>
          <w:sz w:val="24"/>
          <w:szCs w:val="24"/>
          <w:lang w:val="en-GB"/>
        </w:rPr>
        <w:t xml:space="preserve">(Wu </w:t>
      </w:r>
      <w:r w:rsidRPr="006B2FC7">
        <w:rPr>
          <w:rFonts w:ascii="Arial" w:eastAsia="Times New Roman" w:hAnsi="Arial" w:cs="Arial"/>
          <w:i/>
          <w:noProof/>
          <w:sz w:val="24"/>
          <w:szCs w:val="24"/>
          <w:lang w:val="en-GB"/>
        </w:rPr>
        <w:t>et al.</w:t>
      </w:r>
      <w:r w:rsidRPr="006B2FC7">
        <w:rPr>
          <w:rFonts w:ascii="Arial" w:eastAsia="Times New Roman" w:hAnsi="Arial" w:cs="Arial"/>
          <w:noProof/>
          <w:sz w:val="24"/>
          <w:szCs w:val="24"/>
          <w:lang w:val="en-GB"/>
        </w:rPr>
        <w:t>, 2018)</w:t>
      </w:r>
      <w:r w:rsidRPr="006B2FC7">
        <w:rPr>
          <w:rFonts w:ascii="Arial" w:eastAsia="Times New Roman" w:hAnsi="Arial" w:cs="Arial"/>
          <w:sz w:val="24"/>
          <w:szCs w:val="24"/>
          <w:lang w:val="en-GB"/>
        </w:rPr>
        <w:fldChar w:fldCharType="end"/>
      </w:r>
      <w:r w:rsidRPr="006B2FC7">
        <w:rPr>
          <w:rFonts w:ascii="Arial" w:eastAsia="Times New Roman" w:hAnsi="Arial" w:cs="Arial"/>
          <w:sz w:val="24"/>
          <w:szCs w:val="24"/>
          <w:lang w:val="en-GB"/>
        </w:rPr>
        <w:t xml:space="preserve">. </w:t>
      </w:r>
      <w:r w:rsidRPr="006B2FC7">
        <w:rPr>
          <w:rStyle w:val="selectable"/>
          <w:rFonts w:ascii="Arial" w:hAnsi="Arial" w:cs="Arial"/>
          <w:sz w:val="24"/>
          <w:szCs w:val="24"/>
        </w:rPr>
        <w:t xml:space="preserve">This view is supported by a report released in 2014 by Roberts, who concludes that pharmacists can play an essential role in primary care in the UK by filling the workforce gap and reducing the demand on GPs. Roberts also states that pharmacists have driven significant improvements in cases where care provision and working patterns are already integrated into general practice </w:t>
      </w:r>
      <w:r>
        <w:rPr>
          <w:rStyle w:val="selectable"/>
          <w:rFonts w:ascii="Arial" w:hAnsi="Arial" w:cs="Arial"/>
          <w:sz w:val="24"/>
          <w:szCs w:val="24"/>
        </w:rPr>
        <w:fldChar w:fldCharType="begin" w:fldLock="1"/>
      </w:r>
      <w:r>
        <w:rPr>
          <w:rStyle w:val="selectable"/>
          <w:rFonts w:ascii="Arial" w:hAnsi="Arial" w:cs="Arial"/>
          <w:sz w:val="24"/>
          <w:szCs w:val="24"/>
        </w:rPr>
        <w:instrText>ADDIN CSL_CITATION {"citationItems":[{"id":"ITEM-1","itemData":{"URL":"https://www.gponline.com/better-use-pharmacy-ease-gp-workload-crisis/article/1326300","accessed":{"date-parts":[["2020","5","31"]]},"author":[{"dropping-particle":"","family":"Roberts","given":"Neil","non-dropping-particle":"","parse-names":false,"suffix":""}],"id":"ITEM-1","issued":{"date-parts":[["2014"]]},"title":"Better use of pharmacy could ease GP workload crisis | GPonline","type":"webpage"},"uris":["http://www.mendeley.com/documents/?uuid=64ae4c62-23cd-3076-b7fa-611ea27f7e5f"]}],"mendeley":{"formattedCitation":"(Roberts, 2014)","plainTextFormattedCitation":"(Roberts, 2014)","previouslyFormattedCitation":"(Roberts, 2014)"},"properties":{"noteIndex":0},"schema":"https://github.com/citation-style-language/schema/raw/master/csl-citation.json"}</w:instrText>
      </w:r>
      <w:r>
        <w:rPr>
          <w:rStyle w:val="selectable"/>
          <w:rFonts w:ascii="Arial" w:hAnsi="Arial" w:cs="Arial"/>
          <w:sz w:val="24"/>
          <w:szCs w:val="24"/>
        </w:rPr>
        <w:fldChar w:fldCharType="separate"/>
      </w:r>
      <w:r w:rsidRPr="00270076">
        <w:rPr>
          <w:rStyle w:val="selectable"/>
          <w:rFonts w:ascii="Arial" w:hAnsi="Arial" w:cs="Arial"/>
          <w:noProof/>
          <w:sz w:val="24"/>
          <w:szCs w:val="24"/>
        </w:rPr>
        <w:t>(Roberts, 2014)</w:t>
      </w:r>
      <w:r>
        <w:rPr>
          <w:rStyle w:val="selectable"/>
          <w:rFonts w:ascii="Arial" w:hAnsi="Arial" w:cs="Arial"/>
          <w:sz w:val="24"/>
          <w:szCs w:val="24"/>
        </w:rPr>
        <w:fldChar w:fldCharType="end"/>
      </w:r>
      <w:r>
        <w:rPr>
          <w:rStyle w:val="selectable"/>
          <w:rFonts w:ascii="Arial" w:hAnsi="Arial" w:cs="Arial"/>
          <w:sz w:val="24"/>
          <w:szCs w:val="24"/>
        </w:rPr>
        <w:t>.</w:t>
      </w:r>
      <w:r w:rsidRPr="006B2FC7">
        <w:rPr>
          <w:rStyle w:val="selectable"/>
          <w:rFonts w:ascii="Arial" w:hAnsi="Arial" w:cs="Arial"/>
          <w:sz w:val="24"/>
          <w:szCs w:val="24"/>
        </w:rPr>
        <w:t xml:space="preserve"> </w:t>
      </w:r>
      <w:r>
        <w:rPr>
          <w:rStyle w:val="selectable"/>
          <w:rFonts w:ascii="Arial" w:hAnsi="Arial" w:cs="Arial"/>
          <w:sz w:val="24"/>
          <w:szCs w:val="24"/>
        </w:rPr>
        <w:fldChar w:fldCharType="begin" w:fldLock="1"/>
      </w:r>
      <w:r>
        <w:rPr>
          <w:rStyle w:val="selectable"/>
          <w:rFonts w:ascii="Arial" w:hAnsi="Arial" w:cs="Arial"/>
          <w:sz w:val="24"/>
          <w:szCs w:val="24"/>
        </w:rPr>
        <w:instrText>ADDIN CSL_CITATION {"citationItems":[{"id":"ITEM-1","itemData":{"abstract":"Background: One approach postulated to improve the provision of health care is effective utilization of team-based care including pharmacists. Objective: The objective of this study was to conduct a compre hensive systematic review with focused meta-analyses to examine the effects of pharmacist-provided direct patient care on therapeutic, safety, and humanistic outcomes. Methods: The following databases were searched from inception to January 2009: NLM PubMed; Ovid/MEDLINE; ABI/IN FORM; Health Business Fulltext Elite; Academic Search Com plete; International Pharmaceutical Abstracts; PsycINFO; Co chrane Database of Systematic Reviews; National Guideline Clearinghouse; Database of Abstracts of Reviews of Effects; ClinicalTrials.gov; LexisNexis Academic Universe; and Google Scholar. Studies selected included those reporting pharmacist provided care, comparison groups, and patient-related outcomes. Of these, 56,573 citations were considered. Data were extracted by multidisciplinary study review teams. Variables examined included study characteristics, pharmacists' interventions/ser vices, patient characteristics, and study outcomes. Data for meta analyses were extracted from randomized controlled trials meet ing meta-analysis criteria. Results: A total of 298 studies were included. Favorable results were found in therapeutic and safety outcomes, and meta-analyses conducted for hemoglobin Ale, LDL cholesterol, blood pressure, and adverse drug events were significant (P &lt; 0.05), favoring pharmacists' direct patient care over comparative services. Results for humanistic outcomes were favorable with variability. Medication adherence, patient knowledge, and quality of life-general health meta-analyses were significant (P &lt; 0.05), favoring pharmacists' direct patient care. Conclusions: Pharmacist-provided direct patient care has favorable effects across various patient outcomes, health care settings, and disease states. Incorporating pharmacists as health care team mem bers in direct patient care is a viable solution to help improve US health care.","author":[{"dropping-particle":"","family":"Chisholm-burns","given":"Author Marie A","non-dropping-particle":"","parse-names":false,"suffix":""},{"dropping-particle":"","family":"Lee","given":"Jeannie 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Palmer","given":"John","non-dropping-particle":"","parse-names":false,"suffix":""},{"dropping-particle":"","family":"Martin","given":"Jennifer R","non-dropping-particle":"","parse-names":false,"suffix":""},{"dropping-particle":"","family":"Kramer","given":"Sandra S","non-dropping-particle":"","parse-names":false,"suffix":""},{"dropping-particle":"","family":"Wunz","given":"Timothy","non-dropping-particle":"","parse-names":false,"suffix":""},{"dropping-particle":"","family":"Chisholm-burns","given":"Marie A","non-dropping-particle":"","parse-names":false,"suffix":""},{"dropping-particle":"","family":"Lee","given":"Kim","non-dropping-particle":"","parse-names":false,"suffix":""},{"dropping-particle":"","family":"Spivey","given":"Christina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Wunz","given":"Timothy","non-dropping-particle":"","parse-names":false,"suffix":""}],"container-title":"Medical Care","id":"ITEM-1","issue":"10","issued":{"date-parts":[["2010"]]},"page":"923-933","title":"US Pharmacists ' Effect as Team Members on Patient Care Systematic Review and Meta-Analyses","type":"article-journal","volume":"48"},"uris":["http://www.mendeley.com/documents/?uuid=d279d6b6-fe77-42b1-9750-9b41d653a7dd"]}],"mendeley":{"formattedCitation":"(Chisholm-burns &lt;i&gt;et al.&lt;/i&gt;, 2010)","manualFormatting":"Chisholm-burns et al. (2010)","plainTextFormattedCitation":"(Chisholm-burns et al., 2010)","previouslyFormattedCitation":"(Chisholm-burns &lt;i&gt;et al.&lt;/i&gt;, 2010)"},"properties":{"noteIndex":0},"schema":"https://github.com/citation-style-language/schema/raw/master/csl-citation.json"}</w:instrText>
      </w:r>
      <w:r>
        <w:rPr>
          <w:rStyle w:val="selectable"/>
          <w:rFonts w:ascii="Arial" w:hAnsi="Arial" w:cs="Arial"/>
          <w:sz w:val="24"/>
          <w:szCs w:val="24"/>
        </w:rPr>
        <w:fldChar w:fldCharType="separate"/>
      </w:r>
      <w:r w:rsidRPr="00594F2A">
        <w:rPr>
          <w:rStyle w:val="selectable"/>
          <w:rFonts w:ascii="Arial" w:hAnsi="Arial" w:cs="Arial"/>
          <w:noProof/>
          <w:sz w:val="24"/>
          <w:szCs w:val="24"/>
        </w:rPr>
        <w:t xml:space="preserve">Chisholm-burns </w:t>
      </w:r>
      <w:r w:rsidRPr="00594F2A">
        <w:rPr>
          <w:rStyle w:val="selectable"/>
          <w:rFonts w:ascii="Arial" w:hAnsi="Arial" w:cs="Arial"/>
          <w:i/>
          <w:noProof/>
          <w:sz w:val="24"/>
          <w:szCs w:val="24"/>
        </w:rPr>
        <w:t>et al.</w:t>
      </w:r>
      <w:r w:rsidRPr="00594F2A">
        <w:rPr>
          <w:rStyle w:val="selectable"/>
          <w:rFonts w:ascii="Arial" w:hAnsi="Arial" w:cs="Arial"/>
          <w:noProof/>
          <w:sz w:val="24"/>
          <w:szCs w:val="24"/>
        </w:rPr>
        <w:t xml:space="preserve"> </w:t>
      </w:r>
      <w:r>
        <w:rPr>
          <w:rStyle w:val="selectable"/>
          <w:rFonts w:ascii="Arial" w:hAnsi="Arial" w:cs="Arial"/>
          <w:noProof/>
          <w:sz w:val="24"/>
          <w:szCs w:val="24"/>
        </w:rPr>
        <w:t>(</w:t>
      </w:r>
      <w:r w:rsidRPr="00594F2A">
        <w:rPr>
          <w:rStyle w:val="selectable"/>
          <w:rFonts w:ascii="Arial" w:hAnsi="Arial" w:cs="Arial"/>
          <w:noProof/>
          <w:sz w:val="24"/>
          <w:szCs w:val="24"/>
        </w:rPr>
        <w:t>2010)</w:t>
      </w:r>
      <w:r>
        <w:rPr>
          <w:rStyle w:val="selectable"/>
          <w:rFonts w:ascii="Arial" w:hAnsi="Arial" w:cs="Arial"/>
          <w:sz w:val="24"/>
          <w:szCs w:val="24"/>
        </w:rPr>
        <w:fldChar w:fldCharType="end"/>
      </w:r>
      <w:r>
        <w:rPr>
          <w:rStyle w:val="selectable"/>
          <w:rFonts w:ascii="Arial" w:hAnsi="Arial" w:cs="Arial"/>
          <w:sz w:val="24"/>
          <w:szCs w:val="24"/>
        </w:rPr>
        <w:t xml:space="preserve"> </w:t>
      </w:r>
      <w:r w:rsidRPr="006B2FC7">
        <w:rPr>
          <w:rStyle w:val="selectable"/>
          <w:rFonts w:ascii="Arial" w:hAnsi="Arial" w:cs="Arial"/>
          <w:sz w:val="24"/>
          <w:szCs w:val="24"/>
        </w:rPr>
        <w:t xml:space="preserve">further suggest that, as primary </w:t>
      </w:r>
      <w:r>
        <w:rPr>
          <w:rStyle w:val="selectable"/>
          <w:rFonts w:ascii="Arial" w:hAnsi="Arial" w:cs="Arial"/>
          <w:sz w:val="24"/>
          <w:szCs w:val="24"/>
        </w:rPr>
        <w:t>HCPs</w:t>
      </w:r>
      <w:r w:rsidRPr="006B2FC7">
        <w:rPr>
          <w:rStyle w:val="selectable"/>
          <w:rFonts w:ascii="Arial" w:hAnsi="Arial" w:cs="Arial"/>
          <w:sz w:val="24"/>
          <w:szCs w:val="24"/>
        </w:rPr>
        <w:t xml:space="preserve">, pharmacists may be able to help fill the gap caused by physician shortages in primary care settings, particularly in high need areas, such as rural communities. </w:t>
      </w:r>
    </w:p>
    <w:p w14:paraId="6E51992F" w14:textId="06C7A5A6" w:rsidR="00941883" w:rsidRPr="00876389" w:rsidRDefault="00941883" w:rsidP="00941883">
      <w:pPr>
        <w:autoSpaceDE w:val="0"/>
        <w:autoSpaceDN w:val="0"/>
        <w:adjustRightInd w:val="0"/>
        <w:spacing w:after="0" w:line="360" w:lineRule="auto"/>
        <w:jc w:val="both"/>
        <w:rPr>
          <w:rFonts w:ascii="Arial" w:hAnsi="Arial" w:cs="Arial"/>
          <w:sz w:val="24"/>
          <w:szCs w:val="24"/>
          <w:lang w:val="en-GB"/>
        </w:rPr>
      </w:pPr>
      <w:r w:rsidRPr="00876389">
        <w:rPr>
          <w:rStyle w:val="selectable"/>
          <w:rFonts w:ascii="Arial" w:hAnsi="Arial" w:cs="Arial"/>
          <w:sz w:val="24"/>
          <w:szCs w:val="24"/>
        </w:rPr>
        <w:t xml:space="preserve">The systematic review and meta-analysis conducted by Alabkal et al., </w:t>
      </w:r>
      <w:r w:rsidR="00C95731" w:rsidRPr="00876389">
        <w:rPr>
          <w:rStyle w:val="selectable"/>
          <w:rFonts w:ascii="Arial" w:hAnsi="Arial" w:cs="Arial"/>
          <w:sz w:val="24"/>
          <w:szCs w:val="24"/>
        </w:rPr>
        <w:t>(</w:t>
      </w:r>
      <w:r w:rsidRPr="00876389">
        <w:rPr>
          <w:rStyle w:val="selectable"/>
          <w:rFonts w:ascii="Arial" w:hAnsi="Arial" w:cs="Arial"/>
          <w:sz w:val="24"/>
          <w:szCs w:val="24"/>
        </w:rPr>
        <w:t xml:space="preserve">2021) is another source of evidence supporting the involvement of pharmacists in diabetes management, as the results of this study suggest that pharmaceutical care provided to patients with diabetes can be more cost-effective by reducing healthcare utilization compared to usual care without pharmacist involvement. The cost effectiveness strategy by involving pharmacist to diabetes management also was emphasized by </w:t>
      </w:r>
      <w:r w:rsidRPr="00876389">
        <w:rPr>
          <w:rFonts w:ascii="Arial" w:eastAsia="Times New Roman" w:hAnsi="Arial" w:cs="Arial"/>
          <w:sz w:val="24"/>
          <w:szCs w:val="24"/>
          <w:lang w:val="en-GB"/>
        </w:rPr>
        <w:fldChar w:fldCharType="begin" w:fldLock="1"/>
      </w:r>
      <w:r w:rsidRPr="00876389">
        <w:rPr>
          <w:rFonts w:ascii="Arial" w:eastAsia="Times New Roman" w:hAnsi="Arial" w:cs="Arial"/>
          <w:sz w:val="24"/>
          <w:szCs w:val="24"/>
          <w:lang w:val="en-GB"/>
        </w:rPr>
        <w:instrText>ADDIN CSL_CITATION {"citationItems":[{"id":"ITEM-1","itemData":{"DOI":"10.1016/j.japh.2021.12.015","ISSN":"15443450","PMID":"35027281","abstract":"Background: There is a growing shortage of primary care physicians. Pharmacists can fill the gap, and interdisciplinary teams are being evaluated as part of health care reform. Objective: This study aimed to determine whether adding a pharmacist to an interprofessional health team will improve diabetes outcomes. Methods: In this 2-phase pilot study, Medicaid-eligible patients with diabetes were randomized to receive standard of care (control arm) or standard of care plus the care of a pharmacist (intervention arm) for 12 months (phase 1). The primary outcome was change in glycated hemoglobin (A1C) from baseline. Secondary outcomes included identifying and correcting medication therapy problems (MTPs) for comorbid conditions, adherence to preventive care visits, health care utilization, self-rated health, and satisfaction surveys. After phase 1, patients in the control arm who did not achieve an A1C of &lt; 8% were eligible to enroll into phase 2 where they received treatment with a pharmacist for 6 months. Results: Of the 239 patients enrolled, 122 completed phase 1. At 12 months, intervention patients’ mean A1C was 1.85 percentage point (pp) below baseline versus 0.94 pp for control (between-group difference 0.91 pp; P = 0.0218). Most control patients (79%) who completed phase 1 and enrolled into phase 2 improved their A1C by more than 1 pp (P &lt; 0.01). The pharmacists completed 806 patient visits and identified 2638 MTPs. Intervention patients were more adherent to preventive care visits with nutrition (P = 0.043), ophthalmology (P = 0.002), and dentistry (P = 0.007). For intervention patients, 78% rated their experience with the pharmacist as excellent whereas, for control patients, 37% rated their experience with their provider as excellent. Conclusion: Pharmacist comanagement of patients with diabetes can significantly improve glucose control and patient satisfaction. Creative payment models were used to include pharmacists in the interprofessional patient care team.","author":[{"dropping-particle":"","family":"Wagner","given":"Mary L.","non-dropping-particle":"","parse-names":false,"suffix":""},{"dropping-particle":"","family":"McCarthy","given":"Caitlin","non-dropping-particle":"","parse-names":false,"suffix":""},{"dropping-particle":"","family":"Bateman","given":"M. Thomas","non-dropping-particle":"","parse-names":false,"suffix":""},{"dropping-particle":"","family":"Simmons","given":"Daniel","non-dropping-particle":"","parse-names":false,"suffix":""},{"dropping-particle":"","family":"Prioli","given":"Katherine M.","non-dropping-particle":"","parse-names":false,"suffix":""}],"container-title":"Journal of the American Pharmacists Association","id":"ITEM-1","issue":"3","issued":{"date-parts":[["2022"]]},"page":"775-782.e3","publisher":"American Pharmacists Association®","title":"Pharmacists improve diabetes outcomes: a randomized controlled trial","type":"article-journal","volume":"62"},"uris":["http://www.mendeley.com/documents/?uuid=34bb99b6-2c20-4cd3-9a92-b8ce9fbc53d5"]}],"mendeley":{"formattedCitation":"(Wagner &lt;i&gt;et al.&lt;/i&gt;, 2022)","plainTextFormattedCitation":"(Wagner et al., 2022)","previouslyFormattedCitation":"(Wagner &lt;i&gt;et al.&lt;/i&gt;, 2022)"},"properties":{"noteIndex":0},"schema":"https://github.com/citation-style-language/schema/raw/master/csl-citation.json"}</w:instrText>
      </w:r>
      <w:r w:rsidRPr="00876389">
        <w:rPr>
          <w:rFonts w:ascii="Arial" w:eastAsia="Times New Roman" w:hAnsi="Arial" w:cs="Arial"/>
          <w:sz w:val="24"/>
          <w:szCs w:val="24"/>
          <w:lang w:val="en-GB"/>
        </w:rPr>
        <w:fldChar w:fldCharType="separate"/>
      </w:r>
      <w:r w:rsidRPr="00876389">
        <w:rPr>
          <w:rFonts w:ascii="Arial" w:eastAsia="Times New Roman" w:hAnsi="Arial" w:cs="Arial"/>
          <w:noProof/>
          <w:sz w:val="24"/>
          <w:szCs w:val="24"/>
          <w:lang w:val="en-GB"/>
        </w:rPr>
        <w:t xml:space="preserve">(Wagner </w:t>
      </w:r>
      <w:r w:rsidRPr="00876389">
        <w:rPr>
          <w:rFonts w:ascii="Arial" w:eastAsia="Times New Roman" w:hAnsi="Arial" w:cs="Arial"/>
          <w:i/>
          <w:noProof/>
          <w:sz w:val="24"/>
          <w:szCs w:val="24"/>
          <w:lang w:val="en-GB"/>
        </w:rPr>
        <w:t>et al.</w:t>
      </w:r>
      <w:r w:rsidRPr="00876389">
        <w:rPr>
          <w:rFonts w:ascii="Arial" w:eastAsia="Times New Roman" w:hAnsi="Arial" w:cs="Arial"/>
          <w:noProof/>
          <w:sz w:val="24"/>
          <w:szCs w:val="24"/>
          <w:lang w:val="en-GB"/>
        </w:rPr>
        <w:t>, 2022)</w:t>
      </w:r>
      <w:r w:rsidRPr="00876389">
        <w:rPr>
          <w:rFonts w:ascii="Arial" w:eastAsia="Times New Roman" w:hAnsi="Arial" w:cs="Arial"/>
          <w:sz w:val="24"/>
          <w:szCs w:val="24"/>
          <w:lang w:val="en-GB"/>
        </w:rPr>
        <w:fldChar w:fldCharType="end"/>
      </w:r>
      <w:r w:rsidRPr="00876389">
        <w:rPr>
          <w:rFonts w:ascii="Arial" w:eastAsia="Times New Roman" w:hAnsi="Arial" w:cs="Arial"/>
          <w:sz w:val="24"/>
          <w:szCs w:val="24"/>
          <w:lang w:val="en-GB"/>
        </w:rPr>
        <w:t>.</w:t>
      </w:r>
    </w:p>
    <w:p w14:paraId="4B6E9975" w14:textId="77777777" w:rsidR="00941883" w:rsidRDefault="00941883" w:rsidP="00941883">
      <w:pPr>
        <w:autoSpaceDE w:val="0"/>
        <w:autoSpaceDN w:val="0"/>
        <w:adjustRightInd w:val="0"/>
        <w:spacing w:before="240" w:line="360" w:lineRule="auto"/>
        <w:jc w:val="both"/>
        <w:rPr>
          <w:rFonts w:ascii="Arial" w:eastAsia="Times New Roman" w:hAnsi="Arial" w:cs="Arial"/>
          <w:noProof/>
          <w:sz w:val="24"/>
          <w:szCs w:val="24"/>
          <w:lang w:val="en-GB"/>
        </w:rPr>
      </w:pPr>
      <w:r w:rsidRPr="00650F77">
        <w:rPr>
          <w:rFonts w:ascii="Arial" w:eastAsia="Times New Roman" w:hAnsi="Arial" w:cs="Arial"/>
          <w:noProof/>
          <w:sz w:val="24"/>
          <w:szCs w:val="24"/>
          <w:lang w:val="en-GB"/>
        </w:rPr>
        <w:t xml:space="preserve">The evidence presented in this section suggests that adding pharmacists to the diabetes care team can be a cost-effective strategy and policymakers should consider it as a way of delivering healthcare efficiently and sufficiently. </w:t>
      </w:r>
      <w:r w:rsidRPr="00876389">
        <w:rPr>
          <w:rFonts w:ascii="Arial" w:eastAsia="Times New Roman" w:hAnsi="Arial" w:cs="Arial"/>
          <w:noProof/>
          <w:sz w:val="24"/>
          <w:szCs w:val="24"/>
          <w:lang w:val="en-GB"/>
        </w:rPr>
        <w:t>The following section will address the humanistic outcomes (humanitarian implications) of pharmacists' intervention at international and national levels.</w:t>
      </w:r>
    </w:p>
    <w:p w14:paraId="6E37BD64" w14:textId="5233707F" w:rsidR="002C30B3" w:rsidRPr="007226EE" w:rsidRDefault="002C30B3" w:rsidP="002C30B3">
      <w:pPr>
        <w:pStyle w:val="Heading5"/>
        <w:spacing w:line="360" w:lineRule="auto"/>
        <w:rPr>
          <w:rFonts w:asciiTheme="minorBidi" w:eastAsia="Times New Roman" w:hAnsiTheme="minorBidi" w:cstheme="minorBidi"/>
          <w:sz w:val="24"/>
          <w:szCs w:val="24"/>
          <w:lang w:val="en-GB"/>
        </w:rPr>
      </w:pPr>
      <w:r w:rsidRPr="007226EE">
        <w:rPr>
          <w:rFonts w:asciiTheme="minorBidi" w:eastAsia="Times New Roman" w:hAnsiTheme="minorBidi" w:cstheme="minorBidi"/>
          <w:sz w:val="24"/>
          <w:szCs w:val="24"/>
          <w:lang w:val="en-GB"/>
        </w:rPr>
        <w:t>Humanistic outcomes</w:t>
      </w:r>
      <w:r w:rsidR="00D768A0" w:rsidRPr="007226EE">
        <w:rPr>
          <w:rFonts w:asciiTheme="minorBidi" w:eastAsia="Times New Roman" w:hAnsiTheme="minorBidi" w:cstheme="minorBidi"/>
          <w:sz w:val="24"/>
          <w:szCs w:val="24"/>
          <w:lang w:val="en-GB"/>
        </w:rPr>
        <w:t xml:space="preserve">; impact on </w:t>
      </w:r>
      <w:r w:rsidR="00D768A0" w:rsidRPr="00876389">
        <w:rPr>
          <w:rFonts w:asciiTheme="minorBidi" w:eastAsia="Times New Roman" w:hAnsiTheme="minorBidi" w:cstheme="minorBidi"/>
          <w:sz w:val="24"/>
          <w:szCs w:val="24"/>
          <w:lang w:val="en-GB"/>
        </w:rPr>
        <w:t>healthcare providers and patients</w:t>
      </w:r>
    </w:p>
    <w:p w14:paraId="02C64557" w14:textId="65A1C023" w:rsidR="002C30B3" w:rsidRPr="00876389" w:rsidRDefault="002C30B3" w:rsidP="00876389">
      <w:pPr>
        <w:spacing w:line="360" w:lineRule="auto"/>
        <w:jc w:val="both"/>
        <w:rPr>
          <w:rFonts w:ascii="Arial" w:eastAsia="Times New Roman" w:hAnsi="Arial" w:cs="Arial"/>
          <w:noProof/>
          <w:sz w:val="24"/>
          <w:szCs w:val="24"/>
          <w:lang w:val="en-GB"/>
        </w:rPr>
      </w:pPr>
      <w:r w:rsidRPr="006B2FC7">
        <w:rPr>
          <w:rFonts w:ascii="Arial" w:hAnsi="Arial" w:cs="Arial"/>
          <w:sz w:val="24"/>
          <w:szCs w:val="24"/>
          <w:lang w:val="en-GB"/>
        </w:rPr>
        <w:t xml:space="preserve">The third and final type of outcomes identified associated with pharmacists’ role in diabetes care related to human factors and particularly those associated with two groups: </w:t>
      </w:r>
      <w:r>
        <w:rPr>
          <w:rFonts w:ascii="Arial" w:hAnsi="Arial" w:cs="Arial"/>
          <w:sz w:val="24"/>
          <w:szCs w:val="24"/>
          <w:lang w:val="en-GB"/>
        </w:rPr>
        <w:t>HCPs</w:t>
      </w:r>
      <w:r w:rsidRPr="006B2FC7">
        <w:rPr>
          <w:rFonts w:ascii="Arial" w:hAnsi="Arial" w:cs="Arial"/>
          <w:sz w:val="24"/>
          <w:szCs w:val="24"/>
          <w:lang w:val="en-GB"/>
        </w:rPr>
        <w:t xml:space="preserve"> and patients. The literature suggests that involving pharmacists in this area has led to change perceptions of their role and more specific impact on outcomes such as </w:t>
      </w:r>
      <w:r>
        <w:rPr>
          <w:rFonts w:ascii="Arial" w:hAnsi="Arial" w:cs="Arial"/>
          <w:sz w:val="24"/>
          <w:szCs w:val="24"/>
          <w:lang w:val="en-GB"/>
        </w:rPr>
        <w:t xml:space="preserve">improved </w:t>
      </w:r>
      <w:r w:rsidRPr="006B2FC7">
        <w:rPr>
          <w:rFonts w:ascii="Arial" w:hAnsi="Arial" w:cs="Arial"/>
          <w:sz w:val="24"/>
          <w:szCs w:val="24"/>
          <w:lang w:val="en-GB"/>
        </w:rPr>
        <w:t>patient QoL</w:t>
      </w:r>
      <w:r>
        <w:rPr>
          <w:rFonts w:ascii="Arial" w:hAnsi="Arial" w:cs="Arial"/>
          <w:sz w:val="24"/>
          <w:szCs w:val="24"/>
          <w:lang w:val="en-GB"/>
        </w:rPr>
        <w:t xml:space="preserve"> </w:t>
      </w:r>
      <w:r w:rsidRPr="006B2FC7">
        <w:rPr>
          <w:rFonts w:ascii="Arial" w:hAnsi="Arial" w:cs="Arial"/>
          <w:sz w:val="24"/>
          <w:szCs w:val="24"/>
          <w:lang w:val="en-GB"/>
        </w:rPr>
        <w:t xml:space="preserve">and </w:t>
      </w:r>
      <w:r w:rsidRPr="006B2FC7">
        <w:rPr>
          <w:rFonts w:ascii="Arial" w:hAnsi="Arial" w:cs="Arial"/>
          <w:sz w:val="24"/>
          <w:szCs w:val="24"/>
        </w:rPr>
        <w:t xml:space="preserve">satisfaction of both patients and </w:t>
      </w:r>
      <w:r>
        <w:rPr>
          <w:rFonts w:ascii="Arial" w:hAnsi="Arial" w:cs="Arial"/>
          <w:sz w:val="24"/>
          <w:szCs w:val="24"/>
          <w:lang w:val="en-GB"/>
        </w:rPr>
        <w:t>HCPs.</w:t>
      </w:r>
    </w:p>
    <w:p w14:paraId="7EF252AE" w14:textId="1565098E" w:rsidR="00941883" w:rsidRPr="002C0961" w:rsidRDefault="00941883" w:rsidP="002C0961">
      <w:pPr>
        <w:pStyle w:val="Heading7"/>
        <w:rPr>
          <w:rFonts w:asciiTheme="minorBidi" w:hAnsiTheme="minorBidi" w:cstheme="minorBidi"/>
          <w:sz w:val="24"/>
          <w:szCs w:val="24"/>
          <w:lang w:val="en-GB"/>
        </w:rPr>
      </w:pPr>
      <w:bookmarkStart w:id="59" w:name="_Ref119528963"/>
      <w:r w:rsidRPr="002C0961">
        <w:rPr>
          <w:rFonts w:asciiTheme="minorBidi" w:hAnsiTheme="minorBidi" w:cstheme="minorBidi"/>
          <w:sz w:val="24"/>
          <w:szCs w:val="24"/>
          <w:lang w:val="en-GB"/>
        </w:rPr>
        <w:t>Impacts on healthcare providers’ attitudes, perceptions and satisfaction</w:t>
      </w:r>
      <w:bookmarkEnd w:id="59"/>
    </w:p>
    <w:p w14:paraId="315AEAD4" w14:textId="77777777" w:rsidR="00941883" w:rsidRDefault="00941883" w:rsidP="00941883">
      <w:pPr>
        <w:autoSpaceDE w:val="0"/>
        <w:autoSpaceDN w:val="0"/>
        <w:adjustRightInd w:val="0"/>
        <w:spacing w:after="0" w:line="240" w:lineRule="auto"/>
        <w:jc w:val="both"/>
        <w:rPr>
          <w:lang w:val="en-GB"/>
        </w:rPr>
      </w:pPr>
    </w:p>
    <w:p w14:paraId="07EF9193" w14:textId="1D1E0211" w:rsidR="00941883" w:rsidRPr="00876389" w:rsidRDefault="00941883" w:rsidP="00941883">
      <w:pPr>
        <w:autoSpaceDE w:val="0"/>
        <w:autoSpaceDN w:val="0"/>
        <w:adjustRightInd w:val="0"/>
        <w:spacing w:line="360" w:lineRule="auto"/>
        <w:jc w:val="both"/>
        <w:rPr>
          <w:rStyle w:val="lookup-resultcontent"/>
          <w:rFonts w:ascii="Arial" w:eastAsia="Times New Roman" w:hAnsi="Arial" w:cs="Arial"/>
          <w:sz w:val="24"/>
          <w:szCs w:val="24"/>
        </w:rPr>
      </w:pPr>
      <w:r>
        <w:rPr>
          <w:rFonts w:asciiTheme="minorBidi" w:hAnsiTheme="minorBidi"/>
          <w:sz w:val="24"/>
          <w:szCs w:val="24"/>
        </w:rPr>
        <w:t>HCP</w:t>
      </w:r>
      <w:r w:rsidRPr="00E32DA0">
        <w:rPr>
          <w:rFonts w:asciiTheme="minorBidi" w:hAnsiTheme="minorBidi"/>
          <w:sz w:val="24"/>
          <w:szCs w:val="24"/>
        </w:rPr>
        <w:t xml:space="preserve">s' satisfaction and their perceptions of the quality of care provided by pharmacists </w:t>
      </w:r>
      <w:r>
        <w:rPr>
          <w:rFonts w:asciiTheme="minorBidi" w:hAnsiTheme="minorBidi"/>
          <w:sz w:val="24"/>
          <w:szCs w:val="24"/>
        </w:rPr>
        <w:t xml:space="preserve">in their practice </w:t>
      </w:r>
      <w:r w:rsidRPr="00E32DA0">
        <w:rPr>
          <w:rFonts w:asciiTheme="minorBidi" w:hAnsiTheme="minorBidi"/>
          <w:sz w:val="24"/>
          <w:szCs w:val="24"/>
        </w:rPr>
        <w:t>have been explored by Blondal et al., Truong et al., and Moreno et al., in 2017. General practitioners are key stakeholders who were in th</w:t>
      </w:r>
      <w:r>
        <w:rPr>
          <w:rFonts w:asciiTheme="minorBidi" w:hAnsiTheme="minorBidi"/>
          <w:sz w:val="24"/>
          <w:szCs w:val="24"/>
        </w:rPr>
        <w:t>e</w:t>
      </w:r>
      <w:r w:rsidRPr="00E32DA0">
        <w:rPr>
          <w:rFonts w:asciiTheme="minorBidi" w:hAnsiTheme="minorBidi"/>
          <w:sz w:val="24"/>
          <w:szCs w:val="24"/>
        </w:rPr>
        <w:t>se studies.</w:t>
      </w:r>
      <w:r w:rsidRPr="00657301">
        <w:rPr>
          <w:rStyle w:val="lookup-resultcontent"/>
          <w:rFonts w:ascii="Arial" w:eastAsia="Times New Roman" w:hAnsi="Arial" w:cs="Arial"/>
          <w:noProof/>
          <w:sz w:val="24"/>
          <w:szCs w:val="24"/>
        </w:rPr>
        <w:t xml:space="preserve"> </w:t>
      </w:r>
      <w:r w:rsidRPr="00A376C7">
        <w:rPr>
          <w:rFonts w:asciiTheme="minorBidi" w:hAnsiTheme="minorBidi"/>
          <w:color w:val="000000"/>
          <w:sz w:val="24"/>
          <w:szCs w:val="24"/>
          <w:shd w:val="clear" w:color="auto" w:fill="FFFFFF"/>
          <w:lang w:val="en-GB"/>
        </w:rPr>
        <w:fldChar w:fldCharType="begin" w:fldLock="1"/>
      </w:r>
      <w:r>
        <w:rPr>
          <w:rFonts w:asciiTheme="minorBidi" w:hAnsiTheme="minorBidi"/>
          <w:color w:val="000000"/>
          <w:sz w:val="24"/>
          <w:szCs w:val="24"/>
          <w:shd w:val="clear" w:color="auto" w:fill="FFFFFF"/>
          <w:lang w:val="en-GB"/>
        </w:rPr>
        <w:instrText>ADDIN CSL_CITATION {"citationItems":[{"id":"ITEM-1","itemData":{"DOI":"10.3390/pharmacy5020023","ISSN":"2226-4787","abstract":"Even though pharmaceutical care is not a new concept in pharmacy, its introduction and development has proved to be challenging. In Iceland, general practitioners are not familiar with pharmaceutical care and additionally no such service is offered in pharmacies or primary care settings. Introducing pharmaceutical care in primary care in Iceland is making great efforts to follow other countries, which are bringing the pharmacist more into patient care. General practitioners are key stakeholders in this endeavor. The aim of this study was to introduce pharmacist-led pharmaceutical care into primary care clinics in Iceland in collaboration with general practitioners by presenting different setting structures. Action research provided the framework for this research. Data was collected from pharmaceutical care interventions, whereby the pharmaceutical care practitioner ensures that each of a patient’s medications is assessed to determine if it is appropriate, effective, safe, and that the patient can take medicine as expected. Sources of data included pharmaceutical care notes on patients, researcher’s notes, meetings, and interviews with general practitioners over the period of the study. The study ran from September 2013 to October 2015. Three separate semi-structured in-depth interviews were conducted with five general practitioners from one primary health care clinic in Iceland at different time points throughout the study. Pharmaceutical care was provided to elderly patients (n = 125) before and between general practitioners’ interviews. The study setting was a primary care clinic in the Reykjavik area and the patients’ homes. Results showed that the GPs’ knowledge about pharmacist competencies as healthcare providers and their potential in patient care increased. GPs would now like to have access to a pharmacist on a daily basis. Direct contact between the pharmacist and GPs is better when working in the same physical space. Pharmacist’s access to medical records is necessary for optimal service. Pharmacist-led clinical service was deemed most needed in dose dispensing polypharmacy patients. This research indicated that it was essential to introduce Icelandic GPs to the potential contribution of pharmacists in patient care and that action research was a useful methodology to promote and develop a relationship between those two health care providers in primary care in Iceland.","author":[{"dropping-particle":"","family":"Blondal","given":"Anna Bryndis","non-dropping-particle":"","parse-names":false,"suffix":""},{"dropping-particle":"","family":"Sporrong","given":"Sofia Kalvemark","non-dropping-particle":"","parse-names":false,"suffix":""},{"dropping-particle":"","family":"Almarsdottir","given":"Anna Birna","non-dropping-particle":"","parse-names":false,"suffix":""}],"container-title":"MDPI Pharmacy","id":"ITEM-1","issue":"4","issued":{"date-parts":[["2017"]]},"page":"23","title":"Introducing Pharmaceutical Care to Primary Care in Iceland—An Action Research Study","type":"article-journal","volume":"5"},"uris":["http://www.mendeley.com/documents/?uuid=ca02dac1-9348-428b-9acc-9176b46adc4e"]}],"mendeley":{"formattedCitation":"(Blondal, Sporrong and Almarsdottir, 2017)","manualFormatting":"Blondal et al. (2017)","plainTextFormattedCitation":"(Blondal, Sporrong and Almarsdottir, 2017)","previouslyFormattedCitation":"(Blondal, Sporrong and Almarsdottir, 2017)"},"properties":{"noteIndex":0},"schema":"https://github.com/citation-style-language/schema/raw/master/csl-citation.json"}</w:instrText>
      </w:r>
      <w:r w:rsidRPr="00A376C7">
        <w:rPr>
          <w:rFonts w:asciiTheme="minorBidi" w:hAnsiTheme="minorBidi"/>
          <w:color w:val="000000"/>
          <w:sz w:val="24"/>
          <w:szCs w:val="24"/>
          <w:shd w:val="clear" w:color="auto" w:fill="FFFFFF"/>
          <w:lang w:val="en-GB"/>
        </w:rPr>
        <w:fldChar w:fldCharType="separate"/>
      </w:r>
      <w:r w:rsidRPr="00A376C7">
        <w:rPr>
          <w:rFonts w:asciiTheme="minorBidi" w:hAnsiTheme="minorBidi"/>
          <w:noProof/>
          <w:color w:val="000000"/>
          <w:sz w:val="24"/>
          <w:szCs w:val="24"/>
          <w:shd w:val="clear" w:color="auto" w:fill="FFFFFF"/>
          <w:lang w:val="en-GB"/>
        </w:rPr>
        <w:t>Blondal</w:t>
      </w:r>
      <w:r>
        <w:rPr>
          <w:rFonts w:asciiTheme="minorBidi" w:hAnsiTheme="minorBidi"/>
          <w:noProof/>
          <w:color w:val="000000"/>
          <w:sz w:val="24"/>
          <w:szCs w:val="24"/>
          <w:shd w:val="clear" w:color="auto" w:fill="FFFFFF"/>
          <w:lang w:val="en-GB"/>
        </w:rPr>
        <w:t xml:space="preserve"> et al. (</w:t>
      </w:r>
      <w:r w:rsidRPr="00A376C7">
        <w:rPr>
          <w:rFonts w:asciiTheme="minorBidi" w:hAnsiTheme="minorBidi"/>
          <w:noProof/>
          <w:color w:val="000000"/>
          <w:sz w:val="24"/>
          <w:szCs w:val="24"/>
          <w:shd w:val="clear" w:color="auto" w:fill="FFFFFF"/>
          <w:lang w:val="en-GB"/>
        </w:rPr>
        <w:t>2017)</w:t>
      </w:r>
      <w:r w:rsidRPr="00A376C7">
        <w:rPr>
          <w:rFonts w:asciiTheme="minorBidi" w:hAnsiTheme="minorBidi"/>
          <w:color w:val="000000"/>
          <w:sz w:val="24"/>
          <w:szCs w:val="24"/>
          <w:shd w:val="clear" w:color="auto" w:fill="FFFFFF"/>
          <w:lang w:val="en-GB"/>
        </w:rPr>
        <w:fldChar w:fldCharType="end"/>
      </w:r>
      <w:r>
        <w:rPr>
          <w:rFonts w:asciiTheme="minorBidi" w:hAnsiTheme="minorBidi"/>
          <w:color w:val="000000"/>
          <w:sz w:val="24"/>
          <w:szCs w:val="24"/>
          <w:shd w:val="clear" w:color="auto" w:fill="FFFFFF"/>
          <w:lang w:val="en-GB"/>
        </w:rPr>
        <w:t xml:space="preserve"> </w:t>
      </w:r>
      <w:r w:rsidRPr="006B2FC7">
        <w:rPr>
          <w:rStyle w:val="lookup-resultcontent"/>
          <w:rFonts w:ascii="Arial" w:eastAsia="Times New Roman" w:hAnsi="Arial" w:cs="Arial"/>
          <w:sz w:val="24"/>
          <w:szCs w:val="24"/>
        </w:rPr>
        <w:t>conducted action research to introduce pharmacist-led pharmaceutical care in primary care clinics in Iceland.</w:t>
      </w:r>
      <w:r>
        <w:rPr>
          <w:rFonts w:ascii="Arial" w:hAnsi="Arial" w:cs="Arial"/>
          <w:sz w:val="24"/>
          <w:szCs w:val="24"/>
        </w:rPr>
        <w:t xml:space="preserve"> </w:t>
      </w:r>
      <w:r w:rsidRPr="006B2FC7">
        <w:rPr>
          <w:rStyle w:val="lookup-resultcontent"/>
          <w:rFonts w:ascii="Arial" w:eastAsia="Times New Roman" w:hAnsi="Arial" w:cs="Arial"/>
          <w:sz w:val="24"/>
          <w:szCs w:val="24"/>
        </w:rPr>
        <w:t xml:space="preserve">The implementation of a new healthcare service and introduction of a new professional role into a practice are challenging because it takes time to validate the outcomes of a new service. </w:t>
      </w:r>
      <w:r w:rsidRPr="00177430">
        <w:rPr>
          <w:rStyle w:val="lookup-resultcontent"/>
          <w:rFonts w:ascii="Arial" w:eastAsia="Times New Roman" w:hAnsi="Arial" w:cs="Arial"/>
          <w:sz w:val="24"/>
          <w:szCs w:val="24"/>
        </w:rPr>
        <w:t xml:space="preserve">The main challenge regarding introducing such service </w:t>
      </w:r>
      <w:r>
        <w:rPr>
          <w:rStyle w:val="lookup-resultcontent"/>
          <w:rFonts w:ascii="Arial" w:eastAsia="Times New Roman" w:hAnsi="Arial" w:cs="Arial"/>
          <w:sz w:val="24"/>
          <w:szCs w:val="24"/>
        </w:rPr>
        <w:t xml:space="preserve">in the </w:t>
      </w:r>
      <w:r w:rsidRPr="006B2FC7">
        <w:rPr>
          <w:rStyle w:val="lookup-resultcontent"/>
          <w:rFonts w:ascii="Arial" w:eastAsia="Times New Roman" w:hAnsi="Arial" w:cs="Arial"/>
          <w:noProof/>
          <w:sz w:val="24"/>
          <w:szCs w:val="24"/>
        </w:rPr>
        <w:t>Blondal et al</w:t>
      </w:r>
      <w:r w:rsidRPr="00177430">
        <w:rPr>
          <w:rStyle w:val="lookup-resultcontent"/>
          <w:rFonts w:ascii="Arial" w:eastAsia="Times New Roman" w:hAnsi="Arial" w:cs="Arial"/>
          <w:sz w:val="24"/>
          <w:szCs w:val="24"/>
        </w:rPr>
        <w:t xml:space="preserve"> </w:t>
      </w:r>
      <w:r>
        <w:rPr>
          <w:rStyle w:val="lookup-resultcontent"/>
          <w:rFonts w:ascii="Arial" w:eastAsia="Times New Roman" w:hAnsi="Arial" w:cs="Arial"/>
          <w:sz w:val="24"/>
          <w:szCs w:val="24"/>
        </w:rPr>
        <w:t xml:space="preserve">study </w:t>
      </w:r>
      <w:r w:rsidRPr="00177430">
        <w:rPr>
          <w:rStyle w:val="lookup-resultcontent"/>
          <w:rFonts w:ascii="Arial" w:eastAsia="Times New Roman" w:hAnsi="Arial" w:cs="Arial"/>
          <w:sz w:val="24"/>
          <w:szCs w:val="24"/>
        </w:rPr>
        <w:t xml:space="preserve">was that GPs neither know pharmacists as </w:t>
      </w:r>
      <w:r>
        <w:rPr>
          <w:rStyle w:val="lookup-resultcontent"/>
          <w:rFonts w:ascii="Arial" w:eastAsia="Times New Roman" w:hAnsi="Arial" w:cs="Arial"/>
          <w:sz w:val="24"/>
          <w:szCs w:val="24"/>
        </w:rPr>
        <w:t>HCPs</w:t>
      </w:r>
      <w:r w:rsidRPr="00177430">
        <w:rPr>
          <w:rStyle w:val="lookup-resultcontent"/>
          <w:rFonts w:ascii="Arial" w:eastAsia="Times New Roman" w:hAnsi="Arial" w:cs="Arial"/>
          <w:sz w:val="24"/>
          <w:szCs w:val="24"/>
        </w:rPr>
        <w:t xml:space="preserve"> nor their clinical services. </w:t>
      </w:r>
      <w:r w:rsidRPr="00876389">
        <w:rPr>
          <w:rStyle w:val="lookup-resultcontent"/>
          <w:rFonts w:ascii="Arial" w:eastAsia="Times New Roman" w:hAnsi="Arial" w:cs="Arial"/>
          <w:sz w:val="24"/>
          <w:szCs w:val="24"/>
        </w:rPr>
        <w:t xml:space="preserve">These results were also found in a qualitative interview study by Duncan et al., </w:t>
      </w:r>
      <w:r w:rsidR="00C95731" w:rsidRPr="00876389">
        <w:rPr>
          <w:rStyle w:val="lookup-resultcontent"/>
          <w:rFonts w:ascii="Arial" w:eastAsia="Times New Roman" w:hAnsi="Arial" w:cs="Arial"/>
          <w:sz w:val="24"/>
          <w:szCs w:val="24"/>
        </w:rPr>
        <w:t>(</w:t>
      </w:r>
      <w:r w:rsidRPr="00876389">
        <w:rPr>
          <w:rStyle w:val="lookup-resultcontent"/>
          <w:rFonts w:ascii="Arial" w:eastAsia="Times New Roman" w:hAnsi="Arial" w:cs="Arial"/>
          <w:sz w:val="24"/>
          <w:szCs w:val="24"/>
        </w:rPr>
        <w:t>2020)</w:t>
      </w:r>
      <w:r w:rsidR="00C95731" w:rsidRPr="00876389">
        <w:rPr>
          <w:rStyle w:val="lookup-resultcontent"/>
          <w:rFonts w:ascii="Arial" w:eastAsia="Times New Roman" w:hAnsi="Arial" w:cs="Arial"/>
          <w:sz w:val="24"/>
          <w:szCs w:val="24"/>
        </w:rPr>
        <w:t xml:space="preserve"> where it was reported </w:t>
      </w:r>
      <w:r w:rsidR="007876D4" w:rsidRPr="00876389">
        <w:rPr>
          <w:rStyle w:val="lookup-resultcontent"/>
          <w:rFonts w:ascii="Arial" w:eastAsia="Times New Roman" w:hAnsi="Arial" w:cs="Arial"/>
          <w:sz w:val="24"/>
          <w:szCs w:val="24"/>
        </w:rPr>
        <w:t>that doctors</w:t>
      </w:r>
      <w:r w:rsidRPr="00876389">
        <w:rPr>
          <w:rStyle w:val="lookup-resultcontent"/>
          <w:rFonts w:ascii="Arial" w:eastAsia="Times New Roman" w:hAnsi="Arial" w:cs="Arial"/>
          <w:sz w:val="24"/>
          <w:szCs w:val="24"/>
        </w:rPr>
        <w:t xml:space="preserve"> </w:t>
      </w:r>
      <w:r w:rsidR="00C95731" w:rsidRPr="00876389">
        <w:rPr>
          <w:rStyle w:val="lookup-resultcontent"/>
          <w:rFonts w:ascii="Arial" w:eastAsia="Times New Roman" w:hAnsi="Arial" w:cs="Arial"/>
          <w:sz w:val="24"/>
          <w:szCs w:val="24"/>
        </w:rPr>
        <w:t xml:space="preserve">expressed their </w:t>
      </w:r>
      <w:r w:rsidRPr="00876389">
        <w:rPr>
          <w:rStyle w:val="lookup-resultcontent"/>
          <w:rFonts w:ascii="Arial" w:eastAsia="Times New Roman" w:hAnsi="Arial" w:cs="Arial"/>
          <w:sz w:val="24"/>
          <w:szCs w:val="24"/>
        </w:rPr>
        <w:t xml:space="preserve">confidence in pharmacists' professional skills. It was also found that doctors worked </w:t>
      </w:r>
      <w:r w:rsidR="00C95731" w:rsidRPr="00876389">
        <w:rPr>
          <w:rStyle w:val="lookup-resultcontent"/>
          <w:rFonts w:ascii="Arial" w:eastAsia="Times New Roman" w:hAnsi="Arial" w:cs="Arial"/>
          <w:sz w:val="24"/>
          <w:szCs w:val="24"/>
        </w:rPr>
        <w:t xml:space="preserve">more effectively </w:t>
      </w:r>
      <w:r w:rsidRPr="00876389">
        <w:rPr>
          <w:rStyle w:val="lookup-resultcontent"/>
          <w:rFonts w:ascii="Arial" w:eastAsia="Times New Roman" w:hAnsi="Arial" w:cs="Arial"/>
          <w:sz w:val="24"/>
          <w:szCs w:val="24"/>
        </w:rPr>
        <w:t>with pharmacists in practices where the pharmacist works with them</w:t>
      </w:r>
      <w:r w:rsidR="00C95731" w:rsidRPr="00876389">
        <w:rPr>
          <w:rStyle w:val="lookup-resultcontent"/>
          <w:rFonts w:ascii="Arial" w:eastAsia="Times New Roman" w:hAnsi="Arial" w:cs="Arial"/>
          <w:sz w:val="24"/>
          <w:szCs w:val="24"/>
        </w:rPr>
        <w:t xml:space="preserve"> collaboratively and</w:t>
      </w:r>
      <w:r w:rsidRPr="00876389">
        <w:rPr>
          <w:rStyle w:val="lookup-resultcontent"/>
          <w:rFonts w:ascii="Arial" w:eastAsia="Times New Roman" w:hAnsi="Arial" w:cs="Arial"/>
          <w:sz w:val="24"/>
          <w:szCs w:val="24"/>
        </w:rPr>
        <w:t xml:space="preserve"> the two professions consult</w:t>
      </w:r>
      <w:r w:rsidR="00C95731" w:rsidRPr="00876389">
        <w:rPr>
          <w:rStyle w:val="lookup-resultcontent"/>
          <w:rFonts w:ascii="Arial" w:eastAsia="Times New Roman" w:hAnsi="Arial" w:cs="Arial"/>
          <w:sz w:val="24"/>
          <w:szCs w:val="24"/>
        </w:rPr>
        <w:t>ed</w:t>
      </w:r>
      <w:r w:rsidRPr="00876389">
        <w:rPr>
          <w:rStyle w:val="lookup-resultcontent"/>
          <w:rFonts w:ascii="Arial" w:eastAsia="Times New Roman" w:hAnsi="Arial" w:cs="Arial"/>
          <w:sz w:val="24"/>
          <w:szCs w:val="24"/>
        </w:rPr>
        <w:t xml:space="preserve"> one another for guidance.  However, Duncan et al. (2020) found that GPs had diverse opinions about pharmacists. </w:t>
      </w:r>
      <w:r w:rsidR="00C95731" w:rsidRPr="00876389">
        <w:rPr>
          <w:rStyle w:val="lookup-resultcontent"/>
          <w:rFonts w:ascii="Arial" w:eastAsia="Times New Roman" w:hAnsi="Arial" w:cs="Arial"/>
          <w:sz w:val="24"/>
          <w:szCs w:val="24"/>
        </w:rPr>
        <w:t>T</w:t>
      </w:r>
      <w:r w:rsidRPr="00876389">
        <w:rPr>
          <w:rStyle w:val="lookup-resultcontent"/>
          <w:rFonts w:ascii="Arial" w:eastAsia="Times New Roman" w:hAnsi="Arial" w:cs="Arial"/>
          <w:sz w:val="24"/>
          <w:szCs w:val="24"/>
        </w:rPr>
        <w:t>hey viewed them as colleagues and experts in medicines</w:t>
      </w:r>
      <w:r w:rsidR="00C95731" w:rsidRPr="00876389">
        <w:rPr>
          <w:rStyle w:val="lookup-resultcontent"/>
          <w:rFonts w:ascii="Arial" w:eastAsia="Times New Roman" w:hAnsi="Arial" w:cs="Arial"/>
          <w:sz w:val="24"/>
          <w:szCs w:val="24"/>
        </w:rPr>
        <w:t xml:space="preserve"> but conversely, </w:t>
      </w:r>
      <w:r w:rsidRPr="00876389">
        <w:rPr>
          <w:rStyle w:val="lookup-resultcontent"/>
          <w:rFonts w:ascii="Arial" w:eastAsia="Times New Roman" w:hAnsi="Arial" w:cs="Arial"/>
          <w:sz w:val="24"/>
          <w:szCs w:val="24"/>
        </w:rPr>
        <w:t>they viewed them as lacking clinical decision-making capabilities and being under GPs in the medical hierarchy. (Duncan et al., 2020)</w:t>
      </w:r>
    </w:p>
    <w:p w14:paraId="0CB05D9E" w14:textId="77777777" w:rsidR="00941883" w:rsidRDefault="00941883" w:rsidP="00941883">
      <w:pPr>
        <w:autoSpaceDE w:val="0"/>
        <w:autoSpaceDN w:val="0"/>
        <w:adjustRightInd w:val="0"/>
        <w:spacing w:line="360" w:lineRule="auto"/>
        <w:jc w:val="both"/>
        <w:rPr>
          <w:rFonts w:ascii="Arial" w:hAnsi="Arial" w:cs="Arial"/>
          <w:sz w:val="24"/>
          <w:szCs w:val="24"/>
          <w:lang w:val="en-GB"/>
        </w:rPr>
      </w:pPr>
      <w:r w:rsidRPr="006B2FC7">
        <w:rPr>
          <w:rStyle w:val="lookup-resultcontent"/>
          <w:rFonts w:ascii="Arial" w:eastAsia="Times New Roman" w:hAnsi="Arial" w:cs="Arial"/>
          <w:sz w:val="24"/>
          <w:szCs w:val="24"/>
        </w:rPr>
        <w:t xml:space="preserve">The pharmaceutical care practitioner in </w:t>
      </w:r>
      <w:r w:rsidRPr="00A376C7">
        <w:rPr>
          <w:rFonts w:asciiTheme="minorBidi" w:hAnsiTheme="minorBidi"/>
          <w:color w:val="000000"/>
          <w:sz w:val="24"/>
          <w:szCs w:val="24"/>
          <w:shd w:val="clear" w:color="auto" w:fill="FFFFFF"/>
          <w:lang w:val="en-GB"/>
        </w:rPr>
        <w:fldChar w:fldCharType="begin" w:fldLock="1"/>
      </w:r>
      <w:r>
        <w:rPr>
          <w:rFonts w:asciiTheme="minorBidi" w:hAnsiTheme="minorBidi"/>
          <w:color w:val="000000"/>
          <w:sz w:val="24"/>
          <w:szCs w:val="24"/>
          <w:shd w:val="clear" w:color="auto" w:fill="FFFFFF"/>
          <w:lang w:val="en-GB"/>
        </w:rPr>
        <w:instrText>ADDIN CSL_CITATION {"citationItems":[{"id":"ITEM-1","itemData":{"DOI":"10.3390/pharmacy5020023","ISSN":"2226-4787","abstract":"Even though pharmaceutical care is not a new concept in pharmacy, its introduction and development has proved to be challenging. In Iceland, general practitioners are not familiar with pharmaceutical care and additionally no such service is offered in pharmacies or primary care settings. Introducing pharmaceutical care in primary care in Iceland is making great efforts to follow other countries, which are bringing the pharmacist more into patient care. General practitioners are key stakeholders in this endeavor. The aim of this study was to introduce pharmacist-led pharmaceutical care into primary care clinics in Iceland in collaboration with general practitioners by presenting different setting structures. Action research provided the framework for this research. Data was collected from pharmaceutical care interventions, whereby the pharmaceutical care practitioner ensures that each of a patient’s medications is assessed to determine if it is appropriate, effective, safe, and that the patient can take medicine as expected. Sources of data included pharmaceutical care notes on patients, researcher’s notes, meetings, and interviews with general practitioners over the period of the study. The study ran from September 2013 to October 2015. Three separate semi-structured in-depth interviews were conducted with five general practitioners from one primary health care clinic in Iceland at different time points throughout the study. Pharmaceutical care was provided to elderly patients (n = 125) before and between general practitioners’ interviews. The study setting was a primary care clinic in the Reykjavik area and the patients’ homes. Results showed that the GPs’ knowledge about pharmacist competencies as healthcare providers and their potential in patient care increased. GPs would now like to have access to a pharmacist on a daily basis. Direct contact between the pharmacist and GPs is better when working in the same physical space. Pharmacist’s access to medical records is necessary for optimal service. Pharmacist-led clinical service was deemed most needed in dose dispensing polypharmacy patients. This research indicated that it was essential to introduce Icelandic GPs to the potential contribution of pharmacists in patient care and that action research was a useful methodology to promote and develop a relationship between those two health care providers in primary care in Iceland.","author":[{"dropping-particle":"","family":"Blondal","given":"Anna Bryndis","non-dropping-particle":"","parse-names":false,"suffix":""},{"dropping-particle":"","family":"Sporrong","given":"Sofia Kalvemark","non-dropping-particle":"","parse-names":false,"suffix":""},{"dropping-particle":"","family":"Almarsdottir","given":"Anna Birna","non-dropping-particle":"","parse-names":false,"suffix":""}],"container-title":"MDPI Pharmacy","id":"ITEM-1","issue":"4","issued":{"date-parts":[["2017"]]},"page":"23","title":"Introducing Pharmaceutical Care to Primary Care in Iceland—An Action Research Study","type":"article-journal","volume":"5"},"uris":["http://www.mendeley.com/documents/?uuid=ca02dac1-9348-428b-9acc-9176b46adc4e"]}],"mendeley":{"formattedCitation":"(Blondal, Sporrong and Almarsdottir, 2017)","manualFormatting":"Blondal et al. (2017)","plainTextFormattedCitation":"(Blondal, Sporrong and Almarsdottir, 2017)","previouslyFormattedCitation":"(Blondal, Sporrong and Almarsdottir, 2017)"},"properties":{"noteIndex":0},"schema":"https://github.com/citation-style-language/schema/raw/master/csl-citation.json"}</w:instrText>
      </w:r>
      <w:r w:rsidRPr="00A376C7">
        <w:rPr>
          <w:rFonts w:asciiTheme="minorBidi" w:hAnsiTheme="minorBidi"/>
          <w:color w:val="000000"/>
          <w:sz w:val="24"/>
          <w:szCs w:val="24"/>
          <w:shd w:val="clear" w:color="auto" w:fill="FFFFFF"/>
          <w:lang w:val="en-GB"/>
        </w:rPr>
        <w:fldChar w:fldCharType="separate"/>
      </w:r>
      <w:r w:rsidRPr="00A376C7">
        <w:rPr>
          <w:rFonts w:asciiTheme="minorBidi" w:hAnsiTheme="minorBidi"/>
          <w:noProof/>
          <w:color w:val="000000"/>
          <w:sz w:val="24"/>
          <w:szCs w:val="24"/>
          <w:shd w:val="clear" w:color="auto" w:fill="FFFFFF"/>
          <w:lang w:val="en-GB"/>
        </w:rPr>
        <w:t>Blondal</w:t>
      </w:r>
      <w:r>
        <w:rPr>
          <w:rFonts w:asciiTheme="minorBidi" w:hAnsiTheme="minorBidi"/>
          <w:noProof/>
          <w:color w:val="000000"/>
          <w:sz w:val="24"/>
          <w:szCs w:val="24"/>
          <w:shd w:val="clear" w:color="auto" w:fill="FFFFFF"/>
          <w:lang w:val="en-GB"/>
        </w:rPr>
        <w:t xml:space="preserve"> et al. (</w:t>
      </w:r>
      <w:r w:rsidRPr="00A376C7">
        <w:rPr>
          <w:rFonts w:asciiTheme="minorBidi" w:hAnsiTheme="minorBidi"/>
          <w:noProof/>
          <w:color w:val="000000"/>
          <w:sz w:val="24"/>
          <w:szCs w:val="24"/>
          <w:shd w:val="clear" w:color="auto" w:fill="FFFFFF"/>
          <w:lang w:val="en-GB"/>
        </w:rPr>
        <w:t>2017)</w:t>
      </w:r>
      <w:r w:rsidRPr="00A376C7">
        <w:rPr>
          <w:rFonts w:asciiTheme="minorBidi" w:hAnsiTheme="minorBidi"/>
          <w:color w:val="000000"/>
          <w:sz w:val="24"/>
          <w:szCs w:val="24"/>
          <w:shd w:val="clear" w:color="auto" w:fill="FFFFFF"/>
          <w:lang w:val="en-GB"/>
        </w:rPr>
        <w:fldChar w:fldCharType="end"/>
      </w:r>
      <w:r>
        <w:rPr>
          <w:rFonts w:asciiTheme="minorBidi" w:hAnsiTheme="minorBidi"/>
          <w:color w:val="000000"/>
          <w:sz w:val="24"/>
          <w:szCs w:val="24"/>
          <w:shd w:val="clear" w:color="auto" w:fill="FFFFFF"/>
          <w:lang w:val="en-GB"/>
        </w:rPr>
        <w:t xml:space="preserve"> </w:t>
      </w:r>
      <w:r w:rsidRPr="006B2FC7">
        <w:rPr>
          <w:rStyle w:val="lookup-resultcontent"/>
          <w:rFonts w:ascii="Arial" w:eastAsia="Times New Roman" w:hAnsi="Arial" w:cs="Arial"/>
          <w:sz w:val="24"/>
          <w:szCs w:val="24"/>
        </w:rPr>
        <w:t>study was mainly providing a medication review service through assessing each patient’s medications to determine if it is appropriate, effective, safe, and the patient can take it as expected. Such services are already implemented in advanced countries such as the UK, which are integrating pharmacists into patient care in collaboration with GPs to promote and develop health care services</w:t>
      </w:r>
      <w:r>
        <w:rPr>
          <w:rStyle w:val="lookup-resultcontent"/>
          <w:rFonts w:ascii="Arial" w:eastAsia="Times New Roman" w:hAnsi="Arial" w:cs="Arial"/>
          <w:sz w:val="24"/>
          <w:szCs w:val="24"/>
        </w:rPr>
        <w:t>.</w:t>
      </w:r>
      <w:r w:rsidRPr="006B2FC7">
        <w:rPr>
          <w:rStyle w:val="lookup-resultcontent"/>
          <w:rFonts w:ascii="Arial" w:eastAsia="Times New Roman" w:hAnsi="Arial" w:cs="Arial"/>
          <w:sz w:val="24"/>
          <w:szCs w:val="24"/>
        </w:rPr>
        <w:t xml:space="preserve"> </w:t>
      </w:r>
      <w:r>
        <w:rPr>
          <w:rStyle w:val="lookup-resultcontent"/>
          <w:rFonts w:ascii="Arial" w:eastAsia="Times New Roman" w:hAnsi="Arial" w:cs="Arial"/>
          <w:sz w:val="24"/>
          <w:szCs w:val="24"/>
        </w:rPr>
        <w:fldChar w:fldCharType="begin" w:fldLock="1"/>
      </w:r>
      <w:r>
        <w:rPr>
          <w:rStyle w:val="lookup-resultcontent"/>
          <w:rFonts w:ascii="Arial" w:eastAsia="Times New Roman" w:hAnsi="Arial" w:cs="Arial"/>
          <w:sz w:val="24"/>
          <w:szCs w:val="24"/>
        </w:rPr>
        <w:instrText>ADDIN CSL_CITATION {"citationItems":[{"id":"ITEM-1","itemData":{"DOI":"10.3390/pharmacy5020023","ISSN":"2226-4787","abstract":"Even though pharmaceutical care is not a new concept in pharmacy, its introduction and development has proved to be challenging. In Iceland, general practitioners are not familiar with pharmaceutical care and additionally no such service is offered in pharmacies or primary care settings. Introducing pharmaceutical care in primary care in Iceland is making great efforts to follow other countries, which are bringing the pharmacist more into patient care. General practitioners are key stakeholders in this endeavor. The aim of this study was to introduce pharmacist-led pharmaceutical care into primary care clinics in Iceland in collaboration with general practitioners by presenting different setting structures. Action research provided the framework for this research. Data was collected from pharmaceutical care interventions, whereby the pharmaceutical care practitioner ensures that each of a patient’s medications is assessed to determine if it is appropriate, effective, safe, and that the patient can take medicine as expected. Sources of data included pharmaceutical care notes on patients, researcher’s notes, meetings, and interviews with general practitioners over the period of the study. The study ran from September 2013 to October 2015. Three separate semi-structured in-depth interviews were conducted with five general practitioners from one primary health care clinic in Iceland at different time points throughout the study. Pharmaceutical care was provided to elderly patients (n = 125) before and between general practitioners’ interviews. The study setting was a primary care clinic in the Reykjavik area and the patients’ homes. Results showed that the GPs’ knowledge about pharmacist competencies as healthcare providers and their potential in patient care increased. GPs would now like to have access to a pharmacist on a daily basis. Direct contact between the pharmacist and GPs is better when working in the same physical space. Pharmacist’s access to medical records is necessary for optimal service. Pharmacist-led clinical service was deemed most needed in dose dispensing polypharmacy patients. This research indicated that it was essential to introduce Icelandic GPs to the potential contribution of pharmacists in patient care and that action research was a useful methodology to promote and develop a relationship between those two health care providers in primary care in Iceland.","author":[{"dropping-particle":"","family":"Blondal","given":"Anna Bryndis","non-dropping-particle":"","parse-names":false,"suffix":""},{"dropping-particle":"","family":"Sporrong","given":"Sofia Kalvemark","non-dropping-particle":"","parse-names":false,"suffix":""},{"dropping-particle":"","family":"Almarsdottir","given":"Anna Birna","non-dropping-particle":"","parse-names":false,"suffix":""}],"container-title":"MDPI Pharmacy","id":"ITEM-1","issue":"4","issued":{"date-parts":[["2017"]]},"page":"23","title":"Introducing Pharmaceutical Care to Primary Care in Iceland—An Action Research Study","type":"article-journal","volume":"5"},"uris":["http://www.mendeley.com/documents/?uuid=ca02dac1-9348-428b-9acc-9176b46adc4e"]}],"mendeley":{"formattedCitation":"(Blondal, Sporrong and Almarsdottir, 2017)","manualFormatting":"Blondal et al., (2017)","plainTextFormattedCitation":"(Blondal, Sporrong and Almarsdottir, 2017)","previouslyFormattedCitation":"(Blondal, Sporrong and Almarsdottir, 2017)"},"properties":{"noteIndex":0},"schema":"https://github.com/citation-style-language/schema/raw/master/csl-citation.json"}</w:instrText>
      </w:r>
      <w:r>
        <w:rPr>
          <w:rStyle w:val="lookup-resultcontent"/>
          <w:rFonts w:ascii="Arial" w:eastAsia="Times New Roman" w:hAnsi="Arial" w:cs="Arial"/>
          <w:sz w:val="24"/>
          <w:szCs w:val="24"/>
        </w:rPr>
        <w:fldChar w:fldCharType="separate"/>
      </w:r>
      <w:r w:rsidRPr="00B525A8">
        <w:rPr>
          <w:rStyle w:val="lookup-resultcontent"/>
          <w:rFonts w:ascii="Arial" w:eastAsia="Times New Roman" w:hAnsi="Arial" w:cs="Arial"/>
          <w:noProof/>
          <w:sz w:val="24"/>
          <w:szCs w:val="24"/>
        </w:rPr>
        <w:t>Blondal</w:t>
      </w:r>
      <w:r>
        <w:rPr>
          <w:rStyle w:val="lookup-resultcontent"/>
          <w:rFonts w:ascii="Arial" w:eastAsia="Times New Roman" w:hAnsi="Arial" w:cs="Arial"/>
          <w:noProof/>
          <w:sz w:val="24"/>
          <w:szCs w:val="24"/>
        </w:rPr>
        <w:t xml:space="preserve"> et al.</w:t>
      </w:r>
      <w:r w:rsidRPr="00B525A8">
        <w:rPr>
          <w:rStyle w:val="lookup-resultcontent"/>
          <w:rFonts w:ascii="Arial" w:eastAsia="Times New Roman" w:hAnsi="Arial" w:cs="Arial"/>
          <w:noProof/>
          <w:sz w:val="24"/>
          <w:szCs w:val="24"/>
        </w:rPr>
        <w:t xml:space="preserve">, </w:t>
      </w:r>
      <w:r>
        <w:rPr>
          <w:rStyle w:val="lookup-resultcontent"/>
          <w:rFonts w:ascii="Arial" w:eastAsia="Times New Roman" w:hAnsi="Arial" w:cs="Arial"/>
          <w:noProof/>
          <w:sz w:val="24"/>
          <w:szCs w:val="24"/>
        </w:rPr>
        <w:t>(</w:t>
      </w:r>
      <w:r w:rsidRPr="00B525A8">
        <w:rPr>
          <w:rStyle w:val="lookup-resultcontent"/>
          <w:rFonts w:ascii="Arial" w:eastAsia="Times New Roman" w:hAnsi="Arial" w:cs="Arial"/>
          <w:noProof/>
          <w:sz w:val="24"/>
          <w:szCs w:val="24"/>
        </w:rPr>
        <w:t>2017)</w:t>
      </w:r>
      <w:r>
        <w:rPr>
          <w:rStyle w:val="lookup-resultcontent"/>
          <w:rFonts w:ascii="Arial" w:eastAsia="Times New Roman" w:hAnsi="Arial" w:cs="Arial"/>
          <w:sz w:val="24"/>
          <w:szCs w:val="24"/>
        </w:rPr>
        <w:fldChar w:fldCharType="end"/>
      </w:r>
      <w:r w:rsidRPr="006B2FC7">
        <w:rPr>
          <w:rStyle w:val="lookup-resultcontent"/>
          <w:rFonts w:ascii="Arial" w:eastAsia="Times New Roman" w:hAnsi="Arial" w:cs="Arial"/>
          <w:noProof/>
          <w:sz w:val="24"/>
          <w:szCs w:val="24"/>
        </w:rPr>
        <w:t xml:space="preserve"> found</w:t>
      </w:r>
      <w:r w:rsidRPr="006B2FC7">
        <w:rPr>
          <w:rStyle w:val="lookup-resultcontent"/>
          <w:rFonts w:ascii="Arial" w:eastAsia="Times New Roman" w:hAnsi="Arial" w:cs="Arial"/>
          <w:sz w:val="24"/>
          <w:szCs w:val="24"/>
        </w:rPr>
        <w:t xml:space="preserve"> that GPs’ knowledge and attitude about the role of pharmacists in patient care developed over the </w:t>
      </w:r>
      <w:r>
        <w:rPr>
          <w:rStyle w:val="lookup-resultcontent"/>
          <w:rFonts w:ascii="Arial" w:eastAsia="Times New Roman" w:hAnsi="Arial" w:cs="Arial"/>
          <w:sz w:val="24"/>
          <w:szCs w:val="24"/>
        </w:rPr>
        <w:t xml:space="preserve">two year </w:t>
      </w:r>
      <w:r w:rsidRPr="006B2FC7">
        <w:rPr>
          <w:rStyle w:val="lookup-resultcontent"/>
          <w:rFonts w:ascii="Arial" w:eastAsia="Times New Roman" w:hAnsi="Arial" w:cs="Arial"/>
          <w:sz w:val="24"/>
          <w:szCs w:val="24"/>
        </w:rPr>
        <w:t>study period</w:t>
      </w:r>
      <w:r>
        <w:rPr>
          <w:rStyle w:val="lookup-resultcontent"/>
          <w:rFonts w:ascii="Arial" w:eastAsia="Times New Roman" w:hAnsi="Arial" w:cs="Arial"/>
          <w:sz w:val="24"/>
          <w:szCs w:val="24"/>
        </w:rPr>
        <w:t xml:space="preserve">, </w:t>
      </w:r>
      <w:r w:rsidRPr="00CD0118">
        <w:rPr>
          <w:rStyle w:val="lookup-resultcontent"/>
          <w:rFonts w:ascii="Arial" w:eastAsia="Times New Roman" w:hAnsi="Arial" w:cs="Arial"/>
          <w:sz w:val="24"/>
          <w:szCs w:val="24"/>
        </w:rPr>
        <w:t xml:space="preserve">and they appreciated for introducing pharmacists to their practice to be part of the </w:t>
      </w:r>
      <w:r>
        <w:rPr>
          <w:rStyle w:val="lookup-resultcontent"/>
          <w:rFonts w:ascii="Arial" w:eastAsia="Times New Roman" w:hAnsi="Arial" w:cs="Arial"/>
          <w:sz w:val="24"/>
          <w:szCs w:val="24"/>
        </w:rPr>
        <w:t xml:space="preserve">primary </w:t>
      </w:r>
      <w:r w:rsidRPr="00CD0118">
        <w:rPr>
          <w:rStyle w:val="lookup-resultcontent"/>
          <w:rFonts w:ascii="Arial" w:eastAsia="Times New Roman" w:hAnsi="Arial" w:cs="Arial"/>
          <w:sz w:val="24"/>
          <w:szCs w:val="24"/>
        </w:rPr>
        <w:t>healthcare team.</w:t>
      </w:r>
      <w:r>
        <w:rPr>
          <w:rStyle w:val="lookup-resultcontent"/>
          <w:rFonts w:ascii="Arial" w:eastAsia="Times New Roman" w:hAnsi="Arial" w:cs="Arial"/>
          <w:sz w:val="24"/>
          <w:szCs w:val="24"/>
        </w:rPr>
        <w:t xml:space="preserve"> </w:t>
      </w:r>
      <w:r w:rsidRPr="006B2FC7">
        <w:rPr>
          <w:rFonts w:ascii="Arial" w:hAnsi="Arial" w:cs="Arial"/>
          <w:sz w:val="24"/>
          <w:szCs w:val="24"/>
          <w:lang w:val="en-GB"/>
        </w:rPr>
        <w:t xml:space="preserve">These findings are similar to those reported by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{"citationItems":[{"id":"ITEM-1","itemData":{"DOI":"10.1177/2050312117713911","ISSN":"2050-3121","abstract":"PURPOSE The purpose of this study is to evaluate primary care provider satisfaction and perceived impact of clinical pharmacy services on the disease state management in primary care. METHODS A cross-sectional survey with 24 items and 4 domains was distributed anonymously to pharmacy residency program directors across the United States who were requested to forward the survey to their primary care provider colleagues. Primary care providers were asked to complete the survey. RESULTS A total of 144 primary care providers responded to the survey, with 130 reporting a clinical pharmacist within their primary care practice and 114 completing the entire survey. Primary care providers report pharmacists positively impact quality of care (mean = 5.5 on Likert scale of 1-6; standard deviation = 0.72), high satisfaction with pharmacy services provided (5.5; standard deviation = 0.79), and no increase in workload as a result of clinical pharmacists (5.5; standard deviation = 0.77). Primary care providers would recommend clinical pharmacists to other primary care practices (5.7; standard deviation = 0.59). Primary care providers perceived specific types of pharmacy services to have the greatest impact on patient care: medication therapy management (38.6%), disease-focused management (29.82%), and medication reconciliation (11.4%). Primary care providers indicated the most valuable disease-focused pharmacy services as diabetes (58.78%), hypertension (9.65%), and pain (11.4%). CONCLUSION Primary care providers report high satisfaction with and perceived benefit of clinical pharmacy services in primary care and viewed medication therapy management and disease-focused management of diabetes, hypertension, and pain as the most valuable clinical pharmacy services. These results can be used to inform development or expansion of clinical pharmacy services in primary care.","author":[{"dropping-particle":"","family":"Truong","given":"Havan","non-dropping-particle":"","parse-names":false,"suffix":""},{"dropping-particle":"","family":"Kroehl","given":"Miranda E","non-dropping-particle":"","parse-names":false,"suffix":""},{"dropping-particle":"","family":"Lewis","given":"Carmen","non-dropping-particle":"","parse-names":false,"suffix":""},{"dropping-particle":"","family":"Pettigrew","given":"Robin","non-dropping-particle":"","parse-names":false,"suffix":""},{"dropping-particle":"","family":"Bennett","given":"Marialice","non-dropping-particle":"","parse-names":false,"suffix":""},{"dropping-particle":"","family":"Saseen","given":"Joseph J","non-dropping-particle":"","parse-names":false,"suffix":""},{"dropping-particle":"","family":"Trinkley","given":"Katy E","non-dropping-particle":"","parse-names":false,"suffix":""}],"container-title":"SAGE Open Medicine","id":"ITEM-1","issued":{"date-parts":[["2017"]]},"page":"205031211771391","publisher-place":"England","title":"Clinical pharmacists in primary care: Provider satisfaction and perceived impact on quality of care provided","type":"article-journal","volume":"5"},"uris":["http://www.mendeley.com/documents/?uuid=68b42044-94ce-4ed2-a6de-aa34745e8168"]}],"mendeley":{"formattedCitation":"(Truong &lt;i&gt;et al.&lt;/i&gt;, 2017)","manualFormatting":"Truong et al. (2017)","plainTextFormattedCitation":"(Truong et al., 2017)","previouslyFormattedCitation":"(Truong &lt;i&gt;et al.&lt;/i&gt;, 2017)"},"properties":{"noteIndex":0},"schema":"https://github.com/citation-style-language/schema/raw/master/csl-citation.json"}</w:instrText>
      </w:r>
      <w:r>
        <w:rPr>
          <w:rFonts w:ascii="Arial" w:hAnsi="Arial" w:cs="Arial"/>
          <w:sz w:val="24"/>
          <w:szCs w:val="24"/>
          <w:lang w:val="en-GB"/>
        </w:rPr>
        <w:fldChar w:fldCharType="separate"/>
      </w:r>
      <w:r w:rsidRPr="00B525A8">
        <w:rPr>
          <w:rFonts w:ascii="Arial" w:hAnsi="Arial" w:cs="Arial"/>
          <w:noProof/>
          <w:sz w:val="24"/>
          <w:szCs w:val="24"/>
          <w:lang w:val="en-GB"/>
        </w:rPr>
        <w:t xml:space="preserve">Truong </w:t>
      </w:r>
      <w:r w:rsidRPr="00B525A8">
        <w:rPr>
          <w:rFonts w:ascii="Arial" w:hAnsi="Arial" w:cs="Arial"/>
          <w:i/>
          <w:noProof/>
          <w:sz w:val="24"/>
          <w:szCs w:val="24"/>
          <w:lang w:val="en-GB"/>
        </w:rPr>
        <w:t>et al.</w:t>
      </w:r>
      <w:r w:rsidRPr="00B525A8">
        <w:rPr>
          <w:rFonts w:ascii="Arial" w:hAnsi="Arial" w:cs="Arial"/>
          <w:noProof/>
          <w:sz w:val="24"/>
          <w:szCs w:val="24"/>
          <w:lang w:val="en-GB"/>
        </w:rPr>
        <w:t xml:space="preserve"> </w:t>
      </w:r>
      <w:r>
        <w:rPr>
          <w:rFonts w:ascii="Arial" w:hAnsi="Arial" w:cs="Arial"/>
          <w:noProof/>
          <w:sz w:val="24"/>
          <w:szCs w:val="24"/>
          <w:lang w:val="en-GB"/>
        </w:rPr>
        <w:t>(</w:t>
      </w:r>
      <w:r w:rsidRPr="00B525A8">
        <w:rPr>
          <w:rFonts w:ascii="Arial" w:hAnsi="Arial" w:cs="Arial"/>
          <w:noProof/>
          <w:sz w:val="24"/>
          <w:szCs w:val="24"/>
          <w:lang w:val="en-GB"/>
        </w:rPr>
        <w:t>2017)</w:t>
      </w:r>
      <w:r>
        <w:rPr>
          <w:rFonts w:ascii="Arial" w:hAnsi="Arial" w:cs="Arial"/>
          <w:sz w:val="24"/>
          <w:szCs w:val="24"/>
          <w:lang w:val="en-GB"/>
        </w:rPr>
        <w:fldChar w:fldCharType="end"/>
      </w:r>
      <w:r w:rsidRPr="006B2FC7">
        <w:rPr>
          <w:rFonts w:ascii="Arial" w:hAnsi="Arial" w:cs="Arial"/>
          <w:sz w:val="24"/>
          <w:szCs w:val="24"/>
          <w:lang w:val="en-GB"/>
        </w:rPr>
        <w:t>,</w:t>
      </w:r>
      <w:r w:rsidRPr="006B2FC7">
        <w:rPr>
          <w:rFonts w:ascii="Arial" w:hAnsi="Arial" w:cs="Arial"/>
          <w:color w:val="333333"/>
          <w:sz w:val="20"/>
          <w:szCs w:val="20"/>
          <w:shd w:val="clear" w:color="auto" w:fill="FFFFFF"/>
        </w:rPr>
        <w:t> </w:t>
      </w:r>
      <w:r w:rsidRPr="006B2FC7">
        <w:rPr>
          <w:rFonts w:ascii="Arial" w:hAnsi="Arial" w:cs="Arial"/>
          <w:sz w:val="24"/>
          <w:szCs w:val="24"/>
          <w:lang w:val="en-GB"/>
        </w:rPr>
        <w:t xml:space="preserve">that US primary care providers were satisfied with and appreciated pharmacists being integrated into their practice, and they considered pharmacists’ recommendations regarding medications before making decisions for patients. The most common pharmaceutical services offered in this study were MTM or comprehensive medication review (CMR), diabetes disease-focused management, drug information resources, and medication reconciliation.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{"citationItems":[{"id":"ITEM-1","itemData":{"DOI":"10.1177/2050312117713911","ISSN":"2050-3121","abstract":"PURPOSE The purpose of this study is to evaluate primary care provider satisfaction and perceived impact of clinical pharmacy services on the disease state management in primary care. METHODS A cross-sectional survey with 24 items and 4 domains was distributed anonymously to pharmacy residency program directors across the United States who were requested to forward the survey to their primary care provider colleagues. Primary care providers were asked to complete the survey. RESULTS A total of 144 primary care providers responded to the survey, with 130 reporting a clinical pharmacist within their primary care practice and 114 completing the entire survey. Primary care providers report pharmacists positively impact quality of care (mean = 5.5 on Likert scale of 1-6; standard deviation = 0.72), high satisfaction with pharmacy services provided (5.5; standard deviation = 0.79), and no increase in workload as a result of clinical pharmacists (5.5; standard deviation = 0.77). Primary care providers would recommend clinical pharmacists to other primary care practices (5.7; standard deviation = 0.59). Primary care providers perceived specific types of pharmacy services to have the greatest impact on patient care: medication therapy management (38.6%), disease-focused management (29.82%), and medication reconciliation (11.4%). Primary care providers indicated the most valuable disease-focused pharmacy services as diabetes (58.78%), hypertension (9.65%), and pain (11.4%). CONCLUSION Primary care providers report high satisfaction with and perceived benefit of clinical pharmacy services in primary care and viewed medication therapy management and disease-focused management of diabetes, hypertension, and pain as the most valuable clinical pharmacy services. These results can be used to inform development or expansion of clinical pharmacy services in primary care.","author":[{"dropping-particle":"","family":"Truong","given":"Havan","non-dropping-particle":"","parse-names":false,"suffix":""},{"dropping-particle":"","family":"Kroehl","given":"Miranda E","non-dropping-particle":"","parse-names":false,"suffix":""},{"dropping-particle":"","family":"Lewis","given":"Carmen","non-dropping-particle":"","parse-names":false,"suffix":""},{"dropping-particle":"","family":"Pettigrew","given":"Robin","non-dropping-particle":"","parse-names":false,"suffix":""},{"dropping-particle":"","family":"Bennett","given":"Marialice","non-dropping-particle":"","parse-names":false,"suffix":""},{"dropping-particle":"","family":"Saseen","given":"Joseph J","non-dropping-particle":"","parse-names":false,"suffix":""},{"dropping-particle":"","family":"Trinkley","given":"Katy E","non-dropping-particle":"","parse-names":false,"suffix":""}],"container-title":"SAGE Open Medicine","id":"ITEM-1","issued":{"date-parts":[["2017"]]},"page":"205031211771391","publisher-place":"England","title":"Clinical pharmacists in primary care: Provider satisfaction and perceived impact on quality of care provided","type":"article-journal","volume":"5"},"uris":["http://www.mendeley.com/documents/?uuid=68b42044-94ce-4ed2-a6de-aa34745e8168"]}],"mendeley":{"formattedCitation":"(Truong &lt;i&gt;et al.&lt;/i&gt;, 2017)","manualFormatting":"Truong et al. (2017)","plainTextFormattedCitation":"(Truong et al., 2017)","previouslyFormattedCitation":"(Truong &lt;i&gt;et al.&lt;/i&gt;, 2017)"},"properties":{"noteIndex":0},"schema":"https://github.com/citation-style-language/schema/raw/master/csl-citation.json"}</w:instrText>
      </w:r>
      <w:r>
        <w:rPr>
          <w:rFonts w:ascii="Arial" w:hAnsi="Arial" w:cs="Arial"/>
          <w:sz w:val="24"/>
          <w:szCs w:val="24"/>
          <w:lang w:val="en-GB"/>
        </w:rPr>
        <w:fldChar w:fldCharType="separate"/>
      </w:r>
      <w:r w:rsidRPr="00B525A8">
        <w:rPr>
          <w:rFonts w:ascii="Arial" w:hAnsi="Arial" w:cs="Arial"/>
          <w:noProof/>
          <w:sz w:val="24"/>
          <w:szCs w:val="24"/>
          <w:lang w:val="en-GB"/>
        </w:rPr>
        <w:t xml:space="preserve">Truong </w:t>
      </w:r>
      <w:r w:rsidRPr="00B525A8">
        <w:rPr>
          <w:rFonts w:ascii="Arial" w:hAnsi="Arial" w:cs="Arial"/>
          <w:i/>
          <w:noProof/>
          <w:sz w:val="24"/>
          <w:szCs w:val="24"/>
          <w:lang w:val="en-GB"/>
        </w:rPr>
        <w:t>et al.</w:t>
      </w:r>
      <w:r w:rsidRPr="00B525A8">
        <w:rPr>
          <w:rFonts w:ascii="Arial" w:hAnsi="Arial" w:cs="Arial"/>
          <w:noProof/>
          <w:sz w:val="24"/>
          <w:szCs w:val="24"/>
          <w:lang w:val="en-GB"/>
        </w:rPr>
        <w:t xml:space="preserve"> </w:t>
      </w:r>
      <w:r>
        <w:rPr>
          <w:rFonts w:ascii="Arial" w:hAnsi="Arial" w:cs="Arial"/>
          <w:noProof/>
          <w:sz w:val="24"/>
          <w:szCs w:val="24"/>
          <w:lang w:val="en-GB"/>
        </w:rPr>
        <w:t>(</w:t>
      </w:r>
      <w:r w:rsidRPr="00B525A8">
        <w:rPr>
          <w:rFonts w:ascii="Arial" w:hAnsi="Arial" w:cs="Arial"/>
          <w:noProof/>
          <w:sz w:val="24"/>
          <w:szCs w:val="24"/>
          <w:lang w:val="en-GB"/>
        </w:rPr>
        <w:t>2017)</w:t>
      </w:r>
      <w:r>
        <w:rPr>
          <w:rFonts w:ascii="Arial" w:hAnsi="Arial" w:cs="Arial"/>
          <w:sz w:val="24"/>
          <w:szCs w:val="24"/>
          <w:lang w:val="en-GB"/>
        </w:rPr>
        <w:fldChar w:fldCharType="end"/>
      </w:r>
      <w:r w:rsidRPr="006B2FC7">
        <w:rPr>
          <w:rFonts w:ascii="Arial" w:hAnsi="Arial" w:cs="Arial"/>
          <w:sz w:val="24"/>
          <w:szCs w:val="24"/>
          <w:lang w:val="en-GB"/>
        </w:rPr>
        <w:t xml:space="preserve"> argue that changes in physician’s perceptions of the pharmacist's role could be due to the scope of pharmacy practice expanding to provide more clinical functions than a traditional dispensing model, as well as increased recognition of the importance of interprofessional practice. Both these reasons are in line with the M</w:t>
      </w:r>
      <w:r>
        <w:rPr>
          <w:rFonts w:ascii="Arial" w:hAnsi="Arial" w:cs="Arial"/>
          <w:sz w:val="24"/>
          <w:szCs w:val="24"/>
          <w:lang w:val="en-GB"/>
        </w:rPr>
        <w:t>o</w:t>
      </w:r>
      <w:r w:rsidRPr="006B2FC7">
        <w:rPr>
          <w:rFonts w:ascii="Arial" w:hAnsi="Arial" w:cs="Arial"/>
          <w:sz w:val="24"/>
          <w:szCs w:val="24"/>
          <w:lang w:val="en-GB"/>
        </w:rPr>
        <w:t>H strategy in SA that has introduced the multidisciplinary healthcare team approach in all its organisations and started to change pharmacy practice to play clinical roles in order to enhance patient care.</w:t>
      </w:r>
    </w:p>
    <w:p w14:paraId="65042620" w14:textId="5A3D190C" w:rsidR="00941883" w:rsidRDefault="00941883" w:rsidP="00941883">
      <w:pPr>
        <w:autoSpaceDE w:val="0"/>
        <w:autoSpaceDN w:val="0"/>
        <w:adjustRightInd w:val="0"/>
        <w:spacing w:line="360" w:lineRule="auto"/>
        <w:jc w:val="both"/>
        <w:rPr>
          <w:rFonts w:ascii="Arial" w:hAnsi="Arial" w:cs="Arial"/>
          <w:sz w:val="24"/>
          <w:szCs w:val="24"/>
          <w:lang w:val="en-GB"/>
        </w:rPr>
      </w:pPr>
      <w:r w:rsidRPr="00760596">
        <w:rPr>
          <w:rFonts w:ascii="Arial" w:hAnsi="Arial" w:cs="Arial"/>
          <w:sz w:val="24"/>
          <w:szCs w:val="24"/>
          <w:lang w:val="en-GB"/>
        </w:rPr>
        <w:t xml:space="preserve">However, Duncan et al, 2020, found that medication reviews provided by pharmacists were not a priority for GPs. Managing prescription orders was seen as a higher priority by GPs. This task was thought to have a greater impact on the GP's workload; Therefore, general practices have given it importance. This perception may frustrate some pharmacists as they may feel that GPs have taken advantage of them and not fully exploited their expertise by spending all day dispensing prescriptions in order to reduce their workload rather than being better utilised for another active role, such as medication therapy </w:t>
      </w:r>
      <w:r w:rsidR="00A72612" w:rsidRPr="00760596">
        <w:rPr>
          <w:rFonts w:ascii="Arial" w:hAnsi="Arial" w:cs="Arial"/>
          <w:sz w:val="24"/>
          <w:szCs w:val="24"/>
          <w:lang w:val="en-GB"/>
        </w:rPr>
        <w:t xml:space="preserve">management. </w:t>
      </w:r>
      <w:r w:rsidRPr="00760596">
        <w:rPr>
          <w:rFonts w:ascii="Arial" w:hAnsi="Arial" w:cs="Arial"/>
          <w:sz w:val="24"/>
          <w:szCs w:val="24"/>
          <w:lang w:val="en-GB"/>
        </w:rPr>
        <w:t xml:space="preserve">However, many GPs preferred to be responsible for prescription decisions rather than give this authority to pharmacists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{"citationItems":[{"id":"ITEM-1","itemData":{"DOI":"10.3399/bjgp20X708197","ISSN":"14785242","PMID":"32041767","abstract":"Background Many UK GP practices now employ a practice pharmacist, but little is known about how GPs and pharmacists work together to optimise medications for complex patients with multimorbidity. Aim To explore GP and pharmacist perspectives on collaborative working within the context of optimising medications for patients with multimorbidity. Design and setting A qualitative analysis of semi-structured interviews with GPs and pharmacists working in the West of England, Northern England, and Scotland. Method Thirteen GPs and 10 pharmacists were sampled from practices enrolled in the 3D trial (a complex intervention for people with multimorbidity). Participants' views on collaborative working were explored with interviews that were audiorecorded, transcribed, and analysed thematically. Saturation of data was achieved with no new insights arising from later interviews. Results GPs from surgeries that employed a pharmacist tended to value their expertise more than GPs who had not worked with one. Three key themes were identified: resources and competing priorities; responsibility; and professional boundaries. GPs valued pharmacist recommendations that were perceived to improve patient safety, as opposed to those that were technical and unlikely to benefit the patient. Pharmacists who were not known to GPs felt undervalued and wanted feedback from the GPs about their recommendations, particularly those that were not actioned. Conclusion A good working relationship between the GP and pharmacist, where each profession understood the other's skills and expertise, was key. The importance of face-to-face meetings and feedback should be considered in future studies of interdisciplinary interventions, and by GP practices that employ pharmacists and other allied health professionals.","author":[{"dropping-particle":"","family":"Duncan","given":"Polly","non-dropping-particle":"","parse-names":false,"suffix":""},{"dropping-particle":"","family":"Ridd","given":"Matthew J.","non-dropping-particle":"","parse-names":false,"suffix":""},{"dropping-particle":"","family":"McCahon","given":"Deborah","non-dropping-particle":"","parse-names":false,"suffix":""},{"dropping-particle":"","family":"Cabral","given":"Christie","non-dropping-particle":"","parse-names":false,"suffix":""},{"dropping-particle":"","family":"Guthrie","given":"Bruce","non-dropping-particle":"","parse-names":false,"suffix":""}],"container-title":"British Journal of General Practice","id":"ITEM-1","issue":"692","issued":{"date-parts":[["2020"]]},"page":"E155-E163","title":"Barriers and enablers to collaborative working between GPs and pharmacists: A qualitative interview study","type":"article-journal","volume":"70"},"uris":["http://www.mendeley.com/documents/?uuid=95f5fbf7-a577-4beb-8988-b65ce95d2ac9"]}],"mendeley":{"formattedCitation":"(Duncan &lt;i&gt;et al.&lt;/i&gt;, 2020)","plainTextFormattedCitation":"(Duncan et al., 2020)","previouslyFormattedCitation":"(Duncan &lt;i&gt;et al.&lt;/i&gt;, 2020)"},"properties":{"noteIndex":0},"schema":"https://github.com/citation-style-language/schema/raw/master/csl-citation.json"}</w:instrText>
      </w:r>
      <w:r>
        <w:rPr>
          <w:rFonts w:ascii="Arial" w:hAnsi="Arial" w:cs="Arial"/>
          <w:sz w:val="24"/>
          <w:szCs w:val="24"/>
          <w:lang w:val="en-GB"/>
        </w:rPr>
        <w:fldChar w:fldCharType="separate"/>
      </w:r>
      <w:r w:rsidRPr="0053748C">
        <w:rPr>
          <w:rFonts w:ascii="Arial" w:hAnsi="Arial" w:cs="Arial"/>
          <w:noProof/>
          <w:sz w:val="24"/>
          <w:szCs w:val="24"/>
          <w:lang w:val="en-GB"/>
        </w:rPr>
        <w:t xml:space="preserve">(Duncan </w:t>
      </w:r>
      <w:r w:rsidRPr="0053748C">
        <w:rPr>
          <w:rFonts w:ascii="Arial" w:hAnsi="Arial" w:cs="Arial"/>
          <w:i/>
          <w:noProof/>
          <w:sz w:val="24"/>
          <w:szCs w:val="24"/>
          <w:lang w:val="en-GB"/>
        </w:rPr>
        <w:t>et al.</w:t>
      </w:r>
      <w:r w:rsidRPr="0053748C">
        <w:rPr>
          <w:rFonts w:ascii="Arial" w:hAnsi="Arial" w:cs="Arial"/>
          <w:noProof/>
          <w:sz w:val="24"/>
          <w:szCs w:val="24"/>
          <w:lang w:val="en-GB"/>
        </w:rPr>
        <w:t>, 2020)</w:t>
      </w:r>
      <w:r>
        <w:rPr>
          <w:rFonts w:ascii="Arial" w:hAnsi="Arial" w:cs="Arial"/>
          <w:sz w:val="24"/>
          <w:szCs w:val="24"/>
          <w:lang w:val="en-GB"/>
        </w:rPr>
        <w:fldChar w:fldCharType="end"/>
      </w:r>
      <w:r>
        <w:rPr>
          <w:rFonts w:ascii="Arial" w:hAnsi="Arial" w:cs="Arial"/>
          <w:sz w:val="24"/>
          <w:szCs w:val="24"/>
          <w:lang w:val="en-GB"/>
        </w:rPr>
        <w:t>.</w:t>
      </w:r>
    </w:p>
    <w:p w14:paraId="6B378E83" w14:textId="62D0C2C4" w:rsidR="00941883" w:rsidRPr="00A742C4" w:rsidRDefault="00941883" w:rsidP="00941883">
      <w:pPr>
        <w:autoSpaceDE w:val="0"/>
        <w:autoSpaceDN w:val="0"/>
        <w:adjustRightInd w:val="0"/>
        <w:spacing w:line="360" w:lineRule="auto"/>
        <w:jc w:val="both"/>
        <w:rPr>
          <w:rFonts w:ascii="Arial" w:hAnsi="Arial" w:cs="Arial"/>
          <w:sz w:val="24"/>
          <w:szCs w:val="24"/>
        </w:rPr>
      </w:pPr>
      <w:r w:rsidRPr="00A742C4">
        <w:rPr>
          <w:rFonts w:ascii="Arial" w:hAnsi="Arial" w:cs="Arial"/>
          <w:sz w:val="24"/>
          <w:szCs w:val="24"/>
        </w:rPr>
        <w:t xml:space="preserve">Other positive results </w:t>
      </w:r>
      <w:r w:rsidR="00C95731">
        <w:rPr>
          <w:rFonts w:ascii="Arial" w:hAnsi="Arial" w:cs="Arial"/>
          <w:sz w:val="24"/>
          <w:szCs w:val="24"/>
        </w:rPr>
        <w:t xml:space="preserve">emerged on pharmacists roles </w:t>
      </w:r>
      <w:r w:rsidRPr="00A742C4">
        <w:rPr>
          <w:rFonts w:ascii="Arial" w:hAnsi="Arial" w:cs="Arial"/>
          <w:sz w:val="24"/>
          <w:szCs w:val="24"/>
        </w:rPr>
        <w:t xml:space="preserve">from mixed-methods research by </w:t>
      </w:r>
      <w:r>
        <w:rPr>
          <w:rFonts w:ascii="Arial" w:hAnsi="Arial" w:cs="Arial"/>
          <w:sz w:val="24"/>
          <w:szCs w:val="24"/>
        </w:rPr>
        <w:fldChar w:fldCharType="begin" w:fldLock="1"/>
      </w:r>
      <w:r>
        <w:rPr>
          <w:rFonts w:ascii="Arial" w:hAnsi="Arial" w:cs="Arial"/>
          <w:sz w:val="24"/>
          <w:szCs w:val="24"/>
        </w:rPr>
        <w:instrText>ADDIN CSL_CITATION {"citationItems":[{"id":"ITEM-1","itemData":{"DOI":"10.1016/j.japh.2017.06.018","ISSN":"15443450","abstract":"Background Improving medication management is an important component of comprehensive care coordination for health systems. The Managing Your Medication for Education and Daily Support (MyMeds) medication management program at the University of California Los Angeles addresses medication management issues by embedding trained clinical pharmacists in primary care practice teams. Objectives The aim of this work was to examine and explore physician opinions about the clinical pharmacist program and identify common themes among physician experiences as well as barriers to integration of clinical pharmacists into primary care practice teams. Methods We conducted a mixed quantitative–qualitative methods study consisting of a cross-sectional physician survey (n = 69) as well as semistructured one-on-one physician interviews (n = 13). Descriptive statistics were used to summarize survey responses, and standard qualitative content-analysis methods were used to identify major themes from the interviews. Results The survey response rate was 61%; 13 interviews were conducted. Ninety percent of survey respondents agreed or strongly agreed that having the pharmacist in the office makes management of the patient's medication more efficient, 93% agreed or strongly agreed that pharmacist recommendations are clinically helpful, 71% agreed or strongly agreed that having access to a pharmacist has increased their knowledge about medications they prescribe, and 75% agreed or strongly agreed that having a pharmacist as part of the primary care team has made their job easier. Qualitative interviews corroborated survey findings, and physicians highlighted the value of the clinical pharmacist's communication, team care and expanded roles, and medication management. Conclusion Primary care physicians valued the integrated pharmacy program highly, particularly its features of strong communication, expanded roles, and medication management. Pharmacists were viewed as integral members of the health care team.","author":[{"dropping-particle":"","family":"Moreno","given":"Gerardo","non-dropping-particle":"","parse-names":false,"suffix":""},{"dropping-particle":"","family":"Lonowski","given":"Sarah","non-dropping-particle":"","parse-names":false,"suffix":""},{"dropping-particle":"","family":"Fu","given":"Jeffrey","non-dropping-particle":"","parse-names":false,"suffix":""},{"dropping-particle":"","family":"Chon","given":"Janet S.","non-dropping-particle":"","parse-names":false,"suffix":""},{"dropping-particle":"","family":"Whitmire","given":"Natalie","non-dropping-particle":"","parse-names":false,"suffix":""},{"dropping-particle":"","family":"Vasquez","given":"Carolina","non-dropping-particle":"","parse-names":false,"suffix":""},{"dropping-particle":"","family":"Skootsky","given":"Samuel A.","non-dropping-particle":"","parse-names":false,"suffix":""},{"dropping-particle":"","family":"Bell","given":"Douglas S.","non-dropping-particle":"","parse-names":false,"suffix":""},{"dropping-particle":"","family":"Maranon","given":"Richard","non-dropping-particle":"","parse-names":false,"suffix":""},{"dropping-particle":"","family":"Mangione","given":"Carol M.","non-dropping-particle":"","parse-names":false,"suffix":""}],"container-title":"Journal of the American Pharmacists Association","id":"ITEM-1","issue":"6","issued":{"date-parts":[["2017"]]},"page":"686-691","publisher":"American Pharmacists Association®","title":"Physician experiences with clinical pharmacists in primary care teams","type":"article-journal","volume":"57"},"uris":["http://www.mendeley.com/documents/?uuid=c616567c-4385-4a1a-ba6a-5b1dac03d077"]}],"mendeley":{"formattedCitation":"(Moreno &lt;i&gt;et al.&lt;/i&gt;, 2017)","manualFormatting":"Moreno et al. (2017)","plainTextFormattedCitation":"(Moreno et al., 2017)","previouslyFormattedCitation":"(Moreno &lt;i&gt;et al.&lt;/i&gt;, 2017)"},"properties":{"noteIndex":0},"schema":"https://github.com/citation-style-language/schema/raw/master/csl-citation.json"}</w:instrText>
      </w:r>
      <w:r>
        <w:rPr>
          <w:rFonts w:ascii="Arial" w:hAnsi="Arial" w:cs="Arial"/>
          <w:sz w:val="24"/>
          <w:szCs w:val="24"/>
        </w:rPr>
        <w:fldChar w:fldCharType="separate"/>
      </w:r>
      <w:r w:rsidRPr="00B525A8">
        <w:rPr>
          <w:rFonts w:ascii="Arial" w:hAnsi="Arial" w:cs="Arial"/>
          <w:noProof/>
          <w:sz w:val="24"/>
          <w:szCs w:val="24"/>
        </w:rPr>
        <w:t xml:space="preserve">Moreno </w:t>
      </w:r>
      <w:r w:rsidRPr="00B525A8">
        <w:rPr>
          <w:rFonts w:ascii="Arial" w:hAnsi="Arial" w:cs="Arial"/>
          <w:i/>
          <w:noProof/>
          <w:sz w:val="24"/>
          <w:szCs w:val="24"/>
        </w:rPr>
        <w:t>et al.</w:t>
      </w:r>
      <w:r w:rsidRPr="00B525A8">
        <w:rPr>
          <w:rFonts w:ascii="Arial" w:hAnsi="Arial" w:cs="Arial"/>
          <w:noProof/>
          <w:sz w:val="24"/>
          <w:szCs w:val="24"/>
        </w:rPr>
        <w:t xml:space="preserve"> </w:t>
      </w:r>
      <w:r>
        <w:rPr>
          <w:rFonts w:ascii="Arial" w:hAnsi="Arial" w:cs="Arial"/>
          <w:noProof/>
          <w:sz w:val="24"/>
          <w:szCs w:val="24"/>
        </w:rPr>
        <w:t>(</w:t>
      </w:r>
      <w:r w:rsidRPr="00B525A8">
        <w:rPr>
          <w:rFonts w:ascii="Arial" w:hAnsi="Arial" w:cs="Arial"/>
          <w:noProof/>
          <w:sz w:val="24"/>
          <w:szCs w:val="24"/>
        </w:rPr>
        <w:t>2017)</w:t>
      </w:r>
      <w:r>
        <w:rPr>
          <w:rFonts w:ascii="Arial" w:hAnsi="Arial" w:cs="Arial"/>
          <w:sz w:val="24"/>
          <w:szCs w:val="24"/>
        </w:rPr>
        <w:fldChar w:fldCharType="end"/>
      </w:r>
      <w:r>
        <w:rPr>
          <w:rFonts w:ascii="Arial" w:hAnsi="Arial" w:cs="Arial"/>
          <w:sz w:val="24"/>
          <w:szCs w:val="24"/>
        </w:rPr>
        <w:t xml:space="preserve"> </w:t>
      </w:r>
      <w:r w:rsidR="00C95731">
        <w:rPr>
          <w:rFonts w:ascii="Arial" w:hAnsi="Arial" w:cs="Arial"/>
          <w:sz w:val="24"/>
          <w:szCs w:val="24"/>
        </w:rPr>
        <w:t xml:space="preserve">who </w:t>
      </w:r>
      <w:r w:rsidRPr="00A742C4">
        <w:rPr>
          <w:rFonts w:ascii="Arial" w:hAnsi="Arial" w:cs="Arial"/>
          <w:sz w:val="24"/>
          <w:szCs w:val="24"/>
        </w:rPr>
        <w:t xml:space="preserve">showed that primary care physicians in Los Angeles in the US were highly satisfied with the clinical pharmacists embedded in their teams. This could give hope that such an experience could be found in other primary care settings. However, the pharmacy practice in primary care practice in the US is different from SA; therefore, it could not compare both practices. The primary care pharmacists in the US cover a different practice each weekday while in SA, the current situation is one pharmacist in each primary care practice. </w:t>
      </w:r>
    </w:p>
    <w:p w14:paraId="4D631F37" w14:textId="77777777" w:rsidR="00941883" w:rsidRDefault="00941883" w:rsidP="00941883">
      <w:pPr>
        <w:autoSpaceDE w:val="0"/>
        <w:autoSpaceDN w:val="0"/>
        <w:adjustRightInd w:val="0"/>
        <w:spacing w:line="360" w:lineRule="auto"/>
        <w:jc w:val="both"/>
        <w:rPr>
          <w:rFonts w:ascii="Arial" w:hAnsi="Arial" w:cs="Arial"/>
          <w:sz w:val="24"/>
          <w:szCs w:val="24"/>
          <w:lang w:val="en-GB"/>
        </w:rPr>
      </w:pPr>
      <w:r w:rsidRPr="00A742C4">
        <w:rPr>
          <w:rFonts w:ascii="Arial" w:hAnsi="Arial" w:cs="Arial"/>
          <w:sz w:val="24"/>
          <w:szCs w:val="24"/>
        </w:rPr>
        <w:t xml:space="preserve">In addition, the ambulatory clinical pharmacist in the US is embedded in primary care practices; thus, the clinical role of the pharmacist is clarified by the health system, while a proper job description was reported </w:t>
      </w:r>
      <w:r>
        <w:rPr>
          <w:rFonts w:ascii="Arial" w:hAnsi="Arial" w:cs="Arial"/>
          <w:sz w:val="24"/>
          <w:szCs w:val="24"/>
        </w:rPr>
        <w:t xml:space="preserve">by </w:t>
      </w:r>
      <w:r w:rsidRPr="001847B9">
        <w:rPr>
          <w:rFonts w:ascii="Arial" w:hAnsi="Arial" w:cs="Arial"/>
          <w:sz w:val="24"/>
          <w:szCs w:val="24"/>
        </w:rPr>
        <w:t xml:space="preserve">Kuwaiti </w:t>
      </w:r>
      <w:r>
        <w:rPr>
          <w:rFonts w:ascii="Arial" w:hAnsi="Arial" w:cs="Arial"/>
          <w:sz w:val="24"/>
          <w:szCs w:val="24"/>
        </w:rPr>
        <w:t xml:space="preserve">pharmacists </w:t>
      </w:r>
      <w:r w:rsidRPr="00A742C4">
        <w:rPr>
          <w:rFonts w:ascii="Arial" w:hAnsi="Arial" w:cs="Arial"/>
          <w:sz w:val="24"/>
          <w:szCs w:val="24"/>
        </w:rPr>
        <w:t>as a barrier of providing clinical services to diabetes patients</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Pr>
          <w:rFonts w:ascii="Arial" w:hAnsi="Arial" w:cs="Arial"/>
          <w:sz w:val="24"/>
          <w:szCs w:val="24"/>
        </w:rPr>
        <w:fldChar w:fldCharType="separate"/>
      </w:r>
      <w:r w:rsidRPr="001847B9">
        <w:rPr>
          <w:rFonts w:ascii="Arial" w:hAnsi="Arial" w:cs="Arial"/>
          <w:noProof/>
          <w:sz w:val="24"/>
          <w:szCs w:val="24"/>
        </w:rPr>
        <w:t>(Al-Taweel</w:t>
      </w:r>
      <w:r>
        <w:rPr>
          <w:rFonts w:ascii="Arial" w:hAnsi="Arial" w:cs="Arial"/>
          <w:noProof/>
          <w:sz w:val="24"/>
          <w:szCs w:val="24"/>
        </w:rPr>
        <w:t xml:space="preserve"> et al.</w:t>
      </w:r>
      <w:r w:rsidRPr="001847B9">
        <w:rPr>
          <w:rFonts w:ascii="Arial" w:hAnsi="Arial" w:cs="Arial"/>
          <w:noProof/>
          <w:sz w:val="24"/>
          <w:szCs w:val="24"/>
        </w:rPr>
        <w:t>, 2014)</w:t>
      </w:r>
      <w:r>
        <w:rPr>
          <w:rFonts w:ascii="Arial" w:hAnsi="Arial" w:cs="Arial"/>
          <w:sz w:val="24"/>
          <w:szCs w:val="24"/>
        </w:rPr>
        <w:fldChar w:fldCharType="end"/>
      </w:r>
      <w:r>
        <w:rPr>
          <w:rFonts w:ascii="Arial" w:hAnsi="Arial" w:cs="Arial"/>
          <w:sz w:val="24"/>
          <w:szCs w:val="24"/>
        </w:rPr>
        <w:t xml:space="preserve">. </w:t>
      </w:r>
      <w:r w:rsidRPr="00A742C4">
        <w:rPr>
          <w:rFonts w:ascii="Arial" w:hAnsi="Arial" w:cs="Arial"/>
          <w:sz w:val="24"/>
          <w:szCs w:val="24"/>
        </w:rPr>
        <w:t xml:space="preserve">In SA, it seems the same case as in Kuwait of lacking the guideline of the clinical role of primary care pharmacists. Thus, this study might be used as a guidance/reference that could help in conducting this research. The limitation of </w:t>
      </w:r>
      <w:r>
        <w:rPr>
          <w:rFonts w:ascii="Arial" w:hAnsi="Arial" w:cs="Arial"/>
          <w:sz w:val="24"/>
          <w:szCs w:val="24"/>
        </w:rPr>
        <w:fldChar w:fldCharType="begin" w:fldLock="1"/>
      </w:r>
      <w:r>
        <w:rPr>
          <w:rFonts w:ascii="Arial" w:hAnsi="Arial" w:cs="Arial"/>
          <w:sz w:val="24"/>
          <w:szCs w:val="24"/>
        </w:rPr>
        <w:instrText>ADDIN CSL_CITATION {"citationItems":[{"id":"ITEM-1","itemData":{"DOI":"10.1016/j.japh.2017.06.018","ISSN":"15443450","abstract":"Background Improving medication management is an important component of comprehensive care coordination for health systems. The Managing Your Medication for Education and Daily Support (MyMeds) medication management program at the University of California Los Angeles addresses medication management issues by embedding trained clinical pharmacists in primary care practice teams. Objectives The aim of this work was to examine and explore physician opinions about the clinical pharmacist program and identify common themes among physician experiences as well as barriers to integration of clinical pharmacists into primary care practice teams. Methods We conducted a mixed quantitative–qualitative methods study consisting of a cross-sectional physician survey (n = 69) as well as semistructured one-on-one physician interviews (n = 13). Descriptive statistics were used to summarize survey responses, and standard qualitative content-analysis methods were used to identify major themes from the interviews. Results The survey response rate was 61%; 13 interviews were conducted. Ninety percent of survey respondents agreed or strongly agreed that having the pharmacist in the office makes management of the patient's medication more efficient, 93% agreed or strongly agreed that pharmacist recommendations are clinically helpful, 71% agreed or strongly agreed that having access to a pharmacist has increased their knowledge about medications they prescribe, and 75% agreed or strongly agreed that having a pharmacist as part of the primary care team has made their job easier. Qualitative interviews corroborated survey findings, and physicians highlighted the value of the clinical pharmacist's communication, team care and expanded roles, and medication management. Conclusion Primary care physicians valued the integrated pharmacy program highly, particularly its features of strong communication, expanded roles, and medication management. Pharmacists were viewed as integral members of the health care team.","author":[{"dropping-particle":"","family":"Moreno","given":"Gerardo","non-dropping-particle":"","parse-names":false,"suffix":""},{"dropping-particle":"","family":"Lonowski","given":"Sarah","non-dropping-particle":"","parse-names":false,"suffix":""},{"dropping-particle":"","family":"Fu","given":"Jeffrey","non-dropping-particle":"","parse-names":false,"suffix":""},{"dropping-particle":"","family":"Chon","given":"Janet S.","non-dropping-particle":"","parse-names":false,"suffix":""},{"dropping-particle":"","family":"Whitmire","given":"Natalie","non-dropping-particle":"","parse-names":false,"suffix":""},{"dropping-particle":"","family":"Vasquez","given":"Carolina","non-dropping-particle":"","parse-names":false,"suffix":""},{"dropping-particle":"","family":"Skootsky","given":"Samuel A.","non-dropping-particle":"","parse-names":false,"suffix":""},{"dropping-particle":"","family":"Bell","given":"Douglas S.","non-dropping-particle":"","parse-names":false,"suffix":""},{"dropping-particle":"","family":"Maranon","given":"Richard","non-dropping-particle":"","parse-names":false,"suffix":""},{"dropping-particle":"","family":"Mangione","given":"Carol M.","non-dropping-particle":"","parse-names":false,"suffix":""}],"container-title":"Journal of the American Pharmacists Association","id":"ITEM-1","issue":"6","issued":{"date-parts":[["2017"]]},"page":"686-691","publisher":"American Pharmacists Association®","title":"Physician experiences with clinical pharmacists in primary care teams","type":"article-journal","volume":"57"},"uris":["http://www.mendeley.com/documents/?uuid=c616567c-4385-4a1a-ba6a-5b1dac03d077"]}],"mendeley":{"formattedCitation":"(Moreno &lt;i&gt;et al.&lt;/i&gt;, 2017)","manualFormatting":"Moreno et al. (2017)","plainTextFormattedCitation":"(Moreno et al., 2017)","previouslyFormattedCitation":"(Moreno &lt;i&gt;et al.&lt;/i&gt;, 2017)"},"properties":{"noteIndex":0},"schema":"https://github.com/citation-style-language/schema/raw/master/csl-citation.json"}</w:instrText>
      </w:r>
      <w:r>
        <w:rPr>
          <w:rFonts w:ascii="Arial" w:hAnsi="Arial" w:cs="Arial"/>
          <w:sz w:val="24"/>
          <w:szCs w:val="24"/>
        </w:rPr>
        <w:fldChar w:fldCharType="separate"/>
      </w:r>
      <w:r w:rsidRPr="00B525A8">
        <w:rPr>
          <w:rFonts w:ascii="Arial" w:hAnsi="Arial" w:cs="Arial"/>
          <w:noProof/>
          <w:sz w:val="24"/>
          <w:szCs w:val="24"/>
        </w:rPr>
        <w:t xml:space="preserve">Moreno </w:t>
      </w:r>
      <w:r w:rsidRPr="00B525A8">
        <w:rPr>
          <w:rFonts w:ascii="Arial" w:hAnsi="Arial" w:cs="Arial"/>
          <w:i/>
          <w:noProof/>
          <w:sz w:val="24"/>
          <w:szCs w:val="24"/>
        </w:rPr>
        <w:t>et al.</w:t>
      </w:r>
      <w:r w:rsidRPr="00B525A8">
        <w:rPr>
          <w:rFonts w:ascii="Arial" w:hAnsi="Arial" w:cs="Arial"/>
          <w:noProof/>
          <w:sz w:val="24"/>
          <w:szCs w:val="24"/>
        </w:rPr>
        <w:t xml:space="preserve"> </w:t>
      </w:r>
      <w:r>
        <w:rPr>
          <w:rFonts w:ascii="Arial" w:hAnsi="Arial" w:cs="Arial"/>
          <w:noProof/>
          <w:sz w:val="24"/>
          <w:szCs w:val="24"/>
        </w:rPr>
        <w:t>(</w:t>
      </w:r>
      <w:r w:rsidRPr="00B525A8">
        <w:rPr>
          <w:rFonts w:ascii="Arial" w:hAnsi="Arial" w:cs="Arial"/>
          <w:noProof/>
          <w:sz w:val="24"/>
          <w:szCs w:val="24"/>
        </w:rPr>
        <w:t>2017)</w:t>
      </w:r>
      <w:r>
        <w:rPr>
          <w:rFonts w:ascii="Arial" w:hAnsi="Arial" w:cs="Arial"/>
          <w:sz w:val="24"/>
          <w:szCs w:val="24"/>
        </w:rPr>
        <w:fldChar w:fldCharType="end"/>
      </w:r>
      <w:r w:rsidRPr="00A742C4">
        <w:rPr>
          <w:rFonts w:ascii="Arial" w:hAnsi="Arial" w:cs="Arial"/>
          <w:sz w:val="24"/>
          <w:szCs w:val="24"/>
        </w:rPr>
        <w:t xml:space="preserve"> study is the small survey sample size (69) with the response rate was 61%</w:t>
      </w:r>
      <w:r>
        <w:rPr>
          <w:rFonts w:ascii="Arial" w:hAnsi="Arial" w:cs="Arial"/>
          <w:sz w:val="24"/>
          <w:szCs w:val="24"/>
        </w:rPr>
        <w:t xml:space="preserve">, </w:t>
      </w:r>
      <w:r w:rsidRPr="00A742C4">
        <w:rPr>
          <w:rFonts w:ascii="Arial" w:hAnsi="Arial" w:cs="Arial"/>
          <w:sz w:val="24"/>
          <w:szCs w:val="24"/>
        </w:rPr>
        <w:t>and it captured the doctors’ views only.</w:t>
      </w:r>
    </w:p>
    <w:p w14:paraId="6EB162E9" w14:textId="77777777" w:rsidR="00941883" w:rsidRPr="00B525A8" w:rsidRDefault="00941883" w:rsidP="00941883">
      <w:pPr>
        <w:pStyle w:val="CommentText"/>
        <w:spacing w:line="360" w:lineRule="auto"/>
        <w:jc w:val="both"/>
        <w:rPr>
          <w:rFonts w:ascii="Arial" w:hAnsi="Arial" w:cs="Arial"/>
          <w:color w:val="FF0000"/>
          <w:sz w:val="24"/>
          <w:szCs w:val="24"/>
        </w:rPr>
      </w:pPr>
      <w:r w:rsidRPr="00B9746D">
        <w:rPr>
          <w:rFonts w:ascii="Arial" w:hAnsi="Arial" w:cs="Arial"/>
          <w:sz w:val="24"/>
          <w:szCs w:val="24"/>
        </w:rPr>
        <w:t>Regarding pharmacists' view of treating diabetes</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{"citationItems":[{"id":"ITEM-1","itemData":{"DOI":"10.1159/000456088","ISSN":"14230151","abstract":"Objectives: The objectives of this study were to measure pharmacists' attitudes toward management of diabetes, identify current levels of pharmacy service provided to patients with diabetes, and identify barriers for further provision of diabetes-related services. Subjects and Methods: A descriptive, cross-sectional study was conducted on a sample of 198 pharmacists working in primary and secondary health care settings in one health region of Kuwait using a pretested self-administered questionnaire. Descriptive statistics, correlations, and comparative analysis were performed. Results: The response rate was 84.4% (n = 168). Respondents had overall positive attitudes toward management of diabetes. Pharmacists regularly provided their patients with counseling on the appropriate time to administer their medications; however, services related to hypoglycemia and management of comorbid diseases were rarely provided. A negative correlation was found between the positive overall diabetes-related attitudes and pharmacists' involvement in providing the following diabetes-related services: glucose monitoring (r = -0.25, p = 0.001), comorbid disease management (r = -0.243, p = 0.001), and healthy living choices (r = -0.237, p = 0.002). The perception that some physicians and patients have of pharmacists as dispensers only was identified as the most important barrier to providing diabetes-related services. Conclusion: Pharmacists have positive diabetes-related attitudes; however, they provide limited diabetes-related services to their patients. Barriers to provision of pharmacy services to patients with diabetes should be addressed to enable optimum patient care delivery.","author":[{"dropping-particle":"","family":"Haqan","given":"Asmaa A.","non-dropping-particle":"Al","parse-names":false,"suffix":""},{"dropping-particle":"","family":"Al-Taweel","given":"Dalal M.","non-dropping-particle":"","parse-names":false,"suffix":""},{"dropping-particle":"","family":"Awad","given":"Abdelmoneim","non-dropping-particle":"","parse-names":false,"suffix":""},{"dropping-particle":"","family":"Wake","given":"Deborah Jane","non-dropping-particle":"","parse-names":false,"suffix":""}],"container-title":"Medical Principles and Practice","id":"ITEM-1","issue":"3","issued":{"date-parts":[["2017","5","1"]]},"page":"273-279","publisher":"S. Karger AG","title":"Pharmacists' Attitudes and Role in Diabetes Management in Kuwait","type":"article-journal","volume":"26"},"uris":["http://www.mendeley.com/documents/?uuid=6cc31e18-9dc2-3473-bf05-43a9df581f33"]}],"mendeley":{"formattedCitation":"(Al Haqan &lt;i&gt;et al.&lt;/i&gt;, 2017)","manualFormatting":"Al Haqan et al. (2017)","plainTextFormattedCitation":"(Al Haqan et al., 2017)","previouslyFormattedCitation":"(Al Haqan &lt;i&gt;et al.&lt;/i&gt;, 2017)"},"properties":{"noteIndex":0},"schema":"https://github.com/citation-style-language/schema/raw/master/csl-citation.json"}</w:instrText>
      </w:r>
      <w:r>
        <w:rPr>
          <w:rFonts w:ascii="Arial" w:hAnsi="Arial" w:cs="Arial"/>
          <w:sz w:val="24"/>
          <w:szCs w:val="24"/>
        </w:rPr>
        <w:fldChar w:fldCharType="separate"/>
      </w:r>
      <w:r w:rsidRPr="00B525A8">
        <w:rPr>
          <w:rFonts w:ascii="Arial" w:hAnsi="Arial" w:cs="Arial"/>
          <w:noProof/>
          <w:sz w:val="24"/>
          <w:szCs w:val="24"/>
        </w:rPr>
        <w:t xml:space="preserve">Al Haqan </w:t>
      </w:r>
      <w:r w:rsidRPr="00B525A8">
        <w:rPr>
          <w:rFonts w:ascii="Arial" w:hAnsi="Arial" w:cs="Arial"/>
          <w:i/>
          <w:noProof/>
          <w:sz w:val="24"/>
          <w:szCs w:val="24"/>
        </w:rPr>
        <w:t>et al.</w:t>
      </w:r>
      <w:r w:rsidRPr="00B525A8">
        <w:rPr>
          <w:rFonts w:ascii="Arial" w:hAnsi="Arial" w:cs="Arial"/>
          <w:noProof/>
          <w:sz w:val="24"/>
          <w:szCs w:val="24"/>
        </w:rPr>
        <w:t xml:space="preserve"> </w:t>
      </w:r>
      <w:r>
        <w:rPr>
          <w:rFonts w:ascii="Arial" w:hAnsi="Arial" w:cs="Arial"/>
          <w:noProof/>
          <w:sz w:val="24"/>
          <w:szCs w:val="24"/>
        </w:rPr>
        <w:t>(</w:t>
      </w:r>
      <w:r w:rsidRPr="00B525A8">
        <w:rPr>
          <w:rFonts w:ascii="Arial" w:hAnsi="Arial" w:cs="Arial"/>
          <w:noProof/>
          <w:sz w:val="24"/>
          <w:szCs w:val="24"/>
        </w:rPr>
        <w:t>2017)</w:t>
      </w:r>
      <w:r>
        <w:rPr>
          <w:rFonts w:ascii="Arial" w:hAnsi="Arial" w:cs="Arial"/>
          <w:sz w:val="24"/>
          <w:szCs w:val="24"/>
        </w:rPr>
        <w:fldChar w:fldCharType="end"/>
      </w:r>
      <w:r w:rsidRPr="006B2FC7">
        <w:rPr>
          <w:rFonts w:ascii="Arial" w:hAnsi="Arial" w:cs="Arial"/>
          <w:sz w:val="24"/>
          <w:szCs w:val="24"/>
        </w:rPr>
        <w:t xml:space="preserve"> conducted a study </w:t>
      </w:r>
      <w:r>
        <w:rPr>
          <w:rFonts w:ascii="Arial" w:hAnsi="Arial" w:cs="Arial"/>
          <w:sz w:val="24"/>
          <w:szCs w:val="24"/>
        </w:rPr>
        <w:t>to</w:t>
      </w:r>
      <w:r w:rsidRPr="006B2FC7">
        <w:rPr>
          <w:rFonts w:ascii="Arial" w:hAnsi="Arial" w:cs="Arial"/>
          <w:sz w:val="24"/>
          <w:szCs w:val="24"/>
        </w:rPr>
        <w:t xml:space="preserve"> exam</w:t>
      </w:r>
      <w:r>
        <w:rPr>
          <w:rFonts w:ascii="Arial" w:hAnsi="Arial" w:cs="Arial"/>
          <w:sz w:val="24"/>
          <w:szCs w:val="24"/>
        </w:rPr>
        <w:t>ine</w:t>
      </w:r>
      <w:r w:rsidRPr="006B2FC7">
        <w:rPr>
          <w:rFonts w:ascii="Arial" w:hAnsi="Arial" w:cs="Arial"/>
          <w:sz w:val="24"/>
          <w:szCs w:val="24"/>
        </w:rPr>
        <w:t xml:space="preserve"> the attitudes of pharmacists and their role in diabetes management in Kuwait. </w:t>
      </w:r>
      <w:r w:rsidRPr="00B85366">
        <w:rPr>
          <w:rFonts w:ascii="Arial" w:hAnsi="Arial" w:cs="Arial"/>
          <w:sz w:val="24"/>
          <w:szCs w:val="24"/>
        </w:rPr>
        <w:t xml:space="preserve">The finding of this study showed that pharmacists had positive attitudes towards the management of diabetes. </w:t>
      </w:r>
      <w:r w:rsidRPr="00B525A8">
        <w:rPr>
          <w:rFonts w:ascii="Arial" w:hAnsi="Arial" w:cs="Arial"/>
          <w:sz w:val="24"/>
          <w:szCs w:val="24"/>
          <w:lang w:val="en-GB"/>
        </w:rPr>
        <w:t>Despite this, a negative correlation was found between their positive attitudes and their involvement in providing diabetes-related services.  The reason for this a contradictory finding could be due to stakeholders' perceptions (some doctors and patients) of the pharmacists' role as dispensers only, as reported by participants.</w:t>
      </w:r>
    </w:p>
    <w:p w14:paraId="262C6DFF" w14:textId="77777777" w:rsidR="00941883" w:rsidRPr="006B2FC7" w:rsidRDefault="00941883" w:rsidP="00941883">
      <w:pPr>
        <w:pStyle w:val="CommentText"/>
        <w:spacing w:line="360" w:lineRule="auto"/>
        <w:jc w:val="both"/>
        <w:rPr>
          <w:rFonts w:ascii="Arial" w:hAnsi="Arial" w:cs="Arial"/>
          <w:sz w:val="24"/>
          <w:szCs w:val="24"/>
        </w:rPr>
      </w:pPr>
      <w:r w:rsidRPr="006B2FC7">
        <w:rPr>
          <w:rFonts w:ascii="Arial" w:hAnsi="Arial" w:cs="Arial"/>
          <w:sz w:val="24"/>
          <w:szCs w:val="24"/>
        </w:rPr>
        <w:t xml:space="preserve">Positive attitudes of pharmacists in Kuwait toward managing diabetes patient </w:t>
      </w:r>
      <w:r>
        <w:rPr>
          <w:rFonts w:ascii="Arial" w:hAnsi="Arial" w:cs="Arial"/>
          <w:sz w:val="24"/>
          <w:szCs w:val="24"/>
        </w:rPr>
        <w:t xml:space="preserve">in </w:t>
      </w:r>
      <w:r>
        <w:rPr>
          <w:rFonts w:ascii="Arial" w:hAnsi="Arial" w:cs="Arial"/>
          <w:sz w:val="24"/>
          <w:szCs w:val="24"/>
        </w:rPr>
        <w:fldChar w:fldCharType="begin" w:fldLock="1"/>
      </w:r>
      <w:r>
        <w:rPr>
          <w:rFonts w:ascii="Arial" w:hAnsi="Arial" w:cs="Arial"/>
          <w:sz w:val="24"/>
          <w:szCs w:val="24"/>
        </w:rPr>
        <w:instrText>ADDIN CSL_CITATION {"citationItems":[{"id":"ITEM-1","itemData":{"DOI":"10.1159/000456088","ISSN":"14230151","abstract":"Objectives: The objectives of this study were to measure pharmacists' attitudes toward management of diabetes, identify current levels of pharmacy service provided to patients with diabetes, and identify barriers for further provision of diabetes-related services. Subjects and Methods: A descriptive, cross-sectional study was conducted on a sample of 198 pharmacists working in primary and secondary health care settings in one health region of Kuwait using a pretested self-administered questionnaire. Descriptive statistics, correlations, and comparative analysis were performed. Results: The response rate was 84.4% (n = 168). Respondents had overall positive attitudes toward management of diabetes. Pharmacists regularly provided their patients with counseling on the appropriate time to administer their medications; however, services related to hypoglycemia and management of comorbid diseases were rarely provided. A negative correlation was found between the positive overall diabetes-related attitudes and pharmacists' involvement in providing the following diabetes-related services: glucose monitoring (r = -0.25, p = 0.001), comorbid disease management (r = -0.243, p = 0.001), and healthy living choices (r = -0.237, p = 0.002). The perception that some physicians and patients have of pharmacists as dispensers only was identified as the most important barrier to providing diabetes-related services. Conclusion: Pharmacists have positive diabetes-related attitudes; however, they provide limited diabetes-related services to their patients. Barriers to provision of pharmacy services to patients with diabetes should be addressed to enable optimum patient care delivery.","author":[{"dropping-particle":"","family":"Haqan","given":"Asmaa A.","non-dropping-particle":"Al","parse-names":false,"suffix":""},{"dropping-particle":"","family":"Al-Taweel","given":"Dalal M.","non-dropping-particle":"","parse-names":false,"suffix":""},{"dropping-particle":"","family":"Awad","given":"Abdelmoneim","non-dropping-particle":"","parse-names":false,"suffix":""},{"dropping-particle":"","family":"Wake","given":"Deborah Jane","non-dropping-particle":"","parse-names":false,"suffix":""}],"container-title":"Medical Principles and Practice","id":"ITEM-1","issue":"3","issued":{"date-parts":[["2017","5","1"]]},"page":"273-279","publisher":"S. Karger AG","title":"Pharmacists' Attitudes and Role in Diabetes Management in Kuwait","type":"article-journal","volume":"26"},"uris":["http://www.mendeley.com/documents/?uuid=6cc31e18-9dc2-3473-bf05-43a9df581f33"]}],"mendeley":{"formattedCitation":"(Al Haqan &lt;i&gt;et al.&lt;/i&gt;, 2017)","manualFormatting":"Al Haqan et al. (2017)","plainTextFormattedCitation":"(Al Haqan et al., 2017)","previouslyFormattedCitation":"(Al Haqan &lt;i&gt;et al.&lt;/i&gt;, 2017)"},"properties":{"noteIndex":0},"schema":"https://github.com/citation-style-language/schema/raw/master/csl-citation.json"}</w:instrText>
      </w:r>
      <w:r>
        <w:rPr>
          <w:rFonts w:ascii="Arial" w:hAnsi="Arial" w:cs="Arial"/>
          <w:sz w:val="24"/>
          <w:szCs w:val="24"/>
        </w:rPr>
        <w:fldChar w:fldCharType="separate"/>
      </w:r>
      <w:r w:rsidRPr="00B525A8">
        <w:rPr>
          <w:rFonts w:ascii="Arial" w:hAnsi="Arial" w:cs="Arial"/>
          <w:noProof/>
          <w:sz w:val="24"/>
          <w:szCs w:val="24"/>
        </w:rPr>
        <w:t xml:space="preserve">Al Haqan </w:t>
      </w:r>
      <w:r w:rsidRPr="00B525A8">
        <w:rPr>
          <w:rFonts w:ascii="Arial" w:hAnsi="Arial" w:cs="Arial"/>
          <w:i/>
          <w:noProof/>
          <w:sz w:val="24"/>
          <w:szCs w:val="24"/>
        </w:rPr>
        <w:t>et al.</w:t>
      </w:r>
      <w:r w:rsidRPr="00B525A8">
        <w:rPr>
          <w:rFonts w:ascii="Arial" w:hAnsi="Arial" w:cs="Arial"/>
          <w:noProof/>
          <w:sz w:val="24"/>
          <w:szCs w:val="24"/>
        </w:rPr>
        <w:t xml:space="preserve"> </w:t>
      </w:r>
      <w:r>
        <w:rPr>
          <w:rFonts w:ascii="Arial" w:hAnsi="Arial" w:cs="Arial"/>
          <w:noProof/>
          <w:sz w:val="24"/>
          <w:szCs w:val="24"/>
        </w:rPr>
        <w:t>(</w:t>
      </w:r>
      <w:r w:rsidRPr="00B525A8">
        <w:rPr>
          <w:rFonts w:ascii="Arial" w:hAnsi="Arial" w:cs="Arial"/>
          <w:noProof/>
          <w:sz w:val="24"/>
          <w:szCs w:val="24"/>
        </w:rPr>
        <w:t>2017)</w:t>
      </w:r>
      <w:r>
        <w:rPr>
          <w:rFonts w:ascii="Arial" w:hAnsi="Arial" w:cs="Arial"/>
          <w:sz w:val="24"/>
          <w:szCs w:val="24"/>
        </w:rPr>
        <w:fldChar w:fldCharType="end"/>
      </w:r>
      <w:r>
        <w:rPr>
          <w:rFonts w:ascii="Arial" w:hAnsi="Arial" w:cs="Arial"/>
          <w:sz w:val="24"/>
          <w:szCs w:val="24"/>
        </w:rPr>
        <w:t xml:space="preserve"> study, </w:t>
      </w:r>
      <w:r w:rsidRPr="006B2FC7">
        <w:rPr>
          <w:rFonts w:ascii="Arial" w:hAnsi="Arial" w:cs="Arial"/>
          <w:sz w:val="24"/>
          <w:szCs w:val="24"/>
        </w:rPr>
        <w:t xml:space="preserve">may give an estimation about pharmacists' attitudes in SA as people in the gulf countries tends to have the same attitudes and behaviours. However, the limitations of the study were that the authors only measured the views of pharmacists and did not expand to involve the opinions of other </w:t>
      </w:r>
      <w:r>
        <w:rPr>
          <w:rFonts w:ascii="Arial" w:hAnsi="Arial" w:cs="Arial"/>
          <w:sz w:val="24"/>
          <w:szCs w:val="24"/>
        </w:rPr>
        <w:t>HCPs</w:t>
      </w:r>
      <w:r w:rsidRPr="006B2FC7">
        <w:rPr>
          <w:rFonts w:ascii="Arial" w:hAnsi="Arial" w:cs="Arial"/>
          <w:sz w:val="24"/>
          <w:szCs w:val="24"/>
        </w:rPr>
        <w:t xml:space="preserve">, such as doctors and nurses. Involving doctors and nurses in the study could make the results more meaningful, relevant, and grounded in experience. Another limitation of Al Haqan et al. study was they did not adequately explain the context behind the quantitative findings, conducting qualitative interviews with participants, as any research results can be completed more fully when the different perspectives of phenomena are examined in different ways </w:t>
      </w:r>
      <w:r>
        <w:rPr>
          <w:rFonts w:ascii="Arial" w:hAnsi="Arial" w:cs="Arial"/>
          <w:sz w:val="24"/>
          <w:szCs w:val="24"/>
        </w:rPr>
        <w:fldChar w:fldCharType="begin" w:fldLock="1"/>
      </w:r>
      <w:r>
        <w:rPr>
          <w:rFonts w:ascii="Arial" w:hAnsi="Arial" w:cs="Arial"/>
          <w:sz w:val="24"/>
          <w:szCs w:val="24"/>
        </w:rPr>
        <w:instrText>ADDIN CSL_CITATION {"citationItems":[{"id":"ITEM-1","itemData":{"DOI":"10.1504/ijbaf.2017.10007499","ISSN":"1753-1969","abstract":"This paper argues that a flexible approach should be adopted in the application of mixed methods research in behavioural accounting research by conducting it within the pragmatic paradigm, especially when a paradigm is defined as shared beliefs among members of a speciality area. By doing this, behavioural accounting researchers are not restricted by ontological and epistemological issues when deciding on how to address a variety of different research questions.","author":[{"dropping-particle":"","family":"Brierley","given":"John A.","non-dropping-particle":"","parse-names":false,"suffix":""}],"container-title":"International Journal of Behavioural Accounting and Finance","id":"ITEM-1","issue":"2","issued":{"date-parts":[["2017"]]},"page":"140","title":"The role of a pragmatist paradigm when adopting mixed methods in behavioural accounting research","type":"article-journal","volume":"6"},"uris":["http://www.mendeley.com/documents/?uuid=ff9b5683-b54c-4bd3-8751-878c2d8b92bc"]}],"mendeley":{"formattedCitation":"(Brierley, 2017)","plainTextFormattedCitation":"(Brierley, 2017)","previouslyFormattedCitation":"(Brierley, 2017)"},"properties":{"noteIndex":0},"schema":"https://github.com/citation-style-language/schema/raw/master/csl-citation.json"}</w:instrText>
      </w:r>
      <w:r>
        <w:rPr>
          <w:rFonts w:ascii="Arial" w:hAnsi="Arial" w:cs="Arial"/>
          <w:sz w:val="24"/>
          <w:szCs w:val="24"/>
        </w:rPr>
        <w:fldChar w:fldCharType="separate"/>
      </w:r>
      <w:r w:rsidRPr="00B525A8">
        <w:rPr>
          <w:rFonts w:ascii="Arial" w:hAnsi="Arial" w:cs="Arial"/>
          <w:noProof/>
          <w:sz w:val="24"/>
          <w:szCs w:val="24"/>
        </w:rPr>
        <w:t>(Brierley, 2017)</w:t>
      </w:r>
      <w:r>
        <w:rPr>
          <w:rFonts w:ascii="Arial" w:hAnsi="Arial" w:cs="Arial"/>
          <w:sz w:val="24"/>
          <w:szCs w:val="24"/>
        </w:rPr>
        <w:fldChar w:fldCharType="end"/>
      </w:r>
      <w:r>
        <w:rPr>
          <w:rFonts w:ascii="Arial" w:hAnsi="Arial" w:cs="Arial"/>
          <w:sz w:val="24"/>
          <w:szCs w:val="24"/>
        </w:rPr>
        <w:t>.</w:t>
      </w:r>
    </w:p>
    <w:p w14:paraId="1184921A" w14:textId="77777777" w:rsidR="00941883" w:rsidRDefault="00941883" w:rsidP="00941883">
      <w:pPr>
        <w:spacing w:line="360" w:lineRule="auto"/>
        <w:jc w:val="both"/>
        <w:rPr>
          <w:rFonts w:ascii="Arial" w:hAnsi="Arial" w:cs="Arial"/>
          <w:sz w:val="24"/>
          <w:szCs w:val="24"/>
        </w:rPr>
      </w:pPr>
      <w:r w:rsidRPr="006B2FC7">
        <w:rPr>
          <w:rFonts w:ascii="Arial" w:hAnsi="Arial" w:cs="Arial"/>
          <w:sz w:val="24"/>
          <w:szCs w:val="24"/>
        </w:rPr>
        <w:t xml:space="preserve">In another Kuwaiti study by </w:t>
      </w:r>
      <w:r>
        <w:rPr>
          <w:rFonts w:ascii="Arial" w:hAnsi="Arial" w:cs="Arial"/>
          <w:sz w:val="24"/>
          <w:szCs w:val="24"/>
        </w:rPr>
        <w:fldChar w:fldCharType="begin" w:fldLock="1"/>
      </w:r>
      <w:r>
        <w:rPr>
          <w:rFonts w:ascii="Arial" w:hAnsi="Arial" w:cs="Arial"/>
          <w:sz w:val="24"/>
          <w:szCs w:val="24"/>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Pr>
          <w:rFonts w:ascii="Arial" w:hAnsi="Arial" w:cs="Arial"/>
          <w:sz w:val="24"/>
          <w:szCs w:val="24"/>
        </w:rPr>
        <w:fldChar w:fldCharType="separate"/>
      </w:r>
      <w:r w:rsidRPr="00B525A8">
        <w:rPr>
          <w:rFonts w:ascii="Arial" w:hAnsi="Arial" w:cs="Arial"/>
          <w:noProof/>
          <w:sz w:val="24"/>
          <w:szCs w:val="24"/>
        </w:rPr>
        <w:t>Al-Taweel</w:t>
      </w:r>
      <w:r>
        <w:rPr>
          <w:rFonts w:ascii="Arial" w:hAnsi="Arial" w:cs="Arial"/>
          <w:noProof/>
          <w:sz w:val="24"/>
          <w:szCs w:val="24"/>
        </w:rPr>
        <w:t xml:space="preserve"> et al.</w:t>
      </w:r>
      <w:r w:rsidRPr="00B525A8">
        <w:rPr>
          <w:rFonts w:ascii="Arial" w:hAnsi="Arial" w:cs="Arial"/>
          <w:noProof/>
          <w:sz w:val="24"/>
          <w:szCs w:val="24"/>
        </w:rPr>
        <w:t xml:space="preserve"> </w:t>
      </w:r>
      <w:r>
        <w:rPr>
          <w:rFonts w:ascii="Arial" w:hAnsi="Arial" w:cs="Arial"/>
          <w:noProof/>
          <w:sz w:val="24"/>
          <w:szCs w:val="24"/>
        </w:rPr>
        <w:t>(</w:t>
      </w:r>
      <w:r w:rsidRPr="00B525A8">
        <w:rPr>
          <w:rFonts w:ascii="Arial" w:hAnsi="Arial" w:cs="Arial"/>
          <w:noProof/>
          <w:sz w:val="24"/>
          <w:szCs w:val="24"/>
        </w:rPr>
        <w:t>2014)</w:t>
      </w:r>
      <w:r>
        <w:rPr>
          <w:rFonts w:ascii="Arial" w:hAnsi="Arial" w:cs="Arial"/>
          <w:sz w:val="24"/>
          <w:szCs w:val="24"/>
        </w:rPr>
        <w:fldChar w:fldCharType="end"/>
      </w:r>
      <w:r>
        <w:rPr>
          <w:rFonts w:ascii="Arial" w:hAnsi="Arial" w:cs="Arial"/>
          <w:sz w:val="24"/>
          <w:szCs w:val="24"/>
        </w:rPr>
        <w:t>,</w:t>
      </w:r>
      <w:r w:rsidRPr="006B2FC7">
        <w:rPr>
          <w:rFonts w:ascii="Arial" w:hAnsi="Arial" w:cs="Arial"/>
          <w:sz w:val="24"/>
          <w:szCs w:val="24"/>
        </w:rPr>
        <w:t xml:space="preserve"> the authors conducted a mixed-methods study to identify pharmacists’ contributions to the delivery of pharmaceutical care to type 2 diabetes patients, as well as to identify barriers that are preventing them from providing this care to those patients. In comparison to </w:t>
      </w:r>
      <w:r>
        <w:rPr>
          <w:rFonts w:ascii="Arial" w:hAnsi="Arial" w:cs="Arial"/>
          <w:sz w:val="24"/>
          <w:szCs w:val="24"/>
        </w:rPr>
        <w:fldChar w:fldCharType="begin" w:fldLock="1"/>
      </w:r>
      <w:r>
        <w:rPr>
          <w:rFonts w:ascii="Arial" w:hAnsi="Arial" w:cs="Arial"/>
          <w:sz w:val="24"/>
          <w:szCs w:val="24"/>
        </w:rPr>
        <w:instrText>ADDIN CSL_CITATION {"citationItems":[{"id":"ITEM-1","itemData":{"DOI":"10.1159/000456088","ISSN":"14230151","abstract":"Objectives: The objectives of this study were to measure pharmacists' attitudes toward management of diabetes, identify current levels of pharmacy service provided to patients with diabetes, and identify barriers for further provision of diabetes-related services. Subjects and Methods: A descriptive, cross-sectional study was conducted on a sample of 198 pharmacists working in primary and secondary health care settings in one health region of Kuwait using a pretested self-administered questionnaire. Descriptive statistics, correlations, and comparative analysis were performed. Results: The response rate was 84.4% (n = 168). Respondents had overall positive attitudes toward management of diabetes. Pharmacists regularly provided their patients with counseling on the appropriate time to administer their medications; however, services related to hypoglycemia and management of comorbid diseases were rarely provided. A negative correlation was found between the positive overall diabetes-related attitudes and pharmacists' involvement in providing the following diabetes-related services: glucose monitoring (r = -0.25, p = 0.001), comorbid disease management (r = -0.243, p = 0.001), and healthy living choices (r = -0.237, p = 0.002). The perception that some physicians and patients have of pharmacists as dispensers only was identified as the most important barrier to providing diabetes-related services. Conclusion: Pharmacists have positive diabetes-related attitudes; however, they provide limited diabetes-related services to their patients. Barriers to provision of pharmacy services to patients with diabetes should be addressed to enable optimum patient care delivery.","author":[{"dropping-particle":"","family":"Haqan","given":"Asmaa A.","non-dropping-particle":"Al","parse-names":false,"suffix":""},{"dropping-particle":"","family":"Al-Taweel","given":"Dalal M.","non-dropping-particle":"","parse-names":false,"suffix":""},{"dropping-particle":"","family":"Awad","given":"Abdelmoneim","non-dropping-particle":"","parse-names":false,"suffix":""},{"dropping-particle":"","family":"Wake","given":"Deborah Jane","non-dropping-particle":"","parse-names":false,"suffix":""}],"container-title":"Medical Principles and Practice","id":"ITEM-1","issue":"3","issued":{"date-parts":[["2017","5","1"]]},"page":"273-279","publisher":"S. Karger AG","title":"Pharmacists' Attitudes and Role in Diabetes Management in Kuwait","type":"article-journal","volume":"26"},"uris":["http://www.mendeley.com/documents/?uuid=6cc31e18-9dc2-3473-bf05-43a9df581f33"]}],"mendeley":{"formattedCitation":"(Al Haqan &lt;i&gt;et al.&lt;/i&gt;, 2017)","manualFormatting":"Al Haqan et al. (2017)","plainTextFormattedCitation":"(Al Haqan et al., 2017)","previouslyFormattedCitation":"(Al Haqan &lt;i&gt;et al.&lt;/i&gt;, 2017)"},"properties":{"noteIndex":0},"schema":"https://github.com/citation-style-language/schema/raw/master/csl-citation.json"}</w:instrText>
      </w:r>
      <w:r>
        <w:rPr>
          <w:rFonts w:ascii="Arial" w:hAnsi="Arial" w:cs="Arial"/>
          <w:sz w:val="24"/>
          <w:szCs w:val="24"/>
        </w:rPr>
        <w:fldChar w:fldCharType="separate"/>
      </w:r>
      <w:r w:rsidRPr="00B525A8">
        <w:rPr>
          <w:rFonts w:ascii="Arial" w:hAnsi="Arial" w:cs="Arial"/>
          <w:noProof/>
          <w:sz w:val="24"/>
          <w:szCs w:val="24"/>
        </w:rPr>
        <w:t xml:space="preserve">Al Haqan </w:t>
      </w:r>
      <w:r w:rsidRPr="00B525A8">
        <w:rPr>
          <w:rFonts w:ascii="Arial" w:hAnsi="Arial" w:cs="Arial"/>
          <w:i/>
          <w:noProof/>
          <w:sz w:val="24"/>
          <w:szCs w:val="24"/>
        </w:rPr>
        <w:t>et al.</w:t>
      </w:r>
      <w:r w:rsidRPr="00B525A8">
        <w:rPr>
          <w:rFonts w:ascii="Arial" w:hAnsi="Arial" w:cs="Arial"/>
          <w:noProof/>
          <w:sz w:val="24"/>
          <w:szCs w:val="24"/>
        </w:rPr>
        <w:t xml:space="preserve"> </w:t>
      </w:r>
      <w:r>
        <w:rPr>
          <w:rFonts w:ascii="Arial" w:hAnsi="Arial" w:cs="Arial"/>
          <w:noProof/>
          <w:sz w:val="24"/>
          <w:szCs w:val="24"/>
        </w:rPr>
        <w:t>(</w:t>
      </w:r>
      <w:r w:rsidRPr="00B525A8">
        <w:rPr>
          <w:rFonts w:ascii="Arial" w:hAnsi="Arial" w:cs="Arial"/>
          <w:noProof/>
          <w:sz w:val="24"/>
          <w:szCs w:val="24"/>
        </w:rPr>
        <w:t>2017)</w:t>
      </w:r>
      <w:r>
        <w:rPr>
          <w:rFonts w:ascii="Arial" w:hAnsi="Arial" w:cs="Arial"/>
          <w:sz w:val="24"/>
          <w:szCs w:val="24"/>
        </w:rPr>
        <w:fldChar w:fldCharType="end"/>
      </w:r>
      <w:r>
        <w:rPr>
          <w:rFonts w:ascii="Arial" w:hAnsi="Arial" w:cs="Arial"/>
          <w:sz w:val="24"/>
          <w:szCs w:val="24"/>
        </w:rPr>
        <w:t xml:space="preserve">, </w:t>
      </w:r>
      <w:r w:rsidRPr="006B2FC7">
        <w:rPr>
          <w:rFonts w:ascii="Arial" w:hAnsi="Arial" w:cs="Arial"/>
          <w:sz w:val="24"/>
          <w:szCs w:val="24"/>
        </w:rPr>
        <w:t xml:space="preserve">this study gave a better understanding to the role of pharmacists in diabetes-related services in Kuwait; because it started with quantitative data on pharmacist’s attitudes to contribute in providing pharmaceutical care for diabetes patients, before the qualitative part via focus group interview. </w:t>
      </w:r>
    </w:p>
    <w:p w14:paraId="25E5A758" w14:textId="77777777" w:rsidR="00941883" w:rsidRDefault="00941883" w:rsidP="00941883">
      <w:pPr>
        <w:spacing w:line="360" w:lineRule="auto"/>
        <w:jc w:val="both"/>
        <w:rPr>
          <w:rFonts w:ascii="Arial" w:hAnsi="Arial" w:cs="Arial"/>
          <w:sz w:val="24"/>
          <w:szCs w:val="24"/>
        </w:rPr>
      </w:pPr>
      <w:r>
        <w:rPr>
          <w:rFonts w:ascii="Arial" w:hAnsi="Arial" w:cs="Arial"/>
          <w:sz w:val="24"/>
          <w:szCs w:val="24"/>
        </w:rPr>
        <w:fldChar w:fldCharType="begin" w:fldLock="1"/>
      </w:r>
      <w:r>
        <w:rPr>
          <w:rFonts w:ascii="Arial" w:hAnsi="Arial" w:cs="Arial"/>
          <w:sz w:val="24"/>
          <w:szCs w:val="24"/>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Pr>
          <w:rFonts w:ascii="Arial" w:hAnsi="Arial" w:cs="Arial"/>
          <w:sz w:val="24"/>
          <w:szCs w:val="24"/>
        </w:rPr>
        <w:fldChar w:fldCharType="separate"/>
      </w:r>
      <w:r w:rsidRPr="00B525A8">
        <w:rPr>
          <w:rFonts w:ascii="Arial" w:hAnsi="Arial" w:cs="Arial"/>
          <w:noProof/>
          <w:sz w:val="24"/>
          <w:szCs w:val="24"/>
        </w:rPr>
        <w:t>Al-Taweel</w:t>
      </w:r>
      <w:r>
        <w:rPr>
          <w:rFonts w:ascii="Arial" w:hAnsi="Arial" w:cs="Arial"/>
          <w:noProof/>
          <w:sz w:val="24"/>
          <w:szCs w:val="24"/>
        </w:rPr>
        <w:t xml:space="preserve"> et al.</w:t>
      </w:r>
      <w:r w:rsidRPr="00B525A8">
        <w:rPr>
          <w:rFonts w:ascii="Arial" w:hAnsi="Arial" w:cs="Arial"/>
          <w:noProof/>
          <w:sz w:val="24"/>
          <w:szCs w:val="24"/>
        </w:rPr>
        <w:t xml:space="preserve"> </w:t>
      </w:r>
      <w:r>
        <w:rPr>
          <w:rFonts w:ascii="Arial" w:hAnsi="Arial" w:cs="Arial"/>
          <w:noProof/>
          <w:sz w:val="24"/>
          <w:szCs w:val="24"/>
        </w:rPr>
        <w:t>(</w:t>
      </w:r>
      <w:r w:rsidRPr="00B525A8">
        <w:rPr>
          <w:rFonts w:ascii="Arial" w:hAnsi="Arial" w:cs="Arial"/>
          <w:noProof/>
          <w:sz w:val="24"/>
          <w:szCs w:val="24"/>
        </w:rPr>
        <w:t>2014)</w:t>
      </w:r>
      <w:r>
        <w:rPr>
          <w:rFonts w:ascii="Arial" w:hAnsi="Arial" w:cs="Arial"/>
          <w:sz w:val="24"/>
          <w:szCs w:val="24"/>
        </w:rPr>
        <w:fldChar w:fldCharType="end"/>
      </w:r>
      <w:r>
        <w:rPr>
          <w:rFonts w:ascii="Arial" w:hAnsi="Arial" w:cs="Arial"/>
          <w:sz w:val="24"/>
          <w:szCs w:val="24"/>
        </w:rPr>
        <w:t xml:space="preserve"> found that </w:t>
      </w:r>
      <w:r w:rsidRPr="00F47E35">
        <w:rPr>
          <w:rFonts w:ascii="Arial" w:hAnsi="Arial" w:cs="Arial"/>
          <w:sz w:val="24"/>
          <w:szCs w:val="24"/>
        </w:rPr>
        <w:t xml:space="preserve">pharmacists were more comfortable in undertaking clinical activities </w:t>
      </w:r>
      <w:r>
        <w:rPr>
          <w:rFonts w:ascii="Arial" w:hAnsi="Arial" w:cs="Arial"/>
          <w:sz w:val="24"/>
          <w:szCs w:val="24"/>
        </w:rPr>
        <w:t>(e.g., reviewing patient medication,</w:t>
      </w:r>
      <w:r w:rsidRPr="00A578CE">
        <w:rPr>
          <w:rFonts w:ascii="Arial" w:hAnsi="Arial" w:cs="Arial"/>
          <w:sz w:val="24"/>
          <w:szCs w:val="24"/>
        </w:rPr>
        <w:t xml:space="preserve"> </w:t>
      </w:r>
      <w:r>
        <w:rPr>
          <w:rFonts w:ascii="Arial" w:hAnsi="Arial" w:cs="Arial"/>
          <w:sz w:val="24"/>
          <w:szCs w:val="24"/>
        </w:rPr>
        <w:t>a</w:t>
      </w:r>
      <w:r w:rsidRPr="005F4975">
        <w:rPr>
          <w:rFonts w:ascii="Arial" w:hAnsi="Arial" w:cs="Arial"/>
          <w:sz w:val="24"/>
          <w:szCs w:val="24"/>
        </w:rPr>
        <w:t>ssess</w:t>
      </w:r>
      <w:r>
        <w:rPr>
          <w:rFonts w:ascii="Arial" w:hAnsi="Arial" w:cs="Arial"/>
          <w:sz w:val="24"/>
          <w:szCs w:val="24"/>
        </w:rPr>
        <w:t>ing</w:t>
      </w:r>
      <w:r w:rsidRPr="005F4975">
        <w:rPr>
          <w:rFonts w:ascii="Arial" w:hAnsi="Arial" w:cs="Arial"/>
          <w:sz w:val="24"/>
          <w:szCs w:val="24"/>
        </w:rPr>
        <w:t xml:space="preserve"> the suitability of</w:t>
      </w:r>
      <w:r>
        <w:rPr>
          <w:rFonts w:ascii="Arial" w:hAnsi="Arial" w:cs="Arial"/>
          <w:sz w:val="24"/>
          <w:szCs w:val="24"/>
        </w:rPr>
        <w:t xml:space="preserve"> </w:t>
      </w:r>
      <w:r w:rsidRPr="005F4975">
        <w:rPr>
          <w:rFonts w:ascii="Arial" w:hAnsi="Arial" w:cs="Arial"/>
          <w:sz w:val="24"/>
          <w:szCs w:val="24"/>
        </w:rPr>
        <w:t>medication in the presence of renal impairment</w:t>
      </w:r>
      <w:r>
        <w:rPr>
          <w:rFonts w:ascii="Arial" w:hAnsi="Arial" w:cs="Arial"/>
          <w:sz w:val="24"/>
          <w:szCs w:val="24"/>
        </w:rPr>
        <w:t xml:space="preserve">, setting </w:t>
      </w:r>
      <w:r w:rsidRPr="005F4975">
        <w:rPr>
          <w:rFonts w:ascii="Arial" w:hAnsi="Arial" w:cs="Arial"/>
          <w:sz w:val="24"/>
          <w:szCs w:val="24"/>
        </w:rPr>
        <w:t>personalised treatment goals</w:t>
      </w:r>
      <w:r>
        <w:rPr>
          <w:rFonts w:ascii="Arial" w:hAnsi="Arial" w:cs="Arial"/>
          <w:sz w:val="24"/>
          <w:szCs w:val="24"/>
        </w:rPr>
        <w:t xml:space="preserve"> via indivisualised targets for HbA1c, BP, and cholesterol) </w:t>
      </w:r>
      <w:r w:rsidRPr="00F47E35">
        <w:rPr>
          <w:rFonts w:ascii="Arial" w:hAnsi="Arial" w:cs="Arial"/>
          <w:sz w:val="24"/>
          <w:szCs w:val="24"/>
        </w:rPr>
        <w:t xml:space="preserve">than discussing care issues </w:t>
      </w:r>
      <w:r>
        <w:rPr>
          <w:rFonts w:ascii="Arial" w:hAnsi="Arial" w:cs="Arial"/>
          <w:sz w:val="24"/>
          <w:szCs w:val="24"/>
        </w:rPr>
        <w:t xml:space="preserve">such as </w:t>
      </w:r>
      <w:r w:rsidRPr="00A578CE">
        <w:rPr>
          <w:rFonts w:ascii="Arial" w:hAnsi="Arial" w:cs="Arial"/>
          <w:sz w:val="24"/>
          <w:szCs w:val="24"/>
        </w:rPr>
        <w:t xml:space="preserve">smoking cessation advice </w:t>
      </w:r>
      <w:r w:rsidRPr="00F47E35">
        <w:rPr>
          <w:rFonts w:ascii="Arial" w:hAnsi="Arial" w:cs="Arial"/>
          <w:sz w:val="24"/>
          <w:szCs w:val="24"/>
        </w:rPr>
        <w:t xml:space="preserve">with </w:t>
      </w:r>
      <w:r>
        <w:rPr>
          <w:rFonts w:ascii="Arial" w:hAnsi="Arial" w:cs="Arial"/>
          <w:sz w:val="24"/>
          <w:szCs w:val="24"/>
        </w:rPr>
        <w:t>doctors</w:t>
      </w:r>
      <w:r w:rsidRPr="00F47E35">
        <w:rPr>
          <w:rFonts w:ascii="Arial" w:hAnsi="Arial" w:cs="Arial"/>
          <w:sz w:val="24"/>
          <w:szCs w:val="24"/>
        </w:rPr>
        <w:t>.</w:t>
      </w:r>
      <w:r>
        <w:rPr>
          <w:rFonts w:ascii="Arial" w:hAnsi="Arial" w:cs="Arial"/>
          <w:sz w:val="24"/>
          <w:szCs w:val="24"/>
        </w:rPr>
        <w:t xml:space="preserve"> This finding indicates that </w:t>
      </w:r>
      <w:r w:rsidRPr="00AD1221">
        <w:rPr>
          <w:rFonts w:ascii="Arial" w:hAnsi="Arial" w:cs="Arial"/>
          <w:sz w:val="24"/>
          <w:szCs w:val="24"/>
        </w:rPr>
        <w:t>pharmacists’ desire to deliver a comprehensive pharmaceutical care service to patients with type 2 diabetes</w:t>
      </w:r>
      <w:r>
        <w:rPr>
          <w:rFonts w:ascii="Arial" w:hAnsi="Arial" w:cs="Arial"/>
          <w:sz w:val="24"/>
          <w:szCs w:val="24"/>
        </w:rPr>
        <w:t xml:space="preserve">. </w:t>
      </w:r>
      <w:r w:rsidRPr="00481613">
        <w:rPr>
          <w:rFonts w:ascii="Arial" w:hAnsi="Arial" w:cs="Arial"/>
          <w:sz w:val="24"/>
          <w:szCs w:val="24"/>
        </w:rPr>
        <w:t xml:space="preserve">However, several barriers have been encountered by </w:t>
      </w:r>
      <w:r>
        <w:rPr>
          <w:rFonts w:ascii="Arial" w:hAnsi="Arial" w:cs="Arial"/>
          <w:sz w:val="24"/>
          <w:szCs w:val="24"/>
        </w:rPr>
        <w:t xml:space="preserve">participants, </w:t>
      </w:r>
      <w:r w:rsidRPr="00481613">
        <w:rPr>
          <w:rFonts w:ascii="Arial" w:hAnsi="Arial" w:cs="Arial"/>
          <w:sz w:val="24"/>
          <w:szCs w:val="24"/>
        </w:rPr>
        <w:t>that face</w:t>
      </w:r>
      <w:r>
        <w:rPr>
          <w:rFonts w:ascii="Arial" w:hAnsi="Arial" w:cs="Arial"/>
          <w:sz w:val="24"/>
          <w:szCs w:val="24"/>
        </w:rPr>
        <w:t xml:space="preserve">d </w:t>
      </w:r>
      <w:r w:rsidRPr="00481613">
        <w:rPr>
          <w:rFonts w:ascii="Arial" w:hAnsi="Arial" w:cs="Arial"/>
          <w:sz w:val="24"/>
          <w:szCs w:val="24"/>
        </w:rPr>
        <w:t>pharmacists in implementing pharmaceutical care</w:t>
      </w:r>
      <w:r>
        <w:rPr>
          <w:rFonts w:ascii="Arial" w:hAnsi="Arial" w:cs="Arial"/>
          <w:sz w:val="24"/>
          <w:szCs w:val="24"/>
        </w:rPr>
        <w:t>,</w:t>
      </w:r>
      <w:r w:rsidRPr="00481613">
        <w:rPr>
          <w:rFonts w:ascii="Arial" w:hAnsi="Arial" w:cs="Arial"/>
          <w:sz w:val="24"/>
          <w:szCs w:val="24"/>
        </w:rPr>
        <w:t xml:space="preserve"> such as lack of time and staff were the first and second top barriers</w:t>
      </w:r>
      <w:r>
        <w:rPr>
          <w:rFonts w:ascii="Arial" w:hAnsi="Arial" w:cs="Arial"/>
          <w:sz w:val="24"/>
          <w:szCs w:val="24"/>
        </w:rPr>
        <w:t>, l</w:t>
      </w:r>
      <w:r w:rsidRPr="00DF6C95">
        <w:rPr>
          <w:rFonts w:ascii="Arial" w:hAnsi="Arial" w:cs="Arial"/>
          <w:sz w:val="24"/>
          <w:szCs w:val="24"/>
        </w:rPr>
        <w:t>ack of access to patients’ medical records was ranked as the third barrier</w:t>
      </w:r>
      <w:r>
        <w:rPr>
          <w:rFonts w:ascii="Arial" w:hAnsi="Arial" w:cs="Arial"/>
          <w:sz w:val="24"/>
          <w:szCs w:val="24"/>
        </w:rPr>
        <w:t xml:space="preserve">, </w:t>
      </w:r>
      <w:r w:rsidRPr="00DF6C95">
        <w:rPr>
          <w:rFonts w:ascii="Arial" w:hAnsi="Arial" w:cs="Arial"/>
          <w:sz w:val="24"/>
          <w:szCs w:val="24"/>
        </w:rPr>
        <w:t>lack of facilities</w:t>
      </w:r>
      <w:r>
        <w:rPr>
          <w:rFonts w:ascii="Arial" w:hAnsi="Arial" w:cs="Arial"/>
          <w:sz w:val="24"/>
          <w:szCs w:val="24"/>
        </w:rPr>
        <w:t xml:space="preserve">, such as </w:t>
      </w:r>
      <w:r w:rsidRPr="00957BD8">
        <w:rPr>
          <w:rFonts w:ascii="Arial" w:hAnsi="Arial" w:cs="Arial"/>
          <w:sz w:val="24"/>
          <w:szCs w:val="24"/>
        </w:rPr>
        <w:t>no space is available for counselling</w:t>
      </w:r>
      <w:r>
        <w:rPr>
          <w:rFonts w:ascii="Arial" w:hAnsi="Arial" w:cs="Arial"/>
          <w:sz w:val="24"/>
          <w:szCs w:val="24"/>
        </w:rPr>
        <w:t xml:space="preserve">, and no </w:t>
      </w:r>
      <w:r w:rsidRPr="00FA15E1">
        <w:rPr>
          <w:rFonts w:ascii="Arial" w:hAnsi="Arial" w:cs="Arial"/>
          <w:sz w:val="24"/>
          <w:szCs w:val="24"/>
        </w:rPr>
        <w:t>a proper job description</w:t>
      </w:r>
      <w:r>
        <w:rPr>
          <w:rFonts w:ascii="Arial" w:hAnsi="Arial" w:cs="Arial"/>
          <w:sz w:val="24"/>
          <w:szCs w:val="24"/>
        </w:rPr>
        <w:t xml:space="preserve"> had been set, were</w:t>
      </w:r>
      <w:r w:rsidRPr="00DF6C95">
        <w:rPr>
          <w:rFonts w:ascii="Arial" w:hAnsi="Arial" w:cs="Arial"/>
          <w:sz w:val="24"/>
          <w:szCs w:val="24"/>
        </w:rPr>
        <w:t xml:space="preserve"> also reported as  barrier</w:t>
      </w:r>
      <w:r>
        <w:rPr>
          <w:rFonts w:ascii="Arial" w:hAnsi="Arial" w:cs="Arial"/>
          <w:sz w:val="24"/>
          <w:szCs w:val="24"/>
        </w:rPr>
        <w:t xml:space="preserve">s. Pharmacists in this study like in a </w:t>
      </w:r>
      <w:r w:rsidRPr="006B2FC7">
        <w:rPr>
          <w:rFonts w:ascii="Arial" w:hAnsi="Arial" w:cs="Arial"/>
          <w:sz w:val="24"/>
          <w:szCs w:val="24"/>
        </w:rPr>
        <w:t xml:space="preserve">Al Haqan et al. </w:t>
      </w:r>
      <w:r>
        <w:rPr>
          <w:rFonts w:ascii="Arial" w:hAnsi="Arial" w:cs="Arial"/>
          <w:sz w:val="24"/>
          <w:szCs w:val="24"/>
        </w:rPr>
        <w:t xml:space="preserve"> study claimed that they are seen by some doctors and patients as a dispenser, with no additional clinical intervention skills.</w:t>
      </w:r>
    </w:p>
    <w:p w14:paraId="7651A1C6" w14:textId="77777777" w:rsidR="00941883" w:rsidRDefault="00941883" w:rsidP="00941883">
      <w:pPr>
        <w:spacing w:line="360" w:lineRule="auto"/>
        <w:jc w:val="both"/>
        <w:rPr>
          <w:rFonts w:ascii="Arial" w:hAnsi="Arial" w:cs="Arial"/>
          <w:sz w:val="24"/>
          <w:szCs w:val="24"/>
        </w:rPr>
      </w:pPr>
      <w:r>
        <w:rPr>
          <w:rFonts w:ascii="Arial" w:hAnsi="Arial" w:cs="Arial"/>
          <w:sz w:val="24"/>
          <w:szCs w:val="24"/>
        </w:rPr>
        <w:t>T</w:t>
      </w:r>
      <w:r w:rsidRPr="006B2FC7">
        <w:rPr>
          <w:rFonts w:ascii="Arial" w:hAnsi="Arial" w:cs="Arial"/>
          <w:sz w:val="24"/>
          <w:szCs w:val="24"/>
        </w:rPr>
        <w:t xml:space="preserve">he study by </w:t>
      </w:r>
      <w:r>
        <w:rPr>
          <w:rFonts w:ascii="Arial" w:hAnsi="Arial" w:cs="Arial"/>
          <w:sz w:val="24"/>
          <w:szCs w:val="24"/>
        </w:rPr>
        <w:fldChar w:fldCharType="begin" w:fldLock="1"/>
      </w:r>
      <w:r>
        <w:rPr>
          <w:rFonts w:ascii="Arial" w:hAnsi="Arial" w:cs="Arial"/>
          <w:sz w:val="24"/>
          <w:szCs w:val="24"/>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Pr>
          <w:rFonts w:ascii="Arial" w:hAnsi="Arial" w:cs="Arial"/>
          <w:sz w:val="24"/>
          <w:szCs w:val="24"/>
        </w:rPr>
        <w:fldChar w:fldCharType="separate"/>
      </w:r>
      <w:r w:rsidRPr="00B525A8">
        <w:rPr>
          <w:rFonts w:ascii="Arial" w:hAnsi="Arial" w:cs="Arial"/>
          <w:noProof/>
          <w:sz w:val="24"/>
          <w:szCs w:val="24"/>
        </w:rPr>
        <w:t>Al-Taweel</w:t>
      </w:r>
      <w:r>
        <w:rPr>
          <w:rFonts w:ascii="Arial" w:hAnsi="Arial" w:cs="Arial"/>
          <w:noProof/>
          <w:sz w:val="24"/>
          <w:szCs w:val="24"/>
        </w:rPr>
        <w:t xml:space="preserve"> et al.</w:t>
      </w:r>
      <w:r w:rsidRPr="00B525A8">
        <w:rPr>
          <w:rFonts w:ascii="Arial" w:hAnsi="Arial" w:cs="Arial"/>
          <w:noProof/>
          <w:sz w:val="24"/>
          <w:szCs w:val="24"/>
        </w:rPr>
        <w:t xml:space="preserve"> </w:t>
      </w:r>
      <w:r>
        <w:rPr>
          <w:rFonts w:ascii="Arial" w:hAnsi="Arial" w:cs="Arial"/>
          <w:noProof/>
          <w:sz w:val="24"/>
          <w:szCs w:val="24"/>
        </w:rPr>
        <w:t>(</w:t>
      </w:r>
      <w:r w:rsidRPr="00B525A8">
        <w:rPr>
          <w:rFonts w:ascii="Arial" w:hAnsi="Arial" w:cs="Arial"/>
          <w:noProof/>
          <w:sz w:val="24"/>
          <w:szCs w:val="24"/>
        </w:rPr>
        <w:t>2014)</w:t>
      </w:r>
      <w:r>
        <w:rPr>
          <w:rFonts w:ascii="Arial" w:hAnsi="Arial" w:cs="Arial"/>
          <w:sz w:val="24"/>
          <w:szCs w:val="24"/>
        </w:rPr>
        <w:fldChar w:fldCharType="end"/>
      </w:r>
      <w:r w:rsidRPr="006B2FC7">
        <w:rPr>
          <w:rFonts w:ascii="Arial" w:hAnsi="Arial" w:cs="Arial"/>
          <w:sz w:val="24"/>
          <w:szCs w:val="24"/>
        </w:rPr>
        <w:t xml:space="preserve">, </w:t>
      </w:r>
      <w:r>
        <w:rPr>
          <w:rFonts w:ascii="Arial" w:hAnsi="Arial" w:cs="Arial"/>
          <w:sz w:val="24"/>
          <w:szCs w:val="24"/>
        </w:rPr>
        <w:t>h</w:t>
      </w:r>
      <w:r w:rsidRPr="006B2FC7">
        <w:rPr>
          <w:rFonts w:ascii="Arial" w:hAnsi="Arial" w:cs="Arial"/>
          <w:sz w:val="24"/>
          <w:szCs w:val="24"/>
        </w:rPr>
        <w:t xml:space="preserve">owever, targeted only pharmacists and not including other stakeholders, which could be a major limitation of this study as it does not provide insight into the contextual circumstances of the involvement of pharmacists in the delivery of diabetes care service. Also, the response rate was only 20%, 50 out of 250 targeted sample, which is considered too low, and 54% of those were practicing pharmacy in secondary care, which might not be the case in the primary care pharmacist. Based on these limitations, the results of this study could not be generalisable.  </w:t>
      </w:r>
    </w:p>
    <w:p w14:paraId="34B81BB9" w14:textId="25E66588" w:rsidR="00941883" w:rsidRPr="007803E2" w:rsidRDefault="00941883" w:rsidP="007803E2">
      <w:pPr>
        <w:pStyle w:val="Heading7"/>
        <w:rPr>
          <w:rFonts w:asciiTheme="minorBidi" w:hAnsiTheme="minorBidi" w:cstheme="minorBidi"/>
          <w:sz w:val="24"/>
          <w:szCs w:val="24"/>
          <w:lang w:val="en-GB"/>
        </w:rPr>
      </w:pPr>
      <w:r w:rsidRPr="007803E2">
        <w:rPr>
          <w:rFonts w:asciiTheme="minorBidi" w:hAnsiTheme="minorBidi" w:cstheme="minorBidi"/>
          <w:sz w:val="24"/>
          <w:szCs w:val="24"/>
          <w:lang w:val="en-GB"/>
        </w:rPr>
        <w:t>Impact</w:t>
      </w:r>
      <w:r w:rsidR="005F7CD3" w:rsidRPr="007803E2">
        <w:rPr>
          <w:rFonts w:asciiTheme="minorBidi" w:hAnsiTheme="minorBidi" w:cstheme="minorBidi"/>
          <w:sz w:val="24"/>
          <w:szCs w:val="24"/>
          <w:lang w:val="en-GB"/>
        </w:rPr>
        <w:t xml:space="preserve"> </w:t>
      </w:r>
      <w:r w:rsidR="007803E2" w:rsidRPr="007803E2">
        <w:rPr>
          <w:rFonts w:asciiTheme="minorBidi" w:hAnsiTheme="minorBidi" w:cstheme="minorBidi"/>
          <w:sz w:val="24"/>
          <w:szCs w:val="24"/>
          <w:lang w:val="en-GB"/>
        </w:rPr>
        <w:t>on patients</w:t>
      </w:r>
      <w:r w:rsidRPr="007803E2">
        <w:rPr>
          <w:rFonts w:asciiTheme="minorBidi" w:hAnsiTheme="minorBidi" w:cstheme="minorBidi"/>
          <w:sz w:val="24"/>
          <w:szCs w:val="24"/>
          <w:lang w:val="en-GB"/>
        </w:rPr>
        <w:t>’ knowledge and satisfaction</w:t>
      </w:r>
    </w:p>
    <w:p w14:paraId="160C462D" w14:textId="77777777" w:rsidR="00941883" w:rsidRDefault="00941883" w:rsidP="000344D7">
      <w:pPr>
        <w:autoSpaceDE w:val="0"/>
        <w:autoSpaceDN w:val="0"/>
        <w:adjustRightInd w:val="0"/>
        <w:spacing w:before="240" w:line="360" w:lineRule="auto"/>
        <w:jc w:val="both"/>
        <w:rPr>
          <w:rFonts w:ascii="Arial" w:hAnsi="Arial" w:cs="Arial"/>
          <w:sz w:val="24"/>
          <w:szCs w:val="24"/>
        </w:rPr>
      </w:pPr>
      <w:r w:rsidRPr="006B2FC7">
        <w:rPr>
          <w:rFonts w:ascii="Arial" w:hAnsi="Arial" w:cs="Arial"/>
          <w:sz w:val="24"/>
          <w:szCs w:val="24"/>
        </w:rPr>
        <w:t>A systematic review and meta-analysis published in 2010 assessed the impacts of pharmacists providing direct patient care on humanistic outcomes in the US as one of its objectives</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{"citationItems":[{"id":"ITEM-1","itemData":{"abstract":"Background: One approach postulated to improve the provision of health care is effective utilization of team-based care including pharmacists. Objective: The objective of this study was to conduct a compre hensive systematic review with focused meta-analyses to examine the effects of pharmacist-provided direct patient care on therapeutic, safety, and humanistic outcomes. Methods: The following databases were searched from inception to January 2009: NLM PubMed; Ovid/MEDLINE; ABI/IN FORM; Health Business Fulltext Elite; Academic Search Com plete; International Pharmaceutical Abstracts; PsycINFO; Co chrane Database of Systematic Reviews; National Guideline Clearinghouse; Database of Abstracts of Reviews of Effects; ClinicalTrials.gov; LexisNexis Academic Universe; and Google Scholar. Studies selected included those reporting pharmacist provided care, comparison groups, and patient-related outcomes. Of these, 56,573 citations were considered. Data were extracted by multidisciplinary study review teams. Variables examined included study characteristics, pharmacists' interventions/ser vices, patient characteristics, and study outcomes. Data for meta analyses were extracted from randomized controlled trials meet ing meta-analysis criteria. Results: A total of 298 studies were included. Favorable results were found in therapeutic and safety outcomes, and meta-analyses conducted for hemoglobin Ale, LDL cholesterol, blood pressure, and adverse drug events were significant (P &lt; 0.05), favoring pharmacists' direct patient care over comparative services. Results for humanistic outcomes were favorable with variability. Medication adherence, patient knowledge, and quality of life-general health meta-analyses were significant (P &lt; 0.05), favoring pharmacists' direct patient care. Conclusions: Pharmacist-provided direct patient care has favorable effects across various patient outcomes, health care settings, and disease states. Incorporating pharmacists as health care team mem bers in direct patient care is a viable solution to help improve US health care.","author":[{"dropping-particle":"","family":"Chisholm-burns","given":"Author Marie A","non-dropping-particle":"","parse-names":false,"suffix":""},{"dropping-particle":"","family":"Lee","given":"Jeannie 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Palmer","given":"John","non-dropping-particle":"","parse-names":false,"suffix":""},{"dropping-particle":"","family":"Martin","given":"Jennifer R","non-dropping-particle":"","parse-names":false,"suffix":""},{"dropping-particle":"","family":"Kramer","given":"Sandra S","non-dropping-particle":"","parse-names":false,"suffix":""},{"dropping-particle":"","family":"Wunz","given":"Timothy","non-dropping-particle":"","parse-names":false,"suffix":""},{"dropping-particle":"","family":"Chisholm-burns","given":"Marie A","non-dropping-particle":"","parse-names":false,"suffix":""},{"dropping-particle":"","family":"Lee","given":"Kim","non-dropping-particle":"","parse-names":false,"suffix":""},{"dropping-particle":"","family":"Spivey","given":"Christina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Wunz","given":"Timothy","non-dropping-particle":"","parse-names":false,"suffix":""}],"container-title":"Medical Care","id":"ITEM-1","issue":"10","issued":{"date-parts":[["2010"]]},"page":"923-933","title":"US Pharmacists ' Effect as Team Members on Patient Care Systematic Review and Meta-Analyses","type":"article-journal","volume":"48"},"uris":["http://www.mendeley.com/documents/?uuid=d279d6b6-fe77-42b1-9750-9b41d653a7dd"]}],"mendeley":{"formattedCitation":"(Chisholm-burns &lt;i&gt;et al.&lt;/i&gt;, 2010)","plainTextFormattedCitation":"(Chisholm-burns et al., 2010)","previouslyFormattedCitation":"(Chisholm-burns &lt;i&gt;et al.&lt;/i&gt;, 2010)"},"properties":{"noteIndex":0},"schema":"https://github.com/citation-style-language/schema/raw/master/csl-citation.json"}</w:instrText>
      </w:r>
      <w:r>
        <w:rPr>
          <w:rFonts w:ascii="Arial" w:hAnsi="Arial" w:cs="Arial"/>
          <w:sz w:val="24"/>
          <w:szCs w:val="24"/>
        </w:rPr>
        <w:fldChar w:fldCharType="separate"/>
      </w:r>
      <w:r w:rsidRPr="004F511B">
        <w:rPr>
          <w:rFonts w:ascii="Arial" w:hAnsi="Arial" w:cs="Arial"/>
          <w:noProof/>
          <w:sz w:val="24"/>
          <w:szCs w:val="24"/>
        </w:rPr>
        <w:t xml:space="preserve">(Chisholm-burns </w:t>
      </w:r>
      <w:r w:rsidRPr="004F511B">
        <w:rPr>
          <w:rFonts w:ascii="Arial" w:hAnsi="Arial" w:cs="Arial"/>
          <w:i/>
          <w:noProof/>
          <w:sz w:val="24"/>
          <w:szCs w:val="24"/>
        </w:rPr>
        <w:t>et al.</w:t>
      </w:r>
      <w:r w:rsidRPr="004F511B">
        <w:rPr>
          <w:rFonts w:ascii="Arial" w:hAnsi="Arial" w:cs="Arial"/>
          <w:noProof/>
          <w:sz w:val="24"/>
          <w:szCs w:val="24"/>
        </w:rPr>
        <w:t>, 2010)</w:t>
      </w:r>
      <w:r>
        <w:rPr>
          <w:rFonts w:ascii="Arial" w:hAnsi="Arial" w:cs="Arial"/>
          <w:sz w:val="24"/>
          <w:szCs w:val="24"/>
        </w:rPr>
        <w:fldChar w:fldCharType="end"/>
      </w:r>
      <w:r w:rsidRPr="006B2FC7">
        <w:rPr>
          <w:rFonts w:ascii="Arial" w:hAnsi="Arial" w:cs="Arial"/>
          <w:sz w:val="24"/>
          <w:szCs w:val="24"/>
        </w:rPr>
        <w:t>. This review included 298 studies, and most of the studies (65%) were conducted in outpatient, ambulatory care, and community settings. The majority of reported diseases were chronic conditions, such as diabetes</w:t>
      </w:r>
      <w:r>
        <w:rPr>
          <w:rFonts w:ascii="Arial" w:hAnsi="Arial" w:cs="Arial"/>
          <w:sz w:val="24"/>
          <w:szCs w:val="24"/>
        </w:rPr>
        <w:t>.</w:t>
      </w:r>
      <w:r w:rsidRPr="006B2FC7">
        <w:rPr>
          <w:rFonts w:ascii="Arial" w:hAnsi="Arial" w:cs="Arial"/>
          <w:color w:val="FF0000"/>
          <w:sz w:val="24"/>
          <w:szCs w:val="24"/>
        </w:rPr>
        <w:t xml:space="preserve"> </w:t>
      </w:r>
      <w:r w:rsidRPr="006B2FC7">
        <w:rPr>
          <w:rFonts w:ascii="Arial" w:hAnsi="Arial" w:cs="Arial"/>
          <w:sz w:val="24"/>
          <w:szCs w:val="24"/>
        </w:rPr>
        <w:t>The impacts of pharmacists' interventions on humanistic outcomes (such as patient satisfaction and knowledge) were favourable. The highest percentage of favourable results were observed in enhancing patients' knowledge about their medications and disease state, as shown by the meta-analysis results which demonstrated a statistically significant difference in humanistic outcomes (patient knowledge), favouring pharmacists' direct patient care service.</w:t>
      </w:r>
      <w:r>
        <w:rPr>
          <w:rFonts w:ascii="Arial" w:hAnsi="Arial" w:cs="Arial"/>
          <w:sz w:val="24"/>
          <w:szCs w:val="24"/>
        </w:rPr>
        <w:t xml:space="preserve"> Similarly, findings of a qualitative study by </w:t>
      </w:r>
      <w:r>
        <w:rPr>
          <w:rFonts w:ascii="Arial" w:hAnsi="Arial" w:cs="Arial"/>
          <w:sz w:val="24"/>
          <w:szCs w:val="24"/>
        </w:rPr>
        <w:fldChar w:fldCharType="begin" w:fldLock="1"/>
      </w:r>
      <w:r>
        <w:rPr>
          <w:rFonts w:ascii="Arial" w:hAnsi="Arial" w:cs="Arial"/>
          <w:sz w:val="24"/>
          <w:szCs w:val="24"/>
        </w:rPr>
        <w:instrText>ADDIN CSL_CITATION {"citationItems":[{"id":"ITEM-1","itemData":{"DOI":"10.1007/s11096-018-0591-2","ISBN":"0123456789","abstract":"Background Qualitative evidence on patients' perceptions of pharmacist-managed diabetes services (PMDSs) is limited. Objective To explore patients' perceptions of PMDSs Setting Patients being cared for in the outpatient settings in Singapore. Methods This focus group included patients who were diagnosed with type 2 diabetes, spoke either English or Mandarin, attended PMDSs for at least 6 months in the ambulatory care or community settings, and were at least 21 years of age. Patients with cognitive impairments or mobility issues were excluded. Thematic analysis of transcribed audio recordings was undertaken. Main outcomes measure Patients' care experiences with PMDSs. Results A total of 26 patients from two outpatient ambulatory care clinics and three retail pharmacies were assembled into four focus groups based on the care setting. Four themes abstracted from focus group data illustrated patients' perspectives on PMDSs in fulfilling their health needs, delivery and quality of service, changes attributed to the service, and suggestions for improvement of service. The patients highlighted that PMDSs fulfilled their need for information on diabetes. They also felt comfortable speaking to the pharmacists about their health, and they appreciated the role of the pharmacists as healthcare professionals. Furthermore, the patients reported better diabetes-related self-empowerment via increased medication knowledge and lifestyle modification. Some of the patients noted that medication adherence and glycemic control had improved. Suggestions to improve PMDSs were minimal. Conclusions Overall, patients with type 2 diabetes had positive perceptions of PMDSs regardless of the care settings.","author":[{"dropping-particle":"","family":"Yee Lee Siaw","given":"Melanie","non-dropping-particle":"","parse-names":false,"suffix":""},{"dropping-particle":"","family":"Heng Toh","given":"Jing","non-dropping-particle":"","parse-names":false,"suffix":""},{"dropping-particle":"","family":"Yu-Chia Lee","given":"Joyce","non-dropping-particle":"","parse-names":false,"suffix":""}],"container-title":"International Journal of Clinical Pharmacy","id":"ITEM-1","issue":"3","issued":{"date-parts":[["2018"]]},"page":"403-411","title":"Patients' perceptions of pharmacist-managed diabetes services in the ambulatory care and community settings within Singapore","type":"article-journal","volume":"40"},"uris":["http://www.mendeley.com/documents/?uuid=c0d1510e-1b99-3efe-9a48-1d6a2dabfc1a"]}],"mendeley":{"formattedCitation":"(Yee Lee Siaw, Heng Toh and Yu-Chia Lee, 2018)","manualFormatting":"Yee Lee Siaw et al. (2018","plainTextFormattedCitation":"(Yee Lee Siaw, Heng Toh and Yu-Chia Lee, 2018)","previouslyFormattedCitation":"(Yee Lee Siaw, Heng Toh and Yu-Chia Lee, 2018)"},"properties":{"noteIndex":0},"schema":"https://github.com/citation-style-language/schema/raw/master/csl-citation.json"}</w:instrText>
      </w:r>
      <w:r>
        <w:rPr>
          <w:rFonts w:ascii="Arial" w:hAnsi="Arial" w:cs="Arial"/>
          <w:sz w:val="24"/>
          <w:szCs w:val="24"/>
        </w:rPr>
        <w:fldChar w:fldCharType="separate"/>
      </w:r>
      <w:r w:rsidRPr="003A6BF0">
        <w:rPr>
          <w:rFonts w:ascii="Arial" w:hAnsi="Arial" w:cs="Arial"/>
          <w:noProof/>
          <w:sz w:val="24"/>
          <w:szCs w:val="24"/>
        </w:rPr>
        <w:t>Yee Lee Siaw</w:t>
      </w:r>
      <w:r>
        <w:rPr>
          <w:rFonts w:ascii="Arial" w:hAnsi="Arial" w:cs="Arial"/>
          <w:noProof/>
          <w:sz w:val="24"/>
          <w:szCs w:val="24"/>
        </w:rPr>
        <w:t xml:space="preserve"> et al. (</w:t>
      </w:r>
      <w:r w:rsidRPr="003A6BF0">
        <w:rPr>
          <w:rFonts w:ascii="Arial" w:hAnsi="Arial" w:cs="Arial"/>
          <w:noProof/>
          <w:sz w:val="24"/>
          <w:szCs w:val="24"/>
        </w:rPr>
        <w:t>2018</w:t>
      </w:r>
      <w:r>
        <w:rPr>
          <w:rFonts w:ascii="Arial" w:hAnsi="Arial" w:cs="Arial"/>
          <w:sz w:val="24"/>
          <w:szCs w:val="24"/>
        </w:rPr>
        <w:fldChar w:fldCharType="end"/>
      </w:r>
      <w:r>
        <w:rPr>
          <w:rFonts w:ascii="Arial" w:hAnsi="Arial" w:cs="Arial"/>
          <w:sz w:val="24"/>
          <w:szCs w:val="24"/>
        </w:rPr>
        <w:t xml:space="preserve">) </w:t>
      </w:r>
      <w:r w:rsidRPr="001F5AC0">
        <w:rPr>
          <w:rFonts w:ascii="Arial" w:hAnsi="Arial" w:cs="Arial"/>
          <w:sz w:val="24"/>
          <w:szCs w:val="24"/>
        </w:rPr>
        <w:t xml:space="preserve">showed that diabetes patients had positive perceptions of pharmacist-managed diabetes services in primary care settings in Singapore. The patients appreciated the role of pharmacists as </w:t>
      </w:r>
      <w:r>
        <w:rPr>
          <w:rFonts w:ascii="Arial" w:hAnsi="Arial" w:cs="Arial"/>
          <w:sz w:val="24"/>
          <w:szCs w:val="24"/>
        </w:rPr>
        <w:t>HCPs</w:t>
      </w:r>
      <w:r w:rsidRPr="001F5AC0">
        <w:rPr>
          <w:rFonts w:ascii="Arial" w:hAnsi="Arial" w:cs="Arial"/>
          <w:sz w:val="24"/>
          <w:szCs w:val="24"/>
        </w:rPr>
        <w:t xml:space="preserve"> because they felt that pharmacists fulfilled their need for information on their condition (diabetes), medication</w:t>
      </w:r>
      <w:r>
        <w:rPr>
          <w:rFonts w:ascii="Arial" w:hAnsi="Arial" w:cs="Arial"/>
          <w:sz w:val="24"/>
          <w:szCs w:val="24"/>
        </w:rPr>
        <w:t>s</w:t>
      </w:r>
      <w:r w:rsidRPr="001F5AC0">
        <w:rPr>
          <w:rFonts w:ascii="Arial" w:hAnsi="Arial" w:cs="Arial"/>
          <w:sz w:val="24"/>
          <w:szCs w:val="24"/>
        </w:rPr>
        <w:t xml:space="preserve">, and lifestyle modification, which resulted in better diabetes-related self-management. </w:t>
      </w:r>
    </w:p>
    <w:p w14:paraId="6FECE823" w14:textId="77777777" w:rsidR="00941883" w:rsidRPr="0003056F" w:rsidRDefault="00941883" w:rsidP="00941883">
      <w:pPr>
        <w:autoSpaceDE w:val="0"/>
        <w:autoSpaceDN w:val="0"/>
        <w:adjustRightInd w:val="0"/>
        <w:spacing w:line="360" w:lineRule="auto"/>
        <w:jc w:val="both"/>
        <w:rPr>
          <w:rFonts w:ascii="Arial" w:hAnsi="Arial" w:cs="Arial"/>
          <w:sz w:val="24"/>
          <w:szCs w:val="24"/>
        </w:rPr>
      </w:pPr>
      <w:r w:rsidRPr="0003056F">
        <w:rPr>
          <w:rFonts w:ascii="Arial" w:hAnsi="Arial" w:cs="Arial"/>
          <w:sz w:val="24"/>
          <w:szCs w:val="24"/>
        </w:rPr>
        <w:t>These findings were further validated by a meta-analysis by Albkal et al. (2021), which revealed that patients who received a pharmacist intervention had better diabetes knowledge. Al-Abkal et al. (2021) reported that communication between pharmacists and patients during prescription refills can build a good relationship. Pharmacists’ knowledge of diabetes management helps to enhance trust with the patient, which in turn helps them achieve the desired goal. According to a randomised controlled study by Wagner et al. (2022), patients were more satisfied with clinical pharmacists. They rated them better on listening, explaining, giving instructions, setting goals, and screening for depression and social problems than standards of care.</w:t>
      </w:r>
    </w:p>
    <w:p w14:paraId="6E9284F7" w14:textId="204D852E" w:rsidR="00941883" w:rsidRPr="000344D7" w:rsidRDefault="00941883" w:rsidP="000344D7">
      <w:pPr>
        <w:pStyle w:val="Heading7"/>
        <w:rPr>
          <w:rFonts w:asciiTheme="minorBidi" w:hAnsiTheme="minorBidi" w:cstheme="minorBidi"/>
          <w:sz w:val="24"/>
          <w:szCs w:val="24"/>
          <w:lang w:val="en-GB"/>
        </w:rPr>
      </w:pPr>
      <w:r w:rsidRPr="000344D7">
        <w:rPr>
          <w:rFonts w:asciiTheme="minorBidi" w:hAnsiTheme="minorBidi" w:cstheme="minorBidi"/>
          <w:sz w:val="24"/>
          <w:szCs w:val="24"/>
          <w:lang w:val="en-GB"/>
        </w:rPr>
        <w:t>Impacts on patients’ quality of life (QoL)</w:t>
      </w:r>
      <w:r w:rsidRPr="000344D7">
        <w:rPr>
          <w:rFonts w:asciiTheme="minorBidi" w:hAnsiTheme="minorBidi" w:cstheme="minorBidi"/>
          <w:sz w:val="24"/>
          <w:szCs w:val="24"/>
        </w:rPr>
        <w:t xml:space="preserve"> </w:t>
      </w:r>
    </w:p>
    <w:p w14:paraId="0603FA7C" w14:textId="77777777" w:rsidR="00941883" w:rsidRDefault="00941883" w:rsidP="0003056F">
      <w:pPr>
        <w:autoSpaceDE w:val="0"/>
        <w:autoSpaceDN w:val="0"/>
        <w:adjustRightInd w:val="0"/>
        <w:spacing w:before="240" w:line="360" w:lineRule="auto"/>
        <w:jc w:val="both"/>
        <w:rPr>
          <w:rFonts w:ascii="Arial" w:hAnsi="Arial" w:cs="Arial"/>
          <w:sz w:val="24"/>
          <w:szCs w:val="24"/>
          <w:lang w:val="en-GB"/>
        </w:rPr>
      </w:pPr>
      <w:r>
        <w:rPr>
          <w:rFonts w:ascii="Arial" w:hAnsi="Arial" w:cs="Arial"/>
          <w:sz w:val="24"/>
          <w:szCs w:val="24"/>
          <w:lang w:val="en-GB"/>
        </w:rPr>
        <w:t xml:space="preserve">When considering patient related aspects and particularly </w:t>
      </w:r>
      <w:r w:rsidRPr="006B2FC7">
        <w:rPr>
          <w:rFonts w:ascii="Arial" w:hAnsi="Arial" w:cs="Arial"/>
          <w:sz w:val="24"/>
          <w:szCs w:val="24"/>
          <w:lang w:val="en-GB"/>
        </w:rPr>
        <w:t xml:space="preserve">diabetic patients QoL, it has been found in some studies that pharmacist intervention has no effect on the QoL, such as a systematic review and meta-analysis by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{"citationItems":[{"id":"ITEM-1","itemData":{"DOI":"10.1016/j.sapharm.2013.08.006","ISSN":"15517411","abstract":"Background: Integration of pharmacists into primary care general practice clinics has the potential to improve interdisciplinary teamwork and patient care; however this practice is not widespread. Objective: The aim of this study was to review the effectiveness of clinical pharmacist services delivered in primary care general practice clinics. Methods: A systematic review of English language randomized controlled trials cited in the Cochrane Central Register of Controlled Trials, MEDLINE, EMBASE and International Pharmaceutical Abstracts was conducted. Studies were included if pharmacists had a regular and ongoing relationship with the clinic; delivered an intervention aimed at optimizing prescribing for, and/or medication use by, clinic patients; and were physically present within the clinic for all or part of the intervention, or for communication with staff. The search generated 1484 articles. After removal of duplicates and screening of titles and abstracts against inclusion criteria, 131 articles remained. A total of 38 studies were included in the review and assessed for quality. Seventeen studies had common endpoints (blood pressure, glycosylated hemoglobin, cholesterol and/or Framingham risk score) and were included in meta-analyses. Results: Twenty-nine of the 38 studies recruited patients with specific medical conditions, most commonly cardiovascular disease (15 studies) and/or diabetes (9 studies). The remaining 9 studies recruited patients at general risk of medication misadventure. Pharmacist interventions usually involved medication review (86.8%), with or without other activities delivered collaboratively with the general practitioner (family physician). Positive effects on primary outcomes related to medication use or clinical outcomes were reported in 19 studies, mixed effects in six studies, and no effect in 13 studies. The results of meta-analyses favored the pharmacist intervention, with significant improvements in blood pressure, glycosylated hemoglobin, cholesterol and Framingham risk score in intervention patients compared to control patients. Conclusions: Pharmacists co-located in general practice clinics delivered a range of interventions, with favorable results in various areas of chronic disease management and quality use of medicines. © 2014 Elsevier Inc.","author":[{"dropping-particle":"","family":"Tan","given":"Edwin C.K. K","non-dropping-particle":"","parse-names":false,"suffix":""},{"dropping-particle":"","family":"Stewart","given":"Kay","non-dropping-particle":"","parse-names":false,"suffix":""},{"dropping-particle":"","family":"Elliott","given":"Rohan A.","non-dropping-particle":"","parse-names":false,"suffix":""},{"dropping-particle":"","family":"Clin","given":"M Pharm","non-dropping-particle":"","parse-names":false,"suffix":""},{"dropping-particle":"","family":"George","given":"Johnson","non-dropping-particle":"","parse-names":false,"suffix":""},{"dropping-particle":"","family":"Clin","given":"M Pharm","non-dropping-particle":"","parse-names":false,"suffix":""},{"dropping-particle":"","family":"George","given":"Johnson","non-dropping-particle":"","parse-names":false,"suffix":""}],"container-title":"Research in Social and Administrative Pharmacy","id":"ITEM-1","issue":"4","issued":{"date-parts":[["2014","7"]]},"note":"From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Edwin C.K. K; Stewart, Kay; Elliott, Rohan A.; George, Johnson; Clin, M Pharm; George, Johnson)\n\nFrom Duplicate 1 (Pharmacist services provided in general practice clinics: A systematic review and meta-analysis - Tan, Edwin C.K. K; Stewart, Kay; Elliott, Rohan A.; George, Johnson)\n\nFrom Duplicate 1 (Pharmacist services provided in general practice clinics: A systematic review and meta-analysis - Tan, E C K; Stewart, K; Elliott, R A; George, J)\n\nCited By :85\n\nExport Date: 19 June 2019\n\nFrom Duplicate 2 (Pharmacist services provided in general practice clinics: A systematic review and meta-analysis - Tan, E C K; Stewart, K; Elliott, R A; George, J)\n\nCited By :85\n\nExport Date: 19 June 2019","page":"608-622","publisher":"Elsevier Inc","title":"Pharmacist services provided in general practice clinics: A systematic review and meta-analysis","type":"article-journal","volume":"10"},"uris":["http://www.mendeley.com/documents/?uuid=0ba34a9a-c4c4-4c3f-a0ee-541c10cd2c32"]}],"mendeley":{"formattedCitation":"(Tan &lt;i&gt;et al.&lt;/i&gt;, 2014)","manualFormatting":"Tan et al. (2014)","plainTextFormattedCitation":"(Tan et al., 2014)","previouslyFormattedCitation":"(Tan &lt;i&gt;et al.&lt;/i&gt;, 2014)"},"properties":{"noteIndex":0},"schema":"https://github.com/citation-style-language/schema/raw/master/csl-citation.json"}</w:instrText>
      </w:r>
      <w:r>
        <w:rPr>
          <w:rFonts w:ascii="Arial" w:hAnsi="Arial" w:cs="Arial"/>
          <w:sz w:val="24"/>
          <w:szCs w:val="24"/>
          <w:lang w:val="en-GB"/>
        </w:rPr>
        <w:fldChar w:fldCharType="separate"/>
      </w:r>
      <w:r w:rsidRPr="006A6EEA">
        <w:rPr>
          <w:rFonts w:ascii="Arial" w:hAnsi="Arial" w:cs="Arial"/>
          <w:noProof/>
          <w:sz w:val="24"/>
          <w:szCs w:val="24"/>
          <w:lang w:val="en-GB"/>
        </w:rPr>
        <w:t xml:space="preserve">Tan </w:t>
      </w:r>
      <w:r w:rsidRPr="006A6EEA">
        <w:rPr>
          <w:rFonts w:ascii="Arial" w:hAnsi="Arial" w:cs="Arial"/>
          <w:i/>
          <w:noProof/>
          <w:sz w:val="24"/>
          <w:szCs w:val="24"/>
          <w:lang w:val="en-GB"/>
        </w:rPr>
        <w:t>et al.</w:t>
      </w:r>
      <w:r w:rsidRPr="006A6EEA">
        <w:rPr>
          <w:rFonts w:ascii="Arial" w:hAnsi="Arial" w:cs="Arial"/>
          <w:noProof/>
          <w:sz w:val="24"/>
          <w:szCs w:val="24"/>
          <w:lang w:val="en-GB"/>
        </w:rPr>
        <w:t xml:space="preserve"> </w:t>
      </w:r>
      <w:r>
        <w:rPr>
          <w:rFonts w:ascii="Arial" w:hAnsi="Arial" w:cs="Arial"/>
          <w:noProof/>
          <w:sz w:val="24"/>
          <w:szCs w:val="24"/>
          <w:lang w:val="en-GB"/>
        </w:rPr>
        <w:t>(</w:t>
      </w:r>
      <w:r w:rsidRPr="006A6EEA">
        <w:rPr>
          <w:rFonts w:ascii="Arial" w:hAnsi="Arial" w:cs="Arial"/>
          <w:noProof/>
          <w:sz w:val="24"/>
          <w:szCs w:val="24"/>
          <w:lang w:val="en-GB"/>
        </w:rPr>
        <w:t>2014)</w:t>
      </w:r>
      <w:r>
        <w:rPr>
          <w:rFonts w:ascii="Arial" w:hAnsi="Arial" w:cs="Arial"/>
          <w:sz w:val="24"/>
          <w:szCs w:val="24"/>
          <w:lang w:val="en-GB"/>
        </w:rPr>
        <w:fldChar w:fldCharType="end"/>
      </w:r>
      <w:r w:rsidRPr="006B2FC7">
        <w:rPr>
          <w:rFonts w:ascii="Arial" w:hAnsi="Arial" w:cs="Arial"/>
          <w:sz w:val="24"/>
          <w:szCs w:val="24"/>
          <w:lang w:val="en-GB"/>
        </w:rPr>
        <w:t xml:space="preserve">, who conclude that pharmacist interventions have had a limited or no effect on the QoL of these patients. Similarly, a multi-centre RCT in the US by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{"citationItems":[{"id":"ITEM-1","itemData":{"DOI":"https://dx.doi.org/10.1371/journal.pone.0195898","ISSN":"1932-6203","abstract":"OBJECTIVES: The effectiveness and costs associated with addition of pharmacist-led group medical visits to standard care for patients with Type-2 Diabetes Mellitus (T2DM) is unknown., METHODS: Randomized-controlled-trial in three US Veteran Health Administration (VHA) Hospitals, where 250 patients with T2DM, HbA1c &gt;7% and either hypertension, active smoking or hyperlipidemia were randomized to either (1) addition of pharmacist-led group-medical-visits or (2) standard care alone for 13 months. Group (4-6 patients) visits consisted of 2-hour, education and comprehensive medication management sessions once weekly for 4 weeks, followed by quarterly visits. Change from baseline in cardiovascular risk estimated by the UKPDS-risk-score, health-related quality-of-life (SF36v) and institutional healthcare costs were compared between study arms., RESULTS: After 13 months, both groups had similar and significant improvements from baseline in UKPDS-risk-score (-0.02 +/-0.09 and -0.04 +/-0.09, group visit and standard care respectively, adjusted p&lt;0.05 for both); however, there was no significant difference between the study arms (adjusted p = 0.45). There were no significant differences on improvement from baseline in A1c, systolic-blood-pressure, and LDL as well as health-related quality-of-life measures between the study arms. Compared to 13 months prior, the increase in per-person outpatient expenditure from baseline was significantly lower in the group visit versus the standard care arm, both during the study intervention period and at 13-months after study interventions. The overall VHA healthcare costs/person were comparable between the study arms during the study period (p = 0.15); then decreased by 6% for the group visit but increased by 13% for the standard care arm 13 months post-study (p&lt;0.01)., CONCLUSIONS: Addition of pharmacist-led group medical visits in T2DM achieved similar improvements from baseline in cardiovascular risk factors than usual care, but with reduction in the healthcare costs in the group visit arm 13 months after completion compared to the steady rise in cost for the usual care arm., TRIAL REGISTRATION: NCT00554671 ClinicalTrials.gov.","author":[{"dropping-particle":"","family":"Wu","given":"Wen-Chih","non-dropping-particle":"","parse-names":false,"suffix":""},{"dropping-particle":"","family":"Taveira","given":"Tracey H.","non-dropping-particle":"","parse-names":false,"suffix":""},{"dropping-particle":"","family":"Jeffery","given":"Sean","non-dropping-particle":"","parse-names":false,"suffix":""},{"dropping-particle":"","family":"Jiang","given":"Lan","non-dropping-particle":"","parse-names":false,"suffix":""},{"dropping-particle":"","family":"Tokuda","given":"Lisa","non-dropping-particle":"","parse-names":false,"suffix":""},{"dropping-particle":"","family":"Musial","given":"Joanna","non-dropping-particle":"","parse-names":false,"suffix":""},{"dropping-particle":"","family":"Cohen","given":"Lisa B.","non-dropping-particle":"","parse-names":false,"suffix":""},{"dropping-particle":"","family":"Uhrle","given":"Fred","non-dropping-particle":"","parse-names":false,"suffix":""}],"container-title":"PloS one","editor":[{"dropping-particle":"","family":"Wouwe","given":"Jacobus P.","non-dropping-particle":"van","parse-names":false,"suffix":""}],"id":"ITEM-1","issue":"4","issued":{"date-parts":[["2018","4","19"]]},"page":"e0195898","publisher-place":"United States","title":"Costs and effectiveness of pharmacist-led group medical visits for type-2 diabetes: A multi-center randomized controlled trial.","type":"article-journal","volume":"13"},"uris":["http://www.mendeley.com/documents/?uuid=c252e6de-305e-4908-8843-48a75de5ea72"]}],"mendeley":{"formattedCitation":"(Wu &lt;i&gt;et al.&lt;/i&gt;, 2018)","manualFormatting":"Wu et al. (2018)","plainTextFormattedCitation":"(Wu et al., 2018)","previouslyFormattedCitation":"(Wu &lt;i&gt;et al.&lt;/i&gt;, 2018)"},"properties":{"noteIndex":0},"schema":"https://github.com/citation-style-language/schema/raw/master/csl-citation.json"}</w:instrText>
      </w:r>
      <w:r>
        <w:rPr>
          <w:rFonts w:ascii="Arial" w:hAnsi="Arial" w:cs="Arial"/>
          <w:sz w:val="24"/>
          <w:szCs w:val="24"/>
          <w:lang w:val="en-GB"/>
        </w:rPr>
        <w:fldChar w:fldCharType="separate"/>
      </w:r>
      <w:r w:rsidRPr="006A6EEA">
        <w:rPr>
          <w:rFonts w:ascii="Arial" w:hAnsi="Arial" w:cs="Arial"/>
          <w:noProof/>
          <w:sz w:val="24"/>
          <w:szCs w:val="24"/>
          <w:lang w:val="en-GB"/>
        </w:rPr>
        <w:t xml:space="preserve">Wu </w:t>
      </w:r>
      <w:r w:rsidRPr="006A6EEA">
        <w:rPr>
          <w:rFonts w:ascii="Arial" w:hAnsi="Arial" w:cs="Arial"/>
          <w:i/>
          <w:noProof/>
          <w:sz w:val="24"/>
          <w:szCs w:val="24"/>
          <w:lang w:val="en-GB"/>
        </w:rPr>
        <w:t>et al.</w:t>
      </w:r>
      <w:r w:rsidRPr="006A6EEA">
        <w:rPr>
          <w:rFonts w:ascii="Arial" w:hAnsi="Arial" w:cs="Arial"/>
          <w:noProof/>
          <w:sz w:val="24"/>
          <w:szCs w:val="24"/>
          <w:lang w:val="en-GB"/>
        </w:rPr>
        <w:t xml:space="preserve"> </w:t>
      </w:r>
      <w:r>
        <w:rPr>
          <w:rFonts w:ascii="Arial" w:hAnsi="Arial" w:cs="Arial"/>
          <w:noProof/>
          <w:sz w:val="24"/>
          <w:szCs w:val="24"/>
          <w:lang w:val="en-GB"/>
        </w:rPr>
        <w:t>(</w:t>
      </w:r>
      <w:r w:rsidRPr="006A6EEA">
        <w:rPr>
          <w:rFonts w:ascii="Arial" w:hAnsi="Arial" w:cs="Arial"/>
          <w:noProof/>
          <w:sz w:val="24"/>
          <w:szCs w:val="24"/>
          <w:lang w:val="en-GB"/>
        </w:rPr>
        <w:t>2018)</w:t>
      </w:r>
      <w:r>
        <w:rPr>
          <w:rFonts w:ascii="Arial" w:hAnsi="Arial" w:cs="Arial"/>
          <w:sz w:val="24"/>
          <w:szCs w:val="24"/>
          <w:lang w:val="en-GB"/>
        </w:rPr>
        <w:fldChar w:fldCharType="end"/>
      </w:r>
      <w:r w:rsidRPr="006B2FC7">
        <w:rPr>
          <w:rFonts w:ascii="Arial" w:hAnsi="Arial" w:cs="Arial"/>
          <w:noProof/>
          <w:sz w:val="24"/>
          <w:szCs w:val="24"/>
          <w:lang w:val="en-GB"/>
        </w:rPr>
        <w:t xml:space="preserve"> reported that </w:t>
      </w:r>
      <w:r w:rsidRPr="006B2FC7">
        <w:rPr>
          <w:rFonts w:ascii="Arial" w:hAnsi="Arial" w:cs="Arial"/>
          <w:sz w:val="24"/>
          <w:szCs w:val="24"/>
          <w:lang w:val="en-GB"/>
        </w:rPr>
        <w:t xml:space="preserve">there were no significant differences in the improvement from the baseline in health related QoL measures between the participants in the study groups. Conversely , other researchers, also conducted robust studies (with a systematic review and meta-analysis) such as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{"citationItems":[{"id":"ITEM-1","itemData":{"abstract":"Background: One approach postulated to improve the provision of health care is effective utilization of team-based care including pharmacists. Objective: The objective of this study was to conduct a compre hensive systematic review with focused meta-analyses to examine the effects of pharmacist-provided direct patient care on therapeutic, safety, and humanistic outcomes. Methods: The following databases were searched from inception to January 2009: NLM PubMed; Ovid/MEDLINE; ABI/IN FORM; Health Business Fulltext Elite; Academic Search Com plete; International Pharmaceutical Abstracts; PsycINFO; Co chrane Database of Systematic Reviews; National Guideline Clearinghouse; Database of Abstracts of Reviews of Effects; ClinicalTrials.gov; LexisNexis Academic Universe; and Google Scholar. Studies selected included those reporting pharmacist provided care, comparison groups, and patient-related outcomes. Of these, 56,573 citations were considered. Data were extracted by multidisciplinary study review teams. Variables examined included study characteristics, pharmacists' interventions/ser vices, patient characteristics, and study outcomes. Data for meta analyses were extracted from randomized controlled trials meet ing meta-analysis criteria. Results: A total of 298 studies were included. Favorable results were found in therapeutic and safety outcomes, and meta-analyses conducted for hemoglobin Ale, LDL cholesterol, blood pressure, and adverse drug events were significant (P &lt; 0.05), favoring pharmacists' direct patient care over comparative services. Results for humanistic outcomes were favorable with variability. Medication adherence, patient knowledge, and quality of life-general health meta-analyses were significant (P &lt; 0.05), favoring pharmacists' direct patient care. Conclusions: Pharmacist-provided direct patient care has favorable effects across various patient outcomes, health care settings, and disease states. Incorporating pharmacists as health care team mem bers in direct patient care is a viable solution to help improve US health care.","author":[{"dropping-particle":"","family":"Chisholm-burns","given":"Author Marie A","non-dropping-particle":"","parse-names":false,"suffix":""},{"dropping-particle":"","family":"Lee","given":"Jeannie 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Palmer","given":"John","non-dropping-particle":"","parse-names":false,"suffix":""},{"dropping-particle":"","family":"Martin","given":"Jennifer R","non-dropping-particle":"","parse-names":false,"suffix":""},{"dropping-particle":"","family":"Kramer","given":"Sandra S","non-dropping-particle":"","parse-names":false,"suffix":""},{"dropping-particle":"","family":"Wunz","given":"Timothy","non-dropping-particle":"","parse-names":false,"suffix":""},{"dropping-particle":"","family":"Chisholm-burns","given":"Marie A","non-dropping-particle":"","parse-names":false,"suffix":""},{"dropping-particle":"","family":"Lee","given":"Kim","non-dropping-particle":"","parse-names":false,"suffix":""},{"dropping-particle":"","family":"Spivey","given":"Christina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Wunz","given":"Timothy","non-dropping-particle":"","parse-names":false,"suffix":""}],"container-title":"Medical Care","id":"ITEM-1","issue":"10","issued":{"date-parts":[["2010"]]},"page":"923-933","title":"US Pharmacists ' Effect as Team Members on Patient Care Systematic Review and Meta-Analyses","type":"article-journal","volume":"48"},"uris":["http://www.mendeley.com/documents/?uuid=d279d6b6-fe77-42b1-9750-9b41d653a7dd"]}],"mendeley":{"formattedCitation":"(Chisholm-burns &lt;i&gt;et al.&lt;/i&gt;, 2010)","manualFormatting":"Chisholm-burns et al. (2010)","plainTextFormattedCitation":"(Chisholm-burns et al., 2010)","previouslyFormattedCitation":"(Chisholm-burns &lt;i&gt;et al.&lt;/i&gt;, 2010)"},"properties":{"noteIndex":0},"schema":"https://github.com/citation-style-language/schema/raw/master/csl-citation.json"}</w:instrText>
      </w:r>
      <w:r>
        <w:rPr>
          <w:rFonts w:ascii="Arial" w:hAnsi="Arial" w:cs="Arial"/>
          <w:sz w:val="24"/>
          <w:szCs w:val="24"/>
          <w:lang w:val="en-GB"/>
        </w:rPr>
        <w:fldChar w:fldCharType="separate"/>
      </w:r>
      <w:r w:rsidRPr="006A6EEA">
        <w:rPr>
          <w:rFonts w:ascii="Arial" w:hAnsi="Arial" w:cs="Arial"/>
          <w:noProof/>
          <w:sz w:val="24"/>
          <w:szCs w:val="24"/>
          <w:lang w:val="en-GB"/>
        </w:rPr>
        <w:t xml:space="preserve">Chisholm-burns </w:t>
      </w:r>
      <w:r w:rsidRPr="006A6EEA">
        <w:rPr>
          <w:rFonts w:ascii="Arial" w:hAnsi="Arial" w:cs="Arial"/>
          <w:i/>
          <w:noProof/>
          <w:sz w:val="24"/>
          <w:szCs w:val="24"/>
          <w:lang w:val="en-GB"/>
        </w:rPr>
        <w:t>et al.</w:t>
      </w:r>
      <w:r w:rsidRPr="006A6EEA">
        <w:rPr>
          <w:rFonts w:ascii="Arial" w:hAnsi="Arial" w:cs="Arial"/>
          <w:noProof/>
          <w:sz w:val="24"/>
          <w:szCs w:val="24"/>
          <w:lang w:val="en-GB"/>
        </w:rPr>
        <w:t xml:space="preserve"> </w:t>
      </w:r>
      <w:r>
        <w:rPr>
          <w:rFonts w:ascii="Arial" w:hAnsi="Arial" w:cs="Arial"/>
          <w:noProof/>
          <w:sz w:val="24"/>
          <w:szCs w:val="24"/>
          <w:lang w:val="en-GB"/>
        </w:rPr>
        <w:t>(</w:t>
      </w:r>
      <w:r w:rsidRPr="006A6EEA">
        <w:rPr>
          <w:rFonts w:ascii="Arial" w:hAnsi="Arial" w:cs="Arial"/>
          <w:noProof/>
          <w:sz w:val="24"/>
          <w:szCs w:val="24"/>
          <w:lang w:val="en-GB"/>
        </w:rPr>
        <w:t>2010)</w:t>
      </w:r>
      <w:r>
        <w:rPr>
          <w:rFonts w:ascii="Arial" w:hAnsi="Arial" w:cs="Arial"/>
          <w:sz w:val="24"/>
          <w:szCs w:val="24"/>
          <w:lang w:val="en-GB"/>
        </w:rPr>
        <w:fldChar w:fldCharType="end"/>
      </w:r>
      <w:r w:rsidRPr="006B2FC7">
        <w:rPr>
          <w:rFonts w:ascii="Arial" w:hAnsi="Arial" w:cs="Arial"/>
          <w:sz w:val="24"/>
          <w:szCs w:val="24"/>
          <w:lang w:val="en-GB"/>
        </w:rPr>
        <w:t xml:space="preserve"> and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{"citationItems":[{"id":"ITEM-1","itemData":{"DOI":"https://dx.doi.org/10.1016/j.jcjd.2017.09.014","ISSN":"2352-3840","abstract":"OBJECTIVES: The aim of this systematic review and meta-analysis was to evaluate the effects of pharmacy-based interventions on clinical outcomes associated with diabetes-related complications as well as on nonclinical outcomes in people with diabetes., METHODS: We searched 4 main databases (MEDLINE, EMBASE, CINAHL and Cochrane Central Register of Controlled Trials) for studies that considered clinical and nonclinical outcomes of pharmacy-based interventions among people with diabetes. Clinical outcomes included patients' mean reductions of glycated hemoglobin (A1C) levels and body mass indexes (BMIs). Nonclinical outcomes included patients' healthcare utilization and quality of life. A meta-analysis was conducted to estimate the pooled net mean difference in clinical outcomes between the pharmacy-intervention and the control groups., RESULTS: Of the 44 studies included in the systematic review, 32 studies reported results from randomized controlled trials measuring reductions of A1C levels in 4,132 patients. Meta-analysis revealed that the standardized absolute mean difference in reduction of A1C levels from baseline to the time of the last follow up significantly favoured the pharmacy intervention versus the control group (0.96%; 95% CI 0.71 to 1.22; p&lt;0.001). Of the studies, 13 reported BMI kg/m2 in 1,827 patients. The estimation of standardized absolute mean difference in reduction of BMI unit calculated through meta-analysis was 0.61 (95% CI 0.20 to 1.03; p=0.000) in favour of the pharmacy-intervention group., CONCLUSIONS: Pharmacy-based interventions have significant positive effects on controlling 2 major risks factors associated with diabetes-related complications: A1C levels and BMI. However, there is a dearth of evidence about the effects of pharmacy-based intervention on nonclinical outcomes, including healthcare utilization and quality of life. Copyright © 2017 Diabetes Canada. Published by Elsevier Inc. All rights reserved.","author":[{"dropping-particle":"","family":"Yaghoubi","given":"Mohsen","non-dropping-particle":"","parse-names":false,"suffix":""},{"dropping-particle":"","family":"Mansell","given":"Kerry","non-dropping-particle":"","parse-names":false,"suffix":""},{"dropping-particle":"","family":"Vatanparastc","given":"Hassanali","non-dropping-particle":"","parse-names":false,"suffix":""},{"dropping-particle":"","family":"Steeves","given":"Megan","non-dropping-particle":"","parse-names":false,"suffix":""},{"dropping-particle":"","family":"Zeng","given":"Wu","non-dropping-particle":"","parse-names":false,"suffix":""},{"dropping-particle":"","family":"Farag","given":"Marwa","non-dropping-particle":"","parse-names":false,"suffix":""}],"container-title":"Canadian journal of diabetes","id":"ITEM-1","issue":"6","issued":{"date-parts":[["2017"]]},"page":"628-641","publisher-place":"Canada","title":"Effects of Pharmacy-Based Interventions on the Control and Management of Diabetes in Adults: A Systematic Review and Meta-Analysis.","type":"article-journal","volume":"41"},"uris":["http://www.mendeley.com/documents/?uuid=cb9ee9a5-bd35-48df-953c-75e3e92e5a5b"]}],"mendeley":{"formattedCitation":"(Yaghoubi &lt;i&gt;et al.&lt;/i&gt;, 2017)","manualFormatting":"Yaghoubi et al. (2017)","plainTextFormattedCitation":"(Yaghoubi et al., 2017)","previouslyFormattedCitation":"(Yaghoubi &lt;i&gt;et al.&lt;/i&gt;, 2017)"},"properties":{"noteIndex":0},"schema":"https://github.com/citation-style-language/schema/raw/master/csl-citation.json"}</w:instrText>
      </w:r>
      <w:r>
        <w:rPr>
          <w:rFonts w:ascii="Arial" w:hAnsi="Arial" w:cs="Arial"/>
          <w:sz w:val="24"/>
          <w:szCs w:val="24"/>
          <w:lang w:val="en-GB"/>
        </w:rPr>
        <w:fldChar w:fldCharType="separate"/>
      </w:r>
      <w:r w:rsidRPr="006A6EEA">
        <w:rPr>
          <w:rFonts w:ascii="Arial" w:hAnsi="Arial" w:cs="Arial"/>
          <w:noProof/>
          <w:sz w:val="24"/>
          <w:szCs w:val="24"/>
          <w:lang w:val="en-GB"/>
        </w:rPr>
        <w:t xml:space="preserve">Yaghoubi </w:t>
      </w:r>
      <w:r w:rsidRPr="006A6EEA">
        <w:rPr>
          <w:rFonts w:ascii="Arial" w:hAnsi="Arial" w:cs="Arial"/>
          <w:i/>
          <w:noProof/>
          <w:sz w:val="24"/>
          <w:szCs w:val="24"/>
          <w:lang w:val="en-GB"/>
        </w:rPr>
        <w:t>et al.</w:t>
      </w:r>
      <w:r w:rsidRPr="006A6EEA">
        <w:rPr>
          <w:rFonts w:ascii="Arial" w:hAnsi="Arial" w:cs="Arial"/>
          <w:noProof/>
          <w:sz w:val="24"/>
          <w:szCs w:val="24"/>
          <w:lang w:val="en-GB"/>
        </w:rPr>
        <w:t xml:space="preserve"> </w:t>
      </w:r>
      <w:r>
        <w:rPr>
          <w:rFonts w:ascii="Arial" w:hAnsi="Arial" w:cs="Arial"/>
          <w:noProof/>
          <w:sz w:val="24"/>
          <w:szCs w:val="24"/>
          <w:lang w:val="en-GB"/>
        </w:rPr>
        <w:t>(</w:t>
      </w:r>
      <w:r w:rsidRPr="006A6EEA">
        <w:rPr>
          <w:rFonts w:ascii="Arial" w:hAnsi="Arial" w:cs="Arial"/>
          <w:noProof/>
          <w:sz w:val="24"/>
          <w:szCs w:val="24"/>
          <w:lang w:val="en-GB"/>
        </w:rPr>
        <w:t>2017)</w:t>
      </w:r>
      <w:r>
        <w:rPr>
          <w:rFonts w:ascii="Arial" w:hAnsi="Arial" w:cs="Arial"/>
          <w:sz w:val="24"/>
          <w:szCs w:val="24"/>
          <w:lang w:val="en-GB"/>
        </w:rPr>
        <w:fldChar w:fldCharType="end"/>
      </w:r>
      <w:r>
        <w:rPr>
          <w:rFonts w:ascii="Arial" w:hAnsi="Arial" w:cs="Arial"/>
          <w:sz w:val="24"/>
          <w:szCs w:val="24"/>
          <w:lang w:val="en-GB"/>
        </w:rPr>
        <w:t>,</w:t>
      </w:r>
      <w:r w:rsidRPr="006B2FC7">
        <w:rPr>
          <w:rFonts w:ascii="Arial" w:hAnsi="Arial" w:cs="Arial"/>
          <w:sz w:val="24"/>
          <w:szCs w:val="24"/>
          <w:lang w:val="en-GB"/>
        </w:rPr>
        <w:t xml:space="preserve"> and found that pharmacist interventions have led to some improvement, as shown in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{"citationItems":[{"id":"ITEM-1","itemData":{"DOI":"https://dx.doi.org/10.1016/j.jcjd.2017.09.014","ISSN":"2352-3840","abstract":"OBJECTIVES: The aim of this systematic review and meta-analysis was to evaluate the effects of pharmacy-based interventions on clinical outcomes associated with diabetes-related complications as well as on nonclinical outcomes in people with diabetes., METHODS: We searched 4 main databases (MEDLINE, EMBASE, CINAHL and Cochrane Central Register of Controlled Trials) for studies that considered clinical and nonclinical outcomes of pharmacy-based interventions among people with diabetes. Clinical outcomes included patients' mean reductions of glycated hemoglobin (A1C) levels and body mass indexes (BMIs). Nonclinical outcomes included patients' healthcare utilization and quality of life. A meta-analysis was conducted to estimate the pooled net mean difference in clinical outcomes between the pharmacy-intervention and the control groups., RESULTS: Of the 44 studies included in the systematic review, 32 studies reported results from randomized controlled trials measuring reductions of A1C levels in 4,132 patients. Meta-analysis revealed that the standardized absolute mean difference in reduction of A1C levels from baseline to the time of the last follow up significantly favoured the pharmacy intervention versus the control group (0.96%; 95% CI 0.71 to 1.22; p&lt;0.001). Of the studies, 13 reported BMI kg/m2 in 1,827 patients. The estimation of standardized absolute mean difference in reduction of BMI unit calculated through meta-analysis was 0.61 (95% CI 0.20 to 1.03; p=0.000) in favour of the pharmacy-intervention group., CONCLUSIONS: Pharmacy-based interventions have significant positive effects on controlling 2 major risks factors associated with diabetes-related complications: A1C levels and BMI. However, there is a dearth of evidence about the effects of pharmacy-based intervention on nonclinical outcomes, including healthcare utilization and quality of life. Copyright © 2017 Diabetes Canada. Published by Elsevier Inc. All rights reserved.","author":[{"dropping-particle":"","family":"Yaghoubi","given":"Mohsen","non-dropping-particle":"","parse-names":false,"suffix":""},{"dropping-particle":"","family":"Mansell","given":"Kerry","non-dropping-particle":"","parse-names":false,"suffix":""},{"dropping-particle":"","family":"Vatanparastc","given":"Hassanali","non-dropping-particle":"","parse-names":false,"suffix":""},{"dropping-particle":"","family":"Steeves","given":"Megan","non-dropping-particle":"","parse-names":false,"suffix":""},{"dropping-particle":"","family":"Zeng","given":"Wu","non-dropping-particle":"","parse-names":false,"suffix":""},{"dropping-particle":"","family":"Farag","given":"Marwa","non-dropping-particle":"","parse-names":false,"suffix":""}],"container-title":"Canadian journal of diabetes","id":"ITEM-1","issue":"6","issued":{"date-parts":[["2017"]]},"page":"628-641","publisher-place":"Canada","title":"Effects of Pharmacy-Based Interventions on the Control and Management of Diabetes in Adults: A Systematic Review and Meta-Analysis.","type":"article-journal","volume":"41"},"uris":["http://www.mendeley.com/documents/?uuid=cb9ee9a5-bd35-48df-953c-75e3e92e5a5b"]}],"mendeley":{"formattedCitation":"(Yaghoubi &lt;i&gt;et al.&lt;/i&gt;, 2017)","manualFormatting":"Yaghoubi et al. (2017)","plainTextFormattedCitation":"(Yaghoubi et al., 2017)","previouslyFormattedCitation":"(Yaghoubi &lt;i&gt;et al.&lt;/i&gt;, 2017)"},"properties":{"noteIndex":0},"schema":"https://github.com/citation-style-language/schema/raw/master/csl-citation.json"}</w:instrText>
      </w:r>
      <w:r>
        <w:rPr>
          <w:rFonts w:ascii="Arial" w:hAnsi="Arial" w:cs="Arial"/>
          <w:sz w:val="24"/>
          <w:szCs w:val="24"/>
          <w:lang w:val="en-GB"/>
        </w:rPr>
        <w:fldChar w:fldCharType="separate"/>
      </w:r>
      <w:r w:rsidRPr="006A6EEA">
        <w:rPr>
          <w:rFonts w:ascii="Arial" w:hAnsi="Arial" w:cs="Arial"/>
          <w:noProof/>
          <w:sz w:val="24"/>
          <w:szCs w:val="24"/>
          <w:lang w:val="en-GB"/>
        </w:rPr>
        <w:t xml:space="preserve">Yaghoubi </w:t>
      </w:r>
      <w:r w:rsidRPr="006A6EEA">
        <w:rPr>
          <w:rFonts w:ascii="Arial" w:hAnsi="Arial" w:cs="Arial"/>
          <w:i/>
          <w:noProof/>
          <w:sz w:val="24"/>
          <w:szCs w:val="24"/>
          <w:lang w:val="en-GB"/>
        </w:rPr>
        <w:t>et al.</w:t>
      </w:r>
      <w:r w:rsidRPr="006A6EEA">
        <w:rPr>
          <w:rFonts w:ascii="Arial" w:hAnsi="Arial" w:cs="Arial"/>
          <w:noProof/>
          <w:sz w:val="24"/>
          <w:szCs w:val="24"/>
          <w:lang w:val="en-GB"/>
        </w:rPr>
        <w:t xml:space="preserve"> </w:t>
      </w:r>
      <w:r>
        <w:rPr>
          <w:rFonts w:ascii="Arial" w:hAnsi="Arial" w:cs="Arial"/>
          <w:noProof/>
          <w:sz w:val="24"/>
          <w:szCs w:val="24"/>
          <w:lang w:val="en-GB"/>
        </w:rPr>
        <w:t>(</w:t>
      </w:r>
      <w:r w:rsidRPr="006A6EEA">
        <w:rPr>
          <w:rFonts w:ascii="Arial" w:hAnsi="Arial" w:cs="Arial"/>
          <w:noProof/>
          <w:sz w:val="24"/>
          <w:szCs w:val="24"/>
          <w:lang w:val="en-GB"/>
        </w:rPr>
        <w:t>2017)</w:t>
      </w:r>
      <w:r>
        <w:rPr>
          <w:rFonts w:ascii="Arial" w:hAnsi="Arial" w:cs="Arial"/>
          <w:sz w:val="24"/>
          <w:szCs w:val="24"/>
          <w:lang w:val="en-GB"/>
        </w:rPr>
        <w:fldChar w:fldCharType="end"/>
      </w:r>
      <w:r w:rsidRPr="006B2FC7">
        <w:rPr>
          <w:rFonts w:ascii="Arial" w:hAnsi="Arial" w:cs="Arial"/>
          <w:sz w:val="24"/>
          <w:szCs w:val="24"/>
          <w:lang w:val="en-GB"/>
        </w:rPr>
        <w:t xml:space="preserve">, and a significant overall improvement in the QoL for patients with DM in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{"citationItems":[{"id":"ITEM-1","itemData":{"abstract":"Background: One approach postulated to improve the provision of health care is effective utilization of team-based care including pharmacists. Objective: The objective of this study was to conduct a compre hensive systematic review with focused meta-analyses to examine the effects of pharmacist-provided direct patient care on therapeutic, safety, and humanistic outcomes. Methods: The following databases were searched from inception to January 2009: NLM PubMed; Ovid/MEDLINE; ABI/IN FORM; Health Business Fulltext Elite; Academic Search Com plete; International Pharmaceutical Abstracts; PsycINFO; Co chrane Database of Systematic Reviews; National Guideline Clearinghouse; Database of Abstracts of Reviews of Effects; ClinicalTrials.gov; LexisNexis Academic Universe; and Google Scholar. Studies selected included those reporting pharmacist provided care, comparison groups, and patient-related outcomes. Of these, 56,573 citations were considered. Data were extracted by multidisciplinary study review teams. Variables examined included study characteristics, pharmacists' interventions/ser vices, patient characteristics, and study outcomes. Data for meta analyses were extracted from randomized controlled trials meet ing meta-analysis criteria. Results: A total of 298 studies were included. Favorable results were found in therapeutic and safety outcomes, and meta-analyses conducted for hemoglobin Ale, LDL cholesterol, blood pressure, and adverse drug events were significant (P &lt; 0.05), favoring pharmacists' direct patient care over comparative services. Results for humanistic outcomes were favorable with variability. Medication adherence, patient knowledge, and quality of life-general health meta-analyses were significant (P &lt; 0.05), favoring pharmacists' direct patient care. Conclusions: Pharmacist-provided direct patient care has favorable effects across various patient outcomes, health care settings, and disease states. Incorporating pharmacists as health care team mem bers in direct patient care is a viable solution to help improve US health care.","author":[{"dropping-particle":"","family":"Chisholm-burns","given":"Author Marie A","non-dropping-particle":"","parse-names":false,"suffix":""},{"dropping-particle":"","family":"Lee","given":"Jeannie 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Palmer","given":"John","non-dropping-particle":"","parse-names":false,"suffix":""},{"dropping-particle":"","family":"Martin","given":"Jennifer R","non-dropping-particle":"","parse-names":false,"suffix":""},{"dropping-particle":"","family":"Kramer","given":"Sandra S","non-dropping-particle":"","parse-names":false,"suffix":""},{"dropping-particle":"","family":"Wunz","given":"Timothy","non-dropping-particle":"","parse-names":false,"suffix":""},{"dropping-particle":"","family":"Chisholm-burns","given":"Marie A","non-dropping-particle":"","parse-names":false,"suffix":""},{"dropping-particle":"","family":"Lee","given":"Kim","non-dropping-particle":"","parse-names":false,"suffix":""},{"dropping-particle":"","family":"Spivey","given":"Christina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Wunz","given":"Timothy","non-dropping-particle":"","parse-names":false,"suffix":""}],"container-title":"Medical Care","id":"ITEM-1","issue":"10","issued":{"date-parts":[["2010"]]},"page":"923-933","title":"US Pharmacists ' Effect as Team Members on Patient Care Systematic Review and Meta-Analyses","type":"article-journal","volume":"48"},"uris":["http://www.mendeley.com/documents/?uuid=d279d6b6-fe77-42b1-9750-9b41d653a7dd"]}],"mendeley":{"formattedCitation":"(Chisholm-burns &lt;i&gt;et al.&lt;/i&gt;, 2010)","manualFormatting":"Chisholm-burns et al. (2010)","plainTextFormattedCitation":"(Chisholm-burns et al., 2010)","previouslyFormattedCitation":"(Chisholm-burns &lt;i&gt;et al.&lt;/i&gt;, 2010)"},"properties":{"noteIndex":0},"schema":"https://github.com/citation-style-language/schema/raw/master/csl-citation.json"}</w:instrText>
      </w:r>
      <w:r>
        <w:rPr>
          <w:rFonts w:ascii="Arial" w:hAnsi="Arial" w:cs="Arial"/>
          <w:sz w:val="24"/>
          <w:szCs w:val="24"/>
          <w:lang w:val="en-GB"/>
        </w:rPr>
        <w:fldChar w:fldCharType="separate"/>
      </w:r>
      <w:r w:rsidRPr="006A6EEA">
        <w:rPr>
          <w:rFonts w:ascii="Arial" w:hAnsi="Arial" w:cs="Arial"/>
          <w:noProof/>
          <w:sz w:val="24"/>
          <w:szCs w:val="24"/>
          <w:lang w:val="en-GB"/>
        </w:rPr>
        <w:t xml:space="preserve">Chisholm-burns </w:t>
      </w:r>
      <w:r w:rsidRPr="006A6EEA">
        <w:rPr>
          <w:rFonts w:ascii="Arial" w:hAnsi="Arial" w:cs="Arial"/>
          <w:i/>
          <w:noProof/>
          <w:sz w:val="24"/>
          <w:szCs w:val="24"/>
          <w:lang w:val="en-GB"/>
        </w:rPr>
        <w:t>et al.</w:t>
      </w:r>
      <w:r w:rsidRPr="006A6EEA">
        <w:rPr>
          <w:rFonts w:ascii="Arial" w:hAnsi="Arial" w:cs="Arial"/>
          <w:noProof/>
          <w:sz w:val="24"/>
          <w:szCs w:val="24"/>
          <w:lang w:val="en-GB"/>
        </w:rPr>
        <w:t xml:space="preserve"> </w:t>
      </w:r>
      <w:r>
        <w:rPr>
          <w:rFonts w:ascii="Arial" w:hAnsi="Arial" w:cs="Arial"/>
          <w:noProof/>
          <w:sz w:val="24"/>
          <w:szCs w:val="24"/>
          <w:lang w:val="en-GB"/>
        </w:rPr>
        <w:t>(</w:t>
      </w:r>
      <w:r w:rsidRPr="006A6EEA">
        <w:rPr>
          <w:rFonts w:ascii="Arial" w:hAnsi="Arial" w:cs="Arial"/>
          <w:noProof/>
          <w:sz w:val="24"/>
          <w:szCs w:val="24"/>
          <w:lang w:val="en-GB"/>
        </w:rPr>
        <w:t>2010)</w:t>
      </w:r>
      <w:r>
        <w:rPr>
          <w:rFonts w:ascii="Arial" w:hAnsi="Arial" w:cs="Arial"/>
          <w:sz w:val="24"/>
          <w:szCs w:val="24"/>
          <w:lang w:val="en-GB"/>
        </w:rPr>
        <w:fldChar w:fldCharType="end"/>
      </w:r>
      <w:r w:rsidRPr="006B2FC7">
        <w:rPr>
          <w:rFonts w:ascii="Arial" w:hAnsi="Arial" w:cs="Arial"/>
          <w:sz w:val="24"/>
          <w:szCs w:val="24"/>
        </w:rPr>
        <w:t xml:space="preserve">. </w:t>
      </w:r>
      <w:r w:rsidRPr="006B2FC7">
        <w:rPr>
          <w:rFonts w:ascii="Arial" w:hAnsi="Arial" w:cs="Arial"/>
          <w:sz w:val="24"/>
          <w:szCs w:val="24"/>
          <w:lang w:val="en-GB"/>
        </w:rPr>
        <w:t xml:space="preserve">In the same vein, and based on the systematic literature reviewed studies,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{"citationItems":[{"id":"ITEM-1","itemData":{"author":[{"dropping-particle":"","family":"Hassali","given":"M A","non-dropping-particle":"","parse-names":false,"suffix":""},{"dropping-particle":"","family":"Nazir","given":"S R","non-dropping-particle":"","parse-names":false,"suffix":""},{"dropping-particle":"","family":"Saleem","given":"F","non-dropping-particle":"","parse-names":false,"suffix":""},{"dropping-particle":"","family":"Masood","given":"I","non-dropping-particle":"","parse-names":false,"suffix":""}],"container-title":"Alternative Therapies in Health and Medicine","id":"ITEM-1","issue":"1","issued":{"date-parts":[["2015"]]},"note":"Cited By :6\n\nExport Date: 26 September 2019","page":"28-35","title":"Literature review: Pharmacists’ interventions to improve control and management in type 2 diabetes mellitus","type":"article-journal","volume":"21"},"uris":["http://www.mendeley.com/documents/?uuid=1f19d666-91f7-49d5-a7c5-d80fdd9f6d99"]}],"mendeley":{"formattedCitation":"(Hassali &lt;i&gt;et al.&lt;/i&gt;, 2015)","manualFormatting":"Hassali et al. (2015)","plainTextFormattedCitation":"(Hassali et al., 2015)","previouslyFormattedCitation":"(Hassali &lt;i&gt;et al.&lt;/i&gt;, 2015)"},"properties":{"noteIndex":0},"schema":"https://github.com/citation-style-language/schema/raw/master/csl-citation.json"}</w:instrText>
      </w:r>
      <w:r>
        <w:rPr>
          <w:rFonts w:ascii="Arial" w:hAnsi="Arial" w:cs="Arial"/>
          <w:sz w:val="24"/>
          <w:szCs w:val="24"/>
          <w:lang w:val="en-GB"/>
        </w:rPr>
        <w:fldChar w:fldCharType="separate"/>
      </w:r>
      <w:r w:rsidRPr="006A6EEA">
        <w:rPr>
          <w:rFonts w:ascii="Arial" w:hAnsi="Arial" w:cs="Arial"/>
          <w:noProof/>
          <w:sz w:val="24"/>
          <w:szCs w:val="24"/>
          <w:lang w:val="en-GB"/>
        </w:rPr>
        <w:t xml:space="preserve">Hassali </w:t>
      </w:r>
      <w:r w:rsidRPr="006A6EEA">
        <w:rPr>
          <w:rFonts w:ascii="Arial" w:hAnsi="Arial" w:cs="Arial"/>
          <w:i/>
          <w:noProof/>
          <w:sz w:val="24"/>
          <w:szCs w:val="24"/>
          <w:lang w:val="en-GB"/>
        </w:rPr>
        <w:t>et al.</w:t>
      </w:r>
      <w:r w:rsidRPr="006A6EEA">
        <w:rPr>
          <w:rFonts w:ascii="Arial" w:hAnsi="Arial" w:cs="Arial"/>
          <w:noProof/>
          <w:sz w:val="24"/>
          <w:szCs w:val="24"/>
          <w:lang w:val="en-GB"/>
        </w:rPr>
        <w:t xml:space="preserve"> </w:t>
      </w:r>
      <w:r>
        <w:rPr>
          <w:rFonts w:ascii="Arial" w:hAnsi="Arial" w:cs="Arial"/>
          <w:noProof/>
          <w:sz w:val="24"/>
          <w:szCs w:val="24"/>
          <w:lang w:val="en-GB"/>
        </w:rPr>
        <w:t>(</w:t>
      </w:r>
      <w:r w:rsidRPr="006A6EEA">
        <w:rPr>
          <w:rFonts w:ascii="Arial" w:hAnsi="Arial" w:cs="Arial"/>
          <w:noProof/>
          <w:sz w:val="24"/>
          <w:szCs w:val="24"/>
          <w:lang w:val="en-GB"/>
        </w:rPr>
        <w:t>2015)</w:t>
      </w:r>
      <w:r>
        <w:rPr>
          <w:rFonts w:ascii="Arial" w:hAnsi="Arial" w:cs="Arial"/>
          <w:sz w:val="24"/>
          <w:szCs w:val="24"/>
          <w:lang w:val="en-GB"/>
        </w:rPr>
        <w:fldChar w:fldCharType="end"/>
      </w:r>
      <w:r w:rsidRPr="006B2FC7">
        <w:rPr>
          <w:rFonts w:ascii="Arial" w:hAnsi="Arial" w:cs="Arial"/>
          <w:sz w:val="24"/>
          <w:szCs w:val="24"/>
          <w:lang w:val="en-GB"/>
        </w:rPr>
        <w:t xml:space="preserve"> concluded that pharmacists can significantly improve patients’ satisfaction and their QoL. </w:t>
      </w:r>
      <w:r w:rsidRPr="006B2FC7">
        <w:rPr>
          <w:rFonts w:ascii="Arial" w:eastAsia="Times New Roman" w:hAnsi="Arial" w:cs="Arial"/>
          <w:sz w:val="24"/>
          <w:szCs w:val="24"/>
          <w:lang w:val="en-GB"/>
        </w:rPr>
        <w:t xml:space="preserve">Likewise, a </w:t>
      </w:r>
      <w:r w:rsidRPr="006B2FC7">
        <w:rPr>
          <w:rFonts w:ascii="Arial" w:hAnsi="Arial" w:cs="Arial"/>
          <w:sz w:val="24"/>
          <w:szCs w:val="24"/>
          <w:lang w:val="en-GB"/>
        </w:rPr>
        <w:t xml:space="preserve">systematic review of RCT by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{"citationItems":[{"id":"ITEM-1","itemData":{"DOI":"https://dx.doi.org/10.18553/jmcp.2016.22.5.493","ISSN":"2376-1032","PMID":"27123912","abstract":"BACKGROUND: Diabetes mellitus is a major health problem that is growing rapidly worldwide. A collaborative and integrated team approach in which pharmacists can play a pivotal role should be sought when managing patients with diabetes., OBJECTIVE: To identify and summarize the main outcomes of pharmacist interventions in the management of type 2 diabetes., METHODS: PubMed, Cochrane Central Register of Controlled Trials, and Web of Science were searched for randomized controlled trials evaluating the effectiveness of any pharmacist intervention directed at patients with type 2 diabetes in comparison with usual care. Outcome measures of interest included glycosylated hemoglobin (Alc), blood glucose, blood pressure, lipid profile, body mass index (BMI), 10-year coronary heart disease (CHD) risk, medication adherence, health-related quality of life (HRQoL), and economic outcomes. The risk of bias in included studies was assessed using the Cochrane risk of bias tool., RESULTS: Thirty-six studies were included in this systematic review, involving 5,761 participants. The studies evaluated the effects of several pharmacist interventions carried out in various countries and in different health care facilities, such as community pharmacies, primary care clinics, and hospitals. The number of studies reporting each outcome of interest varied. Alc was evaluated in 26 studies, of which 24 reported a greater reduction in this outcome in the intervention group compared with the control group, with the difference in change between groups ranging from -0.18% to -2.1%. Eighteen studies assessed change in systolic blood pressure, of which 17 studies reported a greater improvement in this outcome in the intervention group, with the difference in change between groups varying between -3.3 mmHg and -23.05 mmHg. For diastolic blood pressure, a greater effect was also observed in the intervention group in 14 out of 15 studies, with the difference in change between groups varying between -0.21 mmHg and -9.1 mmHg. Thirteen studies described total cholesterol as an outcome measure, of which 10 reported a greater improvement in this outcome in the intervention group, with the difference in change between groups ranging from +18.95 mg dL(-1) to -32.48 mg dL(-1). With regard to low-density lipoprotein cholesterol, a greater reduction in this parameter in the intervention group was documented in 12 out of 15 studies, with the difference in change between groups varying between +7.35 m…","author":[{"dropping-particle":"","family":"Pousinho","given":"Sarah","non-dropping-particle":"","parse-names":false,"suffix":""},{"dropping-particle":"","family":"Morgado","given":"Manuel","non-dropping-particle":"","parse-names":false,"suffix":""},{"dropping-particle":"","family":"Falcão","given":"Amílcar","non-dropping-particle":"","parse-names":false,"suffix":""},{"dropping-particle":"","family":"Alves","given":"Gilberto","non-dropping-particle":"","parse-names":false,"suffix":""},{"dropping-particle":"","family":"Falcao","given":"Amilcar","non-dropping-particle":"","parse-names":false,"suffix":""},{"dropping-particle":"","family":"Alves","given":"Gilberto","non-dropping-particle":"","parse-names":false,"suffix":""}],"container-title":"Journal of managed care &amp; specialty pharmacy","id":"ITEM-1","issue":"5","issued":{"date-parts":[["2016","5","1"]]},"page":"493-515","publisher":"Academy of Managed Care Pharmacy (AMCP)","publisher-place":"United States","title":"Pharmacist Interventions in the Management of Type 2 Diabetes Mellitus: A Systematic Review of Randomized Controlled Trials.","type":"article-journal","volume":"22"},"uris":["http://www.mendeley.com/documents/?uuid=5ba65295-ecb5-4236-9c6c-4d2012560a2c"]}],"mendeley":{"formattedCitation":"(Pousinho &lt;i&gt;et al.&lt;/i&gt;, 2016)","manualFormatting":"Pousinho et al. (2016)","plainTextFormattedCitation":"(Pousinho et al., 2016)","previouslyFormattedCitation":"(Pousinho &lt;i&gt;et al.&lt;/i&gt;, 2016)"},"properties":{"noteIndex":0},"schema":"https://github.com/citation-style-language/schema/raw/master/csl-citation.json"}</w:instrText>
      </w:r>
      <w:r>
        <w:rPr>
          <w:rFonts w:ascii="Arial" w:hAnsi="Arial" w:cs="Arial"/>
          <w:sz w:val="24"/>
          <w:szCs w:val="24"/>
          <w:lang w:val="en-GB"/>
        </w:rPr>
        <w:fldChar w:fldCharType="separate"/>
      </w:r>
      <w:r w:rsidRPr="006A6EEA">
        <w:rPr>
          <w:rFonts w:ascii="Arial" w:hAnsi="Arial" w:cs="Arial"/>
          <w:noProof/>
          <w:sz w:val="24"/>
          <w:szCs w:val="24"/>
          <w:lang w:val="en-GB"/>
        </w:rPr>
        <w:t xml:space="preserve">Pousinho </w:t>
      </w:r>
      <w:r w:rsidRPr="006A6EEA">
        <w:rPr>
          <w:rFonts w:ascii="Arial" w:hAnsi="Arial" w:cs="Arial"/>
          <w:i/>
          <w:noProof/>
          <w:sz w:val="24"/>
          <w:szCs w:val="24"/>
          <w:lang w:val="en-GB"/>
        </w:rPr>
        <w:t>et al.</w:t>
      </w:r>
      <w:r w:rsidRPr="006A6EEA">
        <w:rPr>
          <w:rFonts w:ascii="Arial" w:hAnsi="Arial" w:cs="Arial"/>
          <w:noProof/>
          <w:sz w:val="24"/>
          <w:szCs w:val="24"/>
          <w:lang w:val="en-GB"/>
        </w:rPr>
        <w:t xml:space="preserve"> </w:t>
      </w:r>
      <w:r>
        <w:rPr>
          <w:rFonts w:ascii="Arial" w:hAnsi="Arial" w:cs="Arial"/>
          <w:noProof/>
          <w:sz w:val="24"/>
          <w:szCs w:val="24"/>
          <w:lang w:val="en-GB"/>
        </w:rPr>
        <w:t>(</w:t>
      </w:r>
      <w:r w:rsidRPr="006A6EEA">
        <w:rPr>
          <w:rFonts w:ascii="Arial" w:hAnsi="Arial" w:cs="Arial"/>
          <w:noProof/>
          <w:sz w:val="24"/>
          <w:szCs w:val="24"/>
          <w:lang w:val="en-GB"/>
        </w:rPr>
        <w:t>2016)</w:t>
      </w:r>
      <w:r>
        <w:rPr>
          <w:rFonts w:ascii="Arial" w:hAnsi="Arial" w:cs="Arial"/>
          <w:sz w:val="24"/>
          <w:szCs w:val="24"/>
          <w:lang w:val="en-GB"/>
        </w:rPr>
        <w:fldChar w:fldCharType="end"/>
      </w:r>
      <w:r>
        <w:rPr>
          <w:rFonts w:ascii="Arial" w:hAnsi="Arial" w:cs="Arial"/>
          <w:noProof/>
          <w:sz w:val="24"/>
          <w:szCs w:val="24"/>
          <w:lang w:val="en-GB"/>
        </w:rPr>
        <w:t xml:space="preserve"> </w:t>
      </w:r>
      <w:r w:rsidRPr="006B2FC7">
        <w:rPr>
          <w:rFonts w:ascii="Arial" w:hAnsi="Arial" w:cs="Arial"/>
          <w:noProof/>
          <w:sz w:val="24"/>
          <w:szCs w:val="24"/>
          <w:lang w:val="en-GB"/>
        </w:rPr>
        <w:t>show</w:t>
      </w:r>
      <w:r w:rsidRPr="006B2FC7">
        <w:rPr>
          <w:rFonts w:ascii="Arial" w:hAnsi="Arial" w:cs="Arial"/>
          <w:sz w:val="24"/>
          <w:szCs w:val="24"/>
          <w:lang w:val="en-GB"/>
        </w:rPr>
        <w:t xml:space="preserve">ed that, in the majority of cases, there had been an improvement in health related QoL among patients in the pharmacist’s intervention group.  </w:t>
      </w:r>
    </w:p>
    <w:p w14:paraId="61AD192C" w14:textId="6563B556" w:rsidR="00941883" w:rsidRPr="0003056F" w:rsidRDefault="00941883" w:rsidP="00941883">
      <w:pPr>
        <w:autoSpaceDE w:val="0"/>
        <w:autoSpaceDN w:val="0"/>
        <w:adjustRightInd w:val="0"/>
        <w:spacing w:line="360" w:lineRule="auto"/>
        <w:jc w:val="both"/>
        <w:rPr>
          <w:rFonts w:ascii="Arial" w:hAnsi="Arial" w:cs="Arial"/>
          <w:sz w:val="24"/>
          <w:szCs w:val="24"/>
          <w:lang w:val="en-GB"/>
        </w:rPr>
      </w:pPr>
      <w:r w:rsidRPr="0003056F">
        <w:rPr>
          <w:rFonts w:ascii="Arial" w:hAnsi="Arial" w:cs="Arial"/>
          <w:sz w:val="24"/>
          <w:szCs w:val="24"/>
          <w:lang w:val="en-GB"/>
        </w:rPr>
        <w:t>The QoL of T2D patients was also positively impacted by pharmacist's counselling intervention</w:t>
      </w:r>
      <w:r w:rsidR="00C95731" w:rsidRPr="0003056F">
        <w:rPr>
          <w:rFonts w:ascii="Arial" w:hAnsi="Arial" w:cs="Arial"/>
          <w:sz w:val="24"/>
          <w:szCs w:val="24"/>
          <w:lang w:val="en-GB"/>
        </w:rPr>
        <w:t>s</w:t>
      </w:r>
      <w:r w:rsidRPr="0003056F">
        <w:rPr>
          <w:rFonts w:ascii="Arial" w:hAnsi="Arial" w:cs="Arial"/>
          <w:sz w:val="24"/>
          <w:szCs w:val="24"/>
          <w:lang w:val="en-GB"/>
        </w:rPr>
        <w:t xml:space="preserve">. According to an RCT study conducted in Indonesia (Fajriansyah et al., 2020), </w:t>
      </w:r>
      <w:r w:rsidR="00C95731" w:rsidRPr="0003056F">
        <w:rPr>
          <w:rFonts w:ascii="Arial" w:hAnsi="Arial" w:cs="Arial"/>
          <w:sz w:val="24"/>
          <w:szCs w:val="24"/>
          <w:lang w:val="en-GB"/>
        </w:rPr>
        <w:t>a</w:t>
      </w:r>
      <w:r w:rsidRPr="0003056F">
        <w:rPr>
          <w:rFonts w:ascii="Arial" w:hAnsi="Arial" w:cs="Arial"/>
          <w:sz w:val="24"/>
          <w:szCs w:val="24"/>
          <w:lang w:val="en-GB"/>
        </w:rPr>
        <w:t xml:space="preserve"> pharmacist counselling intervention significantly enhanced </w:t>
      </w:r>
      <w:r w:rsidR="00983C27" w:rsidRPr="0003056F">
        <w:rPr>
          <w:rFonts w:ascii="Arial" w:hAnsi="Arial" w:cs="Arial"/>
          <w:sz w:val="24"/>
          <w:szCs w:val="24"/>
          <w:lang w:val="en-GB"/>
        </w:rPr>
        <w:t>health related</w:t>
      </w:r>
      <w:r w:rsidRPr="0003056F">
        <w:rPr>
          <w:rFonts w:ascii="Arial" w:hAnsi="Arial" w:cs="Arial"/>
          <w:sz w:val="24"/>
          <w:szCs w:val="24"/>
          <w:lang w:val="en-GB"/>
        </w:rPr>
        <w:t xml:space="preserve"> QoL. At six months, patients in the pharmacist's intervention group had significantly better total QoL than those in the control group. The self-care of the patients who received the intervention significantly improved. Moreover, the intervention group also showed improvements in the mobility, pain, and discomfort aspects. Along with the mobility dimensions, the intervention group also showed improvements in the anxiety and depression dimensions </w:t>
      </w:r>
      <w:r w:rsidRPr="00876389">
        <w:rPr>
          <w:rFonts w:ascii="Arial" w:hAnsi="Arial" w:cs="Arial"/>
          <w:sz w:val="24"/>
          <w:szCs w:val="24"/>
          <w:lang w:val="en-GB"/>
        </w:rPr>
        <w:fldChar w:fldCharType="begin" w:fldLock="1"/>
      </w:r>
      <w:r w:rsidRPr="0003056F">
        <w:rPr>
          <w:rFonts w:ascii="Arial" w:hAnsi="Arial" w:cs="Arial"/>
          <w:sz w:val="24"/>
          <w:szCs w:val="24"/>
          <w:lang w:val="en-GB"/>
        </w:rPr>
        <w:instrText>ADDIN CSL_CITATION {"citationItems":[{"id":"ITEM-1","itemData":{"DOI":"10.1007/s40200-020-00528-x","ISSN":"22516581","abstract":"Purpose: The quality of life (QoL) of patients with type 2 diabetes mellitus (T2DM) is a measure of the successful outcomes of therapy. The program of management of chronic diseases “Program Pengelolaan Penyakit Kronis” (Prolanis) among patients with hypertension and T2DM is a new strategy of the Badan Penyelenggara Jaminan Sosial (BPJS), which is the Indonesian national health insurance system. Here, we analyzed the impact of pharmacist counseling interventions on health-related QoL (HRQoL) in Prolanis T2DM patients. Methods: This cluster randomized controlled trial was designed to include two groups [control (n = 111) and intervention (n = 109) groups], and pre- and post-test procedures. The participants were Prolanis T2DM patients who attended four primary health-care centers (Puskesmas) in Makassar City, South Sulawesi, Indonesia from August 2017 to August 2018. The intervention group received systematic counseling for 6 months. The data were collected using the Bahasa Indonesia version of the European Quality of Life 5 Dimensions 5 Levels (EQ-5D-5 L) questionnaire and were analyzed using EQ-5D preference weight for each health state with the Indonesian EQ-5D-5 L value Set. Furthermore, the EQ-5D index and the EQ-5D VAS score were calculated and HbA1c levels were assessed. Results: The change in the EQ-5D-5 L index score (post-pre) was 0.01 in the control group and 0.04 in the intervention group (P = 0.041). The change in the VAS score was −0.07in the control group (post-pre) and 2.66 in the intervention group (P = 0.000). Conclusion: Pharmacist counseling may help improve the HRQoL of Prolanis T2DM patients.","author":[{"dropping-particle":"","family":"Fajriansyah","given":"","non-dropping-particle":"","parse-names":false,"suffix":""},{"dropping-particle":"","family":"Iskandarsyah","given":"Aulia","non-dropping-particle":"","parse-names":false,"suffix":""},{"dropping-particle":"","family":"Puspitasari","given":"Irma M.","non-dropping-particle":"","parse-names":false,"suffix":""},{"dropping-particle":"","family":"Lestari","given":"Keri","non-dropping-particle":"","parse-names":false,"suffix":""}],"container-title":"Journal of Diabetes and Metabolic Disorders","id":"ITEM-1","issue":"2","issued":{"date-parts":[["2020"]]},"page":"675-682","publisher":"Journal of Diabetes &amp; Metabolic Disorders","title":"Impact of pharmacist counseling on health-related quality of life of patients with type 2 diabetes mellitus: a cluster randomized controlled study","type":"article-journal","volume":"19"},"uris":["http://www.mendeley.com/documents/?uuid=98aa4f3c-47e4-4678-942c-45b754477b3f"]}],"mendeley":{"formattedCitation":"(Fajriansyah &lt;i&gt;et al.&lt;/i&gt;, 2020)","plainTextFormattedCitation":"(Fajriansyah et al., 2020)","previouslyFormattedCitation":"(Fajriansyah &lt;i&gt;et al.&lt;/i&gt;, 2020)"},"properties":{"noteIndex":0},"schema":"https://github.com/citation-style-language/schema/raw/master/csl-citation.json"}</w:instrText>
      </w:r>
      <w:r w:rsidRPr="00876389">
        <w:rPr>
          <w:rFonts w:ascii="Arial" w:hAnsi="Arial" w:cs="Arial"/>
          <w:sz w:val="24"/>
          <w:szCs w:val="24"/>
          <w:lang w:val="en-GB"/>
        </w:rPr>
        <w:fldChar w:fldCharType="separate"/>
      </w:r>
      <w:r w:rsidRPr="0003056F">
        <w:rPr>
          <w:rFonts w:ascii="Arial" w:hAnsi="Arial" w:cs="Arial"/>
          <w:noProof/>
          <w:sz w:val="24"/>
          <w:szCs w:val="24"/>
          <w:lang w:val="en-GB"/>
        </w:rPr>
        <w:t xml:space="preserve">(Fajriansyah </w:t>
      </w:r>
      <w:r w:rsidRPr="0003056F">
        <w:rPr>
          <w:rFonts w:ascii="Arial" w:hAnsi="Arial" w:cs="Arial"/>
          <w:i/>
          <w:noProof/>
          <w:sz w:val="24"/>
          <w:szCs w:val="24"/>
          <w:lang w:val="en-GB"/>
        </w:rPr>
        <w:t>et al.</w:t>
      </w:r>
      <w:r w:rsidRPr="0003056F">
        <w:rPr>
          <w:rFonts w:ascii="Arial" w:hAnsi="Arial" w:cs="Arial"/>
          <w:noProof/>
          <w:sz w:val="24"/>
          <w:szCs w:val="24"/>
          <w:lang w:val="en-GB"/>
        </w:rPr>
        <w:t>, 2020)</w:t>
      </w:r>
      <w:r w:rsidRPr="00876389">
        <w:rPr>
          <w:rFonts w:ascii="Arial" w:hAnsi="Arial" w:cs="Arial"/>
          <w:sz w:val="24"/>
          <w:szCs w:val="24"/>
          <w:lang w:val="en-GB"/>
        </w:rPr>
        <w:fldChar w:fldCharType="end"/>
      </w:r>
      <w:r w:rsidRPr="0003056F">
        <w:rPr>
          <w:rFonts w:ascii="Arial" w:hAnsi="Arial" w:cs="Arial"/>
          <w:sz w:val="24"/>
          <w:szCs w:val="24"/>
          <w:lang w:val="en-GB"/>
        </w:rPr>
        <w:t xml:space="preserve">. </w:t>
      </w:r>
    </w:p>
    <w:p w14:paraId="48AB9AAE" w14:textId="516C2C5F" w:rsidR="00941883" w:rsidRDefault="00941883" w:rsidP="00941883">
      <w:pPr>
        <w:autoSpaceDE w:val="0"/>
        <w:autoSpaceDN w:val="0"/>
        <w:adjustRightInd w:val="0"/>
        <w:spacing w:line="360" w:lineRule="auto"/>
        <w:jc w:val="both"/>
        <w:rPr>
          <w:rFonts w:ascii="Arial" w:hAnsi="Arial" w:cs="Arial"/>
          <w:sz w:val="24"/>
          <w:szCs w:val="24"/>
          <w:lang w:val="en-GB"/>
        </w:rPr>
      </w:pPr>
      <w:r w:rsidRPr="0003056F">
        <w:rPr>
          <w:rFonts w:ascii="Arial" w:hAnsi="Arial" w:cs="Arial"/>
          <w:sz w:val="24"/>
          <w:szCs w:val="24"/>
          <w:lang w:val="en-GB"/>
        </w:rPr>
        <w:t>However, inconclusive results were found in the systematic review and meta-analysis of Albakal et al</w:t>
      </w:r>
      <w:r w:rsidR="00C95731" w:rsidRPr="0003056F">
        <w:rPr>
          <w:rFonts w:ascii="Arial" w:hAnsi="Arial" w:cs="Arial"/>
          <w:sz w:val="24"/>
          <w:szCs w:val="24"/>
          <w:lang w:val="en-GB"/>
        </w:rPr>
        <w:t xml:space="preserve"> (2021)</w:t>
      </w:r>
      <w:r w:rsidRPr="0003056F">
        <w:rPr>
          <w:rFonts w:ascii="Arial" w:hAnsi="Arial" w:cs="Arial"/>
          <w:sz w:val="24"/>
          <w:szCs w:val="24"/>
          <w:lang w:val="en-GB"/>
        </w:rPr>
        <w:t xml:space="preserve">. </w:t>
      </w:r>
      <w:r w:rsidR="00C95731" w:rsidRPr="0003056F">
        <w:rPr>
          <w:rFonts w:ascii="Arial" w:hAnsi="Arial" w:cs="Arial"/>
          <w:sz w:val="24"/>
          <w:szCs w:val="24"/>
          <w:lang w:val="en-GB"/>
        </w:rPr>
        <w:t>H</w:t>
      </w:r>
      <w:r w:rsidRPr="0003056F">
        <w:rPr>
          <w:rFonts w:ascii="Arial" w:hAnsi="Arial" w:cs="Arial"/>
          <w:sz w:val="24"/>
          <w:szCs w:val="24"/>
          <w:lang w:val="en-GB"/>
        </w:rPr>
        <w:t xml:space="preserve">ealth related QoL was reviewed in three studies </w:t>
      </w:r>
      <w:r w:rsidR="00C95731" w:rsidRPr="0003056F">
        <w:rPr>
          <w:rFonts w:ascii="Arial" w:hAnsi="Arial" w:cs="Arial"/>
          <w:sz w:val="24"/>
          <w:szCs w:val="24"/>
          <w:lang w:val="en-GB"/>
        </w:rPr>
        <w:t xml:space="preserve">and </w:t>
      </w:r>
      <w:r w:rsidRPr="0003056F">
        <w:rPr>
          <w:rFonts w:ascii="Arial" w:hAnsi="Arial" w:cs="Arial"/>
          <w:sz w:val="24"/>
          <w:szCs w:val="24"/>
          <w:lang w:val="en-GB"/>
        </w:rPr>
        <w:t>no difference</w:t>
      </w:r>
      <w:r w:rsidR="00C95731" w:rsidRPr="0003056F">
        <w:rPr>
          <w:rFonts w:ascii="Arial" w:hAnsi="Arial" w:cs="Arial"/>
          <w:sz w:val="24"/>
          <w:szCs w:val="24"/>
          <w:lang w:val="en-GB"/>
        </w:rPr>
        <w:t>s</w:t>
      </w:r>
      <w:r w:rsidRPr="0003056F">
        <w:rPr>
          <w:rFonts w:ascii="Arial" w:hAnsi="Arial" w:cs="Arial"/>
          <w:sz w:val="24"/>
          <w:szCs w:val="24"/>
          <w:lang w:val="en-GB"/>
        </w:rPr>
        <w:t xml:space="preserve"> between the two groups (pharmacists and control) </w:t>
      </w:r>
      <w:r w:rsidR="00C95731" w:rsidRPr="0003056F">
        <w:rPr>
          <w:rFonts w:ascii="Arial" w:hAnsi="Arial" w:cs="Arial"/>
          <w:sz w:val="24"/>
          <w:szCs w:val="24"/>
          <w:lang w:val="en-GB"/>
        </w:rPr>
        <w:t xml:space="preserve">were identified </w:t>
      </w:r>
      <w:r w:rsidRPr="0003056F">
        <w:rPr>
          <w:rFonts w:ascii="Arial" w:hAnsi="Arial" w:cs="Arial"/>
          <w:sz w:val="24"/>
          <w:szCs w:val="24"/>
          <w:lang w:val="en-GB"/>
        </w:rPr>
        <w:t>in two studies</w:t>
      </w:r>
      <w:r w:rsidR="00C95731" w:rsidRPr="0003056F">
        <w:rPr>
          <w:rFonts w:ascii="Arial" w:hAnsi="Arial" w:cs="Arial"/>
          <w:sz w:val="24"/>
          <w:szCs w:val="24"/>
          <w:lang w:val="en-GB"/>
        </w:rPr>
        <w:t xml:space="preserve"> but </w:t>
      </w:r>
      <w:r w:rsidR="00B96342" w:rsidRPr="0003056F">
        <w:rPr>
          <w:rFonts w:ascii="Arial" w:hAnsi="Arial" w:cs="Arial"/>
          <w:sz w:val="24"/>
          <w:szCs w:val="24"/>
          <w:lang w:val="en-GB"/>
        </w:rPr>
        <w:t xml:space="preserve">the </w:t>
      </w:r>
      <w:r w:rsidRPr="0003056F">
        <w:rPr>
          <w:rFonts w:ascii="Arial" w:hAnsi="Arial" w:cs="Arial"/>
          <w:sz w:val="24"/>
          <w:szCs w:val="24"/>
          <w:lang w:val="en-GB"/>
        </w:rPr>
        <w:t xml:space="preserve"> third reported an improvement in health-related quality scores among patients in the pharmacist intervention group, while those in the control group remained unchanged</w:t>
      </w:r>
      <w:r w:rsidRPr="00F85F1B">
        <w:rPr>
          <w:rFonts w:ascii="Arial" w:hAnsi="Arial" w:cs="Arial"/>
          <w:sz w:val="24"/>
          <w:szCs w:val="24"/>
          <w:lang w:val="en-GB"/>
        </w:rPr>
        <w:t xml:space="preserv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from pharmacist intervention compared with those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2021)","plainTextFormattedCitation":"(Alabkal et al., 2021)","previouslyFormattedCitation":"(Alabkal &lt;i&gt;et al.&lt;/i&gt;, 2021)"},"properties":{"noteIndex":0},"schema":"https://github.com/citation-style-language/schema/raw/master/csl-citation.json"}</w:instrText>
      </w:r>
      <w:r>
        <w:rPr>
          <w:rFonts w:ascii="Arial" w:hAnsi="Arial" w:cs="Arial"/>
          <w:sz w:val="24"/>
          <w:szCs w:val="24"/>
          <w:lang w:val="en-GB"/>
        </w:rPr>
        <w:fldChar w:fldCharType="separate"/>
      </w:r>
      <w:r w:rsidRPr="001F5043">
        <w:rPr>
          <w:rFonts w:ascii="Arial" w:hAnsi="Arial" w:cs="Arial"/>
          <w:noProof/>
          <w:sz w:val="24"/>
          <w:szCs w:val="24"/>
          <w:lang w:val="en-GB"/>
        </w:rPr>
        <w:t xml:space="preserve">(Alabkal </w:t>
      </w:r>
      <w:r w:rsidRPr="001F5043">
        <w:rPr>
          <w:rFonts w:ascii="Arial" w:hAnsi="Arial" w:cs="Arial"/>
          <w:i/>
          <w:noProof/>
          <w:sz w:val="24"/>
          <w:szCs w:val="24"/>
          <w:lang w:val="en-GB"/>
        </w:rPr>
        <w:t>et al.</w:t>
      </w:r>
      <w:r w:rsidRPr="001F5043">
        <w:rPr>
          <w:rFonts w:ascii="Arial" w:hAnsi="Arial" w:cs="Arial"/>
          <w:noProof/>
          <w:sz w:val="24"/>
          <w:szCs w:val="24"/>
          <w:lang w:val="en-GB"/>
        </w:rPr>
        <w:t>, 2021)</w:t>
      </w:r>
      <w:r>
        <w:rPr>
          <w:rFonts w:ascii="Arial" w:hAnsi="Arial" w:cs="Arial"/>
          <w:sz w:val="24"/>
          <w:szCs w:val="24"/>
          <w:lang w:val="en-GB"/>
        </w:rPr>
        <w:fldChar w:fldCharType="end"/>
      </w:r>
      <w:r w:rsidR="002D1C60">
        <w:rPr>
          <w:rFonts w:ascii="Arial" w:hAnsi="Arial" w:cs="Arial"/>
          <w:sz w:val="24"/>
          <w:szCs w:val="24"/>
          <w:lang w:val="en-GB"/>
        </w:rPr>
        <w:t>.</w:t>
      </w:r>
    </w:p>
    <w:p w14:paraId="0C4DDADA" w14:textId="06E8913A" w:rsidR="004B32E5" w:rsidRDefault="00223CE5" w:rsidP="00D854B5">
      <w:pPr>
        <w:autoSpaceDE w:val="0"/>
        <w:autoSpaceDN w:val="0"/>
        <w:adjustRightInd w:val="0"/>
        <w:spacing w:line="360" w:lineRule="auto"/>
        <w:jc w:val="both"/>
        <w:rPr>
          <w:rFonts w:ascii="Arial" w:hAnsi="Arial" w:cs="Arial"/>
          <w:sz w:val="24"/>
          <w:szCs w:val="24"/>
          <w:lang w:val="en-GB"/>
        </w:rPr>
      </w:pPr>
      <w:r w:rsidRPr="006B2FC7">
        <w:rPr>
          <w:rFonts w:ascii="Arial" w:eastAsia="Times New Roman" w:hAnsi="Arial" w:cs="Arial"/>
          <w:sz w:val="24"/>
          <w:szCs w:val="24"/>
          <w:lang w:val="en-GB"/>
        </w:rPr>
        <w:t xml:space="preserve">Considering that all of the evidence included in this </w:t>
      </w:r>
      <w:r w:rsidR="00464FB6">
        <w:rPr>
          <w:rFonts w:ascii="Arial" w:eastAsia="Times New Roman" w:hAnsi="Arial" w:cs="Arial"/>
          <w:sz w:val="24"/>
          <w:szCs w:val="24"/>
          <w:lang w:val="en-GB"/>
        </w:rPr>
        <w:t xml:space="preserve">review regarding </w:t>
      </w:r>
      <w:r w:rsidR="008E3E51">
        <w:rPr>
          <w:rFonts w:ascii="Arial" w:eastAsia="Times New Roman" w:hAnsi="Arial" w:cs="Arial"/>
          <w:sz w:val="24"/>
          <w:szCs w:val="24"/>
          <w:lang w:val="en-GB"/>
        </w:rPr>
        <w:t>impacts of pharmacists intervention in diabetes management</w:t>
      </w:r>
      <w:r w:rsidRPr="006B2FC7">
        <w:rPr>
          <w:rFonts w:ascii="Arial" w:eastAsia="Times New Roman" w:hAnsi="Arial" w:cs="Arial"/>
          <w:sz w:val="24"/>
          <w:szCs w:val="24"/>
          <w:lang w:val="en-GB"/>
        </w:rPr>
        <w:t>, it appears that engaging pharmacists in a DM care team has favourable effects on clinical, economic, and to some extent on humanistic outcomes</w:t>
      </w:r>
      <w:r>
        <w:rPr>
          <w:rFonts w:ascii="Arial" w:eastAsia="Times New Roman" w:hAnsi="Arial" w:cs="Arial"/>
          <w:sz w:val="24"/>
          <w:szCs w:val="24"/>
          <w:lang w:val="en-GB"/>
        </w:rPr>
        <w:t>.</w:t>
      </w:r>
    </w:p>
    <w:p w14:paraId="058B9549" w14:textId="77777777" w:rsidR="00CD3ED7" w:rsidRDefault="00CD3ED7" w:rsidP="00941883">
      <w:pPr>
        <w:autoSpaceDE w:val="0"/>
        <w:autoSpaceDN w:val="0"/>
        <w:adjustRightInd w:val="0"/>
        <w:spacing w:line="360" w:lineRule="auto"/>
        <w:jc w:val="both"/>
        <w:rPr>
          <w:rFonts w:ascii="Arial" w:hAnsi="Arial" w:cs="Arial"/>
          <w:sz w:val="24"/>
          <w:szCs w:val="24"/>
          <w:lang w:val="en-GB"/>
        </w:rPr>
      </w:pPr>
    </w:p>
    <w:p w14:paraId="13B2AD4E" w14:textId="77777777" w:rsidR="001D5E6D" w:rsidRPr="00336A51" w:rsidRDefault="001D5E6D" w:rsidP="00336A51">
      <w:pPr>
        <w:pStyle w:val="Heading4"/>
        <w:rPr>
          <w:rFonts w:asciiTheme="minorBidi" w:hAnsiTheme="minorBidi" w:cstheme="minorBidi"/>
          <w:sz w:val="24"/>
          <w:szCs w:val="24"/>
          <w:lang w:val="en-GB"/>
        </w:rPr>
      </w:pPr>
      <w:r w:rsidRPr="00336A51">
        <w:rPr>
          <w:rFonts w:asciiTheme="minorBidi" w:hAnsiTheme="minorBidi" w:cstheme="minorBidi"/>
          <w:sz w:val="24"/>
          <w:szCs w:val="24"/>
          <w:lang w:val="en-GB"/>
        </w:rPr>
        <w:t>2.3.6.2. Global literature: Pharmacist involvement in diabetes management focusing on multidisciplinary teams (MDT)</w:t>
      </w:r>
    </w:p>
    <w:p w14:paraId="25CF9C4C" w14:textId="77777777" w:rsidR="00CD3ED7" w:rsidRPr="002126E0" w:rsidRDefault="00CD3ED7" w:rsidP="00876389">
      <w:pPr>
        <w:autoSpaceDE w:val="0"/>
        <w:autoSpaceDN w:val="0"/>
        <w:adjustRightInd w:val="0"/>
        <w:spacing w:before="240" w:line="360" w:lineRule="auto"/>
        <w:jc w:val="both"/>
        <w:rPr>
          <w:rFonts w:ascii="Arial" w:hAnsi="Arial" w:cs="Arial"/>
          <w:sz w:val="24"/>
          <w:szCs w:val="24"/>
          <w:lang w:val="en"/>
        </w:rPr>
      </w:pPr>
      <w:r w:rsidRPr="002126E0">
        <w:rPr>
          <w:rFonts w:ascii="Arial" w:hAnsi="Arial" w:cs="Arial"/>
          <w:noProof/>
          <w:sz w:val="24"/>
          <w:szCs w:val="24"/>
          <w:lang w:val="en"/>
        </w:rPr>
        <w:t xml:space="preserve">Although pharmacists may manage diabetic patients as safely and effectively as general practitioners do, as shown by several studies (such as </w:t>
      </w:r>
      <w:r w:rsidRPr="002126E0">
        <w:rPr>
          <w:rFonts w:ascii="Arial" w:hAnsi="Arial" w:cs="Arial"/>
          <w:sz w:val="24"/>
          <w:szCs w:val="24"/>
          <w:lang w:val="en"/>
        </w:rPr>
        <w:fldChar w:fldCharType="begin" w:fldLock="1"/>
      </w:r>
      <w:r w:rsidRPr="002126E0">
        <w:rPr>
          <w:rFonts w:ascii="Arial" w:hAnsi="Arial" w:cs="Arial"/>
          <w:sz w:val="24"/>
          <w:szCs w:val="24"/>
          <w:lang w:val="en"/>
        </w:rPr>
        <w:instrText>ADDIN CSL_CITATION {"citationItems":[{"id":"ITEM-1","itemData":{"DOI":"https://dx.doi.org/10.1371/journal.pone.0195898","ISSN":"1932-6203","abstract":"OBJECTIVES: The effectiveness and costs associated with addition of pharmacist-led group medical visits to standard care for patients with Type-2 Diabetes Mellitus (T2DM) is unknown., METHODS: Randomized-controlled-trial in three US Veteran Health Administration (VHA) Hospitals, where 250 patients with T2DM, HbA1c &gt;7% and either hypertension, active smoking or hyperlipidemia were randomized to either (1) addition of pharmacist-led group-medical-visits or (2) standard care alone for 13 months. Group (4-6 patients) visits consisted of 2-hour, education and comprehensive medication management sessions once weekly for 4 weeks, followed by quarterly visits. Change from baseline in cardiovascular risk estimated by the UKPDS-risk-score, health-related quality-of-life (SF36v) and institutional healthcare costs were compared between study arms., RESULTS: After 13 months, both groups had similar and significant improvements from baseline in UKPDS-risk-score (-0.02 +/-0.09 and -0.04 +/-0.09, group visit and standard care respectively, adjusted p&lt;0.05 for both); however, there was no significant difference between the study arms (adjusted p = 0.45). There were no significant differences on improvement from baseline in A1c, systolic-blood-pressure, and LDL as well as health-related quality-of-life measures between the study arms. Compared to 13 months prior, the increase in per-person outpatient expenditure from baseline was significantly lower in the group visit versus the standard care arm, both during the study intervention period and at 13-months after study interventions. The overall VHA healthcare costs/person were comparable between the study arms during the study period (p = 0.15); then decreased by 6% for the group visit but increased by 13% for the standard care arm 13 months post-study (p&lt;0.01)., CONCLUSIONS: Addition of pharmacist-led group medical visits in T2DM achieved similar improvements from baseline in cardiovascular risk factors than usual care, but with reduction in the healthcare costs in the group visit arm 13 months after completion compared to the steady rise in cost for the usual care arm., TRIAL REGISTRATION: NCT00554671 ClinicalTrials.gov.","author":[{"dropping-particle":"","family":"Wu","given":"Wen-Chih","non-dropping-particle":"","parse-names":false,"suffix":""},{"dropping-particle":"","family":"Taveira","given":"Tracey H.","non-dropping-particle":"","parse-names":false,"suffix":""},{"dropping-particle":"","family":"Jeffery","given":"Sean","non-dropping-particle":"","parse-names":false,"suffix":""},{"dropping-particle":"","family":"Jiang","given":"Lan","non-dropping-particle":"","parse-names":false,"suffix":""},{"dropping-particle":"","family":"Tokuda","given":"Lisa","non-dropping-particle":"","parse-names":false,"suffix":""},{"dropping-particle":"","family":"Musial","given":"Joanna","non-dropping-particle":"","parse-names":false,"suffix":""},{"dropping-particle":"","family":"Cohen","given":"Lisa B.","non-dropping-particle":"","parse-names":false,"suffix":""},{"dropping-particle":"","family":"Uhrle","given":"Fred","non-dropping-particle":"","parse-names":false,"suffix":""}],"container-title":"PloS one","editor":[{"dropping-particle":"","family":"Wouwe","given":"Jacobus P.","non-dropping-particle":"van","parse-names":false,"suffix":""}],"id":"ITEM-1","issue":"4","issued":{"date-parts":[["2018","4","19"]]},"page":"e0195898","publisher-place":"United States","title":"Costs and effectiveness of pharmacist-led group medical visits for type-2 diabetes: A multi-center randomized controlled trial.","type":"article-journal","volume":"13"},"uris":["http://www.mendeley.com/documents/?uuid=c252e6de-305e-4908-8843-48a75de5ea72"]}],"mendeley":{"formattedCitation":"(Wu &lt;i&gt;et al.&lt;/i&gt;, 2018)","manualFormatting":"Wu et al. (2018)","plainTextFormattedCitation":"(Wu et al., 2018)","previouslyFormattedCitation":"(Wu &lt;i&gt;et al.&lt;/i&gt;, 2018)"},"properties":{"noteIndex":0},"schema":"https://github.com/citation-style-language/schema/raw/master/csl-citation.json"}</w:instrText>
      </w:r>
      <w:r w:rsidRPr="002126E0">
        <w:rPr>
          <w:rFonts w:ascii="Arial" w:hAnsi="Arial" w:cs="Arial"/>
          <w:sz w:val="24"/>
          <w:szCs w:val="24"/>
          <w:lang w:val="en"/>
        </w:rPr>
        <w:fldChar w:fldCharType="separate"/>
      </w:r>
      <w:r w:rsidRPr="002126E0">
        <w:rPr>
          <w:rFonts w:ascii="Arial" w:hAnsi="Arial" w:cs="Arial"/>
          <w:noProof/>
          <w:sz w:val="24"/>
          <w:szCs w:val="24"/>
          <w:lang w:val="nl-NL"/>
        </w:rPr>
        <w:t xml:space="preserve">Wu </w:t>
      </w:r>
      <w:r w:rsidRPr="002126E0">
        <w:rPr>
          <w:rFonts w:ascii="Arial" w:hAnsi="Arial" w:cs="Arial"/>
          <w:i/>
          <w:noProof/>
          <w:sz w:val="24"/>
          <w:szCs w:val="24"/>
          <w:lang w:val="nl-NL"/>
        </w:rPr>
        <w:t>et al.</w:t>
      </w:r>
      <w:r w:rsidRPr="002126E0">
        <w:rPr>
          <w:rFonts w:ascii="Arial" w:hAnsi="Arial" w:cs="Arial"/>
          <w:noProof/>
          <w:sz w:val="24"/>
          <w:szCs w:val="24"/>
          <w:lang w:val="nl-NL"/>
        </w:rPr>
        <w:t xml:space="preserve"> (2018)</w:t>
      </w:r>
      <w:r w:rsidRPr="002126E0">
        <w:rPr>
          <w:rFonts w:ascii="Arial" w:hAnsi="Arial" w:cs="Arial"/>
          <w:sz w:val="24"/>
          <w:szCs w:val="24"/>
          <w:lang w:val="en"/>
        </w:rPr>
        <w:fldChar w:fldCharType="end"/>
      </w:r>
      <w:r w:rsidRPr="002126E0">
        <w:rPr>
          <w:rFonts w:ascii="Arial" w:hAnsi="Arial" w:cs="Arial"/>
          <w:sz w:val="24"/>
          <w:szCs w:val="24"/>
          <w:lang w:val="nl-NL"/>
        </w:rPr>
        <w:t xml:space="preserve"> </w:t>
      </w:r>
      <w:r w:rsidRPr="002126E0">
        <w:rPr>
          <w:rFonts w:ascii="Arial" w:eastAsia="Times New Roman" w:hAnsi="Arial" w:cs="Arial"/>
          <w:sz w:val="24"/>
          <w:szCs w:val="24"/>
          <w:lang w:val="nl-NL"/>
        </w:rPr>
        <w:t xml:space="preserve">and </w:t>
      </w:r>
      <w:r w:rsidRPr="002126E0">
        <w:rPr>
          <w:rFonts w:ascii="Arial" w:hAnsi="Arial" w:cs="Arial"/>
          <w:sz w:val="24"/>
          <w:szCs w:val="24"/>
          <w:lang w:val="en-GB"/>
        </w:rPr>
        <w:fldChar w:fldCharType="begin" w:fldLock="1"/>
      </w:r>
      <w:r w:rsidRPr="002126E0">
        <w:rPr>
          <w:rFonts w:ascii="Arial" w:hAnsi="Arial" w:cs="Arial"/>
          <w:sz w:val="24"/>
          <w:szCs w:val="24"/>
          <w:lang w:val="en-GB"/>
        </w:rPr>
        <w:instrText>ADDIN CSL_CITATION {"citationItems":[{"id":"ITEM-1","itemData":{"DOI":"10.1177/0897190017710522","ISBN":"0897190017","ISSN":"15311937","abstract":"BACKGROUND: This study analyzed the impact of a pharmacist-managed diabetes clinic on clinical outcomes compared to usual care received from primary care providers (PCPs). This comparison may more definitively demonstrate the value of pharmacist management of chronic disease states., METHODS: Retrospective observational cohort study conducted in patients referred to a pharmacist-managed pharmacotherapy (PT) clinic from July 2009 to October 2014., RESULTS: For the primary outcome, the absolute change in A1c during the usual care phase was +1.53% (95% confidence interval [CI]: 1.10-1.96, P &lt; .0001) versus an absolute change of -1.63% (95% CI: -1.28 to -1.97, P &lt; .0001) in the intervention phase. For secondary outcomes, diabetes-related hospitalizations (10 vs 6, P = .104) and emergency room (ER) visits (27 vs 8, P = .049) decreased in the intervention phase compared to the usual care phase. The rate of diabetes-related interventions made per patient per year in the usual care phase was 2.7 versus 11.1 in the intervention phase ( P &lt; .0001)., CONCLUSION: Patients referred to the PT clinic had worsening blood glucose control prior to referral, and their control improved after referral to the clinic. Furthermore, there was an improvement in all diabetes-related outcomes in the intervention phase compared to the usual care phase.","author":[{"dropping-particle":"","family":"Schultz","given":"Jordan L.","non-dropping-particle":"","parse-names":false,"suffix":""},{"dropping-particle":"","family":"Horner","given":"Kathleen E.","non-dropping-particle":"","parse-names":false,"suffix":""},{"dropping-particle":"","family":"McDanel","given":"Deanna L.","non-dropping-particle":"","parse-names":false,"suffix":""},{"dropping-particle":"","family":"Miller","given":"Michelle L.","non-dropping-particle":"","parse-names":false,"suffix":""},{"dropping-particle":"","family":"Beranek","given":"Randi L.","non-dropping-particle":"","parse-names":false,"suffix":""},{"dropping-particle":"","family":"Jacobsen","given":"Ryan B.","non-dropping-particle":"","parse-names":false,"suffix":""},{"dropping-particle":"","family":"Sly","given":"Nichole J.","non-dropping-particle":"","parse-names":false,"suffix":""},{"dropping-particle":"","family":"Miller","given":"Aaron C.","non-dropping-particle":"","parse-names":false,"suffix":""},{"dropping-particle":"","family":"Mascardo","given":"Lisa A.","non-dropping-particle":"","parse-names":false,"suffix":""}],"container-title":"Journal of Pharmacy Practice","id":"ITEM-1","issue":"3","issued":{"date-parts":[["2018"]]},"page":"268-271","publisher-place":"United States","title":"Comparing Clinical Outcomes of a Pharmacist-Managed Diabetes Clinic to Usual Physician-Based Care","type":"article-journal","volume":"31"},"uris":["http://www.mendeley.com/documents/?uuid=b710020d-9e91-4262-be28-b27767472397"]}],"mendeley":{"formattedCitation":"(Schultz &lt;i&gt;et al.&lt;/i&gt;, 2018)","manualFormatting":"Schultz et al. (2018)","plainTextFormattedCitation":"(Schultz et al., 2018)","previouslyFormattedCitation":"(Schultz &lt;i&gt;et al.&lt;/i&gt;, 2018)"},"properties":{"noteIndex":0},"schema":"https://github.com/citation-style-language/schema/raw/master/csl-citation.json"}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t xml:space="preserve">Schultz </w:t>
      </w:r>
      <w:r w:rsidRPr="002126E0">
        <w:rPr>
          <w:rFonts w:ascii="Arial" w:hAnsi="Arial" w:cs="Arial"/>
          <w:i/>
          <w:noProof/>
          <w:sz w:val="24"/>
          <w:szCs w:val="24"/>
          <w:lang w:val="en-GB"/>
        </w:rPr>
        <w:t>et al.</w:t>
      </w:r>
      <w:r w:rsidRPr="002126E0">
        <w:rPr>
          <w:rFonts w:ascii="Arial" w:hAnsi="Arial" w:cs="Arial"/>
          <w:noProof/>
          <w:sz w:val="24"/>
          <w:szCs w:val="24"/>
          <w:lang w:val="en-GB"/>
        </w:rPr>
        <w:t xml:space="preserve"> (2018)</w:t>
      </w:r>
      <w:r w:rsidRPr="002126E0">
        <w:rPr>
          <w:rFonts w:ascii="Arial" w:hAnsi="Arial" w:cs="Arial"/>
          <w:sz w:val="24"/>
          <w:szCs w:val="24"/>
          <w:lang w:val="en-GB"/>
        </w:rPr>
        <w:fldChar w:fldCharType="end"/>
      </w:r>
      <w:r w:rsidRPr="002126E0">
        <w:rPr>
          <w:rFonts w:ascii="Arial" w:hAnsi="Arial" w:cs="Arial"/>
          <w:noProof/>
          <w:sz w:val="24"/>
          <w:szCs w:val="24"/>
          <w:lang w:val="nl-NL"/>
        </w:rPr>
        <w:t xml:space="preserve">); </w:t>
      </w:r>
      <w:r w:rsidRPr="002126E0">
        <w:rPr>
          <w:rFonts w:ascii="Arial" w:hAnsi="Arial" w:cs="Arial"/>
          <w:sz w:val="24"/>
          <w:szCs w:val="24"/>
          <w:lang w:val="en-GB"/>
        </w:rPr>
        <w:fldChar w:fldCharType="begin" w:fldLock="1"/>
      </w:r>
      <w:r w:rsidRPr="002126E0">
        <w:rPr>
          <w:rFonts w:ascii="Arial" w:hAnsi="Arial" w:cs="Arial"/>
          <w:sz w:val="24"/>
          <w:szCs w:val="24"/>
          <w:lang w:val="nl-NL"/>
        </w:rPr>
        <w:instrText>ADDIN CSL_CITATION {"citationItems":[{"id":"ITEM-1","itemData":{"DOI":"10.1016/j.sapharm.2018.09.021","ISSN":"15517411","abstract":"Background: Control of blood glucose and a reduced risk of complications are important treatment goals in diabetes. Medication non-adherence can influence the outcome of diabetes. Involvement of a pharmacist in diabetes care might help patients to achieve better treatment outcomes. Existing literature reviews have focused on a limited number of interventions and outcome measures, and have involved different healthcare professionals. None of the previous reviews have used a standardized effect size to compare the effects of different pharmacist-led interventions and different outcome measures. Objective: To review pharmacist-led interventions to improve medication adherence in patients with diabetes and to assess the effectiveness of these interventions on medication adherence. Methods: Six databases were systematically searched between March and September 2017 for randomized controlled trials: PubMed, Cochrane library, EMBASE, CINAHL, JSTOR, and Web of Science. The outcome measures used were: medication adherence, HbA1c, fasting plasma glucose (FPG), post-prandial blood glucose (PPG), or random blood glucose (RBG). Cohen's d, a standardized effect size, enabled a comparison of studies with different outcome measures. The Cochrane risk of bias tool was used to assess the quality of the studies. Results: Fifty-nine studies were included in this review. Pharmacist-led interventions enhanced outcomes in patients with diabetes (standardized mean difference (SMD) −0.68; 95% CI-0.79, −0.58; p &lt; 0.001). Subgroup analysis by intervention strategy, the type of intervention and outcome measures produced similar results. Further analysis showed that education, printed/digital material, training/group discussion, were more effective than other interventions. Conclusion: This finding supports the role of the pharmacist in diabetes care to enhance medication adherence.","author":[{"dropping-particle":"","family":"Presley","give</w:instrText>
      </w:r>
      <w:r w:rsidRPr="002126E0">
        <w:rPr>
          <w:rFonts w:ascii="Arial" w:hAnsi="Arial" w:cs="Arial"/>
          <w:sz w:val="24"/>
          <w:szCs w:val="24"/>
        </w:rPr>
        <w:instrText>n":"Bobby","non-dropping-particle":"","parse-names":false,"suffix":""},{"dropping-particle":"","family":"Groot","given":"Wim","non-dropping-particle":"","parse-names":false,"suffix":""},{"dropping-particle":"","family":"Pavlova","given":"Milena","non-dropping-particle":"","parse-names":false,"suffix":""}],"container-title":"Research in Social and Administrative Pharmacy","id":"ITEM-1","issue":"9","issued":{"date-parts":[["2019"]]},"note":"From Duplicate 2 (Pharmacy-led interventions to improve medication adherence among adults with diabetes: A systematic review and meta-analysis - Presley, Bobby; Groot, Wim; Pavlova, Milena)\n\nFrom Duplicate 1 (Pharmacy-led interventions to improve medication adherence among adults with diabetes: A systematic review and meta-analysis - Presley, B; Groot, W; Pavlova, M)\n\nExport Date: 26 September 2019","page":"1057-1067","title":"Pharmacy-led interventions to improve medication adherence among adults with diabetes: A systematic review and meta-analysis","type":"article-journal","volume":"15"},"uris":["http://www.mendeley.com/documents/?uuid=39971cc1-6a7e-4018-bada-ea697b410b37"]}],"mendeley":{"formattedCitation":"(Presley, Groot and Pavlova, 2019)","manualFormatting":"Presley et al. (2019)","plainTextFormattedCitation":"(Presley, Groot and Pavlova, 2019)","previouslyFormattedCitation":"(Presley, Groot and Pavlova, 2019)"},"properties":{"noteIndex":0},"schema":"https://github.com/citation-style-language/schema/raw/master/csl-citation.json"}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t xml:space="preserve">Presley </w:t>
      </w:r>
      <w:r w:rsidRPr="002126E0">
        <w:rPr>
          <w:rFonts w:ascii="Arial" w:hAnsi="Arial" w:cs="Arial"/>
          <w:i/>
          <w:iCs/>
          <w:noProof/>
          <w:sz w:val="24"/>
          <w:szCs w:val="24"/>
          <w:lang w:val="en-GB"/>
        </w:rPr>
        <w:t>et al.</w:t>
      </w:r>
      <w:r w:rsidRPr="002126E0">
        <w:rPr>
          <w:rFonts w:ascii="Arial" w:hAnsi="Arial" w:cs="Arial"/>
          <w:noProof/>
          <w:sz w:val="24"/>
          <w:szCs w:val="24"/>
          <w:lang w:val="en-GB"/>
        </w:rPr>
        <w:t xml:space="preserve"> (2019)</w:t>
      </w:r>
      <w:r w:rsidRPr="002126E0">
        <w:rPr>
          <w:rFonts w:ascii="Arial" w:hAnsi="Arial" w:cs="Arial"/>
          <w:sz w:val="24"/>
          <w:szCs w:val="24"/>
          <w:lang w:val="en-GB"/>
        </w:rPr>
        <w:fldChar w:fldCharType="end"/>
      </w:r>
      <w:r w:rsidRPr="002126E0">
        <w:rPr>
          <w:rFonts w:ascii="Arial" w:hAnsi="Arial" w:cs="Arial"/>
          <w:sz w:val="24"/>
          <w:szCs w:val="24"/>
          <w:lang w:val="en-GB"/>
        </w:rPr>
        <w:t xml:space="preserve"> and </w:t>
      </w:r>
      <w:r w:rsidRPr="002126E0">
        <w:rPr>
          <w:rFonts w:ascii="Arial" w:hAnsi="Arial" w:cs="Arial"/>
          <w:sz w:val="24"/>
          <w:szCs w:val="24"/>
          <w:lang w:val="en-GB"/>
        </w:rPr>
        <w:fldChar w:fldCharType="begin" w:fldLock="1"/>
      </w:r>
      <w:r w:rsidRPr="002126E0">
        <w:rPr>
          <w:rFonts w:ascii="Arial" w:hAnsi="Arial" w:cs="Arial"/>
          <w:sz w:val="24"/>
          <w:szCs w:val="24"/>
          <w:lang w:val="en-GB"/>
        </w:rPr>
        <w:instrText>ADDIN CSL_CITATION {"citationItems":[{"id":"ITEM-1","itemData":{"DOI":"10.3389/fphar.2023.1098207","ISSN":"16639812","abstract":"Background: Physician-pharmacist collaboration is a well-established care mode for the management of type 2 diabetes mellitus (T2DM) in developed countries, but no study has been conducted in primary healthcare in China. This study aims to evaluate the effects of physician-pharmacist collaborative clinics to manage T2DM in primary healthcare in China, and to better understand the factors influencing the implementation of physician-pharmacist collaborative clinics. Methods: Two hundred and sixty-seven patients involved in a 12-month randomized controlled trial were assigned to physician-pharmacist collaborative clinics and usual clinics, completing surveys regarding medication compliance, quality of life (QoL) and care-seeking behavior at the baseline, 3rd, 6th, 9th and 12th month respectively, and diabetes knowledge at baseline and 12th month. A sample of twenty-two Patients, nine physicians and twelve pharmacists participated in semi-structured face-to-face interviews. The quantitative and qualitative data was integrated by triangulation. Results: Patients in physician-pharmacist collaborative clinics had significant improvements in medication compliance (p = 0.009), QoL (p = 0.036) and emergency visits (p = 0.003) over the 12-month. Pairwise comparison showed the medication compliance score in the intervention group had been significantly improved at 3rd month (p = 0.001), which is more rapidly than that in the control group at 9th month (p = 0.030). Factors influencing the implementation of physician-pharmacist collaborative clinics were driven by five themes: pharmaceutical service, team-base care, psychological support, acceptability of care and barriers to implementation. Conclusion: Integration of quantitative and qualitative findings showed the effectiveness of physician-pharmacist collaborative clinics in patient medication compliance and QoL in primary healthcare. The qualitative study uncovered barriers in insufficient clinical experience and understaffing of pharmacist. Therefore, the professional training of the primary pharmacist team should be improved in the future. Clinical Trial Registration: clinicaltrials.gov, identifier ChiCTR2000031839.","author":[{"dropping-particle":"","family":"Xiao","given":"Jie","non-dropping-particle":"","parse-names":false,"suffix":""},{"dropping-particle":"","family":"Wang","given":"Qing","non-dropping-particle":"","parse-names":false,"suffix":""},{"dropping-particle":"","family":"Tan","given":"Shenglan","non-dropping-particle":"","parse-names":false,"suffix":""},{"dropping-particle":"","family":"Chen","given":"Lei","non-dropping-particle":"","parse-names":false,"suffix":""},{"dropping-particle":"","family":"Tang","given":"Bingjie","non-dropping-particle":"","parse-names":false,"suffix":""},{"dropping-particle":"","family":"Huang","given":"Shuting","non-dropping-particle":"","parse-names":false,"suffix":""},{"dropping-particle":"","family":"Zhou","given":"Yangang","non-dropping-particle":"","parse-names":false,"suffix":""},{"dropping-particle":"","family":"Xu","given":"Ping","non-dropping-particle":"","parse-names":false,"suffix":""}],"container-title":"Frontiers in Pharmacology","id":"ITEM-1","issue":"March","issued":{"date-parts":[["2023"]]},"page":"1-15","title":"Analysis of patient medication compliance and quality of life of physician-pharmacist collaborative clinics for T2DM management in primary healthcare in China: A mixed-methods study","type":"article-journal","volume":"14"},"uris":["http://www.mendeley.com/documents/?uuid=679e88fc-bc3d-4c75-8576-9e7b3d6c7abb"]}],"mendeley":{"formattedCitation":"(Xiao &lt;i&gt;et al.&lt;/i&gt;, 2023)","manualFormatting":"Xiao et al. (2023)","plainTextFormattedCitation":"(Xiao et al., 2023)","previouslyFormattedCitation":"(Xiao &lt;i&gt;et al.&lt;/i&gt;, 2023)"},"properties":{"noteIndex":0},"schema":"https://github.com/citation-style-language/schema/raw/master/csl-citation.json"}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t xml:space="preserve">Xiao </w:t>
      </w:r>
      <w:r w:rsidRPr="002126E0">
        <w:rPr>
          <w:rFonts w:ascii="Arial" w:hAnsi="Arial" w:cs="Arial"/>
          <w:i/>
          <w:noProof/>
          <w:sz w:val="24"/>
          <w:szCs w:val="24"/>
          <w:lang w:val="en-GB"/>
        </w:rPr>
        <w:t>et al.</w:t>
      </w:r>
      <w:r w:rsidRPr="002126E0">
        <w:rPr>
          <w:rFonts w:ascii="Arial" w:hAnsi="Arial" w:cs="Arial"/>
          <w:noProof/>
          <w:sz w:val="24"/>
          <w:szCs w:val="24"/>
          <w:lang w:val="en-GB"/>
        </w:rPr>
        <w:t xml:space="preserve"> (2023)</w:t>
      </w:r>
      <w:r w:rsidRPr="002126E0">
        <w:rPr>
          <w:rFonts w:ascii="Arial" w:hAnsi="Arial" w:cs="Arial"/>
          <w:sz w:val="24"/>
          <w:szCs w:val="24"/>
          <w:lang w:val="en-GB"/>
        </w:rPr>
        <w:fldChar w:fldCharType="end"/>
      </w:r>
      <w:r w:rsidRPr="002126E0">
        <w:rPr>
          <w:rFonts w:ascii="Arial" w:hAnsi="Arial" w:cs="Arial"/>
          <w:sz w:val="24"/>
          <w:szCs w:val="24"/>
          <w:lang w:val="en-GB"/>
        </w:rPr>
        <w:t xml:space="preserve"> </w:t>
      </w:r>
      <w:r w:rsidRPr="002126E0">
        <w:rPr>
          <w:rFonts w:ascii="Arial" w:hAnsi="Arial" w:cs="Arial"/>
          <w:sz w:val="24"/>
          <w:szCs w:val="24"/>
          <w:lang w:val="en"/>
        </w:rPr>
        <w:t xml:space="preserve">highlighted that pharmacists do not replace the role of other HCPs, because several studies involved the pharmacist collaborating with other HCPs such as a physician, nurse, dietitian, and physical therapist to optimise the management plan for diabetic patients. Findings from the </w:t>
      </w:r>
      <w:r w:rsidRPr="002126E0">
        <w:rPr>
          <w:rFonts w:ascii="Arial" w:hAnsi="Arial" w:cs="Arial"/>
          <w:noProof/>
          <w:sz w:val="24"/>
          <w:szCs w:val="24"/>
          <w:lang w:val="en"/>
        </w:rPr>
        <w:t>Presley et al.</w:t>
      </w:r>
      <w:r w:rsidRPr="002126E0">
        <w:rPr>
          <w:rFonts w:ascii="Arial" w:hAnsi="Arial" w:cs="Arial"/>
          <w:sz w:val="24"/>
          <w:szCs w:val="24"/>
          <w:lang w:val="en"/>
        </w:rPr>
        <w:t xml:space="preserve"> study emphasise multidisciplinary teamwork, as collaborative work can provide comprehensive patient care (2019). Similarly, an RCT by </w:t>
      </w:r>
      <w:r w:rsidRPr="002126E0">
        <w:rPr>
          <w:rFonts w:ascii="Arial" w:hAnsi="Arial" w:cs="Arial"/>
          <w:sz w:val="24"/>
          <w:szCs w:val="24"/>
          <w:lang w:val="en"/>
        </w:rPr>
        <w:fldChar w:fldCharType="begin" w:fldLock="1"/>
      </w:r>
      <w:r w:rsidRPr="002126E0">
        <w:rPr>
          <w:rFonts w:ascii="Arial" w:hAnsi="Arial" w:cs="Arial"/>
          <w:sz w:val="24"/>
          <w:szCs w:val="24"/>
          <w:lang w:val="en"/>
        </w:rPr>
        <w:instrText>ADDIN CSL_CITATION {"citationItems":[{"id":"ITEM-1","itemData":{"ISSN":"1472-6963","PMID":"31234840","author":[{"dropping-particle":"","family":"Javaid","given":"Zaida","non-dropping-particle":"","parse-names":false,"suffix":""},{"dropping-particle":"","family":"Imtiaz","given":"Unaiza","non-dropping-particle":"","parse-names":false,"suffix":""},{"dropping-particle":"","family":"Khalid","given":"Imtiaz","non-dropping-particle":"","parse-names":false,"suffix":""},{"dropping-particle":"","family":"Saeed","given":"Hamid","non-dropping-particle":"","parse-names":false,"suffix":""},{"dropping-particle":"","family":"Qadir Khan","given":"Rehana","non-dropping-particle":"","parse-names":false,"suffix":""},{"dropping-particle":"","family":"Islam","given":"Muhammad","non-dropping-particle":"","parse-names":false,"suffix":""},{"dropping-particle":"","family":"Saleem","given":"Zikria","non-dropping-particle":"","parse-names":false,"suffix":""},{"dropping-particle":"","family":"Farhan Sohail","given":"Muhammad","non-dropping-particle":"","parse-names":false,"suffix":""},{"dropping-particle":"","family":"Danish","given":"Zeeshan","non-dropping-particle":"","parse-names":false,"suffix":""},{"dropping-particle":"","family":"Batool","given":"Farah","non-dropping-particle":"","parse-names":false,"suffix":""},{"dropping-particle":"","family":"Anwer","given":"Naveed","non-dropping-particle":"","parse-names":false,"suffix":""},{"dropping-particle":"","family":"Khan","given":"Rehana Qadir","non-dropping-particle":"","parse-names":false,"suffix":""},{"dropping-particle":"","family":"Islam","given":"Muhammad","non-dropping-particle":"","parse-names":false,"suffix":""},{"dropping-particle":"","family":"Saleem","given":"Zikria","non-dropping-particle":"","parse-names":false,"suffix":""},{"dropping-particle":"","family":"Sohail","given":"Muhammad Farhan","non-dropping-particle":"","parse-names":false,"suffix":""},{"dropping-particle":"","family":"Danish","given":"Zeeshan","non-dropping-particle":"","parse-names":false,"suffix":""},{"dropping-particle":"","family":"Batool","given":"Farah","non-dropping-particle":"","parse-names":false,"suffix":""},{"dropping-particle":"","family":"Anwer","given":"Naveed","non-dropping-particle":"","parse-names":false,"suffix":""},{"dropping-particle":"","family":"Qadir Khan","given":"Rehana","non-dropping-particle":"","parse-names":false,"suffix":""},{"dropping-particle":"","family":"Islam","given":"Muhammad","non-dropping-particle":"","parse-names":false,"suffix":""},{"dropping-particle":"","family":"Saleem","given":"Zikria","non-dropping-particle":"","parse-names":false,"suffix":""},{"dropping-particle":"","family":"Farhan Sohail","given":"Muhammad","non-dropping-particle":"","parse-names":false,"suffix":""},{"dropping-particle":"","family":"Danish","given":"Zeeshan","non-dropping-particle":"","parse-names":false,"suffix":""},{"dropping-particle":"","family":"Batool","given":"Farah","non-dropping-particle":"","parse-names":false,"suffix":""},{"dropping-particle":"","family":"Anwer","given":"Naveed","non-dropping-particle":"","parse-names":false,"suffix":""}],"container-title":"BMC health services research","id":"ITEM-1","issue":"1","issued":{"date-parts":[["2019","6","24"]]},"page":"409","title":"A randomized control trial of primary care- based management of type 2 diabetes by a pharmacist in Pakistan","type":"article-journal","volume":"19"},"uris":["http://www.mendeley.com/documents/?uuid=4df8ed9a-3e5e-4e03-84d8-7ed39b9e0dae"]}],"mendeley":{"formattedCitation":"(Javaid &lt;i&gt;et al.&lt;/i&gt;, 2019)","manualFormatting":"Javaid et al., (2019)","plainTextFormattedCitation":"(Javaid et al., 2019)","previouslyFormattedCitation":"(Javaid &lt;i&gt;et al.&lt;/i&gt;, 2019)"},"properties":{"noteIndex":0},"schema":"https://github.com/citation-style-language/schema/raw/master/csl-citation.json"}</w:instrText>
      </w:r>
      <w:r w:rsidRPr="002126E0">
        <w:rPr>
          <w:rFonts w:ascii="Arial" w:hAnsi="Arial" w:cs="Arial"/>
          <w:sz w:val="24"/>
          <w:szCs w:val="24"/>
          <w:lang w:val="en"/>
        </w:rPr>
        <w:fldChar w:fldCharType="separate"/>
      </w:r>
      <w:r w:rsidRPr="002126E0">
        <w:rPr>
          <w:rFonts w:ascii="Arial" w:hAnsi="Arial" w:cs="Arial"/>
          <w:noProof/>
          <w:sz w:val="24"/>
          <w:szCs w:val="24"/>
          <w:lang w:val="en"/>
        </w:rPr>
        <w:t xml:space="preserve">Javaid </w:t>
      </w:r>
      <w:r w:rsidRPr="002126E0">
        <w:rPr>
          <w:rFonts w:ascii="Arial" w:hAnsi="Arial" w:cs="Arial"/>
          <w:i/>
          <w:noProof/>
          <w:sz w:val="24"/>
          <w:szCs w:val="24"/>
          <w:lang w:val="en"/>
        </w:rPr>
        <w:t>et al.</w:t>
      </w:r>
      <w:r w:rsidRPr="002126E0">
        <w:rPr>
          <w:rFonts w:ascii="Arial" w:hAnsi="Arial" w:cs="Arial"/>
          <w:noProof/>
          <w:sz w:val="24"/>
          <w:szCs w:val="24"/>
          <w:lang w:val="en"/>
        </w:rPr>
        <w:t>, (2019)</w:t>
      </w:r>
      <w:r w:rsidRPr="002126E0">
        <w:rPr>
          <w:rFonts w:ascii="Arial" w:hAnsi="Arial" w:cs="Arial"/>
          <w:sz w:val="24"/>
          <w:szCs w:val="24"/>
          <w:lang w:val="en"/>
        </w:rPr>
        <w:fldChar w:fldCharType="end"/>
      </w:r>
      <w:r w:rsidRPr="002126E0">
        <w:rPr>
          <w:rFonts w:ascii="Arial" w:hAnsi="Arial" w:cs="Arial"/>
          <w:sz w:val="24"/>
          <w:szCs w:val="24"/>
          <w:lang w:val="en"/>
        </w:rPr>
        <w:t xml:space="preserve"> found significant improvements in glycemic, BP and lipid controls in Pakistani population when pharmacist work in collaboration with physicians in the PHC settings. </w:t>
      </w:r>
    </w:p>
    <w:p w14:paraId="28ABCC87" w14:textId="77777777" w:rsidR="00CD3ED7" w:rsidRPr="00876389" w:rsidRDefault="00CD3ED7" w:rsidP="00CD3ED7">
      <w:pPr>
        <w:autoSpaceDE w:val="0"/>
        <w:autoSpaceDN w:val="0"/>
        <w:adjustRightInd w:val="0"/>
        <w:spacing w:line="360" w:lineRule="auto"/>
        <w:jc w:val="both"/>
        <w:rPr>
          <w:rFonts w:ascii="Arial" w:hAnsi="Arial" w:cs="Arial"/>
          <w:sz w:val="24"/>
          <w:szCs w:val="24"/>
          <w:lang w:val="en"/>
        </w:rPr>
      </w:pPr>
      <w:r w:rsidRPr="00876389">
        <w:rPr>
          <w:rFonts w:ascii="Arial" w:hAnsi="Arial" w:cs="Arial"/>
          <w:sz w:val="24"/>
          <w:szCs w:val="24"/>
          <w:lang w:val="en"/>
        </w:rPr>
        <w:t xml:space="preserve">Evidence demonstrates that teamwork </w:t>
      </w:r>
      <w:r w:rsidRPr="00876389">
        <w:rPr>
          <w:rFonts w:ascii="Arial" w:hAnsi="Arial" w:cs="Arial"/>
          <w:i/>
          <w:iCs/>
          <w:sz w:val="24"/>
          <w:szCs w:val="24"/>
          <w:lang w:val="en"/>
        </w:rPr>
        <w:t>and</w:t>
      </w:r>
      <w:r w:rsidRPr="00876389">
        <w:rPr>
          <w:rFonts w:ascii="Arial" w:hAnsi="Arial" w:cs="Arial"/>
          <w:sz w:val="24"/>
          <w:szCs w:val="24"/>
          <w:lang w:val="en"/>
        </w:rPr>
        <w:t xml:space="preserve"> interprofessional collaboration can improve patient care and outcomes, enhance provider and patient satisfaction, and reduce healthcare costs. However, </w:t>
      </w:r>
      <w:r w:rsidRPr="00876389">
        <w:rPr>
          <w:rFonts w:ascii="Arial" w:hAnsi="Arial" w:cs="Arial"/>
          <w:noProof/>
          <w:sz w:val="24"/>
          <w:szCs w:val="24"/>
          <w:lang w:val="en"/>
        </w:rPr>
        <w:t xml:space="preserve">Johnson and Carragher, (2018)  found  </w:t>
      </w:r>
      <w:r w:rsidRPr="00876389">
        <w:rPr>
          <w:rFonts w:ascii="Arial" w:hAnsi="Arial" w:cs="Arial"/>
          <w:sz w:val="24"/>
          <w:szCs w:val="24"/>
          <w:lang w:val="en"/>
        </w:rPr>
        <w:t xml:space="preserve">that in the Middle East, doctors, pharmacists, nurses, and nutritionists did not play a collaborative role or effectively communicate with each other. To promote comprehensive patient-centred care and reduce diabetes complications and diabetes-related hospitalisations, they recommended implementing team collaboration practices and involving multiple healthcare professionals in the management of diabetes, including pharmacists, nurses, physicians, and dietitians. </w:t>
      </w:r>
    </w:p>
    <w:p w14:paraId="61D2245E" w14:textId="77777777" w:rsidR="00CD3ED7" w:rsidRPr="00876389" w:rsidRDefault="00CD3ED7" w:rsidP="00CD3ED7">
      <w:pPr>
        <w:autoSpaceDE w:val="0"/>
        <w:autoSpaceDN w:val="0"/>
        <w:adjustRightInd w:val="0"/>
        <w:spacing w:line="360" w:lineRule="auto"/>
        <w:jc w:val="both"/>
        <w:rPr>
          <w:rFonts w:ascii="Arial" w:hAnsi="Arial" w:cs="Arial"/>
          <w:sz w:val="24"/>
          <w:szCs w:val="24"/>
          <w:lang w:val="en"/>
        </w:rPr>
      </w:pPr>
      <w:r w:rsidRPr="00876389">
        <w:rPr>
          <w:rFonts w:ascii="Arial" w:hAnsi="Arial" w:cs="Arial"/>
          <w:sz w:val="24"/>
          <w:szCs w:val="24"/>
          <w:lang w:val="en"/>
        </w:rPr>
        <w:t xml:space="preserve">Pharmacists involvement in multidisciplinary team for diabetes management was also recommended by several other authors including  </w:t>
      </w:r>
      <w:r w:rsidRPr="00876389">
        <w:rPr>
          <w:rFonts w:ascii="Arial" w:hAnsi="Arial" w:cs="Arial"/>
          <w:sz w:val="24"/>
          <w:szCs w:val="24"/>
          <w:lang w:val="en"/>
        </w:rPr>
        <w:fldChar w:fldCharType="begin" w:fldLock="1"/>
      </w:r>
      <w:r w:rsidRPr="00876389">
        <w:rPr>
          <w:rFonts w:ascii="Arial" w:hAnsi="Arial" w:cs="Arial"/>
          <w:sz w:val="24"/>
          <w:szCs w:val="24"/>
          <w:lang w:val="en"/>
        </w:rPr>
        <w:instrText>ADDIN CSL_CITATION {"citationItems":[{"id":"ITEM-1","itemData":{"DOI":"10.1007/s11096-021-01327-x","ISBN":"0123456789","ISSN":"22107711","PMID":"34637104","abstract":"Background Diabetes mellitus is a complex multi-system disorder, requiring multi-disciplinary care. The conventional care model, where physicians are the sole caregivers may not be optimal. Addition of other healthcare team members improves healthcare outcomes for patients with diabetes. Aim To evaluate the impact of pharmacist-involved collaborative care on diabetes-related outcomes among patients with diabetes attending a primary healthcare setting in Qatar using real-world data. Method A retrospective cohort study was conducted among patients with diabetes attending Qatar Petroleum Diabetes Clinic. Patients were categorized as either receiving pharmacist-involved collaborative care (intervention group) or usual care (control group). Data were analyzed using SPSS®. Glycemic control (glycated hemoglobin A1c, HbA1c), blood pressure, lipid profile, and body mass index were evaluated at baseline and up to 17 months of follow-up. Results After 17 months of follow-up, pharmacist-involved collaborative care compared to usual care resulted in a significant decrease in HbA1c (6.8 ± 1.2% vs. 7.1 ± 1.3%, p &lt; 0.01). Moreover, compared to baseline, pharmacist-involved collaborative care significantly improved (p &lt; 0.05) the levels of HbA1c (7.5% vs. 6.8%), low-density lipoprotein cholesterol (3.7 mmol/L vs. 2.8 mmol/L), total cholesterol (5.43 mmol/L vs. 4.34 mmol/L), and body mass index (30.42 kg/m2 vs. 30.17 kg/m2) after 17 months within the intervention group. However, no significant changes for these parameters occurred within the control group. Conclusion The implementation of pharmacist-involved collaborative care in a primary healthcare setting improved several diabetes-related outcomes over 17 months. Future studies should determine the long-term impact of this care model.","author":[{"dropping-particle":"","family":"Abdulrhim","given":"Sara","non-dropping-particle":"","parse-names":false,"suffix":""},{"dropping-particle":"","family":"Awaisu","given":"Ahmed","non-dropping-particle":"","parse-names":false,"suffix":""},{"dropping-particle":"","family":"Ibrahim","given":"Mohamed Izham Mohamed","non-dropping-particle":"","parse-names":false,"suffix":""},{"dropping-particle":"","family":"Diab","given":"Mohammad Issam","non-dropping-particle":"","parse-names":false,"suffix":""},{"dropping-particle":"","family":"Hussain","given":"Mohamed Abdelazim Mohamed","non-dropping-particle":"","parse-names":false,"suffix":""},{"dropping-particle":"","family":"Raey","given":"Hend","non-dropping-particle":"Al","parse-names":false,"suffix":""},{"dropping-particle":"","family":"Ismail","given":"Mohammed Thahir","non-dropping-particle":"","parse-names":false,"suffix":""},{"dropping-particle":"","family":"Sankaralingam","given":"Sowndramalingam","non-dropping-particle":"","parse-names":false,"suffix":""}],"container-title":"International Journal of Clinical Pharmacy","id":"ITEM-1","issue":"1","issued":{"date-parts":[["2022"]]},"page":"153-162","publisher":"Springer International Publishing","title":"Impact of pharmacist-involved collaborative care on diabetes management in a primary healthcare setting using real-world data","type":"article-journal","volume":"44"},"uris":["http://www.mendeley.com/documents/?uuid=0051a59f-fa51-40c4-b0ec-510687cd46dc"]}],"mendeley":{"formattedCitation":"(Abdulrhim &lt;i&gt;et al.&lt;/i&gt;, 2022)","manualFormatting":"Abdulrhim et al., (2020, 2022)","plainTextFormattedCitation":"(Abdulrhim et al., 2022)","previouslyFormattedCitation":"(Abdulrhim &lt;i&gt;et al.&lt;/i&gt;, 2022)"},"properties":{"noteIndex":0},"schema":"https://github.com/citation-style-language/schema/raw/master/csl-citation.json"}</w:instrText>
      </w:r>
      <w:r w:rsidRPr="00876389">
        <w:rPr>
          <w:rFonts w:ascii="Arial" w:hAnsi="Arial" w:cs="Arial"/>
          <w:sz w:val="24"/>
          <w:szCs w:val="24"/>
          <w:lang w:val="en"/>
        </w:rPr>
        <w:fldChar w:fldCharType="separate"/>
      </w:r>
      <w:r w:rsidRPr="00876389">
        <w:rPr>
          <w:rFonts w:ascii="Arial" w:hAnsi="Arial" w:cs="Arial"/>
          <w:noProof/>
          <w:sz w:val="24"/>
          <w:szCs w:val="24"/>
          <w:lang w:val="en"/>
        </w:rPr>
        <w:t xml:space="preserve">Abdulrhim </w:t>
      </w:r>
      <w:r w:rsidRPr="00876389">
        <w:rPr>
          <w:rFonts w:ascii="Arial" w:hAnsi="Arial" w:cs="Arial"/>
          <w:i/>
          <w:noProof/>
          <w:sz w:val="24"/>
          <w:szCs w:val="24"/>
          <w:lang w:val="en"/>
        </w:rPr>
        <w:t>et al.</w:t>
      </w:r>
      <w:r w:rsidRPr="00876389">
        <w:rPr>
          <w:rFonts w:ascii="Arial" w:hAnsi="Arial" w:cs="Arial"/>
          <w:noProof/>
          <w:sz w:val="24"/>
          <w:szCs w:val="24"/>
          <w:lang w:val="en"/>
        </w:rPr>
        <w:t>, (</w:t>
      </w:r>
      <w:r w:rsidRPr="00876389">
        <w:rPr>
          <w:rFonts w:ascii="Arial" w:hAnsi="Arial" w:cs="Arial"/>
          <w:noProof/>
          <w:sz w:val="24"/>
          <w:szCs w:val="24"/>
          <w:lang w:val="en-GB"/>
        </w:rPr>
        <w:t>2020,</w:t>
      </w:r>
      <w:r w:rsidRPr="00876389">
        <w:rPr>
          <w:rFonts w:ascii="Arial" w:hAnsi="Arial" w:cs="Arial"/>
          <w:noProof/>
          <w:sz w:val="24"/>
          <w:szCs w:val="24"/>
          <w:lang w:val="en"/>
        </w:rPr>
        <w:t xml:space="preserve"> 2022)</w:t>
      </w:r>
      <w:r w:rsidRPr="00876389">
        <w:rPr>
          <w:rFonts w:ascii="Arial" w:hAnsi="Arial" w:cs="Arial"/>
          <w:sz w:val="24"/>
          <w:szCs w:val="24"/>
          <w:lang w:val="en"/>
        </w:rPr>
        <w:fldChar w:fldCharType="end"/>
      </w:r>
      <w:r w:rsidRPr="00876389">
        <w:rPr>
          <w:rFonts w:ascii="Arial" w:hAnsi="Arial" w:cs="Arial"/>
          <w:sz w:val="24"/>
          <w:szCs w:val="24"/>
          <w:lang w:val="en"/>
        </w:rPr>
        <w:t xml:space="preserve">, </w:t>
      </w:r>
      <w:r w:rsidRPr="00876389">
        <w:rPr>
          <w:rFonts w:ascii="Arial" w:eastAsia="Times New Roman" w:hAnsi="Arial" w:cs="Arial"/>
          <w:sz w:val="24"/>
          <w:szCs w:val="24"/>
          <w:lang w:val="en-GB"/>
        </w:rPr>
        <w:fldChar w:fldCharType="begin" w:fldLock="1"/>
      </w:r>
      <w:r w:rsidRPr="00876389">
        <w:rPr>
          <w:rFonts w:ascii="Arial" w:eastAsia="Times New Roman" w:hAnsi="Arial" w:cs="Arial"/>
          <w:sz w:val="24"/>
          <w:szCs w:val="24"/>
          <w:lang w:val="en-GB"/>
        </w:rPr>
        <w:instrText>ADDIN CSL_CITATION {"citationItems":[{"id":"ITEM-1","itemData":{"DOI":"10.1177/10600280211023492","ISSN":"15426270","PMID":"34105397","abstract":"Background: Team-based care practice models have been shown to improve diabetes-related therapeutic inertia, yet the method and type of antidiabetic treatment intensification (TI) leading to improvements in glycemic control are not well understood. Objective: To evaluate time to TI in a pharmacist-physician practice model (PPM) as compared with usual medical care (UMC), explore the method and type of antidiabetic TI, and evaluate achievement of hemoglobin A1C (A1C) goal among each cohort. Methods: This was a retrospective cohort study conducted between January 1, 2017, and December 31, 2018. Median time to TI was calculated and compared between patients in the PPM and UMC groups using the log rank test. Descriptive statistics were used to evaluate the method and type of TI and A1C goal achievement. Results: A total of 56 patients were included. The median (interquartile range) time to antidiabetic TI among the PPM cohort was 37.5 days (8, 216.5), as compared with 142 days (16, 465) in the UMC cohort (P = 0.19). At 1 year post–index date, 25% of patients in the PPM cohort reached their A1C goal compared with 18.8% of patients in the UMC cohort. This effect was maintained in the subgroup (n = 49) of patients receiving TI (23.1% vs 17.8%). Conclusion and Relevance: A shorter time to TI and improvement in A1C goal achievement was observed with pharmacist-physician care compared with UMC. These findings suggest that pharmacist-physician care may be one of several interventions necessary to overcome therapeutic inertia in diabetes care.","author":[{"dropping-particle":"","family":"Cowart","given":"Kevin","non-dropping-particle":"","parse-names":false,"suffix":""},{"dropping-particle":"","family":"Emechebe","given":"Nnadozie","non-dropping-particle":"","parse-names":false,"suffix":""},{"dropping-particle":"","family":"Pathak","given":"Rashmi","non-dropping-particle":"","parse-names":false,"suffix":""},{"dropping-particle":"","family":"Abbruzese","given":"Lucas","non-dropping-particle":"","parse-names":false,"suffix":""},{"dropping-particle":"","family":"Hann","given":"James","non-dropping-particle":"","parse-names":false,"suffix":""},{"dropping-particle":"","family":"Lloyd","given":"Andie","non-dropping-particle":"","parse-names":false,"suffix":""},{"dropping-particle":"","family":"Roetzheim","given":"Richard","non-dropping-particle":"","parse-names":false,"suffix":""},{"dropping-particle":"","family":"Zgibor","given":"Janice","non-dropping-particle":"","parse-names":false,"suffix":""},{"dropping-particle":"","family":"Updike","given":"Wendy H.","non-dropping-particle":"","parse-names":false,"suffix":""}],"container-title":"Annals of Pharmacotherapy","id":"ITEM-1","issue":"2","issued":{"date-parts":[["2022"]]},"page":"155-161","title":"Measurement of Pharmacist-Physician Collaborative Care on Therapeutic Inertia in Patients With Type 2 Diabetes","type":"article-journal","volume":"56"},"uris":["http://www.mendeley.com/documents/?uuid=e6be282a-fbef-47c9-a178-d9eed66d0a73"]}],"mendeley":{"formattedCitation":"(Cowart &lt;i&gt;et al.&lt;/i&gt;, 2022)","manualFormatting":"Cowart et al., (2022)","plainTextFormattedCitation":"(Cowart et al., 2022)","previouslyFormattedCitation":"(Cowart &lt;i&gt;et al.&lt;/i&gt;, 2022)"},"properties":{"noteIndex":0},"schema":"https://github.com/citation-style-language/schema/raw/master/csl-citation.json"}</w:instrText>
      </w:r>
      <w:r w:rsidRPr="00876389">
        <w:rPr>
          <w:rFonts w:ascii="Arial" w:eastAsia="Times New Roman" w:hAnsi="Arial" w:cs="Arial"/>
          <w:sz w:val="24"/>
          <w:szCs w:val="24"/>
          <w:lang w:val="en-GB"/>
        </w:rPr>
        <w:fldChar w:fldCharType="separate"/>
      </w:r>
      <w:r w:rsidRPr="00876389">
        <w:rPr>
          <w:rFonts w:ascii="Arial" w:eastAsia="Times New Roman" w:hAnsi="Arial" w:cs="Arial"/>
          <w:noProof/>
          <w:sz w:val="24"/>
          <w:szCs w:val="24"/>
          <w:lang w:val="en-GB"/>
        </w:rPr>
        <w:t xml:space="preserve">Cowart </w:t>
      </w:r>
      <w:r w:rsidRPr="00876389">
        <w:rPr>
          <w:rFonts w:ascii="Arial" w:eastAsia="Times New Roman" w:hAnsi="Arial" w:cs="Arial"/>
          <w:i/>
          <w:noProof/>
          <w:sz w:val="24"/>
          <w:szCs w:val="24"/>
          <w:lang w:val="en-GB"/>
        </w:rPr>
        <w:t>et al.</w:t>
      </w:r>
      <w:r w:rsidRPr="00876389">
        <w:rPr>
          <w:rFonts w:ascii="Arial" w:eastAsia="Times New Roman" w:hAnsi="Arial" w:cs="Arial"/>
          <w:noProof/>
          <w:sz w:val="24"/>
          <w:szCs w:val="24"/>
          <w:lang w:val="en-GB"/>
        </w:rPr>
        <w:t>, (2022)</w:t>
      </w:r>
      <w:r w:rsidRPr="00876389">
        <w:rPr>
          <w:rFonts w:ascii="Arial" w:eastAsia="Times New Roman" w:hAnsi="Arial" w:cs="Arial"/>
          <w:sz w:val="24"/>
          <w:szCs w:val="24"/>
          <w:lang w:val="en-GB"/>
        </w:rPr>
        <w:fldChar w:fldCharType="end"/>
      </w:r>
      <w:r w:rsidRPr="00876389">
        <w:rPr>
          <w:rFonts w:ascii="Arial" w:eastAsia="Times New Roman" w:hAnsi="Arial" w:cs="Arial"/>
          <w:sz w:val="24"/>
          <w:szCs w:val="24"/>
          <w:lang w:val="en-GB"/>
        </w:rPr>
        <w:t xml:space="preserve"> </w:t>
      </w:r>
      <w:r w:rsidRPr="00876389">
        <w:rPr>
          <w:rFonts w:ascii="Arial" w:hAnsi="Arial" w:cs="Arial"/>
          <w:sz w:val="24"/>
          <w:szCs w:val="24"/>
          <w:lang w:val="en"/>
        </w:rPr>
        <w:fldChar w:fldCharType="begin" w:fldLock="1"/>
      </w:r>
      <w:r w:rsidRPr="00876389">
        <w:rPr>
          <w:rFonts w:ascii="Arial" w:hAnsi="Arial" w:cs="Arial"/>
          <w:sz w:val="24"/>
          <w:szCs w:val="24"/>
          <w:lang w:val="en"/>
        </w:rPr>
        <w:instrText>ADDIN CSL_CITATION {"citationItems":[{"id":"ITEM-1","itemData":{"DOI":"10.1371/journal.pone.0280654","ISBN":"1111111111","ISSN":"19326203","PMID":"36662741","abstract":"Background An enhanced primary care team model was implemented to provide proactive, longitudinal care to patients with diabetes, grounded in close partnership between primary care providers (PCPs), nurses, and Medication Management Services (MMS) pharmacists. The purpose of this study is to evaluate the impact of the MMS pharmacist involvement in the enhanced primary care model for patients with diabetes. Methods This retrospective cohort study compared the quality of diabetes care between patients referred to a pharmacist and propensity score matched controls who were not. Eligible patients were adults (age 18 to 75 years) enrolled in the enhanced primary care team process who did not meet at least one of four diabetes quality indicators at 13 Mayo Clinic Rochester primary care practice locations. The intervention examined was asynchronous econsults by pharmacists affiliated with the primary care practice. Main measures The primary outcome was change in the proportion of patients meeting the composite of four diabetes treatment goals (D4), including hemoglobin A1c (HbA1c) control, blood pressure control, aspirin use, and statin use at six months from enrollment among patients who received pharmacist intervention compared to matched patients who did not. Secondary outcomes were each of the D4 goal individually. Results The proportion of patients meeting the D4 increased with pharmacist e-consults (N = 85) compared to matched controls with no review (N = 170) (27% vs 7.0%, p&lt;0.001). The change in patients meeting treatment goals of HbA1c (12.9% vs 4.1%, p = 0.020), blood pressure (9.4% vs 2.4%, p = 0.023), aspirin use (10.6% vs 2.9%, p = 0.018), and statin use (17.6% vs -1.2%, p&lt;0.001) all increased with pharmacist e-consults. Conclusions Pharmacist engagement in the enhanced primary care team improved diabetes management. This supports the inclusion and utilization of pharmacists in multidisciplinary efforts to improve diabetes care.","author":[{"dropping-particle":"","family":"Firkus","given":"Danielle","non-dropping-particle":"","parse-names":false,"suffix":""},{"dropping-particle":"","family":"McCoy","given":"Rozalina G.","non-dropping-particle":"","parse-names":false,"suffix":""},{"dropping-particle":"","family":"Matulis","given":"John","non-dropping-particle":"","parse-names":false,"suffix":""},{"dropping-particle":"","family":"Kessler","given":"Maya","non-dropping-particle":"","parse-names":false,"suffix":""},{"dropping-particle":"","family":"Mara","given":"Kristin","non-dropping-particle":"","parse-names":false,"suffix":""},{"dropping-particle":"","family":"Herges","given":"Joseph","non-dropping-particle":"","parse-names":false,"suffix":""}],"container-title":"PLoS ONE","id":"ITEM-1","issue":"1 January","issued":{"date-parts":[["2023"]]},"page":"1-11","title":"Evaluation of pharmacist consults within a collaborative enhanced primary care team model to improve diabetes care","type":"article-journal","volume":"18"},"uris":["http://www.mendeley.com/documents/?uuid=3442fc06-aa3f-440d-8cef-875b6bf549e5"]}],"mendeley":{"formattedCitation":"(Firkus &lt;i&gt;et al.&lt;/i&gt;, 2023)","manualFormatting":"Firkus et al. (2023)","plainTextFormattedCitation":"(Firkus et al., 2023)","previouslyFormattedCitation":"(Firkus &lt;i&gt;et al.&lt;/i&gt;, 2023)"},"properties":{"noteIndex":0},"schema":"https://github.com/citation-style-language/schema/raw/master/csl-citation.json"}</w:instrText>
      </w:r>
      <w:r w:rsidRPr="00876389">
        <w:rPr>
          <w:rFonts w:ascii="Arial" w:hAnsi="Arial" w:cs="Arial"/>
          <w:sz w:val="24"/>
          <w:szCs w:val="24"/>
          <w:lang w:val="en"/>
        </w:rPr>
        <w:fldChar w:fldCharType="separate"/>
      </w:r>
      <w:r w:rsidRPr="00876389">
        <w:rPr>
          <w:rFonts w:ascii="Arial" w:hAnsi="Arial" w:cs="Arial"/>
          <w:noProof/>
          <w:sz w:val="24"/>
          <w:szCs w:val="24"/>
          <w:lang w:val="en"/>
        </w:rPr>
        <w:t xml:space="preserve">Firkus </w:t>
      </w:r>
      <w:r w:rsidRPr="00876389">
        <w:rPr>
          <w:rFonts w:ascii="Arial" w:hAnsi="Arial" w:cs="Arial"/>
          <w:i/>
          <w:noProof/>
          <w:sz w:val="24"/>
          <w:szCs w:val="24"/>
          <w:lang w:val="en"/>
        </w:rPr>
        <w:t>et al.</w:t>
      </w:r>
      <w:r w:rsidRPr="00876389">
        <w:rPr>
          <w:rFonts w:ascii="Arial" w:hAnsi="Arial" w:cs="Arial"/>
          <w:noProof/>
          <w:sz w:val="24"/>
          <w:szCs w:val="24"/>
          <w:lang w:val="en"/>
        </w:rPr>
        <w:t xml:space="preserve"> (2023)</w:t>
      </w:r>
      <w:r w:rsidRPr="00876389">
        <w:rPr>
          <w:rFonts w:ascii="Arial" w:hAnsi="Arial" w:cs="Arial"/>
          <w:sz w:val="24"/>
          <w:szCs w:val="24"/>
          <w:lang w:val="en"/>
        </w:rPr>
        <w:fldChar w:fldCharType="end"/>
      </w:r>
      <w:r w:rsidRPr="00876389">
        <w:rPr>
          <w:rFonts w:ascii="Arial" w:hAnsi="Arial" w:cs="Arial"/>
          <w:sz w:val="24"/>
          <w:szCs w:val="24"/>
          <w:lang w:val="en"/>
        </w:rPr>
        <w:t xml:space="preserve">, and </w:t>
      </w:r>
      <w:r w:rsidRPr="00876389">
        <w:rPr>
          <w:rFonts w:ascii="Arial" w:hAnsi="Arial" w:cs="Arial"/>
          <w:sz w:val="24"/>
          <w:szCs w:val="24"/>
          <w:lang w:val="en"/>
        </w:rPr>
        <w:fldChar w:fldCharType="begin" w:fldLock="1"/>
      </w:r>
      <w:r w:rsidRPr="00876389">
        <w:rPr>
          <w:rFonts w:ascii="Arial" w:hAnsi="Arial" w:cs="Arial"/>
          <w:sz w:val="24"/>
          <w:szCs w:val="24"/>
          <w:lang w:val="en"/>
        </w:rPr>
        <w:instrText>ADDIN CSL_CITATION {"citationItems":[{"id":"ITEM-1","itemData":{"DOI":"10.5334/gh.1184","ISSN":"22118179","PMID":"36846722","abstract":"Objective: To assess whether inter-professional, bidirectional collaboration between general practitioners (GPs) and pharmacists has an impact on improving cardiovascular risk outcomes among patients in the primary care setting. It also aimed to understand the different types of collaborative care models used. Study design: Systematic review and Hartung-Knapp-Sidik-Jonkman random effects meta-analyses of randomised control trials (RCTs) in inter-professional bidirectional collaboration between GP and pharmacists assessing a change of patient cardiovascular risk in the primary care setting. Data sources: MEDLINE, EMBASE, Cochrane, CINAHL and International Pharmaceutical Abstracts, scanned reference lists of relevant studies, hand searched key journals and key papers until August 2021. Data synthesis: Twenty-eight RCTs were identified. Collaboration was associated with significant reductions in systolic and diastolic blood pressure (23 studies, 5,620 participants) of –6.42 mmHg (95% confidence interval (95%CI) –7.99 to –4.84) and –2.33 mmHg (95%CI –3.76 to –0.91), respectively. Changes in other cardiovascular risk factors included total cholesterol (6 studies, 1,917 participants) –0.26 mmol/L (95%CI –0.49 to –0.03); low-density lipoprotein (8 studies, 1,817 participants) –0.16 mmol/L (95%CI –0.63 to 0.32); high-density lipoprotein (7 studies, 1,525 participants) 0.02 mmol/L (95%CI –0.02 to 0.07). Reduction in haemoglobin A1c (HbA1C) (10 studies, 2,025 participants), body mass index (8 studies, 1,708 participants) and smoking cessation (1 study, 132 participants) was observed with GP-pharmacist collaboration. Meta-analysis was not conducted for these changes. Various models of collaborative care included verbal communication (via phone calls or face to face), and written communication (emails, letters). We found that co-location was associated with positive changes in cardiovascular risk factors. Conclusion: Although it is clear that collaborative care is ideal compared to usual care, greater details in the description of the collaborative model of care in studies is required for a core comprehensive evaluation of the different models of collaboration.","author":[{"dropping-particle":"","family":"Chaudhri","given":"Kanika","non-dropping-particle":"","parse-names":false,"suffix":""},{"dropping-particle":"","family":"Caleres","given":"Gabriella","non-dropping-particle":"","parse-names":false,"suffix":""},{"dropping-particle":"","family":"Saunders","given":"Samantha","non-dropping-particle":"","parse-names":false,"suffix":""},{"dropping-particle":"","family":"Michail","given":"Peter","non-dropping-particle":"","parse-names":false,"suffix":""},{"dropping-particle":"","family":"Tanna","given":"Gian Luca","non-dropping-particle":"Di","parse-names":false,"suffix":""},{"dropping-particle":"","family":"Lung","given":"Thomas","non-dropping-particle":"","parse-names":false,"suffix":""},{"dropping-particle":"","family":"Liu","given":"Hueiming","non-dropping-particle":"","parse-names":false,"suffix":""},{"dropping-particle":"","family":"Joshi","given":"Rohina","non-dropping-particle":"","parse-names":false,"suffix":""}],"container-title":"Global Heart","id":"ITEM-1","issue":"1","issued":{"date-parts":[["2023"]]},"title":"Does Collaboration between General Practitioners and Pharmacists Improve Risk Factors for Cardiovascular Disease and Diabetes? A Systematic Review and Meta-Analysis","type":"article-journal","volume":"18"},"uris":["http://www.mendeley.com/documents/?uuid=4f4a5e14-9316-43ae-afb9-c7e0200c729b"]}],"mendeley":{"formattedCitation":"(Chaudhri &lt;i&gt;et al.&lt;/i&gt;, 2023)","manualFormatting":"Chaudhri et al., (2023)","plainTextFormattedCitation":"(Chaudhri et al., 2023)","previouslyFormattedCitation":"(Chaudhri &lt;i&gt;et al.&lt;/i&gt;, 2023)"},"properties":{"noteIndex":0},"schema":"https://github.com/citation-style-language/schema/raw/master/csl-citation.json"}</w:instrText>
      </w:r>
      <w:r w:rsidRPr="00876389">
        <w:rPr>
          <w:rFonts w:ascii="Arial" w:hAnsi="Arial" w:cs="Arial"/>
          <w:sz w:val="24"/>
          <w:szCs w:val="24"/>
          <w:lang w:val="en"/>
        </w:rPr>
        <w:fldChar w:fldCharType="separate"/>
      </w:r>
      <w:r w:rsidRPr="00876389">
        <w:rPr>
          <w:rFonts w:ascii="Arial" w:hAnsi="Arial" w:cs="Arial"/>
          <w:noProof/>
          <w:sz w:val="24"/>
          <w:szCs w:val="24"/>
          <w:lang w:val="en"/>
        </w:rPr>
        <w:t xml:space="preserve">Chaudhri </w:t>
      </w:r>
      <w:r w:rsidRPr="00876389">
        <w:rPr>
          <w:rFonts w:ascii="Arial" w:hAnsi="Arial" w:cs="Arial"/>
          <w:i/>
          <w:noProof/>
          <w:sz w:val="24"/>
          <w:szCs w:val="24"/>
          <w:lang w:val="en"/>
        </w:rPr>
        <w:t>et al.</w:t>
      </w:r>
      <w:r w:rsidRPr="00876389">
        <w:rPr>
          <w:rFonts w:ascii="Arial" w:hAnsi="Arial" w:cs="Arial"/>
          <w:noProof/>
          <w:sz w:val="24"/>
          <w:szCs w:val="24"/>
          <w:lang w:val="en"/>
        </w:rPr>
        <w:t>, (2023)</w:t>
      </w:r>
      <w:r w:rsidRPr="00876389">
        <w:rPr>
          <w:rFonts w:ascii="Arial" w:hAnsi="Arial" w:cs="Arial"/>
          <w:sz w:val="24"/>
          <w:szCs w:val="24"/>
          <w:lang w:val="en"/>
        </w:rPr>
        <w:fldChar w:fldCharType="end"/>
      </w:r>
      <w:r w:rsidRPr="00876389">
        <w:rPr>
          <w:rFonts w:ascii="Arial" w:hAnsi="Arial" w:cs="Arial"/>
          <w:sz w:val="24"/>
          <w:szCs w:val="24"/>
          <w:lang w:val="en"/>
        </w:rPr>
        <w:t xml:space="preserve">. According to Abdulrhim et al. (2022) </w:t>
      </w:r>
      <w:r w:rsidRPr="00876389">
        <w:rPr>
          <w:rFonts w:ascii="Arial" w:hAnsi="Arial" w:cs="Arial"/>
          <w:sz w:val="24"/>
          <w:szCs w:val="24"/>
          <w:lang w:val="en"/>
        </w:rPr>
        <w:fldChar w:fldCharType="begin" w:fldLock="1"/>
      </w:r>
      <w:r w:rsidRPr="00876389">
        <w:rPr>
          <w:rFonts w:ascii="Arial" w:hAnsi="Arial" w:cs="Arial"/>
          <w:sz w:val="24"/>
          <w:szCs w:val="24"/>
          <w:lang w:val="en"/>
        </w:rPr>
        <w:instrText>ADDIN CSL_CITATION {"citationItems":[{"id":"ITEM-1","itemData":{"DOI":"10.1371/journal.pone.0280654","ISBN":"1111111111","ISSN":"19326203","PMID":"36662741","abstract":"Background An enhanced primary care team model was implemented to provide proactive, longitudinal care to patients with diabetes, grounded in close partnership between primary care providers (PCPs), nurses, and Medication Management Services (MMS) pharmacists. The purpose of this study is to evaluate the impact of the MMS pharmacist involvement in the enhanced primary care model for patients with diabetes. Methods This retrospective cohort study compared the quality of diabetes care between patients referred to a pharmacist and propensity score matched controls who were not. Eligible patients were adults (age 18 to 75 years) enrolled in the enhanced primary care team process who did not meet at least one of four diabetes quality indicators at 13 Mayo Clinic Rochester primary care practice locations. The intervention examined was asynchronous econsults by pharmacists affiliated with the primary care practice. Main measures The primary outcome was change in the proportion of patients meeting the composite of four diabetes treatment goals (D4), including hemoglobin A1c (HbA1c) control, blood pressure control, aspirin use, and statin use at six months from enrollment among patients who received pharmacist intervention compared to matched patients who did not. Secondary outcomes were each of the D4 goal individually. Results The proportion of patients meeting the D4 increased with pharmacist e-consults (N = 85) compared to matched controls with no review (N = 170) (27% vs 7.0%, p&lt;0.001). The change in patients meeting treatment goals of HbA1c (12.9% vs 4.1%, p = 0.020), blood pressure (9.4% vs 2.4%, p = 0.023), aspirin use (10.6% vs 2.9%, p = 0.018), and statin use (17.6% vs -1.2%, p&lt;0.001) all increased with pharmacist e-consults. Conclusions Pharmacist engagement in the enhanced primary care team improved diabetes management. This supports the inclusion and utilization of pharmacists in multidisciplinary efforts to improve diabetes care.","author":[{"dropping-particle":"","family":"Firkus","given":"Danielle","non-dropping-particle":"","parse-names":false,"suffix":""},{"dropping-particle":"","family":"McCoy","given":"Rozalina G.","non-dropping-particle":"","parse-names":false,"suffix":""},{"dropping-particle":"","family":"Matulis","given":"John","non-dropping-particle":"","parse-names":false,"suffix":""},{"dropping-particle":"","family":"Kessler","given":"Maya","non-dropping-particle":"","parse-names":false,"suffix":""},{"dropping-particle":"","family":"Mara","given":"Kristin","non-dropping-particle":"","parse-names":false,"suffix":""},{"dropping-particle":"","family":"Herges","given":"Joseph","non-dropping-particle":"","parse-names":false,"suffix":""}],"container-title":"PLoS ONE","id":"ITEM-1","issue":"1 January","issued":{"date-parts":[["2023"]]},"page":"1-11","title":"Evaluation of pharmacist consults within a collaborative enhanced primary care team model to improve diabetes care","type":"article-journal","volume":"18"},"uris":["http://www.mendeley.com/documents/?uuid=3442fc06-aa3f-440d-8cef-875b6bf549e5"]}],"mendeley":{"formattedCitation":"(Firkus &lt;i&gt;et al.&lt;/i&gt;, 2023)","manualFormatting":"Firkus et al. (2023)","plainTextFormattedCitation":"(Firkus et al., 2023)","previouslyFormattedCitation":"(Firkus &lt;i&gt;et al.&lt;/i&gt;, 2023)"},"properties":{"noteIndex":0},"schema":"https://github.com/citation-style-language/schema/raw/master/csl-citation.json"}</w:instrText>
      </w:r>
      <w:r w:rsidRPr="00876389">
        <w:rPr>
          <w:rFonts w:ascii="Arial" w:hAnsi="Arial" w:cs="Arial"/>
          <w:sz w:val="24"/>
          <w:szCs w:val="24"/>
          <w:lang w:val="en"/>
        </w:rPr>
        <w:fldChar w:fldCharType="separate"/>
      </w:r>
      <w:r w:rsidRPr="00876389">
        <w:rPr>
          <w:rFonts w:ascii="Arial" w:hAnsi="Arial" w:cs="Arial"/>
          <w:noProof/>
          <w:sz w:val="24"/>
          <w:szCs w:val="24"/>
          <w:lang w:val="en"/>
        </w:rPr>
        <w:t xml:space="preserve">Firkus </w:t>
      </w:r>
      <w:r w:rsidRPr="00876389">
        <w:rPr>
          <w:rFonts w:ascii="Arial" w:hAnsi="Arial" w:cs="Arial"/>
          <w:i/>
          <w:noProof/>
          <w:sz w:val="24"/>
          <w:szCs w:val="24"/>
          <w:lang w:val="en"/>
        </w:rPr>
        <w:t>et al.</w:t>
      </w:r>
      <w:r w:rsidRPr="00876389">
        <w:rPr>
          <w:rFonts w:ascii="Arial" w:hAnsi="Arial" w:cs="Arial"/>
          <w:noProof/>
          <w:sz w:val="24"/>
          <w:szCs w:val="24"/>
          <w:lang w:val="en"/>
        </w:rPr>
        <w:t xml:space="preserve"> (2023)</w:t>
      </w:r>
      <w:r w:rsidRPr="00876389">
        <w:rPr>
          <w:rFonts w:ascii="Arial" w:hAnsi="Arial" w:cs="Arial"/>
          <w:sz w:val="24"/>
          <w:szCs w:val="24"/>
          <w:lang w:val="en"/>
        </w:rPr>
        <w:fldChar w:fldCharType="end"/>
      </w:r>
      <w:r w:rsidRPr="00876389">
        <w:rPr>
          <w:rFonts w:ascii="Arial" w:hAnsi="Arial" w:cs="Arial"/>
          <w:sz w:val="24"/>
          <w:szCs w:val="24"/>
          <w:lang w:val="en"/>
        </w:rPr>
        <w:t>, and Chaudhri et al. (2023), implementing pharmacist-doctors' collaborative care in a primary healthcare context improved diabetes management, CV risk outcomes, and other numerous diabetes-related outcomes for diabetic patients. Within the pharmacist-physician collaborative practice approach, Cowart et al. (2022) also found a shorter time for the intensification of antidiabetic treatment and improvements in A1C compared with usual care.</w:t>
      </w:r>
    </w:p>
    <w:p w14:paraId="55CA155F" w14:textId="77777777" w:rsidR="00CD3ED7" w:rsidRPr="002126E0" w:rsidRDefault="00CD3ED7" w:rsidP="00CD3ED7">
      <w:pPr>
        <w:autoSpaceDE w:val="0"/>
        <w:autoSpaceDN w:val="0"/>
        <w:adjustRightInd w:val="0"/>
        <w:spacing w:line="360" w:lineRule="auto"/>
        <w:jc w:val="both"/>
        <w:rPr>
          <w:rFonts w:ascii="Arial" w:eastAsia="Times New Roman" w:hAnsi="Arial" w:cs="Arial"/>
          <w:sz w:val="24"/>
          <w:szCs w:val="24"/>
          <w:lang w:val="en-GB"/>
        </w:rPr>
      </w:pPr>
      <w:r w:rsidRPr="002126E0">
        <w:rPr>
          <w:rFonts w:ascii="Arial" w:eastAsia="Times New Roman" w:hAnsi="Arial" w:cs="Arial"/>
          <w:sz w:val="24"/>
          <w:szCs w:val="24"/>
          <w:lang w:val="en-GB"/>
        </w:rPr>
        <w:t xml:space="preserve">A collaborative practice agreement is thus required where a clinical pharmacist collaborates with the physician to provide appropriate patient care through delivering comprehensive medication management, evaluating the medications required by patients, modifying the medication regimen, and monitoring and maximising medication benefits </w:t>
      </w:r>
      <w:r w:rsidRPr="002126E0">
        <w:rPr>
          <w:rFonts w:ascii="Arial" w:eastAsia="Times New Roman" w:hAnsi="Arial" w:cs="Arial"/>
          <w:sz w:val="24"/>
          <w:szCs w:val="24"/>
          <w:lang w:val="en-GB"/>
        </w:rPr>
        <w:fldChar w:fldCharType="begin" w:fldLock="1"/>
      </w:r>
      <w:r w:rsidRPr="002126E0">
        <w:rPr>
          <w:rFonts w:ascii="Arial" w:eastAsia="Times New Roman" w:hAnsi="Arial" w:cs="Arial"/>
          <w:sz w:val="24"/>
          <w:szCs w:val="24"/>
          <w:lang w:val="en-GB"/>
        </w:rPr>
        <w:instrText>ADDIN CSL_CITATION {"citationItems":[{"id":"ITEM-1","itemData":{"DOI":"10.1592/phco.23.10.1210.32752","ISSN":"02770008","PMID":"14524655","abstract":"Since publication of the initial ACCP position statement on CDTM by pharmacists in 1997, the punic, government, and much of the health care community at large have come to better appreciate the growing complexity of providing effective and safe drug therapy in today's health care environment. Increased interest in the issues of cost and quality of drug use is evident in the increasing coverage of the issue in the lay press and professional literature. This represents real progress, as well as real opportunity, for pharmacists. It also heightens the potential for a better understanding of the vital role that pharmacists can play in addressing these concerns. The percentage of patients who take several drugs for chronic diseases will continue to increase. Based on current trends, the number of patients who lack adequate access to care, or who receive either suboptimal, inappropriate, or unnecessarily expensive drug therapy for their acute and chronic diseases, will increase. Even as financial and human resources are increasingly strained within the current health care system, costs will continue to rise unless changes are made. Fortunately, qualified pharmacists are prepared, capable, and willing to help address a significant portion of these challenges. The public, many health care providers, some legislators, and a few insurers now recognize that pharmacists, because of their education and training in drug therapy, are well positioned both to accept additional responsibility for patient care and to provide services that make a real difference in health care quality and outcomes. The health care programs administered by the U.S. Public Health Service, the armed forces, and the Veterans Health Administration, as well as 38 states, now support pharmacist participation in CDTM. Pharmacists, working in an interdisciplinary structure with physicians and other health care providers, have demonstrated that they can improve the effectiveness, efficiency, and safety of drug therapy by providing CDTM. It is time to incorporate this valuable professional skill of the contemporary pharmacist as a core component of the delivery of health care services.","author":[{"dropping-particle":"","family":"Hammond","given":"Raymond W.","non-dropping-particle":"","parse-names":false,"suffix":""},{"dropping-particle":"","family":"Schwartz","given":"Amy H.","non-dropping-particle":"","parse-names":false,"suffix":""},{"dropping-particle":"","family":"Campbell","given":"Marla J.","non-dropping-particle":"","parse-names":false,"suffix":""},{"dropping-particle":"","family":"Remington","given":"Tami L.","non-dropping-particle":"","parse-names":false,"suffix":""},{"dropping-particle":"","family":"Chuck","given":"Susan","non-dropping-particle":"","parse-names":false,"suffix":""},{"dropping-particle":"","family":"Blair","given":"Melissa M.","non-dropping-particle":"","parse-names":false,"suffix":""},{"dropping-particle":"","family":"Vassey","given":"Ann M.","non-dropping-particle":"","parse-names":false,"suffix":""},{"dropping-particle":"","family":"Rospond","given":"Raylene M.","non-dropping-particle":"","parse-names":false,"suffix":""},{"dropping-particle":"","family":"Herner","given":"Sheryl J.","non-dropping-particle":"","parse-names":false,"suffix":""},{"dropping-particle":"","family":"Webb","given":"C. Edwin","non-dropping-particle":"","parse-names":false,"suffix":""}],"container-title":"Pharmacotherapy","id":"ITEM-1","issue":"9 I","issued":{"date-parts":[["2003","9","1"]]},"page":"1210-1225","publisher":"Pharmacotherapy Publications Inc.","title":"Collaborative drug therapy management by pharmacists - 2003","type":"article","volume":"23"},"uris":["http://www.mendeley.com/documents/?uuid=fd3fe7a5-4a9f-335d-ac8a-05430989cd95"]}],"mendeley":{"formattedCitation":"(Hammond &lt;i&gt;et al.&lt;/i&gt;, 2003)","plainTextFormattedCitation":"(Hammond et al., 2003)","previouslyFormattedCitation":"(Hammond &lt;i&gt;et al.&lt;/i&gt;, 2003)"},"properties":{"noteIndex":0},"schema":"https://github.com/citation-style-language/schema/raw/master/csl-citation.json"}</w:instrText>
      </w:r>
      <w:r w:rsidRPr="002126E0">
        <w:rPr>
          <w:rFonts w:ascii="Arial" w:eastAsia="Times New Roman" w:hAnsi="Arial" w:cs="Arial"/>
          <w:sz w:val="24"/>
          <w:szCs w:val="24"/>
          <w:lang w:val="en-GB"/>
        </w:rPr>
        <w:fldChar w:fldCharType="separate"/>
      </w:r>
      <w:r w:rsidRPr="002126E0">
        <w:rPr>
          <w:rFonts w:ascii="Arial" w:eastAsia="Times New Roman" w:hAnsi="Arial" w:cs="Arial"/>
          <w:noProof/>
          <w:sz w:val="24"/>
          <w:szCs w:val="24"/>
          <w:lang w:val="en-GB"/>
        </w:rPr>
        <w:t xml:space="preserve">(Hammond </w:t>
      </w:r>
      <w:r w:rsidRPr="002126E0">
        <w:rPr>
          <w:rFonts w:ascii="Arial" w:eastAsia="Times New Roman" w:hAnsi="Arial" w:cs="Arial"/>
          <w:i/>
          <w:noProof/>
          <w:sz w:val="24"/>
          <w:szCs w:val="24"/>
          <w:lang w:val="en-GB"/>
        </w:rPr>
        <w:t>et al.</w:t>
      </w:r>
      <w:r w:rsidRPr="002126E0">
        <w:rPr>
          <w:rFonts w:ascii="Arial" w:eastAsia="Times New Roman" w:hAnsi="Arial" w:cs="Arial"/>
          <w:noProof/>
          <w:sz w:val="24"/>
          <w:szCs w:val="24"/>
          <w:lang w:val="en-GB"/>
        </w:rPr>
        <w:t>, 2003)</w:t>
      </w:r>
      <w:r w:rsidRPr="002126E0">
        <w:rPr>
          <w:rFonts w:ascii="Arial" w:eastAsia="Times New Roman" w:hAnsi="Arial" w:cs="Arial"/>
          <w:sz w:val="24"/>
          <w:szCs w:val="24"/>
          <w:lang w:val="en-GB"/>
        </w:rPr>
        <w:fldChar w:fldCharType="end"/>
      </w:r>
      <w:r w:rsidRPr="002126E0">
        <w:rPr>
          <w:rFonts w:ascii="Arial" w:eastAsia="Times New Roman" w:hAnsi="Arial" w:cs="Arial"/>
          <w:sz w:val="24"/>
          <w:szCs w:val="24"/>
          <w:lang w:val="en-GB"/>
        </w:rPr>
        <w:t>.</w:t>
      </w:r>
    </w:p>
    <w:p w14:paraId="44A2B494" w14:textId="77777777" w:rsidR="00CD3ED7" w:rsidRPr="002126E0" w:rsidRDefault="00CD3ED7" w:rsidP="00CD3ED7">
      <w:pPr>
        <w:autoSpaceDE w:val="0"/>
        <w:autoSpaceDN w:val="0"/>
        <w:adjustRightInd w:val="0"/>
        <w:spacing w:line="360" w:lineRule="auto"/>
        <w:jc w:val="both"/>
        <w:rPr>
          <w:rFonts w:ascii="Arial" w:hAnsi="Arial" w:cs="Arial"/>
          <w:iCs/>
          <w:noProof/>
          <w:sz w:val="24"/>
          <w:szCs w:val="24"/>
        </w:rPr>
      </w:pPr>
      <w:r w:rsidRPr="002126E0">
        <w:rPr>
          <w:rFonts w:ascii="Arial" w:eastAsia="Times New Roman" w:hAnsi="Arial" w:cs="Arial"/>
          <w:sz w:val="24"/>
          <w:szCs w:val="24"/>
          <w:lang w:val="en-GB"/>
        </w:rPr>
        <w:t xml:space="preserve">Therefore, </w:t>
      </w:r>
      <w:r w:rsidRPr="002126E0">
        <w:rPr>
          <w:rFonts w:ascii="Arial" w:hAnsi="Arial" w:cs="Arial"/>
          <w:sz w:val="24"/>
          <w:szCs w:val="24"/>
          <w:lang w:val="en-GB"/>
        </w:rPr>
        <w:t xml:space="preserve">a multidisciplinary care team approach should be considered to optimise the management of diseases. The ADA strongly recommends a collaborative and integrated team approach for diabetes management </w:t>
      </w:r>
      <w:r w:rsidRPr="002126E0">
        <w:rPr>
          <w:rFonts w:ascii="Arial" w:hAnsi="Arial" w:cs="Arial"/>
          <w:sz w:val="24"/>
          <w:szCs w:val="24"/>
          <w:lang w:val="en-GB"/>
        </w:rPr>
        <w:fldChar w:fldCharType="begin" w:fldLock="1"/>
      </w:r>
      <w:r w:rsidRPr="002126E0">
        <w:rPr>
          <w:rFonts w:ascii="Arial" w:hAnsi="Arial" w:cs="Arial"/>
          <w:sz w:val="24"/>
          <w:szCs w:val="24"/>
          <w:lang w:val="en-GB"/>
        </w:rPr>
        <w:instrText>ADDIN CSL_CITATION {"citationItems":[{"id":"ITEM-1","itemData":{"DOI":"https://dx.doi.org/10.18553/jmcp.2016.22.5.493","ISSN":"2376-1032","PMID":"27123912","abstract":"BACKGROUND: Diabetes mellitus is a major health problem that is growing rapidly worldwide. A collaborative and integrated team approach in which pharmacists can play a pivotal role should be sought when managing patients with diabetes., OBJECTIVE: To identify and summarize the main outcomes of pharmacist interventions in the management of type 2 diabetes., METHODS: PubMed, Cochrane Central Register of Controlled Trials, and Web of Science were searched for randomized controlled trials evaluating the effectiveness of any pharmacist intervention directed at patients with type 2 diabetes in comparison with usual care. Outcome measures of interest included glycosylated hemoglobin (Alc), blood glucose, blood pressure, lipid profile, body mass index (BMI), 10-year coronary heart disease (CHD) risk, medication adherence, health-related quality of life (HRQoL), and economic outcomes. The risk of bias in included studies was assessed using the Cochrane risk of bias tool., RESULTS: Thirty-six studies were included in this systematic review, involving 5,761 participants. The studies evaluated the effects of several pharmacist interventions carried out in various countries and in different health care facilities, such as community pharmacies, primary care clinics, and hospitals. The number of studies reporting each outcome of interest varied. Alc was evaluated in 26 studies, of which 24 reported a greater reduction in this outcome in the intervention group compared with the control group, with the difference in change between groups ranging from -0.18% to -2.1%. Eighteen studies assessed change in systolic blood pressure, of which 17 studies reported a greater improvement in this outcome in the intervention group, with the difference in change between groups varying between -3.3 mmHg and -23.05 mmHg. For diastolic blood pressure, a greater effect was also observed in the intervention group in 14 out of 15 studies, with the difference in change between groups varying between -0.21 mmHg and -9.1 mmHg. Thirteen studies described total cholesterol as an outcome measure, of which 10 reported a greater improvement in this outcome in the intervention group, with the difference in change between groups ranging from +18.95 mg dL(-1) to -32.48 mg dL(-1). With regard to low-density lipoprotein cholesterol, a greater reduction in this parameter in the intervention group was documented in 12 out of 15 studies, with the difference in change between groups varying between +7.35 m…","author":[{"dropping-particle":"","family":"Pousinho","given":"Sarah","non-dropping-particle":"","parse-names":false,"suffix":""},{"dropping-particle":"","family":"Morgado","given":"Manuel","non-dropping-particle":"","parse-names":false,"suffix":""},{"dropping-particle":"","family":"Falcão","given":"Amílcar","non-dropping-particle":"","parse-names":false,"suffix":""},{"dropping-particle":"","family":"Alves","given":"Gilberto","non-dropping-particle":"","parse-names":false,"suffix":""},{"dropping-particle":"","family":"Falcao","given":"Amilcar","non-dropping-particle":"","parse-names":false,"suffix":""},{"dropping-particle":"","family":"Alves","given":"Gilberto","non-dropping-particle":"","parse-names":false,"suffix":""}],"container-title":"Journal of managed care &amp; specialty pharmacy","id":"ITEM-1","issue":"5","issued":{"date-parts":[["2016","5","1"]]},"page":"493-515","publisher":"Academy of Managed Care Pharmacy (AMCP)","publisher-place":"United States","title":"Pharmacist Interventions in the Management of Type 2 Diabetes Mellitus: A Systematic Review of Randomized Controlled Trials.","type":"article-journal","volume":"22"},"uris":["http://www.mendeley.com/documents/?uuid=5ba65295-ecb5-4236-9c6c-4d2012560a2c"]}],"mendeley":{"formattedCitation":"(Pousinho &lt;i&gt;et al.&lt;/i&gt;, 2016)","manualFormatting":"(Pousinho et al., 2016)","plainTextFormattedCitation":"(Pousinho et al., 2016)","previouslyFormattedCitation":"(Pousinho &lt;i&gt;et al.&lt;/i&gt;, 2016)"},"properties":{"noteIndex":0},"schema":"https://github.com/citation-style-language/schema/raw/master/csl-citation.json"}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fldChar w:fldCharType="begin" w:fldLock="1"/>
      </w:r>
      <w:r w:rsidRPr="002126E0">
        <w:rPr>
          <w:rFonts w:ascii="Arial" w:hAnsi="Arial" w:cs="Arial"/>
          <w:noProof/>
          <w:sz w:val="24"/>
          <w:szCs w:val="24"/>
          <w:lang w:val="en-GB"/>
        </w:rPr>
        <w:instrText>ADDIN CSL_CITATION {"citationItems":[{"id":"ITEM-1","itemData":{"DOI":"https://dx.doi.org/10.18553/jmcp.2016.22.5.493","ISSN":"2376-1032","PMID":"27123912","abstract":"BACKGROUND: Diabetes mellitus is a major health problem that is growing rapidly worldwide. A collaborative and integrated team approach in which pharmacists can play a pivotal role should be sought when managing patients with diabetes., OBJECTIVE: To identify and summarize the main outcomes of pharmacist interventions in the management of type 2 diabetes., METHODS: PubMed, Cochrane Central Register of Controlled Trials, and Web of Science were searched for randomized controlled trials evaluating the effectiveness of any pharmacist intervention directed at patients with type 2 diabetes in comparison with usual care. Outcome measures of interest included glycosylated hemoglobin (Alc), blood glucose, blood pressure, lipid profile, body mass index (BMI), 10-year coronary heart disease (CHD) risk, medication adherence, health-related quality of life (HRQoL), and economic outcomes. The risk of bias in included studies was assessed using the Cochrane risk of bias tool., RESULTS: Thirty-six studies were included in this systematic review, involving 5,761 participants. The studies evaluated the effects of several pharmacist interventions carried out in various countries and in different health care facilities, such as community pharmacies, primary care clinics, and hospitals. The number of studies reporting each outcome of interest varied. Alc was evaluated in 26 studies, of which 24 reported a greater reduction in this outcome in the intervention group compared with the control group, with the difference in change between groups ranging from -0.18% to -2.1%. Eighteen studies assessed change in systolic blood pressure, of which 17 studies reported a greater improvement in this outcome in the intervention group, with the difference in change between groups varying between -3.3 mmHg and -23.05 mmHg. For diastolic blood pressure, a greater effect was also observed in the intervention group in 14 out of 15 studies, with the difference in change between groups varying between -0.21 mmHg and -9.1 mmHg. Thirteen studies described total cholesterol as an outcome measure, of which 10 reported a greater improvement in this outcome in the intervention group, with the difference in change between groups ranging from +18.95 mg dL(-1) to -32.48 mg dL(-1). With regard to low-density lipoprotein cholesterol, a greater reduction in this parameter in the intervention group was documented in 12 out of 15 studies, with the difference in change between groups varying between +7.35 m…","author":[{"dropping-particle":"","family":"Pousinho","given":"Sarah","non-dropping-particle":"","parse-names":false,"suffix":""},{"dropping-particle":"","family":"Morgado","given":"Manuel","non-dropping-particle":"","parse-names":false,"suffix":""},{"dropping-particle":"","family":"Falcão","given":"Amílcar","non-dropping-particle":"","parse-names":false,"suffix":""},{"dropping-particle":"","family":"Alves","given":"Gilberto","non-dropping-particle":"","parse-names":false,"suffix":""},{"dropping-particle":"","family":"Falcao","given":"Amilcar","non-dropping-particle":"","parse-names":false,"suffix":""},{"dropping-particle":"","family":"Alves","given":"Gilberto","non-dropping-particle":"","parse-names":false,"suffix":""}],"container-title":"Journal of managed care &amp; specialty pharmacy","id":"ITEM-1","issue":"5","issued":{"date-parts":[["2016","5","1"]]},"page":"493-515","publisher":"Academy of Managed Care Pharmacy (AMCP)","publisher-place":"United States","title":"Pharmacist Interventions in the Management of Type 2 Diabetes Mellitus: A Systematic Review of Randomized Controlled Trials.","type":"article-journal","volume":"22"},"uris":["http://www.mendeley.com/documents/?uuid=5ba65295-ecb5-4236-9c6c-4d2012560a2c"]}],"mendeley":{"formattedCitation":"(Pousinho &lt;i&gt;et al.&lt;/i&gt;, 2016)","plainTextFormattedCitation":"(Pousinho et al., 2016)","previouslyFormattedCitation":"(Pousinho &lt;i&gt;et al.&lt;/i&gt;, 2016)"},"properties":{"noteIndex":0},"schema":"https://github.com/citation-style-language/schema/raw/master/csl-citation.json"}</w:instrText>
      </w:r>
      <w:r w:rsidRPr="002126E0">
        <w:rPr>
          <w:rFonts w:ascii="Arial" w:hAnsi="Arial" w:cs="Arial"/>
          <w:noProof/>
          <w:sz w:val="24"/>
          <w:szCs w:val="24"/>
          <w:lang w:val="en-GB"/>
        </w:rPr>
        <w:fldChar w:fldCharType="separate"/>
      </w:r>
      <w:r w:rsidRPr="002126E0">
        <w:rPr>
          <w:rFonts w:ascii="Arial" w:hAnsi="Arial" w:cs="Arial"/>
          <w:noProof/>
          <w:sz w:val="24"/>
          <w:szCs w:val="24"/>
          <w:lang w:val="en-GB"/>
        </w:rPr>
        <w:t>(Pousinho et al., 2016)</w:t>
      </w:r>
      <w:r w:rsidRPr="002126E0">
        <w:rPr>
          <w:rFonts w:ascii="Arial" w:hAnsi="Arial" w:cs="Arial"/>
          <w:noProof/>
          <w:sz w:val="24"/>
          <w:szCs w:val="24"/>
          <w:lang w:val="en-GB"/>
        </w:rPr>
        <w:fldChar w:fldCharType="end"/>
      </w:r>
      <w:r w:rsidRPr="002126E0">
        <w:rPr>
          <w:rFonts w:ascii="Arial" w:hAnsi="Arial" w:cs="Arial"/>
          <w:sz w:val="24"/>
          <w:szCs w:val="24"/>
          <w:lang w:val="en-GB"/>
        </w:rPr>
        <w:fldChar w:fldCharType="end"/>
      </w:r>
      <w:r w:rsidRPr="002126E0">
        <w:rPr>
          <w:rFonts w:ascii="Arial" w:hAnsi="Arial" w:cs="Arial"/>
          <w:sz w:val="24"/>
          <w:szCs w:val="24"/>
          <w:lang w:val="en-GB"/>
        </w:rPr>
        <w:t xml:space="preserve">, because when the team working collaboratively can best meet patients’ needs </w:t>
      </w:r>
      <w:r w:rsidRPr="002126E0">
        <w:rPr>
          <w:rFonts w:ascii="Arial" w:hAnsi="Arial" w:cs="Arial"/>
          <w:sz w:val="24"/>
          <w:szCs w:val="24"/>
          <w:lang w:val="en-GB"/>
        </w:rPr>
        <w:fldChar w:fldCharType="begin" w:fldLock="1"/>
      </w:r>
      <w:r w:rsidRPr="002126E0">
        <w:rPr>
          <w:rFonts w:ascii="Arial" w:hAnsi="Arial" w:cs="Arial"/>
          <w:sz w:val="24"/>
          <w:szCs w:val="24"/>
          <w:lang w:val="en-GB"/>
        </w:rPr>
        <w:instrText>ADDIN CSL_CITATION {"citationItems":[{"id":"ITEM-1","itemData":{"author":[{"dropping-particle":"","family":"Willens","given":"David","non-dropping-particle":"","parse-names":false,"suffix":""},{"dropping-particle":"","family":"Cripps","given":"Rebecca","non-dropping-particle":"","parse-names":false,"suffix":""},{"dropping-particle":"","family":"Wilson","given":"Amy","non-dropping-particle":"","parse-names":false,"suffix":""},{"dropping-particle":"","family":"Wolff","given":"Kathleen","non-dropping-particle":"","parse-names":false,"suffix":""},{"dropping-particle":"","family":"Rothman","given":"Russell","non-dropping-particle":"","parse-names":false,"suffix":""}],"container-title":"Clinical Diabetes","id":"ITEM-1","issue":"2","issued":{"date-parts":[["2011"]]},"title":"Interdisciplinary Team Care for Diabetic Patients by Primary Care Physicians, Advanced Practice Nurses, and Clinical Pharmacists","type":"article-journal","volume":"29"},"uris":["http://www.mendeley.com/documents/?uuid=cbab824b-805e-3469-8cd8-97223cf09ef7"]}],"mendeley":{"formattedCitation":"(Willens &lt;i&gt;et al.&lt;/i&gt;, 2011)","plainTextFormattedCitation":"(Willens et al., 2011)","previouslyFormattedCitation":"(Willens &lt;i&gt;et al.&lt;/i&gt;, 2011)"},"properties":{"noteIndex":0},"schema":"https://github.com/citation-style-language/schema/raw/master/csl-citation.json"}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t xml:space="preserve">(Willens </w:t>
      </w:r>
      <w:r w:rsidRPr="002126E0">
        <w:rPr>
          <w:rFonts w:ascii="Arial" w:hAnsi="Arial" w:cs="Arial"/>
          <w:i/>
          <w:noProof/>
          <w:sz w:val="24"/>
          <w:szCs w:val="24"/>
          <w:lang w:val="en-GB"/>
        </w:rPr>
        <w:t>et al.</w:t>
      </w:r>
      <w:r w:rsidRPr="002126E0">
        <w:rPr>
          <w:rFonts w:ascii="Arial" w:hAnsi="Arial" w:cs="Arial"/>
          <w:noProof/>
          <w:sz w:val="24"/>
          <w:szCs w:val="24"/>
          <w:lang w:val="en-GB"/>
        </w:rPr>
        <w:t>, 2011)</w:t>
      </w:r>
      <w:r w:rsidRPr="002126E0">
        <w:rPr>
          <w:rFonts w:ascii="Arial" w:hAnsi="Arial" w:cs="Arial"/>
          <w:sz w:val="24"/>
          <w:szCs w:val="24"/>
          <w:lang w:val="en-GB"/>
        </w:rPr>
        <w:fldChar w:fldCharType="end"/>
      </w:r>
      <w:r w:rsidRPr="002126E0">
        <w:rPr>
          <w:rFonts w:ascii="Arial" w:hAnsi="Arial" w:cs="Arial"/>
          <w:sz w:val="24"/>
          <w:szCs w:val="24"/>
          <w:lang w:val="en-GB"/>
        </w:rPr>
        <w:t>.</w:t>
      </w:r>
      <w:r w:rsidRPr="002126E0">
        <w:rPr>
          <w:rFonts w:ascii="Arial" w:hAnsi="Arial" w:cs="Arial"/>
          <w:iCs/>
          <w:noProof/>
          <w:sz w:val="24"/>
          <w:szCs w:val="24"/>
        </w:rPr>
        <w:t xml:space="preserve"> </w:t>
      </w:r>
    </w:p>
    <w:p w14:paraId="30F66E27" w14:textId="77777777" w:rsidR="00CD3ED7" w:rsidRPr="00876389" w:rsidRDefault="00CD3ED7" w:rsidP="00CD3ED7">
      <w:pPr>
        <w:autoSpaceDE w:val="0"/>
        <w:autoSpaceDN w:val="0"/>
        <w:adjustRightInd w:val="0"/>
        <w:spacing w:line="360" w:lineRule="auto"/>
        <w:jc w:val="both"/>
        <w:rPr>
          <w:rFonts w:ascii="Arial" w:hAnsi="Arial" w:cs="Arial"/>
          <w:noProof/>
          <w:sz w:val="24"/>
          <w:szCs w:val="24"/>
          <w:lang w:val="en"/>
        </w:rPr>
      </w:pPr>
      <w:r w:rsidRPr="002126E0">
        <w:rPr>
          <w:rFonts w:ascii="Arial" w:hAnsi="Arial" w:cs="Arial"/>
          <w:sz w:val="24"/>
          <w:szCs w:val="24"/>
          <w:lang w:val="en-GB"/>
        </w:rPr>
        <w:t>The role of the pharmacist as part of a multidisciplinary approach is increasingly recognised as having a strategic position in primary care and health promotion in many developed countries</w:t>
      </w:r>
      <w:r w:rsidRPr="002126E0">
        <w:rPr>
          <w:rFonts w:ascii="Arial" w:hAnsi="Arial" w:cs="Arial"/>
          <w:noProof/>
          <w:sz w:val="24"/>
          <w:szCs w:val="24"/>
          <w:lang w:val="en"/>
        </w:rPr>
        <w:t xml:space="preserve"> </w:t>
      </w:r>
      <w:r w:rsidRPr="002126E0">
        <w:rPr>
          <w:rFonts w:ascii="Arial" w:hAnsi="Arial" w:cs="Arial"/>
          <w:noProof/>
          <w:sz w:val="24"/>
          <w:szCs w:val="24"/>
          <w:lang w:val="en"/>
        </w:rPr>
        <w:fldChar w:fldCharType="begin" w:fldLock="1"/>
      </w:r>
      <w:r w:rsidRPr="002126E0">
        <w:rPr>
          <w:rFonts w:ascii="Arial" w:hAnsi="Arial" w:cs="Arial"/>
          <w:noProof/>
          <w:sz w:val="24"/>
          <w:szCs w:val="24"/>
          <w:lang w:val="en"/>
        </w:rPr>
        <w:instrText>ADDIN CSL_CITATION {"citationItems":[{"id":"ITEM-1","itemData":{"author":[{"dropping-particle":"","family":"Hassali","given":"M A","non-dropping-particle":"","parse-names":false,"suffix":""},{"dropping-particle":"","family":"Nazir","given":"S R","non-dropping-particle":"","parse-names":false,"suffix":""},{"dropping-particle":"","family":"Saleem","given":"F","non-dropping-particle":"","parse-names":false,"suffix":""},{"dropping-particle":"","family":"Masood","given":"I","non-dropping-particle":"","parse-names":false,"suffix":""}],"container-title":"Alternative Therapies in Health and Medicine","id":"ITEM-1","issue":"1","issued":{"date-parts":[["2015"]]},"note":"Cited By :6\n\nExport Date: 26 September 2019","page":"28-35","title":"Literature review: Pharmacists’ interventions to improve control and management in type 2 diabetes mellitus","type":"article-journal","volume":"21"},"uris":["http://www.mendeley.com/documents/?uuid=1f19d666-91f7-49d5-a7c5-d80fdd9f6d99"]}],"mendeley":{"formattedCitation":"(Hassali &lt;i&gt;et al.&lt;/i&gt;, 2015)","plainTextFormattedCitation":"(Hassali et al., 2015)","previouslyFormattedCitation":"(Hassali &lt;i&gt;et al.&lt;/i&gt;, 2015)"},"properties":{"noteIndex":0},"schema":"https://github.com/citation-style-language/schema/raw/master/csl-citation.json"}</w:instrText>
      </w:r>
      <w:r w:rsidRPr="002126E0">
        <w:rPr>
          <w:rFonts w:ascii="Arial" w:hAnsi="Arial" w:cs="Arial"/>
          <w:noProof/>
          <w:sz w:val="24"/>
          <w:szCs w:val="24"/>
          <w:lang w:val="en"/>
        </w:rPr>
        <w:fldChar w:fldCharType="separate"/>
      </w:r>
      <w:r w:rsidRPr="002126E0">
        <w:rPr>
          <w:rFonts w:ascii="Arial" w:hAnsi="Arial" w:cs="Arial"/>
          <w:noProof/>
          <w:sz w:val="24"/>
          <w:szCs w:val="24"/>
          <w:lang w:val="en"/>
        </w:rPr>
        <w:t xml:space="preserve">(Hassali </w:t>
      </w:r>
      <w:r w:rsidRPr="002126E0">
        <w:rPr>
          <w:rFonts w:ascii="Arial" w:hAnsi="Arial" w:cs="Arial"/>
          <w:i/>
          <w:noProof/>
          <w:sz w:val="24"/>
          <w:szCs w:val="24"/>
          <w:lang w:val="en"/>
        </w:rPr>
        <w:t>et al.</w:t>
      </w:r>
      <w:r w:rsidRPr="002126E0">
        <w:rPr>
          <w:rFonts w:ascii="Arial" w:hAnsi="Arial" w:cs="Arial"/>
          <w:noProof/>
          <w:sz w:val="24"/>
          <w:szCs w:val="24"/>
          <w:lang w:val="en"/>
        </w:rPr>
        <w:t>, 2015)</w:t>
      </w:r>
      <w:r w:rsidRPr="002126E0">
        <w:rPr>
          <w:rFonts w:ascii="Arial" w:hAnsi="Arial" w:cs="Arial"/>
          <w:noProof/>
          <w:sz w:val="24"/>
          <w:szCs w:val="24"/>
          <w:lang w:val="en"/>
        </w:rPr>
        <w:fldChar w:fldCharType="end"/>
      </w:r>
      <w:r w:rsidRPr="00876389">
        <w:rPr>
          <w:rFonts w:ascii="Arial" w:hAnsi="Arial" w:cs="Arial"/>
          <w:noProof/>
          <w:sz w:val="24"/>
          <w:szCs w:val="24"/>
          <w:lang w:val="en"/>
        </w:rPr>
        <w:t xml:space="preserve">. To promote health and prevent disease, the Royal Pharmaceutical Society has asked other health professionals to collaborate with pharmacists and utilise their knowledge and experience in health promotion and disease prevention activities </w:t>
      </w:r>
      <w:r w:rsidRPr="00876389">
        <w:rPr>
          <w:rFonts w:ascii="Arial" w:hAnsi="Arial" w:cs="Arial"/>
          <w:noProof/>
          <w:sz w:val="24"/>
          <w:szCs w:val="24"/>
          <w:lang w:val="en"/>
        </w:rPr>
        <w:fldChar w:fldCharType="begin" w:fldLock="1"/>
      </w:r>
      <w:r w:rsidRPr="00876389">
        <w:rPr>
          <w:rFonts w:ascii="Arial" w:hAnsi="Arial" w:cs="Arial"/>
          <w:noProof/>
          <w:sz w:val="24"/>
          <w:szCs w:val="24"/>
          <w:lang w:val="en"/>
        </w:rPr>
        <w:instrText>ADDIN CSL_CITATION {"citationItems":[{"id":"ITEM-1","itemData":{"DOI":"10.1111/ijpp.12246","ISSN":"20427174","PMID":"26764226","author":[{"dropping-particle":"","family":"George","given":"Johnson","non-dropping-particle":"","parse-names":false,"suffix":""},{"dropping-particle":"","family":"Zairina","given":"Elida","non-dropping-particle":"","parse-names":false,"suffix":""}],"container-title":"International Journal of Pharmacy Practice","id":"ITEM-1","issue":"1","issued":{"date-parts":[["2016"]]},"page":"3-5","title":"The potential role of pharmacists in chronic disease screening","type":"article-journal","volume":"24"},"uris":["http://www.mendeley.com/documents/?uuid=ddfa5a83-2df1-4344-844b-9b69913eb403"]}],"mendeley":{"formattedCitation":"(George and Zairina, 2016)","plainTextFormattedCitation":"(George and Zairina, 2016)","previouslyFormattedCitation":"(George and Zairina, 2016)"},"properties":{"noteIndex":0},"schema":"https://github.com/citation-style-language/schema/raw/master/csl-citation.json"}</w:instrText>
      </w:r>
      <w:r w:rsidRPr="00876389">
        <w:rPr>
          <w:rFonts w:ascii="Arial" w:hAnsi="Arial" w:cs="Arial"/>
          <w:noProof/>
          <w:sz w:val="24"/>
          <w:szCs w:val="24"/>
          <w:lang w:val="en"/>
        </w:rPr>
        <w:fldChar w:fldCharType="separate"/>
      </w:r>
      <w:r w:rsidRPr="00876389">
        <w:rPr>
          <w:rFonts w:ascii="Arial" w:hAnsi="Arial" w:cs="Arial"/>
          <w:noProof/>
          <w:sz w:val="24"/>
          <w:szCs w:val="24"/>
          <w:lang w:val="en"/>
        </w:rPr>
        <w:t>(George and Zairina, 2016)</w:t>
      </w:r>
      <w:r w:rsidRPr="00876389">
        <w:rPr>
          <w:rFonts w:ascii="Arial" w:hAnsi="Arial" w:cs="Arial"/>
          <w:noProof/>
          <w:sz w:val="24"/>
          <w:szCs w:val="24"/>
          <w:lang w:val="en"/>
        </w:rPr>
        <w:fldChar w:fldCharType="end"/>
      </w:r>
      <w:r w:rsidRPr="00876389">
        <w:rPr>
          <w:rFonts w:ascii="Arial" w:hAnsi="Arial" w:cs="Arial"/>
          <w:noProof/>
          <w:sz w:val="24"/>
          <w:szCs w:val="24"/>
          <w:lang w:val="en"/>
        </w:rPr>
        <w:t>.</w:t>
      </w:r>
    </w:p>
    <w:p w14:paraId="78ECA695" w14:textId="77777777" w:rsidR="00CD3ED7" w:rsidRPr="002126E0" w:rsidRDefault="00CD3ED7" w:rsidP="00CD3ED7">
      <w:pPr>
        <w:autoSpaceDE w:val="0"/>
        <w:autoSpaceDN w:val="0"/>
        <w:adjustRightInd w:val="0"/>
        <w:spacing w:line="360" w:lineRule="auto"/>
        <w:jc w:val="both"/>
        <w:rPr>
          <w:rFonts w:ascii="Arial" w:hAnsi="Arial" w:cs="Arial"/>
          <w:sz w:val="24"/>
          <w:szCs w:val="24"/>
          <w:lang w:val="en-GB"/>
        </w:rPr>
      </w:pPr>
      <w:r w:rsidRPr="002126E0">
        <w:rPr>
          <w:rFonts w:ascii="Arial" w:hAnsi="Arial" w:cs="Arial"/>
          <w:sz w:val="24"/>
          <w:szCs w:val="24"/>
          <w:lang w:val="en-GB"/>
        </w:rPr>
        <w:t xml:space="preserve">Pharmacists working in an interdisciplinary model in primary care settings can be a crucial resource in improving medication management among patients with diabetes, because they can provide optimal medication therapy outcomes through assuring safe, appropriate, cost-effective medication use </w:t>
      </w:r>
      <w:r w:rsidRPr="002126E0">
        <w:rPr>
          <w:rFonts w:ascii="Arial" w:hAnsi="Arial" w:cs="Arial"/>
          <w:sz w:val="24"/>
          <w:szCs w:val="24"/>
          <w:lang w:val="en-GB"/>
        </w:rPr>
        <w:fldChar w:fldCharType="begin" w:fldLock="1"/>
      </w:r>
      <w:r w:rsidRPr="002126E0">
        <w:rPr>
          <w:rFonts w:ascii="Arial" w:hAnsi="Arial" w:cs="Arial"/>
          <w:sz w:val="24"/>
          <w:szCs w:val="24"/>
          <w:lang w:val="en-GB"/>
        </w:rPr>
        <w:instrText>ADDIN CSL_CITATION {"citationItems":[{"id":"ITEM-1","itemData":{"DOI":"10.1177/193229680900300120","ISSN":"19322968","abstract":"Today there are significant gaps between reaching the goal of \"optimal medication therapy\" and the current state of medication use in the United States. Pharmacists are highly accessible and well-trained--yet often underutilized--key health care professionals who can move us closer toward achieving better medication therapy outcomes for patients. Diabetes medication management programs led by pharmacists are described. This is consistent with the \"medical home\" concept of care that promotes primary care providers working collaboratively to coordinate patient-centered care. Pharmacists utilize their clinical expertise in monitoring and managing diabetes medication plans to positively impact health outcomes and empower patients to actively manage their health. In addition, pharmacists can serve as a resource to other health care providers and payers to assure safe, appropriate, cost-effective diabetes medication use.","author":[{"dropping-particle":"","family":"Smith","given":"Marie","non-dropping-particle":"","parse-names":false,"suffix":""}],"container-title":"Journal of Diabetes Science and Technology","id":"ITEM-1","issued":{"date-parts":[["2009"]]},"title":"Pharmacists' role in improving diabetes medication management","type":"article-journal"},"uris":["http://www.mendeley.com/documents/?uuid=493ef8d2-20a4-46d6-8821-724cf4b136dc"]}],"mendeley":{"formattedCitation":"(Smith, 2009b)","manualFormatting":"(Smith, 2009)","plainTextFormattedCitation":"(Smith, 2009b)","previouslyFormattedCitation":"(Smith, 2009b)"},"properties":{"noteIndex":0},"schema":"https://github.com/citation-style-language/schema/raw/master/csl-citation.json"}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t>(Smith, 2009)</w:t>
      </w:r>
      <w:r w:rsidRPr="002126E0">
        <w:rPr>
          <w:rFonts w:ascii="Arial" w:hAnsi="Arial" w:cs="Arial"/>
          <w:sz w:val="24"/>
          <w:szCs w:val="24"/>
          <w:lang w:val="en-GB"/>
        </w:rPr>
        <w:fldChar w:fldCharType="end"/>
      </w:r>
      <w:r w:rsidRPr="002126E0">
        <w:rPr>
          <w:rFonts w:ascii="Arial" w:hAnsi="Arial" w:cs="Arial"/>
          <w:sz w:val="24"/>
          <w:szCs w:val="24"/>
          <w:lang w:val="en-GB"/>
        </w:rPr>
        <w:t xml:space="preserve">. </w:t>
      </w:r>
    </w:p>
    <w:p w14:paraId="29BF88DB" w14:textId="77777777" w:rsidR="00CD3ED7" w:rsidRPr="002126E0" w:rsidRDefault="00CD3ED7" w:rsidP="00CD3ED7">
      <w:pPr>
        <w:autoSpaceDE w:val="0"/>
        <w:autoSpaceDN w:val="0"/>
        <w:adjustRightInd w:val="0"/>
        <w:spacing w:line="360" w:lineRule="auto"/>
        <w:jc w:val="both"/>
        <w:rPr>
          <w:rFonts w:ascii="Arial" w:hAnsi="Arial" w:cs="Arial"/>
          <w:sz w:val="24"/>
          <w:szCs w:val="24"/>
          <w:lang w:val="en-GB"/>
        </w:rPr>
      </w:pPr>
      <w:r w:rsidRPr="002126E0">
        <w:rPr>
          <w:rFonts w:ascii="Arial" w:hAnsi="Arial" w:cs="Arial"/>
          <w:sz w:val="24"/>
          <w:szCs w:val="24"/>
          <w:lang w:val="en-GB"/>
        </w:rPr>
        <w:t xml:space="preserve">The involvement of pharmacists in a diabetes multidisciplinary care team is discussed in several studies with different study designs including those by ADA and the Canadian Diabetes Association </w:t>
      </w:r>
      <w:r w:rsidRPr="002126E0">
        <w:rPr>
          <w:rFonts w:ascii="Arial" w:hAnsi="Arial" w:cs="Arial"/>
          <w:sz w:val="24"/>
          <w:szCs w:val="24"/>
          <w:lang w:val="en-GB"/>
        </w:rPr>
        <w:fldChar w:fldCharType="begin" w:fldLock="1"/>
      </w:r>
      <w:r w:rsidRPr="002126E0">
        <w:rPr>
          <w:rFonts w:ascii="Arial" w:hAnsi="Arial" w:cs="Arial"/>
          <w:sz w:val="24"/>
          <w:szCs w:val="24"/>
          <w:lang w:val="en-GB"/>
        </w:rPr>
        <w:instrText>ADDIN CSL_CITATION {"citationItems":[{"id":"ITEM-1","itemData":{"DOI":"10.1016/j.sapharm.2018.09.021","ISSN":"15517411","abstract":"Background: Control of blood glucose and a reduced risk of complications are important treatment goals in diabetes. Medication non-adherence can influence the outcome of diabetes. Involvement of a pharmacist in diabetes care might help patients to achieve better treatment outcomes. Existing literature reviews have focused on a limited number of interventions and outcome measures, and have involved different healthcare professionals. None of the previous reviews have used a standardized effect size to compare the effects of different pharmacist-led interventions and different outcome measures. Objective: To review pharmacist-led interventions to improve medication adherence in patients with diabetes and to assess the effectiveness of these interventions on medication adherence. Methods: Six databases were systematically searched between March and September 2017 for randomized controlled trials: PubMed, Cochrane library, EMBASE, CINAHL, JSTOR, and Web of Science. The outcome measures used were: medication adherence, HbA1c, fasting plasma glucose (FPG), post-prandial blood glucose (PPG), or random blood glucose (RBG). Cohen's d, a standardized effect size, enabled a comparison of studies with different outcome measures. The Cochrane risk of bias tool was used to assess the quality of the studies. Results: Fifty-nine studies were included in this review. Pharmacist-led interventions enhanced outcomes in patients with diabetes (standardized mean difference (SMD) −0.68; 95% CI-0.79, −0.58; p &lt; 0.001). Subgroup analysis by intervention strategy, the type of intervention and outcome measures produced similar results. Further analysis showed that education, printed/digital material, training/group discussion, were more effective than other interventions. Conclusion: This finding supports the role of the pharmacist in diabetes care to enhance medication adherence.","author":[{"dropping-particle":"","family":"Presley","given":"Bobby","non-dropping-particle":"","parse-names":false,"suffix":""},{"dropping-particle":"","family":"Groot","given":"Wim","non-dropping-particle":"","parse-names":false,"suffix":""},{"dropping-particle":"","family":"Pavlova","given":"Milena","non-dropping-particle":"","parse-names":false,"suffix":""}],"container-title":"Research in Social and Administrative Pharmacy","id":"ITEM-1","issue":"9","issued":{"date-parts":[["2019"]]},"note":"From Duplicate 2 (Pharmacy-led interventions to improve medication adherence among adults with diabetes: A systematic review and meta-analysis - Presley, Bobby; Groot, Wim; Pavlova, Milena)\n\nFrom Duplicate 1 (Pharmacy-led interventions to improve medication adherence among adults with diabetes: A systematic review and meta-analysis - Presley, B; Groot, W; Pavlova, M)\n\nExport Date: 26 September 2019","page":"1057-1067","title":"Pharmacy-led interventions to improve medication adherence among adults with diabetes: A systematic review and meta-analysis","type":"article-journal","volume":"15"},"uris":["http://www.mendeley.com/documents/?uuid=39971cc1-6a7e-4018-bada-ea697b410b37"]}],"mendeley":{"formattedCitation":"(Presley, Groot and Pavlova, 2019)","manualFormatting":"(Presley et al., 2019)","plainTextFormattedCitation":"(Presley, Groot and Pavlova, 2019)","previouslyFormattedCitation":"(Presley, Groot and Pavlova, 2019)"},"properties":{"noteIndex":0},"schema":"https://github.com/citation-style-language/schema/raw/master/csl-citation.json"}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t>(Presley et al., 2019)</w:t>
      </w:r>
      <w:r w:rsidRPr="002126E0">
        <w:rPr>
          <w:rFonts w:ascii="Arial" w:hAnsi="Arial" w:cs="Arial"/>
          <w:sz w:val="24"/>
          <w:szCs w:val="24"/>
          <w:lang w:val="en-GB"/>
        </w:rPr>
        <w:fldChar w:fldCharType="end"/>
      </w:r>
      <w:r w:rsidRPr="002126E0">
        <w:rPr>
          <w:rFonts w:ascii="Arial" w:hAnsi="Arial" w:cs="Arial"/>
          <w:sz w:val="24"/>
          <w:szCs w:val="24"/>
          <w:lang w:val="en-GB"/>
        </w:rPr>
        <w:t xml:space="preserve">. A review study by </w:t>
      </w:r>
      <w:r w:rsidRPr="002126E0">
        <w:rPr>
          <w:rFonts w:ascii="Arial" w:hAnsi="Arial" w:cs="Arial"/>
          <w:noProof/>
          <w:sz w:val="24"/>
          <w:szCs w:val="24"/>
          <w:lang w:val="en"/>
        </w:rPr>
        <w:fldChar w:fldCharType="begin" w:fldLock="1"/>
      </w:r>
      <w:r w:rsidRPr="002126E0">
        <w:rPr>
          <w:rFonts w:ascii="Arial" w:hAnsi="Arial" w:cs="Arial"/>
          <w:noProof/>
          <w:sz w:val="24"/>
          <w:szCs w:val="24"/>
          <w:lang w:val="en"/>
        </w:rPr>
        <w:instrText>ADDIN CSL_CITATION {"citationItems":[{"id":"ITEM-1","itemData":{"author":[{"dropping-particle":"","family":"Hassali","given":"M A","non-dropping-particle":"","parse-names":false,"suffix":""},{"dropping-particle":"","family":"Nazir","given":"S R","non-dropping-particle":"","parse-names":false,"suffix":""},{"dropping-particle":"","family":"Saleem","given":"F","non-dropping-particle":"","parse-names":false,"suffix":""},{"dropping-particle":"","family":"Masood","given":"I","non-dropping-particle":"","parse-names":false,"suffix":""}],"container-title":"Alternative Therapies in Health and Medicine","id":"ITEM-1","issue":"1","issued":{"date-parts":[["2015"]]},"note":"Cited By :6\n\nExport Date: 26 September 2019","page":"28-35","title":"Literature review: Pharmacists’ interventions to improve control and management in type 2 diabetes mellitus","type":"article-journal","volume":"21"},"uris":["http://www.mendeley.com/documents/?uuid=1f19d666-91f7-49d5-a7c5-d80fdd9f6d99"]}],"mendeley":{"formattedCitation":"(Hassali &lt;i&gt;et al.&lt;/i&gt;, 2015)","manualFormatting":"Hassali et al. (2015)","plainTextFormattedCitation":"(Hassali et al., 2015)","previouslyFormattedCitation":"(Hassali &lt;i&gt;et al.&lt;/i&gt;, 2015)"},"properties":{"noteIndex":0},"schema":"https://github.com/citation-style-language/schema/raw/master/csl-citation.json"}</w:instrText>
      </w:r>
      <w:r w:rsidRPr="002126E0">
        <w:rPr>
          <w:rFonts w:ascii="Arial" w:hAnsi="Arial" w:cs="Arial"/>
          <w:noProof/>
          <w:sz w:val="24"/>
          <w:szCs w:val="24"/>
          <w:lang w:val="en"/>
        </w:rPr>
        <w:fldChar w:fldCharType="separate"/>
      </w:r>
      <w:r w:rsidRPr="002126E0">
        <w:rPr>
          <w:rFonts w:ascii="Arial" w:hAnsi="Arial" w:cs="Arial"/>
          <w:noProof/>
          <w:sz w:val="24"/>
          <w:szCs w:val="24"/>
          <w:lang w:val="en"/>
        </w:rPr>
        <w:t xml:space="preserve">Hassali </w:t>
      </w:r>
      <w:r w:rsidRPr="002126E0">
        <w:rPr>
          <w:rFonts w:ascii="Arial" w:hAnsi="Arial" w:cs="Arial"/>
          <w:i/>
          <w:noProof/>
          <w:sz w:val="24"/>
          <w:szCs w:val="24"/>
          <w:lang w:val="en"/>
        </w:rPr>
        <w:t>et al.</w:t>
      </w:r>
      <w:r w:rsidRPr="002126E0">
        <w:rPr>
          <w:rFonts w:ascii="Arial" w:hAnsi="Arial" w:cs="Arial"/>
          <w:noProof/>
          <w:sz w:val="24"/>
          <w:szCs w:val="24"/>
          <w:lang w:val="en"/>
        </w:rPr>
        <w:t xml:space="preserve"> (2015)</w:t>
      </w:r>
      <w:r w:rsidRPr="002126E0">
        <w:rPr>
          <w:rFonts w:ascii="Arial" w:hAnsi="Arial" w:cs="Arial"/>
          <w:noProof/>
          <w:sz w:val="24"/>
          <w:szCs w:val="24"/>
          <w:lang w:val="en"/>
        </w:rPr>
        <w:fldChar w:fldCharType="end"/>
      </w:r>
      <w:r w:rsidRPr="002126E0">
        <w:rPr>
          <w:rFonts w:ascii="Arial" w:hAnsi="Arial" w:cs="Arial"/>
          <w:iCs/>
          <w:noProof/>
          <w:sz w:val="24"/>
          <w:szCs w:val="24"/>
          <w:lang w:val="en"/>
        </w:rPr>
        <w:t xml:space="preserve"> shows that </w:t>
      </w:r>
      <w:r w:rsidRPr="002126E0">
        <w:rPr>
          <w:rFonts w:ascii="Arial" w:hAnsi="Arial" w:cs="Arial"/>
          <w:iCs/>
          <w:sz w:val="24"/>
          <w:szCs w:val="24"/>
          <w:lang w:val="en-GB"/>
        </w:rPr>
        <w:t>the</w:t>
      </w:r>
      <w:r w:rsidRPr="002126E0">
        <w:rPr>
          <w:rFonts w:ascii="Arial" w:hAnsi="Arial" w:cs="Arial"/>
          <w:sz w:val="24"/>
          <w:szCs w:val="24"/>
          <w:lang w:val="en-GB"/>
        </w:rPr>
        <w:t xml:space="preserve"> roles that a pharmacist can play as a member of a MDT depend on his/her qualification, as well as their competency to manage the medication regimens and take responsibility for the clinical outcomes of medication therapy </w:t>
      </w:r>
      <w:r w:rsidRPr="002126E0">
        <w:rPr>
          <w:rFonts w:ascii="Arial" w:hAnsi="Arial" w:cs="Arial"/>
          <w:noProof/>
          <w:sz w:val="24"/>
          <w:szCs w:val="24"/>
          <w:lang w:val="en"/>
        </w:rPr>
        <w:fldChar w:fldCharType="begin" w:fldLock="1"/>
      </w:r>
      <w:r w:rsidRPr="002126E0">
        <w:rPr>
          <w:rFonts w:ascii="Arial" w:hAnsi="Arial" w:cs="Arial"/>
          <w:noProof/>
          <w:sz w:val="24"/>
          <w:szCs w:val="24"/>
          <w:lang w:val="en"/>
        </w:rPr>
        <w:instrText>ADDIN CSL_CITATION {"citationItems":[{"id":"ITEM-1","itemData":{"author":[{"dropping-particle":"","family":"Hassali","given":"M A","non-dropping-particle":"","parse-names":false,"suffix":""},{"dropping-particle":"","family":"Nazir","given":"S R","non-dropping-particle":"","parse-names":false,"suffix":""},{"dropping-particle":"","family":"Saleem","given":"F","non-dropping-particle":"","parse-names":false,"suffix":""},{"dropping-particle":"","family":"Masood","given":"I","non-dropping-particle":"","parse-names":false,"suffix":""}],"container-title":"Alternative Therapies in Health and Medicine","id":"ITEM-1","issue":"1","issued":{"date-parts":[["2015"]]},"note":"Cited By :6\n\nExport Date: 26 September 2019","page":"28-35","title":"Literature review: Pharmacists’ interventions to improve control and management in type 2 diabetes mellitus","type":"article-journal","volume":"21"},"uris":["http://www.mendeley.com/documents/?uuid=1f19d666-91f7-49d5-a7c5-d80fdd9f6d99"]}],"mendeley":{"formattedCitation":"(Hassali &lt;i&gt;et al.&lt;/i&gt;, 2015)","plainTextFormattedCitation":"(Hassali et al., 2015)","previouslyFormattedCitation":"(Hassali &lt;i&gt;et al.&lt;/i&gt;, 2015)"},"properties":{"noteIndex":0},"schema":"https://github.com/citation-style-language/schema/raw/master/csl-citation.json"}</w:instrText>
      </w:r>
      <w:r w:rsidRPr="002126E0">
        <w:rPr>
          <w:rFonts w:ascii="Arial" w:hAnsi="Arial" w:cs="Arial"/>
          <w:noProof/>
          <w:sz w:val="24"/>
          <w:szCs w:val="24"/>
          <w:lang w:val="en"/>
        </w:rPr>
        <w:fldChar w:fldCharType="separate"/>
      </w:r>
      <w:r w:rsidRPr="002126E0">
        <w:rPr>
          <w:rFonts w:ascii="Arial" w:hAnsi="Arial" w:cs="Arial"/>
          <w:noProof/>
          <w:sz w:val="24"/>
          <w:szCs w:val="24"/>
          <w:lang w:val="en"/>
        </w:rPr>
        <w:t xml:space="preserve">(Hassali </w:t>
      </w:r>
      <w:r w:rsidRPr="002126E0">
        <w:rPr>
          <w:rFonts w:ascii="Arial" w:hAnsi="Arial" w:cs="Arial"/>
          <w:i/>
          <w:noProof/>
          <w:sz w:val="24"/>
          <w:szCs w:val="24"/>
          <w:lang w:val="en"/>
        </w:rPr>
        <w:t>et al.</w:t>
      </w:r>
      <w:r w:rsidRPr="002126E0">
        <w:rPr>
          <w:rFonts w:ascii="Arial" w:hAnsi="Arial" w:cs="Arial"/>
          <w:noProof/>
          <w:sz w:val="24"/>
          <w:szCs w:val="24"/>
          <w:lang w:val="en"/>
        </w:rPr>
        <w:t>, 2015)</w:t>
      </w:r>
      <w:r w:rsidRPr="002126E0">
        <w:rPr>
          <w:rFonts w:ascii="Arial" w:hAnsi="Arial" w:cs="Arial"/>
          <w:noProof/>
          <w:sz w:val="24"/>
          <w:szCs w:val="24"/>
          <w:lang w:val="en"/>
        </w:rPr>
        <w:fldChar w:fldCharType="end"/>
      </w:r>
      <w:r w:rsidRPr="002126E0">
        <w:rPr>
          <w:rFonts w:ascii="Arial" w:hAnsi="Arial" w:cs="Arial"/>
          <w:noProof/>
          <w:sz w:val="24"/>
          <w:szCs w:val="24"/>
          <w:lang w:val="en"/>
        </w:rPr>
        <w:t>.</w:t>
      </w:r>
      <w:r w:rsidRPr="00876389">
        <w:rPr>
          <w:rFonts w:ascii="Arial" w:hAnsi="Arial" w:cs="Arial"/>
          <w:noProof/>
          <w:sz w:val="24"/>
          <w:szCs w:val="24"/>
          <w:lang w:val="en"/>
        </w:rPr>
        <w:t xml:space="preserve"> </w:t>
      </w:r>
      <w:r w:rsidRPr="002126E0">
        <w:rPr>
          <w:rFonts w:ascii="Arial" w:hAnsi="Arial" w:cs="Arial"/>
          <w:sz w:val="24"/>
          <w:szCs w:val="24"/>
          <w:lang w:val="en-GB"/>
        </w:rPr>
        <w:t>Strong evidence has demonstrated that the involvement of pharmacists to deliver a MTM programme for patients with chronic conditions, such as diabetes, results in better clinical outcomes due to their knowledge of the rational use of medications</w:t>
      </w:r>
      <w:r w:rsidRPr="00876389">
        <w:rPr>
          <w:rFonts w:ascii="Arial" w:hAnsi="Arial" w:cs="Arial"/>
          <w:noProof/>
          <w:sz w:val="24"/>
          <w:szCs w:val="24"/>
          <w:lang w:val="en"/>
        </w:rPr>
        <w:t xml:space="preserve"> </w:t>
      </w:r>
      <w:r w:rsidRPr="002126E0">
        <w:rPr>
          <w:rFonts w:ascii="Arial" w:hAnsi="Arial" w:cs="Arial"/>
          <w:noProof/>
          <w:sz w:val="24"/>
          <w:szCs w:val="24"/>
          <w:lang w:val="en"/>
        </w:rPr>
        <w:fldChar w:fldCharType="begin" w:fldLock="1"/>
      </w:r>
      <w:r w:rsidRPr="002126E0">
        <w:rPr>
          <w:rFonts w:ascii="Arial" w:hAnsi="Arial" w:cs="Arial"/>
          <w:noProof/>
          <w:sz w:val="24"/>
          <w:szCs w:val="24"/>
          <w:lang w:val="en"/>
        </w:rPr>
        <w:instrText>ADDIN CSL_CITATION {"citationItems":[{"id":"ITEM-1","itemData":{"author":[{"dropping-particle":"","family":"Hassali","given":"M A","non-dropping-particle":"","parse-names":false,"suffix":""},{"dropping-particle":"","family":"Nazir","given":"S R","non-dropping-particle":"","parse-names":false,"suffix":""},{"dropping-particle":"","family":"Saleem","given":"F","non-dropping-particle":"","parse-names":false,"suffix":""},{"dropping-particle":"","family":"Masood","given":"I","non-dropping-particle":"","parse-names":false,"suffix":""}],"container-title":"Alternative Therapies in Health and Medicine","id":"ITEM-1","issue":"1","issued":{"date-parts":[["2015"]]},"note":"Cited By :6\n\nExport Date: 26 September 2019","page":"28-35","title":"Literature review: Pharmacists’ interventions to improve control and management in type 2 diabetes mellitus","type":"article-journal","volume":"21"},"uris":["http://www.mendeley.com/documents/?uuid=1f19d666-91f7-49d5-a7c5-d80fdd9f6d99"]}],"mendeley":{"formattedCitation":"(Hassali &lt;i&gt;et al.&lt;/i&gt;, 2015)","plainTextFormattedCitation":"(Hassali et al., 2015)","previouslyFormattedCitation":"(Hassali &lt;i&gt;et al.&lt;/i&gt;, 2015)"},"properties":{"noteIndex":0},"schema":"https://github.com/citation-style-language/schema/raw/master/csl-citation.json"}</w:instrText>
      </w:r>
      <w:r w:rsidRPr="002126E0">
        <w:rPr>
          <w:rFonts w:ascii="Arial" w:hAnsi="Arial" w:cs="Arial"/>
          <w:noProof/>
          <w:sz w:val="24"/>
          <w:szCs w:val="24"/>
          <w:lang w:val="en"/>
        </w:rPr>
        <w:fldChar w:fldCharType="separate"/>
      </w:r>
      <w:r w:rsidRPr="002126E0">
        <w:rPr>
          <w:rFonts w:ascii="Arial" w:hAnsi="Arial" w:cs="Arial"/>
          <w:noProof/>
          <w:sz w:val="24"/>
          <w:szCs w:val="24"/>
          <w:lang w:val="en"/>
        </w:rPr>
        <w:t xml:space="preserve">(Hassali </w:t>
      </w:r>
      <w:r w:rsidRPr="002126E0">
        <w:rPr>
          <w:rFonts w:ascii="Arial" w:hAnsi="Arial" w:cs="Arial"/>
          <w:i/>
          <w:noProof/>
          <w:sz w:val="24"/>
          <w:szCs w:val="24"/>
          <w:lang w:val="en"/>
        </w:rPr>
        <w:t>et al.</w:t>
      </w:r>
      <w:r w:rsidRPr="002126E0">
        <w:rPr>
          <w:rFonts w:ascii="Arial" w:hAnsi="Arial" w:cs="Arial"/>
          <w:noProof/>
          <w:sz w:val="24"/>
          <w:szCs w:val="24"/>
          <w:lang w:val="en"/>
        </w:rPr>
        <w:t>, 2015)</w:t>
      </w:r>
      <w:r w:rsidRPr="002126E0">
        <w:rPr>
          <w:rFonts w:ascii="Arial" w:hAnsi="Arial" w:cs="Arial"/>
          <w:noProof/>
          <w:sz w:val="24"/>
          <w:szCs w:val="24"/>
          <w:lang w:val="en"/>
        </w:rPr>
        <w:fldChar w:fldCharType="end"/>
      </w:r>
      <w:r w:rsidRPr="002126E0">
        <w:rPr>
          <w:rFonts w:ascii="Arial" w:hAnsi="Arial" w:cs="Arial"/>
          <w:noProof/>
          <w:sz w:val="24"/>
          <w:szCs w:val="24"/>
          <w:lang w:val="en"/>
        </w:rPr>
        <w:t xml:space="preserve">. </w:t>
      </w:r>
      <w:r w:rsidRPr="002126E0">
        <w:rPr>
          <w:rFonts w:ascii="Arial" w:hAnsi="Arial" w:cs="Arial"/>
          <w:sz w:val="24"/>
          <w:szCs w:val="24"/>
          <w:lang w:val="en-GB"/>
        </w:rPr>
        <w:t xml:space="preserve">However, it is not always the case that pharmacists are able to provide such a service, particularly in developing countries. This is due to a shortage of suitably qualified pharmacists with clinical experience in some of these countries, such as SA </w:t>
      </w:r>
      <w:r w:rsidRPr="002126E0">
        <w:rPr>
          <w:rFonts w:ascii="Arial" w:hAnsi="Arial" w:cs="Arial"/>
          <w:sz w:val="24"/>
          <w:szCs w:val="24"/>
          <w:lang w:val="en-GB"/>
        </w:rPr>
        <w:fldChar w:fldCharType="begin" w:fldLock="1"/>
      </w:r>
      <w:r w:rsidRPr="002126E0">
        <w:rPr>
          <w:rFonts w:ascii="Arial" w:hAnsi="Arial" w:cs="Arial"/>
          <w:sz w:val="24"/>
          <w:szCs w:val="24"/>
          <w:lang w:val="en-GB"/>
        </w:rPr>
        <w:instrText>ADDIN CSL_CITATION {"citationItems":[{"id":"ITEM-1","itemData":{"DOI":"10.1177/2050312115594816","ISBN":"2050312115594","ISSN":"2050-3121","abstract":"OBJECTIVES: The shortage of clinical pharmacists in Saudi Arabia has limited the full implementation of pharmaceutical care in most of its hospitals. The National Guard Health Affairs hospitals. This work discussed the Department of Pharmaceutical Care, and the King Saud Bin Abdulaziz University for Health Sciences College of Pharmacy four initiatives that were planned in 2009-2010 to develop and recruit clinical pharmacists, practitioners, or faculty., METHODS: The combined initiatives were aimed at (1) instituting a 4-year clinical skills development career ladder, (2) expanding the National Guard Health Affairs postgraduate residency program, (3) offering scholarships to qualified pharmacy graduates to pursue the PharmD degree and a PGY-1 residency training in the United States, and (4) recruiting non-Saudi clinical pharmacists educated and trained in the United States to ameliorate the current shortage of practitioner., RESULTS: The current number of clinical pharmacists practicing at the National Guard Health Affairs at central region is 24, most of whom are Board Certified by the American Pharmacists Association Board of Pharmacy Specialties., CONCLUSIONS: The four initiatives, based on current trends, suggest that 60-65 positions will be added by 2017-2018, barring attrition. Saudi Arabia and many developing countries will continue to experience a shortage in clinical pharmacists due to the high demand for clinical pharmacy services. A multifaceted approach is recommended to address the problem.","author":[{"dropping-particle":"","family":"Albekairy","given":"Abdulkareem M","non-dropping-particle":"","parse-names":false,"suffix":""},{"dropping-particle":"","family":"Khalidi","given":"Nabil","non-dropping-particle":"","parse-names":false,"suffix":""},{"dropping-particle":"","family":"Alkatheri","given":"Abdulmalik M","non-dropping-particle":"","parse-names":false,"suffix":""},{"dropping-particle":"","family":"Althiab","given":"Khalifa","non-dropping-particle":"","parse-names":false,"suffix":""},{"dropping-particle":"","family":"Alharbi","given":"Shmeylan","non-dropping-particle":"","parse-names":false,"suffix":""},{"dropping-particle":"","family":"Aldekhael","given":"Saleh","non-dropping-particle":"","parse-names":false,"suffix":""},{"dropping-particle":"","family":"Qandil","given":"Amjad M","non-dropping-particle":"","parse-names":false,"suffix":""},{"dropping-particle":"","family":"Alknawy","given":"Bandar","non-dropping-particle":"","parse-names":false,"suffix":""}],"container-title":"SAGE Open Medicine","id":"ITEM-1","issued":{"date-parts":[["2015"]]},"page":"205031211559481","title":"Strategic initiatives to maintain pharmaceutical care and clinical pharmacists sufficiency in Saudi Arabia","type":"article-journal","volume":"3"},"uris":["http://www.mendeley.com/documents/?uuid=0e5c6ac0-4959-46d8-9272-a98ab1d155c1"]}],"mendeley":{"formattedCitation":"(Albekairy &lt;i&gt;et al.&lt;/i&gt;, 2015)","plainTextFormattedCitation":"(Albekairy et al., 2015)","previouslyFormattedCitation":"(Albekairy &lt;i&gt;et al.&lt;/i&gt;, 2015)"},"properties":{"noteIndex":0},"schema":"https://github.com/citation-style-language/schema/raw/master/csl-citation.json"}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t xml:space="preserve">(Albekairy </w:t>
      </w:r>
      <w:r w:rsidRPr="002126E0">
        <w:rPr>
          <w:rFonts w:ascii="Arial" w:hAnsi="Arial" w:cs="Arial"/>
          <w:i/>
          <w:noProof/>
          <w:sz w:val="24"/>
          <w:szCs w:val="24"/>
          <w:lang w:val="en-GB"/>
        </w:rPr>
        <w:t>et al.</w:t>
      </w:r>
      <w:r w:rsidRPr="002126E0">
        <w:rPr>
          <w:rFonts w:ascii="Arial" w:hAnsi="Arial" w:cs="Arial"/>
          <w:noProof/>
          <w:sz w:val="24"/>
          <w:szCs w:val="24"/>
          <w:lang w:val="en-GB"/>
        </w:rPr>
        <w:t>, 2015)</w:t>
      </w:r>
      <w:r w:rsidRPr="002126E0">
        <w:rPr>
          <w:rFonts w:ascii="Arial" w:hAnsi="Arial" w:cs="Arial"/>
          <w:sz w:val="24"/>
          <w:szCs w:val="24"/>
          <w:lang w:val="en-GB"/>
        </w:rPr>
        <w:fldChar w:fldCharType="end"/>
      </w:r>
      <w:r w:rsidRPr="002126E0">
        <w:rPr>
          <w:rFonts w:ascii="Arial" w:hAnsi="Arial" w:cs="Arial"/>
          <w:sz w:val="24"/>
          <w:szCs w:val="24"/>
          <w:lang w:val="en-GB"/>
        </w:rPr>
        <w:t xml:space="preserve">. </w:t>
      </w:r>
    </w:p>
    <w:p w14:paraId="33F21499" w14:textId="77777777" w:rsidR="00CD3ED7" w:rsidRPr="00876389" w:rsidRDefault="00CD3ED7" w:rsidP="00CD3ED7">
      <w:pPr>
        <w:autoSpaceDE w:val="0"/>
        <w:autoSpaceDN w:val="0"/>
        <w:adjustRightInd w:val="0"/>
        <w:spacing w:line="360" w:lineRule="auto"/>
        <w:jc w:val="both"/>
        <w:rPr>
          <w:rFonts w:ascii="Arial" w:hAnsi="Arial" w:cs="Arial"/>
          <w:noProof/>
          <w:sz w:val="24"/>
          <w:szCs w:val="24"/>
          <w:lang w:val="en"/>
        </w:rPr>
      </w:pPr>
      <w:r w:rsidRPr="002126E0">
        <w:rPr>
          <w:rFonts w:ascii="Arial" w:hAnsi="Arial" w:cs="Arial"/>
          <w:sz w:val="24"/>
          <w:szCs w:val="24"/>
          <w:lang w:val="en-GB"/>
        </w:rPr>
        <w:t xml:space="preserve">Pharmacists in Kuwait also reported that they need to increase their clinical therapeutic skills to discuss pharmaceutical care issues with physicians more confidently </w:t>
      </w:r>
      <w:r w:rsidRPr="002126E0">
        <w:rPr>
          <w:rFonts w:ascii="Arial" w:hAnsi="Arial" w:cs="Arial"/>
          <w:sz w:val="24"/>
          <w:szCs w:val="24"/>
          <w:lang w:val="en-GB"/>
        </w:rPr>
        <w:fldChar w:fldCharType="begin" w:fldLock="1"/>
      </w:r>
      <w:r w:rsidRPr="002126E0">
        <w:rPr>
          <w:rFonts w:ascii="Arial" w:hAnsi="Arial" w:cs="Arial"/>
          <w:sz w:val="24"/>
          <w:szCs w:val="24"/>
          <w:lang w:val="en-GB"/>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t>(Al-Taweel et al., 2014)</w:t>
      </w:r>
      <w:r w:rsidRPr="002126E0">
        <w:rPr>
          <w:rFonts w:ascii="Arial" w:hAnsi="Arial" w:cs="Arial"/>
          <w:sz w:val="24"/>
          <w:szCs w:val="24"/>
          <w:lang w:val="en-GB"/>
        </w:rPr>
        <w:fldChar w:fldCharType="end"/>
      </w:r>
      <w:r w:rsidRPr="002126E0">
        <w:rPr>
          <w:rFonts w:ascii="Arial" w:hAnsi="Arial" w:cs="Arial"/>
          <w:sz w:val="24"/>
          <w:szCs w:val="24"/>
          <w:lang w:val="en-GB"/>
        </w:rPr>
        <w:t xml:space="preserve">. Therefore, the continuation of education and training programmes or the undertaking of postgraduate studies could improve the knowledge and discussion skills of pharmacists in clinical therapeutics </w:t>
      </w:r>
      <w:r w:rsidRPr="002126E0">
        <w:rPr>
          <w:rFonts w:ascii="Arial" w:hAnsi="Arial" w:cs="Arial"/>
          <w:sz w:val="24"/>
          <w:szCs w:val="24"/>
          <w:lang w:val="en-GB"/>
        </w:rPr>
        <w:fldChar w:fldCharType="begin" w:fldLock="1"/>
      </w:r>
      <w:r w:rsidRPr="002126E0">
        <w:rPr>
          <w:rFonts w:ascii="Arial" w:hAnsi="Arial" w:cs="Arial"/>
          <w:sz w:val="24"/>
          <w:szCs w:val="24"/>
          <w:lang w:val="en-GB"/>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t>(Al-Taweel et al., 2014)</w:t>
      </w:r>
      <w:r w:rsidRPr="002126E0">
        <w:rPr>
          <w:rFonts w:ascii="Arial" w:hAnsi="Arial" w:cs="Arial"/>
          <w:sz w:val="24"/>
          <w:szCs w:val="24"/>
          <w:lang w:val="en-GB"/>
        </w:rPr>
        <w:fldChar w:fldCharType="end"/>
      </w:r>
      <w:r w:rsidRPr="002126E0">
        <w:rPr>
          <w:rFonts w:ascii="Arial" w:hAnsi="Arial" w:cs="Arial"/>
          <w:sz w:val="24"/>
          <w:szCs w:val="24"/>
          <w:lang w:val="en-GB"/>
        </w:rPr>
        <w:t>.</w:t>
      </w:r>
    </w:p>
    <w:p w14:paraId="690CFFA8" w14:textId="77777777" w:rsidR="00CD3ED7" w:rsidRPr="00876389" w:rsidRDefault="00CD3ED7" w:rsidP="00CD3ED7">
      <w:pPr>
        <w:autoSpaceDE w:val="0"/>
        <w:autoSpaceDN w:val="0"/>
        <w:adjustRightInd w:val="0"/>
        <w:spacing w:line="360" w:lineRule="auto"/>
        <w:jc w:val="both"/>
        <w:rPr>
          <w:rFonts w:ascii="Arial" w:hAnsi="Arial" w:cs="Arial"/>
          <w:noProof/>
          <w:sz w:val="24"/>
          <w:szCs w:val="24"/>
          <w:lang w:val="en-GB"/>
        </w:rPr>
      </w:pPr>
      <w:r w:rsidRPr="002126E0">
        <w:rPr>
          <w:rFonts w:ascii="Arial" w:hAnsi="Arial" w:cs="Arial"/>
          <w:sz w:val="24"/>
          <w:szCs w:val="24"/>
          <w:lang w:val="en"/>
        </w:rPr>
        <w:t xml:space="preserve">A non-dispensing pharmacist integrated into the multidisciplinary primary healthcare team is considered a relatively new model of care </w:t>
      </w:r>
      <w:r w:rsidRPr="002126E0">
        <w:rPr>
          <w:rFonts w:ascii="Arial" w:hAnsi="Arial" w:cs="Arial"/>
          <w:sz w:val="24"/>
          <w:szCs w:val="24"/>
          <w:lang w:val="en"/>
        </w:rPr>
        <w:fldChar w:fldCharType="begin" w:fldLock="1"/>
      </w:r>
      <w:r w:rsidRPr="002126E0">
        <w:rPr>
          <w:rFonts w:ascii="Arial" w:hAnsi="Arial" w:cs="Arial"/>
          <w:sz w:val="24"/>
          <w:szCs w:val="24"/>
          <w:lang w:val="en"/>
        </w:rPr>
        <w:instrText>ADDIN CSL_CITATION {"citationItems":[{"id":"ITEM-1","itemData":{"DOI":"10.1002/jppr.1136","author":[{"dropping-particle":"","family":"Page","given":"Amy T.","non-dropping-particle":"","parse-names":false,"suffix":""},{"dropping-particle":"","family":"Somers","given":"George T.","non-dropping-particle":"","parse-names":false,"suffix":""}],"container-title":"Journal of Pharmacy Practice and Research","id":"ITEM-1","issue":"3","issued":{"date-parts":[["2015"]]},"page":"257-258","title":"The pharmacist in a primary healthcare setting","type":"article-journal","volume":"45"},"uris":["http://www.mendeley.com/documents/?uuid=9a894430-5b91-4420-b201-56e1e3e77b90"]}],"mendeley":{"formattedCitation":"(Page and Somers, 2015)","plainTextFormattedCitation":"(Page and Somers, 2015)","previouslyFormattedCitation":"(Page and Somers, 2015)"},"properties":{"noteIndex":0},"schema":"https://github.com/citation-style-language/schema/raw/master/csl-citation.json"}</w:instrText>
      </w:r>
      <w:r w:rsidRPr="002126E0">
        <w:rPr>
          <w:rFonts w:ascii="Arial" w:hAnsi="Arial" w:cs="Arial"/>
          <w:sz w:val="24"/>
          <w:szCs w:val="24"/>
          <w:lang w:val="en"/>
        </w:rPr>
        <w:fldChar w:fldCharType="separate"/>
      </w:r>
      <w:r w:rsidRPr="002126E0">
        <w:rPr>
          <w:rFonts w:ascii="Arial" w:hAnsi="Arial" w:cs="Arial"/>
          <w:noProof/>
          <w:sz w:val="24"/>
          <w:szCs w:val="24"/>
          <w:lang w:val="en"/>
        </w:rPr>
        <w:t>(Page and Somers, 2015)</w:t>
      </w:r>
      <w:r w:rsidRPr="002126E0">
        <w:rPr>
          <w:rFonts w:ascii="Arial" w:hAnsi="Arial" w:cs="Arial"/>
          <w:sz w:val="24"/>
          <w:szCs w:val="24"/>
          <w:lang w:val="en"/>
        </w:rPr>
        <w:fldChar w:fldCharType="end"/>
      </w:r>
      <w:r w:rsidRPr="002126E0">
        <w:rPr>
          <w:rFonts w:ascii="Arial" w:hAnsi="Arial" w:cs="Arial"/>
          <w:sz w:val="24"/>
          <w:szCs w:val="24"/>
          <w:lang w:val="en"/>
        </w:rPr>
        <w:t xml:space="preserve">. However, GPs in </w:t>
      </w:r>
      <w:r w:rsidRPr="00876389">
        <w:rPr>
          <w:rFonts w:ascii="Arial" w:eastAsia="Times New Roman" w:hAnsi="Arial" w:cs="Arial"/>
          <w:sz w:val="24"/>
          <w:szCs w:val="24"/>
        </w:rPr>
        <w:t xml:space="preserve">Dudley, England have been </w:t>
      </w:r>
      <w:r w:rsidRPr="00876389">
        <w:rPr>
          <w:rFonts w:ascii="Arial" w:eastAsia="Times New Roman" w:hAnsi="Arial" w:cs="Arial"/>
          <w:sz w:val="24"/>
          <w:szCs w:val="24"/>
          <w:lang w:val="en-GB"/>
        </w:rPr>
        <w:t>utilising</w:t>
      </w:r>
      <w:r w:rsidRPr="00876389">
        <w:rPr>
          <w:rFonts w:ascii="Arial" w:eastAsia="Times New Roman" w:hAnsi="Arial" w:cs="Arial"/>
          <w:sz w:val="24"/>
          <w:szCs w:val="24"/>
        </w:rPr>
        <w:t xml:space="preserve"> the skills of pharmacists in practice since 2002</w:t>
      </w:r>
      <w:r w:rsidRPr="002126E0">
        <w:rPr>
          <w:rFonts w:ascii="Arial" w:hAnsi="Arial" w:cs="Arial"/>
          <w:sz w:val="24"/>
          <w:szCs w:val="24"/>
          <w:lang w:val="en"/>
        </w:rPr>
        <w:t xml:space="preserve"> </w:t>
      </w:r>
      <w:r w:rsidRPr="002126E0">
        <w:rPr>
          <w:rFonts w:ascii="Arial" w:hAnsi="Arial" w:cs="Arial"/>
          <w:sz w:val="24"/>
          <w:szCs w:val="24"/>
          <w:lang w:val="en"/>
        </w:rPr>
        <w:fldChar w:fldCharType="begin" w:fldLock="1"/>
      </w:r>
      <w:r w:rsidRPr="002126E0">
        <w:rPr>
          <w:rFonts w:ascii="Arial" w:hAnsi="Arial" w:cs="Arial"/>
          <w:sz w:val="24"/>
          <w:szCs w:val="24"/>
          <w:lang w:val="en"/>
        </w:rPr>
        <w:instrText>ADDIN CSL_CITATION {"citationItems":[{"id":"ITEM-1","itemData":{"DOI":"10.1111/ijpp.12426","ISSN":"20427174","abstract":"We investigated whether aging affects several components of how people select items for study during multitrial learning. Younger and older adults studied paired-associate items and then made delayed judgments of learning (JOLs). Immediately after making a JOL for an item, some participants decided whether to restudy the item on sub sequent trials; for other participants, the computer selected for restudy the items that had been judged as least- well learned. Next, paired-associate recall occurred, which was followed by restudy-test trials. As expected, age differences occurred in recall on the first trial, and this difference was propagated across trials. In contrast to the hypothesis that older adults would be more conservative in selecting items, both age groups selected to restudy (a) the items that they had rated as least-well learned and (b) the majority of items that would not be recalled on the first trial. Comparisons between participants who self- selected items vs the groups in which the computer controlled selection also converged on the conclusion of age equivalence in processes underlying item selection.","author":[{"dropping-particle":"","family":"Bush","given":"Joseph","non-dropping-particle":"","parse-names":false,"suffix":""},{"dropping-particle":"","family":"Langley","given":"Christopher A.","non-dropping-particle":"","parse-names":false,"suffix":""},{"dropping-particle":"","family":"Jenkins","given":"Duncan","non-dropping-particle":"","parse-names":false,"suffix":""},{"dropping-particle":"","family":"Johal","given":"Jaspal","non-dropping-particle":"","parse-names":false,"suffix":""},{"dropping-particle":"","family":"Huckerby","given":"Clair","non-dropping-particle":"","parse-names":false,"suffix":""}],"container-title":"International Journal of Pharmacy Practice","id":"ITEM-1","issue":"6","issued":{"date-parts":[["2018"]]},"note":"From Duplicate 1 (Clinical pharmacists in general practice: an initial evaluation of activity in one English primary care organisation - Bush, Joseph; Langley, Christopher A.; Jenkins, Duncan; Johal, Jaspal; Huckerby, Clair)\n\nFrom Duplicate 1 (Clinical pharmacists in general practice: an initial evaluation of activity in one English primary care organisation - Bush, J; Langley, C A; Jenkins, D; Johal, J; Huckerby, C)\n\nCited By :3\n\nExport Date: 19 June 2019","page":"501-506","title":"Clinical pharmacists in general practice: an initial evaluation of activity in one English primary care organisation","type":"article-journal","volume":"26"},"uris":["http://www.mendeley.com/documents/?uuid=e61afa17-48be-4967-9ac8-ff68f721cf38"]}],"mendeley":{"formattedCitation":"(Bush &lt;i&gt;et al.&lt;/i&gt;, 2018)","plainTextFormattedCitation":"(Bush et al., 2018)","previouslyFormattedCitation":"(Bush &lt;i&gt;et al.&lt;/i&gt;, 2018)"},"properties":{"noteIndex":0},"schema":"https://github.com/citation-style-language/schema/raw/master/csl-citation.json"}</w:instrText>
      </w:r>
      <w:r w:rsidRPr="002126E0">
        <w:rPr>
          <w:rFonts w:ascii="Arial" w:hAnsi="Arial" w:cs="Arial"/>
          <w:sz w:val="24"/>
          <w:szCs w:val="24"/>
          <w:lang w:val="en"/>
        </w:rPr>
        <w:fldChar w:fldCharType="separate"/>
      </w:r>
      <w:r w:rsidRPr="002126E0">
        <w:rPr>
          <w:rFonts w:ascii="Arial" w:hAnsi="Arial" w:cs="Arial"/>
          <w:noProof/>
          <w:sz w:val="24"/>
          <w:szCs w:val="24"/>
          <w:lang w:val="en"/>
        </w:rPr>
        <w:t xml:space="preserve">(Bush </w:t>
      </w:r>
      <w:r w:rsidRPr="002126E0">
        <w:rPr>
          <w:rFonts w:ascii="Arial" w:hAnsi="Arial" w:cs="Arial"/>
          <w:i/>
          <w:noProof/>
          <w:sz w:val="24"/>
          <w:szCs w:val="24"/>
          <w:lang w:val="en"/>
        </w:rPr>
        <w:t>et al.</w:t>
      </w:r>
      <w:r w:rsidRPr="002126E0">
        <w:rPr>
          <w:rFonts w:ascii="Arial" w:hAnsi="Arial" w:cs="Arial"/>
          <w:noProof/>
          <w:sz w:val="24"/>
          <w:szCs w:val="24"/>
          <w:lang w:val="en"/>
        </w:rPr>
        <w:t>, 2018)</w:t>
      </w:r>
      <w:r w:rsidRPr="002126E0">
        <w:rPr>
          <w:rFonts w:ascii="Arial" w:hAnsi="Arial" w:cs="Arial"/>
          <w:sz w:val="24"/>
          <w:szCs w:val="24"/>
          <w:lang w:val="en"/>
        </w:rPr>
        <w:fldChar w:fldCharType="end"/>
      </w:r>
      <w:r w:rsidRPr="002126E0">
        <w:rPr>
          <w:rFonts w:ascii="Arial" w:hAnsi="Arial" w:cs="Arial"/>
          <w:sz w:val="24"/>
          <w:szCs w:val="24"/>
          <w:lang w:val="en"/>
        </w:rPr>
        <w:t xml:space="preserve">. </w:t>
      </w:r>
      <w:r w:rsidRPr="002126E0">
        <w:rPr>
          <w:rFonts w:ascii="Arial" w:eastAsia="Times New Roman" w:hAnsi="Arial" w:cs="Arial"/>
          <w:sz w:val="24"/>
          <w:szCs w:val="24"/>
          <w:lang w:val="en-GB"/>
        </w:rPr>
        <w:t xml:space="preserve">Across the Atlantic, the advanced clinical pharmacy practice in diabetes management has been undertaken in the US since 1990 when the Asheville Project Diabetes Program was applied in the city of Asheville, North Carolina, as a pilot programme to assist employees with chronic diseases such as diabetes, hypertension and hyperlipidaemia </w:t>
      </w:r>
      <w:r w:rsidRPr="002126E0">
        <w:rPr>
          <w:rFonts w:ascii="Arial" w:hAnsi="Arial" w:cs="Arial"/>
          <w:sz w:val="24"/>
          <w:szCs w:val="24"/>
          <w:lang w:val="en-GB"/>
        </w:rPr>
        <w:fldChar w:fldCharType="begin" w:fldLock="1"/>
      </w:r>
      <w:r w:rsidRPr="002126E0">
        <w:rPr>
          <w:rFonts w:ascii="Arial" w:hAnsi="Arial" w:cs="Arial"/>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2017)","plainTextFormattedCitation":"(Makeen, 2017)","previouslyFormattedCitation":"(Makeen, 2017)"},"properties":{"noteIndex":0},"schema":"https://github.com/citation-style-language/schema/raw/master/csl-citation.json"}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t>(Makeen, 2017)</w:t>
      </w:r>
      <w:r w:rsidRPr="002126E0">
        <w:rPr>
          <w:rFonts w:ascii="Arial" w:hAnsi="Arial" w:cs="Arial"/>
          <w:sz w:val="24"/>
          <w:szCs w:val="24"/>
          <w:lang w:val="en-GB"/>
        </w:rPr>
        <w:fldChar w:fldCharType="end"/>
      </w:r>
      <w:r w:rsidRPr="002126E0">
        <w:rPr>
          <w:rFonts w:ascii="Arial" w:hAnsi="Arial" w:cs="Arial"/>
          <w:sz w:val="24"/>
          <w:szCs w:val="24"/>
          <w:lang w:val="en-GB"/>
        </w:rPr>
        <w:t>.</w:t>
      </w:r>
      <w:r w:rsidRPr="002126E0">
        <w:rPr>
          <w:rFonts w:ascii="Arial" w:eastAsia="Times New Roman" w:hAnsi="Arial" w:cs="Arial"/>
          <w:sz w:val="24"/>
          <w:szCs w:val="24"/>
          <w:lang w:val="en-GB"/>
        </w:rPr>
        <w:t xml:space="preserve"> This programme was based on a certified pharmacist managing diabetes patients. Patients using this service recorded a significant decline in HbA1c value and lipid levels. A study of this programme concluded that pharmacists’ interventions helped in restoring the productivity of employees and reducing the cost for the national health care system </w:t>
      </w:r>
      <w:r w:rsidRPr="002126E0">
        <w:rPr>
          <w:rFonts w:ascii="Arial" w:hAnsi="Arial" w:cs="Arial"/>
          <w:sz w:val="24"/>
          <w:szCs w:val="24"/>
          <w:lang w:val="en-GB"/>
        </w:rPr>
        <w:fldChar w:fldCharType="begin" w:fldLock="1"/>
      </w:r>
      <w:r w:rsidRPr="002126E0">
        <w:rPr>
          <w:rFonts w:ascii="Arial" w:hAnsi="Arial" w:cs="Arial"/>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2017)","plainTextFormattedCitation":"(Makeen, 2017)","previouslyFormattedCitation":"(Makeen, 2017)"},"properties":{"noteIndex":0},"schema":"https://github.com/citation-style-language/schema/raw/master/csl-citation.json"}</w:instrText>
      </w:r>
      <w:r w:rsidRPr="002126E0">
        <w:rPr>
          <w:rFonts w:ascii="Arial" w:hAnsi="Arial" w:cs="Arial"/>
          <w:sz w:val="24"/>
          <w:szCs w:val="24"/>
          <w:lang w:val="en-GB"/>
        </w:rPr>
        <w:fldChar w:fldCharType="separate"/>
      </w:r>
      <w:r w:rsidRPr="002126E0">
        <w:rPr>
          <w:rFonts w:ascii="Arial" w:hAnsi="Arial" w:cs="Arial"/>
          <w:noProof/>
          <w:sz w:val="24"/>
          <w:szCs w:val="24"/>
          <w:lang w:val="en-GB"/>
        </w:rPr>
        <w:t>(Makeen, 2017)</w:t>
      </w:r>
      <w:r w:rsidRPr="002126E0">
        <w:rPr>
          <w:rFonts w:ascii="Arial" w:hAnsi="Arial" w:cs="Arial"/>
          <w:sz w:val="24"/>
          <w:szCs w:val="24"/>
          <w:lang w:val="en-GB"/>
        </w:rPr>
        <w:fldChar w:fldCharType="end"/>
      </w:r>
      <w:r w:rsidRPr="002126E0">
        <w:rPr>
          <w:rFonts w:ascii="Arial" w:hAnsi="Arial" w:cs="Arial"/>
          <w:sz w:val="24"/>
          <w:szCs w:val="24"/>
          <w:lang w:val="en-GB"/>
        </w:rPr>
        <w:t xml:space="preserve">. </w:t>
      </w:r>
      <w:r w:rsidRPr="00876389">
        <w:rPr>
          <w:rFonts w:ascii="Arial" w:hAnsi="Arial" w:cs="Arial"/>
          <w:noProof/>
          <w:sz w:val="24"/>
          <w:szCs w:val="24"/>
          <w:lang w:val="en-GB"/>
        </w:rPr>
        <w:t>Coutureau et al., 2022 also mentioned that the Asheville Project improved short- and long-term glycemic control among patients with diabetes who received care from a trained pharmacist.</w:t>
      </w:r>
    </w:p>
    <w:p w14:paraId="32B8B436" w14:textId="77777777" w:rsidR="00CD3ED7" w:rsidRPr="00876389" w:rsidRDefault="00CD3ED7" w:rsidP="00CD3ED7">
      <w:pPr>
        <w:autoSpaceDE w:val="0"/>
        <w:autoSpaceDN w:val="0"/>
        <w:adjustRightInd w:val="0"/>
        <w:spacing w:line="360" w:lineRule="auto"/>
        <w:jc w:val="both"/>
        <w:rPr>
          <w:rFonts w:ascii="Arial" w:hAnsi="Arial" w:cs="Arial"/>
          <w:sz w:val="24"/>
          <w:szCs w:val="24"/>
          <w:lang w:val="en-GB"/>
        </w:rPr>
      </w:pPr>
      <w:r w:rsidRPr="002126E0">
        <w:rPr>
          <w:rFonts w:ascii="Arial" w:hAnsi="Arial" w:cs="Arial"/>
          <w:sz w:val="24"/>
          <w:szCs w:val="24"/>
          <w:lang w:val="en-GB"/>
        </w:rPr>
        <w:t xml:space="preserve">A retrospective, multiple time series study was conducted in the ambulatory DM clinic at the Qatar Petroleum Healthcare Centre </w:t>
      </w:r>
      <w:r w:rsidRPr="002126E0">
        <w:rPr>
          <w:rFonts w:ascii="Arial" w:hAnsi="Arial" w:cs="Arial"/>
          <w:sz w:val="24"/>
          <w:szCs w:val="24"/>
        </w:rPr>
        <w:fldChar w:fldCharType="begin" w:fldLock="1"/>
      </w:r>
      <w:r w:rsidRPr="002126E0">
        <w:rPr>
          <w:rFonts w:ascii="Arial" w:hAnsi="Arial" w:cs="Arial"/>
          <w:sz w:val="24"/>
          <w:szCs w:val="24"/>
        </w:rPr>
        <w:instrText>ADDIN CSL_CITATION {"citationItems":[{"id":"ITEM-1","itemData":{"DOI":"10.1016/j.vhri.2018.12.002","abstract":"Background: Diabetes mellitus is highly prevalent in the Middle East and the burden associated with it is dramatically increasing. Pharmacists working in collaborative healthcare teams have an important role to improve outcomes in the primary care of diabetes. Objectives: To evaluate the impact of a collaborative pharmaceutical care service (CPCS) on improving outcomes among patients with diabetes in a primary care setting. Methods: This was a retrospective, multiple time series study involving patients attending an ambulatory diabetes clinic at Qatar Petroleum Healthcare Center in Dukhan, Qatar. Pa-tients' glycated hemoglobin A 1c , fasting plasma glucose, body mass index, systolic blood pressure, diastolic blood pressure, and lipid profile were obtained at baseline, 6 months, and 12 months of receiving CPCS through a retrospective chart review. A repeated-measures analysis of variance test was used to determine the impact of the intervention on clinical outcomes. Results: Ninety-six patients with diabetes were included in the analyses. There was a statistically significant reduction (ie, improvement) in glycated he-moglobin A 1c by 1.4%, fasting plasma glucose by 41.3 mg/dL, body mass index by 1 kg/m 2 , systolic blood pressure by 14.9 mm Hg, and diastolic blood pressure by 8.7 mm Hg from baseline to 12 months (P&lt;.001 for all). Nevertheless, no significant reductions were observed in the lipid profile. Conclusions: CPCS provision improves clinical outcomes in patients with diabetes over a 12-month follow-up period in a primary healthcare setting. Future studies should determine the long-term impact of a collaborative care model in this setting.","author":[{"dropping-particle":"","family":"Abdulrhim","given":"Sara Hamdi","non-dropping-particle":"","parse-names":false,"suffix":""},{"dropping-particle":"","family":"Saleh","given":"Rana Ahmed","non-dropping-particle":"","parse-names":false,"suffix":""},{"dropping-particle":"","family":"Abdelazim","given":"Mohamed","non-dropping-particle":"","parse-names":false,"suffix":""},{"dropping-particle":"","family":"Hussain","given":"Mohamed","non-dropping-particle":"","parse-names":false,"suffix":""},{"dropping-particle":"","family":"Raey","given":"Hend","non-dropping-particle":"Al","parse-names":false,"suffix":""},{"dropping-particle":"","family":"Hussein Babiker","given":"Ahmed","non-dropping-particle":"","parse-names":false,"suffix":""},{"dropping-particle":"","family":"Kheir","given":"Nadir","non-dropping-particle":"","parse-names":false,"suffix":""},{"dropping-particle":"","family":"Awaisu","given":"Ahmed","non-dropping-particle":"","parse-names":false,"suffix":""}],"id":"ITEM-1","issued":{"date-parts":[["2019"]]},"title":"Impact of a Collaborative Pharmaceutical Care Service Among Patients With Diabetes in an Ambulatory Care Setting in Qatar: A Multiple Time Series Study","type":"article-journal"},"uris":["http://www.mendeley.com/documents/?uuid=5776f82a-849a-3cee-ace3-c891fdd89844"]}],"mendeley":{"formattedCitation":"(Abdulrhim &lt;i&gt;et al.&lt;/i&gt;, 2019)","manualFormatting":"(Abdulrhim, et al., 2019)","plainTextFormattedCitation":"(Abdulrhim et al., 2019)","previouslyFormattedCitation":"(Abdulrhim &lt;i&gt;et al.&lt;/i&gt;, 2019)"},"properties":{"noteIndex":0},"schema":"https://github.com/citation-style-language/schema/raw/master/csl-citation.json"}</w:instrText>
      </w:r>
      <w:r w:rsidRPr="002126E0">
        <w:rPr>
          <w:rFonts w:ascii="Arial" w:hAnsi="Arial" w:cs="Arial"/>
          <w:sz w:val="24"/>
          <w:szCs w:val="24"/>
        </w:rPr>
        <w:fldChar w:fldCharType="separate"/>
      </w:r>
      <w:r w:rsidRPr="002126E0">
        <w:rPr>
          <w:rFonts w:ascii="Arial" w:hAnsi="Arial" w:cs="Arial"/>
          <w:noProof/>
          <w:sz w:val="24"/>
          <w:szCs w:val="24"/>
        </w:rPr>
        <w:t>(Abdulrhim, et al., 2019)</w:t>
      </w:r>
      <w:r w:rsidRPr="002126E0">
        <w:rPr>
          <w:rFonts w:ascii="Arial" w:hAnsi="Arial" w:cs="Arial"/>
          <w:sz w:val="24"/>
          <w:szCs w:val="24"/>
        </w:rPr>
        <w:fldChar w:fldCharType="end"/>
      </w:r>
      <w:r w:rsidRPr="002126E0">
        <w:rPr>
          <w:rFonts w:ascii="Arial" w:hAnsi="Arial" w:cs="Arial"/>
          <w:sz w:val="24"/>
          <w:szCs w:val="24"/>
        </w:rPr>
        <w:t>. This</w:t>
      </w:r>
      <w:r w:rsidRPr="002126E0">
        <w:rPr>
          <w:rFonts w:ascii="Arial" w:hAnsi="Arial" w:cs="Arial"/>
          <w:sz w:val="24"/>
          <w:szCs w:val="24"/>
          <w:lang w:val="en-GB"/>
        </w:rPr>
        <w:t xml:space="preserve"> demonstrated that a collaborative pharmaceutical care service where the pharmacist worked in collaboration with a nurse educator to provide therapy assessment and patient education, improved several patient clinical outcomes including reductions in HbA1c, BMI and BP but not lipid levels over a 12-month follow-up period. </w:t>
      </w:r>
      <w:r w:rsidRPr="00876389">
        <w:rPr>
          <w:rFonts w:ascii="Arial" w:hAnsi="Arial" w:cs="Arial"/>
          <w:sz w:val="24"/>
          <w:szCs w:val="24"/>
          <w:lang w:val="en-GB"/>
        </w:rPr>
        <w:t xml:space="preserve">This could be because lipid profile parameters require a long follow-up period to show significant reductions compared to baseline. Therefore, the researcher extended the study period to 17 months and found, after 17 months of follow-up, a significant decrease in LDL-C and TC but not in other lipid profile parameters </w:t>
      </w:r>
      <w:r w:rsidRPr="00876389">
        <w:rPr>
          <w:rFonts w:ascii="Arial" w:hAnsi="Arial" w:cs="Arial"/>
          <w:sz w:val="24"/>
          <w:szCs w:val="24"/>
          <w:lang w:val="en-GB"/>
        </w:rPr>
        <w:fldChar w:fldCharType="begin" w:fldLock="1"/>
      </w:r>
      <w:r w:rsidRPr="00876389">
        <w:rPr>
          <w:rFonts w:ascii="Arial" w:hAnsi="Arial" w:cs="Arial"/>
          <w:sz w:val="24"/>
          <w:szCs w:val="24"/>
          <w:lang w:val="en-GB"/>
        </w:rPr>
        <w:instrText>ADDIN CSL_CITATION {"citationItems":[{"id":"ITEM-1","itemData":{"DOI":"10.1007/s11096-021-01327-x","ISBN":"0123456789","ISSN":"22107711","PMID":"34637104","abstract":"Background Diabetes mellitus is a complex multi-system disorder, requiring multi-disciplinary care. The conventional care model, where physicians are the sole caregivers may not be optimal. Addition of other healthcare team members improves healthcare outcomes for patients with diabetes. Aim To evaluate the impact of pharmacist-involved collaborative care on diabetes-related outcomes among patients with diabetes attending a primary healthcare setting in Qatar using real-world data. Method A retrospective cohort study was conducted among patients with diabetes attending Qatar Petroleum Diabetes Clinic. Patients were categorized as either receiving pharmacist-involved collaborative care (intervention group) or usual care (control group). Data were analyzed using SPSS®. Glycemic control (glycated hemoglobin A1c, HbA1c), blood pressure, lipid profile, and body mass index were evaluated at baseline and up to 17 months of follow-up. Results After 17 months of follow-up, pharmacist-involved collaborative care compared to usual care resulted in a significant decrease in HbA1c (6.8 ± 1.2% vs. 7.1 ± 1.3%, p &lt; 0.01). Moreover, compared to baseline, pharmacist-involved collaborative care significantly improved (p &lt; 0.05) the levels of HbA1c (7.5% vs. 6.8%), low-density lipoprotein cholesterol (3.7 mmol/L vs. 2.8 mmol/L), total cholesterol (5.43 mmol/L vs. 4.34 mmol/L), and body mass index (30.42 kg/m2 vs. 30.17 kg/m2) after 17 months within the intervention group. However, no significant changes for these parameters occurred within the control group. Conclusion The implementation of pharmacist-involved collaborative care in a primary healthcare setting improved several diabetes-related outcomes over 17 months. Future studies should determine the long-term impact of this care model.","author":[{"dropping-particle":"","family":"Abdulrhim","given":"Sara","non-dropping-particle":"","parse-names":false,"suffix":""},{"dropping-particle":"","family":"Awaisu","given":"Ahmed","non-dropping-particle":"","parse-names":false,"suffix":""},{"dropping-particle":"","family":"Ibrahim","given":"Mohamed Izham Mohamed","non-dropping-particle":"","parse-names":false,"suffix":""},{"dropping-particle":"","family":"Diab","given":"Mohammad Issam","non-dropping-particle":"","parse-names":false,"suffix":""},{"dropping-particle":"","family":"Hussain","given":"Mohamed Abdelazim Mohamed","non-dropping-particle":"","parse-names":false,"suffix":""},{"dropping-particle":"","family":"Raey","given":"Hend","non-dropping-particle":"Al","parse-names":false,"suffix":""},{"dropping-particle":"","family":"Ismail","given":"Mohammed Thahir","non-dropping-particle":"","parse-names":false,"suffix":""},{"dropping-particle":"","family":"Sankaralingam","given":"Sowndramalingam","non-dropping-particle":"","parse-names":false,"suffix":""}],"container-title":"International Journal of Clinical Pharmacy","id":"ITEM-1","issue":"1","issued":{"date-parts":[["2022"]]},"page":"153-162","publisher":"Springer International Publishing","title":"Impact of pharmacist-involved collaborative care on diabetes management in a primary healthcare setting using real-world data","type":"article-journal","volume":"44"},"uris":["http://www.mendeley.com/documents/?uuid=0051a59f-fa51-40c4-b0ec-510687cd46dc"]}],"mendeley":{"formattedCitation":"(Abdulrhim &lt;i&gt;et al.&lt;/i&gt;, 2022)","plainTextFormattedCitation":"(Abdulrhim et al., 2022)","previouslyFormattedCitation":"(Abdulrhim &lt;i&gt;et al.&lt;/i&gt;, 2022)"},"properties":{"noteIndex":0},"schema":"https://github.com/citation-style-language/schema/raw/master/csl-citation.json"}</w:instrText>
      </w:r>
      <w:r w:rsidRPr="00876389">
        <w:rPr>
          <w:rFonts w:ascii="Arial" w:hAnsi="Arial" w:cs="Arial"/>
          <w:sz w:val="24"/>
          <w:szCs w:val="24"/>
          <w:lang w:val="en-GB"/>
        </w:rPr>
        <w:fldChar w:fldCharType="separate"/>
      </w:r>
      <w:r w:rsidRPr="00876389">
        <w:rPr>
          <w:rFonts w:ascii="Arial" w:hAnsi="Arial" w:cs="Arial"/>
          <w:noProof/>
          <w:sz w:val="24"/>
          <w:szCs w:val="24"/>
          <w:lang w:val="en-GB"/>
        </w:rPr>
        <w:t xml:space="preserve">(Abdulrhim </w:t>
      </w:r>
      <w:r w:rsidRPr="00876389">
        <w:rPr>
          <w:rFonts w:ascii="Arial" w:hAnsi="Arial" w:cs="Arial"/>
          <w:i/>
          <w:noProof/>
          <w:sz w:val="24"/>
          <w:szCs w:val="24"/>
          <w:lang w:val="en-GB"/>
        </w:rPr>
        <w:t>et al.</w:t>
      </w:r>
      <w:r w:rsidRPr="00876389">
        <w:rPr>
          <w:rFonts w:ascii="Arial" w:hAnsi="Arial" w:cs="Arial"/>
          <w:noProof/>
          <w:sz w:val="24"/>
          <w:szCs w:val="24"/>
          <w:lang w:val="en-GB"/>
        </w:rPr>
        <w:t>, 2022)</w:t>
      </w:r>
      <w:r w:rsidRPr="00876389">
        <w:rPr>
          <w:rFonts w:ascii="Arial" w:hAnsi="Arial" w:cs="Arial"/>
          <w:sz w:val="24"/>
          <w:szCs w:val="24"/>
          <w:lang w:val="en-GB"/>
        </w:rPr>
        <w:fldChar w:fldCharType="end"/>
      </w:r>
      <w:r w:rsidRPr="00876389">
        <w:rPr>
          <w:rFonts w:ascii="Arial" w:hAnsi="Arial" w:cs="Arial"/>
          <w:sz w:val="24"/>
          <w:szCs w:val="24"/>
          <w:lang w:val="en-GB"/>
        </w:rPr>
        <w:t xml:space="preserve">. These results are consistent to some extent with the pooled results from a meta-analysis, which found that lipid levels varied across studies </w:t>
      </w:r>
      <w:r w:rsidRPr="00876389">
        <w:rPr>
          <w:rFonts w:ascii="Arial" w:hAnsi="Arial" w:cs="Arial"/>
          <w:sz w:val="24"/>
          <w:szCs w:val="24"/>
          <w:lang w:val="en-GB"/>
        </w:rPr>
        <w:fldChar w:fldCharType="begin" w:fldLock="1"/>
      </w:r>
      <w:r w:rsidRPr="00876389">
        <w:rPr>
          <w:rFonts w:ascii="Arial" w:hAnsi="Arial" w:cs="Arial"/>
          <w:sz w:val="24"/>
          <w:szCs w:val="24"/>
          <w:lang w:val="en-GB"/>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from pharmacist intervention compared with those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2021)","plainTextFormattedCitation":"(Alabkal et al., 2021)","previouslyFormattedCitation":"(Alabkal &lt;i&gt;et al.&lt;/i&gt;, 2021)"},"properties":{"noteIndex":0},"schema":"https://github.com/citation-style-language/schema/raw/master/csl-citation.json"}</w:instrText>
      </w:r>
      <w:r w:rsidRPr="00876389">
        <w:rPr>
          <w:rFonts w:ascii="Arial" w:hAnsi="Arial" w:cs="Arial"/>
          <w:sz w:val="24"/>
          <w:szCs w:val="24"/>
          <w:lang w:val="en-GB"/>
        </w:rPr>
        <w:fldChar w:fldCharType="separate"/>
      </w:r>
      <w:r w:rsidRPr="00876389">
        <w:rPr>
          <w:rFonts w:ascii="Arial" w:hAnsi="Arial" w:cs="Arial"/>
          <w:noProof/>
          <w:sz w:val="24"/>
          <w:szCs w:val="24"/>
          <w:lang w:val="en-GB"/>
        </w:rPr>
        <w:t xml:space="preserve">(Alabkal </w:t>
      </w:r>
      <w:r w:rsidRPr="00876389">
        <w:rPr>
          <w:rFonts w:ascii="Arial" w:hAnsi="Arial" w:cs="Arial"/>
          <w:i/>
          <w:noProof/>
          <w:sz w:val="24"/>
          <w:szCs w:val="24"/>
          <w:lang w:val="en-GB"/>
        </w:rPr>
        <w:t>et al.</w:t>
      </w:r>
      <w:r w:rsidRPr="00876389">
        <w:rPr>
          <w:rFonts w:ascii="Arial" w:hAnsi="Arial" w:cs="Arial"/>
          <w:noProof/>
          <w:sz w:val="24"/>
          <w:szCs w:val="24"/>
          <w:lang w:val="en-GB"/>
        </w:rPr>
        <w:t>, 2021)</w:t>
      </w:r>
      <w:r w:rsidRPr="00876389">
        <w:rPr>
          <w:rFonts w:ascii="Arial" w:hAnsi="Arial" w:cs="Arial"/>
          <w:sz w:val="24"/>
          <w:szCs w:val="24"/>
          <w:lang w:val="en-GB"/>
        </w:rPr>
        <w:fldChar w:fldCharType="end"/>
      </w:r>
      <w:r w:rsidRPr="00876389">
        <w:rPr>
          <w:rFonts w:ascii="Arial" w:hAnsi="Arial" w:cs="Arial"/>
          <w:sz w:val="24"/>
          <w:szCs w:val="24"/>
          <w:lang w:val="en-GB"/>
        </w:rPr>
        <w:t xml:space="preserve">.  Nonsignificant results were found in LDL-C, HDL-C, and TG among both (intervention and control)groups; significant effects were found in TC in the intervention group compared to the control group </w:t>
      </w:r>
      <w:r w:rsidRPr="00876389">
        <w:rPr>
          <w:rFonts w:ascii="Arial" w:hAnsi="Arial" w:cs="Arial"/>
          <w:sz w:val="24"/>
          <w:szCs w:val="24"/>
          <w:lang w:val="en-GB"/>
        </w:rPr>
        <w:fldChar w:fldCharType="begin" w:fldLock="1"/>
      </w:r>
      <w:r w:rsidRPr="00876389">
        <w:rPr>
          <w:rFonts w:ascii="Arial" w:hAnsi="Arial" w:cs="Arial"/>
          <w:sz w:val="24"/>
          <w:szCs w:val="24"/>
          <w:lang w:val="en-GB"/>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from pharmacist intervention compared with those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2021)","plainTextFormattedCitation":"(Alabkal et al., 2021)","previouslyFormattedCitation":"(Alabkal &lt;i&gt;et al.&lt;/i&gt;, 2021)"},"properties":{"noteIndex":0},"schema":"https://github.com/citation-style-language/schema/raw/master/csl-citation.json"}</w:instrText>
      </w:r>
      <w:r w:rsidRPr="00876389">
        <w:rPr>
          <w:rFonts w:ascii="Arial" w:hAnsi="Arial" w:cs="Arial"/>
          <w:sz w:val="24"/>
          <w:szCs w:val="24"/>
          <w:lang w:val="en-GB"/>
        </w:rPr>
        <w:fldChar w:fldCharType="separate"/>
      </w:r>
      <w:r w:rsidRPr="00876389">
        <w:rPr>
          <w:rFonts w:ascii="Arial" w:hAnsi="Arial" w:cs="Arial"/>
          <w:noProof/>
          <w:sz w:val="24"/>
          <w:szCs w:val="24"/>
          <w:lang w:val="en-GB"/>
        </w:rPr>
        <w:t xml:space="preserve">(Alabkal </w:t>
      </w:r>
      <w:r w:rsidRPr="00876389">
        <w:rPr>
          <w:rFonts w:ascii="Arial" w:hAnsi="Arial" w:cs="Arial"/>
          <w:i/>
          <w:noProof/>
          <w:sz w:val="24"/>
          <w:szCs w:val="24"/>
          <w:lang w:val="en-GB"/>
        </w:rPr>
        <w:t>et al.</w:t>
      </w:r>
      <w:r w:rsidRPr="00876389">
        <w:rPr>
          <w:rFonts w:ascii="Arial" w:hAnsi="Arial" w:cs="Arial"/>
          <w:noProof/>
          <w:sz w:val="24"/>
          <w:szCs w:val="24"/>
          <w:lang w:val="en-GB"/>
        </w:rPr>
        <w:t>, 2021)</w:t>
      </w:r>
      <w:r w:rsidRPr="00876389">
        <w:rPr>
          <w:rFonts w:ascii="Arial" w:hAnsi="Arial" w:cs="Arial"/>
          <w:sz w:val="24"/>
          <w:szCs w:val="24"/>
          <w:lang w:val="en-GB"/>
        </w:rPr>
        <w:fldChar w:fldCharType="end"/>
      </w:r>
      <w:r w:rsidRPr="00876389">
        <w:rPr>
          <w:rFonts w:ascii="Arial" w:hAnsi="Arial" w:cs="Arial"/>
          <w:sz w:val="24"/>
          <w:szCs w:val="24"/>
          <w:lang w:val="en-GB"/>
        </w:rPr>
        <w:t xml:space="preserve">. </w:t>
      </w:r>
    </w:p>
    <w:p w14:paraId="56491500" w14:textId="77777777" w:rsidR="006E12FA" w:rsidRDefault="00CD3ED7" w:rsidP="0005783B">
      <w:pPr>
        <w:autoSpaceDE w:val="0"/>
        <w:autoSpaceDN w:val="0"/>
        <w:adjustRightInd w:val="0"/>
        <w:spacing w:line="360" w:lineRule="auto"/>
        <w:jc w:val="both"/>
        <w:rPr>
          <w:rFonts w:ascii="Arial" w:hAnsi="Arial" w:cs="Arial"/>
          <w:sz w:val="24"/>
          <w:szCs w:val="24"/>
          <w:lang w:val="en-GB"/>
        </w:rPr>
      </w:pPr>
      <w:r w:rsidRPr="002126E0">
        <w:rPr>
          <w:rFonts w:ascii="Arial" w:hAnsi="Arial" w:cs="Arial"/>
          <w:sz w:val="24"/>
          <w:szCs w:val="24"/>
          <w:lang w:val="en-GB"/>
        </w:rPr>
        <w:t>T</w:t>
      </w:r>
      <w:r w:rsidRPr="002126E0">
        <w:rPr>
          <w:rFonts w:ascii="Arial" w:hAnsi="Arial" w:cs="Arial"/>
          <w:sz w:val="24"/>
          <w:szCs w:val="24"/>
        </w:rPr>
        <w:t xml:space="preserve">he authors mentioned that the primary care centre in Qatar usually provides various high-quality services such as pharmacies, x-ray, ultrasound, chronic disease clinics, pathology, and dental services, which are almost like the provision of PHCs in SA </w:t>
      </w:r>
      <w:r w:rsidRPr="002126E0">
        <w:rPr>
          <w:rFonts w:ascii="Arial" w:hAnsi="Arial" w:cs="Arial"/>
          <w:sz w:val="24"/>
          <w:szCs w:val="24"/>
        </w:rPr>
        <w:fldChar w:fldCharType="begin"/>
      </w:r>
      <w:r w:rsidRPr="002126E0">
        <w:rPr>
          <w:rFonts w:ascii="Arial" w:hAnsi="Arial" w:cs="Arial"/>
          <w:sz w:val="24"/>
          <w:szCs w:val="24"/>
        </w:rPr>
        <w:instrText xml:space="preserve"> REF _Ref124891721 \r \h </w:instrText>
      </w:r>
      <w:r w:rsidRPr="002126E0">
        <w:rPr>
          <w:rFonts w:ascii="Arial" w:hAnsi="Arial" w:cs="Arial"/>
          <w:sz w:val="24"/>
          <w:szCs w:val="24"/>
        </w:rPr>
      </w:r>
      <w:r w:rsidRPr="002126E0">
        <w:rPr>
          <w:rFonts w:ascii="Arial" w:hAnsi="Arial" w:cs="Arial"/>
          <w:sz w:val="24"/>
          <w:szCs w:val="24"/>
        </w:rPr>
        <w:fldChar w:fldCharType="separate"/>
      </w:r>
      <w:r w:rsidRPr="002126E0">
        <w:rPr>
          <w:rFonts w:ascii="Arial" w:hAnsi="Arial" w:cs="Arial"/>
          <w:sz w:val="24"/>
          <w:szCs w:val="24"/>
          <w:cs/>
        </w:rPr>
        <w:t>‎</w:t>
      </w:r>
      <w:r w:rsidRPr="002126E0">
        <w:rPr>
          <w:rFonts w:ascii="Arial" w:hAnsi="Arial" w:cs="Arial"/>
          <w:sz w:val="24"/>
          <w:szCs w:val="24"/>
        </w:rPr>
        <w:t>1.3</w:t>
      </w:r>
      <w:r w:rsidRPr="002126E0">
        <w:rPr>
          <w:rFonts w:ascii="Arial" w:hAnsi="Arial" w:cs="Arial"/>
          <w:sz w:val="24"/>
          <w:szCs w:val="24"/>
        </w:rPr>
        <w:fldChar w:fldCharType="end"/>
      </w:r>
      <w:r w:rsidRPr="002126E0">
        <w:rPr>
          <w:rStyle w:val="CommentReference"/>
        </w:rPr>
        <w:t>.</w:t>
      </w:r>
      <w:r w:rsidRPr="002126E0">
        <w:rPr>
          <w:rFonts w:ascii="Arial" w:hAnsi="Arial" w:cs="Arial"/>
          <w:sz w:val="24"/>
          <w:szCs w:val="24"/>
        </w:rPr>
        <w:t xml:space="preserve"> </w:t>
      </w:r>
      <w:r w:rsidRPr="002126E0">
        <w:rPr>
          <w:rFonts w:ascii="Arial" w:hAnsi="Arial" w:cs="Arial"/>
          <w:sz w:val="24"/>
          <w:szCs w:val="24"/>
          <w:lang w:val="en-GB"/>
        </w:rPr>
        <w:t xml:space="preserve">The Saudi’s PHC services could therefore be enhanced by implementing a multidisciplinary healthcare team practice including a pharmacist. </w:t>
      </w:r>
    </w:p>
    <w:p w14:paraId="11D735C3" w14:textId="03A59C93" w:rsidR="0061600E" w:rsidRDefault="00106938" w:rsidP="00106938">
      <w:pPr>
        <w:autoSpaceDE w:val="0"/>
        <w:autoSpaceDN w:val="0"/>
        <w:adjustRightInd w:val="0"/>
        <w:spacing w:line="360" w:lineRule="auto"/>
        <w:jc w:val="both"/>
        <w:rPr>
          <w:rFonts w:ascii="Arial" w:hAnsi="Arial" w:cs="Arial"/>
          <w:sz w:val="24"/>
          <w:szCs w:val="24"/>
          <w:lang w:val="en"/>
        </w:rPr>
      </w:pPr>
      <w:r w:rsidRPr="00106938">
        <w:rPr>
          <w:rFonts w:ascii="Arial" w:hAnsi="Arial" w:cs="Arial"/>
          <w:sz w:val="24"/>
          <w:szCs w:val="24"/>
          <w:lang w:val="en"/>
        </w:rPr>
        <w:t>The next section will now move on to presenting evidence from Saudi Arabia. It will present the impact of pharmacists' interventions on diabetes management and discuss the role of pharmacists as a member of the diabetes care team.</w:t>
      </w:r>
    </w:p>
    <w:p w14:paraId="354AA396" w14:textId="0C15E077" w:rsidR="0061600E" w:rsidRPr="0045520A" w:rsidRDefault="0061600E" w:rsidP="00AA1853">
      <w:pPr>
        <w:pStyle w:val="Heading3"/>
        <w:tabs>
          <w:tab w:val="left" w:pos="1260"/>
        </w:tabs>
        <w:spacing w:line="257" w:lineRule="auto"/>
        <w:ind w:left="504"/>
        <w:rPr>
          <w:lang w:val="en-GB"/>
        </w:rPr>
      </w:pPr>
      <w:r>
        <w:rPr>
          <w:shd w:val="clear" w:color="auto" w:fill="FFFFFF"/>
        </w:rPr>
        <w:t xml:space="preserve"> </w:t>
      </w:r>
      <w:bookmarkStart w:id="60" w:name="_Toc153894156"/>
      <w:r>
        <w:rPr>
          <w:shd w:val="clear" w:color="auto" w:fill="FFFFFF"/>
        </w:rPr>
        <w:t>Evidence from Saudi Arabia</w:t>
      </w:r>
      <w:bookmarkEnd w:id="60"/>
    </w:p>
    <w:p w14:paraId="521D8A1D" w14:textId="7315D198" w:rsidR="00DE1516" w:rsidRDefault="00DE1516" w:rsidP="00DE1516">
      <w:pPr>
        <w:spacing w:before="240" w:line="360" w:lineRule="auto"/>
        <w:jc w:val="both"/>
        <w:rPr>
          <w:rFonts w:ascii="Arial" w:eastAsia="Times New Roman" w:hAnsi="Arial" w:cs="Arial"/>
          <w:sz w:val="24"/>
          <w:szCs w:val="24"/>
          <w:lang w:val="en-GB"/>
        </w:rPr>
      </w:pPr>
      <w:r w:rsidRPr="006921AB">
        <w:rPr>
          <w:rFonts w:ascii="Arial" w:eastAsia="Times New Roman" w:hAnsi="Arial" w:cs="Arial"/>
          <w:sz w:val="24"/>
          <w:szCs w:val="24"/>
          <w:lang w:val="en-GB"/>
        </w:rPr>
        <w:t>In S</w:t>
      </w:r>
      <w:r>
        <w:rPr>
          <w:rFonts w:ascii="Arial" w:eastAsia="Times New Roman" w:hAnsi="Arial" w:cs="Arial"/>
          <w:sz w:val="24"/>
          <w:szCs w:val="24"/>
          <w:lang w:val="en-GB"/>
        </w:rPr>
        <w:t>A</w:t>
      </w:r>
      <w:r w:rsidRPr="006921AB">
        <w:rPr>
          <w:rFonts w:ascii="Arial" w:eastAsia="Times New Roman" w:hAnsi="Arial" w:cs="Arial"/>
          <w:sz w:val="24"/>
          <w:szCs w:val="24"/>
          <w:lang w:val="en-GB"/>
        </w:rPr>
        <w:t xml:space="preserve">, </w:t>
      </w:r>
      <w:r w:rsidRPr="00E26ADD">
        <w:rPr>
          <w:rFonts w:asciiTheme="minorBidi" w:hAnsiTheme="minorBidi"/>
          <w:sz w:val="24"/>
          <w:szCs w:val="24"/>
          <w:lang w:val="en-GB"/>
        </w:rPr>
        <w:t>the critical role of pharmacists in diabetes management has been identified</w:t>
      </w:r>
      <w:r>
        <w:rPr>
          <w:rFonts w:asciiTheme="minorBidi" w:hAnsiTheme="minorBidi"/>
          <w:sz w:val="24"/>
          <w:szCs w:val="24"/>
          <w:lang w:val="en-GB"/>
        </w:rPr>
        <w:t xml:space="preserve">, </w:t>
      </w:r>
      <w:r w:rsidRPr="006921AB">
        <w:rPr>
          <w:rFonts w:ascii="Arial" w:eastAsia="Times New Roman" w:hAnsi="Arial" w:cs="Arial"/>
          <w:sz w:val="24"/>
          <w:szCs w:val="24"/>
          <w:lang w:val="en-GB"/>
        </w:rPr>
        <w:t xml:space="preserve">however, there are relatively few historical studies on pharmacists’ contribution to diabetes management. </w:t>
      </w:r>
    </w:p>
    <w:p w14:paraId="52486EE6" w14:textId="2B4249B0" w:rsidR="00DE1516" w:rsidRPr="00AA1853" w:rsidRDefault="00DE1516" w:rsidP="00AA1853">
      <w:pPr>
        <w:autoSpaceDE w:val="0"/>
        <w:autoSpaceDN w:val="0"/>
        <w:adjustRightInd w:val="0"/>
        <w:spacing w:line="360" w:lineRule="auto"/>
        <w:jc w:val="both"/>
        <w:rPr>
          <w:rFonts w:ascii="Arial" w:hAnsi="Arial" w:cs="Arial"/>
          <w:sz w:val="24"/>
          <w:szCs w:val="24"/>
          <w:lang w:val="en-GB"/>
        </w:rPr>
      </w:pPr>
      <w:r w:rsidRPr="006921AB">
        <w:rPr>
          <w:rFonts w:ascii="Arial" w:eastAsia="Times New Roman" w:hAnsi="Arial" w:cs="Arial"/>
          <w:sz w:val="24"/>
          <w:szCs w:val="24"/>
          <w:lang w:val="en-GB"/>
        </w:rPr>
        <w:t xml:space="preserve">With the Saudi health transformation, more recent attention has focused on the provision of clinical pharmacy services. Therefore, in recent years, there has been an increasing amount of literature in </w:t>
      </w:r>
      <w:r>
        <w:rPr>
          <w:rFonts w:ascii="Arial" w:eastAsia="Times New Roman" w:hAnsi="Arial" w:cs="Arial"/>
          <w:sz w:val="24"/>
          <w:szCs w:val="24"/>
          <w:lang w:val="en-GB"/>
        </w:rPr>
        <w:t>the</w:t>
      </w:r>
      <w:r w:rsidRPr="006921AB">
        <w:rPr>
          <w:rFonts w:ascii="Arial" w:eastAsia="Times New Roman" w:hAnsi="Arial" w:cs="Arial"/>
          <w:sz w:val="24"/>
          <w:szCs w:val="24"/>
          <w:lang w:val="en-GB"/>
        </w:rPr>
        <w:t xml:space="preserve"> area of pharmacists’ </w:t>
      </w:r>
      <w:r>
        <w:rPr>
          <w:rFonts w:ascii="Arial" w:eastAsia="Times New Roman" w:hAnsi="Arial" w:cs="Arial"/>
          <w:sz w:val="24"/>
          <w:szCs w:val="24"/>
          <w:lang w:val="en-GB"/>
        </w:rPr>
        <w:t>involvement</w:t>
      </w:r>
      <w:r w:rsidRPr="006921AB">
        <w:rPr>
          <w:rFonts w:ascii="Arial" w:eastAsia="Times New Roman" w:hAnsi="Arial" w:cs="Arial"/>
          <w:sz w:val="24"/>
          <w:szCs w:val="24"/>
          <w:lang w:val="en-GB"/>
        </w:rPr>
        <w:t xml:space="preserve"> in patient care in general and in diabetes care in particular.</w:t>
      </w:r>
      <w:r w:rsidR="00AA1FD1">
        <w:rPr>
          <w:rFonts w:ascii="Arial" w:eastAsia="Times New Roman" w:hAnsi="Arial" w:cs="Arial"/>
          <w:sz w:val="24"/>
          <w:szCs w:val="24"/>
          <w:lang w:val="en-GB"/>
        </w:rPr>
        <w:t xml:space="preserve"> </w:t>
      </w:r>
    </w:p>
    <w:p w14:paraId="03EA0A27" w14:textId="21810A53" w:rsidR="00AA1853" w:rsidRDefault="008D6B6C" w:rsidP="00C66AF2">
      <w:pPr>
        <w:autoSpaceDE w:val="0"/>
        <w:autoSpaceDN w:val="0"/>
        <w:adjustRightInd w:val="0"/>
        <w:spacing w:line="360" w:lineRule="auto"/>
        <w:jc w:val="both"/>
        <w:rPr>
          <w:rFonts w:ascii="Arial" w:hAnsi="Arial" w:cs="Arial"/>
          <w:sz w:val="24"/>
          <w:szCs w:val="24"/>
          <w:lang w:val="en"/>
        </w:rPr>
      </w:pPr>
      <w:r w:rsidRPr="00316308">
        <w:rPr>
          <w:rFonts w:ascii="Arial" w:hAnsi="Arial" w:cs="Arial"/>
          <w:sz w:val="24"/>
          <w:szCs w:val="24"/>
          <w:lang w:val="en"/>
        </w:rPr>
        <w:t>Th</w:t>
      </w:r>
      <w:r w:rsidR="00D0667F" w:rsidRPr="00316308">
        <w:rPr>
          <w:rFonts w:ascii="Arial" w:hAnsi="Arial" w:cs="Arial"/>
          <w:sz w:val="24"/>
          <w:szCs w:val="24"/>
          <w:lang w:val="en"/>
        </w:rPr>
        <w:t xml:space="preserve">is section </w:t>
      </w:r>
      <w:r w:rsidRPr="00316308">
        <w:rPr>
          <w:rFonts w:ascii="Arial" w:hAnsi="Arial" w:cs="Arial"/>
          <w:sz w:val="24"/>
          <w:szCs w:val="24"/>
          <w:lang w:val="en"/>
        </w:rPr>
        <w:t xml:space="preserve">will present and evaluate the clinical </w:t>
      </w:r>
      <w:r w:rsidR="00F74633" w:rsidRPr="00316308">
        <w:rPr>
          <w:rFonts w:ascii="Arial" w:hAnsi="Arial" w:cs="Arial"/>
          <w:sz w:val="24"/>
          <w:szCs w:val="24"/>
          <w:lang w:val="en"/>
        </w:rPr>
        <w:t xml:space="preserve">and </w:t>
      </w:r>
      <w:r w:rsidR="00D0667F" w:rsidRPr="00316308">
        <w:rPr>
          <w:rFonts w:ascii="Arial" w:hAnsi="Arial" w:cs="Arial"/>
          <w:sz w:val="24"/>
          <w:szCs w:val="24"/>
          <w:lang w:val="en"/>
        </w:rPr>
        <w:t>humanistic</w:t>
      </w:r>
      <w:r w:rsidR="00F74633" w:rsidRPr="00316308">
        <w:rPr>
          <w:rFonts w:ascii="Arial" w:hAnsi="Arial" w:cs="Arial"/>
          <w:sz w:val="24"/>
          <w:szCs w:val="24"/>
          <w:lang w:val="en"/>
        </w:rPr>
        <w:t xml:space="preserve"> </w:t>
      </w:r>
      <w:r w:rsidRPr="00316308">
        <w:rPr>
          <w:rFonts w:ascii="Arial" w:hAnsi="Arial" w:cs="Arial"/>
          <w:sz w:val="24"/>
          <w:szCs w:val="24"/>
          <w:lang w:val="en"/>
        </w:rPr>
        <w:t xml:space="preserve">outcomes of pharmacists’ interventions more specifically, in relation to diabetes management in Saudi </w:t>
      </w:r>
      <w:r w:rsidR="00B71450" w:rsidRPr="00316308">
        <w:rPr>
          <w:rFonts w:ascii="Arial" w:hAnsi="Arial" w:cs="Arial"/>
          <w:sz w:val="24"/>
          <w:szCs w:val="24"/>
          <w:lang w:val="en"/>
        </w:rPr>
        <w:t xml:space="preserve">Arabia. Then, </w:t>
      </w:r>
      <w:r w:rsidR="00700C34" w:rsidRPr="00316308">
        <w:rPr>
          <w:rFonts w:ascii="Arial" w:hAnsi="Arial" w:cs="Arial"/>
          <w:sz w:val="24"/>
          <w:szCs w:val="24"/>
          <w:lang w:val="en"/>
        </w:rPr>
        <w:t xml:space="preserve">the involvement of pharmacists in MDT diabetes care in </w:t>
      </w:r>
      <w:r w:rsidR="00CB417E">
        <w:rPr>
          <w:rFonts w:ascii="Arial" w:hAnsi="Arial" w:cs="Arial"/>
          <w:sz w:val="24"/>
          <w:szCs w:val="24"/>
          <w:lang w:val="en"/>
        </w:rPr>
        <w:t>SA</w:t>
      </w:r>
      <w:r w:rsidR="00700C34" w:rsidRPr="00316308">
        <w:rPr>
          <w:rFonts w:ascii="Arial" w:hAnsi="Arial" w:cs="Arial"/>
          <w:sz w:val="24"/>
          <w:szCs w:val="24"/>
          <w:lang w:val="en"/>
        </w:rPr>
        <w:t xml:space="preserve"> will be presented</w:t>
      </w:r>
      <w:r w:rsidR="00266DF3" w:rsidRPr="00316308">
        <w:rPr>
          <w:rFonts w:ascii="Arial" w:hAnsi="Arial" w:cs="Arial"/>
          <w:sz w:val="24"/>
          <w:szCs w:val="24"/>
          <w:lang w:val="en"/>
        </w:rPr>
        <w:t>.</w:t>
      </w:r>
    </w:p>
    <w:p w14:paraId="4A82D84B" w14:textId="260CDCB5" w:rsidR="00755CED" w:rsidRPr="001C74C1" w:rsidRDefault="00755CED" w:rsidP="001C74C1">
      <w:pPr>
        <w:pStyle w:val="Heading4"/>
        <w:rPr>
          <w:rFonts w:asciiTheme="minorBidi" w:hAnsiTheme="minorBidi" w:cstheme="minorBidi"/>
          <w:sz w:val="24"/>
          <w:szCs w:val="24"/>
        </w:rPr>
      </w:pPr>
      <w:r w:rsidRPr="001C74C1">
        <w:rPr>
          <w:rFonts w:asciiTheme="minorBidi" w:hAnsiTheme="minorBidi" w:cstheme="minorBidi"/>
          <w:sz w:val="24"/>
          <w:szCs w:val="24"/>
        </w:rPr>
        <w:t>   2.3.7.1</w:t>
      </w:r>
      <w:r w:rsidR="00DD4AA8">
        <w:rPr>
          <w:rFonts w:asciiTheme="minorBidi" w:hAnsiTheme="minorBidi" w:cstheme="minorBidi"/>
          <w:sz w:val="24"/>
          <w:szCs w:val="24"/>
        </w:rPr>
        <w:t>.</w:t>
      </w:r>
      <w:r w:rsidRPr="001C74C1">
        <w:rPr>
          <w:rFonts w:asciiTheme="minorBidi" w:hAnsiTheme="minorBidi" w:cstheme="minorBidi"/>
          <w:sz w:val="24"/>
          <w:szCs w:val="24"/>
        </w:rPr>
        <w:t xml:space="preserve"> Saudi Arabia: Impact of pharmacists' interventions</w:t>
      </w:r>
    </w:p>
    <w:p w14:paraId="026ED841" w14:textId="458BE28E" w:rsidR="008E5769" w:rsidRPr="00876389" w:rsidRDefault="002A2241" w:rsidP="00DD4AA8">
      <w:pPr>
        <w:spacing w:before="240" w:line="360" w:lineRule="auto"/>
        <w:jc w:val="both"/>
        <w:rPr>
          <w:rFonts w:ascii="Arial" w:hAnsi="Arial" w:cs="Arial"/>
          <w:sz w:val="24"/>
          <w:szCs w:val="24"/>
        </w:rPr>
      </w:pPr>
      <w:r>
        <w:rPr>
          <w:rFonts w:ascii="Arial" w:eastAsia="Times New Roman" w:hAnsi="Arial" w:cs="Arial"/>
          <w:sz w:val="24"/>
          <w:szCs w:val="24"/>
        </w:rPr>
        <w:t xml:space="preserve">In SA, </w:t>
      </w:r>
      <w:r>
        <w:rPr>
          <w:rFonts w:ascii="Arial" w:eastAsia="Times New Roman" w:hAnsi="Arial" w:cs="Arial"/>
          <w:sz w:val="24"/>
          <w:szCs w:val="24"/>
          <w:lang w:val="en-GB"/>
        </w:rPr>
        <w:t>t</w:t>
      </w:r>
      <w:r w:rsidRPr="006921AB">
        <w:rPr>
          <w:rFonts w:ascii="Arial" w:eastAsia="Times New Roman" w:hAnsi="Arial" w:cs="Arial"/>
          <w:sz w:val="24"/>
          <w:szCs w:val="24"/>
          <w:lang w:val="en-GB"/>
        </w:rPr>
        <w:t xml:space="preserve">he literature that measured the impact of pharmacist’s interventions to patients with diabetes primarily based on empirical research (retrospective and prospective studies) as shown in this </w:t>
      </w:r>
      <w:r>
        <w:rPr>
          <w:rFonts w:ascii="Arial" w:eastAsia="Times New Roman" w:hAnsi="Arial" w:cs="Arial"/>
          <w:sz w:val="24"/>
          <w:szCs w:val="24"/>
          <w:lang w:val="en-GB"/>
        </w:rPr>
        <w:t>section</w:t>
      </w:r>
      <w:r w:rsidRPr="006921AB">
        <w:rPr>
          <w:rFonts w:ascii="Arial" w:eastAsia="Times New Roman" w:hAnsi="Arial" w:cs="Arial"/>
          <w:sz w:val="24"/>
          <w:szCs w:val="24"/>
          <w:lang w:val="en-GB"/>
        </w:rPr>
        <w:t xml:space="preserve">. Study characteristics of included </w:t>
      </w:r>
      <w:r>
        <w:rPr>
          <w:rFonts w:ascii="Arial" w:eastAsia="Times New Roman" w:hAnsi="Arial" w:cs="Arial"/>
          <w:sz w:val="24"/>
          <w:szCs w:val="24"/>
          <w:lang w:val="en-GB"/>
        </w:rPr>
        <w:t xml:space="preserve">Saudi related </w:t>
      </w:r>
      <w:r w:rsidRPr="006921AB">
        <w:rPr>
          <w:rFonts w:ascii="Arial" w:eastAsia="Times New Roman" w:hAnsi="Arial" w:cs="Arial"/>
          <w:sz w:val="24"/>
          <w:szCs w:val="24"/>
          <w:lang w:val="en-GB"/>
        </w:rPr>
        <w:t>studies and key findings for pharmacist-led interventions is summarised in</w:t>
      </w:r>
      <w:r>
        <w:rPr>
          <w:rFonts w:ascii="Arial" w:eastAsia="Times New Roman" w:hAnsi="Arial" w:cs="Arial"/>
          <w:sz w:val="24"/>
          <w:szCs w:val="24"/>
          <w:lang w:val="en-GB"/>
        </w:rPr>
        <w:t xml:space="preserve"> </w:t>
      </w:r>
      <w:r w:rsidRPr="009A4C90">
        <w:rPr>
          <w:rFonts w:ascii="Arial" w:eastAsia="Times New Roman" w:hAnsi="Arial" w:cs="Arial"/>
          <w:sz w:val="24"/>
          <w:szCs w:val="24"/>
          <w:lang w:val="en-GB"/>
        </w:rPr>
        <w:t>a table</w:t>
      </w:r>
      <w:r>
        <w:rPr>
          <w:rFonts w:ascii="Arial" w:eastAsia="Times New Roman" w:hAnsi="Arial" w:cs="Arial"/>
          <w:color w:val="1F3864" w:themeColor="accent1" w:themeShade="80"/>
          <w:sz w:val="24"/>
          <w:szCs w:val="24"/>
          <w:lang w:val="en-GB"/>
        </w:rPr>
        <w:t xml:space="preserve"> attached in </w:t>
      </w:r>
      <w:r>
        <w:rPr>
          <w:rFonts w:ascii="Arial" w:eastAsia="Times New Roman" w:hAnsi="Arial" w:cs="Arial"/>
          <w:color w:val="1F3864" w:themeColor="accent1" w:themeShade="80"/>
          <w:sz w:val="24"/>
          <w:szCs w:val="24"/>
          <w:lang w:val="en-GB"/>
        </w:rPr>
        <w:fldChar w:fldCharType="begin"/>
      </w:r>
      <w:r>
        <w:rPr>
          <w:rFonts w:ascii="Arial" w:eastAsia="Times New Roman" w:hAnsi="Arial" w:cs="Arial"/>
          <w:color w:val="1F3864" w:themeColor="accent1" w:themeShade="80"/>
          <w:sz w:val="24"/>
          <w:szCs w:val="24"/>
          <w:lang w:val="en-GB"/>
        </w:rPr>
        <w:instrText xml:space="preserve"> REF _Ref148515738 \h </w:instrText>
      </w:r>
      <w:r>
        <w:rPr>
          <w:rFonts w:ascii="Arial" w:eastAsia="Times New Roman" w:hAnsi="Arial" w:cs="Arial"/>
          <w:color w:val="1F3864" w:themeColor="accent1" w:themeShade="80"/>
          <w:sz w:val="24"/>
          <w:szCs w:val="24"/>
          <w:lang w:val="en-GB"/>
        </w:rPr>
      </w:r>
      <w:r>
        <w:rPr>
          <w:rFonts w:ascii="Arial" w:eastAsia="Times New Roman" w:hAnsi="Arial" w:cs="Arial"/>
          <w:color w:val="1F3864" w:themeColor="accent1" w:themeShade="80"/>
          <w:sz w:val="24"/>
          <w:szCs w:val="24"/>
          <w:lang w:val="en-GB"/>
        </w:rPr>
        <w:fldChar w:fldCharType="separate"/>
      </w:r>
      <w:r w:rsidRPr="004E2A80">
        <w:rPr>
          <w:rFonts w:asciiTheme="minorBidi" w:hAnsiTheme="minorBidi"/>
          <w:i/>
          <w:iCs/>
          <w:color w:val="44546A" w:themeColor="text2"/>
          <w:sz w:val="24"/>
          <w:szCs w:val="24"/>
        </w:rPr>
        <w:t>Appendix H</w:t>
      </w:r>
      <w:r>
        <w:rPr>
          <w:rFonts w:asciiTheme="minorBidi" w:hAnsiTheme="minorBidi"/>
          <w:i/>
          <w:iCs/>
          <w:color w:val="44546A" w:themeColor="text2"/>
          <w:sz w:val="24"/>
          <w:szCs w:val="24"/>
        </w:rPr>
        <w:t>.</w:t>
      </w:r>
      <w:r>
        <w:rPr>
          <w:rFonts w:ascii="Arial" w:eastAsia="Times New Roman" w:hAnsi="Arial" w:cs="Arial"/>
          <w:color w:val="1F3864" w:themeColor="accent1" w:themeShade="80"/>
          <w:sz w:val="24"/>
          <w:szCs w:val="24"/>
          <w:lang w:val="en-GB"/>
        </w:rPr>
        <w:fldChar w:fldCharType="end"/>
      </w:r>
      <w:r>
        <w:rPr>
          <w:rFonts w:ascii="Arial" w:eastAsia="Times New Roman" w:hAnsi="Arial" w:cs="Arial"/>
          <w:sz w:val="24"/>
          <w:szCs w:val="24"/>
          <w:lang w:val="en-GB"/>
        </w:rPr>
        <w:t xml:space="preserve"> </w:t>
      </w:r>
      <w:r w:rsidRPr="006921AB">
        <w:rPr>
          <w:rFonts w:ascii="Arial" w:eastAsia="Times New Roman" w:hAnsi="Arial" w:cs="Arial"/>
          <w:sz w:val="24"/>
          <w:szCs w:val="24"/>
          <w:lang w:val="en-GB"/>
        </w:rPr>
        <w:t xml:space="preserve">In most studies reviewed here, a multidisciplinary practice, including a pharmacist as part of the patient management team, is recognised as the best practice for improving healthcare delivery as well as patients’ outcomes and safety.  Therefore, in this section, we will demonstrate the effects of pharmacists' intervention on clinical </w:t>
      </w:r>
      <w:r>
        <w:rPr>
          <w:rFonts w:ascii="Arial" w:eastAsia="Times New Roman" w:hAnsi="Arial" w:cs="Arial"/>
          <w:sz w:val="24"/>
          <w:szCs w:val="24"/>
          <w:lang w:val="en-GB"/>
        </w:rPr>
        <w:t xml:space="preserve">outcomes </w:t>
      </w:r>
      <w:r w:rsidRPr="006921AB">
        <w:rPr>
          <w:rFonts w:ascii="Arial" w:eastAsia="Times New Roman" w:hAnsi="Arial" w:cs="Arial"/>
          <w:sz w:val="24"/>
          <w:szCs w:val="24"/>
          <w:lang w:val="en-GB"/>
        </w:rPr>
        <w:t xml:space="preserve">and </w:t>
      </w:r>
      <w:r>
        <w:rPr>
          <w:rFonts w:ascii="Arial" w:eastAsia="Times New Roman" w:hAnsi="Arial" w:cs="Arial"/>
          <w:sz w:val="24"/>
          <w:szCs w:val="24"/>
          <w:lang w:val="en-GB"/>
        </w:rPr>
        <w:t>safety</w:t>
      </w:r>
      <w:r w:rsidRPr="006921AB">
        <w:rPr>
          <w:rFonts w:ascii="Arial" w:eastAsia="Times New Roman" w:hAnsi="Arial" w:cs="Arial"/>
          <w:sz w:val="24"/>
          <w:szCs w:val="24"/>
          <w:lang w:val="en-GB"/>
        </w:rPr>
        <w:t xml:space="preserve"> aspects.</w:t>
      </w:r>
      <w:r>
        <w:rPr>
          <w:rFonts w:ascii="Arial" w:eastAsia="Times New Roman" w:hAnsi="Arial" w:cs="Arial"/>
          <w:sz w:val="24"/>
          <w:szCs w:val="24"/>
          <w:lang w:val="en-GB"/>
        </w:rPr>
        <w:t xml:space="preserve"> </w:t>
      </w:r>
    </w:p>
    <w:p w14:paraId="4DBDA1B2" w14:textId="735A3CA0" w:rsidR="00DE1516" w:rsidRPr="009E44CF" w:rsidRDefault="00DE1516" w:rsidP="009E44CF">
      <w:pPr>
        <w:pStyle w:val="Heading5"/>
        <w:rPr>
          <w:rFonts w:asciiTheme="minorBidi" w:hAnsiTheme="minorBidi" w:cstheme="minorBidi"/>
          <w:sz w:val="24"/>
          <w:szCs w:val="24"/>
        </w:rPr>
      </w:pPr>
      <w:r w:rsidRPr="009E44CF">
        <w:rPr>
          <w:rFonts w:asciiTheme="minorBidi" w:hAnsiTheme="minorBidi" w:cstheme="minorBidi"/>
          <w:sz w:val="24"/>
          <w:szCs w:val="24"/>
        </w:rPr>
        <w:t>Impacts on patients’ clinical outcomes and safety</w:t>
      </w:r>
    </w:p>
    <w:p w14:paraId="0202FC4D" w14:textId="77777777" w:rsidR="00DE1516" w:rsidRPr="000F5592" w:rsidRDefault="00DE1516" w:rsidP="002A2241">
      <w:pPr>
        <w:spacing w:before="240" w:after="0" w:line="360" w:lineRule="auto"/>
        <w:jc w:val="both"/>
        <w:rPr>
          <w:rFonts w:asciiTheme="minorBidi" w:hAnsiTheme="minorBidi"/>
          <w:sz w:val="24"/>
          <w:szCs w:val="24"/>
          <w:shd w:val="clear" w:color="auto" w:fill="FFFFFF"/>
          <w:lang w:val="en-GB"/>
        </w:rPr>
      </w:pPr>
      <w:r w:rsidRPr="001056C0">
        <w:rPr>
          <w:rFonts w:asciiTheme="minorBidi" w:hAnsiTheme="minorBidi"/>
          <w:sz w:val="24"/>
          <w:szCs w:val="24"/>
          <w:shd w:val="clear" w:color="auto" w:fill="FFFFFF"/>
          <w:lang w:val="en-GB"/>
        </w:rPr>
        <w:t>The findings of</w:t>
      </w:r>
      <w:r>
        <w:rPr>
          <w:rFonts w:asciiTheme="minorBidi" w:hAnsiTheme="minorBidi"/>
          <w:sz w:val="24"/>
          <w:szCs w:val="24"/>
          <w:shd w:val="clear" w:color="auto" w:fill="FFFFFF"/>
          <w:lang w:val="en-GB"/>
        </w:rPr>
        <w:t xml:space="preserve"> a</w:t>
      </w:r>
      <w:r w:rsidRPr="001056C0">
        <w:rPr>
          <w:rFonts w:asciiTheme="minorBidi" w:hAnsiTheme="minorBidi"/>
          <w:sz w:val="24"/>
          <w:szCs w:val="24"/>
          <w:shd w:val="clear" w:color="auto" w:fill="FFFFFF"/>
          <w:lang w:val="en-GB"/>
        </w:rPr>
        <w:t xml:space="preserve"> few </w:t>
      </w:r>
      <w:r w:rsidRPr="001056C0">
        <w:rPr>
          <w:rFonts w:asciiTheme="minorBidi" w:eastAsia="Times New Roman" w:hAnsiTheme="minorBidi"/>
          <w:sz w:val="24"/>
          <w:szCs w:val="24"/>
          <w:lang w:val="en-GB"/>
        </w:rPr>
        <w:t xml:space="preserve">national studies conducted by </w:t>
      </w:r>
      <w:r w:rsidRPr="007C5B70">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{"citationItems":[{"id":"ITEM-1","itemData":{"author":[{"dropping-</w:instrText>
      </w:r>
      <w:r w:rsidRPr="00741082">
        <w:rPr>
          <w:rFonts w:asciiTheme="minorBidi" w:hAnsiTheme="minorBidi"/>
          <w:sz w:val="24"/>
          <w:szCs w:val="24"/>
        </w:rPr>
        <w:instrText>particle":"","family":"Alghadeer","given":"Sultan M","non-dropping-particle":"","parse-names":false,"suffix":""},{"dropping-particle":"","family":"Alsuwayni","given":"Bashayr","non-dropping-particle":"","parse-names":false,"suffix":""},{"dropping-particle":"","family":"Almuwayjid","given":"Abdulmohsen K","non-dropping-particle":"","parse-names":false,"suffix":""},{"dropping-particle":"","family":"Almadi","given":"Mohammed S","non-dropping-particle":"","parse-names":false,"suffix":""},{"dropping-particle":"","family":"Mubarak","given":"Abdullah M","non-dropping-particle":"","parse-names":false,"suffix":""},{"dropping-particle":"","family":"Khunayn","given":"Rawan M","non-dropping-particle":"","parse-names":false,"suffix":""},{"dropping-particle":"","family":"Al-arifi","given":"Mohamed N","non-dropping-particle":"","parse-names":false,"suffix":""}],"id":"ITEM-1","issued":{"date-parts":[["2022"]]},"page":"1-9","title":"Glycemic Control and Management in Pharmacist-Led Diabetic Clinic vs . Physician-Led Diabetic Clinic","type":"article-journal"},"uris":["http://www.mendeley.com/documents/?uuid=0aae8201-f410-4f68-ae0c-7d27a405e309"]}],"mendeley":{"formattedCitation":"(Alghadeer &lt;i&gt;et al.&lt;/i&gt;, 2022)","manualFormatting":"Alghadeer et al. (2022)","plainTextFormattedCitation":"(Alghadeer et al., 2022)","previouslyFormattedCitation":"(Alghadeer &lt;i&gt;et al.&lt;/i&gt;, 2022)"},"properties":{"noteIndex":0},"schema":"https://github.com/citation-style-language/schema/raw/master/csl-citation.json"}</w:instrText>
      </w:r>
      <w:r w:rsidRPr="007C5B70">
        <w:rPr>
          <w:rFonts w:asciiTheme="minorBidi" w:hAnsiTheme="minorBidi"/>
          <w:sz w:val="24"/>
          <w:szCs w:val="24"/>
          <w:lang w:val="en-GB"/>
        </w:rPr>
        <w:fldChar w:fldCharType="separate"/>
      </w:r>
      <w:r w:rsidRPr="00741082">
        <w:rPr>
          <w:rFonts w:asciiTheme="minorBidi" w:hAnsiTheme="minorBidi"/>
          <w:noProof/>
          <w:sz w:val="24"/>
          <w:szCs w:val="24"/>
        </w:rPr>
        <w:t xml:space="preserve">Alghadeer </w:t>
      </w:r>
      <w:r w:rsidRPr="00741082">
        <w:rPr>
          <w:rFonts w:asciiTheme="minorBidi" w:hAnsiTheme="minorBidi"/>
          <w:i/>
          <w:noProof/>
          <w:sz w:val="24"/>
          <w:szCs w:val="24"/>
        </w:rPr>
        <w:t>et al.</w:t>
      </w:r>
      <w:r w:rsidRPr="00741082">
        <w:rPr>
          <w:rFonts w:asciiTheme="minorBidi" w:hAnsiTheme="minorBidi"/>
          <w:noProof/>
          <w:sz w:val="24"/>
          <w:szCs w:val="24"/>
        </w:rPr>
        <w:t xml:space="preserve"> </w:t>
      </w:r>
      <w:r w:rsidRPr="00860521">
        <w:rPr>
          <w:rFonts w:asciiTheme="minorBidi" w:hAnsiTheme="minorBidi"/>
          <w:noProof/>
          <w:sz w:val="24"/>
          <w:szCs w:val="24"/>
          <w:lang w:val="fr-FR"/>
        </w:rPr>
        <w:t>(2022)</w:t>
      </w:r>
      <w:r w:rsidRPr="007C5B70">
        <w:rPr>
          <w:rFonts w:asciiTheme="minorBidi" w:hAnsiTheme="minorBidi"/>
          <w:sz w:val="24"/>
          <w:szCs w:val="24"/>
          <w:lang w:val="en-GB"/>
        </w:rPr>
        <w:fldChar w:fldCharType="end"/>
      </w:r>
      <w:r w:rsidRPr="00860521">
        <w:rPr>
          <w:rFonts w:asciiTheme="minorBidi" w:hAnsiTheme="minorBidi"/>
          <w:sz w:val="24"/>
          <w:szCs w:val="24"/>
          <w:lang w:val="fr-FR"/>
        </w:rPr>
        <w:t xml:space="preserve">, </w:t>
      </w:r>
      <w:r w:rsidRPr="007C5B70">
        <w:rPr>
          <w:rFonts w:asciiTheme="minorBidi" w:hAnsiTheme="minorBidi"/>
          <w:sz w:val="24"/>
          <w:szCs w:val="24"/>
          <w:lang w:val="en-GB"/>
        </w:rPr>
        <w:fldChar w:fldCharType="begin" w:fldLock="1"/>
      </w:r>
      <w:r w:rsidRPr="00860521">
        <w:rPr>
          <w:rFonts w:asciiTheme="minorBidi" w:hAnsiTheme="minorBidi"/>
          <w:sz w:val="24"/>
          <w:szCs w:val="24"/>
          <w:lang w:val="fr-FR"/>
        </w:rPr>
        <w:instrText>ADDIN CSL_CITATION {"citationItems":[{"id":"ITEM-1","itemData":{"DOI":"10.7759/cureus.25923","author":[{"dropping-particle":"","family":"Alqifari","given":"Saleh F","non-dropping-particle":"","parse-names":false,"suffix":""},{"dropping-particle":"","family":"Almharwal","given":"Bader","non-dropping-particle":"","parse-names":false,"suffix":""},{"dropping-particle":"","family":"Aldawish","given":"Rahaf","non-dropping-particle":"","parse-names":false,"suffix":""},{"dropping-particle":"","family":"Almokhlef","given":"Salman A","non-dropping-particle":"","parse-names":false,"suffix":""}],"id":"ITEM-1","issue":"6","issued":{"date-parts":[["2022"]]},"page":"8-13","title":"Impact of Pharmacist-Led Clinics on Health Outcomes of Patients With Diabetes at a Ministry of Health Diabetes &amp; Endocrinology Center , Saudi Arabia : A Retrospective Study","type":"article-journal","volume":"14"},"uris":["http://www.mendeley.com/documents/?uuid=b4794254-e216-4fdf-bd51-7876d2c5e639"]}],"mendeley":{"formattedCitation":"(Alqifari &lt;i&gt;et al.&lt;/i&gt;, 2022)","manualFormatting":"Alqifari et al. (2022)","plainTextFormattedCitation":"(Alqifari et al., 2022)","previouslyFormattedCitation":"(Alqifari &lt;i&gt;et al.&lt;/i&gt;, 2022)"},"properties":{"noteIndex":0},"schema":"https://github.com/citation-style-language/schema/raw/master/csl-citation.json"}</w:instrText>
      </w:r>
      <w:r w:rsidRPr="007C5B70">
        <w:rPr>
          <w:rFonts w:asciiTheme="minorBidi" w:hAnsiTheme="minorBidi"/>
          <w:sz w:val="24"/>
          <w:szCs w:val="24"/>
          <w:lang w:val="en-GB"/>
        </w:rPr>
        <w:fldChar w:fldCharType="separate"/>
      </w:r>
      <w:r w:rsidRPr="00860521">
        <w:rPr>
          <w:rFonts w:asciiTheme="minorBidi" w:hAnsiTheme="minorBidi"/>
          <w:noProof/>
          <w:sz w:val="24"/>
          <w:szCs w:val="24"/>
          <w:lang w:val="fr-FR"/>
        </w:rPr>
        <w:t xml:space="preserve">Alqifari </w:t>
      </w:r>
      <w:r w:rsidRPr="00860521">
        <w:rPr>
          <w:rFonts w:asciiTheme="minorBidi" w:hAnsiTheme="minorBidi"/>
          <w:i/>
          <w:noProof/>
          <w:sz w:val="24"/>
          <w:szCs w:val="24"/>
          <w:lang w:val="fr-FR"/>
        </w:rPr>
        <w:t>et al.</w:t>
      </w:r>
      <w:r w:rsidRPr="00860521">
        <w:rPr>
          <w:rFonts w:asciiTheme="minorBidi" w:hAnsiTheme="minorBidi"/>
          <w:noProof/>
          <w:sz w:val="24"/>
          <w:szCs w:val="24"/>
          <w:lang w:val="fr-FR"/>
        </w:rPr>
        <w:t xml:space="preserve"> (2022)</w:t>
      </w:r>
      <w:r w:rsidRPr="007C5B70">
        <w:rPr>
          <w:rFonts w:asciiTheme="minorBidi" w:hAnsiTheme="minorBidi"/>
          <w:sz w:val="24"/>
          <w:szCs w:val="24"/>
          <w:lang w:val="en-GB"/>
        </w:rPr>
        <w:fldChar w:fldCharType="end"/>
      </w:r>
      <w:r w:rsidRPr="00860521">
        <w:rPr>
          <w:rFonts w:asciiTheme="minorBidi" w:hAnsiTheme="minorBidi"/>
          <w:sz w:val="24"/>
          <w:szCs w:val="24"/>
          <w:lang w:val="fr-FR"/>
        </w:rPr>
        <w:t xml:space="preserve">, </w:t>
      </w:r>
      <w:r w:rsidRPr="007C5B70">
        <w:rPr>
          <w:rFonts w:asciiTheme="minorBidi" w:hAnsiTheme="minorBidi"/>
          <w:sz w:val="24"/>
          <w:szCs w:val="24"/>
          <w:lang w:val="en-GB"/>
        </w:rPr>
        <w:fldChar w:fldCharType="begin" w:fldLock="1"/>
      </w:r>
      <w:r w:rsidRPr="00860521">
        <w:rPr>
          <w:rFonts w:asciiTheme="minorBidi" w:hAnsiTheme="minorBidi"/>
          <w:sz w:val="24"/>
          <w:szCs w:val="24"/>
          <w:lang w:val="fr-FR"/>
        </w:rPr>
        <w:instrText>ADDIN CSL_CITATION {"citationItems":[{"id":"ITEM-1","itemData":{"author":[{"dropping-particle":"","family":"Alsubaie","given":"Nawal","non-dropping-particle":"","parse-names":false,"suffix":""},{"dropping-particle":"","family":"Alsallal","given":"Mohannad","non-dropping-particle":"","parse-names":false,"suffix":""},{"dropping-particle":"","family":"Altwaijri","given":"Sulaiman","non-dropping-particle":"","parse-names":false,"suffix":""},{"dropping-particle":"","family":"Alotaibi","given":"Ahmed","non-dropping-particle":"","parse-names":false,"suffix":""},{"dropping-particle":"","family":"Alharbi","given":"Bandar","non-dropping-particle":"","parse-names":false,"suffix":""},{"dropping-particle":"","family":"Aleissa","given":"Mohammad","non-dropping-particle":"","parse-names":false,"suffix":""}],"id":"ITEM-1","issued":{"date-parts":[["2022"]]},"page":"887-892","title":"Impact of Clinical Pharmacist Diabetes Clinic on the Improvement of Health Outcomes in Type 2 Diabetes Subjects","type":"article-journal","volume":"10"},"uris":["http://www.mendeley.com/documents/?uuid=f4bab006-c942-4961-9501-a0ea0c0f1f08"]}],"mendeley":{"formattedCitation":"(Alsubaie &lt;i&gt;et al.&lt;/i&gt;, 2022)","manualFormatting":"Alsubaie et al. (2022)","plainTextFormattedCitation":"(Alsubaie et al., 2022)","previouslyFormattedCitation":"(Alsubaie &lt;i&gt;et al.&lt;/i&gt;, 2022)"},"properties":{"noteIndex":0},"schema":"https://github.com/citation-style-language/schema/raw/master/csl-citation.json"}</w:instrText>
      </w:r>
      <w:r w:rsidRPr="007C5B70">
        <w:rPr>
          <w:rFonts w:asciiTheme="minorBidi" w:hAnsiTheme="minorBidi"/>
          <w:sz w:val="24"/>
          <w:szCs w:val="24"/>
          <w:lang w:val="en-GB"/>
        </w:rPr>
        <w:fldChar w:fldCharType="separate"/>
      </w:r>
      <w:r w:rsidRPr="00860521">
        <w:rPr>
          <w:rFonts w:asciiTheme="minorBidi" w:hAnsiTheme="minorBidi"/>
          <w:noProof/>
          <w:sz w:val="24"/>
          <w:szCs w:val="24"/>
          <w:lang w:val="fr-FR"/>
        </w:rPr>
        <w:t xml:space="preserve">Alsubaie </w:t>
      </w:r>
      <w:r w:rsidRPr="00860521">
        <w:rPr>
          <w:rFonts w:asciiTheme="minorBidi" w:hAnsiTheme="minorBidi"/>
          <w:i/>
          <w:noProof/>
          <w:sz w:val="24"/>
          <w:szCs w:val="24"/>
          <w:lang w:val="fr-FR"/>
        </w:rPr>
        <w:t>et al.</w:t>
      </w:r>
      <w:r w:rsidRPr="00860521">
        <w:rPr>
          <w:rFonts w:asciiTheme="minorBidi" w:hAnsiTheme="minorBidi"/>
          <w:noProof/>
          <w:sz w:val="24"/>
          <w:szCs w:val="24"/>
          <w:lang w:val="fr-FR"/>
        </w:rPr>
        <w:t xml:space="preserve"> (2022)</w:t>
      </w:r>
      <w:r w:rsidRPr="007C5B70">
        <w:rPr>
          <w:rFonts w:asciiTheme="minorBidi" w:hAnsiTheme="minorBidi"/>
          <w:sz w:val="24"/>
          <w:szCs w:val="24"/>
          <w:lang w:val="en-GB"/>
        </w:rPr>
        <w:fldChar w:fldCharType="end"/>
      </w:r>
      <w:r w:rsidRPr="00860521">
        <w:rPr>
          <w:rFonts w:asciiTheme="minorBidi" w:hAnsiTheme="minorBidi"/>
          <w:sz w:val="24"/>
          <w:szCs w:val="24"/>
          <w:lang w:val="fr-FR"/>
        </w:rPr>
        <w:t xml:space="preserve">, </w:t>
      </w:r>
      <w:r w:rsidRPr="007C5B70">
        <w:rPr>
          <w:rFonts w:asciiTheme="minorBidi" w:eastAsia="Times New Roman" w:hAnsiTheme="minorBidi"/>
          <w:noProof/>
          <w:color w:val="000000"/>
          <w:sz w:val="24"/>
          <w:szCs w:val="24"/>
          <w:lang w:val="en-GB"/>
        </w:rPr>
        <w:fldChar w:fldCharType="begin" w:fldLock="1"/>
      </w:r>
      <w:r w:rsidRPr="00860521">
        <w:rPr>
          <w:rFonts w:asciiTheme="minorBidi" w:eastAsia="Times New Roman" w:hAnsiTheme="minorBidi"/>
          <w:noProof/>
          <w:color w:val="000000"/>
          <w:sz w:val="24"/>
          <w:szCs w:val="24"/>
          <w:lang w:val="fr-FR"/>
        </w:rPr>
        <w:instrText>ADDIN CSL_CITATION {"citationItems":[{"id":"ITEM-1","itemData":{"author":[{"dropping-particle":"","family":"Aldraimly","given":"Maha","non-dropping-particle":"","parse-names":false,"suffix":""},{"dropping-particle":"","family":"Azhar","given":"Syed","non-dropping-particle":"","parse-names":false,"suffix":""},{"dropping-particle":"","family":"Syed","given":"Bin","non-dropping-particle":"","parse-names":false,"suffix":""},{"dropping-particle":"","family":"Nouri","given":"Ahmed Ibrahim","non-dropping-particle":"","parse-names":false,"suffix":""},{"dropping-particle":"","family":"Alanazi","given":"Salma Fahad","non-dropping-particle":"","parse-names":false,"suffix":""}],"id":"ITEM-1","issue":"4","issued":{"date-parts":[["2021"]]},"page":"2582-2594","title":"Impact of Clinical Pharmacist Interventions in Management of Diabetes in Primary Care in Saudi Arabia","type":"article-journal","volume":"12"},"uris":["http://www.mendeley.com/documents/?uuid=78361eef-f052-4acf-a8d9-b172ac78fc45"]}],"mendeley":{"formattedCitation":"(Aldraimly &lt;i&gt;et al.&lt;/i&gt;, 2021)","manualFormatting":"Aldraimly et al. (2021)","plainTextFormattedCitation":"(Aldraimly et al., 2021)","previouslyFormattedCitation":"(Aldraimly &lt;i&gt;et al.&lt;/i&gt;, 2021)"},"properties":{"noteIndex":0},"schema":"https://github.com/citation-style-language/schema/raw/master/csl-citation.json"}</w:instrText>
      </w:r>
      <w:r w:rsidRPr="007C5B70">
        <w:rPr>
          <w:rFonts w:asciiTheme="minorBidi" w:eastAsia="Times New Roman" w:hAnsiTheme="minorBidi"/>
          <w:noProof/>
          <w:color w:val="000000"/>
          <w:sz w:val="24"/>
          <w:szCs w:val="24"/>
          <w:lang w:val="en-GB"/>
        </w:rPr>
        <w:fldChar w:fldCharType="separate"/>
      </w:r>
      <w:r w:rsidRPr="00860521">
        <w:rPr>
          <w:rFonts w:asciiTheme="minorBidi" w:eastAsia="Times New Roman" w:hAnsiTheme="minorBidi"/>
          <w:noProof/>
          <w:color w:val="000000"/>
          <w:sz w:val="24"/>
          <w:szCs w:val="24"/>
          <w:lang w:val="fr-FR"/>
        </w:rPr>
        <w:t xml:space="preserve">Aldraimly </w:t>
      </w:r>
      <w:r w:rsidRPr="00860521">
        <w:rPr>
          <w:rFonts w:asciiTheme="minorBidi" w:eastAsia="Times New Roman" w:hAnsiTheme="minorBidi"/>
          <w:i/>
          <w:noProof/>
          <w:color w:val="000000"/>
          <w:sz w:val="24"/>
          <w:szCs w:val="24"/>
          <w:lang w:val="fr-FR"/>
        </w:rPr>
        <w:t>et al.</w:t>
      </w:r>
      <w:r w:rsidRPr="00860521">
        <w:rPr>
          <w:rFonts w:asciiTheme="minorBidi" w:eastAsia="Times New Roman" w:hAnsiTheme="minorBidi"/>
          <w:noProof/>
          <w:color w:val="000000"/>
          <w:sz w:val="24"/>
          <w:szCs w:val="24"/>
          <w:lang w:val="fr-FR"/>
        </w:rPr>
        <w:t xml:space="preserve"> (2021)</w:t>
      </w:r>
      <w:r w:rsidRPr="007C5B70">
        <w:rPr>
          <w:rFonts w:asciiTheme="minorBidi" w:eastAsia="Times New Roman" w:hAnsiTheme="minorBidi"/>
          <w:noProof/>
          <w:color w:val="000000"/>
          <w:sz w:val="24"/>
          <w:szCs w:val="24"/>
          <w:lang w:val="en-GB"/>
        </w:rPr>
        <w:fldChar w:fldCharType="end"/>
      </w:r>
      <w:r w:rsidRPr="00860521">
        <w:rPr>
          <w:rFonts w:asciiTheme="minorBidi" w:eastAsia="Times New Roman" w:hAnsiTheme="minorBidi"/>
          <w:noProof/>
          <w:color w:val="000000"/>
          <w:sz w:val="24"/>
          <w:szCs w:val="24"/>
          <w:lang w:val="fr-FR"/>
        </w:rPr>
        <w:t xml:space="preserve">, </w:t>
      </w:r>
      <w:r w:rsidRPr="007C5B70">
        <w:rPr>
          <w:rFonts w:asciiTheme="minorBidi" w:hAnsiTheme="minorBidi"/>
          <w:noProof/>
          <w:sz w:val="24"/>
          <w:szCs w:val="24"/>
          <w:lang w:val="en-GB"/>
        </w:rPr>
        <w:fldChar w:fldCharType="begin" w:fldLock="1"/>
      </w:r>
      <w:r w:rsidRPr="00860521">
        <w:rPr>
          <w:rFonts w:asciiTheme="minorBidi" w:hAnsiTheme="minorBidi"/>
          <w:noProof/>
          <w:sz w:val="24"/>
          <w:szCs w:val="24"/>
          <w:lang w:val="fr-FR"/>
        </w:rPr>
        <w:instrText>ADDIN CSL_CITATION {"citationItems":[{"id":"ITEM-1","itemData":{"DOI":"10.1016/j.jsps.2020.11.002","ISSN":"13190164","author":[{"dropping-particle":"","family":"Alsuwayni","given":"Bashayr","non-dropping-particle":"","parse-names":false,"suffix":""},{"dropping-particle":"","family":"Alhossan","given":"Abdulaziz","non-dropping-particle":"","parse-names":false,"suffix":""}],"container-title":"Saudi Pharmaceutical Journal","id":"ITEM-1","issue":"12","issued":{"date-parts":[["2020"]]},"page":"1756-1759","publisher":"King Saud University","title":"Impact of clinical pharmacist-led diabetes management clinic on health outcomes at an academic hospital in Riyadh, Saudi Arabia: A prospective cohort study","type":"article-journal","volume":"28"},"uris":["http://www.mendeley.com/documents/?uuid=8c96643a-8124-455f-8442-cb7dc2cbdf33"]}],"mendeley":{"formattedCitation":"(Alsuwayni and Alhossan, 2020)","manualFormatting":"Alsuwayni and Alhossan (2020)","plainTextFormattedCitation":"(Alsuwayni and Alhossan, 2020)","previouslyFormattedCitation":"(Alsuwayni and Alhossan, 2020)"},"properties":{"noteIndex":0},"schema":"https://github.com/citation-style-language/schema/raw/master/csl-citation.json"}</w:instrText>
      </w:r>
      <w:r w:rsidRPr="007C5B70">
        <w:rPr>
          <w:rFonts w:asciiTheme="minorBidi" w:hAnsiTheme="minorBidi"/>
          <w:noProof/>
          <w:sz w:val="24"/>
          <w:szCs w:val="24"/>
          <w:lang w:val="en-GB"/>
        </w:rPr>
        <w:fldChar w:fldCharType="separate"/>
      </w:r>
      <w:r w:rsidRPr="00860521">
        <w:rPr>
          <w:rFonts w:asciiTheme="minorBidi" w:hAnsiTheme="minorBidi"/>
          <w:noProof/>
          <w:sz w:val="24"/>
          <w:szCs w:val="24"/>
          <w:lang w:val="fr-FR"/>
        </w:rPr>
        <w:t>Alsuwayni and Alhossan (2020)</w:t>
      </w:r>
      <w:r w:rsidRPr="007C5B70">
        <w:rPr>
          <w:rFonts w:asciiTheme="minorBidi" w:hAnsiTheme="minorBidi"/>
          <w:noProof/>
          <w:sz w:val="24"/>
          <w:szCs w:val="24"/>
          <w:lang w:val="en-GB"/>
        </w:rPr>
        <w:fldChar w:fldCharType="end"/>
      </w:r>
      <w:r w:rsidRPr="00860521">
        <w:rPr>
          <w:rFonts w:asciiTheme="minorBidi" w:hAnsiTheme="minorBidi"/>
          <w:noProof/>
          <w:sz w:val="24"/>
          <w:szCs w:val="24"/>
          <w:lang w:val="fr-FR"/>
        </w:rPr>
        <w:t xml:space="preserve">, </w:t>
      </w:r>
      <w:r w:rsidRPr="007C5B70">
        <w:rPr>
          <w:rFonts w:asciiTheme="minorBidi" w:hAnsiTheme="minorBidi"/>
          <w:noProof/>
          <w:sz w:val="24"/>
          <w:szCs w:val="24"/>
          <w:lang w:val="en-GB"/>
        </w:rPr>
        <w:fldChar w:fldCharType="begin" w:fldLock="1"/>
      </w:r>
      <w:r w:rsidRPr="00860521">
        <w:rPr>
          <w:rFonts w:asciiTheme="minorBidi" w:hAnsiTheme="minorBidi"/>
          <w:noProof/>
          <w:sz w:val="24"/>
          <w:szCs w:val="24"/>
          <w:lang w:val="fr-FR"/>
        </w:rPr>
        <w:instrText>ADDIN CSL_CITATION {"citationItems":[{"id":"ITEM-1","itemData":{"DOI":"10.1111/ijpp.12572","ISSN":"0961-7671","abstract":"Objective: The aim of this program was to demonstrate that retail community pharmacists could successfully recruit, engage and counsel pe</w:instrText>
      </w:r>
      <w:r w:rsidRPr="007C5B70">
        <w:rPr>
          <w:rFonts w:asciiTheme="minorBidi" w:hAnsiTheme="minorBidi"/>
          <w:noProof/>
          <w:sz w:val="24"/>
          <w:szCs w:val="24"/>
          <w:lang w:val="en-GB"/>
        </w:rPr>
        <w:instrText>ople with diabetes by serving as a trusted source of diabetes information. We evaluated the outcomes of this clinical program in preparation for a wider roll out. Methods: Joslin Diabetes Center collaborated with Nahdi Medical Company, a large retail pharmacy chain in Saudi Arabia, to offer a ‘Let’s Talk About Diabetes’ (LTAD) program. LTAD consists of four 1: 1 counselling sessions, approximately 20 min each, scheduled over a 2–4 month period with a focus on medications, lab results, glucose monitoring and doctor visits. Twenty-five pharmacists completed diabetes education certification and intensive on-site training to deliver the LTAD program. Results: The 25 program pharmacists in 11 locations enrolled 2639 individual customers into the program. Of these, 1582 participated in at least one session and 1137 (71.9%) participated in at least one LTAD session and completed follow-up surveys. There were 380 customers with paired HbA1C results which demonstrated a reduction from 8.50% (69 mmol/mol) to 7.32% (56 mmol/mol) (P &lt; 0.001). There were improvements in diabetes awareness, attitudes towards diabetes and medication adherence. Conclusion: The evaluation of this community program suggests that a pharmacy-led diabetes education program is feasible in Saudi Arabia.","author":[{"dropping-particle":"","family":"Khan","given":"Yasmin","non-dropping-particle":"","parse-names":false,"suffix":""},{"dropping-particle":"","family":"Imershein","given":"Sarah","non-dropping-particle":"","parse-names":false,"suffix":""},{"dropping-particle":"","family":"Maryniuk","given":"Melinda","non-dropping-particle":"","parse-names":false,"suffix":""},{"dropping-particle":"","family":"Armian","given":"Haleh","non-dropping-particle":"","parse-names":false,"suffix":""},{"dropping-particle":"","family":"Turkistani","given":"Sarah Anwar","non-dropping-particle":"","parse-names":false,"suffix":""},{"dropping-particle":"","family":"Bayoumi","given":"Aly H.","non-dropping-particle":"","parse-names":false,"suffix":""},{"dropping-particle":"","family":"Al</w:instrText>
      </w:r>
      <w:r w:rsidRPr="007C5B70">
        <w:rPr>
          <w:rFonts w:ascii="Cambria Math" w:hAnsi="Cambria Math" w:cs="Cambria Math"/>
          <w:noProof/>
          <w:sz w:val="24"/>
          <w:szCs w:val="24"/>
          <w:lang w:val="en-GB"/>
        </w:rPr>
        <w:instrText>‐</w:instrText>
      </w:r>
      <w:r w:rsidRPr="007C5B70">
        <w:rPr>
          <w:rFonts w:asciiTheme="minorBidi" w:hAnsiTheme="minorBidi"/>
          <w:noProof/>
          <w:sz w:val="24"/>
          <w:szCs w:val="24"/>
          <w:lang w:val="en-GB"/>
        </w:rPr>
        <w:instrText>Harbi","given":"Mohammed Yahia","non-dropping-particle":"","parse-names":false,"suffix":""},{"dropping-particle":"","family":"Hsu","given":"William C.","non-dropping-particle":"","parse-names":false,"suffix":""},{"dropping-particle":"","family":"Al-Harbi","given":"M Y","non-dropping-particle":"","parse-names":false,"suffix":""},{"dropping-particle":"","family":"Hsu","given":"William C.","non-dropping-particle":"","parse-names":false,"suffix":""}],"container-title":"International Journal of Pharmacy Practice","id":"ITEM-1","issue":"1","issued":{"date-parts":[["2020","2","9"]]},"page":"49-55","publisher":"Wiley-Blackwell Publishing Ltd","title":"A program utilizing community pharmacists to improve diabetes education in the Kingdom of Saudi Arabia","type":"article-journal","volume":"28"},"uris":["http://www.mendeley.com/documents/?uuid=5f6e2ba6-c61f-4f46-849d-d13a9aeed886"]}],"mendeley":{"formattedCitation":"(Khan &lt;i&gt;et al.&lt;/i&gt;, 2020)","manualFormatting":"Khan et al. (2020)","plainTextFormattedCitation":"(Khan et al., 2020)","previouslyFormattedCitation":"(Khan &lt;i&gt;et al.&lt;/i&gt;, 2020)"},"properties":{"noteIndex":0},"schema":"https://github.com/citation-style-language/schema/raw/master/csl-citation.json"}</w:instrText>
      </w:r>
      <w:r w:rsidRPr="007C5B70">
        <w:rPr>
          <w:rFonts w:asciiTheme="minorBidi" w:hAnsiTheme="minorBidi"/>
          <w:noProof/>
          <w:sz w:val="24"/>
          <w:szCs w:val="24"/>
          <w:lang w:val="en-GB"/>
        </w:rPr>
        <w:fldChar w:fldCharType="separate"/>
      </w:r>
      <w:r w:rsidRPr="007C5B70">
        <w:rPr>
          <w:rFonts w:asciiTheme="minorBidi" w:hAnsiTheme="minorBidi"/>
          <w:noProof/>
          <w:sz w:val="24"/>
          <w:szCs w:val="24"/>
          <w:lang w:val="en-GB"/>
        </w:rPr>
        <w:t xml:space="preserve">Khan </w:t>
      </w:r>
      <w:r w:rsidRPr="007C5B70">
        <w:rPr>
          <w:rFonts w:asciiTheme="minorBidi" w:hAnsiTheme="minorBidi"/>
          <w:i/>
          <w:noProof/>
          <w:sz w:val="24"/>
          <w:szCs w:val="24"/>
          <w:lang w:val="en-GB"/>
        </w:rPr>
        <w:t xml:space="preserve">et al. </w:t>
      </w:r>
      <w:r w:rsidRPr="007C5B70">
        <w:rPr>
          <w:rFonts w:asciiTheme="minorBidi" w:hAnsiTheme="minorBidi"/>
          <w:noProof/>
          <w:sz w:val="24"/>
          <w:szCs w:val="24"/>
          <w:lang w:val="en-GB"/>
        </w:rPr>
        <w:t>(2020)</w:t>
      </w:r>
      <w:r w:rsidRPr="007C5B70">
        <w:rPr>
          <w:rFonts w:asciiTheme="minorBidi" w:hAnsiTheme="minorBidi"/>
          <w:noProof/>
          <w:sz w:val="24"/>
          <w:szCs w:val="24"/>
          <w:lang w:val="en-GB"/>
        </w:rPr>
        <w:fldChar w:fldCharType="end"/>
      </w:r>
      <w:r w:rsidRPr="007C5B70">
        <w:rPr>
          <w:rFonts w:asciiTheme="minorBidi" w:hAnsiTheme="minorBidi"/>
          <w:noProof/>
          <w:sz w:val="24"/>
          <w:szCs w:val="24"/>
          <w:lang w:val="en-GB"/>
        </w:rPr>
        <w:t xml:space="preserve">, </w:t>
      </w:r>
      <w:r w:rsidRPr="007C5B70">
        <w:rPr>
          <w:rFonts w:asciiTheme="minorBidi" w:hAnsiTheme="minorBidi"/>
          <w:noProof/>
          <w:sz w:val="24"/>
          <w:szCs w:val="24"/>
          <w:lang w:val="en-GB"/>
        </w:rPr>
        <w:fldChar w:fldCharType="begin" w:fldLock="1"/>
      </w:r>
      <w:r w:rsidRPr="007C5B70">
        <w:rPr>
          <w:rFonts w:asciiTheme="minorBidi" w:hAnsiTheme="minorBidi"/>
          <w:noProof/>
          <w:sz w:val="24"/>
          <w:szCs w:val="24"/>
          <w:lang w:val="en-GB"/>
        </w:rPr>
        <w:instrText>ADDIN CSL_CITATION {"citationItems":[{"id":"ITEM-1","itemData":{"DOI":"10.15537/smj.2018.7.22194","ISSN":"16583175","PMID":"29968894","abstract":"Objectives: To evaluate the impact of a multidisciplinary intensive education program (MIEP) on type 2 diabetes mellitus (T2DM) patients’ outcomes. Methods: A retrospective study was used to evaluate the impact of MIEP on T2DM patients’ outcomes for between May 2016 and May 2017. Data were collected from the diabetes education clinic in King Saud University Medical City (KSUMC), Riyadh, Saudi Arabia where patients were referred from diabetes outpatient clinics to the diabetes education clinic to receive MIEP. In terms of measuring the clinical outcomes of the T2DM patients, glycemic control, blood pressure, weight, and lipid profiles were assessed before MIEP at 3, 6, and 12 months. Results: A total of 174 patients with T2DM fulfilled study inclusion criteria. The results indicate improved glycemic control where patients’ HbA1c and blood sugar levels were significantly reduced 3, 6, and 12 months after MIEP compared to the baseline (p&lt;0.005). Moreover, blood pressure improved after education; a significant improvement was observed in the mean systolic blood pressure (SBP) from baseline to 12 months (p=0.036), and in the mean diastolic blood pressure (DBP) after 12 months (p=0.016). Additionally, the study found significant differences in total cholesterol and low-density lipoprotein (LDL) cholesterol 6 months after the intervention (p=0.014, p=0.02, respectively). Conclusion: Implementing an MIEP for T2DM patients can improve their clinical outcomes, which consequently may delay the disease’s long-term complications.","author":[{"dropping-particle":"","family":"Al-Arifi","given":"Mohamed N.","non-dropping-particle":"","parse-names":false,"suffix":""},{"dropping-particle":"","family":"Al-Omar","given":"Hussain A.","non-dropping-particle":"","parse-names":false,"suffix":""}],"container-title":"Saudi Medical Journal","id":"ITEM-1","issue":"7","issued":{"date-parts":[["2018","7","1"]]},"note":"From Duplicate 2 (Impact of a multidisciplinary intensive education program on type 2 diabetes mellitus patients’ glycemic control and cardiovascular risk factors - Al-Arifi, M N; Al-Omar, H A)\n\nCited By :3\n\nExport Date: 14 July 2020","page":"705-710","publisher":"Saudi Arabian Armed Forces Hospital","title":"Impact of a multidisciplinary intensive education program on type 2 diabetes mellitus patients’ glycemic control and cardiovascular risk factors","type":"article-journal","volume":"39"},"uris":["http://www.mendeley.com/documents/?uuid=689e4e48-89ab-4d68-b9b8-473a128e596e"]}],"mendeley":{"formattedCitation":"(Al-Arifi and Al-Omar, 2018)","manualFormatting":"Al-Arifi and Al-Omar (2018)","plainTextFormattedCitation":"(Al-Arifi and Al-Omar, 2018)","previouslyFormattedCitation":"(Al-Arifi and Al-Omar, 2018)"},"properties":{"noteIndex":0},"schema":"https://github.com/citation-style-language/schema/raw/master/csl-citation.json"}</w:instrText>
      </w:r>
      <w:r w:rsidRPr="007C5B70">
        <w:rPr>
          <w:rFonts w:asciiTheme="minorBidi" w:hAnsiTheme="minorBidi"/>
          <w:noProof/>
          <w:sz w:val="24"/>
          <w:szCs w:val="24"/>
          <w:lang w:val="en-GB"/>
        </w:rPr>
        <w:fldChar w:fldCharType="separate"/>
      </w:r>
      <w:r w:rsidRPr="007C5B70">
        <w:rPr>
          <w:rFonts w:asciiTheme="minorBidi" w:hAnsiTheme="minorBidi"/>
          <w:noProof/>
          <w:sz w:val="24"/>
          <w:szCs w:val="24"/>
          <w:lang w:val="en-GB"/>
        </w:rPr>
        <w:t>Al-Arifi and Al-Omar (2018)</w:t>
      </w:r>
      <w:r w:rsidRPr="007C5B70">
        <w:rPr>
          <w:rFonts w:asciiTheme="minorBidi" w:hAnsiTheme="minorBidi"/>
          <w:noProof/>
          <w:sz w:val="24"/>
          <w:szCs w:val="24"/>
          <w:lang w:val="en-GB"/>
        </w:rPr>
        <w:fldChar w:fldCharType="end"/>
      </w:r>
      <w:r w:rsidRPr="007C5B70">
        <w:rPr>
          <w:rFonts w:asciiTheme="minorBidi" w:hAnsiTheme="minorBidi"/>
          <w:noProof/>
          <w:sz w:val="24"/>
          <w:szCs w:val="24"/>
          <w:lang w:val="en-GB"/>
        </w:rPr>
        <w:t xml:space="preserve">, </w:t>
      </w:r>
      <w:r w:rsidRPr="007C5B70">
        <w:rPr>
          <w:rFonts w:asciiTheme="minorBidi" w:hAnsiTheme="minorBidi"/>
          <w:noProof/>
          <w:sz w:val="24"/>
          <w:szCs w:val="24"/>
          <w:lang w:val="en-GB"/>
        </w:rPr>
        <w:fldChar w:fldCharType="begin" w:fldLock="1"/>
      </w:r>
      <w:r w:rsidRPr="007C5B70">
        <w:rPr>
          <w:rFonts w:asciiTheme="minorBidi" w:hAnsiTheme="minorBidi"/>
          <w:noProof/>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2013)","manualFormatting":"Al Tourkmani et al. (2018) ","plainTextFormattedCitation":"(Al Asmary et al., 2013)","previouslyFormattedCitation":"(Al Asmary &lt;i&gt;et al.&lt;/i&gt;, 2013)"},"properties":{"noteIndex":0},"schema":"https://github.com/citation-style-language/schema/raw/master/csl-citation.json"}</w:instrText>
      </w:r>
      <w:r w:rsidRPr="007C5B70">
        <w:rPr>
          <w:rFonts w:asciiTheme="minorBidi" w:hAnsiTheme="minorBidi"/>
          <w:noProof/>
          <w:sz w:val="24"/>
          <w:szCs w:val="24"/>
          <w:lang w:val="en-GB"/>
        </w:rPr>
        <w:fldChar w:fldCharType="separate"/>
      </w:r>
      <w:r w:rsidRPr="007C5B70">
        <w:rPr>
          <w:rFonts w:asciiTheme="minorBidi" w:hAnsiTheme="minorBidi"/>
          <w:noProof/>
          <w:sz w:val="24"/>
          <w:szCs w:val="24"/>
          <w:lang w:val="en-GB"/>
        </w:rPr>
        <w:t xml:space="preserve">Al </w:t>
      </w:r>
      <w:r w:rsidRPr="007C5B70">
        <w:rPr>
          <w:rFonts w:asciiTheme="minorBidi" w:hAnsiTheme="minorBidi"/>
          <w:noProof/>
          <w:sz w:val="24"/>
          <w:szCs w:val="24"/>
          <w:lang w:val="en-GB"/>
        </w:rPr>
        <w:fldChar w:fldCharType="begin" w:fldLock="1"/>
      </w:r>
      <w:r>
        <w:rPr>
          <w:rFonts w:asciiTheme="minorBidi" w:hAnsiTheme="minorBidi"/>
          <w:noProof/>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(2018)","plainTextFormattedCitation":"(Ayla M Tourkmani et al., 2018)","previouslyFormattedCitation":"(Ayla M Tourkmani &lt;i&gt;et al.&lt;/i&gt;, 2018)"},"properties":{"noteIndex":0},"schema":"https://github.com/citation-style-language/schema/raw/master/csl-citation.json"}</w:instrText>
      </w:r>
      <w:r w:rsidRPr="007C5B70">
        <w:rPr>
          <w:rFonts w:asciiTheme="minorBidi" w:hAnsiTheme="minorBidi"/>
          <w:noProof/>
          <w:sz w:val="24"/>
          <w:szCs w:val="24"/>
          <w:lang w:val="en-GB"/>
        </w:rPr>
        <w:fldChar w:fldCharType="separate"/>
      </w:r>
      <w:r w:rsidRPr="007C5B70">
        <w:rPr>
          <w:rFonts w:asciiTheme="minorBidi" w:hAnsiTheme="minorBidi"/>
          <w:noProof/>
          <w:sz w:val="24"/>
          <w:szCs w:val="24"/>
          <w:lang w:val="en-GB"/>
        </w:rPr>
        <w:t xml:space="preserve">Tourkmani </w:t>
      </w:r>
      <w:r w:rsidRPr="007C5B70">
        <w:rPr>
          <w:rFonts w:asciiTheme="minorBidi" w:hAnsiTheme="minorBidi"/>
          <w:i/>
          <w:iCs/>
          <w:noProof/>
          <w:sz w:val="24"/>
          <w:szCs w:val="24"/>
          <w:lang w:val="en-GB"/>
        </w:rPr>
        <w:t>et al.</w:t>
      </w:r>
      <w:r w:rsidRPr="007C5B70">
        <w:rPr>
          <w:rFonts w:asciiTheme="minorBidi" w:hAnsiTheme="minorBidi"/>
          <w:noProof/>
          <w:sz w:val="24"/>
          <w:szCs w:val="24"/>
          <w:lang w:val="en-GB"/>
        </w:rPr>
        <w:t xml:space="preserve"> (2018)</w:t>
      </w:r>
      <w:r w:rsidRPr="007C5B70">
        <w:rPr>
          <w:rFonts w:asciiTheme="minorBidi" w:hAnsiTheme="minorBidi"/>
          <w:noProof/>
          <w:sz w:val="24"/>
          <w:szCs w:val="24"/>
          <w:lang w:val="en-GB"/>
        </w:rPr>
        <w:fldChar w:fldCharType="end"/>
      </w:r>
      <w:r w:rsidRPr="007C5B70">
        <w:rPr>
          <w:rFonts w:asciiTheme="minorBidi" w:hAnsiTheme="minorBidi"/>
          <w:noProof/>
          <w:sz w:val="24"/>
          <w:szCs w:val="24"/>
          <w:lang w:val="en-GB"/>
        </w:rPr>
        <w:t xml:space="preserve"> </w:t>
      </w:r>
      <w:r w:rsidRPr="007C5B70">
        <w:rPr>
          <w:rFonts w:asciiTheme="minorBidi" w:hAnsiTheme="minorBidi"/>
          <w:noProof/>
          <w:sz w:val="24"/>
          <w:szCs w:val="24"/>
          <w:lang w:val="en-GB"/>
        </w:rPr>
        <w:fldChar w:fldCharType="end"/>
      </w:r>
      <w:r w:rsidRPr="007C5B70">
        <w:rPr>
          <w:rFonts w:asciiTheme="minorBidi" w:hAnsiTheme="minorBidi"/>
          <w:noProof/>
          <w:sz w:val="24"/>
          <w:szCs w:val="24"/>
          <w:lang w:val="en-GB"/>
        </w:rPr>
        <w:t xml:space="preserve">, </w:t>
      </w:r>
      <w:r w:rsidRPr="007C5B70">
        <w:rPr>
          <w:rFonts w:asciiTheme="minorBidi" w:hAnsiTheme="minorBidi"/>
          <w:noProof/>
          <w:sz w:val="24"/>
          <w:szCs w:val="24"/>
          <w:lang w:val="en-GB"/>
        </w:rPr>
        <w:fldChar w:fldCharType="begin" w:fldLock="1"/>
      </w:r>
      <w:r>
        <w:rPr>
          <w:rFonts w:asciiTheme="minorBidi" w:hAnsiTheme="minorBidi"/>
          <w:noProof/>
          <w:sz w:val="24"/>
          <w:szCs w:val="24"/>
          <w:lang w:val="en-GB"/>
        </w:rPr>
        <w:instrText>ADDIN CSL_CITATION {"citationItems":[{"id":"ITEM-1","itemData":{"DOI":"10.2147/PPA.S113324","ISSN":"1177889X","abstract":"Background: Fasting during the month of Ramadan could lead to acute complications and increased hypoglycemic risk of patients with type 2 diabetes. Therefore, diabetes is one of the diseases that need careful observation and special considerations during Ramadan including patients’ education and counseling. Objectives: To evaluate the impact of Ramadan focused education program on acute complications and biomedical parameters. Methods: A prospective nonrandomized interventional controlled design was run on three phases: before, during, and after Ramadan on 262 type 2 diabetes patients. The intervention group (n=140) received focused individualized diabetic education sessions and antidiabetic medications adjustment before and after Ramadan, while the control group (n=122) received standard diabetic care. A validated hypoglycemia questionnaire was used in both groups to assess the change of the risk. Patients were advised to adjust the dosage and timing of antidiabetic agents according to the recommendations for management of diabetes during Ramadan. Primary outcomes were postintervention change of hypoglycemia score and HbA1c over 6-month follow-up. Data were presented as mean ± standard deviation. HbA1c was expressed in percentage. Results: The hypoglycemic scores before, during, and after Ramadan were 14.21±8.50, 6.36±6.17, and 5.44±5.55 in the intervention group, respectively (P&lt;0.001) and 14.01±5.10, 13.46±5.30, and 9.27±4.65 in the control group, respectively (P&lt;0.001). HbA1c levels were 9.79±1.89, 8.26±1.54, and 8.52±1.61 before, during, and after Ramadan in the intervention group, respectively (P&lt;0.001), and 10.04±1.47, 9.54±1.38, and 9.59±1.79 in the control group, respectively (P&lt;0.001). Post-Ramadan reductions of HbA1c and hypoglycemic scores were significantly higher in the intervention group (-13.0% vs-4.5%, P=0.004 for HbA1c and-61.7% vs-33.8%, P&lt;0.001 for hypoglycemic score). Low-density lipoprotein cholesterol improved in the intervention group from 2.41±0.91 mmol/L before Ramadan to 2.28±0.68 mmol/L after Ramadan (P&lt;0.001). No statistically significant effects were observed on blood pressure or body weight in the intervention group. Also, no change was observed in the control group. Conclusion: Ramadan educational program had a positive impact with reduction of hypoglycemic risk, HbA1c, and low-density lipoprotein cholesterol. Therefore, it could be recommended for patients with increased risk of hypoglycemia during Ramadan fasting.","author":[{"dropping-particle":"","family":"Tourkmani","given":"Ayla M.","non-dropping-particle":"","parse-names":false,"suffix":""},{"dropping-particle":"","family":"Azmi Hassali","given":"Mohamed","non-dropping-particle":"","parse-names":false,"suffix":""},{"dropping-particle":"","family":"Alharbi","given":"Turki J.","non-dropping-particle":"","parse-names":false,"suffix":""},{"dropping-particle":"","family":"Alkhashan","given":"Hesham I.","non-dropping-particle":"","parse-names":false,"suffix":""},{"dropping-particle":"","family":"Alobikan","given":"Aljoharah H.","non-dropping-particle":"","parse-names":false,"suffix":""},{"dropping-particle":"","family":"Bakhiet","given":"Ahmed H.","non-dropping-particle":"","parse-names":false,"suffix":""},{"dropping-particle":"","family":"Alqahtani","given":"Hala B.","non-dropping-particle":"","parse-names":false,"suffix":""},{"dropping-particle":"","family":"Alrasheedy","given":"Alian A.","non-dropping-particle":"","parse-names":false,"suffix":""},{"dropping-particle":"","family":"Alawwad","given":"Ahmed D.","non-dropping-particle":"","parse-names":false,"suffix":""},{"dropping-particle":"","family":"Mishriky","given":"Adel M.","non-dropping-particle":"","parse-names":false,"suffix":""},{"dropping-particle":"","family":"Aljadhey","given":"Hisham","non-dropping-particle":"","parse-names":false,"suffix":""}],"container-title":"Patient Preference and Adherence","id":"ITEM-1","issued":{"date-parts":[["2016"]]},"page":"1709-1717","title":"Impact of ramadan focused education program on hypoglycemic risk and metabolic control for patients with type 2 diabetes","type":"article-journal","volume":"10"},"uris":["http://www.mendeley.com/documents/?uuid=0f118a78-43be-4dd9-896d-9a09e5eec0f9"]}],"mendeley":{"formattedCitation":"(Tourkmani &lt;i&gt;et al.&lt;/i&gt;, 2016)","manualFormatting":"Tourkmani et al. (2016a)","plainTextFormattedCitation":"(Tourkmani et al., 2016)","previouslyFormattedCitation":"(Tourkmani &lt;i&gt;et al.&lt;/i&gt;, 2016)"},"properties":{"noteIndex":0},"schema":"https://github.com/citation-style-language/schema/raw/master/csl-citation.json"}</w:instrText>
      </w:r>
      <w:r w:rsidRPr="007C5B70">
        <w:rPr>
          <w:rFonts w:asciiTheme="minorBidi" w:hAnsiTheme="minorBidi"/>
          <w:noProof/>
          <w:sz w:val="24"/>
          <w:szCs w:val="24"/>
          <w:lang w:val="en-GB"/>
        </w:rPr>
        <w:fldChar w:fldCharType="separate"/>
      </w:r>
      <w:r w:rsidRPr="007C5B70">
        <w:rPr>
          <w:rFonts w:asciiTheme="minorBidi" w:hAnsiTheme="minorBidi"/>
          <w:noProof/>
          <w:sz w:val="24"/>
          <w:szCs w:val="24"/>
          <w:lang w:val="en-GB"/>
        </w:rPr>
        <w:t xml:space="preserve">Tourkmani </w:t>
      </w:r>
      <w:r w:rsidRPr="007C5B70">
        <w:rPr>
          <w:rFonts w:asciiTheme="minorBidi" w:hAnsiTheme="minorBidi"/>
          <w:i/>
          <w:noProof/>
          <w:sz w:val="24"/>
          <w:szCs w:val="24"/>
          <w:lang w:val="en-GB"/>
        </w:rPr>
        <w:t>et al.</w:t>
      </w:r>
      <w:r w:rsidRPr="007C5B70">
        <w:rPr>
          <w:rFonts w:asciiTheme="minorBidi" w:hAnsiTheme="minorBidi"/>
          <w:noProof/>
          <w:sz w:val="24"/>
          <w:szCs w:val="24"/>
          <w:lang w:val="en-GB"/>
        </w:rPr>
        <w:t xml:space="preserve"> (2016a)</w:t>
      </w:r>
      <w:r w:rsidRPr="007C5B70">
        <w:rPr>
          <w:rFonts w:asciiTheme="minorBidi" w:hAnsiTheme="minorBidi"/>
          <w:noProof/>
          <w:sz w:val="24"/>
          <w:szCs w:val="24"/>
          <w:lang w:val="en-GB"/>
        </w:rPr>
        <w:fldChar w:fldCharType="end"/>
      </w:r>
      <w:r w:rsidRPr="007C5B70">
        <w:rPr>
          <w:rFonts w:asciiTheme="minorBidi" w:hAnsiTheme="minorBidi"/>
          <w:noProof/>
          <w:sz w:val="24"/>
          <w:szCs w:val="24"/>
          <w:lang w:val="en-GB"/>
        </w:rPr>
        <w:t xml:space="preserve">, and </w:t>
      </w:r>
      <w:r w:rsidRPr="007C5B70">
        <w:rPr>
          <w:rFonts w:asciiTheme="minorBidi" w:hAnsiTheme="minorBidi"/>
          <w:noProof/>
          <w:sz w:val="24"/>
          <w:szCs w:val="24"/>
          <w:lang w:val="en-GB"/>
        </w:rPr>
        <w:fldChar w:fldCharType="begin" w:fldLock="1"/>
      </w:r>
      <w:r>
        <w:rPr>
          <w:rFonts w:asciiTheme="minorBidi" w:hAnsiTheme="minorBidi"/>
          <w:noProof/>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2013)","manualFormatting":"Al Asmary et al. (2013)","plainTextFormattedCitation":"(Al Asmary et al., 2013)","previouslyFormattedCitation":"(Al Asmary &lt;i&gt;et al.&lt;/i&gt;, 2013)"},"properties":{"noteIndex":0},"schema":"https://github.com/citation-style-language/schema/raw/master/csl-citation.json"}</w:instrText>
      </w:r>
      <w:r w:rsidRPr="007C5B70">
        <w:rPr>
          <w:rFonts w:asciiTheme="minorBidi" w:hAnsiTheme="minorBidi"/>
          <w:noProof/>
          <w:sz w:val="24"/>
          <w:szCs w:val="24"/>
          <w:lang w:val="en-GB"/>
        </w:rPr>
        <w:fldChar w:fldCharType="separate"/>
      </w:r>
      <w:r w:rsidRPr="007C5B70">
        <w:rPr>
          <w:rFonts w:asciiTheme="minorBidi" w:hAnsiTheme="minorBidi"/>
          <w:noProof/>
          <w:sz w:val="24"/>
          <w:szCs w:val="24"/>
          <w:lang w:val="en-GB"/>
        </w:rPr>
        <w:t xml:space="preserve">Al Asmary </w:t>
      </w:r>
      <w:r w:rsidRPr="007C5B70">
        <w:rPr>
          <w:rFonts w:asciiTheme="minorBidi" w:hAnsiTheme="minorBidi"/>
          <w:i/>
          <w:noProof/>
          <w:sz w:val="24"/>
          <w:szCs w:val="24"/>
          <w:lang w:val="en-GB"/>
        </w:rPr>
        <w:t>et al.</w:t>
      </w:r>
      <w:r w:rsidRPr="007C5B70">
        <w:rPr>
          <w:rFonts w:asciiTheme="minorBidi" w:hAnsiTheme="minorBidi"/>
          <w:noProof/>
          <w:sz w:val="24"/>
          <w:szCs w:val="24"/>
          <w:lang w:val="en-GB"/>
        </w:rPr>
        <w:t xml:space="preserve"> (2013)</w:t>
      </w:r>
      <w:r w:rsidRPr="007C5B70">
        <w:rPr>
          <w:rFonts w:asciiTheme="minorBidi" w:hAnsiTheme="minorBidi"/>
          <w:noProof/>
          <w:sz w:val="24"/>
          <w:szCs w:val="24"/>
          <w:lang w:val="en-GB"/>
        </w:rPr>
        <w:fldChar w:fldCharType="end"/>
      </w:r>
      <w:r>
        <w:rPr>
          <w:rFonts w:asciiTheme="minorBidi" w:hAnsiTheme="minorBidi"/>
          <w:noProof/>
          <w:sz w:val="20"/>
          <w:szCs w:val="20"/>
          <w:lang w:val="en-GB"/>
        </w:rPr>
        <w:t xml:space="preserve"> </w:t>
      </w:r>
      <w:r w:rsidRPr="00B90F7E">
        <w:rPr>
          <w:rFonts w:asciiTheme="minorBidi" w:hAnsiTheme="minorBidi"/>
          <w:sz w:val="24"/>
          <w:szCs w:val="24"/>
          <w:shd w:val="clear" w:color="auto" w:fill="FFFFFF"/>
          <w:lang w:val="en-GB"/>
        </w:rPr>
        <w:t>showed that pharmacists’ involvement in diabetes care led to beneficial clinical outcomes in the key biomarkers in diabetes management, including HbA1C and/or blood glucose levels (e.g., fasting/postprandial/random), in addition to other biomarkers of other comorbidities such as BP, lipid profiles and BMI</w:t>
      </w:r>
      <w:r w:rsidRPr="001056C0">
        <w:rPr>
          <w:rFonts w:asciiTheme="minorBidi" w:eastAsia="Times New Roman" w:hAnsiTheme="minorBidi"/>
          <w:sz w:val="24"/>
          <w:szCs w:val="24"/>
          <w:lang w:val="en-GB"/>
        </w:rPr>
        <w:t xml:space="preserve">. </w:t>
      </w:r>
      <w:r>
        <w:rPr>
          <w:rFonts w:asciiTheme="minorBidi" w:eastAsia="Times New Roman" w:hAnsiTheme="minorBidi"/>
          <w:sz w:val="24"/>
          <w:szCs w:val="24"/>
          <w:lang w:val="en-GB"/>
        </w:rPr>
        <w:t xml:space="preserve">However, </w:t>
      </w:r>
      <w:r w:rsidRPr="00B605B1">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{"citationItems":[{"id":"ITEM-1","itemData":{"author":[{"dropping-particle":"","family":"Alghadeer","given":"Sultan M","non-dropping-particle":"","parse-names":false,"suffix":""},{"dropping-particle":"","family":"Alsuwayni","given":"Bashayr","non-dropping-particle":"","parse-names":false,"suffix":""},{"dropping-particle":"","family":"Almuwayjid","given":"Abdulmohsen K","non-dropping-particle":"","parse-names":false,"suffix":""},{"dropping-particle":"","family":"Almadi","given":"Mohammed S","non-dropping-particle":"","parse-names":false,"suffix":""},{"dropping-particle":"","family":"Mubarak","given":"Abdullah M","non-dropping-particle":"","parse-names":false,"suffix":""},{"dropping-particle":"","family":"Khunayn","given":"Rawan M","non-dropping-particle":"","parse-names":false,"suffix":""},{"dropping-particle":"","family":"Al-arifi","given":"Mohamed N","non-dropping-particle":"","parse-names":false,"suffix":""}],"id":"ITEM-1","issued":{"date-parts":[["2022"]]},"page":"1-9","title":"Glycemic Control and Management in Pharmacist-Led Diabetic Clinic vs . Physician-Led Diabetic Clinic","type":"article-journal"},"uris":["http://www.mendeley.com/documents/?uuid=0aae8201-f410-4f68-ae0c-7d27a405e309"]}],"mendeley":{"formattedCitation":"(Alghadeer &lt;i&gt;et al.&lt;/i&gt;, 2022)","manualFormatting":"Alghadeer et al. (2022)","plainTextFormattedCitation":"(Alghadeer et al., 2022)","previouslyFormattedCitation":"(Alghadeer &lt;i&gt;et al.&lt;/i&gt;, 2022)"},"properties":{"noteIndex":0},"schema":"https://github.com/citation-style-language/schema/raw/master/csl-citation.json"}</w:instrText>
      </w:r>
      <w:r w:rsidRPr="00B605B1">
        <w:rPr>
          <w:rFonts w:asciiTheme="minorBidi" w:hAnsiTheme="minorBidi"/>
          <w:sz w:val="24"/>
          <w:szCs w:val="24"/>
          <w:lang w:val="en-GB"/>
        </w:rPr>
        <w:fldChar w:fldCharType="separate"/>
      </w:r>
      <w:r w:rsidRPr="00B605B1">
        <w:rPr>
          <w:rFonts w:asciiTheme="minorBidi" w:hAnsiTheme="minorBidi"/>
          <w:noProof/>
          <w:sz w:val="24"/>
          <w:szCs w:val="24"/>
          <w:lang w:val="en-GB"/>
        </w:rPr>
        <w:t xml:space="preserve">Alghadeer </w:t>
      </w:r>
      <w:r w:rsidRPr="00B605B1">
        <w:rPr>
          <w:rFonts w:asciiTheme="minorBidi" w:hAnsiTheme="minorBidi"/>
          <w:i/>
          <w:noProof/>
          <w:sz w:val="24"/>
          <w:szCs w:val="24"/>
          <w:lang w:val="en-GB"/>
        </w:rPr>
        <w:t>et al.</w:t>
      </w:r>
      <w:r w:rsidRPr="00B605B1">
        <w:rPr>
          <w:rFonts w:asciiTheme="minorBidi" w:hAnsiTheme="minorBidi"/>
          <w:noProof/>
          <w:sz w:val="24"/>
          <w:szCs w:val="24"/>
          <w:lang w:val="en-GB"/>
        </w:rPr>
        <w:t xml:space="preserve"> (2022)</w:t>
      </w:r>
      <w:r w:rsidRPr="00B605B1">
        <w:rPr>
          <w:rFonts w:asciiTheme="minorBidi" w:hAnsiTheme="minorBidi"/>
          <w:sz w:val="24"/>
          <w:szCs w:val="24"/>
          <w:lang w:val="en-GB"/>
        </w:rPr>
        <w:fldChar w:fldCharType="end"/>
      </w:r>
      <w:r w:rsidRPr="00B605B1">
        <w:rPr>
          <w:rFonts w:asciiTheme="minorBidi" w:hAnsiTheme="minorBidi"/>
          <w:noProof/>
          <w:sz w:val="24"/>
          <w:szCs w:val="24"/>
          <w:lang w:val="en-GB"/>
        </w:rPr>
        <w:t xml:space="preserve"> </w:t>
      </w:r>
      <w:r w:rsidRPr="00B605B1">
        <w:rPr>
          <w:rFonts w:asciiTheme="minorBidi" w:hAnsiTheme="minorBidi"/>
          <w:sz w:val="24"/>
          <w:szCs w:val="24"/>
          <w:lang w:val="en-GB"/>
        </w:rPr>
        <w:t>f</w:t>
      </w:r>
      <w:r>
        <w:rPr>
          <w:rFonts w:asciiTheme="minorBidi" w:hAnsiTheme="minorBidi"/>
          <w:sz w:val="24"/>
          <w:szCs w:val="24"/>
          <w:lang w:val="en-GB"/>
        </w:rPr>
        <w:t xml:space="preserve">ound that there </w:t>
      </w:r>
      <w:r w:rsidRPr="000F5592">
        <w:rPr>
          <w:rFonts w:asciiTheme="minorBidi" w:hAnsiTheme="minorBidi"/>
          <w:sz w:val="24"/>
          <w:szCs w:val="24"/>
          <w:shd w:val="clear" w:color="auto" w:fill="FFFFFF"/>
          <w:lang w:val="en-GB"/>
        </w:rPr>
        <w:t>was no difference in all these biomarkers (</w:t>
      </w:r>
      <w:r w:rsidRPr="00B90F7E">
        <w:rPr>
          <w:rFonts w:asciiTheme="minorBidi" w:hAnsiTheme="minorBidi"/>
          <w:sz w:val="24"/>
          <w:szCs w:val="24"/>
          <w:shd w:val="clear" w:color="auto" w:fill="FFFFFF"/>
          <w:lang w:val="en-GB"/>
        </w:rPr>
        <w:t>HbA1C</w:t>
      </w:r>
      <w:r>
        <w:rPr>
          <w:rFonts w:asciiTheme="minorBidi" w:hAnsiTheme="minorBidi"/>
          <w:sz w:val="24"/>
          <w:szCs w:val="24"/>
          <w:shd w:val="clear" w:color="auto" w:fill="FFFFFF"/>
          <w:lang w:val="en-GB"/>
        </w:rPr>
        <w:t xml:space="preserve">, </w:t>
      </w:r>
      <w:r w:rsidRPr="000F5592">
        <w:rPr>
          <w:rFonts w:asciiTheme="minorBidi" w:hAnsiTheme="minorBidi"/>
          <w:sz w:val="24"/>
          <w:szCs w:val="24"/>
          <w:shd w:val="clear" w:color="auto" w:fill="FFFFFF"/>
          <w:lang w:val="en-GB"/>
        </w:rPr>
        <w:t xml:space="preserve">glucose </w:t>
      </w:r>
      <w:r>
        <w:rPr>
          <w:rFonts w:asciiTheme="minorBidi" w:hAnsiTheme="minorBidi"/>
          <w:sz w:val="24"/>
          <w:szCs w:val="24"/>
          <w:shd w:val="clear" w:color="auto" w:fill="FFFFFF"/>
          <w:lang w:val="en-GB"/>
        </w:rPr>
        <w:t>and</w:t>
      </w:r>
      <w:r w:rsidRPr="000F5592">
        <w:rPr>
          <w:rFonts w:asciiTheme="minorBidi" w:hAnsiTheme="minorBidi"/>
          <w:sz w:val="24"/>
          <w:szCs w:val="24"/>
          <w:shd w:val="clear" w:color="auto" w:fill="FFFFFF"/>
          <w:lang w:val="en-GB"/>
        </w:rPr>
        <w:t xml:space="preserve"> lipid profile, and BP) between pharmacist-led clinic versus traditional care (physician-led clinic).  </w:t>
      </w:r>
    </w:p>
    <w:p w14:paraId="4795D822" w14:textId="77777777" w:rsidR="00DE1516" w:rsidRDefault="00DE1516" w:rsidP="00DE1516">
      <w:pPr>
        <w:spacing w:after="0" w:line="240" w:lineRule="auto"/>
        <w:jc w:val="both"/>
        <w:rPr>
          <w:rFonts w:asciiTheme="minorBidi" w:eastAsia="Times New Roman" w:hAnsiTheme="minorBidi"/>
          <w:sz w:val="24"/>
          <w:szCs w:val="24"/>
          <w:lang w:val="en-GB"/>
        </w:rPr>
      </w:pPr>
    </w:p>
    <w:p w14:paraId="5A91791A" w14:textId="77777777" w:rsidR="00DE1516" w:rsidRPr="008E0A55" w:rsidRDefault="00DE1516" w:rsidP="00DE1516">
      <w:pPr>
        <w:autoSpaceDE w:val="0"/>
        <w:autoSpaceDN w:val="0"/>
        <w:adjustRightInd w:val="0"/>
        <w:spacing w:line="360" w:lineRule="auto"/>
        <w:jc w:val="both"/>
        <w:rPr>
          <w:rFonts w:asciiTheme="minorBidi" w:eastAsia="Times New Roman" w:hAnsiTheme="minorBidi"/>
          <w:sz w:val="24"/>
          <w:szCs w:val="24"/>
          <w:lang w:val="en-GB"/>
        </w:rPr>
      </w:pPr>
      <w:r>
        <w:rPr>
          <w:rFonts w:asciiTheme="minorBidi" w:hAnsiTheme="minorBidi"/>
          <w:sz w:val="24"/>
          <w:szCs w:val="24"/>
          <w:lang w:val="en-GB"/>
        </w:rPr>
        <w:t xml:space="preserve">Most studies included in this review </w:t>
      </w:r>
      <w:r w:rsidRPr="001056C0">
        <w:rPr>
          <w:rFonts w:asciiTheme="minorBidi" w:hAnsiTheme="minorBidi"/>
          <w:sz w:val="24"/>
          <w:szCs w:val="24"/>
          <w:lang w:val="en-GB"/>
        </w:rPr>
        <w:t>show</w:t>
      </w:r>
      <w:r>
        <w:rPr>
          <w:rFonts w:asciiTheme="minorBidi" w:hAnsiTheme="minorBidi"/>
          <w:sz w:val="24"/>
          <w:szCs w:val="24"/>
          <w:lang w:val="en-GB"/>
        </w:rPr>
        <w:t>ed</w:t>
      </w:r>
      <w:r w:rsidRPr="001056C0">
        <w:rPr>
          <w:rFonts w:asciiTheme="minorBidi" w:hAnsiTheme="minorBidi"/>
          <w:sz w:val="24"/>
          <w:szCs w:val="24"/>
          <w:lang w:val="en-GB"/>
        </w:rPr>
        <w:t xml:space="preserve"> statistically significant</w:t>
      </w:r>
      <w:r>
        <w:rPr>
          <w:rFonts w:asciiTheme="minorBidi" w:hAnsiTheme="minorBidi"/>
          <w:sz w:val="24"/>
          <w:szCs w:val="24"/>
          <w:lang w:val="en-GB"/>
        </w:rPr>
        <w:t xml:space="preserve"> reduction in</w:t>
      </w:r>
      <w:r w:rsidRPr="001056C0">
        <w:rPr>
          <w:rFonts w:asciiTheme="minorBidi" w:hAnsiTheme="minorBidi"/>
          <w:sz w:val="24"/>
          <w:szCs w:val="24"/>
          <w:lang w:val="en-GB"/>
        </w:rPr>
        <w:t xml:space="preserve"> HbA1</w:t>
      </w:r>
      <w:r>
        <w:rPr>
          <w:rFonts w:asciiTheme="minorBidi" w:hAnsiTheme="minorBidi"/>
          <w:sz w:val="24"/>
          <w:szCs w:val="24"/>
          <w:lang w:val="en-GB"/>
        </w:rPr>
        <w:t xml:space="preserve">c levels, which is </w:t>
      </w:r>
      <w:r w:rsidRPr="001056C0">
        <w:rPr>
          <w:rFonts w:asciiTheme="minorBidi" w:hAnsiTheme="minorBidi"/>
          <w:sz w:val="24"/>
          <w:szCs w:val="24"/>
          <w:lang w:val="en-GB"/>
        </w:rPr>
        <w:t>a primary outcome because it is considered a critical clinical parameter for long-term diabetes follow-up</w:t>
      </w:r>
      <w:r>
        <w:rPr>
          <w:rFonts w:asciiTheme="minorBidi" w:hAnsiTheme="minorBidi"/>
          <w:sz w:val="24"/>
          <w:szCs w:val="24"/>
          <w:lang w:val="en-GB"/>
        </w:rPr>
        <w:t>s</w:t>
      </w:r>
      <w:r w:rsidRPr="001056C0">
        <w:rPr>
          <w:rFonts w:asciiTheme="minorBidi" w:hAnsiTheme="minorBidi"/>
          <w:sz w:val="24"/>
          <w:szCs w:val="24"/>
          <w:lang w:val="en-GB"/>
        </w:rPr>
        <w:t>, among the pharmacist intervention group</w:t>
      </w:r>
      <w:r>
        <w:rPr>
          <w:rFonts w:asciiTheme="minorBidi" w:hAnsiTheme="minorBidi"/>
          <w:sz w:val="24"/>
          <w:szCs w:val="24"/>
          <w:lang w:val="en-GB"/>
        </w:rPr>
        <w:t xml:space="preserve">. </w:t>
      </w:r>
      <w:r>
        <w:rPr>
          <w:rFonts w:asciiTheme="minorBidi" w:eastAsia="Times New Roman" w:hAnsiTheme="minorBidi"/>
          <w:sz w:val="24"/>
          <w:szCs w:val="24"/>
          <w:lang w:val="en-GB"/>
        </w:rPr>
        <w:t>The other</w:t>
      </w:r>
      <w:r w:rsidRPr="001056C0">
        <w:rPr>
          <w:rFonts w:asciiTheme="minorBidi" w:eastAsia="Times New Roman" w:hAnsiTheme="minorBidi"/>
          <w:sz w:val="24"/>
          <w:szCs w:val="24"/>
          <w:lang w:val="en-GB"/>
        </w:rPr>
        <w:t xml:space="preserve"> key biomarker in diabetes management is blood glucose level. Studies by</w:t>
      </w:r>
      <w:r>
        <w:rPr>
          <w:rFonts w:ascii="Calibri" w:eastAsia="Times New Roman" w:hAnsi="Calibri" w:cstheme="minorHAnsi"/>
          <w:noProof/>
          <w:color w:val="000000"/>
          <w:sz w:val="20"/>
          <w:szCs w:val="20"/>
          <w:lang w:val="en-GB"/>
        </w:rPr>
        <w:t xml:space="preserve"> </w:t>
      </w:r>
      <w:r w:rsidRPr="001056C0">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DOI":"10.1016/j.jsps.2020.11.002","ISSN":"13190164","author":[{"dropping-particle":"","family":"Alsuwayni","given":"Bashayr","non-dropping-particle":"","parse-names":false,"suffix":""},{"dropping-particle":"","family":"Alhossan","given":"Abdulaziz","non-dropping-particle":"","parse-names":false,"suffix":""}],"container-title":"Saudi Pharmaceutical Journal","id":"ITEM-1","issue":"12","issued":{"date-parts":[["2020"]]},"page":"1756-1759","publisher":"King Saud University","title":"Impact of clinical pharmacist-led diabetes management clinic on health outcomes at an academic hospital in Riyadh, Saudi Arabia: A prospective cohort study","type":"article-journal","volume":"28"},"uris":["http://www.mendeley.com/documents/?uuid=8c96643a-8124-455f-8442-cb7dc2cbdf33"]}],"mendeley":{"formattedCitation":"(Alsuwayni and Alhossan, 2020)","manualFormatting":"Alsuwayni and Alhossan (2020)","plainTextFormattedCitation":"(Alsuwayni and Alhossan, 2020)","previouslyFormattedCitation":"(Alsuwayni and Alhossan, 2020)"},"properties":{"noteIndex":0},"schema":"https://github.com/citation-style-language/schema/raw/master/csl-citation.json"}</w:instrText>
      </w:r>
      <w:r w:rsidRPr="001056C0">
        <w:rPr>
          <w:rFonts w:asciiTheme="minorBidi" w:hAnsiTheme="minorBidi"/>
          <w:sz w:val="24"/>
          <w:szCs w:val="24"/>
          <w:lang w:val="en-GB"/>
        </w:rPr>
        <w:fldChar w:fldCharType="separate"/>
      </w:r>
      <w:r w:rsidRPr="001056C0">
        <w:rPr>
          <w:rFonts w:asciiTheme="minorBidi" w:hAnsiTheme="minorBidi"/>
          <w:noProof/>
          <w:sz w:val="24"/>
          <w:szCs w:val="24"/>
          <w:lang w:val="en-GB"/>
        </w:rPr>
        <w:t>Alsuwayni and Alhossan (2020)</w:t>
      </w:r>
      <w:r w:rsidRPr="001056C0">
        <w:rPr>
          <w:rFonts w:asciiTheme="minorBidi" w:hAnsiTheme="minorBidi"/>
          <w:sz w:val="24"/>
          <w:szCs w:val="24"/>
          <w:lang w:val="en-GB"/>
        </w:rPr>
        <w:fldChar w:fldCharType="end"/>
      </w:r>
      <w:r w:rsidRPr="001056C0">
        <w:rPr>
          <w:rFonts w:asciiTheme="minorBidi" w:hAnsiTheme="minorBidi"/>
          <w:sz w:val="24"/>
          <w:szCs w:val="24"/>
          <w:lang w:val="en-GB"/>
        </w:rPr>
        <w:t xml:space="preserve">, </w:t>
      </w:r>
      <w:r w:rsidRPr="001056C0">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{"citationItems":[{"id":"ITEM-1","itemData":{"DOI":"10.15537/smj.2018.7.22194","ISSN":"16583175","PMID":"29968894","abstract":"Objectives: To evaluate the impact of a multidisciplinary intensive education program (MIEP) on type 2 diabetes mellitus (T2DM) patients’ outcomes. Methods: A retrospective study was used to evaluate the impact of MIEP on T2DM patients’ outcomes for between May 2016 and May 2017. Data were collected from the diabetes education clinic in King Saud University Medical City (KSUMC), Riyadh, Saudi Arabia where patients were referred from diabetes outpatient clinics to the diabetes education clinic to receive MIEP. In terms of measuring the clinical outcomes of the T2DM patients, glycemic control, blood pressure, weight, and lipid profiles were assessed before MIEP at 3, 6, and 12 months. Results: A total of 174 patients with T2DM fulfilled study inclusion criteria. The results indicate improved glycemic control where patients’ HbA1c and blood sugar levels were significantly reduced 3, 6, and 12 months after MIEP compared to the baseline (p&lt;0.005). Moreover, blood pressure improved after education; a significant improvement was observed in the mean systolic blood pressure (SBP) from baseline to 12 months (p=0.036), and in the mean diastolic blood pressure (DBP) after 12 months (p=0.016). Additionally, the study found significant differences in total cholesterol and low-density lipoprotein (LDL) cholesterol 6 months after the intervention (p=0.014, p=0.02, respectively). Conclusion: Implementing an MIEP for T2DM patients can improve their clinical outcomes, which consequently may delay the disease’s long-term complications.","author":[{"dropping-particle":"","family":"Al-Arifi","given":"Mohamed N.","non-dropping-particle":"","parse-names":false,"suffix":""},{"dropping-particle":"","family":"Al-Omar","given":"Hussain A.","non-dropping-particle":"","parse-names":false,"suffix":""}],"container-title":"Saudi Medical Journal","id":"ITEM-1","issue":"7","issued":{"date-parts":[["2018","7","1"]]},"note":"From Duplicate 2 (Impact of a multidisciplinary intensive education program on type 2 diabetes mellitus patients’ glycemic control and cardiovascular risk factors - Al-Arifi, M N; Al-Omar, H A)\n\nCited By :3\n\nExport Date: 14 July 2020","page":"705-710","publisher":"Saudi Arabian Armed Forces Hospital","title":"Impact of a multidisciplinary intensive education program on type 2 diabetes mellitus patients’ glycemic control and cardiovascular risk factors","type":"article-journal","volume":"39"},"uris":["http://www.mendeley.com/documents/?uuid=689e4e48-89ab-4d68-b9b8-473a128e596e"]}],"mendeley":{"formattedCitation":"(Al-Arifi and Al-Omar, 2018)","manualFormatting":"Al-Arifi and Al-Omar (2018)","plainTextFormattedCitation":"(Al-Arifi and Al-Omar, 2018)","previouslyFormattedCitation":"(Al-Arifi and Al-Omar, 2018)"},"properties":{"noteIndex":0},"schema":"https://github.com/citation-style-language/schema/raw/master/csl-citation.json"}</w:instrText>
      </w:r>
      <w:r w:rsidRPr="001056C0">
        <w:rPr>
          <w:rFonts w:asciiTheme="minorBidi" w:hAnsiTheme="minorBidi"/>
          <w:sz w:val="24"/>
          <w:szCs w:val="24"/>
          <w:lang w:val="en-GB"/>
        </w:rPr>
        <w:fldChar w:fldCharType="separate"/>
      </w:r>
      <w:r w:rsidRPr="001056C0">
        <w:rPr>
          <w:rFonts w:asciiTheme="minorBidi" w:hAnsiTheme="minorBidi"/>
          <w:noProof/>
          <w:sz w:val="24"/>
          <w:szCs w:val="24"/>
          <w:lang w:val="en-GB"/>
        </w:rPr>
        <w:t>Al-Arifi and Al-Omar</w:t>
      </w:r>
      <w:r>
        <w:rPr>
          <w:rFonts w:asciiTheme="minorBidi" w:hAnsiTheme="minorBidi"/>
          <w:noProof/>
          <w:sz w:val="24"/>
          <w:szCs w:val="24"/>
          <w:lang w:val="en-GB"/>
        </w:rPr>
        <w:t xml:space="preserve"> </w:t>
      </w:r>
      <w:r w:rsidRPr="001056C0">
        <w:rPr>
          <w:rFonts w:asciiTheme="minorBidi" w:hAnsiTheme="minorBidi"/>
          <w:noProof/>
          <w:sz w:val="24"/>
          <w:szCs w:val="24"/>
          <w:lang w:val="en-GB"/>
        </w:rPr>
        <w:t>(2018)</w:t>
      </w:r>
      <w:r w:rsidRPr="001056C0">
        <w:rPr>
          <w:rFonts w:asciiTheme="minorBidi" w:hAnsiTheme="minorBidi"/>
          <w:sz w:val="24"/>
          <w:szCs w:val="24"/>
          <w:lang w:val="en-GB"/>
        </w:rPr>
        <w:fldChar w:fldCharType="end"/>
      </w:r>
      <w:r>
        <w:rPr>
          <w:rFonts w:asciiTheme="minorBidi" w:hAnsiTheme="minorBidi"/>
          <w:sz w:val="24"/>
          <w:szCs w:val="24"/>
          <w:lang w:val="en-GB"/>
        </w:rPr>
        <w:t>,</w:t>
      </w:r>
      <w:r w:rsidRPr="001056C0">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2013)","manualFormatting":"Tourkmani et al. (2018), and Tourkmani et al. (2018b) ","plainTextFormattedCitation":"(Al Asmary et al., 2013)","previouslyFormattedCitation":"(Al Asmary &lt;i&gt;et al.&lt;/i&gt;, 2013)"},"properties":{"noteIndex":0},"schema":"https://github.com/citation-style-language/schema/raw/master/csl-citation.json"}</w:instrText>
      </w:r>
      <w:r w:rsidRPr="001056C0">
        <w:rPr>
          <w:rFonts w:asciiTheme="minorBidi" w:hAnsiTheme="minorBidi"/>
          <w:sz w:val="24"/>
          <w:szCs w:val="24"/>
          <w:lang w:val="en-GB"/>
        </w:rPr>
        <w:fldChar w:fldCharType="separate"/>
      </w:r>
      <w:r w:rsidRPr="001056C0">
        <w:rPr>
          <w:rFonts w:asciiTheme="minorBidi" w:hAnsiTheme="minorBidi"/>
          <w:noProof/>
          <w:sz w:val="24"/>
          <w:szCs w:val="24"/>
          <w:lang w:val="en-GB"/>
        </w:rPr>
        <w:fldChar w:fldCharType="begin" w:fldLock="1"/>
      </w:r>
      <w:r>
        <w:rPr>
          <w:rFonts w:asciiTheme="minorBidi" w:hAnsiTheme="minorBidi"/>
          <w:noProof/>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(2018)","plainTextFormattedCitation":"(Ayla M Tourkmani et al., 2018)","previouslyFormattedCitation":"(Ayla M Tourkmani &lt;i&gt;et al.&lt;/i&gt;, 2018)"},"properties":{"noteIndex":0},"schema":"https://github.com/citation-style-language/schema/raw/master/csl-citation.json"}</w:instrText>
      </w:r>
      <w:r w:rsidRPr="001056C0">
        <w:rPr>
          <w:rFonts w:asciiTheme="minorBidi" w:hAnsiTheme="minorBidi"/>
          <w:noProof/>
          <w:sz w:val="24"/>
          <w:szCs w:val="24"/>
          <w:lang w:val="en-GB"/>
        </w:rPr>
        <w:fldChar w:fldCharType="separate"/>
      </w:r>
      <w:r w:rsidRPr="001056C0">
        <w:rPr>
          <w:rFonts w:asciiTheme="minorBidi" w:hAnsiTheme="minorBidi"/>
          <w:noProof/>
          <w:sz w:val="24"/>
          <w:szCs w:val="24"/>
          <w:lang w:val="en-GB"/>
        </w:rPr>
        <w:t>Tourkmani et al. (2018)</w:t>
      </w:r>
      <w:r w:rsidRPr="001056C0">
        <w:rPr>
          <w:rFonts w:asciiTheme="minorBidi" w:hAnsiTheme="minorBidi"/>
          <w:noProof/>
          <w:sz w:val="24"/>
          <w:szCs w:val="24"/>
          <w:lang w:val="en-GB"/>
        </w:rPr>
        <w:fldChar w:fldCharType="end"/>
      </w:r>
      <w:r>
        <w:rPr>
          <w:rFonts w:asciiTheme="minorBidi" w:hAnsiTheme="minorBidi"/>
          <w:noProof/>
          <w:sz w:val="24"/>
          <w:szCs w:val="24"/>
          <w:lang w:val="en-GB"/>
        </w:rPr>
        <w:t xml:space="preserve">, and </w:t>
      </w:r>
      <w:r w:rsidRPr="001056C0">
        <w:rPr>
          <w:rFonts w:asciiTheme="minorBidi" w:hAnsiTheme="minorBidi"/>
          <w:noProof/>
          <w:sz w:val="24"/>
          <w:szCs w:val="24"/>
          <w:lang w:val="en-GB"/>
        </w:rPr>
        <w:fldChar w:fldCharType="begin" w:fldLock="1"/>
      </w:r>
      <w:r>
        <w:rPr>
          <w:rFonts w:asciiTheme="minorBidi" w:hAnsiTheme="minorBidi"/>
          <w:noProof/>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(2018b)","plainTextFormattedCitation":"(Ayla M Tourkmani et al., 2018)","previouslyFormattedCitation":"(Ayla M Tourkmani &lt;i&gt;et al.&lt;/i&gt;, 2018)"},"properties":{"noteIndex":0},"schema":"https://github.com/citation-style-language/schema/raw/master/csl-citation.json"}</w:instrText>
      </w:r>
      <w:r w:rsidRPr="001056C0">
        <w:rPr>
          <w:rFonts w:asciiTheme="minorBidi" w:hAnsiTheme="minorBidi"/>
          <w:noProof/>
          <w:sz w:val="24"/>
          <w:szCs w:val="24"/>
          <w:lang w:val="en-GB"/>
        </w:rPr>
        <w:fldChar w:fldCharType="separate"/>
      </w:r>
      <w:r w:rsidRPr="001056C0">
        <w:rPr>
          <w:rFonts w:asciiTheme="minorBidi" w:hAnsiTheme="minorBidi"/>
          <w:noProof/>
          <w:sz w:val="24"/>
          <w:szCs w:val="24"/>
          <w:lang w:val="en-GB"/>
        </w:rPr>
        <w:t>Tourkmani et al. (2018</w:t>
      </w:r>
      <w:r>
        <w:rPr>
          <w:rFonts w:asciiTheme="minorBidi" w:hAnsiTheme="minorBidi"/>
          <w:noProof/>
          <w:sz w:val="24"/>
          <w:szCs w:val="24"/>
          <w:lang w:val="en-GB"/>
        </w:rPr>
        <w:t>b</w:t>
      </w:r>
      <w:r w:rsidRPr="001056C0">
        <w:rPr>
          <w:rFonts w:asciiTheme="minorBidi" w:hAnsiTheme="minorBidi"/>
          <w:noProof/>
          <w:sz w:val="24"/>
          <w:szCs w:val="24"/>
          <w:lang w:val="en-GB"/>
        </w:rPr>
        <w:t>)</w:t>
      </w:r>
      <w:r w:rsidRPr="001056C0">
        <w:rPr>
          <w:rFonts w:asciiTheme="minorBidi" w:hAnsiTheme="minorBidi"/>
          <w:noProof/>
          <w:sz w:val="24"/>
          <w:szCs w:val="24"/>
          <w:lang w:val="en-GB"/>
        </w:rPr>
        <w:fldChar w:fldCharType="end"/>
      </w:r>
      <w:r w:rsidRPr="001056C0">
        <w:rPr>
          <w:rFonts w:asciiTheme="minorBidi" w:hAnsiTheme="minorBidi"/>
          <w:noProof/>
          <w:sz w:val="24"/>
          <w:szCs w:val="24"/>
          <w:lang w:val="en-GB"/>
        </w:rPr>
        <w:t xml:space="preserve"> </w:t>
      </w:r>
      <w:r w:rsidRPr="001056C0">
        <w:rPr>
          <w:rFonts w:asciiTheme="minorBidi" w:hAnsiTheme="minorBidi"/>
          <w:sz w:val="24"/>
          <w:szCs w:val="24"/>
          <w:lang w:val="en-GB"/>
        </w:rPr>
        <w:fldChar w:fldCharType="end"/>
      </w:r>
      <w:r w:rsidRPr="001056C0">
        <w:rPr>
          <w:rFonts w:asciiTheme="minorBidi" w:hAnsiTheme="minorBidi"/>
          <w:sz w:val="24"/>
          <w:szCs w:val="24"/>
          <w:lang w:val="en-GB"/>
        </w:rPr>
        <w:t xml:space="preserve"> showed </w:t>
      </w:r>
      <w:r>
        <w:rPr>
          <w:rFonts w:asciiTheme="minorBidi" w:hAnsiTheme="minorBidi"/>
          <w:sz w:val="24"/>
          <w:szCs w:val="24"/>
          <w:lang w:val="en-GB"/>
        </w:rPr>
        <w:t xml:space="preserve">a </w:t>
      </w:r>
      <w:r w:rsidRPr="001056C0">
        <w:rPr>
          <w:rFonts w:asciiTheme="minorBidi" w:eastAsia="Times New Roman" w:hAnsiTheme="minorBidi"/>
          <w:sz w:val="24"/>
          <w:szCs w:val="24"/>
          <w:lang w:val="en-GB"/>
        </w:rPr>
        <w:t xml:space="preserve">significant </w:t>
      </w:r>
      <w:r>
        <w:rPr>
          <w:rFonts w:asciiTheme="minorBidi" w:eastAsia="Times New Roman" w:hAnsiTheme="minorBidi"/>
          <w:sz w:val="24"/>
          <w:szCs w:val="24"/>
          <w:lang w:val="en-GB"/>
        </w:rPr>
        <w:t>improvement</w:t>
      </w:r>
      <w:r w:rsidRPr="001056C0">
        <w:rPr>
          <w:rFonts w:asciiTheme="minorBidi" w:eastAsia="Times New Roman" w:hAnsiTheme="minorBidi"/>
          <w:sz w:val="24"/>
          <w:szCs w:val="24"/>
          <w:lang w:val="en-GB"/>
        </w:rPr>
        <w:t xml:space="preserve"> in the intervention group (where pharmacist</w:t>
      </w:r>
      <w:r>
        <w:rPr>
          <w:rFonts w:asciiTheme="minorBidi" w:eastAsia="Times New Roman" w:hAnsiTheme="minorBidi"/>
          <w:sz w:val="24"/>
          <w:szCs w:val="24"/>
          <w:lang w:val="en-GB"/>
        </w:rPr>
        <w:t>s</w:t>
      </w:r>
      <w:r w:rsidRPr="001056C0">
        <w:rPr>
          <w:rFonts w:asciiTheme="minorBidi" w:eastAsia="Times New Roman" w:hAnsiTheme="minorBidi"/>
          <w:sz w:val="24"/>
          <w:szCs w:val="24"/>
          <w:lang w:val="en-GB"/>
        </w:rPr>
        <w:t xml:space="preserve"> contributed to diabetes management). </w:t>
      </w:r>
    </w:p>
    <w:p w14:paraId="19DFC8BE" w14:textId="77777777" w:rsidR="00DE1516" w:rsidRPr="00576615" w:rsidRDefault="00DE1516" w:rsidP="00DE1516">
      <w:pPr>
        <w:autoSpaceDE w:val="0"/>
        <w:autoSpaceDN w:val="0"/>
        <w:adjustRightInd w:val="0"/>
        <w:spacing w:line="360" w:lineRule="auto"/>
        <w:jc w:val="both"/>
        <w:rPr>
          <w:rFonts w:asciiTheme="minorBidi" w:eastAsia="Times New Roman" w:hAnsiTheme="minorBidi"/>
          <w:noProof/>
          <w:color w:val="2A2A2A"/>
          <w:sz w:val="24"/>
          <w:szCs w:val="24"/>
          <w:lang w:val="en-GB"/>
        </w:rPr>
      </w:pPr>
      <w:r w:rsidRPr="001056C0">
        <w:rPr>
          <w:rFonts w:asciiTheme="minorBidi" w:eastAsia="Times New Roman" w:hAnsiTheme="minorBidi"/>
          <w:sz w:val="24"/>
          <w:szCs w:val="24"/>
          <w:lang w:val="en-GB"/>
        </w:rPr>
        <w:t xml:space="preserve">The impact of the involvement of pharmacists in diabetes management on BP, lipid profiles and </w:t>
      </w:r>
      <w:r>
        <w:rPr>
          <w:rFonts w:asciiTheme="minorBidi" w:eastAsia="Times New Roman" w:hAnsiTheme="minorBidi"/>
          <w:sz w:val="24"/>
          <w:szCs w:val="24"/>
          <w:lang w:val="en-GB"/>
        </w:rPr>
        <w:t>BMI</w:t>
      </w:r>
      <w:r w:rsidRPr="001056C0">
        <w:rPr>
          <w:rFonts w:asciiTheme="minorBidi" w:eastAsia="Times New Roman" w:hAnsiTheme="minorBidi"/>
          <w:sz w:val="24"/>
          <w:szCs w:val="24"/>
          <w:lang w:val="en-GB"/>
        </w:rPr>
        <w:t xml:space="preserve"> w</w:t>
      </w:r>
      <w:r>
        <w:rPr>
          <w:rFonts w:asciiTheme="minorBidi" w:eastAsia="Times New Roman" w:hAnsiTheme="minorBidi"/>
          <w:sz w:val="24"/>
          <w:szCs w:val="24"/>
          <w:lang w:val="en-GB"/>
        </w:rPr>
        <w:t>ere</w:t>
      </w:r>
      <w:r w:rsidRPr="001056C0">
        <w:rPr>
          <w:rFonts w:asciiTheme="minorBidi" w:eastAsia="Times New Roman" w:hAnsiTheme="minorBidi"/>
          <w:sz w:val="24"/>
          <w:szCs w:val="24"/>
          <w:lang w:val="en-GB"/>
        </w:rPr>
        <w:t xml:space="preserve"> varied.</w:t>
      </w:r>
      <w:r>
        <w:rPr>
          <w:rFonts w:asciiTheme="minorBidi" w:eastAsia="Times New Roman" w:hAnsiTheme="minorBidi"/>
          <w:sz w:val="24"/>
          <w:szCs w:val="24"/>
          <w:lang w:val="en-GB"/>
        </w:rPr>
        <w:t xml:space="preserve"> </w:t>
      </w:r>
      <w:r w:rsidRPr="001056C0">
        <w:rPr>
          <w:rFonts w:asciiTheme="minorBidi" w:eastAsia="Times New Roman" w:hAnsiTheme="minorBidi"/>
          <w:sz w:val="24"/>
          <w:szCs w:val="24"/>
          <w:lang w:val="en-GB"/>
        </w:rPr>
        <w:t>The majority of studies</w:t>
      </w:r>
      <w:r>
        <w:rPr>
          <w:rFonts w:asciiTheme="minorBidi" w:eastAsia="Times New Roman" w:hAnsiTheme="minorBidi"/>
          <w:sz w:val="24"/>
          <w:szCs w:val="24"/>
          <w:lang w:val="en-GB"/>
        </w:rPr>
        <w:t xml:space="preserve"> that include lipid profile as an outcome</w:t>
      </w:r>
      <w:r w:rsidRPr="001056C0">
        <w:rPr>
          <w:rFonts w:asciiTheme="minorBidi" w:eastAsia="Times New Roman" w:hAnsiTheme="minorBidi"/>
          <w:sz w:val="24"/>
          <w:szCs w:val="24"/>
          <w:lang w:val="en-GB"/>
        </w:rPr>
        <w:t xml:space="preserve"> showed improvement in </w:t>
      </w:r>
      <w:r>
        <w:rPr>
          <w:rFonts w:asciiTheme="minorBidi" w:eastAsia="Times New Roman" w:hAnsiTheme="minorBidi"/>
          <w:sz w:val="24"/>
          <w:szCs w:val="24"/>
          <w:lang w:val="en-GB"/>
        </w:rPr>
        <w:t xml:space="preserve">the </w:t>
      </w:r>
      <w:r w:rsidRPr="001056C0">
        <w:rPr>
          <w:rFonts w:asciiTheme="minorBidi" w:eastAsia="Times New Roman" w:hAnsiTheme="minorBidi"/>
          <w:sz w:val="24"/>
          <w:szCs w:val="24"/>
          <w:lang w:val="en-GB"/>
        </w:rPr>
        <w:t xml:space="preserve">lipid profile </w:t>
      </w:r>
      <w:r>
        <w:rPr>
          <w:rFonts w:asciiTheme="minorBidi" w:eastAsia="Times New Roman" w:hAnsiTheme="minorBidi"/>
          <w:sz w:val="24"/>
          <w:szCs w:val="24"/>
          <w:lang w:val="en-GB"/>
        </w:rPr>
        <w:t>of</w:t>
      </w:r>
      <w:r w:rsidRPr="001056C0">
        <w:rPr>
          <w:rFonts w:asciiTheme="minorBidi" w:eastAsia="Times New Roman" w:hAnsiTheme="minorBidi"/>
          <w:sz w:val="24"/>
          <w:szCs w:val="24"/>
          <w:lang w:val="en-GB"/>
        </w:rPr>
        <w:t xml:space="preserve"> the intervention group</w:t>
      </w:r>
      <w:r>
        <w:rPr>
          <w:rFonts w:asciiTheme="minorBidi" w:eastAsia="Times New Roman" w:hAnsiTheme="minorBidi"/>
          <w:sz w:val="24"/>
          <w:szCs w:val="24"/>
          <w:lang w:val="en-GB"/>
        </w:rPr>
        <w:t>,</w:t>
      </w:r>
      <w:r w:rsidRPr="001056C0">
        <w:rPr>
          <w:rFonts w:asciiTheme="minorBidi" w:eastAsia="Times New Roman" w:hAnsiTheme="minorBidi"/>
          <w:sz w:val="24"/>
          <w:szCs w:val="24"/>
          <w:lang w:val="en-GB"/>
        </w:rPr>
        <w:t xml:space="preserve"> where a p</w:t>
      </w:r>
      <w:r w:rsidRPr="001056C0">
        <w:rPr>
          <w:rFonts w:asciiTheme="minorBidi" w:hAnsiTheme="minorBidi"/>
          <w:color w:val="000000" w:themeColor="text1"/>
          <w:sz w:val="24"/>
          <w:szCs w:val="24"/>
          <w:lang w:val="en-GB"/>
        </w:rPr>
        <w:t xml:space="preserve">harmacist is a part of the diabetes care team </w:t>
      </w:r>
      <w:r w:rsidRPr="00A74163">
        <w:rPr>
          <w:rFonts w:asciiTheme="minorBidi" w:hAnsiTheme="minorBidi"/>
          <w:sz w:val="24"/>
          <w:szCs w:val="24"/>
          <w:lang w:val="en-GB"/>
        </w:rPr>
        <w:t xml:space="preserve">(Al Asmary </w:t>
      </w:r>
      <w:r w:rsidRPr="00A74163">
        <w:rPr>
          <w:rFonts w:asciiTheme="minorBidi" w:hAnsiTheme="minorBidi"/>
          <w:i/>
          <w:iCs/>
          <w:sz w:val="24"/>
          <w:szCs w:val="24"/>
          <w:lang w:val="en-GB"/>
        </w:rPr>
        <w:t>et al</w:t>
      </w:r>
      <w:r w:rsidRPr="00A74163">
        <w:rPr>
          <w:rFonts w:asciiTheme="minorBidi" w:hAnsiTheme="minorBidi"/>
          <w:sz w:val="24"/>
          <w:szCs w:val="24"/>
          <w:lang w:val="en-GB"/>
        </w:rPr>
        <w:t xml:space="preserve">., 2013; </w:t>
      </w:r>
      <w:r w:rsidRPr="00A74163">
        <w:rPr>
          <w:rFonts w:asciiTheme="minorBidi" w:eastAsia="Times New Roman" w:hAnsiTheme="minorBidi"/>
          <w:sz w:val="24"/>
          <w:szCs w:val="24"/>
          <w:lang w:val="en-GB"/>
        </w:rPr>
        <w:fldChar w:fldCharType="begin" w:fldLock="1"/>
      </w:r>
      <w:r w:rsidRPr="00A74163">
        <w:rPr>
          <w:rFonts w:asciiTheme="minorBidi" w:eastAsia="Times New Roman" w:hAnsiTheme="minorBidi"/>
          <w:sz w:val="24"/>
          <w:szCs w:val="24"/>
          <w:lang w:val="en-GB"/>
        </w:rPr>
        <w:instrText>ADDIN CSL_CITATION {"citationItems":[{"id":"ITEM-1","itemData":{"DOI":"10.2147/PPA.S113324","ISSN":"1177889X","abstract":"Background: Fasting during the month of Ramadan could lead to acute complications and increased hypoglycemic risk of patients with type 2 diabetes. Therefore, diabetes is one of the diseases that need careful observation and special considerations during Ramadan including patients’ education and counseling. Objectives: To evaluate the impact of Ramadan focused education program on acute complications and biomedical parameters. Methods: A prospective nonrandomized interventional controlled design was run on three phases: before, during, and after Ramadan on 262 type 2 diabetes patients. The intervention group (n=140) received focused individualized diabetic education sessions and antidiabetic medications adjustment before and after Ramadan, while the control group (n=122) received standard diabetic care. A validated hypoglycemia questionnaire was used in both groups to assess the change of the risk. Patients were advised to adjust the dosage and timing of antidiabetic agents according to the recommendations for management of diabetes during Ramadan. Primary outcomes were postintervention change of hypoglycemia score and HbA1c over 6-month follow-up. Data were presented as mean ± standard deviation. HbA1c was expressed in percentage. Results: The hypoglycemic scores before, during, and after Ramadan were 14.21±8.50, 6.36±6.17, and 5.44±5.55 in the intervention group, respectively (P&lt;0.001) and 14.01±5.10, 13.46±5.30, and 9.27±4.65 in the control group, respectively (P&lt;0.001). HbA1c levels were 9.79±1.89, 8.26±1.54, and 8.52±1.61 before, during, and after Ramadan in the intervention group, respectively (P&lt;0.001), and 10.04±1.47, 9.54±1.38, and 9.59±1.79 in the control group, respectively (P&lt;0.001). Post-Ramadan reductions of HbA1c and hypoglycemic scores were significantly higher in the intervention group (-13.0% vs-4.5%, P=0.004 for HbA1c and-61.7% vs-33.8%, P&lt;0.001 for hypoglycemic score). Low-density lipoprotein cholesterol improved in the intervention group from 2.41±0.91 mmol/L before Ramadan to 2.28±0.68 mmol/L after Ramadan (P&lt;0.001). No statistically significant effects were observed on blood pressure or body weight in the intervention group. Also, no change was observed in the control group. Conclusion: Ramadan educational program had a positive impact with reduction of hypoglycemic risk, HbA1c, and low-density lipoprotein cholesterol. Therefore, it could be recommended for patients with increased risk of hypoglycemia during Ramadan fasting.","author":[{"dropping-particle":"","family":"Tourkmani","given":"Ayla M.","non-dropping-particle":"","parse-names":false,"suffix":""},{"dropping-particle":"","family":"Azmi Hassali","given":"Mohamed","non-dropping-particle":"","parse-names":false,"suffix":""},{"dropping-particle":"","family":"Alharbi","given":"Turki J.","non-dropping-particle":"","parse-names":false,"suffix":""},{"dropping-particle":"","family":"Alkhashan","given":"Hesham I.","non-dropping-particle":"","parse-names":false,"suffix":""},{"dropping-particle":"","family":"Alobikan","given":"Aljoharah H.","non-dropping-particle":"","parse-names":false,"suffix":""},{"dropping-particle":"","family":"Bakhiet","given":"Ahmed H.","non-dropping-particle":"","parse-names":false,"suffix":""},{"dropping-particle":"","family":"Alqahtani","given":"Hala B.","non-dropping-particle":"","parse-names":false,"suffix":""},{"dropping-particle":"","family":"Alrasheedy","given":"Alian A.","non-dropping-particle":"","parse-names":false,"suffix":""},{"dropping-particle":"","family":"Alawwad","given":"Ahmed D.","non-dropping-particle":"","parse-names":false,"suffix":""},{"dropping-particle":"","family":"Mishriky","given":"Adel M.","non-dropping-particle":"","parse-names":false,"suffix":""},{"dropping-particle":"","family":"Aljadhey","given":"Hisham","non-dropping-particle":"","parse-names":false,"suffix":""}],"container-title":"Patient Preference and Adherence","id":"ITEM-1","issued":{"date-parts":[["2016"]]},"page":"1709-1717","title":"Impact of ramadan focused education program on hypoglycemic risk and metabolic control for patients with type 2 diabetes","type":"article-journal","volume":"10"},"uris":["http://www.mendeley.com/documents/?uuid=0f118a78-43be-4dd9-896d-9a09e5eec0f9"]}],"mendeley":{"formattedCitation":"(Tourkmani &lt;i&gt;et al.&lt;/i&gt;, 2016)","manualFormatting":"Tourkmani et al., 2016","plainTextFormattedCitation":"(Tourkmani et al., 2016)","previouslyFormattedCitation":"(Tourkmani &lt;i&gt;et al.&lt;/i&gt;, 2016)"},"properties":{"noteIndex":0},"schema":"https://github.com/citation-style-language/schema/raw/master/csl-citation.json"}</w:instrText>
      </w:r>
      <w:r w:rsidRPr="00A74163">
        <w:rPr>
          <w:rFonts w:asciiTheme="minorBidi" w:eastAsia="Times New Roman" w:hAnsiTheme="minorBidi"/>
          <w:sz w:val="24"/>
          <w:szCs w:val="24"/>
          <w:lang w:val="en-GB"/>
        </w:rPr>
        <w:fldChar w:fldCharType="separate"/>
      </w:r>
      <w:r w:rsidRPr="00A74163">
        <w:rPr>
          <w:rFonts w:asciiTheme="minorBidi" w:eastAsia="Times New Roman" w:hAnsiTheme="minorBidi"/>
          <w:noProof/>
          <w:sz w:val="24"/>
          <w:szCs w:val="24"/>
          <w:lang w:val="en-GB"/>
        </w:rPr>
        <w:t xml:space="preserve">Tourkmani </w:t>
      </w:r>
      <w:r w:rsidRPr="00A74163">
        <w:rPr>
          <w:rFonts w:asciiTheme="minorBidi" w:eastAsia="Times New Roman" w:hAnsiTheme="minorBidi"/>
          <w:i/>
          <w:iCs/>
          <w:noProof/>
          <w:sz w:val="24"/>
          <w:szCs w:val="24"/>
          <w:lang w:val="en-GB"/>
        </w:rPr>
        <w:t>et al.</w:t>
      </w:r>
      <w:r w:rsidRPr="00A74163">
        <w:rPr>
          <w:rFonts w:asciiTheme="minorBidi" w:eastAsia="Times New Roman" w:hAnsiTheme="minorBidi"/>
          <w:noProof/>
          <w:sz w:val="24"/>
          <w:szCs w:val="24"/>
          <w:lang w:val="en-GB"/>
        </w:rPr>
        <w:t>, 2016</w:t>
      </w:r>
      <w:r w:rsidRPr="00A74163">
        <w:rPr>
          <w:rFonts w:asciiTheme="minorBidi" w:eastAsia="Times New Roman" w:hAnsiTheme="minorBidi"/>
          <w:sz w:val="24"/>
          <w:szCs w:val="24"/>
          <w:lang w:val="en-GB"/>
        </w:rPr>
        <w:fldChar w:fldCharType="end"/>
      </w:r>
      <w:r w:rsidRPr="00A74163">
        <w:rPr>
          <w:rFonts w:asciiTheme="minorBidi" w:eastAsia="Times New Roman" w:hAnsiTheme="minorBidi"/>
          <w:sz w:val="24"/>
          <w:szCs w:val="24"/>
          <w:lang w:val="en-GB"/>
        </w:rPr>
        <w:t xml:space="preserve">; </w:t>
      </w:r>
      <w:r w:rsidRPr="00A74163">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 Tourkmani et al., 2018","plainTextFormattedCitation":"(Ayla M Tourkmani et al., 2018)","previouslyFormattedCitation":"(Ayla M Tourkmani &lt;i&gt;et al.&lt;/i&gt;, 2018)"},"properties":{"noteIndex":0},"schema":"https://github.com/citation-style-language/schema/raw/master/csl-citation.json"}</w:instrText>
      </w:r>
      <w:r w:rsidRPr="00A74163">
        <w:rPr>
          <w:rFonts w:asciiTheme="minorBidi" w:hAnsiTheme="minorBidi"/>
          <w:sz w:val="24"/>
          <w:szCs w:val="24"/>
          <w:lang w:val="en-GB"/>
        </w:rPr>
        <w:fldChar w:fldCharType="separate"/>
      </w:r>
      <w:r w:rsidRPr="00A74163">
        <w:rPr>
          <w:rFonts w:asciiTheme="minorBidi" w:hAnsiTheme="minorBidi"/>
          <w:noProof/>
          <w:sz w:val="24"/>
          <w:szCs w:val="24"/>
          <w:lang w:val="en-GB"/>
        </w:rPr>
        <w:t xml:space="preserve"> Tourkmani </w:t>
      </w:r>
      <w:r w:rsidRPr="00A74163">
        <w:rPr>
          <w:rFonts w:asciiTheme="minorBidi" w:hAnsiTheme="minorBidi"/>
          <w:i/>
          <w:iCs/>
          <w:noProof/>
          <w:sz w:val="24"/>
          <w:szCs w:val="24"/>
          <w:lang w:val="en-GB"/>
        </w:rPr>
        <w:t>et al.</w:t>
      </w:r>
      <w:r w:rsidRPr="00A74163">
        <w:rPr>
          <w:rFonts w:asciiTheme="minorBidi" w:hAnsiTheme="minorBidi"/>
          <w:noProof/>
          <w:sz w:val="24"/>
          <w:szCs w:val="24"/>
          <w:lang w:val="en-GB"/>
        </w:rPr>
        <w:t>, 2018</w:t>
      </w:r>
      <w:r w:rsidRPr="00A74163">
        <w:rPr>
          <w:rFonts w:asciiTheme="minorBidi" w:hAnsiTheme="minorBidi"/>
          <w:sz w:val="24"/>
          <w:szCs w:val="24"/>
          <w:lang w:val="en-GB"/>
        </w:rPr>
        <w:fldChar w:fldCharType="end"/>
      </w:r>
      <w:r w:rsidRPr="00A74163">
        <w:rPr>
          <w:rFonts w:asciiTheme="minorBidi" w:hAnsiTheme="minorBidi"/>
          <w:sz w:val="24"/>
          <w:szCs w:val="24"/>
          <w:lang w:val="en-GB"/>
        </w:rPr>
        <w:t xml:space="preserve">a; </w:t>
      </w:r>
      <w:r w:rsidRPr="00A74163">
        <w:rPr>
          <w:rFonts w:asciiTheme="minorBidi" w:eastAsia="Times New Roman" w:hAnsiTheme="minorBidi"/>
          <w:noProof/>
          <w:sz w:val="24"/>
          <w:szCs w:val="24"/>
          <w:lang w:val="en-GB"/>
        </w:rPr>
        <w:fldChar w:fldCharType="begin" w:fldLock="1"/>
      </w:r>
      <w:r w:rsidRPr="00A74163">
        <w:rPr>
          <w:rFonts w:asciiTheme="minorBidi" w:eastAsia="Times New Roman" w:hAnsiTheme="minorBidi"/>
          <w:noProof/>
          <w:sz w:val="24"/>
          <w:szCs w:val="24"/>
          <w:lang w:val="en-GB"/>
        </w:rPr>
        <w:instrText>ADDIN CSL_CITATION {"citationItems":[{"id":"ITEM-1","itemData":{"DOI":"10.15537/smj.2018.7.22194","ISSN":"16583175","PMID":"29968894","abstract":"Objectives: To evaluate the impact of a multidisciplinary intensive education program (MIEP) on type 2 diabetes mellitus (T2DM) patients’ outcomes. Methods: A retrospective study was used to evaluate the impact of MIEP on T2DM patients’ outcomes for between May 2016 and May 2017. Data were collected from the diabetes education clinic in King Saud University Medical City (KSUMC), Riyadh, Saudi Arabia where patients were referred from diabetes outpatient clinics to the diabetes education clinic to receive MIEP. In terms of measuring the clinical outcomes of the T2DM patients, glycemic control, blood pressure, weight, and lipid profiles were assessed before MIEP at 3, 6, and 12 months. Results: A total of 174 patients with T2DM fulfilled study inclusion criteria. The results indicate improved glycemic control where patients’ HbA1c and blood sugar levels were significantly reduced 3, 6, and 12 months after MIEP compared to the baseline (p&lt;0.005). Moreover, blood pressure improved after education; a significant improvement was observed in the mean systolic blood pressure (SBP) from baseline to 12 months (p=0.036), and in the mean diastolic blood pressure (DBP) after 12 months (p=0.016). Additionally, the study found significant differences in total cholesterol and low-density lipoprotein (LDL) cholesterol 6 months after the intervention (p=0.014, p=0.02, respectively). Conclusion: Implementing an MIEP for T2DM patients can improve their clinical outcomes, which consequently may delay the disease’s long-term complications.","author":[{"dropping-particle":"","family":"Al-Arifi","given":"Mohamed N.","non-dropping-particle":"","parse-names":false,"suffix":""},{"dropping-particle":"","family":"Al-Omar","given":"Hussain A.","non-dropping-particle":"","parse-names":false,"suffix":""}],"container-title":"Saudi Medical Journal","id":"ITEM-1","issue":"7","issued":{"date-parts":[["2018","7","1"]]},"note":"From Duplicate 2 (Impact of a multidisciplinary intensive education program on type 2 diabetes mellitus patients’ glycemic control and cardiovascular risk factors - Al-Arifi, M N; Al-Omar, H A)\n\nCited By :3\n\nExport Date: 14 July 2020","page":"705-710","publisher":"Saudi Arabian Armed Forces Hospital","title":"Impact of a multidisciplinary intensive education program on type 2 diabetes mellitus patients’ glycemic control and cardiovascular risk factors","type":"article-journal","volume":"39"},"uris":["http://www.mendeley.com/documents/?uuid=689e4e48-89ab-4d68-b9b8-473a128e596e"]}],"mendeley":{"formattedCitation":"(Al-Arifi and Al-Omar, 2018)","manualFormatting":"Al-Arifi and Al-Omar, 2018; Aldraimly et al., 2021; and Alsubaie et al., 2022)","plainTextFormattedCitation":"(Al-Arifi and Al-Omar, 2018)","previouslyFormattedCitation":"(Al-Arifi and Al-Omar, 2018)"},"properties":{"noteIndex":0},"schema":"https://github.com/citation-style-language/schema/raw/master/csl-citation.json"}</w:instrText>
      </w:r>
      <w:r w:rsidRPr="00A74163">
        <w:rPr>
          <w:rFonts w:asciiTheme="minorBidi" w:eastAsia="Times New Roman" w:hAnsiTheme="minorBidi"/>
          <w:noProof/>
          <w:sz w:val="24"/>
          <w:szCs w:val="24"/>
          <w:lang w:val="en-GB"/>
        </w:rPr>
        <w:fldChar w:fldCharType="separate"/>
      </w:r>
      <w:r w:rsidRPr="00A74163">
        <w:rPr>
          <w:rFonts w:asciiTheme="minorBidi" w:eastAsia="Times New Roman" w:hAnsiTheme="minorBidi"/>
          <w:noProof/>
          <w:sz w:val="24"/>
          <w:szCs w:val="24"/>
          <w:lang w:val="en-GB"/>
        </w:rPr>
        <w:t xml:space="preserve">Al-Arifi and Al-Omar, 2018; Aldraimly </w:t>
      </w:r>
      <w:r w:rsidRPr="00A74163">
        <w:rPr>
          <w:rFonts w:asciiTheme="minorBidi" w:eastAsia="Times New Roman" w:hAnsiTheme="minorBidi"/>
          <w:i/>
          <w:iCs/>
          <w:noProof/>
          <w:sz w:val="24"/>
          <w:szCs w:val="24"/>
          <w:lang w:val="en-GB"/>
        </w:rPr>
        <w:t>et al.,</w:t>
      </w:r>
      <w:r w:rsidRPr="00A74163">
        <w:rPr>
          <w:rFonts w:asciiTheme="minorBidi" w:eastAsia="Times New Roman" w:hAnsiTheme="minorBidi"/>
          <w:noProof/>
          <w:sz w:val="24"/>
          <w:szCs w:val="24"/>
          <w:lang w:val="en-GB"/>
        </w:rPr>
        <w:t xml:space="preserve"> 2021; and Alsubaie </w:t>
      </w:r>
      <w:r w:rsidRPr="00A74163">
        <w:rPr>
          <w:rFonts w:asciiTheme="minorBidi" w:eastAsia="Times New Roman" w:hAnsiTheme="minorBidi"/>
          <w:i/>
          <w:iCs/>
          <w:noProof/>
          <w:sz w:val="24"/>
          <w:szCs w:val="24"/>
          <w:lang w:val="en-GB"/>
        </w:rPr>
        <w:t>et al.,</w:t>
      </w:r>
      <w:r w:rsidRPr="00A74163">
        <w:rPr>
          <w:rFonts w:asciiTheme="minorBidi" w:eastAsia="Times New Roman" w:hAnsiTheme="minorBidi"/>
          <w:noProof/>
          <w:sz w:val="24"/>
          <w:szCs w:val="24"/>
          <w:lang w:val="en-GB"/>
        </w:rPr>
        <w:t xml:space="preserve"> 2022)</w:t>
      </w:r>
      <w:r w:rsidRPr="00A74163">
        <w:rPr>
          <w:rFonts w:asciiTheme="minorBidi" w:eastAsia="Times New Roman" w:hAnsiTheme="minorBidi"/>
          <w:noProof/>
          <w:sz w:val="24"/>
          <w:szCs w:val="24"/>
          <w:lang w:val="en-GB"/>
        </w:rPr>
        <w:fldChar w:fldCharType="end"/>
      </w:r>
      <w:r>
        <w:rPr>
          <w:rFonts w:asciiTheme="minorBidi" w:eastAsia="Times New Roman" w:hAnsiTheme="minorBidi"/>
          <w:noProof/>
          <w:color w:val="2A2A2A"/>
          <w:sz w:val="24"/>
          <w:szCs w:val="24"/>
          <w:lang w:val="en-GB"/>
        </w:rPr>
        <w:t xml:space="preserve"> </w:t>
      </w:r>
    </w:p>
    <w:p w14:paraId="3924E2E3" w14:textId="77777777" w:rsidR="00DE1516" w:rsidRPr="00860521" w:rsidRDefault="00DE1516" w:rsidP="00DE1516">
      <w:pPr>
        <w:spacing w:before="100" w:beforeAutospacing="1" w:after="100" w:afterAutospacing="1" w:line="360" w:lineRule="auto"/>
        <w:jc w:val="both"/>
        <w:textAlignment w:val="baseline"/>
        <w:rPr>
          <w:rFonts w:asciiTheme="minorBidi" w:eastAsia="Times New Roman" w:hAnsiTheme="minorBidi"/>
          <w:sz w:val="24"/>
          <w:szCs w:val="24"/>
          <w:lang w:val="es-ES_tradnl"/>
        </w:rPr>
      </w:pPr>
      <w:r w:rsidRPr="00A74163">
        <w:rPr>
          <w:rFonts w:asciiTheme="minorBidi" w:hAnsiTheme="minorBidi"/>
          <w:sz w:val="24"/>
          <w:szCs w:val="24"/>
          <w:lang w:val="en-GB"/>
        </w:rPr>
        <w:t xml:space="preserve">Regarding BP, no statistically significant effects were observed in </w:t>
      </w:r>
      <w:r w:rsidRPr="00A74163">
        <w:rPr>
          <w:rFonts w:asciiTheme="minorBidi" w:hAnsiTheme="minorBidi"/>
          <w:sz w:val="24"/>
          <w:szCs w:val="24"/>
          <w:lang w:val="en-GB"/>
        </w:rPr>
        <w:fldChar w:fldCharType="begin" w:fldLock="1"/>
      </w:r>
      <w:r w:rsidRPr="00A74163">
        <w:rPr>
          <w:rFonts w:asciiTheme="minorBidi" w:hAnsiTheme="minorBidi"/>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2013)","manualFormatting":"Al Asmary et al. (2013)","plainTextFormattedCitation":"(Al Asmary et al., 2013)","previouslyFormattedCitation":"(Al Asmary &lt;i&gt;et al.&lt;/i&gt;, 2013)"},"properties":{"noteIndex":0},"schema":"https://github.com/citation-style-language/schema/raw/master/csl-citation.json"}</w:instrText>
      </w:r>
      <w:r w:rsidRPr="00A74163">
        <w:rPr>
          <w:rFonts w:asciiTheme="minorBidi" w:hAnsiTheme="minorBidi"/>
          <w:sz w:val="24"/>
          <w:szCs w:val="24"/>
          <w:lang w:val="en-GB"/>
        </w:rPr>
        <w:fldChar w:fldCharType="separate"/>
      </w:r>
      <w:r w:rsidRPr="00A74163">
        <w:rPr>
          <w:rFonts w:asciiTheme="minorBidi" w:hAnsiTheme="minorBidi"/>
          <w:noProof/>
          <w:sz w:val="24"/>
          <w:szCs w:val="24"/>
          <w:lang w:val="en-GB"/>
        </w:rPr>
        <w:t>Al Asmary et al. (2013)</w:t>
      </w:r>
      <w:r w:rsidRPr="00A74163">
        <w:rPr>
          <w:rFonts w:asciiTheme="minorBidi" w:hAnsiTheme="minorBidi"/>
          <w:sz w:val="24"/>
          <w:szCs w:val="24"/>
          <w:lang w:val="en-GB"/>
        </w:rPr>
        <w:fldChar w:fldCharType="end"/>
      </w:r>
      <w:r w:rsidRPr="00A74163">
        <w:rPr>
          <w:rFonts w:asciiTheme="minorBidi" w:hAnsiTheme="minorBidi"/>
          <w:sz w:val="24"/>
          <w:szCs w:val="24"/>
          <w:lang w:val="en-GB"/>
        </w:rPr>
        <w:t xml:space="preserve">, </w:t>
      </w:r>
      <w:r w:rsidRPr="00A74163">
        <w:rPr>
          <w:rFonts w:asciiTheme="minorBidi" w:eastAsia="Times New Roman" w:hAnsiTheme="minorBidi"/>
          <w:sz w:val="24"/>
          <w:szCs w:val="24"/>
          <w:lang w:val="en-GB"/>
        </w:rPr>
        <w:fldChar w:fldCharType="begin" w:fldLock="1"/>
      </w:r>
      <w:r w:rsidRPr="00A74163">
        <w:rPr>
          <w:rFonts w:asciiTheme="minorBidi" w:eastAsia="Times New Roman" w:hAnsiTheme="minorBidi"/>
          <w:sz w:val="24"/>
          <w:szCs w:val="24"/>
          <w:lang w:val="en-GB"/>
        </w:rPr>
        <w:instrText>ADDIN CSL_CITATION {"citationItems":[{"id":"ITEM-1","itemData":{"DOI":"10.2147/PPA.S113324","ISSN":"1177889X","abstract":"Background: Fasting during the month of Ramadan could lead to acute complications and increased hypoglycemic risk of patients with type 2 diabetes. Therefore, diabetes is one of the diseases that need careful observation and special considerations during Ramadan including patients’ education and counseling. Objectives: To evaluate the impact of Ramadan focused education program on acute complications and biomedical parameters. Methods: A prospective nonrandomized interventional controlled design was run on three phases: before, during, and after Ramadan on 262 type 2 diabetes patients. The intervention group (n=140) received focused individualized diabetic education sessions and antidiabetic medications adjustment before and after Ramadan, while the control group (n=122) received standard diabetic care. A validated hypoglycemia questionnaire was used in both groups to assess the change of the risk. Patients were advised to adjust the dosage and timing of antidiabetic agents according to the recommendations for management of diabetes during Ramadan. Primary outcomes were postintervention change of hypoglycemia score and HbA1c over 6-month follow-up. Data were presented as mean ± standard deviation. HbA1c was expressed in percentage. Results: The hypoglycemic scores before, during, and after Ramadan were 14.21±8.50, 6.36±6.17, and 5.44±5.55 in the intervention group, respectively (P&lt;0.001) and 14.01±5.10, 13.46±5.30, and 9.27±4.65 in the control group, respectively (P&lt;0.001). HbA1c levels were 9.79±1.89, 8.26±1.54, and 8.52±1.61 before, during, and after Ramadan in the intervention group, respectively (P&lt;0.001), and 10.04±1.47, 9.54±1.38, and 9.59±1.79 in the control group, respectively (P&lt;0.001). Post-Ramadan reductions of HbA1c and hypoglycemic scores were significantly higher in the intervention group (-13.0% vs-4.5%, P=0.004 for HbA1c and-61.7% vs-33.8%, P&lt;0.001 for hypoglycemic score). Low-density lipoprotein cholesterol improved in the intervention group from 2.41±0.91 mmol/L before Ramadan to 2.28±0.68 mmol/L after Ramadan (P&lt;0.001). No statistically significant effects were observed on blood pressure or body weight in the intervention group. Also, no change was observed in the control group. Conclusion: Ramadan educational program had a positive impact with reduction of hypoglycemic risk, HbA1c, and low-density lipoprotein cholesterol. Therefore, it could be recommended for patients with increased risk of hypoglycemia during Ramadan fasting.","author":[{"dropping-particle":"","family":"Tourkmani","given":"Ayla M.","non-dropping-particle":"","parse-names":false,"suffix":""},{"dropping-particle":"","family":"Azmi Hassali","given":"Mohamed","non-dropping-particle":"","parse-names":false,"suffix":""},{"dropping-particle":"","family":"Alharbi","given":"Turki J.","non-dropping-particle":"","parse-names":false,"suffix":""},{"dropping-particle":"","family":"Alkhashan","given":"Hesham I.","non-dropping-particle":"","parse-names":false,"suffix":""},{"dropping-particle":"","family":"Alobikan","given":"Aljoharah H.","non-dropping-particle":"","parse-names":false,"suffix":""},{"dropping-particle":"","family":"Bakhiet","given":"Ahmed H.","non-dropping-particle":"","parse-names":false,"suffix":""},{"dropping-particle":"","family":"Alqahtani","given":"Hala B.","non-dropping-particle":"","parse-names":false,"suffix":""},{"dropping-particle":"","family":"Alrasheedy","given":"Alian A.","non-dropping-particle":"","parse-names":false,"suffix":""},{"dropping-particle":"","family":"Alawwad","given":"Ahmed D.","non-dropping-particle":"","parse-names":false,"suffix":""},{"dropping-particle":"","family":"Mishriky","given":"Adel M.","non-dropping-particle":"","parse-names":false,"suffix":""},{"dropping-particle":"","family":"Aljadhey","given":"Hisham","non-dropping-particle":"","parse-names":false,"suffix":""}],"container-title":"Patient Preference and Adherence","id":"ITEM-1","issued":{"date-parts":[["2016"]]},"page":"1709-1717","title":"Impact of ramadan focused education program on hypoglycemic risk and metabolic control for patients with type 2 diabetes","type":"article-journal","volume":"10"},"uris":["http://www.mendeley.com/documents/?uuid=0f118a78-43be-4dd9-896d-9a09e5eec0f9"]}],"mendeley":{"formattedCitation":"(Tourkmani &lt;i&gt;et al.&lt;/i&gt;, 2016)","manualFormatting":"Tourkmani et al. (2016a)","plainTextFormattedCitation":"(Tourkmani et al., 2016)","previouslyFormattedCitation":"(Tourkmani &lt;i&gt;et al.&lt;/i&gt;, 2016)"},"properties":{"noteIndex":0},"schema":"https://github.com/citation-style-language/schema/raw/master/csl-citation.json"}</w:instrText>
      </w:r>
      <w:r w:rsidRPr="00A74163">
        <w:rPr>
          <w:rFonts w:asciiTheme="minorBidi" w:eastAsia="Times New Roman" w:hAnsiTheme="minorBidi"/>
          <w:sz w:val="24"/>
          <w:szCs w:val="24"/>
          <w:lang w:val="en-GB"/>
        </w:rPr>
        <w:fldChar w:fldCharType="separate"/>
      </w:r>
      <w:r w:rsidRPr="00A74163">
        <w:rPr>
          <w:rFonts w:asciiTheme="minorBidi" w:eastAsia="Times New Roman" w:hAnsiTheme="minorBidi"/>
          <w:noProof/>
          <w:sz w:val="24"/>
          <w:szCs w:val="24"/>
          <w:lang w:val="en-GB"/>
        </w:rPr>
        <w:t>Tourkmani et al. (2016a)</w:t>
      </w:r>
      <w:r w:rsidRPr="00A74163">
        <w:rPr>
          <w:rFonts w:asciiTheme="minorBidi" w:eastAsia="Times New Roman" w:hAnsiTheme="minorBidi"/>
          <w:sz w:val="24"/>
          <w:szCs w:val="24"/>
          <w:lang w:val="en-GB"/>
        </w:rPr>
        <w:fldChar w:fldCharType="end"/>
      </w:r>
      <w:r w:rsidRPr="00A74163">
        <w:rPr>
          <w:rFonts w:asciiTheme="minorBidi" w:eastAsia="Times New Roman" w:hAnsiTheme="minorBidi"/>
          <w:sz w:val="24"/>
          <w:szCs w:val="24"/>
          <w:lang w:val="en-GB"/>
        </w:rPr>
        <w:t xml:space="preserve">, </w:t>
      </w:r>
      <w:r w:rsidRPr="00A74163">
        <w:rPr>
          <w:rFonts w:asciiTheme="minorBidi" w:eastAsia="Times New Roman" w:hAnsiTheme="minorBidi"/>
          <w:sz w:val="24"/>
          <w:szCs w:val="24"/>
          <w:lang w:val="en-GB"/>
        </w:rPr>
        <w:fldChar w:fldCharType="begin" w:fldLock="1"/>
      </w:r>
      <w:r w:rsidRPr="00A74163">
        <w:rPr>
          <w:rFonts w:asciiTheme="minorBidi" w:eastAsia="Times New Roman" w:hAnsiTheme="minorBidi"/>
          <w:sz w:val="24"/>
          <w:szCs w:val="24"/>
          <w:lang w:val="en-GB"/>
        </w:rPr>
        <w:instrText>ADDIN CSL_CITATION {"citationItems":[{"id":"ITEM-1","itemData":{"DOI":"10.1016/j.jsps.2020.11.002","ISSN":"13190164","author":[{"dropping-particle":"","family":"Alsuwayni","given":"Bashayr","non-dropping-particle":"","parse-names":false,"suffix":""},{"dropping-particle":"","family":"Alhossan","given":"Abdulaziz","non-dropping-particle":"","parse-names":false,"suffix":""}],"container-title":"Saudi Pharmaceutical Journal","id":"ITEM-1","issue":"12","issued":{"date-parts":[["2020"]]},"page":"1756-1759","publisher":"King Saud University","title":"Impact of clinical pharmacist-led diabetes management clinic on health outcomes at an academic hospital in Riyadh, Saudi Arabia: A prospective cohort study","type":"article-journal","volume":"28"},"uris":["http://www.mendeley.com/documents/?uuid=8c96643a-8124-455f-8442-cb7dc2cbdf33"]}],"mendeley":{"formattedCitation":"(Alsuwayni and Alhossan, 2020)","manualFormatting":"Alsuwayni and Alhossan (2020)","plainTextFormattedCitation":"(Alsuwayni and Alhossan, 2020)","previouslyFormattedCitation":"(Alsuwayni and Alhossan, 2020)"},"properties":{"noteIndex":0},"schema":"https://github.com/citation-style-language/schema/raw/master/csl-citation.json"}</w:instrText>
      </w:r>
      <w:r w:rsidRPr="00A74163">
        <w:rPr>
          <w:rFonts w:asciiTheme="minorBidi" w:eastAsia="Times New Roman" w:hAnsiTheme="minorBidi"/>
          <w:sz w:val="24"/>
          <w:szCs w:val="24"/>
          <w:lang w:val="en-GB"/>
        </w:rPr>
        <w:fldChar w:fldCharType="separate"/>
      </w:r>
      <w:r w:rsidRPr="00A74163">
        <w:rPr>
          <w:rFonts w:asciiTheme="minorBidi" w:eastAsia="Times New Roman" w:hAnsiTheme="minorBidi"/>
          <w:noProof/>
          <w:sz w:val="24"/>
          <w:szCs w:val="24"/>
          <w:lang w:val="en-GB"/>
        </w:rPr>
        <w:t>Alsuwayni and Alhossan (2020)</w:t>
      </w:r>
      <w:r w:rsidRPr="00A74163">
        <w:rPr>
          <w:rFonts w:asciiTheme="minorBidi" w:eastAsia="Times New Roman" w:hAnsiTheme="minorBidi"/>
          <w:sz w:val="24"/>
          <w:szCs w:val="24"/>
          <w:lang w:val="en-GB"/>
        </w:rPr>
        <w:fldChar w:fldCharType="end"/>
      </w:r>
      <w:r w:rsidRPr="00A74163">
        <w:rPr>
          <w:rFonts w:asciiTheme="minorBidi" w:eastAsia="Times New Roman" w:hAnsiTheme="minorBidi"/>
          <w:sz w:val="24"/>
          <w:szCs w:val="24"/>
          <w:lang w:val="en-GB"/>
        </w:rPr>
        <w:t xml:space="preserve"> and </w:t>
      </w:r>
      <w:r w:rsidRPr="00A74163">
        <w:rPr>
          <w:rFonts w:asciiTheme="minorBidi" w:hAnsiTheme="minorBidi"/>
          <w:sz w:val="24"/>
          <w:szCs w:val="24"/>
          <w:lang w:val="en-GB"/>
        </w:rPr>
        <w:fldChar w:fldCharType="begin" w:fldLock="1"/>
      </w:r>
      <w:r w:rsidRPr="00A74163">
        <w:rPr>
          <w:rFonts w:asciiTheme="minorBidi" w:hAnsiTheme="minorBidi"/>
          <w:sz w:val="24"/>
          <w:szCs w:val="24"/>
          <w:lang w:val="en-GB"/>
        </w:rPr>
        <w:instrText>ADDIN CSL_CITATION {"citationItems":[{"id":"ITEM-1","itemData":{"author":[{"dropping-particle":"","family":"Alghadeer","given":"Sultan M","non-dropping-particle":"","parse-names":false,"suffix":""},{"dropping-particle":"","family":"Alsuwayni","given":"Bashayr","non-dropping-particle":"","parse-names":false,"suffix":""},{"dropping-particle":"","family":"Almuwayjid","given":"Abdulmohsen K","non-dropping-particle":"","parse-names":false,"suffix":""},{"dropping-particle":"","family":"Almadi","given":"Mohammed S","non-dropping-particle":"","parse-names":false,"suffix":""},{"dropping-particle":"","family":"Mubarak","given":"Abdullah M","non-dropping-particle":"","parse-names":false,"suffix":""},{"dropping-particle":"","family":"Khunayn","given":"Rawan M","non-dropping-particle":"","parse-names":false,"suffix":""},{"dropping-particle":"","family":"Al-arifi","given":"Mohamed N","non-dropping-particle":"","parse-names":false,"suffix":""}],"id":"ITEM-1","issued":{"date-parts":[["2022"]]},"page":"1-9","title":"Glycemic Control and Management in Pharmacist-Led Diabetic Clinic vs . Physician-Led Diabetic Clinic","type":"article-journal"},"uris":["http://www.mendeley.com/documents/?uuid=0aae8201-f410-4f68-ae0c-7d27a405e309"]}],"mendeley":{"formattedCitation":"(Alghadeer &lt;i&gt;et al.&lt;/i&gt;, 2022)","manualFormatting":"Alghadeer et al., )2022)","plainTextFormattedCitation":"(Alghadeer et al., 2022)","previouslyFormattedCitation":"(Alghadeer &lt;i&gt;et al.&lt;/i&gt;, 2022)"},"properties":{"noteIndex":0},"schema":"https://github.com/citation-style-language/schema/raw/master/csl-citation.json"}</w:instrText>
      </w:r>
      <w:r w:rsidRPr="00A74163">
        <w:rPr>
          <w:rFonts w:asciiTheme="minorBidi" w:hAnsiTheme="minorBidi"/>
          <w:sz w:val="24"/>
          <w:szCs w:val="24"/>
          <w:lang w:val="en-GB"/>
        </w:rPr>
        <w:fldChar w:fldCharType="separate"/>
      </w:r>
      <w:r w:rsidRPr="00A74163">
        <w:rPr>
          <w:rFonts w:asciiTheme="minorBidi" w:hAnsiTheme="minorBidi"/>
          <w:noProof/>
          <w:sz w:val="24"/>
          <w:szCs w:val="24"/>
          <w:lang w:val="en-GB"/>
        </w:rPr>
        <w:t xml:space="preserve">Alghadeer </w:t>
      </w:r>
      <w:r w:rsidRPr="00A74163">
        <w:rPr>
          <w:rFonts w:asciiTheme="minorBidi" w:hAnsiTheme="minorBidi"/>
          <w:i/>
          <w:noProof/>
          <w:sz w:val="24"/>
          <w:szCs w:val="24"/>
          <w:lang w:val="en-GB"/>
        </w:rPr>
        <w:t>et al.</w:t>
      </w:r>
      <w:r w:rsidRPr="00A74163">
        <w:rPr>
          <w:rFonts w:asciiTheme="minorBidi" w:hAnsiTheme="minorBidi"/>
          <w:noProof/>
          <w:sz w:val="24"/>
          <w:szCs w:val="24"/>
          <w:lang w:val="en-GB"/>
        </w:rPr>
        <w:t xml:space="preserve">, </w:t>
      </w:r>
      <w:r w:rsidRPr="00A74163">
        <w:rPr>
          <w:rFonts w:asciiTheme="minorBidi" w:hAnsiTheme="minorBidi"/>
          <w:noProof/>
          <w:sz w:val="24"/>
          <w:szCs w:val="24"/>
          <w:rtl/>
          <w:lang w:val="en-GB"/>
        </w:rPr>
        <w:t>)</w:t>
      </w:r>
      <w:r w:rsidRPr="00A74163">
        <w:rPr>
          <w:rFonts w:asciiTheme="minorBidi" w:hAnsiTheme="minorBidi"/>
          <w:noProof/>
          <w:sz w:val="24"/>
          <w:szCs w:val="24"/>
          <w:lang w:val="en-GB"/>
        </w:rPr>
        <w:t>2022)</w:t>
      </w:r>
      <w:r w:rsidRPr="00A74163">
        <w:rPr>
          <w:rFonts w:asciiTheme="minorBidi" w:hAnsiTheme="minorBidi"/>
          <w:sz w:val="24"/>
          <w:szCs w:val="24"/>
          <w:lang w:val="en-GB"/>
        </w:rPr>
        <w:fldChar w:fldCharType="end"/>
      </w:r>
      <w:r w:rsidRPr="00A74163">
        <w:rPr>
          <w:rFonts w:asciiTheme="minorBidi" w:eastAsia="Times New Roman" w:hAnsiTheme="minorBidi"/>
          <w:sz w:val="24"/>
          <w:szCs w:val="24"/>
          <w:lang w:val="en-GB"/>
        </w:rPr>
        <w:t xml:space="preserve">. In contrast, a </w:t>
      </w:r>
      <w:r w:rsidRPr="00A74163">
        <w:rPr>
          <w:rFonts w:asciiTheme="minorBidi" w:hAnsiTheme="minorBidi"/>
          <w:sz w:val="24"/>
          <w:szCs w:val="24"/>
          <w:lang w:val="en-GB"/>
        </w:rPr>
        <w:t>statistically significant reduction in BP</w:t>
      </w:r>
      <w:r w:rsidRPr="00A74163">
        <w:rPr>
          <w:rFonts w:asciiTheme="minorBidi" w:hAnsiTheme="minorBidi"/>
          <w:sz w:val="24"/>
          <w:szCs w:val="24"/>
          <w:shd w:val="clear" w:color="auto" w:fill="FFFFFF"/>
          <w:lang w:val="en-GB"/>
        </w:rPr>
        <w:t xml:space="preserve"> was demonstrated by </w:t>
      </w:r>
      <w:r w:rsidRPr="00A74163">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(2018)","plainTextFormattedCitation":"(Ayla M Tourkmani et al., 2018)","previouslyFormattedCitation":"(Ayla M Tourkmani &lt;i&gt;et al.&lt;/i&gt;, 2018)"},"properties":{"noteIndex":0},"schema":"https://github.com/citation-style-language/schema/raw/master/csl-citation.json"}</w:instrText>
      </w:r>
      <w:r w:rsidRPr="00A74163">
        <w:rPr>
          <w:rFonts w:asciiTheme="minorBidi" w:hAnsiTheme="minorBidi"/>
          <w:sz w:val="24"/>
          <w:szCs w:val="24"/>
          <w:lang w:val="en-GB"/>
        </w:rPr>
        <w:fldChar w:fldCharType="separate"/>
      </w:r>
      <w:r w:rsidRPr="00A74163">
        <w:rPr>
          <w:rFonts w:asciiTheme="minorBidi" w:hAnsiTheme="minorBidi"/>
          <w:noProof/>
          <w:sz w:val="24"/>
          <w:szCs w:val="24"/>
          <w:lang w:val="en-GB"/>
        </w:rPr>
        <w:t>Tourkmani et al. (2018)</w:t>
      </w:r>
      <w:r w:rsidRPr="00A74163">
        <w:rPr>
          <w:rFonts w:asciiTheme="minorBidi" w:hAnsiTheme="minorBidi"/>
          <w:sz w:val="24"/>
          <w:szCs w:val="24"/>
          <w:lang w:val="en-GB"/>
        </w:rPr>
        <w:fldChar w:fldCharType="end"/>
      </w:r>
      <w:r w:rsidRPr="00A74163">
        <w:rPr>
          <w:rFonts w:asciiTheme="minorBidi" w:hAnsiTheme="minorBidi"/>
          <w:sz w:val="24"/>
          <w:szCs w:val="24"/>
          <w:lang w:val="en-GB"/>
        </w:rPr>
        <w:t xml:space="preserve">, </w:t>
      </w:r>
      <w:r w:rsidRPr="00A74163">
        <w:rPr>
          <w:rFonts w:asciiTheme="minorBidi" w:eastAsia="Times New Roman" w:hAnsiTheme="minorBidi"/>
          <w:sz w:val="24"/>
          <w:szCs w:val="24"/>
          <w:lang w:val="en-GB"/>
        </w:rPr>
        <w:fldChar w:fldCharType="begin" w:fldLock="1"/>
      </w:r>
      <w:r w:rsidRPr="00A74163">
        <w:rPr>
          <w:rFonts w:asciiTheme="minorBidi" w:eastAsia="Times New Roman" w:hAnsiTheme="minorBidi"/>
          <w:sz w:val="24"/>
          <w:szCs w:val="24"/>
          <w:lang w:val="en-GB"/>
        </w:rPr>
        <w:instrText>ADDIN CSL_CITATION {"citationItems":[{"id":"ITEM-1","itemData":{"DOI":"10.15537/smj.2018.7.22194","ISSN":"16583175","PMID":"29968894","abstract":"Objectives: To evaluate the impact of a multidisciplinary intensive education program (MIEP) on type 2 diabetes mellitus (T2DM) patients’ outcomes. Methods: A retrospective study was used to evaluate the impact of MIEP on T2DM patients’ outcomes for between May 2016 and May 2017. Data were collected from the diabetes education clinic in King Saud University Medical City (KSUMC), Riyadh, Saudi Arabia where patients were referred from diabetes outpatient clinics to the diabetes education clinic to receive MIEP. In terms of measuring the clinical outcomes of the T2DM patients, glycemic control, blood pressure, weight, and lipid profiles were assessed before MIEP at 3, 6, and 12 months. Results: A total of 174 patients with T2DM fulfilled study inclusion criteria. The results indicate improved glycemic control where patients’ HbA1c and blood sugar levels were significantly reduced 3, 6, and 12 months after MIEP compared to the baseline (p&lt;0.005). Moreover, blood pressure improved after education; a significant improvement was observed in the mean systolic blood pressure (SBP) from baseline to 12 months (p=0.036), and in the mean diastolic blood pressure (DBP) after 12 months (p=0.016). Additionally, the study found significant differences in total cholesterol and low-density lipoprotein (LDL) cholesterol 6 months after the intervention (p=0.014, p=0.</w:instrText>
      </w:r>
      <w:r w:rsidRPr="00860521">
        <w:rPr>
          <w:rFonts w:asciiTheme="minorBidi" w:eastAsia="Times New Roman" w:hAnsiTheme="minorBidi"/>
          <w:sz w:val="24"/>
          <w:szCs w:val="24"/>
          <w:lang w:val="es-ES_tradnl"/>
        </w:rPr>
        <w:instrText>02, respectively). Conclusion: Implementing an MIEP for T2DM patients can improve their clinical outcomes, which consequently may delay the disease’s long-term complications.","author":[{"dropping-particle":"","family":"Al-Arifi","given":"Mohamed N.","non-dropping-particle":"","parse-names":false,"suffix":""},{"dropping-particle":"","family":"Al-Omar","given":"Hussain A.","non-dropping-particle":"","parse-names":false,"suffix":""}],"container-title":"Saudi Medical Journal","id":"ITEM-1","issue":"7","issued":{"date-parts":[["2018","7","1"]]},"note":"From Duplicate 2 (Impact of a multidisciplinary intensive education program on type 2 diabetes mellitus patients’ glycemic control and cardiovascular risk factors - Al-Arifi, M N; Al-Omar, H A)\n\nCited By :3\n\nExport Date: 14 July 2020","page":"705-710","publisher":"Saudi Arabian Armed Forces Hospital","title":"Impact of a multidisciplinary intensive education program on type 2 diabetes mellitus patients’ glycemic control and cardiovascular risk factors","type":"article-journal","volume":"39"},"uris":["http://www.mendeley.com/documents/?uuid=689e4e48-89ab-4d68-b9b8-473a128e596e"]}],"mendeley":{"formattedCitation":"(Al-Arifi and Al-Omar, 2018)","manualFormatting":"Al-Arifi and Al-Omar (2018)","plainTextFormattedCitation":"(Al-Arifi and Al-Omar, 2018)","previouslyFormattedCitation":"(Al-Arifi and Al-Omar, 2018)"},"properties":{"noteIndex":0},"schema":"https://github.com/citation-style-language/schema/raw/master/csl-citation.json"}</w:instrText>
      </w:r>
      <w:r w:rsidRPr="00A74163">
        <w:rPr>
          <w:rFonts w:asciiTheme="minorBidi" w:eastAsia="Times New Roman" w:hAnsiTheme="minorBidi"/>
          <w:sz w:val="24"/>
          <w:szCs w:val="24"/>
          <w:lang w:val="en-GB"/>
        </w:rPr>
        <w:fldChar w:fldCharType="separate"/>
      </w:r>
      <w:r w:rsidRPr="00860521">
        <w:rPr>
          <w:rFonts w:asciiTheme="minorBidi" w:eastAsia="Times New Roman" w:hAnsiTheme="minorBidi"/>
          <w:noProof/>
          <w:sz w:val="24"/>
          <w:szCs w:val="24"/>
          <w:lang w:val="es-ES_tradnl"/>
        </w:rPr>
        <w:t>Al-Arifi and Al-Omar (2018)</w:t>
      </w:r>
      <w:r w:rsidRPr="00A74163">
        <w:rPr>
          <w:rFonts w:asciiTheme="minorBidi" w:eastAsia="Times New Roman" w:hAnsiTheme="minorBidi"/>
          <w:sz w:val="24"/>
          <w:szCs w:val="24"/>
          <w:lang w:val="en-GB"/>
        </w:rPr>
        <w:fldChar w:fldCharType="end"/>
      </w:r>
      <w:r w:rsidRPr="00860521">
        <w:rPr>
          <w:rFonts w:asciiTheme="minorBidi" w:eastAsia="Times New Roman" w:hAnsiTheme="minorBidi"/>
          <w:sz w:val="24"/>
          <w:szCs w:val="24"/>
          <w:lang w:val="es-ES_tradnl"/>
        </w:rPr>
        <w:t xml:space="preserve"> </w:t>
      </w:r>
      <w:r w:rsidRPr="00860521">
        <w:rPr>
          <w:rFonts w:asciiTheme="minorBidi" w:hAnsiTheme="minorBidi"/>
          <w:sz w:val="24"/>
          <w:szCs w:val="24"/>
          <w:lang w:val="es-ES_tradnl"/>
        </w:rPr>
        <w:t xml:space="preserve">and </w:t>
      </w:r>
      <w:r w:rsidRPr="00A74163">
        <w:rPr>
          <w:rFonts w:asciiTheme="minorBidi" w:hAnsiTheme="minorBidi"/>
          <w:sz w:val="24"/>
          <w:szCs w:val="24"/>
          <w:lang w:val="en-GB"/>
        </w:rPr>
        <w:fldChar w:fldCharType="begin" w:fldLock="1"/>
      </w:r>
      <w:r w:rsidRPr="00860521">
        <w:rPr>
          <w:rFonts w:asciiTheme="minorBidi" w:hAnsiTheme="minorBidi"/>
          <w:sz w:val="24"/>
          <w:szCs w:val="24"/>
          <w:lang w:val="es-ES_tradnl"/>
        </w:rPr>
        <w:instrText>ADDIN CSL_CITATION {"citationItems":[{"id":"ITEM-1","itemData":{"author":[{"dropping-particle":"","family":"Alsubaie","given":"Nawal","non-dropping-particle":"","parse-names":false,"suffix":""},{"dropping-particle":"","family":"Alsallal","given":"Mohannad","non-dropping-particle":"","parse-names":false,"suffix":""},{"dropping-particle":"","family":"Altwaijri","given":"Sulaiman","non-dropping-particle":"","parse-names":false,"suffix":""},{"dropping-particle":"","family":"Alotaibi","given":"Ahmed","non-dropping-particle":"","parse-names":false,"suffix":""},{"dropping-particle":"","family":"Alharbi","given":"Bandar","non-dropping-particle":"","parse-names":false,"suffix":""},{"dropping-particle":"","family":"Aleissa","given":"Mohammad","non-dropping-particle":"","parse-names":false,"suffix":""}],"id":"ITEM-1","issued":{"date-parts":[["2022"]]},"page":"887-892","title":"Impact of Clinical Pharmacist Diabetes Clinic on the Improvement of Health Outcomes in Type 2 Diabetes Subjects","type":"article-journal","volume":"10"},"uris":["http://www.mendeley.com/documents/?uuid=f4bab006-c942-4961-9501-a0ea0c0f1f08"]}],"mendeley":{"formattedCitation":"(Alsubaie &lt;i&gt;et al.&lt;/i&gt;, 2022)","manualFormatting":"Alsubaie et al., (2022)","plainTextFormattedCitation":"(Alsubaie et al., 2022)","previouslyFormattedCitation":"(Alsubaie &lt;i&gt;et al.&lt;/i&gt;, 2022)"},"properties":{"noteIndex":0},"schema":"https://github.com/citation-style-language/schema/raw/master/csl-citation.json"}</w:instrText>
      </w:r>
      <w:r w:rsidRPr="00A74163">
        <w:rPr>
          <w:rFonts w:asciiTheme="minorBidi" w:hAnsiTheme="minorBidi"/>
          <w:sz w:val="24"/>
          <w:szCs w:val="24"/>
          <w:lang w:val="en-GB"/>
        </w:rPr>
        <w:fldChar w:fldCharType="separate"/>
      </w:r>
      <w:r w:rsidRPr="00860521">
        <w:rPr>
          <w:rFonts w:asciiTheme="minorBidi" w:hAnsiTheme="minorBidi"/>
          <w:noProof/>
          <w:sz w:val="24"/>
          <w:szCs w:val="24"/>
          <w:lang w:val="es-ES_tradnl"/>
        </w:rPr>
        <w:t xml:space="preserve">Alsubaie </w:t>
      </w:r>
      <w:r w:rsidRPr="00860521">
        <w:rPr>
          <w:rFonts w:asciiTheme="minorBidi" w:hAnsiTheme="minorBidi"/>
          <w:i/>
          <w:noProof/>
          <w:sz w:val="24"/>
          <w:szCs w:val="24"/>
          <w:lang w:val="es-ES_tradnl"/>
        </w:rPr>
        <w:t>et al.</w:t>
      </w:r>
      <w:r w:rsidRPr="00860521">
        <w:rPr>
          <w:rFonts w:asciiTheme="minorBidi" w:hAnsiTheme="minorBidi"/>
          <w:noProof/>
          <w:sz w:val="24"/>
          <w:szCs w:val="24"/>
          <w:lang w:val="es-ES_tradnl"/>
        </w:rPr>
        <w:t>, (2022)</w:t>
      </w:r>
      <w:r w:rsidRPr="00A74163">
        <w:rPr>
          <w:rFonts w:asciiTheme="minorBidi" w:hAnsiTheme="minorBidi"/>
          <w:sz w:val="24"/>
          <w:szCs w:val="24"/>
          <w:lang w:val="en-GB"/>
        </w:rPr>
        <w:fldChar w:fldCharType="end"/>
      </w:r>
    </w:p>
    <w:p w14:paraId="5720EB57" w14:textId="77777777" w:rsidR="00DE1516" w:rsidRDefault="00DE1516" w:rsidP="00DE1516">
      <w:pPr>
        <w:spacing w:before="100" w:beforeAutospacing="1" w:after="100" w:afterAutospacing="1" w:line="360" w:lineRule="auto"/>
        <w:jc w:val="both"/>
        <w:textAlignment w:val="baseline"/>
        <w:rPr>
          <w:rFonts w:asciiTheme="minorBidi" w:hAnsiTheme="minorBidi"/>
          <w:color w:val="000000" w:themeColor="text1"/>
          <w:sz w:val="24"/>
          <w:szCs w:val="24"/>
          <w:shd w:val="clear" w:color="auto" w:fill="FFFFFF"/>
          <w:lang w:val="en-GB"/>
        </w:rPr>
      </w:pPr>
      <w:r w:rsidRPr="00860521">
        <w:rPr>
          <w:rFonts w:asciiTheme="minorBidi" w:hAnsiTheme="minorBidi"/>
          <w:color w:val="000000" w:themeColor="text1"/>
          <w:sz w:val="24"/>
          <w:szCs w:val="24"/>
          <w:shd w:val="clear" w:color="auto" w:fill="FFFFFF"/>
          <w:lang w:val="es-ES_tradnl"/>
        </w:rPr>
        <w:t xml:space="preserve">The failure to demonstrate a statistically significant improvement in BP in above mentioned studies could be due to several reasons. One of these reasons could be due to the small sample sizes, as only 34 patients and 41 patients were included in both prospective (pre-post assessment) studies by </w:t>
      </w:r>
      <w:r w:rsidRPr="001056C0">
        <w:rPr>
          <w:rFonts w:asciiTheme="minorBidi" w:hAnsiTheme="minorBidi"/>
          <w:color w:val="000000" w:themeColor="text1"/>
          <w:sz w:val="24"/>
          <w:szCs w:val="24"/>
          <w:lang w:val="en-GB"/>
        </w:rPr>
        <w:fldChar w:fldCharType="begin" w:fldLock="1"/>
      </w:r>
      <w:r w:rsidRPr="00860521">
        <w:rPr>
          <w:rFonts w:asciiTheme="minorBidi" w:hAnsiTheme="minorBidi"/>
          <w:color w:val="000000" w:themeColor="text1"/>
          <w:sz w:val="24"/>
          <w:szCs w:val="24"/>
          <w:lang w:val="es-ES_tradnl"/>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w:instrText>
      </w:r>
      <w:r>
        <w:rPr>
          <w:rFonts w:asciiTheme="minorBidi" w:hAnsiTheme="minorBidi"/>
          <w:color w:val="000000" w:themeColor="text1"/>
          <w:sz w:val="24"/>
          <w:szCs w:val="24"/>
          <w:lang w:val="en-GB"/>
        </w:rPr>
        <w:instrText>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2013)","manualFormatting":"Al Asmary et al. (2013)","plainTextFormattedCitation":"(Al Asmary et al., 2013)","previouslyFormattedCitation":"(Al Asmary &lt;i&gt;et al.&lt;/i&gt;, 2013)"},"properties":{"noteIndex":0},"schema":"https://github.com/citation-style-language/schema/raw/master/csl-citation.json"}</w:instrText>
      </w:r>
      <w:r w:rsidRPr="001056C0">
        <w:rPr>
          <w:rFonts w:asciiTheme="minorBidi" w:hAnsiTheme="minorBidi"/>
          <w:color w:val="000000" w:themeColor="text1"/>
          <w:sz w:val="24"/>
          <w:szCs w:val="24"/>
          <w:lang w:val="en-GB"/>
        </w:rPr>
        <w:fldChar w:fldCharType="separate"/>
      </w:r>
      <w:r w:rsidRPr="001056C0">
        <w:rPr>
          <w:rFonts w:asciiTheme="minorBidi" w:hAnsiTheme="minorBidi"/>
          <w:noProof/>
          <w:color w:val="000000" w:themeColor="text1"/>
          <w:sz w:val="24"/>
          <w:szCs w:val="24"/>
          <w:lang w:val="en-GB"/>
        </w:rPr>
        <w:t xml:space="preserve">Al Asmary </w:t>
      </w:r>
      <w:r w:rsidRPr="00B9640A">
        <w:rPr>
          <w:rFonts w:asciiTheme="minorBidi" w:hAnsiTheme="minorBidi"/>
          <w:noProof/>
          <w:color w:val="000000" w:themeColor="text1"/>
          <w:sz w:val="24"/>
          <w:szCs w:val="24"/>
          <w:lang w:val="en-GB"/>
        </w:rPr>
        <w:t>et al.</w:t>
      </w:r>
      <w:r w:rsidRPr="001056C0">
        <w:rPr>
          <w:rFonts w:asciiTheme="minorBidi" w:hAnsiTheme="minorBidi"/>
          <w:noProof/>
          <w:color w:val="000000" w:themeColor="text1"/>
          <w:sz w:val="24"/>
          <w:szCs w:val="24"/>
          <w:lang w:val="en-GB"/>
        </w:rPr>
        <w:t xml:space="preserve"> </w:t>
      </w:r>
      <w:r>
        <w:rPr>
          <w:rFonts w:asciiTheme="minorBidi" w:hAnsiTheme="minorBidi"/>
          <w:noProof/>
          <w:color w:val="000000" w:themeColor="text1"/>
          <w:sz w:val="24"/>
          <w:szCs w:val="24"/>
          <w:lang w:val="en-GB"/>
        </w:rPr>
        <w:t>(</w:t>
      </w:r>
      <w:r w:rsidRPr="001056C0">
        <w:rPr>
          <w:rFonts w:asciiTheme="minorBidi" w:hAnsiTheme="minorBidi"/>
          <w:noProof/>
          <w:color w:val="000000" w:themeColor="text1"/>
          <w:sz w:val="24"/>
          <w:szCs w:val="24"/>
          <w:lang w:val="en-GB"/>
        </w:rPr>
        <w:t>2013)</w:t>
      </w:r>
      <w:r w:rsidRPr="001056C0">
        <w:rPr>
          <w:rFonts w:asciiTheme="minorBidi" w:hAnsiTheme="minorBidi"/>
          <w:color w:val="000000" w:themeColor="text1"/>
          <w:sz w:val="24"/>
          <w:szCs w:val="24"/>
          <w:lang w:val="en-GB"/>
        </w:rPr>
        <w:fldChar w:fldCharType="end"/>
      </w:r>
      <w:r w:rsidRPr="001056C0">
        <w:rPr>
          <w:rFonts w:asciiTheme="minorBidi" w:hAnsiTheme="minorBidi"/>
          <w:color w:val="000000" w:themeColor="text1"/>
          <w:sz w:val="24"/>
          <w:szCs w:val="24"/>
          <w:lang w:val="en-GB"/>
        </w:rPr>
        <w:t xml:space="preserve"> </w:t>
      </w:r>
      <w:r w:rsidRPr="001056C0">
        <w:rPr>
          <w:rFonts w:asciiTheme="minorBidi" w:eastAsia="Times New Roman" w:hAnsiTheme="minorBidi"/>
          <w:color w:val="2A2A2A"/>
          <w:sz w:val="24"/>
          <w:szCs w:val="24"/>
          <w:lang w:val="en-GB"/>
        </w:rPr>
        <w:t xml:space="preserve">and </w:t>
      </w:r>
      <w:r w:rsidRPr="001056C0">
        <w:rPr>
          <w:rFonts w:asciiTheme="minorBidi" w:eastAsia="Times New Roman" w:hAnsiTheme="minorBidi"/>
          <w:color w:val="2A2A2A"/>
          <w:sz w:val="24"/>
          <w:szCs w:val="24"/>
          <w:lang w:val="en-GB"/>
        </w:rPr>
        <w:fldChar w:fldCharType="begin" w:fldLock="1"/>
      </w:r>
      <w:r>
        <w:rPr>
          <w:rFonts w:asciiTheme="minorBidi" w:eastAsia="Times New Roman" w:hAnsiTheme="minorBidi"/>
          <w:color w:val="2A2A2A"/>
          <w:sz w:val="24"/>
          <w:szCs w:val="24"/>
          <w:lang w:val="en-GB"/>
        </w:rPr>
        <w:instrText>ADDIN CSL_CITATION {"citationItems":[{"id":"ITEM-1","itemData":{"DOI":"10.1016/j.jsps.2020.11.002","ISSN":"13190164","author":[{"dropping-particle":"","family":"Alsuwayni","given":"Bashayr","non-dropping-particle":"","parse-names":false,"suffix":""},{"dropping-particle":"","family":"Alhossan","given":"Abdulaziz","non-dropping-particle":"","parse-names":false,"suffix":""}],"container-title":"Saudi Pharmaceutical Journal","id":"ITEM-1","issue":"12","issued":{"date-parts":[["2020"]]},"page":"1756-1759","publisher":"King Saud University","title":"Impact of clinical pharmacist-led diabetes management clinic on health outcomes at an academic hospital in Riyadh, Saudi Arabia: A prospective cohort study","type":"article-journal","volume":"28"},"uris":["http://www.mendeley.com/documents/?uuid=8c96643a-8124-455f-8442-cb7dc2cbdf33"]}],"mendeley":{"formattedCitation":"(Alsuwayni and Alhossan, 2020)","manualFormatting":"Alsuwayni and Alhossan (2020)","plainTextFormattedCitation":"(Alsuwayni and Alhossan, 2020)","previouslyFormattedCitation":"(Alsuwayni and Alhossan, 2020)"},"properties":{"noteIndex":0},"schema":"https://github.com/citation-style-language/schema/raw/master/csl-citation.json"}</w:instrText>
      </w:r>
      <w:r w:rsidRPr="001056C0">
        <w:rPr>
          <w:rFonts w:asciiTheme="minorBidi" w:eastAsia="Times New Roman" w:hAnsiTheme="minorBidi"/>
          <w:color w:val="2A2A2A"/>
          <w:sz w:val="24"/>
          <w:szCs w:val="24"/>
          <w:lang w:val="en-GB"/>
        </w:rPr>
        <w:fldChar w:fldCharType="separate"/>
      </w:r>
      <w:r w:rsidRPr="001056C0">
        <w:rPr>
          <w:rFonts w:asciiTheme="minorBidi" w:eastAsia="Times New Roman" w:hAnsiTheme="minorBidi"/>
          <w:noProof/>
          <w:color w:val="2A2A2A"/>
          <w:sz w:val="24"/>
          <w:szCs w:val="24"/>
          <w:lang w:val="en-GB"/>
        </w:rPr>
        <w:t xml:space="preserve">Alsuwayni and Alhossan </w:t>
      </w:r>
      <w:r>
        <w:rPr>
          <w:rFonts w:asciiTheme="minorBidi" w:eastAsia="Times New Roman" w:hAnsiTheme="minorBidi"/>
          <w:noProof/>
          <w:color w:val="2A2A2A"/>
          <w:sz w:val="24"/>
          <w:szCs w:val="24"/>
          <w:lang w:val="en-GB"/>
        </w:rPr>
        <w:t>(</w:t>
      </w:r>
      <w:r w:rsidRPr="001056C0">
        <w:rPr>
          <w:rFonts w:asciiTheme="minorBidi" w:eastAsia="Times New Roman" w:hAnsiTheme="minorBidi"/>
          <w:noProof/>
          <w:color w:val="2A2A2A"/>
          <w:sz w:val="24"/>
          <w:szCs w:val="24"/>
          <w:lang w:val="en-GB"/>
        </w:rPr>
        <w:t>2020)</w:t>
      </w:r>
      <w:r w:rsidRPr="001056C0">
        <w:rPr>
          <w:rFonts w:asciiTheme="minorBidi" w:eastAsia="Times New Roman" w:hAnsiTheme="minorBidi"/>
          <w:color w:val="2A2A2A"/>
          <w:sz w:val="24"/>
          <w:szCs w:val="24"/>
          <w:lang w:val="en-GB"/>
        </w:rPr>
        <w:fldChar w:fldCharType="end"/>
      </w:r>
      <w:r>
        <w:rPr>
          <w:rFonts w:asciiTheme="minorBidi" w:hAnsiTheme="minorBidi"/>
          <w:color w:val="000000" w:themeColor="text1"/>
          <w:sz w:val="24"/>
          <w:szCs w:val="24"/>
          <w:shd w:val="clear" w:color="auto" w:fill="FFFFFF"/>
          <w:lang w:val="en-GB"/>
        </w:rPr>
        <w:t>,</w:t>
      </w:r>
      <w:r w:rsidRPr="001056C0">
        <w:rPr>
          <w:rFonts w:asciiTheme="minorBidi" w:hAnsiTheme="minorBidi"/>
          <w:color w:val="000000" w:themeColor="text1"/>
          <w:sz w:val="24"/>
          <w:szCs w:val="24"/>
          <w:shd w:val="clear" w:color="auto" w:fill="FFFFFF"/>
          <w:lang w:val="en-GB"/>
        </w:rPr>
        <w:t xml:space="preserve"> respectively.</w:t>
      </w:r>
      <w:r w:rsidRPr="005736ED">
        <w:t xml:space="preserve"> </w:t>
      </w:r>
      <w:r>
        <w:rPr>
          <w:rFonts w:asciiTheme="minorBidi" w:hAnsiTheme="minorBidi"/>
          <w:color w:val="000000" w:themeColor="text1"/>
          <w:sz w:val="24"/>
          <w:szCs w:val="24"/>
          <w:shd w:val="clear" w:color="auto" w:fill="FFFFFF"/>
        </w:rPr>
        <w:t>T</w:t>
      </w:r>
      <w:r w:rsidRPr="005736ED">
        <w:rPr>
          <w:rFonts w:asciiTheme="minorBidi" w:hAnsiTheme="minorBidi"/>
          <w:color w:val="000000" w:themeColor="text1"/>
          <w:sz w:val="24"/>
          <w:szCs w:val="24"/>
          <w:shd w:val="clear" w:color="auto" w:fill="FFFFFF"/>
          <w:lang w:val="en-GB"/>
        </w:rPr>
        <w:t xml:space="preserve">he retrospective chart review study by </w:t>
      </w:r>
      <w:r w:rsidRPr="0087432B">
        <w:rPr>
          <w:rFonts w:asciiTheme="minorBidi" w:hAnsiTheme="minorBidi"/>
          <w:sz w:val="24"/>
          <w:szCs w:val="24"/>
          <w:lang w:val="en-GB"/>
        </w:rPr>
        <w:fldChar w:fldCharType="begin" w:fldLock="1"/>
      </w:r>
      <w:r w:rsidRPr="0087432B">
        <w:rPr>
          <w:rFonts w:asciiTheme="minorBidi" w:hAnsiTheme="minorBidi"/>
          <w:sz w:val="24"/>
          <w:szCs w:val="24"/>
          <w:lang w:val="en-GB"/>
        </w:rPr>
        <w:instrText>ADDIN CSL_CITATION {"citationItems":[{"id":"ITEM-1","itemData":{"author":[{"dropping-particle":"","family":"Alghadeer","given":"Sultan M","non-dropping-particle":"","parse-names":false,"suffix":""},{"dropping-particle":"","family":"Alsuwayni","given":"Bashayr","non-dropping-particle":"","parse-names":false,"suffix":""},{"dropping-particle":"","family":"Almuwayjid","given":"Abdulmohsen K","non-dropping-particle":"","parse-names":false,"suffix":""},{"dropping-particle":"","family":"Almadi","given":"Mohammed S","non-dropping-particle":"","parse-names":false,"suffix":""},{"dropping-particle":"","family":"Mubarak","given":"Abdullah M","non-dropping-particle":"","parse-names":false,"suffix":""},{"dropping-particle":"","family":"Khunayn","given":"Rawan M","non-dropping-particle":"","parse-names":false,"suffix":""},{"dropping-particle":"","family":"Al-arifi","given":"Mohamed N","non-dropping-particle":"","parse-names":false,"suffix":""}],"id":"ITEM-1","issued":{"date-parts":[["2022"]]},"page":"1-9","title":"Glycemic Control and Management in Pharmacist-Led Diabetic Clinic vs . Physician-Led Diabetic Clinic","type":"article-journal"},"uris":["http://www.mendeley.com/documents/?uuid=0aae8201-f410-4f68-ae0c-7d27a405e309"]}],"mendeley":{"formattedCitation":"(Alghadeer &lt;i&gt;et al.&lt;/i&gt;, 2022)","plainTextFormattedCitation":"(Alghadeer et al., 2022)","previouslyFormattedCitation":"(Alghadeer &lt;i&gt;et al.&lt;/i&gt;, 2022)"},"properties":{"noteIndex":0},"schema":"https://github.com/citation-style-language/schema/raw/master/csl-citation.json"}</w:instrText>
      </w:r>
      <w:r w:rsidRPr="0087432B">
        <w:rPr>
          <w:rFonts w:asciiTheme="minorBidi" w:hAnsiTheme="minorBidi"/>
          <w:sz w:val="24"/>
          <w:szCs w:val="24"/>
          <w:lang w:val="en-GB"/>
        </w:rPr>
        <w:fldChar w:fldCharType="separate"/>
      </w:r>
      <w:r w:rsidRPr="0087432B">
        <w:rPr>
          <w:rFonts w:asciiTheme="minorBidi" w:hAnsiTheme="minorBidi"/>
          <w:noProof/>
          <w:sz w:val="24"/>
          <w:szCs w:val="24"/>
          <w:lang w:val="en-GB"/>
        </w:rPr>
        <w:t xml:space="preserve">(Alghadeer </w:t>
      </w:r>
      <w:r w:rsidRPr="0087432B">
        <w:rPr>
          <w:rFonts w:asciiTheme="minorBidi" w:hAnsiTheme="minorBidi"/>
          <w:i/>
          <w:noProof/>
          <w:sz w:val="24"/>
          <w:szCs w:val="24"/>
          <w:lang w:val="en-GB"/>
        </w:rPr>
        <w:t>et al.</w:t>
      </w:r>
      <w:r w:rsidRPr="0087432B">
        <w:rPr>
          <w:rFonts w:asciiTheme="minorBidi" w:hAnsiTheme="minorBidi"/>
          <w:noProof/>
          <w:sz w:val="24"/>
          <w:szCs w:val="24"/>
          <w:lang w:val="en-GB"/>
        </w:rPr>
        <w:t>, 2022)</w:t>
      </w:r>
      <w:r w:rsidRPr="0087432B">
        <w:rPr>
          <w:rFonts w:asciiTheme="minorBidi" w:hAnsiTheme="minorBidi"/>
          <w:sz w:val="24"/>
          <w:szCs w:val="24"/>
          <w:lang w:val="en-GB"/>
        </w:rPr>
        <w:fldChar w:fldCharType="end"/>
      </w:r>
      <w:r w:rsidRPr="005736ED">
        <w:rPr>
          <w:rFonts w:asciiTheme="minorBidi" w:hAnsiTheme="minorBidi"/>
          <w:color w:val="000000" w:themeColor="text1"/>
          <w:sz w:val="24"/>
          <w:szCs w:val="24"/>
          <w:shd w:val="clear" w:color="auto" w:fill="FFFFFF"/>
          <w:lang w:val="en-GB"/>
        </w:rPr>
        <w:t xml:space="preserve"> was </w:t>
      </w:r>
      <w:r>
        <w:rPr>
          <w:rFonts w:asciiTheme="minorBidi" w:hAnsiTheme="minorBidi"/>
          <w:color w:val="000000" w:themeColor="text1"/>
          <w:sz w:val="24"/>
          <w:szCs w:val="24"/>
          <w:shd w:val="clear" w:color="auto" w:fill="FFFFFF"/>
          <w:lang w:val="en-GB"/>
        </w:rPr>
        <w:t xml:space="preserve">also have a small sample size in </w:t>
      </w:r>
      <w:r w:rsidRPr="005736ED">
        <w:rPr>
          <w:rFonts w:asciiTheme="minorBidi" w:hAnsiTheme="minorBidi"/>
          <w:color w:val="000000" w:themeColor="text1"/>
          <w:sz w:val="24"/>
          <w:szCs w:val="24"/>
          <w:shd w:val="clear" w:color="auto" w:fill="FFFFFF"/>
          <w:lang w:val="en-GB"/>
        </w:rPr>
        <w:t>the pharmacist intervention group</w:t>
      </w:r>
      <w:r>
        <w:rPr>
          <w:rFonts w:asciiTheme="minorBidi" w:hAnsiTheme="minorBidi"/>
          <w:color w:val="000000" w:themeColor="text1"/>
          <w:sz w:val="24"/>
          <w:szCs w:val="24"/>
          <w:shd w:val="clear" w:color="auto" w:fill="FFFFFF"/>
          <w:lang w:val="en-GB"/>
        </w:rPr>
        <w:t xml:space="preserve"> </w:t>
      </w:r>
      <w:r w:rsidRPr="005736ED">
        <w:rPr>
          <w:rFonts w:asciiTheme="minorBidi" w:hAnsiTheme="minorBidi"/>
          <w:color w:val="000000" w:themeColor="text1"/>
          <w:sz w:val="24"/>
          <w:szCs w:val="24"/>
          <w:shd w:val="clear" w:color="auto" w:fill="FFFFFF"/>
          <w:lang w:val="en-GB"/>
        </w:rPr>
        <w:t>as it included 52 patients, of whom only 24 were in the intervention group</w:t>
      </w:r>
      <w:r>
        <w:rPr>
          <w:rFonts w:asciiTheme="minorBidi" w:hAnsiTheme="minorBidi"/>
          <w:color w:val="000000" w:themeColor="text1"/>
          <w:sz w:val="24"/>
          <w:szCs w:val="24"/>
          <w:shd w:val="clear" w:color="auto" w:fill="FFFFFF"/>
          <w:lang w:val="en-GB"/>
        </w:rPr>
        <w:t xml:space="preserve">. </w:t>
      </w:r>
      <w:r>
        <w:rPr>
          <w:rFonts w:asciiTheme="minorBidi" w:hAnsiTheme="minorBidi"/>
          <w:sz w:val="24"/>
          <w:szCs w:val="24"/>
          <w:lang w:val="en-GB"/>
        </w:rPr>
        <w:t>Additionally, the work of</w:t>
      </w:r>
      <w:r w:rsidRPr="001056C0">
        <w:rPr>
          <w:rFonts w:asciiTheme="minorBidi" w:hAnsiTheme="minorBidi"/>
          <w:sz w:val="24"/>
          <w:szCs w:val="24"/>
          <w:lang w:val="en-GB"/>
        </w:rPr>
        <w:t xml:space="preserve"> </w:t>
      </w:r>
      <w:r w:rsidRPr="001056C0">
        <w:rPr>
          <w:rFonts w:asciiTheme="minorBidi" w:eastAsia="Times New Roman" w:hAnsiTheme="minorBidi"/>
          <w:color w:val="2A2A2A"/>
          <w:sz w:val="24"/>
          <w:szCs w:val="24"/>
          <w:lang w:val="en-GB"/>
        </w:rPr>
        <w:fldChar w:fldCharType="begin" w:fldLock="1"/>
      </w:r>
      <w:r>
        <w:rPr>
          <w:rFonts w:asciiTheme="minorBidi" w:eastAsia="Times New Roman" w:hAnsiTheme="minorBidi"/>
          <w:color w:val="2A2A2A"/>
          <w:sz w:val="24"/>
          <w:szCs w:val="24"/>
          <w:lang w:val="en-GB"/>
        </w:rPr>
        <w:instrText>ADDIN CSL_CITATION {"citationItems":[{"id":"ITEM-1","itemData":{"DOI":"10.2147/PPA.S113324","ISSN":"1177889X","abstract":"Background: Fasting during the month of Ramadan could lead to acute complications and increased hypoglycemic risk of patients with type 2 diabetes. Therefore, diabetes is one of the diseases that need careful observation and special considerations during Ramadan including patients’ education and counseling. Objectives: To evaluate the impact of Ramadan focused education program on acute complications and biomedical parameters. Methods: A prospective nonrandomized interventional controlled design was run on three phases: before, during, and after Ramadan on 262 type 2 diabetes patients. The intervention group (n=140) received focused individualized diabetic education sessions and antidiabetic medications adjustment before and after Ramadan, while the control group (n=122) received standard diabetic care. A validated hypoglycemia questionnaire was used in both groups to assess the change of the risk. Patients were advised to adjust the dosage and timing of antidiabetic agents according to the recommendations for management of diabetes during Ramadan. Primary outcomes were postintervention change of hypoglycemia score and HbA1c over 6-month follow-up. Data were presented as mean ± standard deviation. HbA1c was expressed in percentage. Results: The hypoglycemic scores before, during, and after Ramadan were 14.21±8.50, 6.36±6.17, and 5.44±5.55 in the intervention group, respectively (P&lt;0.001) and 14.01±5.10, 13.46±5.30, and 9.27±4.65 in the control group, respectively (P&lt;0.001). HbA1c levels were 9.79±1.89, 8.26±1.54, and 8.52±1.61 before, during, and after Ramadan in the intervention group, respectively (P&lt;0.001), and 10.04±1.47, 9.54±1.38, and 9.59±1.79 in the control group, respectively (P&lt;0.001). Post-Ramadan reductions of HbA1c and hypoglycemic scores were significantly higher in the intervention group (-13.0% vs-4.5%, P=0.004 for HbA1c and-61.7% vs-33.8%, P&lt;0.001 for hypoglycemic score). Low-density lipoprotein cholesterol improved in the intervention group from 2.41±0.91 mmol/L before Ramadan to 2.28±0.68 mmol/L after Ramadan (P&lt;0.001). No statistically significant effects were observed on blood pressure or body weight in the intervention group. Also, no change was observed in the control group. Conclusion: Ramadan educational program had a positive impact with reduction of hypoglycemic risk, HbA1c, and low-density lipoprotein cholesterol. Therefore, it could be recommended for patients with increased risk of hypoglycemia during Ramadan fasting.","author":[{"dropping-particle":"","family":"Tourkmani","given":"Ayla M.","non-dropping-particle":"","parse-names":false,"suffix":""},{"dropping-particle":"","family":"Azmi Hassali","given":"Mohamed","non-dropping-particle":"","parse-names":false,"suffix":""},{"dropping-particle":"","family":"Alharbi","given":"Turki J.","non-dropping-particle":"","parse-names":false,"suffix":""},{"dropping-particle":"","family":"Alkhashan","given":"Hesham I.","non-dropping-particle":"","parse-names":false,"suffix":""},{"dropping-particle":"","family":"Alobikan","given":"Aljoharah H.","non-dropping-particle":"","parse-names":false,"suffix":""},{"dropping-particle":"","family":"Bakhiet","given":"Ahmed H.","non-dropping-particle":"","parse-names":false,"suffix":""},{"dropping-particle":"","family":"Alqahtani","given":"Hala B.","non-dropping-particle":"","parse-names":false,"suffix":""},{"dropping-particle":"","family":"Alrasheedy","given":"Alian A.","non-dropping-particle":"","parse-names":false,"suffix":""},{"dropping-particle":"","family":"Alawwad","given":"Ahmed D.","non-dropping-particle":"","parse-names":false,"suffix":""},{"dropping-particle":"","family":"Mishriky","given":"Adel M.","non-dropping-particle":"","parse-names":false,"suffix":""},{"dropping-particle":"","family":"Aljadhey","given":"Hisham","non-dropping-particle":"","parse-names":false,"suffix":""}],"container-title":"Patient Preference and Adherence","id":"ITEM-1","issued":{"date-parts":[["2016"]]},"page":"1709-1717","title":"Impact of ramadan focused education program on hypoglycemic risk and metabolic control for patients with type 2 diabetes","type":"article-journal","volume":"10"},"uris":["http://www.mendeley.com/documents/?uuid=0f118a78-43be-4dd9-896d-9a09e5eec0f9"]}],"mendeley":{"formattedCitation":"(Tourkmani &lt;i&gt;et al.&lt;/i&gt;, 2016)","manualFormatting":"Tourkmani et al. (2016)","plainTextFormattedCitation":"(Tourkmani et al., 2016)","previouslyFormattedCitation":"(Tourkmani &lt;i&gt;et al.&lt;/i&gt;, 2016)"},"properties":{"noteIndex":0},"schema":"https://github.com/citation-style-language/schema/raw/master/csl-citation.json"}</w:instrText>
      </w:r>
      <w:r w:rsidRPr="001056C0">
        <w:rPr>
          <w:rFonts w:asciiTheme="minorBidi" w:eastAsia="Times New Roman" w:hAnsiTheme="minorBidi"/>
          <w:color w:val="2A2A2A"/>
          <w:sz w:val="24"/>
          <w:szCs w:val="24"/>
          <w:lang w:val="en-GB"/>
        </w:rPr>
        <w:fldChar w:fldCharType="separate"/>
      </w:r>
      <w:r w:rsidRPr="001056C0">
        <w:rPr>
          <w:rFonts w:asciiTheme="minorBidi" w:eastAsia="Times New Roman" w:hAnsiTheme="minorBidi"/>
          <w:noProof/>
          <w:color w:val="2A2A2A"/>
          <w:sz w:val="24"/>
          <w:szCs w:val="24"/>
          <w:lang w:val="en-GB"/>
        </w:rPr>
        <w:t xml:space="preserve">Tourkmani </w:t>
      </w:r>
      <w:r w:rsidRPr="00B9640A">
        <w:rPr>
          <w:rFonts w:asciiTheme="minorBidi" w:eastAsia="Times New Roman" w:hAnsiTheme="minorBidi"/>
          <w:noProof/>
          <w:color w:val="2A2A2A"/>
          <w:sz w:val="24"/>
          <w:szCs w:val="24"/>
          <w:lang w:val="en-GB"/>
        </w:rPr>
        <w:t>et al.</w:t>
      </w:r>
      <w:r w:rsidRPr="001056C0">
        <w:rPr>
          <w:rFonts w:asciiTheme="minorBidi" w:eastAsia="Times New Roman" w:hAnsiTheme="minorBidi"/>
          <w:noProof/>
          <w:color w:val="2A2A2A"/>
          <w:sz w:val="24"/>
          <w:szCs w:val="24"/>
          <w:lang w:val="en-GB"/>
        </w:rPr>
        <w:t xml:space="preserve"> </w:t>
      </w:r>
      <w:r>
        <w:rPr>
          <w:rFonts w:asciiTheme="minorBidi" w:eastAsia="Times New Roman" w:hAnsiTheme="minorBidi"/>
          <w:noProof/>
          <w:color w:val="2A2A2A"/>
          <w:sz w:val="24"/>
          <w:szCs w:val="24"/>
          <w:lang w:val="en-GB"/>
        </w:rPr>
        <w:t>(</w:t>
      </w:r>
      <w:r w:rsidRPr="001056C0">
        <w:rPr>
          <w:rFonts w:asciiTheme="minorBidi" w:eastAsia="Times New Roman" w:hAnsiTheme="minorBidi"/>
          <w:noProof/>
          <w:color w:val="2A2A2A"/>
          <w:sz w:val="24"/>
          <w:szCs w:val="24"/>
          <w:lang w:val="en-GB"/>
        </w:rPr>
        <w:t>2016)</w:t>
      </w:r>
      <w:r w:rsidRPr="001056C0">
        <w:rPr>
          <w:rFonts w:asciiTheme="minorBidi" w:eastAsia="Times New Roman" w:hAnsiTheme="minorBidi"/>
          <w:color w:val="2A2A2A"/>
          <w:sz w:val="24"/>
          <w:szCs w:val="24"/>
          <w:lang w:val="en-GB"/>
        </w:rPr>
        <w:fldChar w:fldCharType="end"/>
      </w:r>
      <w:r w:rsidRPr="001056C0">
        <w:rPr>
          <w:rFonts w:asciiTheme="minorBidi" w:eastAsia="Times New Roman" w:hAnsiTheme="minorBidi"/>
          <w:color w:val="2A2A2A"/>
          <w:sz w:val="24"/>
          <w:szCs w:val="24"/>
          <w:lang w:val="en-GB"/>
        </w:rPr>
        <w:t xml:space="preserve"> </w:t>
      </w:r>
      <w:r w:rsidRPr="001056C0">
        <w:rPr>
          <w:rFonts w:asciiTheme="minorBidi" w:hAnsiTheme="minorBidi"/>
          <w:sz w:val="24"/>
          <w:szCs w:val="24"/>
          <w:lang w:val="en-GB"/>
        </w:rPr>
        <w:t xml:space="preserve">was </w:t>
      </w:r>
      <w:r>
        <w:rPr>
          <w:rFonts w:asciiTheme="minorBidi" w:hAnsiTheme="minorBidi"/>
          <w:sz w:val="24"/>
          <w:szCs w:val="24"/>
          <w:lang w:val="en-GB"/>
        </w:rPr>
        <w:t xml:space="preserve">a </w:t>
      </w:r>
      <w:r w:rsidRPr="001056C0">
        <w:rPr>
          <w:rFonts w:asciiTheme="minorBidi" w:hAnsiTheme="minorBidi"/>
          <w:sz w:val="24"/>
          <w:szCs w:val="24"/>
          <w:lang w:val="en-GB"/>
        </w:rPr>
        <w:t>short study</w:t>
      </w:r>
      <w:r>
        <w:rPr>
          <w:rFonts w:asciiTheme="minorBidi" w:hAnsiTheme="minorBidi"/>
          <w:sz w:val="24"/>
          <w:szCs w:val="24"/>
          <w:lang w:val="en-GB"/>
        </w:rPr>
        <w:t xml:space="preserve"> long</w:t>
      </w:r>
      <w:r w:rsidRPr="001056C0">
        <w:rPr>
          <w:rFonts w:asciiTheme="minorBidi" w:hAnsiTheme="minorBidi"/>
          <w:sz w:val="24"/>
          <w:szCs w:val="24"/>
          <w:lang w:val="en-GB"/>
        </w:rPr>
        <w:t xml:space="preserve"> period </w:t>
      </w:r>
      <w:r>
        <w:rPr>
          <w:rFonts w:asciiTheme="minorBidi" w:hAnsiTheme="minorBidi"/>
          <w:sz w:val="24"/>
          <w:szCs w:val="24"/>
          <w:lang w:val="en-GB"/>
        </w:rPr>
        <w:t>(before-during-and after Ramadan) as the</w:t>
      </w:r>
      <w:r w:rsidRPr="001056C0">
        <w:rPr>
          <w:rFonts w:asciiTheme="minorBidi" w:hAnsiTheme="minorBidi"/>
          <w:sz w:val="24"/>
          <w:szCs w:val="24"/>
          <w:lang w:val="en-GB"/>
        </w:rPr>
        <w:t xml:space="preserve"> </w:t>
      </w:r>
      <w:r>
        <w:rPr>
          <w:rFonts w:asciiTheme="minorBidi" w:hAnsiTheme="minorBidi"/>
          <w:sz w:val="24"/>
          <w:szCs w:val="24"/>
          <w:lang w:val="en-GB"/>
        </w:rPr>
        <w:t>research</w:t>
      </w:r>
      <w:r w:rsidRPr="001056C0">
        <w:rPr>
          <w:rFonts w:asciiTheme="minorBidi" w:hAnsiTheme="minorBidi"/>
          <w:sz w:val="24"/>
          <w:szCs w:val="24"/>
          <w:lang w:val="en-GB"/>
        </w:rPr>
        <w:t xml:space="preserve"> aimed to evaluate the education programme on diabetes patients who </w:t>
      </w:r>
      <w:r>
        <w:rPr>
          <w:rFonts w:asciiTheme="minorBidi" w:hAnsiTheme="minorBidi"/>
          <w:sz w:val="24"/>
          <w:szCs w:val="24"/>
          <w:lang w:val="en-GB"/>
        </w:rPr>
        <w:t>are</w:t>
      </w:r>
      <w:r w:rsidRPr="001056C0">
        <w:rPr>
          <w:rFonts w:asciiTheme="minorBidi" w:hAnsiTheme="minorBidi"/>
          <w:sz w:val="24"/>
          <w:szCs w:val="24"/>
          <w:lang w:val="en-GB"/>
        </w:rPr>
        <w:t xml:space="preserve"> fasting </w:t>
      </w:r>
      <w:r>
        <w:rPr>
          <w:rFonts w:asciiTheme="minorBidi" w:hAnsiTheme="minorBidi"/>
          <w:sz w:val="24"/>
          <w:szCs w:val="24"/>
          <w:lang w:val="en-GB"/>
        </w:rPr>
        <w:t>during</w:t>
      </w:r>
      <w:r w:rsidRPr="001056C0">
        <w:rPr>
          <w:rFonts w:asciiTheme="minorBidi" w:hAnsiTheme="minorBidi"/>
          <w:sz w:val="24"/>
          <w:szCs w:val="24"/>
          <w:lang w:val="en-GB"/>
        </w:rPr>
        <w:t xml:space="preserve"> Ramadan</w:t>
      </w:r>
      <w:r>
        <w:rPr>
          <w:rFonts w:asciiTheme="minorBidi" w:hAnsiTheme="minorBidi"/>
          <w:sz w:val="24"/>
          <w:szCs w:val="24"/>
          <w:lang w:val="en-GB"/>
        </w:rPr>
        <w:t>. T</w:t>
      </w:r>
      <w:r w:rsidRPr="001056C0">
        <w:rPr>
          <w:rFonts w:asciiTheme="minorBidi" w:hAnsiTheme="minorBidi"/>
          <w:sz w:val="24"/>
          <w:szCs w:val="24"/>
          <w:lang w:val="en-GB"/>
        </w:rPr>
        <w:t xml:space="preserve">herefore, </w:t>
      </w:r>
      <w:r w:rsidRPr="001056C0">
        <w:rPr>
          <w:rFonts w:ascii="Arial" w:eastAsia="Times New Roman" w:hAnsi="Arial" w:cs="Arial"/>
          <w:sz w:val="24"/>
          <w:szCs w:val="24"/>
          <w:lang w:val="en-GB"/>
        </w:rPr>
        <w:t>this short period may not detect significan</w:t>
      </w:r>
      <w:r>
        <w:rPr>
          <w:rFonts w:ascii="Arial" w:eastAsia="Times New Roman" w:hAnsi="Arial" w:cs="Arial"/>
          <w:sz w:val="24"/>
          <w:szCs w:val="24"/>
          <w:lang w:val="en-GB"/>
        </w:rPr>
        <w:t>t changes</w:t>
      </w:r>
      <w:r w:rsidRPr="001056C0">
        <w:rPr>
          <w:rFonts w:ascii="Arial" w:eastAsia="Times New Roman" w:hAnsi="Arial" w:cs="Arial"/>
          <w:sz w:val="24"/>
          <w:szCs w:val="24"/>
          <w:lang w:val="en-GB"/>
        </w:rPr>
        <w:t xml:space="preserve"> in BP. </w:t>
      </w:r>
      <w:r w:rsidRPr="001056C0">
        <w:rPr>
          <w:rFonts w:asciiTheme="minorBidi" w:hAnsiTheme="minorBidi"/>
          <w:color w:val="000000" w:themeColor="text1"/>
          <w:sz w:val="24"/>
          <w:szCs w:val="24"/>
          <w:shd w:val="clear" w:color="auto" w:fill="FFFFFF"/>
          <w:lang w:val="en-GB"/>
        </w:rPr>
        <w:t xml:space="preserve"> </w:t>
      </w:r>
    </w:p>
    <w:p w14:paraId="24F15062" w14:textId="77777777" w:rsidR="00DE1516" w:rsidRDefault="00DE1516" w:rsidP="00DE1516">
      <w:pPr>
        <w:spacing w:before="100" w:beforeAutospacing="1" w:after="100" w:afterAutospacing="1" w:line="360" w:lineRule="auto"/>
        <w:jc w:val="both"/>
        <w:textAlignment w:val="baseline"/>
        <w:rPr>
          <w:rFonts w:asciiTheme="minorBidi" w:eastAsia="Times New Roman" w:hAnsiTheme="minorBidi"/>
          <w:sz w:val="24"/>
          <w:szCs w:val="24"/>
          <w:lang w:val="en-GB"/>
        </w:rPr>
      </w:pPr>
      <w:r>
        <w:rPr>
          <w:rFonts w:asciiTheme="minorBidi" w:hAnsiTheme="minorBidi"/>
          <w:color w:val="000000" w:themeColor="text1"/>
          <w:sz w:val="24"/>
          <w:szCs w:val="24"/>
          <w:shd w:val="clear" w:color="auto" w:fill="FFFFFF"/>
          <w:lang w:val="en-GB"/>
        </w:rPr>
        <w:t xml:space="preserve">One of the important findings </w:t>
      </w:r>
      <w:r>
        <w:rPr>
          <w:rFonts w:asciiTheme="minorBidi" w:eastAsia="Times New Roman" w:hAnsiTheme="minorBidi"/>
          <w:sz w:val="24"/>
          <w:szCs w:val="24"/>
          <w:lang w:val="en-GB"/>
        </w:rPr>
        <w:t xml:space="preserve">in this review is that pharmacist’ intervention </w:t>
      </w:r>
      <w:r w:rsidRPr="001056C0">
        <w:rPr>
          <w:rFonts w:asciiTheme="minorBidi" w:hAnsiTheme="minorBidi"/>
          <w:sz w:val="24"/>
          <w:szCs w:val="24"/>
          <w:lang w:val="en-GB"/>
        </w:rPr>
        <w:t xml:space="preserve">had a positive impact </w:t>
      </w:r>
      <w:r>
        <w:rPr>
          <w:rFonts w:asciiTheme="minorBidi" w:hAnsiTheme="minorBidi"/>
          <w:sz w:val="24"/>
          <w:szCs w:val="24"/>
          <w:lang w:val="en-GB"/>
        </w:rPr>
        <w:t>o</w:t>
      </w:r>
      <w:r w:rsidRPr="001056C0">
        <w:rPr>
          <w:rFonts w:asciiTheme="minorBidi" w:hAnsiTheme="minorBidi"/>
          <w:sz w:val="24"/>
          <w:szCs w:val="24"/>
          <w:lang w:val="en-GB"/>
        </w:rPr>
        <w:t>n patient safety with</w:t>
      </w:r>
      <w:r>
        <w:rPr>
          <w:rFonts w:asciiTheme="minorBidi" w:hAnsiTheme="minorBidi"/>
          <w:sz w:val="24"/>
          <w:szCs w:val="24"/>
          <w:lang w:val="en-GB"/>
        </w:rPr>
        <w:t xml:space="preserve"> a</w:t>
      </w:r>
      <w:r w:rsidRPr="001056C0">
        <w:rPr>
          <w:rFonts w:asciiTheme="minorBidi" w:hAnsiTheme="minorBidi"/>
          <w:sz w:val="24"/>
          <w:szCs w:val="24"/>
          <w:lang w:val="en-GB"/>
        </w:rPr>
        <w:t xml:space="preserve"> reduction of hypoglycaemic risk</w:t>
      </w:r>
      <w:r>
        <w:rPr>
          <w:rFonts w:asciiTheme="minorBidi" w:eastAsia="Times New Roman" w:hAnsiTheme="minorBidi"/>
          <w:sz w:val="24"/>
          <w:szCs w:val="24"/>
          <w:lang w:val="en-GB"/>
        </w:rPr>
        <w:t xml:space="preserve">, as shown in a study by </w:t>
      </w:r>
      <w:r w:rsidRPr="00E472F6">
        <w:rPr>
          <w:rFonts w:asciiTheme="minorBidi" w:eastAsia="Times New Roman" w:hAnsiTheme="minorBidi"/>
          <w:sz w:val="24"/>
          <w:szCs w:val="24"/>
          <w:lang w:val="en-GB"/>
        </w:rPr>
        <w:t xml:space="preserve">Tourkmani et al. </w:t>
      </w:r>
      <w:r>
        <w:rPr>
          <w:rFonts w:asciiTheme="minorBidi" w:eastAsia="Times New Roman" w:hAnsiTheme="minorBidi"/>
          <w:sz w:val="24"/>
          <w:szCs w:val="24"/>
          <w:lang w:val="en-GB"/>
        </w:rPr>
        <w:t>(</w:t>
      </w:r>
      <w:r w:rsidRPr="00E472F6">
        <w:rPr>
          <w:rFonts w:asciiTheme="minorBidi" w:eastAsia="Times New Roman" w:hAnsiTheme="minorBidi"/>
          <w:sz w:val="24"/>
          <w:szCs w:val="24"/>
          <w:lang w:val="en-GB"/>
        </w:rPr>
        <w:t>2016),</w:t>
      </w:r>
      <w:r>
        <w:rPr>
          <w:rFonts w:asciiTheme="minorBidi" w:eastAsia="Times New Roman" w:hAnsiTheme="minorBidi"/>
          <w:sz w:val="24"/>
          <w:szCs w:val="24"/>
          <w:lang w:val="en-GB"/>
        </w:rPr>
        <w:t xml:space="preserve"> </w:t>
      </w:r>
      <w:r w:rsidRPr="00E472F6">
        <w:rPr>
          <w:rFonts w:asciiTheme="minorBidi" w:eastAsia="Times New Roman" w:hAnsiTheme="minorBidi"/>
          <w:sz w:val="24"/>
          <w:szCs w:val="24"/>
          <w:lang w:val="en-GB"/>
        </w:rPr>
        <w:t xml:space="preserve">Tourkmani et al. </w:t>
      </w:r>
      <w:r>
        <w:rPr>
          <w:rFonts w:asciiTheme="minorBidi" w:eastAsia="Times New Roman" w:hAnsiTheme="minorBidi"/>
          <w:sz w:val="24"/>
          <w:szCs w:val="24"/>
          <w:lang w:val="en-GB"/>
        </w:rPr>
        <w:t>(</w:t>
      </w:r>
      <w:r w:rsidRPr="00E472F6">
        <w:rPr>
          <w:rFonts w:asciiTheme="minorBidi" w:eastAsia="Times New Roman" w:hAnsiTheme="minorBidi"/>
          <w:sz w:val="24"/>
          <w:szCs w:val="24"/>
          <w:lang w:val="en-GB"/>
        </w:rPr>
        <w:t xml:space="preserve">2018b) and </w:t>
      </w:r>
      <w:r w:rsidRPr="00E472F6">
        <w:rPr>
          <w:rFonts w:asciiTheme="minorBidi" w:eastAsia="Times New Roman" w:hAnsiTheme="minorBidi"/>
          <w:sz w:val="24"/>
          <w:szCs w:val="24"/>
          <w:lang w:val="en-GB"/>
        </w:rPr>
        <w:fldChar w:fldCharType="begin" w:fldLock="1"/>
      </w:r>
      <w:r>
        <w:rPr>
          <w:rFonts w:asciiTheme="minorBidi" w:eastAsia="Times New Roman" w:hAnsiTheme="minorBidi"/>
          <w:sz w:val="24"/>
          <w:szCs w:val="24"/>
          <w:lang w:val="en-GB"/>
        </w:rPr>
        <w:instrText>ADDIN CSL_CITATION {"citationItems":[{"id":"ITEM-1","itemData":{"DOI":"10.7759/cureus.25923","author":[{"dropping-particle":"","family":"Alqifari","given":"Saleh F","non-dropping-particle":"","parse-names":false,"suffix":""},{"dropping-particle":"","family":"Almharwal","given":"Bader","non-dropping-particle":"","parse-names":false,"suffix":""},{"dropping-particle":"","family":"Aldawish","given":"Rahaf","non-dropping-particle":"","parse-names":false,"suffix":""},{"dropping-particle":"","family":"Almokhlef","given":"Salman A","non-dropping-particle":"","parse-names":false,"suffix":""}],"id":"ITEM-1","issue":"6","issued":{"date-parts":[["2022"]]},"page":"8-13","title":"Impact of Pharmacist-Led Clinics on Health Outcomes of Patients With Diabetes at a Ministry of Health Diabetes &amp; Endocrinology Center , Saudi Arabia : A Retrospective Study","type":"article-journal","volume":"14"},"uris":["http://www.mendeley.com/documents/?uuid=b4794254-e216-4fdf-bd51-7876d2c5e639"]}],"mendeley":{"formattedCitation":"(Alqifari &lt;i&gt;et al.&lt;/i&gt;, 2022)","manualFormatting":"Alqifari et al. (2022)","plainTextFormattedCitation":"(Alqifari et al., 2022)","previouslyFormattedCitation":"(Alqifari &lt;i&gt;et al.&lt;/i&gt;, 2022)"},"properties":{"noteIndex":0},"schema":"https://github.com/citation-style-language/schema/raw/master/csl-citation.json"}</w:instrText>
      </w:r>
      <w:r w:rsidRPr="00E472F6">
        <w:rPr>
          <w:rFonts w:asciiTheme="minorBidi" w:eastAsia="Times New Roman" w:hAnsiTheme="minorBidi"/>
          <w:sz w:val="24"/>
          <w:szCs w:val="24"/>
          <w:lang w:val="en-GB"/>
        </w:rPr>
        <w:fldChar w:fldCharType="separate"/>
      </w:r>
      <w:r w:rsidRPr="00E472F6">
        <w:rPr>
          <w:rFonts w:asciiTheme="minorBidi" w:eastAsia="Times New Roman" w:hAnsiTheme="minorBidi"/>
          <w:noProof/>
          <w:sz w:val="24"/>
          <w:szCs w:val="24"/>
          <w:lang w:val="en-GB"/>
        </w:rPr>
        <w:t xml:space="preserve">Alqifari et al. </w:t>
      </w:r>
      <w:r>
        <w:rPr>
          <w:rFonts w:asciiTheme="minorBidi" w:eastAsia="Times New Roman" w:hAnsiTheme="minorBidi"/>
          <w:noProof/>
          <w:sz w:val="24"/>
          <w:szCs w:val="24"/>
          <w:lang w:val="en-GB"/>
        </w:rPr>
        <w:t>(</w:t>
      </w:r>
      <w:r w:rsidRPr="00E472F6">
        <w:rPr>
          <w:rFonts w:asciiTheme="minorBidi" w:eastAsia="Times New Roman" w:hAnsiTheme="minorBidi"/>
          <w:noProof/>
          <w:sz w:val="24"/>
          <w:szCs w:val="24"/>
          <w:lang w:val="en-GB"/>
        </w:rPr>
        <w:t>2022)</w:t>
      </w:r>
      <w:r w:rsidRPr="00E472F6">
        <w:rPr>
          <w:rFonts w:asciiTheme="minorBidi" w:eastAsia="Times New Roman" w:hAnsiTheme="minorBidi"/>
          <w:sz w:val="24"/>
          <w:szCs w:val="24"/>
          <w:lang w:val="en-GB"/>
        </w:rPr>
        <w:fldChar w:fldCharType="end"/>
      </w:r>
      <w:r>
        <w:rPr>
          <w:sz w:val="20"/>
          <w:szCs w:val="20"/>
          <w:lang w:val="en-GB"/>
        </w:rPr>
        <w:t xml:space="preserve">. </w:t>
      </w:r>
      <w:r w:rsidRPr="001056C0">
        <w:rPr>
          <w:rFonts w:asciiTheme="minorBidi" w:eastAsia="Times New Roman" w:hAnsiTheme="minorBidi"/>
          <w:sz w:val="24"/>
          <w:szCs w:val="24"/>
          <w:lang w:val="en-GB"/>
        </w:rPr>
        <w:t>Another important finding</w:t>
      </w:r>
      <w:r w:rsidRPr="001056C0">
        <w:rPr>
          <w:rFonts w:asciiTheme="minorBidi" w:hAnsiTheme="minorBidi"/>
          <w:color w:val="000000" w:themeColor="text1"/>
          <w:sz w:val="24"/>
          <w:szCs w:val="24"/>
          <w:lang w:val="en-GB"/>
        </w:rPr>
        <w:t xml:space="preserve"> observed </w:t>
      </w:r>
      <w:r>
        <w:rPr>
          <w:rFonts w:asciiTheme="minorBidi" w:hAnsiTheme="minorBidi"/>
          <w:color w:val="000000" w:themeColor="text1"/>
          <w:sz w:val="24"/>
          <w:szCs w:val="24"/>
          <w:lang w:val="en-GB"/>
        </w:rPr>
        <w:t>is</w:t>
      </w:r>
      <w:r w:rsidRPr="001056C0">
        <w:rPr>
          <w:rFonts w:asciiTheme="minorBidi" w:hAnsiTheme="minorBidi"/>
          <w:color w:val="000000" w:themeColor="text1"/>
          <w:sz w:val="24"/>
          <w:szCs w:val="24"/>
          <w:lang w:val="en-GB"/>
        </w:rPr>
        <w:t xml:space="preserve"> that pharmacists</w:t>
      </w:r>
      <w:r>
        <w:rPr>
          <w:rFonts w:asciiTheme="minorBidi" w:hAnsiTheme="minorBidi"/>
          <w:color w:val="000000" w:themeColor="text1"/>
          <w:sz w:val="24"/>
          <w:szCs w:val="24"/>
          <w:lang w:val="en-GB"/>
        </w:rPr>
        <w:t>’</w:t>
      </w:r>
      <w:r w:rsidRPr="001056C0">
        <w:rPr>
          <w:rFonts w:asciiTheme="minorBidi" w:hAnsiTheme="minorBidi"/>
          <w:color w:val="000000" w:themeColor="text1"/>
          <w:sz w:val="24"/>
          <w:szCs w:val="24"/>
          <w:lang w:val="en-GB"/>
        </w:rPr>
        <w:t xml:space="preserve"> involvement </w:t>
      </w:r>
      <w:r>
        <w:rPr>
          <w:rFonts w:asciiTheme="minorBidi" w:hAnsiTheme="minorBidi"/>
          <w:color w:val="000000" w:themeColor="text1"/>
          <w:sz w:val="24"/>
          <w:szCs w:val="24"/>
          <w:lang w:val="en-GB"/>
        </w:rPr>
        <w:t>in</w:t>
      </w:r>
      <w:r w:rsidRPr="001056C0">
        <w:rPr>
          <w:rFonts w:asciiTheme="minorBidi" w:hAnsiTheme="minorBidi"/>
          <w:color w:val="000000" w:themeColor="text1"/>
          <w:sz w:val="24"/>
          <w:szCs w:val="24"/>
          <w:lang w:val="en-GB"/>
        </w:rPr>
        <w:t xml:space="preserve"> diabetes management </w:t>
      </w:r>
      <w:r>
        <w:rPr>
          <w:rFonts w:asciiTheme="minorBidi" w:hAnsiTheme="minorBidi"/>
          <w:color w:val="000000" w:themeColor="text1"/>
          <w:sz w:val="24"/>
          <w:szCs w:val="24"/>
          <w:lang w:val="en-GB"/>
        </w:rPr>
        <w:t>led</w:t>
      </w:r>
      <w:r w:rsidRPr="001056C0">
        <w:rPr>
          <w:rFonts w:asciiTheme="minorBidi" w:hAnsiTheme="minorBidi"/>
          <w:color w:val="000000" w:themeColor="text1"/>
          <w:sz w:val="24"/>
          <w:szCs w:val="24"/>
          <w:lang w:val="en-GB"/>
        </w:rPr>
        <w:t xml:space="preserve"> to</w:t>
      </w:r>
      <w:r>
        <w:rPr>
          <w:rFonts w:asciiTheme="minorBidi" w:hAnsiTheme="minorBidi"/>
          <w:color w:val="000000" w:themeColor="text1"/>
          <w:sz w:val="24"/>
          <w:szCs w:val="24"/>
          <w:lang w:val="en-GB"/>
        </w:rPr>
        <w:t xml:space="preserve"> an</w:t>
      </w:r>
      <w:r w:rsidRPr="001056C0">
        <w:rPr>
          <w:rFonts w:asciiTheme="minorBidi" w:hAnsiTheme="minorBidi"/>
          <w:color w:val="000000" w:themeColor="text1"/>
          <w:sz w:val="24"/>
          <w:szCs w:val="24"/>
          <w:lang w:val="en-GB"/>
        </w:rPr>
        <w:t xml:space="preserve"> </w:t>
      </w:r>
      <w:r>
        <w:rPr>
          <w:rFonts w:asciiTheme="minorBidi" w:hAnsiTheme="minorBidi"/>
          <w:color w:val="000000" w:themeColor="text1"/>
          <w:sz w:val="24"/>
          <w:szCs w:val="24"/>
          <w:shd w:val="clear" w:color="auto" w:fill="FFFFFF"/>
          <w:lang w:val="en-GB"/>
        </w:rPr>
        <w:t>improvement in</w:t>
      </w:r>
      <w:r w:rsidRPr="001056C0">
        <w:rPr>
          <w:rFonts w:asciiTheme="minorBidi" w:hAnsiTheme="minorBidi"/>
          <w:color w:val="000000" w:themeColor="text1"/>
          <w:sz w:val="24"/>
          <w:szCs w:val="24"/>
          <w:shd w:val="clear" w:color="auto" w:fill="FFFFFF"/>
          <w:lang w:val="en-GB"/>
        </w:rPr>
        <w:t xml:space="preserve"> the prescription of medications and </w:t>
      </w:r>
      <w:r>
        <w:rPr>
          <w:rFonts w:asciiTheme="minorBidi" w:hAnsiTheme="minorBidi"/>
          <w:color w:val="000000" w:themeColor="text1"/>
          <w:sz w:val="24"/>
          <w:szCs w:val="24"/>
          <w:shd w:val="clear" w:color="auto" w:fill="FFFFFF"/>
          <w:lang w:val="en-GB"/>
        </w:rPr>
        <w:t>enhanced</w:t>
      </w:r>
      <w:r w:rsidRPr="001056C0">
        <w:rPr>
          <w:rFonts w:asciiTheme="minorBidi" w:eastAsia="Times New Roman" w:hAnsiTheme="minorBidi"/>
          <w:sz w:val="24"/>
          <w:szCs w:val="24"/>
          <w:lang w:val="en-GB"/>
        </w:rPr>
        <w:t xml:space="preserve"> adherence </w:t>
      </w:r>
      <w:r>
        <w:rPr>
          <w:rFonts w:asciiTheme="minorBidi" w:eastAsia="Times New Roman" w:hAnsiTheme="minorBidi"/>
          <w:sz w:val="24"/>
          <w:szCs w:val="24"/>
          <w:lang w:val="en-GB"/>
        </w:rPr>
        <w:t>to</w:t>
      </w:r>
      <w:r w:rsidRPr="001056C0">
        <w:rPr>
          <w:rFonts w:asciiTheme="minorBidi" w:eastAsia="Times New Roman" w:hAnsiTheme="minorBidi"/>
          <w:sz w:val="24"/>
          <w:szCs w:val="24"/>
          <w:lang w:val="en-GB"/>
        </w:rPr>
        <w:t xml:space="preserve"> guidelines </w:t>
      </w:r>
      <w:r>
        <w:rPr>
          <w:rFonts w:asciiTheme="minorBidi" w:eastAsia="Times New Roman" w:hAnsiTheme="minorBidi"/>
          <w:sz w:val="24"/>
          <w:szCs w:val="24"/>
          <w:lang w:val="en-GB"/>
        </w:rPr>
        <w:t>(</w:t>
      </w:r>
      <w:r w:rsidRPr="001056C0">
        <w:rPr>
          <w:rFonts w:asciiTheme="minorBidi" w:eastAsia="Times New Roman" w:hAnsiTheme="minorBidi"/>
          <w:sz w:val="24"/>
          <w:szCs w:val="24"/>
          <w:lang w:val="en-GB"/>
        </w:rPr>
        <w:fldChar w:fldCharType="begin" w:fldLock="1"/>
      </w:r>
      <w:r>
        <w:rPr>
          <w:rFonts w:asciiTheme="minorBidi" w:eastAsia="Times New Roman" w:hAnsiTheme="minorBidi"/>
          <w:sz w:val="24"/>
          <w:szCs w:val="24"/>
          <w:lang w:val="en-GB"/>
        </w:rPr>
        <w:instrText>ADDIN CSL_CITATION {"citationItems":[{"id":"ITEM-1","itemData":{"DOI":"10.1016/j.jsps.2020.11.002","ISSN":"13190164","author":[{"dropping-particle":"","family":"Alsuwayni","given":"Bashayr","non-dropping-particle":"","parse-names":false,"suffix":""},{"dropping-particle":"","family":"Alhossan","given":"Abdulaziz","non-dropping-particle":"","parse-names":false,"suffix":""}],"container-title":"Saudi Pharmaceutical Journal","id":"ITEM-1","issue":"12","issued":{"date-parts":[["2020"]]},"page":"1756-1759","publisher":"King Saud University","title":"Impact of clinical pharmacist-led diabetes management clinic on health outcomes at an academic hospital in Riyadh, Saudi Arabia: A prospective cohort study","type":"article-journal","volume":"28"},"uris":["http://www.mendeley.com/documents/?uuid=8c96643a-8124-455f-8442-cb7dc2cbdf33"]}],"mendeley":{"formattedCitation":"(Alsuwayni and Alhossan, 2020)","manualFormatting":"Alsuwayni and Alhossan, 2020)","plainTextFormattedCitation":"(Alsuwayni and Alhossan, 2020)","previouslyFormattedCitation":"(Alsuwayni and Alhossan, 2020)"},"properties":{"noteIndex":0},"schema":"https://github.com/citation-style-language/schema/raw/master/csl-citation.json"}</w:instrText>
      </w:r>
      <w:r w:rsidRPr="001056C0">
        <w:rPr>
          <w:rFonts w:asciiTheme="minorBidi" w:eastAsia="Times New Roman" w:hAnsiTheme="minorBidi"/>
          <w:sz w:val="24"/>
          <w:szCs w:val="24"/>
          <w:lang w:val="en-GB"/>
        </w:rPr>
        <w:fldChar w:fldCharType="separate"/>
      </w:r>
      <w:r w:rsidRPr="001056C0">
        <w:rPr>
          <w:rFonts w:asciiTheme="minorBidi" w:eastAsia="Times New Roman" w:hAnsiTheme="minorBidi"/>
          <w:noProof/>
          <w:sz w:val="24"/>
          <w:szCs w:val="24"/>
          <w:lang w:val="en-GB"/>
        </w:rPr>
        <w:t>Alsuwayni and Alhossan</w:t>
      </w:r>
      <w:r>
        <w:rPr>
          <w:rFonts w:asciiTheme="minorBidi" w:eastAsia="Times New Roman" w:hAnsiTheme="minorBidi"/>
          <w:noProof/>
          <w:sz w:val="24"/>
          <w:szCs w:val="24"/>
          <w:lang w:val="en-GB"/>
        </w:rPr>
        <w:t>,</w:t>
      </w:r>
      <w:r w:rsidRPr="001056C0">
        <w:rPr>
          <w:rFonts w:asciiTheme="minorBidi" w:eastAsia="Times New Roman" w:hAnsiTheme="minorBidi"/>
          <w:noProof/>
          <w:sz w:val="24"/>
          <w:szCs w:val="24"/>
          <w:lang w:val="en-GB"/>
        </w:rPr>
        <w:t xml:space="preserve"> 2020)</w:t>
      </w:r>
      <w:r w:rsidRPr="001056C0">
        <w:rPr>
          <w:rFonts w:asciiTheme="minorBidi" w:eastAsia="Times New Roman" w:hAnsiTheme="minorBidi"/>
          <w:sz w:val="24"/>
          <w:szCs w:val="24"/>
          <w:lang w:val="en-GB"/>
        </w:rPr>
        <w:fldChar w:fldCharType="end"/>
      </w:r>
      <w:r>
        <w:rPr>
          <w:rFonts w:asciiTheme="minorBidi" w:eastAsia="Times New Roman" w:hAnsiTheme="minorBidi"/>
          <w:sz w:val="24"/>
          <w:szCs w:val="24"/>
          <w:lang w:val="en-GB"/>
        </w:rPr>
        <w:t xml:space="preserve"> </w:t>
      </w:r>
      <w:r w:rsidRPr="001056C0">
        <w:rPr>
          <w:rFonts w:asciiTheme="minorBidi" w:eastAsia="Times New Roman" w:hAnsiTheme="minorBidi"/>
          <w:sz w:val="24"/>
          <w:szCs w:val="24"/>
          <w:lang w:val="en-GB"/>
        </w:rPr>
        <w:t xml:space="preserve">. Furthermore, </w:t>
      </w:r>
      <w:r>
        <w:rPr>
          <w:rFonts w:asciiTheme="minorBidi" w:eastAsia="Times New Roman" w:hAnsiTheme="minorBidi"/>
          <w:sz w:val="24"/>
          <w:szCs w:val="24"/>
          <w:lang w:val="en-GB"/>
        </w:rPr>
        <w:t>m</w:t>
      </w:r>
      <w:r w:rsidRPr="001056C0">
        <w:rPr>
          <w:rFonts w:asciiTheme="minorBidi" w:eastAsia="Times New Roman" w:hAnsiTheme="minorBidi"/>
          <w:sz w:val="24"/>
          <w:szCs w:val="24"/>
          <w:lang w:val="en-GB"/>
        </w:rPr>
        <w:t xml:space="preserve">edication adherence and diabetes awareness improved when community pharmacists </w:t>
      </w:r>
      <w:r>
        <w:rPr>
          <w:rFonts w:asciiTheme="minorBidi" w:eastAsia="Times New Roman" w:hAnsiTheme="minorBidi"/>
          <w:sz w:val="24"/>
          <w:szCs w:val="24"/>
          <w:lang w:val="en-GB"/>
        </w:rPr>
        <w:t>wer</w:t>
      </w:r>
      <w:r w:rsidRPr="001056C0">
        <w:rPr>
          <w:rFonts w:asciiTheme="minorBidi" w:eastAsia="Times New Roman" w:hAnsiTheme="minorBidi"/>
          <w:sz w:val="24"/>
          <w:szCs w:val="24"/>
          <w:lang w:val="en-GB"/>
        </w:rPr>
        <w:t xml:space="preserve">e involved in managing diabetes patients </w:t>
      </w:r>
      <w:r>
        <w:rPr>
          <w:rFonts w:asciiTheme="minorBidi" w:eastAsia="Times New Roman" w:hAnsiTheme="minorBidi"/>
          <w:sz w:val="24"/>
          <w:szCs w:val="24"/>
          <w:lang w:val="en-GB"/>
        </w:rPr>
        <w:t>(</w:t>
      </w:r>
      <w:r w:rsidRPr="001056C0">
        <w:rPr>
          <w:rFonts w:asciiTheme="minorBidi" w:eastAsia="Times New Roman" w:hAnsiTheme="minorBidi"/>
          <w:sz w:val="24"/>
          <w:szCs w:val="24"/>
          <w:lang w:val="en-GB"/>
        </w:rPr>
        <w:fldChar w:fldCharType="begin" w:fldLock="1"/>
      </w:r>
      <w:r>
        <w:rPr>
          <w:rFonts w:asciiTheme="minorBidi" w:eastAsia="Times New Roman" w:hAnsiTheme="minorBidi"/>
          <w:sz w:val="24"/>
          <w:szCs w:val="24"/>
          <w:lang w:val="en-GB"/>
        </w:rPr>
        <w:instrText>ADDIN CSL_CITATION {"citationItems":[{"id":"ITEM-1","itemData":{"DOI":"10.1111/ijpp.12572","ISSN":"0961-7671","abstract":"Objective: The aim of this program was to demonstrate that retail community pharmacists could successfully recruit, engage and counsel people with diabetes by serving as a trusted source of diabetes information. We evaluated the outcomes of this clinical program in preparation for a wider roll out. Methods: Joslin Diabetes Center collaborated with Nahdi Medical Company, a large retail pharmacy chain in Saudi Arabia, to offer a ‘Let’s Talk About Diabetes’ (LTAD) program. LTAD consists of four 1: 1 counselling sessions, approximately 20 min each, scheduled over a 2–4 month period with a focus on medications, lab results, glucose monitoring and doctor visits. Twenty-five pharmacists completed diabetes education certification and intensive on-site training to deliver the LTAD program. Results: The 25 program pharmacists in 11 locations enrolled 2639 individual customers into the program. Of these, 1582 participated in at least one session and 1137 (71.9%) participated in at least one LTAD session and completed follow-up surveys. There were 380 customers with paired HbA1C results which demonstrated a reduction from 8.50% (69 mmol/mol) to 7.32% (56 mmol/mol) (P &lt; 0.001). There were improvements in diabetes awareness, attitudes towards diabetes and medication adherence. Conclusion: The evaluation of this community program suggests that a pharmacy-led diabetes education program is feasible in Saudi Arabia.","author":[{"dropping-particle":"","family":"Khan","given":"Yasmin","non-dropping-particle":"","parse-names":false,"suffix":""},{"dropping-particle":"","family":"Imershein","given":"Sarah","non-dropping-particle":"","parse-names":false,"suffix":""},{"dropping-particle":"","family":"Maryniuk","given":"Melinda","non-dropping-particle":"","parse-names":false,"suffix":""},{"dropping-particle":"","family":"Armian","given":"Haleh","non-dropping-particle":"","parse-names":false,"suffix":""},{"dropping-particle":"","family":"Turkistani","given":"Sarah Anwar","non-dropping-particle":"","parse-names":false,"suffix":""},{"dropping-particle":"","family":"Bayoumi","given":"Aly H.","non-dropping-particle":"","parse-names":false,"suffix":""},{"dropping-particle":"","family":"Al</w:instrText>
      </w:r>
      <w:r>
        <w:rPr>
          <w:rFonts w:ascii="Cambria Math" w:eastAsia="Times New Roman" w:hAnsi="Cambria Math" w:cs="Cambria Math"/>
          <w:sz w:val="24"/>
          <w:szCs w:val="24"/>
          <w:lang w:val="en-GB"/>
        </w:rPr>
        <w:instrText>‐</w:instrText>
      </w:r>
      <w:r>
        <w:rPr>
          <w:rFonts w:asciiTheme="minorBidi" w:eastAsia="Times New Roman" w:hAnsiTheme="minorBidi"/>
          <w:sz w:val="24"/>
          <w:szCs w:val="24"/>
          <w:lang w:val="en-GB"/>
        </w:rPr>
        <w:instrText>Harbi","given":"Mohammed Yahia","non-dropping-particle":"","parse-names":false,"suffix":""},{"dropping-particle":"","family":"Hsu","given":"William C.","non-dropping-particle":"","parse-names":false,"suffix":""},{"dropping-particle":"","family":"Al-Harbi","given":"M Y","non-dropping-particle":"","parse-names":false,"suffix":""},{"dropping-particle":"","family":"Hsu","given":"William C.","non-dropping-particle":"","parse-names":false,"suffix":""}],"container-title":"International Journal of Pharmacy Practice","id":"ITEM-1","issue":"1","issued":{"date-parts":[["2020","2","9"]]},"page":"49-55","publisher":"Wiley-Blackwell Publishing Ltd","title":"A program utilizing community pharmacists to improve diabetes education in the Kingdom of Saudi Arabia","type":"article-journal","volume":"28"},"uris":["http://www.mendeley.com/documents/?uuid=5f6e2ba6-c61f-4f46-849d-d13a9aeed886"]}],"mendeley":{"formattedCitation":"(Khan &lt;i&gt;et al.&lt;/i&gt;, 2020)","manualFormatting":"Khan et al., 2020)","plainTextFormattedCitation":"(Khan et al., 2020)","previouslyFormattedCitation":"(Khan &lt;i&gt;et al.&lt;/i&gt;, 2020)"},"properties":{"noteIndex":0},"schema":"https://github.com/citation-style-language/schema/raw/master/csl-citation.json"}</w:instrText>
      </w:r>
      <w:r w:rsidRPr="001056C0">
        <w:rPr>
          <w:rFonts w:asciiTheme="minorBidi" w:eastAsia="Times New Roman" w:hAnsiTheme="minorBidi"/>
          <w:sz w:val="24"/>
          <w:szCs w:val="24"/>
          <w:lang w:val="en-GB"/>
        </w:rPr>
        <w:fldChar w:fldCharType="separate"/>
      </w:r>
      <w:r w:rsidRPr="001056C0">
        <w:rPr>
          <w:rFonts w:asciiTheme="minorBidi" w:eastAsia="Times New Roman" w:hAnsiTheme="minorBidi"/>
          <w:noProof/>
          <w:sz w:val="24"/>
          <w:szCs w:val="24"/>
          <w:lang w:val="en-GB"/>
        </w:rPr>
        <w:t>Khan et al., 2020)</w:t>
      </w:r>
      <w:r w:rsidRPr="001056C0">
        <w:rPr>
          <w:rFonts w:asciiTheme="minorBidi" w:eastAsia="Times New Roman" w:hAnsiTheme="minorBidi"/>
          <w:sz w:val="24"/>
          <w:szCs w:val="24"/>
          <w:lang w:val="en-GB"/>
        </w:rPr>
        <w:fldChar w:fldCharType="end"/>
      </w:r>
      <w:r>
        <w:rPr>
          <w:rFonts w:asciiTheme="minorBidi" w:eastAsia="Times New Roman" w:hAnsiTheme="minorBidi"/>
          <w:sz w:val="24"/>
          <w:szCs w:val="24"/>
          <w:lang w:val="en-GB"/>
        </w:rPr>
        <w:t xml:space="preserve">. </w:t>
      </w:r>
    </w:p>
    <w:p w14:paraId="58A58908" w14:textId="77777777" w:rsidR="00DE1516" w:rsidRDefault="00DE1516" w:rsidP="00DE1516">
      <w:pPr>
        <w:spacing w:before="100" w:beforeAutospacing="1" w:after="100" w:afterAutospacing="1" w:line="360" w:lineRule="auto"/>
        <w:jc w:val="both"/>
        <w:textAlignment w:val="baseline"/>
        <w:rPr>
          <w:rFonts w:asciiTheme="minorBidi" w:eastAsia="Times New Roman" w:hAnsiTheme="minorBidi"/>
          <w:sz w:val="24"/>
          <w:szCs w:val="24"/>
          <w:lang w:val="en-GB"/>
        </w:rPr>
      </w:pPr>
      <w:r w:rsidRPr="005D7B68">
        <w:rPr>
          <w:rFonts w:asciiTheme="minorBidi" w:eastAsia="Times New Roman" w:hAnsiTheme="minorBidi"/>
          <w:sz w:val="24"/>
          <w:szCs w:val="24"/>
          <w:lang w:val="en-GB"/>
        </w:rPr>
        <w:t xml:space="preserve">Lastly and regarding the impact of pharmacists' intervention on body weight and BMI for patients having diabetes, it was found that pharmacists' intervention has had a limited effect on this parameter, as shown in studies by (Alsuwayni and Alhossan, 2020) (Al-Arifi and Al-Omar, 2018) and (Tourkmani et al., 2016). No significant changes were observed in body weight compared to the baseline in (Al-Arifi and Al-Omar, 2018) study, no statistically significant effects were observed in BMI in the intervention or control groups in (Tourkmani et al., 2016) study, and despite BMI decreased in (Alsuwayni and Alhossan, 2020) study but was not statistically significant compared to baseline. </w:t>
      </w:r>
    </w:p>
    <w:p w14:paraId="6186D20B" w14:textId="77777777" w:rsidR="00DE1516" w:rsidRDefault="00DE1516" w:rsidP="00DE1516">
      <w:pPr>
        <w:spacing w:before="100" w:beforeAutospacing="1" w:after="100" w:afterAutospacing="1" w:line="360" w:lineRule="auto"/>
        <w:jc w:val="both"/>
        <w:textAlignment w:val="baseline"/>
        <w:rPr>
          <w:rFonts w:asciiTheme="minorBidi" w:eastAsia="Times New Roman" w:hAnsiTheme="minorBidi"/>
          <w:sz w:val="24"/>
          <w:szCs w:val="24"/>
          <w:lang w:val="en-GB"/>
        </w:rPr>
      </w:pPr>
      <w:r>
        <w:rPr>
          <w:rFonts w:asciiTheme="minorBidi" w:eastAsia="Times New Roman" w:hAnsiTheme="minorBidi"/>
          <w:sz w:val="24"/>
          <w:szCs w:val="24"/>
          <w:lang w:val="en-GB"/>
        </w:rPr>
        <w:t>Moreover, a</w:t>
      </w:r>
      <w:r w:rsidRPr="005D7B68">
        <w:rPr>
          <w:rFonts w:asciiTheme="minorBidi" w:eastAsia="Times New Roman" w:hAnsiTheme="minorBidi"/>
          <w:sz w:val="24"/>
          <w:szCs w:val="24"/>
          <w:lang w:val="en-GB"/>
        </w:rPr>
        <w:t xml:space="preserve"> negative impact of pharmacists' intervention on body weight was found in (Tourkmani et al., 2018) study, as body weight significantly increased in the pharmacist intervention group. However, a recent study by (Alsubaie et al., 2022) showed contradictory results from the previously mentioned results; the weight and BMI were statistically significantly improved in the pharmacists' intervention group</w:t>
      </w:r>
      <w:r>
        <w:rPr>
          <w:rFonts w:asciiTheme="minorBidi" w:eastAsia="Times New Roman" w:hAnsiTheme="minorBidi"/>
          <w:sz w:val="24"/>
          <w:szCs w:val="24"/>
          <w:lang w:val="en-GB"/>
        </w:rPr>
        <w:t xml:space="preserve"> compared to the baseline. </w:t>
      </w:r>
    </w:p>
    <w:p w14:paraId="0C34DD8B" w14:textId="77777777" w:rsidR="00DE1516" w:rsidRDefault="00DE1516" w:rsidP="00DE1516">
      <w:pPr>
        <w:spacing w:before="100" w:beforeAutospacing="1" w:after="100" w:afterAutospacing="1" w:line="360" w:lineRule="auto"/>
        <w:jc w:val="both"/>
        <w:textAlignment w:val="baseline"/>
        <w:rPr>
          <w:rFonts w:asciiTheme="minorBidi" w:eastAsia="Times New Roman" w:hAnsiTheme="minorBidi"/>
          <w:sz w:val="24"/>
          <w:szCs w:val="24"/>
          <w:lang w:val="en-GB"/>
        </w:rPr>
      </w:pPr>
      <w:r w:rsidRPr="00BF42C2">
        <w:rPr>
          <w:rFonts w:asciiTheme="minorBidi" w:eastAsia="Times New Roman" w:hAnsiTheme="minorBidi"/>
          <w:sz w:val="24"/>
          <w:szCs w:val="24"/>
          <w:lang w:val="en-GB"/>
        </w:rPr>
        <w:t>The evidence presented above suggests that the involvement of pharmacists in diabetes management could benefit patients' outcomes and prevent patients from experiencing serious events such as hypoglycaemia.</w:t>
      </w:r>
    </w:p>
    <w:p w14:paraId="6323E666" w14:textId="797EB593" w:rsidR="00DE1516" w:rsidRPr="00B64113" w:rsidRDefault="00DE1516" w:rsidP="002609F7">
      <w:pPr>
        <w:spacing w:before="100" w:beforeAutospacing="1" w:after="100" w:afterAutospacing="1" w:line="360" w:lineRule="auto"/>
        <w:jc w:val="both"/>
        <w:textAlignment w:val="baseline"/>
        <w:rPr>
          <w:rFonts w:asciiTheme="minorBidi" w:eastAsia="Times New Roman" w:hAnsiTheme="minorBidi"/>
          <w:sz w:val="24"/>
          <w:szCs w:val="24"/>
          <w:lang w:val="en-GB"/>
        </w:rPr>
      </w:pPr>
      <w:r w:rsidRPr="00B64113">
        <w:rPr>
          <w:rFonts w:asciiTheme="minorBidi" w:eastAsia="Times New Roman" w:hAnsiTheme="minorBidi"/>
          <w:sz w:val="24"/>
          <w:szCs w:val="24"/>
          <w:lang w:val="en-GB"/>
        </w:rPr>
        <w:t>The above section illustrates the clinical outcomes of pharmacists' interventions in diabetes management at the national level. The following section</w:t>
      </w:r>
      <w:r w:rsidR="008B1B1B">
        <w:rPr>
          <w:rFonts w:asciiTheme="minorBidi" w:eastAsia="Times New Roman" w:hAnsiTheme="minorBidi"/>
          <w:sz w:val="24"/>
          <w:szCs w:val="24"/>
          <w:lang w:val="en-GB"/>
        </w:rPr>
        <w:t>s</w:t>
      </w:r>
      <w:r w:rsidRPr="00B64113">
        <w:rPr>
          <w:rFonts w:asciiTheme="minorBidi" w:eastAsia="Times New Roman" w:hAnsiTheme="minorBidi"/>
          <w:sz w:val="24"/>
          <w:szCs w:val="24"/>
          <w:lang w:val="en-GB"/>
        </w:rPr>
        <w:t xml:space="preserve"> consider the aspect related to the </w:t>
      </w:r>
      <w:r w:rsidR="00FD18C9" w:rsidRPr="00B64113">
        <w:rPr>
          <w:rFonts w:asciiTheme="minorBidi" w:eastAsia="Times New Roman" w:hAnsiTheme="minorBidi"/>
          <w:sz w:val="24"/>
          <w:szCs w:val="24"/>
          <w:lang w:val="en-GB"/>
        </w:rPr>
        <w:t>impact</w:t>
      </w:r>
      <w:r w:rsidRPr="00B64113">
        <w:rPr>
          <w:rFonts w:asciiTheme="minorBidi" w:eastAsia="Times New Roman" w:hAnsiTheme="minorBidi"/>
          <w:sz w:val="24"/>
          <w:szCs w:val="24"/>
          <w:lang w:val="en-GB"/>
        </w:rPr>
        <w:t xml:space="preserve"> of pharmacists' intervention </w:t>
      </w:r>
      <w:r w:rsidR="00FD18C9" w:rsidRPr="00B64113">
        <w:rPr>
          <w:rFonts w:asciiTheme="minorBidi" w:eastAsia="Times New Roman" w:hAnsiTheme="minorBidi"/>
          <w:sz w:val="24"/>
          <w:szCs w:val="24"/>
          <w:lang w:val="en-GB"/>
        </w:rPr>
        <w:t>on HCP and patients</w:t>
      </w:r>
      <w:r w:rsidR="002609F7" w:rsidRPr="00B64113">
        <w:rPr>
          <w:rFonts w:asciiTheme="minorBidi" w:eastAsia="Times New Roman" w:hAnsiTheme="minorBidi"/>
          <w:sz w:val="24"/>
          <w:szCs w:val="24"/>
          <w:lang w:val="en-GB"/>
        </w:rPr>
        <w:t xml:space="preserve">. </w:t>
      </w:r>
    </w:p>
    <w:p w14:paraId="3ED4C285" w14:textId="2CCBE924" w:rsidR="00435111" w:rsidRPr="00435111" w:rsidRDefault="00435111" w:rsidP="00435111">
      <w:pPr>
        <w:pStyle w:val="Heading5"/>
        <w:spacing w:after="240"/>
        <w:rPr>
          <w:rFonts w:asciiTheme="minorBidi" w:hAnsiTheme="minorBidi" w:cstheme="minorBidi"/>
          <w:sz w:val="24"/>
          <w:szCs w:val="24"/>
          <w:lang w:val="en-GB"/>
        </w:rPr>
      </w:pPr>
      <w:r w:rsidRPr="00435111">
        <w:rPr>
          <w:rFonts w:asciiTheme="minorBidi" w:hAnsiTheme="minorBidi" w:cstheme="minorBidi"/>
          <w:sz w:val="24"/>
          <w:szCs w:val="24"/>
          <w:lang w:val="en-GB"/>
        </w:rPr>
        <w:t xml:space="preserve">Impact on patient adherence </w:t>
      </w:r>
    </w:p>
    <w:p w14:paraId="7A59DC0D" w14:textId="3D96A619" w:rsidR="00941883" w:rsidRPr="00876389" w:rsidRDefault="00971521" w:rsidP="00876389">
      <w:pPr>
        <w:pStyle w:val="CommentText"/>
        <w:spacing w:line="360" w:lineRule="auto"/>
        <w:jc w:val="both"/>
        <w:rPr>
          <w:rFonts w:ascii="Arial" w:hAnsi="Arial" w:cs="Arial"/>
          <w:sz w:val="24"/>
          <w:szCs w:val="24"/>
          <w:lang w:val="en-GB"/>
        </w:rPr>
      </w:pPr>
      <w:r w:rsidRPr="00DB240E">
        <w:rPr>
          <w:rFonts w:ascii="Arial" w:hAnsi="Arial" w:cs="Arial"/>
          <w:sz w:val="24"/>
          <w:szCs w:val="24"/>
          <w:lang w:val="en-GB"/>
        </w:rPr>
        <w:t>Medication adherence has become a major concern for healthcare systems worldwide, including Saudi Arabia</w:t>
      </w:r>
      <w:r w:rsidR="00B64113" w:rsidRPr="00DB240E">
        <w:rPr>
          <w:rFonts w:ascii="Arial" w:hAnsi="Arial" w:cs="Arial"/>
          <w:sz w:val="24"/>
          <w:szCs w:val="24"/>
          <w:lang w:val="en-GB"/>
        </w:rPr>
        <w:t xml:space="preserve">. </w:t>
      </w:r>
      <w:r w:rsidRPr="00DB240E">
        <w:rPr>
          <w:rFonts w:ascii="Arial" w:hAnsi="Arial" w:cs="Arial"/>
          <w:sz w:val="24"/>
          <w:szCs w:val="24"/>
          <w:lang w:val="en-GB"/>
        </w:rPr>
        <w:t>Focusing on S</w:t>
      </w:r>
      <w:r w:rsidR="00B64113" w:rsidRPr="00DB240E">
        <w:rPr>
          <w:rFonts w:ascii="Arial" w:hAnsi="Arial" w:cs="Arial"/>
          <w:sz w:val="24"/>
          <w:szCs w:val="24"/>
          <w:lang w:val="en-GB"/>
        </w:rPr>
        <w:t>A</w:t>
      </w:r>
      <w:r w:rsidRPr="00DB240E">
        <w:rPr>
          <w:rFonts w:ascii="Arial" w:hAnsi="Arial" w:cs="Arial"/>
          <w:sz w:val="24"/>
          <w:szCs w:val="24"/>
          <w:lang w:val="en-GB"/>
        </w:rPr>
        <w:t xml:space="preserve">, across-sectional study was conducted in the Makkah region among patients with chronic diseases to explore their perspectives on medication adherence. It revealed that nearly half of the participants did not follow up regularly with a primary health care centre and that 42% had forgotten to take their medications </w:t>
      </w:r>
      <w:r w:rsidRPr="00DB240E">
        <w:rPr>
          <w:rFonts w:ascii="Arial" w:eastAsia="Times New Roman" w:hAnsi="Arial" w:cs="Arial"/>
          <w:sz w:val="24"/>
          <w:szCs w:val="24"/>
          <w:lang w:val="en-GB"/>
        </w:rPr>
        <w:fldChar w:fldCharType="begin" w:fldLock="1"/>
      </w:r>
      <w:r w:rsidRPr="00DB240E">
        <w:rPr>
          <w:rFonts w:ascii="Arial" w:eastAsia="Times New Roman" w:hAnsi="Arial" w:cs="Arial"/>
          <w:sz w:val="24"/>
          <w:szCs w:val="24"/>
          <w:lang w:val="en-GB"/>
        </w:rPr>
        <w:instrText>ADDIN CSL_CITATION {"citationItems":[{"id":"ITEM-1","itemData":{"DOI":"10.3390/ijerph191610053","ISSN":"16604601","PMID":"36011690","abstract":"Introduction: The management of chronic illnesses commonly includes a long-term pharmacological approach. Although these medications effectively control disease, their full benefits are often not realized because approximately 50% of patients do not take their medications as prescribed. Medication adherence has become a big concern to clinicians and healthcare systems in Saudi Arabia and worldwide because of growing evidence associating nonadherence with adverse outcomes and higher costs of care. Despite it being a well-recognized problem, few studies have investigated medication adherence in Saudi Arabia. Therefore, this study aims to gain a better perspective on medication adherence among patients with chronic diseases in Saudi Arabia. Method: A questionnaire-based cross-sectional study was conducted among patients with chronic diseases in the Makkah region, Saudi Arabia, from 1 May to 31 July 2021. Patients aged 18 years and above who were taking prescribed or over-the-counter medications were included. Descriptive statistics were used to describe the participants’ characteristics, and categorical variables were reported as frequencies and percentages. A Chi-square test was used to test the relations between variables. Results: In total, 239 participants were included in the study. Females represented 62% of the participants. In terms of the history of chronic diseases, 44% had hypertension, 40% had diabetes mellitus, 21% had heart diseases and 9% had asthma. Nearly half (49%) of participants did not follow up regularly with a primary healthcare center and 42% said that they had forgotten to take their medications in the past. However, most of the participants (78%) stated that they took their medicine as instructed by their doctor or pharmacist, and 61% took their medications on time. The majority of participants (85%) said that the pharmacist explained the method of using the medications and the instructions for use, while 30% thought that the medications they took were too much. In regard to the reasons for medication nonadherence, having no specific reasons for medication nonadherence was the most common cause for nonadherence in our study. The relationship between patients taking medications as instructed by a healthcare provider (the doctor or pharmacist) and the healthcare provider giving clear instructions to patients about medication use was significant (p &lt; 0.001). Conclusions: Failure to adhere is a significant problem that not only affect…","author":[{"dropping-particle":"","family":"Alosaimi","given":"Khulud","non-dropping-particle":"","parse-names":false,"suffix":""},{"dropping-particle":"","family":"Alwafi","given":"Hassan","non-dropping-particle":"","parse-names":false,"suffix":""},{"dropping-particle":"","family":"Alhindi","given":"Yosra","non-dropping-particle":"","parse-names":false,"suffix":""},{"dropping-particle":"","family":"Falemban","given":"Alaa","non-dropping-particle":"","parse-names":false,"suffix":""},{"dropping-particle":"","family":"Alshanberi","given":"Asim","non-dropping-particle":"","parse-names":false,"suffix":""},{"dropping-particle":"","family":"Ayoub","given":"Nahla","non-dropping-particle":"","parse-names":false,"suffix":""},{"dropping-particle":"","family":"Alsanosi","given":"Safaa","non-dropping-particle":"","parse-names":false,"suffix":""}],"container-title":"International Journal of Environmental Research and Public Health","id":"ITEM-1","issue":"16","issued":{"date-parts":[["2022"]]},"page":"1-9","title":"Medication Adherence among Patients with Chronic Diseases in Saudi Arabia","type":"article-journal","volume":"19"},"uris":["http://www.mendeley.com/documents/?uuid=e060aaca-5521-4314-9e7a-ffeab7af8347"]}],"mendeley":{"formattedCitation":"(Alosaimi &lt;i&gt;et al.&lt;/i&gt;, 2022)","plainTextFormattedCitation":"(Alosaimi et al., 2022)","previouslyFormattedCitation":"(Alosaimi &lt;i&gt;et al.&lt;/i&gt;, 2022)"},"properties":{"noteIndex":0},"schema":"https://github.com/citation-style-language/schema/raw/master/csl-citation.json"}</w:instrText>
      </w:r>
      <w:r w:rsidRPr="00DB240E">
        <w:rPr>
          <w:rFonts w:ascii="Arial" w:eastAsia="Times New Roman" w:hAnsi="Arial" w:cs="Arial"/>
          <w:sz w:val="24"/>
          <w:szCs w:val="24"/>
          <w:lang w:val="en-GB"/>
        </w:rPr>
        <w:fldChar w:fldCharType="separate"/>
      </w:r>
      <w:r w:rsidRPr="00DB240E">
        <w:rPr>
          <w:rFonts w:ascii="Arial" w:eastAsia="Times New Roman" w:hAnsi="Arial" w:cs="Arial"/>
          <w:noProof/>
          <w:sz w:val="24"/>
          <w:szCs w:val="24"/>
          <w:lang w:val="en-GB"/>
        </w:rPr>
        <w:t xml:space="preserve">(Alosaimi </w:t>
      </w:r>
      <w:r w:rsidRPr="00DB240E">
        <w:rPr>
          <w:rFonts w:ascii="Arial" w:eastAsia="Times New Roman" w:hAnsi="Arial" w:cs="Arial"/>
          <w:i/>
          <w:noProof/>
          <w:sz w:val="24"/>
          <w:szCs w:val="24"/>
          <w:lang w:val="en-GB"/>
        </w:rPr>
        <w:t>et al.</w:t>
      </w:r>
      <w:r w:rsidRPr="00DB240E">
        <w:rPr>
          <w:rFonts w:ascii="Arial" w:eastAsia="Times New Roman" w:hAnsi="Arial" w:cs="Arial"/>
          <w:noProof/>
          <w:sz w:val="24"/>
          <w:szCs w:val="24"/>
          <w:lang w:val="en-GB"/>
        </w:rPr>
        <w:t>, 2022)</w:t>
      </w:r>
      <w:r w:rsidRPr="00DB240E">
        <w:rPr>
          <w:rFonts w:ascii="Arial" w:eastAsia="Times New Roman" w:hAnsi="Arial" w:cs="Arial"/>
          <w:sz w:val="24"/>
          <w:szCs w:val="24"/>
          <w:lang w:val="en-GB"/>
        </w:rPr>
        <w:fldChar w:fldCharType="end"/>
      </w:r>
      <w:r w:rsidRPr="00DB240E">
        <w:rPr>
          <w:rFonts w:ascii="Arial" w:eastAsia="Times New Roman" w:hAnsi="Arial" w:cs="Arial"/>
          <w:sz w:val="24"/>
          <w:szCs w:val="24"/>
          <w:lang w:val="en-GB"/>
        </w:rPr>
        <w:t xml:space="preserve">. </w:t>
      </w:r>
      <w:r w:rsidRPr="00DB240E">
        <w:rPr>
          <w:rFonts w:ascii="Arial" w:eastAsia="Times New Roman" w:hAnsi="Arial" w:cs="Arial"/>
          <w:color w:val="000000" w:themeColor="text1"/>
          <w:sz w:val="24"/>
          <w:szCs w:val="24"/>
          <w:lang w:val="en-GB"/>
        </w:rPr>
        <w:t xml:space="preserve">Despite the importance of providing education on medication adherence as well as  medication review for patients, particularly for chronic conditions, </w:t>
      </w:r>
      <w:r w:rsidRPr="00DB240E">
        <w:rPr>
          <w:rFonts w:ascii="Arial" w:eastAsia="Times New Roman" w:hAnsi="Arial" w:cs="Arial"/>
          <w:sz w:val="24"/>
          <w:szCs w:val="24"/>
          <w:lang w:val="en-GB"/>
        </w:rPr>
        <w:t>medication monitoring service was provided for only 26 per cent of patients in SA based on an American Society of Health-System Pharmacists</w:t>
      </w:r>
      <w:r w:rsidRPr="00DB240E">
        <w:rPr>
          <w:rFonts w:ascii="Arial" w:hAnsi="Arial" w:cs="Arial"/>
          <w:color w:val="222222"/>
          <w:sz w:val="24"/>
          <w:szCs w:val="24"/>
          <w:shd w:val="clear" w:color="auto" w:fill="FFFFFF"/>
        </w:rPr>
        <w:t xml:space="preserve"> (</w:t>
      </w:r>
      <w:r w:rsidRPr="00DB240E">
        <w:rPr>
          <w:rFonts w:ascii="Arial" w:eastAsia="Times New Roman" w:hAnsi="Arial" w:cs="Arial"/>
          <w:sz w:val="24"/>
          <w:szCs w:val="24"/>
          <w:lang w:val="en-GB"/>
        </w:rPr>
        <w:t xml:space="preserve">ASHP) survey performed in 2009 </w:t>
      </w:r>
      <w:r w:rsidRPr="00DB240E">
        <w:rPr>
          <w:rFonts w:ascii="Arial" w:eastAsia="Times New Roman" w:hAnsi="Arial" w:cs="Arial"/>
          <w:sz w:val="24"/>
          <w:szCs w:val="24"/>
          <w:lang w:val="en-GB"/>
        </w:rPr>
        <w:fldChar w:fldCharType="begin" w:fldLock="1"/>
      </w:r>
      <w:r w:rsidRPr="00DB240E">
        <w:rPr>
          <w:rFonts w:ascii="Arial" w:eastAsia="Times New Roman" w:hAnsi="Arial" w:cs="Arial"/>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2017)","plainTextFormattedCitation":"(Makeen, 2017)","previouslyFormattedCitation":"(Makeen, 2017)"},"properties":{"noteIndex":0},"schema":"https://github.com/citation-style-language/schema/raw/master/csl-citation.json"}</w:instrText>
      </w:r>
      <w:r w:rsidRPr="00DB240E">
        <w:rPr>
          <w:rFonts w:ascii="Arial" w:eastAsia="Times New Roman" w:hAnsi="Arial" w:cs="Arial"/>
          <w:sz w:val="24"/>
          <w:szCs w:val="24"/>
          <w:lang w:val="en-GB"/>
        </w:rPr>
        <w:fldChar w:fldCharType="separate"/>
      </w:r>
      <w:r w:rsidRPr="00DB240E">
        <w:rPr>
          <w:rFonts w:ascii="Arial" w:eastAsia="Times New Roman" w:hAnsi="Arial" w:cs="Arial"/>
          <w:noProof/>
          <w:sz w:val="24"/>
          <w:szCs w:val="24"/>
          <w:lang w:val="en-GB"/>
        </w:rPr>
        <w:t>(Makeen, 2017)</w:t>
      </w:r>
      <w:r w:rsidRPr="00DB240E">
        <w:rPr>
          <w:rFonts w:ascii="Arial" w:eastAsia="Times New Roman" w:hAnsi="Arial" w:cs="Arial"/>
          <w:sz w:val="24"/>
          <w:szCs w:val="24"/>
          <w:lang w:val="en-GB"/>
        </w:rPr>
        <w:fldChar w:fldCharType="end"/>
      </w:r>
      <w:r w:rsidRPr="00DB240E">
        <w:rPr>
          <w:rFonts w:ascii="Arial" w:eastAsia="Times New Roman" w:hAnsi="Arial" w:cs="Arial"/>
          <w:sz w:val="24"/>
          <w:szCs w:val="24"/>
          <w:lang w:val="en-GB"/>
        </w:rPr>
        <w:t xml:space="preserve">. </w:t>
      </w:r>
    </w:p>
    <w:p w14:paraId="2164E685" w14:textId="4408F1AD" w:rsidR="009548A4" w:rsidRPr="00876389" w:rsidRDefault="009548A4" w:rsidP="008B6420">
      <w:pPr>
        <w:pStyle w:val="Heading5"/>
        <w:spacing w:after="240"/>
        <w:rPr>
          <w:rFonts w:asciiTheme="minorBidi" w:hAnsiTheme="minorBidi" w:cstheme="minorBidi"/>
          <w:lang w:val="en-GB"/>
        </w:rPr>
      </w:pPr>
      <w:r w:rsidRPr="008B6420">
        <w:rPr>
          <w:rFonts w:asciiTheme="minorBidi" w:hAnsiTheme="minorBidi" w:cstheme="minorBidi"/>
          <w:sz w:val="24"/>
          <w:szCs w:val="24"/>
        </w:rPr>
        <w:t>Impact on the perceptions of healthcare providers and patients towards pharmacists</w:t>
      </w:r>
      <w:r w:rsidR="009B6F56">
        <w:rPr>
          <w:rFonts w:asciiTheme="minorBidi" w:hAnsiTheme="minorBidi" w:cstheme="minorBidi"/>
          <w:sz w:val="24"/>
          <w:szCs w:val="24"/>
        </w:rPr>
        <w:t>’ roles</w:t>
      </w:r>
      <w:r w:rsidRPr="008B6420">
        <w:rPr>
          <w:rFonts w:asciiTheme="minorBidi" w:hAnsiTheme="minorBidi" w:cstheme="minorBidi"/>
          <w:sz w:val="24"/>
          <w:szCs w:val="24"/>
        </w:rPr>
        <w:t xml:space="preserve"> in diabetes care</w:t>
      </w:r>
    </w:p>
    <w:p w14:paraId="30C3BB9B" w14:textId="28188FDE" w:rsidR="00941883" w:rsidRDefault="00941883" w:rsidP="00941883">
      <w:pPr>
        <w:spacing w:line="360" w:lineRule="auto"/>
        <w:jc w:val="both"/>
        <w:rPr>
          <w:rFonts w:ascii="Arial" w:hAnsi="Arial" w:cs="Arial"/>
          <w:sz w:val="24"/>
          <w:szCs w:val="24"/>
          <w:lang w:val="en-GB"/>
        </w:rPr>
      </w:pPr>
      <w:r w:rsidRPr="001056C0">
        <w:rPr>
          <w:rFonts w:ascii="Arial" w:hAnsi="Arial" w:cs="Arial"/>
          <w:sz w:val="24"/>
          <w:szCs w:val="24"/>
          <w:lang w:val="en-GB"/>
        </w:rPr>
        <w:t>The literature suggests that involving pharmacists in this area has led to change</w:t>
      </w:r>
      <w:r>
        <w:rPr>
          <w:rFonts w:ascii="Arial" w:hAnsi="Arial" w:cs="Arial"/>
          <w:sz w:val="24"/>
          <w:szCs w:val="24"/>
          <w:lang w:val="en-GB"/>
        </w:rPr>
        <w:t>s in the</w:t>
      </w:r>
      <w:r w:rsidRPr="001056C0">
        <w:rPr>
          <w:rFonts w:ascii="Arial" w:hAnsi="Arial" w:cs="Arial"/>
          <w:sz w:val="24"/>
          <w:szCs w:val="24"/>
          <w:lang w:val="en-GB"/>
        </w:rPr>
        <w:t xml:space="preserve"> perceptions of their role. The</w:t>
      </w:r>
      <w:r>
        <w:rPr>
          <w:rFonts w:ascii="Arial" w:hAnsi="Arial" w:cs="Arial"/>
          <w:sz w:val="24"/>
          <w:szCs w:val="24"/>
          <w:lang w:val="en-GB"/>
        </w:rPr>
        <w:t xml:space="preserve"> 11 Saudi </w:t>
      </w:r>
      <w:r w:rsidRPr="001056C0">
        <w:rPr>
          <w:rFonts w:ascii="Arial" w:hAnsi="Arial" w:cs="Arial"/>
          <w:sz w:val="24"/>
          <w:szCs w:val="24"/>
          <w:lang w:val="en-GB"/>
        </w:rPr>
        <w:t xml:space="preserve">studies that show the attitudes and perceptions of stakeholders </w:t>
      </w:r>
      <w:r>
        <w:rPr>
          <w:rFonts w:ascii="Arial" w:hAnsi="Arial" w:cs="Arial"/>
          <w:sz w:val="24"/>
          <w:szCs w:val="24"/>
          <w:lang w:val="en-GB"/>
        </w:rPr>
        <w:t xml:space="preserve">(doctors, pharmacists, nurses, and patients) </w:t>
      </w:r>
      <w:r w:rsidRPr="001056C0">
        <w:rPr>
          <w:rFonts w:ascii="Arial" w:hAnsi="Arial" w:cs="Arial"/>
          <w:sz w:val="24"/>
          <w:szCs w:val="24"/>
          <w:lang w:val="en-GB"/>
        </w:rPr>
        <w:t>toward</w:t>
      </w:r>
      <w:r>
        <w:rPr>
          <w:rFonts w:ascii="Arial" w:hAnsi="Arial" w:cs="Arial"/>
          <w:sz w:val="24"/>
          <w:szCs w:val="24"/>
          <w:lang w:val="en-GB"/>
        </w:rPr>
        <w:t>s</w:t>
      </w:r>
      <w:r w:rsidRPr="001056C0">
        <w:rPr>
          <w:rFonts w:ascii="Arial" w:hAnsi="Arial" w:cs="Arial"/>
          <w:sz w:val="24"/>
          <w:szCs w:val="24"/>
          <w:lang w:val="en-GB"/>
        </w:rPr>
        <w:t xml:space="preserve"> pharmacist’s roles in patient care are summari</w:t>
      </w:r>
      <w:r>
        <w:rPr>
          <w:rFonts w:ascii="Arial" w:hAnsi="Arial" w:cs="Arial"/>
          <w:sz w:val="24"/>
          <w:szCs w:val="24"/>
          <w:lang w:val="en-GB"/>
        </w:rPr>
        <w:t>s</w:t>
      </w:r>
      <w:r w:rsidRPr="001056C0">
        <w:rPr>
          <w:rFonts w:ascii="Arial" w:hAnsi="Arial" w:cs="Arial"/>
          <w:sz w:val="24"/>
          <w:szCs w:val="24"/>
          <w:lang w:val="en-GB"/>
        </w:rPr>
        <w:t>ed in</w:t>
      </w:r>
      <w:r>
        <w:rPr>
          <w:rFonts w:ascii="Arial" w:hAnsi="Arial" w:cs="Arial"/>
          <w:sz w:val="24"/>
          <w:szCs w:val="24"/>
          <w:lang w:val="en-GB"/>
        </w:rPr>
        <w:t xml:space="preserve"> </w:t>
      </w:r>
      <w:r w:rsidR="00C320EB" w:rsidRPr="008412A3">
        <w:rPr>
          <w:rFonts w:ascii="Arial" w:hAnsi="Arial" w:cs="Arial"/>
          <w:sz w:val="24"/>
          <w:szCs w:val="24"/>
          <w:lang w:val="en-GB"/>
        </w:rPr>
        <w:t>a table</w:t>
      </w:r>
      <w:r>
        <w:rPr>
          <w:rFonts w:ascii="Arial" w:hAnsi="Arial" w:cs="Arial"/>
          <w:color w:val="1F3864" w:themeColor="accent1" w:themeShade="80"/>
          <w:sz w:val="24"/>
          <w:szCs w:val="24"/>
          <w:lang w:val="en-GB"/>
        </w:rPr>
        <w:t xml:space="preserve"> attached to </w:t>
      </w:r>
      <w:r w:rsidR="00E75286">
        <w:rPr>
          <w:rFonts w:ascii="Arial" w:hAnsi="Arial" w:cs="Arial"/>
          <w:color w:val="1F3864" w:themeColor="accent1" w:themeShade="80"/>
          <w:sz w:val="24"/>
          <w:szCs w:val="24"/>
          <w:lang w:val="en-GB"/>
        </w:rPr>
        <w:fldChar w:fldCharType="begin"/>
      </w:r>
      <w:r w:rsidR="00E75286">
        <w:rPr>
          <w:rFonts w:ascii="Arial" w:hAnsi="Arial" w:cs="Arial"/>
          <w:color w:val="1F3864" w:themeColor="accent1" w:themeShade="80"/>
          <w:sz w:val="24"/>
          <w:szCs w:val="24"/>
          <w:lang w:val="en-GB"/>
        </w:rPr>
        <w:instrText xml:space="preserve"> REF _Ref148515738 \h </w:instrText>
      </w:r>
      <w:r w:rsidR="00E75286">
        <w:rPr>
          <w:rFonts w:ascii="Arial" w:hAnsi="Arial" w:cs="Arial"/>
          <w:color w:val="1F3864" w:themeColor="accent1" w:themeShade="80"/>
          <w:sz w:val="24"/>
          <w:szCs w:val="24"/>
          <w:lang w:val="en-GB"/>
        </w:rPr>
      </w:r>
      <w:r w:rsidR="00E75286">
        <w:rPr>
          <w:rFonts w:ascii="Arial" w:hAnsi="Arial" w:cs="Arial"/>
          <w:color w:val="1F3864" w:themeColor="accent1" w:themeShade="80"/>
          <w:sz w:val="24"/>
          <w:szCs w:val="24"/>
          <w:lang w:val="en-GB"/>
        </w:rPr>
        <w:fldChar w:fldCharType="separate"/>
      </w:r>
      <w:r w:rsidR="00E75286" w:rsidRPr="00E75286">
        <w:rPr>
          <w:rFonts w:asciiTheme="minorBidi" w:hAnsiTheme="minorBidi"/>
          <w:i/>
          <w:iCs/>
          <w:color w:val="44546A" w:themeColor="text2"/>
          <w:sz w:val="24"/>
          <w:szCs w:val="24"/>
        </w:rPr>
        <w:t>Appendix H</w:t>
      </w:r>
      <w:r w:rsidR="0090339A">
        <w:rPr>
          <w:rFonts w:asciiTheme="minorBidi" w:hAnsiTheme="minorBidi"/>
          <w:i/>
          <w:iCs/>
          <w:color w:val="44546A" w:themeColor="text2"/>
          <w:sz w:val="24"/>
          <w:szCs w:val="24"/>
        </w:rPr>
        <w:t>.</w:t>
      </w:r>
      <w:r w:rsidR="00E75286">
        <w:rPr>
          <w:rFonts w:ascii="Arial" w:hAnsi="Arial" w:cs="Arial"/>
          <w:color w:val="1F3864" w:themeColor="accent1" w:themeShade="80"/>
          <w:sz w:val="24"/>
          <w:szCs w:val="24"/>
          <w:lang w:val="en-GB"/>
        </w:rPr>
        <w:fldChar w:fldCharType="end"/>
      </w:r>
      <w:r w:rsidR="0090339A">
        <w:rPr>
          <w:rFonts w:ascii="Arial" w:hAnsi="Arial" w:cs="Arial"/>
          <w:sz w:val="24"/>
          <w:szCs w:val="24"/>
          <w:lang w:val="en-GB"/>
        </w:rPr>
        <w:t xml:space="preserve"> </w:t>
      </w:r>
    </w:p>
    <w:p w14:paraId="6000F67C" w14:textId="77777777" w:rsidR="00941883" w:rsidRDefault="00941883" w:rsidP="00941883">
      <w:pPr>
        <w:spacing w:line="360" w:lineRule="auto"/>
        <w:jc w:val="both"/>
        <w:rPr>
          <w:rFonts w:ascii="Arial" w:hAnsi="Arial" w:cs="Arial"/>
          <w:sz w:val="24"/>
          <w:szCs w:val="24"/>
          <w:lang w:val="en-GB"/>
        </w:rPr>
      </w:pPr>
      <w:r>
        <w:rPr>
          <w:rFonts w:ascii="Arial" w:hAnsi="Arial" w:cs="Arial"/>
          <w:sz w:val="24"/>
          <w:szCs w:val="24"/>
          <w:lang w:val="en-GB"/>
        </w:rPr>
        <w:t xml:space="preserve">Three studies assessed patient’s views on patients education and counselling received by pharmacists, and another three studies assessed HCPs’ views (doctors, pharmacists, nurses, and others) on clinical roles for pharmacists and pharmaceutical care services, two studies assessed doctors views on clinical pharmacists’ role and barriers of doctors toward working with a clinical pharmacist , one study assessed doctors’ and pharmacists’ views on educational sessions provided by clinical pharmacists, one study assessed doctors’ and nurses’ views on </w:t>
      </w:r>
      <w:r w:rsidRPr="00D15EE9">
        <w:rPr>
          <w:rFonts w:ascii="Arial" w:hAnsi="Arial" w:cs="Arial"/>
          <w:sz w:val="24"/>
          <w:szCs w:val="24"/>
          <w:lang w:val="en-GB"/>
        </w:rPr>
        <w:t>the role of clinical pharmacists</w:t>
      </w:r>
      <w:r>
        <w:rPr>
          <w:rFonts w:ascii="Arial" w:hAnsi="Arial" w:cs="Arial"/>
          <w:sz w:val="24"/>
          <w:szCs w:val="24"/>
          <w:lang w:val="en-GB"/>
        </w:rPr>
        <w:t xml:space="preserve">, the last one assessed pharmacists’ opinion about pharmaceutical care in SA. </w:t>
      </w:r>
    </w:p>
    <w:p w14:paraId="1FFCD056" w14:textId="77777777" w:rsidR="00941883" w:rsidRPr="001056C0" w:rsidRDefault="00941883" w:rsidP="00941883">
      <w:pPr>
        <w:spacing w:line="360" w:lineRule="auto"/>
        <w:jc w:val="both"/>
        <w:rPr>
          <w:rFonts w:ascii="Arial" w:hAnsi="Arial" w:cs="Arial"/>
          <w:sz w:val="24"/>
          <w:szCs w:val="24"/>
          <w:lang w:val="en-GB"/>
        </w:rPr>
      </w:pPr>
      <w:r w:rsidRPr="001056C0">
        <w:rPr>
          <w:rFonts w:ascii="Arial" w:hAnsi="Arial" w:cs="Arial"/>
          <w:sz w:val="24"/>
          <w:szCs w:val="24"/>
          <w:lang w:val="en-GB"/>
        </w:rPr>
        <w:t>The literature suggests that involving pharmacists in the management of diabetes has led to change</w:t>
      </w:r>
      <w:r>
        <w:rPr>
          <w:rFonts w:ascii="Arial" w:hAnsi="Arial" w:cs="Arial"/>
          <w:sz w:val="24"/>
          <w:szCs w:val="24"/>
          <w:lang w:val="en-GB"/>
        </w:rPr>
        <w:t>s in</w:t>
      </w:r>
      <w:r w:rsidRPr="001056C0">
        <w:rPr>
          <w:rFonts w:ascii="Arial" w:hAnsi="Arial" w:cs="Arial"/>
          <w:sz w:val="24"/>
          <w:szCs w:val="24"/>
          <w:lang w:val="en-GB"/>
        </w:rPr>
        <w:t xml:space="preserve"> perceptions of their role</w:t>
      </w:r>
      <w:r>
        <w:rPr>
          <w:rFonts w:ascii="Arial" w:hAnsi="Arial" w:cs="Arial"/>
          <w:sz w:val="24"/>
          <w:szCs w:val="24"/>
          <w:lang w:val="en-GB"/>
        </w:rPr>
        <w:t>,</w:t>
      </w:r>
      <w:r w:rsidRPr="001056C0">
        <w:rPr>
          <w:rFonts w:ascii="Arial" w:hAnsi="Arial" w:cs="Arial"/>
          <w:sz w:val="24"/>
          <w:szCs w:val="24"/>
          <w:lang w:val="en-GB"/>
        </w:rPr>
        <w:t xml:space="preserve"> particularly in the beneficial outcomes </w:t>
      </w:r>
      <w:r>
        <w:rPr>
          <w:rFonts w:ascii="Arial" w:hAnsi="Arial" w:cs="Arial"/>
          <w:sz w:val="24"/>
          <w:szCs w:val="24"/>
          <w:lang w:val="en-GB"/>
        </w:rPr>
        <w:t>of</w:t>
      </w:r>
      <w:r w:rsidRPr="001056C0">
        <w:rPr>
          <w:rFonts w:ascii="Arial" w:hAnsi="Arial" w:cs="Arial"/>
          <w:sz w:val="24"/>
          <w:szCs w:val="24"/>
          <w:lang w:val="en-GB"/>
        </w:rPr>
        <w:t xml:space="preserve"> optimising pharmacotherapy, medication safety, and improving</w:t>
      </w:r>
      <w:r>
        <w:rPr>
          <w:rFonts w:ascii="Arial" w:hAnsi="Arial" w:cs="Arial"/>
          <w:sz w:val="24"/>
          <w:szCs w:val="24"/>
          <w:lang w:val="en-GB"/>
        </w:rPr>
        <w:t xml:space="preserve"> the</w:t>
      </w:r>
      <w:r w:rsidRPr="001056C0">
        <w:rPr>
          <w:rFonts w:ascii="Arial" w:hAnsi="Arial" w:cs="Arial"/>
          <w:sz w:val="24"/>
          <w:szCs w:val="24"/>
          <w:lang w:val="en-GB"/>
        </w:rPr>
        <w:t xml:space="preserve"> quality of patient care </w:t>
      </w:r>
      <w:r w:rsidRPr="001056C0">
        <w:rPr>
          <w:rFonts w:ascii="Arial" w:hAnsi="Arial" w:cs="Arial"/>
          <w:sz w:val="24"/>
          <w:szCs w:val="24"/>
          <w:lang w:val="en-GB"/>
        </w:rPr>
        <w:fldChar w:fldCharType="begin" w:fldLock="1"/>
      </w:r>
      <w:r w:rsidRPr="001056C0">
        <w:rPr>
          <w:rFonts w:ascii="Arial" w:hAnsi="Arial" w:cs="Arial"/>
          <w:sz w:val="24"/>
          <w:szCs w:val="24"/>
          <w:lang w:val="en-GB"/>
        </w:rPr>
        <w:instrText>ADDIN CSL_CITATION {"citationItems":[{"id":"ITEM-1","itemData":{"DOI":"10.1177/2377960819889769","ISSN":"23779608","abstract":"Clinical pharmacists are responsible for guiding pharmacotherapy and ensuring medication safety along with other health-care providers. This study highlighted barriers that physicians and nurses encounter when interacting with clinical pharmacists. Twenty-seven physicians and nurses were randomly invited to participate in focus-group discussions. Five focus-group discussions were recorded and then transcribed, and the transcripts were reviewed and coded. Three major themes were identified, which were the role of clinical pharmacists, interprofessional communication, and competency. The greatest challenge reported in this study was lack of consistent understanding of the role of clinical pharmacists which to some extent caused communication deficiencies and affected the level of involvement with multidisciplinary teams. Despite that, majority of the participants perceived pharmacists as beneficial in optimizing pharmacotherapy and improving quality of care. Clinical pharmacy services are perceived positively in impacting quality of care as expressed by majority of the study participants. However, there is a lack of common understanding of the role of clinical pharmacists by other health-care providers.","author":[{"dropping-particle":"","family":"Alsuhebany","given":"Nada","non-dropping-particle":"","parse-names":false,"suffix":""},{"dropping-particle":"","family":"Alfehaid","given":"Lama","non-dropping-particle":"","parse-names":false,"suffix":""},{"dropping-particle":"","family":"Almodaimegh","given":"Hind","non-dropping-particle":"","parse-names":false,"suffix":""},{"dropping-particle":"","family":"Albekairy","given":"Abdulkareem","non-dropping-particle":"","parse-names":false,"suffix":""},{"dropping-particle":"","family":"Alharbi","given":"Shmeylan","non-dropping-particle":"","parse-names":false,"suffix":""}],"container-title":"SAGE Open Nursing","id":"ITEM-1","issued":{"date-parts":[["2019"]]},"title":"Attitude and Perception of Physicians and Nurses Toward the Role of Clinical Pharmacists in Riyadh, Saudi Arabia: A Qualitative Study","type":"article-journal","volume":"5"},"uris":["http://www.mendeley.com/documents/?uuid=85a9f96e-883b-424e-8019-689cd4c4142c"]}],"mendeley":{"formattedCitation":"(Alsuhebany &lt;i&gt;et al.&lt;/i&gt;, 2019)","plainTextFormattedCitation":"(Alsuhebany et al., 2019)","previouslyFormattedCitation":"(Alsuhebany &lt;i&gt;et al.&lt;/i&gt;, 2019)"},"properties":{"noteIndex":0},"schema":"https://github.com/citation-style-language/schema/raw/master/csl-citation.json"}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 xml:space="preserve">(Alsuhebany </w:t>
      </w:r>
      <w:r w:rsidRPr="005A1088">
        <w:rPr>
          <w:rFonts w:ascii="Arial" w:hAnsi="Arial" w:cs="Arial"/>
          <w:noProof/>
          <w:sz w:val="24"/>
          <w:szCs w:val="24"/>
          <w:lang w:val="en-GB"/>
        </w:rPr>
        <w:t>et al.</w:t>
      </w:r>
      <w:r w:rsidRPr="001056C0">
        <w:rPr>
          <w:rFonts w:ascii="Arial" w:hAnsi="Arial" w:cs="Arial"/>
          <w:noProof/>
          <w:sz w:val="24"/>
          <w:szCs w:val="24"/>
          <w:lang w:val="en-GB"/>
        </w:rPr>
        <w:t>, 2019)</w:t>
      </w:r>
      <w:r w:rsidRPr="001056C0">
        <w:rPr>
          <w:rFonts w:ascii="Arial" w:hAnsi="Arial" w:cs="Arial"/>
          <w:sz w:val="24"/>
          <w:szCs w:val="24"/>
          <w:lang w:val="en-GB"/>
        </w:rPr>
        <w:fldChar w:fldCharType="end"/>
      </w:r>
      <w:r w:rsidRPr="001056C0">
        <w:rPr>
          <w:rFonts w:ascii="Arial" w:hAnsi="Arial" w:cs="Arial"/>
          <w:sz w:val="24"/>
          <w:szCs w:val="24"/>
          <w:lang w:val="en-GB"/>
        </w:rPr>
        <w:t xml:space="preserve">. Overall, positive attitudes and expectations </w:t>
      </w:r>
      <w:r>
        <w:rPr>
          <w:rFonts w:ascii="Arial" w:hAnsi="Arial" w:cs="Arial"/>
          <w:sz w:val="24"/>
          <w:szCs w:val="24"/>
          <w:lang w:val="en-GB"/>
        </w:rPr>
        <w:t>of</w:t>
      </w:r>
      <w:r w:rsidRPr="001056C0">
        <w:rPr>
          <w:rFonts w:ascii="Arial" w:hAnsi="Arial" w:cs="Arial"/>
          <w:sz w:val="24"/>
          <w:szCs w:val="24"/>
          <w:lang w:val="en-GB"/>
        </w:rPr>
        <w:t xml:space="preserve"> the clinical role of pharmacists w</w:t>
      </w:r>
      <w:r>
        <w:rPr>
          <w:rFonts w:ascii="Arial" w:hAnsi="Arial" w:cs="Arial"/>
          <w:sz w:val="24"/>
          <w:szCs w:val="24"/>
          <w:lang w:val="en-GB"/>
        </w:rPr>
        <w:t>ere</w:t>
      </w:r>
      <w:r w:rsidRPr="001056C0">
        <w:rPr>
          <w:rFonts w:ascii="Arial" w:hAnsi="Arial" w:cs="Arial"/>
          <w:sz w:val="24"/>
          <w:szCs w:val="24"/>
          <w:lang w:val="en-GB"/>
        </w:rPr>
        <w:t xml:space="preserve"> found among </w:t>
      </w:r>
      <w:r>
        <w:rPr>
          <w:rFonts w:ascii="Arial" w:hAnsi="Arial" w:cs="Arial"/>
          <w:sz w:val="24"/>
          <w:szCs w:val="24"/>
          <w:lang w:val="en-GB"/>
        </w:rPr>
        <w:t xml:space="preserve">HCPs, including </w:t>
      </w:r>
      <w:r w:rsidRPr="001056C0">
        <w:rPr>
          <w:rFonts w:ascii="Arial" w:hAnsi="Arial" w:cs="Arial"/>
          <w:sz w:val="24"/>
          <w:szCs w:val="24"/>
          <w:lang w:val="en-GB"/>
        </w:rPr>
        <w:t xml:space="preserve">doctors, pharmacists, and nurses </w:t>
      </w:r>
      <w:r w:rsidRPr="001056C0">
        <w:rPr>
          <w:rFonts w:ascii="Arial" w:hAnsi="Arial" w:cs="Arial"/>
          <w:sz w:val="24"/>
          <w:szCs w:val="24"/>
          <w:lang w:val="en-GB"/>
        </w:rPr>
        <w:fldChar w:fldCharType="begin" w:fldLock="1"/>
      </w:r>
      <w:r>
        <w:rPr>
          <w:rFonts w:ascii="Arial" w:hAnsi="Arial" w:cs="Arial"/>
          <w:sz w:val="24"/>
          <w:szCs w:val="24"/>
          <w:lang w:val="en-GB"/>
        </w:rPr>
        <w:instrText xml:space="preserve">ADDIN CSL_CITATION {"citationItems":[{"id":"ITEM-1","itemData":{"author":[{"dropping-particle":"","family":"Aldraimly","given":"Maha","non-dropping-particle":"","parse-names":false,"suffix":""},{"dropping-particle":"","family":"Suliman","given":"Sayed </w:instrText>
      </w:r>
      <w:r w:rsidRPr="00876389">
        <w:rPr>
          <w:rFonts w:ascii="Arial" w:hAnsi="Arial" w:cs="Arial"/>
          <w:sz w:val="24"/>
          <w:szCs w:val="24"/>
          <w:lang w:val="en-GB"/>
        </w:rPr>
        <w:instrText>Azhar","non-dropping-particle":"","parse-names":false,"suffix":""},{"dropping-particle":"","family":"Alhabib","given":"Samia","non-dropping-particle":"","parse-names":false,"suffix":""},{"dropping-particle":"","family":"Almadani","given":"Wedad","non-dropping-particle":"","parse-names":false,"suffix":""},{"dropping-particle":"","family":"Nouri","given":"Ahmed Ibrahim","non-dropping-particle":"","parse-names":false,"suffix":""},{"dropping-particle":"","family":"Lamfon","given":"Nahid Ahmed","non-dropping-particle":"","parse-names":false,"suffix":""},{"dropping-particle":"","family":"Alanazi","given":"Reem Fahad","non-dropping-particle":"","parse-names":false,"suffix":""}],"container-title":"International Journal of Pharma Sciences and Scientific Research","id":"ITEM-1","issue":"6","issued":{"date-parts":[["2019"]]},"page":"75-80","title":"Knowledge , Attitude , and Practices of Physicians in Ambulatroy Care towards Clinical Pharmacist Educational Sessions of Diabetes Mellitus Management in Saudi Arabia","type":"article-journal","volume":"5"},"uris":["http://www.mendeley.com/documents/</w:instrText>
      </w:r>
      <w:r w:rsidRPr="008D5F19">
        <w:rPr>
          <w:rFonts w:ascii="Arial" w:hAnsi="Arial" w:cs="Arial"/>
          <w:sz w:val="24"/>
          <w:szCs w:val="24"/>
          <w:lang w:val="fr-FR"/>
        </w:rPr>
        <w:instrText>?uuid=60c150d1-601b-4273-adf4-1f406bd8e87f"]}],"mendeley":{"formattedCitation":"(Aldraimly &lt;i&gt;et al.&lt;/i&gt;, 2019)","manualFormatting":"(Aldraimly et al., 2019;","plainTextFormattedCitation":"(Aldraimly et al., 2019)","previouslyFormattedCitation":"(Aldraimly &lt;i&gt;et al.&lt;/i&gt;, 2019)"},"properties":{"noteIndex":0},"schema":"https://github.com/citation-style-language/schema/raw/master/csl-citation.json"}</w:instrText>
      </w:r>
      <w:r w:rsidRPr="001056C0">
        <w:rPr>
          <w:rFonts w:ascii="Arial" w:hAnsi="Arial" w:cs="Arial"/>
          <w:sz w:val="24"/>
          <w:szCs w:val="24"/>
          <w:lang w:val="en-GB"/>
        </w:rPr>
        <w:fldChar w:fldCharType="separate"/>
      </w:r>
      <w:r w:rsidRPr="008D5F19">
        <w:rPr>
          <w:rFonts w:ascii="Arial" w:hAnsi="Arial" w:cs="Arial"/>
          <w:noProof/>
          <w:sz w:val="24"/>
          <w:szCs w:val="24"/>
          <w:lang w:val="fr-FR"/>
        </w:rPr>
        <w:t>(Aldraimly et al., 2019;</w:t>
      </w:r>
      <w:r w:rsidRPr="001056C0">
        <w:rPr>
          <w:rFonts w:ascii="Arial" w:hAnsi="Arial" w:cs="Arial"/>
          <w:sz w:val="24"/>
          <w:szCs w:val="24"/>
          <w:lang w:val="en-GB"/>
        </w:rPr>
        <w:fldChar w:fldCharType="end"/>
      </w:r>
      <w:r w:rsidRPr="008D5F19">
        <w:rPr>
          <w:rFonts w:ascii="Arial" w:hAnsi="Arial" w:cs="Arial"/>
          <w:sz w:val="24"/>
          <w:szCs w:val="24"/>
          <w:lang w:val="fr-FR"/>
        </w:rPr>
        <w:t xml:space="preserve"> </w:t>
      </w:r>
      <w:r w:rsidRPr="001056C0">
        <w:rPr>
          <w:rFonts w:ascii="Arial" w:hAnsi="Arial" w:cs="Arial"/>
          <w:sz w:val="24"/>
          <w:szCs w:val="24"/>
          <w:lang w:val="en-GB"/>
        </w:rPr>
        <w:fldChar w:fldCharType="begin" w:fldLock="1"/>
      </w:r>
      <w:r w:rsidRPr="008D5F19">
        <w:rPr>
          <w:rFonts w:ascii="Arial" w:hAnsi="Arial" w:cs="Arial"/>
          <w:sz w:val="24"/>
          <w:szCs w:val="24"/>
          <w:lang w:val="fr-FR"/>
        </w:rPr>
        <w:instrText>ADDIN CSL_CITATION {"citationItems":[{"id":"ITEM-1","itemData":{"DOI":"10.1177/2377960819889769","ISSN":"23779608","abstract":"Clinical pharmacists are responsible for guiding pharmacotherapy and ensuring medication safety along with other health-care providers. This study highlighted barriers that physicians and nurses encounter when interacting with clinical pharmacists. Twenty-seven physicians and nurses were randomly invited to participate in focus-group discussions. Five focus-group discussions were recorded and then transcribed, and the transcripts were reviewed and coded. Three major themes were identified, which were the role of clinical pharmacists, interprofessional communication, and competency. The greatest challenge reported in this study was lack of consistent understanding of the role of clinical pharmacists which to some extent caused communication deficiencies and affected the level of involvement with multidisciplinary teams. Despite that, majority of the participants perceived pharmacists as beneficial in optimizing pharmacotherapy and improving quality of care. Clinical pharmacy services are perceived positively in impacting quality of care as expressed by majority of the study participants. However, there is a lack of common understanding of the role of clinical pharmacists by other health-care providers.","author":[{"dropping-particle":"","family":"Alsuhebany","given":"Nada","non-dropping-particle":"","parse-names":false,"suffix":""},{"dropping-particle":"","family":"Alfehaid","given":"Lama","non-dropping-particle":"","parse-names":false,"suffix":""},{"dropping-particle":"","family":"Almodaimegh","given":"Hind","non-dropping-particle":"","parse-names":false,"suffix":""},{"dropping-particle":"","family":"Albekairy","given":"Abdulkareem","non-dropping-particle":"","parse-names":false,"suffix":""},{"dropping-particle":"","family":"Alharbi","given":"Shmeylan","non-dropping-particle":"","parse-names":false,"suffix":""}],"container-title":"SAGE Open Nursing","id":"ITEM-1","issued":{"date-parts":[["2019"]]},"title":"Attitude and Perception of Physicians and Nurses Toward the Role of Clinical Pharmacists in Riyadh, Saudi Arabia: A Qualitative Study","type":"article-journal","volume":"5"},"uris":["http://www.mendeley.com/documents/?uuid=85a9f96e-883b-424e-8019-689cd4c4142c"]}],"mendeley":{"formattedCitation":"(Alsuhebany &lt;i&gt;et al.&lt;/i&gt;, 2019)","manualFormatting":"Alsuhebany et al., 2019","plainTextFormattedCitation":"(Alsuhebany et al., 2019)","previouslyFormattedCitation":"(Alsuhebany &lt;i&gt;et al.&lt;/i&gt;, 2019)"},"properties":{"noteIndex":0},"schema":"https://github.com/citation-style-language/schema/raw/master/csl-citation.json"}</w:instrText>
      </w:r>
      <w:r w:rsidRPr="001056C0">
        <w:rPr>
          <w:rFonts w:ascii="Arial" w:hAnsi="Arial" w:cs="Arial"/>
          <w:sz w:val="24"/>
          <w:szCs w:val="24"/>
          <w:lang w:val="en-GB"/>
        </w:rPr>
        <w:fldChar w:fldCharType="separate"/>
      </w:r>
      <w:r w:rsidRPr="008D5F19">
        <w:rPr>
          <w:rFonts w:ascii="Arial" w:hAnsi="Arial" w:cs="Arial"/>
          <w:noProof/>
          <w:sz w:val="24"/>
          <w:szCs w:val="24"/>
          <w:lang w:val="fr-FR"/>
        </w:rPr>
        <w:t>Alsuhebany et al., 2019</w:t>
      </w:r>
      <w:r w:rsidRPr="001056C0">
        <w:rPr>
          <w:rFonts w:ascii="Arial" w:hAnsi="Arial" w:cs="Arial"/>
          <w:sz w:val="24"/>
          <w:szCs w:val="24"/>
          <w:lang w:val="en-GB"/>
        </w:rPr>
        <w:fldChar w:fldCharType="end"/>
      </w:r>
      <w:r w:rsidRPr="008D5F19">
        <w:rPr>
          <w:rFonts w:ascii="Arial" w:hAnsi="Arial" w:cs="Arial"/>
          <w:sz w:val="24"/>
          <w:szCs w:val="24"/>
          <w:lang w:val="fr-FR"/>
        </w:rPr>
        <w:t xml:space="preserve">; </w:t>
      </w:r>
      <w:r w:rsidRPr="001056C0">
        <w:rPr>
          <w:rFonts w:ascii="Arial" w:hAnsi="Arial" w:cs="Arial"/>
          <w:sz w:val="24"/>
          <w:szCs w:val="24"/>
          <w:lang w:val="en-GB"/>
        </w:rPr>
        <w:fldChar w:fldCharType="begin" w:fldLock="1"/>
      </w:r>
      <w:r w:rsidRPr="008D5F19">
        <w:rPr>
          <w:rFonts w:ascii="Arial" w:hAnsi="Arial" w:cs="Arial"/>
          <w:sz w:val="24"/>
          <w:szCs w:val="24"/>
          <w:lang w:val="fr-FR"/>
        </w:rPr>
        <w:instrText>ADDIN CSL_CITATION {"citationItems":[{"id":"ITEM-1","itemData":{"DOI":"10.37268/mjphm/vol.17/no.3/art.220","ISSN":"1675-0306","abstract":"The objective of this study is to explore physician’s perception toward clinical pharmacy services and role of clinical pharmacists in governmental hospitals at Al-Qassim region. An observational cross-sectional survey was conducted. Results: 150 males and 39 females participated giving 75.5% (189 of 250) response rate. Physicians perceptions were found to be high (equal or more than 90% of frequency) in some clinical pharmacy services such as patients’ education and counselling, monitoring of patients’ responses to drug therapy including toxicity/side effects and provision of drug information to healthcare professionals. The physicians showed low perception (less than 76%) in the taking of patients’ medication history on admission, by clinical pharmacists. Conclusion: Physicians’ perception toward clinical pharmacy services and the role of clinical pharmacists was not found to be completely favourable. The reason of this mixed responses and to the accommodating feelings of clinical pharmacy services in clinical setting appear to relate to the state of infrastructure and environments of hospitals. The infrastructure and environments of hospitals need to be updated for an improved accommodation clinical pharmacy services.","author":[{"dropping-particle":"","family":"Ahmed","given":"Nahid Osman","non-dropping-particle":"","parse-names":false,"suffix":""},{"dropping-particle":"","family":"Mahfoudh A. M. Abdulghani","given":"","non-dropping-particle":"","parse-names":false,"suffix":""},{"dropping-particle":"","family":"Sarah Fahad Alrebdi","given":"","non-dropping-particle":"","parse-names":false,"suffix":""},{"dropping-particle":"","family":"Mohammed Faez Baobaid","given":"","non-dropping-particle":"","parse-names":false,"suffix":""}],"container-title":"Malaysian Journal of Public Health Medicine","id":"ITEM-1","issue":"3","issued":{"date-parts":[["2017"]]},"page":"109-116","title":"Perceptions of Physicians About Clinical Pharmacist’S Role in Al Qassim’S Hospitals in Saudi Arabia","type":"article-journal","volume":"17"},"uris":["http://www.mendeley.com/documents/?uuid=f12691f8-eeda-42e1-8cfa-40d94b1b4a9e"]}],"mendeley":{"formattedCitation":"(Ahmed &lt;i&gt;et al.&lt;/i&gt;, 2017)","manualFormatting":"Ahmed et al., 2017","plainTextFormattedCitation":"(Ahmed et al., 2017)","previouslyFormattedCitation":"(Ahmed &lt;i&gt;et al.&lt;/i&gt;, 2017)"},"properties":{"noteIndex":0},"schema":"https://github.com/citation-style-language/schema/raw/master/csl-citation.json"}</w:instrText>
      </w:r>
      <w:r w:rsidRPr="001056C0">
        <w:rPr>
          <w:rFonts w:ascii="Arial" w:hAnsi="Arial" w:cs="Arial"/>
          <w:sz w:val="24"/>
          <w:szCs w:val="24"/>
          <w:lang w:val="en-GB"/>
        </w:rPr>
        <w:fldChar w:fldCharType="separate"/>
      </w:r>
      <w:r w:rsidRPr="008D5F19">
        <w:rPr>
          <w:rFonts w:ascii="Arial" w:hAnsi="Arial" w:cs="Arial"/>
          <w:noProof/>
          <w:sz w:val="24"/>
          <w:szCs w:val="24"/>
          <w:lang w:val="fr-FR"/>
        </w:rPr>
        <w:t>Ahmed et al., 2017</w:t>
      </w:r>
      <w:r w:rsidRPr="001056C0">
        <w:rPr>
          <w:rFonts w:ascii="Arial" w:hAnsi="Arial" w:cs="Arial"/>
          <w:sz w:val="24"/>
          <w:szCs w:val="24"/>
          <w:lang w:val="en-GB"/>
        </w:rPr>
        <w:fldChar w:fldCharType="end"/>
      </w:r>
      <w:r w:rsidRPr="008D5F19">
        <w:rPr>
          <w:rFonts w:ascii="Arial" w:hAnsi="Arial" w:cs="Arial"/>
          <w:sz w:val="24"/>
          <w:szCs w:val="24"/>
          <w:lang w:val="fr-FR"/>
        </w:rPr>
        <w:t xml:space="preserve">; </w:t>
      </w:r>
      <w:r w:rsidRPr="001056C0">
        <w:rPr>
          <w:rFonts w:ascii="Arial" w:hAnsi="Arial" w:cs="Arial"/>
          <w:sz w:val="24"/>
          <w:szCs w:val="24"/>
          <w:lang w:val="en-GB"/>
        </w:rPr>
        <w:fldChar w:fldCharType="begin" w:fldLock="1"/>
      </w:r>
      <w:r w:rsidRPr="008D5F19">
        <w:rPr>
          <w:rFonts w:ascii="Arial" w:hAnsi="Arial" w:cs="Arial"/>
          <w:sz w:val="24"/>
          <w:szCs w:val="24"/>
          <w:lang w:val="fr-FR"/>
        </w:rPr>
        <w:instrText>ADDIN CSL_CITATION {"citationItems":[{"id":"ITEM-1","itemData":{"DOI":"10.4314/tjpr.v14i5.23","ISSN":"15969827","abstract":"Purpose: To evaluate the attitudes and perceptions of health care providers towards clinical pharmacy services at King Khalid University Hospital Riyadh Saudi Arabia Method: A cross-sectional survey of healthcare providers was conducted in King Khalid University Hospital, Riyadh, Saudi Arabia from September to November 2013. A self-administered questionnaire was delivered to health care professionals (HCPs) who included physicians, pharmacists and nurses. Results: The response rate was 78 % (457/600). The majority of the respondents (92.4 %) knew that the clinical pharmacist is an integral part of the medical team while 86.5 % of the participants expressed confidence in the ability of clinical pharmacists to improve the quality of patient care through their practice. Despite the relative lack of awareness of the increasing interest in clinical pharmacy practice (59.6 % were not aware of such a trend), pharmacists were less appreciative (p &lt; 0.05) of the positive role of clinical pharmacists in direct patient care compared to both physicians and nurses (67.4, 74.3 and 72.3 %, respectively). Conclusion: The findings of this study reveal that health care professionals HCPs have positive attitude towards the role of the clinical pharmacist in the health care setting studied. However, there is a need for Saudi hospitals to adopt full cli</w:instrText>
      </w:r>
      <w:r>
        <w:rPr>
          <w:rFonts w:ascii="Arial" w:hAnsi="Arial" w:cs="Arial"/>
          <w:sz w:val="24"/>
          <w:szCs w:val="24"/>
          <w:lang w:val="en-GB"/>
        </w:rPr>
        <w:instrText>nical pharmacy service including drug monitoring, drug information and pharmacotherapy for enhanced health care.","author":[{"dropping-particle":"","family":"Al-Arifi","given":"Mohamed N.","non-dropping-particle":"","parse-names":false,"suffix":""},{"dropping-particle":"","family":"Alghamdi","given":"B.","non-dropping-particle":"","parse-names":false,"suffix":""},{"dropping-particle":"","family":"Al-Saadi","given":"M.","non-dropping-particle":"","parse-names":false,"suffix":""},{"dropping-particle":"","family":"Idris","given":"A. E.","non-dropping-particle":"","parse-names":false,"suffix":""},{"dropping-particle":"","family":"Wajid","given":"Syed","non-dropping-particle":"","parse-names":false,"suffix":""},{"dropping-particle":"","family":"Said","given":"Ragab","non-dropping-particle":"","parse-names":false,"suffix":""},{"dropping-particle":"","family":"Babelghaith","given":"Salmeen D.","non-dropping-particle":"","parse-names":false,"suffix":""}],"container-title":"Tropical Journal of Pharmaceutical Research","id":"ITEM-1","issue":"5","issued":{"date-parts":[["2015"]]},"page":"913-918","title":"Attitudes and perceptions of healthcare providers towards clinical pharmacy services at a tertiary care hospital in Riyadh, Saudi Arabia","type":"article-journal","volume":"14"},"uris":["http://www.mendeley.com/documents/?uuid=bf6b27b5-5ea1-470f-9332-284c09dc15a2"]}],"mendeley":{"formattedCitation":"(Al-Arifi, Alghamdi, &lt;i&gt;et al.&lt;/i&gt;, 2015)","manualFormatting":"Al-Arifi et al., 2015","plainTextFormattedCitation":"(Al-Arifi, Alghamdi, et al., 2015)","previouslyFormattedCitation":"(Al-Arifi, Alghamdi, &lt;i&gt;et al.&lt;/i&gt;, 2015)"},"properties":{"noteIndex":0},"schema":"https://github.com/citation-style-language/schema/raw/master/csl-citation.json"}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Al-Arifi et al., 2015</w:t>
      </w:r>
      <w:r w:rsidRPr="001056C0">
        <w:rPr>
          <w:rFonts w:ascii="Arial" w:hAnsi="Arial" w:cs="Arial"/>
          <w:sz w:val="24"/>
          <w:szCs w:val="24"/>
          <w:lang w:val="en-GB"/>
        </w:rPr>
        <w:fldChar w:fldCharType="end"/>
      </w:r>
      <w:r>
        <w:rPr>
          <w:rFonts w:ascii="Arial" w:hAnsi="Arial" w:cs="Arial"/>
          <w:sz w:val="24"/>
          <w:szCs w:val="24"/>
          <w:lang w:val="en-GB"/>
        </w:rPr>
        <w:t>a</w:t>
      </w:r>
      <w:r>
        <w:rPr>
          <w:rStyle w:val="CommentReference"/>
        </w:rPr>
        <w:t>;</w:t>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{"citationItems":[{"id":"ITEM-1","itemData":{"DOI":"10.9734/jsrr/2015/11637","abstract":"The purpose of this study was to investigate physicians' perceptions and expectations regarding clinical pharmacists working in the healthcare team. In addition, to determining the barriers that impede clinical pharmacists' contributions to the team, from the physician's point. A self-administered questionnaire was delivered to randomly selected physicians in Riyadh hospitals. The survey was pilot-tested on a small group of physicians to improve clarity and limit response bias. A total of 135 physicians were enrolled in this study. In terms of working with clinical pharmacists, 28% and 39% indicated they either never or rarely worked with a clinical pharmacist, respectively, while only 4% and 9% worked with a clinical pharmacist quite often or very often. Respondents agreed that clinical pharmacists were an integral part of the medical team (mean 4.4±0.72) and found them to be helpful in managing drug interactions and side effects, selecting appropriate drug therapies during pregnancy and educating other healthcare workers. Most respondents agreed that the specific responsibilities of a clinical pharmacist were not clearly defined (mean 3.83±0.98). Physicians seemed to be unaware of the potential benefits of having a Clinical Practice Article Almazrou et al.; JSRR, 6(5): 404-415, 2015; Article no.JSRR.2015.165 405 clinical pharmacist on their teams, and some physicians had no prior experience working with clinical pharmacists. Physicians in Riyadh were receptive to most statements regarding perceptions and expectations of clinical pharmacists. They considered them an integral part of the medical team, with a major role in educating other healthcare workers. The most frequently identified barrier was lack of role definition of clinical pharmacists.","author":[{"dropping-particle":"","family":"Almazrou","given":"Saja","non-dropping-particle":"","parse-names":false,"suffix":""},{"dropping-particle":"","family":"Alnaim","given":"Lamya","non-dropping-particle":"","parse-names":false,"suffix":""},{"dropping-particle":"","family":"Al-Kofide","given":"Hadeel","non-dropping-particle":"","parse-names":false,"suffix":""}],"container-title":"Journal of Scientific Research and Reports","id":"ITEM-1","issue":"5","issued":{"date-parts":[["2015"]]},"page":"404-415","title":"Perceptions, Expectations and Barriers of Physicians towards Working with Clinical Pharmacists in Saudi Arabia","type":"article-journal","volume":"6"},"uris":["http://www.mendeley.com/documents/?uuid=502ce6cd-3f43-4975-bcb2-89579b049e7f"]}],"mendeley":{"formattedCitation":"(Almazrou, Alnaim and Al-Kofide, 2015)","manualFormatting":"Almazrou, Alnaim and Al-Kofide, 2015","plainTextFormattedCitation":"(Almazrou, Alnaim and Al-Kofide, 2015)","previouslyFormattedCitation":"(Almazrou, Alnaim and Al-Kofide, 2015)"},"properties":{"noteIndex":0},"schema":"https://github.com/citation-style-language/schema/raw/master/csl-citation.json"}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Almazrou, Alnaim and Al-Kofide, 2015</w:t>
      </w:r>
      <w:r w:rsidRPr="001056C0">
        <w:rPr>
          <w:rFonts w:ascii="Arial" w:hAnsi="Arial" w:cs="Arial"/>
          <w:sz w:val="24"/>
          <w:szCs w:val="24"/>
          <w:lang w:val="en-GB"/>
        </w:rPr>
        <w:fldChar w:fldCharType="end"/>
      </w:r>
      <w:r>
        <w:rPr>
          <w:rFonts w:ascii="Arial" w:hAnsi="Arial" w:cs="Arial"/>
          <w:sz w:val="24"/>
          <w:szCs w:val="24"/>
          <w:lang w:val="en-GB"/>
        </w:rPr>
        <w:t>;</w:t>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{"citationItems":[{"id":"ITEM-1","itemData":{"ISSN":"0973-8398","abstract":"To explore opinions of pharmacist toward pharmaceutical care (PC) in Riyadh, the capital of Saudi Arabia. A descriptive, cross-sectional survey was conducted over a 3 months period (November 2012 to January 2013) in National Guard Primary Health Center, Riyadh the capital of Saudi Arabia. A 20-item questionnaire was adopted, validated and given to 100 pharmacists. The response rate was 80% where 100 respondents were approached, and 80 of them responded to our survey questionnaire. Overall Pharmacists expressed positive attitudes toward PC. A total of 73 (91%) respondents indicated that common situation regarding appropriateness of prescribing was receiving an error in prescription with incomplete information. A majority of the respondents (78.6%) disagreed or strongly disagree with the statement, that pharmacist of primary healthcare centers have insufficient knowledge/skills to provide PC. The finding of this study revealed that pharmacists have positive attitudes toward PC overall. More attention should be given to improve pharmacists' actual PC capabilities to extend their professional role. However, new development in Saudi hospitals would be recommended to improve health care systems.","author":[{"dropping-particle":"","family":"Al-Arifi","given":"Mohamed N.","non-dropping-particle":"","parse-names":false,"suffix":""},{"dropping-particle":"","family":"Dhawailie","given":"Abdulatif","non-dropping-particle":"Al","parse-names":false,"suffix":""},{"dropping-particle":"","family":"M.","given":"Aldohyan","non-dropping-particle":"","parse-names":false,"suffix":""},{"dropping-particle":"","family":"S.","given":"Wajid","non-dropping-particle":"","parse-names":false,"suffix":""},{"dropping-particle":"","family":"S.D.","given":"Babelgaith","non-dropping-particle":"","parse-names":false,"suffix":""},{"dropping-particle":"","family":"S.","given":"Rajab","non-dropping-particle":"","parse-names":false,"suffix":""}],"container-title":"Asian Journal of Pharmaceutics","id":"ITEM-1","issue":"4","issued":{"date-parts":[["2015"]]},"page":"277-282","title":"A survey on pharmacist opinion about pharmaceutical care in Saudi Arabia","type":"article-journal","volume":"9"},"uris":["http://www.mendeley.com/documents/?uuid=da5ac9a9-edf8-4c3f-ad94-903f8f5085f9"]}],"mendeley":{"formattedCitation":"(Al-Arifi, Al Dhawailie, &lt;i&gt;et al.&lt;/i&gt;, 2015)","manualFormatting":"Al-Arifi, et al., 2015b)","plainTextFormattedCitation":"(Al-Arifi, Al Dhawailie, et al., 2015)","previouslyFormattedCitation":"(Al-Arifi, Al Dhawailie, &lt;i&gt;et al.&lt;/i&gt;, 2015)"},"properties":{"noteIndex":0},"schema":"https://github.com/citation-style-language/schema/raw/master/csl-citation.json"}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Al-Arifi, et al., 2015</w:t>
      </w:r>
      <w:r>
        <w:rPr>
          <w:rFonts w:ascii="Arial" w:hAnsi="Arial" w:cs="Arial"/>
          <w:noProof/>
          <w:sz w:val="24"/>
          <w:szCs w:val="24"/>
          <w:lang w:val="en-GB"/>
        </w:rPr>
        <w:t>b</w:t>
      </w:r>
      <w:r w:rsidRPr="001056C0">
        <w:rPr>
          <w:rFonts w:ascii="Arial" w:hAnsi="Arial" w:cs="Arial"/>
          <w:noProof/>
          <w:sz w:val="24"/>
          <w:szCs w:val="24"/>
          <w:lang w:val="en-GB"/>
        </w:rPr>
        <w:t>)</w:t>
      </w:r>
      <w:r w:rsidRPr="001056C0">
        <w:rPr>
          <w:rFonts w:ascii="Arial" w:hAnsi="Arial" w:cs="Arial"/>
          <w:sz w:val="24"/>
          <w:szCs w:val="24"/>
          <w:lang w:val="en-GB"/>
        </w:rPr>
        <w:fldChar w:fldCharType="end"/>
      </w:r>
      <w:r w:rsidRPr="001056C0">
        <w:rPr>
          <w:rFonts w:ascii="Arial" w:hAnsi="Arial" w:cs="Arial"/>
          <w:sz w:val="24"/>
          <w:szCs w:val="24"/>
          <w:lang w:val="en-GB"/>
        </w:rPr>
        <w:t xml:space="preserve">. </w:t>
      </w:r>
    </w:p>
    <w:p w14:paraId="40D12C30" w14:textId="77777777" w:rsidR="00941883" w:rsidRPr="001056C0" w:rsidRDefault="00941883" w:rsidP="00941883">
      <w:pPr>
        <w:spacing w:line="360" w:lineRule="auto"/>
        <w:jc w:val="both"/>
        <w:rPr>
          <w:rFonts w:ascii="Arial" w:hAnsi="Arial" w:cs="Arial"/>
          <w:sz w:val="24"/>
          <w:szCs w:val="24"/>
          <w:lang w:val="en-GB"/>
        </w:rPr>
      </w:pPr>
      <w:r w:rsidRPr="001056C0">
        <w:rPr>
          <w:rFonts w:ascii="Arial" w:hAnsi="Arial" w:cs="Arial"/>
          <w:sz w:val="24"/>
          <w:szCs w:val="24"/>
          <w:lang w:val="en-GB"/>
        </w:rPr>
        <w:t xml:space="preserve">The similarities expressed by </w:t>
      </w:r>
      <w:r>
        <w:rPr>
          <w:rFonts w:ascii="Arial" w:hAnsi="Arial" w:cs="Arial"/>
          <w:sz w:val="24"/>
          <w:szCs w:val="24"/>
          <w:lang w:val="en-GB"/>
        </w:rPr>
        <w:t>HCPs</w:t>
      </w:r>
      <w:r w:rsidRPr="001056C0">
        <w:rPr>
          <w:rFonts w:ascii="Arial" w:hAnsi="Arial" w:cs="Arial"/>
          <w:sz w:val="24"/>
          <w:szCs w:val="24"/>
          <w:lang w:val="en-GB"/>
        </w:rPr>
        <w:t xml:space="preserve"> in the </w:t>
      </w:r>
      <w:r>
        <w:rPr>
          <w:rFonts w:ascii="Arial" w:hAnsi="Arial" w:cs="Arial"/>
          <w:sz w:val="24"/>
          <w:szCs w:val="24"/>
          <w:lang w:val="en-GB"/>
        </w:rPr>
        <w:t>aforementioned</w:t>
      </w:r>
      <w:r w:rsidRPr="001056C0">
        <w:rPr>
          <w:rFonts w:ascii="Arial" w:hAnsi="Arial" w:cs="Arial"/>
          <w:sz w:val="24"/>
          <w:szCs w:val="24"/>
          <w:lang w:val="en-GB"/>
        </w:rPr>
        <w:t xml:space="preserve"> studies suggest that the presence of pharmacists in the multidisciplinary healthcare team is warranted. However, some discrepancies were found in the findings</w:t>
      </w:r>
      <w:r w:rsidRPr="00B6744E">
        <w:rPr>
          <w:rFonts w:ascii="Arial" w:hAnsi="Arial" w:cs="Arial"/>
          <w:sz w:val="24"/>
          <w:szCs w:val="24"/>
          <w:lang w:val="en-GB"/>
        </w:rPr>
        <w:t>. As shown in the study by</w:t>
      </w:r>
      <w:r>
        <w:rPr>
          <w:rFonts w:ascii="Arial" w:hAnsi="Arial" w:cs="Arial"/>
          <w:sz w:val="24"/>
          <w:szCs w:val="24"/>
          <w:lang w:val="en-GB"/>
        </w:rPr>
        <w:t xml:space="preserv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{"citationItems":[{"id":"ITEM-1","itemData":{"DOI":"10.37268/mjphm/vol.17/no.3/art.220","ISSN":"1675-0306","abstract":"The objective of this study is to explore physician’s perception toward clinical pharmacy services and role of clinical pharmacists in governmental hospitals at Al-Qassim region. An observational cross-sectional survey was conducted. Results: 150 males and 39 females participated giving 75.5% (189 of 250) response rate. Physicians perceptions were found to be high (equal or more than 90% of frequency) in some clinical pharmacy services such as patients’ education and counselling, monitoring of patients’ responses to drug therapy including toxicity/side effects and provision of drug information to healthcare professionals. The physicians showed low perception (less than 76%) in the taking of patients’ medication history on admission, by clinical pharmacists. Conclusion: Physicians’ perception toward clinical pharmacy services and the role of clinical pharmacists was not found to be completely favourable. The reason of this mixed responses and to the accommodating feelings of clinical pharmacy services in clinical setting appear to relate to the state of infrastructure and environments of hospitals. The infrastructure and environments of hospitals need to be updated for an improved accommodation clinical pharmacy services.","author":[{"dropping-particle":"","family":"Ahmed","given":"Nahid Osman","non-dropping-particle":"","parse-names":false,"suffix":""},{"dropping-particle":"","family":"Mahfoudh A. M. Abdulghani","given":"","non-dropping-particle":"","parse-names":false,"suffix":""},{"dropping-particle":"","family":"Sarah Fahad Alrebdi","given":"","non-dropping-particle":"","parse-names":false,"suffix":""},{"dropping-particle":"","family":"Mohammed Faez Baobaid","given":"","non-dropping-particle":"","parse-names":false,"suffix":""}],"container-title":"Malaysian Journal of Public Health Medicine","id":"ITEM-1","issue":"3","issued":{"date-parts":[["2017"]]},"page":"109-116","title":"Perceptions of Physicians About Clinical Pharmacist’S Role in Al Qassim’S Hospitals in Saudi Arabia","type":"article-journal","volume":"17"},"uris":["http://www.mendeley.com/documents/?uuid=f12691f8-eeda-42e1-8cfa-40d94b1b4a9e"]}],"mendeley":{"formattedCitation":"(Ahmed &lt;i&gt;et al.&lt;/i&gt;, 2017)","manualFormatting":"Ahmed et al., (2017)","plainTextFormattedCitation":"(Ahmed et al., 2017)","previouslyFormattedCitation":"(Ahmed &lt;i&gt;et al.&lt;/i&gt;, 2017)"},"properties":{"noteIndex":0},"schema":"https://github.com/citation-style-language/schema/raw/master/csl-citation.json"}</w:instrText>
      </w:r>
      <w:r>
        <w:rPr>
          <w:rFonts w:ascii="Arial" w:hAnsi="Arial" w:cs="Arial"/>
          <w:sz w:val="24"/>
          <w:szCs w:val="24"/>
          <w:lang w:val="en-GB"/>
        </w:rPr>
        <w:fldChar w:fldCharType="separate"/>
      </w:r>
      <w:r w:rsidRPr="006E6E68">
        <w:rPr>
          <w:rFonts w:ascii="Arial" w:hAnsi="Arial" w:cs="Arial"/>
          <w:noProof/>
          <w:sz w:val="24"/>
          <w:szCs w:val="24"/>
          <w:lang w:val="en-GB"/>
        </w:rPr>
        <w:t xml:space="preserve">Ahmed </w:t>
      </w:r>
      <w:r w:rsidRPr="006E6E68">
        <w:rPr>
          <w:rFonts w:ascii="Arial" w:hAnsi="Arial" w:cs="Arial"/>
          <w:i/>
          <w:noProof/>
          <w:sz w:val="24"/>
          <w:szCs w:val="24"/>
          <w:lang w:val="en-GB"/>
        </w:rPr>
        <w:t>et al.</w:t>
      </w:r>
      <w:r w:rsidRPr="006E6E68">
        <w:rPr>
          <w:rFonts w:ascii="Arial" w:hAnsi="Arial" w:cs="Arial"/>
          <w:noProof/>
          <w:sz w:val="24"/>
          <w:szCs w:val="24"/>
          <w:lang w:val="en-GB"/>
        </w:rPr>
        <w:t xml:space="preserve">, </w:t>
      </w:r>
      <w:r>
        <w:rPr>
          <w:rFonts w:ascii="Arial" w:hAnsi="Arial" w:cs="Arial"/>
          <w:noProof/>
          <w:sz w:val="24"/>
          <w:szCs w:val="24"/>
          <w:lang w:val="en-GB"/>
        </w:rPr>
        <w:t>(</w:t>
      </w:r>
      <w:r w:rsidRPr="006E6E68">
        <w:rPr>
          <w:rFonts w:ascii="Arial" w:hAnsi="Arial" w:cs="Arial"/>
          <w:noProof/>
          <w:sz w:val="24"/>
          <w:szCs w:val="24"/>
          <w:lang w:val="en-GB"/>
        </w:rPr>
        <w:t>2017)</w:t>
      </w:r>
      <w:r>
        <w:rPr>
          <w:rFonts w:ascii="Arial" w:hAnsi="Arial" w:cs="Arial"/>
          <w:sz w:val="24"/>
          <w:szCs w:val="24"/>
          <w:lang w:val="en-GB"/>
        </w:rPr>
        <w:fldChar w:fldCharType="end"/>
      </w:r>
      <w:r w:rsidRPr="00B6744E">
        <w:rPr>
          <w:rFonts w:ascii="Arial" w:hAnsi="Arial" w:cs="Arial"/>
          <w:sz w:val="24"/>
          <w:szCs w:val="24"/>
          <w:lang w:val="en-GB"/>
        </w:rPr>
        <w:t xml:space="preserve"> , the degree</w:t>
      </w:r>
      <w:r w:rsidRPr="001056C0">
        <w:rPr>
          <w:rFonts w:ascii="Arial" w:hAnsi="Arial" w:cs="Arial"/>
          <w:sz w:val="24"/>
          <w:szCs w:val="24"/>
          <w:lang w:val="en-GB"/>
        </w:rPr>
        <w:t xml:space="preserve"> of approval by doctors on the statement </w:t>
      </w:r>
      <w:r>
        <w:rPr>
          <w:rFonts w:ascii="Arial" w:hAnsi="Arial" w:cs="Arial"/>
          <w:sz w:val="24"/>
          <w:szCs w:val="24"/>
          <w:lang w:val="en-GB"/>
        </w:rPr>
        <w:t>“</w:t>
      </w:r>
      <w:r w:rsidRPr="001056C0">
        <w:rPr>
          <w:rFonts w:ascii="Arial" w:hAnsi="Arial" w:cs="Arial"/>
          <w:sz w:val="24"/>
          <w:szCs w:val="24"/>
          <w:lang w:val="en-GB"/>
        </w:rPr>
        <w:t xml:space="preserve"> </w:t>
      </w:r>
      <w:r w:rsidRPr="005D269F">
        <w:rPr>
          <w:rFonts w:ascii="Arial" w:hAnsi="Arial" w:cs="Arial"/>
          <w:i/>
          <w:iCs/>
          <w:sz w:val="24"/>
          <w:szCs w:val="24"/>
          <w:lang w:val="en-GB"/>
        </w:rPr>
        <w:t>pharmacists should care about drug products and leave patient care to doctors and nurses</w:t>
      </w:r>
      <w:r>
        <w:rPr>
          <w:rFonts w:ascii="Arial" w:hAnsi="Arial" w:cs="Arial"/>
          <w:sz w:val="24"/>
          <w:szCs w:val="24"/>
          <w:lang w:val="en-GB"/>
        </w:rPr>
        <w:t>”</w:t>
      </w:r>
      <w:r w:rsidRPr="001056C0">
        <w:rPr>
          <w:rFonts w:ascii="Arial" w:hAnsi="Arial" w:cs="Arial"/>
          <w:sz w:val="24"/>
          <w:szCs w:val="24"/>
          <w:lang w:val="en-GB"/>
        </w:rPr>
        <w:t xml:space="preserve"> was considered high (~76%). </w:t>
      </w:r>
      <w:r>
        <w:rPr>
          <w:rFonts w:ascii="Arial" w:hAnsi="Arial" w:cs="Arial"/>
          <w:sz w:val="24"/>
          <w:szCs w:val="24"/>
          <w:lang w:val="en-GB"/>
        </w:rPr>
        <w:t>This</w:t>
      </w:r>
      <w:r w:rsidRPr="001056C0">
        <w:rPr>
          <w:rFonts w:ascii="Arial" w:hAnsi="Arial" w:cs="Arial"/>
          <w:sz w:val="24"/>
          <w:szCs w:val="24"/>
          <w:lang w:val="en-GB"/>
        </w:rPr>
        <w:t xml:space="preserve"> mixed response in</w:t>
      </w:r>
      <w:r>
        <w:rPr>
          <w:rFonts w:ascii="Arial" w:hAnsi="Arial" w:cs="Arial"/>
          <w:sz w:val="24"/>
          <w:szCs w:val="24"/>
          <w:lang w:val="en-GB"/>
        </w:rPr>
        <w:t xml:space="preserve"> the study by</w:t>
      </w:r>
      <w:r w:rsidRPr="001056C0">
        <w:rPr>
          <w:rFonts w:ascii="Arial" w:hAnsi="Arial" w:cs="Arial"/>
          <w:sz w:val="24"/>
          <w:szCs w:val="24"/>
          <w:lang w:val="en-GB"/>
        </w:rPr>
        <w:t xml:space="preserve"> Ahmed et al. indicates that doctors’ perception of the clinical role of pharmacists was not completely favourable. While in</w:t>
      </w:r>
      <w:r>
        <w:rPr>
          <w:rFonts w:ascii="Arial" w:hAnsi="Arial" w:cs="Arial"/>
          <w:sz w:val="24"/>
          <w:szCs w:val="24"/>
          <w:lang w:val="en-GB"/>
        </w:rPr>
        <w:t xml:space="preserve"> the study conducted by</w:t>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sidRPr="001056C0">
        <w:rPr>
          <w:rFonts w:ascii="Arial" w:hAnsi="Arial" w:cs="Arial"/>
          <w:sz w:val="24"/>
          <w:szCs w:val="24"/>
          <w:lang w:val="en-GB"/>
        </w:rPr>
        <w:instrText>ADDIN CSL_CITATION {"citationItems":[{"id":"ITEM-1","itemData":{"DOI":"10.1177/2377960819889769","ISSN":"23779608","abstract":"Clinical pharmacists are responsible for guiding pharmacotherapy and ensuring medication safety along with other health-care providers. This study highlighted barriers that physicians and nurses encounter when interacting with clinical pharmacists. Twenty-seven physicians and nurses were randomly invited to participate in focus-group discussions. Five focus-group discussions were recorded and then transcribed, and the transcripts were reviewed and coded. Three major themes were identified, which were the role of clinical pharmacists, interprofessional communication, and competency. The greatest challenge reported in this study was lack of consistent understanding of the role of clinical pharmacists which to some extent caused communication deficiencies and affected the level of involvement with multidisciplinary teams. Despite that, majority of the participants perceived pharmacists as beneficial in optimizing pharmacotherapy and improving quality of care. Clinical pharmacy services are perceived positively in impacting quality of care as expressed by majority of the study participants. However, there is a lack of common understanding of the role of clinical pharmacists by other health-care providers.","author":[{"dropping-particle":"","family":"Alsuhebany","given":"Nada","non-dropping-particle":"","parse-names":false,"suffix":""},{"dropping-particle":"","family":"Alfehaid","given":"Lama","non-dropping-particle":"","parse-names":false,"suffix":""},{"dropping-particle":"","family":"Almodaimegh","given":"Hind","non-dropping-particle":"","parse-names":false,"suffix":""},{"dropping-particle":"","family":"Albekairy","given":"Abdulkareem","non-dropping-particle":"","parse-names":false,"suffix":""},{"dropping-particle":"","family":"Alharbi","given":"Shmeylan","non-dropping-particle":"","parse-names":false,"suffix":""}],"container-title":"SAGE Open Nursing","id":"ITEM-1","issued":{"date-parts":[["2019"]]},"title":"Attitude and Perception of Physicians and Nurses Toward the Role of Clinical Pharmacists in Riyadh, Saudi Arabia: A Qualitative Study","type":"article-journal","volume":"5"},"uris":["http://www.mendeley.com/documents/?uuid=85a9f96e-883b-424e-8019-689cd4c4142c"]}],"mendeley":{"formattedCitation":"(Alsuhebany &lt;i&gt;et al.&lt;/i&gt;, 2019)","manualFormatting":"Alsuhebany et al., (2019)","plainTextFormattedCitation":"(Alsuhebany et al., 2019)","previouslyFormattedCitation":"(Alsuhebany &lt;i&gt;et al.&lt;/i&gt;, 2019)"},"properties":{"noteIndex":0},"schema":"https://github.com/citation-style-language/schema/raw/master/csl-citation.json"}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Alsuhebany et al., (2019)</w:t>
      </w:r>
      <w:r w:rsidRPr="001056C0">
        <w:rPr>
          <w:rFonts w:ascii="Arial" w:hAnsi="Arial" w:cs="Arial"/>
          <w:sz w:val="24"/>
          <w:szCs w:val="24"/>
          <w:lang w:val="en-GB"/>
        </w:rPr>
        <w:fldChar w:fldCharType="end"/>
      </w:r>
      <w:r w:rsidRPr="001056C0">
        <w:rPr>
          <w:rFonts w:ascii="Arial" w:hAnsi="Arial" w:cs="Arial"/>
          <w:sz w:val="24"/>
          <w:szCs w:val="24"/>
          <w:lang w:val="en-GB"/>
        </w:rPr>
        <w:t>, doctors and nurses mentioned that having pharmacists on their team made their work easier and</w:t>
      </w:r>
      <w:r>
        <w:rPr>
          <w:rFonts w:ascii="Arial" w:hAnsi="Arial" w:cs="Arial"/>
          <w:sz w:val="24"/>
          <w:szCs w:val="24"/>
          <w:lang w:val="en-GB"/>
        </w:rPr>
        <w:t xml:space="preserve"> that they</w:t>
      </w:r>
      <w:r w:rsidRPr="001056C0">
        <w:rPr>
          <w:rFonts w:ascii="Arial" w:hAnsi="Arial" w:cs="Arial"/>
          <w:sz w:val="24"/>
          <w:szCs w:val="24"/>
          <w:lang w:val="en-GB"/>
        </w:rPr>
        <w:t xml:space="preserve"> </w:t>
      </w:r>
      <w:r>
        <w:rPr>
          <w:rFonts w:ascii="Arial" w:hAnsi="Arial" w:cs="Arial"/>
          <w:sz w:val="24"/>
          <w:szCs w:val="24"/>
          <w:lang w:val="en-GB"/>
        </w:rPr>
        <w:t xml:space="preserve">worried </w:t>
      </w:r>
      <w:r w:rsidRPr="001056C0">
        <w:rPr>
          <w:rFonts w:ascii="Arial" w:hAnsi="Arial" w:cs="Arial"/>
          <w:sz w:val="24"/>
          <w:szCs w:val="24"/>
          <w:lang w:val="en-GB"/>
        </w:rPr>
        <w:t xml:space="preserve">less about making medication errors because pharmacists offer suggestions to doctors before writing a prescription and also check the prescription before dispensing it to the patient. This </w:t>
      </w:r>
      <w:r>
        <w:rPr>
          <w:rFonts w:ascii="Arial" w:hAnsi="Arial" w:cs="Arial"/>
          <w:sz w:val="24"/>
          <w:szCs w:val="24"/>
          <w:lang w:val="en-GB"/>
        </w:rPr>
        <w:t>could</w:t>
      </w:r>
      <w:r w:rsidRPr="001056C0">
        <w:rPr>
          <w:rFonts w:ascii="Arial" w:hAnsi="Arial" w:cs="Arial"/>
          <w:sz w:val="24"/>
          <w:szCs w:val="24"/>
          <w:lang w:val="en-GB"/>
        </w:rPr>
        <w:t xml:space="preserve"> contribute to enhancing patient’s safety (as a result of a decrease in medication errors) and increasing the job satisfaction of </w:t>
      </w:r>
      <w:r>
        <w:rPr>
          <w:rFonts w:ascii="Arial" w:hAnsi="Arial" w:cs="Arial"/>
          <w:sz w:val="24"/>
          <w:szCs w:val="24"/>
          <w:lang w:val="en-GB"/>
        </w:rPr>
        <w:t>HCPs</w:t>
      </w:r>
      <w:r w:rsidRPr="001056C0">
        <w:rPr>
          <w:rFonts w:ascii="Arial" w:hAnsi="Arial" w:cs="Arial"/>
          <w:sz w:val="24"/>
          <w:szCs w:val="24"/>
          <w:lang w:val="en-GB"/>
        </w:rPr>
        <w:t xml:space="preserve">. </w:t>
      </w:r>
    </w:p>
    <w:p w14:paraId="33990913" w14:textId="77777777" w:rsidR="00941883" w:rsidRPr="001056C0" w:rsidRDefault="00941883" w:rsidP="00941883">
      <w:pPr>
        <w:spacing w:line="360" w:lineRule="auto"/>
        <w:jc w:val="both"/>
        <w:rPr>
          <w:rFonts w:ascii="Arial" w:hAnsi="Arial" w:cs="Arial"/>
          <w:sz w:val="24"/>
          <w:szCs w:val="24"/>
          <w:lang w:val="en-GB"/>
        </w:rPr>
      </w:pPr>
      <w:r w:rsidRPr="003C37F0">
        <w:rPr>
          <w:rFonts w:ascii="Arial" w:hAnsi="Arial" w:cs="Arial"/>
          <w:sz w:val="24"/>
          <w:szCs w:val="24"/>
          <w:lang w:val="en-GB"/>
        </w:rPr>
        <w:t>Alomi et al.</w:t>
      </w:r>
      <w:r>
        <w:rPr>
          <w:rFonts w:ascii="Arial" w:hAnsi="Arial" w:cs="Arial"/>
          <w:sz w:val="24"/>
          <w:szCs w:val="24"/>
          <w:lang w:val="en-GB"/>
        </w:rPr>
        <w:t xml:space="preserve"> (</w:t>
      </w:r>
      <w:r w:rsidRPr="003C37F0">
        <w:rPr>
          <w:rFonts w:ascii="Arial" w:hAnsi="Arial" w:cs="Arial"/>
          <w:sz w:val="24"/>
          <w:szCs w:val="24"/>
          <w:lang w:val="en-GB"/>
        </w:rPr>
        <w:t>2019</w:t>
      </w:r>
      <w:r>
        <w:rPr>
          <w:rFonts w:ascii="Arial" w:hAnsi="Arial" w:cs="Arial"/>
          <w:sz w:val="24"/>
          <w:szCs w:val="24"/>
          <w:lang w:val="en-GB"/>
        </w:rPr>
        <w:t>)</w:t>
      </w:r>
      <w:r w:rsidRPr="003C37F0">
        <w:rPr>
          <w:rFonts w:ascii="Arial" w:hAnsi="Arial" w:cs="Arial"/>
          <w:sz w:val="24"/>
          <w:szCs w:val="24"/>
          <w:lang w:val="en-GB"/>
        </w:rPr>
        <w:t xml:space="preserve"> </w:t>
      </w:r>
      <w:r>
        <w:rPr>
          <w:rFonts w:ascii="Arial" w:hAnsi="Arial" w:cs="Arial"/>
          <w:sz w:val="24"/>
          <w:szCs w:val="24"/>
          <w:lang w:val="en-GB"/>
        </w:rPr>
        <w:t>claim that</w:t>
      </w:r>
      <w:r w:rsidRPr="003C37F0">
        <w:rPr>
          <w:rFonts w:ascii="Arial" w:hAnsi="Arial" w:cs="Arial"/>
          <w:sz w:val="24"/>
          <w:szCs w:val="24"/>
          <w:lang w:val="en-GB"/>
        </w:rPr>
        <w:t xml:space="preserve"> the image of pharmacists and their performance are improving in </w:t>
      </w:r>
      <w:r>
        <w:rPr>
          <w:rFonts w:ascii="Arial" w:hAnsi="Arial" w:cs="Arial"/>
          <w:sz w:val="24"/>
          <w:szCs w:val="24"/>
          <w:lang w:val="en-GB"/>
        </w:rPr>
        <w:t>SA</w:t>
      </w:r>
      <w:r w:rsidRPr="003C37F0">
        <w:rPr>
          <w:rFonts w:ascii="Arial" w:hAnsi="Arial" w:cs="Arial"/>
          <w:sz w:val="24"/>
          <w:szCs w:val="24"/>
          <w:lang w:val="en-GB"/>
        </w:rPr>
        <w:t xml:space="preserve">, especially in the private sectors. The study found that increasing awareness of pharmacists' role in public health will change the future vision of the pharmacy profession in </w:t>
      </w:r>
      <w:r>
        <w:rPr>
          <w:rFonts w:ascii="Arial" w:hAnsi="Arial" w:cs="Arial"/>
          <w:sz w:val="24"/>
          <w:szCs w:val="24"/>
          <w:lang w:val="en-GB"/>
        </w:rPr>
        <w:t>SA</w:t>
      </w:r>
      <w:r w:rsidRPr="003C37F0">
        <w:rPr>
          <w:rFonts w:ascii="Arial" w:hAnsi="Arial" w:cs="Arial"/>
          <w:sz w:val="24"/>
          <w:szCs w:val="24"/>
          <w:lang w:val="en-GB"/>
        </w:rPr>
        <w:t>. Therefore, they suggested that efforts should be made to expand community pharmacists' clinical skills</w:t>
      </w:r>
      <w:r>
        <w:rPr>
          <w:rFonts w:ascii="Arial" w:hAnsi="Arial" w:cs="Arial"/>
          <w:sz w:val="24"/>
          <w:szCs w:val="24"/>
          <w:lang w:val="en-GB"/>
        </w:rPr>
        <w:t xml:space="preserv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{"citationItems":[{"id":"ITEM-1","itemData":{"DOI":"10.5530/ijpcs.2019.8.19","ISSN":"2278-0068","author":[{"dropping-particle":"","family":"Alomi","given":"Yousef Ahmed","non-dropping-particle":"","parse-names":false,"suffix":""},{"dropping-particle":"","family":"Aldosary","given":"Ban Abdullah","non-dropping-particle":"","parse-names":false,"suffix":""},{"dropping-particle":"","family":"Al-Hathlool","given":"Sarah Abdullah","non-dropping-particle":"","parse-names":false,"suffix":""},{"dropping-particle":"","family":"Almulhim","given":"Maryam Ibrahim","non-dropping-particle":"","parse-names":false,"suffix":""},{"dropping-particle":"","family":"Alashaq","given":"Amal Ali","non-dropping-particle":"","parse-names":false,"suffix":""},{"dropping-particle":"","family":"Aboshalaf","given":"Yousef","non-dropping-particle":"","parse-names":false,"suffix":""},{"dropping-particle":"","family":"Al-Ethan","given":"Mytham","non-dropping-particle":"","parse-names":false,"suffix":""}],"container-title":"International Journal of Pharmacology and Clinical Sciences","id":"ITEM-1","issue":"2","issued":{"date-parts":[["2019"]]},"page":"110-115","title":"Attitudes and Perceptions of Healthcare Professionals towards Pharmaceutical Care Services in Kingdom of Saudi Arabia","type":"article-journal","volume":"8"},"uris":["http://www.mendeley.com/documents/?uuid=29c84aa8-481c-43f8-9159-daab91b47512"]}],"mendeley":{"formattedCitation":"(Alomi, Aldosary, &lt;i&gt;et al.&lt;/i&gt;, 2019)","manualFormatting":"(Alomi et al., 2019)","plainTextFormattedCitation":"(Alomi, Aldosary, et al., 2019)","previouslyFormattedCitation":"(Alomi, Aldosary, &lt;i&gt;et al.&lt;/i&gt;, 2019)"},"properties":{"noteIndex":0},"schema":"https://github.com/citation-style-language/schema/raw/master/csl-citation.json"}</w:instrText>
      </w:r>
      <w:r>
        <w:rPr>
          <w:rFonts w:ascii="Arial" w:hAnsi="Arial" w:cs="Arial"/>
          <w:sz w:val="24"/>
          <w:szCs w:val="24"/>
          <w:lang w:val="en-GB"/>
        </w:rPr>
        <w:fldChar w:fldCharType="separate"/>
      </w:r>
      <w:r w:rsidRPr="00800EFD">
        <w:rPr>
          <w:rFonts w:ascii="Arial" w:hAnsi="Arial" w:cs="Arial"/>
          <w:noProof/>
          <w:sz w:val="24"/>
          <w:szCs w:val="24"/>
          <w:lang w:val="en-GB"/>
        </w:rPr>
        <w:t xml:space="preserve">(Alomi </w:t>
      </w:r>
      <w:r w:rsidRPr="00800EFD">
        <w:rPr>
          <w:rFonts w:ascii="Arial" w:hAnsi="Arial" w:cs="Arial"/>
          <w:i/>
          <w:noProof/>
          <w:sz w:val="24"/>
          <w:szCs w:val="24"/>
          <w:lang w:val="en-GB"/>
        </w:rPr>
        <w:t>et al.</w:t>
      </w:r>
      <w:r w:rsidRPr="00800EFD">
        <w:rPr>
          <w:rFonts w:ascii="Arial" w:hAnsi="Arial" w:cs="Arial"/>
          <w:noProof/>
          <w:sz w:val="24"/>
          <w:szCs w:val="24"/>
          <w:lang w:val="en-GB"/>
        </w:rPr>
        <w:t>, 2019)</w:t>
      </w:r>
      <w:r>
        <w:rPr>
          <w:rFonts w:ascii="Arial" w:hAnsi="Arial" w:cs="Arial"/>
          <w:sz w:val="24"/>
          <w:szCs w:val="24"/>
          <w:lang w:val="en-GB"/>
        </w:rPr>
        <w:fldChar w:fldCharType="end"/>
      </w:r>
      <w:r w:rsidRPr="003C37F0">
        <w:rPr>
          <w:rFonts w:ascii="Arial" w:hAnsi="Arial" w:cs="Arial"/>
          <w:sz w:val="24"/>
          <w:szCs w:val="24"/>
          <w:lang w:val="en-GB"/>
        </w:rPr>
        <w:t>.</w:t>
      </w:r>
      <w:r>
        <w:rPr>
          <w:rFonts w:ascii="Arial" w:hAnsi="Arial" w:cs="Arial"/>
          <w:sz w:val="24"/>
          <w:szCs w:val="24"/>
          <w:lang w:val="en-GB"/>
        </w:rPr>
        <w:t xml:space="preserve"> However,</w:t>
      </w:r>
      <w:r w:rsidRPr="003C37F0">
        <w:rPr>
          <w:rFonts w:ascii="Arial" w:hAnsi="Arial" w:cs="Arial"/>
          <w:sz w:val="24"/>
          <w:szCs w:val="24"/>
          <w:lang w:val="en-GB"/>
        </w:rPr>
        <w:t xml:space="preserve"> </w:t>
      </w:r>
      <w:r>
        <w:rPr>
          <w:rFonts w:ascii="Arial" w:hAnsi="Arial" w:cs="Arial"/>
          <w:sz w:val="24"/>
          <w:szCs w:val="24"/>
          <w:lang w:val="en-GB"/>
        </w:rPr>
        <w:t>l</w:t>
      </w:r>
      <w:r w:rsidRPr="001056C0">
        <w:rPr>
          <w:rFonts w:ascii="Arial" w:hAnsi="Arial" w:cs="Arial"/>
          <w:sz w:val="24"/>
          <w:szCs w:val="24"/>
          <w:lang w:val="en-GB"/>
        </w:rPr>
        <w:t>imitations were found in Alomi</w:t>
      </w:r>
      <w:r>
        <w:rPr>
          <w:rFonts w:ascii="Arial" w:hAnsi="Arial" w:cs="Arial"/>
          <w:sz w:val="24"/>
          <w:szCs w:val="24"/>
          <w:lang w:val="en-GB"/>
        </w:rPr>
        <w:t>’</w:t>
      </w:r>
      <w:r w:rsidRPr="001056C0">
        <w:rPr>
          <w:rFonts w:ascii="Arial" w:hAnsi="Arial" w:cs="Arial"/>
          <w:sz w:val="24"/>
          <w:szCs w:val="24"/>
          <w:lang w:val="en-GB"/>
        </w:rPr>
        <w:t>s study</w:t>
      </w:r>
      <w:r>
        <w:rPr>
          <w:rFonts w:ascii="Arial" w:hAnsi="Arial" w:cs="Arial"/>
          <w:sz w:val="24"/>
          <w:szCs w:val="24"/>
          <w:lang w:val="en-GB"/>
        </w:rPr>
        <w:t>,</w:t>
      </w:r>
      <w:r w:rsidRPr="001056C0">
        <w:rPr>
          <w:rFonts w:ascii="Arial" w:hAnsi="Arial" w:cs="Arial"/>
          <w:sz w:val="24"/>
          <w:szCs w:val="24"/>
          <w:lang w:val="en-GB"/>
        </w:rPr>
        <w:t xml:space="preserve"> whereas the </w:t>
      </w:r>
      <w:r>
        <w:rPr>
          <w:rFonts w:ascii="Arial" w:hAnsi="Arial" w:cs="Arial"/>
          <w:sz w:val="24"/>
          <w:szCs w:val="24"/>
          <w:lang w:val="en-GB"/>
        </w:rPr>
        <w:t>research</w:t>
      </w:r>
      <w:r w:rsidRPr="001056C0">
        <w:rPr>
          <w:rFonts w:ascii="Arial" w:hAnsi="Arial" w:cs="Arial"/>
          <w:sz w:val="24"/>
          <w:szCs w:val="24"/>
          <w:lang w:val="en-GB"/>
        </w:rPr>
        <w:t xml:space="preserve"> results are inconsistent with the title/aim of the study. The</w:t>
      </w:r>
      <w:r>
        <w:rPr>
          <w:rFonts w:ascii="Arial" w:hAnsi="Arial" w:cs="Arial"/>
          <w:sz w:val="24"/>
          <w:szCs w:val="24"/>
          <w:lang w:val="en-GB"/>
        </w:rPr>
        <w:t>ir</w:t>
      </w:r>
      <w:r w:rsidRPr="001056C0">
        <w:rPr>
          <w:rFonts w:ascii="Arial" w:hAnsi="Arial" w:cs="Arial"/>
          <w:sz w:val="24"/>
          <w:szCs w:val="24"/>
          <w:lang w:val="en-GB"/>
        </w:rPr>
        <w:t xml:space="preserve"> study results reflect the barriers and facilitators that limit the provision of pharmaceutical care more than the attitudes and perceptions of </w:t>
      </w:r>
      <w:r>
        <w:rPr>
          <w:rFonts w:ascii="Arial" w:hAnsi="Arial" w:cs="Arial"/>
          <w:sz w:val="24"/>
          <w:szCs w:val="24"/>
          <w:lang w:val="en-GB"/>
        </w:rPr>
        <w:t>HCPs</w:t>
      </w:r>
      <w:r w:rsidRPr="001056C0">
        <w:rPr>
          <w:rFonts w:ascii="Arial" w:hAnsi="Arial" w:cs="Arial"/>
          <w:sz w:val="24"/>
          <w:szCs w:val="24"/>
          <w:lang w:val="en-GB"/>
        </w:rPr>
        <w:t xml:space="preserve"> towards pharmaceutical care services. In addition, there is uncertainty in the</w:t>
      </w:r>
      <w:r>
        <w:rPr>
          <w:rFonts w:ascii="Arial" w:hAnsi="Arial" w:cs="Arial"/>
          <w:sz w:val="24"/>
          <w:szCs w:val="24"/>
          <w:lang w:val="en-GB"/>
        </w:rPr>
        <w:t>ir</w:t>
      </w:r>
      <w:r w:rsidRPr="001056C0">
        <w:rPr>
          <w:rFonts w:ascii="Arial" w:hAnsi="Arial" w:cs="Arial"/>
          <w:sz w:val="24"/>
          <w:szCs w:val="24"/>
          <w:lang w:val="en-GB"/>
        </w:rPr>
        <w:t xml:space="preserve"> research methodology and data analysis</w:t>
      </w:r>
      <w:r>
        <w:rPr>
          <w:rFonts w:ascii="Arial" w:hAnsi="Arial" w:cs="Arial"/>
          <w:sz w:val="24"/>
          <w:szCs w:val="24"/>
          <w:lang w:val="en-GB"/>
        </w:rPr>
        <w:t>.</w:t>
      </w:r>
      <w:r w:rsidRPr="001056C0">
        <w:rPr>
          <w:rFonts w:ascii="Arial" w:hAnsi="Arial" w:cs="Arial"/>
          <w:sz w:val="24"/>
          <w:szCs w:val="24"/>
          <w:lang w:val="en-GB"/>
        </w:rPr>
        <w:t xml:space="preserve"> </w:t>
      </w:r>
      <w:r>
        <w:rPr>
          <w:rFonts w:ascii="Arial" w:hAnsi="Arial" w:cs="Arial"/>
          <w:sz w:val="24"/>
          <w:szCs w:val="24"/>
          <w:lang w:val="en-GB"/>
        </w:rPr>
        <w:t>F</w:t>
      </w:r>
      <w:r w:rsidRPr="001056C0">
        <w:rPr>
          <w:rFonts w:ascii="Arial" w:hAnsi="Arial" w:cs="Arial"/>
          <w:sz w:val="24"/>
          <w:szCs w:val="24"/>
          <w:lang w:val="en-GB"/>
        </w:rPr>
        <w:t>or example, the unavailability of the research questionnaire</w:t>
      </w:r>
      <w:r>
        <w:rPr>
          <w:rFonts w:ascii="Arial" w:hAnsi="Arial" w:cs="Arial"/>
          <w:sz w:val="24"/>
          <w:szCs w:val="24"/>
          <w:lang w:val="en-GB"/>
        </w:rPr>
        <w:t>,</w:t>
      </w:r>
      <w:r w:rsidRPr="001056C0">
        <w:rPr>
          <w:rFonts w:ascii="Arial" w:hAnsi="Arial" w:cs="Arial"/>
          <w:sz w:val="24"/>
          <w:szCs w:val="24"/>
          <w:lang w:val="en-GB"/>
        </w:rPr>
        <w:t xml:space="preserve"> and </w:t>
      </w:r>
      <w:r>
        <w:rPr>
          <w:rFonts w:ascii="Arial" w:hAnsi="Arial" w:cs="Arial"/>
          <w:sz w:val="24"/>
          <w:szCs w:val="24"/>
          <w:lang w:val="en-GB"/>
        </w:rPr>
        <w:t>it</w:t>
      </w:r>
      <w:r w:rsidRPr="001056C0">
        <w:rPr>
          <w:rFonts w:ascii="Arial" w:hAnsi="Arial" w:cs="Arial"/>
          <w:sz w:val="24"/>
          <w:szCs w:val="24"/>
          <w:lang w:val="en-GB"/>
        </w:rPr>
        <w:t xml:space="preserve"> is unknown </w:t>
      </w:r>
      <w:r>
        <w:rPr>
          <w:rFonts w:ascii="Arial" w:hAnsi="Arial" w:cs="Arial"/>
          <w:sz w:val="24"/>
          <w:szCs w:val="24"/>
          <w:lang w:val="en-GB"/>
        </w:rPr>
        <w:t>whether</w:t>
      </w:r>
      <w:r w:rsidRPr="001056C0">
        <w:rPr>
          <w:rFonts w:ascii="Arial" w:hAnsi="Arial" w:cs="Arial"/>
          <w:sz w:val="24"/>
          <w:szCs w:val="24"/>
          <w:lang w:val="en-GB"/>
        </w:rPr>
        <w:t xml:space="preserve"> it was piloted or not. </w:t>
      </w:r>
      <w:r>
        <w:rPr>
          <w:rFonts w:ascii="Arial" w:hAnsi="Arial" w:cs="Arial"/>
          <w:sz w:val="24"/>
          <w:szCs w:val="24"/>
          <w:lang w:val="en-GB"/>
        </w:rPr>
        <w:t>Furthermore</w:t>
      </w:r>
      <w:r w:rsidRPr="001056C0">
        <w:rPr>
          <w:rFonts w:ascii="Arial" w:hAnsi="Arial" w:cs="Arial"/>
          <w:sz w:val="24"/>
          <w:szCs w:val="24"/>
          <w:lang w:val="en-GB"/>
        </w:rPr>
        <w:t>, the researcher</w:t>
      </w:r>
      <w:r>
        <w:rPr>
          <w:rFonts w:ascii="Arial" w:hAnsi="Arial" w:cs="Arial"/>
          <w:sz w:val="24"/>
          <w:szCs w:val="24"/>
          <w:lang w:val="en-GB"/>
        </w:rPr>
        <w:t>s</w:t>
      </w:r>
      <w:r w:rsidRPr="001056C0">
        <w:rPr>
          <w:rFonts w:ascii="Arial" w:hAnsi="Arial" w:cs="Arial"/>
          <w:sz w:val="24"/>
          <w:szCs w:val="24"/>
          <w:lang w:val="en-GB"/>
        </w:rPr>
        <w:t xml:space="preserve"> used </w:t>
      </w:r>
      <w:r>
        <w:rPr>
          <w:rFonts w:ascii="Arial" w:hAnsi="Arial" w:cs="Arial"/>
          <w:sz w:val="24"/>
          <w:szCs w:val="24"/>
          <w:lang w:val="en-GB"/>
        </w:rPr>
        <w:t>an</w:t>
      </w:r>
      <w:r w:rsidRPr="001056C0">
        <w:rPr>
          <w:rFonts w:ascii="Arial" w:hAnsi="Arial" w:cs="Arial"/>
          <w:sz w:val="24"/>
          <w:szCs w:val="24"/>
          <w:lang w:val="en-GB"/>
        </w:rPr>
        <w:t xml:space="preserve"> average rating </w:t>
      </w:r>
      <w:r>
        <w:rPr>
          <w:rFonts w:ascii="Arial" w:hAnsi="Arial" w:cs="Arial"/>
          <w:sz w:val="24"/>
          <w:szCs w:val="24"/>
          <w:lang w:val="en-GB"/>
        </w:rPr>
        <w:t>o</w:t>
      </w:r>
      <w:r w:rsidRPr="001056C0">
        <w:rPr>
          <w:rFonts w:ascii="Arial" w:hAnsi="Arial" w:cs="Arial"/>
          <w:sz w:val="24"/>
          <w:szCs w:val="24"/>
          <w:lang w:val="en-GB"/>
        </w:rPr>
        <w:t>n the Likert scale instead of the mode or the median. Therefore, the results of this study should be used with caution.</w:t>
      </w:r>
    </w:p>
    <w:p w14:paraId="10FDFD5D" w14:textId="77777777" w:rsidR="00941883" w:rsidRDefault="00941883" w:rsidP="00941883">
      <w:pPr>
        <w:spacing w:line="360" w:lineRule="auto"/>
        <w:jc w:val="both"/>
        <w:rPr>
          <w:rFonts w:ascii="Arial" w:hAnsi="Arial" w:cs="Arial"/>
          <w:sz w:val="24"/>
          <w:szCs w:val="24"/>
          <w:lang w:val="en-GB"/>
        </w:rPr>
      </w:pPr>
      <w:r w:rsidRPr="001056C0">
        <w:rPr>
          <w:rFonts w:ascii="Arial" w:hAnsi="Arial" w:cs="Arial"/>
          <w:sz w:val="24"/>
          <w:szCs w:val="24"/>
          <w:lang w:val="en-GB"/>
        </w:rPr>
        <w:t>The attitudes of patients, on the other hand, was variant</w:t>
      </w:r>
      <w:r>
        <w:rPr>
          <w:rFonts w:ascii="Arial" w:hAnsi="Arial" w:cs="Arial"/>
          <w:sz w:val="24"/>
          <w:szCs w:val="24"/>
          <w:lang w:val="en-GB"/>
        </w:rPr>
        <w:t xml:space="preserve">. Patient attitude </w:t>
      </w:r>
      <w:r w:rsidRPr="001056C0">
        <w:rPr>
          <w:rFonts w:ascii="Arial" w:hAnsi="Arial" w:cs="Arial"/>
          <w:sz w:val="24"/>
          <w:szCs w:val="24"/>
          <w:lang w:val="en-GB"/>
        </w:rPr>
        <w:t>was positive toward</w:t>
      </w:r>
      <w:r>
        <w:rPr>
          <w:rFonts w:ascii="Arial" w:hAnsi="Arial" w:cs="Arial"/>
          <w:sz w:val="24"/>
          <w:szCs w:val="24"/>
          <w:lang w:val="en-GB"/>
        </w:rPr>
        <w:t>s</w:t>
      </w:r>
      <w:r w:rsidRPr="001056C0">
        <w:rPr>
          <w:rFonts w:ascii="Arial" w:hAnsi="Arial" w:cs="Arial"/>
          <w:sz w:val="24"/>
          <w:szCs w:val="24"/>
          <w:lang w:val="en-GB"/>
        </w:rPr>
        <w:t xml:space="preserve"> community pharmacist</w:t>
      </w:r>
      <w:r>
        <w:rPr>
          <w:rFonts w:ascii="Arial" w:hAnsi="Arial" w:cs="Arial"/>
          <w:sz w:val="24"/>
          <w:szCs w:val="24"/>
          <w:lang w:val="en-GB"/>
        </w:rPr>
        <w:t>s,</w:t>
      </w:r>
      <w:r w:rsidRPr="001056C0">
        <w:rPr>
          <w:rFonts w:ascii="Arial" w:hAnsi="Arial" w:cs="Arial"/>
          <w:sz w:val="24"/>
          <w:szCs w:val="24"/>
          <w:lang w:val="en-GB"/>
        </w:rPr>
        <w:t xml:space="preserve"> as found in the</w:t>
      </w:r>
      <w:r>
        <w:rPr>
          <w:rFonts w:ascii="Arial" w:hAnsi="Arial" w:cs="Arial"/>
          <w:sz w:val="24"/>
          <w:szCs w:val="24"/>
          <w:lang w:val="en-GB"/>
        </w:rPr>
        <w:t xml:space="preserve"> study by</w:t>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{"citationItems":[{"id":"ITEM-1","itemData":{"DOI":"10.1111/ijpp.12572","ISSN":"0961-7671","abstract":"Objective: The aim of this program was to demonstrate that retail community pharmacists could successfully recruit, engage and counsel people with diabetes by serving as a trusted source of diabetes information. We evaluated the outcomes of this clinical program in preparation for a wider roll out. Methods: Joslin Diabetes Center collaborated with Nahdi Medical Company, a large retail pharmacy chain in Saudi Arabia, to offer a ‘Let’s Talk About Diabetes’ (LTAD) program. LTAD consists of four 1: 1 counselling sessions, approximately 20 min each, scheduled over a 2–4 month period with a focus on medications, lab results, glucose monitoring and doctor visits. Twenty-five pharmacists completed diabetes education certification and intensive on-site training to deliver the LTAD program. Results: The 25 program pharmacists in 11 locations enrolled 2639 individual customers into the program. Of these, 1582 participated in at least one session and 1137 (71.9%) participated in at least one LTAD session and completed follow-up surveys. There were 380 customers with paired HbA1C results which demonstrated a reduction from 8.50% (69 mmol/mol) to 7.32% (56 mmol/mol) (P &lt; 0.001). There were improvements in diabetes awareness, attitudes towards diabetes and medication adherence. Conclusion: The evaluation of this community program suggests that a pharmacy-led diabetes education program is feasible in Saudi Arabia.","author":[{"dropping-particle":"","family":"Khan","given":"Yasmin","non-dropping-particle":"","parse-names":false,"suffix":""},{"dropping-particle":"","family":"Imershein","given":"Sarah","non-dropping-particle":"","parse-names":false,"suffix":""},{"dropping-particle":"","family":"Maryniuk","given":"Melinda","non-dropping-particle":"","parse-names":false,"suffix":""},{"dropping-particle":"","family":"Armian","given":"Haleh","non-dropping-particle":"","parse-names":false,"suffix":""},{"dropping-particle":"","family":"Turkistani","given":"Sarah Anwar","non-dropping-particle":"","parse-names":false,"suffix":""},{"dropping-particle":"","family":"Bayoumi","given":"Aly H.","non-dropping-particle":"","parse-names":false,"suffix":""},{"dropping-particle":"","family":"Al</w:instrText>
      </w:r>
      <w:r>
        <w:rPr>
          <w:rFonts w:ascii="Cambria Math" w:hAnsi="Cambria Math" w:cs="Cambria Math"/>
          <w:sz w:val="24"/>
          <w:szCs w:val="24"/>
          <w:lang w:val="en-GB"/>
        </w:rPr>
        <w:instrText>‐</w:instrText>
      </w:r>
      <w:r>
        <w:rPr>
          <w:rFonts w:ascii="Arial" w:hAnsi="Arial" w:cs="Arial"/>
          <w:sz w:val="24"/>
          <w:szCs w:val="24"/>
          <w:lang w:val="en-GB"/>
        </w:rPr>
        <w:instrText>Harbi","given":"Mohammed Yahia","non-dropping-particle":"","parse-names":false,"suffix":""},{"dropping-particle":"","family":"Hsu","given":"William C.","non-dropping-particle":"","parse-names":false,"suffix":""},{"dropping-particle":"","family":"Al-Harbi","given":"M Y","non-dropping-particle":"","parse-names":false,"suffix":""},{"dropping-particle":"","family":"Hsu","given":"William C.","non-dropping-particle":"","parse-names":false,"suffix":""}],"container-title":"International Journal of Pharmacy Practice","id":"ITEM-1","issue":"1","issued":{"date-parts":[["2020","2","9"]]},"page":"49-55","publisher":"Wiley-Blackwell Publishing Ltd","title":"A program utilizing community pharmacists to improve diabetes education in the Kingdom of Saudi Arabia","type":"article-journal","volume":"28"},"uris":["http://www.mendeley.com/documents/?uuid=5f6e2ba6-c61f-4f46-849d-d13a9aeed886"]}],"mendeley":{"formattedCitation":"(Khan &lt;i&gt;et al.&lt;/i&gt;, 2020)","manualFormatting":"Khan et al. (2020)","plainTextFormattedCitation":"(Khan et al., 2020)","previouslyFormattedCitation":"(Khan &lt;i&gt;et al.&lt;/i&gt;, 2020)"},"properties":{"noteIndex":0},"schema":"https://github.com/citation-style-language/schema/raw/master/csl-citation.json"}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Khan et al. (2020)</w:t>
      </w:r>
      <w:r w:rsidRPr="001056C0">
        <w:rPr>
          <w:rFonts w:ascii="Arial" w:hAnsi="Arial" w:cs="Arial"/>
          <w:sz w:val="24"/>
          <w:szCs w:val="24"/>
          <w:lang w:val="en-GB"/>
        </w:rPr>
        <w:fldChar w:fldCharType="end"/>
      </w:r>
      <w:r>
        <w:rPr>
          <w:rFonts w:ascii="Arial" w:hAnsi="Arial" w:cs="Arial"/>
          <w:sz w:val="24"/>
          <w:szCs w:val="24"/>
          <w:lang w:val="en-GB"/>
        </w:rPr>
        <w:t xml:space="preserve">, </w:t>
      </w:r>
      <w:r w:rsidRPr="001056C0">
        <w:rPr>
          <w:rFonts w:ascii="Arial" w:hAnsi="Arial" w:cs="Arial"/>
          <w:sz w:val="24"/>
          <w:szCs w:val="24"/>
          <w:lang w:val="en-GB"/>
        </w:rPr>
        <w:t>while it was negative toward</w:t>
      </w:r>
      <w:r>
        <w:rPr>
          <w:rFonts w:ascii="Arial" w:hAnsi="Arial" w:cs="Arial"/>
          <w:sz w:val="24"/>
          <w:szCs w:val="24"/>
          <w:lang w:val="en-GB"/>
        </w:rPr>
        <w:t>s</w:t>
      </w:r>
      <w:r w:rsidRPr="001056C0">
        <w:rPr>
          <w:rFonts w:ascii="Arial" w:hAnsi="Arial" w:cs="Arial"/>
          <w:sz w:val="24"/>
          <w:szCs w:val="24"/>
          <w:lang w:val="en-GB"/>
        </w:rPr>
        <w:t xml:space="preserve"> hospital pharmacists in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{"citationItems":[{"id":"ITEM-1","itemData":{"DOI":"10.1177/2374373519846945","ISSN":"2374-3735","abstract":"Introduction: Patient counseling can be helpful in improving the outcome of disease management, particularly chronic diseases such as diabetes mellitus, which is common in Saudi Arabia. The present study looks to investigate the levels of counseling and satisfaction among patients attending diabetic clinics in outpatient hospital pharmacy in Al Ahsa, Saudi Arabia. Method: This is a cross-sectional investigation, carried out by using interview-structured questionnaire, targeting diabetes mellitus patients with or without comorbid states. The questionnaire was divided into 3 parts comprising of demographics, counseling types given while collecting prescription, and satisfaction rating of services provided. Result: More males than females participated; most of whom were college graduates older than 51 years. Sixty-three percent of the entire participants are type 1 diabetic patients, while 37% are type 2 diabetes mellitus patients. Coexistence of hypercholesterolemia was higher among type 1 diabetes patients with 51.9%, while hypertension was more common among type 2 diabetic patients representing 68.2%. Findings also showed that counseling was provided for medication use among type 1 diabetic patients but was deficient in the case of type 2 diabetic patients. Patients received low level of counseling on side effects and healthy lifestyle living. Satisfaction level was only 11.1%, indicating that counseling services might be deficient. Conclusion: This study has revealed poor counseling practices and low satisfaction levels in services provided by outpatient hospital pharmacies to diabetic patients. In the face of increasing prevalence of diabetes and comorbidity, counseling of diabetic patients is critical.","author":[{"dropping-particle":"","family":"Emeka","given":"Promise M","non-dropping-particle":"","parse-names":false,"suffix":""},{"dropping-particle":"","family":"AlMunjem","given":"Manea Fares","non-dropping-particle":"","parse-names":false,"suffix":""},{"dropping-particle":"","family":"Rasool","given":"Sahibzada Tasleem","non-dropping-particle":"","parse-names":false,"suffix":""},{"dropping-particle":"","family":"Kamil","given":"Noor","non-dropping-particle":"","parse-names":false,"suffix":""}],"container-title":"Journal of Patient Experience","id":"ITEM-1","issue":"3","issued":{"date-parts":[["2020"]]},"page":"338-345","title":"Evaluation of Counseling Practices and Patient’s Satisfaction Offered by Pharmacists for Diabetics Attending Outpatient Pharmacies in Al Ahsa","type":"article-journal","volume":"7"},"uris":["http://www.mendeley.com/documents/?uuid=ee3cf660-7c9a-4943-b22a-7cfa3d50ae8b"]}],"mendeley":{"formattedCitation":"(Emeka &lt;i&gt;et al.&lt;/i&gt;, 2020)","manualFormatting":"Emeka et al. (2020)","plainTextFormattedCitation":"(Emeka et al., 2020)","previouslyFormattedCitation":"(Emeka &lt;i&gt;et al.&lt;/i&gt;, 2020)"},"properties":{"noteIndex":0},"schema":"https://github.com/citation-style-language/schema/raw/master/csl-citation.json"}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Emeka et al. (2020)</w:t>
      </w:r>
      <w:r w:rsidRPr="001056C0">
        <w:rPr>
          <w:rFonts w:ascii="Arial" w:hAnsi="Arial" w:cs="Arial"/>
          <w:sz w:val="24"/>
          <w:szCs w:val="24"/>
          <w:lang w:val="en-GB"/>
        </w:rPr>
        <w:fldChar w:fldCharType="end"/>
      </w:r>
      <w:r w:rsidRPr="001056C0">
        <w:rPr>
          <w:rFonts w:ascii="Arial" w:hAnsi="Arial" w:cs="Arial"/>
          <w:sz w:val="24"/>
          <w:szCs w:val="24"/>
          <w:lang w:val="en-GB"/>
        </w:rPr>
        <w:t xml:space="preserve"> as shown </w:t>
      </w:r>
      <w:r>
        <w:rPr>
          <w:rFonts w:ascii="Arial" w:hAnsi="Arial" w:cs="Arial"/>
          <w:sz w:val="24"/>
          <w:szCs w:val="24"/>
          <w:lang w:val="en-GB"/>
        </w:rPr>
        <w:t xml:space="preserve">by </w:t>
      </w:r>
      <w:r w:rsidRPr="001056C0">
        <w:rPr>
          <w:rFonts w:ascii="Arial" w:hAnsi="Arial" w:cs="Arial"/>
          <w:sz w:val="24"/>
          <w:szCs w:val="24"/>
          <w:lang w:val="en-GB"/>
        </w:rPr>
        <w:t>th</w:t>
      </w:r>
      <w:r>
        <w:rPr>
          <w:rFonts w:ascii="Arial" w:hAnsi="Arial" w:cs="Arial"/>
          <w:sz w:val="24"/>
          <w:szCs w:val="24"/>
          <w:lang w:val="en-GB"/>
        </w:rPr>
        <w:t>e</w:t>
      </w:r>
      <w:r w:rsidRPr="001056C0">
        <w:rPr>
          <w:rFonts w:ascii="Arial" w:hAnsi="Arial" w:cs="Arial"/>
          <w:sz w:val="24"/>
          <w:szCs w:val="24"/>
          <w:lang w:val="en-GB"/>
        </w:rPr>
        <w:t xml:space="preserve"> low satisfaction of patients from pharmacy services. However, </w:t>
      </w:r>
      <w:r>
        <w:rPr>
          <w:rFonts w:ascii="Arial" w:hAnsi="Arial" w:cs="Arial"/>
          <w:sz w:val="24"/>
          <w:szCs w:val="24"/>
          <w:lang w:val="en-GB"/>
        </w:rPr>
        <w:t>p</w:t>
      </w:r>
      <w:r w:rsidRPr="001056C0">
        <w:rPr>
          <w:rFonts w:ascii="Arial" w:hAnsi="Arial" w:cs="Arial"/>
          <w:sz w:val="24"/>
          <w:szCs w:val="24"/>
          <w:lang w:val="en-GB"/>
        </w:rPr>
        <w:t>atients</w:t>
      </w:r>
      <w:r>
        <w:rPr>
          <w:rFonts w:ascii="Arial" w:hAnsi="Arial" w:cs="Arial"/>
          <w:sz w:val="24"/>
          <w:szCs w:val="24"/>
          <w:lang w:val="en-GB"/>
        </w:rPr>
        <w:t>’</w:t>
      </w:r>
      <w:r w:rsidRPr="001056C0">
        <w:rPr>
          <w:rFonts w:ascii="Arial" w:hAnsi="Arial" w:cs="Arial"/>
          <w:sz w:val="24"/>
          <w:szCs w:val="24"/>
          <w:lang w:val="en-GB"/>
        </w:rPr>
        <w:t xml:space="preserve"> perception</w:t>
      </w:r>
      <w:r>
        <w:rPr>
          <w:rFonts w:ascii="Arial" w:hAnsi="Arial" w:cs="Arial"/>
          <w:sz w:val="24"/>
          <w:szCs w:val="24"/>
          <w:lang w:val="en-GB"/>
        </w:rPr>
        <w:t>s</w:t>
      </w:r>
      <w:r w:rsidRPr="001056C0">
        <w:rPr>
          <w:rFonts w:ascii="Arial" w:hAnsi="Arial" w:cs="Arial"/>
          <w:sz w:val="24"/>
          <w:szCs w:val="24"/>
          <w:lang w:val="en-GB"/>
        </w:rPr>
        <w:t xml:space="preserve"> and attitude</w:t>
      </w:r>
      <w:r>
        <w:rPr>
          <w:rFonts w:ascii="Arial" w:hAnsi="Arial" w:cs="Arial"/>
          <w:sz w:val="24"/>
          <w:szCs w:val="24"/>
          <w:lang w:val="en-GB"/>
        </w:rPr>
        <w:t>s</w:t>
      </w:r>
      <w:r w:rsidRPr="001056C0">
        <w:rPr>
          <w:rFonts w:ascii="Arial" w:hAnsi="Arial" w:cs="Arial"/>
          <w:sz w:val="24"/>
          <w:szCs w:val="24"/>
          <w:lang w:val="en-GB"/>
        </w:rPr>
        <w:t xml:space="preserve"> toward</w:t>
      </w:r>
      <w:r>
        <w:rPr>
          <w:rFonts w:ascii="Arial" w:hAnsi="Arial" w:cs="Arial"/>
          <w:sz w:val="24"/>
          <w:szCs w:val="24"/>
          <w:lang w:val="en-GB"/>
        </w:rPr>
        <w:t>s</w:t>
      </w:r>
      <w:r w:rsidRPr="001056C0">
        <w:rPr>
          <w:rFonts w:ascii="Arial" w:hAnsi="Arial" w:cs="Arial"/>
          <w:sz w:val="24"/>
          <w:szCs w:val="24"/>
          <w:lang w:val="en-GB"/>
        </w:rPr>
        <w:t xml:space="preserve"> pharmacists in</w:t>
      </w:r>
      <w:r>
        <w:rPr>
          <w:rFonts w:ascii="Arial" w:hAnsi="Arial" w:cs="Arial"/>
          <w:sz w:val="24"/>
          <w:szCs w:val="24"/>
          <w:lang w:val="en-GB"/>
        </w:rPr>
        <w:t xml:space="preserve"> the study by</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{"citationItems":[{"id":"ITEM-1","itemData":{"DOI":"10.5530/ijpcs.2018.7.7","ISSN":"2278-0068","author":[{"dropping-particle":"","family":"Alomi","given":"Yousef Ahmed","non-dropping-particle":"","parse-names":false,"suffix":""},{"dropping-particle":"","family":"Al-Hathlool","given":"Sarah Abdullah","non-dropping-particle":"","parse-names":false,"suffix":""},{"dropping-particle":"","family":"Almulhim","given":"Maryam Ibrahim","non-dropping-particle":"","parse-names":false,"suffix":""},{"dropping-particle":"","family":"Alashaq","given":"Amal Ali","non-dropping-particle":"","parse-names":false,"suffix":""},{"dropping-particle":"","family":"Aboshalaf","given":"Yousef","non-dropping-particle":"","parse-names":false,"suffix":""},{"dropping-particle":"","family":"Al-Ethan","given":"Mytham","non-dropping-particle":"","parse-names":false,"suffix":""}],"container-title":"International Journal of Pharmacology and Clinical Sciences","id":"ITEM-1","issue":"4","issued":{"date-parts":[["2019"]]},"page":"31-37","title":"Patient's General Perception and Attitude toward Pharmacists in Saudi Arabia","type":"article-journal","volume":"7"},"uris":["http://www.mendeley.com/documents/?uuid=84880e30-bd6a-4f40-9adf-ba4da68f6af6"]}],"mendeley":{"formattedCitation":"(Alomi, Al-Hathlool, &lt;i&gt;et al.&lt;/i&gt;, 2019)","manualFormatting":" Alomi et al. (2019)","plainTextFormattedCitation":"(Alomi, Al-Hathlool, et al., 2019)","previouslyFormattedCitation":"(Alomi, Al-Hathlool, &lt;i&gt;et al.&lt;/i&gt;, 2019)"},"properties":{"noteIndex":0},"schema":"https://github.com/citation-style-language/schema/raw/master/csl-citation.json"}</w:instrText>
      </w:r>
      <w:r w:rsidRPr="001056C0">
        <w:rPr>
          <w:rFonts w:ascii="Arial" w:hAnsi="Arial" w:cs="Arial"/>
          <w:sz w:val="24"/>
          <w:szCs w:val="24"/>
          <w:lang w:val="en-GB"/>
        </w:rPr>
        <w:fldChar w:fldCharType="separate"/>
      </w:r>
      <w:r>
        <w:rPr>
          <w:rFonts w:ascii="Arial" w:hAnsi="Arial" w:cs="Arial"/>
          <w:noProof/>
          <w:sz w:val="24"/>
          <w:szCs w:val="24"/>
          <w:lang w:val="en-GB"/>
        </w:rPr>
        <w:t xml:space="preserve"> </w:t>
      </w:r>
      <w:r w:rsidRPr="001056C0">
        <w:rPr>
          <w:rFonts w:ascii="Arial" w:hAnsi="Arial" w:cs="Arial"/>
          <w:noProof/>
          <w:sz w:val="24"/>
          <w:szCs w:val="24"/>
          <w:lang w:val="en-GB"/>
        </w:rPr>
        <w:t xml:space="preserve">Alomi et al. </w:t>
      </w:r>
      <w:r>
        <w:rPr>
          <w:rFonts w:ascii="Arial" w:hAnsi="Arial" w:cs="Arial"/>
          <w:noProof/>
          <w:sz w:val="24"/>
          <w:szCs w:val="24"/>
          <w:lang w:val="en-GB"/>
        </w:rPr>
        <w:t>(</w:t>
      </w:r>
      <w:r w:rsidRPr="001056C0">
        <w:rPr>
          <w:rFonts w:ascii="Arial" w:hAnsi="Arial" w:cs="Arial"/>
          <w:noProof/>
          <w:sz w:val="24"/>
          <w:szCs w:val="24"/>
          <w:lang w:val="en-GB"/>
        </w:rPr>
        <w:t>2019)</w:t>
      </w:r>
      <w:r w:rsidRPr="001056C0">
        <w:rPr>
          <w:rFonts w:ascii="Arial" w:hAnsi="Arial" w:cs="Arial"/>
          <w:sz w:val="24"/>
          <w:szCs w:val="24"/>
          <w:lang w:val="en-GB"/>
        </w:rPr>
        <w:fldChar w:fldCharType="end"/>
      </w:r>
      <w:r w:rsidRPr="001056C0">
        <w:rPr>
          <w:rFonts w:ascii="Arial" w:hAnsi="Arial" w:cs="Arial"/>
          <w:sz w:val="24"/>
          <w:szCs w:val="24"/>
          <w:lang w:val="en-GB"/>
        </w:rPr>
        <w:t xml:space="preserve"> were not in agreement with those reported by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{"citationItems":[{"id":"ITEM-1","itemData":{"DOI":"10.1177/2374373519846945","ISSN":"2374-3735","abstract":"Introduction: Patient counseling can be helpful in improving the outcome of disease management, particularly chronic diseases such as diabetes mellitus, which is common in Saudi Arabia. The present study looks to investigate the levels of counseling and satisfaction among patients attending diabetic clinics in outpatient hospital pharmacy in Al Ahsa, Saudi Arabia. Method: This is a cross-sectional investigation, carried out by using interview-structured questionnaire, targeting diabetes mellitus patients with or without comorbid states. The questionnaire was divided into 3 parts comprising of demographics, counseling types given while collecting prescription, and satisfaction rating of services provided. Result: More males than females participated; most of whom were college graduates older than 51 years. Sixty-three percent of the entire participants are type 1 diabetic patients, while 37% are type 2 diabetes mellitus patients. Coexistence of hypercholesterolemia was higher among type 1 diabetes patients with 51.9%, while hypertension was more common among type 2 diabetic patients representing 68.2%. Findings also showed that counseling was provided for medication use among type 1 diabetic patients but was deficient in the case of type 2 diabetic patients. Patients received low level of counseling on side effects and healthy lifestyle living. Satisfaction level was only 11.1%, indicating that counseling services might be deficient. Conclusion: This study has revealed poor counseling practices and low satisfaction levels in services provided by outpatient hospital pharmacies to diabetic patients. In the face of increasing prevalence of diabetes and comorbidity, counseling of diabetic patients is critical.","author":[{"dropping-particle":"","family":"Emeka","given":"Promise M","non-dropping-particle":"","parse-names":false,"suffix":""},{"dropping-particle":"","family":"AlMunjem","given":"Manea Fares","non-dropping-particle":"","parse-names":false,"suffix":""},{"dropping-particle":"","family":"Rasool","given":"Sahibzada Tasleem","non-dropping-particle":"","parse-names":false,"suffix":""},{"dropping-particle":"","family":"Kamil","given":"Noor","non-dropping-particle":"","parse-names":false,"suffix":""}],"container-title":"Journal of Patient Experience","id":"ITEM-1","issue":"3","issued":{"date-parts":[["2020"]]},"page":"338-345","title":"Evaluation of Counseling Practices and Patient’s Satisfaction Offered by Pharmacists for Diabetics Attending Outpatient Pharmacies in Al Ahsa","type":"article-journal","volume":"7"},"uris":["http://www.mendeley.com/documents/?uuid=ee3cf660-7c9a-4943-b22a-7cfa3d50ae8b"]}],"mendeley":{"formattedCitation":"(Emeka &lt;i&gt;et al.&lt;/i&gt;, 2020)","manualFormatting":"Emeka et al. ","plainTextFormattedCitation":"(Emeka et al., 2020)","previouslyFormattedCitation":"(Emeka &lt;i&gt;et al.&lt;/i&gt;, 2020)"},"properties":{"noteIndex":0},"schema":"https://github.com/citation-style-language/schema/raw/master/csl-citation.json"}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 xml:space="preserve">Emeka et al. </w:t>
      </w:r>
      <w:r w:rsidRPr="001056C0">
        <w:rPr>
          <w:rFonts w:ascii="Arial" w:hAnsi="Arial" w:cs="Arial"/>
          <w:sz w:val="24"/>
          <w:szCs w:val="24"/>
          <w:lang w:val="en-GB"/>
        </w:rPr>
        <w:fldChar w:fldCharType="end"/>
      </w:r>
      <w:r>
        <w:rPr>
          <w:rFonts w:ascii="Arial" w:hAnsi="Arial" w:cs="Arial"/>
          <w:sz w:val="24"/>
          <w:szCs w:val="24"/>
          <w:lang w:val="en-GB"/>
        </w:rPr>
        <w:t xml:space="preserve">but their results agree with those </w:t>
      </w:r>
      <w:r w:rsidRPr="001056C0">
        <w:rPr>
          <w:rFonts w:ascii="Arial" w:hAnsi="Arial" w:cs="Arial"/>
          <w:sz w:val="24"/>
          <w:szCs w:val="24"/>
          <w:lang w:val="en-GB"/>
        </w:rPr>
        <w:t>by Khan et al.</w:t>
      </w:r>
      <w:r>
        <w:rPr>
          <w:rFonts w:ascii="Arial" w:hAnsi="Arial" w:cs="Arial"/>
          <w:sz w:val="24"/>
          <w:szCs w:val="24"/>
          <w:lang w:val="en-GB"/>
        </w:rPr>
        <w:t xml:space="preserve"> </w:t>
      </w:r>
      <w:r w:rsidRPr="001056C0">
        <w:rPr>
          <w:rFonts w:ascii="Arial" w:hAnsi="Arial" w:cs="Arial"/>
          <w:sz w:val="24"/>
          <w:szCs w:val="24"/>
          <w:lang w:val="en-GB"/>
        </w:rPr>
        <w:t xml:space="preserve"> </w:t>
      </w:r>
      <w:r>
        <w:rPr>
          <w:rFonts w:ascii="Arial" w:hAnsi="Arial" w:cs="Arial"/>
          <w:sz w:val="24"/>
          <w:szCs w:val="24"/>
          <w:lang w:val="en-GB"/>
        </w:rPr>
        <w:t xml:space="preserve">Although </w:t>
      </w:r>
      <w:r w:rsidRPr="001056C0">
        <w:rPr>
          <w:rFonts w:ascii="Arial" w:hAnsi="Arial" w:cs="Arial"/>
          <w:noProof/>
          <w:sz w:val="24"/>
          <w:szCs w:val="24"/>
          <w:lang w:val="en-GB"/>
        </w:rPr>
        <w:t>Alomi</w:t>
      </w:r>
      <w:r>
        <w:rPr>
          <w:rFonts w:ascii="Arial" w:hAnsi="Arial" w:cs="Arial"/>
          <w:sz w:val="24"/>
          <w:szCs w:val="24"/>
          <w:lang w:val="en-GB"/>
        </w:rPr>
        <w:t>’s study was</w:t>
      </w:r>
      <w:r w:rsidRPr="001056C0">
        <w:rPr>
          <w:rFonts w:ascii="Arial" w:hAnsi="Arial" w:cs="Arial"/>
          <w:sz w:val="24"/>
          <w:szCs w:val="24"/>
          <w:lang w:val="en-GB"/>
        </w:rPr>
        <w:t xml:space="preserve"> conducted in the same geographical area (Alhasa) where the</w:t>
      </w:r>
      <w:r>
        <w:rPr>
          <w:rFonts w:ascii="Arial" w:hAnsi="Arial" w:cs="Arial"/>
          <w:sz w:val="24"/>
          <w:szCs w:val="24"/>
          <w:lang w:val="en-GB"/>
        </w:rPr>
        <w:t xml:space="preserve"> study by</w:t>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{"citationItems":[{"id":"ITEM-1","itemData":{"DOI":"10.1177/2374373519846945","ISSN":"2374-3735","abstract":"Introduction: Patient counseling can be helpful in improving the outcome of disease management, particularly chronic diseases such as diabetes mellitus, which is common in Saudi Arabia. The present study looks to investigate the levels of counseling and satisfaction among patients attending diabetic clinics in outpatient hospital pharmacy in Al Ahsa, Saudi Arabia. Method: This is a cross-sectional investigation, carried out by using interview-structured questionnaire, targeting diabetes mellitus patients with or without comorbid states. The questionnaire was divided into 3 parts comprising of demographics, counseling types given while collecting prescription, and satisfaction rating of services provided. Result: More males than females participated; most of whom were college graduates older than 51 years. Sixty-three percent of the entire participants are type 1 diabetic patients, while 37% are type 2 diabetes mellitus patients. Coexistence of hypercholesterolemia was higher among type 1 diabetes patients with 51.9%, while hypertension was more common among type 2 diabetic patients representing 68.2%. Findings also showed that counseling was provided for medication use among type 1 diabetic patients but was deficient in the case of type 2 diabetic patients. Patients received low level of counseling on side effects and healthy lifestyle living. Satisfaction level was only 11.1%, indicating that counseling services might be deficient. Conclusion: This study has revealed poor counseling practices and low satisfaction levels in services provided by outpatient hospital pharmacies to diabetic patients. In the face of increasing prevalence of diabetes and comorbidity, counseling of diabetic patients is critical.","author":[{"dropping-particle":"","family":"Emeka","given":"Promise M","non-dropping-particle":"","parse-names":false,"suffix":""},{"dropping-particle":"","family":"AlMunjem","given":"Manea Fares","non-dropping-particle":"","parse-names":false,"suffix":""},{"dropping-particle":"","family":"Rasool","given":"Sahibzada Tasleem","non-dropping-particle":"","parse-names":false,"suffix":""},{"dropping-particle":"","family":"Kamil","given":"Noor","non-dropping-particle":"","parse-names":false,"suffix":""}],"container-title":"Journal of Patient Experience","id":"ITEM-1","issue":"3","issued":{"date-parts":[["2020"]]},"page":"338-345","title":"Evaluation of Counseling Practices and Patient’s Satisfaction Offered by Pharmacists for Diabetics Attending Outpatient Pharmacies in Al Ahsa","type":"article-journal","volume":"7"},"uris":["http://www.mendeley.com/documents/?uuid=ee3cf660-7c9a-4943-b22a-7cfa3d50ae8b"]}],"mendeley":{"formattedCitation":"(Emeka &lt;i&gt;et al.&lt;/i&gt;, 2020)","manualFormatting":"Emeka et al. ","plainTextFormattedCitation":"(Emeka et al., 2020)","previouslyFormattedCitation":"(Emeka &lt;i&gt;et al.&lt;/i&gt;, 2020)"},"properties":{"noteIndex":0},"schema":"https://github.com/citation-style-language/schema/raw/master/csl-citation.json"}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 xml:space="preserve">Emeka et al. </w:t>
      </w:r>
      <w:r w:rsidRPr="001056C0">
        <w:rPr>
          <w:rFonts w:ascii="Arial" w:hAnsi="Arial" w:cs="Arial"/>
          <w:sz w:val="24"/>
          <w:szCs w:val="24"/>
          <w:lang w:val="en-GB"/>
        </w:rPr>
        <w:fldChar w:fldCharType="end"/>
      </w:r>
      <w:r w:rsidRPr="001056C0">
        <w:rPr>
          <w:rFonts w:ascii="Arial" w:hAnsi="Arial" w:cs="Arial"/>
          <w:sz w:val="24"/>
          <w:szCs w:val="24"/>
          <w:lang w:val="en-GB"/>
        </w:rPr>
        <w:t xml:space="preserve"> was </w:t>
      </w:r>
      <w:r>
        <w:rPr>
          <w:rFonts w:ascii="Arial" w:hAnsi="Arial" w:cs="Arial"/>
          <w:sz w:val="24"/>
          <w:szCs w:val="24"/>
          <w:lang w:val="en-GB"/>
        </w:rPr>
        <w:t>performed</w:t>
      </w:r>
      <w:r w:rsidRPr="001056C0">
        <w:rPr>
          <w:rFonts w:ascii="Arial" w:hAnsi="Arial" w:cs="Arial"/>
          <w:sz w:val="24"/>
          <w:szCs w:val="24"/>
          <w:lang w:val="en-GB"/>
        </w:rPr>
        <w:t>. The pharmacists in both studies mainly provid</w:t>
      </w:r>
      <w:r>
        <w:rPr>
          <w:rFonts w:ascii="Arial" w:hAnsi="Arial" w:cs="Arial"/>
          <w:sz w:val="24"/>
          <w:szCs w:val="24"/>
          <w:lang w:val="en-GB"/>
        </w:rPr>
        <w:t>ed</w:t>
      </w:r>
      <w:r w:rsidRPr="001056C0">
        <w:rPr>
          <w:rFonts w:ascii="Arial" w:hAnsi="Arial" w:cs="Arial"/>
          <w:sz w:val="24"/>
          <w:szCs w:val="24"/>
          <w:lang w:val="en-GB"/>
        </w:rPr>
        <w:t xml:space="preserve"> education and counselling to the patients. </w:t>
      </w:r>
    </w:p>
    <w:p w14:paraId="70A016EC" w14:textId="77777777" w:rsidR="00A27B3A" w:rsidRDefault="00A27B3A" w:rsidP="00941883">
      <w:pPr>
        <w:spacing w:line="360" w:lineRule="auto"/>
        <w:jc w:val="both"/>
        <w:rPr>
          <w:rFonts w:ascii="Arial" w:hAnsi="Arial" w:cs="Arial"/>
          <w:sz w:val="24"/>
          <w:szCs w:val="24"/>
          <w:lang w:val="en-GB"/>
        </w:rPr>
      </w:pPr>
    </w:p>
    <w:p w14:paraId="58ABD669" w14:textId="179A222C" w:rsidR="00861696" w:rsidRPr="00827032" w:rsidRDefault="00861696" w:rsidP="00827032">
      <w:pPr>
        <w:pStyle w:val="Heading4"/>
        <w:rPr>
          <w:rFonts w:asciiTheme="minorBidi" w:hAnsiTheme="minorBidi" w:cstheme="minorBidi"/>
          <w:sz w:val="24"/>
          <w:szCs w:val="24"/>
        </w:rPr>
      </w:pPr>
      <w:r w:rsidRPr="00827032">
        <w:rPr>
          <w:rFonts w:asciiTheme="minorBidi" w:hAnsiTheme="minorBidi" w:cstheme="minorBidi"/>
          <w:sz w:val="24"/>
          <w:szCs w:val="24"/>
        </w:rPr>
        <w:t>   2.3.7.2</w:t>
      </w:r>
      <w:r w:rsidR="006670C4">
        <w:rPr>
          <w:rFonts w:asciiTheme="minorBidi" w:hAnsiTheme="minorBidi" w:cstheme="minorBidi"/>
          <w:sz w:val="24"/>
          <w:szCs w:val="24"/>
        </w:rPr>
        <w:t>.</w:t>
      </w:r>
      <w:r w:rsidRPr="00827032">
        <w:rPr>
          <w:rFonts w:asciiTheme="minorBidi" w:hAnsiTheme="minorBidi" w:cstheme="minorBidi"/>
          <w:sz w:val="24"/>
          <w:szCs w:val="24"/>
        </w:rPr>
        <w:t xml:space="preserve"> Saudi Arabia: Pharmacist involvement </w:t>
      </w:r>
      <w:r w:rsidR="00B42854">
        <w:rPr>
          <w:rFonts w:asciiTheme="minorBidi" w:hAnsiTheme="minorBidi" w:cstheme="minorBidi"/>
          <w:sz w:val="24"/>
          <w:szCs w:val="24"/>
        </w:rPr>
        <w:t xml:space="preserve">in MDT </w:t>
      </w:r>
      <w:r w:rsidRPr="00827032">
        <w:rPr>
          <w:rFonts w:asciiTheme="minorBidi" w:hAnsiTheme="minorBidi" w:cstheme="minorBidi"/>
          <w:sz w:val="24"/>
          <w:szCs w:val="24"/>
        </w:rPr>
        <w:t>in diabetes management in PHCs</w:t>
      </w:r>
    </w:p>
    <w:p w14:paraId="24AF2489" w14:textId="043C5F0C" w:rsidR="008F152E" w:rsidRDefault="00861696" w:rsidP="00E75688">
      <w:pPr>
        <w:spacing w:line="360" w:lineRule="auto"/>
        <w:jc w:val="both"/>
        <w:rPr>
          <w:rFonts w:ascii="Arial" w:hAnsi="Arial" w:cs="Arial"/>
          <w:sz w:val="24"/>
          <w:szCs w:val="24"/>
          <w:lang w:val="en-GB"/>
        </w:rPr>
      </w:pPr>
      <w:r w:rsidRPr="00861696">
        <w:rPr>
          <w:rFonts w:ascii="Arial" w:eastAsia="Times New Roman" w:hAnsi="Arial" w:cs="Arial"/>
          <w:color w:val="0000FF"/>
          <w:sz w:val="24"/>
          <w:szCs w:val="24"/>
        </w:rPr>
        <w:br/>
      </w:r>
      <w:r w:rsidR="008F152E">
        <w:rPr>
          <w:rFonts w:ascii="Arial" w:hAnsi="Arial" w:cs="Arial"/>
          <w:sz w:val="24"/>
          <w:szCs w:val="24"/>
          <w:lang w:val="en-GB"/>
        </w:rPr>
        <w:t>T</w:t>
      </w:r>
      <w:r w:rsidR="008F152E" w:rsidRPr="006B2FC7">
        <w:rPr>
          <w:rFonts w:ascii="Arial" w:hAnsi="Arial" w:cs="Arial"/>
          <w:sz w:val="24"/>
          <w:szCs w:val="24"/>
          <w:lang w:val="en-GB"/>
        </w:rPr>
        <w:t xml:space="preserve">eam-based practice </w:t>
      </w:r>
      <w:r w:rsidR="008F152E">
        <w:rPr>
          <w:rFonts w:ascii="Arial" w:hAnsi="Arial" w:cs="Arial"/>
          <w:sz w:val="24"/>
          <w:szCs w:val="24"/>
          <w:lang w:val="en-GB"/>
        </w:rPr>
        <w:t xml:space="preserve">of MDTs </w:t>
      </w:r>
      <w:r w:rsidR="008F152E" w:rsidRPr="006B2FC7">
        <w:rPr>
          <w:rFonts w:ascii="Arial" w:hAnsi="Arial" w:cs="Arial"/>
          <w:sz w:val="24"/>
          <w:szCs w:val="24"/>
          <w:lang w:val="en-GB"/>
        </w:rPr>
        <w:t xml:space="preserve">is one of the </w:t>
      </w:r>
      <w:r w:rsidR="008F152E">
        <w:rPr>
          <w:rFonts w:ascii="Arial" w:hAnsi="Arial" w:cs="Arial"/>
          <w:sz w:val="24"/>
          <w:szCs w:val="24"/>
          <w:lang w:val="en-GB"/>
        </w:rPr>
        <w:t xml:space="preserve">Saudi </w:t>
      </w:r>
      <w:r w:rsidR="008F152E" w:rsidRPr="006B2FC7">
        <w:rPr>
          <w:rFonts w:ascii="Arial" w:hAnsi="Arial" w:cs="Arial"/>
          <w:sz w:val="24"/>
          <w:szCs w:val="24"/>
          <w:lang w:val="en-GB"/>
        </w:rPr>
        <w:t>M</w:t>
      </w:r>
      <w:r w:rsidR="008F152E">
        <w:rPr>
          <w:rFonts w:ascii="Arial" w:hAnsi="Arial" w:cs="Arial"/>
          <w:sz w:val="24"/>
          <w:szCs w:val="24"/>
          <w:lang w:val="en-GB"/>
        </w:rPr>
        <w:t>o</w:t>
      </w:r>
      <w:r w:rsidR="008F152E" w:rsidRPr="006B2FC7">
        <w:rPr>
          <w:rFonts w:ascii="Arial" w:hAnsi="Arial" w:cs="Arial"/>
          <w:sz w:val="24"/>
          <w:szCs w:val="24"/>
          <w:lang w:val="en-GB"/>
        </w:rPr>
        <w:t>H objectives which aims to improve the provision of PHCs and bring positive clinical and economic outcomes to healthcare organisations</w:t>
      </w:r>
      <w:r w:rsidR="008F152E">
        <w:rPr>
          <w:rFonts w:ascii="Arial" w:hAnsi="Arial" w:cs="Arial"/>
          <w:sz w:val="24"/>
          <w:szCs w:val="24"/>
          <w:lang w:val="en-GB"/>
        </w:rPr>
        <w:t xml:space="preserve"> </w:t>
      </w:r>
      <w:r w:rsidR="008F152E">
        <w:rPr>
          <w:rFonts w:ascii="Arial" w:hAnsi="Arial" w:cs="Arial"/>
          <w:sz w:val="24"/>
          <w:szCs w:val="24"/>
        </w:rPr>
        <w:fldChar w:fldCharType="begin" w:fldLock="1"/>
      </w:r>
      <w:r w:rsidR="008F152E">
        <w:rPr>
          <w:rFonts w:ascii="Arial" w:hAnsi="Arial" w:cs="Arial"/>
          <w:sz w:val="24"/>
          <w:szCs w:val="24"/>
        </w:rPr>
        <w:instrText>ADDIN CSL_CITATION {"citationItems":[{"id":"ITEM-1","itemData":{"abstract":"NTP 2020 is one of programs created to acheive Saudi Arabia’s Vision 2030","author":[{"dropping-particle":"","family":"Kingdom of Saudi Arabia","given":"","non-dropping-particle":"","parse-names":false,"suffix":""},{"dropping-particle":"","family":"Saudi Vision 2030","given":"","non-dropping-particle":"","parse-names":false,"suffix":""}],"container-title":"Saudi Vision 2030","id":"ITEM-1","issued":{"date-parts":[["2016"]]},"page":"1-57","title":"National transformation program 2020","type":"article-journal"},"uris":["http://www.mendeley.com/documents/?uuid=aa7efc00-61be-46e0-8e1f-c48dba94fdd6"]}],"mendeley":{"formattedCitation":"(Kingdom of Saudi Arabia and Saudi Vision 2030, 2016)","manualFormatting":"(Kingdom of Saudi Arabia and Saudi Vision 2030, 2016)","plainTextFormattedCitation":"(Kingdom of Saudi Arabia and Saudi Vision 2030, 2016)","previouslyFormattedCitation":"(Kingdom of Saudi Arabia and Saudi Vision 2030, 2016)"},"properties":{"noteIndex":0},"schema":"https://github.com/citation-style-language/schema/raw/master/csl-citation.json"}</w:instrText>
      </w:r>
      <w:r w:rsidR="008F152E">
        <w:rPr>
          <w:rFonts w:ascii="Arial" w:hAnsi="Arial" w:cs="Arial"/>
          <w:sz w:val="24"/>
          <w:szCs w:val="24"/>
        </w:rPr>
        <w:fldChar w:fldCharType="separate"/>
      </w:r>
      <w:r w:rsidR="008F152E" w:rsidRPr="008368A8">
        <w:rPr>
          <w:rFonts w:ascii="Arial" w:hAnsi="Arial" w:cs="Arial"/>
          <w:noProof/>
          <w:sz w:val="24"/>
          <w:szCs w:val="24"/>
        </w:rPr>
        <w:t>(Kingdom of Saudi Arabia and Saudi Vision 2030, 2016)</w:t>
      </w:r>
      <w:r w:rsidR="008F152E">
        <w:rPr>
          <w:rFonts w:ascii="Arial" w:hAnsi="Arial" w:cs="Arial"/>
          <w:sz w:val="24"/>
          <w:szCs w:val="24"/>
        </w:rPr>
        <w:fldChar w:fldCharType="end"/>
      </w:r>
      <w:r w:rsidR="008F152E">
        <w:rPr>
          <w:rFonts w:ascii="Arial" w:hAnsi="Arial" w:cs="Arial"/>
          <w:sz w:val="24"/>
          <w:szCs w:val="24"/>
          <w:lang w:val="en-GB"/>
        </w:rPr>
        <w:t xml:space="preserve">.  </w:t>
      </w:r>
      <w:r w:rsidR="008F152E" w:rsidRPr="006B2FC7">
        <w:rPr>
          <w:rFonts w:ascii="Arial" w:hAnsi="Arial" w:cs="Arial"/>
          <w:sz w:val="24"/>
          <w:szCs w:val="24"/>
          <w:lang w:val="en-GB"/>
        </w:rPr>
        <w:t xml:space="preserve">Promoting a </w:t>
      </w:r>
      <w:r w:rsidR="008F152E">
        <w:rPr>
          <w:rFonts w:ascii="Arial" w:hAnsi="Arial" w:cs="Arial"/>
          <w:sz w:val="24"/>
          <w:szCs w:val="24"/>
          <w:lang w:val="en-GB"/>
        </w:rPr>
        <w:t>MDT</w:t>
      </w:r>
      <w:r w:rsidR="008F152E" w:rsidRPr="006B2FC7">
        <w:rPr>
          <w:rFonts w:ascii="Arial" w:hAnsi="Arial" w:cs="Arial"/>
          <w:sz w:val="24"/>
          <w:szCs w:val="24"/>
          <w:lang w:val="en-GB"/>
        </w:rPr>
        <w:t xml:space="preserve"> approach for the care of patients with uncontrolled type 2 diabetes was applied in the PHC in Riyadh, </w:t>
      </w:r>
      <w:r w:rsidR="008F152E">
        <w:rPr>
          <w:rFonts w:ascii="Arial" w:hAnsi="Arial" w:cs="Arial"/>
          <w:sz w:val="24"/>
          <w:szCs w:val="24"/>
          <w:lang w:val="en-GB"/>
        </w:rPr>
        <w:t>SA</w:t>
      </w:r>
      <w:r w:rsidR="008F152E" w:rsidRPr="006B2FC7">
        <w:rPr>
          <w:rFonts w:ascii="Arial" w:hAnsi="Arial" w:cs="Arial"/>
          <w:sz w:val="24"/>
          <w:szCs w:val="24"/>
          <w:lang w:val="en-GB"/>
        </w:rPr>
        <w:t xml:space="preserve">, 2013, and this was a successful model of care, as the findings showed this led to a significant improvement in glycaemic control in the integrated care phase </w:t>
      </w:r>
      <w:r w:rsidR="008F152E" w:rsidRPr="006B2FC7">
        <w:rPr>
          <w:rFonts w:ascii="Arial" w:hAnsi="Arial" w:cs="Arial"/>
          <w:sz w:val="24"/>
          <w:szCs w:val="24"/>
          <w:lang w:val="en-GB"/>
        </w:rPr>
        <w:fldChar w:fldCharType="begin" w:fldLock="1"/>
      </w:r>
      <w:r w:rsidR="008F152E" w:rsidRPr="006B2FC7">
        <w:rPr>
          <w:rFonts w:ascii="Arial" w:hAnsi="Arial" w:cs="Arial"/>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2013)","plainTextFormattedCitation":"(Al Asmary et al., 2013)","previouslyFormattedCitation":"(Al Asmary &lt;i&gt;et al.&lt;/i&gt;, 2013)"},"properties":{"noteIndex":0},"schema":"https://github.com/citation-style-language/schema/raw/master/csl-citation.json"}</w:instrText>
      </w:r>
      <w:r w:rsidR="008F152E" w:rsidRPr="006B2FC7">
        <w:rPr>
          <w:rFonts w:ascii="Arial" w:hAnsi="Arial" w:cs="Arial"/>
          <w:sz w:val="24"/>
          <w:szCs w:val="24"/>
          <w:lang w:val="en-GB"/>
        </w:rPr>
        <w:fldChar w:fldCharType="separate"/>
      </w:r>
      <w:r w:rsidR="008F152E" w:rsidRPr="006B2FC7">
        <w:rPr>
          <w:rFonts w:ascii="Arial" w:hAnsi="Arial" w:cs="Arial"/>
          <w:noProof/>
          <w:sz w:val="24"/>
          <w:szCs w:val="24"/>
          <w:lang w:val="en-GB"/>
        </w:rPr>
        <w:t xml:space="preserve">(Al Asmary </w:t>
      </w:r>
      <w:r w:rsidR="008F152E" w:rsidRPr="006B2FC7">
        <w:rPr>
          <w:rFonts w:ascii="Arial" w:hAnsi="Arial" w:cs="Arial"/>
          <w:i/>
          <w:noProof/>
          <w:sz w:val="24"/>
          <w:szCs w:val="24"/>
          <w:lang w:val="en-GB"/>
        </w:rPr>
        <w:t>et al.</w:t>
      </w:r>
      <w:r w:rsidR="008F152E" w:rsidRPr="006B2FC7">
        <w:rPr>
          <w:rFonts w:ascii="Arial" w:hAnsi="Arial" w:cs="Arial"/>
          <w:noProof/>
          <w:sz w:val="24"/>
          <w:szCs w:val="24"/>
          <w:lang w:val="en-GB"/>
        </w:rPr>
        <w:t>, 2013)</w:t>
      </w:r>
      <w:r w:rsidR="008F152E" w:rsidRPr="006B2FC7">
        <w:rPr>
          <w:rFonts w:ascii="Arial" w:hAnsi="Arial" w:cs="Arial"/>
          <w:sz w:val="24"/>
          <w:szCs w:val="24"/>
          <w:lang w:val="en-GB"/>
        </w:rPr>
        <w:fldChar w:fldCharType="end"/>
      </w:r>
      <w:r w:rsidR="008F152E" w:rsidRPr="006B2FC7">
        <w:rPr>
          <w:rFonts w:ascii="Arial" w:hAnsi="Arial" w:cs="Arial"/>
          <w:sz w:val="24"/>
          <w:szCs w:val="24"/>
          <w:lang w:val="en-GB"/>
        </w:rPr>
        <w:t>.</w:t>
      </w:r>
      <w:r w:rsidR="008F152E">
        <w:rPr>
          <w:rFonts w:ascii="Arial" w:hAnsi="Arial" w:cs="Arial"/>
          <w:sz w:val="24"/>
          <w:szCs w:val="24"/>
          <w:lang w:val="en-GB"/>
        </w:rPr>
        <w:t xml:space="preserve"> </w:t>
      </w:r>
    </w:p>
    <w:p w14:paraId="6E19680B" w14:textId="77777777" w:rsidR="008F152E" w:rsidRPr="002C114F" w:rsidRDefault="008F152E" w:rsidP="008F152E">
      <w:pPr>
        <w:autoSpaceDE w:val="0"/>
        <w:autoSpaceDN w:val="0"/>
        <w:adjustRightInd w:val="0"/>
        <w:spacing w:line="360" w:lineRule="auto"/>
        <w:jc w:val="both"/>
        <w:rPr>
          <w:rFonts w:ascii="Arial" w:eastAsia="Times New Roman" w:hAnsi="Arial" w:cs="Arial"/>
          <w:sz w:val="24"/>
          <w:szCs w:val="24"/>
          <w:lang w:val="en-GB"/>
        </w:rPr>
      </w:pPr>
      <w:r w:rsidRPr="006B2FC7">
        <w:rPr>
          <w:rFonts w:ascii="Arial" w:eastAsia="Times New Roman" w:hAnsi="Arial" w:cs="Arial"/>
          <w:sz w:val="24"/>
          <w:szCs w:val="24"/>
          <w:lang w:val="en-GB"/>
        </w:rPr>
        <w:t xml:space="preserve">The management of diabetes and related cardiometabolic diseases requires a significant amount of time, and the time that doctors have is often limited, especially in SA, where the disease burden is prevalent. limited time with patients can result in clinical inertia and, accordingly, the suboptimal achievement of treatment goals.  The </w:t>
      </w:r>
      <w:r>
        <w:rPr>
          <w:rFonts w:ascii="Arial" w:eastAsia="Times New Roman" w:hAnsi="Arial" w:cs="Arial"/>
          <w:sz w:val="24"/>
          <w:szCs w:val="24"/>
          <w:lang w:val="en-GB"/>
        </w:rPr>
        <w:t>MDT</w:t>
      </w:r>
      <w:r w:rsidRPr="006B2FC7">
        <w:rPr>
          <w:rFonts w:ascii="Arial" w:eastAsia="Times New Roman" w:hAnsi="Arial" w:cs="Arial"/>
          <w:sz w:val="24"/>
          <w:szCs w:val="24"/>
          <w:lang w:val="en-GB"/>
        </w:rPr>
        <w:t xml:space="preserve"> approach, therefore, can be implemented to overcome barriers to efficient diabetes management in primary care </w:t>
      </w:r>
      <w:r w:rsidRPr="00B91B72">
        <w:rPr>
          <w:rFonts w:asciiTheme="minorBidi" w:eastAsia="Times New Roman" w:hAnsiTheme="minorBidi"/>
          <w:sz w:val="24"/>
          <w:szCs w:val="24"/>
          <w:lang w:val="en-GB"/>
        </w:rPr>
        <w:t xml:space="preserve">settings </w:t>
      </w:r>
      <w:r>
        <w:rPr>
          <w:rFonts w:asciiTheme="minorBidi" w:eastAsia="Times New Roman" w:hAnsiTheme="minorBidi"/>
          <w:sz w:val="24"/>
          <w:szCs w:val="24"/>
          <w:lang w:val="en-GB"/>
        </w:rPr>
        <w:fldChar w:fldCharType="begin" w:fldLock="1"/>
      </w:r>
      <w:r>
        <w:rPr>
          <w:rFonts w:asciiTheme="minorBidi" w:eastAsia="Times New Roman" w:hAnsiTheme="minorBidi"/>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2018a)","plainTextFormattedCitation":"(Ayla M Tourkmani et al., 2018)","previouslyFormattedCitation":"(Ayla M Tourkmani &lt;i&gt;et al.&lt;/i&gt;, 2018)"},"properties":{"noteIndex":0},"schema":"https://github.com/citation-style-language/schema/raw/master/csl-citation.json"}</w:instrText>
      </w:r>
      <w:r>
        <w:rPr>
          <w:rFonts w:asciiTheme="minorBidi" w:eastAsia="Times New Roman" w:hAnsiTheme="minorBidi"/>
          <w:sz w:val="24"/>
          <w:szCs w:val="24"/>
          <w:lang w:val="en-GB"/>
        </w:rPr>
        <w:fldChar w:fldCharType="separate"/>
      </w:r>
      <w:r w:rsidRPr="00345385">
        <w:rPr>
          <w:rFonts w:asciiTheme="minorBidi" w:eastAsia="Times New Roman" w:hAnsiTheme="minorBidi"/>
          <w:noProof/>
          <w:sz w:val="24"/>
          <w:szCs w:val="24"/>
          <w:lang w:val="en-GB"/>
        </w:rPr>
        <w:t xml:space="preserve">(Tourkmani </w:t>
      </w:r>
      <w:r w:rsidRPr="00345385">
        <w:rPr>
          <w:rFonts w:asciiTheme="minorBidi" w:eastAsia="Times New Roman" w:hAnsiTheme="minorBidi"/>
          <w:i/>
          <w:noProof/>
          <w:sz w:val="24"/>
          <w:szCs w:val="24"/>
          <w:lang w:val="en-GB"/>
        </w:rPr>
        <w:t>et al.</w:t>
      </w:r>
      <w:r w:rsidRPr="00345385">
        <w:rPr>
          <w:rFonts w:asciiTheme="minorBidi" w:eastAsia="Times New Roman" w:hAnsiTheme="minorBidi"/>
          <w:noProof/>
          <w:sz w:val="24"/>
          <w:szCs w:val="24"/>
          <w:lang w:val="en-GB"/>
        </w:rPr>
        <w:t>, 2018</w:t>
      </w:r>
      <w:r>
        <w:rPr>
          <w:rFonts w:asciiTheme="minorBidi" w:eastAsia="Times New Roman" w:hAnsiTheme="minorBidi"/>
          <w:noProof/>
          <w:sz w:val="24"/>
          <w:szCs w:val="24"/>
          <w:lang w:val="en-GB"/>
        </w:rPr>
        <w:t>a</w:t>
      </w:r>
      <w:r w:rsidRPr="00345385">
        <w:rPr>
          <w:rFonts w:asciiTheme="minorBidi" w:eastAsia="Times New Roman" w:hAnsiTheme="minorBidi"/>
          <w:noProof/>
          <w:sz w:val="24"/>
          <w:szCs w:val="24"/>
          <w:lang w:val="en-GB"/>
        </w:rPr>
        <w:t>)</w:t>
      </w:r>
      <w:r>
        <w:rPr>
          <w:rFonts w:asciiTheme="minorBidi" w:eastAsia="Times New Roman" w:hAnsiTheme="minorBidi"/>
          <w:sz w:val="24"/>
          <w:szCs w:val="24"/>
          <w:lang w:val="en-GB"/>
        </w:rPr>
        <w:fldChar w:fldCharType="end"/>
      </w:r>
      <w:r>
        <w:rPr>
          <w:rFonts w:asciiTheme="minorBidi" w:eastAsia="Times New Roman" w:hAnsiTheme="minorBidi"/>
          <w:sz w:val="24"/>
          <w:szCs w:val="24"/>
          <w:lang w:val="en-GB"/>
        </w:rPr>
        <w:t>.</w:t>
      </w:r>
    </w:p>
    <w:p w14:paraId="5FB96AC0" w14:textId="77777777" w:rsidR="008F152E" w:rsidRPr="006B2FC7" w:rsidRDefault="008F152E" w:rsidP="008F152E">
      <w:pPr>
        <w:autoSpaceDE w:val="0"/>
        <w:autoSpaceDN w:val="0"/>
        <w:adjustRightInd w:val="0"/>
        <w:spacing w:line="360" w:lineRule="auto"/>
        <w:jc w:val="both"/>
        <w:rPr>
          <w:rFonts w:ascii="Arial" w:hAnsi="Arial" w:cs="Arial"/>
          <w:sz w:val="24"/>
          <w:szCs w:val="24"/>
          <w:lang w:val="en-GB"/>
        </w:rPr>
      </w:pPr>
      <w:r w:rsidRPr="006B2FC7">
        <w:rPr>
          <w:rFonts w:ascii="Arial" w:hAnsi="Arial" w:cs="Arial"/>
          <w:sz w:val="24"/>
          <w:szCs w:val="24"/>
          <w:lang w:val="en-GB"/>
        </w:rPr>
        <w:t>MDTs are</w:t>
      </w:r>
      <w:r>
        <w:rPr>
          <w:rFonts w:ascii="Arial" w:hAnsi="Arial" w:cs="Arial"/>
          <w:sz w:val="24"/>
          <w:szCs w:val="24"/>
          <w:lang w:val="en-GB"/>
        </w:rPr>
        <w:t xml:space="preserve"> also</w:t>
      </w:r>
      <w:r w:rsidRPr="006B2FC7">
        <w:rPr>
          <w:rFonts w:ascii="Arial" w:hAnsi="Arial" w:cs="Arial"/>
          <w:sz w:val="24"/>
          <w:szCs w:val="24"/>
          <w:lang w:val="en-GB"/>
        </w:rPr>
        <w:t xml:space="preserve"> suggested by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{"citationItems":[{"id":"ITEM-1","itemData":{"abstract":"The World Health Organization has ranked Saudi Arabia as having the second highest rate of diabetes in the Middle East (7 th highest in the world) with an estimated population of 7 million living with diabetes and more than 3 million with pre-diabetes. This presents a pressing public health problem. Several challenges in diabetes management need to be tackled in Saudi Arabia, including the growing prevalence (chiefly among children and young adults), micro-and macrovascular complications , lifestyle changes, late diagnosis, poor awareness and high treatment costs. Over the last two decades , the Saudi population saw an increase in the expenses in healthcare and treatment of diabetes by by more than 500%. In 2014, the health care budget was 180 billion (Saudi Riyal) of which 17 billion was spent on all Saudis, with an approximate 25 billion on the entire Saudi diabetic population. This implies that the direct expense of diabetes is costing Saudi Arabia around 13.9% of the total health expenditure. Therefore, unless a comprehensive epidemic control program/multidisciplinary approach is stringently enforced, the diabetes mellitus burden on Saudi Arabia will probably increase to very serious levels. It is crucial to implement improved health and health-related quality of life of to those with diabetes, thus minimizing the social and personal expenses for diabetes care in Saudi Arabia. In this study we discuss the significant and major threats posed by diabetes mellitus to the Saudi population and recommend essential possible solutions to delay/prevent this formidable issue.","author":[{"dropping-particle":"","family":"Robert","given":"Asirvatham Alwin","non-dropping-particle":"","parse-names":false,"suffix":""},{"dropping-particle":"","family":"Abdulaziz Al Dawish","given":"Mohamed","non-dropping-particle":"","parse-names":false,"suffix":""},{"dropping-particle":"","family":"Braham","given":"Rim","non-dropping-particle":"","parse-names":false,"suffix":""},{"dropping-particle":"","family":"Ali Musallam","given":"Maha","non-dropping-particle":"","parse-names":false,"suffix":""},{"dropping-particle":"","family":"Abdullah Al Hayek","given":"Ayman","non-dropping-particle":"","parse-names":false,"suffix":""},{"dropping-particle":"","family":"Hazza Al Kahtany","given":"Nasser","non-dropping-particle":"","parse-names":false,"suffix":""}],"container-title":"Bentham Science Publishers","id":"ITEM-1","issued":{"date-parts":[["2016"]]},"title":"Type 2 Diabetes Mellitus in Saudi Arabia: Major Challenges and Possible Solutions","type":"article-journal"},"uris":["http://www.mendeley.com/documents/?uuid=51ebfa95-993d-389e-8716-96403897a3c3"]}],"mendeley":{"formattedCitation":"(Robert &lt;i&gt;et al.&lt;/i&gt;, 2016)","manualFormatting":"Robert et al. (2016)","plainTextFormattedCitation":"(Robert et al., 2016)","previouslyFormattedCitation":"(Robert &lt;i&gt;et al.&lt;/i&gt;, 2016)"},"properties":{"noteIndex":0},"schema":"https://github.com/citation-style-language/schema/raw/master/csl-citation.json"}</w:instrText>
      </w:r>
      <w:r>
        <w:rPr>
          <w:rFonts w:ascii="Arial" w:hAnsi="Arial" w:cs="Arial"/>
          <w:sz w:val="24"/>
          <w:szCs w:val="24"/>
          <w:lang w:val="en-GB"/>
        </w:rPr>
        <w:fldChar w:fldCharType="separate"/>
      </w:r>
      <w:r w:rsidRPr="00DF7919">
        <w:rPr>
          <w:rFonts w:ascii="Arial" w:hAnsi="Arial" w:cs="Arial"/>
          <w:noProof/>
          <w:sz w:val="24"/>
          <w:szCs w:val="24"/>
          <w:lang w:val="en-GB"/>
        </w:rPr>
        <w:t xml:space="preserve">Robert </w:t>
      </w:r>
      <w:r w:rsidRPr="00DF7919">
        <w:rPr>
          <w:rFonts w:ascii="Arial" w:hAnsi="Arial" w:cs="Arial"/>
          <w:i/>
          <w:noProof/>
          <w:sz w:val="24"/>
          <w:szCs w:val="24"/>
          <w:lang w:val="en-GB"/>
        </w:rPr>
        <w:t>et al.</w:t>
      </w:r>
      <w:r w:rsidRPr="00DF7919">
        <w:rPr>
          <w:rFonts w:ascii="Arial" w:hAnsi="Arial" w:cs="Arial"/>
          <w:noProof/>
          <w:sz w:val="24"/>
          <w:szCs w:val="24"/>
          <w:lang w:val="en-GB"/>
        </w:rPr>
        <w:t xml:space="preserve"> </w:t>
      </w:r>
      <w:r>
        <w:rPr>
          <w:rFonts w:ascii="Arial" w:hAnsi="Arial" w:cs="Arial"/>
          <w:noProof/>
          <w:sz w:val="24"/>
          <w:szCs w:val="24"/>
          <w:lang w:val="en-GB"/>
        </w:rPr>
        <w:t>(</w:t>
      </w:r>
      <w:r w:rsidRPr="00DF7919">
        <w:rPr>
          <w:rFonts w:ascii="Arial" w:hAnsi="Arial" w:cs="Arial"/>
          <w:noProof/>
          <w:sz w:val="24"/>
          <w:szCs w:val="24"/>
          <w:lang w:val="en-GB"/>
        </w:rPr>
        <w:t>2016)</w:t>
      </w:r>
      <w:r>
        <w:rPr>
          <w:rFonts w:ascii="Arial" w:hAnsi="Arial" w:cs="Arial"/>
          <w:sz w:val="24"/>
          <w:szCs w:val="24"/>
          <w:lang w:val="en-GB"/>
        </w:rPr>
        <w:fldChar w:fldCharType="end"/>
      </w:r>
      <w:r w:rsidRPr="006B2FC7">
        <w:rPr>
          <w:rFonts w:ascii="Arial" w:hAnsi="Arial" w:cs="Arial"/>
          <w:sz w:val="24"/>
          <w:szCs w:val="24"/>
          <w:lang w:val="en-GB"/>
        </w:rPr>
        <w:t xml:space="preserve">, to provide a comprehensive healthcare plan to minimise the burden of DM on SA </w:t>
      </w:r>
      <w:r w:rsidRPr="006B2FC7">
        <w:rPr>
          <w:rFonts w:ascii="Arial" w:hAnsi="Arial" w:cs="Arial"/>
          <w:sz w:val="24"/>
          <w:szCs w:val="24"/>
        </w:rPr>
        <w:t>and according to the Institute of Medicine (IOM):</w:t>
      </w:r>
    </w:p>
    <w:p w14:paraId="67413239" w14:textId="77777777" w:rsidR="008F152E" w:rsidRPr="006B2FC7" w:rsidRDefault="008F152E" w:rsidP="008F152E">
      <w:pPr>
        <w:pStyle w:val="Quote"/>
        <w:jc w:val="both"/>
        <w:rPr>
          <w:rFonts w:ascii="Arial" w:hAnsi="Arial" w:cs="Arial"/>
        </w:rPr>
      </w:pPr>
      <w:r w:rsidRPr="006B2FC7">
        <w:rPr>
          <w:rFonts w:ascii="Arial" w:hAnsi="Arial" w:cs="Arial"/>
        </w:rPr>
        <w:t xml:space="preserve">‘to close the gaps between best practice and usual care...will require the collective expertise of a vast array of doctors, nurses, pharmacists, allied health professionals, social workers, and vested laypersons’ </w:t>
      </w:r>
      <w:r w:rsidRPr="006B2FC7">
        <w:rPr>
          <w:rFonts w:ascii="Arial" w:hAnsi="Arial" w:cs="Arial"/>
        </w:rPr>
        <w:fldChar w:fldCharType="begin" w:fldLock="1"/>
      </w:r>
      <w:r w:rsidRPr="006B2FC7">
        <w:rPr>
          <w:rFonts w:ascii="Arial" w:hAnsi="Arial" w:cs="Arial"/>
        </w:rPr>
        <w:instrText>ADDIN CSL_CITATION {"citationItems":[{"id":"ITEM-1","itemData":{"abstract":"Background: One approach postulated to improve the provision of health care is effective utilization of team-based care including pharmacists. Objective: The objective of this study was to conduct a compre hensive systematic review with focused meta-analyses to examine the effects of pharmacist-provided direct patient care on therapeutic, safety, and humanistic outcomes. Methods: The following databases were searched from inception to January 2009: NLM PubMed; Ovid/MEDLINE; ABI/IN FORM; Health Business Fulltext Elite; Academic Search Com plete; International Pharmaceutical Abstracts; PsycINFO; Co chrane Database of Systematic Reviews; National Guideline Clearinghouse; Database of Abstracts of Reviews of Effects; ClinicalTrials.gov; LexisNexis Academic Universe; and Google Scholar. Studies selected included those reporting pharmacist provided care, comparison groups, and patient-related outcomes. Of these, 56,573 citations were considered. Data were extracted by multidisciplinary study review teams. Variables examined included study characteristics, pharmacists' interventions/ser vices, patient characteristics, and study outcomes. Data for meta analyses were extracted from randomized controlled trials meet ing meta-analysis criteria. Results: A total of 298 studies were included. Favorable results were found in therapeutic and safety outcomes, and meta-analyses conducted for hemoglobin Ale, LDL cholesterol, blood pressure, and adverse drug events were significant (P &lt; 0.05), favoring pharmacists' direct patient care over comparative services. Results for humanistic outcomes were favorable with variability. Medication adherence, patient knowledge, and quality of life-general health meta-analyses were significant (P &lt; 0.05), favoring pharmacists' direct patient care. Conclusions: Pharmacist-provided direct patient care has favorable effects across various patient outcomes, health care settings, and disease states. Incorporating pharmacists as health care team mem bers in direct patient care is a viable solution to help improve US health care.","author":[{"dropping-particle":"","family":"Chisholm-burns","given":"Author Marie A","non-dropping-particle":"","parse-names":false,"suffix":""},{"dropping-particle":"","family":"Lee","given":"Jeannie 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Palmer","given":"John","non-dropping-particle":"","parse-names":false,"suffix":""},{"dropping-particle":"","family":"Martin","given":"Jennifer R","non-dropping-particle":"","parse-names":false,"suffix":""},{"dropping-particle":"","family":"Kramer","given":"Sandra S","non-dropping-particle":"","parse-names":false,"suffix":""},{"dropping-particle":"","family":"Wunz","given":"Timothy","non-dropping-particle":"","parse-names":false,"suffix":""},{"dropping-particle":"","family":"Chisholm-burns","given":"Marie A","non-dropping-particle":"","parse-names":false,"suffix":""},{"dropping-particle":"","family":"Lee","given":"Kim","non-dropping-particle":"","parse-names":false,"suffix":""},{"dropping-particle":"","family":"Spivey","given":"Christina A","non-dropping-particle":"","parse-names":false,"suffix":""},{"dropping-particle":"","family":"Slack","given":"Marion","non-dropping-particle":"","parse-names":false,"suffix":""},{"dropping-particle":"","family":"Herrier","given":"Richard N","non-dropping-particle":"","parse-names":false,"suffix":""},{"dropping-particle":"","family":"Hall-lipsy","given":"Elizabeth","non-dropping-particle":"","parse-names":false,"suffix":""},{"dropping-particle":"","family":"Zivin","given":"Joshua Graff","non-dropping-particle":"","parse-names":false,"suffix":""},{"dropping-particle":"","family":"Abraham","given":"Ivo","non-dropping-particle":"","parse-names":false,"suffix":""},{"dropping-particle":"","family":"Wunz","given":"Timothy","non-dropping-particle":"","parse-names":false,"suffix":""}],"container-title":"Medical Care","id":"ITEM-1","issue":"10","issued":{"date-parts":[["2010"]]},"page":"923-933","title":"US Pharmacists ' Effect as Team Members on Patient Care Systematic Review and Meta-Analyses","type":"article-journal","volume":"48"},"uris":["http://www.mendeley.com/documents/?uuid=d279d6b6-fe77-42b1-9750-9b41d653a7dd"]}],"mendeley":{"formattedCitation":"(Chisholm-burns &lt;i&gt;et al.&lt;/i&gt;, 2010)","manualFormatting":"(Chisholm-burns et al., 2010, p 924)","plainTextFormattedCitation":"(Chisholm-burns et al., 2010)","previouslyFormattedCitation":"(Chisholm-burns &lt;i&gt;et al.&lt;/i&gt;, 2010)"},"properties":{"noteIndex":0},"schema":"https://github.com/citation-style-language/schema/raw/master/csl-citation.json"}</w:instrText>
      </w:r>
      <w:r w:rsidRPr="006B2FC7">
        <w:rPr>
          <w:rFonts w:ascii="Arial" w:hAnsi="Arial" w:cs="Arial"/>
        </w:rPr>
        <w:fldChar w:fldCharType="separate"/>
      </w:r>
      <w:r w:rsidRPr="006B2FC7">
        <w:rPr>
          <w:rFonts w:ascii="Arial" w:hAnsi="Arial" w:cs="Arial"/>
          <w:noProof/>
        </w:rPr>
        <w:t>(Chisholm-burns et al., 2010, p 924)</w:t>
      </w:r>
      <w:r w:rsidRPr="006B2FC7">
        <w:rPr>
          <w:rFonts w:ascii="Arial" w:hAnsi="Arial" w:cs="Arial"/>
        </w:rPr>
        <w:fldChar w:fldCharType="end"/>
      </w:r>
    </w:p>
    <w:p w14:paraId="4B3092D1" w14:textId="77777777" w:rsidR="008F152E" w:rsidRDefault="008F152E" w:rsidP="008F152E">
      <w:pPr>
        <w:autoSpaceDE w:val="0"/>
        <w:autoSpaceDN w:val="0"/>
        <w:adjustRightInd w:val="0"/>
        <w:spacing w:line="360" w:lineRule="auto"/>
        <w:jc w:val="both"/>
        <w:rPr>
          <w:rFonts w:ascii="Arial" w:hAnsi="Arial" w:cs="Arial"/>
          <w:sz w:val="24"/>
          <w:szCs w:val="24"/>
          <w:lang w:val="en-GB"/>
        </w:rPr>
      </w:pP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{"citationItems":[{"id":"ITEM-1","itemData":{"abstract":"The World Health Organization has ranked Saudi Arabia as having the second highest rate of diabetes in the Middle East (7 th highest in the world) with an estimated population of 7 million living with diabetes and more than 3 million with pre-diabetes. This presents a pressing public health problem. Several challenges in diabetes management need to be tackled in Saudi Arabia, including the growing prevalence (chiefly among children and young adults), micro-and macrovascular complications , lifestyle changes, late diagnosis, poor awareness and high treatment costs. Over the last two decades , the Saudi population saw an increase in the expenses in healthcare and treatment of diabetes by by more than 500%. In 2014, the health care budget was 180 billion (Saudi Riyal) of which 17 billion was spent on all Saudis, with an approximate 25 billion on the entire Saudi diabetic population. This implies that the direct expense of diabetes is costing Saudi Arabia around 13.9% of the total health expenditure. Therefore, unless a comprehensive epidemic control program/multidisciplinary approach is stringently enforced, the diabetes mellitus burden on Saudi Arabia will probably increase to very serious levels. It is crucial to implement improved health and health-related quality of life of to those with diabetes, thus minimizing the social and personal expenses for diabetes care in Saudi Arabia. In this study we discuss the significant and major threats posed by diabetes mellitus to the Saudi population and recommend essential possible solutions to delay/prevent this formidable issue.","author":[{"dropping-particle":"","family":"Robert","given":"Asirvatham Alwin","non-dropping-particle":"","parse-names":false,"suffix":""},{"dropping-particle":"","family":"Abdulaziz Al Dawish","given":"Mohamed","non-dropping-particle":"","parse-names":false,"suffix":""},{"dropping-particle":"","family":"Braham","given":"Rim","non-dropping-particle":"","parse-names":false,"suffix":""},{"dropping-particle":"","family":"Ali Musallam","given":"Maha","non-dropping-particle":"","parse-names":false,"suffix":""},{"dropping-particle":"","family":"Abdullah Al Hayek","given":"Ayman","non-dropping-particle":"","parse-names":false,"suffix":""},{"dropping-particle":"","family":"Hazza Al Kahtany","given":"Nasser","non-dropping-particle":"","parse-names":false,"suffix":""}],"container-title":"Bentham Science Publishers","id":"ITEM-1","issued":{"date-parts":[["2016"]]},"title":"Type 2 Diabetes Mellitus in Saudi Arabia: Major Challenges and Possible Solutions","type":"article-journal"},"uris":["http://www.mendeley.com/documents/?uuid=51ebfa95-993d-389e-8716-96403897a3c3"]}],"mendeley":{"formattedCitation":"(Robert &lt;i&gt;et al.&lt;/i&gt;, 2016)","manualFormatting":"Robert et al. (2016)","plainTextFormattedCitation":"(Robert et al., 2016)","previouslyFormattedCitation":"(Robert &lt;i&gt;et al.&lt;/i&gt;, 2016)"},"properties":{"noteIndex":0},"schema":"https://github.com/citation-style-language/schema/raw/master/csl-citation.json"}</w:instrText>
      </w:r>
      <w:r>
        <w:rPr>
          <w:rFonts w:ascii="Arial" w:hAnsi="Arial" w:cs="Arial"/>
          <w:sz w:val="24"/>
          <w:szCs w:val="24"/>
          <w:lang w:val="en-GB"/>
        </w:rPr>
        <w:fldChar w:fldCharType="separate"/>
      </w:r>
      <w:r w:rsidRPr="00DF7919">
        <w:rPr>
          <w:rFonts w:ascii="Arial" w:hAnsi="Arial" w:cs="Arial"/>
          <w:noProof/>
          <w:sz w:val="24"/>
          <w:szCs w:val="24"/>
          <w:lang w:val="en-GB"/>
        </w:rPr>
        <w:t xml:space="preserve">Robert </w:t>
      </w:r>
      <w:r w:rsidRPr="00DF7919">
        <w:rPr>
          <w:rFonts w:ascii="Arial" w:hAnsi="Arial" w:cs="Arial"/>
          <w:i/>
          <w:noProof/>
          <w:sz w:val="24"/>
          <w:szCs w:val="24"/>
          <w:lang w:val="en-GB"/>
        </w:rPr>
        <w:t>et al.</w:t>
      </w:r>
      <w:r w:rsidRPr="00DF7919">
        <w:rPr>
          <w:rFonts w:ascii="Arial" w:hAnsi="Arial" w:cs="Arial"/>
          <w:noProof/>
          <w:sz w:val="24"/>
          <w:szCs w:val="24"/>
          <w:lang w:val="en-GB"/>
        </w:rPr>
        <w:t xml:space="preserve"> </w:t>
      </w:r>
      <w:r>
        <w:rPr>
          <w:rFonts w:ascii="Arial" w:hAnsi="Arial" w:cs="Arial"/>
          <w:noProof/>
          <w:sz w:val="24"/>
          <w:szCs w:val="24"/>
          <w:lang w:val="en-GB"/>
        </w:rPr>
        <w:t>(</w:t>
      </w:r>
      <w:r w:rsidRPr="00DF7919">
        <w:rPr>
          <w:rFonts w:ascii="Arial" w:hAnsi="Arial" w:cs="Arial"/>
          <w:noProof/>
          <w:sz w:val="24"/>
          <w:szCs w:val="24"/>
          <w:lang w:val="en-GB"/>
        </w:rPr>
        <w:t>2016)</w:t>
      </w:r>
      <w:r>
        <w:rPr>
          <w:rFonts w:ascii="Arial" w:hAnsi="Arial" w:cs="Arial"/>
          <w:sz w:val="24"/>
          <w:szCs w:val="24"/>
          <w:lang w:val="en-GB"/>
        </w:rPr>
        <w:fldChar w:fldCharType="end"/>
      </w:r>
      <w:r>
        <w:rPr>
          <w:rFonts w:ascii="Arial" w:hAnsi="Arial" w:cs="Arial"/>
          <w:sz w:val="24"/>
          <w:szCs w:val="24"/>
          <w:lang w:val="en-GB"/>
        </w:rPr>
        <w:t xml:space="preserve"> </w:t>
      </w:r>
      <w:r w:rsidRPr="006B2FC7">
        <w:rPr>
          <w:rFonts w:ascii="Arial" w:hAnsi="Arial" w:cs="Arial"/>
          <w:sz w:val="24"/>
          <w:szCs w:val="24"/>
          <w:lang w:val="en-GB"/>
        </w:rPr>
        <w:t>also noted that an MDT led care approach in SA might motivate the diabetic patient to achieve their treatment goals.</w:t>
      </w:r>
      <w:r>
        <w:rPr>
          <w:rFonts w:ascii="Arial" w:hAnsi="Arial" w:cs="Arial"/>
          <w:sz w:val="24"/>
          <w:szCs w:val="24"/>
          <w:lang w:val="en-GB"/>
        </w:rPr>
        <w:t xml:space="preserve"> </w:t>
      </w:r>
      <w:r w:rsidRPr="006B2FC7">
        <w:rPr>
          <w:rFonts w:ascii="Arial" w:hAnsi="Arial" w:cs="Arial"/>
          <w:sz w:val="24"/>
          <w:szCs w:val="24"/>
          <w:lang w:val="en-GB"/>
        </w:rPr>
        <w:t xml:space="preserve">The MDTs suggested by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{"citationItems":[{"id":"ITEM-1","itemData":{"abstract":"The World Health Organization has ranked Saudi Arabia as having the second highest rate of diabetes in the Middle East (7 th highest in the world) with an estimated population of 7 million living with diabetes and more than 3 million with pre-diabetes. This presents a pressing public health problem. Several challenges in diabetes management need to be tackled in Saudi Arabia, including the growing prevalence (chiefly among children and young adults), micro-and macrovascular complications , lifestyle changes, late diagnosis, poor awareness and high treatment costs. Over the last two decades , the Saudi population saw an increase in the expenses in healthcare and treatment of diabetes by by more than 500%. In 2014, the health care budget was 180 billion (Saudi Riyal) of which 17 billion was spent on all Saudis, with an approximate 25 billion on the entire Saudi diabetic population. This implies that the direct expense of diabetes is costing Saudi Arabia around 13.9% of the total health expenditure. Therefore, unless a comprehensive epidemic control program/multidisciplinary approach is stringently enforced, the diabetes mellitus burden on Saudi Arabia will probably increase to very serious levels. It is crucial to implement improved health and health-related quality of life of to those with diabetes, thus minimizing the social and personal expenses for diabetes care in Saudi Arabia. In this study we discuss the significant and major threats posed by diabetes mellitus to the Saudi population and recommend essential possible solutions to delay/prevent this formidable issue.","author":[{"dropping-particle":"","family":"Robert","given":"Asirvatham Alwin","non-dropping-particle":"","parse-names":false,"suffix":""},{"dropping-particle":"","family":"Abdulaziz Al Dawish","given":"Mohamed","non-dropping-particle":"","parse-names":false,"suffix":""},{"dropping-particle":"","family":"Braham","given":"Rim","non-dropping-particle":"","parse-names":false,"suffix":""},{"dropping-particle":"","family":"Ali Musallam","given":"Maha","non-dropping-particle":"","parse-names":false,"suffix":""},{"dropping-particle":"","family":"Abdullah Al Hayek","given":"Ayman","non-dropping-particle":"","parse-names":false,"suffix":""},{"dropping-particle":"","family":"Hazza Al Kahtany","given":"Nasser","non-dropping-particle":"","parse-names":false,"suffix":""}],"container-title":"Bentham Science Publishers","id":"ITEM-1","issued":{"date-parts":[["2016"]]},"title":"Type 2 Diabetes Mellitus in Saudi Arabia: Major Challenges and Possible Solutions","type":"article-journal"},"uris":["http://www.mendeley.com/documents/?uuid=51ebfa95-993d-389e-8716-96403897a3c3"]}],"mendeley":{"formattedCitation":"(Robert &lt;i&gt;et al.&lt;/i&gt;, 2016)","manualFormatting":"Robert et al. (2016)","plainTextFormattedCitation":"(Robert et al., 2016)","previouslyFormattedCitation":"(Robert &lt;i&gt;et al.&lt;/i&gt;, 2016)"},"properties":{"noteIndex":0},"schema":"https://github.com/citation-style-language/schema/raw/master/csl-citation.json"}</w:instrText>
      </w:r>
      <w:r>
        <w:rPr>
          <w:rFonts w:ascii="Arial" w:hAnsi="Arial" w:cs="Arial"/>
          <w:sz w:val="24"/>
          <w:szCs w:val="24"/>
          <w:lang w:val="en-GB"/>
        </w:rPr>
        <w:fldChar w:fldCharType="separate"/>
      </w:r>
      <w:r w:rsidRPr="00DF7919">
        <w:rPr>
          <w:rFonts w:ascii="Arial" w:hAnsi="Arial" w:cs="Arial"/>
          <w:noProof/>
          <w:sz w:val="24"/>
          <w:szCs w:val="24"/>
          <w:lang w:val="en-GB"/>
        </w:rPr>
        <w:t xml:space="preserve">Robert </w:t>
      </w:r>
      <w:r w:rsidRPr="00DF7919">
        <w:rPr>
          <w:rFonts w:ascii="Arial" w:hAnsi="Arial" w:cs="Arial"/>
          <w:i/>
          <w:noProof/>
          <w:sz w:val="24"/>
          <w:szCs w:val="24"/>
          <w:lang w:val="en-GB"/>
        </w:rPr>
        <w:t>et al.</w:t>
      </w:r>
      <w:r w:rsidRPr="00DF7919">
        <w:rPr>
          <w:rFonts w:ascii="Arial" w:hAnsi="Arial" w:cs="Arial"/>
          <w:noProof/>
          <w:sz w:val="24"/>
          <w:szCs w:val="24"/>
          <w:lang w:val="en-GB"/>
        </w:rPr>
        <w:t xml:space="preserve"> </w:t>
      </w:r>
      <w:r>
        <w:rPr>
          <w:rFonts w:ascii="Arial" w:hAnsi="Arial" w:cs="Arial"/>
          <w:noProof/>
          <w:sz w:val="24"/>
          <w:szCs w:val="24"/>
          <w:lang w:val="en-GB"/>
        </w:rPr>
        <w:t>(</w:t>
      </w:r>
      <w:r w:rsidRPr="00DF7919">
        <w:rPr>
          <w:rFonts w:ascii="Arial" w:hAnsi="Arial" w:cs="Arial"/>
          <w:noProof/>
          <w:sz w:val="24"/>
          <w:szCs w:val="24"/>
          <w:lang w:val="en-GB"/>
        </w:rPr>
        <w:t>2016)</w:t>
      </w:r>
      <w:r>
        <w:rPr>
          <w:rFonts w:ascii="Arial" w:hAnsi="Arial" w:cs="Arial"/>
          <w:sz w:val="24"/>
          <w:szCs w:val="24"/>
          <w:lang w:val="en-GB"/>
        </w:rPr>
        <w:fldChar w:fldCharType="end"/>
      </w:r>
      <w:r>
        <w:rPr>
          <w:rFonts w:ascii="Arial" w:hAnsi="Arial" w:cs="Arial"/>
          <w:sz w:val="24"/>
          <w:szCs w:val="24"/>
          <w:lang w:val="en-GB"/>
        </w:rPr>
        <w:t xml:space="preserve"> </w:t>
      </w:r>
      <w:r w:rsidRPr="006B2FC7">
        <w:rPr>
          <w:rFonts w:ascii="Arial" w:hAnsi="Arial" w:cs="Arial"/>
          <w:sz w:val="24"/>
          <w:szCs w:val="24"/>
          <w:lang w:val="en-GB"/>
        </w:rPr>
        <w:t xml:space="preserve">include clinicians, nurses, dietitians, health educators, psychologists, and physiotherapists to provide comprehensive diabetic care management. However, the role of pharmacists in such teams is not clear and is notable that pharmacists are not included as members of MDTs by Robert et al. This is arguably not surprising, as almost fifty years ago, physicians, patients, and other </w:t>
      </w:r>
      <w:r>
        <w:rPr>
          <w:rFonts w:ascii="Arial" w:hAnsi="Arial" w:cs="Arial"/>
          <w:sz w:val="24"/>
          <w:szCs w:val="24"/>
          <w:lang w:val="en-GB"/>
        </w:rPr>
        <w:t>HCPs</w:t>
      </w:r>
      <w:r w:rsidRPr="006B2FC7">
        <w:rPr>
          <w:rFonts w:ascii="Arial" w:hAnsi="Arial" w:cs="Arial"/>
          <w:sz w:val="24"/>
          <w:szCs w:val="24"/>
          <w:lang w:val="en-GB"/>
        </w:rPr>
        <w:t xml:space="preserve"> perceived pharmacists’ roles as closer to the role of a technician than a professional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{"citationItems":[{"id":"ITEM-1","itemData":{"DOI":"10.1177/2050312117713911","ISSN":"2050-3121","abstract":"PURPOSE The purpose of this study is to evaluate primary care provider satisfaction and perceived impact of clinical pharmacy services on the disease state management in primary care. METHODS A cross-sectional survey with 24 items and 4 domains was distributed anonymously to pharmacy residency program directors across the United States who were requested to forward the survey to their primary care provider colleagues. Primary care providers were asked to complete the survey. RESULTS A total of 144 primary care providers responded to the survey, with 130 reporting a clinical pharmacist within their primary care practice and 114 completing the entire survey. Primary care providers report pharmacists positively impact quality of care (mean = 5.5 on Likert scale of 1-6; standard deviation = 0.72), high satisfaction with pharmacy services provided (5.5; standard deviation = 0.79), and no increase in workload as a result of clinical pharmacists (5.5; standard deviation = 0.77). Primary care providers would recommend clinical pharmacists to other primary care practices (5.7; standard deviation = 0.59). Primary care providers perceived specific types of pharmacy services to have the greatest impact on patient care: medication therapy management (38.6%), disease-focused management (29.82%), and medication reconciliation (11.4%). Primary care providers indicated the most valuable disease-focused pharmacy services as diabetes (58.78%), hypertension (9.65%), and pain (11.4%). CONCLUSION Primary care providers report high satisfaction with and perceived benefit of clinical pharmacy services in primary care and viewed medication therapy management and disease-focused management of diabetes, hypertension, and pain as the most valuable clinical pharmacy services. These results can be used to inform development or expansion of clinical pharmacy services in primary care.","author":[{"dropping-particle":"","family":"Truong","given":"Havan","non-dropping-particle":"","parse-names":false,"suffix":""},{"dropping-particle":"","family":"Kroehl","given":"Miranda E","non-dropping-particle":"","parse-names":false,"suffix":""},{"dropping-particle":"","family":"Lewis","given":"Carmen","non-dropping-particle":"","parse-names":false,"suffix":""},{"dropping-particle":"","family":"Pettigrew","given":"Robin","non-dropping-particle":"","parse-names":false,"suffix":""},{"dropping-particle":"","family":"Bennett","given":"Marialice","non-dropping-particle":"","parse-names":false,"suffix":""},{"dropping-particle":"","family":"Saseen","given":"Joseph J","non-dropping-particle":"","parse-names":false,"suffix":""},{"dropping-particle":"","family":"Trinkley","given":"Katy E","non-dropping-particle":"","parse-names":false,"suffix":""}],"container-title":"SAGE Open Medicine","id":"ITEM-1","issued":{"date-parts":[["2017"]]},"page":"205031211771391","publisher-place":"England","title":"Clinical pharmacists in primary care: Provider satisfaction and perceived impact on quality of care provided","type":"article-journal","volume":"5"},"uris":["http://www.mendeley.com/documents/?uuid=68b42044-94ce-4ed2-a6de-aa34745e8168"]}],"mendeley":{"formattedCitation":"(Truong &lt;i&gt;et al.&lt;/i&gt;, 2017)","plainTextFormattedCitation":"(Truong et al., 2017)","previouslyFormattedCitation":"(Truong &lt;i&gt;et al.&lt;/i&gt;, 2017)"},"properties":{"noteIndex":0},"schema":"https://github.com/citation-style-language/schema/raw/master/csl-citation.json"}</w:instrText>
      </w:r>
      <w:r>
        <w:rPr>
          <w:rFonts w:ascii="Arial" w:hAnsi="Arial" w:cs="Arial"/>
          <w:sz w:val="24"/>
          <w:szCs w:val="24"/>
          <w:lang w:val="en-GB"/>
        </w:rPr>
        <w:fldChar w:fldCharType="separate"/>
      </w:r>
      <w:r w:rsidRPr="009571D4">
        <w:rPr>
          <w:rFonts w:ascii="Arial" w:hAnsi="Arial" w:cs="Arial"/>
          <w:noProof/>
          <w:sz w:val="24"/>
          <w:szCs w:val="24"/>
          <w:lang w:val="en-GB"/>
        </w:rPr>
        <w:t xml:space="preserve">(Truong </w:t>
      </w:r>
      <w:r w:rsidRPr="009571D4">
        <w:rPr>
          <w:rFonts w:ascii="Arial" w:hAnsi="Arial" w:cs="Arial"/>
          <w:i/>
          <w:noProof/>
          <w:sz w:val="24"/>
          <w:szCs w:val="24"/>
          <w:lang w:val="en-GB"/>
        </w:rPr>
        <w:t>et al.</w:t>
      </w:r>
      <w:r w:rsidRPr="009571D4">
        <w:rPr>
          <w:rFonts w:ascii="Arial" w:hAnsi="Arial" w:cs="Arial"/>
          <w:noProof/>
          <w:sz w:val="24"/>
          <w:szCs w:val="24"/>
          <w:lang w:val="en-GB"/>
        </w:rPr>
        <w:t>, 2017)</w:t>
      </w:r>
      <w:r>
        <w:rPr>
          <w:rFonts w:ascii="Arial" w:hAnsi="Arial" w:cs="Arial"/>
          <w:sz w:val="24"/>
          <w:szCs w:val="24"/>
          <w:lang w:val="en-GB"/>
        </w:rPr>
        <w:fldChar w:fldCharType="end"/>
      </w:r>
      <w:r>
        <w:rPr>
          <w:rFonts w:ascii="Arial" w:hAnsi="Arial" w:cs="Arial"/>
          <w:sz w:val="24"/>
          <w:szCs w:val="24"/>
          <w:lang w:val="en-GB"/>
        </w:rPr>
        <w:t xml:space="preserve">. </w:t>
      </w:r>
      <w:r w:rsidRPr="006B2FC7">
        <w:rPr>
          <w:rFonts w:ascii="Arial" w:hAnsi="Arial" w:cs="Arial"/>
          <w:sz w:val="24"/>
          <w:szCs w:val="24"/>
          <w:lang w:val="en-GB"/>
        </w:rPr>
        <w:t xml:space="preserve">This view was supported by </w:t>
      </w:r>
      <w:r w:rsidRPr="006B2FC7">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Al-Taweel et al. (2014)</w:t>
      </w:r>
      <w:r w:rsidRPr="006B2FC7">
        <w:rPr>
          <w:rFonts w:ascii="Arial" w:hAnsi="Arial" w:cs="Arial"/>
          <w:sz w:val="24"/>
          <w:szCs w:val="24"/>
          <w:lang w:val="en-GB"/>
        </w:rPr>
        <w:fldChar w:fldCharType="end"/>
      </w:r>
      <w:r w:rsidRPr="006B2FC7">
        <w:rPr>
          <w:rFonts w:ascii="Arial" w:hAnsi="Arial" w:cs="Arial"/>
          <w:sz w:val="24"/>
          <w:szCs w:val="24"/>
          <w:lang w:val="en-GB"/>
        </w:rPr>
        <w:t xml:space="preserve"> and </w:t>
      </w:r>
      <w:r>
        <w:rPr>
          <w:rFonts w:ascii="Arial" w:hAnsi="Arial" w:cs="Arial"/>
          <w:sz w:val="24"/>
          <w:szCs w:val="24"/>
        </w:rPr>
        <w:fldChar w:fldCharType="begin" w:fldLock="1"/>
      </w:r>
      <w:r>
        <w:rPr>
          <w:rFonts w:ascii="Arial" w:hAnsi="Arial" w:cs="Arial"/>
          <w:sz w:val="24"/>
          <w:szCs w:val="24"/>
        </w:rPr>
        <w:instrText>ADDIN CSL_CITATION {"citationItems":[{"id":"ITEM-1","itemData":{"DOI":"10.1159/000456088","ISSN":"14230151","abstract":"Objectives: The objectives of this study were to measure pharmacists' attitudes toward management of diabetes, identify current levels of pharmacy service provided to patients with diabetes, and identify barriers for further provision of diabetes-related services. Subjects and Methods: A descriptive, cross-sectional study was conducted on a sample of 198 pharmacists working in primary and secondary health care settings in one health region of Kuwait using a pretested self-administered questionnaire. Descriptive statistics, correlations, and comparative analysis were performed. Results: The response rate was 84.4% (n = 168). Respondents had overall positive attitudes toward management of diabetes. Pharmacists regularly provided their patients with counseling on the appropriate time to administer their medications; however, services related to hypoglycemia and management of comorbid diseases were rarely provided. A negative correlation was found between the positive overall diabetes-related attitudes and pharmacists' involvement in providing the following diabetes-related services: glucose monitoring (r = -0.25, p = 0.001), comorbid disease management (r = -0.243, p = 0.001), and healthy living choices (r = -0.237, p = 0.002). The perception that some physicians and patients have of pharmacists as dispensers only was identified as the most important barrier to providing diabetes-related services. Conclusion: Pharmacists have positive diabetes-related attitudes; however, they provide limited diabetes-related services to their patients. Barriers to provision of pharmacy services to patients with diabetes should be addressed to enable optimum patient care delivery.","author":[{"dropping-particle":"","family":"Haqan","given":"Asmaa A.","non-dropping-particle":"Al","parse-names":false,"suffix":""},{"dropping-particle":"","family":"Al-Taweel","given":"Dalal M.","non-dropping-particle":"","parse-names":false,"suffix":""},{"dropping-particle":"","family":"Awad","given":"Abdelmoneim","non-dropping-particle":"","parse-names":false,"suffix":""},{"dropping-particle":"","family":"Wake","given":"Deborah Jane","non-dropping-particle":"","parse-names":false,"suffix":""}],"container-title":"Medical Principles and Practice","id":"ITEM-1","issue":"3","issued":{"date-parts":[["2017","5","1"]]},"page":"273-279","publisher":"S. Karger AG","title":"Pharmacists' Attitudes and Role in Diabetes Management in Kuwait","type":"article-journal","volume":"26"},"uris":["http://www.mendeley.com/documents/?uuid=6cc31e18-9dc2-3473-bf05-43a9df581f33"]}],"mendeley":{"formattedCitation":"(Al Haqan &lt;i&gt;et al.&lt;/i&gt;, 2017)","manualFormatting":"Al Haqan et al. (2017)","plainTextFormattedCitation":"(Al Haqan et al., 2017)","previouslyFormattedCitation":"(Al Haqan &lt;i&gt;et al.&lt;/i&gt;, 2017)"},"properties":{"noteIndex":0},"schema":"https://github.com/citation-style-language/schema/raw/master/csl-citation.json"}</w:instrText>
      </w:r>
      <w:r>
        <w:rPr>
          <w:rFonts w:ascii="Arial" w:hAnsi="Arial" w:cs="Arial"/>
          <w:sz w:val="24"/>
          <w:szCs w:val="24"/>
        </w:rPr>
        <w:fldChar w:fldCharType="separate"/>
      </w:r>
      <w:r w:rsidRPr="00B525A8">
        <w:rPr>
          <w:rFonts w:ascii="Arial" w:hAnsi="Arial" w:cs="Arial"/>
          <w:noProof/>
          <w:sz w:val="24"/>
          <w:szCs w:val="24"/>
        </w:rPr>
        <w:t xml:space="preserve">Al Haqan </w:t>
      </w:r>
      <w:r w:rsidRPr="00B525A8">
        <w:rPr>
          <w:rFonts w:ascii="Arial" w:hAnsi="Arial" w:cs="Arial"/>
          <w:i/>
          <w:noProof/>
          <w:sz w:val="24"/>
          <w:szCs w:val="24"/>
        </w:rPr>
        <w:t>et al.</w:t>
      </w:r>
      <w:r w:rsidRPr="00B525A8">
        <w:rPr>
          <w:rFonts w:ascii="Arial" w:hAnsi="Arial" w:cs="Arial"/>
          <w:noProof/>
          <w:sz w:val="24"/>
          <w:szCs w:val="24"/>
        </w:rPr>
        <w:t xml:space="preserve"> </w:t>
      </w:r>
      <w:r>
        <w:rPr>
          <w:rFonts w:ascii="Arial" w:hAnsi="Arial" w:cs="Arial"/>
          <w:noProof/>
          <w:sz w:val="24"/>
          <w:szCs w:val="24"/>
        </w:rPr>
        <w:t>(</w:t>
      </w:r>
      <w:r w:rsidRPr="00B525A8">
        <w:rPr>
          <w:rFonts w:ascii="Arial" w:hAnsi="Arial" w:cs="Arial"/>
          <w:noProof/>
          <w:sz w:val="24"/>
          <w:szCs w:val="24"/>
        </w:rPr>
        <w:t>2017)</w:t>
      </w:r>
      <w:r>
        <w:rPr>
          <w:rFonts w:ascii="Arial" w:hAnsi="Arial" w:cs="Arial"/>
          <w:sz w:val="24"/>
          <w:szCs w:val="24"/>
        </w:rPr>
        <w:fldChar w:fldCharType="end"/>
      </w:r>
      <w:r w:rsidRPr="006B2FC7">
        <w:rPr>
          <w:rFonts w:ascii="Arial" w:hAnsi="Arial" w:cs="Arial"/>
          <w:sz w:val="24"/>
          <w:szCs w:val="24"/>
          <w:lang w:val="en-GB"/>
        </w:rPr>
        <w:t xml:space="preserve">, who identified that some physicians and patients in Kuwait perceived pharmacists as dispensers only. This perception was the most crucial barrier that faced pharmacists in Kuwait from providing diabetes-related services, such as glucose monitoring and comorbid disease management. </w:t>
      </w:r>
    </w:p>
    <w:p w14:paraId="217D3B29" w14:textId="77777777" w:rsidR="008F152E" w:rsidRDefault="008F152E" w:rsidP="008F152E">
      <w:pPr>
        <w:autoSpaceDE w:val="0"/>
        <w:autoSpaceDN w:val="0"/>
        <w:adjustRightInd w:val="0"/>
        <w:spacing w:line="360" w:lineRule="auto"/>
        <w:jc w:val="both"/>
        <w:rPr>
          <w:rFonts w:ascii="Arial" w:hAnsi="Arial" w:cs="Arial"/>
          <w:sz w:val="24"/>
          <w:szCs w:val="24"/>
          <w:lang w:val="en-GB"/>
        </w:rPr>
      </w:pPr>
      <w:r w:rsidRPr="006B2FC7">
        <w:rPr>
          <w:rFonts w:ascii="Arial" w:hAnsi="Arial" w:cs="Arial"/>
          <w:sz w:val="24"/>
          <w:szCs w:val="24"/>
          <w:lang w:val="en-GB"/>
        </w:rPr>
        <w:t xml:space="preserve">However, in their review,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{"citationItems":[{"id":"ITEM-1","itemData":{"DOI":"10.1177/2050312117713911","ISSN":"2050-3121","abstract":"PURPOSE The purpose of this study is to evaluate primary care provider satisfaction and perceived impact of clinical pharmacy services on the disease state management in primary care. METHODS A cross-sectional survey with 24 items and 4 domains was distributed anonymously to pharmacy residency program directors across the United States who were requested to forward the survey to their primary care provider colleagues. Primary care providers were asked to complete the survey. RESULTS A total of 144 primary care providers responded to the survey, with 130 reporting a clinical pharmacist within their primary care practice and 114 completing the entire survey. Primary care providers report pharmacists positively impact quality of care (mean = 5.5 on Likert scale of 1-6; standard deviation = 0.72), high satisfaction with pharmacy services provided (5.5; standard deviation = 0.79), and no increase in workload as a result of clinical pharmacists (5.5; standard deviation = 0.77). Primary care providers would recommend clinical pharmacists to other primary care practices (5.7; standard deviation = 0.59). Primary care providers perceived specific types of pharmacy services to have the greatest impact on patient care: medication therapy management (38.6%), disease-focused management (29.82%), and medication reconciliation (11.4%). Primary care providers indicated the most valuable disease-focused pharmacy services as diabetes (58.78%), hypertension (9.65%), and pain (11.4%). CONCLUSION Primary care providers report high satisfaction with and perceived benefit of clinical pharmacy services in primary care and viewed medication therapy management and disease-focused management of diabetes, hypertension, and pain as the most valuable clinical pharmacy services. These results can be used to inform development or expansion of clinical pharmacy services in primary care.","author":[{"dropping-particle":"","family":"Truong","given":"Havan","non-dropping-particle":"","parse-names":false,"suffix":""},{"dropping-particle":"","family":"Kroehl","given":"Miranda E","non-dropping-particle":"","parse-names":false,"suffix":""},{"dropping-particle":"","family":"Lewis","given":"Carmen","non-dropping-particle":"","parse-names":false,"suffix":""},{"dropping-particle":"","family":"Pettigrew","given":"Robin","non-dropping-particle":"","parse-names":false,"suffix":""},{"dropping-particle":"","family":"Bennett","given":"Marialice","non-dropping-particle":"","parse-names":false,"suffix":""},{"dropping-particle":"","family":"Saseen","given":"Joseph J","non-dropping-particle":"","parse-names":false,"suffix":""},{"dropping-particle":"","family":"Trinkley","given":"Katy E","non-dropping-particle":"","parse-names":false,"suffix":""}],"container-title":"SAGE Open Medicine","id":"ITEM-1","issued":{"date-parts":[["2017"]]},"page":"205031211771391","publisher-place":"England","title":"Clinical pharmacists in primary care: Provider satisfaction and perceived impact on quality of care provided","type":"article-journal","volume":"5"},"uris":["http://www.mendeley.com/documents/?uuid=68b42044-94ce-4ed2-a6de-aa34745e8168"]}],"mendeley":{"formattedCitation":"(Truong &lt;i&gt;et al.&lt;/i&gt;, 2017)","manualFormatting":"Truong et al., (2017)","plainTextFormattedCitation":"(Truong et al., 2017)","previouslyFormattedCitation":"(Truong &lt;i&gt;et al.&lt;/i&gt;, 2017)"},"properties":{"noteIndex":0},"schema":"https://github.com/citation-style-language/schema/raw/master/csl-citation.json"}</w:instrText>
      </w:r>
      <w:r>
        <w:rPr>
          <w:rFonts w:ascii="Arial" w:hAnsi="Arial" w:cs="Arial"/>
          <w:sz w:val="24"/>
          <w:szCs w:val="24"/>
          <w:lang w:val="en-GB"/>
        </w:rPr>
        <w:fldChar w:fldCharType="separate"/>
      </w:r>
      <w:r w:rsidRPr="00DE0299">
        <w:rPr>
          <w:rFonts w:ascii="Arial" w:hAnsi="Arial" w:cs="Arial"/>
          <w:noProof/>
          <w:sz w:val="24"/>
          <w:szCs w:val="24"/>
          <w:lang w:val="en-GB"/>
        </w:rPr>
        <w:t xml:space="preserve">Truong </w:t>
      </w:r>
      <w:r w:rsidRPr="00DE0299">
        <w:rPr>
          <w:rFonts w:ascii="Arial" w:hAnsi="Arial" w:cs="Arial"/>
          <w:i/>
          <w:noProof/>
          <w:sz w:val="24"/>
          <w:szCs w:val="24"/>
          <w:lang w:val="en-GB"/>
        </w:rPr>
        <w:t>et al.</w:t>
      </w:r>
      <w:r w:rsidRPr="00DE0299">
        <w:rPr>
          <w:rFonts w:ascii="Arial" w:hAnsi="Arial" w:cs="Arial"/>
          <w:noProof/>
          <w:sz w:val="24"/>
          <w:szCs w:val="24"/>
          <w:lang w:val="en-GB"/>
        </w:rPr>
        <w:t xml:space="preserve">, </w:t>
      </w:r>
      <w:r>
        <w:rPr>
          <w:rFonts w:ascii="Arial" w:hAnsi="Arial" w:cs="Arial"/>
          <w:noProof/>
          <w:sz w:val="24"/>
          <w:szCs w:val="24"/>
          <w:lang w:val="en-GB"/>
        </w:rPr>
        <w:t>(</w:t>
      </w:r>
      <w:r w:rsidRPr="00DE0299">
        <w:rPr>
          <w:rFonts w:ascii="Arial" w:hAnsi="Arial" w:cs="Arial"/>
          <w:noProof/>
          <w:sz w:val="24"/>
          <w:szCs w:val="24"/>
          <w:lang w:val="en-GB"/>
        </w:rPr>
        <w:t>2017)</w:t>
      </w:r>
      <w:r>
        <w:rPr>
          <w:rFonts w:ascii="Arial" w:hAnsi="Arial" w:cs="Arial"/>
          <w:sz w:val="24"/>
          <w:szCs w:val="24"/>
          <w:lang w:val="en-GB"/>
        </w:rPr>
        <w:fldChar w:fldCharType="end"/>
      </w:r>
      <w:r w:rsidRPr="006B2FC7">
        <w:rPr>
          <w:rFonts w:ascii="Arial" w:hAnsi="Arial" w:cs="Arial"/>
          <w:sz w:val="24"/>
          <w:szCs w:val="24"/>
          <w:lang w:val="en-GB"/>
        </w:rPr>
        <w:t xml:space="preserve"> found that primary care providers  perceptions of the pharmacist's role had changed after the integration of pharmacists into family/general practices, as shown in the previous section about the satisfaction stakeholders gained from the involvement of pharmacists in the </w:t>
      </w:r>
      <w:r>
        <w:rPr>
          <w:rFonts w:ascii="Arial" w:hAnsi="Arial" w:cs="Arial"/>
          <w:sz w:val="24"/>
          <w:szCs w:val="24"/>
          <w:lang w:val="en-GB"/>
        </w:rPr>
        <w:t xml:space="preserve">MDT </w:t>
      </w:r>
      <w:r w:rsidRPr="00D2628F">
        <w:rPr>
          <w:rFonts w:asciiTheme="minorBidi" w:hAnsiTheme="minorBidi"/>
          <w:sz w:val="24"/>
          <w:szCs w:val="24"/>
          <w:lang w:val="en-GB"/>
        </w:rPr>
        <w:t>(</w:t>
      </w:r>
      <w:r w:rsidRPr="00D2628F">
        <w:rPr>
          <w:rFonts w:asciiTheme="minorBidi" w:hAnsiTheme="minorBidi"/>
          <w:sz w:val="24"/>
          <w:szCs w:val="24"/>
          <w:lang w:val="en-GB"/>
        </w:rPr>
        <w:fldChar w:fldCharType="begin"/>
      </w:r>
      <w:r w:rsidRPr="00D2628F">
        <w:rPr>
          <w:rFonts w:asciiTheme="minorBidi" w:hAnsiTheme="minorBidi"/>
          <w:sz w:val="24"/>
          <w:szCs w:val="24"/>
          <w:lang w:val="en-GB"/>
        </w:rPr>
        <w:instrText xml:space="preserve"> REF _Ref119528963 \h  \* MERGEFORMAT </w:instrText>
      </w:r>
      <w:r w:rsidRPr="00D2628F">
        <w:rPr>
          <w:rFonts w:asciiTheme="minorBidi" w:hAnsiTheme="minorBidi"/>
          <w:sz w:val="24"/>
          <w:szCs w:val="24"/>
          <w:lang w:val="en-GB"/>
        </w:rPr>
      </w:r>
      <w:r w:rsidRPr="00D2628F">
        <w:rPr>
          <w:rFonts w:asciiTheme="minorBidi" w:hAnsiTheme="minorBidi"/>
          <w:sz w:val="24"/>
          <w:szCs w:val="24"/>
          <w:lang w:val="en-GB"/>
        </w:rPr>
        <w:fldChar w:fldCharType="separate"/>
      </w:r>
      <w:r w:rsidRPr="00D2628F">
        <w:rPr>
          <w:rFonts w:asciiTheme="minorBidi" w:hAnsiTheme="minorBidi"/>
          <w:sz w:val="24"/>
          <w:szCs w:val="24"/>
          <w:lang w:val="en-GB"/>
        </w:rPr>
        <w:t>Impacts of pharmacists’ interventions on healthcare providers’ attitudes, perceptions and satisfaction</w:t>
      </w:r>
      <w:r w:rsidRPr="00D2628F">
        <w:rPr>
          <w:rFonts w:asciiTheme="minorBidi" w:hAnsiTheme="minorBidi"/>
          <w:sz w:val="24"/>
          <w:szCs w:val="24"/>
          <w:lang w:val="en-GB"/>
        </w:rPr>
        <w:fldChar w:fldCharType="end"/>
      </w:r>
      <w:r w:rsidRPr="00D2628F">
        <w:rPr>
          <w:rFonts w:asciiTheme="minorBidi" w:hAnsiTheme="minorBidi"/>
          <w:sz w:val="24"/>
          <w:szCs w:val="24"/>
          <w:lang w:val="en-GB"/>
        </w:rPr>
        <w:t>).</w:t>
      </w:r>
      <w:r w:rsidRPr="00D2628F">
        <w:rPr>
          <w:rFonts w:ascii="Arial" w:hAnsi="Arial" w:cs="Arial"/>
          <w:sz w:val="24"/>
          <w:szCs w:val="24"/>
          <w:lang w:val="en-GB"/>
        </w:rPr>
        <w:t xml:space="preserve">  </w:t>
      </w:r>
    </w:p>
    <w:p w14:paraId="5C536890" w14:textId="77777777" w:rsidR="008F152E" w:rsidRPr="00282E00" w:rsidRDefault="008F152E" w:rsidP="008F152E">
      <w:pPr>
        <w:autoSpaceDE w:val="0"/>
        <w:autoSpaceDN w:val="0"/>
        <w:adjustRightInd w:val="0"/>
        <w:spacing w:line="360" w:lineRule="auto"/>
        <w:jc w:val="both"/>
        <w:rPr>
          <w:rFonts w:ascii="Arial" w:eastAsia="Times New Roman" w:hAnsi="Arial" w:cs="Arial"/>
          <w:sz w:val="24"/>
          <w:szCs w:val="24"/>
          <w:lang w:val="en-GB"/>
        </w:rPr>
      </w:pPr>
      <w:r w:rsidRPr="006B2FC7">
        <w:rPr>
          <w:rFonts w:ascii="Arial" w:hAnsi="Arial" w:cs="Arial"/>
          <w:sz w:val="24"/>
          <w:szCs w:val="24"/>
          <w:lang w:val="en-GB"/>
        </w:rPr>
        <w:t xml:space="preserve">Pharmacist’s </w:t>
      </w:r>
      <w:r>
        <w:rPr>
          <w:rFonts w:ascii="Arial" w:hAnsi="Arial" w:cs="Arial"/>
          <w:sz w:val="24"/>
          <w:szCs w:val="24"/>
          <w:lang w:val="en-GB"/>
        </w:rPr>
        <w:t>involvement</w:t>
      </w:r>
      <w:r w:rsidRPr="006B2FC7">
        <w:rPr>
          <w:rFonts w:ascii="Arial" w:hAnsi="Arial" w:cs="Arial"/>
          <w:sz w:val="24"/>
          <w:szCs w:val="24"/>
          <w:lang w:val="en-GB"/>
        </w:rPr>
        <w:t xml:space="preserve"> to management of diabetic patients in</w:t>
      </w:r>
      <w:r>
        <w:rPr>
          <w:rFonts w:ascii="Arial" w:hAnsi="Arial" w:cs="Arial"/>
          <w:sz w:val="24"/>
          <w:szCs w:val="24"/>
          <w:lang w:val="en-GB"/>
        </w:rPr>
        <w:t xml:space="preserve"> </w:t>
      </w:r>
      <w:r w:rsidRPr="006B2FC7">
        <w:rPr>
          <w:rFonts w:ascii="Arial" w:hAnsi="Arial" w:cs="Arial"/>
          <w:sz w:val="24"/>
          <w:szCs w:val="24"/>
          <w:lang w:val="en-GB"/>
        </w:rPr>
        <w:t xml:space="preserve">SA has been argued by </w:t>
      </w:r>
      <w:r>
        <w:rPr>
          <w:rFonts w:ascii="Arial" w:hAnsi="Arial" w:cs="Arial"/>
          <w:sz w:val="24"/>
          <w:szCs w:val="24"/>
          <w:lang w:val="en-GB"/>
        </w:rPr>
        <w:t xml:space="preserve">some researchers such as </w:t>
      </w:r>
      <w:r w:rsidRPr="006B2FC7">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2017)","manualFormatting":"Makeen (2017)","plainTextFormattedCitation":"(Makeen, 2017)","previouslyFormattedCitation":"(Makeen, 2017)"},"properties":{"noteIndex":0},"schema":"https://github.com/citation-style-language/schema/raw/master/csl-citation.json"}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 xml:space="preserve">Makeen </w:t>
      </w:r>
      <w:r>
        <w:rPr>
          <w:rFonts w:ascii="Arial" w:hAnsi="Arial" w:cs="Arial"/>
          <w:noProof/>
          <w:sz w:val="24"/>
          <w:szCs w:val="24"/>
          <w:lang w:val="en-GB"/>
        </w:rPr>
        <w:t>(</w:t>
      </w:r>
      <w:r w:rsidRPr="006B2FC7">
        <w:rPr>
          <w:rFonts w:ascii="Arial" w:hAnsi="Arial" w:cs="Arial"/>
          <w:noProof/>
          <w:sz w:val="24"/>
          <w:szCs w:val="24"/>
          <w:lang w:val="en-GB"/>
        </w:rPr>
        <w:t>2017)</w:t>
      </w:r>
      <w:r w:rsidRPr="006B2FC7">
        <w:rPr>
          <w:rFonts w:ascii="Arial" w:hAnsi="Arial" w:cs="Arial"/>
          <w:sz w:val="24"/>
          <w:szCs w:val="24"/>
          <w:lang w:val="en-GB"/>
        </w:rPr>
        <w:fldChar w:fldCharType="end"/>
      </w:r>
      <w:r>
        <w:rPr>
          <w:rFonts w:ascii="Arial" w:hAnsi="Arial" w:cs="Arial"/>
          <w:sz w:val="24"/>
          <w:szCs w:val="24"/>
          <w:lang w:val="en-GB"/>
        </w:rPr>
        <w:t xml:space="preserve">. </w:t>
      </w:r>
      <w:r w:rsidRPr="006B2FC7">
        <w:rPr>
          <w:rFonts w:ascii="Arial" w:hAnsi="Arial" w:cs="Arial"/>
          <w:sz w:val="24"/>
          <w:szCs w:val="24"/>
          <w:lang w:val="en-GB"/>
        </w:rPr>
        <w:t xml:space="preserve"> Makeen maintained that the presence of clinical pharmacists in diabetic clinics in SA is needed to maximise therapeutic efficacy and provide better patient care; pharmacists as medication therapy experts can make an evaluation of patient’s medication as well as  interact effectively with doctors and patients to ensure protocol adherence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2017)","plainTextFormattedCitation":"(Makeen, 2017)","previouslyFormattedCitation":"(Makeen, 2017)"},"properties":{"noteIndex":0},"schema":"https://github.com/citation-style-language/schema/raw/master/csl-citation.json"}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(Makeen, 2017)</w:t>
      </w:r>
      <w:r w:rsidRPr="006B2FC7">
        <w:rPr>
          <w:rFonts w:ascii="Arial" w:hAnsi="Arial" w:cs="Arial"/>
          <w:sz w:val="24"/>
          <w:szCs w:val="24"/>
          <w:lang w:val="en-GB"/>
        </w:rPr>
        <w:fldChar w:fldCharType="end"/>
      </w:r>
      <w:r w:rsidRPr="006B2FC7">
        <w:rPr>
          <w:rFonts w:ascii="Arial" w:hAnsi="Arial" w:cs="Arial"/>
          <w:sz w:val="24"/>
          <w:szCs w:val="24"/>
          <w:lang w:val="en-GB"/>
        </w:rPr>
        <w:t xml:space="preserve">.  </w:t>
      </w:r>
      <w:r>
        <w:rPr>
          <w:rFonts w:ascii="Arial" w:hAnsi="Arial" w:cs="Arial"/>
          <w:sz w:val="24"/>
          <w:szCs w:val="24"/>
          <w:lang w:val="en-GB"/>
        </w:rPr>
        <w:t xml:space="preserve">In the same line, </w:t>
      </w:r>
      <w:r w:rsidRPr="006B2FC7">
        <w:rPr>
          <w:rFonts w:ascii="Arial" w:eastAsia="Times New Roman" w:hAnsi="Arial" w:cs="Arial"/>
          <w:sz w:val="24"/>
          <w:szCs w:val="24"/>
        </w:rPr>
        <w:fldChar w:fldCharType="begin" w:fldLock="1"/>
      </w:r>
      <w:r>
        <w:rPr>
          <w:rFonts w:ascii="Arial" w:eastAsia="Times New Roman" w:hAnsi="Arial" w:cs="Arial"/>
          <w:sz w:val="24"/>
          <w:szCs w:val="24"/>
        </w:rPr>
        <w:instrText>ADDIN CSL_CITATION {"citationItems":[{"id":"ITEM-1","itemData":{"DOI":"10.1016/j.cptl.2017.09.014","ISSN":"18771300","abstract":"Introduction Saudi Arabia has a population of approximately 31 million people. The amount of literature published regarding pharmacy education in Saudi Arabia, however, is insignificant in number. The objective of this study is to describe the condition of pharmacy education in Saudi Arabia. Methods PubMed, Saudi Arabian government's publications and websites of pharmacy colleges have been searched. Descriptive content analysis has been used to draw a complete picture of pharmacy education in Saudi Arabia. Results From 1959 to 2001, Saudi Arabia had only one college of pharmacy. However, from 2001 to 2014, with the government initiative to train more national pharmacists, the nation witnessed the establishment of 23 government colleges and seven private colleges. No new colleges have been established since 2014. By the end of 2014, there were 30 pharmacy colleges offering more than 37 undergraduate programs. Only three colleges offer postgraduate programs, however. None of the colleges are accredited nationally or internationally. Conclusion There is no evidence that this increase in the number of pharmacy colleges will meet the demand for nationally-born pharmacists. More research needs to be conducted concerning Saudi Arabia's need. There are very few opportunities for advanced degrees. The program names should be a normalized as all of them lead to registration as a pharmacist. The dramatic increase may have affected program quality as no colleges are nationally or internationally accredited. Colleges should seek accreditation to ensure they are within accepted international standards.","author":[{"dropping-particle":"","family":"Alhamoudi","given":"Abdulhakem","non-dropping-particle":"","parse-names":false,"suffix":""},{"dropping-particle":"","family":"Alnattah","given":"Ashraf","non-dropping-particle":"","parse-names":false,"suffix":""}],"container-title":"Currents in Pharmacy Teaching and Learning","id":"ITEM-1","issue":"1","issued":{"date-parts":[["2018"]]},"page":"54-60","publisher":"Elsevier","title":"Pharmacy education in Saudi Arabia: The past, the present, and the future","type":"article-journal","volume":"10"},"uris":["http://www.mendeley.com/documents/?uuid=72744b95-9684-441a-9096-058ce7020202"]}],"mendeley":{"formattedCitation":"(Alhamoudi and Alnattah, 2018)","manualFormatting":"Alhamoudi and Alnattah, (2018)","plainTextFormattedCitation":"(Alhamoudi and Alnattah, 2018)","previouslyFormattedCitation":"(Alhamoudi and Alnattah, 2018)"},"properties":{"noteIndex":0},"schema":"https://github.com/citation-style-language/schema/raw/master/csl-citation.json"}</w:instrText>
      </w:r>
      <w:r w:rsidRPr="006B2FC7">
        <w:rPr>
          <w:rFonts w:ascii="Arial" w:eastAsia="Times New Roman" w:hAnsi="Arial" w:cs="Arial"/>
          <w:sz w:val="24"/>
          <w:szCs w:val="24"/>
        </w:rPr>
        <w:fldChar w:fldCharType="separate"/>
      </w:r>
      <w:r w:rsidRPr="006B2FC7">
        <w:rPr>
          <w:rFonts w:ascii="Arial" w:eastAsia="Times New Roman" w:hAnsi="Arial" w:cs="Arial"/>
          <w:noProof/>
          <w:sz w:val="24"/>
          <w:szCs w:val="24"/>
        </w:rPr>
        <w:t xml:space="preserve">Alhamoudi and Alnattah, </w:t>
      </w:r>
      <w:r>
        <w:rPr>
          <w:rFonts w:ascii="Arial" w:eastAsia="Times New Roman" w:hAnsi="Arial" w:cs="Arial"/>
          <w:noProof/>
          <w:sz w:val="24"/>
          <w:szCs w:val="24"/>
        </w:rPr>
        <w:t>(</w:t>
      </w:r>
      <w:r w:rsidRPr="006B2FC7">
        <w:rPr>
          <w:rFonts w:ascii="Arial" w:eastAsia="Times New Roman" w:hAnsi="Arial" w:cs="Arial"/>
          <w:noProof/>
          <w:sz w:val="24"/>
          <w:szCs w:val="24"/>
        </w:rPr>
        <w:t>2018)</w:t>
      </w:r>
      <w:r w:rsidRPr="006B2FC7">
        <w:rPr>
          <w:rFonts w:ascii="Arial" w:eastAsia="Times New Roman" w:hAnsi="Arial" w:cs="Arial"/>
          <w:sz w:val="24"/>
          <w:szCs w:val="24"/>
        </w:rPr>
        <w:fldChar w:fldCharType="end"/>
      </w:r>
      <w:r w:rsidRPr="006B2FC7">
        <w:rPr>
          <w:rFonts w:ascii="Arial" w:eastAsia="Times New Roman" w:hAnsi="Arial" w:cs="Arial"/>
          <w:sz w:val="24"/>
          <w:szCs w:val="24"/>
        </w:rPr>
        <w:t xml:space="preserve"> </w:t>
      </w:r>
      <w:r>
        <w:rPr>
          <w:rFonts w:ascii="Arial" w:eastAsia="Times New Roman" w:hAnsi="Arial" w:cs="Arial"/>
          <w:sz w:val="24"/>
          <w:szCs w:val="24"/>
        </w:rPr>
        <w:t xml:space="preserve">suggested that </w:t>
      </w:r>
      <w:r w:rsidRPr="006B2FC7">
        <w:rPr>
          <w:rFonts w:ascii="Arial" w:eastAsia="Times New Roman" w:hAnsi="Arial" w:cs="Arial"/>
          <w:sz w:val="24"/>
          <w:szCs w:val="24"/>
        </w:rPr>
        <w:t>graduate</w:t>
      </w:r>
      <w:r>
        <w:rPr>
          <w:rFonts w:ascii="Arial" w:eastAsia="Times New Roman" w:hAnsi="Arial" w:cs="Arial"/>
          <w:sz w:val="24"/>
          <w:szCs w:val="24"/>
        </w:rPr>
        <w:t>d</w:t>
      </w:r>
      <w:r w:rsidRPr="006B2FC7">
        <w:rPr>
          <w:rFonts w:ascii="Arial" w:eastAsia="Times New Roman" w:hAnsi="Arial" w:cs="Arial"/>
          <w:sz w:val="24"/>
          <w:szCs w:val="24"/>
        </w:rPr>
        <w:t xml:space="preserve"> pharmacists </w:t>
      </w:r>
      <w:r>
        <w:rPr>
          <w:rFonts w:ascii="Arial" w:eastAsia="Times New Roman" w:hAnsi="Arial" w:cs="Arial"/>
          <w:sz w:val="24"/>
          <w:szCs w:val="24"/>
        </w:rPr>
        <w:t xml:space="preserve">with </w:t>
      </w:r>
      <w:r w:rsidRPr="00BC321B">
        <w:rPr>
          <w:rFonts w:ascii="Arial" w:hAnsi="Arial" w:cs="Arial"/>
          <w:sz w:val="24"/>
          <w:szCs w:val="24"/>
          <w:lang w:val="en-GB"/>
        </w:rPr>
        <w:t>doctor of pharmacy (Pharm D)</w:t>
      </w:r>
      <w:r>
        <w:rPr>
          <w:rFonts w:ascii="Arial" w:hAnsi="Arial" w:cs="Arial"/>
          <w:sz w:val="24"/>
          <w:szCs w:val="24"/>
          <w:lang w:val="en-GB"/>
        </w:rPr>
        <w:t xml:space="preserve"> </w:t>
      </w:r>
      <w:r>
        <w:rPr>
          <w:rFonts w:ascii="Arial" w:eastAsia="Times New Roman" w:hAnsi="Arial" w:cs="Arial"/>
          <w:sz w:val="24"/>
          <w:szCs w:val="24"/>
        </w:rPr>
        <w:t xml:space="preserve">degree in SA should have </w:t>
      </w:r>
      <w:r w:rsidRPr="006B2FC7">
        <w:rPr>
          <w:rFonts w:ascii="Arial" w:hAnsi="Arial" w:cs="Arial"/>
          <w:color w:val="000000" w:themeColor="text1"/>
          <w:sz w:val="24"/>
          <w:szCs w:val="24"/>
          <w:lang w:val="en-GB"/>
        </w:rPr>
        <w:t xml:space="preserve">opportunities </w:t>
      </w:r>
      <w:r>
        <w:rPr>
          <w:rFonts w:ascii="Arial" w:hAnsi="Arial" w:cs="Arial"/>
          <w:color w:val="000000" w:themeColor="text1"/>
          <w:sz w:val="24"/>
          <w:szCs w:val="24"/>
          <w:lang w:val="en-GB"/>
        </w:rPr>
        <w:t xml:space="preserve">to provide </w:t>
      </w:r>
      <w:r w:rsidRPr="006B2FC7">
        <w:rPr>
          <w:rFonts w:ascii="Arial" w:hAnsi="Arial" w:cs="Arial"/>
          <w:color w:val="000000" w:themeColor="text1"/>
          <w:sz w:val="24"/>
          <w:szCs w:val="24"/>
          <w:lang w:val="en-GB"/>
        </w:rPr>
        <w:t>direct patient care</w:t>
      </w:r>
      <w:r>
        <w:rPr>
          <w:rFonts w:ascii="Arial" w:hAnsi="Arial" w:cs="Arial"/>
          <w:color w:val="000000" w:themeColor="text1"/>
          <w:sz w:val="24"/>
          <w:szCs w:val="24"/>
          <w:lang w:val="en-GB"/>
        </w:rPr>
        <w:t>.</w:t>
      </w:r>
      <w:r w:rsidRPr="006B2FC7">
        <w:rPr>
          <w:rFonts w:ascii="Arial" w:hAnsi="Arial" w:cs="Arial"/>
          <w:sz w:val="24"/>
          <w:szCs w:val="24"/>
          <w:lang w:val="en-GB"/>
        </w:rPr>
        <w:t xml:space="preserve"> </w:t>
      </w:r>
      <w:r>
        <w:rPr>
          <w:rFonts w:ascii="Arial" w:hAnsi="Arial" w:cs="Arial"/>
          <w:sz w:val="24"/>
          <w:szCs w:val="24"/>
          <w:lang w:val="en-GB"/>
        </w:rPr>
        <w:t xml:space="preserve">These suggestions are supported by </w:t>
      </w:r>
      <w:r w:rsidRPr="006B2FC7">
        <w:rPr>
          <w:rFonts w:ascii="Arial" w:hAnsi="Arial" w:cs="Arial"/>
          <w:color w:val="000000" w:themeColor="text1"/>
          <w:sz w:val="24"/>
          <w:szCs w:val="24"/>
          <w:lang w:val="en-GB"/>
        </w:rPr>
        <w:fldChar w:fldCharType="begin" w:fldLock="1"/>
      </w:r>
      <w:r>
        <w:rPr>
          <w:rFonts w:ascii="Arial" w:hAnsi="Arial" w:cs="Arial"/>
          <w:color w:val="000000" w:themeColor="text1"/>
          <w:sz w:val="24"/>
          <w:szCs w:val="24"/>
          <w:lang w:val="en-GB"/>
        </w:rPr>
        <w:instrText>ADDIN CSL_CITATION {"citationItems":[{"id":"ITEM-1","itemData":{"DOI":"10.4212/cjhp.v69i3.1561","ISSN":"19202903","abstract":"-","author":[{"dropping-particle":"","family":"Al-Jedai","given":"Ahmed","non-dropping-particle":"","parse-names":false,"suffix":""},{"dropping-particle":"","family":"Qaisi","given":"Shrouq","non-dropping-particle":"","parse-names":false,"suffix":""},{"dropping-particle":"","family":"Al-Meman","given":"Ahmed","non-dropping-particle":"","parse-names":false,"suffix":""}],"container-title":"Canadian Journal of Hospital Pharmacy","id":"ITEM-1","issue":"3","issued":{"date-parts":[["2016"]]},"page":"231-237","title":"Pharmacy practice and the health care system in Saudi Arabia","type":"article-journal","volume":"69"},"uris":["http://www.mendeley.com/documents/?uuid=10622226-9596-4523-85bf-7012df157cb5"]}],"mendeley":{"formattedCitation":"(Al-Jedai, Qaisi and Al-Meman, 2016b)","manualFormatting":"Al-Jedai et al.  (2016), who argued ","plainTextFormattedCitation":"(Al-Jedai, Qaisi and Al-Meman, 2016b)","previouslyFormattedCitation":"(Al-Jedai, Qaisi and Al-Meman, 2016b)"},"properties":{"noteIndex":0},"schema":"https://github.com/citation-style-language/schema/raw/master/csl-citation.json"}</w:instrText>
      </w:r>
      <w:r w:rsidRPr="006B2FC7">
        <w:rPr>
          <w:rFonts w:ascii="Arial" w:hAnsi="Arial" w:cs="Arial"/>
          <w:color w:val="000000" w:themeColor="text1"/>
          <w:sz w:val="24"/>
          <w:szCs w:val="24"/>
          <w:lang w:val="en-GB"/>
        </w:rPr>
        <w:fldChar w:fldCharType="separate"/>
      </w:r>
      <w:r w:rsidRPr="006B2FC7">
        <w:rPr>
          <w:rFonts w:ascii="Arial" w:hAnsi="Arial" w:cs="Arial"/>
          <w:noProof/>
          <w:color w:val="000000" w:themeColor="text1"/>
          <w:sz w:val="24"/>
          <w:szCs w:val="24"/>
          <w:lang w:val="en-GB"/>
        </w:rPr>
        <w:t xml:space="preserve">Al-Jedai et al.  (2016), </w:t>
      </w:r>
      <w:r>
        <w:rPr>
          <w:rFonts w:ascii="Arial" w:hAnsi="Arial" w:cs="Arial"/>
          <w:noProof/>
          <w:color w:val="000000" w:themeColor="text1"/>
          <w:sz w:val="24"/>
          <w:szCs w:val="24"/>
          <w:lang w:val="en-GB"/>
        </w:rPr>
        <w:t xml:space="preserve">who </w:t>
      </w:r>
      <w:r w:rsidRPr="006B2FC7">
        <w:rPr>
          <w:rFonts w:ascii="Arial" w:hAnsi="Arial" w:cs="Arial"/>
          <w:noProof/>
          <w:color w:val="000000" w:themeColor="text1"/>
          <w:sz w:val="24"/>
          <w:szCs w:val="24"/>
          <w:lang w:val="en-GB"/>
        </w:rPr>
        <w:t xml:space="preserve">argued </w:t>
      </w:r>
      <w:r w:rsidRPr="006B2FC7">
        <w:rPr>
          <w:rFonts w:ascii="Arial" w:hAnsi="Arial" w:cs="Arial"/>
          <w:color w:val="000000" w:themeColor="text1"/>
          <w:sz w:val="24"/>
          <w:szCs w:val="24"/>
          <w:lang w:val="en-GB"/>
        </w:rPr>
        <w:fldChar w:fldCharType="end"/>
      </w:r>
      <w:r w:rsidRPr="006B2FC7">
        <w:rPr>
          <w:rFonts w:ascii="Arial" w:hAnsi="Arial" w:cs="Arial"/>
          <w:color w:val="000000" w:themeColor="text1"/>
          <w:sz w:val="24"/>
          <w:szCs w:val="24"/>
          <w:lang w:val="en-GB"/>
        </w:rPr>
        <w:t xml:space="preserve">that non-physician </w:t>
      </w:r>
      <w:r>
        <w:rPr>
          <w:rFonts w:ascii="Arial" w:hAnsi="Arial" w:cs="Arial"/>
          <w:color w:val="000000" w:themeColor="text1"/>
          <w:sz w:val="24"/>
          <w:szCs w:val="24"/>
          <w:lang w:val="en-GB"/>
        </w:rPr>
        <w:t>HCPs</w:t>
      </w:r>
      <w:r w:rsidRPr="006B2FC7">
        <w:rPr>
          <w:rFonts w:ascii="Arial" w:hAnsi="Arial" w:cs="Arial"/>
          <w:color w:val="000000" w:themeColor="text1"/>
          <w:sz w:val="24"/>
          <w:szCs w:val="24"/>
          <w:lang w:val="en-GB"/>
        </w:rPr>
        <w:t xml:space="preserve">, such as nurses and clinical pharmacists, should be granted prescriptive authority in SA. To allow this, it is argued that </w:t>
      </w:r>
      <w:r>
        <w:rPr>
          <w:rFonts w:ascii="Arial" w:hAnsi="Arial" w:cs="Arial"/>
          <w:color w:val="000000" w:themeColor="text1"/>
          <w:sz w:val="24"/>
          <w:szCs w:val="24"/>
          <w:lang w:val="en-GB"/>
        </w:rPr>
        <w:t>HCPs</w:t>
      </w:r>
      <w:r w:rsidRPr="006B2FC7">
        <w:rPr>
          <w:rFonts w:ascii="Arial" w:hAnsi="Arial" w:cs="Arial"/>
          <w:color w:val="000000" w:themeColor="text1"/>
          <w:sz w:val="24"/>
          <w:szCs w:val="24"/>
          <w:lang w:val="en-GB"/>
        </w:rPr>
        <w:t xml:space="preserve"> such as pharmacists </w:t>
      </w:r>
      <w:r>
        <w:rPr>
          <w:rFonts w:ascii="Arial" w:hAnsi="Arial" w:cs="Arial"/>
          <w:color w:val="000000" w:themeColor="text1"/>
          <w:sz w:val="24"/>
          <w:szCs w:val="24"/>
          <w:lang w:val="en-GB"/>
        </w:rPr>
        <w:t>should</w:t>
      </w:r>
      <w:r w:rsidRPr="006B2FC7">
        <w:rPr>
          <w:rFonts w:ascii="Arial" w:hAnsi="Arial" w:cs="Arial"/>
          <w:color w:val="000000" w:themeColor="text1"/>
          <w:sz w:val="24"/>
          <w:szCs w:val="24"/>
          <w:lang w:val="en-GB"/>
        </w:rPr>
        <w:t xml:space="preserve"> work more with others, particularly in terms of </w:t>
      </w:r>
      <w:r w:rsidRPr="006B2FC7">
        <w:rPr>
          <w:rFonts w:ascii="Arial" w:hAnsi="Arial" w:cs="Arial"/>
          <w:sz w:val="24"/>
          <w:szCs w:val="24"/>
          <w:lang w:val="en-GB"/>
        </w:rPr>
        <w:t>MDTs.</w:t>
      </w:r>
      <w:r>
        <w:rPr>
          <w:rFonts w:ascii="Arial" w:hAnsi="Arial" w:cs="Arial"/>
          <w:sz w:val="24"/>
          <w:szCs w:val="24"/>
          <w:lang w:val="en-GB"/>
        </w:rPr>
        <w:t xml:space="preserve"> </w:t>
      </w:r>
      <w:r w:rsidRPr="006B2FC7">
        <w:rPr>
          <w:rFonts w:ascii="Arial" w:eastAsia="Times New Roman" w:hAnsi="Arial" w:cs="Arial"/>
          <w:sz w:val="24"/>
          <w:szCs w:val="24"/>
          <w:lang w:val="en-GB"/>
        </w:rPr>
        <w:t xml:space="preserve">The implementation of such an approach was successful in improving diabetes care in primary care patients in </w:t>
      </w:r>
      <w:r>
        <w:rPr>
          <w:rFonts w:ascii="Arial" w:eastAsia="Times New Roman" w:hAnsi="Arial" w:cs="Arial"/>
          <w:sz w:val="24"/>
          <w:szCs w:val="24"/>
          <w:lang w:val="en-GB"/>
        </w:rPr>
        <w:t>SA</w:t>
      </w:r>
      <w:r w:rsidRPr="006B2FC7">
        <w:rPr>
          <w:rFonts w:ascii="Arial" w:eastAsia="Times New Roman" w:hAnsi="Arial" w:cs="Arial"/>
          <w:sz w:val="24"/>
          <w:szCs w:val="24"/>
          <w:lang w:val="en-GB"/>
        </w:rPr>
        <w:t xml:space="preserve">, as shown in </w:t>
      </w:r>
      <w:r>
        <w:rPr>
          <w:rFonts w:ascii="Arial" w:eastAsia="Times New Roman" w:hAnsi="Arial" w:cs="Arial"/>
          <w:sz w:val="24"/>
          <w:szCs w:val="24"/>
          <w:lang w:val="en-GB"/>
        </w:rPr>
        <w:t>studies by</w:t>
      </w:r>
      <w:r>
        <w:rPr>
          <w:rFonts w:ascii="Arial" w:hAnsi="Arial" w:cs="Arial"/>
          <w:sz w:val="24"/>
          <w:szCs w:val="24"/>
          <w:lang w:val="en-GB"/>
        </w:rPr>
        <w:t xml:space="preserv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2013)","manualFormatting":"Al Asmary et al. (2013)","plainTextFormattedCitation":"(Al Asmary et al., 2013)","previouslyFormattedCitation":"(Al Asmary &lt;i&gt;et al.&lt;/i&gt;, 2013)"},"properties":{"noteIndex":0},"schema":"https://github.com/citation-style-language/schema/raw/master/csl-citation.json"}</w:instrText>
      </w:r>
      <w:r>
        <w:rPr>
          <w:rFonts w:ascii="Arial" w:hAnsi="Arial" w:cs="Arial"/>
          <w:sz w:val="24"/>
          <w:szCs w:val="24"/>
          <w:lang w:val="en-GB"/>
        </w:rPr>
        <w:fldChar w:fldCharType="separate"/>
      </w:r>
      <w:r w:rsidRPr="00FD242D">
        <w:rPr>
          <w:rFonts w:ascii="Arial" w:hAnsi="Arial" w:cs="Arial"/>
          <w:noProof/>
          <w:sz w:val="24"/>
          <w:szCs w:val="24"/>
          <w:lang w:val="en-GB"/>
        </w:rPr>
        <w:t xml:space="preserve">Al Asmary </w:t>
      </w:r>
      <w:r w:rsidRPr="00FD242D">
        <w:rPr>
          <w:rFonts w:ascii="Arial" w:hAnsi="Arial" w:cs="Arial"/>
          <w:i/>
          <w:noProof/>
          <w:sz w:val="24"/>
          <w:szCs w:val="24"/>
          <w:lang w:val="en-GB"/>
        </w:rPr>
        <w:t>et al.</w:t>
      </w:r>
      <w:r w:rsidRPr="00FD242D">
        <w:rPr>
          <w:rFonts w:ascii="Arial" w:hAnsi="Arial" w:cs="Arial"/>
          <w:noProof/>
          <w:sz w:val="24"/>
          <w:szCs w:val="24"/>
          <w:lang w:val="en-GB"/>
        </w:rPr>
        <w:t xml:space="preserve"> </w:t>
      </w:r>
      <w:r>
        <w:rPr>
          <w:rFonts w:ascii="Arial" w:hAnsi="Arial" w:cs="Arial"/>
          <w:noProof/>
          <w:sz w:val="24"/>
          <w:szCs w:val="24"/>
          <w:lang w:val="en-GB"/>
        </w:rPr>
        <w:t>(</w:t>
      </w:r>
      <w:r w:rsidRPr="00FD242D">
        <w:rPr>
          <w:rFonts w:ascii="Arial" w:hAnsi="Arial" w:cs="Arial"/>
          <w:noProof/>
          <w:sz w:val="24"/>
          <w:szCs w:val="24"/>
          <w:lang w:val="en-GB"/>
        </w:rPr>
        <w:t>2013)</w:t>
      </w:r>
      <w:r>
        <w:rPr>
          <w:rFonts w:ascii="Arial" w:hAnsi="Arial" w:cs="Arial"/>
          <w:sz w:val="24"/>
          <w:szCs w:val="24"/>
          <w:lang w:val="en-GB"/>
        </w:rPr>
        <w:fldChar w:fldCharType="end"/>
      </w:r>
      <w:r>
        <w:rPr>
          <w:rFonts w:ascii="Arial" w:hAnsi="Arial" w:cs="Arial"/>
          <w:sz w:val="24"/>
          <w:szCs w:val="24"/>
          <w:lang w:val="en-GB"/>
        </w:rPr>
        <w:t xml:space="preserv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{"citationItems":[{"id":"ITEM-1","itemData":{"DOI":"10.2147/PPA.S113324","ISSN":"1177889X","abstract":"Background: Fasting during the month of Ramadan could lead to acute complications and increased hypoglycemic risk of patients with type 2 diabetes. Therefore, diabetes is one of the diseases that need careful observation and special considerations during Ramadan including patients’ education and counseling. Objectives: To evaluate the impact of Ramadan focused education program on acute complications and biomedical parameters. Methods: A prospective nonrandomized interventional controlled design was run on three phases: before, during, and after Ramadan on 262 type 2 diabetes patients. The intervention group (n=140) received focused individualized diabetic education sessions and antidiabetic medications adjustment before and after Ramadan, while the control group (n=122) received standard diabetic care. A validated hypoglycemia questionnaire was used in both groups to assess the change of the risk. Patients were advised to adjust the dosage and timing of antidiabetic agents according to the recommendations for management of diabetes during Ramadan. Primary outcomes were postintervention change of hypoglycemia score and HbA1c over 6-month follow-up. Data were presented as mean ± standard deviation. HbA1c was expressed in percentage. Results: The hypoglycemic scores before, during, and after Ramadan were 14.21±8.50, 6.36±6.17, and 5.44±5.55 in the intervention group, respectively (P&lt;0.001) and 14.01±5.10, 13.46±5.30, and 9.27±4.65 in the control group, respectively (P&lt;0.001). HbA1c levels were 9.79±1.89, 8.26±1.54, and 8.52±1.61 before, during, and after Ramadan in the intervention group, respectively (P&lt;0.001), and 10.04±1.47, 9.54±1.38, and 9.59±1.79 in the control group, respectively (P&lt;0.001). Post-Ramadan reductions of HbA1c and hypoglycemic scores were significantly higher in the intervention group (-13.0% vs-4.5%, P=0.004 for HbA1c and-61.7% vs-33.8%, P&lt;0.001 for hypoglycemic score). Low-density lipoprotein cholesterol improved in the intervention group from 2.41±0.91 mmol/L before Ramadan to 2.28±0.68 mmol/L after Ramadan (P&lt;0.001). No statistically significant effects were observed on blood pressure or body weight in the intervention group. Also, no change was observed in the control group. Conclusion: Ramadan educational program had a positive impact with reduction of hypoglycemic risk, HbA1c, and low-density lipoprotein cholesterol. Therefore, it could be recommended for patients with increased risk of hypoglycemia during Ramadan fasting.","author":[{"dropping-particle":"","family":"Tourkmani","given":"Ayla M.","non-dropping-particle":"","parse-names":false,"suffix":""},{"dropping-particle":"","family":"Azmi Hassali","given":"Mohamed","non-dropping-particle":"","parse-names":false,"suffix":""},{"dropping-particle":"","family":"Alharbi","given":"Turki J.","non-dropping-particle":"","parse-names":false,"suffix":""},{"dropping-particle":"","family":"Alkhashan","given":"Hesham I.","non-dropping-particle":"","parse-names":false,"suffix":""},{"dropping-particle":"","family":"Alobikan","given":"Aljoharah H.","non-dropping-particle":"","parse-names":false,"suffix":""},{"dropping-particle":"","family":"Bakhiet","given":"Ahmed H.","non-dropping-particle":"","parse-names":false,"suffix":""},{"dropping-particle":"","family":"Alqahtani","given":"Hala B.","non-dropping-particle":"","parse-names":false,"suffix":""},{"dropping-particle":"","family":"Alrasheedy","given":"Alian A.","non-dropping-particle":"","parse-names":false,"suffix":""},{"dropping-particle":"","family":"Alawwad","given":"Ahmed D.","non-dropping-particle":"","parse-names":false,"suffix":""},{"dropping-particle":"","family":"Mishriky","given":"Adel M.","non-dropping-particle":"","parse-names":false,"suffix":""},{"dropping-particle":"","family":"Aljadhey","given":"Hisham","non-dropping-particle":"","parse-names":false,"suffix":""}],"container-title":"Patient Preference and Adherence","id":"ITEM-1","issued":{"date-parts":[["2016"]]},"page":"1709-1717","title":"Impact of ramadan focused education program on hypoglycemic risk and metabolic control for patients with type 2 diabetes","type":"article-journal","volume":"10"},"uris":["http://www.mendeley.com/documents/?uuid=0f118a78-43be-4dd9-896d-9a09e5eec0f9"]}],"mendeley":{"formattedCitation":"(Tourkmani &lt;i&gt;et al.&lt;/i&gt;, 2016)","manualFormatting":"Tourkmani et al. (2016)","plainTextFormattedCitation":"(Tourkmani et al., 2016)","previouslyFormattedCitation":"(Tourkmani &lt;i&gt;et al.&lt;/i&gt;, 2016)"},"properties":{"noteIndex":0},"schema":"https://github.com/citation-style-language/schema/raw/master/csl-citation.json"}</w:instrText>
      </w:r>
      <w:r>
        <w:rPr>
          <w:rFonts w:ascii="Arial" w:hAnsi="Arial" w:cs="Arial"/>
          <w:sz w:val="24"/>
          <w:szCs w:val="24"/>
          <w:lang w:val="en-GB"/>
        </w:rPr>
        <w:fldChar w:fldCharType="separate"/>
      </w:r>
      <w:r w:rsidRPr="008717E2">
        <w:rPr>
          <w:rFonts w:ascii="Arial" w:hAnsi="Arial" w:cs="Arial"/>
          <w:noProof/>
          <w:sz w:val="24"/>
          <w:szCs w:val="24"/>
          <w:lang w:val="en-GB"/>
        </w:rPr>
        <w:t xml:space="preserve">Tourkmani </w:t>
      </w:r>
      <w:r w:rsidRPr="008717E2">
        <w:rPr>
          <w:rFonts w:ascii="Arial" w:hAnsi="Arial" w:cs="Arial"/>
          <w:i/>
          <w:noProof/>
          <w:sz w:val="24"/>
          <w:szCs w:val="24"/>
          <w:lang w:val="en-GB"/>
        </w:rPr>
        <w:t>et al.</w:t>
      </w:r>
      <w:r w:rsidRPr="008717E2">
        <w:rPr>
          <w:rFonts w:ascii="Arial" w:hAnsi="Arial" w:cs="Arial"/>
          <w:noProof/>
          <w:sz w:val="24"/>
          <w:szCs w:val="24"/>
          <w:lang w:val="en-GB"/>
        </w:rPr>
        <w:t xml:space="preserve"> </w:t>
      </w:r>
      <w:r>
        <w:rPr>
          <w:rFonts w:ascii="Arial" w:hAnsi="Arial" w:cs="Arial"/>
          <w:noProof/>
          <w:sz w:val="24"/>
          <w:szCs w:val="24"/>
          <w:lang w:val="en-GB"/>
        </w:rPr>
        <w:t>(</w:t>
      </w:r>
      <w:r w:rsidRPr="008717E2">
        <w:rPr>
          <w:rFonts w:ascii="Arial" w:hAnsi="Arial" w:cs="Arial"/>
          <w:noProof/>
          <w:sz w:val="24"/>
          <w:szCs w:val="24"/>
          <w:lang w:val="en-GB"/>
        </w:rPr>
        <w:t>2016)</w:t>
      </w:r>
      <w:r>
        <w:rPr>
          <w:rFonts w:ascii="Arial" w:hAnsi="Arial" w:cs="Arial"/>
          <w:sz w:val="24"/>
          <w:szCs w:val="24"/>
          <w:lang w:val="en-GB"/>
        </w:rPr>
        <w:fldChar w:fldCharType="end"/>
      </w:r>
      <w:r>
        <w:rPr>
          <w:rFonts w:ascii="Arial" w:hAnsi="Arial" w:cs="Arial"/>
          <w:sz w:val="24"/>
          <w:szCs w:val="24"/>
          <w:lang w:val="en-GB"/>
        </w:rPr>
        <w:t xml:space="preserve">, </w:t>
      </w:r>
      <w:r>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(2018a)","plainTextFormattedCitation":"(Ayla M Tourkmani et al., 2018)","previouslyFormattedCitation":"(Ayla M Tourkmani &lt;i&gt;et al.&lt;/i&gt;, 2018)"},"properties":{"noteIndex":0},"schema":"https://github.com/citation-style-language/schema/raw/master/csl-citation.json"}</w:instrText>
      </w:r>
      <w:r>
        <w:rPr>
          <w:rFonts w:ascii="Arial" w:hAnsi="Arial" w:cs="Arial"/>
          <w:sz w:val="24"/>
          <w:szCs w:val="24"/>
          <w:lang w:val="en-GB"/>
        </w:rPr>
        <w:fldChar w:fldCharType="separate"/>
      </w:r>
      <w:r w:rsidRPr="00FD242D">
        <w:rPr>
          <w:rFonts w:ascii="Arial" w:hAnsi="Arial" w:cs="Arial"/>
          <w:noProof/>
          <w:sz w:val="24"/>
          <w:szCs w:val="24"/>
          <w:lang w:val="en-GB"/>
        </w:rPr>
        <w:t xml:space="preserve">Tourkmani </w:t>
      </w:r>
      <w:r w:rsidRPr="00FD242D">
        <w:rPr>
          <w:rFonts w:ascii="Arial" w:hAnsi="Arial" w:cs="Arial"/>
          <w:i/>
          <w:noProof/>
          <w:sz w:val="24"/>
          <w:szCs w:val="24"/>
          <w:lang w:val="en-GB"/>
        </w:rPr>
        <w:t>et al.</w:t>
      </w:r>
      <w:r w:rsidRPr="00FD242D">
        <w:rPr>
          <w:rFonts w:ascii="Arial" w:hAnsi="Arial" w:cs="Arial"/>
          <w:noProof/>
          <w:sz w:val="24"/>
          <w:szCs w:val="24"/>
          <w:lang w:val="en-GB"/>
        </w:rPr>
        <w:t xml:space="preserve"> </w:t>
      </w:r>
      <w:r>
        <w:rPr>
          <w:rFonts w:ascii="Arial" w:hAnsi="Arial" w:cs="Arial"/>
          <w:noProof/>
          <w:sz w:val="24"/>
          <w:szCs w:val="24"/>
          <w:lang w:val="en-GB"/>
        </w:rPr>
        <w:t>(</w:t>
      </w:r>
      <w:r w:rsidRPr="00FD242D">
        <w:rPr>
          <w:rFonts w:ascii="Arial" w:hAnsi="Arial" w:cs="Arial"/>
          <w:noProof/>
          <w:sz w:val="24"/>
          <w:szCs w:val="24"/>
          <w:lang w:val="en-GB"/>
        </w:rPr>
        <w:t>2018</w:t>
      </w:r>
      <w:r>
        <w:rPr>
          <w:rFonts w:ascii="Arial" w:hAnsi="Arial" w:cs="Arial"/>
          <w:noProof/>
          <w:sz w:val="24"/>
          <w:szCs w:val="24"/>
          <w:lang w:val="en-GB"/>
        </w:rPr>
        <w:t>a</w:t>
      </w:r>
      <w:r w:rsidRPr="00FD242D">
        <w:rPr>
          <w:rFonts w:ascii="Arial" w:hAnsi="Arial" w:cs="Arial"/>
          <w:noProof/>
          <w:sz w:val="24"/>
          <w:szCs w:val="24"/>
          <w:lang w:val="en-GB"/>
        </w:rPr>
        <w:t>)</w:t>
      </w:r>
      <w:r>
        <w:rPr>
          <w:rFonts w:ascii="Arial" w:hAnsi="Arial" w:cs="Arial"/>
          <w:sz w:val="24"/>
          <w:szCs w:val="24"/>
          <w:lang w:val="en-GB"/>
        </w:rPr>
        <w:fldChar w:fldCharType="end"/>
      </w:r>
      <w:r>
        <w:rPr>
          <w:rFonts w:ascii="Arial" w:eastAsia="Times New Roman" w:hAnsi="Arial" w:cs="Arial"/>
          <w:sz w:val="24"/>
          <w:szCs w:val="24"/>
          <w:lang w:val="en-GB"/>
        </w:rPr>
        <w:t xml:space="preserve">, </w:t>
      </w:r>
      <w:r>
        <w:rPr>
          <w:rFonts w:ascii="Arial" w:eastAsia="Times New Roman" w:hAnsi="Arial" w:cs="Arial"/>
          <w:sz w:val="24"/>
          <w:szCs w:val="24"/>
          <w:lang w:val="en-GB"/>
        </w:rPr>
        <w:fldChar w:fldCharType="begin" w:fldLock="1"/>
      </w:r>
      <w:r>
        <w:rPr>
          <w:rFonts w:ascii="Arial" w:eastAsia="Times New Roman" w:hAnsi="Arial" w:cs="Arial"/>
          <w:sz w:val="24"/>
          <w:szCs w:val="24"/>
          <w:lang w:val="en-GB"/>
        </w:rPr>
        <w:instrText>ADDIN CSL_CITATION {"citationItems":[{"id":"ITEM-1","itemData":{"DOI":"10.1016/j.dsx.2018.07.012","ISSN":"18780334","abstract":"Aims: To examine the impact of Ramadan Focused Education Program (RFEP) on medications adjustment in type 2 diabetes patients in Ramadan. Methods: This is a controlled, intervention based study. It was run on three phases: before, during, and after Ramadan on 262 type 2 diabetes patients. The intervention group (n ¼ 140) received RFEP on medications doses &amp; timing adjustment before and after Ramadan, while the control group (n ¼ 122) received standard care. Results: The dose of insulin glargine was reduced from 42.51 ± 22.16 at the baseline to 40.11 ± 18.51-units during Ramadan (p ¼ 0.002) in the intervention group while it remained the same in the control group before Ramadan and during Ramadan (38.51 ± 18.63 and 38.14 ± 18.46, P ¼ 0.428, respectively). The hypoglycemia score was 14.2 ± (8.5) pre-Ramadan in the intervention and reduced to 6.36 ± 6.17 during Ramadan (p &lt; 0.001) while in the control group, no significant changes were noted before and during Ramadan (14.01 ± 5.10 versus 13.46 ± 5.30). Conclusions: Ramadan Focused Education Program done at a primary healthcare setting had a positive impact on medication adjustment for dose and timing during fasting in Ramadan in diabetic patients, and it can be a useful tool to achieve better outcomes; less hypoglycemia and safe fasting among T2D patients during Ramadan.","author":[{"dropping-particle":"","family":"Tourkmani","given":"Ayla M.","non-dropping-particle":"","parse-names":false,"suffix":""},{"dropping-particle":"","family":"Alharbi","given":"Turki J.","non-dropping-particle":"","parse-names":false,"suffix":""},{"dropping-particle":"","family":"Rsheed","given":"Abdulaziz M.","non-dropping-particle":"Bin","parse-names":false,"suffix":""},{"dropping-particle":"","family":"Alrasheed","given":"Abdulrhamn N.","non-dropping-particle":"","parse-names":false,"suffix":""},{"dropping-particle":"","family":"AlBattal","given":"Saad M.","non-dropping-particle":"","parse-names":false,"suffix":""},{"dropping-particle":"","family":"Abdelhay","given":"Osama","non-dropping-particle":"","parse-names":false,"suffix":""},{"dropping-particle":"","family":"Hassali","given":"Mohamed A.","non-dropping-particle":"","parse-names":false,"suffix":""},{"dropping-particle":"","family":"Faya","given":"I","non-dropping-particle":"","parse-names":false,"suffix":""},{"dropping-particle":"","family":"Assiri","given":"Ebrahim S.","non-dropping-particle":"","parse-names":false,"suffix":""},{"dropping-particle":"","family":"Ghishiayan","given":"Khalid I.","non-dropping-particle":"Al","parse-names":false,"suffix":""},{"dropping-particle":"","family":"Alrasheedy","given":"Alian A.","non-dropping-particle":"","parse-names":false,"suffix":""},{"dropping-particle":"","family":"Abbas","given":"Mostafa AF","non-dropping-particle":"","parse-names":false,"s</w:instrText>
      </w:r>
      <w:r w:rsidRPr="00315BF9">
        <w:rPr>
          <w:rFonts w:ascii="Arial" w:eastAsia="Times New Roman" w:hAnsi="Arial" w:cs="Arial"/>
          <w:sz w:val="24"/>
          <w:szCs w:val="24"/>
          <w:lang w:val="fr-FR"/>
        </w:rPr>
        <w:instrText>uffix":""},{"dropping-particle":"","family":"Faya","given":"Sultan I.","non-dropping-particle":"","parse-names":false,"suffix":""},{"dropping-particle":"","family":"Assiri","given":"Ebrahim S.","non-dropping-particle":"","parse-names":false,"suffix":""},{"dropping-particle":"","family":"Ghishiayan","given":"Khalid I.","non-dropping-particle":"Al","parse-names":false,"suffix":""},{"dropping-particle":"","family":"Alrasheedy","given":"Alian A.","non-dropping-particle":"","parse-names":false,"suffix":""},{"dropping-particle":"","family":"Abbas","given":"Mostafa AF","non-dropping-particle":"","parse-names":false,"suffix":""}],"container-title":"Diabetes and Metabolic Syndrome: Clinical Research and Reviews","id":"ITEM-1","issue":"1","issued":{"date-parts":[["2018","1","1"]]},"page":"161-165","publisher":"Elsevier Ltd","title":"Impact of Ramadan Focused Education Program on medications adjustment for patients with type 2 diabetes in a primary health care institution in Saudi Arabia","type":"article-journal","volume":"13"},"uris":["http://www.mendeley.com/documents/?uuid=bb2e125e-614f-4ef3-9005-a67300dc3d2c"]}],"mendeley":{"formattedCitation":"(Ayla M. Tourkmani &lt;i&gt;et al.&lt;/i&gt;, 2018)","manualFormatting":"Tourkmani et al. (2018b)","plainTextFormattedCitation":"(Ayla M. Tourkmani et al., 2018)","previouslyFormattedCitation":"(Ayla M. Tourkmani &lt;i&gt;et al.&lt;/i&gt;, 2018)"},"properties":{"noteIndex":0},"schema":"https://github.com/citation-style-language/schema/raw/master/csl-citation.json"}</w:instrText>
      </w:r>
      <w:r>
        <w:rPr>
          <w:rFonts w:ascii="Arial" w:eastAsia="Times New Roman" w:hAnsi="Arial" w:cs="Arial"/>
          <w:sz w:val="24"/>
          <w:szCs w:val="24"/>
          <w:lang w:val="en-GB"/>
        </w:rPr>
        <w:fldChar w:fldCharType="separate"/>
      </w:r>
      <w:r w:rsidRPr="00315BF9">
        <w:rPr>
          <w:rFonts w:ascii="Arial" w:eastAsia="Times New Roman" w:hAnsi="Arial" w:cs="Arial"/>
          <w:noProof/>
          <w:sz w:val="24"/>
          <w:szCs w:val="24"/>
          <w:lang w:val="fr-FR"/>
        </w:rPr>
        <w:t xml:space="preserve">Tourkmani </w:t>
      </w:r>
      <w:r w:rsidRPr="00315BF9">
        <w:rPr>
          <w:rFonts w:ascii="Arial" w:eastAsia="Times New Roman" w:hAnsi="Arial" w:cs="Arial"/>
          <w:i/>
          <w:noProof/>
          <w:sz w:val="24"/>
          <w:szCs w:val="24"/>
          <w:lang w:val="fr-FR"/>
        </w:rPr>
        <w:t>et al.</w:t>
      </w:r>
      <w:r w:rsidRPr="00315BF9">
        <w:rPr>
          <w:rFonts w:ascii="Arial" w:eastAsia="Times New Roman" w:hAnsi="Arial" w:cs="Arial"/>
          <w:noProof/>
          <w:sz w:val="24"/>
          <w:szCs w:val="24"/>
          <w:lang w:val="fr-FR"/>
        </w:rPr>
        <w:t xml:space="preserve"> (2018b)</w:t>
      </w:r>
      <w:r>
        <w:rPr>
          <w:rFonts w:ascii="Arial" w:eastAsia="Times New Roman" w:hAnsi="Arial" w:cs="Arial"/>
          <w:sz w:val="24"/>
          <w:szCs w:val="24"/>
          <w:lang w:val="en-GB"/>
        </w:rPr>
        <w:fldChar w:fldCharType="end"/>
      </w:r>
      <w:r w:rsidRPr="00315BF9">
        <w:rPr>
          <w:rFonts w:ascii="Arial" w:eastAsia="Times New Roman" w:hAnsi="Arial" w:cs="Arial"/>
          <w:sz w:val="24"/>
          <w:szCs w:val="24"/>
          <w:lang w:val="fr-FR"/>
        </w:rPr>
        <w:t xml:space="preserve">, and </w:t>
      </w:r>
      <w:r>
        <w:rPr>
          <w:rFonts w:ascii="Arial" w:eastAsia="Times New Roman" w:hAnsi="Arial" w:cs="Arial"/>
          <w:sz w:val="24"/>
          <w:szCs w:val="24"/>
          <w:lang w:val="en-GB"/>
        </w:rPr>
        <w:fldChar w:fldCharType="begin" w:fldLock="1"/>
      </w:r>
      <w:r w:rsidRPr="00315BF9">
        <w:rPr>
          <w:rFonts w:ascii="Arial" w:eastAsia="Times New Roman" w:hAnsi="Arial" w:cs="Arial"/>
          <w:sz w:val="24"/>
          <w:szCs w:val="24"/>
          <w:lang w:val="fr-FR"/>
        </w:rPr>
        <w:instrText>ADDIN CSL_CITATION {"citationItems":[{"id":"ITEM-1","itemData":{"author":[{"dropping-particle":"","family":"Alsubaie","given":"Nawal","non-dropping-particle":"","parse-names":false,"suffix":""},{"dropping-particle":"","family":"Alsallal","given":"Mohannad","non-dropping-particle":"","parse-names":false,"suffix":""},{"dropping-particle":"","family":"Altwaijri","given":"Sulaiman","non-dropping-particle":"","parse-names":false,"suffix":""},{"dropping-particle":"","family":"Alotaibi","given":"Ahmed","non-dropping-particle":"","parse-names":false,"suffix":""},{"dropping-particle":"","family":"Alharbi","given":"Bandar","non-dropping-particle":"","parse-names":false,"suffix":""},{"dropping-particle":"","family":"Aleissa","given":"Mohammad","non-dropping-particle":"","parse-names":false,"suffix":""}],"id":"ITEM-1","issued":{"date-parts":[["2022"]]},"page":"887-892","title":"Impact of Clinical Pharmacist Diabetes Clinic on the Improvement of Health Outcomes in Type 2 Diabetes Subjects","type":"article-journal","volume":"10"},"uris":["http://www.mendeley.com/documents/?uuid=f4bab006-c942-4961-9501-a0ea0c0f1f08"]}],"mendeley":{"formattedCitation":"(Alsubaie &lt;i&gt;et al.&lt;/i&gt;, 2022)","manualFormatting":"Alsubaie et al. (2022)","plainTextFormattedCitation":"(Alsubaie et al., 2022)","previouslyFormattedCitation":"(Alsubaie &lt;i&gt;et al.&lt;/i&gt;, 2022)"},"properties":{"noteIndex":0},"schema":"https://github.com/citation-style-language/schema/raw/master/csl-citation.json"}</w:instrText>
      </w:r>
      <w:r>
        <w:rPr>
          <w:rFonts w:ascii="Arial" w:eastAsia="Times New Roman" w:hAnsi="Arial" w:cs="Arial"/>
          <w:sz w:val="24"/>
          <w:szCs w:val="24"/>
          <w:lang w:val="en-GB"/>
        </w:rPr>
        <w:fldChar w:fldCharType="separate"/>
      </w:r>
      <w:r w:rsidRPr="00315BF9">
        <w:rPr>
          <w:rFonts w:ascii="Arial" w:eastAsia="Times New Roman" w:hAnsi="Arial" w:cs="Arial"/>
          <w:noProof/>
          <w:sz w:val="24"/>
          <w:szCs w:val="24"/>
          <w:lang w:val="fr-FR"/>
        </w:rPr>
        <w:t xml:space="preserve">Alsubaie </w:t>
      </w:r>
      <w:r w:rsidRPr="00315BF9">
        <w:rPr>
          <w:rFonts w:ascii="Arial" w:eastAsia="Times New Roman" w:hAnsi="Arial" w:cs="Arial"/>
          <w:i/>
          <w:noProof/>
          <w:sz w:val="24"/>
          <w:szCs w:val="24"/>
          <w:lang w:val="fr-FR"/>
        </w:rPr>
        <w:t>et al.</w:t>
      </w:r>
      <w:r w:rsidRPr="00315BF9">
        <w:rPr>
          <w:rFonts w:ascii="Arial" w:eastAsia="Times New Roman" w:hAnsi="Arial" w:cs="Arial"/>
          <w:noProof/>
          <w:sz w:val="24"/>
          <w:szCs w:val="24"/>
          <w:lang w:val="fr-FR"/>
        </w:rPr>
        <w:t xml:space="preserve"> (2022)</w:t>
      </w:r>
      <w:r>
        <w:rPr>
          <w:rFonts w:ascii="Arial" w:eastAsia="Times New Roman" w:hAnsi="Arial" w:cs="Arial"/>
          <w:sz w:val="24"/>
          <w:szCs w:val="24"/>
          <w:lang w:val="en-GB"/>
        </w:rPr>
        <w:fldChar w:fldCharType="end"/>
      </w:r>
      <w:r w:rsidRPr="00315BF9">
        <w:rPr>
          <w:rFonts w:ascii="Arial" w:eastAsia="Times New Roman" w:hAnsi="Arial" w:cs="Arial"/>
          <w:sz w:val="24"/>
          <w:szCs w:val="24"/>
          <w:lang w:val="fr-FR"/>
        </w:rPr>
        <w:t xml:space="preserve">. </w:t>
      </w:r>
      <w:r w:rsidRPr="00282E00">
        <w:rPr>
          <w:rFonts w:asciiTheme="minorBidi" w:hAnsiTheme="minorBidi"/>
          <w:sz w:val="24"/>
          <w:szCs w:val="24"/>
          <w:lang w:val="en-GB"/>
        </w:rPr>
        <w:t xml:space="preserve">However, only five of the studies were found in SA that investigated pharmacist involvement in diabetes care in PHCs. These five studies were carried out in the same setting, </w:t>
      </w:r>
      <w:r w:rsidRPr="00181BFC">
        <w:rPr>
          <w:rFonts w:ascii="Arial" w:hAnsi="Arial" w:cs="Arial"/>
          <w:sz w:val="24"/>
          <w:szCs w:val="24"/>
          <w:lang w:val="en-GB"/>
        </w:rPr>
        <w:t>Al-Wazarat primary care centre</w:t>
      </w:r>
      <w:r w:rsidRPr="00282E00">
        <w:rPr>
          <w:rFonts w:asciiTheme="minorBidi" w:hAnsiTheme="minorBidi"/>
          <w:sz w:val="24"/>
          <w:szCs w:val="24"/>
          <w:lang w:val="en-GB"/>
        </w:rPr>
        <w:t xml:space="preserve">, which belongs to the prince sultan military medical city in Riyadh, the capital of SA.  These five studies were conducted by </w:t>
      </w:r>
      <w:r w:rsidRPr="00282E00">
        <w:rPr>
          <w:rFonts w:asciiTheme="minorBidi" w:hAnsiTheme="minorBidi"/>
          <w:sz w:val="24"/>
          <w:szCs w:val="24"/>
          <w:lang w:val="en-GB"/>
        </w:rPr>
        <w:fldChar w:fldCharType="begin" w:fldLock="1"/>
      </w:r>
      <w:r w:rsidRPr="00282E00">
        <w:rPr>
          <w:rFonts w:asciiTheme="minorBidi" w:hAnsiTheme="minorBidi"/>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2013)","manualFormatting":"Al Asmary et al. (2013","plainTextFormattedCitation":"(Al Asmary et al., 2013)","previouslyFormattedCitation":"(Al Asmary &lt;i&gt;et al.&lt;/i&gt;, 2013)"},"properties":{"noteIndex":0},"schema":"https://github.com/citation-style-language/schema/raw/master/csl-citation.json"}</w:instrText>
      </w:r>
      <w:r w:rsidRPr="00282E00">
        <w:rPr>
          <w:rFonts w:asciiTheme="minorBidi" w:hAnsiTheme="minorBidi"/>
          <w:sz w:val="24"/>
          <w:szCs w:val="24"/>
          <w:lang w:val="en-GB"/>
        </w:rPr>
        <w:fldChar w:fldCharType="separate"/>
      </w:r>
      <w:r w:rsidRPr="00282E00">
        <w:rPr>
          <w:rFonts w:asciiTheme="minorBidi" w:hAnsiTheme="minorBidi"/>
          <w:noProof/>
          <w:sz w:val="24"/>
          <w:szCs w:val="24"/>
          <w:lang w:val="en-GB"/>
        </w:rPr>
        <w:t>Al Asmary et al. (2013</w:t>
      </w:r>
      <w:r w:rsidRPr="00282E00">
        <w:rPr>
          <w:rFonts w:asciiTheme="minorBidi" w:hAnsiTheme="minorBidi"/>
          <w:sz w:val="24"/>
          <w:szCs w:val="24"/>
          <w:lang w:val="en-GB"/>
        </w:rPr>
        <w:fldChar w:fldCharType="end"/>
      </w:r>
      <w:r w:rsidRPr="00282E00">
        <w:rPr>
          <w:rFonts w:asciiTheme="minorBidi" w:hAnsiTheme="minorBidi"/>
          <w:sz w:val="24"/>
          <w:szCs w:val="24"/>
          <w:lang w:val="en-GB"/>
        </w:rPr>
        <w:t xml:space="preserve">), </w:t>
      </w:r>
      <w:r w:rsidRPr="00282E00">
        <w:rPr>
          <w:rFonts w:asciiTheme="minorBidi" w:eastAsia="Times New Roman" w:hAnsiTheme="minorBidi"/>
          <w:sz w:val="24"/>
          <w:szCs w:val="24"/>
        </w:rPr>
        <w:t xml:space="preserve">(Tourkmani et al., 2016), </w:t>
      </w:r>
      <w:r w:rsidRPr="00282E00">
        <w:rPr>
          <w:rFonts w:asciiTheme="minorBidi" w:hAnsiTheme="minorBidi"/>
          <w:sz w:val="24"/>
          <w:szCs w:val="24"/>
          <w:lang w:val="en-GB"/>
        </w:rPr>
        <w:t xml:space="preserve"> </w:t>
      </w:r>
      <w:r w:rsidRPr="00282E00">
        <w:rPr>
          <w:rFonts w:asciiTheme="minorBidi" w:eastAsia="Times New Roman" w:hAnsiTheme="minorBidi"/>
          <w:noProof/>
          <w:sz w:val="24"/>
          <w:szCs w:val="24"/>
          <w:lang w:val="en-GB"/>
        </w:rPr>
        <w:fldChar w:fldCharType="begin" w:fldLock="1"/>
      </w:r>
      <w:r w:rsidRPr="00282E00">
        <w:rPr>
          <w:rFonts w:asciiTheme="minorBidi" w:eastAsia="Times New Roman" w:hAnsiTheme="minorBidi"/>
          <w:noProof/>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2018a)","plainTextFormattedCitation":"(Ayla M Tourkmani et al., 2018)","previouslyFormattedCitation":"(Ayla M Tourkmani &lt;i&gt;et al.&lt;/i&gt;, 2018)"},"properties":{"noteIndex":0},"schema":"https://github.com/citation-style-language/schema/raw/master/csl-citation.json"}</w:instrText>
      </w:r>
      <w:r w:rsidRPr="00282E00">
        <w:rPr>
          <w:rFonts w:asciiTheme="minorBidi" w:eastAsia="Times New Roman" w:hAnsiTheme="minorBidi"/>
          <w:noProof/>
          <w:sz w:val="24"/>
          <w:szCs w:val="24"/>
          <w:lang w:val="en-GB"/>
        </w:rPr>
        <w:fldChar w:fldCharType="separate"/>
      </w:r>
      <w:r w:rsidRPr="00282E00">
        <w:rPr>
          <w:rFonts w:asciiTheme="minorBidi" w:eastAsia="Times New Roman" w:hAnsiTheme="minorBidi"/>
          <w:noProof/>
          <w:sz w:val="24"/>
          <w:szCs w:val="24"/>
          <w:lang w:val="en-GB"/>
        </w:rPr>
        <w:t xml:space="preserve">(Tourkmani </w:t>
      </w:r>
      <w:r w:rsidRPr="00282E00">
        <w:rPr>
          <w:rFonts w:asciiTheme="minorBidi" w:eastAsia="Times New Roman" w:hAnsiTheme="minorBidi"/>
          <w:i/>
          <w:noProof/>
          <w:sz w:val="24"/>
          <w:szCs w:val="24"/>
          <w:lang w:val="en-GB"/>
        </w:rPr>
        <w:t>et al.</w:t>
      </w:r>
      <w:r w:rsidRPr="00282E00">
        <w:rPr>
          <w:rFonts w:asciiTheme="minorBidi" w:eastAsia="Times New Roman" w:hAnsiTheme="minorBidi"/>
          <w:noProof/>
          <w:sz w:val="24"/>
          <w:szCs w:val="24"/>
          <w:lang w:val="en-GB"/>
        </w:rPr>
        <w:t>, 2018a)</w:t>
      </w:r>
      <w:r w:rsidRPr="00282E00">
        <w:rPr>
          <w:rFonts w:asciiTheme="minorBidi" w:eastAsia="Times New Roman" w:hAnsiTheme="minorBidi"/>
          <w:noProof/>
          <w:sz w:val="24"/>
          <w:szCs w:val="24"/>
          <w:lang w:val="en-GB"/>
        </w:rPr>
        <w:fldChar w:fldCharType="end"/>
      </w:r>
      <w:r w:rsidRPr="00282E00">
        <w:rPr>
          <w:rFonts w:asciiTheme="minorBidi" w:eastAsia="Times New Roman" w:hAnsiTheme="minorBidi"/>
          <w:noProof/>
          <w:sz w:val="24"/>
          <w:szCs w:val="24"/>
          <w:lang w:val="en-GB"/>
        </w:rPr>
        <w:t xml:space="preserve">, </w:t>
      </w:r>
      <w:r w:rsidRPr="00282E00">
        <w:rPr>
          <w:rFonts w:asciiTheme="minorBidi" w:eastAsia="Times New Roman" w:hAnsiTheme="minorBidi"/>
          <w:sz w:val="24"/>
          <w:szCs w:val="24"/>
          <w:lang w:val="en-GB"/>
        </w:rPr>
        <w:t>(</w:t>
      </w:r>
      <w:r w:rsidRPr="00282E00">
        <w:rPr>
          <w:rFonts w:asciiTheme="minorBidi" w:eastAsia="Times New Roman" w:hAnsiTheme="minorBidi"/>
          <w:noProof/>
          <w:sz w:val="24"/>
          <w:szCs w:val="24"/>
          <w:lang w:val="en-GB"/>
        </w:rPr>
        <w:fldChar w:fldCharType="begin" w:fldLock="1"/>
      </w:r>
      <w:r w:rsidRPr="00282E00">
        <w:rPr>
          <w:rFonts w:asciiTheme="minorBidi" w:eastAsia="Times New Roman" w:hAnsiTheme="minorBidi"/>
          <w:noProof/>
          <w:sz w:val="24"/>
          <w:szCs w:val="24"/>
          <w:lang w:val="en-GB"/>
        </w:rPr>
        <w:instrText>ADDIN CSL_CITATION {"citationItems":[{"id":"ITEM-1","itemData":{"DOI":"10.1016/j.dsx.2018.07.012","ISSN":"18780334","abstract":"Aims: To examine the impact of Ramadan Focused Education Program (RFEP) on medications adjustment in type 2 diabetes patients in Ramadan. Methods: This is a controlled, intervention based study. It was run on three phases: before, during, and after Ramadan on 262 type 2 diabetes patients. The intervention group (n ¼ 140) received RFEP on medications doses &amp; timing adjustment before and after Ramadan, while the control group (n ¼ 122) received standard care. Results: The dose of insulin glargine was reduced from 42.51 ± 22.16 at the baseline to 40.11 ± 18.51-units during Ramadan (p ¼ 0.002) in the intervention group while it remained the same in the control group before Ramadan and during Ramadan (38.51 ± 18.63 and 38.14 ± 18.46, P ¼ 0.428, respectively). The hypoglycemia score was 14.2 ± (8.5) pre-Ramadan in the intervention and reduced to 6.36 ± 6.17 during Ramadan (p &lt; 0.001) while in the control group, no significant changes were noted before and during Ramadan (14.01 ± 5.10 versus 13.46 ± 5.30). Conclusions: Ramadan Focused Education Program done at a primary healthcare setting had a positive impact on medication adjustment for dose and timing during fasting in Ramadan in diabetic patients, and it can be a useful tool to achieve better outcomes; less hypoglycemia and safe fasting among T2D patients during Ramadan.","author":[{"dropping-particle":"","family":"Tourkmani","given":"Ayla M.","non-dropping-particle":"","parse-names":false,"suffix":""},{"dropping-particle":"","family":"Alharbi","given":"Turki J.","non-dropping-particle":"","parse-names":false,"suffix":""},{"dropping-particle":"","family":"Rsheed","given":"Abdulaziz M.","non-dropping-particle":"Bin","parse-names":false,"suffix":""},{"dropping-particle":"","family":"Alrasheed","given":"Abdulrhamn N.","non-dropping-particle":"","parse-names":false,"suffix":""},{"dropping-particle":"","family":"AlBattal","given":"Saad M.","non-dropping-particle":"","parse-names":false,"suffix":""},{"dropping-particle":"","family":"Abdelhay","given":"Osama","non-dropping-particle":"","parse-names":false,"suffix":""},{"dropping-particle":"","family":"Hassali","given":"Mohamed A.","non-dropping-particle":"","parse-names":false,"suffix":""},{"dropping-particle":"","family":"Faya","given":"I","non-dropping-particle":"","parse-names":false,"suffix":""},{"dropping-particle":"","family":"Assiri","given":"Ebrahim S.","non-dropping-particle":"","parse-names":false,"suffix":""},{"dropping-particle":"","family":"Ghishiayan","given":"Khalid I.","non-dropping-particle":"Al","parse-names":false,"suffix":""},{"dropping-particle":"","family":"Alrasheedy","given":"Alian A.","non-dropping-particle":"","parse-names":false,"suffix":""},{"dropping-particle":"","family":"Abbas","given":"Mostafa AF","non-dropping-particle":"","parse-names":false,"suffix":""},{"dropping-particle":"","family":"Faya","given":"Sultan I.","non-dropping-particle":"","parse-names":false,"suffix":""},{"dropping-particle":"","family":"Assiri","given":"Ebrahim S.","non-dropping-particle":"","parse-names":false,"suffix":""},{"dropping-particle":"","family":"Ghishiayan","given":"Khalid I.","non-dropping-particle":"Al","parse-names":false,"suffix":""},{"dropping-particle":"","family":"Alrasheedy","given":"Alian A.","non-dropping-particle":"","parse-names":false,"suffix":""},{"dropping-particle":"","family":"Abbas","given":"Mostafa AF","non-dropping-particle":"","parse-names":false,"suffix":""}],"container-title":"Diabetes and Metabolic Syndrome: Clinical Research and Reviews","id":"ITEM-1","issue":"1","issued":{"date-parts":[["2018","1","1"]]},"page":"161-165","publisher":"Elsevier Ltd","title":"Impact of Ramadan Focused Education Program on medications adjustment for patients with type 2 diabetes in a primary health care institution in Saudi Arabia","type":"article-journal","volume":"13"},"uris":["http://www.mendeley.com/documents/?uuid=bb2e125e-614f-4ef3-9005-a67300dc3d2c"]}],"mendeley":{"formattedCitation":"(Ayla M. Tourkmani &lt;i&gt;et al.&lt;/i&gt;, 2018)","manualFormatting":"Tourkmani et al., 2018b)","plainTextFormattedCitation":"(Ayla M. Tourkmani et al., 2018)","previouslyFormattedCitation":"(Ayla M. Tourkmani &lt;i&gt;et al.&lt;/i&gt;, 2018)"},"properties":{"noteIndex":0},"schema":"https://github.com/citation-style-language/schema/raw/master/csl-citation.json"}</w:instrText>
      </w:r>
      <w:r w:rsidRPr="00282E00">
        <w:rPr>
          <w:rFonts w:asciiTheme="minorBidi" w:eastAsia="Times New Roman" w:hAnsiTheme="minorBidi"/>
          <w:noProof/>
          <w:sz w:val="24"/>
          <w:szCs w:val="24"/>
          <w:lang w:val="en-GB"/>
        </w:rPr>
        <w:fldChar w:fldCharType="separate"/>
      </w:r>
      <w:r w:rsidRPr="00282E00">
        <w:rPr>
          <w:rFonts w:asciiTheme="minorBidi" w:eastAsia="Times New Roman" w:hAnsiTheme="minorBidi"/>
          <w:noProof/>
          <w:sz w:val="24"/>
          <w:szCs w:val="24"/>
          <w:lang w:val="en-GB"/>
        </w:rPr>
        <w:t xml:space="preserve">Tourkmani </w:t>
      </w:r>
      <w:r w:rsidRPr="00282E00">
        <w:rPr>
          <w:rFonts w:asciiTheme="minorBidi" w:eastAsia="Times New Roman" w:hAnsiTheme="minorBidi"/>
          <w:i/>
          <w:noProof/>
          <w:sz w:val="24"/>
          <w:szCs w:val="24"/>
          <w:lang w:val="en-GB"/>
        </w:rPr>
        <w:t>et al.</w:t>
      </w:r>
      <w:r w:rsidRPr="00282E00">
        <w:rPr>
          <w:rFonts w:asciiTheme="minorBidi" w:eastAsia="Times New Roman" w:hAnsiTheme="minorBidi"/>
          <w:noProof/>
          <w:sz w:val="24"/>
          <w:szCs w:val="24"/>
          <w:lang w:val="en-GB"/>
        </w:rPr>
        <w:t>, 2018b)</w:t>
      </w:r>
      <w:r w:rsidRPr="00282E00">
        <w:rPr>
          <w:rFonts w:asciiTheme="minorBidi" w:eastAsia="Times New Roman" w:hAnsiTheme="minorBidi"/>
          <w:noProof/>
          <w:sz w:val="24"/>
          <w:szCs w:val="24"/>
          <w:lang w:val="en-GB"/>
        </w:rPr>
        <w:fldChar w:fldCharType="end"/>
      </w:r>
      <w:r w:rsidRPr="00282E00">
        <w:rPr>
          <w:rFonts w:asciiTheme="minorBidi" w:eastAsia="Times New Roman" w:hAnsiTheme="minorBidi"/>
          <w:sz w:val="24"/>
          <w:szCs w:val="24"/>
          <w:lang w:val="en-GB"/>
        </w:rPr>
        <w:t xml:space="preserve">,  and </w:t>
      </w:r>
      <w:r w:rsidRPr="00282E00">
        <w:rPr>
          <w:rFonts w:asciiTheme="minorBidi" w:hAnsiTheme="minorBidi"/>
          <w:sz w:val="24"/>
          <w:szCs w:val="24"/>
          <w:lang w:val="en-GB"/>
        </w:rPr>
        <w:fldChar w:fldCharType="begin" w:fldLock="1"/>
      </w:r>
      <w:r w:rsidRPr="00282E00">
        <w:rPr>
          <w:rFonts w:asciiTheme="minorBidi" w:hAnsiTheme="minorBidi"/>
          <w:sz w:val="24"/>
          <w:szCs w:val="24"/>
          <w:lang w:val="en-GB"/>
        </w:rPr>
        <w:instrText>ADDIN CSL_CITATION {"citationItems":[{"id":"ITEM-1","itemData":{"author":[{"dropping-particle":"","family":"Alsubaie","given":"Nawal","non-dropping-particle":"","parse-names":false,"suffix":""},{"dropping-particle":"","family":"Alsallal","given":"Mohannad","non-dropping-particle":"","parse-names":false,"suffix":""},{"dropping-particle":"","family":"Altwaijri","given":"Sulaiman","non-dropping-particle":"","parse-names":false,"suffix":""},{"dropping-particle":"","family":"Alotaibi","given":"Ahmed","non-dropping-particle":"","parse-names":false,"suffix":""},{"dropping-particle":"","family":"Alharbi","given":"Bandar","non-dropping-particle":"","parse-names":false,"suffix":""},{"dropping-particle":"","family":"Aleissa","given":"Mohammad","non-dropping-particle":"","parse-names":false,"suffix":""}],"id":"ITEM-1","issued":{"date-parts":[["2022"]]},"page":"887-892","title":"Impact of Clinical Pharmacist Diabetes Clinic on the Improvement of Health Outcomes in Type 2 Diabetes Subjects","type":"article-journal","volume":"10"},"uris":["http://www.mendeley.com/documents/?uuid=f4bab006-c942-4961-9501-a0ea0c0f1f08"]}],"mendeley":{"formattedCitation":"(Alsubaie &lt;i&gt;et al.&lt;/i&gt;, 2022)","plainTextFormattedCitation":"(Alsubaie et al., 2022)","previouslyFormattedCitation":"(Alsubaie &lt;i&gt;et al.&lt;/i&gt;, 2022)"},"properties":{"noteIndex":0},"schema":"https://github.com/citation-style-language/schema/raw/master/csl-citation.json"}</w:instrText>
      </w:r>
      <w:r w:rsidRPr="00282E00">
        <w:rPr>
          <w:rFonts w:asciiTheme="minorBidi" w:hAnsiTheme="minorBidi"/>
          <w:sz w:val="24"/>
          <w:szCs w:val="24"/>
          <w:lang w:val="en-GB"/>
        </w:rPr>
        <w:fldChar w:fldCharType="separate"/>
      </w:r>
      <w:r w:rsidRPr="00282E00">
        <w:rPr>
          <w:rFonts w:asciiTheme="minorBidi" w:hAnsiTheme="minorBidi"/>
          <w:noProof/>
          <w:sz w:val="24"/>
          <w:szCs w:val="24"/>
          <w:lang w:val="en-GB"/>
        </w:rPr>
        <w:t xml:space="preserve">(Alsubaie </w:t>
      </w:r>
      <w:r w:rsidRPr="00282E00">
        <w:rPr>
          <w:rFonts w:asciiTheme="minorBidi" w:hAnsiTheme="minorBidi"/>
          <w:i/>
          <w:noProof/>
          <w:sz w:val="24"/>
          <w:szCs w:val="24"/>
          <w:lang w:val="en-GB"/>
        </w:rPr>
        <w:t>et al.</w:t>
      </w:r>
      <w:r w:rsidRPr="00282E00">
        <w:rPr>
          <w:rFonts w:asciiTheme="minorBidi" w:hAnsiTheme="minorBidi"/>
          <w:noProof/>
          <w:sz w:val="24"/>
          <w:szCs w:val="24"/>
          <w:lang w:val="en-GB"/>
        </w:rPr>
        <w:t>, 2022)</w:t>
      </w:r>
      <w:r w:rsidRPr="00282E00">
        <w:rPr>
          <w:rFonts w:asciiTheme="minorBidi" w:hAnsiTheme="minorBidi"/>
          <w:sz w:val="24"/>
          <w:szCs w:val="24"/>
          <w:lang w:val="en-GB"/>
        </w:rPr>
        <w:fldChar w:fldCharType="end"/>
      </w:r>
      <w:r w:rsidRPr="00282E00">
        <w:rPr>
          <w:rFonts w:asciiTheme="minorBidi" w:hAnsiTheme="minorBidi"/>
          <w:sz w:val="24"/>
          <w:szCs w:val="24"/>
          <w:lang w:val="en-GB"/>
        </w:rPr>
        <w:t xml:space="preserve">. </w:t>
      </w:r>
      <w:r w:rsidRPr="00282E00">
        <w:rPr>
          <w:rFonts w:ascii="Arial" w:hAnsi="Arial" w:cs="Arial"/>
          <w:sz w:val="24"/>
          <w:szCs w:val="24"/>
          <w:lang w:val="en-GB"/>
        </w:rPr>
        <w:t>According to findings from these studies</w:t>
      </w:r>
      <w:r w:rsidRPr="00282E00">
        <w:rPr>
          <w:rFonts w:ascii="Arial" w:hAnsi="Arial" w:cs="Arial"/>
          <w:noProof/>
          <w:sz w:val="24"/>
          <w:szCs w:val="24"/>
          <w:lang w:val="en-GB"/>
        </w:rPr>
        <w:t xml:space="preserve">, </w:t>
      </w:r>
      <w:r w:rsidRPr="00282E00">
        <w:rPr>
          <w:rFonts w:ascii="Arial" w:hAnsi="Arial" w:cs="Arial"/>
          <w:sz w:val="24"/>
          <w:szCs w:val="24"/>
          <w:lang w:val="en-GB"/>
        </w:rPr>
        <w:t>the MDT care-based practice had positive outcomes for patients with diabetes. The MDT based practice in these five studies has also shown the great benefits of inter-professional communication and the development of collaborative working relationships.</w:t>
      </w:r>
      <w:r w:rsidRPr="00282E00">
        <w:rPr>
          <w:rFonts w:ascii="Arial" w:eastAsia="Times New Roman" w:hAnsi="Arial" w:cs="Arial"/>
          <w:sz w:val="24"/>
          <w:szCs w:val="24"/>
          <w:lang w:val="en-GB"/>
        </w:rPr>
        <w:t xml:space="preserve"> </w:t>
      </w:r>
      <w:r w:rsidRPr="00282E00">
        <w:rPr>
          <w:rFonts w:ascii="Arial" w:hAnsi="Arial" w:cs="Arial"/>
          <w:sz w:val="24"/>
          <w:szCs w:val="24"/>
          <w:lang w:val="en-GB"/>
        </w:rPr>
        <w:t>Therefore, the presence of the pharmacist in the team of PHCs in SA could potentially provide a high quality of patient care, as well as improving the delivery of healthcare services.</w:t>
      </w:r>
    </w:p>
    <w:p w14:paraId="06DF3FE5" w14:textId="77777777" w:rsidR="008F152E" w:rsidRPr="00282E00" w:rsidRDefault="008F152E" w:rsidP="008F152E">
      <w:pPr>
        <w:spacing w:after="0" w:line="360" w:lineRule="auto"/>
        <w:jc w:val="both"/>
        <w:rPr>
          <w:rFonts w:asciiTheme="minorBidi" w:hAnsiTheme="minorBidi"/>
          <w:sz w:val="24"/>
          <w:szCs w:val="24"/>
          <w:lang w:val="en-GB"/>
        </w:rPr>
      </w:pPr>
      <w:r w:rsidRPr="00282E00">
        <w:rPr>
          <w:rFonts w:asciiTheme="minorBidi" w:hAnsiTheme="minorBidi"/>
          <w:sz w:val="24"/>
          <w:szCs w:val="24"/>
          <w:lang w:val="en-GB"/>
        </w:rPr>
        <w:t xml:space="preserve">The multidisciplinary diabetes care team in two studies - </w:t>
      </w:r>
      <w:r w:rsidRPr="00282E00">
        <w:rPr>
          <w:rFonts w:asciiTheme="minorBidi" w:hAnsiTheme="minorBidi"/>
          <w:sz w:val="24"/>
          <w:szCs w:val="24"/>
          <w:lang w:val="en-GB"/>
        </w:rPr>
        <w:fldChar w:fldCharType="begin" w:fldLock="1"/>
      </w:r>
      <w:r w:rsidRPr="00282E00">
        <w:rPr>
          <w:rFonts w:asciiTheme="minorBidi" w:hAnsiTheme="minorBidi"/>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2013)","manualFormatting":"Al Asmary et al. (2013","plainTextFormattedCitation":"(Al Asmary et al., 2013)","previouslyFormattedCitation":"(Al Asmary &lt;i&gt;et al.&lt;/i&gt;, 2013)"},"properties":{"noteIndex":0},"schema":"https://github.com/citation-style-language/schema/raw/master/csl-citation.json"}</w:instrText>
      </w:r>
      <w:r w:rsidRPr="00282E00">
        <w:rPr>
          <w:rFonts w:asciiTheme="minorBidi" w:hAnsiTheme="minorBidi"/>
          <w:sz w:val="24"/>
          <w:szCs w:val="24"/>
          <w:lang w:val="en-GB"/>
        </w:rPr>
        <w:fldChar w:fldCharType="separate"/>
      </w:r>
      <w:r w:rsidRPr="00282E00">
        <w:rPr>
          <w:rFonts w:asciiTheme="minorBidi" w:hAnsiTheme="minorBidi"/>
          <w:noProof/>
          <w:sz w:val="24"/>
          <w:szCs w:val="24"/>
          <w:lang w:val="en-GB"/>
        </w:rPr>
        <w:t>Al Asmary et al. (2013</w:t>
      </w:r>
      <w:r w:rsidRPr="00282E00">
        <w:rPr>
          <w:rFonts w:asciiTheme="minorBidi" w:hAnsiTheme="minorBidi"/>
          <w:sz w:val="24"/>
          <w:szCs w:val="24"/>
          <w:lang w:val="en-GB"/>
        </w:rPr>
        <w:fldChar w:fldCharType="end"/>
      </w:r>
      <w:r w:rsidRPr="00282E00">
        <w:rPr>
          <w:rFonts w:asciiTheme="minorBidi" w:hAnsiTheme="minorBidi"/>
          <w:sz w:val="24"/>
          <w:szCs w:val="24"/>
          <w:lang w:val="en-GB"/>
        </w:rPr>
        <w:t xml:space="preserve">) and </w:t>
      </w:r>
      <w:r w:rsidRPr="00282E00">
        <w:rPr>
          <w:rFonts w:asciiTheme="minorBidi" w:hAnsiTheme="minorBidi"/>
          <w:sz w:val="24"/>
          <w:szCs w:val="24"/>
          <w:lang w:val="en-GB"/>
        </w:rPr>
        <w:fldChar w:fldCharType="begin" w:fldLock="1"/>
      </w:r>
      <w:r w:rsidRPr="00282E00">
        <w:rPr>
          <w:rFonts w:asciiTheme="minorBidi" w:hAnsiTheme="minorBidi"/>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(2018)","plainTextFormattedCitation":"(Ayla M Tourkmani et al., 2018)","previouslyFormattedCitation":"(Ayla M Tourkmani &lt;i&gt;et al.&lt;/i&gt;, 2018)"},"properties":{"noteIndex":0},"schema":"https://github.com/citation-style-language/schema/raw/master/csl-citation.json"}</w:instrText>
      </w:r>
      <w:r w:rsidRPr="00282E00">
        <w:rPr>
          <w:rFonts w:asciiTheme="minorBidi" w:hAnsiTheme="minorBidi"/>
          <w:sz w:val="24"/>
          <w:szCs w:val="24"/>
          <w:lang w:val="en-GB"/>
        </w:rPr>
        <w:fldChar w:fldCharType="separate"/>
      </w:r>
      <w:r w:rsidRPr="00282E00">
        <w:rPr>
          <w:rFonts w:asciiTheme="minorBidi" w:hAnsiTheme="minorBidi"/>
          <w:noProof/>
          <w:sz w:val="24"/>
          <w:szCs w:val="24"/>
          <w:lang w:val="en-GB"/>
        </w:rPr>
        <w:t>Tourkmani et al. (2018)</w:t>
      </w:r>
      <w:r w:rsidRPr="00282E00">
        <w:rPr>
          <w:rFonts w:asciiTheme="minorBidi" w:hAnsiTheme="minorBidi"/>
          <w:sz w:val="24"/>
          <w:szCs w:val="24"/>
          <w:lang w:val="en-GB"/>
        </w:rPr>
        <w:fldChar w:fldCharType="end"/>
      </w:r>
      <w:r w:rsidRPr="00282E00">
        <w:rPr>
          <w:rFonts w:asciiTheme="minorBidi" w:hAnsiTheme="minorBidi"/>
          <w:sz w:val="24"/>
          <w:szCs w:val="24"/>
          <w:lang w:val="en-GB"/>
        </w:rPr>
        <w:t xml:space="preserve"> - involved a senior family physician, clinical pharmacy specialist, diabetic educator, dietician, health educator, and social worker. The clinical pharmacists in both studies acted as a case manager, who was responsible for arranging the appointments with other specialties as needed per the care plan and evaluating the compliance as well as adverse effects of the new plan. </w:t>
      </w:r>
    </w:p>
    <w:p w14:paraId="3DA2F707" w14:textId="77777777" w:rsidR="008F152E" w:rsidRPr="00282E00" w:rsidRDefault="008F152E" w:rsidP="008F152E">
      <w:pPr>
        <w:spacing w:before="120" w:after="0" w:line="360" w:lineRule="auto"/>
        <w:jc w:val="both"/>
        <w:rPr>
          <w:rFonts w:asciiTheme="minorBidi" w:hAnsiTheme="minorBidi"/>
          <w:sz w:val="24"/>
          <w:szCs w:val="24"/>
          <w:lang w:val="en-GB"/>
        </w:rPr>
      </w:pPr>
      <w:r w:rsidRPr="00282E00">
        <w:rPr>
          <w:rFonts w:asciiTheme="minorBidi" w:hAnsiTheme="minorBidi"/>
          <w:sz w:val="24"/>
          <w:szCs w:val="24"/>
          <w:lang w:val="en-GB"/>
        </w:rPr>
        <w:t>In the studies by Turkmani et al. (2016) and Turkmani et al. (2018b), pharmacists were part of the Ramadan-focused educational program team. The educational intervention focuses on self-management of diabetes care, including signs and symptoms of hyper/hypoglycemia, self-monitoring of blood glucose, physical activity, diabetic foot care, and management of acute complications. Educational sessions were delivered to patients with diabetes by a clinical pharmacist, a primary care physician, and a dietitian.</w:t>
      </w:r>
    </w:p>
    <w:p w14:paraId="2FEBA248" w14:textId="77777777" w:rsidR="008F152E" w:rsidRPr="00282E00" w:rsidRDefault="008F152E" w:rsidP="008F152E">
      <w:pPr>
        <w:spacing w:before="120" w:after="0" w:line="360" w:lineRule="auto"/>
        <w:jc w:val="both"/>
        <w:rPr>
          <w:rFonts w:asciiTheme="minorBidi" w:hAnsiTheme="minorBidi"/>
          <w:sz w:val="24"/>
          <w:szCs w:val="24"/>
          <w:lang w:val="en-GB"/>
        </w:rPr>
      </w:pPr>
      <w:r w:rsidRPr="00282E00">
        <w:rPr>
          <w:rFonts w:asciiTheme="minorBidi" w:hAnsiTheme="minorBidi"/>
          <w:sz w:val="24"/>
          <w:szCs w:val="24"/>
          <w:lang w:val="en-GB"/>
        </w:rPr>
        <w:t>The clinical pharmacist was also part of the multidisciplinary medical team (MDT) in the study conducted by Al-Subaie et al., (2022). The clinical pharmacist was responsible for monitoring patients' improvement after they were referred to the pharmacist's diabetes clinic. The pharmacist's roles include reviewing medications and adjusting medication regimens as needed after obtaining approval from the treating physician. Other roles of pharmacists in this study were to educate patients, set goals with clear outcomes and timelines, order laboratory tests, and provide a glucometer (blood glucose monitor) if the patient did not have one.</w:t>
      </w:r>
    </w:p>
    <w:p w14:paraId="7DBD7CB8" w14:textId="77777777" w:rsidR="008F152E" w:rsidRPr="00CA0F2E" w:rsidRDefault="008F152E" w:rsidP="00D2628F">
      <w:pPr>
        <w:autoSpaceDE w:val="0"/>
        <w:autoSpaceDN w:val="0"/>
        <w:adjustRightInd w:val="0"/>
        <w:spacing w:before="240" w:line="360" w:lineRule="auto"/>
        <w:jc w:val="both"/>
        <w:rPr>
          <w:rFonts w:ascii="Arial" w:hAnsi="Arial" w:cs="Arial"/>
          <w:color w:val="00B050"/>
          <w:sz w:val="24"/>
          <w:szCs w:val="24"/>
        </w:rPr>
      </w:pPr>
      <w:r w:rsidRPr="00C4191C">
        <w:rPr>
          <w:rFonts w:ascii="Arial" w:hAnsi="Arial" w:cs="Arial"/>
          <w:sz w:val="24"/>
          <w:szCs w:val="24"/>
          <w:lang w:val="en-GB"/>
        </w:rPr>
        <w:t>The settin</w:t>
      </w:r>
      <w:r>
        <w:rPr>
          <w:rFonts w:ascii="Arial" w:hAnsi="Arial" w:cs="Arial"/>
          <w:sz w:val="24"/>
          <w:szCs w:val="24"/>
          <w:lang w:val="en-GB"/>
        </w:rPr>
        <w:t xml:space="preserve">g </w:t>
      </w:r>
      <w:r w:rsidRPr="00C4191C">
        <w:rPr>
          <w:rFonts w:ascii="Arial" w:hAnsi="Arial" w:cs="Arial"/>
          <w:sz w:val="24"/>
          <w:szCs w:val="24"/>
          <w:lang w:val="en-GB"/>
        </w:rPr>
        <w:t xml:space="preserve">of </w:t>
      </w:r>
      <w:r>
        <w:rPr>
          <w:rFonts w:ascii="Arial" w:hAnsi="Arial" w:cs="Arial"/>
          <w:sz w:val="24"/>
          <w:szCs w:val="24"/>
          <w:lang w:val="en-GB"/>
        </w:rPr>
        <w:t>these</w:t>
      </w:r>
      <w:r w:rsidRPr="00C4191C">
        <w:rPr>
          <w:rFonts w:ascii="Arial" w:hAnsi="Arial" w:cs="Arial"/>
          <w:sz w:val="24"/>
          <w:szCs w:val="24"/>
          <w:lang w:val="en-GB"/>
        </w:rPr>
        <w:t xml:space="preserve"> studies as mentioned above</w:t>
      </w:r>
      <w:r>
        <w:rPr>
          <w:rFonts w:ascii="Arial" w:hAnsi="Arial" w:cs="Arial"/>
          <w:sz w:val="24"/>
          <w:szCs w:val="24"/>
          <w:lang w:val="en-GB"/>
        </w:rPr>
        <w:t>, however,</w:t>
      </w:r>
      <w:r w:rsidRPr="00C4191C">
        <w:rPr>
          <w:rFonts w:ascii="Arial" w:hAnsi="Arial" w:cs="Arial"/>
          <w:sz w:val="24"/>
          <w:szCs w:val="24"/>
          <w:lang w:val="en-GB"/>
        </w:rPr>
        <w:t xml:space="preserve"> </w:t>
      </w:r>
      <w:r>
        <w:rPr>
          <w:rFonts w:ascii="Arial" w:hAnsi="Arial" w:cs="Arial"/>
          <w:sz w:val="24"/>
          <w:szCs w:val="24"/>
          <w:lang w:val="en-GB"/>
        </w:rPr>
        <w:t>was the same</w:t>
      </w:r>
      <w:r w:rsidRPr="00C4191C">
        <w:rPr>
          <w:rFonts w:ascii="Arial" w:hAnsi="Arial" w:cs="Arial"/>
          <w:sz w:val="24"/>
          <w:szCs w:val="24"/>
          <w:lang w:val="en-GB"/>
        </w:rPr>
        <w:t xml:space="preserve"> Al-Wazarat Health Care Centre. It is a large family medicine center in Riyadh, SA</w:t>
      </w:r>
      <w:r>
        <w:rPr>
          <w:rFonts w:ascii="Arial" w:hAnsi="Arial" w:cs="Arial"/>
          <w:sz w:val="24"/>
          <w:szCs w:val="24"/>
          <w:lang w:val="en-GB"/>
        </w:rPr>
        <w:t xml:space="preserve"> which</w:t>
      </w:r>
      <w:r w:rsidRPr="00C4191C">
        <w:rPr>
          <w:rFonts w:ascii="Arial" w:hAnsi="Arial" w:cs="Arial"/>
          <w:sz w:val="24"/>
          <w:szCs w:val="24"/>
          <w:lang w:val="en-GB"/>
        </w:rPr>
        <w:t xml:space="preserve"> belongs </w:t>
      </w:r>
      <w:r>
        <w:rPr>
          <w:rFonts w:ascii="Arial" w:hAnsi="Arial" w:cs="Arial"/>
          <w:sz w:val="24"/>
          <w:szCs w:val="24"/>
          <w:lang w:val="en-GB"/>
        </w:rPr>
        <w:t xml:space="preserve">to the </w:t>
      </w:r>
      <w:r w:rsidRPr="00C4191C">
        <w:rPr>
          <w:rFonts w:ascii="Arial" w:hAnsi="Arial" w:cs="Arial"/>
          <w:sz w:val="24"/>
          <w:szCs w:val="24"/>
          <w:lang w:val="en-GB"/>
        </w:rPr>
        <w:t xml:space="preserve">Prince Sultan Military Medical City which is </w:t>
      </w:r>
      <w:r w:rsidRPr="009120C2">
        <w:rPr>
          <w:rFonts w:ascii="Arial" w:hAnsi="Arial" w:cs="Arial"/>
          <w:i/>
          <w:iCs/>
          <w:sz w:val="24"/>
          <w:szCs w:val="24"/>
          <w:lang w:val="en-GB"/>
        </w:rPr>
        <w:t>“considered as one of the most advanced centre in the Middle East”</w:t>
      </w:r>
      <w:r>
        <w:rPr>
          <w:rFonts w:ascii="Arial" w:hAnsi="Arial" w:cs="Arial"/>
          <w:sz w:val="24"/>
          <w:szCs w:val="24"/>
          <w:lang w:val="en-GB"/>
        </w:rPr>
        <w:t xml:space="preserve"> </w:t>
      </w:r>
      <w:r w:rsidRPr="00C4191C">
        <w:rPr>
          <w:rFonts w:ascii="Arial" w:hAnsi="Arial" w:cs="Arial"/>
          <w:sz w:val="24"/>
          <w:szCs w:val="24"/>
          <w:lang w:val="en-GB"/>
        </w:rPr>
        <w:fldChar w:fldCharType="begin" w:fldLock="1"/>
      </w:r>
      <w:r w:rsidRPr="00C4191C">
        <w:rPr>
          <w:rFonts w:ascii="Arial" w:hAnsi="Arial" w:cs="Arial"/>
          <w:sz w:val="24"/>
          <w:szCs w:val="24"/>
          <w:lang w:val="en-GB"/>
        </w:rPr>
        <w:instrText>ADDIN CSL_CITATION {"citationItems":[{"id":"ITEM-1","itemData":{"URL":"https://icfmconference.com/about","accessed":{"date-parts":[["2020","7","26"]]},"id":"ITEM-1","issued":{"date-parts":[["0"]]},"title":"2nd International Conference on Family Medicine (ICFM 2020)","type":"webpage"},"uris":["http://www.mendeley.com/documents/?uuid=38ef2c8c-5d06-30e3-b49b-c8e190eb2f0f"]}],"mendeley":{"formattedCitation":"(&lt;i&gt;2nd International Conference on Family Medicine (ICFM 2020)&lt;/i&gt;, no date)","plainTextFormattedCitation":"(2nd International Conference on Family Medicine (ICFM 2020), no date)","previouslyFormattedCitation":"(&lt;i&gt;2nd International Conference on Family Medicine (ICFM 2020)&lt;/i&gt;, no date)"},"properties":{"noteIndex":0},"schema":"https://github.com/citation-style-language/schema/raw/master/csl-citation.json"}</w:instrText>
      </w:r>
      <w:r w:rsidRPr="00C4191C">
        <w:rPr>
          <w:rFonts w:ascii="Arial" w:hAnsi="Arial" w:cs="Arial"/>
          <w:sz w:val="24"/>
          <w:szCs w:val="24"/>
          <w:lang w:val="en-GB"/>
        </w:rPr>
        <w:fldChar w:fldCharType="separate"/>
      </w:r>
      <w:r w:rsidRPr="00C4191C">
        <w:rPr>
          <w:rFonts w:ascii="Arial" w:hAnsi="Arial" w:cs="Arial"/>
          <w:noProof/>
          <w:sz w:val="24"/>
          <w:szCs w:val="24"/>
          <w:lang w:val="en-GB"/>
        </w:rPr>
        <w:t>(2</w:t>
      </w:r>
      <w:r w:rsidRPr="009120C2">
        <w:rPr>
          <w:rFonts w:ascii="Arial" w:hAnsi="Arial" w:cs="Arial"/>
          <w:noProof/>
          <w:sz w:val="24"/>
          <w:szCs w:val="24"/>
          <w:vertAlign w:val="superscript"/>
          <w:lang w:val="en-GB"/>
        </w:rPr>
        <w:t>nd</w:t>
      </w:r>
      <w:r w:rsidRPr="00C4191C">
        <w:rPr>
          <w:rFonts w:ascii="Arial" w:hAnsi="Arial" w:cs="Arial"/>
          <w:noProof/>
          <w:sz w:val="24"/>
          <w:szCs w:val="24"/>
          <w:lang w:val="en-GB"/>
        </w:rPr>
        <w:t xml:space="preserve"> International Conference on Family Medicine (ICFM 2020), no date)</w:t>
      </w:r>
      <w:r w:rsidRPr="00C4191C">
        <w:rPr>
          <w:rFonts w:ascii="Arial" w:hAnsi="Arial" w:cs="Arial"/>
          <w:sz w:val="24"/>
          <w:szCs w:val="24"/>
          <w:lang w:val="en-GB"/>
        </w:rPr>
        <w:fldChar w:fldCharType="end"/>
      </w:r>
      <w:r w:rsidRPr="00C4191C">
        <w:rPr>
          <w:rFonts w:ascii="Arial" w:hAnsi="Arial" w:cs="Arial"/>
          <w:sz w:val="24"/>
          <w:szCs w:val="24"/>
          <w:lang w:val="en-GB"/>
        </w:rPr>
        <w:t xml:space="preserve">. This centre belongs to the Ministry of Defence and Aviation and serves its employees and their families only. Therefore, these </w:t>
      </w:r>
      <w:r>
        <w:rPr>
          <w:rFonts w:ascii="Arial" w:hAnsi="Arial" w:cs="Arial"/>
          <w:sz w:val="24"/>
          <w:szCs w:val="24"/>
          <w:lang w:val="en-GB"/>
        </w:rPr>
        <w:t>five</w:t>
      </w:r>
      <w:r w:rsidRPr="00C4191C">
        <w:rPr>
          <w:rFonts w:ascii="Arial" w:hAnsi="Arial" w:cs="Arial"/>
          <w:sz w:val="24"/>
          <w:szCs w:val="24"/>
          <w:lang w:val="en-GB"/>
        </w:rPr>
        <w:t xml:space="preserve"> studies may not represent the practice in the MoH of SA, which serves all Saudi citizens as well as residents who work in governmental sectors. However, positive experiences from involving pharmacists to diabetes care as revealed in these studies (</w:t>
      </w:r>
      <w:r w:rsidRPr="00C4191C">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2013)","manualFormatting":"Al Asmary et al., (2013)","plainTextFormattedCitation":"(Al Asmary et al., 2013)","previouslyFormattedCitation":"(Al Asmary &lt;i&gt;et al.&lt;/i&gt;, 2013)"},"properties":{"noteIndex":0},"schema":"https://github.com/citation-style-language/schema/raw/master/csl-citation.json"}</w:instrText>
      </w:r>
      <w:r w:rsidRPr="00C4191C">
        <w:rPr>
          <w:rFonts w:ascii="Arial" w:hAnsi="Arial" w:cs="Arial"/>
          <w:sz w:val="24"/>
          <w:szCs w:val="24"/>
          <w:lang w:val="en-GB"/>
        </w:rPr>
        <w:fldChar w:fldCharType="separate"/>
      </w:r>
      <w:r w:rsidRPr="00C4191C">
        <w:rPr>
          <w:rFonts w:ascii="Arial" w:hAnsi="Arial" w:cs="Arial"/>
          <w:noProof/>
          <w:sz w:val="24"/>
          <w:szCs w:val="24"/>
          <w:lang w:val="en-GB"/>
        </w:rPr>
        <w:t xml:space="preserve">Al Asmary et al., </w:t>
      </w:r>
      <w:r>
        <w:rPr>
          <w:rFonts w:ascii="Arial" w:hAnsi="Arial" w:cs="Arial"/>
          <w:noProof/>
          <w:sz w:val="24"/>
          <w:szCs w:val="24"/>
          <w:lang w:val="en-GB"/>
        </w:rPr>
        <w:t>(</w:t>
      </w:r>
      <w:r w:rsidRPr="00C4191C">
        <w:rPr>
          <w:rFonts w:ascii="Arial" w:hAnsi="Arial" w:cs="Arial"/>
          <w:noProof/>
          <w:sz w:val="24"/>
          <w:szCs w:val="24"/>
          <w:lang w:val="en-GB"/>
        </w:rPr>
        <w:t>2013)</w:t>
      </w:r>
      <w:r w:rsidRPr="00C4191C">
        <w:rPr>
          <w:rFonts w:ascii="Arial" w:hAnsi="Arial" w:cs="Arial"/>
          <w:sz w:val="24"/>
          <w:szCs w:val="24"/>
          <w:lang w:val="en-GB"/>
        </w:rPr>
        <w:fldChar w:fldCharType="end"/>
      </w:r>
      <w:r>
        <w:rPr>
          <w:rFonts w:ascii="Arial" w:hAnsi="Arial" w:cs="Arial"/>
          <w:sz w:val="24"/>
          <w:szCs w:val="24"/>
          <w:lang w:val="en-GB"/>
        </w:rPr>
        <w:t xml:space="preserve"> and</w:t>
      </w:r>
      <w:r w:rsidRPr="00C4191C">
        <w:rPr>
          <w:rFonts w:ascii="Arial" w:hAnsi="Arial" w:cs="Arial"/>
          <w:sz w:val="24"/>
          <w:szCs w:val="24"/>
          <w:lang w:val="en-GB"/>
        </w:rPr>
        <w:t xml:space="preserve"> </w:t>
      </w:r>
      <w:r w:rsidRPr="00C4191C">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 Tourkmani et al., (2018)","plainTextFormattedCitation":"(Ayla M Tourkmani et al., 2018)","previouslyFormattedCitation":"(Ayla M Tourkmani &lt;i&gt;et al.&lt;/i&gt;, 2018)"},"properties":{"noteIndex":0},"schema":"https://github.com/citation-style-language/schema/raw/master/csl-citation.json"}</w:instrText>
      </w:r>
      <w:r w:rsidRPr="00C4191C">
        <w:rPr>
          <w:rFonts w:ascii="Arial" w:hAnsi="Arial" w:cs="Arial"/>
          <w:sz w:val="24"/>
          <w:szCs w:val="24"/>
          <w:lang w:val="en-GB"/>
        </w:rPr>
        <w:fldChar w:fldCharType="separate"/>
      </w:r>
      <w:r w:rsidRPr="00C4191C">
        <w:rPr>
          <w:rFonts w:ascii="Arial" w:hAnsi="Arial" w:cs="Arial"/>
          <w:noProof/>
          <w:sz w:val="24"/>
          <w:szCs w:val="24"/>
          <w:lang w:val="en-GB"/>
        </w:rPr>
        <w:t xml:space="preserve"> Tourkmani et al., </w:t>
      </w:r>
      <w:r>
        <w:rPr>
          <w:rFonts w:ascii="Arial" w:hAnsi="Arial" w:cs="Arial"/>
          <w:noProof/>
          <w:sz w:val="24"/>
          <w:szCs w:val="24"/>
          <w:lang w:val="en-GB"/>
        </w:rPr>
        <w:t>(</w:t>
      </w:r>
      <w:r w:rsidRPr="00C4191C">
        <w:rPr>
          <w:rFonts w:ascii="Arial" w:hAnsi="Arial" w:cs="Arial"/>
          <w:noProof/>
          <w:sz w:val="24"/>
          <w:szCs w:val="24"/>
          <w:lang w:val="en-GB"/>
        </w:rPr>
        <w:t>2018)</w:t>
      </w:r>
      <w:r w:rsidRPr="00C4191C">
        <w:rPr>
          <w:rFonts w:ascii="Arial" w:hAnsi="Arial" w:cs="Arial"/>
          <w:sz w:val="24"/>
          <w:szCs w:val="24"/>
          <w:lang w:val="en-GB"/>
        </w:rPr>
        <w:fldChar w:fldCharType="end"/>
      </w:r>
      <w:r w:rsidRPr="00C4191C">
        <w:rPr>
          <w:rFonts w:ascii="Arial" w:hAnsi="Arial" w:cs="Arial"/>
          <w:sz w:val="24"/>
          <w:szCs w:val="24"/>
          <w:lang w:val="en-GB"/>
        </w:rPr>
        <w:t xml:space="preserve">) could give hope that such an experience could be found in the MoH. This proposed </w:t>
      </w:r>
      <w:r>
        <w:rPr>
          <w:rFonts w:ascii="Arial" w:hAnsi="Arial" w:cs="Arial"/>
          <w:sz w:val="24"/>
          <w:szCs w:val="24"/>
          <w:lang w:val="en-GB"/>
        </w:rPr>
        <w:t>research</w:t>
      </w:r>
      <w:r w:rsidRPr="00C4191C">
        <w:rPr>
          <w:rFonts w:ascii="Arial" w:hAnsi="Arial" w:cs="Arial"/>
          <w:sz w:val="24"/>
          <w:szCs w:val="24"/>
          <w:lang w:val="en-GB"/>
        </w:rPr>
        <w:t xml:space="preserve">, </w:t>
      </w:r>
      <w:r>
        <w:rPr>
          <w:rFonts w:ascii="Arial" w:hAnsi="Arial" w:cs="Arial"/>
          <w:sz w:val="24"/>
          <w:szCs w:val="24"/>
          <w:lang w:val="en-GB"/>
        </w:rPr>
        <w:t>t</w:t>
      </w:r>
      <w:r w:rsidRPr="00C4191C">
        <w:rPr>
          <w:rFonts w:ascii="Arial" w:hAnsi="Arial" w:cs="Arial"/>
          <w:sz w:val="24"/>
          <w:szCs w:val="24"/>
          <w:lang w:val="en-GB"/>
        </w:rPr>
        <w:t xml:space="preserve">herefore, could be one of the first national studies in this field, based on this review. </w:t>
      </w:r>
    </w:p>
    <w:p w14:paraId="79CA0E98" w14:textId="1E7750D9" w:rsidR="00A31A3E" w:rsidRPr="009F6DDF" w:rsidRDefault="008F152E" w:rsidP="008F152E">
      <w:pPr>
        <w:autoSpaceDE w:val="0"/>
        <w:autoSpaceDN w:val="0"/>
        <w:adjustRightInd w:val="0"/>
        <w:spacing w:line="360" w:lineRule="auto"/>
        <w:jc w:val="both"/>
        <w:rPr>
          <w:rFonts w:ascii="Arial" w:hAnsi="Arial" w:cs="Arial"/>
          <w:sz w:val="24"/>
          <w:szCs w:val="24"/>
        </w:rPr>
      </w:pPr>
      <w:r w:rsidRPr="009F6DDF">
        <w:rPr>
          <w:rFonts w:ascii="Arial" w:hAnsi="Arial" w:cs="Arial"/>
          <w:sz w:val="24"/>
          <w:szCs w:val="24"/>
          <w:lang w:val="en-GB"/>
        </w:rPr>
        <w:t xml:space="preserve">The presence of the pharmacist in the team of PHCs in SA could potentially provide a high quality of patient care, as well as improving the delivery of healthcare services. To address the knowledge gap related pharmacists involvement in diabetes management at the Saudi MoH PHCs, this research explored the potential roles of pharmacists in diabetes care, perceptions of HCPs of those roles, and barriers and facilitators to pharmacists involvement in diabetes primary care management in </w:t>
      </w:r>
      <w:r w:rsidR="006912E4">
        <w:rPr>
          <w:rFonts w:ascii="Arial" w:hAnsi="Arial" w:cs="Arial"/>
          <w:sz w:val="24"/>
          <w:szCs w:val="24"/>
          <w:lang w:val="en-GB"/>
        </w:rPr>
        <w:t xml:space="preserve">the </w:t>
      </w:r>
      <w:r w:rsidRPr="009F6DDF">
        <w:rPr>
          <w:rFonts w:ascii="Arial" w:hAnsi="Arial" w:cs="Arial"/>
          <w:sz w:val="24"/>
          <w:szCs w:val="24"/>
          <w:lang w:val="en-GB"/>
        </w:rPr>
        <w:t xml:space="preserve">KSA. </w:t>
      </w:r>
    </w:p>
    <w:p w14:paraId="583D933F" w14:textId="77777777" w:rsidR="007802FC" w:rsidRDefault="007802FC">
      <w:pPr>
        <w:rPr>
          <w:lang w:val="en-GB"/>
        </w:rPr>
      </w:pPr>
      <w:r>
        <w:rPr>
          <w:lang w:val="en-GB"/>
        </w:rPr>
        <w:br w:type="page"/>
      </w:r>
    </w:p>
    <w:p w14:paraId="2BC18057" w14:textId="7E65F621" w:rsidR="00233314" w:rsidRPr="00D11D35" w:rsidRDefault="00233314" w:rsidP="00B6778D">
      <w:pPr>
        <w:pStyle w:val="Heading3"/>
        <w:spacing w:line="257" w:lineRule="auto"/>
        <w:ind w:left="504"/>
        <w:rPr>
          <w:lang w:val="en-GB"/>
        </w:rPr>
      </w:pPr>
      <w:bookmarkStart w:id="61" w:name="_Toc153894157"/>
      <w:r>
        <w:rPr>
          <w:lang w:val="en-GB"/>
        </w:rPr>
        <w:t>Barriers and</w:t>
      </w:r>
      <w:r w:rsidRPr="001968F5">
        <w:rPr>
          <w:lang w:val="en-GB"/>
        </w:rPr>
        <w:t xml:space="preserve"> facilitators of involvement of pharmacists to the diabetes care team</w:t>
      </w:r>
      <w:bookmarkEnd w:id="61"/>
    </w:p>
    <w:p w14:paraId="2199A5FF" w14:textId="39654E77" w:rsidR="00233314" w:rsidRPr="00D11D35" w:rsidRDefault="00233314" w:rsidP="00233314">
      <w:pPr>
        <w:rPr>
          <w:lang w:val="en-GB"/>
        </w:rPr>
      </w:pPr>
    </w:p>
    <w:p w14:paraId="6C92367D" w14:textId="77777777" w:rsidR="00941883" w:rsidRDefault="00941883" w:rsidP="00941883">
      <w:pPr>
        <w:autoSpaceDE w:val="0"/>
        <w:autoSpaceDN w:val="0"/>
        <w:adjustRightInd w:val="0"/>
        <w:spacing w:line="360" w:lineRule="auto"/>
        <w:jc w:val="both"/>
        <w:rPr>
          <w:rFonts w:ascii="Arial" w:hAnsi="Arial" w:cs="Arial"/>
          <w:sz w:val="24"/>
          <w:szCs w:val="24"/>
          <w:lang w:val="en"/>
        </w:rPr>
      </w:pPr>
      <w:r w:rsidRPr="00333C5A">
        <w:rPr>
          <w:rFonts w:ascii="Arial" w:hAnsi="Arial" w:cs="Arial"/>
          <w:sz w:val="24"/>
          <w:szCs w:val="24"/>
          <w:lang w:val="en"/>
        </w:rPr>
        <w:t xml:space="preserve">The literature review revealed several </w:t>
      </w:r>
      <w:r>
        <w:rPr>
          <w:rFonts w:ascii="Arial" w:hAnsi="Arial" w:cs="Arial"/>
          <w:sz w:val="24"/>
          <w:szCs w:val="24"/>
          <w:lang w:val="en"/>
        </w:rPr>
        <w:t xml:space="preserve">facilitators as well as </w:t>
      </w:r>
      <w:r w:rsidRPr="00333C5A">
        <w:rPr>
          <w:rFonts w:ascii="Arial" w:hAnsi="Arial" w:cs="Arial"/>
          <w:sz w:val="24"/>
          <w:szCs w:val="24"/>
          <w:lang w:val="en"/>
        </w:rPr>
        <w:t xml:space="preserve">barriers that </w:t>
      </w:r>
      <w:r>
        <w:rPr>
          <w:rFonts w:ascii="Arial" w:hAnsi="Arial" w:cs="Arial"/>
          <w:sz w:val="24"/>
          <w:szCs w:val="24"/>
          <w:lang w:val="en"/>
        </w:rPr>
        <w:t>influenced the degree to which</w:t>
      </w:r>
      <w:r w:rsidRPr="00333C5A">
        <w:rPr>
          <w:rFonts w:ascii="Arial" w:hAnsi="Arial" w:cs="Arial"/>
          <w:sz w:val="24"/>
          <w:szCs w:val="24"/>
          <w:lang w:val="en"/>
        </w:rPr>
        <w:t xml:space="preserve"> pharmacists </w:t>
      </w:r>
      <w:r>
        <w:rPr>
          <w:rFonts w:ascii="Arial" w:hAnsi="Arial" w:cs="Arial"/>
          <w:sz w:val="24"/>
          <w:szCs w:val="24"/>
          <w:lang w:val="en"/>
        </w:rPr>
        <w:t xml:space="preserve">could </w:t>
      </w:r>
      <w:r w:rsidRPr="00333C5A">
        <w:rPr>
          <w:rFonts w:ascii="Arial" w:hAnsi="Arial" w:cs="Arial"/>
          <w:sz w:val="24"/>
          <w:szCs w:val="24"/>
          <w:lang w:val="en"/>
        </w:rPr>
        <w:t>provid</w:t>
      </w:r>
      <w:r>
        <w:rPr>
          <w:rFonts w:ascii="Arial" w:hAnsi="Arial" w:cs="Arial"/>
          <w:sz w:val="24"/>
          <w:szCs w:val="24"/>
          <w:lang w:val="en"/>
        </w:rPr>
        <w:t>e</w:t>
      </w:r>
      <w:r w:rsidRPr="00333C5A">
        <w:rPr>
          <w:rFonts w:ascii="Arial" w:hAnsi="Arial" w:cs="Arial"/>
          <w:sz w:val="24"/>
          <w:szCs w:val="24"/>
          <w:lang w:val="en"/>
        </w:rPr>
        <w:t xml:space="preserve"> clinical activities to patients with DM. </w:t>
      </w:r>
    </w:p>
    <w:p w14:paraId="404148AE" w14:textId="5C765EA9" w:rsidR="00941883" w:rsidRPr="00454D03" w:rsidRDefault="00941883" w:rsidP="00107A97">
      <w:pPr>
        <w:pStyle w:val="Heading4"/>
        <w:numPr>
          <w:ilvl w:val="3"/>
          <w:numId w:val="1"/>
        </w:numPr>
        <w:tabs>
          <w:tab w:val="left" w:pos="900"/>
          <w:tab w:val="left" w:pos="990"/>
          <w:tab w:val="left" w:pos="1170"/>
          <w:tab w:val="left" w:pos="1260"/>
          <w:tab w:val="left" w:pos="1350"/>
          <w:tab w:val="left" w:pos="1710"/>
          <w:tab w:val="left" w:pos="2160"/>
          <w:tab w:val="left" w:pos="2340"/>
          <w:tab w:val="left" w:pos="2520"/>
        </w:tabs>
        <w:spacing w:line="257" w:lineRule="auto"/>
        <w:ind w:left="648"/>
        <w:rPr>
          <w:rFonts w:asciiTheme="minorBidi" w:hAnsiTheme="minorBidi" w:cstheme="minorBidi"/>
          <w:sz w:val="24"/>
          <w:szCs w:val="24"/>
          <w:lang w:val="en-GB"/>
        </w:rPr>
      </w:pPr>
      <w:r w:rsidRPr="00454D03">
        <w:rPr>
          <w:rFonts w:asciiTheme="minorBidi" w:hAnsiTheme="minorBidi" w:cstheme="minorBidi"/>
          <w:sz w:val="24"/>
          <w:szCs w:val="24"/>
          <w:lang w:val="en-GB"/>
        </w:rPr>
        <w:t xml:space="preserve">Barriers to pharmacists’ involvement in primary healthcare teams </w:t>
      </w:r>
    </w:p>
    <w:p w14:paraId="221876BC" w14:textId="6EDA68C0" w:rsidR="00932A59" w:rsidRPr="00AA45DE" w:rsidRDefault="00932A59" w:rsidP="00AA45DE">
      <w:pPr>
        <w:autoSpaceDE w:val="0"/>
        <w:autoSpaceDN w:val="0"/>
        <w:adjustRightInd w:val="0"/>
        <w:spacing w:before="240" w:line="360" w:lineRule="auto"/>
        <w:jc w:val="both"/>
        <w:rPr>
          <w:rFonts w:ascii="Arial" w:hAnsi="Arial" w:cs="Arial"/>
          <w:sz w:val="24"/>
          <w:szCs w:val="24"/>
          <w:lang w:val="en"/>
        </w:rPr>
      </w:pPr>
      <w:r w:rsidRPr="00E93BFC">
        <w:rPr>
          <w:rFonts w:ascii="Arial" w:hAnsi="Arial" w:cs="Arial"/>
          <w:sz w:val="24"/>
          <w:szCs w:val="24"/>
          <w:lang w:val="en"/>
        </w:rPr>
        <w:t xml:space="preserve">The barriers were reported by some researchers such as </w:t>
      </w:r>
      <w:r w:rsidRPr="00107A97">
        <w:rPr>
          <w:rFonts w:ascii="Arial" w:hAnsi="Arial" w:cs="Arial"/>
          <w:sz w:val="24"/>
          <w:szCs w:val="24"/>
        </w:rPr>
        <w:t xml:space="preserve"> </w:t>
      </w:r>
      <w:r w:rsidRPr="00107A97">
        <w:rPr>
          <w:rFonts w:ascii="Arial" w:hAnsi="Arial" w:cs="Arial"/>
          <w:sz w:val="24"/>
          <w:szCs w:val="24"/>
          <w:lang w:val="en"/>
        </w:rPr>
        <w:fldChar w:fldCharType="begin" w:fldLock="1"/>
      </w:r>
      <w:r w:rsidRPr="00107A97">
        <w:rPr>
          <w:rFonts w:ascii="Arial" w:hAnsi="Arial" w:cs="Arial"/>
          <w:sz w:val="24"/>
          <w:szCs w:val="24"/>
          <w:lang w:val="en"/>
        </w:rPr>
        <w:instrText>ADDIN CSL_CITATION {"citationItems":[{"id":"ITEM-1","itemData":{"DOI":"10.2146/ajhp080139","ISBN":"3016648601","ISSN":"10792082","PMID":"19299368","author":[{"dropping-particle":"","family":"Choe","given":"Hae Mi","non-dropping-particle":"","parse-names":false,"suffix":""},{"dropping-particle":"","family":"Bernstein","given":"Steven J.","non-dropping-particle":"","parse-names":false,"suffix":""},{"dropping-particle":"","family":"Mueller","given":"Bruce A.","non-dropping-particle":"","parse-names":false,"suffix":""},{"dropping-particle":"","family":"Walker","given":"Paul C.","non-dropping-particle":"","parse-names":false,"suffix":""},{"dropping-particle":"","family":"Stevenson","given":"James G.","non-dropping-particle":"","parse-names":false,"suffix":""},{"dropping-particle":"","family":"Standiford","given":"Connie J.","non-dropping-particle":"","parse-names":false,"suffix":""}],"container-title":"American Journal of Health-System Pharmacy","id":"ITEM-1","issue":"7","issued":{"date-parts":[["2009"]]},"page":"622-624","title":"Pharmacist leads primary care team to improve diabetes care","type":"article-journal","volume":"66"},"uris":["http://www.mendeley.com/documents/?uuid=06c679af-a230-4d7c-873e-4f2f6209f994"]}],"mendeley":{"formattedCitation":"(Choe &lt;i&gt;et al.&lt;/i&gt;, 2009)","manualFormatting":"Choe et al., (2009)","plainTextFormattedCitation":"(Choe et al., 2009)","previouslyFormattedCitation":"(Choe &lt;i&gt;et al.&lt;/i&gt;, 2009)"},"properties":{"noteIndex":0},"schema":"https://github.com/citation-style-language/schema/raw/master/csl-citation.json"}</w:instrText>
      </w:r>
      <w:r w:rsidRPr="00107A97">
        <w:rPr>
          <w:rFonts w:ascii="Arial" w:hAnsi="Arial" w:cs="Arial"/>
          <w:sz w:val="24"/>
          <w:szCs w:val="24"/>
          <w:lang w:val="en"/>
        </w:rPr>
        <w:fldChar w:fldCharType="separate"/>
      </w:r>
      <w:r w:rsidRPr="00107A97">
        <w:rPr>
          <w:rFonts w:ascii="Arial" w:hAnsi="Arial" w:cs="Arial"/>
          <w:noProof/>
          <w:sz w:val="24"/>
          <w:szCs w:val="24"/>
          <w:lang w:val="en"/>
        </w:rPr>
        <w:t xml:space="preserve">Choe </w:t>
      </w:r>
      <w:r w:rsidRPr="00107A97">
        <w:rPr>
          <w:rFonts w:ascii="Arial" w:hAnsi="Arial" w:cs="Arial"/>
          <w:i/>
          <w:noProof/>
          <w:sz w:val="24"/>
          <w:szCs w:val="24"/>
          <w:lang w:val="en"/>
        </w:rPr>
        <w:t>et al.</w:t>
      </w:r>
      <w:r w:rsidRPr="00107A97">
        <w:rPr>
          <w:rFonts w:ascii="Arial" w:hAnsi="Arial" w:cs="Arial"/>
          <w:noProof/>
          <w:sz w:val="24"/>
          <w:szCs w:val="24"/>
          <w:lang w:val="en"/>
        </w:rPr>
        <w:t>, (2009)</w:t>
      </w:r>
      <w:r w:rsidRPr="00107A97">
        <w:rPr>
          <w:rFonts w:ascii="Arial" w:hAnsi="Arial" w:cs="Arial"/>
          <w:sz w:val="24"/>
          <w:szCs w:val="24"/>
          <w:lang w:val="en"/>
        </w:rPr>
        <w:fldChar w:fldCharType="end"/>
      </w:r>
      <w:r w:rsidRPr="00107A97">
        <w:rPr>
          <w:rFonts w:ascii="Arial" w:hAnsi="Arial" w:cs="Arial"/>
          <w:sz w:val="24"/>
          <w:szCs w:val="24"/>
          <w:lang w:val="en"/>
        </w:rPr>
        <w:t xml:space="preserve">, </w:t>
      </w:r>
      <w:r w:rsidRPr="00107A97">
        <w:rPr>
          <w:rFonts w:ascii="Arial" w:hAnsi="Arial" w:cs="Arial"/>
          <w:sz w:val="24"/>
          <w:szCs w:val="24"/>
          <w:lang w:val="en"/>
        </w:rPr>
        <w:fldChar w:fldCharType="begin" w:fldLock="1"/>
      </w:r>
      <w:r w:rsidRPr="00107A97">
        <w:rPr>
          <w:rFonts w:ascii="Arial" w:hAnsi="Arial" w:cs="Arial"/>
          <w:sz w:val="24"/>
          <w:szCs w:val="24"/>
          <w:lang w:val="en"/>
        </w:rPr>
        <w:instrText>ADDIN CSL_CITATION {"citationItems":[{"id":"ITEM-1","itemData":{"ISSN":"14668955","abstract":"Diabetes is one of the primary causes of death and disability globally, affecting over 371 million people, which is said to rise to 552 million people by 2030 (International Diabetes Federation, 2012). Current estimates suggest that there are over 3 million people in England with diabetes, of whom roughly a quarter are undiagnosed (Holman et al, 2011). The prevalence of diabetes is higher in developed countries than in developing countries but as developing countries become more industrialised, the incidence of diabetes will also increase. In the UK, it is estimated that the cost of treating diabetes and its related complications is approximately £14 billion (around 85% of that being due to type 2 diabetes), accounting for around 10% of the total NHS expenditure for England and Wales (Kanavos et al, 2012). In 2012, around 4.8 million deaths resulted from the disease and its associated complications worldwide (International Diabetes Federation, 2012). Diabetes has been stated to be the underlying</w:instrText>
      </w:r>
      <w:r w:rsidRPr="00BD7856">
        <w:rPr>
          <w:rFonts w:ascii="Arial" w:hAnsi="Arial" w:cs="Arial"/>
          <w:sz w:val="24"/>
          <w:szCs w:val="24"/>
          <w:lang w:val="nl-NL"/>
        </w:rPr>
        <w:instrText xml:space="preserve"> cause of 12% of all new cases of legal blindness, over one third of new cases of end-stage renal disease and approximately half of non-traumatic lower-extremity amputations. It has also been indicated that people with diabetes are two to four times </w:instrText>
      </w:r>
      <w:r w:rsidRPr="00107A97">
        <w:rPr>
          <w:rFonts w:ascii="Arial" w:hAnsi="Arial" w:cs="Arial"/>
          <w:sz w:val="24"/>
          <w:szCs w:val="24"/>
          <w:lang w:val="nl-NL"/>
        </w:rPr>
        <w:instrText>more likely to die from heart disease or suffer a stoke (Powers, 2001).","author":[{"dropping-particle":"","family":"Khunti","given":"Nitisha","non-dropping-particle":"","parse-names":false,"suffix":""},{"dropping-particle":"","family":"Willis","given":"Andrew","non-dropping-particle":"","parse-names":false,"suffix":""},{"dropping-particle":"","family":"Davies","given":"Melanie","non-dropping-particle":"","parse-names":false,"suffix":""},{"dropping-particle":"","family":"Khunti","given":"Kamlesh","non-dropping-particle":"","parse-names":false,"suffix":""}],"container-title":"Diabetes and Primary Care","id":"ITEM-1","issue":"3","issued":{"date-parts":[["2013"]]},"page":"131-140","title":"The role of pharmacists in the management of type 2 diabetes: A literature review","type":"article-journal","volume":"15"},"uris":["http://www.mendeley.com/documents/?uuid=6900c8a1-9e62-438f-95c1-aed9be81e4d2"]}],"mendeley":{"formattedCitation":"(Khunti &lt;i&gt;et al.&lt;/i&gt;, 2013)","manualFormatting":"Khunti et al., (2013)","plainTextFormattedCitation":"(Khunti et al., 2013)","previouslyFormattedCitation":"(Khunti &lt;i&gt;et al.&lt;/i&gt;, 2013)"},"properties":{"noteIndex":0},"schema":"https://github.com/citation-style-language/schema/raw/master/csl-citation.json"}</w:instrText>
      </w:r>
      <w:r w:rsidRPr="00107A97">
        <w:rPr>
          <w:rFonts w:ascii="Arial" w:hAnsi="Arial" w:cs="Arial"/>
          <w:sz w:val="24"/>
          <w:szCs w:val="24"/>
          <w:lang w:val="en"/>
        </w:rPr>
        <w:fldChar w:fldCharType="separate"/>
      </w:r>
      <w:r w:rsidRPr="00107A97">
        <w:rPr>
          <w:rFonts w:ascii="Arial" w:hAnsi="Arial" w:cs="Arial"/>
          <w:noProof/>
          <w:sz w:val="24"/>
          <w:szCs w:val="24"/>
          <w:lang w:val="nl-NL"/>
        </w:rPr>
        <w:t xml:space="preserve">Khunti </w:t>
      </w:r>
      <w:r w:rsidRPr="00107A97">
        <w:rPr>
          <w:rFonts w:ascii="Arial" w:hAnsi="Arial" w:cs="Arial"/>
          <w:i/>
          <w:noProof/>
          <w:sz w:val="24"/>
          <w:szCs w:val="24"/>
          <w:lang w:val="nl-NL"/>
        </w:rPr>
        <w:t>et al.</w:t>
      </w:r>
      <w:r w:rsidRPr="00107A97">
        <w:rPr>
          <w:rFonts w:ascii="Arial" w:hAnsi="Arial" w:cs="Arial"/>
          <w:noProof/>
          <w:sz w:val="24"/>
          <w:szCs w:val="24"/>
          <w:lang w:val="nl-NL"/>
        </w:rPr>
        <w:t>, (2013)</w:t>
      </w:r>
      <w:r w:rsidRPr="00107A97">
        <w:rPr>
          <w:rFonts w:ascii="Arial" w:hAnsi="Arial" w:cs="Arial"/>
          <w:sz w:val="24"/>
          <w:szCs w:val="24"/>
          <w:lang w:val="en"/>
        </w:rPr>
        <w:fldChar w:fldCharType="end"/>
      </w:r>
      <w:r w:rsidRPr="00E93BFC">
        <w:rPr>
          <w:rFonts w:ascii="Arial" w:hAnsi="Arial" w:cs="Arial"/>
          <w:sz w:val="24"/>
          <w:szCs w:val="24"/>
          <w:lang w:val="nl-NL"/>
        </w:rPr>
        <w:t>, Al-Taweel et al. (2014), Albekairy et al. (2015), Hassali et al. (2015), Moreno et al. (2017), Al Haqan et al. (2017</w:t>
      </w:r>
      <w:r w:rsidRPr="00107A97">
        <w:rPr>
          <w:rFonts w:ascii="Arial" w:hAnsi="Arial" w:cs="Arial"/>
          <w:sz w:val="24"/>
          <w:szCs w:val="24"/>
          <w:lang w:val="nl-NL"/>
        </w:rPr>
        <w:t xml:space="preserve">), Duncan et al., </w:t>
      </w:r>
      <w:r w:rsidR="00AA45DE">
        <w:rPr>
          <w:rFonts w:ascii="Arial" w:hAnsi="Arial" w:cs="Arial"/>
          <w:sz w:val="24"/>
          <w:szCs w:val="24"/>
          <w:lang w:val="nl-NL"/>
        </w:rPr>
        <w:t>(</w:t>
      </w:r>
      <w:r w:rsidRPr="00AA45DE">
        <w:rPr>
          <w:rFonts w:ascii="Arial" w:hAnsi="Arial" w:cs="Arial"/>
          <w:sz w:val="24"/>
          <w:szCs w:val="24"/>
          <w:lang w:val="nl-NL"/>
        </w:rPr>
        <w:t xml:space="preserve">2020), </w:t>
      </w:r>
      <w:r w:rsidRPr="00107A97">
        <w:rPr>
          <w:rFonts w:ascii="Arial" w:hAnsi="Arial" w:cs="Arial"/>
          <w:sz w:val="24"/>
          <w:szCs w:val="24"/>
          <w:lang w:val="en"/>
        </w:rPr>
        <w:fldChar w:fldCharType="begin" w:fldLock="1"/>
      </w:r>
      <w:r w:rsidR="00BC4C49">
        <w:rPr>
          <w:rFonts w:ascii="Arial" w:hAnsi="Arial" w:cs="Arial"/>
          <w:sz w:val="24"/>
          <w:szCs w:val="24"/>
          <w:lang w:val="nl-NL"/>
        </w:rPr>
        <w:instrText>ADDIN CSL_CITATION {"citationItems":[{"id":"ITEM-1","itemData":{"DOI":"10.3390/ijerph19106188","ISSN":"16604601","PMID":"35627724","abstract":"Type 2 diabetes mellitus has been assessed as a widespread disease globally. Unfortunately, this illness can occasionally go undetected and without symptoms until it reaches the emergency condition, and this can be notably true in patients who do not receive routine medical care. Pharmacists are the foremost accessible health care providers. They can help patients select the most appropriate hypoglycemic management strategy through their experiences. This review aimed to provide an overview of the literature published on community pharmacists’ interventions that are currently used and their usefulness in improving patient adherence and glycosylated hemoglobin (HbA1c) levels. Relevant studies were retrieved through a comprehensive search of three databases, PubMed/Medline, Web of Science, and CINAHL (2010 to 2020). In total, 8362 publications were identified. The final protocol was based on the “Preferred Reporting Items for Systematic Review and Meta-Analysis (PRISMA)”. After applying inclusion and exclusion measures, 21 articles were deemed relevant. In pharmacists’ interventions in diabetes care, patient education and counseling were the most common intervention methods. Essentially, this systematic review provides evidence and identifies the key features that may predict success in enhancing clinical outcomes and patient adherence to treatment. Based on our findings, we suggest further investigations of the root causes of non-adherence problems.","author":[{"dropping-particle":"","family":"Assaf","given":"Sarah","non-dropping-particle":"Al","parse-names":false,"suffix":""},{"dropping-particle":"","family":"Zelko","given":"Romana","non-dropping-particle":"","parse-names":false,"suffix":""},{"dropping-particle":"","family":"Hanko","given":"Balazs","non-dropping-particle":"","parse-names":false,"suffix":""}],"container-title":"International Journal of Environmental Research and Public Health","id":"ITEM-1","issue":"10","issued":{"date-parts":[["2022"]]},"title":"The Effect of Interventions Led by Community Pharmacists in Primary Care for Adults with Type 2 Diabetes Mellitus on Therapeutic Adherence and HbA1c Levels: A Systematic Review","type":"article-journal","volume":"19"},"uris":["http://www.mendeley.com/documents/?uuid=03eb66c1-df31-4fbe-8973-6fb41167a258"]}],"mendeley":{"formattedCitation":"(Al Assaf, Zelko and Hanko, 2022)","manualFormatting":"Al Assaf et al., (2022)","plainTextFormattedCitation":"(Al Assaf, Zelko and Hanko, 2022)","previouslyFormattedCitation":"(Al Assaf, Zelko and Hanko, 2022)"},"properties":{"noteIndex":0},"schema":"https://github.com/citation-style-language/schema/raw/master/csl-citation.json"}</w:instrText>
      </w:r>
      <w:r w:rsidRPr="00107A97">
        <w:rPr>
          <w:rFonts w:ascii="Arial" w:hAnsi="Arial" w:cs="Arial"/>
          <w:sz w:val="24"/>
          <w:szCs w:val="24"/>
          <w:lang w:val="en"/>
        </w:rPr>
        <w:fldChar w:fldCharType="separate"/>
      </w:r>
      <w:r w:rsidRPr="00AA45DE">
        <w:rPr>
          <w:rFonts w:ascii="Arial" w:hAnsi="Arial" w:cs="Arial"/>
          <w:noProof/>
          <w:sz w:val="24"/>
          <w:szCs w:val="24"/>
        </w:rPr>
        <w:t>Al Assaf</w:t>
      </w:r>
      <w:r w:rsidRPr="00AA45DE">
        <w:rPr>
          <w:rFonts w:ascii="Arial" w:hAnsi="Arial" w:cs="Arial"/>
          <w:noProof/>
          <w:sz w:val="24"/>
          <w:szCs w:val="24"/>
          <w:lang w:val="nl-NL"/>
        </w:rPr>
        <w:t xml:space="preserve"> et al.</w:t>
      </w:r>
      <w:r w:rsidRPr="00AA45DE">
        <w:rPr>
          <w:rFonts w:ascii="Arial" w:hAnsi="Arial" w:cs="Arial"/>
          <w:noProof/>
          <w:sz w:val="24"/>
          <w:szCs w:val="24"/>
        </w:rPr>
        <w:t xml:space="preserve">, </w:t>
      </w:r>
      <w:r w:rsidR="00AA45DE">
        <w:rPr>
          <w:rFonts w:ascii="Arial" w:hAnsi="Arial" w:cs="Arial"/>
          <w:noProof/>
          <w:sz w:val="24"/>
          <w:szCs w:val="24"/>
        </w:rPr>
        <w:t>(</w:t>
      </w:r>
      <w:r w:rsidRPr="00AA45DE">
        <w:rPr>
          <w:rFonts w:ascii="Arial" w:hAnsi="Arial" w:cs="Arial"/>
          <w:noProof/>
          <w:sz w:val="24"/>
          <w:szCs w:val="24"/>
        </w:rPr>
        <w:t>2022)</w:t>
      </w:r>
      <w:r w:rsidRPr="00107A97">
        <w:rPr>
          <w:rFonts w:ascii="Arial" w:hAnsi="Arial" w:cs="Arial"/>
          <w:sz w:val="24"/>
          <w:szCs w:val="24"/>
          <w:lang w:val="en"/>
        </w:rPr>
        <w:fldChar w:fldCharType="end"/>
      </w:r>
      <w:r w:rsidRPr="00AA45DE">
        <w:rPr>
          <w:rFonts w:ascii="Arial" w:hAnsi="Arial" w:cs="Arial"/>
          <w:sz w:val="24"/>
          <w:szCs w:val="24"/>
          <w:lang w:val="en"/>
        </w:rPr>
        <w:t>, and</w:t>
      </w:r>
      <w:r w:rsidRPr="00AA45DE">
        <w:rPr>
          <w:rFonts w:ascii="Arial" w:hAnsi="Arial" w:cs="Arial"/>
          <w:sz w:val="24"/>
          <w:szCs w:val="24"/>
          <w:lang w:val="nl-NL"/>
        </w:rPr>
        <w:t xml:space="preserve"> </w:t>
      </w:r>
      <w:r w:rsidRPr="00107A97">
        <w:rPr>
          <w:rFonts w:ascii="Arial" w:hAnsi="Arial" w:cs="Arial"/>
          <w:sz w:val="24"/>
          <w:szCs w:val="24"/>
          <w:lang w:val="en"/>
        </w:rPr>
        <w:fldChar w:fldCharType="begin" w:fldLock="1"/>
      </w:r>
      <w:r w:rsidR="00BC4C49">
        <w:rPr>
          <w:rFonts w:ascii="Arial" w:hAnsi="Arial" w:cs="Arial"/>
          <w:sz w:val="24"/>
          <w:szCs w:val="24"/>
          <w:lang w:val="nl-NL"/>
        </w:rPr>
        <w:instrText>ADDIN CSL_CITATION {"citationItems":[{"id":"ITEM-1","itemData":{"DOI":"10.3389/fphar.2023.1098207","ISSN":"16639812","abstract":"Background: Physician-pharmacist collaboration is a well-established care mode for the management of type 2 diabetes mellitus (T2DM) in developed countries, but no study has been conducted in primary healthcare in China. This study aims to evaluate the effects of physician-pharmacist collaborative clinics to manage T2DM in primary healthcare in China, and to better understand the factors influencing the implementation of physician-pharmacist collaborative clinics. Methods: Two hundred and sixty-seven patients involved in a 12-month randomized controlled trial were assigned to physician-pharmacist collaborative clinics and usual clinics, completing surveys regarding medication compliance, quality of life (QoL) and care-seeking behavior at the baseline, 3rd, 6th, 9th and 12th month respectively, and diabetes knowledge at baseline and 12th month. A sample of twenty-two Patients, nine physicians and twelve pharmacists participated in semi-structured face-to-face interviews. The quantitative and qualitative data was integrated by triangulation. Results: Patients in physician-pharmacist collaborative clinics had significant improvements in medication compliance (p = 0.009), QoL (p = 0.036) and emergency visits (p = 0.003) over the 12-month. Pairwise comparison showed the medication compliance score in the intervention group had been significantly improved at 3rd month (p = 0.001), which is more rapidly than that in the control group at 9th month (p = 0.030). Factors influencing the implementation of physician-pharmacist collaborative clinics were driven by five themes: pharmaceutical service, team-base care, psychological support, acceptability of care and barriers to implementation. Conclusion: Integration of quantitative and qualitative findings showed the effectiveness of physician-pharmacist collaborative clinics in patient medication compliance and QoL in primary healthcare. The qualitative study uncovered barriers in insufficient clinical experience and understaffing of pharmacist. Therefore, the professional training of the primary pharmacist team should be improved in the future. Clinical Trial Registration: clinicaltrials.gov, identifier ChiCTR2000031839.","author":[{"dropping-particle":"","family":"Xiao","given":"Jie","non-dropping-particle":"","parse-names":false,"suffix":""},{"dropping-particle":"","family":"Wang","given":"Qing","non-dropping-particle":"","parse-names":</w:instrText>
      </w:r>
      <w:r w:rsidR="00BC4C49" w:rsidRPr="00107A97">
        <w:rPr>
          <w:rFonts w:ascii="Arial" w:hAnsi="Arial" w:cs="Arial"/>
          <w:sz w:val="24"/>
          <w:szCs w:val="24"/>
        </w:rPr>
        <w:instrText>false,"suffix":""},{"dropping-particle":"","family":"Tan","given":"Shenglan","non-dropping-particle":"","parse-names":false,"suffix":""},{"dropping-particle":"","family":"Chen","given":"Lei","non-dropping-particle":"","parse-names":false,"suffix":""},{"dropping-particle":"","family":"Tang","given":"Bingjie","non-dropping-particle":"","parse-names":false,"suffix":""},{"dropping-particle":"","family":"Huang","given":"Shuting","non-dropping-particle":"","parse-names":false,"suffix":""},{"dropping-particle":"","family":"Zhou","given":"Yangang","non-dropping-particle":"","parse-names":false,"suffix":""},{"dropping-particle":"","family":"Xu","given":"Ping","non-dropping-particle":"","parse-names":false,"suffix":""}],"container-title":"Frontiers in Pharmacology","id":"ITEM-1","issue":"March","issued":{"date-parts":[["2023"]]},"page":"1-15","title":"Analysis of patient medication compliance and quality of life of physician-pharmacist collaborative clinics for T2DM management in primary healthcare in China: A mixed-methods study","type":"article-journal","volume":"14"},"uris":["http://www.mendeley.com/documents/?uuid=679e88fc-bc3d-4c75-8576-9e7b3d6c7abb"]}],"mendeley":{"formattedCitation":"(Xiao &lt;i&gt;et al.&lt;/i&gt;, 2023)","manualFormatting":"Xiao et al., (2023)","plainTextFormattedCitation":"(Xiao et al., 2023)","previouslyFormattedCitation":"(Xiao &lt;i&gt;et al.&lt;/i&gt;, 2023)"},"properties":{"noteIndex":0},"schema":"https://github.com/citation-style-language/schema/raw/master/csl-citation.json"}</w:instrText>
      </w:r>
      <w:r w:rsidRPr="00107A97">
        <w:rPr>
          <w:rFonts w:ascii="Arial" w:hAnsi="Arial" w:cs="Arial"/>
          <w:sz w:val="24"/>
          <w:szCs w:val="24"/>
          <w:lang w:val="en"/>
        </w:rPr>
        <w:fldChar w:fldCharType="separate"/>
      </w:r>
      <w:r w:rsidRPr="00AA45DE">
        <w:rPr>
          <w:rFonts w:ascii="Arial" w:hAnsi="Arial" w:cs="Arial"/>
          <w:noProof/>
          <w:sz w:val="24"/>
          <w:szCs w:val="24"/>
        </w:rPr>
        <w:t xml:space="preserve">Xiao </w:t>
      </w:r>
      <w:r w:rsidRPr="00AA45DE">
        <w:rPr>
          <w:rFonts w:ascii="Arial" w:hAnsi="Arial" w:cs="Arial"/>
          <w:i/>
          <w:noProof/>
          <w:sz w:val="24"/>
          <w:szCs w:val="24"/>
        </w:rPr>
        <w:t>et al.</w:t>
      </w:r>
      <w:r w:rsidRPr="00AA45DE">
        <w:rPr>
          <w:rFonts w:ascii="Arial" w:hAnsi="Arial" w:cs="Arial"/>
          <w:noProof/>
          <w:sz w:val="24"/>
          <w:szCs w:val="24"/>
        </w:rPr>
        <w:t xml:space="preserve">, </w:t>
      </w:r>
      <w:r w:rsidR="00AA45DE">
        <w:rPr>
          <w:rFonts w:ascii="Arial" w:hAnsi="Arial" w:cs="Arial"/>
          <w:noProof/>
          <w:sz w:val="24"/>
          <w:szCs w:val="24"/>
        </w:rPr>
        <w:t>(</w:t>
      </w:r>
      <w:r w:rsidRPr="00AA45DE">
        <w:rPr>
          <w:rFonts w:ascii="Arial" w:hAnsi="Arial" w:cs="Arial"/>
          <w:noProof/>
          <w:sz w:val="24"/>
          <w:szCs w:val="24"/>
        </w:rPr>
        <w:t>2023)</w:t>
      </w:r>
      <w:r w:rsidRPr="00107A97">
        <w:rPr>
          <w:rFonts w:ascii="Arial" w:hAnsi="Arial" w:cs="Arial"/>
          <w:sz w:val="24"/>
          <w:szCs w:val="24"/>
          <w:lang w:val="en"/>
        </w:rPr>
        <w:fldChar w:fldCharType="end"/>
      </w:r>
      <w:r w:rsidRPr="00AA45DE">
        <w:rPr>
          <w:rFonts w:ascii="Arial" w:hAnsi="Arial" w:cs="Arial"/>
          <w:sz w:val="24"/>
          <w:szCs w:val="24"/>
        </w:rPr>
        <w:t xml:space="preserve">. </w:t>
      </w:r>
      <w:r w:rsidRPr="00AA45DE">
        <w:rPr>
          <w:rFonts w:ascii="Arial" w:hAnsi="Arial" w:cs="Arial"/>
          <w:sz w:val="24"/>
          <w:szCs w:val="24"/>
          <w:lang w:val="en"/>
        </w:rPr>
        <w:t xml:space="preserve">The common barriers are summarised in the table below: </w:t>
      </w:r>
    </w:p>
    <w:p w14:paraId="3FFF344C" w14:textId="77777777" w:rsidR="00296FB7" w:rsidRPr="00107A97" w:rsidRDefault="00296FB7" w:rsidP="00107A97">
      <w:pPr>
        <w:rPr>
          <w:lang w:val="en-GB"/>
        </w:rPr>
      </w:pPr>
    </w:p>
    <w:p w14:paraId="1B4936BA" w14:textId="3B01582B" w:rsidR="00941883" w:rsidRDefault="00941883" w:rsidP="00941883">
      <w:pPr>
        <w:pStyle w:val="Caption"/>
        <w:keepNext/>
        <w:rPr>
          <w:sz w:val="22"/>
          <w:szCs w:val="22"/>
        </w:rPr>
      </w:pPr>
      <w:bookmarkStart w:id="62" w:name="_Ref41829006"/>
      <w:bookmarkStart w:id="63" w:name="_Toc41920369"/>
      <w:bookmarkStart w:id="64" w:name="_Toc153894560"/>
      <w:r w:rsidRPr="00DE35BE">
        <w:rPr>
          <w:sz w:val="22"/>
          <w:szCs w:val="22"/>
        </w:rPr>
        <w:t xml:space="preserve">Table </w:t>
      </w:r>
      <w:r w:rsidRPr="00DE35BE">
        <w:rPr>
          <w:sz w:val="22"/>
          <w:szCs w:val="22"/>
        </w:rPr>
        <w:fldChar w:fldCharType="begin"/>
      </w:r>
      <w:r w:rsidRPr="00DE35BE">
        <w:rPr>
          <w:sz w:val="22"/>
          <w:szCs w:val="22"/>
        </w:rPr>
        <w:instrText xml:space="preserve"> SEQ Table \* ARABIC </w:instrText>
      </w:r>
      <w:r w:rsidRPr="00DE35BE">
        <w:rPr>
          <w:sz w:val="22"/>
          <w:szCs w:val="22"/>
        </w:rPr>
        <w:fldChar w:fldCharType="separate"/>
      </w:r>
      <w:r w:rsidR="009B31EB">
        <w:rPr>
          <w:noProof/>
          <w:sz w:val="22"/>
          <w:szCs w:val="22"/>
        </w:rPr>
        <w:t>6</w:t>
      </w:r>
      <w:r w:rsidRPr="00DE35BE">
        <w:rPr>
          <w:noProof/>
          <w:sz w:val="22"/>
          <w:szCs w:val="22"/>
        </w:rPr>
        <w:fldChar w:fldCharType="end"/>
      </w:r>
      <w:bookmarkEnd w:id="62"/>
      <w:r w:rsidRPr="00DE35BE">
        <w:rPr>
          <w:sz w:val="22"/>
          <w:szCs w:val="22"/>
        </w:rPr>
        <w:t xml:space="preserve">: Barriers </w:t>
      </w:r>
      <w:r>
        <w:rPr>
          <w:sz w:val="22"/>
          <w:szCs w:val="22"/>
        </w:rPr>
        <w:t>to</w:t>
      </w:r>
      <w:r w:rsidRPr="00DE35BE">
        <w:rPr>
          <w:sz w:val="22"/>
          <w:szCs w:val="22"/>
        </w:rPr>
        <w:t xml:space="preserve"> the involvement of pharmacists </w:t>
      </w:r>
      <w:r>
        <w:rPr>
          <w:sz w:val="22"/>
          <w:szCs w:val="22"/>
        </w:rPr>
        <w:t>in</w:t>
      </w:r>
      <w:r w:rsidRPr="00DE35BE">
        <w:rPr>
          <w:sz w:val="22"/>
          <w:szCs w:val="22"/>
        </w:rPr>
        <w:t xml:space="preserve"> diabetes care team</w:t>
      </w:r>
      <w:bookmarkEnd w:id="63"/>
      <w:bookmarkEnd w:id="64"/>
    </w:p>
    <w:tbl>
      <w:tblPr>
        <w:tblW w:w="9983" w:type="dxa"/>
        <w:tblLook w:val="04A0" w:firstRow="1" w:lastRow="0" w:firstColumn="1" w:lastColumn="0" w:noHBand="0" w:noVBand="1"/>
      </w:tblPr>
      <w:tblGrid>
        <w:gridCol w:w="4165"/>
        <w:gridCol w:w="5818"/>
      </w:tblGrid>
      <w:tr w:rsidR="00941883" w:rsidRPr="001B4421" w14:paraId="39BAFDDE" w14:textId="77777777" w:rsidTr="00282204">
        <w:trPr>
          <w:trHeight w:val="290"/>
        </w:trPr>
        <w:tc>
          <w:tcPr>
            <w:tcW w:w="4165" w:type="dxa"/>
            <w:tcBorders>
              <w:bottom w:val="single" w:sz="4" w:space="0" w:color="auto"/>
            </w:tcBorders>
            <w:shd w:val="clear" w:color="000000" w:fill="F2F2F2"/>
            <w:vAlign w:val="center"/>
            <w:hideMark/>
          </w:tcPr>
          <w:p w14:paraId="62C53FBB" w14:textId="77777777" w:rsidR="00941883" w:rsidRPr="001B4421" w:rsidRDefault="00941883" w:rsidP="00282204">
            <w:pPr>
              <w:spacing w:after="0" w:line="240" w:lineRule="auto"/>
              <w:rPr>
                <w:rFonts w:eastAsia="Times New Roman" w:cstheme="minorHAnsi"/>
                <w:color w:val="000000"/>
                <w:sz w:val="24"/>
                <w:szCs w:val="24"/>
              </w:rPr>
            </w:pPr>
            <w:r w:rsidRPr="001B4421">
              <w:rPr>
                <w:rFonts w:eastAsia="Times New Roman" w:cstheme="minorHAnsi"/>
                <w:color w:val="000000"/>
                <w:sz w:val="24"/>
                <w:szCs w:val="24"/>
                <w:lang w:val="en"/>
              </w:rPr>
              <w:t xml:space="preserve">Barriers </w:t>
            </w:r>
          </w:p>
        </w:tc>
        <w:tc>
          <w:tcPr>
            <w:tcW w:w="5818" w:type="dxa"/>
            <w:tcBorders>
              <w:bottom w:val="single" w:sz="4" w:space="0" w:color="auto"/>
            </w:tcBorders>
            <w:shd w:val="clear" w:color="000000" w:fill="F2F2F2"/>
            <w:vAlign w:val="center"/>
            <w:hideMark/>
          </w:tcPr>
          <w:p w14:paraId="442AD1AF" w14:textId="77777777" w:rsidR="00941883" w:rsidRPr="001B4421" w:rsidRDefault="00941883" w:rsidP="00282204">
            <w:pPr>
              <w:spacing w:after="0" w:line="240" w:lineRule="auto"/>
              <w:rPr>
                <w:rFonts w:eastAsia="Times New Roman" w:cstheme="minorHAnsi"/>
                <w:color w:val="000000"/>
                <w:sz w:val="24"/>
                <w:szCs w:val="24"/>
              </w:rPr>
            </w:pPr>
            <w:r w:rsidRPr="001B4421">
              <w:rPr>
                <w:rFonts w:eastAsia="Times New Roman" w:cstheme="minorHAnsi"/>
                <w:color w:val="000000"/>
                <w:sz w:val="24"/>
                <w:szCs w:val="24"/>
                <w:lang w:val="en"/>
              </w:rPr>
              <w:t xml:space="preserve">Examples </w:t>
            </w:r>
          </w:p>
        </w:tc>
      </w:tr>
      <w:tr w:rsidR="00941883" w:rsidRPr="001B4421" w14:paraId="6E6266C6" w14:textId="77777777" w:rsidTr="00282204">
        <w:trPr>
          <w:trHeight w:val="613"/>
        </w:trPr>
        <w:tc>
          <w:tcPr>
            <w:tcW w:w="4165" w:type="dxa"/>
            <w:tcBorders>
              <w:top w:val="single" w:sz="4" w:space="0" w:color="auto"/>
            </w:tcBorders>
            <w:shd w:val="clear" w:color="auto" w:fill="auto"/>
            <w:vAlign w:val="center"/>
            <w:hideMark/>
          </w:tcPr>
          <w:p w14:paraId="55A9F893" w14:textId="77777777" w:rsidR="00941883" w:rsidRPr="001B4421" w:rsidRDefault="00941883" w:rsidP="00282204">
            <w:pPr>
              <w:spacing w:after="0" w:line="240" w:lineRule="auto"/>
              <w:rPr>
                <w:rFonts w:eastAsia="Times New Roman" w:cstheme="minorHAnsi"/>
                <w:color w:val="000000"/>
              </w:rPr>
            </w:pPr>
            <w:r w:rsidRPr="001B4421">
              <w:rPr>
                <w:rFonts w:eastAsia="Times New Roman" w:cstheme="minorHAnsi"/>
                <w:color w:val="000000"/>
                <w:lang w:val="en"/>
              </w:rPr>
              <w:t xml:space="preserve">Lack of resources </w:t>
            </w:r>
          </w:p>
        </w:tc>
        <w:tc>
          <w:tcPr>
            <w:tcW w:w="5818" w:type="dxa"/>
            <w:tcBorders>
              <w:top w:val="single" w:sz="4" w:space="0" w:color="auto"/>
            </w:tcBorders>
            <w:shd w:val="clear" w:color="auto" w:fill="auto"/>
            <w:vAlign w:val="center"/>
            <w:hideMark/>
          </w:tcPr>
          <w:p w14:paraId="74B211D1" w14:textId="2EB1886F" w:rsidR="00941883" w:rsidRPr="001B4421" w:rsidRDefault="00941883" w:rsidP="00282204">
            <w:pPr>
              <w:spacing w:after="0" w:line="240" w:lineRule="auto"/>
              <w:rPr>
                <w:rFonts w:eastAsia="Times New Roman" w:cstheme="minorHAnsi"/>
                <w:color w:val="000000"/>
              </w:rPr>
            </w:pPr>
            <w:r w:rsidRPr="001B4421">
              <w:rPr>
                <w:rFonts w:eastAsia="Times New Roman" w:cstheme="minorHAnsi"/>
                <w:color w:val="000000"/>
                <w:lang w:val="en"/>
              </w:rPr>
              <w:t>Time, staff, access to patients</w:t>
            </w:r>
            <w:r w:rsidR="00874996">
              <w:rPr>
                <w:rFonts w:eastAsia="Times New Roman" w:cstheme="minorHAnsi"/>
                <w:color w:val="000000"/>
                <w:lang w:val="en"/>
              </w:rPr>
              <w:t>’</w:t>
            </w:r>
            <w:r w:rsidRPr="001B4421">
              <w:rPr>
                <w:rFonts w:eastAsia="Times New Roman" w:cstheme="minorHAnsi"/>
                <w:color w:val="000000"/>
                <w:lang w:val="en"/>
              </w:rPr>
              <w:t xml:space="preserve"> medical records, facilities such as a private room</w:t>
            </w:r>
          </w:p>
        </w:tc>
      </w:tr>
      <w:tr w:rsidR="00941883" w:rsidRPr="001B4421" w14:paraId="724C60FF" w14:textId="77777777" w:rsidTr="00282204">
        <w:trPr>
          <w:trHeight w:val="854"/>
        </w:trPr>
        <w:tc>
          <w:tcPr>
            <w:tcW w:w="4165" w:type="dxa"/>
            <w:shd w:val="clear" w:color="auto" w:fill="auto"/>
            <w:vAlign w:val="center"/>
            <w:hideMark/>
          </w:tcPr>
          <w:p w14:paraId="500DB0D7" w14:textId="77777777" w:rsidR="00941883" w:rsidRPr="001B4421" w:rsidRDefault="00941883" w:rsidP="00282204">
            <w:pPr>
              <w:spacing w:after="0" w:line="240" w:lineRule="auto"/>
              <w:rPr>
                <w:rFonts w:eastAsia="Times New Roman" w:cstheme="minorHAnsi"/>
                <w:color w:val="000000"/>
              </w:rPr>
            </w:pPr>
            <w:r w:rsidRPr="001B4421">
              <w:rPr>
                <w:rFonts w:eastAsia="Times New Roman" w:cstheme="minorHAnsi"/>
                <w:color w:val="000000"/>
                <w:lang w:val="en"/>
              </w:rPr>
              <w:t>Lack of senior leadership or policy makers support</w:t>
            </w:r>
            <w:r w:rsidRPr="001B4421">
              <w:rPr>
                <w:rFonts w:eastAsia="Times New Roman" w:cstheme="minorHAnsi"/>
                <w:color w:val="222222"/>
                <w:lang w:val="en"/>
              </w:rPr>
              <w:t xml:space="preserve"> </w:t>
            </w:r>
          </w:p>
        </w:tc>
        <w:tc>
          <w:tcPr>
            <w:tcW w:w="5818" w:type="dxa"/>
            <w:shd w:val="clear" w:color="auto" w:fill="auto"/>
            <w:vAlign w:val="center"/>
            <w:hideMark/>
          </w:tcPr>
          <w:p w14:paraId="38460C23" w14:textId="6BCBE0B7" w:rsidR="00941883" w:rsidRPr="001B4421" w:rsidRDefault="00941883" w:rsidP="00282204">
            <w:pPr>
              <w:spacing w:after="0" w:line="240" w:lineRule="auto"/>
              <w:rPr>
                <w:rFonts w:eastAsia="Times New Roman" w:cstheme="minorHAnsi"/>
                <w:color w:val="000000"/>
              </w:rPr>
            </w:pPr>
            <w:r w:rsidRPr="001B4421">
              <w:rPr>
                <w:rFonts w:eastAsia="Times New Roman" w:cstheme="minorHAnsi"/>
                <w:color w:val="000000"/>
                <w:lang w:val="en"/>
              </w:rPr>
              <w:t>Defining pharmacists</w:t>
            </w:r>
            <w:r w:rsidR="00874996">
              <w:rPr>
                <w:rFonts w:eastAsia="Times New Roman" w:cstheme="minorHAnsi"/>
                <w:color w:val="000000"/>
                <w:lang w:val="en"/>
              </w:rPr>
              <w:t>’</w:t>
            </w:r>
            <w:r w:rsidRPr="001B4421">
              <w:rPr>
                <w:rFonts w:eastAsia="Times New Roman" w:cstheme="minorHAnsi"/>
                <w:color w:val="000000"/>
                <w:lang w:val="en"/>
              </w:rPr>
              <w:t xml:space="preserve"> job description, prescribing authority</w:t>
            </w:r>
          </w:p>
        </w:tc>
      </w:tr>
      <w:tr w:rsidR="00941883" w:rsidRPr="001B4421" w14:paraId="28F98D66" w14:textId="77777777" w:rsidTr="00282204">
        <w:trPr>
          <w:trHeight w:val="430"/>
        </w:trPr>
        <w:tc>
          <w:tcPr>
            <w:tcW w:w="4165" w:type="dxa"/>
            <w:shd w:val="clear" w:color="auto" w:fill="auto"/>
            <w:vAlign w:val="center"/>
            <w:hideMark/>
          </w:tcPr>
          <w:p w14:paraId="7731FF02" w14:textId="77777777" w:rsidR="00941883" w:rsidRPr="001B4421" w:rsidRDefault="00941883" w:rsidP="00282204">
            <w:pPr>
              <w:spacing w:after="0" w:line="240" w:lineRule="auto"/>
              <w:rPr>
                <w:rFonts w:eastAsia="Times New Roman" w:cstheme="minorHAnsi"/>
                <w:color w:val="000000"/>
              </w:rPr>
            </w:pPr>
            <w:r w:rsidRPr="001B4421">
              <w:rPr>
                <w:rFonts w:eastAsia="Times New Roman" w:cstheme="minorHAnsi"/>
                <w:color w:val="000000"/>
                <w:lang w:val="en"/>
              </w:rPr>
              <w:t xml:space="preserve">Lack of education and training </w:t>
            </w:r>
          </w:p>
        </w:tc>
        <w:tc>
          <w:tcPr>
            <w:tcW w:w="5818" w:type="dxa"/>
            <w:shd w:val="clear" w:color="auto" w:fill="auto"/>
            <w:vAlign w:val="center"/>
            <w:hideMark/>
          </w:tcPr>
          <w:p w14:paraId="5410F0FA" w14:textId="77777777" w:rsidR="00941883" w:rsidRPr="001B4421" w:rsidRDefault="00941883" w:rsidP="00282204">
            <w:pPr>
              <w:spacing w:after="0" w:line="240" w:lineRule="auto"/>
              <w:rPr>
                <w:rFonts w:eastAsia="Times New Roman" w:cstheme="minorHAnsi"/>
                <w:color w:val="000000"/>
              </w:rPr>
            </w:pPr>
            <w:r w:rsidRPr="001B4421">
              <w:rPr>
                <w:rFonts w:eastAsia="Times New Roman" w:cstheme="minorHAnsi"/>
                <w:color w:val="000000"/>
                <w:lang w:val="en"/>
              </w:rPr>
              <w:t>Clinical education/experience, communication skills</w:t>
            </w:r>
          </w:p>
        </w:tc>
      </w:tr>
      <w:tr w:rsidR="00941883" w:rsidRPr="001B4421" w14:paraId="3789095F" w14:textId="77777777" w:rsidTr="00282204">
        <w:trPr>
          <w:trHeight w:val="1347"/>
        </w:trPr>
        <w:tc>
          <w:tcPr>
            <w:tcW w:w="4165" w:type="dxa"/>
            <w:tcBorders>
              <w:bottom w:val="single" w:sz="4" w:space="0" w:color="auto"/>
            </w:tcBorders>
            <w:shd w:val="clear" w:color="auto" w:fill="auto"/>
            <w:vAlign w:val="center"/>
            <w:hideMark/>
          </w:tcPr>
          <w:p w14:paraId="08B24F16" w14:textId="44B9AA6C" w:rsidR="00941883" w:rsidRPr="001B4421" w:rsidRDefault="00941883" w:rsidP="00282204">
            <w:pPr>
              <w:spacing w:after="0" w:line="240" w:lineRule="auto"/>
              <w:rPr>
                <w:rFonts w:eastAsia="Times New Roman" w:cstheme="minorHAnsi"/>
                <w:color w:val="000000"/>
              </w:rPr>
            </w:pPr>
            <w:r w:rsidRPr="001B4421">
              <w:rPr>
                <w:rFonts w:eastAsia="Times New Roman" w:cstheme="minorHAnsi"/>
                <w:color w:val="000000"/>
                <w:lang w:val="en"/>
              </w:rPr>
              <w:t>Stakeholders</w:t>
            </w:r>
            <w:r w:rsidR="00874996">
              <w:rPr>
                <w:rFonts w:eastAsia="Times New Roman" w:cstheme="minorHAnsi"/>
                <w:color w:val="000000"/>
                <w:lang w:val="en"/>
              </w:rPr>
              <w:t>’</w:t>
            </w:r>
            <w:r w:rsidRPr="001B4421">
              <w:rPr>
                <w:rFonts w:eastAsia="Times New Roman" w:cstheme="minorHAnsi"/>
                <w:color w:val="000000"/>
                <w:lang w:val="en"/>
              </w:rPr>
              <w:t xml:space="preserve"> (physicians</w:t>
            </w:r>
            <w:r w:rsidR="00874996">
              <w:rPr>
                <w:rFonts w:eastAsia="Times New Roman" w:cstheme="minorHAnsi"/>
                <w:color w:val="000000"/>
                <w:lang w:val="en"/>
              </w:rPr>
              <w:t>’</w:t>
            </w:r>
            <w:r w:rsidRPr="001B4421">
              <w:rPr>
                <w:rFonts w:eastAsia="Times New Roman" w:cstheme="minorHAnsi"/>
                <w:color w:val="000000"/>
                <w:lang w:val="en"/>
              </w:rPr>
              <w:t>, pharmacists</w:t>
            </w:r>
            <w:r w:rsidR="00874996">
              <w:rPr>
                <w:rFonts w:eastAsia="Times New Roman" w:cstheme="minorHAnsi"/>
                <w:color w:val="000000"/>
                <w:lang w:val="en"/>
              </w:rPr>
              <w:t>’</w:t>
            </w:r>
            <w:r w:rsidRPr="001B4421">
              <w:rPr>
                <w:rFonts w:eastAsia="Times New Roman" w:cstheme="minorHAnsi"/>
                <w:color w:val="000000"/>
                <w:lang w:val="en"/>
              </w:rPr>
              <w:t>, and patients</w:t>
            </w:r>
            <w:r w:rsidR="00874996">
              <w:rPr>
                <w:rFonts w:eastAsia="Times New Roman" w:cstheme="minorHAnsi"/>
                <w:color w:val="000000"/>
                <w:lang w:val="en"/>
              </w:rPr>
              <w:t>’</w:t>
            </w:r>
            <w:r w:rsidRPr="001B4421">
              <w:rPr>
                <w:rFonts w:eastAsia="Times New Roman" w:cstheme="minorHAnsi"/>
                <w:color w:val="000000"/>
                <w:lang w:val="en"/>
              </w:rPr>
              <w:t>) attitudes toward pharmacists</w:t>
            </w:r>
            <w:r w:rsidR="00874996">
              <w:rPr>
                <w:rFonts w:eastAsia="Times New Roman" w:cstheme="minorHAnsi"/>
                <w:color w:val="000000"/>
                <w:lang w:val="en"/>
              </w:rPr>
              <w:t>’</w:t>
            </w:r>
            <w:r w:rsidRPr="001B4421">
              <w:rPr>
                <w:rFonts w:eastAsia="Times New Roman" w:cstheme="minorHAnsi"/>
                <w:color w:val="000000"/>
                <w:lang w:val="en"/>
              </w:rPr>
              <w:t xml:space="preserve"> role</w:t>
            </w:r>
          </w:p>
        </w:tc>
        <w:tc>
          <w:tcPr>
            <w:tcW w:w="5818" w:type="dxa"/>
            <w:tcBorders>
              <w:bottom w:val="single" w:sz="4" w:space="0" w:color="auto"/>
            </w:tcBorders>
            <w:shd w:val="clear" w:color="auto" w:fill="auto"/>
            <w:vAlign w:val="center"/>
            <w:hideMark/>
          </w:tcPr>
          <w:p w14:paraId="3B90A7FB" w14:textId="05EEA9EA" w:rsidR="00941883" w:rsidRPr="001B4421" w:rsidRDefault="00941883" w:rsidP="00282204">
            <w:pPr>
              <w:spacing w:after="0" w:line="240" w:lineRule="auto"/>
              <w:rPr>
                <w:rFonts w:eastAsia="Times New Roman" w:cstheme="minorHAnsi"/>
                <w:color w:val="000000"/>
              </w:rPr>
            </w:pPr>
            <w:r w:rsidRPr="001B4421">
              <w:rPr>
                <w:rFonts w:eastAsia="Times New Roman" w:cstheme="minorHAnsi"/>
                <w:color w:val="000000"/>
                <w:lang w:val="en"/>
              </w:rPr>
              <w:t xml:space="preserve">The perception of some </w:t>
            </w:r>
            <w:r>
              <w:rPr>
                <w:rFonts w:eastAsia="Times New Roman" w:cstheme="minorHAnsi"/>
                <w:color w:val="000000"/>
                <w:lang w:val="en"/>
              </w:rPr>
              <w:t>HCPs</w:t>
            </w:r>
            <w:r w:rsidRPr="001B4421">
              <w:rPr>
                <w:rFonts w:eastAsia="Times New Roman" w:cstheme="minorHAnsi"/>
                <w:color w:val="000000"/>
                <w:lang w:val="en"/>
              </w:rPr>
              <w:t xml:space="preserve"> and patients to the pharmacist</w:t>
            </w:r>
            <w:r w:rsidR="00874996">
              <w:rPr>
                <w:rFonts w:eastAsia="Times New Roman" w:cstheme="minorHAnsi"/>
                <w:color w:val="000000"/>
                <w:lang w:val="en"/>
              </w:rPr>
              <w:t>’</w:t>
            </w:r>
            <w:r w:rsidRPr="001B4421">
              <w:rPr>
                <w:rFonts w:eastAsia="Times New Roman" w:cstheme="minorHAnsi"/>
                <w:color w:val="000000"/>
                <w:lang w:val="en"/>
              </w:rPr>
              <w:t>s role as closer to the role of a technician than a professional. Resistance to change.</w:t>
            </w:r>
          </w:p>
        </w:tc>
      </w:tr>
    </w:tbl>
    <w:p w14:paraId="1F395C67" w14:textId="77777777" w:rsidR="00941883" w:rsidRPr="005F63B7" w:rsidRDefault="00941883" w:rsidP="00941883">
      <w:pPr>
        <w:autoSpaceDE w:val="0"/>
        <w:autoSpaceDN w:val="0"/>
        <w:adjustRightInd w:val="0"/>
        <w:spacing w:line="360" w:lineRule="auto"/>
        <w:jc w:val="both"/>
        <w:rPr>
          <w:rFonts w:ascii="Arial" w:hAnsi="Arial" w:cs="Arial"/>
          <w:color w:val="00B050"/>
          <w:sz w:val="24"/>
          <w:szCs w:val="24"/>
          <w:lang w:val="en"/>
        </w:rPr>
      </w:pPr>
    </w:p>
    <w:p w14:paraId="769A9B8E" w14:textId="77777777" w:rsidR="00941883" w:rsidRPr="006A056B" w:rsidRDefault="00941883" w:rsidP="00941883">
      <w:pPr>
        <w:autoSpaceDE w:val="0"/>
        <w:autoSpaceDN w:val="0"/>
        <w:adjustRightInd w:val="0"/>
        <w:spacing w:line="360" w:lineRule="auto"/>
        <w:jc w:val="both"/>
        <w:rPr>
          <w:rFonts w:ascii="Arial" w:hAnsi="Arial" w:cs="Arial"/>
          <w:sz w:val="24"/>
          <w:szCs w:val="24"/>
          <w:lang w:val="en"/>
        </w:rPr>
      </w:pPr>
      <w:r w:rsidRPr="006A056B">
        <w:rPr>
          <w:rFonts w:ascii="Arial" w:hAnsi="Arial" w:cs="Arial"/>
          <w:sz w:val="24"/>
          <w:szCs w:val="24"/>
          <w:lang w:val="en"/>
        </w:rPr>
        <w:t xml:space="preserve">Pharmacists widely reported inadequate clinical experience as the main barrier to providing clinical pharmacy services (Xiao et al., 2023). The most common points of emphasis are insufficient clinical medicine knowledge, understanding of clinical needs, and communication skills. Pharmacists remarked that because patient treatment is integrative and requires knowledge in clinical psychology, clinical pharmacy, and clinical medicine, they had to spend more time in self-learning. Pharmacists in PHCs know these issues and believe attending training sessions in tertiary hospitals will improve their professional skills. The need for training was also reported by pharmacists in both studies by Al-Taweel et al. </w:t>
      </w:r>
      <w:r w:rsidRPr="006A056B">
        <w:rPr>
          <w:rFonts w:ascii="Arial" w:hAnsi="Arial" w:cs="Arial"/>
          <w:sz w:val="24"/>
          <w:szCs w:val="24"/>
        </w:rPr>
        <w:t xml:space="preserve">(2014) and Al Haqan et al. (2017). </w:t>
      </w:r>
    </w:p>
    <w:p w14:paraId="244E8302" w14:textId="292A0F8C" w:rsidR="00941883" w:rsidRPr="006A056B" w:rsidRDefault="00941883" w:rsidP="00941883">
      <w:pPr>
        <w:autoSpaceDE w:val="0"/>
        <w:autoSpaceDN w:val="0"/>
        <w:adjustRightInd w:val="0"/>
        <w:spacing w:line="360" w:lineRule="auto"/>
        <w:jc w:val="both"/>
        <w:rPr>
          <w:rFonts w:ascii="Arial" w:hAnsi="Arial" w:cs="Arial"/>
          <w:sz w:val="24"/>
          <w:szCs w:val="24"/>
          <w:lang w:val="en"/>
        </w:rPr>
      </w:pPr>
      <w:r w:rsidRPr="006A056B">
        <w:rPr>
          <w:rFonts w:ascii="Arial" w:hAnsi="Arial" w:cs="Arial"/>
          <w:sz w:val="24"/>
          <w:szCs w:val="24"/>
        </w:rPr>
        <w:t xml:space="preserve">The integration of pharmacists into the healthcare team can be affected by </w:t>
      </w:r>
      <w:r w:rsidR="00874996" w:rsidRPr="006A056B">
        <w:rPr>
          <w:rFonts w:ascii="Arial" w:hAnsi="Arial" w:cs="Arial"/>
          <w:sz w:val="24"/>
          <w:szCs w:val="24"/>
        </w:rPr>
        <w:t xml:space="preserve">both </w:t>
      </w:r>
      <w:r w:rsidRPr="006A056B">
        <w:rPr>
          <w:rFonts w:ascii="Arial" w:hAnsi="Arial" w:cs="Arial"/>
          <w:sz w:val="24"/>
          <w:szCs w:val="24"/>
        </w:rPr>
        <w:t>pharmacist</w:t>
      </w:r>
      <w:r w:rsidR="00874996" w:rsidRPr="006A056B">
        <w:rPr>
          <w:rFonts w:ascii="Arial" w:hAnsi="Arial" w:cs="Arial"/>
          <w:sz w:val="24"/>
          <w:szCs w:val="24"/>
        </w:rPr>
        <w:t>s’</w:t>
      </w:r>
      <w:r w:rsidRPr="006A056B">
        <w:rPr>
          <w:rFonts w:ascii="Arial" w:hAnsi="Arial" w:cs="Arial"/>
          <w:sz w:val="24"/>
          <w:szCs w:val="24"/>
        </w:rPr>
        <w:t xml:space="preserve"> presence and visibility; It was found that most pharmacists work with the team on a one-day-a-week basis, and it was found that this may negatively affect integration because team members often forget the presence of a pharmacist on their team</w:t>
      </w:r>
      <w:r w:rsidRPr="006A056B">
        <w:rPr>
          <w:rFonts w:ascii="Arial" w:hAnsi="Arial" w:cs="Arial"/>
          <w:sz w:val="24"/>
          <w:szCs w:val="24"/>
          <w:lang w:val="en-GB"/>
        </w:rPr>
        <w:t xml:space="preserve"> </w:t>
      </w:r>
      <w:r w:rsidRPr="006A056B">
        <w:rPr>
          <w:rFonts w:ascii="Arial" w:hAnsi="Arial" w:cs="Arial"/>
          <w:sz w:val="24"/>
          <w:szCs w:val="24"/>
          <w:lang w:val="en-GB"/>
        </w:rPr>
        <w:fldChar w:fldCharType="begin" w:fldLock="1"/>
      </w:r>
      <w:r w:rsidRPr="006A056B">
        <w:rPr>
          <w:rFonts w:ascii="Arial" w:hAnsi="Arial" w:cs="Arial"/>
          <w:sz w:val="24"/>
          <w:szCs w:val="24"/>
          <w:lang w:val="en-GB"/>
        </w:rPr>
        <w:instrText>ADDIN CSL_CITATION {"citationItems":[{"id":"ITEM-1","itemData":{"DOI":"10.1111/ijpp.12080","ISSN":"20427174","PMID":"24279947","abstract":"Objectives This study evaluated the barriers and facilitators that were experienced as pharmacists were integrated into 23 existing primary care teams located in urban and rural communities in Saskatchewan, Canada. Methods Qualitative design using data from one-on-one telephone interviews with pharmacists, physicians and nurse practitioners from the 23 teams that integrated a new pharmacist role. Four researchers from varied backgrounds used thematic analysis of the interview transcripts to determine key themes. The research team met on multiple occasions to agree on the key themes and received written feedback from an external auditor and two of the original interviewees. Key findings Seven key themes emerged describing the barriers and facilitators that the teams experienced during the pharmacist integration: (1) relationships, trust and respect; (2) pharmacist role definition; (3) orientation and support; (4) pharmacist personality and professional experience; (5) pharmacist presence and visibility; (6) resources and funding; and (7) value of the pharmacist role. Teams from urban and rural communities experienced some of these challenges in unique ways. Conclusions Primary care teams that integrated a pharmacist experienced several common barriers and facilitators. The negative impact of these barriers can be mitigated with effective planning and support that is individualized for the type of community where the team is located. © 2013 Royal Pharmaceutical Society.","author":[{"dropping-particle":"","family":"Jorgenson","given":"Derek","non-dropping-particle":"","parse-names":false,"suffix":""},{"dropping-particle":"","family":"Laubscher","given":"Tessa","non-dropping-particle":"","parse-names":false,"suffix":""},{"dropping-particle":"","family":"Lyons","given":"Barry","non-dropping-particle":"","parse-names":false,"suffix":""},{"dropping-particle":"","family":"Palmer","given":"Rebecca","non-dropping-particle":"","parse-names":false,"suffix":""}],"container-title":"International Journal of Pharmacy Practice","id":"ITEM-1","issue":"4","issued":{"date-parts":[["2014"]]},"page":"292-299","title":"Integrating pharmacists into primary care teams: Barriers and facilitators","type":"article-journal","volume":"22"},"uris":["http://www.mendeley.com/documents/?uuid=94a19525-0618-465b-9834-6bc2c9cfd2ec"]}],"mendeley":{"formattedCitation":"(Jorgenson &lt;i&gt;et al.&lt;/i&gt;, 2014)","plainTextFormattedCitation":"(Jorgenson et al., 2014)","previouslyFormattedCitation":"(Jorgenson &lt;i&gt;et al.&lt;/i&gt;, 2014)"},"properties":{"noteIndex":0},"schema":"https://github.com/citation-style-language/schema/raw/master/csl-citation.json"}</w:instrText>
      </w:r>
      <w:r w:rsidRPr="006A056B">
        <w:rPr>
          <w:rFonts w:ascii="Arial" w:hAnsi="Arial" w:cs="Arial"/>
          <w:sz w:val="24"/>
          <w:szCs w:val="24"/>
          <w:lang w:val="en-GB"/>
        </w:rPr>
        <w:fldChar w:fldCharType="separate"/>
      </w:r>
      <w:r w:rsidRPr="006A056B">
        <w:rPr>
          <w:rFonts w:ascii="Arial" w:hAnsi="Arial" w:cs="Arial"/>
          <w:noProof/>
          <w:sz w:val="24"/>
          <w:szCs w:val="24"/>
          <w:lang w:val="en-GB"/>
        </w:rPr>
        <w:t xml:space="preserve">(Jorgenson </w:t>
      </w:r>
      <w:r w:rsidRPr="006A056B">
        <w:rPr>
          <w:rFonts w:ascii="Arial" w:hAnsi="Arial" w:cs="Arial"/>
          <w:i/>
          <w:noProof/>
          <w:sz w:val="24"/>
          <w:szCs w:val="24"/>
          <w:lang w:val="en-GB"/>
        </w:rPr>
        <w:t>et al.</w:t>
      </w:r>
      <w:r w:rsidRPr="006A056B">
        <w:rPr>
          <w:rFonts w:ascii="Arial" w:hAnsi="Arial" w:cs="Arial"/>
          <w:noProof/>
          <w:sz w:val="24"/>
          <w:szCs w:val="24"/>
          <w:lang w:val="en-GB"/>
        </w:rPr>
        <w:t>, 2014)</w:t>
      </w:r>
      <w:r w:rsidRPr="006A056B">
        <w:rPr>
          <w:rFonts w:ascii="Arial" w:hAnsi="Arial" w:cs="Arial"/>
          <w:sz w:val="24"/>
          <w:szCs w:val="24"/>
          <w:lang w:val="en-GB"/>
        </w:rPr>
        <w:fldChar w:fldCharType="end"/>
      </w:r>
      <w:r w:rsidRPr="006A056B">
        <w:rPr>
          <w:rFonts w:ascii="Arial" w:hAnsi="Arial" w:cs="Arial"/>
          <w:sz w:val="24"/>
          <w:szCs w:val="24"/>
        </w:rPr>
        <w:t xml:space="preserve">. However, </w:t>
      </w:r>
      <w:r w:rsidRPr="006A056B">
        <w:rPr>
          <w:rFonts w:ascii="Arial" w:hAnsi="Arial" w:cs="Arial"/>
          <w:sz w:val="24"/>
          <w:szCs w:val="24"/>
          <w:lang w:val="en"/>
        </w:rPr>
        <w:t>the shortage of pharmacists was also one of the most significant barriers reported (Xiao et al., 2023). Implementing physician-pharmacist collaborative clinics in primary healthcare settings, therefore, is hindered by the lack of pharmacy staff who are experienced and well-trained.</w:t>
      </w:r>
    </w:p>
    <w:p w14:paraId="7304B745" w14:textId="77777777" w:rsidR="00941883" w:rsidRPr="006A056B" w:rsidRDefault="00941883" w:rsidP="00941883">
      <w:pPr>
        <w:autoSpaceDE w:val="0"/>
        <w:autoSpaceDN w:val="0"/>
        <w:adjustRightInd w:val="0"/>
        <w:spacing w:line="360" w:lineRule="auto"/>
        <w:jc w:val="both"/>
        <w:rPr>
          <w:rFonts w:ascii="Arial" w:hAnsi="Arial" w:cs="Arial"/>
          <w:sz w:val="24"/>
          <w:szCs w:val="24"/>
        </w:rPr>
      </w:pPr>
      <w:r w:rsidRPr="006A056B">
        <w:rPr>
          <w:rFonts w:ascii="Arial" w:hAnsi="Arial" w:cs="Arial"/>
          <w:sz w:val="24"/>
          <w:szCs w:val="24"/>
          <w:lang w:val="nl-NL"/>
        </w:rPr>
        <w:t xml:space="preserve">Al-Taweel et al. (2014)  and Jorgenson et al. </w:t>
      </w:r>
      <w:r w:rsidRPr="006A056B">
        <w:rPr>
          <w:rFonts w:ascii="Arial" w:hAnsi="Arial" w:cs="Arial"/>
          <w:sz w:val="24"/>
          <w:szCs w:val="24"/>
        </w:rPr>
        <w:t>(2014) also highlighted the following issues that pharmacists suffer: insufficient resources and workspace, lack of a clear description of the pharmacist’s role, and lack of leadership and management support. Jorgenson et al. (2014) also reported that pharmacists' attributes are a key factor in the success of team integration. Pharmacists who were enthusiastic, proactive, assertive and confident were less likely to experience difficulties when assigned to new roles within teams. They established relationships with team members, defined their roles, clarified their tasks, and guided the team on how to use their expertise.</w:t>
      </w:r>
    </w:p>
    <w:p w14:paraId="16F7C037" w14:textId="2F7EEB0A" w:rsidR="00941883" w:rsidRPr="006A056B" w:rsidRDefault="00941883" w:rsidP="00941883">
      <w:pPr>
        <w:autoSpaceDE w:val="0"/>
        <w:autoSpaceDN w:val="0"/>
        <w:adjustRightInd w:val="0"/>
        <w:spacing w:line="360" w:lineRule="auto"/>
        <w:jc w:val="both"/>
        <w:rPr>
          <w:rFonts w:ascii="Arial" w:hAnsi="Arial" w:cs="Arial"/>
          <w:sz w:val="24"/>
          <w:szCs w:val="24"/>
        </w:rPr>
      </w:pPr>
      <w:r w:rsidRPr="006A056B">
        <w:rPr>
          <w:rFonts w:ascii="Arial" w:hAnsi="Arial" w:cs="Arial"/>
          <w:sz w:val="24"/>
          <w:szCs w:val="24"/>
        </w:rPr>
        <w:t xml:space="preserve">Another factor that might negatively impact pharmacists involvement in diabetes management is that many services pharmacists are trained to perform cannot be </w:t>
      </w:r>
      <w:r w:rsidR="00874996" w:rsidRPr="006A056B">
        <w:rPr>
          <w:rFonts w:ascii="Arial" w:hAnsi="Arial" w:cs="Arial"/>
          <w:sz w:val="24"/>
          <w:szCs w:val="24"/>
        </w:rPr>
        <w:t xml:space="preserve">financially </w:t>
      </w:r>
      <w:r w:rsidRPr="006A056B">
        <w:rPr>
          <w:rFonts w:ascii="Arial" w:hAnsi="Arial" w:cs="Arial"/>
          <w:sz w:val="24"/>
          <w:szCs w:val="24"/>
        </w:rPr>
        <w:t xml:space="preserve">billed directly, as they are not recognised as providers under Medicare Part B (this belongs US healthcare system) </w:t>
      </w:r>
      <w:r w:rsidRPr="006A056B">
        <w:rPr>
          <w:rFonts w:ascii="Arial" w:hAnsi="Arial" w:cs="Arial"/>
          <w:sz w:val="24"/>
          <w:szCs w:val="24"/>
          <w:lang w:val="en"/>
        </w:rPr>
        <w:fldChar w:fldCharType="begin" w:fldLock="1"/>
      </w:r>
      <w:r w:rsidRPr="006A056B">
        <w:rPr>
          <w:rFonts w:ascii="Arial" w:hAnsi="Arial" w:cs="Arial"/>
          <w:sz w:val="24"/>
          <w:szCs w:val="24"/>
        </w:rPr>
        <w:instrText>ADDIN CSL_CITATION {"citationItems":[{"id":"ITEM-1","itemData":{"DOI":"10.1377/hlthaff.2022.00227","ISSN":"15445208","PMID":"35759701","abstract":"Managing patients with type 2 diabetes takes time. Clinicians in primary care, where most diabetes visits take place, lack that time. Planned visits by diabetes care managers-nurses, pharmacists, social workers, and other team members-assist clinicians and are associated with improved glycemic control. Particularly effective is care management featuring nurses or pharmacists adjusting medications without prior physician approval. Care management programs need to pay close attention to inequities in diabetes care and outcomes. The widespread implementation of diabetes care management in primary care faces several barriers: lack of an adequate, diverse, trained care manager workforce; regulations limiting care managers' scope of practice; and financial models not supportive of care management. Wide-ranging policies are needed to address these barriers. In particular, payment reform is needed to stimulate the spread of diabetes care management: adding fee-for-service codes that adequately pay care managers for their work, adopting shared savings models that channel savings back to primary care, and increasing the percentage of health care spending dedicated to primary care. In this article we explore key questions around type 2 diabetes care management, review the published evidence, examine the barriers to its wider use, and describe policy solutions.","author":[{"dropping-particle":"","family":"Bodenheimer","given":"Thomas S.","non-dropping-particle":"","parse-names":false,"suffix":""},{"dropping-particle":"","family":"Willard-Grace","given":"Rachel","non-dropping-particle":"","parse-names":false,"suffix":""}],"container-title":"Health affairs (Project Hope)","id":"ITEM-1","issue":"7","issued":{"date-parts":[["2022"]]},"page":"947-954","title":"Care Management For Patients With Type 2 Diabetes: The Roles Of Nurses, Pharmacists, And Social Workers","type":"article-journal","volume":"41"},"uris":["http://www.mendeley.com/documents/?uuid=a349e6f0-aae1-4d02-96c2-262258b0657b"]}],"mendeley":{"formattedCitation":"(Bodenheimer and Willard-Grace, 2022)","plainTextFormattedCitation":"(Bodenheimer and Willard-Grace, 2022)","previouslyFormattedCitation":"(Bodenheimer and Willard-Grace, 2022)"},"properties":{"noteIndex":0},"schema":"https://github.com/citation-style-language/schema/raw/master/csl-citation.json"}</w:instrText>
      </w:r>
      <w:r w:rsidRPr="006A056B">
        <w:rPr>
          <w:rFonts w:ascii="Arial" w:hAnsi="Arial" w:cs="Arial"/>
          <w:sz w:val="24"/>
          <w:szCs w:val="24"/>
          <w:lang w:val="en"/>
        </w:rPr>
        <w:fldChar w:fldCharType="separate"/>
      </w:r>
      <w:r w:rsidRPr="006A056B">
        <w:rPr>
          <w:rFonts w:ascii="Arial" w:hAnsi="Arial" w:cs="Arial"/>
          <w:noProof/>
          <w:sz w:val="24"/>
          <w:szCs w:val="24"/>
        </w:rPr>
        <w:t>(Bodenheimer and Willard-Grace, 2022)</w:t>
      </w:r>
      <w:r w:rsidRPr="006A056B">
        <w:rPr>
          <w:rFonts w:ascii="Arial" w:hAnsi="Arial" w:cs="Arial"/>
          <w:sz w:val="24"/>
          <w:szCs w:val="24"/>
          <w:lang w:val="en"/>
        </w:rPr>
        <w:fldChar w:fldCharType="end"/>
      </w:r>
      <w:r w:rsidRPr="006A056B">
        <w:rPr>
          <w:rFonts w:ascii="Arial" w:hAnsi="Arial" w:cs="Arial"/>
          <w:sz w:val="24"/>
          <w:szCs w:val="24"/>
          <w:lang w:val="en"/>
        </w:rPr>
        <w:t xml:space="preserve">. </w:t>
      </w:r>
      <w:r w:rsidRPr="006A056B">
        <w:rPr>
          <w:rFonts w:ascii="Arial" w:hAnsi="Arial" w:cs="Arial"/>
          <w:sz w:val="24"/>
          <w:szCs w:val="24"/>
        </w:rPr>
        <w:t xml:space="preserve"> </w:t>
      </w:r>
      <w:r w:rsidRPr="006A056B">
        <w:rPr>
          <w:rFonts w:ascii="Arial" w:hAnsi="Arial" w:cs="Arial"/>
          <w:sz w:val="24"/>
          <w:szCs w:val="24"/>
          <w:lang w:val="en"/>
        </w:rPr>
        <w:fldChar w:fldCharType="begin" w:fldLock="1"/>
      </w:r>
      <w:r w:rsidRPr="006A056B">
        <w:rPr>
          <w:rFonts w:ascii="Arial" w:hAnsi="Arial" w:cs="Arial"/>
          <w:sz w:val="24"/>
          <w:szCs w:val="24"/>
          <w:lang w:val="en"/>
        </w:rPr>
        <w:instrText>ADDIN CSL_CITATION {"citationItems":[{"id":"ITEM-1","itemData":{"DOI":"10.2146/ajhp080139","ISBN":"3016648601","ISSN":"10792082","PMID":"19299368","author":[{"dropping-particle":"","family":"Choe","given":"Hae Mi","non-dropping-particle":"","parse-names":false,"suffix":""},{"dropping-particle":"","family":"Bernstein","given":"Steven J.","non-dropping-particle":"","parse-names":false,"suffix":""},{"dropping-particle":"","family":"Mueller","given":"Bruce A.","non-dropping-particle":"","parse-names":false,"suffix":""},{"dropping-particle":"","family":"Walker","given":"Paul C.","non-dropping-particle":"","parse-names":false,"suffix":""},{"dropping-particle":"","family":"Stevenson","given":"James G.","non-dropping-particle":"","parse-names":false,"suffix":""},{"dropping-particle":"","family":"Standiford","given":"Connie J.","non-dropping-particle":"","parse-names":false,"suffix":""}],"container-title":"American Journal of Health-System Pharmacy","id":"ITEM-1","issue":"7","issued":{"date-parts":[["2009"]]},"page":"622-624","title":"Pharmacist leads primary care team to improve diabetes care","type":"article-journal","volume":"66"},"uris":["http://www.mendeley.com/documents/?uuid=06c679af-a230-4d7c-873e-4f2f6209f994"]}],"mendeley":{"formattedCitation":"(Choe &lt;i&gt;et al.&lt;/i&gt;, 2009)","manualFormatting":"Choe et al., (2009)","plainTextFormattedCitation":"(Choe et al., 2009)","previouslyFormattedCitation":"(Choe &lt;i&gt;et al.&lt;/i&gt;, 2009)"},"properties":{"noteIndex":0},"schema":"https://github.com/citation-style-language/schema/raw/master/csl-citation.json"}</w:instrText>
      </w:r>
      <w:r w:rsidRPr="006A056B">
        <w:rPr>
          <w:rFonts w:ascii="Arial" w:hAnsi="Arial" w:cs="Arial"/>
          <w:sz w:val="24"/>
          <w:szCs w:val="24"/>
          <w:lang w:val="en"/>
        </w:rPr>
        <w:fldChar w:fldCharType="separate"/>
      </w:r>
      <w:r w:rsidRPr="006A056B">
        <w:rPr>
          <w:rFonts w:ascii="Arial" w:hAnsi="Arial" w:cs="Arial"/>
          <w:noProof/>
          <w:sz w:val="24"/>
          <w:szCs w:val="24"/>
          <w:lang w:val="en"/>
        </w:rPr>
        <w:t xml:space="preserve">Choe </w:t>
      </w:r>
      <w:r w:rsidRPr="006A056B">
        <w:rPr>
          <w:rFonts w:ascii="Arial" w:hAnsi="Arial" w:cs="Arial"/>
          <w:i/>
          <w:noProof/>
          <w:sz w:val="24"/>
          <w:szCs w:val="24"/>
          <w:lang w:val="en"/>
        </w:rPr>
        <w:t>et al.</w:t>
      </w:r>
      <w:r w:rsidRPr="006A056B">
        <w:rPr>
          <w:rFonts w:ascii="Arial" w:hAnsi="Arial" w:cs="Arial"/>
          <w:noProof/>
          <w:sz w:val="24"/>
          <w:szCs w:val="24"/>
          <w:lang w:val="en"/>
        </w:rPr>
        <w:t>, (2009)</w:t>
      </w:r>
      <w:r w:rsidRPr="006A056B">
        <w:rPr>
          <w:rFonts w:ascii="Arial" w:hAnsi="Arial" w:cs="Arial"/>
          <w:sz w:val="24"/>
          <w:szCs w:val="24"/>
          <w:lang w:val="en"/>
        </w:rPr>
        <w:fldChar w:fldCharType="end"/>
      </w:r>
      <w:r w:rsidRPr="006A056B">
        <w:rPr>
          <w:rFonts w:ascii="Arial" w:hAnsi="Arial" w:cs="Arial"/>
          <w:sz w:val="24"/>
          <w:szCs w:val="24"/>
          <w:lang w:val="en"/>
        </w:rPr>
        <w:t xml:space="preserve"> also reported that </w:t>
      </w:r>
      <w:r w:rsidRPr="006A056B">
        <w:rPr>
          <w:rFonts w:ascii="Arial" w:hAnsi="Arial" w:cs="Arial"/>
          <w:sz w:val="24"/>
          <w:szCs w:val="24"/>
        </w:rPr>
        <w:t xml:space="preserve">the credentialing committee was apprehensive about expanding the scope of practice for pharmacists, and some committee members were against pharmacists having the authority to prescribe medications. </w:t>
      </w:r>
    </w:p>
    <w:p w14:paraId="3995B20E" w14:textId="77777777" w:rsidR="00941883" w:rsidRPr="006A056B" w:rsidRDefault="00941883" w:rsidP="00941883">
      <w:pPr>
        <w:autoSpaceDE w:val="0"/>
        <w:autoSpaceDN w:val="0"/>
        <w:adjustRightInd w:val="0"/>
        <w:spacing w:line="360" w:lineRule="auto"/>
        <w:jc w:val="both"/>
        <w:rPr>
          <w:rFonts w:ascii="Arial" w:hAnsi="Arial" w:cs="Arial"/>
          <w:sz w:val="24"/>
          <w:szCs w:val="24"/>
          <w:lang w:val="en"/>
        </w:rPr>
      </w:pPr>
      <w:r w:rsidRPr="006A056B">
        <w:rPr>
          <w:rFonts w:ascii="Arial" w:hAnsi="Arial" w:cs="Arial"/>
          <w:sz w:val="24"/>
          <w:szCs w:val="24"/>
          <w:lang w:val="en"/>
        </w:rPr>
        <w:t xml:space="preserve">Traditional ideas about the different professional roles of GPs and pharmacists were also found in a study (Duncan et al., 2020). Doctors and other </w:t>
      </w:r>
      <w:r w:rsidRPr="006A056B">
        <w:rPr>
          <w:rFonts w:ascii="Arial" w:hAnsi="Arial" w:cs="Arial"/>
          <w:sz w:val="24"/>
          <w:szCs w:val="24"/>
          <w:lang w:val="en-GB"/>
        </w:rPr>
        <w:t xml:space="preserve">HCPs perceived pharmacists’ roles as closer to the role of a technician than a professional </w:t>
      </w:r>
      <w:r w:rsidRPr="006A056B">
        <w:rPr>
          <w:rFonts w:ascii="Arial" w:hAnsi="Arial" w:cs="Arial"/>
          <w:sz w:val="24"/>
          <w:szCs w:val="24"/>
          <w:lang w:val="en-GB"/>
        </w:rPr>
        <w:fldChar w:fldCharType="begin" w:fldLock="1"/>
      </w:r>
      <w:r w:rsidRPr="006A056B">
        <w:rPr>
          <w:rFonts w:ascii="Arial" w:hAnsi="Arial" w:cs="Arial"/>
          <w:sz w:val="24"/>
          <w:szCs w:val="24"/>
          <w:lang w:val="en-GB"/>
        </w:rPr>
        <w:instrText>ADDIN CSL_CITATION {"citationItems":[{"id":"ITEM-1","itemData":{"DOI":"10.1177/2050312117713911","ISSN":"2050-3121","abstract":"PURPOSE The purpose of this study is to evaluate primary care provider satisfaction and perceived impact of clinical pharmacy services on the disease state management in primary care. METHODS A cross-sectional survey with 24 items and 4 domains was distributed anonymously to pharmacy residency program directors across the United States who were requested to forward the survey to their primary care provider colleagues. Primary care providers were asked to complete the survey. RESULTS A total of 144 primary care providers responded to the survey, with 130 reporting a clinical pharmacist within their primary care practice and 114 completing the entire survey. Primary care providers report pharmacists positively impact quality of care (mean = 5.5 on Likert scale of 1-6; standard deviation = 0.72), high satisfaction with pharmacy services provided (5.5; standard deviation = 0.79), and no increase in workload as a result of clinical pharmacists (5.5; standard deviation = 0.77). Primary care providers would recommend clinical pharmacists to other primary care practices (5.7; standard deviation = 0.59). Primary care providers perceived specific types of pharmacy services to have the greatest impact on patient care: medication therapy management (38.6%), disease-focused management (29.82%), and medication reconciliation (11.4%). Primary care providers indicated the most valuable disease-focused pharmacy services as diabetes (58.78%), hypertension (9.65%), and pain (11.4%). CONCLUSION Primary care providers report high satisfaction with and perceived benefit of clinical pharmacy services in primary care and viewed medication therapy management and disease-focused management of diabetes, hypertension, and pain as the most valuable clinical pharmacy services. These results can be used to inform development or expansion of clinical pharmacy services in primary care.","author":[{"dropping-particle":"","family":"Truong","given":"Havan","non-dropping-particle":"","parse-names":false,"suffix":""},{"dropping-particle":"","family":"Kroehl","given":"Miranda E","non-dropping-particle":"","parse-names":false,"suffix":""},{"dropping-particle":"","family":"Lewis","given":"Carmen","non-dropping-particle":"","parse-names":false,"suffix":""},{"dropping-particle":"","family":"Pettigrew","given":"Robin","non-dropping-particle":"","parse-names":false,"suffix":""},{"dropping-particle":"","family":"Bennett","given":"Marialice","non-dropping-particle":"","parse-names":false,"suffix":""},{"dropping-particle":"","family":"Saseen","given":"Joseph J","non-dropping-particle":"","parse-names":false,"suffix":""},{"dropping-particle":"","family":"Trinkley","given":"Katy E","non-dropping-particle":"","parse-names":false,"suffix":""}],"container-title":"SAGE Open Medicine","id":"ITEM-1","issued":{"date-parts":[["2017"]]},"page":"205031211771391","publisher-place":"England","title":"Clinical pharmacists in primary care: Provider satisfaction and perceived impact on quality of care provided","type":"article-journal","volume":"5"},"uris":["http://www.mendeley.com/documents/?uuid=68b42044-94ce-4ed2-a6de-aa34745e8168"]}],"mendeley":{"formattedCitation":"(Truong &lt;i&gt;et al.&lt;/i&gt;, 2017)","plainTextFormattedCitation":"(Truong et al., 2017)","previouslyFormattedCitation":"(Truong &lt;i&gt;et al.&lt;/i&gt;, 2017)"},"properties":{"noteIndex":0},"schema":"https://github.com/citation-style-language/schema/raw/master/csl-citation.json"}</w:instrText>
      </w:r>
      <w:r w:rsidRPr="006A056B">
        <w:rPr>
          <w:rFonts w:ascii="Arial" w:hAnsi="Arial" w:cs="Arial"/>
          <w:sz w:val="24"/>
          <w:szCs w:val="24"/>
          <w:lang w:val="en-GB"/>
        </w:rPr>
        <w:fldChar w:fldCharType="separate"/>
      </w:r>
      <w:r w:rsidRPr="006A056B">
        <w:rPr>
          <w:rFonts w:ascii="Arial" w:hAnsi="Arial" w:cs="Arial"/>
          <w:noProof/>
          <w:sz w:val="24"/>
          <w:szCs w:val="24"/>
          <w:lang w:val="en-GB"/>
        </w:rPr>
        <w:t xml:space="preserve">(Truong </w:t>
      </w:r>
      <w:r w:rsidRPr="006A056B">
        <w:rPr>
          <w:rFonts w:ascii="Arial" w:hAnsi="Arial" w:cs="Arial"/>
          <w:i/>
          <w:noProof/>
          <w:sz w:val="24"/>
          <w:szCs w:val="24"/>
          <w:lang w:val="en-GB"/>
        </w:rPr>
        <w:t>et al.</w:t>
      </w:r>
      <w:r w:rsidRPr="006A056B">
        <w:rPr>
          <w:rFonts w:ascii="Arial" w:hAnsi="Arial" w:cs="Arial"/>
          <w:noProof/>
          <w:sz w:val="24"/>
          <w:szCs w:val="24"/>
          <w:lang w:val="en-GB"/>
        </w:rPr>
        <w:t>, 2017)</w:t>
      </w:r>
      <w:r w:rsidRPr="006A056B">
        <w:rPr>
          <w:rFonts w:ascii="Arial" w:hAnsi="Arial" w:cs="Arial"/>
          <w:sz w:val="24"/>
          <w:szCs w:val="24"/>
          <w:lang w:val="en-GB"/>
        </w:rPr>
        <w:fldChar w:fldCharType="end"/>
      </w:r>
      <w:r w:rsidRPr="006A056B">
        <w:rPr>
          <w:rFonts w:ascii="Arial" w:hAnsi="Arial" w:cs="Arial"/>
          <w:sz w:val="24"/>
          <w:szCs w:val="24"/>
          <w:lang w:val="en-GB"/>
        </w:rPr>
        <w:t xml:space="preserve">. This perception was one of the most key barrier that faced pharmacists in Kuwait from providing diabetes-related services. </w:t>
      </w:r>
      <w:r w:rsidRPr="006A056B">
        <w:rPr>
          <w:rFonts w:ascii="Arial" w:hAnsi="Arial" w:cs="Arial"/>
          <w:sz w:val="24"/>
          <w:szCs w:val="24"/>
          <w:lang w:val="en-GB"/>
        </w:rPr>
        <w:fldChar w:fldCharType="begin" w:fldLock="1"/>
      </w:r>
      <w:r w:rsidRPr="006A056B">
        <w:rPr>
          <w:rFonts w:ascii="Arial" w:hAnsi="Arial" w:cs="Arial"/>
          <w:sz w:val="24"/>
          <w:szCs w:val="24"/>
          <w:lang w:val="en-GB"/>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sidRPr="006A056B">
        <w:rPr>
          <w:rFonts w:ascii="Arial" w:hAnsi="Arial" w:cs="Arial"/>
          <w:sz w:val="24"/>
          <w:szCs w:val="24"/>
          <w:lang w:val="en-GB"/>
        </w:rPr>
        <w:fldChar w:fldCharType="separate"/>
      </w:r>
      <w:r w:rsidRPr="006A056B">
        <w:rPr>
          <w:rFonts w:ascii="Arial" w:hAnsi="Arial" w:cs="Arial"/>
          <w:noProof/>
          <w:sz w:val="24"/>
          <w:szCs w:val="24"/>
          <w:lang w:val="en-GB"/>
        </w:rPr>
        <w:t>Al-Taweel et al. (2014)</w:t>
      </w:r>
      <w:r w:rsidRPr="006A056B">
        <w:rPr>
          <w:rFonts w:ascii="Arial" w:hAnsi="Arial" w:cs="Arial"/>
          <w:sz w:val="24"/>
          <w:szCs w:val="24"/>
          <w:lang w:val="en-GB"/>
        </w:rPr>
        <w:fldChar w:fldCharType="end"/>
      </w:r>
      <w:r w:rsidRPr="006A056B">
        <w:rPr>
          <w:rFonts w:ascii="Arial" w:hAnsi="Arial" w:cs="Arial"/>
          <w:sz w:val="24"/>
          <w:szCs w:val="24"/>
          <w:lang w:val="en-GB"/>
        </w:rPr>
        <w:t xml:space="preserve"> and </w:t>
      </w:r>
      <w:r w:rsidRPr="006A056B">
        <w:rPr>
          <w:rFonts w:ascii="Arial" w:hAnsi="Arial" w:cs="Arial"/>
          <w:sz w:val="24"/>
          <w:szCs w:val="24"/>
        </w:rPr>
        <w:fldChar w:fldCharType="begin" w:fldLock="1"/>
      </w:r>
      <w:r w:rsidRPr="006A056B">
        <w:rPr>
          <w:rFonts w:ascii="Arial" w:hAnsi="Arial" w:cs="Arial"/>
          <w:sz w:val="24"/>
          <w:szCs w:val="24"/>
        </w:rPr>
        <w:instrText>ADDIN CSL_CITATION {"citationItems":[{"id":"ITEM-1","itemData":{"DOI":"10.1159/000456088","ISSN":"14230151","abstract":"Objectives: The objectives of this study were to measure pharmacists' attitudes toward management of diabetes, identify current levels of pharmacy service provided to patients with diabetes, and identify barriers for further provision of diabetes-related services. Subjects and Methods: A descriptive, cross-sectional study was conducted on a sample of 198 pharmacists working in primary and secondary health care settings in one health region of Kuwait using a pretested self-administered questionnaire. Descriptive statistics, correlations, and comparative analysis were performed. Results: The response rate was 84.4% (n = 168). Respondents had overall positive attitudes toward management of diabetes. Pharmacists regularly provided their patients with counseling on the appropriate time to administer their medications; however, services related to hypoglycemia and management of comorbid diseases were rarely provided. A negative correlation was found between the positive overall diabetes-related attitudes and pharmacists' involvement in providing the following diabetes-related services: glucose monitoring (r = -0.25, p = 0.001), comorbid disease management (r = -0.243, p = 0.001), and healthy living choices (r = -0.237, p = 0.002). The perception that some physicians and patients have of pharmacists as dispensers only was identified as the most important barrier to providing diabetes-related services. Conclusion: Pharmacists have positive diabetes-related attitudes; however, they provide limited diabetes-related services to their patients. Barriers to provision of pharmacy services to patients with diabetes should be addressed to enable optimum patient care delivery.","author":[{"dropping-particle":"","family":"Haqan","given":"Asmaa A.","non-dropping-particle":"Al","parse-names":false,"suffix":""},{"dropping-particle":"","family":"Al-Taweel","given":"Dalal M.","non-dropping-particle":"","parse-names":false,"suffix":""},{"dropping-particle":"","family":"Awad","given":"Abdelmoneim","non-dropping-particle":"","parse-names":false,"suffix":""},{"dropping-particle":"","family":"Wake","given":"Deborah Jane","non-dropping-particle":"","parse-names":false,"suffix":""}],"container-title":"Medical Principles and Practice","id":"ITEM-1","issue":"3","issued":{"date-parts":[["2017","5","1"]]},"page":"273-279","publisher":"S. Karger AG","title":"Pharmacists' Attitudes and Role in Diabetes Management in Kuwait","type":"article-journal","volume":"26"},"uris":["http://www.mendeley.com/documents/?uuid=6cc31e18-9dc2-3473-bf05-43a9df581f33"]}],"mendeley":{"formattedCitation":"(Al Haqan &lt;i&gt;et al.&lt;/i&gt;, 2017)","manualFormatting":"Al Haqan et al. (2017)","plainTextFormattedCitation":"(Al Haqan et al., 2017)","previouslyFormattedCitation":"(Al Haqan &lt;i&gt;et al.&lt;/i&gt;, 2017)"},"properties":{"noteIndex":0},"schema":"https://github.com/citation-style-language/schema/raw/master/csl-citation.json"}</w:instrText>
      </w:r>
      <w:r w:rsidRPr="006A056B">
        <w:rPr>
          <w:rFonts w:ascii="Arial" w:hAnsi="Arial" w:cs="Arial"/>
          <w:sz w:val="24"/>
          <w:szCs w:val="24"/>
        </w:rPr>
        <w:fldChar w:fldCharType="separate"/>
      </w:r>
      <w:r w:rsidRPr="006A056B">
        <w:rPr>
          <w:rFonts w:ascii="Arial" w:hAnsi="Arial" w:cs="Arial"/>
          <w:noProof/>
          <w:sz w:val="24"/>
          <w:szCs w:val="24"/>
        </w:rPr>
        <w:t xml:space="preserve">Al Haqan </w:t>
      </w:r>
      <w:r w:rsidRPr="006A056B">
        <w:rPr>
          <w:rFonts w:ascii="Arial" w:hAnsi="Arial" w:cs="Arial"/>
          <w:i/>
          <w:noProof/>
          <w:sz w:val="24"/>
          <w:szCs w:val="24"/>
        </w:rPr>
        <w:t>et al.</w:t>
      </w:r>
      <w:r w:rsidRPr="006A056B">
        <w:rPr>
          <w:rFonts w:ascii="Arial" w:hAnsi="Arial" w:cs="Arial"/>
          <w:noProof/>
          <w:sz w:val="24"/>
          <w:szCs w:val="24"/>
        </w:rPr>
        <w:t xml:space="preserve"> (2017)</w:t>
      </w:r>
      <w:r w:rsidRPr="006A056B">
        <w:rPr>
          <w:rFonts w:ascii="Arial" w:hAnsi="Arial" w:cs="Arial"/>
          <w:sz w:val="24"/>
          <w:szCs w:val="24"/>
        </w:rPr>
        <w:fldChar w:fldCharType="end"/>
      </w:r>
      <w:r w:rsidRPr="006A056B">
        <w:rPr>
          <w:rFonts w:ascii="Arial" w:hAnsi="Arial" w:cs="Arial"/>
          <w:sz w:val="24"/>
          <w:szCs w:val="24"/>
        </w:rPr>
        <w:t xml:space="preserve"> </w:t>
      </w:r>
      <w:r w:rsidRPr="006A056B">
        <w:rPr>
          <w:rFonts w:ascii="Arial" w:hAnsi="Arial" w:cs="Arial"/>
          <w:sz w:val="24"/>
          <w:szCs w:val="24"/>
          <w:lang w:val="en-GB"/>
        </w:rPr>
        <w:t xml:space="preserve">identified that some physicians and patients in Kuwait perceived pharmacists as dispensers only. In contrast, </w:t>
      </w:r>
      <w:r w:rsidRPr="006A056B">
        <w:rPr>
          <w:rFonts w:ascii="Arial" w:hAnsi="Arial" w:cs="Arial"/>
          <w:sz w:val="24"/>
          <w:szCs w:val="24"/>
          <w:lang w:val="en"/>
        </w:rPr>
        <w:t>Duncan et al., (2020) found that some GPs were concerned that pharmacists adhere too strictly to regulations and guidelines, which may prevent GPs from collaborating with pharmacists and prevent pharmacists from fulfilling their roles.</w:t>
      </w:r>
    </w:p>
    <w:p w14:paraId="3EDCA624" w14:textId="5EB8EB5E" w:rsidR="00941883" w:rsidRPr="006A056B" w:rsidRDefault="00941883" w:rsidP="00941883">
      <w:pPr>
        <w:autoSpaceDE w:val="0"/>
        <w:autoSpaceDN w:val="0"/>
        <w:adjustRightInd w:val="0"/>
        <w:spacing w:line="360" w:lineRule="auto"/>
        <w:jc w:val="both"/>
        <w:rPr>
          <w:rFonts w:ascii="Arial" w:hAnsi="Arial" w:cs="Arial"/>
          <w:sz w:val="24"/>
          <w:szCs w:val="24"/>
          <w:lang w:val="en"/>
        </w:rPr>
      </w:pPr>
      <w:r w:rsidRPr="006A056B">
        <w:rPr>
          <w:rFonts w:ascii="Arial" w:hAnsi="Arial" w:cs="Arial"/>
          <w:sz w:val="24"/>
          <w:szCs w:val="24"/>
          <w:lang w:val="en"/>
        </w:rPr>
        <w:t xml:space="preserve">The most common barriers to pharmacists providing interventions into diabetes management, according to </w:t>
      </w:r>
      <w:r w:rsidRPr="006A056B">
        <w:rPr>
          <w:rFonts w:ascii="Arial" w:hAnsi="Arial" w:cs="Arial"/>
          <w:sz w:val="24"/>
          <w:szCs w:val="24"/>
          <w:lang w:val="en"/>
        </w:rPr>
        <w:fldChar w:fldCharType="begin" w:fldLock="1"/>
      </w:r>
      <w:r w:rsidRPr="006A056B">
        <w:rPr>
          <w:rFonts w:ascii="Arial" w:hAnsi="Arial" w:cs="Arial"/>
          <w:sz w:val="24"/>
          <w:szCs w:val="24"/>
          <w:lang w:val="en"/>
        </w:rPr>
        <w:instrText>ADDIN CSL_CITATION {"citationItems":[{"id":"ITEM-1","itemData":{"ISSN":"14668955","abstract":"Diabetes is one of the primary causes of death and disability globally, affecting over 371 million people, which is said to rise to 552 million people by 2030 (International Diabetes Federation, 2012). Current estimates suggest that there are over 3 million people in England with diabetes, of whom roughly a quarter are undiagnosed (Holman et al, 2011). The prevalence of diabetes is higher in developed countries than in developing countries but as developing countries become more industrialised, the incidence of diabetes will also increase. In the UK, it is estimated that the cost of treating diabetes and its related complications is approximately £14 billion (around 85% of that being due to type 2 diabetes), accounting for around 10% of the total NHS expenditure for England and Wales (Kanavos et al, 2012). In 2012, around 4.8 million deaths resulted from the disease and its associated complications worldwide (International Diabetes Federation, 2012). Diabetes has been stated to be the underlying cause of 12% of all new cases of legal blindness, over one third of new cases of end-stage renal disease and approximately half of non-traumatic lower-extremity amputations. It has also been indicated that people with diabetes are two to four times more likely to die from heart disease or suffer a stoke (Powers, 2001).","author":[{"dropping-particle":"","family":"Khunti","given":"Nitisha","non-dropping-particle":"","parse-names":false,"suffix":""},{"dropping-particle":"","family":"Willis","given":"Andrew","non-dropping-particle":"","parse-names":false,"suffix":""},{"dropping-particle":"","family":"Davies","given":"Melanie","non-dropping-particle":"","parse-names":false,"suffix":""},{"dropping-particle":"","family":"Khunti","given":"Kamlesh","non-dropping-particle":"","parse-names":false,"suffix":""}],"container-title":"Diabetes and Primary Care","id":"ITEM-1","issue":"3","issued":{"date-parts":[["2013"]]},"page":"131-140","title":"The role of pharmacists in the management of type 2 diabetes: A literature review","type":"article-journal","volume":"15"},"uris":["http://www.mendeley.com/documents/?uuid=6900c8a1-9e62-438f-95c1-aed9be81e4d2"]}],"mendeley":{"formattedCitation":"(Khunti &lt;i&gt;et al.&lt;/i&gt;, 2013)","manualFormatting":"Khunti et al. (2013)","plainTextFormattedCitation":"(Khunti et al., 2013)","previouslyFormattedCitation":"(Khunti &lt;i&gt;et al.&lt;/i&gt;, 2013)"},"properties":{"noteIndex":0},"schema":"https://github.com/citation-style-language/schema/raw/master/csl-citation.json"}</w:instrText>
      </w:r>
      <w:r w:rsidRPr="006A056B">
        <w:rPr>
          <w:rFonts w:ascii="Arial" w:hAnsi="Arial" w:cs="Arial"/>
          <w:sz w:val="24"/>
          <w:szCs w:val="24"/>
          <w:lang w:val="en"/>
        </w:rPr>
        <w:fldChar w:fldCharType="separate"/>
      </w:r>
      <w:r w:rsidRPr="006A056B">
        <w:rPr>
          <w:rFonts w:ascii="Arial" w:hAnsi="Arial" w:cs="Arial"/>
          <w:noProof/>
          <w:sz w:val="24"/>
          <w:szCs w:val="24"/>
          <w:lang w:val="en"/>
        </w:rPr>
        <w:t xml:space="preserve">Khunti </w:t>
      </w:r>
      <w:r w:rsidRPr="006A056B">
        <w:rPr>
          <w:rFonts w:ascii="Arial" w:hAnsi="Arial" w:cs="Arial"/>
          <w:i/>
          <w:noProof/>
          <w:sz w:val="24"/>
          <w:szCs w:val="24"/>
          <w:lang w:val="en"/>
        </w:rPr>
        <w:t>et al.</w:t>
      </w:r>
      <w:r w:rsidRPr="006A056B">
        <w:rPr>
          <w:rFonts w:ascii="Arial" w:hAnsi="Arial" w:cs="Arial"/>
          <w:noProof/>
          <w:sz w:val="24"/>
          <w:szCs w:val="24"/>
          <w:lang w:val="en"/>
        </w:rPr>
        <w:t xml:space="preserve"> (2013)</w:t>
      </w:r>
      <w:r w:rsidRPr="006A056B">
        <w:rPr>
          <w:rFonts w:ascii="Arial" w:hAnsi="Arial" w:cs="Arial"/>
          <w:sz w:val="24"/>
          <w:szCs w:val="24"/>
          <w:lang w:val="en"/>
        </w:rPr>
        <w:fldChar w:fldCharType="end"/>
      </w:r>
      <w:r w:rsidRPr="006A056B">
        <w:rPr>
          <w:rFonts w:ascii="Arial" w:hAnsi="Arial" w:cs="Arial"/>
          <w:sz w:val="24"/>
          <w:szCs w:val="24"/>
          <w:lang w:val="en"/>
        </w:rPr>
        <w:t xml:space="preserve">, </w:t>
      </w:r>
      <w:r w:rsidRPr="006A056B">
        <w:rPr>
          <w:rFonts w:ascii="Arial" w:hAnsi="Arial" w:cs="Arial"/>
          <w:sz w:val="24"/>
          <w:szCs w:val="24"/>
          <w:lang w:val="en-GB"/>
        </w:rPr>
        <w:fldChar w:fldCharType="begin" w:fldLock="1"/>
      </w:r>
      <w:r w:rsidRPr="006A056B">
        <w:rPr>
          <w:rFonts w:ascii="Arial" w:hAnsi="Arial" w:cs="Arial"/>
          <w:sz w:val="24"/>
          <w:szCs w:val="24"/>
          <w:lang w:val="en-GB"/>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sidRPr="006A056B">
        <w:rPr>
          <w:rFonts w:ascii="Arial" w:hAnsi="Arial" w:cs="Arial"/>
          <w:sz w:val="24"/>
          <w:szCs w:val="24"/>
          <w:lang w:val="en-GB"/>
        </w:rPr>
        <w:fldChar w:fldCharType="separate"/>
      </w:r>
      <w:r w:rsidRPr="006A056B">
        <w:rPr>
          <w:rFonts w:ascii="Arial" w:hAnsi="Arial" w:cs="Arial"/>
          <w:noProof/>
          <w:sz w:val="24"/>
          <w:szCs w:val="24"/>
          <w:lang w:val="en-GB"/>
        </w:rPr>
        <w:t>Al-Taweel et al. (2014)</w:t>
      </w:r>
      <w:r w:rsidRPr="006A056B">
        <w:rPr>
          <w:rFonts w:ascii="Arial" w:hAnsi="Arial" w:cs="Arial"/>
          <w:sz w:val="24"/>
          <w:szCs w:val="24"/>
          <w:lang w:val="en-GB"/>
        </w:rPr>
        <w:fldChar w:fldCharType="end"/>
      </w:r>
      <w:r w:rsidRPr="006A056B">
        <w:rPr>
          <w:rFonts w:ascii="Arial" w:hAnsi="Arial" w:cs="Arial"/>
          <w:sz w:val="24"/>
          <w:szCs w:val="24"/>
          <w:lang w:val="en-GB"/>
        </w:rPr>
        <w:t xml:space="preserve">, </w:t>
      </w:r>
      <w:r w:rsidRPr="006A056B">
        <w:rPr>
          <w:rFonts w:ascii="Arial" w:hAnsi="Arial" w:cs="Arial"/>
          <w:sz w:val="24"/>
          <w:szCs w:val="24"/>
        </w:rPr>
        <w:fldChar w:fldCharType="begin" w:fldLock="1"/>
      </w:r>
      <w:r w:rsidRPr="006A056B">
        <w:rPr>
          <w:rFonts w:ascii="Arial" w:hAnsi="Arial" w:cs="Arial"/>
          <w:sz w:val="24"/>
          <w:szCs w:val="24"/>
        </w:rPr>
        <w:instrText>ADDIN CSL_CITATION {"citationItems":[{"id":"ITEM-1","itemData":{"DOI":"10.1159/000456088","ISSN":"14230151","abstract":"Objectives: The objectives of this study were to measure pharmacists' attitudes toward management of diabetes, identify current levels of pharmacy service provided to patients with diabetes, and identify barriers for further provision of diabetes-related services. Subjects and Methods: A descriptive, cross-sectional study was conducted on a sample of 198 pharmacists working in primary and secondary health care settings in one health region of Kuwait using a pretested self-administered questionnaire. Descriptive statistics, correlations, and comparative analysis were performed. Results: The response rate was 84.4% (n = 168). Respondents had overall positive attitudes toward management of diabetes. Pharmacists regularly provided their patients with counseling on the appropriate time to administer their medications; however, services related to hypoglycemia and management of comorbid diseases were rarely provided. A negative correlation was found between the positive overall diabetes-related attitudes and pharmacists' involvement in providing the following diabetes-related services: glucose monitoring (r = -0.25, p = 0.001), comorbid disease management (r = -0.243, p = 0.001), and healthy living choices (r = -0.237, p = 0.002). The perception that some physicians and patients have of pharmacists as dispensers only was identified as the most important barrier to providing diabetes-related services. Conclusion: Pharmacists have positive diabetes-related attitudes; however, they provide limited diabetes-related services to their patients. Barriers to provision of pharmacy services to patients with diabetes should be addressed to enable optimum patient care delivery.","author":[{"dropping-particle":"","family":"Haqan","given":"Asmaa A.","non-dropping-particle":"Al","parse-names":false,"suffix":""},{"dropping-particle":"","family":"Al-Taweel","given":"Dalal M.","non-dropping-particle":"","parse-names":false,"suffix":""},{"dropping-particle":"","family":"Awad","given":"Abdelmoneim","non-dropping-particle":"","parse-names":false,"suffix":""},{"dropping-particle":"","family":"Wake","given":"Deborah Jane","non-dropping-particle":"","parse-names":false,"suffix":""}],"container-title":"Medical Principles and Practice","id":"ITEM-1","issue":"3","issued":{"date-parts":[["2017","5","1"]]},"page":"273-279","publisher":"S. Karger AG","title":"Pharmacists' Attitudes and Role in Diabetes Management in Kuwait","type":"article-journal","volume":"26"},"uris":["http://www.mendeley.com/documents/?uuid=6cc31e18-9dc2-3473-bf05-43a9df581f33"]}],"mendeley":{"formattedCitation":"(Al Haqan &lt;i&gt;et al.&lt;/i&gt;, 2017)","manualFormatting":"Al Haqan et al. (2017)","plainTextFormattedCitation":"(Al Haqan et al., 2017)","previouslyFormattedCitation":"(Al Haqan &lt;i&gt;et al.&lt;/i&gt;, 2017)"},"properties":{"noteIndex":0},"schema":"https://github.com/citation-style-language/schema/raw/master/csl-citation.json"}</w:instrText>
      </w:r>
      <w:r w:rsidRPr="006A056B">
        <w:rPr>
          <w:rFonts w:ascii="Arial" w:hAnsi="Arial" w:cs="Arial"/>
          <w:sz w:val="24"/>
          <w:szCs w:val="24"/>
        </w:rPr>
        <w:fldChar w:fldCharType="separate"/>
      </w:r>
      <w:r w:rsidRPr="006A056B">
        <w:rPr>
          <w:rFonts w:ascii="Arial" w:hAnsi="Arial" w:cs="Arial"/>
          <w:noProof/>
          <w:sz w:val="24"/>
          <w:szCs w:val="24"/>
        </w:rPr>
        <w:t xml:space="preserve">Al Haqan </w:t>
      </w:r>
      <w:r w:rsidRPr="006A056B">
        <w:rPr>
          <w:rFonts w:ascii="Arial" w:hAnsi="Arial" w:cs="Arial"/>
          <w:i/>
          <w:noProof/>
          <w:sz w:val="24"/>
          <w:szCs w:val="24"/>
        </w:rPr>
        <w:t>et al.</w:t>
      </w:r>
      <w:r w:rsidRPr="006A056B">
        <w:rPr>
          <w:rFonts w:ascii="Arial" w:hAnsi="Arial" w:cs="Arial"/>
          <w:noProof/>
          <w:sz w:val="24"/>
          <w:szCs w:val="24"/>
        </w:rPr>
        <w:t xml:space="preserve"> (2017)</w:t>
      </w:r>
      <w:r w:rsidRPr="006A056B">
        <w:rPr>
          <w:rFonts w:ascii="Arial" w:hAnsi="Arial" w:cs="Arial"/>
          <w:sz w:val="24"/>
          <w:szCs w:val="24"/>
        </w:rPr>
        <w:fldChar w:fldCharType="end"/>
      </w:r>
      <w:r w:rsidRPr="006A056B">
        <w:rPr>
          <w:rFonts w:ascii="Arial" w:hAnsi="Arial" w:cs="Arial"/>
          <w:sz w:val="24"/>
          <w:szCs w:val="24"/>
          <w:lang w:val="en"/>
        </w:rPr>
        <w:t>, and Al Assaf</w:t>
      </w:r>
      <w:r w:rsidRPr="006A056B">
        <w:rPr>
          <w:rFonts w:ascii="Arial" w:hAnsi="Arial" w:cs="Arial"/>
          <w:i/>
          <w:noProof/>
          <w:sz w:val="24"/>
          <w:szCs w:val="24"/>
          <w:lang w:val="en"/>
        </w:rPr>
        <w:t xml:space="preserve"> et al.</w:t>
      </w:r>
      <w:r w:rsidRPr="006A056B">
        <w:rPr>
          <w:rFonts w:ascii="Arial" w:hAnsi="Arial" w:cs="Arial"/>
          <w:noProof/>
          <w:sz w:val="24"/>
          <w:szCs w:val="24"/>
          <w:lang w:val="en"/>
        </w:rPr>
        <w:t xml:space="preserve"> </w:t>
      </w:r>
      <w:r w:rsidR="00577ECB" w:rsidRPr="006A056B">
        <w:rPr>
          <w:rFonts w:ascii="Arial" w:hAnsi="Arial" w:cs="Arial"/>
          <w:noProof/>
          <w:sz w:val="24"/>
          <w:szCs w:val="24"/>
          <w:lang w:val="en"/>
        </w:rPr>
        <w:t>(</w:t>
      </w:r>
      <w:r w:rsidRPr="006A056B">
        <w:rPr>
          <w:rFonts w:ascii="Arial" w:hAnsi="Arial" w:cs="Arial"/>
          <w:sz w:val="24"/>
          <w:szCs w:val="24"/>
          <w:lang w:val="en"/>
        </w:rPr>
        <w:t xml:space="preserve">2022) were lack of time and staff, training, facilities and resources, leadership and unprofessional relationships, lack of collaboration models with other health professionals, and lack of public awareness about services that the pharmacist can provide. Administrative issues were also one of the crucial barriers preventing pharmacists from carrying out clinical activities reported by </w:t>
      </w:r>
      <w:r w:rsidRPr="006A056B">
        <w:rPr>
          <w:rFonts w:ascii="Arial" w:hAnsi="Arial" w:cs="Arial"/>
          <w:sz w:val="24"/>
          <w:szCs w:val="24"/>
          <w:lang w:val="en-GB"/>
        </w:rPr>
        <w:fldChar w:fldCharType="begin" w:fldLock="1"/>
      </w:r>
      <w:r w:rsidRPr="006A056B">
        <w:rPr>
          <w:rFonts w:ascii="Arial" w:hAnsi="Arial" w:cs="Arial"/>
          <w:sz w:val="24"/>
          <w:szCs w:val="24"/>
          <w:lang w:val="en-GB"/>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sidRPr="006A056B">
        <w:rPr>
          <w:rFonts w:ascii="Arial" w:hAnsi="Arial" w:cs="Arial"/>
          <w:sz w:val="24"/>
          <w:szCs w:val="24"/>
          <w:lang w:val="en-GB"/>
        </w:rPr>
        <w:fldChar w:fldCharType="separate"/>
      </w:r>
      <w:r w:rsidRPr="006A056B">
        <w:rPr>
          <w:rFonts w:ascii="Arial" w:hAnsi="Arial" w:cs="Arial"/>
          <w:noProof/>
          <w:sz w:val="24"/>
          <w:szCs w:val="24"/>
          <w:lang w:val="en-GB"/>
        </w:rPr>
        <w:t>Al-Taweel et al. (2014)</w:t>
      </w:r>
      <w:r w:rsidRPr="006A056B">
        <w:rPr>
          <w:rFonts w:ascii="Arial" w:hAnsi="Arial" w:cs="Arial"/>
          <w:sz w:val="24"/>
          <w:szCs w:val="24"/>
          <w:lang w:val="en-GB"/>
        </w:rPr>
        <w:fldChar w:fldCharType="end"/>
      </w:r>
      <w:r w:rsidRPr="006A056B">
        <w:rPr>
          <w:rFonts w:ascii="Arial" w:hAnsi="Arial" w:cs="Arial"/>
          <w:sz w:val="24"/>
          <w:szCs w:val="24"/>
          <w:lang w:val="en-GB"/>
        </w:rPr>
        <w:t xml:space="preserve">. </w:t>
      </w:r>
      <w:r w:rsidRPr="006A056B">
        <w:rPr>
          <w:rFonts w:ascii="Arial" w:hAnsi="Arial" w:cs="Arial"/>
          <w:sz w:val="24"/>
          <w:szCs w:val="24"/>
          <w:lang w:val="en"/>
        </w:rPr>
        <w:t xml:space="preserve"> </w:t>
      </w:r>
    </w:p>
    <w:p w14:paraId="31DE91DD" w14:textId="77777777" w:rsidR="00941883" w:rsidRDefault="00941883" w:rsidP="00941883">
      <w:pPr>
        <w:autoSpaceDE w:val="0"/>
        <w:autoSpaceDN w:val="0"/>
        <w:adjustRightInd w:val="0"/>
        <w:spacing w:line="360" w:lineRule="auto"/>
        <w:rPr>
          <w:rFonts w:ascii="Arial" w:hAnsi="Arial" w:cs="Arial"/>
          <w:sz w:val="24"/>
          <w:szCs w:val="24"/>
          <w:lang w:val="en"/>
        </w:rPr>
      </w:pPr>
    </w:p>
    <w:p w14:paraId="428E9C82" w14:textId="3286F260" w:rsidR="00941883" w:rsidRPr="00307121" w:rsidRDefault="00307121" w:rsidP="00307121">
      <w:pPr>
        <w:pStyle w:val="Heading4"/>
        <w:numPr>
          <w:ilvl w:val="3"/>
          <w:numId w:val="1"/>
        </w:numPr>
        <w:tabs>
          <w:tab w:val="left" w:pos="900"/>
          <w:tab w:val="left" w:pos="990"/>
          <w:tab w:val="left" w:pos="1260"/>
          <w:tab w:val="left" w:pos="1620"/>
        </w:tabs>
        <w:spacing w:line="257" w:lineRule="auto"/>
        <w:ind w:left="648"/>
        <w:rPr>
          <w:rFonts w:asciiTheme="minorBidi" w:hAnsiTheme="minorBidi" w:cstheme="minorBidi"/>
          <w:sz w:val="24"/>
          <w:szCs w:val="24"/>
          <w:lang w:val="en-GB"/>
        </w:rPr>
      </w:pPr>
      <w:r>
        <w:rPr>
          <w:rFonts w:asciiTheme="minorBidi" w:hAnsiTheme="minorBidi" w:cstheme="minorBidi"/>
          <w:sz w:val="24"/>
          <w:szCs w:val="24"/>
          <w:lang w:val="en-GB"/>
        </w:rPr>
        <w:t xml:space="preserve"> </w:t>
      </w:r>
      <w:r w:rsidR="00941883" w:rsidRPr="00307121">
        <w:rPr>
          <w:rFonts w:asciiTheme="minorBidi" w:hAnsiTheme="minorBidi" w:cstheme="minorBidi"/>
          <w:sz w:val="24"/>
          <w:szCs w:val="24"/>
          <w:lang w:val="en-GB"/>
        </w:rPr>
        <w:t xml:space="preserve">Facilitators of pharmacists’ involvement into primary healthcare teams </w:t>
      </w:r>
    </w:p>
    <w:p w14:paraId="7416FD2B" w14:textId="77777777" w:rsidR="00941883" w:rsidRPr="005B096D" w:rsidRDefault="00941883" w:rsidP="005B096D">
      <w:pPr>
        <w:autoSpaceDE w:val="0"/>
        <w:autoSpaceDN w:val="0"/>
        <w:adjustRightInd w:val="0"/>
        <w:spacing w:before="240" w:line="360" w:lineRule="auto"/>
        <w:jc w:val="both"/>
        <w:rPr>
          <w:rFonts w:ascii="Arial" w:hAnsi="Arial" w:cs="Arial"/>
          <w:sz w:val="24"/>
          <w:szCs w:val="24"/>
          <w:lang w:val="en-GB"/>
        </w:rPr>
      </w:pPr>
      <w:r w:rsidRPr="005B096D">
        <w:rPr>
          <w:rFonts w:ascii="Arial" w:hAnsi="Arial" w:cs="Arial"/>
          <w:sz w:val="24"/>
          <w:szCs w:val="24"/>
          <w:lang w:val="en-GB"/>
        </w:rPr>
        <w:t xml:space="preserve">Several factors have been identified that may help pharmacist involvement in diabetes care. Patients need to be educated frequently about their disease and treatment. This task described by doctors requires a lot of time and detailed work, which a pharmacist can help them in a collaborative clinic to do medication education and consultation </w:t>
      </w:r>
      <w:r w:rsidRPr="005B096D">
        <w:rPr>
          <w:rFonts w:ascii="Arial" w:hAnsi="Arial" w:cs="Arial"/>
          <w:sz w:val="24"/>
          <w:szCs w:val="24"/>
          <w:lang w:val="en-GB"/>
        </w:rPr>
        <w:fldChar w:fldCharType="begin" w:fldLock="1"/>
      </w:r>
      <w:r w:rsidRPr="005B096D">
        <w:rPr>
          <w:rFonts w:ascii="Arial" w:hAnsi="Arial" w:cs="Arial"/>
          <w:sz w:val="24"/>
          <w:szCs w:val="24"/>
          <w:lang w:val="en-GB"/>
        </w:rPr>
        <w:instrText>ADDIN CSL_CITATION {"citationItems":[{"id":"ITEM-1","itemData":{"DOI":"10.3389/fphar.2023.1098207","ISSN":"16639812","abstract":"Background: Physician-pharmacist collaboration is a well-established care mode for the management of type 2 diabetes mellitus (T2DM) in developed countries, but no study has been conducted in primary healthcare in China. This study aims to evaluate the effects of physician-pharmacist collaborative clinics to manage T2DM in primary healthcare in China, and to better understand the factors influencing the implementation of physician-pharmacist collaborative clinics. Methods: Two hundred and sixty-seven patients involved in a 12-month randomized controlled trial were assigned to physician-pharmacist collaborative clinics and usual clinics, completing surveys regarding medication compliance, quality of life (QoL) and care-seeking behavior at the baseline, 3rd, 6th, 9th and 12th month respectively, and diabetes knowledge at baseline and 12th month. A sample of twenty-two Patients, nine physicians and twelve pharmacists participated in semi-structured face-to-face interviews. The quantitative and qualitative data was integrated by triangulation. Results: Patients in physician-pharmacist collaborative clinics had significant improvements in medication compliance (p = 0.009), QoL (p = 0.036) and emergency visits (p = 0.003) over the 12-month. Pairwise comparison showed the medication compliance score in the intervention group had been significantly improved at 3rd month (p = 0.001), which is more rapidly than that in the control group at 9th month (p = 0.030). Factors influencing the implementation of physician-pharmacist collaborative clinics were driven by five themes: pharmaceutical service, team-base care, psychological support, acceptability of care and barriers to implementation. Conclusion: Integration of quantitative and qualitative findings showed the effectiveness of physician-pharmacist collaborative clinics in patient medication compliance and QoL in primary healthcare. The qualitative study uncovered barriers in insufficient clinical experience and understaffing of pharmacist. Therefore, the professional training of the primary pharmacist team should be improved in the future. Clinical Trial Registration: clinicaltrials.gov, identifier ChiCTR2000031839.","author":[{"dropping-particle":"","family":"Xiao","given":"Jie","non-dropping-particle":"","parse-names":false,"suffix":""},{"dropping-particle":"","family":"Wang","given":"Qing","non-dropping-particle":"","parse-names":false,"suffix":""},{"dropping-particle":"","family":"Tan","given":"Shenglan","non-dropping-particle":"","parse-names":false,"suffix":""},{"dropping-particle":"","family":"Chen","given":"Lei","non-dropping-particle":"","parse-names":false,"suffix":""},{"dropping-particle":"","family":"Tang","given":"Bingjie","non-dropping-particle":"","parse-names":false,"suffix":""},{"dropping-particle":"","family":"Huang","given":"Shuting","non-dropping-particle":"","parse-names":false,"suffix":""},{"dropping-particle":"","family":"Zhou","given":"Yangang","non-dropping-particle":"","parse-names":false,"suffix":""},{"dropping-particle":"","family":"Xu","given":"Ping","non-dropping-particle":"","parse-names":false,"suffix":""}],"container-title":"Frontiers in Pharmacology","id":"ITEM-1","issue":"March","issued":{"date-parts":[["2023"]]},"page":"1-15","title":"Analysis of patient medication compliance and quality of life of physician-pharmacist collaborative clinics for T2DM management in primary healthcare in China: A mixed-methods study","type":"article-journal","volume":"14"},"uris":["http://www.mendeley.com/documents/?uuid=679e88fc-bc3d-4c75-8576-9e7b3d6c7abb"]}],"mendeley":{"formattedCitation":"(Xiao &lt;i&gt;et al.&lt;/i&gt;, 2023)","plainTextFormattedCitation":"(Xiao et al., 2023)","previouslyFormattedCitation":"(Xiao &lt;i&gt;et al.&lt;/i&gt;, 2023)"},"properties":{"noteIndex":0},"schema":"https://github.com/citation-style-language/schema/raw/master/csl-citation.json"}</w:instrText>
      </w:r>
      <w:r w:rsidRPr="005B096D">
        <w:rPr>
          <w:rFonts w:ascii="Arial" w:hAnsi="Arial" w:cs="Arial"/>
          <w:sz w:val="24"/>
          <w:szCs w:val="24"/>
          <w:lang w:val="en-GB"/>
        </w:rPr>
        <w:fldChar w:fldCharType="separate"/>
      </w:r>
      <w:r w:rsidRPr="005B096D">
        <w:rPr>
          <w:rFonts w:ascii="Arial" w:hAnsi="Arial" w:cs="Arial"/>
          <w:noProof/>
          <w:sz w:val="24"/>
          <w:szCs w:val="24"/>
          <w:lang w:val="en-GB"/>
        </w:rPr>
        <w:t>(Xiao et al., 2023)</w:t>
      </w:r>
      <w:r w:rsidRPr="005B096D">
        <w:rPr>
          <w:rFonts w:ascii="Arial" w:hAnsi="Arial" w:cs="Arial"/>
          <w:sz w:val="24"/>
          <w:szCs w:val="24"/>
          <w:lang w:val="en-GB"/>
        </w:rPr>
        <w:fldChar w:fldCharType="end"/>
      </w:r>
      <w:r w:rsidRPr="005B096D">
        <w:rPr>
          <w:rFonts w:ascii="Arial" w:hAnsi="Arial" w:cs="Arial"/>
          <w:sz w:val="24"/>
          <w:szCs w:val="24"/>
          <w:lang w:val="en-GB"/>
        </w:rPr>
        <w:t xml:space="preserve">. Physicians’ desire to have a pharmacist to be a part of their team could also be a facilitator to support the introduction of pharmacist-led pharmaceutical care to diabetes care in collaboration with other team members. This was found in </w:t>
      </w:r>
      <w:r w:rsidRPr="005B096D">
        <w:rPr>
          <w:rFonts w:ascii="Arial" w:hAnsi="Arial" w:cs="Arial"/>
          <w:noProof/>
          <w:sz w:val="24"/>
          <w:szCs w:val="24"/>
          <w:lang w:val="en-GB"/>
        </w:rPr>
        <w:t xml:space="preserve">Truong </w:t>
      </w:r>
      <w:r w:rsidRPr="005B096D">
        <w:rPr>
          <w:rFonts w:ascii="Arial" w:hAnsi="Arial" w:cs="Arial"/>
          <w:iCs/>
          <w:noProof/>
          <w:sz w:val="24"/>
          <w:szCs w:val="24"/>
          <w:lang w:val="en-GB"/>
        </w:rPr>
        <w:t>et al.</w:t>
      </w:r>
      <w:r w:rsidRPr="005B096D">
        <w:rPr>
          <w:rFonts w:ascii="Arial" w:hAnsi="Arial" w:cs="Arial"/>
          <w:noProof/>
          <w:sz w:val="24"/>
          <w:szCs w:val="24"/>
          <w:lang w:val="en-GB"/>
        </w:rPr>
        <w:t xml:space="preserve"> (2017) </w:t>
      </w:r>
      <w:r w:rsidRPr="005B096D">
        <w:rPr>
          <w:rFonts w:ascii="Arial" w:hAnsi="Arial" w:cs="Arial"/>
          <w:sz w:val="24"/>
          <w:szCs w:val="24"/>
          <w:lang w:val="en-GB"/>
        </w:rPr>
        <w:t xml:space="preserve">study, where the primary HCPs found that clinical pharmacists help them with the medication management; therefore, they recommend the placement of clinical pharmacists to primary care practices. Likewise, physicians and nurse practitioners reported value in the pharmacist role and were highly satisfied with the new pharmacist role within primary care teams. They felt the positive impact the pharmacist had on the team and their patients </w:t>
      </w:r>
      <w:r w:rsidRPr="005B096D">
        <w:rPr>
          <w:rFonts w:ascii="Arial" w:hAnsi="Arial" w:cs="Arial"/>
          <w:sz w:val="24"/>
          <w:szCs w:val="24"/>
          <w:lang w:val="en-GB"/>
        </w:rPr>
        <w:fldChar w:fldCharType="begin" w:fldLock="1"/>
      </w:r>
      <w:r w:rsidRPr="005B096D">
        <w:rPr>
          <w:rFonts w:ascii="Arial" w:hAnsi="Arial" w:cs="Arial"/>
          <w:sz w:val="24"/>
          <w:szCs w:val="24"/>
          <w:lang w:val="en-GB"/>
        </w:rPr>
        <w:instrText>ADDIN CSL_CITATION {"citationItems":[{"id":"ITEM-1","itemData":{"DOI":"10.1111/ijpp.12080","ISSN":"20427174","PMID":"24279947","abstract":"Objectives This study evaluated the barriers and facilitators that were experienced as pharmacists were integrated into 23 existing primary care teams located in urban and rural communities in Saskatchewan, Canada. Methods Qualitative design using data from one-on-one telephone interviews with pharmacists, physicians and nurse practitioners from the 23 teams that integrated a new pharmacist role. Four researchers from varied backgrounds used thematic analysis of the interview transcripts to determine key themes. The research team met on multiple occasions to agree on the key themes and received written feedback from an external auditor and two of the original interviewees. Key findings Seven key themes emerged describing the barriers and facilitators that the teams experienced during the pharmacist integration: (1) relationships, trust and respect; (2) pharmacist role definition; (3) orientation and support; (4) pharmacist personality and professional experience; (5) pharmacist presence and visibility; (6) resources and funding; and (7) value of the pharmacist role. Teams from urban and rural communities experienced some of these challenges in unique ways. Conclusions Primary care teams that integrated a pharmacist experienced several common barriers and facilitators. The negative impact of these barriers can be mitigated with effective planning and support that is individualized for the type of community where the team is located. © 2013 Royal Pharmaceutical Society.","author":[{"dropping-particle":"","family":"Jorgenson","given":"Derek","non-dropping-particle":"","parse-names":false,"suffix":""},{"dropping-particle":"","family":"Laubscher","given":"Tessa","non-dropping-particle":"","parse-names":false,"suffix":""},{"dropping-particle":"","family":"Lyons","given":"Barry","non-dropping-particle":"","parse-names":false,"suffix":""},{"dropping-particle":"","family":"Palmer","given":"Rebecca","non-dropping-particle":"","parse-names":false,"suffix":""}],"container-title":"International Journal of Pharmacy Practice","id":"ITEM-1","issue":"4","issued":{"date-parts":[["2014"]]},"page":"292-299","title":"Integrating pharmacists into primary care teams: Barriers and facilitators","type":"article-journal","volume":"22"},"uris":["http://www.mendeley.com/documents/?uuid=94a19525-0618-465b-9834-6bc2c9cfd2ec"]}],"mendeley":{"formattedCitation":"(Jorgenson &lt;i&gt;et al.&lt;/i&gt;, 2014)","plainTextFormattedCitation":"(Jorgenson et al., 2014)","previouslyFormattedCitation":"(Jorgenson &lt;i&gt;et al.&lt;/i&gt;, 2014)"},"properties":{"noteIndex":0},"schema":"https://github.com/citation-style-language/schema/raw/master/csl-citation.json"}</w:instrText>
      </w:r>
      <w:r w:rsidRPr="005B096D">
        <w:rPr>
          <w:rFonts w:ascii="Arial" w:hAnsi="Arial" w:cs="Arial"/>
          <w:sz w:val="24"/>
          <w:szCs w:val="24"/>
          <w:lang w:val="en-GB"/>
        </w:rPr>
        <w:fldChar w:fldCharType="separate"/>
      </w:r>
      <w:r w:rsidRPr="005B096D">
        <w:rPr>
          <w:rFonts w:ascii="Arial" w:hAnsi="Arial" w:cs="Arial"/>
          <w:noProof/>
          <w:sz w:val="24"/>
          <w:szCs w:val="24"/>
          <w:lang w:val="en-GB"/>
        </w:rPr>
        <w:t xml:space="preserve">(Jorgenson </w:t>
      </w:r>
      <w:r w:rsidRPr="005B096D">
        <w:rPr>
          <w:rFonts w:ascii="Arial" w:hAnsi="Arial" w:cs="Arial"/>
          <w:i/>
          <w:noProof/>
          <w:sz w:val="24"/>
          <w:szCs w:val="24"/>
          <w:lang w:val="en-GB"/>
        </w:rPr>
        <w:t>et al.</w:t>
      </w:r>
      <w:r w:rsidRPr="005B096D">
        <w:rPr>
          <w:rFonts w:ascii="Arial" w:hAnsi="Arial" w:cs="Arial"/>
          <w:noProof/>
          <w:sz w:val="24"/>
          <w:szCs w:val="24"/>
          <w:lang w:val="en-GB"/>
        </w:rPr>
        <w:t>, 2014)</w:t>
      </w:r>
      <w:r w:rsidRPr="005B096D">
        <w:rPr>
          <w:rFonts w:ascii="Arial" w:hAnsi="Arial" w:cs="Arial"/>
          <w:sz w:val="24"/>
          <w:szCs w:val="24"/>
          <w:lang w:val="en-GB"/>
        </w:rPr>
        <w:fldChar w:fldCharType="end"/>
      </w:r>
    </w:p>
    <w:p w14:paraId="30FB4193" w14:textId="77777777" w:rsidR="00941883" w:rsidRPr="005B096D" w:rsidRDefault="00941883" w:rsidP="00941883">
      <w:pPr>
        <w:autoSpaceDE w:val="0"/>
        <w:autoSpaceDN w:val="0"/>
        <w:adjustRightInd w:val="0"/>
        <w:spacing w:line="360" w:lineRule="auto"/>
        <w:jc w:val="both"/>
        <w:rPr>
          <w:rFonts w:ascii="Arial" w:hAnsi="Arial" w:cs="Arial"/>
          <w:sz w:val="24"/>
          <w:szCs w:val="24"/>
          <w:lang w:val="en-GB"/>
        </w:rPr>
      </w:pPr>
      <w:r w:rsidRPr="005B096D">
        <w:rPr>
          <w:rFonts w:ascii="Arial" w:hAnsi="Arial" w:cs="Arial"/>
          <w:sz w:val="24"/>
          <w:szCs w:val="24"/>
          <w:lang w:val="en-GB"/>
        </w:rPr>
        <w:t xml:space="preserve">The ongoing shift of healthcare organisations to value-based contracts may support the inclusion of pharmacists as members of a multidisciplinary care team, as they are medication experts who may help the organisation improve medication management by, for example, using more economically beneficial (i.e., cost effective) medications. Pharmacists have also been shown to enhance several quality indicators that optimise medication utilisation and improve healthcare delivery </w:t>
      </w:r>
      <w:r w:rsidRPr="005B096D">
        <w:rPr>
          <w:rFonts w:ascii="Arial" w:hAnsi="Arial" w:cs="Arial"/>
          <w:sz w:val="24"/>
          <w:szCs w:val="24"/>
          <w:lang w:val="en-GB"/>
        </w:rPr>
        <w:fldChar w:fldCharType="begin" w:fldLock="1"/>
      </w:r>
      <w:r w:rsidRPr="005B096D">
        <w:rPr>
          <w:rFonts w:ascii="Arial" w:hAnsi="Arial" w:cs="Arial"/>
          <w:sz w:val="24"/>
          <w:szCs w:val="24"/>
          <w:lang w:val="en-GB"/>
        </w:rPr>
        <w:instrText>ADDIN CSL_CITATION {"citationItems":[{"id":"ITEM-1","itemData":{"DOI":"10.1093/ajhp/zxac175","ISSN":"15352900","PMID":"35773167","abstract":"Purpose: To evaluate whether pharmacist engagement on the interdisciplinary team leads to improved performance on diabetes-related quality measures. Methods: This was a retrospective observational study of patients seen in primary care and specialty clinics from October 2014 to October 2020. Patients were included if they had a visit with a physician, nurse practitioner, physician's assistant, or clinical pharmacist practitioner (CPP) within the study period and had a diagnosis of diabetes. The intervention group included patients with at least one visit with a CPP, while the control group consisted of patients who were exclusively managed by non-CPP providers. The primary outcome of this study was the median change in glycosylated hemoglobin (HbA1c) from baseline to follow-up at 3, 6, and 12 months. The secondary outcome was the probability of achieving the HbA1c targets of &lt;7% and &lt;8% at 3, 6, and 12 months. Results: Patients referred to a CPP had higher HbA1c levels at baseline and were more likely to have concomitant hypertension (P &lt; 0.01). Patients seen by a CPP had 0.31%, 0.41%, and 0.44% greater reductions in HbA1c compared to patients in the control group at 3, 6, and 12 months, respectively (P &lt; 0.01). Patients managed by a CPP were also more likely to achieve the identified HbA1c targets of &lt;7% and &lt;8%. Conclusion: Patients referred to a CPP were more complex, but had greater reductions in HbA1c and were more likely to achieve HbA1c goals included in the organization's quality measures. This study demonstrates the value of pharmacists in improving patient care and their role in supporting an organization's achievement of value-based quality measures.","author":[{"dropping-particle":"","family":"Patti","given":"Michael","non-dropping-particle":"","parse-names":false,"suffix":""},{"dropping-particle":"","family":"Colmenares","given":"Evan W.","non-dropping-particle":"","parse-names":false,"suffix":""},{"dropping-particle":"","family":"Abrahamson","given":"Anna","non-dropping-particle":"","parse-names":false,"suffix":""},{"dropping-particle":"","family":"Weddle","given":"Sarah","non-dropping-particle":"","parse-names":false,"suffix":""},{"dropping-particle":"","family":"Cavanaugh","given":"Jamie","non-dropping-particle":"","parse-names":false,"suffix":""},{"dropping-particle":"","family":"Deyo","given":"Zack","non-dropping-particle":"","parse-names":false,"suffix":""},{"dropping-particle":"","family":"Vest","given":"Mary Haston","non-dropping-particle":"","parse-names":false,"suffix":""}],"container-title":"American Journal of Health-System Pharmacy","id":"ITEM-1","issue":"19","issued":{"date-parts":[["2022"]]},"page":"1645-1651","title":"Impact of pharmacist participation in the patient care team on value-based health measures","type":"article-journal","volume":"79"},"uris":["http://www.mendeley.com/documents/?uuid=f1fe9e67-7bf7-4d9c-ad56-de1c0c4024c0"]}],"mendeley":{"formattedCitation":"(Patti &lt;i&gt;et al.&lt;/i&gt;, 2022)","plainTextFormattedCitation":"(Patti et al., 2022)","previouslyFormattedCitation":"(Patti &lt;i&gt;et al.&lt;/i&gt;, 2022)"},"properties":{"noteIndex":0},"schema":"https://github.com/citation-style-language/schema/raw/master/csl-citation.json"}</w:instrText>
      </w:r>
      <w:r w:rsidRPr="005B096D">
        <w:rPr>
          <w:rFonts w:ascii="Arial" w:hAnsi="Arial" w:cs="Arial"/>
          <w:sz w:val="24"/>
          <w:szCs w:val="24"/>
          <w:lang w:val="en-GB"/>
        </w:rPr>
        <w:fldChar w:fldCharType="separate"/>
      </w:r>
      <w:r w:rsidRPr="005B096D">
        <w:rPr>
          <w:rFonts w:ascii="Arial" w:hAnsi="Arial" w:cs="Arial"/>
          <w:noProof/>
          <w:sz w:val="24"/>
          <w:szCs w:val="24"/>
          <w:lang w:val="en-GB"/>
        </w:rPr>
        <w:t xml:space="preserve">(Patti </w:t>
      </w:r>
      <w:r w:rsidRPr="005B096D">
        <w:rPr>
          <w:rFonts w:ascii="Arial" w:hAnsi="Arial" w:cs="Arial"/>
          <w:i/>
          <w:noProof/>
          <w:sz w:val="24"/>
          <w:szCs w:val="24"/>
          <w:lang w:val="en-GB"/>
        </w:rPr>
        <w:t>et al.</w:t>
      </w:r>
      <w:r w:rsidRPr="005B096D">
        <w:rPr>
          <w:rFonts w:ascii="Arial" w:hAnsi="Arial" w:cs="Arial"/>
          <w:noProof/>
          <w:sz w:val="24"/>
          <w:szCs w:val="24"/>
          <w:lang w:val="en-GB"/>
        </w:rPr>
        <w:t>, 2022)</w:t>
      </w:r>
      <w:r w:rsidRPr="005B096D">
        <w:rPr>
          <w:rFonts w:ascii="Arial" w:hAnsi="Arial" w:cs="Arial"/>
          <w:sz w:val="24"/>
          <w:szCs w:val="24"/>
          <w:lang w:val="en-GB"/>
        </w:rPr>
        <w:fldChar w:fldCharType="end"/>
      </w:r>
      <w:r w:rsidRPr="005B096D">
        <w:rPr>
          <w:rFonts w:ascii="Arial" w:hAnsi="Arial" w:cs="Arial"/>
          <w:sz w:val="24"/>
          <w:szCs w:val="24"/>
          <w:lang w:val="en-GB"/>
        </w:rPr>
        <w:t xml:space="preserve">. </w:t>
      </w:r>
    </w:p>
    <w:p w14:paraId="320F6E0F" w14:textId="77777777" w:rsidR="00941883" w:rsidRPr="005B096D" w:rsidRDefault="00941883" w:rsidP="00941883">
      <w:pPr>
        <w:autoSpaceDE w:val="0"/>
        <w:autoSpaceDN w:val="0"/>
        <w:adjustRightInd w:val="0"/>
        <w:spacing w:line="360" w:lineRule="auto"/>
        <w:jc w:val="both"/>
        <w:rPr>
          <w:rFonts w:ascii="Arial" w:hAnsi="Arial" w:cs="Arial"/>
          <w:sz w:val="24"/>
          <w:szCs w:val="24"/>
          <w:lang w:val="en-GB"/>
        </w:rPr>
      </w:pPr>
      <w:r w:rsidRPr="005B096D">
        <w:rPr>
          <w:rFonts w:ascii="Arial" w:hAnsi="Arial" w:cs="Arial"/>
          <w:sz w:val="24"/>
          <w:szCs w:val="24"/>
          <w:lang w:val="en-GB"/>
        </w:rPr>
        <w:t xml:space="preserve">The literature also pointed out some aspects that could facilitate involving pharmacists in the diabetes care team. Pharmacists’ willingness to be involved in diabetes management, as found in both studies by Al-Taweel et al. (2014) and Al Haqan et al. (2017), could facilitate their contribution to diabetes care. However, Xiao et al. (2023) argued that primary care pharmacists' educational backgrounds and knowledge bases do not meet contemporary clinical needs, making it challenging to provide clinical pharmacy practice, especially for highly educated populations. Changes in the education and training for pharmacists in SA could promote their contributions to provide clinical services and direct patient care; pharmacists in SA have been awarded Pharm D degrees since 2001 </w:t>
      </w:r>
      <w:r w:rsidRPr="005B096D">
        <w:rPr>
          <w:rFonts w:ascii="Arial" w:hAnsi="Arial" w:cs="Arial"/>
          <w:sz w:val="24"/>
          <w:szCs w:val="24"/>
          <w:lang w:val="en-GB"/>
        </w:rPr>
        <w:fldChar w:fldCharType="begin" w:fldLock="1"/>
      </w:r>
      <w:r w:rsidRPr="005B096D">
        <w:rPr>
          <w:rFonts w:ascii="Arial" w:hAnsi="Arial" w:cs="Arial"/>
          <w:sz w:val="24"/>
          <w:szCs w:val="24"/>
          <w:lang w:val="en-GB"/>
        </w:rPr>
        <w:instrText>ADDIN CSL_CITATION {"citationItems":[{"id":"ITEM-1","itemData":{"DOI":"10.1016/j.cptl.2017.09.014","ISSN":"18771300","abstract":"Introduction Saudi Arabia has a population of approximately 31 million people. The amount of literature published regarding pharmacy education in Saudi Arabia, however, is insignificant in number. The objective of this study is to describe the condition of pharmacy education in Saudi Arabia. Methods PubMed, Saudi Arabian government's publications and websites of pharmacy colleges have been searched. Descriptive content analysis has been used to draw a complete picture of pharmacy education in Saudi Arabia. Results From 1959 to 2001, Saudi Arabia had only one college of pharmacy. However, from 2001 to 2014, with the government initiative to train more national pharmacists, the nation witnessed the establishment of 23 government colleges and seven private colleges. No new colleges have been established since 2014. By the end of 2014, there were 30 pharmacy colleges offering more than 37 undergraduate programs. Only three colleges offer postgraduate programs, however. None of the colleges are accredited nationally or internationally. Conclusion There is no evidence that this increase in the number of pharmacy colleges will meet the demand for nationally-born pharmacists. More research needs to be conducted concerning Saudi Arabia's need. There are very few opportunities for advanced degrees. The program names should be a normalized as all of them lead to registration as a pharmacist. The dramatic increase may have affected program quality as no colleges are nationally or internationally accredited. Colleges should seek accreditation to ensure they are within accepted international standards.","author":[{"dropping-particle":"","family":"Alhamoudi","given":"Abdulhakem","non-dropping-particle":"","parse-names":false,"suffix":""},{"dropping-particle":"","family":"Alnattah","given":"Ashraf","non-dropping-particle":"","parse-names":false,"suffix":""}],"container-title":"Currents in Pharmacy Teaching and Learning","id":"ITEM-1","issue":"1","issued":{"date-parts":[["2018"]]},"page":"54-60","publisher":"Elsevier","title":"Pharmacy education in Saudi Arabia: The past, the present, and the future","type":"article-journal","volume":"10"},"uris":["http://www.mendeley.com/documents/?uuid=72744b95-9684-441a-9096-058ce7020202"]}],"mendeley":{"formattedCitation":"(Alhamoudi and Alnattah, 2018)","plainTextFormattedCitation":"(Alhamoudi and Alnattah, 2018)","previouslyFormattedCitation":"(Alhamoudi and Alnattah, 2018)"},"properties":{"noteIndex":0},"schema":"https://github.com/citation-style-language/schema/raw/master/csl-citation.json"}</w:instrText>
      </w:r>
      <w:r w:rsidRPr="005B096D">
        <w:rPr>
          <w:rFonts w:ascii="Arial" w:hAnsi="Arial" w:cs="Arial"/>
          <w:sz w:val="24"/>
          <w:szCs w:val="24"/>
          <w:lang w:val="en-GB"/>
        </w:rPr>
        <w:fldChar w:fldCharType="separate"/>
      </w:r>
      <w:r w:rsidRPr="005B096D">
        <w:rPr>
          <w:rFonts w:ascii="Arial" w:hAnsi="Arial" w:cs="Arial"/>
          <w:noProof/>
          <w:sz w:val="24"/>
          <w:szCs w:val="24"/>
          <w:lang w:val="en-GB"/>
        </w:rPr>
        <w:t>(Alhamoudi and Alnattah, 2018)</w:t>
      </w:r>
      <w:r w:rsidRPr="005B096D">
        <w:rPr>
          <w:rFonts w:ascii="Arial" w:hAnsi="Arial" w:cs="Arial"/>
          <w:sz w:val="24"/>
          <w:szCs w:val="24"/>
          <w:lang w:val="en-GB"/>
        </w:rPr>
        <w:fldChar w:fldCharType="end"/>
      </w:r>
      <w:r w:rsidRPr="005B096D">
        <w:rPr>
          <w:rFonts w:ascii="Arial" w:hAnsi="Arial" w:cs="Arial"/>
          <w:sz w:val="24"/>
          <w:szCs w:val="24"/>
          <w:lang w:val="en-GB"/>
        </w:rPr>
        <w:t xml:space="preserve"> which aimed to make pharmacists graduate expert HCPs in the field of medicine, and provide opportunities for direct patient care. The professional experience and qualification of pharmacists have played a role in integrating pharmacists into primary care teams. It was found that the integration process was easier for pharmacists who had previous experience working in collaborative settings (even if not in primary care) or who had advanced training or credentials such as having a master's or doctor of pharmacy degree, board-certified Pharmacotherapy Specialist, or certified diabetes educator </w:t>
      </w:r>
      <w:r w:rsidRPr="005B096D">
        <w:rPr>
          <w:rFonts w:ascii="Arial" w:hAnsi="Arial" w:cs="Arial"/>
          <w:sz w:val="24"/>
          <w:szCs w:val="24"/>
          <w:lang w:val="en-GB"/>
        </w:rPr>
        <w:fldChar w:fldCharType="begin" w:fldLock="1"/>
      </w:r>
      <w:r w:rsidRPr="005B096D">
        <w:rPr>
          <w:rFonts w:ascii="Arial" w:hAnsi="Arial" w:cs="Arial"/>
          <w:sz w:val="24"/>
          <w:szCs w:val="24"/>
          <w:lang w:val="en-GB"/>
        </w:rPr>
        <w:instrText>ADDIN CSL_CITATION {"citationItems":[{"id":"ITEM-1","itemData":{"DOI":"10.1111/ijpp.12080","ISSN":"20427174","PMID":"24279947","abstract":"Objectives This study evaluated the barriers and facilitators that were experienced as pharmacists were integrated into 23 existing primary care teams located in urban and rural communities in Saskatchewan, Canada. Methods Qualitative design using data from one-on-one telephone interviews with pharmacists, physicians and nurse practitioners from the 23 teams that integrated a new pharmacist role. Four researchers from varied backgrounds used thematic analysis of the interview transcripts to determine key themes. The research team met on multiple occasions to agree on the key themes and received written feedback from an external auditor and two of the original interviewees. Key findings Seven key themes emerged describing the barriers and facilitators that the teams experienced during the pharmacist integration: (1) relationships, trust and respect; (2) pharmacist role definition; (3) orientation and support; (4) pharmacist personality and professional experience; (5) pharmacist presence and visibility; (6) resources and funding; and (7) value of the pharmacist role. Teams from urban and rural communities experienced some of these challenges in unique ways. Conclusions Primary care teams that integrated a pharmacist experienced several common barriers and facilitators. The negative impact of these barriers can be mitigated with effective planning and support that is individualized for the type of community where the team is located. © 2013 Royal Pharmaceutical Society.","author":[{"dropping-particle":"","family":"Jorgenson","given":"Derek","non-dropping-particle":"","parse-names":false,"suffix":""},{"dropping-particle":"","family":"Laubscher","given":"Tessa","non-dropping-particle":"","parse-names":false,"suffix":""},{"dropping-particle":"","family":"Lyons","given":"Barry","non-dropping-particle":"","parse-names":false,"suffix":""},{"dropping-particle":"","family":"Palmer","given":"Rebecca","non-dropping-particle":"","parse-names":false,"suffix":""}],"container-title":"International Journal of Pharmacy Practice","id":"ITEM-1","issue":"4","issued":{"date-parts":[["2014"]]},"page":"292-299","title":"Integrating pharmacists into primary care teams: Barriers and facilitators","type":"article-journal","volume":"22"},"uris":["http://www.mendeley.com/documents/?uuid=94a19525-0618-465b-9834-6bc2c9cfd2ec"]}],"mendeley":{"formattedCitation":"(Jorgenson &lt;i&gt;et al.&lt;/i&gt;, 2014)","plainTextFormattedCitation":"(Jorgenson et al., 2014)","previouslyFormattedCitation":"(Jorgenson &lt;i&gt;et al.&lt;/i&gt;, 2014)"},"properties":{"noteIndex":0},"schema":"https://github.com/citation-style-language/schema/raw/master/csl-citation.json"}</w:instrText>
      </w:r>
      <w:r w:rsidRPr="005B096D">
        <w:rPr>
          <w:rFonts w:ascii="Arial" w:hAnsi="Arial" w:cs="Arial"/>
          <w:sz w:val="24"/>
          <w:szCs w:val="24"/>
          <w:lang w:val="en-GB"/>
        </w:rPr>
        <w:fldChar w:fldCharType="separate"/>
      </w:r>
      <w:r w:rsidRPr="005B096D">
        <w:rPr>
          <w:rFonts w:ascii="Arial" w:hAnsi="Arial" w:cs="Arial"/>
          <w:noProof/>
          <w:sz w:val="24"/>
          <w:szCs w:val="24"/>
          <w:lang w:val="en-GB"/>
        </w:rPr>
        <w:t xml:space="preserve">(Jorgenson </w:t>
      </w:r>
      <w:r w:rsidRPr="005B096D">
        <w:rPr>
          <w:rFonts w:ascii="Arial" w:hAnsi="Arial" w:cs="Arial"/>
          <w:i/>
          <w:noProof/>
          <w:sz w:val="24"/>
          <w:szCs w:val="24"/>
          <w:lang w:val="en-GB"/>
        </w:rPr>
        <w:t>et al.</w:t>
      </w:r>
      <w:r w:rsidRPr="005B096D">
        <w:rPr>
          <w:rFonts w:ascii="Arial" w:hAnsi="Arial" w:cs="Arial"/>
          <w:noProof/>
          <w:sz w:val="24"/>
          <w:szCs w:val="24"/>
          <w:lang w:val="en-GB"/>
        </w:rPr>
        <w:t>, 2014)</w:t>
      </w:r>
      <w:r w:rsidRPr="005B096D">
        <w:rPr>
          <w:rFonts w:ascii="Arial" w:hAnsi="Arial" w:cs="Arial"/>
          <w:sz w:val="24"/>
          <w:szCs w:val="24"/>
          <w:lang w:val="en-GB"/>
        </w:rPr>
        <w:fldChar w:fldCharType="end"/>
      </w:r>
      <w:r w:rsidRPr="005B096D">
        <w:rPr>
          <w:rFonts w:ascii="Arial" w:hAnsi="Arial" w:cs="Arial"/>
          <w:sz w:val="24"/>
          <w:szCs w:val="24"/>
          <w:lang w:val="en-GB"/>
        </w:rPr>
        <w:t xml:space="preserve">. </w:t>
      </w:r>
    </w:p>
    <w:p w14:paraId="14FDFE22" w14:textId="77777777" w:rsidR="00941883" w:rsidRDefault="00941883" w:rsidP="00941883">
      <w:pPr>
        <w:autoSpaceDE w:val="0"/>
        <w:autoSpaceDN w:val="0"/>
        <w:adjustRightInd w:val="0"/>
        <w:spacing w:line="360" w:lineRule="auto"/>
        <w:jc w:val="both"/>
        <w:rPr>
          <w:rFonts w:ascii="Arial" w:hAnsi="Arial" w:cs="Arial"/>
          <w:sz w:val="24"/>
          <w:szCs w:val="24"/>
          <w:lang w:val="en-GB"/>
        </w:rPr>
      </w:pPr>
      <w:r w:rsidRPr="00BC321B">
        <w:rPr>
          <w:rFonts w:ascii="Arial" w:hAnsi="Arial" w:cs="Arial"/>
          <w:sz w:val="24"/>
          <w:szCs w:val="24"/>
          <w:lang w:val="en-GB"/>
        </w:rPr>
        <w:t>There is a great demand reported by some Saudi researchers such as Makeen, for the involvement of pharmacists in diabetes management; his report mentioned</w:t>
      </w:r>
      <w:r>
        <w:rPr>
          <w:rFonts w:ascii="Arial" w:hAnsi="Arial" w:cs="Arial"/>
          <w:sz w:val="24"/>
          <w:szCs w:val="24"/>
          <w:lang w:val="en-GB"/>
        </w:rPr>
        <w:t xml:space="preserve">: </w:t>
      </w:r>
    </w:p>
    <w:p w14:paraId="6F0B192B" w14:textId="77777777" w:rsidR="00941883" w:rsidRDefault="00941883" w:rsidP="00941883">
      <w:pPr>
        <w:autoSpaceDE w:val="0"/>
        <w:autoSpaceDN w:val="0"/>
        <w:adjustRightInd w:val="0"/>
        <w:spacing w:line="360" w:lineRule="auto"/>
        <w:ind w:left="720"/>
        <w:jc w:val="both"/>
        <w:rPr>
          <w:rFonts w:ascii="Arial" w:hAnsi="Arial" w:cs="Arial"/>
          <w:sz w:val="24"/>
          <w:szCs w:val="24"/>
          <w:lang w:val="en-GB"/>
        </w:rPr>
      </w:pPr>
      <w:r w:rsidRPr="00BC321B">
        <w:rPr>
          <w:rFonts w:ascii="Arial" w:hAnsi="Arial" w:cs="Arial"/>
          <w:i/>
          <w:iCs/>
          <w:sz w:val="24"/>
          <w:szCs w:val="24"/>
          <w:lang w:val="en-GB"/>
        </w:rPr>
        <w:t>“clinical pharmacists in diabetic clinics in Saudi Arabia – not just a perception but a need”</w:t>
      </w:r>
      <w:r w:rsidRPr="00BC321B">
        <w:rPr>
          <w:rFonts w:ascii="Arial" w:hAnsi="Arial" w:cs="Arial"/>
          <w:sz w:val="24"/>
          <w:szCs w:val="24"/>
          <w:lang w:val="en-GB"/>
        </w:rPr>
        <w:t xml:space="preserve"> </w:t>
      </w:r>
      <w:r w:rsidRPr="00BC321B">
        <w:rPr>
          <w:rFonts w:ascii="Arial" w:hAnsi="Arial" w:cs="Arial"/>
          <w:sz w:val="24"/>
          <w:szCs w:val="24"/>
          <w:lang w:val="en-GB"/>
        </w:rPr>
        <w:fldChar w:fldCharType="begin" w:fldLock="1"/>
      </w:r>
      <w:r w:rsidRPr="00BC321B">
        <w:rPr>
          <w:rFonts w:ascii="Arial" w:hAnsi="Arial" w:cs="Arial"/>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2017)","manualFormatting":"(Makeen, 2017, p1)","plainTextFormattedCitation":"(Makeen, 2017)","previouslyFormattedCitation":"(Makeen, 2017)"},"properties":{"noteIndex":0},"schema":"https://github.com/citation-style-language/schema/raw/master/csl-citation.json"}</w:instrText>
      </w:r>
      <w:r w:rsidRPr="00BC321B">
        <w:rPr>
          <w:rFonts w:ascii="Arial" w:hAnsi="Arial" w:cs="Arial"/>
          <w:sz w:val="24"/>
          <w:szCs w:val="24"/>
          <w:lang w:val="en-GB"/>
        </w:rPr>
        <w:fldChar w:fldCharType="separate"/>
      </w:r>
      <w:r w:rsidRPr="00BC321B">
        <w:rPr>
          <w:rFonts w:ascii="Arial" w:hAnsi="Arial" w:cs="Arial"/>
          <w:noProof/>
          <w:sz w:val="24"/>
          <w:szCs w:val="24"/>
          <w:lang w:val="en-GB"/>
        </w:rPr>
        <w:t>(Makeen, 2017, p1)</w:t>
      </w:r>
      <w:r w:rsidRPr="00BC321B">
        <w:rPr>
          <w:rFonts w:ascii="Arial" w:hAnsi="Arial" w:cs="Arial"/>
          <w:sz w:val="24"/>
          <w:szCs w:val="24"/>
          <w:lang w:val="en-GB"/>
        </w:rPr>
        <w:fldChar w:fldCharType="end"/>
      </w:r>
      <w:r w:rsidRPr="00BC321B">
        <w:rPr>
          <w:rFonts w:ascii="Arial" w:hAnsi="Arial" w:cs="Arial"/>
          <w:sz w:val="24"/>
          <w:szCs w:val="24"/>
          <w:lang w:val="en-GB"/>
        </w:rPr>
        <w:t xml:space="preserve">.  </w:t>
      </w:r>
    </w:p>
    <w:p w14:paraId="17D17704" w14:textId="77777777" w:rsidR="00941883" w:rsidRDefault="00941883" w:rsidP="00941883">
      <w:pPr>
        <w:autoSpaceDE w:val="0"/>
        <w:autoSpaceDN w:val="0"/>
        <w:adjustRightInd w:val="0"/>
        <w:spacing w:line="360" w:lineRule="auto"/>
        <w:jc w:val="both"/>
        <w:rPr>
          <w:rFonts w:ascii="Arial" w:hAnsi="Arial" w:cs="Arial"/>
          <w:sz w:val="24"/>
          <w:szCs w:val="24"/>
          <w:lang w:val="en-GB"/>
        </w:rPr>
      </w:pPr>
      <w:r w:rsidRPr="00BC321B">
        <w:rPr>
          <w:rFonts w:ascii="Arial" w:hAnsi="Arial" w:cs="Arial"/>
          <w:sz w:val="24"/>
          <w:szCs w:val="24"/>
          <w:lang w:val="en-GB"/>
        </w:rPr>
        <w:t xml:space="preserve">Alomi also raised a suggestion of a new pharmacy model in Saudi PHCs for vision 2030 in SA by increasing the number of clinical pharmacists to provide comprehensive pharmaceutical care service to the patients </w:t>
      </w:r>
      <w:r w:rsidRPr="00BC321B">
        <w:rPr>
          <w:rFonts w:ascii="Arial" w:hAnsi="Arial" w:cs="Arial"/>
          <w:sz w:val="24"/>
          <w:szCs w:val="24"/>
          <w:lang w:val="en-GB"/>
        </w:rPr>
        <w:fldChar w:fldCharType="begin" w:fldLock="1"/>
      </w:r>
      <w:r w:rsidRPr="00BC321B">
        <w:rPr>
          <w:rFonts w:ascii="Arial" w:hAnsi="Arial" w:cs="Arial"/>
          <w:sz w:val="24"/>
          <w:szCs w:val="24"/>
          <w:lang w:val="en-GB"/>
        </w:rPr>
        <w:instrText>ADDIN CSL_CITATION {"citationItems":[{"id":"ITEM-1","itemData":{"DOI":"10.5530/jppcm.2017.3.40","author":[{"dropping-particle":"","family":"Alomi","given":"Yousef Ahmed","non-dropping-particle":"","parse-names":false,"suffix":""}],"container-title":"Journal of Pharmacy Practice and Community Medicine","id":"ITEM-1","issue":"3","issued":{"date-parts":[["2017"]]},"page":"194-196","title":"New Pharmacy Model for Vision 2030 in Saudi Arabia","type":"article-journal","volume":"3"},"uris":["http://www.mendeley.com/documents/?uuid=052cc1bf-6e7d-4fdc-a5cd-783b51865f08"]}],"mendeley":{"formattedCitation":"(Alomi, 2017)","plainTextFormattedCitation":"(Alomi, 2017)","previouslyFormattedCitation":"(Alomi, 2017)"},"properties":{"noteIndex":0},"schema":"https://github.com/citation-style-language/schema/raw/master/csl-citation.json"}</w:instrText>
      </w:r>
      <w:r w:rsidRPr="00BC321B">
        <w:rPr>
          <w:rFonts w:ascii="Arial" w:hAnsi="Arial" w:cs="Arial"/>
          <w:sz w:val="24"/>
          <w:szCs w:val="24"/>
          <w:lang w:val="en-GB"/>
        </w:rPr>
        <w:fldChar w:fldCharType="separate"/>
      </w:r>
      <w:r w:rsidRPr="00BC321B">
        <w:rPr>
          <w:rFonts w:ascii="Arial" w:hAnsi="Arial" w:cs="Arial"/>
          <w:noProof/>
          <w:sz w:val="24"/>
          <w:szCs w:val="24"/>
          <w:lang w:val="en-GB"/>
        </w:rPr>
        <w:t>(Alomi, 2017)</w:t>
      </w:r>
      <w:r w:rsidRPr="00BC321B">
        <w:rPr>
          <w:rFonts w:ascii="Arial" w:hAnsi="Arial" w:cs="Arial"/>
          <w:sz w:val="24"/>
          <w:szCs w:val="24"/>
          <w:lang w:val="en-GB"/>
        </w:rPr>
        <w:fldChar w:fldCharType="end"/>
      </w:r>
      <w:r w:rsidRPr="00BC321B">
        <w:rPr>
          <w:rFonts w:ascii="Arial" w:hAnsi="Arial" w:cs="Arial"/>
          <w:sz w:val="24"/>
          <w:szCs w:val="24"/>
          <w:lang w:val="en-GB"/>
        </w:rPr>
        <w:t>. All these factors could facilitate the introduction of pharmacist</w:t>
      </w:r>
      <w:r>
        <w:rPr>
          <w:rFonts w:ascii="Arial" w:hAnsi="Arial" w:cs="Arial"/>
          <w:sz w:val="24"/>
          <w:szCs w:val="24"/>
          <w:lang w:val="en-GB"/>
        </w:rPr>
        <w:t>s</w:t>
      </w:r>
      <w:r w:rsidRPr="00BC321B">
        <w:rPr>
          <w:rFonts w:ascii="Arial" w:hAnsi="Arial" w:cs="Arial"/>
          <w:sz w:val="24"/>
          <w:szCs w:val="24"/>
          <w:lang w:val="en-GB"/>
        </w:rPr>
        <w:t xml:space="preserve"> to the diabetes team.</w:t>
      </w:r>
    </w:p>
    <w:p w14:paraId="59CF999C" w14:textId="77777777" w:rsidR="00941883" w:rsidRDefault="00941883" w:rsidP="00941883">
      <w:pPr>
        <w:autoSpaceDE w:val="0"/>
        <w:autoSpaceDN w:val="0"/>
        <w:adjustRightInd w:val="0"/>
        <w:spacing w:line="360" w:lineRule="auto"/>
        <w:jc w:val="both"/>
        <w:rPr>
          <w:rFonts w:ascii="Arial" w:eastAsia="Times New Roman" w:hAnsi="Arial" w:cs="Arial"/>
          <w:sz w:val="24"/>
          <w:szCs w:val="24"/>
          <w:lang w:val="en-GB"/>
        </w:rPr>
      </w:pPr>
    </w:p>
    <w:p w14:paraId="0C44E89E" w14:textId="77777777" w:rsidR="00941883" w:rsidRDefault="00941883" w:rsidP="00941883">
      <w:pPr>
        <w:autoSpaceDE w:val="0"/>
        <w:autoSpaceDN w:val="0"/>
        <w:adjustRightInd w:val="0"/>
        <w:spacing w:line="360" w:lineRule="auto"/>
        <w:jc w:val="both"/>
        <w:rPr>
          <w:rFonts w:ascii="Arial" w:eastAsia="Times New Roman" w:hAnsi="Arial" w:cs="Arial"/>
          <w:sz w:val="24"/>
          <w:szCs w:val="24"/>
          <w:lang w:val="en-GB"/>
        </w:rPr>
      </w:pPr>
    </w:p>
    <w:p w14:paraId="4A9C9AF0" w14:textId="77777777" w:rsidR="00941883" w:rsidRPr="001D201F" w:rsidRDefault="00941883" w:rsidP="00941883">
      <w:pPr>
        <w:pStyle w:val="Heading2"/>
        <w:spacing w:line="257" w:lineRule="auto"/>
        <w:ind w:left="432"/>
      </w:pPr>
      <w:bookmarkStart w:id="65" w:name="_Ref121348080"/>
      <w:bookmarkStart w:id="66" w:name="_Toc122626377"/>
      <w:bookmarkStart w:id="67" w:name="_Toc153894158"/>
      <w:r w:rsidRPr="001D201F">
        <w:t>Discussion</w:t>
      </w:r>
      <w:bookmarkEnd w:id="65"/>
      <w:bookmarkEnd w:id="66"/>
      <w:bookmarkEnd w:id="67"/>
      <w:r w:rsidRPr="001D201F">
        <w:t xml:space="preserve"> </w:t>
      </w:r>
    </w:p>
    <w:p w14:paraId="74F0C319" w14:textId="77777777" w:rsidR="00941883" w:rsidRPr="007077F2" w:rsidRDefault="00941883" w:rsidP="00941883">
      <w:pPr>
        <w:spacing w:line="360" w:lineRule="auto"/>
        <w:jc w:val="both"/>
        <w:rPr>
          <w:rFonts w:asciiTheme="minorBidi" w:hAnsiTheme="minorBidi"/>
          <w:sz w:val="24"/>
          <w:szCs w:val="24"/>
          <w:lang w:val="en-GB"/>
        </w:rPr>
      </w:pPr>
      <w:r>
        <w:rPr>
          <w:rFonts w:asciiTheme="minorBidi" w:hAnsiTheme="minorBidi"/>
          <w:sz w:val="24"/>
          <w:szCs w:val="24"/>
          <w:lang w:val="en-GB"/>
        </w:rPr>
        <w:t xml:space="preserve">A narrative review was conducted systematically to identify the evidence of pharmacist involvement in diabetes management in primary care. This included: </w:t>
      </w:r>
      <w:r w:rsidRPr="00384B46">
        <w:rPr>
          <w:rFonts w:asciiTheme="minorBidi" w:hAnsiTheme="minorBidi"/>
          <w:sz w:val="24"/>
          <w:szCs w:val="24"/>
          <w:lang w:val="en-GB"/>
        </w:rPr>
        <w:t>roles of pharmacists in diabetes management</w:t>
      </w:r>
      <w:r>
        <w:rPr>
          <w:rFonts w:asciiTheme="minorBidi" w:hAnsiTheme="minorBidi"/>
          <w:sz w:val="24"/>
          <w:szCs w:val="24"/>
          <w:lang w:val="en-GB"/>
        </w:rPr>
        <w:t>,</w:t>
      </w:r>
      <w:r w:rsidRPr="00384B46">
        <w:rPr>
          <w:rFonts w:asciiTheme="minorBidi" w:hAnsiTheme="minorBidi"/>
          <w:sz w:val="24"/>
          <w:szCs w:val="24"/>
          <w:lang w:val="en-GB"/>
        </w:rPr>
        <w:t xml:space="preserve"> the impacts of their interventions</w:t>
      </w:r>
      <w:r>
        <w:rPr>
          <w:rFonts w:asciiTheme="minorBidi" w:hAnsiTheme="minorBidi"/>
          <w:sz w:val="24"/>
          <w:szCs w:val="24"/>
          <w:lang w:val="en-GB"/>
        </w:rPr>
        <w:t xml:space="preserve"> on </w:t>
      </w:r>
      <w:r w:rsidRPr="002C7CE7">
        <w:rPr>
          <w:rFonts w:asciiTheme="minorBidi" w:hAnsiTheme="minorBidi"/>
          <w:sz w:val="24"/>
          <w:szCs w:val="24"/>
          <w:lang w:val="en-GB"/>
        </w:rPr>
        <w:t>diabetes care</w:t>
      </w:r>
      <w:r>
        <w:rPr>
          <w:rFonts w:asciiTheme="minorBidi" w:hAnsiTheme="minorBidi"/>
          <w:sz w:val="24"/>
          <w:szCs w:val="24"/>
          <w:lang w:val="en-GB"/>
        </w:rPr>
        <w:t xml:space="preserve">, and barriers and facilitators to pharmacists involvement in diabetes care. </w:t>
      </w:r>
      <w:r w:rsidRPr="00384B46">
        <w:rPr>
          <w:rFonts w:asciiTheme="minorBidi" w:hAnsiTheme="minorBidi"/>
          <w:sz w:val="24"/>
          <w:szCs w:val="24"/>
          <w:lang w:val="en-GB"/>
        </w:rPr>
        <w:t xml:space="preserve">Most of the studies </w:t>
      </w:r>
      <w:r w:rsidRPr="00E20873">
        <w:rPr>
          <w:rFonts w:asciiTheme="minorBidi" w:hAnsiTheme="minorBidi"/>
          <w:sz w:val="24"/>
          <w:szCs w:val="24"/>
          <w:lang w:val="en-GB"/>
        </w:rPr>
        <w:t>reviewed</w:t>
      </w:r>
      <w:r w:rsidRPr="00384B46">
        <w:rPr>
          <w:rFonts w:asciiTheme="minorBidi" w:hAnsiTheme="minorBidi"/>
          <w:sz w:val="24"/>
          <w:szCs w:val="24"/>
          <w:lang w:val="en-GB"/>
        </w:rPr>
        <w:t xml:space="preserve"> were international studies </w:t>
      </w:r>
      <w:r>
        <w:rPr>
          <w:rFonts w:asciiTheme="minorBidi" w:hAnsiTheme="minorBidi"/>
          <w:sz w:val="24"/>
          <w:szCs w:val="24"/>
          <w:lang w:val="en-GB"/>
        </w:rPr>
        <w:t>conducted in</w:t>
      </w:r>
      <w:r w:rsidRPr="00384B46">
        <w:rPr>
          <w:rFonts w:asciiTheme="minorBidi" w:hAnsiTheme="minorBidi"/>
          <w:sz w:val="24"/>
          <w:szCs w:val="24"/>
          <w:lang w:val="en-GB"/>
        </w:rPr>
        <w:t xml:space="preserve"> developed countries such as the UK and the USA, with very limited studies </w:t>
      </w:r>
      <w:r w:rsidRPr="00180872">
        <w:rPr>
          <w:rFonts w:asciiTheme="minorBidi" w:hAnsiTheme="minorBidi"/>
          <w:sz w:val="24"/>
          <w:szCs w:val="24"/>
          <w:lang w:val="en-GB"/>
        </w:rPr>
        <w:t>from SA</w:t>
      </w:r>
      <w:r>
        <w:rPr>
          <w:rFonts w:asciiTheme="minorBidi" w:hAnsiTheme="minorBidi"/>
          <w:sz w:val="24"/>
          <w:szCs w:val="24"/>
          <w:lang w:val="en-GB"/>
        </w:rPr>
        <w:t>;</w:t>
      </w:r>
      <w:r w:rsidRPr="00180872">
        <w:rPr>
          <w:rFonts w:asciiTheme="minorBidi" w:hAnsiTheme="minorBidi"/>
          <w:sz w:val="24"/>
          <w:szCs w:val="24"/>
          <w:lang w:val="en-GB"/>
        </w:rPr>
        <w:t xml:space="preserve"> </w:t>
      </w:r>
      <w:r w:rsidRPr="0095600F">
        <w:rPr>
          <w:rFonts w:ascii="Arial" w:hAnsi="Arial" w:cs="Arial"/>
          <w:sz w:val="24"/>
          <w:szCs w:val="24"/>
          <w:lang w:val="en-GB"/>
        </w:rPr>
        <w:t>only two recent articles published in 2022 related to the establishment of pharmacist led diabetes clinics in settings affiliated with the Saudi MoH</w:t>
      </w:r>
      <w:r>
        <w:rPr>
          <w:rFonts w:ascii="Arial" w:hAnsi="Arial" w:cs="Arial"/>
          <w:sz w:val="24"/>
          <w:szCs w:val="24"/>
          <w:lang w:val="en-GB"/>
        </w:rPr>
        <w:t xml:space="preserve">. Therefore, a second phase of searching was undertaken to identify studies of pharmacist involvement in diabetes in SA, but without restricting to studies using the term “primary care”; </w:t>
      </w:r>
      <w:r>
        <w:rPr>
          <w:rFonts w:asciiTheme="minorBidi" w:hAnsiTheme="minorBidi"/>
          <w:sz w:val="24"/>
          <w:szCs w:val="24"/>
          <w:lang w:val="en-GB"/>
        </w:rPr>
        <w:t>the rationale for this was that some Saudi studies are not described as “primary care” as they took place in hospital outpatient settings, but are actually equivalent to primary care in other countries</w:t>
      </w:r>
      <w:r w:rsidRPr="0095600F">
        <w:rPr>
          <w:rFonts w:ascii="Arial" w:hAnsi="Arial" w:cs="Arial"/>
          <w:sz w:val="24"/>
          <w:szCs w:val="24"/>
          <w:lang w:val="en-GB"/>
        </w:rPr>
        <w:t>.</w:t>
      </w:r>
      <w:r w:rsidRPr="00683DF7">
        <w:rPr>
          <w:rFonts w:ascii="Arial" w:hAnsi="Arial" w:cs="Arial"/>
          <w:lang w:val="en-GB"/>
        </w:rPr>
        <w:t xml:space="preserve">  </w:t>
      </w:r>
    </w:p>
    <w:p w14:paraId="53799516" w14:textId="77777777" w:rsidR="00941883" w:rsidRPr="00876389" w:rsidRDefault="00941883" w:rsidP="00941883">
      <w:pPr>
        <w:spacing w:before="100" w:beforeAutospacing="1" w:after="100" w:afterAutospacing="1" w:line="360" w:lineRule="auto"/>
        <w:jc w:val="both"/>
        <w:textAlignment w:val="baseline"/>
        <w:rPr>
          <w:rStyle w:val="lookup-resultcontent"/>
          <w:rFonts w:asciiTheme="minorBidi" w:eastAsia="Times New Roman" w:hAnsiTheme="minorBidi"/>
          <w:sz w:val="24"/>
          <w:szCs w:val="24"/>
          <w:lang w:val="fr-FR"/>
        </w:rPr>
      </w:pPr>
      <w:r w:rsidRPr="00A06DCE">
        <w:rPr>
          <w:rFonts w:asciiTheme="minorBidi" w:hAnsiTheme="minorBidi"/>
          <w:sz w:val="24"/>
          <w:szCs w:val="24"/>
          <w:lang w:val="en-GB"/>
        </w:rPr>
        <w:t>This review revealed clinical</w:t>
      </w:r>
      <w:r>
        <w:rPr>
          <w:rFonts w:asciiTheme="minorBidi" w:hAnsiTheme="minorBidi"/>
          <w:sz w:val="24"/>
          <w:szCs w:val="24"/>
          <w:lang w:val="en-GB"/>
        </w:rPr>
        <w:t xml:space="preserve"> as well as cost-effectiveness</w:t>
      </w:r>
      <w:r w:rsidRPr="00A06DCE">
        <w:rPr>
          <w:rFonts w:asciiTheme="minorBidi" w:hAnsiTheme="minorBidi"/>
          <w:sz w:val="24"/>
          <w:szCs w:val="24"/>
          <w:lang w:val="en-GB"/>
        </w:rPr>
        <w:t xml:space="preserve"> benefits and some humanistic benefits of adding pharmacists to the diabetes care team. However, most </w:t>
      </w:r>
      <w:r>
        <w:rPr>
          <w:rFonts w:asciiTheme="minorBidi" w:hAnsiTheme="minorBidi"/>
          <w:sz w:val="24"/>
          <w:szCs w:val="24"/>
          <w:lang w:val="en-GB"/>
        </w:rPr>
        <w:t xml:space="preserve">Saudi </w:t>
      </w:r>
      <w:r w:rsidRPr="00A06DCE">
        <w:rPr>
          <w:rFonts w:asciiTheme="minorBidi" w:hAnsiTheme="minorBidi"/>
          <w:sz w:val="24"/>
          <w:szCs w:val="24"/>
          <w:lang w:val="en-GB"/>
        </w:rPr>
        <w:t xml:space="preserve">studies included in this review were conducted in settings considered to be high standard healthcare settings </w:t>
      </w:r>
      <w:r w:rsidRPr="001056C0">
        <w:rPr>
          <w:rStyle w:val="lookup-resultcontent"/>
          <w:rFonts w:asciiTheme="minorBidi" w:eastAsia="Times New Roman" w:hAnsiTheme="minorBidi"/>
          <w:sz w:val="24"/>
          <w:szCs w:val="24"/>
          <w:lang w:val="en-GB"/>
        </w:rPr>
        <w:t xml:space="preserve">as they belong to the academic university teaching hospitals/tertiary hospitals </w:t>
      </w:r>
      <w:r>
        <w:rPr>
          <w:rStyle w:val="lookup-resultcontent"/>
          <w:rFonts w:asciiTheme="minorBidi" w:eastAsia="Times New Roman" w:hAnsiTheme="minorBidi"/>
          <w:sz w:val="24"/>
          <w:szCs w:val="24"/>
          <w:lang w:val="en-GB"/>
        </w:rPr>
        <w:t>(</w:t>
      </w:r>
      <w:r w:rsidRPr="001056C0">
        <w:rPr>
          <w:rStyle w:val="lookup-resultcontent"/>
          <w:rFonts w:asciiTheme="minorBidi" w:eastAsia="Times New Roman" w:hAnsiTheme="minorBidi"/>
          <w:sz w:val="24"/>
          <w:szCs w:val="24"/>
          <w:lang w:val="en-GB"/>
        </w:rPr>
        <w:t>Al-Arifi et al., 2015</w:t>
      </w:r>
      <w:r>
        <w:rPr>
          <w:rStyle w:val="lookup-resultcontent"/>
          <w:rFonts w:asciiTheme="minorBidi" w:eastAsia="Times New Roman" w:hAnsiTheme="minorBidi"/>
          <w:sz w:val="24"/>
          <w:szCs w:val="24"/>
          <w:lang w:val="en-GB"/>
        </w:rPr>
        <w:t>;</w:t>
      </w:r>
      <w:r w:rsidRPr="001056C0">
        <w:rPr>
          <w:rStyle w:val="lookup-resultcontent"/>
          <w:rFonts w:asciiTheme="minorBidi" w:eastAsia="Times New Roman" w:hAnsiTheme="minorBidi"/>
          <w:sz w:val="24"/>
          <w:szCs w:val="24"/>
          <w:lang w:val="en-GB"/>
        </w:rPr>
        <w:t xml:space="preserve"> </w:t>
      </w:r>
      <w:r w:rsidRPr="001056C0">
        <w:rPr>
          <w:rStyle w:val="lookup-resultcontent"/>
          <w:rFonts w:asciiTheme="minorBidi" w:eastAsia="Times New Roman" w:hAnsiTheme="minorBidi"/>
          <w:sz w:val="24"/>
          <w:szCs w:val="24"/>
          <w:lang w:val="en-GB"/>
        </w:rPr>
        <w:fldChar w:fldCharType="begin" w:fldLock="1"/>
      </w:r>
      <w:r>
        <w:rPr>
          <w:rStyle w:val="lookup-resultcontent"/>
          <w:rFonts w:asciiTheme="minorBidi" w:eastAsia="Times New Roman" w:hAnsiTheme="minorBidi"/>
          <w:sz w:val="24"/>
          <w:szCs w:val="24"/>
          <w:lang w:val="en-GB"/>
        </w:rPr>
        <w:instrText>ADDIN CSL_CITATION {"citationItems":[{"id":"ITEM-1","itemData":{"DOI":"10.9734/jsrr/2015/11637","abstract":"The purpose of this study was to investigate physicians' perceptions and expectations regarding clinical pharmacists working in the healthcare team. In addition, to determining the barriers that impede clinical pharmacists' contributions to the team, from the physician's point. A self-administered questionnaire was delivered to randomly selected physicians in Riyadh hospitals. The survey was pilot-tested on a small group of physicians to improve clarity and limit response bias. A total of 135 physicians were enrolled in this study. In terms of working with clinical pharmacists, 28% and 39% indicated they either never or rarely worked with a clinical pharmacist, respectively, while only 4% and 9% worked with a clinical pharmacist quite often or very often. Respondents agreed that clinical pharmacists were an integral part of the medical team (mean 4.4±0.72) and found them to be helpful in managing drug interactions and side effects, selecting appropriate drug therapies during pregnancy and educating other healthcare workers. Most respondents agreed that the specific responsibilities of a clinical pharmacist were not clearly defined (mean 3.83±0.98). Physicians seemed to be unaware of the potential benefits of having a Clinical Practice Article Almazrou et al.; JSRR, 6(5): 404-415, 2015; Article no.JSRR.2015.165 405 clinical pharmacist on their teams, and some physicians had no prior experience working with clinical pharmacists. Physicians in Riyadh were receptive to most statements regarding perceptions and expectations of clinical pharmacists. They considered them an integral part of the medical team, with a major role in educating other healthcare workers. The most frequently identified barrier was lack of role definition of clinical pharmacists.","author":[{"dropping-particle":"","family":"Almazrou","given":"Saja","non-dropping-particle":"","parse-names":false,"suffix":""},{"dropping-particle":"","family":"Alnaim","given":"Lamya","non-dropping-particle":"","parse-names":false,"suffix":""},{"dropping-particle":"","family":"Al-Kofide","given":"Hadeel","non-dropping-particle":"","parse-names":false,"suffix":""}],"container-title":"Journal of Scientific Research and Reports","id":"ITEM-1","issue":"5","issued":{"date-parts":[["2015"]]},"page":"404-415","title":"Perceptions, Expectations and Barriers of Physicians towards Working with Clinical Pharmacists in Saudi Arabia","type":"article-journal","volume":"6"},"uris":["http://www.mendeley.com/documents/?uuid=502ce6cd-3f43-4975-bcb2-89579b049e7f"]}],"mendeley":{"formattedCitation":"(Almazrou, Alnaim and Al-Kofide, 2015)","manualFormatting":"Almazrou, Alnaim and Al-Kofide, 2015","plainTextFormattedCitation":"(Almazrou, Alnaim and Al-Kofide, 2015)","previouslyFormattedCitation":"(Almazrou, Alnaim and Al-Kofide, 2015)"},"properties":{"noteIndex":0},"schema":"https://github.com/citation-style-language/schema/raw/master/csl-citation.json"}</w:instrText>
      </w:r>
      <w:r w:rsidRPr="001056C0">
        <w:rPr>
          <w:rStyle w:val="lookup-resultcontent"/>
          <w:rFonts w:asciiTheme="minorBidi" w:eastAsia="Times New Roman" w:hAnsiTheme="minorBidi"/>
          <w:sz w:val="24"/>
          <w:szCs w:val="24"/>
          <w:lang w:val="en-GB"/>
        </w:rPr>
        <w:fldChar w:fldCharType="separate"/>
      </w:r>
      <w:r w:rsidRPr="001056C0">
        <w:rPr>
          <w:rStyle w:val="lookup-resultcontent"/>
          <w:rFonts w:asciiTheme="minorBidi" w:eastAsia="Times New Roman" w:hAnsiTheme="minorBidi"/>
          <w:noProof/>
          <w:sz w:val="24"/>
          <w:szCs w:val="24"/>
          <w:lang w:val="en-GB"/>
        </w:rPr>
        <w:t>Almazrou, Alnaim and Al-Kofide, 2015</w:t>
      </w:r>
      <w:r w:rsidRPr="001056C0">
        <w:rPr>
          <w:rStyle w:val="lookup-resultcontent"/>
          <w:rFonts w:asciiTheme="minorBidi" w:eastAsia="Times New Roman" w:hAnsiTheme="minorBidi"/>
          <w:sz w:val="24"/>
          <w:szCs w:val="24"/>
          <w:lang w:val="en-GB"/>
        </w:rPr>
        <w:fldChar w:fldCharType="end"/>
      </w:r>
      <w:r>
        <w:rPr>
          <w:rStyle w:val="lookup-resultcontent"/>
          <w:rFonts w:asciiTheme="minorBidi" w:eastAsia="Times New Roman" w:hAnsiTheme="minorBidi"/>
          <w:sz w:val="24"/>
          <w:szCs w:val="24"/>
          <w:lang w:val="en-GB"/>
        </w:rPr>
        <w:t>;</w:t>
      </w:r>
      <w:r w:rsidRPr="001056C0">
        <w:rPr>
          <w:rStyle w:val="lookup-resultcontent"/>
          <w:rFonts w:asciiTheme="minorBidi" w:eastAsia="Times New Roman" w:hAnsiTheme="minorBidi"/>
          <w:sz w:val="24"/>
          <w:szCs w:val="24"/>
          <w:lang w:val="en-GB"/>
        </w:rPr>
        <w:t xml:space="preserve"> </w:t>
      </w:r>
      <w:r w:rsidRPr="001056C0">
        <w:rPr>
          <w:rStyle w:val="lookup-resultcontent"/>
          <w:rFonts w:asciiTheme="minorBidi" w:hAnsiTheme="minorBidi"/>
          <w:sz w:val="24"/>
          <w:szCs w:val="24"/>
          <w:lang w:val="en-GB"/>
        </w:rPr>
        <w:fldChar w:fldCharType="begin" w:fldLock="1"/>
      </w:r>
      <w:r>
        <w:rPr>
          <w:rStyle w:val="lookup-resultcontent"/>
          <w:rFonts w:asciiTheme="minorBidi" w:hAnsiTheme="minorBidi"/>
          <w:sz w:val="24"/>
          <w:szCs w:val="24"/>
          <w:lang w:val="en-GB"/>
        </w:rPr>
        <w:instrText>ADDIN CSL_CITATION {"citationItems":[{"id":"ITEM-1","itemData":{"DOI":"10.15537/smj.2018.7.22194","ISSN":"16583175","PMID":"29968894","abstract":"Objectives: To evaluate the impact of a multidisciplinary intensive education program (MIEP) on type 2 diabetes mellitus (T2DM) patients’ outcomes. Methods: A retrospective study was used to evaluate the impact of MIEP on T2DM patients’ outcomes for between May 2016 and May 2017. Data were collected from the diabetes education clinic in King Saud University Medical City (KSUMC), Riyadh, Saudi Arabia where patients were referred from diabetes outpatient clinics to the diabetes education clinic to receive MIEP. In terms of measuring the clinical outcomes of the T2DM patients, glycemic control, blood pressure, weight, and lipid profiles were assessed before MIEP at 3, 6, and 12 months. Results: A total of 174 patients with T2DM fulfilled study inclusion criteria. The results indicate improved glycemic control where patients’ HbA1c and blood sugar levels were significantly reduced 3, 6, and 12 months after MIEP compared to the baseline (p&lt;0.005). Moreover, blood pressure improved after education; a significant improvement was observed in the mean systolic blood pressure (SBP) from baseline to 12 months (p=0.036), and in the mean diastolic blood pressure (DBP) after 12 months (p=0.016). Additionally, the study found significant differences in total cholesterol and low-density lipoprotein (LDL) cholesterol 6 months after the intervention (p=0.014, p=0.02, respectively). Conclusion: Implementing an MIEP for T2DM patients can improve their clinical outcomes, which consequently may delay the disease’s long-term complications.","author":[{"dropping-particle":"","family":"Al-Arifi","given":"Mohamed N.","non-dropping-particle":"","parse-names":false,"suffix":""},{"dropping-particle":"","family":"Al-Omar","given":"Hussain A.","non-dropping-particle":"","parse-names":false,"suffix":""}],"container-title":"Saudi Medical Journal","id":"ITEM-1","issue":"7","issued":{"date-parts":[["2018","7","1"]]},"note":"From Duplicate 2 (Impact of a multidisciplinary intensive education program on type 2 diabetes mellitus patients’ glycemic control and cardiovascular risk factors - Al-Arifi, M N; Al-Omar, H A)\n\nCited By :3\n\nExport Date: 14 July 2020","page":"705-710","publisher":"Saudi Arabian Armed Forces Hospital","title":"Impact of a multidisciplinary intensive education program on type 2 diabetes mellitus patients’ glycemic control and cardiovascular risk factors","type":"article-journal","volume":"39"},"uris":["http://www.mendeley.com/documents/?uuid=689e4e48-89ab-4d68-b9b8-473a128e596e"]}],"mendeley":{"formattedCitation":"(Al-Arifi and Al-Omar, 2018)","manualFormatting":"Al-Arifi and Al-Omar, 2018","plainTextFormattedCitation":"(Al-Arifi and Al-Omar, 2018)","previouslyFormattedCitation":"(Al-Arifi and Al-Omar, 2018)"},"properties":{"noteIndex":0},"schema":"https://github.com/citation-style-language/schema/raw/master/csl-citation.json"}</w:instrText>
      </w:r>
      <w:r w:rsidRPr="001056C0">
        <w:rPr>
          <w:rStyle w:val="lookup-resultcontent"/>
          <w:rFonts w:asciiTheme="minorBidi" w:hAnsiTheme="minorBidi"/>
          <w:sz w:val="24"/>
          <w:szCs w:val="24"/>
          <w:lang w:val="en-GB"/>
        </w:rPr>
        <w:fldChar w:fldCharType="separate"/>
      </w:r>
      <w:r w:rsidRPr="001056C0">
        <w:rPr>
          <w:rStyle w:val="lookup-resultcontent"/>
          <w:rFonts w:asciiTheme="minorBidi" w:hAnsiTheme="minorBidi"/>
          <w:noProof/>
          <w:sz w:val="24"/>
          <w:szCs w:val="24"/>
          <w:lang w:val="en-GB"/>
        </w:rPr>
        <w:t>Al-Arifi and Al-Omar, 2018</w:t>
      </w:r>
      <w:r w:rsidRPr="001056C0">
        <w:rPr>
          <w:rStyle w:val="lookup-resultcontent"/>
          <w:rFonts w:asciiTheme="minorBidi" w:hAnsiTheme="minorBidi"/>
          <w:sz w:val="24"/>
          <w:szCs w:val="24"/>
          <w:lang w:val="en-GB"/>
        </w:rPr>
        <w:fldChar w:fldCharType="end"/>
      </w:r>
      <w:r>
        <w:rPr>
          <w:rStyle w:val="lookup-resultcontent"/>
          <w:rFonts w:asciiTheme="minorBidi" w:hAnsiTheme="minorBidi"/>
          <w:sz w:val="24"/>
          <w:szCs w:val="24"/>
          <w:lang w:val="en-GB"/>
        </w:rPr>
        <w:t>;</w:t>
      </w:r>
      <w:r w:rsidRPr="001056C0">
        <w:rPr>
          <w:rStyle w:val="lookup-resultcontent"/>
          <w:rFonts w:asciiTheme="minorBidi" w:hAnsiTheme="minorBidi"/>
          <w:sz w:val="24"/>
          <w:szCs w:val="24"/>
          <w:lang w:val="en-GB"/>
        </w:rPr>
        <w:t xml:space="preserve"> </w:t>
      </w:r>
      <w:r w:rsidRPr="001C08FD">
        <w:rPr>
          <w:rStyle w:val="lookup-resultcontent"/>
          <w:rFonts w:asciiTheme="minorBidi" w:eastAsia="Times New Roman" w:hAnsiTheme="minorBidi"/>
          <w:sz w:val="24"/>
          <w:szCs w:val="24"/>
          <w:lang w:val="en-GB"/>
        </w:rPr>
        <w:fldChar w:fldCharType="begin" w:fldLock="1"/>
      </w:r>
      <w:r>
        <w:rPr>
          <w:rStyle w:val="lookup-resultcontent"/>
          <w:rFonts w:asciiTheme="minorBidi" w:eastAsia="Times New Roman" w:hAnsiTheme="minorBidi"/>
          <w:sz w:val="24"/>
          <w:szCs w:val="24"/>
          <w:lang w:val="en-GB"/>
        </w:rPr>
        <w:instrText>ADDIN CSL_CITATION {"citationItems":[{"id":"ITEM-1","itemData":{"DOI":"10.1016/j.jsps.2020.11.002","ISSN":"13190164","author":[{"dropping-particle":"","family":"Alsuwayni","given":"Bashayr","non-dropping-particle":"","parse-names":false,"suffix":""},{"dropping-particle":"","family":"Alhossan","given":"Abdulaziz","non-dropping-particle":"","parse-names":false,"suffix":""}],"container-title":"Saudi Pharmaceutical Journal","id":"ITEM-1","issue":"12","issued":{"date-parts":[["2020"]]},"page":"1756-1759","publisher":"King Saud University","title":"Impact of clinical pharmacist-led diabetes management clinic on health outcomes at an academic hospital in Riyadh, Saudi Arabia: A prospective cohort study","type":"article-journal","volume":"28"},"uris":["http://www.mendeley.com/documents/?uuid=8c96643a-8124-455f-8442-cb7dc2cbdf33"]}],"mendeley":{"formattedCitation":"(Alsuwayni and Alhossan, 2020)","manualFormatting":"Alsuwayni and Alhossan, 2020; Alghadeer et al., 2022)","plainTextFormattedCitation":"(Alsuwayni and Alhossan, 2020)","previouslyFormattedCitation":"(Alsuwayni and Alhossan, 2020)"},"properties":{"noteIndex":0},"schema":"https://github.com/citation-style-language/schema/raw/master/csl-citation.json"}</w:instrText>
      </w:r>
      <w:r w:rsidRPr="001C08FD">
        <w:rPr>
          <w:rStyle w:val="lookup-resultcontent"/>
          <w:rFonts w:asciiTheme="minorBidi" w:eastAsia="Times New Roman" w:hAnsiTheme="minorBidi"/>
          <w:sz w:val="24"/>
          <w:szCs w:val="24"/>
          <w:lang w:val="en-GB"/>
        </w:rPr>
        <w:fldChar w:fldCharType="separate"/>
      </w:r>
      <w:r w:rsidRPr="001C08FD">
        <w:rPr>
          <w:rStyle w:val="lookup-resultcontent"/>
          <w:rFonts w:asciiTheme="minorBidi" w:eastAsia="Times New Roman" w:hAnsiTheme="minorBidi"/>
          <w:noProof/>
          <w:sz w:val="24"/>
          <w:szCs w:val="24"/>
          <w:lang w:val="en-GB"/>
        </w:rPr>
        <w:t>Alsuwayni and Alhossan, 2020;</w:t>
      </w:r>
      <w:r w:rsidRPr="001C08FD">
        <w:rPr>
          <w:rStyle w:val="lookup-resultcontent"/>
          <w:rFonts w:asciiTheme="minorBidi" w:eastAsia="Times New Roman" w:hAnsiTheme="minorBidi"/>
          <w:noProof/>
          <w:sz w:val="24"/>
          <w:szCs w:val="24"/>
        </w:rPr>
        <w:t xml:space="preserve"> </w:t>
      </w:r>
      <w:r w:rsidRPr="001C08FD">
        <w:rPr>
          <w:rStyle w:val="lookup-resultcontent"/>
          <w:rFonts w:asciiTheme="minorBidi" w:eastAsia="Times New Roman" w:hAnsiTheme="minorBidi"/>
          <w:noProof/>
          <w:sz w:val="24"/>
          <w:szCs w:val="24"/>
        </w:rPr>
        <w:fldChar w:fldCharType="begin" w:fldLock="1"/>
      </w:r>
      <w:r>
        <w:rPr>
          <w:rStyle w:val="lookup-resultcontent"/>
          <w:rFonts w:asciiTheme="minorBidi" w:eastAsia="Times New Roman" w:hAnsiTheme="minorBidi"/>
          <w:noProof/>
          <w:sz w:val="24"/>
          <w:szCs w:val="24"/>
        </w:rPr>
        <w:instrText>ADDIN CSL_CITATION {"citationItems":[{"id":"ITEM-1","itemData":{"author":[{"dropping-particle":"","family":"Alghadeer","given":"Sultan M","non-dropping-particle":"","parse-names":false,"suffix":""},{"dropping-particle":"","family":"Alsuwayni","given":"Bashayr","non-dropping-particle":"","parse-names":false,"suffix":""},{"dropping-particle":"","family":"Almuwayjid","given":"Abdulmohsen K","non-dropping-particle":"","parse-names":false,"suffix":""},{"dropping-particle":"","family":"Almadi","given":"Mohammed S","non-dropping-particle":"","parse-names":false,"suffix":""},{"dropping-particle":"","family":"Mubarak","given":"Abdullah M","non-dropping-particle":"","parse-names":false,"suffix":""},{"dropping-particle":"","family":"Khunayn","given":"Rawan M","non-dropping-particle":"","parse-names":false,"suffix":""},{"dropping-particle":"","family":"Al-arifi","given":"Mohamed N","non-dropping-particle":"","parse-names":false,"suffix":""}],"id":"ITEM-1","issued":{"date-parts":[["2022"]]},"page":"1-9","title":"Glycemic Control and Management in Pharmacist-Led Diabetic Clinic vs . Physician-Led Diabetic Clinic","type":"article-journal"},"uris":["http://www.mendeley.com/documents/?uuid=0aae8201-f410-4f68-ae0c-7d27a405e309"]}],"mendeley":{"formattedCitation":"(Alghadeer &lt;i&gt;et al.&lt;/i&gt;, 2022)","manualFormatting":"Alghadeer et al., 2022)","plainTextFormattedCitation":"(Alghadeer et al., 2022)","previouslyFormattedCitation":"(Alghadeer &lt;i&gt;et al.&lt;/i&gt;, 2022)"},"properties":{"noteIndex":0},"schema":"https://github.com/citation-style-language/schema/raw/master/csl-citation.json"}</w:instrText>
      </w:r>
      <w:r w:rsidRPr="001C08FD">
        <w:rPr>
          <w:rStyle w:val="lookup-resultcontent"/>
          <w:rFonts w:asciiTheme="minorBidi" w:eastAsia="Times New Roman" w:hAnsiTheme="minorBidi"/>
          <w:noProof/>
          <w:sz w:val="24"/>
          <w:szCs w:val="24"/>
        </w:rPr>
        <w:fldChar w:fldCharType="separate"/>
      </w:r>
      <w:r w:rsidRPr="001C08FD">
        <w:rPr>
          <w:rStyle w:val="lookup-resultcontent"/>
          <w:rFonts w:asciiTheme="minorBidi" w:eastAsia="Times New Roman" w:hAnsiTheme="minorBidi"/>
          <w:noProof/>
          <w:sz w:val="24"/>
          <w:szCs w:val="24"/>
        </w:rPr>
        <w:t>Alghadeer et al., 2022)</w:t>
      </w:r>
      <w:r w:rsidRPr="001C08FD">
        <w:rPr>
          <w:rStyle w:val="lookup-resultcontent"/>
          <w:rFonts w:asciiTheme="minorBidi" w:eastAsia="Times New Roman" w:hAnsiTheme="minorBidi"/>
          <w:noProof/>
          <w:sz w:val="24"/>
          <w:szCs w:val="24"/>
        </w:rPr>
        <w:fldChar w:fldCharType="end"/>
      </w:r>
      <w:r w:rsidRPr="001C08FD">
        <w:rPr>
          <w:rStyle w:val="lookup-resultcontent"/>
          <w:rFonts w:asciiTheme="minorBidi" w:eastAsia="Times New Roman" w:hAnsiTheme="minorBidi"/>
          <w:sz w:val="24"/>
          <w:szCs w:val="24"/>
          <w:lang w:val="en-GB"/>
        </w:rPr>
        <w:fldChar w:fldCharType="end"/>
      </w:r>
      <w:r w:rsidRPr="001C08FD">
        <w:rPr>
          <w:rStyle w:val="lookup-resultcontent"/>
          <w:rFonts w:asciiTheme="minorBidi" w:eastAsia="Times New Roman" w:hAnsiTheme="minorBidi"/>
          <w:sz w:val="24"/>
          <w:szCs w:val="24"/>
          <w:lang w:val="en-GB"/>
        </w:rPr>
        <w:t>, medical r</w:t>
      </w:r>
      <w:r w:rsidRPr="001056C0">
        <w:rPr>
          <w:rStyle w:val="lookup-resultcontent"/>
          <w:rFonts w:asciiTheme="minorBidi" w:hAnsiTheme="minorBidi"/>
          <w:sz w:val="24"/>
          <w:szCs w:val="24"/>
          <w:lang w:val="en-GB"/>
        </w:rPr>
        <w:t>esearch centre</w:t>
      </w:r>
      <w:r>
        <w:rPr>
          <w:rStyle w:val="lookup-resultcontent"/>
          <w:rFonts w:asciiTheme="minorBidi" w:hAnsiTheme="minorBidi"/>
          <w:sz w:val="24"/>
          <w:szCs w:val="24"/>
          <w:lang w:val="en-GB"/>
        </w:rPr>
        <w:t>s</w:t>
      </w:r>
      <w:r w:rsidRPr="001056C0">
        <w:rPr>
          <w:rStyle w:val="lookup-resultcontent"/>
          <w:rFonts w:asciiTheme="minorBidi" w:hAnsiTheme="minorBidi"/>
          <w:sz w:val="24"/>
          <w:szCs w:val="24"/>
          <w:lang w:val="en-GB"/>
        </w:rPr>
        <w:t xml:space="preserve"> </w:t>
      </w:r>
      <w:r w:rsidRPr="001056C0">
        <w:rPr>
          <w:rStyle w:val="lookup-resultcontent"/>
          <w:rFonts w:asciiTheme="minorBidi" w:eastAsia="Times New Roman" w:hAnsiTheme="minorBidi"/>
          <w:sz w:val="24"/>
          <w:szCs w:val="24"/>
          <w:lang w:val="en-GB"/>
        </w:rPr>
        <w:fldChar w:fldCharType="begin" w:fldLock="1"/>
      </w:r>
      <w:r w:rsidRPr="001056C0">
        <w:rPr>
          <w:rStyle w:val="lookup-resultcontent"/>
          <w:rFonts w:asciiTheme="minorBidi" w:eastAsia="Times New Roman" w:hAnsiTheme="minorBidi"/>
          <w:sz w:val="24"/>
          <w:szCs w:val="24"/>
          <w:lang w:val="en-GB"/>
        </w:rPr>
        <w:instrText>ADDIN CSL_CITATION {"citationItems":[{"id":"ITEM-1","itemData":{"DOI":"10.1177/2377960819889769","ISSN":"23779608","abstract":"Clinical pharmacists are responsible for guiding pharmacotherapy and ensuring medication safety along with other health-care providers. This study highlighted barriers that physicians and nurses encounter when interacting with clinical pharmacists. Twenty-seven physicians and nurses were randomly invited to participate in focus-group discussions. Five focus-group discussions were recorded and then transcribed, and the transcripts were reviewed and coded. Three major themes were identified, which were the role of clinical pharmacists, interprofessional communication, and competency. The greatest challenge reported in this study was lack of consistent understanding of the role of clinical pharmacists which to some extent caused communication deficiencies and affected the level of involvement with multidisciplinary teams. Despite that, majority of the participants perceived pharmacists as beneficial in optimizing pharmacotherapy and improving quality of care. Clinical pharmacy services are perceived positively in impacting quality of care as expressed by majority of the study participants. However, there is a lack of common understanding of the role of clinical pharmacists by other health-care providers.","author":[{"dropping-particle":"","family":"Alsuhebany","given":"Nada","non-dropping-particle":"","parse-names":false,"suffix":""},{"dropping-particle":"","family":"Alfehaid","given":"Lama","non-dropping-particle":"","parse-names":false,"suffix":""},{"dropping-particle":"","family":"Almodaimegh","given":"Hind","non-dropping-particle":"","parse-names":false,"suffix":""},{"dropping-particle":"","family":"Albekairy","given":"Abdulkareem","non-dropping-particle":"","parse-names":false,"suffix":""},{"dropping-particle":"","family":"Alharbi","given":"Shmeylan","non-dropping-particle":"","parse-names":false,"suffix":""}],"container-title":"SAGE Open Nursing","id":"ITEM-1","issued":{"date-parts":[["2019"]]},"title":"Attitude and Perception of Physicians and Nurses Toward the Role of Clinical Pharmacists in Riyadh, Saudi Arabia: A Qualitative Study","type":"article-journal","volume":"5"},"uris":["http://www.mendeley.com/documents/?uuid=85a9f96e-883b-424e-8019-689cd4c4142c"]}],"mendeley":{"formattedCitation":"(Alsuhebany &lt;i&gt;et al.&lt;/i&gt;, 2019)","plainTextFormattedCitation":"(Alsuhebany et al., 2019)","previouslyFormattedCitation":"(Alsuhebany &lt;i&gt;et al.&lt;/i&gt;, 2019)"},"properties":{"noteIndex":0},"schema":"https://github.com/citation-style-language/schema/raw/master/csl-citation.json"}</w:instrText>
      </w:r>
      <w:r w:rsidRPr="001056C0">
        <w:rPr>
          <w:rStyle w:val="lookup-resultcontent"/>
          <w:rFonts w:asciiTheme="minorBidi" w:eastAsia="Times New Roman" w:hAnsiTheme="minorBidi"/>
          <w:sz w:val="24"/>
          <w:szCs w:val="24"/>
          <w:lang w:val="en-GB"/>
        </w:rPr>
        <w:fldChar w:fldCharType="separate"/>
      </w:r>
      <w:r w:rsidRPr="001056C0">
        <w:rPr>
          <w:rStyle w:val="lookup-resultcontent"/>
          <w:rFonts w:asciiTheme="minorBidi" w:eastAsia="Times New Roman" w:hAnsiTheme="minorBidi"/>
          <w:noProof/>
          <w:sz w:val="24"/>
          <w:szCs w:val="24"/>
          <w:lang w:val="en-GB"/>
        </w:rPr>
        <w:t>(Alsuhebany et al., 2019)</w:t>
      </w:r>
      <w:r w:rsidRPr="001056C0">
        <w:rPr>
          <w:rStyle w:val="lookup-resultcontent"/>
          <w:rFonts w:asciiTheme="minorBidi" w:eastAsia="Times New Roman" w:hAnsiTheme="minorBidi"/>
          <w:sz w:val="24"/>
          <w:szCs w:val="24"/>
          <w:lang w:val="en-GB"/>
        </w:rPr>
        <w:fldChar w:fldCharType="end"/>
      </w:r>
      <w:r w:rsidRPr="001056C0">
        <w:rPr>
          <w:rStyle w:val="lookup-resultcontent"/>
          <w:rFonts w:asciiTheme="minorBidi" w:eastAsia="Times New Roman" w:hAnsiTheme="minorBidi"/>
          <w:sz w:val="24"/>
          <w:szCs w:val="24"/>
          <w:lang w:val="en-GB"/>
        </w:rPr>
        <w:t xml:space="preserve">, or </w:t>
      </w:r>
      <w:r>
        <w:rPr>
          <w:rStyle w:val="lookup-resultcontent"/>
          <w:rFonts w:asciiTheme="minorBidi" w:eastAsia="Times New Roman" w:hAnsiTheme="minorBidi"/>
          <w:sz w:val="24"/>
          <w:szCs w:val="24"/>
          <w:lang w:val="en-GB"/>
        </w:rPr>
        <w:t>PHCs</w:t>
      </w:r>
      <w:r w:rsidRPr="001056C0">
        <w:rPr>
          <w:rStyle w:val="lookup-resultcontent"/>
          <w:rFonts w:asciiTheme="minorBidi" w:eastAsia="Times New Roman" w:hAnsiTheme="minorBidi"/>
          <w:sz w:val="24"/>
          <w:szCs w:val="24"/>
          <w:lang w:val="en-GB"/>
        </w:rPr>
        <w:t xml:space="preserve"> </w:t>
      </w:r>
      <w:r>
        <w:rPr>
          <w:rStyle w:val="lookup-resultcontent"/>
          <w:rFonts w:asciiTheme="minorBidi" w:eastAsia="Times New Roman" w:hAnsiTheme="minorBidi"/>
          <w:sz w:val="24"/>
          <w:szCs w:val="24"/>
          <w:lang w:val="en-GB"/>
        </w:rPr>
        <w:t xml:space="preserve">that </w:t>
      </w:r>
      <w:r w:rsidRPr="001056C0">
        <w:rPr>
          <w:rStyle w:val="lookup-resultcontent"/>
          <w:rFonts w:asciiTheme="minorBidi" w:eastAsia="Times New Roman" w:hAnsiTheme="minorBidi"/>
          <w:sz w:val="24"/>
          <w:szCs w:val="24"/>
          <w:lang w:val="en-GB"/>
        </w:rPr>
        <w:t>belong to</w:t>
      </w:r>
      <w:r>
        <w:rPr>
          <w:rStyle w:val="lookup-resultcontent"/>
          <w:rFonts w:asciiTheme="minorBidi" w:eastAsia="Times New Roman" w:hAnsiTheme="minorBidi"/>
          <w:sz w:val="24"/>
          <w:szCs w:val="24"/>
          <w:lang w:val="en-GB"/>
        </w:rPr>
        <w:t xml:space="preserve"> the</w:t>
      </w:r>
      <w:r w:rsidRPr="001056C0">
        <w:rPr>
          <w:rStyle w:val="lookup-resultcontent"/>
          <w:rFonts w:asciiTheme="minorBidi" w:eastAsia="Times New Roman" w:hAnsiTheme="minorBidi"/>
          <w:sz w:val="24"/>
          <w:szCs w:val="24"/>
          <w:lang w:val="en-GB"/>
        </w:rPr>
        <w:t xml:space="preserve"> medical cities</w:t>
      </w:r>
      <w:r>
        <w:rPr>
          <w:rStyle w:val="lookup-resultcontent"/>
          <w:rFonts w:asciiTheme="minorBidi" w:eastAsia="Times New Roman" w:hAnsiTheme="minorBidi"/>
          <w:sz w:val="24"/>
          <w:szCs w:val="24"/>
          <w:lang w:val="en-GB"/>
        </w:rPr>
        <w:t>,</w:t>
      </w:r>
      <w:r w:rsidRPr="001056C0">
        <w:rPr>
          <w:rStyle w:val="lookup-resultcontent"/>
          <w:rFonts w:asciiTheme="minorBidi" w:eastAsia="Times New Roman" w:hAnsiTheme="minorBidi"/>
          <w:sz w:val="24"/>
          <w:szCs w:val="24"/>
          <w:lang w:val="en-GB"/>
        </w:rPr>
        <w:t xml:space="preserve"> </w:t>
      </w:r>
      <w:r>
        <w:rPr>
          <w:rStyle w:val="lookup-resultcontent"/>
          <w:rFonts w:asciiTheme="minorBidi" w:eastAsia="Times New Roman" w:hAnsiTheme="minorBidi"/>
          <w:sz w:val="24"/>
          <w:szCs w:val="24"/>
          <w:lang w:val="en-GB"/>
        </w:rPr>
        <w:t>the Ministry of N</w:t>
      </w:r>
      <w:r w:rsidRPr="001056C0">
        <w:rPr>
          <w:rStyle w:val="lookup-resultcontent"/>
          <w:rFonts w:asciiTheme="minorBidi" w:eastAsia="Times New Roman" w:hAnsiTheme="minorBidi"/>
          <w:sz w:val="24"/>
          <w:szCs w:val="24"/>
          <w:lang w:val="en-GB"/>
        </w:rPr>
        <w:t xml:space="preserve">ational </w:t>
      </w:r>
      <w:r>
        <w:rPr>
          <w:rStyle w:val="lookup-resultcontent"/>
          <w:rFonts w:asciiTheme="minorBidi" w:eastAsia="Times New Roman" w:hAnsiTheme="minorBidi"/>
          <w:sz w:val="24"/>
          <w:szCs w:val="24"/>
          <w:lang w:val="en-GB"/>
        </w:rPr>
        <w:t>G</w:t>
      </w:r>
      <w:r w:rsidRPr="001056C0">
        <w:rPr>
          <w:rStyle w:val="lookup-resultcontent"/>
          <w:rFonts w:asciiTheme="minorBidi" w:eastAsia="Times New Roman" w:hAnsiTheme="minorBidi"/>
          <w:sz w:val="24"/>
          <w:szCs w:val="24"/>
          <w:lang w:val="en-GB"/>
        </w:rPr>
        <w:t xml:space="preserve">uard or the Ministry of Defense and Aviation and </w:t>
      </w:r>
      <w:r>
        <w:rPr>
          <w:rStyle w:val="lookup-resultcontent"/>
          <w:rFonts w:asciiTheme="minorBidi" w:eastAsia="Times New Roman" w:hAnsiTheme="minorBidi"/>
          <w:sz w:val="24"/>
          <w:szCs w:val="24"/>
          <w:lang w:val="en-GB"/>
        </w:rPr>
        <w:t xml:space="preserve">only </w:t>
      </w:r>
      <w:r w:rsidRPr="001056C0">
        <w:rPr>
          <w:rStyle w:val="lookup-resultcontent"/>
          <w:rFonts w:asciiTheme="minorBidi" w:eastAsia="Times New Roman" w:hAnsiTheme="minorBidi"/>
          <w:sz w:val="24"/>
          <w:szCs w:val="24"/>
          <w:lang w:val="en-GB"/>
        </w:rPr>
        <w:t>serves</w:t>
      </w:r>
      <w:r>
        <w:rPr>
          <w:rStyle w:val="lookup-resultcontent"/>
          <w:rFonts w:asciiTheme="minorBidi" w:eastAsia="Times New Roman" w:hAnsiTheme="minorBidi"/>
          <w:sz w:val="24"/>
          <w:szCs w:val="24"/>
          <w:lang w:val="en-GB"/>
        </w:rPr>
        <w:t xml:space="preserve"> </w:t>
      </w:r>
      <w:r w:rsidRPr="001056C0">
        <w:rPr>
          <w:rStyle w:val="lookup-resultcontent"/>
          <w:rFonts w:asciiTheme="minorBidi" w:eastAsia="Times New Roman" w:hAnsiTheme="minorBidi"/>
          <w:sz w:val="24"/>
          <w:szCs w:val="24"/>
          <w:lang w:val="en-GB"/>
        </w:rPr>
        <w:t xml:space="preserve">its employees and their families </w:t>
      </w:r>
      <w:r w:rsidRPr="001056C0">
        <w:rPr>
          <w:rStyle w:val="lookup-resultcontent"/>
          <w:rFonts w:asciiTheme="minorBidi" w:eastAsia="Times New Roman" w:hAnsiTheme="minorBidi"/>
          <w:sz w:val="24"/>
          <w:szCs w:val="24"/>
          <w:lang w:val="en-GB"/>
        </w:rPr>
        <w:fldChar w:fldCharType="begin" w:fldLock="1"/>
      </w:r>
      <w:r>
        <w:rPr>
          <w:rStyle w:val="lookup-resultcontent"/>
          <w:rFonts w:asciiTheme="minorBidi" w:eastAsia="Times New Roman" w:hAnsiTheme="minorBidi"/>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2013)","manualFormatting":"(Al Asmary et al., 2013","plainTextFormattedCitation":"(Al Asmary et al., 2013)","previouslyFormattedCitation":"(Al Asmary &lt;i&gt;et al.&lt;/i&gt;, 2013)"},"properties":{"noteIndex":0},"schema":"https://github.com/citation-style-language/schema/raw/master/csl-citation.json"}</w:instrText>
      </w:r>
      <w:r w:rsidRPr="001056C0">
        <w:rPr>
          <w:rStyle w:val="lookup-resultcontent"/>
          <w:rFonts w:asciiTheme="minorBidi" w:eastAsia="Times New Roman" w:hAnsiTheme="minorBidi"/>
          <w:sz w:val="24"/>
          <w:szCs w:val="24"/>
          <w:lang w:val="en-GB"/>
        </w:rPr>
        <w:fldChar w:fldCharType="separate"/>
      </w:r>
      <w:r w:rsidRPr="001056C0">
        <w:rPr>
          <w:rStyle w:val="lookup-resultcontent"/>
          <w:rFonts w:asciiTheme="minorBidi" w:eastAsia="Times New Roman" w:hAnsiTheme="minorBidi"/>
          <w:noProof/>
          <w:sz w:val="24"/>
          <w:szCs w:val="24"/>
          <w:lang w:val="en-GB"/>
        </w:rPr>
        <w:t>(Al Asmary et al., 2013</w:t>
      </w:r>
      <w:r w:rsidRPr="001056C0">
        <w:rPr>
          <w:rStyle w:val="lookup-resultcontent"/>
          <w:rFonts w:asciiTheme="minorBidi" w:eastAsia="Times New Roman" w:hAnsiTheme="minorBidi"/>
          <w:sz w:val="24"/>
          <w:szCs w:val="24"/>
          <w:lang w:val="en-GB"/>
        </w:rPr>
        <w:fldChar w:fldCharType="end"/>
      </w:r>
      <w:r>
        <w:rPr>
          <w:rStyle w:val="lookup-resultcontent"/>
          <w:rFonts w:asciiTheme="minorBidi" w:eastAsia="Times New Roman" w:hAnsiTheme="minorBidi"/>
          <w:sz w:val="24"/>
          <w:szCs w:val="24"/>
          <w:lang w:val="en-GB"/>
        </w:rPr>
        <w:t>;</w:t>
      </w:r>
      <w:r w:rsidRPr="001056C0">
        <w:rPr>
          <w:rStyle w:val="lookup-resultcontent"/>
          <w:rFonts w:asciiTheme="minorBidi" w:eastAsia="Times New Roman" w:hAnsiTheme="minorBidi"/>
          <w:sz w:val="24"/>
          <w:szCs w:val="24"/>
          <w:lang w:val="en-GB"/>
        </w:rPr>
        <w:t xml:space="preserve"> </w:t>
      </w:r>
      <w:r w:rsidRPr="001056C0">
        <w:rPr>
          <w:rStyle w:val="lookup-resultcontent"/>
          <w:rFonts w:asciiTheme="minorBidi" w:eastAsia="Times New Roman" w:hAnsiTheme="minorBidi"/>
          <w:sz w:val="24"/>
          <w:szCs w:val="24"/>
          <w:lang w:val="en-GB"/>
        </w:rPr>
        <w:fldChar w:fldCharType="begin" w:fldLock="1"/>
      </w:r>
      <w:r>
        <w:rPr>
          <w:rStyle w:val="lookup-resultcontent"/>
          <w:rFonts w:asciiTheme="minorBidi" w:eastAsia="Times New Roman" w:hAnsiTheme="minorBidi"/>
          <w:sz w:val="24"/>
          <w:szCs w:val="24"/>
          <w:lang w:val="en-GB"/>
        </w:rPr>
        <w:instrText>ADDIN CSL_CITATION {"citationItems":[{"id":"ITEM-1","itemData":{"ISSN":"0973-8398","abstract":"To explore opinions of pharmacist toward pharmaceutical care (PC) in Riyadh, the capital of Saudi Arabia. A descriptive, cross-sectional survey was conducted over a 3 months period (November 2012 to January 2013) in National Guard Primary Health Center, Riyadh the capital of Saudi Arabia. A 20-item questionnaire was adopted, validated and given to 100 pharmacists. The response rate was 80% where 100 respondents were approached, and 80 of them responded to our survey questionnaire. Overall Pharmacists expressed positive attitudes toward PC. A total of 73 (91%) respondents indicated that common situation regarding appropriateness of prescribing was receiving an error in prescription with incomplete information. A majority of the respondents (78.6%) disagreed or strongly disagree with the statement, that pharmacist of primary healthcare centers have insufficient knowledge/skills to provide PC. The finding of this study revealed that pharmacists have positive attitudes toward PC overall. More attention should be given to improve pharmacists' actual PC capabilities to extend their professional role. However, new development in Saudi hospitals would be recommended to improve health care systems.","author":[{"dropping-particle":"","family":"Al-Arifi","given":"Mohamed N.","non-dropping-particle":"","parse-names":false,"suffix":""},{"dropping-particle":"","family":"Dhawailie","given":"Abdulatif","non-dropping-particle":"Al","parse-names":false,"suffix":""},{"dropping-particle":"","family":"M.","given":"Aldohyan","non-dropping-particle":"","parse-names":false,"suffix":""},{"dropping-particle":"","family":"S.","given":"Wajid","non-dropping-particle":"","parse-names":false,"suffix":""},{"dropping-particle":"","family":"S.D.","given":"Babelgaith","non-dropping-particle":"","parse-names":false,"suffix":""},{"dropping-particle":"","family":"S.","given":"Rajab","non-dropping-particle":"","parse-names":false,"suffix":""}],"container-title":"Asian Journal of Pharmaceutics","id":"ITEM-1","issue":"4","issued":{"date-parts":[["2015"]]},"page":"277-282","title":"A survey on pharmacist opinion about pharmaceutical care in Saudi Arabia","type":"article-journal","volume":"9"},"uris":["http://www.mendeley.com/documents/?uuid=da5ac9a9-edf8-4c3f-ad94-903f8f5085f9"]}],"mendeley":{"formattedCitation":"(Al-Arifi, Al Dhawailie, &lt;i&gt;et al.&lt;/i&gt;, 2015)","manualFormatting":"Al-Arifi, et al., 2015","plainTextFormattedCitation":"(Al-Arifi, Al Dhawailie, et al., 2015)","previouslyFormattedCitation":"(Al-Arifi, Al Dhawailie, &lt;i&gt;et al.&lt;/i&gt;, 2015)"},"properties":{"noteIndex":0},"schema":"https://github.com/citation-style-language/schema/raw/master/csl-citation.json"}</w:instrText>
      </w:r>
      <w:r w:rsidRPr="001056C0">
        <w:rPr>
          <w:rStyle w:val="lookup-resultcontent"/>
          <w:rFonts w:asciiTheme="minorBidi" w:eastAsia="Times New Roman" w:hAnsiTheme="minorBidi"/>
          <w:sz w:val="24"/>
          <w:szCs w:val="24"/>
          <w:lang w:val="en-GB"/>
        </w:rPr>
        <w:fldChar w:fldCharType="separate"/>
      </w:r>
      <w:r w:rsidRPr="001056C0">
        <w:rPr>
          <w:rStyle w:val="lookup-resultcontent"/>
          <w:rFonts w:asciiTheme="minorBidi" w:eastAsia="Times New Roman" w:hAnsiTheme="minorBidi"/>
          <w:noProof/>
          <w:sz w:val="24"/>
          <w:szCs w:val="24"/>
          <w:lang w:val="en-GB"/>
        </w:rPr>
        <w:t>Al-Arifi, et al., 2015</w:t>
      </w:r>
      <w:r w:rsidRPr="001056C0">
        <w:rPr>
          <w:rStyle w:val="lookup-resultcontent"/>
          <w:rFonts w:asciiTheme="minorBidi" w:eastAsia="Times New Roman" w:hAnsiTheme="minorBidi"/>
          <w:sz w:val="24"/>
          <w:szCs w:val="24"/>
          <w:lang w:val="en-GB"/>
        </w:rPr>
        <w:fldChar w:fldCharType="end"/>
      </w:r>
      <w:r>
        <w:rPr>
          <w:rStyle w:val="lookup-resultcontent"/>
          <w:rFonts w:asciiTheme="minorBidi" w:eastAsia="Times New Roman" w:hAnsiTheme="minorBidi"/>
          <w:sz w:val="24"/>
          <w:szCs w:val="24"/>
          <w:lang w:val="en-GB"/>
        </w:rPr>
        <w:t>;</w:t>
      </w:r>
      <w:r w:rsidRPr="001056C0">
        <w:rPr>
          <w:rStyle w:val="lookup-resultcontent"/>
          <w:rFonts w:asciiTheme="minorBidi" w:eastAsia="Times New Roman" w:hAnsiTheme="minorBidi"/>
          <w:sz w:val="24"/>
          <w:szCs w:val="24"/>
          <w:lang w:val="en-GB"/>
        </w:rPr>
        <w:t xml:space="preserve"> </w:t>
      </w:r>
      <w:r w:rsidRPr="001056C0">
        <w:rPr>
          <w:rStyle w:val="lookup-resultcontent"/>
          <w:rFonts w:asciiTheme="minorBidi" w:hAnsiTheme="minorBidi"/>
          <w:sz w:val="24"/>
          <w:szCs w:val="24"/>
          <w:lang w:val="en-GB"/>
        </w:rPr>
        <w:fldChar w:fldCharType="begin" w:fldLock="1"/>
      </w:r>
      <w:r>
        <w:rPr>
          <w:rStyle w:val="lookup-resultcontent"/>
          <w:rFonts w:asciiTheme="minorBidi" w:hAnsiTheme="minorBidi"/>
          <w:sz w:val="24"/>
          <w:szCs w:val="24"/>
          <w:lang w:val="en-GB"/>
        </w:rPr>
        <w:instrText>ADDIN CSL_CITATION {"citationItems":[{"id":"ITEM-1","itemData":{"DOI":"10.2147/PPA.S113324","ISSN":"1177889X","abstract":"Background: Fasting during the month of Ramadan could lead to acute complications and increased hypoglycemic risk of patients with type 2 diabetes. Therefore, diabetes is one of the diseases that need careful observation and special considerations during Ramadan including patients’ education and counseling. Objectives: To evaluate the impact of Ramadan focused education program on acute complications and biomedical parameters. Methods: A prospective nonrandomized interventional controlled design was run on three phases: before, during, and after Ramadan on 262 type 2 diabetes patients. The intervention group (n=140) received focused individualized diabetic education sessions and antidiabetic medications adjustment before and after Ramadan, while the control group (n=122) received standard diabetic care. A validated hypoglycemia questionnaire was used in both groups to assess the change of the risk. Patients were advised to adjust the dosage and timing of antidiabetic agents according to the recommendations for management of diabetes during Ramadan. Primary outcomes were postintervention change of hypoglycemia score and HbA1c over 6-month follow-up. Data were presented as mean ± standard deviation. HbA1c was expressed in percentage. Results: The hypoglycemic scores before, during, and after Ramadan were 14.21±8.50, 6.36±6.17, and 5.44±5.55 in the intervention group, respectively (P&lt;0.001) and 14.01±5.10, 13.46±5.30, and 9.27±4.65 in the control group, respectively (P&lt;0.001). HbA1c levels were 9.79±1.89, 8.26±1.54, and 8.52±1.61 before, during, and after Ramadan in the intervention group, respectively (P&lt;0.001), and 10.04±1.47, 9.54±1.38, and 9.59±1.79 in the control group, respectively (P&lt;0.001). Post-Ramadan reductions of HbA1c and hypoglycemic scores were significantly higher in the intervention group (-13.0% vs-4.5%, P=0.004 for HbA1c and-61.7% vs-33.8%, P&lt;0.001 for hypoglycemic score). Low-density lipoprotein cholesterol improved in the intervention group from 2.41±0.91 mmol/L before Ramadan to 2.28±0.68 mmol/L after Ramadan (P&lt;0.001). No statistically significant effects were observed on blood pressure or body weight in the intervention group. Also, no change was observed in the control group. Conclusion: Ramadan educational program had a positive impact with reduction of hypoglycemic risk, HbA1c, and low-density lipoprotein cholesterol. Therefore, it could be recommended for patients with increased risk of hypoglycemia during Ramadan fasting.","author":[{"dropping-particle":"","family":"Tourkmani","given":"Ayla M.","non-dropping-particle":"","parse-names":false,"suffix":""},{"dropping-particle":"","family":"Azmi Hassali","given":"Mohamed","non-dropping-particle":"","parse-names":false,"suffix":""},{"dropping-particle":"","family":"Alharbi","given":"Turki J.","non-dropping-particle":"","parse-names":false,"suffix":""},{"dropping-particle":"","family":"Alkhashan","given":"Hesham I.","non-dropping-particle":"","parse-names":false,"suffix":""},{"dropping-particle":"","family":"Alobikan","given":"Aljoharah H.","non-dropping-particle":"","parse-names":false,"suffix":""},{"dropping-particle":"","family":"Bakhiet","given":"Ahmed H.","non-dropping-particle":"","parse-names":false,"suffix":""},{"dropping-particle":"","family":"Alqahtani","given":"Hala B.","non-dropping-particle":"","parse-names":false,"suffix":""},{"dropping-particle":"","family":"Alrasheedy","given":"Alian A.","non-dropping-particle":"","parse-names":false,"suffix":""},{"dropping-particle":"","family":"Alawwad","given":"Ahmed D.","non-dropping-particle":"","parse-names":false,"suffix":""},{"dropping-particle":"","family":"Mishriky","given":"Adel M.","non-dropping-particle":"","parse-names":false,"suffix":""},{"dropping-particle":"","family":"Aljadhey","given":"Hisham","non-dropping-particle":"","parse-names":false,"suffix":""}],"container-title":"Patient Preference and Adherence","id":"ITEM-1","issued":{"date-parts":[["2016"]]},"page":"1709-1717","title":"Impact of ramadan focused education program on hypoglycemic risk and metabolic control for patients with type 2 diabetes","type":"article-journal","volume":"10"},"uris":["http://www.mendeley.com/documents/?uuid=0f118a78-43be-4dd9-896d-9a09e5eec0f9"]}],"mendeley":{"formattedCitation":"(Tourkmani &lt;i&gt;et al.&lt;/i&gt;, 2016)","manualFormatting":"Tourkmani et al., 2016;","plainTextFormattedCitation":"(Tourkmani et al., 2016)","previouslyFormattedCitation":"(Tourkmani &lt;i&gt;et al.&lt;/i&gt;, 2016)"},"properties":{"noteIndex":0},"schema":"https://github.com/citation-style-language/schema/raw/master/csl-citation.json"}</w:instrText>
      </w:r>
      <w:r w:rsidRPr="001056C0">
        <w:rPr>
          <w:rStyle w:val="lookup-resultcontent"/>
          <w:rFonts w:asciiTheme="minorBidi" w:hAnsiTheme="minorBidi"/>
          <w:sz w:val="24"/>
          <w:szCs w:val="24"/>
          <w:lang w:val="en-GB"/>
        </w:rPr>
        <w:fldChar w:fldCharType="separate"/>
      </w:r>
      <w:r w:rsidRPr="001056C0">
        <w:rPr>
          <w:rStyle w:val="lookup-resultcontent"/>
          <w:rFonts w:asciiTheme="minorBidi" w:hAnsiTheme="minorBidi"/>
          <w:noProof/>
          <w:sz w:val="24"/>
          <w:szCs w:val="24"/>
          <w:lang w:val="en-GB"/>
        </w:rPr>
        <w:t>Tourkmani et al., 2016</w:t>
      </w:r>
      <w:r>
        <w:rPr>
          <w:rStyle w:val="lookup-resultcontent"/>
          <w:rFonts w:asciiTheme="minorBidi" w:hAnsiTheme="minorBidi"/>
          <w:noProof/>
          <w:sz w:val="24"/>
          <w:szCs w:val="24"/>
          <w:lang w:val="en-GB"/>
        </w:rPr>
        <w:t>;</w:t>
      </w:r>
      <w:r w:rsidRPr="001056C0">
        <w:rPr>
          <w:rStyle w:val="lookup-resultcontent"/>
          <w:rFonts w:asciiTheme="minorBidi" w:hAnsiTheme="minorBidi"/>
          <w:sz w:val="24"/>
          <w:szCs w:val="24"/>
          <w:lang w:val="en-GB"/>
        </w:rPr>
        <w:fldChar w:fldCharType="end"/>
      </w:r>
      <w:r>
        <w:rPr>
          <w:rStyle w:val="lookup-resultcontent"/>
          <w:rFonts w:asciiTheme="minorBidi" w:hAnsiTheme="minorBidi"/>
          <w:sz w:val="24"/>
          <w:szCs w:val="24"/>
          <w:lang w:val="en-GB"/>
        </w:rPr>
        <w:t xml:space="preserve"> </w:t>
      </w:r>
      <w:r w:rsidRPr="001C08FD">
        <w:rPr>
          <w:rStyle w:val="lookup-resultcontent"/>
          <w:rFonts w:asciiTheme="minorBidi" w:hAnsiTheme="minorBidi"/>
          <w:noProof/>
          <w:sz w:val="24"/>
          <w:szCs w:val="24"/>
          <w:lang w:val="en-GB"/>
        </w:rPr>
        <w:fldChar w:fldCharType="begin" w:fldLock="1"/>
      </w:r>
      <w:r>
        <w:rPr>
          <w:rStyle w:val="lookup-resultcontent"/>
          <w:rFonts w:asciiTheme="minorBidi" w:hAnsiTheme="minorBidi"/>
          <w:noProof/>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w:instrText>
      </w:r>
      <w:r w:rsidRPr="00876389">
        <w:rPr>
          <w:rStyle w:val="lookup-resultcontent"/>
          <w:rFonts w:asciiTheme="minorBidi" w:hAnsiTheme="minorBidi"/>
          <w:noProof/>
          <w:sz w:val="24"/>
          <w:szCs w:val="24"/>
          <w:lang w:val="fr-FR"/>
        </w:rPr>
        <w:instrText>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 Aldraimly et al., 2021; Alsubaie et al., 2022)","plainTextFormattedCitation":"(Ayla M Tourkmani et al., 2018)","previouslyFormattedCitation":"(Ayla M Tourkmani &lt;i&gt;et al.&lt;/i&gt;, 2018)"},"properties":{"noteIndex":0},"schema":"https://github.com/citation-style-language/schema/raw/master/csl-citation.json"}</w:instrText>
      </w:r>
      <w:r w:rsidRPr="001C08FD">
        <w:rPr>
          <w:rStyle w:val="lookup-resultcontent"/>
          <w:rFonts w:asciiTheme="minorBidi" w:hAnsiTheme="minorBidi"/>
          <w:noProof/>
          <w:sz w:val="24"/>
          <w:szCs w:val="24"/>
          <w:lang w:val="en-GB"/>
        </w:rPr>
        <w:fldChar w:fldCharType="separate"/>
      </w:r>
      <w:r w:rsidRPr="00876389">
        <w:rPr>
          <w:rStyle w:val="lookup-resultcontent"/>
          <w:rFonts w:asciiTheme="minorBidi" w:hAnsiTheme="minorBidi"/>
          <w:noProof/>
          <w:sz w:val="24"/>
          <w:szCs w:val="24"/>
          <w:lang w:val="fr-FR"/>
        </w:rPr>
        <w:t xml:space="preserve">Tourkmani et al., 2018; </w:t>
      </w:r>
      <w:r w:rsidRPr="001C08FD">
        <w:rPr>
          <w:rStyle w:val="lookup-resultcontent"/>
          <w:rFonts w:asciiTheme="minorBidi" w:hAnsiTheme="minorBidi"/>
          <w:noProof/>
          <w:sz w:val="24"/>
          <w:szCs w:val="24"/>
        </w:rPr>
        <w:fldChar w:fldCharType="begin" w:fldLock="1"/>
      </w:r>
      <w:r w:rsidRPr="00876389">
        <w:rPr>
          <w:rStyle w:val="lookup-resultcontent"/>
          <w:rFonts w:asciiTheme="minorBidi" w:hAnsiTheme="minorBidi"/>
          <w:noProof/>
          <w:sz w:val="24"/>
          <w:szCs w:val="24"/>
          <w:lang w:val="fr-FR"/>
        </w:rPr>
        <w:instrText>ADDIN CSL_CITATION {"citationItems":[{"id":"ITEM-1","itemData":{"author":[{"dropping-particle":"","family":"Aldraimly","given":"Maha","non-dropping-particle":"","parse-names":false,"suffix":""},{"dropping-particle":"","family":"Azhar","given":"Syed","non-dropping-particle":"","parse-names":false,"suffix":""},{"dropping-particle":"","family":"Syed","given":"Bin","non-dropping-particle":"","parse-names":false,"suffix":""},{"dropping-particle":"","family":"Nouri","given":"Ahmed Ibrahim","non-dropping-particle":"","parse-names":false,"suffix":""},{"dropping-particle":"","family":"Alanazi","given":"Salma Fahad","non-dropping-particle":"","parse-names":false,"suffix":""}],"id":"ITEM-1","issue":"4","issued":{"date-parts":[["2021"]]},"page":"2582-2594","title":"Impact of Clinical Pharmacist Interventions in Management of Diabetes in Primary Care in Saudi Arabia","type":"article-journal","volume":"12"},"uris":["http://www.mendeley.com/documents/?uuid=78361eef-f052-4acf-a8d9-b172ac78fc45"]}],"mendeley":{"formattedCitation":"(Aldraimly &lt;i&gt;et al.&lt;/i&gt;, 2021)","manualFormatting":"Aldraimly et al., 2021","plainTextFormattedCitation":"(Aldraimly et al., 2021)","previouslyFormattedCitation":"(Aldraimly &lt;i&gt;et al.&lt;/i&gt;, 2021)"},"properties":{"noteIndex":0},"schema":"https://github.com/citation-style-language/schema/raw/master/csl-citation.json"}</w:instrText>
      </w:r>
      <w:r w:rsidRPr="001C08FD">
        <w:rPr>
          <w:rStyle w:val="lookup-resultcontent"/>
          <w:rFonts w:asciiTheme="minorBidi" w:hAnsiTheme="minorBidi"/>
          <w:noProof/>
          <w:sz w:val="24"/>
          <w:szCs w:val="24"/>
        </w:rPr>
        <w:fldChar w:fldCharType="separate"/>
      </w:r>
      <w:r w:rsidRPr="00876389">
        <w:rPr>
          <w:rStyle w:val="lookup-resultcontent"/>
          <w:rFonts w:asciiTheme="minorBidi" w:hAnsiTheme="minorBidi"/>
          <w:noProof/>
          <w:sz w:val="24"/>
          <w:szCs w:val="24"/>
          <w:lang w:val="fr-FR"/>
        </w:rPr>
        <w:t>Aldraimly et al., 2021</w:t>
      </w:r>
      <w:r w:rsidRPr="001C08FD">
        <w:rPr>
          <w:rStyle w:val="lookup-resultcontent"/>
          <w:rFonts w:asciiTheme="minorBidi" w:hAnsiTheme="minorBidi"/>
          <w:noProof/>
          <w:sz w:val="24"/>
          <w:szCs w:val="24"/>
        </w:rPr>
        <w:fldChar w:fldCharType="end"/>
      </w:r>
      <w:r w:rsidRPr="00876389">
        <w:rPr>
          <w:rStyle w:val="lookup-resultcontent"/>
          <w:rFonts w:asciiTheme="minorBidi" w:hAnsiTheme="minorBidi"/>
          <w:noProof/>
          <w:sz w:val="24"/>
          <w:szCs w:val="24"/>
          <w:lang w:val="fr-FR"/>
        </w:rPr>
        <w:t xml:space="preserve">; </w:t>
      </w:r>
      <w:r w:rsidRPr="001C08FD">
        <w:rPr>
          <w:rStyle w:val="lookup-resultcontent"/>
          <w:rFonts w:asciiTheme="minorBidi" w:hAnsiTheme="minorBidi"/>
          <w:noProof/>
          <w:sz w:val="24"/>
          <w:szCs w:val="24"/>
        </w:rPr>
        <w:fldChar w:fldCharType="begin" w:fldLock="1"/>
      </w:r>
      <w:r w:rsidRPr="00876389">
        <w:rPr>
          <w:rStyle w:val="lookup-resultcontent"/>
          <w:rFonts w:asciiTheme="minorBidi" w:hAnsiTheme="minorBidi"/>
          <w:noProof/>
          <w:sz w:val="24"/>
          <w:szCs w:val="24"/>
          <w:lang w:val="fr-FR"/>
        </w:rPr>
        <w:instrText>ADDIN CSL_CITATION {"citationItems":[{"id":"ITEM-1","itemData":{"author":[{"dropping-particle":"","family":"Alsubaie","given":"Nawal","non-dropping-particle":"","parse-names":false,"suffix":""},{"dropping-particle":"","family":"Alsallal","given":"Mohannad","non-dropping-particle":"","parse-names":false,"suffix":""},{"dropping-particle":"","family":"Altwaijri","given":"Sulaiman","non-dropping-particle":"","parse-names":false,"suffix":""},{"dropping-particle":"","family":"Alotaibi","given":"Ahmed","non-dropping-particle":"","parse-names":false,"suffix":""},{"dropping-particle":"","family":"Alharbi","given":"Bandar","non-dropping-particle":"","parse-names":false,"suffix":""},{"dropping-particle":"","family":"Aleissa","given":"Mohammad","non-dropping-particle":"","parse-names":false,"suffix":""}],"id":"ITEM-1","issued":{"date-parts":[["2022"]]},"page":"887-892","title":"Impact of Clinical Pharmacist Diabetes Clinic on the Improvement of Health Outcomes in Type 2 Diabetes Subjects","type":"article-journal","volume":"10"},"uris":["http://www.mendeley.com/documents/?uuid=f4bab006-c942-4961-9501-a0ea0c0f1f08"]}],"mendeley":{"formattedCitation":"(Alsubaie &lt;i&gt;et al.&lt;/i&gt;, 2022)","manualFormatting":"Alsubaie et al., 2022","plainTextFormattedCitation":"(Alsubaie et al., 2022)","previouslyFormattedCitation":"(Alsubaie &lt;i&gt;et al.&lt;/i&gt;, 2022)"},"properties":{"noteIndex":0},"schema":"https://github.com/citation-style-language/schema/raw/master/csl-citation.json"}</w:instrText>
      </w:r>
      <w:r w:rsidRPr="001C08FD">
        <w:rPr>
          <w:rStyle w:val="lookup-resultcontent"/>
          <w:rFonts w:asciiTheme="minorBidi" w:hAnsiTheme="minorBidi"/>
          <w:noProof/>
          <w:sz w:val="24"/>
          <w:szCs w:val="24"/>
        </w:rPr>
        <w:fldChar w:fldCharType="separate"/>
      </w:r>
      <w:r w:rsidRPr="00876389">
        <w:rPr>
          <w:rStyle w:val="lookup-resultcontent"/>
          <w:rFonts w:asciiTheme="minorBidi" w:hAnsiTheme="minorBidi"/>
          <w:noProof/>
          <w:sz w:val="24"/>
          <w:szCs w:val="24"/>
          <w:lang w:val="fr-FR"/>
        </w:rPr>
        <w:t>Alsubaie et al., 2022</w:t>
      </w:r>
      <w:r w:rsidRPr="001C08FD">
        <w:rPr>
          <w:rStyle w:val="lookup-resultcontent"/>
          <w:rFonts w:asciiTheme="minorBidi" w:hAnsiTheme="minorBidi"/>
          <w:noProof/>
          <w:sz w:val="24"/>
          <w:szCs w:val="24"/>
        </w:rPr>
        <w:fldChar w:fldCharType="end"/>
      </w:r>
      <w:r w:rsidRPr="00876389">
        <w:rPr>
          <w:rStyle w:val="lookup-resultcontent"/>
          <w:rFonts w:asciiTheme="minorBidi" w:hAnsiTheme="minorBidi"/>
          <w:noProof/>
          <w:sz w:val="24"/>
          <w:szCs w:val="24"/>
          <w:lang w:val="fr-FR"/>
        </w:rPr>
        <w:t>)</w:t>
      </w:r>
      <w:r w:rsidRPr="001C08FD">
        <w:rPr>
          <w:rStyle w:val="lookup-resultcontent"/>
          <w:rFonts w:asciiTheme="minorBidi" w:hAnsiTheme="minorBidi"/>
          <w:noProof/>
          <w:sz w:val="24"/>
          <w:szCs w:val="24"/>
          <w:lang w:val="en-GB"/>
        </w:rPr>
        <w:fldChar w:fldCharType="end"/>
      </w:r>
      <w:r w:rsidRPr="00876389">
        <w:rPr>
          <w:rStyle w:val="lookup-resultcontent"/>
          <w:rFonts w:asciiTheme="minorBidi" w:hAnsiTheme="minorBidi"/>
          <w:noProof/>
          <w:sz w:val="24"/>
          <w:szCs w:val="24"/>
          <w:lang w:val="fr-FR"/>
        </w:rPr>
        <w:t>. For instan</w:t>
      </w:r>
      <w:r w:rsidRPr="00876389">
        <w:rPr>
          <w:rStyle w:val="lookup-resultcontent"/>
          <w:rFonts w:asciiTheme="minorBidi" w:eastAsia="Times New Roman" w:hAnsiTheme="minorBidi"/>
          <w:sz w:val="24"/>
          <w:szCs w:val="24"/>
          <w:lang w:val="fr-FR"/>
        </w:rPr>
        <w:t xml:space="preserve">ce, in the Al-Wazarat Health Care Centre, a large family medicine centre in Riyadh, it belongs to Prince Sultan Military Medical City (PSMMC), which is “considered as one of the most advanced centre in the Middle East” </w:t>
      </w:r>
      <w:r w:rsidRPr="001056C0">
        <w:rPr>
          <w:rStyle w:val="lookup-resultcontent"/>
          <w:rFonts w:asciiTheme="minorBidi" w:eastAsia="Times New Roman" w:hAnsiTheme="minorBidi"/>
          <w:sz w:val="24"/>
          <w:szCs w:val="24"/>
          <w:lang w:val="en-GB"/>
        </w:rPr>
        <w:fldChar w:fldCharType="begin" w:fldLock="1"/>
      </w:r>
      <w:r w:rsidRPr="00876389">
        <w:rPr>
          <w:rStyle w:val="lookup-resultcontent"/>
          <w:rFonts w:asciiTheme="minorBidi" w:eastAsia="Times New Roman" w:hAnsiTheme="minorBidi"/>
          <w:sz w:val="24"/>
          <w:szCs w:val="24"/>
          <w:lang w:val="fr-FR"/>
        </w:rPr>
        <w:instrText>ADDIN CSL_CITATION {"citationItems":[{"id":"ITEM-1","itemData":{"URL":"https://icfmconference.com/about","accessed":{"date-parts":[["2020","7","26"]]},"id":"ITEM-1","issued":{"date-parts":[["0"]]},"title":"2nd International Conference on Family Medicine (ICFM 2020)","type":"webpage"},"uris":["http://www.mendeley.com/documents/?uuid=38ef2c8c-5d06-30e3-b49b-c8e190eb2f0f"]}],"mendeley":{"formattedCitation":"(&lt;i&gt;2nd International Conference on Family Medicine (ICFM 2020)&lt;/i&gt;, no date)","manualFormatting":"(2nd ICFM, 2020) ","plainTextFormattedCitation":"(2nd International Conference on Family Medicine (ICFM 2020), no date)","previouslyFormattedCitation":"(&lt;i&gt;2nd International Conference on Family Medicine (ICFM 2020)&lt;/i&gt;, no date)"},"properties":{"noteIndex":0},"schema":"https://github.com/citation-style-language/schema/raw/master/csl-citation.json"}</w:instrText>
      </w:r>
      <w:r w:rsidRPr="001056C0">
        <w:rPr>
          <w:rStyle w:val="lookup-resultcontent"/>
          <w:rFonts w:asciiTheme="minorBidi" w:eastAsia="Times New Roman" w:hAnsiTheme="minorBidi"/>
          <w:sz w:val="24"/>
          <w:szCs w:val="24"/>
          <w:lang w:val="en-GB"/>
        </w:rPr>
        <w:fldChar w:fldCharType="separate"/>
      </w:r>
      <w:r w:rsidRPr="00876389">
        <w:rPr>
          <w:rStyle w:val="lookup-resultcontent"/>
          <w:rFonts w:asciiTheme="minorBidi" w:eastAsia="Times New Roman" w:hAnsiTheme="minorBidi"/>
          <w:noProof/>
          <w:sz w:val="24"/>
          <w:szCs w:val="24"/>
          <w:lang w:val="fr-FR"/>
        </w:rPr>
        <w:t xml:space="preserve">(2nd ICFM, 2020) </w:t>
      </w:r>
      <w:r w:rsidRPr="001056C0">
        <w:rPr>
          <w:rStyle w:val="lookup-resultcontent"/>
          <w:rFonts w:asciiTheme="minorBidi" w:eastAsia="Times New Roman" w:hAnsiTheme="minorBidi"/>
          <w:sz w:val="24"/>
          <w:szCs w:val="24"/>
          <w:lang w:val="en-GB"/>
        </w:rPr>
        <w:fldChar w:fldCharType="end"/>
      </w:r>
    </w:p>
    <w:p w14:paraId="7A594255" w14:textId="1A725A18" w:rsidR="00941883" w:rsidRPr="00F60DB0" w:rsidRDefault="00941883" w:rsidP="00941883">
      <w:pPr>
        <w:spacing w:before="100" w:beforeAutospacing="1" w:after="100" w:afterAutospacing="1" w:line="360" w:lineRule="auto"/>
        <w:jc w:val="both"/>
        <w:textAlignment w:val="baseline"/>
        <w:rPr>
          <w:rFonts w:ascii="Arial" w:hAnsi="Arial" w:cs="Arial"/>
          <w:sz w:val="24"/>
          <w:szCs w:val="24"/>
        </w:rPr>
      </w:pPr>
      <w:r w:rsidRPr="00876389">
        <w:rPr>
          <w:rStyle w:val="lookup-resultcontent"/>
          <w:rFonts w:ascii="Arial" w:eastAsia="Times New Roman" w:hAnsi="Arial" w:cs="Arial"/>
          <w:sz w:val="24"/>
          <w:szCs w:val="24"/>
          <w:lang w:val="fr-FR"/>
        </w:rPr>
        <w:t xml:space="preserve">Notably, the majority of published </w:t>
      </w:r>
      <w:r w:rsidR="00D57288" w:rsidRPr="00876389">
        <w:rPr>
          <w:rStyle w:val="lookup-resultcontent"/>
          <w:rFonts w:ascii="Arial" w:eastAsia="Times New Roman" w:hAnsi="Arial" w:cs="Arial"/>
          <w:sz w:val="24"/>
          <w:szCs w:val="24"/>
          <w:lang w:val="fr-FR"/>
        </w:rPr>
        <w:t xml:space="preserve">Saudi </w:t>
      </w:r>
      <w:r w:rsidRPr="00876389">
        <w:rPr>
          <w:rStyle w:val="lookup-resultcontent"/>
          <w:rFonts w:ascii="Arial" w:eastAsia="Times New Roman" w:hAnsi="Arial" w:cs="Arial"/>
          <w:sz w:val="24"/>
          <w:szCs w:val="24"/>
          <w:lang w:val="fr-FR"/>
        </w:rPr>
        <w:t xml:space="preserve">studies included in this review were conducted in settings that do not belong to the MoH of SA, as they were affiliated with other governmental agencies such as the Ministry of Education, the Ministry of National Guard, and the Ministry of Defense. </w:t>
      </w:r>
      <w:r w:rsidRPr="00876389">
        <w:rPr>
          <w:rFonts w:ascii="Arial" w:hAnsi="Arial" w:cs="Arial"/>
          <w:sz w:val="24"/>
          <w:szCs w:val="24"/>
          <w:lang w:val="fr-FR"/>
        </w:rPr>
        <w:t>Health services in SA are provided through three main sectors: the MoH network of hospitals and PHCs d</w:t>
      </w:r>
      <w:r w:rsidRPr="004D3C4D">
        <w:rPr>
          <w:rFonts w:ascii="Arial" w:hAnsi="Arial" w:cs="Arial"/>
          <w:sz w:val="24"/>
          <w:szCs w:val="24"/>
        </w:rPr>
        <w:t>istr</w:t>
      </w:r>
      <w:r w:rsidRPr="009B4D6E">
        <w:rPr>
          <w:rFonts w:ascii="Arial" w:hAnsi="Arial" w:cs="Arial"/>
          <w:sz w:val="24"/>
          <w:szCs w:val="24"/>
        </w:rPr>
        <w:t xml:space="preserve">ibuted </w:t>
      </w:r>
      <w:r w:rsidRPr="00F60DB0">
        <w:rPr>
          <w:rFonts w:ascii="Arial" w:hAnsi="Arial" w:cs="Arial"/>
          <w:sz w:val="24"/>
          <w:szCs w:val="24"/>
        </w:rPr>
        <w:t xml:space="preserve">throughout the country, which provides 60% of health services in SA, other governmental institutions are around 20%, and the third sector is the private sector accounts for 20% </w:t>
      </w:r>
      <w:r w:rsidRPr="00F60DB0">
        <w:rPr>
          <w:rFonts w:ascii="Arial" w:hAnsi="Arial" w:cs="Arial"/>
          <w:sz w:val="24"/>
          <w:szCs w:val="24"/>
        </w:rPr>
        <w:fldChar w:fldCharType="begin" w:fldLock="1"/>
      </w:r>
      <w:r w:rsidRPr="00F60DB0">
        <w:rPr>
          <w:rFonts w:ascii="Arial" w:hAnsi="Arial" w:cs="Arial"/>
          <w:sz w:val="24"/>
          <w:szCs w:val="24"/>
        </w:rPr>
        <w:instrText>ADDIN CSL_CITATION {"citationItems":[{"id":"ITEM-1","itemData":{"DOI":"10.1111/j.1466-7657.2011.00890.x","ISSN":"00208132","abstract":"Aim: The study aims to provide an overview of the nursing profession in Saudi Arabia, including its history, educational development, workforce and professional practice. Background: Saudi Arabia is faced with a chronic shortage of Saudi nurses, accompanied by high rates of turnover. Expatriate nurses form a large proportion of the nursing workforce in Saudi healthcare facilities, with Saudis comprising only 29.1% of the total nursing workforce. Despite the fact that the proportion of Saudi nurses is very low in general, this rate is lower in the private health sector where local nurses comprise only 4.1% of the total. Methods: Data relating to the nursing profession in Saudi Arabia were extracted from published literature identified through search of a range of publically available databases such as Medline, CINAHL, Google Scholar, Saudi health databases, Saudi health journals, government reports and relevant texts. Obtained information was evaluated for relevance and grouped on a thematic basis. Conclusion: The status of nursing in Saudi Arabia should be enhanced in order to make it a worthwhile career. The media should engage in helping to promote a positive image of the nursing profession. The education sector should reconsider the length of nursing training (5 years compared with 3 years in many developed countries) while maintaining competent and safe practice. Reducing the financial burden on the nursing student through provision of additional financial support would encourage more students. In particular, nurses should be paid a full salary during the intern year as currently occurs with medical students. © 2011 The Authors. International Nursing Review © 2011 International Council of Nurses.","author":[{"dropping-particle":"","family":"Almalki","given":"M.","non-dropping-particle":"","parse-names":false,"suffix":""},{"dropping-particle":"","family":"Fitzgerald","given":"G.","non-dropping-particle":"","parse-names":false,"suffix":""},{"dropping-particle":"","family":"Clark","given":"M.","non-dropping-particle":"","parse-names":false,"suffix":""}],"container-title":"International Nursing Review","id":"ITEM-1","issue":"3","issued":{"date-parts":[["2011"]]},"page":"304-311","title":"Health care system in Saudi Arabia: an overview","type":"article-journal","volume":"58"},"uris":["http://www.mendeley.com/documents/?uuid=bbd453d0-b675-4b63-bc98-c425953b9294"]}],"mendeley":{"formattedCitation":"(Almalki, Fitzgerald and Clark, 2011)","manualFormatting":"(Almalki et al., 2011)","plainTextFormattedCitation":"(Almalki, Fitzgerald and Clark, 2011)","previouslyFormattedCitation":"(Almalki, Fitzgerald and Clark, 2011)"},"properties":{"noteIndex":0},"schema":"https://github.com/citation-style-language/schema/raw/master/csl-citation.json"}</w:instrText>
      </w:r>
      <w:r w:rsidRPr="00F60DB0">
        <w:rPr>
          <w:rFonts w:ascii="Arial" w:hAnsi="Arial" w:cs="Arial"/>
          <w:sz w:val="24"/>
          <w:szCs w:val="24"/>
        </w:rPr>
        <w:fldChar w:fldCharType="separate"/>
      </w:r>
      <w:r w:rsidRPr="00F60DB0">
        <w:rPr>
          <w:rFonts w:ascii="Arial" w:hAnsi="Arial" w:cs="Arial"/>
          <w:noProof/>
          <w:sz w:val="24"/>
          <w:szCs w:val="24"/>
        </w:rPr>
        <w:t xml:space="preserve">(Almalki </w:t>
      </w:r>
      <w:r w:rsidRPr="00B36F4F">
        <w:rPr>
          <w:rFonts w:ascii="Arial" w:hAnsi="Arial" w:cs="Arial"/>
          <w:i/>
          <w:iCs/>
          <w:noProof/>
          <w:sz w:val="24"/>
          <w:szCs w:val="24"/>
        </w:rPr>
        <w:t>et al.</w:t>
      </w:r>
      <w:r w:rsidRPr="00F60DB0">
        <w:rPr>
          <w:rFonts w:ascii="Arial" w:hAnsi="Arial" w:cs="Arial"/>
          <w:noProof/>
          <w:sz w:val="24"/>
          <w:szCs w:val="24"/>
        </w:rPr>
        <w:t>, 2011)</w:t>
      </w:r>
      <w:r w:rsidRPr="00F60DB0">
        <w:rPr>
          <w:rFonts w:ascii="Arial" w:hAnsi="Arial" w:cs="Arial"/>
          <w:sz w:val="24"/>
          <w:szCs w:val="24"/>
        </w:rPr>
        <w:fldChar w:fldCharType="end"/>
      </w:r>
      <w:r w:rsidRPr="00F60DB0">
        <w:rPr>
          <w:rFonts w:ascii="Arial" w:hAnsi="Arial" w:cs="Arial"/>
          <w:sz w:val="24"/>
          <w:szCs w:val="24"/>
        </w:rPr>
        <w:t xml:space="preserve">. Although the MoH is the largest health care provider sector in SA, the lack of pharmacists' contributions to diabetes primary care management in PHCs affiliated with MoH is </w:t>
      </w:r>
      <w:r>
        <w:rPr>
          <w:rFonts w:ascii="Arial" w:hAnsi="Arial" w:cs="Arial"/>
          <w:sz w:val="24"/>
          <w:szCs w:val="24"/>
        </w:rPr>
        <w:t>demonstrated</w:t>
      </w:r>
      <w:r w:rsidRPr="00F60DB0">
        <w:rPr>
          <w:rFonts w:ascii="Arial" w:hAnsi="Arial" w:cs="Arial"/>
          <w:sz w:val="24"/>
          <w:szCs w:val="24"/>
        </w:rPr>
        <w:t xml:space="preserve"> in this review.</w:t>
      </w:r>
    </w:p>
    <w:p w14:paraId="4D52B2CF" w14:textId="77777777" w:rsidR="00941883" w:rsidRPr="00876389" w:rsidRDefault="00941883" w:rsidP="00941883">
      <w:pPr>
        <w:spacing w:before="100" w:beforeAutospacing="1" w:after="100" w:afterAutospacing="1" w:line="360" w:lineRule="auto"/>
        <w:jc w:val="both"/>
        <w:textAlignment w:val="baseline"/>
        <w:rPr>
          <w:rStyle w:val="lookup-resultcontent"/>
          <w:rFonts w:ascii="Arial" w:eastAsia="Times New Roman" w:hAnsi="Arial" w:cs="Arial"/>
          <w:sz w:val="24"/>
          <w:szCs w:val="24"/>
          <w:lang w:val="fr-FR"/>
        </w:rPr>
      </w:pPr>
      <w:r w:rsidRPr="00B36F4F">
        <w:rPr>
          <w:rFonts w:ascii="Arial" w:hAnsi="Arial" w:cs="Arial"/>
          <w:sz w:val="24"/>
          <w:szCs w:val="24"/>
          <w:lang w:val="en-GB"/>
        </w:rPr>
        <w:t>Mo</w:t>
      </w:r>
      <w:r w:rsidRPr="00B36F4F">
        <w:rPr>
          <w:rStyle w:val="lookup-resultcontent"/>
          <w:rFonts w:ascii="Arial" w:eastAsia="Times New Roman" w:hAnsi="Arial" w:cs="Arial"/>
          <w:sz w:val="24"/>
          <w:szCs w:val="24"/>
          <w:lang w:val="en-GB"/>
        </w:rPr>
        <w:t>reover</w:t>
      </w:r>
      <w:r w:rsidRPr="001056C0">
        <w:rPr>
          <w:rStyle w:val="lookup-resultcontent"/>
          <w:rFonts w:ascii="Arial" w:eastAsia="Times New Roman" w:hAnsi="Arial" w:cs="Arial"/>
          <w:sz w:val="24"/>
          <w:szCs w:val="24"/>
          <w:lang w:val="en-GB"/>
        </w:rPr>
        <w:t xml:space="preserve">, the majority of </w:t>
      </w:r>
      <w:r>
        <w:rPr>
          <w:rStyle w:val="lookup-resultcontent"/>
          <w:rFonts w:ascii="Arial" w:eastAsia="Times New Roman" w:hAnsi="Arial" w:cs="Arial"/>
          <w:sz w:val="24"/>
          <w:szCs w:val="24"/>
          <w:lang w:val="en-GB"/>
        </w:rPr>
        <w:t>p</w:t>
      </w:r>
      <w:r w:rsidRPr="001056C0">
        <w:rPr>
          <w:rStyle w:val="lookup-resultcontent"/>
          <w:rFonts w:ascii="Arial" w:eastAsia="Times New Roman" w:hAnsi="Arial" w:cs="Arial"/>
          <w:sz w:val="24"/>
          <w:szCs w:val="24"/>
          <w:lang w:val="en-GB"/>
        </w:rPr>
        <w:t>revious</w:t>
      </w:r>
      <w:r>
        <w:rPr>
          <w:rStyle w:val="lookup-resultcontent"/>
          <w:rFonts w:ascii="Arial" w:eastAsia="Times New Roman" w:hAnsi="Arial" w:cs="Arial"/>
          <w:sz w:val="24"/>
          <w:szCs w:val="24"/>
          <w:lang w:val="en-GB"/>
        </w:rPr>
        <w:t>ly</w:t>
      </w:r>
      <w:r w:rsidRPr="001056C0">
        <w:rPr>
          <w:rStyle w:val="lookup-resultcontent"/>
          <w:rFonts w:ascii="Arial" w:eastAsia="Times New Roman" w:hAnsi="Arial" w:cs="Arial"/>
          <w:sz w:val="24"/>
          <w:szCs w:val="24"/>
          <w:lang w:val="en-GB"/>
        </w:rPr>
        <w:t xml:space="preserve"> published studies </w:t>
      </w:r>
      <w:r>
        <w:rPr>
          <w:rStyle w:val="lookup-resultcontent"/>
          <w:rFonts w:ascii="Arial" w:eastAsia="Times New Roman" w:hAnsi="Arial" w:cs="Arial"/>
          <w:sz w:val="24"/>
          <w:szCs w:val="24"/>
          <w:lang w:val="en-GB"/>
        </w:rPr>
        <w:t xml:space="preserve">from SA </w:t>
      </w:r>
      <w:r w:rsidRPr="001056C0">
        <w:rPr>
          <w:rStyle w:val="lookup-resultcontent"/>
          <w:rFonts w:ascii="Arial" w:eastAsia="Times New Roman" w:hAnsi="Arial" w:cs="Arial"/>
          <w:sz w:val="24"/>
          <w:szCs w:val="24"/>
          <w:lang w:val="en-GB"/>
        </w:rPr>
        <w:t>are focused on Riyad</w:t>
      </w:r>
      <w:r>
        <w:rPr>
          <w:rStyle w:val="lookup-resultcontent"/>
          <w:rFonts w:ascii="Arial" w:eastAsia="Times New Roman" w:hAnsi="Arial" w:cs="Arial"/>
          <w:sz w:val="24"/>
          <w:szCs w:val="24"/>
          <w:lang w:val="en-GB"/>
        </w:rPr>
        <w:t>h, t</w:t>
      </w:r>
      <w:r w:rsidRPr="001056C0">
        <w:rPr>
          <w:rStyle w:val="lookup-resultcontent"/>
          <w:rFonts w:ascii="Arial" w:eastAsia="Times New Roman" w:hAnsi="Arial" w:cs="Arial"/>
          <w:sz w:val="24"/>
          <w:szCs w:val="24"/>
          <w:lang w:val="en-GB"/>
        </w:rPr>
        <w:t>h</w:t>
      </w:r>
      <w:r>
        <w:rPr>
          <w:rStyle w:val="lookup-resultcontent"/>
          <w:rFonts w:ascii="Arial" w:eastAsia="Times New Roman" w:hAnsi="Arial" w:cs="Arial"/>
          <w:sz w:val="24"/>
          <w:szCs w:val="24"/>
          <w:lang w:val="en-GB"/>
        </w:rPr>
        <w:t>e</w:t>
      </w:r>
      <w:r w:rsidRPr="001056C0">
        <w:rPr>
          <w:rStyle w:val="lookup-resultcontent"/>
          <w:rFonts w:ascii="Arial" w:eastAsia="Times New Roman" w:hAnsi="Arial" w:cs="Arial"/>
          <w:sz w:val="24"/>
          <w:szCs w:val="24"/>
          <w:lang w:val="en-GB"/>
        </w:rPr>
        <w:t xml:space="preserve"> capital city of </w:t>
      </w:r>
      <w:r>
        <w:rPr>
          <w:rStyle w:val="lookup-resultcontent"/>
          <w:rFonts w:ascii="Arial" w:eastAsia="Times New Roman" w:hAnsi="Arial" w:cs="Arial"/>
          <w:sz w:val="24"/>
          <w:szCs w:val="24"/>
          <w:lang w:val="en-GB"/>
        </w:rPr>
        <w:t>SA, and</w:t>
      </w:r>
      <w:r w:rsidRPr="001056C0">
        <w:rPr>
          <w:rStyle w:val="lookup-resultcontent"/>
          <w:rFonts w:ascii="Arial" w:eastAsia="Times New Roman" w:hAnsi="Arial" w:cs="Arial"/>
          <w:sz w:val="24"/>
          <w:szCs w:val="24"/>
          <w:lang w:val="en-GB"/>
        </w:rPr>
        <w:t xml:space="preserve"> many of them are limited to local surveys</w:t>
      </w:r>
      <w:r>
        <w:rPr>
          <w:rStyle w:val="lookup-resultcontent"/>
          <w:rFonts w:ascii="Arial" w:eastAsia="Times New Roman" w:hAnsi="Arial" w:cs="Arial"/>
          <w:sz w:val="24"/>
          <w:szCs w:val="24"/>
          <w:lang w:val="en-GB"/>
        </w:rPr>
        <w:t xml:space="preserve"> </w:t>
      </w:r>
      <w:r w:rsidRPr="001056C0">
        <w:rPr>
          <w:rStyle w:val="lookup-resultcontent"/>
          <w:rFonts w:ascii="Arial" w:eastAsia="Times New Roman" w:hAnsi="Arial" w:cs="Arial"/>
          <w:sz w:val="24"/>
          <w:szCs w:val="24"/>
          <w:lang w:val="en-GB"/>
        </w:rPr>
        <w:fldChar w:fldCharType="begin" w:fldLock="1"/>
      </w:r>
      <w:r>
        <w:rPr>
          <w:rStyle w:val="lookup-resultcontent"/>
          <w:rFonts w:ascii="Arial" w:eastAsia="Times New Roman" w:hAnsi="Arial" w:cs="Arial"/>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2013)","manualFormatting":"(Al Asmary et al., 2013","plainTextFormattedCitation":"(Al Asmary et al., 2013)","previouslyFormattedCitation":"(Al Asmary &lt;i&gt;et al.&lt;/i&gt;, 2013)"},"properties":{"noteIndex":0},"schema":"https://github.com/citation-style-language/schema/raw/master/csl-citation.json"}</w:instrText>
      </w:r>
      <w:r w:rsidRPr="001056C0">
        <w:rPr>
          <w:rStyle w:val="lookup-resultcontent"/>
          <w:rFonts w:ascii="Arial" w:eastAsia="Times New Roman" w:hAnsi="Arial" w:cs="Arial"/>
          <w:sz w:val="24"/>
          <w:szCs w:val="24"/>
          <w:lang w:val="en-GB"/>
        </w:rPr>
        <w:fldChar w:fldCharType="separate"/>
      </w:r>
      <w:r w:rsidRPr="001056C0">
        <w:rPr>
          <w:rStyle w:val="lookup-resultcontent"/>
          <w:rFonts w:ascii="Arial" w:eastAsia="Times New Roman" w:hAnsi="Arial" w:cs="Arial"/>
          <w:noProof/>
          <w:sz w:val="24"/>
          <w:szCs w:val="24"/>
          <w:lang w:val="en-GB"/>
        </w:rPr>
        <w:t xml:space="preserve">(Al Asmary </w:t>
      </w:r>
      <w:r w:rsidRPr="00B36F4F">
        <w:rPr>
          <w:rStyle w:val="lookup-resultcontent"/>
          <w:rFonts w:ascii="Arial" w:eastAsia="Times New Roman" w:hAnsi="Arial" w:cs="Arial"/>
          <w:i/>
          <w:iCs/>
          <w:noProof/>
          <w:sz w:val="24"/>
          <w:szCs w:val="24"/>
          <w:lang w:val="en-GB"/>
        </w:rPr>
        <w:t>et al</w:t>
      </w:r>
      <w:r w:rsidRPr="001056C0">
        <w:rPr>
          <w:rStyle w:val="lookup-resultcontent"/>
          <w:rFonts w:ascii="Arial" w:eastAsia="Times New Roman" w:hAnsi="Arial" w:cs="Arial"/>
          <w:noProof/>
          <w:sz w:val="24"/>
          <w:szCs w:val="24"/>
          <w:lang w:val="en-GB"/>
        </w:rPr>
        <w:t>., 2013</w:t>
      </w:r>
      <w:r w:rsidRPr="001056C0">
        <w:rPr>
          <w:rStyle w:val="lookup-resultcontent"/>
          <w:rFonts w:ascii="Arial" w:eastAsia="Times New Roman" w:hAnsi="Arial" w:cs="Arial"/>
          <w:sz w:val="24"/>
          <w:szCs w:val="24"/>
          <w:lang w:val="en-GB"/>
        </w:rPr>
        <w:fldChar w:fldCharType="end"/>
      </w:r>
      <w:r>
        <w:rPr>
          <w:rStyle w:val="lookup-resultcontent"/>
          <w:rFonts w:ascii="Arial" w:eastAsia="Times New Roman" w:hAnsi="Arial" w:cs="Arial"/>
          <w:sz w:val="24"/>
          <w:szCs w:val="24"/>
          <w:lang w:val="en-GB"/>
        </w:rPr>
        <w:t>;</w:t>
      </w:r>
      <w:r w:rsidRPr="001056C0">
        <w:rPr>
          <w:rStyle w:val="lookup-resultcontent"/>
          <w:rFonts w:ascii="Arial" w:eastAsia="Times New Roman" w:hAnsi="Arial" w:cs="Arial"/>
          <w:sz w:val="24"/>
          <w:szCs w:val="24"/>
          <w:lang w:val="en-GB"/>
        </w:rPr>
        <w:t xml:space="preserve">  </w:t>
      </w:r>
      <w:r w:rsidRPr="001056C0">
        <w:rPr>
          <w:rStyle w:val="lookup-resultcontent"/>
          <w:rFonts w:ascii="Arial" w:eastAsia="Times New Roman" w:hAnsi="Arial" w:cs="Arial"/>
          <w:sz w:val="24"/>
          <w:szCs w:val="24"/>
          <w:lang w:val="en-GB"/>
        </w:rPr>
        <w:fldChar w:fldCharType="begin" w:fldLock="1"/>
      </w:r>
      <w:r>
        <w:rPr>
          <w:rStyle w:val="lookup-resultcontent"/>
          <w:rFonts w:ascii="Arial" w:eastAsia="Times New Roman" w:hAnsi="Arial" w:cs="Arial"/>
          <w:sz w:val="24"/>
          <w:szCs w:val="24"/>
          <w:lang w:val="en-GB"/>
        </w:rPr>
        <w:instrText>ADDIN CSL_CITATION {"citationItems":[{"id":"ITEM-1","itemData":{"ISSN":"0973-8398","abstract":"To explore opinions of pharmacist toward pharmaceutical care (PC) in Riyadh, the capital of Saudi Arabia. A descriptive, cross-sectional survey was conducted over a 3 months period (November 2012 to January 2013) in National Guard Primary Health Center, Riyadh the capital of Saudi Arabia. A 20-item questionnaire was adopted, validated and given to 100 pharmacists. The response rate was 80% where 100 respondents were approached, and 80 of them responded to our survey questionnaire. Overall Pharmacists expressed positive attitudes toward PC. A total of 73 (91%) respondents indicated that common situation regarding appropriateness of prescribing was receiving an error in prescription with incomplete information. A majority of the respondents (78.6%) disagreed or strongly disagree with the statement, that pharmacist of primary healthcare centers have insufficient knowledge/skills to provide PC. The finding of this study revealed that pharmacists have positive attitudes toward PC overall. More attention should be given to improve pharmacists' actual PC capabilities to extend their professional role. However, new development in Saudi hospitals would be recommended to improve health care systems.","author":[{"dropping-particle":"","family":"Al-Arifi","given":"Mohamed N.","non-dropping-particle":"","parse-names":false,"suffix":""},{"dropping-particle":"","family":"Dhawailie","given":"Abdulatif","non-dropping-particle":"Al","parse-names":false,"suffix":""},{"dropping-particle":"","family":"M.","given":"Aldohyan","non-dropping-particle":"","parse-names":false,"suffix":""},{"dropping-particle":"","family":"S.","given":"Wajid","non-dropping-particle":"","parse-names":false,"suffix":""},{"dropping-particle":"","family":"S.D.","given":"Babelgaith","non-dropping-particle":"","parse-names":false,"suffix":""},{"dropping-particle":"","family":"S.","given":"Rajab","non-dropping-particle":"","parse-names":false,"suffix":""}],"container-title":"Asian Journal of Pharmaceutics","id":"ITEM-1","issue":"4","issued":{"date-parts":[["2015"]]},"page":"277-282","title":"A survey on pharmacist opinion about pharmaceutical care in Saudi Arabia","type":"article-journal","volume":"9"},"uris":["http://www.mendeley.com/documents/?uuid=da5ac9a9-edf8-4c3f-ad94-903f8f5085f9"]}],"mendeley":{"formattedCitation":"(Al-Arifi, Al Dhawailie, &lt;i&gt;et al.&lt;/i&gt;, 2015)","manualFormatting":"Al-Arifi et al., 2015","plainTextFormattedCitation":"(Al-Arifi, Al Dhawailie, et al., 2015)","previouslyFormattedCitation":"(Al-Arifi, Al Dhawailie, &lt;i&gt;et al.&lt;/i&gt;, 2015)"},"properties":{"noteIndex":0},"schema":"https://github.com/citation-style-language/schema/raw/master/csl-citation.json"}</w:instrText>
      </w:r>
      <w:r w:rsidRPr="001056C0">
        <w:rPr>
          <w:rStyle w:val="lookup-resultcontent"/>
          <w:rFonts w:ascii="Arial" w:eastAsia="Times New Roman" w:hAnsi="Arial" w:cs="Arial"/>
          <w:sz w:val="24"/>
          <w:szCs w:val="24"/>
          <w:lang w:val="en-GB"/>
        </w:rPr>
        <w:fldChar w:fldCharType="separate"/>
      </w:r>
      <w:r w:rsidRPr="001056C0">
        <w:rPr>
          <w:rStyle w:val="lookup-resultcontent"/>
          <w:rFonts w:ascii="Arial" w:eastAsia="Times New Roman" w:hAnsi="Arial" w:cs="Arial"/>
          <w:noProof/>
          <w:sz w:val="24"/>
          <w:szCs w:val="24"/>
          <w:lang w:val="en-GB"/>
        </w:rPr>
        <w:t xml:space="preserve">Al-Arifi </w:t>
      </w:r>
      <w:r w:rsidRPr="00B36F4F">
        <w:rPr>
          <w:rStyle w:val="lookup-resultcontent"/>
          <w:rFonts w:ascii="Arial" w:eastAsia="Times New Roman" w:hAnsi="Arial" w:cs="Arial"/>
          <w:i/>
          <w:iCs/>
          <w:noProof/>
          <w:sz w:val="24"/>
          <w:szCs w:val="24"/>
          <w:lang w:val="en-GB"/>
        </w:rPr>
        <w:t>et al</w:t>
      </w:r>
      <w:r w:rsidRPr="001056C0">
        <w:rPr>
          <w:rStyle w:val="lookup-resultcontent"/>
          <w:rFonts w:ascii="Arial" w:eastAsia="Times New Roman" w:hAnsi="Arial" w:cs="Arial"/>
          <w:noProof/>
          <w:sz w:val="24"/>
          <w:szCs w:val="24"/>
          <w:lang w:val="en-GB"/>
        </w:rPr>
        <w:t>., 2015</w:t>
      </w:r>
      <w:r w:rsidRPr="001056C0">
        <w:rPr>
          <w:rStyle w:val="lookup-resultcontent"/>
          <w:rFonts w:ascii="Arial" w:eastAsia="Times New Roman" w:hAnsi="Arial" w:cs="Arial"/>
          <w:sz w:val="24"/>
          <w:szCs w:val="24"/>
          <w:lang w:val="en-GB"/>
        </w:rPr>
        <w:fldChar w:fldCharType="end"/>
      </w:r>
      <w:r>
        <w:rPr>
          <w:rStyle w:val="lookup-resultcontent"/>
          <w:rFonts w:ascii="Arial" w:eastAsia="Times New Roman" w:hAnsi="Arial" w:cs="Arial"/>
          <w:sz w:val="24"/>
          <w:szCs w:val="24"/>
          <w:lang w:val="en-GB"/>
        </w:rPr>
        <w:t>;</w:t>
      </w:r>
      <w:r w:rsidRPr="001056C0">
        <w:rPr>
          <w:rStyle w:val="lookup-resultcontent"/>
          <w:rFonts w:ascii="Arial" w:eastAsia="Times New Roman" w:hAnsi="Arial" w:cs="Arial"/>
          <w:sz w:val="24"/>
          <w:szCs w:val="24"/>
          <w:lang w:val="en-GB"/>
        </w:rPr>
        <w:t xml:space="preserve"> </w:t>
      </w:r>
      <w:r w:rsidRPr="001056C0">
        <w:rPr>
          <w:rStyle w:val="lookup-resultcontent"/>
          <w:rFonts w:ascii="Arial" w:eastAsia="Times New Roman" w:hAnsi="Arial" w:cs="Arial"/>
          <w:sz w:val="24"/>
          <w:szCs w:val="24"/>
          <w:lang w:val="en-GB"/>
        </w:rPr>
        <w:fldChar w:fldCharType="begin" w:fldLock="1"/>
      </w:r>
      <w:r>
        <w:rPr>
          <w:rStyle w:val="lookup-resultcontent"/>
          <w:rFonts w:ascii="Arial" w:eastAsia="Times New Roman" w:hAnsi="Arial" w:cs="Arial"/>
          <w:sz w:val="24"/>
          <w:szCs w:val="24"/>
          <w:lang w:val="en-GB"/>
        </w:rPr>
        <w:instrText>ADDIN CSL_CITATION {"citationItems":[{"id":"ITEM-1","itemData":{"DOI":"10.9734/jsrr/2015/11637","abstract":"The purpose of this study was to investigate physicians' perceptions and expectations regarding clinical pharmacists working in the healthcare team. In addition, to determining the barriers that impede clinical pharmacists' contributions to the team, from the physician's point. A self-administered questionnaire was delivered to randomly selected physicians in Riyadh hospitals. The survey was pilot-tested on a small group of physicians to improve clarity and limit response bias. A total of 135 physicians were enrolled in this study. In terms of working with clinical pharmacists, 28% and 39% indicated they either never or rarely worked with a clinical pharmacist, respectively, while only 4% and 9% worked with a clinical pharmacist quite often or very often. Respondents agreed that clinical pharmacists were an integral part of the medical team (mean 4.4±0.72) and found them to be helpful in managing drug interactions and side effects, selecting appropriate drug therapies during pregnancy and educating other healthcare workers. Most respondents agreed that the specific responsibilities of a clinical pharmacist were not clearly defined (mean 3.83±0.98). Physicians seemed to be unaware of the potential benefits of having a Clinical Practice Article Almazrou et al.; JSRR, 6(5): 404-415, 2015; Article no.JSRR.2015.165 405 clinical pharmacist on their teams, and some physicians had no prior experience working with clinical pharmacists. Physicians in Riyadh were receptive to most statements regarding perceptions and expectations of clinical pharmacists. They considered them an integral part of the medical team, with a major role in educating other healthcare workers. The most frequently identified barrier was lack of role definition of clinical pharmacists.","author":[{"dropping-particle":"","family":"Almazrou","given":"Saja","non-dropping-particle":"","parse-names":false,"suffix":""},{"dropping-particle":"","family":"Alnaim","given":"Lamya","non-dropping-particle":"","parse-names":false,"suffix":""},{"dropping-particle":"","family":"Al-Kofide","given":"Hadeel","non-dropping-particle":"","parse-names":false,"suffix":""}],"container-title":"Journal of Scientific Research and Reports","id":"ITEM-1","issue":"5","issued":{"date-parts":[["2015"]]},"page":"404-415","title":"Perceptions, Expectations and Barriers of Physicians towards Working with Clinical Pharmacists in Saudi Arabia","type":"article-journal","volume":"6"},"uris":["http://www.mendeley.com/documents/?uuid=502ce6cd-3f43-4975-bcb2-89579b049e7f"]}],"mendeley":{"formattedCitation":"(Almazrou, Alnaim and Al-Kofide, 2015)","manualFormatting":"Almazrou et al. , 2015","plainTextFormattedCitation":"(Almazrou, Alnaim and Al-Kofide, 2015)","previouslyFormattedCitation":"(Almazrou, Alnaim and Al-Kofide, 2015)"},"properties":{"noteIndex":0},"schema":"https://github.com/citation-style-language/schema/raw/master/csl-citation.json"}</w:instrText>
      </w:r>
      <w:r w:rsidRPr="001056C0">
        <w:rPr>
          <w:rStyle w:val="lookup-resultcontent"/>
          <w:rFonts w:ascii="Arial" w:eastAsia="Times New Roman" w:hAnsi="Arial" w:cs="Arial"/>
          <w:sz w:val="24"/>
          <w:szCs w:val="24"/>
          <w:lang w:val="en-GB"/>
        </w:rPr>
        <w:fldChar w:fldCharType="separate"/>
      </w:r>
      <w:r w:rsidRPr="001056C0">
        <w:rPr>
          <w:rStyle w:val="lookup-resultcontent"/>
          <w:rFonts w:ascii="Arial" w:eastAsia="Times New Roman" w:hAnsi="Arial" w:cs="Arial"/>
          <w:noProof/>
          <w:sz w:val="24"/>
          <w:szCs w:val="24"/>
          <w:lang w:val="en-GB"/>
        </w:rPr>
        <w:t>Almazrou</w:t>
      </w:r>
      <w:r>
        <w:rPr>
          <w:rStyle w:val="lookup-resultcontent"/>
          <w:rFonts w:ascii="Arial" w:eastAsia="Times New Roman" w:hAnsi="Arial" w:cs="Arial"/>
          <w:noProof/>
          <w:sz w:val="24"/>
          <w:szCs w:val="24"/>
          <w:lang w:val="en-GB"/>
        </w:rPr>
        <w:t xml:space="preserve"> </w:t>
      </w:r>
      <w:r w:rsidRPr="009F3874">
        <w:rPr>
          <w:rStyle w:val="lookup-resultcontent"/>
          <w:rFonts w:ascii="Arial" w:eastAsia="Times New Roman" w:hAnsi="Arial" w:cs="Arial"/>
          <w:i/>
          <w:iCs/>
          <w:noProof/>
          <w:sz w:val="24"/>
          <w:szCs w:val="24"/>
          <w:lang w:val="en-GB"/>
        </w:rPr>
        <w:t>et al.</w:t>
      </w:r>
      <w:r>
        <w:rPr>
          <w:rStyle w:val="lookup-resultcontent"/>
          <w:rFonts w:ascii="Arial" w:eastAsia="Times New Roman" w:hAnsi="Arial" w:cs="Arial"/>
          <w:noProof/>
          <w:sz w:val="24"/>
          <w:szCs w:val="24"/>
          <w:lang w:val="en-GB"/>
        </w:rPr>
        <w:t xml:space="preserve"> </w:t>
      </w:r>
      <w:r w:rsidRPr="001056C0">
        <w:rPr>
          <w:rStyle w:val="lookup-resultcontent"/>
          <w:rFonts w:ascii="Arial" w:eastAsia="Times New Roman" w:hAnsi="Arial" w:cs="Arial"/>
          <w:noProof/>
          <w:sz w:val="24"/>
          <w:szCs w:val="24"/>
          <w:lang w:val="en-GB"/>
        </w:rPr>
        <w:t>, 2015</w:t>
      </w:r>
      <w:r w:rsidRPr="001056C0">
        <w:rPr>
          <w:rStyle w:val="lookup-resultcontent"/>
          <w:rFonts w:ascii="Arial" w:eastAsia="Times New Roman" w:hAnsi="Arial" w:cs="Arial"/>
          <w:sz w:val="24"/>
          <w:szCs w:val="24"/>
          <w:lang w:val="en-GB"/>
        </w:rPr>
        <w:fldChar w:fldCharType="end"/>
      </w:r>
      <w:r>
        <w:rPr>
          <w:rStyle w:val="lookup-resultcontent"/>
          <w:rFonts w:ascii="Arial" w:eastAsia="Times New Roman" w:hAnsi="Arial" w:cs="Arial"/>
          <w:sz w:val="24"/>
          <w:szCs w:val="24"/>
          <w:lang w:val="en-GB"/>
        </w:rPr>
        <w:t>;</w:t>
      </w:r>
      <w:r w:rsidRPr="001056C0">
        <w:rPr>
          <w:rStyle w:val="lookup-resultcontent"/>
          <w:rFonts w:ascii="Arial" w:eastAsia="Times New Roman" w:hAnsi="Arial" w:cs="Arial"/>
          <w:sz w:val="24"/>
          <w:szCs w:val="24"/>
          <w:lang w:val="en-GB"/>
        </w:rPr>
        <w:t xml:space="preserve"> </w:t>
      </w:r>
      <w:r w:rsidRPr="001056C0">
        <w:rPr>
          <w:rStyle w:val="lookup-resultcontent"/>
          <w:rFonts w:ascii="Arial" w:hAnsi="Arial" w:cs="Arial"/>
          <w:sz w:val="24"/>
          <w:szCs w:val="24"/>
          <w:lang w:val="en-GB"/>
        </w:rPr>
        <w:fldChar w:fldCharType="begin" w:fldLock="1"/>
      </w:r>
      <w:r>
        <w:rPr>
          <w:rStyle w:val="lookup-resultcontent"/>
          <w:rFonts w:ascii="Arial" w:hAnsi="Arial" w:cs="Arial"/>
          <w:sz w:val="24"/>
          <w:szCs w:val="24"/>
          <w:lang w:val="en-GB"/>
        </w:rPr>
        <w:instrText>ADDIN CSL_CITATION {"citationItems":[{"id":"ITEM-1","itemData":{"DOI":"10.2147/PPA.S113324","ISSN":"1177889X","abstract":"Background: Fasting during the month of Ramadan could lead to acute complications and increased hypoglycemic risk of patients with type 2 diabetes. Therefore, diabetes is one of the diseases that need careful observation and special considerations during Ramadan including patients’ education and counseling. Objectives: To evaluate the impact of Ramadan focused education program on acute complications and biomedical parameters. Methods: A prospective nonrandomized interventional controlled design was run on three phases: before, during, and after Ramadan on 262 type 2 diabetes patients. The intervention group (n=140) received focused individualized diabetic education sessions and antidiabetic medications adjustment before and after Ramadan, while the control group (n=122) received standard diabetic care. A validated hypoglycemia questionnaire was used in both groups to assess the change of the risk. Patients were advised to adjust the dosage and timing of antidiabetic agents according to the recommendations for management of diabetes during Ramadan. Primary outcomes were postintervention change of hypoglycemia score and HbA1c over 6-month follow-up. Data were presented as mean ± standard deviation. HbA1c was expressed in percentage. Results: The hypoglycemic scores before, during, and after Ramadan were 14.21±8.50, 6.36±6.17, and 5.44±5.55 in the intervention group, respectively (P&lt;0.001) and 14.01±5.10, 13.46±5.30, and 9.27±4.65 in the control group, respectively (P&lt;0.001). HbA1c levels were 9.79±1.89, 8.26±1.54, and 8.52±1.61 before, during, and after Ramadan in the intervention group, respectively (P&lt;0.001), and 10.04±1.47, 9.54±1.38, and 9.59±1.79 in the control group, respectively (P&lt;0.001). Post-Ramadan reductions of HbA1c and hypoglycemic scores were significantly higher in the intervention group (-13.0% vs-4.5%, P=0.004 for HbA1c and-61.7% vs-33.8%, P&lt;0.001 for hypoglycemic score). Low-density lipoprotein cholesterol improved in the intervention group from 2.41±0.91 mmol/L before Ramadan to 2.28±0.68 mmol/L after Ramadan (P&lt;0.001). No statistically significant effects were observed on blood pressure or body weight in the intervention group. Also, no change was observed in the control group. Conclusion: Ramadan educational program had a positive impact with reduction of hypoglycemic risk, HbA1c, and low-density lipoprotein cholesterol. Therefore, it could be recommended for patients with increased risk of hypoglycemia during Ramadan fasting.","author":[{"dropping-particle":"","family":"Tourkmani","given":"Ayla M.","non-dropping-particle":"","parse-names":false,"suffix":""},{"dropping-particle":"","family":"Azmi Hassali","given":"Mohamed","non-dropping-particle":"","parse-names":false,"suffix":""},{"dropping-particle":"","family":"Alharbi","given":"Turki J.","non-dropping-particle":"","parse-names":false,"suffix":""},{"dropping-particle":"","family":"Alkhashan","given":"Hesham I.","non-dropping-particle":"","parse-names":false,"suffix":""},{"dropping-particle":"","family":"Alobikan","given":"Aljoharah H.","non-dropping-particle":"","parse-names":false,"suffix":""},{"dropping-particle":"","family":"Bakhiet","given":"Ahmed H.","non-dropping-particle":"","parse-names":false,"suffix":""},{"dropping-particle":"","family":"Alqahtani","given":"Hala B.","non-dropping-particle":"","parse-names":false,"suffix":""},{"dropping-particle":"","family":"Alrasheedy","given":"Alian A.","non-dropping-particle":"","parse-names":false,"suffix":""},{"dropping-particle":"","family":"Alawwad","given":"Ahmed D.","non-dropping-particle":"","parse-names":false,"suffix":""},{"dropping-particle":"","family":"Mishriky","given":"Adel M.","non-dropping-particle":"","parse-names":false,"suffix":""},{"dropping-particle":"","family":"Aljadhey","given":"Hisham","non-dropping-particle":"","parse-names":false,"suffix":""}],"container-title":"Patient Preference and Adherence","id":"ITEM-1","issued":{"date-parts":[["2016"]]},"page":"1709-1717","title":"Impact of ramadan focused education program on hypoglycemic risk and metabolic control for patients with type 2 diabetes","type":"article-journal","volume":"10"},"uris":["http://www.mendeley.com/documents/?uuid=0f118a78-43be-4dd9-896d-9a09e5eec0f9"]}],"mendeley":{"formattedCitation":"(Tourkmani &lt;i&gt;et al.&lt;/i&gt;, 2016)","manualFormatting":"Tourkmani et al., 2016","plainTextFormattedCitation":"(Tourkmani et al., 2016)","previouslyFormattedCitation":"(Tourkmani &lt;i&gt;et al.&lt;/i&gt;, 2016)"},"properties":{"noteIndex":0},"schema":"https://github.com/citation-style-language/schema/raw/master/csl-citation.json"}</w:instrText>
      </w:r>
      <w:r w:rsidRPr="001056C0">
        <w:rPr>
          <w:rStyle w:val="lookup-resultcontent"/>
          <w:rFonts w:ascii="Arial" w:hAnsi="Arial" w:cs="Arial"/>
          <w:sz w:val="24"/>
          <w:szCs w:val="24"/>
          <w:lang w:val="en-GB"/>
        </w:rPr>
        <w:fldChar w:fldCharType="separate"/>
      </w:r>
      <w:r w:rsidRPr="001056C0">
        <w:rPr>
          <w:rStyle w:val="lookup-resultcontent"/>
          <w:rFonts w:ascii="Arial" w:hAnsi="Arial" w:cs="Arial"/>
          <w:noProof/>
          <w:sz w:val="24"/>
          <w:szCs w:val="24"/>
          <w:lang w:val="en-GB"/>
        </w:rPr>
        <w:t>Tourkmani et al., 2016</w:t>
      </w:r>
      <w:r w:rsidRPr="001056C0">
        <w:rPr>
          <w:rStyle w:val="lookup-resultcontent"/>
          <w:rFonts w:ascii="Arial" w:hAnsi="Arial" w:cs="Arial"/>
          <w:sz w:val="24"/>
          <w:szCs w:val="24"/>
          <w:lang w:val="en-GB"/>
        </w:rPr>
        <w:fldChar w:fldCharType="end"/>
      </w:r>
      <w:r>
        <w:rPr>
          <w:rStyle w:val="lookup-resultcontent"/>
          <w:rFonts w:ascii="Arial" w:hAnsi="Arial" w:cs="Arial"/>
          <w:sz w:val="24"/>
          <w:szCs w:val="24"/>
          <w:lang w:val="en-GB"/>
        </w:rPr>
        <w:t>;</w:t>
      </w:r>
      <w:r w:rsidRPr="001056C0">
        <w:rPr>
          <w:rStyle w:val="lookup-resultcontent"/>
          <w:rFonts w:ascii="Arial" w:hAnsi="Arial" w:cs="Arial"/>
          <w:sz w:val="24"/>
          <w:szCs w:val="24"/>
          <w:lang w:val="en-GB"/>
        </w:rPr>
        <w:t xml:space="preserve"> </w:t>
      </w:r>
      <w:r w:rsidRPr="001056C0">
        <w:rPr>
          <w:rStyle w:val="lookup-resultcontent"/>
          <w:rFonts w:ascii="Arial" w:hAnsi="Arial" w:cs="Arial"/>
          <w:sz w:val="24"/>
          <w:szCs w:val="24"/>
          <w:lang w:val="en-GB"/>
        </w:rPr>
        <w:fldChar w:fldCharType="begin" w:fldLock="1"/>
      </w:r>
      <w:r>
        <w:rPr>
          <w:rStyle w:val="lookup-resultcontent"/>
          <w:rFonts w:ascii="Arial" w:hAnsi="Arial" w:cs="Arial"/>
          <w:sz w:val="24"/>
          <w:szCs w:val="24"/>
          <w:lang w:val="en-GB"/>
        </w:rPr>
        <w:instrText>ADDIN CSL_CITATION {"citationItems":[{"id":"ITEM-1","itemData":{"DOI":"10.15537/smj.2018.7.22194","ISSN":"16583175","PMID":"29968894","abstract":"Objectives: To evaluate the impact of a multidisciplinary intensive education program (MIEP) on type 2 diabetes mellitus (T2DM) patients’ outcomes. Methods: A retrospective study was used to evaluate the impact of MIEP on T2DM patients’ outcomes for between May 2016 and May 2017. Data were collected from the diabetes education clinic in King Saud University Medical City (KSUMC), Riyadh, Saudi Arabia where patients were referred from diabetes outpatient clinics to the diabetes education clinic to receive MIEP. In terms of measuring the clinical outcomes of the T2DM patients, glycemic control, blood pressure, weight, and lipid profiles were assessed before MIEP at 3, 6, and 12 months. Results: A total of 174 patients with T2DM fulfilled study inclusion criteria. The results indicate improved glycemic control where patients’ HbA1c and blood sugar levels were significantly reduced 3, 6, and 12 months after MIEP compared to the baseline (p&lt;0.005). Moreover, blood pressure improved after education; a significant improvement was observed in the mean systolic blood pressure (SBP) from baseline to 12 months (p=0.036), and in the mean diastolic blood pressure (DBP) after 12 months (p=0.016). Additionally, the study found significant differences in total cholesterol and low-density lipoprotein (LDL) cholesterol 6 months after the intervention (p=0.014, p=0.02, respectively). Conclusion: Implementing an MIEP for T2DM patients can improve their clinical outcomes, which consequently may delay the disease’s long-term complications.","author":[{"dropping-particle":"","family":"Al-Arifi","given":"Mohamed N.","non-dropping-particle":"","parse-names":false,"suffix":""},{"dropping-particle":"","family":"Al-Omar","given":"Hussain A.","non-dropping-particle":"","parse-names":false,"suffix":""}],"container-title":"Saudi Medical Journal","id":"ITEM-1","issue":"7","issued":{"date-parts":[["2018","7","1"]]},"note":"From Duplicate 2 (Impact of a multidisciplinary intensive education program on type 2 diabetes mellitus patients’ glycemic control and cardiovascular risk factors - Al-Arifi, M N; Al-Omar, H A)\n\nCited By :3\n\nExport Date: 14 July 2020","page":"705-710","publisher":"Saudi Arabian Armed Forces Hospital","title":"Impact of a multidisciplinary intensive education program on type 2 diabetes mellitus patients’ glycemic control and cardiovascular risk factors","type":"article-journal","volume":"39"},"uris":["http://www.mendeley.com/documents/?uuid=689e4e48-89ab-4d68-b9b8-473a128e596e"]}],"mendeley":{"formattedCitation":"(Al-Arifi and Al-Omar, 2018)","manualFormatting":"Al-Arifi and Al-Omar, 2018","plainTextFormattedCitation":"(Al-Arifi and Al-Omar, 2018)","previouslyFormattedCitation":"(Al-Arifi and Al-Omar, 2018)"},"properties":{"noteIndex":0},"schema":"https://github.com/citation-style-language/schema/raw/master/csl-citation.json"}</w:instrText>
      </w:r>
      <w:r w:rsidRPr="001056C0">
        <w:rPr>
          <w:rStyle w:val="lookup-resultcontent"/>
          <w:rFonts w:ascii="Arial" w:hAnsi="Arial" w:cs="Arial"/>
          <w:sz w:val="24"/>
          <w:szCs w:val="24"/>
          <w:lang w:val="en-GB"/>
        </w:rPr>
        <w:fldChar w:fldCharType="separate"/>
      </w:r>
      <w:r w:rsidRPr="001056C0">
        <w:rPr>
          <w:rStyle w:val="lookup-resultcontent"/>
          <w:rFonts w:ascii="Arial" w:hAnsi="Arial" w:cs="Arial"/>
          <w:noProof/>
          <w:sz w:val="24"/>
          <w:szCs w:val="24"/>
          <w:lang w:val="en-GB"/>
        </w:rPr>
        <w:t>Al-Arifi and Al-Omar, 2018</w:t>
      </w:r>
      <w:r w:rsidRPr="001056C0">
        <w:rPr>
          <w:rStyle w:val="lookup-resultcontent"/>
          <w:rFonts w:ascii="Arial" w:hAnsi="Arial" w:cs="Arial"/>
          <w:sz w:val="24"/>
          <w:szCs w:val="24"/>
          <w:lang w:val="en-GB"/>
        </w:rPr>
        <w:fldChar w:fldCharType="end"/>
      </w:r>
      <w:r>
        <w:rPr>
          <w:rStyle w:val="lookup-resultcontent"/>
          <w:rFonts w:ascii="Arial" w:hAnsi="Arial" w:cs="Arial"/>
          <w:sz w:val="24"/>
          <w:szCs w:val="24"/>
          <w:lang w:val="en-GB"/>
        </w:rPr>
        <w:t>;</w:t>
      </w:r>
      <w:r w:rsidRPr="001056C0">
        <w:rPr>
          <w:rStyle w:val="lookup-resultcontent"/>
          <w:rFonts w:ascii="Arial" w:hAnsi="Arial" w:cs="Arial"/>
          <w:sz w:val="24"/>
          <w:szCs w:val="24"/>
          <w:lang w:val="en-GB"/>
        </w:rPr>
        <w:t xml:space="preserve"> </w:t>
      </w:r>
      <w:r w:rsidRPr="001056C0">
        <w:rPr>
          <w:rStyle w:val="lookup-resultcontent"/>
          <w:rFonts w:ascii="Arial" w:eastAsia="Times New Roman" w:hAnsi="Arial" w:cs="Arial"/>
          <w:sz w:val="24"/>
          <w:szCs w:val="24"/>
          <w:lang w:val="en-GB"/>
        </w:rPr>
        <w:fldChar w:fldCharType="begin" w:fldLock="1"/>
      </w:r>
      <w:r>
        <w:rPr>
          <w:rStyle w:val="lookup-resultcontent"/>
          <w:rFonts w:ascii="Arial" w:eastAsia="Times New Roman" w:hAnsi="Arial" w:cs="Arial"/>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2018","plainTextFormattedCitation":"(Ayla M Tourkmani et al., 2018)","previouslyFormattedCitation":"(Ayla M Tourkmani &lt;i&gt;et al.&lt;/i&gt;, 2018)"},"properties":{"noteIndex":0},"schema":"https://github.com/citation-style-language/schema/raw/master/csl-citation.json"}</w:instrText>
      </w:r>
      <w:r w:rsidRPr="001056C0">
        <w:rPr>
          <w:rStyle w:val="lookup-resultcontent"/>
          <w:rFonts w:ascii="Arial" w:eastAsia="Times New Roman" w:hAnsi="Arial" w:cs="Arial"/>
          <w:sz w:val="24"/>
          <w:szCs w:val="24"/>
          <w:lang w:val="en-GB"/>
        </w:rPr>
        <w:fldChar w:fldCharType="separate"/>
      </w:r>
      <w:r w:rsidRPr="001056C0">
        <w:rPr>
          <w:rStyle w:val="lookup-resultcontent"/>
          <w:rFonts w:ascii="Arial" w:eastAsia="Times New Roman" w:hAnsi="Arial" w:cs="Arial"/>
          <w:noProof/>
          <w:sz w:val="24"/>
          <w:szCs w:val="24"/>
          <w:lang w:val="en-GB"/>
        </w:rPr>
        <w:t xml:space="preserve">Tourkmani </w:t>
      </w:r>
      <w:r w:rsidRPr="00291910">
        <w:rPr>
          <w:rStyle w:val="lookup-resultcontent"/>
          <w:rFonts w:ascii="Arial" w:eastAsia="Times New Roman" w:hAnsi="Arial" w:cs="Arial"/>
          <w:i/>
          <w:iCs/>
          <w:noProof/>
          <w:sz w:val="24"/>
          <w:szCs w:val="24"/>
          <w:lang w:val="en-GB"/>
        </w:rPr>
        <w:t>et al.</w:t>
      </w:r>
      <w:r w:rsidRPr="001056C0">
        <w:rPr>
          <w:rStyle w:val="lookup-resultcontent"/>
          <w:rFonts w:ascii="Arial" w:eastAsia="Times New Roman" w:hAnsi="Arial" w:cs="Arial"/>
          <w:noProof/>
          <w:sz w:val="24"/>
          <w:szCs w:val="24"/>
          <w:lang w:val="en-GB"/>
        </w:rPr>
        <w:t>, 2018</w:t>
      </w:r>
      <w:r w:rsidRPr="001056C0">
        <w:rPr>
          <w:rStyle w:val="lookup-resultcontent"/>
          <w:rFonts w:ascii="Arial" w:eastAsia="Times New Roman" w:hAnsi="Arial" w:cs="Arial"/>
          <w:sz w:val="24"/>
          <w:szCs w:val="24"/>
          <w:lang w:val="en-GB"/>
        </w:rPr>
        <w:fldChar w:fldCharType="end"/>
      </w:r>
      <w:r>
        <w:rPr>
          <w:rStyle w:val="lookup-resultcontent"/>
          <w:rFonts w:ascii="Arial" w:eastAsia="Times New Roman" w:hAnsi="Arial" w:cs="Arial"/>
          <w:sz w:val="24"/>
          <w:szCs w:val="24"/>
          <w:lang w:val="en-GB"/>
        </w:rPr>
        <w:t>a;</w:t>
      </w:r>
      <w:r w:rsidRPr="001056C0">
        <w:rPr>
          <w:rStyle w:val="lookup-resultcontent"/>
          <w:rFonts w:ascii="Arial" w:eastAsia="Times New Roman" w:hAnsi="Arial" w:cs="Arial"/>
          <w:sz w:val="24"/>
          <w:szCs w:val="24"/>
          <w:lang w:val="en-GB"/>
        </w:rPr>
        <w:t xml:space="preserve"> </w:t>
      </w:r>
      <w:r w:rsidRPr="001056C0">
        <w:rPr>
          <w:rStyle w:val="lookup-resultcontent"/>
          <w:rFonts w:ascii="Arial" w:eastAsia="Times New Roman" w:hAnsi="Arial" w:cs="Arial"/>
          <w:sz w:val="24"/>
          <w:szCs w:val="24"/>
          <w:lang w:val="en-GB"/>
        </w:rPr>
        <w:fldChar w:fldCharType="begin" w:fldLock="1"/>
      </w:r>
      <w:r>
        <w:rPr>
          <w:rStyle w:val="lookup-resultcontent"/>
          <w:rFonts w:ascii="Arial" w:eastAsia="Times New Roman" w:hAnsi="Arial" w:cs="Arial"/>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w:instrText>
      </w:r>
      <w:r w:rsidRPr="00876389">
        <w:rPr>
          <w:rStyle w:val="lookup-resultcontent"/>
          <w:rFonts w:ascii="Arial" w:eastAsia="Times New Roman" w:hAnsi="Arial" w:cs="Arial"/>
          <w:sz w:val="24"/>
          <w:szCs w:val="24"/>
          <w:lang w:val="fr-FR"/>
        </w:rPr>
        <w:instrText>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2018","plainTextFormattedCitation":"(Ayla M Tourkmani et al., 2018)","previouslyFormattedCitation":"(Ayla M Tourkmani &lt;i&gt;et al.&lt;/i&gt;, 2018)"},"properties":{"noteIndex":0},"schema":"https://github.com/citation-style-language/schema/raw/master/csl-citation.json"}</w:instrText>
      </w:r>
      <w:r w:rsidRPr="001056C0">
        <w:rPr>
          <w:rStyle w:val="lookup-resultcontent"/>
          <w:rFonts w:ascii="Arial" w:eastAsia="Times New Roman" w:hAnsi="Arial" w:cs="Arial"/>
          <w:sz w:val="24"/>
          <w:szCs w:val="24"/>
          <w:lang w:val="en-GB"/>
        </w:rPr>
        <w:fldChar w:fldCharType="separate"/>
      </w:r>
      <w:r w:rsidRPr="008D5F19">
        <w:rPr>
          <w:rStyle w:val="lookup-resultcontent"/>
          <w:rFonts w:ascii="Arial" w:eastAsia="Times New Roman" w:hAnsi="Arial" w:cs="Arial"/>
          <w:noProof/>
          <w:sz w:val="24"/>
          <w:szCs w:val="24"/>
          <w:lang w:val="fr-FR"/>
        </w:rPr>
        <w:t xml:space="preserve">Tourkmani </w:t>
      </w:r>
      <w:r w:rsidRPr="00291910">
        <w:rPr>
          <w:rStyle w:val="lookup-resultcontent"/>
          <w:rFonts w:ascii="Arial" w:eastAsia="Times New Roman" w:hAnsi="Arial" w:cs="Arial"/>
          <w:i/>
          <w:iCs/>
          <w:noProof/>
          <w:sz w:val="24"/>
          <w:szCs w:val="24"/>
          <w:lang w:val="fr-FR"/>
        </w:rPr>
        <w:t>et al.</w:t>
      </w:r>
      <w:r w:rsidRPr="008D5F19">
        <w:rPr>
          <w:rStyle w:val="lookup-resultcontent"/>
          <w:rFonts w:ascii="Arial" w:eastAsia="Times New Roman" w:hAnsi="Arial" w:cs="Arial"/>
          <w:noProof/>
          <w:sz w:val="24"/>
          <w:szCs w:val="24"/>
          <w:lang w:val="fr-FR"/>
        </w:rPr>
        <w:t>, 2018</w:t>
      </w:r>
      <w:r w:rsidRPr="001056C0">
        <w:rPr>
          <w:rStyle w:val="lookup-resultcontent"/>
          <w:rFonts w:ascii="Arial" w:eastAsia="Times New Roman" w:hAnsi="Arial" w:cs="Arial"/>
          <w:sz w:val="24"/>
          <w:szCs w:val="24"/>
          <w:lang w:val="en-GB"/>
        </w:rPr>
        <w:fldChar w:fldCharType="end"/>
      </w:r>
      <w:r w:rsidRPr="00876389">
        <w:rPr>
          <w:rStyle w:val="lookup-resultcontent"/>
          <w:rFonts w:ascii="Arial" w:eastAsia="Times New Roman" w:hAnsi="Arial" w:cs="Arial"/>
          <w:sz w:val="24"/>
          <w:szCs w:val="24"/>
          <w:lang w:val="fr-FR"/>
        </w:rPr>
        <w:t>b</w:t>
      </w:r>
      <w:r w:rsidRPr="008D5F19">
        <w:rPr>
          <w:rStyle w:val="lookup-resultcontent"/>
          <w:rFonts w:ascii="Arial" w:eastAsia="Times New Roman" w:hAnsi="Arial" w:cs="Arial"/>
          <w:sz w:val="24"/>
          <w:szCs w:val="24"/>
          <w:lang w:val="fr-FR"/>
        </w:rPr>
        <w:t xml:space="preserve">; </w:t>
      </w:r>
      <w:r w:rsidRPr="001056C0">
        <w:rPr>
          <w:rStyle w:val="lookup-resultcontent"/>
          <w:rFonts w:ascii="Arial" w:eastAsia="Times New Roman" w:hAnsi="Arial" w:cs="Arial"/>
          <w:sz w:val="24"/>
          <w:szCs w:val="24"/>
          <w:lang w:val="en-GB"/>
        </w:rPr>
        <w:fldChar w:fldCharType="begin" w:fldLock="1"/>
      </w:r>
      <w:r w:rsidRPr="008D5F19">
        <w:rPr>
          <w:rStyle w:val="lookup-resultcontent"/>
          <w:rFonts w:ascii="Arial" w:eastAsia="Times New Roman" w:hAnsi="Arial" w:cs="Arial"/>
          <w:sz w:val="24"/>
          <w:szCs w:val="24"/>
          <w:lang w:val="fr-FR"/>
        </w:rPr>
        <w:instrText>ADDIN CSL_CITATION {"citationItems":[{"id":"ITEM-1","itemData":{"DOI":"10.1177/2377960819889769","ISSN":"23779608","abstract":"Clinical pharmacists are responsible for guiding pharmacotherapy and ensuring medication safety along with other health-care providers. This study highlighted barriers that physicians and nurses encounter when interacting with clinical pharmacists. Twenty-seven physicians and nurses were randomly invited to participate in focus-group discussions. Five focus-group discussions were recorded and then transcribed, and the transcripts were reviewed and coded. Three major themes were identified, which were the role of clinical pharmacists, interprofessional communication, and competency. The greatest challenge reported in this study was lack of consistent understanding of the role of clinical pharmacists which to some extent caused communication deficiencies and affected the level of involvement with multidisciplinary teams. Despite that, majority of the participants perceived pharmacists as beneficial in optimizing pharmacotherapy and improving quality of care. Clinical pharmacy services are perceived positively in impacting quality of care as expressed by majority of the study participants. However, there is a lack of common understanding of the role of clinical pharmacists by other health-care providers.","author":[{"dropping-particle":"","family":"Alsuhebany","given":"Nada","non-dropping-particle":"","parse-names":false,"suffix":""},{"dropping-particle":"","family":"Alfehaid","given":"Lama","non-dropping-particle":"","parse-names":false,"suffix":""},{"dropping-particle":"","family":"Almodaimegh","given":"Hind","non-dropping-particle":"","parse-names":false,"suffix":""},{"dropping-particle":"","family":"Albekairy","given":"Abdulkareem","non-dropping-particle":"","parse-names":false,"suffix":""},{"dropping-particle":"","family":"Alharbi","given":"Shmeylan","non-dropping-particle":"","parse-names":false,"suffix":""}],"container-title":"SAGE Open Nursing","id":"ITEM-1","issued":{"date-parts":[["2019"]]},"title":"Attitude and Perception of Physicians and Nurses Toward the Role of Clinical Pharmacists in Riyadh, Saudi Arabia: A Qualitative Study","type":"article-journal","volume":"5"},"uris":["http://www.mendeley.com/documents/?uuid=85a9f96e-883b-424e-8019-689cd4c4142c"]}],"mendeley":{"formattedCitation":"(Alsuhebany &lt;i&gt;et al.&lt;/i&gt;, 2019)","manualFormatting":"Alsuhebany et al., 2019","plainTextFormattedCitation":"(Alsuhebany et al., 2019)","previouslyFormattedCitation":"(Alsuhebany &lt;i&gt;et al.&lt;/i&gt;, 2019)"},"properties":{"noteIndex":0},"schema":"https://github.com/citation-style-language/schema/raw/master/csl-citation.json"}</w:instrText>
      </w:r>
      <w:r w:rsidRPr="001056C0">
        <w:rPr>
          <w:rStyle w:val="lookup-resultcontent"/>
          <w:rFonts w:ascii="Arial" w:eastAsia="Times New Roman" w:hAnsi="Arial" w:cs="Arial"/>
          <w:sz w:val="24"/>
          <w:szCs w:val="24"/>
          <w:lang w:val="en-GB"/>
        </w:rPr>
        <w:fldChar w:fldCharType="separate"/>
      </w:r>
      <w:r w:rsidRPr="008D5F19">
        <w:rPr>
          <w:rStyle w:val="lookup-resultcontent"/>
          <w:rFonts w:ascii="Arial" w:eastAsia="Times New Roman" w:hAnsi="Arial" w:cs="Arial"/>
          <w:noProof/>
          <w:sz w:val="24"/>
          <w:szCs w:val="24"/>
          <w:lang w:val="fr-FR"/>
        </w:rPr>
        <w:t xml:space="preserve">Alsuhebany </w:t>
      </w:r>
      <w:r w:rsidRPr="00315814">
        <w:rPr>
          <w:rStyle w:val="lookup-resultcontent"/>
          <w:rFonts w:ascii="Arial" w:eastAsia="Times New Roman" w:hAnsi="Arial" w:cs="Arial"/>
          <w:i/>
          <w:iCs/>
          <w:noProof/>
          <w:sz w:val="24"/>
          <w:szCs w:val="24"/>
          <w:lang w:val="fr-FR"/>
        </w:rPr>
        <w:t>et al</w:t>
      </w:r>
      <w:r w:rsidRPr="008D5F19">
        <w:rPr>
          <w:rStyle w:val="lookup-resultcontent"/>
          <w:rFonts w:ascii="Arial" w:eastAsia="Times New Roman" w:hAnsi="Arial" w:cs="Arial"/>
          <w:noProof/>
          <w:sz w:val="24"/>
          <w:szCs w:val="24"/>
          <w:lang w:val="fr-FR"/>
        </w:rPr>
        <w:t>., 2019</w:t>
      </w:r>
      <w:r w:rsidRPr="001056C0">
        <w:rPr>
          <w:rStyle w:val="lookup-resultcontent"/>
          <w:rFonts w:ascii="Arial" w:eastAsia="Times New Roman" w:hAnsi="Arial" w:cs="Arial"/>
          <w:sz w:val="24"/>
          <w:szCs w:val="24"/>
          <w:lang w:val="en-GB"/>
        </w:rPr>
        <w:fldChar w:fldCharType="end"/>
      </w:r>
      <w:r w:rsidRPr="008D5F19">
        <w:rPr>
          <w:rStyle w:val="lookup-resultcontent"/>
          <w:rFonts w:ascii="Arial" w:eastAsia="Times New Roman" w:hAnsi="Arial" w:cs="Arial"/>
          <w:sz w:val="24"/>
          <w:szCs w:val="24"/>
          <w:lang w:val="fr-FR"/>
        </w:rPr>
        <w:t xml:space="preserve">; </w:t>
      </w:r>
      <w:r w:rsidRPr="001056C0">
        <w:rPr>
          <w:rStyle w:val="lookup-resultcontent"/>
          <w:rFonts w:ascii="Arial" w:eastAsia="Times New Roman" w:hAnsi="Arial" w:cs="Arial"/>
          <w:sz w:val="24"/>
          <w:szCs w:val="24"/>
          <w:lang w:val="en-GB"/>
        </w:rPr>
        <w:fldChar w:fldCharType="begin" w:fldLock="1"/>
      </w:r>
      <w:r w:rsidRPr="008D5F19">
        <w:rPr>
          <w:rStyle w:val="lookup-resultcontent"/>
          <w:rFonts w:ascii="Arial" w:eastAsia="Times New Roman" w:hAnsi="Arial" w:cs="Arial"/>
          <w:sz w:val="24"/>
          <w:szCs w:val="24"/>
          <w:lang w:val="fr-FR"/>
        </w:rPr>
        <w:instrText>ADDIN CSL_CITATION {"citationItems":[{"id":"ITEM-1","itemData":{"author":[{"dropping-particle":"","family":"Aldraimly","given":"Maha","non-dropping-particle":"","parse-names":false,"suffix":""},{"dropping-particle":"","family":"Suliman","given":"Sayed Azhar","non-dropping-particle":"","parse-names":false,"suffix":""},{"dropping-particle":"","family":"Alhabib","given":"Samia","non-dropping-particle":"","parse-names":false,"suffix":""},{"dropping-particle":"","family":"Almadani","given":"Wedad","non-dropping-particle":"","parse-names":false,"suffix":""},{"dropping-particle":"","family":"Nouri","given":"Ahmed Ibrahim","non-dropping-particle":"","parse-names":false,"suffix":""},{"dropping-particle":"","family":"Lamfon","given":"Nahid Ahmed","non-dropping-particle":"","parse-names":false,"suffix":""},{"dropping-particle":"","family":"Alanazi","given":"Reem Fahad","non-dropping-particle":"","parse-names":false,"suffix":""}],"container-title":"International Journal of Pharma Sciences and Scientific Research","id":"ITEM-1","issue":"6","issued":{"date-parts":[["2019"]]},"page":"75-80","title":"Knowledge , Attitude , and Practices of Physicians in Ambulatroy Care towards Clinical Pharmacist Educational Sessions of Diabetes Mellitus Management in Saudi Arabia","type":"article-journal","volume":"5"},"uris":["http://www.mendeley.com/documents/?uuid=60c150d1-601b-4273-adf4-1f406bd8e87f"]}],"mendeley":{"formattedCitation":"(Aldraimly &lt;i&gt;et al.&lt;/i&gt;, 2019)","manualFormatting":"Aldraimly et al., 2019","plainTextFormattedCitation":"(Aldraimly et al., 2019)","previouslyFormattedCitation":"(Aldraimly &lt;i&gt;et al.&lt;/i&gt;, 2019)"},"properties":{"noteIndex":0},"schema":"https://github.com/citation-style-language/schema/raw/master/csl-citation.json"}</w:instrText>
      </w:r>
      <w:r w:rsidRPr="001056C0">
        <w:rPr>
          <w:rStyle w:val="lookup-resultcontent"/>
          <w:rFonts w:ascii="Arial" w:eastAsia="Times New Roman" w:hAnsi="Arial" w:cs="Arial"/>
          <w:sz w:val="24"/>
          <w:szCs w:val="24"/>
          <w:lang w:val="en-GB"/>
        </w:rPr>
        <w:fldChar w:fldCharType="separate"/>
      </w:r>
      <w:r w:rsidRPr="008D5F19">
        <w:rPr>
          <w:rStyle w:val="lookup-resultcontent"/>
          <w:rFonts w:ascii="Arial" w:eastAsia="Times New Roman" w:hAnsi="Arial" w:cs="Arial"/>
          <w:noProof/>
          <w:sz w:val="24"/>
          <w:szCs w:val="24"/>
          <w:lang w:val="fr-FR"/>
        </w:rPr>
        <w:t xml:space="preserve">Aldraimly </w:t>
      </w:r>
      <w:r w:rsidRPr="00315814">
        <w:rPr>
          <w:rStyle w:val="lookup-resultcontent"/>
          <w:rFonts w:ascii="Arial" w:eastAsia="Times New Roman" w:hAnsi="Arial" w:cs="Arial"/>
          <w:i/>
          <w:iCs/>
          <w:noProof/>
          <w:sz w:val="24"/>
          <w:szCs w:val="24"/>
          <w:lang w:val="fr-FR"/>
        </w:rPr>
        <w:t>et al.</w:t>
      </w:r>
      <w:r w:rsidRPr="008D5F19">
        <w:rPr>
          <w:rStyle w:val="lookup-resultcontent"/>
          <w:rFonts w:ascii="Arial" w:eastAsia="Times New Roman" w:hAnsi="Arial" w:cs="Arial"/>
          <w:noProof/>
          <w:sz w:val="24"/>
          <w:szCs w:val="24"/>
          <w:lang w:val="fr-FR"/>
        </w:rPr>
        <w:t>, 2019</w:t>
      </w:r>
      <w:r w:rsidRPr="001056C0">
        <w:rPr>
          <w:rStyle w:val="lookup-resultcontent"/>
          <w:rFonts w:ascii="Arial" w:eastAsia="Times New Roman" w:hAnsi="Arial" w:cs="Arial"/>
          <w:sz w:val="24"/>
          <w:szCs w:val="24"/>
          <w:lang w:val="en-GB"/>
        </w:rPr>
        <w:fldChar w:fldCharType="end"/>
      </w:r>
      <w:r w:rsidRPr="008D5F19">
        <w:rPr>
          <w:rStyle w:val="lookup-resultcontent"/>
          <w:rFonts w:ascii="Arial" w:eastAsia="Times New Roman" w:hAnsi="Arial" w:cs="Arial"/>
          <w:sz w:val="24"/>
          <w:szCs w:val="24"/>
          <w:lang w:val="fr-FR"/>
        </w:rPr>
        <w:t xml:space="preserve">; </w:t>
      </w:r>
      <w:r w:rsidRPr="001056C0">
        <w:rPr>
          <w:rStyle w:val="lookup-resultcontent"/>
          <w:rFonts w:ascii="Arial" w:hAnsi="Arial" w:cs="Arial"/>
          <w:sz w:val="24"/>
          <w:szCs w:val="24"/>
          <w:lang w:val="en-GB"/>
        </w:rPr>
        <w:fldChar w:fldCharType="begin" w:fldLock="1"/>
      </w:r>
      <w:r w:rsidRPr="008D5F19">
        <w:rPr>
          <w:rStyle w:val="lookup-resultcontent"/>
          <w:rFonts w:ascii="Arial" w:hAnsi="Arial" w:cs="Arial"/>
          <w:sz w:val="24"/>
          <w:szCs w:val="24"/>
          <w:lang w:val="fr-FR"/>
        </w:rPr>
        <w:instrText>ADDIN CSL_CITATION {"citationItems":[{"id":"ITEM-1","itemData":{"DOI":"10.1016/j.jsps.2020.11.002","ISSN":"13190164","author":[{"dropping-particle":"","family":"Alsuwayni","given":"Bashayr","non-dropping-particle":"","parse-names":false,"suffix":""},{"dropping-particle":"","family":"Alhossan","given":"Abdulaziz","non-dropping-particle":"","parse-names":false,"suffix":""}],"container-title":"Saudi Pharmaceutical Journal","id":"ITEM-1","issue":"12","issued":{"date-parts":[["2020"]]},"page":"1756-1759","publisher":"King Saud University","title":"Impact of clinical pharmacist-led diabetes management clinic on health outcomes at an academic hospital in Riyadh, Saudi Arabia: A prospective cohort study","type":"article-journal","volume":"28"},"uris":["http://www.mendeley.com/documents/?uuid=8c96643a-8124-455f-8442-cb7dc2cbdf33"]}],"mendeley":{"formattedCitation":"(Alsuwayni and Alhossan, 2020)","manualFormatting":"Alsuwayni and Alhossan, 2020)","plainTextFormattedCitation":"(Alsuwayni and Alhossan, 2020)","previouslyFormattedCitation":"(Alsuwayni and Alhossan, 2020)"},"properties":{"noteIndex":0},"schema":"https://github.com/citation-style-language/schema/raw/master/csl-citation.json"}</w:instrText>
      </w:r>
      <w:r w:rsidRPr="001056C0">
        <w:rPr>
          <w:rStyle w:val="lookup-resultcontent"/>
          <w:rFonts w:ascii="Arial" w:hAnsi="Arial" w:cs="Arial"/>
          <w:sz w:val="24"/>
          <w:szCs w:val="24"/>
          <w:lang w:val="en-GB"/>
        </w:rPr>
        <w:fldChar w:fldCharType="separate"/>
      </w:r>
      <w:r w:rsidRPr="008D5F19">
        <w:rPr>
          <w:rStyle w:val="lookup-resultcontent"/>
          <w:rFonts w:ascii="Arial" w:hAnsi="Arial" w:cs="Arial"/>
          <w:noProof/>
          <w:sz w:val="24"/>
          <w:szCs w:val="24"/>
          <w:lang w:val="fr-FR"/>
        </w:rPr>
        <w:t>Alsuwayni and Alhossan, 2020)</w:t>
      </w:r>
      <w:r w:rsidRPr="001056C0">
        <w:rPr>
          <w:rStyle w:val="lookup-resultcontent"/>
          <w:rFonts w:ascii="Arial" w:hAnsi="Arial" w:cs="Arial"/>
          <w:sz w:val="24"/>
          <w:szCs w:val="24"/>
          <w:lang w:val="en-GB"/>
        </w:rPr>
        <w:fldChar w:fldCharType="end"/>
      </w:r>
      <w:r w:rsidRPr="008D5F19">
        <w:rPr>
          <w:rStyle w:val="lookup-resultcontent"/>
          <w:rFonts w:ascii="Arial" w:eastAsia="Times New Roman" w:hAnsi="Arial" w:cs="Arial"/>
          <w:sz w:val="24"/>
          <w:szCs w:val="24"/>
          <w:lang w:val="fr-FR"/>
        </w:rPr>
        <w:t xml:space="preserve">. </w:t>
      </w:r>
    </w:p>
    <w:p w14:paraId="78A299D2" w14:textId="77777777" w:rsidR="00941883" w:rsidRPr="0006349A" w:rsidRDefault="00941883" w:rsidP="00941883">
      <w:pPr>
        <w:spacing w:line="360" w:lineRule="auto"/>
        <w:jc w:val="both"/>
        <w:rPr>
          <w:rStyle w:val="lookup-resultcontent"/>
          <w:rFonts w:ascii="Arial" w:hAnsi="Arial" w:cs="Arial"/>
          <w:sz w:val="24"/>
          <w:szCs w:val="24"/>
          <w:lang w:val="en-GB"/>
        </w:rPr>
      </w:pPr>
      <w:r w:rsidRPr="001056C0">
        <w:rPr>
          <w:rStyle w:val="lookup-resultcontent"/>
          <w:rFonts w:asciiTheme="minorBidi" w:eastAsia="Times New Roman" w:hAnsiTheme="minorBidi"/>
          <w:sz w:val="24"/>
          <w:szCs w:val="24"/>
          <w:lang w:val="en-GB"/>
        </w:rPr>
        <w:t xml:space="preserve">In addition, in these settings, advancing clinical pharmacy practice is well established. For instance, </w:t>
      </w:r>
      <w:r>
        <w:rPr>
          <w:rStyle w:val="lookup-resultcontent"/>
          <w:rFonts w:asciiTheme="minorBidi" w:eastAsia="Times New Roman" w:hAnsiTheme="minorBidi"/>
          <w:sz w:val="24"/>
          <w:szCs w:val="24"/>
          <w:lang w:val="en-GB"/>
        </w:rPr>
        <w:t>t</w:t>
      </w:r>
      <w:r w:rsidRPr="001056C0">
        <w:rPr>
          <w:rStyle w:val="lookup-resultcontent"/>
          <w:rFonts w:asciiTheme="minorBidi" w:eastAsia="Times New Roman" w:hAnsiTheme="minorBidi"/>
          <w:sz w:val="24"/>
          <w:szCs w:val="24"/>
          <w:lang w:val="en-GB"/>
        </w:rPr>
        <w:t xml:space="preserve">he pharmacy department at King Khalid University Hospital is </w:t>
      </w:r>
      <w:r>
        <w:rPr>
          <w:rStyle w:val="lookup-resultcontent"/>
          <w:rFonts w:asciiTheme="minorBidi" w:eastAsia="Times New Roman" w:hAnsiTheme="minorBidi"/>
          <w:sz w:val="24"/>
          <w:szCs w:val="24"/>
          <w:lang w:val="en-GB"/>
        </w:rPr>
        <w:t>an</w:t>
      </w:r>
      <w:r w:rsidRPr="001056C0">
        <w:rPr>
          <w:rStyle w:val="lookup-resultcontent"/>
          <w:rFonts w:asciiTheme="minorBidi" w:eastAsia="Times New Roman" w:hAnsiTheme="minorBidi"/>
          <w:sz w:val="24"/>
          <w:szCs w:val="24"/>
          <w:lang w:val="en-GB"/>
        </w:rPr>
        <w:t xml:space="preserve"> example of</w:t>
      </w:r>
      <w:r>
        <w:rPr>
          <w:rStyle w:val="lookup-resultcontent"/>
          <w:rFonts w:asciiTheme="minorBidi" w:eastAsia="Times New Roman" w:hAnsiTheme="minorBidi"/>
          <w:sz w:val="24"/>
          <w:szCs w:val="24"/>
          <w:lang w:val="en-GB"/>
        </w:rPr>
        <w:t xml:space="preserve"> a</w:t>
      </w:r>
      <w:r w:rsidRPr="001056C0">
        <w:rPr>
          <w:rStyle w:val="lookup-resultcontent"/>
          <w:rFonts w:asciiTheme="minorBidi" w:eastAsia="Times New Roman" w:hAnsiTheme="minorBidi"/>
          <w:sz w:val="24"/>
          <w:szCs w:val="24"/>
          <w:lang w:val="en-GB"/>
        </w:rPr>
        <w:t xml:space="preserve"> well-established clinical pharmacy service, as it</w:t>
      </w:r>
      <w:r>
        <w:rPr>
          <w:rStyle w:val="lookup-resultcontent"/>
          <w:rFonts w:asciiTheme="minorBidi" w:eastAsia="Times New Roman" w:hAnsiTheme="minorBidi"/>
          <w:sz w:val="24"/>
          <w:szCs w:val="24"/>
          <w:lang w:val="en-GB"/>
        </w:rPr>
        <w:t xml:space="preserve"> was</w:t>
      </w:r>
      <w:r w:rsidRPr="001056C0">
        <w:rPr>
          <w:rStyle w:val="lookup-resultcontent"/>
          <w:rFonts w:asciiTheme="minorBidi" w:eastAsia="Times New Roman" w:hAnsiTheme="minorBidi"/>
          <w:sz w:val="24"/>
          <w:szCs w:val="24"/>
          <w:lang w:val="en-GB"/>
        </w:rPr>
        <w:t xml:space="preserve"> </w:t>
      </w:r>
      <w:r>
        <w:rPr>
          <w:rStyle w:val="lookup-resultcontent"/>
          <w:rFonts w:asciiTheme="minorBidi" w:eastAsia="Times New Roman" w:hAnsiTheme="minorBidi"/>
          <w:sz w:val="24"/>
          <w:szCs w:val="24"/>
          <w:lang w:val="en-GB"/>
        </w:rPr>
        <w:t>founded</w:t>
      </w:r>
      <w:r w:rsidRPr="001056C0">
        <w:rPr>
          <w:rStyle w:val="lookup-resultcontent"/>
          <w:rFonts w:asciiTheme="minorBidi" w:eastAsia="Times New Roman" w:hAnsiTheme="minorBidi"/>
          <w:sz w:val="24"/>
          <w:szCs w:val="24"/>
          <w:lang w:val="en-GB"/>
        </w:rPr>
        <w:t xml:space="preserve"> in 1983  </w:t>
      </w:r>
      <w:r w:rsidRPr="001056C0">
        <w:rPr>
          <w:rStyle w:val="lookup-resultcontent"/>
          <w:rFonts w:asciiTheme="minorBidi" w:eastAsia="Times New Roman" w:hAnsiTheme="minorBidi"/>
          <w:sz w:val="24"/>
          <w:szCs w:val="24"/>
          <w:lang w:val="en-GB"/>
        </w:rPr>
        <w:fldChar w:fldCharType="begin" w:fldLock="1"/>
      </w:r>
      <w:r>
        <w:rPr>
          <w:rStyle w:val="lookup-resultcontent"/>
          <w:rFonts w:asciiTheme="minorBidi" w:eastAsia="Times New Roman" w:hAnsiTheme="minorBidi"/>
          <w:sz w:val="24"/>
          <w:szCs w:val="24"/>
          <w:lang w:val="en-GB"/>
        </w:rPr>
        <w:instrText>ADDIN CSL_CITATION {"citationItems":[{"id":"ITEM-1","itemData":{"DOI":"10.4314/tjpr.v14i5.23","ISSN":"15969827","abstract":"Purpose: To evaluate the attitudes and perceptions of health care providers towards clinical pharmacy services at King Khalid University Hospital Riyadh Saudi Arabia Method: A cross-sectional survey of healthcare providers was conducted in King Khalid University Hospital, Riyadh, Saudi Arabia from September to November 2013. A self-administered questionnaire was delivered to health care professionals (HCPs) who included physicians, pharmacists and nurses. Results: The response rate was 78 % (457/600). The majority of the respondents (92.4 %) knew that the clinical pharmacist is an integral part of the medical team while 86.5 % of the participants expressed confidence in the ability of clinical pharmacists to improve the quality of patient care through their practice. Despite the relative lack of awareness of the increasing interest in clinical pharmacy practice (59.6 % were not aware of such a trend), pharmacists were less appreciative (p &lt; 0.05) of the positive role of clinical pharmacists in direct patient care compared to both physicians and nurses (67.4, 74.3 and 72.3 %, respectively). Conclusion: The findings of this study reveal that health care professionals HCPs have positive attitude towards the role of the clinical pharmacist in the health care setting studied. However, there is a need for Saudi hospitals to adopt full clinical pharmacy service including drug monitoring, drug information and pharmacotherapy for enhanced health care.","author":[{"dropping-particle":"","family":"Al-Arifi","given":"Mohamed N.","non-dropping-particle":"","parse-names":false,"suffix":""},{"dropping-particle":"","family":"Alghamdi","given":"B.","non-dropping-particle":"","parse-names":false,"suffix":""},{"dropping-particle":"","family":"Al-Saadi","given":"M.","non-dropping-particle":"","parse-names":false,"suffix":""},{"dropping-particle":"","family":"Idris","given":"A. E.","non-dropping-particle":"","parse-names":false,"suffix":""},{"dropping-particle":"","family":"Wajid","given":"Syed","non-dropping-particle":"","parse-names":false,"suffix":""},{"dropping-particle":"","family":"Said","given":"Ragab","non-dropping-particle":"","parse-names":false,"suffix":""},{"dropping-particle":"","family":"Babelghaith","given":"Salmeen D.","non-dropping-particle":"","parse-names":false,"suffix":""}],"container-title":"Tropical Journal of Pharmaceutical Research","id":"ITEM-1","issue":"5","issued":{"date-parts":[["2015"]]},"page":"913-918","title":"Attitudes and perceptions of healthcare providers towards clinical pharmacy services at a tertiary care hospital in Riyadh, Saudi Arabia","type":"article-journal","volume":"14"},"uris":["http://www.mendeley.com/documents/?uuid=bf6b27b5-5ea1-470f-9332-284c09dc15a2"]}],"mendeley":{"formattedCitation":"(Al-Arifi, Alghamdi, &lt;i&gt;et al.&lt;/i&gt;, 2015)","manualFormatting":"(Al-Arifi et al., 2015)","plainTextFormattedCitation":"(Al-Arifi, Alghamdi, et al., 2015)","previouslyFormattedCitation":"(Al-Arifi, Alghamdi, &lt;i&gt;et al.&lt;/i&gt;, 2015)"},"properties":{"noteIndex":0},"schema":"https://github.com/citation-style-language/schema/raw/master/csl-citation.json"}</w:instrText>
      </w:r>
      <w:r w:rsidRPr="001056C0">
        <w:rPr>
          <w:rStyle w:val="lookup-resultcontent"/>
          <w:rFonts w:asciiTheme="minorBidi" w:eastAsia="Times New Roman" w:hAnsiTheme="minorBidi"/>
          <w:sz w:val="24"/>
          <w:szCs w:val="24"/>
          <w:lang w:val="en-GB"/>
        </w:rPr>
        <w:fldChar w:fldCharType="separate"/>
      </w:r>
      <w:r w:rsidRPr="001056C0">
        <w:rPr>
          <w:rStyle w:val="lookup-resultcontent"/>
          <w:rFonts w:asciiTheme="minorBidi" w:eastAsia="Times New Roman" w:hAnsiTheme="minorBidi"/>
          <w:noProof/>
          <w:sz w:val="24"/>
          <w:szCs w:val="24"/>
          <w:lang w:val="en-GB"/>
        </w:rPr>
        <w:t>(Al-Arifi et al., 2015)</w:t>
      </w:r>
      <w:r w:rsidRPr="001056C0">
        <w:rPr>
          <w:rStyle w:val="lookup-resultcontent"/>
          <w:rFonts w:asciiTheme="minorBidi" w:eastAsia="Times New Roman" w:hAnsiTheme="minorBidi"/>
          <w:sz w:val="24"/>
          <w:szCs w:val="24"/>
          <w:lang w:val="en-GB"/>
        </w:rPr>
        <w:fldChar w:fldCharType="end"/>
      </w:r>
      <w:r w:rsidRPr="001056C0">
        <w:rPr>
          <w:rStyle w:val="lookup-resultcontent"/>
          <w:rFonts w:asciiTheme="minorBidi" w:eastAsia="Times New Roman" w:hAnsiTheme="minorBidi"/>
          <w:sz w:val="24"/>
          <w:szCs w:val="24"/>
          <w:lang w:val="en-GB"/>
        </w:rPr>
        <w:t xml:space="preserve">. </w:t>
      </w:r>
      <w:r>
        <w:rPr>
          <w:rStyle w:val="lookup-resultcontent"/>
          <w:rFonts w:asciiTheme="minorBidi" w:eastAsia="Times New Roman" w:hAnsiTheme="minorBidi"/>
          <w:sz w:val="24"/>
          <w:szCs w:val="24"/>
          <w:lang w:val="en-GB"/>
        </w:rPr>
        <w:t>A</w:t>
      </w:r>
      <w:r w:rsidRPr="001056C0">
        <w:rPr>
          <w:rStyle w:val="lookup-resultcontent"/>
          <w:rFonts w:asciiTheme="minorBidi" w:eastAsia="Times New Roman" w:hAnsiTheme="minorBidi"/>
          <w:sz w:val="24"/>
          <w:szCs w:val="24"/>
          <w:lang w:val="en-GB"/>
        </w:rPr>
        <w:t xml:space="preserve"> pharmacy practice model in the PSMMC </w:t>
      </w:r>
      <w:r>
        <w:rPr>
          <w:rStyle w:val="lookup-resultcontent"/>
          <w:rFonts w:asciiTheme="minorBidi" w:eastAsia="Times New Roman" w:hAnsiTheme="minorBidi"/>
          <w:sz w:val="24"/>
          <w:szCs w:val="24"/>
          <w:lang w:val="en-GB"/>
        </w:rPr>
        <w:t xml:space="preserve">is another example of a well-established pharmacy practice and it </w:t>
      </w:r>
      <w:r w:rsidRPr="001056C0">
        <w:rPr>
          <w:rStyle w:val="lookup-resultcontent"/>
          <w:rFonts w:asciiTheme="minorBidi" w:eastAsia="Times New Roman" w:hAnsiTheme="minorBidi"/>
          <w:sz w:val="24"/>
          <w:szCs w:val="24"/>
          <w:lang w:val="en-GB"/>
        </w:rPr>
        <w:t>divides</w:t>
      </w:r>
      <w:r>
        <w:rPr>
          <w:rStyle w:val="lookup-resultcontent"/>
          <w:rFonts w:asciiTheme="minorBidi" w:eastAsia="Times New Roman" w:hAnsiTheme="minorBidi"/>
          <w:sz w:val="24"/>
          <w:szCs w:val="24"/>
          <w:lang w:val="en-GB"/>
        </w:rPr>
        <w:t xml:space="preserve"> </w:t>
      </w:r>
      <w:r w:rsidRPr="001056C0">
        <w:rPr>
          <w:rStyle w:val="lookup-resultcontent"/>
          <w:rFonts w:asciiTheme="minorBidi" w:eastAsia="Times New Roman" w:hAnsiTheme="minorBidi"/>
          <w:sz w:val="24"/>
          <w:szCs w:val="24"/>
          <w:lang w:val="en-GB"/>
        </w:rPr>
        <w:t xml:space="preserve">pharmacy staff into two groups: clinical and distribution. Distribution pharmacy staff are responsible </w:t>
      </w:r>
      <w:r>
        <w:rPr>
          <w:rStyle w:val="lookup-resultcontent"/>
          <w:rFonts w:asciiTheme="minorBidi" w:eastAsia="Times New Roman" w:hAnsiTheme="minorBidi"/>
          <w:sz w:val="24"/>
          <w:szCs w:val="24"/>
          <w:lang w:val="en-GB"/>
        </w:rPr>
        <w:t>f</w:t>
      </w:r>
      <w:r w:rsidRPr="001056C0">
        <w:rPr>
          <w:rStyle w:val="lookup-resultcontent"/>
          <w:rFonts w:asciiTheme="minorBidi" w:eastAsia="Times New Roman" w:hAnsiTheme="minorBidi"/>
          <w:sz w:val="24"/>
          <w:szCs w:val="24"/>
          <w:lang w:val="en-GB"/>
        </w:rPr>
        <w:t>o</w:t>
      </w:r>
      <w:r>
        <w:rPr>
          <w:rStyle w:val="lookup-resultcontent"/>
          <w:rFonts w:asciiTheme="minorBidi" w:eastAsia="Times New Roman" w:hAnsiTheme="minorBidi"/>
          <w:sz w:val="24"/>
          <w:szCs w:val="24"/>
          <w:lang w:val="en-GB"/>
        </w:rPr>
        <w:t>r</w:t>
      </w:r>
      <w:r w:rsidRPr="001056C0">
        <w:rPr>
          <w:rStyle w:val="lookup-resultcontent"/>
          <w:rFonts w:asciiTheme="minorBidi" w:eastAsia="Times New Roman" w:hAnsiTheme="minorBidi"/>
          <w:sz w:val="24"/>
          <w:szCs w:val="24"/>
          <w:lang w:val="en-GB"/>
        </w:rPr>
        <w:t xml:space="preserve"> dispensing medications to patients</w:t>
      </w:r>
      <w:r>
        <w:rPr>
          <w:rStyle w:val="lookup-resultcontent"/>
          <w:rFonts w:asciiTheme="minorBidi" w:eastAsia="Times New Roman" w:hAnsiTheme="minorBidi"/>
          <w:sz w:val="24"/>
          <w:szCs w:val="24"/>
          <w:lang w:val="en-GB"/>
        </w:rPr>
        <w:t>,</w:t>
      </w:r>
      <w:r w:rsidRPr="001056C0">
        <w:rPr>
          <w:rStyle w:val="lookup-resultcontent"/>
          <w:rFonts w:asciiTheme="minorBidi" w:eastAsia="Times New Roman" w:hAnsiTheme="minorBidi"/>
          <w:sz w:val="24"/>
          <w:szCs w:val="24"/>
          <w:lang w:val="en-GB"/>
        </w:rPr>
        <w:t xml:space="preserve"> while clinical pharmacy staff are responsible </w:t>
      </w:r>
      <w:r>
        <w:rPr>
          <w:rStyle w:val="lookup-resultcontent"/>
          <w:rFonts w:asciiTheme="minorBidi" w:eastAsia="Times New Roman" w:hAnsiTheme="minorBidi"/>
          <w:sz w:val="24"/>
          <w:szCs w:val="24"/>
          <w:lang w:val="en-GB"/>
        </w:rPr>
        <w:t>f</w:t>
      </w:r>
      <w:r w:rsidRPr="001056C0">
        <w:rPr>
          <w:rStyle w:val="lookup-resultcontent"/>
          <w:rFonts w:asciiTheme="minorBidi" w:eastAsia="Times New Roman" w:hAnsiTheme="minorBidi"/>
          <w:sz w:val="24"/>
          <w:szCs w:val="24"/>
          <w:lang w:val="en-GB"/>
        </w:rPr>
        <w:t>o</w:t>
      </w:r>
      <w:r>
        <w:rPr>
          <w:rStyle w:val="lookup-resultcontent"/>
          <w:rFonts w:asciiTheme="minorBidi" w:eastAsia="Times New Roman" w:hAnsiTheme="minorBidi"/>
          <w:sz w:val="24"/>
          <w:szCs w:val="24"/>
          <w:lang w:val="en-GB"/>
        </w:rPr>
        <w:t>r</w:t>
      </w:r>
      <w:r w:rsidRPr="001056C0">
        <w:rPr>
          <w:rStyle w:val="lookup-resultcontent"/>
          <w:rFonts w:asciiTheme="minorBidi" w:eastAsia="Times New Roman" w:hAnsiTheme="minorBidi"/>
          <w:sz w:val="24"/>
          <w:szCs w:val="24"/>
          <w:lang w:val="en-GB"/>
        </w:rPr>
        <w:t xml:space="preserve"> providing clinical services </w:t>
      </w:r>
      <w:r w:rsidRPr="001056C0">
        <w:rPr>
          <w:rStyle w:val="lookup-resultcontent"/>
          <w:rFonts w:asciiTheme="minorBidi" w:eastAsia="Times New Roman" w:hAnsiTheme="minorBidi"/>
          <w:sz w:val="24"/>
          <w:szCs w:val="24"/>
          <w:lang w:val="en-GB"/>
        </w:rPr>
        <w:fldChar w:fldCharType="begin" w:fldLock="1"/>
      </w:r>
      <w:r>
        <w:rPr>
          <w:rStyle w:val="lookup-resultcontent"/>
          <w:rFonts w:asciiTheme="minorBidi" w:eastAsia="Times New Roman" w:hAnsiTheme="minorBidi"/>
          <w:sz w:val="24"/>
          <w:szCs w:val="24"/>
          <w:lang w:val="en-GB"/>
        </w:rPr>
        <w:instrText>ADDIN CSL_CITATION {"citationItems":[{"id":"ITEM-1","itemData":{"DOI":"10.4314/tjpr.v19i2.24","ISSN":"15969827","abstract":"Purpose: To explore the perceptions and satisfaction of stakeholders (physicians, nurses, and pharmacists) regarding services provided by the patient care area pharmacist (PCAP) initiative. Methods: This was a cross-sectional study conducted at Prince Sultan Military Medical City (PSMMC). The questionnaire was hand-delivered to a random sample of stakeholder groups (including physicians, nurses, and pharmacists) in three different areas of the hospital: The neonatal intensive care unit (NICU), high dependency unit (HDU), and pediatric nephrology. The questionnaire consisted of three sections. The first section collected demographic information of the participants, and the other sections collected anonymous opinions regarding services provided by the PCAP. Results: Ninety-nine participants, comprising physicians (n = 27; 27.27 %), nurses (n = 55; 55.55%), inpatient pharmacists (n = 13; 13.13%), and PCAPs (n = 4; 4.04%), participated in the survey. A majority of the respondents (92.3 %) were satisfied with the PCAP services, and all respondents recommended expansion of the PCAP service to cover all wards. Conclusion: The findings show that all participants have a positive perception of the PCAP service; PCAPs were seen by the participants as drug experts, and their recommendations were perceived as clinically relevant. All stakeholders sought to continue working with the PCAP.","author":[{"dropping-particle":"","family":"Almzeiny","given":"Mohammed","non-dropping-particle":"","parse-names":false,"suffix":""},{"dropping-particle":"","family":"Khurshid","given":"Fowad M.","non-dropping-particle":"","parse-names":false,"suffix":""},{"dropping-particle":"","family":"Alaneazi","given":"Nadeen L.","non-dropping-particle":"","parse-names":false,"suffix":""},{"dropping-particle":"","family":"Alotaibi","given":"Suhoud S.","non-dropping-particle":"","parse-names":false,"suffix":""},{"dropping-particle":"","family":"Alharbi","given":"Sara N.","non-dropping-particle":"","parse-names":false,"suffix":""},{"dropping-particle":"","family":"Almitwazi","given":"Ali A.","non-dropping-particle":"","parse-names":false,"suffix":""},{"dropping-particle":"","family":"Alkhodair","given":"Ali M.","non-dropping-particle":"","parse-names":false,"suffix":""},{"dropping-particle":"","family":"AlKharji","given":"Fahad","non-dropping-particle":"","parse-names":false,"suffix":""},{"dropping-particle":"","family":"Alomar","given":"Hussain A.","non-dropping-particle":"","parse-names":false,"suffix":""},{"dropping-particle":"","family":"Alsultan","given":"Mohammed S.","non-dropping-particle":"","parse-names":false,"suffix":""}],"container-title":"Tropical Journal of Pharmaceutical Research","id":"ITEM-1","issue":"2","issued":{"date-parts":[["2020"]]},"page":"401-409","title":"Perception and satisfaction of stakeholders regarding the patient care area pharmacist initiative in a military hospital in Saudi Arabia","type":"article-journal","volume":"19"},"uris":["http://www.mendeley.com/documents/?uuid=52b577f6-df07-4fc0-9d96-abe2dd2bc518"]}],"mendeley":{"formattedCitation":"(Almzeiny &lt;i&gt;et al.&lt;/i&gt;, 2020)","plainTextFormattedCitation":"(Almzeiny et al., 2020)","previouslyFormattedCitation":"(Almzeiny &lt;i&gt;et al.&lt;/i&gt;, 2020)"},"properties":{"noteIndex":0},"schema":"https://github.com/citation-style-language/schema/raw/master/csl-citation.json"}</w:instrText>
      </w:r>
      <w:r w:rsidRPr="001056C0">
        <w:rPr>
          <w:rStyle w:val="lookup-resultcontent"/>
          <w:rFonts w:asciiTheme="minorBidi" w:eastAsia="Times New Roman" w:hAnsiTheme="minorBidi"/>
          <w:sz w:val="24"/>
          <w:szCs w:val="24"/>
          <w:lang w:val="en-GB"/>
        </w:rPr>
        <w:fldChar w:fldCharType="separate"/>
      </w:r>
      <w:r w:rsidRPr="001056C0">
        <w:rPr>
          <w:rStyle w:val="lookup-resultcontent"/>
          <w:rFonts w:asciiTheme="minorBidi" w:eastAsia="Times New Roman" w:hAnsiTheme="minorBidi"/>
          <w:noProof/>
          <w:sz w:val="24"/>
          <w:szCs w:val="24"/>
          <w:lang w:val="en-GB"/>
        </w:rPr>
        <w:t>(Almzeiny et al., 2020)</w:t>
      </w:r>
      <w:r w:rsidRPr="001056C0">
        <w:rPr>
          <w:rStyle w:val="lookup-resultcontent"/>
          <w:rFonts w:asciiTheme="minorBidi" w:eastAsia="Times New Roman" w:hAnsiTheme="minorBidi"/>
          <w:sz w:val="24"/>
          <w:szCs w:val="24"/>
          <w:lang w:val="en-GB"/>
        </w:rPr>
        <w:fldChar w:fldCharType="end"/>
      </w:r>
      <w:r w:rsidRPr="001056C0">
        <w:rPr>
          <w:rFonts w:ascii="Gill Sans MT" w:hAnsi="Gill Sans MT" w:cs="Times New Roman"/>
          <w:szCs w:val="28"/>
          <w:lang w:val="en-GB"/>
        </w:rPr>
        <w:t>.</w:t>
      </w:r>
      <w:r>
        <w:rPr>
          <w:rFonts w:ascii="Gill Sans MT" w:hAnsi="Gill Sans MT" w:cs="Times New Roman"/>
          <w:szCs w:val="28"/>
          <w:lang w:val="en-GB"/>
        </w:rPr>
        <w:t xml:space="preserve"> </w:t>
      </w:r>
      <w:r>
        <w:rPr>
          <w:rStyle w:val="lookup-resultcontent"/>
          <w:rFonts w:asciiTheme="minorBidi" w:eastAsia="Times New Roman" w:hAnsiTheme="minorBidi"/>
          <w:sz w:val="24"/>
          <w:szCs w:val="24"/>
          <w:lang w:val="en-GB"/>
        </w:rPr>
        <w:t xml:space="preserve"> In contrast, t</w:t>
      </w:r>
      <w:r w:rsidRPr="001056C0">
        <w:rPr>
          <w:rStyle w:val="lookup-resultcontent"/>
          <w:rFonts w:asciiTheme="minorBidi" w:eastAsia="Times New Roman" w:hAnsiTheme="minorBidi"/>
          <w:sz w:val="24"/>
          <w:szCs w:val="24"/>
          <w:lang w:val="en-GB"/>
        </w:rPr>
        <w:t xml:space="preserve">he pharmacy practice in the MoH focuses mainly on dispensing </w:t>
      </w:r>
      <w:r>
        <w:rPr>
          <w:rStyle w:val="lookup-resultcontent"/>
          <w:rFonts w:asciiTheme="minorBidi" w:eastAsia="Times New Roman" w:hAnsiTheme="minorBidi"/>
          <w:sz w:val="24"/>
          <w:szCs w:val="24"/>
          <w:lang w:val="en-GB"/>
        </w:rPr>
        <w:t>the prescriptions,</w:t>
      </w:r>
      <w:r w:rsidRPr="001056C0">
        <w:rPr>
          <w:rStyle w:val="lookup-resultcontent"/>
          <w:rFonts w:asciiTheme="minorBidi" w:eastAsia="Times New Roman" w:hAnsiTheme="minorBidi"/>
          <w:sz w:val="24"/>
          <w:szCs w:val="24"/>
          <w:lang w:val="en-GB"/>
        </w:rPr>
        <w:t xml:space="preserve"> with </w:t>
      </w:r>
      <w:r w:rsidRPr="001056C0">
        <w:rPr>
          <w:rFonts w:ascii="Arial" w:hAnsi="Arial" w:cs="Arial"/>
          <w:sz w:val="24"/>
          <w:szCs w:val="24"/>
          <w:lang w:val="en-GB"/>
        </w:rPr>
        <w:t>limited application of effective clinical pharmacy services</w:t>
      </w:r>
      <w:r>
        <w:rPr>
          <w:rFonts w:ascii="Arial" w:hAnsi="Arial" w:cs="Arial"/>
          <w:sz w:val="24"/>
          <w:szCs w:val="24"/>
          <w:lang w:val="en-GB"/>
        </w:rPr>
        <w:t xml:space="preserve"> such as a medication review service. This </w:t>
      </w:r>
      <w:r>
        <w:rPr>
          <w:rFonts w:asciiTheme="minorBidi" w:hAnsiTheme="minorBidi"/>
          <w:sz w:val="24"/>
          <w:szCs w:val="24"/>
          <w:shd w:val="clear" w:color="auto" w:fill="FFFFFF"/>
        </w:rPr>
        <w:t>argument</w:t>
      </w:r>
      <w:r w:rsidRPr="00D720A3">
        <w:rPr>
          <w:rFonts w:asciiTheme="minorBidi" w:hAnsiTheme="minorBidi"/>
          <w:sz w:val="24"/>
          <w:szCs w:val="24"/>
          <w:shd w:val="clear" w:color="auto" w:fill="FFFFFF"/>
        </w:rPr>
        <w:t xml:space="preserve"> is supported by </w:t>
      </w:r>
      <w:r w:rsidRPr="00FF47A1">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uthor":[{"dropping-particle":"","family":"Al-Jedai","given":"Ahmed","non-dropping-particle":"","parse-names":false,"suffix":""},{"dropping-particle":"","family":"Qaisi","given":"Shrouq","non-dropping-particle":"","parse-names":false,"suffix":""},{"dropping-particle":"","family":"Al-Meman","given":"Ahmed","non-dropping-particle":"","parse-names":false,"suffix":""}],"id":"ITEM-1","issue":"3","issued":{"date-parts":[["2016"]]},"title":"INTERNATIONAL PERSPECTIVES ON PHARMACY PRACTICE Pharmacy Practice and the Health Care System in Saudi Arabia","type":"report","volume":"69"},"uris":["http://www.mendeley.com/documents/?uuid=6c28c996-40b3-372f-8ce1-970c28f78a5b"]}],"mendeley":{"formattedCitation":"(Al-Jedai, Qaisi and Al-Meman, 2016a)","manualFormatting":"Al-Jedai et al. (2016a)","plainTextFormattedCitation":"(Al-Jedai, Qaisi and Al-Meman, 2016a)","previouslyFormattedCitation":"(Al-Jedai, Qaisi and Al-Meman, 2016a)"},"properties":{"noteIndex":0},"schema":"https://github.com/citation-style-language/schema/raw/master/csl-citation.json"}</w:instrText>
      </w:r>
      <w:r w:rsidRPr="00FF47A1">
        <w:rPr>
          <w:rFonts w:ascii="Arial" w:hAnsi="Arial" w:cs="Arial"/>
          <w:sz w:val="24"/>
          <w:szCs w:val="24"/>
          <w:lang w:val="en-GB"/>
        </w:rPr>
        <w:fldChar w:fldCharType="separate"/>
      </w:r>
      <w:r w:rsidRPr="00FF47A1">
        <w:rPr>
          <w:rFonts w:ascii="Arial" w:hAnsi="Arial" w:cs="Arial"/>
          <w:noProof/>
          <w:sz w:val="24"/>
          <w:szCs w:val="24"/>
          <w:lang w:val="en-GB"/>
        </w:rPr>
        <w:t xml:space="preserve">Al-Jedai </w:t>
      </w:r>
      <w:r>
        <w:rPr>
          <w:rFonts w:ascii="Arial" w:hAnsi="Arial" w:cs="Arial"/>
          <w:noProof/>
          <w:sz w:val="24"/>
          <w:szCs w:val="24"/>
          <w:lang w:val="en-GB"/>
        </w:rPr>
        <w:t>et al.</w:t>
      </w:r>
      <w:r w:rsidRPr="00FF47A1">
        <w:rPr>
          <w:rFonts w:ascii="Arial" w:hAnsi="Arial" w:cs="Arial"/>
          <w:noProof/>
          <w:sz w:val="24"/>
          <w:szCs w:val="24"/>
          <w:lang w:val="en-GB"/>
        </w:rPr>
        <w:t xml:space="preserve"> </w:t>
      </w:r>
      <w:r>
        <w:rPr>
          <w:rFonts w:ascii="Arial" w:hAnsi="Arial" w:cs="Arial"/>
          <w:noProof/>
          <w:sz w:val="24"/>
          <w:szCs w:val="24"/>
          <w:lang w:val="en-GB"/>
        </w:rPr>
        <w:t>(</w:t>
      </w:r>
      <w:r w:rsidRPr="00FF47A1">
        <w:rPr>
          <w:rFonts w:ascii="Arial" w:hAnsi="Arial" w:cs="Arial"/>
          <w:noProof/>
          <w:sz w:val="24"/>
          <w:szCs w:val="24"/>
          <w:lang w:val="en-GB"/>
        </w:rPr>
        <w:t>2016a)</w:t>
      </w:r>
      <w:r w:rsidRPr="00FF47A1">
        <w:rPr>
          <w:rFonts w:ascii="Arial" w:hAnsi="Arial" w:cs="Arial"/>
          <w:sz w:val="24"/>
          <w:szCs w:val="24"/>
          <w:lang w:val="en-GB"/>
        </w:rPr>
        <w:fldChar w:fldCharType="end"/>
      </w:r>
      <w:r w:rsidRPr="00FF47A1">
        <w:rPr>
          <w:rFonts w:asciiTheme="minorBidi" w:hAnsiTheme="minorBidi"/>
          <w:sz w:val="24"/>
          <w:szCs w:val="24"/>
          <w:shd w:val="clear" w:color="auto" w:fill="FFFFFF"/>
        </w:rPr>
        <w:t xml:space="preserve">, </w:t>
      </w:r>
      <w:r w:rsidRPr="002F089C">
        <w:rPr>
          <w:rFonts w:ascii="Arial" w:hAnsi="Arial" w:cs="Arial"/>
          <w:sz w:val="24"/>
          <w:szCs w:val="24"/>
          <w:lang w:val="en-GB"/>
        </w:rPr>
        <w:t xml:space="preserve">who reported that there is a significant gap in pharmacy practice between institutions affiliated with the </w:t>
      </w:r>
      <w:r>
        <w:rPr>
          <w:rFonts w:ascii="Arial" w:hAnsi="Arial" w:cs="Arial"/>
          <w:sz w:val="24"/>
          <w:szCs w:val="24"/>
        </w:rPr>
        <w:t>MoH</w:t>
      </w:r>
      <w:r w:rsidRPr="002F089C">
        <w:rPr>
          <w:rFonts w:ascii="Arial" w:hAnsi="Arial" w:cs="Arial"/>
          <w:sz w:val="24"/>
          <w:szCs w:val="24"/>
          <w:lang w:val="en-GB"/>
        </w:rPr>
        <w:t xml:space="preserve"> as well as across</w:t>
      </w:r>
      <w:r>
        <w:rPr>
          <w:rFonts w:ascii="Arial" w:hAnsi="Arial" w:cs="Arial"/>
          <w:sz w:val="24"/>
          <w:szCs w:val="24"/>
          <w:lang w:val="en-GB"/>
        </w:rPr>
        <w:t xml:space="preserve"> SA</w:t>
      </w:r>
      <w:r w:rsidRPr="002F089C">
        <w:rPr>
          <w:rFonts w:ascii="Arial" w:hAnsi="Arial" w:cs="Arial"/>
          <w:sz w:val="24"/>
          <w:szCs w:val="24"/>
          <w:lang w:val="en-GB"/>
        </w:rPr>
        <w:t>, especially between the public and private sectors.</w:t>
      </w:r>
    </w:p>
    <w:p w14:paraId="10F3F957" w14:textId="77777777" w:rsidR="00941883" w:rsidRPr="00B366F5" w:rsidRDefault="00941883" w:rsidP="00941883">
      <w:pPr>
        <w:spacing w:before="100" w:beforeAutospacing="1" w:after="100" w:afterAutospacing="1" w:line="360" w:lineRule="auto"/>
        <w:jc w:val="both"/>
        <w:textAlignment w:val="baseline"/>
        <w:rPr>
          <w:rFonts w:asciiTheme="minorBidi" w:hAnsiTheme="minorBidi"/>
          <w:sz w:val="24"/>
          <w:szCs w:val="24"/>
          <w:lang w:val="en-GB"/>
        </w:rPr>
      </w:pPr>
      <w:r w:rsidRPr="001056C0">
        <w:rPr>
          <w:rFonts w:asciiTheme="minorBidi" w:hAnsiTheme="minorBidi"/>
          <w:sz w:val="24"/>
          <w:szCs w:val="32"/>
          <w:lang w:val="en-GB"/>
        </w:rPr>
        <w:t xml:space="preserve">All the </w:t>
      </w:r>
      <w:r>
        <w:rPr>
          <w:rFonts w:asciiTheme="minorBidi" w:hAnsiTheme="minorBidi"/>
          <w:sz w:val="24"/>
          <w:szCs w:val="32"/>
          <w:lang w:val="en-GB"/>
        </w:rPr>
        <w:t xml:space="preserve">aforementioned </w:t>
      </w:r>
      <w:r w:rsidRPr="001056C0">
        <w:rPr>
          <w:rFonts w:asciiTheme="minorBidi" w:hAnsiTheme="minorBidi"/>
          <w:sz w:val="24"/>
          <w:szCs w:val="32"/>
          <w:lang w:val="en-GB"/>
        </w:rPr>
        <w:t xml:space="preserve">factors </w:t>
      </w:r>
      <w:r>
        <w:rPr>
          <w:rFonts w:asciiTheme="minorBidi" w:hAnsiTheme="minorBidi"/>
          <w:sz w:val="24"/>
          <w:szCs w:val="32"/>
          <w:lang w:val="en-GB"/>
        </w:rPr>
        <w:t>indicate that</w:t>
      </w:r>
      <w:r w:rsidRPr="001056C0">
        <w:rPr>
          <w:rFonts w:asciiTheme="minorBidi" w:hAnsiTheme="minorBidi"/>
          <w:sz w:val="24"/>
          <w:szCs w:val="32"/>
          <w:lang w:val="en-GB"/>
        </w:rPr>
        <w:t xml:space="preserve"> these studies may not represent the practice in the MoH of</w:t>
      </w:r>
      <w:r>
        <w:rPr>
          <w:rFonts w:asciiTheme="minorBidi" w:hAnsiTheme="minorBidi"/>
          <w:sz w:val="24"/>
          <w:szCs w:val="32"/>
          <w:lang w:val="en-GB"/>
        </w:rPr>
        <w:t xml:space="preserve"> </w:t>
      </w:r>
      <w:r w:rsidRPr="001056C0">
        <w:rPr>
          <w:rFonts w:asciiTheme="minorBidi" w:hAnsiTheme="minorBidi"/>
          <w:sz w:val="24"/>
          <w:szCs w:val="32"/>
          <w:lang w:val="en-GB"/>
        </w:rPr>
        <w:t xml:space="preserve">SA, which </w:t>
      </w:r>
      <w:r>
        <w:rPr>
          <w:rFonts w:asciiTheme="minorBidi" w:hAnsiTheme="minorBidi"/>
          <w:sz w:val="24"/>
          <w:szCs w:val="32"/>
          <w:lang w:val="en-GB"/>
        </w:rPr>
        <w:t xml:space="preserve">delivers 60% of the healthcare services in SA </w:t>
      </w:r>
      <w:r>
        <w:rPr>
          <w:rFonts w:asciiTheme="minorBidi" w:hAnsiTheme="minorBidi"/>
          <w:sz w:val="24"/>
          <w:szCs w:val="32"/>
          <w:lang w:val="en-GB"/>
        </w:rPr>
        <w:fldChar w:fldCharType="begin" w:fldLock="1"/>
      </w:r>
      <w:r>
        <w:rPr>
          <w:rFonts w:asciiTheme="minorBidi" w:hAnsiTheme="minorBidi"/>
          <w:sz w:val="24"/>
          <w:szCs w:val="32"/>
          <w:lang w:val="en-GB"/>
        </w:rPr>
        <w:instrText>ADDIN CSL_CITATION {"citationItems":[{"id":"ITEM-1","itemData":{"author":[{"dropping-particle":"","family":"Khattab","given":"Eyad","non-dropping-particle":"","parse-names":false,"suffix":""},{"dropping-particle":"","family":"Sabbagh","given":"Abdulrahman","non-dropping-particle":"","parse-names":false,"suffix":""},{"dropping-particle":"","family":"Aljerian","given":"Nawfal","non-dropping-particle":"","parse-names":false,"suffix":""},{"dropping-particle":"","family":"Binsalleeh","given":"Hashim","non-dropping-particle":"","parse-names":false,"suffix":""},{"dropping-particle":"","family":"Almulhim","given":"Mobarak","non-dropping-particle":"","parse-names":false,"suffix":""}],"id":"ITEM-1","issued":{"date-parts":[["2019"]]},"publisher":"International Journal of Emergency Medicine","title":"Emergency medicine in Saudi Arabia : a century of progress and a bright vision for the future","type":"article-journal","volume":"0"},"uris":["http://www.mendeley.com/documents/?uuid=f042de51-f648-4a08-b5f0-6efffc567704"]}],"mendeley":{"formattedCitation":"(Khattab &lt;i&gt;et al.&lt;/i&gt;, 2019)","plainTextFormattedCitation":"(Khattab et al., 2019)","previouslyFormattedCitation":"(Khattab &lt;i&gt;et al.&lt;/i&gt;, 2019)"},"properties":{"noteIndex":0},"schema":"https://github.com/citation-style-language/schema/raw/master/csl-citation.json"}</w:instrText>
      </w:r>
      <w:r>
        <w:rPr>
          <w:rFonts w:asciiTheme="minorBidi" w:hAnsiTheme="minorBidi"/>
          <w:sz w:val="24"/>
          <w:szCs w:val="32"/>
          <w:lang w:val="en-GB"/>
        </w:rPr>
        <w:fldChar w:fldCharType="separate"/>
      </w:r>
      <w:r w:rsidRPr="002D51D2">
        <w:rPr>
          <w:rFonts w:asciiTheme="minorBidi" w:hAnsiTheme="minorBidi"/>
          <w:noProof/>
          <w:sz w:val="24"/>
          <w:szCs w:val="32"/>
          <w:lang w:val="en-GB"/>
        </w:rPr>
        <w:t xml:space="preserve">(Khattab </w:t>
      </w:r>
      <w:r w:rsidRPr="002D51D2">
        <w:rPr>
          <w:rFonts w:asciiTheme="minorBidi" w:hAnsiTheme="minorBidi"/>
          <w:i/>
          <w:noProof/>
          <w:sz w:val="24"/>
          <w:szCs w:val="32"/>
          <w:lang w:val="en-GB"/>
        </w:rPr>
        <w:t>et al.</w:t>
      </w:r>
      <w:r w:rsidRPr="002D51D2">
        <w:rPr>
          <w:rFonts w:asciiTheme="minorBidi" w:hAnsiTheme="minorBidi"/>
          <w:noProof/>
          <w:sz w:val="24"/>
          <w:szCs w:val="32"/>
          <w:lang w:val="en-GB"/>
        </w:rPr>
        <w:t>, 2019)</w:t>
      </w:r>
      <w:r>
        <w:rPr>
          <w:rFonts w:asciiTheme="minorBidi" w:hAnsiTheme="minorBidi"/>
          <w:sz w:val="24"/>
          <w:szCs w:val="32"/>
          <w:lang w:val="en-GB"/>
        </w:rPr>
        <w:fldChar w:fldCharType="end"/>
      </w:r>
      <w:r>
        <w:rPr>
          <w:rFonts w:asciiTheme="minorBidi" w:hAnsiTheme="minorBidi"/>
          <w:sz w:val="24"/>
          <w:szCs w:val="32"/>
          <w:lang w:val="en-GB"/>
        </w:rPr>
        <w:t xml:space="preserve"> and </w:t>
      </w:r>
      <w:r w:rsidRPr="001056C0">
        <w:rPr>
          <w:rFonts w:asciiTheme="minorBidi" w:hAnsiTheme="minorBidi"/>
          <w:sz w:val="24"/>
          <w:szCs w:val="32"/>
          <w:lang w:val="en-GB"/>
        </w:rPr>
        <w:t xml:space="preserve">serves all Saudi citizens as well as residents who work in governmental sectors. </w:t>
      </w:r>
      <w:r>
        <w:rPr>
          <w:rFonts w:asciiTheme="minorBidi" w:hAnsiTheme="minorBidi"/>
          <w:sz w:val="24"/>
          <w:szCs w:val="32"/>
          <w:lang w:val="en-GB"/>
        </w:rPr>
        <w:t>Therefore</w:t>
      </w:r>
      <w:r w:rsidRPr="001056C0">
        <w:rPr>
          <w:rFonts w:asciiTheme="minorBidi" w:hAnsiTheme="minorBidi"/>
          <w:sz w:val="24"/>
          <w:szCs w:val="32"/>
          <w:lang w:val="en-GB"/>
        </w:rPr>
        <w:t xml:space="preserve">, the findings of these studies cannot be generalised at the national level. However, positive experiences from involving pharmacists </w:t>
      </w:r>
      <w:r>
        <w:rPr>
          <w:rFonts w:asciiTheme="minorBidi" w:hAnsiTheme="minorBidi"/>
          <w:sz w:val="24"/>
          <w:szCs w:val="32"/>
          <w:lang w:val="en-GB"/>
        </w:rPr>
        <w:t>in</w:t>
      </w:r>
      <w:r w:rsidRPr="001056C0">
        <w:rPr>
          <w:rFonts w:asciiTheme="minorBidi" w:hAnsiTheme="minorBidi"/>
          <w:sz w:val="24"/>
          <w:szCs w:val="32"/>
          <w:lang w:val="en-GB"/>
        </w:rPr>
        <w:t xml:space="preserve"> diabetes care</w:t>
      </w:r>
      <w:r>
        <w:rPr>
          <w:rFonts w:asciiTheme="minorBidi" w:hAnsiTheme="minorBidi"/>
          <w:sz w:val="24"/>
          <w:szCs w:val="32"/>
          <w:lang w:val="en-GB"/>
        </w:rPr>
        <w:t>,</w:t>
      </w:r>
      <w:r w:rsidRPr="001056C0">
        <w:rPr>
          <w:rFonts w:asciiTheme="minorBidi" w:hAnsiTheme="minorBidi"/>
          <w:sz w:val="24"/>
          <w:szCs w:val="32"/>
          <w:lang w:val="en-GB"/>
        </w:rPr>
        <w:t xml:space="preserve"> as revealed in </w:t>
      </w:r>
      <w:r>
        <w:rPr>
          <w:rFonts w:asciiTheme="minorBidi" w:hAnsiTheme="minorBidi"/>
          <w:sz w:val="24"/>
          <w:szCs w:val="32"/>
          <w:lang w:val="en-GB"/>
        </w:rPr>
        <w:t>these</w:t>
      </w:r>
      <w:r>
        <w:rPr>
          <w:rStyle w:val="lookup-resultcontent"/>
          <w:rFonts w:ascii="Arial" w:eastAsia="Times New Roman" w:hAnsi="Arial" w:cs="Arial"/>
          <w:sz w:val="24"/>
          <w:szCs w:val="24"/>
          <w:lang w:val="en-GB"/>
        </w:rPr>
        <w:t xml:space="preserve"> </w:t>
      </w:r>
      <w:r w:rsidRPr="001056C0">
        <w:rPr>
          <w:rFonts w:asciiTheme="minorBidi" w:hAnsiTheme="minorBidi"/>
          <w:sz w:val="24"/>
          <w:szCs w:val="32"/>
          <w:lang w:val="en-GB"/>
        </w:rPr>
        <w:t>studies</w:t>
      </w:r>
      <w:r>
        <w:rPr>
          <w:rFonts w:asciiTheme="minorBidi" w:hAnsiTheme="minorBidi"/>
          <w:sz w:val="24"/>
          <w:szCs w:val="32"/>
          <w:lang w:val="en-GB"/>
        </w:rPr>
        <w:t>,</w:t>
      </w:r>
      <w:r w:rsidRPr="001056C0">
        <w:rPr>
          <w:rFonts w:asciiTheme="minorBidi" w:hAnsiTheme="minorBidi"/>
          <w:sz w:val="24"/>
          <w:szCs w:val="32"/>
          <w:lang w:val="en-GB"/>
        </w:rPr>
        <w:t xml:space="preserve"> </w:t>
      </w:r>
      <w:r>
        <w:rPr>
          <w:rFonts w:asciiTheme="minorBidi" w:hAnsiTheme="minorBidi"/>
          <w:sz w:val="24"/>
          <w:szCs w:val="32"/>
          <w:lang w:val="en-GB"/>
        </w:rPr>
        <w:t>provide</w:t>
      </w:r>
      <w:r w:rsidRPr="001056C0">
        <w:rPr>
          <w:rFonts w:asciiTheme="minorBidi" w:hAnsiTheme="minorBidi"/>
          <w:sz w:val="24"/>
          <w:szCs w:val="32"/>
          <w:lang w:val="en-GB"/>
        </w:rPr>
        <w:t xml:space="preserve"> </w:t>
      </w:r>
      <w:r>
        <w:rPr>
          <w:rFonts w:asciiTheme="minorBidi" w:hAnsiTheme="minorBidi"/>
          <w:sz w:val="24"/>
          <w:szCs w:val="32"/>
          <w:lang w:val="en-GB"/>
        </w:rPr>
        <w:t xml:space="preserve">a </w:t>
      </w:r>
      <w:r w:rsidRPr="001056C0">
        <w:rPr>
          <w:rFonts w:asciiTheme="minorBidi" w:hAnsiTheme="minorBidi"/>
          <w:sz w:val="24"/>
          <w:szCs w:val="32"/>
          <w:lang w:val="en-GB"/>
        </w:rPr>
        <w:t>hope that such an experience could be found</w:t>
      </w:r>
      <w:r>
        <w:rPr>
          <w:rFonts w:asciiTheme="minorBidi" w:hAnsiTheme="minorBidi"/>
          <w:sz w:val="24"/>
          <w:szCs w:val="32"/>
          <w:lang w:val="en-GB"/>
        </w:rPr>
        <w:t xml:space="preserve"> and/or replicate</w:t>
      </w:r>
      <w:r w:rsidRPr="001056C0">
        <w:rPr>
          <w:rFonts w:asciiTheme="minorBidi" w:hAnsiTheme="minorBidi"/>
          <w:sz w:val="24"/>
          <w:szCs w:val="32"/>
          <w:lang w:val="en-GB"/>
        </w:rPr>
        <w:t xml:space="preserve"> in the primary care practices of the MoH of SA. </w:t>
      </w:r>
      <w:r>
        <w:rPr>
          <w:rFonts w:asciiTheme="minorBidi" w:hAnsiTheme="minorBidi"/>
          <w:sz w:val="24"/>
          <w:szCs w:val="32"/>
          <w:lang w:val="en-GB"/>
        </w:rPr>
        <w:t xml:space="preserve">This ambition of existing advance clinical pharmacy practice among institutions affiliated with the Saudi MoH was supported by recent studies </w:t>
      </w:r>
      <w:r w:rsidRPr="004F7AB1">
        <w:rPr>
          <w:rStyle w:val="lookup-resultcontent"/>
          <w:rFonts w:ascii="Arial" w:eastAsia="Times New Roman" w:hAnsi="Arial" w:cs="Arial"/>
          <w:sz w:val="24"/>
          <w:szCs w:val="24"/>
          <w:lang w:val="en-GB"/>
        </w:rPr>
        <w:t xml:space="preserve">published in 2022 </w:t>
      </w:r>
      <w:r>
        <w:rPr>
          <w:rStyle w:val="lookup-resultcontent"/>
          <w:rFonts w:ascii="Arial" w:eastAsia="Times New Roman" w:hAnsi="Arial" w:cs="Arial"/>
          <w:sz w:val="24"/>
          <w:szCs w:val="24"/>
          <w:lang w:val="en-GB"/>
        </w:rPr>
        <w:t xml:space="preserve">by </w:t>
      </w:r>
      <w:r>
        <w:rPr>
          <w:rStyle w:val="lookup-resultcontent"/>
          <w:rFonts w:ascii="Arial" w:eastAsia="Times New Roman" w:hAnsi="Arial" w:cs="Arial"/>
          <w:sz w:val="24"/>
          <w:szCs w:val="24"/>
          <w:lang w:val="en-GB"/>
        </w:rPr>
        <w:fldChar w:fldCharType="begin" w:fldLock="1"/>
      </w:r>
      <w:r>
        <w:rPr>
          <w:rStyle w:val="lookup-resultcontent"/>
          <w:rFonts w:ascii="Arial" w:eastAsia="Times New Roman" w:hAnsi="Arial" w:cs="Arial"/>
          <w:sz w:val="24"/>
          <w:szCs w:val="24"/>
          <w:lang w:val="en-GB"/>
        </w:rPr>
        <w:instrText>ADDIN CSL_CITATION {"citationItems":[{"id":"ITEM-1","itemData":{"DOI":"10.1002/jac5.1602","author":[{"dropping-particle":"","family":"Abdullah","given":"Meshal","non-dropping-particle":"","parse-names":false,"suffix":""},{"dropping-particle":"","family":"Pharm","given":"Alnais B S","non-dropping-particle":"","parse-names":false,"suffix":""},{"dropping-particle":"","family":"Faris","given":"Ali","non-dropping-particle":"","parse-names":false,"suffix":""},{"dropping-particle":"","family":"Pharm","given":"Altebainawi","non-dropping-particle":"","parse-names":false,"suffix":""}],"container-title":"Journal of the American College of Clinical Pharmacy","id":"ITEM-1","issue":"July 2021","issued":{"date-parts":[["2022"]]},"page":"509-515","title":"Implementation of the first pharmacist-led diabetes clinic at Ministry of Health Hospitals , Saudi Arabia","type":"article-journal"},"uris":["http://www.mendeley.com/documents/?uuid=592d6c66-e6f5-41c4-818f-386fbf7e2b9b"]}],"mendeley":{"formattedCitation":"(Abdullah &lt;i&gt;et al.&lt;/i&gt;, 2022)","manualFormatting":"Abdullah et al.,","plainTextFormattedCitation":"(Abdullah et al., 2022)","previouslyFormattedCitation":"(Abdullah &lt;i&gt;et al.&lt;/i&gt;, 2022)"},"properties":{"noteIndex":0},"schema":"https://github.com/citation-style-language/schema/raw/master/csl-citation.json"}</w:instrText>
      </w:r>
      <w:r>
        <w:rPr>
          <w:rStyle w:val="lookup-resultcontent"/>
          <w:rFonts w:ascii="Arial" w:eastAsia="Times New Roman" w:hAnsi="Arial" w:cs="Arial"/>
          <w:sz w:val="24"/>
          <w:szCs w:val="24"/>
          <w:lang w:val="en-GB"/>
        </w:rPr>
        <w:fldChar w:fldCharType="separate"/>
      </w:r>
      <w:r w:rsidRPr="0091584E">
        <w:rPr>
          <w:rStyle w:val="lookup-resultcontent"/>
          <w:rFonts w:ascii="Arial" w:eastAsia="Times New Roman" w:hAnsi="Arial" w:cs="Arial"/>
          <w:noProof/>
          <w:sz w:val="24"/>
          <w:szCs w:val="24"/>
          <w:lang w:val="en-GB"/>
        </w:rPr>
        <w:t xml:space="preserve">Abdullah </w:t>
      </w:r>
      <w:r w:rsidRPr="0091584E">
        <w:rPr>
          <w:rStyle w:val="lookup-resultcontent"/>
          <w:rFonts w:ascii="Arial" w:eastAsia="Times New Roman" w:hAnsi="Arial" w:cs="Arial"/>
          <w:i/>
          <w:noProof/>
          <w:sz w:val="24"/>
          <w:szCs w:val="24"/>
          <w:lang w:val="en-GB"/>
        </w:rPr>
        <w:t>et al.</w:t>
      </w:r>
      <w:r w:rsidRPr="0091584E">
        <w:rPr>
          <w:rStyle w:val="lookup-resultcontent"/>
          <w:rFonts w:ascii="Arial" w:eastAsia="Times New Roman" w:hAnsi="Arial" w:cs="Arial"/>
          <w:noProof/>
          <w:sz w:val="24"/>
          <w:szCs w:val="24"/>
          <w:lang w:val="en-GB"/>
        </w:rPr>
        <w:t>,</w:t>
      </w:r>
      <w:r>
        <w:rPr>
          <w:rStyle w:val="lookup-resultcontent"/>
          <w:rFonts w:ascii="Arial" w:eastAsia="Times New Roman" w:hAnsi="Arial" w:cs="Arial"/>
          <w:sz w:val="24"/>
          <w:szCs w:val="24"/>
          <w:lang w:val="en-GB"/>
        </w:rPr>
        <w:fldChar w:fldCharType="end"/>
      </w:r>
      <w:r>
        <w:rPr>
          <w:rStyle w:val="lookup-resultcontent"/>
          <w:rFonts w:ascii="Arial" w:eastAsia="Times New Roman" w:hAnsi="Arial" w:cs="Arial"/>
          <w:sz w:val="24"/>
          <w:szCs w:val="24"/>
          <w:lang w:val="en-GB"/>
        </w:rPr>
        <w:t xml:space="preserve"> and </w:t>
      </w:r>
      <w:r>
        <w:rPr>
          <w:rStyle w:val="lookup-resultcontent"/>
          <w:rFonts w:ascii="Arial" w:eastAsia="Times New Roman" w:hAnsi="Arial" w:cs="Arial"/>
          <w:sz w:val="24"/>
          <w:szCs w:val="24"/>
          <w:lang w:val="en-GB"/>
        </w:rPr>
        <w:fldChar w:fldCharType="begin" w:fldLock="1"/>
      </w:r>
      <w:r>
        <w:rPr>
          <w:rStyle w:val="lookup-resultcontent"/>
          <w:rFonts w:ascii="Arial" w:eastAsia="Times New Roman" w:hAnsi="Arial" w:cs="Arial"/>
          <w:sz w:val="24"/>
          <w:szCs w:val="24"/>
          <w:lang w:val="en-GB"/>
        </w:rPr>
        <w:instrText>ADDIN CSL_CITATION {"citationItems":[{"id":"ITEM-1","itemData":{"DOI":"10.7759/cureus.25923","author":[{"dropping-particle":"","family":"Alqifari","given":"Saleh F","non-dropping-particle":"","parse-names":false,"suffix":""},{"dropping-particle":"","family":"Almharwal","given":"Bader","non-dropping-particle":"","parse-names":false,"suffix":""},{"dropping-particle":"","family":"Aldawish","given":"Rahaf","non-dropping-particle":"","parse-names":false,"suffix":""},{"dropping-particle":"","family":"Almokhlef","given":"Salman A","non-dropping-particle":"","parse-names":false,"suffix":""}],"id":"ITEM-1","issue":"6","issued":{"date-parts":[["2022"]]},"page":"8-13","title":"Impact of Pharmacist-Led Clinics on Health Outcomes of Patients With Diabetes at a Ministry of Health Diabetes &amp; Endocrinology Center , Saudi Arabia : A Retrospective Study","type":"article-journal","volume":"14"},"uris":["http://www.mendeley.com/documents/?uuid=b4794254-e216-4fdf-bd51-7876d2c5e639"]}],"mendeley":{"formattedCitation":"(Alqifari &lt;i&gt;et al.&lt;/i&gt;, 2022)","manualFormatting":"Alqifari et al.,","plainTextFormattedCitation":"(Alqifari et al., 2022)","previouslyFormattedCitation":"(Alqifari &lt;i&gt;et al.&lt;/i&gt;, 2022)"},"properties":{"noteIndex":0},"schema":"https://github.com/citation-style-language/schema/raw/master/csl-citation.json"}</w:instrText>
      </w:r>
      <w:r>
        <w:rPr>
          <w:rStyle w:val="lookup-resultcontent"/>
          <w:rFonts w:ascii="Arial" w:eastAsia="Times New Roman" w:hAnsi="Arial" w:cs="Arial"/>
          <w:sz w:val="24"/>
          <w:szCs w:val="24"/>
          <w:lang w:val="en-GB"/>
        </w:rPr>
        <w:fldChar w:fldCharType="separate"/>
      </w:r>
      <w:r w:rsidRPr="006253F1">
        <w:rPr>
          <w:rStyle w:val="lookup-resultcontent"/>
          <w:rFonts w:ascii="Arial" w:eastAsia="Times New Roman" w:hAnsi="Arial" w:cs="Arial"/>
          <w:noProof/>
          <w:sz w:val="24"/>
          <w:szCs w:val="24"/>
          <w:lang w:val="en-GB"/>
        </w:rPr>
        <w:t xml:space="preserve">Alqifari </w:t>
      </w:r>
      <w:r w:rsidRPr="006253F1">
        <w:rPr>
          <w:rStyle w:val="lookup-resultcontent"/>
          <w:rFonts w:ascii="Arial" w:eastAsia="Times New Roman" w:hAnsi="Arial" w:cs="Arial"/>
          <w:i/>
          <w:noProof/>
          <w:sz w:val="24"/>
          <w:szCs w:val="24"/>
          <w:lang w:val="en-GB"/>
        </w:rPr>
        <w:t>et al.</w:t>
      </w:r>
      <w:r w:rsidRPr="006253F1">
        <w:rPr>
          <w:rStyle w:val="lookup-resultcontent"/>
          <w:rFonts w:ascii="Arial" w:eastAsia="Times New Roman" w:hAnsi="Arial" w:cs="Arial"/>
          <w:noProof/>
          <w:sz w:val="24"/>
          <w:szCs w:val="24"/>
          <w:lang w:val="en-GB"/>
        </w:rPr>
        <w:t>,</w:t>
      </w:r>
      <w:r>
        <w:rPr>
          <w:rStyle w:val="lookup-resultcontent"/>
          <w:rFonts w:ascii="Arial" w:eastAsia="Times New Roman" w:hAnsi="Arial" w:cs="Arial"/>
          <w:sz w:val="24"/>
          <w:szCs w:val="24"/>
          <w:lang w:val="en-GB"/>
        </w:rPr>
        <w:fldChar w:fldCharType="end"/>
      </w:r>
      <w:r>
        <w:rPr>
          <w:rStyle w:val="lookup-resultcontent"/>
          <w:rFonts w:ascii="Arial" w:eastAsia="Times New Roman" w:hAnsi="Arial" w:cs="Arial"/>
          <w:sz w:val="24"/>
          <w:szCs w:val="24"/>
          <w:lang w:val="en-GB"/>
        </w:rPr>
        <w:t xml:space="preserve">. Both studies conducted in setting affiliated with MoH and </w:t>
      </w:r>
      <w:r w:rsidRPr="003E5BFA">
        <w:rPr>
          <w:rStyle w:val="lookup-resultcontent"/>
          <w:rFonts w:ascii="Arial" w:eastAsia="Times New Roman" w:hAnsi="Arial" w:cs="Arial"/>
          <w:sz w:val="24"/>
          <w:szCs w:val="24"/>
          <w:lang w:val="en-GB"/>
        </w:rPr>
        <w:t xml:space="preserve">support the empowerment of pharmacists working in the Saudi </w:t>
      </w:r>
      <w:r>
        <w:rPr>
          <w:rStyle w:val="lookup-resultcontent"/>
          <w:rFonts w:ascii="Arial" w:eastAsia="Times New Roman" w:hAnsi="Arial" w:cs="Arial"/>
          <w:sz w:val="24"/>
          <w:szCs w:val="24"/>
          <w:lang w:val="en-GB"/>
        </w:rPr>
        <w:t>MoH</w:t>
      </w:r>
      <w:r w:rsidRPr="003E5BFA">
        <w:rPr>
          <w:rStyle w:val="lookup-resultcontent"/>
          <w:rFonts w:ascii="Arial" w:eastAsia="Times New Roman" w:hAnsi="Arial" w:cs="Arial"/>
          <w:sz w:val="24"/>
          <w:szCs w:val="24"/>
          <w:lang w:val="en-GB"/>
        </w:rPr>
        <w:t xml:space="preserve"> to manage patients with diabetes.</w:t>
      </w:r>
      <w:r>
        <w:rPr>
          <w:rStyle w:val="lookup-resultcontent"/>
          <w:rFonts w:ascii="Arial" w:eastAsia="Times New Roman" w:hAnsi="Arial" w:cs="Arial"/>
          <w:sz w:val="24"/>
          <w:szCs w:val="24"/>
          <w:lang w:val="en-GB"/>
        </w:rPr>
        <w:t xml:space="preserve"> </w:t>
      </w:r>
      <w:r>
        <w:rPr>
          <w:rStyle w:val="lookup-resultcontent"/>
          <w:rFonts w:ascii="Arial" w:eastAsia="Times New Roman" w:hAnsi="Arial" w:cs="Arial"/>
          <w:sz w:val="24"/>
          <w:szCs w:val="24"/>
          <w:lang w:val="en-GB"/>
        </w:rPr>
        <w:fldChar w:fldCharType="begin" w:fldLock="1"/>
      </w:r>
      <w:r>
        <w:rPr>
          <w:rStyle w:val="lookup-resultcontent"/>
          <w:rFonts w:ascii="Arial" w:eastAsia="Times New Roman" w:hAnsi="Arial" w:cs="Arial"/>
          <w:sz w:val="24"/>
          <w:szCs w:val="24"/>
          <w:lang w:val="en-GB"/>
        </w:rPr>
        <w:instrText>ADDIN CSL_CITATION {"citationItems":[{"id":"ITEM-1","itemData":{"DOI":"10.1002/jac5.1602","author":[{"dropping-particle":"","family":"Abdullah","given":"Meshal","non-dropping-particle":"","parse-names":false,"suffix":""},{"dropping-particle":"","family":"Pharm","given":"Alnais B S","non-dropping-particle":"","parse-names":false,"suffix":""},{"dropping-particle":"","family":"Faris","given":"Ali","non-dropping-particle":"","parse-names":false,"suffix":""},{"dropping-particle":"","family":"Pharm","given":"Altebainawi","non-dropping-particle":"","parse-names":false,"suffix":""}],"container-title":"Journal of the American College of Clinical Pharmacy","id":"ITEM-1","issue":"July 2021","issued":{"date-parts":[["2022"]]},"page":"509-515","title":"Implementation of the first pharmacist-led diabetes clinic at Ministry of Health Hospitals , Saudi Arabia","type":"article-journal"},"uris":["http://www.mendeley.com/documents/?uuid=592d6c66-e6f5-41c4-818f-386fbf7e2b9b"]}],"mendeley":{"formattedCitation":"(Abdullah &lt;i&gt;et al.&lt;/i&gt;, 2022)","manualFormatting":"Abdullah et al., (2022)","plainTextFormattedCitation":"(Abdullah et al., 2022)","previouslyFormattedCitation":"(Abdullah &lt;i&gt;et al.&lt;/i&gt;, 2022)"},"properties":{"noteIndex":0},"schema":"https://github.com/citation-style-language/schema/raw/master/csl-citation.json"}</w:instrText>
      </w:r>
      <w:r>
        <w:rPr>
          <w:rStyle w:val="lookup-resultcontent"/>
          <w:rFonts w:ascii="Arial" w:eastAsia="Times New Roman" w:hAnsi="Arial" w:cs="Arial"/>
          <w:sz w:val="24"/>
          <w:szCs w:val="24"/>
          <w:lang w:val="en-GB"/>
        </w:rPr>
        <w:fldChar w:fldCharType="separate"/>
      </w:r>
      <w:r w:rsidRPr="00CC659E">
        <w:rPr>
          <w:rStyle w:val="lookup-resultcontent"/>
          <w:rFonts w:ascii="Arial" w:eastAsia="Times New Roman" w:hAnsi="Arial" w:cs="Arial"/>
          <w:noProof/>
          <w:sz w:val="24"/>
          <w:szCs w:val="24"/>
          <w:lang w:val="en-GB"/>
        </w:rPr>
        <w:t xml:space="preserve">Abdullah </w:t>
      </w:r>
      <w:r w:rsidRPr="00CC659E">
        <w:rPr>
          <w:rStyle w:val="lookup-resultcontent"/>
          <w:rFonts w:ascii="Arial" w:eastAsia="Times New Roman" w:hAnsi="Arial" w:cs="Arial"/>
          <w:i/>
          <w:noProof/>
          <w:sz w:val="24"/>
          <w:szCs w:val="24"/>
          <w:lang w:val="en-GB"/>
        </w:rPr>
        <w:t>et al.</w:t>
      </w:r>
      <w:r w:rsidRPr="00CC659E">
        <w:rPr>
          <w:rStyle w:val="lookup-resultcontent"/>
          <w:rFonts w:ascii="Arial" w:eastAsia="Times New Roman" w:hAnsi="Arial" w:cs="Arial"/>
          <w:noProof/>
          <w:sz w:val="24"/>
          <w:szCs w:val="24"/>
          <w:lang w:val="en-GB"/>
        </w:rPr>
        <w:t xml:space="preserve">, </w:t>
      </w:r>
      <w:r>
        <w:rPr>
          <w:rStyle w:val="lookup-resultcontent"/>
          <w:rFonts w:ascii="Arial" w:eastAsia="Times New Roman" w:hAnsi="Arial" w:cs="Arial"/>
          <w:noProof/>
          <w:sz w:val="24"/>
          <w:szCs w:val="24"/>
          <w:lang w:val="en-GB"/>
        </w:rPr>
        <w:t>(</w:t>
      </w:r>
      <w:r w:rsidRPr="00CC659E">
        <w:rPr>
          <w:rStyle w:val="lookup-resultcontent"/>
          <w:rFonts w:ascii="Arial" w:eastAsia="Times New Roman" w:hAnsi="Arial" w:cs="Arial"/>
          <w:noProof/>
          <w:sz w:val="24"/>
          <w:szCs w:val="24"/>
          <w:lang w:val="en-GB"/>
        </w:rPr>
        <w:t>2022)</w:t>
      </w:r>
      <w:r>
        <w:rPr>
          <w:rStyle w:val="lookup-resultcontent"/>
          <w:rFonts w:ascii="Arial" w:eastAsia="Times New Roman" w:hAnsi="Arial" w:cs="Arial"/>
          <w:sz w:val="24"/>
          <w:szCs w:val="24"/>
          <w:lang w:val="en-GB"/>
        </w:rPr>
        <w:fldChar w:fldCharType="end"/>
      </w:r>
      <w:r>
        <w:rPr>
          <w:rStyle w:val="lookup-resultcontent"/>
          <w:rFonts w:ascii="Arial" w:eastAsia="Times New Roman" w:hAnsi="Arial" w:cs="Arial"/>
          <w:sz w:val="24"/>
          <w:szCs w:val="24"/>
          <w:lang w:val="en-GB"/>
        </w:rPr>
        <w:t xml:space="preserve"> </w:t>
      </w:r>
      <w:r w:rsidRPr="006977EE">
        <w:rPr>
          <w:rStyle w:val="lookup-resultcontent"/>
          <w:rFonts w:ascii="Arial" w:eastAsia="Times New Roman" w:hAnsi="Arial" w:cs="Arial"/>
          <w:sz w:val="24"/>
          <w:szCs w:val="24"/>
          <w:lang w:val="en-GB"/>
        </w:rPr>
        <w:t>discuss</w:t>
      </w:r>
      <w:r>
        <w:rPr>
          <w:rStyle w:val="lookup-resultcontent"/>
          <w:rFonts w:ascii="Arial" w:eastAsia="Times New Roman" w:hAnsi="Arial" w:cs="Arial"/>
          <w:sz w:val="24"/>
          <w:szCs w:val="24"/>
          <w:lang w:val="en-GB"/>
        </w:rPr>
        <w:t>ed in their report</w:t>
      </w:r>
      <w:r w:rsidRPr="006977EE">
        <w:rPr>
          <w:rStyle w:val="lookup-resultcontent"/>
          <w:rFonts w:ascii="Arial" w:eastAsia="Times New Roman" w:hAnsi="Arial" w:cs="Arial"/>
          <w:sz w:val="24"/>
          <w:szCs w:val="24"/>
          <w:lang w:val="en-GB"/>
        </w:rPr>
        <w:t xml:space="preserve"> the establishment of the first clinic led by a pharmacist in a hospital of the </w:t>
      </w:r>
      <w:r>
        <w:rPr>
          <w:rStyle w:val="lookup-resultcontent"/>
          <w:rFonts w:ascii="Arial" w:eastAsia="Times New Roman" w:hAnsi="Arial" w:cs="Arial"/>
          <w:sz w:val="24"/>
          <w:szCs w:val="24"/>
          <w:lang w:val="en-GB"/>
        </w:rPr>
        <w:t>MoH</w:t>
      </w:r>
      <w:r w:rsidRPr="006977EE">
        <w:rPr>
          <w:rStyle w:val="lookup-resultcontent"/>
          <w:rFonts w:ascii="Arial" w:eastAsia="Times New Roman" w:hAnsi="Arial" w:cs="Arial"/>
          <w:sz w:val="24"/>
          <w:szCs w:val="24"/>
          <w:lang w:val="en-GB"/>
        </w:rPr>
        <w:t>, which was the "King Salman Specialist Hospital in Hail".</w:t>
      </w:r>
      <w:r>
        <w:rPr>
          <w:rStyle w:val="lookup-resultcontent"/>
          <w:rFonts w:ascii="Arial" w:eastAsia="Times New Roman" w:hAnsi="Arial" w:cs="Arial"/>
          <w:sz w:val="24"/>
          <w:szCs w:val="24"/>
          <w:lang w:val="en-GB"/>
        </w:rPr>
        <w:t xml:space="preserve"> While </w:t>
      </w:r>
      <w:r>
        <w:rPr>
          <w:rStyle w:val="lookup-resultcontent"/>
          <w:rFonts w:ascii="Arial" w:eastAsia="Times New Roman" w:hAnsi="Arial" w:cs="Arial"/>
          <w:sz w:val="24"/>
          <w:szCs w:val="24"/>
          <w:lang w:val="en-GB"/>
        </w:rPr>
        <w:fldChar w:fldCharType="begin" w:fldLock="1"/>
      </w:r>
      <w:r>
        <w:rPr>
          <w:rStyle w:val="lookup-resultcontent"/>
          <w:rFonts w:ascii="Arial" w:eastAsia="Times New Roman" w:hAnsi="Arial" w:cs="Arial"/>
          <w:sz w:val="24"/>
          <w:szCs w:val="24"/>
          <w:lang w:val="en-GB"/>
        </w:rPr>
        <w:instrText>ADDIN CSL_CITATION {"citationItems":[{"id":"ITEM-1","itemData":{"DOI":"10.7759/cureus.25923","author":[{"dropping-particle":"","family":"Alqifari","given":"Saleh F","non-dropping-particle":"","parse-names":false,"suffix":""},{"dropping-particle":"","family":"Almharwal","given":"Bader","non-dropping-particle":"","parse-names":false,"suffix":""},{"dropping-particle":"","family":"Aldawish","given":"Rahaf","non-dropping-particle":"","parse-names":false,"suffix":""},{"dropping-particle":"","family":"Almokhlef","given":"Salman A","non-dropping-particle":"","parse-names":false,"suffix":""}],"id":"ITEM-1","issue":"6","issued":{"date-parts":[["2022"]]},"page":"8-13","title":"Impact of Pharmacist-Led Clinics on Health Outcomes of Patients With Diabetes at a Ministry of Health Diabetes &amp; Endocrinology Center , Saudi Arabia : A Retrospective Study","type":"article-journal","volume":"14"},"uris":["http://www.mendeley.com/documents/?uuid=b4794254-e216-4fdf-bd51-7876d2c5e639"]}],"mendeley":{"formattedCitation":"(Alqifari &lt;i&gt;et al.&lt;/i&gt;, 2022)","manualFormatting":"Alqifari et al., (2022)","plainTextFormattedCitation":"(Alqifari et al., 2022)","previouslyFormattedCitation":"(Alqifari &lt;i&gt;et al.&lt;/i&gt;, 2022)"},"properties":{"noteIndex":0},"schema":"https://github.com/citation-style-language/schema/raw/master/csl-citation.json"}</w:instrText>
      </w:r>
      <w:r>
        <w:rPr>
          <w:rStyle w:val="lookup-resultcontent"/>
          <w:rFonts w:ascii="Arial" w:eastAsia="Times New Roman" w:hAnsi="Arial" w:cs="Arial"/>
          <w:sz w:val="24"/>
          <w:szCs w:val="24"/>
          <w:lang w:val="en-GB"/>
        </w:rPr>
        <w:fldChar w:fldCharType="separate"/>
      </w:r>
      <w:r w:rsidRPr="006253F1">
        <w:rPr>
          <w:rStyle w:val="lookup-resultcontent"/>
          <w:rFonts w:ascii="Arial" w:eastAsia="Times New Roman" w:hAnsi="Arial" w:cs="Arial"/>
          <w:noProof/>
          <w:sz w:val="24"/>
          <w:szCs w:val="24"/>
          <w:lang w:val="en-GB"/>
        </w:rPr>
        <w:t xml:space="preserve">Alqifari </w:t>
      </w:r>
      <w:r w:rsidRPr="006253F1">
        <w:rPr>
          <w:rStyle w:val="lookup-resultcontent"/>
          <w:rFonts w:ascii="Arial" w:eastAsia="Times New Roman" w:hAnsi="Arial" w:cs="Arial"/>
          <w:i/>
          <w:noProof/>
          <w:sz w:val="24"/>
          <w:szCs w:val="24"/>
          <w:lang w:val="en-GB"/>
        </w:rPr>
        <w:t>et al.</w:t>
      </w:r>
      <w:r w:rsidRPr="006253F1">
        <w:rPr>
          <w:rStyle w:val="lookup-resultcontent"/>
          <w:rFonts w:ascii="Arial" w:eastAsia="Times New Roman" w:hAnsi="Arial" w:cs="Arial"/>
          <w:noProof/>
          <w:sz w:val="24"/>
          <w:szCs w:val="24"/>
          <w:lang w:val="en-GB"/>
        </w:rPr>
        <w:t xml:space="preserve">, </w:t>
      </w:r>
      <w:r>
        <w:rPr>
          <w:rStyle w:val="lookup-resultcontent"/>
          <w:rFonts w:ascii="Arial" w:eastAsia="Times New Roman" w:hAnsi="Arial" w:cs="Arial"/>
          <w:noProof/>
          <w:sz w:val="24"/>
          <w:szCs w:val="24"/>
          <w:lang w:val="en-GB"/>
        </w:rPr>
        <w:t>(</w:t>
      </w:r>
      <w:r w:rsidRPr="006253F1">
        <w:rPr>
          <w:rStyle w:val="lookup-resultcontent"/>
          <w:rFonts w:ascii="Arial" w:eastAsia="Times New Roman" w:hAnsi="Arial" w:cs="Arial"/>
          <w:noProof/>
          <w:sz w:val="24"/>
          <w:szCs w:val="24"/>
          <w:lang w:val="en-GB"/>
        </w:rPr>
        <w:t>2022)</w:t>
      </w:r>
      <w:r>
        <w:rPr>
          <w:rStyle w:val="lookup-resultcontent"/>
          <w:rFonts w:ascii="Arial" w:eastAsia="Times New Roman" w:hAnsi="Arial" w:cs="Arial"/>
          <w:sz w:val="24"/>
          <w:szCs w:val="24"/>
          <w:lang w:val="en-GB"/>
        </w:rPr>
        <w:fldChar w:fldCharType="end"/>
      </w:r>
      <w:r w:rsidRPr="006253F1">
        <w:rPr>
          <w:rStyle w:val="lookup-resultcontent"/>
          <w:rFonts w:ascii="Arial" w:eastAsia="Times New Roman" w:hAnsi="Arial" w:cs="Arial"/>
          <w:sz w:val="24"/>
          <w:szCs w:val="24"/>
          <w:lang w:val="en-GB"/>
        </w:rPr>
        <w:t xml:space="preserve"> conducted a retrospective</w:t>
      </w:r>
      <w:r>
        <w:rPr>
          <w:rStyle w:val="lookup-resultcontent"/>
          <w:rFonts w:ascii="Arial" w:eastAsia="Times New Roman" w:hAnsi="Arial" w:cs="Arial"/>
          <w:sz w:val="24"/>
          <w:szCs w:val="24"/>
          <w:lang w:val="en-GB"/>
        </w:rPr>
        <w:t xml:space="preserve"> </w:t>
      </w:r>
      <w:r w:rsidRPr="00E42AD6">
        <w:rPr>
          <w:rStyle w:val="lookup-resultcontent"/>
          <w:rFonts w:ascii="Arial" w:eastAsia="Times New Roman" w:hAnsi="Arial" w:cs="Arial"/>
          <w:sz w:val="24"/>
          <w:szCs w:val="24"/>
        </w:rPr>
        <w:t xml:space="preserve">chart review </w:t>
      </w:r>
      <w:r>
        <w:rPr>
          <w:rStyle w:val="lookup-resultcontent"/>
          <w:rFonts w:ascii="Arial" w:eastAsia="Times New Roman" w:hAnsi="Arial" w:cs="Arial"/>
          <w:sz w:val="24"/>
          <w:szCs w:val="24"/>
          <w:lang w:val="en-GB"/>
        </w:rPr>
        <w:t xml:space="preserve">study </w:t>
      </w:r>
      <w:r w:rsidRPr="006253F1">
        <w:rPr>
          <w:rStyle w:val="lookup-resultcontent"/>
          <w:rFonts w:ascii="Arial" w:eastAsia="Times New Roman" w:hAnsi="Arial" w:cs="Arial"/>
          <w:sz w:val="24"/>
          <w:szCs w:val="24"/>
          <w:lang w:val="en-GB"/>
        </w:rPr>
        <w:t xml:space="preserve">at a </w:t>
      </w:r>
      <w:r>
        <w:rPr>
          <w:rStyle w:val="lookup-resultcontent"/>
          <w:rFonts w:ascii="Arial" w:eastAsia="Times New Roman" w:hAnsi="Arial" w:cs="Arial"/>
          <w:sz w:val="24"/>
          <w:szCs w:val="24"/>
          <w:lang w:val="en-GB"/>
        </w:rPr>
        <w:t>MoH</w:t>
      </w:r>
      <w:r w:rsidRPr="006253F1">
        <w:rPr>
          <w:rStyle w:val="lookup-resultcontent"/>
          <w:rFonts w:ascii="Arial" w:eastAsia="Times New Roman" w:hAnsi="Arial" w:cs="Arial"/>
          <w:sz w:val="24"/>
          <w:szCs w:val="24"/>
          <w:lang w:val="en-GB"/>
        </w:rPr>
        <w:t xml:space="preserve"> Diabetes &amp; Endocrinology Centre, King Fahad Specialist Hospital, located in Buraydah, </w:t>
      </w:r>
      <w:r>
        <w:rPr>
          <w:rStyle w:val="lookup-resultcontent"/>
          <w:rFonts w:ascii="Arial" w:eastAsia="Times New Roman" w:hAnsi="Arial" w:cs="Arial"/>
          <w:sz w:val="24"/>
          <w:szCs w:val="24"/>
          <w:lang w:val="en-GB"/>
        </w:rPr>
        <w:t>SA</w:t>
      </w:r>
      <w:r w:rsidRPr="006253F1">
        <w:rPr>
          <w:rStyle w:val="lookup-resultcontent"/>
          <w:rFonts w:ascii="Arial" w:eastAsia="Times New Roman" w:hAnsi="Arial" w:cs="Arial"/>
          <w:sz w:val="24"/>
          <w:szCs w:val="24"/>
          <w:lang w:val="en-GB"/>
        </w:rPr>
        <w:t>, to evaluate the impact of clinical pharmacist care on diabetes management compared to standard physician-based care.</w:t>
      </w:r>
      <w:r>
        <w:rPr>
          <w:rStyle w:val="lookup-resultcontent"/>
          <w:rFonts w:ascii="Arial" w:eastAsia="Times New Roman" w:hAnsi="Arial" w:cs="Arial"/>
          <w:sz w:val="24"/>
          <w:szCs w:val="24"/>
          <w:lang w:val="en-GB"/>
        </w:rPr>
        <w:t xml:space="preserve"> </w:t>
      </w:r>
      <w:r w:rsidRPr="00F155C3">
        <w:rPr>
          <w:rFonts w:asciiTheme="minorBidi" w:hAnsiTheme="minorBidi"/>
          <w:sz w:val="24"/>
          <w:szCs w:val="24"/>
          <w:lang w:val="en-GB"/>
        </w:rPr>
        <w:t xml:space="preserve">This study found that the multidisciplinary collaborative care involving pharmacists had great benefits on patients’ diabetes glycaemic control as HbA1c decreased significantly over the study period (nine months) compared to baseline and reduced the frequency of hypoglycaemia. In addition, </w:t>
      </w:r>
      <w:r>
        <w:rPr>
          <w:rFonts w:asciiTheme="minorBidi" w:hAnsiTheme="minorBidi"/>
          <w:sz w:val="24"/>
          <w:szCs w:val="24"/>
          <w:lang w:val="en-GB"/>
        </w:rPr>
        <w:t xml:space="preserve">clinical </w:t>
      </w:r>
      <w:r w:rsidRPr="00F155C3">
        <w:rPr>
          <w:rFonts w:asciiTheme="minorBidi" w:hAnsiTheme="minorBidi"/>
          <w:sz w:val="24"/>
          <w:szCs w:val="24"/>
          <w:lang w:val="en-GB"/>
        </w:rPr>
        <w:t>pharmacists helped optimise medication therapy.</w:t>
      </w:r>
      <w:r>
        <w:rPr>
          <w:rFonts w:asciiTheme="minorBidi" w:hAnsiTheme="minorBidi"/>
          <w:sz w:val="24"/>
          <w:szCs w:val="24"/>
          <w:lang w:val="en-GB"/>
        </w:rPr>
        <w:t xml:space="preserve"> </w:t>
      </w:r>
    </w:p>
    <w:p w14:paraId="7A73A5F4" w14:textId="233AA327" w:rsidR="00941883" w:rsidRPr="004E48AA" w:rsidRDefault="00941883" w:rsidP="00FA3524">
      <w:pPr>
        <w:spacing w:line="360" w:lineRule="auto"/>
        <w:jc w:val="both"/>
        <w:rPr>
          <w:rFonts w:ascii="Arial" w:hAnsi="Arial" w:cs="Arial"/>
          <w:sz w:val="24"/>
          <w:szCs w:val="24"/>
        </w:rPr>
      </w:pPr>
      <w:r>
        <w:rPr>
          <w:rFonts w:asciiTheme="minorBidi" w:hAnsiTheme="minorBidi"/>
          <w:sz w:val="24"/>
          <w:szCs w:val="24"/>
          <w:lang w:val="en-GB"/>
        </w:rPr>
        <w:t xml:space="preserve">Therefore, </w:t>
      </w:r>
      <w:r>
        <w:rPr>
          <w:rFonts w:asciiTheme="minorBidi" w:hAnsiTheme="minorBidi"/>
          <w:sz w:val="24"/>
          <w:szCs w:val="32"/>
          <w:lang w:val="en-GB"/>
        </w:rPr>
        <w:t>f</w:t>
      </w:r>
      <w:r w:rsidRPr="00356D46">
        <w:rPr>
          <w:rFonts w:asciiTheme="minorBidi" w:hAnsiTheme="minorBidi"/>
          <w:sz w:val="24"/>
          <w:szCs w:val="32"/>
          <w:lang w:val="en-GB"/>
        </w:rPr>
        <w:t xml:space="preserve">uture studies should focus on pharmacy practice in the PHC of the Saudi MoH and </w:t>
      </w:r>
      <w:r w:rsidRPr="00D55AFF">
        <w:rPr>
          <w:rFonts w:asciiTheme="minorBidi" w:hAnsiTheme="minorBidi"/>
          <w:sz w:val="24"/>
          <w:szCs w:val="24"/>
          <w:lang w:val="en-GB"/>
        </w:rPr>
        <w:t>whether t</w:t>
      </w:r>
      <w:r w:rsidRPr="00356D46">
        <w:rPr>
          <w:rFonts w:asciiTheme="minorBidi" w:hAnsiTheme="minorBidi"/>
          <w:sz w:val="24"/>
          <w:szCs w:val="32"/>
          <w:lang w:val="en-GB"/>
        </w:rPr>
        <w:t>o expand the scope of pharmacy practices to provide clinical service</w:t>
      </w:r>
      <w:r>
        <w:rPr>
          <w:rFonts w:asciiTheme="minorBidi" w:hAnsiTheme="minorBidi"/>
          <w:sz w:val="24"/>
          <w:szCs w:val="32"/>
          <w:lang w:val="en-GB"/>
        </w:rPr>
        <w:t>s</w:t>
      </w:r>
      <w:r w:rsidRPr="00356D46">
        <w:rPr>
          <w:rFonts w:asciiTheme="minorBidi" w:hAnsiTheme="minorBidi"/>
          <w:sz w:val="24"/>
          <w:szCs w:val="32"/>
          <w:lang w:val="en-GB"/>
        </w:rPr>
        <w:t xml:space="preserve"> to patients, especially those who suffer from a chronic condition such as diabetes</w:t>
      </w:r>
      <w:r>
        <w:rPr>
          <w:rFonts w:asciiTheme="minorBidi" w:hAnsiTheme="minorBidi"/>
          <w:sz w:val="24"/>
          <w:szCs w:val="32"/>
          <w:lang w:val="en-GB"/>
        </w:rPr>
        <w:t xml:space="preserve">, </w:t>
      </w:r>
      <w:r w:rsidRPr="00356D46">
        <w:rPr>
          <w:rFonts w:asciiTheme="minorBidi" w:hAnsiTheme="minorBidi"/>
          <w:sz w:val="24"/>
          <w:szCs w:val="32"/>
          <w:lang w:val="en-GB"/>
        </w:rPr>
        <w:t xml:space="preserve">in order </w:t>
      </w:r>
      <w:r>
        <w:rPr>
          <w:rFonts w:asciiTheme="minorBidi" w:hAnsiTheme="minorBidi"/>
          <w:sz w:val="24"/>
          <w:szCs w:val="32"/>
          <w:lang w:val="en-GB"/>
        </w:rPr>
        <w:t xml:space="preserve">to </w:t>
      </w:r>
      <w:r w:rsidRPr="006B2FC7">
        <w:rPr>
          <w:rFonts w:ascii="Arial" w:hAnsi="Arial" w:cs="Arial"/>
          <w:sz w:val="24"/>
          <w:szCs w:val="24"/>
          <w:lang w:val="en-GB"/>
        </w:rPr>
        <w:t>accomplish the</w:t>
      </w:r>
      <w:r>
        <w:rPr>
          <w:rFonts w:ascii="Arial" w:hAnsi="Arial" w:cs="Arial"/>
          <w:sz w:val="24"/>
          <w:szCs w:val="24"/>
          <w:lang w:val="en-GB"/>
        </w:rPr>
        <w:t xml:space="preserve"> mission of the </w:t>
      </w:r>
      <w:r>
        <w:rPr>
          <w:rFonts w:asciiTheme="minorBidi" w:hAnsiTheme="minorBidi"/>
          <w:sz w:val="24"/>
          <w:szCs w:val="32"/>
          <w:lang w:val="en-GB"/>
        </w:rPr>
        <w:t>‘</w:t>
      </w:r>
      <w:r w:rsidRPr="00356D46">
        <w:rPr>
          <w:rFonts w:asciiTheme="minorBidi" w:hAnsiTheme="minorBidi"/>
          <w:sz w:val="24"/>
          <w:szCs w:val="32"/>
          <w:lang w:val="en-GB"/>
        </w:rPr>
        <w:t>General Administration of Pharmaceutical Care</w:t>
      </w:r>
      <w:r>
        <w:rPr>
          <w:rFonts w:asciiTheme="minorBidi" w:hAnsiTheme="minorBidi"/>
          <w:sz w:val="24"/>
          <w:szCs w:val="32"/>
          <w:lang w:val="en-GB"/>
        </w:rPr>
        <w:t>’</w:t>
      </w:r>
      <w:r w:rsidRPr="006B2FC7">
        <w:rPr>
          <w:rFonts w:ascii="Arial" w:hAnsi="Arial" w:cs="Arial"/>
          <w:sz w:val="24"/>
          <w:szCs w:val="24"/>
          <w:lang w:val="en-GB"/>
        </w:rPr>
        <w:t xml:space="preserve"> </w:t>
      </w:r>
      <w:r>
        <w:rPr>
          <w:rFonts w:ascii="Arial" w:hAnsi="Arial" w:cs="Arial"/>
          <w:sz w:val="24"/>
          <w:szCs w:val="24"/>
          <w:lang w:val="en-GB"/>
        </w:rPr>
        <w:t xml:space="preserve">of </w:t>
      </w:r>
      <w:r w:rsidRPr="006B2FC7">
        <w:rPr>
          <w:rFonts w:ascii="Arial" w:hAnsi="Arial" w:cs="Arial"/>
          <w:sz w:val="24"/>
          <w:szCs w:val="24"/>
          <w:lang w:val="en-GB"/>
        </w:rPr>
        <w:t xml:space="preserve">Saudi </w:t>
      </w:r>
      <w:r>
        <w:rPr>
          <w:rFonts w:ascii="Arial" w:hAnsi="Arial" w:cs="Arial"/>
          <w:sz w:val="24"/>
          <w:szCs w:val="24"/>
          <w:lang w:val="en-GB"/>
        </w:rPr>
        <w:t>MoH</w:t>
      </w:r>
      <w:r w:rsidRPr="00356D46">
        <w:rPr>
          <w:rFonts w:asciiTheme="minorBidi" w:hAnsiTheme="minorBidi"/>
          <w:sz w:val="24"/>
          <w:szCs w:val="32"/>
          <w:lang w:val="en-GB"/>
        </w:rPr>
        <w:t xml:space="preserve">, which aims to collaborate with </w:t>
      </w:r>
      <w:r>
        <w:rPr>
          <w:rFonts w:asciiTheme="minorBidi" w:hAnsiTheme="minorBidi"/>
          <w:sz w:val="24"/>
          <w:szCs w:val="32"/>
          <w:lang w:val="en-GB"/>
        </w:rPr>
        <w:t>HCPs</w:t>
      </w:r>
      <w:r w:rsidRPr="00356D46">
        <w:rPr>
          <w:rFonts w:asciiTheme="minorBidi" w:hAnsiTheme="minorBidi"/>
          <w:sz w:val="24"/>
          <w:szCs w:val="32"/>
          <w:lang w:val="en-GB"/>
        </w:rPr>
        <w:t xml:space="preserve"> to provide effective and efficient patient care. </w:t>
      </w:r>
      <w:r>
        <w:rPr>
          <w:rFonts w:asciiTheme="minorBidi" w:hAnsiTheme="minorBidi"/>
          <w:sz w:val="24"/>
          <w:szCs w:val="32"/>
          <w:lang w:val="en-GB"/>
        </w:rPr>
        <w:t xml:space="preserve">Since, </w:t>
      </w:r>
      <w:r w:rsidRPr="00356D46">
        <w:rPr>
          <w:rFonts w:asciiTheme="minorBidi" w:hAnsiTheme="minorBidi"/>
          <w:sz w:val="24"/>
          <w:szCs w:val="32"/>
          <w:lang w:val="en-GB"/>
        </w:rPr>
        <w:t xml:space="preserve">this will promote the adoption of the team-based care model, which is one of the objectives of the </w:t>
      </w:r>
      <w:r>
        <w:rPr>
          <w:rFonts w:asciiTheme="minorBidi" w:hAnsiTheme="minorBidi"/>
          <w:sz w:val="24"/>
          <w:szCs w:val="32"/>
          <w:lang w:val="en-GB"/>
        </w:rPr>
        <w:t xml:space="preserve">Saudi </w:t>
      </w:r>
      <w:r w:rsidRPr="00356D46">
        <w:rPr>
          <w:rFonts w:asciiTheme="minorBidi" w:hAnsiTheme="minorBidi"/>
          <w:sz w:val="24"/>
          <w:szCs w:val="32"/>
          <w:lang w:val="en-GB"/>
        </w:rPr>
        <w:t>MoH transformation strategy</w:t>
      </w:r>
      <w:r>
        <w:rPr>
          <w:rFonts w:asciiTheme="minorBidi" w:hAnsiTheme="minorBidi"/>
          <w:sz w:val="24"/>
          <w:szCs w:val="32"/>
          <w:lang w:val="en-GB"/>
        </w:rPr>
        <w:t xml:space="preserve">. In addition, </w:t>
      </w:r>
      <w:r w:rsidRPr="00A54F18">
        <w:rPr>
          <w:rFonts w:ascii="Arial" w:hAnsi="Arial" w:cs="Arial"/>
          <w:sz w:val="24"/>
          <w:szCs w:val="24"/>
          <w:lang w:val="en-GB"/>
        </w:rPr>
        <w:t xml:space="preserve">this will provide unprecedented opportunities for pharmacists in </w:t>
      </w:r>
      <w:r>
        <w:rPr>
          <w:rFonts w:ascii="Arial" w:hAnsi="Arial" w:cs="Arial"/>
          <w:sz w:val="24"/>
          <w:szCs w:val="24"/>
          <w:lang w:val="en-GB"/>
        </w:rPr>
        <w:t>SA</w:t>
      </w:r>
      <w:r w:rsidRPr="00A54F18">
        <w:rPr>
          <w:rFonts w:ascii="Arial" w:hAnsi="Arial" w:cs="Arial"/>
          <w:sz w:val="24"/>
          <w:szCs w:val="24"/>
          <w:lang w:val="en-GB"/>
        </w:rPr>
        <w:t xml:space="preserve"> to participate in achieving health transformation goals, particularly in primary care services </w:t>
      </w:r>
      <w:r w:rsidRPr="00A54F18">
        <w:rPr>
          <w:rFonts w:ascii="Arial" w:hAnsi="Arial" w:cs="Arial"/>
          <w:sz w:val="24"/>
          <w:szCs w:val="24"/>
          <w:lang w:val="en-GB"/>
        </w:rPr>
        <w:fldChar w:fldCharType="begin" w:fldLock="1"/>
      </w:r>
      <w:r w:rsidRPr="00A54F18">
        <w:rPr>
          <w:rFonts w:ascii="Arial" w:hAnsi="Arial" w:cs="Arial"/>
          <w:sz w:val="24"/>
          <w:szCs w:val="24"/>
          <w:lang w:val="en-GB"/>
        </w:rPr>
        <w:instrText>ADDIN CSL_CITATION {"citationItems":[{"id":"ITEM-1","itemData":{"DOI":"10.1002/jac5.1577","author":[{"dropping-particle":"","family":"Alshaya","given":"Omar A","non-dropping-particle":"","parse-names":false,"suffix":""},{"dropping-particle":"","family":"Osama","given":"Omaima","non-dropping-particle":"","parse-names":false,"suffix":""},{"dropping-particle":"","family":"Pharm","given":"Arab","non-dropping-particle":"","parse-names":false,"suffix":""},{"dropping-particle":"","family":"Alhifany","given":"Abdullah A","non-dropping-particle":"","parse-names":false,"suffix":""},{"dropping-particle":"","family":"Abdulaziz","given":"Pharm D","non-dropping-particle":"","parse-names":false,"suffix":""},{"dropping-particle":"","family":"Pharm","given":"Alhossan","non-dropping-particle":"","parse-names":false,"suffix":""},{"dropping-particle":"","family":"Alomar","given":"Mukhtar","non-dropping-particle":"","parse-names":false,"suffix":""},{"dropping-particle":"","family":"Abdulaziz","given":"Pharm D","non-dropping-particle":"","parse-names":false,"suffix":""},{"dropping-particle":"","family":"Pharm","given":"G Alqahtani","non-dropping-particle":"","parse-names":false,"suffix":""},{"dropping-particle":"","family":"Almolaiki","given":"Maha A","non-dropping-particle":"","parse-names":false,"suffix":""},{"dropping-particle":"","family":"Sultan","given":"Pharm D","non-dropping-particle":"","parse-names":false,"suffix":""},{"dropping-particle":"","family":"Bscpharm","given":"Mubarki","non-dropping-particle":"","parse-names":false,"suffix":""},{"dropping-particle":"","family":"Alruwaisan","given":"Rana","non-drop</w:instrText>
      </w:r>
      <w:r w:rsidRPr="004E48AA">
        <w:rPr>
          <w:rFonts w:ascii="Arial" w:hAnsi="Arial" w:cs="Arial"/>
          <w:sz w:val="24"/>
          <w:szCs w:val="24"/>
        </w:rPr>
        <w:instrText>ping-particle":"","parse-names":false,"suffix":""},{"dropping-particle":"","family":"Abdulrahman","given":"Pharm D","non-dropping-particle":"","parse-names":false,"suffix":""},{"dropping-particle":"","family":"Bscpharm","given":"Alturaiki","non-dropping-particle":"","parse-names":false,"suffix":""},{"dropping-particle":"","family":"Alzuman","given":"Sitah","non-dropping-particle":"","parse-names":false,"suffix":""},{"dropping-particle":"","family":"Ahmed","given":"Bscpharm","non-dropping-particle":"","parse-names":false,"suffix":""},{"dropping-particle":"","family":"Alsaqer","given":"Ibrahim","non-dropping-particle":"","parse-names":false,"suffix":""},{"dropping-particle":"","family":"D","given":"Ghazwa B Korayem Pharm","non-dropping-particle":"","parse-names":false,"suffix":""}],"container-title":"Journal of the American College of Clinical Pharmacy","id":"ITEM-1","issue":"October 2021","issued":{"date-parts":[["2021"]]},"page":"332-341","title":"Ambulatory care pharmacy in Saudi Arabia ; definition , history , present , future potentials , and expected challenges","type":"article-journal"},"uris":["http://www.mendeley.com/documents/?uuid=b56e313e-724e-49a9-96fd-ca50aa6b852e"]}],"mendeley":{"formattedCitation":"(Alshaya &lt;i&gt;et al.&lt;/i&gt;, 2021)","plainTextFormattedCitation":"(Alshaya et al., 2021)","previouslyFormattedCitation":"(Alshaya &lt;i&gt;et al.&lt;/i&gt;, 2021)"},"properties":{"noteIndex":0},"schema":"https://github.com/citation-style-language/schema/raw/master/csl-citation.json"}</w:instrText>
      </w:r>
      <w:r w:rsidRPr="00A54F18">
        <w:rPr>
          <w:rFonts w:ascii="Arial" w:hAnsi="Arial" w:cs="Arial"/>
          <w:sz w:val="24"/>
          <w:szCs w:val="24"/>
          <w:lang w:val="en-GB"/>
        </w:rPr>
        <w:fldChar w:fldCharType="separate"/>
      </w:r>
      <w:r w:rsidRPr="004E48AA">
        <w:rPr>
          <w:rFonts w:ascii="Arial" w:hAnsi="Arial" w:cs="Arial"/>
          <w:noProof/>
          <w:sz w:val="24"/>
          <w:szCs w:val="24"/>
        </w:rPr>
        <w:t xml:space="preserve">(Alshaya </w:t>
      </w:r>
      <w:r w:rsidRPr="004E48AA">
        <w:rPr>
          <w:rFonts w:ascii="Arial" w:hAnsi="Arial" w:cs="Arial"/>
          <w:i/>
          <w:noProof/>
          <w:sz w:val="24"/>
          <w:szCs w:val="24"/>
        </w:rPr>
        <w:t>et al.</w:t>
      </w:r>
      <w:r w:rsidRPr="004E48AA">
        <w:rPr>
          <w:rFonts w:ascii="Arial" w:hAnsi="Arial" w:cs="Arial"/>
          <w:noProof/>
          <w:sz w:val="24"/>
          <w:szCs w:val="24"/>
        </w:rPr>
        <w:t>, 2021)</w:t>
      </w:r>
      <w:r w:rsidRPr="00A54F18">
        <w:rPr>
          <w:rFonts w:ascii="Arial" w:hAnsi="Arial" w:cs="Arial"/>
          <w:sz w:val="24"/>
          <w:szCs w:val="24"/>
          <w:lang w:val="en-GB"/>
        </w:rPr>
        <w:fldChar w:fldCharType="end"/>
      </w:r>
      <w:r w:rsidR="00A249DF">
        <w:rPr>
          <w:rFonts w:ascii="Arial" w:hAnsi="Arial" w:cs="Arial"/>
          <w:sz w:val="24"/>
          <w:szCs w:val="24"/>
          <w:lang w:val="en-GB"/>
        </w:rPr>
        <w:t>.</w:t>
      </w:r>
      <w:r w:rsidR="00A249DF">
        <w:rPr>
          <w:rFonts w:ascii="Arial" w:hAnsi="Arial" w:cs="Arial"/>
          <w:sz w:val="24"/>
          <w:szCs w:val="24"/>
          <w:lang w:val="en-GB"/>
        </w:rPr>
        <w:br w:type="page"/>
      </w:r>
    </w:p>
    <w:p w14:paraId="41B27C73" w14:textId="77777777" w:rsidR="00941883" w:rsidRPr="004E48AA" w:rsidRDefault="00941883" w:rsidP="00941883">
      <w:pPr>
        <w:pStyle w:val="Heading2"/>
        <w:spacing w:line="360" w:lineRule="auto"/>
        <w:ind w:left="0" w:firstLine="0"/>
        <w:jc w:val="both"/>
      </w:pPr>
      <w:bookmarkStart w:id="68" w:name="_Toc122626378"/>
      <w:bookmarkStart w:id="69" w:name="_Toc153894159"/>
      <w:r w:rsidRPr="004E48AA">
        <w:t>Conclusion</w:t>
      </w:r>
      <w:bookmarkEnd w:id="68"/>
      <w:bookmarkEnd w:id="69"/>
      <w:r w:rsidRPr="004E48AA">
        <w:t xml:space="preserve"> </w:t>
      </w:r>
    </w:p>
    <w:p w14:paraId="775D1686" w14:textId="77777777" w:rsidR="00941883" w:rsidRDefault="00941883" w:rsidP="00941883">
      <w:pPr>
        <w:spacing w:line="360" w:lineRule="auto"/>
        <w:jc w:val="both"/>
        <w:rPr>
          <w:rFonts w:asciiTheme="minorBidi" w:hAnsiTheme="minorBidi"/>
          <w:sz w:val="24"/>
          <w:szCs w:val="24"/>
          <w:lang w:val="en-GB"/>
        </w:rPr>
      </w:pPr>
      <w:r w:rsidRPr="006B2FC7">
        <w:rPr>
          <w:rFonts w:ascii="Arial" w:hAnsi="Arial" w:cs="Arial"/>
          <w:sz w:val="24"/>
          <w:szCs w:val="24"/>
        </w:rPr>
        <w:t xml:space="preserve">This chapter has presented what is currently known about the impacts of adding pharmacists to a </w:t>
      </w:r>
      <w:r>
        <w:rPr>
          <w:rFonts w:ascii="Arial" w:hAnsi="Arial" w:cs="Arial"/>
          <w:sz w:val="24"/>
          <w:szCs w:val="24"/>
        </w:rPr>
        <w:t>diabetes</w:t>
      </w:r>
      <w:r w:rsidRPr="006B2FC7">
        <w:rPr>
          <w:rFonts w:ascii="Arial" w:hAnsi="Arial" w:cs="Arial"/>
          <w:sz w:val="24"/>
          <w:szCs w:val="24"/>
        </w:rPr>
        <w:t xml:space="preserve"> </w:t>
      </w:r>
      <w:r>
        <w:rPr>
          <w:rFonts w:ascii="Arial" w:hAnsi="Arial" w:cs="Arial"/>
          <w:sz w:val="24"/>
          <w:szCs w:val="24"/>
        </w:rPr>
        <w:t>management</w:t>
      </w:r>
      <w:r w:rsidRPr="006B2FC7">
        <w:rPr>
          <w:rFonts w:ascii="Arial" w:hAnsi="Arial" w:cs="Arial"/>
          <w:sz w:val="24"/>
          <w:szCs w:val="24"/>
        </w:rPr>
        <w:t xml:space="preserve"> team in a primary care setting. Using a robust search strategy, it has presented the current evidence base in relation to this topic and shown that pharmacists can provide a range of benefits through providing a range of additional services, such as MTM</w:t>
      </w:r>
      <w:r>
        <w:rPr>
          <w:rFonts w:ascii="Arial" w:hAnsi="Arial" w:cs="Arial"/>
          <w:sz w:val="24"/>
          <w:szCs w:val="24"/>
        </w:rPr>
        <w:t xml:space="preserve">, medication review, and patient education </w:t>
      </w:r>
      <w:r w:rsidRPr="006B2FC7">
        <w:rPr>
          <w:rFonts w:ascii="Arial" w:hAnsi="Arial" w:cs="Arial"/>
          <w:sz w:val="24"/>
          <w:szCs w:val="24"/>
        </w:rPr>
        <w:t>service</w:t>
      </w:r>
      <w:r>
        <w:rPr>
          <w:rFonts w:ascii="Arial" w:hAnsi="Arial" w:cs="Arial"/>
          <w:sz w:val="24"/>
          <w:szCs w:val="24"/>
        </w:rPr>
        <w:t>s</w:t>
      </w:r>
      <w:r w:rsidRPr="006B2FC7">
        <w:rPr>
          <w:rFonts w:ascii="Arial" w:hAnsi="Arial" w:cs="Arial"/>
          <w:sz w:val="24"/>
          <w:szCs w:val="24"/>
        </w:rPr>
        <w:t xml:space="preserve">. Within the body of evidence to support this approach, most studies have focused on advanced and high-income countries such as the UK, US, Canada, and Australia, and evidence is currently </w:t>
      </w:r>
      <w:r>
        <w:rPr>
          <w:rFonts w:ascii="Arial" w:hAnsi="Arial" w:cs="Arial"/>
          <w:sz w:val="24"/>
          <w:szCs w:val="24"/>
        </w:rPr>
        <w:t>limited</w:t>
      </w:r>
      <w:r w:rsidRPr="006B2FC7">
        <w:rPr>
          <w:rFonts w:ascii="Arial" w:hAnsi="Arial" w:cs="Arial"/>
          <w:sz w:val="24"/>
          <w:szCs w:val="24"/>
        </w:rPr>
        <w:t xml:space="preserve"> in many countries including </w:t>
      </w:r>
      <w:r>
        <w:rPr>
          <w:rFonts w:ascii="Arial" w:hAnsi="Arial" w:cs="Arial"/>
          <w:sz w:val="24"/>
          <w:szCs w:val="24"/>
        </w:rPr>
        <w:t>SA</w:t>
      </w:r>
      <w:r w:rsidRPr="006B2FC7">
        <w:rPr>
          <w:rFonts w:ascii="Arial" w:hAnsi="Arial" w:cs="Arial"/>
          <w:sz w:val="24"/>
          <w:szCs w:val="24"/>
        </w:rPr>
        <w:t xml:space="preserve">. </w:t>
      </w:r>
      <w:r w:rsidRPr="001056C0">
        <w:rPr>
          <w:rFonts w:asciiTheme="minorBidi" w:hAnsiTheme="minorBidi"/>
          <w:sz w:val="24"/>
          <w:szCs w:val="24"/>
          <w:lang w:val="en-GB"/>
        </w:rPr>
        <w:t>Expanding the scope of pharmacy practice in</w:t>
      </w:r>
      <w:r>
        <w:rPr>
          <w:rFonts w:asciiTheme="minorBidi" w:hAnsiTheme="minorBidi"/>
          <w:sz w:val="24"/>
          <w:szCs w:val="24"/>
          <w:lang w:val="en-GB"/>
        </w:rPr>
        <w:t xml:space="preserve"> </w:t>
      </w:r>
      <w:r w:rsidRPr="001056C0">
        <w:rPr>
          <w:rFonts w:asciiTheme="minorBidi" w:hAnsiTheme="minorBidi"/>
          <w:sz w:val="24"/>
          <w:szCs w:val="24"/>
          <w:lang w:val="en-GB"/>
        </w:rPr>
        <w:t>SA</w:t>
      </w:r>
      <w:r>
        <w:rPr>
          <w:rFonts w:asciiTheme="minorBidi" w:hAnsiTheme="minorBidi"/>
          <w:sz w:val="24"/>
          <w:szCs w:val="24"/>
          <w:lang w:val="en-GB"/>
        </w:rPr>
        <w:t xml:space="preserve">, to provide diabetes related services, </w:t>
      </w:r>
      <w:r w:rsidRPr="001056C0">
        <w:rPr>
          <w:rFonts w:asciiTheme="minorBidi" w:hAnsiTheme="minorBidi"/>
          <w:sz w:val="24"/>
          <w:szCs w:val="24"/>
          <w:lang w:val="en-GB"/>
        </w:rPr>
        <w:t>is argued to be</w:t>
      </w:r>
      <w:r>
        <w:rPr>
          <w:rFonts w:asciiTheme="minorBidi" w:hAnsiTheme="minorBidi"/>
          <w:sz w:val="24"/>
          <w:szCs w:val="24"/>
          <w:lang w:val="en-GB"/>
        </w:rPr>
        <w:t xml:space="preserve"> a possible</w:t>
      </w:r>
      <w:r w:rsidRPr="001056C0">
        <w:rPr>
          <w:rFonts w:asciiTheme="minorBidi" w:hAnsiTheme="minorBidi"/>
          <w:sz w:val="24"/>
          <w:szCs w:val="24"/>
          <w:lang w:val="en-GB"/>
        </w:rPr>
        <w:t xml:space="preserve"> viable option</w:t>
      </w:r>
      <w:r>
        <w:rPr>
          <w:rFonts w:asciiTheme="minorBidi" w:hAnsiTheme="minorBidi"/>
          <w:sz w:val="24"/>
          <w:szCs w:val="24"/>
          <w:lang w:val="en-GB"/>
        </w:rPr>
        <w:t xml:space="preserve"> </w:t>
      </w:r>
      <w:r>
        <w:rPr>
          <w:rFonts w:asciiTheme="minorBidi" w:hAnsiTheme="minorBidi"/>
          <w:sz w:val="24"/>
          <w:szCs w:val="24"/>
          <w:lang w:val="en-GB"/>
        </w:rPr>
        <w:fldChar w:fldCharType="begin" w:fldLock="1"/>
      </w:r>
      <w:r>
        <w:rPr>
          <w:rFonts w:asciiTheme="minorBidi" w:hAnsiTheme="minorBidi"/>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2017)","plainTextFormattedCitation":"(Makeen, 2017)","previouslyFormattedCitation":"(Makeen, 2017)"},"properties":{"noteIndex":0},"schema":"https://github.com/citation-style-language/schema/raw/master/csl-citation.json"}</w:instrText>
      </w:r>
      <w:r>
        <w:rPr>
          <w:rFonts w:asciiTheme="minorBidi" w:hAnsiTheme="minorBidi"/>
          <w:sz w:val="24"/>
          <w:szCs w:val="24"/>
          <w:lang w:val="en-GB"/>
        </w:rPr>
        <w:fldChar w:fldCharType="separate"/>
      </w:r>
      <w:r w:rsidRPr="008A418D">
        <w:rPr>
          <w:rFonts w:asciiTheme="minorBidi" w:hAnsiTheme="minorBidi"/>
          <w:noProof/>
          <w:sz w:val="24"/>
          <w:szCs w:val="24"/>
          <w:lang w:val="en-GB"/>
        </w:rPr>
        <w:t>(Makeen, 2017)</w:t>
      </w:r>
      <w:r>
        <w:rPr>
          <w:rFonts w:asciiTheme="minorBidi" w:hAnsiTheme="minorBidi"/>
          <w:sz w:val="24"/>
          <w:szCs w:val="24"/>
          <w:lang w:val="en-GB"/>
        </w:rPr>
        <w:fldChar w:fldCharType="end"/>
      </w:r>
      <w:r>
        <w:rPr>
          <w:rFonts w:asciiTheme="minorBidi" w:hAnsiTheme="minorBidi"/>
          <w:sz w:val="24"/>
          <w:szCs w:val="24"/>
          <w:lang w:val="en-GB"/>
        </w:rPr>
        <w:t>,</w:t>
      </w:r>
      <w:r w:rsidRPr="001056C0">
        <w:rPr>
          <w:rFonts w:asciiTheme="minorBidi" w:hAnsiTheme="minorBidi"/>
          <w:sz w:val="24"/>
          <w:szCs w:val="24"/>
          <w:lang w:val="en-GB"/>
        </w:rPr>
        <w:t xml:space="preserve"> and it would align</w:t>
      </w:r>
      <w:r>
        <w:rPr>
          <w:rFonts w:asciiTheme="minorBidi" w:hAnsiTheme="minorBidi"/>
          <w:sz w:val="24"/>
          <w:szCs w:val="24"/>
          <w:lang w:val="en-GB"/>
        </w:rPr>
        <w:t xml:space="preserve"> </w:t>
      </w:r>
      <w:r w:rsidRPr="001056C0">
        <w:rPr>
          <w:rFonts w:asciiTheme="minorBidi" w:hAnsiTheme="minorBidi"/>
          <w:sz w:val="24"/>
          <w:szCs w:val="24"/>
          <w:lang w:val="en-GB"/>
        </w:rPr>
        <w:t>SA more with the role of pharmacists in other developed countries.</w:t>
      </w:r>
      <w:r>
        <w:rPr>
          <w:rFonts w:asciiTheme="minorBidi" w:hAnsiTheme="minorBidi"/>
          <w:sz w:val="24"/>
          <w:szCs w:val="24"/>
          <w:lang w:val="en-GB"/>
        </w:rPr>
        <w:t xml:space="preserve"> </w:t>
      </w:r>
    </w:p>
    <w:p w14:paraId="49360F36" w14:textId="77777777" w:rsidR="00941883" w:rsidRDefault="00941883" w:rsidP="00941883">
      <w:pPr>
        <w:spacing w:line="360" w:lineRule="auto"/>
        <w:jc w:val="both"/>
        <w:rPr>
          <w:rFonts w:asciiTheme="minorBidi" w:hAnsiTheme="minorBidi"/>
          <w:sz w:val="24"/>
          <w:szCs w:val="32"/>
        </w:rPr>
      </w:pPr>
      <w:r w:rsidRPr="004E48AA">
        <w:rPr>
          <w:rFonts w:asciiTheme="minorBidi" w:hAnsiTheme="minorBidi"/>
          <w:sz w:val="24"/>
          <w:szCs w:val="32"/>
        </w:rPr>
        <w:t xml:space="preserve">This review has shown that pharmacists in SA can provide potential benefits for improving patient care through providing a range of additional clinical services, such as </w:t>
      </w:r>
      <w:r>
        <w:rPr>
          <w:rFonts w:asciiTheme="minorBidi" w:hAnsiTheme="minorBidi"/>
          <w:sz w:val="24"/>
          <w:szCs w:val="32"/>
        </w:rPr>
        <w:t>medication review</w:t>
      </w:r>
      <w:r w:rsidRPr="004E48AA">
        <w:rPr>
          <w:rFonts w:asciiTheme="minorBidi" w:hAnsiTheme="minorBidi"/>
          <w:sz w:val="24"/>
          <w:szCs w:val="32"/>
        </w:rPr>
        <w:t xml:space="preserve"> and patient education services. The current </w:t>
      </w:r>
      <w:r>
        <w:rPr>
          <w:rFonts w:asciiTheme="minorBidi" w:hAnsiTheme="minorBidi"/>
          <w:sz w:val="24"/>
          <w:szCs w:val="32"/>
        </w:rPr>
        <w:t>review</w:t>
      </w:r>
      <w:r w:rsidRPr="004E48AA">
        <w:rPr>
          <w:rFonts w:asciiTheme="minorBidi" w:hAnsiTheme="minorBidi"/>
          <w:sz w:val="24"/>
          <w:szCs w:val="32"/>
        </w:rPr>
        <w:t xml:space="preserve"> is based on a small number of national studies </w:t>
      </w:r>
      <w:r>
        <w:rPr>
          <w:rFonts w:asciiTheme="minorBidi" w:hAnsiTheme="minorBidi"/>
          <w:sz w:val="24"/>
          <w:szCs w:val="32"/>
        </w:rPr>
        <w:t xml:space="preserve">in SA </w:t>
      </w:r>
      <w:r w:rsidRPr="004E48AA">
        <w:rPr>
          <w:rFonts w:asciiTheme="minorBidi" w:hAnsiTheme="minorBidi"/>
          <w:sz w:val="24"/>
          <w:szCs w:val="32"/>
        </w:rPr>
        <w:t>conducted on advanced and well-established healthcare settings, such as the medical cities of the Ministry of National Guard and the Ministry of Defense, and evidence is currently lacking on the MoH of SA, particularly at primary care level. However, the findings suggest that expanding the scope of pharmacy practice in PHCs at the Saudi MoH to provide clinical activities could be a viable option. Therefore, it is important to study the potential of increasing pharmaceutical care in the management of diabetes in PHCs in SA because of the increasing prevalence and mortality of the disease and the extremely limited application of effective clinical pharmacy services for diabetic patients in this healthcare setting.</w:t>
      </w:r>
    </w:p>
    <w:p w14:paraId="39F26043" w14:textId="759E3CB1" w:rsidR="003F59E9" w:rsidRPr="00A249DF" w:rsidRDefault="00941883" w:rsidP="00941883">
      <w:pPr>
        <w:spacing w:line="360" w:lineRule="auto"/>
        <w:jc w:val="both"/>
        <w:rPr>
          <w:rFonts w:asciiTheme="minorBidi" w:hAnsiTheme="minorBidi"/>
          <w:sz w:val="24"/>
          <w:szCs w:val="32"/>
        </w:rPr>
      </w:pPr>
      <w:r w:rsidRPr="00A249DF">
        <w:rPr>
          <w:rFonts w:asciiTheme="minorBidi" w:hAnsiTheme="minorBidi"/>
          <w:sz w:val="24"/>
          <w:szCs w:val="32"/>
        </w:rPr>
        <w:t xml:space="preserve">The evidence presented in this chapter supports the involvement of pharmacists in diabetes primary care management. Pharmacists have been shown to be a valuable addition to the primary care team and can improve diabetes control effectively and efficiently through the different roles mentioned in this chapter. However, there is a major literature gap around pharmacists’ involvement in diabetes management in PHCs in Saudi Arabia. The next chapter, therefore, moves on to provide rationale of conducting this research. </w:t>
      </w:r>
    </w:p>
    <w:p w14:paraId="528B3D86" w14:textId="77777777" w:rsidR="003F59E9" w:rsidRDefault="003F59E9">
      <w:pPr>
        <w:rPr>
          <w:rFonts w:asciiTheme="minorBidi" w:hAnsiTheme="minorBidi"/>
          <w:color w:val="00B050"/>
          <w:sz w:val="24"/>
          <w:szCs w:val="32"/>
        </w:rPr>
      </w:pPr>
      <w:r>
        <w:rPr>
          <w:rFonts w:asciiTheme="minorBidi" w:hAnsiTheme="minorBidi"/>
          <w:color w:val="00B050"/>
          <w:sz w:val="24"/>
          <w:szCs w:val="32"/>
        </w:rPr>
        <w:br w:type="page"/>
      </w:r>
    </w:p>
    <w:p w14:paraId="42C414D2" w14:textId="77777777" w:rsidR="003F59E9" w:rsidRPr="004E48AA" w:rsidRDefault="003F59E9" w:rsidP="003F59E9">
      <w:pPr>
        <w:pStyle w:val="Heading1"/>
        <w:numPr>
          <w:ilvl w:val="0"/>
          <w:numId w:val="1"/>
        </w:numPr>
        <w:ind w:left="810"/>
        <w:jc w:val="center"/>
      </w:pPr>
      <w:bookmarkStart w:id="70" w:name="_Toc122626379"/>
      <w:bookmarkStart w:id="71" w:name="_Toc153894160"/>
      <w:r w:rsidRPr="004E48AA">
        <w:t>Chapter Three: Rationale for Research and Scientific Justification</w:t>
      </w:r>
      <w:bookmarkEnd w:id="70"/>
      <w:bookmarkEnd w:id="71"/>
    </w:p>
    <w:p w14:paraId="775F9FA4" w14:textId="77777777" w:rsidR="003F59E9" w:rsidRPr="004E48AA" w:rsidRDefault="003F59E9" w:rsidP="003F59E9">
      <w:pPr>
        <w:spacing w:line="360" w:lineRule="auto"/>
        <w:jc w:val="both"/>
        <w:rPr>
          <w:rFonts w:ascii="Arial" w:hAnsi="Arial" w:cs="Arial"/>
          <w:sz w:val="24"/>
          <w:szCs w:val="24"/>
        </w:rPr>
      </w:pPr>
    </w:p>
    <w:p w14:paraId="2A7C513D" w14:textId="77777777" w:rsidR="003F59E9" w:rsidRPr="004E48AA" w:rsidRDefault="003F59E9" w:rsidP="003F59E9">
      <w:pPr>
        <w:pStyle w:val="Heading2"/>
        <w:tabs>
          <w:tab w:val="left" w:pos="720"/>
        </w:tabs>
        <w:spacing w:line="257" w:lineRule="auto"/>
        <w:ind w:left="0" w:firstLine="0"/>
      </w:pPr>
      <w:bookmarkStart w:id="72" w:name="_Toc153894161"/>
      <w:r w:rsidRPr="004E48AA">
        <w:t>Introduction</w:t>
      </w:r>
      <w:bookmarkEnd w:id="72"/>
    </w:p>
    <w:p w14:paraId="7E4551F8" w14:textId="77777777" w:rsidR="003F59E9" w:rsidRDefault="003F59E9" w:rsidP="003F59E9">
      <w:pPr>
        <w:spacing w:line="360" w:lineRule="auto"/>
        <w:jc w:val="both"/>
        <w:rPr>
          <w:rFonts w:ascii="Arial" w:hAnsi="Arial" w:cs="Arial"/>
          <w:sz w:val="24"/>
          <w:szCs w:val="24"/>
        </w:rPr>
      </w:pPr>
      <w:r w:rsidRPr="00916602">
        <w:rPr>
          <w:rFonts w:ascii="Arial" w:hAnsi="Arial" w:cs="Arial"/>
          <w:sz w:val="24"/>
          <w:szCs w:val="24"/>
        </w:rPr>
        <w:t>Th</w:t>
      </w:r>
      <w:r w:rsidRPr="006B2FC7">
        <w:rPr>
          <w:rFonts w:ascii="Arial" w:hAnsi="Arial" w:cs="Arial"/>
          <w:sz w:val="24"/>
          <w:szCs w:val="24"/>
        </w:rPr>
        <w:t>e previous two chapters provided an introduction to, and detailed review of, the role of pharmacists in diabetes care</w:t>
      </w:r>
      <w:r>
        <w:rPr>
          <w:rFonts w:ascii="Arial" w:hAnsi="Arial" w:cs="Arial"/>
          <w:sz w:val="24"/>
          <w:szCs w:val="24"/>
        </w:rPr>
        <w:t xml:space="preserve"> and the impact of their interventions in the management of diabetes</w:t>
      </w:r>
      <w:r w:rsidRPr="006B2FC7">
        <w:rPr>
          <w:rFonts w:ascii="Arial" w:hAnsi="Arial" w:cs="Arial"/>
          <w:sz w:val="24"/>
          <w:szCs w:val="24"/>
        </w:rPr>
        <w:t>. The changes within a specific healthcare setting in</w:t>
      </w:r>
      <w:r>
        <w:rPr>
          <w:rFonts w:ascii="Arial" w:hAnsi="Arial" w:cs="Arial"/>
          <w:sz w:val="24"/>
          <w:szCs w:val="24"/>
        </w:rPr>
        <w:t xml:space="preserve"> </w:t>
      </w:r>
      <w:r w:rsidRPr="006B2FC7">
        <w:rPr>
          <w:rFonts w:ascii="Arial" w:hAnsi="Arial" w:cs="Arial"/>
          <w:sz w:val="24"/>
          <w:szCs w:val="24"/>
        </w:rPr>
        <w:t xml:space="preserve">SA have also been described. </w:t>
      </w:r>
      <w:r>
        <w:rPr>
          <w:rFonts w:ascii="Arial" w:hAnsi="Arial" w:cs="Arial"/>
          <w:sz w:val="24"/>
          <w:szCs w:val="24"/>
        </w:rPr>
        <w:t xml:space="preserve">The diabetes status was also presented in detail. </w:t>
      </w:r>
      <w:r w:rsidRPr="006B2FC7">
        <w:rPr>
          <w:rFonts w:ascii="Arial" w:hAnsi="Arial" w:cs="Arial"/>
          <w:sz w:val="24"/>
          <w:szCs w:val="24"/>
        </w:rPr>
        <w:t>The second chapter contained a detailed review and summary of the empirical literature relating to pharmacists’ varied roles in diabetes care internationally</w:t>
      </w:r>
      <w:r>
        <w:rPr>
          <w:rFonts w:ascii="Arial" w:hAnsi="Arial" w:cs="Arial"/>
          <w:sz w:val="24"/>
          <w:szCs w:val="24"/>
        </w:rPr>
        <w:t xml:space="preserve"> and nationally</w:t>
      </w:r>
      <w:r w:rsidRPr="006B2FC7">
        <w:rPr>
          <w:rFonts w:ascii="Arial" w:hAnsi="Arial" w:cs="Arial"/>
          <w:sz w:val="24"/>
          <w:szCs w:val="24"/>
        </w:rPr>
        <w:t xml:space="preserve">. It has been </w:t>
      </w:r>
      <w:r>
        <w:rPr>
          <w:rFonts w:ascii="Arial" w:hAnsi="Arial" w:cs="Arial"/>
          <w:sz w:val="24"/>
          <w:szCs w:val="24"/>
        </w:rPr>
        <w:t xml:space="preserve">also </w:t>
      </w:r>
      <w:r w:rsidRPr="006B2FC7">
        <w:rPr>
          <w:rFonts w:ascii="Arial" w:hAnsi="Arial" w:cs="Arial"/>
          <w:sz w:val="24"/>
          <w:szCs w:val="24"/>
        </w:rPr>
        <w:t>shown that little research has currently been undertaken in countries such as SA despite there being a range of possible roles and activities, with associated evidence of effectiveness and acceptability.</w:t>
      </w:r>
      <w:r>
        <w:rPr>
          <w:rFonts w:ascii="Arial" w:hAnsi="Arial" w:cs="Arial"/>
          <w:sz w:val="24"/>
          <w:szCs w:val="24"/>
        </w:rPr>
        <w:t xml:space="preserve"> Based on this review and the findings of the previous chapters, conducting this research is important for several reasons that are presented below. </w:t>
      </w:r>
    </w:p>
    <w:p w14:paraId="44669BDE" w14:textId="77777777" w:rsidR="003F59E9" w:rsidRPr="00E364AB" w:rsidRDefault="003F59E9" w:rsidP="003F59E9">
      <w:pPr>
        <w:pStyle w:val="Heading2"/>
        <w:tabs>
          <w:tab w:val="left" w:pos="720"/>
        </w:tabs>
        <w:spacing w:line="257" w:lineRule="auto"/>
        <w:ind w:left="0" w:firstLine="0"/>
        <w:rPr>
          <w:lang w:val="en-GB"/>
        </w:rPr>
      </w:pPr>
      <w:bookmarkStart w:id="73" w:name="_Toc122626380"/>
      <w:bookmarkStart w:id="74" w:name="_Toc153894162"/>
      <w:r w:rsidRPr="00335228">
        <w:rPr>
          <w:lang w:val="en-GB"/>
        </w:rPr>
        <w:t>Rationale for research</w:t>
      </w:r>
      <w:bookmarkEnd w:id="73"/>
      <w:bookmarkEnd w:id="74"/>
      <w:r w:rsidRPr="00335228">
        <w:rPr>
          <w:lang w:val="en-GB"/>
        </w:rPr>
        <w:t xml:space="preserve"> </w:t>
      </w:r>
    </w:p>
    <w:p w14:paraId="2F766865" w14:textId="77777777" w:rsidR="003F59E9" w:rsidRDefault="003F59E9" w:rsidP="003F59E9">
      <w:pPr>
        <w:spacing w:line="360" w:lineRule="auto"/>
        <w:jc w:val="both"/>
        <w:rPr>
          <w:rFonts w:asciiTheme="minorBidi" w:hAnsiTheme="minorBidi"/>
          <w:sz w:val="24"/>
          <w:szCs w:val="24"/>
        </w:rPr>
      </w:pPr>
      <w:r w:rsidRPr="000338D9">
        <w:rPr>
          <w:rFonts w:asciiTheme="minorBidi" w:hAnsiTheme="minorBidi"/>
          <w:sz w:val="24"/>
          <w:szCs w:val="24"/>
        </w:rPr>
        <w:t xml:space="preserve">The most important factor which makes this topic important is the high prevalence of diabetes in SA and associated complications, and the extremely limited application of effective clinical pharmacy services for patients </w:t>
      </w:r>
      <w:r>
        <w:rPr>
          <w:rFonts w:asciiTheme="minorBidi" w:hAnsiTheme="minorBidi"/>
          <w:sz w:val="24"/>
          <w:szCs w:val="24"/>
        </w:rPr>
        <w:t xml:space="preserve">with diabetes </w:t>
      </w:r>
      <w:r w:rsidRPr="000338D9">
        <w:rPr>
          <w:rFonts w:asciiTheme="minorBidi" w:hAnsiTheme="minorBidi"/>
          <w:sz w:val="24"/>
          <w:szCs w:val="24"/>
        </w:rPr>
        <w:t xml:space="preserve">in this country. </w:t>
      </w:r>
    </w:p>
    <w:p w14:paraId="6C8FAEE0" w14:textId="77777777" w:rsidR="003F59E9" w:rsidRPr="00E9500A" w:rsidRDefault="003F59E9" w:rsidP="003F59E9">
      <w:pPr>
        <w:pStyle w:val="CommentText"/>
        <w:spacing w:line="360" w:lineRule="auto"/>
        <w:jc w:val="both"/>
        <w:rPr>
          <w:rFonts w:ascii="Arial" w:hAnsi="Arial" w:cs="Arial"/>
          <w:sz w:val="24"/>
          <w:szCs w:val="24"/>
        </w:rPr>
      </w:pPr>
      <w:r w:rsidRPr="004E0567">
        <w:rPr>
          <w:rFonts w:ascii="Arial" w:hAnsi="Arial" w:cs="Arial"/>
          <w:sz w:val="24"/>
          <w:szCs w:val="24"/>
        </w:rPr>
        <w:t xml:space="preserve">Many healthcare institutions globally and nationally have utilised pharmacists' expertise in diabetes management. However, pharmacist contributions to diabetes management are limited in the MoH of SA, particularly at PHCs. Despite the increasing health and economic burden of diabetes on the country, PHCs in SA are currently lacking pharmacists within their healthcare team. To address the lack of pharmacists' contributions to diabetes primary care management in PHCs affiliated with MoH, this research aimed to explore potential roles for pharmacists in diabetes management in PHCs as well as the potential impacts of adding pharmacists to the diabetes care team. </w:t>
      </w:r>
      <w:r w:rsidRPr="006B2FC7">
        <w:rPr>
          <w:rFonts w:ascii="Arial" w:hAnsi="Arial" w:cs="Arial"/>
          <w:sz w:val="24"/>
          <w:szCs w:val="24"/>
        </w:rPr>
        <w:t xml:space="preserve">It is also vital to investigate the facilitators that are required to expand the role of the pharmacist, as well as the barriers to this, and </w:t>
      </w:r>
      <w:r w:rsidRPr="000E2EBB">
        <w:rPr>
          <w:rFonts w:ascii="Arial" w:hAnsi="Arial" w:cs="Arial"/>
          <w:sz w:val="24"/>
          <w:szCs w:val="24"/>
        </w:rPr>
        <w:t>evaluate</w:t>
      </w:r>
      <w:r w:rsidRPr="006B2FC7">
        <w:rPr>
          <w:rFonts w:ascii="Arial" w:hAnsi="Arial" w:cs="Arial"/>
          <w:sz w:val="24"/>
          <w:szCs w:val="24"/>
        </w:rPr>
        <w:t xml:space="preserve"> whether adding pharmacists to the DM care team in </w:t>
      </w:r>
      <w:r>
        <w:rPr>
          <w:rFonts w:ascii="Arial" w:hAnsi="Arial" w:cs="Arial"/>
          <w:sz w:val="24"/>
          <w:szCs w:val="24"/>
        </w:rPr>
        <w:t>PHC</w:t>
      </w:r>
      <w:r w:rsidRPr="006B2FC7">
        <w:rPr>
          <w:rFonts w:ascii="Arial" w:hAnsi="Arial" w:cs="Arial"/>
          <w:sz w:val="24"/>
          <w:szCs w:val="24"/>
        </w:rPr>
        <w:t xml:space="preserve"> in SA would improve healthcare service</w:t>
      </w:r>
      <w:r>
        <w:rPr>
          <w:rFonts w:ascii="Arial" w:hAnsi="Arial" w:cs="Arial"/>
          <w:sz w:val="24"/>
          <w:szCs w:val="24"/>
        </w:rPr>
        <w:t xml:space="preserve">. </w:t>
      </w:r>
    </w:p>
    <w:p w14:paraId="5F34AC74" w14:textId="77777777" w:rsidR="003F59E9" w:rsidRPr="007C27DF" w:rsidRDefault="003F59E9" w:rsidP="003F59E9">
      <w:pPr>
        <w:spacing w:line="360" w:lineRule="auto"/>
        <w:jc w:val="both"/>
        <w:rPr>
          <w:rFonts w:ascii="Arial" w:hAnsi="Arial" w:cs="Arial"/>
          <w:sz w:val="24"/>
          <w:szCs w:val="24"/>
        </w:rPr>
      </w:pPr>
      <w:r w:rsidRPr="00D3773F">
        <w:rPr>
          <w:rFonts w:asciiTheme="minorBidi" w:hAnsiTheme="minorBidi"/>
          <w:sz w:val="24"/>
          <w:szCs w:val="24"/>
        </w:rPr>
        <w:t xml:space="preserve">The closure of pharmacies in PHCs by </w:t>
      </w:r>
      <w:r>
        <w:rPr>
          <w:rFonts w:asciiTheme="minorBidi" w:hAnsiTheme="minorBidi"/>
          <w:sz w:val="24"/>
          <w:szCs w:val="24"/>
        </w:rPr>
        <w:t xml:space="preserve">the </w:t>
      </w:r>
      <w:r w:rsidRPr="00D3773F">
        <w:rPr>
          <w:rFonts w:asciiTheme="minorBidi" w:hAnsiTheme="minorBidi"/>
          <w:sz w:val="24"/>
          <w:szCs w:val="24"/>
        </w:rPr>
        <w:t>M</w:t>
      </w:r>
      <w:r>
        <w:rPr>
          <w:rFonts w:asciiTheme="minorBidi" w:hAnsiTheme="minorBidi"/>
          <w:sz w:val="24"/>
          <w:szCs w:val="24"/>
        </w:rPr>
        <w:t>o</w:t>
      </w:r>
      <w:r w:rsidRPr="00D3773F">
        <w:rPr>
          <w:rFonts w:asciiTheme="minorBidi" w:hAnsiTheme="minorBidi"/>
          <w:sz w:val="24"/>
          <w:szCs w:val="24"/>
        </w:rPr>
        <w:t xml:space="preserve">H suggests that </w:t>
      </w:r>
      <w:r>
        <w:rPr>
          <w:rFonts w:asciiTheme="minorBidi" w:hAnsiTheme="minorBidi"/>
          <w:sz w:val="24"/>
          <w:szCs w:val="24"/>
        </w:rPr>
        <w:t xml:space="preserve">the </w:t>
      </w:r>
      <w:r w:rsidRPr="00D3773F">
        <w:rPr>
          <w:rFonts w:asciiTheme="minorBidi" w:hAnsiTheme="minorBidi"/>
          <w:sz w:val="24"/>
          <w:szCs w:val="24"/>
        </w:rPr>
        <w:t xml:space="preserve">underutilised resource of </w:t>
      </w:r>
      <w:r>
        <w:rPr>
          <w:rFonts w:asciiTheme="minorBidi" w:hAnsiTheme="minorBidi"/>
          <w:sz w:val="24"/>
          <w:szCs w:val="24"/>
        </w:rPr>
        <w:t>HCP</w:t>
      </w:r>
      <w:r w:rsidRPr="00D3773F">
        <w:rPr>
          <w:rFonts w:asciiTheme="minorBidi" w:hAnsiTheme="minorBidi"/>
          <w:sz w:val="24"/>
          <w:szCs w:val="24"/>
        </w:rPr>
        <w:t xml:space="preserve"> (pharmacists) in PHCs are available to undertake new roles. Pharmacists as medication therapy experts may have an important role in the diabetes management process as shown in the</w:t>
      </w:r>
      <w:r w:rsidRPr="00E82E5C">
        <w:rPr>
          <w:rFonts w:asciiTheme="minorBidi" w:hAnsiTheme="minorBidi"/>
          <w:sz w:val="24"/>
          <w:szCs w:val="24"/>
          <w:lang w:val="en-GB"/>
        </w:rPr>
        <w:t xml:space="preserve"> literature</w:t>
      </w:r>
      <w:r>
        <w:rPr>
          <w:rFonts w:asciiTheme="minorBidi" w:hAnsiTheme="minorBidi"/>
          <w:sz w:val="24"/>
          <w:szCs w:val="24"/>
          <w:lang w:val="en-GB"/>
        </w:rPr>
        <w:t xml:space="preserve">. </w:t>
      </w:r>
      <w:r w:rsidRPr="00E82E5C">
        <w:rPr>
          <w:rFonts w:asciiTheme="minorBidi" w:hAnsiTheme="minorBidi"/>
          <w:sz w:val="24"/>
          <w:szCs w:val="24"/>
        </w:rPr>
        <w:t xml:space="preserve">Positive experiences from involving pharmacists </w:t>
      </w:r>
      <w:r>
        <w:rPr>
          <w:rFonts w:asciiTheme="minorBidi" w:hAnsiTheme="minorBidi"/>
          <w:sz w:val="24"/>
          <w:szCs w:val="24"/>
        </w:rPr>
        <w:t>in</w:t>
      </w:r>
      <w:r w:rsidRPr="00E82E5C">
        <w:rPr>
          <w:rFonts w:asciiTheme="minorBidi" w:hAnsiTheme="minorBidi"/>
          <w:sz w:val="24"/>
          <w:szCs w:val="24"/>
        </w:rPr>
        <w:t xml:space="preserve"> diabetes care as revealed in the </w:t>
      </w:r>
      <w:r>
        <w:rPr>
          <w:rFonts w:asciiTheme="minorBidi" w:hAnsiTheme="minorBidi"/>
          <w:sz w:val="24"/>
          <w:szCs w:val="24"/>
        </w:rPr>
        <w:t>review</w:t>
      </w:r>
      <w:r w:rsidRPr="00E82E5C">
        <w:rPr>
          <w:rFonts w:asciiTheme="minorBidi" w:hAnsiTheme="minorBidi"/>
          <w:sz w:val="24"/>
          <w:szCs w:val="24"/>
        </w:rPr>
        <w:t xml:space="preserve"> also support this research. </w:t>
      </w:r>
      <w:r>
        <w:rPr>
          <w:rFonts w:asciiTheme="minorBidi" w:hAnsiTheme="minorBidi"/>
          <w:sz w:val="24"/>
          <w:szCs w:val="24"/>
        </w:rPr>
        <w:t>This</w:t>
      </w:r>
      <w:r w:rsidRPr="00E82E5C">
        <w:rPr>
          <w:rFonts w:asciiTheme="minorBidi" w:hAnsiTheme="minorBidi"/>
          <w:sz w:val="24"/>
          <w:szCs w:val="24"/>
        </w:rPr>
        <w:t xml:space="preserve"> would align SA more with pharmacist roles in other, particularly developed countries.</w:t>
      </w:r>
    </w:p>
    <w:p w14:paraId="02C8B955" w14:textId="77777777" w:rsidR="003F59E9" w:rsidRDefault="003F59E9" w:rsidP="003F59E9">
      <w:pPr>
        <w:spacing w:line="360" w:lineRule="auto"/>
        <w:jc w:val="both"/>
        <w:rPr>
          <w:rFonts w:ascii="Arial" w:hAnsi="Arial" w:cs="Arial"/>
          <w:sz w:val="24"/>
          <w:szCs w:val="24"/>
        </w:rPr>
      </w:pPr>
      <w:r>
        <w:rPr>
          <w:rFonts w:asciiTheme="minorBidi" w:hAnsiTheme="minorBidi"/>
          <w:sz w:val="24"/>
          <w:szCs w:val="24"/>
        </w:rPr>
        <w:t xml:space="preserve">Due to </w:t>
      </w:r>
      <w:r>
        <w:rPr>
          <w:rFonts w:ascii="Arial" w:hAnsi="Arial" w:cs="Arial"/>
          <w:sz w:val="24"/>
          <w:szCs w:val="24"/>
        </w:rPr>
        <w:t>s</w:t>
      </w:r>
      <w:r w:rsidRPr="006B2FC7">
        <w:rPr>
          <w:rFonts w:ascii="Arial" w:hAnsi="Arial" w:cs="Arial"/>
          <w:sz w:val="24"/>
          <w:szCs w:val="24"/>
        </w:rPr>
        <w:t>hortages in the pharmacy workforce in PHCs in SA</w:t>
      </w:r>
      <w:r>
        <w:rPr>
          <w:rFonts w:ascii="Arial" w:hAnsi="Arial" w:cs="Arial"/>
          <w:sz w:val="24"/>
          <w:szCs w:val="24"/>
        </w:rPr>
        <w:t>,</w:t>
      </w:r>
      <w:r w:rsidRPr="006B2FC7">
        <w:rPr>
          <w:rFonts w:ascii="Arial" w:hAnsi="Arial" w:cs="Arial"/>
          <w:sz w:val="24"/>
          <w:szCs w:val="24"/>
        </w:rPr>
        <w:t xml:space="preserve"> as shown in the review</w:t>
      </w:r>
      <w:r>
        <w:rPr>
          <w:rFonts w:ascii="Arial" w:hAnsi="Arial" w:cs="Arial"/>
          <w:sz w:val="24"/>
          <w:szCs w:val="24"/>
        </w:rPr>
        <w:t xml:space="preserve">, a pharmacist </w:t>
      </w:r>
      <w:r w:rsidRPr="006B2FC7">
        <w:rPr>
          <w:rFonts w:ascii="Arial" w:hAnsi="Arial" w:cs="Arial"/>
          <w:sz w:val="24"/>
          <w:szCs w:val="24"/>
        </w:rPr>
        <w:t xml:space="preserve">may be overwhelmed by </w:t>
      </w:r>
      <w:r>
        <w:rPr>
          <w:rFonts w:ascii="Arial" w:hAnsi="Arial" w:cs="Arial"/>
          <w:sz w:val="24"/>
          <w:szCs w:val="24"/>
        </w:rPr>
        <w:t xml:space="preserve">delivering </w:t>
      </w:r>
      <w:r w:rsidRPr="006B2FC7">
        <w:rPr>
          <w:rFonts w:ascii="Arial" w:hAnsi="Arial" w:cs="Arial"/>
          <w:sz w:val="24"/>
          <w:szCs w:val="24"/>
        </w:rPr>
        <w:t>all the pharmacy</w:t>
      </w:r>
      <w:r>
        <w:rPr>
          <w:rFonts w:ascii="Arial" w:hAnsi="Arial" w:cs="Arial"/>
          <w:sz w:val="24"/>
          <w:szCs w:val="24"/>
        </w:rPr>
        <w:t>’s</w:t>
      </w:r>
      <w:r w:rsidRPr="006B2FC7">
        <w:rPr>
          <w:rFonts w:ascii="Arial" w:hAnsi="Arial" w:cs="Arial"/>
          <w:sz w:val="24"/>
          <w:szCs w:val="24"/>
        </w:rPr>
        <w:t xml:space="preserve"> duties</w:t>
      </w:r>
      <w:r>
        <w:rPr>
          <w:rFonts w:ascii="Arial" w:hAnsi="Arial" w:cs="Arial"/>
          <w:sz w:val="24"/>
          <w:szCs w:val="24"/>
        </w:rPr>
        <w:t>:</w:t>
      </w:r>
      <w:r w:rsidRPr="006B2FC7">
        <w:rPr>
          <w:rFonts w:ascii="Arial" w:hAnsi="Arial" w:cs="Arial"/>
          <w:sz w:val="24"/>
          <w:szCs w:val="24"/>
        </w:rPr>
        <w:t xml:space="preserve"> from</w:t>
      </w:r>
      <w:r>
        <w:rPr>
          <w:rFonts w:ascii="Arial" w:hAnsi="Arial" w:cs="Arial"/>
          <w:sz w:val="24"/>
          <w:szCs w:val="24"/>
        </w:rPr>
        <w:t xml:space="preserve"> </w:t>
      </w:r>
      <w:r w:rsidRPr="006D19EF">
        <w:rPr>
          <w:rFonts w:ascii="Arial" w:hAnsi="Arial" w:cs="Arial"/>
          <w:sz w:val="24"/>
          <w:szCs w:val="24"/>
        </w:rPr>
        <w:t xml:space="preserve">performing </w:t>
      </w:r>
      <w:r w:rsidRPr="00595533">
        <w:rPr>
          <w:rFonts w:ascii="Arial" w:hAnsi="Arial" w:cs="Arial"/>
          <w:sz w:val="24"/>
          <w:szCs w:val="24"/>
        </w:rPr>
        <w:t xml:space="preserve">administrative, technical and professional tasks </w:t>
      </w:r>
      <w:r>
        <w:rPr>
          <w:rFonts w:ascii="Arial" w:hAnsi="Arial" w:cs="Arial"/>
          <w:sz w:val="24"/>
          <w:szCs w:val="24"/>
        </w:rPr>
        <w:t>such as</w:t>
      </w:r>
      <w:r w:rsidRPr="006B2FC7">
        <w:rPr>
          <w:rFonts w:ascii="Arial" w:hAnsi="Arial" w:cs="Arial"/>
          <w:sz w:val="24"/>
          <w:szCs w:val="24"/>
        </w:rPr>
        <w:t xml:space="preserve"> the management of medication storage and supplies medication, dispensing, medication inspection, reporting monthly/quarterly/and annually statistics of dispensing medications, provision of drug information to </w:t>
      </w:r>
      <w:r>
        <w:rPr>
          <w:rFonts w:ascii="Arial" w:hAnsi="Arial" w:cs="Arial"/>
          <w:sz w:val="24"/>
          <w:szCs w:val="24"/>
        </w:rPr>
        <w:t>HCPs</w:t>
      </w:r>
      <w:r w:rsidRPr="006B2FC7">
        <w:rPr>
          <w:rFonts w:ascii="Arial" w:hAnsi="Arial" w:cs="Arial"/>
          <w:sz w:val="24"/>
          <w:szCs w:val="24"/>
        </w:rPr>
        <w:t xml:space="preserve"> and patients. This burden of tasks could limit </w:t>
      </w:r>
      <w:r>
        <w:rPr>
          <w:rFonts w:ascii="Arial" w:hAnsi="Arial" w:cs="Arial"/>
          <w:sz w:val="24"/>
          <w:szCs w:val="24"/>
        </w:rPr>
        <w:t xml:space="preserve">the </w:t>
      </w:r>
      <w:r w:rsidRPr="006B2FC7">
        <w:rPr>
          <w:rFonts w:ascii="Arial" w:hAnsi="Arial" w:cs="Arial"/>
          <w:sz w:val="24"/>
          <w:szCs w:val="24"/>
        </w:rPr>
        <w:t xml:space="preserve">pharmacist’s contribution to diabetes care and providing more clinical intervention </w:t>
      </w:r>
      <w:r>
        <w:rPr>
          <w:rFonts w:ascii="Arial" w:hAnsi="Arial" w:cs="Arial"/>
          <w:sz w:val="24"/>
          <w:szCs w:val="24"/>
        </w:rPr>
        <w:t>for</w:t>
      </w:r>
      <w:r w:rsidRPr="006B2FC7">
        <w:rPr>
          <w:rFonts w:ascii="Arial" w:hAnsi="Arial" w:cs="Arial"/>
          <w:sz w:val="24"/>
          <w:szCs w:val="24"/>
        </w:rPr>
        <w:t xml:space="preserve"> diabetes patients.</w:t>
      </w:r>
      <w:r>
        <w:rPr>
          <w:rFonts w:ascii="Arial" w:hAnsi="Arial" w:cs="Arial"/>
          <w:sz w:val="24"/>
          <w:szCs w:val="24"/>
        </w:rPr>
        <w:t xml:space="preserve"> </w:t>
      </w:r>
      <w:r w:rsidRPr="006B2FC7">
        <w:rPr>
          <w:rFonts w:ascii="Arial" w:hAnsi="Arial" w:cs="Arial"/>
          <w:sz w:val="24"/>
          <w:szCs w:val="24"/>
        </w:rPr>
        <w:t>The closure of supplying medications and dispensing services from PHCs could give primary care pharmacists the opportunity to play more clinical roles and provide pharmaceutical care, with a comprehensive therapy management plan to a diabetes patient</w:t>
      </w:r>
      <w:r>
        <w:rPr>
          <w:rFonts w:ascii="Arial" w:hAnsi="Arial" w:cs="Arial"/>
          <w:sz w:val="24"/>
          <w:szCs w:val="24"/>
        </w:rPr>
        <w:t xml:space="preserve">. </w:t>
      </w:r>
    </w:p>
    <w:p w14:paraId="697AA786" w14:textId="77777777" w:rsidR="003F59E9" w:rsidRDefault="003F59E9" w:rsidP="003F59E9">
      <w:pPr>
        <w:spacing w:line="360" w:lineRule="auto"/>
        <w:jc w:val="both"/>
        <w:rPr>
          <w:rFonts w:ascii="Arial" w:hAnsi="Arial" w:cs="Arial"/>
          <w:sz w:val="24"/>
          <w:szCs w:val="24"/>
        </w:rPr>
      </w:pPr>
      <w:r>
        <w:rPr>
          <w:rFonts w:ascii="Arial" w:hAnsi="Arial" w:cs="Arial"/>
          <w:sz w:val="24"/>
          <w:szCs w:val="24"/>
        </w:rPr>
        <w:t>Shifting</w:t>
      </w:r>
      <w:r w:rsidRPr="00845AF7">
        <w:rPr>
          <w:rFonts w:ascii="Arial" w:hAnsi="Arial" w:cs="Arial"/>
          <w:sz w:val="24"/>
          <w:szCs w:val="24"/>
          <w:lang w:val="en-GB"/>
        </w:rPr>
        <w:t xml:space="preserve"> the pharmaceutical services in the PHCs in SA from dispensing services to non-dispensing services is a significant contributory factor in the strategic transformation plan of </w:t>
      </w:r>
      <w:r>
        <w:rPr>
          <w:rFonts w:ascii="Arial" w:hAnsi="Arial" w:cs="Arial"/>
          <w:sz w:val="24"/>
          <w:szCs w:val="24"/>
          <w:lang w:val="en-GB"/>
        </w:rPr>
        <w:t xml:space="preserve">the </w:t>
      </w:r>
      <w:r w:rsidRPr="00845AF7">
        <w:rPr>
          <w:rFonts w:ascii="Arial" w:hAnsi="Arial" w:cs="Arial"/>
          <w:sz w:val="24"/>
          <w:szCs w:val="24"/>
          <w:lang w:val="en-GB"/>
        </w:rPr>
        <w:t>Saudi M</w:t>
      </w:r>
      <w:r>
        <w:rPr>
          <w:rFonts w:ascii="Arial" w:hAnsi="Arial" w:cs="Arial"/>
          <w:sz w:val="24"/>
          <w:szCs w:val="24"/>
          <w:lang w:val="en-GB"/>
        </w:rPr>
        <w:t>o</w:t>
      </w:r>
      <w:r w:rsidRPr="00845AF7">
        <w:rPr>
          <w:rFonts w:ascii="Arial" w:hAnsi="Arial" w:cs="Arial"/>
          <w:sz w:val="24"/>
          <w:szCs w:val="24"/>
          <w:lang w:val="en-GB"/>
        </w:rPr>
        <w:t>H</w:t>
      </w:r>
      <w:r>
        <w:rPr>
          <w:rFonts w:ascii="Arial" w:hAnsi="Arial" w:cs="Arial"/>
          <w:sz w:val="24"/>
          <w:szCs w:val="24"/>
          <w:lang w:val="en-GB"/>
        </w:rPr>
        <w:t xml:space="preserve">, with the recognition that the clinical role of pharmacists is important to achieve the MoH </w:t>
      </w:r>
      <w:r w:rsidRPr="006B2FC7">
        <w:rPr>
          <w:rFonts w:ascii="Arial" w:hAnsi="Arial" w:cs="Arial"/>
          <w:sz w:val="24"/>
          <w:szCs w:val="24"/>
        </w:rPr>
        <w:t xml:space="preserve">transformation strategy, particularly within </w:t>
      </w:r>
      <w:r>
        <w:rPr>
          <w:rFonts w:ascii="Arial" w:hAnsi="Arial" w:cs="Arial"/>
          <w:sz w:val="24"/>
          <w:szCs w:val="24"/>
        </w:rPr>
        <w:t xml:space="preserve">PHC </w:t>
      </w:r>
      <w:r>
        <w:rPr>
          <w:rFonts w:ascii="Arial" w:hAnsi="Arial" w:cs="Arial"/>
          <w:iCs/>
          <w:sz w:val="24"/>
          <w:szCs w:val="24"/>
          <w:shd w:val="clear" w:color="auto" w:fill="FFFFFF"/>
          <w:lang w:val="en-GB"/>
        </w:rPr>
        <w:t>(</w:t>
      </w:r>
      <w:r w:rsidRPr="00845AF7">
        <w:rPr>
          <w:rFonts w:ascii="Arial" w:hAnsi="Arial" w:cs="Arial"/>
          <w:sz w:val="24"/>
          <w:szCs w:val="24"/>
          <w:lang w:val="en-GB"/>
        </w:rPr>
        <w:t>Alomi</w:t>
      </w:r>
      <w:r>
        <w:rPr>
          <w:rFonts w:ascii="Arial" w:hAnsi="Arial" w:cs="Arial"/>
          <w:sz w:val="24"/>
          <w:szCs w:val="24"/>
          <w:lang w:val="en-GB"/>
        </w:rPr>
        <w:t xml:space="preserve">, </w:t>
      </w:r>
      <w:r w:rsidRPr="00845AF7">
        <w:rPr>
          <w:rFonts w:ascii="Arial" w:hAnsi="Arial" w:cs="Arial"/>
          <w:sz w:val="24"/>
          <w:szCs w:val="24"/>
          <w:lang w:val="en-GB"/>
        </w:rPr>
        <w:t>2017)</w:t>
      </w:r>
      <w:r w:rsidRPr="00BF12B2">
        <w:rPr>
          <w:rFonts w:ascii="Arial" w:hAnsi="Arial" w:cs="Arial"/>
          <w:iCs/>
          <w:sz w:val="24"/>
          <w:szCs w:val="24"/>
          <w:lang w:val="en-GB"/>
        </w:rPr>
        <w:t>.</w:t>
      </w:r>
      <w:r w:rsidRPr="006B2FC7">
        <w:rPr>
          <w:rFonts w:ascii="Arial" w:hAnsi="Arial" w:cs="Arial"/>
          <w:sz w:val="24"/>
          <w:szCs w:val="24"/>
        </w:rPr>
        <w:t xml:space="preserve"> </w:t>
      </w:r>
    </w:p>
    <w:p w14:paraId="2179C1FC" w14:textId="77777777" w:rsidR="003F59E9" w:rsidRPr="00E87B79" w:rsidRDefault="003F59E9" w:rsidP="003F59E9">
      <w:pPr>
        <w:spacing w:line="360" w:lineRule="auto"/>
        <w:jc w:val="both"/>
        <w:rPr>
          <w:rFonts w:ascii="Arial" w:hAnsi="Arial" w:cs="Arial"/>
          <w:sz w:val="24"/>
          <w:szCs w:val="24"/>
          <w:lang w:val="en-GB"/>
        </w:rPr>
      </w:pPr>
      <w:r w:rsidRPr="00FB3DDC">
        <w:rPr>
          <w:rFonts w:ascii="Arial" w:hAnsi="Arial" w:cs="Arial"/>
          <w:sz w:val="24"/>
          <w:szCs w:val="24"/>
          <w:lang w:val="en-GB"/>
        </w:rPr>
        <w:t xml:space="preserve">The importance of the clinical role of pharmacists in providing comprehensive pharmaceutical care to patients in general and diabetes patients in particular has been noted by Saudi researchers (Makeen and Alomi, 2017; Alshaya </w:t>
      </w:r>
      <w:r w:rsidRPr="00FB0223">
        <w:rPr>
          <w:rFonts w:ascii="Arial" w:hAnsi="Arial" w:cs="Arial"/>
          <w:i/>
          <w:iCs/>
          <w:sz w:val="24"/>
          <w:szCs w:val="24"/>
          <w:lang w:val="en-GB"/>
        </w:rPr>
        <w:t>et al.</w:t>
      </w:r>
      <w:r w:rsidRPr="00FB3DDC">
        <w:rPr>
          <w:rFonts w:ascii="Arial" w:hAnsi="Arial" w:cs="Arial"/>
          <w:sz w:val="24"/>
          <w:szCs w:val="24"/>
          <w:lang w:val="en-GB"/>
        </w:rPr>
        <w:t xml:space="preserve"> 2021).' This is because, DM is now a medical and national priority due to the rise in the number of cases. Therefore, exploring an additional HCP </w:t>
      </w:r>
      <w:r>
        <w:rPr>
          <w:rFonts w:ascii="Arial" w:hAnsi="Arial" w:cs="Arial"/>
          <w:sz w:val="24"/>
          <w:szCs w:val="24"/>
          <w:lang w:val="en-GB"/>
        </w:rPr>
        <w:t>such as</w:t>
      </w:r>
      <w:r w:rsidRPr="00FB3DDC">
        <w:rPr>
          <w:rFonts w:ascii="Arial" w:hAnsi="Arial" w:cs="Arial"/>
          <w:sz w:val="24"/>
          <w:szCs w:val="24"/>
          <w:lang w:val="en-GB"/>
        </w:rPr>
        <w:t xml:space="preserve"> a pharmacist to be involved in the diabetes care management team is currently warranted. </w:t>
      </w:r>
    </w:p>
    <w:p w14:paraId="5713A627" w14:textId="77777777" w:rsidR="003F59E9" w:rsidRDefault="003F59E9" w:rsidP="003F59E9">
      <w:pPr>
        <w:spacing w:line="360" w:lineRule="auto"/>
        <w:jc w:val="both"/>
        <w:rPr>
          <w:rFonts w:asciiTheme="minorBidi" w:hAnsiTheme="minorBidi"/>
          <w:sz w:val="24"/>
          <w:szCs w:val="24"/>
        </w:rPr>
      </w:pPr>
      <w:r w:rsidRPr="00932188">
        <w:rPr>
          <w:rFonts w:asciiTheme="minorBidi" w:hAnsiTheme="minorBidi"/>
          <w:sz w:val="24"/>
          <w:szCs w:val="24"/>
        </w:rPr>
        <w:t xml:space="preserve">This research is also in line with the mission of the General Administration of Pharmaceutical Care of the Saudi MoH; this aims to collaborate </w:t>
      </w:r>
      <w:r w:rsidRPr="009B0F34">
        <w:rPr>
          <w:rFonts w:asciiTheme="minorBidi" w:hAnsiTheme="minorBidi"/>
          <w:sz w:val="24"/>
          <w:szCs w:val="24"/>
        </w:rPr>
        <w:t xml:space="preserve">with </w:t>
      </w:r>
      <w:r>
        <w:rPr>
          <w:rFonts w:asciiTheme="minorBidi" w:hAnsiTheme="minorBidi"/>
          <w:sz w:val="24"/>
          <w:szCs w:val="24"/>
        </w:rPr>
        <w:t>HCPs</w:t>
      </w:r>
      <w:r w:rsidRPr="009B0F34">
        <w:rPr>
          <w:rFonts w:asciiTheme="minorBidi" w:hAnsiTheme="minorBidi"/>
          <w:sz w:val="24"/>
          <w:szCs w:val="24"/>
        </w:rPr>
        <w:t xml:space="preserve"> to provide effective and efficient patient care</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{"citationItems":[{"id":"ITEM-1","itemData":{"DOI":"10.24218/vjpps.2015.11","abstract":"General Administration of Pharmaceutical Care at Ministry of Health (GAPC-MOH) in Saudi Arabia is responsible of implementing pharmaceutical care and related issues to all pharmaceutical care services of health care setting. General administration of pharmaceutical care established updated strategic plan after reviewing several strategic plans of national and international pharmaceutical organizations. The Strategic plan contains 5 general strategies, 15 initiatives, and 83 projects. The plan should follow up by assessment elements measures to reach successful results, its including but not limited general pharmacy services assessment, medication safety assessment, and patient satisfaction of pharmacy services, pharmacist competency, and pharmacist job satisfaction. The strategic plan for governmental pharmaceutical administrations is pathway map for all health care providers with emphasis on pharmacists, clinical pharmacists and pharmacy administrators. It is needed to implement pharmaceutical care in organized and long term method, to improve patient's outcome, and avoiding unnecessary cost in Kingdom of Saudi Arabia.","author":[{"dropping-particle":"","family":"Alomi","given":"Yousef","non-dropping-particle":"","parse-names":false,"suffix":""}],"container-title":"Journal of Pharma &amp; Pharmaceutical Sciences","id":"ITEM-1","issue":"3","issued":{"date-parts":[["2015"]]},"page":"1-8","title":"Strategic Plan of General Administration of Pharmaceutical Care at Ministry of Health in Saudi Arabia 2012 – 2022","type":"article-journal","volume":"1"},"uris":["http://www.mendeley.com/documents/?uuid=ee0f87e8-7c64-4136-ab58-25f038989a16"]}],"mendeley":{"formattedCitation":"(Alomi, 2015)","plainTextFormattedCitation":"(Alomi, 2015)","previouslyFormattedCitation":"(Alomi, 2015)"},"properties":{"noteIndex":0},"schema":"https://github.com/citation-style-language/schema/raw/master/csl-citation.json"}</w:instrText>
      </w:r>
      <w:r>
        <w:rPr>
          <w:rFonts w:asciiTheme="minorBidi" w:hAnsiTheme="minorBidi"/>
          <w:sz w:val="24"/>
          <w:szCs w:val="24"/>
        </w:rPr>
        <w:fldChar w:fldCharType="separate"/>
      </w:r>
      <w:r w:rsidRPr="00BA5A70">
        <w:rPr>
          <w:rFonts w:asciiTheme="minorBidi" w:hAnsiTheme="minorBidi"/>
          <w:noProof/>
          <w:sz w:val="24"/>
          <w:szCs w:val="24"/>
        </w:rPr>
        <w:t>(Alomi, 2015)</w:t>
      </w:r>
      <w:r>
        <w:rPr>
          <w:rFonts w:asciiTheme="minorBidi" w:hAnsiTheme="minorBidi"/>
          <w:sz w:val="24"/>
          <w:szCs w:val="24"/>
        </w:rPr>
        <w:fldChar w:fldCharType="end"/>
      </w:r>
    </w:p>
    <w:p w14:paraId="27DA1C8E" w14:textId="77777777" w:rsidR="003F59E9" w:rsidRDefault="003F59E9" w:rsidP="003F59E9">
      <w:pPr>
        <w:pStyle w:val="CommentText"/>
        <w:spacing w:line="360" w:lineRule="auto"/>
        <w:jc w:val="both"/>
        <w:rPr>
          <w:rFonts w:ascii="Arial" w:hAnsi="Arial" w:cs="Arial"/>
          <w:sz w:val="24"/>
          <w:szCs w:val="24"/>
        </w:rPr>
      </w:pPr>
      <w:r>
        <w:rPr>
          <w:rFonts w:ascii="Arial" w:hAnsi="Arial" w:cs="Arial"/>
          <w:sz w:val="24"/>
          <w:szCs w:val="24"/>
        </w:rPr>
        <w:t>Finally, i</w:t>
      </w:r>
      <w:r w:rsidRPr="005B6146">
        <w:rPr>
          <w:rFonts w:ascii="Arial" w:hAnsi="Arial" w:cs="Arial"/>
          <w:sz w:val="24"/>
          <w:szCs w:val="24"/>
        </w:rPr>
        <w:t xml:space="preserve">n the research world, it is good practice to explore stakeholders' views before proposing any new project as intended by this research, </w:t>
      </w:r>
      <w:r>
        <w:rPr>
          <w:rFonts w:ascii="Arial" w:hAnsi="Arial" w:cs="Arial"/>
          <w:sz w:val="24"/>
          <w:szCs w:val="24"/>
        </w:rPr>
        <w:t>‘</w:t>
      </w:r>
      <w:r w:rsidRPr="005B6146">
        <w:rPr>
          <w:rFonts w:ascii="Arial" w:hAnsi="Arial" w:cs="Arial"/>
          <w:sz w:val="24"/>
          <w:szCs w:val="24"/>
        </w:rPr>
        <w:t>Adding pharmacists to the diabetes care team</w:t>
      </w:r>
      <w:r>
        <w:rPr>
          <w:rFonts w:ascii="Arial" w:hAnsi="Arial" w:cs="Arial"/>
          <w:sz w:val="24"/>
          <w:szCs w:val="24"/>
        </w:rPr>
        <w:t>’.</w:t>
      </w:r>
      <w:r w:rsidRPr="005B6146">
        <w:rPr>
          <w:rFonts w:ascii="Arial" w:hAnsi="Arial" w:cs="Arial"/>
          <w:sz w:val="24"/>
          <w:szCs w:val="24"/>
        </w:rPr>
        <w:t xml:space="preserve"> Involvement of stakeholders </w:t>
      </w:r>
      <w:r>
        <w:rPr>
          <w:rFonts w:ascii="Arial" w:hAnsi="Arial" w:cs="Arial"/>
          <w:sz w:val="24"/>
          <w:szCs w:val="24"/>
        </w:rPr>
        <w:t xml:space="preserve">from different levels </w:t>
      </w:r>
      <w:r w:rsidRPr="005B6146">
        <w:rPr>
          <w:rFonts w:ascii="Arial" w:hAnsi="Arial" w:cs="Arial"/>
          <w:sz w:val="24"/>
          <w:szCs w:val="24"/>
        </w:rPr>
        <w:t>in real practice is a crucial factor for any success in healthcare transformation</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{"citationItems":[{"id":"ITEM-1","itemData":{"DOI":"10.1186/s13012-017-0625-5","author":[{"dropping-particle":"","family":"Norris","given":"Jill M","non-dropping-particle":"","parse-names":false,"suffix":""},{"dropping-particle":"","family":"White","given":"Deborah E","non-dropping-particle":"","parse-names":false,"suffix":""},{"dropping-particle":"","family":"Nowell","given":"Lorelli","non-dropping-particle":"","parse-names":false,"suffix":""},{"dropping-particle":"","family":"Mrklas","given":"Kelly","non-dropping-particle":"","parse-names":false,"suffix":""},{"dropping-particle":"","family":"Stelfox","given":"Henry T","non-dropping-particle":"","parse-names":false,"suffix":""}],"id":"ITEM-1","issued":{"date-parts":[["2017"]]},"page":"1-13","publisher":"Implementation Science","title":"How do stakeholders from multiple hierarchical levels of a large provincial health system define engagement ? A qualitative study","type":"article-journal"},"uris":["http://www.mendeley.com/documents/?uuid=bd6bbfb1-28b0-450b-b033-fb38f8909bf3"]}],"mendeley":{"formattedCitation":"(Norris &lt;i&gt;et al.&lt;/i&gt;, 2017)","plainTextFormattedCitation":"(Norris et al., 2017)","previouslyFormattedCitation":"(Norris &lt;i&gt;et al.&lt;/i&gt;, 2017)"},"properties":{"noteIndex":0},"schema":"https://github.com/citation-style-language/schema/raw/master/csl-citation.json"}</w:instrText>
      </w:r>
      <w:r>
        <w:rPr>
          <w:rFonts w:ascii="Arial" w:hAnsi="Arial" w:cs="Arial"/>
          <w:sz w:val="24"/>
          <w:szCs w:val="24"/>
        </w:rPr>
        <w:fldChar w:fldCharType="separate"/>
      </w:r>
      <w:r w:rsidRPr="001D60DA">
        <w:rPr>
          <w:rFonts w:ascii="Arial" w:hAnsi="Arial" w:cs="Arial"/>
          <w:noProof/>
          <w:sz w:val="24"/>
          <w:szCs w:val="24"/>
        </w:rPr>
        <w:t xml:space="preserve">(Norris </w:t>
      </w:r>
      <w:r w:rsidRPr="001D60DA">
        <w:rPr>
          <w:rFonts w:ascii="Arial" w:hAnsi="Arial" w:cs="Arial"/>
          <w:i/>
          <w:noProof/>
          <w:sz w:val="24"/>
          <w:szCs w:val="24"/>
        </w:rPr>
        <w:t>et al.</w:t>
      </w:r>
      <w:r w:rsidRPr="001D60DA">
        <w:rPr>
          <w:rFonts w:ascii="Arial" w:hAnsi="Arial" w:cs="Arial"/>
          <w:noProof/>
          <w:sz w:val="24"/>
          <w:szCs w:val="24"/>
        </w:rPr>
        <w:t>, 2017)</w:t>
      </w:r>
      <w:r>
        <w:rPr>
          <w:rFonts w:ascii="Arial" w:hAnsi="Arial" w:cs="Arial"/>
          <w:sz w:val="24"/>
          <w:szCs w:val="24"/>
        </w:rPr>
        <w:fldChar w:fldCharType="end"/>
      </w:r>
      <w:r>
        <w:rPr>
          <w:rFonts w:ascii="Arial" w:hAnsi="Arial" w:cs="Arial"/>
          <w:sz w:val="24"/>
          <w:szCs w:val="24"/>
        </w:rPr>
        <w:t xml:space="preserve">. </w:t>
      </w:r>
      <w:r w:rsidRPr="006B2FC7">
        <w:rPr>
          <w:rFonts w:ascii="Arial" w:hAnsi="Arial" w:cs="Arial"/>
          <w:sz w:val="24"/>
          <w:szCs w:val="24"/>
        </w:rPr>
        <w:t xml:space="preserve">Therefore, it is important to explore </w:t>
      </w:r>
      <w:r>
        <w:rPr>
          <w:rFonts w:ascii="Arial" w:hAnsi="Arial" w:cs="Arial"/>
          <w:sz w:val="24"/>
          <w:szCs w:val="24"/>
        </w:rPr>
        <w:t>stakeholders</w:t>
      </w:r>
      <w:r w:rsidRPr="006B2FC7">
        <w:rPr>
          <w:rFonts w:ascii="Arial" w:hAnsi="Arial" w:cs="Arial"/>
          <w:sz w:val="24"/>
          <w:szCs w:val="24"/>
        </w:rPr>
        <w:t xml:space="preserve">’ views and perceptions of the involvement of pharmacists in </w:t>
      </w:r>
      <w:r w:rsidRPr="005B6146">
        <w:rPr>
          <w:rFonts w:ascii="Arial" w:hAnsi="Arial" w:cs="Arial"/>
          <w:sz w:val="24"/>
          <w:szCs w:val="24"/>
        </w:rPr>
        <w:t xml:space="preserve">diabetes </w:t>
      </w:r>
      <w:r w:rsidRPr="006B2FC7">
        <w:rPr>
          <w:rFonts w:ascii="Arial" w:hAnsi="Arial" w:cs="Arial"/>
          <w:sz w:val="24"/>
          <w:szCs w:val="24"/>
        </w:rPr>
        <w:t>care teams.</w:t>
      </w:r>
      <w:r>
        <w:rPr>
          <w:rFonts w:ascii="Arial" w:hAnsi="Arial" w:cs="Arial"/>
          <w:color w:val="4472C4" w:themeColor="accent1"/>
          <w:sz w:val="24"/>
          <w:szCs w:val="24"/>
        </w:rPr>
        <w:t xml:space="preserve"> </w:t>
      </w:r>
    </w:p>
    <w:p w14:paraId="75864D1F" w14:textId="77777777" w:rsidR="003F59E9" w:rsidRPr="006B2FC7" w:rsidRDefault="003F59E9" w:rsidP="003F59E9">
      <w:pPr>
        <w:pStyle w:val="CommentText"/>
        <w:spacing w:line="360" w:lineRule="auto"/>
        <w:jc w:val="both"/>
        <w:rPr>
          <w:rFonts w:ascii="Arial" w:hAnsi="Arial" w:cs="Arial"/>
          <w:sz w:val="24"/>
          <w:szCs w:val="24"/>
        </w:rPr>
      </w:pPr>
      <w:r w:rsidRPr="009B11CD">
        <w:rPr>
          <w:rFonts w:asciiTheme="minorBidi" w:hAnsiTheme="minorBidi"/>
          <w:sz w:val="24"/>
          <w:szCs w:val="24"/>
          <w:lang w:val="en-GB"/>
        </w:rPr>
        <w:t xml:space="preserve">However, this research </w:t>
      </w:r>
      <w:r w:rsidRPr="009B11CD">
        <w:rPr>
          <w:rFonts w:asciiTheme="minorBidi" w:hAnsiTheme="minorBidi"/>
          <w:sz w:val="24"/>
          <w:szCs w:val="24"/>
        </w:rPr>
        <w:t>include</w:t>
      </w:r>
      <w:r>
        <w:rPr>
          <w:rFonts w:asciiTheme="minorBidi" w:hAnsiTheme="minorBidi"/>
          <w:sz w:val="24"/>
          <w:szCs w:val="24"/>
        </w:rPr>
        <w:t>s</w:t>
      </w:r>
      <w:r w:rsidRPr="009B11CD">
        <w:rPr>
          <w:rFonts w:asciiTheme="minorBidi" w:hAnsiTheme="minorBidi"/>
          <w:sz w:val="24"/>
          <w:szCs w:val="24"/>
        </w:rPr>
        <w:t xml:space="preserve"> </w:t>
      </w:r>
      <w:r>
        <w:rPr>
          <w:rFonts w:asciiTheme="minorBidi" w:hAnsiTheme="minorBidi"/>
          <w:sz w:val="24"/>
          <w:szCs w:val="24"/>
        </w:rPr>
        <w:t>only HCPs</w:t>
      </w:r>
      <w:r w:rsidRPr="009B11CD">
        <w:rPr>
          <w:rFonts w:asciiTheme="minorBidi" w:hAnsiTheme="minorBidi"/>
          <w:sz w:val="24"/>
          <w:szCs w:val="24"/>
        </w:rPr>
        <w:t xml:space="preserve"> (doctors, pharmacists, and nurses) with the</w:t>
      </w:r>
      <w:r>
        <w:rPr>
          <w:rFonts w:asciiTheme="minorBidi" w:hAnsiTheme="minorBidi"/>
          <w:sz w:val="24"/>
          <w:szCs w:val="24"/>
        </w:rPr>
        <w:t xml:space="preserve"> </w:t>
      </w:r>
      <w:r w:rsidRPr="006B7663">
        <w:rPr>
          <w:rFonts w:asciiTheme="minorBidi" w:hAnsiTheme="minorBidi"/>
          <w:sz w:val="24"/>
          <w:szCs w:val="24"/>
        </w:rPr>
        <w:t>acknowledgement</w:t>
      </w:r>
      <w:r w:rsidRPr="009B11CD">
        <w:rPr>
          <w:rFonts w:asciiTheme="minorBidi" w:hAnsiTheme="minorBidi"/>
          <w:sz w:val="24"/>
          <w:szCs w:val="24"/>
        </w:rPr>
        <w:t xml:space="preserve"> that an ideal study might also </w:t>
      </w:r>
      <w:r>
        <w:rPr>
          <w:rFonts w:asciiTheme="minorBidi" w:hAnsiTheme="minorBidi"/>
          <w:sz w:val="24"/>
          <w:szCs w:val="24"/>
        </w:rPr>
        <w:t xml:space="preserve">include </w:t>
      </w:r>
      <w:r w:rsidRPr="009B11CD">
        <w:rPr>
          <w:rFonts w:asciiTheme="minorBidi" w:hAnsiTheme="minorBidi"/>
          <w:sz w:val="24"/>
          <w:szCs w:val="24"/>
        </w:rPr>
        <w:t xml:space="preserve">other stakeholders </w:t>
      </w:r>
      <w:r>
        <w:rPr>
          <w:rFonts w:asciiTheme="minorBidi" w:hAnsiTheme="minorBidi"/>
          <w:sz w:val="24"/>
          <w:szCs w:val="24"/>
        </w:rPr>
        <w:t xml:space="preserve">such as policymakers and </w:t>
      </w:r>
      <w:r w:rsidRPr="009B11CD">
        <w:rPr>
          <w:rFonts w:asciiTheme="minorBidi" w:hAnsiTheme="minorBidi"/>
          <w:sz w:val="24"/>
          <w:szCs w:val="24"/>
        </w:rPr>
        <w:t xml:space="preserve">patients, but due to the scale and timing of a PhD, the choice was made to cover these </w:t>
      </w:r>
      <w:r>
        <w:rPr>
          <w:rFonts w:asciiTheme="minorBidi" w:hAnsiTheme="minorBidi"/>
          <w:sz w:val="24"/>
          <w:szCs w:val="24"/>
        </w:rPr>
        <w:t>three</w:t>
      </w:r>
      <w:r w:rsidRPr="009B11CD">
        <w:rPr>
          <w:rFonts w:asciiTheme="minorBidi" w:hAnsiTheme="minorBidi"/>
          <w:sz w:val="24"/>
          <w:szCs w:val="24"/>
        </w:rPr>
        <w:t xml:space="preserve"> domains.</w:t>
      </w:r>
      <w:r>
        <w:rPr>
          <w:rFonts w:asciiTheme="minorBidi" w:hAnsiTheme="minorBidi"/>
          <w:sz w:val="24"/>
          <w:szCs w:val="24"/>
        </w:rPr>
        <w:t xml:space="preserve"> </w:t>
      </w:r>
      <w:r w:rsidRPr="006F70E1">
        <w:rPr>
          <w:rFonts w:ascii="Arial" w:hAnsi="Arial" w:cs="Arial"/>
          <w:sz w:val="24"/>
          <w:szCs w:val="24"/>
        </w:rPr>
        <w:t>Based on the aforementioned</w:t>
      </w:r>
      <w:r w:rsidRPr="006B2FC7">
        <w:rPr>
          <w:rFonts w:ascii="Arial" w:hAnsi="Arial" w:cs="Arial"/>
          <w:sz w:val="24"/>
          <w:szCs w:val="24"/>
        </w:rPr>
        <w:t xml:space="preserve">, the following research questions are outlined below: </w:t>
      </w:r>
    </w:p>
    <w:p w14:paraId="3C49A0CA" w14:textId="77777777" w:rsidR="003F59E9" w:rsidRDefault="003F59E9" w:rsidP="003F59E9">
      <w:pPr>
        <w:pStyle w:val="Heading2"/>
        <w:spacing w:line="257" w:lineRule="auto"/>
        <w:ind w:left="0" w:firstLine="0"/>
        <w:rPr>
          <w:lang w:val="en-GB"/>
        </w:rPr>
      </w:pPr>
      <w:bookmarkStart w:id="75" w:name="_Ref121929293"/>
      <w:bookmarkStart w:id="76" w:name="_Toc122626381"/>
      <w:bookmarkStart w:id="77" w:name="_Toc153894163"/>
      <w:r w:rsidRPr="006B2FC7">
        <w:rPr>
          <w:lang w:val="en-GB"/>
        </w:rPr>
        <w:t>Research questions</w:t>
      </w:r>
      <w:bookmarkEnd w:id="75"/>
      <w:bookmarkEnd w:id="76"/>
      <w:bookmarkEnd w:id="77"/>
      <w:r w:rsidRPr="006B2FC7">
        <w:rPr>
          <w:lang w:val="en-GB"/>
        </w:rPr>
        <w:t xml:space="preserve"> </w:t>
      </w:r>
    </w:p>
    <w:p w14:paraId="6FAA290A" w14:textId="77777777" w:rsidR="003F59E9" w:rsidRPr="00903E6F" w:rsidRDefault="003F59E9" w:rsidP="003F59E9">
      <w:pPr>
        <w:spacing w:after="0"/>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
        <w:gridCol w:w="8644"/>
      </w:tblGrid>
      <w:tr w:rsidR="003F59E9" w14:paraId="7DA90382" w14:textId="77777777" w:rsidTr="00282204">
        <w:trPr>
          <w:trHeight w:val="1320"/>
        </w:trPr>
        <w:tc>
          <w:tcPr>
            <w:tcW w:w="619" w:type="dxa"/>
          </w:tcPr>
          <w:p w14:paraId="6DF565A8" w14:textId="77777777" w:rsidR="003F59E9" w:rsidRPr="0052515C" w:rsidRDefault="003F59E9" w:rsidP="003F59E9">
            <w:pPr>
              <w:pStyle w:val="ListParagraph"/>
              <w:numPr>
                <w:ilvl w:val="0"/>
                <w:numId w:val="2"/>
              </w:numPr>
              <w:spacing w:line="256" w:lineRule="auto"/>
              <w:jc w:val="both"/>
              <w:rPr>
                <w:lang w:val="en-GB"/>
              </w:rPr>
            </w:pPr>
          </w:p>
        </w:tc>
        <w:tc>
          <w:tcPr>
            <w:tcW w:w="8644" w:type="dxa"/>
          </w:tcPr>
          <w:p w14:paraId="7A49D623" w14:textId="0A91C35F" w:rsidR="003F59E9" w:rsidRPr="00177430" w:rsidRDefault="003F59E9" w:rsidP="00282204">
            <w:pPr>
              <w:spacing w:line="360" w:lineRule="auto"/>
              <w:jc w:val="both"/>
              <w:rPr>
                <w:rFonts w:ascii="Arial" w:hAnsi="Arial" w:cs="Arial"/>
                <w:sz w:val="24"/>
                <w:szCs w:val="24"/>
              </w:rPr>
            </w:pPr>
            <w:r w:rsidRPr="00177430">
              <w:rPr>
                <w:rFonts w:ascii="Arial" w:hAnsi="Arial" w:cs="Arial"/>
                <w:sz w:val="24"/>
                <w:szCs w:val="24"/>
              </w:rPr>
              <w:t xml:space="preserve">What is the perception of healthcare </w:t>
            </w:r>
            <w:r>
              <w:rPr>
                <w:rFonts w:ascii="Arial" w:hAnsi="Arial" w:cs="Arial"/>
                <w:sz w:val="24"/>
                <w:szCs w:val="24"/>
              </w:rPr>
              <w:t>professionals</w:t>
            </w:r>
            <w:r w:rsidRPr="00177430">
              <w:rPr>
                <w:rFonts w:ascii="Arial" w:hAnsi="Arial" w:cs="Arial"/>
                <w:sz w:val="24"/>
                <w:szCs w:val="24"/>
              </w:rPr>
              <w:t xml:space="preserve"> (doctors</w:t>
            </w:r>
            <w:r>
              <w:rPr>
                <w:rFonts w:ascii="Arial" w:hAnsi="Arial" w:cs="Arial"/>
                <w:sz w:val="24"/>
                <w:szCs w:val="24"/>
              </w:rPr>
              <w:t xml:space="preserve">, </w:t>
            </w:r>
            <w:r w:rsidRPr="00177430">
              <w:rPr>
                <w:rFonts w:ascii="Arial" w:hAnsi="Arial" w:cs="Arial"/>
                <w:sz w:val="24"/>
                <w:szCs w:val="24"/>
              </w:rPr>
              <w:t>pharmacists, and nurses) </w:t>
            </w:r>
            <w:r>
              <w:rPr>
                <w:rFonts w:ascii="Arial" w:hAnsi="Arial" w:cs="Arial"/>
                <w:sz w:val="24"/>
                <w:szCs w:val="24"/>
              </w:rPr>
              <w:t>of</w:t>
            </w:r>
            <w:r w:rsidRPr="00177430">
              <w:rPr>
                <w:rFonts w:ascii="Arial" w:hAnsi="Arial" w:cs="Arial"/>
                <w:sz w:val="24"/>
                <w:szCs w:val="24"/>
              </w:rPr>
              <w:t> the role </w:t>
            </w:r>
            <w:r w:rsidR="00FE63C7" w:rsidRPr="000F36F1">
              <w:rPr>
                <w:rFonts w:ascii="Arial" w:hAnsi="Arial" w:cs="Arial"/>
                <w:sz w:val="24"/>
                <w:szCs w:val="24"/>
              </w:rPr>
              <w:t xml:space="preserve">and involvement </w:t>
            </w:r>
            <w:r w:rsidRPr="00177430">
              <w:rPr>
                <w:rFonts w:ascii="Arial" w:hAnsi="Arial" w:cs="Arial"/>
                <w:sz w:val="24"/>
                <w:szCs w:val="24"/>
              </w:rPr>
              <w:t xml:space="preserve">(current and </w:t>
            </w:r>
            <w:r>
              <w:rPr>
                <w:rFonts w:ascii="Arial" w:hAnsi="Arial" w:cs="Arial"/>
                <w:sz w:val="24"/>
                <w:szCs w:val="24"/>
              </w:rPr>
              <w:t>future</w:t>
            </w:r>
            <w:r w:rsidRPr="00177430">
              <w:rPr>
                <w:rFonts w:ascii="Arial" w:hAnsi="Arial" w:cs="Arial"/>
                <w:sz w:val="24"/>
                <w:szCs w:val="24"/>
              </w:rPr>
              <w:t>) of primary care pharmacists in diabetes management in Saudi Arabia?</w:t>
            </w:r>
          </w:p>
        </w:tc>
      </w:tr>
      <w:tr w:rsidR="003F59E9" w14:paraId="5A479FCB" w14:textId="77777777" w:rsidTr="00282204">
        <w:trPr>
          <w:trHeight w:val="880"/>
        </w:trPr>
        <w:tc>
          <w:tcPr>
            <w:tcW w:w="619" w:type="dxa"/>
          </w:tcPr>
          <w:p w14:paraId="57F889BC" w14:textId="77777777" w:rsidR="003F59E9" w:rsidRDefault="003F59E9" w:rsidP="00282204">
            <w:pPr>
              <w:jc w:val="both"/>
              <w:rPr>
                <w:lang w:val="en-GB"/>
              </w:rPr>
            </w:pPr>
            <w:r>
              <w:rPr>
                <w:lang w:val="en-GB"/>
              </w:rPr>
              <w:t>2.</w:t>
            </w:r>
          </w:p>
        </w:tc>
        <w:tc>
          <w:tcPr>
            <w:tcW w:w="8644" w:type="dxa"/>
          </w:tcPr>
          <w:p w14:paraId="74C8E6B5" w14:textId="77777777" w:rsidR="003F59E9" w:rsidRDefault="003F59E9" w:rsidP="00282204">
            <w:pPr>
              <w:spacing w:line="360" w:lineRule="auto"/>
              <w:jc w:val="both"/>
              <w:rPr>
                <w:lang w:val="en-GB"/>
              </w:rPr>
            </w:pPr>
            <w:r w:rsidRPr="006B2FC7">
              <w:rPr>
                <w:rFonts w:ascii="Arial" w:hAnsi="Arial" w:cs="Arial"/>
                <w:sz w:val="24"/>
                <w:szCs w:val="24"/>
              </w:rPr>
              <w:t>What are the perceived barriers and facilitators to primary care pharmacists being involved in diabetes care in Saudi Arabia?</w:t>
            </w:r>
          </w:p>
        </w:tc>
      </w:tr>
      <w:tr w:rsidR="003F59E9" w14:paraId="7ED08661" w14:textId="77777777" w:rsidTr="00282204">
        <w:trPr>
          <w:trHeight w:val="765"/>
        </w:trPr>
        <w:tc>
          <w:tcPr>
            <w:tcW w:w="619" w:type="dxa"/>
          </w:tcPr>
          <w:p w14:paraId="08CA1A46" w14:textId="77777777" w:rsidR="003F59E9" w:rsidRDefault="003F59E9" w:rsidP="00282204">
            <w:pPr>
              <w:jc w:val="both"/>
              <w:rPr>
                <w:lang w:val="en-GB"/>
              </w:rPr>
            </w:pPr>
            <w:r>
              <w:rPr>
                <w:lang w:val="en-GB"/>
              </w:rPr>
              <w:t>3.</w:t>
            </w:r>
          </w:p>
        </w:tc>
        <w:tc>
          <w:tcPr>
            <w:tcW w:w="8644" w:type="dxa"/>
          </w:tcPr>
          <w:p w14:paraId="4C5E95A5" w14:textId="4717301B" w:rsidR="003F59E9" w:rsidRDefault="003F59E9" w:rsidP="00282204">
            <w:pPr>
              <w:spacing w:line="360" w:lineRule="auto"/>
              <w:jc w:val="both"/>
              <w:rPr>
                <w:rFonts w:ascii="Arial" w:hAnsi="Arial" w:cs="Arial"/>
                <w:sz w:val="24"/>
                <w:szCs w:val="24"/>
              </w:rPr>
            </w:pPr>
            <w:r w:rsidRPr="0052515C">
              <w:rPr>
                <w:rFonts w:ascii="Arial" w:hAnsi="Arial" w:cs="Arial"/>
                <w:sz w:val="24"/>
                <w:szCs w:val="24"/>
              </w:rPr>
              <w:t>What current activities</w:t>
            </w:r>
            <w:r w:rsidR="00217407">
              <w:rPr>
                <w:rFonts w:ascii="Arial" w:hAnsi="Arial" w:cs="Arial"/>
                <w:strike/>
                <w:sz w:val="24"/>
                <w:szCs w:val="24"/>
              </w:rPr>
              <w:t xml:space="preserve"> </w:t>
            </w:r>
            <w:r w:rsidRPr="0052515C">
              <w:rPr>
                <w:rFonts w:ascii="Arial" w:hAnsi="Arial" w:cs="Arial"/>
                <w:sz w:val="24"/>
                <w:szCs w:val="24"/>
              </w:rPr>
              <w:t>are pharmacists in Saudi Arabia providing for diabetes care?</w:t>
            </w:r>
          </w:p>
          <w:p w14:paraId="639FA6D8" w14:textId="77777777" w:rsidR="003F59E9" w:rsidRPr="0052515C" w:rsidRDefault="003F59E9" w:rsidP="00282204">
            <w:pPr>
              <w:spacing w:line="360" w:lineRule="auto"/>
              <w:jc w:val="both"/>
              <w:rPr>
                <w:rFonts w:ascii="Arial" w:hAnsi="Arial" w:cs="Arial"/>
                <w:sz w:val="24"/>
                <w:szCs w:val="24"/>
              </w:rPr>
            </w:pPr>
          </w:p>
        </w:tc>
      </w:tr>
    </w:tbl>
    <w:p w14:paraId="20C0363E" w14:textId="77777777" w:rsidR="003F59E9" w:rsidRPr="009705CA" w:rsidRDefault="003F59E9" w:rsidP="003F59E9">
      <w:pPr>
        <w:pStyle w:val="Heading2"/>
        <w:spacing w:line="360" w:lineRule="auto"/>
        <w:ind w:left="0" w:firstLine="0"/>
        <w:rPr>
          <w:lang w:val="en-GB"/>
        </w:rPr>
      </w:pPr>
      <w:bookmarkStart w:id="78" w:name="_Ref121929332"/>
      <w:bookmarkStart w:id="79" w:name="_Toc122626382"/>
      <w:bookmarkStart w:id="80" w:name="_Toc153894164"/>
      <w:r w:rsidRPr="0052515C">
        <w:rPr>
          <w:lang w:val="en-GB"/>
        </w:rPr>
        <w:t xml:space="preserve">Aims of the </w:t>
      </w:r>
      <w:bookmarkEnd w:id="78"/>
      <w:r>
        <w:rPr>
          <w:lang w:val="en-GB"/>
        </w:rPr>
        <w:t>research</w:t>
      </w:r>
      <w:bookmarkEnd w:id="79"/>
      <w:bookmarkEnd w:id="80"/>
    </w:p>
    <w:p w14:paraId="08EDBDDF" w14:textId="078512CD" w:rsidR="003F59E9" w:rsidRPr="003A4E1F" w:rsidRDefault="003F59E9" w:rsidP="003F59E9">
      <w:pPr>
        <w:spacing w:line="360" w:lineRule="auto"/>
        <w:jc w:val="both"/>
        <w:rPr>
          <w:rFonts w:ascii="Arial" w:hAnsi="Arial" w:cs="Arial"/>
          <w:sz w:val="24"/>
          <w:szCs w:val="24"/>
        </w:rPr>
      </w:pPr>
      <w:r w:rsidRPr="003A4E1F">
        <w:rPr>
          <w:rFonts w:ascii="Arial" w:hAnsi="Arial" w:cs="Arial"/>
          <w:sz w:val="24"/>
          <w:szCs w:val="24"/>
        </w:rPr>
        <w:t xml:space="preserve">The research aims are to explore potential roles for pharmacists in diabetes management in PHCs as well as the potential impacts of adding pharmacists to the diabetes care team via exploring the attitudes, perceptions and expectations of primary healthcare providers towards pharmacists' role </w:t>
      </w:r>
      <w:r w:rsidR="00FE63C7">
        <w:rPr>
          <w:rFonts w:ascii="Arial" w:hAnsi="Arial" w:cs="Arial"/>
          <w:sz w:val="24"/>
          <w:szCs w:val="24"/>
        </w:rPr>
        <w:t xml:space="preserve">and involvement </w:t>
      </w:r>
      <w:r w:rsidRPr="003A4E1F">
        <w:rPr>
          <w:rFonts w:ascii="Arial" w:hAnsi="Arial" w:cs="Arial"/>
          <w:sz w:val="24"/>
          <w:szCs w:val="24"/>
        </w:rPr>
        <w:t>in diabetes management and the associated facilitators and barriers of pharmacists' involvement in diabetes primary care management. The findings of this research are hoped to be of value in considering the future provision of diabetes care in SA.</w:t>
      </w:r>
    </w:p>
    <w:p w14:paraId="2399C338" w14:textId="77777777" w:rsidR="003F59E9" w:rsidRPr="005C2393" w:rsidRDefault="003F59E9" w:rsidP="003F59E9">
      <w:pPr>
        <w:spacing w:line="360" w:lineRule="auto"/>
        <w:jc w:val="both"/>
        <w:rPr>
          <w:rFonts w:ascii="Arial" w:hAnsi="Arial" w:cs="Arial"/>
          <w:sz w:val="24"/>
          <w:szCs w:val="24"/>
        </w:rPr>
      </w:pPr>
      <w:r>
        <w:rPr>
          <w:rFonts w:ascii="Arial" w:hAnsi="Arial" w:cs="Arial"/>
          <w:sz w:val="24"/>
          <w:szCs w:val="24"/>
        </w:rPr>
        <w:t xml:space="preserve">To achieve these aims, </w:t>
      </w:r>
      <w:r w:rsidRPr="007368A9">
        <w:rPr>
          <w:rFonts w:ascii="Arial" w:hAnsi="Arial" w:cs="Arial"/>
          <w:bCs/>
          <w:sz w:val="24"/>
          <w:szCs w:val="24"/>
        </w:rPr>
        <w:t>the following objectives were addressed in this thesis</w:t>
      </w:r>
      <w:r>
        <w:rPr>
          <w:rFonts w:ascii="Arial" w:hAnsi="Arial" w:cs="Arial"/>
          <w:bCs/>
          <w:sz w:val="24"/>
          <w:szCs w:val="24"/>
        </w:rPr>
        <w:t>.</w:t>
      </w:r>
    </w:p>
    <w:p w14:paraId="5CE2FF74" w14:textId="77777777" w:rsidR="003F59E9" w:rsidRPr="00693FD4" w:rsidRDefault="003F59E9" w:rsidP="003F59E9">
      <w:pPr>
        <w:pStyle w:val="Heading2"/>
        <w:spacing w:line="360" w:lineRule="auto"/>
        <w:ind w:left="0" w:firstLine="0"/>
      </w:pPr>
      <w:bookmarkStart w:id="81" w:name="_Toc122626383"/>
      <w:bookmarkStart w:id="82" w:name="_Ref126067617"/>
      <w:bookmarkStart w:id="83" w:name="_Toc153894165"/>
      <w:r>
        <w:t>Research o</w:t>
      </w:r>
      <w:r w:rsidRPr="006B2FC7">
        <w:t>bjectives</w:t>
      </w:r>
      <w:bookmarkEnd w:id="81"/>
      <w:bookmarkEnd w:id="82"/>
      <w:bookmarkEnd w:id="83"/>
      <w:r w:rsidRPr="00693FD4">
        <w:rPr>
          <w:color w:val="4472C4" w:themeColor="accent1"/>
        </w:rPr>
        <w:t xml:space="preserve"> </w:t>
      </w:r>
    </w:p>
    <w:p w14:paraId="3810ED7C" w14:textId="588CA764" w:rsidR="003F59E9" w:rsidRPr="007368A9" w:rsidRDefault="003F59E9" w:rsidP="003F59E9">
      <w:pPr>
        <w:pStyle w:val="ListParagraph"/>
        <w:numPr>
          <w:ilvl w:val="0"/>
          <w:numId w:val="8"/>
        </w:numPr>
        <w:spacing w:after="0" w:line="360" w:lineRule="auto"/>
        <w:jc w:val="both"/>
        <w:rPr>
          <w:rFonts w:ascii="Arial" w:hAnsi="Arial" w:cs="Arial"/>
          <w:bCs/>
          <w:sz w:val="24"/>
          <w:szCs w:val="24"/>
        </w:rPr>
      </w:pPr>
      <w:r w:rsidRPr="007368A9">
        <w:rPr>
          <w:rFonts w:ascii="Arial" w:hAnsi="Arial" w:cs="Arial"/>
          <w:bCs/>
          <w:sz w:val="24"/>
          <w:szCs w:val="24"/>
        </w:rPr>
        <w:t xml:space="preserve">Explore the views and experiences of healthcare professionals (doctors, pharmacists, and nurses) of the role </w:t>
      </w:r>
      <w:r w:rsidR="006F73F7">
        <w:rPr>
          <w:rFonts w:ascii="Arial" w:hAnsi="Arial" w:cs="Arial"/>
          <w:bCs/>
          <w:sz w:val="24"/>
          <w:szCs w:val="24"/>
        </w:rPr>
        <w:t xml:space="preserve">and involvement </w:t>
      </w:r>
      <w:r w:rsidRPr="00177430">
        <w:rPr>
          <w:rFonts w:ascii="Arial" w:hAnsi="Arial" w:cs="Arial"/>
          <w:sz w:val="24"/>
          <w:szCs w:val="24"/>
        </w:rPr>
        <w:t xml:space="preserve">(current and </w:t>
      </w:r>
      <w:r>
        <w:rPr>
          <w:rFonts w:ascii="Arial" w:hAnsi="Arial" w:cs="Arial"/>
          <w:sz w:val="24"/>
          <w:szCs w:val="24"/>
        </w:rPr>
        <w:t>future</w:t>
      </w:r>
      <w:r w:rsidRPr="00177430">
        <w:rPr>
          <w:rFonts w:ascii="Arial" w:hAnsi="Arial" w:cs="Arial"/>
          <w:sz w:val="24"/>
          <w:szCs w:val="24"/>
        </w:rPr>
        <w:t>) </w:t>
      </w:r>
      <w:r w:rsidRPr="007368A9">
        <w:rPr>
          <w:rFonts w:ascii="Arial" w:hAnsi="Arial" w:cs="Arial"/>
          <w:bCs/>
          <w:sz w:val="24"/>
          <w:szCs w:val="24"/>
        </w:rPr>
        <w:t xml:space="preserve">of pharmacists in diabetes primary care management in SA. </w:t>
      </w:r>
    </w:p>
    <w:p w14:paraId="766A8A0F" w14:textId="11D6E730" w:rsidR="009C504E" w:rsidRDefault="003F59E9" w:rsidP="003F59E9">
      <w:pPr>
        <w:pStyle w:val="ListParagraph"/>
        <w:numPr>
          <w:ilvl w:val="0"/>
          <w:numId w:val="8"/>
        </w:numPr>
        <w:spacing w:after="0" w:line="360" w:lineRule="auto"/>
        <w:jc w:val="both"/>
        <w:rPr>
          <w:rFonts w:ascii="Arial" w:hAnsi="Arial" w:cs="Arial"/>
          <w:bCs/>
          <w:sz w:val="24"/>
          <w:szCs w:val="24"/>
        </w:rPr>
      </w:pPr>
      <w:r w:rsidRPr="007368A9">
        <w:rPr>
          <w:rFonts w:ascii="Arial" w:hAnsi="Arial" w:cs="Arial"/>
          <w:bCs/>
          <w:sz w:val="24"/>
          <w:szCs w:val="24"/>
        </w:rPr>
        <w:t>Identify the barriers and facilitators to pharmacists</w:t>
      </w:r>
      <w:r>
        <w:rPr>
          <w:rFonts w:ascii="Arial" w:hAnsi="Arial" w:cs="Arial"/>
          <w:bCs/>
          <w:sz w:val="24"/>
          <w:szCs w:val="24"/>
        </w:rPr>
        <w:t>’</w:t>
      </w:r>
      <w:r w:rsidRPr="007368A9">
        <w:rPr>
          <w:rFonts w:ascii="Arial" w:hAnsi="Arial" w:cs="Arial"/>
          <w:bCs/>
          <w:sz w:val="24"/>
          <w:szCs w:val="24"/>
        </w:rPr>
        <w:t xml:space="preserve"> involvement in diabetes primary care management</w:t>
      </w:r>
      <w:r>
        <w:rPr>
          <w:rFonts w:ascii="Arial" w:hAnsi="Arial" w:cs="Arial"/>
          <w:bCs/>
          <w:sz w:val="24"/>
          <w:szCs w:val="24"/>
        </w:rPr>
        <w:t>.</w:t>
      </w:r>
    </w:p>
    <w:p w14:paraId="397BA6EF" w14:textId="7BA06918" w:rsidR="00C20134" w:rsidRPr="007368A9" w:rsidRDefault="00C20134" w:rsidP="00C20134">
      <w:pPr>
        <w:pStyle w:val="ListParagraph"/>
        <w:numPr>
          <w:ilvl w:val="0"/>
          <w:numId w:val="8"/>
        </w:numPr>
        <w:spacing w:after="0" w:line="360" w:lineRule="auto"/>
        <w:jc w:val="both"/>
        <w:rPr>
          <w:rFonts w:ascii="Arial" w:hAnsi="Arial" w:cs="Arial"/>
          <w:bCs/>
          <w:sz w:val="24"/>
          <w:szCs w:val="24"/>
        </w:rPr>
      </w:pPr>
      <w:r w:rsidRPr="007368A9">
        <w:rPr>
          <w:rFonts w:ascii="Arial" w:hAnsi="Arial" w:cs="Arial"/>
          <w:bCs/>
          <w:sz w:val="24"/>
          <w:szCs w:val="24"/>
        </w:rPr>
        <w:t>Understand the current pharmaceutical care activities</w:t>
      </w:r>
      <w:r>
        <w:rPr>
          <w:rFonts w:ascii="Arial" w:hAnsi="Arial" w:cs="Arial"/>
          <w:bCs/>
          <w:sz w:val="24"/>
          <w:szCs w:val="24"/>
        </w:rPr>
        <w:t xml:space="preserve"> </w:t>
      </w:r>
      <w:r w:rsidR="006F73F7" w:rsidRPr="006F73F7">
        <w:rPr>
          <w:rFonts w:ascii="Arial" w:hAnsi="Arial" w:cs="Arial"/>
          <w:bCs/>
          <w:sz w:val="24"/>
          <w:szCs w:val="24"/>
        </w:rPr>
        <w:t xml:space="preserve"> </w:t>
      </w:r>
      <w:r w:rsidR="006F73F7" w:rsidRPr="007368A9">
        <w:rPr>
          <w:rFonts w:ascii="Arial" w:hAnsi="Arial" w:cs="Arial"/>
          <w:bCs/>
          <w:sz w:val="24"/>
          <w:szCs w:val="24"/>
        </w:rPr>
        <w:t>which</w:t>
      </w:r>
      <w:r w:rsidRPr="007368A9">
        <w:rPr>
          <w:rFonts w:ascii="Arial" w:hAnsi="Arial" w:cs="Arial"/>
          <w:bCs/>
          <w:sz w:val="24"/>
          <w:szCs w:val="24"/>
        </w:rPr>
        <w:t xml:space="preserve"> pharmacists in Saudi Arabia (SA) are providing for diabetes care</w:t>
      </w:r>
      <w:r>
        <w:rPr>
          <w:rFonts w:ascii="Arial" w:hAnsi="Arial" w:cs="Arial"/>
          <w:bCs/>
          <w:sz w:val="24"/>
          <w:szCs w:val="24"/>
        </w:rPr>
        <w:t>.</w:t>
      </w:r>
    </w:p>
    <w:p w14:paraId="7A1B2C45" w14:textId="77777777" w:rsidR="00C20134" w:rsidRDefault="00C20134" w:rsidP="00C20134">
      <w:pPr>
        <w:pStyle w:val="ListParagraph"/>
        <w:spacing w:after="0" w:line="360" w:lineRule="auto"/>
        <w:jc w:val="both"/>
        <w:rPr>
          <w:rFonts w:ascii="Arial" w:hAnsi="Arial" w:cs="Arial"/>
          <w:bCs/>
          <w:sz w:val="24"/>
          <w:szCs w:val="24"/>
        </w:rPr>
      </w:pPr>
    </w:p>
    <w:p w14:paraId="6D1E06A4" w14:textId="322A0F45" w:rsidR="00EB7F85" w:rsidRPr="00EB7F85" w:rsidRDefault="009C504E" w:rsidP="00EB7F85">
      <w:pPr>
        <w:rPr>
          <w:rFonts w:ascii="Arial" w:hAnsi="Arial" w:cs="Arial"/>
          <w:bCs/>
          <w:sz w:val="24"/>
          <w:szCs w:val="24"/>
        </w:rPr>
      </w:pPr>
      <w:r>
        <w:rPr>
          <w:rFonts w:ascii="Arial" w:hAnsi="Arial" w:cs="Arial"/>
          <w:bCs/>
          <w:sz w:val="24"/>
          <w:szCs w:val="24"/>
        </w:rPr>
        <w:br w:type="page"/>
      </w:r>
      <w:bookmarkStart w:id="84" w:name="_Toc122626384"/>
    </w:p>
    <w:p w14:paraId="33F1A4B6" w14:textId="77777777" w:rsidR="00EB7F85" w:rsidRDefault="00EB7F85" w:rsidP="00EB7F85">
      <w:pPr>
        <w:pStyle w:val="Heading1"/>
        <w:jc w:val="center"/>
        <w:rPr>
          <w:lang w:val="en-GB"/>
        </w:rPr>
      </w:pPr>
      <w:bookmarkStart w:id="85" w:name="_Toc153894166"/>
      <w:r>
        <w:rPr>
          <w:lang w:val="en-GB"/>
        </w:rPr>
        <w:t xml:space="preserve">4. Chapter Four: </w:t>
      </w:r>
      <w:r w:rsidRPr="009705CA">
        <w:rPr>
          <w:lang w:val="en-GB"/>
        </w:rPr>
        <w:t>Methodology</w:t>
      </w:r>
      <w:bookmarkEnd w:id="84"/>
      <w:bookmarkEnd w:id="85"/>
    </w:p>
    <w:p w14:paraId="58489995" w14:textId="77777777" w:rsidR="00EB7F85" w:rsidRPr="001D05A4" w:rsidRDefault="00EB7F85" w:rsidP="00EB7F85">
      <w:pPr>
        <w:tabs>
          <w:tab w:val="left" w:pos="360"/>
        </w:tabs>
        <w:rPr>
          <w:lang w:val="en-GB"/>
        </w:rPr>
      </w:pPr>
    </w:p>
    <w:p w14:paraId="7438BD32" w14:textId="77777777" w:rsidR="00EB7F85" w:rsidRPr="006B2FC7" w:rsidRDefault="00EB7F85" w:rsidP="00EB7F85">
      <w:pPr>
        <w:pStyle w:val="Heading2"/>
        <w:numPr>
          <w:ilvl w:val="1"/>
          <w:numId w:val="14"/>
        </w:numPr>
        <w:tabs>
          <w:tab w:val="num" w:pos="360"/>
          <w:tab w:val="left" w:pos="540"/>
        </w:tabs>
        <w:spacing w:line="360" w:lineRule="auto"/>
        <w:ind w:left="0" w:firstLine="0"/>
      </w:pPr>
      <w:bookmarkStart w:id="86" w:name="_Toc122626385"/>
      <w:bookmarkStart w:id="87" w:name="_Toc153894167"/>
      <w:r w:rsidRPr="006B2FC7">
        <w:t>Introduction</w:t>
      </w:r>
      <w:bookmarkEnd w:id="86"/>
      <w:bookmarkEnd w:id="87"/>
    </w:p>
    <w:p w14:paraId="3FBF1FB9"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This chapter aims to describe </w:t>
      </w:r>
      <w:r>
        <w:rPr>
          <w:rFonts w:ascii="Arial" w:hAnsi="Arial" w:cs="Arial"/>
          <w:sz w:val="24"/>
          <w:szCs w:val="24"/>
        </w:rPr>
        <w:t xml:space="preserve">the methods to best answer the research </w:t>
      </w:r>
      <w:r w:rsidRPr="006B2FC7">
        <w:rPr>
          <w:rFonts w:ascii="Arial" w:hAnsi="Arial" w:cs="Arial"/>
          <w:sz w:val="24"/>
          <w:szCs w:val="24"/>
        </w:rPr>
        <w:t>questions and achieve the aims</w:t>
      </w:r>
      <w:r>
        <w:rPr>
          <w:rFonts w:ascii="Arial" w:hAnsi="Arial" w:cs="Arial"/>
          <w:sz w:val="24"/>
          <w:szCs w:val="24"/>
        </w:rPr>
        <w:t xml:space="preserve"> and objectives</w:t>
      </w:r>
      <w:r w:rsidRPr="006B2FC7">
        <w:rPr>
          <w:rFonts w:ascii="Arial" w:hAnsi="Arial" w:cs="Arial"/>
          <w:sz w:val="24"/>
          <w:szCs w:val="24"/>
        </w:rPr>
        <w:t xml:space="preserve"> set out at the end of the previous chapter. </w:t>
      </w:r>
      <w:r>
        <w:rPr>
          <w:rFonts w:ascii="Arial" w:hAnsi="Arial" w:cs="Arial"/>
          <w:sz w:val="24"/>
          <w:szCs w:val="24"/>
        </w:rPr>
        <w:t>The chapter begins by outlining</w:t>
      </w:r>
      <w:r w:rsidRPr="002D6EA7">
        <w:rPr>
          <w:rFonts w:ascii="Arial" w:hAnsi="Arial" w:cs="Arial"/>
          <w:sz w:val="24"/>
          <w:szCs w:val="24"/>
        </w:rPr>
        <w:t xml:space="preserve"> the </w:t>
      </w:r>
      <w:r>
        <w:rPr>
          <w:rFonts w:ascii="Arial" w:hAnsi="Arial" w:cs="Arial"/>
          <w:sz w:val="24"/>
          <w:szCs w:val="24"/>
        </w:rPr>
        <w:t>objectives of the planned research (s</w:t>
      </w:r>
      <w:r w:rsidRPr="006B2FC7">
        <w:rPr>
          <w:rFonts w:ascii="Arial" w:hAnsi="Arial" w:cs="Arial"/>
          <w:sz w:val="24"/>
          <w:szCs w:val="24"/>
        </w:rPr>
        <w:t>ummarising the key objectives and milestones</w:t>
      </w:r>
      <w:r>
        <w:rPr>
          <w:rFonts w:ascii="Arial" w:hAnsi="Arial" w:cs="Arial"/>
          <w:sz w:val="24"/>
          <w:szCs w:val="24"/>
        </w:rPr>
        <w:t xml:space="preserve">), </w:t>
      </w:r>
      <w:r w:rsidRPr="006B2FC7">
        <w:rPr>
          <w:rFonts w:ascii="Arial" w:hAnsi="Arial" w:cs="Arial"/>
          <w:sz w:val="24"/>
          <w:szCs w:val="24"/>
        </w:rPr>
        <w:t xml:space="preserve">followed by </w:t>
      </w:r>
      <w:r>
        <w:rPr>
          <w:rFonts w:ascii="Arial" w:hAnsi="Arial" w:cs="Arial"/>
          <w:sz w:val="24"/>
          <w:szCs w:val="24"/>
        </w:rPr>
        <w:t xml:space="preserve">providing details of the research designs choices, </w:t>
      </w:r>
      <w:r w:rsidRPr="006B2FC7">
        <w:rPr>
          <w:rFonts w:ascii="Arial" w:hAnsi="Arial" w:cs="Arial"/>
          <w:sz w:val="24"/>
          <w:szCs w:val="24"/>
        </w:rPr>
        <w:t xml:space="preserve">including </w:t>
      </w:r>
      <w:r>
        <w:rPr>
          <w:rFonts w:ascii="Arial" w:hAnsi="Arial" w:cs="Arial"/>
          <w:sz w:val="24"/>
          <w:szCs w:val="24"/>
        </w:rPr>
        <w:t>a discussion of the research philosophy and the rationale of adopting a mixed methods approach in this study. It then describes the mixed methods design used to conduct this research. After that, the mixed methods data collection process of both (qualitative and quantitative) methods followed by methods of data analysis are discussed and demonstrated.</w:t>
      </w:r>
      <w:r w:rsidRPr="006B2FC7">
        <w:rPr>
          <w:rFonts w:ascii="Arial" w:hAnsi="Arial" w:cs="Arial"/>
          <w:sz w:val="24"/>
          <w:szCs w:val="24"/>
        </w:rPr>
        <w:t xml:space="preserve"> </w:t>
      </w:r>
      <w:r>
        <w:rPr>
          <w:rFonts w:ascii="Arial" w:hAnsi="Arial" w:cs="Arial"/>
          <w:sz w:val="24"/>
          <w:szCs w:val="24"/>
        </w:rPr>
        <w:t>This is followed by presenting the triangulation protocol, which is the i</w:t>
      </w:r>
      <w:r w:rsidRPr="006B2FC7">
        <w:rPr>
          <w:rFonts w:ascii="Arial" w:hAnsi="Arial" w:cs="Arial"/>
          <w:sz w:val="24"/>
          <w:szCs w:val="24"/>
        </w:rPr>
        <w:t>ntegrati</w:t>
      </w:r>
      <w:r>
        <w:rPr>
          <w:rFonts w:ascii="Arial" w:hAnsi="Arial" w:cs="Arial"/>
          <w:sz w:val="24"/>
          <w:szCs w:val="24"/>
        </w:rPr>
        <w:t>on of</w:t>
      </w:r>
      <w:r w:rsidRPr="006B2FC7">
        <w:rPr>
          <w:rFonts w:ascii="Arial" w:hAnsi="Arial" w:cs="Arial"/>
          <w:sz w:val="24"/>
          <w:szCs w:val="24"/>
        </w:rPr>
        <w:t xml:space="preserve"> data from both quantitative and qualitative phase</w:t>
      </w:r>
      <w:r>
        <w:rPr>
          <w:rFonts w:ascii="Arial" w:hAnsi="Arial" w:cs="Arial"/>
          <w:sz w:val="24"/>
          <w:szCs w:val="24"/>
        </w:rPr>
        <w:t>s</w:t>
      </w:r>
      <w:r w:rsidRPr="006B2FC7">
        <w:rPr>
          <w:rFonts w:ascii="Arial" w:hAnsi="Arial" w:cs="Arial"/>
          <w:sz w:val="24"/>
          <w:szCs w:val="24"/>
        </w:rPr>
        <w:t xml:space="preserve"> </w:t>
      </w:r>
      <w:r w:rsidRPr="00005246">
        <w:rPr>
          <w:rFonts w:ascii="Arial" w:hAnsi="Arial" w:cs="Arial"/>
          <w:sz w:val="24"/>
          <w:szCs w:val="24"/>
        </w:rPr>
        <w:t>to interpret the overall results</w:t>
      </w:r>
      <w:r>
        <w:rPr>
          <w:rFonts w:ascii="Arial" w:hAnsi="Arial" w:cs="Arial"/>
          <w:sz w:val="24"/>
          <w:szCs w:val="24"/>
        </w:rPr>
        <w:t xml:space="preserve"> </w:t>
      </w:r>
      <w:r w:rsidRPr="006B2FC7">
        <w:rPr>
          <w:rFonts w:ascii="Arial" w:hAnsi="Arial" w:cs="Arial"/>
          <w:sz w:val="24"/>
          <w:szCs w:val="24"/>
        </w:rPr>
        <w:t>in the interpretation phase</w:t>
      </w:r>
      <w:r>
        <w:rPr>
          <w:rFonts w:ascii="Arial" w:hAnsi="Arial" w:cs="Arial"/>
          <w:sz w:val="24"/>
          <w:szCs w:val="24"/>
        </w:rPr>
        <w:t>. T</w:t>
      </w:r>
      <w:r w:rsidRPr="006B2FC7">
        <w:rPr>
          <w:rFonts w:ascii="Arial" w:hAnsi="Arial" w:cs="Arial"/>
          <w:sz w:val="24"/>
          <w:szCs w:val="24"/>
        </w:rPr>
        <w:t xml:space="preserve">he chapter </w:t>
      </w:r>
      <w:r>
        <w:rPr>
          <w:rFonts w:ascii="Arial" w:hAnsi="Arial" w:cs="Arial"/>
          <w:sz w:val="24"/>
          <w:szCs w:val="24"/>
        </w:rPr>
        <w:t xml:space="preserve">also </w:t>
      </w:r>
      <w:r w:rsidRPr="006B2FC7">
        <w:rPr>
          <w:rFonts w:ascii="Arial" w:hAnsi="Arial" w:cs="Arial"/>
          <w:sz w:val="24"/>
          <w:szCs w:val="24"/>
        </w:rPr>
        <w:t>discusses the essential aspects relating to research ethics</w:t>
      </w:r>
      <w:r>
        <w:rPr>
          <w:rFonts w:ascii="Arial" w:hAnsi="Arial" w:cs="Arial"/>
          <w:sz w:val="24"/>
          <w:szCs w:val="24"/>
        </w:rPr>
        <w:t xml:space="preserve">. </w:t>
      </w:r>
      <w:r w:rsidRPr="006B2FC7">
        <w:rPr>
          <w:rFonts w:ascii="Arial" w:hAnsi="Arial" w:cs="Arial"/>
          <w:sz w:val="24"/>
          <w:szCs w:val="24"/>
        </w:rPr>
        <w:t xml:space="preserve">Finally, </w:t>
      </w:r>
      <w:r>
        <w:rPr>
          <w:rFonts w:ascii="Arial" w:hAnsi="Arial" w:cs="Arial"/>
          <w:sz w:val="24"/>
          <w:szCs w:val="24"/>
        </w:rPr>
        <w:t xml:space="preserve">the limitations of the study design will be presented, and a conclusion will be provided. </w:t>
      </w:r>
    </w:p>
    <w:p w14:paraId="2230E017" w14:textId="77777777" w:rsidR="00EB7F85" w:rsidRDefault="00EB7F85" w:rsidP="00EB7F85">
      <w:pPr>
        <w:pStyle w:val="Heading3"/>
        <w:numPr>
          <w:ilvl w:val="2"/>
          <w:numId w:val="14"/>
        </w:numPr>
        <w:tabs>
          <w:tab w:val="num" w:pos="360"/>
        </w:tabs>
        <w:spacing w:line="257" w:lineRule="auto"/>
        <w:ind w:left="504" w:hanging="504"/>
      </w:pPr>
      <w:bookmarkStart w:id="88" w:name="_Ref124786005"/>
      <w:bookmarkStart w:id="89" w:name="_Toc153894168"/>
      <w:r>
        <w:t>Research</w:t>
      </w:r>
      <w:bookmarkEnd w:id="88"/>
      <w:r>
        <w:t xml:space="preserve"> plan of activities</w:t>
      </w:r>
      <w:bookmarkEnd w:id="89"/>
      <w:r>
        <w:t xml:space="preserve"> </w:t>
      </w:r>
    </w:p>
    <w:p w14:paraId="48118AB4" w14:textId="67064A34" w:rsidR="00EB7F85" w:rsidRPr="003C7D9C" w:rsidRDefault="00EB7F85" w:rsidP="00EB7F85">
      <w:pPr>
        <w:spacing w:line="360" w:lineRule="auto"/>
        <w:jc w:val="both"/>
      </w:pPr>
      <w:bookmarkStart w:id="90" w:name="_Toc51257183"/>
      <w:bookmarkStart w:id="91" w:name="_Toc122626386"/>
      <w:r>
        <w:rPr>
          <w:rFonts w:ascii="Arial" w:hAnsi="Arial" w:cs="Arial"/>
          <w:sz w:val="24"/>
          <w:szCs w:val="24"/>
        </w:rPr>
        <w:t>T</w:t>
      </w:r>
      <w:r w:rsidRPr="006B2FC7">
        <w:rPr>
          <w:rFonts w:ascii="Arial" w:hAnsi="Arial" w:cs="Arial"/>
          <w:sz w:val="24"/>
          <w:szCs w:val="24"/>
        </w:rPr>
        <w:t xml:space="preserve">he following list of </w:t>
      </w:r>
      <w:r w:rsidR="00AE50EB">
        <w:rPr>
          <w:rFonts w:ascii="Arial" w:hAnsi="Arial" w:cs="Arial"/>
          <w:sz w:val="24"/>
          <w:szCs w:val="24"/>
        </w:rPr>
        <w:t xml:space="preserve">activities </w:t>
      </w:r>
      <w:r w:rsidRPr="006B2FC7">
        <w:rPr>
          <w:rFonts w:ascii="Arial" w:hAnsi="Arial" w:cs="Arial"/>
          <w:sz w:val="24"/>
          <w:szCs w:val="24"/>
        </w:rPr>
        <w:t xml:space="preserve">has been set to </w:t>
      </w:r>
      <w:r>
        <w:rPr>
          <w:rFonts w:ascii="Arial" w:hAnsi="Arial" w:cs="Arial"/>
          <w:sz w:val="24"/>
          <w:szCs w:val="24"/>
        </w:rPr>
        <w:t xml:space="preserve">conduct this research. It includes a summary of research objectives </w:t>
      </w:r>
      <w:r>
        <w:rPr>
          <w:rFonts w:ascii="Arial" w:hAnsi="Arial" w:cs="Arial"/>
          <w:sz w:val="24"/>
          <w:szCs w:val="24"/>
        </w:rPr>
        <w:fldChar w:fldCharType="begin"/>
      </w:r>
      <w:r>
        <w:rPr>
          <w:rFonts w:ascii="Arial" w:hAnsi="Arial" w:cs="Arial"/>
          <w:sz w:val="24"/>
          <w:szCs w:val="24"/>
        </w:rPr>
        <w:instrText xml:space="preserve"> REF _Ref126067617 \n \h  \* MERGEFORMAT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cs/>
        </w:rPr>
        <w:t>‎</w:t>
      </w:r>
      <w:r>
        <w:rPr>
          <w:rFonts w:ascii="Arial" w:hAnsi="Arial" w:cs="Arial"/>
          <w:sz w:val="24"/>
          <w:szCs w:val="24"/>
        </w:rPr>
        <w:t>3.5</w:t>
      </w:r>
      <w:r>
        <w:rPr>
          <w:rFonts w:ascii="Arial" w:hAnsi="Arial" w:cs="Arial"/>
          <w:sz w:val="24"/>
          <w:szCs w:val="24"/>
        </w:rPr>
        <w:fldChar w:fldCharType="end"/>
      </w:r>
      <w:r>
        <w:rPr>
          <w:rFonts w:ascii="Arial" w:hAnsi="Arial" w:cs="Arial"/>
          <w:sz w:val="24"/>
          <w:szCs w:val="24"/>
        </w:rPr>
        <w:t xml:space="preserve"> and milestones.</w:t>
      </w:r>
    </w:p>
    <w:bookmarkEnd w:id="90"/>
    <w:bookmarkEnd w:id="91"/>
    <w:p w14:paraId="6402E5A5" w14:textId="77777777" w:rsidR="00EB7F85" w:rsidRPr="001B647B" w:rsidRDefault="00EB7F85" w:rsidP="00EB7F85">
      <w:pPr>
        <w:pStyle w:val="ListParagraph"/>
        <w:numPr>
          <w:ilvl w:val="0"/>
          <w:numId w:val="5"/>
        </w:numPr>
        <w:spacing w:line="360" w:lineRule="auto"/>
        <w:jc w:val="both"/>
        <w:rPr>
          <w:rFonts w:ascii="Arial" w:hAnsi="Arial" w:cs="Arial"/>
          <w:sz w:val="24"/>
          <w:szCs w:val="24"/>
        </w:rPr>
      </w:pPr>
      <w:r w:rsidRPr="001B647B">
        <w:rPr>
          <w:rFonts w:ascii="Arial" w:hAnsi="Arial" w:cs="Arial"/>
          <w:sz w:val="24"/>
          <w:szCs w:val="24"/>
        </w:rPr>
        <w:t>Use a mixed methods explanatory sequential study design.</w:t>
      </w:r>
    </w:p>
    <w:p w14:paraId="5E30C501" w14:textId="77777777" w:rsidR="00EB7F85" w:rsidRPr="000B4D0A" w:rsidRDefault="00EB7F85" w:rsidP="00EB7F85">
      <w:pPr>
        <w:pStyle w:val="ListParagraph"/>
        <w:numPr>
          <w:ilvl w:val="0"/>
          <w:numId w:val="5"/>
        </w:numPr>
        <w:spacing w:line="360" w:lineRule="auto"/>
        <w:jc w:val="both"/>
        <w:rPr>
          <w:rFonts w:ascii="Arial" w:hAnsi="Arial" w:cs="Arial"/>
          <w:sz w:val="24"/>
          <w:szCs w:val="24"/>
        </w:rPr>
      </w:pPr>
      <w:r w:rsidRPr="001B647B">
        <w:rPr>
          <w:rFonts w:ascii="Arial" w:hAnsi="Arial" w:cs="Arial"/>
          <w:sz w:val="24"/>
          <w:szCs w:val="24"/>
        </w:rPr>
        <w:t xml:space="preserve">Obtain appropriate research ethical approval from the University of Sheffield, the Ministry of Health of </w:t>
      </w:r>
      <w:r>
        <w:rPr>
          <w:rFonts w:ascii="Arial" w:hAnsi="Arial" w:cs="Arial"/>
          <w:sz w:val="24"/>
          <w:szCs w:val="24"/>
        </w:rPr>
        <w:t>SA</w:t>
      </w:r>
      <w:r w:rsidRPr="001B647B">
        <w:rPr>
          <w:rFonts w:ascii="Arial" w:hAnsi="Arial" w:cs="Arial"/>
          <w:sz w:val="24"/>
          <w:szCs w:val="24"/>
        </w:rPr>
        <w:t xml:space="preserve"> and the administration of </w:t>
      </w:r>
      <w:r>
        <w:rPr>
          <w:rFonts w:ascii="Arial" w:hAnsi="Arial" w:cs="Arial"/>
          <w:sz w:val="24"/>
          <w:szCs w:val="24"/>
        </w:rPr>
        <w:t xml:space="preserve">primary </w:t>
      </w:r>
      <w:r w:rsidRPr="001B647B">
        <w:rPr>
          <w:rFonts w:ascii="Arial" w:hAnsi="Arial" w:cs="Arial"/>
          <w:sz w:val="24"/>
          <w:szCs w:val="24"/>
        </w:rPr>
        <w:t>healthcare organisation in the eastern region of SA.</w:t>
      </w:r>
    </w:p>
    <w:p w14:paraId="10029DF2" w14:textId="77777777" w:rsidR="00EB7F85" w:rsidRPr="00015E81" w:rsidRDefault="00EB7F85" w:rsidP="00EB7F85">
      <w:pPr>
        <w:pStyle w:val="ListParagraph"/>
        <w:numPr>
          <w:ilvl w:val="0"/>
          <w:numId w:val="5"/>
        </w:numPr>
        <w:spacing w:line="360" w:lineRule="auto"/>
        <w:jc w:val="both"/>
        <w:rPr>
          <w:rFonts w:ascii="Arial" w:hAnsi="Arial" w:cs="Arial"/>
          <w:sz w:val="24"/>
          <w:szCs w:val="24"/>
        </w:rPr>
      </w:pPr>
      <w:r w:rsidRPr="001B647B">
        <w:rPr>
          <w:rFonts w:ascii="Arial" w:hAnsi="Arial" w:cs="Arial"/>
          <w:sz w:val="24"/>
          <w:szCs w:val="24"/>
        </w:rPr>
        <w:t>Develop and pilot a questionnaire exploring HCPs</w:t>
      </w:r>
      <w:r>
        <w:rPr>
          <w:rFonts w:ascii="Arial" w:hAnsi="Arial" w:cs="Arial"/>
          <w:sz w:val="24"/>
          <w:szCs w:val="24"/>
        </w:rPr>
        <w:t>’</w:t>
      </w:r>
      <w:r w:rsidRPr="001B647B">
        <w:rPr>
          <w:rFonts w:ascii="Arial" w:hAnsi="Arial" w:cs="Arial"/>
          <w:sz w:val="24"/>
          <w:szCs w:val="24"/>
        </w:rPr>
        <w:t xml:space="preserve"> views of the role of pharmacists in diabetes care in SA and to describe any current pharmacist roles in diabetes care.</w:t>
      </w:r>
      <w:r>
        <w:rPr>
          <w:rFonts w:ascii="Arial" w:hAnsi="Arial" w:cs="Arial"/>
          <w:sz w:val="24"/>
          <w:szCs w:val="24"/>
        </w:rPr>
        <w:t xml:space="preserve"> </w:t>
      </w:r>
      <w:r w:rsidRPr="000B4D0A">
        <w:rPr>
          <w:rFonts w:ascii="Arial" w:hAnsi="Arial" w:cs="Arial"/>
          <w:sz w:val="24"/>
          <w:szCs w:val="24"/>
        </w:rPr>
        <w:t>In addition, to explore barriers and facilitators of pharmacist being involved in diabetes management.</w:t>
      </w:r>
    </w:p>
    <w:p w14:paraId="4F71F394" w14:textId="77777777" w:rsidR="00EB7F85" w:rsidRPr="002A3B6D" w:rsidRDefault="00EB7F85" w:rsidP="00EB7F85">
      <w:pPr>
        <w:pStyle w:val="ListParagraph"/>
        <w:numPr>
          <w:ilvl w:val="0"/>
          <w:numId w:val="5"/>
        </w:numPr>
        <w:spacing w:line="360" w:lineRule="auto"/>
        <w:jc w:val="both"/>
        <w:rPr>
          <w:rFonts w:ascii="Arial" w:hAnsi="Arial" w:cs="Arial"/>
          <w:sz w:val="24"/>
          <w:szCs w:val="24"/>
        </w:rPr>
      </w:pPr>
      <w:r w:rsidRPr="001B647B">
        <w:rPr>
          <w:rFonts w:ascii="Arial" w:hAnsi="Arial" w:cs="Arial"/>
          <w:sz w:val="24"/>
          <w:szCs w:val="24"/>
        </w:rPr>
        <w:t>Identify samples of HCPs (doctors</w:t>
      </w:r>
      <w:r>
        <w:rPr>
          <w:rFonts w:ascii="Arial" w:hAnsi="Arial" w:cs="Arial"/>
          <w:sz w:val="24"/>
          <w:szCs w:val="24"/>
        </w:rPr>
        <w:t xml:space="preserve">, </w:t>
      </w:r>
      <w:r w:rsidRPr="001B647B">
        <w:rPr>
          <w:rFonts w:ascii="Arial" w:hAnsi="Arial" w:cs="Arial"/>
          <w:sz w:val="24"/>
          <w:szCs w:val="24"/>
        </w:rPr>
        <w:t>pharmacists, and nurses) to participate in both phases (qualitative and quantitative) of this study in one geographical region of SA in the primary care setting.</w:t>
      </w:r>
    </w:p>
    <w:p w14:paraId="619A441D" w14:textId="77777777" w:rsidR="00EB7F85" w:rsidRPr="002A3B6D" w:rsidRDefault="00EB7F85" w:rsidP="00EB7F85">
      <w:pPr>
        <w:pStyle w:val="ListParagraph"/>
        <w:numPr>
          <w:ilvl w:val="0"/>
          <w:numId w:val="5"/>
        </w:numPr>
        <w:spacing w:line="360" w:lineRule="auto"/>
        <w:jc w:val="both"/>
        <w:rPr>
          <w:rFonts w:ascii="Arial" w:hAnsi="Arial" w:cs="Arial"/>
          <w:sz w:val="24"/>
          <w:szCs w:val="24"/>
        </w:rPr>
      </w:pPr>
      <w:r w:rsidRPr="001B647B">
        <w:rPr>
          <w:rFonts w:ascii="Arial" w:hAnsi="Arial" w:cs="Arial"/>
          <w:sz w:val="24"/>
          <w:szCs w:val="24"/>
        </w:rPr>
        <w:t>Identify gatekeepers who can facilitate distribution of the survey to doctors</w:t>
      </w:r>
      <w:r>
        <w:rPr>
          <w:rFonts w:ascii="Arial" w:hAnsi="Arial" w:cs="Arial"/>
          <w:sz w:val="24"/>
          <w:szCs w:val="24"/>
        </w:rPr>
        <w:t xml:space="preserve">, </w:t>
      </w:r>
      <w:r w:rsidRPr="001B647B">
        <w:rPr>
          <w:rFonts w:ascii="Arial" w:hAnsi="Arial" w:cs="Arial"/>
          <w:sz w:val="24"/>
          <w:szCs w:val="24"/>
        </w:rPr>
        <w:t>pharmacists, and nurses, and invite them to complete the questionnaire. The survey respondents will be asked directly to express interest in participating in the interviews.</w:t>
      </w:r>
    </w:p>
    <w:p w14:paraId="7633F415" w14:textId="77777777" w:rsidR="00EB7F85" w:rsidRDefault="00EB7F85" w:rsidP="00EB7F85">
      <w:pPr>
        <w:pStyle w:val="ListParagraph"/>
        <w:numPr>
          <w:ilvl w:val="0"/>
          <w:numId w:val="5"/>
        </w:numPr>
        <w:spacing w:line="360" w:lineRule="auto"/>
        <w:jc w:val="both"/>
        <w:rPr>
          <w:rFonts w:ascii="Arial" w:hAnsi="Arial" w:cs="Arial"/>
          <w:sz w:val="24"/>
          <w:szCs w:val="24"/>
        </w:rPr>
      </w:pPr>
      <w:r w:rsidRPr="001B647B">
        <w:rPr>
          <w:rFonts w:ascii="Arial" w:hAnsi="Arial" w:cs="Arial"/>
          <w:sz w:val="24"/>
          <w:szCs w:val="24"/>
        </w:rPr>
        <w:t>Analyse returned survey data and issue a follow-up reminder.</w:t>
      </w:r>
    </w:p>
    <w:p w14:paraId="4227CAE1" w14:textId="77777777" w:rsidR="00EB7F85" w:rsidRPr="000B4D0A" w:rsidRDefault="00EB7F85" w:rsidP="00EB7F85">
      <w:pPr>
        <w:pStyle w:val="ListParagraph"/>
        <w:numPr>
          <w:ilvl w:val="0"/>
          <w:numId w:val="5"/>
        </w:numPr>
        <w:spacing w:line="360" w:lineRule="auto"/>
        <w:jc w:val="both"/>
        <w:rPr>
          <w:rFonts w:ascii="Arial" w:hAnsi="Arial" w:cs="Arial"/>
          <w:sz w:val="24"/>
          <w:szCs w:val="24"/>
        </w:rPr>
      </w:pPr>
      <w:r w:rsidRPr="000B4D0A">
        <w:rPr>
          <w:rFonts w:ascii="Arial" w:hAnsi="Arial" w:cs="Arial"/>
          <w:sz w:val="24"/>
          <w:szCs w:val="24"/>
        </w:rPr>
        <w:t>Us</w:t>
      </w:r>
      <w:r>
        <w:rPr>
          <w:rFonts w:ascii="Arial" w:hAnsi="Arial" w:cs="Arial"/>
          <w:sz w:val="24"/>
          <w:szCs w:val="24"/>
        </w:rPr>
        <w:t>e</w:t>
      </w:r>
      <w:r w:rsidRPr="000B4D0A">
        <w:rPr>
          <w:rFonts w:ascii="Arial" w:hAnsi="Arial" w:cs="Arial"/>
          <w:sz w:val="24"/>
          <w:szCs w:val="24"/>
        </w:rPr>
        <w:t xml:space="preserve"> the survey results to develop and pilot an interview topic guide.</w:t>
      </w:r>
    </w:p>
    <w:p w14:paraId="0B9F0052" w14:textId="77777777" w:rsidR="00EB7F85" w:rsidRPr="000B4D0A" w:rsidRDefault="00EB7F85" w:rsidP="00EB7F85">
      <w:pPr>
        <w:pStyle w:val="ListParagraph"/>
        <w:numPr>
          <w:ilvl w:val="0"/>
          <w:numId w:val="5"/>
        </w:numPr>
        <w:spacing w:line="360" w:lineRule="auto"/>
        <w:jc w:val="both"/>
        <w:rPr>
          <w:rFonts w:ascii="Arial" w:hAnsi="Arial" w:cs="Arial"/>
          <w:sz w:val="24"/>
          <w:szCs w:val="24"/>
        </w:rPr>
      </w:pPr>
      <w:r w:rsidRPr="001B647B">
        <w:rPr>
          <w:rFonts w:ascii="Arial" w:hAnsi="Arial" w:cs="Arial"/>
          <w:sz w:val="24"/>
          <w:szCs w:val="24"/>
        </w:rPr>
        <w:t xml:space="preserve">Invite further purposive sample of survey participants </w:t>
      </w:r>
      <w:r w:rsidRPr="000B4D0A">
        <w:rPr>
          <w:rFonts w:ascii="Arial" w:hAnsi="Arial" w:cs="Arial"/>
          <w:sz w:val="24"/>
          <w:szCs w:val="24"/>
        </w:rPr>
        <w:t xml:space="preserve">(via gatekeepers) </w:t>
      </w:r>
      <w:r w:rsidRPr="001B647B">
        <w:rPr>
          <w:rFonts w:ascii="Arial" w:hAnsi="Arial" w:cs="Arial"/>
          <w:sz w:val="24"/>
          <w:szCs w:val="24"/>
        </w:rPr>
        <w:t>to take part in qualitative semi-structured interviews.</w:t>
      </w:r>
      <w:r>
        <w:rPr>
          <w:rFonts w:ascii="Arial" w:hAnsi="Arial" w:cs="Arial"/>
          <w:sz w:val="24"/>
          <w:szCs w:val="24"/>
        </w:rPr>
        <w:t xml:space="preserve"> </w:t>
      </w:r>
      <w:r w:rsidRPr="000B4D0A">
        <w:rPr>
          <w:rFonts w:ascii="Arial" w:hAnsi="Arial" w:cs="Arial"/>
          <w:sz w:val="24"/>
          <w:szCs w:val="24"/>
        </w:rPr>
        <w:t>This will be done if the response rate from the survey did not reach the targeted number for this phase.</w:t>
      </w:r>
    </w:p>
    <w:p w14:paraId="6DDBF073" w14:textId="77777777" w:rsidR="00EB7F85" w:rsidRPr="001B647B" w:rsidRDefault="00EB7F85" w:rsidP="00EB7F85">
      <w:pPr>
        <w:pStyle w:val="ListParagraph"/>
        <w:numPr>
          <w:ilvl w:val="0"/>
          <w:numId w:val="5"/>
        </w:numPr>
        <w:spacing w:line="360" w:lineRule="auto"/>
        <w:jc w:val="both"/>
        <w:rPr>
          <w:rFonts w:ascii="Arial" w:hAnsi="Arial" w:cs="Arial"/>
          <w:sz w:val="24"/>
          <w:szCs w:val="24"/>
        </w:rPr>
      </w:pPr>
      <w:r w:rsidRPr="001B647B">
        <w:rPr>
          <w:rFonts w:ascii="Arial" w:hAnsi="Arial" w:cs="Arial"/>
          <w:sz w:val="24"/>
          <w:szCs w:val="24"/>
        </w:rPr>
        <w:t xml:space="preserve">Analyse interviews using Braun and Clark’s (2006) 6-stage thematic analysis process. </w:t>
      </w:r>
    </w:p>
    <w:p w14:paraId="29A4617E" w14:textId="77777777" w:rsidR="00EB7F85" w:rsidRDefault="00EB7F85" w:rsidP="00EB7F85">
      <w:pPr>
        <w:pStyle w:val="ListParagraph"/>
        <w:numPr>
          <w:ilvl w:val="0"/>
          <w:numId w:val="5"/>
        </w:numPr>
        <w:spacing w:line="360" w:lineRule="auto"/>
        <w:jc w:val="both"/>
        <w:rPr>
          <w:rFonts w:ascii="Arial" w:hAnsi="Arial" w:cs="Arial"/>
          <w:sz w:val="24"/>
          <w:szCs w:val="24"/>
        </w:rPr>
      </w:pPr>
      <w:r w:rsidRPr="001B647B">
        <w:rPr>
          <w:rFonts w:ascii="Arial" w:hAnsi="Arial" w:cs="Arial"/>
          <w:sz w:val="24"/>
          <w:szCs w:val="24"/>
        </w:rPr>
        <w:t>Triangulate quantitative survey and qualitative interview data.</w:t>
      </w:r>
    </w:p>
    <w:p w14:paraId="223CE00A" w14:textId="77777777" w:rsidR="00EB7F85" w:rsidRPr="00C46136" w:rsidRDefault="00EB7F85" w:rsidP="00EB7F85">
      <w:pPr>
        <w:pStyle w:val="ListParagraph"/>
        <w:numPr>
          <w:ilvl w:val="0"/>
          <w:numId w:val="5"/>
        </w:numPr>
        <w:spacing w:line="360" w:lineRule="auto"/>
        <w:jc w:val="both"/>
        <w:rPr>
          <w:rFonts w:ascii="Arial" w:hAnsi="Arial" w:cs="Arial"/>
          <w:sz w:val="24"/>
          <w:szCs w:val="24"/>
        </w:rPr>
        <w:sectPr w:rsidR="00EB7F85" w:rsidRPr="00C46136" w:rsidSect="005F2D78">
          <w:pgSz w:w="12240" w:h="15840"/>
          <w:pgMar w:top="1440" w:right="1440" w:bottom="1440" w:left="1440" w:header="720" w:footer="720" w:gutter="0"/>
          <w:pgNumType w:start="48"/>
          <w:cols w:space="720"/>
          <w:docGrid w:linePitch="360"/>
        </w:sectPr>
      </w:pPr>
      <w:r>
        <w:rPr>
          <w:rFonts w:ascii="Arial" w:hAnsi="Arial" w:cs="Arial"/>
          <w:sz w:val="24"/>
          <w:szCs w:val="24"/>
        </w:rPr>
        <w:t>Provide recommendations for future primary diabetes care practice and research.</w:t>
      </w:r>
    </w:p>
    <w:p w14:paraId="146B9B21" w14:textId="77777777" w:rsidR="00EB7F85" w:rsidRDefault="00EB7F85" w:rsidP="00EB7F85">
      <w:pPr>
        <w:pStyle w:val="Heading2"/>
        <w:numPr>
          <w:ilvl w:val="1"/>
          <w:numId w:val="14"/>
        </w:numPr>
        <w:tabs>
          <w:tab w:val="num" w:pos="360"/>
        </w:tabs>
        <w:spacing w:line="257" w:lineRule="auto"/>
        <w:ind w:left="0" w:firstLine="0"/>
      </w:pPr>
      <w:bookmarkStart w:id="92" w:name="_Toc122626390"/>
      <w:bookmarkStart w:id="93" w:name="_Toc153894169"/>
      <w:r>
        <w:t>Research design</w:t>
      </w:r>
      <w:bookmarkEnd w:id="92"/>
      <w:bookmarkEnd w:id="93"/>
      <w:r>
        <w:t xml:space="preserve"> </w:t>
      </w:r>
    </w:p>
    <w:p w14:paraId="7F2AFD01" w14:textId="77777777" w:rsidR="00EB7F85" w:rsidRPr="00E916EC" w:rsidRDefault="00EB7F85" w:rsidP="00EB7F85">
      <w:pPr>
        <w:spacing w:after="0"/>
      </w:pPr>
    </w:p>
    <w:p w14:paraId="2F38FC29" w14:textId="77777777" w:rsidR="00EB7F85" w:rsidRDefault="00EB7F85" w:rsidP="00EB7F85">
      <w:pPr>
        <w:pStyle w:val="Heading3"/>
        <w:numPr>
          <w:ilvl w:val="2"/>
          <w:numId w:val="14"/>
        </w:numPr>
        <w:tabs>
          <w:tab w:val="num" w:pos="360"/>
        </w:tabs>
        <w:spacing w:line="257" w:lineRule="auto"/>
        <w:ind w:left="0" w:firstLine="0"/>
      </w:pPr>
      <w:bookmarkStart w:id="94" w:name="_Toc122626391"/>
      <w:bookmarkStart w:id="95" w:name="_Toc153894170"/>
      <w:r>
        <w:t>Research philosophy</w:t>
      </w:r>
      <w:bookmarkEnd w:id="94"/>
      <w:bookmarkEnd w:id="95"/>
      <w:r>
        <w:t xml:space="preserve"> </w:t>
      </w:r>
    </w:p>
    <w:p w14:paraId="382E80D8" w14:textId="77777777" w:rsidR="00EB7F85" w:rsidRPr="000D7C24" w:rsidRDefault="00EB7F85" w:rsidP="00EB7F85">
      <w:pPr>
        <w:spacing w:line="360" w:lineRule="auto"/>
        <w:jc w:val="both"/>
        <w:rPr>
          <w:rFonts w:ascii="Arial" w:hAnsi="Arial" w:cs="Arial"/>
          <w:sz w:val="24"/>
          <w:szCs w:val="24"/>
        </w:rPr>
      </w:pPr>
      <w:r w:rsidRPr="000D7C24">
        <w:rPr>
          <w:rFonts w:ascii="Arial" w:hAnsi="Arial" w:cs="Arial"/>
          <w:sz w:val="24"/>
          <w:szCs w:val="24"/>
        </w:rPr>
        <w:t>A research philosophy is an overarching term that refers to “</w:t>
      </w:r>
      <w:r w:rsidRPr="000D7C24">
        <w:rPr>
          <w:rFonts w:ascii="Arial" w:hAnsi="Arial" w:cs="Arial"/>
          <w:i/>
          <w:iCs/>
          <w:sz w:val="24"/>
          <w:szCs w:val="24"/>
        </w:rPr>
        <w:t>a system of beliefs and assumptions about the development of knowledge</w:t>
      </w:r>
      <w:r w:rsidRPr="000D7C24">
        <w:rPr>
          <w:rFonts w:ascii="Arial" w:hAnsi="Arial" w:cs="Arial"/>
          <w:sz w:val="24"/>
          <w:szCs w:val="24"/>
        </w:rPr>
        <w:t>”</w:t>
      </w:r>
      <w:r w:rsidRPr="000D7C24">
        <w:rPr>
          <w:rFonts w:ascii="Arial" w:hAnsi="Arial" w:cs="Arial"/>
          <w:sz w:val="24"/>
          <w:szCs w:val="24"/>
        </w:rPr>
        <w:fldChar w:fldCharType="begin" w:fldLock="1"/>
      </w:r>
      <w:r w:rsidRPr="000D7C24">
        <w:rPr>
          <w:rFonts w:ascii="Arial" w:hAnsi="Arial" w:cs="Arial"/>
          <w:sz w:val="24"/>
          <w:szCs w:val="24"/>
        </w:rPr>
        <w:instrText>ADDIN CSL_CITATION {"citationItems":[{"id":"ITEM-1","itemData":{"author":[{"dropping-particle":"","family":"Saunders","given":"Mark NK","non-dropping-particle":"","parse-names":false,"suffix":""}],"id":"ITEM-1","issue":"January 2009","issued":{"date-parts":[["2016"]]},"title":"Understanding research philosophies and approaches","type":"article-journal"},"uris":["http://www.mendeley.com/documents/?uuid=2c5348a7-f915-47a7-9e60-84e98e80b1b1"]}],"mendeley":{"formattedCitation":"(Saunders, 2016)","manualFormatting":"(Saunders, 2016, p124)","plainTextFormattedCitation":"(Saunders, 2016)","previouslyFormattedCitation":"(Saunders, 2016)"},"properties":{"noteIndex":0},"schema":"https://github.com/citation-style-language/schema/raw/master/csl-citation.json"}</w:instrText>
      </w:r>
      <w:r w:rsidRPr="000D7C24">
        <w:rPr>
          <w:rFonts w:ascii="Arial" w:hAnsi="Arial" w:cs="Arial"/>
          <w:sz w:val="24"/>
          <w:szCs w:val="24"/>
        </w:rPr>
        <w:fldChar w:fldCharType="separate"/>
      </w:r>
      <w:r w:rsidRPr="000D7C24">
        <w:rPr>
          <w:rFonts w:ascii="Arial" w:hAnsi="Arial" w:cs="Arial"/>
          <w:noProof/>
          <w:sz w:val="24"/>
          <w:szCs w:val="24"/>
        </w:rPr>
        <w:t>(Saunders, 2016, p124)</w:t>
      </w:r>
      <w:r w:rsidRPr="000D7C24">
        <w:rPr>
          <w:rFonts w:ascii="Arial" w:hAnsi="Arial" w:cs="Arial"/>
          <w:sz w:val="24"/>
          <w:szCs w:val="24"/>
        </w:rPr>
        <w:fldChar w:fldCharType="end"/>
      </w:r>
      <w:r w:rsidRPr="000D7C24">
        <w:rPr>
          <w:rFonts w:ascii="Arial" w:hAnsi="Arial" w:cs="Arial"/>
          <w:sz w:val="24"/>
          <w:szCs w:val="24"/>
        </w:rPr>
        <w:t>.  According to Saunders, there are three philosophical assumptions that shape research philosophy. These are ontological assumptions (the realities or truths that a researcher perceived in the research), epistemological assumptions (the researcher's knowledge or understanding of the field of research), and axiological assumptions (the extent and ways in which the researcher's values influence the research process, in other words, the researcher's contribution to the research). These assumptions frame the research philosophy because they inevitably affect researchers' understanding of research questions, their choice of methods to conduct their research, and how they interpret research results</w:t>
      </w:r>
      <w:r>
        <w:rPr>
          <w:rFonts w:ascii="Arial" w:hAnsi="Arial" w:cs="Arial"/>
          <w:sz w:val="24"/>
          <w:szCs w:val="24"/>
        </w:rPr>
        <w:t xml:space="preserve"> </w:t>
      </w:r>
      <w:r w:rsidRPr="000D7C24">
        <w:rPr>
          <w:rFonts w:ascii="Arial" w:hAnsi="Arial" w:cs="Arial"/>
          <w:sz w:val="24"/>
          <w:szCs w:val="24"/>
        </w:rPr>
        <w:fldChar w:fldCharType="begin" w:fldLock="1"/>
      </w:r>
      <w:r w:rsidRPr="000D7C24">
        <w:rPr>
          <w:rFonts w:ascii="Arial" w:hAnsi="Arial" w:cs="Arial"/>
          <w:sz w:val="24"/>
          <w:szCs w:val="24"/>
        </w:rPr>
        <w:instrText>ADDIN CSL_CITATION {"citationItems":[{"id":"ITEM-1","itemData":{"author":[{"dropping-particle":"","family":"Saunders","given":"Mark NK","non-dropping-particle":"","parse-names":false,"suffix":""}],"id":"ITEM-1","issue":"January 2009","issued":{"date-parts":[["2016"]]},"title":"Understanding research philosophies and approaches","type":"article-journal"},"uris":["http://www.mendeley.com/documents/?uuid=2c5348a7-f915-47a7-9e60-84e98e80b1b1"]}],"mendeley":{"formattedCitation":"(Saunders, 2016)","plainTextFormattedCitation":"(Saunders, 2016)","previouslyFormattedCitation":"(Saunders, 2016)"},"properties":{"noteIndex":0},"schema":"https://github.com/citation-style-language/schema/raw/master/csl-citation.json"}</w:instrText>
      </w:r>
      <w:r w:rsidRPr="000D7C24">
        <w:rPr>
          <w:rFonts w:ascii="Arial" w:hAnsi="Arial" w:cs="Arial"/>
          <w:sz w:val="24"/>
          <w:szCs w:val="24"/>
        </w:rPr>
        <w:fldChar w:fldCharType="separate"/>
      </w:r>
      <w:r w:rsidRPr="000D7C24">
        <w:rPr>
          <w:rFonts w:ascii="Arial" w:hAnsi="Arial" w:cs="Arial"/>
          <w:noProof/>
          <w:sz w:val="24"/>
          <w:szCs w:val="24"/>
        </w:rPr>
        <w:t>(Saunders, 2016)</w:t>
      </w:r>
      <w:r w:rsidRPr="000D7C24">
        <w:rPr>
          <w:rFonts w:ascii="Arial" w:hAnsi="Arial" w:cs="Arial"/>
          <w:sz w:val="24"/>
          <w:szCs w:val="24"/>
        </w:rPr>
        <w:fldChar w:fldCharType="end"/>
      </w:r>
      <w:r>
        <w:rPr>
          <w:rFonts w:ascii="Arial" w:hAnsi="Arial" w:cs="Arial"/>
          <w:sz w:val="24"/>
          <w:szCs w:val="24"/>
        </w:rPr>
        <w:t>.</w:t>
      </w:r>
    </w:p>
    <w:p w14:paraId="6B11B10A" w14:textId="77777777" w:rsidR="00EB7F85" w:rsidRPr="000D7C24" w:rsidRDefault="00EB7F85" w:rsidP="00EB7F85">
      <w:pPr>
        <w:spacing w:line="360" w:lineRule="auto"/>
        <w:jc w:val="both"/>
        <w:rPr>
          <w:rFonts w:ascii="Arial" w:hAnsi="Arial" w:cs="Arial"/>
          <w:sz w:val="24"/>
          <w:szCs w:val="24"/>
        </w:rPr>
      </w:pPr>
      <w:r w:rsidRPr="000D7C24">
        <w:rPr>
          <w:rFonts w:ascii="Arial" w:hAnsi="Arial" w:cs="Arial"/>
          <w:sz w:val="24"/>
          <w:szCs w:val="24"/>
        </w:rPr>
        <w:t>The most common research philosophies/ paradigms are positivism, constructivism/interpretivism, and pragmatism. These Philosophical worldviews are fundamentally different in aspects of reality. Researchers see reality objectively in positivism, in contrast, they see reality subjectively in interpretivism, while they view reality objectively and subjectively in pragmatism.</w:t>
      </w:r>
    </w:p>
    <w:p w14:paraId="20C1ACEB" w14:textId="77777777" w:rsidR="00EB7F85" w:rsidRPr="000D7C24" w:rsidRDefault="00EB7F85" w:rsidP="00EB7F85">
      <w:pPr>
        <w:spacing w:line="360" w:lineRule="auto"/>
        <w:jc w:val="both"/>
        <w:rPr>
          <w:rFonts w:ascii="Arial" w:hAnsi="Arial" w:cs="Arial"/>
          <w:sz w:val="24"/>
          <w:szCs w:val="24"/>
        </w:rPr>
      </w:pPr>
      <w:r w:rsidRPr="000D7C24">
        <w:rPr>
          <w:rFonts w:ascii="Arial" w:hAnsi="Arial" w:cs="Arial"/>
          <w:sz w:val="24"/>
          <w:szCs w:val="24"/>
        </w:rPr>
        <w:t>The positivism paradigm is generally referred to science research and it usually begins with a theory or a number of theories. Positivists use the deductive approach to develop a hypothesis based on existing theory (i.e.</w:t>
      </w:r>
      <w:r w:rsidRPr="000D7C24">
        <w:t xml:space="preserve"> </w:t>
      </w:r>
      <w:r w:rsidRPr="000D7C24">
        <w:rPr>
          <w:rFonts w:ascii="Arial" w:hAnsi="Arial" w:cs="Arial"/>
          <w:sz w:val="24"/>
          <w:szCs w:val="24"/>
        </w:rPr>
        <w:t xml:space="preserve">theory-guided research) </w:t>
      </w:r>
      <w:r w:rsidRPr="000D7C24">
        <w:rPr>
          <w:rFonts w:ascii="Arial" w:hAnsi="Arial" w:cs="Arial"/>
          <w:sz w:val="24"/>
          <w:szCs w:val="24"/>
        </w:rPr>
        <w:fldChar w:fldCharType="begin" w:fldLock="1"/>
      </w:r>
      <w:r w:rsidRPr="000D7C24">
        <w:rPr>
          <w:rFonts w:ascii="Arial" w:hAnsi="Arial" w:cs="Arial"/>
          <w:sz w:val="24"/>
          <w:szCs w:val="24"/>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2011)","plainTextFormattedCitation":"(Aparasu, 2011)","previouslyFormattedCitation":"(Aparasu, 2011)"},"properties":{"noteIndex":0},"schema":"https://github.com/citation-style-language/schema/raw/master/csl-citation.json"}</w:instrText>
      </w:r>
      <w:r w:rsidRPr="000D7C24">
        <w:rPr>
          <w:rFonts w:ascii="Arial" w:hAnsi="Arial" w:cs="Arial"/>
          <w:sz w:val="24"/>
          <w:szCs w:val="24"/>
        </w:rPr>
        <w:fldChar w:fldCharType="separate"/>
      </w:r>
      <w:r w:rsidRPr="000D7C24">
        <w:rPr>
          <w:rFonts w:ascii="Arial" w:hAnsi="Arial" w:cs="Arial"/>
          <w:noProof/>
          <w:sz w:val="24"/>
          <w:szCs w:val="24"/>
        </w:rPr>
        <w:t>(Aparasu, 2011)</w:t>
      </w:r>
      <w:r w:rsidRPr="000D7C24">
        <w:rPr>
          <w:rFonts w:ascii="Arial" w:hAnsi="Arial" w:cs="Arial"/>
          <w:sz w:val="24"/>
          <w:szCs w:val="24"/>
        </w:rPr>
        <w:fldChar w:fldCharType="end"/>
      </w:r>
      <w:r w:rsidRPr="000D7C24">
        <w:rPr>
          <w:rFonts w:ascii="Arial" w:hAnsi="Arial" w:cs="Arial"/>
          <w:sz w:val="24"/>
          <w:szCs w:val="24"/>
        </w:rPr>
        <w:t xml:space="preserve">. Positivists test the existing theory/ies via quantitative methods. In contrast, then the constructivism/interpretivist paradigm does not begin with a theory but constructivists generate or develop a theory from data </w:t>
      </w:r>
      <w:r w:rsidRPr="000D7C24">
        <w:rPr>
          <w:rFonts w:ascii="Arial" w:hAnsi="Arial" w:cs="Arial"/>
          <w:sz w:val="24"/>
          <w:szCs w:val="24"/>
        </w:rPr>
        <w:fldChar w:fldCharType="begin" w:fldLock="1"/>
      </w:r>
      <w:r w:rsidRPr="000D7C24">
        <w:rPr>
          <w:rFonts w:ascii="Arial" w:hAnsi="Arial" w:cs="Arial"/>
          <w:sz w:val="24"/>
          <w:szCs w:val="24"/>
        </w:rPr>
        <w:instrText>ADDIN CSL_CITATION {"citationItems":[{"id":"ITEM-1","itemData":{"ISSN":"03137155","abstract":"In this article the authors discuss issues faced by early career researchers, including the dichotomy, which many research textbooks and journal articles create and perpetuate between qualitative and quantitative research methodology despite considerable literature to support the use of mixed methods. The authors review current research literature and discuss some of the language, which can prove confusing to the early career researcher and problematic for post-graduate supervisors and teachers of research. The authors argue that discussions of research methods in research texts and university courses should include mixed methods and should address the perceived dichotomy between qualitative and quantitative research methodology.","author":[{"dropping-particle":"","family":"Mackenzie","given":"Noella","non-dropping-particle":"","parse-names":false,"suffix":""},{"dropping-particle":"","family":"Knipe","given":"Sally","non-dropping-particle":"","parse-names":false,"suffix":""}],"container-title":"Issues in Educational Research","id":"ITEM-1","issue":"2","issued":{"date-parts":[["2006"]]},"page":"1-13","title":"Research dilemmas: Paradigms, methods and methodology","type":"article-journal","volume":"16"},"uris":["http://www.mendeley.com/documents/?uuid=a8c6606b-60d5-4fdc-90ce-53dca6a8b624"]}],"mendeley":{"formattedCitation":"(Mackenzie and Knipe, 2006)","plainTextFormattedCitation":"(Mackenzie and Knipe, 2006)","previouslyFormattedCitation":"(Mackenzie and Knipe, 2006)"},"properties":{"noteIndex":0},"schema":"https://github.com/citation-style-language/schema/raw/master/csl-citation.json"}</w:instrText>
      </w:r>
      <w:r w:rsidRPr="000D7C24">
        <w:rPr>
          <w:rFonts w:ascii="Arial" w:hAnsi="Arial" w:cs="Arial"/>
          <w:sz w:val="24"/>
          <w:szCs w:val="24"/>
        </w:rPr>
        <w:fldChar w:fldCharType="separate"/>
      </w:r>
      <w:r w:rsidRPr="000D7C24">
        <w:rPr>
          <w:rFonts w:ascii="Arial" w:hAnsi="Arial" w:cs="Arial"/>
          <w:noProof/>
          <w:sz w:val="24"/>
          <w:szCs w:val="24"/>
        </w:rPr>
        <w:t>(Mackenzie and Knipe, 2006)</w:t>
      </w:r>
      <w:r w:rsidRPr="000D7C24">
        <w:rPr>
          <w:rFonts w:ascii="Arial" w:hAnsi="Arial" w:cs="Arial"/>
          <w:sz w:val="24"/>
          <w:szCs w:val="24"/>
        </w:rPr>
        <w:fldChar w:fldCharType="end"/>
      </w:r>
      <w:r w:rsidRPr="000D7C24">
        <w:rPr>
          <w:rFonts w:ascii="Arial" w:hAnsi="Arial" w:cs="Arial"/>
          <w:sz w:val="24"/>
          <w:szCs w:val="24"/>
        </w:rPr>
        <w:t xml:space="preserve"> via an inductive approach using qualitative methods. Constructivists tend to rely upon the “</w:t>
      </w:r>
      <w:r w:rsidRPr="000D7C24">
        <w:rPr>
          <w:rFonts w:ascii="Arial" w:hAnsi="Arial" w:cs="Arial"/>
          <w:i/>
          <w:iCs/>
          <w:sz w:val="24"/>
          <w:szCs w:val="24"/>
        </w:rPr>
        <w:t>participants’ views of the situation being studied</w:t>
      </w:r>
      <w:r w:rsidRPr="000D7C24">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{"citationItems":[{"id":"ITEM-1","itemData":{"author":[{"dropping-particle":"","family":"Creswell","given":"J. W","non-dropping-particle":"","parse-names":false,"suffix":""}],"edition":"2nd ed","id":"ITEM-1","issued":{"date-parts":[["2003"]]},"note":"Creswell, J. W. (2003) Research design : qualitative, quantitative, and mixed methods approaches. 2nd ed. Thousand Oaks, Calif. ; London: Sage.","publisher":"SAGE PublicationsSage UK: London, England","publisher-place":"London","title":"Research design : qualitative, quantitative, and mixed methods approaches","type":"book"},"uris":["http://www.mendeley.com/documents/?uuid=1312e578-68aa-45db-a53f-7a80585bae1a"]}],"mendeley":{"formattedCitation":"(Creswell, 2003)","manualFormatting":"(Creswell, 2003, p.8)","plainTextFormattedCitation":"(Creswell, 2003)","previouslyFormattedCitation":"(Creswell, 2003)"},"properties":{"noteIndex":0},"schema":"https://github.com/citation-style-language/schema/raw/master/csl-citation.json"}</w:instrText>
      </w:r>
      <w:r>
        <w:rPr>
          <w:rFonts w:ascii="Arial" w:hAnsi="Arial" w:cs="Arial"/>
          <w:sz w:val="24"/>
          <w:szCs w:val="24"/>
        </w:rPr>
        <w:fldChar w:fldCharType="separate"/>
      </w:r>
      <w:r w:rsidRPr="00D463DC">
        <w:rPr>
          <w:rFonts w:ascii="Arial" w:hAnsi="Arial" w:cs="Arial"/>
          <w:noProof/>
          <w:sz w:val="24"/>
          <w:szCs w:val="24"/>
        </w:rPr>
        <w:t>(Creswell, 2003</w:t>
      </w:r>
      <w:r>
        <w:rPr>
          <w:rFonts w:ascii="Arial" w:hAnsi="Arial" w:cs="Arial"/>
          <w:noProof/>
          <w:sz w:val="24"/>
          <w:szCs w:val="24"/>
        </w:rPr>
        <w:t xml:space="preserve">, </w:t>
      </w:r>
      <w:r w:rsidRPr="000D7C24">
        <w:rPr>
          <w:rFonts w:ascii="Arial" w:hAnsi="Arial" w:cs="Arial"/>
          <w:noProof/>
          <w:sz w:val="24"/>
          <w:szCs w:val="24"/>
        </w:rPr>
        <w:t>p.8</w:t>
      </w:r>
      <w:r w:rsidRPr="00D463DC">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r w:rsidRPr="000D7C24">
        <w:rPr>
          <w:rFonts w:ascii="Arial" w:hAnsi="Arial" w:cs="Arial"/>
          <w:sz w:val="24"/>
          <w:szCs w:val="24"/>
        </w:rPr>
        <w:t xml:space="preserve"> While, pragmatists rely on a combination of both qualitative and quantitative methods (mixed methods) to answer the research question/s </w:t>
      </w:r>
      <w:r w:rsidRPr="000D7C24">
        <w:rPr>
          <w:rFonts w:ascii="Arial" w:hAnsi="Arial" w:cs="Arial"/>
          <w:sz w:val="24"/>
          <w:szCs w:val="24"/>
        </w:rPr>
        <w:fldChar w:fldCharType="begin" w:fldLock="1"/>
      </w:r>
      <w:r w:rsidRPr="000D7C24">
        <w:rPr>
          <w:rFonts w:ascii="Arial" w:hAnsi="Arial" w:cs="Arial"/>
          <w:sz w:val="24"/>
          <w:szCs w:val="24"/>
        </w:rPr>
        <w:instrText>ADDIN CSL_CITATION {"citationItems":[{"id":"ITEM-1","itemData":{"ISSN":"03137155","abstract":"In this article the authors discuss issues faced by early career researchers, including the dichotomy, which many research textbooks and journal articles create and perpetuate between qualitative and quantitative research methodology despite considerable literature to support the use of mixed methods. The authors review current research literature and discuss some of the language, which can prove confusing to the early career researcher and problematic for post-graduate supervisors and teachers of research. The authors argue that discussions of research methods in research texts and university courses should include mixed methods and should address the perceived dichotomy between qualitative and quantitative research methodology.","author":[{"dropping-particle":"","family":"Mackenzie","given":"Noella","non-dropping-particle":"","parse-names":false,"suffix":""},{"dropping-particle":"","family":"Knipe","given":"Sally","non-dropping-particle":"","parse-names":false,"suffix":""}],"container-title":"Issues in Educational Research","id":"ITEM-1","issue":"2","issued":{"date-parts":[["2006"]]},"page":"1-13","title":"Research dilemmas: Paradigms, methods and methodology","type":"article-journal","volume":"16"},"uris":["http://www.mendeley.com/documents/?uuid=a8c6606b-60d5-4fdc-90ce-53dca6a8b624"]}],"mendeley":{"formattedCitation":"(Mackenzie and Knipe, 2006)","plainTextFormattedCitation":"(Mackenzie and Knipe, 2006)","previouslyFormattedCitation":"(Mackenzie and Knipe, 2006)"},"properties":{"noteIndex":0},"schema":"https://github.com/citation-style-language/schema/raw/master/csl-citation.json"}</w:instrText>
      </w:r>
      <w:r w:rsidRPr="000D7C24">
        <w:rPr>
          <w:rFonts w:ascii="Arial" w:hAnsi="Arial" w:cs="Arial"/>
          <w:sz w:val="24"/>
          <w:szCs w:val="24"/>
        </w:rPr>
        <w:fldChar w:fldCharType="separate"/>
      </w:r>
      <w:r w:rsidRPr="000D7C24">
        <w:rPr>
          <w:rFonts w:ascii="Arial" w:hAnsi="Arial" w:cs="Arial"/>
          <w:noProof/>
          <w:sz w:val="24"/>
          <w:szCs w:val="24"/>
        </w:rPr>
        <w:t>(Mackenzie and Knipe, 2006)</w:t>
      </w:r>
      <w:r w:rsidRPr="000D7C24">
        <w:rPr>
          <w:rFonts w:ascii="Arial" w:hAnsi="Arial" w:cs="Arial"/>
          <w:sz w:val="24"/>
          <w:szCs w:val="24"/>
        </w:rPr>
        <w:fldChar w:fldCharType="end"/>
      </w:r>
      <w:r w:rsidRPr="000D7C24">
        <w:rPr>
          <w:rFonts w:ascii="Arial" w:hAnsi="Arial" w:cs="Arial"/>
          <w:sz w:val="24"/>
          <w:szCs w:val="24"/>
        </w:rPr>
        <w:t xml:space="preserve">. Therefore, pragmatists use the abduction approach, where the researcher moves back and forth between deduction and induction to connect theory and data. Their position also proposes the intersubjectivity “relationship to the research process” and transferability “inference from data” </w:t>
      </w:r>
      <w:r>
        <w:rPr>
          <w:rFonts w:ascii="Arial" w:hAnsi="Arial" w:cs="Arial"/>
          <w:sz w:val="24"/>
          <w:szCs w:val="24"/>
        </w:rPr>
        <w:fldChar w:fldCharType="begin" w:fldLock="1"/>
      </w:r>
      <w:r>
        <w:rPr>
          <w:rFonts w:ascii="Arial" w:hAnsi="Arial" w:cs="Arial"/>
          <w:sz w:val="24"/>
          <w:szCs w:val="24"/>
        </w:rPr>
        <w:instrText>ADDIN CSL_CITATION {"citationItems":[{"id":"ITEM-1","itemData":{"DOI":"10.1177/2345678906292462","ISSN":"15586901","abstract":"This article examines several methodological issues associated with combining qualitative and quantitative methods by comparing the increasing interest in this topic with the earlier renewal of interest in qualitative research during the 1980s. The first section argues for the value of Kuhn’s concept of paradigm shifts as a tool for examining changes in research fields such as social science research methodology. The next two sections consider the initial rise of the “metaphysical paradigm” that justified the renewed interest in qualitative research and the subsequent problems that have encouraged efforts to replace that paradigm. The final section of the paper advocates a “pragmatic approach” as a new guiding paradigm in social science research methods, both as a basis for supporting work that combines qualitative and quantitative methods and as a way to redirect our attention to methodological rather than metaphysical concerns. © 2007, SAGE Publications. All rights reserved.","author":[{"dropping-particle":"","family":"Morgan","given":"David L.","non-dropping-particle":"","parse-names":false,"suffix":""}],"container-title":"Journal of Mixed Methods Research","id":"ITEM-1","issue":"1","issued":{"date-parts":[["2007"]]},"page":"48-76","title":"Paradigms Lost and Pragmatism Regained: Methodological Implications of Combining Qualitative and Quantitative Methods","type":"article-journal","volume":"1"},"uris":["http://www.mendeley.com/documents/?uuid=baf1925c-1d9f-490b-a916-932f67c2e4b7"]}],"mendeley":{"formattedCitation":"(Morgan, 2007)","plainTextFormattedCitation":"(Morgan, 2007)","previouslyFormattedCitation":"(Morgan, 2007)"},"properties":{"noteIndex":0},"schema":"https://github.com/citation-style-language/schema/raw/master/csl-citation.json"}</w:instrText>
      </w:r>
      <w:r>
        <w:rPr>
          <w:rFonts w:ascii="Arial" w:hAnsi="Arial" w:cs="Arial"/>
          <w:sz w:val="24"/>
          <w:szCs w:val="24"/>
        </w:rPr>
        <w:fldChar w:fldCharType="separate"/>
      </w:r>
      <w:r w:rsidRPr="00D228A9">
        <w:rPr>
          <w:rFonts w:ascii="Arial" w:hAnsi="Arial" w:cs="Arial"/>
          <w:noProof/>
          <w:sz w:val="24"/>
          <w:szCs w:val="24"/>
        </w:rPr>
        <w:t>(Morgan, 2007)</w:t>
      </w:r>
      <w:r>
        <w:rPr>
          <w:rFonts w:ascii="Arial" w:hAnsi="Arial" w:cs="Arial"/>
          <w:sz w:val="24"/>
          <w:szCs w:val="24"/>
        </w:rPr>
        <w:fldChar w:fldCharType="end"/>
      </w:r>
      <w:r>
        <w:rPr>
          <w:rFonts w:ascii="Arial" w:hAnsi="Arial" w:cs="Arial"/>
          <w:sz w:val="24"/>
          <w:szCs w:val="24"/>
        </w:rPr>
        <w:t>.</w:t>
      </w:r>
      <w:r w:rsidRPr="000D7C24">
        <w:rPr>
          <w:rFonts w:ascii="Arial" w:hAnsi="Arial" w:cs="Arial"/>
          <w:sz w:val="24"/>
          <w:szCs w:val="24"/>
        </w:rPr>
        <w:t xml:space="preserve"> </w:t>
      </w:r>
    </w:p>
    <w:p w14:paraId="41137695" w14:textId="77777777" w:rsidR="00EB7F85" w:rsidRDefault="00EB7F85" w:rsidP="00EB7F85">
      <w:pPr>
        <w:spacing w:line="360" w:lineRule="auto"/>
        <w:jc w:val="both"/>
        <w:rPr>
          <w:rFonts w:ascii="Arial" w:hAnsi="Arial" w:cs="Arial"/>
          <w:sz w:val="24"/>
          <w:szCs w:val="24"/>
        </w:rPr>
      </w:pPr>
      <w:r w:rsidRPr="000D7C24">
        <w:rPr>
          <w:rFonts w:ascii="Arial" w:hAnsi="Arial" w:cs="Arial"/>
          <w:sz w:val="24"/>
          <w:szCs w:val="24"/>
        </w:rPr>
        <w:t xml:space="preserve">The philosophy of the paradigms is based on the idea that what works best to understand a particular phenomenon is more important than the methodologies’ philosophical underpinnings, and what has both functional and practical value is valid </w:t>
      </w:r>
      <w:r w:rsidRPr="000D7C24">
        <w:rPr>
          <w:rFonts w:ascii="Arial" w:hAnsi="Arial" w:cs="Arial"/>
          <w:sz w:val="24"/>
          <w:szCs w:val="24"/>
        </w:rPr>
        <w:fldChar w:fldCharType="begin" w:fldLock="1"/>
      </w:r>
      <w:r w:rsidRPr="000D7C24">
        <w:rPr>
          <w:rFonts w:ascii="Arial" w:hAnsi="Arial" w:cs="Arial"/>
          <w:sz w:val="24"/>
          <w:szCs w:val="24"/>
        </w:rPr>
        <w:instrText>ADDIN CSL_CITATION {"citationItems":[{"id":"ITEM-1","itemData":{"DOI":"10.1186/s12916-018-1087-6","ISSN":"17417015","abstract":"Background: The healthcare system has proved a challenging environment for innovation, especially in the area of health services management and research. This is often attributed to the complexity of the healthcare sector, characterized by intersecting biological, social and political systems spread across geographically disparate areas. To help make sense of this complexity, researchers are turning towards new methods and frameworks, including simulation modeling and complexity theory. Discussion: Herein, we describe our experiences implementing and evaluating a health services innovation in the form of simulation modeling. We explore the strengths and limitations of complexity theory in evaluating health service interventions, using our experiences as examples. We then argue for the potential of pragmatism as an epistemic foundation for the methodological pluralism currently found in complexity research. We discuss the similarities between complexity theory and pragmatism, and close by revisiting our experiences putting pragmatic complexity theory into practice. Conclusion: We found the commonalities between pragmatism and complexity theory to be striking. These included a sensitivity to research context, a focus on applied research, and the valuing of different forms of knowledge. We found that, in practice, a pragmatic complexity theory approach provided more flexibility to respond to the rapidly changing context of health services implementation and evaluation. However, this approach requires a redefinition of implementation success, away from pre-determined outcomes and process fidelity, to one that embraces the continual learning, evolution, and emergence that characterized our project.","author":[{"dropping-particle":"","family":"Long","given":"Katrina M.","non-dropping-particle":"","parse-names":false,"suffix":""},{"dropping-particle":"","family":"McDermott","given":"Fiona","non-dropping-particle":"","parse-names":false,"suffix":""},{"dropping-particle":"","family":"Meadows","given":"Graham N.","non-dropping-particle":"","parse-names":false,"suffix":""}],"container-title":"BMC Medicine","id":"ITEM-1","issue":"1","issued":{"date-parts":[["2018"]]},"page":"1-9","publisher":"BMC Medicine","title":"Being pragmatic about healthcare complexity: Our experiences applying complexity theory and pragmatism to health services research","type":"article-journal","volume":"16"},"uris":["http://www.mendeley.com/documents/?uuid=678587db-f5a6-415c-b6c5-a6c45d3ccbf2"]}],"mendeley":{"formattedCitation":"(Long, McDermott and Meadows, 2018)","manualFormatting":"(Long et al., 2018)","plainTextFormattedCitation":"(Long, McDermott and Meadows, 2018)","previouslyFormattedCitation":"(Long, McDermott and Meadows, 2018)"},"properties":{"noteIndex":0},"schema":"https://github.com/citation-style-language/schema/raw/master/csl-citation.json"}</w:instrText>
      </w:r>
      <w:r w:rsidRPr="000D7C24">
        <w:rPr>
          <w:rFonts w:ascii="Arial" w:hAnsi="Arial" w:cs="Arial"/>
          <w:sz w:val="24"/>
          <w:szCs w:val="24"/>
        </w:rPr>
        <w:fldChar w:fldCharType="separate"/>
      </w:r>
      <w:r w:rsidRPr="000D7C24">
        <w:rPr>
          <w:rFonts w:ascii="Arial" w:hAnsi="Arial" w:cs="Arial"/>
          <w:noProof/>
          <w:sz w:val="24"/>
          <w:szCs w:val="24"/>
        </w:rPr>
        <w:t>(Long et al., 2018)</w:t>
      </w:r>
      <w:r w:rsidRPr="000D7C24">
        <w:rPr>
          <w:rFonts w:ascii="Arial" w:hAnsi="Arial" w:cs="Arial"/>
          <w:sz w:val="24"/>
          <w:szCs w:val="24"/>
        </w:rPr>
        <w:fldChar w:fldCharType="end"/>
      </w:r>
      <w:r w:rsidRPr="000D7C24">
        <w:rPr>
          <w:rFonts w:ascii="Arial" w:hAnsi="Arial" w:cs="Arial"/>
          <w:sz w:val="24"/>
          <w:szCs w:val="24"/>
        </w:rPr>
        <w:t xml:space="preserve">.Therefore, this research used the pragmatism paradigm as a well-established and credible approach to valuing and prioritising understanding </w:t>
      </w:r>
      <w:r w:rsidRPr="006B2FC7">
        <w:rPr>
          <w:rFonts w:ascii="Arial" w:hAnsi="Arial" w:cs="Arial"/>
          <w:sz w:val="24"/>
          <w:szCs w:val="24"/>
        </w:rPr>
        <w:t xml:space="preserve">over theoretical or methodological purity </w:t>
      </w:r>
      <w:r w:rsidRPr="006B2FC7">
        <w:rPr>
          <w:rFonts w:ascii="Arial" w:hAnsi="Arial" w:cs="Arial"/>
          <w:sz w:val="24"/>
          <w:szCs w:val="24"/>
        </w:rPr>
        <w:fldChar w:fldCharType="begin" w:fldLock="1"/>
      </w:r>
      <w:r>
        <w:rPr>
          <w:rFonts w:ascii="Arial" w:hAnsi="Arial" w:cs="Arial"/>
          <w:sz w:val="24"/>
          <w:szCs w:val="24"/>
        </w:rPr>
        <w:instrText>ADDIN CSL_CITATION {"citationItems":[{"id":"ITEM-1","itemData":{"DOI":"10.1186/s12916-018-1087-6","ISSN":"17417015","abstract":"Background: The healthcare system has proved a challenging environment for innovation, especially in the area of health services management and research. This is often attributed to the complexity of the healthcare sector, characterized by intersecting biological, social and political systems spread across geographically disparate areas. To help make sense of this complexity, researchers are turning towards new methods and frameworks, including simulation modeling and complexity theory. Discussion: Herein, we describe our experiences implementing and evaluating a health services innovation in the form of simulation modeling. We explore the strengths and limitations of complexity theory in evaluating health service interventions, using our experiences as examples. We then argue for the potential of pragmatism as an epistemic foundation for the methodological pluralism currently found in complexity research. We discuss the similarities between complexity theory and pragmatism, and close by revisiting our experiences putting pragmatic complexity theory into practice. Conclusion: We found the commonalities between pragmatism and complexity theory to be striking. These included a sensitivity to research context, a focus on applied research, and the valuing of different forms of knowledge. We found that, in practice, a pragmatic complexity theory approach provided more flexibility to respond to the rapidly changing context of health services implementation and evaluation. However, this approach requires a redefinition of implementation success, away from pre-determined outcomes and process fidelity, to one that embraces the continual learning, evolution, and emergence that characterized our project.","author":[{"dropping-particle":"","family":"Long","given":"Katrina M.","non-dropping-particle":"","parse-names":false,"suffix":""},{"dropping-particle":"","family":"McDermott","given":"Fiona","non-dropping-particle":"","parse-names":false,"suffix":""},{"dropping-particle":"","family":"Meadows","given":"Graham N.","non-dropping-particle":"","parse-names":false,"suffix":""}],"container-title":"BMC Medicine","id":"ITEM-1","issue":"1","issued":{"date-parts":[["2018"]]},"page":"1-9","publisher":"BMC Medicine","title":"Being pragmatic about healthcare complexity: Our experiences applying complexity theory and pragmatism to health services research","type":"article-journal","volume":"16"},"uris":["http://www.mendeley.com/documents/?uuid=678587db-f5a6-415c-b6c5-a6c45d3ccbf2"]}],"mendeley":{"formattedCitation":"(Long, McDermott and Meadows, 2018)","manualFormatting":"(Long et al., 2018)","plainTextFormattedCitation":"(Long, McDermott and Meadows, 2018)","previouslyFormattedCitation":"(Long, McDermott and Meadows, 2018)"},"properties":{"noteIndex":0},"schema":"https://github.com/citation-style-language/schema/raw/master/csl-citation.json"}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(Long</w:t>
      </w:r>
      <w:r>
        <w:rPr>
          <w:rFonts w:ascii="Arial" w:hAnsi="Arial" w:cs="Arial"/>
          <w:noProof/>
          <w:sz w:val="24"/>
          <w:szCs w:val="24"/>
        </w:rPr>
        <w:t xml:space="preserve"> et al.</w:t>
      </w:r>
      <w:r w:rsidRPr="006B2FC7">
        <w:rPr>
          <w:rFonts w:ascii="Arial" w:hAnsi="Arial" w:cs="Arial"/>
          <w:noProof/>
          <w:sz w:val="24"/>
          <w:szCs w:val="24"/>
        </w:rPr>
        <w:t>, 2018)</w:t>
      </w:r>
      <w:r w:rsidRPr="006B2FC7">
        <w:rPr>
          <w:rFonts w:ascii="Arial" w:hAnsi="Arial" w:cs="Arial"/>
          <w:sz w:val="24"/>
          <w:szCs w:val="24"/>
        </w:rPr>
        <w:fldChar w:fldCharType="end"/>
      </w:r>
      <w:r w:rsidRPr="006B2FC7">
        <w:rPr>
          <w:rFonts w:ascii="Arial" w:hAnsi="Arial" w:cs="Arial"/>
          <w:sz w:val="24"/>
          <w:szCs w:val="24"/>
        </w:rPr>
        <w:t xml:space="preserve">. </w:t>
      </w:r>
    </w:p>
    <w:p w14:paraId="22B90959" w14:textId="77777777" w:rsidR="00EB7F85" w:rsidRDefault="00EB7F85" w:rsidP="00EB7F85">
      <w:pPr>
        <w:spacing w:line="360" w:lineRule="auto"/>
        <w:jc w:val="both"/>
        <w:rPr>
          <w:rFonts w:ascii="Arial" w:hAnsi="Arial" w:cs="Arial"/>
          <w:sz w:val="24"/>
          <w:szCs w:val="24"/>
        </w:rPr>
      </w:pPr>
    </w:p>
    <w:p w14:paraId="2FA85F4B" w14:textId="77777777" w:rsidR="00EB7F85" w:rsidRDefault="00EB7F85" w:rsidP="00EB7F85">
      <w:pPr>
        <w:pStyle w:val="Heading3"/>
        <w:numPr>
          <w:ilvl w:val="2"/>
          <w:numId w:val="14"/>
        </w:numPr>
        <w:tabs>
          <w:tab w:val="num" w:pos="360"/>
        </w:tabs>
        <w:spacing w:line="257" w:lineRule="auto"/>
        <w:ind w:left="0" w:firstLine="0"/>
        <w:jc w:val="both"/>
      </w:pPr>
      <w:bookmarkStart w:id="96" w:name="_Toc122626392"/>
      <w:bookmarkStart w:id="97" w:name="_Toc153894171"/>
      <w:r>
        <w:t>Research type</w:t>
      </w:r>
      <w:bookmarkEnd w:id="96"/>
      <w:bookmarkEnd w:id="97"/>
    </w:p>
    <w:p w14:paraId="695C906B" w14:textId="77777777" w:rsidR="00EB7F85" w:rsidRPr="002531E3" w:rsidRDefault="00EB7F85" w:rsidP="00EB7F85">
      <w:pPr>
        <w:spacing w:line="360" w:lineRule="auto"/>
        <w:jc w:val="both"/>
        <w:rPr>
          <w:rFonts w:ascii="Arial" w:hAnsi="Arial" w:cs="Arial"/>
          <w:sz w:val="24"/>
          <w:szCs w:val="24"/>
        </w:rPr>
      </w:pPr>
      <w:r w:rsidRPr="009D19E7">
        <w:rPr>
          <w:rFonts w:ascii="Arial" w:hAnsi="Arial" w:cs="Arial"/>
          <w:sz w:val="24"/>
          <w:szCs w:val="24"/>
        </w:rPr>
        <w:t xml:space="preserve">This research adopted </w:t>
      </w:r>
      <w:r>
        <w:rPr>
          <w:rFonts w:ascii="Arial" w:hAnsi="Arial" w:cs="Arial"/>
          <w:sz w:val="24"/>
          <w:szCs w:val="24"/>
        </w:rPr>
        <w:t xml:space="preserve">the </w:t>
      </w:r>
      <w:r w:rsidRPr="009D19E7">
        <w:rPr>
          <w:rFonts w:ascii="Arial" w:hAnsi="Arial" w:cs="Arial"/>
          <w:sz w:val="24"/>
          <w:szCs w:val="24"/>
        </w:rPr>
        <w:t xml:space="preserve">pragmatism paradigm using </w:t>
      </w:r>
      <w:r>
        <w:rPr>
          <w:rFonts w:ascii="Arial" w:hAnsi="Arial" w:cs="Arial"/>
          <w:sz w:val="24"/>
          <w:szCs w:val="24"/>
        </w:rPr>
        <w:t xml:space="preserve">a </w:t>
      </w:r>
      <w:r w:rsidRPr="009D19E7">
        <w:rPr>
          <w:rFonts w:ascii="Arial" w:hAnsi="Arial" w:cs="Arial"/>
          <w:sz w:val="24"/>
          <w:szCs w:val="24"/>
        </w:rPr>
        <w:t>mixed methods approach to answer research questions because</w:t>
      </w:r>
      <w:r>
        <w:rPr>
          <w:rFonts w:ascii="Arial" w:hAnsi="Arial" w:cs="Arial"/>
          <w:sz w:val="24"/>
          <w:szCs w:val="24"/>
        </w:rPr>
        <w:t xml:space="preserve"> p</w:t>
      </w:r>
      <w:r w:rsidRPr="006B2FC7">
        <w:rPr>
          <w:rFonts w:ascii="Arial" w:hAnsi="Arial" w:cs="Arial"/>
          <w:sz w:val="24"/>
          <w:szCs w:val="24"/>
        </w:rPr>
        <w:t xml:space="preserve">ragmatism, according to Creswell, is </w:t>
      </w:r>
      <w:r>
        <w:rPr>
          <w:rFonts w:ascii="Arial" w:hAnsi="Arial" w:cs="Arial"/>
          <w:sz w:val="24"/>
          <w:szCs w:val="24"/>
        </w:rPr>
        <w:t>a</w:t>
      </w:r>
      <w:r w:rsidRPr="006B2FC7">
        <w:rPr>
          <w:rFonts w:ascii="Arial" w:hAnsi="Arial" w:cs="Arial"/>
          <w:sz w:val="24"/>
          <w:szCs w:val="24"/>
        </w:rPr>
        <w:t xml:space="preserve"> real-word practice-oriented philosophy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{"citationItems":[{"id":"ITEM-1","itemData":{"ISSN":"03137155","abstract":"In this article the authors discuss issues faced by early career researchers, including the dichotomy, which many research textbooks and journal articles create and perpetuate between qualitative and quantitative research methodology despite considerable literature to support the use of mixed methods. The authors review current research literature and discuss some of the language, which can prove confusing to the early career researcher and problematic for post-graduate supervisors and teachers of research. The authors argue that discussions of research methods in research texts and university courses should include mixed methods and should address the perceived dichotomy between qualitative and quantitative research methodology.","author":[{"dropping-particle":"","family":"Mackenzie","given":"Noella","non-dropping-particle":"","parse-names":false,"suffix":""},{"dropping-particle":"","family":"Knipe","given":"Sally","non-dropping-particle":"","parse-names":false,"suffix":""}],"container-title":"Issues in Educational Research","id":"ITEM-1","issue":"2","issued":{"date-parts":[["2006"]]},"page":"1-13","title":"Research dilemmas: Paradigms, methods and methodology","type":"article-journal","volume":"16"},"uris":["http://www.mendeley.com/documents/?uuid=a8c6606b-60d5-4fdc-90ce-53dca6a8b624"]}],"mendeley":{"formattedCitation":"(Mackenzie and Knipe, 2006)","plainTextFormattedCitation":"(Mackenzie and Knipe, 2006)","previouslyFormattedCitation":"(Mackenzie and Knipe, 2006)"},"properties":{"noteIndex":0},"schema":"https://github.com/citation-style-language/schema/raw/master/csl-citation.json"}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(Mackenzie and Knipe, 2006)</w:t>
      </w:r>
      <w:r w:rsidRPr="006B2FC7">
        <w:rPr>
          <w:rFonts w:ascii="Arial" w:hAnsi="Arial" w:cs="Arial"/>
          <w:sz w:val="24"/>
          <w:szCs w:val="24"/>
        </w:rPr>
        <w:fldChar w:fldCharType="end"/>
      </w:r>
      <w:r w:rsidRPr="006B2FC7">
        <w:rPr>
          <w:rFonts w:ascii="Arial" w:hAnsi="Arial" w:cs="Arial"/>
          <w:sz w:val="24"/>
          <w:szCs w:val="24"/>
        </w:rPr>
        <w:t xml:space="preserve">. It focuses on </w:t>
      </w:r>
      <w:r>
        <w:rPr>
          <w:rFonts w:ascii="Arial" w:hAnsi="Arial" w:cs="Arial"/>
          <w:sz w:val="24"/>
          <w:szCs w:val="24"/>
        </w:rPr>
        <w:t>a</w:t>
      </w:r>
      <w:r w:rsidRPr="006B2FC7">
        <w:rPr>
          <w:rFonts w:ascii="Arial" w:hAnsi="Arial" w:cs="Arial"/>
          <w:sz w:val="24"/>
          <w:szCs w:val="24"/>
        </w:rPr>
        <w:t xml:space="preserve"> practical and achievable approach, rather than </w:t>
      </w:r>
      <w:r>
        <w:rPr>
          <w:rFonts w:ascii="Arial" w:hAnsi="Arial" w:cs="Arial"/>
          <w:sz w:val="24"/>
          <w:szCs w:val="24"/>
        </w:rPr>
        <w:t>a</w:t>
      </w:r>
      <w:r w:rsidRPr="006B2FC7">
        <w:rPr>
          <w:rFonts w:ascii="Arial" w:hAnsi="Arial" w:cs="Arial"/>
          <w:sz w:val="24"/>
          <w:szCs w:val="24"/>
        </w:rPr>
        <w:t xml:space="preserve"> theoretical or </w:t>
      </w:r>
      <w:r>
        <w:rPr>
          <w:rFonts w:ascii="Arial" w:hAnsi="Arial" w:cs="Arial"/>
          <w:sz w:val="24"/>
          <w:szCs w:val="24"/>
        </w:rPr>
        <w:t>‘</w:t>
      </w:r>
      <w:r w:rsidRPr="006B2FC7">
        <w:rPr>
          <w:rFonts w:ascii="Arial" w:hAnsi="Arial" w:cs="Arial"/>
          <w:sz w:val="24"/>
          <w:szCs w:val="24"/>
        </w:rPr>
        <w:t>ideal</w:t>
      </w:r>
      <w:r>
        <w:rPr>
          <w:rFonts w:ascii="Arial" w:hAnsi="Arial" w:cs="Arial"/>
          <w:sz w:val="24"/>
          <w:szCs w:val="24"/>
        </w:rPr>
        <w:t>’</w:t>
      </w:r>
      <w:r w:rsidRPr="006B2FC7">
        <w:rPr>
          <w:rFonts w:ascii="Arial" w:hAnsi="Arial" w:cs="Arial"/>
          <w:sz w:val="24"/>
          <w:szCs w:val="24"/>
        </w:rPr>
        <w:t xml:space="preserve"> one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{"citationItems":[{"id":"ITEM-1","itemData":{"DOI":"10.1186/s12916-018-1087-6","ISSN":"17417015","abstract":"Background: The healthcare system has proved a challenging environment for innovation, especially in the area of health services management and research. This is often attributed to the complexity of the healthcare sector, characterized by intersecting biological, social and political systems spread across geographically disparate areas. To help make sense of this complexity, researchers are turning towards new methods and frameworks, including simulation modeling and complexity theory. Discussion: Herein, we describe our experiences implementing and evaluating a health services innovation in the form of simulation modeling. We explore the strengths and limitations of complexity theory in evaluating health service interventions, using our experiences as examples. We then argue for the potential of pragmatism as an epistemic foundation for the methodological pluralism currently found in complexity research. We discuss the similarities between complexity theory and pragmatism, and close by revisiting our experiences putting pragmatic complexity theory into practice. Conclusion: We found the commonalities between pragmatism and complexity theory to be striking. These included a sensitivity to research context, a focus on applied research, and the valuing of different forms of knowledge. We found that, in practice, a pragmatic complexity theory approach provided more flexibility to respond to the rapidly changing context of health services implementation and evaluation. However, this approach requires a redefinition of implementation success, away from pre-determined outcomes and process fidelity, to one that embraces the continual learning, evolution, and emergence that characterized our project.","author":[{"dropping-particle":"","family":"Long","given":"Katrina M.","non-dropping-particle":"","parse-names":false,"suffix":""},{"dropping-particle":"","family":"McDermott","given":"Fiona","non-dropping-particle":"","parse-names":false,"suffix":""},{"dropping-particle":"","family":"Meadows","given":"Graham N.","non-dropping-particle":"","parse-names":false,"suffix":""}],"container-title":"BMC Medicine","id":"ITEM-1","issue":"1","issued":{"date-parts":[["2018"]]},"page":"1-9","publisher":"BMC Medicine","title":"Being pragmatic about healthcare complexity: Our experiences applying complexity theory and pragmatism to health services research","type":"article-journal","volume":"16"},"uris":["http://www.mendeley.com/documents/?uuid=678587db-f5a6-415c-b6c5-a6c45d3ccbf2"]}],"mendeley":{"formattedCitation":"(Long, McDermott and Meadows, 2018)","manualFormatting":"(Long et al., 2018)","plainTextFormattedCitation":"(Long, McDermott and Meadows, 2018)","previouslyFormattedCitation":"(Long, McDermott and Meadows, 2018)"},"properties":{"noteIndex":0},"schema":"https://github.com/citation-style-language/schema/raw/master/csl-citation.json"}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(Long et al., 2018)</w:t>
      </w:r>
      <w:r w:rsidRPr="006B2FC7">
        <w:rPr>
          <w:rFonts w:ascii="Arial" w:hAnsi="Arial" w:cs="Arial"/>
          <w:sz w:val="24"/>
          <w:szCs w:val="24"/>
        </w:rPr>
        <w:fldChar w:fldCharType="end"/>
      </w:r>
      <w:r w:rsidRPr="006B2FC7">
        <w:rPr>
          <w:rFonts w:ascii="Arial" w:hAnsi="Arial" w:cs="Arial"/>
          <w:sz w:val="24"/>
          <w:szCs w:val="24"/>
        </w:rPr>
        <w:t xml:space="preserve">. </w:t>
      </w:r>
      <w:r>
        <w:rPr>
          <w:rFonts w:ascii="Arial" w:hAnsi="Arial" w:cs="Arial"/>
          <w:sz w:val="24"/>
          <w:szCs w:val="24"/>
        </w:rPr>
        <w:t xml:space="preserve"> </w:t>
      </w:r>
      <w:r w:rsidRPr="006B2FC7">
        <w:rPr>
          <w:rFonts w:ascii="Arial" w:hAnsi="Arial" w:cs="Arial"/>
          <w:sz w:val="24"/>
          <w:szCs w:val="24"/>
        </w:rPr>
        <w:t xml:space="preserve">Scholar-practitioners may therefore be influenced by pragmatic worldviews in choosing a methodology to conduct research that is most likely would be a mixed methods research.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{"citationItems":[{"id":"ITEM-1","itemData":{"DOI":"10.1186/s12916-018-1087-6","ISSN":"17417015","abstract":"Background: The healthcare system has proved a challenging environment for innovation, especially in the area of health services management and research. This is often attributed to the complexity of the healthcare sector, characterized by intersecting biological, social and political systems spread across geographically disparate areas. To help make sense of this complexity, researchers are turning towards new methods and frameworks, including simulation modeling and complexity theory. Discussion: Herein, we describe our experiences implementing and evaluating a health services innovation in the form of simulation modeling. We explore the strengths and limitations of complexity theory in evaluating health service interventions, using our experiences as examples. We then argue for the potential of pragmatism as an epistemic foundation for the methodological pluralism currently found in complexity research. We discuss the similarities between complexity theory and pragmatism, and close by revisiting our experiences putting pragmatic complexity theory into practice. Conclusion: We found the commonalities between pragmatism and complexity theory to be striking. These included a sensitivity to research context, a focus on applied research, and the valuing of different forms of knowledge. We found that, in practice, a pragmatic complexity theory approach provided more flexibility to respond to the rapidly changing context of health services implementation and evaluation. However, this approach requires a redefinition of implementation success, away from pre-determined outcomes and process fidelity, to one that embraces the continual learning, evolution, and emergence that characterized our project.","author":[{"dropping-particle":"","family":"Long","given":"Katrina M.","non-dropping-particle":"","parse-names":false,"suffix":""},{"dropping-particle":"","family":"McDermott","given":"Fiona","non-dropping-particle":"","parse-names":false,"suffix":""},{"dropping-particle":"","family":"Meadows","given":"Graham N.","non-dropping-particle":"","parse-names":false,"suffix":""}],"container-title":"BMC Medicine","id":"ITEM-1","issue":"1","issued":{"date-parts":[["2018"]]},"page":"1-9","publisher":"BMC Medicine","title":"Being pragmatic about healthcare complexity: Our experiences applying complexity theory and pragmatism to health services research","type":"article-journal","volume":"16"},"uris":["http://www.mendeley.com/documents/?uuid=678587db-f5a6-415c-b6c5-a6c45d3ccbf2"]}],"mendeley":{"formattedCitation":"(Long, McDermott and Meadows, 2018)","manualFormatting":"Long et al. (2018),","plainTextFormattedCitation":"(Long, McDermott and Meadows, 2018)","previouslyFormattedCitation":"(Long, McDermott and Meadows, 2018)"},"properties":{"noteIndex":0},"schema":"https://github.com/citation-style-language/schema/raw/master/csl-citation.json"}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Long et al. (2018),</w:t>
      </w:r>
      <w:r w:rsidRPr="006B2FC7">
        <w:rPr>
          <w:rFonts w:ascii="Arial" w:hAnsi="Arial" w:cs="Arial"/>
          <w:sz w:val="24"/>
          <w:szCs w:val="24"/>
        </w:rPr>
        <w:fldChar w:fldCharType="end"/>
      </w:r>
      <w:r w:rsidRPr="006B2FC7">
        <w:rPr>
          <w:rFonts w:ascii="Arial" w:hAnsi="Arial" w:cs="Arial"/>
          <w:sz w:val="24"/>
          <w:szCs w:val="24"/>
        </w:rPr>
        <w:t xml:space="preserve"> identified many healthcare workers as pragmatists. </w:t>
      </w:r>
    </w:p>
    <w:p w14:paraId="1F1D4059" w14:textId="77777777" w:rsidR="00EB7F85" w:rsidRPr="00E60BB5" w:rsidRDefault="00EB7F85" w:rsidP="00EB7F85">
      <w:pPr>
        <w:pStyle w:val="Heading4"/>
        <w:numPr>
          <w:ilvl w:val="3"/>
          <w:numId w:val="14"/>
        </w:numPr>
        <w:tabs>
          <w:tab w:val="num" w:pos="360"/>
          <w:tab w:val="left" w:pos="810"/>
        </w:tabs>
        <w:spacing w:line="360" w:lineRule="auto"/>
        <w:ind w:left="0" w:firstLine="0"/>
        <w:rPr>
          <w:rFonts w:asciiTheme="minorBidi" w:hAnsiTheme="minorBidi" w:cstheme="minorBidi"/>
          <w:sz w:val="24"/>
          <w:szCs w:val="24"/>
        </w:rPr>
      </w:pPr>
      <w:r w:rsidRPr="00E60BB5">
        <w:rPr>
          <w:rFonts w:asciiTheme="minorBidi" w:hAnsiTheme="minorBidi" w:cstheme="minorBidi"/>
          <w:sz w:val="24"/>
          <w:szCs w:val="24"/>
        </w:rPr>
        <w:t>Philosophy of pragmatism/mixed methods studies</w:t>
      </w:r>
    </w:p>
    <w:p w14:paraId="403A6A41"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The pragmatism paradigm encourages the use of multiple methods or mixed methods to create ‘useful’ knowledge for addressing the practical questions of daily life. </w:t>
      </w:r>
      <w:r>
        <w:rPr>
          <w:rFonts w:ascii="Arial" w:hAnsi="Arial" w:cs="Arial"/>
          <w:sz w:val="24"/>
          <w:szCs w:val="24"/>
        </w:rPr>
        <w:t>Therefore, m</w:t>
      </w:r>
      <w:r w:rsidRPr="006B2FC7">
        <w:rPr>
          <w:rFonts w:ascii="Arial" w:hAnsi="Arial" w:cs="Arial"/>
          <w:sz w:val="24"/>
          <w:szCs w:val="24"/>
        </w:rPr>
        <w:t>ixed methods research is</w:t>
      </w:r>
      <w:r>
        <w:rPr>
          <w:rFonts w:ascii="Arial" w:hAnsi="Arial" w:cs="Arial"/>
          <w:sz w:val="24"/>
          <w:szCs w:val="24"/>
        </w:rPr>
        <w:t xml:space="preserve"> </w:t>
      </w:r>
      <w:r w:rsidRPr="006B2FC7">
        <w:rPr>
          <w:rFonts w:ascii="Arial" w:hAnsi="Arial" w:cs="Arial"/>
          <w:sz w:val="24"/>
          <w:szCs w:val="24"/>
        </w:rPr>
        <w:t>growing in popularity</w:t>
      </w:r>
      <w:r>
        <w:rPr>
          <w:rFonts w:ascii="Arial" w:hAnsi="Arial" w:cs="Arial"/>
          <w:sz w:val="24"/>
          <w:szCs w:val="24"/>
        </w:rPr>
        <w:t>.</w:t>
      </w:r>
    </w:p>
    <w:p w14:paraId="1C0B03E0"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In recent years, there has been an increase in the publication of mixed methods texts (e.g. Creswell, 2003; Greene, 2007; Bergman, 2008; Clark &amp; Creswell, 2008; Teddlie and Tashakkori, 2009; Tashakkori &amp; Teddlie, 2010; Creswell &amp; Clark, 2011; Creswell &amp; Clark, 2017) and even dedicated journals such as ‘The Journal of Mixed Methods Research’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{"citationItems":[{"id":"ITEM-1","itemData":{"DOI":"10.1504/ijbaf.2017.10007499","ISSN":"1753-1969","abstract":"This paper argues that a flexible approach should be adopted in the application of mixed methods research in behavioural accounting research by conducting it within the pragmatic paradigm, especially when a paradigm is defined as shared beliefs among members of a speciality area. By doing this, behavioural accounting researchers are not restricted by ontological and epistemological issues when deciding on how to address a variety of different research questions.","author":[{"dropping-particle":"","family":"Brierley","given":"John A.","non-dropping-particle":"","parse-names":false,"suffix":""}],"container-title":"International Journal of Behavioural Accounting and Finance","id":"ITEM-1","issue":"2","issued":{"date-parts":[["2017"]]},"page":"140","title":"The role of a pragmatist paradigm when adopting mixed methods in behavioural accounting research","type":"article-journal","volume":"6"},"uris":["http://www.mendeley.com/documents/?uuid=ff9b5683-b54c-4bd3-8751-878c2d8b92bc"]}],"mendeley":{"formattedCitation":"(Brierley, 2017)","plainTextFormattedCitation":"(Brierley, 2017)","previouslyFormattedCitation":"(Brierley, 2017)"},"properties":{"noteIndex":0},"schema":"https://github.com/citation-style-language/schema/raw/master/csl-citation.json"}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(Brierley, 2017)</w:t>
      </w:r>
      <w:r w:rsidRPr="006B2FC7">
        <w:rPr>
          <w:rFonts w:ascii="Arial" w:hAnsi="Arial" w:cs="Arial"/>
          <w:sz w:val="24"/>
          <w:szCs w:val="24"/>
        </w:rPr>
        <w:fldChar w:fldCharType="end"/>
      </w:r>
      <w:r w:rsidRPr="006B2FC7">
        <w:rPr>
          <w:rFonts w:ascii="Arial" w:hAnsi="Arial" w:cs="Arial"/>
          <w:sz w:val="24"/>
          <w:szCs w:val="24"/>
        </w:rPr>
        <w:t xml:space="preserve">. As this trend has arguably occurred due to recognition that mixed methods research provides strengths to overcome the weaknesses that are inherent when monomethod research is used. </w:t>
      </w:r>
    </w:p>
    <w:p w14:paraId="6DA06E0E" w14:textId="77777777" w:rsidR="00EB7F85" w:rsidRDefault="00EB7F85" w:rsidP="00EB7F85">
      <w:pPr>
        <w:spacing w:line="360" w:lineRule="auto"/>
        <w:jc w:val="both"/>
        <w:rPr>
          <w:rFonts w:ascii="Arial" w:hAnsi="Arial" w:cs="Arial"/>
          <w:sz w:val="24"/>
          <w:szCs w:val="24"/>
        </w:rPr>
      </w:pPr>
      <w:r>
        <w:rPr>
          <w:rFonts w:ascii="Arial" w:hAnsi="Arial" w:cs="Arial"/>
          <w:sz w:val="24"/>
          <w:szCs w:val="24"/>
        </w:rPr>
        <w:t>However,</w:t>
      </w:r>
      <w:r w:rsidRPr="006B2FC7">
        <w:rPr>
          <w:rFonts w:ascii="Arial" w:hAnsi="Arial" w:cs="Arial"/>
          <w:sz w:val="24"/>
          <w:szCs w:val="24"/>
        </w:rPr>
        <w:t xml:space="preserve"> </w:t>
      </w:r>
      <w:r>
        <w:rPr>
          <w:rFonts w:ascii="Arial" w:hAnsi="Arial" w:cs="Arial"/>
          <w:sz w:val="24"/>
          <w:szCs w:val="24"/>
        </w:rPr>
        <w:t>d</w:t>
      </w:r>
      <w:r w:rsidRPr="006B2FC7">
        <w:rPr>
          <w:rFonts w:ascii="Arial" w:hAnsi="Arial" w:cs="Arial"/>
          <w:sz w:val="24"/>
          <w:szCs w:val="24"/>
        </w:rPr>
        <w:t xml:space="preserve">ebates have arisen regarding the validity of mixed methods research because quantitative and qualitative methodologies have contradictory philosophical and particularly epistemological origins. These relate to positivism in the case of quantitative research versus a constructivist paradigm in qualitative research – or more simply numbers versus words and other non-numerical ways of describing the world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{"citationItems":[{"id":"ITEM-1","itemData":{"DOI":"10.1504/ijbaf.2017.10007499","ISSN":"1753-1969","abstract":"This paper argues that a flexible approach should be adopted in the application of mixed methods research in behavioural accounting research by conducting it within the pragmatic paradigm, especially when a paradigm is defined as shared beliefs among members of a speciality area. By doing this, behavioural accounting researchers are not restricted by ontological and epistemological issues when deciding on how to address a variety of different research questions.","author":[{"dropping-particle":"","family":"Brierley","given":"John A.","non-dropping-particle":"","parse-names":false,"suffix":""}],"container-title":"International Journal of Behavioural Accounting and Finance","id":"ITEM-1","issue":"2","issued":{"date-parts":[["2017"]]},"page":"140","title":"The role of a pragmatist paradigm when adopting mixed methods in behavioural accounting research","type":"article-journal","volume":"6"},"uris":["http://www.mendeley.com/documents/?uuid=ff9b5683-b54c-4bd3-8751-878c2d8b92bc"]}],"mendeley":{"formattedCitation":"(Brierley, 2017)","plainTextFormattedCitation":"(Brierley, 2017)","previouslyFormattedCitation":"(Brierley, 2017)"},"properties":{"noteIndex":0},"schema":"https://github.com/citation-style-language/schema/raw/master/csl-citation.json"}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(Brierley, 2017)</w:t>
      </w:r>
      <w:r w:rsidRPr="006B2FC7">
        <w:rPr>
          <w:rFonts w:ascii="Arial" w:hAnsi="Arial" w:cs="Arial"/>
          <w:sz w:val="24"/>
          <w:szCs w:val="24"/>
        </w:rPr>
        <w:fldChar w:fldCharType="end"/>
      </w:r>
      <w:r w:rsidRPr="006B2FC7">
        <w:rPr>
          <w:rFonts w:ascii="Arial" w:hAnsi="Arial" w:cs="Arial"/>
          <w:sz w:val="24"/>
          <w:szCs w:val="24"/>
        </w:rPr>
        <w:t xml:space="preserve">. Not all researchers agree that such mixing or integration of these both methods is possible or feasible as they are incompatible, due to the fundamental differences between their paradigms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{"citationItems":[{"id":"ITEM-1","itemData":{"DOI":"10.1504/ijbaf.2017.10007499","ISSN":"1753-1969","abstract":"This paper argues that a flexible approach should be adopted in the application of mixed methods research in behavioural accounting research by conducting it within the pragmatic paradigm, especially when a paradigm is defined as shared beliefs among members of a speciality area. By doing this, behavioural accounting researchers are not restricted by ontological and epistemological issues when deciding on how to address a variety of different research questions.","author":[{"dropping-particle":"","family":"Brierley","given":"John A.","non-dropping-particle":"","parse-names":false,"suffix":""}],"container-title":"International Journal of Behavioural Accounting and Finance","id":"ITEM-1","issue":"2","issued":{"date-parts":[["2017"]]},"page":"140","title":"The role of a pragmatist paradigm when adopting mixed methods in behavioural accounting research","type":"article-journal","volume":"6"},"uris":["http://www.mendeley.com/documents/?uuid=ff9b5683-b54c-4bd3-8751-878c2d8b92bc"]}],"mendeley":{"formattedCitation":"(Brierley, 2017)","plainTextFormattedCitation":"(Brierley, 2017)","previouslyFormattedCitation":"(Brierley, 2017)"},"properties":{"noteIndex":0},"schema":"https://github.com/citation-style-language/schema/raw/master/csl-citation.json"}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(Brierley, 2017)</w:t>
      </w:r>
      <w:r w:rsidRPr="006B2FC7">
        <w:rPr>
          <w:rFonts w:ascii="Arial" w:hAnsi="Arial" w:cs="Arial"/>
          <w:sz w:val="24"/>
          <w:szCs w:val="24"/>
        </w:rPr>
        <w:fldChar w:fldCharType="end"/>
      </w:r>
      <w:r w:rsidRPr="006B2FC7">
        <w:rPr>
          <w:rFonts w:ascii="Arial" w:hAnsi="Arial" w:cs="Arial"/>
          <w:sz w:val="24"/>
          <w:szCs w:val="24"/>
        </w:rPr>
        <w:t xml:space="preserve">. </w:t>
      </w:r>
    </w:p>
    <w:p w14:paraId="3EAB0C71" w14:textId="77777777" w:rsidR="00EB7F85" w:rsidRPr="006B2FC7"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On the other hand, some researchers believe that mixed methods research is appropriate because using both methods are complementary and appropriately integrated can make substantive contributions to knowledge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{"citationItems":[{"id":"ITEM-1","itemData":{"abstract":"A dissertation is a systematic investigation of a socially significant research question that makes a contribution to the literature and demonstrates the skill of doctoral students to conduct original research. Dissertation research is a collaborative process primarily involving students and their major professors with additional input and evaluation provided by the supervisory committee. Further input for students’ research may be provided by fellow students and researchers in other organizations. Having a clear understanding of the nature and process of dissertation research, as well as a clear understanding of the organization of dissertation documents, helps students to make more effective use of their time, as well as more effective use of the time of their major professor and supervisory committee members. The recommendations in this book are only intended to provide doctoral students1 and their major professors with a starting point to discuss the development and organization of the student’s dissertation concept paper, dissertation prospectus, dissertation, and dissertation manuscript. Each major professor works with his or her student to select an organizational schema that is appropriate for the nature of the student’s research. The organization of dissertation documents varies according to students’ research questions and the unique perspective each major professor brings to conducting research. The organization of dissertation documents also varies according to the traditions in specific academic departments and disciplines. Hopefully this book will help students and their major professors to clarify their own views of the content, process, and organization of dissertation research. While this book is written for students in the social sciences, many of the recommendations can apply to dissertation research in other disciplines as well. Also, while this book focuses on the dissertation, many of the recommendations may also apply to the Master’s thesis.","author":[{"dropping-particle":"","family":"Sampson","given":"James P.","non-dropping-particle":"","parse-names":false,"suffix":""}],"container-title":"Educational Psychology and Learning Sytems Faculty Publications","id":"ITEM-1","issued":{"date-parts":[["2017"]]},"page":"1 - 93","title":"A guide to quantitative and qualitative dissertation research","type":"article-journal"},"uris":["http://www.mendeley.com/documents/?uuid=75f42122-809b-454e-9774-100768bd231f"]}],"mendeley":{"formattedCitation":"(Sampson, 2017)","plainTextFormattedCitation":"(Sampson, 2017)","previouslyFormattedCitation":"(Sampson, 2017)"},"properties":{"noteIndex":0},"schema":"https://github.com/citation-style-language/schema/raw/master/csl-citation.json"}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(Sampson, 2017)</w:t>
      </w:r>
      <w:r w:rsidRPr="006B2FC7">
        <w:rPr>
          <w:rFonts w:ascii="Arial" w:hAnsi="Arial" w:cs="Arial"/>
          <w:sz w:val="24"/>
          <w:szCs w:val="24"/>
        </w:rPr>
        <w:fldChar w:fldCharType="end"/>
      </w:r>
      <w:r w:rsidRPr="006B2FC7">
        <w:rPr>
          <w:rFonts w:ascii="Arial" w:hAnsi="Arial" w:cs="Arial"/>
          <w:sz w:val="24"/>
          <w:szCs w:val="24"/>
        </w:rPr>
        <w:t xml:space="preserve">. This compatibility thesis is the position taken for this study, working on the philosophy of pragmatism to analyse both the quantitative (numerically coded) and qualitative (thematic coded) methods. </w:t>
      </w:r>
    </w:p>
    <w:p w14:paraId="4309208B" w14:textId="77777777" w:rsidR="00EB7F85" w:rsidRPr="00E60BB5" w:rsidRDefault="00EB7F85" w:rsidP="00EB7F85">
      <w:pPr>
        <w:pStyle w:val="Heading4"/>
        <w:numPr>
          <w:ilvl w:val="3"/>
          <w:numId w:val="14"/>
        </w:numPr>
        <w:tabs>
          <w:tab w:val="num" w:pos="360"/>
          <w:tab w:val="left" w:pos="810"/>
        </w:tabs>
        <w:spacing w:line="360" w:lineRule="auto"/>
        <w:ind w:left="0" w:firstLine="0"/>
        <w:rPr>
          <w:rFonts w:asciiTheme="minorBidi" w:hAnsiTheme="minorBidi" w:cstheme="minorBidi"/>
          <w:sz w:val="24"/>
          <w:szCs w:val="24"/>
        </w:rPr>
      </w:pPr>
      <w:r w:rsidRPr="00E60BB5">
        <w:rPr>
          <w:rFonts w:asciiTheme="minorBidi" w:hAnsiTheme="minorBidi" w:cstheme="minorBidi"/>
          <w:sz w:val="24"/>
          <w:szCs w:val="24"/>
        </w:rPr>
        <w:t>The rationale for adopting a mixed methods approach</w:t>
      </w:r>
    </w:p>
    <w:p w14:paraId="50325800"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Mixed methods research is</w:t>
      </w:r>
      <w:r>
        <w:rPr>
          <w:rFonts w:ascii="Arial" w:hAnsi="Arial" w:cs="Arial"/>
          <w:sz w:val="24"/>
          <w:szCs w:val="24"/>
        </w:rPr>
        <w:t xml:space="preserve"> </w:t>
      </w:r>
      <w:r w:rsidRPr="006B2FC7">
        <w:rPr>
          <w:rFonts w:ascii="Arial" w:hAnsi="Arial" w:cs="Arial"/>
          <w:sz w:val="24"/>
          <w:szCs w:val="24"/>
        </w:rPr>
        <w:t xml:space="preserve">growing in popularity, and particularly in health service research </w:t>
      </w:r>
      <w:r w:rsidRPr="006B2FC7">
        <w:rPr>
          <w:rFonts w:ascii="Arial" w:hAnsi="Arial" w:cs="Arial"/>
          <w:sz w:val="24"/>
          <w:szCs w:val="24"/>
        </w:rPr>
        <w:fldChar w:fldCharType="begin" w:fldLock="1"/>
      </w:r>
      <w:r>
        <w:rPr>
          <w:rFonts w:ascii="Arial" w:hAnsi="Arial" w:cs="Arial"/>
          <w:sz w:val="24"/>
          <w:szCs w:val="24"/>
        </w:rPr>
        <w:instrText>ADDIN CSL_CITATION {"citationItems":[{"id":"ITEM-1","itemData":{"DOI":"10.1136/bmj.c4587","ISSN":"17561833","PMID":"20851841","abstract":"Techniques designed to combine the results of qualitative and quantitative studies can provide researchers with more knowledge than separate analysis\n\nHealth researchers are increasingly using designs that combine qualitative and quantitative methods, and this is often called mixed methods research.1 Integration—the interaction or conversation between the qualitative and quantitative components of a study—is an important aspect of mixed methods research, and, indeed, is essential to some definitions.2 Recent empirical studies of mixed methods research in health show, however, a lack of integration between components,3 4 which limits the amount of knowledge that these types of studies generate. Without integration, the knowledge yield is equivalent to that from a qualitative study and a quantitative study undertaken independently, rather than achieving a “whole greater than the sum of the parts.”5 \n\nBarriers to integration have been identified in both health and social research.6 7 One barrier is the absence of formal education in mixed methods research. Fortunately, literature is rapidly expanding to fill this educational gap, including descriptions of how to integrate data and findings from qualitative and quantitative methods.8 9 In this article we outline three techniques that may help health researchers to integrate data or findings in their mixed methods studies and show how these might enhance knowledge generated from this approach.\n\nResearchers will often use qualitative and quantitative methods to examine different aspects of an overall research question. For example, they might use a randomised controlled trial to assess the effectiveness of a healthcare intervention and semistructured interviews with patients and health professionals to consider the way in which the intervention was used in the real world. Alternatively, they might use a survey of service users to measure satisfaction with a service and focus groups to explore views of care in more depth. Data …","author":[{"dropping-particle":"","family":"O'Cathain","given":"Alicia","non-dropping-particle":"","parse-names":false,"suffix":""},{"dropping-particle":"","family":"Murphy","given":"Elizabeth","non-dropping-particle":"","parse-names":false,"suffix":""},{"dropping-particle":"","family":"Nicholl","given":"Jon","non-dropping-particle":"","parse-names":false,"suffix":""}],"container-title":"BMJ (Online)","id":"ITEM-1","issue":"7783","issued":{"date-parts":[["2010","11","27"]]},"page":"1147-1150","publisher":"British Medical Journal Publishing Group","title":"Three techniques for integrating data in mixed methods studies","type":"article-journal","volume":"341"},"uris":["http://www.mendeley.com/documents/?uuid=846033ae-5b6d-3437-a09d-c583490eefb1"]}],"mendeley":{"formattedCitation":"(O’Cathain, Murphy and Nicholl, 2010a)","manualFormatting":"(O’Cathain et al., 2010)","plainTextFormattedCitation":"(O’Cathain, Murphy and Nicholl, 2010a)","previouslyFormattedCitation":"(O’Cathain, Murphy and Nicholl, 2010a)"},"properties":{"noteIndex":0},"schema":"https://github.com/citation-style-language/schema/raw/master/csl-citation.json"}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(O’Cathain</w:t>
      </w:r>
      <w:r>
        <w:rPr>
          <w:rFonts w:ascii="Arial" w:hAnsi="Arial" w:cs="Arial"/>
          <w:noProof/>
          <w:sz w:val="24"/>
          <w:szCs w:val="24"/>
        </w:rPr>
        <w:t xml:space="preserve"> et al., </w:t>
      </w:r>
      <w:r w:rsidRPr="006B2FC7">
        <w:rPr>
          <w:rFonts w:ascii="Arial" w:hAnsi="Arial" w:cs="Arial"/>
          <w:noProof/>
          <w:sz w:val="24"/>
          <w:szCs w:val="24"/>
        </w:rPr>
        <w:t>2010)</w:t>
      </w:r>
      <w:r w:rsidRPr="006B2FC7">
        <w:rPr>
          <w:rFonts w:ascii="Arial" w:hAnsi="Arial" w:cs="Arial"/>
          <w:sz w:val="24"/>
          <w:szCs w:val="24"/>
        </w:rPr>
        <w:fldChar w:fldCharType="end"/>
      </w:r>
      <w:r>
        <w:rPr>
          <w:rFonts w:ascii="Arial" w:hAnsi="Arial" w:cs="Arial"/>
          <w:sz w:val="24"/>
          <w:szCs w:val="24"/>
        </w:rPr>
        <w:t>.</w:t>
      </w:r>
      <w:r w:rsidRPr="006B2FC7">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{"citationItems":[{"id":"ITEM-1","itemData":{"ISBN":"9783319146713","author":[{"dropping-particle":"","family":"Ud-Din Baber","given":"Zaheer","non-dropping-particle":"","parse-names":false,"suffix":""}],"id":"ITEM-1","issued":{"date-parts":[["2015"]]},"title":"Pharmacy Practice Research Methods","type":"book"},"uris":["http://www.mendeley.com/documents/?uuid=2cc8bd7f-fc32-41a1-aebb-826501c4a947"]}],"mendeley":{"formattedCitation":"(Ud-Din Baber, 2015)","manualFormatting":"Ud-Din Baber, (2015)","plainTextFormattedCitation":"(Ud-Din Baber, 2015)","previouslyFormattedCitation":"(Ud-Din Baber, 2015)"},"properties":{"noteIndex":0},"schema":"https://github.com/citation-style-language/schema/raw/master/csl-citation.json"}</w:instrText>
      </w:r>
      <w:r>
        <w:rPr>
          <w:rFonts w:ascii="Arial" w:hAnsi="Arial" w:cs="Arial"/>
          <w:sz w:val="24"/>
          <w:szCs w:val="24"/>
        </w:rPr>
        <w:fldChar w:fldCharType="separate"/>
      </w:r>
      <w:r w:rsidRPr="00122E6D">
        <w:rPr>
          <w:rFonts w:ascii="Arial" w:hAnsi="Arial" w:cs="Arial"/>
          <w:noProof/>
          <w:sz w:val="24"/>
          <w:szCs w:val="24"/>
        </w:rPr>
        <w:t xml:space="preserve">Ud-Din Baber, </w:t>
      </w:r>
      <w:r>
        <w:rPr>
          <w:rFonts w:ascii="Arial" w:hAnsi="Arial" w:cs="Arial"/>
          <w:noProof/>
          <w:sz w:val="24"/>
          <w:szCs w:val="24"/>
        </w:rPr>
        <w:t>(</w:t>
      </w:r>
      <w:r w:rsidRPr="00122E6D">
        <w:rPr>
          <w:rFonts w:ascii="Arial" w:hAnsi="Arial" w:cs="Arial"/>
          <w:noProof/>
          <w:sz w:val="24"/>
          <w:szCs w:val="24"/>
        </w:rPr>
        <w:t>2015)</w:t>
      </w:r>
      <w:r>
        <w:rPr>
          <w:rFonts w:ascii="Arial" w:hAnsi="Arial" w:cs="Arial"/>
          <w:sz w:val="24"/>
          <w:szCs w:val="24"/>
        </w:rPr>
        <w:fldChar w:fldCharType="end"/>
      </w:r>
      <w:r>
        <w:rPr>
          <w:rFonts w:ascii="Arial" w:hAnsi="Arial" w:cs="Arial"/>
          <w:sz w:val="24"/>
          <w:szCs w:val="24"/>
        </w:rPr>
        <w:t xml:space="preserve"> also state that “</w:t>
      </w:r>
      <w:r w:rsidRPr="00122E6D">
        <w:rPr>
          <w:rFonts w:ascii="Arial" w:hAnsi="Arial" w:cs="Arial"/>
          <w:i/>
          <w:iCs/>
          <w:sz w:val="24"/>
          <w:szCs w:val="24"/>
        </w:rPr>
        <w:t>Mixed methods research is now a recognised research paradigm in the health services and pharmacy practice research fields</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{"citationItems":[{"id":"ITEM-1","itemData":{"ISBN":"9783319146713","author":[{"dropping-particle":"","family":"Ud-Din Baber","given":"Zaheer","non-dropping-particle":"","parse-names":false,"suffix":""}],"id":"ITEM-1","issued":{"date-parts":[["2015"]]},"title":"Pharmacy Practice Research Methods","type":"book"},"uris":["http://www.mendeley.com/documents/?uuid=2cc8bd7f-fc32-41a1-aebb-826501c4a947"]}],"mendeley":{"formattedCitation":"(Ud-Din Baber, 2015)","manualFormatting":"(Ud-Din Baber, 2015, p 108)","plainTextFormattedCitation":"(Ud-Din Baber, 2015)","previouslyFormattedCitation":"(Ud-Din Baber, 2015)"},"properties":{"noteIndex":0},"schema":"https://github.com/citation-style-language/schema/raw/master/csl-citation.json"}</w:instrText>
      </w:r>
      <w:r>
        <w:rPr>
          <w:rFonts w:ascii="Arial" w:hAnsi="Arial" w:cs="Arial"/>
          <w:sz w:val="24"/>
          <w:szCs w:val="24"/>
        </w:rPr>
        <w:fldChar w:fldCharType="separate"/>
      </w:r>
      <w:r w:rsidRPr="00122E6D">
        <w:rPr>
          <w:rFonts w:ascii="Arial" w:hAnsi="Arial" w:cs="Arial"/>
          <w:noProof/>
          <w:sz w:val="24"/>
          <w:szCs w:val="24"/>
        </w:rPr>
        <w:t>(Ud-Din Baber, 2015</w:t>
      </w:r>
      <w:r>
        <w:rPr>
          <w:rFonts w:ascii="Arial" w:hAnsi="Arial" w:cs="Arial"/>
          <w:noProof/>
          <w:sz w:val="24"/>
          <w:szCs w:val="24"/>
        </w:rPr>
        <w:t>, p 108</w:t>
      </w:r>
      <w:r w:rsidRPr="00122E6D">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{"citationItems":[{"id":"ITEM-1","itemData":{"DOI":"10.1186/1472-6963-7-85","ISSN":"14726963","abstract":"Background. Recently, there has been a surge of international interest in combining qualitative and quantitative methods in a single study - often called mixed methods research. It is timely to consider why and how mixed methods research is used in health services research (HSR). Methods. Documentary analysis of proposals and reports of 75 mixed methods studies funded by a research commissioner of HSR in England between 1994 and 2004. Face-to-face semi-structured interviews with 20 researchers sampled from these studies. Results. 18% (119/647) of HSR studies were classified as mixed methods research. In the documentation, comprehensiveness was the main driver for using mixed methods research, with researchers wanting to address a wider range of questions than quantitative methods alone would allow. Interviewees elaborated on this, identifying the need for qualitative research to engage with the complexity of health, health care interventions, and the environment in which studies took place. Motivations for adopting a mixed methods approach were not always based on the intrinsic value of mixed methods research for addressing the research question; they could be strategic, for example, to obtain funding. Mixed methods research was used in the context of evaluation, including randomised and non-randomised designs; survey and fieldwork exploratory studies; and instrument development. Studies drew on a limited number of methods - particularly surveys and individual interviews - but used methods in a wide range of roles. Conclusion. Mixed methods research is common in HSR in the UK. Its use is driven by pragmatism rather than principle, motivated by the perceived deficit of quantitative methods alone to address the complexity of research in health care, as well as other more strategic gains. Methods are combined in a range of contexts, yet the emerging methodological contributions from HSR to the field of mixed methods research are currently limited to the single context of combining qualitative methods and randomised controlled trials. Health services researchers could further contribute to the development of mixed methods research in the contexts of instrument development, survey and fieldwork, and non-randomised evaluations. © 2007 O'Cathain et al; licensee BioMed Central Ltd.","author":[{"dropping-particle":"","family":"O'Cathain","given":"Alicia","non-dropping-particle":"","parse-names":false,"suffix":""},{"dropping-particle":"","family":"Murphy","given":"Elizabeth","non-dropping-particle":"","parse-names":false,"suffix":""},{"dropping-particle":"","family":"Nicholl","given":"Jon","non-dropping-particle":"","parse-names":false,"suffix":""}],"container-title":"BMC Health Services Research","id":"ITEM-1","issued":{"date-parts":[["2007"]]},"page":"1-11","title":"Why, and how, mixed methods research is undertaken in health services research in England: A mixed methods study","type":"article-journal","volume":"7"},"uris":["http://www.mendeley.com/documents/?uuid=4b5caf47-5c3c-4ecf-874e-8f2647f5e675"]}],"mendeley":{"formattedCitation":"(O’Cathain, Murphy and Nicholl, 2007)","manualFormatting":"O’Cathain et al., (2007)","plainTextFormattedCitation":"(O’Cathain, Murphy and Nicholl, 2007)","previouslyFormattedCitation":"(O’Cathain, Murphy and Nicholl, 2007)"},"properties":{"noteIndex":0},"schema":"https://github.com/citation-style-language/schema/raw/master/csl-citation.json"}</w:instrText>
      </w:r>
      <w:r>
        <w:rPr>
          <w:rFonts w:ascii="Arial" w:hAnsi="Arial" w:cs="Arial"/>
          <w:sz w:val="24"/>
          <w:szCs w:val="24"/>
        </w:rPr>
        <w:fldChar w:fldCharType="separate"/>
      </w:r>
      <w:r w:rsidRPr="00BB353D">
        <w:rPr>
          <w:rFonts w:ascii="Arial" w:hAnsi="Arial" w:cs="Arial"/>
          <w:noProof/>
          <w:sz w:val="24"/>
          <w:szCs w:val="24"/>
        </w:rPr>
        <w:t>O’Cathain</w:t>
      </w:r>
      <w:r>
        <w:rPr>
          <w:rFonts w:ascii="Arial" w:hAnsi="Arial" w:cs="Arial"/>
          <w:noProof/>
          <w:sz w:val="24"/>
          <w:szCs w:val="24"/>
        </w:rPr>
        <w:t xml:space="preserve"> et al.</w:t>
      </w:r>
      <w:r w:rsidRPr="00BB353D">
        <w:rPr>
          <w:rFonts w:ascii="Arial" w:hAnsi="Arial" w:cs="Arial"/>
          <w:noProof/>
          <w:sz w:val="24"/>
          <w:szCs w:val="24"/>
        </w:rPr>
        <w:t xml:space="preserve">, </w:t>
      </w:r>
      <w:r>
        <w:rPr>
          <w:rFonts w:ascii="Arial" w:hAnsi="Arial" w:cs="Arial"/>
          <w:noProof/>
          <w:sz w:val="24"/>
          <w:szCs w:val="24"/>
        </w:rPr>
        <w:t>(</w:t>
      </w:r>
      <w:r w:rsidRPr="00BB353D">
        <w:rPr>
          <w:rFonts w:ascii="Arial" w:hAnsi="Arial" w:cs="Arial"/>
          <w:noProof/>
          <w:sz w:val="24"/>
          <w:szCs w:val="24"/>
        </w:rPr>
        <w:t>2007)</w:t>
      </w:r>
      <w:r>
        <w:rPr>
          <w:rFonts w:ascii="Arial" w:hAnsi="Arial" w:cs="Arial"/>
          <w:sz w:val="24"/>
          <w:szCs w:val="24"/>
        </w:rPr>
        <w:fldChar w:fldCharType="end"/>
      </w:r>
      <w:r>
        <w:rPr>
          <w:rFonts w:ascii="Arial" w:hAnsi="Arial" w:cs="Arial"/>
          <w:sz w:val="24"/>
          <w:szCs w:val="24"/>
        </w:rPr>
        <w:t xml:space="preserve"> </w:t>
      </w:r>
      <w:r w:rsidRPr="006B2FC7">
        <w:rPr>
          <w:rFonts w:ascii="Arial" w:hAnsi="Arial" w:cs="Arial"/>
          <w:sz w:val="24"/>
          <w:szCs w:val="24"/>
        </w:rPr>
        <w:t xml:space="preserve">state that using mixed methods research is common in health services research (HSR) because it helps to understand and address the complexity of health care as well as to engage with the variety of questions relevant to the research phenomena; as this approach relies on pragmatic rather than ideological grounds. </w:t>
      </w:r>
    </w:p>
    <w:p w14:paraId="3666DA3B" w14:textId="77777777" w:rsidR="00EB7F85" w:rsidRDefault="00EB7F85" w:rsidP="00EB7F85">
      <w:pPr>
        <w:spacing w:line="360" w:lineRule="auto"/>
        <w:jc w:val="both"/>
        <w:rPr>
          <w:rFonts w:ascii="Arial" w:hAnsi="Arial" w:cs="Arial"/>
          <w:sz w:val="24"/>
          <w:szCs w:val="24"/>
        </w:rPr>
      </w:pPr>
      <w:r w:rsidRPr="000E3957">
        <w:rPr>
          <w:rFonts w:ascii="Arial" w:hAnsi="Arial" w:cs="Arial"/>
          <w:sz w:val="24"/>
          <w:szCs w:val="24"/>
        </w:rPr>
        <w:t>The mixed methods approach has several advantages. For example, it provides a voice to study participants, allows them to express their opinions and interests, and ensures that study findings are grounded in their experiences. In addition, it provides methodological flexibility.</w:t>
      </w:r>
      <w:r>
        <w:rPr>
          <w:rFonts w:ascii="Arial" w:hAnsi="Arial" w:cs="Arial"/>
          <w:sz w:val="24"/>
          <w:szCs w:val="24"/>
        </w:rPr>
        <w:t xml:space="preserve"> </w:t>
      </w:r>
      <w:r w:rsidRPr="00AA3AF3">
        <w:rPr>
          <w:rFonts w:ascii="Arial" w:hAnsi="Arial" w:cs="Arial"/>
          <w:sz w:val="24"/>
          <w:szCs w:val="24"/>
        </w:rPr>
        <w:fldChar w:fldCharType="begin" w:fldLock="1"/>
      </w:r>
      <w:r>
        <w:rPr>
          <w:rFonts w:ascii="Arial" w:hAnsi="Arial" w:cs="Arial"/>
          <w:sz w:val="24"/>
          <w:szCs w:val="24"/>
        </w:rPr>
        <w:instrText>ADDIN CSL_CITATION {"citationItems":[{"id":"ITEM-1","itemData":{"ISBN":"9783319146713","author":[{"dropping-particle":"","family":"Ud-Din Baber","given":"Zaheer","non-dropping-particle":"","parse-names":false,"suffix":""}],"id":"ITEM-1","issued":{"date-parts":[["2015"]]},"title":"Pharmacy Practice Research Methods","type":"book"},"uris":["http://www.mendeley.com/documents/?uuid=2cc8bd7f-fc32-41a1-aebb-826501c4a947"]}],"mendeley":{"formattedCitation":"(Ud-Din Baber, 2015)","plainTextFormattedCitation":"(Ud-Din Baber, 2015)","previouslyFormattedCitation":"(Ud-Din Baber, 2015)"},"properties":{"noteIndex":0},"schema":"https://github.com/citation-style-language/schema/raw/master/csl-citation.json"}</w:instrText>
      </w:r>
      <w:r w:rsidRPr="00AA3AF3">
        <w:rPr>
          <w:rFonts w:ascii="Arial" w:hAnsi="Arial" w:cs="Arial"/>
          <w:sz w:val="24"/>
          <w:szCs w:val="24"/>
        </w:rPr>
        <w:fldChar w:fldCharType="separate"/>
      </w:r>
      <w:r w:rsidRPr="00AA3AF3">
        <w:rPr>
          <w:rFonts w:ascii="Arial" w:hAnsi="Arial" w:cs="Arial"/>
          <w:noProof/>
          <w:sz w:val="24"/>
          <w:szCs w:val="24"/>
        </w:rPr>
        <w:t>(Ud-Din Baber, 2015)</w:t>
      </w:r>
      <w:r w:rsidRPr="00AA3AF3">
        <w:rPr>
          <w:rFonts w:ascii="Arial" w:hAnsi="Arial" w:cs="Arial"/>
          <w:sz w:val="24"/>
          <w:szCs w:val="24"/>
        </w:rPr>
        <w:fldChar w:fldCharType="end"/>
      </w:r>
    </w:p>
    <w:p w14:paraId="22CEE84B" w14:textId="77777777" w:rsidR="00EB7F85" w:rsidRDefault="00EB7F85" w:rsidP="00EB7F85">
      <w:pPr>
        <w:spacing w:line="360" w:lineRule="auto"/>
        <w:jc w:val="both"/>
        <w:rPr>
          <w:rFonts w:ascii="Arial" w:hAnsi="Arial" w:cs="Arial"/>
          <w:sz w:val="24"/>
          <w:szCs w:val="24"/>
        </w:rPr>
      </w:pPr>
      <w:r>
        <w:rPr>
          <w:rFonts w:ascii="Arial" w:hAnsi="Arial" w:cs="Arial"/>
          <w:sz w:val="24"/>
          <w:szCs w:val="24"/>
        </w:rPr>
        <w:t xml:space="preserve">Other </w:t>
      </w:r>
      <w:r w:rsidRPr="006B2FC7">
        <w:rPr>
          <w:rFonts w:ascii="Arial" w:hAnsi="Arial" w:cs="Arial"/>
          <w:sz w:val="24"/>
          <w:szCs w:val="24"/>
        </w:rPr>
        <w:t xml:space="preserve">advantage of </w:t>
      </w:r>
      <w:r>
        <w:rPr>
          <w:rFonts w:ascii="Arial" w:hAnsi="Arial" w:cs="Arial"/>
          <w:sz w:val="24"/>
          <w:szCs w:val="24"/>
        </w:rPr>
        <w:t>the</w:t>
      </w:r>
      <w:r w:rsidRPr="006B2FC7">
        <w:rPr>
          <w:rFonts w:ascii="Arial" w:hAnsi="Arial" w:cs="Arial"/>
          <w:sz w:val="24"/>
          <w:szCs w:val="24"/>
        </w:rPr>
        <w:t xml:space="preserve"> mixed-methods design is it provides a more in-depth, comprehensive understanding of research phenomena: this is because quantitative data can provide a general explanation and generalisability and qualitative data provides an in-depth explanation and additional context</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{"citationItems":[{"id":"ITEM-1","itemData":{"author":[{"dropping-particle":"","family":"Creswell","given":"J.W.","non-dropping-particle":"","parse-names":false,"suffix":""}],"id":"ITEM-1","issued":{"date-parts":[["2015"]]},"title":"A concise introduction to mixed methods research","type":"book"},"uris":["http://www.mendeley.com/documents/?uuid=e4356d8b-2487-37bc-af96-a728c21173a3"]}],"mendeley":{"formattedCitation":"(J.W. Creswell, 2015)","manualFormatting":"(Creswell, 2015)","plainTextFormattedCitation":"(J.W. Creswell, 2015)","previouslyFormattedCitation":"(J.W. Creswell, 2015)"},"properties":{"noteIndex":0},"schema":"https://github.com/citation-style-language/schema/raw/master/csl-citation.json"}</w:instrText>
      </w:r>
      <w:r>
        <w:rPr>
          <w:rFonts w:ascii="Arial" w:hAnsi="Arial" w:cs="Arial"/>
          <w:sz w:val="24"/>
          <w:szCs w:val="24"/>
        </w:rPr>
        <w:fldChar w:fldCharType="separate"/>
      </w:r>
      <w:r w:rsidRPr="000B6341">
        <w:rPr>
          <w:rFonts w:ascii="Arial" w:hAnsi="Arial" w:cs="Arial"/>
          <w:noProof/>
          <w:sz w:val="24"/>
          <w:szCs w:val="24"/>
        </w:rPr>
        <w:t>(Creswell, 2015)</w:t>
      </w:r>
      <w:r>
        <w:rPr>
          <w:rFonts w:ascii="Arial" w:hAnsi="Arial" w:cs="Arial"/>
          <w:sz w:val="24"/>
          <w:szCs w:val="24"/>
        </w:rPr>
        <w:fldChar w:fldCharType="end"/>
      </w:r>
      <w:r w:rsidRPr="006B2FC7">
        <w:rPr>
          <w:rFonts w:ascii="Arial" w:hAnsi="Arial" w:cs="Arial"/>
          <w:sz w:val="24"/>
          <w:szCs w:val="24"/>
        </w:rPr>
        <w:t>. A mixed-methods study design brings the strengths of both qualitative and quantitative methodologies and also offsets their potential individual weaknesses</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{"citationItems":[{"id":"ITEM-1","itemData":{"author":[{"dropping-particle":"","family":"Creswell","given":"J.W.","non-dropping-particle":"","parse-names":false,"suffix":""}],"id":"ITEM-1","issued":{"date-parts":[["2015"]]},"title":"A concise introduction to mixed methods research","type":"book"},"uris":["http://www.mendeley.com/documents/?uuid=e4356d8b-2487-37bc-af96-a728c21173a3"]}],"mendeley":{"formattedCitation":"(J.W. Creswell, 2015)","manualFormatting":" (Creswell, 2015)","plainTextFormattedCitation":"(J.W. Creswell, 2015)","previouslyFormattedCitation":"(J.W. Creswell, 2015)"},"properties":{"noteIndex":0},"schema":"https://github.com/citation-style-language/schema/raw/master/csl-citation.json"}</w:instrText>
      </w:r>
      <w:r>
        <w:rPr>
          <w:rFonts w:ascii="Arial" w:hAnsi="Arial" w:cs="Arial"/>
          <w:sz w:val="24"/>
          <w:szCs w:val="24"/>
        </w:rPr>
        <w:fldChar w:fldCharType="separate"/>
      </w:r>
      <w:r>
        <w:rPr>
          <w:rFonts w:ascii="Arial" w:hAnsi="Arial" w:cs="Arial"/>
          <w:noProof/>
          <w:sz w:val="24"/>
          <w:szCs w:val="24"/>
        </w:rPr>
        <w:t xml:space="preserve"> (</w:t>
      </w:r>
      <w:r w:rsidRPr="00937A5B">
        <w:rPr>
          <w:rFonts w:ascii="Arial" w:hAnsi="Arial" w:cs="Arial"/>
          <w:noProof/>
          <w:sz w:val="24"/>
          <w:szCs w:val="24"/>
        </w:rPr>
        <w:t>Creswell, 2015)</w:t>
      </w:r>
      <w:r>
        <w:rPr>
          <w:rFonts w:ascii="Arial" w:hAnsi="Arial" w:cs="Arial"/>
          <w:sz w:val="24"/>
          <w:szCs w:val="24"/>
        </w:rPr>
        <w:fldChar w:fldCharType="end"/>
      </w:r>
      <w:r>
        <w:rPr>
          <w:rFonts w:ascii="Arial" w:hAnsi="Arial" w:cs="Arial"/>
          <w:sz w:val="24"/>
          <w:szCs w:val="24"/>
        </w:rPr>
        <w:t xml:space="preserve">. </w:t>
      </w:r>
      <w:r w:rsidRPr="006B2FC7">
        <w:rPr>
          <w:rFonts w:ascii="Arial" w:hAnsi="Arial" w:cs="Arial"/>
          <w:sz w:val="24"/>
          <w:szCs w:val="24"/>
        </w:rPr>
        <w:t xml:space="preserve">Therefore, by following this approach, the validity of the research findings can be supported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2011)","plainTextFormattedCitation":"(Aparasu, 2011)","previouslyFormattedCitation":"(Aparasu, 2011)"},"properties":{"noteIndex":0},"schema":"https://github.com/citation-style-language/schema/raw/master/csl-citation.json"}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(Aparasu, 2011)</w:t>
      </w:r>
      <w:r w:rsidRPr="006B2FC7">
        <w:rPr>
          <w:rFonts w:ascii="Arial" w:hAnsi="Arial" w:cs="Arial"/>
          <w:sz w:val="24"/>
          <w:szCs w:val="24"/>
        </w:rPr>
        <w:fldChar w:fldCharType="end"/>
      </w:r>
      <w:r w:rsidRPr="006B2FC7">
        <w:rPr>
          <w:rFonts w:ascii="Arial" w:hAnsi="Arial" w:cs="Arial"/>
          <w:sz w:val="24"/>
          <w:szCs w:val="24"/>
        </w:rPr>
        <w:t>, and particularly using a sequential design, with qualitative methods following after quantitative.</w:t>
      </w:r>
    </w:p>
    <w:p w14:paraId="76B25D6F"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Combining the two approaches (qualitative and quantitative) by using a mixed-methods approach will enable the researcher to use qualitative data to confirm and add meaning to the quantitative data and quantitative data to confirm and test the findings of the qualitative data through the use of triangulation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{"citationItems":[{"id":"ITEM-1","itemData":{"DOI":"10.1504/ijbaf.2017.10007499","ISSN":"1753-1969","abstract":"This paper argues that a flexible approach should be adopted in the application of mixed methods research in behavioural accounting research by conducting it within the pragmatic paradigm, especially when a paradigm is defined as shared beliefs among members of a speciality area. By doing this, behavioural accounting researchers are not restricted by ontological and epistemological issues when deciding on how to address a variety of different research questions.","author":[{"dropping-particle":"","family":"Brierley","given":"John A.","non-dropping-particle":"","parse-names":false,"suffix":""}],"container-title":"International Journal of Behavioural Accounting and Finance","id":"ITEM-1","issue":"2","issued":{"date-parts":[["2017"]]},"page":"140","title":"The role of a pragmatist paradigm when adopting mixed methods in behavioural accounting research","type":"article-journal","volume":"6"},"uris":["http://www.mendeley.com/documents/?uuid=ff9b5683-b54c-4bd3-8751-878c2d8b92bc"]}],"mendeley":{"formattedCitation":"(Brierley, 2017)","plainTextFormattedCitation":"(Brierley, 2017)","previouslyFormattedCitation":"(Brierley, 2017)"},"properties":{"noteIndex":0},"schema":"https://github.com/citation-style-language/schema/raw/master/csl-citation.json"}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(Brierley, 2017)</w:t>
      </w:r>
      <w:r w:rsidRPr="006B2FC7">
        <w:rPr>
          <w:rFonts w:ascii="Arial" w:hAnsi="Arial" w:cs="Arial"/>
          <w:sz w:val="24"/>
          <w:szCs w:val="24"/>
        </w:rPr>
        <w:fldChar w:fldCharType="end"/>
      </w:r>
      <w:r w:rsidRPr="006B2FC7">
        <w:rPr>
          <w:rFonts w:ascii="Arial" w:hAnsi="Arial" w:cs="Arial"/>
          <w:sz w:val="24"/>
          <w:szCs w:val="24"/>
        </w:rPr>
        <w:t>.</w:t>
      </w:r>
    </w:p>
    <w:p w14:paraId="33B76383"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The effect of the integration of these two methods could provide a more complete picture of a research topic (Brierley, 2017). However, the integration of qualitative and quantitative research could be challenging</w:t>
      </w:r>
      <w:r>
        <w:rPr>
          <w:rFonts w:ascii="Arial" w:hAnsi="Arial" w:cs="Arial"/>
          <w:sz w:val="24"/>
          <w:szCs w:val="24"/>
        </w:rPr>
        <w:t xml:space="preserve"> for </w:t>
      </w:r>
      <w:r w:rsidRPr="006B2FC7">
        <w:rPr>
          <w:rFonts w:ascii="Arial" w:hAnsi="Arial" w:cs="Arial"/>
          <w:sz w:val="24"/>
          <w:szCs w:val="24"/>
        </w:rPr>
        <w:t xml:space="preserve">several </w:t>
      </w:r>
      <w:r>
        <w:rPr>
          <w:rFonts w:ascii="Arial" w:hAnsi="Arial" w:cs="Arial"/>
          <w:sz w:val="24"/>
          <w:szCs w:val="24"/>
        </w:rPr>
        <w:t>reasons, which will be presented in the methodological limitation, see (</w:t>
      </w:r>
      <w:r w:rsidRPr="005A1FFF">
        <w:rPr>
          <w:rFonts w:ascii="Arial" w:hAnsi="Arial" w:cs="Arial"/>
          <w:color w:val="1F3864" w:themeColor="accent1" w:themeShade="80"/>
          <w:sz w:val="24"/>
          <w:szCs w:val="24"/>
        </w:rPr>
        <w:fldChar w:fldCharType="begin"/>
      </w:r>
      <w:r w:rsidRPr="005A1FFF">
        <w:rPr>
          <w:rFonts w:ascii="Arial" w:hAnsi="Arial" w:cs="Arial"/>
          <w:color w:val="1F3864" w:themeColor="accent1" w:themeShade="80"/>
          <w:sz w:val="24"/>
          <w:szCs w:val="24"/>
        </w:rPr>
        <w:instrText xml:space="preserve"> REF _Ref127400000 \n \h </w:instrText>
      </w:r>
      <w:r w:rsidRPr="005A1FFF">
        <w:rPr>
          <w:rFonts w:ascii="Arial" w:hAnsi="Arial" w:cs="Arial"/>
          <w:color w:val="1F3864" w:themeColor="accent1" w:themeShade="80"/>
          <w:sz w:val="24"/>
          <w:szCs w:val="24"/>
        </w:rPr>
      </w:r>
      <w:r w:rsidRPr="005A1FFF">
        <w:rPr>
          <w:rFonts w:ascii="Arial" w:hAnsi="Arial" w:cs="Arial"/>
          <w:color w:val="1F3864" w:themeColor="accent1" w:themeShade="80"/>
          <w:sz w:val="24"/>
          <w:szCs w:val="24"/>
        </w:rPr>
        <w:fldChar w:fldCharType="separate"/>
      </w:r>
      <w:r w:rsidRPr="005A1FFF">
        <w:rPr>
          <w:rFonts w:ascii="Arial" w:hAnsi="Arial" w:cs="Arial"/>
          <w:color w:val="1F3864" w:themeColor="accent1" w:themeShade="80"/>
          <w:sz w:val="24"/>
          <w:szCs w:val="24"/>
          <w:cs/>
        </w:rPr>
        <w:t>‎</w:t>
      </w:r>
      <w:r w:rsidRPr="005A1FFF">
        <w:rPr>
          <w:rFonts w:ascii="Arial" w:hAnsi="Arial" w:cs="Arial"/>
          <w:color w:val="1F3864" w:themeColor="accent1" w:themeShade="80"/>
          <w:sz w:val="24"/>
          <w:szCs w:val="24"/>
        </w:rPr>
        <w:t>4.4</w:t>
      </w:r>
      <w:r w:rsidRPr="005A1FFF">
        <w:rPr>
          <w:rFonts w:ascii="Arial" w:hAnsi="Arial" w:cs="Arial"/>
          <w:color w:val="1F3864" w:themeColor="accent1" w:themeShade="80"/>
          <w:sz w:val="24"/>
          <w:szCs w:val="24"/>
        </w:rPr>
        <w:fldChar w:fldCharType="end"/>
      </w:r>
      <w:r w:rsidRPr="005A1FFF">
        <w:rPr>
          <w:rFonts w:ascii="Arial" w:hAnsi="Arial" w:cs="Arial"/>
          <w:color w:val="1F3864" w:themeColor="accent1" w:themeShade="80"/>
          <w:sz w:val="24"/>
          <w:szCs w:val="24"/>
        </w:rPr>
        <w:t>.</w:t>
      </w:r>
      <w:r>
        <w:rPr>
          <w:rFonts w:ascii="Arial" w:hAnsi="Arial" w:cs="Arial"/>
          <w:color w:val="1F3864" w:themeColor="accent1" w:themeShade="80"/>
          <w:sz w:val="24"/>
          <w:szCs w:val="24"/>
        </w:rPr>
        <w:t>)</w:t>
      </w:r>
      <w:r w:rsidRPr="00F0575B">
        <w:rPr>
          <w:rFonts w:ascii="Arial" w:hAnsi="Arial" w:cs="Arial"/>
          <w:sz w:val="24"/>
          <w:szCs w:val="24"/>
        </w:rPr>
        <w:t>.</w:t>
      </w:r>
      <w:r>
        <w:rPr>
          <w:rFonts w:ascii="Arial" w:hAnsi="Arial" w:cs="Arial"/>
          <w:color w:val="1F3864" w:themeColor="accent1" w:themeShade="80"/>
          <w:sz w:val="24"/>
          <w:szCs w:val="24"/>
        </w:rPr>
        <w:t xml:space="preserve"> </w:t>
      </w:r>
      <w:r>
        <w:rPr>
          <w:rFonts w:ascii="Arial" w:hAnsi="Arial" w:cs="Arial"/>
          <w:sz w:val="24"/>
          <w:szCs w:val="24"/>
        </w:rPr>
        <w:t xml:space="preserve"> </w:t>
      </w:r>
    </w:p>
    <w:p w14:paraId="1D71598E" w14:textId="77777777" w:rsidR="00EB7F85" w:rsidRPr="00E60BB5" w:rsidRDefault="00EB7F85" w:rsidP="00EB7F85">
      <w:pPr>
        <w:pStyle w:val="Heading5"/>
        <w:spacing w:line="360" w:lineRule="auto"/>
        <w:rPr>
          <w:rFonts w:asciiTheme="minorBidi" w:hAnsiTheme="minorBidi" w:cstheme="minorBidi"/>
          <w:sz w:val="24"/>
          <w:szCs w:val="24"/>
        </w:rPr>
      </w:pPr>
      <w:r w:rsidRPr="00E60BB5">
        <w:rPr>
          <w:rFonts w:asciiTheme="minorBidi" w:hAnsiTheme="minorBidi" w:cstheme="minorBidi"/>
          <w:sz w:val="24"/>
          <w:szCs w:val="24"/>
        </w:rPr>
        <w:t xml:space="preserve">Mixed methods approach in pharmacy practice research </w:t>
      </w:r>
    </w:p>
    <w:p w14:paraId="20856292" w14:textId="77777777" w:rsidR="00EB7F85" w:rsidRPr="00C01F33" w:rsidRDefault="00EB7F85" w:rsidP="00EB7F85">
      <w:pPr>
        <w:spacing w:line="360" w:lineRule="auto"/>
        <w:jc w:val="both"/>
        <w:rPr>
          <w:rFonts w:ascii="Arial" w:hAnsi="Arial" w:cs="Arial"/>
          <w:sz w:val="24"/>
          <w:szCs w:val="24"/>
        </w:rPr>
      </w:pPr>
      <w:r w:rsidRPr="00AA3AF3">
        <w:rPr>
          <w:rFonts w:ascii="Arial" w:hAnsi="Arial" w:cs="Arial"/>
          <w:sz w:val="24"/>
          <w:szCs w:val="24"/>
        </w:rPr>
        <w:t xml:space="preserve">The use of mixed methods research in the development of pharmacy practice has increased since the shift in the focus of pharmacy practice from product-based to more patient-based practices </w:t>
      </w:r>
      <w:r w:rsidRPr="00AA3AF3">
        <w:rPr>
          <w:rFonts w:ascii="Arial" w:hAnsi="Arial" w:cs="Arial"/>
          <w:sz w:val="24"/>
          <w:szCs w:val="24"/>
        </w:rPr>
        <w:fldChar w:fldCharType="begin" w:fldLock="1"/>
      </w:r>
      <w:r>
        <w:rPr>
          <w:rFonts w:ascii="Arial" w:hAnsi="Arial" w:cs="Arial"/>
          <w:sz w:val="24"/>
          <w:szCs w:val="24"/>
        </w:rPr>
        <w:instrText>ADDIN CSL_CITATION {"citationItems":[{"id":"ITEM-1","itemData":{"ISBN":"9783319146713","author":[{"dropping-particle":"","family":"Ud-Din Baber","given":"Zaheer","non-dropping-particle":"","parse-names":false,"suffix":""}],"id":"ITEM-1","issued":{"date-parts":[["2015"]]},"title":"Pharmacy Practice Research Methods","type":"book"},"uris":["http://www.mendeley.com/documents/?uuid=2cc8bd7f-fc32-41a1-aebb-826501c4a947"]}],"mendeley":{"formattedCitation":"(Ud-Din Baber, 2015)","plainTextFormattedCitation":"(Ud-Din Baber, 2015)","previouslyFormattedCitation":"(Ud-Din Baber, 2015)"},"properties":{"noteIndex":0},"schema":"https://github.com/citation-style-language/schema/raw/master/csl-citation.json"}</w:instrText>
      </w:r>
      <w:r w:rsidRPr="00AA3AF3">
        <w:rPr>
          <w:rFonts w:ascii="Arial" w:hAnsi="Arial" w:cs="Arial"/>
          <w:sz w:val="24"/>
          <w:szCs w:val="24"/>
        </w:rPr>
        <w:fldChar w:fldCharType="separate"/>
      </w:r>
      <w:r w:rsidRPr="00AA3AF3">
        <w:rPr>
          <w:rFonts w:ascii="Arial" w:hAnsi="Arial" w:cs="Arial"/>
          <w:noProof/>
          <w:sz w:val="24"/>
          <w:szCs w:val="24"/>
        </w:rPr>
        <w:t>(Ud-Din Baber, 2015)</w:t>
      </w:r>
      <w:r w:rsidRPr="00AA3AF3">
        <w:rPr>
          <w:rFonts w:ascii="Arial" w:hAnsi="Arial" w:cs="Arial"/>
          <w:sz w:val="24"/>
          <w:szCs w:val="24"/>
        </w:rPr>
        <w:fldChar w:fldCharType="end"/>
      </w:r>
      <w:r w:rsidRPr="00AA3AF3">
        <w:rPr>
          <w:rFonts w:ascii="Arial" w:hAnsi="Arial" w:cs="Arial"/>
          <w:sz w:val="24"/>
          <w:szCs w:val="24"/>
        </w:rPr>
        <w:t xml:space="preserve">. The author states that choosing research methodology is entirely driven by the research question/s and research related to health services is considered complex research that needs several methods to answer its research questions. Therefore, researchers in pharmacy practice have increasingly used a mixed approach in developing pharmacy practice as research in this field has several components and involves </w:t>
      </w:r>
      <w:r>
        <w:rPr>
          <w:rFonts w:ascii="Arial" w:hAnsi="Arial" w:cs="Arial"/>
          <w:sz w:val="24"/>
          <w:szCs w:val="24"/>
        </w:rPr>
        <w:t>a variety of</w:t>
      </w:r>
      <w:r w:rsidRPr="00AA3AF3">
        <w:rPr>
          <w:rFonts w:ascii="Arial" w:hAnsi="Arial" w:cs="Arial"/>
          <w:sz w:val="24"/>
          <w:szCs w:val="24"/>
        </w:rPr>
        <w:t xml:space="preserve"> stakeholders </w:t>
      </w:r>
      <w:r w:rsidRPr="00AA3AF3">
        <w:rPr>
          <w:rFonts w:ascii="Arial" w:hAnsi="Arial" w:cs="Arial"/>
          <w:sz w:val="24"/>
          <w:szCs w:val="24"/>
        </w:rPr>
        <w:fldChar w:fldCharType="begin" w:fldLock="1"/>
      </w:r>
      <w:r>
        <w:rPr>
          <w:rFonts w:ascii="Arial" w:hAnsi="Arial" w:cs="Arial"/>
          <w:sz w:val="24"/>
          <w:szCs w:val="24"/>
        </w:rPr>
        <w:instrText>ADDIN CSL_CITATION {"citationItems":[{"id":"ITEM-1","itemData":{"ISBN":"9783319146713","author":[{"dropping-particle":"","family":"Ud-Din Baber","given":"Zaheer","non-dropping-particle":"","parse-names":false,"suffix":""}],"id":"ITEM-1","issued":{"date-parts":[["2015"]]},"title":"Pharmacy Practice Research Methods","type":"book"},"uris":["http://www.mendeley.com/documents/?uuid=2cc8bd7f-fc32-41a1-aebb-826501c4a947"]}],"mendeley":{"formattedCitation":"(Ud-Din Baber, 2015)","plainTextFormattedCitation":"(Ud-Din Baber, 2015)","previouslyFormattedCitation":"(Ud-Din Baber, 2015)"},"properties":{"noteIndex":0},"schema":"https://github.com/citation-style-language/schema/raw/master/csl-citation.json"}</w:instrText>
      </w:r>
      <w:r w:rsidRPr="00AA3AF3">
        <w:rPr>
          <w:rFonts w:ascii="Arial" w:hAnsi="Arial" w:cs="Arial"/>
          <w:sz w:val="24"/>
          <w:szCs w:val="24"/>
        </w:rPr>
        <w:fldChar w:fldCharType="separate"/>
      </w:r>
      <w:r w:rsidRPr="00AA3AF3">
        <w:rPr>
          <w:rFonts w:ascii="Arial" w:hAnsi="Arial" w:cs="Arial"/>
          <w:noProof/>
          <w:sz w:val="24"/>
          <w:szCs w:val="24"/>
        </w:rPr>
        <w:t>(Ud-Din Baber, 2015)</w:t>
      </w:r>
      <w:r w:rsidRPr="00AA3AF3">
        <w:rPr>
          <w:rFonts w:ascii="Arial" w:hAnsi="Arial" w:cs="Arial"/>
          <w:sz w:val="24"/>
          <w:szCs w:val="24"/>
        </w:rPr>
        <w:fldChar w:fldCharType="end"/>
      </w:r>
      <w:r>
        <w:rPr>
          <w:rFonts w:ascii="Arial" w:hAnsi="Arial" w:cs="Arial"/>
          <w:color w:val="C00000"/>
          <w:sz w:val="24"/>
          <w:szCs w:val="24"/>
        </w:rPr>
        <w:t>.</w:t>
      </w:r>
    </w:p>
    <w:p w14:paraId="3823478B" w14:textId="77777777" w:rsidR="00EB7F85" w:rsidRPr="00573AC8" w:rsidRDefault="00EB7F85" w:rsidP="00EB7F85">
      <w:pPr>
        <w:spacing w:line="360" w:lineRule="auto"/>
        <w:jc w:val="both"/>
        <w:rPr>
          <w:rFonts w:ascii="Arial" w:hAnsi="Arial" w:cs="Arial"/>
          <w:color w:val="C00000"/>
          <w:sz w:val="24"/>
          <w:szCs w:val="24"/>
        </w:rPr>
      </w:pPr>
      <w:r w:rsidRPr="00963998">
        <w:rPr>
          <w:rFonts w:ascii="Arial" w:hAnsi="Arial" w:cs="Arial"/>
          <w:sz w:val="24"/>
          <w:szCs w:val="24"/>
        </w:rPr>
        <w:t xml:space="preserve">In the literature review </w:t>
      </w:r>
      <w:r>
        <w:rPr>
          <w:rFonts w:ascii="Arial" w:hAnsi="Arial" w:cs="Arial"/>
          <w:sz w:val="24"/>
          <w:szCs w:val="24"/>
        </w:rPr>
        <w:t>chapter</w:t>
      </w:r>
      <w:r w:rsidRPr="00963998">
        <w:rPr>
          <w:rFonts w:ascii="Arial" w:hAnsi="Arial" w:cs="Arial"/>
          <w:sz w:val="24"/>
          <w:szCs w:val="24"/>
        </w:rPr>
        <w:t>, it was found that the mixed methods approach is used in the development of pharmacy practice research.</w:t>
      </w:r>
      <w:r>
        <w:rPr>
          <w:rFonts w:ascii="Arial" w:hAnsi="Arial" w:cs="Arial"/>
          <w:sz w:val="24"/>
          <w:szCs w:val="24"/>
        </w:rPr>
        <w:t xml:space="preserve"> For example, </w:t>
      </w:r>
      <w:r w:rsidRPr="006B2FC7">
        <w:rPr>
          <w:rFonts w:ascii="Arial" w:hAnsi="Arial" w:cs="Arial"/>
          <w:sz w:val="24"/>
          <w:szCs w:val="24"/>
        </w:rPr>
        <w:t>the previous research related to involving pharmacists and their role in diabetes care</w:t>
      </w:r>
      <w:r>
        <w:rPr>
          <w:rFonts w:ascii="Arial" w:hAnsi="Arial" w:cs="Arial"/>
          <w:sz w:val="24"/>
          <w:szCs w:val="24"/>
        </w:rPr>
        <w:t xml:space="preserve">; </w:t>
      </w:r>
      <w:r w:rsidRPr="006B2FC7">
        <w:rPr>
          <w:rFonts w:ascii="Arial" w:hAnsi="Arial" w:cs="Arial"/>
          <w:sz w:val="24"/>
          <w:szCs w:val="24"/>
        </w:rPr>
        <w:t xml:space="preserve">It </w:t>
      </w:r>
      <w:r>
        <w:rPr>
          <w:rFonts w:ascii="Arial" w:hAnsi="Arial" w:cs="Arial"/>
          <w:sz w:val="24"/>
          <w:szCs w:val="24"/>
        </w:rPr>
        <w:t>demonstrates</w:t>
      </w:r>
      <w:r w:rsidRPr="006B2FC7">
        <w:rPr>
          <w:rFonts w:ascii="Arial" w:hAnsi="Arial" w:cs="Arial"/>
          <w:sz w:val="24"/>
          <w:szCs w:val="24"/>
        </w:rPr>
        <w:t xml:space="preserve"> that </w:t>
      </w:r>
      <w:r w:rsidRPr="00C93314">
        <w:rPr>
          <w:rFonts w:ascii="Arial" w:hAnsi="Arial" w:cs="Arial"/>
          <w:sz w:val="24"/>
          <w:szCs w:val="24"/>
        </w:rPr>
        <w:t>using a mixed-methods approach could be the most appropriate method to answer the research questions because it provides a full understanding of the research topic, as shown in the studies by Al-Taweel et al. (2014)</w:t>
      </w:r>
      <w:r>
        <w:rPr>
          <w:rFonts w:ascii="Arial" w:hAnsi="Arial" w:cs="Arial"/>
          <w:sz w:val="24"/>
          <w:szCs w:val="24"/>
        </w:rPr>
        <w:t xml:space="preserve">. </w:t>
      </w:r>
      <w:r w:rsidRPr="00C93314">
        <w:rPr>
          <w:rFonts w:ascii="Arial" w:hAnsi="Arial" w:cs="Arial"/>
          <w:sz w:val="24"/>
          <w:szCs w:val="24"/>
        </w:rPr>
        <w:t xml:space="preserve"> </w:t>
      </w:r>
      <w:r>
        <w:rPr>
          <w:rFonts w:ascii="Arial" w:hAnsi="Arial" w:cs="Arial"/>
          <w:sz w:val="24"/>
          <w:szCs w:val="24"/>
        </w:rPr>
        <w:t xml:space="preserve">The mixed methods approach was also used by </w:t>
      </w:r>
      <w:r w:rsidRPr="00C93314">
        <w:rPr>
          <w:rFonts w:ascii="Arial" w:hAnsi="Arial" w:cs="Arial"/>
          <w:sz w:val="24"/>
          <w:szCs w:val="24"/>
        </w:rPr>
        <w:t>Moreno et al. (2017)</w:t>
      </w:r>
      <w:r>
        <w:rPr>
          <w:rFonts w:ascii="Arial" w:hAnsi="Arial" w:cs="Arial"/>
          <w:sz w:val="24"/>
          <w:szCs w:val="24"/>
        </w:rPr>
        <w:t xml:space="preserve"> to evaluate </w:t>
      </w:r>
      <w:r w:rsidRPr="008850F5">
        <w:rPr>
          <w:rFonts w:ascii="Arial" w:hAnsi="Arial" w:cs="Arial"/>
          <w:sz w:val="24"/>
          <w:szCs w:val="24"/>
        </w:rPr>
        <w:t xml:space="preserve">the integrated </w:t>
      </w:r>
      <w:r>
        <w:rPr>
          <w:rFonts w:ascii="Arial" w:hAnsi="Arial" w:cs="Arial"/>
          <w:sz w:val="24"/>
          <w:szCs w:val="24"/>
        </w:rPr>
        <w:t xml:space="preserve">clinical </w:t>
      </w:r>
      <w:r w:rsidRPr="008850F5">
        <w:rPr>
          <w:rFonts w:ascii="Arial" w:hAnsi="Arial" w:cs="Arial"/>
          <w:sz w:val="24"/>
          <w:szCs w:val="24"/>
        </w:rPr>
        <w:t xml:space="preserve">pharmacy program </w:t>
      </w:r>
      <w:r>
        <w:rPr>
          <w:rFonts w:ascii="Arial" w:hAnsi="Arial" w:cs="Arial"/>
          <w:sz w:val="24"/>
          <w:szCs w:val="24"/>
        </w:rPr>
        <w:t xml:space="preserve">into </w:t>
      </w:r>
      <w:r w:rsidRPr="00881426">
        <w:rPr>
          <w:rFonts w:ascii="Arial" w:hAnsi="Arial" w:cs="Arial"/>
          <w:sz w:val="24"/>
          <w:szCs w:val="24"/>
        </w:rPr>
        <w:t>primary care practice teams</w:t>
      </w:r>
      <w:r>
        <w:rPr>
          <w:rFonts w:ascii="Arial" w:hAnsi="Arial" w:cs="Arial"/>
          <w:sz w:val="24"/>
          <w:szCs w:val="24"/>
        </w:rPr>
        <w:t>. R</w:t>
      </w:r>
      <w:r w:rsidRPr="00C93314">
        <w:rPr>
          <w:rFonts w:ascii="Arial" w:hAnsi="Arial" w:cs="Arial"/>
          <w:sz w:val="24"/>
          <w:szCs w:val="24"/>
        </w:rPr>
        <w:t xml:space="preserve">esearchers in these studies used </w:t>
      </w:r>
      <w:r w:rsidRPr="00C93314">
        <w:rPr>
          <w:rFonts w:asciiTheme="minorBidi" w:hAnsiTheme="minorBidi"/>
          <w:sz w:val="24"/>
          <w:szCs w:val="24"/>
        </w:rPr>
        <w:t xml:space="preserve">a sequential explanatory design </w:t>
      </w:r>
      <w:r w:rsidRPr="00C93314">
        <w:rPr>
          <w:rFonts w:ascii="Arial" w:hAnsi="Arial" w:cs="Arial"/>
          <w:sz w:val="24"/>
          <w:szCs w:val="24"/>
        </w:rPr>
        <w:t xml:space="preserve">to conduct their research. </w:t>
      </w:r>
      <w:r w:rsidRPr="00C93314">
        <w:rPr>
          <w:rFonts w:asciiTheme="minorBidi" w:hAnsiTheme="minorBidi"/>
          <w:sz w:val="24"/>
          <w:szCs w:val="24"/>
        </w:rPr>
        <w:t xml:space="preserve">The relationship between the quantitative and qualitative methodology in </w:t>
      </w:r>
      <w:r w:rsidRPr="00C93314">
        <w:rPr>
          <w:rFonts w:ascii="Arial" w:hAnsi="Arial" w:cs="Arial"/>
          <w:sz w:val="24"/>
          <w:szCs w:val="24"/>
        </w:rPr>
        <w:t xml:space="preserve">Al-Taweel et al. (2014) </w:t>
      </w:r>
      <w:r w:rsidRPr="00C93314">
        <w:rPr>
          <w:rFonts w:asciiTheme="minorBidi" w:hAnsiTheme="minorBidi"/>
          <w:sz w:val="24"/>
          <w:szCs w:val="24"/>
        </w:rPr>
        <w:t xml:space="preserve">study was complementary to provide a rich and detailed information about pharmacist contribution to diabetes care and identifying the barriers preventing from delivering such service. </w:t>
      </w:r>
      <w:r w:rsidRPr="00C93314">
        <w:rPr>
          <w:rFonts w:ascii="Arial" w:hAnsi="Arial" w:cs="Arial"/>
          <w:sz w:val="24"/>
          <w:szCs w:val="24"/>
        </w:rPr>
        <w:t xml:space="preserve">Following this approach could improve the design of pharmacy service for a better fit with daily practice. While </w:t>
      </w:r>
      <w:r w:rsidRPr="00C93314">
        <w:rPr>
          <w:rFonts w:asciiTheme="minorBidi" w:hAnsiTheme="minorBidi"/>
          <w:sz w:val="24"/>
          <w:szCs w:val="24"/>
        </w:rPr>
        <w:t xml:space="preserve">in </w:t>
      </w:r>
      <w:r w:rsidRPr="00C93314">
        <w:rPr>
          <w:rFonts w:ascii="Arial" w:hAnsi="Arial" w:cs="Arial"/>
          <w:sz w:val="24"/>
          <w:szCs w:val="24"/>
        </w:rPr>
        <w:t xml:space="preserve">Moreno et al. (2017) study, </w:t>
      </w:r>
      <w:r w:rsidRPr="00C93314">
        <w:rPr>
          <w:rFonts w:asciiTheme="minorBidi" w:hAnsiTheme="minorBidi"/>
          <w:sz w:val="24"/>
          <w:szCs w:val="24"/>
        </w:rPr>
        <w:t>the results from the qualitative phase were in general agreement with those of the surveys</w:t>
      </w:r>
      <w:r w:rsidRPr="00C93314">
        <w:rPr>
          <w:rFonts w:ascii="Arial" w:hAnsi="Arial" w:cs="Arial"/>
          <w:sz w:val="24"/>
          <w:szCs w:val="24"/>
        </w:rPr>
        <w:t>, thus, promoting the validity of data obtained from the quantitative phase.</w:t>
      </w:r>
    </w:p>
    <w:p w14:paraId="3C7C646E"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The above studies showed that using mixed methods to conduct such research can allow a fuller understanding of the research topic. Therefore, a decision was made to employ a mixed-method design to explore </w:t>
      </w:r>
      <w:r w:rsidRPr="006F1EEF">
        <w:rPr>
          <w:rFonts w:ascii="Arial" w:hAnsi="Arial" w:cs="Arial"/>
          <w:sz w:val="24"/>
          <w:szCs w:val="24"/>
        </w:rPr>
        <w:t xml:space="preserve">potential roles for pharmacists in diabetes management in PHCs in the Eastern </w:t>
      </w:r>
      <w:r>
        <w:rPr>
          <w:rFonts w:ascii="Arial" w:hAnsi="Arial" w:cs="Arial"/>
          <w:sz w:val="24"/>
          <w:szCs w:val="24"/>
        </w:rPr>
        <w:t>province</w:t>
      </w:r>
      <w:r w:rsidRPr="006F1EEF">
        <w:rPr>
          <w:rFonts w:ascii="Arial" w:hAnsi="Arial" w:cs="Arial"/>
          <w:sz w:val="24"/>
          <w:szCs w:val="24"/>
        </w:rPr>
        <w:t xml:space="preserve"> in SA as well as the potential impacts of adding pharmacists to the diabetes care team. </w:t>
      </w:r>
      <w:r>
        <w:rPr>
          <w:rFonts w:ascii="Arial" w:hAnsi="Arial" w:cs="Arial"/>
          <w:sz w:val="24"/>
          <w:szCs w:val="24"/>
        </w:rPr>
        <w:t>In addition,</w:t>
      </w:r>
      <w:r w:rsidRPr="006B2FC7">
        <w:rPr>
          <w:rFonts w:ascii="Arial" w:hAnsi="Arial" w:cs="Arial"/>
          <w:sz w:val="24"/>
          <w:szCs w:val="24"/>
        </w:rPr>
        <w:t xml:space="preserve"> </w:t>
      </w:r>
      <w:r w:rsidRPr="006572E9">
        <w:rPr>
          <w:rFonts w:ascii="Arial" w:hAnsi="Arial" w:cs="Arial"/>
          <w:sz w:val="24"/>
          <w:szCs w:val="24"/>
        </w:rPr>
        <w:t>a mixed methods approach was also considered to be appropriate</w:t>
      </w:r>
      <w:r>
        <w:rPr>
          <w:rStyle w:val="cf01"/>
        </w:rPr>
        <w:t xml:space="preserve"> </w:t>
      </w:r>
      <w:r w:rsidRPr="006B2FC7">
        <w:rPr>
          <w:rFonts w:ascii="Arial" w:hAnsi="Arial" w:cs="Arial"/>
          <w:sz w:val="24"/>
          <w:szCs w:val="24"/>
        </w:rPr>
        <w:t>to investigate the facilitators that are required to expand the role of the pharmacist, as well as the barriers to this, and estimate whether adding pharmacists to the DM care team in primary healthcare in SA would improve healthcare service</w:t>
      </w:r>
      <w:r>
        <w:rPr>
          <w:rFonts w:ascii="Arial" w:hAnsi="Arial" w:cs="Arial"/>
          <w:sz w:val="24"/>
          <w:szCs w:val="24"/>
        </w:rPr>
        <w:t>,</w:t>
      </w:r>
      <w:r w:rsidRPr="006B2FC7">
        <w:rPr>
          <w:rFonts w:ascii="Arial" w:hAnsi="Arial" w:cs="Arial"/>
          <w:sz w:val="24"/>
          <w:szCs w:val="24"/>
        </w:rPr>
        <w:t xml:space="preserve"> as this study, to </w:t>
      </w:r>
      <w:r>
        <w:rPr>
          <w:rFonts w:ascii="Arial" w:hAnsi="Arial" w:cs="Arial"/>
          <w:sz w:val="24"/>
          <w:szCs w:val="24"/>
        </w:rPr>
        <w:t>the researcher</w:t>
      </w:r>
      <w:r w:rsidRPr="006B2FC7">
        <w:rPr>
          <w:rFonts w:ascii="Arial" w:hAnsi="Arial" w:cs="Arial"/>
          <w:sz w:val="24"/>
          <w:szCs w:val="24"/>
        </w:rPr>
        <w:t xml:space="preserve"> knowledge, is one of the first studies in this field</w:t>
      </w:r>
      <w:r>
        <w:rPr>
          <w:rFonts w:ascii="Arial" w:hAnsi="Arial" w:cs="Arial"/>
          <w:sz w:val="24"/>
          <w:szCs w:val="24"/>
        </w:rPr>
        <w:t xml:space="preserve"> as shown in </w:t>
      </w:r>
      <w:r w:rsidRPr="00FB6087">
        <w:rPr>
          <w:rFonts w:ascii="Arial" w:hAnsi="Arial" w:cs="Arial"/>
          <w:color w:val="1F3864" w:themeColor="accent1" w:themeShade="80"/>
          <w:sz w:val="24"/>
          <w:szCs w:val="24"/>
        </w:rPr>
        <w:fldChar w:fldCharType="begin"/>
      </w:r>
      <w:r w:rsidRPr="00FB6087">
        <w:rPr>
          <w:rFonts w:ascii="Arial" w:hAnsi="Arial" w:cs="Arial"/>
          <w:color w:val="1F3864" w:themeColor="accent1" w:themeShade="80"/>
          <w:sz w:val="24"/>
          <w:szCs w:val="24"/>
        </w:rPr>
        <w:instrText xml:space="preserve"> REF _Ref121348080 \r \h  \* MERGEFORMAT </w:instrText>
      </w:r>
      <w:r w:rsidRPr="00FB6087">
        <w:rPr>
          <w:rFonts w:ascii="Arial" w:hAnsi="Arial" w:cs="Arial"/>
          <w:color w:val="1F3864" w:themeColor="accent1" w:themeShade="80"/>
          <w:sz w:val="24"/>
          <w:szCs w:val="24"/>
        </w:rPr>
      </w:r>
      <w:r w:rsidRPr="00FB6087">
        <w:rPr>
          <w:rFonts w:ascii="Arial" w:hAnsi="Arial" w:cs="Arial"/>
          <w:color w:val="1F3864" w:themeColor="accent1" w:themeShade="80"/>
          <w:sz w:val="24"/>
          <w:szCs w:val="24"/>
        </w:rPr>
        <w:fldChar w:fldCharType="separate"/>
      </w:r>
      <w:r>
        <w:rPr>
          <w:rFonts w:ascii="Arial" w:hAnsi="Arial" w:cs="Arial"/>
          <w:color w:val="1F3864" w:themeColor="accent1" w:themeShade="80"/>
          <w:sz w:val="24"/>
          <w:szCs w:val="24"/>
          <w:cs/>
        </w:rPr>
        <w:t>‎</w:t>
      </w:r>
      <w:r>
        <w:rPr>
          <w:rFonts w:ascii="Arial" w:hAnsi="Arial" w:cs="Arial"/>
          <w:color w:val="1F3864" w:themeColor="accent1" w:themeShade="80"/>
          <w:sz w:val="24"/>
          <w:szCs w:val="24"/>
        </w:rPr>
        <w:t>2.3.5</w:t>
      </w:r>
      <w:r w:rsidRPr="00FB6087">
        <w:rPr>
          <w:rFonts w:ascii="Arial" w:hAnsi="Arial" w:cs="Arial"/>
          <w:color w:val="1F3864" w:themeColor="accent1" w:themeShade="80"/>
          <w:sz w:val="24"/>
          <w:szCs w:val="24"/>
        </w:rPr>
        <w:fldChar w:fldCharType="end"/>
      </w:r>
      <w:r w:rsidRPr="00FB6087">
        <w:rPr>
          <w:rFonts w:ascii="Arial" w:hAnsi="Arial" w:cs="Arial"/>
          <w:color w:val="1F3864" w:themeColor="accent1" w:themeShade="80"/>
          <w:sz w:val="24"/>
          <w:szCs w:val="24"/>
        </w:rPr>
        <w:t>.</w:t>
      </w:r>
      <w:r w:rsidRPr="006B2FC7">
        <w:rPr>
          <w:rFonts w:ascii="Arial" w:hAnsi="Arial" w:cs="Arial"/>
          <w:sz w:val="24"/>
          <w:szCs w:val="24"/>
        </w:rPr>
        <w:t xml:space="preserve"> </w:t>
      </w:r>
    </w:p>
    <w:p w14:paraId="0B25AE00" w14:textId="77777777" w:rsidR="00EB7F85" w:rsidRPr="00C93314" w:rsidRDefault="00EB7F85" w:rsidP="00EB7F85">
      <w:pPr>
        <w:pStyle w:val="CommentText"/>
        <w:spacing w:line="360" w:lineRule="auto"/>
        <w:jc w:val="both"/>
        <w:rPr>
          <w:rFonts w:ascii="Arial" w:hAnsi="Arial" w:cs="Arial"/>
          <w:sz w:val="24"/>
          <w:szCs w:val="24"/>
        </w:rPr>
      </w:pPr>
      <w:r w:rsidRPr="00C93314">
        <w:rPr>
          <w:rFonts w:ascii="Arial" w:hAnsi="Arial" w:cs="Arial"/>
          <w:sz w:val="24"/>
          <w:szCs w:val="24"/>
        </w:rPr>
        <w:t xml:space="preserve">The targeted population, however, was one of limitation from the previous studies by Moreno et al. (2017), and Al-Taweel et al. (2014), as they only captured the view of doctors or pharmacists. Stakeholders' involvement in research is now a requirement in the agenda of the National Institute of Health Research (NIHR) in the UK, because of its benefits. Therefore, taking stakeholder’s views into account in the involvement of pharmacists in diabetes management in primary care settings could enrich the research findings. </w:t>
      </w:r>
      <w:r w:rsidRPr="000871DD">
        <w:rPr>
          <w:rFonts w:ascii="Arial" w:hAnsi="Arial" w:cs="Arial"/>
          <w:sz w:val="24"/>
          <w:szCs w:val="24"/>
        </w:rPr>
        <w:t xml:space="preserve">Involvement of stakeholders from different levels in real practice is a crucial factor for any success in healthcare transformation </w:t>
      </w:r>
      <w:r w:rsidRPr="000871DD">
        <w:rPr>
          <w:rFonts w:ascii="Arial" w:hAnsi="Arial" w:cs="Arial"/>
          <w:sz w:val="24"/>
          <w:szCs w:val="24"/>
        </w:rPr>
        <w:fldChar w:fldCharType="begin" w:fldLock="1"/>
      </w:r>
      <w:r w:rsidRPr="000871DD">
        <w:rPr>
          <w:rFonts w:ascii="Arial" w:hAnsi="Arial" w:cs="Arial"/>
          <w:sz w:val="24"/>
          <w:szCs w:val="24"/>
        </w:rPr>
        <w:instrText>ADDIN CSL_CITATION {"citationItems":[{"id":"ITEM-1","itemData":{"DOI":"10.1186/s13012-017-0625-5","author":[{"dropping-particle":"","family":"Norris","given":"Jill M","non-dropping-particle":"","parse-names":false,"suffix":""},{"dropping-particle":"","family":"White","given":"Deborah E","non-dropping-particle":"","parse-names":false,"suffix":""},{"dropping-particle":"","family":"Nowell","given":"Lorelli","non-dropping-particle":"","parse-names":false,"suffix":""},{"dropping-particle":"","family":"Mrklas","given":"Kelly","non-dropping-particle":"","parse-names":false,"suffix":""},{"dropping-particle":"","family":"Stelfox","given":"Henry T","non-dropping-particle":"","parse-names":false,"suffix":""}],"id":"ITEM-1","issued":{"date-parts":[["2017"]]},"page":"1-13","publisher":"Implementation Science","title":"How do stakeholders from multiple hierarchical levels of a large provincial health system define engagement ? A qualitative study","type":"article-journal"},"uris":["http://www.mendeley.com/documents/?uuid=bd6bbfb1-28b0-450b-b033-fb38f8909bf3"]}],"mendeley":{"formattedCitation":"(Norris &lt;i&gt;et al.&lt;/i&gt;, 2017)","plainTextFormattedCitation":"(Norris et al., 2017)","previouslyFormattedCitation":"(Norris &lt;i&gt;et al.&lt;/i&gt;, 2017)"},"properties":{"noteIndex":0},"schema":"https://github.com/citation-style-language/schema/raw/master/csl-citation.json"}</w:instrText>
      </w:r>
      <w:r w:rsidRPr="000871DD">
        <w:rPr>
          <w:rFonts w:ascii="Arial" w:hAnsi="Arial" w:cs="Arial"/>
          <w:sz w:val="24"/>
          <w:szCs w:val="24"/>
        </w:rPr>
        <w:fldChar w:fldCharType="separate"/>
      </w:r>
      <w:r w:rsidRPr="000871DD">
        <w:rPr>
          <w:rFonts w:ascii="Arial" w:hAnsi="Arial" w:cs="Arial"/>
          <w:noProof/>
          <w:sz w:val="24"/>
          <w:szCs w:val="24"/>
        </w:rPr>
        <w:t xml:space="preserve">(Norris </w:t>
      </w:r>
      <w:r w:rsidRPr="000871DD">
        <w:rPr>
          <w:rFonts w:ascii="Arial" w:hAnsi="Arial" w:cs="Arial"/>
          <w:i/>
          <w:noProof/>
          <w:sz w:val="24"/>
          <w:szCs w:val="24"/>
        </w:rPr>
        <w:t>et al.</w:t>
      </w:r>
      <w:r w:rsidRPr="000871DD">
        <w:rPr>
          <w:rFonts w:ascii="Arial" w:hAnsi="Arial" w:cs="Arial"/>
          <w:noProof/>
          <w:sz w:val="24"/>
          <w:szCs w:val="24"/>
        </w:rPr>
        <w:t>, 2017)</w:t>
      </w:r>
      <w:r w:rsidRPr="000871DD">
        <w:rPr>
          <w:rFonts w:ascii="Arial" w:hAnsi="Arial" w:cs="Arial"/>
          <w:sz w:val="24"/>
          <w:szCs w:val="24"/>
        </w:rPr>
        <w:fldChar w:fldCharType="end"/>
      </w:r>
      <w:r w:rsidRPr="000871DD">
        <w:rPr>
          <w:rFonts w:ascii="Arial" w:hAnsi="Arial" w:cs="Arial"/>
          <w:sz w:val="24"/>
          <w:szCs w:val="24"/>
        </w:rPr>
        <w:t xml:space="preserve">. Therefore, it is important to explore stakeholders’ views and perceptions of the involvement of pharmacists in diabetes care teams. </w:t>
      </w:r>
    </w:p>
    <w:p w14:paraId="3F90E7E7"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Conducting a similar study to the previous ones is acceptable in the research world, but it should be in a different context to be a valuable addition to knowledge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{"citationItems":[{"id":"ITEM-1","itemData":{"DOI":"10.1108/MRR-02-2013-0027","ISSN":"20408269","abstract":"Purpose: This article aims to draw on experience in supervising new researchers, and the advice of other writers to offer novice researchers such as those engaged in study for a thesis, or in another small-scale research project, a pragmatic introduction to designing and using research questionnaires. Design/methodology/approach: After a brief introduction, this article is organized into three main sections: designing questionnaires, distributing questionnaires, and analysing and presenting questionnaire data. Within these sections, ten questions often asked by novice researchers are posed and answered. Findings: This article is designed to give novice researchers advice and support to help them to design good questionnaires, to maximise their response rate, and to undertake appropriate data analysis. Originality/value: Other research methods texts offer advice on questionnaire design and use, but their advice is not specifically tailored to new researchers. They tend to offer options, but provide limited guidance on making crucial decisions in questionnaire design, distribution and data analysis and presentation. © Emerald Group Publishing Limited.","author":[{"dropping-particle":"","family":"Rowley","given":"Jenny","non-dropping-particle":"","parse-names":false,"suffix":""}],"container-title":"Management Research Review","id":"ITEM-1","issue":"3","issued":{"date-parts":[["2014"]]},"page":"308-330","title":"Designing and using research questionnaires","type":"article-journal","volume":"37"},"uris":["http://www.mendeley.com/documents/?uuid=516608a8-41bf-4bf7-8883-4316ed74189f"]}],"mendeley":{"formattedCitation":"(Rowley, 2014)","plainTextFormattedCitation":"(Rowley, 2014)","previouslyFormattedCitation":"(Rowley, 2014)"},"properties":{"noteIndex":0},"schema":"https://github.com/citation-style-language/schema/raw/master/csl-citation.json"}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(Rowley, 2014)</w:t>
      </w:r>
      <w:r w:rsidRPr="006B2FC7">
        <w:rPr>
          <w:rFonts w:ascii="Arial" w:hAnsi="Arial" w:cs="Arial"/>
          <w:sz w:val="24"/>
          <w:szCs w:val="24"/>
        </w:rPr>
        <w:fldChar w:fldCharType="end"/>
      </w:r>
      <w:r w:rsidRPr="006B2FC7">
        <w:rPr>
          <w:rFonts w:ascii="Arial" w:hAnsi="Arial" w:cs="Arial"/>
          <w:sz w:val="24"/>
          <w:szCs w:val="24"/>
        </w:rPr>
        <w:t xml:space="preserve">. The different context in this research that it will include key workers in the </w:t>
      </w:r>
      <w:r>
        <w:rPr>
          <w:rFonts w:ascii="Arial" w:hAnsi="Arial" w:cs="Arial"/>
          <w:sz w:val="24"/>
          <w:szCs w:val="24"/>
        </w:rPr>
        <w:t>PHCs</w:t>
      </w:r>
      <w:r w:rsidRPr="006B2FC7">
        <w:rPr>
          <w:rFonts w:ascii="Arial" w:hAnsi="Arial" w:cs="Arial"/>
          <w:sz w:val="24"/>
          <w:szCs w:val="24"/>
        </w:rPr>
        <w:t xml:space="preserve"> in SA (doctors, pharmacists, and nurses)</w:t>
      </w:r>
      <w:r>
        <w:rPr>
          <w:rFonts w:ascii="Arial" w:hAnsi="Arial" w:cs="Arial"/>
          <w:sz w:val="24"/>
          <w:szCs w:val="24"/>
        </w:rPr>
        <w:t xml:space="preserve">; </w:t>
      </w:r>
      <w:r w:rsidRPr="006B2FC7">
        <w:rPr>
          <w:rFonts w:ascii="Arial" w:hAnsi="Arial" w:cs="Arial"/>
          <w:sz w:val="24"/>
          <w:szCs w:val="24"/>
        </w:rPr>
        <w:t>with the acknowledging that an ideal study might also sample patients and other stakeholders, but due to the scale and timing of a PhD, the choice was made to cover these three domains.</w:t>
      </w:r>
    </w:p>
    <w:p w14:paraId="351D61B6" w14:textId="77777777" w:rsidR="00EB7F85" w:rsidRPr="006B2FC7"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Therefore, this study will use the mixed methods approach to explore the opinion of </w:t>
      </w:r>
      <w:r>
        <w:rPr>
          <w:rFonts w:ascii="Arial" w:hAnsi="Arial" w:cs="Arial"/>
          <w:sz w:val="24"/>
          <w:szCs w:val="24"/>
        </w:rPr>
        <w:t>HCPs</w:t>
      </w:r>
      <w:r w:rsidRPr="006B2FC7">
        <w:rPr>
          <w:rFonts w:ascii="Arial" w:hAnsi="Arial" w:cs="Arial"/>
          <w:sz w:val="24"/>
          <w:szCs w:val="24"/>
        </w:rPr>
        <w:t xml:space="preserve"> on the role of primary care pharmacists in diabetes management in SA, and what are the facilitators and barriers of involvement the pharmacists to the diabetes care team. This </w:t>
      </w:r>
      <w:r>
        <w:rPr>
          <w:rFonts w:ascii="Arial" w:hAnsi="Arial" w:cs="Arial"/>
          <w:sz w:val="24"/>
          <w:szCs w:val="24"/>
        </w:rPr>
        <w:t>was</w:t>
      </w:r>
      <w:r w:rsidRPr="006B2FC7">
        <w:rPr>
          <w:rFonts w:ascii="Arial" w:hAnsi="Arial" w:cs="Arial"/>
          <w:sz w:val="24"/>
          <w:szCs w:val="24"/>
        </w:rPr>
        <w:t xml:space="preserve"> done by using a questionnaire for collecting the quantitative data. Areas that need building on or obtain </w:t>
      </w:r>
      <w:r>
        <w:rPr>
          <w:rFonts w:ascii="Arial" w:hAnsi="Arial" w:cs="Arial"/>
          <w:sz w:val="24"/>
          <w:szCs w:val="24"/>
        </w:rPr>
        <w:t xml:space="preserve">a </w:t>
      </w:r>
      <w:r w:rsidRPr="006B2FC7">
        <w:rPr>
          <w:rFonts w:ascii="Arial" w:hAnsi="Arial" w:cs="Arial"/>
          <w:sz w:val="24"/>
          <w:szCs w:val="24"/>
        </w:rPr>
        <w:t xml:space="preserve">better understanding from the quantitative analysis of participant questionnaire responses </w:t>
      </w:r>
      <w:r>
        <w:rPr>
          <w:rFonts w:ascii="Arial" w:hAnsi="Arial" w:cs="Arial"/>
          <w:sz w:val="24"/>
          <w:szCs w:val="24"/>
        </w:rPr>
        <w:t>were</w:t>
      </w:r>
      <w:r w:rsidRPr="006B2FC7">
        <w:rPr>
          <w:rFonts w:ascii="Arial" w:hAnsi="Arial" w:cs="Arial"/>
          <w:sz w:val="24"/>
          <w:szCs w:val="24"/>
        </w:rPr>
        <w:t xml:space="preserve"> explored via semi-structured one-to-one interviews for the qualitative method phase. The quantitative and qualitative findings </w:t>
      </w:r>
      <w:r>
        <w:rPr>
          <w:rFonts w:ascii="Arial" w:hAnsi="Arial" w:cs="Arial"/>
          <w:sz w:val="24"/>
          <w:szCs w:val="24"/>
        </w:rPr>
        <w:t xml:space="preserve">were </w:t>
      </w:r>
      <w:r w:rsidRPr="006B2FC7">
        <w:rPr>
          <w:rFonts w:ascii="Arial" w:hAnsi="Arial" w:cs="Arial"/>
          <w:sz w:val="24"/>
          <w:szCs w:val="24"/>
        </w:rPr>
        <w:t>appropriately integrated into the triangulated phase to provide answers to the research questions, a better understanding of the research phenomenon, and to make distinct contributions to the research topic.</w:t>
      </w:r>
    </w:p>
    <w:p w14:paraId="433A3FF6" w14:textId="77777777" w:rsidR="00EB7F85" w:rsidRPr="00886719" w:rsidRDefault="00EB7F85" w:rsidP="00EB7F85">
      <w:pPr>
        <w:rPr>
          <w:iCs/>
        </w:rPr>
      </w:pPr>
    </w:p>
    <w:p w14:paraId="2CB486BA" w14:textId="77777777" w:rsidR="00EB7F85" w:rsidRPr="006B2FC7" w:rsidRDefault="00EB7F85" w:rsidP="00EB7F85">
      <w:pPr>
        <w:pStyle w:val="Heading3"/>
        <w:numPr>
          <w:ilvl w:val="2"/>
          <w:numId w:val="14"/>
        </w:numPr>
        <w:tabs>
          <w:tab w:val="num" w:pos="360"/>
        </w:tabs>
        <w:spacing w:after="240" w:line="360" w:lineRule="auto"/>
        <w:ind w:left="504" w:hanging="504"/>
        <w:rPr>
          <w:rFonts w:cs="Arial"/>
        </w:rPr>
      </w:pPr>
      <w:bookmarkStart w:id="98" w:name="_Toc122626393"/>
      <w:bookmarkStart w:id="99" w:name="_Toc153894172"/>
      <w:r w:rsidRPr="006B2FC7">
        <w:rPr>
          <w:rFonts w:cs="Arial"/>
        </w:rPr>
        <w:t>Mixed-methods design</w:t>
      </w:r>
      <w:bookmarkEnd w:id="98"/>
      <w:bookmarkEnd w:id="99"/>
    </w:p>
    <w:p w14:paraId="24A1568D" w14:textId="77777777" w:rsidR="00EB7F85" w:rsidRPr="00126206" w:rsidRDefault="00EB7F85" w:rsidP="00EB7F85">
      <w:pPr>
        <w:spacing w:line="360" w:lineRule="auto"/>
        <w:jc w:val="both"/>
        <w:rPr>
          <w:rFonts w:ascii="Arial" w:hAnsi="Arial" w:cs="Arial"/>
          <w:sz w:val="24"/>
          <w:szCs w:val="24"/>
        </w:rPr>
      </w:pPr>
      <w:r>
        <w:rPr>
          <w:rFonts w:ascii="Arial" w:hAnsi="Arial" w:cs="Arial"/>
          <w:sz w:val="24"/>
          <w:szCs w:val="24"/>
        </w:rPr>
        <w:t>M</w:t>
      </w:r>
      <w:r w:rsidRPr="005E76A3">
        <w:rPr>
          <w:rFonts w:ascii="Arial" w:hAnsi="Arial" w:cs="Arial"/>
          <w:sz w:val="24"/>
          <w:szCs w:val="24"/>
        </w:rPr>
        <w:t xml:space="preserve">any designs exist in the mixed methods </w:t>
      </w:r>
      <w:r>
        <w:rPr>
          <w:rFonts w:ascii="Arial" w:hAnsi="Arial" w:cs="Arial"/>
          <w:sz w:val="24"/>
          <w:szCs w:val="24"/>
        </w:rPr>
        <w:t xml:space="preserve">approach. The </w:t>
      </w:r>
      <w:r w:rsidRPr="005E76A3">
        <w:rPr>
          <w:rFonts w:ascii="Arial" w:hAnsi="Arial" w:cs="Arial"/>
          <w:sz w:val="24"/>
          <w:szCs w:val="24"/>
        </w:rPr>
        <w:t>primary</w:t>
      </w:r>
      <w:r>
        <w:rPr>
          <w:rFonts w:ascii="Arial" w:hAnsi="Arial" w:cs="Arial"/>
          <w:sz w:val="24"/>
          <w:szCs w:val="24"/>
        </w:rPr>
        <w:t>/basic</w:t>
      </w:r>
      <w:r w:rsidRPr="005E76A3">
        <w:rPr>
          <w:rFonts w:ascii="Arial" w:hAnsi="Arial" w:cs="Arial"/>
          <w:sz w:val="24"/>
          <w:szCs w:val="24"/>
        </w:rPr>
        <w:t xml:space="preserve"> models</w:t>
      </w:r>
      <w:r>
        <w:rPr>
          <w:rFonts w:ascii="Arial" w:hAnsi="Arial" w:cs="Arial"/>
          <w:sz w:val="24"/>
          <w:szCs w:val="24"/>
        </w:rPr>
        <w:t xml:space="preserve"> of mixed methods are c</w:t>
      </w:r>
      <w:r w:rsidRPr="00AC4F4F">
        <w:rPr>
          <w:rFonts w:ascii="Arial" w:hAnsi="Arial" w:cs="Arial"/>
          <w:sz w:val="24"/>
          <w:szCs w:val="24"/>
        </w:rPr>
        <w:t>onvergent</w:t>
      </w:r>
      <w:r>
        <w:rPr>
          <w:rFonts w:ascii="Arial" w:hAnsi="Arial" w:cs="Arial"/>
          <w:sz w:val="24"/>
          <w:szCs w:val="24"/>
        </w:rPr>
        <w:t>/</w:t>
      </w:r>
      <w:r w:rsidRPr="00327545">
        <w:rPr>
          <w:rFonts w:ascii="Arial" w:hAnsi="Arial" w:cs="Arial"/>
          <w:sz w:val="24"/>
          <w:szCs w:val="24"/>
        </w:rPr>
        <w:t xml:space="preserve"> concurrent</w:t>
      </w:r>
      <w:r w:rsidRPr="00AC4F4F">
        <w:rPr>
          <w:rFonts w:ascii="Arial" w:hAnsi="Arial" w:cs="Arial"/>
          <w:sz w:val="24"/>
          <w:szCs w:val="24"/>
        </w:rPr>
        <w:t xml:space="preserve"> parallel</w:t>
      </w:r>
      <w:r>
        <w:rPr>
          <w:rFonts w:ascii="Arial" w:hAnsi="Arial" w:cs="Arial"/>
          <w:sz w:val="24"/>
          <w:szCs w:val="24"/>
        </w:rPr>
        <w:t>, e</w:t>
      </w:r>
      <w:r w:rsidRPr="00AC4F4F">
        <w:rPr>
          <w:rFonts w:ascii="Arial" w:hAnsi="Arial" w:cs="Arial"/>
          <w:sz w:val="24"/>
          <w:szCs w:val="24"/>
        </w:rPr>
        <w:t>xplanatory sequential</w:t>
      </w:r>
      <w:r>
        <w:rPr>
          <w:rFonts w:ascii="Arial" w:hAnsi="Arial" w:cs="Arial"/>
          <w:sz w:val="24"/>
          <w:szCs w:val="24"/>
        </w:rPr>
        <w:t>, and e</w:t>
      </w:r>
      <w:r w:rsidRPr="00113302">
        <w:rPr>
          <w:rFonts w:ascii="Arial" w:hAnsi="Arial" w:cs="Arial"/>
          <w:sz w:val="24"/>
          <w:szCs w:val="24"/>
        </w:rPr>
        <w:t>xploratory sequential mixed methods</w:t>
      </w:r>
      <w:r>
        <w:rPr>
          <w:rFonts w:ascii="Arial" w:hAnsi="Arial" w:cs="Arial"/>
          <w:sz w:val="24"/>
          <w:szCs w:val="24"/>
        </w:rPr>
        <w:t xml:space="preserve"> designs </w:t>
      </w:r>
      <w:r>
        <w:rPr>
          <w:rFonts w:ascii="Arial" w:hAnsi="Arial" w:cs="Arial"/>
          <w:sz w:val="24"/>
          <w:szCs w:val="24"/>
        </w:rPr>
        <w:fldChar w:fldCharType="begin" w:fldLock="1"/>
      </w:r>
      <w:r>
        <w:rPr>
          <w:rFonts w:ascii="Arial" w:hAnsi="Arial" w:cs="Arial"/>
          <w:sz w:val="24"/>
          <w:szCs w:val="24"/>
        </w:rPr>
        <w:instrText>ADDIN CSL_CITATION {"citationItems":[{"id":"ITEM-1","itemData":{"ISBN":"9781452226095","author":[{"dropping-particle":"","family":"Creswell","given":"John W.","non-dropping-particle":"","parse-names":false,"suffix":""}],"edition":"Fourth","id":"ITEM-1","issued":{"date-parts":[["2014"]]},"publisher":"Sage Publications Inc.","title":"Research Design","type":"book"},"uris":["http://www.mendeley.com/documents/?uuid=3be6dcb3-6cd8-4c36-90cc-5a3d9eb52a4a"]}],"mendeley":{"formattedCitation":"(Creswell, 2014)","plainTextFormattedCitation":"(Creswell, 2014)","previouslyFormattedCitation":"(Creswell, 2014)"},"properties":{"noteIndex":0},"schema":"https://github.com/citation-style-language/schema/raw/master/csl-citation.json"}</w:instrText>
      </w:r>
      <w:r>
        <w:rPr>
          <w:rFonts w:ascii="Arial" w:hAnsi="Arial" w:cs="Arial"/>
          <w:sz w:val="24"/>
          <w:szCs w:val="24"/>
        </w:rPr>
        <w:fldChar w:fldCharType="separate"/>
      </w:r>
      <w:r w:rsidRPr="004D5849">
        <w:rPr>
          <w:rFonts w:ascii="Arial" w:hAnsi="Arial" w:cs="Arial"/>
          <w:noProof/>
          <w:sz w:val="24"/>
          <w:szCs w:val="24"/>
        </w:rPr>
        <w:t>(Creswell, 2014)</w:t>
      </w:r>
      <w:r>
        <w:rPr>
          <w:rFonts w:ascii="Arial" w:hAnsi="Arial" w:cs="Arial"/>
          <w:sz w:val="24"/>
          <w:szCs w:val="24"/>
        </w:rPr>
        <w:fldChar w:fldCharType="end"/>
      </w:r>
      <w:r>
        <w:rPr>
          <w:rFonts w:ascii="Arial" w:hAnsi="Arial" w:cs="Arial"/>
          <w:sz w:val="24"/>
          <w:szCs w:val="24"/>
        </w:rPr>
        <w:t>. In the c</w:t>
      </w:r>
      <w:r w:rsidRPr="00AC4F4F">
        <w:rPr>
          <w:rFonts w:ascii="Arial" w:hAnsi="Arial" w:cs="Arial"/>
          <w:sz w:val="24"/>
          <w:szCs w:val="24"/>
        </w:rPr>
        <w:t>onvergent</w:t>
      </w:r>
      <w:r>
        <w:rPr>
          <w:rFonts w:ascii="Arial" w:hAnsi="Arial" w:cs="Arial"/>
          <w:sz w:val="24"/>
          <w:szCs w:val="24"/>
        </w:rPr>
        <w:t>/</w:t>
      </w:r>
      <w:r w:rsidRPr="00327545">
        <w:rPr>
          <w:rFonts w:ascii="Arial" w:hAnsi="Arial" w:cs="Arial"/>
          <w:sz w:val="24"/>
          <w:szCs w:val="24"/>
        </w:rPr>
        <w:t xml:space="preserve"> concurrent</w:t>
      </w:r>
      <w:r w:rsidRPr="00AC4F4F">
        <w:rPr>
          <w:rFonts w:ascii="Arial" w:hAnsi="Arial" w:cs="Arial"/>
          <w:sz w:val="24"/>
          <w:szCs w:val="24"/>
        </w:rPr>
        <w:t xml:space="preserve"> parallel</w:t>
      </w:r>
      <w:r>
        <w:rPr>
          <w:rFonts w:ascii="Arial" w:hAnsi="Arial" w:cs="Arial"/>
          <w:sz w:val="24"/>
          <w:szCs w:val="24"/>
        </w:rPr>
        <w:t xml:space="preserve"> mixed methods</w:t>
      </w:r>
      <w:r w:rsidRPr="00327545">
        <w:rPr>
          <w:rFonts w:ascii="Arial" w:hAnsi="Arial" w:cs="Arial"/>
          <w:sz w:val="24"/>
          <w:szCs w:val="24"/>
        </w:rPr>
        <w:t xml:space="preserve">, a researcher collects research data from </w:t>
      </w:r>
      <w:r>
        <w:rPr>
          <w:rFonts w:ascii="Arial" w:hAnsi="Arial" w:cs="Arial"/>
          <w:sz w:val="24"/>
          <w:szCs w:val="24"/>
        </w:rPr>
        <w:t xml:space="preserve">the </w:t>
      </w:r>
      <w:r w:rsidRPr="00327545">
        <w:rPr>
          <w:rFonts w:ascii="Arial" w:hAnsi="Arial" w:cs="Arial"/>
          <w:sz w:val="24"/>
          <w:szCs w:val="24"/>
        </w:rPr>
        <w:t>qualitative and quantitative methods simultaneously. The researcher then integrates the information obtained from both methods to interpret the overall results. An explanatory sequential mixed methods design is a sequential design of quantitative methods followed by qualitative. The researcher, therefore, collects quantitative data first, analyses the results and then reports the results that need further explanation with qualitative research. The exploratory sequential mixed methods is a reverse sequence from the explanatory sequential design. In this method, the researcher begins with a qualitative research phase and explores participants' views. The data is then analysed, and the information is used to build into a second quantitative phase. The qualitative phase may be used to create an instrument that best fits the study sample and identify appropriate tools to use in the quantitative follow-up phase</w:t>
      </w:r>
      <w:r>
        <w:rPr>
          <w:rFonts w:ascii="Arial" w:hAnsi="Arial" w:cs="Arial"/>
          <w:color w:val="FF0000"/>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{"citationItems":[{"id":"ITEM-1","itemData":{"ISBN":"9781452226095","author":[{"dropping-particle":"","family":"Creswell","given":"John W.","non-dropping-particle":"","parse-names":false,"suffix":""}],"edition":"Fourth","id":"ITEM-1","issued":{"date-parts":[["2014"]]},"publisher":"Sage Publications Inc.","title":"Research Design","type":"book"},"uris":["http://www.mendeley.com/documents/?uuid=3be6dcb3-6cd8-4c36-90cc-5a3d9eb52a4a"]}],"mendeley":{"formattedCitation":"(Creswell, 2014)","plainTextFormattedCitation":"(Creswell, 2014)","previouslyFormattedCitation":"(Creswell, 2014)"},"properties":{"noteIndex":0},"schema":"https://github.com/citation-style-language/schema/raw/master/csl-citation.json"}</w:instrText>
      </w:r>
      <w:r>
        <w:rPr>
          <w:rFonts w:ascii="Arial" w:hAnsi="Arial" w:cs="Arial"/>
          <w:sz w:val="24"/>
          <w:szCs w:val="24"/>
        </w:rPr>
        <w:fldChar w:fldCharType="separate"/>
      </w:r>
      <w:r w:rsidRPr="004D5849">
        <w:rPr>
          <w:rFonts w:ascii="Arial" w:hAnsi="Arial" w:cs="Arial"/>
          <w:noProof/>
          <w:sz w:val="24"/>
          <w:szCs w:val="24"/>
        </w:rPr>
        <w:t>(Creswell, 2014)</w:t>
      </w:r>
      <w:r>
        <w:rPr>
          <w:rFonts w:ascii="Arial" w:hAnsi="Arial" w:cs="Arial"/>
          <w:sz w:val="24"/>
          <w:szCs w:val="24"/>
        </w:rPr>
        <w:fldChar w:fldCharType="end"/>
      </w:r>
      <w:r>
        <w:rPr>
          <w:rFonts w:ascii="Arial" w:hAnsi="Arial" w:cs="Arial"/>
          <w:sz w:val="24"/>
          <w:szCs w:val="24"/>
        </w:rPr>
        <w:t>.</w:t>
      </w:r>
    </w:p>
    <w:p w14:paraId="5C8235EA" w14:textId="77777777" w:rsidR="00EB7F85" w:rsidRDefault="00EB7F85" w:rsidP="00EB7F85">
      <w:pPr>
        <w:pStyle w:val="Heading3"/>
        <w:numPr>
          <w:ilvl w:val="2"/>
          <w:numId w:val="14"/>
        </w:numPr>
        <w:tabs>
          <w:tab w:val="num" w:pos="360"/>
        </w:tabs>
        <w:spacing w:line="360" w:lineRule="auto"/>
        <w:ind w:left="504" w:hanging="504"/>
      </w:pPr>
      <w:bookmarkStart w:id="100" w:name="_Toc122626394"/>
      <w:bookmarkStart w:id="101" w:name="_Toc153894173"/>
      <w:r>
        <w:t>Mixed methods design chosen for this research</w:t>
      </w:r>
      <w:bookmarkEnd w:id="100"/>
      <w:bookmarkEnd w:id="101"/>
    </w:p>
    <w:p w14:paraId="0A5B31EB" w14:textId="77777777" w:rsidR="00EB7F85" w:rsidRDefault="00EB7F85" w:rsidP="00EB7F85">
      <w:pPr>
        <w:spacing w:line="360" w:lineRule="auto"/>
        <w:jc w:val="both"/>
        <w:rPr>
          <w:rFonts w:ascii="Arial" w:hAnsi="Arial" w:cs="Arial"/>
          <w:sz w:val="24"/>
          <w:szCs w:val="24"/>
        </w:rPr>
      </w:pPr>
      <w:r w:rsidRPr="00C14023">
        <w:rPr>
          <w:rFonts w:ascii="Arial" w:hAnsi="Arial" w:cs="Arial"/>
          <w:sz w:val="24"/>
          <w:szCs w:val="24"/>
        </w:rPr>
        <w:t>An explanatory sequential mixed metho</w:t>
      </w:r>
      <w:r>
        <w:rPr>
          <w:rFonts w:ascii="Arial" w:hAnsi="Arial" w:cs="Arial"/>
          <w:sz w:val="24"/>
          <w:szCs w:val="24"/>
        </w:rPr>
        <w:t>d</w:t>
      </w:r>
      <w:r w:rsidRPr="00C14023">
        <w:rPr>
          <w:rFonts w:ascii="Arial" w:hAnsi="Arial" w:cs="Arial"/>
          <w:sz w:val="24"/>
          <w:szCs w:val="24"/>
        </w:rPr>
        <w:t>s design was chosen to conduct this research.</w:t>
      </w:r>
      <w:r>
        <w:rPr>
          <w:rFonts w:ascii="Arial" w:hAnsi="Arial" w:cs="Arial"/>
          <w:sz w:val="24"/>
          <w:szCs w:val="24"/>
        </w:rPr>
        <w:t xml:space="preserve"> The researcher, t</w:t>
      </w:r>
      <w:r w:rsidRPr="00DA7985">
        <w:rPr>
          <w:rFonts w:ascii="Arial" w:hAnsi="Arial" w:cs="Arial"/>
          <w:sz w:val="24"/>
          <w:szCs w:val="24"/>
        </w:rPr>
        <w:t>herefore,</w:t>
      </w:r>
      <w:r>
        <w:rPr>
          <w:rFonts w:ascii="Arial" w:hAnsi="Arial" w:cs="Arial"/>
          <w:sz w:val="24"/>
          <w:szCs w:val="24"/>
        </w:rPr>
        <w:t xml:space="preserve"> collects </w:t>
      </w:r>
      <w:r w:rsidRPr="00DA7985">
        <w:rPr>
          <w:rFonts w:ascii="Arial" w:hAnsi="Arial" w:cs="Arial"/>
          <w:sz w:val="24"/>
          <w:szCs w:val="24"/>
        </w:rPr>
        <w:t xml:space="preserve">quantitative data first to highlight the research topic and allow participants to start thinking about their perceptions, followed by qualitative data collection to help explain and explore the quantitative results. </w:t>
      </w:r>
      <w:r w:rsidRPr="006B2FC7">
        <w:rPr>
          <w:rFonts w:ascii="Arial" w:hAnsi="Arial" w:cs="Arial"/>
          <w:color w:val="000000"/>
          <w:sz w:val="24"/>
          <w:szCs w:val="24"/>
          <w:shd w:val="clear" w:color="auto" w:fill="FFFFFF"/>
          <w:lang w:val="en-GB"/>
        </w:rPr>
        <w:t xml:space="preserve">analysing the initial quantitative data, reporting the results that need further explanation or exploration, such as those that may be contrary to expectations, unusual, or surprising, and determining the purposeful sample, where the selected participants can provide the best explanation of those specific results. </w:t>
      </w:r>
      <w:r>
        <w:rPr>
          <w:rFonts w:ascii="Arial" w:hAnsi="Arial" w:cs="Arial"/>
          <w:sz w:val="24"/>
          <w:szCs w:val="24"/>
        </w:rPr>
        <w:t xml:space="preserve"> </w:t>
      </w:r>
    </w:p>
    <w:p w14:paraId="6796CB07" w14:textId="77777777" w:rsidR="00EB7F85" w:rsidRPr="00C84617" w:rsidRDefault="00EB7F85" w:rsidP="00EB7F85">
      <w:pPr>
        <w:spacing w:line="360" w:lineRule="auto"/>
        <w:jc w:val="both"/>
      </w:pPr>
      <w:r>
        <w:rPr>
          <w:rFonts w:ascii="Arial" w:hAnsi="Arial" w:cs="Arial"/>
          <w:sz w:val="24"/>
          <w:szCs w:val="24"/>
        </w:rPr>
        <w:t>The</w:t>
      </w:r>
      <w:r w:rsidRPr="00DA7985">
        <w:rPr>
          <w:rFonts w:ascii="Arial" w:hAnsi="Arial" w:cs="Arial"/>
          <w:sz w:val="24"/>
          <w:szCs w:val="24"/>
        </w:rPr>
        <w:t xml:space="preserve"> explanatory sequential mixed methods design </w:t>
      </w:r>
      <w:r w:rsidRPr="006B2FC7">
        <w:rPr>
          <w:rFonts w:ascii="Arial" w:hAnsi="Arial" w:cs="Arial"/>
          <w:sz w:val="24"/>
          <w:szCs w:val="24"/>
        </w:rPr>
        <w:t xml:space="preserve">is used to explore the opinion of </w:t>
      </w:r>
      <w:r>
        <w:rPr>
          <w:rFonts w:ascii="Arial" w:hAnsi="Arial" w:cs="Arial"/>
          <w:sz w:val="24"/>
          <w:szCs w:val="24"/>
        </w:rPr>
        <w:t>primary HCPs</w:t>
      </w:r>
      <w:r w:rsidRPr="006B2FC7">
        <w:rPr>
          <w:rFonts w:ascii="Arial" w:hAnsi="Arial" w:cs="Arial"/>
          <w:sz w:val="24"/>
          <w:szCs w:val="24"/>
        </w:rPr>
        <w:t xml:space="preserve"> on the role of pharmacists in diabetes management in SA, and what are the facilitators and barriers of involvement the pharmacists to the diabetes care team. </w:t>
      </w:r>
      <w:r>
        <w:rPr>
          <w:rFonts w:ascii="Arial" w:hAnsi="Arial" w:cs="Arial"/>
          <w:sz w:val="24"/>
          <w:szCs w:val="24"/>
        </w:rPr>
        <w:t>As mentioned above, this</w:t>
      </w:r>
      <w:r w:rsidRPr="00DA7985">
        <w:rPr>
          <w:rFonts w:ascii="Arial" w:hAnsi="Arial" w:cs="Arial"/>
          <w:sz w:val="24"/>
          <w:szCs w:val="24"/>
        </w:rPr>
        <w:t xml:space="preserve"> design is a sequential design of quantitative methods followed by qualitative. </w:t>
      </w:r>
      <w:r>
        <w:rPr>
          <w:rFonts w:ascii="Arial" w:hAnsi="Arial" w:cs="Arial"/>
          <w:sz w:val="24"/>
          <w:szCs w:val="24"/>
        </w:rPr>
        <w:t>The q</w:t>
      </w:r>
      <w:r w:rsidRPr="006B2FC7">
        <w:rPr>
          <w:rFonts w:ascii="Arial" w:hAnsi="Arial" w:cs="Arial"/>
          <w:sz w:val="24"/>
          <w:szCs w:val="24"/>
        </w:rPr>
        <w:t xml:space="preserve">uantitative </w:t>
      </w:r>
      <w:r>
        <w:rPr>
          <w:rFonts w:ascii="Arial" w:hAnsi="Arial" w:cs="Arial"/>
          <w:sz w:val="24"/>
          <w:szCs w:val="24"/>
        </w:rPr>
        <w:t xml:space="preserve">survey </w:t>
      </w:r>
      <w:r w:rsidRPr="006B2FC7">
        <w:rPr>
          <w:rFonts w:ascii="Arial" w:hAnsi="Arial" w:cs="Arial"/>
          <w:sz w:val="24"/>
          <w:szCs w:val="24"/>
        </w:rPr>
        <w:t xml:space="preserve">method </w:t>
      </w:r>
      <w:r>
        <w:rPr>
          <w:rFonts w:ascii="Arial" w:hAnsi="Arial" w:cs="Arial"/>
          <w:sz w:val="24"/>
          <w:szCs w:val="24"/>
        </w:rPr>
        <w:t>was</w:t>
      </w:r>
      <w:r w:rsidRPr="006B2FC7">
        <w:rPr>
          <w:rFonts w:ascii="Arial" w:hAnsi="Arial" w:cs="Arial"/>
          <w:sz w:val="24"/>
          <w:szCs w:val="24"/>
        </w:rPr>
        <w:t xml:space="preserve"> employed to explore the ‘what’ of </w:t>
      </w:r>
      <w:r>
        <w:rPr>
          <w:rFonts w:ascii="Arial" w:hAnsi="Arial" w:cs="Arial"/>
          <w:sz w:val="24"/>
          <w:szCs w:val="24"/>
        </w:rPr>
        <w:t>HCPs’</w:t>
      </w:r>
      <w:r w:rsidRPr="006B2FC7">
        <w:rPr>
          <w:rFonts w:ascii="Arial" w:hAnsi="Arial" w:cs="Arial"/>
          <w:sz w:val="24"/>
          <w:szCs w:val="24"/>
        </w:rPr>
        <w:t xml:space="preserve"> perceptions towards the role of primary care pharmacists in diabetes care. In-depth insights into the perceptions and experiences of </w:t>
      </w:r>
      <w:r>
        <w:rPr>
          <w:rFonts w:ascii="Arial" w:hAnsi="Arial" w:cs="Arial"/>
          <w:sz w:val="24"/>
          <w:szCs w:val="24"/>
        </w:rPr>
        <w:t>HCPs</w:t>
      </w:r>
      <w:r w:rsidRPr="006B2FC7">
        <w:rPr>
          <w:rFonts w:ascii="Arial" w:hAnsi="Arial" w:cs="Arial"/>
          <w:sz w:val="24"/>
          <w:szCs w:val="24"/>
        </w:rPr>
        <w:t xml:space="preserve"> about the role of pharmacists in PHCs, as well as the barriers to the involvement of pharmacists in diabetes care management, </w:t>
      </w:r>
      <w:r>
        <w:rPr>
          <w:rFonts w:ascii="Arial" w:hAnsi="Arial" w:cs="Arial"/>
          <w:sz w:val="24"/>
          <w:szCs w:val="24"/>
        </w:rPr>
        <w:t>were</w:t>
      </w:r>
      <w:r w:rsidRPr="006B2FC7">
        <w:rPr>
          <w:rFonts w:ascii="Arial" w:hAnsi="Arial" w:cs="Arial"/>
          <w:sz w:val="24"/>
          <w:szCs w:val="24"/>
        </w:rPr>
        <w:t xml:space="preserve"> achieved through the employment of qualitative </w:t>
      </w:r>
      <w:r>
        <w:rPr>
          <w:rFonts w:ascii="Arial" w:hAnsi="Arial" w:cs="Arial"/>
          <w:sz w:val="24"/>
          <w:szCs w:val="24"/>
        </w:rPr>
        <w:t>interviews</w:t>
      </w:r>
      <w:r w:rsidRPr="006B2FC7">
        <w:rPr>
          <w:rFonts w:ascii="Arial" w:hAnsi="Arial" w:cs="Arial"/>
          <w:sz w:val="24"/>
          <w:szCs w:val="24"/>
        </w:rPr>
        <w:t>. This enable</w:t>
      </w:r>
      <w:r>
        <w:rPr>
          <w:rFonts w:ascii="Arial" w:hAnsi="Arial" w:cs="Arial"/>
          <w:sz w:val="24"/>
          <w:szCs w:val="24"/>
        </w:rPr>
        <w:t>d</w:t>
      </w:r>
      <w:r w:rsidRPr="006B2FC7">
        <w:rPr>
          <w:rFonts w:ascii="Arial" w:hAnsi="Arial" w:cs="Arial"/>
          <w:sz w:val="24"/>
          <w:szCs w:val="24"/>
        </w:rPr>
        <w:t xml:space="preserve"> the acquisition of rich data on the ‘how’ and ‘why’ of </w:t>
      </w:r>
      <w:r>
        <w:rPr>
          <w:rFonts w:ascii="Arial" w:hAnsi="Arial" w:cs="Arial"/>
          <w:sz w:val="24"/>
          <w:szCs w:val="24"/>
        </w:rPr>
        <w:t>HCPs</w:t>
      </w:r>
      <w:r w:rsidRPr="006B2FC7">
        <w:rPr>
          <w:rFonts w:ascii="Arial" w:hAnsi="Arial" w:cs="Arial"/>
          <w:sz w:val="24"/>
          <w:szCs w:val="24"/>
        </w:rPr>
        <w:t xml:space="preserve"> perceptions of pharmacists. </w:t>
      </w:r>
    </w:p>
    <w:p w14:paraId="1EF7B066" w14:textId="77777777" w:rsidR="00EB7F85" w:rsidRPr="0012026D" w:rsidRDefault="00EB7F85" w:rsidP="00876389">
      <w:pPr>
        <w:pStyle w:val="Heading4"/>
        <w:numPr>
          <w:ilvl w:val="3"/>
          <w:numId w:val="14"/>
        </w:numPr>
        <w:tabs>
          <w:tab w:val="num" w:pos="360"/>
          <w:tab w:val="left" w:pos="810"/>
        </w:tabs>
        <w:spacing w:line="240" w:lineRule="auto"/>
        <w:ind w:left="0" w:firstLine="0"/>
        <w:rPr>
          <w:rFonts w:asciiTheme="minorBidi" w:hAnsiTheme="minorBidi" w:cstheme="minorBidi"/>
        </w:rPr>
      </w:pPr>
      <w:r w:rsidRPr="0012026D">
        <w:rPr>
          <w:rFonts w:asciiTheme="minorBidi" w:hAnsiTheme="minorBidi" w:cstheme="minorBidi"/>
          <w:sz w:val="24"/>
          <w:szCs w:val="24"/>
        </w:rPr>
        <w:t>Rationale for choosing the explanatory mixed methods approach for this research</w:t>
      </w:r>
      <w:r w:rsidRPr="0012026D">
        <w:rPr>
          <w:rFonts w:asciiTheme="minorBidi" w:hAnsiTheme="minorBidi" w:cstheme="minorBidi"/>
        </w:rPr>
        <w:t xml:space="preserve"> </w:t>
      </w:r>
      <w:r w:rsidRPr="0012026D">
        <w:rPr>
          <w:rFonts w:asciiTheme="minorBidi" w:hAnsiTheme="minorBidi" w:cstheme="minorBidi"/>
        </w:rPr>
        <w:tab/>
      </w:r>
    </w:p>
    <w:p w14:paraId="1F36FF44" w14:textId="77777777" w:rsidR="00EB7F85" w:rsidRDefault="00EB7F85" w:rsidP="00876389">
      <w:pPr>
        <w:spacing w:before="240" w:line="360" w:lineRule="auto"/>
        <w:jc w:val="both"/>
        <w:rPr>
          <w:rFonts w:ascii="Arial" w:hAnsi="Arial" w:cs="Arial"/>
          <w:sz w:val="24"/>
          <w:szCs w:val="24"/>
        </w:rPr>
      </w:pPr>
      <w:r w:rsidRPr="00127944">
        <w:rPr>
          <w:rFonts w:ascii="Arial" w:hAnsi="Arial" w:cs="Arial"/>
          <w:sz w:val="24"/>
          <w:szCs w:val="24"/>
        </w:rPr>
        <w:t xml:space="preserve">An explanatory sequential mixed methods design was chosen to conduct this research </w:t>
      </w:r>
      <w:r>
        <w:rPr>
          <w:rFonts w:ascii="Arial" w:hAnsi="Arial" w:cs="Arial"/>
          <w:sz w:val="24"/>
          <w:szCs w:val="24"/>
        </w:rPr>
        <w:t>because s</w:t>
      </w:r>
      <w:r w:rsidRPr="006B2FC7">
        <w:rPr>
          <w:rFonts w:ascii="Arial" w:hAnsi="Arial" w:cs="Arial"/>
          <w:sz w:val="24"/>
          <w:szCs w:val="24"/>
        </w:rPr>
        <w:t>ufficient information is already known about the research topic</w:t>
      </w:r>
      <w:r>
        <w:rPr>
          <w:rFonts w:ascii="Arial" w:hAnsi="Arial" w:cs="Arial"/>
          <w:sz w:val="24"/>
          <w:szCs w:val="24"/>
        </w:rPr>
        <w:t xml:space="preserve"> as shown w</w:t>
      </w:r>
      <w:r w:rsidRPr="006B2FC7">
        <w:rPr>
          <w:rFonts w:ascii="Arial" w:hAnsi="Arial" w:cs="Arial"/>
          <w:sz w:val="24"/>
          <w:szCs w:val="24"/>
        </w:rPr>
        <w:t>ithin the body of evidence to support this approach</w:t>
      </w:r>
      <w:r>
        <w:rPr>
          <w:rFonts w:ascii="Arial" w:hAnsi="Arial" w:cs="Arial"/>
          <w:sz w:val="24"/>
          <w:szCs w:val="24"/>
        </w:rPr>
        <w:t xml:space="preserve">. </w:t>
      </w:r>
      <w:r w:rsidRPr="00FF1543">
        <w:rPr>
          <w:rFonts w:ascii="Arial" w:hAnsi="Arial" w:cs="Arial"/>
          <w:sz w:val="24"/>
          <w:szCs w:val="24"/>
        </w:rPr>
        <w:t xml:space="preserve">Therefore, it is possible to use an established questionnaire or formulate meaningful questions from the existing questionnaires found in the literature to achieve the necessary reliability and validity. </w:t>
      </w:r>
      <w:r>
        <w:rPr>
          <w:rFonts w:ascii="Arial" w:hAnsi="Arial" w:cs="Arial"/>
          <w:sz w:val="24"/>
          <w:szCs w:val="24"/>
        </w:rPr>
        <w:t>By this step, we can explore the current pharmacy practice as well as exploring the perceptions of HCPs toward pharmacists’ role in diabetes management</w:t>
      </w:r>
      <w:r w:rsidRPr="006B2FC7">
        <w:rPr>
          <w:rFonts w:ascii="Arial" w:hAnsi="Arial" w:cs="Arial"/>
          <w:sz w:val="24"/>
          <w:szCs w:val="24"/>
        </w:rPr>
        <w:t>.</w:t>
      </w:r>
      <w:r>
        <w:rPr>
          <w:rFonts w:ascii="Arial" w:hAnsi="Arial" w:cs="Arial"/>
          <w:sz w:val="24"/>
          <w:szCs w:val="24"/>
        </w:rPr>
        <w:t xml:space="preserve"> </w:t>
      </w:r>
    </w:p>
    <w:p w14:paraId="1BEB8EC0" w14:textId="5145A7AA" w:rsidR="00EB7F85" w:rsidRDefault="00EB7F85" w:rsidP="00EB7F85">
      <w:pPr>
        <w:spacing w:line="360" w:lineRule="auto"/>
        <w:jc w:val="both"/>
        <w:rPr>
          <w:rFonts w:ascii="Arial" w:hAnsi="Arial" w:cs="Arial"/>
          <w:sz w:val="24"/>
          <w:szCs w:val="24"/>
        </w:rPr>
      </w:pPr>
      <w:r>
        <w:rPr>
          <w:rFonts w:ascii="Arial" w:hAnsi="Arial" w:cs="Arial"/>
          <w:sz w:val="24"/>
          <w:szCs w:val="24"/>
        </w:rPr>
        <w:t>M</w:t>
      </w:r>
      <w:r w:rsidRPr="006B2FC7">
        <w:rPr>
          <w:rFonts w:ascii="Arial" w:hAnsi="Arial" w:cs="Arial"/>
          <w:sz w:val="24"/>
          <w:szCs w:val="24"/>
        </w:rPr>
        <w:t>ost studies have focused on advanced and high-income countries</w:t>
      </w:r>
      <w:r>
        <w:rPr>
          <w:rFonts w:ascii="Arial" w:hAnsi="Arial" w:cs="Arial"/>
          <w:sz w:val="24"/>
          <w:szCs w:val="24"/>
        </w:rPr>
        <w:t xml:space="preserve"> </w:t>
      </w:r>
      <w:r w:rsidRPr="006B2FC7">
        <w:rPr>
          <w:rFonts w:ascii="Arial" w:hAnsi="Arial" w:cs="Arial"/>
          <w:sz w:val="24"/>
          <w:szCs w:val="24"/>
        </w:rPr>
        <w:t xml:space="preserve">and evidence is currently </w:t>
      </w:r>
      <w:r>
        <w:rPr>
          <w:rFonts w:ascii="Arial" w:hAnsi="Arial" w:cs="Arial"/>
          <w:sz w:val="24"/>
          <w:szCs w:val="24"/>
        </w:rPr>
        <w:t>limited</w:t>
      </w:r>
      <w:r w:rsidRPr="006B2FC7">
        <w:rPr>
          <w:rFonts w:ascii="Arial" w:hAnsi="Arial" w:cs="Arial"/>
          <w:sz w:val="24"/>
          <w:szCs w:val="24"/>
        </w:rPr>
        <w:t xml:space="preserve"> in </w:t>
      </w:r>
      <w:r>
        <w:rPr>
          <w:rFonts w:ascii="Arial" w:hAnsi="Arial" w:cs="Arial"/>
          <w:sz w:val="24"/>
          <w:szCs w:val="24"/>
        </w:rPr>
        <w:t xml:space="preserve">SA particularly in the PHCs in the Eastern Province. </w:t>
      </w:r>
      <w:r w:rsidRPr="006B2FC7">
        <w:rPr>
          <w:rFonts w:ascii="Arial" w:hAnsi="Arial" w:cs="Arial"/>
          <w:sz w:val="24"/>
          <w:szCs w:val="24"/>
        </w:rPr>
        <w:t xml:space="preserve"> </w:t>
      </w:r>
      <w:r>
        <w:rPr>
          <w:rFonts w:ascii="Arial" w:hAnsi="Arial" w:cs="Arial"/>
          <w:sz w:val="24"/>
          <w:szCs w:val="24"/>
        </w:rPr>
        <w:t xml:space="preserve">Therefore, using explanatory mixed method approach was the best because </w:t>
      </w:r>
      <w:r w:rsidRPr="006B2FC7">
        <w:rPr>
          <w:rFonts w:ascii="Arial" w:hAnsi="Arial" w:cs="Arial"/>
          <w:sz w:val="24"/>
          <w:szCs w:val="24"/>
        </w:rPr>
        <w:t>it is possible to formulate meaningful questions from the existing questionnaires</w:t>
      </w:r>
      <w:r w:rsidR="00F14C96">
        <w:rPr>
          <w:rFonts w:ascii="Arial" w:hAnsi="Arial" w:cs="Arial"/>
          <w:sz w:val="24"/>
          <w:szCs w:val="24"/>
        </w:rPr>
        <w:t>.</w:t>
      </w:r>
    </w:p>
    <w:p w14:paraId="36D01452" w14:textId="77777777" w:rsidR="00EB7F85" w:rsidRDefault="00EB7F85" w:rsidP="00EB7F85">
      <w:pPr>
        <w:spacing w:line="360" w:lineRule="auto"/>
        <w:jc w:val="both"/>
        <w:rPr>
          <w:rFonts w:ascii="Arial" w:hAnsi="Arial" w:cs="Arial"/>
          <w:sz w:val="24"/>
          <w:szCs w:val="24"/>
        </w:rPr>
      </w:pPr>
      <w:r>
        <w:rPr>
          <w:rFonts w:ascii="Arial" w:hAnsi="Arial" w:cs="Arial"/>
          <w:sz w:val="24"/>
          <w:szCs w:val="24"/>
        </w:rPr>
        <w:t>U</w:t>
      </w:r>
      <w:r w:rsidRPr="006B2FC7">
        <w:rPr>
          <w:rFonts w:ascii="Arial" w:hAnsi="Arial" w:cs="Arial"/>
          <w:sz w:val="24"/>
          <w:szCs w:val="24"/>
        </w:rPr>
        <w:t xml:space="preserve">sing a sequential design, with qualitative methods following after quantitative. Quantitative data </w:t>
      </w:r>
      <w:r>
        <w:rPr>
          <w:rFonts w:ascii="Arial" w:hAnsi="Arial" w:cs="Arial"/>
          <w:sz w:val="24"/>
          <w:szCs w:val="24"/>
        </w:rPr>
        <w:t>is</w:t>
      </w:r>
      <w:r w:rsidRPr="006B2FC7">
        <w:rPr>
          <w:rFonts w:ascii="Arial" w:hAnsi="Arial" w:cs="Arial"/>
          <w:sz w:val="24"/>
          <w:szCs w:val="24"/>
        </w:rPr>
        <w:t xml:space="preserve"> collected first to highlight the research topic and allow participants to start thinking about their perceptions, followed by qualitative data collection to help explain and explore the quantitative results. The former survey results can also be explored further in interviews </w:t>
      </w:r>
      <w:r w:rsidRPr="006B2FC7">
        <w:rPr>
          <w:rFonts w:ascii="Arial" w:hAnsi="Arial" w:cs="Arial"/>
          <w:sz w:val="24"/>
          <w:szCs w:val="24"/>
        </w:rPr>
        <w:fldChar w:fldCharType="begin" w:fldLock="1"/>
      </w:r>
      <w:r>
        <w:rPr>
          <w:rFonts w:ascii="Arial" w:hAnsi="Arial" w:cs="Arial"/>
          <w:sz w:val="24"/>
          <w:szCs w:val="24"/>
        </w:rPr>
        <w:instrText>ADDIN CSL_CITATION {"citationItems":[{"id":"ITEM-1","itemData":{"author":[{"dropping-particle":"","family":"Creswell","given":"John W","non-dropping-particle":"","parse-names":false,"suffix":""},{"dropping-particle":"","family":"Clark","given":"Vicki L Piano","non-dropping-particle":"","parse-names":false,"suffix":""}],"id":"ITEM-1","issued":{"date-parts":[["2017"]]},"title":"Designing and Conducting Mixed Methods Research Third Edition","type":"report"},"uris":["http://www.mendeley.com/documents/?uuid=bbc18315-bb08-3054-9313-2768fe2d433d"]}],"mendeley":{"formattedCitation":"(Creswell and Clark, 2017)","plainTextFormattedCitation":"(Creswell and Clark, 2017)","previouslyFormattedCitation":"(Creswell and Clark, 2017)"},"properties":{"noteIndex":0},"schema":"https://github.com/citation-style-language/schema/raw/master/csl-citation.json"}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(Creswell and Clark, 2017)</w:t>
      </w:r>
      <w:r w:rsidRPr="006B2FC7">
        <w:rPr>
          <w:rFonts w:ascii="Arial" w:hAnsi="Arial" w:cs="Arial"/>
          <w:sz w:val="24"/>
          <w:szCs w:val="24"/>
        </w:rPr>
        <w:fldChar w:fldCharType="end"/>
      </w:r>
      <w:r w:rsidRPr="006B2FC7">
        <w:rPr>
          <w:rFonts w:ascii="Arial" w:hAnsi="Arial" w:cs="Arial"/>
          <w:sz w:val="24"/>
          <w:szCs w:val="24"/>
        </w:rPr>
        <w:t>.</w:t>
      </w:r>
    </w:p>
    <w:p w14:paraId="67A86CF2" w14:textId="77777777" w:rsidR="00EB7F85" w:rsidRDefault="00EB7F85" w:rsidP="00EB7F85">
      <w:pPr>
        <w:spacing w:line="360" w:lineRule="auto"/>
        <w:jc w:val="both"/>
        <w:rPr>
          <w:rFonts w:ascii="Arial" w:hAnsi="Arial" w:cs="Arial"/>
          <w:sz w:val="24"/>
          <w:szCs w:val="24"/>
        </w:rPr>
      </w:pPr>
      <w:r>
        <w:rPr>
          <w:rFonts w:ascii="Arial" w:hAnsi="Arial" w:cs="Arial"/>
          <w:sz w:val="24"/>
          <w:szCs w:val="24"/>
        </w:rPr>
        <w:t>An e</w:t>
      </w:r>
      <w:r w:rsidRPr="006B2FC7">
        <w:rPr>
          <w:rFonts w:ascii="Arial" w:hAnsi="Arial" w:cs="Arial"/>
          <w:sz w:val="24"/>
          <w:szCs w:val="24"/>
        </w:rPr>
        <w:t xml:space="preserve">xplanatory sequential mixed methods design </w:t>
      </w:r>
      <w:r>
        <w:rPr>
          <w:rFonts w:ascii="Arial" w:hAnsi="Arial" w:cs="Arial"/>
          <w:sz w:val="24"/>
          <w:szCs w:val="24"/>
        </w:rPr>
        <w:t>is</w:t>
      </w:r>
      <w:r w:rsidRPr="006B2FC7">
        <w:rPr>
          <w:rFonts w:ascii="Arial" w:hAnsi="Arial" w:cs="Arial"/>
          <w:sz w:val="24"/>
          <w:szCs w:val="24"/>
        </w:rPr>
        <w:t xml:space="preserve"> arguably more aligned to quantitative-oriented researchers because they not only begin with quantitative data collection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2011)","plainTextFormattedCitation":"(Aparasu, 2011)","previouslyFormattedCitation":"(Aparasu, 2011)"},"properties":{"noteIndex":0},"schema":"https://github.com/citation-style-language/schema/raw/master/csl-citation.json"}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(Aparasu, 2011)</w:t>
      </w:r>
      <w:r w:rsidRPr="006B2FC7">
        <w:rPr>
          <w:rFonts w:ascii="Arial" w:hAnsi="Arial" w:cs="Arial"/>
          <w:sz w:val="24"/>
          <w:szCs w:val="24"/>
        </w:rPr>
        <w:fldChar w:fldCharType="end"/>
      </w:r>
      <w:r w:rsidRPr="006B2FC7">
        <w:rPr>
          <w:rFonts w:ascii="Arial" w:hAnsi="Arial" w:cs="Arial"/>
          <w:sz w:val="24"/>
          <w:szCs w:val="24"/>
        </w:rPr>
        <w:t xml:space="preserve">, but also consider this the most dominant, with qualitative data collection offering a slightly less significant stage </w:t>
      </w:r>
      <w:r>
        <w:rPr>
          <w:rFonts w:ascii="Arial" w:hAnsi="Arial" w:cs="Arial"/>
          <w:sz w:val="24"/>
          <w:szCs w:val="24"/>
        </w:rPr>
        <w:fldChar w:fldCharType="begin" w:fldLock="1"/>
      </w:r>
      <w:r>
        <w:rPr>
          <w:rFonts w:ascii="Arial" w:hAnsi="Arial" w:cs="Arial"/>
          <w:sz w:val="24"/>
          <w:szCs w:val="24"/>
        </w:rPr>
        <w:instrText>ADDIN CSL_CITATION {"citationItems":[{"id":"ITEM-1","itemData":{"DOI":"10.1037/0022-0167.52.2.224","ISSN":"00220167","abstract":"With the increased popularity of qualitative research, researchers in counseling psychology are expanding their methodologies to include mixed methods designs. These designs involve the collection, analysis, and integration of quantitative and qualitative data in a single or multiphase study. This article presents an overview of mixed methods research designs. It defines mixed methods research, discusses its origins and philosophical basis, advances steps and procedures used in these designs, and identifies 6 different types of designs. Important design features are illustrated using studies published in the counseling literature. Finally, the article ends with recommendations for designing, implementing, and reporting mixed methods studies in the literature and for discussing their viability and continued usefulness in the field of counseling psychology. Copyright 2005 by the American Psychological Association.","author":[{"dropping-particle":"","family":"Hanson","given":"William E.","non-dropping-particle":"","parse-names":false,"suffix":""},{"dropping-particle":"","family":"Plano Clark","given":"Vicki L.","non-dropping-particle":"","parse-names":false,"suffix":""},{"dropping-particle":"","family":"Petska","given":"Kelly S.","non-dropping-particle":"","parse-names":false,"suffix":""},{"dropping-particle":"","family":"Creswell","given":"John W.","non-dropping-particle":"","parse-names":false,"suffix":""},{"dropping-particle":"","family":"Creswell","given":"J. David","non-dropping-particle":"","parse-names":false,"suffix":""}],"container-title":"Journal of Counseling Psychology","id":"ITEM-1","issue":"2","issued":{"date-parts":[["2005"]]},"page":"224-235","title":"Mixed methods research designs in counseling psychology","type":"article-journal","volume":"52"},"uris":["http://www.mendeley.com/documents/?uuid=3c31bcd9-a56c-4e65-9090-f017d64d0a53"]}],"mendeley":{"formattedCitation":"(Hanson &lt;i&gt;et al.&lt;/i&gt;, 2005)","plainTextFormattedCitation":"(Hanson et al., 2005)","previouslyFormattedCitation":"(Hanson &lt;i&gt;et al.&lt;/i&gt;, 2005)"},"properties":{"noteIndex":0},"schema":"https://github.com/citation-style-language/schema/raw/master/csl-citation.json"}</w:instrText>
      </w:r>
      <w:r>
        <w:rPr>
          <w:rFonts w:ascii="Arial" w:hAnsi="Arial" w:cs="Arial"/>
          <w:sz w:val="24"/>
          <w:szCs w:val="24"/>
        </w:rPr>
        <w:fldChar w:fldCharType="separate"/>
      </w:r>
      <w:r w:rsidRPr="003F2FCF">
        <w:rPr>
          <w:rFonts w:ascii="Arial" w:hAnsi="Arial" w:cs="Arial"/>
          <w:noProof/>
          <w:sz w:val="24"/>
          <w:szCs w:val="24"/>
        </w:rPr>
        <w:t xml:space="preserve">(Hanson </w:t>
      </w:r>
      <w:r w:rsidRPr="003F2FCF">
        <w:rPr>
          <w:rFonts w:ascii="Arial" w:hAnsi="Arial" w:cs="Arial"/>
          <w:i/>
          <w:noProof/>
          <w:sz w:val="24"/>
          <w:szCs w:val="24"/>
        </w:rPr>
        <w:t>et al.</w:t>
      </w:r>
      <w:r w:rsidRPr="003F2FCF">
        <w:rPr>
          <w:rFonts w:ascii="Arial" w:hAnsi="Arial" w:cs="Arial"/>
          <w:noProof/>
          <w:sz w:val="24"/>
          <w:szCs w:val="24"/>
        </w:rPr>
        <w:t>, 2005)</w:t>
      </w:r>
      <w:r>
        <w:rPr>
          <w:rFonts w:ascii="Arial" w:hAnsi="Arial" w:cs="Arial"/>
          <w:sz w:val="24"/>
          <w:szCs w:val="24"/>
        </w:rPr>
        <w:fldChar w:fldCharType="end"/>
      </w:r>
      <w:r w:rsidRPr="006B2FC7">
        <w:rPr>
          <w:rFonts w:ascii="Arial" w:hAnsi="Arial" w:cs="Arial"/>
          <w:sz w:val="24"/>
          <w:szCs w:val="24"/>
        </w:rPr>
        <w:t>. A quantitative</w:t>
      </w:r>
      <w:r w:rsidRPr="006B2FC7" w:rsidDel="00614684">
        <w:rPr>
          <w:rFonts w:ascii="Arial" w:hAnsi="Arial" w:cs="Arial"/>
          <w:sz w:val="24"/>
          <w:szCs w:val="24"/>
        </w:rPr>
        <w:t xml:space="preserve"> </w:t>
      </w:r>
      <w:r w:rsidRPr="006B2FC7">
        <w:rPr>
          <w:rFonts w:ascii="Arial" w:hAnsi="Arial" w:cs="Arial"/>
          <w:sz w:val="24"/>
          <w:szCs w:val="24"/>
        </w:rPr>
        <w:t xml:space="preserve">questionnaire explores the views of a large sample of the target population to increase generalisability while the qualitative methodology, which uses individual or focus group interviews, can be used for in-depth explorations of the perceptions and experiences of the participants, adding more granular detail to the research topic </w:t>
      </w:r>
      <w:r w:rsidRPr="006B2FC7">
        <w:rPr>
          <w:rFonts w:ascii="Arial" w:hAnsi="Arial" w:cs="Arial"/>
          <w:sz w:val="24"/>
          <w:szCs w:val="24"/>
        </w:rPr>
        <w:fldChar w:fldCharType="begin" w:fldLock="1"/>
      </w:r>
      <w:r>
        <w:rPr>
          <w:rFonts w:ascii="Arial" w:hAnsi="Arial" w:cs="Arial"/>
          <w:sz w:val="24"/>
          <w:szCs w:val="24"/>
        </w:rPr>
        <w:instrText>ADDIN CSL_CITATION {"citationItems":[{"id":"ITEM-1","itemData":{"author":[{"dropping-particle":"","family":"Creswell","given":"John W","non-dropping-particle":"","parse-names":false,"suffix":""},{"dropping-particle":"","family":"Clark","given":"Vicki L Piano","non-dropping-particle":"","parse-names":false,"suffix":""}],"id":"ITEM-1","issued":{"date-parts":[["2017"]]},"title":"Designing and Conducting Mixed Methods Research Third Edition","type":"report"},"uris":["http://www.mendeley.com/documents/?uuid=bbc18315-bb08-3054-9313-2768fe2d433d"]}],"mendeley":{"formattedCitation":"(Creswell and Clark, 2017)","plainTextFormattedCitation":"(Creswell and Clark, 2017)","previouslyFormattedCitation":"(Creswell and Clark, 2017)"},"properties":{"noteIndex":0},"schema":"https://github.com/citation-style-language/schema/raw/master/csl-citation.json"}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(Creswell and Clark, 2017)</w:t>
      </w:r>
      <w:r w:rsidRPr="006B2FC7">
        <w:rPr>
          <w:rFonts w:ascii="Arial" w:hAnsi="Arial" w:cs="Arial"/>
          <w:sz w:val="24"/>
          <w:szCs w:val="24"/>
        </w:rPr>
        <w:fldChar w:fldCharType="end"/>
      </w:r>
      <w:r w:rsidRPr="006B2FC7">
        <w:rPr>
          <w:rFonts w:ascii="Arial" w:hAnsi="Arial" w:cs="Arial"/>
          <w:sz w:val="24"/>
          <w:szCs w:val="24"/>
        </w:rPr>
        <w:t xml:space="preserve">. Beside of this, qualitative research can bring the voices of providers that can help researchers to understand and address the research phenomenon </w:t>
      </w:r>
      <w:r w:rsidRPr="006B2FC7">
        <w:rPr>
          <w:rFonts w:ascii="Arial" w:hAnsi="Arial" w:cs="Arial"/>
          <w:sz w:val="24"/>
          <w:szCs w:val="24"/>
        </w:rPr>
        <w:fldChar w:fldCharType="begin" w:fldLock="1"/>
      </w:r>
      <w:r>
        <w:rPr>
          <w:rFonts w:ascii="Arial" w:hAnsi="Arial" w:cs="Arial"/>
          <w:sz w:val="24"/>
          <w:szCs w:val="24"/>
        </w:rPr>
        <w:instrText>ADDIN CSL_CITATION {"citationItems":[{"id":"ITEM-1","itemData":{"DOI":"10.1186/1472-6963-7-85","ISSN":"14726963","abstract":"Background. Recently, there has been a surge of international interest in combining qualitative and quantitative methods in a single study - often called mixed methods research. It is timely to consider why and how mixed methods research is used in health services research (HSR). Methods. Documentary analysis of proposals and reports of 75 mixed methods studies funded by a research commissioner of HSR in England between 1994 and 2004. Face-to-face semi-structured interviews with 20 researchers sampled from these studies. Results. 18% (119/647) of HSR studies were classified as mixed methods research. In the documentation, comprehensiveness was the main driver for using mixed methods research, with researchers wanting to address a wider range of questions than quantitative methods alone would allow. Interviewees elaborated on this, identifying the need for qualitative research to engage with the complexity of health, health care interventions, and the environment in which studies took place. Motivations for adopting a mixed methods approach were not always based on the intrinsic value of mixed methods research for addressing the research question; they could be strategic, for example, to obtain funding. Mixed methods research was used in the context of evaluation, including randomised and non-randomised designs; survey and fieldwork exploratory studies; and instrument development. Studies drew on a limited number of methods - particularly surveys and individual interviews - but used methods in a wide range of roles. Conclusion. Mixed methods research is common in HSR in the UK. Its use is driven by pragmatism rather than principle, motivated by the perceived deficit of quantitative methods alone to address the complexity of research in health care, as well as other more strategic gains. Methods are combined in a range of contexts, yet the emerging methodological contributions from HSR to the field of mixed methods research are currently limited to the single context of combining qualitative methods and randomised controlled trials. Health services researchers could further contribute to the development of mixed methods research in the contexts of instrument development, survey and fieldwork, and non-randomised evaluations. © 2007 O'Cathain et al; licensee BioMed Central Ltd.","author":[{"dropping-particle":"","family":"O'Cathain","given":"Alicia","non-dropping-particle":"","parse-names":false,"suffix":""},{"dropping-particle":"","family":"Murphy","given":"Elizabeth","non-dropping-particle":"","parse-names":false,"suffix":""},{"dropping-particle":"","family":"Nicholl","given":"Jon","non-dropping-particle":"","parse-names":false,"suffix":""}],"container-title":"BMC Health Services Research","id":"ITEM-1","issued":{"date-parts":[["2007"]]},"page":"1-11","title":"Why, and how, mixed methods research is undertaken in health services research in England: A mixed methods study","type":"article-journal","volume":"7"},"uris":["http://www.mendeley.com/documents/?uuid=4b5caf47-5c3c-4ecf-874e-8f2647f5e675"]}],"mendeley":{"formattedCitation":"(O’Cathain, Murphy and Nicholl, 2007)","manualFormatting":"(O’Cathain, et al., 2007)","plainTextFormattedCitation":"(O’Cathain, Murphy and Nicholl, 2007)","previouslyFormattedCitation":"(O’Cathain, Murphy and Nicholl, 2007)"},"properties":{"noteIndex":0},"schema":"https://github.com/citation-style-language/schema/raw/master/csl-citation.json"}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(O’Cathain</w:t>
      </w:r>
      <w:r>
        <w:rPr>
          <w:rFonts w:ascii="Arial" w:hAnsi="Arial" w:cs="Arial"/>
          <w:noProof/>
          <w:sz w:val="24"/>
          <w:szCs w:val="24"/>
        </w:rPr>
        <w:t>, et al.</w:t>
      </w:r>
      <w:r w:rsidRPr="006B2FC7">
        <w:rPr>
          <w:rFonts w:ascii="Arial" w:hAnsi="Arial" w:cs="Arial"/>
          <w:noProof/>
          <w:sz w:val="24"/>
          <w:szCs w:val="24"/>
        </w:rPr>
        <w:t>, 2007)</w:t>
      </w:r>
      <w:r w:rsidRPr="006B2FC7">
        <w:rPr>
          <w:rFonts w:ascii="Arial" w:hAnsi="Arial" w:cs="Arial"/>
          <w:sz w:val="24"/>
          <w:szCs w:val="24"/>
        </w:rPr>
        <w:fldChar w:fldCharType="end"/>
      </w:r>
      <w:r w:rsidRPr="006B2FC7">
        <w:rPr>
          <w:rFonts w:ascii="Arial" w:hAnsi="Arial" w:cs="Arial"/>
          <w:sz w:val="24"/>
          <w:szCs w:val="24"/>
        </w:rPr>
        <w:t xml:space="preserve">. Therefore, despite there being some difficulties in completing the two phases of data collection in terms of the time required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2011)","plainTextFormattedCitation":"(Aparasu, 2011)","previouslyFormattedCitation":"(Aparasu, 2011)"},"properties":{"noteIndex":0},"schema":"https://github.com/citation-style-language/schema/raw/master/csl-citation.json"}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(Aparasu, 2011)</w:t>
      </w:r>
      <w:r w:rsidRPr="006B2FC7">
        <w:rPr>
          <w:rFonts w:ascii="Arial" w:hAnsi="Arial" w:cs="Arial"/>
          <w:sz w:val="24"/>
          <w:szCs w:val="24"/>
        </w:rPr>
        <w:fldChar w:fldCharType="end"/>
      </w:r>
      <w:r w:rsidRPr="006B2FC7">
        <w:rPr>
          <w:rFonts w:ascii="Arial" w:hAnsi="Arial" w:cs="Arial"/>
          <w:sz w:val="24"/>
          <w:szCs w:val="24"/>
        </w:rPr>
        <w:t xml:space="preserve">, this approach is advantageous when a researcher wants to find an explanation of the quantitative results that already exist and are viable. </w:t>
      </w:r>
    </w:p>
    <w:p w14:paraId="436873FA" w14:textId="77777777" w:rsidR="00EB7F85" w:rsidRDefault="00EB7F85" w:rsidP="00EB7F85">
      <w:pPr>
        <w:spacing w:line="360" w:lineRule="auto"/>
        <w:jc w:val="both"/>
        <w:rPr>
          <w:rFonts w:ascii="Arial" w:hAnsi="Arial" w:cs="Arial"/>
          <w:sz w:val="24"/>
          <w:szCs w:val="24"/>
        </w:rPr>
      </w:pPr>
    </w:p>
    <w:p w14:paraId="19362586" w14:textId="77777777" w:rsidR="00EB7F85" w:rsidRDefault="00EB7F85" w:rsidP="00EB7F85">
      <w:pPr>
        <w:pStyle w:val="Heading3"/>
        <w:numPr>
          <w:ilvl w:val="2"/>
          <w:numId w:val="14"/>
        </w:numPr>
        <w:tabs>
          <w:tab w:val="num" w:pos="360"/>
        </w:tabs>
        <w:spacing w:line="360" w:lineRule="auto"/>
        <w:ind w:left="0" w:firstLine="0"/>
      </w:pPr>
      <w:bookmarkStart w:id="102" w:name="_Ref122190462"/>
      <w:bookmarkStart w:id="103" w:name="_Toc122626395"/>
      <w:bookmarkStart w:id="104" w:name="_Toc153894174"/>
      <w:r>
        <w:t>Research strategy</w:t>
      </w:r>
      <w:bookmarkEnd w:id="102"/>
      <w:bookmarkEnd w:id="103"/>
      <w:bookmarkEnd w:id="104"/>
      <w:r>
        <w:t xml:space="preserve"> </w:t>
      </w:r>
    </w:p>
    <w:p w14:paraId="4D4A4824" w14:textId="77777777" w:rsidR="00EB7F85" w:rsidRDefault="00EB7F85" w:rsidP="00EB7F85">
      <w:pPr>
        <w:spacing w:line="360" w:lineRule="auto"/>
        <w:jc w:val="both"/>
        <w:rPr>
          <w:rFonts w:ascii="Arial" w:hAnsi="Arial" w:cs="Arial"/>
          <w:sz w:val="24"/>
          <w:szCs w:val="24"/>
        </w:rPr>
      </w:pPr>
      <w:r w:rsidRPr="00A44E4F">
        <w:rPr>
          <w:rFonts w:ascii="Arial" w:hAnsi="Arial" w:cs="Arial"/>
          <w:sz w:val="24"/>
          <w:szCs w:val="24"/>
        </w:rPr>
        <w:t xml:space="preserve">Due to limited studies on pharmacists' contribution to diabetes management in the PHCs affiliated with the Saudi MoH, as evident in the literature review chapter, collecting some existing secondary numerical data would not be possible because we are unsure what is currently happening. </w:t>
      </w:r>
      <w:r w:rsidRPr="009F6C37">
        <w:rPr>
          <w:rFonts w:ascii="Arial" w:hAnsi="Arial" w:cs="Arial"/>
          <w:sz w:val="24"/>
          <w:szCs w:val="24"/>
        </w:rPr>
        <w:t>Therefore, a cross-sectional study</w:t>
      </w:r>
      <w:r>
        <w:rPr>
          <w:rFonts w:ascii="Arial" w:hAnsi="Arial" w:cs="Arial"/>
          <w:sz w:val="24"/>
          <w:szCs w:val="24"/>
        </w:rPr>
        <w:t xml:space="preserve"> by using a survey approach, </w:t>
      </w:r>
      <w:r w:rsidRPr="002918D0">
        <w:rPr>
          <w:rFonts w:ascii="Arial" w:hAnsi="Arial" w:cs="Arial"/>
          <w:sz w:val="24"/>
          <w:szCs w:val="24"/>
        </w:rPr>
        <w:t xml:space="preserve">which is </w:t>
      </w:r>
      <w:r>
        <w:rPr>
          <w:rFonts w:ascii="Arial" w:hAnsi="Arial" w:cs="Arial"/>
          <w:sz w:val="24"/>
          <w:szCs w:val="24"/>
        </w:rPr>
        <w:t xml:space="preserve">a </w:t>
      </w:r>
      <w:r w:rsidRPr="002918D0">
        <w:rPr>
          <w:rFonts w:ascii="Arial" w:hAnsi="Arial" w:cs="Arial"/>
          <w:sz w:val="24"/>
          <w:szCs w:val="24"/>
        </w:rPr>
        <w:t>type of primary research</w:t>
      </w:r>
      <w:r>
        <w:rPr>
          <w:rFonts w:ascii="Arial" w:hAnsi="Arial" w:cs="Arial"/>
          <w:sz w:val="24"/>
          <w:szCs w:val="24"/>
        </w:rPr>
        <w:t xml:space="preserve">, </w:t>
      </w:r>
      <w:r w:rsidRPr="009F6C37">
        <w:rPr>
          <w:rFonts w:ascii="Arial" w:hAnsi="Arial" w:cs="Arial"/>
          <w:sz w:val="24"/>
          <w:szCs w:val="24"/>
        </w:rPr>
        <w:t xml:space="preserve">was chosen to conduct this research as this will help us gather unique new insights and gain a better understanding of the research topic. Another important factor for adopting a cross-sectional time horizon in this research is that it is practical for a PhD degree program as well as for the target population of this research. In the cross-section time horizon, data is collected at one point in time, and time is an essential factor to consider in a PhD course. In addition, the target population for this research is </w:t>
      </w:r>
      <w:r>
        <w:rPr>
          <w:rFonts w:ascii="Arial" w:hAnsi="Arial" w:cs="Arial"/>
          <w:sz w:val="24"/>
          <w:szCs w:val="24"/>
        </w:rPr>
        <w:t>HCPs</w:t>
      </w:r>
      <w:r w:rsidRPr="009F6C37">
        <w:rPr>
          <w:rFonts w:ascii="Arial" w:hAnsi="Arial" w:cs="Arial"/>
          <w:sz w:val="24"/>
          <w:szCs w:val="24"/>
        </w:rPr>
        <w:t xml:space="preserve"> (doctors, pharmacists, and nurses), who are known to be the busiest people; reaching out to these professionals is not easy. Based on the aforementioned reasons, a cross-section time horizon over a longitudinal time horizon was chosen because the data collection in a longitudinal study runs through multiple points in time (months, years, or even decades); It needs time to assess how participants' perspectives regarding a topic change over time.</w:t>
      </w:r>
    </w:p>
    <w:p w14:paraId="35BE6B57" w14:textId="3ECD071F" w:rsidR="00EB7F85" w:rsidRDefault="00EB7F85" w:rsidP="00EB7F85">
      <w:pPr>
        <w:pStyle w:val="Heading3"/>
        <w:numPr>
          <w:ilvl w:val="2"/>
          <w:numId w:val="14"/>
        </w:numPr>
        <w:spacing w:line="360" w:lineRule="auto"/>
        <w:ind w:left="0" w:firstLine="0"/>
      </w:pPr>
      <w:bookmarkStart w:id="105" w:name="_Toc122626396"/>
      <w:bookmarkStart w:id="106" w:name="_Toc153894175"/>
      <w:r>
        <w:t xml:space="preserve">Sampling </w:t>
      </w:r>
      <w:r w:rsidR="00815D00">
        <w:t>and recruitment</w:t>
      </w:r>
      <w:bookmarkEnd w:id="105"/>
      <w:r>
        <w:t xml:space="preserve"> </w:t>
      </w:r>
      <w:bookmarkEnd w:id="106"/>
    </w:p>
    <w:p w14:paraId="64DE41EF" w14:textId="18CB0EFD" w:rsidR="00EB7F85" w:rsidRPr="001E14EA"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The aim of this part of the research is to provide a credible representation of </w:t>
      </w:r>
      <w:r>
        <w:rPr>
          <w:rFonts w:ascii="Arial" w:hAnsi="Arial" w:cs="Arial"/>
          <w:sz w:val="24"/>
          <w:szCs w:val="24"/>
        </w:rPr>
        <w:t>HCP</w:t>
      </w:r>
      <w:r w:rsidRPr="006B2FC7">
        <w:rPr>
          <w:rFonts w:ascii="Arial" w:hAnsi="Arial" w:cs="Arial"/>
          <w:sz w:val="24"/>
          <w:szCs w:val="24"/>
        </w:rPr>
        <w:t>’s views about pharmacists’ role in diabetes care in SA</w:t>
      </w:r>
      <w:r w:rsidR="0039145E">
        <w:rPr>
          <w:rFonts w:ascii="Arial" w:hAnsi="Arial" w:cs="Arial"/>
          <w:sz w:val="24"/>
          <w:szCs w:val="24"/>
        </w:rPr>
        <w:t xml:space="preserve"> and to describe the approach taken to recruiting participants</w:t>
      </w:r>
      <w:r w:rsidRPr="006B2FC7">
        <w:rPr>
          <w:rFonts w:ascii="Arial" w:hAnsi="Arial" w:cs="Arial"/>
          <w:sz w:val="24"/>
          <w:szCs w:val="24"/>
        </w:rPr>
        <w:t>. Logistically it w</w:t>
      </w:r>
      <w:r w:rsidR="00815D00">
        <w:rPr>
          <w:rFonts w:ascii="Arial" w:hAnsi="Arial" w:cs="Arial"/>
          <w:sz w:val="24"/>
          <w:szCs w:val="24"/>
        </w:rPr>
        <w:t>ill</w:t>
      </w:r>
      <w:r w:rsidRPr="006B2FC7">
        <w:rPr>
          <w:rFonts w:ascii="Arial" w:hAnsi="Arial" w:cs="Arial"/>
          <w:sz w:val="24"/>
          <w:szCs w:val="24"/>
        </w:rPr>
        <w:t xml:space="preserve"> not be possible to undertake a census </w:t>
      </w:r>
      <w:r w:rsidR="00815D00">
        <w:rPr>
          <w:rFonts w:ascii="Arial" w:hAnsi="Arial" w:cs="Arial"/>
          <w:sz w:val="24"/>
          <w:szCs w:val="24"/>
        </w:rPr>
        <w:t>of</w:t>
      </w:r>
      <w:r w:rsidRPr="006B2FC7">
        <w:rPr>
          <w:rFonts w:ascii="Arial" w:hAnsi="Arial" w:cs="Arial"/>
          <w:sz w:val="24"/>
          <w:szCs w:val="24"/>
        </w:rPr>
        <w:t xml:space="preserve"> all HCPs in SA; so a decision </w:t>
      </w:r>
      <w:r w:rsidR="00815D00">
        <w:rPr>
          <w:rFonts w:ascii="Arial" w:hAnsi="Arial" w:cs="Arial"/>
          <w:sz w:val="24"/>
          <w:szCs w:val="24"/>
        </w:rPr>
        <w:t>is</w:t>
      </w:r>
      <w:r w:rsidRPr="006B2FC7">
        <w:rPr>
          <w:rFonts w:ascii="Arial" w:hAnsi="Arial" w:cs="Arial"/>
          <w:sz w:val="24"/>
          <w:szCs w:val="24"/>
        </w:rPr>
        <w:t xml:space="preserve"> needed as to what sample would be appropriate to make the research logistically possible but also ensure generalisability. Previous research in SA has focused on specific areas, for example, </w:t>
      </w:r>
      <w:r w:rsidRPr="006B2FC7">
        <w:rPr>
          <w:rFonts w:ascii="Arial" w:hAnsi="Arial" w:cs="Arial"/>
          <w:sz w:val="24"/>
          <w:szCs w:val="24"/>
        </w:rPr>
        <w:fldChar w:fldCharType="begin" w:fldLock="1"/>
      </w:r>
      <w:r w:rsidRPr="006B2FC7">
        <w:rPr>
          <w:rFonts w:ascii="Arial" w:hAnsi="Arial" w:cs="Arial"/>
          <w:sz w:val="24"/>
          <w:szCs w:val="24"/>
        </w:rPr>
        <w:instrText xml:space="preserve">ADDIN CSL_CITATION {"citationItems":[{"id":"ITEM-1","itemData":{"abstract":"This study aimed to measure the performance of primary health care centres in Eastern province, Saudi Arabia, using the WHO/International Network of Rational Use of Drugs patient care and facility-specific drug use indicators. In a cross-sectional study, 10 health centres were selected using systematic random sampling. A total of 300 patients were interviewed while visiting the centre from January to March 2011 and 10 pharmacists from the same centres were interviewed. Average consultation time was 7.3 min (optimal ≥ 30 min), percentage of drugs adequately labelled was 10% (optimal 100%) and patient's knowledge of correct dosage was 79.3% (optimal 100%). The percentage of key drugs in stock was only 59.2% (optimal 100%). An overall index of rational facility-specific drug use was calculated and applied to rank the health centres for benchmarking. </w:instrText>
      </w:r>
      <w:dir w:val="rtl">
        <w:r w:rsidRPr="006B2FC7">
          <w:rPr>
            <w:rFonts w:ascii="Arial" w:hAnsi="Arial" w:cs="Arial"/>
            <w:sz w:val="24"/>
            <w:szCs w:val="24"/>
            <w:rtl/>
          </w:rPr>
          <w:instrText>سامل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حممد</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أمحد</w:instrText>
            </w:r>
            <w:r w:rsidRPr="006B2FC7">
              <w:rPr>
                <w:rFonts w:ascii="Arial" w:hAnsi="Arial" w:cs="Arial"/>
                <w:sz w:val="24"/>
                <w:szCs w:val="24"/>
                <w:rtl/>
              </w:rPr>
              <w:instrText>‬ ،</w:instrText>
            </w:r>
            <w:dir w:val="rtl">
              <w:r w:rsidRPr="006B2FC7">
                <w:rPr>
                  <w:rFonts w:ascii="Arial" w:hAnsi="Arial" w:cs="Arial"/>
                  <w:sz w:val="24"/>
                  <w:szCs w:val="24"/>
                  <w:rtl/>
                </w:rPr>
                <w:instrText>الكحكي</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عوض</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أمحد</w:instrText>
                  </w:r>
                  <w:r w:rsidRPr="006B2FC7">
                    <w:rPr>
                      <w:rFonts w:ascii="Arial" w:hAnsi="Arial" w:cs="Arial"/>
                      <w:sz w:val="24"/>
                      <w:szCs w:val="24"/>
                      <w:rtl/>
                    </w:rPr>
                    <w:instrText>‬ ،</w:instrText>
                  </w:r>
                  <w:dir w:val="rtl">
                    <w:r w:rsidRPr="006B2FC7">
                      <w:rPr>
                        <w:rFonts w:ascii="Arial" w:hAnsi="Arial" w:cs="Arial"/>
                        <w:sz w:val="24"/>
                        <w:szCs w:val="24"/>
                        <w:rtl/>
                      </w:rPr>
                      <w:instrText>سعيد</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آل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سكينة</w:instrText>
                        </w:r>
                        <w:r w:rsidRPr="006B2FC7">
                          <w:rPr>
                            <w:rFonts w:ascii="Arial" w:hAnsi="Arial" w:cs="Arial"/>
                            <w:sz w:val="24"/>
                            <w:szCs w:val="24"/>
                            <w:rtl/>
                          </w:rPr>
                          <w:instrText>‬ ،</w:instrText>
                        </w:r>
                        <w:dir w:val="rtl">
                          <w:r w:rsidRPr="006B2FC7">
                            <w:rPr>
                              <w:rFonts w:ascii="Arial" w:hAnsi="Arial" w:cs="Arial"/>
                              <w:sz w:val="24"/>
                              <w:szCs w:val="24"/>
                              <w:rtl/>
                            </w:rPr>
                            <w:instrText>الكبيش</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حوراء</w:instrText>
                            </w:r>
                            <w:r w:rsidRPr="006B2FC7">
                              <w:rPr>
                                <w:rFonts w:ascii="Arial" w:hAnsi="Arial" w:cs="Arial"/>
                                <w:sz w:val="24"/>
                                <w:szCs w:val="24"/>
                                <w:rtl/>
                              </w:rPr>
                              <w:instrText>‬ ،</w:instrText>
                            </w:r>
                            <w:dir w:val="rtl">
                              <w:r w:rsidRPr="006B2FC7">
                                <w:rPr>
                                  <w:rFonts w:ascii="Arial" w:hAnsi="Arial" w:cs="Arial"/>
                                  <w:sz w:val="24"/>
                                  <w:szCs w:val="24"/>
                                  <w:rtl/>
                                </w:rPr>
                                <w:instrText>هناب</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آل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أمل</w:instrText>
                                  </w:r>
                                  <w:r w:rsidRPr="006B2FC7">
                                    <w:rPr>
                                      <w:rFonts w:ascii="Arial" w:hAnsi="Arial" w:cs="Arial"/>
                                      <w:sz w:val="24"/>
                                      <w:szCs w:val="24"/>
                                      <w:rtl/>
                                    </w:rPr>
                                    <w:instrText>‬ ،</w:instrText>
                                  </w:r>
                                  <w:dir w:val="rtl">
                                    <w:r w:rsidRPr="006B2FC7">
                                      <w:rPr>
                                        <w:rFonts w:ascii="Arial" w:hAnsi="Arial" w:cs="Arial"/>
                                        <w:sz w:val="24"/>
                                        <w:szCs w:val="24"/>
                                        <w:rtl/>
                                      </w:rPr>
                                      <w:instrText>داوود</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آل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سارة</w:instrText>
                                        </w:r>
                                        <w:r w:rsidRPr="006B2FC7">
                                          <w:rPr>
                                            <w:rFonts w:ascii="Arial" w:hAnsi="Arial" w:cs="Arial"/>
                                            <w:sz w:val="24"/>
                                            <w:szCs w:val="24"/>
                                            <w:rtl/>
                                          </w:rPr>
                                          <w:instrText>‬ ،</w:instrText>
                                        </w:r>
                                        <w:dir w:val="rtl">
                                          <w:r w:rsidRPr="006B2FC7">
                                            <w:rPr>
                                              <w:rFonts w:ascii="Arial" w:hAnsi="Arial" w:cs="Arial"/>
                                              <w:sz w:val="24"/>
                                              <w:szCs w:val="24"/>
                                              <w:rtl/>
                                            </w:rPr>
                                            <w:instrText>عقل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املنعم</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عبد</w:instrText>
                                              </w:r>
                                              <w:r w:rsidRPr="006B2FC7">
                                                <w:rPr>
                                                  <w:rFonts w:ascii="Arial" w:hAnsi="Arial" w:cs="Arial"/>
                                                  <w:sz w:val="24"/>
                                                  <w:szCs w:val="24"/>
                                                  <w:rtl/>
                                                </w:rPr>
                                                <w:instrText xml:space="preserve">‬ َ </w:instrText>
                                              </w:r>
                                              <w:dir w:val="rtl">
                                                <w:r w:rsidRPr="006B2FC7">
                                                  <w:rPr>
                                                    <w:rFonts w:ascii="Arial" w:hAnsi="Arial" w:cs="Arial"/>
                                                    <w:sz w:val="24"/>
                                                    <w:szCs w:val="24"/>
                                                    <w:rtl/>
                                                  </w:rPr>
                                                  <w:instrText>ُال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ع</w:instrText>
                                                  </w:r>
                                                  <w:r w:rsidRPr="006B2FC7">
                                                    <w:rPr>
                                                      <w:rFonts w:ascii="Arial" w:hAnsi="Arial" w:cs="Arial"/>
                                                      <w:sz w:val="24"/>
                                                      <w:szCs w:val="24"/>
                                                      <w:rtl/>
                                                    </w:rPr>
                                                    <w:instrText>‬ ، ّ</w:instrText>
                                                  </w:r>
                                                  <w:dir w:val="rtl">
                                                    <w:r w:rsidRPr="006B2FC7">
                                                      <w:rPr>
                                                        <w:rFonts w:ascii="Arial" w:hAnsi="Arial" w:cs="Arial"/>
                                                        <w:sz w:val="24"/>
                                                        <w:szCs w:val="24"/>
                                                        <w:rtl/>
                                                      </w:rPr>
                                                      <w:instrText>ي</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ل</w:instrText>
                                                      </w:r>
                                                      <w:r w:rsidRPr="006B2FC7">
                                                        <w:rPr>
                                                          <w:rFonts w:ascii="Arial" w:hAnsi="Arial" w:cs="Arial"/>
                                                          <w:sz w:val="24"/>
                                                          <w:szCs w:val="24"/>
                                                          <w:rtl/>
                                                        </w:rPr>
                                                        <w:instrText xml:space="preserve">‬ َ </w:instrText>
                                                      </w:r>
                                                      <w:dir w:val="rtl">
                                                        <w:r w:rsidRPr="006B2FC7">
                                                          <w:rPr>
                                                            <w:rFonts w:ascii="Arial" w:hAnsi="Arial" w:cs="Arial"/>
                                                            <w:sz w:val="24"/>
                                                            <w:szCs w:val="24"/>
                                                            <w:rtl/>
                                                          </w:rPr>
                                                          <w:instrText>ح</w:instrText>
                                                        </w:r>
                                                        <w:r w:rsidRPr="006B2FC7">
                                                          <w:rPr>
                                                            <w:rFonts w:ascii="Arial" w:hAnsi="Arial" w:cs="Arial"/>
                                                            <w:sz w:val="24"/>
                                                            <w:szCs w:val="24"/>
                                                            <w:rtl/>
                                                          </w:rPr>
                                                          <w:instrText xml:space="preserve">‬ َ </w:instrText>
                                                        </w:r>
                                                        <w:dir w:val="rtl">
                                                          <w:r w:rsidRPr="006B2FC7">
                                                            <w:rPr>
                                                              <w:rFonts w:ascii="Arial" w:hAnsi="Arial" w:cs="Arial"/>
                                                              <w:sz w:val="24"/>
                                                              <w:szCs w:val="24"/>
                                                              <w:rtl/>
                                                            </w:rPr>
                                                            <w:instrText>الـم</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عل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ة</w:instrText>
                                                              </w:r>
                                                              <w:r w:rsidRPr="006B2FC7">
                                                                <w:rPr>
                                                                  <w:rFonts w:ascii="Arial" w:hAnsi="Arial" w:cs="Arial"/>
                                                                  <w:sz w:val="24"/>
                                                                  <w:szCs w:val="24"/>
                                                                  <w:rtl/>
                                                                </w:rPr>
                                                                <w:instrText>‬ َّ</w:instrText>
                                                              </w:r>
                                                              <w:dir w:val="rtl">
                                                                <w:r w:rsidRPr="006B2FC7">
                                                                  <w:rPr>
                                                                    <w:rFonts w:ascii="Arial" w:hAnsi="Arial" w:cs="Arial"/>
                                                                    <w:sz w:val="24"/>
                                                                    <w:szCs w:val="24"/>
                                                                    <w:rtl/>
                                                                  </w:rPr>
                                                                  <w:instrText>َز</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ع</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الشبكة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مؤرشات</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باستخدام</w:instrText>
                                                                        </w:r>
                                                                        <w:r w:rsidRPr="006B2FC7">
                                                                          <w:rPr>
                                                                            <w:rFonts w:ascii="Arial" w:hAnsi="Arial" w:cs="Arial"/>
                                                                            <w:sz w:val="24"/>
                                                                            <w:szCs w:val="24"/>
                                                                            <w:rtl/>
                                                                          </w:rPr>
                                                                          <w:instrText>‬ ،</w:instrText>
                                                                        </w:r>
                                                                        <w:dir w:val="rtl">
                                                                          <w:r w:rsidRPr="006B2FC7">
                                                                            <w:rPr>
                                                                              <w:rFonts w:ascii="Arial" w:hAnsi="Arial" w:cs="Arial"/>
                                                                              <w:sz w:val="24"/>
                                                                              <w:szCs w:val="24"/>
                                                                              <w:rtl/>
                                                                            </w:rPr>
                                                                            <w:instrText>السعودية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العربية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اململكة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الرشقية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املنطقة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يف</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الصحية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الرعاية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مراكز</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أداء</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قياس</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إىل</w:instrText>
                                                                                                  </w:r>
                                                                                                  <w:r w:rsidRPr="006B2FC7">
                                                                                                    <w:rPr>
                                                                                                      <w:rFonts w:ascii="Arial" w:hAnsi="Arial" w:cs="Arial"/>
                                                                                                      <w:sz w:val="24"/>
                                                                                                      <w:szCs w:val="24"/>
                                                                                                      <w:rtl/>
                                                                                                    </w:rPr>
                                                                                                    <w:instrText>‬</w:instrText>
                                                                                                  </w:r>
                                                                                                  <w:r w:rsidRPr="006B2FC7">
                                                                                                    <w:rPr>
                                                                                                      <w:rFonts w:ascii="Arial" w:hAnsi="Arial" w:cs="Arial"/>
                                                                                                      <w:sz w:val="24"/>
                                                                                                      <w:szCs w:val="24"/>
                                                                                                    </w:rPr>
                                                                                                    <w:instrText xml:space="preserve"> </w:instrText>
                                                                                                  </w:r>
                                                                                                  <w:dir w:val="rtl">
                                                                                                    <w:r w:rsidRPr="006B2FC7">
                                                                                                      <w:rPr>
                                                                                                        <w:rFonts w:ascii="Arial" w:hAnsi="Arial" w:cs="Arial"/>
                                                                                                        <w:sz w:val="24"/>
                                                                                                        <w:szCs w:val="24"/>
                                                                                                        <w:rtl/>
                                                                                                      </w:rPr>
                                                                                                      <w:instrText>الدراسة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هذه</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هتدف</w:instrText>
                                                                                                        </w:r>
                                                                                                        <w:r w:rsidRPr="006B2FC7">
                                                                                                          <w:rPr>
                                                                                                            <w:rFonts w:ascii="Arial" w:hAnsi="Arial" w:cs="Arial"/>
                                                                                                            <w:sz w:val="24"/>
                                                                                                            <w:szCs w:val="24"/>
                                                                                                            <w:rtl/>
                                                                                                          </w:rPr>
                                                                                                          <w:instrText>‬ :</w:instrText>
                                                                                                        </w:r>
                                                                                                        <w:dir w:val="rtl">
                                                                                                          <w:r w:rsidRPr="006B2FC7">
                                                                                                            <w:rPr>
                                                                                                              <w:rFonts w:ascii="Arial" w:hAnsi="Arial" w:cs="Arial"/>
                                                                                                              <w:sz w:val="24"/>
                                                                                                              <w:szCs w:val="24"/>
                                                                                                              <w:rtl/>
                                                                                                            </w:rPr>
                                                                                                            <w:instrText>اخلالصـة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أجرى</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وقد</w:instrText>
                                                                                                              </w:r>
                                                                                                              <w:r w:rsidRPr="006B2FC7">
                                                                                                                <w:rPr>
                                                                                                                  <w:rFonts w:ascii="Arial" w:hAnsi="Arial" w:cs="Arial"/>
                                                                                                                  <w:sz w:val="24"/>
                                                                                                                  <w:szCs w:val="24"/>
                                                                                                                  <w:rtl/>
                                                                                                                </w:rPr>
                                                                                                                <w:instrText>‬ .</w:instrText>
                                                                                                              </w:r>
                                                                                                              <w:dir w:val="rtl">
                                                                                                                <w:r w:rsidRPr="006B2FC7">
                                                                                                                  <w:rPr>
                                                                                                                    <w:rFonts w:ascii="Arial" w:hAnsi="Arial" w:cs="Arial"/>
                                                                                                                    <w:sz w:val="24"/>
                                                                                                                    <w:szCs w:val="24"/>
                                                                                                                    <w:rtl/>
                                                                                                                  </w:rPr>
                                                                                                                  <w:instrText>الصحية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املرافق</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ويف</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املرىض</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رعاية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أجل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األدوية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باستخدام</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اخلاصة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العاملية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الصحة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لألدوية/منظمة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الرشيد</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لالستخدام</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الدولية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زياراهتم</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أثناء</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مريض</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مئة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ثالث</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مع</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مقابالت</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وأجروا</w:instrText>
                                                                                                                                                              </w:r>
                                                                                                                                                              <w:r w:rsidRPr="006B2FC7">
                                                                                                                                                                <w:rPr>
                                                                                                                                                                  <w:rFonts w:ascii="Arial" w:hAnsi="Arial" w:cs="Arial"/>
                                                                                                                                                                  <w:sz w:val="24"/>
                                                                                                                                                                  <w:szCs w:val="24"/>
                                                                                                                                                                  <w:rtl/>
                                                                                                                                                                </w:rPr>
                                                                                                                                                                <w:instrText>‬ .</w:instrText>
                                                                                                                                                              </w:r>
                                                                                                                                                              <w:dir w:val="rtl">
                                                                                                                                                                <w:r w:rsidRPr="006B2FC7">
                                                                                                                                                                  <w:rPr>
                                                                                                                                                                    <w:rFonts w:ascii="Arial" w:hAnsi="Arial" w:cs="Arial"/>
                                                                                                                                                                    <w:sz w:val="24"/>
                                                                                                                                                                    <w:szCs w:val="24"/>
                                                                                                                                                                    <w:rtl/>
                                                                                                                                                                  </w:rPr>
                                                                                                                                                                  <w:instrText>العشوائي</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املنهجي</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باالعتيان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اختيارها</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تم</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صحية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مراكز</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عرش</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شملت</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مستعرضة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دراسة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الباحثون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الوسطي</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الزمن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كان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وقد</w:instrText>
                                                                                                                                                                                              </w:r>
                                                                                                                                                                                              <w:r w:rsidRPr="006B2FC7">
                                                                                                                                                                                                <w:rPr>
                                                                                                                                                                                                  <w:rFonts w:ascii="Arial" w:hAnsi="Arial" w:cs="Arial"/>
                                                                                                                                                                                                  <w:sz w:val="24"/>
                                                                                                                                                                                                  <w:szCs w:val="24"/>
                                                                                                                                                                                                  <w:rtl/>
                                                                                                                                                                                                </w:rPr>
                                                                                                                                                                                                <w:instrText>‬ .</w:instrText>
                                                                                                                                                                                              </w:r>
                                                                                                                                                                                              <w:dir w:val="rtl">
                                                                                                                                                                                                <w:r w:rsidRPr="006B2FC7">
                                                                                                                                                                                                  <w:rPr>
                                                                                                                                                                                                    <w:rFonts w:ascii="Arial" w:hAnsi="Arial" w:cs="Arial"/>
                                                                                                                                                                                                    <w:sz w:val="24"/>
                                                                                                                                                                                                    <w:szCs w:val="24"/>
                                                                                                                                                                                                    <w:rtl/>
                                                                                                                                                                                                  </w:rPr>
                                                                                                                                                                                                  <w:instrText>املراكز</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تلك</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يف</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صيادلة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عرشة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مع</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مقابالت</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أجروا</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كام</w:instrText>
                                                                                                                                                                                                                </w:r>
                                                                                                                                                                                                                <w:r w:rsidRPr="006B2FC7">
                                                                                                                                                                                                                  <w:rPr>
                                                                                                                                                                                                                    <w:rFonts w:ascii="Arial" w:hAnsi="Arial" w:cs="Arial"/>
                                                                                                                                                                                                                    <w:sz w:val="24"/>
                                                                                                                                                                                                                    <w:szCs w:val="24"/>
                                                                                                                                                                                                                    <w:rtl/>
                                                                                                                                                                                                                  </w:rPr>
                                                                                                                                                                                                                  <w:instrText xml:space="preserve">‬ ،2011 </w:instrText>
                                                                                                                                                                                                                </w:r>
                                                                                                                                                                                                                <w:dir w:val="rtl">
                                                                                                                                                                                                                  <w:r w:rsidRPr="006B2FC7">
                                                                                                                                                                                                                    <w:rPr>
                                                                                                                                                                                                                      <w:rFonts w:ascii="Arial" w:hAnsi="Arial" w:cs="Arial"/>
                                                                                                                                                                                                                      <w:sz w:val="24"/>
                                                                                                                                                                                                                      <w:szCs w:val="24"/>
                                                                                                                                                                                                                      <w:rtl/>
                                                                                                                                                                                                                    </w:rPr>
                                                                                                                                                                                                                    <w:instrText>آذار/مارس</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إىل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الثاين/يناير</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كانون</w:instrText>
                                                                                                                                                                                                                        </w:r>
                                                                                                                                                                                                                        <w:r w:rsidRPr="006B2FC7">
                                                                                                                                                                                                                          <w:rPr>
                                                                                                                                                                                                                            <w:rFonts w:ascii="Arial" w:hAnsi="Arial" w:cs="Arial"/>
                                                                                                                                                                                                                            <w:sz w:val="24"/>
                                                                                                                                                                                                                            <w:szCs w:val="24"/>
                                                                                                                                                                                                                          </w:rPr>
                                                                                                                                                                                                                          <w:instrText xml:space="preserve">‬ </w:instrText>
                                                                                                                                                                                                                        </w:r>
                                                                                                                                                                                                                        <w:dir w:val="rtl">
                                                                                                                                                                                                                          <w:r w:rsidRPr="006B2FC7">
                                                                                                                                                                                                                            <w:rPr>
                                                                                                                                                                                                                              <w:rFonts w:ascii="Arial" w:hAnsi="Arial" w:cs="Arial"/>
                                                                                                                                                                                                                              <w:sz w:val="24"/>
                                                                                                                                                                                                                              <w:szCs w:val="24"/>
                                                                                                                                                                                                                              <w:rtl/>
                                                                                                                                                                                                                            </w:rPr>
                                                                                                                                                                                                                            <w:instrText>من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الفرتة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يف</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الصحية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للمراكز</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عن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املرىض</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ومعارف</w:instrText>
                                                                                                                                                                                                                                        </w:r>
                                                                                                                                                                                                                                        <w:r w:rsidRPr="006B2FC7">
                                                                                                                                                                                                                                          <w:rPr>
                                                                                                                                                                                                                                            <w:rFonts w:ascii="Arial" w:hAnsi="Arial" w:cs="Arial"/>
                                                                                                                                                                                                                                            <w:sz w:val="24"/>
                                                                                                                                                                                                                                            <w:szCs w:val="24"/>
                                                                                                                                                                                                                                            <w:rtl/>
                                                                                                                                                                                                                                          </w:rPr>
                                                                                                                                                                                                                                          <w:instrText xml:space="preserve">‬ ،)%100 </w:instrText>
                                                                                                                                                                                                                                        </w:r>
                                                                                                                                                                                                                                        <w:dir w:val="rtl">
                                                                                                                                                                                                                                          <w:r w:rsidRPr="006B2FC7">
                                                                                                                                                                                                                                            <w:rPr>
                                                                                                                                                                                                                                              <w:rFonts w:ascii="Arial" w:hAnsi="Arial" w:cs="Arial"/>
                                                                                                                                                                                                                                              <w:sz w:val="24"/>
                                                                                                                                                                                                                                              <w:szCs w:val="24"/>
                                                                                                                                                                                                                                              <w:rtl/>
                                                                                                                                                                                                                                            </w:rPr>
                                                                                                                                                                                                                                            <w:instrText>(األفضل</w:instrText>
                                                                                                                                                                                                                                          </w:r>
                                                                                                                                                                                                                                          <w:r w:rsidRPr="006B2FC7">
                                                                                                                                                                                                                                            <w:rPr>
                                                                                                                                                                                                                                              <w:rFonts w:ascii="Arial" w:hAnsi="Arial" w:cs="Arial"/>
                                                                                                                                                                                                                                              <w:sz w:val="24"/>
                                                                                                                                                                                                                                              <w:szCs w:val="24"/>
                                                                                                                                                                                                                                              <w:rtl/>
                                                                                                                                                                                                                                            </w:rPr>
                                                                                                                                                                                                                                            <w:instrText xml:space="preserve">‬ %10 </w:instrText>
                                                                                                                                                                                                                                          </w:r>
                                                                                                                                                                                                                                          <w:dir w:val="rtl">
                                                                                                                                                                                                                                            <w:r w:rsidRPr="006B2FC7">
                                                                                                                                                                                                                                              <w:rPr>
                                                                                                                                                                                                                                                <w:rFonts w:ascii="Arial" w:hAnsi="Arial" w:cs="Arial"/>
                                                                                                                                                                                                                                                <w:sz w:val="24"/>
                                                                                                                                                                                                                                                <w:szCs w:val="24"/>
                                                                                                                                                                                                                                                <w:rtl/>
                                                                                                                                                                                                                                              </w:rPr>
                                                                                                                                                                                                                                              <w:instrText>لصاقات</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عليها</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وضعت</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التي</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لألدوية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املئوية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والنسبة</w:instrText>
                                                                                                                                                                                                                                                        </w:r>
                                                                                                                                                                                                                                                        <w:r w:rsidRPr="006B2FC7">
                                                                                                                                                                                                                                                          <w:rPr>
                                                                                                                                                                                                                                                            <w:rFonts w:ascii="Arial" w:hAnsi="Arial" w:cs="Arial"/>
                                                                                                                                                                                                                                                            <w:sz w:val="24"/>
                                                                                                                                                                                                                                                            <w:szCs w:val="24"/>
                                                                                                                                                                                                                                                            <w:rtl/>
                                                                                                                                                                                                                                                          </w:rPr>
                                                                                                                                                                                                                                                          <w:instrText>‬ ،)</w:instrText>
                                                                                                                                                                                                                                                        </w:r>
                                                                                                                                                                                                                                                        <w:dir w:val="rtl">
                                                                                                                                                                                                                                                          <w:r w:rsidRPr="006B2FC7">
                                                                                                                                                                                                                                                            <w:rPr>
                                                                                                                                                                                                                                                              <w:rFonts w:ascii="Arial" w:hAnsi="Arial" w:cs="Arial"/>
                                                                                                                                                                                                                                                              <w:sz w:val="24"/>
                                                                                                                                                                                                                                                              <w:szCs w:val="24"/>
                                                                                                                                                                                                                                                              <w:rtl/>
                                                                                                                                                                                                                                                            </w:rPr>
                                                                                                                                                                                                                                                            <w:instrText>دقيقة</w:instrText>
                                                                                                                                                                                                                                                          </w:r>
                                                                                                                                                                                                                                                          <w:r w:rsidRPr="006B2FC7">
                                                                                                                                                                                                                                                            <w:rPr>
                                                                                                                                                                                                                                                              <w:rFonts w:ascii="Arial" w:hAnsi="Arial" w:cs="Arial"/>
                                                                                                                                                                                                                                                              <w:sz w:val="24"/>
                                                                                                                                                                                                                                                              <w:szCs w:val="24"/>
                                                                                                                                                                                                                                                              <w:rtl/>
                                                                                                                                                                                                                                                            </w:rPr>
                                                                                                                                                                                                                                                            <w:instrText xml:space="preserve">‬ 30 </w:instrText>
                                                                                                                                                                                                                                                          </w:r>
                                                                                                                                                                                                                                                          <w:dir w:val="rtl">
                                                                                                                                                                                                                                                            <w:r w:rsidRPr="006B2FC7">
                                                                                                                                                                                                                                                              <w:rPr>
                                                                                                                                                                                                                                                                <w:rFonts w:ascii="Arial" w:hAnsi="Arial" w:cs="Arial"/>
                                                                                                                                                                                                                                                                <w:sz w:val="24"/>
                                                                                                                                                                                                                                                                <w:szCs w:val="24"/>
                                                                                                                                                                                                                                                                <w:rtl/>
                                                                                                                                                                                                                                                              </w:rPr>
                                                                                                                                                                                                                                                              <w:instrText>(األفضل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دقائق</w:instrText>
                                                                                                                                                                                                                                                              </w:r>
                                                                                                                                                                                                                                                              <w:r w:rsidRPr="006B2FC7">
                                                                                                                                                                                                                                                                <w:rPr>
                                                                                                                                                                                                                                                                  <w:rFonts w:ascii="Arial" w:hAnsi="Arial" w:cs="Arial"/>
                                                                                                                                                                                                                                                                  <w:sz w:val="24"/>
                                                                                                                                                                                                                                                                  <w:szCs w:val="24"/>
                                                                                                                                                                                                                                                                  <w:rtl/>
                                                                                                                                                                                                                                                                </w:rPr>
                                                                                                                                                                                                                                                                <w:instrText xml:space="preserve">‬ 7.3 </w:instrText>
                                                                                                                                                                                                                                                              </w:r>
                                                                                                                                                                                                                                                              <w:dir w:val="rtl">
                                                                                                                                                                                                                                                                <w:r w:rsidRPr="006B2FC7">
                                                                                                                                                                                                                                                                  <w:rPr>
                                                                                                                                                                                                                                                                    <w:rFonts w:ascii="Arial" w:hAnsi="Arial" w:cs="Arial"/>
                                                                                                                                                                                                                                                                    <w:sz w:val="24"/>
                                                                                                                                                                                                                                                                    <w:szCs w:val="24"/>
                                                                                                                                                                                                                                                                    <w:rtl/>
                                                                                                                                                                                                                                                                  </w:rPr>
                                                                                                                                                                                                                                                                  <w:instrText>هو</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للمشورة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بحساب</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الباحثون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وقام</w:instrText>
                                                                                                                                                                                                                                                                        </w:r>
                                                                                                                                                                                                                                                                        <w:r w:rsidRPr="006B2FC7">
                                                                                                                                                                                                                                                                          <w:rPr>
                                                                                                                                                                                                                                                                            <w:rFonts w:ascii="Arial" w:hAnsi="Arial" w:cs="Arial"/>
                                                                                                                                                                                                                                                                            <w:sz w:val="24"/>
                                                                                                                                                                                                                                                                            <w:szCs w:val="24"/>
                                                                                                                                                                                                                                                                            <w:rtl/>
                                                                                                                                                                                                                                                                          </w:rPr>
                                                                                                                                                                                                                                                                          <w:instrText xml:space="preserve">‬ .)%100 </w:instrText>
                                                                                                                                                                                                                                                                        </w:r>
                                                                                                                                                                                                                                                                        <w:dir w:val="rtl">
                                                                                                                                                                                                                                                                          <w:r w:rsidRPr="006B2FC7">
                                                                                                                                                                                                                                                                            <w:rPr>
                                                                                                                                                                                                                                                                              <w:rFonts w:ascii="Arial" w:hAnsi="Arial" w:cs="Arial"/>
                                                                                                                                                                                                                                                                              <w:sz w:val="24"/>
                                                                                                                                                                                                                                                                              <w:szCs w:val="24"/>
                                                                                                                                                                                                                                                                              <w:rtl/>
                                                                                                                                                                                                                                                                            </w:rPr>
                                                                                                                                                                                                                                                                            <w:instrText>(األفضل</w:instrText>
                                                                                                                                                                                                                                                                          </w:r>
                                                                                                                                                                                                                                                                          <w:r w:rsidRPr="006B2FC7">
                                                                                                                                                                                                                                                                            <w:rPr>
                                                                                                                                                                                                                                                                              <w:rFonts w:ascii="Arial" w:hAnsi="Arial" w:cs="Arial"/>
                                                                                                                                                                                                                                                                              <w:sz w:val="24"/>
                                                                                                                                                                                                                                                                              <w:szCs w:val="24"/>
                                                                                                                                                                                                                                                                              <w:rtl/>
                                                                                                                                                                                                                                                                            </w:rPr>
                                                                                                                                                                                                                                                                            <w:instrText xml:space="preserve">‬ %59.2 </w:instrText>
                                                                                                                                                                                                                                                                          </w:r>
                                                                                                                                                                                                                                                                          <w:dir w:val="rtl">
                                                                                                                                                                                                                                                                            <w:r w:rsidRPr="006B2FC7">
                                                                                                                                                                                                                                                                              <w:rPr>
                                                                                                                                                                                                                                                                                <w:rFonts w:ascii="Arial" w:hAnsi="Arial" w:cs="Arial"/>
                                                                                                                                                                                                                                                                                <w:sz w:val="24"/>
                                                                                                                                                                                                                                                                                <w:szCs w:val="24"/>
                                                                                                                                                                                                                                                                                <w:rtl/>
                                                                                                                                                                                                                                                                              </w:rPr>
                                                                                                                                                                                                                                                                              <w:instrText>املخزن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يف</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الرئيسية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لألدوية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املئوية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النسبة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وكانت</w:instrText>
                                                                                                                                                                                                                                                                                        </w:r>
                                                                                                                                                                                                                                                                                        <w:r w:rsidRPr="006B2FC7">
                                                                                                                                                                                                                                                                                          <w:rPr>
                                                                                                                                                                                                                                                                                            <w:rFonts w:ascii="Arial" w:hAnsi="Arial" w:cs="Arial"/>
                                                                                                                                                                                                                                                                                            <w:sz w:val="24"/>
                                                                                                                                                                                                                                                                                            <w:szCs w:val="24"/>
                                                                                                                                                                                                                                                                                            <w:rtl/>
                                                                                                                                                                                                                                                                                          </w:rPr>
                                                                                                                                                                                                                                                                                          <w:instrText xml:space="preserve">‬ .)%100 </w:instrText>
                                                                                                                                                                                                                                                                                        </w:r>
                                                                                                                                                                                                                                                                                        <w:dir w:val="rtl">
                                                                                                                                                                                                                                                                                          <w:r w:rsidRPr="006B2FC7">
                                                                                                                                                                                                                                                                                            <w:rPr>
                                                                                                                                                                                                                                                                                              <w:rFonts w:ascii="Arial" w:hAnsi="Arial" w:cs="Arial"/>
                                                                                                                                                                                                                                                                                              <w:sz w:val="24"/>
                                                                                                                                                                                                                                                                                              <w:szCs w:val="24"/>
                                                                                                                                                                                                                                                                                              <w:rtl/>
                                                                                                                                                                                                                                                                                            </w:rPr>
                                                                                                                                                                                                                                                                                            <w:instrText>(األفضل</w:instrText>
                                                                                                                                                                                                                                                                                          </w:r>
                                                                                                                                                                                                                                                                                          <w:r w:rsidRPr="006B2FC7">
                                                                                                                                                                                                                                                                                            <w:rPr>
                                                                                                                                                                                                                                                                                              <w:rFonts w:ascii="Arial" w:hAnsi="Arial" w:cs="Arial"/>
                                                                                                                                                                                                                                                                                              <w:sz w:val="24"/>
                                                                                                                                                                                                                                                                                              <w:szCs w:val="24"/>
                                                                                                                                                                                                                                                                                              <w:rtl/>
                                                                                                                                                                                                                                                                                            </w:rPr>
                                                                                                                                                                                                                                                                                            <w:instrText xml:space="preserve">‬ %79.3 </w:instrText>
                                                                                                                                                                                                                                                                                          </w:r>
                                                                                                                                                                                                                                                                                          <w:dir w:val="rtl">
                                                                                                                                                                                                                                                                                            <w:r w:rsidRPr="006B2FC7">
                                                                                                                                                                                                                                                                                              <w:rPr>
                                                                                                                                                                                                                                                                                                <w:rFonts w:ascii="Arial" w:hAnsi="Arial" w:cs="Arial"/>
                                                                                                                                                                                                                                                                                                <w:sz w:val="24"/>
                                                                                                                                                                                                                                                                                                <w:szCs w:val="24"/>
                                                                                                                                                                                                                                                                                                <w:rtl/>
                                                                                                                                                                                                                                                                                              </w:rPr>
                                                                                                                                                                                                                                                                                              <w:instrText>الصحيحة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اجلرعات</w:instrText>
                                                                                                                                                                                                                                                                                              </w:r>
                                                                                                                                                                                                                                                                                              <w:r w:rsidRPr="006B2FC7">
                                                                                                                                                                                                                                                                                                <w:rPr>
                                                                                                                                                                                                                                                                                                  <w:rFonts w:ascii="Arial" w:hAnsi="Arial" w:cs="Arial"/>
                                                                                                                                                                                                                                                                                                  <w:sz w:val="24"/>
                                                                                                                                                                                                                                                                                                  <w:szCs w:val="24"/>
                                                                                                                                                                                                                                                                                                  <w:rtl/>
                                                                                                                                                                                                                                                                                                </w:rPr>
                                                                                                                                                                                                                                                                                                <w:instrText>‬ .</w:instrText>
                                                                                                                                                                                                                                                                                              </w:r>
                                                                                                                                                                                                                                                                                              <w:dir w:val="rtl">
                                                                                                                                                                                                                                                                                                <w:r w:rsidRPr="006B2FC7">
                                                                                                                                                                                                                                                                                                  <w:rPr>
                                                                                                                                                                                                                                                                                                    <w:rFonts w:ascii="Arial" w:hAnsi="Arial" w:cs="Arial"/>
                                                                                                                                                                                                                                                                                                    <w:sz w:val="24"/>
                                                                                                                                                                                                                                                                                                    <w:szCs w:val="24"/>
                                                                                                                                                                                                                                                                                                    <w:rtl/>
                                                                                                                                                                                                                                                                                                  </w:rPr>
                                                                                                                                                                                                                                                                                                  <w:instrText>حمددة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ة</w:instrText>
                                                                                                                                                                                                                                                                                                  </w:r>
                                                                                                                                                                                                                                                                                                  <w:r w:rsidRPr="006B2FC7">
                                                                                                                                                                                                                                                                                                    <w:rPr>
                                                                                                                                                                                                                                                                                                      <w:rFonts w:ascii="Arial" w:hAnsi="Arial" w:cs="Arial"/>
                                                                                                                                                                                                                                                                                                      <w:sz w:val="24"/>
                                                                                                                                                                                                                                                                                                      <w:szCs w:val="24"/>
                                                                                                                                                                                                                                                                                                      <w:rtl/>
                                                                                                                                                                                                                                                                                                    </w:rPr>
                                                                                                                                                                                                                                                                                                    <w:instrText xml:space="preserve">‬ َّ </w:instrText>
                                                                                                                                                                                                                                                                                                  </w:r>
                                                                                                                                                                                                                                                                                                  <w:dir w:val="rtl">
                                                                                                                                                                                                                                                                                                    <w:r w:rsidRPr="006B2FC7">
                                                                                                                                                                                                                                                                                                      <w:rPr>
                                                                                                                                                                                                                                                                                                        <w:rFonts w:ascii="Arial" w:hAnsi="Arial" w:cs="Arial"/>
                                                                                                                                                                                                                                                                                                        <w:sz w:val="24"/>
                                                                                                                                                                                                                                                                                                        <w:szCs w:val="24"/>
                                                                                                                                                                                                                                                                                                        <w:rtl/>
                                                                                                                                                                                                                                                                                                      </w:rPr>
                                                                                                                                                                                                                                                                                                      <w:instrText>لي</w:instrText>
                                                                                                                                                                                                                                                                                                    </w:r>
                                                                                                                                                                                                                                                                                                    <w:r w:rsidRPr="006B2FC7">
                                                                                                                                                                                                                                                                                                      <w:rPr>
                                                                                                                                                                                                                                                                                                        <w:rFonts w:ascii="Arial" w:hAnsi="Arial" w:cs="Arial"/>
                                                                                                                                                                                                                                                                                                        <w:sz w:val="24"/>
                                                                                                                                                                                                                                                                                                        <w:szCs w:val="24"/>
                                                                                                                                                                                                                                                                                                        <w:rtl/>
                                                                                                                                                                                                                                                                                                      </w:rPr>
                                                                                                                                                                                                                                                                                                      <w:instrText xml:space="preserve">‬ َ </w:instrText>
                                                                                                                                                                                                                                                                                                    </w:r>
                                                                                                                                                                                                                                                                                                    <w:dir w:val="rtl">
                                                                                                                                                                                                                                                                                                      <w:r w:rsidRPr="006B2FC7">
                                                                                                                                                                                                                                                                                                        <w:rPr>
                                                                                                                                                                                                                                                                                                          <w:rFonts w:ascii="Arial" w:hAnsi="Arial" w:cs="Arial"/>
                                                                                                                                                                                                                                                                                                          <w:sz w:val="24"/>
                                                                                                                                                                                                                                                                                                          <w:szCs w:val="24"/>
                                                                                                                                                                                                                                                                                                          <w:rtl/>
                                                                                                                                                                                                                                                                                                        </w:rPr>
                                                                                                                                                                                                                                                                                                        <w:instrText>ص</w:instrText>
                                                                                                                                                                                                                                                                                                      </w:r>
                                                                                                                                                                                                                                                                                                      <w:r w:rsidRPr="006B2FC7">
                                                                                                                                                                                                                                                                                                        <w:rPr>
                                                                                                                                                                                                                                                                                                          <w:rFonts w:ascii="Arial" w:hAnsi="Arial" w:cs="Arial"/>
                                                                                                                                                                                                                                                                                                          <w:sz w:val="24"/>
                                                                                                                                                                                                                                                                                                          <w:szCs w:val="24"/>
                                                                                                                                                                                                                                                                                                          <w:rtl/>
                                                                                                                                                                                                                                                                                                        </w:rPr>
                                                                                                                                                                                                                                                                                                        <w:instrText xml:space="preserve">‬ ْ </w:instrText>
                                                                                                                                                                                                                                                                                                      </w:r>
                                                                                                                                                                                                                                                                                                      <w:dir w:val="rtl">
                                                                                                                                                                                                                                                                                                        <w:r w:rsidRPr="006B2FC7">
                                                                                                                                                                                                                                                                                                          <w:rPr>
                                                                                                                                                                                                                                                                                                            <w:rFonts w:ascii="Arial" w:hAnsi="Arial" w:cs="Arial"/>
                                                                                                                                                                                                                                                                                                            <w:sz w:val="24"/>
                                                                                                                                                                                                                                                                                                            <w:szCs w:val="24"/>
                                                                                                                                                                                                                                                                                                            <w:rtl/>
                                                                                                                                                                                                                                                                                                          </w:rPr>
                                                                                                                                                                                                                                                                                                          <w:instrText>َي</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ف</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نقاط</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وضع</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أجل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الصحية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املراكز</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طائفة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عىل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وطبقوه</w:instrText>
                                                                                                                                                                                                                                                                                                                              </w:r>
                                                                                                                                                                                                                                                                                                                              <w:r w:rsidRPr="006B2FC7">
                                                                                                                                                                                                                                                                                                                                <w:rPr>
                                                                                                                                                                                                                                                                                                                                  <w:rFonts w:ascii="Arial" w:hAnsi="Arial" w:cs="Arial"/>
                                                                                                                                                                                                                                                                                                                                  <w:sz w:val="24"/>
                                                                                                                                                                                                                                                                                                                                  <w:szCs w:val="24"/>
                                                                                                                                                                                                                                                                                                                                  <w:rtl/>
                                                                                                                                                                                                                                                                                                                                </w:rPr>
                                                                                                                                                                                                                                                                                                                                <w:instrText>‬ ،</w:instrText>
                                                                                                                                                                                                                                                                                                                              </w:r>
                                                                                                                                                                                                                                                                                                                              <w:dir w:val="rtl">
                                                                                                                                                                                                                                                                                                                                <w:r w:rsidRPr="006B2FC7">
                                                                                                                                                                                                                                                                                                                                  <w:rPr>
                                                                                                                                                                                                                                                                                                                                    <w:rFonts w:ascii="Arial" w:hAnsi="Arial" w:cs="Arial"/>
                                                                                                                                                                                                                                                                                                                                    <w:sz w:val="24"/>
                                                                                                                                                                                                                                                                                                                                    <w:szCs w:val="24"/>
                                                                                                                                                                                                                                                                                                                                    <w:rtl/>
                                                                                                                                                                                                                                                                                                                                  </w:rPr>
                                                                                                                                                                                                                                                                                                                                  <w:instrText>باملرفق</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اخلاصة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لألدوية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الرشيد</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لالستخدام</w:instrText>
                                                                                                                                                                                                                                                                                                                                        </w:r>
                                                                                                                                                                                                                                                                                                                                        <w:r w:rsidRPr="006B2FC7">
                                                                                                                                                                                                                                                                                                                                          <w:rPr>
                                                                                                                                                                                                                                                                                                                                            <w:rFonts w:ascii="Arial" w:hAnsi="Arial" w:cs="Arial"/>
                                                                                                                                                                                                                                                                                                                                            <w:sz w:val="24"/>
                                                                                                                                                                                                                                                                                                                                            <w:szCs w:val="24"/>
                                                                                                                                                                                                                                                                                                                                            <w:rtl/>
                                                                                                                                                                                                                                                                                                                                          </w:rPr>
                                                                                                                                                                                                                                                                                                                                          <w:instrText>‬</w:instrText>
                                                                                                                                                                                                                                                                                                                                        </w:r>
                                                                                                                                                                                                                                                                                                                                        <w:r w:rsidRPr="006B2FC7">
                                                                                                                                                                                                                                                                                                                                          <w:rPr>
                                                                                                                                                                                                                                                                                                                                            <w:rFonts w:ascii="Arial" w:hAnsi="Arial" w:cs="Arial"/>
                                                                                                                                                                                                                                                                                                                                            <w:sz w:val="24"/>
                                                                                                                                                                                                                                                                                                                                            <w:szCs w:val="24"/>
                                                                                                                                                                                                                                                                                                                                          </w:rPr>
                                                                                                                                                                                                                                                                                                                                          <w:instrText xml:space="preserve"> </w:instrText>
                                                                                                                                                                                                                                                                                                                                        </w:r>
                                                                                                                                                                                                                                                                                                                                        <w:dir w:val="rtl">
                                                                                                                                                                                                                                                                                                                                          <w:r w:rsidRPr="006B2FC7">
                                                                                                                                                                                                                                                                                                                                            <w:rPr>
                                                                                                                                                                                                                                                                                                                                              <w:rFonts w:ascii="Arial" w:hAnsi="Arial" w:cs="Arial"/>
                                                                                                                                                                                                                                                                                                                                              <w:sz w:val="24"/>
                                                                                                                                                                                                                                                                                                                                              <w:szCs w:val="24"/>
                                                                                                                                                                                                                                                                                                                                              <w:rtl/>
                                                                                                                                                                                                                                                                                                                                            </w:rPr>
                                                                                                                                                                                                                                                                                                                                            <w:instrText>اإلمجايل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ْسب</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ن</w:instrText>
                                                                                                                                                                                                                                                                                                                                              </w:r>
                                                                                                                                                                                                                                                                                                                                              <w:r w:rsidRPr="006B2FC7">
                                                                                                                                                                                                                                                                                                                                                <w:rPr>
                                                                                                                                                                                                                                                                                                                                                  <w:rFonts w:ascii="Arial" w:hAnsi="Arial" w:cs="Arial"/>
                                                                                                                                                                                                                                                                                                                                                  <w:sz w:val="24"/>
                                                                                                                                                                                                                                                                                                                                                  <w:szCs w:val="24"/>
                                                                                                                                                                                                                                                                                                                                                  <w:rtl/>
                                                                                                                                                                                                                                                                                                                                                </w:rPr>
                                                                                                                                                                                                                                                                                                                                                <w:instrText xml:space="preserve">‬ َ </w:instrText>
                                                                                                                                                                                                                                                                                                                                              </w:r>
                                                                                                                                                                                                                                                                                                                                              <w:dir w:val="rtl">
                                                                                                                                                                                                                                                                                                                                                <w:r w:rsidRPr="006B2FC7">
                                                                                                                                                                                                                                                                                                                                                  <w:rPr>
                                                                                                                                                                                                                                                                                                                                                    <w:rFonts w:ascii="Arial" w:hAnsi="Arial" w:cs="Arial"/>
                                                                                                                                                                                                                                                                                                                                                    <w:sz w:val="24"/>
                                                                                                                                                                                                                                                                                                                                                    <w:szCs w:val="24"/>
                                                                                                                                                                                                                                                                                                                                                    <w:rtl/>
                                                                                                                                                                                                                                                                                                                                                  </w:rPr>
                                                                                                                                                                                                                                                                                                                                                  <w:instrText>الـم</w:instrText>
                                                                                                                                                                                                                                                                                                                                                </w:r>
                                                                                                                                                                                                                                                                                                                                                <w:r w:rsidRPr="006B2FC7">
                                                                                                                                                                                                                                                                                                                                                  <w:rPr>
                                                                                                                                                                                                                                                                                                                                                    <w:rFonts w:ascii="Arial" w:hAnsi="Arial" w:cs="Arial"/>
                                                                                                                                                                                                                                                                                                                                                    <w:sz w:val="24"/>
                                                                                                                                                                                                                                                                                                                                                    <w:szCs w:val="24"/>
                                                                                                                                                                                                                                                                                                                                                    <w:rtl/>
                                                                                                                                                                                                                                                                                                                                                  </w:rPr>
                                                                                                                                                                                                                                                                                                                                                  <w:instrText>‬</w:instrText>
                                                                                                                                                                                                                                                                                                                                                </w:r>
                                                                                                                                                                                                                                                                                                                                                <w:r w:rsidRPr="006B2FC7">
                                                                                                                                                                                                                                                                                                                                                  <w:rPr>
                                                                                                                                                                                                                                                                                                                                                    <w:rFonts w:ascii="Arial" w:hAnsi="Arial" w:cs="Arial"/>
                                                                                                                                                                                                                                                                                                                                                    <w:sz w:val="24"/>
                                                                                                                                                                                                                                                                                                                                                    <w:szCs w:val="24"/>
                                                                                                                                                                                                                                                                                                                                                  </w:rPr>
                                                                                                                                                                                                                                                                                                                                                  <w:instrText xml:space="preserve">","author":[{"dropping-particle":"El","family":"Mahalli","given":"A A","non-dropping-particle":"","parse-names":false,"suffix":""},{"dropping-particle":"","family":"Akl","given":"O A M","non-dropping-particle":"","parse-names":false,"suffix":""},{"dropping-particle":"","family":"Al-Dawood","given":"S F","non-dropping-particle":"","parse-names":false,"suffix":""},{"dropping-particle":"","family":"Al-Nehab","given":"A A","non-dropping-particle":"","parse-names":false,"suffix":""},{"dropping-particle":"","family":"Al-Kubaish","given":"H A","non-dropping-particle":"","parse-names":false,"suffix":""},{"dropping-particle":"","family":"Al-Saeed","given":"S I","non-dropping-particle":"","parse-names":false,"suffix":""},{"dropping-particle":"","family":"Elkahky","given":"A A A","non-dropping-particle":"","parse-names":false,"suffix":""},{"dropping-particle":"","family":"Salem","given":"A M A A","non-dropping-particle":"","parse-names":false,"suffix":""}],"id":"ITEM-1","issue":"11","issued":{"date-parts":[["2012"]]},"title":"WHO/INRUD patient care and facility-specific drug use indicators at primary health care centres in Eastern province, Saudi Arabia </w:instrText>
                                                                                                                                                                                                                                                                                                                                                </w:r>
                                                                                                                                                                                                                                                                                                                                                <w:dir w:val="rtl">
                                                                                                                                                                                                                                                                                                                                                  <w:r w:rsidRPr="006B2FC7">
                                                                                                                                                                                                                                                                                                                                                    <w:rPr>
                                                                                                                                                                                                                                                                                                                                                      <w:rFonts w:ascii="Arial" w:hAnsi="Arial" w:cs="Arial"/>
                                                                                                                                                                                                                                                                                                                                                      <w:sz w:val="24"/>
                                                                                                                                                                                                                                                                                                                                                      <w:szCs w:val="24"/>
                                                                                                                                                                                                                                                                                                                                                      <w:rtl/>
                                                                                                                                                                                                                                                                                                                                                    </w:rPr>
                                                                                                                                                                                                                                                                                                                                                    <w:instrText>يف</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املرىض</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رعاية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أجل</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من</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العاملية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الصحة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لألدوية/منظمة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الرشيد</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لالستخدام</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الدولية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الشبكة</w:instrText>
                                                                                                                                                                                                                                                                                                                                                                        </w:r>
                                                                                                                                                                                                                                                                                                                                                                        <w:r w:rsidRPr="006B2FC7">
                                                                                                                                                                                                                                                                                                                                                                          <w:rPr>
                                                                                                                                                                                                                                                                                                                                                                            <w:rFonts w:ascii="Arial" w:hAnsi="Arial" w:cs="Arial"/>
                                                                                                                                                                                                                                                                                                                                                                            <w:sz w:val="24"/>
                                                                                                                                                                                                                                                                                                                                                                            <w:szCs w:val="24"/>
                                                                                                                                                                                                                                                                                                                                                                            <w:rtl/>
                                                                                                                                                                                                                                                                                                                                                                          </w:rPr>
                                                                                                                                                                                                                                                                                                                                                                          <w:instrText xml:space="preserve">‬ </w:instrText>
                                                                                                                                                                                                                                                                                                                                                                        </w:r>
                                                                                                                                                                                                                                                                                                                                                                        <w:dir w:val="rtl">
                                                                                                                                                                                                                                                                                                                                                                          <w:r w:rsidRPr="006B2FC7">
                                                                                                                                                                                                                                                                                                                                                                            <w:rPr>
                                                                                                                                                                                                                                                                                                                                                                              <w:rFonts w:ascii="Arial" w:hAnsi="Arial" w:cs="Arial"/>
                                                                                                                                                                                                                                                                                                                                                                              <w:sz w:val="24"/>
                                                                                                                                                                                                                                                                                                                                                                              <w:szCs w:val="24"/>
                                                                                                                                                                                                                                                                                                                                                                              <w:rtl/>
                                                                                                                                                                                                                                                                                                                                                                            </w:rPr>
                                                                                                                                                                                                                                                                                                                                                                            <w:instrText>ملؤرشات</w:instrText>
                                                                                                                                                                                                                                                                                                                                                                          </w:r>
                                                                                                                                                                                                                                                                                                                                                                          <w:r w:rsidRPr="006B2FC7">
                                                                                                                                                                                                                                                                                                                                                                            <w:rPr>
                                                                                                                                                                                                                                                                                                                                                                              <w:rFonts w:ascii="Arial" w:hAnsi="Arial" w:cs="Arial"/>
                                                                                                                                                                                                                                                                                                                                                                              <w:sz w:val="24"/>
                                                                                                                                                                                                                                                                                                                                                                              <w:szCs w:val="24"/>
                                                                                                                                                                                                                                                                                                                                                                              <w:rtl/>
                                                                                                                                                                                                                                                                                                                                                                            </w:rPr>
                                                                                                                                                                                                                                                                                                                                                                            <w:instrText xml:space="preserve">‬ ً </w:instrText>
                                                                                                                                                                                                                                                                                                                                                                          </w:r>
                                                                                                                                                                                                                                                                                                                                                                          <w:dir w:val="rtl">
                                                                                                                                                                                                                                                                                                                                                                            <w:r w:rsidRPr="006B2FC7">
                                                                                                                                                                                                                                                                                                                                                                              <w:rPr>
                                                                                                                                                                                                                                                                                                                                                                                <w:rFonts w:ascii="Arial" w:hAnsi="Arial" w:cs="Arial"/>
                                                                                                                                                                                                                                                                                                                                                                                <w:sz w:val="24"/>
                                                                                                                                                                                                                                                                                                                                                                                <w:szCs w:val="24"/>
                                                                                                                                                                                                                                                                                                                                                                                <w:rtl/>
                                                                                                                                                                                                                                                                                                                                                                              </w:rPr>
                                                                                                                                                                                                                                                                                                                                                                              <w:instrText>وفقا","</w:instrText>
                                                                                                                                                                                                                                                                                                                                                                            </w:r>
                                                                                                                                                                                                                                                                                                                                                                            <w:r w:rsidRPr="006B2FC7">
                                                                                                                                                                                                                                                                                                                                                                              <w:rPr>
                                                                                                                                                                                                                                                                                                                                                                                <w:rFonts w:ascii="Arial" w:hAnsi="Arial" w:cs="Arial"/>
                                                                                                                                                                                                                                                                                                                                                                                <w:sz w:val="24"/>
                                                                                                                                                                                                                                                                                                                                                                                <w:szCs w:val="24"/>
                                                                                                                                                                                                                                                                                                                                                                              </w:rPr>
                                                                                                                                                                                                                                                                                                                                                                              <w:instrText>type":"article-journal","volume":"18"},"uris":["http://www.mendeley.com/documents/?uuid=8ee94b2d-fae3-4f9f-8b9c-a1fc845e44eb"]}],"mendeley":{"formattedCitation":"(Mahalli &lt;i&gt;et al.&lt;/i&gt;, 2012)","manualFormatting</w:instrText>
                                                                                                                                                                                                                                                                                                                                                                            </w:r>
                                                                                                                                                                                                                                                                                                                                                                            <w:r w:rsidRPr="006B2FC7">
                                                                                                                                                                                                                                                                                                                                                                              <w:rPr>
                                                                                                                                                                                                                                                                                                                                                                                <w:rFonts w:ascii="Arial" w:hAnsi="Arial" w:cs="Arial"/>
                                                                                                                                                                                                                                                                                                                                                                                <w:sz w:val="24"/>
                                                                                                                                                                                                                                                                                                                                                                                <w:szCs w:val="24"/>
                                                                                                                                                                                                                                                                                                                                                                                <w:rtl/>
                                                                                                                                                                                                                                                                                                                                                                              </w:rPr>
                                                                                                                                                                                                                                                                                                                                                                              <w:instrText>":"</w:instrText>
                                                                                                                                                                                                                                                                                                                                                                            </w:r>
                                                                                                                                                                                                                                                                                                                                                                            <w:r w:rsidRPr="006B2FC7">
                                                                                                                                                                                                                                                                                                                                                                              <w:rPr>
                                                                                                                                                                                                                                                                                                                                                                                <w:rFonts w:ascii="Arial" w:hAnsi="Arial" w:cs="Arial"/>
                                                                                                                                                                                                                                                                                                                                                                                <w:sz w:val="24"/>
                                                                                                                                                                                                                                                                                                                                                                                <w:szCs w:val="24"/>
                                                                                                                                                                                                                                                                                                                                                                              </w:rPr>
                                                                                                                                                                                                                                                                                                                                                                              <w:instrText>Mahalli et al., (2012)","plainTextFormattedCitation":"(Mahalli et al., 2012)","previouslyFormattedCitation":"(Mahalli &lt;i&gt;et al.&lt;/i&gt;, 2012)"},"properties":{"noteIndex":0},"schema":"https://github.com/citation-style-language/schema/raw/master/csl-citation.json"}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 xml:space="preserve">Mahalli </w:t>
                                                                                                                                                                                                                                                                                                                                                                            </w:r>
                                                                                                                                                                                                                                                                                                                                                                            <w:r w:rsidRPr="006B2FC7">
                                                                                                                                                                                                                                                                                                                                                                              <w:rPr>
                                                                                                                                                                                                                                                                                                                                                                                <w:rFonts w:ascii="Arial" w:hAnsi="Arial" w:cs="Arial"/>
                                                                                                                                                                                                                                                                                                                                                                                <w:i/>
                                                                                                                                                                                                                                                                                                                                                                                <w:noProof/>
                                                                                                                                                                                                                                                                                                                                                                                <w:sz w:val="24"/>
                                                                                                                                                                                                                                                                                                                                                                                <w:szCs w:val="24"/>
                                                                                                                                                                                                                                                                                                                                                                              </w:rPr>
                                                                                                                                                                                                                                                                                                                                                                              <w:t>et al.</w:t>
                                                                                                                                                                                                                                                                                                                                                                            </w:r>
                                                                                                                                                                                                                                                                                                                                                                            <w:r w:rsidRPr="006B2FC7">
                                                                                                                                                                                                                                                                                                                                                                              <w:rPr>
                                                                                                                                                                                                                                                                                                                                                                                <w:rFonts w:ascii="Arial" w:hAnsi="Arial" w:cs="Arial"/>
                                                                                                                                                                                                                                                                                                                                                                                <w:noProof/>
                                                                                                                                                                                                                                                                                                                                                                                <w:sz w:val="24"/>
                                                                                                                                                                                                                                                                                                                                                                                <w:szCs w:val="24"/>
                                                                                                                                                                                                                                                                                                                                                                              </w:rPr>
                                                                                                                                                                                                                                                                                                                                                                              <w:t>, (2012)</w:t>
                                                                                                                                                                                                                                                                                                                                                                            </w:r>
                                                                                                                                                                                                                                                                                                                                                                            <w:r w:rsidRPr="006B2FC7">
                                                                                                                                                                                                                                                                                                                                                                              <w:rPr>
                                                                                                                                                                                                                                                                                                                                                                                <w:rFonts w:ascii="Arial" w:hAnsi="Arial" w:cs="Arial"/>
                                                                                                                                                                                                                                                                                                                                                                                <w:sz w:val="24"/>
                                                                                                                                                                                                                                                                                                                                                                                <w:szCs w:val="24"/>
                                                                                                                                                                                                                                                                                                                                                                              </w:rPr>
                                                                                                                                                                                                                                                                                                                                                                              <w:fldChar w:fldCharType="end"/>
                                                                                                                                                                                                                                                                                                                                                                            </w:r>
                                                                                                                                                                                                                                                                                                                                                                            <w:r w:rsidRPr="006B2FC7">
                                                                                                                                                                                                                                                                                                                                                                              <w:rPr>
                                                                                                                                                                                                                                                                                                                                                                                <w:rFonts w:ascii="Arial" w:hAnsi="Arial" w:cs="Arial"/>
                                                                                                                                                                                                                                                                                                                                                                                <w:sz w:val="24"/>
                                                                                                                                                                                                                                                                                                                                                                                <w:szCs w:val="24"/>
                                                                                                                                                                                                                                                                                                                                                                              </w:rPr>
                                                                                                                                                                                                                                                                                                                                                                              <w:t xml:space="preserve"> sampled </w:t>
                                                                                                                                                                                                                                                                                                                                                                            </w:r>
                                                                                                                                                                                                                                                                                                                                                                            <w:r>
                                                                                                                                                                                                                                                                                                                                                                              <w:rPr>
                                                                                                                                                                                                                                                                                                                                                                                <w:rFonts w:ascii="Arial" w:hAnsi="Arial" w:cs="Arial"/>
                                                                                                                                                                                                                                                                                                                                                                                <w:sz w:val="24"/>
                                                                                                                                                                                                                                                                                                                                                                                <w:szCs w:val="24"/>
                                                                                                                                                                                                                                                                                                                                                                              </w:rPr>
                                                                                                                                                                                                                                                                                                                                                                              <w:t>PHCs</w:t>
                                                                                                                                                                                                                                                                                                                                                                            </w:r>
                                                                                                                                                                                                                                                                                                                                                                            <w:r w:rsidRPr="006B2FC7">
                                                                                                                                                                                                                                                                                                                                                                              <w:rPr>
                                                                                                                                                                                                                                                                                                                                                                                <w:rFonts w:ascii="Arial" w:hAnsi="Arial" w:cs="Arial"/>
                                                                                                                                                                                                                                                                                                                                                                                <w:sz w:val="24"/>
                                                                                                                                                                                                                                                                                                                                                                                <w:szCs w:val="24"/>
                                                                                                                                                                                                                                                                                                                                                                              </w:rPr>
                                                                                                                                                                                                                                                                                                                                                                              <w:t xml:space="preserve"> in the Eastern province only.</w:t>
                                                                                                                                                                                                                                                                                                                                                                            </w:r>
                                                                                                                                                                                                                                                                                                                                                                            <w:r>
                                                                                                                                                                                                                                                                                                                                                                              <w:rPr>
                                                                                                                                                                                                                                                                                                                                                                                <w:rFonts w:ascii="Arial" w:hAnsi="Arial" w:cs="Arial"/>
                                                                                                                                                                                                                                                                                                                                                                                <w:sz w:val="24"/>
                                                                                                                                                                                                                                                                                                                                                                                <w:szCs w:val="24"/>
                                                                                                                                                                                                                                                                                                                                                                              </w:rPr>
                                                                                                                                                                                                                                                                                                                                                                              <w:t xml:space="preserve"> </w:t>
                                                                                                                                                                                                                                                                                                                                                                            </w:r>
                                                                                                                                                                                                                                                                                                                                                                            <w:r w:rsidRPr="001E14EA">
                                                                                                                                                                                                                                                                                                                                                                              <w:rPr>
                                                                                                                                                                                                                                                                                                                                                                                <w:rFonts w:ascii="Arial" w:hAnsi="Arial" w:cs="Arial"/>
                                                                                                                                                                                                                                                                                                                                                                                <w:sz w:val="24"/>
                                                                                                                                                                                                                                                                                                                                                                                <w:szCs w:val="24"/>
                                                                                                                                                                                                                                                                                                                                                                              </w:rPr>
                                                                                                                                                                                                                                                                                                                                                                              <w:t xml:space="preserve">A decision was made to similarly target a specific geographical area and use the Eastern province due to the researcher's familiarity with the setting. Another reason to choose one geographical area is that it is usually employed in national surveys where it is uneconomic to include the entire population across the country </w:t>
                                                                                                                                                                                                                                                                                                                                                                            </w:r>
                                                                                                                                                                                                                                                                                                                                                                            <w:r w:rsidRPr="001E14EA">
                                                                                                                                                                                                                                                                                                                                                                              <w:rPr>
                                                                                                                                                                                                                                                                                                                                                                                <w:rFonts w:ascii="Arial" w:hAnsi="Arial" w:cs="Arial"/>
                                                                                                                                                                                                                                                                                                                                                                                <w:sz w:val="24"/>
                                                                                                                                                                                                                                                                                                                                                                                <w:szCs w:val="24"/>
                                                                                                                                                                                                                                                                                                                                                                              </w:rPr>
                                                                                                                                                                                                                                                                                                                                                                              <w:fldChar w:fldCharType="begin" w:fldLock="1"/>
                                                                                                                                                                                                                                                                                                                                                                            </w:r>
                                                                                                                                                                                                                                                                                                                                                                            <w:r w:rsidRPr="001E14EA">
                                                                                                                                                                                                                                                                                                                                                                              <w:rPr>
                                                                                                                                                                                                                                                                                                                                                                                <w:rFonts w:ascii="Arial" w:hAnsi="Arial" w:cs="Arial"/>
                                                                                                                                                                                                                                                                                                                                                                                <w:sz w:val="24"/>
                                                                                                                                                                                                                                                                                                                                                                                <w:szCs w:val="24"/>
                                                                                                                                                                                                                                                                                                                                                                              </w:rPr>
                                                                                                                                                                                                                                                                                                                                                                              <w:instrText>ADDIN CSL_CITATION {"citationItems":[{"id":"ITEM-1","itemData":{"URL":"https://www.healthknowledge.org.uk/public-health-textbook/research-methods/1a-epidemiology/methods-of-sampling-population","accessed":{"date-parts":[["2020","4","29"]]},"id":"ITEM-1","issued":{"date-parts":[["0"]]},"title":"Methods of sampling from a population | Health Knowledge","type":"webpage"},"uris":["http://www.mendeley.com/documents/?uuid=9a54caba-e0f0-387d-b5fc-0aa73056c1b9"]}],"mendeley":{"formattedCitation":"(&lt;i&gt;Methods of sampling from a population | Health Knowledge&lt;/i&gt;, no date)","manualFormatting":" (Health Knowledge, 2020)","plainTextFormattedCitation":"(Methods of sampling from a population | Health Knowledge, no date)","previouslyFormattedCitation":"(&lt;i&gt;Methods of sampling from a population | Health Knowledge&lt;/i&gt;, no date)"},"properties":{"noteIndex":0},"schema":"https://github.com/citation-style-language/schema/raw/master/csl-citation.json"}</w:instrText>
                                                                                                                                                                                                                                                                                                                                                                            </w:r>
                                                                                                                                                                                                                                                                                                                                                                            <w:r w:rsidRPr="001E14EA">
                                                                                                                                                                                                                                                                                                                                                                              <w:rPr>
                                                                                                                                                                                                                                                                                                                                                                                <w:rFonts w:ascii="Arial" w:hAnsi="Arial" w:cs="Arial"/>
                                                                                                                                                                                                                                                                                                                                                                                <w:sz w:val="24"/>
                                                                                                                                                                                                                                                                                                                                                                                <w:szCs w:val="24"/>
                                                                                                                                                                                                                                                                                                                                                                              </w:rPr>
                                                                                                                                                                                                                                                                                                                                                                              <w:fldChar w:fldCharType="separate"/>
                                                                                                                                                                                                                                                                                                                                                                            </w:r>
                                                                                                                                                                                                                                                                                                                                                                            <w:r w:rsidRPr="001E14EA">
                                                                                                                                                                                                                                                                                                                                                                              <w:rPr>
                                                                                                                                                                                                                                                                                                                                                                                <w:rFonts w:ascii="Arial" w:hAnsi="Arial" w:cs="Arial"/>
                                                                                                                                                                                                                                                                                                                                                                                <w:noProof/>
                                                                                                                                                                                                                                                                                                                                                                                <w:sz w:val="24"/>
                                                                                                                                                                                                                                                                                                                                                                                <w:szCs w:val="24"/>
                                                                                                                                                                                                                                                                                                                                                                              </w:rPr>
                                                                                                                                                                                                                                                                                                                                                                              <w:t xml:space="preserve"> (Health Knowledge, 2020)</w:t>
                                                                                                                                                                                                                                                                                                                                                                            </w:r>
                                                                                                                                                                                                                                                                                                                                                                            <w:r w:rsidRPr="001E14EA">
                                                                                                                                                                                                                                                                                                                                                                              <w:rPr>
                                                                                                                                                                                                                                                                                                                                                                                <w:rFonts w:ascii="Arial" w:hAnsi="Arial" w:cs="Arial"/>
                                                                                                                                                                                                                                                                                                                                                                                <w:sz w:val="24"/>
                                                                                                                                                                                                                                                                                                                                                                                <w:szCs w:val="24"/>
                                                                                                                                                                                                                                                                                                                                                                              </w:rPr>
                                                                                                                                                                                                                                                                                                                                                                              <w:fldChar w:fldCharType="end"/>
                                                                                                                                                                                                                                                                                                                                                                            </w:r>
                                                                                                                                                                                                                                                                                                                                                                            <w:r w:rsidRPr="001E14EA">
                                                                                                                                                                                                                                                                                                                                                                              <w:rPr>
                                                                                                                                                                                                                                                                                                                                                                                <w:rFonts w:ascii="Arial" w:hAnsi="Arial" w:cs="Arial"/>
                                                                                                                                                                                                                                                                                                                                                                                <w:sz w:val="24"/>
                                                                                                                                                                                                                                                                                                                                                                                <w:szCs w:val="24"/>
                                                                                                                                                                                                                                                                                                                                                                              </w:rPr>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7130C0"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002E496F"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07148C"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00282204"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00C33F72"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EB73BE"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8C65B1"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B605F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008010BA"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2C081E"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00452654"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00B03A79"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rsidRPr="001E14EA">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r w:rsidR="00000000">
                                                                                                                                                                                                                                                                                                                                                                              <w:t>‬</w:t>
                                                                                                                                                                                                                                                                                                                                                                            </w: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p>
    <w:p w14:paraId="3D945227" w14:textId="61846506" w:rsidR="00EB7F85" w:rsidRPr="00ED6712" w:rsidRDefault="00EB7F85" w:rsidP="00EB7F85">
      <w:pPr>
        <w:spacing w:line="360" w:lineRule="auto"/>
        <w:jc w:val="both"/>
        <w:rPr>
          <w:rFonts w:ascii="Arial" w:hAnsi="Arial" w:cs="Arial"/>
          <w:i/>
          <w:noProof/>
          <w:sz w:val="24"/>
          <w:szCs w:val="24"/>
        </w:rPr>
      </w:pPr>
      <w:r w:rsidRPr="001E14EA">
        <w:rPr>
          <w:rFonts w:ascii="Arial" w:hAnsi="Arial" w:cs="Arial"/>
          <w:sz w:val="24"/>
          <w:szCs w:val="24"/>
        </w:rPr>
        <w:t xml:space="preserve">There are several other reasons for choosing the Eastern province as a setting to conduct this research: </w:t>
      </w:r>
      <w:r w:rsidRPr="006B2FC7">
        <w:rPr>
          <w:rFonts w:ascii="Arial" w:hAnsi="Arial" w:cs="Arial"/>
          <w:sz w:val="24"/>
          <w:szCs w:val="24"/>
        </w:rPr>
        <w:t>first, the Eastern province is the largest province in</w:t>
      </w:r>
      <w:r>
        <w:rPr>
          <w:rFonts w:ascii="Arial" w:hAnsi="Arial" w:cs="Arial"/>
          <w:sz w:val="24"/>
          <w:szCs w:val="24"/>
        </w:rPr>
        <w:t xml:space="preserve"> SA</w:t>
      </w:r>
      <w:r w:rsidRPr="006B2FC7">
        <w:rPr>
          <w:rFonts w:ascii="Arial" w:hAnsi="Arial" w:cs="Arial"/>
          <w:sz w:val="24"/>
          <w:szCs w:val="24"/>
        </w:rPr>
        <w:t xml:space="preserve"> with more than 36% of Saudi Arabia’s total area; it had a population of 4.9 million in 2017. It is the third most populous province in </w:t>
      </w:r>
      <w:r>
        <w:rPr>
          <w:rFonts w:ascii="Arial" w:hAnsi="Arial" w:cs="Arial"/>
          <w:sz w:val="24"/>
          <w:szCs w:val="24"/>
        </w:rPr>
        <w:t>SA</w:t>
      </w:r>
      <w:r w:rsidRPr="006B2FC7">
        <w:rPr>
          <w:rFonts w:ascii="Arial" w:hAnsi="Arial" w:cs="Arial"/>
          <w:sz w:val="24"/>
          <w:szCs w:val="24"/>
        </w:rPr>
        <w:t>, after Riyadh (in the middle region) and Makkah (in the Western region). It includes ten districts; and the largest towns (Dammam, Al-Khobar, Dhahran, Al-Qatif, Ras Tanura, Al -Jubial, and Al-Hasa)</w:t>
      </w:r>
      <w:r w:rsidRPr="006B2FC7">
        <w:rPr>
          <w:rFonts w:ascii="Arial" w:hAnsi="Arial" w:cs="Arial"/>
        </w:rPr>
        <w:t xml:space="preserve"> </w:t>
      </w:r>
      <w:r w:rsidRPr="00ED6712">
        <w:rPr>
          <w:rFonts w:ascii="Arial" w:hAnsi="Arial" w:cs="Arial"/>
          <w:sz w:val="24"/>
          <w:szCs w:val="24"/>
        </w:rPr>
        <w:fldChar w:fldCharType="begin" w:fldLock="1"/>
      </w:r>
      <w:r w:rsidRPr="00ED6712">
        <w:rPr>
          <w:rFonts w:ascii="Arial" w:hAnsi="Arial" w:cs="Arial"/>
          <w:sz w:val="24"/>
          <w:szCs w:val="24"/>
        </w:rPr>
        <w:instrText>ADDIN CSL_CITATION {"citationItems":[{"id":"ITEM-1","itemData":{"URL":"https://en.wikipedia.org/wiki/Eastern_Province,_Saudi_Arabia#cite_note-:0-2","accessed":{"date-parts":[["2020","5","31"]]},"id":"ITEM-1","issued":{"date-parts":[["0"]]},"title":"Eastern Province, Saudi Arabia - Wikipedia","type":"webpage"},"uris":["http://www.mendeley.com/documents/?uuid=d2d950f6-c7ca-37a7-8a2a-579c37ad386b"]}],"mendeley":{"formattedCitation":"(&lt;i&gt;Eastern Province, Saudi Arabia - Wikipedia&lt;/i&gt;, no date)","manualFormatting":"(Eastern Province, Saudi Arabia - Wikipedia, 2020)","plainTextFormattedCitation":"(Eastern Province, Saudi Arabia - Wikipedia, no date)","previouslyFormattedCitation":"(&lt;i&gt;Eastern Province, Saudi Arabia - Wikipedia&lt;/i&gt;, no date)"},"properties":{"noteIndex":0},"schema":"https://github.com/citation-style-language/schema/raw/master/csl-citation.json"}</w:instrText>
      </w:r>
      <w:r w:rsidRPr="00ED6712">
        <w:rPr>
          <w:rFonts w:ascii="Arial" w:hAnsi="Arial" w:cs="Arial"/>
          <w:sz w:val="24"/>
          <w:szCs w:val="24"/>
        </w:rPr>
        <w:fldChar w:fldCharType="separate"/>
      </w:r>
      <w:r w:rsidRPr="00ED6712">
        <w:rPr>
          <w:rFonts w:ascii="Arial" w:hAnsi="Arial" w:cs="Arial"/>
          <w:noProof/>
          <w:sz w:val="24"/>
          <w:szCs w:val="24"/>
        </w:rPr>
        <w:t>(</w:t>
      </w:r>
      <w:r w:rsidRPr="00ED6712">
        <w:rPr>
          <w:rFonts w:ascii="Arial" w:hAnsi="Arial" w:cs="Arial"/>
          <w:i/>
          <w:noProof/>
          <w:sz w:val="24"/>
          <w:szCs w:val="24"/>
        </w:rPr>
        <w:t>Eastern Province, Saudi Arabia - Wikipedia</w:t>
      </w:r>
      <w:r w:rsidRPr="00ED6712">
        <w:rPr>
          <w:rFonts w:ascii="Arial" w:hAnsi="Arial" w:cs="Arial"/>
          <w:noProof/>
          <w:sz w:val="24"/>
          <w:szCs w:val="24"/>
        </w:rPr>
        <w:t>, 2020)</w:t>
      </w:r>
      <w:r w:rsidRPr="00ED6712">
        <w:rPr>
          <w:rFonts w:ascii="Arial" w:hAnsi="Arial" w:cs="Arial"/>
          <w:sz w:val="24"/>
          <w:szCs w:val="24"/>
        </w:rPr>
        <w:fldChar w:fldCharType="end"/>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rFonts w:ascii="Arial" w:hAnsi="Arial" w:cs="Arial"/>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 xml:space="preserve">‬, </w:t>
      </w:r>
      <w:r w:rsidRPr="00ED6712">
        <w:rPr>
          <w:rFonts w:ascii="Arial" w:hAnsi="Arial" w:cs="Arial"/>
          <w:i/>
          <w:noProof/>
          <w:sz w:val="24"/>
          <w:szCs w:val="24"/>
        </w:rPr>
        <w:fldChar w:fldCharType="begin" w:fldLock="1"/>
      </w:r>
      <w:r w:rsidRPr="00ED6712">
        <w:rPr>
          <w:rFonts w:ascii="Arial" w:hAnsi="Arial" w:cs="Arial"/>
          <w:i/>
          <w:noProof/>
          <w:sz w:val="24"/>
          <w:szCs w:val="24"/>
        </w:rPr>
        <w:instrText>ADDIN CSL_CITATION {"citationItems":[{"id":"ITEM-1","itemData":{"URL":"https://www.chamber.org.sa/sites/English/AboutKingdom/AbouttheEasternRegion","accessed":{"date-parts":[["2020","5","31"]]},"id":"ITEM-1","issued":{"date-parts":[["0"]]},"title":"About the Eastern Region","type":"webpage"},"uris":["http://www.mendeley.com/documents/?uuid=8f4353e4-8eb3-3b58-9363-7c2ce84e3355"]}],"mendeley":{"formattedCitation":"(&lt;i&gt;About the Eastern Region&lt;/i&gt;, no date)","manualFormatting":"(About the Eastern Region, 2020)","plainTextFormattedCitation":"(About the Eastern Region, no date)","previouslyFormattedCitation":"(&lt;i&gt;About the Eastern Region&lt;/i&gt;, no date)"},"properties":{"noteIndex":0},"schema":"https://github.com/citation-style-language/schema/raw/master/csl-citation.json"}</w:instrText>
      </w:r>
      <w:r w:rsidRPr="00ED6712">
        <w:rPr>
          <w:rFonts w:ascii="Arial" w:hAnsi="Arial" w:cs="Arial"/>
          <w:i/>
          <w:noProof/>
          <w:sz w:val="24"/>
          <w:szCs w:val="24"/>
        </w:rPr>
        <w:fldChar w:fldCharType="separate"/>
      </w:r>
      <w:r w:rsidRPr="00ED6712">
        <w:rPr>
          <w:rFonts w:ascii="Arial" w:hAnsi="Arial" w:cs="Arial"/>
          <w:i/>
          <w:noProof/>
          <w:sz w:val="24"/>
          <w:szCs w:val="24"/>
        </w:rPr>
        <w:t>(About the Eastern Region, 2020)</w:t>
      </w:r>
      <w:r w:rsidRPr="00ED6712">
        <w:rPr>
          <w:rFonts w:ascii="Arial" w:hAnsi="Arial" w:cs="Arial"/>
          <w:i/>
          <w:noProof/>
          <w:sz w:val="24"/>
          <w:szCs w:val="24"/>
        </w:rPr>
        <w:fldChar w:fldCharType="end"/>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sidRPr="00ED6712">
        <w:rPr>
          <w:sz w:val="24"/>
          <w:szCs w:val="24"/>
        </w:rPr>
        <w:t>‬</w:t>
      </w:r>
      <w:r>
        <w:rPr>
          <w:sz w:val="24"/>
          <w:szCs w:val="24"/>
        </w:rPr>
        <w:t xml:space="preserve">.  </w:t>
      </w:r>
    </w:p>
    <w:p w14:paraId="412269E7" w14:textId="6548C042" w:rsidR="001E14EA" w:rsidRDefault="00EB7F85" w:rsidP="00B41E61">
      <w:pPr>
        <w:spacing w:line="360" w:lineRule="auto"/>
        <w:jc w:val="both"/>
        <w:rPr>
          <w:rFonts w:ascii="Arial" w:hAnsi="Arial" w:cs="Arial"/>
          <w:sz w:val="24"/>
          <w:szCs w:val="24"/>
        </w:rPr>
      </w:pPr>
      <w:r w:rsidRPr="006B2FC7">
        <w:rPr>
          <w:rFonts w:ascii="Arial" w:hAnsi="Arial" w:cs="Arial"/>
          <w:sz w:val="24"/>
          <w:szCs w:val="24"/>
        </w:rPr>
        <w:t xml:space="preserve">Another factor behind choosing the Eastern province to undertake the study is that this is the area where the researcher was working in. Since </w:t>
      </w:r>
      <w:r>
        <w:rPr>
          <w:rFonts w:ascii="Arial" w:hAnsi="Arial" w:cs="Arial"/>
          <w:sz w:val="24"/>
          <w:szCs w:val="24"/>
        </w:rPr>
        <w:t>the researcher</w:t>
      </w:r>
      <w:r w:rsidRPr="006B2FC7">
        <w:rPr>
          <w:rFonts w:ascii="Arial" w:hAnsi="Arial" w:cs="Arial"/>
          <w:sz w:val="24"/>
          <w:szCs w:val="24"/>
        </w:rPr>
        <w:t xml:space="preserve"> works in the health care administration of Al-Qatif, this could facilitate the </w:t>
      </w:r>
      <w:r w:rsidRPr="00D6625C">
        <w:rPr>
          <w:rFonts w:ascii="Arial" w:hAnsi="Arial" w:cs="Arial"/>
          <w:sz w:val="24"/>
          <w:szCs w:val="24"/>
          <w:lang w:val="en-GB"/>
        </w:rPr>
        <w:t>accessing</w:t>
      </w:r>
      <w:r w:rsidRPr="006B2FC7">
        <w:rPr>
          <w:rFonts w:ascii="Arial" w:hAnsi="Arial" w:cs="Arial"/>
          <w:sz w:val="24"/>
          <w:szCs w:val="24"/>
        </w:rPr>
        <w:t xml:space="preserve"> to the health care system, approaching the participants and contact with the gatekeepers. </w:t>
      </w:r>
      <w:r>
        <w:rPr>
          <w:rFonts w:ascii="Arial" w:hAnsi="Arial" w:cs="Arial"/>
          <w:sz w:val="24"/>
          <w:szCs w:val="24"/>
        </w:rPr>
        <w:fldChar w:fldCharType="begin" w:fldLock="1"/>
      </w:r>
      <w:r>
        <w:rPr>
          <w:rFonts w:ascii="Arial" w:hAnsi="Arial" w:cs="Arial"/>
          <w:sz w:val="24"/>
          <w:szCs w:val="24"/>
        </w:rPr>
        <w:instrText>ADDIN CSL_CITATION {"citationItems":[{"id":"ITEM-1","itemData":{"abstract":"Bryman, A. and Bell, E. (2011), Business Research Methods, 3rd ed., Oxford University Press, Oxford.","author":[{"dropping-particle":"","family":"Bryman","given":"Alan","non-dropping-particle":"","parse-names":false,"suffix":""},{"dropping-particle":"","family":"Bella","given":"E","non-dropping-particle":"","parse-names":false,"suffix":""}],"edition":"3rd","id":"ITEM-1","issued":{"date-parts":[["2011"]]},"publisher":"Oxford University Press / USA","publisher-place":"Oxford","title":"Business Research Methods","type":"book"},"uris":["http://www.mendeley.com/documents/?uuid=16f73b58-c651-4bf1-9275-3bc1a1fbf3fc"]}],"mendeley":{"formattedCitation":"(Bryman and Bella, 2011)","manualFormatting":"Bryman and Bella (2011)","plainTextFormattedCitation":"(Bryman and Bella, 2011)","previouslyFormattedCitation":"(Bryman and Bella, 2011)"},"properties":{"noteIndex":0},"schema":"https://github.com/citation-style-language/schema/raw/master/csl-citation.json"}</w:instrText>
      </w:r>
      <w:r>
        <w:rPr>
          <w:rFonts w:ascii="Arial" w:hAnsi="Arial" w:cs="Arial"/>
          <w:sz w:val="24"/>
          <w:szCs w:val="24"/>
        </w:rPr>
        <w:fldChar w:fldCharType="separate"/>
      </w:r>
      <w:r w:rsidRPr="00D30FCF">
        <w:rPr>
          <w:rFonts w:ascii="Arial" w:hAnsi="Arial" w:cs="Arial"/>
          <w:noProof/>
          <w:sz w:val="24"/>
          <w:szCs w:val="24"/>
        </w:rPr>
        <w:t>Bryman and Bella</w:t>
      </w:r>
      <w:r>
        <w:rPr>
          <w:rFonts w:ascii="Arial" w:hAnsi="Arial" w:cs="Arial"/>
          <w:noProof/>
          <w:sz w:val="24"/>
          <w:szCs w:val="24"/>
        </w:rPr>
        <w:t xml:space="preserve"> (</w:t>
      </w:r>
      <w:r w:rsidRPr="00D30FCF">
        <w:rPr>
          <w:rFonts w:ascii="Arial" w:hAnsi="Arial" w:cs="Arial"/>
          <w:noProof/>
          <w:sz w:val="24"/>
          <w:szCs w:val="24"/>
        </w:rPr>
        <w:t>2011)</w:t>
      </w:r>
      <w:r>
        <w:rPr>
          <w:rFonts w:ascii="Arial" w:hAnsi="Arial" w:cs="Arial"/>
          <w:sz w:val="24"/>
          <w:szCs w:val="24"/>
        </w:rPr>
        <w:fldChar w:fldCharType="end"/>
      </w:r>
      <w:r w:rsidRPr="006B2FC7">
        <w:rPr>
          <w:rFonts w:ascii="Arial" w:hAnsi="Arial" w:cs="Arial"/>
          <w:sz w:val="24"/>
          <w:szCs w:val="24"/>
        </w:rPr>
        <w:t xml:space="preserve"> highlighted the value of using your contact networks, including work colleagues, as the best responses would be achieved because people that you know are pleased to help </w:t>
      </w:r>
      <w:r>
        <w:rPr>
          <w:rFonts w:ascii="Arial" w:hAnsi="Arial" w:cs="Arial"/>
          <w:sz w:val="24"/>
          <w:szCs w:val="24"/>
        </w:rPr>
        <w:fldChar w:fldCharType="begin" w:fldLock="1"/>
      </w:r>
      <w:r>
        <w:rPr>
          <w:rFonts w:ascii="Arial" w:hAnsi="Arial" w:cs="Arial"/>
          <w:sz w:val="24"/>
          <w:szCs w:val="24"/>
        </w:rPr>
        <w:instrText>ADDIN CSL_CITATION {"citationItems":[{"id":"ITEM-1","itemData":{"DOI":"10.1108/MRR-02-2013-0027","ISSN":"20408269","abstract":"Purpose: This article aims to draw on experience in supervising new researchers, and the advice of other writers to offer novice researchers such as those engaged in study for a thesis, or in another small-scale research project, a pragmatic introduction to designing and using research questionnaires. Design/methodology/approach: After a brief introduction, this article is organized into three main sections: designing questionnaires, distributing questionnaires, and analysing and presenting questionnaire data. Within these sections, ten questions often asked by novice researchers are posed and answered. Findings: This article is designed to give novice researchers advice and support to help them to design good questionnaires, to maximise their response rate, and to undertake appropriate data analysis. Originality/value: Other research methods texts offer advice on questionnaire design and use, but their advice is not specifically tailored to new researchers. They tend to offer options, but provide limited guidance on making crucial decisions in questionnaire design, distribution and data analysis and presentation. © Emerald Group Publishing Limited.","author":[{"dropping-particle":"","family":"Rowley","given":"Jenny","non-dropping-particle":"","parse-names":false,"suffix":""}],"container-title":"Management Research Review","id":"ITEM-1","issue":"3","issued":{"date-parts":[["2014"]]},"page":"308-330","title":"Designing and using research questionnaires","type":"article-journal","volume":"37"},"uris":["http://www.mendeley.com/documents/?uuid=516608a8-41bf-4bf7-8883-4316ed74189f"]}],"mendeley":{"formattedCitation":"(Rowley, 2014)","plainTextFormattedCitation":"(Rowley, 2014)","previouslyFormattedCitation":"(Rowley, 2014)"},"properties":{"noteIndex":0},"schema":"https://github.com/citation-style-language/schema/raw/master/csl-citation.json"}</w:instrText>
      </w:r>
      <w:r>
        <w:rPr>
          <w:rFonts w:ascii="Arial" w:hAnsi="Arial" w:cs="Arial"/>
          <w:sz w:val="24"/>
          <w:szCs w:val="24"/>
        </w:rPr>
        <w:fldChar w:fldCharType="separate"/>
      </w:r>
      <w:r w:rsidRPr="00F65F6B">
        <w:rPr>
          <w:rFonts w:ascii="Arial" w:hAnsi="Arial" w:cs="Arial"/>
          <w:noProof/>
          <w:sz w:val="24"/>
          <w:szCs w:val="24"/>
        </w:rPr>
        <w:t>(Rowley, 2014)</w:t>
      </w:r>
      <w:r>
        <w:rPr>
          <w:rFonts w:ascii="Arial" w:hAnsi="Arial" w:cs="Arial"/>
          <w:sz w:val="24"/>
          <w:szCs w:val="24"/>
        </w:rPr>
        <w:fldChar w:fldCharType="end"/>
      </w:r>
      <w:r w:rsidRPr="006B2FC7">
        <w:rPr>
          <w:rFonts w:ascii="Arial" w:hAnsi="Arial" w:cs="Arial"/>
          <w:sz w:val="24"/>
          <w:szCs w:val="24"/>
        </w:rPr>
        <w:t>.</w:t>
      </w:r>
      <w:r>
        <w:rPr>
          <w:rFonts w:ascii="Arial" w:hAnsi="Arial" w:cs="Arial"/>
          <w:sz w:val="24"/>
          <w:szCs w:val="24"/>
        </w:rPr>
        <w:t xml:space="preserve"> </w:t>
      </w:r>
      <w:r w:rsidR="0039145E">
        <w:rPr>
          <w:rFonts w:ascii="Arial" w:hAnsi="Arial" w:cs="Arial"/>
          <w:sz w:val="24"/>
          <w:szCs w:val="24"/>
        </w:rPr>
        <w:t>As such, it is  recognised that s</w:t>
      </w:r>
      <w:r>
        <w:rPr>
          <w:rFonts w:ascii="Arial" w:hAnsi="Arial" w:cs="Arial"/>
          <w:sz w:val="24"/>
          <w:szCs w:val="24"/>
        </w:rPr>
        <w:t xml:space="preserve">electing participants based on ease to access is a </w:t>
      </w:r>
      <w:r w:rsidR="0039145E">
        <w:rPr>
          <w:rFonts w:ascii="Arial" w:hAnsi="Arial" w:cs="Arial"/>
          <w:sz w:val="24"/>
          <w:szCs w:val="24"/>
        </w:rPr>
        <w:t xml:space="preserve">form of </w:t>
      </w:r>
      <w:r>
        <w:rPr>
          <w:rFonts w:ascii="Arial" w:hAnsi="Arial" w:cs="Arial"/>
          <w:sz w:val="24"/>
          <w:szCs w:val="24"/>
        </w:rPr>
        <w:t>convenien</w:t>
      </w:r>
      <w:r w:rsidR="00943B04">
        <w:rPr>
          <w:rFonts w:ascii="Arial" w:hAnsi="Arial" w:cs="Arial"/>
          <w:sz w:val="24"/>
          <w:szCs w:val="24"/>
        </w:rPr>
        <w:t>ce</w:t>
      </w:r>
      <w:r>
        <w:rPr>
          <w:rFonts w:ascii="Arial" w:hAnsi="Arial" w:cs="Arial"/>
          <w:sz w:val="24"/>
          <w:szCs w:val="24"/>
        </w:rPr>
        <w:t xml:space="preserve"> sample. </w:t>
      </w:r>
    </w:p>
    <w:p w14:paraId="628BAE35" w14:textId="21E380C9" w:rsidR="0039145E" w:rsidRPr="007B4B30" w:rsidRDefault="0039145E" w:rsidP="007B4B30">
      <w:pPr>
        <w:spacing w:line="360" w:lineRule="auto"/>
        <w:jc w:val="both"/>
        <w:rPr>
          <w:rFonts w:asciiTheme="minorBidi" w:hAnsiTheme="minorBidi"/>
          <w:sz w:val="24"/>
          <w:szCs w:val="24"/>
        </w:rPr>
      </w:pPr>
      <w:r>
        <w:rPr>
          <w:rFonts w:ascii="Arial" w:hAnsi="Arial" w:cs="Arial"/>
          <w:sz w:val="24"/>
          <w:szCs w:val="24"/>
        </w:rPr>
        <w:t>In terms of the profile of the chosen sample.</w:t>
      </w:r>
      <w:r>
        <w:rPr>
          <w:rFonts w:ascii="Arial" w:hAnsi="Arial" w:cs="Arial"/>
          <w:noProof/>
          <w:sz w:val="24"/>
          <w:szCs w:val="24"/>
          <w:lang w:val="en-GB"/>
        </w:rPr>
        <w:t xml:space="preserve"> This</w:t>
      </w:r>
      <w:r w:rsidRPr="0087065D">
        <w:rPr>
          <w:rFonts w:ascii="Arial" w:hAnsi="Arial" w:cs="Arial"/>
          <w:noProof/>
          <w:sz w:val="24"/>
          <w:szCs w:val="24"/>
          <w:lang w:val="en-GB"/>
        </w:rPr>
        <w:t xml:space="preserve"> research </w:t>
      </w:r>
      <w:r>
        <w:rPr>
          <w:rFonts w:ascii="Arial" w:hAnsi="Arial" w:cs="Arial"/>
          <w:noProof/>
          <w:sz w:val="24"/>
          <w:szCs w:val="24"/>
          <w:lang w:val="en-GB"/>
        </w:rPr>
        <w:t xml:space="preserve">will </w:t>
      </w:r>
      <w:r w:rsidRPr="0087065D">
        <w:rPr>
          <w:rFonts w:ascii="Arial" w:hAnsi="Arial" w:cs="Arial"/>
          <w:noProof/>
          <w:sz w:val="24"/>
          <w:szCs w:val="24"/>
          <w:lang w:val="en-GB"/>
        </w:rPr>
        <w:t xml:space="preserve">target </w:t>
      </w:r>
      <w:r>
        <w:rPr>
          <w:rFonts w:ascii="Arial" w:hAnsi="Arial" w:cs="Arial"/>
          <w:noProof/>
          <w:sz w:val="24"/>
          <w:szCs w:val="24"/>
          <w:lang w:val="en-GB"/>
        </w:rPr>
        <w:t xml:space="preserve">primary HCPs </w:t>
      </w:r>
      <w:r w:rsidRPr="006B2FC7">
        <w:rPr>
          <w:rFonts w:ascii="Arial" w:hAnsi="Arial" w:cs="Arial"/>
          <w:noProof/>
          <w:sz w:val="24"/>
          <w:szCs w:val="24"/>
          <w:lang w:val="en-GB"/>
        </w:rPr>
        <w:t>(doctors, pharmacists, and nurses)</w:t>
      </w:r>
      <w:r>
        <w:rPr>
          <w:rFonts w:ascii="Arial" w:hAnsi="Arial" w:cs="Arial"/>
          <w:noProof/>
          <w:sz w:val="24"/>
          <w:szCs w:val="24"/>
          <w:lang w:val="en-GB"/>
        </w:rPr>
        <w:t xml:space="preserve"> </w:t>
      </w:r>
      <w:r w:rsidRPr="0087065D">
        <w:rPr>
          <w:rFonts w:ascii="Arial" w:hAnsi="Arial" w:cs="Arial"/>
          <w:noProof/>
          <w:sz w:val="24"/>
          <w:szCs w:val="24"/>
          <w:lang w:val="en-GB"/>
        </w:rPr>
        <w:t xml:space="preserve">working </w:t>
      </w:r>
      <w:r>
        <w:rPr>
          <w:rFonts w:ascii="Arial" w:hAnsi="Arial" w:cs="Arial"/>
          <w:noProof/>
          <w:sz w:val="24"/>
          <w:szCs w:val="24"/>
          <w:lang w:val="en-GB"/>
        </w:rPr>
        <w:t xml:space="preserve">or have worked </w:t>
      </w:r>
      <w:r w:rsidRPr="0087065D">
        <w:rPr>
          <w:rFonts w:ascii="Arial" w:hAnsi="Arial" w:cs="Arial"/>
          <w:noProof/>
          <w:sz w:val="24"/>
          <w:szCs w:val="24"/>
          <w:lang w:val="en-GB"/>
        </w:rPr>
        <w:t xml:space="preserve">in the PHCs in the first health cluster in the Eastern province of SA.  According to statistics from the Saudi </w:t>
      </w:r>
      <w:r>
        <w:rPr>
          <w:rFonts w:ascii="Arial" w:hAnsi="Arial" w:cs="Arial"/>
          <w:noProof/>
          <w:sz w:val="24"/>
          <w:szCs w:val="24"/>
          <w:lang w:val="en-GB"/>
        </w:rPr>
        <w:t>MoH</w:t>
      </w:r>
      <w:r w:rsidRPr="0087065D">
        <w:rPr>
          <w:rFonts w:ascii="Arial" w:hAnsi="Arial" w:cs="Arial"/>
          <w:noProof/>
          <w:sz w:val="24"/>
          <w:szCs w:val="24"/>
          <w:lang w:val="en-GB"/>
        </w:rPr>
        <w:t xml:space="preserve">, in 2018, the eastern region of </w:t>
      </w:r>
      <w:r>
        <w:rPr>
          <w:rFonts w:ascii="Arial" w:hAnsi="Arial" w:cs="Arial"/>
          <w:noProof/>
          <w:sz w:val="24"/>
          <w:szCs w:val="24"/>
          <w:lang w:val="en-GB"/>
        </w:rPr>
        <w:t>SA</w:t>
      </w:r>
      <w:r w:rsidRPr="0087065D">
        <w:rPr>
          <w:rFonts w:ascii="Arial" w:hAnsi="Arial" w:cs="Arial"/>
          <w:noProof/>
          <w:sz w:val="24"/>
          <w:szCs w:val="24"/>
          <w:lang w:val="en-GB"/>
        </w:rPr>
        <w:t xml:space="preserve"> had 143 PHCs, employing/staffed by 294 general physicians (G</w:t>
      </w:r>
      <w:r>
        <w:rPr>
          <w:rFonts w:ascii="Arial" w:hAnsi="Arial" w:cs="Arial"/>
          <w:noProof/>
          <w:sz w:val="24"/>
          <w:szCs w:val="24"/>
          <w:lang w:val="en-GB"/>
        </w:rPr>
        <w:t>.</w:t>
      </w:r>
      <w:r w:rsidRPr="0087065D">
        <w:rPr>
          <w:rFonts w:ascii="Arial" w:hAnsi="Arial" w:cs="Arial"/>
          <w:noProof/>
          <w:sz w:val="24"/>
          <w:szCs w:val="24"/>
          <w:lang w:val="en-GB"/>
        </w:rPr>
        <w:t>P</w:t>
      </w:r>
      <w:r>
        <w:rPr>
          <w:rFonts w:ascii="Arial" w:hAnsi="Arial" w:cs="Arial"/>
          <w:noProof/>
          <w:sz w:val="24"/>
          <w:szCs w:val="24"/>
          <w:lang w:val="en-GB"/>
        </w:rPr>
        <w:t>.</w:t>
      </w:r>
      <w:r w:rsidRPr="0087065D">
        <w:rPr>
          <w:rFonts w:ascii="Arial" w:hAnsi="Arial" w:cs="Arial"/>
          <w:noProof/>
          <w:sz w:val="24"/>
          <w:szCs w:val="24"/>
          <w:lang w:val="en-GB"/>
        </w:rPr>
        <w:t xml:space="preserve">) and 390 family medicine practitioners (in total 684 doctors); 72 pharmacists; and 2,083 nurses </w:t>
      </w:r>
      <w:r w:rsidRPr="0087065D">
        <w:rPr>
          <w:rFonts w:ascii="Arial" w:hAnsi="Arial" w:cs="Arial"/>
          <w:noProof/>
          <w:sz w:val="24"/>
          <w:szCs w:val="24"/>
          <w:lang w:val="en-GB"/>
        </w:rPr>
        <w:fldChar w:fldCharType="begin" w:fldLock="1"/>
      </w:r>
      <w:r w:rsidRPr="0087065D">
        <w:rPr>
          <w:rFonts w:ascii="Arial" w:hAnsi="Arial" w:cs="Arial"/>
          <w:noProof/>
          <w:sz w:val="24"/>
          <w:szCs w:val="24"/>
          <w:lang w:val="en-GB"/>
        </w:rPr>
        <w:instrText>ADDIN CSL_CITATION {"citationItems":[{"id":"ITEM-1","itemData":{"author":[{"dropping-particle":"","family":"Saudi Ministry of Health","given":"","non-dropping-particle":"","parse-names":false,"suffix":""}],"id":"ITEM-1","issued":{"date-parts":[["2018"]]},"title":"Statistical Book for the year 2018","type":"report"},"uris":["http://www.mendeley.com/documents/?uuid=576b6b3a-8e14-3c3c-89c2-4778a4af3a31"]}],"mendeley":{"formattedCitation":"(Saudi Ministry of Health, 2018)","plainTextFormattedCitation":"(Saudi Ministry of Health, 2018)","previouslyFormattedCitation":"(Saudi Ministry of Health, 2018)"},"properties":{"noteIndex":0},"schema":"https://github.com/citation-style-language/schema/raw/master/csl-citation.json"}</w:instrText>
      </w:r>
      <w:r w:rsidRPr="0087065D">
        <w:rPr>
          <w:rFonts w:ascii="Arial" w:hAnsi="Arial" w:cs="Arial"/>
          <w:noProof/>
          <w:sz w:val="24"/>
          <w:szCs w:val="24"/>
          <w:lang w:val="en-GB"/>
        </w:rPr>
        <w:fldChar w:fldCharType="separate"/>
      </w:r>
      <w:r w:rsidRPr="0087065D">
        <w:rPr>
          <w:rFonts w:ascii="Arial" w:hAnsi="Arial" w:cs="Arial"/>
          <w:noProof/>
          <w:sz w:val="24"/>
          <w:szCs w:val="24"/>
          <w:lang w:val="en-GB"/>
        </w:rPr>
        <w:t>(Saudi Ministry of Health, 2018)</w:t>
      </w:r>
      <w:r w:rsidRPr="0087065D">
        <w:rPr>
          <w:rFonts w:ascii="Arial" w:hAnsi="Arial" w:cs="Arial"/>
          <w:noProof/>
          <w:sz w:val="24"/>
          <w:szCs w:val="24"/>
          <w:lang w:val="en-GB"/>
        </w:rPr>
        <w:fldChar w:fldCharType="end"/>
      </w:r>
      <w:r w:rsidRPr="0087065D">
        <w:rPr>
          <w:rFonts w:ascii="Arial" w:hAnsi="Arial" w:cs="Arial"/>
          <w:noProof/>
          <w:sz w:val="24"/>
          <w:szCs w:val="24"/>
          <w:lang w:val="en-GB"/>
        </w:rPr>
        <w:t xml:space="preserve">. </w:t>
      </w:r>
      <w:r w:rsidRPr="00750700">
        <w:rPr>
          <w:rFonts w:asciiTheme="minorBidi" w:hAnsiTheme="minorBidi"/>
          <w:sz w:val="24"/>
          <w:szCs w:val="24"/>
        </w:rPr>
        <w:t>However, not all nurses were targeted in this research</w:t>
      </w:r>
      <w:r>
        <w:rPr>
          <w:rFonts w:asciiTheme="minorBidi" w:hAnsiTheme="minorBidi"/>
          <w:sz w:val="24"/>
          <w:szCs w:val="24"/>
        </w:rPr>
        <w:t>; o</w:t>
      </w:r>
      <w:r w:rsidRPr="00750700">
        <w:rPr>
          <w:rFonts w:asciiTheme="minorBidi" w:hAnsiTheme="minorBidi"/>
          <w:sz w:val="24"/>
          <w:szCs w:val="24"/>
        </w:rPr>
        <w:t>nly nurses work in non-communicable disease clinics, and their number is estimated at about 200.</w:t>
      </w:r>
      <w:r>
        <w:rPr>
          <w:rFonts w:asciiTheme="minorBidi" w:hAnsiTheme="minorBidi"/>
          <w:sz w:val="24"/>
          <w:szCs w:val="24"/>
        </w:rPr>
        <w:t xml:space="preserve">  </w:t>
      </w:r>
      <w:r>
        <w:rPr>
          <w:rFonts w:ascii="Arial" w:hAnsi="Arial" w:cs="Arial"/>
          <w:noProof/>
          <w:sz w:val="24"/>
          <w:szCs w:val="24"/>
          <w:lang w:val="en-GB"/>
        </w:rPr>
        <w:t>T</w:t>
      </w:r>
      <w:r w:rsidRPr="00B22391">
        <w:rPr>
          <w:rFonts w:ascii="Arial" w:hAnsi="Arial" w:cs="Arial"/>
          <w:noProof/>
          <w:sz w:val="24"/>
          <w:szCs w:val="24"/>
          <w:lang w:val="en-GB"/>
        </w:rPr>
        <w:t>he participants’ identification centre is the PHCs in the first health cluster in the Eastern province of SA which involves</w:t>
      </w:r>
      <w:r>
        <w:rPr>
          <w:rFonts w:ascii="Arial" w:hAnsi="Arial" w:cs="Arial"/>
          <w:noProof/>
          <w:sz w:val="24"/>
          <w:szCs w:val="24"/>
          <w:lang w:val="en-GB"/>
        </w:rPr>
        <w:t>,</w:t>
      </w:r>
      <w:r w:rsidRPr="00B22391">
        <w:rPr>
          <w:rFonts w:ascii="Arial" w:hAnsi="Arial" w:cs="Arial"/>
          <w:noProof/>
          <w:sz w:val="24"/>
          <w:szCs w:val="24"/>
          <w:lang w:val="en-GB"/>
        </w:rPr>
        <w:t xml:space="preserve"> </w:t>
      </w:r>
      <w:r>
        <w:rPr>
          <w:rFonts w:ascii="Arial" w:hAnsi="Arial" w:cs="Arial"/>
          <w:noProof/>
          <w:sz w:val="24"/>
          <w:szCs w:val="24"/>
          <w:lang w:val="en-GB"/>
        </w:rPr>
        <w:t xml:space="preserve">at the time of proposing this research, </w:t>
      </w:r>
      <w:r w:rsidRPr="00B22391">
        <w:rPr>
          <w:rFonts w:ascii="Arial" w:hAnsi="Arial" w:cs="Arial"/>
          <w:noProof/>
          <w:sz w:val="24"/>
          <w:szCs w:val="24"/>
          <w:lang w:val="en-GB"/>
        </w:rPr>
        <w:t>eight primary care sectors: Dammam, Qatif, Khobar, Safwa, Buqayaq, Jubail, Anayriyah, and Ras Tanura</w:t>
      </w:r>
      <w:r>
        <w:rPr>
          <w:rFonts w:ascii="Arial" w:hAnsi="Arial" w:cs="Arial"/>
          <w:noProof/>
          <w:sz w:val="24"/>
          <w:szCs w:val="24"/>
          <w:lang w:val="en-GB"/>
        </w:rPr>
        <w:t>,</w:t>
      </w:r>
      <w:r w:rsidRPr="00B22391">
        <w:rPr>
          <w:rFonts w:ascii="Arial" w:hAnsi="Arial" w:cs="Arial"/>
          <w:noProof/>
          <w:sz w:val="24"/>
          <w:szCs w:val="24"/>
          <w:lang w:val="en-GB"/>
        </w:rPr>
        <w:t xml:space="preserve"> </w:t>
      </w:r>
      <w:r w:rsidRPr="006B2FC7">
        <w:rPr>
          <w:rFonts w:ascii="Arial" w:hAnsi="Arial" w:cs="Arial"/>
          <w:sz w:val="24"/>
          <w:szCs w:val="24"/>
        </w:rPr>
        <w:t>and 99 individual PHCs (</w:t>
      </w:r>
      <w:r w:rsidRPr="00EE7547">
        <w:rPr>
          <w:rFonts w:ascii="Arial" w:hAnsi="Arial" w:cs="Arial"/>
          <w:sz w:val="24"/>
          <w:szCs w:val="24"/>
        </w:rPr>
        <w:t>see</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REF _Ref148517066 \h  \* MERGEFORMAT </w:instrText>
      </w:r>
      <w:r>
        <w:rPr>
          <w:rFonts w:ascii="Arial" w:hAnsi="Arial" w:cs="Arial"/>
          <w:sz w:val="24"/>
          <w:szCs w:val="24"/>
        </w:rPr>
      </w:r>
      <w:r>
        <w:rPr>
          <w:rFonts w:ascii="Arial" w:hAnsi="Arial" w:cs="Arial"/>
          <w:sz w:val="24"/>
          <w:szCs w:val="24"/>
        </w:rPr>
        <w:fldChar w:fldCharType="separate"/>
      </w:r>
      <w:r w:rsidRPr="0042308E">
        <w:rPr>
          <w:rFonts w:ascii="Arial" w:hAnsi="Arial" w:cs="Arial"/>
          <w:sz w:val="24"/>
          <w:szCs w:val="24"/>
        </w:rPr>
        <w:t>Table 7</w:t>
      </w:r>
      <w:r>
        <w:rPr>
          <w:rFonts w:ascii="Arial" w:hAnsi="Arial" w:cs="Arial"/>
          <w:sz w:val="24"/>
          <w:szCs w:val="24"/>
        </w:rPr>
        <w:fldChar w:fldCharType="end"/>
      </w:r>
      <w:r w:rsidRPr="006B2FC7">
        <w:rPr>
          <w:rFonts w:ascii="Arial" w:hAnsi="Arial" w:cs="Arial"/>
          <w:sz w:val="24"/>
          <w:szCs w:val="24"/>
        </w:rPr>
        <w:t>).</w:t>
      </w:r>
    </w:p>
    <w:p w14:paraId="76BCB70E" w14:textId="77777777" w:rsidR="00815D00" w:rsidRPr="00DE35BE" w:rsidRDefault="00815D00" w:rsidP="00815D00">
      <w:pPr>
        <w:pStyle w:val="Caption"/>
        <w:rPr>
          <w:sz w:val="22"/>
          <w:szCs w:val="22"/>
        </w:rPr>
      </w:pPr>
      <w:bookmarkStart w:id="107" w:name="_Toc153894561"/>
      <w:r w:rsidRPr="009B31EB">
        <w:rPr>
          <w:sz w:val="22"/>
          <w:szCs w:val="22"/>
        </w:rPr>
        <w:t xml:space="preserve">Table </w:t>
      </w:r>
      <w:r w:rsidRPr="009B31EB">
        <w:rPr>
          <w:sz w:val="22"/>
          <w:szCs w:val="22"/>
        </w:rPr>
        <w:fldChar w:fldCharType="begin"/>
      </w:r>
      <w:r w:rsidRPr="009B31EB">
        <w:rPr>
          <w:sz w:val="22"/>
          <w:szCs w:val="22"/>
        </w:rPr>
        <w:instrText xml:space="preserve"> SEQ Table \* ARABIC </w:instrText>
      </w:r>
      <w:r w:rsidRPr="009B31EB">
        <w:rPr>
          <w:sz w:val="22"/>
          <w:szCs w:val="22"/>
        </w:rPr>
        <w:fldChar w:fldCharType="separate"/>
      </w:r>
      <w:r w:rsidRPr="009B31EB">
        <w:rPr>
          <w:noProof/>
          <w:sz w:val="22"/>
          <w:szCs w:val="22"/>
        </w:rPr>
        <w:t>7</w:t>
      </w:r>
      <w:r w:rsidRPr="009B31EB">
        <w:rPr>
          <w:sz w:val="22"/>
          <w:szCs w:val="22"/>
        </w:rPr>
        <w:fldChar w:fldCharType="end"/>
      </w:r>
      <w:r w:rsidRPr="009B31EB">
        <w:rPr>
          <w:sz w:val="22"/>
          <w:szCs w:val="22"/>
        </w:rPr>
        <w:t>: Eastern</w:t>
      </w:r>
      <w:r w:rsidRPr="00DE35BE">
        <w:rPr>
          <w:sz w:val="22"/>
          <w:szCs w:val="22"/>
        </w:rPr>
        <w:t xml:space="preserve"> province </w:t>
      </w:r>
      <w:r>
        <w:rPr>
          <w:sz w:val="22"/>
          <w:szCs w:val="22"/>
        </w:rPr>
        <w:t>s</w:t>
      </w:r>
      <w:r w:rsidRPr="00DE35BE">
        <w:rPr>
          <w:sz w:val="22"/>
          <w:szCs w:val="22"/>
        </w:rPr>
        <w:t xml:space="preserve">ummary of </w:t>
      </w:r>
      <w:r>
        <w:rPr>
          <w:sz w:val="22"/>
          <w:szCs w:val="22"/>
        </w:rPr>
        <w:t>PHCs</w:t>
      </w:r>
      <w:bookmarkEnd w:id="107"/>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tblGrid>
      <w:tr w:rsidR="00815D00" w:rsidRPr="00513DAB" w14:paraId="45D3C758" w14:textId="77777777" w:rsidTr="00005E33">
        <w:trPr>
          <w:trHeight w:val="144"/>
        </w:trPr>
        <w:tc>
          <w:tcPr>
            <w:tcW w:w="3600" w:type="dxa"/>
            <w:tcBorders>
              <w:bottom w:val="single" w:sz="4" w:space="0" w:color="auto"/>
            </w:tcBorders>
          </w:tcPr>
          <w:p w14:paraId="40C78D18"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Primary care sector</w:t>
            </w:r>
          </w:p>
        </w:tc>
        <w:tc>
          <w:tcPr>
            <w:tcW w:w="3600" w:type="dxa"/>
            <w:tcBorders>
              <w:bottom w:val="single" w:sz="4" w:space="0" w:color="auto"/>
            </w:tcBorders>
          </w:tcPr>
          <w:p w14:paraId="427CB90C"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No. PHCs</w:t>
            </w:r>
          </w:p>
        </w:tc>
      </w:tr>
      <w:tr w:rsidR="00815D00" w:rsidRPr="00513DAB" w14:paraId="5B9A55DD" w14:textId="77777777" w:rsidTr="00005E33">
        <w:trPr>
          <w:trHeight w:val="144"/>
        </w:trPr>
        <w:tc>
          <w:tcPr>
            <w:tcW w:w="3600" w:type="dxa"/>
            <w:tcBorders>
              <w:top w:val="single" w:sz="4" w:space="0" w:color="auto"/>
            </w:tcBorders>
          </w:tcPr>
          <w:p w14:paraId="68934778"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Damman</w:t>
            </w:r>
          </w:p>
        </w:tc>
        <w:tc>
          <w:tcPr>
            <w:tcW w:w="3600" w:type="dxa"/>
            <w:tcBorders>
              <w:top w:val="single" w:sz="4" w:space="0" w:color="auto"/>
            </w:tcBorders>
          </w:tcPr>
          <w:p w14:paraId="7529B1E3"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31</w:t>
            </w:r>
          </w:p>
        </w:tc>
      </w:tr>
      <w:tr w:rsidR="00815D00" w:rsidRPr="00513DAB" w14:paraId="2AE76130" w14:textId="77777777" w:rsidTr="00005E33">
        <w:trPr>
          <w:trHeight w:val="144"/>
        </w:trPr>
        <w:tc>
          <w:tcPr>
            <w:tcW w:w="3600" w:type="dxa"/>
          </w:tcPr>
          <w:p w14:paraId="4ADCD7A0"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Qatif</w:t>
            </w:r>
          </w:p>
        </w:tc>
        <w:tc>
          <w:tcPr>
            <w:tcW w:w="3600" w:type="dxa"/>
          </w:tcPr>
          <w:p w14:paraId="1548F4E3"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28</w:t>
            </w:r>
          </w:p>
        </w:tc>
      </w:tr>
      <w:tr w:rsidR="00815D00" w:rsidRPr="00513DAB" w14:paraId="67073D80" w14:textId="77777777" w:rsidTr="00005E33">
        <w:trPr>
          <w:trHeight w:val="144"/>
        </w:trPr>
        <w:tc>
          <w:tcPr>
            <w:tcW w:w="3600" w:type="dxa"/>
          </w:tcPr>
          <w:p w14:paraId="0988352C"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Khobar</w:t>
            </w:r>
          </w:p>
        </w:tc>
        <w:tc>
          <w:tcPr>
            <w:tcW w:w="3600" w:type="dxa"/>
          </w:tcPr>
          <w:p w14:paraId="496C9E71"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19</w:t>
            </w:r>
          </w:p>
        </w:tc>
      </w:tr>
      <w:tr w:rsidR="00815D00" w:rsidRPr="00513DAB" w14:paraId="4F005D98" w14:textId="77777777" w:rsidTr="00005E33">
        <w:trPr>
          <w:trHeight w:val="144"/>
        </w:trPr>
        <w:tc>
          <w:tcPr>
            <w:tcW w:w="3600" w:type="dxa"/>
          </w:tcPr>
          <w:p w14:paraId="1BCF3949"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Safwa</w:t>
            </w:r>
          </w:p>
        </w:tc>
        <w:tc>
          <w:tcPr>
            <w:tcW w:w="3600" w:type="dxa"/>
          </w:tcPr>
          <w:p w14:paraId="77D55A91"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6</w:t>
            </w:r>
          </w:p>
        </w:tc>
      </w:tr>
      <w:tr w:rsidR="00815D00" w:rsidRPr="00513DAB" w14:paraId="4D28A485" w14:textId="77777777" w:rsidTr="00005E33">
        <w:trPr>
          <w:trHeight w:val="144"/>
        </w:trPr>
        <w:tc>
          <w:tcPr>
            <w:tcW w:w="3600" w:type="dxa"/>
          </w:tcPr>
          <w:p w14:paraId="5C135FDE"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Buqayaq</w:t>
            </w:r>
          </w:p>
        </w:tc>
        <w:tc>
          <w:tcPr>
            <w:tcW w:w="3600" w:type="dxa"/>
          </w:tcPr>
          <w:p w14:paraId="6E51A4B5"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5</w:t>
            </w:r>
          </w:p>
        </w:tc>
      </w:tr>
      <w:tr w:rsidR="00815D00" w:rsidRPr="00513DAB" w14:paraId="3A5D0782" w14:textId="77777777" w:rsidTr="00005E33">
        <w:trPr>
          <w:trHeight w:val="144"/>
        </w:trPr>
        <w:tc>
          <w:tcPr>
            <w:tcW w:w="3600" w:type="dxa"/>
          </w:tcPr>
          <w:p w14:paraId="2B3C6A65"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Jubail</w:t>
            </w:r>
          </w:p>
        </w:tc>
        <w:tc>
          <w:tcPr>
            <w:tcW w:w="3600" w:type="dxa"/>
          </w:tcPr>
          <w:p w14:paraId="47CA63A2"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4</w:t>
            </w:r>
          </w:p>
        </w:tc>
      </w:tr>
      <w:tr w:rsidR="00815D00" w:rsidRPr="00513DAB" w14:paraId="3F004E43" w14:textId="77777777" w:rsidTr="00005E33">
        <w:trPr>
          <w:trHeight w:val="144"/>
        </w:trPr>
        <w:tc>
          <w:tcPr>
            <w:tcW w:w="3600" w:type="dxa"/>
          </w:tcPr>
          <w:p w14:paraId="1DF5CEE9"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Anayriyah</w:t>
            </w:r>
          </w:p>
        </w:tc>
        <w:tc>
          <w:tcPr>
            <w:tcW w:w="3600" w:type="dxa"/>
          </w:tcPr>
          <w:p w14:paraId="7A0F7B76"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4</w:t>
            </w:r>
          </w:p>
        </w:tc>
      </w:tr>
      <w:tr w:rsidR="00815D00" w:rsidRPr="00513DAB" w14:paraId="039D072C" w14:textId="77777777" w:rsidTr="00005E33">
        <w:trPr>
          <w:trHeight w:val="144"/>
        </w:trPr>
        <w:tc>
          <w:tcPr>
            <w:tcW w:w="3600" w:type="dxa"/>
          </w:tcPr>
          <w:p w14:paraId="09C72581"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Ras Tanura</w:t>
            </w:r>
          </w:p>
        </w:tc>
        <w:tc>
          <w:tcPr>
            <w:tcW w:w="3600" w:type="dxa"/>
          </w:tcPr>
          <w:p w14:paraId="37F66C14"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2</w:t>
            </w:r>
          </w:p>
        </w:tc>
      </w:tr>
      <w:tr w:rsidR="00815D00" w:rsidRPr="00513DAB" w14:paraId="648A7769" w14:textId="77777777" w:rsidTr="00005E33">
        <w:trPr>
          <w:trHeight w:val="144"/>
        </w:trPr>
        <w:tc>
          <w:tcPr>
            <w:tcW w:w="3600" w:type="dxa"/>
            <w:tcBorders>
              <w:bottom w:val="single" w:sz="4" w:space="0" w:color="auto"/>
            </w:tcBorders>
          </w:tcPr>
          <w:p w14:paraId="3A28D689"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TOTAL</w:t>
            </w:r>
          </w:p>
        </w:tc>
        <w:tc>
          <w:tcPr>
            <w:tcW w:w="3600" w:type="dxa"/>
            <w:tcBorders>
              <w:bottom w:val="single" w:sz="4" w:space="0" w:color="auto"/>
            </w:tcBorders>
          </w:tcPr>
          <w:p w14:paraId="4BBB1E69" w14:textId="77777777" w:rsidR="00815D00" w:rsidRPr="00513DAB" w:rsidRDefault="00815D00" w:rsidP="00005E33">
            <w:pPr>
              <w:spacing w:line="360" w:lineRule="auto"/>
              <w:jc w:val="center"/>
              <w:rPr>
                <w:rFonts w:ascii="Arial" w:hAnsi="Arial" w:cs="Arial"/>
                <w:sz w:val="20"/>
                <w:szCs w:val="20"/>
                <w:lang w:val="en-GB"/>
              </w:rPr>
            </w:pPr>
            <w:r w:rsidRPr="00513DAB">
              <w:rPr>
                <w:rFonts w:ascii="Arial" w:hAnsi="Arial" w:cs="Arial"/>
                <w:sz w:val="20"/>
                <w:szCs w:val="20"/>
                <w:lang w:val="en-GB"/>
              </w:rPr>
              <w:t>99</w:t>
            </w:r>
          </w:p>
        </w:tc>
      </w:tr>
    </w:tbl>
    <w:p w14:paraId="2F13EC1C" w14:textId="77777777" w:rsidR="00815D00" w:rsidRDefault="00815D00" w:rsidP="00815D00">
      <w:pPr>
        <w:pStyle w:val="Caption"/>
        <w:rPr>
          <w:rFonts w:ascii="Arial" w:hAnsi="Arial" w:cs="Arial"/>
          <w:lang w:val="en-GB"/>
        </w:rPr>
      </w:pPr>
      <w:r w:rsidRPr="006B2FC7">
        <w:rPr>
          <w:rFonts w:ascii="Arial" w:hAnsi="Arial" w:cs="Arial"/>
          <w:lang w:val="en-GB"/>
        </w:rPr>
        <w:t>Source: Wasfaty Report, 2019.</w:t>
      </w:r>
      <w:r w:rsidRPr="006B2FC7">
        <w:rPr>
          <w:rFonts w:ascii="Arial" w:hAnsi="Arial" w:cs="Arial"/>
          <w:lang w:val="en-GB"/>
        </w:rPr>
        <w:fldChar w:fldCharType="begin" w:fldLock="1"/>
      </w:r>
      <w:r w:rsidRPr="006B2FC7">
        <w:rPr>
          <w:rFonts w:ascii="Arial" w:hAnsi="Arial" w:cs="Arial"/>
          <w:lang w:val="en-GB"/>
        </w:rPr>
        <w:instrText>ADDIN CSL_CITATION {"citationItems":[{"id":"ITEM-1","itemData":{"author":[{"dropping-particle":"","family":"Saudi Ministry of Health","given":"","non-dropping-particle":"","parse-names":false,"suffix":""}],"id":"ITEM-1","issued":{"date-parts":[["2018"]]},"title":"Statistical Book for the year 2018","type":"report"},"uris":["http://www.mendeley.com/documents/?uuid=576b6b3a-8e14-3c3c-89c2-4778a4af3a31"]}],"mendeley":{"formattedCitation":"(Saudi Ministry of Health, 2018)","plainTextFormattedCitation":"(Saudi Ministry of Health, 2018)","previouslyFormattedCitation":"(Saudi Ministry of Health, 2018)"},"properties":{"noteIndex":0},"schema":"https://github.com/citation-style-language/schema/raw/master/csl-citation.json"}</w:instrText>
      </w:r>
      <w:r w:rsidRPr="006B2FC7">
        <w:rPr>
          <w:rFonts w:ascii="Arial" w:hAnsi="Arial" w:cs="Arial"/>
          <w:lang w:val="en-GB"/>
        </w:rPr>
        <w:fldChar w:fldCharType="separate"/>
      </w:r>
      <w:r w:rsidRPr="006B2FC7">
        <w:rPr>
          <w:rFonts w:ascii="Arial" w:hAnsi="Arial" w:cs="Arial"/>
          <w:i w:val="0"/>
          <w:noProof/>
          <w:lang w:val="en-GB"/>
        </w:rPr>
        <w:t>(Saudi Ministry of Health, 2018)</w:t>
      </w:r>
      <w:r w:rsidRPr="006B2FC7">
        <w:rPr>
          <w:rFonts w:ascii="Arial" w:hAnsi="Arial" w:cs="Arial"/>
          <w:lang w:val="en-GB"/>
        </w:rPr>
        <w:fldChar w:fldCharType="end"/>
      </w:r>
      <w:r w:rsidRPr="006B2FC7">
        <w:rPr>
          <w:rFonts w:ascii="Arial" w:hAnsi="Arial" w:cs="Arial"/>
          <w:lang w:val="en-GB"/>
        </w:rPr>
        <w:t>,</w:t>
      </w:r>
      <w:r>
        <w:rPr>
          <w:rFonts w:ascii="Arial" w:hAnsi="Arial" w:cs="Arial"/>
          <w:lang w:val="en-GB"/>
        </w:rPr>
        <w:t xml:space="preserve"> </w:t>
      </w:r>
      <w:r>
        <w:rPr>
          <w:rFonts w:ascii="Arial" w:hAnsi="Arial" w:cs="Arial"/>
          <w:lang w:val="en-GB"/>
        </w:rPr>
        <w:fldChar w:fldCharType="begin" w:fldLock="1"/>
      </w:r>
      <w:r>
        <w:rPr>
          <w:rFonts w:ascii="Arial" w:hAnsi="Arial" w:cs="Arial"/>
          <w:lang w:val="en-GB"/>
        </w:rPr>
        <w:instrText>ADDIN CSL_CITATION {"citationItems":[{"id":"ITEM-1","itemData":{"author":[{"dropping-particle":"","family":"Creswell","given":"John W.","non-dropping-particle":"","parse-names":false,"suffix":""}],"id":"ITEM-1","issued":{"date-parts":[["2015"]]},"title":"A concise introduction to mixed methods research","type":"article-journal"},"uris":["http://www.mendeley.com/documents/?uuid=bb77dacc-4f54-3a7c-a5a4-62f5584399c4"]}],"mendeley":{"formattedCitation":"(John W. Creswell, 2015)","manualFormatting":"(Eastern Region Region (Saudi Arabia): Governorates &amp; Cities - Population Statistics, Charts and Map, 2020)","plainTextFormattedCitation":"(John W. Creswell, 2015)","previouslyFormattedCitation":"(John W. Creswell, 2015)"},"properties":{"noteIndex":0},"schema":"https://github.com/citation-style-language/schema/raw/master/csl-citation.json"}</w:instrText>
      </w:r>
      <w:r>
        <w:rPr>
          <w:rFonts w:ascii="Arial" w:hAnsi="Arial" w:cs="Arial"/>
          <w:lang w:val="en-GB"/>
        </w:rPr>
        <w:fldChar w:fldCharType="separate"/>
      </w:r>
      <w:r w:rsidRPr="00270076">
        <w:rPr>
          <w:rFonts w:ascii="Arial" w:hAnsi="Arial" w:cs="Arial"/>
          <w:i w:val="0"/>
          <w:noProof/>
          <w:lang w:val="en-GB"/>
        </w:rPr>
        <w:t>(</w:t>
      </w:r>
      <w:r w:rsidRPr="00270076">
        <w:rPr>
          <w:rFonts w:ascii="Arial" w:hAnsi="Arial" w:cs="Arial"/>
          <w:noProof/>
          <w:lang w:val="en-GB"/>
        </w:rPr>
        <w:t>Eastern Region Region (Saudi Arabia): Governorates &amp; Cities - Population Statistics, Charts and Map</w:t>
      </w:r>
      <w:r w:rsidRPr="00270076">
        <w:rPr>
          <w:rFonts w:ascii="Arial" w:hAnsi="Arial" w:cs="Arial"/>
          <w:i w:val="0"/>
          <w:noProof/>
          <w:lang w:val="en-GB"/>
        </w:rPr>
        <w:t xml:space="preserve">, </w:t>
      </w:r>
      <w:r>
        <w:rPr>
          <w:rFonts w:ascii="Arial" w:hAnsi="Arial" w:cs="Arial"/>
          <w:i w:val="0"/>
          <w:noProof/>
          <w:lang w:val="en-GB"/>
        </w:rPr>
        <w:t>2020</w:t>
      </w:r>
      <w:r w:rsidRPr="00270076">
        <w:rPr>
          <w:rFonts w:ascii="Arial" w:hAnsi="Arial" w:cs="Arial"/>
          <w:i w:val="0"/>
          <w:noProof/>
          <w:lang w:val="en-GB"/>
        </w:rPr>
        <w:t>)</w:t>
      </w:r>
      <w:r>
        <w:rPr>
          <w:rFonts w:ascii="Arial" w:hAnsi="Arial" w:cs="Arial"/>
          <w:lang w:val="en-GB"/>
        </w:rPr>
        <w:fldChar w:fldCharType="end"/>
      </w:r>
      <w:r w:rsidRPr="006B2FC7">
        <w:rPr>
          <w:rFonts w:ascii="Arial" w:hAnsi="Arial" w:cs="Arial"/>
          <w:lang w:val="en-GB"/>
        </w:rPr>
        <w:t xml:space="preserve"> </w:t>
      </w:r>
    </w:p>
    <w:p w14:paraId="4D6420F8" w14:textId="77777777" w:rsidR="0039145E" w:rsidRDefault="0039145E" w:rsidP="0039145E">
      <w:pPr>
        <w:spacing w:line="360" w:lineRule="auto"/>
        <w:jc w:val="both"/>
        <w:rPr>
          <w:rFonts w:ascii="Arial" w:hAnsi="Arial" w:cs="Arial"/>
          <w:sz w:val="24"/>
          <w:szCs w:val="24"/>
        </w:rPr>
      </w:pPr>
    </w:p>
    <w:p w14:paraId="6BFCEFC7" w14:textId="1255EA37" w:rsidR="0039145E" w:rsidRPr="003515FA" w:rsidRDefault="0039145E" w:rsidP="0039145E">
      <w:pPr>
        <w:spacing w:line="360" w:lineRule="auto"/>
        <w:jc w:val="both"/>
        <w:rPr>
          <w:sz w:val="24"/>
          <w:szCs w:val="24"/>
        </w:rPr>
      </w:pPr>
      <w:r>
        <w:rPr>
          <w:rFonts w:ascii="Arial" w:hAnsi="Arial" w:cs="Arial"/>
          <w:noProof/>
          <w:sz w:val="24"/>
          <w:szCs w:val="24"/>
          <w:lang w:val="en-GB"/>
        </w:rPr>
        <w:t xml:space="preserve">In relation to recruitment, </w:t>
      </w:r>
      <w:r>
        <w:rPr>
          <w:rFonts w:ascii="Arial" w:hAnsi="Arial" w:cs="Arial"/>
          <w:sz w:val="24"/>
          <w:szCs w:val="24"/>
        </w:rPr>
        <w:t>p</w:t>
      </w:r>
      <w:r w:rsidRPr="00C9042B">
        <w:rPr>
          <w:rFonts w:ascii="Arial" w:hAnsi="Arial" w:cs="Arial"/>
          <w:sz w:val="24"/>
          <w:szCs w:val="24"/>
        </w:rPr>
        <w:t>articipants were approached via gatekeepers (medical director, pharmacy director, and nurse director) and were invited via emails to participate in both the survey and the interviews</w:t>
      </w:r>
      <w:r>
        <w:rPr>
          <w:rFonts w:ascii="Arial" w:hAnsi="Arial" w:cs="Arial"/>
          <w:sz w:val="24"/>
          <w:szCs w:val="24"/>
        </w:rPr>
        <w:t>.</w:t>
      </w:r>
      <w:r w:rsidRPr="00C9042B">
        <w:rPr>
          <w:rFonts w:ascii="Arial" w:hAnsi="Arial" w:cs="Arial"/>
          <w:sz w:val="24"/>
          <w:szCs w:val="24"/>
        </w:rPr>
        <w:t xml:space="preserve"> </w:t>
      </w:r>
      <w:r w:rsidRPr="006B2FC7">
        <w:rPr>
          <w:rFonts w:ascii="Arial" w:hAnsi="Arial" w:cs="Arial"/>
          <w:sz w:val="24"/>
          <w:szCs w:val="24"/>
          <w:lang w:val="en-GB"/>
        </w:rPr>
        <w:t xml:space="preserve">The survey </w:t>
      </w:r>
      <w:r>
        <w:rPr>
          <w:rFonts w:ascii="Arial" w:hAnsi="Arial" w:cs="Arial"/>
          <w:sz w:val="24"/>
          <w:szCs w:val="24"/>
          <w:lang w:val="en-GB"/>
        </w:rPr>
        <w:t>was</w:t>
      </w:r>
      <w:r w:rsidRPr="006B2FC7">
        <w:rPr>
          <w:rFonts w:ascii="Arial" w:hAnsi="Arial" w:cs="Arial"/>
          <w:sz w:val="24"/>
          <w:szCs w:val="24"/>
          <w:lang w:val="en-GB"/>
        </w:rPr>
        <w:t xml:space="preserve"> distributed to the targeted population via the gatekeepers of eight primary care sectors in the first health cluster in the eastern province of SA. The gatekeepers </w:t>
      </w:r>
      <w:r>
        <w:rPr>
          <w:rFonts w:ascii="Arial" w:hAnsi="Arial" w:cs="Arial"/>
          <w:sz w:val="24"/>
          <w:szCs w:val="24"/>
          <w:lang w:val="en-GB"/>
        </w:rPr>
        <w:t>were</w:t>
      </w:r>
      <w:r w:rsidRPr="006B2FC7">
        <w:rPr>
          <w:rFonts w:ascii="Arial" w:hAnsi="Arial" w:cs="Arial"/>
          <w:sz w:val="24"/>
          <w:szCs w:val="24"/>
          <w:lang w:val="en-GB"/>
        </w:rPr>
        <w:t xml:space="preserve"> approached via the M</w:t>
      </w:r>
      <w:r>
        <w:rPr>
          <w:rFonts w:ascii="Arial" w:hAnsi="Arial" w:cs="Arial"/>
          <w:sz w:val="24"/>
          <w:szCs w:val="24"/>
          <w:lang w:val="en-GB"/>
        </w:rPr>
        <w:t>o</w:t>
      </w:r>
      <w:r w:rsidRPr="006B2FC7">
        <w:rPr>
          <w:rFonts w:ascii="Arial" w:hAnsi="Arial" w:cs="Arial"/>
          <w:sz w:val="24"/>
          <w:szCs w:val="24"/>
          <w:lang w:val="en-GB"/>
        </w:rPr>
        <w:t>H Webmail. The M</w:t>
      </w:r>
      <w:r>
        <w:rPr>
          <w:rFonts w:ascii="Arial" w:hAnsi="Arial" w:cs="Arial"/>
          <w:sz w:val="24"/>
          <w:szCs w:val="24"/>
          <w:lang w:val="en-GB"/>
        </w:rPr>
        <w:t>o</w:t>
      </w:r>
      <w:r w:rsidRPr="006B2FC7">
        <w:rPr>
          <w:rFonts w:ascii="Arial" w:hAnsi="Arial" w:cs="Arial"/>
          <w:sz w:val="24"/>
          <w:szCs w:val="24"/>
          <w:lang w:val="en-GB"/>
        </w:rPr>
        <w:t>H Webmail has an icon with address list which enable the M</w:t>
      </w:r>
      <w:r>
        <w:rPr>
          <w:rFonts w:ascii="Arial" w:hAnsi="Arial" w:cs="Arial"/>
          <w:sz w:val="24"/>
          <w:szCs w:val="24"/>
          <w:lang w:val="en-GB"/>
        </w:rPr>
        <w:t>o</w:t>
      </w:r>
      <w:r w:rsidRPr="006B2FC7">
        <w:rPr>
          <w:rFonts w:ascii="Arial" w:hAnsi="Arial" w:cs="Arial"/>
          <w:sz w:val="24"/>
          <w:szCs w:val="24"/>
          <w:lang w:val="en-GB"/>
        </w:rPr>
        <w:t>H employees to access the emails and contact numbers for anyone working in the M</w:t>
      </w:r>
      <w:r>
        <w:rPr>
          <w:rFonts w:ascii="Arial" w:hAnsi="Arial" w:cs="Arial"/>
          <w:sz w:val="24"/>
          <w:szCs w:val="24"/>
          <w:lang w:val="en-GB"/>
        </w:rPr>
        <w:t>o</w:t>
      </w:r>
      <w:r w:rsidRPr="006B2FC7">
        <w:rPr>
          <w:rFonts w:ascii="Arial" w:hAnsi="Arial" w:cs="Arial"/>
          <w:sz w:val="24"/>
          <w:szCs w:val="24"/>
          <w:lang w:val="en-GB"/>
        </w:rPr>
        <w:t xml:space="preserve">H. A list of medical, nurse and pharmacy directors and their contact details </w:t>
      </w:r>
      <w:r>
        <w:rPr>
          <w:rFonts w:ascii="Arial" w:hAnsi="Arial" w:cs="Arial"/>
          <w:sz w:val="24"/>
          <w:szCs w:val="24"/>
          <w:lang w:val="en-GB"/>
        </w:rPr>
        <w:t>was</w:t>
      </w:r>
      <w:r w:rsidRPr="006B2FC7">
        <w:rPr>
          <w:rFonts w:ascii="Arial" w:hAnsi="Arial" w:cs="Arial"/>
          <w:sz w:val="24"/>
          <w:szCs w:val="24"/>
          <w:lang w:val="en-GB"/>
        </w:rPr>
        <w:t xml:space="preserve"> created. The web survey </w:t>
      </w:r>
      <w:r>
        <w:rPr>
          <w:rFonts w:ascii="Arial" w:hAnsi="Arial" w:cs="Arial"/>
          <w:sz w:val="24"/>
          <w:szCs w:val="24"/>
          <w:lang w:val="en-GB"/>
        </w:rPr>
        <w:t>was</w:t>
      </w:r>
      <w:r w:rsidRPr="006B2FC7">
        <w:rPr>
          <w:rFonts w:ascii="Arial" w:hAnsi="Arial" w:cs="Arial"/>
          <w:sz w:val="24"/>
          <w:szCs w:val="24"/>
          <w:lang w:val="en-GB"/>
        </w:rPr>
        <w:t xml:space="preserve"> sent to </w:t>
      </w:r>
      <w:r>
        <w:rPr>
          <w:rFonts w:ascii="Arial" w:hAnsi="Arial" w:cs="Arial"/>
          <w:sz w:val="24"/>
          <w:szCs w:val="24"/>
          <w:lang w:val="en-GB"/>
        </w:rPr>
        <w:t xml:space="preserve">the </w:t>
      </w:r>
      <w:r w:rsidRPr="006B2FC7">
        <w:rPr>
          <w:rFonts w:ascii="Arial" w:hAnsi="Arial" w:cs="Arial"/>
          <w:sz w:val="24"/>
          <w:szCs w:val="24"/>
          <w:lang w:val="en-GB"/>
        </w:rPr>
        <w:t xml:space="preserve">gatekeepers </w:t>
      </w:r>
      <w:r w:rsidRPr="006B2FC7">
        <w:rPr>
          <w:rFonts w:ascii="Arial" w:hAnsi="Arial" w:cs="Arial"/>
          <w:color w:val="000000"/>
          <w:sz w:val="24"/>
          <w:szCs w:val="24"/>
          <w:lang w:val="en-GB"/>
        </w:rPr>
        <w:t xml:space="preserve">via </w:t>
      </w:r>
      <w:r>
        <w:rPr>
          <w:rFonts w:ascii="Arial" w:hAnsi="Arial" w:cs="Arial"/>
          <w:color w:val="000000"/>
          <w:sz w:val="24"/>
          <w:szCs w:val="24"/>
          <w:lang w:val="en-GB"/>
        </w:rPr>
        <w:t xml:space="preserve">work and </w:t>
      </w:r>
      <w:r w:rsidRPr="006B2FC7">
        <w:rPr>
          <w:rFonts w:ascii="Arial" w:hAnsi="Arial" w:cs="Arial"/>
          <w:color w:val="000000"/>
          <w:sz w:val="24"/>
          <w:szCs w:val="24"/>
          <w:lang w:val="en-GB"/>
        </w:rPr>
        <w:t>personalised e-mails.</w:t>
      </w:r>
    </w:p>
    <w:p w14:paraId="61879D8D" w14:textId="55849A53" w:rsidR="0039145E" w:rsidRPr="00CB3716" w:rsidRDefault="0039145E" w:rsidP="0039145E">
      <w:pPr>
        <w:spacing w:line="360" w:lineRule="auto"/>
        <w:jc w:val="both"/>
        <w:rPr>
          <w:rFonts w:ascii="Arial" w:hAnsi="Arial" w:cs="Arial"/>
          <w:sz w:val="24"/>
          <w:szCs w:val="24"/>
          <w:lang w:val="en-GB"/>
        </w:rPr>
      </w:pPr>
      <w:r w:rsidRPr="00CB3716">
        <w:rPr>
          <w:rFonts w:ascii="Arial" w:hAnsi="Arial" w:cs="Arial"/>
          <w:sz w:val="24"/>
          <w:szCs w:val="24"/>
          <w:lang w:val="en-GB"/>
        </w:rPr>
        <w:t>There were some challenges in in reaching out to</w:t>
      </w:r>
      <w:r w:rsidRPr="00CB3716">
        <w:rPr>
          <w:rFonts w:ascii="Arial" w:hAnsi="Arial" w:cs="Arial" w:hint="cs"/>
          <w:sz w:val="24"/>
          <w:szCs w:val="24"/>
          <w:rtl/>
          <w:lang w:val="en-GB"/>
        </w:rPr>
        <w:t xml:space="preserve"> </w:t>
      </w:r>
      <w:r w:rsidRPr="00CB3716">
        <w:rPr>
          <w:rFonts w:ascii="Arial" w:hAnsi="Arial" w:cs="Arial"/>
          <w:sz w:val="24"/>
          <w:szCs w:val="24"/>
          <w:lang w:val="en-GB"/>
        </w:rPr>
        <w:t>the targeted population and collecting data for this (first) phase. Therefore, we needed to slightly adjust the methods to approach the target population. A</w:t>
      </w:r>
      <w:r>
        <w:rPr>
          <w:rFonts w:ascii="Arial" w:hAnsi="Arial" w:cs="Arial"/>
          <w:sz w:val="24"/>
          <w:szCs w:val="24"/>
          <w:lang w:val="en-GB"/>
        </w:rPr>
        <w:t xml:space="preserve"> research ethics</w:t>
      </w:r>
      <w:r w:rsidRPr="00CB3716">
        <w:rPr>
          <w:rFonts w:ascii="Arial" w:hAnsi="Arial" w:cs="Arial"/>
          <w:sz w:val="24"/>
          <w:szCs w:val="24"/>
          <w:lang w:val="en-GB"/>
        </w:rPr>
        <w:t xml:space="preserve"> amendment to expand the distribution tools and use social media platforms to distribute the survey, was submitted to the university and the MoH of Saudi Arabia, and their approvals were obtained. The challenges and how we addressed these challenges are discussed in </w:t>
      </w:r>
      <w:r>
        <w:rPr>
          <w:rFonts w:ascii="Arial" w:hAnsi="Arial" w:cs="Arial"/>
          <w:sz w:val="24"/>
          <w:szCs w:val="24"/>
          <w:lang w:val="en-GB"/>
        </w:rPr>
        <w:t xml:space="preserve">section </w:t>
      </w:r>
      <w:r>
        <w:rPr>
          <w:rFonts w:ascii="Arial" w:hAnsi="Arial" w:cs="Arial"/>
          <w:sz w:val="24"/>
          <w:szCs w:val="24"/>
          <w:lang w:val="en-GB"/>
        </w:rPr>
        <w:fldChar w:fldCharType="begin"/>
      </w:r>
      <w:r>
        <w:rPr>
          <w:rFonts w:ascii="Arial" w:hAnsi="Arial" w:cs="Arial"/>
          <w:sz w:val="24"/>
          <w:szCs w:val="24"/>
          <w:lang w:val="en-GB"/>
        </w:rPr>
        <w:instrText xml:space="preserve"> REF _Ref153824295 \r \h </w:instrText>
      </w:r>
      <w:r>
        <w:rPr>
          <w:rFonts w:ascii="Arial" w:hAnsi="Arial" w:cs="Arial"/>
          <w:sz w:val="24"/>
          <w:szCs w:val="24"/>
          <w:lang w:val="en-GB"/>
        </w:rPr>
      </w:r>
      <w:r>
        <w:rPr>
          <w:rFonts w:ascii="Arial" w:hAnsi="Arial" w:cs="Arial"/>
          <w:sz w:val="24"/>
          <w:szCs w:val="24"/>
          <w:lang w:val="en-GB"/>
        </w:rPr>
        <w:fldChar w:fldCharType="separate"/>
      </w:r>
      <w:r>
        <w:rPr>
          <w:rFonts w:ascii="Arial" w:hAnsi="Arial" w:cs="Arial"/>
          <w:sz w:val="24"/>
          <w:szCs w:val="24"/>
          <w:lang w:val="en-GB"/>
        </w:rPr>
        <w:t>4.2.8.2</w:t>
      </w:r>
      <w:r>
        <w:rPr>
          <w:rFonts w:ascii="Arial" w:hAnsi="Arial" w:cs="Arial"/>
          <w:sz w:val="24"/>
          <w:szCs w:val="24"/>
          <w:lang w:val="en-GB"/>
        </w:rPr>
        <w:fldChar w:fldCharType="end"/>
      </w:r>
      <w:r>
        <w:rPr>
          <w:rFonts w:ascii="Arial" w:hAnsi="Arial" w:cs="Arial"/>
          <w:sz w:val="24"/>
          <w:szCs w:val="24"/>
          <w:lang w:val="en-GB"/>
        </w:rPr>
        <w:t xml:space="preserve"> in more detail.</w:t>
      </w:r>
    </w:p>
    <w:p w14:paraId="28A57E20" w14:textId="77777777" w:rsidR="00EB7F85" w:rsidRDefault="00EB7F85" w:rsidP="00EB7F85">
      <w:pPr>
        <w:rPr>
          <w:lang w:val="en-GB"/>
        </w:rPr>
      </w:pPr>
    </w:p>
    <w:p w14:paraId="6FE44D91" w14:textId="77777777" w:rsidR="00EB7F85" w:rsidRDefault="00EB7F85" w:rsidP="00EB7F85"/>
    <w:p w14:paraId="2480B082" w14:textId="77777777" w:rsidR="00EB7F85" w:rsidRPr="00FF0D41" w:rsidRDefault="00EB7F85" w:rsidP="00EB7F85">
      <w:pPr>
        <w:pStyle w:val="Heading3"/>
        <w:numPr>
          <w:ilvl w:val="2"/>
          <w:numId w:val="14"/>
        </w:numPr>
        <w:spacing w:line="360" w:lineRule="auto"/>
        <w:ind w:left="0" w:firstLine="0"/>
      </w:pPr>
      <w:bookmarkStart w:id="108" w:name="_Toc122626397"/>
      <w:bookmarkStart w:id="109" w:name="_Toc153894176"/>
      <w:r w:rsidRPr="000C2F0D">
        <w:t>Techniques and procedures</w:t>
      </w:r>
      <w:r>
        <w:t xml:space="preserve"> of data collection and data analysis</w:t>
      </w:r>
      <w:bookmarkEnd w:id="108"/>
      <w:bookmarkEnd w:id="109"/>
    </w:p>
    <w:p w14:paraId="78003660" w14:textId="77777777" w:rsidR="00EB7F85" w:rsidRDefault="00EB7F85" w:rsidP="00EB7F85">
      <w:pPr>
        <w:spacing w:line="360" w:lineRule="auto"/>
        <w:jc w:val="both"/>
        <w:rPr>
          <w:rFonts w:ascii="Arial" w:hAnsi="Arial" w:cs="Arial"/>
          <w:sz w:val="24"/>
          <w:szCs w:val="24"/>
        </w:rPr>
      </w:pPr>
      <w:r>
        <w:rPr>
          <w:rFonts w:ascii="Arial" w:hAnsi="Arial" w:cs="Arial"/>
          <w:sz w:val="24"/>
          <w:szCs w:val="24"/>
        </w:rPr>
        <w:t>Data collection for this research involved two phases: t</w:t>
      </w:r>
      <w:r w:rsidRPr="006552ED">
        <w:rPr>
          <w:rFonts w:ascii="Arial" w:hAnsi="Arial" w:cs="Arial"/>
          <w:sz w:val="24"/>
          <w:szCs w:val="24"/>
        </w:rPr>
        <w:t xml:space="preserve">he first phase </w:t>
      </w:r>
      <w:r>
        <w:rPr>
          <w:rFonts w:ascii="Arial" w:hAnsi="Arial" w:cs="Arial"/>
          <w:sz w:val="24"/>
          <w:szCs w:val="24"/>
        </w:rPr>
        <w:t xml:space="preserve">was the </w:t>
      </w:r>
      <w:r w:rsidRPr="006552ED">
        <w:rPr>
          <w:rFonts w:ascii="Arial" w:hAnsi="Arial" w:cs="Arial"/>
          <w:sz w:val="24"/>
          <w:szCs w:val="24"/>
        </w:rPr>
        <w:t>quantitative phase</w:t>
      </w:r>
      <w:r>
        <w:rPr>
          <w:rFonts w:ascii="Arial" w:hAnsi="Arial" w:cs="Arial"/>
          <w:sz w:val="24"/>
          <w:szCs w:val="24"/>
        </w:rPr>
        <w:t>, the data</w:t>
      </w:r>
      <w:r w:rsidRPr="006552ED">
        <w:rPr>
          <w:rFonts w:ascii="Arial" w:hAnsi="Arial" w:cs="Arial"/>
          <w:sz w:val="24"/>
          <w:szCs w:val="24"/>
        </w:rPr>
        <w:t xml:space="preserve"> collected via </w:t>
      </w:r>
      <w:r w:rsidRPr="006E3F44">
        <w:rPr>
          <w:rFonts w:asciiTheme="minorBidi" w:hAnsiTheme="minorBidi"/>
          <w:sz w:val="24"/>
          <w:szCs w:val="24"/>
          <w:lang w:val="en-GB"/>
        </w:rPr>
        <w:t>online survey to obtain a general understanding of the research topic.</w:t>
      </w:r>
      <w:r>
        <w:rPr>
          <w:rFonts w:asciiTheme="minorBidi" w:hAnsiTheme="minorBidi"/>
          <w:sz w:val="24"/>
          <w:szCs w:val="24"/>
          <w:lang w:val="en-GB"/>
        </w:rPr>
        <w:t xml:space="preserve"> </w:t>
      </w:r>
      <w:r w:rsidRPr="00ED11F0">
        <w:rPr>
          <w:rFonts w:ascii="Arial" w:hAnsi="Arial" w:cs="Arial"/>
          <w:sz w:val="24"/>
          <w:szCs w:val="24"/>
        </w:rPr>
        <w:t xml:space="preserve">The </w:t>
      </w:r>
      <w:r>
        <w:rPr>
          <w:rFonts w:ascii="Arial" w:hAnsi="Arial" w:cs="Arial"/>
          <w:sz w:val="24"/>
          <w:szCs w:val="24"/>
        </w:rPr>
        <w:t>second</w:t>
      </w:r>
      <w:r w:rsidRPr="00ED11F0">
        <w:rPr>
          <w:rFonts w:ascii="Arial" w:hAnsi="Arial" w:cs="Arial"/>
          <w:sz w:val="24"/>
          <w:szCs w:val="24"/>
        </w:rPr>
        <w:t xml:space="preserve"> phase involve</w:t>
      </w:r>
      <w:r>
        <w:rPr>
          <w:rFonts w:ascii="Arial" w:hAnsi="Arial" w:cs="Arial"/>
        </w:rPr>
        <w:t>d</w:t>
      </w:r>
      <w:r w:rsidRPr="00ED11F0">
        <w:rPr>
          <w:rFonts w:ascii="Arial" w:hAnsi="Arial" w:cs="Arial"/>
          <w:sz w:val="24"/>
          <w:szCs w:val="24"/>
        </w:rPr>
        <w:t xml:space="preserve"> qualitative interview</w:t>
      </w:r>
      <w:r>
        <w:rPr>
          <w:rFonts w:ascii="Arial" w:hAnsi="Arial" w:cs="Arial"/>
          <w:sz w:val="24"/>
          <w:szCs w:val="24"/>
        </w:rPr>
        <w:t>s</w:t>
      </w:r>
      <w:r w:rsidRPr="00ED11F0">
        <w:rPr>
          <w:rFonts w:ascii="Arial" w:hAnsi="Arial" w:cs="Arial"/>
          <w:sz w:val="24"/>
          <w:szCs w:val="24"/>
        </w:rPr>
        <w:t xml:space="preserve"> of participants to further explore the findings of the first phase</w:t>
      </w:r>
      <w:r>
        <w:rPr>
          <w:rFonts w:ascii="Arial" w:hAnsi="Arial" w:cs="Arial"/>
          <w:sz w:val="24"/>
          <w:szCs w:val="24"/>
        </w:rPr>
        <w:t xml:space="preserve">; </w:t>
      </w:r>
      <w:r w:rsidRPr="006E3F44">
        <w:rPr>
          <w:rFonts w:asciiTheme="minorBidi" w:hAnsiTheme="minorBidi"/>
          <w:sz w:val="24"/>
          <w:szCs w:val="24"/>
          <w:lang w:val="en-GB"/>
        </w:rPr>
        <w:t>one to one semi-structured</w:t>
      </w:r>
      <w:r>
        <w:rPr>
          <w:rFonts w:asciiTheme="minorBidi" w:hAnsiTheme="minorBidi"/>
          <w:sz w:val="24"/>
          <w:szCs w:val="24"/>
          <w:lang w:val="en-GB"/>
        </w:rPr>
        <w:t xml:space="preserve"> </w:t>
      </w:r>
      <w:r w:rsidRPr="006E3F44">
        <w:rPr>
          <w:rFonts w:asciiTheme="minorBidi" w:hAnsiTheme="minorBidi"/>
          <w:sz w:val="24"/>
          <w:szCs w:val="24"/>
          <w:lang w:val="en-GB"/>
        </w:rPr>
        <w:t xml:space="preserve">interviews using Google Meet to gain insights into the experiences of </w:t>
      </w:r>
      <w:r>
        <w:rPr>
          <w:rFonts w:asciiTheme="minorBidi" w:hAnsiTheme="minorBidi"/>
          <w:sz w:val="24"/>
          <w:szCs w:val="24"/>
          <w:lang w:val="en-GB"/>
        </w:rPr>
        <w:t>HCPs</w:t>
      </w:r>
      <w:r w:rsidRPr="006E3F44">
        <w:rPr>
          <w:rFonts w:asciiTheme="minorBidi" w:hAnsiTheme="minorBidi"/>
          <w:sz w:val="24"/>
          <w:szCs w:val="24"/>
          <w:lang w:val="en-GB"/>
        </w:rPr>
        <w:t xml:space="preserve"> with pharmacy services in their practices. </w:t>
      </w:r>
      <w:r w:rsidRPr="00ED11F0">
        <w:rPr>
          <w:rFonts w:ascii="Arial" w:hAnsi="Arial" w:cs="Arial"/>
          <w:sz w:val="24"/>
          <w:szCs w:val="24"/>
        </w:rPr>
        <w:t>The</w:t>
      </w:r>
      <w:r>
        <w:rPr>
          <w:rFonts w:ascii="Arial" w:hAnsi="Arial" w:cs="Arial"/>
          <w:sz w:val="24"/>
          <w:szCs w:val="24"/>
        </w:rPr>
        <w:t xml:space="preserve">n </w:t>
      </w:r>
      <w:r w:rsidRPr="00ED11F0">
        <w:rPr>
          <w:rFonts w:ascii="Arial" w:hAnsi="Arial" w:cs="Arial"/>
          <w:sz w:val="24"/>
          <w:szCs w:val="24"/>
        </w:rPr>
        <w:t>an integration of data via the connection between the quantitative and qualitative phases</w:t>
      </w:r>
      <w:r>
        <w:rPr>
          <w:rFonts w:ascii="Arial" w:hAnsi="Arial" w:cs="Arial"/>
          <w:sz w:val="24"/>
          <w:szCs w:val="24"/>
        </w:rPr>
        <w:t xml:space="preserve"> was performed</w:t>
      </w:r>
      <w:r w:rsidRPr="00ED11F0">
        <w:rPr>
          <w:rFonts w:ascii="Arial" w:hAnsi="Arial" w:cs="Arial"/>
          <w:sz w:val="24"/>
          <w:szCs w:val="24"/>
        </w:rPr>
        <w:t xml:space="preserve">. </w:t>
      </w:r>
      <w:r w:rsidRPr="006B2FC7">
        <w:rPr>
          <w:rFonts w:ascii="Arial" w:hAnsi="Arial" w:cs="Arial"/>
          <w:sz w:val="24"/>
          <w:szCs w:val="24"/>
        </w:rPr>
        <w:t xml:space="preserve">The quantitative and qualitative findings </w:t>
      </w:r>
      <w:r>
        <w:rPr>
          <w:rFonts w:ascii="Arial" w:hAnsi="Arial" w:cs="Arial"/>
          <w:sz w:val="24"/>
          <w:szCs w:val="24"/>
        </w:rPr>
        <w:t>were</w:t>
      </w:r>
      <w:r w:rsidRPr="006B2FC7">
        <w:rPr>
          <w:rFonts w:ascii="Arial" w:hAnsi="Arial" w:cs="Arial"/>
          <w:sz w:val="24"/>
          <w:szCs w:val="24"/>
        </w:rPr>
        <w:t xml:space="preserve"> appropriately integrated in the triangulated phase to provide answers to the research questions, a better understanding of the research</w:t>
      </w:r>
      <w:r>
        <w:rPr>
          <w:rFonts w:ascii="Arial" w:hAnsi="Arial" w:cs="Arial"/>
          <w:sz w:val="24"/>
          <w:szCs w:val="24"/>
        </w:rPr>
        <w:t xml:space="preserve"> </w:t>
      </w:r>
      <w:r w:rsidRPr="006B2FC7">
        <w:rPr>
          <w:rFonts w:ascii="Arial" w:hAnsi="Arial" w:cs="Arial"/>
          <w:sz w:val="24"/>
          <w:szCs w:val="24"/>
        </w:rPr>
        <w:t>phenomenon, and to make distinct contributions to the research topic.</w:t>
      </w:r>
    </w:p>
    <w:p w14:paraId="3B330832" w14:textId="77777777" w:rsidR="00EB7F85" w:rsidRPr="00D36D21" w:rsidRDefault="00EB7F85" w:rsidP="00EB7F85">
      <w:pPr>
        <w:spacing w:line="360" w:lineRule="auto"/>
        <w:rPr>
          <w:rFonts w:ascii="Arial" w:hAnsi="Arial" w:cs="Arial"/>
          <w:sz w:val="24"/>
          <w:szCs w:val="24"/>
        </w:rPr>
      </w:pPr>
      <w:r>
        <w:rPr>
          <w:rFonts w:ascii="Arial" w:hAnsi="Arial" w:cs="Arial"/>
          <w:sz w:val="24"/>
          <w:szCs w:val="24"/>
        </w:rPr>
        <w:t>A discussion on data collection and analysis for qualitative and quantitative phases will be presented in the following section.</w:t>
      </w:r>
    </w:p>
    <w:p w14:paraId="2FCE41CD" w14:textId="77777777" w:rsidR="00EB7F85" w:rsidRPr="0006290C" w:rsidRDefault="00EB7F85" w:rsidP="00AE7E9C">
      <w:pPr>
        <w:pStyle w:val="Heading3"/>
        <w:numPr>
          <w:ilvl w:val="2"/>
          <w:numId w:val="14"/>
        </w:numPr>
        <w:spacing w:line="360" w:lineRule="auto"/>
        <w:ind w:left="360" w:hanging="360"/>
      </w:pPr>
      <w:bookmarkStart w:id="110" w:name="_Toc153894177"/>
      <w:r w:rsidRPr="0006290C">
        <w:t xml:space="preserve">Quantitative </w:t>
      </w:r>
      <w:r>
        <w:t>d</w:t>
      </w:r>
      <w:r w:rsidRPr="0006290C">
        <w:t xml:space="preserve">ata </w:t>
      </w:r>
      <w:r>
        <w:t>c</w:t>
      </w:r>
      <w:r w:rsidRPr="0006290C">
        <w:t>ollection</w:t>
      </w:r>
      <w:r>
        <w:t>: online survey</w:t>
      </w:r>
      <w:bookmarkEnd w:id="110"/>
    </w:p>
    <w:p w14:paraId="16BF34EF" w14:textId="77777777" w:rsidR="00EB7F85" w:rsidRPr="006B2FC7" w:rsidRDefault="00EB7F85" w:rsidP="00EB7F85">
      <w:pPr>
        <w:spacing w:line="360" w:lineRule="auto"/>
        <w:jc w:val="both"/>
        <w:rPr>
          <w:rFonts w:ascii="Arial" w:hAnsi="Arial" w:cs="Arial"/>
          <w:sz w:val="24"/>
          <w:szCs w:val="24"/>
        </w:rPr>
      </w:pPr>
      <w:r w:rsidRPr="006B2FC7">
        <w:rPr>
          <w:rFonts w:ascii="Arial" w:hAnsi="Arial" w:cs="Arial"/>
          <w:sz w:val="24"/>
          <w:szCs w:val="24"/>
        </w:rPr>
        <w:t>For the initial quantitative phase of the study, a decision</w:t>
      </w:r>
      <w:r>
        <w:rPr>
          <w:rFonts w:ascii="Arial" w:hAnsi="Arial" w:cs="Arial"/>
          <w:sz w:val="24"/>
          <w:szCs w:val="24"/>
        </w:rPr>
        <w:t xml:space="preserve"> was</w:t>
      </w:r>
      <w:r w:rsidRPr="006B2FC7">
        <w:rPr>
          <w:rFonts w:ascii="Arial" w:hAnsi="Arial" w:cs="Arial"/>
          <w:sz w:val="24"/>
          <w:szCs w:val="24"/>
        </w:rPr>
        <w:t xml:space="preserve"> needed first about the most appropriate data collection method. As the </w:t>
      </w:r>
      <w:r>
        <w:rPr>
          <w:rFonts w:ascii="Arial" w:hAnsi="Arial" w:cs="Arial"/>
          <w:sz w:val="24"/>
          <w:szCs w:val="24"/>
        </w:rPr>
        <w:t>literature review</w:t>
      </w:r>
      <w:r w:rsidRPr="006B2FC7">
        <w:rPr>
          <w:rFonts w:ascii="Arial" w:hAnsi="Arial" w:cs="Arial"/>
          <w:sz w:val="24"/>
          <w:szCs w:val="24"/>
        </w:rPr>
        <w:t xml:space="preserve"> chapter indicated, questionnaires or surveys are often used in quantitative research. Sufficient information is already known about the research topic so that it is possible to formulate meaningful questions from the existing questionnaires. Using an established questionnaire from a published article on a similar topic is advisable as this could save time in the research process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{"citationItems":[{"id":"ITEM-1","itemData":{"DOI":"10.1108/MRR-02-2013-0027","ISSN":"20408269","abstract":"Purpose: This article aims to draw on experience in supervising new researchers, and the advice of other writers to offer novice researchers such as those engaged in study for a thesis, or in another small-scale research project, a pragmatic introduction to designing and using research questionnaires. Design/methodology/approach: After a brief introduction, this article is organized into three main sections: designing questionnaires, distributing questionnaires, and analysing and presenting questionnaire data. Within these sections, ten questions often asked by novice researchers are posed and answered. Findings: This article is designed to give novice researchers advice and support to help them to design good questionnaires, to maximise their response rate, and to undertake appropriate data analysis. Originality/value: Other research methods texts offer advice on questionnaire design and use, but their advice is not specifically tailored to new researchers. They tend to offer options, but provide limited guidance on making crucial decisions in questionnaire design, distribution and data analysis and presentation. © Emerald Group Publishing Limited.","author":[{"dropping-particle":"","family":"Rowley","given":"Jenny","non-dropping-particle":"","parse-names":false,"suffix":""}],"container-title":"Management Research Review","id":"ITEM-1","issue":"3","issued":{"date-parts":[["2014"]]},"page":"308-330","title":"Designing and using research questionnaires","type":"article-journal","volume":"37"},"uris":["http://www.mendeley.com/documents/?uuid=516608a8-41bf-4bf7-8883-4316ed74189f"]}],"mendeley":{"formattedCitation":"(Rowley, 2014)","plainTextFormattedCitation":"(Rowley, 2014)","previouslyFormattedCitation":"(Rowley, 2014)"},"properties":{"noteIndex":0},"schema":"https://github.com/citation-style-language/schema/raw/master/csl-citation.json"}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(Rowley, 2014)</w:t>
      </w:r>
      <w:r w:rsidRPr="006B2FC7">
        <w:rPr>
          <w:rFonts w:ascii="Arial" w:hAnsi="Arial" w:cs="Arial"/>
          <w:sz w:val="24"/>
          <w:szCs w:val="24"/>
        </w:rPr>
        <w:fldChar w:fldCharType="end"/>
      </w:r>
      <w:r w:rsidRPr="006B2FC7">
        <w:rPr>
          <w:rFonts w:ascii="Arial" w:hAnsi="Arial" w:cs="Arial"/>
          <w:sz w:val="24"/>
          <w:szCs w:val="24"/>
        </w:rPr>
        <w:t xml:space="preserve">.  </w:t>
      </w:r>
    </w:p>
    <w:p w14:paraId="405E7809" w14:textId="77777777" w:rsidR="00EB7F85" w:rsidRPr="006B2FC7"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In addition, there are limited studies in this area in SA, which makes collecting some existing secondary numerical data would not be possible because we are unsure what is currently happening, the survey will help us gather unique new insights. According to Doyle (2008): </w:t>
      </w:r>
    </w:p>
    <w:p w14:paraId="032FC87D" w14:textId="77777777" w:rsidR="00EB7F85" w:rsidRPr="006B2FC7" w:rsidRDefault="00EB7F85" w:rsidP="00EB7F85">
      <w:pPr>
        <w:spacing w:line="360" w:lineRule="auto"/>
        <w:ind w:left="720"/>
        <w:jc w:val="both"/>
        <w:rPr>
          <w:rFonts w:ascii="Arial" w:hAnsi="Arial" w:cs="Arial"/>
          <w:i/>
          <w:iCs/>
          <w:sz w:val="24"/>
          <w:szCs w:val="24"/>
        </w:rPr>
      </w:pPr>
      <w:r>
        <w:rPr>
          <w:rFonts w:ascii="Arial" w:hAnsi="Arial" w:cs="Arial"/>
          <w:i/>
          <w:iCs/>
          <w:sz w:val="24"/>
          <w:szCs w:val="24"/>
        </w:rPr>
        <w:t>“</w:t>
      </w:r>
      <w:r w:rsidRPr="006B2FC7">
        <w:rPr>
          <w:rFonts w:ascii="Arial" w:hAnsi="Arial" w:cs="Arial"/>
          <w:i/>
          <w:iCs/>
          <w:sz w:val="24"/>
          <w:szCs w:val="24"/>
        </w:rPr>
        <w:t>Surveys can be a powerful and useful tool for collecting data on human characteristics, attitudes, thoughts and behaviors.</w:t>
      </w:r>
      <w:r>
        <w:rPr>
          <w:rFonts w:ascii="Arial" w:hAnsi="Arial" w:cs="Arial"/>
          <w:i/>
          <w:iCs/>
          <w:sz w:val="24"/>
          <w:szCs w:val="24"/>
        </w:rPr>
        <w:t>”</w:t>
      </w:r>
    </w:p>
    <w:p w14:paraId="5B2B275E" w14:textId="7D50F6C9"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The extensive use of questionnaires comes from a number of advantages and benefits associated with their use</w:t>
      </w:r>
      <w:r>
        <w:rPr>
          <w:rFonts w:ascii="Arial" w:hAnsi="Arial" w:cs="Arial"/>
          <w:sz w:val="24"/>
          <w:szCs w:val="24"/>
        </w:rPr>
        <w:t xml:space="preserve"> (summarised in</w:t>
      </w:r>
      <w:r>
        <w:rPr>
          <w:rFonts w:ascii="Arial" w:hAnsi="Arial" w:cs="Arial"/>
          <w:sz w:val="28"/>
          <w:szCs w:val="28"/>
        </w:rPr>
        <w:t xml:space="preserve"> </w:t>
      </w:r>
      <w:r>
        <w:rPr>
          <w:rFonts w:ascii="Arial" w:hAnsi="Arial" w:cs="Arial"/>
          <w:sz w:val="28"/>
          <w:szCs w:val="28"/>
        </w:rPr>
        <w:fldChar w:fldCharType="begin"/>
      </w:r>
      <w:r>
        <w:rPr>
          <w:rFonts w:ascii="Arial" w:hAnsi="Arial" w:cs="Arial"/>
          <w:sz w:val="28"/>
          <w:szCs w:val="28"/>
        </w:rPr>
        <w:instrText xml:space="preserve"> REF _Ref124721812 \h  \* MERGEFORMAT </w:instrText>
      </w:r>
      <w:r>
        <w:rPr>
          <w:rFonts w:ascii="Arial" w:hAnsi="Arial" w:cs="Arial"/>
          <w:sz w:val="28"/>
          <w:szCs w:val="28"/>
        </w:rPr>
      </w:r>
      <w:r>
        <w:rPr>
          <w:rFonts w:ascii="Arial" w:hAnsi="Arial" w:cs="Arial"/>
          <w:sz w:val="28"/>
          <w:szCs w:val="28"/>
        </w:rPr>
        <w:fldChar w:fldCharType="separate"/>
      </w:r>
      <w:r w:rsidR="0042308E" w:rsidRPr="0042308E">
        <w:rPr>
          <w:rFonts w:asciiTheme="minorBidi" w:hAnsiTheme="minorBidi"/>
          <w:color w:val="1F3864" w:themeColor="accent1" w:themeShade="80"/>
          <w:sz w:val="24"/>
          <w:szCs w:val="24"/>
        </w:rPr>
        <w:t xml:space="preserve">Table </w:t>
      </w:r>
      <w:r w:rsidR="0042308E" w:rsidRPr="0042308E">
        <w:rPr>
          <w:rFonts w:asciiTheme="minorBidi" w:hAnsiTheme="minorBidi"/>
          <w:noProof/>
          <w:color w:val="1F3864" w:themeColor="accent1" w:themeShade="80"/>
          <w:sz w:val="24"/>
          <w:szCs w:val="24"/>
        </w:rPr>
        <w:t>8</w:t>
      </w:r>
      <w:r>
        <w:rPr>
          <w:rFonts w:ascii="Arial" w:hAnsi="Arial" w:cs="Arial"/>
          <w:sz w:val="28"/>
          <w:szCs w:val="28"/>
        </w:rPr>
        <w:fldChar w:fldCharType="end"/>
      </w:r>
      <w:r>
        <w:rPr>
          <w:rFonts w:ascii="Arial" w:hAnsi="Arial" w:cs="Arial"/>
          <w:sz w:val="24"/>
          <w:szCs w:val="24"/>
        </w:rPr>
        <w:t>):</w:t>
      </w:r>
    </w:p>
    <w:p w14:paraId="219237B1" w14:textId="67DC58B2" w:rsidR="00EB7F85" w:rsidRPr="00DE35BE" w:rsidRDefault="00EB7F85" w:rsidP="00EB7F85">
      <w:pPr>
        <w:pStyle w:val="Caption"/>
        <w:keepNext/>
        <w:rPr>
          <w:sz w:val="22"/>
          <w:szCs w:val="22"/>
        </w:rPr>
      </w:pPr>
      <w:bookmarkStart w:id="111" w:name="_Ref124721812"/>
      <w:bookmarkStart w:id="112" w:name="_Toc153894562"/>
      <w:r w:rsidRPr="00DE35BE">
        <w:rPr>
          <w:sz w:val="22"/>
          <w:szCs w:val="22"/>
        </w:rPr>
        <w:t xml:space="preserve">Table </w:t>
      </w:r>
      <w:r w:rsidRPr="00DE35BE">
        <w:rPr>
          <w:sz w:val="22"/>
          <w:szCs w:val="22"/>
        </w:rPr>
        <w:fldChar w:fldCharType="begin"/>
      </w:r>
      <w:r w:rsidRPr="00DE35BE">
        <w:rPr>
          <w:sz w:val="22"/>
          <w:szCs w:val="22"/>
        </w:rPr>
        <w:instrText xml:space="preserve"> SEQ Table \* ARABIC </w:instrText>
      </w:r>
      <w:r w:rsidRPr="00DE35BE">
        <w:rPr>
          <w:sz w:val="22"/>
          <w:szCs w:val="22"/>
        </w:rPr>
        <w:fldChar w:fldCharType="separate"/>
      </w:r>
      <w:r w:rsidR="009B31EB">
        <w:rPr>
          <w:noProof/>
          <w:sz w:val="22"/>
          <w:szCs w:val="22"/>
        </w:rPr>
        <w:t>8</w:t>
      </w:r>
      <w:r w:rsidRPr="00DE35BE">
        <w:rPr>
          <w:noProof/>
          <w:sz w:val="22"/>
          <w:szCs w:val="22"/>
        </w:rPr>
        <w:fldChar w:fldCharType="end"/>
      </w:r>
      <w:bookmarkEnd w:id="111"/>
      <w:r w:rsidRPr="00DE35BE">
        <w:rPr>
          <w:sz w:val="22"/>
          <w:szCs w:val="22"/>
        </w:rPr>
        <w:t xml:space="preserve">: </w:t>
      </w:r>
      <w:r>
        <w:rPr>
          <w:sz w:val="22"/>
          <w:szCs w:val="22"/>
        </w:rPr>
        <w:t>S</w:t>
      </w:r>
      <w:r w:rsidRPr="00DE35BE">
        <w:rPr>
          <w:sz w:val="22"/>
          <w:szCs w:val="22"/>
        </w:rPr>
        <w:t>ummary of questionnaire benefits</w:t>
      </w:r>
      <w:bookmarkEnd w:id="112"/>
    </w:p>
    <w:tbl>
      <w:tblPr>
        <w:tblStyle w:val="TableGrid"/>
        <w:tblW w:w="985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EB7F85" w:rsidRPr="00E6794D" w14:paraId="6060C068" w14:textId="77777777" w:rsidTr="00282204">
        <w:trPr>
          <w:trHeight w:val="3593"/>
          <w:jc w:val="center"/>
        </w:trPr>
        <w:tc>
          <w:tcPr>
            <w:tcW w:w="9856" w:type="dxa"/>
          </w:tcPr>
          <w:p w14:paraId="016F330F" w14:textId="77777777" w:rsidR="00EB7F85" w:rsidRPr="00E6794D" w:rsidRDefault="00EB7F85" w:rsidP="00EB7F85">
            <w:pPr>
              <w:pStyle w:val="ListParagraph"/>
              <w:numPr>
                <w:ilvl w:val="0"/>
                <w:numId w:val="4"/>
              </w:numPr>
              <w:spacing w:line="360" w:lineRule="auto"/>
              <w:jc w:val="both"/>
              <w:rPr>
                <w:rFonts w:cstheme="minorHAnsi"/>
              </w:rPr>
            </w:pPr>
            <w:r w:rsidRPr="00E6794D">
              <w:rPr>
                <w:rFonts w:cstheme="minorHAnsi"/>
              </w:rPr>
              <w:t>Surveys allow the researcher to operationalise concepts that may arise either through hypotheses of themes in previous research and the literature.</w:t>
            </w:r>
          </w:p>
          <w:p w14:paraId="22066AF1" w14:textId="77777777" w:rsidR="00EB7F85" w:rsidRPr="00E6794D" w:rsidRDefault="00EB7F85" w:rsidP="00EB7F85">
            <w:pPr>
              <w:pStyle w:val="ListParagraph"/>
              <w:numPr>
                <w:ilvl w:val="0"/>
                <w:numId w:val="4"/>
              </w:numPr>
              <w:spacing w:line="360" w:lineRule="auto"/>
              <w:jc w:val="both"/>
              <w:rPr>
                <w:rFonts w:cstheme="minorHAnsi"/>
              </w:rPr>
            </w:pPr>
            <w:r w:rsidRPr="00E6794D">
              <w:rPr>
                <w:rFonts w:cstheme="minorHAnsi"/>
              </w:rPr>
              <w:t>They allow experiences and views to be captured and quantified.</w:t>
            </w:r>
          </w:p>
          <w:p w14:paraId="6B4164A2" w14:textId="77777777" w:rsidR="00EB7F85" w:rsidRPr="00E6794D" w:rsidRDefault="00EB7F85" w:rsidP="00EB7F85">
            <w:pPr>
              <w:pStyle w:val="ListParagraph"/>
              <w:numPr>
                <w:ilvl w:val="0"/>
                <w:numId w:val="4"/>
              </w:numPr>
              <w:spacing w:line="360" w:lineRule="auto"/>
              <w:jc w:val="both"/>
              <w:rPr>
                <w:rFonts w:cstheme="minorHAnsi"/>
              </w:rPr>
            </w:pPr>
            <w:r w:rsidRPr="00E6794D">
              <w:rPr>
                <w:rFonts w:cstheme="minorHAnsi"/>
              </w:rPr>
              <w:t>As a predominantly quantitative method, and due to their standardised format, they allow for comparison.</w:t>
            </w:r>
          </w:p>
          <w:p w14:paraId="46BE9253" w14:textId="77777777" w:rsidR="00EB7F85" w:rsidRPr="00E6794D" w:rsidRDefault="00EB7F85" w:rsidP="00EB7F85">
            <w:pPr>
              <w:pStyle w:val="ListParagraph"/>
              <w:numPr>
                <w:ilvl w:val="0"/>
                <w:numId w:val="4"/>
              </w:numPr>
              <w:spacing w:line="360" w:lineRule="auto"/>
              <w:jc w:val="both"/>
              <w:rPr>
                <w:rFonts w:cstheme="minorHAnsi"/>
              </w:rPr>
            </w:pPr>
            <w:r w:rsidRPr="00E6794D">
              <w:rPr>
                <w:rFonts w:cstheme="minorHAnsi"/>
              </w:rPr>
              <w:t>They can be distributed often relatively easily to a large number of participants to enhance validity and generalisability, then statistical inferences to be made to a broad section of the targeted population.</w:t>
            </w:r>
          </w:p>
          <w:p w14:paraId="180058F0" w14:textId="77777777" w:rsidR="00EB7F85" w:rsidRPr="00E6794D" w:rsidRDefault="00EB7F85" w:rsidP="00EB7F85">
            <w:pPr>
              <w:pStyle w:val="ListParagraph"/>
              <w:numPr>
                <w:ilvl w:val="0"/>
                <w:numId w:val="4"/>
              </w:numPr>
              <w:spacing w:line="360" w:lineRule="auto"/>
              <w:jc w:val="both"/>
              <w:rPr>
                <w:rFonts w:cstheme="minorHAnsi"/>
              </w:rPr>
            </w:pPr>
            <w:r w:rsidRPr="00E6794D">
              <w:rPr>
                <w:rFonts w:cstheme="minorHAnsi"/>
              </w:rPr>
              <w:t xml:space="preserve">They are considered to be an economical method in relation to time and resources, as a large section of the population can be surveyed relatively quickly, and the data is easily coded </w:t>
            </w:r>
          </w:p>
        </w:tc>
      </w:tr>
    </w:tbl>
    <w:p w14:paraId="7AC25216" w14:textId="77777777" w:rsidR="00EB7F85" w:rsidRDefault="00EB7F85" w:rsidP="00EB7F85">
      <w:pPr>
        <w:spacing w:line="360" w:lineRule="auto"/>
        <w:rPr>
          <w:rFonts w:cstheme="minorHAnsi"/>
          <w:sz w:val="24"/>
          <w:szCs w:val="24"/>
        </w:rPr>
      </w:pPr>
      <w:r>
        <w:rPr>
          <w:rFonts w:ascii="Arial" w:hAnsi="Arial" w:cs="Arial"/>
          <w:sz w:val="24"/>
          <w:szCs w:val="24"/>
        </w:rPr>
        <w:t>Ref:</w:t>
      </w:r>
      <w:r w:rsidRPr="00A500DD">
        <w:rPr>
          <w:rFonts w:cstheme="minorHAnsi"/>
          <w:sz w:val="24"/>
          <w:szCs w:val="24"/>
        </w:rPr>
        <w:t xml:space="preserve"> </w:t>
      </w:r>
      <w:r w:rsidRPr="00B92A7C">
        <w:rPr>
          <w:rFonts w:cstheme="minorHAnsi"/>
          <w:sz w:val="24"/>
          <w:szCs w:val="24"/>
        </w:rPr>
        <w:fldChar w:fldCharType="begin" w:fldLock="1"/>
      </w:r>
      <w:r w:rsidRPr="00B92A7C">
        <w:rPr>
          <w:rFonts w:cstheme="minorHAnsi"/>
          <w:sz w:val="24"/>
          <w:szCs w:val="24"/>
        </w:rPr>
        <w:instrText>ADDIN CSL_CITATION {"citationItems":[{"id":"ITEM-1","itemData":{"URL":"https://www.dawsonera.com/readonline/9780335262755","accessed":{"date-parts":[["2020","1","14"]]},"author":[{"dropping-particle":"","family":"Bowling","given":"Ann","non-dropping-particle":"","parse-names":false,"suffix":""}],"id":"ITEM-1","issued":{"date-parts":[["2014"]]},"page":"1-534","title":"Read: Research Methods In Health: Investigating Health And Health Services","type":"webpage"},"uris":["http://www.mendeley.com/documents/?uuid=547516df-6be8-3d33-a242-93f231753ccd"]}],"mendeley":{"formattedCitation":"(Bowling, 2014)","plainTextFormattedCitation":"(Bowling, 2014)","previouslyFormattedCitation":"(Bowling, 2014)"},"properties":{"noteIndex":0},"schema":"https://github.com/citation-style-language/schema/raw/master/csl-citation.json"}</w:instrText>
      </w:r>
      <w:r w:rsidRPr="00B92A7C">
        <w:rPr>
          <w:rFonts w:cstheme="minorHAnsi"/>
          <w:sz w:val="24"/>
          <w:szCs w:val="24"/>
        </w:rPr>
        <w:fldChar w:fldCharType="separate"/>
      </w:r>
      <w:r w:rsidRPr="00B92A7C">
        <w:rPr>
          <w:rFonts w:cstheme="minorHAnsi"/>
          <w:noProof/>
          <w:sz w:val="24"/>
          <w:szCs w:val="24"/>
        </w:rPr>
        <w:t>(Bowling, 2014)</w:t>
      </w:r>
      <w:r w:rsidRPr="00B92A7C">
        <w:rPr>
          <w:rFonts w:cstheme="minorHAnsi"/>
          <w:sz w:val="24"/>
          <w:szCs w:val="24"/>
        </w:rPr>
        <w:fldChar w:fldCharType="end"/>
      </w:r>
      <w:r>
        <w:rPr>
          <w:rFonts w:cstheme="minorHAnsi"/>
          <w:sz w:val="24"/>
          <w:szCs w:val="24"/>
        </w:rPr>
        <w:t>.</w:t>
      </w:r>
    </w:p>
    <w:p w14:paraId="0BD3FCF2" w14:textId="77777777" w:rsidR="00EB7F85" w:rsidRPr="006B2FC7"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However, a survey </w:t>
      </w:r>
      <w:r w:rsidRPr="003F2FCF">
        <w:rPr>
          <w:rFonts w:ascii="Arial" w:hAnsi="Arial" w:cs="Arial"/>
          <w:sz w:val="24"/>
          <w:szCs w:val="24"/>
        </w:rPr>
        <w:t xml:space="preserve">can be difficult to construct and time-consuming to develop and implement correctly. It can be an option for collecting primary data if it does not already exist and can yield rich primary data </w:t>
      </w:r>
      <w:r w:rsidRPr="003F2FCF">
        <w:rPr>
          <w:rFonts w:ascii="Arial" w:hAnsi="Arial" w:cs="Arial"/>
          <w:sz w:val="24"/>
          <w:szCs w:val="24"/>
        </w:rPr>
        <w:fldChar w:fldCharType="begin" w:fldLock="1"/>
      </w:r>
      <w:r w:rsidRPr="003F2FCF">
        <w:rPr>
          <w:rFonts w:ascii="Arial" w:hAnsi="Arial" w:cs="Arial"/>
          <w:sz w:val="24"/>
          <w:szCs w:val="24"/>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2011)","plainTextFormattedCitation":"(Aparasu, 2011)","previouslyFormattedCitation":"(Aparasu, 2011)"},"properties":{"noteIndex":0},"schema":"https://github.com/citation-style-language/schema/raw/master/csl-citation.json"}</w:instrText>
      </w:r>
      <w:r w:rsidRPr="003F2FCF">
        <w:rPr>
          <w:rFonts w:ascii="Arial" w:hAnsi="Arial" w:cs="Arial"/>
          <w:sz w:val="24"/>
          <w:szCs w:val="24"/>
        </w:rPr>
        <w:fldChar w:fldCharType="separate"/>
      </w:r>
      <w:r w:rsidRPr="003F2FCF">
        <w:rPr>
          <w:rFonts w:ascii="Arial" w:hAnsi="Arial" w:cs="Arial"/>
          <w:noProof/>
          <w:sz w:val="24"/>
          <w:szCs w:val="24"/>
        </w:rPr>
        <w:t>(Aparasu, 2011)</w:t>
      </w:r>
      <w:r w:rsidRPr="003F2FCF">
        <w:rPr>
          <w:rFonts w:ascii="Arial" w:hAnsi="Arial" w:cs="Arial"/>
          <w:sz w:val="24"/>
          <w:szCs w:val="24"/>
        </w:rPr>
        <w:fldChar w:fldCharType="end"/>
      </w:r>
      <w:r w:rsidRPr="003F2FCF">
        <w:rPr>
          <w:rFonts w:ascii="Arial" w:hAnsi="Arial" w:cs="Arial"/>
          <w:sz w:val="24"/>
          <w:szCs w:val="24"/>
        </w:rPr>
        <w:t xml:space="preserve">. Other </w:t>
      </w:r>
      <w:r w:rsidRPr="00F85F8B">
        <w:rPr>
          <w:rFonts w:ascii="Arial" w:hAnsi="Arial" w:cs="Arial"/>
          <w:sz w:val="24"/>
          <w:szCs w:val="24"/>
          <w:lang w:val="en-GB"/>
        </w:rPr>
        <w:t>disadvantages</w:t>
      </w:r>
      <w:r w:rsidRPr="003F2FCF">
        <w:rPr>
          <w:rFonts w:ascii="Arial" w:hAnsi="Arial" w:cs="Arial"/>
          <w:sz w:val="24"/>
          <w:szCs w:val="24"/>
        </w:rPr>
        <w:t xml:space="preserve"> associated with the use of </w:t>
      </w:r>
      <w:r>
        <w:rPr>
          <w:rFonts w:ascii="Arial" w:hAnsi="Arial" w:cs="Arial"/>
          <w:sz w:val="24"/>
          <w:szCs w:val="24"/>
        </w:rPr>
        <w:t xml:space="preserve">a </w:t>
      </w:r>
      <w:r w:rsidRPr="003F2FCF">
        <w:rPr>
          <w:rFonts w:ascii="Arial" w:hAnsi="Arial" w:cs="Arial"/>
          <w:sz w:val="24"/>
          <w:szCs w:val="24"/>
        </w:rPr>
        <w:t xml:space="preserve">questionnaire is the fact that it is too deductive, lacks the ability to add open comments and give in-depth answers. To counter these issues, the findings will be triangulated with the qualitative findings in the interpretation phase.  </w:t>
      </w:r>
    </w:p>
    <w:p w14:paraId="5E9B9991" w14:textId="77777777" w:rsidR="00EB7F85" w:rsidRPr="00AE7E9C" w:rsidRDefault="00EB7F85" w:rsidP="00AE7E9C">
      <w:pPr>
        <w:pStyle w:val="Heading4"/>
        <w:numPr>
          <w:ilvl w:val="3"/>
          <w:numId w:val="14"/>
        </w:numPr>
        <w:tabs>
          <w:tab w:val="left" w:pos="810"/>
        </w:tabs>
        <w:spacing w:line="360" w:lineRule="auto"/>
        <w:ind w:left="360" w:hanging="360"/>
        <w:rPr>
          <w:rFonts w:asciiTheme="minorBidi" w:hAnsiTheme="minorBidi" w:cstheme="minorBidi"/>
          <w:sz w:val="24"/>
          <w:szCs w:val="24"/>
        </w:rPr>
      </w:pPr>
      <w:r w:rsidRPr="00AE7E9C">
        <w:rPr>
          <w:rFonts w:asciiTheme="minorBidi" w:hAnsiTheme="minorBidi" w:cstheme="minorBidi"/>
          <w:sz w:val="24"/>
          <w:szCs w:val="24"/>
        </w:rPr>
        <w:t xml:space="preserve">Constructing the survey </w:t>
      </w:r>
    </w:p>
    <w:p w14:paraId="125F3EB9" w14:textId="77777777" w:rsidR="00EB7F85" w:rsidRPr="006B2FC7"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Constructing the survey correctly is a critical step to ensure that the data collected from the survey will be reliable and valid so that it will answer the research questions. Thus, it is advisable to spend a considerable amount of time and effort on this step of the survey design process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2011)","plainTextFormattedCitation":"(Aparasu, 2011)","previouslyFormattedCitation":"(Aparasu, 2011)"},"properties":{"noteIndex":0},"schema":"https://github.com/citation-style-language/schema/raw/master/csl-citation.json"}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(Aparasu, 2011)</w:t>
      </w:r>
      <w:r w:rsidRPr="006B2FC7">
        <w:rPr>
          <w:rFonts w:ascii="Arial" w:hAnsi="Arial" w:cs="Arial"/>
          <w:sz w:val="24"/>
          <w:szCs w:val="24"/>
        </w:rPr>
        <w:fldChar w:fldCharType="end"/>
      </w:r>
      <w:r w:rsidRPr="006B2FC7">
        <w:rPr>
          <w:rFonts w:ascii="Arial" w:hAnsi="Arial" w:cs="Arial"/>
          <w:sz w:val="24"/>
          <w:szCs w:val="24"/>
        </w:rPr>
        <w:t xml:space="preserve">. </w:t>
      </w:r>
    </w:p>
    <w:p w14:paraId="6AF5FA06" w14:textId="77777777" w:rsidR="00EB7F85" w:rsidRPr="006B2FC7"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The literature review revealed several existing surveys instruments such as questionnaire, which was used to explore pharmacists or physician attitudes toward the clinical role of pharmacists in general or in diabetes management. Questionnaires are considered an effective survey instrument when the purpose is to collect data from a relatively large number (more than 100) of people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{"citationItems":[{"id":"ITEM-1","itemData":{"DOI":"10.1108/MRR-02-2013-0027","ISSN":"20408269","abstract":"Purpose: This article aims to draw on experience in supervising new researchers, and the advice of other writers to offer novice researchers such as those engaged in study for a thesis, or in another small-scale research project, a pragmatic introduction to designing and using research questionnaires. Design/methodology/approach: After a brief introduction, this article is organized into three main sections: designing questionnaires, distributing questionnaires, and analysing and presenting questionnaire data. Within these sections, ten questions often asked by novice researchers are posed and answered. Findings: This article is designed to give novice researchers advice and support to help them to design good questionnaires, to maximise their response rate, and to undertake appropriate data analysis. Originality/value: Other research methods texts offer advice on questionnaire design and use, but their advice is not specifically tailored to new researchers. They tend to offer options, but provide limited guidance on making crucial decisions in questionnaire design, distribution and data analysis and presentation. © Emerald Group Publishing Limited.","author":[{"dropping-particle":"","family":"Rowley","given":"Jenny","non-dropping-particle":"","parse-names":false,"suffix":""}],"container-title":"Management Research Review","id":"ITEM-1","issue":"3","issued":{"date-parts":[["2014"]]},"page":"308-330","title":"Designing and using research questionnaires","type":"article-journal","volume":"37"},"uris":["http://www.mendeley.com/documents/?uuid=516608a8-41bf-4bf7-8883-4316ed74189f"]}],"mendeley":{"formattedCitation":"(Rowley, 2014)","plainTextFormattedCitation":"(Rowley, 2014)","previouslyFormattedCitation":"(Rowley, 2014)"},"properties":{"noteIndex":0},"schema":"https://github.com/citation-style-language/schema/raw/master/csl-citation.json"}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(Rowley, 2014)</w:t>
      </w:r>
      <w:r w:rsidRPr="006B2FC7">
        <w:rPr>
          <w:rFonts w:ascii="Arial" w:hAnsi="Arial" w:cs="Arial"/>
          <w:sz w:val="24"/>
          <w:szCs w:val="24"/>
        </w:rPr>
        <w:fldChar w:fldCharType="end"/>
      </w:r>
      <w:r w:rsidRPr="006B2FC7">
        <w:rPr>
          <w:rFonts w:ascii="Arial" w:hAnsi="Arial" w:cs="Arial"/>
          <w:sz w:val="24"/>
          <w:szCs w:val="24"/>
        </w:rPr>
        <w:t xml:space="preserve">. </w:t>
      </w:r>
    </w:p>
    <w:p w14:paraId="7985A892" w14:textId="77777777" w:rsidR="00EB7F85" w:rsidRPr="006B2FC7"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The questionnaire for this study </w:t>
      </w:r>
      <w:r>
        <w:rPr>
          <w:rFonts w:ascii="Arial" w:hAnsi="Arial" w:cs="Arial"/>
          <w:sz w:val="24"/>
          <w:szCs w:val="24"/>
        </w:rPr>
        <w:t xml:space="preserve">was </w:t>
      </w:r>
      <w:r w:rsidRPr="006B2FC7">
        <w:rPr>
          <w:rFonts w:ascii="Arial" w:hAnsi="Arial" w:cs="Arial"/>
          <w:sz w:val="24"/>
          <w:szCs w:val="24"/>
        </w:rPr>
        <w:t>written in English, and include</w:t>
      </w:r>
      <w:r>
        <w:rPr>
          <w:rFonts w:ascii="Arial" w:hAnsi="Arial" w:cs="Arial"/>
          <w:sz w:val="24"/>
          <w:szCs w:val="24"/>
        </w:rPr>
        <w:t xml:space="preserve">d </w:t>
      </w:r>
      <w:r w:rsidRPr="006B2FC7">
        <w:rPr>
          <w:rFonts w:ascii="Arial" w:hAnsi="Arial" w:cs="Arial"/>
          <w:sz w:val="24"/>
          <w:szCs w:val="24"/>
        </w:rPr>
        <w:t xml:space="preserve">a descriptive section to explore the opinions of HCPs to the pharmacist’s role in diabetes management. This part aims to generate a profile of the characteristics of the participants, which will help to count the frequency of occurrence of opinions, attitudes, and experiences. The second part </w:t>
      </w:r>
      <w:r>
        <w:rPr>
          <w:rFonts w:ascii="Arial" w:hAnsi="Arial" w:cs="Arial"/>
          <w:sz w:val="24"/>
          <w:szCs w:val="24"/>
        </w:rPr>
        <w:t>is</w:t>
      </w:r>
      <w:r w:rsidRPr="006B2FC7">
        <w:rPr>
          <w:rFonts w:ascii="Arial" w:hAnsi="Arial" w:cs="Arial"/>
          <w:sz w:val="24"/>
          <w:szCs w:val="24"/>
        </w:rPr>
        <w:t xml:space="preserve"> analytical which aims to understand any relationships between variables, therefore, this part </w:t>
      </w:r>
      <w:r>
        <w:rPr>
          <w:rFonts w:ascii="Arial" w:hAnsi="Arial" w:cs="Arial"/>
          <w:sz w:val="24"/>
          <w:szCs w:val="24"/>
        </w:rPr>
        <w:t>is</w:t>
      </w:r>
      <w:r w:rsidRPr="006B2FC7">
        <w:rPr>
          <w:rFonts w:ascii="Arial" w:hAnsi="Arial" w:cs="Arial"/>
          <w:sz w:val="24"/>
          <w:szCs w:val="24"/>
        </w:rPr>
        <w:t xml:space="preserve"> employed to explore/explain the association between independent demographic variables such as, occupation, specialization and dependent attitudinal or experiential (of HCPs) variables relating to the role of the pharmacist in diabetes management.</w:t>
      </w:r>
    </w:p>
    <w:p w14:paraId="17A0D490" w14:textId="77777777" w:rsidR="00EB7F85" w:rsidRPr="00282479" w:rsidRDefault="00EB7F85" w:rsidP="00EB7F85">
      <w:pPr>
        <w:pStyle w:val="Heading5"/>
        <w:spacing w:line="360" w:lineRule="auto"/>
        <w:rPr>
          <w:rFonts w:asciiTheme="minorBidi" w:hAnsiTheme="minorBidi" w:cstheme="minorBidi"/>
          <w:sz w:val="24"/>
          <w:szCs w:val="24"/>
          <w:shd w:val="clear" w:color="auto" w:fill="FFFFFF"/>
          <w:lang w:val="en-GB"/>
        </w:rPr>
      </w:pPr>
      <w:r w:rsidRPr="00282479">
        <w:rPr>
          <w:rFonts w:asciiTheme="minorBidi" w:hAnsiTheme="minorBidi" w:cstheme="minorBidi"/>
          <w:sz w:val="24"/>
          <w:szCs w:val="24"/>
          <w:shd w:val="clear" w:color="auto" w:fill="FFFFFF"/>
          <w:lang w:val="en-GB"/>
        </w:rPr>
        <w:t>Written survey questions</w:t>
      </w:r>
    </w:p>
    <w:p w14:paraId="100764F8" w14:textId="780D9E79" w:rsidR="00EB7F85" w:rsidRPr="006B2FC7"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Closed-ended survey questions </w:t>
      </w:r>
      <w:r>
        <w:rPr>
          <w:rFonts w:ascii="Arial" w:hAnsi="Arial" w:cs="Arial"/>
          <w:sz w:val="24"/>
          <w:szCs w:val="24"/>
        </w:rPr>
        <w:t>was</w:t>
      </w:r>
      <w:r w:rsidRPr="006B2FC7">
        <w:rPr>
          <w:rFonts w:ascii="Arial" w:hAnsi="Arial" w:cs="Arial"/>
          <w:sz w:val="24"/>
          <w:szCs w:val="24"/>
        </w:rPr>
        <w:t xml:space="preserve"> developed following recognised guidelines </w:t>
      </w:r>
      <w:r w:rsidRPr="006B2FC7">
        <w:rPr>
          <w:rFonts w:ascii="Arial" w:hAnsi="Arial" w:cs="Arial"/>
          <w:sz w:val="24"/>
          <w:szCs w:val="24"/>
        </w:rPr>
        <w:fldChar w:fldCharType="begin" w:fldLock="1"/>
      </w:r>
      <w:r>
        <w:rPr>
          <w:rFonts w:ascii="Arial" w:hAnsi="Arial" w:cs="Arial"/>
          <w:sz w:val="24"/>
          <w:szCs w:val="24"/>
        </w:rPr>
        <w:instrText>ADDIN CSL_CITATION {"citationItems":[{"id":"ITEM-1","itemData":{"URL":"https://scholar.google.co.uk/scholar?q=Oppenheim,+A.N.+(1992),+Questionnaire+Design,+Interviewing+and+Attitude+Measurement,+2nd+ed.,+Continuum,+London&amp;hl=en&amp;as_sdt=0&amp;as_vis=1&amp;oi=scholart","accessed":{"date-parts":[["2020","5","11"]]},"author":[{"dropping-particle":"","family":"Oppenheim","given":"A.N.","non-dropping-particle":"","parse-names":false,"suffix":""}],"id":"ITEM-1","issued":{"date-parts":[["1992"]]},"title":"Questionnaire Design, Interviewing and Attitude Measurement","type":"webpage"},"uris":["http://www.mendeley.com/documents/?uuid=eb0ce960-79e4-3078-8381-54de31316a05"]}],"mendeley":{"formattedCitation":"(Oppenheim, 1992)","manualFormatting":"(Oppenheim, 1992;","plainTextFormattedCitation":"(Oppenheim, 1992)","previouslyFormattedCitation":"(Oppenheim, 1992)"},"properties":{"noteIndex":0},"schema":"https://github.com/citation-style-language/schema/raw/master/csl-citation.json"}</w:instrText>
      </w:r>
      <w:r w:rsidRPr="006B2FC7">
        <w:rPr>
          <w:rFonts w:ascii="Arial" w:hAnsi="Arial" w:cs="Arial"/>
          <w:sz w:val="24"/>
          <w:szCs w:val="24"/>
        </w:rPr>
        <w:fldChar w:fldCharType="separate"/>
      </w:r>
      <w:r w:rsidRPr="00A77EF8">
        <w:rPr>
          <w:rFonts w:ascii="Arial" w:hAnsi="Arial" w:cs="Arial"/>
          <w:noProof/>
          <w:sz w:val="24"/>
          <w:szCs w:val="24"/>
        </w:rPr>
        <w:t>(Oppenheim, 1992</w:t>
      </w:r>
      <w:r>
        <w:rPr>
          <w:rFonts w:ascii="Arial" w:hAnsi="Arial" w:cs="Arial"/>
          <w:noProof/>
          <w:sz w:val="24"/>
          <w:szCs w:val="24"/>
        </w:rPr>
        <w:t>;</w:t>
      </w:r>
      <w:r w:rsidRPr="006B2FC7">
        <w:rPr>
          <w:rFonts w:ascii="Arial" w:hAnsi="Arial" w:cs="Arial"/>
          <w:sz w:val="24"/>
          <w:szCs w:val="24"/>
        </w:rPr>
        <w:fldChar w:fldCharType="end"/>
      </w:r>
      <w:r w:rsidRPr="006B2FC7">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2011)","manualFormatting":"Aparasu, 2011)","plainTextFormattedCitation":"(Aparasu, 2011)","previouslyFormattedCitation":"(Aparasu, 2011)"},"properties":{"noteIndex":0},"schema":"https://github.com/citation-style-language/schema/raw/master/csl-citation.json"}</w:instrText>
      </w:r>
      <w:r>
        <w:rPr>
          <w:rFonts w:ascii="Arial" w:hAnsi="Arial" w:cs="Arial"/>
          <w:sz w:val="24"/>
          <w:szCs w:val="24"/>
        </w:rPr>
        <w:fldChar w:fldCharType="separate"/>
      </w:r>
      <w:r w:rsidRPr="00580AB2">
        <w:rPr>
          <w:rFonts w:ascii="Arial" w:hAnsi="Arial" w:cs="Arial"/>
          <w:noProof/>
          <w:sz w:val="24"/>
          <w:szCs w:val="24"/>
        </w:rPr>
        <w:t>Aparasu, 2011)</w:t>
      </w:r>
      <w:r>
        <w:rPr>
          <w:rFonts w:ascii="Arial" w:hAnsi="Arial" w:cs="Arial"/>
          <w:sz w:val="24"/>
          <w:szCs w:val="24"/>
        </w:rPr>
        <w:fldChar w:fldCharType="end"/>
      </w:r>
      <w:r>
        <w:rPr>
          <w:rFonts w:ascii="Arial" w:hAnsi="Arial" w:cs="Arial"/>
          <w:sz w:val="24"/>
          <w:szCs w:val="24"/>
        </w:rPr>
        <w:t>.</w:t>
      </w:r>
      <w:r w:rsidRPr="006B2FC7">
        <w:rPr>
          <w:rFonts w:ascii="Arial" w:hAnsi="Arial" w:cs="Arial"/>
          <w:sz w:val="24"/>
          <w:szCs w:val="24"/>
        </w:rPr>
        <w:t xml:space="preserve"> For instance, questions should be clear and use simple language, avoid abbreviations or jargon, and be relatively short. The design and layout of the questionnaire are also important to maximise the completion rate. A clear title combined with a good and brief introduction at the beginning of the questionnaire </w:t>
      </w:r>
      <w:r>
        <w:rPr>
          <w:rFonts w:ascii="Arial" w:hAnsi="Arial" w:cs="Arial"/>
          <w:sz w:val="24"/>
          <w:szCs w:val="24"/>
        </w:rPr>
        <w:t>was</w:t>
      </w:r>
      <w:r w:rsidRPr="006B2FC7">
        <w:rPr>
          <w:rFonts w:ascii="Arial" w:hAnsi="Arial" w:cs="Arial"/>
          <w:sz w:val="24"/>
          <w:szCs w:val="24"/>
        </w:rPr>
        <w:t xml:space="preserve"> provided to enhance the quality of response. The introductory paragraph introduce</w:t>
      </w:r>
      <w:r>
        <w:rPr>
          <w:rFonts w:ascii="Arial" w:hAnsi="Arial" w:cs="Arial"/>
          <w:sz w:val="24"/>
          <w:szCs w:val="24"/>
        </w:rPr>
        <w:t>d</w:t>
      </w:r>
      <w:r w:rsidRPr="006B2FC7">
        <w:rPr>
          <w:rFonts w:ascii="Arial" w:hAnsi="Arial" w:cs="Arial"/>
          <w:sz w:val="24"/>
          <w:szCs w:val="24"/>
        </w:rPr>
        <w:t xml:space="preserve"> the aim of the questionnaire, provided the researcher’s contact details, and thank respondents for their time to response and complete the questionnaire. Moreover, providing clear instructions at the beginning and in each section, adding transitional statements between the sections, ordering the questions in a meaningful manner </w:t>
      </w:r>
      <w:r>
        <w:rPr>
          <w:rFonts w:ascii="Arial" w:hAnsi="Arial" w:cs="Arial"/>
          <w:sz w:val="24"/>
          <w:szCs w:val="24"/>
        </w:rPr>
        <w:t>was</w:t>
      </w:r>
      <w:r w:rsidRPr="006B2FC7">
        <w:rPr>
          <w:rFonts w:ascii="Arial" w:hAnsi="Arial" w:cs="Arial"/>
          <w:sz w:val="24"/>
          <w:szCs w:val="24"/>
        </w:rPr>
        <w:t xml:space="preserve"> employed to help the respondents to understand the questions which could increase the response rate. </w:t>
      </w:r>
      <w:r>
        <w:rPr>
          <w:rFonts w:ascii="Arial" w:hAnsi="Arial" w:cs="Arial"/>
          <w:sz w:val="24"/>
          <w:szCs w:val="24"/>
        </w:rPr>
        <w:t xml:space="preserve">(A copy of the questionnaire form used in this research is attached in the </w:t>
      </w:r>
      <w:r w:rsidRPr="002F7614">
        <w:rPr>
          <w:rFonts w:asciiTheme="minorBidi" w:hAnsiTheme="minorBidi"/>
          <w:color w:val="1F3864" w:themeColor="accent1" w:themeShade="80"/>
          <w:sz w:val="24"/>
          <w:szCs w:val="24"/>
        </w:rPr>
        <w:fldChar w:fldCharType="begin"/>
      </w:r>
      <w:r w:rsidRPr="002F7614">
        <w:rPr>
          <w:rFonts w:asciiTheme="minorBidi" w:hAnsiTheme="minorBidi"/>
          <w:color w:val="1F3864" w:themeColor="accent1" w:themeShade="80"/>
          <w:sz w:val="24"/>
          <w:szCs w:val="24"/>
        </w:rPr>
        <w:instrText xml:space="preserve"> REF _Ref124722085 \h  \* MERGEFORMAT </w:instrText>
      </w:r>
      <w:r w:rsidRPr="002F7614">
        <w:rPr>
          <w:rFonts w:asciiTheme="minorBidi" w:hAnsiTheme="minorBidi"/>
          <w:color w:val="1F3864" w:themeColor="accent1" w:themeShade="80"/>
          <w:sz w:val="24"/>
          <w:szCs w:val="24"/>
        </w:rPr>
      </w:r>
      <w:r w:rsidRPr="002F7614">
        <w:rPr>
          <w:rFonts w:asciiTheme="minorBidi" w:hAnsiTheme="minorBidi"/>
          <w:color w:val="1F3864" w:themeColor="accent1" w:themeShade="80"/>
          <w:sz w:val="24"/>
          <w:szCs w:val="24"/>
        </w:rPr>
        <w:fldChar w:fldCharType="separate"/>
      </w:r>
      <w:r w:rsidR="00787A35" w:rsidRPr="00685ED2">
        <w:rPr>
          <w:rFonts w:asciiTheme="minorBidi" w:hAnsiTheme="minorBidi"/>
          <w:color w:val="1F3864" w:themeColor="accent1" w:themeShade="80"/>
          <w:sz w:val="24"/>
          <w:szCs w:val="24"/>
          <w:lang w:val="en-GB"/>
        </w:rPr>
        <w:t>Appendix I</w:t>
      </w:r>
      <w:r w:rsidRPr="002F7614">
        <w:rPr>
          <w:rFonts w:asciiTheme="minorBidi" w:hAnsiTheme="minorBidi"/>
          <w:color w:val="1F3864" w:themeColor="accent1" w:themeShade="80"/>
          <w:sz w:val="24"/>
          <w:szCs w:val="24"/>
        </w:rPr>
        <w:fldChar w:fldCharType="end"/>
      </w:r>
      <w:r>
        <w:rPr>
          <w:rFonts w:ascii="Arial" w:hAnsi="Arial" w:cs="Arial"/>
          <w:sz w:val="24"/>
          <w:szCs w:val="24"/>
        </w:rPr>
        <w:t xml:space="preserve">).  </w:t>
      </w:r>
    </w:p>
    <w:p w14:paraId="06B92A9B" w14:textId="77777777" w:rsidR="00EB7F85" w:rsidRPr="006B2FC7" w:rsidRDefault="00EB7F85" w:rsidP="00EB7F85">
      <w:pPr>
        <w:pStyle w:val="CommentText"/>
        <w:spacing w:line="360" w:lineRule="auto"/>
        <w:jc w:val="both"/>
        <w:rPr>
          <w:rFonts w:ascii="Arial" w:hAnsi="Arial" w:cs="Arial"/>
          <w:sz w:val="24"/>
          <w:szCs w:val="24"/>
        </w:rPr>
      </w:pPr>
      <w:r w:rsidRPr="006B2FC7">
        <w:rPr>
          <w:rFonts w:ascii="Arial" w:hAnsi="Arial" w:cs="Arial"/>
          <w:sz w:val="24"/>
          <w:szCs w:val="24"/>
        </w:rPr>
        <w:t>The advantages of closed-ended questionnaires are that they are quick to answer (which may increase the response rate), and easy to be</w:t>
      </w:r>
      <w:r>
        <w:rPr>
          <w:rFonts w:ascii="Arial" w:hAnsi="Arial" w:cs="Arial"/>
          <w:sz w:val="24"/>
          <w:szCs w:val="24"/>
        </w:rPr>
        <w:t xml:space="preserve"> </w:t>
      </w:r>
      <w:r w:rsidRPr="006B2FC7">
        <w:rPr>
          <w:rFonts w:ascii="Arial" w:hAnsi="Arial" w:cs="Arial"/>
          <w:sz w:val="24"/>
          <w:szCs w:val="24"/>
        </w:rPr>
        <w:t xml:space="preserve">coded as well as to analyse the responses. The results of several groups can also be compared as the responders have the same universe of content before giving their answers. This form of questionnaire is also considered difficult to construct, and it could lead to misleading conclusions because the limited range of response options are given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{"citationItems":[{"id":"ITEM-1","itemData":{"DOI":"10.1108/MRR-02-2013-0027","ISSN":"20408269","abstract":"Purpose: This article aims to draw on experience in supervising new researchers, and the advice of other writers to offer novice researchers such as those engaged in study for a thesis, or in another small-scale research project, a pragmatic introduction to designing and using research questionnaires. Design/methodology/approach: After a brief introduction, this article is organized into three main sections: designing questionnaires, distributing questionnaires, and analysing and presenting questionnaire data. Within these sections, ten questions often asked by novice researchers are posed and answered. Findings: This article is designed to give novice researchers advice and support to help them to design good questionnaires, to maximise their response rate, and to undertake appropriate data analysis. Originality/value: Other research methods texts offer advice on questionnaire design and use, but their advice is not specifically tailored to new researchers. They tend to offer options, but provide limited guidance on making crucial decisions in questionnaire design, distribution and data analysis and presentation. © Emerald Group Publishing Limited.","author":[{"dropping-particle":"","family":"Rowley","given":"Jenny","non-dropping-particle":"","parse-names":false,"suffix":""}],"container-title":"Management Research Review","id":"ITEM-1","issue":"3","issued":{"date-parts":[["2014"]]},"page":"308-330","title":"Designing and using research questionnaires","type":"article-journal","volume":"37"},"uris":["http://www.mendeley.com/documents/?uuid=516608a8-41bf-4bf7-8883-4316ed74189f"]}],"mendeley":{"formattedCitation":"(Rowley, 2014)","manualFormatting":"(Oppenheim, 1992; Rowley, 2014)","plainTextFormattedCitation":"(Rowley, 2014)","previouslyFormattedCitation":"(Rowley, 2014)"},"properties":{"noteIndex":0},"schema":"https://github.com/citation-style-language/schema/raw/master/csl-citation.json"}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(Oppenheim, 1992; Rowley, 2014)</w:t>
      </w:r>
      <w:r w:rsidRPr="006B2FC7">
        <w:rPr>
          <w:rFonts w:ascii="Arial" w:hAnsi="Arial" w:cs="Arial"/>
          <w:sz w:val="24"/>
          <w:szCs w:val="24"/>
        </w:rPr>
        <w:fldChar w:fldCharType="end"/>
      </w:r>
      <w:r w:rsidRPr="006B2FC7">
        <w:rPr>
          <w:rFonts w:ascii="Arial" w:hAnsi="Arial" w:cs="Arial"/>
          <w:sz w:val="24"/>
          <w:szCs w:val="24"/>
        </w:rPr>
        <w:t xml:space="preserve">. On the other hand, an open-ended questionnaire is beneficial for collecting more in-depth insights and allow respondents to use their own language to express their own views. However, this should only be used if the population is relatively small because, it is easy to ask, but it could be difficult to answer as it needs more effort from respondents (which also may reduce the response rate), and more difficult to analyse as the coding process is costly and may be unreliable (Oppenheim, 1992). Therefore, open-ended questionnaires are more time consuming to complete and to analyse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{"citationItems":[{"id":"ITEM-1","itemData":{"DOI":"10.1108/MRR-02-2013-0027","ISSN":"20408269","abstract":"Purpose: This article aims to draw on experience in supervising new researchers, and the advice of other writers to offer novice researchers such as those engaged in study for a thesis, or in another small-scale research project, a pragmatic introduction to designing and using research questionnaires. Design/methodology/approach: After a brief introduction, this article is organized into three main sections: designing questionnaires, distributing questionnaires, and analysing and presenting questionnaire data. Within these sections, ten questions often asked by novice researchers are posed and answered. Findings: This article is designed to give novice researchers advice and support to help them to design good questionnaires, to maximise their response rate, and to undertake appropriate data analysis. Originality/value: Other research methods texts offer advice on questionnaire design and use, but their advice is not specifically tailored to new researchers. They tend to offer options, but provide limited guidance on making crucial decisions in questionnaire design, distribution and data analysis and presentation. © Emerald Group Publishing Limited.","author":[{"dropping-particle":"","family":"Rowley","given":"Jenny","non-dropping-particle":"","parse-names":false,"suffix":""}],"container-title":"Management Research Review","id":"ITEM-1","issue":"3","issued":{"date-parts":[["2014"]]},"page":"308-330","title":"Designing and using research questionnaires","type":"article-journal","volume":"37"},"uris":["http://www.mendeley.com/documents/?uuid=516608a8-41bf-4bf7-8883-4316ed74189f"]}],"mendeley":{"formattedCitation":"(Rowley, 2014)","plainTextFormattedCitation":"(Rowley, 2014)","previouslyFormattedCitation":"(Rowley, 2014)"},"properties":{"noteIndex":0},"schema":"https://github.com/citation-style-language/schema/raw/master/csl-citation.json"}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(Rowley, 2014)</w:t>
      </w:r>
      <w:r w:rsidRPr="006B2FC7">
        <w:rPr>
          <w:rFonts w:ascii="Arial" w:hAnsi="Arial" w:cs="Arial"/>
          <w:sz w:val="24"/>
          <w:szCs w:val="24"/>
        </w:rPr>
        <w:fldChar w:fldCharType="end"/>
      </w:r>
      <w:r w:rsidRPr="006B2FC7">
        <w:rPr>
          <w:rFonts w:ascii="Arial" w:hAnsi="Arial" w:cs="Arial"/>
          <w:sz w:val="24"/>
          <w:szCs w:val="24"/>
        </w:rPr>
        <w:t xml:space="preserve">. Despite this, the final section of the questionnaire in this </w:t>
      </w:r>
      <w:r>
        <w:rPr>
          <w:rFonts w:ascii="Arial" w:hAnsi="Arial" w:cs="Arial"/>
          <w:sz w:val="24"/>
          <w:szCs w:val="24"/>
        </w:rPr>
        <w:t>research</w:t>
      </w:r>
      <w:r w:rsidRPr="006B2FC7">
        <w:rPr>
          <w:rFonts w:ascii="Arial" w:hAnsi="Arial" w:cs="Arial"/>
          <w:sz w:val="24"/>
          <w:szCs w:val="24"/>
        </w:rPr>
        <w:t xml:space="preserve"> provide</w:t>
      </w:r>
      <w:r>
        <w:rPr>
          <w:rFonts w:ascii="Arial" w:hAnsi="Arial" w:cs="Arial"/>
          <w:sz w:val="24"/>
          <w:szCs w:val="24"/>
        </w:rPr>
        <w:t>d</w:t>
      </w:r>
      <w:r w:rsidRPr="006B2FC7">
        <w:rPr>
          <w:rFonts w:ascii="Arial" w:hAnsi="Arial" w:cs="Arial"/>
          <w:sz w:val="24"/>
          <w:szCs w:val="24"/>
        </w:rPr>
        <w:t xml:space="preserve"> some opportunities for open responses and providing comments and suggestions about the research topic.</w:t>
      </w:r>
    </w:p>
    <w:p w14:paraId="78847414" w14:textId="77777777" w:rsidR="0042308E"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The questionnaire </w:t>
      </w:r>
      <w:r>
        <w:rPr>
          <w:rFonts w:ascii="Arial" w:hAnsi="Arial" w:cs="Arial"/>
          <w:sz w:val="24"/>
          <w:szCs w:val="24"/>
        </w:rPr>
        <w:t>was</w:t>
      </w:r>
      <w:r w:rsidRPr="006B2FC7">
        <w:rPr>
          <w:rFonts w:ascii="Arial" w:hAnsi="Arial" w:cs="Arial"/>
          <w:sz w:val="24"/>
          <w:szCs w:val="24"/>
        </w:rPr>
        <w:t xml:space="preserve"> designed to collect </w:t>
      </w:r>
      <w:r>
        <w:rPr>
          <w:rFonts w:ascii="Arial" w:hAnsi="Arial" w:cs="Arial"/>
          <w:sz w:val="24"/>
          <w:szCs w:val="24"/>
        </w:rPr>
        <w:t>different</w:t>
      </w:r>
      <w:r w:rsidRPr="006B2FC7">
        <w:rPr>
          <w:rFonts w:ascii="Arial" w:hAnsi="Arial" w:cs="Arial"/>
          <w:sz w:val="24"/>
          <w:szCs w:val="24"/>
        </w:rPr>
        <w:t xml:space="preserve"> types of information</w:t>
      </w:r>
      <w:r>
        <w:rPr>
          <w:rFonts w:ascii="Arial" w:hAnsi="Arial" w:cs="Arial"/>
          <w:sz w:val="24"/>
          <w:szCs w:val="24"/>
        </w:rPr>
        <w:t xml:space="preserve">. See questions component in </w:t>
      </w:r>
      <w:r w:rsidRPr="00ED6712">
        <w:rPr>
          <w:rFonts w:ascii="Arial" w:hAnsi="Arial" w:cs="Arial"/>
          <w:color w:val="1F3864" w:themeColor="accent1" w:themeShade="80"/>
          <w:sz w:val="24"/>
          <w:szCs w:val="24"/>
        </w:rPr>
        <w:fldChar w:fldCharType="begin"/>
      </w:r>
      <w:r w:rsidRPr="00ED6712">
        <w:rPr>
          <w:rFonts w:ascii="Arial" w:hAnsi="Arial" w:cs="Arial"/>
          <w:color w:val="1F3864" w:themeColor="accent1" w:themeShade="80"/>
          <w:sz w:val="24"/>
          <w:szCs w:val="24"/>
        </w:rPr>
        <w:instrText xml:space="preserve"> REF _Ref122713177 \h  \* MERGEFORMAT </w:instrText>
      </w:r>
      <w:r w:rsidRPr="00ED6712">
        <w:rPr>
          <w:rFonts w:ascii="Arial" w:hAnsi="Arial" w:cs="Arial"/>
          <w:color w:val="1F3864" w:themeColor="accent1" w:themeShade="80"/>
          <w:sz w:val="24"/>
          <w:szCs w:val="24"/>
        </w:rPr>
      </w:r>
      <w:r w:rsidRPr="00ED6712">
        <w:rPr>
          <w:rFonts w:ascii="Arial" w:hAnsi="Arial" w:cs="Arial"/>
          <w:color w:val="1F3864" w:themeColor="accent1" w:themeShade="80"/>
          <w:sz w:val="24"/>
          <w:szCs w:val="24"/>
        </w:rPr>
        <w:fldChar w:fldCharType="separate"/>
      </w:r>
      <w:r w:rsidR="0042308E" w:rsidRPr="0042308E">
        <w:rPr>
          <w:rFonts w:ascii="Arial" w:hAnsi="Arial" w:cs="Arial"/>
          <w:color w:val="1F3864" w:themeColor="accent1" w:themeShade="80"/>
          <w:sz w:val="24"/>
          <w:szCs w:val="24"/>
        </w:rPr>
        <w:t>Table 9</w:t>
      </w:r>
      <w:r w:rsidRPr="00ED6712">
        <w:rPr>
          <w:rFonts w:ascii="Arial" w:hAnsi="Arial" w:cs="Arial"/>
          <w:color w:val="1F3864" w:themeColor="accent1" w:themeShade="80"/>
          <w:sz w:val="24"/>
          <w:szCs w:val="24"/>
        </w:rPr>
        <w:fldChar w:fldCharType="end"/>
      </w:r>
      <w:r>
        <w:rPr>
          <w:rFonts w:ascii="Arial" w:hAnsi="Arial" w:cs="Arial"/>
          <w:sz w:val="24"/>
          <w:szCs w:val="24"/>
        </w:rPr>
        <w:t xml:space="preserve">. </w:t>
      </w:r>
      <w:r w:rsidRPr="006B2FC7">
        <w:rPr>
          <w:rFonts w:ascii="Arial" w:hAnsi="Arial" w:cs="Arial"/>
          <w:sz w:val="24"/>
          <w:szCs w:val="24"/>
        </w:rPr>
        <w:t xml:space="preserve">Questions </w:t>
      </w:r>
      <w:r>
        <w:rPr>
          <w:rFonts w:ascii="Arial" w:hAnsi="Arial" w:cs="Arial"/>
          <w:sz w:val="24"/>
          <w:szCs w:val="24"/>
        </w:rPr>
        <w:t>were</w:t>
      </w:r>
      <w:r w:rsidRPr="006B2FC7">
        <w:rPr>
          <w:rFonts w:ascii="Arial" w:hAnsi="Arial" w:cs="Arial"/>
          <w:sz w:val="24"/>
          <w:szCs w:val="24"/>
        </w:rPr>
        <w:t xml:space="preserve"> </w:t>
      </w:r>
      <w:r w:rsidRPr="009A7C39">
        <w:rPr>
          <w:rFonts w:ascii="Arial" w:hAnsi="Arial" w:cs="Arial"/>
          <w:sz w:val="24"/>
          <w:szCs w:val="24"/>
          <w:lang w:val="en-GB"/>
        </w:rPr>
        <w:t>categorised</w:t>
      </w:r>
      <w:r w:rsidRPr="006B2FC7">
        <w:rPr>
          <w:rFonts w:ascii="Arial" w:hAnsi="Arial" w:cs="Arial"/>
          <w:sz w:val="24"/>
          <w:szCs w:val="24"/>
        </w:rPr>
        <w:t xml:space="preserve"> into five domains</w:t>
      </w:r>
      <w:r>
        <w:rPr>
          <w:rFonts w:ascii="Arial" w:hAnsi="Arial" w:cs="Arial"/>
          <w:sz w:val="24"/>
          <w:szCs w:val="24"/>
        </w:rPr>
        <w:t>.</w:t>
      </w:r>
    </w:p>
    <w:p w14:paraId="08A42BBE" w14:textId="2393E082" w:rsidR="00EB7F85" w:rsidRPr="0032648F" w:rsidRDefault="0042308E" w:rsidP="004E295B">
      <w:pPr>
        <w:rPr>
          <w:rFonts w:ascii="Arial" w:hAnsi="Arial" w:cs="Arial"/>
          <w:sz w:val="24"/>
          <w:szCs w:val="24"/>
        </w:rPr>
      </w:pPr>
      <w:r>
        <w:rPr>
          <w:rFonts w:ascii="Arial" w:hAnsi="Arial" w:cs="Arial"/>
          <w:sz w:val="24"/>
          <w:szCs w:val="24"/>
        </w:rPr>
        <w:br w:type="page"/>
      </w:r>
      <w:r w:rsidR="00EB7F85">
        <w:rPr>
          <w:rFonts w:ascii="Arial" w:hAnsi="Arial" w:cs="Arial"/>
          <w:sz w:val="24"/>
          <w:szCs w:val="24"/>
        </w:rPr>
        <w:t xml:space="preserve"> </w:t>
      </w:r>
    </w:p>
    <w:p w14:paraId="1D2ECAAD" w14:textId="3689DD60" w:rsidR="00EB7F85" w:rsidRPr="00DE35BE" w:rsidRDefault="00EB7F85" w:rsidP="00EB7F85">
      <w:pPr>
        <w:pStyle w:val="Caption"/>
        <w:keepNext/>
        <w:rPr>
          <w:sz w:val="22"/>
          <w:szCs w:val="22"/>
        </w:rPr>
      </w:pPr>
      <w:bookmarkStart w:id="113" w:name="_Ref122713177"/>
      <w:bookmarkStart w:id="114" w:name="_Toc153894563"/>
      <w:r w:rsidRPr="00DE35BE">
        <w:rPr>
          <w:sz w:val="22"/>
          <w:szCs w:val="22"/>
        </w:rPr>
        <w:t xml:space="preserve">Table </w:t>
      </w:r>
      <w:r w:rsidRPr="00DE35BE">
        <w:rPr>
          <w:sz w:val="22"/>
          <w:szCs w:val="22"/>
        </w:rPr>
        <w:fldChar w:fldCharType="begin"/>
      </w:r>
      <w:r w:rsidRPr="00DE35BE">
        <w:rPr>
          <w:sz w:val="22"/>
          <w:szCs w:val="22"/>
        </w:rPr>
        <w:instrText xml:space="preserve"> SEQ Table \* ARABIC </w:instrText>
      </w:r>
      <w:r w:rsidRPr="00DE35BE">
        <w:rPr>
          <w:sz w:val="22"/>
          <w:szCs w:val="22"/>
        </w:rPr>
        <w:fldChar w:fldCharType="separate"/>
      </w:r>
      <w:r w:rsidR="009B31EB">
        <w:rPr>
          <w:noProof/>
          <w:sz w:val="22"/>
          <w:szCs w:val="22"/>
        </w:rPr>
        <w:t>9</w:t>
      </w:r>
      <w:r w:rsidRPr="00DE35BE">
        <w:rPr>
          <w:noProof/>
          <w:sz w:val="22"/>
          <w:szCs w:val="22"/>
        </w:rPr>
        <w:fldChar w:fldCharType="end"/>
      </w:r>
      <w:bookmarkEnd w:id="113"/>
      <w:r w:rsidRPr="00DE35BE">
        <w:rPr>
          <w:sz w:val="22"/>
          <w:szCs w:val="22"/>
        </w:rPr>
        <w:t xml:space="preserve">: </w:t>
      </w:r>
      <w:r>
        <w:rPr>
          <w:sz w:val="22"/>
          <w:szCs w:val="22"/>
        </w:rPr>
        <w:t>D</w:t>
      </w:r>
      <w:r w:rsidRPr="00DE35BE">
        <w:rPr>
          <w:sz w:val="22"/>
          <w:szCs w:val="22"/>
        </w:rPr>
        <w:t>omains of questions</w:t>
      </w:r>
      <w:bookmarkEnd w:id="114"/>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8540"/>
      </w:tblGrid>
      <w:tr w:rsidR="00EB7F85" w:rsidRPr="008208E8" w14:paraId="0D4BC2E0" w14:textId="77777777" w:rsidTr="00282204">
        <w:tc>
          <w:tcPr>
            <w:tcW w:w="995" w:type="dxa"/>
            <w:tcBorders>
              <w:bottom w:val="single" w:sz="4" w:space="0" w:color="auto"/>
            </w:tcBorders>
          </w:tcPr>
          <w:p w14:paraId="27222099" w14:textId="77777777" w:rsidR="00EB7F85" w:rsidRPr="008208E8" w:rsidRDefault="00EB7F85" w:rsidP="00282204">
            <w:pPr>
              <w:autoSpaceDE w:val="0"/>
              <w:autoSpaceDN w:val="0"/>
              <w:adjustRightInd w:val="0"/>
              <w:spacing w:line="276" w:lineRule="auto"/>
              <w:jc w:val="center"/>
              <w:rPr>
                <w:rFonts w:ascii="Arial" w:hAnsi="Arial" w:cs="Arial"/>
                <w:sz w:val="20"/>
                <w:szCs w:val="20"/>
              </w:rPr>
            </w:pPr>
            <w:r w:rsidRPr="008208E8">
              <w:rPr>
                <w:rFonts w:ascii="Arial" w:hAnsi="Arial" w:cs="Arial"/>
                <w:sz w:val="20"/>
                <w:szCs w:val="20"/>
              </w:rPr>
              <w:t>Domain</w:t>
            </w:r>
          </w:p>
        </w:tc>
        <w:tc>
          <w:tcPr>
            <w:tcW w:w="8540" w:type="dxa"/>
            <w:tcBorders>
              <w:bottom w:val="single" w:sz="4" w:space="0" w:color="auto"/>
            </w:tcBorders>
          </w:tcPr>
          <w:p w14:paraId="63494793" w14:textId="77777777" w:rsidR="00EB7F85" w:rsidRPr="008208E8" w:rsidRDefault="00EB7F85" w:rsidP="00282204">
            <w:pPr>
              <w:spacing w:line="276" w:lineRule="auto"/>
              <w:jc w:val="center"/>
              <w:rPr>
                <w:rFonts w:ascii="Arial" w:hAnsi="Arial" w:cs="Arial"/>
                <w:sz w:val="20"/>
                <w:szCs w:val="20"/>
              </w:rPr>
            </w:pPr>
            <w:r w:rsidRPr="008208E8">
              <w:rPr>
                <w:rFonts w:ascii="Arial" w:hAnsi="Arial" w:cs="Arial"/>
                <w:sz w:val="20"/>
                <w:szCs w:val="20"/>
              </w:rPr>
              <w:t>Type of information</w:t>
            </w:r>
          </w:p>
        </w:tc>
      </w:tr>
      <w:tr w:rsidR="00EB7F85" w:rsidRPr="008208E8" w14:paraId="35E6F0E7" w14:textId="77777777" w:rsidTr="00282204">
        <w:tc>
          <w:tcPr>
            <w:tcW w:w="995" w:type="dxa"/>
            <w:tcBorders>
              <w:top w:val="single" w:sz="4" w:space="0" w:color="auto"/>
            </w:tcBorders>
          </w:tcPr>
          <w:p w14:paraId="2E7FB124" w14:textId="77777777" w:rsidR="00EB7F85" w:rsidRPr="008208E8" w:rsidRDefault="00EB7F85" w:rsidP="00282204">
            <w:pPr>
              <w:autoSpaceDE w:val="0"/>
              <w:autoSpaceDN w:val="0"/>
              <w:adjustRightInd w:val="0"/>
              <w:spacing w:line="276" w:lineRule="auto"/>
              <w:jc w:val="center"/>
              <w:rPr>
                <w:rFonts w:ascii="Arial" w:hAnsi="Arial" w:cs="Arial"/>
                <w:color w:val="44546A" w:themeColor="text2"/>
                <w:sz w:val="20"/>
                <w:szCs w:val="20"/>
              </w:rPr>
            </w:pPr>
            <w:r w:rsidRPr="008208E8">
              <w:rPr>
                <w:rFonts w:ascii="Arial" w:hAnsi="Arial" w:cs="Arial"/>
                <w:sz w:val="20"/>
                <w:szCs w:val="20"/>
              </w:rPr>
              <w:t>1</w:t>
            </w:r>
          </w:p>
        </w:tc>
        <w:tc>
          <w:tcPr>
            <w:tcW w:w="8540" w:type="dxa"/>
            <w:tcBorders>
              <w:top w:val="single" w:sz="4" w:space="0" w:color="auto"/>
            </w:tcBorders>
          </w:tcPr>
          <w:p w14:paraId="73BB7A88" w14:textId="77777777" w:rsidR="00EB7F85" w:rsidRPr="008208E8" w:rsidRDefault="00EB7F85" w:rsidP="00282204">
            <w:pPr>
              <w:spacing w:line="276" w:lineRule="auto"/>
              <w:jc w:val="both"/>
              <w:rPr>
                <w:rFonts w:ascii="Arial" w:hAnsi="Arial" w:cs="Arial"/>
                <w:sz w:val="20"/>
                <w:szCs w:val="20"/>
              </w:rPr>
            </w:pPr>
            <w:r w:rsidRPr="008208E8">
              <w:rPr>
                <w:rFonts w:ascii="Arial" w:hAnsi="Arial" w:cs="Arial"/>
                <w:sz w:val="20"/>
                <w:szCs w:val="20"/>
              </w:rPr>
              <w:t xml:space="preserve">includes information about participants attributes but retaining anonymity such as gender, age, job roles, qualifications, experience, nationality, and other demographic and clinical characteristic information that related to research topic such as practice location and diabetic patient volume and time spent reviewing the patient. </w:t>
            </w:r>
          </w:p>
          <w:p w14:paraId="7A58A60B" w14:textId="77777777" w:rsidR="00EB7F85" w:rsidRPr="008208E8" w:rsidRDefault="00EB7F85" w:rsidP="00282204">
            <w:pPr>
              <w:spacing w:line="276" w:lineRule="auto"/>
              <w:jc w:val="both"/>
              <w:rPr>
                <w:rFonts w:ascii="Arial" w:hAnsi="Arial" w:cs="Arial"/>
                <w:sz w:val="20"/>
                <w:szCs w:val="20"/>
              </w:rPr>
            </w:pPr>
          </w:p>
        </w:tc>
      </w:tr>
      <w:tr w:rsidR="00EB7F85" w:rsidRPr="008208E8" w14:paraId="55AF3D0B" w14:textId="77777777" w:rsidTr="00282204">
        <w:tc>
          <w:tcPr>
            <w:tcW w:w="995" w:type="dxa"/>
          </w:tcPr>
          <w:p w14:paraId="77B49FF6" w14:textId="77777777" w:rsidR="00EB7F85" w:rsidRPr="008208E8" w:rsidRDefault="00EB7F85" w:rsidP="00282204">
            <w:pPr>
              <w:autoSpaceDE w:val="0"/>
              <w:autoSpaceDN w:val="0"/>
              <w:adjustRightInd w:val="0"/>
              <w:spacing w:line="276" w:lineRule="auto"/>
              <w:jc w:val="center"/>
              <w:rPr>
                <w:rFonts w:ascii="Arial" w:hAnsi="Arial" w:cs="Arial"/>
                <w:i/>
                <w:iCs/>
                <w:color w:val="44546A" w:themeColor="text2"/>
                <w:sz w:val="20"/>
                <w:szCs w:val="20"/>
              </w:rPr>
            </w:pPr>
            <w:r w:rsidRPr="008208E8">
              <w:rPr>
                <w:rFonts w:ascii="Arial" w:hAnsi="Arial" w:cs="Arial"/>
                <w:sz w:val="20"/>
                <w:szCs w:val="20"/>
              </w:rPr>
              <w:t>2</w:t>
            </w:r>
          </w:p>
        </w:tc>
        <w:tc>
          <w:tcPr>
            <w:tcW w:w="8540" w:type="dxa"/>
          </w:tcPr>
          <w:p w14:paraId="67699C99" w14:textId="77777777" w:rsidR="00EB7F85" w:rsidRPr="008208E8" w:rsidRDefault="00EB7F85" w:rsidP="00282204">
            <w:pPr>
              <w:autoSpaceDE w:val="0"/>
              <w:autoSpaceDN w:val="0"/>
              <w:adjustRightInd w:val="0"/>
              <w:spacing w:line="276" w:lineRule="auto"/>
              <w:jc w:val="both"/>
              <w:rPr>
                <w:rFonts w:ascii="Arial" w:hAnsi="Arial" w:cs="Arial"/>
                <w:sz w:val="20"/>
                <w:szCs w:val="20"/>
              </w:rPr>
            </w:pPr>
            <w:r w:rsidRPr="008208E8">
              <w:rPr>
                <w:rFonts w:ascii="Arial" w:hAnsi="Arial" w:cs="Arial"/>
                <w:sz w:val="20"/>
                <w:szCs w:val="20"/>
              </w:rPr>
              <w:t>includes information about participants’ experiences with the activities of pharmacy services in diabetes care within their practice. The questions in this domain will describe the diabetes-related services that might be provided to patients with diabetes at the PHC.</w:t>
            </w:r>
          </w:p>
          <w:p w14:paraId="59A979B7" w14:textId="77777777" w:rsidR="00EB7F85" w:rsidRPr="008208E8" w:rsidRDefault="00EB7F85" w:rsidP="00282204">
            <w:pPr>
              <w:autoSpaceDE w:val="0"/>
              <w:autoSpaceDN w:val="0"/>
              <w:adjustRightInd w:val="0"/>
              <w:spacing w:line="276" w:lineRule="auto"/>
              <w:jc w:val="both"/>
              <w:rPr>
                <w:rFonts w:ascii="Arial" w:hAnsi="Arial" w:cs="Arial"/>
                <w:i/>
                <w:iCs/>
                <w:color w:val="44546A" w:themeColor="text2"/>
                <w:sz w:val="20"/>
                <w:szCs w:val="20"/>
              </w:rPr>
            </w:pPr>
          </w:p>
        </w:tc>
      </w:tr>
      <w:tr w:rsidR="00EB7F85" w:rsidRPr="008208E8" w14:paraId="70F51421" w14:textId="77777777" w:rsidTr="00282204">
        <w:tc>
          <w:tcPr>
            <w:tcW w:w="995" w:type="dxa"/>
          </w:tcPr>
          <w:p w14:paraId="3EC5A77D" w14:textId="77777777" w:rsidR="00EB7F85" w:rsidRPr="008208E8" w:rsidRDefault="00EB7F85" w:rsidP="00282204">
            <w:pPr>
              <w:autoSpaceDE w:val="0"/>
              <w:autoSpaceDN w:val="0"/>
              <w:adjustRightInd w:val="0"/>
              <w:spacing w:line="276" w:lineRule="auto"/>
              <w:jc w:val="center"/>
              <w:rPr>
                <w:rFonts w:ascii="Arial" w:hAnsi="Arial" w:cs="Arial"/>
                <w:i/>
                <w:iCs/>
                <w:color w:val="44546A" w:themeColor="text2"/>
                <w:sz w:val="20"/>
                <w:szCs w:val="20"/>
              </w:rPr>
            </w:pPr>
            <w:r w:rsidRPr="008208E8">
              <w:rPr>
                <w:rFonts w:ascii="Arial" w:hAnsi="Arial" w:cs="Arial"/>
                <w:sz w:val="20"/>
                <w:szCs w:val="20"/>
              </w:rPr>
              <w:t>3</w:t>
            </w:r>
          </w:p>
        </w:tc>
        <w:tc>
          <w:tcPr>
            <w:tcW w:w="8540" w:type="dxa"/>
          </w:tcPr>
          <w:p w14:paraId="3FB72DBE" w14:textId="77777777" w:rsidR="00EB7F85" w:rsidRPr="008208E8" w:rsidRDefault="00EB7F85" w:rsidP="00282204">
            <w:pPr>
              <w:spacing w:line="276" w:lineRule="auto"/>
              <w:jc w:val="both"/>
              <w:rPr>
                <w:rFonts w:ascii="Arial" w:hAnsi="Arial" w:cs="Arial"/>
                <w:sz w:val="20"/>
                <w:szCs w:val="20"/>
              </w:rPr>
            </w:pPr>
            <w:r w:rsidRPr="008208E8">
              <w:rPr>
                <w:rFonts w:ascii="Arial" w:hAnsi="Arial" w:cs="Arial"/>
                <w:sz w:val="20"/>
                <w:szCs w:val="20"/>
              </w:rPr>
              <w:t xml:space="preserve">explores attitudes and opinions of participants of pharmacists’ roles in diabetes management from current and also future perspectives. </w:t>
            </w:r>
          </w:p>
          <w:p w14:paraId="7162A8DD" w14:textId="77777777" w:rsidR="00EB7F85" w:rsidRPr="008208E8" w:rsidRDefault="00EB7F85" w:rsidP="00282204">
            <w:pPr>
              <w:autoSpaceDE w:val="0"/>
              <w:autoSpaceDN w:val="0"/>
              <w:adjustRightInd w:val="0"/>
              <w:spacing w:line="276" w:lineRule="auto"/>
              <w:jc w:val="both"/>
              <w:rPr>
                <w:rFonts w:ascii="Arial" w:hAnsi="Arial" w:cs="Arial"/>
                <w:i/>
                <w:iCs/>
                <w:color w:val="44546A" w:themeColor="text2"/>
                <w:sz w:val="20"/>
                <w:szCs w:val="20"/>
              </w:rPr>
            </w:pPr>
          </w:p>
        </w:tc>
      </w:tr>
      <w:tr w:rsidR="00EB7F85" w:rsidRPr="008208E8" w14:paraId="5E05F2A4" w14:textId="77777777" w:rsidTr="00282204">
        <w:tc>
          <w:tcPr>
            <w:tcW w:w="995" w:type="dxa"/>
          </w:tcPr>
          <w:p w14:paraId="05121AEC" w14:textId="77777777" w:rsidR="00EB7F85" w:rsidRPr="008208E8" w:rsidRDefault="00EB7F85" w:rsidP="00282204">
            <w:pPr>
              <w:autoSpaceDE w:val="0"/>
              <w:autoSpaceDN w:val="0"/>
              <w:adjustRightInd w:val="0"/>
              <w:spacing w:line="276" w:lineRule="auto"/>
              <w:jc w:val="center"/>
              <w:rPr>
                <w:rFonts w:ascii="Arial" w:hAnsi="Arial" w:cs="Arial"/>
                <w:i/>
                <w:iCs/>
                <w:color w:val="44546A" w:themeColor="text2"/>
                <w:sz w:val="20"/>
                <w:szCs w:val="20"/>
              </w:rPr>
            </w:pPr>
            <w:r w:rsidRPr="008208E8">
              <w:rPr>
                <w:rFonts w:ascii="Arial" w:hAnsi="Arial" w:cs="Arial"/>
                <w:sz w:val="20"/>
                <w:szCs w:val="20"/>
              </w:rPr>
              <w:t>4</w:t>
            </w:r>
          </w:p>
        </w:tc>
        <w:tc>
          <w:tcPr>
            <w:tcW w:w="8540" w:type="dxa"/>
          </w:tcPr>
          <w:p w14:paraId="229F76A0" w14:textId="77777777" w:rsidR="00EB7F85" w:rsidRPr="008208E8" w:rsidRDefault="00EB7F85" w:rsidP="00282204">
            <w:pPr>
              <w:spacing w:line="276" w:lineRule="auto"/>
              <w:jc w:val="both"/>
              <w:rPr>
                <w:rFonts w:ascii="Arial" w:hAnsi="Arial" w:cs="Arial"/>
                <w:sz w:val="20"/>
                <w:szCs w:val="20"/>
              </w:rPr>
            </w:pPr>
            <w:r w:rsidRPr="008208E8">
              <w:rPr>
                <w:rFonts w:ascii="Arial" w:hAnsi="Arial" w:cs="Arial"/>
                <w:sz w:val="20"/>
                <w:szCs w:val="20"/>
              </w:rPr>
              <w:t xml:space="preserve">includes </w:t>
            </w:r>
            <w:r>
              <w:rPr>
                <w:rFonts w:ascii="Arial" w:hAnsi="Arial" w:cs="Arial"/>
                <w:sz w:val="20"/>
                <w:szCs w:val="20"/>
              </w:rPr>
              <w:t>HCPs</w:t>
            </w:r>
            <w:r w:rsidRPr="008208E8">
              <w:rPr>
                <w:rFonts w:ascii="Arial" w:hAnsi="Arial" w:cs="Arial"/>
                <w:sz w:val="20"/>
                <w:szCs w:val="20"/>
              </w:rPr>
              <w:t xml:space="preserve"> views of the potential impacts of the involvement of pharmacists on diabetes management as a part of the diabetes care team. </w:t>
            </w:r>
          </w:p>
          <w:p w14:paraId="5A969604" w14:textId="77777777" w:rsidR="00EB7F85" w:rsidRPr="008208E8" w:rsidRDefault="00EB7F85" w:rsidP="00282204">
            <w:pPr>
              <w:autoSpaceDE w:val="0"/>
              <w:autoSpaceDN w:val="0"/>
              <w:adjustRightInd w:val="0"/>
              <w:spacing w:line="276" w:lineRule="auto"/>
              <w:jc w:val="both"/>
              <w:rPr>
                <w:rFonts w:ascii="Arial" w:hAnsi="Arial" w:cs="Arial"/>
                <w:i/>
                <w:iCs/>
                <w:color w:val="44546A" w:themeColor="text2"/>
                <w:sz w:val="20"/>
                <w:szCs w:val="20"/>
              </w:rPr>
            </w:pPr>
          </w:p>
        </w:tc>
      </w:tr>
      <w:tr w:rsidR="00EB7F85" w:rsidRPr="008208E8" w14:paraId="15729E93" w14:textId="77777777" w:rsidTr="00282204">
        <w:tc>
          <w:tcPr>
            <w:tcW w:w="995" w:type="dxa"/>
            <w:tcBorders>
              <w:bottom w:val="single" w:sz="4" w:space="0" w:color="auto"/>
            </w:tcBorders>
          </w:tcPr>
          <w:p w14:paraId="253A5998" w14:textId="77777777" w:rsidR="00EB7F85" w:rsidRPr="008208E8" w:rsidRDefault="00EB7F85" w:rsidP="00282204">
            <w:pPr>
              <w:autoSpaceDE w:val="0"/>
              <w:autoSpaceDN w:val="0"/>
              <w:adjustRightInd w:val="0"/>
              <w:spacing w:line="276" w:lineRule="auto"/>
              <w:jc w:val="center"/>
              <w:rPr>
                <w:rFonts w:ascii="Arial" w:hAnsi="Arial" w:cs="Arial"/>
                <w:sz w:val="20"/>
                <w:szCs w:val="20"/>
              </w:rPr>
            </w:pPr>
            <w:r w:rsidRPr="008208E8">
              <w:rPr>
                <w:rFonts w:ascii="Arial" w:hAnsi="Arial" w:cs="Arial"/>
                <w:sz w:val="20"/>
                <w:szCs w:val="20"/>
              </w:rPr>
              <w:t>5</w:t>
            </w:r>
          </w:p>
        </w:tc>
        <w:tc>
          <w:tcPr>
            <w:tcW w:w="8540" w:type="dxa"/>
            <w:tcBorders>
              <w:bottom w:val="single" w:sz="4" w:space="0" w:color="auto"/>
            </w:tcBorders>
          </w:tcPr>
          <w:p w14:paraId="4A8BD1CB" w14:textId="77777777" w:rsidR="00EB7F85" w:rsidRPr="008208E8" w:rsidRDefault="00EB7F85" w:rsidP="00282204">
            <w:pPr>
              <w:spacing w:line="276" w:lineRule="auto"/>
              <w:jc w:val="both"/>
              <w:rPr>
                <w:rFonts w:ascii="Arial" w:hAnsi="Arial" w:cs="Arial"/>
                <w:sz w:val="20"/>
                <w:szCs w:val="20"/>
              </w:rPr>
            </w:pPr>
            <w:r w:rsidRPr="008208E8">
              <w:rPr>
                <w:rFonts w:ascii="Arial" w:hAnsi="Arial" w:cs="Arial"/>
                <w:sz w:val="20"/>
                <w:szCs w:val="20"/>
              </w:rPr>
              <w:t xml:space="preserve">includes </w:t>
            </w:r>
            <w:r>
              <w:rPr>
                <w:rFonts w:ascii="Arial" w:hAnsi="Arial" w:cs="Arial"/>
                <w:sz w:val="20"/>
                <w:szCs w:val="20"/>
              </w:rPr>
              <w:t>HCPs</w:t>
            </w:r>
            <w:r w:rsidRPr="008208E8">
              <w:rPr>
                <w:rFonts w:ascii="Arial" w:hAnsi="Arial" w:cs="Arial"/>
                <w:sz w:val="20"/>
                <w:szCs w:val="20"/>
              </w:rPr>
              <w:t xml:space="preserve"> views of the barriers and facilitators of the involvement of pharmacists on diabetes management as a part of the diabetes care team. </w:t>
            </w:r>
          </w:p>
          <w:p w14:paraId="70FC2DB6" w14:textId="77777777" w:rsidR="00EB7F85" w:rsidRPr="008208E8" w:rsidRDefault="00EB7F85" w:rsidP="00282204">
            <w:pPr>
              <w:autoSpaceDE w:val="0"/>
              <w:autoSpaceDN w:val="0"/>
              <w:adjustRightInd w:val="0"/>
              <w:spacing w:line="276" w:lineRule="auto"/>
              <w:jc w:val="both"/>
              <w:rPr>
                <w:rFonts w:ascii="Arial" w:hAnsi="Arial" w:cs="Arial"/>
                <w:sz w:val="20"/>
                <w:szCs w:val="20"/>
              </w:rPr>
            </w:pPr>
          </w:p>
        </w:tc>
      </w:tr>
    </w:tbl>
    <w:p w14:paraId="693A1FD4" w14:textId="77777777" w:rsidR="00EB7F85" w:rsidRPr="00BB62F5" w:rsidRDefault="00EB7F85" w:rsidP="00EB7F85">
      <w:pPr>
        <w:spacing w:after="0" w:line="360" w:lineRule="auto"/>
        <w:rPr>
          <w:rFonts w:ascii="Arial" w:hAnsi="Arial" w:cs="Arial"/>
          <w:sz w:val="24"/>
          <w:szCs w:val="24"/>
        </w:rPr>
      </w:pPr>
    </w:p>
    <w:p w14:paraId="75E3EB38" w14:textId="77777777" w:rsidR="00EB7F85" w:rsidRPr="006B2FC7" w:rsidRDefault="00EB7F85" w:rsidP="00EB7F85">
      <w:pPr>
        <w:spacing w:line="360" w:lineRule="auto"/>
        <w:jc w:val="both"/>
        <w:rPr>
          <w:rFonts w:ascii="Arial" w:hAnsi="Arial" w:cs="Arial"/>
          <w:sz w:val="24"/>
          <w:szCs w:val="24"/>
        </w:rPr>
      </w:pPr>
      <w:r w:rsidRPr="006B2FC7">
        <w:rPr>
          <w:rFonts w:ascii="Arial" w:hAnsi="Arial" w:cs="Arial"/>
          <w:sz w:val="24"/>
          <w:szCs w:val="24"/>
        </w:rPr>
        <w:t>The</w:t>
      </w:r>
      <w:r>
        <w:rPr>
          <w:rFonts w:ascii="Arial" w:hAnsi="Arial" w:cs="Arial"/>
          <w:sz w:val="24"/>
          <w:szCs w:val="24"/>
        </w:rPr>
        <w:t xml:space="preserve"> </w:t>
      </w:r>
      <w:r w:rsidRPr="006B2FC7">
        <w:rPr>
          <w:rFonts w:ascii="Arial" w:hAnsi="Arial" w:cs="Arial"/>
          <w:sz w:val="24"/>
          <w:szCs w:val="24"/>
        </w:rPr>
        <w:t xml:space="preserve">demographic information in the first section </w:t>
      </w:r>
      <w:r>
        <w:rPr>
          <w:rFonts w:ascii="Arial" w:hAnsi="Arial" w:cs="Arial"/>
          <w:sz w:val="24"/>
          <w:szCs w:val="24"/>
        </w:rPr>
        <w:t>is</w:t>
      </w:r>
      <w:r w:rsidRPr="006B2FC7">
        <w:rPr>
          <w:rFonts w:ascii="Arial" w:hAnsi="Arial" w:cs="Arial"/>
          <w:sz w:val="24"/>
          <w:szCs w:val="24"/>
        </w:rPr>
        <w:t xml:space="preserve"> category data (nominal data) such as male/female, Saudi/non-Saudi, place of practice. This </w:t>
      </w:r>
      <w:r>
        <w:rPr>
          <w:rFonts w:ascii="Arial" w:hAnsi="Arial" w:cs="Arial"/>
          <w:sz w:val="24"/>
          <w:szCs w:val="24"/>
        </w:rPr>
        <w:t>was</w:t>
      </w:r>
      <w:r w:rsidRPr="006B2FC7">
        <w:rPr>
          <w:rFonts w:ascii="Arial" w:hAnsi="Arial" w:cs="Arial"/>
          <w:sz w:val="24"/>
          <w:szCs w:val="24"/>
        </w:rPr>
        <w:t xml:space="preserve"> used to describe the participants and their responses to specific questions. In addition, this information can also be used to form subgroups to compare the participant’s responses.</w:t>
      </w:r>
      <w:r>
        <w:rPr>
          <w:rFonts w:ascii="Arial" w:hAnsi="Arial" w:cs="Arial"/>
          <w:sz w:val="24"/>
          <w:szCs w:val="24"/>
        </w:rPr>
        <w:t xml:space="preserve"> I</w:t>
      </w:r>
      <w:r w:rsidRPr="006B2FC7">
        <w:rPr>
          <w:rFonts w:ascii="Arial" w:hAnsi="Arial" w:cs="Arial"/>
          <w:sz w:val="24"/>
          <w:szCs w:val="24"/>
        </w:rPr>
        <w:t xml:space="preserve">ntervals or continuous data such as age and the number of patients with DM, and years of experiences.  </w:t>
      </w:r>
    </w:p>
    <w:p w14:paraId="43C3B011"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A 5-point Likert scale </w:t>
      </w:r>
      <w:r>
        <w:rPr>
          <w:rFonts w:ascii="Arial" w:hAnsi="Arial" w:cs="Arial"/>
          <w:sz w:val="24"/>
          <w:szCs w:val="24"/>
        </w:rPr>
        <w:t>was</w:t>
      </w:r>
      <w:r w:rsidRPr="006B2FC7">
        <w:rPr>
          <w:rFonts w:ascii="Arial" w:hAnsi="Arial" w:cs="Arial"/>
          <w:sz w:val="24"/>
          <w:szCs w:val="24"/>
        </w:rPr>
        <w:t xml:space="preserve"> used as a response scale as it is one of the most commonly used in pharmacy practice and policy research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2011)","plainTextFormattedCitation":"(Aparasu, 2011)","previouslyFormattedCitation":"(Aparasu, 2011)"},"properties":{"noteIndex":0},"schema":"https://github.com/citation-style-language/schema/raw/master/csl-citation.json"}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(Aparasu, 2011)</w:t>
      </w:r>
      <w:r w:rsidRPr="006B2FC7">
        <w:rPr>
          <w:rFonts w:ascii="Arial" w:hAnsi="Arial" w:cs="Arial"/>
          <w:sz w:val="24"/>
          <w:szCs w:val="24"/>
        </w:rPr>
        <w:fldChar w:fldCharType="end"/>
      </w:r>
      <w:r w:rsidRPr="006B2FC7">
        <w:rPr>
          <w:rFonts w:ascii="Arial" w:hAnsi="Arial" w:cs="Arial"/>
          <w:sz w:val="24"/>
          <w:szCs w:val="24"/>
        </w:rPr>
        <w:t xml:space="preserve">. It is usually used to measure attitudes, beliefs, and opinions; where respondents are requested to indicate how strongly they agree or disagree with a series of statements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2011)","plainTextFormattedCitation":"(Aparasu, 2011)","previouslyFormattedCitation":"(Aparasu, 2011)"},"properties":{"noteIndex":0},"schema":"https://github.com/citation-style-language/schema/raw/master/csl-citation.json"}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(Aparasu, 2011)</w:t>
      </w:r>
      <w:r w:rsidRPr="006B2FC7">
        <w:rPr>
          <w:rFonts w:ascii="Arial" w:hAnsi="Arial" w:cs="Arial"/>
          <w:sz w:val="24"/>
          <w:szCs w:val="24"/>
        </w:rPr>
        <w:fldChar w:fldCharType="end"/>
      </w:r>
      <w:r w:rsidRPr="006B2FC7">
        <w:rPr>
          <w:rFonts w:ascii="Arial" w:hAnsi="Arial" w:cs="Arial"/>
          <w:sz w:val="24"/>
          <w:szCs w:val="24"/>
        </w:rPr>
        <w:t xml:space="preserve">. Therefore, it could be the appropriate scale to answer the research question, as this study aims to measure </w:t>
      </w:r>
      <w:r>
        <w:rPr>
          <w:rFonts w:ascii="Arial" w:hAnsi="Arial" w:cs="Arial"/>
          <w:sz w:val="24"/>
          <w:szCs w:val="24"/>
        </w:rPr>
        <w:t>HCP</w:t>
      </w:r>
      <w:r w:rsidRPr="006B2FC7">
        <w:rPr>
          <w:rFonts w:ascii="Arial" w:hAnsi="Arial" w:cs="Arial"/>
          <w:sz w:val="24"/>
          <w:szCs w:val="24"/>
        </w:rPr>
        <w:t xml:space="preserve">s’ perceptions of the pharmacist’s role in diabetes care. </w:t>
      </w:r>
    </w:p>
    <w:p w14:paraId="4063E029" w14:textId="77777777" w:rsidR="00CC1BA2" w:rsidRPr="00BB5F41" w:rsidRDefault="00CC1BA2" w:rsidP="005F1B23">
      <w:pPr>
        <w:pStyle w:val="Heading5"/>
        <w:rPr>
          <w:rFonts w:asciiTheme="minorBidi" w:hAnsiTheme="minorBidi" w:cstheme="minorBidi"/>
        </w:rPr>
      </w:pPr>
      <w:r w:rsidRPr="005F1B23">
        <w:rPr>
          <w:rFonts w:asciiTheme="minorBidi" w:hAnsiTheme="minorBidi" w:cstheme="minorBidi"/>
          <w:sz w:val="24"/>
          <w:szCs w:val="24"/>
        </w:rPr>
        <w:t xml:space="preserve">Outcomes </w:t>
      </w:r>
    </w:p>
    <w:p w14:paraId="529B4B8D" w14:textId="58D94D15" w:rsidR="00CC1BA2" w:rsidRPr="00E145DD" w:rsidRDefault="00CC1BA2" w:rsidP="00BB5F41">
      <w:pPr>
        <w:spacing w:before="240" w:line="360" w:lineRule="auto"/>
        <w:jc w:val="both"/>
        <w:rPr>
          <w:rFonts w:ascii="Arial" w:hAnsi="Arial" w:cs="Arial"/>
          <w:sz w:val="24"/>
          <w:szCs w:val="24"/>
          <w:shd w:val="clear" w:color="auto" w:fill="FFFFFF"/>
          <w:lang w:val="en-GB"/>
        </w:rPr>
      </w:pPr>
      <w:r w:rsidRPr="00E145DD">
        <w:rPr>
          <w:rFonts w:ascii="Arial" w:hAnsi="Arial" w:cs="Arial"/>
          <w:sz w:val="24"/>
          <w:szCs w:val="24"/>
          <w:shd w:val="clear" w:color="auto" w:fill="FFFFFF"/>
          <w:lang w:val="en-GB"/>
        </w:rPr>
        <w:t xml:space="preserve">The main outcomes of interest </w:t>
      </w:r>
      <w:r w:rsidR="00760BAD">
        <w:rPr>
          <w:rFonts w:ascii="Arial" w:hAnsi="Arial" w:cs="Arial"/>
          <w:sz w:val="24"/>
          <w:szCs w:val="24"/>
          <w:shd w:val="clear" w:color="auto" w:fill="FFFFFF"/>
          <w:lang w:val="en-GB"/>
        </w:rPr>
        <w:t>were</w:t>
      </w:r>
      <w:r w:rsidRPr="00E145DD">
        <w:rPr>
          <w:rFonts w:ascii="Arial" w:hAnsi="Arial" w:cs="Arial"/>
          <w:sz w:val="24"/>
          <w:szCs w:val="24"/>
          <w:shd w:val="clear" w:color="auto" w:fill="FFFFFF"/>
          <w:lang w:val="en-GB"/>
        </w:rPr>
        <w:t xml:space="preserve"> the </w:t>
      </w:r>
      <w:r w:rsidRPr="002144AC">
        <w:rPr>
          <w:rFonts w:ascii="Arial" w:hAnsi="Arial" w:cs="Arial"/>
          <w:sz w:val="24"/>
          <w:szCs w:val="24"/>
          <w:shd w:val="clear" w:color="auto" w:fill="FFFFFF"/>
          <w:lang w:val="en-GB"/>
        </w:rPr>
        <w:t>percentages</w:t>
      </w:r>
      <w:r w:rsidRPr="00E145DD">
        <w:rPr>
          <w:rFonts w:ascii="Arial" w:hAnsi="Arial" w:cs="Arial"/>
          <w:sz w:val="24"/>
          <w:szCs w:val="24"/>
          <w:shd w:val="clear" w:color="auto" w:fill="FFFFFF"/>
          <w:lang w:val="en-GB"/>
        </w:rPr>
        <w:t xml:space="preserve"> (proportion) of the sample population who have positive or negative perceptions toward pharmacist’s role in diabetes primary care management in SA.  This includes the following:  </w:t>
      </w:r>
    </w:p>
    <w:p w14:paraId="2AAE4514" w14:textId="77777777" w:rsidR="00CC1BA2" w:rsidRPr="00E145DD" w:rsidRDefault="00CC1BA2" w:rsidP="00CC1BA2">
      <w:pPr>
        <w:pStyle w:val="ListParagraph"/>
        <w:numPr>
          <w:ilvl w:val="0"/>
          <w:numId w:val="11"/>
        </w:numPr>
        <w:spacing w:line="360" w:lineRule="auto"/>
        <w:jc w:val="both"/>
        <w:rPr>
          <w:rFonts w:ascii="Arial" w:hAnsi="Arial" w:cs="Arial"/>
          <w:sz w:val="24"/>
          <w:szCs w:val="24"/>
          <w:shd w:val="clear" w:color="auto" w:fill="FFFFFF"/>
          <w:lang w:val="en-GB"/>
        </w:rPr>
      </w:pPr>
      <w:r>
        <w:rPr>
          <w:rFonts w:ascii="Arial" w:hAnsi="Arial" w:cs="Arial"/>
          <w:sz w:val="24"/>
          <w:szCs w:val="24"/>
          <w:shd w:val="clear" w:color="auto" w:fill="FFFFFF"/>
          <w:lang w:val="en-GB"/>
        </w:rPr>
        <w:t>P</w:t>
      </w:r>
      <w:r w:rsidRPr="002144AC">
        <w:rPr>
          <w:rFonts w:ascii="Arial" w:hAnsi="Arial" w:cs="Arial"/>
          <w:sz w:val="24"/>
          <w:szCs w:val="24"/>
          <w:shd w:val="clear" w:color="auto" w:fill="FFFFFF"/>
          <w:lang w:val="en-GB"/>
        </w:rPr>
        <w:t>ercentages</w:t>
      </w:r>
      <w:r w:rsidRPr="00E145DD">
        <w:rPr>
          <w:rFonts w:ascii="Arial" w:hAnsi="Arial" w:cs="Arial"/>
          <w:sz w:val="24"/>
          <w:szCs w:val="24"/>
          <w:shd w:val="clear" w:color="auto" w:fill="FFFFFF"/>
          <w:lang w:val="en-GB"/>
        </w:rPr>
        <w:t xml:space="preserve"> of </w:t>
      </w:r>
      <w:r>
        <w:rPr>
          <w:rFonts w:ascii="Arial" w:hAnsi="Arial" w:cs="Arial"/>
          <w:sz w:val="24"/>
          <w:szCs w:val="24"/>
          <w:shd w:val="clear" w:color="auto" w:fill="FFFFFF"/>
          <w:lang w:val="en-GB"/>
        </w:rPr>
        <w:t>doctors’</w:t>
      </w:r>
      <w:r w:rsidRPr="00E145DD">
        <w:rPr>
          <w:rFonts w:ascii="Arial" w:hAnsi="Arial" w:cs="Arial"/>
          <w:sz w:val="24"/>
          <w:szCs w:val="24"/>
          <w:shd w:val="clear" w:color="auto" w:fill="FFFFFF"/>
          <w:lang w:val="en-GB"/>
        </w:rPr>
        <w:t xml:space="preserve"> agreeing or disagreeing with the involvement of pharmacists </w:t>
      </w:r>
      <w:r w:rsidRPr="00D01DE0">
        <w:rPr>
          <w:rFonts w:ascii="Arial" w:hAnsi="Arial" w:cs="Arial"/>
          <w:sz w:val="24"/>
          <w:szCs w:val="24"/>
          <w:shd w:val="clear" w:color="auto" w:fill="FFFFFF"/>
          <w:lang w:val="en-GB"/>
        </w:rPr>
        <w:t>in various aspects of</w:t>
      </w:r>
      <w:r w:rsidRPr="00E145DD">
        <w:rPr>
          <w:rFonts w:ascii="Arial" w:hAnsi="Arial" w:cs="Arial"/>
          <w:sz w:val="24"/>
          <w:szCs w:val="24"/>
          <w:shd w:val="clear" w:color="auto" w:fill="FFFFFF"/>
          <w:lang w:val="en-GB"/>
        </w:rPr>
        <w:t xml:space="preserve"> the diabetes management in the PHCs in SA.</w:t>
      </w:r>
    </w:p>
    <w:p w14:paraId="7A9CD678" w14:textId="77777777" w:rsidR="00CC1BA2" w:rsidRPr="00E145DD" w:rsidRDefault="00CC1BA2" w:rsidP="00CC1BA2">
      <w:pPr>
        <w:pStyle w:val="ListParagraph"/>
        <w:numPr>
          <w:ilvl w:val="0"/>
          <w:numId w:val="11"/>
        </w:numPr>
        <w:spacing w:line="360" w:lineRule="auto"/>
        <w:jc w:val="both"/>
        <w:rPr>
          <w:rFonts w:ascii="Arial" w:hAnsi="Arial" w:cs="Arial"/>
          <w:sz w:val="24"/>
          <w:szCs w:val="24"/>
          <w:shd w:val="clear" w:color="auto" w:fill="FFFFFF"/>
          <w:lang w:val="en-GB"/>
        </w:rPr>
      </w:pPr>
      <w:r>
        <w:rPr>
          <w:rFonts w:ascii="Arial" w:hAnsi="Arial" w:cs="Arial"/>
          <w:sz w:val="24"/>
          <w:szCs w:val="24"/>
          <w:shd w:val="clear" w:color="auto" w:fill="FFFFFF"/>
          <w:lang w:val="en-GB"/>
        </w:rPr>
        <w:t>P</w:t>
      </w:r>
      <w:r w:rsidRPr="002144AC">
        <w:rPr>
          <w:rFonts w:ascii="Arial" w:hAnsi="Arial" w:cs="Arial"/>
          <w:sz w:val="24"/>
          <w:szCs w:val="24"/>
          <w:shd w:val="clear" w:color="auto" w:fill="FFFFFF"/>
          <w:lang w:val="en-GB"/>
        </w:rPr>
        <w:t>ercentages</w:t>
      </w:r>
      <w:r w:rsidRPr="00E145DD">
        <w:rPr>
          <w:rFonts w:ascii="Arial" w:hAnsi="Arial" w:cs="Arial"/>
          <w:sz w:val="24"/>
          <w:szCs w:val="24"/>
          <w:shd w:val="clear" w:color="auto" w:fill="FFFFFF"/>
          <w:lang w:val="en-GB"/>
        </w:rPr>
        <w:t xml:space="preserve"> of nurses’ agreeing or disagreeing with the involvement of pharmacists </w:t>
      </w:r>
      <w:r w:rsidRPr="00D01DE0">
        <w:rPr>
          <w:rFonts w:ascii="Arial" w:hAnsi="Arial" w:cs="Arial"/>
          <w:sz w:val="24"/>
          <w:szCs w:val="24"/>
          <w:shd w:val="clear" w:color="auto" w:fill="FFFFFF"/>
          <w:lang w:val="en-GB"/>
        </w:rPr>
        <w:t>in various aspects of</w:t>
      </w:r>
      <w:r w:rsidRPr="00E145DD">
        <w:rPr>
          <w:rFonts w:ascii="Arial" w:hAnsi="Arial" w:cs="Arial"/>
          <w:sz w:val="24"/>
          <w:szCs w:val="24"/>
          <w:shd w:val="clear" w:color="auto" w:fill="FFFFFF"/>
          <w:lang w:val="en-GB"/>
        </w:rPr>
        <w:t xml:space="preserve"> the diabetes management in the PHCs in SA. </w:t>
      </w:r>
    </w:p>
    <w:p w14:paraId="6DDCC15D" w14:textId="77777777" w:rsidR="00CC1BA2" w:rsidRPr="00E145DD" w:rsidRDefault="00CC1BA2" w:rsidP="00CC1BA2">
      <w:pPr>
        <w:pStyle w:val="ListParagraph"/>
        <w:numPr>
          <w:ilvl w:val="0"/>
          <w:numId w:val="11"/>
        </w:numPr>
        <w:spacing w:line="360" w:lineRule="auto"/>
        <w:jc w:val="both"/>
        <w:rPr>
          <w:rFonts w:ascii="Arial" w:hAnsi="Arial" w:cs="Arial"/>
          <w:sz w:val="24"/>
          <w:szCs w:val="24"/>
          <w:shd w:val="clear" w:color="auto" w:fill="FFFFFF"/>
          <w:lang w:val="en-GB"/>
        </w:rPr>
      </w:pPr>
      <w:r>
        <w:rPr>
          <w:rFonts w:ascii="Arial" w:hAnsi="Arial" w:cs="Arial"/>
          <w:sz w:val="24"/>
          <w:szCs w:val="24"/>
          <w:shd w:val="clear" w:color="auto" w:fill="FFFFFF"/>
          <w:lang w:val="en-GB"/>
        </w:rPr>
        <w:t>P</w:t>
      </w:r>
      <w:r w:rsidRPr="002144AC">
        <w:rPr>
          <w:rFonts w:ascii="Arial" w:hAnsi="Arial" w:cs="Arial"/>
          <w:sz w:val="24"/>
          <w:szCs w:val="24"/>
          <w:shd w:val="clear" w:color="auto" w:fill="FFFFFF"/>
          <w:lang w:val="en-GB"/>
        </w:rPr>
        <w:t>ercentages</w:t>
      </w:r>
      <w:r w:rsidRPr="00E145DD">
        <w:rPr>
          <w:rFonts w:ascii="Arial" w:hAnsi="Arial" w:cs="Arial"/>
          <w:sz w:val="24"/>
          <w:szCs w:val="24"/>
          <w:shd w:val="clear" w:color="auto" w:fill="FFFFFF"/>
          <w:lang w:val="en-GB"/>
        </w:rPr>
        <w:t xml:space="preserve"> of pharmacists' willing to be involved in </w:t>
      </w:r>
      <w:r w:rsidRPr="00D01DE0">
        <w:rPr>
          <w:rFonts w:ascii="Arial" w:hAnsi="Arial" w:cs="Arial"/>
          <w:sz w:val="24"/>
          <w:szCs w:val="24"/>
          <w:shd w:val="clear" w:color="auto" w:fill="FFFFFF"/>
          <w:lang w:val="en-GB"/>
        </w:rPr>
        <w:t>various aspects of</w:t>
      </w:r>
      <w:r w:rsidRPr="00E145DD">
        <w:rPr>
          <w:rFonts w:ascii="Arial" w:hAnsi="Arial" w:cs="Arial"/>
          <w:sz w:val="24"/>
          <w:szCs w:val="24"/>
          <w:shd w:val="clear" w:color="auto" w:fill="FFFFFF"/>
          <w:lang w:val="en-GB"/>
        </w:rPr>
        <w:t xml:space="preserve"> the diabetes management in the PHCs in SA.</w:t>
      </w:r>
    </w:p>
    <w:p w14:paraId="48F2EBB8" w14:textId="77777777" w:rsidR="00CC1BA2" w:rsidRPr="00E145DD" w:rsidRDefault="00CC1BA2" w:rsidP="00CC1BA2">
      <w:pPr>
        <w:pStyle w:val="ListParagraph"/>
        <w:numPr>
          <w:ilvl w:val="0"/>
          <w:numId w:val="11"/>
        </w:numPr>
        <w:spacing w:line="360" w:lineRule="auto"/>
        <w:jc w:val="both"/>
        <w:rPr>
          <w:rFonts w:ascii="Arial" w:hAnsi="Arial" w:cs="Arial"/>
          <w:sz w:val="24"/>
          <w:szCs w:val="24"/>
          <w:shd w:val="clear" w:color="auto" w:fill="FFFFFF"/>
          <w:lang w:val="en-GB"/>
        </w:rPr>
      </w:pPr>
      <w:r w:rsidRPr="00E145DD">
        <w:rPr>
          <w:rFonts w:ascii="Arial" w:hAnsi="Arial" w:cs="Arial"/>
          <w:sz w:val="24"/>
          <w:szCs w:val="24"/>
          <w:shd w:val="clear" w:color="auto" w:fill="FFFFFF"/>
          <w:lang w:val="en-GB"/>
        </w:rPr>
        <w:t>Proportion of diabetes related services provided by the pharmacist in the PHCs in</w:t>
      </w:r>
      <w:r>
        <w:rPr>
          <w:rFonts w:ascii="Arial" w:hAnsi="Arial" w:cs="Arial"/>
          <w:sz w:val="24"/>
          <w:szCs w:val="24"/>
          <w:shd w:val="clear" w:color="auto" w:fill="FFFFFF"/>
          <w:lang w:val="en-GB"/>
        </w:rPr>
        <w:t xml:space="preserve"> </w:t>
      </w:r>
      <w:r w:rsidRPr="00E145DD">
        <w:rPr>
          <w:rFonts w:ascii="Arial" w:hAnsi="Arial" w:cs="Arial"/>
          <w:sz w:val="24"/>
          <w:szCs w:val="24"/>
          <w:shd w:val="clear" w:color="auto" w:fill="FFFFFF"/>
          <w:lang w:val="en-GB"/>
        </w:rPr>
        <w:t>SA.</w:t>
      </w:r>
    </w:p>
    <w:p w14:paraId="369B148B" w14:textId="77777777" w:rsidR="00875828" w:rsidRPr="00875828" w:rsidRDefault="00CC1BA2" w:rsidP="002E7F5E">
      <w:pPr>
        <w:pStyle w:val="ListParagraph"/>
        <w:numPr>
          <w:ilvl w:val="0"/>
          <w:numId w:val="11"/>
        </w:numPr>
        <w:tabs>
          <w:tab w:val="left" w:pos="810"/>
        </w:tabs>
        <w:spacing w:line="360" w:lineRule="auto"/>
        <w:jc w:val="both"/>
        <w:rPr>
          <w:rFonts w:asciiTheme="minorBidi" w:hAnsiTheme="minorBidi"/>
          <w:sz w:val="24"/>
          <w:szCs w:val="24"/>
        </w:rPr>
      </w:pPr>
      <w:r>
        <w:rPr>
          <w:rFonts w:ascii="Arial" w:hAnsi="Arial" w:cs="Arial"/>
          <w:sz w:val="24"/>
          <w:szCs w:val="24"/>
          <w:shd w:val="clear" w:color="auto" w:fill="FFFFFF"/>
          <w:lang w:val="en-GB"/>
        </w:rPr>
        <w:t>The</w:t>
      </w:r>
      <w:r w:rsidRPr="00E145DD">
        <w:rPr>
          <w:rFonts w:ascii="Arial" w:hAnsi="Arial" w:cs="Arial"/>
          <w:sz w:val="24"/>
          <w:szCs w:val="24"/>
          <w:shd w:val="clear" w:color="auto" w:fill="FFFFFF"/>
          <w:lang w:val="en-GB"/>
        </w:rPr>
        <w:t xml:space="preserve"> most common barriers/facilitators that impede/facilitate pharmacists to provide </w:t>
      </w:r>
      <w:r w:rsidR="00562419" w:rsidRPr="00E145DD">
        <w:rPr>
          <w:rFonts w:ascii="Arial" w:hAnsi="Arial" w:cs="Arial"/>
          <w:sz w:val="24"/>
          <w:szCs w:val="24"/>
          <w:shd w:val="clear" w:color="auto" w:fill="FFFFFF"/>
          <w:lang w:val="en-GB"/>
        </w:rPr>
        <w:t>comprehensive</w:t>
      </w:r>
      <w:r w:rsidRPr="00E145DD">
        <w:rPr>
          <w:rFonts w:ascii="Arial" w:hAnsi="Arial" w:cs="Arial"/>
          <w:sz w:val="24"/>
          <w:szCs w:val="24"/>
          <w:shd w:val="clear" w:color="auto" w:fill="FFFFFF"/>
          <w:lang w:val="en-GB"/>
        </w:rPr>
        <w:t xml:space="preserve"> pharmaceutical care for diabetes patients</w:t>
      </w:r>
    </w:p>
    <w:p w14:paraId="4546453B" w14:textId="4D5AFCA5" w:rsidR="00EB7F85" w:rsidRPr="002E7F5E" w:rsidRDefault="00CC1BA2" w:rsidP="00875828">
      <w:pPr>
        <w:pStyle w:val="ListParagraph"/>
        <w:tabs>
          <w:tab w:val="left" w:pos="810"/>
        </w:tabs>
        <w:spacing w:line="360" w:lineRule="auto"/>
        <w:jc w:val="both"/>
        <w:rPr>
          <w:rFonts w:asciiTheme="minorBidi" w:hAnsiTheme="minorBidi"/>
          <w:sz w:val="24"/>
          <w:szCs w:val="24"/>
        </w:rPr>
      </w:pPr>
      <w:r w:rsidRPr="00E145DD">
        <w:rPr>
          <w:rFonts w:ascii="Arial" w:hAnsi="Arial" w:cs="Arial"/>
          <w:sz w:val="24"/>
          <w:szCs w:val="24"/>
          <w:shd w:val="clear" w:color="auto" w:fill="FFFFFF"/>
          <w:lang w:val="en-GB"/>
        </w:rPr>
        <w:t xml:space="preserve"> </w:t>
      </w:r>
    </w:p>
    <w:p w14:paraId="511FB14F" w14:textId="77777777" w:rsidR="00EB7F85" w:rsidRPr="007965E9" w:rsidRDefault="00EB7F85" w:rsidP="007965E9">
      <w:pPr>
        <w:pStyle w:val="Heading4"/>
        <w:numPr>
          <w:ilvl w:val="3"/>
          <w:numId w:val="14"/>
        </w:numPr>
        <w:tabs>
          <w:tab w:val="left" w:pos="810"/>
        </w:tabs>
        <w:spacing w:line="360" w:lineRule="auto"/>
        <w:ind w:left="360" w:hanging="360"/>
        <w:rPr>
          <w:rFonts w:asciiTheme="minorBidi" w:hAnsiTheme="minorBidi" w:cstheme="minorBidi"/>
          <w:sz w:val="24"/>
          <w:szCs w:val="24"/>
        </w:rPr>
      </w:pPr>
      <w:bookmarkStart w:id="115" w:name="_Ref153824295"/>
      <w:r w:rsidRPr="007965E9">
        <w:rPr>
          <w:rFonts w:asciiTheme="minorBidi" w:hAnsiTheme="minorBidi" w:cstheme="minorBidi"/>
          <w:sz w:val="24"/>
          <w:szCs w:val="24"/>
        </w:rPr>
        <w:t>Survey piloting and implementation</w:t>
      </w:r>
      <w:bookmarkEnd w:id="115"/>
    </w:p>
    <w:p w14:paraId="47E1FBAA" w14:textId="77777777" w:rsidR="00EB7F85" w:rsidRPr="00E5262E" w:rsidRDefault="00EB7F85" w:rsidP="00EB7F85">
      <w:pPr>
        <w:shd w:val="clear" w:color="auto" w:fill="FFFFFF"/>
        <w:spacing w:after="150" w:line="360" w:lineRule="auto"/>
        <w:jc w:val="both"/>
        <w:rPr>
          <w:rFonts w:ascii="Arial" w:hAnsi="Arial" w:cs="Arial"/>
          <w:sz w:val="24"/>
          <w:szCs w:val="24"/>
        </w:rPr>
      </w:pPr>
      <w:r>
        <w:rPr>
          <w:rFonts w:ascii="Arial" w:hAnsi="Arial" w:cs="Arial"/>
          <w:sz w:val="24"/>
          <w:szCs w:val="24"/>
        </w:rPr>
        <w:t>After developing</w:t>
      </w:r>
      <w:r w:rsidRPr="006B2FC7">
        <w:rPr>
          <w:rFonts w:ascii="Arial" w:hAnsi="Arial" w:cs="Arial"/>
          <w:sz w:val="24"/>
          <w:szCs w:val="24"/>
        </w:rPr>
        <w:t xml:space="preserve"> the questionnaire, it </w:t>
      </w:r>
      <w:r>
        <w:rPr>
          <w:rFonts w:ascii="Arial" w:hAnsi="Arial" w:cs="Arial"/>
          <w:sz w:val="24"/>
          <w:szCs w:val="24"/>
        </w:rPr>
        <w:t>was</w:t>
      </w:r>
      <w:r w:rsidRPr="006B2FC7">
        <w:rPr>
          <w:rFonts w:ascii="Arial" w:hAnsi="Arial" w:cs="Arial"/>
          <w:sz w:val="24"/>
          <w:szCs w:val="24"/>
        </w:rPr>
        <w:t xml:space="preserve"> reviewed by supervisors. </w:t>
      </w:r>
      <w:r>
        <w:rPr>
          <w:rFonts w:ascii="Arial" w:hAnsi="Arial" w:cs="Arial"/>
          <w:sz w:val="24"/>
          <w:szCs w:val="24"/>
        </w:rPr>
        <w:t>T</w:t>
      </w:r>
      <w:r w:rsidRPr="006B2FC7">
        <w:rPr>
          <w:rFonts w:ascii="Arial" w:hAnsi="Arial" w:cs="Arial"/>
          <w:sz w:val="24"/>
          <w:szCs w:val="24"/>
        </w:rPr>
        <w:t xml:space="preserve">hen </w:t>
      </w:r>
      <w:r>
        <w:rPr>
          <w:rFonts w:ascii="Arial" w:hAnsi="Arial" w:cs="Arial"/>
          <w:sz w:val="24"/>
          <w:szCs w:val="24"/>
        </w:rPr>
        <w:t>it was</w:t>
      </w:r>
      <w:r w:rsidRPr="006B2FC7">
        <w:rPr>
          <w:rFonts w:ascii="Arial" w:hAnsi="Arial" w:cs="Arial"/>
          <w:sz w:val="24"/>
          <w:szCs w:val="24"/>
        </w:rPr>
        <w:t xml:space="preserve"> piloted on a small number of individuals </w:t>
      </w:r>
      <w:r>
        <w:rPr>
          <w:rFonts w:ascii="Arial" w:hAnsi="Arial" w:cs="Arial"/>
          <w:sz w:val="24"/>
          <w:szCs w:val="24"/>
        </w:rPr>
        <w:t>(</w:t>
      </w:r>
      <w:r w:rsidRPr="005D6B81">
        <w:rPr>
          <w:rFonts w:ascii="Arial" w:hAnsi="Arial" w:cs="Arial"/>
          <w:sz w:val="24"/>
          <w:szCs w:val="24"/>
        </w:rPr>
        <w:t xml:space="preserve">21) </w:t>
      </w:r>
      <w:r w:rsidRPr="006B2FC7">
        <w:rPr>
          <w:rFonts w:ascii="Arial" w:hAnsi="Arial" w:cs="Arial"/>
          <w:sz w:val="24"/>
          <w:szCs w:val="24"/>
        </w:rPr>
        <w:t xml:space="preserve">who are similar to the target population </w:t>
      </w:r>
      <w:r w:rsidRPr="005D6B81">
        <w:rPr>
          <w:rFonts w:ascii="Arial" w:hAnsi="Arial" w:cs="Arial"/>
          <w:sz w:val="24"/>
          <w:szCs w:val="24"/>
        </w:rPr>
        <w:t xml:space="preserve">(10 doctors, 6 pharmacists, and 5 nurses) </w:t>
      </w:r>
      <w:r w:rsidRPr="006B2FC7">
        <w:rPr>
          <w:rFonts w:ascii="Arial" w:hAnsi="Arial" w:cs="Arial"/>
          <w:sz w:val="24"/>
          <w:szCs w:val="24"/>
        </w:rPr>
        <w:t xml:space="preserve">before the full sample survey administration </w:t>
      </w:r>
      <w:r>
        <w:rPr>
          <w:rFonts w:ascii="Arial" w:hAnsi="Arial" w:cs="Arial"/>
          <w:sz w:val="24"/>
          <w:szCs w:val="24"/>
        </w:rPr>
        <w:t>was</w:t>
      </w:r>
      <w:r w:rsidRPr="006B2FC7">
        <w:rPr>
          <w:rFonts w:ascii="Arial" w:hAnsi="Arial" w:cs="Arial"/>
          <w:sz w:val="24"/>
          <w:szCs w:val="24"/>
        </w:rPr>
        <w:t xml:space="preserve"> carried out to minimise any threats to validity, what Aparasu (2011) refers to as “bugs”.</w:t>
      </w:r>
      <w:r>
        <w:rPr>
          <w:rFonts w:ascii="Arial" w:hAnsi="Arial" w:cs="Arial"/>
          <w:sz w:val="24"/>
          <w:szCs w:val="24"/>
        </w:rPr>
        <w:t xml:space="preserve"> </w:t>
      </w:r>
      <w:r w:rsidRPr="00E5262E">
        <w:rPr>
          <w:rFonts w:ascii="Arial" w:hAnsi="Arial" w:cs="Arial"/>
          <w:sz w:val="24"/>
          <w:szCs w:val="24"/>
        </w:rPr>
        <w:t xml:space="preserve">The survey was also sent to three peers (who are pharmacists studying PhD at different universities; Birmingham, Reading and Hertfordshire) for further assessment. </w:t>
      </w:r>
    </w:p>
    <w:p w14:paraId="43808C0A" w14:textId="77777777" w:rsidR="00EB7F85" w:rsidRDefault="00EB7F85" w:rsidP="00EB7F85">
      <w:pPr>
        <w:spacing w:line="360" w:lineRule="auto"/>
        <w:jc w:val="both"/>
        <w:rPr>
          <w:rFonts w:ascii="Arial" w:hAnsi="Arial" w:cs="Arial"/>
          <w:sz w:val="24"/>
          <w:szCs w:val="24"/>
        </w:rPr>
      </w:pPr>
      <w:r>
        <w:rPr>
          <w:rFonts w:ascii="Arial" w:hAnsi="Arial" w:cs="Arial"/>
          <w:sz w:val="24"/>
          <w:szCs w:val="24"/>
        </w:rPr>
        <w:t>After receiving feedback from the pilot stage (</w:t>
      </w:r>
      <w:r w:rsidRPr="00BE58B6">
        <w:rPr>
          <w:rFonts w:asciiTheme="minorBidi" w:hAnsiTheme="minorBidi"/>
          <w:sz w:val="24"/>
          <w:szCs w:val="24"/>
        </w:rPr>
        <w:t xml:space="preserve">see </w:t>
      </w:r>
      <w:r w:rsidRPr="00BE58B6">
        <w:rPr>
          <w:rFonts w:asciiTheme="minorBidi" w:hAnsiTheme="minorBidi"/>
          <w:color w:val="1F3864" w:themeColor="accent1" w:themeShade="80"/>
          <w:sz w:val="24"/>
          <w:szCs w:val="24"/>
        </w:rPr>
        <w:fldChar w:fldCharType="begin"/>
      </w:r>
      <w:r w:rsidRPr="00BE58B6">
        <w:rPr>
          <w:rFonts w:asciiTheme="minorBidi" w:hAnsiTheme="minorBidi"/>
          <w:color w:val="1F3864" w:themeColor="accent1" w:themeShade="80"/>
          <w:sz w:val="24"/>
          <w:szCs w:val="24"/>
        </w:rPr>
        <w:instrText xml:space="preserve"> REF _Ref124722845 \h  \* MERGEFORMAT </w:instrText>
      </w:r>
      <w:r w:rsidRPr="00BE58B6">
        <w:rPr>
          <w:rFonts w:asciiTheme="minorBidi" w:hAnsiTheme="minorBidi"/>
          <w:color w:val="1F3864" w:themeColor="accent1" w:themeShade="80"/>
          <w:sz w:val="24"/>
          <w:szCs w:val="24"/>
        </w:rPr>
      </w:r>
      <w:r w:rsidRPr="00BE58B6">
        <w:rPr>
          <w:rFonts w:asciiTheme="minorBidi" w:hAnsiTheme="minorBidi"/>
          <w:color w:val="1F3864" w:themeColor="accent1" w:themeShade="80"/>
          <w:sz w:val="24"/>
          <w:szCs w:val="24"/>
        </w:rPr>
        <w:fldChar w:fldCharType="separate"/>
      </w:r>
      <w:r w:rsidRPr="00E240A2">
        <w:rPr>
          <w:rFonts w:asciiTheme="minorBidi" w:hAnsiTheme="minorBidi"/>
          <w:color w:val="1F3864" w:themeColor="accent1" w:themeShade="80"/>
          <w:sz w:val="24"/>
          <w:szCs w:val="24"/>
          <w:lang w:val="en-GB" w:eastAsia="en-GB"/>
        </w:rPr>
        <w:t>Appendix K</w:t>
      </w:r>
      <w:r w:rsidRPr="005D57E4">
        <w:rPr>
          <w:sz w:val="24"/>
          <w:szCs w:val="24"/>
          <w:lang w:val="en-GB" w:eastAsia="en-GB"/>
        </w:rPr>
        <w:t xml:space="preserve"> </w:t>
      </w:r>
      <w:r w:rsidRPr="00BE58B6">
        <w:rPr>
          <w:rFonts w:asciiTheme="minorBidi" w:hAnsiTheme="minorBidi"/>
          <w:color w:val="1F3864" w:themeColor="accent1" w:themeShade="80"/>
          <w:sz w:val="24"/>
          <w:szCs w:val="24"/>
        </w:rPr>
        <w:fldChar w:fldCharType="end"/>
      </w:r>
      <w:r>
        <w:rPr>
          <w:rFonts w:ascii="Arial" w:hAnsi="Arial" w:cs="Arial"/>
          <w:sz w:val="24"/>
          <w:szCs w:val="24"/>
        </w:rPr>
        <w:t>), minor adjustment was performed then the</w:t>
      </w:r>
      <w:r w:rsidRPr="006B2FC7">
        <w:rPr>
          <w:rFonts w:ascii="Arial" w:hAnsi="Arial" w:cs="Arial"/>
          <w:sz w:val="24"/>
          <w:szCs w:val="24"/>
        </w:rPr>
        <w:t xml:space="preserve"> survey </w:t>
      </w:r>
      <w:r>
        <w:rPr>
          <w:rFonts w:ascii="Arial" w:hAnsi="Arial" w:cs="Arial"/>
          <w:sz w:val="24"/>
          <w:szCs w:val="24"/>
        </w:rPr>
        <w:t>was</w:t>
      </w:r>
      <w:r w:rsidRPr="006B2FC7">
        <w:rPr>
          <w:rFonts w:ascii="Arial" w:hAnsi="Arial" w:cs="Arial"/>
          <w:sz w:val="24"/>
          <w:szCs w:val="24"/>
        </w:rPr>
        <w:t xml:space="preserve"> distributed </w:t>
      </w:r>
      <w:r>
        <w:rPr>
          <w:rFonts w:ascii="Arial" w:hAnsi="Arial" w:cs="Arial"/>
          <w:sz w:val="24"/>
          <w:szCs w:val="24"/>
        </w:rPr>
        <w:t xml:space="preserve">via </w:t>
      </w:r>
      <w:r w:rsidRPr="006B2FC7">
        <w:rPr>
          <w:rFonts w:ascii="Arial" w:hAnsi="Arial" w:cs="Arial"/>
          <w:sz w:val="24"/>
          <w:szCs w:val="24"/>
        </w:rPr>
        <w:t>Qualtrics</w:t>
      </w:r>
      <w:r>
        <w:rPr>
          <w:rFonts w:ascii="Arial" w:hAnsi="Arial" w:cs="Arial"/>
          <w:sz w:val="24"/>
          <w:szCs w:val="24"/>
        </w:rPr>
        <w:t xml:space="preserve"> </w:t>
      </w:r>
      <w:r w:rsidRPr="006B2FC7">
        <w:rPr>
          <w:rFonts w:ascii="Arial" w:hAnsi="Arial" w:cs="Arial"/>
          <w:sz w:val="24"/>
          <w:szCs w:val="24"/>
        </w:rPr>
        <w:t xml:space="preserve">to the gatekeepers who </w:t>
      </w:r>
      <w:r>
        <w:rPr>
          <w:rFonts w:ascii="Arial" w:hAnsi="Arial" w:cs="Arial"/>
          <w:sz w:val="24"/>
          <w:szCs w:val="24"/>
        </w:rPr>
        <w:t xml:space="preserve">were </w:t>
      </w:r>
      <w:r w:rsidRPr="005459FF">
        <w:rPr>
          <w:rFonts w:asciiTheme="minorBidi" w:hAnsiTheme="minorBidi"/>
          <w:sz w:val="24"/>
          <w:szCs w:val="24"/>
        </w:rPr>
        <w:t>the Chief of Primary Healthcare at the Eastern Health Cluster (EHC), the Director of Pharmaceutical Care at EHC, and the Executive Director of Primary Care Nursing Operations at the EHC</w:t>
      </w:r>
      <w:r>
        <w:rPr>
          <w:rFonts w:asciiTheme="minorBidi" w:hAnsiTheme="minorBidi"/>
          <w:sz w:val="24"/>
          <w:szCs w:val="24"/>
        </w:rPr>
        <w:t xml:space="preserve">, in addition, to </w:t>
      </w:r>
      <w:r w:rsidRPr="006B2FC7">
        <w:rPr>
          <w:rFonts w:ascii="Arial" w:hAnsi="Arial" w:cs="Arial"/>
          <w:sz w:val="24"/>
          <w:szCs w:val="24"/>
        </w:rPr>
        <w:t xml:space="preserve">pharmacy directors, medical directors and nurse directors of all health care sectors within the first cluster of health in the Eastern </w:t>
      </w:r>
      <w:r>
        <w:rPr>
          <w:rFonts w:ascii="Arial" w:hAnsi="Arial" w:cs="Arial"/>
          <w:sz w:val="24"/>
          <w:szCs w:val="24"/>
        </w:rPr>
        <w:t>province</w:t>
      </w:r>
      <w:r w:rsidRPr="006B2FC7">
        <w:rPr>
          <w:rFonts w:ascii="Arial" w:hAnsi="Arial" w:cs="Arial"/>
          <w:sz w:val="24"/>
          <w:szCs w:val="24"/>
        </w:rPr>
        <w:t xml:space="preserve"> in SA</w:t>
      </w:r>
      <w:r>
        <w:rPr>
          <w:rFonts w:ascii="Arial" w:hAnsi="Arial" w:cs="Arial"/>
          <w:sz w:val="24"/>
          <w:szCs w:val="24"/>
        </w:rPr>
        <w:t>, and t</w:t>
      </w:r>
      <w:r w:rsidRPr="006B2FC7">
        <w:rPr>
          <w:rFonts w:ascii="Arial" w:hAnsi="Arial" w:cs="Arial"/>
          <w:sz w:val="24"/>
          <w:szCs w:val="24"/>
        </w:rPr>
        <w:t xml:space="preserve">hey </w:t>
      </w:r>
      <w:r>
        <w:rPr>
          <w:rFonts w:ascii="Arial" w:hAnsi="Arial" w:cs="Arial"/>
          <w:sz w:val="24"/>
          <w:szCs w:val="24"/>
        </w:rPr>
        <w:t>were</w:t>
      </w:r>
      <w:r w:rsidRPr="006B2FC7">
        <w:rPr>
          <w:rFonts w:ascii="Arial" w:hAnsi="Arial" w:cs="Arial"/>
          <w:sz w:val="24"/>
          <w:szCs w:val="24"/>
        </w:rPr>
        <w:t xml:space="preserve"> requested to forward the survey link to their colleagues.  </w:t>
      </w:r>
      <w:r w:rsidRPr="005459FF">
        <w:rPr>
          <w:rFonts w:asciiTheme="minorBidi" w:hAnsiTheme="minorBidi"/>
          <w:sz w:val="24"/>
          <w:szCs w:val="24"/>
        </w:rPr>
        <w:t xml:space="preserve">The reason for choosing </w:t>
      </w:r>
      <w:r>
        <w:rPr>
          <w:rFonts w:asciiTheme="minorBidi" w:hAnsiTheme="minorBidi"/>
          <w:sz w:val="24"/>
          <w:szCs w:val="24"/>
        </w:rPr>
        <w:t>those</w:t>
      </w:r>
      <w:r w:rsidRPr="005459FF">
        <w:rPr>
          <w:rFonts w:asciiTheme="minorBidi" w:hAnsiTheme="minorBidi"/>
          <w:sz w:val="24"/>
          <w:szCs w:val="24"/>
        </w:rPr>
        <w:t xml:space="preserve"> people to be the gatekeepers is to approach all the targeted population at the regional level. Through this step, </w:t>
      </w:r>
      <w:r>
        <w:rPr>
          <w:rFonts w:asciiTheme="minorBidi" w:hAnsiTheme="minorBidi"/>
          <w:sz w:val="24"/>
          <w:szCs w:val="24"/>
        </w:rPr>
        <w:t>the researcher</w:t>
      </w:r>
      <w:r w:rsidRPr="005459FF">
        <w:rPr>
          <w:rFonts w:asciiTheme="minorBidi" w:hAnsiTheme="minorBidi"/>
          <w:sz w:val="24"/>
          <w:szCs w:val="24"/>
        </w:rPr>
        <w:t xml:space="preserve"> can make sure that all the target population will receive an invitation to participate in this research, and they have an opportunity to participate in it. Because </w:t>
      </w:r>
      <w:r>
        <w:rPr>
          <w:rFonts w:asciiTheme="minorBidi" w:hAnsiTheme="minorBidi"/>
          <w:sz w:val="24"/>
          <w:szCs w:val="24"/>
        </w:rPr>
        <w:t>those gatekeepers</w:t>
      </w:r>
      <w:r w:rsidRPr="005459FF">
        <w:rPr>
          <w:rFonts w:asciiTheme="minorBidi" w:hAnsiTheme="minorBidi"/>
          <w:sz w:val="24"/>
          <w:szCs w:val="24"/>
        </w:rPr>
        <w:t xml:space="preserve"> have contact details of all the people involved, which makes distributing the survey link to all participants easy, reliable and guaranteed. </w:t>
      </w:r>
      <w:r>
        <w:rPr>
          <w:rFonts w:ascii="Arial" w:hAnsi="Arial" w:cs="Arial"/>
          <w:sz w:val="24"/>
          <w:szCs w:val="24"/>
        </w:rPr>
        <w:t>Another reason for choosing those</w:t>
      </w:r>
      <w:r w:rsidRPr="006B2FC7">
        <w:rPr>
          <w:rFonts w:ascii="Arial" w:hAnsi="Arial" w:cs="Arial"/>
          <w:sz w:val="24"/>
          <w:szCs w:val="24"/>
        </w:rPr>
        <w:t xml:space="preserve"> gatekeepers</w:t>
      </w:r>
      <w:r>
        <w:rPr>
          <w:rFonts w:ascii="Arial" w:hAnsi="Arial" w:cs="Arial"/>
          <w:sz w:val="24"/>
          <w:szCs w:val="24"/>
        </w:rPr>
        <w:t xml:space="preserve"> is</w:t>
      </w:r>
      <w:r w:rsidRPr="006B2FC7">
        <w:rPr>
          <w:rFonts w:ascii="Arial" w:hAnsi="Arial" w:cs="Arial"/>
          <w:sz w:val="24"/>
          <w:szCs w:val="24"/>
        </w:rPr>
        <w:t xml:space="preserve"> to increase the response rate as individuals usually respond to requests from a person in a high position such as supervisors because managers can help to encourage their staff to complete the questionnaire. By following this approach, the quantity of response could be maximised, we should consider that the response rate is unlikely to achieve 100%; thus, non-response can be another source of potential bias </w:t>
      </w:r>
      <w:r>
        <w:rPr>
          <w:rFonts w:ascii="Arial" w:hAnsi="Arial" w:cs="Arial"/>
          <w:sz w:val="24"/>
          <w:szCs w:val="24"/>
        </w:rPr>
        <w:fldChar w:fldCharType="begin" w:fldLock="1"/>
      </w:r>
      <w:r>
        <w:rPr>
          <w:rFonts w:ascii="Arial" w:hAnsi="Arial" w:cs="Arial"/>
          <w:sz w:val="24"/>
          <w:szCs w:val="24"/>
        </w:rPr>
        <w:instrText>ADDIN CSL_CITATION {"citationItems":[{"id":"ITEM-1","itemData":{"DOI":"10.1108/MRR-02-2013-0027","ISSN":"20408269","abstract":"Purpose: This article aims to draw on experience in supervising new researchers, and the advice of other writers to offer novice researchers such as those engaged in study for a thesis, or in another small-scale research project, a pragmatic introduction to designing and using research questionnaires. Design/methodology/approach: After a brief introduction, this article is organized into three main sections: designing questionnaires, distributing questionnaires, and analysing and presenting questionnaire data. Within these sections, ten questions often asked by novice researchers are posed and answered. Findings: This article is designed to give novice researchers advice and support to help them to design good questionnaires, to maximise their response rate, and to undertake appropriate data analysis. Originality/value: Other research methods texts offer advice on questionnaire design and use, but their advice is not specifically tailored to new researchers. They tend to offer options, but provide limited guidance on making crucial decisions in questionnaire design, distribution and data analysis and presentation. © Emerald Group Publishing Limited.","author":[{"dropping-particle":"","family":"Rowley","given":"Jenny","non-dropping-particle":"","parse-names":false,"suffix":""}],"container-title":"Management Research Review","id":"ITEM-1","issue":"3","issued":{"date-parts":[["2014"]]},"page":"308-330","title":"Designing and using research questionnaires","type":"article-journal","volume":"37"},"uris":["http://www.mendeley.com/documents/?uuid=516608a8-41bf-4bf7-8883-4316ed74189f"]}],"mendeley":{"formattedCitation":"(Rowley, 2014)","plainTextFormattedCitation":"(Rowley, 2014)","previouslyFormattedCitation":"(Rowley, 2014)"},"properties":{"noteIndex":0},"schema":"https://github.com/citation-style-language/schema/raw/master/csl-citation.json"}</w:instrText>
      </w:r>
      <w:r>
        <w:rPr>
          <w:rFonts w:ascii="Arial" w:hAnsi="Arial" w:cs="Arial"/>
          <w:sz w:val="24"/>
          <w:szCs w:val="24"/>
        </w:rPr>
        <w:fldChar w:fldCharType="separate"/>
      </w:r>
      <w:r w:rsidRPr="003F2FCF">
        <w:rPr>
          <w:rFonts w:ascii="Arial" w:hAnsi="Arial" w:cs="Arial"/>
          <w:noProof/>
          <w:sz w:val="24"/>
          <w:szCs w:val="24"/>
        </w:rPr>
        <w:t>(Rowley, 2014)</w:t>
      </w:r>
      <w:r>
        <w:rPr>
          <w:rFonts w:ascii="Arial" w:hAnsi="Arial" w:cs="Arial"/>
          <w:sz w:val="24"/>
          <w:szCs w:val="24"/>
        </w:rPr>
        <w:fldChar w:fldCharType="end"/>
      </w:r>
      <w:r>
        <w:rPr>
          <w:rFonts w:ascii="Arial" w:hAnsi="Arial" w:cs="Arial"/>
          <w:sz w:val="24"/>
          <w:szCs w:val="24"/>
        </w:rPr>
        <w:t>.</w:t>
      </w:r>
      <w:r w:rsidRPr="006B2FC7">
        <w:rPr>
          <w:rFonts w:ascii="Arial" w:hAnsi="Arial" w:cs="Arial"/>
          <w:sz w:val="24"/>
          <w:szCs w:val="24"/>
        </w:rPr>
        <w:t xml:space="preserve"> </w:t>
      </w:r>
      <w:r w:rsidRPr="005459FF">
        <w:rPr>
          <w:rFonts w:asciiTheme="minorBidi" w:hAnsiTheme="minorBidi"/>
          <w:sz w:val="24"/>
          <w:szCs w:val="24"/>
        </w:rPr>
        <w:t xml:space="preserve"> </w:t>
      </w:r>
      <w:r>
        <w:rPr>
          <w:rFonts w:ascii="Arial" w:hAnsi="Arial" w:cs="Arial"/>
          <w:sz w:val="24"/>
          <w:szCs w:val="24"/>
        </w:rPr>
        <w:t>R</w:t>
      </w:r>
      <w:r w:rsidRPr="006B2FC7">
        <w:rPr>
          <w:rFonts w:ascii="Arial" w:hAnsi="Arial" w:cs="Arial"/>
          <w:sz w:val="24"/>
          <w:szCs w:val="24"/>
        </w:rPr>
        <w:t xml:space="preserve">eminders </w:t>
      </w:r>
      <w:r>
        <w:rPr>
          <w:rFonts w:ascii="Arial" w:hAnsi="Arial" w:cs="Arial"/>
          <w:sz w:val="24"/>
          <w:szCs w:val="24"/>
        </w:rPr>
        <w:t>were</w:t>
      </w:r>
      <w:r w:rsidRPr="006B2FC7">
        <w:rPr>
          <w:rFonts w:ascii="Arial" w:hAnsi="Arial" w:cs="Arial"/>
          <w:sz w:val="24"/>
          <w:szCs w:val="24"/>
        </w:rPr>
        <w:t xml:space="preserve"> sent </w:t>
      </w:r>
      <w:r>
        <w:rPr>
          <w:rFonts w:ascii="Arial" w:hAnsi="Arial" w:cs="Arial"/>
          <w:sz w:val="24"/>
          <w:szCs w:val="24"/>
        </w:rPr>
        <w:t xml:space="preserve">twice, one week between each reminder, and the first one was </w:t>
      </w:r>
      <w:r w:rsidRPr="006B2FC7">
        <w:rPr>
          <w:rFonts w:ascii="Arial" w:hAnsi="Arial" w:cs="Arial"/>
          <w:sz w:val="24"/>
          <w:szCs w:val="24"/>
        </w:rPr>
        <w:t>a week after the first questionnaire distribution</w:t>
      </w:r>
      <w:r>
        <w:rPr>
          <w:rFonts w:ascii="Arial" w:hAnsi="Arial" w:cs="Arial"/>
          <w:sz w:val="24"/>
          <w:szCs w:val="24"/>
        </w:rPr>
        <w:t xml:space="preserve">. </w:t>
      </w:r>
    </w:p>
    <w:p w14:paraId="3F796181" w14:textId="77777777" w:rsidR="00640300" w:rsidRPr="007965E9" w:rsidRDefault="00333F07" w:rsidP="00EB7F85">
      <w:pPr>
        <w:spacing w:line="360" w:lineRule="auto"/>
        <w:jc w:val="both"/>
        <w:rPr>
          <w:rFonts w:asciiTheme="minorBidi" w:eastAsiaTheme="majorEastAsia" w:hAnsiTheme="minorBidi"/>
          <w:color w:val="2F5496" w:themeColor="accent1" w:themeShade="BF"/>
          <w:sz w:val="24"/>
          <w:szCs w:val="24"/>
        </w:rPr>
      </w:pPr>
      <w:r w:rsidRPr="007965E9">
        <w:rPr>
          <w:rFonts w:asciiTheme="minorBidi" w:eastAsiaTheme="majorEastAsia" w:hAnsiTheme="minorBidi"/>
          <w:color w:val="2F5496" w:themeColor="accent1" w:themeShade="BF"/>
          <w:sz w:val="24"/>
          <w:szCs w:val="24"/>
        </w:rPr>
        <w:t>Challenges and actions taken to mitigate these challenges.</w:t>
      </w:r>
    </w:p>
    <w:p w14:paraId="69F52A39" w14:textId="36503E78" w:rsidR="00EB7F85" w:rsidRDefault="00EB7F85" w:rsidP="00EB7F85">
      <w:pPr>
        <w:spacing w:line="360" w:lineRule="auto"/>
        <w:jc w:val="both"/>
        <w:rPr>
          <w:rFonts w:ascii="Arial" w:hAnsi="Arial" w:cs="Arial"/>
          <w:sz w:val="24"/>
          <w:szCs w:val="24"/>
        </w:rPr>
      </w:pPr>
      <w:r w:rsidRPr="00BF786B">
        <w:rPr>
          <w:rFonts w:ascii="Arial" w:hAnsi="Arial" w:cs="Arial"/>
          <w:sz w:val="24"/>
          <w:szCs w:val="24"/>
        </w:rPr>
        <w:t xml:space="preserve">Surprisingly, it was found that </w:t>
      </w:r>
      <w:r>
        <w:rPr>
          <w:rFonts w:ascii="Arial" w:hAnsi="Arial" w:cs="Arial"/>
          <w:sz w:val="24"/>
          <w:szCs w:val="24"/>
        </w:rPr>
        <w:t>HCPs</w:t>
      </w:r>
      <w:r w:rsidRPr="00BF786B">
        <w:rPr>
          <w:rFonts w:ascii="Arial" w:hAnsi="Arial" w:cs="Arial"/>
          <w:sz w:val="24"/>
          <w:szCs w:val="24"/>
        </w:rPr>
        <w:t xml:space="preserve"> do not check their work emails as frequently, and if they do, they usually do not reply. Another issue was discovered that some of the targeted population did not receive the invitation emails to participate in this research because their mail is full and does not receive new messages, and the reason is that the Saudi MoH Webmail has limited storage data; therefore, healthcare workers who do not clean or archive their email cannot receive new email messages.</w:t>
      </w:r>
    </w:p>
    <w:p w14:paraId="7D61CA22" w14:textId="77777777" w:rsidR="00EB7F85" w:rsidRDefault="00EB7F85" w:rsidP="00EB7F85">
      <w:pPr>
        <w:spacing w:line="360" w:lineRule="auto"/>
        <w:jc w:val="both"/>
        <w:rPr>
          <w:rFonts w:asciiTheme="minorBidi" w:hAnsiTheme="minorBidi"/>
          <w:sz w:val="24"/>
          <w:szCs w:val="24"/>
        </w:rPr>
      </w:pPr>
      <w:r>
        <w:rPr>
          <w:rFonts w:ascii="Arial" w:hAnsi="Arial" w:cs="Arial"/>
          <w:sz w:val="24"/>
          <w:szCs w:val="24"/>
        </w:rPr>
        <w:t>T</w:t>
      </w:r>
      <w:r w:rsidRPr="001637F0">
        <w:rPr>
          <w:rFonts w:ascii="Arial" w:hAnsi="Arial" w:cs="Arial"/>
          <w:sz w:val="24"/>
          <w:szCs w:val="24"/>
        </w:rPr>
        <w:t>o mitigate these challenges</w:t>
      </w:r>
      <w:r>
        <w:rPr>
          <w:rFonts w:ascii="Arial" w:hAnsi="Arial" w:cs="Arial"/>
          <w:sz w:val="24"/>
          <w:szCs w:val="24"/>
        </w:rPr>
        <w:t xml:space="preserve">, a suggestion was made to </w:t>
      </w:r>
      <w:r>
        <w:rPr>
          <w:rFonts w:asciiTheme="minorBidi" w:hAnsiTheme="minorBidi"/>
          <w:sz w:val="24"/>
          <w:szCs w:val="24"/>
        </w:rPr>
        <w:t xml:space="preserve">expand the tools of survey distribution. After </w:t>
      </w:r>
      <w:r w:rsidRPr="00863DE8">
        <w:rPr>
          <w:rFonts w:asciiTheme="minorBidi" w:hAnsiTheme="minorBidi"/>
          <w:sz w:val="24"/>
          <w:szCs w:val="24"/>
        </w:rPr>
        <w:t xml:space="preserve">obtaining the ethical approval, the survey </w:t>
      </w:r>
      <w:r>
        <w:rPr>
          <w:rFonts w:asciiTheme="minorBidi" w:hAnsiTheme="minorBidi"/>
          <w:sz w:val="24"/>
          <w:szCs w:val="24"/>
        </w:rPr>
        <w:t xml:space="preserve">was distributed </w:t>
      </w:r>
      <w:r w:rsidRPr="00863DE8">
        <w:rPr>
          <w:rFonts w:asciiTheme="minorBidi" w:hAnsiTheme="minorBidi"/>
          <w:sz w:val="24"/>
          <w:szCs w:val="24"/>
        </w:rPr>
        <w:t xml:space="preserve">across several social media platforms, such as WhatsApp, Telegram, Twitter and Instagram. </w:t>
      </w:r>
      <w:r>
        <w:rPr>
          <w:rFonts w:asciiTheme="minorBidi" w:hAnsiTheme="minorBidi"/>
          <w:sz w:val="24"/>
          <w:szCs w:val="24"/>
        </w:rPr>
        <w:t>T</w:t>
      </w:r>
      <w:r w:rsidRPr="00863DE8">
        <w:rPr>
          <w:rFonts w:asciiTheme="minorBidi" w:hAnsiTheme="minorBidi"/>
          <w:sz w:val="24"/>
          <w:szCs w:val="24"/>
        </w:rPr>
        <w:t>he invitation</w:t>
      </w:r>
      <w:r>
        <w:rPr>
          <w:rFonts w:asciiTheme="minorBidi" w:hAnsiTheme="minorBidi"/>
          <w:sz w:val="24"/>
          <w:szCs w:val="24"/>
        </w:rPr>
        <w:t xml:space="preserve"> </w:t>
      </w:r>
      <w:r w:rsidRPr="00863DE8">
        <w:rPr>
          <w:rFonts w:asciiTheme="minorBidi" w:hAnsiTheme="minorBidi"/>
          <w:sz w:val="24"/>
          <w:szCs w:val="24"/>
        </w:rPr>
        <w:t xml:space="preserve">including the survey link </w:t>
      </w:r>
      <w:r>
        <w:rPr>
          <w:rFonts w:asciiTheme="minorBidi" w:hAnsiTheme="minorBidi"/>
          <w:sz w:val="24"/>
          <w:szCs w:val="24"/>
        </w:rPr>
        <w:t>was posted in</w:t>
      </w:r>
      <w:r w:rsidRPr="00863DE8">
        <w:rPr>
          <w:rFonts w:asciiTheme="minorBidi" w:hAnsiTheme="minorBidi"/>
          <w:sz w:val="24"/>
          <w:szCs w:val="24"/>
        </w:rPr>
        <w:t xml:space="preserve"> </w:t>
      </w:r>
      <w:r>
        <w:rPr>
          <w:rFonts w:asciiTheme="minorBidi" w:hAnsiTheme="minorBidi"/>
          <w:sz w:val="24"/>
          <w:szCs w:val="24"/>
        </w:rPr>
        <w:t>the researcher’s</w:t>
      </w:r>
      <w:r w:rsidRPr="00863DE8">
        <w:rPr>
          <w:rFonts w:asciiTheme="minorBidi" w:hAnsiTheme="minorBidi"/>
          <w:sz w:val="24"/>
          <w:szCs w:val="24"/>
        </w:rPr>
        <w:t xml:space="preserve"> WhatsApp status so everyone on </w:t>
      </w:r>
      <w:r>
        <w:rPr>
          <w:rFonts w:asciiTheme="minorBidi" w:hAnsiTheme="minorBidi"/>
          <w:sz w:val="24"/>
          <w:szCs w:val="24"/>
        </w:rPr>
        <w:t>her</w:t>
      </w:r>
      <w:r w:rsidRPr="00863DE8">
        <w:rPr>
          <w:rFonts w:asciiTheme="minorBidi" w:hAnsiTheme="minorBidi"/>
          <w:sz w:val="24"/>
          <w:szCs w:val="24"/>
        </w:rPr>
        <w:t xml:space="preserve"> contact list can see the invitation. </w:t>
      </w:r>
      <w:r>
        <w:rPr>
          <w:rFonts w:asciiTheme="minorBidi" w:hAnsiTheme="minorBidi"/>
          <w:sz w:val="24"/>
          <w:szCs w:val="24"/>
        </w:rPr>
        <w:t xml:space="preserve">In addition, a private massage was sent to all the researcher’s contact list from the healthcare colleagues. The researcher </w:t>
      </w:r>
      <w:r w:rsidRPr="00863DE8">
        <w:rPr>
          <w:rFonts w:asciiTheme="minorBidi" w:hAnsiTheme="minorBidi"/>
          <w:sz w:val="24"/>
          <w:szCs w:val="24"/>
        </w:rPr>
        <w:t xml:space="preserve">tweeted the invitation, including the survey link, and mentioned it to all primary health care </w:t>
      </w:r>
      <w:r>
        <w:rPr>
          <w:rFonts w:asciiTheme="minorBidi" w:hAnsiTheme="minorBidi"/>
          <w:sz w:val="24"/>
          <w:szCs w:val="24"/>
        </w:rPr>
        <w:t>sectors</w:t>
      </w:r>
      <w:r w:rsidRPr="00863DE8">
        <w:rPr>
          <w:rFonts w:asciiTheme="minorBidi" w:hAnsiTheme="minorBidi"/>
          <w:sz w:val="24"/>
          <w:szCs w:val="24"/>
        </w:rPr>
        <w:t xml:space="preserve"> in the first health cluster in Eastern Provence and to many </w:t>
      </w:r>
      <w:r>
        <w:rPr>
          <w:rFonts w:asciiTheme="minorBidi" w:hAnsiTheme="minorBidi"/>
          <w:sz w:val="24"/>
          <w:szCs w:val="24"/>
        </w:rPr>
        <w:t xml:space="preserve">healthcare </w:t>
      </w:r>
      <w:r w:rsidRPr="00863DE8">
        <w:rPr>
          <w:rFonts w:asciiTheme="minorBidi" w:hAnsiTheme="minorBidi"/>
          <w:sz w:val="24"/>
          <w:szCs w:val="24"/>
        </w:rPr>
        <w:t xml:space="preserve">associations such as </w:t>
      </w:r>
      <w:r w:rsidRPr="005C272A">
        <w:rPr>
          <w:rFonts w:asciiTheme="minorBidi" w:hAnsiTheme="minorBidi"/>
          <w:sz w:val="24"/>
          <w:szCs w:val="24"/>
        </w:rPr>
        <w:t>the Saudi Society for Clinical Pharmacy (SSCP), the Saudi Diabetes and Endocrine Association, the Saudi Society of Family and Community Medicine (SSFCM),</w:t>
      </w:r>
      <w:r>
        <w:rPr>
          <w:rFonts w:asciiTheme="minorBidi" w:hAnsiTheme="minorBidi"/>
          <w:sz w:val="24"/>
          <w:szCs w:val="24"/>
        </w:rPr>
        <w:t xml:space="preserve"> </w:t>
      </w:r>
      <w:r w:rsidRPr="005C272A">
        <w:rPr>
          <w:rFonts w:asciiTheme="minorBidi" w:hAnsiTheme="minorBidi"/>
          <w:sz w:val="24"/>
          <w:szCs w:val="24"/>
        </w:rPr>
        <w:t xml:space="preserve">also </w:t>
      </w:r>
      <w:r>
        <w:rPr>
          <w:rFonts w:asciiTheme="minorBidi" w:hAnsiTheme="minorBidi"/>
          <w:sz w:val="24"/>
          <w:szCs w:val="24"/>
        </w:rPr>
        <w:t xml:space="preserve">the tweet was mentioned to the leaders in the Saudi MoH. Beside to sending a direct message to all of these who activate the direct message property. </w:t>
      </w:r>
    </w:p>
    <w:p w14:paraId="2B947D1A" w14:textId="77777777" w:rsidR="00EB7F85" w:rsidRPr="000B54F5" w:rsidRDefault="00EB7F85" w:rsidP="00EB7F85">
      <w:pPr>
        <w:spacing w:line="360" w:lineRule="auto"/>
        <w:jc w:val="both"/>
        <w:rPr>
          <w:rFonts w:asciiTheme="minorBidi" w:hAnsiTheme="minorBidi"/>
          <w:sz w:val="24"/>
          <w:szCs w:val="24"/>
        </w:rPr>
      </w:pPr>
      <w:r>
        <w:rPr>
          <w:rFonts w:asciiTheme="minorBidi" w:hAnsiTheme="minorBidi"/>
          <w:sz w:val="24"/>
          <w:szCs w:val="24"/>
        </w:rPr>
        <w:t xml:space="preserve">Moreover, emails were sent to official bodies such as </w:t>
      </w:r>
      <w:r w:rsidRPr="000B54F5">
        <w:rPr>
          <w:rFonts w:asciiTheme="minorBidi" w:hAnsiTheme="minorBidi"/>
          <w:sz w:val="24"/>
          <w:szCs w:val="24"/>
        </w:rPr>
        <w:t>the SSCP, the SSFCM</w:t>
      </w:r>
      <w:r>
        <w:rPr>
          <w:rFonts w:asciiTheme="minorBidi" w:hAnsiTheme="minorBidi"/>
          <w:sz w:val="24"/>
          <w:szCs w:val="24"/>
        </w:rPr>
        <w:t xml:space="preserve">, </w:t>
      </w:r>
      <w:r w:rsidRPr="000B54F5">
        <w:rPr>
          <w:rFonts w:asciiTheme="minorBidi" w:hAnsiTheme="minorBidi"/>
          <w:sz w:val="24"/>
          <w:szCs w:val="24"/>
        </w:rPr>
        <w:t xml:space="preserve">the Saudi Diabetes and Endocrine Association, and the Saudi Nurses Association. </w:t>
      </w:r>
      <w:r>
        <w:rPr>
          <w:rFonts w:asciiTheme="minorBidi" w:hAnsiTheme="minorBidi"/>
          <w:sz w:val="24"/>
          <w:szCs w:val="24"/>
        </w:rPr>
        <w:t>In addition</w:t>
      </w:r>
      <w:r w:rsidRPr="000B54F5">
        <w:rPr>
          <w:rFonts w:asciiTheme="minorBidi" w:hAnsiTheme="minorBidi"/>
          <w:sz w:val="24"/>
          <w:szCs w:val="24"/>
        </w:rPr>
        <w:t xml:space="preserve">, all of these associations </w:t>
      </w:r>
      <w:r>
        <w:rPr>
          <w:rFonts w:asciiTheme="minorBidi" w:hAnsiTheme="minorBidi"/>
          <w:sz w:val="24"/>
          <w:szCs w:val="24"/>
        </w:rPr>
        <w:t>were</w:t>
      </w:r>
      <w:r w:rsidRPr="000B54F5">
        <w:rPr>
          <w:rFonts w:asciiTheme="minorBidi" w:hAnsiTheme="minorBidi"/>
          <w:sz w:val="24"/>
          <w:szCs w:val="24"/>
        </w:rPr>
        <w:t xml:space="preserve"> contacted directly through their websites and asked them to distribute the survey link to their members. </w:t>
      </w:r>
    </w:p>
    <w:p w14:paraId="7A9026EF" w14:textId="77777777" w:rsidR="00EB7F85" w:rsidRPr="005A29DD" w:rsidRDefault="00EB7F85" w:rsidP="00EB7F85">
      <w:pPr>
        <w:spacing w:line="360" w:lineRule="auto"/>
        <w:jc w:val="both"/>
        <w:rPr>
          <w:rFonts w:asciiTheme="minorBidi" w:hAnsiTheme="minorBidi"/>
          <w:sz w:val="24"/>
          <w:szCs w:val="24"/>
        </w:rPr>
      </w:pPr>
      <w:r w:rsidRPr="005A29DD">
        <w:rPr>
          <w:rFonts w:asciiTheme="minorBidi" w:hAnsiTheme="minorBidi"/>
          <w:sz w:val="24"/>
          <w:szCs w:val="24"/>
        </w:rPr>
        <w:t xml:space="preserve">The survey link was also distributed through the several groups in the Telegram including thousands of members. Examples of the Telegram groups: Development of Pharmacy Channel, Saudi Healthcare Cluster, and Research &amp;Publish. </w:t>
      </w:r>
    </w:p>
    <w:p w14:paraId="07328C86" w14:textId="77777777" w:rsidR="00EB7F85" w:rsidRPr="00CB3716" w:rsidRDefault="00EB7F85" w:rsidP="00EB7F85">
      <w:pPr>
        <w:spacing w:line="360" w:lineRule="auto"/>
        <w:jc w:val="both"/>
        <w:rPr>
          <w:rFonts w:asciiTheme="minorBidi" w:hAnsiTheme="minorBidi"/>
          <w:sz w:val="24"/>
          <w:szCs w:val="24"/>
        </w:rPr>
      </w:pPr>
      <w:r w:rsidRPr="005A29DD">
        <w:rPr>
          <w:rFonts w:asciiTheme="minorBidi" w:hAnsiTheme="minorBidi"/>
          <w:sz w:val="24"/>
          <w:szCs w:val="24"/>
        </w:rPr>
        <w:t>Finally, follow up messages were sent to the targeted population</w:t>
      </w:r>
      <w:r>
        <w:rPr>
          <w:rFonts w:asciiTheme="minorBidi" w:hAnsiTheme="minorBidi"/>
          <w:sz w:val="24"/>
          <w:szCs w:val="24"/>
        </w:rPr>
        <w:t xml:space="preserve"> </w:t>
      </w:r>
      <w:r w:rsidRPr="005A29DD">
        <w:rPr>
          <w:rFonts w:asciiTheme="minorBidi" w:hAnsiTheme="minorBidi"/>
          <w:sz w:val="24"/>
          <w:szCs w:val="24"/>
        </w:rPr>
        <w:t>and I mentioned that ‘Your progress on this survey is saved which means that you can complete it in stages at different times’, to encourage the participants to complete their responses.</w:t>
      </w:r>
      <w:r>
        <w:rPr>
          <w:rFonts w:asciiTheme="minorBidi" w:hAnsiTheme="minorBidi"/>
          <w:sz w:val="24"/>
          <w:szCs w:val="24"/>
        </w:rPr>
        <w:t xml:space="preserve"> However,</w:t>
      </w:r>
      <w:r w:rsidRPr="005A29DD">
        <w:rPr>
          <w:rFonts w:asciiTheme="minorBidi" w:hAnsiTheme="minorBidi"/>
          <w:sz w:val="24"/>
          <w:szCs w:val="24"/>
        </w:rPr>
        <w:t> </w:t>
      </w:r>
      <w:r w:rsidRPr="00CB3716">
        <w:rPr>
          <w:rFonts w:ascii="Arial" w:hAnsi="Arial" w:cs="Arial"/>
          <w:sz w:val="24"/>
          <w:szCs w:val="24"/>
        </w:rPr>
        <w:t xml:space="preserve">due to the Covid-19 pandemic, it was slightly challenging to collect data, as the study targeted primary HCPs (doctors, pharmacists, and nurses) in Saudi Arabia. Since the data collection period for the first phase (online survey) was at the peak of the pandemic (March to June 2021), participants' engagement was minimal. </w:t>
      </w:r>
    </w:p>
    <w:p w14:paraId="3945A129"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The survey </w:t>
      </w:r>
      <w:r>
        <w:rPr>
          <w:rFonts w:ascii="Arial" w:hAnsi="Arial" w:cs="Arial"/>
          <w:sz w:val="24"/>
          <w:szCs w:val="24"/>
        </w:rPr>
        <w:t xml:space="preserve">also </w:t>
      </w:r>
      <w:r w:rsidRPr="006B2FC7">
        <w:rPr>
          <w:rFonts w:ascii="Arial" w:hAnsi="Arial" w:cs="Arial"/>
          <w:sz w:val="24"/>
          <w:szCs w:val="24"/>
        </w:rPr>
        <w:t>invite</w:t>
      </w:r>
      <w:r>
        <w:rPr>
          <w:rFonts w:ascii="Arial" w:hAnsi="Arial" w:cs="Arial"/>
          <w:sz w:val="24"/>
          <w:szCs w:val="24"/>
        </w:rPr>
        <w:t>d</w:t>
      </w:r>
      <w:r w:rsidRPr="006B2FC7">
        <w:rPr>
          <w:rFonts w:ascii="Arial" w:hAnsi="Arial" w:cs="Arial"/>
          <w:sz w:val="24"/>
          <w:szCs w:val="24"/>
        </w:rPr>
        <w:t xml:space="preserve"> the respondents to participate in the second phase (qualitative) but separate request for contact info for qualitative interviews because the survey </w:t>
      </w:r>
      <w:r>
        <w:rPr>
          <w:rFonts w:ascii="Arial" w:hAnsi="Arial" w:cs="Arial"/>
          <w:sz w:val="24"/>
          <w:szCs w:val="24"/>
        </w:rPr>
        <w:t>was</w:t>
      </w:r>
      <w:r w:rsidRPr="006B2FC7">
        <w:rPr>
          <w:rFonts w:ascii="Arial" w:hAnsi="Arial" w:cs="Arial"/>
          <w:sz w:val="24"/>
          <w:szCs w:val="24"/>
        </w:rPr>
        <w:t xml:space="preserve"> anonymous (no contact details in the survey). According to Creswell and Clark (2017), individuals who contribute to the quantitative dataset are best suited to do the qualitative part of research because the explanatory sequential design aims to use the qualitative results to provide an explanation and more detail about the quantitative results.</w:t>
      </w:r>
    </w:p>
    <w:p w14:paraId="3F446960" w14:textId="77777777" w:rsidR="00EB7F85" w:rsidRPr="00445F6A" w:rsidRDefault="00EB7F85" w:rsidP="00EB7F85">
      <w:pPr>
        <w:spacing w:line="360" w:lineRule="auto"/>
      </w:pPr>
    </w:p>
    <w:p w14:paraId="3E8B6CA7" w14:textId="77777777" w:rsidR="00EB7F85" w:rsidRPr="00445F6A" w:rsidRDefault="00EB7F85" w:rsidP="00876389">
      <w:pPr>
        <w:pStyle w:val="Heading3"/>
        <w:numPr>
          <w:ilvl w:val="2"/>
          <w:numId w:val="14"/>
        </w:numPr>
        <w:spacing w:line="360" w:lineRule="auto"/>
        <w:ind w:left="360" w:hanging="360"/>
      </w:pPr>
      <w:bookmarkStart w:id="116" w:name="_Toc153894178"/>
      <w:r w:rsidRPr="00445F6A">
        <w:t xml:space="preserve">Qualitative </w:t>
      </w:r>
      <w:r>
        <w:t>d</w:t>
      </w:r>
      <w:r w:rsidRPr="00445F6A">
        <w:t xml:space="preserve">ata </w:t>
      </w:r>
      <w:r>
        <w:t>c</w:t>
      </w:r>
      <w:r w:rsidRPr="00445F6A">
        <w:t>ollection</w:t>
      </w:r>
      <w:r>
        <w:t>: interviews</w:t>
      </w:r>
      <w:bookmarkEnd w:id="116"/>
    </w:p>
    <w:p w14:paraId="05D42846" w14:textId="77777777" w:rsidR="00EB7F85" w:rsidRPr="006B2FC7" w:rsidRDefault="00EB7F85" w:rsidP="00EB7F85">
      <w:pPr>
        <w:spacing w:line="360" w:lineRule="auto"/>
        <w:jc w:val="both"/>
        <w:rPr>
          <w:rFonts w:ascii="Arial" w:hAnsi="Arial" w:cs="Arial"/>
          <w:color w:val="000000"/>
          <w:sz w:val="24"/>
          <w:szCs w:val="24"/>
          <w:lang w:val="en-GB"/>
        </w:rPr>
      </w:pPr>
      <w:r w:rsidRPr="006B2FC7">
        <w:rPr>
          <w:rFonts w:ascii="Arial" w:hAnsi="Arial" w:cs="Arial"/>
          <w:color w:val="000000"/>
          <w:sz w:val="24"/>
          <w:szCs w:val="24"/>
          <w:lang w:val="en-GB"/>
        </w:rPr>
        <w:t xml:space="preserve">There are a range of qualitative methods that can be used in this research ranging from in-depth interviews, focus groups, or field/participant observations to analysing  open-ended questionnaire, or analysing comments posted on social media platforms </w:t>
      </w:r>
      <w:r w:rsidRPr="006B2FC7">
        <w:rPr>
          <w:rFonts w:ascii="Arial" w:hAnsi="Arial" w:cs="Arial"/>
          <w:color w:val="000000"/>
          <w:sz w:val="24"/>
          <w:szCs w:val="24"/>
          <w:lang w:val="en-GB"/>
        </w:rPr>
        <w:fldChar w:fldCharType="begin" w:fldLock="1"/>
      </w:r>
      <w:r>
        <w:rPr>
          <w:rFonts w:ascii="Arial" w:hAnsi="Arial" w:cs="Arial"/>
          <w:color w:val="000000"/>
          <w:sz w:val="24"/>
          <w:szCs w:val="24"/>
          <w:lang w:val="en-GB"/>
        </w:rPr>
        <w:instrText>ADDIN CSL_CITATION {"citationItems":[{"id":"ITEM-1","itemData":{"DOI":"10.4135/9781483384436.n1","ISBN":"9781412971676","abstract":"[PDF] Chapter 1: INTRODUCTION TO APPLIED THEMATIC ANALYSIS www.sagepub.com/upm-data/44134_1.pdf - Cached 3. INTRODUCTION TO APPLIED. THEMATIC ANALYSIS. Unsatisfied with the limitations imposed by any one particular martial art, Bruce. Lee developed his ...","author":[{"dropping-particle":"","family":"Guest","given":"Greg","non-dropping-particle":"","parse-names":false,"suffix":""},{"dropping-particle":"","family":"MacQueen","given":"Kathleen","non-dropping-particle":"","parse-names":false,"suffix":""},{"dropping-particle":"","family":"Namey","given":"Emily","non-dropping-particle":"","parse-names":false,"suffix":""}],"container-title":"Applied Thematic Analysis","id":"ITEM-1","issued":{"date-parts":[["2014"]]},"page":"3-20","title":"Introduction to Applied Thematic Analysis","type":"article-journal"},"uris":["http://www.mendeley.com/documents/?uuid=6d722d9e-2c8e-4a1b-96ba-c26dcc74fb06"]}],"mendeley":{"formattedCitation":"(Guest, MacQueen and Namey, 2014)","manualFormatting":"(Guest et al., 2014","plainTextFormattedCitation":"(Guest, MacQueen and Namey, 2014)","previouslyFormattedCitation":"(Guest, MacQueen and Namey, 2014)"},"properties":{"noteIndex":0},"schema":"https://github.com/citation-style-language/schema/raw/master/csl-citation.json"}</w:instrText>
      </w:r>
      <w:r w:rsidRPr="006B2FC7">
        <w:rPr>
          <w:rFonts w:ascii="Arial" w:hAnsi="Arial" w:cs="Arial"/>
          <w:color w:val="000000"/>
          <w:sz w:val="24"/>
          <w:szCs w:val="24"/>
          <w:lang w:val="en-GB"/>
        </w:rPr>
        <w:fldChar w:fldCharType="separate"/>
      </w:r>
      <w:r w:rsidRPr="006B2FC7">
        <w:rPr>
          <w:rFonts w:ascii="Arial" w:hAnsi="Arial" w:cs="Arial"/>
          <w:noProof/>
          <w:color w:val="000000"/>
          <w:sz w:val="24"/>
          <w:szCs w:val="24"/>
          <w:lang w:val="en-GB"/>
        </w:rPr>
        <w:t>(Guest</w:t>
      </w:r>
      <w:r>
        <w:rPr>
          <w:rFonts w:ascii="Arial" w:hAnsi="Arial" w:cs="Arial"/>
          <w:noProof/>
          <w:color w:val="000000"/>
          <w:sz w:val="24"/>
          <w:szCs w:val="24"/>
          <w:lang w:val="en-GB"/>
        </w:rPr>
        <w:t xml:space="preserve"> et al., </w:t>
      </w:r>
      <w:r w:rsidRPr="006B2FC7">
        <w:rPr>
          <w:rFonts w:ascii="Arial" w:hAnsi="Arial" w:cs="Arial"/>
          <w:noProof/>
          <w:color w:val="000000"/>
          <w:sz w:val="24"/>
          <w:szCs w:val="24"/>
          <w:lang w:val="en-GB"/>
        </w:rPr>
        <w:t>2014</w:t>
      </w:r>
      <w:r w:rsidRPr="006B2FC7">
        <w:rPr>
          <w:rFonts w:ascii="Arial" w:hAnsi="Arial" w:cs="Arial"/>
          <w:color w:val="000000"/>
          <w:sz w:val="24"/>
          <w:szCs w:val="24"/>
          <w:lang w:val="en-GB"/>
        </w:rPr>
        <w:fldChar w:fldCharType="end"/>
      </w:r>
      <w:r>
        <w:rPr>
          <w:rFonts w:ascii="Arial" w:hAnsi="Arial" w:cs="Arial"/>
          <w:color w:val="000000"/>
          <w:sz w:val="24"/>
          <w:szCs w:val="24"/>
          <w:lang w:val="en-GB"/>
        </w:rPr>
        <w:t>;</w:t>
      </w:r>
      <w:r w:rsidRPr="006B2FC7">
        <w:rPr>
          <w:rFonts w:ascii="Arial" w:hAnsi="Arial" w:cs="Arial"/>
          <w:color w:val="000000"/>
          <w:sz w:val="24"/>
          <w:szCs w:val="24"/>
          <w:lang w:val="en-GB"/>
        </w:rPr>
        <w:t xml:space="preserve"> </w:t>
      </w:r>
      <w:r w:rsidRPr="006B2FC7">
        <w:rPr>
          <w:rFonts w:ascii="Arial" w:hAnsi="Arial" w:cs="Arial"/>
          <w:color w:val="000000"/>
          <w:sz w:val="24"/>
          <w:szCs w:val="24"/>
          <w:lang w:val="en-GB"/>
        </w:rPr>
        <w:fldChar w:fldCharType="begin" w:fldLock="1"/>
      </w:r>
      <w:r>
        <w:rPr>
          <w:rFonts w:ascii="Arial" w:hAnsi="Arial" w:cs="Arial"/>
          <w:color w:val="000000"/>
          <w:sz w:val="24"/>
          <w:szCs w:val="24"/>
          <w:lang w:val="en-GB"/>
        </w:rPr>
        <w:instrText>ADDIN CSL_CITATION {"citationItems":[{"id":"ITEM-1","itemData":{"abstract":"publications gateway reference: 06757 05 | Bite-size guide to patient insight: Building greater insight through qualitative research Qualitative research is an important area of work for NHS providers and commissioners who want to plug gaps in insight into local healthcare experience and needs, or to probe deeper into findings from quantitative surveys or other feedback-gathering tools. This guide offers a basic introduction to qualitative research for those undertaking or commissioning such insight work: what it is, what are its strengths and limitations compared to quantitative research. It outlines some methods, sampling techniques and ways to analyse the data. What is qualitative research? Qualitative research tends to be more exploratory in nature than quantitative research (see below). It is used to gain understanding of underlying reasons, opinions and motivations. It provides answers to questions such as what does dignity and respect mean to people, why did they use that service and not another and what might work better for our users. It tends to be far less structured in form than quantitative information using open-ended questions and allows the respondent(s) to guide the process as much as the interviewer. Some common methods include focus groups, in-depth interviews, deliberative events and observational work. Qualitative methods are often used alongside quantitative methods. Quantitative methods, such as surveys, are often used to try and establish how many people had a certain experience or how many people hold a certain view. Qualitative research is used to answer questions such as why people feel and think the way they do. It is a way to understand their experiences and perspective. Some of our other bite-size guides give information about this. advantages This kind of research has a range of advantages: Methods like interviews and focus groups let participants answer questions in their own words and this can help us understand their views. Asking \" open-ended \" questions can provide new perspectives as respondents may bring up concerns or views not previously considered but which could be crucial to understanding an issue. Qualitative methods are flexible and can be adapted by the researcher during the course of the project. For example, the researcher can revise the interview questions according to the findings that emerged during a first round of interviews. Similarly, a focus group moderator or an interviewer can follow up points ra…","author":[{"dropping-particle":"","family":"NHS England","given":"","non-dropping-particle":"","parse-names":false,"suffix":""}],"container-title":"Publications Gateway","id":"ITEM-1","issue":"5","issued":{"date-parts":[["2017"]]},"title":"Building greater insight through qualitative research","type":"article-journal"},"uris":["http://www.mendeley.com/documents/?uuid=330ad030-793d-40f0-b943-ae9a26458e75"]}],"mendeley":{"formattedCitation":"(NHS England, 2017)","manualFormatting":"NHS England, 2017)","plainTextFormattedCitation":"(NHS England, 2017)","previouslyFormattedCitation":"(NHS England, 2017)"},"properties":{"noteIndex":0},"schema":"https://github.com/citation-style-language/schema/raw/master/csl-citation.json"}</w:instrText>
      </w:r>
      <w:r w:rsidRPr="006B2FC7">
        <w:rPr>
          <w:rFonts w:ascii="Arial" w:hAnsi="Arial" w:cs="Arial"/>
          <w:color w:val="000000"/>
          <w:sz w:val="24"/>
          <w:szCs w:val="24"/>
          <w:lang w:val="en-GB"/>
        </w:rPr>
        <w:fldChar w:fldCharType="separate"/>
      </w:r>
      <w:r w:rsidRPr="006B2FC7">
        <w:rPr>
          <w:rFonts w:ascii="Arial" w:hAnsi="Arial" w:cs="Arial"/>
          <w:noProof/>
          <w:color w:val="000000"/>
          <w:sz w:val="24"/>
          <w:szCs w:val="24"/>
          <w:lang w:val="en-GB"/>
        </w:rPr>
        <w:t>NHS England, 2017)</w:t>
      </w:r>
      <w:r w:rsidRPr="006B2FC7">
        <w:rPr>
          <w:rFonts w:ascii="Arial" w:hAnsi="Arial" w:cs="Arial"/>
          <w:color w:val="000000"/>
          <w:sz w:val="24"/>
          <w:szCs w:val="24"/>
          <w:lang w:val="en-GB"/>
        </w:rPr>
        <w:fldChar w:fldCharType="end"/>
      </w:r>
      <w:r w:rsidRPr="006B2FC7">
        <w:rPr>
          <w:rFonts w:ascii="Arial" w:hAnsi="Arial" w:cs="Arial"/>
          <w:color w:val="000000"/>
          <w:sz w:val="24"/>
          <w:szCs w:val="24"/>
          <w:lang w:val="en-GB"/>
        </w:rPr>
        <w:t xml:space="preserve">. The choice of most appropriate method depends on the research topic/question and the aims of the research. Since the main aim of this study is exploring the perceptions of healthcare workers of the role of pharmacist in the diabetes management, one-to-one interviews or focus groups are considered as the most appropriate method to answer the research question because, these approaches allow participants to answer the questions in their own words and this can help to understand their views about the research topic.  </w:t>
      </w:r>
    </w:p>
    <w:p w14:paraId="3719C498" w14:textId="77777777" w:rsidR="00EB7F85" w:rsidRPr="000B0E83" w:rsidRDefault="00EB7F85" w:rsidP="00EB7F85">
      <w:pPr>
        <w:spacing w:line="360" w:lineRule="auto"/>
        <w:jc w:val="both"/>
        <w:rPr>
          <w:rFonts w:ascii="Arial" w:hAnsi="Arial" w:cs="Arial"/>
          <w:sz w:val="24"/>
          <w:szCs w:val="24"/>
          <w:lang w:val="en-GB"/>
        </w:rPr>
      </w:pPr>
      <w:r w:rsidRPr="006B2FC7">
        <w:rPr>
          <w:rFonts w:ascii="Arial" w:hAnsi="Arial" w:cs="Arial"/>
          <w:color w:val="000000"/>
          <w:sz w:val="24"/>
          <w:szCs w:val="24"/>
          <w:shd w:val="clear" w:color="auto" w:fill="FFFFFF"/>
          <w:lang w:val="en-GB"/>
        </w:rPr>
        <w:t xml:space="preserve">A focus group interview is considered to be a less time-consuming option compared to individual interviews, because It has the </w:t>
      </w:r>
      <w:r w:rsidRPr="006B2FC7">
        <w:rPr>
          <w:rFonts w:ascii="Arial" w:hAnsi="Arial" w:cs="Arial"/>
          <w:color w:val="000000"/>
          <w:sz w:val="24"/>
          <w:szCs w:val="24"/>
          <w:lang w:val="en-GB"/>
        </w:rPr>
        <w:t>advantage of a one-time undertaking, rather than conducting a series of one-on-one interviews.</w:t>
      </w:r>
      <w:r w:rsidRPr="006B2FC7">
        <w:rPr>
          <w:rFonts w:ascii="Arial" w:hAnsi="Arial" w:cs="Arial"/>
          <w:color w:val="000000"/>
          <w:sz w:val="24"/>
          <w:szCs w:val="24"/>
          <w:shd w:val="clear" w:color="auto" w:fill="FFFFFF"/>
          <w:lang w:val="en-GB"/>
        </w:rPr>
        <w:t xml:space="preserve"> Effectively facilitated, focus groups can also stimulate group dynamics, encourage thought and enriches discussion into this unexplored area of research </w:t>
      </w:r>
      <w:r w:rsidRPr="006B2FC7">
        <w:rPr>
          <w:rFonts w:ascii="Arial" w:hAnsi="Arial" w:cs="Arial"/>
          <w:color w:val="000000"/>
          <w:sz w:val="24"/>
          <w:szCs w:val="24"/>
          <w:shd w:val="clear" w:color="auto" w:fill="FFFFFF"/>
          <w:lang w:val="en-GB"/>
        </w:rPr>
        <w:fldChar w:fldCharType="begin" w:fldLock="1"/>
      </w:r>
      <w:r w:rsidRPr="006B2FC7">
        <w:rPr>
          <w:rFonts w:ascii="Arial" w:hAnsi="Arial" w:cs="Arial"/>
          <w:color w:val="000000"/>
          <w:sz w:val="24"/>
          <w:szCs w:val="24"/>
          <w:shd w:val="clear" w:color="auto" w:fill="FFFFFF"/>
          <w:lang w:val="en-GB"/>
        </w:rPr>
        <w:instrText>ADDIN CSL_CITATION {"citationItems":[{"id":"ITEM-1","itemData":{"DOI":"10.1177/2345678906290531","ISSN":"15586901","abstract":"This article is concerned with the possibility that the development of mixed methods research is being hindered by the tendency that has been observed by some researchers for quantitative and qualitative findings either not to be integrated or to be integrated to only a limited extent. It examines findings from 20 interviews with U.K. social researchers, all of whom are practitioners of mixed methods research. From these interviews, a wide variety of possible barriers to integrating mixed methods findings are presented. The article goes on to suggest that more attention needs to be given to the writing of mixed methods articles. © 2007, SAGE Publications. All rights reserved.","author":[{"dropping-particle":"","family":"Bryman","given":"Alan","non-dropping-particle":"","parse-names":false,"suffix":""}],"container-title":"Journal of Mixed Methods Research","id":"ITEM-1","issue":"1","issued":{"date-parts":[["2007"]]},"page":"8-22","title":"Barriers to Integrating Quantitative and Qualitative Research","type":"article-journal","volume":"1"},"uris":["http://www.mendeley.com/documents/?uuid=8f683a0b-e8bd-4658-b8b5-ffa842cb76c0"]}],"mendeley":{"formattedCitation":"(Bryman, 2007)","plainTextFormattedCitation":"(Bryman, 2007)","previouslyFormattedCitation":"(Bryman, 2007)"},"properties":{"noteIndex":0},"schema":"https://github.com/citation-style-language/schema/raw/master/csl-citation.json"}</w:instrText>
      </w:r>
      <w:r w:rsidRPr="006B2FC7">
        <w:rPr>
          <w:rFonts w:ascii="Arial" w:hAnsi="Arial" w:cs="Arial"/>
          <w:color w:val="000000"/>
          <w:sz w:val="24"/>
          <w:szCs w:val="24"/>
          <w:shd w:val="clear" w:color="auto" w:fill="FFFFFF"/>
          <w:lang w:val="en-GB"/>
        </w:rPr>
        <w:fldChar w:fldCharType="separate"/>
      </w:r>
      <w:r w:rsidRPr="006B2FC7">
        <w:rPr>
          <w:rFonts w:ascii="Arial" w:hAnsi="Arial" w:cs="Arial"/>
          <w:noProof/>
          <w:color w:val="000000"/>
          <w:sz w:val="24"/>
          <w:szCs w:val="24"/>
          <w:shd w:val="clear" w:color="auto" w:fill="FFFFFF"/>
          <w:lang w:val="en-GB"/>
        </w:rPr>
        <w:t>(Bryman, 2007)</w:t>
      </w:r>
      <w:r w:rsidRPr="006B2FC7">
        <w:rPr>
          <w:rFonts w:ascii="Arial" w:hAnsi="Arial" w:cs="Arial"/>
          <w:color w:val="000000"/>
          <w:sz w:val="24"/>
          <w:szCs w:val="24"/>
          <w:shd w:val="clear" w:color="auto" w:fill="FFFFFF"/>
          <w:lang w:val="en-GB"/>
        </w:rPr>
        <w:fldChar w:fldCharType="end"/>
      </w:r>
      <w:r w:rsidRPr="006B2FC7">
        <w:rPr>
          <w:rFonts w:ascii="Arial" w:hAnsi="Arial" w:cs="Arial"/>
          <w:color w:val="000000"/>
          <w:sz w:val="24"/>
          <w:szCs w:val="24"/>
          <w:shd w:val="clear" w:color="auto" w:fill="FFFFFF"/>
          <w:lang w:val="en-GB"/>
        </w:rPr>
        <w:t xml:space="preserve">. However, focus groups were discounted for this study on the basis that setting up a </w:t>
      </w:r>
      <w:r w:rsidRPr="000B0E83">
        <w:rPr>
          <w:rFonts w:ascii="Arial" w:hAnsi="Arial" w:cs="Arial"/>
          <w:sz w:val="24"/>
          <w:szCs w:val="24"/>
          <w:shd w:val="clear" w:color="auto" w:fill="FFFFFF"/>
          <w:lang w:val="en-GB"/>
        </w:rPr>
        <w:t xml:space="preserve">focus group interview is sometimes difficult, particularly with </w:t>
      </w:r>
      <w:r>
        <w:rPr>
          <w:rFonts w:ascii="Arial" w:hAnsi="Arial" w:cs="Arial"/>
          <w:sz w:val="24"/>
          <w:szCs w:val="24"/>
          <w:shd w:val="clear" w:color="auto" w:fill="FFFFFF"/>
          <w:lang w:val="en-GB"/>
        </w:rPr>
        <w:t>HCPs</w:t>
      </w:r>
      <w:r w:rsidRPr="000B0E83">
        <w:rPr>
          <w:rFonts w:ascii="Arial" w:hAnsi="Arial" w:cs="Arial"/>
          <w:sz w:val="24"/>
          <w:szCs w:val="24"/>
          <w:shd w:val="clear" w:color="auto" w:fill="FFFFFF"/>
          <w:lang w:val="en-GB"/>
        </w:rPr>
        <w:t xml:space="preserve"> who are often not easy to access because they are usually very busy. It can also be challenging to find a suitable time for many people, because </w:t>
      </w:r>
      <w:r w:rsidRPr="000B0E83">
        <w:rPr>
          <w:rFonts w:ascii="Arial" w:hAnsi="Arial" w:cs="Arial"/>
          <w:sz w:val="24"/>
          <w:szCs w:val="24"/>
          <w:lang w:val="en-GB"/>
        </w:rPr>
        <w:t xml:space="preserve">this research targeted three groups of </w:t>
      </w:r>
      <w:r>
        <w:rPr>
          <w:rFonts w:ascii="Arial" w:hAnsi="Arial" w:cs="Arial"/>
          <w:sz w:val="24"/>
          <w:szCs w:val="24"/>
          <w:lang w:val="en-GB"/>
        </w:rPr>
        <w:t>HCPs</w:t>
      </w:r>
      <w:r w:rsidRPr="000B0E83">
        <w:rPr>
          <w:rFonts w:ascii="Arial" w:hAnsi="Arial" w:cs="Arial"/>
          <w:sz w:val="24"/>
          <w:szCs w:val="24"/>
          <w:lang w:val="en-GB"/>
        </w:rPr>
        <w:t xml:space="preserve"> from different sectors which could bring them together on the same time difficult. Therefore, this study is conducting individual semi-structured interviews because they allow more flexibility to coordinate for the respondents. </w:t>
      </w:r>
    </w:p>
    <w:p w14:paraId="7297D9C7" w14:textId="63A6F209" w:rsidR="00EB7F85" w:rsidRPr="00163E29" w:rsidRDefault="00EB7F85" w:rsidP="00EB7F85">
      <w:pPr>
        <w:spacing w:line="360" w:lineRule="auto"/>
        <w:jc w:val="both"/>
        <w:rPr>
          <w:rFonts w:ascii="Arial" w:hAnsi="Arial" w:cs="Arial"/>
          <w:sz w:val="24"/>
          <w:szCs w:val="24"/>
          <w:lang w:val="en-GB"/>
        </w:rPr>
      </w:pPr>
      <w:r w:rsidRPr="006B2FC7">
        <w:rPr>
          <w:rFonts w:ascii="Arial" w:hAnsi="Arial" w:cs="Arial"/>
          <w:color w:val="000000"/>
          <w:sz w:val="24"/>
          <w:szCs w:val="24"/>
          <w:shd w:val="clear" w:color="auto" w:fill="FFFFFF"/>
          <w:lang w:val="en-GB"/>
        </w:rPr>
        <w:t xml:space="preserve">In-depth semi-structured interviews </w:t>
      </w:r>
      <w:r>
        <w:rPr>
          <w:rFonts w:ascii="Arial" w:hAnsi="Arial" w:cs="Arial"/>
          <w:color w:val="000000"/>
          <w:sz w:val="24"/>
          <w:szCs w:val="24"/>
          <w:shd w:val="clear" w:color="auto" w:fill="FFFFFF"/>
          <w:lang w:val="en-GB"/>
        </w:rPr>
        <w:t>were</w:t>
      </w:r>
      <w:r w:rsidRPr="006B2FC7">
        <w:rPr>
          <w:rFonts w:ascii="Arial" w:hAnsi="Arial" w:cs="Arial"/>
          <w:color w:val="000000"/>
          <w:sz w:val="24"/>
          <w:szCs w:val="24"/>
          <w:shd w:val="clear" w:color="auto" w:fill="FFFFFF"/>
          <w:lang w:val="en-GB"/>
        </w:rPr>
        <w:t xml:space="preserve"> undertaken with </w:t>
      </w:r>
      <w:r>
        <w:rPr>
          <w:rFonts w:ascii="Arial" w:hAnsi="Arial" w:cs="Arial"/>
          <w:color w:val="000000"/>
          <w:sz w:val="24"/>
          <w:szCs w:val="24"/>
          <w:shd w:val="clear" w:color="auto" w:fill="FFFFFF"/>
          <w:lang w:val="en-GB"/>
        </w:rPr>
        <w:t>doctors</w:t>
      </w:r>
      <w:r w:rsidRPr="006B2FC7">
        <w:rPr>
          <w:rFonts w:ascii="Arial" w:hAnsi="Arial" w:cs="Arial"/>
          <w:color w:val="000000"/>
          <w:sz w:val="24"/>
          <w:szCs w:val="24"/>
          <w:shd w:val="clear" w:color="auto" w:fill="FFFFFF"/>
          <w:lang w:val="en-GB"/>
        </w:rPr>
        <w:t xml:space="preserve">, pharmacists, and nurses who participated in the quantitative survey. </w:t>
      </w:r>
      <w:r w:rsidRPr="00BB7899">
        <w:rPr>
          <w:rFonts w:ascii="Arial" w:hAnsi="Arial" w:cs="Arial"/>
          <w:sz w:val="24"/>
          <w:szCs w:val="24"/>
        </w:rPr>
        <w:t>The semi-structured interview was chosen because it is considered more appropriate for this research as it aims to obtain a further explanation for existing data collected from the first phase. It also gives the participants a guide to the direction of the interview, and when compared it to the unstructured interview, which is typically longer, aims to generate a theory that is more suitable for the narrative approach, this is relatively shorter</w:t>
      </w:r>
      <w:r w:rsidRPr="00BB7899">
        <w:rPr>
          <w:rFonts w:ascii="Arial" w:hAnsi="Arial" w:cs="Arial"/>
          <w:color w:val="FF0000"/>
          <w:sz w:val="24"/>
          <w:szCs w:val="24"/>
        </w:rPr>
        <w:t xml:space="preserve">. </w:t>
      </w:r>
      <w:r w:rsidRPr="006B2FC7">
        <w:rPr>
          <w:rFonts w:ascii="Arial" w:hAnsi="Arial" w:cs="Arial"/>
          <w:color w:val="000000"/>
          <w:sz w:val="24"/>
          <w:szCs w:val="24"/>
          <w:shd w:val="clear" w:color="auto" w:fill="FFFFFF"/>
          <w:lang w:val="en-GB"/>
        </w:rPr>
        <w:t xml:space="preserve">Face-to-face interviewing has many design advantages compared with self-administered </w:t>
      </w:r>
      <w:r>
        <w:rPr>
          <w:rFonts w:ascii="Arial" w:hAnsi="Arial" w:cs="Arial"/>
          <w:color w:val="000000"/>
          <w:sz w:val="24"/>
          <w:szCs w:val="24"/>
          <w:shd w:val="clear" w:color="auto" w:fill="FFFFFF"/>
          <w:lang w:val="en-GB"/>
        </w:rPr>
        <w:t xml:space="preserve">(open ended questions) </w:t>
      </w:r>
      <w:r w:rsidRPr="006B2FC7">
        <w:rPr>
          <w:rFonts w:ascii="Arial" w:hAnsi="Arial" w:cs="Arial"/>
          <w:color w:val="000000"/>
          <w:sz w:val="24"/>
          <w:szCs w:val="24"/>
          <w:shd w:val="clear" w:color="auto" w:fill="FFFFFF"/>
          <w:lang w:val="en-GB"/>
        </w:rPr>
        <w:t xml:space="preserve">surveys and, to some extent, telephone interviewing. This is because the interviewer is in close proximity to the respondent, which enables them to explain the survey instructions, clarify the questions to the respondent, and ask probing questions to clarify the responses </w:t>
      </w:r>
      <w:r>
        <w:rPr>
          <w:rFonts w:ascii="Arial" w:hAnsi="Arial" w:cs="Arial"/>
          <w:color w:val="000000"/>
          <w:sz w:val="24"/>
          <w:szCs w:val="24"/>
          <w:shd w:val="clear" w:color="auto" w:fill="FFFFFF"/>
          <w:lang w:val="en-GB"/>
        </w:rPr>
        <w:fldChar w:fldCharType="begin" w:fldLock="1"/>
      </w:r>
      <w:r>
        <w:rPr>
          <w:rFonts w:ascii="Arial" w:hAnsi="Arial" w:cs="Arial"/>
          <w:color w:val="000000"/>
          <w:sz w:val="24"/>
          <w:szCs w:val="24"/>
          <w:shd w:val="clear" w:color="auto" w:fill="FFFFFF"/>
          <w:lang w:val="en-GB"/>
        </w:rPr>
        <w:instrText>ADDIN CSL_CITATION {"citationItems":[{"id":"ITEM-1","itemData":{"author":[{"dropping-particle":"","family":"Creswell","given":"J.W.","non-dropping-particle":"","parse-names":false,"suffix":""}],"id":"ITEM-1","issued":{"date-parts":[["2015"]]},"title":"A concise introduction to mixed methods research","type":"book"},"uris":["http://www.mendeley.com/documents/?uuid=e4356d8b-2487-37bc-af96-a728c21173a3"]}],"mendeley":{"formattedCitation":"(J.W. Creswell, 2015)","manualFormatting":"(Creswell, 2015)","plainTextFormattedCitation":"(J.W. Creswell, 2015)","previouslyFormattedCitation":"(J.W. Creswell, 2015)"},"properties":{"noteIndex":0},"schema":"https://github.com/citation-style-language/schema/raw/master/csl-citation.json"}</w:instrText>
      </w:r>
      <w:r>
        <w:rPr>
          <w:rFonts w:ascii="Arial" w:hAnsi="Arial" w:cs="Arial"/>
          <w:color w:val="000000"/>
          <w:sz w:val="24"/>
          <w:szCs w:val="24"/>
          <w:shd w:val="clear" w:color="auto" w:fill="FFFFFF"/>
          <w:lang w:val="en-GB"/>
        </w:rPr>
        <w:fldChar w:fldCharType="separate"/>
      </w:r>
      <w:r w:rsidRPr="00A20B53">
        <w:rPr>
          <w:rFonts w:ascii="Arial" w:hAnsi="Arial" w:cs="Arial"/>
          <w:noProof/>
          <w:color w:val="000000"/>
          <w:sz w:val="24"/>
          <w:szCs w:val="24"/>
          <w:shd w:val="clear" w:color="auto" w:fill="FFFFFF"/>
          <w:lang w:val="en-GB"/>
        </w:rPr>
        <w:t>(Creswell, 2015)</w:t>
      </w:r>
      <w:r>
        <w:rPr>
          <w:rFonts w:ascii="Arial" w:hAnsi="Arial" w:cs="Arial"/>
          <w:color w:val="000000"/>
          <w:sz w:val="24"/>
          <w:szCs w:val="24"/>
          <w:shd w:val="clear" w:color="auto" w:fill="FFFFFF"/>
          <w:lang w:val="en-GB"/>
        </w:rPr>
        <w:fldChar w:fldCharType="end"/>
      </w:r>
      <w:r>
        <w:rPr>
          <w:rFonts w:ascii="Arial" w:hAnsi="Arial" w:cs="Arial"/>
          <w:sz w:val="24"/>
          <w:szCs w:val="24"/>
          <w:lang w:val="en-GB"/>
        </w:rPr>
        <w:t>.</w:t>
      </w:r>
      <w:r w:rsidRPr="006B2FC7">
        <w:rPr>
          <w:rFonts w:ascii="Arial" w:hAnsi="Arial" w:cs="Arial"/>
          <w:color w:val="000000"/>
          <w:sz w:val="24"/>
          <w:szCs w:val="24"/>
          <w:shd w:val="clear" w:color="auto" w:fill="FFFFFF"/>
          <w:lang w:val="en-GB"/>
        </w:rPr>
        <w:t xml:space="preserve"> An experienced interviewer can also read the respondent’s cues. Another advantage of one-to-one interviewing is that it can be easier for the interviewer to establish a positive rapport with the participant, compared with a self-administered survey. This can be helpful to the interviewer when the collection of data needs longer questionnaires, and the collection of sensitive/personal data is crucial </w:t>
      </w:r>
      <w:r w:rsidRPr="006B2FC7">
        <w:rPr>
          <w:rFonts w:ascii="Arial" w:hAnsi="Arial" w:cs="Arial"/>
          <w:color w:val="000000"/>
          <w:sz w:val="24"/>
          <w:szCs w:val="24"/>
          <w:shd w:val="clear" w:color="auto" w:fill="FFFFFF"/>
          <w:lang w:val="en-GB"/>
        </w:rPr>
        <w:fldChar w:fldCharType="begin" w:fldLock="1"/>
      </w:r>
      <w:r w:rsidRPr="006B2FC7">
        <w:rPr>
          <w:rFonts w:ascii="Arial" w:hAnsi="Arial" w:cs="Arial"/>
          <w:color w:val="000000"/>
          <w:sz w:val="24"/>
          <w:szCs w:val="24"/>
          <w:shd w:val="clear" w:color="auto" w:fill="FFFFFF"/>
          <w:lang w:val="en-GB"/>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2011)","plainTextFormattedCitation":"(Aparasu, 2011)","previouslyFormattedCitation":"(Aparasu, 2011)"},"properties":{"noteIndex":0},"schema":"https://github.com/citation-style-language/schema/raw/master/csl-citation.json"}</w:instrText>
      </w:r>
      <w:r w:rsidRPr="006B2FC7">
        <w:rPr>
          <w:rFonts w:ascii="Arial" w:hAnsi="Arial" w:cs="Arial"/>
          <w:color w:val="000000"/>
          <w:sz w:val="24"/>
          <w:szCs w:val="24"/>
          <w:shd w:val="clear" w:color="auto" w:fill="FFFFFF"/>
          <w:lang w:val="en-GB"/>
        </w:rPr>
        <w:fldChar w:fldCharType="separate"/>
      </w:r>
      <w:r w:rsidRPr="006B2FC7">
        <w:rPr>
          <w:rFonts w:ascii="Arial" w:hAnsi="Arial" w:cs="Arial"/>
          <w:noProof/>
          <w:color w:val="000000"/>
          <w:sz w:val="24"/>
          <w:szCs w:val="24"/>
          <w:shd w:val="clear" w:color="auto" w:fill="FFFFFF"/>
          <w:lang w:val="en-GB"/>
        </w:rPr>
        <w:t>(Aparasu, 2011)</w:t>
      </w:r>
      <w:r w:rsidRPr="006B2FC7">
        <w:rPr>
          <w:rFonts w:ascii="Arial" w:hAnsi="Arial" w:cs="Arial"/>
          <w:color w:val="000000"/>
          <w:sz w:val="24"/>
          <w:szCs w:val="24"/>
          <w:shd w:val="clear" w:color="auto" w:fill="FFFFFF"/>
          <w:lang w:val="en-GB"/>
        </w:rPr>
        <w:fldChar w:fldCharType="end"/>
      </w:r>
      <w:r w:rsidRPr="006B2FC7">
        <w:rPr>
          <w:rFonts w:ascii="Arial" w:hAnsi="Arial" w:cs="Arial"/>
          <w:color w:val="000000"/>
          <w:sz w:val="24"/>
          <w:szCs w:val="24"/>
          <w:shd w:val="clear" w:color="auto" w:fill="FFFFFF"/>
          <w:lang w:val="en-GB"/>
        </w:rPr>
        <w:t xml:space="preserve">. However, it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important to consider alternative approaches to overcome the situation with </w:t>
      </w:r>
      <w:r w:rsidRPr="006B2FC7">
        <w:rPr>
          <w:rFonts w:ascii="Arial" w:hAnsi="Arial" w:cs="Arial"/>
          <w:color w:val="000000"/>
          <w:sz w:val="24"/>
          <w:szCs w:val="24"/>
          <w:lang w:val="en-GB"/>
        </w:rPr>
        <w:t>COVID-19 pandemic, face-to-face interview</w:t>
      </w:r>
      <w:r>
        <w:rPr>
          <w:rFonts w:ascii="Arial" w:hAnsi="Arial" w:cs="Arial"/>
          <w:color w:val="000000"/>
          <w:sz w:val="24"/>
          <w:szCs w:val="24"/>
          <w:lang w:val="en-GB"/>
        </w:rPr>
        <w:t xml:space="preserve">s were </w:t>
      </w:r>
      <w:r w:rsidRPr="006B2FC7">
        <w:rPr>
          <w:rFonts w:ascii="Arial" w:hAnsi="Arial" w:cs="Arial"/>
          <w:color w:val="000000"/>
          <w:sz w:val="24"/>
          <w:szCs w:val="24"/>
          <w:lang w:val="en-GB"/>
        </w:rPr>
        <w:t xml:space="preserve">conducted remotely via </w:t>
      </w:r>
      <w:r>
        <w:rPr>
          <w:rFonts w:ascii="Arial" w:hAnsi="Arial" w:cs="Arial"/>
          <w:color w:val="000000"/>
          <w:sz w:val="24"/>
          <w:szCs w:val="24"/>
          <w:lang w:val="en-GB"/>
        </w:rPr>
        <w:t xml:space="preserve">Google meet </w:t>
      </w:r>
      <w:r w:rsidRPr="006B2FC7">
        <w:rPr>
          <w:rFonts w:ascii="Arial" w:hAnsi="Arial" w:cs="Arial"/>
          <w:color w:val="000000"/>
          <w:sz w:val="24"/>
          <w:szCs w:val="24"/>
          <w:lang w:val="en-GB"/>
        </w:rPr>
        <w:t xml:space="preserve">in accordance with University of Sheffield and ScHARR Information Governance advice and processes. </w:t>
      </w:r>
      <w:r w:rsidRPr="00163E29">
        <w:rPr>
          <w:rFonts w:ascii="Arial" w:hAnsi="Arial" w:cs="Arial"/>
          <w:sz w:val="24"/>
          <w:szCs w:val="24"/>
          <w:lang w:val="en-GB"/>
        </w:rPr>
        <w:t xml:space="preserve">There is a growing literature on the use of online platforms to recruit participants and collect data. There appear to be fewer barriers to participating in virtual interviews compared to onsite interviews for both the interviewer and interviewees in terms of flexibility of time and location. A recent study evaluated the virtual versus onsite interview experience from the perspectives of both interviewees and interviewers and found that interviewees and interviewers preferred online interviews over onsite interviews because they felt more comfortable during online interviews. In addition, the virtual interviews reduce the travelling barrier to attend onsite interviews </w:t>
      </w:r>
      <w:r w:rsidRPr="00876389">
        <w:rPr>
          <w:rFonts w:ascii="Arial" w:hAnsi="Arial" w:cs="Arial"/>
          <w:sz w:val="24"/>
          <w:szCs w:val="24"/>
          <w:lang w:val="en-GB"/>
        </w:rPr>
        <w:fldChar w:fldCharType="begin" w:fldLock="1"/>
      </w:r>
      <w:r w:rsidR="00310DAC" w:rsidRPr="00163E29">
        <w:rPr>
          <w:rFonts w:ascii="Arial" w:hAnsi="Arial" w:cs="Arial"/>
          <w:sz w:val="24"/>
          <w:szCs w:val="24"/>
          <w:lang w:val="en-GB"/>
        </w:rPr>
        <w:instrText>ADDIN CSL_CITATION {"citationItems":[{"id":"ITEM-1","itemData":{"DOI":"10.1016/j.cptl.2023.02.004","ISSN":"18771300","PMID":"36898892","abstract":"Introduction: The University of Texas at Austin College of Pharmacy transitioned from onsite interviews to virtual interviews in fall 2020. There is limited literature on whether the virtual format impacts an interviewer's assessment of a candidate. This study examined interviewer ability to assess candidates and barriers to participation. Methods: During the virtual interview process, interviewers utilized a modified multiple mini interview (mMMI) format to evaluate prospective college of pharmacy students. An 18-item survey was emailed to 62 interviewers from the 2020–2021 cycle. Virtual mMMI scores were compared to the previous year's onsite MMI scores. Descriptive statistics and thematic analysis were used to assess the data. Results: The response rate to the survey was 53% (33/62), and 59% of interviewers preferred virtual interviews to in-person. Interviewers stated that there were fewer barriers to participation, increased comfort, and more time with applicants during virtual interviews. For six of the nine attributes evaluated, ≥ 90% of interviewers reported that they were able to assess applicants as well as they did in person. When comparing virtual and onsite MMI scores, seven of nine attributes were statistically significantly higher in the virtual cohort than onsite. Conclusions: From the perspective of interviewers, the virtual interview decreased barriers to participation and still allowed the ability to assess the candidates. While offering a choice of interview setting to interviewers could increase accessibility, the statistically significant difference in MMI scores between virtual and onsite formats suggests that additional standardization is required to offer both formats simultaneously.","author":[{"dropping-particle":"","family":"Litten","given":"Kathryn","non-dropping-particle":"","parse-names":false,"suffix":""},{"dropping-particle":"","family":"Dang","given":"Elena","non-dropping-particle":"","parse-names":false,"suffix":""},{"dropping-particle":"","family":"Lawson","given":"Kenneth A.","non-dropping-particle":"","parse-names":false,"suffix":""},{"dropping-particle":"","family":"Latiolais","given":"Claire A.","non-dropping-particle":"","parse-names":false,"suffix":""}],"container-title":"Currents in Pharmacy Teaching and Learning","id":"ITEM-1","issue":"1","issued":{"date-parts":[["2023"]]},"page":"26-33","publisher":"Elsevier Inc.","title":"Part 2: Assessment of a virtual vs. onsite interview experience from the interviewer perspective","type":"article-journal","volume":"15"},"uris":["http://www.mendeley.com/documents/?uuid=0ea5970e-1329-4054-9027-5794e8fb744f"]}],"mendeley":{"formattedCitation":"(Litten &lt;i&gt;et al.&lt;/i&gt;, 2023)","manualFormatting":"(Litten et al., 2023a)","plainTextFormattedCitation":"(Litten et al., 2023)","previouslyFormattedCitation":"(Litten &lt;i&gt;et al.&lt;/i&gt;, 2023)"},"properties":{"noteIndex":0},"schema":"https://github.com/citation-style-language/schema/raw/master/csl-citation.json"}</w:instrText>
      </w:r>
      <w:r w:rsidRPr="00876389">
        <w:rPr>
          <w:rFonts w:ascii="Arial" w:hAnsi="Arial" w:cs="Arial"/>
          <w:sz w:val="24"/>
          <w:szCs w:val="24"/>
          <w:lang w:val="en-GB"/>
        </w:rPr>
        <w:fldChar w:fldCharType="separate"/>
      </w:r>
      <w:r w:rsidRPr="00163E29">
        <w:rPr>
          <w:rFonts w:ascii="Arial" w:hAnsi="Arial" w:cs="Arial"/>
          <w:noProof/>
          <w:sz w:val="24"/>
          <w:szCs w:val="24"/>
          <w:lang w:val="en-GB"/>
        </w:rPr>
        <w:t xml:space="preserve">(Litten </w:t>
      </w:r>
      <w:r w:rsidRPr="00163E29">
        <w:rPr>
          <w:rFonts w:ascii="Arial" w:hAnsi="Arial" w:cs="Arial"/>
          <w:i/>
          <w:noProof/>
          <w:sz w:val="24"/>
          <w:szCs w:val="24"/>
          <w:lang w:val="en-GB"/>
        </w:rPr>
        <w:t>et al.</w:t>
      </w:r>
      <w:r w:rsidRPr="00163E29">
        <w:rPr>
          <w:rFonts w:ascii="Arial" w:hAnsi="Arial" w:cs="Arial"/>
          <w:noProof/>
          <w:sz w:val="24"/>
          <w:szCs w:val="24"/>
          <w:lang w:val="en-GB"/>
        </w:rPr>
        <w:t>, 2023a)</w:t>
      </w:r>
      <w:r w:rsidRPr="00876389">
        <w:rPr>
          <w:rFonts w:ascii="Arial" w:hAnsi="Arial" w:cs="Arial"/>
          <w:sz w:val="24"/>
          <w:szCs w:val="24"/>
          <w:lang w:val="en-GB"/>
        </w:rPr>
        <w:fldChar w:fldCharType="end"/>
      </w:r>
      <w:r w:rsidRPr="00163E29">
        <w:rPr>
          <w:rFonts w:ascii="Arial" w:hAnsi="Arial" w:cs="Arial"/>
          <w:sz w:val="24"/>
          <w:szCs w:val="24"/>
          <w:lang w:val="en-GB"/>
        </w:rPr>
        <w:t xml:space="preserve"> </w:t>
      </w:r>
      <w:r w:rsidRPr="00876389">
        <w:rPr>
          <w:rFonts w:ascii="Arial" w:hAnsi="Arial" w:cs="Arial"/>
          <w:sz w:val="24"/>
          <w:szCs w:val="24"/>
          <w:lang w:val="en-GB"/>
        </w:rPr>
        <w:fldChar w:fldCharType="begin" w:fldLock="1"/>
      </w:r>
      <w:r w:rsidRPr="00163E29">
        <w:rPr>
          <w:rFonts w:ascii="Arial" w:hAnsi="Arial" w:cs="Arial"/>
          <w:sz w:val="24"/>
          <w:szCs w:val="24"/>
          <w:lang w:val="en-GB"/>
        </w:rPr>
        <w:instrText>ADDIN CSL_CITATION {"citationItems":[{"id":"ITEM-1","itemData":{"DOI":"10.1016/j.cptl.2023.02.004","ISSN":"18771300","PMID":"36898892","abstract":"Introduction: The University of Texas at Austin College of Pharmacy transitioned from onsite interviews to virtual interviews in fall 2020. There is limited literature on whether the virtual format impacts an interviewer's assessment of a candidate. This study examined interviewer ability to assess candidates and barriers to participation. Methods: During the virtual interview process, interviewers utilized a modified multiple mini interview (mMMI) format to evaluate prospective college of pharmacy students. An 18-item survey was emailed to 62 interviewers from the 2020–2021 cycle. Virtual mMMI scores were compared to the previous year's onsite MMI scores. Descriptive statistics and thematic analysis were used to assess the data. Results: The response rate to the survey was 53% (33/62), and 59% of interviewers preferred virtual interviews to in-person. Interviewers stated that there were fewer barriers to participation, increased comfort, and more time with applicants during virtual interviews. For six of the nine attributes evaluated, ≥ 90% of interviewers reported that they were able to assess applicants as well as they did in person. When comparing virtual and onsite MMI scores, seven of nine attributes were statistically significantly higher in the virtual cohort than onsite. Conclusions: From the perspective of interviewers, the virtual interview decreased barriers to participation and still allowed the ability to assess the candidates. While offering a choice of interview setting to interviewers could increase accessibility, the statistically significant difference in MMI scores between virtual and onsite formats suggests that additional standardization is required to offer both formats simultaneously.","author":[{"dropping-particle":"","family":"Litten","given":"Kathryn","non-dropping-particle":"","parse-names":false,"suffix":""},{"dropping-particle":"","family":"Dang","given":"Elena","non-dropping-particle":"","parse-names":false,"suffix":""},{"dropping-particle":"","family":"Lawson","given":"Kenneth A.","non-dropping-particle":"","parse-names":false,"suffix":""},{"dropping-particle":"","family":"Latiolais","given":"Claire A.","non-dropping-particle":"","parse-names":false,"suffix":""}],"container-title":"Currents in Pharmacy Teaching and Learning","id":"ITEM-1","issue":"1","issued":{"date-parts":[["2023"]]},"page":"26-33","publisher":"Elsevier Inc.","title":"Part 2: Assessment of a virtual vs. onsite interview experience from the interviewer perspective","type":"article-journal","volume":"15"},"uris":["http://www.mendeley.com/documents/?uuid=0ea5970e-1329-4054-9027-5794e8fb744f"]}],"mendeley":{"formattedCitation":"(Litten &lt;i&gt;et al.&lt;/i&gt;, 2023)","manualFormatting":"(Litten et al., 2023b)","plainTextFormattedCitation":"(Litten et al., 2023)","previouslyFormattedCitation":"(Litten &lt;i&gt;et al.&lt;/i&gt;, 2023)"},"properties":{"noteIndex":0},"schema":"https://github.com/citation-style-language/schema/raw/master/csl-citation.json"}</w:instrText>
      </w:r>
      <w:r w:rsidRPr="00876389">
        <w:rPr>
          <w:rFonts w:ascii="Arial" w:hAnsi="Arial" w:cs="Arial"/>
          <w:sz w:val="24"/>
          <w:szCs w:val="24"/>
          <w:lang w:val="en-GB"/>
        </w:rPr>
        <w:fldChar w:fldCharType="separate"/>
      </w:r>
      <w:r w:rsidRPr="00163E29">
        <w:rPr>
          <w:rFonts w:ascii="Arial" w:hAnsi="Arial" w:cs="Arial"/>
          <w:noProof/>
          <w:sz w:val="24"/>
          <w:szCs w:val="24"/>
          <w:lang w:val="en-GB"/>
        </w:rPr>
        <w:t xml:space="preserve">(Litten </w:t>
      </w:r>
      <w:r w:rsidRPr="00163E29">
        <w:rPr>
          <w:rFonts w:ascii="Arial" w:hAnsi="Arial" w:cs="Arial"/>
          <w:i/>
          <w:noProof/>
          <w:sz w:val="24"/>
          <w:szCs w:val="24"/>
          <w:lang w:val="en-GB"/>
        </w:rPr>
        <w:t>et al.</w:t>
      </w:r>
      <w:r w:rsidRPr="00163E29">
        <w:rPr>
          <w:rFonts w:ascii="Arial" w:hAnsi="Arial" w:cs="Arial"/>
          <w:noProof/>
          <w:sz w:val="24"/>
          <w:szCs w:val="24"/>
          <w:lang w:val="en-GB"/>
        </w:rPr>
        <w:t>, 2023b)</w:t>
      </w:r>
      <w:r w:rsidRPr="00876389">
        <w:rPr>
          <w:rFonts w:ascii="Arial" w:hAnsi="Arial" w:cs="Arial"/>
          <w:sz w:val="24"/>
          <w:szCs w:val="24"/>
          <w:lang w:val="en-GB"/>
        </w:rPr>
        <w:fldChar w:fldCharType="end"/>
      </w:r>
    </w:p>
    <w:p w14:paraId="468A89F9" w14:textId="77777777" w:rsidR="00EB7F85" w:rsidRPr="00884347" w:rsidRDefault="00EB7F85" w:rsidP="00EB7F85">
      <w:pPr>
        <w:spacing w:line="360" w:lineRule="auto"/>
        <w:jc w:val="both"/>
        <w:rPr>
          <w:rFonts w:ascii="Arial" w:hAnsi="Arial" w:cs="Arial"/>
          <w:strike/>
          <w:color w:val="000000"/>
          <w:sz w:val="24"/>
          <w:szCs w:val="24"/>
          <w:lang w:val="en-GB"/>
        </w:rPr>
      </w:pPr>
      <w:r w:rsidRPr="006B2FC7">
        <w:rPr>
          <w:rFonts w:ascii="Arial" w:hAnsi="Arial" w:cs="Arial"/>
          <w:color w:val="000000"/>
          <w:sz w:val="24"/>
          <w:szCs w:val="24"/>
          <w:lang w:val="en-GB"/>
        </w:rPr>
        <w:t xml:space="preserve">There are advantages and disadvantages </w:t>
      </w:r>
      <w:r>
        <w:rPr>
          <w:rFonts w:ascii="Arial" w:hAnsi="Arial" w:cs="Arial"/>
          <w:color w:val="000000"/>
          <w:sz w:val="24"/>
          <w:szCs w:val="24"/>
          <w:lang w:val="en-GB"/>
        </w:rPr>
        <w:t>of</w:t>
      </w:r>
      <w:r w:rsidRPr="006B2FC7">
        <w:rPr>
          <w:rFonts w:ascii="Arial" w:hAnsi="Arial" w:cs="Arial"/>
          <w:color w:val="000000"/>
          <w:sz w:val="24"/>
          <w:szCs w:val="24"/>
          <w:lang w:val="en-GB"/>
        </w:rPr>
        <w:t xml:space="preserve"> </w:t>
      </w:r>
      <w:r>
        <w:rPr>
          <w:rFonts w:ascii="Arial" w:hAnsi="Arial" w:cs="Arial"/>
          <w:color w:val="000000"/>
          <w:sz w:val="24"/>
          <w:szCs w:val="24"/>
          <w:lang w:val="en-GB"/>
        </w:rPr>
        <w:t>collecting data by interviews. T</w:t>
      </w:r>
      <w:r w:rsidRPr="006B2FC7">
        <w:rPr>
          <w:rFonts w:ascii="Arial" w:hAnsi="Arial" w:cs="Arial"/>
          <w:color w:val="000000"/>
          <w:sz w:val="24"/>
          <w:szCs w:val="24"/>
          <w:lang w:val="en-GB"/>
        </w:rPr>
        <w:t xml:space="preserve">he interview is increasing in its popularity so it might be well understood by respondents which make the organising to it is relatively simple and its techniques easy to learn. In addition, the interview can be recorded for ease analysis. However, the transcription of records is time-consuming, and there are also several issues in interviewing such as access to high-status individuals is sometimes hard. The researcher may also bias the findings intentionally or unconsciously if she/he has a strong stand as well as opinion about the research topic. To address these issues, each interview </w:t>
      </w:r>
      <w:r>
        <w:rPr>
          <w:rFonts w:ascii="Arial" w:hAnsi="Arial" w:cs="Arial"/>
          <w:color w:val="000000"/>
          <w:sz w:val="24"/>
          <w:szCs w:val="24"/>
          <w:lang w:val="en-GB"/>
        </w:rPr>
        <w:t>was</w:t>
      </w:r>
      <w:r w:rsidRPr="006B2FC7">
        <w:rPr>
          <w:rFonts w:ascii="Arial" w:hAnsi="Arial" w:cs="Arial"/>
          <w:color w:val="000000"/>
          <w:sz w:val="24"/>
          <w:szCs w:val="24"/>
          <w:lang w:val="en-GB"/>
        </w:rPr>
        <w:t xml:space="preserve"> recorded, and transcripts </w:t>
      </w:r>
      <w:r>
        <w:rPr>
          <w:rFonts w:ascii="Arial" w:hAnsi="Arial" w:cs="Arial"/>
          <w:color w:val="000000"/>
          <w:sz w:val="24"/>
          <w:szCs w:val="24"/>
          <w:lang w:val="en-GB"/>
        </w:rPr>
        <w:t>was</w:t>
      </w:r>
      <w:r w:rsidRPr="006B2FC7">
        <w:rPr>
          <w:rFonts w:ascii="Arial" w:hAnsi="Arial" w:cs="Arial"/>
          <w:color w:val="000000"/>
          <w:sz w:val="24"/>
          <w:szCs w:val="24"/>
          <w:lang w:val="en-GB"/>
        </w:rPr>
        <w:t xml:space="preserve"> member-checked with respondents to check meaning. </w:t>
      </w:r>
    </w:p>
    <w:p w14:paraId="4BDBF7D6" w14:textId="77777777" w:rsidR="00EB7F85" w:rsidRDefault="00EB7F85" w:rsidP="00EB7F85">
      <w:pPr>
        <w:spacing w:line="360" w:lineRule="auto"/>
        <w:jc w:val="both"/>
        <w:rPr>
          <w:rFonts w:asciiTheme="minorBidi" w:hAnsiTheme="minorBidi"/>
          <w:sz w:val="24"/>
          <w:szCs w:val="24"/>
        </w:rPr>
      </w:pPr>
      <w:r w:rsidRPr="0064271D">
        <w:rPr>
          <w:rFonts w:asciiTheme="minorBidi" w:hAnsiTheme="minorBidi"/>
          <w:sz w:val="24"/>
          <w:szCs w:val="24"/>
        </w:rPr>
        <w:t xml:space="preserve">The interviews were audio-recorded, and the recordings were transcribed. The supervisors read the first three transcripts to check the quality of questions been asked and the richness of information obtained. The Arabic transcripts (6 out of 9) were translated to English by the researcher, who is a native </w:t>
      </w:r>
      <w:r>
        <w:rPr>
          <w:rFonts w:asciiTheme="minorBidi" w:hAnsiTheme="minorBidi"/>
          <w:sz w:val="24"/>
          <w:szCs w:val="24"/>
        </w:rPr>
        <w:t xml:space="preserve">Arabic </w:t>
      </w:r>
      <w:r w:rsidRPr="0064271D">
        <w:rPr>
          <w:rFonts w:asciiTheme="minorBidi" w:hAnsiTheme="minorBidi"/>
          <w:sz w:val="24"/>
          <w:szCs w:val="24"/>
        </w:rPr>
        <w:t>speaker, then sent to the participants for confirmation and feedback. The translated transcripts were coded manually in addition to using NVivo to help in organi</w:t>
      </w:r>
      <w:r>
        <w:rPr>
          <w:rFonts w:asciiTheme="minorBidi" w:hAnsiTheme="minorBidi"/>
          <w:sz w:val="24"/>
          <w:szCs w:val="24"/>
        </w:rPr>
        <w:t>s</w:t>
      </w:r>
      <w:r w:rsidRPr="0064271D">
        <w:rPr>
          <w:rFonts w:asciiTheme="minorBidi" w:hAnsiTheme="minorBidi"/>
          <w:sz w:val="24"/>
          <w:szCs w:val="24"/>
        </w:rPr>
        <w:t xml:space="preserve">ing data.  </w:t>
      </w:r>
    </w:p>
    <w:p w14:paraId="50BFB98A" w14:textId="77777777" w:rsidR="00EB7F85" w:rsidRPr="007965E9" w:rsidRDefault="00EB7F85" w:rsidP="007965E9">
      <w:pPr>
        <w:pStyle w:val="Heading4"/>
        <w:numPr>
          <w:ilvl w:val="3"/>
          <w:numId w:val="14"/>
        </w:numPr>
        <w:tabs>
          <w:tab w:val="left" w:pos="810"/>
        </w:tabs>
        <w:spacing w:line="360" w:lineRule="auto"/>
        <w:ind w:left="360" w:hanging="360"/>
        <w:rPr>
          <w:rFonts w:asciiTheme="minorBidi" w:hAnsiTheme="minorBidi" w:cstheme="minorBidi"/>
          <w:sz w:val="24"/>
          <w:szCs w:val="24"/>
        </w:rPr>
      </w:pPr>
      <w:r w:rsidRPr="007965E9">
        <w:rPr>
          <w:rFonts w:asciiTheme="minorBidi" w:hAnsiTheme="minorBidi" w:cstheme="minorBidi"/>
          <w:sz w:val="24"/>
          <w:szCs w:val="24"/>
        </w:rPr>
        <w:t>Sampling of qualitative participants</w:t>
      </w:r>
    </w:p>
    <w:p w14:paraId="663DB314" w14:textId="77777777" w:rsidR="00EB7F85" w:rsidRDefault="00EB7F85" w:rsidP="00EB7F85">
      <w:pPr>
        <w:spacing w:line="360" w:lineRule="auto"/>
        <w:jc w:val="both"/>
        <w:rPr>
          <w:rFonts w:ascii="Arial" w:hAnsi="Arial" w:cs="Arial"/>
          <w:sz w:val="24"/>
          <w:szCs w:val="24"/>
          <w:lang w:val="en-GB"/>
        </w:rPr>
      </w:pPr>
      <w:r w:rsidRPr="006B2FC7">
        <w:rPr>
          <w:rFonts w:ascii="Arial" w:hAnsi="Arial" w:cs="Arial"/>
          <w:color w:val="000000"/>
          <w:sz w:val="24"/>
          <w:szCs w:val="24"/>
          <w:lang w:val="en-GB"/>
        </w:rPr>
        <w:t xml:space="preserve">For the </w:t>
      </w:r>
      <w:r>
        <w:rPr>
          <w:rFonts w:ascii="Arial" w:hAnsi="Arial" w:cs="Arial"/>
          <w:color w:val="000000"/>
          <w:sz w:val="24"/>
          <w:szCs w:val="24"/>
          <w:lang w:val="en-GB"/>
        </w:rPr>
        <w:t>qualitative (interviews)</w:t>
      </w:r>
      <w:r w:rsidRPr="006B2FC7">
        <w:rPr>
          <w:rFonts w:ascii="Arial" w:hAnsi="Arial" w:cs="Arial"/>
          <w:color w:val="000000"/>
          <w:sz w:val="24"/>
          <w:szCs w:val="24"/>
          <w:lang w:val="en-GB"/>
        </w:rPr>
        <w:t xml:space="preserve"> phase of the study, </w:t>
      </w:r>
      <w:r>
        <w:rPr>
          <w:rFonts w:ascii="Arial" w:hAnsi="Arial" w:cs="Arial"/>
          <w:color w:val="000000"/>
          <w:sz w:val="24"/>
          <w:szCs w:val="24"/>
          <w:lang w:val="en-GB"/>
        </w:rPr>
        <w:t xml:space="preserve">the researcher aimed to </w:t>
      </w:r>
      <w:r w:rsidRPr="006B2FC7">
        <w:rPr>
          <w:rFonts w:ascii="Arial" w:hAnsi="Arial" w:cs="Arial"/>
          <w:color w:val="000000"/>
          <w:sz w:val="24"/>
          <w:szCs w:val="24"/>
          <w:lang w:val="en-GB"/>
        </w:rPr>
        <w:t>recruit</w:t>
      </w:r>
      <w:r>
        <w:rPr>
          <w:rFonts w:ascii="Arial" w:hAnsi="Arial" w:cs="Arial"/>
          <w:color w:val="000000"/>
          <w:sz w:val="24"/>
          <w:szCs w:val="24"/>
          <w:lang w:val="en-GB"/>
        </w:rPr>
        <w:t xml:space="preserve"> </w:t>
      </w:r>
      <w:r w:rsidRPr="006B2FC7">
        <w:rPr>
          <w:rFonts w:ascii="Arial" w:hAnsi="Arial" w:cs="Arial"/>
          <w:color w:val="000000"/>
          <w:sz w:val="24"/>
          <w:szCs w:val="24"/>
          <w:lang w:val="en-GB"/>
        </w:rPr>
        <w:t>participants via purposeful (purposive) sampling. This is in contrast to random sampling, which means that participants who have experienced the central phenomenon will be selected</w:t>
      </w:r>
      <w:r>
        <w:rPr>
          <w:rFonts w:ascii="Arial" w:hAnsi="Arial" w:cs="Arial"/>
          <w:color w:val="000000"/>
          <w:sz w:val="24"/>
          <w:szCs w:val="24"/>
          <w:lang w:val="en-GB"/>
        </w:rPr>
        <w:t xml:space="preserve"> </w:t>
      </w:r>
      <w:r w:rsidRPr="004F68B2">
        <w:rPr>
          <w:rFonts w:ascii="Arial" w:hAnsi="Arial" w:cs="Arial"/>
          <w:color w:val="000000"/>
          <w:sz w:val="24"/>
          <w:szCs w:val="24"/>
          <w:shd w:val="clear" w:color="auto" w:fill="FFFFFF"/>
          <w:lang w:val="en-GB"/>
        </w:rPr>
        <w:t>to obtain richer detail about their perceptions and experiences regarding pharmacy services provided to diabetes patients in their practices</w:t>
      </w:r>
      <w:r w:rsidRPr="006B2FC7">
        <w:rPr>
          <w:rFonts w:ascii="Arial" w:hAnsi="Arial" w:cs="Arial"/>
          <w:color w:val="000000"/>
          <w:sz w:val="24"/>
          <w:szCs w:val="24"/>
          <w:lang w:val="en-GB"/>
        </w:rPr>
        <w:t xml:space="preserve">. The goal of the qualitative sampling approach is to attain a broad range of perspectives, rather than representativeness </w:t>
      </w:r>
      <w:r>
        <w:rPr>
          <w:rFonts w:ascii="Arial" w:hAnsi="Arial" w:cs="Arial"/>
          <w:color w:val="000000"/>
          <w:sz w:val="24"/>
          <w:szCs w:val="24"/>
          <w:lang w:val="en-GB"/>
        </w:rPr>
        <w:fldChar w:fldCharType="begin" w:fldLock="1"/>
      </w:r>
      <w:r>
        <w:rPr>
          <w:rFonts w:ascii="Arial" w:hAnsi="Arial" w:cs="Arial"/>
          <w:color w:val="000000"/>
          <w:sz w:val="24"/>
          <w:szCs w:val="24"/>
          <w:lang w:val="en-GB"/>
        </w:rPr>
        <w:instrText>ADDIN CSL_CITATION {"citationItems":[{"id":"ITEM-1","itemData":{"author":[{"dropping-particle":"","family":"Creswell","given":"J.W.","non-dropping-particle":"","parse-names":false,"suffix":""}],"id":"ITEM-1","issued":{"date-parts":[["2015"]]},"title":"A concise introduction to mixed methods research","type":"book"},"uris":["http://www.mendeley.com/documents/?uuid=e4356d8b-2487-37bc-af96-a728c21173a3"]}],"mendeley":{"formattedCitation":"(J.W. Creswell, 2015)","manualFormatting":"(Creswell, 2015)","plainTextFormattedCitation":"(J.W. Creswell, 2015)","previouslyFormattedCitation":"(J.W. Creswell, 2015)"},"properties":{"noteIndex":0},"schema":"https://github.com/citation-style-language/schema/raw/master/csl-citation.json"}</w:instrText>
      </w:r>
      <w:r>
        <w:rPr>
          <w:rFonts w:ascii="Arial" w:hAnsi="Arial" w:cs="Arial"/>
          <w:color w:val="000000"/>
          <w:sz w:val="24"/>
          <w:szCs w:val="24"/>
          <w:lang w:val="en-GB"/>
        </w:rPr>
        <w:fldChar w:fldCharType="separate"/>
      </w:r>
      <w:r w:rsidRPr="0003446D">
        <w:rPr>
          <w:rFonts w:ascii="Arial" w:hAnsi="Arial" w:cs="Arial"/>
          <w:noProof/>
          <w:color w:val="000000"/>
          <w:sz w:val="24"/>
          <w:szCs w:val="24"/>
          <w:lang w:val="en-GB"/>
        </w:rPr>
        <w:t>(Creswell, 2015)</w:t>
      </w:r>
      <w:r>
        <w:rPr>
          <w:rFonts w:ascii="Arial" w:hAnsi="Arial" w:cs="Arial"/>
          <w:color w:val="000000"/>
          <w:sz w:val="24"/>
          <w:szCs w:val="24"/>
          <w:lang w:val="en-GB"/>
        </w:rPr>
        <w:fldChar w:fldCharType="end"/>
      </w:r>
      <w:r w:rsidRPr="006B2FC7">
        <w:rPr>
          <w:rFonts w:ascii="Arial" w:hAnsi="Arial" w:cs="Arial"/>
          <w:color w:val="000000"/>
          <w:sz w:val="24"/>
          <w:szCs w:val="24"/>
          <w:lang w:val="en-GB"/>
        </w:rPr>
        <w:t xml:space="preserve">. Therefore, the study is not concerned about following the random sampling approach. The sampling strategy </w:t>
      </w:r>
      <w:r>
        <w:rPr>
          <w:rFonts w:ascii="Arial" w:hAnsi="Arial" w:cs="Arial"/>
          <w:color w:val="000000"/>
          <w:sz w:val="24"/>
          <w:szCs w:val="24"/>
          <w:lang w:val="en-GB"/>
        </w:rPr>
        <w:t>for this phase was to have</w:t>
      </w:r>
      <w:r w:rsidRPr="006B2FC7">
        <w:rPr>
          <w:rFonts w:ascii="Arial" w:hAnsi="Arial" w:cs="Arial"/>
          <w:color w:val="000000"/>
          <w:sz w:val="24"/>
          <w:szCs w:val="24"/>
          <w:lang w:val="en-GB"/>
        </w:rPr>
        <w:t xml:space="preserve"> maximum variation sampling, which means the respondents who have different perspectives on the research topic’s key concept will be chosen, and those individuals will be revealed after the quantitative data is analysed (Clark &amp; Creswell, 2017). In other words, the results from the quantitative strand will influence the sampling in the following qualitative strand. The sampling design </w:t>
      </w:r>
      <w:r>
        <w:rPr>
          <w:rFonts w:ascii="Arial" w:hAnsi="Arial" w:cs="Arial"/>
          <w:color w:val="000000"/>
          <w:sz w:val="24"/>
          <w:szCs w:val="24"/>
          <w:lang w:val="en-GB"/>
        </w:rPr>
        <w:t>was</w:t>
      </w:r>
      <w:r w:rsidRPr="006B2FC7">
        <w:rPr>
          <w:rFonts w:ascii="Arial" w:hAnsi="Arial" w:cs="Arial"/>
          <w:color w:val="000000"/>
          <w:sz w:val="24"/>
          <w:szCs w:val="24"/>
          <w:lang w:val="en-GB"/>
        </w:rPr>
        <w:t xml:space="preserve"> nested samples (individuals in the qualitative strand are a subset of the individuals in the quantitative), </w:t>
      </w:r>
      <w:r w:rsidRPr="006B2FC7">
        <w:rPr>
          <w:rFonts w:ascii="Arial" w:hAnsi="Arial" w:cs="Arial"/>
          <w:sz w:val="24"/>
          <w:szCs w:val="24"/>
          <w:lang w:val="en-GB"/>
        </w:rPr>
        <w:t xml:space="preserve">and participants </w:t>
      </w:r>
      <w:r>
        <w:rPr>
          <w:rFonts w:ascii="Arial" w:hAnsi="Arial" w:cs="Arial"/>
          <w:sz w:val="24"/>
          <w:szCs w:val="24"/>
          <w:lang w:val="en-GB"/>
        </w:rPr>
        <w:t>were</w:t>
      </w:r>
      <w:r w:rsidRPr="006B2FC7">
        <w:rPr>
          <w:rFonts w:ascii="Arial" w:hAnsi="Arial" w:cs="Arial"/>
          <w:sz w:val="24"/>
          <w:szCs w:val="24"/>
          <w:lang w:val="en-GB"/>
        </w:rPr>
        <w:t xml:space="preserve"> recruited by sending invitations.</w:t>
      </w:r>
    </w:p>
    <w:p w14:paraId="680BFF33" w14:textId="77348B03" w:rsidR="00EB7F85" w:rsidRDefault="00EB7F85" w:rsidP="00EB7F85">
      <w:pPr>
        <w:pStyle w:val="CommentText"/>
        <w:spacing w:line="360" w:lineRule="auto"/>
        <w:jc w:val="both"/>
        <w:rPr>
          <w:rFonts w:ascii="Arial" w:hAnsi="Arial" w:cs="Arial"/>
          <w:color w:val="000000"/>
          <w:sz w:val="24"/>
          <w:szCs w:val="24"/>
          <w:shd w:val="clear" w:color="auto" w:fill="FFFFFF"/>
          <w:lang w:val="en-GB"/>
        </w:rPr>
      </w:pPr>
      <w:r w:rsidRPr="004F68B2">
        <w:rPr>
          <w:rFonts w:ascii="Arial" w:hAnsi="Arial" w:cs="Arial"/>
          <w:color w:val="000000"/>
          <w:sz w:val="24"/>
          <w:szCs w:val="24"/>
          <w:shd w:val="clear" w:color="auto" w:fill="FFFFFF"/>
          <w:lang w:val="en-GB"/>
        </w:rPr>
        <w:t xml:space="preserve">The purposive sampling technique </w:t>
      </w:r>
      <w:r>
        <w:rPr>
          <w:rFonts w:ascii="Arial" w:hAnsi="Arial" w:cs="Arial"/>
          <w:color w:val="000000"/>
          <w:sz w:val="24"/>
          <w:szCs w:val="24"/>
          <w:shd w:val="clear" w:color="auto" w:fill="FFFFFF"/>
          <w:lang w:val="en-GB"/>
        </w:rPr>
        <w:t>was</w:t>
      </w:r>
      <w:r w:rsidRPr="004F68B2">
        <w:rPr>
          <w:rFonts w:ascii="Arial" w:hAnsi="Arial" w:cs="Arial"/>
          <w:color w:val="000000"/>
          <w:sz w:val="24"/>
          <w:szCs w:val="24"/>
          <w:shd w:val="clear" w:color="auto" w:fill="FFFFFF"/>
          <w:lang w:val="en-GB"/>
        </w:rPr>
        <w:t xml:space="preserve"> done by using the survey link at the end to direct the respondents to a separate web page where they can provide contact details to participate in the interviews and also they </w:t>
      </w:r>
      <w:r>
        <w:rPr>
          <w:rFonts w:ascii="Arial" w:hAnsi="Arial" w:cs="Arial"/>
          <w:color w:val="000000"/>
          <w:sz w:val="24"/>
          <w:szCs w:val="24"/>
          <w:shd w:val="clear" w:color="auto" w:fill="FFFFFF"/>
          <w:lang w:val="en-GB"/>
        </w:rPr>
        <w:t>were</w:t>
      </w:r>
      <w:r w:rsidRPr="004F68B2">
        <w:rPr>
          <w:rFonts w:ascii="Arial" w:hAnsi="Arial" w:cs="Arial"/>
          <w:color w:val="000000"/>
          <w:sz w:val="24"/>
          <w:szCs w:val="24"/>
          <w:shd w:val="clear" w:color="auto" w:fill="FFFFFF"/>
          <w:lang w:val="en-GB"/>
        </w:rPr>
        <w:t xml:space="preserve"> asked to provide some demographic information such as age, occupation and experience years to ensure a purposive sample will be selected. Senior and junior practitioners of doctors, pharmacists and nurses </w:t>
      </w:r>
      <w:r>
        <w:rPr>
          <w:rFonts w:ascii="Arial" w:hAnsi="Arial" w:cs="Arial"/>
          <w:color w:val="000000"/>
          <w:sz w:val="24"/>
          <w:szCs w:val="24"/>
          <w:shd w:val="clear" w:color="auto" w:fill="FFFFFF"/>
          <w:lang w:val="en-GB"/>
        </w:rPr>
        <w:t>were the targeted population to</w:t>
      </w:r>
      <w:r w:rsidRPr="004F68B2">
        <w:rPr>
          <w:rFonts w:ascii="Arial" w:hAnsi="Arial" w:cs="Arial"/>
          <w:color w:val="000000"/>
          <w:sz w:val="24"/>
          <w:szCs w:val="24"/>
          <w:shd w:val="clear" w:color="auto" w:fill="FFFFFF"/>
          <w:lang w:val="en-GB"/>
        </w:rPr>
        <w:t xml:space="preserve"> be recruited</w:t>
      </w:r>
      <w:r>
        <w:rPr>
          <w:rFonts w:ascii="Arial" w:hAnsi="Arial" w:cs="Arial"/>
          <w:color w:val="000000"/>
          <w:sz w:val="24"/>
          <w:szCs w:val="24"/>
          <w:shd w:val="clear" w:color="auto" w:fill="FFFFFF"/>
          <w:lang w:val="en-GB"/>
        </w:rPr>
        <w:t xml:space="preserve"> for this phase</w:t>
      </w:r>
      <w:r w:rsidRPr="004F68B2">
        <w:rPr>
          <w:rFonts w:ascii="Arial" w:hAnsi="Arial" w:cs="Arial"/>
          <w:color w:val="000000"/>
          <w:sz w:val="24"/>
          <w:szCs w:val="24"/>
          <w:shd w:val="clear" w:color="auto" w:fill="FFFFFF"/>
          <w:lang w:val="en-GB"/>
        </w:rPr>
        <w:t>. Such a strategy will help to ensure the heterogeneity/diversity of the selected sample. The sample of this phase</w:t>
      </w:r>
      <w:r>
        <w:rPr>
          <w:rFonts w:ascii="Arial" w:hAnsi="Arial" w:cs="Arial"/>
          <w:color w:val="000000"/>
          <w:sz w:val="24"/>
          <w:szCs w:val="24"/>
          <w:shd w:val="clear" w:color="auto" w:fill="FFFFFF"/>
          <w:lang w:val="en-GB"/>
        </w:rPr>
        <w:t xml:space="preserve"> were </w:t>
      </w:r>
      <w:r w:rsidRPr="004F68B2">
        <w:rPr>
          <w:rFonts w:ascii="Arial" w:hAnsi="Arial" w:cs="Arial"/>
          <w:color w:val="000000"/>
          <w:sz w:val="24"/>
          <w:szCs w:val="24"/>
          <w:shd w:val="clear" w:color="auto" w:fill="FFFFFF"/>
          <w:lang w:val="en-GB"/>
        </w:rPr>
        <w:t xml:space="preserve">identified after the completion of the first phase of the quantitative survey. </w:t>
      </w:r>
      <w:r>
        <w:rPr>
          <w:rFonts w:ascii="Arial" w:hAnsi="Arial" w:cs="Arial"/>
          <w:color w:val="000000"/>
          <w:sz w:val="24"/>
          <w:szCs w:val="24"/>
          <w:shd w:val="clear" w:color="auto" w:fill="FFFFFF"/>
          <w:lang w:val="en-GB"/>
        </w:rPr>
        <w:t>Unfortunately, t</w:t>
      </w:r>
      <w:r w:rsidRPr="004F68B2">
        <w:rPr>
          <w:rFonts w:ascii="Arial" w:hAnsi="Arial" w:cs="Arial"/>
          <w:color w:val="000000"/>
          <w:sz w:val="24"/>
          <w:szCs w:val="24"/>
          <w:shd w:val="clear" w:color="auto" w:fill="FFFFFF"/>
          <w:lang w:val="en-GB"/>
        </w:rPr>
        <w:t xml:space="preserve">he response rate for participating in the interview </w:t>
      </w:r>
      <w:r>
        <w:rPr>
          <w:rFonts w:ascii="Arial" w:hAnsi="Arial" w:cs="Arial"/>
          <w:color w:val="000000"/>
          <w:sz w:val="24"/>
          <w:szCs w:val="24"/>
          <w:shd w:val="clear" w:color="auto" w:fill="FFFFFF"/>
          <w:lang w:val="en-GB"/>
        </w:rPr>
        <w:t>was</w:t>
      </w:r>
      <w:r w:rsidRPr="004F68B2">
        <w:rPr>
          <w:rFonts w:ascii="Arial" w:hAnsi="Arial" w:cs="Arial"/>
          <w:color w:val="000000"/>
          <w:sz w:val="24"/>
          <w:szCs w:val="24"/>
          <w:shd w:val="clear" w:color="auto" w:fill="FFFFFF"/>
          <w:lang w:val="en-GB"/>
        </w:rPr>
        <w:t xml:space="preserve"> low </w:t>
      </w:r>
      <w:r w:rsidRPr="00676DF7">
        <w:rPr>
          <w:rFonts w:ascii="Arial" w:hAnsi="Arial" w:cs="Arial"/>
          <w:color w:val="000000"/>
          <w:sz w:val="24"/>
          <w:szCs w:val="24"/>
          <w:shd w:val="clear" w:color="auto" w:fill="FFFFFF"/>
          <w:lang w:val="en-GB"/>
        </w:rPr>
        <w:t>(</w:t>
      </w:r>
      <w:r>
        <w:rPr>
          <w:rFonts w:ascii="Arial" w:hAnsi="Arial" w:cs="Arial"/>
          <w:color w:val="000000"/>
          <w:sz w:val="24"/>
          <w:szCs w:val="24"/>
          <w:shd w:val="clear" w:color="auto" w:fill="FFFFFF"/>
          <w:lang w:val="en-GB"/>
        </w:rPr>
        <w:t>did not</w:t>
      </w:r>
      <w:r w:rsidRPr="00676DF7">
        <w:rPr>
          <w:rFonts w:ascii="Arial" w:hAnsi="Arial" w:cs="Arial"/>
          <w:color w:val="000000"/>
          <w:sz w:val="24"/>
          <w:szCs w:val="24"/>
          <w:shd w:val="clear" w:color="auto" w:fill="FFFFFF"/>
          <w:lang w:val="en-GB"/>
        </w:rPr>
        <w:t xml:space="preserve"> reach the targeted number), </w:t>
      </w:r>
      <w:r w:rsidR="003F73A9">
        <w:rPr>
          <w:rFonts w:asciiTheme="minorBidi" w:hAnsiTheme="minorBidi"/>
          <w:color w:val="000000"/>
          <w:sz w:val="24"/>
          <w:szCs w:val="24"/>
          <w:shd w:val="clear" w:color="auto" w:fill="FFFFFF"/>
          <w:lang w:val="en-GB"/>
        </w:rPr>
        <w:t xml:space="preserve">it was nine only </w:t>
      </w:r>
      <w:r w:rsidR="003F73A9" w:rsidRPr="00A63D86">
        <w:rPr>
          <w:rFonts w:asciiTheme="minorBidi" w:hAnsiTheme="minorBidi"/>
          <w:color w:val="000000"/>
          <w:sz w:val="24"/>
          <w:szCs w:val="24"/>
          <w:shd w:val="clear" w:color="auto" w:fill="FFFFFF"/>
          <w:lang w:val="en-GB"/>
        </w:rPr>
        <w:t xml:space="preserve">and among these nine only </w:t>
      </w:r>
      <w:r w:rsidR="003F73A9">
        <w:rPr>
          <w:rFonts w:asciiTheme="minorBidi" w:hAnsiTheme="minorBidi"/>
          <w:color w:val="000000"/>
          <w:sz w:val="24"/>
          <w:szCs w:val="24"/>
          <w:shd w:val="clear" w:color="auto" w:fill="FFFFFF"/>
          <w:lang w:val="en-GB"/>
        </w:rPr>
        <w:t>five</w:t>
      </w:r>
      <w:r w:rsidR="003F73A9" w:rsidRPr="00A63D86">
        <w:rPr>
          <w:rFonts w:asciiTheme="minorBidi" w:hAnsiTheme="minorBidi"/>
          <w:color w:val="000000"/>
          <w:sz w:val="24"/>
          <w:szCs w:val="24"/>
          <w:shd w:val="clear" w:color="auto" w:fill="FFFFFF"/>
          <w:lang w:val="en-GB"/>
        </w:rPr>
        <w:t xml:space="preserve"> responded to the researcher's e-mail inviting them to schedule an interview</w:t>
      </w:r>
      <w:r w:rsidR="003F73A9">
        <w:rPr>
          <w:rFonts w:asciiTheme="minorBidi" w:hAnsiTheme="minorBidi"/>
          <w:color w:val="000000"/>
          <w:sz w:val="24"/>
          <w:szCs w:val="24"/>
          <w:shd w:val="clear" w:color="auto" w:fill="FFFFFF"/>
          <w:lang w:val="en-GB"/>
        </w:rPr>
        <w:t>.</w:t>
      </w:r>
      <w:r w:rsidR="003F73A9" w:rsidRPr="00A63D86">
        <w:rPr>
          <w:rFonts w:asciiTheme="minorBidi" w:hAnsiTheme="minorBidi"/>
          <w:color w:val="000000"/>
          <w:sz w:val="24"/>
          <w:szCs w:val="24"/>
          <w:shd w:val="clear" w:color="auto" w:fill="FFFFFF"/>
          <w:lang w:val="en-GB"/>
        </w:rPr>
        <w:t xml:space="preserve"> </w:t>
      </w:r>
      <w:r w:rsidR="003F73A9">
        <w:rPr>
          <w:rFonts w:asciiTheme="minorBidi" w:hAnsiTheme="minorBidi"/>
          <w:color w:val="000000"/>
          <w:sz w:val="24"/>
          <w:szCs w:val="24"/>
          <w:shd w:val="clear" w:color="auto" w:fill="FFFFFF"/>
          <w:lang w:val="en-GB"/>
        </w:rPr>
        <w:t>T</w:t>
      </w:r>
      <w:r w:rsidR="003F73A9" w:rsidRPr="00A63D86">
        <w:rPr>
          <w:rFonts w:asciiTheme="minorBidi" w:hAnsiTheme="minorBidi"/>
          <w:color w:val="000000"/>
          <w:sz w:val="24"/>
          <w:szCs w:val="24"/>
          <w:shd w:val="clear" w:color="auto" w:fill="FFFFFF"/>
          <w:lang w:val="en-GB"/>
        </w:rPr>
        <w:t>herefore,</w:t>
      </w:r>
      <w:r>
        <w:rPr>
          <w:rFonts w:ascii="Arial" w:hAnsi="Arial" w:cs="Arial"/>
          <w:color w:val="000000"/>
          <w:sz w:val="24"/>
          <w:szCs w:val="24"/>
          <w:shd w:val="clear" w:color="auto" w:fill="FFFFFF"/>
          <w:lang w:val="en-GB"/>
        </w:rPr>
        <w:t xml:space="preserve"> </w:t>
      </w:r>
      <w:r w:rsidRPr="004F68B2">
        <w:rPr>
          <w:rFonts w:ascii="Arial" w:hAnsi="Arial" w:cs="Arial"/>
          <w:color w:val="000000"/>
          <w:sz w:val="24"/>
          <w:szCs w:val="24"/>
          <w:shd w:val="clear" w:color="auto" w:fill="FFFFFF"/>
          <w:lang w:val="en-GB"/>
        </w:rPr>
        <w:t xml:space="preserve">the gatekeepers </w:t>
      </w:r>
      <w:r>
        <w:rPr>
          <w:rFonts w:ascii="Arial" w:hAnsi="Arial" w:cs="Arial"/>
          <w:color w:val="000000"/>
          <w:sz w:val="24"/>
          <w:szCs w:val="24"/>
          <w:shd w:val="clear" w:color="auto" w:fill="FFFFFF"/>
          <w:lang w:val="en-GB"/>
        </w:rPr>
        <w:t>were</w:t>
      </w:r>
      <w:r w:rsidRPr="004F68B2">
        <w:rPr>
          <w:rFonts w:ascii="Arial" w:hAnsi="Arial" w:cs="Arial"/>
          <w:color w:val="000000"/>
          <w:sz w:val="24"/>
          <w:szCs w:val="24"/>
          <w:shd w:val="clear" w:color="auto" w:fill="FFFFFF"/>
          <w:lang w:val="en-GB"/>
        </w:rPr>
        <w:t xml:space="preserve"> contacted again to send an invitation for the targeted population (who is the same </w:t>
      </w:r>
      <w:r>
        <w:rPr>
          <w:rFonts w:ascii="Arial" w:hAnsi="Arial" w:cs="Arial"/>
          <w:color w:val="000000"/>
          <w:sz w:val="24"/>
          <w:szCs w:val="24"/>
          <w:shd w:val="clear" w:color="auto" w:fill="FFFFFF"/>
          <w:lang w:val="en-GB"/>
        </w:rPr>
        <w:t xml:space="preserve">as </w:t>
      </w:r>
      <w:r w:rsidRPr="004F68B2">
        <w:rPr>
          <w:rFonts w:ascii="Arial" w:hAnsi="Arial" w:cs="Arial"/>
          <w:color w:val="000000"/>
          <w:sz w:val="24"/>
          <w:szCs w:val="24"/>
          <w:shd w:val="clear" w:color="auto" w:fill="FFFFFF"/>
          <w:lang w:val="en-GB"/>
        </w:rPr>
        <w:t>in the first phase)</w:t>
      </w:r>
      <w:r w:rsidRPr="00676DF7">
        <w:rPr>
          <w:rFonts w:ascii="Arial" w:hAnsi="Arial" w:cs="Arial"/>
          <w:color w:val="000000"/>
          <w:sz w:val="24"/>
          <w:szCs w:val="24"/>
          <w:shd w:val="clear" w:color="auto" w:fill="FFFFFF"/>
          <w:lang w:val="en-GB"/>
        </w:rPr>
        <w:t xml:space="preserve">. Additionally, a snowball sampling technique </w:t>
      </w:r>
      <w:r>
        <w:rPr>
          <w:rFonts w:ascii="Arial" w:hAnsi="Arial" w:cs="Arial"/>
          <w:color w:val="000000"/>
          <w:sz w:val="24"/>
          <w:szCs w:val="24"/>
          <w:shd w:val="clear" w:color="auto" w:fill="FFFFFF"/>
          <w:lang w:val="en-GB"/>
        </w:rPr>
        <w:t>was</w:t>
      </w:r>
      <w:r w:rsidRPr="00676DF7">
        <w:rPr>
          <w:rFonts w:ascii="Arial" w:hAnsi="Arial" w:cs="Arial"/>
          <w:color w:val="000000"/>
          <w:sz w:val="24"/>
          <w:szCs w:val="24"/>
          <w:shd w:val="clear" w:color="auto" w:fill="FFFFFF"/>
          <w:lang w:val="en-GB"/>
        </w:rPr>
        <w:t xml:space="preserve"> also be used to recruit participants for the interview; the existing participants were asked to send the researcher details to the potential participants.</w:t>
      </w:r>
      <w:r w:rsidR="00C8653B">
        <w:rPr>
          <w:rFonts w:ascii="Arial" w:hAnsi="Arial" w:cs="Arial"/>
          <w:color w:val="000000"/>
          <w:sz w:val="24"/>
          <w:szCs w:val="24"/>
          <w:shd w:val="clear" w:color="auto" w:fill="FFFFFF"/>
          <w:lang w:val="en-GB"/>
        </w:rPr>
        <w:t xml:space="preserve"> </w:t>
      </w:r>
      <w:r w:rsidR="00C8653B">
        <w:rPr>
          <w:rFonts w:asciiTheme="minorBidi" w:hAnsiTheme="minorBidi"/>
          <w:color w:val="000000"/>
          <w:sz w:val="24"/>
          <w:szCs w:val="24"/>
          <w:shd w:val="clear" w:color="auto" w:fill="FFFFFF"/>
          <w:lang w:val="en-GB"/>
        </w:rPr>
        <w:t xml:space="preserve">The snow sampling </w:t>
      </w:r>
      <w:r w:rsidR="00C8653B" w:rsidRPr="00EB12C0">
        <w:rPr>
          <w:rFonts w:asciiTheme="minorBidi" w:hAnsiTheme="minorBidi"/>
          <w:color w:val="000000"/>
          <w:sz w:val="24"/>
          <w:szCs w:val="24"/>
          <w:shd w:val="clear" w:color="auto" w:fill="FFFFFF"/>
          <w:lang w:val="en-GB"/>
        </w:rPr>
        <w:t>technique</w:t>
      </w:r>
      <w:r w:rsidR="00C8653B">
        <w:rPr>
          <w:rFonts w:asciiTheme="minorBidi" w:hAnsiTheme="minorBidi"/>
          <w:color w:val="000000"/>
          <w:sz w:val="24"/>
          <w:szCs w:val="24"/>
          <w:shd w:val="clear" w:color="auto" w:fill="FFFFFF"/>
          <w:lang w:val="en-GB"/>
        </w:rPr>
        <w:t xml:space="preserve"> was used to increase the number of participants in this phase. </w:t>
      </w:r>
      <w:r w:rsidR="00C8653B" w:rsidRPr="00A63D86">
        <w:rPr>
          <w:rFonts w:asciiTheme="minorBidi" w:hAnsiTheme="minorBidi"/>
          <w:color w:val="000000"/>
          <w:sz w:val="24"/>
          <w:szCs w:val="24"/>
          <w:shd w:val="clear" w:color="auto" w:fill="FFFFFF"/>
          <w:lang w:val="en-GB"/>
        </w:rPr>
        <w:t xml:space="preserve">The result of this technique was that </w:t>
      </w:r>
      <w:r w:rsidR="00C8653B">
        <w:rPr>
          <w:rFonts w:asciiTheme="minorBidi" w:hAnsiTheme="minorBidi"/>
          <w:color w:val="000000"/>
          <w:sz w:val="24"/>
          <w:szCs w:val="24"/>
          <w:shd w:val="clear" w:color="auto" w:fill="FFFFFF"/>
          <w:lang w:val="en-GB"/>
        </w:rPr>
        <w:t>four</w:t>
      </w:r>
      <w:r w:rsidR="00C8653B" w:rsidRPr="00A63D86">
        <w:rPr>
          <w:rFonts w:asciiTheme="minorBidi" w:hAnsiTheme="minorBidi"/>
          <w:color w:val="000000"/>
          <w:sz w:val="24"/>
          <w:szCs w:val="24"/>
          <w:shd w:val="clear" w:color="auto" w:fill="FFFFFF"/>
          <w:lang w:val="en-GB"/>
        </w:rPr>
        <w:t xml:space="preserve"> participants contacted the researcher to participate in this stage of research</w:t>
      </w:r>
      <w:r w:rsidR="00C8653B">
        <w:rPr>
          <w:rFonts w:asciiTheme="minorBidi" w:hAnsiTheme="minorBidi"/>
          <w:color w:val="000000"/>
          <w:sz w:val="24"/>
          <w:szCs w:val="24"/>
          <w:shd w:val="clear" w:color="auto" w:fill="FFFFFF"/>
          <w:lang w:val="en-GB"/>
        </w:rPr>
        <w:t xml:space="preserve">. </w:t>
      </w:r>
      <w:r w:rsidR="00C8653B" w:rsidRPr="00A63D86">
        <w:rPr>
          <w:rFonts w:asciiTheme="minorBidi" w:hAnsiTheme="minorBidi"/>
          <w:color w:val="000000"/>
          <w:sz w:val="24"/>
          <w:szCs w:val="24"/>
          <w:shd w:val="clear" w:color="auto" w:fill="FFFFFF"/>
          <w:lang w:val="en-GB"/>
        </w:rPr>
        <w:t xml:space="preserve"> </w:t>
      </w:r>
    </w:p>
    <w:p w14:paraId="2F4A27D0" w14:textId="77777777" w:rsidR="00EB7F85" w:rsidRPr="007965E9" w:rsidRDefault="00EB7F85" w:rsidP="007965E9">
      <w:pPr>
        <w:pStyle w:val="Heading4"/>
        <w:numPr>
          <w:ilvl w:val="3"/>
          <w:numId w:val="14"/>
        </w:numPr>
        <w:tabs>
          <w:tab w:val="left" w:pos="810"/>
        </w:tabs>
        <w:spacing w:line="360" w:lineRule="auto"/>
        <w:ind w:left="360" w:hanging="360"/>
        <w:rPr>
          <w:rFonts w:asciiTheme="minorBidi" w:hAnsiTheme="minorBidi" w:cstheme="minorBidi"/>
          <w:sz w:val="24"/>
          <w:szCs w:val="24"/>
        </w:rPr>
      </w:pPr>
      <w:r w:rsidRPr="007965E9">
        <w:rPr>
          <w:rFonts w:asciiTheme="minorBidi" w:hAnsiTheme="minorBidi" w:cstheme="minorBidi"/>
          <w:sz w:val="24"/>
          <w:szCs w:val="24"/>
        </w:rPr>
        <w:t>Sample size</w:t>
      </w:r>
    </w:p>
    <w:p w14:paraId="4AE619B3" w14:textId="77777777" w:rsidR="00EB7F85" w:rsidRDefault="00EB7F85" w:rsidP="00EB7F85">
      <w:pPr>
        <w:spacing w:line="360" w:lineRule="auto"/>
        <w:jc w:val="both"/>
        <w:rPr>
          <w:rFonts w:ascii="Arial" w:hAnsi="Arial" w:cs="Arial"/>
          <w:color w:val="000000"/>
          <w:sz w:val="24"/>
          <w:szCs w:val="24"/>
          <w:lang w:val="en-GB"/>
        </w:rPr>
      </w:pPr>
      <w:r>
        <w:rPr>
          <w:rFonts w:ascii="Arial" w:hAnsi="Arial" w:cs="Arial"/>
          <w:color w:val="000000"/>
          <w:sz w:val="24"/>
          <w:szCs w:val="24"/>
          <w:lang w:val="en-GB"/>
        </w:rPr>
        <w:t>T</w:t>
      </w:r>
      <w:r w:rsidRPr="006B2FC7">
        <w:rPr>
          <w:rFonts w:ascii="Arial" w:hAnsi="Arial" w:cs="Arial"/>
          <w:color w:val="000000"/>
          <w:sz w:val="24"/>
          <w:szCs w:val="24"/>
          <w:lang w:val="en-GB"/>
        </w:rPr>
        <w:t>here is no fixed rule of the sample size in qualitative studies</w:t>
      </w:r>
      <w:r>
        <w:rPr>
          <w:rFonts w:ascii="Arial" w:hAnsi="Arial" w:cs="Arial"/>
          <w:color w:val="000000"/>
          <w:sz w:val="24"/>
          <w:szCs w:val="24"/>
          <w:lang w:val="en-GB"/>
        </w:rPr>
        <w:t>.</w:t>
      </w:r>
      <w:r w:rsidRPr="006B2FC7">
        <w:rPr>
          <w:rFonts w:ascii="Arial" w:hAnsi="Arial" w:cs="Arial"/>
          <w:color w:val="000000"/>
          <w:sz w:val="24"/>
          <w:szCs w:val="24"/>
          <w:lang w:val="en-GB"/>
        </w:rPr>
        <w:t xml:space="preserve"> It is </w:t>
      </w:r>
      <w:r>
        <w:rPr>
          <w:rFonts w:ascii="Arial" w:hAnsi="Arial" w:cs="Arial"/>
          <w:color w:val="000000"/>
          <w:sz w:val="24"/>
          <w:szCs w:val="24"/>
          <w:lang w:val="en-GB"/>
        </w:rPr>
        <w:t xml:space="preserve">also </w:t>
      </w:r>
      <w:r w:rsidRPr="006B2FC7">
        <w:rPr>
          <w:rFonts w:ascii="Arial" w:hAnsi="Arial" w:cs="Arial"/>
          <w:color w:val="000000"/>
          <w:sz w:val="24"/>
          <w:szCs w:val="24"/>
          <w:lang w:val="en-GB"/>
        </w:rPr>
        <w:t xml:space="preserve">impossible to determine the sample size in advance as it is determined by theoretical saturation, which means collecting enough information to develop meaningful explanation for selected quantitative results is an important consideration </w:t>
      </w:r>
      <w:r w:rsidRPr="006B2FC7">
        <w:rPr>
          <w:rFonts w:ascii="Arial" w:hAnsi="Arial" w:cs="Arial"/>
          <w:color w:val="000000"/>
          <w:sz w:val="24"/>
          <w:szCs w:val="24"/>
          <w:lang w:val="en-GB"/>
        </w:rPr>
        <w:fldChar w:fldCharType="begin" w:fldLock="1"/>
      </w:r>
      <w:r>
        <w:rPr>
          <w:rFonts w:ascii="Arial" w:hAnsi="Arial" w:cs="Arial"/>
          <w:color w:val="000000"/>
          <w:sz w:val="24"/>
          <w:szCs w:val="24"/>
          <w:lang w:val="en-GB"/>
        </w:rPr>
        <w:instrText>ADDIN CSL_CITATION {"citationItems":[{"id":"ITEM-1","itemData":{"DOI":"10.1177/1525822X05279903","PMID":"2273","abstract":"Students conducting a piece of qualitative research frequently ask ‘how many interviews is enough?’ Early career researchers and established academics also consider this question when designing research projects. In this NCRM Methods Review paper we gather and review responses to the question of ‘how many’ from 14 renowned social scientists and 5 early career researchers. The riposte to the question of ‘how many’ from most contributors is ‘it depends’. In considering what ‘it depends upon’ however, the responses offer guidance on the epistemological, methodological and practical issues to take into account when conducting research projects. This includes advice about assessing research aims and objectives, validity within epistemic communities and available time and resources.","author":[{"dropping-particle":"","family":"Baker","given":"Sarah Elsie","non-dropping-particle":"","parse-names":false,"suffix":""},{"dropping-particle":"","family":"Edwards","given":"Rosalind","non-dropping-particle":"","parse-names":false,"suffix":""}],"container-title":"National Centre for Research Methods Review Paper","id":"ITEM-1","issued":{"date-parts":[["2012"]]},"page":"1 - 42","title":"How many qualitative interviews is enough ?","type":"article-journal"},"uris":["http://www.mendeley.com/documents/?uuid=d04f076a-808d-4348-a9c9-239e8a3a2cc3"]}],"mendeley":{"formattedCitation":"(Baker and Edwards, 2012)","manualFormatting":"(Baker and Edwards, 2012;","plainTextFormattedCitation":"(Baker and Edwards, 2012)","previouslyFormattedCitation":"(Baker and Edwards, 2012)"},"properties":{"noteIndex":0},"schema":"https://github.com/citation-style-language/schema/raw/master/csl-citation.json"}</w:instrText>
      </w:r>
      <w:r w:rsidRPr="006B2FC7">
        <w:rPr>
          <w:rFonts w:ascii="Arial" w:hAnsi="Arial" w:cs="Arial"/>
          <w:color w:val="000000"/>
          <w:sz w:val="24"/>
          <w:szCs w:val="24"/>
          <w:lang w:val="en-GB"/>
        </w:rPr>
        <w:fldChar w:fldCharType="separate"/>
      </w:r>
      <w:r w:rsidRPr="006B2FC7">
        <w:rPr>
          <w:rFonts w:ascii="Arial" w:hAnsi="Arial" w:cs="Arial"/>
          <w:noProof/>
          <w:color w:val="000000"/>
          <w:sz w:val="24"/>
          <w:szCs w:val="24"/>
          <w:lang w:val="en-GB"/>
        </w:rPr>
        <w:t>(Baker and Edwards, 2012</w:t>
      </w:r>
      <w:r>
        <w:rPr>
          <w:rFonts w:ascii="Arial" w:hAnsi="Arial" w:cs="Arial"/>
          <w:noProof/>
          <w:color w:val="000000"/>
          <w:sz w:val="24"/>
          <w:szCs w:val="24"/>
          <w:lang w:val="en-GB"/>
        </w:rPr>
        <w:t>;</w:t>
      </w:r>
      <w:r w:rsidRPr="006B2FC7">
        <w:rPr>
          <w:rFonts w:ascii="Arial" w:hAnsi="Arial" w:cs="Arial"/>
          <w:color w:val="000000"/>
          <w:sz w:val="24"/>
          <w:szCs w:val="24"/>
          <w:lang w:val="en-GB"/>
        </w:rPr>
        <w:fldChar w:fldCharType="end"/>
      </w:r>
      <w:r w:rsidRPr="006B2FC7">
        <w:rPr>
          <w:rFonts w:ascii="Arial" w:hAnsi="Arial" w:cs="Arial"/>
          <w:color w:val="000000"/>
          <w:sz w:val="24"/>
          <w:szCs w:val="24"/>
          <w:lang w:val="en-GB"/>
        </w:rPr>
        <w:t xml:space="preserve"> </w:t>
      </w:r>
      <w:r>
        <w:rPr>
          <w:rFonts w:ascii="Arial" w:hAnsi="Arial" w:cs="Arial"/>
          <w:color w:val="000000"/>
          <w:sz w:val="24"/>
          <w:szCs w:val="24"/>
          <w:lang w:val="en-GB"/>
        </w:rPr>
        <w:fldChar w:fldCharType="begin" w:fldLock="1"/>
      </w:r>
      <w:r>
        <w:rPr>
          <w:rFonts w:ascii="Arial" w:hAnsi="Arial" w:cs="Arial"/>
          <w:color w:val="000000"/>
          <w:sz w:val="24"/>
          <w:szCs w:val="24"/>
          <w:lang w:val="en-GB"/>
        </w:rPr>
        <w:instrText>ADDIN CSL_CITATION {"citationItems":[{"id":"ITEM-1","itemData":{"author":[{"dropping-particle":"","family":"Creswell","given":"John W","non-dropping-particle":"","parse-names":false,"suffix":""},{"dropping-particle":"","family":"Clark","given":"Vicki L Piano","non-dropping-particle":"","parse-names":false,"suffix":""}],"id":"ITEM-1","issued":{"date-parts":[["2017"]]},"title":"Designing and Conducting Mixed Methods Research Third Edition","type":"report"},"uris":["http://www.mendeley.com/documents/?uuid=bbc18315-bb08-3054-9313-2768fe2d433d"]}],"mendeley":{"formattedCitation":"(Creswell and Clark, 2017)","manualFormatting":"Creswell and Clark, 2017)","plainTextFormattedCitation":"(Creswell and Clark, 2017)","previouslyFormattedCitation":"(Creswell and Clark, 2017)"},"properties":{"noteIndex":0},"schema":"https://github.com/citation-style-language/schema/raw/master/csl-citation.json"}</w:instrText>
      </w:r>
      <w:r>
        <w:rPr>
          <w:rFonts w:ascii="Arial" w:hAnsi="Arial" w:cs="Arial"/>
          <w:color w:val="000000"/>
          <w:sz w:val="24"/>
          <w:szCs w:val="24"/>
          <w:lang w:val="en-GB"/>
        </w:rPr>
        <w:fldChar w:fldCharType="separate"/>
      </w:r>
      <w:r w:rsidRPr="004A60BB">
        <w:rPr>
          <w:rFonts w:ascii="Arial" w:hAnsi="Arial" w:cs="Arial"/>
          <w:noProof/>
          <w:color w:val="000000"/>
          <w:sz w:val="24"/>
          <w:szCs w:val="24"/>
          <w:lang w:val="en-GB"/>
        </w:rPr>
        <w:t>Creswell and Clark, 2017)</w:t>
      </w:r>
      <w:r>
        <w:rPr>
          <w:rFonts w:ascii="Arial" w:hAnsi="Arial" w:cs="Arial"/>
          <w:color w:val="000000"/>
          <w:sz w:val="24"/>
          <w:szCs w:val="24"/>
          <w:lang w:val="en-GB"/>
        </w:rPr>
        <w:fldChar w:fldCharType="end"/>
      </w:r>
      <w:r>
        <w:rPr>
          <w:rFonts w:ascii="Arial" w:hAnsi="Arial" w:cs="Arial"/>
          <w:color w:val="000000"/>
          <w:sz w:val="24"/>
          <w:szCs w:val="24"/>
          <w:lang w:val="en-GB"/>
        </w:rPr>
        <w:t>.</w:t>
      </w:r>
    </w:p>
    <w:p w14:paraId="7874B846" w14:textId="77777777" w:rsidR="00EB7F85" w:rsidRDefault="00EB7F85" w:rsidP="00EB7F85">
      <w:pPr>
        <w:spacing w:line="360" w:lineRule="auto"/>
        <w:jc w:val="both"/>
        <w:rPr>
          <w:rFonts w:ascii="Arial" w:hAnsi="Arial" w:cs="Arial"/>
          <w:color w:val="000000"/>
          <w:sz w:val="24"/>
          <w:szCs w:val="24"/>
          <w:lang w:val="en-GB"/>
        </w:rPr>
      </w:pPr>
      <w:r w:rsidRPr="006B2FC7">
        <w:rPr>
          <w:rFonts w:ascii="Arial" w:hAnsi="Arial" w:cs="Arial"/>
          <w:color w:val="000000"/>
          <w:sz w:val="24"/>
          <w:szCs w:val="24"/>
          <w:lang w:val="en-GB"/>
        </w:rPr>
        <w:t>Creswell and Clark (2017) recommended the size of the two samples in the explanatory sequential design, saying: “</w:t>
      </w:r>
      <w:r w:rsidRPr="006B2FC7">
        <w:rPr>
          <w:rFonts w:ascii="Arial" w:hAnsi="Arial" w:cs="Arial"/>
          <w:i/>
          <w:iCs/>
          <w:color w:val="000000"/>
          <w:sz w:val="24"/>
          <w:szCs w:val="24"/>
          <w:lang w:val="en-GB"/>
        </w:rPr>
        <w:t>the qualitative data collection comes from a much smaller sample than the initial quantitative data collection</w:t>
      </w:r>
      <w:r w:rsidRPr="006B2FC7">
        <w:rPr>
          <w:rFonts w:ascii="Arial" w:hAnsi="Arial" w:cs="Arial"/>
          <w:color w:val="000000"/>
          <w:sz w:val="24"/>
          <w:szCs w:val="24"/>
          <w:lang w:val="en-GB"/>
        </w:rPr>
        <w:t>”. This is because the design is not compared or the data merged as the convergent design does this, so having an unequal sample size is not a problem in sequential designs. Creswell and Clark, 2017, mentioned that the number of participants may range from “</w:t>
      </w:r>
      <w:r w:rsidRPr="006B2FC7">
        <w:rPr>
          <w:rFonts w:ascii="Arial" w:hAnsi="Arial" w:cs="Arial"/>
          <w:i/>
          <w:iCs/>
          <w:color w:val="000000"/>
          <w:sz w:val="24"/>
          <w:szCs w:val="24"/>
          <w:lang w:val="en-GB"/>
        </w:rPr>
        <w:t>one or two in a narrative study, to four or ten in case study, and to twenty to thirty in a grounded theory study</w:t>
      </w:r>
      <w:r w:rsidRPr="006B2FC7">
        <w:rPr>
          <w:rFonts w:ascii="Arial" w:hAnsi="Arial" w:cs="Arial"/>
          <w:color w:val="000000"/>
          <w:sz w:val="24"/>
          <w:szCs w:val="24"/>
          <w:lang w:val="en-GB"/>
        </w:rPr>
        <w:t xml:space="preserve">”. </w:t>
      </w:r>
    </w:p>
    <w:p w14:paraId="30CE43E0" w14:textId="77777777" w:rsidR="00EB7F85" w:rsidRPr="00DE6356" w:rsidRDefault="00EB7F85" w:rsidP="00EB7F85">
      <w:pPr>
        <w:spacing w:line="360" w:lineRule="auto"/>
        <w:jc w:val="both"/>
        <w:rPr>
          <w:rFonts w:ascii="Arial" w:hAnsi="Arial" w:cs="Arial"/>
          <w:sz w:val="24"/>
          <w:szCs w:val="24"/>
          <w:lang w:val="en-GB"/>
        </w:rPr>
      </w:pPr>
      <w:r>
        <w:rPr>
          <w:rFonts w:ascii="Arial" w:hAnsi="Arial" w:cs="Arial"/>
          <w:color w:val="000000"/>
          <w:sz w:val="24"/>
          <w:szCs w:val="24"/>
          <w:lang w:val="en-GB"/>
        </w:rPr>
        <w:t>T</w:t>
      </w:r>
      <w:r w:rsidRPr="006B2FC7">
        <w:rPr>
          <w:rFonts w:ascii="Arial" w:hAnsi="Arial" w:cs="Arial"/>
          <w:color w:val="000000"/>
          <w:sz w:val="24"/>
          <w:szCs w:val="24"/>
          <w:lang w:val="en-GB"/>
        </w:rPr>
        <w:t xml:space="preserve">he </w:t>
      </w:r>
      <w:r>
        <w:rPr>
          <w:rFonts w:ascii="Arial" w:hAnsi="Arial" w:cs="Arial"/>
          <w:color w:val="000000"/>
          <w:sz w:val="24"/>
          <w:szCs w:val="24"/>
          <w:lang w:val="en-GB"/>
        </w:rPr>
        <w:t>aim was to</w:t>
      </w:r>
      <w:r w:rsidRPr="006B2FC7">
        <w:rPr>
          <w:rFonts w:ascii="Arial" w:hAnsi="Arial" w:cs="Arial"/>
          <w:color w:val="000000"/>
          <w:sz w:val="24"/>
          <w:szCs w:val="24"/>
          <w:lang w:val="en-GB"/>
        </w:rPr>
        <w:t xml:space="preserve"> start with a target sample size of</w:t>
      </w:r>
      <w:r w:rsidRPr="00660528">
        <w:rPr>
          <w:rFonts w:ascii="Arial" w:hAnsi="Arial" w:cs="Arial"/>
          <w:color w:val="000000"/>
          <w:sz w:val="24"/>
          <w:szCs w:val="24"/>
          <w:shd w:val="clear" w:color="auto" w:fill="FFFFFF"/>
          <w:lang w:val="en-GB"/>
        </w:rPr>
        <w:t xml:space="preserve"> 20 </w:t>
      </w:r>
      <w:r>
        <w:rPr>
          <w:rFonts w:ascii="Arial" w:hAnsi="Arial" w:cs="Arial"/>
          <w:color w:val="000000"/>
          <w:sz w:val="24"/>
          <w:szCs w:val="24"/>
          <w:shd w:val="clear" w:color="auto" w:fill="FFFFFF"/>
          <w:lang w:val="en-GB"/>
        </w:rPr>
        <w:t>HCPs</w:t>
      </w:r>
      <w:r w:rsidRPr="00660528">
        <w:rPr>
          <w:rFonts w:ascii="Arial" w:hAnsi="Arial" w:cs="Arial"/>
          <w:color w:val="000000"/>
          <w:sz w:val="24"/>
          <w:szCs w:val="24"/>
          <w:shd w:val="clear" w:color="auto" w:fill="FFFFFF"/>
          <w:lang w:val="en-GB"/>
        </w:rPr>
        <w:t xml:space="preserve"> (five </w:t>
      </w:r>
      <w:r>
        <w:rPr>
          <w:rFonts w:ascii="Arial" w:hAnsi="Arial" w:cs="Arial"/>
          <w:color w:val="000000"/>
          <w:sz w:val="24"/>
          <w:szCs w:val="24"/>
          <w:shd w:val="clear" w:color="auto" w:fill="FFFFFF"/>
          <w:lang w:val="en-GB"/>
        </w:rPr>
        <w:t>G.P.</w:t>
      </w:r>
      <w:r w:rsidRPr="00660528">
        <w:rPr>
          <w:rFonts w:ascii="Arial" w:hAnsi="Arial" w:cs="Arial"/>
          <w:color w:val="000000"/>
          <w:sz w:val="24"/>
          <w:szCs w:val="24"/>
          <w:shd w:val="clear" w:color="auto" w:fill="FFFFFF"/>
          <w:lang w:val="en-GB"/>
        </w:rPr>
        <w:t>, five family physicians, five pharmacists, and five non-communicable diseases clinic nurses)</w:t>
      </w:r>
      <w:r>
        <w:rPr>
          <w:rFonts w:ascii="Arial" w:hAnsi="Arial" w:cs="Arial"/>
          <w:color w:val="000000"/>
          <w:sz w:val="24"/>
          <w:szCs w:val="24"/>
          <w:shd w:val="clear" w:color="auto" w:fill="FFFFFF"/>
          <w:lang w:val="en-GB"/>
        </w:rPr>
        <w:t xml:space="preserve">. </w:t>
      </w:r>
      <w:r w:rsidRPr="00660528">
        <w:rPr>
          <w:rFonts w:ascii="Arial" w:hAnsi="Arial" w:cs="Arial"/>
          <w:color w:val="000000"/>
          <w:sz w:val="24"/>
          <w:szCs w:val="24"/>
          <w:shd w:val="clear" w:color="auto" w:fill="FFFFFF"/>
          <w:lang w:val="en-GB"/>
        </w:rPr>
        <w:t xml:space="preserve"> </w:t>
      </w:r>
      <w:r>
        <w:rPr>
          <w:rFonts w:ascii="Arial" w:hAnsi="Arial" w:cs="Arial"/>
          <w:color w:val="000000"/>
          <w:sz w:val="24"/>
          <w:szCs w:val="24"/>
          <w:shd w:val="clear" w:color="auto" w:fill="FFFFFF"/>
          <w:lang w:val="en-GB"/>
        </w:rPr>
        <w:t>However, the f</w:t>
      </w:r>
      <w:r w:rsidRPr="00660528">
        <w:rPr>
          <w:rFonts w:ascii="Arial" w:hAnsi="Arial" w:cs="Arial"/>
          <w:color w:val="000000"/>
          <w:sz w:val="24"/>
          <w:szCs w:val="24"/>
          <w:shd w:val="clear" w:color="auto" w:fill="FFFFFF"/>
          <w:lang w:val="en-GB"/>
        </w:rPr>
        <w:t xml:space="preserve">inal sample size </w:t>
      </w:r>
      <w:r>
        <w:rPr>
          <w:rFonts w:ascii="Arial" w:hAnsi="Arial" w:cs="Arial"/>
          <w:color w:val="000000"/>
          <w:sz w:val="24"/>
          <w:szCs w:val="24"/>
          <w:shd w:val="clear" w:color="auto" w:fill="FFFFFF"/>
          <w:lang w:val="en-GB"/>
        </w:rPr>
        <w:t>was 9 and this was</w:t>
      </w:r>
      <w:r w:rsidRPr="00660528">
        <w:rPr>
          <w:rFonts w:ascii="Arial" w:hAnsi="Arial" w:cs="Arial"/>
          <w:color w:val="000000"/>
          <w:sz w:val="24"/>
          <w:szCs w:val="24"/>
          <w:shd w:val="clear" w:color="auto" w:fill="FFFFFF"/>
          <w:lang w:val="en-GB"/>
        </w:rPr>
        <w:t xml:space="preserve"> informed by theoretical saturation, the point at which analysis revealed no new emergent codes and themes. In the other words, </w:t>
      </w:r>
      <w:r>
        <w:rPr>
          <w:rFonts w:ascii="Arial" w:hAnsi="Arial" w:cs="Arial"/>
          <w:color w:val="000000"/>
          <w:sz w:val="24"/>
          <w:szCs w:val="24"/>
          <w:shd w:val="clear" w:color="auto" w:fill="FFFFFF"/>
          <w:lang w:val="en-GB"/>
        </w:rPr>
        <w:t xml:space="preserve">this sample size </w:t>
      </w:r>
      <w:r>
        <w:rPr>
          <w:rFonts w:ascii="Arial" w:hAnsi="Arial" w:cs="Arial"/>
          <w:color w:val="000000"/>
          <w:sz w:val="24"/>
          <w:szCs w:val="24"/>
          <w:lang w:val="en-GB"/>
        </w:rPr>
        <w:t xml:space="preserve">was </w:t>
      </w:r>
      <w:r w:rsidRPr="006B2FC7">
        <w:rPr>
          <w:rFonts w:ascii="Arial" w:hAnsi="Arial" w:cs="Arial"/>
          <w:color w:val="000000"/>
          <w:sz w:val="24"/>
          <w:szCs w:val="24"/>
          <w:lang w:val="en-GB"/>
        </w:rPr>
        <w:t xml:space="preserve">determined during this phase of the study </w:t>
      </w:r>
      <w:r>
        <w:rPr>
          <w:rFonts w:ascii="Arial" w:hAnsi="Arial" w:cs="Arial"/>
          <w:color w:val="000000"/>
          <w:sz w:val="24"/>
          <w:szCs w:val="24"/>
          <w:lang w:val="en-GB"/>
        </w:rPr>
        <w:t>because</w:t>
      </w:r>
      <w:r w:rsidRPr="006B2FC7">
        <w:rPr>
          <w:rFonts w:ascii="Arial" w:hAnsi="Arial" w:cs="Arial"/>
          <w:color w:val="000000"/>
          <w:sz w:val="24"/>
          <w:szCs w:val="24"/>
          <w:lang w:val="en-GB"/>
        </w:rPr>
        <w:t xml:space="preserve"> a sufficient database has been collected to develop an in-depth understanding of the research questions</w:t>
      </w:r>
      <w:r>
        <w:rPr>
          <w:rFonts w:ascii="Arial" w:hAnsi="Arial" w:cs="Arial"/>
          <w:color w:val="000000"/>
          <w:sz w:val="24"/>
          <w:szCs w:val="24"/>
          <w:lang w:val="en-GB"/>
        </w:rPr>
        <w:t xml:space="preserve">, which is </w:t>
      </w:r>
      <w:r w:rsidRPr="006B2FC7">
        <w:rPr>
          <w:rFonts w:ascii="Arial" w:hAnsi="Arial" w:cs="Arial"/>
          <w:sz w:val="24"/>
          <w:szCs w:val="24"/>
          <w:lang w:val="en-GB"/>
        </w:rPr>
        <w:t>a target to reach theoretical saturation.</w:t>
      </w:r>
      <w:r>
        <w:rPr>
          <w:rFonts w:ascii="Arial" w:hAnsi="Arial" w:cs="Arial"/>
          <w:sz w:val="24"/>
          <w:szCs w:val="24"/>
          <w:lang w:val="en-GB"/>
        </w:rPr>
        <w:t xml:space="preserve"> </w:t>
      </w:r>
      <w:bookmarkStart w:id="117" w:name="OLE_LINK1"/>
      <w:r>
        <w:rPr>
          <w:rFonts w:ascii="Arial" w:hAnsi="Arial" w:cs="Arial"/>
          <w:sz w:val="24"/>
          <w:szCs w:val="24"/>
          <w:lang w:val="en-GB"/>
        </w:rPr>
        <w:t xml:space="preserve">The </w:t>
      </w:r>
      <w:r w:rsidRPr="009E4306">
        <w:rPr>
          <w:rFonts w:ascii="Arial" w:hAnsi="Arial" w:cs="Arial"/>
          <w:sz w:val="24"/>
          <w:szCs w:val="24"/>
          <w:lang w:val="en-GB"/>
        </w:rPr>
        <w:t xml:space="preserve">Saturation of data was observed in </w:t>
      </w:r>
      <w:r>
        <w:rPr>
          <w:rFonts w:ascii="Arial" w:hAnsi="Arial" w:cs="Arial"/>
          <w:sz w:val="24"/>
          <w:szCs w:val="24"/>
          <w:lang w:val="en-GB"/>
        </w:rPr>
        <w:t>two</w:t>
      </w:r>
      <w:r w:rsidRPr="009E4306">
        <w:rPr>
          <w:rFonts w:ascii="Arial" w:hAnsi="Arial" w:cs="Arial"/>
          <w:sz w:val="24"/>
          <w:szCs w:val="24"/>
          <w:lang w:val="en-GB"/>
        </w:rPr>
        <w:t xml:space="preserve"> groups</w:t>
      </w:r>
      <w:r>
        <w:rPr>
          <w:rFonts w:ascii="Arial" w:hAnsi="Arial" w:cs="Arial"/>
          <w:sz w:val="24"/>
          <w:szCs w:val="24"/>
          <w:lang w:val="en-GB"/>
        </w:rPr>
        <w:t xml:space="preserve"> (nurses and pharmacists), while doctors only 2 were participate with different in their year of experience and work experience. </w:t>
      </w:r>
      <w:r w:rsidRPr="00DE6356">
        <w:rPr>
          <w:rFonts w:ascii="Arial" w:hAnsi="Arial" w:cs="Arial"/>
          <w:sz w:val="24"/>
          <w:szCs w:val="24"/>
          <w:lang w:val="en-GB"/>
        </w:rPr>
        <w:t>Therefore, theoretical saturation in this research is based on the entire sample (including three professional groups: doctors, pharmacists, and nurses) rather than samples of each group.</w:t>
      </w:r>
    </w:p>
    <w:p w14:paraId="740EB852" w14:textId="77777777" w:rsidR="00EB7F85" w:rsidRPr="004C4BC2" w:rsidRDefault="00EB7F85" w:rsidP="00EB7F85">
      <w:pPr>
        <w:spacing w:line="360" w:lineRule="auto"/>
        <w:jc w:val="both"/>
        <w:rPr>
          <w:rFonts w:ascii="Arial" w:hAnsi="Arial" w:cs="Arial"/>
          <w:sz w:val="24"/>
          <w:szCs w:val="24"/>
          <w:lang w:val="en-GB"/>
        </w:rPr>
      </w:pPr>
    </w:p>
    <w:bookmarkEnd w:id="117"/>
    <w:p w14:paraId="73C21AB8" w14:textId="77777777" w:rsidR="00EB7F85" w:rsidRPr="007965E9" w:rsidRDefault="00EB7F85" w:rsidP="007965E9">
      <w:pPr>
        <w:pStyle w:val="Heading4"/>
        <w:numPr>
          <w:ilvl w:val="3"/>
          <w:numId w:val="14"/>
        </w:numPr>
        <w:tabs>
          <w:tab w:val="left" w:pos="810"/>
        </w:tabs>
        <w:spacing w:line="360" w:lineRule="auto"/>
        <w:ind w:left="360" w:hanging="360"/>
        <w:rPr>
          <w:rFonts w:asciiTheme="minorBidi" w:hAnsiTheme="minorBidi" w:cstheme="minorBidi"/>
          <w:sz w:val="24"/>
          <w:szCs w:val="24"/>
        </w:rPr>
      </w:pPr>
      <w:r w:rsidRPr="007965E9">
        <w:rPr>
          <w:rFonts w:asciiTheme="minorBidi" w:hAnsiTheme="minorBidi" w:cstheme="minorBidi"/>
          <w:sz w:val="24"/>
          <w:szCs w:val="24"/>
        </w:rPr>
        <w:t>Interview process</w:t>
      </w:r>
    </w:p>
    <w:p w14:paraId="78880BA3" w14:textId="77777777" w:rsidR="00EB7F85" w:rsidRPr="0008598D" w:rsidRDefault="00EB7F85" w:rsidP="00EB7F85">
      <w:pPr>
        <w:spacing w:line="360" w:lineRule="auto"/>
        <w:jc w:val="both"/>
        <w:rPr>
          <w:rFonts w:ascii="Arial" w:hAnsi="Arial" w:cs="Arial"/>
          <w:sz w:val="24"/>
          <w:szCs w:val="24"/>
          <w:lang w:val="en-GB"/>
        </w:rPr>
      </w:pPr>
      <w:r w:rsidRPr="006B2FC7">
        <w:rPr>
          <w:rFonts w:ascii="Arial" w:hAnsi="Arial" w:cs="Arial"/>
          <w:sz w:val="24"/>
          <w:szCs w:val="24"/>
          <w:lang w:val="en-GB"/>
        </w:rPr>
        <w:t xml:space="preserve">The interview protocol </w:t>
      </w:r>
      <w:r>
        <w:rPr>
          <w:rFonts w:ascii="Arial" w:hAnsi="Arial" w:cs="Arial"/>
          <w:sz w:val="24"/>
          <w:szCs w:val="24"/>
          <w:lang w:val="en-GB"/>
        </w:rPr>
        <w:t>was</w:t>
      </w:r>
      <w:r w:rsidRPr="006B2FC7">
        <w:rPr>
          <w:rFonts w:ascii="Arial" w:hAnsi="Arial" w:cs="Arial"/>
          <w:sz w:val="24"/>
          <w:szCs w:val="24"/>
          <w:lang w:val="en-GB"/>
        </w:rPr>
        <w:t xml:space="preserve"> created, including major open-ended questions that </w:t>
      </w:r>
      <w:r>
        <w:rPr>
          <w:rFonts w:ascii="Arial" w:hAnsi="Arial" w:cs="Arial"/>
          <w:sz w:val="24"/>
          <w:szCs w:val="24"/>
          <w:lang w:val="en-GB"/>
        </w:rPr>
        <w:t>were</w:t>
      </w:r>
      <w:r w:rsidRPr="006B2FC7">
        <w:rPr>
          <w:rFonts w:ascii="Arial" w:hAnsi="Arial" w:cs="Arial"/>
          <w:sz w:val="24"/>
          <w:szCs w:val="24"/>
          <w:lang w:val="en-GB"/>
        </w:rPr>
        <w:t xml:space="preserve"> asked during the interview</w:t>
      </w:r>
      <w:r>
        <w:rPr>
          <w:rFonts w:ascii="Arial" w:hAnsi="Arial" w:cs="Arial"/>
          <w:sz w:val="24"/>
          <w:szCs w:val="24"/>
          <w:lang w:val="en-GB"/>
        </w:rPr>
        <w:t xml:space="preserve"> (See </w:t>
      </w:r>
      <w:r w:rsidRPr="004F6845">
        <w:rPr>
          <w:rFonts w:ascii="Arial" w:hAnsi="Arial" w:cs="Arial"/>
          <w:color w:val="1F3864" w:themeColor="accent1" w:themeShade="80"/>
          <w:sz w:val="24"/>
          <w:szCs w:val="24"/>
          <w:lang w:val="en-GB"/>
        </w:rPr>
        <w:fldChar w:fldCharType="begin"/>
      </w:r>
      <w:r w:rsidRPr="004F6845">
        <w:rPr>
          <w:rFonts w:ascii="Arial" w:hAnsi="Arial" w:cs="Arial"/>
          <w:color w:val="1F3864" w:themeColor="accent1" w:themeShade="80"/>
          <w:sz w:val="24"/>
          <w:szCs w:val="24"/>
          <w:lang w:val="en-GB"/>
        </w:rPr>
        <w:instrText xml:space="preserve"> REF _Ref124724085 \h  \* MERGEFORMAT </w:instrText>
      </w:r>
      <w:r w:rsidRPr="004F6845">
        <w:rPr>
          <w:rFonts w:ascii="Arial" w:hAnsi="Arial" w:cs="Arial"/>
          <w:color w:val="1F3864" w:themeColor="accent1" w:themeShade="80"/>
          <w:sz w:val="24"/>
          <w:szCs w:val="24"/>
          <w:lang w:val="en-GB"/>
        </w:rPr>
      </w:r>
      <w:r w:rsidRPr="004F6845">
        <w:rPr>
          <w:rFonts w:ascii="Arial" w:hAnsi="Arial" w:cs="Arial"/>
          <w:color w:val="1F3864" w:themeColor="accent1" w:themeShade="80"/>
          <w:sz w:val="24"/>
          <w:szCs w:val="24"/>
          <w:lang w:val="en-GB"/>
        </w:rPr>
        <w:fldChar w:fldCharType="separate"/>
      </w:r>
      <w:r w:rsidRPr="00601FB5">
        <w:rPr>
          <w:rFonts w:ascii="Arial" w:hAnsi="Arial" w:cs="Arial"/>
          <w:color w:val="1F3864" w:themeColor="accent1" w:themeShade="80"/>
          <w:sz w:val="24"/>
          <w:szCs w:val="24"/>
          <w:lang w:val="en-GB"/>
        </w:rPr>
        <w:t>Appendix J</w:t>
      </w:r>
      <w:r w:rsidRPr="004F6845">
        <w:rPr>
          <w:rFonts w:ascii="Arial" w:hAnsi="Arial" w:cs="Arial"/>
          <w:color w:val="1F3864" w:themeColor="accent1" w:themeShade="80"/>
          <w:sz w:val="24"/>
          <w:szCs w:val="24"/>
          <w:lang w:val="en-GB"/>
        </w:rPr>
        <w:fldChar w:fldCharType="end"/>
      </w:r>
      <w:r>
        <w:rPr>
          <w:rFonts w:ascii="Arial" w:hAnsi="Arial" w:cs="Arial"/>
          <w:sz w:val="24"/>
          <w:szCs w:val="24"/>
          <w:lang w:val="en-GB"/>
        </w:rPr>
        <w:t>)</w:t>
      </w:r>
      <w:r w:rsidRPr="006B2FC7">
        <w:rPr>
          <w:rFonts w:ascii="Arial" w:hAnsi="Arial" w:cs="Arial"/>
          <w:sz w:val="24"/>
          <w:szCs w:val="24"/>
          <w:lang w:val="en-GB"/>
        </w:rPr>
        <w:t xml:space="preserve">. The data that relates to the day, time, and place of the interview </w:t>
      </w:r>
      <w:r>
        <w:rPr>
          <w:rFonts w:ascii="Arial" w:hAnsi="Arial" w:cs="Arial"/>
          <w:sz w:val="24"/>
          <w:szCs w:val="24"/>
          <w:lang w:val="en-GB"/>
        </w:rPr>
        <w:t>was</w:t>
      </w:r>
      <w:r w:rsidRPr="006B2FC7">
        <w:rPr>
          <w:rFonts w:ascii="Arial" w:hAnsi="Arial" w:cs="Arial"/>
          <w:sz w:val="24"/>
          <w:szCs w:val="24"/>
          <w:lang w:val="en-GB"/>
        </w:rPr>
        <w:t xml:space="preserve"> also included. The aim of designing this protocol is to help the researcher to be organised.</w:t>
      </w:r>
      <w:r>
        <w:rPr>
          <w:rFonts w:ascii="Arial" w:hAnsi="Arial" w:cs="Arial"/>
          <w:sz w:val="24"/>
          <w:szCs w:val="24"/>
          <w:lang w:val="en-GB"/>
        </w:rPr>
        <w:t xml:space="preserve"> I</w:t>
      </w:r>
      <w:r w:rsidRPr="006B2FC7">
        <w:rPr>
          <w:rFonts w:ascii="Arial" w:hAnsi="Arial" w:cs="Arial"/>
          <w:color w:val="000000"/>
          <w:sz w:val="24"/>
          <w:szCs w:val="24"/>
          <w:shd w:val="clear" w:color="auto" w:fill="FFFFFF"/>
          <w:lang w:val="en-GB"/>
        </w:rPr>
        <w:t xml:space="preserve">nterviews </w:t>
      </w:r>
      <w:r>
        <w:rPr>
          <w:rFonts w:ascii="Arial" w:hAnsi="Arial" w:cs="Arial"/>
          <w:color w:val="000000"/>
          <w:sz w:val="24"/>
          <w:szCs w:val="24"/>
          <w:shd w:val="clear" w:color="auto" w:fill="FFFFFF"/>
          <w:lang w:val="en-GB"/>
        </w:rPr>
        <w:t>were</w:t>
      </w:r>
      <w:r w:rsidRPr="006B2FC7">
        <w:rPr>
          <w:rFonts w:ascii="Arial" w:hAnsi="Arial" w:cs="Arial"/>
          <w:color w:val="000000"/>
          <w:sz w:val="24"/>
          <w:szCs w:val="24"/>
          <w:shd w:val="clear" w:color="auto" w:fill="FFFFFF"/>
          <w:lang w:val="en-GB"/>
        </w:rPr>
        <w:t xml:space="preserve"> between 30-45 minute duration. </w:t>
      </w:r>
      <w:r w:rsidRPr="006B2FC7">
        <w:rPr>
          <w:rFonts w:ascii="Arial" w:hAnsi="Arial" w:cs="Arial"/>
          <w:sz w:val="24"/>
          <w:szCs w:val="24"/>
          <w:lang w:val="en-GB"/>
        </w:rPr>
        <w:t xml:space="preserve">An audio recording </w:t>
      </w:r>
      <w:r>
        <w:rPr>
          <w:rFonts w:ascii="Arial" w:hAnsi="Arial" w:cs="Arial"/>
          <w:sz w:val="24"/>
          <w:szCs w:val="24"/>
          <w:lang w:val="en-GB"/>
        </w:rPr>
        <w:t>was</w:t>
      </w:r>
      <w:r w:rsidRPr="006B2FC7">
        <w:rPr>
          <w:rFonts w:ascii="Arial" w:hAnsi="Arial" w:cs="Arial"/>
          <w:sz w:val="24"/>
          <w:szCs w:val="24"/>
          <w:lang w:val="en-GB"/>
        </w:rPr>
        <w:t xml:space="preserve"> used to record the qualitative interviews </w:t>
      </w:r>
      <w:r>
        <w:rPr>
          <w:rFonts w:ascii="Arial" w:hAnsi="Arial" w:cs="Arial"/>
          <w:sz w:val="24"/>
          <w:szCs w:val="24"/>
          <w:lang w:val="en-GB"/>
        </w:rPr>
        <w:t>in order to</w:t>
      </w:r>
      <w:r w:rsidRPr="006B2FC7">
        <w:rPr>
          <w:rFonts w:ascii="Arial" w:hAnsi="Arial" w:cs="Arial"/>
          <w:sz w:val="24"/>
          <w:szCs w:val="24"/>
          <w:lang w:val="en-GB"/>
        </w:rPr>
        <w:t xml:space="preserve"> be transcribed later. </w:t>
      </w:r>
      <w:r w:rsidRPr="006B2FC7">
        <w:rPr>
          <w:rFonts w:ascii="Arial" w:hAnsi="Arial" w:cs="Arial"/>
          <w:color w:val="000000"/>
          <w:sz w:val="24"/>
          <w:szCs w:val="24"/>
          <w:shd w:val="clear" w:color="auto" w:fill="FFFFFF"/>
          <w:lang w:val="en-GB"/>
        </w:rPr>
        <w:t xml:space="preserve">To enhance levels of security, </w:t>
      </w:r>
      <w:r w:rsidRPr="006B2FC7">
        <w:rPr>
          <w:rFonts w:ascii="Arial" w:hAnsi="Arial" w:cs="Arial"/>
          <w:sz w:val="24"/>
          <w:szCs w:val="24"/>
          <w:lang w:val="en-GB"/>
        </w:rPr>
        <w:t xml:space="preserve">the participants </w:t>
      </w:r>
      <w:r>
        <w:rPr>
          <w:rFonts w:ascii="Arial" w:hAnsi="Arial" w:cs="Arial"/>
          <w:sz w:val="24"/>
          <w:szCs w:val="24"/>
          <w:lang w:val="en-GB"/>
        </w:rPr>
        <w:t>were</w:t>
      </w:r>
      <w:r w:rsidRPr="006B2FC7">
        <w:rPr>
          <w:rFonts w:ascii="Arial" w:hAnsi="Arial" w:cs="Arial"/>
          <w:sz w:val="24"/>
          <w:szCs w:val="24"/>
          <w:lang w:val="en-GB"/>
        </w:rPr>
        <w:t xml:space="preserve"> asked not to name people or sites so that the data file will already be anonymous to some degree. </w:t>
      </w:r>
    </w:p>
    <w:p w14:paraId="163363BA" w14:textId="77777777" w:rsidR="00EB7F85" w:rsidRPr="007965E9" w:rsidRDefault="00EB7F85" w:rsidP="00EB7F85">
      <w:pPr>
        <w:pStyle w:val="Heading5"/>
        <w:spacing w:line="360" w:lineRule="auto"/>
        <w:rPr>
          <w:rFonts w:asciiTheme="minorBidi" w:hAnsiTheme="minorBidi" w:cstheme="minorBidi"/>
          <w:sz w:val="24"/>
          <w:szCs w:val="24"/>
          <w:lang w:val="en-GB"/>
        </w:rPr>
      </w:pPr>
      <w:r w:rsidRPr="007965E9">
        <w:rPr>
          <w:rFonts w:asciiTheme="minorBidi" w:hAnsiTheme="minorBidi" w:cstheme="minorBidi"/>
          <w:sz w:val="24"/>
          <w:szCs w:val="24"/>
          <w:lang w:val="en-GB"/>
        </w:rPr>
        <w:t>Administering the procedure</w:t>
      </w:r>
    </w:p>
    <w:p w14:paraId="4C85A59F" w14:textId="77777777" w:rsidR="00EB7F85" w:rsidRPr="00BB62F5" w:rsidRDefault="00EB7F85" w:rsidP="00EB7F85">
      <w:pPr>
        <w:spacing w:line="360" w:lineRule="auto"/>
        <w:jc w:val="both"/>
        <w:rPr>
          <w:rFonts w:ascii="Arial" w:hAnsi="Arial" w:cs="Arial"/>
          <w:color w:val="000000"/>
          <w:sz w:val="24"/>
          <w:szCs w:val="24"/>
          <w:lang w:val="en-GB"/>
        </w:rPr>
      </w:pPr>
      <w:r w:rsidRPr="006B2FC7">
        <w:rPr>
          <w:rFonts w:ascii="Arial" w:hAnsi="Arial" w:cs="Arial"/>
          <w:color w:val="000000"/>
          <w:sz w:val="24"/>
          <w:szCs w:val="24"/>
          <w:lang w:val="en-GB"/>
        </w:rPr>
        <w:t>The interview start</w:t>
      </w:r>
      <w:r>
        <w:rPr>
          <w:rFonts w:ascii="Arial" w:hAnsi="Arial" w:cs="Arial"/>
          <w:color w:val="000000"/>
          <w:sz w:val="24"/>
          <w:szCs w:val="24"/>
          <w:lang w:val="en-GB"/>
        </w:rPr>
        <w:t>ed</w:t>
      </w:r>
      <w:r w:rsidRPr="006B2FC7">
        <w:rPr>
          <w:rFonts w:ascii="Arial" w:hAnsi="Arial" w:cs="Arial"/>
          <w:color w:val="000000"/>
          <w:sz w:val="24"/>
          <w:szCs w:val="24"/>
          <w:lang w:val="en-GB"/>
        </w:rPr>
        <w:t xml:space="preserve"> by explaining both the purpose of the research and its aims, and complete the consent forms, to build up trust. The interview </w:t>
      </w:r>
      <w:r>
        <w:rPr>
          <w:rFonts w:ascii="Arial" w:hAnsi="Arial" w:cs="Arial"/>
          <w:color w:val="000000"/>
          <w:sz w:val="24"/>
          <w:szCs w:val="24"/>
          <w:lang w:val="en-GB"/>
        </w:rPr>
        <w:t>was planning to</w:t>
      </w:r>
      <w:r w:rsidRPr="006B2FC7">
        <w:rPr>
          <w:rFonts w:ascii="Arial" w:hAnsi="Arial" w:cs="Arial"/>
          <w:color w:val="000000"/>
          <w:sz w:val="24"/>
          <w:szCs w:val="24"/>
          <w:lang w:val="en-GB"/>
        </w:rPr>
        <w:t xml:space="preserve"> be face-to-face in the working location of the participants, however, with the Covid-19 this procedure </w:t>
      </w:r>
      <w:r>
        <w:rPr>
          <w:rFonts w:ascii="Arial" w:hAnsi="Arial" w:cs="Arial"/>
          <w:color w:val="000000"/>
          <w:sz w:val="24"/>
          <w:szCs w:val="24"/>
          <w:lang w:val="en-GB"/>
        </w:rPr>
        <w:t>was</w:t>
      </w:r>
      <w:r w:rsidRPr="006B2FC7">
        <w:rPr>
          <w:rFonts w:ascii="Arial" w:hAnsi="Arial" w:cs="Arial"/>
          <w:color w:val="000000"/>
          <w:sz w:val="24"/>
          <w:szCs w:val="24"/>
          <w:lang w:val="en-GB"/>
        </w:rPr>
        <w:t xml:space="preserve"> difficult to administer. Therefore, video calls </w:t>
      </w:r>
      <w:r>
        <w:rPr>
          <w:rFonts w:ascii="Arial" w:hAnsi="Arial" w:cs="Arial"/>
          <w:color w:val="000000"/>
          <w:sz w:val="24"/>
          <w:szCs w:val="24"/>
          <w:lang w:val="en-GB"/>
        </w:rPr>
        <w:t>via Google meet were</w:t>
      </w:r>
      <w:r w:rsidRPr="006B2FC7">
        <w:rPr>
          <w:rFonts w:ascii="Arial" w:hAnsi="Arial" w:cs="Arial"/>
          <w:color w:val="000000"/>
          <w:sz w:val="24"/>
          <w:szCs w:val="24"/>
          <w:lang w:val="en-GB"/>
        </w:rPr>
        <w:t xml:space="preserve"> </w:t>
      </w:r>
      <w:r>
        <w:rPr>
          <w:rFonts w:ascii="Arial" w:hAnsi="Arial" w:cs="Arial"/>
          <w:color w:val="000000"/>
          <w:sz w:val="24"/>
          <w:szCs w:val="24"/>
          <w:lang w:val="en-GB"/>
        </w:rPr>
        <w:t xml:space="preserve">applied to </w:t>
      </w:r>
      <w:r w:rsidRPr="006B2FC7">
        <w:rPr>
          <w:rFonts w:ascii="Arial" w:hAnsi="Arial" w:cs="Arial"/>
          <w:color w:val="000000"/>
          <w:sz w:val="24"/>
          <w:szCs w:val="24"/>
          <w:lang w:val="en-GB"/>
        </w:rPr>
        <w:t xml:space="preserve">be an alternative method to conduct face to face interview remotely. </w:t>
      </w:r>
    </w:p>
    <w:p w14:paraId="3E2F9071" w14:textId="77777777" w:rsidR="00EB7F85" w:rsidRPr="007965E9" w:rsidRDefault="00EB7F85" w:rsidP="00EB7F85">
      <w:pPr>
        <w:pStyle w:val="Heading5"/>
        <w:spacing w:line="360" w:lineRule="auto"/>
        <w:rPr>
          <w:rFonts w:asciiTheme="minorBidi" w:hAnsiTheme="minorBidi" w:cstheme="minorBidi"/>
          <w:sz w:val="24"/>
          <w:szCs w:val="24"/>
        </w:rPr>
      </w:pPr>
      <w:r w:rsidRPr="007965E9">
        <w:rPr>
          <w:rFonts w:asciiTheme="minorBidi" w:hAnsiTheme="minorBidi" w:cstheme="minorBidi"/>
          <w:sz w:val="24"/>
          <w:szCs w:val="24"/>
        </w:rPr>
        <w:t>Interview questions</w:t>
      </w:r>
    </w:p>
    <w:p w14:paraId="41C5040F" w14:textId="77777777" w:rsidR="00EB7F85" w:rsidRPr="006B2FC7" w:rsidRDefault="00EB7F85" w:rsidP="00EB7F85">
      <w:pPr>
        <w:spacing w:line="360" w:lineRule="auto"/>
        <w:jc w:val="both"/>
        <w:rPr>
          <w:rFonts w:ascii="Arial" w:hAnsi="Arial" w:cs="Arial"/>
          <w:sz w:val="24"/>
          <w:szCs w:val="24"/>
          <w:lang w:val="en-GB"/>
        </w:rPr>
      </w:pPr>
      <w:r w:rsidRPr="006B2FC7">
        <w:rPr>
          <w:rFonts w:ascii="Arial" w:hAnsi="Arial" w:cs="Arial"/>
          <w:color w:val="000000"/>
          <w:sz w:val="24"/>
          <w:szCs w:val="24"/>
          <w:shd w:val="clear" w:color="auto" w:fill="FFFFFF"/>
          <w:lang w:val="en-GB"/>
        </w:rPr>
        <w:t xml:space="preserve">Interviews </w:t>
      </w:r>
      <w:r>
        <w:rPr>
          <w:rFonts w:ascii="Arial" w:hAnsi="Arial" w:cs="Arial"/>
          <w:color w:val="000000"/>
          <w:sz w:val="24"/>
          <w:szCs w:val="24"/>
          <w:shd w:val="clear" w:color="auto" w:fill="FFFFFF"/>
          <w:lang w:val="en-GB"/>
        </w:rPr>
        <w:t>were</w:t>
      </w:r>
      <w:r w:rsidRPr="006B2FC7">
        <w:rPr>
          <w:rFonts w:ascii="Arial" w:hAnsi="Arial" w:cs="Arial"/>
          <w:color w:val="000000"/>
          <w:sz w:val="24"/>
          <w:szCs w:val="24"/>
          <w:shd w:val="clear" w:color="auto" w:fill="FFFFFF"/>
          <w:lang w:val="en-GB"/>
        </w:rPr>
        <w:t xml:space="preserve"> conducted with a protocol that includes open-ended questions and probes that will be asked if needed. </w:t>
      </w:r>
      <w:r w:rsidRPr="006B2FC7">
        <w:rPr>
          <w:rFonts w:ascii="Arial" w:hAnsi="Arial" w:cs="Arial"/>
          <w:sz w:val="24"/>
          <w:szCs w:val="24"/>
          <w:lang w:val="en-GB"/>
        </w:rPr>
        <w:t xml:space="preserve">Open-ended questions </w:t>
      </w:r>
      <w:r>
        <w:rPr>
          <w:rFonts w:ascii="Arial" w:hAnsi="Arial" w:cs="Arial"/>
          <w:sz w:val="24"/>
          <w:szCs w:val="24"/>
          <w:lang w:val="en-GB"/>
        </w:rPr>
        <w:t>was</w:t>
      </w:r>
      <w:r w:rsidRPr="006B2FC7">
        <w:rPr>
          <w:rFonts w:ascii="Arial" w:hAnsi="Arial" w:cs="Arial"/>
          <w:sz w:val="24"/>
          <w:szCs w:val="24"/>
          <w:lang w:val="en-GB"/>
        </w:rPr>
        <w:t xml:space="preserve"> designed in English and Arabic, and the interviewees </w:t>
      </w:r>
      <w:r>
        <w:rPr>
          <w:rFonts w:ascii="Arial" w:hAnsi="Arial" w:cs="Arial"/>
          <w:sz w:val="24"/>
          <w:szCs w:val="24"/>
          <w:lang w:val="en-GB"/>
        </w:rPr>
        <w:t>were</w:t>
      </w:r>
      <w:r w:rsidRPr="006B2FC7">
        <w:rPr>
          <w:rFonts w:ascii="Arial" w:hAnsi="Arial" w:cs="Arial"/>
          <w:sz w:val="24"/>
          <w:szCs w:val="24"/>
          <w:lang w:val="en-GB"/>
        </w:rPr>
        <w:t xml:space="preserve"> asked which language they prefer for the interview. In cases of using Arabic, the translation to the English </w:t>
      </w:r>
      <w:r>
        <w:rPr>
          <w:rFonts w:ascii="Arial" w:hAnsi="Arial" w:cs="Arial"/>
          <w:sz w:val="24"/>
          <w:szCs w:val="24"/>
          <w:lang w:val="en-GB"/>
        </w:rPr>
        <w:t>was</w:t>
      </w:r>
      <w:r w:rsidRPr="006B2FC7">
        <w:rPr>
          <w:rFonts w:ascii="Arial" w:hAnsi="Arial" w:cs="Arial"/>
          <w:sz w:val="24"/>
          <w:szCs w:val="24"/>
          <w:lang w:val="en-GB"/>
        </w:rPr>
        <w:t xml:space="preserve"> done immediately after finishing the collecting data</w:t>
      </w:r>
      <w:r>
        <w:rPr>
          <w:rFonts w:ascii="Arial" w:hAnsi="Arial" w:cs="Arial"/>
          <w:sz w:val="24"/>
          <w:szCs w:val="24"/>
          <w:lang w:val="en-GB"/>
        </w:rPr>
        <w:t xml:space="preserve"> and sent it to the participant for confirmation on the translation.  </w:t>
      </w:r>
      <w:r w:rsidRPr="006B2FC7">
        <w:rPr>
          <w:rFonts w:ascii="Arial" w:hAnsi="Arial" w:cs="Arial"/>
          <w:sz w:val="24"/>
          <w:szCs w:val="24"/>
          <w:lang w:val="en-GB"/>
        </w:rPr>
        <w:t xml:space="preserve">  </w:t>
      </w:r>
    </w:p>
    <w:p w14:paraId="3E399874" w14:textId="77777777" w:rsidR="00EB7F85" w:rsidRPr="006B2FC7" w:rsidRDefault="00EB7F85" w:rsidP="00EB7F85">
      <w:pPr>
        <w:spacing w:line="360" w:lineRule="auto"/>
        <w:jc w:val="both"/>
        <w:rPr>
          <w:rFonts w:ascii="Arial" w:hAnsi="Arial" w:cs="Arial"/>
          <w:sz w:val="24"/>
          <w:szCs w:val="24"/>
          <w:lang w:val="en-GB"/>
        </w:rPr>
      </w:pPr>
      <w:r w:rsidRPr="006B2FC7">
        <w:rPr>
          <w:rFonts w:ascii="Arial" w:hAnsi="Arial" w:cs="Arial"/>
          <w:sz w:val="24"/>
          <w:szCs w:val="24"/>
        </w:rPr>
        <w:t>Interview questions start</w:t>
      </w:r>
      <w:r>
        <w:rPr>
          <w:rFonts w:ascii="Arial" w:hAnsi="Arial" w:cs="Arial"/>
          <w:sz w:val="24"/>
          <w:szCs w:val="24"/>
        </w:rPr>
        <w:t>ed</w:t>
      </w:r>
      <w:r w:rsidRPr="006B2FC7">
        <w:rPr>
          <w:rFonts w:ascii="Arial" w:hAnsi="Arial" w:cs="Arial"/>
          <w:sz w:val="24"/>
          <w:szCs w:val="24"/>
        </w:rPr>
        <w:t xml:space="preserve"> with very broad open questions. This aims to provide a comfortable, non-threatening way into the interview, as well as to get their own perspective and gain a sense of their role in providing healthcare to patients with diabetes. </w:t>
      </w:r>
    </w:p>
    <w:p w14:paraId="429A6E49" w14:textId="77777777" w:rsidR="00EB7F85" w:rsidRPr="006B2FC7" w:rsidRDefault="00EB7F85" w:rsidP="00EB7F85">
      <w:pPr>
        <w:spacing w:line="360" w:lineRule="auto"/>
        <w:jc w:val="both"/>
        <w:rPr>
          <w:rFonts w:ascii="Arial" w:hAnsi="Arial" w:cs="Arial"/>
          <w:color w:val="000000"/>
          <w:sz w:val="24"/>
          <w:szCs w:val="24"/>
          <w:shd w:val="clear" w:color="auto" w:fill="FFFFFF"/>
          <w:lang w:val="en-GB"/>
        </w:rPr>
      </w:pPr>
      <w:r w:rsidRPr="006B2FC7">
        <w:rPr>
          <w:rFonts w:ascii="Arial" w:hAnsi="Arial" w:cs="Arial"/>
          <w:color w:val="000000"/>
          <w:sz w:val="24"/>
          <w:szCs w:val="24"/>
          <w:shd w:val="clear" w:color="auto" w:fill="FFFFFF"/>
          <w:lang w:val="en-GB"/>
        </w:rPr>
        <w:t xml:space="preserve">Interviewees </w:t>
      </w:r>
      <w:r>
        <w:rPr>
          <w:rFonts w:ascii="Arial" w:hAnsi="Arial" w:cs="Arial"/>
          <w:color w:val="000000"/>
          <w:sz w:val="24"/>
          <w:szCs w:val="24"/>
          <w:shd w:val="clear" w:color="auto" w:fill="FFFFFF"/>
          <w:lang w:val="en-GB"/>
        </w:rPr>
        <w:t>were</w:t>
      </w:r>
      <w:r w:rsidRPr="006B2FC7">
        <w:rPr>
          <w:rFonts w:ascii="Arial" w:hAnsi="Arial" w:cs="Arial"/>
          <w:color w:val="000000"/>
          <w:sz w:val="24"/>
          <w:szCs w:val="24"/>
          <w:shd w:val="clear" w:color="auto" w:fill="FFFFFF"/>
          <w:lang w:val="en-GB"/>
        </w:rPr>
        <w:t xml:space="preserve"> asked a series of questions that relate to their responses to the questionnaire. They </w:t>
      </w:r>
      <w:r>
        <w:rPr>
          <w:rFonts w:ascii="Arial" w:hAnsi="Arial" w:cs="Arial"/>
          <w:color w:val="000000"/>
          <w:sz w:val="24"/>
          <w:szCs w:val="24"/>
          <w:shd w:val="clear" w:color="auto" w:fill="FFFFFF"/>
          <w:lang w:val="en-GB"/>
        </w:rPr>
        <w:t>were also</w:t>
      </w:r>
      <w:r w:rsidRPr="006B2FC7">
        <w:rPr>
          <w:rFonts w:ascii="Arial" w:hAnsi="Arial" w:cs="Arial"/>
          <w:color w:val="000000"/>
          <w:sz w:val="24"/>
          <w:szCs w:val="24"/>
          <w:shd w:val="clear" w:color="auto" w:fill="FFFFFF"/>
          <w:lang w:val="en-GB"/>
        </w:rPr>
        <w:t xml:space="preserve"> be prompted to comment on their experiences with pharmacists in their primary care practice, both positive and negative, and their points of view regarding the potential benefits of adding pharmacists to the diabetes care team. </w:t>
      </w:r>
    </w:p>
    <w:p w14:paraId="3985BFAF" w14:textId="77777777" w:rsidR="00EB7F85" w:rsidRDefault="00EB7F85" w:rsidP="00EB7F85">
      <w:pPr>
        <w:spacing w:line="360" w:lineRule="auto"/>
        <w:jc w:val="both"/>
        <w:rPr>
          <w:rFonts w:ascii="Arial" w:hAnsi="Arial" w:cs="Arial"/>
          <w:color w:val="000000"/>
          <w:sz w:val="24"/>
          <w:szCs w:val="24"/>
          <w:shd w:val="clear" w:color="auto" w:fill="FFFFFF"/>
          <w:lang w:val="en-GB"/>
        </w:rPr>
      </w:pPr>
      <w:r w:rsidRPr="006B2FC7">
        <w:rPr>
          <w:rFonts w:ascii="Arial" w:hAnsi="Arial" w:cs="Arial"/>
          <w:color w:val="000000"/>
          <w:sz w:val="24"/>
          <w:szCs w:val="24"/>
          <w:shd w:val="clear" w:color="auto" w:fill="FFFFFF"/>
          <w:lang w:val="en-GB"/>
        </w:rPr>
        <w:t>Information</w:t>
      </w:r>
      <w:r>
        <w:rPr>
          <w:rFonts w:ascii="Arial" w:hAnsi="Arial" w:cs="Arial"/>
          <w:color w:val="000000"/>
          <w:sz w:val="24"/>
          <w:szCs w:val="24"/>
          <w:shd w:val="clear" w:color="auto" w:fill="FFFFFF"/>
          <w:lang w:val="en-GB"/>
        </w:rPr>
        <w:t xml:space="preserve"> </w:t>
      </w:r>
      <w:r w:rsidRPr="006B2FC7">
        <w:rPr>
          <w:rFonts w:ascii="Arial" w:hAnsi="Arial" w:cs="Arial"/>
          <w:color w:val="000000"/>
          <w:sz w:val="24"/>
          <w:szCs w:val="24"/>
          <w:shd w:val="clear" w:color="auto" w:fill="FFFFFF"/>
          <w:lang w:val="en-GB"/>
        </w:rPr>
        <w:t xml:space="preserve">that needs to be explained and further explored </w:t>
      </w:r>
      <w:r>
        <w:rPr>
          <w:rFonts w:ascii="Arial" w:hAnsi="Arial" w:cs="Arial"/>
          <w:color w:val="000000"/>
          <w:sz w:val="24"/>
          <w:szCs w:val="24"/>
          <w:shd w:val="clear" w:color="auto" w:fill="FFFFFF"/>
          <w:lang w:val="en-GB"/>
        </w:rPr>
        <w:t>from the</w:t>
      </w:r>
      <w:r w:rsidRPr="006B2FC7">
        <w:rPr>
          <w:rFonts w:ascii="Arial" w:hAnsi="Arial" w:cs="Arial"/>
          <w:color w:val="000000"/>
          <w:sz w:val="24"/>
          <w:szCs w:val="24"/>
          <w:shd w:val="clear" w:color="auto" w:fill="FFFFFF"/>
          <w:lang w:val="en-GB"/>
        </w:rPr>
        <w:t xml:space="preserve"> quantitative results </w:t>
      </w:r>
      <w:r>
        <w:rPr>
          <w:rFonts w:ascii="Arial" w:hAnsi="Arial" w:cs="Arial"/>
          <w:color w:val="000000"/>
          <w:sz w:val="24"/>
          <w:szCs w:val="24"/>
          <w:shd w:val="clear" w:color="auto" w:fill="FFFFFF"/>
          <w:lang w:val="en-GB"/>
        </w:rPr>
        <w:t>was covered</w:t>
      </w:r>
      <w:r w:rsidRPr="006B2FC7">
        <w:rPr>
          <w:rFonts w:ascii="Arial" w:hAnsi="Arial" w:cs="Arial"/>
          <w:color w:val="000000"/>
          <w:sz w:val="24"/>
          <w:szCs w:val="24"/>
          <w:shd w:val="clear" w:color="auto" w:fill="FFFFFF"/>
          <w:lang w:val="en-GB"/>
        </w:rPr>
        <w:t xml:space="preserve">. </w:t>
      </w:r>
      <w:r>
        <w:rPr>
          <w:rFonts w:ascii="Arial" w:hAnsi="Arial" w:cs="Arial"/>
          <w:color w:val="000000"/>
          <w:sz w:val="24"/>
          <w:szCs w:val="24"/>
          <w:shd w:val="clear" w:color="auto" w:fill="FFFFFF"/>
          <w:lang w:val="en-GB"/>
        </w:rPr>
        <w:t>For example,</w:t>
      </w:r>
      <w:r w:rsidRPr="006B2FC7">
        <w:rPr>
          <w:rFonts w:ascii="Arial" w:hAnsi="Arial" w:cs="Arial"/>
          <w:color w:val="000000"/>
          <w:sz w:val="24"/>
          <w:szCs w:val="24"/>
          <w:shd w:val="clear" w:color="auto" w:fill="FFFFFF"/>
          <w:lang w:val="en-GB"/>
        </w:rPr>
        <w:t xml:space="preserve"> questions about the interviewees’ opinions on the involvement of pharmacists in team-based diabetes care, their views about the quality of communication by pharmacists, and their perceptions of the medication management service conducted by pharmacists.</w:t>
      </w:r>
    </w:p>
    <w:p w14:paraId="5B177C42" w14:textId="77777777" w:rsidR="00EB7F85" w:rsidRDefault="00EB7F85" w:rsidP="00EB7F85">
      <w:pPr>
        <w:spacing w:line="360" w:lineRule="auto"/>
        <w:jc w:val="both"/>
        <w:rPr>
          <w:rFonts w:ascii="Arial" w:hAnsi="Arial" w:cs="Arial"/>
          <w:color w:val="000000"/>
          <w:sz w:val="24"/>
          <w:szCs w:val="24"/>
          <w:shd w:val="clear" w:color="auto" w:fill="FFFFFF"/>
          <w:lang w:val="en-GB"/>
        </w:rPr>
      </w:pPr>
    </w:p>
    <w:p w14:paraId="2F06C818" w14:textId="77777777" w:rsidR="00EB7F85" w:rsidRDefault="00EB7F85" w:rsidP="00EB7F85">
      <w:pPr>
        <w:pStyle w:val="Heading3"/>
        <w:numPr>
          <w:ilvl w:val="2"/>
          <w:numId w:val="14"/>
        </w:numPr>
        <w:tabs>
          <w:tab w:val="left" w:pos="900"/>
        </w:tabs>
        <w:spacing w:line="257" w:lineRule="auto"/>
        <w:ind w:left="0" w:firstLine="0"/>
        <w:rPr>
          <w:shd w:val="clear" w:color="auto" w:fill="FFFFFF"/>
          <w:lang w:val="en-GB"/>
        </w:rPr>
      </w:pPr>
      <w:bookmarkStart w:id="118" w:name="_Toc122626398"/>
      <w:bookmarkStart w:id="119" w:name="_Toc153894179"/>
      <w:r>
        <w:rPr>
          <w:shd w:val="clear" w:color="auto" w:fill="FFFFFF"/>
          <w:lang w:val="en-GB"/>
        </w:rPr>
        <w:t>Data analysis techniques</w:t>
      </w:r>
      <w:bookmarkEnd w:id="118"/>
      <w:bookmarkEnd w:id="119"/>
      <w:r>
        <w:rPr>
          <w:shd w:val="clear" w:color="auto" w:fill="FFFFFF"/>
          <w:lang w:val="en-GB"/>
        </w:rPr>
        <w:t xml:space="preserve"> </w:t>
      </w:r>
    </w:p>
    <w:p w14:paraId="32370B93" w14:textId="77777777" w:rsidR="00EB7F85" w:rsidRDefault="00EB7F85" w:rsidP="00EB7F85">
      <w:pPr>
        <w:pStyle w:val="NormalWeb"/>
        <w:spacing w:line="360" w:lineRule="auto"/>
        <w:jc w:val="both"/>
        <w:rPr>
          <w:rFonts w:ascii="Arial" w:eastAsiaTheme="minorHAnsi" w:hAnsi="Arial" w:cs="Arial"/>
          <w:color w:val="000000"/>
          <w:shd w:val="clear" w:color="auto" w:fill="FFFFFF"/>
          <w:lang w:val="en-GB"/>
        </w:rPr>
      </w:pPr>
      <w:r w:rsidRPr="002A7D3C">
        <w:rPr>
          <w:rFonts w:ascii="Arial" w:eastAsiaTheme="minorHAnsi" w:hAnsi="Arial" w:cs="Arial"/>
          <w:color w:val="000000"/>
          <w:shd w:val="clear" w:color="auto" w:fill="FFFFFF"/>
          <w:lang w:val="en-GB"/>
        </w:rPr>
        <w:t>This research used a mixed-method approach</w:t>
      </w:r>
      <w:r>
        <w:rPr>
          <w:rFonts w:ascii="Arial" w:eastAsiaTheme="minorHAnsi" w:hAnsi="Arial" w:cs="Arial"/>
          <w:color w:val="000000"/>
          <w:shd w:val="clear" w:color="auto" w:fill="FFFFFF"/>
          <w:lang w:val="en-GB"/>
        </w:rPr>
        <w:t>,</w:t>
      </w:r>
      <w:r w:rsidRPr="002A7D3C">
        <w:rPr>
          <w:rFonts w:ascii="Arial" w:eastAsiaTheme="minorHAnsi" w:hAnsi="Arial" w:cs="Arial"/>
          <w:color w:val="000000"/>
          <w:shd w:val="clear" w:color="auto" w:fill="FFFFFF"/>
          <w:lang w:val="en-GB"/>
        </w:rPr>
        <w:t xml:space="preserve"> to analyse quantitative and qualitative data study that involved three phases. The first phase (quantitative phase) included descriptive and analytical analysis of the participants’ response</w:t>
      </w:r>
      <w:r>
        <w:rPr>
          <w:rFonts w:ascii="Arial" w:eastAsiaTheme="minorHAnsi" w:hAnsi="Arial" w:cs="Arial"/>
          <w:color w:val="000000"/>
          <w:shd w:val="clear" w:color="auto" w:fill="FFFFFF"/>
          <w:lang w:val="en-GB"/>
        </w:rPr>
        <w:t>s</w:t>
      </w:r>
      <w:r w:rsidRPr="002A7D3C">
        <w:rPr>
          <w:rFonts w:ascii="Arial" w:eastAsiaTheme="minorHAnsi" w:hAnsi="Arial" w:cs="Arial"/>
          <w:color w:val="000000"/>
          <w:shd w:val="clear" w:color="auto" w:fill="FFFFFF"/>
          <w:lang w:val="en-GB"/>
        </w:rPr>
        <w:t xml:space="preserve"> which </w:t>
      </w:r>
      <w:r>
        <w:rPr>
          <w:rFonts w:ascii="Arial" w:eastAsiaTheme="minorHAnsi" w:hAnsi="Arial" w:cs="Arial"/>
          <w:color w:val="000000"/>
          <w:shd w:val="clear" w:color="auto" w:fill="FFFFFF"/>
          <w:lang w:val="en-GB"/>
        </w:rPr>
        <w:t xml:space="preserve">were </w:t>
      </w:r>
      <w:r w:rsidRPr="002A7D3C">
        <w:rPr>
          <w:rFonts w:ascii="Arial" w:eastAsiaTheme="minorHAnsi" w:hAnsi="Arial" w:cs="Arial"/>
          <w:color w:val="000000"/>
          <w:shd w:val="clear" w:color="auto" w:fill="FFFFFF"/>
          <w:lang w:val="en-GB"/>
        </w:rPr>
        <w:t>collected via questionnaire. The next phase involved analys</w:t>
      </w:r>
      <w:r>
        <w:rPr>
          <w:rFonts w:ascii="Arial" w:eastAsiaTheme="minorHAnsi" w:hAnsi="Arial" w:cs="Arial"/>
          <w:color w:val="000000"/>
          <w:shd w:val="clear" w:color="auto" w:fill="FFFFFF"/>
          <w:lang w:val="en-GB"/>
        </w:rPr>
        <w:t>is of</w:t>
      </w:r>
      <w:r w:rsidRPr="002A7D3C">
        <w:rPr>
          <w:rFonts w:ascii="Arial" w:eastAsiaTheme="minorHAnsi" w:hAnsi="Arial" w:cs="Arial"/>
          <w:color w:val="000000"/>
          <w:shd w:val="clear" w:color="auto" w:fill="FFFFFF"/>
          <w:lang w:val="en-GB"/>
        </w:rPr>
        <w:t xml:space="preserve"> qualitative interview</w:t>
      </w:r>
      <w:r>
        <w:rPr>
          <w:rFonts w:ascii="Arial" w:eastAsiaTheme="minorHAnsi" w:hAnsi="Arial" w:cs="Arial"/>
          <w:color w:val="000000"/>
          <w:shd w:val="clear" w:color="auto" w:fill="FFFFFF"/>
          <w:lang w:val="en-GB"/>
        </w:rPr>
        <w:t>s</w:t>
      </w:r>
      <w:r w:rsidRPr="002A7D3C">
        <w:rPr>
          <w:rFonts w:ascii="Arial" w:eastAsiaTheme="minorHAnsi" w:hAnsi="Arial" w:cs="Arial"/>
          <w:color w:val="000000"/>
          <w:shd w:val="clear" w:color="auto" w:fill="FFFFFF"/>
          <w:lang w:val="en-GB"/>
        </w:rPr>
        <w:t xml:space="preserve"> using Braun and Clark’s (2006) 6-stage thematic analysis. The third phase is an integration of data via the connection between the quantitative and qualitative phases. Following this approach help</w:t>
      </w:r>
      <w:r>
        <w:rPr>
          <w:rFonts w:ascii="Arial" w:eastAsiaTheme="minorHAnsi" w:hAnsi="Arial" w:cs="Arial"/>
          <w:color w:val="000000"/>
          <w:shd w:val="clear" w:color="auto" w:fill="FFFFFF"/>
          <w:lang w:val="en-GB"/>
        </w:rPr>
        <w:t>ed</w:t>
      </w:r>
      <w:r w:rsidRPr="002A7D3C">
        <w:rPr>
          <w:rFonts w:ascii="Arial" w:eastAsiaTheme="minorHAnsi" w:hAnsi="Arial" w:cs="Arial"/>
          <w:color w:val="000000"/>
          <w:shd w:val="clear" w:color="auto" w:fill="FFFFFF"/>
          <w:lang w:val="en-GB"/>
        </w:rPr>
        <w:t xml:space="preserve"> the researcher to understand the research phenomenon and achieve more meaningful explanations and give the best answers to the research questions. </w:t>
      </w:r>
    </w:p>
    <w:p w14:paraId="04C3CB7D" w14:textId="77777777" w:rsidR="00EB7F85" w:rsidRPr="008F551B" w:rsidRDefault="00EB7F85" w:rsidP="00EB7F85">
      <w:pPr>
        <w:pStyle w:val="NormalWeb"/>
        <w:spacing w:line="360" w:lineRule="auto"/>
        <w:jc w:val="both"/>
        <w:rPr>
          <w:rFonts w:ascii="Arial" w:eastAsiaTheme="minorHAnsi" w:hAnsi="Arial" w:cs="Arial"/>
          <w:color w:val="000000"/>
          <w:shd w:val="clear" w:color="auto" w:fill="FFFFFF"/>
          <w:lang w:val="en-GB"/>
        </w:rPr>
      </w:pPr>
      <w:r>
        <w:rPr>
          <w:rFonts w:ascii="Arial" w:eastAsiaTheme="minorHAnsi" w:hAnsi="Arial" w:cs="Arial"/>
          <w:color w:val="000000"/>
          <w:shd w:val="clear" w:color="auto" w:fill="FFFFFF"/>
          <w:lang w:val="en-GB"/>
        </w:rPr>
        <w:t xml:space="preserve">A discussion of mixed methods data analysis and potential challenges is presented below. </w:t>
      </w:r>
    </w:p>
    <w:p w14:paraId="66624004" w14:textId="77777777" w:rsidR="00EB7F85" w:rsidRDefault="00EB7F85" w:rsidP="00EB7F85">
      <w:pPr>
        <w:spacing w:line="360" w:lineRule="auto"/>
        <w:rPr>
          <w:rFonts w:ascii="Arial" w:hAnsi="Arial" w:cs="Arial"/>
          <w:sz w:val="24"/>
          <w:szCs w:val="24"/>
        </w:rPr>
      </w:pPr>
    </w:p>
    <w:p w14:paraId="623ECFD7" w14:textId="77777777" w:rsidR="00EB7F85" w:rsidRDefault="00EB7F85" w:rsidP="00876389">
      <w:pPr>
        <w:pStyle w:val="Heading3"/>
        <w:numPr>
          <w:ilvl w:val="2"/>
          <w:numId w:val="14"/>
        </w:numPr>
        <w:tabs>
          <w:tab w:val="left" w:pos="900"/>
        </w:tabs>
        <w:spacing w:line="257" w:lineRule="auto"/>
        <w:ind w:left="360" w:hanging="360"/>
      </w:pPr>
      <w:bookmarkStart w:id="120" w:name="_Toc153894180"/>
      <w:r w:rsidRPr="00416870">
        <w:t xml:space="preserve">Quantitative </w:t>
      </w:r>
      <w:r>
        <w:t>d</w:t>
      </w:r>
      <w:r w:rsidRPr="00416870">
        <w:t>ata analysis</w:t>
      </w:r>
      <w:bookmarkEnd w:id="120"/>
    </w:p>
    <w:p w14:paraId="1EB844A6" w14:textId="77777777" w:rsidR="00EB7F85" w:rsidRPr="008C480B" w:rsidRDefault="00EB7F85" w:rsidP="00EB7F85"/>
    <w:p w14:paraId="1E2E4A1B" w14:textId="77777777" w:rsidR="00EB7F85" w:rsidRPr="00876389" w:rsidRDefault="00EB7F85" w:rsidP="00876389">
      <w:pPr>
        <w:pStyle w:val="Heading4"/>
        <w:numPr>
          <w:ilvl w:val="3"/>
          <w:numId w:val="14"/>
        </w:numPr>
        <w:tabs>
          <w:tab w:val="left" w:pos="810"/>
          <w:tab w:val="left" w:pos="900"/>
        </w:tabs>
        <w:spacing w:line="360" w:lineRule="auto"/>
        <w:ind w:left="360" w:hanging="360"/>
        <w:rPr>
          <w:rFonts w:asciiTheme="minorBidi" w:hAnsiTheme="minorBidi" w:cstheme="minorBidi"/>
        </w:rPr>
      </w:pPr>
      <w:r w:rsidRPr="00876389">
        <w:rPr>
          <w:rFonts w:asciiTheme="minorBidi" w:hAnsiTheme="minorBidi" w:cstheme="minorBidi"/>
        </w:rPr>
        <w:t xml:space="preserve">  </w:t>
      </w:r>
      <w:r w:rsidRPr="00876389">
        <w:rPr>
          <w:rFonts w:asciiTheme="minorBidi" w:hAnsiTheme="minorBidi" w:cstheme="minorBidi"/>
          <w:sz w:val="24"/>
          <w:szCs w:val="24"/>
        </w:rPr>
        <w:t>Survey responses</w:t>
      </w:r>
    </w:p>
    <w:p w14:paraId="70DDB151" w14:textId="77777777" w:rsidR="00EB7F85" w:rsidRPr="006B2FC7" w:rsidRDefault="00EB7F85" w:rsidP="00EB7F85">
      <w:pPr>
        <w:spacing w:line="360" w:lineRule="auto"/>
        <w:jc w:val="both"/>
        <w:rPr>
          <w:rFonts w:ascii="Arial" w:hAnsi="Arial" w:cs="Arial"/>
          <w:color w:val="000000"/>
          <w:sz w:val="24"/>
          <w:szCs w:val="24"/>
          <w:lang w:val="en-GB"/>
        </w:rPr>
      </w:pPr>
      <w:r w:rsidRPr="006B2FC7">
        <w:rPr>
          <w:rFonts w:ascii="Arial" w:hAnsi="Arial" w:cs="Arial"/>
          <w:color w:val="000000"/>
          <w:sz w:val="24"/>
          <w:szCs w:val="24"/>
          <w:lang w:val="en-GB"/>
        </w:rPr>
        <w:t xml:space="preserve">The completeness of the survey responses </w:t>
      </w:r>
      <w:r>
        <w:rPr>
          <w:rFonts w:ascii="Arial" w:hAnsi="Arial" w:cs="Arial"/>
          <w:color w:val="000000"/>
          <w:sz w:val="24"/>
          <w:szCs w:val="24"/>
          <w:lang w:val="en-GB"/>
        </w:rPr>
        <w:t>was</w:t>
      </w:r>
      <w:r w:rsidRPr="006B2FC7">
        <w:rPr>
          <w:rFonts w:ascii="Arial" w:hAnsi="Arial" w:cs="Arial"/>
          <w:color w:val="000000"/>
          <w:sz w:val="24"/>
          <w:szCs w:val="24"/>
          <w:lang w:val="en-GB"/>
        </w:rPr>
        <w:t xml:space="preserve"> assessed to determine whether or not the survey could be used for data analysis. </w:t>
      </w:r>
      <w:r>
        <w:rPr>
          <w:rFonts w:ascii="Arial" w:hAnsi="Arial" w:cs="Arial"/>
          <w:color w:val="000000"/>
          <w:sz w:val="24"/>
          <w:szCs w:val="24"/>
          <w:lang w:val="en-GB"/>
        </w:rPr>
        <w:t>Despite, there are v</w:t>
      </w:r>
      <w:r w:rsidRPr="006B2FC7">
        <w:rPr>
          <w:rFonts w:ascii="Arial" w:hAnsi="Arial" w:cs="Arial"/>
          <w:color w:val="000000"/>
          <w:sz w:val="24"/>
          <w:szCs w:val="24"/>
          <w:lang w:val="en-GB"/>
        </w:rPr>
        <w:t xml:space="preserve">arious methods of replacing missing data can be used (e.g. means, modes, or predicting the missing value by using a regression model) </w:t>
      </w:r>
      <w:r w:rsidRPr="006B2FC7">
        <w:rPr>
          <w:rFonts w:ascii="Arial" w:hAnsi="Arial" w:cs="Arial"/>
          <w:color w:val="000000"/>
          <w:sz w:val="24"/>
          <w:szCs w:val="24"/>
          <w:shd w:val="clear" w:color="auto" w:fill="FFFFFF"/>
          <w:lang w:val="en-GB"/>
        </w:rPr>
        <w:fldChar w:fldCharType="begin" w:fldLock="1"/>
      </w:r>
      <w:r w:rsidRPr="006B2FC7">
        <w:rPr>
          <w:rFonts w:ascii="Arial" w:hAnsi="Arial" w:cs="Arial"/>
          <w:color w:val="000000"/>
          <w:sz w:val="24"/>
          <w:szCs w:val="24"/>
          <w:shd w:val="clear" w:color="auto" w:fill="FFFFFF"/>
          <w:lang w:val="en-GB"/>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2011)","plainTextFormattedCitation":"(Aparasu, 2011)","previouslyFormattedCitation":"(Aparasu, 2011)"},"properties":{"noteIndex":0},"schema":"https://github.com/citation-style-language/schema/raw/master/csl-citation.json"}</w:instrText>
      </w:r>
      <w:r w:rsidRPr="006B2FC7">
        <w:rPr>
          <w:rFonts w:ascii="Arial" w:hAnsi="Arial" w:cs="Arial"/>
          <w:color w:val="000000"/>
          <w:sz w:val="24"/>
          <w:szCs w:val="24"/>
          <w:shd w:val="clear" w:color="auto" w:fill="FFFFFF"/>
          <w:lang w:val="en-GB"/>
        </w:rPr>
        <w:fldChar w:fldCharType="separate"/>
      </w:r>
      <w:r w:rsidRPr="006B2FC7">
        <w:rPr>
          <w:rFonts w:ascii="Arial" w:hAnsi="Arial" w:cs="Arial"/>
          <w:noProof/>
          <w:color w:val="000000"/>
          <w:sz w:val="24"/>
          <w:szCs w:val="24"/>
          <w:shd w:val="clear" w:color="auto" w:fill="FFFFFF"/>
          <w:lang w:val="en-GB"/>
        </w:rPr>
        <w:t>(Aparasu, 2011)</w:t>
      </w:r>
      <w:r w:rsidRPr="006B2FC7">
        <w:rPr>
          <w:rFonts w:ascii="Arial" w:hAnsi="Arial" w:cs="Arial"/>
          <w:color w:val="000000"/>
          <w:sz w:val="24"/>
          <w:szCs w:val="24"/>
          <w:shd w:val="clear" w:color="auto" w:fill="FFFFFF"/>
          <w:lang w:val="en-GB"/>
        </w:rPr>
        <w:fldChar w:fldCharType="end"/>
      </w:r>
      <w:r>
        <w:rPr>
          <w:rFonts w:ascii="Arial" w:hAnsi="Arial" w:cs="Arial"/>
          <w:color w:val="000000"/>
          <w:sz w:val="24"/>
          <w:szCs w:val="24"/>
          <w:lang w:val="en-GB"/>
        </w:rPr>
        <w:t>, the decision was made to include only surveys that are completed and submitted to ensure that participants willing to use their responses in data analysis process. The decision for not using incomplete response because this may be questionable in terms of ethics and integrity of conducting research.</w:t>
      </w:r>
    </w:p>
    <w:p w14:paraId="03E86385" w14:textId="77777777" w:rsidR="00EB7F85" w:rsidRPr="006B2FC7" w:rsidRDefault="00EB7F85" w:rsidP="00EB7F85">
      <w:pPr>
        <w:spacing w:line="360" w:lineRule="auto"/>
        <w:jc w:val="both"/>
        <w:rPr>
          <w:rFonts w:ascii="Arial" w:hAnsi="Arial" w:cs="Arial"/>
          <w:color w:val="000000"/>
          <w:sz w:val="24"/>
          <w:szCs w:val="24"/>
          <w:shd w:val="clear" w:color="auto" w:fill="FFFFFF"/>
          <w:lang w:val="en-GB"/>
        </w:rPr>
      </w:pPr>
      <w:r w:rsidRPr="006B2FC7">
        <w:rPr>
          <w:rFonts w:ascii="Arial" w:hAnsi="Arial" w:cs="Arial"/>
          <w:color w:val="000000"/>
          <w:sz w:val="24"/>
          <w:szCs w:val="24"/>
          <w:shd w:val="clear" w:color="auto" w:fill="FFFFFF"/>
          <w:lang w:val="en-GB"/>
        </w:rPr>
        <w:t xml:space="preserve">The questions </w:t>
      </w:r>
      <w:r>
        <w:rPr>
          <w:rFonts w:ascii="Arial" w:hAnsi="Arial" w:cs="Arial"/>
          <w:color w:val="000000"/>
          <w:sz w:val="24"/>
          <w:szCs w:val="24"/>
          <w:shd w:val="clear" w:color="auto" w:fill="FFFFFF"/>
          <w:lang w:val="en-GB"/>
        </w:rPr>
        <w:t>were</w:t>
      </w:r>
      <w:r w:rsidRPr="006B2FC7">
        <w:rPr>
          <w:rFonts w:ascii="Arial" w:hAnsi="Arial" w:cs="Arial"/>
          <w:color w:val="000000"/>
          <w:sz w:val="24"/>
          <w:szCs w:val="24"/>
          <w:shd w:val="clear" w:color="auto" w:fill="FFFFFF"/>
          <w:lang w:val="en-GB"/>
        </w:rPr>
        <w:t xml:space="preserve"> divided into three types or “</w:t>
      </w:r>
      <w:r w:rsidRPr="006B2FC7">
        <w:rPr>
          <w:rFonts w:ascii="Arial" w:hAnsi="Arial" w:cs="Arial"/>
          <w:i/>
          <w:iCs/>
          <w:color w:val="000000"/>
          <w:sz w:val="24"/>
          <w:szCs w:val="24"/>
          <w:shd w:val="clear" w:color="auto" w:fill="FFFFFF"/>
          <w:lang w:val="en-GB"/>
        </w:rPr>
        <w:t>levels of measurement</w:t>
      </w:r>
      <w:r w:rsidRPr="006B2FC7">
        <w:rPr>
          <w:rFonts w:ascii="Arial" w:hAnsi="Arial" w:cs="Arial"/>
          <w:color w:val="000000"/>
          <w:sz w:val="24"/>
          <w:szCs w:val="24"/>
          <w:shd w:val="clear" w:color="auto" w:fill="FFFFFF"/>
          <w:lang w:val="en-GB"/>
        </w:rPr>
        <w:t>”. First; categorical/nominal type of questions such as gender; male/female. Second; ordinal questions such as response to the age category. Finally, continuous questions such as; number of diabetes patients</w:t>
      </w:r>
      <w:r>
        <w:rPr>
          <w:rFonts w:ascii="Arial" w:hAnsi="Arial" w:cs="Arial"/>
          <w:color w:val="000000"/>
          <w:sz w:val="24"/>
          <w:szCs w:val="24"/>
          <w:shd w:val="clear" w:color="auto" w:fill="FFFFFF"/>
          <w:lang w:val="en-GB"/>
        </w:rPr>
        <w:t xml:space="preserve"> seen by a HCP per day</w:t>
      </w:r>
      <w:r w:rsidRPr="006B2FC7">
        <w:rPr>
          <w:rFonts w:ascii="Arial" w:hAnsi="Arial" w:cs="Arial"/>
          <w:color w:val="000000"/>
          <w:sz w:val="24"/>
          <w:szCs w:val="24"/>
          <w:shd w:val="clear" w:color="auto" w:fill="FFFFFF"/>
          <w:lang w:val="en-GB"/>
        </w:rPr>
        <w:t xml:space="preserve">, and how </w:t>
      </w:r>
      <w:r>
        <w:rPr>
          <w:rFonts w:ascii="Arial" w:hAnsi="Arial" w:cs="Arial"/>
          <w:color w:val="000000"/>
          <w:sz w:val="24"/>
          <w:szCs w:val="24"/>
          <w:shd w:val="clear" w:color="auto" w:fill="FFFFFF"/>
          <w:lang w:val="en-GB"/>
        </w:rPr>
        <w:t>long</w:t>
      </w:r>
      <w:r w:rsidRPr="006B2FC7">
        <w:rPr>
          <w:rFonts w:ascii="Arial" w:hAnsi="Arial" w:cs="Arial"/>
          <w:color w:val="000000"/>
          <w:sz w:val="24"/>
          <w:szCs w:val="24"/>
          <w:shd w:val="clear" w:color="auto" w:fill="FFFFFF"/>
          <w:lang w:val="en-GB"/>
        </w:rPr>
        <w:t xml:space="preserve"> do </w:t>
      </w:r>
      <w:r>
        <w:rPr>
          <w:rFonts w:ascii="Arial" w:hAnsi="Arial" w:cs="Arial"/>
          <w:color w:val="000000"/>
          <w:sz w:val="24"/>
          <w:szCs w:val="24"/>
          <w:shd w:val="clear" w:color="auto" w:fill="FFFFFF"/>
          <w:lang w:val="en-GB"/>
        </w:rPr>
        <w:t>a HCP spend</w:t>
      </w:r>
      <w:r w:rsidRPr="006B2FC7">
        <w:rPr>
          <w:rFonts w:ascii="Arial" w:hAnsi="Arial" w:cs="Arial"/>
          <w:color w:val="000000"/>
          <w:sz w:val="24"/>
          <w:szCs w:val="24"/>
          <w:shd w:val="clear" w:color="auto" w:fill="FFFFFF"/>
          <w:lang w:val="en-GB"/>
        </w:rPr>
        <w:t xml:space="preserve"> review </w:t>
      </w:r>
      <w:r>
        <w:rPr>
          <w:rFonts w:ascii="Arial" w:hAnsi="Arial" w:cs="Arial"/>
          <w:color w:val="000000"/>
          <w:sz w:val="24"/>
          <w:szCs w:val="24"/>
          <w:shd w:val="clear" w:color="auto" w:fill="FFFFFF"/>
          <w:lang w:val="en-GB"/>
        </w:rPr>
        <w:t>of</w:t>
      </w:r>
      <w:r w:rsidRPr="006B2FC7">
        <w:rPr>
          <w:rFonts w:ascii="Arial" w:hAnsi="Arial" w:cs="Arial"/>
          <w:color w:val="000000"/>
          <w:sz w:val="24"/>
          <w:szCs w:val="24"/>
          <w:shd w:val="clear" w:color="auto" w:fill="FFFFFF"/>
          <w:lang w:val="en-GB"/>
        </w:rPr>
        <w:t xml:space="preserve"> these patients. The categorical questions and ordinal questions </w:t>
      </w:r>
      <w:r>
        <w:rPr>
          <w:rFonts w:ascii="Arial" w:hAnsi="Arial" w:cs="Arial"/>
          <w:color w:val="000000"/>
          <w:sz w:val="24"/>
          <w:szCs w:val="24"/>
          <w:shd w:val="clear" w:color="auto" w:fill="FFFFFF"/>
          <w:lang w:val="en-GB"/>
        </w:rPr>
        <w:t>were</w:t>
      </w:r>
      <w:r w:rsidRPr="006B2FC7">
        <w:rPr>
          <w:rFonts w:ascii="Arial" w:hAnsi="Arial" w:cs="Arial"/>
          <w:color w:val="000000"/>
          <w:sz w:val="24"/>
          <w:szCs w:val="24"/>
          <w:shd w:val="clear" w:color="auto" w:fill="FFFFFF"/>
          <w:lang w:val="en-GB"/>
        </w:rPr>
        <w:t xml:space="preserve"> analysed by determining the frequency of each response by using percentage, for example, the occurrence of </w:t>
      </w:r>
      <w:r>
        <w:rPr>
          <w:rFonts w:ascii="Arial" w:hAnsi="Arial" w:cs="Arial"/>
          <w:color w:val="000000"/>
          <w:sz w:val="24"/>
          <w:szCs w:val="24"/>
          <w:shd w:val="clear" w:color="auto" w:fill="FFFFFF"/>
          <w:lang w:val="en-GB"/>
        </w:rPr>
        <w:t>doctors, pharmacists, and nurses</w:t>
      </w:r>
      <w:r w:rsidRPr="006B2FC7">
        <w:rPr>
          <w:rFonts w:ascii="Arial" w:hAnsi="Arial" w:cs="Arial"/>
          <w:color w:val="000000"/>
          <w:sz w:val="24"/>
          <w:szCs w:val="24"/>
          <w:shd w:val="clear" w:color="auto" w:fill="FFFFFF"/>
          <w:lang w:val="en-GB"/>
        </w:rPr>
        <w:t xml:space="preserve"> </w:t>
      </w:r>
      <w:r>
        <w:rPr>
          <w:rFonts w:ascii="Arial" w:hAnsi="Arial" w:cs="Arial"/>
          <w:color w:val="000000"/>
          <w:sz w:val="24"/>
          <w:szCs w:val="24"/>
          <w:shd w:val="clear" w:color="auto" w:fill="FFFFFF"/>
          <w:lang w:val="en-GB"/>
        </w:rPr>
        <w:t>were</w:t>
      </w:r>
      <w:r w:rsidRPr="006B2FC7">
        <w:rPr>
          <w:rFonts w:ascii="Arial" w:hAnsi="Arial" w:cs="Arial"/>
          <w:color w:val="000000"/>
          <w:sz w:val="24"/>
          <w:szCs w:val="24"/>
          <w:shd w:val="clear" w:color="auto" w:fill="FFFFFF"/>
          <w:lang w:val="en-GB"/>
        </w:rPr>
        <w:t xml:space="preserve"> account and the</w:t>
      </w:r>
      <w:r>
        <w:rPr>
          <w:rFonts w:ascii="Arial" w:hAnsi="Arial" w:cs="Arial"/>
          <w:color w:val="000000"/>
          <w:sz w:val="24"/>
          <w:szCs w:val="24"/>
          <w:shd w:val="clear" w:color="auto" w:fill="FFFFFF"/>
          <w:lang w:val="en-GB"/>
        </w:rPr>
        <w:t>ir</w:t>
      </w:r>
      <w:r w:rsidRPr="006B2FC7">
        <w:rPr>
          <w:rFonts w:ascii="Arial" w:hAnsi="Arial" w:cs="Arial"/>
          <w:color w:val="000000"/>
          <w:sz w:val="24"/>
          <w:szCs w:val="24"/>
          <w:shd w:val="clear" w:color="auto" w:fill="FFFFFF"/>
          <w:lang w:val="en-GB"/>
        </w:rPr>
        <w:t xml:space="preserve"> response</w:t>
      </w:r>
      <w:r>
        <w:rPr>
          <w:rFonts w:ascii="Arial" w:hAnsi="Arial" w:cs="Arial"/>
          <w:color w:val="000000"/>
          <w:sz w:val="24"/>
          <w:szCs w:val="24"/>
          <w:shd w:val="clear" w:color="auto" w:fill="FFFFFF"/>
          <w:lang w:val="en-GB"/>
        </w:rPr>
        <w:t>s</w:t>
      </w:r>
      <w:r w:rsidRPr="006B2FC7">
        <w:rPr>
          <w:rFonts w:ascii="Arial" w:hAnsi="Arial" w:cs="Arial"/>
          <w:color w:val="000000"/>
          <w:sz w:val="24"/>
          <w:szCs w:val="24"/>
          <w:shd w:val="clear" w:color="auto" w:fill="FFFFFF"/>
          <w:lang w:val="en-GB"/>
        </w:rPr>
        <w:t xml:space="preserve"> for a specific question, and represent them using suitable </w:t>
      </w:r>
      <w:r>
        <w:rPr>
          <w:rFonts w:ascii="Arial" w:hAnsi="Arial" w:cs="Arial"/>
          <w:color w:val="000000"/>
          <w:sz w:val="24"/>
          <w:szCs w:val="24"/>
          <w:shd w:val="clear" w:color="auto" w:fill="FFFFFF"/>
          <w:lang w:val="en-GB"/>
        </w:rPr>
        <w:t xml:space="preserve">tables or </w:t>
      </w:r>
      <w:r w:rsidRPr="006B2FC7">
        <w:rPr>
          <w:rFonts w:ascii="Arial" w:hAnsi="Arial" w:cs="Arial"/>
          <w:color w:val="000000"/>
          <w:sz w:val="24"/>
          <w:szCs w:val="24"/>
          <w:shd w:val="clear" w:color="auto" w:fill="FFFFFF"/>
          <w:lang w:val="en-GB"/>
        </w:rPr>
        <w:t xml:space="preserve">bar charts. The continuous data </w:t>
      </w:r>
      <w:r>
        <w:rPr>
          <w:rFonts w:ascii="Arial" w:hAnsi="Arial" w:cs="Arial"/>
          <w:color w:val="000000"/>
          <w:sz w:val="24"/>
          <w:szCs w:val="24"/>
          <w:shd w:val="clear" w:color="auto" w:fill="FFFFFF"/>
          <w:lang w:val="en-GB"/>
        </w:rPr>
        <w:t>were</w:t>
      </w:r>
      <w:r w:rsidRPr="006B2FC7">
        <w:rPr>
          <w:rFonts w:ascii="Arial" w:hAnsi="Arial" w:cs="Arial"/>
          <w:color w:val="000000"/>
          <w:sz w:val="24"/>
          <w:szCs w:val="24"/>
          <w:shd w:val="clear" w:color="auto" w:fill="FFFFFF"/>
          <w:lang w:val="en-GB"/>
        </w:rPr>
        <w:t xml:space="preserve"> analysed by using measures of central tendency, which is an average of the responses by using mean, median, and mode. </w:t>
      </w:r>
    </w:p>
    <w:p w14:paraId="053E98CC" w14:textId="77777777" w:rsidR="00EB7F85" w:rsidRDefault="00EB7F85" w:rsidP="00643045">
      <w:pPr>
        <w:spacing w:line="360" w:lineRule="auto"/>
        <w:jc w:val="both"/>
        <w:rPr>
          <w:rFonts w:ascii="Arial" w:hAnsi="Arial" w:cs="Arial"/>
          <w:color w:val="000000"/>
          <w:sz w:val="24"/>
          <w:szCs w:val="24"/>
          <w:shd w:val="clear" w:color="auto" w:fill="FFFFFF"/>
          <w:lang w:val="en-GB"/>
        </w:rPr>
      </w:pPr>
      <w:r w:rsidRPr="006B2FC7">
        <w:rPr>
          <w:rFonts w:ascii="Arial" w:hAnsi="Arial" w:cs="Arial"/>
          <w:sz w:val="24"/>
          <w:szCs w:val="24"/>
          <w:lang w:val="en-GB"/>
        </w:rPr>
        <w:t xml:space="preserve">Questionnaires </w:t>
      </w:r>
      <w:r>
        <w:rPr>
          <w:rFonts w:ascii="Arial" w:hAnsi="Arial" w:cs="Arial"/>
          <w:sz w:val="24"/>
          <w:szCs w:val="24"/>
          <w:lang w:val="en-GB"/>
        </w:rPr>
        <w:t>were</w:t>
      </w:r>
      <w:r w:rsidRPr="006B2FC7">
        <w:rPr>
          <w:rFonts w:ascii="Arial" w:hAnsi="Arial" w:cs="Arial"/>
          <w:sz w:val="24"/>
          <w:szCs w:val="24"/>
          <w:lang w:val="en-GB"/>
        </w:rPr>
        <w:t xml:space="preserve"> coded so that they can be entered into the database. It is advisable to consult a biostatistician when establishing this coding because coding decisions are directly related to data analysis </w:t>
      </w:r>
      <w:r w:rsidRPr="006B2FC7">
        <w:rPr>
          <w:rFonts w:ascii="Arial" w:hAnsi="Arial" w:cs="Arial"/>
          <w:color w:val="000000"/>
          <w:sz w:val="24"/>
          <w:szCs w:val="24"/>
          <w:shd w:val="clear" w:color="auto" w:fill="FFFFFF"/>
          <w:lang w:val="en-GB"/>
        </w:rPr>
        <w:fldChar w:fldCharType="begin" w:fldLock="1"/>
      </w:r>
      <w:r w:rsidRPr="006B2FC7">
        <w:rPr>
          <w:rFonts w:ascii="Arial" w:hAnsi="Arial" w:cs="Arial"/>
          <w:color w:val="000000"/>
          <w:sz w:val="24"/>
          <w:szCs w:val="24"/>
          <w:shd w:val="clear" w:color="auto" w:fill="FFFFFF"/>
          <w:lang w:val="en-GB"/>
        </w:rPr>
        <w:instrText>ADDIN CSL_CITATION {"citationItems":[{"id":"ITEM-1","itemData":{"author":[{"dropping-particle":"","family":"Aparasu","given":"Rajender R","non-dropping-particle":"","parse-names":false,"suffix":""}],"id":"ITEM-1","issued":{"date-parts":[["2011"]]},"publisher":"Pharmaceutical Press","publisher-place":"London","title":"Research Methods for Pharmaceutical Practice and Policy","type":"book"},"uris":["http://www.mendeley.com/documents/?uuid=92210c28-291d-4901-9b52-74e0fd222da6"]}],"mendeley":{"formattedCitation":"(Aparasu, 2011)","plainTextFormattedCitation":"(Aparasu, 2011)","previouslyFormattedCitation":"(Aparasu, 2011)"},"properties":{"noteIndex":0},"schema":"https://github.com/citation-style-language/schema/raw/master/csl-citation.json"}</w:instrText>
      </w:r>
      <w:r w:rsidRPr="006B2FC7">
        <w:rPr>
          <w:rFonts w:ascii="Arial" w:hAnsi="Arial" w:cs="Arial"/>
          <w:color w:val="000000"/>
          <w:sz w:val="24"/>
          <w:szCs w:val="24"/>
          <w:shd w:val="clear" w:color="auto" w:fill="FFFFFF"/>
          <w:lang w:val="en-GB"/>
        </w:rPr>
        <w:fldChar w:fldCharType="separate"/>
      </w:r>
      <w:r w:rsidRPr="006B2FC7">
        <w:rPr>
          <w:rFonts w:ascii="Arial" w:hAnsi="Arial" w:cs="Arial"/>
          <w:noProof/>
          <w:color w:val="000000"/>
          <w:sz w:val="24"/>
          <w:szCs w:val="24"/>
          <w:shd w:val="clear" w:color="auto" w:fill="FFFFFF"/>
          <w:lang w:val="en-GB"/>
        </w:rPr>
        <w:t>(Aparasu, 2011)</w:t>
      </w:r>
      <w:r w:rsidRPr="006B2FC7">
        <w:rPr>
          <w:rFonts w:ascii="Arial" w:hAnsi="Arial" w:cs="Arial"/>
          <w:color w:val="000000"/>
          <w:sz w:val="24"/>
          <w:szCs w:val="24"/>
          <w:shd w:val="clear" w:color="auto" w:fill="FFFFFF"/>
          <w:lang w:val="en-GB"/>
        </w:rPr>
        <w:fldChar w:fldCharType="end"/>
      </w:r>
      <w:r w:rsidRPr="006B2FC7">
        <w:rPr>
          <w:rFonts w:ascii="Arial" w:hAnsi="Arial" w:cs="Arial"/>
          <w:color w:val="000000"/>
          <w:sz w:val="24"/>
          <w:szCs w:val="24"/>
          <w:shd w:val="clear" w:color="auto" w:fill="FFFFFF"/>
          <w:lang w:val="en-GB"/>
        </w:rPr>
        <w:t xml:space="preserve">. The data </w:t>
      </w:r>
      <w:r>
        <w:rPr>
          <w:rFonts w:ascii="Arial" w:hAnsi="Arial" w:cs="Arial"/>
          <w:color w:val="000000"/>
          <w:sz w:val="24"/>
          <w:szCs w:val="24"/>
          <w:shd w:val="clear" w:color="auto" w:fill="FFFFFF"/>
          <w:lang w:val="en-GB"/>
        </w:rPr>
        <w:t>were</w:t>
      </w:r>
      <w:r w:rsidRPr="006B2FC7">
        <w:rPr>
          <w:rFonts w:ascii="Arial" w:hAnsi="Arial" w:cs="Arial"/>
          <w:color w:val="000000"/>
          <w:sz w:val="24"/>
          <w:szCs w:val="24"/>
          <w:shd w:val="clear" w:color="auto" w:fill="FFFFFF"/>
          <w:lang w:val="en-GB"/>
        </w:rPr>
        <w:t xml:space="preserve"> transferred from questionnaire to a statistical package </w:t>
      </w:r>
      <w:r w:rsidRPr="006B2FC7">
        <w:rPr>
          <w:rFonts w:ascii="Arial" w:hAnsi="Arial" w:cs="Arial"/>
          <w:sz w:val="24"/>
          <w:szCs w:val="24"/>
          <w:lang w:val="en-GB"/>
        </w:rPr>
        <w:t>such as the Statistical Program for the Social Science (SPSS)</w:t>
      </w:r>
      <w:r w:rsidRPr="006B2FC7">
        <w:rPr>
          <w:rFonts w:ascii="Arial" w:hAnsi="Arial" w:cs="Arial"/>
          <w:color w:val="000000"/>
          <w:sz w:val="24"/>
          <w:szCs w:val="24"/>
          <w:shd w:val="clear" w:color="auto" w:fill="FFFFFF"/>
          <w:lang w:val="en-GB"/>
        </w:rPr>
        <w:t xml:space="preserve">. </w:t>
      </w:r>
      <w:r w:rsidRPr="006B2FC7">
        <w:rPr>
          <w:rFonts w:ascii="Arial" w:hAnsi="Arial" w:cs="Arial"/>
          <w:sz w:val="24"/>
          <w:szCs w:val="24"/>
          <w:lang w:val="en-GB"/>
        </w:rPr>
        <w:t xml:space="preserve">The first step </w:t>
      </w:r>
      <w:r>
        <w:rPr>
          <w:rFonts w:ascii="Arial" w:hAnsi="Arial" w:cs="Arial"/>
          <w:sz w:val="24"/>
          <w:szCs w:val="24"/>
          <w:lang w:val="en-GB"/>
        </w:rPr>
        <w:t>was</w:t>
      </w:r>
      <w:r w:rsidRPr="006B2FC7">
        <w:rPr>
          <w:rFonts w:ascii="Arial" w:hAnsi="Arial" w:cs="Arial"/>
          <w:sz w:val="24"/>
          <w:szCs w:val="24"/>
          <w:lang w:val="en-GB"/>
        </w:rPr>
        <w:t xml:space="preserve"> to prepare the data for analysis. This </w:t>
      </w:r>
      <w:r>
        <w:rPr>
          <w:rFonts w:ascii="Arial" w:hAnsi="Arial" w:cs="Arial"/>
          <w:sz w:val="24"/>
          <w:szCs w:val="24"/>
          <w:lang w:val="en-GB"/>
        </w:rPr>
        <w:t>was</w:t>
      </w:r>
      <w:r w:rsidRPr="006B2FC7">
        <w:rPr>
          <w:rFonts w:ascii="Arial" w:hAnsi="Arial" w:cs="Arial"/>
          <w:sz w:val="24"/>
          <w:szCs w:val="24"/>
          <w:lang w:val="en-GB"/>
        </w:rPr>
        <w:t xml:space="preserve"> done by </w:t>
      </w:r>
      <w:r w:rsidRPr="006B2FC7">
        <w:rPr>
          <w:rFonts w:ascii="Arial" w:hAnsi="Arial" w:cs="Arial"/>
          <w:color w:val="000000"/>
          <w:sz w:val="24"/>
          <w:szCs w:val="24"/>
          <w:shd w:val="clear" w:color="auto" w:fill="FFFFFF"/>
          <w:lang w:val="en-GB"/>
        </w:rPr>
        <w:t xml:space="preserve">scoring the data by assigning a numerical value for each response in the SPSS such as 1 for male and 2 for female, cleaning data entry for the SPSS, creating special variables that will be needed, and establishing a codebook (the name and definition of each variable) once the data entered, the strategy for analysis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prepared. </w:t>
      </w:r>
    </w:p>
    <w:p w14:paraId="746809C6" w14:textId="77777777" w:rsidR="00643045" w:rsidRDefault="00643045" w:rsidP="00643045">
      <w:pPr>
        <w:spacing w:line="360" w:lineRule="auto"/>
        <w:jc w:val="both"/>
        <w:rPr>
          <w:rFonts w:ascii="Arial" w:hAnsi="Arial" w:cs="Arial"/>
          <w:color w:val="000000"/>
          <w:sz w:val="24"/>
          <w:szCs w:val="24"/>
          <w:shd w:val="clear" w:color="auto" w:fill="FFFFFF"/>
          <w:lang w:val="en-GB"/>
        </w:rPr>
      </w:pPr>
    </w:p>
    <w:p w14:paraId="4D78756B" w14:textId="77777777" w:rsidR="00EB7F85" w:rsidRPr="00876389" w:rsidRDefault="00EB7F85" w:rsidP="00876389">
      <w:pPr>
        <w:pStyle w:val="Heading4"/>
        <w:numPr>
          <w:ilvl w:val="3"/>
          <w:numId w:val="14"/>
        </w:numPr>
        <w:tabs>
          <w:tab w:val="left" w:pos="810"/>
          <w:tab w:val="left" w:pos="1080"/>
        </w:tabs>
        <w:spacing w:line="360" w:lineRule="auto"/>
        <w:ind w:left="360" w:hanging="360"/>
        <w:rPr>
          <w:rFonts w:asciiTheme="minorBidi" w:hAnsiTheme="minorBidi" w:cstheme="minorBidi"/>
          <w:sz w:val="24"/>
          <w:szCs w:val="24"/>
        </w:rPr>
      </w:pPr>
      <w:bookmarkStart w:id="121" w:name="_Ref125824787"/>
      <w:r w:rsidRPr="00876389">
        <w:rPr>
          <w:rFonts w:asciiTheme="minorBidi" w:hAnsiTheme="minorBidi" w:cstheme="minorBidi"/>
          <w:sz w:val="24"/>
          <w:szCs w:val="24"/>
        </w:rPr>
        <w:t>Statistical analysis of quantitative phase</w:t>
      </w:r>
      <w:bookmarkEnd w:id="121"/>
      <w:r w:rsidRPr="00876389">
        <w:rPr>
          <w:rFonts w:asciiTheme="minorBidi" w:hAnsiTheme="minorBidi" w:cstheme="minorBidi"/>
          <w:sz w:val="24"/>
          <w:szCs w:val="24"/>
        </w:rPr>
        <w:t xml:space="preserve"> </w:t>
      </w:r>
    </w:p>
    <w:p w14:paraId="213D6343" w14:textId="77777777" w:rsidR="00EB7F85" w:rsidRDefault="00EB7F85" w:rsidP="00EB7F85">
      <w:pPr>
        <w:spacing w:line="360" w:lineRule="auto"/>
        <w:jc w:val="both"/>
        <w:rPr>
          <w:rFonts w:ascii="Arial" w:hAnsi="Arial" w:cs="Arial"/>
          <w:sz w:val="24"/>
          <w:szCs w:val="24"/>
        </w:rPr>
      </w:pPr>
      <w:r w:rsidRPr="001264FC">
        <w:rPr>
          <w:rFonts w:ascii="Arial" w:hAnsi="Arial" w:cs="Arial"/>
          <w:color w:val="000000"/>
          <w:sz w:val="24"/>
          <w:szCs w:val="24"/>
          <w:shd w:val="clear" w:color="auto" w:fill="FFFFFF"/>
          <w:lang w:val="en-GB"/>
        </w:rPr>
        <w:t>Statistical analysis was performed by using SPSS</w:t>
      </w:r>
      <w:r>
        <w:rPr>
          <w:rFonts w:ascii="Arial" w:hAnsi="Arial" w:cs="Arial"/>
          <w:color w:val="000000"/>
          <w:sz w:val="24"/>
          <w:szCs w:val="24"/>
          <w:shd w:val="clear" w:color="auto" w:fill="FFFFFF"/>
          <w:lang w:val="en-GB"/>
        </w:rPr>
        <w:t>,</w:t>
      </w:r>
      <w:r w:rsidRPr="001264FC">
        <w:rPr>
          <w:rFonts w:ascii="Arial" w:hAnsi="Arial" w:cs="Arial"/>
          <w:color w:val="000000"/>
          <w:sz w:val="24"/>
          <w:szCs w:val="24"/>
          <w:shd w:val="clear" w:color="auto" w:fill="FFFFFF"/>
          <w:lang w:val="en-GB"/>
        </w:rPr>
        <w:t xml:space="preserve"> version 26. </w:t>
      </w:r>
      <w:r w:rsidRPr="006B2FC7">
        <w:rPr>
          <w:rFonts w:ascii="Arial" w:hAnsi="Arial" w:cs="Arial"/>
          <w:color w:val="000000"/>
          <w:sz w:val="24"/>
          <w:szCs w:val="24"/>
          <w:shd w:val="clear" w:color="auto" w:fill="FFFFFF"/>
          <w:lang w:val="en-GB"/>
        </w:rPr>
        <w:t xml:space="preserve">The survey data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analysed by using descriptive and inferential analysis. </w:t>
      </w:r>
      <w:r w:rsidRPr="006B2FC7">
        <w:rPr>
          <w:rFonts w:ascii="Arial" w:hAnsi="Arial" w:cs="Arial"/>
          <w:color w:val="000000"/>
          <w:sz w:val="24"/>
          <w:szCs w:val="24"/>
          <w:lang w:val="en-GB"/>
        </w:rPr>
        <w:t>Descriptive statistics including frequencies, means</w:t>
      </w:r>
      <w:r>
        <w:rPr>
          <w:rFonts w:ascii="Arial" w:hAnsi="Arial" w:cs="Arial"/>
          <w:color w:val="000000"/>
          <w:sz w:val="24"/>
          <w:szCs w:val="24"/>
          <w:lang w:val="en-GB"/>
        </w:rPr>
        <w:t>/medians,</w:t>
      </w:r>
      <w:r w:rsidRPr="006B2FC7">
        <w:rPr>
          <w:rFonts w:ascii="Arial" w:hAnsi="Arial" w:cs="Arial"/>
          <w:color w:val="000000"/>
          <w:sz w:val="24"/>
          <w:szCs w:val="24"/>
          <w:lang w:val="en-GB"/>
        </w:rPr>
        <w:t xml:space="preserve"> and ranges </w:t>
      </w:r>
      <w:r>
        <w:rPr>
          <w:rFonts w:ascii="Arial" w:hAnsi="Arial" w:cs="Arial"/>
          <w:color w:val="000000"/>
          <w:sz w:val="24"/>
          <w:szCs w:val="24"/>
          <w:lang w:val="en-GB"/>
        </w:rPr>
        <w:t>were</w:t>
      </w:r>
      <w:r w:rsidRPr="006B2FC7">
        <w:rPr>
          <w:rFonts w:ascii="Arial" w:hAnsi="Arial" w:cs="Arial"/>
          <w:color w:val="000000"/>
          <w:sz w:val="24"/>
          <w:szCs w:val="24"/>
          <w:lang w:val="en-GB"/>
        </w:rPr>
        <w:t xml:space="preserve"> calculated for all the survey variables. </w:t>
      </w:r>
      <w:r w:rsidRPr="006B2FC7">
        <w:rPr>
          <w:rFonts w:ascii="Arial" w:hAnsi="Arial" w:cs="Arial"/>
          <w:sz w:val="24"/>
          <w:szCs w:val="24"/>
          <w:lang w:val="en-GB"/>
        </w:rPr>
        <w:t xml:space="preserve">Descriptive statistics </w:t>
      </w:r>
      <w:r>
        <w:rPr>
          <w:rFonts w:ascii="Arial" w:hAnsi="Arial" w:cs="Arial"/>
          <w:sz w:val="24"/>
          <w:szCs w:val="24"/>
          <w:lang w:val="en-GB"/>
        </w:rPr>
        <w:t>was</w:t>
      </w:r>
      <w:r w:rsidRPr="006B2FC7">
        <w:rPr>
          <w:rFonts w:ascii="Arial" w:hAnsi="Arial" w:cs="Arial"/>
          <w:sz w:val="24"/>
          <w:szCs w:val="24"/>
          <w:lang w:val="en-GB"/>
        </w:rPr>
        <w:t xml:space="preserve"> used to describe and summarise the independent demographic variables such as </w:t>
      </w:r>
      <w:r w:rsidRPr="006B2FC7">
        <w:rPr>
          <w:rFonts w:ascii="Arial" w:hAnsi="Arial" w:cs="Arial"/>
          <w:sz w:val="24"/>
          <w:szCs w:val="24"/>
        </w:rPr>
        <w:t xml:space="preserve">age, gender, and dependent attitudinal or experiential variables relating to the role of pharmacists in diabetes management. Therefore, </w:t>
      </w:r>
      <w:r w:rsidRPr="00DC644A">
        <w:rPr>
          <w:rFonts w:ascii="Arial" w:hAnsi="Arial" w:cs="Arial"/>
          <w:sz w:val="24"/>
          <w:szCs w:val="24"/>
          <w:shd w:val="clear" w:color="auto" w:fill="FFFFFF"/>
          <w:lang w:val="en-GB"/>
        </w:rPr>
        <w:t>univariate</w:t>
      </w:r>
      <w:r w:rsidRPr="006B2FC7">
        <w:rPr>
          <w:rFonts w:ascii="Arial" w:hAnsi="Arial" w:cs="Arial"/>
          <w:color w:val="000000"/>
          <w:sz w:val="24"/>
          <w:szCs w:val="24"/>
          <w:shd w:val="clear" w:color="auto" w:fill="FFFFFF"/>
          <w:lang w:val="en-GB"/>
        </w:rPr>
        <w:t xml:space="preserve"> statistical (which look to one variable at time</w:t>
      </w:r>
      <w:r w:rsidRPr="006B2FC7">
        <w:rPr>
          <w:rFonts w:ascii="Arial" w:hAnsi="Arial" w:cs="Arial"/>
          <w:sz w:val="24"/>
          <w:szCs w:val="24"/>
          <w:lang w:val="en-GB"/>
        </w:rPr>
        <w:t xml:space="preserve">)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used </w:t>
      </w:r>
      <w:r w:rsidRPr="006B2FC7">
        <w:rPr>
          <w:rFonts w:ascii="Arial" w:hAnsi="Arial" w:cs="Arial"/>
          <w:sz w:val="24"/>
          <w:szCs w:val="24"/>
        </w:rPr>
        <w:t xml:space="preserve">firstly to describe the participants and their responses to specific questions. For instance, Participants’ demographics </w:t>
      </w:r>
      <w:r>
        <w:rPr>
          <w:rFonts w:ascii="Arial" w:hAnsi="Arial" w:cs="Arial"/>
          <w:sz w:val="24"/>
          <w:szCs w:val="24"/>
        </w:rPr>
        <w:t>were</w:t>
      </w:r>
      <w:r w:rsidRPr="006B2FC7">
        <w:rPr>
          <w:rFonts w:ascii="Arial" w:hAnsi="Arial" w:cs="Arial"/>
          <w:sz w:val="24"/>
          <w:szCs w:val="24"/>
        </w:rPr>
        <w:t xml:space="preserve"> presented as </w:t>
      </w:r>
      <w:r>
        <w:rPr>
          <w:rFonts w:ascii="Arial" w:hAnsi="Arial" w:cs="Arial"/>
          <w:sz w:val="24"/>
          <w:szCs w:val="24"/>
        </w:rPr>
        <w:t>frequencies</w:t>
      </w:r>
      <w:r w:rsidRPr="006B2FC7">
        <w:rPr>
          <w:rFonts w:ascii="Arial" w:hAnsi="Arial" w:cs="Arial"/>
          <w:sz w:val="24"/>
          <w:szCs w:val="24"/>
        </w:rPr>
        <w:t xml:space="preserve"> and percentages, and medians </w:t>
      </w:r>
      <w:r>
        <w:rPr>
          <w:rFonts w:ascii="Arial" w:hAnsi="Arial" w:cs="Arial"/>
          <w:sz w:val="24"/>
          <w:szCs w:val="24"/>
        </w:rPr>
        <w:t xml:space="preserve">and </w:t>
      </w:r>
      <w:r w:rsidRPr="006B2FC7">
        <w:rPr>
          <w:rFonts w:ascii="Arial" w:hAnsi="Arial" w:cs="Arial"/>
          <w:sz w:val="24"/>
          <w:szCs w:val="24"/>
        </w:rPr>
        <w:t>interquartile ranges</w:t>
      </w:r>
      <w:r>
        <w:rPr>
          <w:rFonts w:ascii="Arial" w:hAnsi="Arial" w:cs="Arial"/>
          <w:sz w:val="24"/>
          <w:szCs w:val="24"/>
        </w:rPr>
        <w:t xml:space="preserve"> </w:t>
      </w:r>
      <w:r w:rsidRPr="006B2FC7">
        <w:rPr>
          <w:rFonts w:ascii="Arial" w:hAnsi="Arial" w:cs="Arial"/>
          <w:sz w:val="24"/>
          <w:szCs w:val="24"/>
        </w:rPr>
        <w:t xml:space="preserve">for Likert scale rating. </w:t>
      </w:r>
      <w:r>
        <w:rPr>
          <w:rFonts w:ascii="Arial" w:hAnsi="Arial" w:cs="Arial"/>
          <w:sz w:val="24"/>
          <w:szCs w:val="24"/>
        </w:rPr>
        <w:t>B</w:t>
      </w:r>
      <w:r w:rsidRPr="00D3601C">
        <w:rPr>
          <w:rFonts w:ascii="Arial" w:hAnsi="Arial" w:cs="Arial"/>
          <w:sz w:val="24"/>
          <w:szCs w:val="24"/>
        </w:rPr>
        <w:t>ivariate</w:t>
      </w:r>
      <w:r w:rsidRPr="006B2FC7">
        <w:rPr>
          <w:rFonts w:ascii="Arial" w:hAnsi="Arial" w:cs="Arial"/>
          <w:sz w:val="24"/>
          <w:szCs w:val="24"/>
        </w:rPr>
        <w:t xml:space="preserve"> analysis </w:t>
      </w:r>
      <w:r>
        <w:rPr>
          <w:rFonts w:ascii="Arial" w:hAnsi="Arial" w:cs="Arial"/>
          <w:sz w:val="24"/>
          <w:szCs w:val="24"/>
        </w:rPr>
        <w:t>was</w:t>
      </w:r>
      <w:r w:rsidRPr="006B2FC7">
        <w:rPr>
          <w:rFonts w:ascii="Arial" w:hAnsi="Arial" w:cs="Arial"/>
          <w:sz w:val="24"/>
          <w:szCs w:val="24"/>
        </w:rPr>
        <w:t xml:space="preserve"> then used to look for association between two variables which can come from different types of questions, nominal, ordinal, and continuous. </w:t>
      </w:r>
    </w:p>
    <w:p w14:paraId="4B15CF91" w14:textId="77777777" w:rsidR="00EB7F85" w:rsidRDefault="00EB7F85" w:rsidP="00EB7F85">
      <w:pPr>
        <w:spacing w:line="360" w:lineRule="auto"/>
        <w:jc w:val="both"/>
        <w:rPr>
          <w:rFonts w:ascii="Arial" w:hAnsi="Arial" w:cs="Arial"/>
          <w:sz w:val="24"/>
          <w:szCs w:val="24"/>
        </w:rPr>
      </w:pPr>
      <w:r w:rsidRPr="00744977">
        <w:rPr>
          <w:rFonts w:ascii="Arial" w:hAnsi="Arial" w:cs="Arial"/>
          <w:sz w:val="24"/>
          <w:szCs w:val="24"/>
          <w:shd w:val="clear" w:color="auto" w:fill="FFFFFF"/>
          <w:lang w:val="en-GB"/>
        </w:rPr>
        <w:t>Crosstabulation analysis was performed on these variables</w:t>
      </w:r>
      <w:r w:rsidRPr="005D346C">
        <w:rPr>
          <w:rFonts w:ascii="Arial" w:hAnsi="Arial" w:cs="Arial"/>
          <w:sz w:val="24"/>
          <w:szCs w:val="24"/>
          <w:shd w:val="clear" w:color="auto" w:fill="FFFFFF"/>
          <w:lang w:val="en-GB"/>
        </w:rPr>
        <w:t xml:space="preserve"> </w:t>
      </w:r>
      <w:r>
        <w:rPr>
          <w:rFonts w:ascii="Arial" w:hAnsi="Arial" w:cs="Arial"/>
          <w:sz w:val="24"/>
          <w:szCs w:val="24"/>
          <w:shd w:val="clear" w:color="auto" w:fill="FFFFFF"/>
          <w:lang w:val="en-GB"/>
        </w:rPr>
        <w:t>and i</w:t>
      </w:r>
      <w:r w:rsidRPr="005D346C">
        <w:rPr>
          <w:rFonts w:ascii="Arial" w:hAnsi="Arial" w:cs="Arial"/>
          <w:sz w:val="24"/>
          <w:szCs w:val="24"/>
          <w:shd w:val="clear" w:color="auto" w:fill="FFFFFF"/>
          <w:lang w:val="en-GB"/>
        </w:rPr>
        <w:t>nferential tests were conducted</w:t>
      </w:r>
      <w:r>
        <w:rPr>
          <w:rFonts w:ascii="Arial" w:hAnsi="Arial" w:cs="Arial"/>
          <w:sz w:val="24"/>
          <w:szCs w:val="24"/>
          <w:lang w:val="en-GB"/>
        </w:rPr>
        <w:t xml:space="preserve">; </w:t>
      </w:r>
      <w:r w:rsidRPr="006B2FC7">
        <w:rPr>
          <w:rFonts w:ascii="Arial" w:hAnsi="Arial" w:cs="Arial"/>
          <w:color w:val="000000"/>
          <w:sz w:val="24"/>
          <w:szCs w:val="24"/>
          <w:lang w:val="en-GB"/>
        </w:rPr>
        <w:t xml:space="preserve">a P value of &lt; 0.05 </w:t>
      </w:r>
      <w:r>
        <w:rPr>
          <w:rFonts w:ascii="Arial" w:hAnsi="Arial" w:cs="Arial"/>
          <w:color w:val="000000"/>
          <w:sz w:val="24"/>
          <w:szCs w:val="24"/>
          <w:lang w:val="en-GB"/>
        </w:rPr>
        <w:t>is</w:t>
      </w:r>
      <w:r w:rsidRPr="006B2FC7">
        <w:rPr>
          <w:rFonts w:ascii="Arial" w:hAnsi="Arial" w:cs="Arial"/>
          <w:color w:val="000000"/>
          <w:sz w:val="24"/>
          <w:szCs w:val="24"/>
          <w:lang w:val="en-GB"/>
        </w:rPr>
        <w:t xml:space="preserve"> considered to indicate statistically significant differences when the groups are compared </w:t>
      </w:r>
      <w:r w:rsidRPr="006B2FC7">
        <w:rPr>
          <w:rFonts w:ascii="Arial" w:hAnsi="Arial" w:cs="Arial"/>
          <w:sz w:val="24"/>
          <w:szCs w:val="24"/>
        </w:rPr>
        <w:t>looking for significant associations between two variables, such as independent demographic variables and dependent attitudinal or experiential variables. For instance, the chi-squared test</w:t>
      </w:r>
      <w:r>
        <w:rPr>
          <w:rFonts w:ascii="Arial" w:hAnsi="Arial" w:cs="Arial"/>
          <w:sz w:val="24"/>
          <w:szCs w:val="24"/>
        </w:rPr>
        <w:t xml:space="preserve"> and Fisher Exact test</w:t>
      </w:r>
      <w:r w:rsidRPr="006B2FC7">
        <w:rPr>
          <w:rFonts w:ascii="Arial" w:hAnsi="Arial" w:cs="Arial"/>
          <w:sz w:val="24"/>
          <w:szCs w:val="24"/>
        </w:rPr>
        <w:t xml:space="preserve"> </w:t>
      </w:r>
      <w:r>
        <w:rPr>
          <w:rFonts w:ascii="Arial" w:hAnsi="Arial" w:cs="Arial"/>
          <w:sz w:val="24"/>
          <w:szCs w:val="24"/>
        </w:rPr>
        <w:t>were</w:t>
      </w:r>
      <w:r w:rsidRPr="006B2FC7">
        <w:rPr>
          <w:rFonts w:ascii="Arial" w:hAnsi="Arial" w:cs="Arial"/>
          <w:sz w:val="24"/>
          <w:szCs w:val="24"/>
        </w:rPr>
        <w:t xml:space="preserve"> used to compare between two ordinal variables such as in Likert scale </w:t>
      </w:r>
      <w:r>
        <w:rPr>
          <w:rFonts w:ascii="Arial" w:hAnsi="Arial" w:cs="Arial"/>
          <w:sz w:val="24"/>
          <w:szCs w:val="24"/>
        </w:rPr>
        <w:t>and professionals’ category</w:t>
      </w:r>
      <w:r w:rsidRPr="006B2FC7">
        <w:rPr>
          <w:rFonts w:ascii="Arial" w:hAnsi="Arial" w:cs="Arial"/>
          <w:sz w:val="24"/>
          <w:szCs w:val="24"/>
        </w:rPr>
        <w:t xml:space="preserve">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{"citationItems":[{"id":"ITEM-1","itemData":{"DOI":"10.1108/MRR-02-2013-0027","ISSN":"20408269","abstract":"Purpose: This article aims to draw on experience in supervising new researchers, and the advice of other writers to offer novice researchers such as those engaged in study for a thesis, or in another small-scale research project, a pragmatic introduction to designing and using research questionnaires. Design/methodology/approach: After a brief introduction, this article is organized into three main sections: designing questionnaires, distributing questionnaires, and analysing and presenting questionnaire data. Within these sections, ten questions often asked by novice researchers are posed and answered. Findings: This article is designed to give novice researchers advice and support to help them to design good questionnaires, to maximise their response rate, and to undertake appropriate data analysis. Originality/value: Other research methods texts offer advice on questionnaire design and use, but their advice is not specifically tailored to new researchers. They tend to offer options, but provide limited guidance on making crucial decisions in questionnaire design, distribution and data analysis and presentation. © Emerald Group Publishing Limited.","author":[{"dropping-particle":"","family":"Rowley","given":"Jenny","non-dropping-particle":"","parse-names":false,"suffix":""}],"container-title":"Management Research Review","id":"ITEM-1","issue":"3","issued":{"date-parts":[["2014"]]},"page":"308-330","title":"Designing and using research questionnaires","type":"article-journal","volume":"37"},"uris":["http://www.mendeley.com/documents/?uuid=516608a8-41bf-4bf7-8883-4316ed74189f"]}],"mendeley":{"formattedCitation":"(Rowley, 2014)","plainTextFormattedCitation":"(Rowley, 2014)","previouslyFormattedCitation":"(Rowley, 2014)"},"properties":{"noteIndex":0},"schema":"https://github.com/citation-style-language/schema/raw/master/csl-citation.json"}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(Rowley, 2014)</w:t>
      </w:r>
      <w:r w:rsidRPr="006B2FC7">
        <w:rPr>
          <w:rFonts w:ascii="Arial" w:hAnsi="Arial" w:cs="Arial"/>
          <w:sz w:val="24"/>
          <w:szCs w:val="24"/>
        </w:rPr>
        <w:fldChar w:fldCharType="end"/>
      </w:r>
      <w:r w:rsidRPr="006B2FC7">
        <w:rPr>
          <w:rFonts w:ascii="Arial" w:hAnsi="Arial" w:cs="Arial"/>
          <w:sz w:val="24"/>
          <w:szCs w:val="24"/>
        </w:rPr>
        <w:t xml:space="preserve">. P&lt;0.05 </w:t>
      </w:r>
      <w:r>
        <w:rPr>
          <w:rFonts w:ascii="Arial" w:hAnsi="Arial" w:cs="Arial"/>
          <w:sz w:val="24"/>
          <w:szCs w:val="24"/>
        </w:rPr>
        <w:t>is</w:t>
      </w:r>
      <w:r w:rsidRPr="006B2FC7">
        <w:rPr>
          <w:rFonts w:ascii="Arial" w:hAnsi="Arial" w:cs="Arial"/>
          <w:sz w:val="24"/>
          <w:szCs w:val="24"/>
        </w:rPr>
        <w:t xml:space="preserve"> considered statistically significant. Statistical correlation analysis </w:t>
      </w:r>
      <w:r>
        <w:rPr>
          <w:rFonts w:ascii="Arial" w:hAnsi="Arial" w:cs="Arial"/>
          <w:sz w:val="24"/>
          <w:szCs w:val="24"/>
        </w:rPr>
        <w:t xml:space="preserve">was </w:t>
      </w:r>
      <w:r w:rsidRPr="006B2FC7">
        <w:rPr>
          <w:rFonts w:ascii="Arial" w:hAnsi="Arial" w:cs="Arial"/>
          <w:sz w:val="24"/>
          <w:szCs w:val="24"/>
        </w:rPr>
        <w:t>also used to examine the relationship between variables</w:t>
      </w:r>
      <w:r>
        <w:rPr>
          <w:rFonts w:ascii="Arial" w:hAnsi="Arial" w:cs="Arial"/>
          <w:sz w:val="24"/>
          <w:szCs w:val="24"/>
        </w:rPr>
        <w:t xml:space="preserve">. </w:t>
      </w:r>
      <w:r w:rsidRPr="006B2FC7">
        <w:rPr>
          <w:rFonts w:ascii="Arial" w:hAnsi="Arial" w:cs="Arial"/>
          <w:sz w:val="24"/>
          <w:szCs w:val="24"/>
        </w:rPr>
        <w:t xml:space="preserve">For instance, the </w:t>
      </w:r>
      <w:r w:rsidRPr="006B2FC7">
        <w:rPr>
          <w:rFonts w:ascii="Arial" w:hAnsi="Arial" w:cs="Arial"/>
          <w:color w:val="000000"/>
          <w:sz w:val="24"/>
          <w:szCs w:val="24"/>
          <w:shd w:val="clear" w:color="auto" w:fill="FFFFFF"/>
          <w:lang w:val="en-GB"/>
        </w:rPr>
        <w:t xml:space="preserve">Spearman’s rank correlation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used to measure the association </w:t>
      </w:r>
      <w:r w:rsidRPr="005A4E0B">
        <w:rPr>
          <w:rFonts w:ascii="Arial" w:hAnsi="Arial" w:cs="Arial"/>
          <w:sz w:val="24"/>
          <w:szCs w:val="24"/>
        </w:rPr>
        <w:t xml:space="preserve">between ordinal variables </w:t>
      </w:r>
      <w:r w:rsidRPr="005A4E0B">
        <w:rPr>
          <w:rFonts w:ascii="Arial" w:hAnsi="Arial" w:cs="Arial"/>
          <w:sz w:val="24"/>
          <w:szCs w:val="24"/>
        </w:rPr>
        <w:fldChar w:fldCharType="begin" w:fldLock="1"/>
      </w:r>
      <w:r w:rsidRPr="005A4E0B">
        <w:rPr>
          <w:rFonts w:ascii="Arial" w:hAnsi="Arial" w:cs="Arial"/>
          <w:sz w:val="24"/>
          <w:szCs w:val="24"/>
        </w:rPr>
        <w:instrText>ADDIN CSL_CITATION {"citationItems":[{"id":"ITEM-1","itemData":{"DOI":"10.1108/MRR-02-2013-0027","ISSN":"20408269","abstract":"Purpose: This article aims to draw on experience in supervising new researchers, and the advice of other writers to offer novice researchers such as those engaged in study for a thesis, or in another small-scale research project, a pragmatic introduction to designing and using research questionnaires. Design/methodology/approach: After a brief introduction, this article is organized into three main sections: designing questionnaires, distributing questionnaires, and analysing and presenting questionnaire data. Within these sections, ten questions often asked by novice researchers are posed and answered. Findings: This article is designed to give novice researchers advice and support to help them to design good questionnaires, to maximise their response rate, and to undertake appropriate data analysis. Originality/value: Other research methods texts offer advice on questionnaire design and use, but their advice is not specifically tailored to new researchers. They tend to offer options, but provide limited guidance on making crucial decisions in questionnaire design, distribution and data analysis and presentation. © Emerald Group Publishing Limited.","author":[{"dropping-particle":"","family":"Rowley","given":"Jenny","non-dropping-particle":"","parse-names":false,"suffix":""}],"container-title":"Management Research Review","id":"ITEM-1","issue":"3","issued":{"date-parts":[["2014"]]},"page":"308-330","title":"Designing and using research questionnaires","type":"article-journal","volume":"37"},"uris":["http://www.mendeley.com/documents/?uuid=516608a8-41bf-4bf7-8883-4316ed74189f"]}],"mendeley":{"formattedCitation":"(Rowley, 2014)","plainTextFormattedCitation":"(Rowley, 2014)","previouslyFormattedCitation":"(Rowley, 2014)"},"properties":{"noteIndex":0},"schema":"https://github.com/citation-style-language/schema/raw/master/csl-citation.json"}</w:instrText>
      </w:r>
      <w:r w:rsidRPr="005A4E0B">
        <w:rPr>
          <w:rFonts w:ascii="Arial" w:hAnsi="Arial" w:cs="Arial"/>
          <w:sz w:val="24"/>
          <w:szCs w:val="24"/>
        </w:rPr>
        <w:fldChar w:fldCharType="separate"/>
      </w:r>
      <w:r w:rsidRPr="005A4E0B">
        <w:rPr>
          <w:rFonts w:ascii="Arial" w:hAnsi="Arial" w:cs="Arial"/>
          <w:noProof/>
          <w:sz w:val="24"/>
          <w:szCs w:val="24"/>
        </w:rPr>
        <w:t>(Rowley, 2014)</w:t>
      </w:r>
      <w:r w:rsidRPr="005A4E0B">
        <w:rPr>
          <w:rFonts w:ascii="Arial" w:hAnsi="Arial" w:cs="Arial"/>
          <w:sz w:val="24"/>
          <w:szCs w:val="24"/>
        </w:rPr>
        <w:fldChar w:fldCharType="end"/>
      </w:r>
      <w:r w:rsidRPr="005A4E0B">
        <w:rPr>
          <w:rFonts w:ascii="Arial" w:hAnsi="Arial" w:cs="Arial"/>
          <w:sz w:val="24"/>
          <w:szCs w:val="24"/>
        </w:rPr>
        <w:t xml:space="preserve"> such as participants' years of experience and their levels of agreement on the potential benefits of adding pharmacists to the diabetes care team in the PHCs in </w:t>
      </w:r>
      <w:r>
        <w:rPr>
          <w:rFonts w:ascii="Arial" w:hAnsi="Arial" w:cs="Arial"/>
          <w:sz w:val="24"/>
          <w:szCs w:val="24"/>
        </w:rPr>
        <w:t>SA</w:t>
      </w:r>
      <w:r w:rsidRPr="005A4E0B">
        <w:rPr>
          <w:rFonts w:ascii="Arial" w:hAnsi="Arial" w:cs="Arial"/>
          <w:sz w:val="24"/>
          <w:szCs w:val="24"/>
        </w:rPr>
        <w:t>.</w:t>
      </w:r>
    </w:p>
    <w:p w14:paraId="1EC8B96E" w14:textId="77777777" w:rsidR="00EB7F85" w:rsidRDefault="00EB7F85" w:rsidP="00EB7F85">
      <w:pPr>
        <w:spacing w:line="360" w:lineRule="auto"/>
        <w:jc w:val="both"/>
        <w:rPr>
          <w:rFonts w:ascii="Arial" w:hAnsi="Arial" w:cs="Arial"/>
          <w:sz w:val="24"/>
          <w:szCs w:val="24"/>
        </w:rPr>
      </w:pPr>
      <w:r w:rsidRPr="006B2FC7">
        <w:rPr>
          <w:rFonts w:ascii="Arial" w:hAnsi="Arial" w:cs="Arial"/>
          <w:color w:val="000000"/>
          <w:sz w:val="24"/>
          <w:szCs w:val="24"/>
          <w:shd w:val="clear" w:color="auto" w:fill="FFFFFF"/>
          <w:lang w:val="en-GB"/>
        </w:rPr>
        <w:t xml:space="preserve">A descriptive analysis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conducted of all major variables in the study, </w:t>
      </w:r>
      <w:r>
        <w:rPr>
          <w:rFonts w:ascii="Arial" w:hAnsi="Arial" w:cs="Arial"/>
          <w:color w:val="000000"/>
          <w:sz w:val="24"/>
          <w:szCs w:val="24"/>
          <w:shd w:val="clear" w:color="auto" w:fill="FFFFFF"/>
          <w:lang w:val="en-GB"/>
        </w:rPr>
        <w:t xml:space="preserve">and </w:t>
      </w:r>
      <w:r w:rsidRPr="006B2FC7">
        <w:rPr>
          <w:rFonts w:ascii="Arial" w:hAnsi="Arial" w:cs="Arial"/>
          <w:color w:val="000000"/>
          <w:sz w:val="24"/>
          <w:szCs w:val="24"/>
          <w:shd w:val="clear" w:color="auto" w:fill="FFFFFF"/>
          <w:lang w:val="en-GB"/>
        </w:rPr>
        <w:t>assessing the reliability and validity of the measures</w:t>
      </w:r>
      <w:r>
        <w:rPr>
          <w:rFonts w:ascii="Arial" w:hAnsi="Arial" w:cs="Arial"/>
          <w:color w:val="000000"/>
          <w:sz w:val="24"/>
          <w:szCs w:val="24"/>
          <w:shd w:val="clear" w:color="auto" w:fill="FFFFFF"/>
          <w:lang w:val="en-GB"/>
        </w:rPr>
        <w:t>.</w:t>
      </w:r>
    </w:p>
    <w:p w14:paraId="157E7CF1" w14:textId="77777777" w:rsidR="00EB7F85" w:rsidRPr="000627CC" w:rsidRDefault="00EB7F85" w:rsidP="00EB7F85">
      <w:pPr>
        <w:spacing w:line="360" w:lineRule="auto"/>
        <w:jc w:val="both"/>
        <w:rPr>
          <w:rFonts w:ascii="Arial" w:hAnsi="Arial" w:cs="Arial"/>
          <w:sz w:val="24"/>
          <w:szCs w:val="24"/>
        </w:rPr>
      </w:pPr>
    </w:p>
    <w:p w14:paraId="308BE412" w14:textId="77777777" w:rsidR="00EB7F85" w:rsidRPr="00876389" w:rsidRDefault="00EB7F85" w:rsidP="00876389">
      <w:pPr>
        <w:pStyle w:val="Heading4"/>
        <w:numPr>
          <w:ilvl w:val="3"/>
          <w:numId w:val="14"/>
        </w:numPr>
        <w:tabs>
          <w:tab w:val="left" w:pos="810"/>
          <w:tab w:val="left" w:pos="1080"/>
        </w:tabs>
        <w:spacing w:line="360" w:lineRule="auto"/>
        <w:ind w:left="360" w:hanging="360"/>
        <w:rPr>
          <w:rFonts w:asciiTheme="minorBidi" w:hAnsiTheme="minorBidi" w:cstheme="minorBidi"/>
          <w:sz w:val="24"/>
          <w:szCs w:val="24"/>
        </w:rPr>
      </w:pPr>
      <w:bookmarkStart w:id="122" w:name="_Ref122806679"/>
      <w:r w:rsidRPr="00876389">
        <w:rPr>
          <w:rFonts w:asciiTheme="minorBidi" w:hAnsiTheme="minorBidi" w:cstheme="minorBidi"/>
          <w:sz w:val="24"/>
          <w:szCs w:val="24"/>
        </w:rPr>
        <w:t>Validity and reliability</w:t>
      </w:r>
      <w:bookmarkEnd w:id="122"/>
    </w:p>
    <w:p w14:paraId="01B95B10" w14:textId="77777777" w:rsidR="00EB7F85" w:rsidRPr="006B2FC7" w:rsidRDefault="00EB7F85" w:rsidP="00EB7F85">
      <w:pPr>
        <w:spacing w:line="360" w:lineRule="auto"/>
        <w:jc w:val="both"/>
        <w:rPr>
          <w:rFonts w:ascii="Arial" w:hAnsi="Arial" w:cs="Arial"/>
          <w:color w:val="000000"/>
          <w:sz w:val="24"/>
          <w:szCs w:val="24"/>
          <w:shd w:val="clear" w:color="auto" w:fill="FFFFFF"/>
          <w:lang w:val="en-GB"/>
        </w:rPr>
      </w:pPr>
      <w:r w:rsidRPr="006B2FC7">
        <w:rPr>
          <w:rFonts w:ascii="Arial" w:hAnsi="Arial" w:cs="Arial"/>
          <w:color w:val="000000"/>
          <w:sz w:val="24"/>
          <w:szCs w:val="24"/>
          <w:shd w:val="clear" w:color="auto" w:fill="FFFFFF"/>
          <w:lang w:val="en-GB"/>
        </w:rPr>
        <w:t xml:space="preserve">The concepts of validity and reliability are usually used to assess the quality of research. These two concepts are important to evaluate how good research is in terms of how the research design is appropriate and adequate to achieve the research goals </w:t>
      </w:r>
      <w:r w:rsidRPr="006B2FC7">
        <w:rPr>
          <w:rFonts w:ascii="Arial" w:hAnsi="Arial" w:cs="Arial"/>
          <w:color w:val="000000"/>
          <w:sz w:val="24"/>
          <w:szCs w:val="24"/>
          <w:shd w:val="clear" w:color="auto" w:fill="FFFFFF"/>
          <w:lang w:val="en-GB"/>
        </w:rPr>
        <w:fldChar w:fldCharType="begin" w:fldLock="1"/>
      </w:r>
      <w:r w:rsidRPr="006B2FC7">
        <w:rPr>
          <w:rFonts w:ascii="Arial" w:hAnsi="Arial" w:cs="Arial"/>
          <w:color w:val="000000"/>
          <w:sz w:val="24"/>
          <w:szCs w:val="24"/>
          <w:shd w:val="clear" w:color="auto" w:fill="FFFFFF"/>
          <w:lang w:val="en-GB"/>
        </w:rPr>
        <w:instrText>ADDIN CSL_CITATION {"citationItems":[{"id":"ITEM-1","itemData":{"DOI":"10.1136/eb-2015-102129","ISSN":"14689618","PMID":"25979629","author":[{"dropping-particle":"","family":"Heale","given":"Roberta","non-dropping-particle":"","parse-names":false,"suffix":""},{"dropping-particle":"","family":"Twycross","given":"Alison","non-dropping-particle":"","parse-names":false,"suffix":""}],"container-title":"Evidence-Based Nursing","id":"ITEM-1","issue":"3","issued":{"date-parts":[["2015"]]},"page":"66-67","title":"Validity and reliability in quantitative studies","type":"article-journal","volume":"18"},"uris":["http://www.mendeley.com/documents/?uuid=21213d70-f725-4e93-b216-27f08e66fab7"]}],"mendeley":{"formattedCitation":"(Heale and Twycross, 2015)","plainTextFormattedCitation":"(Heale and Twycross, 2015)","previouslyFormattedCitation":"(Heale and Twycross, 2015)"},"properties":{"noteIndex":0},"schema":"https://github.com/citation-style-language/schema/raw/master/csl-citation.json"}</w:instrText>
      </w:r>
      <w:r w:rsidRPr="006B2FC7">
        <w:rPr>
          <w:rFonts w:ascii="Arial" w:hAnsi="Arial" w:cs="Arial"/>
          <w:color w:val="000000"/>
          <w:sz w:val="24"/>
          <w:szCs w:val="24"/>
          <w:shd w:val="clear" w:color="auto" w:fill="FFFFFF"/>
          <w:lang w:val="en-GB"/>
        </w:rPr>
        <w:fldChar w:fldCharType="separate"/>
      </w:r>
      <w:r w:rsidRPr="006B2FC7">
        <w:rPr>
          <w:rFonts w:ascii="Arial" w:hAnsi="Arial" w:cs="Arial"/>
          <w:noProof/>
          <w:color w:val="000000"/>
          <w:sz w:val="24"/>
          <w:szCs w:val="24"/>
          <w:shd w:val="clear" w:color="auto" w:fill="FFFFFF"/>
          <w:lang w:val="en-GB"/>
        </w:rPr>
        <w:t>(Heale and Twycross, 2015)</w:t>
      </w:r>
      <w:r w:rsidRPr="006B2FC7">
        <w:rPr>
          <w:rFonts w:ascii="Arial" w:hAnsi="Arial" w:cs="Arial"/>
          <w:color w:val="000000"/>
          <w:sz w:val="24"/>
          <w:szCs w:val="24"/>
          <w:shd w:val="clear" w:color="auto" w:fill="FFFFFF"/>
          <w:lang w:val="en-GB"/>
        </w:rPr>
        <w:fldChar w:fldCharType="end"/>
      </w:r>
      <w:r w:rsidRPr="006B2FC7">
        <w:rPr>
          <w:rFonts w:ascii="Arial" w:hAnsi="Arial" w:cs="Arial"/>
          <w:color w:val="000000"/>
          <w:sz w:val="24"/>
          <w:szCs w:val="24"/>
          <w:shd w:val="clear" w:color="auto" w:fill="FFFFFF"/>
          <w:lang w:val="en-GB"/>
        </w:rPr>
        <w:t>. The reliability of a study is “</w:t>
      </w:r>
      <w:r w:rsidRPr="006B2FC7">
        <w:rPr>
          <w:rFonts w:ascii="Arial" w:hAnsi="Arial" w:cs="Arial"/>
          <w:i/>
          <w:iCs/>
          <w:color w:val="000000"/>
          <w:sz w:val="24"/>
          <w:szCs w:val="24"/>
          <w:shd w:val="clear" w:color="auto" w:fill="FFFFFF"/>
          <w:lang w:val="en-GB"/>
        </w:rPr>
        <w:t>relates to the consistency of a measure</w:t>
      </w:r>
      <w:r w:rsidRPr="006B2FC7">
        <w:rPr>
          <w:rFonts w:ascii="Arial" w:hAnsi="Arial" w:cs="Arial"/>
          <w:color w:val="000000"/>
          <w:sz w:val="24"/>
          <w:szCs w:val="24"/>
          <w:shd w:val="clear" w:color="auto" w:fill="FFFFFF"/>
          <w:lang w:val="en-GB"/>
        </w:rPr>
        <w:t xml:space="preserve">”  and the validity of a study is the extent to which the finding are accurate in a quantitative study  </w:t>
      </w:r>
      <w:r w:rsidRPr="006B2FC7">
        <w:rPr>
          <w:rFonts w:ascii="Arial" w:hAnsi="Arial" w:cs="Arial"/>
          <w:color w:val="000000"/>
          <w:sz w:val="24"/>
          <w:szCs w:val="24"/>
          <w:shd w:val="clear" w:color="auto" w:fill="FFFFFF"/>
          <w:lang w:val="en-GB"/>
        </w:rPr>
        <w:fldChar w:fldCharType="begin" w:fldLock="1"/>
      </w:r>
      <w:r w:rsidRPr="006B2FC7">
        <w:rPr>
          <w:rFonts w:ascii="Arial" w:hAnsi="Arial" w:cs="Arial"/>
          <w:color w:val="000000"/>
          <w:sz w:val="24"/>
          <w:szCs w:val="24"/>
          <w:shd w:val="clear" w:color="auto" w:fill="FFFFFF"/>
          <w:lang w:val="en-GB"/>
        </w:rPr>
        <w:instrText>ADDIN CSL_CITATION {"citationItems":[{"id":"ITEM-1","itemData":{"DOI":"10.1136/eb-2015-102129","ISSN":"14689618","PMID":"25979629","author":[{"dropping-particle":"","family":"Heale","given":"Roberta","non-dropping-particle":"","parse-names":false,"suffix":""},{"dropping-particle":"","family":"Twycross","given":"Alison","non-dropping-particle":"","parse-names":false,"suffix":""}],"container-title":"Evidence-Based Nursing","id":"ITEM-1","issue":"3","issued":{"date-parts":[["2015"]]},"page":"66-67","title":"Validity and reliability in quantitative studies","type":"article-journal","volume":"18"},"uris":["http://www.mendeley.com/documents/?uuid=21213d70-f725-4e93-b216-27f08e66fab7"]}],"mendeley":{"formattedCitation":"(Heale and Twycross, 2015)","plainTextFormattedCitation":"(Heale and Twycross, 2015)","previouslyFormattedCitation":"(Heale and Twycross, 2015)"},"properties":{"noteIndex":0},"schema":"https://github.com/citation-style-language/schema/raw/master/csl-citation.json"}</w:instrText>
      </w:r>
      <w:r w:rsidRPr="006B2FC7">
        <w:rPr>
          <w:rFonts w:ascii="Arial" w:hAnsi="Arial" w:cs="Arial"/>
          <w:color w:val="000000"/>
          <w:sz w:val="24"/>
          <w:szCs w:val="24"/>
          <w:shd w:val="clear" w:color="auto" w:fill="FFFFFF"/>
          <w:lang w:val="en-GB"/>
        </w:rPr>
        <w:fldChar w:fldCharType="separate"/>
      </w:r>
      <w:r w:rsidRPr="006B2FC7">
        <w:rPr>
          <w:rFonts w:ascii="Arial" w:hAnsi="Arial" w:cs="Arial"/>
          <w:noProof/>
          <w:color w:val="000000"/>
          <w:sz w:val="24"/>
          <w:szCs w:val="24"/>
          <w:shd w:val="clear" w:color="auto" w:fill="FFFFFF"/>
          <w:lang w:val="en-GB"/>
        </w:rPr>
        <w:t>(Heale and Twycross, 2015)</w:t>
      </w:r>
      <w:r w:rsidRPr="006B2FC7">
        <w:rPr>
          <w:rFonts w:ascii="Arial" w:hAnsi="Arial" w:cs="Arial"/>
          <w:color w:val="000000"/>
          <w:sz w:val="24"/>
          <w:szCs w:val="24"/>
          <w:shd w:val="clear" w:color="auto" w:fill="FFFFFF"/>
          <w:lang w:val="en-GB"/>
        </w:rPr>
        <w:fldChar w:fldCharType="end"/>
      </w:r>
      <w:r w:rsidRPr="006B2FC7">
        <w:rPr>
          <w:rFonts w:ascii="Arial" w:hAnsi="Arial" w:cs="Arial"/>
          <w:color w:val="000000"/>
          <w:sz w:val="24"/>
          <w:szCs w:val="24"/>
          <w:shd w:val="clear" w:color="auto" w:fill="FFFFFF"/>
          <w:lang w:val="en-GB"/>
        </w:rPr>
        <w:t xml:space="preserve">. Since reliability relates to the consistency of the study and it is affected by random error; without it the study will not have validity. </w:t>
      </w:r>
    </w:p>
    <w:p w14:paraId="3EE72418" w14:textId="77777777" w:rsidR="00EB7F85" w:rsidRDefault="00EB7F85" w:rsidP="00EB7F85">
      <w:pPr>
        <w:pStyle w:val="NormalWeb"/>
        <w:spacing w:before="0" w:beforeAutospacing="0" w:after="240" w:afterAutospacing="0" w:line="360" w:lineRule="auto"/>
        <w:jc w:val="both"/>
        <w:rPr>
          <w:rFonts w:ascii="Arial" w:hAnsi="Arial" w:cs="Arial"/>
          <w:color w:val="000000"/>
          <w:shd w:val="clear" w:color="auto" w:fill="FFFFFF"/>
          <w:lang w:val="en-GB"/>
        </w:rPr>
      </w:pPr>
      <w:r w:rsidRPr="006B2FC7">
        <w:rPr>
          <w:rFonts w:ascii="Arial" w:hAnsi="Arial" w:cs="Arial"/>
          <w:color w:val="000000"/>
          <w:shd w:val="clear" w:color="auto" w:fill="FFFFFF"/>
          <w:lang w:val="en-GB"/>
        </w:rPr>
        <w:t xml:space="preserve">As the quantitative stage of the study </w:t>
      </w:r>
      <w:r>
        <w:rPr>
          <w:rFonts w:ascii="Arial" w:hAnsi="Arial" w:cs="Arial"/>
          <w:color w:val="000000"/>
          <w:shd w:val="clear" w:color="auto" w:fill="FFFFFF"/>
          <w:lang w:val="en-GB"/>
        </w:rPr>
        <w:t>was</w:t>
      </w:r>
      <w:r w:rsidRPr="006B2FC7">
        <w:rPr>
          <w:rFonts w:ascii="Arial" w:hAnsi="Arial" w:cs="Arial"/>
          <w:color w:val="000000"/>
          <w:shd w:val="clear" w:color="auto" w:fill="FFFFFF"/>
          <w:lang w:val="en-GB"/>
        </w:rPr>
        <w:t xml:space="preserve"> conducted by questionnaire, reliability measure</w:t>
      </w:r>
      <w:r>
        <w:rPr>
          <w:rFonts w:ascii="Arial" w:hAnsi="Arial" w:cs="Arial"/>
          <w:color w:val="000000"/>
          <w:shd w:val="clear" w:color="auto" w:fill="FFFFFF"/>
          <w:lang w:val="en-GB"/>
        </w:rPr>
        <w:t>d</w:t>
      </w:r>
      <w:r w:rsidRPr="006B2FC7">
        <w:rPr>
          <w:rFonts w:ascii="Arial" w:hAnsi="Arial" w:cs="Arial"/>
          <w:color w:val="000000"/>
          <w:shd w:val="clear" w:color="auto" w:fill="FFFFFF"/>
          <w:lang w:val="en-GB"/>
        </w:rPr>
        <w:t xml:space="preserve"> the consistency of the questionnaire, and the validity measure</w:t>
      </w:r>
      <w:r>
        <w:rPr>
          <w:rFonts w:ascii="Arial" w:hAnsi="Arial" w:cs="Arial"/>
          <w:color w:val="000000"/>
          <w:shd w:val="clear" w:color="auto" w:fill="FFFFFF"/>
          <w:lang w:val="en-GB"/>
        </w:rPr>
        <w:t>d</w:t>
      </w:r>
      <w:r w:rsidRPr="006B2FC7">
        <w:rPr>
          <w:rFonts w:ascii="Arial" w:hAnsi="Arial" w:cs="Arial"/>
          <w:color w:val="000000"/>
          <w:shd w:val="clear" w:color="auto" w:fill="FFFFFF"/>
          <w:lang w:val="en-GB"/>
        </w:rPr>
        <w:t xml:space="preserve"> the degree to which the results from the questionnaire agrees with the real world. A good questionnaire should be able to prove qualities of reliability and validity for it in order to produce correct information relating to a particular topic </w:t>
      </w:r>
      <w:r w:rsidRPr="006B2FC7">
        <w:rPr>
          <w:rFonts w:ascii="Arial" w:hAnsi="Arial" w:cs="Arial"/>
          <w:color w:val="000000"/>
          <w:shd w:val="clear" w:color="auto" w:fill="FFFFFF"/>
          <w:lang w:val="en-GB"/>
        </w:rPr>
        <w:fldChar w:fldCharType="begin" w:fldLock="1"/>
      </w:r>
      <w:r w:rsidRPr="006B2FC7">
        <w:rPr>
          <w:rFonts w:ascii="Arial" w:hAnsi="Arial" w:cs="Arial"/>
          <w:color w:val="000000"/>
          <w:shd w:val="clear" w:color="auto" w:fill="FFFFFF"/>
          <w:lang w:val="en-GB"/>
        </w:rPr>
        <w:instrText>ADDIN CSL_CITATION {"citationItems":[{"id":"ITEM-1","itemData":{"DOI":"10.1108/MRR-02-2013-0027","ISSN":"20408269","abstract":"Purpose: This article aims to draw on experience in supervising new researchers, and the advice of other writers to offer novice researchers such as those engaged in study for a thesis, or in another small-scale research project, a pragmatic introduction to designing and using research questionnaires. Design/methodology/approach: After a brief introduction, this article is organized into three main sections: designing questionnaires, distributing questionnaires, and analysing and presenting questionnaire data. Within these sections, ten questions often asked by novice researchers are posed and answered. Findings: This article is designed to give novice researchers advice and support to help them to design good questionnaires, to maximise their response rate, and to undertake appropriate data analysis. Originality/value: Other research methods texts offer advice on questionnaire design and use, but their advice is not specifically tailored to new researchers. They tend to offer options, but provide limited guidance on making crucial decisions in questionnaire design, distribution and data analysis and presentation. © Emerald Group Publishing Limited.","author":[{"dropping-particle":"","family":"Rowley","given":"Jenny","non-dropping-particle":"","parse-names":false,"suffix":""}],"container-title":"Management Research Review","id":"ITEM-1","issue":"3","issued":{"date-parts":[["2014"]]},"page":"308-330","title":"Designing and using research questionnaires","type":"article-journal","volume":"37"},"uris":["http://www.mendeley.com/documents/?uuid=516608a8-41bf-4bf7-8883-4316ed74189f"]}],"mendeley":{"formattedCitation":"(Rowley, 2014)","plainTextFormattedCitation":"(Rowley, 2014)","previouslyFormattedCitation":"(Rowley, 2014)"},"properties":{"noteIndex":0},"schema":"https://github.com/citation-style-language/schema/raw/master/csl-citation.json"}</w:instrText>
      </w:r>
      <w:r w:rsidRPr="006B2FC7">
        <w:rPr>
          <w:rFonts w:ascii="Arial" w:hAnsi="Arial" w:cs="Arial"/>
          <w:color w:val="000000"/>
          <w:shd w:val="clear" w:color="auto" w:fill="FFFFFF"/>
          <w:lang w:val="en-GB"/>
        </w:rPr>
        <w:fldChar w:fldCharType="separate"/>
      </w:r>
      <w:r w:rsidRPr="006B2FC7">
        <w:rPr>
          <w:rFonts w:ascii="Arial" w:hAnsi="Arial" w:cs="Arial"/>
          <w:noProof/>
          <w:color w:val="000000"/>
          <w:shd w:val="clear" w:color="auto" w:fill="FFFFFF"/>
          <w:lang w:val="en-GB"/>
        </w:rPr>
        <w:t>(Rowley, 2014)</w:t>
      </w:r>
      <w:r w:rsidRPr="006B2FC7">
        <w:rPr>
          <w:rFonts w:ascii="Arial" w:hAnsi="Arial" w:cs="Arial"/>
          <w:color w:val="000000"/>
          <w:shd w:val="clear" w:color="auto" w:fill="FFFFFF"/>
          <w:lang w:val="en-GB"/>
        </w:rPr>
        <w:fldChar w:fldCharType="end"/>
      </w:r>
      <w:r w:rsidRPr="006B2FC7">
        <w:rPr>
          <w:rFonts w:ascii="Arial" w:hAnsi="Arial" w:cs="Arial"/>
          <w:color w:val="000000"/>
          <w:shd w:val="clear" w:color="auto" w:fill="FFFFFF"/>
          <w:lang w:val="en-GB"/>
        </w:rPr>
        <w:t xml:space="preserve">. The reliability and validity are directly affected by the design of questionnaire. </w:t>
      </w:r>
      <w:r>
        <w:rPr>
          <w:rFonts w:ascii="Arial" w:hAnsi="Arial" w:cs="Arial"/>
          <w:color w:val="000000"/>
          <w:shd w:val="clear" w:color="auto" w:fill="FFFFFF"/>
          <w:lang w:val="en-GB"/>
        </w:rPr>
        <w:t xml:space="preserve">Therefore, </w:t>
      </w:r>
      <w:r w:rsidRPr="006B2FC7">
        <w:rPr>
          <w:rFonts w:ascii="Arial" w:hAnsi="Arial" w:cs="Arial"/>
          <w:color w:val="000000"/>
          <w:shd w:val="clear" w:color="auto" w:fill="FFFFFF"/>
          <w:lang w:val="en-GB"/>
        </w:rPr>
        <w:t>using an established questionnaire</w:t>
      </w:r>
      <w:r>
        <w:rPr>
          <w:rFonts w:ascii="Arial" w:hAnsi="Arial" w:cs="Arial"/>
          <w:color w:val="000000"/>
          <w:shd w:val="clear" w:color="auto" w:fill="FFFFFF"/>
          <w:lang w:val="en-GB"/>
        </w:rPr>
        <w:t xml:space="preserve"> would help achieve to </w:t>
      </w:r>
      <w:r w:rsidRPr="006B2FC7">
        <w:rPr>
          <w:rFonts w:ascii="Arial" w:hAnsi="Arial" w:cs="Arial"/>
          <w:color w:val="000000"/>
          <w:shd w:val="clear" w:color="auto" w:fill="FFFFFF"/>
          <w:lang w:val="en-GB"/>
        </w:rPr>
        <w:t xml:space="preserve">the necessary reliability and validity. </w:t>
      </w:r>
      <w:r>
        <w:rPr>
          <w:rFonts w:ascii="Arial" w:hAnsi="Arial" w:cs="Arial"/>
          <w:color w:val="000000"/>
          <w:shd w:val="clear" w:color="auto" w:fill="FFFFFF"/>
          <w:lang w:val="en-GB"/>
        </w:rPr>
        <w:t xml:space="preserve">However, the researcher constructs the questionnaire for the reasons mentioned in  </w:t>
      </w:r>
      <w:r>
        <w:rPr>
          <w:rFonts w:ascii="Arial" w:hAnsi="Arial" w:cs="Arial"/>
          <w:color w:val="000000"/>
          <w:shd w:val="clear" w:color="auto" w:fill="FFFFFF"/>
          <w:lang w:val="en-GB"/>
        </w:rPr>
        <w:fldChar w:fldCharType="begin"/>
      </w:r>
      <w:r>
        <w:rPr>
          <w:rFonts w:ascii="Arial" w:hAnsi="Arial" w:cs="Arial"/>
          <w:color w:val="000000"/>
          <w:shd w:val="clear" w:color="auto" w:fill="FFFFFF"/>
          <w:lang w:val="en-GB"/>
        </w:rPr>
        <w:instrText xml:space="preserve"> REF _Ref122190462 \r \h  \* MERGEFORMAT </w:instrText>
      </w:r>
      <w:r>
        <w:rPr>
          <w:rFonts w:ascii="Arial" w:hAnsi="Arial" w:cs="Arial"/>
          <w:color w:val="000000"/>
          <w:shd w:val="clear" w:color="auto" w:fill="FFFFFF"/>
          <w:lang w:val="en-GB"/>
        </w:rPr>
      </w:r>
      <w:r>
        <w:rPr>
          <w:rFonts w:ascii="Arial" w:hAnsi="Arial" w:cs="Arial"/>
          <w:color w:val="000000"/>
          <w:shd w:val="clear" w:color="auto" w:fill="FFFFFF"/>
          <w:lang w:val="en-GB"/>
        </w:rPr>
        <w:fldChar w:fldCharType="separate"/>
      </w:r>
      <w:r>
        <w:rPr>
          <w:rFonts w:ascii="Arial" w:hAnsi="Arial" w:cs="Arial"/>
          <w:color w:val="000000"/>
          <w:shd w:val="clear" w:color="auto" w:fill="FFFFFF"/>
          <w:cs/>
          <w:lang w:val="en-GB"/>
        </w:rPr>
        <w:t>‎</w:t>
      </w:r>
      <w:r>
        <w:rPr>
          <w:rFonts w:ascii="Arial" w:hAnsi="Arial" w:cs="Arial"/>
          <w:color w:val="000000"/>
          <w:shd w:val="clear" w:color="auto" w:fill="FFFFFF"/>
          <w:lang w:val="en-GB"/>
        </w:rPr>
        <w:t>4.2.5</w:t>
      </w:r>
      <w:r>
        <w:rPr>
          <w:rFonts w:ascii="Arial" w:hAnsi="Arial" w:cs="Arial"/>
          <w:color w:val="000000"/>
          <w:shd w:val="clear" w:color="auto" w:fill="FFFFFF"/>
          <w:lang w:val="en-GB"/>
        </w:rPr>
        <w:fldChar w:fldCharType="end"/>
      </w:r>
      <w:r>
        <w:rPr>
          <w:rFonts w:ascii="Arial" w:hAnsi="Arial" w:cs="Arial"/>
          <w:color w:val="000000"/>
          <w:shd w:val="clear" w:color="auto" w:fill="FFFFFF"/>
          <w:lang w:val="en-GB"/>
        </w:rPr>
        <w:t xml:space="preserve">. </w:t>
      </w:r>
    </w:p>
    <w:p w14:paraId="446077CD" w14:textId="77777777" w:rsidR="00EB7F85" w:rsidRPr="00486FD7" w:rsidRDefault="00EB7F85" w:rsidP="00EB7F85">
      <w:pPr>
        <w:pStyle w:val="NormalWeb"/>
        <w:spacing w:before="0" w:beforeAutospacing="0" w:after="240" w:afterAutospacing="0" w:line="360" w:lineRule="auto"/>
        <w:jc w:val="both"/>
        <w:rPr>
          <w:color w:val="161616"/>
        </w:rPr>
      </w:pPr>
      <w:r w:rsidRPr="006B2FC7">
        <w:rPr>
          <w:rFonts w:ascii="Arial" w:hAnsi="Arial" w:cs="Arial"/>
          <w:color w:val="000000"/>
          <w:shd w:val="clear" w:color="auto" w:fill="FFFFFF"/>
          <w:lang w:val="en-GB"/>
        </w:rPr>
        <w:t>The reliability and validity are directly affected by the design of questionnaire.</w:t>
      </w:r>
      <w:r>
        <w:rPr>
          <w:rFonts w:ascii="Arial" w:hAnsi="Arial" w:cs="Arial"/>
          <w:color w:val="000000"/>
          <w:shd w:val="clear" w:color="auto" w:fill="FFFFFF"/>
          <w:lang w:val="en-GB"/>
        </w:rPr>
        <w:t xml:space="preserve"> </w:t>
      </w:r>
      <w:r w:rsidRPr="00BB1A6A">
        <w:rPr>
          <w:rFonts w:ascii="Arial" w:hAnsi="Arial" w:cs="Arial"/>
          <w:color w:val="000000"/>
          <w:shd w:val="clear" w:color="auto" w:fill="FFFFFF"/>
          <w:lang w:val="en-GB"/>
        </w:rPr>
        <w:t>The questionnaire was informed by existing similar surveys and the literature review of pharmacist involvement in diabetes care.</w:t>
      </w:r>
      <w:r>
        <w:rPr>
          <w:rFonts w:ascii="Arial" w:hAnsi="Arial" w:cs="Arial"/>
          <w:color w:val="000000"/>
          <w:shd w:val="clear" w:color="auto" w:fill="FFFFFF"/>
          <w:lang w:val="en-GB"/>
        </w:rPr>
        <w:t xml:space="preserve"> In addition, a</w:t>
      </w:r>
      <w:r w:rsidRPr="00937A98">
        <w:rPr>
          <w:rFonts w:ascii="Arial" w:hAnsi="Arial" w:cs="Arial"/>
          <w:color w:val="000000"/>
          <w:shd w:val="clear" w:color="auto" w:fill="FFFFFF"/>
          <w:lang w:val="en-GB"/>
        </w:rPr>
        <w:t xml:space="preserve"> considerable amount of time and effort were spent on constructing this </w:t>
      </w:r>
      <w:r>
        <w:rPr>
          <w:rFonts w:ascii="Arial" w:hAnsi="Arial" w:cs="Arial"/>
          <w:color w:val="000000"/>
          <w:shd w:val="clear" w:color="auto" w:fill="FFFFFF"/>
          <w:lang w:val="en-GB"/>
        </w:rPr>
        <w:t>questionnaire</w:t>
      </w:r>
      <w:r w:rsidRPr="00937A98">
        <w:rPr>
          <w:rFonts w:ascii="Arial" w:hAnsi="Arial" w:cs="Arial"/>
          <w:color w:val="000000"/>
          <w:shd w:val="clear" w:color="auto" w:fill="FFFFFF"/>
          <w:lang w:val="en-GB"/>
        </w:rPr>
        <w:t xml:space="preserve">, which may help validate it because designing the survey correctly is a critical step to ensure that the data collected from it will be reliable and valid so it can answer the research questions. </w:t>
      </w:r>
      <w:r>
        <w:rPr>
          <w:rFonts w:ascii="Arial" w:hAnsi="Arial" w:cs="Arial"/>
          <w:color w:val="000000"/>
          <w:shd w:val="clear" w:color="auto" w:fill="FFFFFF"/>
          <w:lang w:val="en-GB"/>
        </w:rPr>
        <w:t>T</w:t>
      </w:r>
      <w:r w:rsidRPr="006B2FC7">
        <w:rPr>
          <w:rFonts w:ascii="Arial" w:hAnsi="Arial" w:cs="Arial"/>
          <w:color w:val="000000"/>
          <w:shd w:val="clear" w:color="auto" w:fill="FFFFFF"/>
          <w:lang w:val="en-GB"/>
        </w:rPr>
        <w:t xml:space="preserve">he necessary reliability and validity </w:t>
      </w:r>
      <w:r>
        <w:rPr>
          <w:rFonts w:ascii="Arial" w:hAnsi="Arial" w:cs="Arial"/>
          <w:color w:val="000000"/>
          <w:shd w:val="clear" w:color="auto" w:fill="FFFFFF"/>
          <w:lang w:val="en-GB"/>
        </w:rPr>
        <w:t>were</w:t>
      </w:r>
      <w:r w:rsidRPr="006B2FC7">
        <w:rPr>
          <w:rFonts w:ascii="Arial" w:hAnsi="Arial" w:cs="Arial"/>
          <w:color w:val="000000"/>
          <w:shd w:val="clear" w:color="auto" w:fill="FFFFFF"/>
          <w:lang w:val="en-GB"/>
        </w:rPr>
        <w:t xml:space="preserve"> </w:t>
      </w:r>
      <w:r>
        <w:rPr>
          <w:rFonts w:ascii="Arial" w:hAnsi="Arial" w:cs="Arial"/>
          <w:color w:val="000000"/>
          <w:shd w:val="clear" w:color="auto" w:fill="FFFFFF"/>
          <w:lang w:val="en-GB"/>
        </w:rPr>
        <w:t xml:space="preserve">also </w:t>
      </w:r>
      <w:r w:rsidRPr="006B2FC7">
        <w:rPr>
          <w:rFonts w:ascii="Arial" w:hAnsi="Arial" w:cs="Arial"/>
          <w:color w:val="000000"/>
          <w:shd w:val="clear" w:color="auto" w:fill="FFFFFF"/>
          <w:lang w:val="en-GB"/>
        </w:rPr>
        <w:t>achieved</w:t>
      </w:r>
      <w:r>
        <w:rPr>
          <w:rFonts w:ascii="Arial" w:hAnsi="Arial" w:cs="Arial"/>
          <w:color w:val="000000"/>
          <w:shd w:val="clear" w:color="auto" w:fill="FFFFFF"/>
          <w:lang w:val="en-GB"/>
        </w:rPr>
        <w:t xml:space="preserve"> by </w:t>
      </w:r>
      <w:r w:rsidRPr="006B2FC7">
        <w:rPr>
          <w:rFonts w:ascii="Arial" w:hAnsi="Arial" w:cs="Arial"/>
          <w:color w:val="000000"/>
          <w:shd w:val="clear" w:color="auto" w:fill="FFFFFF"/>
          <w:lang w:val="en-GB"/>
        </w:rPr>
        <w:t xml:space="preserve">conducting a pilot test on small sample size from the same targeted population to assess the validity of the questionnaire before administrating on a larger sample size. </w:t>
      </w:r>
    </w:p>
    <w:p w14:paraId="43E0BE1A" w14:textId="77777777" w:rsidR="00EB7F85" w:rsidRDefault="00EB7F85" w:rsidP="00EB7F85">
      <w:pPr>
        <w:spacing w:line="360" w:lineRule="auto"/>
        <w:jc w:val="both"/>
        <w:rPr>
          <w:rFonts w:ascii="Arial" w:hAnsi="Arial" w:cs="Arial"/>
          <w:color w:val="000000"/>
          <w:sz w:val="24"/>
          <w:szCs w:val="24"/>
          <w:lang w:val="en-GB"/>
        </w:rPr>
      </w:pPr>
      <w:r w:rsidRPr="006B2FC7">
        <w:rPr>
          <w:rFonts w:ascii="Arial" w:hAnsi="Arial" w:cs="Arial"/>
          <w:color w:val="000000"/>
          <w:sz w:val="24"/>
          <w:szCs w:val="24"/>
          <w:lang w:val="en-GB"/>
        </w:rPr>
        <w:t xml:space="preserve">After having obtained the quantitative results, a decision </w:t>
      </w:r>
      <w:r>
        <w:rPr>
          <w:rFonts w:ascii="Arial" w:hAnsi="Arial" w:cs="Arial"/>
          <w:color w:val="000000"/>
          <w:sz w:val="24"/>
          <w:szCs w:val="24"/>
          <w:lang w:val="en-GB"/>
        </w:rPr>
        <w:t>was</w:t>
      </w:r>
      <w:r w:rsidRPr="006B2FC7">
        <w:rPr>
          <w:rFonts w:ascii="Arial" w:hAnsi="Arial" w:cs="Arial"/>
          <w:color w:val="000000"/>
          <w:sz w:val="24"/>
          <w:szCs w:val="24"/>
          <w:lang w:val="en-GB"/>
        </w:rPr>
        <w:t xml:space="preserve"> made about which results need to be further explored through the qualitative data collection. For instance, any results which are unclear, unexpected, surprising, or statistically significant/nonsignificant </w:t>
      </w:r>
      <w:r>
        <w:rPr>
          <w:rFonts w:ascii="Arial" w:hAnsi="Arial" w:cs="Arial"/>
          <w:color w:val="000000"/>
          <w:sz w:val="24"/>
          <w:szCs w:val="24"/>
          <w:lang w:val="en-GB"/>
        </w:rPr>
        <w:t>were</w:t>
      </w:r>
      <w:r w:rsidRPr="006B2FC7">
        <w:rPr>
          <w:rFonts w:ascii="Arial" w:hAnsi="Arial" w:cs="Arial"/>
          <w:color w:val="000000"/>
          <w:sz w:val="24"/>
          <w:szCs w:val="24"/>
          <w:lang w:val="en-GB"/>
        </w:rPr>
        <w:t xml:space="preserve"> examined in more detail </w:t>
      </w:r>
      <w:r>
        <w:rPr>
          <w:rFonts w:ascii="Arial" w:hAnsi="Arial" w:cs="Arial"/>
          <w:color w:val="000000"/>
          <w:sz w:val="24"/>
          <w:szCs w:val="24"/>
          <w:lang w:val="en-GB"/>
        </w:rPr>
        <w:fldChar w:fldCharType="begin" w:fldLock="1"/>
      </w:r>
      <w:r>
        <w:rPr>
          <w:rFonts w:ascii="Arial" w:hAnsi="Arial" w:cs="Arial"/>
          <w:color w:val="000000"/>
          <w:sz w:val="24"/>
          <w:szCs w:val="24"/>
          <w:lang w:val="en-GB"/>
        </w:rPr>
        <w:instrText>ADDIN CSL_CITATION {"citationItems":[{"id":"ITEM-1","itemData":{"author":[{"dropping-particle":"","family":"Creswell","given":"John W","non-dropping-particle":"","parse-names":false,"suffix":""},{"dropping-particle":"","family":"Clark","given":"Vicki L Piano","non-dropping-particle":"","parse-names":false,"suffix":""}],"id":"ITEM-1","issued":{"date-parts":[["2017"]]},"title":"Designing and Conducting Mixed Methods Research Third Edition","type":"report"},"uris":["http://www.mendeley.com/documents/?uuid=bbc18315-bb08-3054-9313-2768fe2d433d"]}],"mendeley":{"formattedCitation":"(Creswell and Clark, 2017)","plainTextFormattedCitation":"(Creswell and Clark, 2017)","previouslyFormattedCitation":"(Creswell and Clark, 2017)"},"properties":{"noteIndex":0},"schema":"https://github.com/citation-style-language/schema/raw/master/csl-citation.json"}</w:instrText>
      </w:r>
      <w:r>
        <w:rPr>
          <w:rFonts w:ascii="Arial" w:hAnsi="Arial" w:cs="Arial"/>
          <w:color w:val="000000"/>
          <w:sz w:val="24"/>
          <w:szCs w:val="24"/>
          <w:lang w:val="en-GB"/>
        </w:rPr>
        <w:fldChar w:fldCharType="separate"/>
      </w:r>
      <w:r w:rsidRPr="00BB7899">
        <w:rPr>
          <w:rFonts w:ascii="Arial" w:hAnsi="Arial" w:cs="Arial"/>
          <w:noProof/>
          <w:color w:val="000000"/>
          <w:sz w:val="24"/>
          <w:szCs w:val="24"/>
          <w:lang w:val="en-GB"/>
        </w:rPr>
        <w:t>(Creswell and Clark, 2017)</w:t>
      </w:r>
      <w:r>
        <w:rPr>
          <w:rFonts w:ascii="Arial" w:hAnsi="Arial" w:cs="Arial"/>
          <w:color w:val="000000"/>
          <w:sz w:val="24"/>
          <w:szCs w:val="24"/>
          <w:lang w:val="en-GB"/>
        </w:rPr>
        <w:fldChar w:fldCharType="end"/>
      </w:r>
      <w:r>
        <w:rPr>
          <w:rFonts w:ascii="Arial" w:hAnsi="Arial" w:cs="Arial"/>
          <w:color w:val="000000"/>
          <w:sz w:val="24"/>
          <w:szCs w:val="24"/>
          <w:lang w:val="en-GB"/>
        </w:rPr>
        <w:t xml:space="preserve"> </w:t>
      </w:r>
      <w:r w:rsidRPr="006B2FC7">
        <w:rPr>
          <w:rFonts w:ascii="Arial" w:hAnsi="Arial" w:cs="Arial"/>
          <w:color w:val="000000"/>
          <w:sz w:val="24"/>
          <w:szCs w:val="24"/>
          <w:lang w:val="en-GB"/>
        </w:rPr>
        <w:t>through operationalisation into interview questions for use with subsequent qualitative phase participants.</w:t>
      </w:r>
    </w:p>
    <w:p w14:paraId="1FE9C1FD" w14:textId="77777777" w:rsidR="00EB7F85" w:rsidRDefault="00EB7F85" w:rsidP="00EB7F85">
      <w:pPr>
        <w:spacing w:line="360" w:lineRule="auto"/>
        <w:jc w:val="both"/>
        <w:rPr>
          <w:rFonts w:ascii="Arial" w:hAnsi="Arial" w:cs="Arial"/>
          <w:color w:val="000000"/>
          <w:sz w:val="24"/>
          <w:szCs w:val="24"/>
          <w:lang w:val="en-GB"/>
        </w:rPr>
      </w:pPr>
    </w:p>
    <w:p w14:paraId="65C3D8E1" w14:textId="77777777" w:rsidR="00EB7F85" w:rsidRDefault="00EB7F85" w:rsidP="000B330D">
      <w:pPr>
        <w:pStyle w:val="Heading3"/>
        <w:numPr>
          <w:ilvl w:val="2"/>
          <w:numId w:val="14"/>
        </w:numPr>
        <w:tabs>
          <w:tab w:val="left" w:pos="900"/>
        </w:tabs>
        <w:spacing w:line="257" w:lineRule="auto"/>
        <w:ind w:left="360" w:hanging="360"/>
        <w:rPr>
          <w:shd w:val="clear" w:color="auto" w:fill="FFFFFF"/>
        </w:rPr>
      </w:pPr>
      <w:bookmarkStart w:id="123" w:name="_Toc153894181"/>
      <w:r w:rsidRPr="00C365BD">
        <w:rPr>
          <w:shd w:val="clear" w:color="auto" w:fill="FFFFFF"/>
        </w:rPr>
        <w:t>Qualitative data analysis</w:t>
      </w:r>
      <w:bookmarkEnd w:id="123"/>
    </w:p>
    <w:p w14:paraId="25642501" w14:textId="77777777" w:rsidR="00EB7F85" w:rsidRPr="003D51CC" w:rsidRDefault="00EB7F85" w:rsidP="00EB7F85"/>
    <w:p w14:paraId="0DEC551C" w14:textId="77777777" w:rsidR="00EB7F85" w:rsidRPr="00876389" w:rsidRDefault="00EB7F85" w:rsidP="000B330D">
      <w:pPr>
        <w:pStyle w:val="Heading4"/>
        <w:numPr>
          <w:ilvl w:val="3"/>
          <w:numId w:val="14"/>
        </w:numPr>
        <w:tabs>
          <w:tab w:val="left" w:pos="720"/>
          <w:tab w:val="left" w:pos="810"/>
          <w:tab w:val="left" w:pos="990"/>
        </w:tabs>
        <w:spacing w:line="360" w:lineRule="auto"/>
        <w:ind w:left="360" w:hanging="360"/>
        <w:rPr>
          <w:rFonts w:asciiTheme="minorBidi" w:hAnsiTheme="minorBidi" w:cstheme="minorBidi"/>
          <w:sz w:val="24"/>
          <w:szCs w:val="24"/>
        </w:rPr>
      </w:pPr>
      <w:r w:rsidRPr="00876389">
        <w:rPr>
          <w:rFonts w:asciiTheme="minorBidi" w:hAnsiTheme="minorBidi" w:cstheme="minorBidi"/>
          <w:sz w:val="24"/>
          <w:szCs w:val="24"/>
        </w:rPr>
        <w:t xml:space="preserve">Thematic analysis </w:t>
      </w:r>
    </w:p>
    <w:p w14:paraId="3E89BA0F" w14:textId="77777777" w:rsidR="00EB7F85" w:rsidRDefault="00EB7F85" w:rsidP="00EB7F85">
      <w:pPr>
        <w:spacing w:line="360" w:lineRule="auto"/>
        <w:jc w:val="both"/>
        <w:rPr>
          <w:rFonts w:asciiTheme="minorBidi" w:hAnsiTheme="minorBidi"/>
          <w:sz w:val="24"/>
          <w:szCs w:val="24"/>
        </w:rPr>
      </w:pPr>
      <w:r>
        <w:rPr>
          <w:rFonts w:ascii="Arial" w:hAnsi="Arial" w:cs="Arial"/>
          <w:sz w:val="24"/>
          <w:szCs w:val="24"/>
        </w:rPr>
        <w:fldChar w:fldCharType="begin" w:fldLock="1"/>
      </w:r>
      <w:r>
        <w:rPr>
          <w:rFonts w:ascii="Arial" w:hAnsi="Arial" w:cs="Arial"/>
          <w:sz w:val="24"/>
          <w:szCs w:val="24"/>
        </w:rPr>
        <w:instrText>ADDIN CSL_CITATION {"citationItems":[{"id":"ITEM-1","itemData":{"DOI":"10.1017/CBO9781107415324.004","ISBN":"9788578110796","ISSN":"1098-6596","PMID":"25246403","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psychology","type":"article-journal","volume":"3"},"uris":["http://www.mendeley.com/documents/?uuid=313efa51-b353-4c7c-b082-8e25b743995e"]}],"mendeley":{"formattedCitation":"(Braun and Clarke, 2006)","manualFormatting":"Braun and Clarke, (2006)","plainTextFormattedCitation":"(Braun and Clarke, 2006)","previouslyFormattedCitation":"(Braun and Clarke, 2006)"},"properties":{"noteIndex":0},"schema":"https://github.com/citation-style-language/schema/raw/master/csl-citation.json"}</w:instrText>
      </w:r>
      <w:r>
        <w:rPr>
          <w:rFonts w:ascii="Arial" w:hAnsi="Arial" w:cs="Arial"/>
          <w:sz w:val="24"/>
          <w:szCs w:val="24"/>
        </w:rPr>
        <w:fldChar w:fldCharType="separate"/>
      </w:r>
      <w:r w:rsidRPr="004B1009">
        <w:rPr>
          <w:rFonts w:ascii="Arial" w:hAnsi="Arial" w:cs="Arial"/>
          <w:noProof/>
          <w:sz w:val="24"/>
          <w:szCs w:val="24"/>
        </w:rPr>
        <w:t xml:space="preserve">Braun and Clarke, </w:t>
      </w:r>
      <w:r>
        <w:rPr>
          <w:rFonts w:ascii="Arial" w:hAnsi="Arial" w:cs="Arial"/>
          <w:noProof/>
          <w:sz w:val="24"/>
          <w:szCs w:val="24"/>
        </w:rPr>
        <w:t>(</w:t>
      </w:r>
      <w:r w:rsidRPr="004B1009">
        <w:rPr>
          <w:rFonts w:ascii="Arial" w:hAnsi="Arial" w:cs="Arial"/>
          <w:noProof/>
          <w:sz w:val="24"/>
          <w:szCs w:val="24"/>
        </w:rPr>
        <w:t>2006)</w:t>
      </w:r>
      <w:r>
        <w:rPr>
          <w:rFonts w:ascii="Arial" w:hAnsi="Arial" w:cs="Arial"/>
          <w:sz w:val="24"/>
          <w:szCs w:val="24"/>
        </w:rPr>
        <w:fldChar w:fldCharType="end"/>
      </w:r>
      <w:r w:rsidRPr="006B2FC7">
        <w:rPr>
          <w:rFonts w:ascii="Arial" w:hAnsi="Arial" w:cs="Arial"/>
          <w:sz w:val="24"/>
          <w:szCs w:val="24"/>
        </w:rPr>
        <w:t xml:space="preserve"> 6 phase thematic analysis process </w:t>
      </w:r>
      <w:r>
        <w:rPr>
          <w:rFonts w:ascii="Arial" w:hAnsi="Arial" w:cs="Arial"/>
          <w:sz w:val="24"/>
          <w:szCs w:val="24"/>
        </w:rPr>
        <w:t>was</w:t>
      </w:r>
      <w:r w:rsidRPr="006B2FC7">
        <w:rPr>
          <w:rFonts w:ascii="Arial" w:hAnsi="Arial" w:cs="Arial"/>
          <w:sz w:val="24"/>
          <w:szCs w:val="24"/>
        </w:rPr>
        <w:t xml:space="preserve"> used to analyse interview data. Transcription </w:t>
      </w:r>
      <w:r>
        <w:rPr>
          <w:rFonts w:ascii="Arial" w:hAnsi="Arial" w:cs="Arial"/>
          <w:sz w:val="24"/>
          <w:szCs w:val="24"/>
        </w:rPr>
        <w:t xml:space="preserve">of </w:t>
      </w:r>
      <w:r w:rsidRPr="006B2FC7">
        <w:rPr>
          <w:rFonts w:ascii="Arial" w:hAnsi="Arial" w:cs="Arial"/>
          <w:sz w:val="24"/>
          <w:szCs w:val="24"/>
        </w:rPr>
        <w:t>verbal data to written form (</w:t>
      </w:r>
      <w:r w:rsidRPr="006B2FC7">
        <w:rPr>
          <w:rFonts w:ascii="Arial" w:hAnsi="Arial" w:cs="Arial"/>
          <w:color w:val="000000"/>
          <w:sz w:val="24"/>
          <w:szCs w:val="24"/>
          <w:shd w:val="clear" w:color="auto" w:fill="FFFFFF"/>
          <w:lang w:val="en-GB"/>
        </w:rPr>
        <w:t>a Word file)</w:t>
      </w:r>
      <w:r w:rsidRPr="006B2FC7">
        <w:rPr>
          <w:rFonts w:ascii="Arial" w:hAnsi="Arial" w:cs="Arial"/>
          <w:sz w:val="24"/>
          <w:szCs w:val="24"/>
        </w:rPr>
        <w:t xml:space="preserve"> is necessary in order to prepare data for thematic analysis. </w:t>
      </w:r>
      <w:r>
        <w:rPr>
          <w:rFonts w:ascii="Arial" w:hAnsi="Arial" w:cs="Arial"/>
          <w:sz w:val="24"/>
          <w:szCs w:val="24"/>
        </w:rPr>
        <w:t xml:space="preserve">Therefore, </w:t>
      </w:r>
      <w:r>
        <w:rPr>
          <w:rFonts w:asciiTheme="minorBidi" w:hAnsiTheme="minorBidi"/>
          <w:sz w:val="24"/>
          <w:szCs w:val="24"/>
        </w:rPr>
        <w:t>t</w:t>
      </w:r>
      <w:r w:rsidRPr="0064271D">
        <w:rPr>
          <w:rFonts w:asciiTheme="minorBidi" w:hAnsiTheme="minorBidi"/>
          <w:sz w:val="24"/>
          <w:szCs w:val="24"/>
        </w:rPr>
        <w:t xml:space="preserve">he interviews were audio-recorded, and the recordings were transcribed. The supervisors read the first three transcripts to check the quality of questions been asked and the richness of information obtained. The Arabic transcripts (6 out of 9) were translated to English by the researcher, who is a native </w:t>
      </w:r>
      <w:r>
        <w:rPr>
          <w:rFonts w:asciiTheme="minorBidi" w:hAnsiTheme="minorBidi"/>
          <w:sz w:val="24"/>
          <w:szCs w:val="24"/>
        </w:rPr>
        <w:t xml:space="preserve">Arabic </w:t>
      </w:r>
      <w:r w:rsidRPr="0064271D">
        <w:rPr>
          <w:rFonts w:asciiTheme="minorBidi" w:hAnsiTheme="minorBidi"/>
          <w:sz w:val="24"/>
          <w:szCs w:val="24"/>
        </w:rPr>
        <w:t>speaker, then sent to the participants for confirmation and feedback. The translated transcripts were coded manually in addition to using NVivo to help in organi</w:t>
      </w:r>
      <w:r>
        <w:rPr>
          <w:rFonts w:asciiTheme="minorBidi" w:hAnsiTheme="minorBidi"/>
          <w:sz w:val="24"/>
          <w:szCs w:val="24"/>
        </w:rPr>
        <w:t>s</w:t>
      </w:r>
      <w:r w:rsidRPr="0064271D">
        <w:rPr>
          <w:rFonts w:asciiTheme="minorBidi" w:hAnsiTheme="minorBidi"/>
          <w:sz w:val="24"/>
          <w:szCs w:val="24"/>
        </w:rPr>
        <w:t xml:space="preserve">ing data. </w:t>
      </w:r>
      <w:r w:rsidRPr="009E3A56">
        <w:rPr>
          <w:rFonts w:asciiTheme="minorBidi" w:hAnsiTheme="minorBidi"/>
          <w:sz w:val="24"/>
          <w:szCs w:val="24"/>
        </w:rPr>
        <w:t>Thematic analysis is used to analy</w:t>
      </w:r>
      <w:r>
        <w:rPr>
          <w:rFonts w:asciiTheme="minorBidi" w:hAnsiTheme="minorBidi"/>
          <w:sz w:val="24"/>
          <w:szCs w:val="24"/>
        </w:rPr>
        <w:t>s</w:t>
      </w:r>
      <w:r w:rsidRPr="009E3A56">
        <w:rPr>
          <w:rFonts w:asciiTheme="minorBidi" w:hAnsiTheme="minorBidi"/>
          <w:sz w:val="24"/>
          <w:szCs w:val="24"/>
        </w:rPr>
        <w:t>e data as it is a common approach to analy</w:t>
      </w:r>
      <w:r>
        <w:rPr>
          <w:rFonts w:asciiTheme="minorBidi" w:hAnsiTheme="minorBidi"/>
          <w:sz w:val="24"/>
          <w:szCs w:val="24"/>
        </w:rPr>
        <w:t>s</w:t>
      </w:r>
      <w:r w:rsidRPr="009E3A56">
        <w:rPr>
          <w:rFonts w:asciiTheme="minorBidi" w:hAnsiTheme="minorBidi"/>
          <w:sz w:val="24"/>
          <w:szCs w:val="24"/>
        </w:rPr>
        <w:t>ing qualitative intervie</w:t>
      </w:r>
      <w:r>
        <w:rPr>
          <w:rFonts w:asciiTheme="minorBidi" w:hAnsiTheme="minorBidi"/>
          <w:sz w:val="24"/>
          <w:szCs w:val="24"/>
        </w:rPr>
        <w:t>w</w:t>
      </w:r>
      <w:r w:rsidRPr="009E3A56">
        <w:rPr>
          <w:rFonts w:asciiTheme="minorBidi" w:hAnsiTheme="minorBidi"/>
          <w:sz w:val="24"/>
          <w:szCs w:val="24"/>
        </w:rPr>
        <w:t xml:space="preserve"> data due to its flexibility and suitability for such kind</w:t>
      </w:r>
      <w:r>
        <w:rPr>
          <w:rFonts w:asciiTheme="minorBidi" w:hAnsiTheme="minorBidi"/>
          <w:sz w:val="24"/>
          <w:szCs w:val="24"/>
        </w:rPr>
        <w:t>s</w:t>
      </w:r>
      <w:r w:rsidRPr="009E3A56">
        <w:rPr>
          <w:rFonts w:asciiTheme="minorBidi" w:hAnsiTheme="minorBidi"/>
          <w:sz w:val="24"/>
          <w:szCs w:val="24"/>
        </w:rPr>
        <w:t xml:space="preserve"> of data. </w:t>
      </w:r>
      <w:r w:rsidRPr="002B4F14">
        <w:rPr>
          <w:rFonts w:asciiTheme="minorBidi" w:hAnsiTheme="minorBidi"/>
          <w:sz w:val="24"/>
          <w:szCs w:val="24"/>
        </w:rPr>
        <w:t>Pharmacy practice and pharmacist's roles in diabetes management were embedded within each theme and sub-theme.</w:t>
      </w:r>
      <w:r>
        <w:rPr>
          <w:rFonts w:asciiTheme="minorBidi" w:hAnsiTheme="minorBidi"/>
          <w:sz w:val="24"/>
          <w:szCs w:val="24"/>
        </w:rPr>
        <w:t xml:space="preserve"> </w:t>
      </w:r>
    </w:p>
    <w:p w14:paraId="44B3B5B4" w14:textId="77777777" w:rsidR="00EB7F85" w:rsidRDefault="00EB7F85" w:rsidP="00EB7F85">
      <w:pPr>
        <w:spacing w:line="360" w:lineRule="auto"/>
        <w:jc w:val="both"/>
        <w:rPr>
          <w:rFonts w:ascii="Arial" w:hAnsi="Arial" w:cs="Arial"/>
          <w:sz w:val="24"/>
          <w:szCs w:val="24"/>
        </w:rPr>
      </w:pPr>
      <w:r>
        <w:rPr>
          <w:rFonts w:asciiTheme="minorBidi" w:hAnsiTheme="minorBidi"/>
          <w:sz w:val="24"/>
          <w:szCs w:val="24"/>
        </w:rPr>
        <w:t xml:space="preserve">A suggestion was proposed by a researcher regarding transcription of the interviews; </w:t>
      </w:r>
      <w:r w:rsidRPr="006B2FC7">
        <w:rPr>
          <w:rFonts w:ascii="Arial" w:hAnsi="Arial" w:cs="Arial"/>
          <w:sz w:val="24"/>
          <w:szCs w:val="24"/>
          <w:lang w:val="en-GB"/>
        </w:rPr>
        <w:t>audio</w:t>
      </w:r>
      <w:r w:rsidRPr="006B2FC7">
        <w:rPr>
          <w:rFonts w:ascii="Arial" w:hAnsi="Arial" w:cs="Arial"/>
          <w:sz w:val="24"/>
          <w:szCs w:val="24"/>
        </w:rPr>
        <w:t xml:space="preserve"> recording data </w:t>
      </w:r>
      <w:r>
        <w:rPr>
          <w:rFonts w:ascii="Arial" w:hAnsi="Arial" w:cs="Arial"/>
          <w:sz w:val="24"/>
          <w:szCs w:val="24"/>
        </w:rPr>
        <w:t>to</w:t>
      </w:r>
      <w:r w:rsidRPr="006B2FC7">
        <w:rPr>
          <w:rFonts w:ascii="Arial" w:hAnsi="Arial" w:cs="Arial"/>
          <w:sz w:val="24"/>
          <w:szCs w:val="24"/>
        </w:rPr>
        <w:t xml:space="preserve"> be given to an individual professional transcriber who is on the university-approved list</w:t>
      </w:r>
      <w:r>
        <w:rPr>
          <w:rFonts w:ascii="Arial" w:hAnsi="Arial" w:cs="Arial"/>
          <w:sz w:val="24"/>
          <w:szCs w:val="24"/>
        </w:rPr>
        <w:t xml:space="preserve">. </w:t>
      </w:r>
      <w:r w:rsidRPr="006B2FC7">
        <w:rPr>
          <w:rFonts w:ascii="Arial" w:hAnsi="Arial" w:cs="Arial"/>
          <w:sz w:val="24"/>
          <w:szCs w:val="24"/>
        </w:rPr>
        <w:t>The data protection guidelines of the university will be applied before transporting</w:t>
      </w:r>
      <w:r>
        <w:rPr>
          <w:rFonts w:ascii="Arial" w:hAnsi="Arial" w:cs="Arial"/>
          <w:sz w:val="24"/>
          <w:szCs w:val="24"/>
        </w:rPr>
        <w:t xml:space="preserve"> </w:t>
      </w:r>
      <w:r w:rsidRPr="006B2FC7">
        <w:rPr>
          <w:rFonts w:ascii="Arial" w:hAnsi="Arial" w:cs="Arial"/>
          <w:sz w:val="24"/>
          <w:szCs w:val="24"/>
        </w:rPr>
        <w:t xml:space="preserve">of audio files to the transcriber’s computer. Encrypted audio files will be transported to the transcriber’s computer via an encrypted memory stick which would be borrowed from the university. </w:t>
      </w:r>
      <w:r>
        <w:rPr>
          <w:rFonts w:ascii="Arial" w:hAnsi="Arial" w:cs="Arial"/>
          <w:sz w:val="24"/>
          <w:szCs w:val="24"/>
        </w:rPr>
        <w:t xml:space="preserve"> In addition, a</w:t>
      </w:r>
      <w:r w:rsidRPr="006B2FC7">
        <w:rPr>
          <w:rFonts w:ascii="Arial" w:hAnsi="Arial" w:cs="Arial"/>
          <w:sz w:val="24"/>
          <w:szCs w:val="24"/>
        </w:rPr>
        <w:t xml:space="preserve">udio recording data that need to translate from Arabic to English </w:t>
      </w:r>
      <w:r>
        <w:rPr>
          <w:rFonts w:ascii="Arial" w:hAnsi="Arial" w:cs="Arial"/>
          <w:sz w:val="24"/>
          <w:szCs w:val="24"/>
        </w:rPr>
        <w:t>to</w:t>
      </w:r>
      <w:r w:rsidRPr="006B2FC7">
        <w:rPr>
          <w:rFonts w:ascii="Arial" w:hAnsi="Arial" w:cs="Arial"/>
          <w:sz w:val="24"/>
          <w:szCs w:val="24"/>
        </w:rPr>
        <w:t xml:space="preserve"> be given to approved translation office, then the transcription process will be done for these records. </w:t>
      </w:r>
      <w:r>
        <w:rPr>
          <w:rFonts w:ascii="Arial" w:hAnsi="Arial" w:cs="Arial"/>
          <w:sz w:val="24"/>
          <w:szCs w:val="24"/>
        </w:rPr>
        <w:t>However, the decision was made to transcript interviews by the researcher in order to engage more with the data and also for financial reasons as this research is not funded.</w:t>
      </w:r>
    </w:p>
    <w:p w14:paraId="3D4E9594" w14:textId="4620EC1A" w:rsidR="00EB7F85" w:rsidRPr="00322821"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Braun and Clarke (2006) provided guidance to thematic analysis through outlining the six phases of analysis. The stages of this process are now set out in detail </w:t>
      </w:r>
      <w:r>
        <w:rPr>
          <w:rFonts w:ascii="Arial" w:hAnsi="Arial" w:cs="Arial"/>
          <w:sz w:val="24"/>
          <w:szCs w:val="24"/>
        </w:rPr>
        <w:t xml:space="preserve">in </w:t>
      </w:r>
      <w:r w:rsidRPr="00322821">
        <w:rPr>
          <w:rFonts w:ascii="Arial" w:hAnsi="Arial" w:cs="Arial"/>
          <w:color w:val="1F3864" w:themeColor="accent1" w:themeShade="80"/>
          <w:sz w:val="24"/>
          <w:szCs w:val="24"/>
        </w:rPr>
        <w:fldChar w:fldCharType="begin"/>
      </w:r>
      <w:r w:rsidRPr="00322821">
        <w:rPr>
          <w:rFonts w:ascii="Arial" w:hAnsi="Arial" w:cs="Arial"/>
          <w:color w:val="1F3864" w:themeColor="accent1" w:themeShade="80"/>
          <w:sz w:val="24"/>
          <w:szCs w:val="24"/>
        </w:rPr>
        <w:instrText xml:space="preserve"> REF _Ref122194368 \h  \* MERGEFORMAT </w:instrText>
      </w:r>
      <w:r w:rsidRPr="00322821">
        <w:rPr>
          <w:rFonts w:ascii="Arial" w:hAnsi="Arial" w:cs="Arial"/>
          <w:color w:val="1F3864" w:themeColor="accent1" w:themeShade="80"/>
          <w:sz w:val="24"/>
          <w:szCs w:val="24"/>
        </w:rPr>
      </w:r>
      <w:r w:rsidRPr="00322821">
        <w:rPr>
          <w:rFonts w:ascii="Arial" w:hAnsi="Arial" w:cs="Arial"/>
          <w:color w:val="1F3864" w:themeColor="accent1" w:themeShade="80"/>
          <w:sz w:val="24"/>
          <w:szCs w:val="24"/>
        </w:rPr>
        <w:fldChar w:fldCharType="separate"/>
      </w:r>
      <w:r w:rsidR="004E295B" w:rsidRPr="004E295B">
        <w:rPr>
          <w:rFonts w:ascii="Arial" w:hAnsi="Arial" w:cs="Arial"/>
          <w:color w:val="1F3864" w:themeColor="accent1" w:themeShade="80"/>
          <w:sz w:val="24"/>
          <w:szCs w:val="24"/>
        </w:rPr>
        <w:t>Table 10</w:t>
      </w:r>
      <w:r w:rsidRPr="00322821">
        <w:rPr>
          <w:rFonts w:ascii="Arial" w:hAnsi="Arial" w:cs="Arial"/>
          <w:color w:val="1F3864" w:themeColor="accent1" w:themeShade="80"/>
          <w:sz w:val="24"/>
          <w:szCs w:val="24"/>
        </w:rPr>
        <w:fldChar w:fldCharType="end"/>
      </w:r>
      <w:r w:rsidRPr="00322821">
        <w:rPr>
          <w:rFonts w:ascii="Arial" w:hAnsi="Arial" w:cs="Arial"/>
          <w:color w:val="1F3864" w:themeColor="accent1" w:themeShade="80"/>
          <w:sz w:val="24"/>
          <w:szCs w:val="24"/>
        </w:rPr>
        <w:t>.</w:t>
      </w:r>
    </w:p>
    <w:p w14:paraId="0ACD2AC8" w14:textId="77777777" w:rsidR="00EB7F85" w:rsidRPr="004C63AE" w:rsidRDefault="00EB7F85" w:rsidP="00EB7F85">
      <w:pPr>
        <w:spacing w:line="360" w:lineRule="auto"/>
        <w:jc w:val="both"/>
        <w:rPr>
          <w:rFonts w:ascii="Arial" w:hAnsi="Arial" w:cs="Arial"/>
          <w:sz w:val="24"/>
          <w:szCs w:val="24"/>
        </w:rPr>
      </w:pPr>
    </w:p>
    <w:p w14:paraId="7BEEF03A" w14:textId="77777777" w:rsidR="00EB7F85" w:rsidRDefault="00EB7F85" w:rsidP="00EB7F85">
      <w:pPr>
        <w:rPr>
          <w:lang w:val="en-GB"/>
        </w:rPr>
        <w:sectPr w:rsidR="00EB7F85">
          <w:pgSz w:w="12240" w:h="15840"/>
          <w:pgMar w:top="1440" w:right="1440" w:bottom="1440" w:left="1440" w:header="720" w:footer="720" w:gutter="0"/>
          <w:cols w:space="720"/>
          <w:docGrid w:linePitch="360"/>
        </w:sectPr>
      </w:pPr>
    </w:p>
    <w:p w14:paraId="1882DC68" w14:textId="1A0E2474" w:rsidR="00EB7F85" w:rsidRPr="00DE35BE" w:rsidRDefault="00EB7F85" w:rsidP="00EB7F85">
      <w:pPr>
        <w:pStyle w:val="Caption"/>
        <w:keepNext/>
        <w:rPr>
          <w:sz w:val="22"/>
          <w:szCs w:val="22"/>
        </w:rPr>
      </w:pPr>
      <w:bookmarkStart w:id="124" w:name="_Ref122194368"/>
      <w:bookmarkStart w:id="125" w:name="_Toc41920376"/>
      <w:bookmarkStart w:id="126" w:name="_Toc153894564"/>
      <w:r w:rsidRPr="00DE35BE">
        <w:rPr>
          <w:sz w:val="22"/>
          <w:szCs w:val="22"/>
        </w:rPr>
        <w:t xml:space="preserve">Table </w:t>
      </w:r>
      <w:r w:rsidRPr="00DE35BE">
        <w:rPr>
          <w:sz w:val="22"/>
          <w:szCs w:val="22"/>
        </w:rPr>
        <w:fldChar w:fldCharType="begin"/>
      </w:r>
      <w:r w:rsidRPr="00DE35BE">
        <w:rPr>
          <w:sz w:val="22"/>
          <w:szCs w:val="22"/>
        </w:rPr>
        <w:instrText xml:space="preserve"> SEQ Table \* ARABIC </w:instrText>
      </w:r>
      <w:r w:rsidRPr="00DE35BE">
        <w:rPr>
          <w:sz w:val="22"/>
          <w:szCs w:val="22"/>
        </w:rPr>
        <w:fldChar w:fldCharType="separate"/>
      </w:r>
      <w:r w:rsidR="009B31EB">
        <w:rPr>
          <w:noProof/>
          <w:sz w:val="22"/>
          <w:szCs w:val="22"/>
        </w:rPr>
        <w:t>10</w:t>
      </w:r>
      <w:r w:rsidRPr="00DE35BE">
        <w:rPr>
          <w:noProof/>
          <w:sz w:val="22"/>
          <w:szCs w:val="22"/>
        </w:rPr>
        <w:fldChar w:fldCharType="end"/>
      </w:r>
      <w:bookmarkEnd w:id="124"/>
      <w:r w:rsidRPr="00DE35BE">
        <w:rPr>
          <w:sz w:val="22"/>
          <w:szCs w:val="22"/>
        </w:rPr>
        <w:t xml:space="preserve">: </w:t>
      </w:r>
      <w:r>
        <w:rPr>
          <w:sz w:val="22"/>
          <w:szCs w:val="22"/>
        </w:rPr>
        <w:t>P</w:t>
      </w:r>
      <w:r w:rsidRPr="00DE35BE">
        <w:rPr>
          <w:sz w:val="22"/>
          <w:szCs w:val="22"/>
        </w:rPr>
        <w:t>hases of Braun and Clarke (2006) thematic analysis process</w:t>
      </w:r>
      <w:bookmarkEnd w:id="125"/>
      <w:bookmarkEnd w:id="126"/>
    </w:p>
    <w:tbl>
      <w:tblPr>
        <w:tblStyle w:val="TableGrid"/>
        <w:tblpPr w:leftFromText="180" w:rightFromText="180" w:vertAnchor="text" w:tblpY="1"/>
        <w:tblOverlap w:val="never"/>
        <w:tblW w:w="13887" w:type="dxa"/>
        <w:tblLook w:val="04A0" w:firstRow="1" w:lastRow="0" w:firstColumn="1" w:lastColumn="0" w:noHBand="0" w:noVBand="1"/>
      </w:tblPr>
      <w:tblGrid>
        <w:gridCol w:w="1404"/>
        <w:gridCol w:w="12483"/>
      </w:tblGrid>
      <w:tr w:rsidR="00EB7F85" w14:paraId="1761706A" w14:textId="77777777" w:rsidTr="00282204">
        <w:tc>
          <w:tcPr>
            <w:tcW w:w="1404" w:type="dxa"/>
          </w:tcPr>
          <w:p w14:paraId="6F4E34A8" w14:textId="77777777" w:rsidR="00EB7F85" w:rsidRPr="006B2FC7" w:rsidRDefault="00EB7F85" w:rsidP="00282204">
            <w:pPr>
              <w:pStyle w:val="Heading4"/>
              <w:spacing w:line="240" w:lineRule="auto"/>
              <w:jc w:val="both"/>
              <w:rPr>
                <w:rFonts w:ascii="Arial" w:hAnsi="Arial" w:cs="Arial"/>
                <w:shd w:val="clear" w:color="auto" w:fill="FFFFFF"/>
                <w:lang w:val="en-GB"/>
              </w:rPr>
            </w:pPr>
            <w:r w:rsidRPr="006B2FC7">
              <w:rPr>
                <w:rFonts w:ascii="Arial" w:hAnsi="Arial" w:cs="Arial"/>
                <w:shd w:val="clear" w:color="auto" w:fill="FFFFFF"/>
                <w:lang w:val="en-GB"/>
              </w:rPr>
              <w:t>Phase 1: familiarising yourself with your data</w:t>
            </w:r>
          </w:p>
          <w:p w14:paraId="2646F7AF" w14:textId="77777777" w:rsidR="00EB7F85" w:rsidRPr="0033010C" w:rsidRDefault="00EB7F85" w:rsidP="00282204">
            <w:pPr>
              <w:jc w:val="both"/>
              <w:rPr>
                <w:rFonts w:ascii="Arial" w:hAnsi="Arial" w:cs="Arial"/>
                <w:lang w:val="en-GB"/>
              </w:rPr>
            </w:pPr>
          </w:p>
          <w:p w14:paraId="0B98C8B9" w14:textId="77777777" w:rsidR="00EB7F85" w:rsidRPr="006B2FC7" w:rsidRDefault="00EB7F85" w:rsidP="00282204">
            <w:pPr>
              <w:rPr>
                <w:rFonts w:ascii="Arial" w:hAnsi="Arial" w:cs="Arial"/>
              </w:rPr>
            </w:pPr>
          </w:p>
        </w:tc>
        <w:tc>
          <w:tcPr>
            <w:tcW w:w="12483" w:type="dxa"/>
          </w:tcPr>
          <w:p w14:paraId="7F591401" w14:textId="77777777" w:rsidR="00EB7F85" w:rsidRPr="006B2FC7" w:rsidRDefault="00EB7F85" w:rsidP="00282204">
            <w:pPr>
              <w:rPr>
                <w:rFonts w:ascii="Arial" w:hAnsi="Arial" w:cs="Arial"/>
              </w:rPr>
            </w:pPr>
            <w:r w:rsidRPr="006B2FC7">
              <w:rPr>
                <w:rFonts w:ascii="Arial" w:hAnsi="Arial" w:cs="Arial"/>
              </w:rPr>
              <w:t xml:space="preserve">Since the data </w:t>
            </w:r>
            <w:r>
              <w:rPr>
                <w:rFonts w:ascii="Arial" w:hAnsi="Arial" w:cs="Arial"/>
              </w:rPr>
              <w:t>was</w:t>
            </w:r>
            <w:r w:rsidRPr="006B2FC7">
              <w:rPr>
                <w:rFonts w:ascii="Arial" w:hAnsi="Arial" w:cs="Arial"/>
              </w:rPr>
              <w:t xml:space="preserve"> collected by myself, this provide</w:t>
            </w:r>
            <w:r>
              <w:rPr>
                <w:rFonts w:ascii="Arial" w:hAnsi="Arial" w:cs="Arial"/>
              </w:rPr>
              <w:t>d</w:t>
            </w:r>
            <w:r w:rsidRPr="006B2FC7">
              <w:rPr>
                <w:rFonts w:ascii="Arial" w:hAnsi="Arial" w:cs="Arial"/>
              </w:rPr>
              <w:t xml:space="preserve"> me with the advantage of having some knowledge about the data as well as some initial thoughts, before coming to the analysis phase. Because the notes that </w:t>
            </w:r>
            <w:r>
              <w:rPr>
                <w:rFonts w:ascii="Arial" w:hAnsi="Arial" w:cs="Arial"/>
              </w:rPr>
              <w:t>were</w:t>
            </w:r>
            <w:r w:rsidRPr="006B2FC7">
              <w:rPr>
                <w:rFonts w:ascii="Arial" w:hAnsi="Arial" w:cs="Arial"/>
              </w:rPr>
              <w:t xml:space="preserve"> taken during the interview or immediately after the interview also g</w:t>
            </w:r>
            <w:r>
              <w:rPr>
                <w:rFonts w:ascii="Arial" w:hAnsi="Arial" w:cs="Arial"/>
              </w:rPr>
              <w:t>ave</w:t>
            </w:r>
            <w:r w:rsidRPr="006B2FC7">
              <w:rPr>
                <w:rFonts w:ascii="Arial" w:hAnsi="Arial" w:cs="Arial"/>
              </w:rPr>
              <w:t xml:space="preserve"> </w:t>
            </w:r>
            <w:r>
              <w:rPr>
                <w:rFonts w:ascii="Arial" w:hAnsi="Arial" w:cs="Arial"/>
              </w:rPr>
              <w:t>me</w:t>
            </w:r>
            <w:r w:rsidRPr="006B2FC7">
              <w:rPr>
                <w:rFonts w:ascii="Arial" w:hAnsi="Arial" w:cs="Arial"/>
              </w:rPr>
              <w:t xml:space="preserve"> an opportunity to immerse myself in the data. Regardless, it is vital that the researcher examines the data carefully to the extent that make sure she/he is familiar with the depth and breadth of the content. This can be done by reading all the data to obtain a general understanding of the database; repeated reading of the data several times, the reading should be in an active, analytic and critical way; searching for meanings and patterns </w:t>
            </w:r>
            <w:r w:rsidRPr="006B2FC7">
              <w:rPr>
                <w:rFonts w:ascii="Arial" w:hAnsi="Arial" w:cs="Arial"/>
              </w:rPr>
              <w:fldChar w:fldCharType="begin" w:fldLock="1"/>
            </w:r>
            <w:r w:rsidRPr="006B2FC7">
              <w:rPr>
                <w:rFonts w:ascii="Arial" w:hAnsi="Arial" w:cs="Arial"/>
              </w:rPr>
              <w:instrText>ADDIN CSL_CITATION {"citationItems":[{"id":"ITEM-1","itemData":{"DOI":"10.1017/CBO9781107415324.004","ISBN":"9788578110796","ISSN":"1098-6596","PMID":"25246403","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psychology","type":"article-journal","volume":"3"},"uris":["http://www.mendeley.com/documents/?uuid=313efa51-b353-4c7c-b082-8e25b743995e"]}],"mendeley":{"formattedCitation":"(Braun and Clarke, 2006)","plainTextFormattedCitation":"(Braun and Clarke, 2006)","previouslyFormattedCitation":"(Braun and Clarke, 2006)"},"properties":{"noteIndex":0},"schema":"https://github.com/citation-style-language/schema/raw/master/csl-citation.json"}</w:instrText>
            </w:r>
            <w:r w:rsidRPr="006B2FC7">
              <w:rPr>
                <w:rFonts w:ascii="Arial" w:hAnsi="Arial" w:cs="Arial"/>
              </w:rPr>
              <w:fldChar w:fldCharType="separate"/>
            </w:r>
            <w:r w:rsidRPr="006B2FC7">
              <w:rPr>
                <w:rFonts w:ascii="Arial" w:hAnsi="Arial" w:cs="Arial"/>
                <w:noProof/>
              </w:rPr>
              <w:t>(Braun and Clarke, 2006)</w:t>
            </w:r>
            <w:r w:rsidRPr="006B2FC7">
              <w:rPr>
                <w:rFonts w:ascii="Arial" w:hAnsi="Arial" w:cs="Arial"/>
              </w:rPr>
              <w:fldChar w:fldCharType="end"/>
            </w:r>
            <w:r w:rsidRPr="006B2FC7">
              <w:rPr>
                <w:rFonts w:ascii="Arial" w:hAnsi="Arial" w:cs="Arial"/>
              </w:rPr>
              <w:t>. During this phase, short memos about the researcher’s initial thoughts w</w:t>
            </w:r>
            <w:r>
              <w:rPr>
                <w:rFonts w:ascii="Arial" w:hAnsi="Arial" w:cs="Arial"/>
              </w:rPr>
              <w:t>ere</w:t>
            </w:r>
            <w:r w:rsidRPr="006B2FC7">
              <w:rPr>
                <w:rFonts w:ascii="Arial" w:hAnsi="Arial" w:cs="Arial"/>
              </w:rPr>
              <w:t xml:space="preserve"> written in the margins of the transcripts.</w:t>
            </w:r>
          </w:p>
        </w:tc>
      </w:tr>
      <w:tr w:rsidR="00EB7F85" w14:paraId="62255376" w14:textId="77777777" w:rsidTr="00282204">
        <w:trPr>
          <w:trHeight w:val="2799"/>
        </w:trPr>
        <w:tc>
          <w:tcPr>
            <w:tcW w:w="1404" w:type="dxa"/>
          </w:tcPr>
          <w:p w14:paraId="10224457" w14:textId="77777777" w:rsidR="00EB7F85" w:rsidRPr="006B2FC7" w:rsidRDefault="00EB7F85" w:rsidP="00282204">
            <w:pPr>
              <w:pStyle w:val="Heading4"/>
              <w:spacing w:line="240" w:lineRule="auto"/>
              <w:jc w:val="both"/>
              <w:rPr>
                <w:rFonts w:ascii="Arial" w:hAnsi="Arial" w:cs="Arial"/>
                <w:shd w:val="clear" w:color="auto" w:fill="FFFFFF"/>
                <w:lang w:val="en-GB"/>
              </w:rPr>
            </w:pPr>
            <w:r w:rsidRPr="006B2FC7">
              <w:rPr>
                <w:rFonts w:ascii="Arial" w:hAnsi="Arial" w:cs="Arial"/>
                <w:shd w:val="clear" w:color="auto" w:fill="FFFFFF"/>
                <w:lang w:val="en-GB"/>
              </w:rPr>
              <w:t xml:space="preserve">Phase 2: generating initial codes </w:t>
            </w:r>
          </w:p>
          <w:p w14:paraId="0DA46911" w14:textId="77777777" w:rsidR="00EB7F85" w:rsidRPr="006B2FC7" w:rsidRDefault="00EB7F85" w:rsidP="00282204">
            <w:pPr>
              <w:rPr>
                <w:rFonts w:ascii="Arial" w:hAnsi="Arial" w:cs="Arial"/>
              </w:rPr>
            </w:pPr>
          </w:p>
        </w:tc>
        <w:tc>
          <w:tcPr>
            <w:tcW w:w="12483" w:type="dxa"/>
          </w:tcPr>
          <w:p w14:paraId="775F7223" w14:textId="77777777" w:rsidR="00EB7F85" w:rsidRPr="006B2FC7" w:rsidRDefault="00EB7F85" w:rsidP="00282204">
            <w:pPr>
              <w:jc w:val="both"/>
              <w:rPr>
                <w:rFonts w:ascii="Arial" w:hAnsi="Arial" w:cs="Arial"/>
                <w:color w:val="000000"/>
                <w:shd w:val="clear" w:color="auto" w:fill="FFFFFF"/>
                <w:lang w:val="en-GB"/>
              </w:rPr>
            </w:pPr>
            <w:r w:rsidRPr="006B2FC7">
              <w:rPr>
                <w:rFonts w:ascii="Arial" w:hAnsi="Arial" w:cs="Arial"/>
              </w:rPr>
              <w:t xml:space="preserve">Coding is considered is the first systematic part of the data analysis process, the code being a label that captured what is interesting about data </w:t>
            </w:r>
            <w:r w:rsidRPr="006B2FC7">
              <w:rPr>
                <w:rFonts w:ascii="Arial" w:hAnsi="Arial" w:cs="Arial"/>
              </w:rPr>
              <w:fldChar w:fldCharType="begin" w:fldLock="1"/>
            </w:r>
            <w:r w:rsidRPr="006B2FC7">
              <w:rPr>
                <w:rFonts w:ascii="Arial" w:hAnsi="Arial" w:cs="Arial"/>
              </w:rPr>
              <w:instrText>ADDIN CSL_CITATION {"citationItems":[{"id":"ITEM-1","itemData":{"DOI":"10.1017/CBO9781107415324.004","ISBN":"9788578110796","ISSN":"1098-6596","PMID":"25246403","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psychology","type":"article-journal","volume":"3"},"uris":["http://www.mendeley.com/documents/?uuid=313efa51-b353-4c7c-b082-8e25b743995e"]}],"mendeley":{"formattedCitation":"(Braun and Clarke, 2006)","plainTextFormattedCitation":"(Braun and Clarke, 2006)","previouslyFormattedCitation":"(Braun and Clarke, 2006)"},"properties":{"noteIndex":0},"schema":"https://github.com/citation-style-language/schema/raw/master/csl-citation.json"}</w:instrText>
            </w:r>
            <w:r w:rsidRPr="006B2FC7">
              <w:rPr>
                <w:rFonts w:ascii="Arial" w:hAnsi="Arial" w:cs="Arial"/>
              </w:rPr>
              <w:fldChar w:fldCharType="separate"/>
            </w:r>
            <w:r w:rsidRPr="006B2FC7">
              <w:rPr>
                <w:rFonts w:ascii="Arial" w:hAnsi="Arial" w:cs="Arial"/>
                <w:noProof/>
              </w:rPr>
              <w:t>(Braun and Clarke, 2006)</w:t>
            </w:r>
            <w:r w:rsidRPr="006B2FC7">
              <w:rPr>
                <w:rFonts w:ascii="Arial" w:hAnsi="Arial" w:cs="Arial"/>
              </w:rPr>
              <w:fldChar w:fldCharType="end"/>
            </w:r>
            <w:r w:rsidRPr="006B2FC7">
              <w:rPr>
                <w:rFonts w:ascii="Arial" w:hAnsi="Arial" w:cs="Arial"/>
              </w:rPr>
              <w:t>. Therefore, initial codes w</w:t>
            </w:r>
            <w:r>
              <w:rPr>
                <w:rFonts w:ascii="Arial" w:hAnsi="Arial" w:cs="Arial"/>
              </w:rPr>
              <w:t>ere</w:t>
            </w:r>
            <w:r w:rsidRPr="006B2FC7">
              <w:rPr>
                <w:rFonts w:ascii="Arial" w:hAnsi="Arial" w:cs="Arial"/>
              </w:rPr>
              <w:t xml:space="preserve"> developed that divide</w:t>
            </w:r>
            <w:r>
              <w:rPr>
                <w:rFonts w:ascii="Arial" w:hAnsi="Arial" w:cs="Arial"/>
              </w:rPr>
              <w:t>d</w:t>
            </w:r>
            <w:r w:rsidRPr="006B2FC7">
              <w:rPr>
                <w:rFonts w:ascii="Arial" w:hAnsi="Arial" w:cs="Arial"/>
              </w:rPr>
              <w:t xml:space="preserve"> the text into small units, such as short phrases or sentences, which represent</w:t>
            </w:r>
            <w:r>
              <w:rPr>
                <w:rFonts w:ascii="Arial" w:hAnsi="Arial" w:cs="Arial"/>
              </w:rPr>
              <w:t>ed</w:t>
            </w:r>
            <w:r w:rsidRPr="006B2FC7">
              <w:rPr>
                <w:rFonts w:ascii="Arial" w:hAnsi="Arial" w:cs="Arial"/>
                <w:color w:val="000000"/>
                <w:shd w:val="clear" w:color="auto" w:fill="FFFFFF"/>
                <w:lang w:val="en-GB"/>
              </w:rPr>
              <w:t xml:space="preserve"> the key attributes of information that help</w:t>
            </w:r>
            <w:r>
              <w:rPr>
                <w:rFonts w:ascii="Arial" w:hAnsi="Arial" w:cs="Arial"/>
                <w:color w:val="000000"/>
                <w:shd w:val="clear" w:color="auto" w:fill="FFFFFF"/>
                <w:lang w:val="en-GB"/>
              </w:rPr>
              <w:t>ed</w:t>
            </w:r>
            <w:r w:rsidRPr="006B2FC7">
              <w:rPr>
                <w:rFonts w:ascii="Arial" w:hAnsi="Arial" w:cs="Arial"/>
                <w:color w:val="000000"/>
                <w:shd w:val="clear" w:color="auto" w:fill="FFFFFF"/>
                <w:lang w:val="en-GB"/>
              </w:rPr>
              <w:t xml:space="preserve"> to organise the data. The code can be semantic content or latent, the semantic code captures the obvious meaning of the data while the latent one captures the idea or assumption that underlying the surface meanings. The framework for the coding structure w</w:t>
            </w:r>
            <w:r>
              <w:rPr>
                <w:rFonts w:ascii="Arial" w:hAnsi="Arial" w:cs="Arial"/>
                <w:color w:val="000000"/>
                <w:shd w:val="clear" w:color="auto" w:fill="FFFFFF"/>
                <w:lang w:val="en-GB"/>
              </w:rPr>
              <w:t>as</w:t>
            </w:r>
            <w:r w:rsidRPr="006B2FC7">
              <w:rPr>
                <w:rFonts w:ascii="Arial" w:hAnsi="Arial" w:cs="Arial"/>
                <w:color w:val="000000"/>
                <w:shd w:val="clear" w:color="auto" w:fill="FFFFFF"/>
                <w:lang w:val="en-GB"/>
              </w:rPr>
              <w:t xml:space="preserve"> used in this phase to provide the preliminary organisation of the data. This </w:t>
            </w:r>
            <w:r>
              <w:rPr>
                <w:rFonts w:ascii="Arial" w:hAnsi="Arial" w:cs="Arial"/>
                <w:color w:val="000000"/>
                <w:shd w:val="clear" w:color="auto" w:fill="FFFFFF"/>
                <w:lang w:val="en-GB"/>
              </w:rPr>
              <w:t>was</w:t>
            </w:r>
            <w:r w:rsidRPr="006B2FC7">
              <w:rPr>
                <w:rFonts w:ascii="Arial" w:hAnsi="Arial" w:cs="Arial"/>
                <w:color w:val="000000"/>
                <w:shd w:val="clear" w:color="auto" w:fill="FFFFFF"/>
                <w:lang w:val="en-GB"/>
              </w:rPr>
              <w:t xml:space="preserve"> somewhat deductive in nature because it comes with the organisation of the code structure, so the initial codes </w:t>
            </w:r>
            <w:r>
              <w:rPr>
                <w:rFonts w:ascii="Arial" w:hAnsi="Arial" w:cs="Arial"/>
                <w:color w:val="000000"/>
                <w:shd w:val="clear" w:color="auto" w:fill="FFFFFF"/>
                <w:lang w:val="en-GB"/>
              </w:rPr>
              <w:t>were</w:t>
            </w:r>
            <w:r w:rsidRPr="006B2FC7">
              <w:rPr>
                <w:rFonts w:ascii="Arial" w:hAnsi="Arial" w:cs="Arial"/>
                <w:color w:val="000000"/>
                <w:shd w:val="clear" w:color="auto" w:fill="FFFFFF"/>
                <w:lang w:val="en-GB"/>
              </w:rPr>
              <w:t xml:space="preserve"> drawn from what is known about the role of the pharmacist in diabetes management, based on the existence of evidence that can be drawn from the researcher’s own expertise (Creswell &amp; Clark, 2017). However, the inductive approach </w:t>
            </w:r>
            <w:r>
              <w:rPr>
                <w:rFonts w:ascii="Arial" w:hAnsi="Arial" w:cs="Arial"/>
                <w:color w:val="000000"/>
                <w:shd w:val="clear" w:color="auto" w:fill="FFFFFF"/>
                <w:lang w:val="en-GB"/>
              </w:rPr>
              <w:t>was</w:t>
            </w:r>
            <w:r w:rsidRPr="006B2FC7">
              <w:rPr>
                <w:rFonts w:ascii="Arial" w:hAnsi="Arial" w:cs="Arial"/>
                <w:color w:val="000000"/>
                <w:shd w:val="clear" w:color="auto" w:fill="FFFFFF"/>
                <w:lang w:val="en-GB"/>
              </w:rPr>
              <w:t xml:space="preserve"> also be used to add new concepts, ideas, codes or themes that might be emerged from data of interviewing. The strategy of combination deductive and inductive approaches can be used in the semi-structured interview method and it is known as an abductive approach. </w:t>
            </w:r>
          </w:p>
          <w:p w14:paraId="23AA9510" w14:textId="77777777" w:rsidR="00EB7F85" w:rsidRPr="00270076" w:rsidRDefault="00EB7F85" w:rsidP="00282204">
            <w:pPr>
              <w:jc w:val="both"/>
              <w:rPr>
                <w:rFonts w:ascii="Arial" w:hAnsi="Arial" w:cs="Arial"/>
                <w:color w:val="000000"/>
                <w:shd w:val="clear" w:color="auto" w:fill="FFFFFF"/>
                <w:lang w:val="en-GB"/>
              </w:rPr>
            </w:pPr>
            <w:r w:rsidRPr="006B2FC7">
              <w:rPr>
                <w:rFonts w:ascii="Arial" w:hAnsi="Arial" w:cs="Arial"/>
                <w:color w:val="000000"/>
                <w:shd w:val="clear" w:color="auto" w:fill="FFFFFF"/>
                <w:lang w:val="en-GB"/>
              </w:rPr>
              <w:t xml:space="preserve">NVivo is a qualitative data analysis software program </w:t>
            </w:r>
            <w:r>
              <w:rPr>
                <w:rFonts w:ascii="Arial" w:hAnsi="Arial" w:cs="Arial"/>
                <w:color w:val="000000"/>
                <w:shd w:val="clear" w:color="auto" w:fill="FFFFFF"/>
                <w:lang w:val="en-GB"/>
              </w:rPr>
              <w:t>was</w:t>
            </w:r>
            <w:r w:rsidRPr="006B2FC7">
              <w:rPr>
                <w:rFonts w:ascii="Arial" w:hAnsi="Arial" w:cs="Arial"/>
                <w:color w:val="000000"/>
                <w:shd w:val="clear" w:color="auto" w:fill="FFFFFF"/>
                <w:lang w:val="en-GB"/>
              </w:rPr>
              <w:t xml:space="preserve"> used to help in implementing the core feature of the qualitative data analysis: coding or themes. The codes </w:t>
            </w:r>
            <w:r>
              <w:rPr>
                <w:rFonts w:ascii="Arial" w:hAnsi="Arial" w:cs="Arial"/>
                <w:color w:val="000000"/>
                <w:shd w:val="clear" w:color="auto" w:fill="FFFFFF"/>
                <w:lang w:val="en-GB"/>
              </w:rPr>
              <w:t>were</w:t>
            </w:r>
            <w:r w:rsidRPr="006B2FC7">
              <w:rPr>
                <w:rFonts w:ascii="Arial" w:hAnsi="Arial" w:cs="Arial"/>
                <w:color w:val="000000"/>
                <w:shd w:val="clear" w:color="auto" w:fill="FFFFFF"/>
                <w:lang w:val="en-GB"/>
              </w:rPr>
              <w:t xml:space="preserve"> then merged to develop a theme.</w:t>
            </w:r>
          </w:p>
        </w:tc>
      </w:tr>
      <w:tr w:rsidR="00EB7F85" w14:paraId="678DC1B6" w14:textId="77777777" w:rsidTr="00282204">
        <w:tc>
          <w:tcPr>
            <w:tcW w:w="1404" w:type="dxa"/>
          </w:tcPr>
          <w:p w14:paraId="4CFFCF1A" w14:textId="77777777" w:rsidR="00EB7F85" w:rsidRPr="006B2FC7" w:rsidRDefault="00EB7F85" w:rsidP="00282204">
            <w:pPr>
              <w:pStyle w:val="Heading4"/>
              <w:spacing w:line="240" w:lineRule="auto"/>
              <w:jc w:val="both"/>
              <w:rPr>
                <w:rFonts w:ascii="Arial" w:hAnsi="Arial" w:cs="Arial"/>
                <w:shd w:val="clear" w:color="auto" w:fill="FFFFFF"/>
                <w:lang w:val="en-GB"/>
              </w:rPr>
            </w:pPr>
            <w:r w:rsidRPr="006B2FC7">
              <w:rPr>
                <w:rFonts w:ascii="Arial" w:hAnsi="Arial" w:cs="Arial"/>
                <w:shd w:val="clear" w:color="auto" w:fill="FFFFFF"/>
                <w:lang w:val="en-GB"/>
              </w:rPr>
              <w:t>Phase 3: Generating themes</w:t>
            </w:r>
          </w:p>
          <w:p w14:paraId="0CB8EE3E" w14:textId="77777777" w:rsidR="00EB7F85" w:rsidRPr="006B2FC7" w:rsidRDefault="00EB7F85" w:rsidP="00282204">
            <w:pPr>
              <w:rPr>
                <w:rFonts w:ascii="Arial" w:hAnsi="Arial" w:cs="Arial"/>
              </w:rPr>
            </w:pPr>
          </w:p>
        </w:tc>
        <w:tc>
          <w:tcPr>
            <w:tcW w:w="12483" w:type="dxa"/>
          </w:tcPr>
          <w:p w14:paraId="2D98732D" w14:textId="77777777" w:rsidR="00EB7F85" w:rsidRPr="006B2FC7" w:rsidRDefault="00EB7F85" w:rsidP="00282204">
            <w:pPr>
              <w:jc w:val="both"/>
              <w:rPr>
                <w:rFonts w:ascii="Arial" w:hAnsi="Arial" w:cs="Arial"/>
                <w:color w:val="000000"/>
                <w:shd w:val="clear" w:color="auto" w:fill="FFFFFF"/>
                <w:lang w:val="en-GB"/>
              </w:rPr>
            </w:pPr>
            <w:r w:rsidRPr="006B2FC7">
              <w:rPr>
                <w:rFonts w:ascii="Arial" w:hAnsi="Arial" w:cs="Arial"/>
                <w:color w:val="000000"/>
                <w:shd w:val="clear" w:color="auto" w:fill="FFFFFF"/>
                <w:lang w:val="en-GB"/>
              </w:rPr>
              <w:t>All data that have been initially coded in the previous phase w</w:t>
            </w:r>
            <w:r>
              <w:rPr>
                <w:rFonts w:ascii="Arial" w:hAnsi="Arial" w:cs="Arial"/>
                <w:color w:val="000000"/>
                <w:shd w:val="clear" w:color="auto" w:fill="FFFFFF"/>
                <w:lang w:val="en-GB"/>
              </w:rPr>
              <w:t>ere</w:t>
            </w:r>
            <w:r w:rsidRPr="006B2FC7">
              <w:rPr>
                <w:rFonts w:ascii="Arial" w:hAnsi="Arial" w:cs="Arial"/>
                <w:color w:val="000000"/>
                <w:shd w:val="clear" w:color="auto" w:fill="FFFFFF"/>
                <w:lang w:val="en-GB"/>
              </w:rPr>
              <w:t xml:space="preserve"> organised into the potential themes. This </w:t>
            </w:r>
            <w:r>
              <w:rPr>
                <w:rFonts w:ascii="Arial" w:hAnsi="Arial" w:cs="Arial"/>
                <w:color w:val="000000"/>
                <w:shd w:val="clear" w:color="auto" w:fill="FFFFFF"/>
                <w:lang w:val="en-GB"/>
              </w:rPr>
              <w:t>was</w:t>
            </w:r>
            <w:r w:rsidRPr="006B2FC7">
              <w:rPr>
                <w:rFonts w:ascii="Arial" w:hAnsi="Arial" w:cs="Arial"/>
                <w:color w:val="000000"/>
                <w:shd w:val="clear" w:color="auto" w:fill="FFFFFF"/>
                <w:lang w:val="en-GB"/>
              </w:rPr>
              <w:t xml:space="preserve"> done through reviewing the coded data and clustering together smaller codes (collating all the relevant coded data extracts within the identified themes) to help in identifying a potential theme and promoting an important code to a theme.</w:t>
            </w:r>
          </w:p>
          <w:p w14:paraId="4C875718" w14:textId="77777777" w:rsidR="00EB7F85" w:rsidRPr="006B2FC7" w:rsidRDefault="00EB7F85" w:rsidP="00282204">
            <w:pPr>
              <w:jc w:val="both"/>
              <w:rPr>
                <w:rFonts w:ascii="Arial" w:hAnsi="Arial" w:cs="Arial"/>
                <w:color w:val="000000"/>
                <w:shd w:val="clear" w:color="auto" w:fill="FFFFFF"/>
                <w:lang w:val="en-GB"/>
              </w:rPr>
            </w:pPr>
            <w:r w:rsidRPr="006B2FC7">
              <w:rPr>
                <w:rFonts w:ascii="Arial" w:hAnsi="Arial" w:cs="Arial"/>
                <w:color w:val="000000"/>
                <w:shd w:val="clear" w:color="auto" w:fill="FFFFFF"/>
                <w:lang w:val="en-GB"/>
              </w:rPr>
              <w:t xml:space="preserve">Visual representations </w:t>
            </w:r>
            <w:r>
              <w:rPr>
                <w:rFonts w:ascii="Arial" w:hAnsi="Arial" w:cs="Arial"/>
                <w:color w:val="000000"/>
                <w:shd w:val="clear" w:color="auto" w:fill="FFFFFF"/>
                <w:lang w:val="en-GB"/>
              </w:rPr>
              <w:t>were</w:t>
            </w:r>
            <w:r w:rsidRPr="006B2FC7">
              <w:rPr>
                <w:rFonts w:ascii="Arial" w:hAnsi="Arial" w:cs="Arial"/>
                <w:color w:val="000000"/>
                <w:shd w:val="clear" w:color="auto" w:fill="FFFFFF"/>
                <w:lang w:val="en-GB"/>
              </w:rPr>
              <w:t xml:space="preserve"> used as recommended by Braun and Clarke (2006), to help in sorting different codes into themes. </w:t>
            </w:r>
            <w:r>
              <w:rPr>
                <w:rFonts w:ascii="Arial" w:hAnsi="Arial" w:cs="Arial"/>
                <w:color w:val="000000"/>
                <w:shd w:val="clear" w:color="auto" w:fill="FFFFFF"/>
                <w:lang w:val="en-GB"/>
              </w:rPr>
              <w:t>T</w:t>
            </w:r>
            <w:r w:rsidRPr="006B2FC7">
              <w:rPr>
                <w:rFonts w:ascii="Arial" w:hAnsi="Arial" w:cs="Arial"/>
                <w:color w:val="000000"/>
                <w:shd w:val="clear" w:color="auto" w:fill="FFFFFF"/>
                <w:lang w:val="en-GB"/>
              </w:rPr>
              <w:t>ables</w:t>
            </w:r>
            <w:r>
              <w:rPr>
                <w:rFonts w:ascii="Arial" w:hAnsi="Arial" w:cs="Arial"/>
                <w:color w:val="000000"/>
                <w:shd w:val="clear" w:color="auto" w:fill="FFFFFF"/>
                <w:lang w:val="en-GB"/>
              </w:rPr>
              <w:t>/</w:t>
            </w:r>
            <w:r w:rsidRPr="006B2FC7">
              <w:rPr>
                <w:rFonts w:ascii="Arial" w:hAnsi="Arial" w:cs="Arial"/>
                <w:color w:val="000000"/>
                <w:shd w:val="clear" w:color="auto" w:fill="FFFFFF"/>
                <w:lang w:val="en-GB"/>
              </w:rPr>
              <w:t>mind-maps w</w:t>
            </w:r>
            <w:r>
              <w:rPr>
                <w:rFonts w:ascii="Arial" w:hAnsi="Arial" w:cs="Arial"/>
                <w:color w:val="000000"/>
                <w:shd w:val="clear" w:color="auto" w:fill="FFFFFF"/>
                <w:lang w:val="en-GB"/>
              </w:rPr>
              <w:t>ere</w:t>
            </w:r>
            <w:r w:rsidRPr="006B2FC7">
              <w:rPr>
                <w:rFonts w:ascii="Arial" w:hAnsi="Arial" w:cs="Arial"/>
                <w:color w:val="000000"/>
                <w:shd w:val="clear" w:color="auto" w:fill="FFFFFF"/>
                <w:lang w:val="en-GB"/>
              </w:rPr>
              <w:t xml:space="preserve"> used as mapping technique that visually map out the pattern of developing the codes to them.  </w:t>
            </w:r>
          </w:p>
          <w:p w14:paraId="7F251413" w14:textId="77777777" w:rsidR="00EB7F85" w:rsidRDefault="00EB7F85" w:rsidP="00282204">
            <w:pPr>
              <w:jc w:val="both"/>
              <w:rPr>
                <w:rFonts w:ascii="Arial" w:hAnsi="Arial" w:cs="Arial"/>
                <w:bCs/>
                <w:noProof/>
                <w:color w:val="000000"/>
                <w:shd w:val="clear" w:color="auto" w:fill="FFFFFF"/>
                <w:lang w:val="en-GB"/>
              </w:rPr>
            </w:pPr>
            <w:r w:rsidRPr="006B2FC7">
              <w:rPr>
                <w:rFonts w:ascii="Arial" w:hAnsi="Arial" w:cs="Arial"/>
                <w:color w:val="000000"/>
                <w:shd w:val="clear" w:color="auto" w:fill="FFFFFF"/>
                <w:lang w:val="en-GB"/>
              </w:rPr>
              <w:t xml:space="preserve">Considering the initial codes and the relationship between codes, between themes, and between different levels of themes (overarching theme, theme, and sub-theme) </w:t>
            </w:r>
            <w:r>
              <w:rPr>
                <w:rFonts w:ascii="Arial" w:hAnsi="Arial" w:cs="Arial"/>
                <w:color w:val="000000"/>
                <w:shd w:val="clear" w:color="auto" w:fill="FFFFFF"/>
                <w:lang w:val="en-GB"/>
              </w:rPr>
              <w:t>took</w:t>
            </w:r>
            <w:r w:rsidRPr="006B2FC7">
              <w:rPr>
                <w:rFonts w:ascii="Arial" w:hAnsi="Arial" w:cs="Arial"/>
                <w:color w:val="000000"/>
                <w:shd w:val="clear" w:color="auto" w:fill="FFFFFF"/>
                <w:lang w:val="en-GB"/>
              </w:rPr>
              <w:t xml:space="preserve"> place in this phase. A range of themes, therefore, appear</w:t>
            </w:r>
            <w:r>
              <w:rPr>
                <w:rFonts w:ascii="Arial" w:hAnsi="Arial" w:cs="Arial"/>
                <w:color w:val="000000"/>
                <w:shd w:val="clear" w:color="auto" w:fill="FFFFFF"/>
                <w:lang w:val="en-GB"/>
              </w:rPr>
              <w:t>ed</w:t>
            </w:r>
            <w:r w:rsidRPr="006B2FC7">
              <w:rPr>
                <w:rFonts w:ascii="Arial" w:hAnsi="Arial" w:cs="Arial"/>
                <w:color w:val="000000"/>
                <w:shd w:val="clear" w:color="auto" w:fill="FFFFFF"/>
                <w:lang w:val="en-GB"/>
              </w:rPr>
              <w:t xml:space="preserve"> in this phase; ordinary themes that what we expected, unexpected themes that is surprising, hard to classify theme that contain</w:t>
            </w:r>
            <w:r w:rsidRPr="006B2FC7">
              <w:rPr>
                <w:rFonts w:ascii="Arial" w:hAnsi="Arial" w:cs="Arial"/>
                <w:bCs/>
                <w:noProof/>
                <w:color w:val="000000"/>
                <w:shd w:val="clear" w:color="auto" w:fill="FFFFFF"/>
                <w:lang w:val="en-GB"/>
              </w:rPr>
              <w:t xml:space="preserve"> idea/ideas do not fit with the identified themes or it might overlap with the other themes. Therefore, a sense of the significance of individual themes appear</w:t>
            </w:r>
            <w:r>
              <w:rPr>
                <w:rFonts w:ascii="Arial" w:hAnsi="Arial" w:cs="Arial"/>
                <w:bCs/>
                <w:noProof/>
                <w:color w:val="000000"/>
                <w:shd w:val="clear" w:color="auto" w:fill="FFFFFF"/>
                <w:lang w:val="en-GB"/>
              </w:rPr>
              <w:t>ed</w:t>
            </w:r>
            <w:r w:rsidRPr="006B2FC7">
              <w:rPr>
                <w:rFonts w:ascii="Arial" w:hAnsi="Arial" w:cs="Arial"/>
                <w:bCs/>
                <w:noProof/>
                <w:color w:val="000000"/>
                <w:shd w:val="clear" w:color="auto" w:fill="FFFFFF"/>
                <w:lang w:val="en-GB"/>
              </w:rPr>
              <w:t xml:space="preserve"> at this point that </w:t>
            </w:r>
            <w:r>
              <w:rPr>
                <w:rFonts w:ascii="Arial" w:hAnsi="Arial" w:cs="Arial"/>
                <w:bCs/>
                <w:noProof/>
                <w:color w:val="000000"/>
                <w:shd w:val="clear" w:color="auto" w:fill="FFFFFF"/>
                <w:lang w:val="en-GB"/>
              </w:rPr>
              <w:t xml:space="preserve">be </w:t>
            </w:r>
            <w:r w:rsidRPr="006B2FC7">
              <w:rPr>
                <w:rFonts w:ascii="Arial" w:hAnsi="Arial" w:cs="Arial"/>
                <w:bCs/>
                <w:noProof/>
                <w:color w:val="000000"/>
                <w:shd w:val="clear" w:color="auto" w:fill="FFFFFF"/>
                <w:lang w:val="en-GB"/>
              </w:rPr>
              <w:t xml:space="preserve">used in the final conclusion or help in the augmentation about the data and research questions. </w:t>
            </w:r>
          </w:p>
          <w:p w14:paraId="4C800D5F" w14:textId="77777777" w:rsidR="00EB7F85" w:rsidRPr="00C7459E" w:rsidRDefault="00EB7F85" w:rsidP="00282204">
            <w:pPr>
              <w:tabs>
                <w:tab w:val="left" w:pos="4990"/>
              </w:tabs>
              <w:rPr>
                <w:rFonts w:ascii="Arial" w:hAnsi="Arial" w:cs="Arial"/>
              </w:rPr>
            </w:pPr>
            <w:r>
              <w:rPr>
                <w:rFonts w:ascii="Arial" w:hAnsi="Arial" w:cs="Arial"/>
              </w:rPr>
              <w:tab/>
            </w:r>
          </w:p>
        </w:tc>
      </w:tr>
      <w:tr w:rsidR="00EB7F85" w14:paraId="3063726E" w14:textId="77777777" w:rsidTr="00282204">
        <w:tc>
          <w:tcPr>
            <w:tcW w:w="1404" w:type="dxa"/>
          </w:tcPr>
          <w:p w14:paraId="444D58E8" w14:textId="77777777" w:rsidR="00EB7F85" w:rsidRPr="006B2FC7" w:rsidRDefault="00EB7F85" w:rsidP="00282204">
            <w:pPr>
              <w:pStyle w:val="Heading4"/>
              <w:spacing w:line="240" w:lineRule="auto"/>
              <w:jc w:val="both"/>
              <w:rPr>
                <w:rFonts w:ascii="Arial" w:hAnsi="Arial" w:cs="Arial"/>
                <w:shd w:val="clear" w:color="auto" w:fill="FFFFFF"/>
                <w:lang w:val="en-GB"/>
              </w:rPr>
            </w:pPr>
            <w:r w:rsidRPr="006B2FC7">
              <w:rPr>
                <w:rFonts w:ascii="Arial" w:hAnsi="Arial" w:cs="Arial"/>
                <w:shd w:val="clear" w:color="auto" w:fill="FFFFFF"/>
                <w:lang w:val="en-GB"/>
              </w:rPr>
              <w:t>Phase 4: reviewing themes</w:t>
            </w:r>
          </w:p>
          <w:p w14:paraId="6658846F" w14:textId="77777777" w:rsidR="00EB7F85" w:rsidRPr="006B2FC7" w:rsidRDefault="00EB7F85" w:rsidP="00282204">
            <w:pPr>
              <w:rPr>
                <w:rFonts w:ascii="Arial" w:hAnsi="Arial" w:cs="Arial"/>
              </w:rPr>
            </w:pPr>
          </w:p>
        </w:tc>
        <w:tc>
          <w:tcPr>
            <w:tcW w:w="12483" w:type="dxa"/>
          </w:tcPr>
          <w:p w14:paraId="6CDD9374" w14:textId="77777777" w:rsidR="00EB7F85" w:rsidRDefault="00EB7F85" w:rsidP="00282204">
            <w:pPr>
              <w:jc w:val="both"/>
              <w:rPr>
                <w:rFonts w:ascii="Arial" w:hAnsi="Arial" w:cs="Arial"/>
                <w:bCs/>
                <w:noProof/>
                <w:color w:val="000000"/>
                <w:shd w:val="clear" w:color="auto" w:fill="FFFFFF"/>
                <w:lang w:val="en-GB"/>
              </w:rPr>
            </w:pPr>
            <w:r w:rsidRPr="006B2FC7">
              <w:rPr>
                <w:rFonts w:ascii="Arial" w:hAnsi="Arial" w:cs="Arial"/>
                <w:bCs/>
                <w:noProof/>
                <w:color w:val="000000"/>
                <w:shd w:val="clear" w:color="auto" w:fill="FFFFFF"/>
                <w:lang w:val="en-GB"/>
              </w:rPr>
              <w:t>During this phase, themes w</w:t>
            </w:r>
            <w:r>
              <w:rPr>
                <w:rFonts w:ascii="Arial" w:hAnsi="Arial" w:cs="Arial"/>
                <w:bCs/>
                <w:noProof/>
                <w:color w:val="000000"/>
                <w:shd w:val="clear" w:color="auto" w:fill="FFFFFF"/>
                <w:lang w:val="en-GB"/>
              </w:rPr>
              <w:t>ere</w:t>
            </w:r>
            <w:r w:rsidRPr="006B2FC7">
              <w:rPr>
                <w:rFonts w:ascii="Arial" w:hAnsi="Arial" w:cs="Arial"/>
                <w:bCs/>
                <w:noProof/>
                <w:color w:val="000000"/>
                <w:shd w:val="clear" w:color="auto" w:fill="FFFFFF"/>
                <w:lang w:val="en-GB"/>
              </w:rPr>
              <w:t xml:space="preserve"> reviewed to check if they are central organising concepts or are in fact not really themes with a deficit of data to support them. If the data within themes is too diverse, they might need to be broken down into separate of sub-themes. This phase involve</w:t>
            </w:r>
            <w:r>
              <w:rPr>
                <w:rFonts w:ascii="Arial" w:hAnsi="Arial" w:cs="Arial"/>
                <w:bCs/>
                <w:noProof/>
                <w:color w:val="000000"/>
                <w:shd w:val="clear" w:color="auto" w:fill="FFFFFF"/>
                <w:lang w:val="en-GB"/>
              </w:rPr>
              <w:t>d</w:t>
            </w:r>
            <w:r w:rsidRPr="006B2FC7">
              <w:rPr>
                <w:rFonts w:ascii="Arial" w:hAnsi="Arial" w:cs="Arial"/>
                <w:bCs/>
                <w:noProof/>
                <w:color w:val="000000"/>
                <w:shd w:val="clear" w:color="auto" w:fill="FFFFFF"/>
                <w:lang w:val="en-GB"/>
              </w:rPr>
              <w:t xml:space="preserve"> reviewing potential theme by looking back to the extracted data as well as the whole data set, to check the coherent pattern of data in each theme  as well as to see if there is any data has been missed in earlier coding stages that need to be represented.  </w:t>
            </w:r>
            <w:r>
              <w:rPr>
                <w:rFonts w:ascii="Arial" w:hAnsi="Arial" w:cs="Arial"/>
                <w:bCs/>
                <w:noProof/>
                <w:color w:val="000000"/>
                <w:shd w:val="clear" w:color="auto" w:fill="FFFFFF"/>
                <w:lang w:val="en-GB"/>
              </w:rPr>
              <w:t xml:space="preserve"> </w:t>
            </w:r>
            <w:r w:rsidRPr="006B2FC7">
              <w:rPr>
                <w:rFonts w:ascii="Arial" w:hAnsi="Arial" w:cs="Arial"/>
                <w:bCs/>
                <w:noProof/>
                <w:color w:val="000000"/>
                <w:shd w:val="clear" w:color="auto" w:fill="FFFFFF"/>
                <w:lang w:val="en-GB"/>
              </w:rPr>
              <w:t>The criteria that should be considered in themes are internal homogeneity and external heterogeneity. This means “</w:t>
            </w:r>
            <w:r w:rsidRPr="006B2FC7">
              <w:rPr>
                <w:rFonts w:ascii="Arial" w:hAnsi="Arial" w:cs="Arial"/>
                <w:bCs/>
                <w:i/>
                <w:iCs/>
                <w:noProof/>
                <w:color w:val="000000"/>
                <w:shd w:val="clear" w:color="auto" w:fill="FFFFFF"/>
                <w:lang w:val="en-GB"/>
              </w:rPr>
              <w:t>the data within themes should interact with each other and cohere together meaningfully, while there should be clear and identifiable distinctions between themes</w:t>
            </w:r>
            <w:r w:rsidRPr="006B2FC7">
              <w:rPr>
                <w:rFonts w:ascii="Arial" w:hAnsi="Arial" w:cs="Arial"/>
                <w:bCs/>
                <w:noProof/>
                <w:color w:val="000000"/>
                <w:shd w:val="clear" w:color="auto" w:fill="FFFFFF"/>
                <w:lang w:val="en-GB"/>
              </w:rPr>
              <w:t xml:space="preserve">” </w:t>
            </w:r>
            <w:r w:rsidRPr="006B2FC7">
              <w:rPr>
                <w:rFonts w:ascii="Arial" w:hAnsi="Arial" w:cs="Arial"/>
                <w:bCs/>
                <w:noProof/>
                <w:color w:val="000000"/>
                <w:shd w:val="clear" w:color="auto" w:fill="FFFFFF"/>
                <w:lang w:val="en-GB"/>
              </w:rPr>
              <w:fldChar w:fldCharType="begin" w:fldLock="1"/>
            </w:r>
            <w:r w:rsidRPr="006B2FC7">
              <w:rPr>
                <w:rFonts w:ascii="Arial" w:hAnsi="Arial" w:cs="Arial"/>
                <w:bCs/>
                <w:noProof/>
                <w:color w:val="000000"/>
                <w:shd w:val="clear" w:color="auto" w:fill="FFFFFF"/>
                <w:lang w:val="en-GB"/>
              </w:rPr>
              <w:instrText>ADDIN CSL_CITATION {"citationItems":[{"id":"ITEM-1","itemData":{"DOI":"10.1017/CBO9781107415324.004","ISBN":"9788578110796","ISSN":"1098-6596","PMID":"25246403","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psychology","type":"article-journal","volume":"3"},"uris":["http://www.mendeley.com/documents/?uuid=313efa51-b353-4c7c-b082-8e25b743995e"]}],"mendeley":{"formattedCitation":"(Braun and Clarke, 2006)","manualFormatting":"(Braun &amp; Clarke, 2006; 20)","plainTextFormattedCitation":"(Braun and Clarke, 2006)","previouslyFormattedCitation":"(Braun and Clarke, 2006)"},"properties":{"noteIndex":0},"schema":"https://github.com/citation-style-language/schema/raw/master/csl-citation.json"}</w:instrText>
            </w:r>
            <w:r w:rsidRPr="006B2FC7">
              <w:rPr>
                <w:rFonts w:ascii="Arial" w:hAnsi="Arial" w:cs="Arial"/>
                <w:bCs/>
                <w:noProof/>
                <w:color w:val="000000"/>
                <w:shd w:val="clear" w:color="auto" w:fill="FFFFFF"/>
                <w:lang w:val="en-GB"/>
              </w:rPr>
              <w:fldChar w:fldCharType="separate"/>
            </w:r>
            <w:r w:rsidRPr="006B2FC7">
              <w:rPr>
                <w:rFonts w:ascii="Arial" w:hAnsi="Arial" w:cs="Arial"/>
                <w:bCs/>
                <w:noProof/>
                <w:color w:val="000000"/>
                <w:shd w:val="clear" w:color="auto" w:fill="FFFFFF"/>
                <w:lang w:val="en-GB"/>
              </w:rPr>
              <w:t>(Braun &amp; Clarke, 2006; 20)</w:t>
            </w:r>
            <w:r w:rsidRPr="006B2FC7">
              <w:rPr>
                <w:rFonts w:ascii="Arial" w:hAnsi="Arial" w:cs="Arial"/>
                <w:bCs/>
                <w:noProof/>
                <w:color w:val="000000"/>
                <w:shd w:val="clear" w:color="auto" w:fill="FFFFFF"/>
                <w:lang w:val="en-GB"/>
              </w:rPr>
              <w:fldChar w:fldCharType="end"/>
            </w:r>
            <w:r w:rsidRPr="006B2FC7">
              <w:rPr>
                <w:rFonts w:ascii="Arial" w:hAnsi="Arial" w:cs="Arial"/>
                <w:bCs/>
                <w:noProof/>
                <w:color w:val="000000"/>
                <w:shd w:val="clear" w:color="auto" w:fill="FFFFFF"/>
                <w:lang w:val="en-GB"/>
              </w:rPr>
              <w:t xml:space="preserve">  though looking for  the evidence of relationships between the overarching themes </w:t>
            </w:r>
            <w:r>
              <w:rPr>
                <w:rFonts w:ascii="Arial" w:hAnsi="Arial" w:cs="Arial"/>
                <w:bCs/>
                <w:noProof/>
                <w:color w:val="000000"/>
                <w:shd w:val="clear" w:color="auto" w:fill="FFFFFF"/>
                <w:lang w:val="en-GB"/>
              </w:rPr>
              <w:t xml:space="preserve"> </w:t>
            </w:r>
            <w:r w:rsidRPr="006B2FC7">
              <w:rPr>
                <w:rFonts w:ascii="Arial" w:hAnsi="Arial" w:cs="Arial"/>
                <w:bCs/>
                <w:noProof/>
                <w:color w:val="000000"/>
                <w:shd w:val="clear" w:color="auto" w:fill="FFFFFF"/>
                <w:lang w:val="en-GB"/>
              </w:rPr>
              <w:t>At the end of this phase, the different themes w</w:t>
            </w:r>
            <w:r>
              <w:rPr>
                <w:rFonts w:ascii="Arial" w:hAnsi="Arial" w:cs="Arial"/>
                <w:bCs/>
                <w:noProof/>
                <w:color w:val="000000"/>
                <w:shd w:val="clear" w:color="auto" w:fill="FFFFFF"/>
                <w:lang w:val="en-GB"/>
              </w:rPr>
              <w:t xml:space="preserve">ere </w:t>
            </w:r>
            <w:r w:rsidRPr="006B2FC7">
              <w:rPr>
                <w:rFonts w:ascii="Arial" w:hAnsi="Arial" w:cs="Arial"/>
                <w:bCs/>
                <w:noProof/>
                <w:color w:val="000000"/>
                <w:shd w:val="clear" w:color="auto" w:fill="FFFFFF"/>
                <w:lang w:val="en-GB"/>
              </w:rPr>
              <w:t>shaped sensibly, and the overall story that data tells bec</w:t>
            </w:r>
            <w:r>
              <w:rPr>
                <w:rFonts w:ascii="Arial" w:hAnsi="Arial" w:cs="Arial"/>
                <w:bCs/>
                <w:noProof/>
                <w:color w:val="000000"/>
                <w:shd w:val="clear" w:color="auto" w:fill="FFFFFF"/>
                <w:lang w:val="en-GB"/>
              </w:rPr>
              <w:t>a</w:t>
            </w:r>
            <w:r w:rsidRPr="006B2FC7">
              <w:rPr>
                <w:rFonts w:ascii="Arial" w:hAnsi="Arial" w:cs="Arial"/>
                <w:bCs/>
                <w:noProof/>
                <w:color w:val="000000"/>
                <w:shd w:val="clear" w:color="auto" w:fill="FFFFFF"/>
                <w:lang w:val="en-GB"/>
              </w:rPr>
              <w:t xml:space="preserve">me fairly clear. </w:t>
            </w:r>
          </w:p>
          <w:p w14:paraId="0B6EB005" w14:textId="77777777" w:rsidR="00EB7F85" w:rsidRPr="006B2FC7" w:rsidRDefault="00EB7F85" w:rsidP="00282204">
            <w:pPr>
              <w:jc w:val="both"/>
              <w:rPr>
                <w:rFonts w:ascii="Arial" w:hAnsi="Arial" w:cs="Arial"/>
              </w:rPr>
            </w:pPr>
          </w:p>
        </w:tc>
      </w:tr>
      <w:tr w:rsidR="00EB7F85" w14:paraId="673DA143" w14:textId="77777777" w:rsidTr="00282204">
        <w:tc>
          <w:tcPr>
            <w:tcW w:w="1404" w:type="dxa"/>
          </w:tcPr>
          <w:p w14:paraId="7229ABCB" w14:textId="77777777" w:rsidR="00EB7F85" w:rsidRPr="006B2FC7" w:rsidRDefault="00EB7F85" w:rsidP="00282204">
            <w:pPr>
              <w:pStyle w:val="Heading4"/>
              <w:spacing w:line="240" w:lineRule="auto"/>
              <w:jc w:val="both"/>
              <w:rPr>
                <w:rFonts w:ascii="Arial" w:hAnsi="Arial" w:cs="Arial"/>
                <w:shd w:val="clear" w:color="auto" w:fill="FFFFFF"/>
                <w:lang w:val="en-GB"/>
              </w:rPr>
            </w:pPr>
            <w:r w:rsidRPr="006B2FC7">
              <w:rPr>
                <w:rFonts w:ascii="Arial" w:hAnsi="Arial" w:cs="Arial"/>
                <w:shd w:val="clear" w:color="auto" w:fill="FFFFFF"/>
                <w:lang w:val="en-GB"/>
              </w:rPr>
              <w:t xml:space="preserve">Phase 5: defining and naming themes </w:t>
            </w:r>
          </w:p>
          <w:p w14:paraId="43B06FAD" w14:textId="77777777" w:rsidR="00EB7F85" w:rsidRPr="006B2FC7" w:rsidRDefault="00EB7F85" w:rsidP="00282204">
            <w:pPr>
              <w:rPr>
                <w:rFonts w:ascii="Arial" w:hAnsi="Arial" w:cs="Arial"/>
              </w:rPr>
            </w:pPr>
          </w:p>
        </w:tc>
        <w:tc>
          <w:tcPr>
            <w:tcW w:w="12483" w:type="dxa"/>
          </w:tcPr>
          <w:p w14:paraId="62B90D19" w14:textId="77777777" w:rsidR="00EB7F85" w:rsidRPr="0033010C" w:rsidRDefault="00EB7F85" w:rsidP="00282204">
            <w:pPr>
              <w:jc w:val="both"/>
              <w:rPr>
                <w:rFonts w:ascii="Arial" w:hAnsi="Arial" w:cs="Arial"/>
                <w:bCs/>
                <w:shd w:val="clear" w:color="auto" w:fill="FFFFFF"/>
                <w:lang w:val="en-GB"/>
              </w:rPr>
            </w:pPr>
            <w:r w:rsidRPr="0033010C">
              <w:rPr>
                <w:rFonts w:ascii="Arial" w:hAnsi="Arial" w:cs="Arial"/>
                <w:bCs/>
                <w:noProof/>
                <w:color w:val="000000"/>
                <w:shd w:val="clear" w:color="auto" w:fill="FFFFFF"/>
                <w:lang w:val="en-GB"/>
              </w:rPr>
              <w:t>At this phase, themes w</w:t>
            </w:r>
            <w:r>
              <w:rPr>
                <w:rFonts w:ascii="Arial" w:hAnsi="Arial" w:cs="Arial"/>
                <w:bCs/>
                <w:noProof/>
                <w:color w:val="000000"/>
                <w:shd w:val="clear" w:color="auto" w:fill="FFFFFF"/>
                <w:lang w:val="en-GB"/>
              </w:rPr>
              <w:t>ere</w:t>
            </w:r>
            <w:r w:rsidRPr="0033010C">
              <w:rPr>
                <w:rFonts w:ascii="Arial" w:hAnsi="Arial" w:cs="Arial"/>
                <w:bCs/>
                <w:noProof/>
                <w:color w:val="000000"/>
                <w:shd w:val="clear" w:color="auto" w:fill="FFFFFF"/>
                <w:lang w:val="en-GB"/>
              </w:rPr>
              <w:t xml:space="preserve"> named, labelled, or titled and given them definitions and descriptions. Names of themes should be concise, punchy, and immediately give the reader a sense of what the theme is about. Themes w</w:t>
            </w:r>
            <w:r>
              <w:rPr>
                <w:rFonts w:ascii="Arial" w:hAnsi="Arial" w:cs="Arial"/>
                <w:bCs/>
                <w:noProof/>
                <w:color w:val="000000"/>
                <w:shd w:val="clear" w:color="auto" w:fill="FFFFFF"/>
                <w:lang w:val="en-GB"/>
              </w:rPr>
              <w:t>ere</w:t>
            </w:r>
            <w:r w:rsidRPr="0033010C">
              <w:rPr>
                <w:rFonts w:ascii="Arial" w:hAnsi="Arial" w:cs="Arial"/>
                <w:bCs/>
                <w:noProof/>
                <w:color w:val="000000"/>
                <w:shd w:val="clear" w:color="auto" w:fill="FFFFFF"/>
                <w:lang w:val="en-GB"/>
              </w:rPr>
              <w:t xml:space="preserve"> defined and describe in a couple of sentences. This is via the identification </w:t>
            </w:r>
            <w:r w:rsidRPr="0033010C">
              <w:rPr>
                <w:rFonts w:ascii="Arial" w:hAnsi="Arial" w:cs="Arial"/>
                <w:bCs/>
                <w:noProof/>
                <w:shd w:val="clear" w:color="auto" w:fill="FFFFFF"/>
                <w:lang w:val="en-GB"/>
              </w:rPr>
              <w:t>of;</w:t>
            </w:r>
          </w:p>
          <w:p w14:paraId="70385C55" w14:textId="77777777" w:rsidR="00EB7F85" w:rsidRPr="0033010C" w:rsidRDefault="00EB7F85" w:rsidP="00282204">
            <w:pPr>
              <w:ind w:left="720"/>
              <w:jc w:val="both"/>
              <w:rPr>
                <w:rFonts w:ascii="Arial" w:hAnsi="Arial" w:cs="Arial"/>
                <w:b/>
                <w:bCs/>
                <w:color w:val="000000"/>
                <w:shd w:val="clear" w:color="auto" w:fill="FFFFFF"/>
                <w:lang w:val="en-GB"/>
              </w:rPr>
            </w:pPr>
            <w:r w:rsidRPr="0033010C">
              <w:rPr>
                <w:rFonts w:ascii="Arial" w:hAnsi="Arial" w:cs="Arial"/>
                <w:bCs/>
                <w:shd w:val="clear" w:color="auto" w:fill="FFFFFF"/>
                <w:lang w:val="en-GB"/>
              </w:rPr>
              <w:t>“</w:t>
            </w:r>
            <w:r w:rsidRPr="0033010C">
              <w:rPr>
                <w:rFonts w:ascii="Arial" w:hAnsi="Arial" w:cs="Arial"/>
                <w:bCs/>
                <w:i/>
                <w:iCs/>
                <w:shd w:val="clear" w:color="auto" w:fill="FFFFFF"/>
                <w:lang w:val="en-GB"/>
              </w:rPr>
              <w:t>what each theme is about as well as the themes overall, and determining what aspect of the data each theme captures</w:t>
            </w:r>
            <w:r w:rsidRPr="0033010C">
              <w:rPr>
                <w:rFonts w:ascii="Arial" w:hAnsi="Arial" w:cs="Arial"/>
                <w:bCs/>
                <w:shd w:val="clear" w:color="auto" w:fill="FFFFFF"/>
                <w:lang w:val="en-GB"/>
              </w:rPr>
              <w:t>”.</w:t>
            </w:r>
            <w:r w:rsidRPr="004C2EBD">
              <w:rPr>
                <w:rFonts w:ascii="Arial" w:hAnsi="Arial" w:cs="Arial"/>
                <w:bCs/>
                <w:shd w:val="clear" w:color="auto" w:fill="FFFFFF"/>
                <w:lang w:val="en-GB"/>
              </w:rPr>
              <w:fldChar w:fldCharType="begin" w:fldLock="1"/>
            </w:r>
            <w:r w:rsidRPr="0033010C">
              <w:rPr>
                <w:rFonts w:ascii="Arial" w:hAnsi="Arial" w:cs="Arial"/>
                <w:bCs/>
                <w:shd w:val="clear" w:color="auto" w:fill="FFFFFF"/>
                <w:lang w:val="en-GB"/>
              </w:rPr>
              <w:instrText>ADDIN CSL_CITATION {"citationItems":[{"id":"ITEM-1","itemData":{"DOI":"10.1017/CBO9781107415324.004","ISBN":"9788578110796","ISSN":"1098-6596","PMID":"25246403","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psychology","type":"article-journal","volume":"3"},"uris":["http://www.mendeley.com/documents/?uuid=313efa51-b353-4c7c-b082-8e25b743995e"]}],"mendeley":{"formattedCitation":"(Braun and Clarke, 2006)","manualFormatting":"(Braun and Clarke, 2006; 22)","plainTextFormattedCitation":"(Braun and Clarke, 2006)","previouslyFormattedCitation":"(Braun and Clarke, 2006)"},"properties":{"noteIndex":0},"schema":"https://github.com/citation-style-language/schema/raw/master/csl-citation.json"}</w:instrText>
            </w:r>
            <w:r w:rsidRPr="004C2EBD">
              <w:rPr>
                <w:rFonts w:ascii="Arial" w:hAnsi="Arial" w:cs="Arial"/>
                <w:bCs/>
                <w:shd w:val="clear" w:color="auto" w:fill="FFFFFF"/>
                <w:lang w:val="en-GB"/>
              </w:rPr>
              <w:fldChar w:fldCharType="separate"/>
            </w:r>
            <w:r w:rsidRPr="0033010C">
              <w:rPr>
                <w:rFonts w:ascii="Arial" w:hAnsi="Arial" w:cs="Arial"/>
                <w:bCs/>
                <w:noProof/>
                <w:shd w:val="clear" w:color="auto" w:fill="FFFFFF"/>
                <w:lang w:val="en-GB"/>
              </w:rPr>
              <w:t>(Braun and Clarke, 2006; 22)</w:t>
            </w:r>
            <w:r w:rsidRPr="004C2EBD">
              <w:rPr>
                <w:rFonts w:ascii="Arial" w:hAnsi="Arial" w:cs="Arial"/>
                <w:bCs/>
                <w:shd w:val="clear" w:color="auto" w:fill="FFFFFF"/>
                <w:lang w:val="en-GB"/>
              </w:rPr>
              <w:fldChar w:fldCharType="end"/>
            </w:r>
          </w:p>
          <w:p w14:paraId="3D3B2A6E" w14:textId="77777777" w:rsidR="00EB7F85" w:rsidRDefault="00EB7F85" w:rsidP="00282204">
            <w:pPr>
              <w:jc w:val="both"/>
              <w:rPr>
                <w:rFonts w:ascii="Arial" w:hAnsi="Arial" w:cs="Arial"/>
                <w:b/>
                <w:bCs/>
                <w:color w:val="000000"/>
                <w:shd w:val="clear" w:color="auto" w:fill="FFFFFF"/>
                <w:lang w:val="en-GB"/>
              </w:rPr>
            </w:pPr>
            <w:r w:rsidRPr="006B2FC7">
              <w:rPr>
                <w:rFonts w:ascii="Arial" w:hAnsi="Arial" w:cs="Arial"/>
                <w:bCs/>
                <w:noProof/>
                <w:color w:val="000000"/>
                <w:shd w:val="clear" w:color="auto" w:fill="FFFFFF"/>
                <w:lang w:val="en-GB"/>
              </w:rPr>
              <w:t>At this point, the themes w</w:t>
            </w:r>
            <w:r>
              <w:rPr>
                <w:rFonts w:ascii="Arial" w:hAnsi="Arial" w:cs="Arial"/>
                <w:bCs/>
                <w:noProof/>
                <w:color w:val="000000"/>
                <w:shd w:val="clear" w:color="auto" w:fill="FFFFFF"/>
                <w:lang w:val="en-GB"/>
              </w:rPr>
              <w:t>ere</w:t>
            </w:r>
            <w:r w:rsidRPr="006B2FC7">
              <w:rPr>
                <w:rFonts w:ascii="Arial" w:hAnsi="Arial" w:cs="Arial"/>
                <w:bCs/>
                <w:noProof/>
                <w:color w:val="000000"/>
                <w:shd w:val="clear" w:color="auto" w:fill="FFFFFF"/>
                <w:lang w:val="en-GB"/>
              </w:rPr>
              <w:t xml:space="preserve"> ready for final analysis. It is important that the content of the data extracts are not just paraphrased to be presented, but it should demonstrate what is interesting about them and why in relation to the research questions.</w:t>
            </w:r>
            <w:r w:rsidRPr="006B2FC7">
              <w:rPr>
                <w:rFonts w:ascii="Arial" w:hAnsi="Arial" w:cs="Arial"/>
                <w:b/>
                <w:bCs/>
                <w:color w:val="000000"/>
                <w:shd w:val="clear" w:color="auto" w:fill="FFFFFF"/>
                <w:lang w:val="en-GB"/>
              </w:rPr>
              <w:t xml:space="preserve">     </w:t>
            </w:r>
          </w:p>
          <w:p w14:paraId="21D79A0D" w14:textId="77777777" w:rsidR="00EB7F85" w:rsidRPr="006B2FC7" w:rsidRDefault="00EB7F85" w:rsidP="00282204">
            <w:pPr>
              <w:jc w:val="both"/>
              <w:rPr>
                <w:rFonts w:ascii="Arial" w:hAnsi="Arial" w:cs="Arial"/>
              </w:rPr>
            </w:pPr>
          </w:p>
        </w:tc>
      </w:tr>
      <w:tr w:rsidR="00EB7F85" w14:paraId="12DE224A" w14:textId="77777777" w:rsidTr="00282204">
        <w:tc>
          <w:tcPr>
            <w:tcW w:w="1404" w:type="dxa"/>
          </w:tcPr>
          <w:p w14:paraId="42607E8D" w14:textId="77777777" w:rsidR="00EB7F85" w:rsidRPr="006B2FC7" w:rsidRDefault="00EB7F85" w:rsidP="00282204">
            <w:pPr>
              <w:pStyle w:val="Heading4"/>
              <w:spacing w:line="240" w:lineRule="auto"/>
              <w:jc w:val="both"/>
              <w:rPr>
                <w:rFonts w:ascii="Arial" w:hAnsi="Arial" w:cs="Arial"/>
                <w:shd w:val="clear" w:color="auto" w:fill="FFFFFF"/>
                <w:lang w:val="en-GB"/>
              </w:rPr>
            </w:pPr>
            <w:r w:rsidRPr="006B2FC7">
              <w:rPr>
                <w:rFonts w:ascii="Arial" w:hAnsi="Arial" w:cs="Arial"/>
                <w:shd w:val="clear" w:color="auto" w:fill="FFFFFF"/>
                <w:lang w:val="en-GB"/>
              </w:rPr>
              <w:t>Phase 6: producing the report</w:t>
            </w:r>
          </w:p>
          <w:p w14:paraId="0AE3C0B1" w14:textId="77777777" w:rsidR="00EB7F85" w:rsidRPr="006B2FC7" w:rsidRDefault="00EB7F85" w:rsidP="00282204">
            <w:pPr>
              <w:rPr>
                <w:rFonts w:ascii="Arial" w:hAnsi="Arial" w:cs="Arial"/>
              </w:rPr>
            </w:pPr>
          </w:p>
        </w:tc>
        <w:tc>
          <w:tcPr>
            <w:tcW w:w="12483" w:type="dxa"/>
          </w:tcPr>
          <w:p w14:paraId="5E63F521" w14:textId="77777777" w:rsidR="00EB7F85" w:rsidRPr="006B2FC7" w:rsidRDefault="00EB7F85" w:rsidP="00282204">
            <w:pPr>
              <w:jc w:val="both"/>
              <w:rPr>
                <w:rFonts w:ascii="Arial" w:hAnsi="Arial" w:cs="Arial"/>
                <w:bCs/>
                <w:noProof/>
                <w:color w:val="000000"/>
                <w:shd w:val="clear" w:color="auto" w:fill="FFFFFF"/>
                <w:lang w:val="en-GB"/>
              </w:rPr>
            </w:pPr>
            <w:r w:rsidRPr="006B2FC7">
              <w:rPr>
                <w:rFonts w:ascii="Arial" w:hAnsi="Arial" w:cs="Arial"/>
                <w:bCs/>
                <w:noProof/>
                <w:color w:val="000000"/>
                <w:shd w:val="clear" w:color="auto" w:fill="FFFFFF"/>
                <w:lang w:val="en-GB"/>
              </w:rPr>
              <w:t xml:space="preserve">The final analysis and write-up of the report is a vital process that illustrates how the data extracts tell an important and relevant information about the research topic. Relevant visualisations from the previous phases </w:t>
            </w:r>
            <w:r>
              <w:rPr>
                <w:rFonts w:ascii="Arial" w:hAnsi="Arial" w:cs="Arial"/>
                <w:bCs/>
                <w:noProof/>
                <w:color w:val="000000"/>
                <w:shd w:val="clear" w:color="auto" w:fill="FFFFFF"/>
                <w:lang w:val="en-GB"/>
              </w:rPr>
              <w:t>was</w:t>
            </w:r>
            <w:r w:rsidRPr="006B2FC7">
              <w:rPr>
                <w:rFonts w:ascii="Arial" w:hAnsi="Arial" w:cs="Arial"/>
                <w:bCs/>
                <w:noProof/>
                <w:color w:val="000000"/>
                <w:shd w:val="clear" w:color="auto" w:fill="FFFFFF"/>
                <w:lang w:val="en-GB"/>
              </w:rPr>
              <w:t xml:space="preserve"> illustrated in this final phase, in order to provide the total picture of the research topic. Constructing a narrative from themes, sub-themes and codes, this would be a description of themes that supported with quotes from the interviews, and finally a critical discussion of the inter-relationships between these ideas. </w:t>
            </w:r>
          </w:p>
          <w:p w14:paraId="3BBFE0FC" w14:textId="77777777" w:rsidR="00EB7F85" w:rsidRPr="006B2FC7" w:rsidRDefault="00EB7F85" w:rsidP="00282204">
            <w:pPr>
              <w:jc w:val="both"/>
              <w:rPr>
                <w:rFonts w:ascii="Arial" w:hAnsi="Arial" w:cs="Arial"/>
                <w:bCs/>
                <w:noProof/>
                <w:color w:val="000000"/>
                <w:shd w:val="clear" w:color="auto" w:fill="FFFFFF"/>
                <w:lang w:val="en-GB"/>
              </w:rPr>
            </w:pPr>
            <w:r w:rsidRPr="006B2FC7">
              <w:rPr>
                <w:rFonts w:ascii="Arial" w:hAnsi="Arial" w:cs="Arial"/>
                <w:bCs/>
                <w:noProof/>
                <w:color w:val="000000"/>
                <w:shd w:val="clear" w:color="auto" w:fill="FFFFFF"/>
                <w:lang w:val="en-GB"/>
              </w:rPr>
              <w:t xml:space="preserve">The report should be a logical, coherent, exhaustive, concise,  interesting, and non-repetitive story that the data tell </w:t>
            </w:r>
            <w:r w:rsidRPr="006B2FC7">
              <w:rPr>
                <w:rFonts w:ascii="Arial" w:hAnsi="Arial" w:cs="Arial"/>
                <w:bCs/>
                <w:noProof/>
                <w:color w:val="000000"/>
                <w:shd w:val="clear" w:color="auto" w:fill="FFFFFF"/>
                <w:lang w:val="en-GB"/>
              </w:rPr>
              <w:fldChar w:fldCharType="begin" w:fldLock="1"/>
            </w:r>
            <w:r w:rsidRPr="006B2FC7">
              <w:rPr>
                <w:rFonts w:ascii="Arial" w:hAnsi="Arial" w:cs="Arial"/>
                <w:bCs/>
                <w:noProof/>
                <w:color w:val="000000"/>
                <w:shd w:val="clear" w:color="auto" w:fill="FFFFFF"/>
                <w:lang w:val="en-GB"/>
              </w:rPr>
              <w:instrText>ADDIN CSL_CITATION {"citationItems":[{"id":"ITEM-1","itemData":{"DOI":"10.1017/CBO9781107415324.004","ISBN":"9788578110796","ISSN":"1098-6596","PMID":"25246403","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psychology","type":"article-journal","volume":"3"},"uris":["http://www.mendeley.com/documents/?uuid=313efa51-b353-4c7c-b082-8e25b743995e"]}],"mendeley":{"formattedCitation":"(Braun and Clarke, 2006)","plainTextFormattedCitation":"(Braun and Clarke, 2006)","previouslyFormattedCitation":"(Braun and Clarke, 2006)"},"properties":{"noteIndex":0},"schema":"https://github.com/citation-style-language/schema/raw/master/csl-citation.json"}</w:instrText>
            </w:r>
            <w:r w:rsidRPr="006B2FC7">
              <w:rPr>
                <w:rFonts w:ascii="Arial" w:hAnsi="Arial" w:cs="Arial"/>
                <w:bCs/>
                <w:noProof/>
                <w:color w:val="000000"/>
                <w:shd w:val="clear" w:color="auto" w:fill="FFFFFF"/>
                <w:lang w:val="en-GB"/>
              </w:rPr>
              <w:fldChar w:fldCharType="separate"/>
            </w:r>
            <w:r w:rsidRPr="006B2FC7">
              <w:rPr>
                <w:rFonts w:ascii="Arial" w:hAnsi="Arial" w:cs="Arial"/>
                <w:bCs/>
                <w:noProof/>
                <w:color w:val="000000"/>
                <w:shd w:val="clear" w:color="auto" w:fill="FFFFFF"/>
                <w:lang w:val="en-GB"/>
              </w:rPr>
              <w:t>(Braun and Clarke, 2006)</w:t>
            </w:r>
            <w:r w:rsidRPr="006B2FC7">
              <w:rPr>
                <w:rFonts w:ascii="Arial" w:hAnsi="Arial" w:cs="Arial"/>
                <w:bCs/>
                <w:noProof/>
                <w:color w:val="000000"/>
                <w:shd w:val="clear" w:color="auto" w:fill="FFFFFF"/>
                <w:lang w:val="en-GB"/>
              </w:rPr>
              <w:fldChar w:fldCharType="end"/>
            </w:r>
            <w:r w:rsidRPr="006B2FC7">
              <w:rPr>
                <w:rFonts w:ascii="Arial" w:hAnsi="Arial" w:cs="Arial"/>
                <w:bCs/>
                <w:noProof/>
                <w:color w:val="000000"/>
                <w:shd w:val="clear" w:color="auto" w:fill="FFFFFF"/>
                <w:lang w:val="en-GB"/>
              </w:rPr>
              <w:t xml:space="preserve">. A summary of the major findings </w:t>
            </w:r>
            <w:r>
              <w:rPr>
                <w:rFonts w:ascii="Arial" w:hAnsi="Arial" w:cs="Arial"/>
                <w:bCs/>
                <w:noProof/>
                <w:color w:val="000000"/>
                <w:shd w:val="clear" w:color="auto" w:fill="FFFFFF"/>
                <w:lang w:val="en-GB"/>
              </w:rPr>
              <w:t>was</w:t>
            </w:r>
            <w:r w:rsidRPr="006B2FC7">
              <w:rPr>
                <w:rFonts w:ascii="Arial" w:hAnsi="Arial" w:cs="Arial"/>
                <w:bCs/>
                <w:noProof/>
                <w:color w:val="000000"/>
                <w:shd w:val="clear" w:color="auto" w:fill="FFFFFF"/>
                <w:lang w:val="en-GB"/>
              </w:rPr>
              <w:t xml:space="preserve"> demonstrated during this process, identifiying how they answer the research questions. Data analysis  w</w:t>
            </w:r>
            <w:r>
              <w:rPr>
                <w:rFonts w:ascii="Arial" w:hAnsi="Arial" w:cs="Arial"/>
                <w:bCs/>
                <w:noProof/>
                <w:color w:val="000000"/>
                <w:shd w:val="clear" w:color="auto" w:fill="FFFFFF"/>
                <w:lang w:val="en-GB"/>
              </w:rPr>
              <w:t>ent</w:t>
            </w:r>
            <w:r w:rsidRPr="006B2FC7">
              <w:rPr>
                <w:rFonts w:ascii="Arial" w:hAnsi="Arial" w:cs="Arial"/>
                <w:bCs/>
                <w:noProof/>
                <w:color w:val="000000"/>
                <w:shd w:val="clear" w:color="auto" w:fill="FFFFFF"/>
                <w:lang w:val="en-GB"/>
              </w:rPr>
              <w:t xml:space="preserve"> beyond description of the data, and making an argument in relation to the research question. Thus, after presenting the findings, they </w:t>
            </w:r>
            <w:r>
              <w:rPr>
                <w:rFonts w:ascii="Arial" w:hAnsi="Arial" w:cs="Arial"/>
                <w:bCs/>
                <w:noProof/>
                <w:color w:val="000000"/>
                <w:shd w:val="clear" w:color="auto" w:fill="FFFFFF"/>
                <w:lang w:val="en-GB"/>
              </w:rPr>
              <w:t>were</w:t>
            </w:r>
            <w:r w:rsidRPr="006B2FC7">
              <w:rPr>
                <w:rFonts w:ascii="Arial" w:hAnsi="Arial" w:cs="Arial"/>
                <w:bCs/>
                <w:noProof/>
                <w:color w:val="000000"/>
                <w:shd w:val="clear" w:color="auto" w:fill="FFFFFF"/>
                <w:lang w:val="en-GB"/>
              </w:rPr>
              <w:t xml:space="preserve"> compared with those of the research studies included in the literature review and bring together the researchers’ personal experiences and their own assessments of the findings.</w:t>
            </w:r>
            <w:r>
              <w:rPr>
                <w:rFonts w:ascii="Arial" w:hAnsi="Arial" w:cs="Arial"/>
                <w:bCs/>
                <w:noProof/>
                <w:color w:val="000000"/>
                <w:shd w:val="clear" w:color="auto" w:fill="FFFFFF"/>
                <w:lang w:val="en-GB"/>
              </w:rPr>
              <w:t xml:space="preserve"> This was done in the discusion chapter.  </w:t>
            </w:r>
          </w:p>
          <w:p w14:paraId="4B26EFE6" w14:textId="77777777" w:rsidR="00EB7F85" w:rsidRDefault="00EB7F85" w:rsidP="00282204">
            <w:pPr>
              <w:jc w:val="both"/>
              <w:rPr>
                <w:rFonts w:ascii="Arial" w:hAnsi="Arial" w:cs="Arial"/>
                <w:bCs/>
                <w:noProof/>
                <w:color w:val="000000"/>
                <w:shd w:val="clear" w:color="auto" w:fill="FFFFFF"/>
                <w:lang w:val="en-GB"/>
              </w:rPr>
            </w:pPr>
            <w:r w:rsidRPr="006B2FC7">
              <w:rPr>
                <w:rFonts w:ascii="Arial" w:hAnsi="Arial" w:cs="Arial"/>
                <w:bCs/>
                <w:noProof/>
                <w:color w:val="000000"/>
                <w:shd w:val="clear" w:color="auto" w:fill="FFFFFF"/>
                <w:lang w:val="en-GB"/>
              </w:rPr>
              <w:t xml:space="preserve">The analysis must be grounded in the original data set to show the level of truthiness in the way of the data has been analysed </w:t>
            </w:r>
            <w:r w:rsidRPr="006B2FC7">
              <w:rPr>
                <w:rFonts w:ascii="Arial" w:hAnsi="Arial" w:cs="Arial"/>
                <w:bCs/>
                <w:noProof/>
                <w:color w:val="000000"/>
                <w:shd w:val="clear" w:color="auto" w:fill="FFFFFF"/>
                <w:lang w:val="en-GB"/>
              </w:rPr>
              <w:fldChar w:fldCharType="begin" w:fldLock="1"/>
            </w:r>
            <w:r w:rsidRPr="006B2FC7">
              <w:rPr>
                <w:rFonts w:ascii="Arial" w:hAnsi="Arial" w:cs="Arial"/>
                <w:bCs/>
                <w:noProof/>
                <w:color w:val="000000"/>
                <w:shd w:val="clear" w:color="auto" w:fill="FFFFFF"/>
                <w:lang w:val="en-GB"/>
              </w:rPr>
              <w:instrText>ADDIN CSL_CITATION {"citationItems":[{"id":"ITEM-1","itemData":{"DOI":"10.1017/CBO9781107415324.004","ISBN":"9788578110796","ISSN":"1098-6596","PMID":"25246403","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psychology","type":"article-journal","volume":"3"},"uris":["http://www.mendeley.com/documents/?uuid=313efa51-b353-4c7c-b082-8e25b743995e"]}],"mendeley":{"formattedCitation":"(Braun and Clarke, 2006)","manualFormatting":"(Braun &amp; Clarke, 2006)","plainTextFormattedCitation":"(Braun and Clarke, 2006)","previouslyFormattedCitation":"(Braun and Clarke, 2006)"},"properties":{"noteIndex":0},"schema":"https://github.com/citation-style-language/schema/raw/master/csl-citation.json"}</w:instrText>
            </w:r>
            <w:r w:rsidRPr="006B2FC7">
              <w:rPr>
                <w:rFonts w:ascii="Arial" w:hAnsi="Arial" w:cs="Arial"/>
                <w:bCs/>
                <w:noProof/>
                <w:color w:val="000000"/>
                <w:shd w:val="clear" w:color="auto" w:fill="FFFFFF"/>
                <w:lang w:val="en-GB"/>
              </w:rPr>
              <w:fldChar w:fldCharType="separate"/>
            </w:r>
            <w:r w:rsidRPr="006B2FC7">
              <w:rPr>
                <w:rFonts w:ascii="Arial" w:hAnsi="Arial" w:cs="Arial"/>
                <w:bCs/>
                <w:noProof/>
                <w:color w:val="000000"/>
                <w:shd w:val="clear" w:color="auto" w:fill="FFFFFF"/>
                <w:lang w:val="en-GB"/>
              </w:rPr>
              <w:t>(Braun &amp; Clarke, 2006)</w:t>
            </w:r>
            <w:r w:rsidRPr="006B2FC7">
              <w:rPr>
                <w:rFonts w:ascii="Arial" w:hAnsi="Arial" w:cs="Arial"/>
                <w:bCs/>
                <w:noProof/>
                <w:color w:val="000000"/>
                <w:shd w:val="clear" w:color="auto" w:fill="FFFFFF"/>
                <w:lang w:val="en-GB"/>
              </w:rPr>
              <w:fldChar w:fldCharType="end"/>
            </w:r>
            <w:r w:rsidRPr="006B2FC7">
              <w:rPr>
                <w:rFonts w:ascii="Arial" w:hAnsi="Arial" w:cs="Arial"/>
                <w:bCs/>
                <w:noProof/>
                <w:color w:val="000000"/>
                <w:shd w:val="clear" w:color="auto" w:fill="FFFFFF"/>
                <w:lang w:val="en-GB"/>
              </w:rPr>
              <w:t xml:space="preserve">. The findings </w:t>
            </w:r>
            <w:r>
              <w:rPr>
                <w:rFonts w:ascii="Arial" w:hAnsi="Arial" w:cs="Arial"/>
                <w:bCs/>
                <w:noProof/>
                <w:color w:val="000000"/>
                <w:shd w:val="clear" w:color="auto" w:fill="FFFFFF"/>
                <w:lang w:val="en-GB"/>
              </w:rPr>
              <w:t>were</w:t>
            </w:r>
            <w:r w:rsidRPr="006B2FC7">
              <w:rPr>
                <w:rFonts w:ascii="Arial" w:hAnsi="Arial" w:cs="Arial"/>
                <w:bCs/>
                <w:noProof/>
                <w:color w:val="000000"/>
                <w:shd w:val="clear" w:color="auto" w:fill="FFFFFF"/>
                <w:lang w:val="en-GB"/>
              </w:rPr>
              <w:t xml:space="preserve"> presented by providing evidence of themes to convince the reader that these themes were derived from the collection of data. This </w:t>
            </w:r>
            <w:r>
              <w:rPr>
                <w:rFonts w:ascii="Arial" w:hAnsi="Arial" w:cs="Arial"/>
                <w:bCs/>
                <w:noProof/>
                <w:color w:val="000000"/>
                <w:shd w:val="clear" w:color="auto" w:fill="FFFFFF"/>
                <w:lang w:val="en-GB"/>
              </w:rPr>
              <w:t>is</w:t>
            </w:r>
            <w:r w:rsidRPr="006B2FC7">
              <w:rPr>
                <w:rFonts w:ascii="Arial" w:hAnsi="Arial" w:cs="Arial"/>
                <w:bCs/>
                <w:noProof/>
                <w:color w:val="000000"/>
                <w:shd w:val="clear" w:color="auto" w:fill="FFFFFF"/>
                <w:lang w:val="en-GB"/>
              </w:rPr>
              <w:t xml:space="preserve"> achieved by citing direct quotation or specific quotes that capture the essence of the demonstrated point, without unnecessary complexity, and providing multiple perspectives from the individuals who took part in the study to demonstrate divergent views.</w:t>
            </w:r>
          </w:p>
          <w:p w14:paraId="2FCE27EB" w14:textId="77777777" w:rsidR="00EB7F85" w:rsidRPr="006B2FC7" w:rsidRDefault="00EB7F85" w:rsidP="00282204">
            <w:pPr>
              <w:jc w:val="both"/>
              <w:rPr>
                <w:rFonts w:ascii="Arial" w:hAnsi="Arial" w:cs="Arial"/>
              </w:rPr>
            </w:pPr>
          </w:p>
        </w:tc>
      </w:tr>
    </w:tbl>
    <w:p w14:paraId="6ED62209" w14:textId="77777777" w:rsidR="00EB7F85" w:rsidRPr="00921A14" w:rsidRDefault="00EB7F85" w:rsidP="00EB7F85">
      <w:pPr>
        <w:sectPr w:rsidR="00EB7F85" w:rsidRPr="00921A14" w:rsidSect="00282204">
          <w:pgSz w:w="15840" w:h="12240" w:orient="landscape"/>
          <w:pgMar w:top="1440" w:right="1440" w:bottom="1440" w:left="1440" w:header="720" w:footer="720" w:gutter="0"/>
          <w:cols w:space="720"/>
          <w:docGrid w:linePitch="360"/>
        </w:sectPr>
      </w:pPr>
    </w:p>
    <w:p w14:paraId="27E4931B" w14:textId="77777777" w:rsidR="00EB7F85" w:rsidRPr="00876389" w:rsidRDefault="00EB7F85" w:rsidP="00876389">
      <w:pPr>
        <w:pStyle w:val="Heading4"/>
        <w:numPr>
          <w:ilvl w:val="3"/>
          <w:numId w:val="14"/>
        </w:numPr>
        <w:tabs>
          <w:tab w:val="left" w:pos="810"/>
          <w:tab w:val="left" w:pos="1080"/>
        </w:tabs>
        <w:spacing w:line="360" w:lineRule="auto"/>
        <w:ind w:left="360" w:hanging="360"/>
        <w:rPr>
          <w:rFonts w:asciiTheme="minorBidi" w:hAnsiTheme="minorBidi" w:cstheme="minorBidi"/>
          <w:sz w:val="24"/>
          <w:szCs w:val="24"/>
        </w:rPr>
      </w:pPr>
      <w:r w:rsidRPr="00876389">
        <w:rPr>
          <w:rFonts w:asciiTheme="minorBidi" w:hAnsiTheme="minorBidi" w:cstheme="minorBidi"/>
          <w:sz w:val="24"/>
          <w:szCs w:val="24"/>
        </w:rPr>
        <w:t>Ensuring quality and trustworthiness</w:t>
      </w:r>
    </w:p>
    <w:p w14:paraId="06EC3294" w14:textId="7AD3F42F" w:rsidR="00EB7F85" w:rsidRDefault="00EB7F85" w:rsidP="00EB7F85">
      <w:pPr>
        <w:spacing w:line="360" w:lineRule="auto"/>
        <w:jc w:val="both"/>
        <w:rPr>
          <w:rFonts w:ascii="Arial" w:hAnsi="Arial" w:cs="Arial"/>
          <w:color w:val="000000"/>
          <w:sz w:val="24"/>
          <w:szCs w:val="24"/>
          <w:shd w:val="clear" w:color="auto" w:fill="FFFFFF"/>
          <w:lang w:val="en-GB"/>
        </w:rPr>
      </w:pPr>
      <w:r w:rsidRPr="00123732">
        <w:rPr>
          <w:rFonts w:ascii="Arial" w:hAnsi="Arial" w:cs="Arial"/>
          <w:color w:val="000000"/>
          <w:sz w:val="24"/>
          <w:szCs w:val="24"/>
          <w:shd w:val="clear" w:color="auto" w:fill="FFFFFF"/>
          <w:lang w:val="en-GB"/>
        </w:rPr>
        <w:t>The quality of research means</w:t>
      </w:r>
      <w:r w:rsidRPr="006B2FC7">
        <w:rPr>
          <w:rFonts w:ascii="Arial" w:hAnsi="Arial" w:cs="Arial"/>
          <w:color w:val="000000"/>
          <w:sz w:val="24"/>
          <w:szCs w:val="24"/>
          <w:shd w:val="clear" w:color="auto" w:fill="FFFFFF"/>
          <w:lang w:val="en-GB"/>
        </w:rPr>
        <w:t xml:space="preserve"> checking whether the information obtained through data collection is accurate and examining the extent to which the information is transferable, credible, confirmable, and dependable (Creswell &amp; Clark, 2017). </w:t>
      </w:r>
      <w:r w:rsidRPr="006B2FC7">
        <w:rPr>
          <w:rFonts w:ascii="Arial" w:hAnsi="Arial" w:cs="Arial"/>
          <w:sz w:val="24"/>
          <w:szCs w:val="24"/>
          <w:lang w:val="en-GB"/>
        </w:rPr>
        <w:t xml:space="preserve">Validity and reliability are considered to be issues that affect interviewing because the respondents might not be telling the truth, and the researchers could affect the participants' responses. However, </w:t>
      </w:r>
      <w:r w:rsidRPr="006B2FC7">
        <w:rPr>
          <w:rFonts w:ascii="Arial" w:hAnsi="Arial" w:cs="Arial"/>
          <w:color w:val="000000"/>
          <w:sz w:val="24"/>
          <w:szCs w:val="24"/>
          <w:shd w:val="clear" w:color="auto" w:fill="FFFFFF"/>
          <w:lang w:val="en-GB"/>
        </w:rPr>
        <w:t xml:space="preserve">qualitative research focuses more on validity than reliability (Creswell &amp; Clark, 2017), as the standards in conducting this method are based mainly on the researchers and participants. There are several strategies available that should be followed to determine its validity as well as to enhance the quality of the qualitative research. Five key concepts strategies by </w:t>
      </w:r>
      <w:r>
        <w:rPr>
          <w:rFonts w:ascii="Arial" w:hAnsi="Arial" w:cs="Arial"/>
          <w:color w:val="000000"/>
          <w:sz w:val="24"/>
          <w:szCs w:val="24"/>
          <w:shd w:val="clear" w:color="auto" w:fill="FFFFFF"/>
          <w:lang w:val="en-GB"/>
        </w:rPr>
        <w:fldChar w:fldCharType="begin" w:fldLock="1"/>
      </w:r>
      <w:r>
        <w:rPr>
          <w:rFonts w:ascii="Arial" w:hAnsi="Arial" w:cs="Arial"/>
          <w:color w:val="000000"/>
          <w:sz w:val="24"/>
          <w:szCs w:val="24"/>
          <w:shd w:val="clear" w:color="auto" w:fill="FFFFFF"/>
          <w:lang w:val="en-GB"/>
        </w:rPr>
        <w:instrText>ADDIN CSL_CITATION {"citationItems":[{"id":"ITEM-1","itemData":{"ISBN":"0803924313","author":[{"dropping-particle":"","family":"Lincoln","given":"Yvonna S","non-dropping-particle":"","parse-names":false,"suffix":""},{"dropping-particle":"","family":"Guba","given":"Egon G","non-dropping-particle":"","parse-names":false,"suffix":""}],"editor":[{"dropping-particle":"","family":"Guba","given":"Egon G","non-dropping-particle":"","parse-names":false,"suffix":""}],"id":"ITEM-1","issued":{"date-parts":[["1985"]]},"note":"Bibliography, p393-408. - Includes index.","publisher":"Beverly Hills, Calif. ","publisher-place":"Beverly Hills, Calif. ","title":"Naturalistic inquiry","type":"book"},"uris":["http://www.mendeley.com/documents/?uuid=69252e67-5ee3-446d-bdfb-70e597e1b82d"]}],"mendeley":{"formattedCitation":"(Lincoln and Guba, 1985)","manualFormatting":"Lincoln and Guba (1985)","plainTextFormattedCitation":"(Lincoln and Guba, 1985)","previouslyFormattedCitation":"(Lincoln and Guba, 1985)"},"properties":{"noteIndex":0},"schema":"https://github.com/citation-style-language/schema/raw/master/csl-citation.json"}</w:instrText>
      </w:r>
      <w:r>
        <w:rPr>
          <w:rFonts w:ascii="Arial" w:hAnsi="Arial" w:cs="Arial"/>
          <w:color w:val="000000"/>
          <w:sz w:val="24"/>
          <w:szCs w:val="24"/>
          <w:shd w:val="clear" w:color="auto" w:fill="FFFFFF"/>
          <w:lang w:val="en-GB"/>
        </w:rPr>
        <w:fldChar w:fldCharType="separate"/>
      </w:r>
      <w:r w:rsidRPr="00E43BFD">
        <w:rPr>
          <w:rFonts w:ascii="Arial" w:hAnsi="Arial" w:cs="Arial"/>
          <w:noProof/>
          <w:color w:val="000000"/>
          <w:sz w:val="24"/>
          <w:szCs w:val="24"/>
          <w:shd w:val="clear" w:color="auto" w:fill="FFFFFF"/>
          <w:lang w:val="en-GB"/>
        </w:rPr>
        <w:t>Lincoln and Guba</w:t>
      </w:r>
      <w:r>
        <w:rPr>
          <w:rFonts w:ascii="Arial" w:hAnsi="Arial" w:cs="Arial"/>
          <w:noProof/>
          <w:color w:val="000000"/>
          <w:sz w:val="24"/>
          <w:szCs w:val="24"/>
          <w:shd w:val="clear" w:color="auto" w:fill="FFFFFF"/>
          <w:lang w:val="en-GB"/>
        </w:rPr>
        <w:t xml:space="preserve"> (</w:t>
      </w:r>
      <w:r w:rsidRPr="00E43BFD">
        <w:rPr>
          <w:rFonts w:ascii="Arial" w:hAnsi="Arial" w:cs="Arial"/>
          <w:noProof/>
          <w:color w:val="000000"/>
          <w:sz w:val="24"/>
          <w:szCs w:val="24"/>
          <w:shd w:val="clear" w:color="auto" w:fill="FFFFFF"/>
          <w:lang w:val="en-GB"/>
        </w:rPr>
        <w:t>1985)</w:t>
      </w:r>
      <w:r>
        <w:rPr>
          <w:rFonts w:ascii="Arial" w:hAnsi="Arial" w:cs="Arial"/>
          <w:color w:val="000000"/>
          <w:sz w:val="24"/>
          <w:szCs w:val="24"/>
          <w:shd w:val="clear" w:color="auto" w:fill="FFFFFF"/>
          <w:lang w:val="en-GB"/>
        </w:rPr>
        <w:fldChar w:fldCharType="end"/>
      </w:r>
      <w:r w:rsidRPr="006B2FC7">
        <w:rPr>
          <w:rFonts w:ascii="Arial" w:hAnsi="Arial" w:cs="Arial"/>
          <w:color w:val="000000"/>
          <w:sz w:val="24"/>
          <w:szCs w:val="24"/>
          <w:shd w:val="clear" w:color="auto" w:fill="FFFFFF"/>
          <w:lang w:val="en-GB"/>
        </w:rPr>
        <w:t xml:space="preserve"> to achieve the trustworthiness w</w:t>
      </w:r>
      <w:r>
        <w:rPr>
          <w:rFonts w:ascii="Arial" w:hAnsi="Arial" w:cs="Arial"/>
          <w:color w:val="000000"/>
          <w:sz w:val="24"/>
          <w:szCs w:val="24"/>
          <w:shd w:val="clear" w:color="auto" w:fill="FFFFFF"/>
          <w:lang w:val="en-GB"/>
        </w:rPr>
        <w:t>as</w:t>
      </w:r>
      <w:r w:rsidRPr="006B2FC7">
        <w:rPr>
          <w:rFonts w:ascii="Arial" w:hAnsi="Arial" w:cs="Arial"/>
          <w:color w:val="000000"/>
          <w:sz w:val="24"/>
          <w:szCs w:val="24"/>
          <w:shd w:val="clear" w:color="auto" w:fill="FFFFFF"/>
          <w:lang w:val="en-GB"/>
        </w:rPr>
        <w:t xml:space="preserve"> used to assess the quality of qualitative research: credibility, transferability, dependability, confirmability and authenticity</w:t>
      </w:r>
      <w:r>
        <w:rPr>
          <w:rFonts w:ascii="Arial" w:hAnsi="Arial" w:cs="Arial"/>
          <w:color w:val="000000"/>
          <w:sz w:val="24"/>
          <w:szCs w:val="24"/>
          <w:shd w:val="clear" w:color="auto" w:fill="FFFFFF"/>
          <w:lang w:val="en-GB"/>
        </w:rPr>
        <w:t xml:space="preserve"> </w:t>
      </w:r>
      <w:r>
        <w:rPr>
          <w:rFonts w:ascii="Arial" w:hAnsi="Arial" w:cs="Arial"/>
          <w:color w:val="000000"/>
          <w:sz w:val="24"/>
          <w:szCs w:val="24"/>
          <w:shd w:val="clear" w:color="auto" w:fill="FFFFFF"/>
          <w:lang w:val="en-GB"/>
        </w:rPr>
        <w:fldChar w:fldCharType="begin" w:fldLock="1"/>
      </w:r>
      <w:r>
        <w:rPr>
          <w:rFonts w:ascii="Arial" w:hAnsi="Arial" w:cs="Arial"/>
          <w:color w:val="000000"/>
          <w:sz w:val="24"/>
          <w:szCs w:val="24"/>
          <w:shd w:val="clear" w:color="auto" w:fill="FFFFFF"/>
          <w:lang w:val="en-GB"/>
        </w:rPr>
        <w:instrText>ADDIN CSL_CITATION {"citationItems":[{"id":"ITEM-1","itemData":{"DOI":"10.1007/978-1-137-29105-9","ISBN":"9781137291059","abstract":"Braun, V., Clarke, V., &amp; Terry, G. (2015). Thematic analysis. In P. Rohleder &amp; A. Lyons (Eds.), Qualitative research in clinical health psychology (pp. 95-113).","author":[{"dropping-particle":"","family":"Riggs","given":"Damien W","non-dropping-particle":"","parse-names":false,"suffix":""}],"container-title":"Qualitative Research in Clinical and Health Psychology","id":"ITEM-1","issue":"March","issued":{"date-parts":[["2015"]]},"title":"Qualitative Research in Clinical and Health Psychology","type":"article-journal"},"uris":["http://www.mendeley.com/documents/?uuid=4cf9c49e-8a01-4daf-a2ab-f4d2bdadb6fb"]}],"mendeley":{"formattedCitation":"(Riggs, 2015)","plainTextFormattedCitation":"(Riggs, 2015)","previouslyFormattedCitation":"(Riggs, 2015)"},"properties":{"noteIndex":0},"schema":"https://github.com/citation-style-language/schema/raw/master/csl-citation.json"}</w:instrText>
      </w:r>
      <w:r>
        <w:rPr>
          <w:rFonts w:ascii="Arial" w:hAnsi="Arial" w:cs="Arial"/>
          <w:color w:val="000000"/>
          <w:sz w:val="24"/>
          <w:szCs w:val="24"/>
          <w:shd w:val="clear" w:color="auto" w:fill="FFFFFF"/>
          <w:lang w:val="en-GB"/>
        </w:rPr>
        <w:fldChar w:fldCharType="separate"/>
      </w:r>
      <w:r w:rsidRPr="00C17BA7">
        <w:rPr>
          <w:rFonts w:ascii="Arial" w:hAnsi="Arial" w:cs="Arial"/>
          <w:noProof/>
          <w:color w:val="000000"/>
          <w:sz w:val="24"/>
          <w:szCs w:val="24"/>
          <w:shd w:val="clear" w:color="auto" w:fill="FFFFFF"/>
          <w:lang w:val="en-GB"/>
        </w:rPr>
        <w:t>(Riggs, 2015)</w:t>
      </w:r>
      <w:r>
        <w:rPr>
          <w:rFonts w:ascii="Arial" w:hAnsi="Arial" w:cs="Arial"/>
          <w:color w:val="000000"/>
          <w:sz w:val="24"/>
          <w:szCs w:val="24"/>
          <w:shd w:val="clear" w:color="auto" w:fill="FFFFFF"/>
          <w:lang w:val="en-GB"/>
        </w:rPr>
        <w:fldChar w:fldCharType="end"/>
      </w:r>
      <w:r>
        <w:rPr>
          <w:rFonts w:ascii="Arial" w:hAnsi="Arial" w:cs="Arial"/>
          <w:color w:val="000000"/>
          <w:sz w:val="24"/>
          <w:szCs w:val="24"/>
          <w:shd w:val="clear" w:color="auto" w:fill="FFFFFF"/>
          <w:lang w:val="en-GB"/>
        </w:rPr>
        <w:t>, see (</w:t>
      </w:r>
      <w:r>
        <w:rPr>
          <w:rFonts w:ascii="Arial" w:hAnsi="Arial" w:cs="Arial"/>
          <w:color w:val="000000"/>
          <w:sz w:val="24"/>
          <w:szCs w:val="24"/>
          <w:shd w:val="clear" w:color="auto" w:fill="FFFFFF"/>
          <w:lang w:val="en-GB"/>
        </w:rPr>
        <w:fldChar w:fldCharType="begin"/>
      </w:r>
      <w:r>
        <w:rPr>
          <w:rFonts w:ascii="Arial" w:hAnsi="Arial" w:cs="Arial"/>
          <w:color w:val="000000"/>
          <w:sz w:val="24"/>
          <w:szCs w:val="24"/>
          <w:shd w:val="clear" w:color="auto" w:fill="FFFFFF"/>
          <w:lang w:val="en-GB"/>
        </w:rPr>
        <w:instrText xml:space="preserve"> REF _Ref41875790 \h  \* MERGEFORMAT </w:instrText>
      </w:r>
      <w:r>
        <w:rPr>
          <w:rFonts w:ascii="Arial" w:hAnsi="Arial" w:cs="Arial"/>
          <w:color w:val="000000"/>
          <w:sz w:val="24"/>
          <w:szCs w:val="24"/>
          <w:shd w:val="clear" w:color="auto" w:fill="FFFFFF"/>
          <w:lang w:val="en-GB"/>
        </w:rPr>
      </w:r>
      <w:r>
        <w:rPr>
          <w:rFonts w:ascii="Arial" w:hAnsi="Arial" w:cs="Arial"/>
          <w:color w:val="000000"/>
          <w:sz w:val="24"/>
          <w:szCs w:val="24"/>
          <w:shd w:val="clear" w:color="auto" w:fill="FFFFFF"/>
          <w:lang w:val="en-GB"/>
        </w:rPr>
        <w:fldChar w:fldCharType="separate"/>
      </w:r>
      <w:r w:rsidR="004E295B" w:rsidRPr="004E295B">
        <w:rPr>
          <w:rFonts w:asciiTheme="minorBidi" w:hAnsiTheme="minorBidi"/>
          <w:color w:val="1F3864" w:themeColor="accent1" w:themeShade="80"/>
          <w:sz w:val="24"/>
          <w:szCs w:val="24"/>
        </w:rPr>
        <w:t xml:space="preserve">Table </w:t>
      </w:r>
      <w:r w:rsidR="004E295B" w:rsidRPr="004E295B">
        <w:rPr>
          <w:rFonts w:asciiTheme="minorBidi" w:hAnsiTheme="minorBidi"/>
          <w:noProof/>
          <w:color w:val="1F3864" w:themeColor="accent1" w:themeShade="80"/>
          <w:sz w:val="24"/>
          <w:szCs w:val="24"/>
        </w:rPr>
        <w:t>11</w:t>
      </w:r>
      <w:r>
        <w:rPr>
          <w:rFonts w:ascii="Arial" w:hAnsi="Arial" w:cs="Arial"/>
          <w:color w:val="000000"/>
          <w:sz w:val="24"/>
          <w:szCs w:val="24"/>
          <w:shd w:val="clear" w:color="auto" w:fill="FFFFFF"/>
          <w:lang w:val="en-GB"/>
        </w:rPr>
        <w:fldChar w:fldCharType="end"/>
      </w:r>
      <w:r>
        <w:rPr>
          <w:rFonts w:ascii="Arial" w:hAnsi="Arial" w:cs="Arial"/>
          <w:color w:val="000000"/>
          <w:sz w:val="24"/>
          <w:szCs w:val="24"/>
          <w:shd w:val="clear" w:color="auto" w:fill="FFFFFF"/>
          <w:lang w:val="en-GB"/>
        </w:rPr>
        <w:t>).</w:t>
      </w:r>
    </w:p>
    <w:p w14:paraId="2E5CFAFC" w14:textId="77777777" w:rsidR="00EB7F85" w:rsidRPr="005D7497" w:rsidRDefault="00EB7F85" w:rsidP="00EB7F85">
      <w:pPr>
        <w:spacing w:line="360" w:lineRule="auto"/>
        <w:jc w:val="both"/>
        <w:rPr>
          <w:rFonts w:ascii="Arial" w:hAnsi="Arial" w:cs="Arial"/>
          <w:color w:val="000000"/>
          <w:sz w:val="24"/>
          <w:szCs w:val="24"/>
          <w:shd w:val="clear" w:color="auto" w:fill="FFFFFF"/>
          <w:lang w:val="en-GB"/>
        </w:rPr>
      </w:pPr>
      <w:r w:rsidRPr="005D7497">
        <w:rPr>
          <w:rFonts w:ascii="Arial" w:hAnsi="Arial" w:cs="Arial"/>
          <w:color w:val="000000"/>
          <w:sz w:val="24"/>
          <w:szCs w:val="24"/>
          <w:shd w:val="clear" w:color="auto" w:fill="FFFFFF"/>
          <w:lang w:val="en-GB"/>
        </w:rPr>
        <w:t xml:space="preserve">In the end, trustworthiness is an important concept to evaluate the qualitative study. Trustworthiness involves credibility, transferability, dependability, confirmability and authenticity. The research to become well and in good quality, the researcher has to do more than be trustworthy. He/she has to be more technically competent, capture people imagination and attention, excite people and engage them to change their thinking or may help them to provide something more efficient or improve the outcome of service. </w:t>
      </w:r>
    </w:p>
    <w:p w14:paraId="40155742" w14:textId="77777777" w:rsidR="00EB7F85" w:rsidRDefault="00EB7F85" w:rsidP="00EB7F85">
      <w:pPr>
        <w:spacing w:line="360" w:lineRule="auto"/>
        <w:jc w:val="both"/>
        <w:rPr>
          <w:rFonts w:ascii="Arial" w:hAnsi="Arial" w:cs="Arial"/>
          <w:color w:val="000000"/>
          <w:sz w:val="24"/>
          <w:szCs w:val="24"/>
          <w:shd w:val="clear" w:color="auto" w:fill="FFFFFF"/>
          <w:lang w:val="en-GB"/>
        </w:rPr>
      </w:pPr>
    </w:p>
    <w:p w14:paraId="0DC16448" w14:textId="77777777" w:rsidR="00EB7F85" w:rsidRDefault="00EB7F85" w:rsidP="00EB7F85">
      <w:pPr>
        <w:spacing w:line="360" w:lineRule="auto"/>
        <w:jc w:val="both"/>
        <w:rPr>
          <w:rFonts w:ascii="Arial" w:hAnsi="Arial" w:cs="Arial"/>
          <w:color w:val="000000"/>
          <w:sz w:val="24"/>
          <w:szCs w:val="24"/>
          <w:shd w:val="clear" w:color="auto" w:fill="FFFFFF"/>
          <w:lang w:val="en-GB"/>
        </w:rPr>
      </w:pPr>
    </w:p>
    <w:p w14:paraId="4F30E7CF" w14:textId="77777777" w:rsidR="00EB7F85" w:rsidRDefault="00EB7F85" w:rsidP="00EB7F85">
      <w:pPr>
        <w:spacing w:line="360" w:lineRule="auto"/>
        <w:jc w:val="both"/>
        <w:rPr>
          <w:rFonts w:ascii="Arial" w:hAnsi="Arial" w:cs="Arial"/>
          <w:color w:val="000000"/>
          <w:sz w:val="24"/>
          <w:szCs w:val="24"/>
          <w:shd w:val="clear" w:color="auto" w:fill="FFFFFF"/>
          <w:lang w:val="en-GB"/>
        </w:rPr>
      </w:pPr>
    </w:p>
    <w:p w14:paraId="2239DF3F" w14:textId="77777777" w:rsidR="00EB7F85" w:rsidRDefault="00EB7F85" w:rsidP="00EB7F85">
      <w:pPr>
        <w:spacing w:line="360" w:lineRule="auto"/>
        <w:jc w:val="both"/>
        <w:rPr>
          <w:rFonts w:ascii="Arial" w:hAnsi="Arial" w:cs="Arial"/>
          <w:color w:val="000000"/>
          <w:sz w:val="24"/>
          <w:szCs w:val="24"/>
          <w:shd w:val="clear" w:color="auto" w:fill="FFFFFF"/>
          <w:lang w:val="en-GB"/>
        </w:rPr>
      </w:pPr>
    </w:p>
    <w:p w14:paraId="21362EB5" w14:textId="77777777" w:rsidR="00EB7F85" w:rsidRDefault="00EB7F85" w:rsidP="00EB7F85">
      <w:pPr>
        <w:spacing w:line="360" w:lineRule="auto"/>
        <w:jc w:val="both"/>
        <w:rPr>
          <w:rFonts w:ascii="Arial" w:hAnsi="Arial" w:cs="Arial"/>
          <w:color w:val="000000"/>
          <w:sz w:val="24"/>
          <w:szCs w:val="24"/>
          <w:shd w:val="clear" w:color="auto" w:fill="FFFFFF"/>
          <w:lang w:val="en-GB"/>
        </w:rPr>
      </w:pPr>
    </w:p>
    <w:p w14:paraId="36AA9FC9" w14:textId="77777777" w:rsidR="00EB7F85" w:rsidRDefault="00EB7F85" w:rsidP="00EB7F85">
      <w:pPr>
        <w:rPr>
          <w:lang w:val="en-GB"/>
        </w:rPr>
        <w:sectPr w:rsidR="00EB7F85">
          <w:pgSz w:w="12240" w:h="15840"/>
          <w:pgMar w:top="1440" w:right="1440" w:bottom="1440" w:left="1440" w:header="720" w:footer="720" w:gutter="0"/>
          <w:cols w:space="720"/>
          <w:docGrid w:linePitch="360"/>
        </w:sectPr>
      </w:pPr>
    </w:p>
    <w:p w14:paraId="4AC0A72E" w14:textId="4E47DE99" w:rsidR="00EB7F85" w:rsidRPr="00DE35BE" w:rsidRDefault="00EB7F85" w:rsidP="00EB7F85">
      <w:pPr>
        <w:pStyle w:val="Caption"/>
        <w:keepNext/>
        <w:rPr>
          <w:sz w:val="22"/>
          <w:szCs w:val="22"/>
        </w:rPr>
      </w:pPr>
      <w:bookmarkStart w:id="127" w:name="_Ref41875790"/>
      <w:bookmarkStart w:id="128" w:name="_Toc41920377"/>
      <w:bookmarkStart w:id="129" w:name="_Toc153894565"/>
      <w:r w:rsidRPr="00DE35BE">
        <w:rPr>
          <w:sz w:val="22"/>
          <w:szCs w:val="22"/>
        </w:rPr>
        <w:t xml:space="preserve">Table </w:t>
      </w:r>
      <w:r w:rsidRPr="00DE35BE">
        <w:rPr>
          <w:sz w:val="22"/>
          <w:szCs w:val="22"/>
        </w:rPr>
        <w:fldChar w:fldCharType="begin"/>
      </w:r>
      <w:r w:rsidRPr="00DE35BE">
        <w:rPr>
          <w:sz w:val="22"/>
          <w:szCs w:val="22"/>
        </w:rPr>
        <w:instrText xml:space="preserve"> SEQ Table \* ARABIC </w:instrText>
      </w:r>
      <w:r w:rsidRPr="00DE35BE">
        <w:rPr>
          <w:sz w:val="22"/>
          <w:szCs w:val="22"/>
        </w:rPr>
        <w:fldChar w:fldCharType="separate"/>
      </w:r>
      <w:r w:rsidR="009B31EB">
        <w:rPr>
          <w:noProof/>
          <w:sz w:val="22"/>
          <w:szCs w:val="22"/>
        </w:rPr>
        <w:t>11</w:t>
      </w:r>
      <w:r w:rsidRPr="00DE35BE">
        <w:rPr>
          <w:noProof/>
          <w:sz w:val="22"/>
          <w:szCs w:val="22"/>
        </w:rPr>
        <w:fldChar w:fldCharType="end"/>
      </w:r>
      <w:bookmarkEnd w:id="127"/>
      <w:r w:rsidRPr="00DE35BE">
        <w:rPr>
          <w:sz w:val="22"/>
          <w:szCs w:val="22"/>
        </w:rPr>
        <w:t>: Guba and Lincoln's concepts for investigating quality in qualitative research</w:t>
      </w:r>
      <w:bookmarkEnd w:id="128"/>
      <w:bookmarkEnd w:id="129"/>
    </w:p>
    <w:tbl>
      <w:tblPr>
        <w:tblStyle w:val="TableGrid"/>
        <w:tblpPr w:leftFromText="180" w:rightFromText="180" w:vertAnchor="text" w:tblpX="-815" w:tblpY="1"/>
        <w:tblOverlap w:val="never"/>
        <w:tblW w:w="14702" w:type="dxa"/>
        <w:tblLook w:val="04A0" w:firstRow="1" w:lastRow="0" w:firstColumn="1" w:lastColumn="0" w:noHBand="0" w:noVBand="1"/>
      </w:tblPr>
      <w:tblGrid>
        <w:gridCol w:w="1615"/>
        <w:gridCol w:w="13087"/>
      </w:tblGrid>
      <w:tr w:rsidR="00EB7F85" w14:paraId="76C24EEE" w14:textId="77777777" w:rsidTr="00282204">
        <w:tc>
          <w:tcPr>
            <w:tcW w:w="1615" w:type="dxa"/>
          </w:tcPr>
          <w:p w14:paraId="5BDA5C49" w14:textId="77777777" w:rsidR="00EB7F85" w:rsidRPr="00714D1B" w:rsidRDefault="00EB7F85" w:rsidP="00282204">
            <w:pPr>
              <w:pStyle w:val="Heading4"/>
              <w:rPr>
                <w:rFonts w:ascii="Arial" w:hAnsi="Arial" w:cs="Arial"/>
                <w:shd w:val="clear" w:color="auto" w:fill="FFFFFF"/>
                <w:lang w:val="en-GB"/>
              </w:rPr>
            </w:pPr>
            <w:r w:rsidRPr="00714D1B">
              <w:rPr>
                <w:rFonts w:ascii="Arial" w:hAnsi="Arial" w:cs="Arial"/>
                <w:shd w:val="clear" w:color="auto" w:fill="FFFFFF"/>
                <w:lang w:val="en-GB"/>
              </w:rPr>
              <w:t>Concept</w:t>
            </w:r>
          </w:p>
        </w:tc>
        <w:tc>
          <w:tcPr>
            <w:tcW w:w="13087" w:type="dxa"/>
          </w:tcPr>
          <w:p w14:paraId="63134EC9" w14:textId="77777777" w:rsidR="00EB7F85" w:rsidRPr="00714D1B" w:rsidRDefault="00EB7F85" w:rsidP="00282204">
            <w:pPr>
              <w:jc w:val="both"/>
              <w:rPr>
                <w:rFonts w:ascii="Arial" w:eastAsiaTheme="majorEastAsia" w:hAnsi="Arial" w:cs="Arial"/>
                <w:i/>
                <w:iCs/>
                <w:color w:val="2F5496" w:themeColor="accent1" w:themeShade="BF"/>
                <w:shd w:val="clear" w:color="auto" w:fill="FFFFFF"/>
                <w:lang w:val="en-GB"/>
              </w:rPr>
            </w:pPr>
            <w:r w:rsidRPr="00714D1B">
              <w:rPr>
                <w:rFonts w:ascii="Arial" w:eastAsiaTheme="majorEastAsia" w:hAnsi="Arial" w:cs="Arial"/>
                <w:i/>
                <w:iCs/>
                <w:color w:val="2F5496" w:themeColor="accent1" w:themeShade="BF"/>
                <w:shd w:val="clear" w:color="auto" w:fill="FFFFFF"/>
                <w:lang w:val="en-GB"/>
              </w:rPr>
              <w:t xml:space="preserve">Definition and approaches for investigation </w:t>
            </w:r>
          </w:p>
        </w:tc>
      </w:tr>
      <w:tr w:rsidR="00EB7F85" w14:paraId="7D36AF3C" w14:textId="77777777" w:rsidTr="00282204">
        <w:tc>
          <w:tcPr>
            <w:tcW w:w="1615" w:type="dxa"/>
          </w:tcPr>
          <w:p w14:paraId="175AFF78" w14:textId="77777777" w:rsidR="00EB7F85" w:rsidRPr="00714D1B" w:rsidRDefault="00EB7F85" w:rsidP="00282204">
            <w:pPr>
              <w:pStyle w:val="Heading4"/>
              <w:rPr>
                <w:rFonts w:ascii="Arial" w:hAnsi="Arial" w:cs="Arial"/>
                <w:shd w:val="clear" w:color="auto" w:fill="FFFFFF"/>
                <w:lang w:val="en-GB"/>
              </w:rPr>
            </w:pPr>
            <w:r w:rsidRPr="00714D1B">
              <w:rPr>
                <w:rFonts w:ascii="Arial" w:hAnsi="Arial" w:cs="Arial"/>
                <w:shd w:val="clear" w:color="auto" w:fill="FFFFFF"/>
                <w:lang w:val="en-GB"/>
              </w:rPr>
              <w:t>Credibility</w:t>
            </w:r>
          </w:p>
          <w:p w14:paraId="19074D94" w14:textId="77777777" w:rsidR="00EB7F85" w:rsidRPr="00714D1B" w:rsidRDefault="00EB7F85" w:rsidP="00282204">
            <w:pPr>
              <w:rPr>
                <w:rFonts w:ascii="Arial" w:hAnsi="Arial" w:cs="Arial"/>
                <w:lang w:val="en-GB"/>
              </w:rPr>
            </w:pPr>
          </w:p>
          <w:p w14:paraId="4837D5F8" w14:textId="77777777" w:rsidR="00EB7F85" w:rsidRPr="00714D1B" w:rsidRDefault="00EB7F85" w:rsidP="00282204">
            <w:pPr>
              <w:rPr>
                <w:rFonts w:ascii="Arial" w:hAnsi="Arial" w:cs="Arial"/>
              </w:rPr>
            </w:pPr>
          </w:p>
        </w:tc>
        <w:tc>
          <w:tcPr>
            <w:tcW w:w="13087" w:type="dxa"/>
          </w:tcPr>
          <w:p w14:paraId="21187592" w14:textId="77777777" w:rsidR="00EB7F85" w:rsidRPr="009C49B2" w:rsidRDefault="00EB7F85" w:rsidP="00282204">
            <w:pPr>
              <w:jc w:val="both"/>
              <w:rPr>
                <w:rFonts w:ascii="Arial" w:hAnsi="Arial" w:cs="Arial"/>
                <w:color w:val="000000"/>
                <w:shd w:val="clear" w:color="auto" w:fill="FFFFFF"/>
                <w:lang w:val="en-GB"/>
              </w:rPr>
            </w:pPr>
            <w:r w:rsidRPr="009C49B2">
              <w:rPr>
                <w:rFonts w:ascii="Arial" w:hAnsi="Arial" w:cs="Arial"/>
                <w:color w:val="000000"/>
                <w:shd w:val="clear" w:color="auto" w:fill="FFFFFF"/>
                <w:lang w:val="en-GB"/>
              </w:rPr>
              <w:t xml:space="preserve">Lincoln and Guba (1985) argue that confirming credibility is one of the most important elements in establishing trustworthiness </w:t>
            </w:r>
            <w:r w:rsidRPr="009C49B2">
              <w:rPr>
                <w:rFonts w:ascii="Arial" w:hAnsi="Arial" w:cs="Arial"/>
                <w:color w:val="000000"/>
                <w:shd w:val="clear" w:color="auto" w:fill="FFFFFF"/>
                <w:lang w:val="en-GB"/>
              </w:rPr>
              <w:fldChar w:fldCharType="begin" w:fldLock="1"/>
            </w:r>
            <w:r w:rsidRPr="009C49B2">
              <w:rPr>
                <w:rFonts w:ascii="Arial" w:hAnsi="Arial" w:cs="Arial"/>
                <w:color w:val="000000"/>
                <w:shd w:val="clear" w:color="auto" w:fill="FFFFFF"/>
                <w:lang w:val="en-GB"/>
              </w:rPr>
              <w:instrText>ADDIN CSL_CITATION {"citationItems":[{"id":"ITEM-1","itemData":{"DOI":"10.3233/EFI-2004-22201","ISSN":"01678329","abstract":"Although many critics are reluctant to accept the trustworthiness of qualitative research, frameworks for ensuring rigour in this form of work have been in existence for many years. Guba's constructs, in particular, have won considerable favour and form the focus of this paper. Here researchers seek to satisfy four criteria. In addressing credibility, investigators attempt to demonstrate that a true picture of the phenomenon under scrutiny is being presented. To allow transferability, they provide sufficient detail of the context of the fieldwork for a reader to be able to decide whether the prevailing environment is similar to another situation with which he or she is familiar and whether the findings can justifiably be applied to the other setting. The meeting of the dependability criterion is difficult in qualitative work, although researchers should at least strive to enable a future investigator to repeat the study. Finally, to achieve confirmability, researchers must take steps to demonstrate that findings emerge from the data and not their own predispositions. The paper concludes by suggesting that it is the responsibility of research methods teachers to ensure that this or a comparable model for ensuring trustworthiness is followed by students undertaking a qualitative inquiry.","author":[{"dropping-particle":"","family":"Shenton","given":"Andrew K.","non-dropping-particle":"","parse-names":false,"suffix":""}],"container-title":"Education for Information","id":"ITEM-1","issue":"2","issued":{"date-parts":[["2004"]]},"page":"63-75","title":"Strategies for ensuring trustworthiness in qualitative research projects","type":"article-journal","volume":"22"},"uris":["http://www.mendeley.com/documents/?uuid=0d14fd27-89ba-4b3f-8a1b-a2eb8bd8a65c"]}],"mendeley":{"formattedCitation":"(Shenton, 2004)","plainTextFormattedCitation":"(Shenton, 2004)","previouslyFormattedCitation":"(Shenton, 2004)"},"properties":{"noteIndex":0},"schema":"https://github.com/citation-style-language/schema/raw/master/csl-citation.json"}</w:instrText>
            </w:r>
            <w:r w:rsidRPr="009C49B2">
              <w:rPr>
                <w:rFonts w:ascii="Arial" w:hAnsi="Arial" w:cs="Arial"/>
                <w:color w:val="000000"/>
                <w:shd w:val="clear" w:color="auto" w:fill="FFFFFF"/>
                <w:lang w:val="en-GB"/>
              </w:rPr>
              <w:fldChar w:fldCharType="separate"/>
            </w:r>
            <w:r w:rsidRPr="009C49B2">
              <w:rPr>
                <w:rFonts w:ascii="Arial" w:hAnsi="Arial" w:cs="Arial"/>
                <w:noProof/>
                <w:color w:val="000000"/>
                <w:shd w:val="clear" w:color="auto" w:fill="FFFFFF"/>
                <w:lang w:val="en-GB"/>
              </w:rPr>
              <w:t>(Shenton, 2004)</w:t>
            </w:r>
            <w:r w:rsidRPr="009C49B2">
              <w:rPr>
                <w:rFonts w:ascii="Arial" w:hAnsi="Arial" w:cs="Arial"/>
                <w:color w:val="000000"/>
                <w:shd w:val="clear" w:color="auto" w:fill="FFFFFF"/>
                <w:lang w:val="en-GB"/>
              </w:rPr>
              <w:fldChar w:fldCharType="end"/>
            </w:r>
            <w:r w:rsidRPr="009C49B2">
              <w:rPr>
                <w:rFonts w:ascii="Arial" w:hAnsi="Arial" w:cs="Arial"/>
                <w:color w:val="000000"/>
                <w:shd w:val="clear" w:color="auto" w:fill="FFFFFF"/>
                <w:lang w:val="en-GB"/>
              </w:rPr>
              <w:t xml:space="preserve">. Credibility is analogue to internal validity in quantitative research. There are several strategies can be used to accomplish the credibility concept of research.  However, not all of them can be applied for every qualitative research, particularly if the research conducted by one person with limited time as in case of a PhD, therefore, some of these strategies </w:t>
            </w:r>
            <w:r>
              <w:rPr>
                <w:rFonts w:ascii="Arial" w:hAnsi="Arial" w:cs="Arial"/>
                <w:color w:val="000000"/>
                <w:shd w:val="clear" w:color="auto" w:fill="FFFFFF"/>
                <w:lang w:val="en-GB"/>
              </w:rPr>
              <w:t>can be</w:t>
            </w:r>
            <w:r w:rsidRPr="009C49B2">
              <w:rPr>
                <w:rFonts w:ascii="Arial" w:hAnsi="Arial" w:cs="Arial"/>
                <w:color w:val="000000"/>
                <w:shd w:val="clear" w:color="auto" w:fill="FFFFFF"/>
                <w:lang w:val="en-GB"/>
              </w:rPr>
              <w:t xml:space="preserve"> used here. For example, member-checking, where the investigator summarises the findings back to the participants and asks them whether they are accurate and reflect their views to increase the trustworthiness of the findings. In this research, member-checks </w:t>
            </w:r>
            <w:r>
              <w:rPr>
                <w:rFonts w:ascii="Arial" w:hAnsi="Arial" w:cs="Arial"/>
                <w:color w:val="000000"/>
                <w:shd w:val="clear" w:color="auto" w:fill="FFFFFF"/>
                <w:lang w:val="en-GB"/>
              </w:rPr>
              <w:t>is usually</w:t>
            </w:r>
            <w:r w:rsidRPr="009C49B2">
              <w:rPr>
                <w:rFonts w:ascii="Arial" w:hAnsi="Arial" w:cs="Arial"/>
                <w:color w:val="000000"/>
                <w:shd w:val="clear" w:color="auto" w:fill="FFFFFF"/>
                <w:lang w:val="en-GB"/>
              </w:rPr>
              <w:t xml:space="preserve"> done immediately after finishing the interview by repeating what the interviewee said immediately because it could be difficult to contact back with interviewees after finishing the interview. Taking into consideration this procedure could potentially make the interview boring for the interviewee.  </w:t>
            </w:r>
            <w:r>
              <w:rPr>
                <w:rFonts w:ascii="Arial" w:hAnsi="Arial" w:cs="Arial"/>
                <w:color w:val="000000"/>
                <w:shd w:val="clear" w:color="auto" w:fill="FFFFFF"/>
                <w:lang w:val="en-GB"/>
              </w:rPr>
              <w:t xml:space="preserve">Therefore, the researcher sent the transcription to the interviewees </w:t>
            </w:r>
            <w:r w:rsidRPr="009C49B2">
              <w:rPr>
                <w:rFonts w:ascii="Arial" w:hAnsi="Arial" w:cs="Arial"/>
                <w:color w:val="000000"/>
                <w:shd w:val="clear" w:color="auto" w:fill="FFFFFF"/>
                <w:lang w:val="en-GB"/>
              </w:rPr>
              <w:t>and ask</w:t>
            </w:r>
            <w:r>
              <w:rPr>
                <w:rFonts w:ascii="Arial" w:hAnsi="Arial" w:cs="Arial"/>
                <w:color w:val="000000"/>
                <w:shd w:val="clear" w:color="auto" w:fill="FFFFFF"/>
                <w:lang w:val="en-GB"/>
              </w:rPr>
              <w:t>ed</w:t>
            </w:r>
            <w:r w:rsidRPr="009C49B2">
              <w:rPr>
                <w:rFonts w:ascii="Arial" w:hAnsi="Arial" w:cs="Arial"/>
                <w:color w:val="000000"/>
                <w:shd w:val="clear" w:color="auto" w:fill="FFFFFF"/>
                <w:lang w:val="en-GB"/>
              </w:rPr>
              <w:t xml:space="preserve"> them whether they are accurate and reflect their views</w:t>
            </w:r>
            <w:r>
              <w:rPr>
                <w:rFonts w:ascii="Arial" w:hAnsi="Arial" w:cs="Arial"/>
                <w:color w:val="000000"/>
                <w:shd w:val="clear" w:color="auto" w:fill="FFFFFF"/>
                <w:lang w:val="en-GB"/>
              </w:rPr>
              <w:t>.</w:t>
            </w:r>
            <w:r w:rsidRPr="009C49B2">
              <w:rPr>
                <w:rFonts w:ascii="Arial" w:hAnsi="Arial" w:cs="Arial"/>
                <w:color w:val="000000"/>
                <w:shd w:val="clear" w:color="auto" w:fill="FFFFFF"/>
                <w:lang w:val="en-GB"/>
              </w:rPr>
              <w:t xml:space="preserve"> Negative (divergent) case analysis is another credibility strategy, which means </w:t>
            </w:r>
            <w:r w:rsidRPr="009C49B2">
              <w:rPr>
                <w:rFonts w:ascii="Arial" w:hAnsi="Arial" w:cs="Arial"/>
                <w:color w:val="1C1E29"/>
                <w:lang w:val="en-GB"/>
              </w:rPr>
              <w:t xml:space="preserve">providing multiple perspectives from the individuals who took part in the study to demonstrate divergent views </w:t>
            </w:r>
            <w:r w:rsidRPr="009C49B2">
              <w:rPr>
                <w:rFonts w:ascii="Arial" w:hAnsi="Arial" w:cs="Arial"/>
                <w:color w:val="1C1E29"/>
                <w:lang w:val="en-GB"/>
              </w:rPr>
              <w:fldChar w:fldCharType="begin" w:fldLock="1"/>
            </w:r>
            <w:r w:rsidRPr="009C49B2">
              <w:rPr>
                <w:rFonts w:ascii="Arial" w:hAnsi="Arial" w:cs="Arial"/>
                <w:color w:val="1C1E29"/>
                <w:lang w:val="en-GB"/>
              </w:rPr>
              <w:instrText>ADDIN CSL_CITATION {"citationItems":[{"id":"ITEM-1","itemData":{"DOI":"10.3233/EFI-2004-22201","ISSN":"01678329","abstract":"Although many critics are reluctant to accept the trustworthiness of qualitative research, frameworks for ensuring rigour in this form of work have been in existence for many years. Guba's constructs, in particular, have won considerable favour and form the focus of this paper. Here researchers seek to satisfy four criteria. In addressing credibility, investigators attempt to demonstrate that a true picture of the phenomenon under scrutiny is being presented. To allow transferability, they provide sufficient detail of the context of the fieldwork for a reader to be able to decide whether the prevailing environment is similar to another situation with which he or she is familiar and whether the findings can justifiably be applied to the other setting. The meeting of the dependability criterion is difficult in qualitative work, although researchers should at least strive to enable a future investigator to repeat the study. Finally, to achieve confirmability, researchers must take steps to demonstrate that findings emerge from the data and not their own predispositions. The paper concludes by suggesting that it is the responsibility of research methods teachers to ensure that this or a comparable model for ensuring trustworthiness is followed by students undertaking a qualitative inquiry.","author":[{"dropping-particle":"","family":"Shenton","given":"Andrew K.","non-dropping-particle":"","parse-names":false,"suffix":""}],"container-title":"Education for Information","id":"ITEM-1","issue":"2","issued":{"date-parts":[["2004"]]},"page":"63-75","title":"Strategies for ensuring trustworthiness in qualitative research projects","type":"article-journal","volume":"22"},"uris":["http://www.mendeley.com/documents/?uuid=0d14fd27-89ba-4b3f-8a1b-a2eb8bd8a65c"]}],"mendeley":{"formattedCitation":"(Shenton, 2004)","plainTextFormattedCitation":"(Shenton, 2004)","previouslyFormattedCitation":"(Shenton, 2004)"},"properties":{"noteIndex":0},"schema":"https://github.com/citation-style-language/schema/raw/master/csl-citation.json"}</w:instrText>
            </w:r>
            <w:r w:rsidRPr="009C49B2">
              <w:rPr>
                <w:rFonts w:ascii="Arial" w:hAnsi="Arial" w:cs="Arial"/>
                <w:color w:val="1C1E29"/>
                <w:lang w:val="en-GB"/>
              </w:rPr>
              <w:fldChar w:fldCharType="separate"/>
            </w:r>
            <w:r w:rsidRPr="009C49B2">
              <w:rPr>
                <w:rFonts w:ascii="Arial" w:hAnsi="Arial" w:cs="Arial"/>
                <w:noProof/>
                <w:color w:val="1C1E29"/>
                <w:lang w:val="en-GB"/>
              </w:rPr>
              <w:t>(Shenton, 2004)</w:t>
            </w:r>
            <w:r w:rsidRPr="009C49B2">
              <w:rPr>
                <w:rFonts w:ascii="Arial" w:hAnsi="Arial" w:cs="Arial"/>
                <w:color w:val="1C1E29"/>
                <w:lang w:val="en-GB"/>
              </w:rPr>
              <w:fldChar w:fldCharType="end"/>
            </w:r>
            <w:r w:rsidRPr="009C49B2">
              <w:rPr>
                <w:rFonts w:ascii="Arial" w:hAnsi="Arial" w:cs="Arial"/>
                <w:color w:val="1C1E29"/>
                <w:lang w:val="en-GB"/>
              </w:rPr>
              <w:t>.</w:t>
            </w:r>
            <w:r>
              <w:rPr>
                <w:rFonts w:ascii="Arial" w:hAnsi="Arial" w:cs="Arial"/>
                <w:color w:val="1C1E29"/>
                <w:lang w:val="en-GB"/>
              </w:rPr>
              <w:t xml:space="preserve"> This strategy is carefully and partially applied. </w:t>
            </w:r>
            <w:r w:rsidRPr="009C49B2">
              <w:rPr>
                <w:rFonts w:ascii="Arial" w:hAnsi="Arial" w:cs="Arial"/>
                <w:color w:val="1C1E29"/>
                <w:lang w:val="en-GB"/>
              </w:rPr>
              <w:t xml:space="preserve"> </w:t>
            </w:r>
          </w:p>
          <w:p w14:paraId="426319C9" w14:textId="77777777" w:rsidR="00EB7F85" w:rsidRPr="009C49B2" w:rsidRDefault="00EB7F85" w:rsidP="00282204">
            <w:pPr>
              <w:jc w:val="both"/>
              <w:rPr>
                <w:rFonts w:ascii="Arial" w:hAnsi="Arial" w:cs="Arial"/>
                <w:color w:val="000000"/>
                <w:shd w:val="clear" w:color="auto" w:fill="FFFFFF"/>
                <w:lang w:val="en-GB"/>
              </w:rPr>
            </w:pPr>
            <w:r w:rsidRPr="009C49B2">
              <w:rPr>
                <w:rFonts w:ascii="Arial" w:hAnsi="Arial" w:cs="Arial"/>
                <w:color w:val="000000"/>
                <w:shd w:val="clear" w:color="auto" w:fill="FFFFFF"/>
                <w:lang w:val="en-GB"/>
              </w:rPr>
              <w:t xml:space="preserve">Prolonged engagement with participants and the community of research is another credibility standard that </w:t>
            </w:r>
            <w:r>
              <w:rPr>
                <w:rFonts w:ascii="Arial" w:hAnsi="Arial" w:cs="Arial"/>
                <w:color w:val="000000"/>
                <w:shd w:val="clear" w:color="auto" w:fill="FFFFFF"/>
                <w:lang w:val="en-GB"/>
              </w:rPr>
              <w:t>was also</w:t>
            </w:r>
            <w:r w:rsidRPr="009C49B2">
              <w:rPr>
                <w:rFonts w:ascii="Arial" w:hAnsi="Arial" w:cs="Arial"/>
                <w:color w:val="000000"/>
                <w:shd w:val="clear" w:color="auto" w:fill="FFFFFF"/>
                <w:lang w:val="en-GB"/>
              </w:rPr>
              <w:t xml:space="preserve"> applied to some extent because I am a part of the community (organisation) that </w:t>
            </w:r>
            <w:r>
              <w:rPr>
                <w:rFonts w:ascii="Arial" w:hAnsi="Arial" w:cs="Arial"/>
                <w:color w:val="000000"/>
                <w:shd w:val="clear" w:color="auto" w:fill="FFFFFF"/>
                <w:lang w:val="en-GB"/>
              </w:rPr>
              <w:t>was</w:t>
            </w:r>
            <w:r w:rsidRPr="009C49B2">
              <w:rPr>
                <w:rFonts w:ascii="Arial" w:hAnsi="Arial" w:cs="Arial"/>
                <w:color w:val="000000"/>
                <w:shd w:val="clear" w:color="auto" w:fill="FFFFFF"/>
                <w:lang w:val="en-GB"/>
              </w:rPr>
              <w:t xml:space="preserve"> investigated. However, the understanding of other experiences in this organisation may need extensive time to achieve, therefore this standard </w:t>
            </w:r>
            <w:r>
              <w:rPr>
                <w:rFonts w:ascii="Arial" w:hAnsi="Arial" w:cs="Arial"/>
                <w:color w:val="000000"/>
                <w:shd w:val="clear" w:color="auto" w:fill="FFFFFF"/>
                <w:lang w:val="en-GB"/>
              </w:rPr>
              <w:t>was</w:t>
            </w:r>
            <w:r w:rsidRPr="009C49B2">
              <w:rPr>
                <w:rFonts w:ascii="Arial" w:hAnsi="Arial" w:cs="Arial"/>
                <w:color w:val="000000"/>
                <w:shd w:val="clear" w:color="auto" w:fill="FFFFFF"/>
                <w:lang w:val="en-GB"/>
              </w:rPr>
              <w:t xml:space="preserve"> only be accomplished to a certain extent.    </w:t>
            </w:r>
          </w:p>
          <w:p w14:paraId="6EE11340" w14:textId="77777777" w:rsidR="00EB7F85" w:rsidRPr="009C49B2" w:rsidRDefault="00EB7F85" w:rsidP="00282204">
            <w:pPr>
              <w:jc w:val="both"/>
              <w:rPr>
                <w:rFonts w:ascii="Arial" w:hAnsi="Arial" w:cs="Arial"/>
                <w:color w:val="000000"/>
                <w:shd w:val="clear" w:color="auto" w:fill="FFFFFF"/>
                <w:lang w:val="en-GB"/>
              </w:rPr>
            </w:pPr>
            <w:r w:rsidRPr="009C49B2">
              <w:rPr>
                <w:rFonts w:ascii="Arial" w:hAnsi="Arial" w:cs="Arial"/>
                <w:color w:val="000000"/>
                <w:shd w:val="clear" w:color="auto" w:fill="FFFFFF"/>
                <w:lang w:val="en-GB"/>
              </w:rPr>
              <w:t>The final strategy of credibility is “</w:t>
            </w:r>
            <w:r w:rsidRPr="009C49B2">
              <w:rPr>
                <w:rFonts w:ascii="Arial" w:hAnsi="Arial" w:cs="Arial"/>
                <w:i/>
                <w:iCs/>
                <w:color w:val="000000"/>
                <w:shd w:val="clear" w:color="auto" w:fill="FFFFFF"/>
                <w:lang w:val="en-GB"/>
              </w:rPr>
              <w:t>progressive subjectivity</w:t>
            </w:r>
            <w:r w:rsidRPr="009C49B2">
              <w:rPr>
                <w:rFonts w:ascii="Arial" w:hAnsi="Arial" w:cs="Arial"/>
                <w:color w:val="000000"/>
                <w:shd w:val="clear" w:color="auto" w:fill="FFFFFF"/>
                <w:lang w:val="en-GB"/>
              </w:rPr>
              <w:t>” or “</w:t>
            </w:r>
            <w:r w:rsidRPr="009C49B2">
              <w:rPr>
                <w:rFonts w:ascii="Arial" w:hAnsi="Arial" w:cs="Arial"/>
                <w:i/>
                <w:iCs/>
                <w:color w:val="000000"/>
                <w:shd w:val="clear" w:color="auto" w:fill="FFFFFF"/>
                <w:lang w:val="en-GB"/>
              </w:rPr>
              <w:t>reflective commentary</w:t>
            </w:r>
            <w:r w:rsidRPr="009C49B2">
              <w:rPr>
                <w:rFonts w:ascii="Arial" w:hAnsi="Arial" w:cs="Arial"/>
                <w:color w:val="000000"/>
                <w:shd w:val="clear" w:color="auto" w:fill="FFFFFF"/>
                <w:lang w:val="en-GB"/>
              </w:rPr>
              <w:t xml:space="preserve">” as called by </w:t>
            </w:r>
            <w:r w:rsidRPr="009C49B2">
              <w:rPr>
                <w:rFonts w:ascii="Arial" w:hAnsi="Arial" w:cs="Arial"/>
                <w:color w:val="000000"/>
                <w:shd w:val="clear" w:color="auto" w:fill="FFFFFF"/>
                <w:lang w:val="en-GB"/>
              </w:rPr>
              <w:fldChar w:fldCharType="begin" w:fldLock="1"/>
            </w:r>
            <w:r w:rsidRPr="009C49B2">
              <w:rPr>
                <w:rFonts w:ascii="Arial" w:hAnsi="Arial" w:cs="Arial"/>
                <w:color w:val="000000"/>
                <w:shd w:val="clear" w:color="auto" w:fill="FFFFFF"/>
                <w:lang w:val="en-GB"/>
              </w:rPr>
              <w:instrText>ADDIN CSL_CITATION {"citationItems":[{"id":"ITEM-1","itemData":{"DOI":"10.3233/EFI-2004-22201","ISSN":"01678329","abstract":"Although many critics are reluctant to accept the trustworthiness of qualitative research, frameworks for ensuring rigour in this form of work have been in existence for many years. Guba's constructs, in particular, have won considerable favour and form the focus of this paper. Here researchers seek to satisfy four criteria. In addressing credibility, investigators attempt to demonstrate that a true picture of the phenomenon under scrutiny is being presented. To allow transferability, they provide sufficient detail of the context of the fieldwork for a reader to be able to decide whether the prevailing environment is similar to another situation with which he or she is familiar and whether the findings can justifiably be applied to the other setting. The meeting of the dependability criterion is difficult in qualitative work, although researchers should at least strive to enable a future investigator to repeat the study. Finally, to achieve confirmability, researchers must take steps to demonstrate that findings emerge from the data and not their own predispositions. The paper concludes by suggesting that it is the responsibility of research methods teachers to ensure that this or a comparable model for ensuring trustworthiness is followed by students undertaking a qualitative inquiry.","author":[{"dropping-particle":"","family":"Shenton","given":"Andrew K.","non-dropping-particle":"","parse-names":false,"suffix":""}],"container-title":"Education for Information","id":"ITEM-1","issue":"2","issued":{"date-parts":[["2004"]]},"page":"63-75","title":"Strategies for ensuring trustworthiness in qualitative research projects","type":"article-journal","volume":"22"},"uris":["http://www.mendeley.com/documents/?uuid=0d14fd27-89ba-4b3f-8a1b-a2eb8bd8a65c"]}],"mendeley":{"formattedCitation":"(Shenton, 2004)","manualFormatting":"Shenton (2004)","plainTextFormattedCitation":"(Shenton, 2004)","previouslyFormattedCitation":"(Shenton, 2004)"},"properties":{"noteIndex":0},"schema":"https://github.com/citation-style-language/schema/raw/master/csl-citation.json"}</w:instrText>
            </w:r>
            <w:r w:rsidRPr="009C49B2">
              <w:rPr>
                <w:rFonts w:ascii="Arial" w:hAnsi="Arial" w:cs="Arial"/>
                <w:color w:val="000000"/>
                <w:shd w:val="clear" w:color="auto" w:fill="FFFFFF"/>
                <w:lang w:val="en-GB"/>
              </w:rPr>
              <w:fldChar w:fldCharType="separate"/>
            </w:r>
            <w:r w:rsidRPr="009C49B2">
              <w:rPr>
                <w:rFonts w:ascii="Arial" w:hAnsi="Arial" w:cs="Arial"/>
                <w:noProof/>
                <w:color w:val="000000"/>
                <w:shd w:val="clear" w:color="auto" w:fill="FFFFFF"/>
                <w:lang w:val="en-GB"/>
              </w:rPr>
              <w:t>Shenton (2004)</w:t>
            </w:r>
            <w:r w:rsidRPr="009C49B2">
              <w:rPr>
                <w:rFonts w:ascii="Arial" w:hAnsi="Arial" w:cs="Arial"/>
                <w:color w:val="000000"/>
                <w:shd w:val="clear" w:color="auto" w:fill="FFFFFF"/>
                <w:lang w:val="en-GB"/>
              </w:rPr>
              <w:fldChar w:fldCharType="end"/>
            </w:r>
            <w:r w:rsidRPr="009C49B2">
              <w:rPr>
                <w:rFonts w:ascii="Arial" w:hAnsi="Arial" w:cs="Arial"/>
                <w:color w:val="000000"/>
                <w:shd w:val="clear" w:color="auto" w:fill="FFFFFF"/>
                <w:lang w:val="en-GB"/>
              </w:rPr>
              <w:t xml:space="preserve"> where spending time in the field as the process of conducting qualitative research is neither easy nor fast, particularly the data analysis process which is time-intensive. </w:t>
            </w:r>
            <w:r w:rsidRPr="009C49B2">
              <w:rPr>
                <w:rFonts w:ascii="Arial" w:hAnsi="Arial" w:cs="Arial"/>
              </w:rPr>
              <w:t xml:space="preserve">Braun and Clarke’s (2006) six phase thematic analysis may help achieve this standard. </w:t>
            </w:r>
            <w:r w:rsidRPr="009C49B2">
              <w:rPr>
                <w:rFonts w:ascii="Arial" w:hAnsi="Arial" w:cs="Arial"/>
                <w:color w:val="000000"/>
                <w:shd w:val="clear" w:color="auto" w:fill="FFFFFF"/>
                <w:lang w:val="en-GB"/>
              </w:rPr>
              <w:t xml:space="preserve">Creswell and Clark (2017) suggest that the effectiveness of the study may be accomplished with a </w:t>
            </w:r>
            <w:r>
              <w:rPr>
                <w:rFonts w:ascii="Arial" w:hAnsi="Arial" w:cs="Arial"/>
                <w:color w:val="000000"/>
                <w:shd w:val="clear" w:color="auto" w:fill="FFFFFF"/>
                <w:lang w:val="en-GB"/>
              </w:rPr>
              <w:t>MDT</w:t>
            </w:r>
            <w:r w:rsidRPr="009C49B2">
              <w:rPr>
                <w:rFonts w:ascii="Arial" w:hAnsi="Arial" w:cs="Arial"/>
                <w:color w:val="000000"/>
                <w:shd w:val="clear" w:color="auto" w:fill="FFFFFF"/>
                <w:lang w:val="en-GB"/>
              </w:rPr>
              <w:t>. The team in this study w</w:t>
            </w:r>
            <w:r>
              <w:rPr>
                <w:rFonts w:ascii="Arial" w:hAnsi="Arial" w:cs="Arial"/>
                <w:color w:val="000000"/>
                <w:shd w:val="clear" w:color="auto" w:fill="FFFFFF"/>
                <w:lang w:val="en-GB"/>
              </w:rPr>
              <w:t xml:space="preserve">ere </w:t>
            </w:r>
            <w:r w:rsidRPr="009C49B2">
              <w:rPr>
                <w:rFonts w:ascii="Arial" w:hAnsi="Arial" w:cs="Arial"/>
                <w:color w:val="000000"/>
                <w:shd w:val="clear" w:color="auto" w:fill="FFFFFF"/>
                <w:lang w:val="en-GB"/>
              </w:rPr>
              <w:t>the researcher and the supervisors.</w:t>
            </w:r>
          </w:p>
          <w:p w14:paraId="4BAC7948" w14:textId="77777777" w:rsidR="00EB7F85" w:rsidRDefault="00EB7F85" w:rsidP="00282204">
            <w:pPr>
              <w:jc w:val="both"/>
              <w:rPr>
                <w:rFonts w:ascii="Arial" w:hAnsi="Arial" w:cs="Arial"/>
                <w:color w:val="000000"/>
                <w:lang w:val="en-GB"/>
              </w:rPr>
            </w:pPr>
            <w:r w:rsidRPr="009C49B2">
              <w:rPr>
                <w:rFonts w:ascii="Arial" w:hAnsi="Arial" w:cs="Arial"/>
                <w:color w:val="000000"/>
                <w:shd w:val="clear" w:color="auto" w:fill="FFFFFF"/>
                <w:lang w:val="en-GB"/>
              </w:rPr>
              <w:t xml:space="preserve">Another credibility strategy that might be challenging to applied in this research is triangulation. This means the data is drawn from several sources or individuals  </w:t>
            </w:r>
            <w:r w:rsidRPr="009C49B2">
              <w:rPr>
                <w:rFonts w:ascii="Arial" w:hAnsi="Arial" w:cs="Arial"/>
                <w:color w:val="000000"/>
                <w:shd w:val="clear" w:color="auto" w:fill="FFFFFF"/>
                <w:lang w:val="en-GB"/>
              </w:rPr>
              <w:fldChar w:fldCharType="begin" w:fldLock="1"/>
            </w:r>
            <w:r w:rsidRPr="009C49B2">
              <w:rPr>
                <w:rFonts w:ascii="Arial" w:hAnsi="Arial" w:cs="Arial"/>
                <w:color w:val="000000"/>
                <w:shd w:val="clear" w:color="auto" w:fill="FFFFFF"/>
                <w:lang w:val="en-GB"/>
              </w:rPr>
              <w:instrText>ADDIN CSL_CITATION {"citationItems":[{"id":"ITEM-1","itemData":{"DOI":"10.3233/EFI-2004-22201","ISSN":"01678329","abstract":"Although many critics are reluctant to accept the trustworthiness of qualitative research, frameworks for ensuring rigour in this form of work have been in existence for many years. Guba's constructs, in particular, have won considerable favour and form the focus of this paper. Here researchers seek to satisfy four criteria. In addressing credibility, investigators attempt to demonstrate that a true picture of the phenomenon under scrutiny is being presented. To allow transferability, they provide sufficient detail of the context of the fieldwork for a reader to be able to decide whether the prevailing environment is similar to another situation with which he or she is familiar and whether the findings can justifiably be applied to the other setting. The meeting of the dependability criterion is difficult in qualitative work, although researchers should at least strive to enable a future investigator to repeat the study. Finally, to achieve confirmability, researchers must take steps to demonstrate that findings emerge from the data and not their own predispositions. The paper concludes by suggesting that it is the responsibility of research methods teachers to ensure that this or a comparable model for ensuring trustworthiness is followed by students undertaking a qualitative inquiry.","author":[{"dropping-particle":"","family":"Shenton","given":"Andrew K.","non-dropping-particle":"","parse-names":false,"suffix":""}],"container-title":"Education for Information","id":"ITEM-1","issue":"2","issued":{"date-parts":[["2004"]]},"page":"63-75","title":"Strategies for ensuring trustworthiness in qualitative research projects","type":"article-journal","volume":"22"},"uris":["http://www.mendeley.com/documents/?uuid=0d14fd27-89ba-4b3f-8a1b-a2eb8bd8a65c"]}],"mendeley":{"formattedCitation":"(Shenton, 2004)","manualFormatting":"(Shenton, 2004, Hanson et al., 2005)","plainTextFormattedCitation":"(Shenton, 2004)","previouslyFormattedCitation":"(Shenton, 2004)"},"properties":{"noteIndex":0},"schema":"https://github.com/citation-style-language/schema/raw/master/csl-citation.json"}</w:instrText>
            </w:r>
            <w:r w:rsidRPr="009C49B2">
              <w:rPr>
                <w:rFonts w:ascii="Arial" w:hAnsi="Arial" w:cs="Arial"/>
                <w:color w:val="000000"/>
                <w:shd w:val="clear" w:color="auto" w:fill="FFFFFF"/>
                <w:lang w:val="en-GB"/>
              </w:rPr>
              <w:fldChar w:fldCharType="separate"/>
            </w:r>
            <w:r w:rsidRPr="009C49B2">
              <w:rPr>
                <w:rFonts w:ascii="Arial" w:hAnsi="Arial" w:cs="Arial"/>
                <w:noProof/>
                <w:color w:val="000000"/>
                <w:shd w:val="clear" w:color="auto" w:fill="FFFFFF"/>
                <w:lang w:val="en-GB"/>
              </w:rPr>
              <w:t xml:space="preserve">(Shenton, 2004, </w:t>
            </w:r>
            <w:r w:rsidRPr="009C49B2">
              <w:rPr>
                <w:rFonts w:ascii="Arial" w:hAnsi="Arial" w:cs="Arial"/>
                <w:noProof/>
                <w:color w:val="000000"/>
                <w:shd w:val="clear" w:color="auto" w:fill="FFFFFF"/>
                <w:lang w:val="en-GB"/>
              </w:rPr>
              <w:fldChar w:fldCharType="begin" w:fldLock="1"/>
            </w:r>
            <w:r w:rsidRPr="009C49B2">
              <w:rPr>
                <w:rFonts w:ascii="Arial" w:hAnsi="Arial" w:cs="Arial"/>
                <w:noProof/>
                <w:color w:val="000000"/>
                <w:shd w:val="clear" w:color="auto" w:fill="FFFFFF"/>
                <w:lang w:val="en-GB"/>
              </w:rPr>
              <w:instrText>ADDIN CSL_CITATION {"citationItems":[{"id":"ITEM-1","itemData":{"DOI":"10.1037/0022-0167.52.2.224","ISSN":"00220167","abstract":"With the increased popularity of qualitative research, researchers in counseling psychology are expanding their methodologies to include mixed methods designs. These designs involve the collection, analysis, and integration of quantitative and qualitative data in a single or multiphase study. This article presents an overview of mixed methods research designs. It defines mixed methods research, discusses its origins and philosophical basis, advances steps and procedures used in these designs, and identifies 6 different types of designs. Important design features are illustrated using studies published in the counseling literature. Finally, the article ends with recommendations for designing, implementing, and reporting mixed methods studies in the literature and for discussing their viability and continued usefulness in the field of counseling psychology. Copyright 2005 by the American Psychological Association.","author":[{"dropping-particle":"","family":"Hanson","given":"William E.","non-dropping-particle":"","parse-names":false,"suffix":""},{"dropping-particle":"","family":"Plano Clark","given":"Vicki L.","non-dropping-particle":"","parse-names":false,"suffix":""},{"dropping-particle":"","family":"Petska","given":"Kelly S.","non-dropping-particle":"","parse-names":false,"suffix":""},{"dropping-particle":"","family":"Creswell","given":"John W.","non-dropping-particle":"","parse-names":false,"suffix":""},{"dropping-particle":"","family":"Creswell","given":"J. David","non-dropping-particle":"","parse-names":false,"suffix":""}],"container-title":"Journal of Counseling Psychology","id":"ITEM-1","issue":"2","issued":{"date-parts":[["2005"]]},"page":"224-235","title":"Mixed methods research designs in counseling psychology","type":"article-journal","volume":"52"},"uris":["http://www.mendeley.com/documents/?uuid=3c31bcd9-a56c-4e65-9090-f017d64d0a53"]}],"mendeley":{"formattedCitation":"(Hanson &lt;i&gt;et al.&lt;/i&gt;, 2005)","manualFormatting":"Hanson et al., 2005","plainTextFormattedCitation":"(Hanson et al., 2005)","previouslyFormattedCitation":"(Hanson &lt;i&gt;et al.&lt;/i&gt;, 2005)"},"properties":{"noteIndex":0},"schema":"https://github.com/citation-style-language/schema/raw/master/csl-citation.json"}</w:instrText>
            </w:r>
            <w:r w:rsidRPr="009C49B2">
              <w:rPr>
                <w:rFonts w:ascii="Arial" w:hAnsi="Arial" w:cs="Arial"/>
                <w:noProof/>
                <w:color w:val="000000"/>
                <w:shd w:val="clear" w:color="auto" w:fill="FFFFFF"/>
                <w:lang w:val="en-GB"/>
              </w:rPr>
              <w:fldChar w:fldCharType="separate"/>
            </w:r>
            <w:r w:rsidRPr="009C49B2">
              <w:rPr>
                <w:rFonts w:ascii="Arial" w:hAnsi="Arial" w:cs="Arial"/>
                <w:noProof/>
                <w:color w:val="000000"/>
                <w:shd w:val="clear" w:color="auto" w:fill="FFFFFF"/>
                <w:lang w:val="en-GB"/>
              </w:rPr>
              <w:t xml:space="preserve">Hanson </w:t>
            </w:r>
            <w:r w:rsidRPr="009C49B2">
              <w:rPr>
                <w:rFonts w:ascii="Arial" w:hAnsi="Arial" w:cs="Arial"/>
                <w:i/>
                <w:noProof/>
                <w:color w:val="000000"/>
                <w:shd w:val="clear" w:color="auto" w:fill="FFFFFF"/>
                <w:lang w:val="en-GB"/>
              </w:rPr>
              <w:t>et al.</w:t>
            </w:r>
            <w:r w:rsidRPr="009C49B2">
              <w:rPr>
                <w:rFonts w:ascii="Arial" w:hAnsi="Arial" w:cs="Arial"/>
                <w:noProof/>
                <w:color w:val="000000"/>
                <w:shd w:val="clear" w:color="auto" w:fill="FFFFFF"/>
                <w:lang w:val="en-GB"/>
              </w:rPr>
              <w:t>, 2005</w:t>
            </w:r>
            <w:r w:rsidRPr="009C49B2">
              <w:rPr>
                <w:rFonts w:ascii="Arial" w:hAnsi="Arial" w:cs="Arial"/>
                <w:noProof/>
                <w:color w:val="000000"/>
                <w:shd w:val="clear" w:color="auto" w:fill="FFFFFF"/>
                <w:lang w:val="en-GB"/>
              </w:rPr>
              <w:fldChar w:fldCharType="end"/>
            </w:r>
            <w:r w:rsidRPr="009C49B2">
              <w:rPr>
                <w:rFonts w:ascii="Arial" w:hAnsi="Arial" w:cs="Arial"/>
                <w:noProof/>
                <w:color w:val="000000"/>
                <w:shd w:val="clear" w:color="auto" w:fill="FFFFFF"/>
                <w:lang w:val="en-GB"/>
              </w:rPr>
              <w:t>)</w:t>
            </w:r>
            <w:r w:rsidRPr="009C49B2">
              <w:rPr>
                <w:rFonts w:ascii="Arial" w:hAnsi="Arial" w:cs="Arial"/>
                <w:color w:val="000000"/>
                <w:shd w:val="clear" w:color="auto" w:fill="FFFFFF"/>
                <w:lang w:val="en-GB"/>
              </w:rPr>
              <w:fldChar w:fldCharType="end"/>
            </w:r>
            <w:r w:rsidRPr="009C49B2">
              <w:rPr>
                <w:rFonts w:ascii="Arial" w:hAnsi="Arial" w:cs="Arial"/>
                <w:color w:val="000000"/>
                <w:shd w:val="clear" w:color="auto" w:fill="FFFFFF"/>
                <w:lang w:val="en-GB"/>
              </w:rPr>
              <w:t>., and conducting an external review of the data and procedures, such as a peer review, which is considered another trustworthiness strategy that ensures rigour</w:t>
            </w:r>
            <w:r w:rsidRPr="009C49B2">
              <w:rPr>
                <w:rFonts w:ascii="Arial" w:hAnsi="Arial" w:cs="Arial"/>
                <w:color w:val="000000"/>
                <w:lang w:val="en-GB"/>
              </w:rPr>
              <w:t xml:space="preserve">. </w:t>
            </w:r>
          </w:p>
          <w:p w14:paraId="32B5A2E3" w14:textId="77777777" w:rsidR="00EB7F85" w:rsidRPr="00714D1B" w:rsidRDefault="00EB7F85" w:rsidP="00282204">
            <w:pPr>
              <w:jc w:val="both"/>
              <w:rPr>
                <w:rFonts w:ascii="Arial" w:hAnsi="Arial" w:cs="Arial"/>
                <w:color w:val="000000"/>
                <w:lang w:val="en-GB"/>
              </w:rPr>
            </w:pPr>
          </w:p>
        </w:tc>
      </w:tr>
      <w:tr w:rsidR="00EB7F85" w14:paraId="1E426C8B" w14:textId="77777777" w:rsidTr="00282204">
        <w:trPr>
          <w:trHeight w:val="2799"/>
        </w:trPr>
        <w:tc>
          <w:tcPr>
            <w:tcW w:w="1615" w:type="dxa"/>
          </w:tcPr>
          <w:p w14:paraId="35ED89A8" w14:textId="77777777" w:rsidR="00EB7F85" w:rsidRPr="00714D1B" w:rsidRDefault="00EB7F85" w:rsidP="00282204">
            <w:pPr>
              <w:pStyle w:val="Heading4"/>
              <w:rPr>
                <w:rFonts w:ascii="Arial" w:hAnsi="Arial" w:cs="Arial"/>
                <w:shd w:val="clear" w:color="auto" w:fill="FFFFFF"/>
                <w:lang w:val="en-GB"/>
              </w:rPr>
            </w:pPr>
            <w:r w:rsidRPr="00714D1B">
              <w:rPr>
                <w:rFonts w:ascii="Arial" w:hAnsi="Arial" w:cs="Arial"/>
                <w:shd w:val="clear" w:color="auto" w:fill="FFFFFF"/>
                <w:lang w:val="en-GB"/>
              </w:rPr>
              <w:t>Transferability</w:t>
            </w:r>
          </w:p>
          <w:p w14:paraId="74C6CB6B" w14:textId="77777777" w:rsidR="00EB7F85" w:rsidRPr="00714D1B" w:rsidRDefault="00EB7F85" w:rsidP="00282204">
            <w:pPr>
              <w:rPr>
                <w:rFonts w:ascii="Arial" w:hAnsi="Arial" w:cs="Arial"/>
                <w:lang w:val="en-GB"/>
              </w:rPr>
            </w:pPr>
          </w:p>
          <w:p w14:paraId="0976BC77" w14:textId="77777777" w:rsidR="00EB7F85" w:rsidRPr="00714D1B" w:rsidRDefault="00EB7F85" w:rsidP="00282204">
            <w:pPr>
              <w:rPr>
                <w:rFonts w:ascii="Arial" w:hAnsi="Arial" w:cs="Arial"/>
              </w:rPr>
            </w:pPr>
          </w:p>
        </w:tc>
        <w:tc>
          <w:tcPr>
            <w:tcW w:w="13087" w:type="dxa"/>
          </w:tcPr>
          <w:p w14:paraId="2B28C69F" w14:textId="77777777" w:rsidR="00EB7F85" w:rsidRPr="009C49B2" w:rsidRDefault="00EB7F85" w:rsidP="00282204">
            <w:pPr>
              <w:jc w:val="both"/>
              <w:rPr>
                <w:rFonts w:ascii="Arial" w:hAnsi="Arial" w:cs="Arial"/>
                <w:color w:val="000000"/>
                <w:shd w:val="clear" w:color="auto" w:fill="FFFFFF"/>
                <w:lang w:val="en-GB"/>
              </w:rPr>
            </w:pPr>
            <w:r w:rsidRPr="009C49B2">
              <w:rPr>
                <w:rFonts w:ascii="Arial" w:hAnsi="Arial" w:cs="Arial"/>
                <w:color w:val="000000"/>
                <w:shd w:val="clear" w:color="auto" w:fill="FFFFFF"/>
                <w:lang w:val="en-GB"/>
              </w:rPr>
              <w:t xml:space="preserve">Transferability means findings and conclusions of a study are applicable to other contexts (situations and populations) </w:t>
            </w:r>
            <w:r w:rsidRPr="009C49B2">
              <w:rPr>
                <w:rFonts w:ascii="Arial" w:hAnsi="Arial" w:cs="Arial"/>
                <w:color w:val="000000"/>
                <w:shd w:val="clear" w:color="auto" w:fill="FFFFFF"/>
                <w:lang w:val="en-GB"/>
              </w:rPr>
              <w:fldChar w:fldCharType="begin" w:fldLock="1"/>
            </w:r>
            <w:r w:rsidRPr="009C49B2">
              <w:rPr>
                <w:rFonts w:ascii="Arial" w:hAnsi="Arial" w:cs="Arial"/>
                <w:color w:val="000000"/>
                <w:shd w:val="clear" w:color="auto" w:fill="FFFFFF"/>
                <w:lang w:val="en-GB"/>
              </w:rPr>
              <w:instrText>ADDIN CSL_CITATION {"citationItems":[{"id":"ITEM-1","itemData":{"author":[{"dropping-particle":"","family":"Jones","given":"Karen","non-dropping-particle":"","parse-names":false,"suffix":""}],"id":"ITEM-1","issue":"October","issued":{"date-parts":[["2012"]]},"page":"61-85","title":"Trustworthiness *","type":"article-journal","volume":"123"},"uris":["http://www.mendeley.com/documents/?uuid=4e903962-c7b5-49d1-a3d2-0ebe8bb7b054"]}],"mendeley":{"formattedCitation":"(Jones, 2012)","plainTextFormattedCitation":"(Jones, 2012)","previouslyFormattedCitation":"(Jones, 2012)"},"properties":{"noteIndex":0},"schema":"https://github.com/citation-style-language/schema/raw/master/csl-citation.json"}</w:instrText>
            </w:r>
            <w:r w:rsidRPr="009C49B2">
              <w:rPr>
                <w:rFonts w:ascii="Arial" w:hAnsi="Arial" w:cs="Arial"/>
                <w:color w:val="000000"/>
                <w:shd w:val="clear" w:color="auto" w:fill="FFFFFF"/>
                <w:lang w:val="en-GB"/>
              </w:rPr>
              <w:fldChar w:fldCharType="separate"/>
            </w:r>
            <w:r w:rsidRPr="009C49B2">
              <w:rPr>
                <w:rFonts w:ascii="Arial" w:hAnsi="Arial" w:cs="Arial"/>
                <w:noProof/>
                <w:color w:val="000000"/>
                <w:shd w:val="clear" w:color="auto" w:fill="FFFFFF"/>
                <w:lang w:val="en-GB"/>
              </w:rPr>
              <w:t>(Jones, 2012)</w:t>
            </w:r>
            <w:r w:rsidRPr="009C49B2">
              <w:rPr>
                <w:rFonts w:ascii="Arial" w:hAnsi="Arial" w:cs="Arial"/>
                <w:color w:val="000000"/>
                <w:shd w:val="clear" w:color="auto" w:fill="FFFFFF"/>
                <w:lang w:val="en-GB"/>
              </w:rPr>
              <w:fldChar w:fldCharType="end"/>
            </w:r>
            <w:r w:rsidRPr="009C49B2">
              <w:rPr>
                <w:rFonts w:ascii="Arial" w:hAnsi="Arial" w:cs="Arial"/>
                <w:color w:val="000000"/>
                <w:shd w:val="clear" w:color="auto" w:fill="FFFFFF"/>
                <w:lang w:val="en-GB"/>
              </w:rPr>
              <w:t xml:space="preserve">. It is equivalent to external validity/generalisability in quantitative research </w:t>
            </w:r>
            <w:r w:rsidRPr="009C49B2">
              <w:rPr>
                <w:rFonts w:ascii="Arial" w:hAnsi="Arial" w:cs="Arial"/>
                <w:color w:val="000000"/>
                <w:shd w:val="clear" w:color="auto" w:fill="FFFFFF"/>
                <w:lang w:val="en-GB"/>
              </w:rPr>
              <w:fldChar w:fldCharType="begin" w:fldLock="1"/>
            </w:r>
            <w:r w:rsidRPr="009C49B2">
              <w:rPr>
                <w:rFonts w:ascii="Arial" w:hAnsi="Arial" w:cs="Arial"/>
                <w:color w:val="000000"/>
                <w:shd w:val="clear" w:color="auto" w:fill="FFFFFF"/>
                <w:lang w:val="en-GB"/>
              </w:rPr>
              <w:instrText>ADDIN CSL_CITATION {"citationItems":[{"id":"ITEM-1","itemData":{"DOI":"10.3233/EFI-2004-22201","ISSN":"01678329","abstract":"Although many critics are reluctant to accept the trustworthiness of qualitative research, frameworks for ensuring rigour in this form of work have been in existence for many years. Guba's constructs, in particular, have won considerable favour and form the focus of this paper. Here researchers seek to satisfy four criteria. In addressing credibility, investigators attempt to demonstrate that a true picture of the phenomenon under scrutiny is being presented. To allow transferability, they provide sufficient detail of the context of the fieldwork for a reader to be able to decide whether the prevailing environment is similar to another situation with which he or she is familiar and whether the findings can justifiably be applied to the other setting. The meeting of the dependability criterion is difficult in qualitative work, although researchers should at least strive to enable a future investigator to repeat the study. Finally, to achieve confirmability, researchers must take steps to demonstrate that findings emerge from the data and not their own predispositions. The paper concludes by suggesting that it is the responsibility of research methods teachers to ensure that this or a comparable model for ensuring trustworthiness is followed by students undertaking a qualitative inquiry.","author":[{"dropping-particle":"","family":"Shenton","given":"Andrew K.","non-dropping-particle":"","parse-names":false,"suffix":""}],"container-title":"Education for Information","id":"ITEM-1","issue":"2","issued":{"date-parts":[["2004"]]},"page":"63-75","title":"Strategies for ensuring trustworthiness in qualitative research projects","type":"article-journal","volume":"22"},"uris":["http://www.mendeley.com/documents/?uuid=0d14fd27-89ba-4b3f-8a1b-a2eb8bd8a65c"]}],"mendeley":{"formattedCitation":"(Shenton, 2004)","plainTextFormattedCitation":"(Shenton, 2004)","previouslyFormattedCitation":"(Shenton, 2004)"},"properties":{"noteIndex":0},"schema":"https://github.com/citation-style-language/schema/raw/master/csl-citation.json"}</w:instrText>
            </w:r>
            <w:r w:rsidRPr="009C49B2">
              <w:rPr>
                <w:rFonts w:ascii="Arial" w:hAnsi="Arial" w:cs="Arial"/>
                <w:color w:val="000000"/>
                <w:shd w:val="clear" w:color="auto" w:fill="FFFFFF"/>
                <w:lang w:val="en-GB"/>
              </w:rPr>
              <w:fldChar w:fldCharType="separate"/>
            </w:r>
            <w:r w:rsidRPr="009C49B2">
              <w:rPr>
                <w:rFonts w:ascii="Arial" w:hAnsi="Arial" w:cs="Arial"/>
                <w:noProof/>
                <w:color w:val="000000"/>
                <w:shd w:val="clear" w:color="auto" w:fill="FFFFFF"/>
                <w:lang w:val="en-GB"/>
              </w:rPr>
              <w:t>(Shenton, 2004)</w:t>
            </w:r>
            <w:r w:rsidRPr="009C49B2">
              <w:rPr>
                <w:rFonts w:ascii="Arial" w:hAnsi="Arial" w:cs="Arial"/>
                <w:color w:val="000000"/>
                <w:shd w:val="clear" w:color="auto" w:fill="FFFFFF"/>
                <w:lang w:val="en-GB"/>
              </w:rPr>
              <w:fldChar w:fldCharType="end"/>
            </w:r>
            <w:r w:rsidRPr="009C49B2">
              <w:rPr>
                <w:rFonts w:ascii="Arial" w:hAnsi="Arial" w:cs="Arial"/>
                <w:color w:val="000000"/>
                <w:shd w:val="clear" w:color="auto" w:fill="FFFFFF"/>
                <w:lang w:val="en-GB"/>
              </w:rPr>
              <w:t>. Since the findings of qualitative research usually come from a small number of participants, the concern often lies in transferring that findings of a specific project to be applied to other context. The applicability of findings of this study could be especially the case at the national level because the majority of health sectors belong the Saudi M</w:t>
            </w:r>
            <w:r>
              <w:rPr>
                <w:rFonts w:ascii="Arial" w:hAnsi="Arial" w:cs="Arial"/>
                <w:color w:val="000000"/>
                <w:shd w:val="clear" w:color="auto" w:fill="FFFFFF"/>
                <w:lang w:val="en-GB"/>
              </w:rPr>
              <w:t>o</w:t>
            </w:r>
            <w:r w:rsidRPr="009C49B2">
              <w:rPr>
                <w:rFonts w:ascii="Arial" w:hAnsi="Arial" w:cs="Arial"/>
                <w:color w:val="000000"/>
                <w:shd w:val="clear" w:color="auto" w:fill="FFFFFF"/>
                <w:lang w:val="en-GB"/>
              </w:rPr>
              <w:t xml:space="preserve">H. However, the aim of this research is to provide some extent of findings that can be meaningful, benefits, and useful to other people in other situation, and they are not necessary to be applied as they are.  </w:t>
            </w:r>
          </w:p>
          <w:p w14:paraId="56588DBD" w14:textId="77777777" w:rsidR="00EB7F85" w:rsidRPr="009C49B2" w:rsidRDefault="00EB7F85" w:rsidP="00282204">
            <w:pPr>
              <w:jc w:val="both"/>
              <w:rPr>
                <w:rFonts w:ascii="Arial" w:hAnsi="Arial" w:cs="Arial"/>
                <w:color w:val="000000"/>
                <w:shd w:val="clear" w:color="auto" w:fill="FFFFFF"/>
                <w:lang w:val="en-GB"/>
              </w:rPr>
            </w:pPr>
            <w:r w:rsidRPr="009C49B2">
              <w:rPr>
                <w:rFonts w:ascii="Arial" w:hAnsi="Arial" w:cs="Arial"/>
                <w:color w:val="000000"/>
                <w:shd w:val="clear" w:color="auto" w:fill="FFFFFF"/>
                <w:lang w:val="en-GB"/>
              </w:rPr>
              <w:t xml:space="preserve">Lincoln and Guba (1985) maintained that it is the responsibility of the researcher to ensure that sufficient contextual information about the fieldwork sites, so presenting the study with thick description will enable the reader to make such a transfer </w:t>
            </w:r>
            <w:r w:rsidRPr="009C49B2">
              <w:rPr>
                <w:rFonts w:ascii="Arial" w:hAnsi="Arial" w:cs="Arial"/>
                <w:color w:val="000000"/>
                <w:shd w:val="clear" w:color="auto" w:fill="FFFFFF"/>
                <w:lang w:val="en-GB"/>
              </w:rPr>
              <w:fldChar w:fldCharType="begin" w:fldLock="1"/>
            </w:r>
            <w:r w:rsidRPr="009C49B2">
              <w:rPr>
                <w:rFonts w:ascii="Arial" w:hAnsi="Arial" w:cs="Arial"/>
                <w:color w:val="000000"/>
                <w:shd w:val="clear" w:color="auto" w:fill="FFFFFF"/>
                <w:lang w:val="en-GB"/>
              </w:rPr>
              <w:instrText>ADDIN CSL_CITATION {"citationItems":[{"id":"ITEM-1","itemData":{"DOI":"10.3233/EFI-2004-22201","ISSN":"01678329","abstract":"Although many critics are reluctant to accept the trustworthiness of qualitative research, frameworks for ensuring rigour in this form of work have been in existence for many years. Guba's constructs, in particular, have won considerable favour and form the focus of this paper. Here researchers seek to satisfy four criteria. In addressing credibility, investigators attempt to demonstrate that a true picture of the phenomenon under scrutiny is being presented. To allow transferability, they provide sufficient detail of the context of the fieldwork for a reader to be able to decide whether the prevailing environment is similar to another situation with which he or she is familiar and whether the findings can justifiably be applied to the other setting. The meeting of the dependability criterion is difficult in qualitative work, although researchers should at least strive to enable a future investigator to repeat the study. Finally, to achieve confirmability, researchers must take steps to demonstrate that findings emerge from the data and not their own predispositions. The paper concludes by suggesting that it is the responsibility of research methods teachers to ensure that this or a comparable model for ensuring trustworthiness is followed by students undertaking a qualitative inquiry.","author":[{"dropping-particle":"","family":"Shenton","given":"Andrew K.","non-dropping-particle":"","parse-names":false,"suffix":""}],"container-title":"Education for Information","id":"ITEM-1","issue":"2","issued":{"date-parts":[["2004"]]},"page":"63-75","title":"Strategies for ensuring trustworthiness in qualitative research projects","type":"article-journal","volume":"22"},"uris":["http://www.mendeley.com/documents/?uuid=0d14fd27-89ba-4b3f-8a1b-a2eb8bd8a65c"]}],"mendeley":{"formattedCitation":"(Shenton, 2004)","plainTextFormattedCitation":"(Shenton, 2004)","previouslyFormattedCitation":"(Shenton, 2004)"},"properties":{"noteIndex":0},"schema":"https://github.com/citation-style-language/schema/raw/master/csl-citation.json"}</w:instrText>
            </w:r>
            <w:r w:rsidRPr="009C49B2">
              <w:rPr>
                <w:rFonts w:ascii="Arial" w:hAnsi="Arial" w:cs="Arial"/>
                <w:color w:val="000000"/>
                <w:shd w:val="clear" w:color="auto" w:fill="FFFFFF"/>
                <w:lang w:val="en-GB"/>
              </w:rPr>
              <w:fldChar w:fldCharType="separate"/>
            </w:r>
            <w:r w:rsidRPr="009C49B2">
              <w:rPr>
                <w:rFonts w:ascii="Arial" w:hAnsi="Arial" w:cs="Arial"/>
                <w:noProof/>
                <w:color w:val="000000"/>
                <w:shd w:val="clear" w:color="auto" w:fill="FFFFFF"/>
                <w:lang w:val="en-GB"/>
              </w:rPr>
              <w:t>(Shenton, 2004)</w:t>
            </w:r>
            <w:r w:rsidRPr="009C49B2">
              <w:rPr>
                <w:rFonts w:ascii="Arial" w:hAnsi="Arial" w:cs="Arial"/>
                <w:color w:val="000000"/>
                <w:shd w:val="clear" w:color="auto" w:fill="FFFFFF"/>
                <w:lang w:val="en-GB"/>
              </w:rPr>
              <w:fldChar w:fldCharType="end"/>
            </w:r>
            <w:r w:rsidRPr="009C49B2">
              <w:rPr>
                <w:rFonts w:ascii="Arial" w:hAnsi="Arial" w:cs="Arial"/>
                <w:color w:val="000000"/>
                <w:shd w:val="clear" w:color="auto" w:fill="FFFFFF"/>
                <w:lang w:val="en-GB"/>
              </w:rPr>
              <w:t xml:space="preserve">. Therefore, sufficient thick description of this research </w:t>
            </w:r>
            <w:r>
              <w:rPr>
                <w:rFonts w:ascii="Arial" w:hAnsi="Arial" w:cs="Arial"/>
                <w:color w:val="000000"/>
                <w:shd w:val="clear" w:color="auto" w:fill="FFFFFF"/>
                <w:lang w:val="en-GB"/>
              </w:rPr>
              <w:t>was</w:t>
            </w:r>
            <w:r w:rsidRPr="009C49B2">
              <w:rPr>
                <w:rFonts w:ascii="Arial" w:hAnsi="Arial" w:cs="Arial"/>
                <w:color w:val="000000"/>
                <w:shd w:val="clear" w:color="auto" w:fill="FFFFFF"/>
                <w:lang w:val="en-GB"/>
              </w:rPr>
              <w:t xml:space="preserve"> provided to enable the reader to understand the research phenomenon, thereby helping them to compare their situations with the phenomenon described in the research report as well as to assess the extent to which findings may be true for them. </w:t>
            </w:r>
          </w:p>
        </w:tc>
      </w:tr>
      <w:tr w:rsidR="00EB7F85" w14:paraId="2430E79A" w14:textId="77777777" w:rsidTr="00282204">
        <w:tc>
          <w:tcPr>
            <w:tcW w:w="1615" w:type="dxa"/>
          </w:tcPr>
          <w:p w14:paraId="754AE503" w14:textId="77777777" w:rsidR="00EB7F85" w:rsidRPr="00714D1B" w:rsidRDefault="00EB7F85" w:rsidP="00282204">
            <w:pPr>
              <w:pStyle w:val="Heading4"/>
              <w:rPr>
                <w:rFonts w:ascii="Arial" w:hAnsi="Arial" w:cs="Arial"/>
                <w:shd w:val="clear" w:color="auto" w:fill="FFFFFF"/>
                <w:lang w:val="en-GB"/>
              </w:rPr>
            </w:pPr>
            <w:r w:rsidRPr="00714D1B">
              <w:rPr>
                <w:rFonts w:ascii="Arial" w:hAnsi="Arial" w:cs="Arial"/>
                <w:shd w:val="clear" w:color="auto" w:fill="FFFFFF"/>
                <w:lang w:val="en-GB"/>
              </w:rPr>
              <w:t>Dependability</w:t>
            </w:r>
          </w:p>
          <w:p w14:paraId="5540A018" w14:textId="77777777" w:rsidR="00EB7F85" w:rsidRPr="00714D1B" w:rsidRDefault="00EB7F85" w:rsidP="00282204">
            <w:pPr>
              <w:rPr>
                <w:rFonts w:ascii="Arial" w:hAnsi="Arial" w:cs="Arial"/>
              </w:rPr>
            </w:pPr>
          </w:p>
        </w:tc>
        <w:tc>
          <w:tcPr>
            <w:tcW w:w="13087" w:type="dxa"/>
          </w:tcPr>
          <w:p w14:paraId="2B4AAA3D" w14:textId="77777777" w:rsidR="00EB7F85" w:rsidRDefault="00EB7F85" w:rsidP="00282204">
            <w:pPr>
              <w:jc w:val="both"/>
              <w:rPr>
                <w:rFonts w:ascii="Arial" w:hAnsi="Arial" w:cs="Arial"/>
                <w:color w:val="000000"/>
                <w:shd w:val="clear" w:color="auto" w:fill="FFFFFF"/>
                <w:lang w:val="en-GB"/>
              </w:rPr>
            </w:pPr>
            <w:r w:rsidRPr="009C49B2">
              <w:rPr>
                <w:rFonts w:ascii="Arial" w:hAnsi="Arial" w:cs="Arial"/>
                <w:color w:val="000000"/>
                <w:shd w:val="clear" w:color="auto" w:fill="FFFFFF"/>
                <w:lang w:val="en-GB"/>
              </w:rPr>
              <w:t xml:space="preserve">The concept of dependability concerns the question of whether the findings produced would be similar if the research was repeated, in the same context, with the same methods, and with the same participants </w:t>
            </w:r>
            <w:r w:rsidRPr="009C49B2">
              <w:rPr>
                <w:rFonts w:ascii="Arial" w:hAnsi="Arial" w:cs="Arial"/>
                <w:color w:val="000000"/>
                <w:shd w:val="clear" w:color="auto" w:fill="FFFFFF"/>
                <w:lang w:val="en-GB"/>
              </w:rPr>
              <w:fldChar w:fldCharType="begin" w:fldLock="1"/>
            </w:r>
            <w:r w:rsidRPr="009C49B2">
              <w:rPr>
                <w:rFonts w:ascii="Arial" w:hAnsi="Arial" w:cs="Arial"/>
                <w:color w:val="000000"/>
                <w:shd w:val="clear" w:color="auto" w:fill="FFFFFF"/>
                <w:lang w:val="en-GB"/>
              </w:rPr>
              <w:instrText>ADDIN CSL_CITATION {"citationItems":[{"id":"ITEM-1","itemData":{"DOI":"10.1007/978-1-137-29105-9","ISBN":"9781137291059","abstract":"Braun, V., Clarke, V., &amp; Terry, G. (2015). Thematic analysis. In P. Rohleder &amp; A. Lyons (Eds.), Qualitative research in clinical health psychology (pp. 95-113).","author":[{"dropping-particle":"","family":"Riggs","given":"Damien W","non-dropping-particle":"","parse-names":false,"suffix":""}],"container-title":"Qualitative Research in Clinical and Health Psychology","id":"ITEM-1","issue":"March","issued":{"date-parts":[["2015"]]},"title":"Qualitative Research in Clinical and Health Psychology","type":"article-journal"},"uris":["http://www.mendeley.com/documents/?uuid=4cf9c49e-8a01-4daf-a2ab-f4d2bdadb6fb"]}],"mendeley":{"formattedCitation":"(Riggs, 2015)","plainTextFormattedCitation":"(Riggs, 2015)","previouslyFormattedCitation":"(Riggs, 2015)"},"properties":{"noteIndex":0},"schema":"https://github.com/citation-style-language/schema/raw/master/csl-citation.json"}</w:instrText>
            </w:r>
            <w:r w:rsidRPr="009C49B2">
              <w:rPr>
                <w:rFonts w:ascii="Arial" w:hAnsi="Arial" w:cs="Arial"/>
                <w:color w:val="000000"/>
                <w:shd w:val="clear" w:color="auto" w:fill="FFFFFF"/>
                <w:lang w:val="en-GB"/>
              </w:rPr>
              <w:fldChar w:fldCharType="separate"/>
            </w:r>
            <w:r w:rsidRPr="009C49B2">
              <w:rPr>
                <w:rFonts w:ascii="Arial" w:hAnsi="Arial" w:cs="Arial"/>
                <w:noProof/>
                <w:color w:val="000000"/>
                <w:shd w:val="clear" w:color="auto" w:fill="FFFFFF"/>
                <w:lang w:val="en-GB"/>
              </w:rPr>
              <w:t>(Riggs, 2015)</w:t>
            </w:r>
            <w:r w:rsidRPr="009C49B2">
              <w:rPr>
                <w:rFonts w:ascii="Arial" w:hAnsi="Arial" w:cs="Arial"/>
                <w:color w:val="000000"/>
                <w:shd w:val="clear" w:color="auto" w:fill="FFFFFF"/>
                <w:lang w:val="en-GB"/>
              </w:rPr>
              <w:fldChar w:fldCharType="end"/>
            </w:r>
            <w:r w:rsidRPr="009C49B2">
              <w:rPr>
                <w:rFonts w:ascii="Arial" w:hAnsi="Arial" w:cs="Arial"/>
                <w:color w:val="000000"/>
                <w:shd w:val="clear" w:color="auto" w:fill="FFFFFF"/>
                <w:lang w:val="en-GB"/>
              </w:rPr>
              <w:t xml:space="preserve">. Dependability is preferred to reliability in quantitative research </w:t>
            </w:r>
            <w:r w:rsidRPr="009C49B2">
              <w:rPr>
                <w:rFonts w:ascii="Arial" w:hAnsi="Arial" w:cs="Arial"/>
                <w:color w:val="000000"/>
                <w:shd w:val="clear" w:color="auto" w:fill="FFFFFF"/>
                <w:lang w:val="en-GB"/>
              </w:rPr>
              <w:fldChar w:fldCharType="begin" w:fldLock="1"/>
            </w:r>
            <w:r w:rsidRPr="009C49B2">
              <w:rPr>
                <w:rFonts w:ascii="Arial" w:hAnsi="Arial" w:cs="Arial"/>
                <w:color w:val="000000"/>
                <w:shd w:val="clear" w:color="auto" w:fill="FFFFFF"/>
                <w:lang w:val="en-GB"/>
              </w:rPr>
              <w:instrText>ADDIN CSL_CITATION {"citationItems":[{"id":"ITEM-1","itemData":{"DOI":"10.3233/EFI-2004-22201","ISSN":"01678329","abstract":"Although many critics are reluctant to accept the trustworthiness of qualitative research, frameworks for ensuring rigour in this form of work have been in existence for many years. Guba's constructs, in particular, have won considerable favour and form the focus of this paper. Here researchers seek to satisfy four criteria. In addressing credibility, investigators attempt to demonstrate that a true picture of the phenomenon under scrutiny is being presented. To allow transferability, they provide sufficient detail of the context of the fieldwork for a reader to be able to decide whether the prevailing environment is similar to another situation with which he or she is familiar and whether the findings can justifiably be applied to the other setting. The meeting of the dependability criterion is difficult in qualitative work, although researchers should at least strive to enable a future investigator to repeat the study. Finally, to achieve confirmability, researchers must take steps to demonstrate that findings emerge from the data and not their own predispositions. The paper concludes by suggesting that it is the responsibility of research methods teachers to ensure that this or a comparable model for ensuring trustworthiness is followed by students undertaking a qualitative inquiry.","author":[{"dropping-particle":"","family":"Shenton","given":"Andrew K.","non-dropping-particle":"","parse-names":false,"suffix":""}],"container-title":"Education for Information","id":"ITEM-1","issue":"2","issued":{"date-parts":[["2004"]]},"page":"63-75","title":"Strategies for ensuring trustworthiness in qualitative research projects","type":"article-journal","volume":"22"},"uris":["http://www.mendeley.com/documents/?uuid=0d14fd27-89ba-4b3f-8a1b-a2eb8bd8a65c"]}],"mendeley":{"formattedCitation":"(Shenton, 2004)","plainTextFormattedCitation":"(Shenton, 2004)","previouslyFormattedCitation":"(Shenton, 2004)"},"properties":{"noteIndex":0},"schema":"https://github.com/citation-style-language/schema/raw/master/csl-citation.json"}</w:instrText>
            </w:r>
            <w:r w:rsidRPr="009C49B2">
              <w:rPr>
                <w:rFonts w:ascii="Arial" w:hAnsi="Arial" w:cs="Arial"/>
                <w:color w:val="000000"/>
                <w:shd w:val="clear" w:color="auto" w:fill="FFFFFF"/>
                <w:lang w:val="en-GB"/>
              </w:rPr>
              <w:fldChar w:fldCharType="separate"/>
            </w:r>
            <w:r w:rsidRPr="009C49B2">
              <w:rPr>
                <w:rFonts w:ascii="Arial" w:hAnsi="Arial" w:cs="Arial"/>
                <w:noProof/>
                <w:color w:val="000000"/>
                <w:shd w:val="clear" w:color="auto" w:fill="FFFFFF"/>
                <w:lang w:val="en-GB"/>
              </w:rPr>
              <w:t>(Shenton, 2004)</w:t>
            </w:r>
            <w:r w:rsidRPr="009C49B2">
              <w:rPr>
                <w:rFonts w:ascii="Arial" w:hAnsi="Arial" w:cs="Arial"/>
                <w:color w:val="000000"/>
                <w:shd w:val="clear" w:color="auto" w:fill="FFFFFF"/>
                <w:lang w:val="en-GB"/>
              </w:rPr>
              <w:fldChar w:fldCharType="end"/>
            </w:r>
            <w:r w:rsidRPr="009C49B2">
              <w:rPr>
                <w:rFonts w:ascii="Arial" w:hAnsi="Arial" w:cs="Arial"/>
                <w:color w:val="000000"/>
                <w:shd w:val="clear" w:color="auto" w:fill="FFFFFF"/>
                <w:lang w:val="en-GB"/>
              </w:rPr>
              <w:t xml:space="preserve">. Lincoln and Guba suggest triangulation and auditing can be used to investigate dependability </w:t>
            </w:r>
            <w:r w:rsidRPr="009C49B2">
              <w:rPr>
                <w:rFonts w:ascii="Arial" w:hAnsi="Arial" w:cs="Arial"/>
                <w:color w:val="000000"/>
                <w:shd w:val="clear" w:color="auto" w:fill="FFFFFF"/>
                <w:lang w:val="en-GB"/>
              </w:rPr>
              <w:fldChar w:fldCharType="begin" w:fldLock="1"/>
            </w:r>
            <w:r w:rsidRPr="009C49B2">
              <w:rPr>
                <w:rFonts w:ascii="Arial" w:hAnsi="Arial" w:cs="Arial"/>
                <w:color w:val="000000"/>
                <w:shd w:val="clear" w:color="auto" w:fill="FFFFFF"/>
                <w:lang w:val="en-GB"/>
              </w:rPr>
              <w:instrText>ADDIN CSL_CITATION {"citationItems":[{"id":"ITEM-1","itemData":{"DOI":"10.1007/978-1-137-29105-9","ISBN":"9781137291059","abstract":"Braun, V., Clarke, V., &amp; Terry, G. (2015). Thematic analysis. In P. Rohleder &amp; A. Lyons (Eds.), Qualitative research in clinical health psychology (pp. 95-113).","author":[{"dropping-particle":"","family":"Riggs","given":"Damien W","non-dropping-particle":"","parse-names":false,"suffix":""}],"container-title":"Qualitative Research in Clinical and Health Psychology","id":"ITEM-1","issue":"March","issued":{"date-parts":[["2015"]]},"title":"Qualitative Research in Clinical and Health Psychology","type":"article-journal"},"uris":["http://www.mendeley.com/documents/?uuid=4cf9c49e-8a01-4daf-a2ab-f4d2bdadb6fb"]}],"mendeley":{"formattedCitation":"(Riggs, 2015)","plainTextFormattedCitation":"(Riggs, 2015)","previouslyFormattedCitation":"(Riggs, 2015)"},"properties":{"noteIndex":0},"schema":"https://github.com/citation-style-language/schema/raw/master/csl-citation.json"}</w:instrText>
            </w:r>
            <w:r w:rsidRPr="009C49B2">
              <w:rPr>
                <w:rFonts w:ascii="Arial" w:hAnsi="Arial" w:cs="Arial"/>
                <w:color w:val="000000"/>
                <w:shd w:val="clear" w:color="auto" w:fill="FFFFFF"/>
                <w:lang w:val="en-GB"/>
              </w:rPr>
              <w:fldChar w:fldCharType="separate"/>
            </w:r>
            <w:r w:rsidRPr="009C49B2">
              <w:rPr>
                <w:rFonts w:ascii="Arial" w:hAnsi="Arial" w:cs="Arial"/>
                <w:noProof/>
                <w:color w:val="000000"/>
                <w:shd w:val="clear" w:color="auto" w:fill="FFFFFF"/>
                <w:lang w:val="en-GB"/>
              </w:rPr>
              <w:t>(Riggs, 2015)</w:t>
            </w:r>
            <w:r w:rsidRPr="009C49B2">
              <w:rPr>
                <w:rFonts w:ascii="Arial" w:hAnsi="Arial" w:cs="Arial"/>
                <w:color w:val="000000"/>
                <w:shd w:val="clear" w:color="auto" w:fill="FFFFFF"/>
                <w:lang w:val="en-GB"/>
              </w:rPr>
              <w:fldChar w:fldCharType="end"/>
            </w:r>
            <w:r w:rsidRPr="009C49B2">
              <w:rPr>
                <w:rFonts w:ascii="Arial" w:hAnsi="Arial" w:cs="Arial"/>
                <w:color w:val="000000"/>
                <w:shd w:val="clear" w:color="auto" w:fill="FFFFFF"/>
                <w:lang w:val="en-GB"/>
              </w:rPr>
              <w:t>. An “</w:t>
            </w:r>
            <w:r w:rsidRPr="009C49B2">
              <w:rPr>
                <w:rFonts w:ascii="Arial" w:hAnsi="Arial" w:cs="Arial"/>
                <w:i/>
                <w:iCs/>
                <w:color w:val="000000"/>
                <w:shd w:val="clear" w:color="auto" w:fill="FFFFFF"/>
                <w:lang w:val="en-GB"/>
              </w:rPr>
              <w:t>audit trail</w:t>
            </w:r>
            <w:r w:rsidRPr="009C49B2">
              <w:rPr>
                <w:rFonts w:ascii="Arial" w:hAnsi="Arial" w:cs="Arial"/>
                <w:color w:val="000000"/>
                <w:shd w:val="clear" w:color="auto" w:fill="FFFFFF"/>
                <w:lang w:val="en-GB"/>
              </w:rPr>
              <w:t xml:space="preserve">” can be done during the reflexive journey of conducting the study and every time taking a decision should be write down in the report, by reporting the processes within the study in detail will allow another researcher to follow the trail and repeat the work. It is not necessarily to gain the same outcomes but to let them know where the findings came from.  This process allows the observer to trace the course of the research step-by-step via the decisions made and procedures described. </w:t>
            </w:r>
          </w:p>
          <w:p w14:paraId="6A71A0C0" w14:textId="77777777" w:rsidR="00EB7F85" w:rsidRPr="00714D1B" w:rsidRDefault="00EB7F85" w:rsidP="00282204">
            <w:pPr>
              <w:jc w:val="both"/>
              <w:rPr>
                <w:rFonts w:ascii="Arial" w:hAnsi="Arial" w:cs="Arial"/>
                <w:color w:val="000000"/>
                <w:shd w:val="clear" w:color="auto" w:fill="FFFFFF"/>
                <w:lang w:val="en-GB"/>
              </w:rPr>
            </w:pPr>
          </w:p>
        </w:tc>
      </w:tr>
      <w:tr w:rsidR="00EB7F85" w14:paraId="43944022" w14:textId="77777777" w:rsidTr="00282204">
        <w:tc>
          <w:tcPr>
            <w:tcW w:w="1615" w:type="dxa"/>
          </w:tcPr>
          <w:p w14:paraId="0331D079" w14:textId="77777777" w:rsidR="00EB7F85" w:rsidRPr="00714D1B" w:rsidRDefault="00EB7F85" w:rsidP="00282204">
            <w:pPr>
              <w:pStyle w:val="Heading4"/>
              <w:rPr>
                <w:rFonts w:ascii="Arial" w:hAnsi="Arial" w:cs="Arial"/>
                <w:shd w:val="clear" w:color="auto" w:fill="FFFFFF"/>
                <w:lang w:val="en-GB"/>
              </w:rPr>
            </w:pPr>
            <w:r w:rsidRPr="00714D1B">
              <w:rPr>
                <w:rFonts w:ascii="Arial" w:hAnsi="Arial" w:cs="Arial"/>
                <w:shd w:val="clear" w:color="auto" w:fill="FFFFFF"/>
                <w:lang w:val="en-GB"/>
              </w:rPr>
              <w:t>Confirmability</w:t>
            </w:r>
          </w:p>
          <w:p w14:paraId="2917570C" w14:textId="77777777" w:rsidR="00EB7F85" w:rsidRPr="00714D1B" w:rsidRDefault="00EB7F85" w:rsidP="00282204">
            <w:pPr>
              <w:rPr>
                <w:rFonts w:ascii="Arial" w:hAnsi="Arial" w:cs="Arial"/>
              </w:rPr>
            </w:pPr>
          </w:p>
        </w:tc>
        <w:tc>
          <w:tcPr>
            <w:tcW w:w="13087" w:type="dxa"/>
          </w:tcPr>
          <w:p w14:paraId="7F733DD3" w14:textId="77777777" w:rsidR="00EB7F85" w:rsidRDefault="00EB7F85" w:rsidP="00282204">
            <w:pPr>
              <w:jc w:val="both"/>
              <w:rPr>
                <w:rFonts w:ascii="Arial" w:hAnsi="Arial" w:cs="Arial"/>
                <w:color w:val="000000"/>
                <w:shd w:val="clear" w:color="auto" w:fill="FFFFFF"/>
                <w:lang w:val="en-GB"/>
              </w:rPr>
            </w:pPr>
            <w:r w:rsidRPr="009C49B2">
              <w:rPr>
                <w:rFonts w:ascii="Arial" w:hAnsi="Arial" w:cs="Arial"/>
                <w:color w:val="000000"/>
                <w:shd w:val="clear" w:color="auto" w:fill="FFFFFF"/>
                <w:lang w:val="en-GB"/>
              </w:rPr>
              <w:t>Confirmability concerns about findings are a product of participants’ responses rather than the researcher’s “</w:t>
            </w:r>
            <w:r w:rsidRPr="009C49B2">
              <w:rPr>
                <w:rFonts w:ascii="Arial" w:hAnsi="Arial" w:cs="Arial"/>
                <w:i/>
                <w:iCs/>
                <w:color w:val="000000"/>
                <w:shd w:val="clear" w:color="auto" w:fill="FFFFFF"/>
                <w:lang w:val="en-GB"/>
              </w:rPr>
              <w:t>biases, motivations, preferences, or perspectives</w:t>
            </w:r>
            <w:r w:rsidRPr="009C49B2">
              <w:rPr>
                <w:rFonts w:ascii="Arial" w:hAnsi="Arial" w:cs="Arial"/>
                <w:color w:val="000000"/>
                <w:shd w:val="clear" w:color="auto" w:fill="FFFFFF"/>
                <w:lang w:val="en-GB"/>
              </w:rPr>
              <w:t xml:space="preserve">” (Lincoln &amp; Guba, 1985: 290; </w:t>
            </w:r>
            <w:r w:rsidRPr="009C49B2">
              <w:rPr>
                <w:rFonts w:ascii="Arial" w:hAnsi="Arial" w:cs="Arial"/>
                <w:color w:val="000000"/>
                <w:shd w:val="clear" w:color="auto" w:fill="FFFFFF"/>
                <w:lang w:val="en-GB"/>
              </w:rPr>
              <w:fldChar w:fldCharType="begin" w:fldLock="1"/>
            </w:r>
            <w:r w:rsidRPr="009C49B2">
              <w:rPr>
                <w:rFonts w:ascii="Arial" w:hAnsi="Arial" w:cs="Arial"/>
                <w:color w:val="000000"/>
                <w:shd w:val="clear" w:color="auto" w:fill="FFFFFF"/>
                <w:lang w:val="en-GB"/>
              </w:rPr>
              <w:instrText>ADDIN CSL_CITATION {"citationItems":[{"id":"ITEM-1","itemData":{"DOI":"10.1007/978-1-137-29105-9","ISBN":"9781137291059","abstract":"Braun, V., Clarke, V., &amp; Terry, G. (2015). Thematic analysis. In P. Rohleder &amp; A. Lyons (Eds.), Qualitative research in clinical health psychology (pp. 95-113).","author":[{"dropping-particle":"","family":"Riggs","given":"Damien W","non-dropping-particle":"","parse-names":false,"suffix":""}],"container-title":"Qualitative Research in Clinical and Health Psychology","id":"ITEM-1","issue":"March","issued":{"date-parts":[["2015"]]},"title":"Qualitative Research in Clinical and Health Psychology","type":"article-journal"},"uris":["http://www.mendeley.com/documents/?uuid=4cf9c49e-8a01-4daf-a2ab-f4d2bdadb6fb"]}],"mendeley":{"formattedCitation":"(Riggs, 2015)","manualFormatting":"Riggs, 2015)","plainTextFormattedCitation":"(Riggs, 2015)","previouslyFormattedCitation":"(Riggs, 2015)"},"properties":{"noteIndex":0},"schema":"https://github.com/citation-style-language/schema/raw/master/csl-citation.json"}</w:instrText>
            </w:r>
            <w:r w:rsidRPr="009C49B2">
              <w:rPr>
                <w:rFonts w:ascii="Arial" w:hAnsi="Arial" w:cs="Arial"/>
                <w:color w:val="000000"/>
                <w:shd w:val="clear" w:color="auto" w:fill="FFFFFF"/>
                <w:lang w:val="en-GB"/>
              </w:rPr>
              <w:fldChar w:fldCharType="separate"/>
            </w:r>
            <w:r w:rsidRPr="009C49B2">
              <w:rPr>
                <w:rFonts w:ascii="Arial" w:hAnsi="Arial" w:cs="Arial"/>
                <w:noProof/>
                <w:color w:val="000000"/>
                <w:shd w:val="clear" w:color="auto" w:fill="FFFFFF"/>
                <w:lang w:val="en-GB"/>
              </w:rPr>
              <w:t>Riggs, 2015)</w:t>
            </w:r>
            <w:r w:rsidRPr="009C49B2">
              <w:rPr>
                <w:rFonts w:ascii="Arial" w:hAnsi="Arial" w:cs="Arial"/>
                <w:color w:val="000000"/>
                <w:shd w:val="clear" w:color="auto" w:fill="FFFFFF"/>
                <w:lang w:val="en-GB"/>
              </w:rPr>
              <w:fldChar w:fldCharType="end"/>
            </w:r>
            <w:r w:rsidRPr="009C49B2">
              <w:rPr>
                <w:rFonts w:ascii="Arial" w:hAnsi="Arial" w:cs="Arial"/>
                <w:color w:val="000000"/>
                <w:shd w:val="clear" w:color="auto" w:fill="FFFFFF"/>
                <w:lang w:val="en-GB"/>
              </w:rPr>
              <w:t xml:space="preserve">. Confirmability is analogue to objectivity in quantitative research </w:t>
            </w:r>
            <w:r w:rsidRPr="009C49B2">
              <w:rPr>
                <w:rFonts w:ascii="Arial" w:hAnsi="Arial" w:cs="Arial"/>
                <w:color w:val="000000"/>
                <w:shd w:val="clear" w:color="auto" w:fill="FFFFFF"/>
                <w:lang w:val="en-GB"/>
              </w:rPr>
              <w:fldChar w:fldCharType="begin" w:fldLock="1"/>
            </w:r>
            <w:r w:rsidRPr="009C49B2">
              <w:rPr>
                <w:rFonts w:ascii="Arial" w:hAnsi="Arial" w:cs="Arial"/>
                <w:color w:val="000000"/>
                <w:shd w:val="clear" w:color="auto" w:fill="FFFFFF"/>
                <w:lang w:val="en-GB"/>
              </w:rPr>
              <w:instrText>ADDIN CSL_CITATION {"citationItems":[{"id":"ITEM-1","itemData":{"DOI":"10.3233/EFI-2004-22201","ISSN":"01678329","abstract":"Although many critics are reluctant to accept the trustworthiness of qualitative research, frameworks for ensuring rigour in this form of work have been in existence for many years. Guba's constructs, in particular, have won considerable favour and form the focus of this paper. Here researchers seek to satisfy four criteria. In addressing credibility, investigators attempt to demonstrate that a true picture of the phenomenon under scrutiny is being presented. To allow transferability, they provide sufficient detail of the context of the fieldwork for a reader to be able to decide whether the prevailing environment is similar to another situation with which he or she is familiar and whether the findings can justifiably be applied to the other setting. The meeting of the dependability criterion is difficult in qualitative work, although researchers should at least strive to enable a future investigator to repeat the study. Finally, to achieve confirmability, researchers must take steps to demonstrate that findings emerge from the data and not their own predispositions. The paper concludes by suggesting that it is the responsibility of research methods teachers to ensure that this or a comparable model for ensuring trustworthiness is followed by students undertaking a qualitative inquiry.","author":[{"dropping-particle":"","family":"Shenton","given":"Andrew K.","non-dropping-particle":"","parse-names":false,"suffix":""}],"container-title":"Education for Information","id":"ITEM-1","issue":"2","issued":{"date-parts":[["2004"]]},"page":"63-75","title":"Strategies for ensuring trustworthiness in qualitative research projects","type":"article-journal","volume":"22"},"uris":["http://www.mendeley.com/documents/?uuid=0d14fd27-89ba-4b3f-8a1b-a2eb8bd8a65c"]}],"mendeley":{"formattedCitation":"(Shenton, 2004)","plainTextFormattedCitation":"(Shenton, 2004)","previouslyFormattedCitation":"(Shenton, 2004)"},"properties":{"noteIndex":0},"schema":"https://github.com/citation-style-language/schema/raw/master/csl-citation.json"}</w:instrText>
            </w:r>
            <w:r w:rsidRPr="009C49B2">
              <w:rPr>
                <w:rFonts w:ascii="Arial" w:hAnsi="Arial" w:cs="Arial"/>
                <w:color w:val="000000"/>
                <w:shd w:val="clear" w:color="auto" w:fill="FFFFFF"/>
                <w:lang w:val="en-GB"/>
              </w:rPr>
              <w:fldChar w:fldCharType="separate"/>
            </w:r>
            <w:r w:rsidRPr="009C49B2">
              <w:rPr>
                <w:rFonts w:ascii="Arial" w:hAnsi="Arial" w:cs="Arial"/>
                <w:noProof/>
                <w:color w:val="000000"/>
                <w:shd w:val="clear" w:color="auto" w:fill="FFFFFF"/>
                <w:lang w:val="en-GB"/>
              </w:rPr>
              <w:t>(Shenton, 2004)</w:t>
            </w:r>
            <w:r w:rsidRPr="009C49B2">
              <w:rPr>
                <w:rFonts w:ascii="Arial" w:hAnsi="Arial" w:cs="Arial"/>
                <w:color w:val="000000"/>
                <w:shd w:val="clear" w:color="auto" w:fill="FFFFFF"/>
                <w:lang w:val="en-GB"/>
              </w:rPr>
              <w:fldChar w:fldCharType="end"/>
            </w:r>
            <w:r w:rsidRPr="009C49B2">
              <w:rPr>
                <w:rFonts w:ascii="Arial" w:hAnsi="Arial" w:cs="Arial"/>
                <w:color w:val="000000"/>
                <w:shd w:val="clear" w:color="auto" w:fill="FFFFFF"/>
                <w:lang w:val="en-GB"/>
              </w:rPr>
              <w:t xml:space="preserve">. An audit trail can be used to evaluate the confirmability of findings, because it allows any researcher to trace the process of the research step-by-step via the decisions made and procedures described. Therefore, a transparent report </w:t>
            </w:r>
            <w:r>
              <w:rPr>
                <w:rFonts w:ascii="Arial" w:hAnsi="Arial" w:cs="Arial"/>
                <w:color w:val="000000"/>
                <w:shd w:val="clear" w:color="auto" w:fill="FFFFFF"/>
                <w:lang w:val="en-GB"/>
              </w:rPr>
              <w:t>is</w:t>
            </w:r>
            <w:r w:rsidRPr="009C49B2">
              <w:rPr>
                <w:rFonts w:ascii="Arial" w:hAnsi="Arial" w:cs="Arial"/>
                <w:color w:val="000000"/>
                <w:shd w:val="clear" w:color="auto" w:fill="FFFFFF"/>
                <w:lang w:val="en-GB"/>
              </w:rPr>
              <w:t xml:space="preserve"> provided to make confirmability easier to evaluate.</w:t>
            </w:r>
          </w:p>
          <w:p w14:paraId="0317D007" w14:textId="77777777" w:rsidR="00EB7F85" w:rsidRPr="009C49B2" w:rsidRDefault="00EB7F85" w:rsidP="00282204">
            <w:pPr>
              <w:jc w:val="both"/>
              <w:rPr>
                <w:rFonts w:ascii="Arial" w:hAnsi="Arial" w:cs="Arial"/>
                <w:color w:val="000000"/>
                <w:shd w:val="clear" w:color="auto" w:fill="FFFFFF"/>
                <w:lang w:val="en-GB"/>
              </w:rPr>
            </w:pPr>
          </w:p>
        </w:tc>
      </w:tr>
      <w:tr w:rsidR="00EB7F85" w14:paraId="5AA4CE03" w14:textId="77777777" w:rsidTr="00282204">
        <w:tc>
          <w:tcPr>
            <w:tcW w:w="1615" w:type="dxa"/>
          </w:tcPr>
          <w:p w14:paraId="296D3CE9" w14:textId="77777777" w:rsidR="00EB7F85" w:rsidRPr="00714D1B" w:rsidRDefault="00EB7F85" w:rsidP="00282204">
            <w:pPr>
              <w:pStyle w:val="Heading4"/>
              <w:rPr>
                <w:rFonts w:ascii="Arial" w:hAnsi="Arial" w:cs="Arial"/>
                <w:shd w:val="clear" w:color="auto" w:fill="FFFFFF"/>
                <w:lang w:val="en-GB"/>
              </w:rPr>
            </w:pPr>
            <w:r w:rsidRPr="00714D1B">
              <w:rPr>
                <w:rFonts w:ascii="Arial" w:hAnsi="Arial" w:cs="Arial"/>
                <w:shd w:val="clear" w:color="auto" w:fill="FFFFFF"/>
                <w:lang w:val="en-GB"/>
              </w:rPr>
              <w:t>Authenticity</w:t>
            </w:r>
          </w:p>
          <w:p w14:paraId="5EC677FB" w14:textId="77777777" w:rsidR="00EB7F85" w:rsidRPr="00714D1B" w:rsidRDefault="00EB7F85" w:rsidP="00282204">
            <w:pPr>
              <w:rPr>
                <w:rFonts w:ascii="Arial" w:hAnsi="Arial" w:cs="Arial"/>
              </w:rPr>
            </w:pPr>
          </w:p>
        </w:tc>
        <w:tc>
          <w:tcPr>
            <w:tcW w:w="13087" w:type="dxa"/>
          </w:tcPr>
          <w:p w14:paraId="7EF5C101" w14:textId="77777777" w:rsidR="00EB7F85" w:rsidRPr="009C49B2" w:rsidRDefault="00EB7F85" w:rsidP="00282204">
            <w:pPr>
              <w:jc w:val="both"/>
              <w:rPr>
                <w:rFonts w:ascii="Arial" w:hAnsi="Arial" w:cs="Arial"/>
                <w:color w:val="000000"/>
                <w:shd w:val="clear" w:color="auto" w:fill="FFFFFF"/>
                <w:lang w:val="en-GB"/>
              </w:rPr>
            </w:pPr>
            <w:r w:rsidRPr="009C49B2">
              <w:rPr>
                <w:rFonts w:ascii="Arial" w:hAnsi="Arial" w:cs="Arial"/>
                <w:color w:val="000000"/>
                <w:shd w:val="clear" w:color="auto" w:fill="FFFFFF"/>
                <w:lang w:val="en-GB"/>
              </w:rPr>
              <w:t xml:space="preserve">The fifth and final part of Lincoln and Guba of trustworthiness framework is authenticity (1985). This concept does not have match/analogue in quantitative research. Authenticity is the extent to which the researcher represents a fair and faithful range of differing viewpoints on the topic and convey the feeling and tones of participants live as they are. Authenticity concerns whether research is worthwhile, and if its findings have potential transformative impacts on the individuals as well as the community being researched. </w:t>
            </w:r>
            <w:r w:rsidRPr="009C49B2">
              <w:rPr>
                <w:rFonts w:ascii="Arial" w:hAnsi="Arial" w:cs="Arial"/>
                <w:color w:val="222222"/>
                <w:shd w:val="clear" w:color="auto" w:fill="FFFFFF"/>
              </w:rPr>
              <w:t xml:space="preserve"> </w:t>
            </w:r>
          </w:p>
          <w:p w14:paraId="34FA47FD" w14:textId="77777777" w:rsidR="00EB7F85" w:rsidRPr="009C49B2" w:rsidRDefault="00EB7F85" w:rsidP="00282204">
            <w:pPr>
              <w:jc w:val="both"/>
              <w:rPr>
                <w:rFonts w:ascii="Arial" w:hAnsi="Arial" w:cs="Arial"/>
                <w:color w:val="000000"/>
                <w:shd w:val="clear" w:color="auto" w:fill="FFFFFF"/>
                <w:lang w:val="en-GB"/>
              </w:rPr>
            </w:pPr>
            <w:r w:rsidRPr="009C49B2">
              <w:rPr>
                <w:rFonts w:ascii="Arial" w:hAnsi="Arial" w:cs="Arial"/>
                <w:color w:val="000000"/>
                <w:shd w:val="clear" w:color="auto" w:fill="FFFFFF"/>
                <w:lang w:val="en-GB"/>
              </w:rPr>
              <w:t xml:space="preserve">Authenticity </w:t>
            </w:r>
            <w:r>
              <w:rPr>
                <w:rFonts w:ascii="Arial" w:hAnsi="Arial" w:cs="Arial"/>
                <w:color w:val="000000"/>
                <w:shd w:val="clear" w:color="auto" w:fill="FFFFFF"/>
                <w:lang w:val="en-GB"/>
              </w:rPr>
              <w:t>is</w:t>
            </w:r>
            <w:r w:rsidRPr="009C49B2">
              <w:rPr>
                <w:rFonts w:ascii="Arial" w:hAnsi="Arial" w:cs="Arial"/>
                <w:color w:val="000000"/>
                <w:shd w:val="clear" w:color="auto" w:fill="FFFFFF"/>
                <w:lang w:val="en-GB"/>
              </w:rPr>
              <w:t xml:space="preserve"> achieved </w:t>
            </w:r>
            <w:r>
              <w:rPr>
                <w:rFonts w:ascii="Arial" w:hAnsi="Arial" w:cs="Arial"/>
                <w:color w:val="000000"/>
                <w:shd w:val="clear" w:color="auto" w:fill="FFFFFF"/>
                <w:lang w:val="en-GB"/>
              </w:rPr>
              <w:t xml:space="preserve">in this research </w:t>
            </w:r>
            <w:r w:rsidRPr="009C49B2">
              <w:rPr>
                <w:rFonts w:ascii="Arial" w:hAnsi="Arial" w:cs="Arial"/>
                <w:color w:val="000000"/>
                <w:shd w:val="clear" w:color="auto" w:fill="FFFFFF"/>
                <w:lang w:val="en-GB"/>
              </w:rPr>
              <w:t xml:space="preserve">by member checking as explained before, and also through the presenting the findings via </w:t>
            </w:r>
            <w:r w:rsidRPr="009C49B2">
              <w:rPr>
                <w:rFonts w:ascii="Arial" w:hAnsi="Arial" w:cs="Arial"/>
                <w:color w:val="1C1E29"/>
                <w:lang w:val="en-GB"/>
              </w:rPr>
              <w:t xml:space="preserve">providing evidence of themes to convince the reader that these themes were derived from the collection of data. This </w:t>
            </w:r>
            <w:r>
              <w:rPr>
                <w:rFonts w:ascii="Arial" w:hAnsi="Arial" w:cs="Arial"/>
                <w:color w:val="1C1E29"/>
                <w:lang w:val="en-GB"/>
              </w:rPr>
              <w:t>was done</w:t>
            </w:r>
            <w:r w:rsidRPr="009C49B2">
              <w:rPr>
                <w:rFonts w:ascii="Arial" w:hAnsi="Arial" w:cs="Arial"/>
                <w:color w:val="1C1E29"/>
                <w:lang w:val="en-GB"/>
              </w:rPr>
              <w:t xml:space="preserve"> by citing specific quotes and providing multiple perspectives from the individuals who took part in the study to demonstrate divergent views.</w:t>
            </w:r>
          </w:p>
          <w:p w14:paraId="00A87BDF" w14:textId="77777777" w:rsidR="00EB7F85" w:rsidRPr="00714D1B" w:rsidRDefault="00EB7F85" w:rsidP="00282204">
            <w:pPr>
              <w:jc w:val="both"/>
              <w:rPr>
                <w:rFonts w:ascii="Arial" w:hAnsi="Arial" w:cs="Arial"/>
                <w:b/>
                <w:bCs/>
                <w:color w:val="000000"/>
                <w:shd w:val="clear" w:color="auto" w:fill="FFFFFF"/>
                <w:lang w:val="en-GB"/>
              </w:rPr>
            </w:pPr>
          </w:p>
        </w:tc>
      </w:tr>
    </w:tbl>
    <w:p w14:paraId="7F80252D" w14:textId="77777777" w:rsidR="00EB7F85" w:rsidRDefault="00EB7F85" w:rsidP="00EB7F85">
      <w:pPr>
        <w:spacing w:line="360" w:lineRule="auto"/>
        <w:jc w:val="both"/>
        <w:rPr>
          <w:rFonts w:ascii="Arial" w:hAnsi="Arial" w:cs="Arial"/>
          <w:color w:val="000000"/>
          <w:sz w:val="24"/>
          <w:szCs w:val="24"/>
          <w:shd w:val="clear" w:color="auto" w:fill="FFFFFF"/>
        </w:rPr>
        <w:sectPr w:rsidR="00EB7F85" w:rsidSect="00282204">
          <w:pgSz w:w="15840" w:h="12240" w:orient="landscape"/>
          <w:pgMar w:top="1440" w:right="1440" w:bottom="1440" w:left="1440" w:header="720" w:footer="720" w:gutter="0"/>
          <w:cols w:space="720"/>
          <w:docGrid w:linePitch="360"/>
        </w:sectPr>
      </w:pPr>
    </w:p>
    <w:p w14:paraId="721F1DB7" w14:textId="77777777" w:rsidR="00EB7F85" w:rsidRDefault="00EB7F85" w:rsidP="00876389">
      <w:pPr>
        <w:pStyle w:val="Heading3"/>
        <w:numPr>
          <w:ilvl w:val="2"/>
          <w:numId w:val="14"/>
        </w:numPr>
        <w:tabs>
          <w:tab w:val="left" w:pos="900"/>
          <w:tab w:val="left" w:pos="1350"/>
        </w:tabs>
        <w:spacing w:line="257" w:lineRule="auto"/>
        <w:ind w:left="360" w:hanging="360"/>
        <w:rPr>
          <w:shd w:val="clear" w:color="auto" w:fill="FFFFFF"/>
        </w:rPr>
      </w:pPr>
      <w:bookmarkStart w:id="130" w:name="_Toc122626399"/>
      <w:bookmarkStart w:id="131" w:name="_Ref122709922"/>
      <w:bookmarkStart w:id="132" w:name="_Toc153894182"/>
      <w:r>
        <w:rPr>
          <w:shd w:val="clear" w:color="auto" w:fill="FFFFFF"/>
        </w:rPr>
        <w:t>Triangulation protocol</w:t>
      </w:r>
      <w:bookmarkEnd w:id="130"/>
      <w:bookmarkEnd w:id="131"/>
      <w:bookmarkEnd w:id="132"/>
    </w:p>
    <w:p w14:paraId="2EC3E4C0" w14:textId="77777777" w:rsidR="00EB7F85" w:rsidRPr="00D0412F" w:rsidRDefault="00EB7F85" w:rsidP="00EB7F85">
      <w:pPr>
        <w:spacing w:line="360" w:lineRule="auto"/>
        <w:jc w:val="both"/>
        <w:rPr>
          <w:rFonts w:ascii="Arial" w:hAnsi="Arial" w:cs="Arial"/>
          <w:sz w:val="24"/>
          <w:szCs w:val="24"/>
        </w:rPr>
      </w:pPr>
      <w:bookmarkStart w:id="133" w:name="_Toc122626400"/>
      <w:r w:rsidRPr="00010A14">
        <w:rPr>
          <w:rFonts w:ascii="Arial" w:hAnsi="Arial" w:cs="Arial"/>
          <w:color w:val="000000"/>
          <w:sz w:val="24"/>
          <w:szCs w:val="24"/>
          <w:shd w:val="clear" w:color="auto" w:fill="FFFFFF"/>
          <w:lang w:val="en-GB"/>
        </w:rPr>
        <w:t xml:space="preserve">Triangulation in mixed methods research generally describes the process of studying a problem/phenomenon using different ways to gain richer detail, insight,  and a complete </w:t>
      </w:r>
      <w:r>
        <w:rPr>
          <w:rFonts w:ascii="Arial" w:hAnsi="Arial" w:cs="Arial"/>
          <w:color w:val="000000"/>
          <w:sz w:val="24"/>
          <w:szCs w:val="24"/>
          <w:shd w:val="clear" w:color="auto" w:fill="FFFFFF"/>
          <w:lang w:val="en-GB"/>
        </w:rPr>
        <w:t>overview</w:t>
      </w:r>
      <w:r w:rsidRPr="00010A14">
        <w:rPr>
          <w:rFonts w:ascii="Arial" w:hAnsi="Arial" w:cs="Arial"/>
          <w:color w:val="000000"/>
          <w:sz w:val="24"/>
          <w:szCs w:val="24"/>
          <w:shd w:val="clear" w:color="auto" w:fill="FFFFFF"/>
          <w:lang w:val="en-GB"/>
        </w:rPr>
        <w:t xml:space="preserve"> of the research topic </w:t>
      </w:r>
      <w:r w:rsidRPr="00010A14">
        <w:rPr>
          <w:rFonts w:ascii="Arial" w:hAnsi="Arial" w:cs="Arial"/>
          <w:color w:val="000000"/>
          <w:sz w:val="24"/>
          <w:szCs w:val="24"/>
          <w:shd w:val="clear" w:color="auto" w:fill="FFFFFF"/>
          <w:lang w:val="en-GB"/>
        </w:rPr>
        <w:fldChar w:fldCharType="begin" w:fldLock="1"/>
      </w:r>
      <w:r>
        <w:rPr>
          <w:rFonts w:ascii="Arial" w:hAnsi="Arial" w:cs="Arial"/>
          <w:color w:val="000000"/>
          <w:sz w:val="24"/>
          <w:szCs w:val="24"/>
          <w:shd w:val="clear" w:color="auto" w:fill="FFFFFF"/>
          <w:lang w:val="en-GB"/>
        </w:rPr>
        <w:instrText>ADDIN CSL_CITATION {"citationItems":[{"id":"ITEM-1","itemData":{"DOI":"10.1136/bmj.c4587","ISSN":"17561833","PMID":"20851841","author":[{"dropping-particle":"","family":"O'Cathain","given":"Alicia","non-dropping-particle":"","parse-names":false,"suffix":""},{"dropping-particle":"","family":"Murphy","given":"Elizabeth","non-dropping-particle":"","parse-names":false,"suffix":""},{"dropping-particle":"","family":"Nicholl","given":"Jon","non-dropping-particle":"","parse-names":false,"suffix":""}],"container-title":"BMJ (Online)","id":"ITEM-1","issue":"7783","issued":{"date-parts":[["2010"]]},"page":"1147-1150","title":"Three techniques for integrating data in mixed methods studies","type":"article-journal","volume":"341"},"uris":["http://www.mendeley.com/documents/?uuid=9e87ee20-f836-4743-9830-5176fa5428e7"]}],"mendeley":{"formattedCitation":"(O’Cathain, Murphy and Nicholl, 2010b)","manualFormatting":"(O’Cathain et al., 2010b)","plainTextFormattedCitation":"(O’Cathain, Murphy and Nicholl, 2010b)","previouslyFormattedCitation":"(O’Cathain, Murphy and Nicholl, 2010b)"},"properties":{"noteIndex":0},"schema":"https://github.com/citation-style-language/schema/raw/master/csl-citation.json"}</w:instrText>
      </w:r>
      <w:r w:rsidRPr="00010A14">
        <w:rPr>
          <w:rFonts w:ascii="Arial" w:hAnsi="Arial" w:cs="Arial"/>
          <w:color w:val="000000"/>
          <w:sz w:val="24"/>
          <w:szCs w:val="24"/>
          <w:shd w:val="clear" w:color="auto" w:fill="FFFFFF"/>
          <w:lang w:val="en-GB"/>
        </w:rPr>
        <w:fldChar w:fldCharType="separate"/>
      </w:r>
      <w:r w:rsidRPr="00010A14">
        <w:rPr>
          <w:rFonts w:ascii="Arial" w:hAnsi="Arial" w:cs="Arial"/>
          <w:noProof/>
          <w:color w:val="000000"/>
          <w:sz w:val="24"/>
          <w:szCs w:val="24"/>
          <w:shd w:val="clear" w:color="auto" w:fill="FFFFFF"/>
          <w:lang w:val="en-GB"/>
        </w:rPr>
        <w:t>(O’Cathain et al., 2010b)</w:t>
      </w:r>
      <w:r w:rsidRPr="00010A14">
        <w:rPr>
          <w:rFonts w:ascii="Arial" w:hAnsi="Arial" w:cs="Arial"/>
          <w:color w:val="000000"/>
          <w:sz w:val="24"/>
          <w:szCs w:val="24"/>
          <w:shd w:val="clear" w:color="auto" w:fill="FFFFFF"/>
          <w:lang w:val="en-GB"/>
        </w:rPr>
        <w:fldChar w:fldCharType="end"/>
      </w:r>
      <w:r w:rsidRPr="00D0412F">
        <w:rPr>
          <w:rFonts w:ascii="Arial" w:hAnsi="Arial" w:cs="Arial"/>
          <w:sz w:val="24"/>
          <w:szCs w:val="24"/>
        </w:rPr>
        <w:t>. Triangulation sometimes refers to a combination of quantitative and qualitative results where data collection and analysis were performed for each method separately</w:t>
      </w:r>
      <w:r>
        <w:rPr>
          <w:rFonts w:ascii="Arial" w:hAnsi="Arial" w:cs="Arial"/>
          <w:sz w:val="24"/>
          <w:szCs w:val="24"/>
        </w:rPr>
        <w:t xml:space="preserve"> </w:t>
      </w:r>
      <w:r w:rsidRPr="00D0412F">
        <w:rPr>
          <w:rFonts w:ascii="Arial" w:hAnsi="Arial" w:cs="Arial"/>
          <w:sz w:val="24"/>
          <w:szCs w:val="24"/>
        </w:rPr>
        <w:fldChar w:fldCharType="begin" w:fldLock="1"/>
      </w:r>
      <w:r w:rsidRPr="00D0412F">
        <w:rPr>
          <w:rFonts w:ascii="Arial" w:hAnsi="Arial" w:cs="Arial"/>
          <w:sz w:val="24"/>
          <w:szCs w:val="24"/>
        </w:rPr>
        <w:instrText>ADDIN CSL_CITATION {"citationItems":[{"id":"ITEM-1","itemData":{"DOI":"10.1136/bmj.c4587","ISSN":"17561833","PMID":"20851841","author":[{"dropping-particle":"","family":"O'Cathain","given":"Alicia","non-dropping-particle":"","parse-names":false,"suffix":""},{"dropping-particle":"","family":"Murphy","given":"Elizabeth","non-dropping-particle":"","parse-names":false,"suffix":""},{"dropping-particle":"","family":"Nicholl","given":"Jon","non-dropping-particle":"","parse-names":false,"suffix":""}],"container-title":"BMJ (Online)","id":"ITEM-1","issue":"7783","issued":{"date-parts":[["2010"]]},"page":"1147-1150","title":"Three techniques for integrating data in mixed methods studies","type":"article-journal","volume":"341"},"uris":["http://www.mendeley.com/documents/?uuid=9e87ee20-f836-4743-9830-5176fa5428e7"]}],"mendeley":{"formattedCitation":"(O’Cathain, Murphy and Nicholl, 2010b)","manualFormatting":"(O’Cathain et al., 2010b)","plainTextFormattedCitation":"(O’Cathain, Murphy and Nicholl, 2010b)","previouslyFormattedCitation":"(O’Cathain, Murphy and Nicholl, 2010b)"},"properties":{"noteIndex":0},"schema":"https://github.com/citation-style-language/schema/raw/master/csl-citation.json"}</w:instrText>
      </w:r>
      <w:r w:rsidRPr="00D0412F">
        <w:rPr>
          <w:rFonts w:ascii="Arial" w:hAnsi="Arial" w:cs="Arial"/>
          <w:sz w:val="24"/>
          <w:szCs w:val="24"/>
        </w:rPr>
        <w:fldChar w:fldCharType="separate"/>
      </w:r>
      <w:r w:rsidRPr="00D0412F">
        <w:rPr>
          <w:rFonts w:ascii="Arial" w:hAnsi="Arial" w:cs="Arial"/>
          <w:noProof/>
          <w:sz w:val="24"/>
          <w:szCs w:val="24"/>
        </w:rPr>
        <w:t>(O’Cathain et al., 2010b)</w:t>
      </w:r>
      <w:bookmarkEnd w:id="133"/>
      <w:r w:rsidRPr="00D0412F">
        <w:rPr>
          <w:rFonts w:ascii="Arial" w:hAnsi="Arial" w:cs="Arial"/>
          <w:sz w:val="24"/>
          <w:szCs w:val="24"/>
        </w:rPr>
        <w:fldChar w:fldCharType="end"/>
      </w:r>
      <w:r>
        <w:rPr>
          <w:rFonts w:ascii="Arial" w:hAnsi="Arial" w:cs="Arial"/>
          <w:sz w:val="24"/>
          <w:szCs w:val="24"/>
        </w:rPr>
        <w:t>.</w:t>
      </w:r>
    </w:p>
    <w:p w14:paraId="2C2B698D"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Combining the two approaches (qualitative and quantitative) by using a mixed-methods approach will enable the researcher to use qualitative data to confirm and add meaning to the quantitative data and quantitative data to confirm and test the findings of the qualitative data through the use of triangulation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{"citationItems":[{"id":"ITEM-1","itemData":{"DOI":"10.1504/ijbaf.2017.10007499","ISSN":"1753-1969","abstract":"This paper argues that a flexible approach should be adopted in the application of mixed methods research in behavioural accounting research by conducting it within the pragmatic paradigm, especially when a paradigm is defined as shared beliefs among members of a speciality area. By doing this, behavioural accounting researchers are not restricted by ontological and epistemological issues when deciding on how to address a variety of different research questions.","author":[{"dropping-particle":"","family":"Brierley","given":"John A.","non-dropping-particle":"","parse-names":false,"suffix":""}],"container-title":"International Journal of Behavioural Accounting and Finance","id":"ITEM-1","issue":"2","issued":{"date-parts":[["2017"]]},"page":"140","title":"The role of a pragmatist paradigm when adopting mixed methods in behavioural accounting research","type":"article-journal","volume":"6"},"uris":["http://www.mendeley.com/documents/?uuid=ff9b5683-b54c-4bd3-8751-878c2d8b92bc"]}],"mendeley":{"formattedCitation":"(Brierley, 2017)","plainTextFormattedCitation":"(Brierley, 2017)","previouslyFormattedCitation":"(Brierley, 2017)"},"properties":{"noteIndex":0},"schema":"https://github.com/citation-style-language/schema/raw/master/csl-citation.json"}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(Brierley, 2017)</w:t>
      </w:r>
      <w:r w:rsidRPr="006B2FC7">
        <w:rPr>
          <w:rFonts w:ascii="Arial" w:hAnsi="Arial" w:cs="Arial"/>
          <w:sz w:val="24"/>
          <w:szCs w:val="24"/>
        </w:rPr>
        <w:fldChar w:fldCharType="end"/>
      </w:r>
      <w:r w:rsidRPr="006B2FC7">
        <w:rPr>
          <w:rFonts w:ascii="Arial" w:hAnsi="Arial" w:cs="Arial"/>
          <w:sz w:val="24"/>
          <w:szCs w:val="24"/>
        </w:rPr>
        <w:t xml:space="preserve">. </w:t>
      </w:r>
    </w:p>
    <w:p w14:paraId="187D0ADC" w14:textId="7B7CDB3C" w:rsidR="00EB7F85" w:rsidRDefault="00EB7F85" w:rsidP="00EB7F85">
      <w:pPr>
        <w:spacing w:line="360" w:lineRule="auto"/>
        <w:jc w:val="both"/>
        <w:rPr>
          <w:rFonts w:ascii="Arial" w:hAnsi="Arial" w:cs="Arial"/>
          <w:sz w:val="24"/>
          <w:szCs w:val="24"/>
        </w:rPr>
      </w:pPr>
      <w:r w:rsidRPr="00D81BD0">
        <w:rPr>
          <w:rFonts w:ascii="Arial" w:hAnsi="Arial" w:cs="Arial"/>
          <w:sz w:val="24"/>
          <w:szCs w:val="24"/>
        </w:rPr>
        <w:t>Mixed-methods integration can be incorporated at different levels of the research process, such as defining research questions, data collection, sampling, analysis, interpretation, and reporting</w:t>
      </w:r>
      <w:r>
        <w:rPr>
          <w:rFonts w:ascii="Arial" w:hAnsi="Arial" w:cs="Arial"/>
          <w:sz w:val="24"/>
          <w:szCs w:val="24"/>
        </w:rPr>
        <w:t xml:space="preserve"> </w:t>
      </w:r>
      <w:r>
        <w:rPr>
          <w:rFonts w:ascii="Arial" w:hAnsi="Arial" w:cs="Arial"/>
          <w:sz w:val="24"/>
          <w:szCs w:val="24"/>
        </w:rPr>
        <w:fldChar w:fldCharType="begin" w:fldLock="1"/>
      </w:r>
      <w:r>
        <w:rPr>
          <w:rFonts w:ascii="Arial" w:hAnsi="Arial" w:cs="Arial"/>
          <w:sz w:val="24"/>
          <w:szCs w:val="24"/>
        </w:rPr>
        <w:instrText>ADDIN CSL_CITATION {"citationItems":[{"id":"ITEM-1","itemData":{"author":[{"dropping-particle":"","family":"Creamer","given":"E","non-dropping-particle":"","parse-names":false,"suffix":""}],"container-title":"Mixed Methods Research Proposal or Doctoral Dissertation","id":"ITEM-1","issued":{"date-parts":[["2018"]]},"title":"9- Designing and reporting a fully integrated mixed methods","type":"article-journal"},"uris":["http://www.mendeley.com/documents/?uuid=ff98f6a2-c8cb-4e99-8c4d-31d609145e2e"]}],"mendeley":{"formattedCitation":"(Creamer, 2018)","plainTextFormattedCitation":"(Creamer, 2018)","previouslyFormattedCitation":"(Creamer, 2018)"},"properties":{"noteIndex":0},"schema":"https://github.com/citation-style-language/schema/raw/master/csl-citation.json"}</w:instrText>
      </w:r>
      <w:r>
        <w:rPr>
          <w:rFonts w:ascii="Arial" w:hAnsi="Arial" w:cs="Arial"/>
          <w:sz w:val="24"/>
          <w:szCs w:val="24"/>
        </w:rPr>
        <w:fldChar w:fldCharType="separate"/>
      </w:r>
      <w:r w:rsidRPr="00A83742">
        <w:rPr>
          <w:rFonts w:ascii="Arial" w:hAnsi="Arial" w:cs="Arial"/>
          <w:noProof/>
          <w:sz w:val="24"/>
          <w:szCs w:val="24"/>
        </w:rPr>
        <w:t>(Creamer, 2018)</w:t>
      </w:r>
      <w:r>
        <w:rPr>
          <w:rFonts w:ascii="Arial" w:hAnsi="Arial" w:cs="Arial"/>
          <w:sz w:val="24"/>
          <w:szCs w:val="24"/>
        </w:rPr>
        <w:fldChar w:fldCharType="end"/>
      </w:r>
      <w:r w:rsidRPr="00D81BD0">
        <w:rPr>
          <w:rFonts w:ascii="Arial" w:hAnsi="Arial" w:cs="Arial"/>
          <w:sz w:val="24"/>
          <w:szCs w:val="24"/>
        </w:rPr>
        <w:t xml:space="preserve">. </w:t>
      </w:r>
      <w:r w:rsidRPr="003E531C">
        <w:rPr>
          <w:rFonts w:ascii="Arial" w:hAnsi="Arial" w:cs="Arial"/>
          <w:color w:val="1F3864" w:themeColor="accent1" w:themeShade="80"/>
          <w:sz w:val="24"/>
          <w:szCs w:val="24"/>
        </w:rPr>
        <w:fldChar w:fldCharType="begin"/>
      </w:r>
      <w:r w:rsidRPr="003E531C">
        <w:rPr>
          <w:rFonts w:ascii="Arial" w:hAnsi="Arial" w:cs="Arial"/>
          <w:color w:val="1F3864" w:themeColor="accent1" w:themeShade="80"/>
          <w:sz w:val="24"/>
          <w:szCs w:val="24"/>
        </w:rPr>
        <w:instrText xml:space="preserve"> REF _Ref122815202 \h  \* MERGEFORMAT </w:instrText>
      </w:r>
      <w:r w:rsidRPr="003E531C">
        <w:rPr>
          <w:rFonts w:ascii="Arial" w:hAnsi="Arial" w:cs="Arial"/>
          <w:color w:val="1F3864" w:themeColor="accent1" w:themeShade="80"/>
          <w:sz w:val="24"/>
          <w:szCs w:val="24"/>
        </w:rPr>
      </w:r>
      <w:r w:rsidRPr="003E531C">
        <w:rPr>
          <w:rFonts w:ascii="Arial" w:hAnsi="Arial" w:cs="Arial"/>
          <w:color w:val="1F3864" w:themeColor="accent1" w:themeShade="80"/>
          <w:sz w:val="24"/>
          <w:szCs w:val="24"/>
        </w:rPr>
        <w:fldChar w:fldCharType="separate"/>
      </w:r>
      <w:r w:rsidR="004E295B" w:rsidRPr="004E295B">
        <w:rPr>
          <w:rFonts w:ascii="Arial" w:hAnsi="Arial" w:cs="Arial"/>
          <w:color w:val="1F3864" w:themeColor="accent1" w:themeShade="80"/>
          <w:sz w:val="24"/>
          <w:szCs w:val="24"/>
        </w:rPr>
        <w:t>Table 12</w:t>
      </w:r>
      <w:r w:rsidRPr="003E531C">
        <w:rPr>
          <w:rFonts w:ascii="Arial" w:hAnsi="Arial" w:cs="Arial"/>
          <w:color w:val="1F3864" w:themeColor="accent1" w:themeShade="80"/>
          <w:sz w:val="24"/>
          <w:szCs w:val="24"/>
        </w:rPr>
        <w:fldChar w:fldCharType="end"/>
      </w:r>
      <w:r>
        <w:rPr>
          <w:rFonts w:ascii="Arial" w:hAnsi="Arial" w:cs="Arial"/>
          <w:color w:val="1F3864" w:themeColor="accent1" w:themeShade="80"/>
          <w:sz w:val="24"/>
          <w:szCs w:val="24"/>
        </w:rPr>
        <w:t xml:space="preserve">  </w:t>
      </w:r>
      <w:r w:rsidRPr="00D81BD0">
        <w:rPr>
          <w:rFonts w:ascii="Arial" w:hAnsi="Arial" w:cs="Arial"/>
          <w:sz w:val="24"/>
          <w:szCs w:val="24"/>
        </w:rPr>
        <w:t xml:space="preserve">shows the integration </w:t>
      </w:r>
      <w:r>
        <w:rPr>
          <w:rFonts w:ascii="Arial" w:hAnsi="Arial" w:cs="Arial"/>
          <w:sz w:val="24"/>
          <w:szCs w:val="24"/>
        </w:rPr>
        <w:t xml:space="preserve">strategy </w:t>
      </w:r>
      <w:r w:rsidRPr="00D81BD0">
        <w:rPr>
          <w:rFonts w:ascii="Arial" w:hAnsi="Arial" w:cs="Arial"/>
          <w:sz w:val="24"/>
          <w:szCs w:val="24"/>
        </w:rPr>
        <w:t>of this research</w:t>
      </w:r>
      <w:r>
        <w:rPr>
          <w:rFonts w:ascii="Arial" w:hAnsi="Arial" w:cs="Arial"/>
          <w:sz w:val="24"/>
          <w:szCs w:val="24"/>
        </w:rPr>
        <w:t>.</w:t>
      </w:r>
      <w:r w:rsidRPr="00D81BD0">
        <w:rPr>
          <w:rFonts w:ascii="Arial" w:hAnsi="Arial" w:cs="Arial"/>
          <w:sz w:val="24"/>
          <w:szCs w:val="24"/>
        </w:rPr>
        <w:t xml:space="preserve"> </w:t>
      </w:r>
      <w:r w:rsidRPr="00554079">
        <w:rPr>
          <w:rFonts w:ascii="Arial" w:hAnsi="Arial" w:cs="Arial"/>
          <w:sz w:val="24"/>
          <w:szCs w:val="24"/>
        </w:rPr>
        <w:t xml:space="preserve">Note that the data were collected and </w:t>
      </w:r>
      <w:r w:rsidRPr="00DD6C05">
        <w:rPr>
          <w:rFonts w:ascii="Arial" w:hAnsi="Arial" w:cs="Arial"/>
          <w:sz w:val="24"/>
          <w:szCs w:val="24"/>
          <w:lang w:val="en-GB"/>
        </w:rPr>
        <w:t>analysed</w:t>
      </w:r>
      <w:r w:rsidRPr="00554079">
        <w:rPr>
          <w:rFonts w:ascii="Arial" w:hAnsi="Arial" w:cs="Arial"/>
          <w:sz w:val="24"/>
          <w:szCs w:val="24"/>
        </w:rPr>
        <w:t xml:space="preserve"> separately for the quantitative and qualitative phases.</w:t>
      </w:r>
    </w:p>
    <w:p w14:paraId="10165C16" w14:textId="77777777" w:rsidR="00EB7F85" w:rsidRDefault="00EB7F85" w:rsidP="00EB7F85">
      <w:pPr>
        <w:spacing w:line="360" w:lineRule="auto"/>
        <w:rPr>
          <w:rFonts w:ascii="Arial" w:hAnsi="Arial" w:cs="Arial"/>
          <w:sz w:val="24"/>
          <w:szCs w:val="24"/>
        </w:rPr>
      </w:pPr>
    </w:p>
    <w:p w14:paraId="44D77A61" w14:textId="77777777" w:rsidR="00EB7F85" w:rsidRDefault="00EB7F85" w:rsidP="00EB7F85">
      <w:pPr>
        <w:spacing w:line="360" w:lineRule="auto"/>
        <w:rPr>
          <w:rFonts w:ascii="Arial" w:hAnsi="Arial" w:cs="Arial"/>
          <w:sz w:val="24"/>
          <w:szCs w:val="24"/>
        </w:rPr>
        <w:sectPr w:rsidR="00EB7F85">
          <w:pgSz w:w="12240" w:h="15840"/>
          <w:pgMar w:top="1440" w:right="1440" w:bottom="1440" w:left="1440" w:header="720" w:footer="720" w:gutter="0"/>
          <w:cols w:space="720"/>
          <w:docGrid w:linePitch="360"/>
        </w:sectPr>
      </w:pPr>
    </w:p>
    <w:p w14:paraId="2C93D656" w14:textId="25C36668" w:rsidR="00EB7F85" w:rsidRDefault="00EB7F85" w:rsidP="00876389">
      <w:pPr>
        <w:pStyle w:val="Caption"/>
        <w:keepNext/>
      </w:pPr>
      <w:bookmarkStart w:id="134" w:name="_Ref122815202"/>
      <w:bookmarkStart w:id="135" w:name="_Toc153894566"/>
      <w:r w:rsidRPr="00DE35BE">
        <w:rPr>
          <w:sz w:val="22"/>
          <w:szCs w:val="22"/>
        </w:rPr>
        <w:t xml:space="preserve">Table </w:t>
      </w:r>
      <w:r w:rsidRPr="00DE35BE">
        <w:fldChar w:fldCharType="begin"/>
      </w:r>
      <w:r w:rsidRPr="00DE35BE">
        <w:rPr>
          <w:sz w:val="22"/>
          <w:szCs w:val="22"/>
        </w:rPr>
        <w:instrText xml:space="preserve"> SEQ Table \* ARABIC </w:instrText>
      </w:r>
      <w:r w:rsidRPr="00DE35BE">
        <w:fldChar w:fldCharType="separate"/>
      </w:r>
      <w:r w:rsidR="009B31EB">
        <w:rPr>
          <w:noProof/>
          <w:sz w:val="22"/>
          <w:szCs w:val="22"/>
        </w:rPr>
        <w:t>12</w:t>
      </w:r>
      <w:r w:rsidRPr="00DE35BE">
        <w:rPr>
          <w:noProof/>
        </w:rPr>
        <w:fldChar w:fldCharType="end"/>
      </w:r>
      <w:bookmarkEnd w:id="134"/>
      <w:r w:rsidRPr="00DE35BE">
        <w:rPr>
          <w:sz w:val="22"/>
          <w:szCs w:val="22"/>
        </w:rPr>
        <w:t xml:space="preserve">: </w:t>
      </w:r>
      <w:r w:rsidRPr="00E720A7">
        <w:rPr>
          <w:sz w:val="22"/>
          <w:szCs w:val="22"/>
        </w:rPr>
        <w:t>Mixed-methods integration at different levels of the study</w:t>
      </w:r>
      <w:r>
        <w:rPr>
          <w:sz w:val="22"/>
          <w:szCs w:val="22"/>
        </w:rPr>
        <w:t>;</w:t>
      </w:r>
      <w:r w:rsidRPr="00E720A7">
        <w:rPr>
          <w:sz w:val="22"/>
          <w:szCs w:val="22"/>
        </w:rPr>
        <w:t xml:space="preserve"> </w:t>
      </w:r>
      <w:r w:rsidRPr="00DE35BE">
        <w:rPr>
          <w:sz w:val="22"/>
          <w:szCs w:val="22"/>
        </w:rPr>
        <w:t>Link between the research questions, methods</w:t>
      </w:r>
      <w:r>
        <w:rPr>
          <w:sz w:val="22"/>
          <w:szCs w:val="22"/>
        </w:rPr>
        <w:t xml:space="preserve">, </w:t>
      </w:r>
      <w:r w:rsidRPr="00DE35BE">
        <w:rPr>
          <w:sz w:val="22"/>
          <w:szCs w:val="22"/>
        </w:rPr>
        <w:t>target sample</w:t>
      </w:r>
      <w:r>
        <w:rPr>
          <w:sz w:val="22"/>
          <w:szCs w:val="22"/>
        </w:rPr>
        <w:t>, analysis, interpretation, and reporting</w:t>
      </w:r>
      <w:bookmarkEnd w:id="135"/>
    </w:p>
    <w:tbl>
      <w:tblPr>
        <w:tblpPr w:leftFromText="180" w:rightFromText="180" w:horzAnchor="margin" w:tblpX="-275" w:tblpY="596"/>
        <w:tblW w:w="14250" w:type="dxa"/>
        <w:tblLook w:val="04A0" w:firstRow="1" w:lastRow="0" w:firstColumn="1" w:lastColumn="0" w:noHBand="0" w:noVBand="1"/>
      </w:tblPr>
      <w:tblGrid>
        <w:gridCol w:w="3425"/>
        <w:gridCol w:w="1481"/>
        <w:gridCol w:w="2314"/>
        <w:gridCol w:w="2037"/>
        <w:gridCol w:w="2314"/>
        <w:gridCol w:w="2679"/>
      </w:tblGrid>
      <w:tr w:rsidR="00EB7F85" w:rsidRPr="001045C5" w14:paraId="242B7748" w14:textId="77777777" w:rsidTr="00282204">
        <w:trPr>
          <w:trHeight w:val="997"/>
        </w:trPr>
        <w:tc>
          <w:tcPr>
            <w:tcW w:w="34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26D4B" w14:textId="77777777" w:rsidR="00EB7F85" w:rsidRPr="00E53DB3" w:rsidRDefault="00EB7F85" w:rsidP="00282204">
            <w:pPr>
              <w:spacing w:after="0" w:line="240" w:lineRule="auto"/>
              <w:jc w:val="center"/>
              <w:rPr>
                <w:rFonts w:eastAsia="Times New Roman" w:cstheme="minorHAnsi"/>
                <w:color w:val="222222"/>
              </w:rPr>
            </w:pPr>
            <w:r w:rsidRPr="00E53DB3">
              <w:rPr>
                <w:rFonts w:eastAsia="Times New Roman" w:cstheme="minorHAnsi"/>
                <w:color w:val="222222"/>
                <w:lang w:val="en-GB"/>
              </w:rPr>
              <w:t>Research question</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1277BE1A" w14:textId="77777777" w:rsidR="00EB7F85" w:rsidRPr="001045C5" w:rsidRDefault="00EB7F85" w:rsidP="00282204">
            <w:pPr>
              <w:spacing w:after="0" w:line="240" w:lineRule="auto"/>
              <w:jc w:val="center"/>
              <w:rPr>
                <w:rFonts w:eastAsia="Times New Roman" w:cstheme="minorHAnsi"/>
                <w:color w:val="222222"/>
                <w:lang w:val="en-GB"/>
              </w:rPr>
            </w:pPr>
            <w:r w:rsidRPr="00E53DB3">
              <w:rPr>
                <w:rFonts w:eastAsia="Times New Roman" w:cstheme="minorHAnsi"/>
                <w:color w:val="222222"/>
                <w:lang w:val="en-GB"/>
              </w:rPr>
              <w:t>Methods/</w:t>
            </w:r>
          </w:p>
          <w:p w14:paraId="16C4957C" w14:textId="77777777" w:rsidR="00EB7F85" w:rsidRPr="00E53DB3" w:rsidRDefault="00EB7F85" w:rsidP="00282204">
            <w:pPr>
              <w:spacing w:after="0" w:line="240" w:lineRule="auto"/>
              <w:jc w:val="center"/>
              <w:rPr>
                <w:rFonts w:eastAsia="Times New Roman" w:cstheme="minorHAnsi"/>
                <w:color w:val="222222"/>
              </w:rPr>
            </w:pPr>
            <w:r w:rsidRPr="00E53DB3">
              <w:rPr>
                <w:rFonts w:eastAsia="Times New Roman" w:cstheme="minorHAnsi"/>
                <w:color w:val="222222"/>
                <w:lang w:val="en-GB"/>
              </w:rPr>
              <w:t>Data collection</w:t>
            </w:r>
          </w:p>
        </w:tc>
        <w:tc>
          <w:tcPr>
            <w:tcW w:w="2314" w:type="dxa"/>
            <w:tcBorders>
              <w:top w:val="single" w:sz="4" w:space="0" w:color="auto"/>
              <w:left w:val="nil"/>
              <w:bottom w:val="single" w:sz="4" w:space="0" w:color="auto"/>
              <w:right w:val="single" w:sz="4" w:space="0" w:color="auto"/>
            </w:tcBorders>
            <w:shd w:val="clear" w:color="auto" w:fill="auto"/>
            <w:vAlign w:val="center"/>
            <w:hideMark/>
          </w:tcPr>
          <w:p w14:paraId="0EA765B4" w14:textId="77777777" w:rsidR="00EB7F85" w:rsidRPr="00E53DB3" w:rsidRDefault="00EB7F85" w:rsidP="00282204">
            <w:pPr>
              <w:spacing w:after="0" w:line="240" w:lineRule="auto"/>
              <w:jc w:val="center"/>
              <w:rPr>
                <w:rFonts w:eastAsia="Times New Roman" w:cstheme="minorHAnsi"/>
                <w:color w:val="222222"/>
              </w:rPr>
            </w:pPr>
            <w:r w:rsidRPr="00E53DB3">
              <w:rPr>
                <w:rFonts w:eastAsia="Times New Roman" w:cstheme="minorHAnsi"/>
                <w:color w:val="222222"/>
                <w:lang w:val="en-GB"/>
              </w:rPr>
              <w:t>Target population (Qualitative and quantitative samples are the same and overlap)</w:t>
            </w:r>
          </w:p>
        </w:tc>
        <w:tc>
          <w:tcPr>
            <w:tcW w:w="2037" w:type="dxa"/>
            <w:tcBorders>
              <w:top w:val="single" w:sz="4" w:space="0" w:color="auto"/>
              <w:left w:val="nil"/>
              <w:bottom w:val="single" w:sz="4" w:space="0" w:color="auto"/>
              <w:right w:val="single" w:sz="4" w:space="0" w:color="auto"/>
            </w:tcBorders>
            <w:shd w:val="clear" w:color="auto" w:fill="auto"/>
            <w:vAlign w:val="center"/>
            <w:hideMark/>
          </w:tcPr>
          <w:p w14:paraId="46F571F2" w14:textId="77777777" w:rsidR="00EB7F85" w:rsidRPr="00E53DB3" w:rsidRDefault="00EB7F85" w:rsidP="00282204">
            <w:pPr>
              <w:spacing w:after="0" w:line="240" w:lineRule="auto"/>
              <w:jc w:val="center"/>
              <w:rPr>
                <w:rFonts w:eastAsia="Times New Roman" w:cstheme="minorHAnsi"/>
                <w:color w:val="222222"/>
              </w:rPr>
            </w:pPr>
            <w:r w:rsidRPr="00E53DB3">
              <w:rPr>
                <w:rFonts w:eastAsia="Times New Roman" w:cstheme="minorHAnsi"/>
                <w:color w:val="222222"/>
                <w:lang w:val="en-GB"/>
              </w:rPr>
              <w:t>Data analysi</w:t>
            </w:r>
            <w:r>
              <w:rPr>
                <w:rFonts w:eastAsia="Times New Roman" w:cstheme="minorHAnsi"/>
                <w:color w:val="222222"/>
                <w:lang w:val="en-GB"/>
              </w:rPr>
              <w:t>s</w:t>
            </w:r>
          </w:p>
        </w:tc>
        <w:tc>
          <w:tcPr>
            <w:tcW w:w="2314" w:type="dxa"/>
            <w:tcBorders>
              <w:top w:val="single" w:sz="4" w:space="0" w:color="auto"/>
              <w:left w:val="nil"/>
              <w:bottom w:val="single" w:sz="4" w:space="0" w:color="auto"/>
              <w:right w:val="single" w:sz="4" w:space="0" w:color="auto"/>
            </w:tcBorders>
            <w:shd w:val="clear" w:color="auto" w:fill="auto"/>
            <w:vAlign w:val="center"/>
            <w:hideMark/>
          </w:tcPr>
          <w:p w14:paraId="51213CA9" w14:textId="77777777" w:rsidR="00EB7F85" w:rsidRPr="00E53DB3" w:rsidRDefault="00EB7F85" w:rsidP="00282204">
            <w:pPr>
              <w:spacing w:after="0" w:line="240" w:lineRule="auto"/>
              <w:jc w:val="center"/>
              <w:rPr>
                <w:rFonts w:eastAsia="Times New Roman" w:cstheme="minorHAnsi"/>
                <w:color w:val="222222"/>
              </w:rPr>
            </w:pPr>
            <w:r w:rsidRPr="00E53DB3">
              <w:rPr>
                <w:rFonts w:eastAsia="Times New Roman" w:cstheme="minorHAnsi"/>
                <w:color w:val="222222"/>
              </w:rPr>
              <w:t>Interpretation</w:t>
            </w:r>
          </w:p>
        </w:tc>
        <w:tc>
          <w:tcPr>
            <w:tcW w:w="2679" w:type="dxa"/>
            <w:tcBorders>
              <w:top w:val="single" w:sz="4" w:space="0" w:color="auto"/>
              <w:left w:val="nil"/>
              <w:bottom w:val="single" w:sz="4" w:space="0" w:color="auto"/>
              <w:right w:val="single" w:sz="4" w:space="0" w:color="auto"/>
            </w:tcBorders>
            <w:shd w:val="clear" w:color="auto" w:fill="auto"/>
            <w:vAlign w:val="center"/>
            <w:hideMark/>
          </w:tcPr>
          <w:p w14:paraId="032100E1" w14:textId="77777777" w:rsidR="00EB7F85" w:rsidRPr="00E53DB3" w:rsidRDefault="00EB7F85" w:rsidP="00282204">
            <w:pPr>
              <w:spacing w:after="0" w:line="240" w:lineRule="auto"/>
              <w:jc w:val="center"/>
              <w:rPr>
                <w:rFonts w:eastAsia="Times New Roman" w:cstheme="minorHAnsi"/>
                <w:color w:val="222222"/>
              </w:rPr>
            </w:pPr>
            <w:r w:rsidRPr="00E53DB3">
              <w:rPr>
                <w:rFonts w:eastAsia="Times New Roman" w:cstheme="minorHAnsi"/>
                <w:color w:val="222222"/>
              </w:rPr>
              <w:t>Reporting</w:t>
            </w:r>
          </w:p>
        </w:tc>
      </w:tr>
      <w:tr w:rsidR="00EB7F85" w:rsidRPr="001045C5" w14:paraId="767CAFFC" w14:textId="77777777" w:rsidTr="00282204">
        <w:trPr>
          <w:trHeight w:val="975"/>
        </w:trPr>
        <w:tc>
          <w:tcPr>
            <w:tcW w:w="3425" w:type="dxa"/>
            <w:tcBorders>
              <w:top w:val="nil"/>
              <w:left w:val="single" w:sz="4" w:space="0" w:color="auto"/>
              <w:bottom w:val="single" w:sz="4" w:space="0" w:color="auto"/>
              <w:right w:val="single" w:sz="4" w:space="0" w:color="auto"/>
            </w:tcBorders>
            <w:shd w:val="clear" w:color="auto" w:fill="auto"/>
            <w:vAlign w:val="center"/>
            <w:hideMark/>
          </w:tcPr>
          <w:p w14:paraId="328BB9D6"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What is the perceived role of primary care pharmacists in Saudi Arabia in diabetes care?</w:t>
            </w:r>
          </w:p>
        </w:tc>
        <w:tc>
          <w:tcPr>
            <w:tcW w:w="1481" w:type="dxa"/>
            <w:tcBorders>
              <w:top w:val="nil"/>
              <w:left w:val="nil"/>
              <w:bottom w:val="single" w:sz="4" w:space="0" w:color="auto"/>
              <w:right w:val="single" w:sz="4" w:space="0" w:color="auto"/>
            </w:tcBorders>
            <w:shd w:val="clear" w:color="auto" w:fill="auto"/>
            <w:vAlign w:val="center"/>
            <w:hideMark/>
          </w:tcPr>
          <w:p w14:paraId="35650575"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Quantitative Survey</w:t>
            </w:r>
          </w:p>
        </w:tc>
        <w:tc>
          <w:tcPr>
            <w:tcW w:w="2314" w:type="dxa"/>
            <w:tcBorders>
              <w:top w:val="nil"/>
              <w:left w:val="nil"/>
              <w:bottom w:val="single" w:sz="4" w:space="0" w:color="auto"/>
              <w:right w:val="single" w:sz="4" w:space="0" w:color="auto"/>
            </w:tcBorders>
            <w:shd w:val="clear" w:color="auto" w:fill="auto"/>
            <w:vAlign w:val="center"/>
            <w:hideMark/>
          </w:tcPr>
          <w:p w14:paraId="7F8F349D"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HCPs (Pharmacists, doctors, nurses)</w:t>
            </w:r>
          </w:p>
        </w:tc>
        <w:tc>
          <w:tcPr>
            <w:tcW w:w="2037" w:type="dxa"/>
            <w:vMerge w:val="restart"/>
            <w:tcBorders>
              <w:top w:val="nil"/>
              <w:left w:val="nil"/>
              <w:right w:val="single" w:sz="4" w:space="0" w:color="auto"/>
            </w:tcBorders>
            <w:shd w:val="clear" w:color="auto" w:fill="auto"/>
            <w:hideMark/>
          </w:tcPr>
          <w:p w14:paraId="33E26671"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xml:space="preserve">Analysing the initial quantitative data and reporting the results that need further explanation or exploration, such as those that may be contrary to expectations, unusual, or surprising, to be addressed in the </w:t>
            </w:r>
            <w:r>
              <w:rPr>
                <w:rFonts w:eastAsia="Times New Roman" w:cstheme="minorHAnsi"/>
                <w:color w:val="000000"/>
              </w:rPr>
              <w:t>qualitative</w:t>
            </w:r>
            <w:r w:rsidRPr="00E53DB3">
              <w:rPr>
                <w:rFonts w:eastAsia="Times New Roman" w:cstheme="minorHAnsi"/>
                <w:color w:val="000000"/>
              </w:rPr>
              <w:t xml:space="preserve"> phase of the research.</w:t>
            </w:r>
          </w:p>
          <w:p w14:paraId="0F80DD30"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5DB22FA3"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17DA58B5"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2E89DF16"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7A4025D5" w14:textId="77777777" w:rsidR="00EB7F85" w:rsidRPr="00E53DB3"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tc>
        <w:tc>
          <w:tcPr>
            <w:tcW w:w="2314" w:type="dxa"/>
            <w:vMerge w:val="restart"/>
            <w:tcBorders>
              <w:top w:val="nil"/>
              <w:left w:val="nil"/>
              <w:right w:val="single" w:sz="4" w:space="0" w:color="auto"/>
            </w:tcBorders>
            <w:shd w:val="clear" w:color="auto" w:fill="auto"/>
            <w:hideMark/>
          </w:tcPr>
          <w:p w14:paraId="09F84A3A" w14:textId="77777777" w:rsidR="00EB7F85" w:rsidRPr="001045C5" w:rsidRDefault="00EB7F85" w:rsidP="00282204">
            <w:pPr>
              <w:spacing w:after="0" w:line="240" w:lineRule="auto"/>
              <w:rPr>
                <w:rFonts w:eastAsia="Times New Roman" w:cstheme="minorHAnsi"/>
                <w:color w:val="222222"/>
              </w:rPr>
            </w:pPr>
            <w:r w:rsidRPr="00E53DB3">
              <w:rPr>
                <w:rFonts w:eastAsia="Times New Roman" w:cstheme="minorHAnsi"/>
                <w:color w:val="222222"/>
              </w:rPr>
              <w:t>An explanation is offered for inconsistencies between the results from the analysis of qualitative and quantitative data.</w:t>
            </w:r>
          </w:p>
          <w:p w14:paraId="154451A3"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78FCA763"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0FAE849E"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35225A6B"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01F39D7B"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000000"/>
              </w:rPr>
              <w:t> </w:t>
            </w:r>
          </w:p>
        </w:tc>
        <w:tc>
          <w:tcPr>
            <w:tcW w:w="2679" w:type="dxa"/>
            <w:vMerge w:val="restart"/>
            <w:tcBorders>
              <w:top w:val="nil"/>
              <w:left w:val="nil"/>
              <w:right w:val="single" w:sz="4" w:space="0" w:color="auto"/>
            </w:tcBorders>
            <w:shd w:val="clear" w:color="auto" w:fill="auto"/>
            <w:hideMark/>
          </w:tcPr>
          <w:p w14:paraId="79ED2CA8" w14:textId="77777777" w:rsidR="00EB7F85" w:rsidRPr="001045C5" w:rsidRDefault="00EB7F85" w:rsidP="00282204">
            <w:pPr>
              <w:spacing w:after="0" w:line="240" w:lineRule="auto"/>
              <w:rPr>
                <w:rFonts w:eastAsia="Times New Roman" w:cstheme="minorHAnsi"/>
                <w:color w:val="222222"/>
              </w:rPr>
            </w:pPr>
            <w:r w:rsidRPr="00E53DB3">
              <w:rPr>
                <w:rFonts w:eastAsia="Times New Roman" w:cstheme="minorHAnsi"/>
                <w:color w:val="222222"/>
              </w:rPr>
              <w:t xml:space="preserve">Findings about the perceptions of </w:t>
            </w:r>
            <w:r w:rsidRPr="001045C5">
              <w:rPr>
                <w:rFonts w:eastAsia="Times New Roman" w:cstheme="minorHAnsi"/>
                <w:color w:val="222222"/>
              </w:rPr>
              <w:t>HCPs</w:t>
            </w:r>
            <w:r w:rsidRPr="00E53DB3">
              <w:rPr>
                <w:rFonts w:eastAsia="Times New Roman" w:cstheme="minorHAnsi"/>
                <w:color w:val="222222"/>
              </w:rPr>
              <w:t xml:space="preserve"> of the role of pharmacist involvement in diabetes primary care management in Saudi Arabia and associated facilitators and barriers to adding the pharmacist into the diabetes care team </w:t>
            </w:r>
            <w:r w:rsidRPr="001045C5">
              <w:rPr>
                <w:rFonts w:eastAsia="Times New Roman" w:cstheme="minorHAnsi"/>
                <w:color w:val="222222"/>
              </w:rPr>
              <w:t>were</w:t>
            </w:r>
            <w:r w:rsidRPr="00E53DB3">
              <w:rPr>
                <w:rFonts w:eastAsia="Times New Roman" w:cstheme="minorHAnsi"/>
                <w:color w:val="222222"/>
              </w:rPr>
              <w:t xml:space="preserve"> summarised and discussed as well as compared to and referenced with the literature. </w:t>
            </w:r>
          </w:p>
          <w:p w14:paraId="1AD712FC"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480011F5"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45BDB7A0"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1A3A43E1" w14:textId="77777777" w:rsidR="00EB7F85" w:rsidRPr="001045C5" w:rsidRDefault="00EB7F85" w:rsidP="00282204">
            <w:pPr>
              <w:spacing w:after="0" w:line="240" w:lineRule="auto"/>
              <w:rPr>
                <w:rFonts w:eastAsia="Times New Roman" w:cstheme="minorHAnsi"/>
                <w:color w:val="000000"/>
              </w:rPr>
            </w:pPr>
            <w:r w:rsidRPr="00E53DB3">
              <w:rPr>
                <w:rFonts w:eastAsia="Times New Roman" w:cstheme="minorHAnsi"/>
                <w:color w:val="000000"/>
              </w:rPr>
              <w:t> </w:t>
            </w:r>
          </w:p>
          <w:p w14:paraId="484ABE8B"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000000"/>
              </w:rPr>
              <w:t> </w:t>
            </w:r>
          </w:p>
        </w:tc>
      </w:tr>
      <w:tr w:rsidR="00EB7F85" w:rsidRPr="001045C5" w14:paraId="6B8ABECF" w14:textId="77777777" w:rsidTr="00282204">
        <w:trPr>
          <w:trHeight w:val="1007"/>
        </w:trPr>
        <w:tc>
          <w:tcPr>
            <w:tcW w:w="3425" w:type="dxa"/>
            <w:tcBorders>
              <w:top w:val="nil"/>
              <w:left w:val="single" w:sz="4" w:space="0" w:color="auto"/>
              <w:bottom w:val="single" w:sz="4" w:space="0" w:color="auto"/>
              <w:right w:val="single" w:sz="4" w:space="0" w:color="auto"/>
            </w:tcBorders>
            <w:shd w:val="clear" w:color="auto" w:fill="auto"/>
            <w:vAlign w:val="center"/>
            <w:hideMark/>
          </w:tcPr>
          <w:p w14:paraId="2878606B" w14:textId="77777777" w:rsidR="00EB7F85" w:rsidRPr="00E53DB3" w:rsidRDefault="00EB7F85" w:rsidP="00282204">
            <w:pPr>
              <w:spacing w:after="0" w:line="240" w:lineRule="auto"/>
              <w:jc w:val="both"/>
              <w:rPr>
                <w:rFonts w:eastAsia="Times New Roman" w:cstheme="minorHAnsi"/>
                <w:color w:val="000000"/>
              </w:rPr>
            </w:pPr>
            <w:r w:rsidRPr="00E53DB3">
              <w:rPr>
                <w:rFonts w:eastAsia="Times New Roman" w:cstheme="minorHAnsi"/>
                <w:color w:val="000000"/>
              </w:rPr>
              <w:t xml:space="preserve">‘how’ and ‘why’ of healthcare provider </w:t>
            </w:r>
            <w:r w:rsidRPr="00E53DB3">
              <w:rPr>
                <w:rFonts w:eastAsia="Times New Roman" w:cstheme="minorHAnsi"/>
                <w:color w:val="222222"/>
              </w:rPr>
              <w:t>perceived role of primary care pharmacists in Saudi Arabia in diabetes care</w:t>
            </w:r>
            <w:r w:rsidRPr="00E53DB3">
              <w:rPr>
                <w:rFonts w:eastAsia="Times New Roman" w:cstheme="minorHAnsi"/>
                <w:color w:val="000000"/>
              </w:rPr>
              <w:t xml:space="preserve">. </w:t>
            </w:r>
          </w:p>
        </w:tc>
        <w:tc>
          <w:tcPr>
            <w:tcW w:w="1481" w:type="dxa"/>
            <w:tcBorders>
              <w:top w:val="nil"/>
              <w:left w:val="nil"/>
              <w:bottom w:val="single" w:sz="4" w:space="0" w:color="auto"/>
              <w:right w:val="single" w:sz="4" w:space="0" w:color="auto"/>
            </w:tcBorders>
            <w:shd w:val="clear" w:color="auto" w:fill="auto"/>
            <w:vAlign w:val="center"/>
            <w:hideMark/>
          </w:tcPr>
          <w:p w14:paraId="2D17A4BE"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Qualitative Interviews</w:t>
            </w:r>
          </w:p>
        </w:tc>
        <w:tc>
          <w:tcPr>
            <w:tcW w:w="2314" w:type="dxa"/>
            <w:tcBorders>
              <w:top w:val="nil"/>
              <w:left w:val="nil"/>
              <w:bottom w:val="single" w:sz="4" w:space="0" w:color="auto"/>
              <w:right w:val="single" w:sz="4" w:space="0" w:color="auto"/>
            </w:tcBorders>
            <w:shd w:val="clear" w:color="auto" w:fill="auto"/>
            <w:vAlign w:val="center"/>
            <w:hideMark/>
          </w:tcPr>
          <w:p w14:paraId="7F17C584"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HCPs (Pharmacists, doctors, nurses)</w:t>
            </w:r>
          </w:p>
        </w:tc>
        <w:tc>
          <w:tcPr>
            <w:tcW w:w="2037" w:type="dxa"/>
            <w:vMerge/>
            <w:tcBorders>
              <w:left w:val="nil"/>
              <w:right w:val="single" w:sz="4" w:space="0" w:color="auto"/>
            </w:tcBorders>
            <w:shd w:val="clear" w:color="auto" w:fill="auto"/>
            <w:vAlign w:val="center"/>
            <w:hideMark/>
          </w:tcPr>
          <w:p w14:paraId="4E015782" w14:textId="77777777" w:rsidR="00EB7F85" w:rsidRPr="00E53DB3" w:rsidRDefault="00EB7F85" w:rsidP="00282204">
            <w:pPr>
              <w:spacing w:after="0" w:line="240" w:lineRule="auto"/>
              <w:rPr>
                <w:rFonts w:eastAsia="Times New Roman" w:cstheme="minorHAnsi"/>
                <w:color w:val="000000"/>
              </w:rPr>
            </w:pPr>
          </w:p>
        </w:tc>
        <w:tc>
          <w:tcPr>
            <w:tcW w:w="2314" w:type="dxa"/>
            <w:vMerge/>
            <w:tcBorders>
              <w:left w:val="nil"/>
              <w:right w:val="single" w:sz="4" w:space="0" w:color="auto"/>
            </w:tcBorders>
            <w:shd w:val="clear" w:color="auto" w:fill="auto"/>
            <w:noWrap/>
            <w:vAlign w:val="center"/>
            <w:hideMark/>
          </w:tcPr>
          <w:p w14:paraId="2486E820" w14:textId="77777777" w:rsidR="00EB7F85" w:rsidRPr="00E53DB3" w:rsidRDefault="00EB7F85" w:rsidP="00282204">
            <w:pPr>
              <w:spacing w:after="0" w:line="240" w:lineRule="auto"/>
              <w:rPr>
                <w:rFonts w:eastAsia="Times New Roman" w:cstheme="minorHAnsi"/>
                <w:color w:val="000000"/>
              </w:rPr>
            </w:pPr>
          </w:p>
        </w:tc>
        <w:tc>
          <w:tcPr>
            <w:tcW w:w="2679" w:type="dxa"/>
            <w:vMerge/>
            <w:tcBorders>
              <w:left w:val="nil"/>
              <w:right w:val="single" w:sz="4" w:space="0" w:color="auto"/>
            </w:tcBorders>
            <w:shd w:val="clear" w:color="auto" w:fill="auto"/>
            <w:noWrap/>
            <w:vAlign w:val="center"/>
            <w:hideMark/>
          </w:tcPr>
          <w:p w14:paraId="6683DB8E" w14:textId="77777777" w:rsidR="00EB7F85" w:rsidRPr="00E53DB3" w:rsidRDefault="00EB7F85" w:rsidP="00282204">
            <w:pPr>
              <w:spacing w:after="0" w:line="240" w:lineRule="auto"/>
              <w:rPr>
                <w:rFonts w:eastAsia="Times New Roman" w:cstheme="minorHAnsi"/>
                <w:color w:val="000000"/>
              </w:rPr>
            </w:pPr>
          </w:p>
        </w:tc>
      </w:tr>
      <w:tr w:rsidR="00EB7F85" w:rsidRPr="001045C5" w14:paraId="00D08066" w14:textId="77777777" w:rsidTr="00282204">
        <w:trPr>
          <w:trHeight w:val="1209"/>
        </w:trPr>
        <w:tc>
          <w:tcPr>
            <w:tcW w:w="3425" w:type="dxa"/>
            <w:tcBorders>
              <w:top w:val="nil"/>
              <w:left w:val="single" w:sz="4" w:space="0" w:color="auto"/>
              <w:bottom w:val="single" w:sz="4" w:space="0" w:color="auto"/>
              <w:right w:val="single" w:sz="4" w:space="0" w:color="auto"/>
            </w:tcBorders>
            <w:shd w:val="clear" w:color="auto" w:fill="auto"/>
            <w:vAlign w:val="center"/>
            <w:hideMark/>
          </w:tcPr>
          <w:p w14:paraId="44C6FE70"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What are the perceived barriers and facilitators to primary care pharmacists in Saudi Arabia being involved in diabetes care?</w:t>
            </w:r>
          </w:p>
        </w:tc>
        <w:tc>
          <w:tcPr>
            <w:tcW w:w="1481" w:type="dxa"/>
            <w:tcBorders>
              <w:top w:val="nil"/>
              <w:left w:val="nil"/>
              <w:bottom w:val="single" w:sz="4" w:space="0" w:color="auto"/>
              <w:right w:val="single" w:sz="4" w:space="0" w:color="auto"/>
            </w:tcBorders>
            <w:shd w:val="clear" w:color="auto" w:fill="auto"/>
            <w:vAlign w:val="center"/>
            <w:hideMark/>
          </w:tcPr>
          <w:p w14:paraId="211BF69E"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Quantitative Survey</w:t>
            </w:r>
          </w:p>
        </w:tc>
        <w:tc>
          <w:tcPr>
            <w:tcW w:w="2314" w:type="dxa"/>
            <w:tcBorders>
              <w:top w:val="nil"/>
              <w:left w:val="nil"/>
              <w:bottom w:val="single" w:sz="4" w:space="0" w:color="auto"/>
              <w:right w:val="single" w:sz="4" w:space="0" w:color="auto"/>
            </w:tcBorders>
            <w:shd w:val="clear" w:color="auto" w:fill="auto"/>
            <w:vAlign w:val="center"/>
            <w:hideMark/>
          </w:tcPr>
          <w:p w14:paraId="48D0BC67"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HCPs (Pharmacists, doctors, nurses)</w:t>
            </w:r>
          </w:p>
        </w:tc>
        <w:tc>
          <w:tcPr>
            <w:tcW w:w="2037" w:type="dxa"/>
            <w:vMerge/>
            <w:tcBorders>
              <w:left w:val="nil"/>
              <w:right w:val="single" w:sz="4" w:space="0" w:color="auto"/>
            </w:tcBorders>
            <w:shd w:val="clear" w:color="auto" w:fill="auto"/>
            <w:vAlign w:val="center"/>
            <w:hideMark/>
          </w:tcPr>
          <w:p w14:paraId="0AD88D51" w14:textId="77777777" w:rsidR="00EB7F85" w:rsidRPr="00E53DB3" w:rsidRDefault="00EB7F85" w:rsidP="00282204">
            <w:pPr>
              <w:spacing w:after="0" w:line="240" w:lineRule="auto"/>
              <w:rPr>
                <w:rFonts w:eastAsia="Times New Roman" w:cstheme="minorHAnsi"/>
                <w:color w:val="000000"/>
              </w:rPr>
            </w:pPr>
          </w:p>
        </w:tc>
        <w:tc>
          <w:tcPr>
            <w:tcW w:w="2314" w:type="dxa"/>
            <w:vMerge/>
            <w:tcBorders>
              <w:left w:val="nil"/>
              <w:right w:val="single" w:sz="4" w:space="0" w:color="auto"/>
            </w:tcBorders>
            <w:shd w:val="clear" w:color="auto" w:fill="auto"/>
            <w:noWrap/>
            <w:vAlign w:val="center"/>
            <w:hideMark/>
          </w:tcPr>
          <w:p w14:paraId="30B2245C" w14:textId="77777777" w:rsidR="00EB7F85" w:rsidRPr="00E53DB3" w:rsidRDefault="00EB7F85" w:rsidP="00282204">
            <w:pPr>
              <w:spacing w:after="0" w:line="240" w:lineRule="auto"/>
              <w:rPr>
                <w:rFonts w:eastAsia="Times New Roman" w:cstheme="minorHAnsi"/>
                <w:color w:val="000000"/>
              </w:rPr>
            </w:pPr>
          </w:p>
        </w:tc>
        <w:tc>
          <w:tcPr>
            <w:tcW w:w="2679" w:type="dxa"/>
            <w:vMerge/>
            <w:tcBorders>
              <w:left w:val="nil"/>
              <w:right w:val="single" w:sz="4" w:space="0" w:color="auto"/>
            </w:tcBorders>
            <w:shd w:val="clear" w:color="auto" w:fill="auto"/>
            <w:noWrap/>
            <w:vAlign w:val="center"/>
            <w:hideMark/>
          </w:tcPr>
          <w:p w14:paraId="3D299F49" w14:textId="77777777" w:rsidR="00EB7F85" w:rsidRPr="00E53DB3" w:rsidRDefault="00EB7F85" w:rsidP="00282204">
            <w:pPr>
              <w:spacing w:after="0" w:line="240" w:lineRule="auto"/>
              <w:rPr>
                <w:rFonts w:eastAsia="Times New Roman" w:cstheme="minorHAnsi"/>
                <w:color w:val="000000"/>
              </w:rPr>
            </w:pPr>
          </w:p>
        </w:tc>
      </w:tr>
      <w:tr w:rsidR="00EB7F85" w:rsidRPr="001045C5" w14:paraId="6D3405B6" w14:textId="77777777" w:rsidTr="00282204">
        <w:trPr>
          <w:trHeight w:val="1216"/>
        </w:trPr>
        <w:tc>
          <w:tcPr>
            <w:tcW w:w="3425" w:type="dxa"/>
            <w:tcBorders>
              <w:top w:val="nil"/>
              <w:left w:val="single" w:sz="4" w:space="0" w:color="auto"/>
              <w:bottom w:val="single" w:sz="4" w:space="0" w:color="auto"/>
              <w:right w:val="single" w:sz="4" w:space="0" w:color="auto"/>
            </w:tcBorders>
            <w:shd w:val="clear" w:color="auto" w:fill="auto"/>
            <w:vAlign w:val="center"/>
            <w:hideMark/>
          </w:tcPr>
          <w:p w14:paraId="59DA8A77" w14:textId="77777777" w:rsidR="00EB7F85" w:rsidRPr="00E53DB3" w:rsidRDefault="00EB7F85" w:rsidP="00282204">
            <w:pPr>
              <w:spacing w:after="0" w:line="240" w:lineRule="auto"/>
              <w:rPr>
                <w:rFonts w:eastAsia="Times New Roman" w:cstheme="minorHAnsi"/>
                <w:color w:val="000000"/>
              </w:rPr>
            </w:pPr>
            <w:r w:rsidRPr="00E53DB3">
              <w:rPr>
                <w:rFonts w:eastAsia="Times New Roman" w:cstheme="minorHAnsi"/>
                <w:color w:val="000000"/>
              </w:rPr>
              <w:t xml:space="preserve">‘how’ and ‘why’ of healthcare provider </w:t>
            </w:r>
            <w:r w:rsidRPr="00E53DB3">
              <w:rPr>
                <w:rFonts w:eastAsia="Times New Roman" w:cstheme="minorHAnsi"/>
                <w:color w:val="222222"/>
              </w:rPr>
              <w:t xml:space="preserve">perceived barriers and facilitators to primary care pharmacists in Saudi Arabia being involved in diabetes care </w:t>
            </w:r>
          </w:p>
        </w:tc>
        <w:tc>
          <w:tcPr>
            <w:tcW w:w="1481" w:type="dxa"/>
            <w:tcBorders>
              <w:top w:val="nil"/>
              <w:left w:val="nil"/>
              <w:bottom w:val="single" w:sz="4" w:space="0" w:color="auto"/>
              <w:right w:val="single" w:sz="4" w:space="0" w:color="auto"/>
            </w:tcBorders>
            <w:shd w:val="clear" w:color="auto" w:fill="auto"/>
            <w:vAlign w:val="center"/>
            <w:hideMark/>
          </w:tcPr>
          <w:p w14:paraId="2FFEE707"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Qualitative Interviews</w:t>
            </w:r>
          </w:p>
        </w:tc>
        <w:tc>
          <w:tcPr>
            <w:tcW w:w="2314" w:type="dxa"/>
            <w:tcBorders>
              <w:top w:val="nil"/>
              <w:left w:val="nil"/>
              <w:bottom w:val="single" w:sz="4" w:space="0" w:color="auto"/>
              <w:right w:val="single" w:sz="4" w:space="0" w:color="auto"/>
            </w:tcBorders>
            <w:shd w:val="clear" w:color="auto" w:fill="auto"/>
            <w:vAlign w:val="center"/>
            <w:hideMark/>
          </w:tcPr>
          <w:p w14:paraId="60F1B6C8"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HCPs (Pharmacists, doctors, nurses)</w:t>
            </w:r>
          </w:p>
        </w:tc>
        <w:tc>
          <w:tcPr>
            <w:tcW w:w="2037" w:type="dxa"/>
            <w:vMerge/>
            <w:tcBorders>
              <w:left w:val="nil"/>
              <w:right w:val="single" w:sz="4" w:space="0" w:color="auto"/>
            </w:tcBorders>
            <w:shd w:val="clear" w:color="auto" w:fill="auto"/>
            <w:vAlign w:val="center"/>
            <w:hideMark/>
          </w:tcPr>
          <w:p w14:paraId="33FDFC2F" w14:textId="77777777" w:rsidR="00EB7F85" w:rsidRPr="00E53DB3" w:rsidRDefault="00EB7F85" w:rsidP="00282204">
            <w:pPr>
              <w:spacing w:after="0" w:line="240" w:lineRule="auto"/>
              <w:rPr>
                <w:rFonts w:eastAsia="Times New Roman" w:cstheme="minorHAnsi"/>
                <w:color w:val="000000"/>
              </w:rPr>
            </w:pPr>
          </w:p>
        </w:tc>
        <w:tc>
          <w:tcPr>
            <w:tcW w:w="2314" w:type="dxa"/>
            <w:vMerge/>
            <w:tcBorders>
              <w:left w:val="nil"/>
              <w:right w:val="single" w:sz="4" w:space="0" w:color="auto"/>
            </w:tcBorders>
            <w:shd w:val="clear" w:color="auto" w:fill="auto"/>
            <w:noWrap/>
            <w:vAlign w:val="center"/>
            <w:hideMark/>
          </w:tcPr>
          <w:p w14:paraId="31C075A3" w14:textId="77777777" w:rsidR="00EB7F85" w:rsidRPr="00E53DB3" w:rsidRDefault="00EB7F85" w:rsidP="00282204">
            <w:pPr>
              <w:spacing w:after="0" w:line="240" w:lineRule="auto"/>
              <w:rPr>
                <w:rFonts w:eastAsia="Times New Roman" w:cstheme="minorHAnsi"/>
                <w:color w:val="000000"/>
              </w:rPr>
            </w:pPr>
          </w:p>
        </w:tc>
        <w:tc>
          <w:tcPr>
            <w:tcW w:w="2679" w:type="dxa"/>
            <w:vMerge/>
            <w:tcBorders>
              <w:left w:val="nil"/>
              <w:right w:val="single" w:sz="4" w:space="0" w:color="auto"/>
            </w:tcBorders>
            <w:shd w:val="clear" w:color="auto" w:fill="auto"/>
            <w:noWrap/>
            <w:vAlign w:val="center"/>
            <w:hideMark/>
          </w:tcPr>
          <w:p w14:paraId="3F6DAA88" w14:textId="77777777" w:rsidR="00EB7F85" w:rsidRPr="00E53DB3" w:rsidRDefault="00EB7F85" w:rsidP="00282204">
            <w:pPr>
              <w:spacing w:after="0" w:line="240" w:lineRule="auto"/>
              <w:rPr>
                <w:rFonts w:eastAsia="Times New Roman" w:cstheme="minorHAnsi"/>
                <w:color w:val="000000"/>
              </w:rPr>
            </w:pPr>
          </w:p>
        </w:tc>
      </w:tr>
      <w:tr w:rsidR="00EB7F85" w:rsidRPr="001045C5" w14:paraId="01CCD32A" w14:textId="77777777" w:rsidTr="00282204">
        <w:trPr>
          <w:trHeight w:val="915"/>
        </w:trPr>
        <w:tc>
          <w:tcPr>
            <w:tcW w:w="3425" w:type="dxa"/>
            <w:tcBorders>
              <w:top w:val="nil"/>
              <w:left w:val="single" w:sz="4" w:space="0" w:color="auto"/>
              <w:bottom w:val="single" w:sz="4" w:space="0" w:color="auto"/>
              <w:right w:val="single" w:sz="4" w:space="0" w:color="auto"/>
            </w:tcBorders>
            <w:shd w:val="clear" w:color="auto" w:fill="auto"/>
            <w:vAlign w:val="center"/>
            <w:hideMark/>
          </w:tcPr>
          <w:p w14:paraId="7FCBFCF1" w14:textId="1E9005E2"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What current activities</w:t>
            </w:r>
            <w:r w:rsidR="002F3C1E">
              <w:rPr>
                <w:rFonts w:eastAsia="Times New Roman" w:cstheme="minorHAnsi"/>
                <w:color w:val="222222"/>
                <w:lang w:val="en-GB"/>
              </w:rPr>
              <w:t>, roles and invo</w:t>
            </w:r>
            <w:r w:rsidR="00A56245">
              <w:rPr>
                <w:rFonts w:eastAsia="Times New Roman" w:cstheme="minorHAnsi"/>
                <w:color w:val="222222"/>
                <w:lang w:val="en-GB"/>
              </w:rPr>
              <w:t>lvement,</w:t>
            </w:r>
            <w:r w:rsidRPr="00E53DB3">
              <w:rPr>
                <w:rFonts w:eastAsia="Times New Roman" w:cstheme="minorHAnsi"/>
                <w:color w:val="222222"/>
                <w:lang w:val="en-GB"/>
              </w:rPr>
              <w:t xml:space="preserve"> are pharmacists in </w:t>
            </w:r>
            <w:r>
              <w:rPr>
                <w:rFonts w:eastAsia="Times New Roman" w:cstheme="minorHAnsi"/>
                <w:color w:val="222222"/>
                <w:lang w:val="en-GB"/>
              </w:rPr>
              <w:t>Saudi Arabia</w:t>
            </w:r>
            <w:r w:rsidRPr="00E53DB3">
              <w:rPr>
                <w:rFonts w:eastAsia="Times New Roman" w:cstheme="minorHAnsi"/>
                <w:color w:val="222222"/>
                <w:lang w:val="en-GB"/>
              </w:rPr>
              <w:t xml:space="preserve"> providing for diabetes care?</w:t>
            </w:r>
          </w:p>
        </w:tc>
        <w:tc>
          <w:tcPr>
            <w:tcW w:w="1481" w:type="dxa"/>
            <w:tcBorders>
              <w:top w:val="nil"/>
              <w:left w:val="nil"/>
              <w:bottom w:val="single" w:sz="4" w:space="0" w:color="auto"/>
              <w:right w:val="single" w:sz="4" w:space="0" w:color="auto"/>
            </w:tcBorders>
            <w:shd w:val="clear" w:color="auto" w:fill="auto"/>
            <w:vAlign w:val="center"/>
            <w:hideMark/>
          </w:tcPr>
          <w:p w14:paraId="4FB3A40F"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Quantitative Survey</w:t>
            </w:r>
          </w:p>
        </w:tc>
        <w:tc>
          <w:tcPr>
            <w:tcW w:w="2314" w:type="dxa"/>
            <w:tcBorders>
              <w:top w:val="nil"/>
              <w:left w:val="nil"/>
              <w:bottom w:val="single" w:sz="4" w:space="0" w:color="auto"/>
              <w:right w:val="single" w:sz="4" w:space="0" w:color="auto"/>
            </w:tcBorders>
            <w:shd w:val="clear" w:color="auto" w:fill="auto"/>
            <w:vAlign w:val="center"/>
            <w:hideMark/>
          </w:tcPr>
          <w:p w14:paraId="39A9ACB1"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 xml:space="preserve">Pharmacists </w:t>
            </w:r>
          </w:p>
        </w:tc>
        <w:tc>
          <w:tcPr>
            <w:tcW w:w="2037" w:type="dxa"/>
            <w:vMerge/>
            <w:tcBorders>
              <w:left w:val="nil"/>
              <w:right w:val="single" w:sz="4" w:space="0" w:color="auto"/>
            </w:tcBorders>
            <w:shd w:val="clear" w:color="auto" w:fill="auto"/>
            <w:vAlign w:val="center"/>
            <w:hideMark/>
          </w:tcPr>
          <w:p w14:paraId="3D52C297" w14:textId="77777777" w:rsidR="00EB7F85" w:rsidRPr="00E53DB3" w:rsidRDefault="00EB7F85" w:rsidP="00282204">
            <w:pPr>
              <w:spacing w:after="0" w:line="240" w:lineRule="auto"/>
              <w:rPr>
                <w:rFonts w:eastAsia="Times New Roman" w:cstheme="minorHAnsi"/>
                <w:color w:val="000000"/>
              </w:rPr>
            </w:pPr>
          </w:p>
        </w:tc>
        <w:tc>
          <w:tcPr>
            <w:tcW w:w="2314" w:type="dxa"/>
            <w:vMerge/>
            <w:tcBorders>
              <w:left w:val="nil"/>
              <w:right w:val="single" w:sz="4" w:space="0" w:color="auto"/>
            </w:tcBorders>
            <w:shd w:val="clear" w:color="auto" w:fill="auto"/>
            <w:noWrap/>
            <w:vAlign w:val="center"/>
            <w:hideMark/>
          </w:tcPr>
          <w:p w14:paraId="2AFFEEDA" w14:textId="77777777" w:rsidR="00EB7F85" w:rsidRPr="00E53DB3" w:rsidRDefault="00EB7F85" w:rsidP="00282204">
            <w:pPr>
              <w:spacing w:after="0" w:line="240" w:lineRule="auto"/>
              <w:rPr>
                <w:rFonts w:eastAsia="Times New Roman" w:cstheme="minorHAnsi"/>
                <w:color w:val="000000"/>
              </w:rPr>
            </w:pPr>
          </w:p>
        </w:tc>
        <w:tc>
          <w:tcPr>
            <w:tcW w:w="2679" w:type="dxa"/>
            <w:vMerge/>
            <w:tcBorders>
              <w:left w:val="nil"/>
              <w:right w:val="single" w:sz="4" w:space="0" w:color="auto"/>
            </w:tcBorders>
            <w:shd w:val="clear" w:color="auto" w:fill="auto"/>
            <w:noWrap/>
            <w:vAlign w:val="center"/>
            <w:hideMark/>
          </w:tcPr>
          <w:p w14:paraId="377AEC6D" w14:textId="77777777" w:rsidR="00EB7F85" w:rsidRPr="00E53DB3" w:rsidRDefault="00EB7F85" w:rsidP="00282204">
            <w:pPr>
              <w:spacing w:after="0" w:line="240" w:lineRule="auto"/>
              <w:rPr>
                <w:rFonts w:eastAsia="Times New Roman" w:cstheme="minorHAnsi"/>
                <w:color w:val="000000"/>
              </w:rPr>
            </w:pPr>
          </w:p>
        </w:tc>
      </w:tr>
      <w:tr w:rsidR="00EB7F85" w:rsidRPr="001045C5" w14:paraId="577278CA" w14:textId="77777777" w:rsidTr="00282204">
        <w:trPr>
          <w:trHeight w:val="864"/>
        </w:trPr>
        <w:tc>
          <w:tcPr>
            <w:tcW w:w="3425" w:type="dxa"/>
            <w:tcBorders>
              <w:top w:val="nil"/>
              <w:left w:val="single" w:sz="4" w:space="0" w:color="auto"/>
              <w:bottom w:val="single" w:sz="4" w:space="0" w:color="auto"/>
              <w:right w:val="single" w:sz="4" w:space="0" w:color="auto"/>
            </w:tcBorders>
            <w:shd w:val="clear" w:color="auto" w:fill="auto"/>
            <w:vAlign w:val="center"/>
            <w:hideMark/>
          </w:tcPr>
          <w:p w14:paraId="29CDA343" w14:textId="30A164D4"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How current activities</w:t>
            </w:r>
            <w:r w:rsidR="00A56245">
              <w:rPr>
                <w:rFonts w:eastAsia="Times New Roman" w:cstheme="minorHAnsi"/>
                <w:color w:val="222222"/>
                <w:lang w:val="en-GB"/>
              </w:rPr>
              <w:t xml:space="preserve">, roles and </w:t>
            </w:r>
            <w:r w:rsidR="006427A8">
              <w:rPr>
                <w:rFonts w:eastAsia="Times New Roman" w:cstheme="minorHAnsi"/>
                <w:color w:val="222222"/>
                <w:lang w:val="en-GB"/>
              </w:rPr>
              <w:t>involvement</w:t>
            </w:r>
            <w:r w:rsidR="006427A8" w:rsidRPr="00E53DB3">
              <w:rPr>
                <w:rFonts w:eastAsia="Times New Roman" w:cstheme="minorHAnsi"/>
                <w:color w:val="222222"/>
                <w:lang w:val="en-GB"/>
              </w:rPr>
              <w:t xml:space="preserve"> are</w:t>
            </w:r>
            <w:r w:rsidRPr="00E53DB3">
              <w:rPr>
                <w:rFonts w:eastAsia="Times New Roman" w:cstheme="minorHAnsi"/>
                <w:color w:val="222222"/>
                <w:lang w:val="en-GB"/>
              </w:rPr>
              <w:t xml:space="preserve"> pharmacists in </w:t>
            </w:r>
            <w:r>
              <w:rPr>
                <w:rFonts w:eastAsia="Times New Roman" w:cstheme="minorHAnsi"/>
                <w:color w:val="222222"/>
                <w:lang w:val="en-GB"/>
              </w:rPr>
              <w:t>Saudi Arabia</w:t>
            </w:r>
            <w:r w:rsidRPr="00E53DB3">
              <w:rPr>
                <w:rFonts w:eastAsia="Times New Roman" w:cstheme="minorHAnsi"/>
                <w:color w:val="222222"/>
                <w:lang w:val="en-GB"/>
              </w:rPr>
              <w:t xml:space="preserve"> providing for diabetes care?</w:t>
            </w:r>
          </w:p>
        </w:tc>
        <w:tc>
          <w:tcPr>
            <w:tcW w:w="1481" w:type="dxa"/>
            <w:tcBorders>
              <w:top w:val="nil"/>
              <w:left w:val="nil"/>
              <w:bottom w:val="single" w:sz="4" w:space="0" w:color="auto"/>
              <w:right w:val="single" w:sz="4" w:space="0" w:color="auto"/>
            </w:tcBorders>
            <w:shd w:val="clear" w:color="auto" w:fill="auto"/>
            <w:vAlign w:val="center"/>
            <w:hideMark/>
          </w:tcPr>
          <w:p w14:paraId="50FD133D"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Qualitative Interviews</w:t>
            </w:r>
          </w:p>
        </w:tc>
        <w:tc>
          <w:tcPr>
            <w:tcW w:w="2314" w:type="dxa"/>
            <w:tcBorders>
              <w:top w:val="nil"/>
              <w:left w:val="nil"/>
              <w:bottom w:val="single" w:sz="4" w:space="0" w:color="auto"/>
              <w:right w:val="single" w:sz="4" w:space="0" w:color="auto"/>
            </w:tcBorders>
            <w:shd w:val="clear" w:color="auto" w:fill="auto"/>
            <w:vAlign w:val="center"/>
            <w:hideMark/>
          </w:tcPr>
          <w:p w14:paraId="17D7EA19" w14:textId="77777777" w:rsidR="00EB7F85" w:rsidRPr="00E53DB3" w:rsidRDefault="00EB7F85" w:rsidP="00282204">
            <w:pPr>
              <w:spacing w:after="0" w:line="240" w:lineRule="auto"/>
              <w:rPr>
                <w:rFonts w:eastAsia="Times New Roman" w:cstheme="minorHAnsi"/>
                <w:color w:val="222222"/>
              </w:rPr>
            </w:pPr>
            <w:r w:rsidRPr="00E53DB3">
              <w:rPr>
                <w:rFonts w:eastAsia="Times New Roman" w:cstheme="minorHAnsi"/>
                <w:color w:val="222222"/>
                <w:lang w:val="en-GB"/>
              </w:rPr>
              <w:t>Pharmacists</w:t>
            </w:r>
          </w:p>
        </w:tc>
        <w:tc>
          <w:tcPr>
            <w:tcW w:w="2037" w:type="dxa"/>
            <w:vMerge/>
            <w:tcBorders>
              <w:left w:val="nil"/>
              <w:bottom w:val="single" w:sz="4" w:space="0" w:color="auto"/>
              <w:right w:val="single" w:sz="4" w:space="0" w:color="auto"/>
            </w:tcBorders>
            <w:shd w:val="clear" w:color="auto" w:fill="auto"/>
            <w:vAlign w:val="center"/>
            <w:hideMark/>
          </w:tcPr>
          <w:p w14:paraId="513C79E1" w14:textId="77777777" w:rsidR="00EB7F85" w:rsidRPr="00E53DB3" w:rsidRDefault="00EB7F85" w:rsidP="00282204">
            <w:pPr>
              <w:spacing w:after="0" w:line="240" w:lineRule="auto"/>
              <w:rPr>
                <w:rFonts w:eastAsia="Times New Roman" w:cstheme="minorHAnsi"/>
                <w:color w:val="000000"/>
              </w:rPr>
            </w:pPr>
          </w:p>
        </w:tc>
        <w:tc>
          <w:tcPr>
            <w:tcW w:w="2314" w:type="dxa"/>
            <w:vMerge/>
            <w:tcBorders>
              <w:left w:val="nil"/>
              <w:bottom w:val="single" w:sz="4" w:space="0" w:color="auto"/>
              <w:right w:val="single" w:sz="4" w:space="0" w:color="auto"/>
            </w:tcBorders>
            <w:shd w:val="clear" w:color="auto" w:fill="auto"/>
            <w:noWrap/>
            <w:vAlign w:val="center"/>
            <w:hideMark/>
          </w:tcPr>
          <w:p w14:paraId="181C7A71" w14:textId="77777777" w:rsidR="00EB7F85" w:rsidRPr="00E53DB3" w:rsidRDefault="00EB7F85" w:rsidP="00282204">
            <w:pPr>
              <w:spacing w:after="0" w:line="240" w:lineRule="auto"/>
              <w:rPr>
                <w:rFonts w:eastAsia="Times New Roman" w:cstheme="minorHAnsi"/>
                <w:color w:val="000000"/>
              </w:rPr>
            </w:pPr>
          </w:p>
        </w:tc>
        <w:tc>
          <w:tcPr>
            <w:tcW w:w="2679" w:type="dxa"/>
            <w:vMerge/>
            <w:tcBorders>
              <w:left w:val="nil"/>
              <w:bottom w:val="single" w:sz="4" w:space="0" w:color="auto"/>
              <w:right w:val="single" w:sz="4" w:space="0" w:color="auto"/>
            </w:tcBorders>
            <w:shd w:val="clear" w:color="auto" w:fill="auto"/>
            <w:noWrap/>
            <w:vAlign w:val="center"/>
            <w:hideMark/>
          </w:tcPr>
          <w:p w14:paraId="17920264" w14:textId="77777777" w:rsidR="00EB7F85" w:rsidRPr="00E53DB3" w:rsidRDefault="00EB7F85" w:rsidP="00282204">
            <w:pPr>
              <w:spacing w:after="0" w:line="240" w:lineRule="auto"/>
              <w:rPr>
                <w:rFonts w:eastAsia="Times New Roman" w:cstheme="minorHAnsi"/>
                <w:color w:val="000000"/>
              </w:rPr>
            </w:pPr>
          </w:p>
        </w:tc>
      </w:tr>
    </w:tbl>
    <w:p w14:paraId="5D90BBA4" w14:textId="77777777" w:rsidR="00EB7F85" w:rsidRDefault="00EB7F85" w:rsidP="00EB7F85">
      <w:pPr>
        <w:spacing w:line="360" w:lineRule="auto"/>
        <w:rPr>
          <w:rFonts w:ascii="Arial" w:hAnsi="Arial" w:cs="Arial"/>
          <w:sz w:val="24"/>
          <w:szCs w:val="24"/>
        </w:rPr>
        <w:sectPr w:rsidR="00EB7F85" w:rsidSect="00282204">
          <w:pgSz w:w="15840" w:h="12240" w:orient="landscape"/>
          <w:pgMar w:top="1440" w:right="1440" w:bottom="1440" w:left="1440" w:header="720" w:footer="720" w:gutter="0"/>
          <w:cols w:space="720"/>
          <w:docGrid w:linePitch="360"/>
        </w:sectPr>
      </w:pPr>
    </w:p>
    <w:p w14:paraId="147B6FC0" w14:textId="77777777" w:rsidR="00EB7F85" w:rsidRPr="00595AB4" w:rsidRDefault="00EB7F85" w:rsidP="00595AB4">
      <w:pPr>
        <w:pStyle w:val="Heading4"/>
        <w:numPr>
          <w:ilvl w:val="3"/>
          <w:numId w:val="14"/>
        </w:numPr>
        <w:tabs>
          <w:tab w:val="left" w:pos="810"/>
          <w:tab w:val="left" w:pos="990"/>
        </w:tabs>
        <w:spacing w:line="360" w:lineRule="auto"/>
        <w:ind w:left="360" w:hanging="360"/>
        <w:rPr>
          <w:rFonts w:asciiTheme="minorBidi" w:hAnsiTheme="minorBidi" w:cstheme="minorBidi"/>
          <w:sz w:val="24"/>
          <w:szCs w:val="24"/>
        </w:rPr>
      </w:pPr>
      <w:bookmarkStart w:id="136" w:name="_Ref122710724"/>
      <w:r w:rsidRPr="00595AB4">
        <w:rPr>
          <w:rFonts w:asciiTheme="minorBidi" w:hAnsiTheme="minorBidi" w:cstheme="minorBidi"/>
          <w:sz w:val="24"/>
          <w:szCs w:val="24"/>
        </w:rPr>
        <w:t>Explanatory sequential design data analysis and interpretation</w:t>
      </w:r>
      <w:bookmarkEnd w:id="136"/>
      <w:r w:rsidRPr="00595AB4">
        <w:rPr>
          <w:rFonts w:asciiTheme="minorBidi" w:hAnsiTheme="minorBidi" w:cstheme="minorBidi"/>
          <w:sz w:val="24"/>
          <w:szCs w:val="24"/>
        </w:rPr>
        <w:t xml:space="preserve">  </w:t>
      </w:r>
    </w:p>
    <w:p w14:paraId="5E7AE52D" w14:textId="77777777" w:rsidR="00EB7F85" w:rsidRPr="006B2FC7" w:rsidRDefault="00EB7F85" w:rsidP="00EB7F85">
      <w:pPr>
        <w:spacing w:line="360" w:lineRule="auto"/>
        <w:jc w:val="both"/>
        <w:rPr>
          <w:rFonts w:ascii="Arial" w:hAnsi="Arial" w:cs="Arial"/>
          <w:color w:val="000000"/>
          <w:sz w:val="24"/>
          <w:szCs w:val="24"/>
          <w:shd w:val="clear" w:color="auto" w:fill="FFFFFF"/>
          <w:lang w:val="en-GB"/>
        </w:rPr>
      </w:pPr>
      <w:r w:rsidRPr="006B2FC7">
        <w:rPr>
          <w:rFonts w:ascii="Arial" w:hAnsi="Arial" w:cs="Arial"/>
          <w:color w:val="000000"/>
          <w:sz w:val="24"/>
          <w:szCs w:val="24"/>
          <w:shd w:val="clear" w:color="auto" w:fill="FFFFFF"/>
          <w:lang w:val="en-GB"/>
        </w:rPr>
        <w:t xml:space="preserve">The connection between the quantitative and qualitative phases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employed via integration of data. The procedure for conducting integrative data analysis occur</w:t>
      </w:r>
      <w:r>
        <w:rPr>
          <w:rFonts w:ascii="Arial" w:hAnsi="Arial" w:cs="Arial"/>
          <w:color w:val="000000"/>
          <w:sz w:val="24"/>
          <w:szCs w:val="24"/>
          <w:shd w:val="clear" w:color="auto" w:fill="FFFFFF"/>
          <w:lang w:val="en-GB"/>
        </w:rPr>
        <w:t>red</w:t>
      </w:r>
      <w:r w:rsidRPr="006B2FC7">
        <w:rPr>
          <w:rFonts w:ascii="Arial" w:hAnsi="Arial" w:cs="Arial"/>
          <w:color w:val="000000"/>
          <w:sz w:val="24"/>
          <w:szCs w:val="24"/>
          <w:shd w:val="clear" w:color="auto" w:fill="FFFFFF"/>
          <w:lang w:val="en-GB"/>
        </w:rPr>
        <w:t xml:space="preserve"> in the following steps: analysing the initial quantitative data, reporting the results that need further explanation or exploration, such as those that may be contrary to expectations, unusual, or surprising, and determining the purposeful sample, where the selected participants can provide the best explanation of those specific results. A substantial connection between those two phases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appear</w:t>
      </w:r>
      <w:r>
        <w:rPr>
          <w:rFonts w:ascii="Arial" w:hAnsi="Arial" w:cs="Arial"/>
          <w:color w:val="000000"/>
          <w:sz w:val="24"/>
          <w:szCs w:val="24"/>
          <w:shd w:val="clear" w:color="auto" w:fill="FFFFFF"/>
          <w:lang w:val="en-GB"/>
        </w:rPr>
        <w:t>ed</w:t>
      </w:r>
      <w:r w:rsidRPr="006B2FC7">
        <w:rPr>
          <w:rFonts w:ascii="Arial" w:hAnsi="Arial" w:cs="Arial"/>
          <w:color w:val="000000"/>
          <w:sz w:val="24"/>
          <w:szCs w:val="24"/>
          <w:shd w:val="clear" w:color="auto" w:fill="FFFFFF"/>
          <w:lang w:val="en-GB"/>
        </w:rPr>
        <w:t xml:space="preserve"> through the participants that were chosen for the qualitative phase, based on information that arose from the quantitative data analysis. This connection is, therefore, called a sequential integration approach (Creswell &amp; Clark, 2017). </w:t>
      </w:r>
    </w:p>
    <w:p w14:paraId="2BB6D3AE" w14:textId="77777777" w:rsidR="00EB7F85" w:rsidRDefault="00EB7F85" w:rsidP="00EB7F85">
      <w:pPr>
        <w:spacing w:line="360" w:lineRule="auto"/>
        <w:jc w:val="both"/>
        <w:rPr>
          <w:rFonts w:ascii="Arial" w:hAnsi="Arial" w:cs="Arial"/>
          <w:color w:val="000000"/>
          <w:sz w:val="24"/>
          <w:szCs w:val="24"/>
          <w:shd w:val="clear" w:color="auto" w:fill="FFFFFF"/>
          <w:lang w:val="en-GB"/>
        </w:rPr>
      </w:pPr>
      <w:r w:rsidRPr="006B2FC7">
        <w:rPr>
          <w:rFonts w:ascii="Arial" w:hAnsi="Arial" w:cs="Arial"/>
          <w:color w:val="000000"/>
          <w:sz w:val="24"/>
          <w:szCs w:val="24"/>
          <w:shd w:val="clear" w:color="auto" w:fill="FFFFFF"/>
          <w:lang w:val="en-GB"/>
        </w:rPr>
        <w:t xml:space="preserve">The qualitative data collection procedures that </w:t>
      </w:r>
      <w:r>
        <w:rPr>
          <w:rFonts w:ascii="Arial" w:hAnsi="Arial" w:cs="Arial"/>
          <w:color w:val="000000"/>
          <w:sz w:val="24"/>
          <w:szCs w:val="24"/>
          <w:shd w:val="clear" w:color="auto" w:fill="FFFFFF"/>
          <w:lang w:val="en-GB"/>
        </w:rPr>
        <w:t>were</w:t>
      </w:r>
      <w:r w:rsidRPr="006B2FC7">
        <w:rPr>
          <w:rFonts w:ascii="Arial" w:hAnsi="Arial" w:cs="Arial"/>
          <w:color w:val="000000"/>
          <w:sz w:val="24"/>
          <w:szCs w:val="24"/>
          <w:shd w:val="clear" w:color="auto" w:fill="FFFFFF"/>
          <w:lang w:val="en-GB"/>
        </w:rPr>
        <w:t xml:space="preserve"> designed to answer the qualitative research questions </w:t>
      </w:r>
      <w:r>
        <w:rPr>
          <w:rFonts w:ascii="Arial" w:hAnsi="Arial" w:cs="Arial"/>
          <w:color w:val="000000"/>
          <w:sz w:val="24"/>
          <w:szCs w:val="24"/>
          <w:shd w:val="clear" w:color="auto" w:fill="FFFFFF"/>
          <w:lang w:val="en-GB"/>
        </w:rPr>
        <w:t>were</w:t>
      </w:r>
      <w:r w:rsidRPr="006B2FC7">
        <w:rPr>
          <w:rFonts w:ascii="Arial" w:hAnsi="Arial" w:cs="Arial"/>
          <w:color w:val="000000"/>
          <w:sz w:val="24"/>
          <w:szCs w:val="24"/>
          <w:shd w:val="clear" w:color="auto" w:fill="FFFFFF"/>
          <w:lang w:val="en-GB"/>
        </w:rPr>
        <w:t xml:space="preserve"> face-to-face interviews remotely due to COVID-19 pandemic. This w</w:t>
      </w:r>
      <w:r>
        <w:rPr>
          <w:rFonts w:ascii="Arial" w:hAnsi="Arial" w:cs="Arial"/>
          <w:color w:val="000000"/>
          <w:sz w:val="24"/>
          <w:szCs w:val="24"/>
          <w:shd w:val="clear" w:color="auto" w:fill="FFFFFF"/>
          <w:lang w:val="en-GB"/>
        </w:rPr>
        <w:t xml:space="preserve">as </w:t>
      </w:r>
      <w:r w:rsidRPr="006B2FC7">
        <w:rPr>
          <w:rFonts w:ascii="Arial" w:hAnsi="Arial" w:cs="Arial"/>
          <w:color w:val="000000"/>
          <w:sz w:val="24"/>
          <w:szCs w:val="24"/>
          <w:shd w:val="clear" w:color="auto" w:fill="FFFFFF"/>
          <w:lang w:val="en-GB"/>
        </w:rPr>
        <w:t xml:space="preserve">followed by the collection and analysis of the qualitative data. After that, the sequential integration </w:t>
      </w:r>
      <w:r>
        <w:rPr>
          <w:rFonts w:ascii="Arial" w:hAnsi="Arial" w:cs="Arial"/>
          <w:color w:val="000000"/>
          <w:sz w:val="24"/>
          <w:szCs w:val="24"/>
          <w:shd w:val="clear" w:color="auto" w:fill="FFFFFF"/>
          <w:lang w:val="en-GB"/>
        </w:rPr>
        <w:t>is</w:t>
      </w:r>
      <w:r w:rsidRPr="006B2FC7">
        <w:rPr>
          <w:rFonts w:ascii="Arial" w:hAnsi="Arial" w:cs="Arial"/>
          <w:color w:val="000000"/>
          <w:sz w:val="24"/>
          <w:szCs w:val="24"/>
          <w:shd w:val="clear" w:color="auto" w:fill="FFFFFF"/>
          <w:lang w:val="en-GB"/>
        </w:rPr>
        <w:t xml:space="preserve"> represented through a joint display, such as table</w:t>
      </w:r>
      <w:r>
        <w:rPr>
          <w:rFonts w:ascii="Arial" w:hAnsi="Arial" w:cs="Arial"/>
          <w:color w:val="000000"/>
          <w:sz w:val="24"/>
          <w:szCs w:val="24"/>
          <w:shd w:val="clear" w:color="auto" w:fill="FFFFFF"/>
          <w:lang w:val="en-GB"/>
        </w:rPr>
        <w:t>s in chapter seven</w:t>
      </w:r>
      <w:r w:rsidRPr="006B2FC7">
        <w:rPr>
          <w:rFonts w:ascii="Arial" w:hAnsi="Arial" w:cs="Arial"/>
          <w:color w:val="000000"/>
          <w:sz w:val="24"/>
          <w:szCs w:val="24"/>
          <w:shd w:val="clear" w:color="auto" w:fill="FFFFFF"/>
          <w:lang w:val="en-GB"/>
        </w:rPr>
        <w:t xml:space="preserve">, to illustrate how the qualitative findings enhance the quantitative results. Finally, the value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interpreted by adding a qualitative explanation to answer the research questions. This mechanism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help</w:t>
      </w:r>
      <w:r>
        <w:rPr>
          <w:rFonts w:ascii="Arial" w:hAnsi="Arial" w:cs="Arial"/>
          <w:color w:val="000000"/>
          <w:sz w:val="24"/>
          <w:szCs w:val="24"/>
          <w:shd w:val="clear" w:color="auto" w:fill="FFFFFF"/>
          <w:lang w:val="en-GB"/>
        </w:rPr>
        <w:t>ed</w:t>
      </w:r>
      <w:r w:rsidRPr="006B2FC7">
        <w:rPr>
          <w:rFonts w:ascii="Arial" w:hAnsi="Arial" w:cs="Arial"/>
          <w:color w:val="000000"/>
          <w:sz w:val="24"/>
          <w:szCs w:val="24"/>
          <w:shd w:val="clear" w:color="auto" w:fill="FFFFFF"/>
          <w:lang w:val="en-GB"/>
        </w:rPr>
        <w:t xml:space="preserve"> the researchers to understand the research phenomenon and achieve more meaningful explanations.</w:t>
      </w:r>
    </w:p>
    <w:p w14:paraId="1FE37602" w14:textId="77777777" w:rsidR="00EB7F85" w:rsidRDefault="00EB7F85" w:rsidP="00EB7F85">
      <w:pPr>
        <w:spacing w:line="360" w:lineRule="auto"/>
        <w:jc w:val="both"/>
        <w:rPr>
          <w:rFonts w:ascii="Arial" w:hAnsi="Arial" w:cs="Arial"/>
          <w:sz w:val="24"/>
          <w:szCs w:val="24"/>
        </w:rPr>
      </w:pPr>
      <w:r w:rsidRPr="006B2FC7">
        <w:rPr>
          <w:rFonts w:ascii="Arial" w:hAnsi="Arial" w:cs="Arial"/>
          <w:sz w:val="24"/>
          <w:szCs w:val="24"/>
        </w:rPr>
        <w:t xml:space="preserve">The effect of the integration of these two methods could provide a more complete picture of a research topic (Brierley, 2017). However, the integration of qualitative and quantitative research could be challenging; because several barriers could impede this integration, such as the skills and preferences of researchers, different audiences, and publication issues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{"citationItems":[{"id":"ITEM-1","itemData":{"DOI":"10.1177/2345678906290531","ISSN":"15586901","abstract":"This article is concerned with the possibility that the development of mixed methods research is being hindered by the tendency that has been observed by some researchers for quantitative and qualitative findings either not to be integrated or to be integrated to only a limited extent. It examines findings from 20 interviews with U.K. social researchers, all of whom are practitioners of mixed methods research. From these interviews, a wide variety of possible barriers to integrating mixed methods findings are presented. The article goes on to suggest that more attention needs to be given to the writing of mixed methods articles. © 2007, SAGE Publications. All rights reserved.","author":[{"dropping-particle":"","family":"Bryman","given":"Alan","non-dropping-particle":"","parse-names":false,"suffix":""}],"container-title":"Journal of Mixed Methods Research","id":"ITEM-1","issue":"1","issued":{"date-parts":[["2007"]]},"page":"8-22","title":"Barriers to Integrating Quantitative and Qualitative Research","type":"article-journal","volume":"1"},"uris":["http://www.mendeley.com/documents/?uuid=8f683a0b-e8bd-4658-b8b5-ffa842cb76c0"]}],"mendeley":{"formattedCitation":"(Bryman, 2007)","plainTextFormattedCitation":"(Bryman, 2007)","previouslyFormattedCitation":"(Bryman, 2007)"},"properties":{"noteIndex":0},"schema":"https://github.com/citation-style-language/schema/raw/master/csl-citation.json"}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(Bryman, 2007)</w:t>
      </w:r>
      <w:r w:rsidRPr="006B2FC7">
        <w:rPr>
          <w:rFonts w:ascii="Arial" w:hAnsi="Arial" w:cs="Arial"/>
          <w:sz w:val="24"/>
          <w:szCs w:val="24"/>
        </w:rPr>
        <w:fldChar w:fldCharType="end"/>
      </w:r>
      <w:r w:rsidRPr="006B2FC7">
        <w:rPr>
          <w:rFonts w:ascii="Arial" w:hAnsi="Arial" w:cs="Arial"/>
          <w:sz w:val="24"/>
          <w:szCs w:val="24"/>
        </w:rPr>
        <w:t>. Mixed method researchers reported that when writing up of mixed-method findings, the biggest difficulty lies in merging analysis of qualitative and quantitative data to provide the integration of results and analysis (Bryman, 2007).</w:t>
      </w:r>
    </w:p>
    <w:p w14:paraId="7432DC40" w14:textId="77777777" w:rsidR="00EB7F85" w:rsidRPr="00413685" w:rsidRDefault="00EB7F85" w:rsidP="00EB7F85">
      <w:pPr>
        <w:spacing w:line="360" w:lineRule="auto"/>
        <w:jc w:val="both"/>
        <w:rPr>
          <w:rFonts w:ascii="Arial" w:hAnsi="Arial" w:cs="Arial"/>
          <w:sz w:val="24"/>
          <w:szCs w:val="24"/>
        </w:rPr>
      </w:pPr>
    </w:p>
    <w:p w14:paraId="5E3885EC" w14:textId="77777777" w:rsidR="00EB7F85" w:rsidRDefault="00EB7F85" w:rsidP="004E295B">
      <w:pPr>
        <w:pStyle w:val="Heading3"/>
        <w:numPr>
          <w:ilvl w:val="2"/>
          <w:numId w:val="14"/>
        </w:numPr>
        <w:tabs>
          <w:tab w:val="left" w:pos="990"/>
        </w:tabs>
        <w:spacing w:line="257" w:lineRule="auto"/>
        <w:ind w:left="360" w:hanging="360"/>
        <w:rPr>
          <w:shd w:val="clear" w:color="auto" w:fill="FFFFFF"/>
        </w:rPr>
      </w:pPr>
      <w:bookmarkStart w:id="137" w:name="_Toc153894183"/>
      <w:r w:rsidRPr="00664EF5">
        <w:rPr>
          <w:shd w:val="clear" w:color="auto" w:fill="FFFFFF"/>
        </w:rPr>
        <w:t xml:space="preserve">Adherence to reporting guidelines </w:t>
      </w:r>
      <w:r w:rsidRPr="002E5187">
        <w:rPr>
          <w:shd w:val="clear" w:color="auto" w:fill="FFFFFF"/>
        </w:rPr>
        <w:t>of mixed methods research</w:t>
      </w:r>
      <w:bookmarkEnd w:id="137"/>
    </w:p>
    <w:p w14:paraId="3976A68C" w14:textId="67D9B6FE" w:rsidR="00EB7F85" w:rsidRPr="002A6F14" w:rsidRDefault="00EB7F85" w:rsidP="00EB7F85">
      <w:pPr>
        <w:spacing w:line="360" w:lineRule="auto"/>
        <w:jc w:val="both"/>
        <w:rPr>
          <w:rFonts w:ascii="Arial" w:hAnsi="Arial" w:cs="Arial"/>
          <w:color w:val="000000"/>
          <w:sz w:val="24"/>
          <w:szCs w:val="24"/>
          <w:shd w:val="clear" w:color="auto" w:fill="FFFFFF"/>
          <w:lang w:val="en-GB"/>
        </w:rPr>
      </w:pPr>
      <w:r w:rsidRPr="002A6F14">
        <w:rPr>
          <w:rFonts w:ascii="Arial" w:hAnsi="Arial" w:cs="Arial"/>
          <w:color w:val="000000"/>
          <w:sz w:val="24"/>
          <w:szCs w:val="24"/>
          <w:shd w:val="clear" w:color="auto" w:fill="FFFFFF"/>
          <w:lang w:val="en-GB"/>
        </w:rPr>
        <w:t xml:space="preserve">This research followed the Guidelines for Good Reporting of a Mixed Methods Study Checklist (GRAMMS) </w:t>
      </w:r>
      <w:r>
        <w:rPr>
          <w:rFonts w:ascii="Arial" w:hAnsi="Arial" w:cs="Arial"/>
          <w:color w:val="000000"/>
          <w:sz w:val="24"/>
          <w:szCs w:val="24"/>
          <w:shd w:val="clear" w:color="auto" w:fill="FFFFFF"/>
          <w:lang w:val="en-GB"/>
        </w:rPr>
        <w:fldChar w:fldCharType="begin" w:fldLock="1"/>
      </w:r>
      <w:r>
        <w:rPr>
          <w:rFonts w:ascii="Arial" w:hAnsi="Arial" w:cs="Arial"/>
          <w:color w:val="000000"/>
          <w:sz w:val="24"/>
          <w:szCs w:val="24"/>
          <w:shd w:val="clear" w:color="auto" w:fill="FFFFFF"/>
          <w:lang w:val="en-GB"/>
        </w:rPr>
        <w:instrText>ADDIN CSL_CITATION {"citationItems":[{"id":"ITEM-1","itemData":{"author":[{"dropping-particle":"","family":"Cathain","given":"Alicia O","non-dropping-particle":"","parse-names":false,"suffix":""},{"dropping-particle":"","family":"Murphy","given":"Elizabeth","non-dropping-particle":"","parse-names":false,"suffix":""},{"dropping-particle":"","family":"Nicholl","given":"Jon","non-dropping-particle":"","parse-names":false,"suffix":""}],"id":"ITEM-1","issue":"2","issued":{"date-parts":[["2008"]]},"page":"92-98","title":"The quality of mixed methods studies in health services research","type":"article-journal","volume":"13"},"uris":["http://www.mendeley.com/documents/?uuid=623313be-f49b-4265-ac51-3f6d68cd7605"]}],"mendeley":{"formattedCitation":"(Cathain, Murphy and Nicholl, 2008)","plainTextFormattedCitation":"(Cathain, Murphy and Nicholl, 2008)","previouslyFormattedCitation":"(Cathain, Murphy and Nicholl, 2008)"},"properties":{"noteIndex":0},"schema":"https://github.com/citation-style-language/schema/raw/master/csl-citation.json"}</w:instrText>
      </w:r>
      <w:r>
        <w:rPr>
          <w:rFonts w:ascii="Arial" w:hAnsi="Arial" w:cs="Arial"/>
          <w:color w:val="000000"/>
          <w:sz w:val="24"/>
          <w:szCs w:val="24"/>
          <w:shd w:val="clear" w:color="auto" w:fill="FFFFFF"/>
          <w:lang w:val="en-GB"/>
        </w:rPr>
        <w:fldChar w:fldCharType="separate"/>
      </w:r>
      <w:r w:rsidRPr="006A4612">
        <w:rPr>
          <w:rFonts w:ascii="Arial" w:hAnsi="Arial" w:cs="Arial"/>
          <w:noProof/>
          <w:color w:val="000000"/>
          <w:sz w:val="24"/>
          <w:szCs w:val="24"/>
          <w:shd w:val="clear" w:color="auto" w:fill="FFFFFF"/>
          <w:lang w:val="en-GB"/>
        </w:rPr>
        <w:t>(Cathain, Murphy and Nicholl, 2008)</w:t>
      </w:r>
      <w:r>
        <w:rPr>
          <w:rFonts w:ascii="Arial" w:hAnsi="Arial" w:cs="Arial"/>
          <w:color w:val="000000"/>
          <w:sz w:val="24"/>
          <w:szCs w:val="24"/>
          <w:shd w:val="clear" w:color="auto" w:fill="FFFFFF"/>
          <w:lang w:val="en-GB"/>
        </w:rPr>
        <w:fldChar w:fldCharType="end"/>
      </w:r>
      <w:r>
        <w:rPr>
          <w:rFonts w:ascii="Arial" w:hAnsi="Arial" w:cs="Arial"/>
          <w:color w:val="000000"/>
          <w:sz w:val="24"/>
          <w:szCs w:val="24"/>
          <w:shd w:val="clear" w:color="auto" w:fill="FFFFFF"/>
          <w:lang w:val="en-GB"/>
        </w:rPr>
        <w:t xml:space="preserve">, </w:t>
      </w:r>
      <w:r w:rsidRPr="002A6F14">
        <w:rPr>
          <w:rFonts w:ascii="Arial" w:hAnsi="Arial" w:cs="Arial"/>
          <w:color w:val="000000"/>
          <w:sz w:val="24"/>
          <w:szCs w:val="24"/>
          <w:shd w:val="clear" w:color="auto" w:fill="FFFFFF"/>
          <w:lang w:val="en-GB"/>
        </w:rPr>
        <w:t xml:space="preserve">which recommend that six aspects be included in the reporting of a mixed methods study as shown in </w:t>
      </w:r>
      <w:r w:rsidRPr="00E02FE5">
        <w:rPr>
          <w:rFonts w:asciiTheme="minorBidi" w:hAnsiTheme="minorBidi"/>
          <w:color w:val="1F3864" w:themeColor="accent1" w:themeShade="80"/>
          <w:sz w:val="24"/>
          <w:szCs w:val="24"/>
          <w:shd w:val="clear" w:color="auto" w:fill="FFFFFF"/>
          <w:lang w:val="en-GB"/>
        </w:rPr>
        <w:fldChar w:fldCharType="begin"/>
      </w:r>
      <w:r w:rsidRPr="00E02FE5">
        <w:rPr>
          <w:rFonts w:asciiTheme="minorBidi" w:hAnsiTheme="minorBidi"/>
          <w:color w:val="1F3864" w:themeColor="accent1" w:themeShade="80"/>
          <w:sz w:val="24"/>
          <w:szCs w:val="24"/>
          <w:shd w:val="clear" w:color="auto" w:fill="FFFFFF"/>
          <w:lang w:val="en-GB"/>
        </w:rPr>
        <w:instrText xml:space="preserve"> REF _Ref122815295 \h  \* MERGEFORMAT </w:instrText>
      </w:r>
      <w:r w:rsidRPr="00E02FE5">
        <w:rPr>
          <w:rFonts w:asciiTheme="minorBidi" w:hAnsiTheme="minorBidi"/>
          <w:color w:val="1F3864" w:themeColor="accent1" w:themeShade="80"/>
          <w:sz w:val="24"/>
          <w:szCs w:val="24"/>
          <w:shd w:val="clear" w:color="auto" w:fill="FFFFFF"/>
          <w:lang w:val="en-GB"/>
        </w:rPr>
      </w:r>
      <w:r w:rsidRPr="00E02FE5">
        <w:rPr>
          <w:rFonts w:asciiTheme="minorBidi" w:hAnsiTheme="minorBidi"/>
          <w:color w:val="1F3864" w:themeColor="accent1" w:themeShade="80"/>
          <w:sz w:val="24"/>
          <w:szCs w:val="24"/>
          <w:shd w:val="clear" w:color="auto" w:fill="FFFFFF"/>
          <w:lang w:val="en-GB"/>
        </w:rPr>
        <w:fldChar w:fldCharType="separate"/>
      </w:r>
      <w:r w:rsidR="004E295B" w:rsidRPr="004E295B">
        <w:rPr>
          <w:rFonts w:asciiTheme="minorBidi" w:hAnsiTheme="minorBidi"/>
          <w:color w:val="1F3864" w:themeColor="accent1" w:themeShade="80"/>
          <w:sz w:val="24"/>
          <w:szCs w:val="24"/>
        </w:rPr>
        <w:t xml:space="preserve">Table </w:t>
      </w:r>
      <w:r w:rsidR="004E295B" w:rsidRPr="004E295B">
        <w:rPr>
          <w:rFonts w:asciiTheme="minorBidi" w:hAnsiTheme="minorBidi"/>
          <w:noProof/>
          <w:color w:val="1F3864" w:themeColor="accent1" w:themeShade="80"/>
          <w:sz w:val="24"/>
          <w:szCs w:val="24"/>
        </w:rPr>
        <w:t>13</w:t>
      </w:r>
      <w:r w:rsidRPr="00E02FE5">
        <w:rPr>
          <w:rFonts w:asciiTheme="minorBidi" w:hAnsiTheme="minorBidi"/>
          <w:color w:val="1F3864" w:themeColor="accent1" w:themeShade="80"/>
          <w:sz w:val="24"/>
          <w:szCs w:val="24"/>
          <w:shd w:val="clear" w:color="auto" w:fill="FFFFFF"/>
          <w:lang w:val="en-GB"/>
        </w:rPr>
        <w:fldChar w:fldCharType="end"/>
      </w:r>
      <w:r w:rsidR="004E295B">
        <w:rPr>
          <w:rFonts w:asciiTheme="minorBidi" w:hAnsiTheme="minorBidi"/>
          <w:color w:val="1F3864" w:themeColor="accent1" w:themeShade="80"/>
          <w:sz w:val="24"/>
          <w:szCs w:val="24"/>
          <w:shd w:val="clear" w:color="auto" w:fill="FFFFFF"/>
          <w:lang w:val="en-GB"/>
        </w:rPr>
        <w:t>.</w:t>
      </w:r>
    </w:p>
    <w:p w14:paraId="17E00D59" w14:textId="51A0854D" w:rsidR="00EB7F85" w:rsidRPr="00203CD4" w:rsidRDefault="00EB7F85" w:rsidP="00EB7F85">
      <w:pPr>
        <w:pStyle w:val="Caption"/>
        <w:rPr>
          <w:sz w:val="22"/>
          <w:szCs w:val="22"/>
        </w:rPr>
      </w:pPr>
      <w:bookmarkStart w:id="138" w:name="_Ref122815295"/>
      <w:bookmarkStart w:id="139" w:name="_Toc153894567"/>
      <w:r w:rsidRPr="00203CD4">
        <w:rPr>
          <w:sz w:val="22"/>
          <w:szCs w:val="22"/>
        </w:rPr>
        <w:t xml:space="preserve">Table </w:t>
      </w:r>
      <w:r w:rsidRPr="00203CD4">
        <w:rPr>
          <w:sz w:val="22"/>
          <w:szCs w:val="22"/>
        </w:rPr>
        <w:fldChar w:fldCharType="begin"/>
      </w:r>
      <w:r w:rsidRPr="00203CD4">
        <w:rPr>
          <w:sz w:val="22"/>
          <w:szCs w:val="22"/>
        </w:rPr>
        <w:instrText xml:space="preserve"> SEQ Table \* ARABIC </w:instrText>
      </w:r>
      <w:r w:rsidRPr="00203CD4">
        <w:rPr>
          <w:sz w:val="22"/>
          <w:szCs w:val="22"/>
        </w:rPr>
        <w:fldChar w:fldCharType="separate"/>
      </w:r>
      <w:r w:rsidR="009B31EB">
        <w:rPr>
          <w:noProof/>
          <w:sz w:val="22"/>
          <w:szCs w:val="22"/>
        </w:rPr>
        <w:t>13</w:t>
      </w:r>
      <w:r w:rsidRPr="00203CD4">
        <w:rPr>
          <w:sz w:val="22"/>
          <w:szCs w:val="22"/>
        </w:rPr>
        <w:fldChar w:fldCharType="end"/>
      </w:r>
      <w:bookmarkEnd w:id="138"/>
      <w:r w:rsidRPr="00203CD4">
        <w:rPr>
          <w:sz w:val="22"/>
          <w:szCs w:val="22"/>
        </w:rPr>
        <w:t>: Good Reporting of a Mixed Methods Study (GRAMMS)</w:t>
      </w:r>
      <w:bookmarkEnd w:id="139"/>
    </w:p>
    <w:p w14:paraId="096CC390" w14:textId="77777777" w:rsidR="00EB7F85" w:rsidRPr="007D1FAF" w:rsidRDefault="00EB7F85" w:rsidP="00EB7F85">
      <w:pPr>
        <w:spacing w:line="360" w:lineRule="auto"/>
        <w:jc w:val="both"/>
        <w:rPr>
          <w:rFonts w:ascii="Arial" w:hAnsi="Arial" w:cs="Arial"/>
          <w:i/>
          <w:iCs/>
          <w:color w:val="000000"/>
          <w:shd w:val="clear" w:color="auto" w:fill="FFFFFF"/>
          <w:lang w:val="en-GB"/>
        </w:rPr>
      </w:pPr>
      <w:r>
        <w:rPr>
          <w:rFonts w:ascii="Arial" w:hAnsi="Arial" w:cs="Arial"/>
          <w:i/>
          <w:iCs/>
          <w:color w:val="000000"/>
          <w:shd w:val="clear" w:color="auto" w:fill="FFFFFF"/>
          <w:lang w:val="en-GB"/>
        </w:rPr>
        <w:t>“</w:t>
      </w:r>
      <w:r w:rsidRPr="007D1FAF">
        <w:rPr>
          <w:rFonts w:ascii="Arial" w:hAnsi="Arial" w:cs="Arial"/>
          <w:i/>
          <w:iCs/>
          <w:color w:val="000000"/>
          <w:shd w:val="clear" w:color="auto" w:fill="FFFFFF"/>
          <w:lang w:val="en-GB"/>
        </w:rPr>
        <w:t>(1) Describe the justification for using a mixed methods approach to the research question</w:t>
      </w:r>
    </w:p>
    <w:p w14:paraId="2C970F94" w14:textId="77777777" w:rsidR="00EB7F85" w:rsidRPr="007D1FAF" w:rsidRDefault="00EB7F85" w:rsidP="00EB7F85">
      <w:pPr>
        <w:spacing w:line="360" w:lineRule="auto"/>
        <w:jc w:val="both"/>
        <w:rPr>
          <w:rFonts w:ascii="Arial" w:hAnsi="Arial" w:cs="Arial"/>
          <w:i/>
          <w:iCs/>
          <w:color w:val="000000"/>
          <w:shd w:val="clear" w:color="auto" w:fill="FFFFFF"/>
          <w:lang w:val="en-GB"/>
        </w:rPr>
      </w:pPr>
      <w:r w:rsidRPr="007D1FAF">
        <w:rPr>
          <w:rFonts w:ascii="Arial" w:hAnsi="Arial" w:cs="Arial"/>
          <w:i/>
          <w:iCs/>
          <w:color w:val="000000"/>
          <w:shd w:val="clear" w:color="auto" w:fill="FFFFFF"/>
          <w:lang w:val="en-GB"/>
        </w:rPr>
        <w:t>(2) Describe the design in terms of the purpose, priority and sequence of methods</w:t>
      </w:r>
    </w:p>
    <w:p w14:paraId="3A3D774F" w14:textId="77777777" w:rsidR="00EB7F85" w:rsidRPr="007D1FAF" w:rsidRDefault="00EB7F85" w:rsidP="00EB7F85">
      <w:pPr>
        <w:spacing w:line="360" w:lineRule="auto"/>
        <w:jc w:val="both"/>
        <w:rPr>
          <w:rFonts w:ascii="Arial" w:hAnsi="Arial" w:cs="Arial"/>
          <w:i/>
          <w:iCs/>
          <w:color w:val="000000"/>
          <w:shd w:val="clear" w:color="auto" w:fill="FFFFFF"/>
          <w:lang w:val="en-GB"/>
        </w:rPr>
      </w:pPr>
      <w:r w:rsidRPr="007D1FAF">
        <w:rPr>
          <w:rFonts w:ascii="Arial" w:hAnsi="Arial" w:cs="Arial"/>
          <w:i/>
          <w:iCs/>
          <w:color w:val="000000"/>
          <w:shd w:val="clear" w:color="auto" w:fill="FFFFFF"/>
          <w:lang w:val="en-GB"/>
        </w:rPr>
        <w:t>(3) Describe each method in terms of sampling, data collection and analysis</w:t>
      </w:r>
    </w:p>
    <w:p w14:paraId="6316E3AB" w14:textId="77777777" w:rsidR="00EB7F85" w:rsidRPr="007D1FAF" w:rsidRDefault="00EB7F85" w:rsidP="00EB7F85">
      <w:pPr>
        <w:spacing w:line="360" w:lineRule="auto"/>
        <w:jc w:val="both"/>
        <w:rPr>
          <w:rFonts w:ascii="Arial" w:hAnsi="Arial" w:cs="Arial"/>
          <w:i/>
          <w:iCs/>
          <w:color w:val="000000"/>
          <w:shd w:val="clear" w:color="auto" w:fill="FFFFFF"/>
          <w:lang w:val="en-GB"/>
        </w:rPr>
      </w:pPr>
      <w:r w:rsidRPr="007D1FAF">
        <w:rPr>
          <w:rFonts w:ascii="Arial" w:hAnsi="Arial" w:cs="Arial"/>
          <w:i/>
          <w:iCs/>
          <w:color w:val="000000"/>
          <w:shd w:val="clear" w:color="auto" w:fill="FFFFFF"/>
          <w:lang w:val="en-GB"/>
        </w:rPr>
        <w:t>(4) Describe where integration has occurred, how it has occurred and who has participated in it</w:t>
      </w:r>
    </w:p>
    <w:p w14:paraId="00290C63" w14:textId="77777777" w:rsidR="00EB7F85" w:rsidRPr="007D1FAF" w:rsidRDefault="00EB7F85" w:rsidP="00EB7F85">
      <w:pPr>
        <w:spacing w:line="360" w:lineRule="auto"/>
        <w:jc w:val="both"/>
        <w:rPr>
          <w:rFonts w:ascii="Arial" w:hAnsi="Arial" w:cs="Arial"/>
          <w:i/>
          <w:iCs/>
          <w:color w:val="000000"/>
          <w:shd w:val="clear" w:color="auto" w:fill="FFFFFF"/>
          <w:lang w:val="en-GB"/>
        </w:rPr>
      </w:pPr>
      <w:r w:rsidRPr="007D1FAF">
        <w:rPr>
          <w:rFonts w:ascii="Arial" w:hAnsi="Arial" w:cs="Arial"/>
          <w:i/>
          <w:iCs/>
          <w:color w:val="000000"/>
          <w:shd w:val="clear" w:color="auto" w:fill="FFFFFF"/>
          <w:lang w:val="en-GB"/>
        </w:rPr>
        <w:t>(5) Describe any limitation of one method associated with the present of the other method</w:t>
      </w:r>
    </w:p>
    <w:p w14:paraId="41CCEFB5" w14:textId="77777777" w:rsidR="00EB7F85" w:rsidRPr="007D1FAF" w:rsidRDefault="00EB7F85" w:rsidP="00EB7F85">
      <w:pPr>
        <w:pBdr>
          <w:bottom w:val="single" w:sz="4" w:space="1" w:color="auto"/>
        </w:pBdr>
        <w:spacing w:line="360" w:lineRule="auto"/>
        <w:jc w:val="both"/>
        <w:rPr>
          <w:rFonts w:ascii="Arial" w:hAnsi="Arial" w:cs="Arial"/>
          <w:i/>
          <w:iCs/>
          <w:color w:val="000000"/>
          <w:shd w:val="clear" w:color="auto" w:fill="FFFFFF"/>
          <w:lang w:val="en-GB"/>
        </w:rPr>
      </w:pPr>
      <w:r w:rsidRPr="007D1FAF">
        <w:rPr>
          <w:rFonts w:ascii="Arial" w:hAnsi="Arial" w:cs="Arial"/>
          <w:i/>
          <w:iCs/>
          <w:color w:val="000000"/>
          <w:shd w:val="clear" w:color="auto" w:fill="FFFFFF"/>
          <w:lang w:val="en-GB"/>
        </w:rPr>
        <w:t>(6) Describe any insights gained from mixing or integrating methods</w:t>
      </w:r>
      <w:r>
        <w:rPr>
          <w:rFonts w:ascii="Arial" w:hAnsi="Arial" w:cs="Arial"/>
          <w:i/>
          <w:iCs/>
          <w:color w:val="000000"/>
          <w:shd w:val="clear" w:color="auto" w:fill="FFFFFF"/>
          <w:lang w:val="en-GB"/>
        </w:rPr>
        <w:t>”</w:t>
      </w:r>
    </w:p>
    <w:p w14:paraId="6E14C001" w14:textId="77777777" w:rsidR="00EB7F85" w:rsidRDefault="00EB7F85" w:rsidP="00EB7F85">
      <w:pPr>
        <w:spacing w:line="360" w:lineRule="auto"/>
        <w:jc w:val="both"/>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Ref:</w:t>
      </w:r>
      <w:r>
        <w:rPr>
          <w:rFonts w:ascii="Arial" w:hAnsi="Arial" w:cs="Arial"/>
          <w:color w:val="000000"/>
          <w:sz w:val="24"/>
          <w:szCs w:val="24"/>
          <w:shd w:val="clear" w:color="auto" w:fill="FFFFFF"/>
          <w:lang w:val="en-GB"/>
        </w:rPr>
        <w:fldChar w:fldCharType="begin" w:fldLock="1"/>
      </w:r>
      <w:r>
        <w:rPr>
          <w:rFonts w:ascii="Arial" w:hAnsi="Arial" w:cs="Arial"/>
          <w:color w:val="000000"/>
          <w:sz w:val="24"/>
          <w:szCs w:val="24"/>
          <w:shd w:val="clear" w:color="auto" w:fill="FFFFFF"/>
          <w:lang w:val="en-GB"/>
        </w:rPr>
        <w:instrText>ADDIN CSL_CITATION {"citationItems":[{"id":"ITEM-1","itemData":{"author":[{"dropping-particle":"","family":"Cathain","given":"Alicia O","non-dropping-particle":"","parse-names":false,"suffix":""},{"dropping-particle":"","family":"Murphy","given":"Elizabeth","non-dropping-particle":"","parse-names":false,"suffix":""},{"dropping-particle":"","family":"Nicholl","given":"Jon","non-dropping-particle":"","parse-names":false,"suffix":""}],"id":"ITEM-1","issue":"2","issued":{"date-parts":[["2008"]]},"page":"92-98","title":"The quality of mixed methods studies in health services research","type":"article-journal","volume":"13"},"uris":["http://www.mendeley.com/documents/?uuid=623313be-f49b-4265-ac51-3f6d68cd7605"]}],"mendeley":{"formattedCitation":"(Cathain, Murphy and Nicholl, 2008)","manualFormatting":"(Cathain, Murphy and Nicholl, 2008, p. 97)","plainTextFormattedCitation":"(Cathain, Murphy and Nicholl, 2008)","previouslyFormattedCitation":"(Cathain, Murphy and Nicholl, 2008)"},"properties":{"noteIndex":0},"schema":"https://github.com/citation-style-language/schema/raw/master/csl-citation.json"}</w:instrText>
      </w:r>
      <w:r>
        <w:rPr>
          <w:rFonts w:ascii="Arial" w:hAnsi="Arial" w:cs="Arial"/>
          <w:color w:val="000000"/>
          <w:sz w:val="24"/>
          <w:szCs w:val="24"/>
          <w:shd w:val="clear" w:color="auto" w:fill="FFFFFF"/>
          <w:lang w:val="en-GB"/>
        </w:rPr>
        <w:fldChar w:fldCharType="separate"/>
      </w:r>
      <w:r w:rsidRPr="006A4612">
        <w:rPr>
          <w:rFonts w:ascii="Arial" w:hAnsi="Arial" w:cs="Arial"/>
          <w:noProof/>
          <w:color w:val="000000"/>
          <w:sz w:val="24"/>
          <w:szCs w:val="24"/>
          <w:shd w:val="clear" w:color="auto" w:fill="FFFFFF"/>
          <w:lang w:val="en-GB"/>
        </w:rPr>
        <w:t>(Cathain, Murphy and Nicholl, 2008</w:t>
      </w:r>
      <w:r>
        <w:rPr>
          <w:rFonts w:ascii="Arial" w:hAnsi="Arial" w:cs="Arial"/>
          <w:noProof/>
          <w:color w:val="000000"/>
          <w:sz w:val="24"/>
          <w:szCs w:val="24"/>
          <w:shd w:val="clear" w:color="auto" w:fill="FFFFFF"/>
          <w:lang w:val="en-GB"/>
        </w:rPr>
        <w:t>, p.</w:t>
      </w:r>
      <w:r w:rsidRPr="00923EFF">
        <w:rPr>
          <w:noProof/>
        </w:rPr>
        <w:t xml:space="preserve"> </w:t>
      </w:r>
      <w:r w:rsidRPr="00923EFF">
        <w:rPr>
          <w:rFonts w:ascii="Arial" w:hAnsi="Arial" w:cs="Arial"/>
          <w:noProof/>
          <w:color w:val="000000"/>
          <w:sz w:val="24"/>
          <w:szCs w:val="24"/>
          <w:shd w:val="clear" w:color="auto" w:fill="FFFFFF"/>
          <w:lang w:val="en-GB"/>
        </w:rPr>
        <w:t>97</w:t>
      </w:r>
      <w:r w:rsidRPr="006A4612">
        <w:rPr>
          <w:rFonts w:ascii="Arial" w:hAnsi="Arial" w:cs="Arial"/>
          <w:noProof/>
          <w:color w:val="000000"/>
          <w:sz w:val="24"/>
          <w:szCs w:val="24"/>
          <w:shd w:val="clear" w:color="auto" w:fill="FFFFFF"/>
          <w:lang w:val="en-GB"/>
        </w:rPr>
        <w:t>)</w:t>
      </w:r>
      <w:r>
        <w:rPr>
          <w:rFonts w:ascii="Arial" w:hAnsi="Arial" w:cs="Arial"/>
          <w:color w:val="000000"/>
          <w:sz w:val="24"/>
          <w:szCs w:val="24"/>
          <w:shd w:val="clear" w:color="auto" w:fill="FFFFFF"/>
          <w:lang w:val="en-GB"/>
        </w:rPr>
        <w:fldChar w:fldCharType="end"/>
      </w:r>
    </w:p>
    <w:p w14:paraId="2D16D901" w14:textId="77777777" w:rsidR="00EB7F85" w:rsidRPr="006B2FC7" w:rsidRDefault="00EB7F85" w:rsidP="00EB7F85">
      <w:pPr>
        <w:spacing w:line="360" w:lineRule="auto"/>
        <w:jc w:val="both"/>
        <w:rPr>
          <w:rFonts w:ascii="Arial" w:hAnsi="Arial" w:cs="Arial"/>
          <w:color w:val="000000"/>
          <w:sz w:val="24"/>
          <w:szCs w:val="24"/>
          <w:shd w:val="clear" w:color="auto" w:fill="FFFFFF"/>
          <w:lang w:val="en-GB"/>
        </w:rPr>
      </w:pPr>
    </w:p>
    <w:p w14:paraId="608FD1E7" w14:textId="77777777" w:rsidR="00EB7F85" w:rsidRDefault="00EB7F85" w:rsidP="00876389">
      <w:pPr>
        <w:pStyle w:val="Heading2"/>
        <w:numPr>
          <w:ilvl w:val="1"/>
          <w:numId w:val="14"/>
        </w:numPr>
        <w:tabs>
          <w:tab w:val="left" w:pos="630"/>
        </w:tabs>
        <w:spacing w:line="257" w:lineRule="auto"/>
        <w:ind w:left="360" w:hanging="360"/>
      </w:pPr>
      <w:bookmarkStart w:id="140" w:name="_Toc122626401"/>
      <w:bookmarkStart w:id="141" w:name="_Toc153894184"/>
      <w:r w:rsidRPr="00737CBD">
        <w:t>Ethic</w:t>
      </w:r>
      <w:r>
        <w:t>al and regulatory considerations</w:t>
      </w:r>
      <w:bookmarkEnd w:id="140"/>
      <w:bookmarkEnd w:id="141"/>
    </w:p>
    <w:p w14:paraId="08748342" w14:textId="77777777" w:rsidR="00EB7F85" w:rsidRDefault="00EB7F85" w:rsidP="00EB7F85">
      <w:pPr>
        <w:spacing w:line="360" w:lineRule="auto"/>
        <w:jc w:val="both"/>
        <w:rPr>
          <w:rFonts w:ascii="Arial" w:hAnsi="Arial" w:cs="Arial"/>
          <w:color w:val="000000"/>
          <w:sz w:val="24"/>
          <w:szCs w:val="24"/>
          <w:lang w:val="en-GB"/>
        </w:rPr>
      </w:pPr>
      <w:r w:rsidRPr="006B2FC7">
        <w:rPr>
          <w:rFonts w:ascii="Arial" w:hAnsi="Arial" w:cs="Arial"/>
          <w:color w:val="000000"/>
          <w:sz w:val="24"/>
          <w:szCs w:val="24"/>
          <w:lang w:val="en-GB"/>
        </w:rPr>
        <w:t xml:space="preserve">Before concluding this chapter, it is important to consider a final and important aspect relating to </w:t>
      </w:r>
      <w:r>
        <w:rPr>
          <w:rFonts w:ascii="Arial" w:hAnsi="Arial" w:cs="Arial"/>
          <w:color w:val="000000"/>
          <w:sz w:val="24"/>
          <w:szCs w:val="24"/>
          <w:lang w:val="en-GB"/>
        </w:rPr>
        <w:t xml:space="preserve">the </w:t>
      </w:r>
      <w:r w:rsidRPr="006B2FC7">
        <w:rPr>
          <w:rFonts w:ascii="Arial" w:hAnsi="Arial" w:cs="Arial"/>
          <w:color w:val="000000"/>
          <w:sz w:val="24"/>
          <w:szCs w:val="24"/>
          <w:lang w:val="en-GB"/>
        </w:rPr>
        <w:t xml:space="preserve">research </w:t>
      </w:r>
      <w:r>
        <w:rPr>
          <w:rFonts w:ascii="Arial" w:hAnsi="Arial" w:cs="Arial"/>
          <w:color w:val="000000"/>
          <w:sz w:val="24"/>
          <w:szCs w:val="24"/>
          <w:lang w:val="en-GB"/>
        </w:rPr>
        <w:t xml:space="preserve">regulatory and </w:t>
      </w:r>
      <w:r w:rsidRPr="006B2FC7">
        <w:rPr>
          <w:rFonts w:ascii="Arial" w:hAnsi="Arial" w:cs="Arial"/>
          <w:color w:val="000000"/>
          <w:sz w:val="24"/>
          <w:szCs w:val="24"/>
          <w:lang w:val="en-GB"/>
        </w:rPr>
        <w:t xml:space="preserve">ethics. </w:t>
      </w:r>
    </w:p>
    <w:p w14:paraId="78DC2382" w14:textId="77777777" w:rsidR="00EB7F85" w:rsidRDefault="00EB7F85" w:rsidP="00EB7F85">
      <w:pPr>
        <w:pStyle w:val="Heading3"/>
        <w:numPr>
          <w:ilvl w:val="2"/>
          <w:numId w:val="14"/>
        </w:numPr>
        <w:spacing w:line="257" w:lineRule="auto"/>
        <w:ind w:left="0" w:firstLine="0"/>
      </w:pPr>
      <w:bookmarkStart w:id="142" w:name="_Toc27405013"/>
      <w:bookmarkStart w:id="143" w:name="_Toc51257210"/>
      <w:bookmarkStart w:id="144" w:name="_Toc122626402"/>
      <w:bookmarkStart w:id="145" w:name="_Toc153894185"/>
      <w:r>
        <w:t>Data management</w:t>
      </w:r>
      <w:bookmarkEnd w:id="142"/>
      <w:bookmarkEnd w:id="143"/>
      <w:bookmarkEnd w:id="144"/>
      <w:bookmarkEnd w:id="145"/>
    </w:p>
    <w:p w14:paraId="304B3CB2" w14:textId="77777777" w:rsidR="00EB7F85" w:rsidRPr="002C0A0F" w:rsidRDefault="00EB7F85" w:rsidP="00EB7F85">
      <w:pPr>
        <w:spacing w:line="360" w:lineRule="auto"/>
        <w:jc w:val="both"/>
        <w:rPr>
          <w:rFonts w:ascii="Arial" w:hAnsi="Arial" w:cs="Arial"/>
          <w:color w:val="000000"/>
          <w:sz w:val="24"/>
          <w:szCs w:val="24"/>
          <w:lang w:val="en-GB"/>
        </w:rPr>
      </w:pPr>
      <w:r w:rsidRPr="002C0A0F">
        <w:rPr>
          <w:rFonts w:ascii="Arial" w:hAnsi="Arial" w:cs="Arial"/>
          <w:color w:val="000000"/>
          <w:sz w:val="24"/>
          <w:szCs w:val="24"/>
          <w:lang w:val="en-GB"/>
        </w:rPr>
        <w:t>Data of this research were managed in compliance with the University of Sheffield’s Research Data Management Policy, which is a component of the University's Policy on Good R&amp;I Practices (the 'GRIP' Policy). Adherence to the university protocol to protect recordings data is confirmed. Principles of anonymity, confidentiality, and data protection were applied to the collection, handling, storage, and destruction time of qualitative data.</w:t>
      </w:r>
    </w:p>
    <w:p w14:paraId="516445EA" w14:textId="77777777" w:rsidR="00EB7F85" w:rsidRPr="00876389" w:rsidRDefault="00EB7F85" w:rsidP="000B330D">
      <w:pPr>
        <w:pStyle w:val="Heading4"/>
        <w:numPr>
          <w:ilvl w:val="3"/>
          <w:numId w:val="14"/>
        </w:numPr>
        <w:tabs>
          <w:tab w:val="left" w:pos="810"/>
        </w:tabs>
        <w:spacing w:line="360" w:lineRule="auto"/>
        <w:ind w:left="360" w:hanging="360"/>
        <w:rPr>
          <w:rFonts w:asciiTheme="minorBidi" w:hAnsiTheme="minorBidi" w:cstheme="minorBidi"/>
          <w:sz w:val="24"/>
          <w:szCs w:val="24"/>
        </w:rPr>
      </w:pPr>
      <w:bookmarkStart w:id="146" w:name="_Toc51257212"/>
      <w:r w:rsidRPr="00876389">
        <w:rPr>
          <w:rFonts w:asciiTheme="minorBidi" w:hAnsiTheme="minorBidi" w:cstheme="minorBidi"/>
          <w:sz w:val="24"/>
          <w:szCs w:val="24"/>
        </w:rPr>
        <w:t>Data Storage</w:t>
      </w:r>
      <w:bookmarkEnd w:id="146"/>
    </w:p>
    <w:p w14:paraId="0EDB0644" w14:textId="77777777" w:rsidR="00EB7F85" w:rsidRPr="006F02E9" w:rsidRDefault="00EB7F85" w:rsidP="00EB7F85">
      <w:pPr>
        <w:spacing w:line="360" w:lineRule="auto"/>
        <w:jc w:val="both"/>
        <w:rPr>
          <w:rFonts w:ascii="Arial" w:hAnsi="Arial" w:cs="Arial"/>
          <w:color w:val="000000"/>
          <w:sz w:val="24"/>
          <w:szCs w:val="24"/>
          <w:lang w:val="en-GB"/>
        </w:rPr>
      </w:pPr>
      <w:bookmarkStart w:id="147" w:name="_Hlk47554280"/>
      <w:r w:rsidRPr="00470938">
        <w:rPr>
          <w:rFonts w:ascii="Arial" w:hAnsi="Arial" w:cs="Arial"/>
          <w:color w:val="000000"/>
          <w:sz w:val="24"/>
          <w:szCs w:val="24"/>
          <w:lang w:val="en-GB"/>
        </w:rPr>
        <w:t xml:space="preserve">All data were collected and stored in accordance with the Data Protection Act and General Data Protection Regulation (GDPR) as well as the University of Sheffield’s Code of Practice for Research. </w:t>
      </w:r>
      <w:r>
        <w:rPr>
          <w:rFonts w:ascii="Arial" w:hAnsi="Arial" w:cs="Arial"/>
          <w:color w:val="000000"/>
          <w:sz w:val="24"/>
          <w:szCs w:val="24"/>
          <w:lang w:val="en-GB"/>
        </w:rPr>
        <w:t>All e</w:t>
      </w:r>
      <w:r w:rsidRPr="0096565F">
        <w:rPr>
          <w:rFonts w:ascii="Arial" w:hAnsi="Arial" w:cs="Arial"/>
          <w:color w:val="000000"/>
          <w:sz w:val="24"/>
          <w:szCs w:val="24"/>
          <w:lang w:val="en-GB"/>
        </w:rPr>
        <w:t xml:space="preserve">lectronic data including anonymous audio files, electronic consent forms and interviews transcripts is </w:t>
      </w:r>
      <w:r w:rsidRPr="00620E86">
        <w:rPr>
          <w:rFonts w:ascii="Arial" w:hAnsi="Arial" w:cs="Arial"/>
          <w:color w:val="000000"/>
          <w:sz w:val="24"/>
          <w:szCs w:val="24"/>
          <w:lang w:val="en-GB"/>
        </w:rPr>
        <w:t>securely</w:t>
      </w:r>
      <w:r w:rsidRPr="00E046B9">
        <w:rPr>
          <w:rFonts w:ascii="Gill Sans MT" w:hAnsi="Gill Sans MT"/>
          <w:color w:val="FF0000"/>
        </w:rPr>
        <w:t xml:space="preserve"> </w:t>
      </w:r>
      <w:r w:rsidRPr="0096565F">
        <w:rPr>
          <w:rFonts w:ascii="Arial" w:hAnsi="Arial" w:cs="Arial"/>
          <w:color w:val="000000"/>
          <w:sz w:val="24"/>
          <w:szCs w:val="24"/>
          <w:lang w:val="en-GB"/>
        </w:rPr>
        <w:t xml:space="preserve">stored in an access-restricted folder on the University’s shared networked filestore folder. All research documents, including anonymous audio files, are stored on the researcher’s personal space on the University server. Anonymous audio files were labelled with an appropriate code to link them to the original participant and consent form. The data is automatically backed-up onto the university network to prevent data loss. Due to COVID-19, the </w:t>
      </w:r>
      <w:r w:rsidRPr="003734CE">
        <w:rPr>
          <w:rFonts w:ascii="Arial" w:hAnsi="Arial" w:cs="Arial"/>
          <w:color w:val="000000"/>
          <w:sz w:val="24"/>
          <w:szCs w:val="24"/>
          <w:lang w:val="en-GB"/>
        </w:rPr>
        <w:t xml:space="preserve">anonymised </w:t>
      </w:r>
      <w:r w:rsidRPr="0096565F">
        <w:rPr>
          <w:rFonts w:ascii="Arial" w:hAnsi="Arial" w:cs="Arial"/>
          <w:color w:val="000000"/>
          <w:sz w:val="24"/>
          <w:szCs w:val="24"/>
          <w:lang w:val="en-GB"/>
        </w:rPr>
        <w:t xml:space="preserve">data is also stored on a password protected researcher personal laptop, the password is known only to the researcher, as data was analysed at home.  </w:t>
      </w:r>
      <w:bookmarkEnd w:id="147"/>
    </w:p>
    <w:p w14:paraId="038C1388" w14:textId="77777777" w:rsidR="00EB7F85" w:rsidRPr="00876389" w:rsidRDefault="00EB7F85" w:rsidP="00337920">
      <w:pPr>
        <w:pStyle w:val="Heading4"/>
        <w:numPr>
          <w:ilvl w:val="3"/>
          <w:numId w:val="14"/>
        </w:numPr>
        <w:tabs>
          <w:tab w:val="left" w:pos="810"/>
        </w:tabs>
        <w:spacing w:line="360" w:lineRule="auto"/>
        <w:ind w:left="360" w:hanging="360"/>
        <w:rPr>
          <w:rFonts w:asciiTheme="minorBidi" w:hAnsiTheme="minorBidi" w:cstheme="minorBidi"/>
          <w:sz w:val="24"/>
          <w:szCs w:val="24"/>
        </w:rPr>
      </w:pPr>
      <w:bookmarkStart w:id="148" w:name="_Toc27405014"/>
      <w:bookmarkStart w:id="149" w:name="_Toc51257211"/>
      <w:r w:rsidRPr="00876389">
        <w:rPr>
          <w:rFonts w:asciiTheme="minorBidi" w:hAnsiTheme="minorBidi" w:cstheme="minorBidi"/>
          <w:sz w:val="24"/>
          <w:szCs w:val="24"/>
        </w:rPr>
        <w:t>Access to data</w:t>
      </w:r>
      <w:bookmarkEnd w:id="148"/>
      <w:bookmarkEnd w:id="149"/>
    </w:p>
    <w:p w14:paraId="2FD5FE0E" w14:textId="77777777" w:rsidR="00EB7F85" w:rsidRPr="00C34CD0" w:rsidRDefault="00EB7F85" w:rsidP="00EB7F85">
      <w:pPr>
        <w:spacing w:line="360" w:lineRule="auto"/>
        <w:jc w:val="both"/>
        <w:rPr>
          <w:rFonts w:ascii="Arial" w:hAnsi="Arial" w:cs="Arial"/>
          <w:color w:val="000000"/>
          <w:sz w:val="24"/>
          <w:szCs w:val="24"/>
          <w:lang w:val="en-GB"/>
        </w:rPr>
      </w:pPr>
      <w:r w:rsidRPr="00C34CD0">
        <w:rPr>
          <w:rFonts w:ascii="Arial" w:hAnsi="Arial" w:cs="Arial"/>
          <w:color w:val="000000"/>
          <w:sz w:val="24"/>
          <w:szCs w:val="24"/>
          <w:lang w:val="en-GB"/>
        </w:rPr>
        <w:t xml:space="preserve">Access to the data retrieved from participants </w:t>
      </w:r>
      <w:r>
        <w:rPr>
          <w:rFonts w:ascii="Arial" w:hAnsi="Arial" w:cs="Arial"/>
          <w:color w:val="000000"/>
          <w:sz w:val="24"/>
          <w:szCs w:val="24"/>
          <w:lang w:val="en-GB"/>
        </w:rPr>
        <w:t xml:space="preserve">varies </w:t>
      </w:r>
      <w:r w:rsidRPr="00C34CD0">
        <w:rPr>
          <w:rFonts w:ascii="Arial" w:hAnsi="Arial" w:cs="Arial"/>
          <w:color w:val="000000"/>
          <w:sz w:val="24"/>
          <w:szCs w:val="24"/>
          <w:lang w:val="en-GB"/>
        </w:rPr>
        <w:t>depending on the type: consent forms and other contact information are restricted to the researcher only, and all anonymised electronic data including raw digital audio recording is accessible to the researcher and supervisors.</w:t>
      </w:r>
    </w:p>
    <w:p w14:paraId="3F803B06" w14:textId="77777777" w:rsidR="00EB7F85" w:rsidRPr="00C34CD0" w:rsidRDefault="00EB7F85" w:rsidP="00EB7F85">
      <w:pPr>
        <w:spacing w:line="360" w:lineRule="auto"/>
        <w:jc w:val="both"/>
        <w:rPr>
          <w:rFonts w:ascii="Arial" w:hAnsi="Arial" w:cs="Arial"/>
          <w:color w:val="000000"/>
          <w:sz w:val="24"/>
          <w:szCs w:val="24"/>
          <w:lang w:val="en-GB"/>
        </w:rPr>
      </w:pPr>
      <w:bookmarkStart w:id="150" w:name="_Hlk47553835"/>
      <w:r w:rsidRPr="00C34CD0">
        <w:rPr>
          <w:rFonts w:ascii="Arial" w:hAnsi="Arial" w:cs="Arial"/>
          <w:color w:val="000000"/>
          <w:sz w:val="24"/>
          <w:szCs w:val="24"/>
          <w:lang w:val="en-GB"/>
        </w:rPr>
        <w:t>The identifiable data collected was restricted to contact details, mainly email, telephone number, name and signature that are written on consent forms. Participants were asked to give explicit consent to their identifiable data being stored at the University of Sheffield network filestore accessible to the researcher only.</w:t>
      </w:r>
      <w:bookmarkEnd w:id="150"/>
    </w:p>
    <w:p w14:paraId="35652A26" w14:textId="77777777" w:rsidR="00EB7F85" w:rsidRPr="00876389" w:rsidRDefault="00EB7F85" w:rsidP="00337920">
      <w:pPr>
        <w:pStyle w:val="Heading4"/>
        <w:numPr>
          <w:ilvl w:val="3"/>
          <w:numId w:val="14"/>
        </w:numPr>
        <w:tabs>
          <w:tab w:val="left" w:pos="810"/>
        </w:tabs>
        <w:spacing w:line="360" w:lineRule="auto"/>
        <w:ind w:left="360" w:hanging="360"/>
        <w:rPr>
          <w:rFonts w:asciiTheme="minorBidi" w:hAnsiTheme="minorBidi" w:cstheme="minorBidi"/>
          <w:sz w:val="24"/>
          <w:szCs w:val="24"/>
        </w:rPr>
      </w:pPr>
      <w:bookmarkStart w:id="151" w:name="_Toc27405017"/>
      <w:bookmarkStart w:id="152" w:name="_Toc51257213"/>
      <w:r w:rsidRPr="00876389">
        <w:rPr>
          <w:rFonts w:asciiTheme="minorBidi" w:hAnsiTheme="minorBidi" w:cstheme="minorBidi"/>
          <w:sz w:val="24"/>
          <w:szCs w:val="24"/>
        </w:rPr>
        <w:t>Data keeping and archiving</w:t>
      </w:r>
      <w:bookmarkEnd w:id="151"/>
      <w:bookmarkEnd w:id="152"/>
      <w:r w:rsidRPr="00876389">
        <w:rPr>
          <w:rFonts w:asciiTheme="minorBidi" w:hAnsiTheme="minorBidi" w:cstheme="minorBidi"/>
          <w:sz w:val="24"/>
          <w:szCs w:val="24"/>
        </w:rPr>
        <w:t xml:space="preserve"> </w:t>
      </w:r>
    </w:p>
    <w:p w14:paraId="050ECCE6" w14:textId="77777777" w:rsidR="00EB7F85" w:rsidRPr="00C34CD0" w:rsidRDefault="00EB7F85" w:rsidP="00EB7F85">
      <w:pPr>
        <w:spacing w:line="360" w:lineRule="auto"/>
        <w:jc w:val="both"/>
        <w:rPr>
          <w:rFonts w:ascii="Arial" w:hAnsi="Arial" w:cs="Arial"/>
          <w:color w:val="000000"/>
          <w:sz w:val="24"/>
          <w:szCs w:val="24"/>
          <w:lang w:val="en-GB"/>
        </w:rPr>
      </w:pPr>
      <w:r w:rsidRPr="00C34CD0">
        <w:rPr>
          <w:rFonts w:ascii="Arial" w:hAnsi="Arial" w:cs="Arial"/>
          <w:color w:val="000000"/>
          <w:sz w:val="24"/>
          <w:szCs w:val="24"/>
          <w:lang w:val="en-GB"/>
        </w:rPr>
        <w:t xml:space="preserve">All essential research documentation, and source documents (e.g. signed </w:t>
      </w:r>
      <w:r>
        <w:rPr>
          <w:rFonts w:ascii="Arial" w:hAnsi="Arial" w:cs="Arial"/>
          <w:color w:val="000000"/>
          <w:sz w:val="24"/>
          <w:szCs w:val="24"/>
          <w:lang w:val="en-GB"/>
        </w:rPr>
        <w:t>informed consent forms (</w:t>
      </w:r>
      <w:r w:rsidRPr="00C34CD0">
        <w:rPr>
          <w:rFonts w:ascii="Arial" w:hAnsi="Arial" w:cs="Arial"/>
          <w:color w:val="000000"/>
          <w:sz w:val="24"/>
          <w:szCs w:val="24"/>
          <w:lang w:val="en-GB"/>
        </w:rPr>
        <w:t>ICFs</w:t>
      </w:r>
      <w:r>
        <w:rPr>
          <w:rFonts w:ascii="Arial" w:hAnsi="Arial" w:cs="Arial"/>
          <w:color w:val="000000"/>
          <w:sz w:val="24"/>
          <w:szCs w:val="24"/>
          <w:lang w:val="en-GB"/>
        </w:rPr>
        <w:t>)</w:t>
      </w:r>
      <w:r w:rsidRPr="00C34CD0">
        <w:rPr>
          <w:rFonts w:ascii="Arial" w:hAnsi="Arial" w:cs="Arial"/>
          <w:color w:val="000000"/>
          <w:sz w:val="24"/>
          <w:szCs w:val="24"/>
          <w:lang w:val="en-GB"/>
        </w:rPr>
        <w:t xml:space="preserve">, interview </w:t>
      </w:r>
      <w:r>
        <w:rPr>
          <w:rFonts w:ascii="Arial" w:hAnsi="Arial" w:cs="Arial"/>
          <w:color w:val="000000"/>
          <w:sz w:val="24"/>
          <w:szCs w:val="24"/>
          <w:lang w:val="en-GB"/>
        </w:rPr>
        <w:t>t</w:t>
      </w:r>
      <w:r w:rsidRPr="0081321D">
        <w:rPr>
          <w:rFonts w:ascii="Arial" w:hAnsi="Arial" w:cs="Arial"/>
          <w:color w:val="000000"/>
          <w:sz w:val="24"/>
          <w:szCs w:val="24"/>
          <w:lang w:val="en-GB"/>
        </w:rPr>
        <w:t>ranscripts</w:t>
      </w:r>
      <w:r w:rsidRPr="00C34CD0">
        <w:rPr>
          <w:rFonts w:ascii="Arial" w:hAnsi="Arial" w:cs="Arial"/>
          <w:color w:val="000000"/>
          <w:sz w:val="24"/>
          <w:szCs w:val="24"/>
          <w:lang w:val="en-GB"/>
        </w:rPr>
        <w:t xml:space="preserve">, and anonymised datasets, audio files) are securely retained until finishing the research project and having a PhD degree. Audio files will be destroyed following successful completion of the PhD course as per the site file guidelines or when it is no longer needed. A Google calendar note will be added reminding the researchers about the maximum period by which data should be deleted. </w:t>
      </w:r>
    </w:p>
    <w:p w14:paraId="23D745E9" w14:textId="77777777" w:rsidR="00EB7F85" w:rsidRPr="001B26EC" w:rsidRDefault="00EB7F85" w:rsidP="00337920">
      <w:pPr>
        <w:spacing w:line="360" w:lineRule="auto"/>
        <w:jc w:val="both"/>
        <w:rPr>
          <w:rFonts w:ascii="Arial" w:hAnsi="Arial" w:cs="Arial"/>
          <w:color w:val="000000"/>
          <w:sz w:val="24"/>
          <w:szCs w:val="24"/>
          <w:lang w:val="en-GB"/>
        </w:rPr>
      </w:pPr>
      <w:r w:rsidRPr="00C34CD0">
        <w:rPr>
          <w:rFonts w:ascii="Arial" w:hAnsi="Arial" w:cs="Arial"/>
          <w:color w:val="000000"/>
          <w:sz w:val="24"/>
          <w:szCs w:val="24"/>
          <w:lang w:val="en-GB"/>
        </w:rPr>
        <w:t xml:space="preserve"> The data that needs to be preserved for longer-term, will then be archived in line with the University of Sheffield’s Research Data Management Policy, which is a component of the University's Policy on Good R&amp;I Practices (the 'GRIP' Policy). The University of Sheffield records retention schedule states that the minimum retention period for research data and records of research is to the end of research + 10 years (</w:t>
      </w:r>
      <w:hyperlink r:id="rId10" w:history="1">
        <w:r w:rsidRPr="00C34CD0">
          <w:rPr>
            <w:rFonts w:ascii="Arial" w:hAnsi="Arial" w:cs="Arial"/>
            <w:color w:val="000000"/>
            <w:sz w:val="24"/>
            <w:szCs w:val="24"/>
            <w:lang w:val="en-GB"/>
          </w:rPr>
          <w:t>https://www.sheffield.ac.uk/polopoly_fs/1.821413!/file/2019_UoS_retention_schedule_rewrite_v2.3.pdf</w:t>
        </w:r>
      </w:hyperlink>
      <w:r w:rsidRPr="00C34CD0">
        <w:rPr>
          <w:rFonts w:ascii="Arial" w:hAnsi="Arial" w:cs="Arial"/>
          <w:color w:val="000000"/>
          <w:sz w:val="24"/>
          <w:szCs w:val="24"/>
          <w:lang w:val="en-GB"/>
        </w:rPr>
        <w:t>)</w:t>
      </w:r>
    </w:p>
    <w:p w14:paraId="14A1B185" w14:textId="77777777" w:rsidR="00EB7F85" w:rsidRPr="000031D5" w:rsidRDefault="00EB7F85" w:rsidP="00EB7F85">
      <w:pPr>
        <w:spacing w:line="276" w:lineRule="auto"/>
        <w:jc w:val="both"/>
        <w:rPr>
          <w:rFonts w:ascii="Gill Sans MT" w:hAnsi="Gill Sans MT"/>
          <w:color w:val="FF0000"/>
          <w:lang w:val="en-GB"/>
        </w:rPr>
      </w:pPr>
    </w:p>
    <w:p w14:paraId="1A2405CC" w14:textId="77777777" w:rsidR="00EB7F85" w:rsidRDefault="00EB7F85" w:rsidP="00EB7F85">
      <w:pPr>
        <w:pStyle w:val="Heading3"/>
        <w:numPr>
          <w:ilvl w:val="2"/>
          <w:numId w:val="14"/>
        </w:numPr>
        <w:spacing w:line="257" w:lineRule="auto"/>
        <w:ind w:left="0" w:firstLine="0"/>
      </w:pPr>
      <w:bookmarkStart w:id="153" w:name="_Toc122626403"/>
      <w:bookmarkStart w:id="154" w:name="_Toc153894186"/>
      <w:r w:rsidRPr="00737CBD">
        <w:t>Ethic</w:t>
      </w:r>
      <w:r>
        <w:t>al considerations</w:t>
      </w:r>
      <w:bookmarkEnd w:id="153"/>
      <w:bookmarkEnd w:id="154"/>
    </w:p>
    <w:p w14:paraId="72FF2BB6" w14:textId="77777777" w:rsidR="00EB7F85" w:rsidRPr="000A6361" w:rsidRDefault="00EB7F85" w:rsidP="00EB7F85">
      <w:pPr>
        <w:spacing w:after="0"/>
      </w:pPr>
    </w:p>
    <w:p w14:paraId="423CE5B2" w14:textId="77777777" w:rsidR="00EB7F85" w:rsidRPr="00876389" w:rsidRDefault="00EB7F85" w:rsidP="00337920">
      <w:pPr>
        <w:pStyle w:val="Heading4"/>
        <w:numPr>
          <w:ilvl w:val="3"/>
          <w:numId w:val="14"/>
        </w:numPr>
        <w:tabs>
          <w:tab w:val="left" w:pos="810"/>
        </w:tabs>
        <w:spacing w:line="360" w:lineRule="auto"/>
        <w:ind w:left="360" w:hanging="360"/>
        <w:rPr>
          <w:rFonts w:asciiTheme="minorBidi" w:hAnsiTheme="minorBidi" w:cstheme="minorBidi"/>
          <w:sz w:val="24"/>
          <w:szCs w:val="24"/>
        </w:rPr>
      </w:pPr>
      <w:r w:rsidRPr="00876389">
        <w:rPr>
          <w:rFonts w:asciiTheme="minorBidi" w:hAnsiTheme="minorBidi" w:cstheme="minorBidi"/>
          <w:sz w:val="24"/>
          <w:szCs w:val="24"/>
        </w:rPr>
        <w:t xml:space="preserve">Disclosure </w:t>
      </w:r>
    </w:p>
    <w:p w14:paraId="3544ABD1" w14:textId="77777777" w:rsidR="00EB7F85" w:rsidRPr="002F5A84" w:rsidRDefault="00EB7F85" w:rsidP="00EB7F85">
      <w:pPr>
        <w:spacing w:line="360" w:lineRule="auto"/>
        <w:jc w:val="both"/>
        <w:rPr>
          <w:rFonts w:ascii="Arial" w:hAnsi="Arial" w:cs="Arial"/>
          <w:color w:val="000000"/>
          <w:sz w:val="24"/>
          <w:szCs w:val="24"/>
          <w:lang w:val="en-GB"/>
        </w:rPr>
      </w:pPr>
      <w:r w:rsidRPr="006B2FC7">
        <w:rPr>
          <w:rFonts w:ascii="Arial" w:hAnsi="Arial" w:cs="Arial"/>
          <w:color w:val="000000"/>
          <w:sz w:val="24"/>
          <w:szCs w:val="24"/>
        </w:rPr>
        <w:t xml:space="preserve">Principles of transparency and consent </w:t>
      </w:r>
      <w:r>
        <w:rPr>
          <w:rFonts w:ascii="Arial" w:hAnsi="Arial" w:cs="Arial"/>
          <w:color w:val="000000"/>
          <w:sz w:val="24"/>
          <w:szCs w:val="24"/>
        </w:rPr>
        <w:t>were</w:t>
      </w:r>
      <w:r w:rsidRPr="006B2FC7">
        <w:rPr>
          <w:rFonts w:ascii="Arial" w:hAnsi="Arial" w:cs="Arial"/>
          <w:color w:val="000000"/>
          <w:sz w:val="24"/>
          <w:szCs w:val="24"/>
        </w:rPr>
        <w:t xml:space="preserve"> carefully considered in this research. </w:t>
      </w:r>
      <w:r w:rsidRPr="006B2FC7">
        <w:rPr>
          <w:rFonts w:ascii="Arial" w:hAnsi="Arial" w:cs="Arial"/>
          <w:color w:val="000000"/>
          <w:sz w:val="24"/>
          <w:szCs w:val="24"/>
          <w:lang w:val="en-GB"/>
        </w:rPr>
        <w:t>Th</w:t>
      </w:r>
      <w:r>
        <w:rPr>
          <w:rFonts w:ascii="Arial" w:hAnsi="Arial" w:cs="Arial"/>
          <w:color w:val="000000"/>
          <w:sz w:val="24"/>
          <w:szCs w:val="24"/>
          <w:lang w:val="en-GB"/>
        </w:rPr>
        <w:t>is</w:t>
      </w:r>
      <w:r w:rsidRPr="006B2FC7">
        <w:rPr>
          <w:rFonts w:ascii="Arial" w:hAnsi="Arial" w:cs="Arial"/>
          <w:color w:val="000000"/>
          <w:sz w:val="24"/>
          <w:szCs w:val="24"/>
          <w:lang w:val="en-GB"/>
        </w:rPr>
        <w:t xml:space="preserve"> </w:t>
      </w:r>
      <w:r>
        <w:rPr>
          <w:rFonts w:ascii="Arial" w:hAnsi="Arial" w:cs="Arial"/>
          <w:color w:val="000000"/>
          <w:sz w:val="24"/>
          <w:szCs w:val="24"/>
          <w:lang w:val="en-GB"/>
        </w:rPr>
        <w:t>research</w:t>
      </w:r>
      <w:r w:rsidRPr="006B2FC7">
        <w:rPr>
          <w:rFonts w:ascii="Arial" w:hAnsi="Arial" w:cs="Arial"/>
          <w:color w:val="000000"/>
          <w:sz w:val="24"/>
          <w:szCs w:val="24"/>
          <w:lang w:val="en-GB"/>
        </w:rPr>
        <w:t xml:space="preserve"> </w:t>
      </w:r>
      <w:r>
        <w:rPr>
          <w:rFonts w:ascii="Arial" w:hAnsi="Arial" w:cs="Arial"/>
          <w:color w:val="000000"/>
          <w:sz w:val="24"/>
          <w:szCs w:val="24"/>
          <w:lang w:val="en-GB"/>
        </w:rPr>
        <w:t>was</w:t>
      </w:r>
      <w:r w:rsidRPr="006B2FC7">
        <w:rPr>
          <w:rFonts w:ascii="Arial" w:hAnsi="Arial" w:cs="Arial"/>
          <w:color w:val="000000"/>
          <w:sz w:val="24"/>
          <w:szCs w:val="24"/>
          <w:lang w:val="en-GB"/>
        </w:rPr>
        <w:t xml:space="preserve"> informed by recognised principles of informed consent, anonymity and confidentiality.</w:t>
      </w:r>
      <w:r>
        <w:rPr>
          <w:rFonts w:ascii="Arial" w:hAnsi="Arial" w:cs="Arial"/>
          <w:color w:val="000000"/>
          <w:sz w:val="24"/>
          <w:szCs w:val="24"/>
          <w:lang w:val="en-GB"/>
        </w:rPr>
        <w:t xml:space="preserve"> </w:t>
      </w:r>
      <w:r w:rsidRPr="004E35CA">
        <w:rPr>
          <w:rFonts w:ascii="Arial" w:hAnsi="Arial" w:cs="Arial"/>
          <w:color w:val="000000"/>
          <w:sz w:val="24"/>
          <w:szCs w:val="24"/>
        </w:rPr>
        <w:t xml:space="preserve">All of the participants were treated in accordance with the ethical guidelines outlined by the university research governance procedure. </w:t>
      </w:r>
      <w:r w:rsidRPr="006B2FC7">
        <w:rPr>
          <w:rFonts w:ascii="Arial" w:hAnsi="Arial" w:cs="Arial"/>
          <w:color w:val="000000"/>
          <w:sz w:val="24"/>
          <w:szCs w:val="24"/>
        </w:rPr>
        <w:t xml:space="preserve">Participants </w:t>
      </w:r>
      <w:r>
        <w:rPr>
          <w:rFonts w:ascii="Arial" w:hAnsi="Arial" w:cs="Arial"/>
          <w:color w:val="000000"/>
          <w:sz w:val="24"/>
          <w:szCs w:val="24"/>
        </w:rPr>
        <w:t>were</w:t>
      </w:r>
      <w:r w:rsidRPr="006B2FC7">
        <w:rPr>
          <w:rFonts w:ascii="Arial" w:hAnsi="Arial" w:cs="Arial"/>
          <w:color w:val="000000"/>
          <w:sz w:val="24"/>
          <w:szCs w:val="24"/>
        </w:rPr>
        <w:t xml:space="preserve"> fully informed about all the aspects of research project through an approved Information Sheet outlining the purpose of the study, the legal basis for the collection and use </w:t>
      </w:r>
      <w:r>
        <w:rPr>
          <w:rFonts w:ascii="Arial" w:hAnsi="Arial" w:cs="Arial"/>
          <w:color w:val="000000"/>
          <w:sz w:val="24"/>
          <w:szCs w:val="24"/>
        </w:rPr>
        <w:t xml:space="preserve">of </w:t>
      </w:r>
      <w:r w:rsidRPr="006B2FC7">
        <w:rPr>
          <w:rFonts w:ascii="Arial" w:hAnsi="Arial" w:cs="Arial"/>
          <w:color w:val="000000"/>
          <w:sz w:val="24"/>
          <w:szCs w:val="24"/>
        </w:rPr>
        <w:t xml:space="preserve">their data, who is undertaking and who is sponsoring the study, how participant </w:t>
      </w:r>
      <w:r w:rsidRPr="006B2FC7">
        <w:rPr>
          <w:rFonts w:ascii="Arial" w:hAnsi="Arial" w:cs="Arial"/>
          <w:color w:val="000000"/>
          <w:sz w:val="24"/>
          <w:szCs w:val="24"/>
          <w:lang w:val="en-GB"/>
        </w:rPr>
        <w:t xml:space="preserve">anonymity and confidentiality </w:t>
      </w:r>
      <w:r w:rsidRPr="006B2FC7">
        <w:rPr>
          <w:rFonts w:ascii="Arial" w:hAnsi="Arial" w:cs="Arial"/>
          <w:color w:val="000000"/>
          <w:sz w:val="24"/>
          <w:szCs w:val="24"/>
        </w:rPr>
        <w:t>will be safeguarded</w:t>
      </w:r>
      <w:r>
        <w:rPr>
          <w:rFonts w:ascii="Arial" w:hAnsi="Arial" w:cs="Arial"/>
          <w:color w:val="000000"/>
          <w:sz w:val="24"/>
          <w:szCs w:val="24"/>
        </w:rPr>
        <w:t>;</w:t>
      </w:r>
      <w:r w:rsidRPr="006B2FC7">
        <w:rPr>
          <w:rFonts w:ascii="Arial" w:hAnsi="Arial" w:cs="Arial"/>
          <w:color w:val="000000"/>
          <w:sz w:val="24"/>
          <w:szCs w:val="24"/>
        </w:rPr>
        <w:t xml:space="preserve"> </w:t>
      </w:r>
      <w:r w:rsidRPr="006B2FC7">
        <w:rPr>
          <w:rFonts w:ascii="Arial" w:hAnsi="Arial" w:cs="Arial"/>
          <w:color w:val="000000"/>
          <w:sz w:val="24"/>
          <w:szCs w:val="24"/>
          <w:lang w:val="en-GB"/>
        </w:rPr>
        <w:t xml:space="preserve">these processes establish the idea of beneficence and trust. The participants, therefore, </w:t>
      </w:r>
      <w:r>
        <w:rPr>
          <w:rFonts w:ascii="Arial" w:hAnsi="Arial" w:cs="Arial"/>
          <w:color w:val="000000"/>
          <w:sz w:val="24"/>
          <w:szCs w:val="24"/>
          <w:lang w:val="en-GB"/>
        </w:rPr>
        <w:t xml:space="preserve">were </w:t>
      </w:r>
      <w:r w:rsidRPr="006B2FC7">
        <w:rPr>
          <w:rFonts w:ascii="Arial" w:hAnsi="Arial" w:cs="Arial"/>
          <w:color w:val="000000"/>
          <w:sz w:val="24"/>
          <w:szCs w:val="24"/>
          <w:lang w:val="en-GB"/>
        </w:rPr>
        <w:t>made aware that only essential information needed to complete the study will be collected</w:t>
      </w:r>
      <w:r>
        <w:rPr>
          <w:rFonts w:ascii="Arial" w:hAnsi="Arial" w:cs="Arial"/>
          <w:color w:val="000000"/>
          <w:sz w:val="24"/>
          <w:szCs w:val="24"/>
          <w:lang w:val="en-GB"/>
        </w:rPr>
        <w:t>;</w:t>
      </w:r>
      <w:r w:rsidRPr="006B2FC7">
        <w:rPr>
          <w:rFonts w:ascii="Arial" w:hAnsi="Arial" w:cs="Arial"/>
          <w:color w:val="000000"/>
          <w:sz w:val="24"/>
          <w:szCs w:val="24"/>
          <w:lang w:val="en-GB"/>
        </w:rPr>
        <w:t xml:space="preserve"> if identifying names or places or other information is used, these information </w:t>
      </w:r>
      <w:r>
        <w:rPr>
          <w:rFonts w:ascii="Arial" w:hAnsi="Arial" w:cs="Arial"/>
          <w:color w:val="000000"/>
          <w:sz w:val="24"/>
          <w:szCs w:val="24"/>
          <w:lang w:val="en-GB"/>
        </w:rPr>
        <w:t>are</w:t>
      </w:r>
      <w:r w:rsidRPr="006B2FC7">
        <w:rPr>
          <w:rFonts w:ascii="Arial" w:hAnsi="Arial" w:cs="Arial"/>
          <w:color w:val="000000"/>
          <w:sz w:val="24"/>
          <w:szCs w:val="24"/>
          <w:lang w:val="en-GB"/>
        </w:rPr>
        <w:t xml:space="preserve"> securely stored </w:t>
      </w:r>
      <w:r w:rsidRPr="006B2FC7">
        <w:rPr>
          <w:rFonts w:ascii="Arial" w:hAnsi="Arial" w:cs="Arial"/>
          <w:sz w:val="24"/>
          <w:szCs w:val="24"/>
          <w:lang w:val="en-GB"/>
        </w:rPr>
        <w:t>in the university network filestore</w:t>
      </w:r>
      <w:r w:rsidRPr="006B2FC7">
        <w:rPr>
          <w:rFonts w:ascii="Arial" w:hAnsi="Arial" w:cs="Arial"/>
          <w:color w:val="000000"/>
          <w:sz w:val="24"/>
          <w:szCs w:val="24"/>
          <w:lang w:val="en-GB"/>
        </w:rPr>
        <w:t xml:space="preserve">, accessible to the researcher only, and destroyed immediately when it is no longer needed. </w:t>
      </w:r>
      <w:bookmarkStart w:id="155" w:name="_Toc27405021"/>
      <w:bookmarkStart w:id="156" w:name="_Toc51257217"/>
    </w:p>
    <w:p w14:paraId="268035B6" w14:textId="77777777" w:rsidR="00EB7F85" w:rsidRPr="00876389" w:rsidRDefault="00EB7F85" w:rsidP="00337920">
      <w:pPr>
        <w:pStyle w:val="Heading4"/>
        <w:numPr>
          <w:ilvl w:val="3"/>
          <w:numId w:val="14"/>
        </w:numPr>
        <w:tabs>
          <w:tab w:val="left" w:pos="810"/>
        </w:tabs>
        <w:spacing w:line="360" w:lineRule="auto"/>
        <w:ind w:left="360" w:hanging="360"/>
        <w:rPr>
          <w:rFonts w:asciiTheme="minorBidi" w:hAnsiTheme="minorBidi" w:cstheme="minorBidi"/>
          <w:sz w:val="24"/>
          <w:szCs w:val="24"/>
        </w:rPr>
      </w:pPr>
      <w:r w:rsidRPr="00876389">
        <w:rPr>
          <w:rFonts w:asciiTheme="minorBidi" w:hAnsiTheme="minorBidi" w:cstheme="minorBidi"/>
          <w:sz w:val="24"/>
          <w:szCs w:val="24"/>
        </w:rPr>
        <w:t>Consent form</w:t>
      </w:r>
    </w:p>
    <w:p w14:paraId="1F995738" w14:textId="77777777" w:rsidR="00EB7F85" w:rsidRPr="001F39C2" w:rsidRDefault="00EB7F85" w:rsidP="00EB7F85">
      <w:pPr>
        <w:spacing w:line="360" w:lineRule="auto"/>
        <w:jc w:val="both"/>
        <w:rPr>
          <w:rFonts w:ascii="Arial" w:hAnsi="Arial" w:cs="Arial"/>
          <w:color w:val="000000"/>
          <w:sz w:val="24"/>
          <w:szCs w:val="24"/>
          <w:lang w:val="en-GB"/>
        </w:rPr>
      </w:pPr>
      <w:r w:rsidRPr="001F39C2">
        <w:rPr>
          <w:rFonts w:ascii="Arial" w:hAnsi="Arial" w:cs="Arial"/>
          <w:color w:val="000000"/>
          <w:sz w:val="24"/>
          <w:szCs w:val="24"/>
          <w:lang w:val="en-GB"/>
        </w:rPr>
        <w:t xml:space="preserve">Consent was obtained in different ways depending on the stage of the research. </w:t>
      </w:r>
    </w:p>
    <w:p w14:paraId="58B3B97D" w14:textId="77777777" w:rsidR="00EB7F85" w:rsidRPr="00876389" w:rsidRDefault="00EB7F85" w:rsidP="00EB7F85">
      <w:pPr>
        <w:pStyle w:val="Heading5"/>
        <w:spacing w:line="360" w:lineRule="auto"/>
        <w:rPr>
          <w:rFonts w:asciiTheme="minorBidi" w:hAnsiTheme="minorBidi" w:cstheme="minorBidi"/>
          <w:sz w:val="24"/>
          <w:szCs w:val="24"/>
        </w:rPr>
      </w:pPr>
      <w:r w:rsidRPr="00876389">
        <w:rPr>
          <w:rFonts w:asciiTheme="minorBidi" w:hAnsiTheme="minorBidi" w:cstheme="minorBidi"/>
          <w:sz w:val="24"/>
          <w:szCs w:val="24"/>
        </w:rPr>
        <w:t>For the first phase; quantitative online survey:</w:t>
      </w:r>
    </w:p>
    <w:p w14:paraId="01DFC874" w14:textId="77777777" w:rsidR="00EB7F85" w:rsidRPr="001F39C2" w:rsidRDefault="00EB7F85" w:rsidP="00EB7F85">
      <w:pPr>
        <w:spacing w:line="360" w:lineRule="auto"/>
        <w:jc w:val="both"/>
        <w:rPr>
          <w:rFonts w:ascii="Arial" w:hAnsi="Arial" w:cs="Arial"/>
          <w:color w:val="000000"/>
          <w:sz w:val="24"/>
          <w:szCs w:val="24"/>
          <w:lang w:val="en-GB"/>
        </w:rPr>
      </w:pPr>
      <w:r w:rsidRPr="001F39C2">
        <w:rPr>
          <w:rFonts w:ascii="Arial" w:hAnsi="Arial" w:cs="Arial"/>
          <w:color w:val="000000"/>
          <w:sz w:val="24"/>
          <w:szCs w:val="24"/>
          <w:lang w:val="en-GB"/>
        </w:rPr>
        <w:t>Individual implied consent was obtained, t</w:t>
      </w:r>
      <w:r w:rsidRPr="006B2FC7">
        <w:rPr>
          <w:rFonts w:ascii="Arial" w:hAnsi="Arial" w:cs="Arial"/>
          <w:color w:val="000000"/>
          <w:sz w:val="24"/>
          <w:szCs w:val="24"/>
          <w:lang w:val="en-GB"/>
        </w:rPr>
        <w:t xml:space="preserve">his </w:t>
      </w:r>
      <w:r>
        <w:rPr>
          <w:rFonts w:ascii="Arial" w:hAnsi="Arial" w:cs="Arial"/>
          <w:color w:val="000000"/>
          <w:sz w:val="24"/>
          <w:szCs w:val="24"/>
          <w:lang w:val="en-GB"/>
        </w:rPr>
        <w:t>was</w:t>
      </w:r>
      <w:r w:rsidRPr="006B2FC7">
        <w:rPr>
          <w:rFonts w:ascii="Arial" w:hAnsi="Arial" w:cs="Arial"/>
          <w:color w:val="000000"/>
          <w:sz w:val="24"/>
          <w:szCs w:val="24"/>
          <w:lang w:val="en-GB"/>
        </w:rPr>
        <w:t xml:space="preserve"> done through well-recognised process</w:t>
      </w:r>
      <w:r>
        <w:rPr>
          <w:rFonts w:ascii="Arial" w:hAnsi="Arial" w:cs="Arial"/>
          <w:color w:val="000000"/>
          <w:sz w:val="24"/>
          <w:szCs w:val="24"/>
          <w:lang w:val="en-GB"/>
        </w:rPr>
        <w:t>,</w:t>
      </w:r>
      <w:r w:rsidRPr="006B2FC7">
        <w:rPr>
          <w:rFonts w:ascii="Arial" w:hAnsi="Arial" w:cs="Arial"/>
          <w:color w:val="000000"/>
          <w:sz w:val="24"/>
          <w:szCs w:val="24"/>
          <w:lang w:val="en-GB"/>
        </w:rPr>
        <w:t xml:space="preserve"> </w:t>
      </w:r>
      <w:r w:rsidRPr="001F39C2">
        <w:rPr>
          <w:rFonts w:ascii="Arial" w:hAnsi="Arial" w:cs="Arial"/>
          <w:color w:val="000000"/>
          <w:sz w:val="24"/>
          <w:szCs w:val="24"/>
          <w:lang w:val="en-GB"/>
        </w:rPr>
        <w:t xml:space="preserve">participants were able to review full study information and by completing the survey and submitting, give implied consent to participate. A link to the detailed Participant Information Sheet (PIS) was included in the first page of the online survey (using Qualtrics). The PIS was </w:t>
      </w:r>
      <w:r>
        <w:rPr>
          <w:rFonts w:ascii="Arial" w:hAnsi="Arial" w:cs="Arial"/>
          <w:color w:val="000000"/>
          <w:sz w:val="24"/>
          <w:szCs w:val="24"/>
          <w:lang w:val="en-GB"/>
        </w:rPr>
        <w:t>developed</w:t>
      </w:r>
      <w:r w:rsidRPr="001F39C2">
        <w:rPr>
          <w:rFonts w:ascii="Arial" w:hAnsi="Arial" w:cs="Arial"/>
          <w:color w:val="000000"/>
          <w:sz w:val="24"/>
          <w:szCs w:val="24"/>
          <w:lang w:val="en-GB"/>
        </w:rPr>
        <w:t xml:space="preserve"> using </w:t>
      </w:r>
      <w:r>
        <w:rPr>
          <w:rFonts w:ascii="Arial" w:hAnsi="Arial" w:cs="Arial"/>
          <w:color w:val="000000"/>
          <w:sz w:val="24"/>
          <w:szCs w:val="24"/>
          <w:lang w:val="en-GB"/>
        </w:rPr>
        <w:t xml:space="preserve">the </w:t>
      </w:r>
      <w:r w:rsidRPr="001F39C2">
        <w:rPr>
          <w:rFonts w:ascii="Arial" w:hAnsi="Arial" w:cs="Arial"/>
          <w:color w:val="000000"/>
          <w:sz w:val="24"/>
          <w:szCs w:val="24"/>
          <w:lang w:val="en-GB"/>
        </w:rPr>
        <w:t>standard</w:t>
      </w:r>
      <w:r>
        <w:rPr>
          <w:rFonts w:ascii="Arial" w:hAnsi="Arial" w:cs="Arial"/>
          <w:color w:val="000000"/>
          <w:sz w:val="24"/>
          <w:szCs w:val="24"/>
          <w:lang w:val="en-GB"/>
        </w:rPr>
        <w:t xml:space="preserve"> </w:t>
      </w:r>
      <w:r w:rsidRPr="001F39C2">
        <w:rPr>
          <w:rFonts w:ascii="Arial" w:hAnsi="Arial" w:cs="Arial"/>
          <w:color w:val="000000"/>
          <w:sz w:val="24"/>
          <w:szCs w:val="24"/>
          <w:lang w:val="en-GB"/>
        </w:rPr>
        <w:t>University Research Ethics Committee (UREC) information sheet and adapted for this study.</w:t>
      </w:r>
      <w:r>
        <w:rPr>
          <w:rFonts w:ascii="Arial" w:hAnsi="Arial" w:cs="Arial"/>
          <w:color w:val="000000"/>
          <w:sz w:val="24"/>
          <w:szCs w:val="24"/>
          <w:lang w:val="en-GB"/>
        </w:rPr>
        <w:t xml:space="preserve"> links and copies to the</w:t>
      </w:r>
      <w:r w:rsidRPr="001F39C2">
        <w:rPr>
          <w:rFonts w:ascii="Arial" w:hAnsi="Arial" w:cs="Arial"/>
          <w:color w:val="000000"/>
          <w:sz w:val="24"/>
          <w:szCs w:val="24"/>
          <w:lang w:val="en-GB"/>
        </w:rPr>
        <w:t xml:space="preserve"> PIS </w:t>
      </w:r>
      <w:r>
        <w:rPr>
          <w:rFonts w:ascii="Arial" w:hAnsi="Arial" w:cs="Arial"/>
          <w:color w:val="000000"/>
          <w:sz w:val="24"/>
          <w:szCs w:val="24"/>
          <w:lang w:val="en-GB"/>
        </w:rPr>
        <w:t>for the questionnaire are</w:t>
      </w:r>
      <w:r w:rsidRPr="001F39C2">
        <w:rPr>
          <w:rFonts w:ascii="Arial" w:hAnsi="Arial" w:cs="Arial"/>
          <w:color w:val="000000"/>
          <w:sz w:val="24"/>
          <w:szCs w:val="24"/>
          <w:lang w:val="en-GB"/>
        </w:rPr>
        <w:t xml:space="preserve"> attached in </w:t>
      </w:r>
      <w:r>
        <w:rPr>
          <w:rFonts w:ascii="Arial" w:hAnsi="Arial" w:cs="Arial"/>
          <w:color w:val="000000"/>
          <w:sz w:val="24"/>
          <w:szCs w:val="24"/>
          <w:lang w:val="en-GB"/>
        </w:rPr>
        <w:fldChar w:fldCharType="begin"/>
      </w:r>
      <w:r>
        <w:rPr>
          <w:rFonts w:ascii="Arial" w:hAnsi="Arial" w:cs="Arial"/>
          <w:color w:val="000000"/>
          <w:sz w:val="24"/>
          <w:szCs w:val="24"/>
          <w:lang w:val="en-GB"/>
        </w:rPr>
        <w:instrText xml:space="preserve"> REF _Ref125819352 \h  \* MERGEFORMAT </w:instrText>
      </w:r>
      <w:r>
        <w:rPr>
          <w:rFonts w:ascii="Arial" w:hAnsi="Arial" w:cs="Arial"/>
          <w:color w:val="000000"/>
          <w:sz w:val="24"/>
          <w:szCs w:val="24"/>
          <w:lang w:val="en-GB"/>
        </w:rPr>
      </w:r>
      <w:r>
        <w:rPr>
          <w:rFonts w:ascii="Arial" w:hAnsi="Arial" w:cs="Arial"/>
          <w:color w:val="000000"/>
          <w:sz w:val="24"/>
          <w:szCs w:val="24"/>
          <w:lang w:val="en-GB"/>
        </w:rPr>
        <w:fldChar w:fldCharType="separate"/>
      </w:r>
      <w:r w:rsidRPr="00F412AD">
        <w:rPr>
          <w:rFonts w:ascii="Arial" w:hAnsi="Arial" w:cs="Arial"/>
          <w:color w:val="1F3864" w:themeColor="accent1" w:themeShade="80"/>
          <w:sz w:val="24"/>
          <w:szCs w:val="24"/>
          <w:lang w:val="en-GB"/>
        </w:rPr>
        <w:t>Appendix L</w:t>
      </w:r>
      <w:r>
        <w:rPr>
          <w:rFonts w:eastAsiaTheme="minorEastAsia"/>
          <w:lang w:val="en-GB" w:eastAsia="en-GB"/>
        </w:rPr>
        <w:t>.</w:t>
      </w:r>
      <w:r>
        <w:rPr>
          <w:rFonts w:ascii="Arial" w:hAnsi="Arial" w:cs="Arial"/>
          <w:color w:val="000000"/>
          <w:sz w:val="24"/>
          <w:szCs w:val="24"/>
          <w:lang w:val="en-GB"/>
        </w:rPr>
        <w:fldChar w:fldCharType="end"/>
      </w:r>
    </w:p>
    <w:p w14:paraId="0119CE08" w14:textId="77777777" w:rsidR="00EB7F85" w:rsidRPr="00876389" w:rsidRDefault="00EB7F85" w:rsidP="00EB7F85">
      <w:pPr>
        <w:pStyle w:val="Heading5"/>
        <w:spacing w:line="360" w:lineRule="auto"/>
        <w:rPr>
          <w:rFonts w:asciiTheme="minorBidi" w:hAnsiTheme="minorBidi" w:cstheme="minorBidi"/>
          <w:sz w:val="24"/>
          <w:szCs w:val="24"/>
        </w:rPr>
      </w:pPr>
      <w:r w:rsidRPr="00876389">
        <w:rPr>
          <w:rFonts w:asciiTheme="minorBidi" w:hAnsiTheme="minorBidi" w:cstheme="minorBidi"/>
          <w:sz w:val="24"/>
          <w:szCs w:val="24"/>
        </w:rPr>
        <w:t>For the second phase; qualitative interviews:</w:t>
      </w:r>
    </w:p>
    <w:p w14:paraId="5601ABC0" w14:textId="77777777" w:rsidR="00EB7F85" w:rsidRPr="00354970" w:rsidRDefault="00EB7F85" w:rsidP="00EB7F85">
      <w:pPr>
        <w:spacing w:line="360" w:lineRule="auto"/>
        <w:jc w:val="both"/>
        <w:rPr>
          <w:rFonts w:ascii="Arial" w:hAnsi="Arial" w:cs="Arial"/>
          <w:color w:val="000000"/>
          <w:sz w:val="24"/>
          <w:szCs w:val="24"/>
          <w:lang w:val="en-GB"/>
        </w:rPr>
      </w:pPr>
      <w:r w:rsidRPr="00354970">
        <w:rPr>
          <w:rFonts w:ascii="Arial" w:hAnsi="Arial" w:cs="Arial"/>
          <w:color w:val="000000"/>
          <w:sz w:val="24"/>
          <w:szCs w:val="24"/>
          <w:lang w:val="en-GB"/>
        </w:rPr>
        <w:t>Individual informed consent is required in this phase</w:t>
      </w:r>
      <w:r>
        <w:rPr>
          <w:rFonts w:ascii="Arial" w:hAnsi="Arial" w:cs="Arial"/>
          <w:color w:val="000000"/>
          <w:sz w:val="24"/>
          <w:szCs w:val="24"/>
          <w:lang w:val="en-GB"/>
        </w:rPr>
        <w:t>;</w:t>
      </w:r>
      <w:r w:rsidRPr="006B2FC7">
        <w:rPr>
          <w:rFonts w:ascii="Arial" w:hAnsi="Arial" w:cs="Arial"/>
          <w:color w:val="000000"/>
          <w:sz w:val="24"/>
          <w:szCs w:val="24"/>
          <w:lang w:val="en-GB"/>
        </w:rPr>
        <w:t xml:space="preserve"> this use</w:t>
      </w:r>
      <w:r>
        <w:rPr>
          <w:rFonts w:ascii="Arial" w:hAnsi="Arial" w:cs="Arial"/>
          <w:color w:val="000000"/>
          <w:sz w:val="24"/>
          <w:szCs w:val="24"/>
          <w:lang w:val="en-GB"/>
        </w:rPr>
        <w:t>d</w:t>
      </w:r>
      <w:r w:rsidRPr="006B2FC7">
        <w:rPr>
          <w:rFonts w:ascii="Arial" w:hAnsi="Arial" w:cs="Arial"/>
          <w:color w:val="000000"/>
          <w:sz w:val="24"/>
          <w:szCs w:val="24"/>
          <w:lang w:val="en-GB"/>
        </w:rPr>
        <w:t xml:space="preserve"> informed consent through the use of consent forms.</w:t>
      </w:r>
    </w:p>
    <w:p w14:paraId="1926C0FC" w14:textId="77777777" w:rsidR="00EB7F85" w:rsidRPr="00876389" w:rsidRDefault="00EB7F85" w:rsidP="00EB7F85">
      <w:pPr>
        <w:pStyle w:val="Heading6"/>
        <w:spacing w:line="360" w:lineRule="auto"/>
        <w:rPr>
          <w:rFonts w:asciiTheme="minorBidi" w:hAnsiTheme="minorBidi" w:cstheme="minorBidi"/>
          <w:sz w:val="24"/>
          <w:szCs w:val="24"/>
        </w:rPr>
      </w:pPr>
      <w:r w:rsidRPr="00876389">
        <w:rPr>
          <w:rFonts w:asciiTheme="minorBidi" w:hAnsiTheme="minorBidi" w:cstheme="minorBidi"/>
          <w:sz w:val="24"/>
          <w:szCs w:val="24"/>
        </w:rPr>
        <w:t xml:space="preserve">Informed consent </w:t>
      </w:r>
    </w:p>
    <w:p w14:paraId="7EC63AEA" w14:textId="77777777" w:rsidR="00EB7F85" w:rsidRPr="00354970" w:rsidRDefault="00EB7F85" w:rsidP="00EB7F85">
      <w:pPr>
        <w:spacing w:line="360" w:lineRule="auto"/>
        <w:jc w:val="both"/>
        <w:rPr>
          <w:rFonts w:ascii="Arial" w:hAnsi="Arial" w:cs="Arial"/>
          <w:color w:val="000000"/>
          <w:sz w:val="24"/>
          <w:szCs w:val="24"/>
          <w:lang w:val="en-GB"/>
        </w:rPr>
      </w:pPr>
      <w:r w:rsidRPr="00354970">
        <w:rPr>
          <w:rFonts w:ascii="Arial" w:hAnsi="Arial" w:cs="Arial"/>
          <w:color w:val="000000"/>
          <w:sz w:val="24"/>
          <w:szCs w:val="24"/>
          <w:lang w:val="en-GB"/>
        </w:rPr>
        <w:t>The standard consent form was obtained from the UREC, and it was adapted for this study, see</w:t>
      </w:r>
      <w:r>
        <w:rPr>
          <w:rFonts w:ascii="Arial" w:hAnsi="Arial" w:cs="Arial"/>
          <w:color w:val="000000"/>
          <w:sz w:val="24"/>
          <w:szCs w:val="24"/>
          <w:lang w:val="en-GB"/>
        </w:rPr>
        <w:t xml:space="preserve"> </w:t>
      </w:r>
      <w:r w:rsidRPr="00837968">
        <w:rPr>
          <w:rFonts w:ascii="Arial" w:hAnsi="Arial" w:cs="Arial"/>
          <w:color w:val="1F4E79" w:themeColor="accent5" w:themeShade="80"/>
          <w:sz w:val="24"/>
          <w:szCs w:val="24"/>
          <w:lang w:val="en-GB"/>
        </w:rPr>
        <w:fldChar w:fldCharType="begin"/>
      </w:r>
      <w:r w:rsidRPr="00837968">
        <w:rPr>
          <w:rFonts w:ascii="Arial" w:hAnsi="Arial" w:cs="Arial"/>
          <w:color w:val="1F4E79" w:themeColor="accent5" w:themeShade="80"/>
          <w:sz w:val="24"/>
          <w:szCs w:val="24"/>
          <w:lang w:val="en-GB"/>
        </w:rPr>
        <w:instrText xml:space="preserve"> REF _Ref124779511 \h  \* MERGEFORMAT </w:instrText>
      </w:r>
      <w:r w:rsidRPr="00837968">
        <w:rPr>
          <w:rFonts w:ascii="Arial" w:hAnsi="Arial" w:cs="Arial"/>
          <w:color w:val="1F4E79" w:themeColor="accent5" w:themeShade="80"/>
          <w:sz w:val="24"/>
          <w:szCs w:val="24"/>
          <w:lang w:val="en-GB"/>
        </w:rPr>
      </w:r>
      <w:r w:rsidRPr="00837968">
        <w:rPr>
          <w:rFonts w:ascii="Arial" w:hAnsi="Arial" w:cs="Arial"/>
          <w:color w:val="1F4E79" w:themeColor="accent5" w:themeShade="80"/>
          <w:sz w:val="24"/>
          <w:szCs w:val="24"/>
          <w:lang w:val="en-GB"/>
        </w:rPr>
        <w:fldChar w:fldCharType="separate"/>
      </w:r>
      <w:r w:rsidRPr="00D31A8D">
        <w:rPr>
          <w:rFonts w:ascii="Arial" w:hAnsi="Arial" w:cs="Arial"/>
          <w:color w:val="1F4E79" w:themeColor="accent5" w:themeShade="80"/>
          <w:sz w:val="24"/>
          <w:szCs w:val="24"/>
          <w:lang w:val="en-GB"/>
        </w:rPr>
        <w:t>Appendix M</w:t>
      </w:r>
      <w:r w:rsidRPr="00837968">
        <w:rPr>
          <w:rFonts w:ascii="Arial" w:hAnsi="Arial" w:cs="Arial"/>
          <w:color w:val="1F4E79" w:themeColor="accent5" w:themeShade="80"/>
          <w:sz w:val="24"/>
          <w:szCs w:val="24"/>
          <w:lang w:val="en-GB"/>
        </w:rPr>
        <w:fldChar w:fldCharType="end"/>
      </w:r>
      <w:r w:rsidRPr="00354970">
        <w:rPr>
          <w:rFonts w:ascii="Arial" w:hAnsi="Arial" w:cs="Arial"/>
          <w:color w:val="000000"/>
          <w:sz w:val="24"/>
          <w:szCs w:val="24"/>
          <w:lang w:val="en-GB"/>
        </w:rPr>
        <w:t>. Informed consent was obtained from the participants prior</w:t>
      </w:r>
      <w:r>
        <w:rPr>
          <w:rFonts w:ascii="Arial" w:hAnsi="Arial" w:cs="Arial"/>
          <w:color w:val="000000"/>
          <w:sz w:val="24"/>
          <w:szCs w:val="24"/>
          <w:lang w:val="en-GB"/>
        </w:rPr>
        <w:t xml:space="preserve"> to</w:t>
      </w:r>
      <w:r w:rsidRPr="00354970">
        <w:rPr>
          <w:rFonts w:ascii="Arial" w:hAnsi="Arial" w:cs="Arial"/>
          <w:color w:val="000000"/>
          <w:sz w:val="24"/>
          <w:szCs w:val="24"/>
          <w:lang w:val="en-GB"/>
        </w:rPr>
        <w:t xml:space="preserve"> the interview as both consent form and participant information sheet were emailed to potential participants who are interested in the study. Participants who agree to take part in this research were contacted to select date and time are most convenient for them. </w:t>
      </w:r>
    </w:p>
    <w:bookmarkEnd w:id="155"/>
    <w:bookmarkEnd w:id="156"/>
    <w:p w14:paraId="15CF2C21" w14:textId="77777777" w:rsidR="00EB7F85" w:rsidRPr="00876389" w:rsidRDefault="00EB7F85" w:rsidP="00721982">
      <w:pPr>
        <w:pStyle w:val="Heading4"/>
        <w:numPr>
          <w:ilvl w:val="3"/>
          <w:numId w:val="14"/>
        </w:numPr>
        <w:tabs>
          <w:tab w:val="left" w:pos="810"/>
        </w:tabs>
        <w:spacing w:line="360" w:lineRule="auto"/>
        <w:ind w:left="360" w:hanging="360"/>
        <w:rPr>
          <w:rFonts w:asciiTheme="minorBidi" w:hAnsiTheme="minorBidi" w:cstheme="minorBidi"/>
          <w:sz w:val="24"/>
          <w:szCs w:val="24"/>
        </w:rPr>
      </w:pPr>
      <w:r w:rsidRPr="00876389">
        <w:rPr>
          <w:rFonts w:asciiTheme="minorBidi" w:hAnsiTheme="minorBidi" w:cstheme="minorBidi"/>
          <w:sz w:val="24"/>
          <w:szCs w:val="24"/>
        </w:rPr>
        <w:t xml:space="preserve">Confidentiality and anonymity </w:t>
      </w:r>
    </w:p>
    <w:p w14:paraId="47DCB10D" w14:textId="77777777" w:rsidR="00EB7F85" w:rsidRPr="000B4B1D" w:rsidRDefault="00EB7F85" w:rsidP="00EB7F85">
      <w:pPr>
        <w:spacing w:line="360" w:lineRule="auto"/>
        <w:jc w:val="both"/>
        <w:rPr>
          <w:rFonts w:ascii="Arial" w:hAnsi="Arial" w:cs="Arial"/>
          <w:color w:val="000000"/>
          <w:sz w:val="24"/>
          <w:szCs w:val="24"/>
          <w:lang w:val="en-GB"/>
        </w:rPr>
      </w:pPr>
      <w:r w:rsidRPr="00FD1371">
        <w:rPr>
          <w:rFonts w:ascii="Arial" w:hAnsi="Arial" w:cs="Arial"/>
          <w:color w:val="000000"/>
          <w:sz w:val="24"/>
          <w:szCs w:val="24"/>
          <w:lang w:val="en-GB"/>
        </w:rPr>
        <w:t xml:space="preserve">Measures were taken to maintain participant anonymity, such as not disclosing individual numbers and institutional names. Maintaining anonymity was also guaranteed through no names or contact details </w:t>
      </w:r>
      <w:r>
        <w:rPr>
          <w:rFonts w:ascii="Arial" w:hAnsi="Arial" w:cs="Arial"/>
          <w:color w:val="000000"/>
          <w:sz w:val="24"/>
          <w:szCs w:val="24"/>
          <w:lang w:val="en-GB"/>
        </w:rPr>
        <w:t>being</w:t>
      </w:r>
      <w:r w:rsidRPr="00FD1371">
        <w:rPr>
          <w:rFonts w:ascii="Arial" w:hAnsi="Arial" w:cs="Arial"/>
          <w:color w:val="000000"/>
          <w:sz w:val="24"/>
          <w:szCs w:val="24"/>
          <w:lang w:val="en-GB"/>
        </w:rPr>
        <w:t xml:space="preserve"> collected in the survey. Separate requests using another Qualtrics survey link were sent for contact information for qualitative interviews. The researcher dealt with anonymised data, and any data that can be linked to the participants’ identity was not extracted from the survey.  In interviews, the participants were asked not to name people or sites so that the data file will already be anonymous to some degree. Transcripts are also fully anonymised by removing any identifiable information such as names of specific individuals. No sensitive or special category data were collected. The identifiable data that are written on consent forms are securely stored in the university network filestore, accessible to the researcher only, and destroyed immediately when it is no longer needed.</w:t>
      </w:r>
    </w:p>
    <w:p w14:paraId="78810900" w14:textId="77777777" w:rsidR="00EB7F85" w:rsidRPr="00876389" w:rsidRDefault="00EB7F85" w:rsidP="00721982">
      <w:pPr>
        <w:pStyle w:val="Heading4"/>
        <w:numPr>
          <w:ilvl w:val="3"/>
          <w:numId w:val="14"/>
        </w:numPr>
        <w:tabs>
          <w:tab w:val="left" w:pos="810"/>
        </w:tabs>
        <w:spacing w:line="360" w:lineRule="auto"/>
        <w:ind w:left="360" w:hanging="360"/>
        <w:rPr>
          <w:rFonts w:asciiTheme="minorBidi" w:hAnsiTheme="minorBidi" w:cstheme="minorBidi"/>
          <w:sz w:val="24"/>
          <w:szCs w:val="24"/>
        </w:rPr>
      </w:pPr>
      <w:bookmarkStart w:id="157" w:name="_Toc27405019"/>
      <w:bookmarkStart w:id="158" w:name="_Toc51257215"/>
      <w:r w:rsidRPr="00876389">
        <w:rPr>
          <w:rFonts w:asciiTheme="minorBidi" w:hAnsiTheme="minorBidi" w:cstheme="minorBidi"/>
          <w:sz w:val="24"/>
          <w:szCs w:val="24"/>
        </w:rPr>
        <w:t xml:space="preserve">Discontinuation/Withdrawal of participants from </w:t>
      </w:r>
      <w:bookmarkEnd w:id="157"/>
      <w:r w:rsidRPr="00876389">
        <w:rPr>
          <w:rFonts w:asciiTheme="minorBidi" w:hAnsiTheme="minorBidi" w:cstheme="minorBidi"/>
          <w:sz w:val="24"/>
          <w:szCs w:val="24"/>
        </w:rPr>
        <w:t>study</w:t>
      </w:r>
      <w:bookmarkEnd w:id="158"/>
    </w:p>
    <w:p w14:paraId="09433792" w14:textId="77777777" w:rsidR="00EB7F85" w:rsidRPr="00AE0BCF" w:rsidRDefault="00EB7F85" w:rsidP="00EB7F85">
      <w:pPr>
        <w:spacing w:line="360" w:lineRule="auto"/>
        <w:jc w:val="both"/>
        <w:rPr>
          <w:rFonts w:ascii="Arial" w:hAnsi="Arial" w:cs="Arial"/>
          <w:color w:val="000000"/>
          <w:sz w:val="24"/>
          <w:szCs w:val="24"/>
          <w:lang w:val="en-GB"/>
        </w:rPr>
      </w:pPr>
      <w:r w:rsidRPr="007377FE">
        <w:rPr>
          <w:rFonts w:ascii="Arial" w:hAnsi="Arial" w:cs="Arial"/>
          <w:color w:val="000000"/>
          <w:sz w:val="24"/>
          <w:szCs w:val="24"/>
          <w:lang w:val="en-GB"/>
        </w:rPr>
        <w:t xml:space="preserve">Participants have the right to withdraw from the study at any time, without giving a reason before the data is analysed. </w:t>
      </w:r>
      <w:r w:rsidRPr="006B2FC7">
        <w:rPr>
          <w:rFonts w:ascii="Arial" w:hAnsi="Arial" w:cs="Arial"/>
          <w:color w:val="000000"/>
          <w:sz w:val="24"/>
          <w:szCs w:val="24"/>
          <w:lang w:val="en-GB"/>
        </w:rPr>
        <w:t xml:space="preserve">The participants </w:t>
      </w:r>
      <w:r>
        <w:rPr>
          <w:rFonts w:ascii="Arial" w:hAnsi="Arial" w:cs="Arial"/>
          <w:color w:val="000000"/>
          <w:sz w:val="24"/>
          <w:szCs w:val="24"/>
          <w:lang w:val="en-GB"/>
        </w:rPr>
        <w:t>were</w:t>
      </w:r>
      <w:r w:rsidRPr="006B2FC7">
        <w:rPr>
          <w:rFonts w:ascii="Arial" w:hAnsi="Arial" w:cs="Arial"/>
          <w:color w:val="000000"/>
          <w:sz w:val="24"/>
          <w:szCs w:val="24"/>
          <w:lang w:val="en-GB"/>
        </w:rPr>
        <w:t xml:space="preserve"> made aware </w:t>
      </w:r>
      <w:r w:rsidRPr="004B47B1">
        <w:rPr>
          <w:rFonts w:ascii="Arial" w:hAnsi="Arial" w:cs="Arial"/>
          <w:color w:val="000000"/>
          <w:sz w:val="24"/>
          <w:szCs w:val="24"/>
          <w:lang w:val="en-GB"/>
        </w:rPr>
        <w:t>in the PIS</w:t>
      </w:r>
      <w:r w:rsidRPr="006B2FC7">
        <w:rPr>
          <w:rFonts w:ascii="Arial" w:hAnsi="Arial" w:cs="Arial"/>
          <w:color w:val="000000"/>
          <w:sz w:val="24"/>
          <w:szCs w:val="24"/>
          <w:lang w:val="en-GB"/>
        </w:rPr>
        <w:t xml:space="preserve"> that they can withdraw their consent and withdraw from the study at any time before submitting the survey for quantitative phase. When </w:t>
      </w:r>
      <w:r w:rsidRPr="007377FE">
        <w:rPr>
          <w:rFonts w:ascii="Arial" w:hAnsi="Arial" w:cs="Arial"/>
          <w:color w:val="000000"/>
          <w:sz w:val="24"/>
          <w:szCs w:val="24"/>
          <w:lang w:val="en-GB"/>
        </w:rPr>
        <w:t xml:space="preserve">the respondent completes the survey, they </w:t>
      </w:r>
      <w:r>
        <w:rPr>
          <w:rFonts w:ascii="Arial" w:hAnsi="Arial" w:cs="Arial"/>
          <w:color w:val="000000"/>
          <w:sz w:val="24"/>
          <w:szCs w:val="24"/>
          <w:lang w:val="en-GB"/>
        </w:rPr>
        <w:t>were</w:t>
      </w:r>
      <w:r w:rsidRPr="007377FE">
        <w:rPr>
          <w:rFonts w:ascii="Arial" w:hAnsi="Arial" w:cs="Arial"/>
          <w:color w:val="000000"/>
          <w:sz w:val="24"/>
          <w:szCs w:val="24"/>
          <w:lang w:val="en-GB"/>
        </w:rPr>
        <w:t xml:space="preserve"> offered a final option as to whether to send/submit. It </w:t>
      </w:r>
      <w:r>
        <w:rPr>
          <w:rFonts w:ascii="Arial" w:hAnsi="Arial" w:cs="Arial"/>
          <w:color w:val="000000"/>
          <w:sz w:val="24"/>
          <w:szCs w:val="24"/>
          <w:lang w:val="en-GB"/>
        </w:rPr>
        <w:t>was</w:t>
      </w:r>
      <w:r w:rsidRPr="007377FE">
        <w:rPr>
          <w:rFonts w:ascii="Arial" w:hAnsi="Arial" w:cs="Arial"/>
          <w:color w:val="000000"/>
          <w:sz w:val="24"/>
          <w:szCs w:val="24"/>
          <w:lang w:val="en-GB"/>
        </w:rPr>
        <w:t xml:space="preserve"> important to inform the participant that he/she can still quit at this stage. For </w:t>
      </w:r>
      <w:r w:rsidRPr="006B2FC7">
        <w:rPr>
          <w:rFonts w:ascii="Arial" w:hAnsi="Arial" w:cs="Arial"/>
          <w:color w:val="000000"/>
          <w:sz w:val="24"/>
          <w:szCs w:val="24"/>
          <w:lang w:val="en-GB"/>
        </w:rPr>
        <w:t>the qualitative stage</w:t>
      </w:r>
      <w:r w:rsidRPr="007377FE">
        <w:rPr>
          <w:rFonts w:ascii="Arial" w:hAnsi="Arial" w:cs="Arial"/>
          <w:color w:val="000000"/>
          <w:sz w:val="24"/>
          <w:szCs w:val="24"/>
          <w:lang w:val="en-GB"/>
        </w:rPr>
        <w:t>, the participant</w:t>
      </w:r>
      <w:r>
        <w:rPr>
          <w:rFonts w:ascii="Arial" w:hAnsi="Arial" w:cs="Arial"/>
          <w:color w:val="000000"/>
          <w:sz w:val="24"/>
          <w:szCs w:val="24"/>
          <w:lang w:val="en-GB"/>
        </w:rPr>
        <w:t>s</w:t>
      </w:r>
      <w:r w:rsidRPr="007377FE">
        <w:rPr>
          <w:rFonts w:ascii="Arial" w:hAnsi="Arial" w:cs="Arial"/>
          <w:color w:val="000000"/>
          <w:sz w:val="24"/>
          <w:szCs w:val="24"/>
          <w:lang w:val="en-GB"/>
        </w:rPr>
        <w:t xml:space="preserve"> were informed </w:t>
      </w:r>
      <w:r w:rsidRPr="006B2FC7">
        <w:rPr>
          <w:rFonts w:ascii="Arial" w:hAnsi="Arial" w:cs="Arial"/>
          <w:color w:val="000000"/>
          <w:sz w:val="24"/>
          <w:szCs w:val="24"/>
          <w:lang w:val="en-GB"/>
        </w:rPr>
        <w:t xml:space="preserve">in both the Information Sheet and Consent Form </w:t>
      </w:r>
      <w:r w:rsidRPr="007377FE">
        <w:rPr>
          <w:rFonts w:ascii="Arial" w:hAnsi="Arial" w:cs="Arial"/>
          <w:color w:val="000000"/>
          <w:sz w:val="24"/>
          <w:szCs w:val="24"/>
          <w:lang w:val="en-GB"/>
        </w:rPr>
        <w:t xml:space="preserve">that they </w:t>
      </w:r>
      <w:r w:rsidRPr="006B2FC7">
        <w:rPr>
          <w:rFonts w:ascii="Arial" w:hAnsi="Arial" w:cs="Arial"/>
          <w:color w:val="000000"/>
          <w:sz w:val="24"/>
          <w:szCs w:val="24"/>
          <w:lang w:val="en-GB"/>
        </w:rPr>
        <w:t>can withdraw their consent and withdraw from the study at any time before analysing the data</w:t>
      </w:r>
      <w:r>
        <w:rPr>
          <w:rFonts w:ascii="Arial" w:hAnsi="Arial" w:cs="Arial"/>
          <w:color w:val="000000"/>
          <w:sz w:val="24"/>
          <w:szCs w:val="24"/>
          <w:lang w:val="en-GB"/>
        </w:rPr>
        <w:t xml:space="preserve">. </w:t>
      </w:r>
      <w:r w:rsidRPr="007377FE">
        <w:rPr>
          <w:rFonts w:ascii="Arial" w:hAnsi="Arial" w:cs="Arial"/>
          <w:color w:val="000000"/>
          <w:sz w:val="24"/>
          <w:szCs w:val="24"/>
          <w:lang w:val="en-GB"/>
        </w:rPr>
        <w:t xml:space="preserve">Participants were also informed that they cannot withdraw their data once it is analysed and anonymised and included within the study dataset, as data cannot be removed from the study beyond this point. </w:t>
      </w:r>
    </w:p>
    <w:p w14:paraId="72B7852C" w14:textId="77777777" w:rsidR="00EB7F85" w:rsidRPr="00876389" w:rsidRDefault="00EB7F85" w:rsidP="00721982">
      <w:pPr>
        <w:pStyle w:val="Heading4"/>
        <w:numPr>
          <w:ilvl w:val="3"/>
          <w:numId w:val="14"/>
        </w:numPr>
        <w:tabs>
          <w:tab w:val="left" w:pos="810"/>
        </w:tabs>
        <w:spacing w:line="360" w:lineRule="auto"/>
        <w:ind w:left="360" w:hanging="360"/>
        <w:rPr>
          <w:rFonts w:asciiTheme="minorBidi" w:hAnsiTheme="minorBidi" w:cstheme="minorBidi"/>
          <w:sz w:val="24"/>
          <w:szCs w:val="24"/>
        </w:rPr>
      </w:pPr>
      <w:r w:rsidRPr="00876389">
        <w:rPr>
          <w:rFonts w:asciiTheme="minorBidi" w:hAnsiTheme="minorBidi" w:cstheme="minorBidi"/>
          <w:sz w:val="24"/>
          <w:szCs w:val="24"/>
        </w:rPr>
        <w:t xml:space="preserve">Ethical approval </w:t>
      </w:r>
    </w:p>
    <w:p w14:paraId="057CDE7A" w14:textId="77777777" w:rsidR="00EB7F85" w:rsidRPr="00242BC8" w:rsidRDefault="00EB7F85" w:rsidP="00EB7F85">
      <w:pPr>
        <w:spacing w:line="360" w:lineRule="auto"/>
        <w:jc w:val="both"/>
        <w:rPr>
          <w:rFonts w:ascii="Arial" w:hAnsi="Arial" w:cs="Arial"/>
          <w:color w:val="000000"/>
          <w:sz w:val="24"/>
          <w:szCs w:val="24"/>
          <w:lang w:val="en-GB"/>
        </w:rPr>
      </w:pPr>
      <w:r w:rsidRPr="00D256F7">
        <w:rPr>
          <w:rFonts w:ascii="Arial" w:hAnsi="Arial" w:cs="Arial"/>
          <w:color w:val="000000"/>
          <w:sz w:val="24"/>
          <w:szCs w:val="24"/>
          <w:lang w:val="en-GB"/>
        </w:rPr>
        <w:t>The ethical approval for this research was obtained from</w:t>
      </w:r>
      <w:r>
        <w:rPr>
          <w:rFonts w:ascii="Arial" w:hAnsi="Arial" w:cs="Arial"/>
          <w:color w:val="000000"/>
          <w:sz w:val="24"/>
          <w:szCs w:val="24"/>
          <w:lang w:val="en-GB"/>
        </w:rPr>
        <w:t xml:space="preserve"> </w:t>
      </w:r>
      <w:r w:rsidRPr="00514415">
        <w:rPr>
          <w:rFonts w:ascii="Arial" w:hAnsi="Arial" w:cs="Arial"/>
          <w:color w:val="000000"/>
          <w:sz w:val="24"/>
          <w:szCs w:val="24"/>
          <w:lang w:val="en-GB"/>
        </w:rPr>
        <w:t>the School of Health and Related Research (ScHARR) at the University of Sheffield</w:t>
      </w:r>
      <w:r>
        <w:rPr>
          <w:rFonts w:ascii="Arial" w:hAnsi="Arial" w:cs="Arial"/>
          <w:color w:val="000000"/>
          <w:sz w:val="24"/>
          <w:szCs w:val="24"/>
          <w:lang w:val="en-GB"/>
        </w:rPr>
        <w:t xml:space="preserve"> (</w:t>
      </w:r>
      <w:r w:rsidRPr="00A40AA0">
        <w:rPr>
          <w:rFonts w:ascii="Arial" w:hAnsi="Arial" w:cs="Arial"/>
          <w:color w:val="000000"/>
          <w:sz w:val="24"/>
          <w:szCs w:val="24"/>
          <w:lang w:val="en-GB"/>
        </w:rPr>
        <w:t>Reference Number 036512</w:t>
      </w:r>
      <w:r>
        <w:rPr>
          <w:rFonts w:ascii="Arial" w:hAnsi="Arial" w:cs="Arial"/>
          <w:color w:val="000000"/>
          <w:sz w:val="24"/>
          <w:szCs w:val="24"/>
          <w:lang w:val="en-GB"/>
        </w:rPr>
        <w:t xml:space="preserve">), and </w:t>
      </w:r>
      <w:r w:rsidRPr="00514415">
        <w:rPr>
          <w:rFonts w:ascii="Arial" w:hAnsi="Arial" w:cs="Arial"/>
          <w:color w:val="000000"/>
          <w:sz w:val="24"/>
          <w:szCs w:val="24"/>
          <w:lang w:val="en-GB"/>
        </w:rPr>
        <w:t xml:space="preserve">also the Saudi </w:t>
      </w:r>
      <w:r>
        <w:rPr>
          <w:rFonts w:ascii="Arial" w:hAnsi="Arial" w:cs="Arial"/>
          <w:color w:val="000000"/>
          <w:sz w:val="24"/>
          <w:szCs w:val="24"/>
          <w:lang w:val="en-GB"/>
        </w:rPr>
        <w:t>MoH</w:t>
      </w:r>
      <w:r w:rsidRPr="00514415">
        <w:rPr>
          <w:rFonts w:ascii="Arial" w:hAnsi="Arial" w:cs="Arial"/>
          <w:color w:val="000000"/>
          <w:sz w:val="24"/>
          <w:szCs w:val="24"/>
          <w:lang w:val="en-GB"/>
        </w:rPr>
        <w:t xml:space="preserve"> the Institutional Review Board (IRB) (</w:t>
      </w:r>
      <w:r w:rsidRPr="001A0147">
        <w:rPr>
          <w:rFonts w:ascii="Arial" w:hAnsi="Arial" w:cs="Arial"/>
          <w:color w:val="000000"/>
          <w:sz w:val="24"/>
          <w:szCs w:val="24"/>
          <w:lang w:val="en-GB"/>
        </w:rPr>
        <w:t>KFHH RCA NO: 39A-32-2020</w:t>
      </w:r>
      <w:r>
        <w:rPr>
          <w:rFonts w:ascii="Arial" w:hAnsi="Arial" w:cs="Arial"/>
          <w:color w:val="000000"/>
          <w:sz w:val="24"/>
          <w:szCs w:val="24"/>
          <w:lang w:val="en-GB"/>
        </w:rPr>
        <w:t>), s</w:t>
      </w:r>
      <w:r w:rsidRPr="005F5CC9">
        <w:rPr>
          <w:rFonts w:ascii="Arial" w:hAnsi="Arial" w:cs="Arial"/>
          <w:color w:val="000000"/>
          <w:sz w:val="24"/>
          <w:szCs w:val="24"/>
          <w:lang w:val="en-GB"/>
        </w:rPr>
        <w:t>ee</w:t>
      </w:r>
      <w:r>
        <w:rPr>
          <w:rFonts w:ascii="Arial" w:hAnsi="Arial" w:cs="Arial"/>
          <w:color w:val="000000"/>
          <w:sz w:val="24"/>
          <w:szCs w:val="24"/>
          <w:lang w:val="en-GB"/>
        </w:rPr>
        <w:t xml:space="preserve"> (</w:t>
      </w:r>
      <w:r w:rsidRPr="004271B9">
        <w:rPr>
          <w:rFonts w:ascii="Arial" w:hAnsi="Arial" w:cs="Arial"/>
          <w:color w:val="1F3864" w:themeColor="accent1" w:themeShade="80"/>
          <w:sz w:val="24"/>
          <w:szCs w:val="24"/>
          <w:lang w:val="en-GB"/>
        </w:rPr>
        <w:fldChar w:fldCharType="begin"/>
      </w:r>
      <w:r w:rsidRPr="004271B9">
        <w:rPr>
          <w:rFonts w:ascii="Arial" w:hAnsi="Arial" w:cs="Arial"/>
          <w:color w:val="1F3864" w:themeColor="accent1" w:themeShade="80"/>
          <w:sz w:val="24"/>
          <w:szCs w:val="24"/>
          <w:lang w:val="en-GB"/>
        </w:rPr>
        <w:instrText xml:space="preserve"> REF _Ref124780563 \h  \* MERGEFORMAT </w:instrText>
      </w:r>
      <w:r w:rsidRPr="004271B9">
        <w:rPr>
          <w:rFonts w:ascii="Arial" w:hAnsi="Arial" w:cs="Arial"/>
          <w:color w:val="1F3864" w:themeColor="accent1" w:themeShade="80"/>
          <w:sz w:val="24"/>
          <w:szCs w:val="24"/>
          <w:lang w:val="en-GB"/>
        </w:rPr>
      </w:r>
      <w:r w:rsidRPr="004271B9">
        <w:rPr>
          <w:rFonts w:ascii="Arial" w:hAnsi="Arial" w:cs="Arial"/>
          <w:color w:val="1F3864" w:themeColor="accent1" w:themeShade="80"/>
          <w:sz w:val="24"/>
          <w:szCs w:val="24"/>
          <w:lang w:val="en-GB"/>
        </w:rPr>
        <w:fldChar w:fldCharType="separate"/>
      </w:r>
      <w:r w:rsidRPr="00BB2310">
        <w:rPr>
          <w:rFonts w:ascii="Arial" w:hAnsi="Arial" w:cs="Arial"/>
          <w:color w:val="1F3864" w:themeColor="accent1" w:themeShade="80"/>
          <w:sz w:val="24"/>
          <w:szCs w:val="24"/>
          <w:lang w:val="en-GB"/>
        </w:rPr>
        <w:t>Appendix N</w:t>
      </w:r>
      <w:r w:rsidRPr="004271B9">
        <w:rPr>
          <w:rFonts w:ascii="Arial" w:hAnsi="Arial" w:cs="Arial"/>
          <w:color w:val="1F3864" w:themeColor="accent1" w:themeShade="80"/>
          <w:sz w:val="24"/>
          <w:szCs w:val="24"/>
          <w:lang w:val="en-GB"/>
        </w:rPr>
        <w:fldChar w:fldCharType="end"/>
      </w:r>
      <w:r>
        <w:rPr>
          <w:rFonts w:ascii="Arial" w:hAnsi="Arial" w:cs="Arial"/>
          <w:color w:val="000000"/>
          <w:sz w:val="24"/>
          <w:szCs w:val="24"/>
          <w:lang w:val="en-GB"/>
        </w:rPr>
        <w:t xml:space="preserve"> and </w:t>
      </w:r>
      <w:r w:rsidRPr="004271B9">
        <w:rPr>
          <w:rFonts w:ascii="Arial" w:hAnsi="Arial" w:cs="Arial"/>
          <w:color w:val="1F3864" w:themeColor="accent1" w:themeShade="80"/>
          <w:sz w:val="24"/>
          <w:szCs w:val="24"/>
          <w:lang w:val="en-GB"/>
        </w:rPr>
        <w:fldChar w:fldCharType="begin"/>
      </w:r>
      <w:r w:rsidRPr="004271B9">
        <w:rPr>
          <w:rFonts w:ascii="Arial" w:hAnsi="Arial" w:cs="Arial"/>
          <w:color w:val="1F3864" w:themeColor="accent1" w:themeShade="80"/>
          <w:sz w:val="24"/>
          <w:szCs w:val="24"/>
          <w:lang w:val="en-GB"/>
        </w:rPr>
        <w:instrText xml:space="preserve"> REF _Ref124780568 \h  \* MERGEFORMAT </w:instrText>
      </w:r>
      <w:r w:rsidRPr="004271B9">
        <w:rPr>
          <w:rFonts w:ascii="Arial" w:hAnsi="Arial" w:cs="Arial"/>
          <w:color w:val="1F3864" w:themeColor="accent1" w:themeShade="80"/>
          <w:sz w:val="24"/>
          <w:szCs w:val="24"/>
          <w:lang w:val="en-GB"/>
        </w:rPr>
      </w:r>
      <w:r w:rsidRPr="004271B9">
        <w:rPr>
          <w:rFonts w:ascii="Arial" w:hAnsi="Arial" w:cs="Arial"/>
          <w:color w:val="1F3864" w:themeColor="accent1" w:themeShade="80"/>
          <w:sz w:val="24"/>
          <w:szCs w:val="24"/>
          <w:lang w:val="en-GB"/>
        </w:rPr>
        <w:fldChar w:fldCharType="separate"/>
      </w:r>
      <w:r w:rsidRPr="004F7A69">
        <w:rPr>
          <w:rFonts w:ascii="Arial" w:hAnsi="Arial" w:cs="Arial"/>
          <w:color w:val="1F3864" w:themeColor="accent1" w:themeShade="80"/>
          <w:sz w:val="24"/>
          <w:szCs w:val="24"/>
          <w:lang w:val="en-GB"/>
        </w:rPr>
        <w:t>Appendix O</w:t>
      </w:r>
      <w:r w:rsidRPr="004271B9">
        <w:rPr>
          <w:rFonts w:ascii="Arial" w:hAnsi="Arial" w:cs="Arial"/>
          <w:color w:val="1F3864" w:themeColor="accent1" w:themeShade="80"/>
          <w:sz w:val="24"/>
          <w:szCs w:val="24"/>
          <w:lang w:val="en-GB"/>
        </w:rPr>
        <w:fldChar w:fldCharType="end"/>
      </w:r>
      <w:r>
        <w:rPr>
          <w:rFonts w:ascii="Arial" w:hAnsi="Arial" w:cs="Arial"/>
          <w:color w:val="000000"/>
          <w:sz w:val="24"/>
          <w:szCs w:val="24"/>
          <w:lang w:val="en-GB"/>
        </w:rPr>
        <w:t>).</w:t>
      </w:r>
      <w:bookmarkStart w:id="159" w:name="_Toc11144558"/>
      <w:bookmarkStart w:id="160" w:name="_Toc11317887"/>
      <w:r>
        <w:rPr>
          <w:rFonts w:ascii="Arial" w:hAnsi="Arial" w:cs="Arial"/>
          <w:color w:val="000000"/>
          <w:sz w:val="24"/>
          <w:szCs w:val="24"/>
          <w:lang w:val="en-GB"/>
        </w:rPr>
        <w:t xml:space="preserve"> In addition, the approval was obtained from </w:t>
      </w:r>
      <w:r w:rsidRPr="006B2FC7">
        <w:rPr>
          <w:rFonts w:ascii="Arial" w:hAnsi="Arial" w:cs="Arial"/>
          <w:color w:val="000000"/>
          <w:sz w:val="24"/>
          <w:szCs w:val="24"/>
          <w:lang w:val="en-GB"/>
        </w:rPr>
        <w:t>all the organisations where the study t</w:t>
      </w:r>
      <w:r>
        <w:rPr>
          <w:rFonts w:ascii="Arial" w:hAnsi="Arial" w:cs="Arial"/>
          <w:color w:val="000000"/>
          <w:sz w:val="24"/>
          <w:szCs w:val="24"/>
          <w:lang w:val="en-GB"/>
        </w:rPr>
        <w:t>oo</w:t>
      </w:r>
      <w:r w:rsidRPr="006B2FC7">
        <w:rPr>
          <w:rFonts w:ascii="Arial" w:hAnsi="Arial" w:cs="Arial"/>
          <w:color w:val="000000"/>
          <w:sz w:val="24"/>
          <w:szCs w:val="24"/>
          <w:lang w:val="en-GB"/>
        </w:rPr>
        <w:t>k place</w:t>
      </w:r>
      <w:r>
        <w:rPr>
          <w:rFonts w:ascii="Arial" w:hAnsi="Arial" w:cs="Arial"/>
          <w:color w:val="000000"/>
          <w:sz w:val="24"/>
          <w:szCs w:val="24"/>
          <w:lang w:val="en-GB"/>
        </w:rPr>
        <w:t xml:space="preserve"> as the gatekeepers who</w:t>
      </w:r>
      <w:r w:rsidRPr="00514415">
        <w:rPr>
          <w:rFonts w:ascii="Arial" w:hAnsi="Arial" w:cs="Arial"/>
          <w:color w:val="000000"/>
          <w:sz w:val="24"/>
          <w:szCs w:val="24"/>
          <w:lang w:val="en-GB"/>
        </w:rPr>
        <w:t xml:space="preserve"> distributed the invitation for the targeted population to participate in this research via the Qualtrics were the Chief of Primary Healthcare at the EHC, the Director of Pharmaceutical Care at EHC, and the Executive Director of Primary Care Nursing Operations at the EHC, in addition, to pharmacy directors, medical directors and nurse directors of all health care sectors within the first cluster of health in the Eastern region in SA. </w:t>
      </w:r>
      <w:r>
        <w:rPr>
          <w:rFonts w:ascii="Arial" w:hAnsi="Arial" w:cs="Arial"/>
          <w:color w:val="000000"/>
          <w:sz w:val="24"/>
          <w:szCs w:val="24"/>
          <w:lang w:val="en-GB"/>
        </w:rPr>
        <w:t xml:space="preserve">  </w:t>
      </w:r>
      <w:r w:rsidRPr="006B2FC7">
        <w:rPr>
          <w:rFonts w:ascii="Arial" w:hAnsi="Arial" w:cs="Arial"/>
          <w:color w:val="000000"/>
          <w:sz w:val="24"/>
          <w:szCs w:val="24"/>
          <w:lang w:val="en-GB"/>
        </w:rPr>
        <w:t xml:space="preserve"> </w:t>
      </w:r>
      <w:bookmarkEnd w:id="159"/>
      <w:bookmarkEnd w:id="160"/>
    </w:p>
    <w:p w14:paraId="226F9A9B" w14:textId="77777777" w:rsidR="00EB7F85" w:rsidRPr="00876389" w:rsidRDefault="00EB7F85" w:rsidP="00721982">
      <w:pPr>
        <w:pStyle w:val="Heading4"/>
        <w:numPr>
          <w:ilvl w:val="3"/>
          <w:numId w:val="14"/>
        </w:numPr>
        <w:tabs>
          <w:tab w:val="left" w:pos="810"/>
        </w:tabs>
        <w:spacing w:line="360" w:lineRule="auto"/>
        <w:ind w:left="360" w:hanging="360"/>
        <w:rPr>
          <w:rFonts w:asciiTheme="minorBidi" w:hAnsiTheme="minorBidi" w:cstheme="minorBidi"/>
          <w:sz w:val="24"/>
          <w:szCs w:val="24"/>
        </w:rPr>
      </w:pPr>
      <w:r w:rsidRPr="00876389">
        <w:rPr>
          <w:rFonts w:asciiTheme="minorBidi" w:hAnsiTheme="minorBidi" w:cstheme="minorBidi"/>
          <w:sz w:val="24"/>
          <w:szCs w:val="24"/>
        </w:rPr>
        <w:t>Reflexivity</w:t>
      </w:r>
    </w:p>
    <w:p w14:paraId="14285043" w14:textId="5CE1CC73" w:rsidR="00112874" w:rsidRPr="00E17ACC" w:rsidRDefault="00787380" w:rsidP="00EB7F85">
      <w:pPr>
        <w:spacing w:line="360" w:lineRule="auto"/>
        <w:jc w:val="both"/>
        <w:rPr>
          <w:rFonts w:ascii="Arial" w:hAnsi="Arial" w:cs="Arial"/>
          <w:color w:val="000000"/>
          <w:sz w:val="24"/>
          <w:szCs w:val="24"/>
          <w:shd w:val="clear" w:color="auto" w:fill="FFFFFF"/>
        </w:rPr>
      </w:pPr>
      <w:r w:rsidRPr="00E17ACC">
        <w:rPr>
          <w:rFonts w:ascii="Arial" w:hAnsi="Arial" w:cs="Arial"/>
          <w:color w:val="000000"/>
          <w:sz w:val="24"/>
          <w:szCs w:val="24"/>
          <w:shd w:val="clear" w:color="auto" w:fill="FFFFFF"/>
        </w:rPr>
        <w:t xml:space="preserve">A final aspect of ethics relates to reflexivity, and it is considered of particular significance for qualitative research. This study was undertaken by me with the status (and identity) of a doctoral student; however, I am also a practicing pharmacist and have worked in the research setting which is the focus of this research. This dual identity and status is often referred to as being an insider-researcher </w:t>
      </w:r>
      <w:r w:rsidR="00FC4F23" w:rsidRPr="00E17ACC">
        <w:rPr>
          <w:rFonts w:ascii="Arial" w:hAnsi="Arial" w:cs="Arial"/>
          <w:sz w:val="24"/>
          <w:szCs w:val="24"/>
        </w:rPr>
        <w:fldChar w:fldCharType="begin" w:fldLock="1"/>
      </w:r>
      <w:r w:rsidR="00FC4F23" w:rsidRPr="00E17ACC">
        <w:rPr>
          <w:rFonts w:ascii="Arial" w:hAnsi="Arial" w:cs="Arial"/>
          <w:sz w:val="24"/>
          <w:szCs w:val="24"/>
        </w:rPr>
        <w:instrText>ADDIN CSL_CITATION {"citationItems":[{"id":"ITEM-1","itemData":{"DOI":"10.4135/9781446287880","ISBN":"9781848606784","author":[{"dropping-particle":"","family":"Costley","given":"Carol","non-dropping-particle":"","parse-names":false,"suffix":""},{"dropping-particle":"","family":"Elliott","given":"Geoffrey","non-dropping-particle":"","parse-names":false,"suffix":""},{"dropping-particle":"","family":"Gibbs","given":"Paul","non-dropping-particle":"","parse-names":false,"suffix":""}],"container-title":"SAGE","id":"ITEM-1","issued":{"date-parts":[["2010"]]},"title":"Key Concepts for the Insider-Researcher In: Doing Work Based Research: Approaches to Enquiry for Insider-Researchers","type":"article-journal"},"uris":["http://www.mendeley.com/documents/?uuid=b3532d29-d442-3ada-bbc0-86188952344b"]}],"mendeley":{"formattedCitation":"(Costley, Elliott and Gibbs, 2010)","manualFormatting":"(Costley et al., 2010)","plainTextFormattedCitation":"(Costley, Elliott and Gibbs, 2010)","previouslyFormattedCitation":"(Costley, Elliott and Gibbs, 2010)"},"properties":{"noteIndex":0},"schema":"https://github.com/citation-style-language/schema/raw/master/csl-citation.json"}</w:instrText>
      </w:r>
      <w:r w:rsidR="00FC4F23" w:rsidRPr="00E17ACC">
        <w:rPr>
          <w:rFonts w:ascii="Arial" w:hAnsi="Arial" w:cs="Arial"/>
          <w:sz w:val="24"/>
          <w:szCs w:val="24"/>
        </w:rPr>
        <w:fldChar w:fldCharType="separate"/>
      </w:r>
      <w:r w:rsidR="00FC4F23" w:rsidRPr="00E17ACC">
        <w:rPr>
          <w:rFonts w:ascii="Arial" w:hAnsi="Arial" w:cs="Arial"/>
          <w:noProof/>
          <w:sz w:val="24"/>
          <w:szCs w:val="24"/>
        </w:rPr>
        <w:t>(Costley et al., 2010)</w:t>
      </w:r>
      <w:r w:rsidR="00FC4F23" w:rsidRPr="00E17ACC">
        <w:rPr>
          <w:rFonts w:ascii="Arial" w:hAnsi="Arial" w:cs="Arial"/>
          <w:sz w:val="24"/>
          <w:szCs w:val="24"/>
        </w:rPr>
        <w:fldChar w:fldCharType="end"/>
      </w:r>
      <w:r w:rsidR="00FC4F23" w:rsidRPr="00E17ACC">
        <w:rPr>
          <w:rFonts w:ascii="Arial" w:hAnsi="Arial" w:cs="Arial"/>
          <w:sz w:val="24"/>
          <w:szCs w:val="24"/>
        </w:rPr>
        <w:t xml:space="preserve"> </w:t>
      </w:r>
      <w:r w:rsidRPr="00E17ACC">
        <w:rPr>
          <w:rFonts w:ascii="Arial" w:hAnsi="Arial" w:cs="Arial"/>
          <w:color w:val="000000"/>
          <w:sz w:val="24"/>
          <w:szCs w:val="24"/>
          <w:shd w:val="clear" w:color="auto" w:fill="FFFFFF"/>
        </w:rPr>
        <w:t xml:space="preserve">and it comes with advantages but also potential disadvantages which were reflected on throughout the research. </w:t>
      </w:r>
      <w:r w:rsidR="00E17ACC" w:rsidRPr="00E17ACC">
        <w:rPr>
          <w:rFonts w:ascii="Arial" w:hAnsi="Arial" w:cs="Arial"/>
          <w:color w:val="000000"/>
          <w:sz w:val="24"/>
          <w:szCs w:val="24"/>
          <w:shd w:val="clear" w:color="auto" w:fill="FFFFFF"/>
        </w:rPr>
        <w:t>The advantages</w:t>
      </w:r>
      <w:r w:rsidRPr="00E17ACC">
        <w:rPr>
          <w:rFonts w:ascii="Arial" w:hAnsi="Arial" w:cs="Arial"/>
          <w:color w:val="000000"/>
          <w:sz w:val="24"/>
          <w:szCs w:val="24"/>
          <w:shd w:val="clear" w:color="auto" w:fill="FFFFFF"/>
        </w:rPr>
        <w:t xml:space="preserve"> were that knowing the topic and setting I could ask very focused questions in interviews and could potentially establish rapport more easily through having a ready understanding of many of the things mentioned in interviews. I was also able to use my knowledge to inform the recruitment and sampling via gatekeepers and others. However, there may be disadvantages in terms of pre-existing knowledge and relationships potentially influencing what participants choose to say or not say, and even extend to tacit knowledge and making assumptions about shared understanding which may not be captured explicitly in interviews. As noted in chapter 1, a reflexive stance was adopted throughout the </w:t>
      </w:r>
      <w:r w:rsidR="00E17ACC" w:rsidRPr="00E17ACC">
        <w:rPr>
          <w:rFonts w:ascii="Arial" w:hAnsi="Arial" w:cs="Arial"/>
          <w:color w:val="000000"/>
          <w:sz w:val="24"/>
          <w:szCs w:val="24"/>
          <w:shd w:val="clear" w:color="auto" w:fill="FFFFFF"/>
        </w:rPr>
        <w:t>research,</w:t>
      </w:r>
      <w:r w:rsidRPr="00E17ACC">
        <w:rPr>
          <w:rFonts w:ascii="Arial" w:hAnsi="Arial" w:cs="Arial"/>
          <w:color w:val="000000"/>
          <w:sz w:val="24"/>
          <w:szCs w:val="24"/>
          <w:shd w:val="clear" w:color="auto" w:fill="FFFFFF"/>
        </w:rPr>
        <w:t xml:space="preserve"> and I continually reflected on my insider research status and possible implications and discussed this with supervisory team regularly.</w:t>
      </w:r>
    </w:p>
    <w:p w14:paraId="22BA7C8B" w14:textId="77777777" w:rsidR="00EB7F85" w:rsidRDefault="00EB7F85" w:rsidP="00EB7F85">
      <w:pPr>
        <w:spacing w:line="360" w:lineRule="auto"/>
        <w:jc w:val="both"/>
        <w:rPr>
          <w:rFonts w:ascii="Arial" w:hAnsi="Arial" w:cs="Arial"/>
          <w:sz w:val="24"/>
          <w:szCs w:val="24"/>
        </w:rPr>
      </w:pPr>
    </w:p>
    <w:p w14:paraId="6748B11E" w14:textId="77777777" w:rsidR="00EB7F85" w:rsidRDefault="00EB7F85" w:rsidP="00EB7F85">
      <w:pPr>
        <w:pStyle w:val="Heading2"/>
        <w:numPr>
          <w:ilvl w:val="1"/>
          <w:numId w:val="14"/>
        </w:numPr>
        <w:spacing w:line="257" w:lineRule="auto"/>
        <w:ind w:left="0" w:firstLine="0"/>
      </w:pPr>
      <w:bookmarkStart w:id="161" w:name="_Toc122626404"/>
      <w:bookmarkStart w:id="162" w:name="_Ref127400000"/>
      <w:bookmarkStart w:id="163" w:name="_Toc153894187"/>
      <w:r>
        <w:t>Methodological limitation</w:t>
      </w:r>
      <w:bookmarkEnd w:id="161"/>
      <w:bookmarkEnd w:id="162"/>
      <w:r>
        <w:t>s</w:t>
      </w:r>
      <w:bookmarkEnd w:id="163"/>
      <w:r>
        <w:t xml:space="preserve"> </w:t>
      </w:r>
    </w:p>
    <w:p w14:paraId="6ABFB6D2" w14:textId="5003721C" w:rsidR="00EB7F85" w:rsidRDefault="00EB7F85" w:rsidP="00EB7F85">
      <w:pPr>
        <w:spacing w:line="360" w:lineRule="auto"/>
        <w:jc w:val="both"/>
        <w:rPr>
          <w:rFonts w:ascii="Arial" w:hAnsi="Arial" w:cs="Arial"/>
          <w:sz w:val="24"/>
          <w:szCs w:val="24"/>
        </w:rPr>
      </w:pPr>
      <w:r w:rsidRPr="00815674">
        <w:rPr>
          <w:rFonts w:ascii="Arial" w:hAnsi="Arial" w:cs="Arial"/>
          <w:sz w:val="24"/>
          <w:szCs w:val="24"/>
        </w:rPr>
        <w:t xml:space="preserve">Mixed methods research has some disadvantages and limitations: it takes much more time and resources to plan and implement this type of </w:t>
      </w:r>
      <w:r>
        <w:rPr>
          <w:rFonts w:ascii="Arial" w:hAnsi="Arial" w:cs="Arial"/>
          <w:sz w:val="24"/>
          <w:szCs w:val="24"/>
        </w:rPr>
        <w:t>re</w:t>
      </w:r>
      <w:r w:rsidRPr="00815674">
        <w:rPr>
          <w:rFonts w:ascii="Arial" w:hAnsi="Arial" w:cs="Arial"/>
          <w:sz w:val="24"/>
          <w:szCs w:val="24"/>
        </w:rPr>
        <w:t>search; it is time-consuming</w:t>
      </w:r>
      <w:r>
        <w:rPr>
          <w:rFonts w:ascii="Arial" w:hAnsi="Arial" w:cs="Arial"/>
          <w:sz w:val="24"/>
          <w:szCs w:val="24"/>
        </w:rPr>
        <w:t xml:space="preserve">, </w:t>
      </w:r>
      <w:r w:rsidRPr="005E2EF8">
        <w:rPr>
          <w:rFonts w:ascii="Arial" w:hAnsi="Arial" w:cs="Arial"/>
          <w:sz w:val="24"/>
          <w:szCs w:val="24"/>
        </w:rPr>
        <w:t>particularly this research conducted by one person with limited time as in case of a PhD, therefore, some strategies was applied to accomplish the validity and credibility concepts of research as mentioned in (</w:t>
      </w:r>
      <w:r w:rsidRPr="00E01235">
        <w:rPr>
          <w:rFonts w:ascii="Arial" w:hAnsi="Arial" w:cs="Arial"/>
          <w:color w:val="1F3864" w:themeColor="accent1" w:themeShade="80"/>
          <w:sz w:val="24"/>
          <w:szCs w:val="24"/>
        </w:rPr>
        <w:fldChar w:fldCharType="begin"/>
      </w:r>
      <w:r w:rsidRPr="00E01235">
        <w:rPr>
          <w:rFonts w:ascii="Arial" w:hAnsi="Arial" w:cs="Arial"/>
          <w:color w:val="1F3864" w:themeColor="accent1" w:themeShade="80"/>
          <w:sz w:val="24"/>
          <w:szCs w:val="24"/>
        </w:rPr>
        <w:instrText xml:space="preserve"> REF _Ref122806679 \n \h  \* MERGEFORMAT </w:instrText>
      </w:r>
      <w:r w:rsidRPr="00E01235">
        <w:rPr>
          <w:rFonts w:ascii="Arial" w:hAnsi="Arial" w:cs="Arial"/>
          <w:color w:val="1F3864" w:themeColor="accent1" w:themeShade="80"/>
          <w:sz w:val="24"/>
          <w:szCs w:val="24"/>
        </w:rPr>
      </w:r>
      <w:r w:rsidRPr="00E01235">
        <w:rPr>
          <w:rFonts w:ascii="Arial" w:hAnsi="Arial" w:cs="Arial"/>
          <w:color w:val="1F3864" w:themeColor="accent1" w:themeShade="80"/>
          <w:sz w:val="24"/>
          <w:szCs w:val="24"/>
        </w:rPr>
        <w:fldChar w:fldCharType="separate"/>
      </w:r>
      <w:r w:rsidR="000B330D">
        <w:rPr>
          <w:rFonts w:ascii="Arial" w:hAnsi="Arial" w:cs="Arial"/>
          <w:color w:val="1F3864" w:themeColor="accent1" w:themeShade="80"/>
          <w:sz w:val="24"/>
          <w:szCs w:val="24"/>
          <w:cs/>
        </w:rPr>
        <w:t>‎</w:t>
      </w:r>
      <w:r w:rsidR="000B330D">
        <w:rPr>
          <w:rFonts w:ascii="Arial" w:hAnsi="Arial" w:cs="Arial"/>
          <w:color w:val="1F3864" w:themeColor="accent1" w:themeShade="80"/>
          <w:sz w:val="24"/>
          <w:szCs w:val="24"/>
        </w:rPr>
        <w:t>4.2.11.3</w:t>
      </w:r>
      <w:r w:rsidRPr="00E01235">
        <w:rPr>
          <w:rFonts w:ascii="Arial" w:hAnsi="Arial" w:cs="Arial"/>
          <w:color w:val="1F3864" w:themeColor="accent1" w:themeShade="80"/>
          <w:sz w:val="24"/>
          <w:szCs w:val="24"/>
        </w:rPr>
        <w:fldChar w:fldCharType="end"/>
      </w:r>
      <w:r w:rsidRPr="00E01235">
        <w:rPr>
          <w:rFonts w:ascii="Arial" w:hAnsi="Arial" w:cs="Arial"/>
          <w:color w:val="1F3864" w:themeColor="accent1" w:themeShade="80"/>
          <w:sz w:val="24"/>
          <w:szCs w:val="24"/>
        </w:rPr>
        <w:t xml:space="preserve"> </w:t>
      </w:r>
      <w:r w:rsidRPr="005E2EF8">
        <w:rPr>
          <w:rFonts w:ascii="Arial" w:hAnsi="Arial" w:cs="Arial"/>
          <w:sz w:val="24"/>
          <w:szCs w:val="24"/>
        </w:rPr>
        <w:t>and</w:t>
      </w:r>
      <w:r w:rsidRPr="005E2EF8">
        <w:rPr>
          <w:rFonts w:ascii="Arial" w:hAnsi="Arial" w:cs="Arial"/>
          <w:color w:val="1F3864" w:themeColor="accent1" w:themeShade="80"/>
          <w:sz w:val="24"/>
          <w:szCs w:val="24"/>
        </w:rPr>
        <w:t xml:space="preserve"> </w:t>
      </w:r>
      <w:r w:rsidRPr="005E2EF8">
        <w:rPr>
          <w:rFonts w:ascii="Arial" w:hAnsi="Arial" w:cs="Arial"/>
          <w:color w:val="1F3864" w:themeColor="accent1" w:themeShade="80"/>
          <w:sz w:val="24"/>
          <w:szCs w:val="24"/>
        </w:rPr>
        <w:fldChar w:fldCharType="begin"/>
      </w:r>
      <w:r w:rsidRPr="005E2EF8">
        <w:rPr>
          <w:rFonts w:ascii="Arial" w:hAnsi="Arial" w:cs="Arial"/>
          <w:color w:val="1F3864" w:themeColor="accent1" w:themeShade="80"/>
          <w:sz w:val="24"/>
          <w:szCs w:val="24"/>
        </w:rPr>
        <w:instrText xml:space="preserve"> REF _Ref41875790 \h  \* MERGEFORMAT </w:instrText>
      </w:r>
      <w:r w:rsidRPr="005E2EF8">
        <w:rPr>
          <w:rFonts w:ascii="Arial" w:hAnsi="Arial" w:cs="Arial"/>
          <w:color w:val="1F3864" w:themeColor="accent1" w:themeShade="80"/>
          <w:sz w:val="24"/>
          <w:szCs w:val="24"/>
        </w:rPr>
      </w:r>
      <w:r w:rsidRPr="005E2EF8">
        <w:rPr>
          <w:rFonts w:ascii="Arial" w:hAnsi="Arial" w:cs="Arial"/>
          <w:color w:val="1F3864" w:themeColor="accent1" w:themeShade="80"/>
          <w:sz w:val="24"/>
          <w:szCs w:val="24"/>
        </w:rPr>
        <w:fldChar w:fldCharType="separate"/>
      </w:r>
      <w:r w:rsidR="000B330D" w:rsidRPr="000B330D">
        <w:rPr>
          <w:rFonts w:ascii="Arial" w:hAnsi="Arial" w:cs="Arial"/>
          <w:color w:val="1F3864" w:themeColor="accent1" w:themeShade="80"/>
          <w:sz w:val="24"/>
          <w:szCs w:val="24"/>
        </w:rPr>
        <w:t>Table 11</w:t>
      </w:r>
      <w:r w:rsidRPr="005E2EF8">
        <w:rPr>
          <w:rFonts w:ascii="Arial" w:hAnsi="Arial" w:cs="Arial"/>
          <w:color w:val="1F3864" w:themeColor="accent1" w:themeShade="80"/>
          <w:sz w:val="24"/>
          <w:szCs w:val="24"/>
        </w:rPr>
        <w:fldChar w:fldCharType="end"/>
      </w:r>
      <w:r w:rsidRPr="005E2EF8">
        <w:rPr>
          <w:rFonts w:ascii="Arial" w:hAnsi="Arial" w:cs="Arial"/>
          <w:sz w:val="24"/>
          <w:szCs w:val="24"/>
        </w:rPr>
        <w:t>)</w:t>
      </w:r>
      <w:r>
        <w:rPr>
          <w:rFonts w:ascii="Arial" w:hAnsi="Arial" w:cs="Arial"/>
          <w:sz w:val="24"/>
          <w:szCs w:val="24"/>
        </w:rPr>
        <w:t>.</w:t>
      </w:r>
    </w:p>
    <w:p w14:paraId="57D577D8" w14:textId="77777777" w:rsidR="00EB7F85" w:rsidRDefault="00EB7F85" w:rsidP="00EB7F85">
      <w:pPr>
        <w:spacing w:line="360" w:lineRule="auto"/>
        <w:jc w:val="both"/>
        <w:rPr>
          <w:rFonts w:ascii="Arial" w:hAnsi="Arial" w:cs="Arial"/>
          <w:sz w:val="24"/>
          <w:szCs w:val="24"/>
        </w:rPr>
      </w:pPr>
      <w:r w:rsidRPr="005E2EF8">
        <w:rPr>
          <w:rFonts w:ascii="Arial" w:hAnsi="Arial" w:cs="Arial"/>
          <w:sz w:val="24"/>
          <w:szCs w:val="24"/>
        </w:rPr>
        <w:t xml:space="preserve"> </w:t>
      </w:r>
      <w:r w:rsidRPr="00815674">
        <w:rPr>
          <w:rFonts w:ascii="Arial" w:hAnsi="Arial" w:cs="Arial"/>
          <w:sz w:val="24"/>
          <w:szCs w:val="24"/>
        </w:rPr>
        <w:t>Research design, as is the case in this research (an explanatory sequential mixed method design), was complex and challenging because planning and implementing the second method of data collection depended on the results of the first method (quantitative method). In addition, resolving inconsistencies arising from the interpretation of results is often subjective, uncertain</w:t>
      </w:r>
      <w:r>
        <w:rPr>
          <w:rFonts w:ascii="Arial" w:hAnsi="Arial" w:cs="Arial"/>
          <w:sz w:val="24"/>
          <w:szCs w:val="24"/>
        </w:rPr>
        <w:t>,</w:t>
      </w:r>
      <w:r w:rsidRPr="00815674">
        <w:rPr>
          <w:rFonts w:ascii="Arial" w:hAnsi="Arial" w:cs="Arial"/>
          <w:sz w:val="24"/>
          <w:szCs w:val="24"/>
        </w:rPr>
        <w:t xml:space="preserve"> and time-consuming.</w:t>
      </w:r>
      <w:r w:rsidRPr="006370C3">
        <w:rPr>
          <w:rFonts w:ascii="Arial" w:hAnsi="Arial" w:cs="Arial"/>
          <w:sz w:val="24"/>
          <w:szCs w:val="24"/>
        </w:rPr>
        <w:t xml:space="preserve"> </w:t>
      </w:r>
      <w:r>
        <w:rPr>
          <w:rFonts w:ascii="Arial" w:hAnsi="Arial" w:cs="Arial"/>
          <w:sz w:val="24"/>
          <w:szCs w:val="24"/>
        </w:rPr>
        <w:t>T</w:t>
      </w:r>
      <w:r w:rsidRPr="006B2FC7">
        <w:rPr>
          <w:rFonts w:ascii="Arial" w:hAnsi="Arial" w:cs="Arial"/>
          <w:sz w:val="24"/>
          <w:szCs w:val="24"/>
        </w:rPr>
        <w:t xml:space="preserve">he integration of qualitative and quantitative research </w:t>
      </w:r>
      <w:r>
        <w:rPr>
          <w:rFonts w:ascii="Arial" w:hAnsi="Arial" w:cs="Arial"/>
          <w:sz w:val="24"/>
          <w:szCs w:val="24"/>
        </w:rPr>
        <w:t>was also</w:t>
      </w:r>
      <w:r w:rsidRPr="006B2FC7">
        <w:rPr>
          <w:rFonts w:ascii="Arial" w:hAnsi="Arial" w:cs="Arial"/>
          <w:sz w:val="24"/>
          <w:szCs w:val="24"/>
        </w:rPr>
        <w:t xml:space="preserve"> challenging; because several barriers could impede this integration, such as the skills and preferences of researchers, different audiences, and publication issues </w:t>
      </w:r>
      <w:r w:rsidRPr="006B2FC7">
        <w:rPr>
          <w:rFonts w:ascii="Arial" w:hAnsi="Arial" w:cs="Arial"/>
          <w:sz w:val="24"/>
          <w:szCs w:val="24"/>
        </w:rPr>
        <w:fldChar w:fldCharType="begin" w:fldLock="1"/>
      </w:r>
      <w:r w:rsidRPr="006B2FC7">
        <w:rPr>
          <w:rFonts w:ascii="Arial" w:hAnsi="Arial" w:cs="Arial"/>
          <w:sz w:val="24"/>
          <w:szCs w:val="24"/>
        </w:rPr>
        <w:instrText>ADDIN CSL_CITATION {"citationItems":[{"id":"ITEM-1","itemData":{"DOI":"10.1177/2345678906290531","ISSN":"15586901","abstract":"This article is concerned with the possibility that the development of mixed methods research is being hindered by the tendency that has been observed by some researchers for quantitative and qualitative findings either not to be integrated or to be integrated to only a limited extent. It examines findings from 20 interviews with U.K. social researchers, all of whom are practitioners of mixed methods research. From these interviews, a wide variety of possible barriers to integrating mixed methods findings are presented. The article goes on to suggest that more attention needs to be given to the writing of mixed methods articles. © 2007, SAGE Publications. All rights reserved.","author":[{"dropping-particle":"","family":"Bryman","given":"Alan","non-dropping-particle":"","parse-names":false,"suffix":""}],"container-title":"Journal of Mixed Methods Research","id":"ITEM-1","issue":"1","issued":{"date-parts":[["2007"]]},"page":"8-22","title":"Barriers to Integrating Quantitative and Qualitative Research","type":"article-journal","volume":"1"},"uris":["http://www.mendeley.com/documents/?uuid=8f683a0b-e8bd-4658-b8b5-ffa842cb76c0"]}],"mendeley":{"formattedCitation":"(Bryman, 2007)","plainTextFormattedCitation":"(Bryman, 2007)","previouslyFormattedCitation":"(Bryman, 2007)"},"properties":{"noteIndex":0},"schema":"https://github.com/citation-style-language/schema/raw/master/csl-citation.json"}</w:instrText>
      </w:r>
      <w:r w:rsidRPr="006B2FC7">
        <w:rPr>
          <w:rFonts w:ascii="Arial" w:hAnsi="Arial" w:cs="Arial"/>
          <w:sz w:val="24"/>
          <w:szCs w:val="24"/>
        </w:rPr>
        <w:fldChar w:fldCharType="separate"/>
      </w:r>
      <w:r w:rsidRPr="006B2FC7">
        <w:rPr>
          <w:rFonts w:ascii="Arial" w:hAnsi="Arial" w:cs="Arial"/>
          <w:noProof/>
          <w:sz w:val="24"/>
          <w:szCs w:val="24"/>
        </w:rPr>
        <w:t>(Bryman, 2007)</w:t>
      </w:r>
      <w:r w:rsidRPr="006B2FC7">
        <w:rPr>
          <w:rFonts w:ascii="Arial" w:hAnsi="Arial" w:cs="Arial"/>
          <w:sz w:val="24"/>
          <w:szCs w:val="24"/>
        </w:rPr>
        <w:fldChar w:fldCharType="end"/>
      </w:r>
      <w:r w:rsidRPr="006B2FC7">
        <w:rPr>
          <w:rFonts w:ascii="Arial" w:hAnsi="Arial" w:cs="Arial"/>
          <w:sz w:val="24"/>
          <w:szCs w:val="24"/>
        </w:rPr>
        <w:t>. Mixed method researchers reported that when writing up of mixed-method findings, the biggest difficulty lies in merging analysis of qualitative and quantitative data to provide the integration of results and analysis (Bryman, 2007).</w:t>
      </w:r>
    </w:p>
    <w:p w14:paraId="33638657" w14:textId="77777777" w:rsidR="00EB7F85" w:rsidRPr="00C81B88" w:rsidRDefault="00EB7F85" w:rsidP="00EB7F85">
      <w:pPr>
        <w:spacing w:line="360" w:lineRule="auto"/>
        <w:jc w:val="both"/>
        <w:rPr>
          <w:rFonts w:ascii="Arial" w:hAnsi="Arial" w:cs="Arial"/>
          <w:sz w:val="24"/>
          <w:szCs w:val="24"/>
        </w:rPr>
      </w:pPr>
      <w:r w:rsidRPr="00C81B88">
        <w:rPr>
          <w:rFonts w:ascii="Arial" w:hAnsi="Arial" w:cs="Arial"/>
          <w:sz w:val="24"/>
          <w:szCs w:val="24"/>
        </w:rPr>
        <w:t xml:space="preserve">A considerable amount of time and effort were spent on constructing this survey, which may help validate it because designing the survey correctly is a critical step to ensure that the data collected from it will be reliable and valid so it can answer the research questions. However, the length of the questionnaire could contribute to the response rate. Several ways were taken to encourage the participants to complete their responses, one of them was by sending a follow up message mentioned that ‘Your progress on this survey is saved which means that you can complete it in stages at different times’. </w:t>
      </w:r>
    </w:p>
    <w:p w14:paraId="0C258E87" w14:textId="77777777" w:rsidR="00EB7F85" w:rsidRPr="00C81B88" w:rsidRDefault="00EB7F85" w:rsidP="00EB7F85">
      <w:pPr>
        <w:spacing w:line="360" w:lineRule="auto"/>
        <w:jc w:val="both"/>
        <w:rPr>
          <w:rFonts w:ascii="Arial" w:hAnsi="Arial" w:cs="Arial"/>
          <w:sz w:val="24"/>
          <w:szCs w:val="24"/>
        </w:rPr>
      </w:pPr>
      <w:r w:rsidRPr="00C81B88">
        <w:rPr>
          <w:rFonts w:ascii="Arial" w:hAnsi="Arial" w:cs="Arial"/>
          <w:sz w:val="24"/>
          <w:szCs w:val="24"/>
        </w:rPr>
        <w:t xml:space="preserve">Limit the distribution tool to the Webmail of the Saudi MoH was found another factor that limit the response rate as the healthcare workers are not often check their work email. To mitigate this challenge the distribution tools were expanded to include the social media platforms such as WhatsApp and </w:t>
      </w:r>
      <w:r w:rsidRPr="006A210F">
        <w:rPr>
          <w:rFonts w:ascii="Arial" w:hAnsi="Arial" w:cs="Arial"/>
          <w:sz w:val="24"/>
          <w:szCs w:val="24"/>
        </w:rPr>
        <w:t>Twitter</w:t>
      </w:r>
      <w:r w:rsidRPr="00C81B88">
        <w:rPr>
          <w:rFonts w:ascii="Arial" w:hAnsi="Arial" w:cs="Arial"/>
          <w:sz w:val="24"/>
          <w:szCs w:val="24"/>
        </w:rPr>
        <w:t xml:space="preserve">. </w:t>
      </w:r>
    </w:p>
    <w:p w14:paraId="17D97922" w14:textId="77777777" w:rsidR="00EB7F85" w:rsidRDefault="00EB7F85" w:rsidP="00EB7F85">
      <w:pPr>
        <w:spacing w:line="360" w:lineRule="auto"/>
        <w:jc w:val="both"/>
        <w:rPr>
          <w:rFonts w:ascii="Arial" w:hAnsi="Arial" w:cs="Arial"/>
          <w:sz w:val="24"/>
          <w:szCs w:val="24"/>
        </w:rPr>
      </w:pPr>
      <w:r>
        <w:rPr>
          <w:rFonts w:ascii="Arial" w:hAnsi="Arial" w:cs="Arial"/>
          <w:sz w:val="24"/>
          <w:szCs w:val="24"/>
        </w:rPr>
        <w:t xml:space="preserve">Regarding the </w:t>
      </w:r>
      <w:r w:rsidRPr="00ED01B9">
        <w:rPr>
          <w:rFonts w:ascii="Arial" w:hAnsi="Arial" w:cs="Arial"/>
          <w:sz w:val="24"/>
          <w:szCs w:val="24"/>
        </w:rPr>
        <w:t xml:space="preserve">qualitative </w:t>
      </w:r>
      <w:r>
        <w:rPr>
          <w:rFonts w:ascii="Arial" w:hAnsi="Arial" w:cs="Arial"/>
          <w:sz w:val="24"/>
          <w:szCs w:val="24"/>
        </w:rPr>
        <w:t xml:space="preserve">method, </w:t>
      </w:r>
      <w:r w:rsidRPr="00ED01B9">
        <w:rPr>
          <w:rFonts w:ascii="Arial" w:hAnsi="Arial" w:cs="Arial"/>
          <w:sz w:val="24"/>
          <w:szCs w:val="24"/>
        </w:rPr>
        <w:t>some common criticisms of</w:t>
      </w:r>
      <w:r>
        <w:rPr>
          <w:rFonts w:ascii="Arial" w:hAnsi="Arial" w:cs="Arial"/>
          <w:sz w:val="24"/>
          <w:szCs w:val="24"/>
        </w:rPr>
        <w:t xml:space="preserve"> </w:t>
      </w:r>
      <w:r w:rsidRPr="00ED01B9">
        <w:rPr>
          <w:rFonts w:ascii="Arial" w:hAnsi="Arial" w:cs="Arial"/>
          <w:sz w:val="24"/>
          <w:szCs w:val="24"/>
        </w:rPr>
        <w:t xml:space="preserve">qualitative research include that it lacks generalisability and reproducibility, and there is researcher bias in most of the process, from the design of the study to the interpretation of the findings (Creswell &amp; Clark, 2017). Therefore, to overcome these limitations of the qualitative method, the trustworthiness standards (credibility, transferability, dependability, confirmability and authenticity) were applied to assess the quality of qualitative research </w:t>
      </w:r>
      <w:r w:rsidRPr="00ED01B9">
        <w:rPr>
          <w:rFonts w:ascii="Arial" w:hAnsi="Arial" w:cs="Arial"/>
          <w:sz w:val="24"/>
          <w:szCs w:val="24"/>
        </w:rPr>
        <w:fldChar w:fldCharType="begin" w:fldLock="1"/>
      </w:r>
      <w:r w:rsidRPr="00ED01B9">
        <w:rPr>
          <w:rFonts w:ascii="Arial" w:hAnsi="Arial" w:cs="Arial"/>
          <w:sz w:val="24"/>
          <w:szCs w:val="24"/>
        </w:rPr>
        <w:instrText>ADDIN CSL_CITATION {"citationItems":[{"id":"ITEM-1","itemData":{"DOI":"10.3233/EFI-2004-22201","ISSN":"01678329","abstract":"Although many critics are reluctant to accept the trustworthiness of qualitative research, frameworks for ensuring rigour in this form of work have been in existence for many years. Guba's constructs, in particular, have won considerable favour and form the focus of this paper. Here researchers seek to satisfy four criteria. In addressing credibility, investigators attempt to demonstrate that a true picture of the phenomenon under scrutiny is being presented. To allow transferability, they provide sufficient detail of the context of the fieldwork for a reader to be able to decide whether the prevailing environment is similar to another situation with which he or she is familiar and whether the findings can justifiably be applied to the other setting. The meeting of the dependability criterion is difficult in qualitative work, although researchers should at least strive to enable a future investigator to repeat the study. Finally, to achieve confirmability, researchers must take steps to demonstrate that findings emerge from the data and not their own predispositions. The paper concludes by suggesting that it is the responsibility of research methods teachers to ensure that this or a comparable model for ensuring trustworthiness is followed by students undertaking a qualitative inquiry.","author":[{"dropping-particle":"","family":"Shenton","given":"Andrew K.","non-dropping-particle":"","parse-names":false,"suffix":""}],"container-title":"Education for Information","id":"ITEM-1","issue":"2","issued":{"date-parts":[["2004"]]},"page":"63-75","title":"Strategies for ensuring trustworthiness in qualitative research projects","type":"article-journal","volume":"22"},"uris":["http://www.mendeley.com/documents/?uuid=0d14fd27-89ba-4b3f-8a1b-a2eb8bd8a65c"]}],"mendeley":{"formattedCitation":"(Shenton, 2004)","plainTextFormattedCitation":"(Shenton, 2004)","previouslyFormattedCitation":"(Shenton, 2004)"},"properties":{"noteIndex":0},"schema":"https://github.com/citation-style-language/schema/raw/master/csl-citation.json"}</w:instrText>
      </w:r>
      <w:r w:rsidRPr="00ED01B9">
        <w:rPr>
          <w:rFonts w:ascii="Arial" w:hAnsi="Arial" w:cs="Arial"/>
          <w:sz w:val="24"/>
          <w:szCs w:val="24"/>
        </w:rPr>
        <w:fldChar w:fldCharType="separate"/>
      </w:r>
      <w:r w:rsidRPr="00ED01B9">
        <w:rPr>
          <w:rFonts w:ascii="Arial" w:hAnsi="Arial" w:cs="Arial"/>
          <w:noProof/>
          <w:sz w:val="24"/>
          <w:szCs w:val="24"/>
        </w:rPr>
        <w:t>(Shenton, 2004)</w:t>
      </w:r>
      <w:r w:rsidRPr="00ED01B9">
        <w:rPr>
          <w:rFonts w:ascii="Arial" w:hAnsi="Arial" w:cs="Arial"/>
          <w:sz w:val="24"/>
          <w:szCs w:val="24"/>
        </w:rPr>
        <w:fldChar w:fldCharType="end"/>
      </w:r>
    </w:p>
    <w:p w14:paraId="0D08C7A6" w14:textId="77777777" w:rsidR="00EB7F85" w:rsidRPr="00E2678F" w:rsidRDefault="00EB7F85" w:rsidP="00EB7F85">
      <w:pPr>
        <w:spacing w:line="360" w:lineRule="auto"/>
        <w:jc w:val="both"/>
        <w:rPr>
          <w:rFonts w:ascii="Arial" w:hAnsi="Arial" w:cs="Arial"/>
          <w:sz w:val="24"/>
          <w:szCs w:val="24"/>
        </w:rPr>
      </w:pPr>
      <w:r w:rsidRPr="008A1328">
        <w:rPr>
          <w:rFonts w:ascii="Arial" w:hAnsi="Arial" w:cs="Arial"/>
          <w:sz w:val="24"/>
          <w:szCs w:val="24"/>
        </w:rPr>
        <w:t xml:space="preserve">Since the findings of </w:t>
      </w:r>
      <w:r>
        <w:rPr>
          <w:rFonts w:ascii="Arial" w:hAnsi="Arial" w:cs="Arial"/>
          <w:sz w:val="24"/>
          <w:szCs w:val="24"/>
        </w:rPr>
        <w:t xml:space="preserve">the </w:t>
      </w:r>
      <w:r w:rsidRPr="008A1328">
        <w:rPr>
          <w:rFonts w:ascii="Arial" w:hAnsi="Arial" w:cs="Arial"/>
          <w:sz w:val="24"/>
          <w:szCs w:val="24"/>
        </w:rPr>
        <w:t>qualitative research come from a small number of participants</w:t>
      </w:r>
      <w:r>
        <w:rPr>
          <w:rFonts w:ascii="Arial" w:hAnsi="Arial" w:cs="Arial"/>
          <w:sz w:val="24"/>
          <w:szCs w:val="24"/>
        </w:rPr>
        <w:t xml:space="preserve"> (9)</w:t>
      </w:r>
      <w:r w:rsidRPr="008A1328">
        <w:rPr>
          <w:rFonts w:ascii="Arial" w:hAnsi="Arial" w:cs="Arial"/>
          <w:sz w:val="24"/>
          <w:szCs w:val="24"/>
        </w:rPr>
        <w:t xml:space="preserve">, the concern often lies in </w:t>
      </w:r>
      <w:r>
        <w:rPr>
          <w:rFonts w:ascii="Arial" w:hAnsi="Arial" w:cs="Arial"/>
          <w:sz w:val="24"/>
          <w:szCs w:val="24"/>
        </w:rPr>
        <w:t xml:space="preserve">representing sample and </w:t>
      </w:r>
      <w:r w:rsidRPr="008A1328">
        <w:rPr>
          <w:rFonts w:ascii="Arial" w:hAnsi="Arial" w:cs="Arial"/>
          <w:sz w:val="24"/>
          <w:szCs w:val="24"/>
        </w:rPr>
        <w:t xml:space="preserve">transferring </w:t>
      </w:r>
      <w:r>
        <w:rPr>
          <w:rFonts w:ascii="Arial" w:hAnsi="Arial" w:cs="Arial"/>
          <w:sz w:val="24"/>
          <w:szCs w:val="24"/>
        </w:rPr>
        <w:t>the</w:t>
      </w:r>
      <w:r w:rsidRPr="008A1328">
        <w:rPr>
          <w:rFonts w:ascii="Arial" w:hAnsi="Arial" w:cs="Arial"/>
          <w:sz w:val="24"/>
          <w:szCs w:val="24"/>
        </w:rPr>
        <w:t xml:space="preserve"> findings of </w:t>
      </w:r>
      <w:r>
        <w:rPr>
          <w:rFonts w:ascii="Arial" w:hAnsi="Arial" w:cs="Arial"/>
          <w:sz w:val="24"/>
          <w:szCs w:val="24"/>
        </w:rPr>
        <w:t>research</w:t>
      </w:r>
      <w:r w:rsidRPr="008A1328">
        <w:rPr>
          <w:rFonts w:ascii="Arial" w:hAnsi="Arial" w:cs="Arial"/>
          <w:sz w:val="24"/>
          <w:szCs w:val="24"/>
        </w:rPr>
        <w:t xml:space="preserve"> to be applied to other context</w:t>
      </w:r>
      <w:r>
        <w:rPr>
          <w:rFonts w:ascii="Arial" w:hAnsi="Arial" w:cs="Arial"/>
          <w:sz w:val="24"/>
          <w:szCs w:val="24"/>
        </w:rPr>
        <w:t>s</w:t>
      </w:r>
      <w:r w:rsidRPr="008A1328">
        <w:rPr>
          <w:rFonts w:ascii="Arial" w:hAnsi="Arial" w:cs="Arial"/>
          <w:sz w:val="24"/>
          <w:szCs w:val="24"/>
        </w:rPr>
        <w:t xml:space="preserve">. The applicability of findings of this study could be especially the case at the national level because the majority of health sectors belong </w:t>
      </w:r>
      <w:r>
        <w:rPr>
          <w:rFonts w:ascii="Arial" w:hAnsi="Arial" w:cs="Arial"/>
          <w:sz w:val="24"/>
          <w:szCs w:val="24"/>
        </w:rPr>
        <w:t xml:space="preserve">to </w:t>
      </w:r>
      <w:r w:rsidRPr="008A1328">
        <w:rPr>
          <w:rFonts w:ascii="Arial" w:hAnsi="Arial" w:cs="Arial"/>
          <w:sz w:val="24"/>
          <w:szCs w:val="24"/>
        </w:rPr>
        <w:t>the Saudi M</w:t>
      </w:r>
      <w:r>
        <w:rPr>
          <w:rFonts w:ascii="Arial" w:hAnsi="Arial" w:cs="Arial"/>
          <w:sz w:val="24"/>
          <w:szCs w:val="24"/>
        </w:rPr>
        <w:t>o</w:t>
      </w:r>
      <w:r w:rsidRPr="008A1328">
        <w:rPr>
          <w:rFonts w:ascii="Arial" w:hAnsi="Arial" w:cs="Arial"/>
          <w:sz w:val="24"/>
          <w:szCs w:val="24"/>
        </w:rPr>
        <w:t>H. However, the aim of this research is to provide some extent of findings that can be meaningful, benefi</w:t>
      </w:r>
      <w:r>
        <w:rPr>
          <w:rFonts w:ascii="Arial" w:hAnsi="Arial" w:cs="Arial"/>
          <w:sz w:val="24"/>
          <w:szCs w:val="24"/>
        </w:rPr>
        <w:t>cial</w:t>
      </w:r>
      <w:r w:rsidRPr="008A1328">
        <w:rPr>
          <w:rFonts w:ascii="Arial" w:hAnsi="Arial" w:cs="Arial"/>
          <w:sz w:val="24"/>
          <w:szCs w:val="24"/>
        </w:rPr>
        <w:t>, and useful to other people in other situations, and they are not necessar</w:t>
      </w:r>
      <w:r>
        <w:rPr>
          <w:rFonts w:ascii="Arial" w:hAnsi="Arial" w:cs="Arial"/>
          <w:sz w:val="24"/>
          <w:szCs w:val="24"/>
        </w:rPr>
        <w:t>il</w:t>
      </w:r>
      <w:r w:rsidRPr="008A1328">
        <w:rPr>
          <w:rFonts w:ascii="Arial" w:hAnsi="Arial" w:cs="Arial"/>
          <w:sz w:val="24"/>
          <w:szCs w:val="24"/>
        </w:rPr>
        <w:t>y to be applied as they are.</w:t>
      </w:r>
    </w:p>
    <w:p w14:paraId="24DFEAEC" w14:textId="77777777" w:rsidR="00EB7F85" w:rsidRPr="00ED01B9" w:rsidRDefault="00EB7F85" w:rsidP="00EB7F85"/>
    <w:p w14:paraId="3D441B61" w14:textId="77777777" w:rsidR="00EB7F85" w:rsidRDefault="00EB7F85" w:rsidP="00EB7F85">
      <w:pPr>
        <w:pStyle w:val="Heading2"/>
        <w:numPr>
          <w:ilvl w:val="1"/>
          <w:numId w:val="14"/>
        </w:numPr>
        <w:spacing w:line="257" w:lineRule="auto"/>
        <w:ind w:left="0" w:firstLine="0"/>
      </w:pPr>
      <w:bookmarkStart w:id="164" w:name="_Toc122626405"/>
      <w:bookmarkStart w:id="165" w:name="_Toc153894188"/>
      <w:r>
        <w:t>Conclusion</w:t>
      </w:r>
      <w:bookmarkEnd w:id="164"/>
      <w:bookmarkEnd w:id="165"/>
      <w:r>
        <w:t xml:space="preserve"> </w:t>
      </w:r>
    </w:p>
    <w:p w14:paraId="78DB2230" w14:textId="1D7EDEE6" w:rsidR="00EB7F85" w:rsidRDefault="00EB7F85" w:rsidP="00EB7F85">
      <w:pPr>
        <w:spacing w:line="360" w:lineRule="auto"/>
        <w:jc w:val="both"/>
        <w:rPr>
          <w:rFonts w:ascii="Arial" w:hAnsi="Arial" w:cs="Arial"/>
          <w:sz w:val="24"/>
          <w:szCs w:val="24"/>
          <w:lang w:val="en-GB"/>
        </w:rPr>
      </w:pPr>
      <w:r w:rsidRPr="006B2FC7">
        <w:rPr>
          <w:rFonts w:ascii="Arial" w:hAnsi="Arial" w:cs="Arial"/>
          <w:color w:val="000000"/>
          <w:sz w:val="24"/>
          <w:szCs w:val="24"/>
          <w:shd w:val="clear" w:color="auto" w:fill="FFFFFF"/>
          <w:lang w:val="en-GB"/>
        </w:rPr>
        <w:t xml:space="preserve">This chapter set out the </w:t>
      </w:r>
      <w:r>
        <w:rPr>
          <w:rFonts w:ascii="Arial" w:hAnsi="Arial" w:cs="Arial"/>
          <w:color w:val="000000"/>
          <w:sz w:val="24"/>
          <w:szCs w:val="24"/>
          <w:shd w:val="clear" w:color="auto" w:fill="FFFFFF"/>
          <w:lang w:val="en-GB"/>
        </w:rPr>
        <w:t xml:space="preserve">objectives of the planned </w:t>
      </w:r>
      <w:r w:rsidRPr="006B2FC7">
        <w:rPr>
          <w:rFonts w:ascii="Arial" w:hAnsi="Arial" w:cs="Arial"/>
          <w:color w:val="000000"/>
          <w:sz w:val="24"/>
          <w:szCs w:val="24"/>
          <w:shd w:val="clear" w:color="auto" w:fill="FFFFFF"/>
          <w:lang w:val="en-GB"/>
        </w:rPr>
        <w:t xml:space="preserve">research methods that </w:t>
      </w:r>
      <w:r>
        <w:rPr>
          <w:rFonts w:ascii="Arial" w:hAnsi="Arial" w:cs="Arial"/>
          <w:color w:val="000000"/>
          <w:sz w:val="24"/>
          <w:szCs w:val="24"/>
          <w:shd w:val="clear" w:color="auto" w:fill="FFFFFF"/>
          <w:lang w:val="en-GB"/>
        </w:rPr>
        <w:t>had</w:t>
      </w:r>
      <w:r w:rsidRPr="006B2FC7">
        <w:rPr>
          <w:rFonts w:ascii="Arial" w:hAnsi="Arial" w:cs="Arial"/>
          <w:color w:val="000000"/>
          <w:sz w:val="24"/>
          <w:szCs w:val="24"/>
          <w:shd w:val="clear" w:color="auto" w:fill="FFFFFF"/>
          <w:lang w:val="en-GB"/>
        </w:rPr>
        <w:t xml:space="preserve"> been argued will allow the research questions to be answered</w:t>
      </w:r>
      <w:r>
        <w:rPr>
          <w:rFonts w:ascii="Arial" w:hAnsi="Arial" w:cs="Arial"/>
          <w:color w:val="000000"/>
          <w:sz w:val="24"/>
          <w:szCs w:val="24"/>
          <w:shd w:val="clear" w:color="auto" w:fill="FFFFFF"/>
          <w:lang w:val="en-GB"/>
        </w:rPr>
        <w:t xml:space="preserve"> (</w:t>
      </w:r>
      <w:r w:rsidRPr="00360FB5">
        <w:rPr>
          <w:rFonts w:ascii="Arial" w:hAnsi="Arial" w:cs="Arial"/>
          <w:color w:val="1F3864" w:themeColor="accent1" w:themeShade="80"/>
          <w:sz w:val="24"/>
          <w:szCs w:val="24"/>
          <w:shd w:val="clear" w:color="auto" w:fill="FFFFFF"/>
          <w:lang w:val="en-GB"/>
        </w:rPr>
        <w:fldChar w:fldCharType="begin"/>
      </w:r>
      <w:r w:rsidRPr="00360FB5">
        <w:rPr>
          <w:rFonts w:ascii="Arial" w:hAnsi="Arial" w:cs="Arial"/>
          <w:color w:val="1F3864" w:themeColor="accent1" w:themeShade="80"/>
          <w:sz w:val="24"/>
          <w:szCs w:val="24"/>
          <w:shd w:val="clear" w:color="auto" w:fill="FFFFFF"/>
          <w:lang w:val="en-GB"/>
        </w:rPr>
        <w:instrText xml:space="preserve"> REF _Ref124786005 \r \h </w:instrText>
      </w:r>
      <w:r w:rsidRPr="00360FB5">
        <w:rPr>
          <w:rFonts w:ascii="Arial" w:hAnsi="Arial" w:cs="Arial"/>
          <w:color w:val="1F3864" w:themeColor="accent1" w:themeShade="80"/>
          <w:sz w:val="24"/>
          <w:szCs w:val="24"/>
          <w:shd w:val="clear" w:color="auto" w:fill="FFFFFF"/>
          <w:lang w:val="en-GB"/>
        </w:rPr>
      </w:r>
      <w:r w:rsidRPr="00360FB5">
        <w:rPr>
          <w:rFonts w:ascii="Arial" w:hAnsi="Arial" w:cs="Arial"/>
          <w:color w:val="1F3864" w:themeColor="accent1" w:themeShade="80"/>
          <w:sz w:val="24"/>
          <w:szCs w:val="24"/>
          <w:shd w:val="clear" w:color="auto" w:fill="FFFFFF"/>
          <w:lang w:val="en-GB"/>
        </w:rPr>
        <w:fldChar w:fldCharType="separate"/>
      </w:r>
      <w:r w:rsidRPr="00360FB5">
        <w:rPr>
          <w:rFonts w:ascii="Arial" w:hAnsi="Arial" w:cs="Arial"/>
          <w:color w:val="1F3864" w:themeColor="accent1" w:themeShade="80"/>
          <w:sz w:val="24"/>
          <w:szCs w:val="24"/>
          <w:shd w:val="clear" w:color="auto" w:fill="FFFFFF"/>
          <w:cs/>
          <w:lang w:val="en-GB"/>
        </w:rPr>
        <w:t>‎</w:t>
      </w:r>
      <w:r w:rsidRPr="00360FB5">
        <w:rPr>
          <w:rFonts w:ascii="Arial" w:hAnsi="Arial" w:cs="Arial"/>
          <w:color w:val="1F3864" w:themeColor="accent1" w:themeShade="80"/>
          <w:sz w:val="24"/>
          <w:szCs w:val="24"/>
          <w:shd w:val="clear" w:color="auto" w:fill="FFFFFF"/>
          <w:lang w:val="en-GB"/>
        </w:rPr>
        <w:t>4.1.1</w:t>
      </w:r>
      <w:r w:rsidRPr="00360FB5">
        <w:rPr>
          <w:rFonts w:ascii="Arial" w:hAnsi="Arial" w:cs="Arial"/>
          <w:color w:val="1F3864" w:themeColor="accent1" w:themeShade="80"/>
          <w:sz w:val="24"/>
          <w:szCs w:val="24"/>
          <w:shd w:val="clear" w:color="auto" w:fill="FFFFFF"/>
          <w:lang w:val="en-GB"/>
        </w:rPr>
        <w:fldChar w:fldCharType="end"/>
      </w:r>
      <w:r>
        <w:rPr>
          <w:rFonts w:ascii="Arial" w:hAnsi="Arial" w:cs="Arial"/>
          <w:color w:val="000000"/>
          <w:sz w:val="24"/>
          <w:szCs w:val="24"/>
          <w:shd w:val="clear" w:color="auto" w:fill="FFFFFF"/>
          <w:lang w:val="en-GB"/>
        </w:rPr>
        <w:t xml:space="preserve">). </w:t>
      </w:r>
      <w:r w:rsidRPr="006B2FC7">
        <w:rPr>
          <w:rFonts w:ascii="Arial" w:hAnsi="Arial" w:cs="Arial"/>
          <w:color w:val="000000"/>
          <w:sz w:val="24"/>
          <w:szCs w:val="24"/>
          <w:shd w:val="clear" w:color="auto" w:fill="FFFFFF"/>
          <w:lang w:val="en-GB"/>
        </w:rPr>
        <w:t xml:space="preserve">A mixed-methods sequential design using quantitative surveys followed by more explanatory qualitative semi-structured </w:t>
      </w:r>
      <w:r>
        <w:rPr>
          <w:rFonts w:ascii="Arial" w:hAnsi="Arial" w:cs="Arial"/>
          <w:color w:val="000000"/>
          <w:sz w:val="24"/>
          <w:szCs w:val="24"/>
          <w:shd w:val="clear" w:color="auto" w:fill="FFFFFF"/>
          <w:lang w:val="en-GB"/>
        </w:rPr>
        <w:t>online</w:t>
      </w:r>
      <w:r w:rsidRPr="006B2FC7">
        <w:rPr>
          <w:rFonts w:ascii="Arial" w:hAnsi="Arial" w:cs="Arial"/>
          <w:color w:val="000000"/>
          <w:sz w:val="24"/>
          <w:szCs w:val="24"/>
          <w:shd w:val="clear" w:color="auto" w:fill="FFFFFF"/>
          <w:lang w:val="en-GB"/>
        </w:rPr>
        <w:t xml:space="preserve"> interviews </w:t>
      </w:r>
      <w:r>
        <w:rPr>
          <w:rFonts w:ascii="Arial" w:hAnsi="Arial" w:cs="Arial"/>
          <w:color w:val="000000"/>
          <w:sz w:val="24"/>
          <w:szCs w:val="24"/>
          <w:shd w:val="clear" w:color="auto" w:fill="FFFFFF"/>
          <w:lang w:val="en-GB"/>
        </w:rPr>
        <w:t xml:space="preserve">was </w:t>
      </w:r>
      <w:r w:rsidRPr="006B2FC7">
        <w:rPr>
          <w:rFonts w:ascii="Arial" w:hAnsi="Arial" w:cs="Arial"/>
          <w:color w:val="000000"/>
          <w:sz w:val="24"/>
          <w:szCs w:val="24"/>
          <w:shd w:val="clear" w:color="auto" w:fill="FFFFFF"/>
          <w:lang w:val="en-GB"/>
        </w:rPr>
        <w:t>used. The sample comprise</w:t>
      </w:r>
      <w:r>
        <w:rPr>
          <w:rFonts w:ascii="Arial" w:hAnsi="Arial" w:cs="Arial"/>
          <w:color w:val="000000"/>
          <w:sz w:val="24"/>
          <w:szCs w:val="24"/>
          <w:shd w:val="clear" w:color="auto" w:fill="FFFFFF"/>
          <w:lang w:val="en-GB"/>
        </w:rPr>
        <w:t>s</w:t>
      </w:r>
      <w:r w:rsidRPr="006B2FC7">
        <w:rPr>
          <w:rFonts w:ascii="Arial" w:hAnsi="Arial" w:cs="Arial"/>
          <w:color w:val="000000"/>
          <w:sz w:val="24"/>
          <w:szCs w:val="24"/>
          <w:shd w:val="clear" w:color="auto" w:fill="FFFFFF"/>
          <w:lang w:val="en-GB"/>
        </w:rPr>
        <w:t xml:space="preserve"> doctors, nurses, and pharmacists working in the PHCs belong</w:t>
      </w:r>
      <w:r>
        <w:rPr>
          <w:rFonts w:ascii="Arial" w:hAnsi="Arial" w:cs="Arial"/>
          <w:color w:val="000000"/>
          <w:sz w:val="24"/>
          <w:szCs w:val="24"/>
          <w:shd w:val="clear" w:color="auto" w:fill="FFFFFF"/>
          <w:lang w:val="en-GB"/>
        </w:rPr>
        <w:t>ing</w:t>
      </w:r>
      <w:r w:rsidRPr="006B2FC7">
        <w:rPr>
          <w:rFonts w:ascii="Arial" w:hAnsi="Arial" w:cs="Arial"/>
          <w:color w:val="000000"/>
          <w:sz w:val="24"/>
          <w:szCs w:val="24"/>
          <w:shd w:val="clear" w:color="auto" w:fill="FFFFFF"/>
          <w:lang w:val="en-GB"/>
        </w:rPr>
        <w:t xml:space="preserve"> to the first health cluster in the Eastern province of SA. The survey data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analysed by using descriptive and inferential analysis, and this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done through SPSS. The interview (qualitative) data </w:t>
      </w:r>
      <w:r>
        <w:rPr>
          <w:rFonts w:ascii="Arial" w:hAnsi="Arial" w:cs="Arial"/>
          <w:color w:val="000000"/>
          <w:sz w:val="24"/>
          <w:szCs w:val="24"/>
          <w:shd w:val="clear" w:color="auto" w:fill="FFFFFF"/>
          <w:lang w:val="en-GB"/>
        </w:rPr>
        <w:t>was</w:t>
      </w:r>
      <w:r w:rsidRPr="006B2FC7">
        <w:rPr>
          <w:rFonts w:ascii="Arial" w:hAnsi="Arial" w:cs="Arial"/>
          <w:color w:val="000000"/>
          <w:sz w:val="24"/>
          <w:szCs w:val="24"/>
          <w:shd w:val="clear" w:color="auto" w:fill="FFFFFF"/>
          <w:lang w:val="en-GB"/>
        </w:rPr>
        <w:t xml:space="preserve"> analysed by using Braun and Clarke’s (2006) 6 phase thematic analysis process.  Five key concepts strategies by</w:t>
      </w:r>
      <w:r>
        <w:rPr>
          <w:rFonts w:ascii="Arial" w:hAnsi="Arial" w:cs="Arial"/>
          <w:color w:val="000000"/>
          <w:sz w:val="24"/>
          <w:szCs w:val="24"/>
          <w:shd w:val="clear" w:color="auto" w:fill="FFFFFF"/>
          <w:lang w:val="en-GB"/>
        </w:rPr>
        <w:t xml:space="preserve"> </w:t>
      </w:r>
      <w:r>
        <w:rPr>
          <w:rFonts w:ascii="Arial" w:hAnsi="Arial" w:cs="Arial"/>
          <w:color w:val="000000"/>
          <w:sz w:val="24"/>
          <w:szCs w:val="24"/>
          <w:shd w:val="clear" w:color="auto" w:fill="FFFFFF"/>
          <w:lang w:val="en-GB"/>
        </w:rPr>
        <w:fldChar w:fldCharType="begin" w:fldLock="1"/>
      </w:r>
      <w:r>
        <w:rPr>
          <w:rFonts w:ascii="Arial" w:hAnsi="Arial" w:cs="Arial"/>
          <w:color w:val="000000"/>
          <w:sz w:val="24"/>
          <w:szCs w:val="24"/>
          <w:shd w:val="clear" w:color="auto" w:fill="FFFFFF"/>
          <w:lang w:val="en-GB"/>
        </w:rPr>
        <w:instrText>ADDIN CSL_CITATION {"citationItems":[{"id":"ITEM-1","itemData":{"ISBN":"0803924313","author":[{"dropping-particle":"","family":"Lincoln","given":"Yvonna S","non-dropping-particle":"","parse-names":false,"suffix":""},{"dropping-particle":"","family":"Guba","given":"Egon G","non-dropping-particle":"","parse-names":false,"suffix":""}],"editor":[{"dropping-particle":"","family":"Guba","given":"Egon G","non-dropping-particle":"","parse-names":false,"suffix":""}],"id":"ITEM-1","issued":{"date-parts":[["1985"]]},"note":"Bibliography, p393-408. - Includes index.","publisher":"Beverly Hills, Calif. ","publisher-place":"Beverly Hills, Calif. ","title":"Naturalistic inquiry","type":"book"},"uris":["http://www.mendeley.com/documents/?uuid=69252e67-5ee3-446d-bdfb-70e597e1b82d"]}],"mendeley":{"formattedCitation":"(Lincoln and Guba, 1985)","manualFormatting":"Lincoln and Guba (1985)","plainTextFormattedCitation":"(Lincoln and Guba, 1985)","previouslyFormattedCitation":"(Lincoln and Guba, 1985)"},"properties":{"noteIndex":0},"schema":"https://github.com/citation-style-language/schema/raw/master/csl-citation.json"}</w:instrText>
      </w:r>
      <w:r>
        <w:rPr>
          <w:rFonts w:ascii="Arial" w:hAnsi="Arial" w:cs="Arial"/>
          <w:color w:val="000000"/>
          <w:sz w:val="24"/>
          <w:szCs w:val="24"/>
          <w:shd w:val="clear" w:color="auto" w:fill="FFFFFF"/>
          <w:lang w:val="en-GB"/>
        </w:rPr>
        <w:fldChar w:fldCharType="separate"/>
      </w:r>
      <w:r w:rsidRPr="006435E4">
        <w:rPr>
          <w:rFonts w:ascii="Arial" w:hAnsi="Arial" w:cs="Arial"/>
          <w:noProof/>
          <w:color w:val="000000"/>
          <w:sz w:val="24"/>
          <w:szCs w:val="24"/>
          <w:shd w:val="clear" w:color="auto" w:fill="FFFFFF"/>
          <w:lang w:val="en-GB"/>
        </w:rPr>
        <w:t xml:space="preserve">Lincoln and Guba </w:t>
      </w:r>
      <w:r>
        <w:rPr>
          <w:rFonts w:ascii="Arial" w:hAnsi="Arial" w:cs="Arial"/>
          <w:noProof/>
          <w:color w:val="000000"/>
          <w:sz w:val="24"/>
          <w:szCs w:val="24"/>
          <w:shd w:val="clear" w:color="auto" w:fill="FFFFFF"/>
          <w:lang w:val="en-GB"/>
        </w:rPr>
        <w:t>(</w:t>
      </w:r>
      <w:r w:rsidRPr="006435E4">
        <w:rPr>
          <w:rFonts w:ascii="Arial" w:hAnsi="Arial" w:cs="Arial"/>
          <w:noProof/>
          <w:color w:val="000000"/>
          <w:sz w:val="24"/>
          <w:szCs w:val="24"/>
          <w:shd w:val="clear" w:color="auto" w:fill="FFFFFF"/>
          <w:lang w:val="en-GB"/>
        </w:rPr>
        <w:t>1985)</w:t>
      </w:r>
      <w:r>
        <w:rPr>
          <w:rFonts w:ascii="Arial" w:hAnsi="Arial" w:cs="Arial"/>
          <w:color w:val="000000"/>
          <w:sz w:val="24"/>
          <w:szCs w:val="24"/>
          <w:shd w:val="clear" w:color="auto" w:fill="FFFFFF"/>
          <w:lang w:val="en-GB"/>
        </w:rPr>
        <w:fldChar w:fldCharType="end"/>
      </w:r>
      <w:r w:rsidRPr="006B2FC7">
        <w:rPr>
          <w:rFonts w:ascii="Arial" w:hAnsi="Arial" w:cs="Arial"/>
          <w:color w:val="000000"/>
          <w:sz w:val="24"/>
          <w:szCs w:val="24"/>
          <w:shd w:val="clear" w:color="auto" w:fill="FFFFFF"/>
          <w:lang w:val="en-GB"/>
        </w:rPr>
        <w:t xml:space="preserve"> to achieve the trustworthiness w</w:t>
      </w:r>
      <w:r>
        <w:rPr>
          <w:rFonts w:ascii="Arial" w:hAnsi="Arial" w:cs="Arial"/>
          <w:color w:val="000000"/>
          <w:sz w:val="24"/>
          <w:szCs w:val="24"/>
          <w:shd w:val="clear" w:color="auto" w:fill="FFFFFF"/>
          <w:lang w:val="en-GB"/>
        </w:rPr>
        <w:t xml:space="preserve">as </w:t>
      </w:r>
      <w:r w:rsidRPr="006B2FC7">
        <w:rPr>
          <w:rFonts w:ascii="Arial" w:hAnsi="Arial" w:cs="Arial"/>
          <w:color w:val="000000"/>
          <w:sz w:val="24"/>
          <w:szCs w:val="24"/>
          <w:shd w:val="clear" w:color="auto" w:fill="FFFFFF"/>
          <w:lang w:val="en-GB"/>
        </w:rPr>
        <w:t>used to assess the quality of qualitative research: credibility, transferability, dependability, confirmability and authenticity.</w:t>
      </w:r>
      <w:r w:rsidRPr="00014C7F">
        <w:rPr>
          <w:rFonts w:ascii="Arial" w:hAnsi="Arial" w:cs="Arial"/>
          <w:color w:val="FF0000"/>
          <w:sz w:val="24"/>
          <w:szCs w:val="24"/>
          <w:shd w:val="clear" w:color="auto" w:fill="FFFFFF"/>
          <w:lang w:val="en-GB"/>
        </w:rPr>
        <w:t xml:space="preserve"> </w:t>
      </w:r>
      <w:r w:rsidRPr="00107C0D">
        <w:rPr>
          <w:rFonts w:ascii="Arial" w:hAnsi="Arial" w:cs="Arial"/>
          <w:sz w:val="24"/>
          <w:szCs w:val="24"/>
          <w:shd w:val="clear" w:color="auto" w:fill="FFFFFF"/>
          <w:lang w:val="en-GB"/>
        </w:rPr>
        <w:t xml:space="preserve">This chapter also shows how the findings of both phases (quantitative and qualitative) </w:t>
      </w:r>
      <w:r>
        <w:rPr>
          <w:rFonts w:ascii="Arial" w:hAnsi="Arial" w:cs="Arial"/>
          <w:sz w:val="24"/>
          <w:szCs w:val="24"/>
          <w:shd w:val="clear" w:color="auto" w:fill="FFFFFF"/>
          <w:lang w:val="en-GB"/>
        </w:rPr>
        <w:t>were</w:t>
      </w:r>
      <w:r w:rsidRPr="00107C0D">
        <w:rPr>
          <w:rFonts w:ascii="Arial" w:hAnsi="Arial" w:cs="Arial"/>
          <w:sz w:val="24"/>
          <w:szCs w:val="24"/>
          <w:shd w:val="clear" w:color="auto" w:fill="FFFFFF"/>
          <w:lang w:val="en-GB"/>
        </w:rPr>
        <w:t xml:space="preserve"> connected. This w</w:t>
      </w:r>
      <w:r>
        <w:rPr>
          <w:rFonts w:ascii="Arial" w:hAnsi="Arial" w:cs="Arial"/>
          <w:sz w:val="24"/>
          <w:szCs w:val="24"/>
          <w:shd w:val="clear" w:color="auto" w:fill="FFFFFF"/>
          <w:lang w:val="en-GB"/>
        </w:rPr>
        <w:t xml:space="preserve">as </w:t>
      </w:r>
      <w:r w:rsidRPr="00107C0D">
        <w:rPr>
          <w:rFonts w:ascii="Arial" w:hAnsi="Arial" w:cs="Arial"/>
          <w:sz w:val="24"/>
          <w:szCs w:val="24"/>
          <w:shd w:val="clear" w:color="auto" w:fill="FFFFFF"/>
          <w:lang w:val="en-GB"/>
        </w:rPr>
        <w:t xml:space="preserve">done via the integration approach </w:t>
      </w:r>
      <w:r w:rsidRPr="00D81BD0">
        <w:rPr>
          <w:rFonts w:ascii="Arial" w:hAnsi="Arial" w:cs="Arial"/>
          <w:sz w:val="24"/>
          <w:szCs w:val="24"/>
        </w:rPr>
        <w:t>at different levels of the research process</w:t>
      </w:r>
      <w:r>
        <w:rPr>
          <w:rFonts w:ascii="Arial" w:hAnsi="Arial" w:cs="Arial"/>
          <w:sz w:val="24"/>
          <w:szCs w:val="24"/>
        </w:rPr>
        <w:t xml:space="preserve">: </w:t>
      </w:r>
      <w:r w:rsidRPr="00D81BD0">
        <w:rPr>
          <w:rFonts w:ascii="Arial" w:hAnsi="Arial" w:cs="Arial"/>
          <w:sz w:val="24"/>
          <w:szCs w:val="24"/>
        </w:rPr>
        <w:t>defining research questions, data collection, sampling, analysis, interpretation, and reporting</w:t>
      </w:r>
      <w:r>
        <w:rPr>
          <w:rFonts w:ascii="Arial" w:hAnsi="Arial" w:cs="Arial"/>
          <w:sz w:val="24"/>
          <w:szCs w:val="24"/>
          <w:shd w:val="clear" w:color="auto" w:fill="FFFFFF"/>
          <w:lang w:val="en-GB"/>
        </w:rPr>
        <w:t xml:space="preserve"> as shown in </w:t>
      </w:r>
      <w:r w:rsidRPr="00367CB2">
        <w:rPr>
          <w:rFonts w:ascii="Arial" w:hAnsi="Arial" w:cs="Arial"/>
          <w:color w:val="1F3864" w:themeColor="accent1" w:themeShade="80"/>
          <w:sz w:val="24"/>
          <w:szCs w:val="24"/>
          <w:shd w:val="clear" w:color="auto" w:fill="FFFFFF"/>
          <w:lang w:val="en-GB"/>
        </w:rPr>
        <w:fldChar w:fldCharType="begin"/>
      </w:r>
      <w:r w:rsidRPr="00367CB2">
        <w:rPr>
          <w:rFonts w:ascii="Arial" w:hAnsi="Arial" w:cs="Arial"/>
          <w:color w:val="1F3864" w:themeColor="accent1" w:themeShade="80"/>
          <w:sz w:val="24"/>
          <w:szCs w:val="24"/>
          <w:shd w:val="clear" w:color="auto" w:fill="FFFFFF"/>
          <w:lang w:val="en-GB"/>
        </w:rPr>
        <w:instrText xml:space="preserve"> REF _Ref122815202 \h  \* MERGEFORMAT </w:instrText>
      </w:r>
      <w:r w:rsidRPr="00367CB2">
        <w:rPr>
          <w:rFonts w:ascii="Arial" w:hAnsi="Arial" w:cs="Arial"/>
          <w:color w:val="1F3864" w:themeColor="accent1" w:themeShade="80"/>
          <w:sz w:val="24"/>
          <w:szCs w:val="24"/>
          <w:shd w:val="clear" w:color="auto" w:fill="FFFFFF"/>
          <w:lang w:val="en-GB"/>
        </w:rPr>
      </w:r>
      <w:r w:rsidRPr="00367CB2">
        <w:rPr>
          <w:rFonts w:ascii="Arial" w:hAnsi="Arial" w:cs="Arial"/>
          <w:color w:val="1F3864" w:themeColor="accent1" w:themeShade="80"/>
          <w:sz w:val="24"/>
          <w:szCs w:val="24"/>
          <w:shd w:val="clear" w:color="auto" w:fill="FFFFFF"/>
          <w:lang w:val="en-GB"/>
        </w:rPr>
        <w:fldChar w:fldCharType="separate"/>
      </w:r>
      <w:r w:rsidR="00535E8D" w:rsidRPr="00535E8D">
        <w:rPr>
          <w:rFonts w:ascii="Arial" w:hAnsi="Arial" w:cs="Arial"/>
          <w:color w:val="1F3864" w:themeColor="accent1" w:themeShade="80"/>
          <w:sz w:val="24"/>
          <w:szCs w:val="24"/>
          <w:shd w:val="clear" w:color="auto" w:fill="FFFFFF"/>
          <w:lang w:val="en-GB"/>
        </w:rPr>
        <w:t>Table 12</w:t>
      </w:r>
      <w:r w:rsidRPr="00367CB2">
        <w:rPr>
          <w:rFonts w:ascii="Arial" w:hAnsi="Arial" w:cs="Arial"/>
          <w:color w:val="1F3864" w:themeColor="accent1" w:themeShade="80"/>
          <w:sz w:val="24"/>
          <w:szCs w:val="24"/>
          <w:shd w:val="clear" w:color="auto" w:fill="FFFFFF"/>
          <w:lang w:val="en-GB"/>
        </w:rPr>
        <w:fldChar w:fldCharType="end"/>
      </w:r>
      <w:r w:rsidRPr="00107C0D">
        <w:rPr>
          <w:rFonts w:ascii="Arial" w:hAnsi="Arial" w:cs="Arial"/>
          <w:sz w:val="24"/>
          <w:szCs w:val="24"/>
          <w:shd w:val="clear" w:color="auto" w:fill="FFFFFF"/>
          <w:lang w:val="en-GB"/>
        </w:rPr>
        <w:t xml:space="preserve">.  The final and a crucial aspect of the study is research ethics; this chapter demonstrates how the adherence to the University’s Ethics policy </w:t>
      </w:r>
      <w:r>
        <w:rPr>
          <w:rFonts w:ascii="Arial" w:hAnsi="Arial" w:cs="Arial"/>
          <w:sz w:val="24"/>
          <w:szCs w:val="24"/>
          <w:shd w:val="clear" w:color="auto" w:fill="FFFFFF"/>
          <w:lang w:val="en-GB"/>
        </w:rPr>
        <w:t>was</w:t>
      </w:r>
      <w:r w:rsidRPr="00107C0D">
        <w:rPr>
          <w:rFonts w:ascii="Arial" w:hAnsi="Arial" w:cs="Arial"/>
          <w:sz w:val="24"/>
          <w:szCs w:val="24"/>
          <w:shd w:val="clear" w:color="auto" w:fill="FFFFFF"/>
          <w:lang w:val="en-GB"/>
        </w:rPr>
        <w:t xml:space="preserve"> achieved. For instance, </w:t>
      </w:r>
      <w:r w:rsidRPr="00107C0D">
        <w:rPr>
          <w:rFonts w:ascii="Arial" w:hAnsi="Arial" w:cs="Arial"/>
          <w:sz w:val="24"/>
          <w:szCs w:val="24"/>
          <w:lang w:val="en-GB"/>
        </w:rPr>
        <w:t xml:space="preserve">principles of anonymity, confidentiality, and data protection </w:t>
      </w:r>
      <w:r>
        <w:rPr>
          <w:rFonts w:ascii="Arial" w:hAnsi="Arial" w:cs="Arial"/>
          <w:sz w:val="24"/>
          <w:szCs w:val="24"/>
          <w:lang w:val="en-GB"/>
        </w:rPr>
        <w:t>were</w:t>
      </w:r>
      <w:r w:rsidRPr="00107C0D">
        <w:rPr>
          <w:rFonts w:ascii="Arial" w:hAnsi="Arial" w:cs="Arial"/>
          <w:sz w:val="24"/>
          <w:szCs w:val="24"/>
          <w:lang w:val="en-GB"/>
        </w:rPr>
        <w:t xml:space="preserve"> applied to the collection, handling, storage, and destruction of qualitative data.</w:t>
      </w:r>
    </w:p>
    <w:p w14:paraId="09BB965C" w14:textId="747024FB" w:rsidR="00821B82" w:rsidRDefault="00821B82">
      <w:pPr>
        <w:rPr>
          <w:lang w:val="en-GB"/>
        </w:rPr>
      </w:pPr>
      <w:r>
        <w:rPr>
          <w:lang w:val="en-GB"/>
        </w:rPr>
        <w:br w:type="page"/>
      </w:r>
    </w:p>
    <w:p w14:paraId="10228F19" w14:textId="1F2564FE" w:rsidR="00821B82" w:rsidRDefault="00821B82" w:rsidP="00821B82">
      <w:pPr>
        <w:pStyle w:val="Heading1"/>
        <w:numPr>
          <w:ilvl w:val="0"/>
          <w:numId w:val="14"/>
        </w:numPr>
        <w:jc w:val="center"/>
      </w:pPr>
      <w:bookmarkStart w:id="166" w:name="_Toc122626406"/>
      <w:bookmarkStart w:id="167" w:name="_Toc153894189"/>
      <w:r>
        <w:t xml:space="preserve">Chapter Five: Quantitative </w:t>
      </w:r>
      <w:bookmarkEnd w:id="166"/>
      <w:r w:rsidR="00A47F08">
        <w:t>Results</w:t>
      </w:r>
      <w:bookmarkEnd w:id="167"/>
      <w:r w:rsidR="00A47F08">
        <w:t xml:space="preserve"> </w:t>
      </w:r>
    </w:p>
    <w:p w14:paraId="539ACA27" w14:textId="77777777" w:rsidR="00821B82" w:rsidRPr="00B148C9" w:rsidRDefault="00821B82" w:rsidP="00821B82">
      <w:pPr>
        <w:spacing w:line="360" w:lineRule="auto"/>
        <w:jc w:val="both"/>
        <w:rPr>
          <w:rFonts w:ascii="Arial" w:hAnsi="Arial" w:cs="Arial"/>
          <w:sz w:val="24"/>
          <w:szCs w:val="24"/>
          <w:shd w:val="clear" w:color="auto" w:fill="FFFFFF"/>
          <w:lang w:val="en-GB"/>
        </w:rPr>
      </w:pPr>
    </w:p>
    <w:p w14:paraId="744A0AB7" w14:textId="64262F3A" w:rsidR="00821B82" w:rsidRPr="00E3716B" w:rsidRDefault="00FD672B" w:rsidP="00821B82">
      <w:pPr>
        <w:pStyle w:val="Heading2"/>
        <w:numPr>
          <w:ilvl w:val="1"/>
          <w:numId w:val="14"/>
        </w:numPr>
        <w:spacing w:line="257" w:lineRule="auto"/>
        <w:ind w:left="0" w:firstLine="0"/>
      </w:pPr>
      <w:bookmarkStart w:id="168" w:name="_Toc122626416"/>
      <w:bookmarkStart w:id="169" w:name="_Toc153894190"/>
      <w:r>
        <w:t xml:space="preserve">Survey </w:t>
      </w:r>
      <w:r w:rsidR="00821B82">
        <w:t>results</w:t>
      </w:r>
      <w:bookmarkEnd w:id="168"/>
      <w:bookmarkEnd w:id="169"/>
      <w:r w:rsidR="00821B82">
        <w:t xml:space="preserve"> </w:t>
      </w:r>
    </w:p>
    <w:p w14:paraId="5789F26F" w14:textId="77777777" w:rsidR="00821B82" w:rsidRPr="009141AC" w:rsidRDefault="00821B82" w:rsidP="00821B82">
      <w:pPr>
        <w:spacing w:after="0" w:line="360" w:lineRule="auto"/>
        <w:jc w:val="both"/>
        <w:rPr>
          <w:rFonts w:asciiTheme="minorBidi" w:hAnsiTheme="minorBidi"/>
          <w:sz w:val="24"/>
          <w:szCs w:val="24"/>
        </w:rPr>
      </w:pPr>
      <w:r w:rsidRPr="009141AC">
        <w:rPr>
          <w:rFonts w:asciiTheme="minorBidi" w:hAnsiTheme="minorBidi"/>
          <w:sz w:val="24"/>
          <w:szCs w:val="24"/>
        </w:rPr>
        <w:t xml:space="preserve">This </w:t>
      </w:r>
      <w:r>
        <w:rPr>
          <w:rFonts w:asciiTheme="minorBidi" w:hAnsiTheme="minorBidi"/>
          <w:sz w:val="24"/>
          <w:szCs w:val="24"/>
        </w:rPr>
        <w:t>section</w:t>
      </w:r>
      <w:r w:rsidRPr="009141AC">
        <w:rPr>
          <w:rFonts w:asciiTheme="minorBidi" w:hAnsiTheme="minorBidi"/>
          <w:sz w:val="24"/>
          <w:szCs w:val="24"/>
        </w:rPr>
        <w:t xml:space="preserve"> presents the results from the survey, the first stage of the study data collection. It begins by outlining the response rate and the demographic characteristics of the participants.</w:t>
      </w:r>
      <w:r w:rsidRPr="009141AC">
        <w:rPr>
          <w:rFonts w:asciiTheme="minorBidi" w:hAnsiTheme="minorBidi"/>
          <w:color w:val="FF0000"/>
          <w:sz w:val="24"/>
          <w:szCs w:val="24"/>
        </w:rPr>
        <w:t xml:space="preserve"> </w:t>
      </w:r>
      <w:r w:rsidRPr="009141AC">
        <w:rPr>
          <w:rFonts w:asciiTheme="minorBidi" w:hAnsiTheme="minorBidi"/>
          <w:sz w:val="24"/>
          <w:szCs w:val="24"/>
        </w:rPr>
        <w:t xml:space="preserve">Next, it presents descriptive results of the pharmaceutical care services provided to patients with diabetes in </w:t>
      </w:r>
      <w:r>
        <w:rPr>
          <w:rFonts w:asciiTheme="minorBidi" w:hAnsiTheme="minorBidi"/>
          <w:sz w:val="24"/>
          <w:szCs w:val="24"/>
        </w:rPr>
        <w:t>PHC</w:t>
      </w:r>
      <w:r w:rsidRPr="009141AC">
        <w:rPr>
          <w:rFonts w:asciiTheme="minorBidi" w:hAnsiTheme="minorBidi"/>
          <w:sz w:val="24"/>
          <w:szCs w:val="24"/>
        </w:rPr>
        <w:t xml:space="preserve"> in </w:t>
      </w:r>
      <w:r>
        <w:rPr>
          <w:rFonts w:asciiTheme="minorBidi" w:hAnsiTheme="minorBidi"/>
          <w:sz w:val="24"/>
          <w:szCs w:val="24"/>
        </w:rPr>
        <w:t>SA</w:t>
      </w:r>
      <w:r w:rsidRPr="009141AC">
        <w:rPr>
          <w:rFonts w:asciiTheme="minorBidi" w:hAnsiTheme="minorBidi"/>
          <w:sz w:val="24"/>
          <w:szCs w:val="24"/>
        </w:rPr>
        <w:t xml:space="preserve">, views of </w:t>
      </w:r>
      <w:r>
        <w:rPr>
          <w:rFonts w:asciiTheme="minorBidi" w:hAnsiTheme="minorBidi"/>
          <w:sz w:val="24"/>
          <w:szCs w:val="24"/>
        </w:rPr>
        <w:t>HCPs</w:t>
      </w:r>
      <w:r w:rsidRPr="009141AC">
        <w:rPr>
          <w:rFonts w:asciiTheme="minorBidi" w:hAnsiTheme="minorBidi"/>
          <w:sz w:val="24"/>
          <w:szCs w:val="24"/>
        </w:rPr>
        <w:t xml:space="preserve"> on the pharmacist’s role in diabetes primary care management, and opinions of </w:t>
      </w:r>
      <w:r>
        <w:rPr>
          <w:rFonts w:asciiTheme="minorBidi" w:hAnsiTheme="minorBidi"/>
          <w:sz w:val="24"/>
          <w:szCs w:val="24"/>
        </w:rPr>
        <w:t>HCPs</w:t>
      </w:r>
      <w:r w:rsidRPr="009141AC">
        <w:rPr>
          <w:rFonts w:asciiTheme="minorBidi" w:hAnsiTheme="minorBidi"/>
          <w:sz w:val="24"/>
          <w:szCs w:val="24"/>
        </w:rPr>
        <w:t xml:space="preserve"> about the potential impact of pharmacist involvement in diabetes care in PHCs in S</w:t>
      </w:r>
      <w:r>
        <w:rPr>
          <w:rFonts w:asciiTheme="minorBidi" w:hAnsiTheme="minorBidi"/>
          <w:sz w:val="24"/>
          <w:szCs w:val="24"/>
        </w:rPr>
        <w:t>A</w:t>
      </w:r>
      <w:r w:rsidRPr="009141AC">
        <w:rPr>
          <w:rFonts w:asciiTheme="minorBidi" w:hAnsiTheme="minorBidi"/>
          <w:sz w:val="24"/>
          <w:szCs w:val="24"/>
        </w:rPr>
        <w:t xml:space="preserve">. Finally, it presents the factors (barriers and facilitators) that influence primary care pharmacists in providing clinical services to patients with diabetes. </w:t>
      </w:r>
    </w:p>
    <w:p w14:paraId="62267226" w14:textId="77777777" w:rsidR="00821B82" w:rsidRPr="00F02D58" w:rsidRDefault="00821B82" w:rsidP="00821B82">
      <w:pPr>
        <w:spacing w:after="0" w:line="360" w:lineRule="auto"/>
        <w:jc w:val="both"/>
        <w:rPr>
          <w:rFonts w:asciiTheme="minorBidi" w:hAnsiTheme="minorBidi"/>
          <w:sz w:val="24"/>
          <w:szCs w:val="24"/>
        </w:rPr>
      </w:pPr>
      <w:r w:rsidRPr="00F02D58">
        <w:rPr>
          <w:rFonts w:asciiTheme="minorBidi" w:hAnsiTheme="minorBidi"/>
          <w:sz w:val="24"/>
          <w:szCs w:val="24"/>
        </w:rPr>
        <w:t xml:space="preserve">Key emerging findings suggest that there is general positivity towards pharmacists being more involved in diabetes management, but this varied somewhat by professional group with pharmacists being most positive. Variation was also evident in terms of time and task, and doctors in particular were more likely to disagree about some roles and across all professions, some roles were considered more appropriate in the future and not currently. Independent prescribing by pharmacists was the most </w:t>
      </w:r>
      <w:r>
        <w:rPr>
          <w:rFonts w:asciiTheme="minorBidi" w:hAnsiTheme="minorBidi"/>
          <w:sz w:val="24"/>
          <w:szCs w:val="24"/>
        </w:rPr>
        <w:t xml:space="preserve">role </w:t>
      </w:r>
      <w:r w:rsidRPr="00F02D58">
        <w:rPr>
          <w:rFonts w:asciiTheme="minorBidi" w:hAnsiTheme="minorBidi"/>
          <w:sz w:val="24"/>
          <w:szCs w:val="24"/>
        </w:rPr>
        <w:t xml:space="preserve">negatively viewed </w:t>
      </w:r>
      <w:r>
        <w:rPr>
          <w:rFonts w:asciiTheme="minorBidi" w:hAnsiTheme="minorBidi"/>
          <w:sz w:val="24"/>
          <w:szCs w:val="24"/>
        </w:rPr>
        <w:t>by doctors</w:t>
      </w:r>
      <w:r w:rsidRPr="00F02D58">
        <w:rPr>
          <w:rFonts w:asciiTheme="minorBidi" w:hAnsiTheme="minorBidi"/>
          <w:sz w:val="24"/>
          <w:szCs w:val="24"/>
        </w:rPr>
        <w:t>.</w:t>
      </w:r>
    </w:p>
    <w:p w14:paraId="77F6163C" w14:textId="77777777" w:rsidR="00821B82" w:rsidRPr="009141AC" w:rsidRDefault="00821B82" w:rsidP="00821B82">
      <w:pPr>
        <w:spacing w:after="0" w:line="360" w:lineRule="auto"/>
        <w:rPr>
          <w:rFonts w:asciiTheme="minorBidi" w:hAnsiTheme="minorBidi"/>
          <w:sz w:val="24"/>
          <w:szCs w:val="24"/>
        </w:rPr>
      </w:pPr>
    </w:p>
    <w:p w14:paraId="36BFF45B" w14:textId="77777777" w:rsidR="00821B82" w:rsidRPr="00A122C6" w:rsidRDefault="00821B82" w:rsidP="00821B82">
      <w:pPr>
        <w:pStyle w:val="Heading3"/>
        <w:numPr>
          <w:ilvl w:val="2"/>
          <w:numId w:val="14"/>
        </w:numPr>
        <w:spacing w:line="257" w:lineRule="auto"/>
        <w:ind w:left="0" w:firstLine="0"/>
      </w:pPr>
      <w:r w:rsidRPr="00A122C6">
        <w:t xml:space="preserve"> </w:t>
      </w:r>
      <w:bookmarkStart w:id="170" w:name="_Toc122626417"/>
      <w:bookmarkStart w:id="171" w:name="_Toc153894191"/>
      <w:r w:rsidRPr="00A122C6">
        <w:t>Response rate</w:t>
      </w:r>
      <w:bookmarkEnd w:id="170"/>
      <w:bookmarkEnd w:id="171"/>
      <w:r w:rsidRPr="00A122C6">
        <w:t> </w:t>
      </w:r>
    </w:p>
    <w:p w14:paraId="7D0E2AEF" w14:textId="77777777" w:rsidR="00821B82" w:rsidRDefault="00821B82" w:rsidP="00B839D4">
      <w:pPr>
        <w:spacing w:line="360" w:lineRule="auto"/>
        <w:jc w:val="both"/>
        <w:rPr>
          <w:rFonts w:asciiTheme="minorBidi" w:hAnsiTheme="minorBidi"/>
          <w:sz w:val="24"/>
          <w:szCs w:val="24"/>
        </w:rPr>
      </w:pPr>
      <w:r w:rsidRPr="00CB4BE0">
        <w:rPr>
          <w:rFonts w:asciiTheme="minorBidi" w:hAnsiTheme="minorBidi"/>
          <w:sz w:val="24"/>
          <w:szCs w:val="24"/>
        </w:rPr>
        <w:t xml:space="preserve">According to </w:t>
      </w:r>
      <w:r>
        <w:rPr>
          <w:rFonts w:asciiTheme="minorBidi" w:hAnsiTheme="minorBidi"/>
          <w:sz w:val="24"/>
          <w:szCs w:val="24"/>
        </w:rPr>
        <w:t xml:space="preserve">statistics from the </w:t>
      </w:r>
      <w:r w:rsidRPr="00CB4BE0">
        <w:rPr>
          <w:rFonts w:asciiTheme="minorBidi" w:hAnsiTheme="minorBidi"/>
          <w:sz w:val="24"/>
          <w:szCs w:val="24"/>
        </w:rPr>
        <w:t xml:space="preserve">Saudi </w:t>
      </w:r>
      <w:r>
        <w:rPr>
          <w:rFonts w:asciiTheme="minorBidi" w:hAnsiTheme="minorBidi"/>
          <w:sz w:val="24"/>
          <w:szCs w:val="24"/>
        </w:rPr>
        <w:t>MoH</w:t>
      </w:r>
      <w:r w:rsidRPr="00CB4BE0">
        <w:rPr>
          <w:rFonts w:asciiTheme="minorBidi" w:hAnsiTheme="minorBidi"/>
          <w:sz w:val="24"/>
          <w:szCs w:val="24"/>
        </w:rPr>
        <w:t xml:space="preserve">, in </w:t>
      </w:r>
      <w:r>
        <w:rPr>
          <w:rFonts w:asciiTheme="minorBidi" w:hAnsiTheme="minorBidi"/>
          <w:sz w:val="24"/>
          <w:szCs w:val="24"/>
        </w:rPr>
        <w:t>2018,</w:t>
      </w:r>
      <w:r w:rsidRPr="00CB4BE0">
        <w:rPr>
          <w:rFonts w:asciiTheme="minorBidi" w:hAnsiTheme="minorBidi"/>
          <w:sz w:val="24"/>
          <w:szCs w:val="24"/>
        </w:rPr>
        <w:t xml:space="preserve"> </w:t>
      </w:r>
      <w:r>
        <w:rPr>
          <w:rFonts w:asciiTheme="minorBidi" w:hAnsiTheme="minorBidi"/>
          <w:sz w:val="24"/>
          <w:szCs w:val="24"/>
        </w:rPr>
        <w:t>the eastern region of SA</w:t>
      </w:r>
      <w:r w:rsidRPr="00CB4BE0">
        <w:rPr>
          <w:rFonts w:asciiTheme="minorBidi" w:hAnsiTheme="minorBidi"/>
          <w:sz w:val="24"/>
          <w:szCs w:val="24"/>
        </w:rPr>
        <w:t xml:space="preserve"> </w:t>
      </w:r>
      <w:r>
        <w:rPr>
          <w:rFonts w:asciiTheme="minorBidi" w:hAnsiTheme="minorBidi"/>
          <w:sz w:val="24"/>
          <w:szCs w:val="24"/>
        </w:rPr>
        <w:t>had</w:t>
      </w:r>
      <w:r w:rsidRPr="00CB4BE0">
        <w:rPr>
          <w:rFonts w:asciiTheme="minorBidi" w:hAnsiTheme="minorBidi"/>
          <w:sz w:val="24"/>
          <w:szCs w:val="24"/>
        </w:rPr>
        <w:t xml:space="preserve"> </w:t>
      </w:r>
      <w:r w:rsidRPr="00962B0A">
        <w:rPr>
          <w:rFonts w:asciiTheme="minorBidi" w:hAnsiTheme="minorBidi"/>
          <w:sz w:val="24"/>
          <w:szCs w:val="24"/>
        </w:rPr>
        <w:t xml:space="preserve">143 </w:t>
      </w:r>
      <w:r>
        <w:rPr>
          <w:rFonts w:asciiTheme="minorBidi" w:hAnsiTheme="minorBidi"/>
          <w:sz w:val="24"/>
          <w:szCs w:val="24"/>
        </w:rPr>
        <w:t>PHCs</w:t>
      </w:r>
      <w:r w:rsidRPr="00CB4BE0">
        <w:rPr>
          <w:rFonts w:asciiTheme="minorBidi" w:hAnsiTheme="minorBidi"/>
          <w:sz w:val="24"/>
          <w:szCs w:val="24"/>
        </w:rPr>
        <w:t>,</w:t>
      </w:r>
      <w:r>
        <w:rPr>
          <w:rFonts w:asciiTheme="minorBidi" w:hAnsiTheme="minorBidi"/>
          <w:sz w:val="24"/>
          <w:szCs w:val="24"/>
        </w:rPr>
        <w:t xml:space="preserve"> employing/staffed by</w:t>
      </w:r>
      <w:r w:rsidRPr="00CB4BE0">
        <w:rPr>
          <w:rFonts w:asciiTheme="minorBidi" w:hAnsiTheme="minorBidi"/>
          <w:sz w:val="24"/>
          <w:szCs w:val="24"/>
        </w:rPr>
        <w:t xml:space="preserve"> 294</w:t>
      </w:r>
      <w:r>
        <w:rPr>
          <w:rFonts w:asciiTheme="minorBidi" w:hAnsiTheme="minorBidi"/>
          <w:sz w:val="24"/>
          <w:szCs w:val="24"/>
        </w:rPr>
        <w:t xml:space="preserve"> </w:t>
      </w:r>
      <w:r w:rsidRPr="000070C9">
        <w:rPr>
          <w:rFonts w:ascii="Arial" w:hAnsi="Arial" w:cs="Arial"/>
          <w:sz w:val="24"/>
          <w:szCs w:val="24"/>
          <w:shd w:val="clear" w:color="auto" w:fill="FFFFFF"/>
          <w:lang w:val="en-GB"/>
        </w:rPr>
        <w:t>G.P.</w:t>
      </w:r>
      <w:r>
        <w:rPr>
          <w:rFonts w:ascii="Arial" w:hAnsi="Arial" w:cs="Arial"/>
          <w:sz w:val="24"/>
          <w:szCs w:val="24"/>
          <w:shd w:val="clear" w:color="auto" w:fill="FFFFFF"/>
          <w:lang w:val="en-GB"/>
        </w:rPr>
        <w:t xml:space="preserve"> </w:t>
      </w:r>
      <w:r>
        <w:rPr>
          <w:rFonts w:asciiTheme="minorBidi" w:hAnsiTheme="minorBidi"/>
          <w:sz w:val="24"/>
          <w:szCs w:val="24"/>
        </w:rPr>
        <w:t xml:space="preserve">and </w:t>
      </w:r>
      <w:r w:rsidRPr="00CB4BE0">
        <w:rPr>
          <w:rFonts w:asciiTheme="minorBidi" w:hAnsiTheme="minorBidi"/>
          <w:sz w:val="24"/>
          <w:szCs w:val="24"/>
        </w:rPr>
        <w:t>390</w:t>
      </w:r>
      <w:r>
        <w:rPr>
          <w:rFonts w:asciiTheme="minorBidi" w:hAnsiTheme="minorBidi"/>
          <w:sz w:val="24"/>
          <w:szCs w:val="24"/>
        </w:rPr>
        <w:t xml:space="preserve"> family medicine practitioners (in total </w:t>
      </w:r>
      <w:r w:rsidRPr="00962B0A">
        <w:rPr>
          <w:rFonts w:asciiTheme="minorBidi" w:hAnsiTheme="minorBidi"/>
          <w:sz w:val="24"/>
          <w:szCs w:val="24"/>
        </w:rPr>
        <w:t>68</w:t>
      </w:r>
      <w:r>
        <w:rPr>
          <w:rFonts w:asciiTheme="minorBidi" w:hAnsiTheme="minorBidi"/>
          <w:sz w:val="24"/>
          <w:szCs w:val="24"/>
        </w:rPr>
        <w:t>4 doctors); 72 pharmacists;</w:t>
      </w:r>
      <w:r w:rsidRPr="00CB4BE0">
        <w:rPr>
          <w:rFonts w:asciiTheme="minorBidi" w:hAnsiTheme="minorBidi"/>
          <w:sz w:val="24"/>
          <w:szCs w:val="24"/>
        </w:rPr>
        <w:t xml:space="preserve"> and 2,083</w:t>
      </w:r>
      <w:r>
        <w:rPr>
          <w:rFonts w:asciiTheme="minorBidi" w:hAnsiTheme="minorBidi"/>
          <w:sz w:val="24"/>
          <w:szCs w:val="24"/>
        </w:rPr>
        <w:t xml:space="preserve"> </w:t>
      </w:r>
      <w:r w:rsidRPr="00CB4BE0">
        <w:rPr>
          <w:rFonts w:asciiTheme="minorBidi" w:hAnsiTheme="minorBidi"/>
          <w:sz w:val="24"/>
          <w:szCs w:val="24"/>
        </w:rPr>
        <w:t>nurses</w:t>
      </w:r>
      <w:r>
        <w:rPr>
          <w:rFonts w:asciiTheme="minorBidi" w:hAnsiTheme="minorBidi"/>
          <w:sz w:val="24"/>
          <w:szCs w:val="24"/>
        </w:rPr>
        <w:t xml:space="preserve"> </w:t>
      </w:r>
      <w:r>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{"citationItems":[{"id":"ITEM-1","itemData":{"author":[{"dropping-particle":"","family":"Saudi Ministry of Health","given":"","non-dropping-particle":"","parse-names":false,"suffix":""}],"id":"ITEM-1","issued":{"date-parts":[["2018"]]},"title":"Statistical Book for the year 2018","type":"report"},"uris":["http://www.mendeley.com/documents/?uuid=576b6b3a-8e14-3c3c-89c2-4778a4af3a31"]}],"mendeley":{"formattedCitation":"(Saudi Ministry of Health, 2018)","plainTextFormattedCitation":"(Saudi Ministry of Health, 2018)","previouslyFormattedCitation":"(Saudi Ministry of Health, 2018)"},"properties":{"noteIndex":0},"schema":"https://github.com/citation-style-language/schema/raw/master/csl-citation.json"}</w:instrText>
      </w:r>
      <w:r>
        <w:rPr>
          <w:rFonts w:asciiTheme="minorBidi" w:hAnsiTheme="minorBidi"/>
          <w:sz w:val="24"/>
          <w:szCs w:val="24"/>
        </w:rPr>
        <w:fldChar w:fldCharType="separate"/>
      </w:r>
      <w:r w:rsidRPr="00CB4BE0">
        <w:rPr>
          <w:rFonts w:asciiTheme="minorBidi" w:hAnsiTheme="minorBidi"/>
          <w:noProof/>
          <w:sz w:val="24"/>
          <w:szCs w:val="24"/>
        </w:rPr>
        <w:t>(Saudi Ministry of Health, 2018)</w:t>
      </w:r>
      <w:r>
        <w:rPr>
          <w:rFonts w:asciiTheme="minorBidi" w:hAnsiTheme="minorBidi"/>
          <w:sz w:val="24"/>
          <w:szCs w:val="24"/>
        </w:rPr>
        <w:fldChar w:fldCharType="end"/>
      </w:r>
      <w:r>
        <w:rPr>
          <w:rFonts w:asciiTheme="minorBidi" w:hAnsiTheme="minorBidi"/>
          <w:sz w:val="24"/>
          <w:szCs w:val="24"/>
        </w:rPr>
        <w:t xml:space="preserve">. </w:t>
      </w:r>
    </w:p>
    <w:p w14:paraId="239217E6" w14:textId="06AA8141" w:rsidR="00821B82" w:rsidRPr="009B70E8" w:rsidRDefault="00821B82" w:rsidP="00B839D4">
      <w:pPr>
        <w:pStyle w:val="CommentText"/>
        <w:spacing w:line="360" w:lineRule="auto"/>
        <w:jc w:val="both"/>
        <w:rPr>
          <w:rFonts w:asciiTheme="minorBidi" w:hAnsiTheme="minorBidi"/>
          <w:sz w:val="24"/>
          <w:szCs w:val="24"/>
        </w:rPr>
      </w:pPr>
      <w:r>
        <w:rPr>
          <w:rFonts w:asciiTheme="minorBidi" w:hAnsiTheme="minorBidi"/>
          <w:sz w:val="24"/>
          <w:szCs w:val="24"/>
        </w:rPr>
        <w:t xml:space="preserve">Of the study population, 322 subjects participated in the survey, </w:t>
      </w:r>
      <w:r w:rsidR="00760BAD">
        <w:rPr>
          <w:rFonts w:asciiTheme="minorBidi" w:hAnsiTheme="minorBidi"/>
          <w:sz w:val="24"/>
          <w:szCs w:val="24"/>
        </w:rPr>
        <w:t xml:space="preserve">however this included a significant number of </w:t>
      </w:r>
      <w:r w:rsidRPr="00A226AB">
        <w:rPr>
          <w:rFonts w:asciiTheme="minorBidi" w:hAnsiTheme="minorBidi"/>
          <w:sz w:val="24"/>
          <w:szCs w:val="24"/>
        </w:rPr>
        <w:t>partial responses</w:t>
      </w:r>
      <w:r w:rsidR="00760BAD">
        <w:rPr>
          <w:rFonts w:asciiTheme="minorBidi" w:hAnsiTheme="minorBidi"/>
          <w:sz w:val="24"/>
          <w:szCs w:val="24"/>
        </w:rPr>
        <w:t xml:space="preserve"> and those that were completed but not finally submitted</w:t>
      </w:r>
      <w:r>
        <w:rPr>
          <w:rFonts w:asciiTheme="minorBidi" w:hAnsiTheme="minorBidi"/>
          <w:sz w:val="24"/>
          <w:szCs w:val="24"/>
        </w:rPr>
        <w:t xml:space="preserve">. </w:t>
      </w:r>
      <w:r w:rsidR="00760BAD">
        <w:rPr>
          <w:rFonts w:asciiTheme="minorBidi" w:hAnsiTheme="minorBidi"/>
          <w:sz w:val="24"/>
          <w:szCs w:val="24"/>
        </w:rPr>
        <w:t>These were checked and analysed further</w:t>
      </w:r>
      <w:r w:rsidR="00CD2E48">
        <w:rPr>
          <w:rFonts w:asciiTheme="minorBidi" w:hAnsiTheme="minorBidi"/>
          <w:sz w:val="24"/>
          <w:szCs w:val="24"/>
        </w:rPr>
        <w:t>, and</w:t>
      </w:r>
      <w:r w:rsidR="00760BAD">
        <w:rPr>
          <w:rFonts w:asciiTheme="minorBidi" w:hAnsiTheme="minorBidi"/>
          <w:sz w:val="24"/>
          <w:szCs w:val="24"/>
        </w:rPr>
        <w:t xml:space="preserve"> a decision was made to </w:t>
      </w:r>
      <w:r w:rsidRPr="0096639E">
        <w:rPr>
          <w:rFonts w:asciiTheme="minorBidi" w:hAnsiTheme="minorBidi"/>
          <w:sz w:val="24"/>
          <w:szCs w:val="24"/>
        </w:rPr>
        <w:t>exclu</w:t>
      </w:r>
      <w:r w:rsidR="00760BAD">
        <w:rPr>
          <w:rFonts w:asciiTheme="minorBidi" w:hAnsiTheme="minorBidi"/>
          <w:sz w:val="24"/>
          <w:szCs w:val="24"/>
        </w:rPr>
        <w:t>de</w:t>
      </w:r>
      <w:r w:rsidRPr="0096639E">
        <w:rPr>
          <w:rFonts w:asciiTheme="minorBidi" w:hAnsiTheme="minorBidi"/>
          <w:sz w:val="24"/>
          <w:szCs w:val="24"/>
        </w:rPr>
        <w:t xml:space="preserve"> 216</w:t>
      </w:r>
      <w:r w:rsidR="00760BAD">
        <w:rPr>
          <w:rFonts w:asciiTheme="minorBidi" w:hAnsiTheme="minorBidi"/>
          <w:sz w:val="24"/>
          <w:szCs w:val="24"/>
        </w:rPr>
        <w:t xml:space="preserve"> (66%) of these</w:t>
      </w:r>
      <w:r w:rsidR="00A942DE">
        <w:rPr>
          <w:rFonts w:asciiTheme="minorBidi" w:hAnsiTheme="minorBidi"/>
          <w:sz w:val="24"/>
          <w:szCs w:val="24"/>
        </w:rPr>
        <w:t>,</w:t>
      </w:r>
      <w:r w:rsidR="00760BAD">
        <w:rPr>
          <w:rFonts w:asciiTheme="minorBidi" w:hAnsiTheme="minorBidi"/>
          <w:sz w:val="24"/>
          <w:szCs w:val="24"/>
        </w:rPr>
        <w:t xml:space="preserve"> which left </w:t>
      </w:r>
      <w:r w:rsidRPr="0096639E">
        <w:rPr>
          <w:rFonts w:asciiTheme="minorBidi" w:hAnsiTheme="minorBidi"/>
          <w:sz w:val="24"/>
          <w:szCs w:val="24"/>
        </w:rPr>
        <w:t xml:space="preserve">106 </w:t>
      </w:r>
      <w:r w:rsidR="00760BAD">
        <w:rPr>
          <w:rFonts w:asciiTheme="minorBidi" w:hAnsiTheme="minorBidi"/>
          <w:sz w:val="24"/>
          <w:szCs w:val="24"/>
        </w:rPr>
        <w:t>respondents</w:t>
      </w:r>
      <w:r w:rsidRPr="0096639E">
        <w:rPr>
          <w:rFonts w:asciiTheme="minorBidi" w:hAnsiTheme="minorBidi"/>
          <w:sz w:val="24"/>
          <w:szCs w:val="24"/>
        </w:rPr>
        <w:t xml:space="preserve"> </w:t>
      </w:r>
      <w:r w:rsidR="00760BAD">
        <w:rPr>
          <w:rFonts w:asciiTheme="minorBidi" w:hAnsiTheme="minorBidi"/>
          <w:sz w:val="24"/>
          <w:szCs w:val="24"/>
        </w:rPr>
        <w:t xml:space="preserve">who had appropriately </w:t>
      </w:r>
      <w:r w:rsidRPr="0096639E">
        <w:rPr>
          <w:rFonts w:asciiTheme="minorBidi" w:hAnsiTheme="minorBidi"/>
          <w:sz w:val="24"/>
          <w:szCs w:val="24"/>
        </w:rPr>
        <w:t>completed and submitted by the end of the data collection period (30 June 2021).</w:t>
      </w:r>
      <w:r>
        <w:rPr>
          <w:rFonts w:asciiTheme="minorBidi" w:hAnsiTheme="minorBidi"/>
          <w:sz w:val="24"/>
          <w:szCs w:val="24"/>
        </w:rPr>
        <w:t xml:space="preserve"> </w:t>
      </w:r>
      <w:r w:rsidR="00760BAD" w:rsidRPr="009B70E8">
        <w:rPr>
          <w:rFonts w:asciiTheme="minorBidi" w:hAnsiTheme="minorBidi"/>
          <w:sz w:val="24"/>
          <w:szCs w:val="24"/>
        </w:rPr>
        <w:t xml:space="preserve">This represented a relatively large number of incomplete responses and as noted already in the methods (see section </w:t>
      </w:r>
      <w:r w:rsidR="00760BAD" w:rsidRPr="009B70E8">
        <w:rPr>
          <w:rFonts w:asciiTheme="minorBidi" w:hAnsiTheme="minorBidi"/>
          <w:sz w:val="24"/>
          <w:szCs w:val="24"/>
        </w:rPr>
        <w:fldChar w:fldCharType="begin"/>
      </w:r>
      <w:r w:rsidR="00760BAD" w:rsidRPr="009B70E8">
        <w:rPr>
          <w:rFonts w:asciiTheme="minorBidi" w:hAnsiTheme="minorBidi"/>
          <w:sz w:val="24"/>
          <w:szCs w:val="24"/>
        </w:rPr>
        <w:instrText xml:space="preserve"> REF _Ref153824295 \r \h </w:instrText>
      </w:r>
      <w:r w:rsidR="00B839D4">
        <w:rPr>
          <w:rFonts w:asciiTheme="minorBidi" w:hAnsiTheme="minorBidi"/>
          <w:sz w:val="24"/>
          <w:szCs w:val="24"/>
        </w:rPr>
        <w:instrText xml:space="preserve"> \* MERGEFORMAT </w:instrText>
      </w:r>
      <w:r w:rsidR="00760BAD" w:rsidRPr="009B70E8">
        <w:rPr>
          <w:rFonts w:asciiTheme="minorBidi" w:hAnsiTheme="minorBidi"/>
          <w:sz w:val="24"/>
          <w:szCs w:val="24"/>
        </w:rPr>
      </w:r>
      <w:r w:rsidR="00760BAD" w:rsidRPr="009B70E8">
        <w:rPr>
          <w:rFonts w:asciiTheme="minorBidi" w:hAnsiTheme="minorBidi"/>
          <w:sz w:val="24"/>
          <w:szCs w:val="24"/>
        </w:rPr>
        <w:fldChar w:fldCharType="separate"/>
      </w:r>
      <w:r w:rsidR="00760BAD" w:rsidRPr="009B70E8">
        <w:rPr>
          <w:rFonts w:asciiTheme="minorBidi" w:hAnsiTheme="minorBidi"/>
          <w:sz w:val="24"/>
          <w:szCs w:val="24"/>
        </w:rPr>
        <w:t>4.2.8.3</w:t>
      </w:r>
      <w:r w:rsidR="00760BAD" w:rsidRPr="009B70E8">
        <w:rPr>
          <w:rFonts w:asciiTheme="minorBidi" w:hAnsiTheme="minorBidi"/>
          <w:sz w:val="24"/>
          <w:szCs w:val="24"/>
        </w:rPr>
        <w:fldChar w:fldCharType="end"/>
      </w:r>
      <w:r w:rsidR="00760BAD" w:rsidRPr="009B70E8">
        <w:rPr>
          <w:rFonts w:asciiTheme="minorBidi" w:hAnsiTheme="minorBidi"/>
          <w:sz w:val="24"/>
          <w:szCs w:val="24"/>
        </w:rPr>
        <w:t>) and to be considered further in the discussion, this was considered to be linked to several issues relating to: firstly, research ethics and the requirement for implied consent, so only formally submitted responses could be considered as data despite reminders being sent for prospective participants to complete and submit; secondly, the timing of the survey in the COVID pandemic, when it was recognized that health care professionals may have had significantly increased demands on their time and hence completing a survey would be less easy for them.</w:t>
      </w:r>
    </w:p>
    <w:p w14:paraId="36AB9CCF" w14:textId="77777777" w:rsidR="00821B82" w:rsidRPr="006A3005" w:rsidRDefault="00821B82" w:rsidP="00821B82">
      <w:pPr>
        <w:pStyle w:val="Heading3"/>
        <w:numPr>
          <w:ilvl w:val="2"/>
          <w:numId w:val="14"/>
        </w:numPr>
        <w:spacing w:line="257" w:lineRule="auto"/>
        <w:ind w:left="0" w:firstLine="0"/>
      </w:pPr>
      <w:bookmarkStart w:id="172" w:name="_Toc122626418"/>
      <w:bookmarkStart w:id="173" w:name="_Toc153894192"/>
      <w:r w:rsidRPr="006A3005">
        <w:t>Participants</w:t>
      </w:r>
      <w:r>
        <w:t>'</w:t>
      </w:r>
      <w:r w:rsidRPr="006A3005">
        <w:t xml:space="preserve"> demographic information</w:t>
      </w:r>
      <w:bookmarkEnd w:id="172"/>
      <w:bookmarkEnd w:id="173"/>
    </w:p>
    <w:p w14:paraId="70AB8B43" w14:textId="0ED8C9A4" w:rsidR="00821B82" w:rsidRPr="00891E23" w:rsidRDefault="00821B82" w:rsidP="00821B82">
      <w:pPr>
        <w:spacing w:line="360" w:lineRule="auto"/>
        <w:jc w:val="both"/>
      </w:pPr>
      <w:r w:rsidRPr="00C779EA">
        <w:rPr>
          <w:rFonts w:asciiTheme="minorBidi" w:hAnsiTheme="minorBidi"/>
          <w:sz w:val="24"/>
          <w:szCs w:val="24"/>
        </w:rPr>
        <w:t xml:space="preserve">A summary of age, gender, nationality, education level, job category, years of experience, worksite, and type of </w:t>
      </w:r>
      <w:r w:rsidRPr="000F161B">
        <w:rPr>
          <w:rFonts w:asciiTheme="minorBidi" w:hAnsiTheme="minorBidi"/>
          <w:sz w:val="24"/>
          <w:szCs w:val="24"/>
          <w:lang w:val="en-GB"/>
        </w:rPr>
        <w:t>centre</w:t>
      </w:r>
      <w:r w:rsidRPr="00C779EA">
        <w:rPr>
          <w:rFonts w:asciiTheme="minorBidi" w:hAnsiTheme="minorBidi"/>
          <w:sz w:val="24"/>
          <w:szCs w:val="24"/>
        </w:rPr>
        <w:t xml:space="preserve"> is reported in</w:t>
      </w:r>
      <w:r>
        <w:rPr>
          <w:rFonts w:asciiTheme="minorBidi" w:hAnsiTheme="minorBidi"/>
          <w:sz w:val="24"/>
          <w:szCs w:val="24"/>
        </w:rPr>
        <w:t xml:space="preserve"> </w:t>
      </w:r>
      <w:r w:rsidRPr="006C3C9F">
        <w:rPr>
          <w:rFonts w:asciiTheme="minorBidi" w:hAnsiTheme="minorBidi"/>
          <w:color w:val="1F3864" w:themeColor="accent1" w:themeShade="80"/>
          <w:sz w:val="24"/>
          <w:szCs w:val="24"/>
        </w:rPr>
        <w:fldChar w:fldCharType="begin"/>
      </w:r>
      <w:r w:rsidRPr="006C3C9F">
        <w:rPr>
          <w:rFonts w:asciiTheme="minorBidi" w:hAnsiTheme="minorBidi"/>
          <w:color w:val="1F3864" w:themeColor="accent1" w:themeShade="80"/>
          <w:sz w:val="24"/>
          <w:szCs w:val="24"/>
        </w:rPr>
        <w:instrText xml:space="preserve"> REF _Ref105356145 \h  \* MERGEFORMAT </w:instrText>
      </w:r>
      <w:r w:rsidRPr="006C3C9F">
        <w:rPr>
          <w:rFonts w:asciiTheme="minorBidi" w:hAnsiTheme="minorBidi"/>
          <w:color w:val="1F3864" w:themeColor="accent1" w:themeShade="80"/>
          <w:sz w:val="24"/>
          <w:szCs w:val="24"/>
        </w:rPr>
      </w:r>
      <w:r w:rsidRPr="006C3C9F">
        <w:rPr>
          <w:rFonts w:asciiTheme="minorBidi" w:hAnsiTheme="minorBidi"/>
          <w:color w:val="1F3864" w:themeColor="accent1" w:themeShade="80"/>
          <w:sz w:val="24"/>
          <w:szCs w:val="24"/>
        </w:rPr>
        <w:fldChar w:fldCharType="separate"/>
      </w:r>
      <w:r w:rsidR="003425D3" w:rsidRPr="003425D3">
        <w:rPr>
          <w:rFonts w:asciiTheme="minorBidi" w:hAnsiTheme="minorBidi"/>
          <w:color w:val="1F3864" w:themeColor="accent1" w:themeShade="80"/>
          <w:sz w:val="24"/>
          <w:szCs w:val="24"/>
        </w:rPr>
        <w:t>Table 14</w:t>
      </w:r>
      <w:r w:rsidRPr="006C3C9F">
        <w:rPr>
          <w:rFonts w:asciiTheme="minorBidi" w:hAnsiTheme="minorBidi"/>
          <w:color w:val="1F3864" w:themeColor="accent1" w:themeShade="80"/>
          <w:sz w:val="24"/>
          <w:szCs w:val="24"/>
        </w:rPr>
        <w:fldChar w:fldCharType="end"/>
      </w:r>
      <w:r w:rsidRPr="006C3C9F">
        <w:rPr>
          <w:rFonts w:asciiTheme="minorBidi" w:hAnsiTheme="minorBidi"/>
          <w:color w:val="1F3864" w:themeColor="accent1" w:themeShade="80"/>
          <w:sz w:val="24"/>
          <w:szCs w:val="24"/>
        </w:rPr>
        <w:t>.</w:t>
      </w:r>
      <w:r>
        <w:t xml:space="preserve"> </w:t>
      </w:r>
      <w:r>
        <w:rPr>
          <w:rFonts w:asciiTheme="minorBidi" w:hAnsiTheme="minorBidi"/>
          <w:sz w:val="24"/>
          <w:szCs w:val="24"/>
        </w:rPr>
        <w:t>Several things stand out in the table. The m</w:t>
      </w:r>
      <w:r w:rsidRPr="00C779EA">
        <w:rPr>
          <w:rFonts w:asciiTheme="minorBidi" w:hAnsiTheme="minorBidi"/>
          <w:sz w:val="24"/>
          <w:szCs w:val="24"/>
        </w:rPr>
        <w:t>ajority (92%) of the respondents were Saudi</w:t>
      </w:r>
      <w:r>
        <w:rPr>
          <w:rFonts w:asciiTheme="minorBidi" w:hAnsiTheme="minorBidi"/>
          <w:sz w:val="24"/>
          <w:szCs w:val="24"/>
        </w:rPr>
        <w:t>,</w:t>
      </w:r>
      <w:r w:rsidRPr="00C779EA">
        <w:rPr>
          <w:rFonts w:asciiTheme="minorBidi" w:hAnsiTheme="minorBidi"/>
          <w:sz w:val="24"/>
          <w:szCs w:val="24"/>
        </w:rPr>
        <w:t xml:space="preserve"> and 69% were f</w:t>
      </w:r>
      <w:r>
        <w:rPr>
          <w:rFonts w:asciiTheme="minorBidi" w:hAnsiTheme="minorBidi"/>
          <w:sz w:val="24"/>
          <w:szCs w:val="24"/>
        </w:rPr>
        <w:t>e</w:t>
      </w:r>
      <w:r w:rsidRPr="00C779EA">
        <w:rPr>
          <w:rFonts w:asciiTheme="minorBidi" w:hAnsiTheme="minorBidi"/>
          <w:sz w:val="24"/>
          <w:szCs w:val="24"/>
        </w:rPr>
        <w:t xml:space="preserve">male. About half of </w:t>
      </w:r>
      <w:r>
        <w:rPr>
          <w:rFonts w:asciiTheme="minorBidi" w:hAnsiTheme="minorBidi"/>
          <w:sz w:val="24"/>
          <w:szCs w:val="24"/>
        </w:rPr>
        <w:t xml:space="preserve">the </w:t>
      </w:r>
      <w:r w:rsidRPr="00C779EA">
        <w:rPr>
          <w:rFonts w:asciiTheme="minorBidi" w:hAnsiTheme="minorBidi"/>
          <w:sz w:val="24"/>
          <w:szCs w:val="24"/>
        </w:rPr>
        <w:t>respondents (45%) h</w:t>
      </w:r>
      <w:r>
        <w:rPr>
          <w:rFonts w:asciiTheme="minorBidi" w:hAnsiTheme="minorBidi"/>
          <w:sz w:val="24"/>
          <w:szCs w:val="24"/>
        </w:rPr>
        <w:t>eld</w:t>
      </w:r>
      <w:r w:rsidRPr="00C779EA">
        <w:rPr>
          <w:rFonts w:asciiTheme="minorBidi" w:hAnsiTheme="minorBidi"/>
          <w:sz w:val="24"/>
          <w:szCs w:val="24"/>
        </w:rPr>
        <w:t xml:space="preserve"> a bach</w:t>
      </w:r>
      <w:r>
        <w:rPr>
          <w:rFonts w:asciiTheme="minorBidi" w:hAnsiTheme="minorBidi"/>
          <w:sz w:val="24"/>
          <w:szCs w:val="24"/>
        </w:rPr>
        <w:t>elor'</w:t>
      </w:r>
      <w:r w:rsidRPr="00C779EA">
        <w:rPr>
          <w:rFonts w:asciiTheme="minorBidi" w:hAnsiTheme="minorBidi"/>
          <w:sz w:val="24"/>
          <w:szCs w:val="24"/>
        </w:rPr>
        <w:t xml:space="preserve">s degree. </w:t>
      </w:r>
      <w:r>
        <w:rPr>
          <w:rFonts w:asciiTheme="minorBidi" w:hAnsiTheme="minorBidi"/>
          <w:sz w:val="24"/>
          <w:szCs w:val="24"/>
        </w:rPr>
        <w:t>In the job category, r</w:t>
      </w:r>
      <w:r w:rsidRPr="00C779EA">
        <w:rPr>
          <w:rFonts w:asciiTheme="minorBidi" w:hAnsiTheme="minorBidi"/>
          <w:sz w:val="24"/>
          <w:szCs w:val="24"/>
        </w:rPr>
        <w:t xml:space="preserve">esident </w:t>
      </w:r>
      <w:r>
        <w:rPr>
          <w:rFonts w:asciiTheme="minorBidi" w:hAnsiTheme="minorBidi"/>
          <w:sz w:val="24"/>
          <w:szCs w:val="24"/>
        </w:rPr>
        <w:t>p</w:t>
      </w:r>
      <w:r w:rsidRPr="00C779EA">
        <w:rPr>
          <w:rFonts w:asciiTheme="minorBidi" w:hAnsiTheme="minorBidi"/>
          <w:sz w:val="24"/>
          <w:szCs w:val="24"/>
        </w:rPr>
        <w:t xml:space="preserve">hysicians </w:t>
      </w:r>
      <w:r>
        <w:rPr>
          <w:rFonts w:asciiTheme="minorBidi" w:hAnsiTheme="minorBidi"/>
          <w:sz w:val="24"/>
          <w:szCs w:val="24"/>
        </w:rPr>
        <w:t xml:space="preserve">made up the largest number of </w:t>
      </w:r>
      <w:r w:rsidRPr="00C779EA">
        <w:rPr>
          <w:rFonts w:asciiTheme="minorBidi" w:hAnsiTheme="minorBidi"/>
          <w:sz w:val="24"/>
          <w:szCs w:val="24"/>
        </w:rPr>
        <w:t xml:space="preserve">respondents </w:t>
      </w:r>
      <w:r>
        <w:rPr>
          <w:rFonts w:asciiTheme="minorBidi" w:hAnsiTheme="minorBidi"/>
          <w:sz w:val="24"/>
          <w:szCs w:val="24"/>
        </w:rPr>
        <w:t xml:space="preserve">at </w:t>
      </w:r>
      <w:r w:rsidRPr="00C779EA">
        <w:rPr>
          <w:rFonts w:asciiTheme="minorBidi" w:hAnsiTheme="minorBidi"/>
          <w:sz w:val="24"/>
          <w:szCs w:val="24"/>
        </w:rPr>
        <w:t xml:space="preserve">21%. </w:t>
      </w:r>
      <w:r>
        <w:rPr>
          <w:rFonts w:asciiTheme="minorBidi" w:hAnsiTheme="minorBidi"/>
          <w:sz w:val="24"/>
          <w:szCs w:val="24"/>
        </w:rPr>
        <w:t>Sixty-five percent (65%)</w:t>
      </w:r>
      <w:r w:rsidRPr="00C779EA">
        <w:rPr>
          <w:rFonts w:asciiTheme="minorBidi" w:hAnsiTheme="minorBidi"/>
          <w:sz w:val="24"/>
          <w:szCs w:val="24"/>
        </w:rPr>
        <w:t xml:space="preserve"> of the respondents ha</w:t>
      </w:r>
      <w:r>
        <w:rPr>
          <w:rFonts w:asciiTheme="minorBidi" w:hAnsiTheme="minorBidi"/>
          <w:sz w:val="24"/>
          <w:szCs w:val="24"/>
        </w:rPr>
        <w:t xml:space="preserve">d </w:t>
      </w:r>
      <w:r w:rsidRPr="00C779EA">
        <w:rPr>
          <w:rFonts w:asciiTheme="minorBidi" w:hAnsiTheme="minorBidi"/>
          <w:sz w:val="24"/>
          <w:szCs w:val="24"/>
        </w:rPr>
        <w:t>more tha</w:t>
      </w:r>
      <w:r>
        <w:rPr>
          <w:rFonts w:asciiTheme="minorBidi" w:hAnsiTheme="minorBidi"/>
          <w:sz w:val="24"/>
          <w:szCs w:val="24"/>
        </w:rPr>
        <w:t>n</w:t>
      </w:r>
      <w:r w:rsidRPr="00C779EA">
        <w:rPr>
          <w:rFonts w:asciiTheme="minorBidi" w:hAnsiTheme="minorBidi"/>
          <w:sz w:val="24"/>
          <w:szCs w:val="24"/>
        </w:rPr>
        <w:t xml:space="preserve"> ten years</w:t>
      </w:r>
      <w:r>
        <w:rPr>
          <w:rFonts w:asciiTheme="minorBidi" w:hAnsiTheme="minorBidi"/>
          <w:sz w:val="24"/>
          <w:szCs w:val="24"/>
        </w:rPr>
        <w:t xml:space="preserve">’ </w:t>
      </w:r>
      <w:r w:rsidRPr="00C779EA">
        <w:rPr>
          <w:rFonts w:asciiTheme="minorBidi" w:hAnsiTheme="minorBidi"/>
          <w:sz w:val="24"/>
          <w:szCs w:val="24"/>
        </w:rPr>
        <w:t>experi</w:t>
      </w:r>
      <w:r>
        <w:rPr>
          <w:rFonts w:asciiTheme="minorBidi" w:hAnsiTheme="minorBidi"/>
          <w:sz w:val="24"/>
          <w:szCs w:val="24"/>
        </w:rPr>
        <w:t>ence</w:t>
      </w:r>
      <w:r w:rsidRPr="00C779EA">
        <w:rPr>
          <w:rFonts w:asciiTheme="minorBidi" w:hAnsiTheme="minorBidi"/>
          <w:sz w:val="24"/>
          <w:szCs w:val="24"/>
        </w:rPr>
        <w:t xml:space="preserve"> as primary </w:t>
      </w:r>
      <w:r>
        <w:rPr>
          <w:rFonts w:asciiTheme="minorBidi" w:hAnsiTheme="minorBidi"/>
          <w:sz w:val="24"/>
          <w:szCs w:val="24"/>
        </w:rPr>
        <w:t>HCPs</w:t>
      </w:r>
      <w:r w:rsidRPr="00C779EA">
        <w:rPr>
          <w:rFonts w:asciiTheme="minorBidi" w:hAnsiTheme="minorBidi"/>
          <w:sz w:val="24"/>
          <w:szCs w:val="24"/>
        </w:rPr>
        <w:t>. More than 45% of the respondents were aged between 30 and 39. The highest number of partic</w:t>
      </w:r>
      <w:r>
        <w:rPr>
          <w:rFonts w:asciiTheme="minorBidi" w:hAnsiTheme="minorBidi"/>
          <w:sz w:val="24"/>
          <w:szCs w:val="24"/>
        </w:rPr>
        <w:t>i</w:t>
      </w:r>
      <w:r w:rsidRPr="00C779EA">
        <w:rPr>
          <w:rFonts w:asciiTheme="minorBidi" w:hAnsiTheme="minorBidi"/>
          <w:sz w:val="24"/>
          <w:szCs w:val="24"/>
        </w:rPr>
        <w:t>pants w</w:t>
      </w:r>
      <w:r>
        <w:rPr>
          <w:rFonts w:asciiTheme="minorBidi" w:hAnsiTheme="minorBidi"/>
          <w:sz w:val="24"/>
          <w:szCs w:val="24"/>
        </w:rPr>
        <w:t>ere</w:t>
      </w:r>
      <w:r w:rsidRPr="00C779EA">
        <w:rPr>
          <w:rFonts w:asciiTheme="minorBidi" w:hAnsiTheme="minorBidi"/>
          <w:sz w:val="24"/>
          <w:szCs w:val="24"/>
        </w:rPr>
        <w:t xml:space="preserve"> </w:t>
      </w:r>
      <w:r w:rsidRPr="00862FF5">
        <w:rPr>
          <w:rFonts w:asciiTheme="minorBidi" w:hAnsiTheme="minorBidi"/>
          <w:sz w:val="24"/>
          <w:szCs w:val="24"/>
        </w:rPr>
        <w:t xml:space="preserve">from the Qatif sector, and about half of the respondents worked in non-specialist centres. </w:t>
      </w:r>
    </w:p>
    <w:p w14:paraId="000A6FEC" w14:textId="77777777" w:rsidR="00821B82" w:rsidRPr="009346A0" w:rsidRDefault="00821B82" w:rsidP="00821B82">
      <w:pPr>
        <w:spacing w:line="360" w:lineRule="auto"/>
        <w:jc w:val="both"/>
        <w:rPr>
          <w:rFonts w:asciiTheme="minorBidi" w:hAnsiTheme="minorBidi"/>
          <w:sz w:val="24"/>
          <w:szCs w:val="24"/>
        </w:rPr>
      </w:pPr>
      <w:r>
        <w:rPr>
          <w:rFonts w:asciiTheme="minorBidi" w:hAnsiTheme="minorBidi"/>
          <w:sz w:val="24"/>
          <w:szCs w:val="24"/>
        </w:rPr>
        <w:t xml:space="preserve">When the pharmacists and nurses of those surveyed were asked </w:t>
      </w:r>
      <w:r w:rsidRPr="009346A0">
        <w:rPr>
          <w:rFonts w:asciiTheme="minorBidi" w:hAnsiTheme="minorBidi"/>
          <w:sz w:val="24"/>
          <w:szCs w:val="24"/>
        </w:rPr>
        <w:t xml:space="preserve">whether they had any </w:t>
      </w:r>
      <w:r>
        <w:rPr>
          <w:rFonts w:asciiTheme="minorBidi" w:hAnsiTheme="minorBidi"/>
          <w:sz w:val="24"/>
          <w:szCs w:val="24"/>
        </w:rPr>
        <w:t xml:space="preserve">training in diabetes management, 63% of pharmacists and 63% of nurses reported they had. </w:t>
      </w:r>
      <w:r w:rsidRPr="009346A0">
        <w:rPr>
          <w:rFonts w:asciiTheme="minorBidi" w:hAnsiTheme="minorBidi"/>
          <w:sz w:val="24"/>
          <w:szCs w:val="24"/>
        </w:rPr>
        <w:t>Interestingly,</w:t>
      </w:r>
      <w:r>
        <w:rPr>
          <w:rFonts w:asciiTheme="minorBidi" w:hAnsiTheme="minorBidi"/>
          <w:sz w:val="24"/>
          <w:szCs w:val="24"/>
        </w:rPr>
        <w:t xml:space="preserve"> t</w:t>
      </w:r>
      <w:r w:rsidRPr="009346A0">
        <w:rPr>
          <w:rFonts w:asciiTheme="minorBidi" w:hAnsiTheme="minorBidi"/>
          <w:sz w:val="24"/>
          <w:szCs w:val="24"/>
        </w:rPr>
        <w:t xml:space="preserve">he survey results show that the percentage of </w:t>
      </w:r>
      <w:r>
        <w:rPr>
          <w:rFonts w:asciiTheme="minorBidi" w:hAnsiTheme="minorBidi"/>
          <w:sz w:val="24"/>
          <w:szCs w:val="24"/>
        </w:rPr>
        <w:t xml:space="preserve">pharmacists </w:t>
      </w:r>
      <w:r w:rsidRPr="009346A0">
        <w:rPr>
          <w:rFonts w:asciiTheme="minorBidi" w:hAnsiTheme="minorBidi"/>
          <w:sz w:val="24"/>
          <w:szCs w:val="24"/>
        </w:rPr>
        <w:t xml:space="preserve">trained in diabetes management is </w:t>
      </w:r>
      <w:r>
        <w:rPr>
          <w:rFonts w:asciiTheme="minorBidi" w:hAnsiTheme="minorBidi"/>
          <w:sz w:val="24"/>
          <w:szCs w:val="24"/>
        </w:rPr>
        <w:t>nearly</w:t>
      </w:r>
      <w:r w:rsidRPr="009346A0">
        <w:rPr>
          <w:rFonts w:asciiTheme="minorBidi" w:hAnsiTheme="minorBidi"/>
          <w:sz w:val="24"/>
          <w:szCs w:val="24"/>
        </w:rPr>
        <w:t xml:space="preserve"> the same as </w:t>
      </w:r>
      <w:r>
        <w:rPr>
          <w:rFonts w:asciiTheme="minorBidi" w:hAnsiTheme="minorBidi"/>
          <w:sz w:val="24"/>
          <w:szCs w:val="24"/>
        </w:rPr>
        <w:t xml:space="preserve">that for </w:t>
      </w:r>
      <w:r w:rsidRPr="009346A0">
        <w:rPr>
          <w:rFonts w:asciiTheme="minorBidi" w:hAnsiTheme="minorBidi"/>
          <w:sz w:val="24"/>
          <w:szCs w:val="24"/>
        </w:rPr>
        <w:t>nurses, and th</w:t>
      </w:r>
      <w:r>
        <w:rPr>
          <w:rFonts w:asciiTheme="minorBidi" w:hAnsiTheme="minorBidi"/>
          <w:sz w:val="24"/>
          <w:szCs w:val="24"/>
        </w:rPr>
        <w:t xml:space="preserve">is </w:t>
      </w:r>
      <w:r w:rsidRPr="009346A0">
        <w:rPr>
          <w:rFonts w:asciiTheme="minorBidi" w:hAnsiTheme="minorBidi"/>
          <w:sz w:val="24"/>
          <w:szCs w:val="24"/>
        </w:rPr>
        <w:t xml:space="preserve">training </w:t>
      </w:r>
      <w:r>
        <w:rPr>
          <w:rFonts w:asciiTheme="minorBidi" w:hAnsiTheme="minorBidi"/>
          <w:sz w:val="24"/>
          <w:szCs w:val="24"/>
        </w:rPr>
        <w:t xml:space="preserve">came mainly </w:t>
      </w:r>
      <w:r w:rsidRPr="009346A0">
        <w:rPr>
          <w:rFonts w:asciiTheme="minorBidi" w:hAnsiTheme="minorBidi"/>
          <w:sz w:val="24"/>
          <w:szCs w:val="24"/>
        </w:rPr>
        <w:t xml:space="preserve">through continuing professional development. </w:t>
      </w:r>
    </w:p>
    <w:p w14:paraId="294C9347" w14:textId="1CA6DED5" w:rsidR="00821B82" w:rsidRDefault="00821B82" w:rsidP="004A59BF">
      <w:pPr>
        <w:spacing w:line="360" w:lineRule="auto"/>
        <w:jc w:val="both"/>
        <w:sectPr w:rsidR="00821B82">
          <w:pgSz w:w="12240" w:h="15840"/>
          <w:pgMar w:top="1440" w:right="1440" w:bottom="1440" w:left="1440" w:header="720" w:footer="720" w:gutter="0"/>
          <w:cols w:space="720"/>
          <w:docGrid w:linePitch="360"/>
        </w:sectPr>
      </w:pPr>
      <w:r w:rsidRPr="009346A0">
        <w:rPr>
          <w:rFonts w:asciiTheme="minorBidi" w:hAnsiTheme="minorBidi"/>
          <w:sz w:val="24"/>
          <w:szCs w:val="24"/>
        </w:rPr>
        <w:t xml:space="preserve">In the final question of the participants' demographic section, respondents were asked about the number of diabetes patients </w:t>
      </w:r>
      <w:r>
        <w:rPr>
          <w:rFonts w:asciiTheme="minorBidi" w:hAnsiTheme="minorBidi"/>
          <w:sz w:val="24"/>
          <w:szCs w:val="24"/>
        </w:rPr>
        <w:t>reviewed</w:t>
      </w:r>
      <w:r w:rsidRPr="009346A0">
        <w:rPr>
          <w:rFonts w:asciiTheme="minorBidi" w:hAnsiTheme="minorBidi"/>
          <w:sz w:val="24"/>
          <w:szCs w:val="24"/>
        </w:rPr>
        <w:t xml:space="preserve"> per day</w:t>
      </w:r>
      <w:r>
        <w:rPr>
          <w:rFonts w:asciiTheme="minorBidi" w:hAnsiTheme="minorBidi"/>
          <w:sz w:val="24"/>
          <w:szCs w:val="24"/>
        </w:rPr>
        <w:t>. R</w:t>
      </w:r>
      <w:r w:rsidRPr="00421018">
        <w:rPr>
          <w:rFonts w:asciiTheme="minorBidi" w:hAnsiTheme="minorBidi"/>
          <w:sz w:val="24"/>
          <w:szCs w:val="24"/>
        </w:rPr>
        <w:t xml:space="preserve">espondents reported </w:t>
      </w:r>
      <w:r>
        <w:rPr>
          <w:rFonts w:asciiTheme="minorBidi" w:hAnsiTheme="minorBidi"/>
          <w:sz w:val="24"/>
          <w:szCs w:val="24"/>
        </w:rPr>
        <w:t>reviewing</w:t>
      </w:r>
      <w:r w:rsidRPr="00421018">
        <w:rPr>
          <w:rFonts w:asciiTheme="minorBidi" w:hAnsiTheme="minorBidi"/>
          <w:sz w:val="24"/>
          <w:szCs w:val="24"/>
        </w:rPr>
        <w:t xml:space="preserve"> an average of 10 diabetic patients per day and spending fifteen minutes with each.</w:t>
      </w:r>
      <w:r w:rsidR="004A59BF">
        <w:rPr>
          <w:rFonts w:asciiTheme="minorBidi" w:hAnsiTheme="minorBidi"/>
          <w:color w:val="1F3864" w:themeColor="accent1" w:themeShade="80"/>
          <w:sz w:val="24"/>
          <w:szCs w:val="24"/>
        </w:rPr>
        <w:t xml:space="preserve"> </w:t>
      </w:r>
      <w:r w:rsidRPr="009346A0">
        <w:rPr>
          <w:rFonts w:asciiTheme="minorBidi" w:hAnsiTheme="minorBidi"/>
          <w:sz w:val="24"/>
          <w:szCs w:val="24"/>
        </w:rPr>
        <w:t xml:space="preserve"> Doctors, pharmacists, and nurses reported they usually spend an average of 19 minutes, 15 minutes, and 23 minutes</w:t>
      </w:r>
      <w:r>
        <w:rPr>
          <w:rFonts w:asciiTheme="minorBidi" w:hAnsiTheme="minorBidi"/>
          <w:sz w:val="24"/>
          <w:szCs w:val="24"/>
        </w:rPr>
        <w:t>,</w:t>
      </w:r>
      <w:r w:rsidRPr="009346A0">
        <w:rPr>
          <w:rFonts w:asciiTheme="minorBidi" w:hAnsiTheme="minorBidi"/>
          <w:sz w:val="24"/>
          <w:szCs w:val="24"/>
        </w:rPr>
        <w:t xml:space="preserve"> respectively.</w:t>
      </w:r>
      <w:r w:rsidR="00041626" w:rsidRPr="004A59BF">
        <w:rPr>
          <w:rFonts w:asciiTheme="minorBidi" w:hAnsiTheme="minorBidi"/>
          <w:sz w:val="24"/>
          <w:szCs w:val="24"/>
        </w:rPr>
        <w:t xml:space="preserve"> See</w:t>
      </w:r>
      <w:r w:rsidR="0020234B">
        <w:t xml:space="preserve"> </w:t>
      </w:r>
      <w:r w:rsidR="00684249" w:rsidRPr="00427EA8">
        <w:rPr>
          <w:rFonts w:asciiTheme="minorBidi" w:hAnsiTheme="minorBidi"/>
          <w:color w:val="1F3864" w:themeColor="accent1" w:themeShade="80"/>
          <w:sz w:val="24"/>
          <w:szCs w:val="24"/>
        </w:rPr>
        <w:fldChar w:fldCharType="begin"/>
      </w:r>
      <w:r w:rsidR="00684249" w:rsidRPr="00427EA8">
        <w:rPr>
          <w:rFonts w:asciiTheme="minorBidi" w:hAnsiTheme="minorBidi"/>
          <w:color w:val="1F3864" w:themeColor="accent1" w:themeShade="80"/>
          <w:sz w:val="24"/>
          <w:szCs w:val="24"/>
        </w:rPr>
        <w:instrText xml:space="preserve"> REF _Ref105357236 \h  \* MERGEFORMAT </w:instrText>
      </w:r>
      <w:r w:rsidR="00684249" w:rsidRPr="00427EA8">
        <w:rPr>
          <w:rFonts w:asciiTheme="minorBidi" w:hAnsiTheme="minorBidi"/>
          <w:color w:val="1F3864" w:themeColor="accent1" w:themeShade="80"/>
          <w:sz w:val="24"/>
          <w:szCs w:val="24"/>
        </w:rPr>
      </w:r>
      <w:r w:rsidR="00684249" w:rsidRPr="00427EA8">
        <w:rPr>
          <w:rFonts w:asciiTheme="minorBidi" w:hAnsiTheme="minorBidi"/>
          <w:color w:val="1F3864" w:themeColor="accent1" w:themeShade="80"/>
          <w:sz w:val="24"/>
          <w:szCs w:val="24"/>
        </w:rPr>
        <w:fldChar w:fldCharType="separate"/>
      </w:r>
      <w:r w:rsidR="00684249" w:rsidRPr="00684249">
        <w:rPr>
          <w:rFonts w:asciiTheme="minorBidi" w:hAnsiTheme="minorBidi"/>
          <w:color w:val="1F3864" w:themeColor="accent1" w:themeShade="80"/>
          <w:sz w:val="24"/>
          <w:szCs w:val="24"/>
        </w:rPr>
        <w:t>Table 15</w:t>
      </w:r>
      <w:r w:rsidR="00684249" w:rsidRPr="00427EA8">
        <w:rPr>
          <w:rFonts w:asciiTheme="minorBidi" w:hAnsiTheme="minorBidi"/>
          <w:color w:val="1F3864" w:themeColor="accent1" w:themeShade="80"/>
          <w:sz w:val="24"/>
          <w:szCs w:val="24"/>
        </w:rPr>
        <w:fldChar w:fldCharType="end"/>
      </w:r>
      <w:r w:rsidR="0020234B" w:rsidRPr="00427EA8">
        <w:rPr>
          <w:rFonts w:asciiTheme="minorBidi" w:hAnsiTheme="minorBidi"/>
          <w:color w:val="1F3864" w:themeColor="accent1" w:themeShade="80"/>
          <w:sz w:val="24"/>
          <w:szCs w:val="24"/>
        </w:rPr>
        <w:t>.</w:t>
      </w:r>
    </w:p>
    <w:p w14:paraId="79BAD57E" w14:textId="480A6285" w:rsidR="00821B82" w:rsidRPr="001A09BD" w:rsidRDefault="00821B82" w:rsidP="00821B82">
      <w:pPr>
        <w:pStyle w:val="Caption"/>
        <w:keepNext/>
        <w:rPr>
          <w:sz w:val="24"/>
          <w:szCs w:val="24"/>
        </w:rPr>
      </w:pPr>
      <w:bookmarkStart w:id="174" w:name="_Ref105356145"/>
      <w:bookmarkStart w:id="175" w:name="_Toc153894568"/>
      <w:r w:rsidRPr="000A3848">
        <w:rPr>
          <w:sz w:val="24"/>
          <w:szCs w:val="24"/>
        </w:rPr>
        <w:t xml:space="preserve">Table </w:t>
      </w:r>
      <w:r w:rsidRPr="000A3848">
        <w:rPr>
          <w:sz w:val="24"/>
          <w:szCs w:val="24"/>
        </w:rPr>
        <w:fldChar w:fldCharType="begin"/>
      </w:r>
      <w:r w:rsidRPr="000A3848">
        <w:rPr>
          <w:sz w:val="24"/>
          <w:szCs w:val="24"/>
        </w:rPr>
        <w:instrText xml:space="preserve"> SEQ Table \* ARABIC </w:instrText>
      </w:r>
      <w:r w:rsidRPr="000A3848">
        <w:rPr>
          <w:sz w:val="24"/>
          <w:szCs w:val="24"/>
        </w:rPr>
        <w:fldChar w:fldCharType="separate"/>
      </w:r>
      <w:r w:rsidR="009B31EB">
        <w:rPr>
          <w:noProof/>
          <w:sz w:val="24"/>
          <w:szCs w:val="24"/>
        </w:rPr>
        <w:t>14</w:t>
      </w:r>
      <w:r w:rsidRPr="000A3848">
        <w:rPr>
          <w:sz w:val="24"/>
          <w:szCs w:val="24"/>
        </w:rPr>
        <w:fldChar w:fldCharType="end"/>
      </w:r>
      <w:bookmarkEnd w:id="174"/>
      <w:r w:rsidRPr="000A3848">
        <w:rPr>
          <w:sz w:val="24"/>
          <w:szCs w:val="24"/>
        </w:rPr>
        <w:t>: Demographic profile of respondents</w:t>
      </w:r>
      <w:bookmarkEnd w:id="175"/>
    </w:p>
    <w:tbl>
      <w:tblPr>
        <w:tblW w:w="13304" w:type="dxa"/>
        <w:jc w:val="center"/>
        <w:tblBorders>
          <w:bottom w:val="single" w:sz="4" w:space="0" w:color="auto"/>
        </w:tblBorders>
        <w:shd w:val="clear" w:color="auto" w:fill="FFFFFF" w:themeFill="background1"/>
        <w:tblLook w:val="04A0" w:firstRow="1" w:lastRow="0" w:firstColumn="1" w:lastColumn="0" w:noHBand="0" w:noVBand="1"/>
      </w:tblPr>
      <w:tblGrid>
        <w:gridCol w:w="5130"/>
        <w:gridCol w:w="1387"/>
        <w:gridCol w:w="5628"/>
        <w:gridCol w:w="1159"/>
      </w:tblGrid>
      <w:tr w:rsidR="00821B82" w:rsidRPr="00C33D71" w14:paraId="36B3CBE2" w14:textId="77777777" w:rsidTr="00282204">
        <w:trPr>
          <w:trHeight w:val="300"/>
          <w:tblHeader/>
          <w:jc w:val="center"/>
        </w:trPr>
        <w:tc>
          <w:tcPr>
            <w:tcW w:w="5130" w:type="dxa"/>
            <w:tcBorders>
              <w:bottom w:val="single" w:sz="4" w:space="0" w:color="auto"/>
            </w:tcBorders>
            <w:shd w:val="clear" w:color="auto" w:fill="FFFFFF" w:themeFill="background1"/>
            <w:noWrap/>
            <w:vAlign w:val="bottom"/>
            <w:hideMark/>
          </w:tcPr>
          <w:p w14:paraId="0F9D46A7"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Variable</w:t>
            </w:r>
          </w:p>
        </w:tc>
        <w:tc>
          <w:tcPr>
            <w:tcW w:w="1387" w:type="dxa"/>
            <w:tcBorders>
              <w:bottom w:val="single" w:sz="4" w:space="0" w:color="auto"/>
            </w:tcBorders>
            <w:shd w:val="clear" w:color="auto" w:fill="FFFFFF" w:themeFill="background1"/>
            <w:noWrap/>
            <w:vAlign w:val="bottom"/>
            <w:hideMark/>
          </w:tcPr>
          <w:p w14:paraId="1FAC1C28"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 xml:space="preserve"> % (N)</w:t>
            </w:r>
          </w:p>
        </w:tc>
        <w:tc>
          <w:tcPr>
            <w:tcW w:w="5628" w:type="dxa"/>
            <w:tcBorders>
              <w:bottom w:val="single" w:sz="4" w:space="0" w:color="auto"/>
            </w:tcBorders>
            <w:shd w:val="clear" w:color="auto" w:fill="FFFFFF" w:themeFill="background1"/>
            <w:noWrap/>
            <w:vAlign w:val="bottom"/>
            <w:hideMark/>
          </w:tcPr>
          <w:p w14:paraId="28C0F9CF"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Variable</w:t>
            </w:r>
          </w:p>
        </w:tc>
        <w:tc>
          <w:tcPr>
            <w:tcW w:w="1159" w:type="dxa"/>
            <w:tcBorders>
              <w:bottom w:val="single" w:sz="4" w:space="0" w:color="auto"/>
            </w:tcBorders>
            <w:shd w:val="clear" w:color="auto" w:fill="FFFFFF" w:themeFill="background1"/>
            <w:noWrap/>
            <w:vAlign w:val="bottom"/>
            <w:hideMark/>
          </w:tcPr>
          <w:p w14:paraId="0E3C346C"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 xml:space="preserve"> % (N)</w:t>
            </w:r>
          </w:p>
        </w:tc>
      </w:tr>
      <w:tr w:rsidR="00821B82" w:rsidRPr="00C33D71" w14:paraId="0E81EB26" w14:textId="77777777" w:rsidTr="00282204">
        <w:trPr>
          <w:trHeight w:val="281"/>
          <w:jc w:val="center"/>
        </w:trPr>
        <w:tc>
          <w:tcPr>
            <w:tcW w:w="6517" w:type="dxa"/>
            <w:gridSpan w:val="2"/>
            <w:tcBorders>
              <w:top w:val="single" w:sz="4" w:space="0" w:color="auto"/>
            </w:tcBorders>
            <w:shd w:val="clear" w:color="auto" w:fill="FFFFFF" w:themeFill="background1"/>
            <w:noWrap/>
            <w:vAlign w:val="bottom"/>
            <w:hideMark/>
          </w:tcPr>
          <w:p w14:paraId="2AA15CDE"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Age</w:t>
            </w:r>
          </w:p>
        </w:tc>
        <w:tc>
          <w:tcPr>
            <w:tcW w:w="6787" w:type="dxa"/>
            <w:gridSpan w:val="2"/>
            <w:tcBorders>
              <w:top w:val="single" w:sz="4" w:space="0" w:color="auto"/>
            </w:tcBorders>
            <w:shd w:val="clear" w:color="auto" w:fill="FFFFFF" w:themeFill="background1"/>
            <w:noWrap/>
            <w:vAlign w:val="bottom"/>
            <w:hideMark/>
          </w:tcPr>
          <w:p w14:paraId="0B747A3B"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Years of Experience</w:t>
            </w:r>
          </w:p>
        </w:tc>
      </w:tr>
      <w:tr w:rsidR="00821B82" w:rsidRPr="00C33D71" w14:paraId="35143CF0" w14:textId="77777777" w:rsidTr="00282204">
        <w:trPr>
          <w:trHeight w:val="281"/>
          <w:jc w:val="center"/>
        </w:trPr>
        <w:tc>
          <w:tcPr>
            <w:tcW w:w="5130" w:type="dxa"/>
            <w:shd w:val="clear" w:color="auto" w:fill="FFFFFF" w:themeFill="background1"/>
            <w:noWrap/>
            <w:vAlign w:val="center"/>
            <w:hideMark/>
          </w:tcPr>
          <w:p w14:paraId="2926CFBF"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20-29</w:t>
            </w:r>
          </w:p>
        </w:tc>
        <w:tc>
          <w:tcPr>
            <w:tcW w:w="1387" w:type="dxa"/>
            <w:shd w:val="clear" w:color="auto" w:fill="FFFFFF" w:themeFill="background1"/>
            <w:noWrap/>
            <w:vAlign w:val="bottom"/>
            <w:hideMark/>
          </w:tcPr>
          <w:p w14:paraId="50FC9C0A"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13 (14)</w:t>
            </w:r>
          </w:p>
        </w:tc>
        <w:tc>
          <w:tcPr>
            <w:tcW w:w="5628" w:type="dxa"/>
            <w:shd w:val="clear" w:color="auto" w:fill="FFFFFF" w:themeFill="background1"/>
            <w:noWrap/>
            <w:vAlign w:val="bottom"/>
            <w:hideMark/>
          </w:tcPr>
          <w:p w14:paraId="05FB1AAE"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0-5</w:t>
            </w:r>
          </w:p>
        </w:tc>
        <w:tc>
          <w:tcPr>
            <w:tcW w:w="1159" w:type="dxa"/>
            <w:shd w:val="clear" w:color="auto" w:fill="FFFFFF" w:themeFill="background1"/>
            <w:noWrap/>
            <w:vAlign w:val="bottom"/>
            <w:hideMark/>
          </w:tcPr>
          <w:p w14:paraId="0D3B4008"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17 (18)</w:t>
            </w:r>
          </w:p>
        </w:tc>
      </w:tr>
      <w:tr w:rsidR="00821B82" w:rsidRPr="00C33D71" w14:paraId="660C2091" w14:textId="77777777" w:rsidTr="00282204">
        <w:trPr>
          <w:trHeight w:val="281"/>
          <w:jc w:val="center"/>
        </w:trPr>
        <w:tc>
          <w:tcPr>
            <w:tcW w:w="5130" w:type="dxa"/>
            <w:shd w:val="clear" w:color="auto" w:fill="FFFFFF" w:themeFill="background1"/>
            <w:noWrap/>
            <w:vAlign w:val="center"/>
            <w:hideMark/>
          </w:tcPr>
          <w:p w14:paraId="64728858"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30-39</w:t>
            </w:r>
          </w:p>
        </w:tc>
        <w:tc>
          <w:tcPr>
            <w:tcW w:w="1387" w:type="dxa"/>
            <w:shd w:val="clear" w:color="auto" w:fill="FFFFFF" w:themeFill="background1"/>
            <w:noWrap/>
            <w:vAlign w:val="bottom"/>
            <w:hideMark/>
          </w:tcPr>
          <w:p w14:paraId="18E58AE9"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45 (48)</w:t>
            </w:r>
          </w:p>
        </w:tc>
        <w:tc>
          <w:tcPr>
            <w:tcW w:w="5628" w:type="dxa"/>
            <w:shd w:val="clear" w:color="auto" w:fill="FFFFFF" w:themeFill="background1"/>
            <w:noWrap/>
            <w:vAlign w:val="bottom"/>
            <w:hideMark/>
          </w:tcPr>
          <w:p w14:paraId="390ED88C"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&gt;5-10</w:t>
            </w:r>
          </w:p>
        </w:tc>
        <w:tc>
          <w:tcPr>
            <w:tcW w:w="1159" w:type="dxa"/>
            <w:shd w:val="clear" w:color="auto" w:fill="FFFFFF" w:themeFill="background1"/>
            <w:noWrap/>
            <w:vAlign w:val="bottom"/>
            <w:hideMark/>
          </w:tcPr>
          <w:p w14:paraId="09964CC7"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18 (19)</w:t>
            </w:r>
          </w:p>
        </w:tc>
      </w:tr>
      <w:tr w:rsidR="00821B82" w:rsidRPr="00C33D71" w14:paraId="202C1FC6" w14:textId="77777777" w:rsidTr="00282204">
        <w:trPr>
          <w:trHeight w:val="281"/>
          <w:jc w:val="center"/>
        </w:trPr>
        <w:tc>
          <w:tcPr>
            <w:tcW w:w="5130" w:type="dxa"/>
            <w:shd w:val="clear" w:color="auto" w:fill="FFFFFF" w:themeFill="background1"/>
            <w:noWrap/>
            <w:vAlign w:val="center"/>
            <w:hideMark/>
          </w:tcPr>
          <w:p w14:paraId="7A4A564E"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40-55</w:t>
            </w:r>
          </w:p>
        </w:tc>
        <w:tc>
          <w:tcPr>
            <w:tcW w:w="1387" w:type="dxa"/>
            <w:shd w:val="clear" w:color="auto" w:fill="FFFFFF" w:themeFill="background1"/>
            <w:noWrap/>
            <w:vAlign w:val="bottom"/>
            <w:hideMark/>
          </w:tcPr>
          <w:p w14:paraId="10DDE34D"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39 (41)</w:t>
            </w:r>
          </w:p>
        </w:tc>
        <w:tc>
          <w:tcPr>
            <w:tcW w:w="5628" w:type="dxa"/>
            <w:shd w:val="clear" w:color="auto" w:fill="FFFFFF" w:themeFill="background1"/>
            <w:noWrap/>
            <w:vAlign w:val="bottom"/>
            <w:hideMark/>
          </w:tcPr>
          <w:p w14:paraId="2B65C948"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&gt;10</w:t>
            </w:r>
          </w:p>
        </w:tc>
        <w:tc>
          <w:tcPr>
            <w:tcW w:w="1159" w:type="dxa"/>
            <w:shd w:val="clear" w:color="auto" w:fill="FFFFFF" w:themeFill="background1"/>
            <w:noWrap/>
            <w:vAlign w:val="bottom"/>
            <w:hideMark/>
          </w:tcPr>
          <w:p w14:paraId="7AE78D7E"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65 (69)</w:t>
            </w:r>
          </w:p>
        </w:tc>
      </w:tr>
      <w:tr w:rsidR="00821B82" w:rsidRPr="00C33D71" w14:paraId="7A1E17D4" w14:textId="77777777" w:rsidTr="00282204">
        <w:trPr>
          <w:trHeight w:val="281"/>
          <w:jc w:val="center"/>
        </w:trPr>
        <w:tc>
          <w:tcPr>
            <w:tcW w:w="5130" w:type="dxa"/>
            <w:shd w:val="clear" w:color="auto" w:fill="FFFFFF" w:themeFill="background1"/>
            <w:noWrap/>
            <w:vAlign w:val="center"/>
            <w:hideMark/>
          </w:tcPr>
          <w:p w14:paraId="57CBB24A"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56-74</w:t>
            </w:r>
          </w:p>
        </w:tc>
        <w:tc>
          <w:tcPr>
            <w:tcW w:w="1387" w:type="dxa"/>
            <w:shd w:val="clear" w:color="auto" w:fill="FFFFFF" w:themeFill="background1"/>
            <w:noWrap/>
            <w:vAlign w:val="bottom"/>
            <w:hideMark/>
          </w:tcPr>
          <w:p w14:paraId="3C83A609"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3 (3)</w:t>
            </w:r>
          </w:p>
        </w:tc>
        <w:tc>
          <w:tcPr>
            <w:tcW w:w="5628" w:type="dxa"/>
            <w:shd w:val="clear" w:color="auto" w:fill="FFFFFF" w:themeFill="background1"/>
            <w:noWrap/>
            <w:vAlign w:val="bottom"/>
            <w:hideMark/>
          </w:tcPr>
          <w:p w14:paraId="2185895A" w14:textId="77777777" w:rsidR="00821B82" w:rsidRPr="00C33D71" w:rsidRDefault="00821B82" w:rsidP="00282204">
            <w:pPr>
              <w:spacing w:after="0" w:line="240" w:lineRule="auto"/>
              <w:rPr>
                <w:rFonts w:eastAsia="Times New Roman" w:cstheme="minorHAnsi"/>
                <w:color w:val="000000"/>
              </w:rPr>
            </w:pPr>
          </w:p>
        </w:tc>
        <w:tc>
          <w:tcPr>
            <w:tcW w:w="1159" w:type="dxa"/>
            <w:shd w:val="clear" w:color="auto" w:fill="FFFFFF" w:themeFill="background1"/>
            <w:noWrap/>
            <w:vAlign w:val="bottom"/>
            <w:hideMark/>
          </w:tcPr>
          <w:p w14:paraId="1AF3129F" w14:textId="77777777" w:rsidR="00821B82" w:rsidRPr="00C33D71" w:rsidRDefault="00821B82" w:rsidP="00282204">
            <w:pPr>
              <w:spacing w:after="0" w:line="240" w:lineRule="auto"/>
              <w:rPr>
                <w:rFonts w:eastAsia="Times New Roman" w:cstheme="minorHAnsi"/>
              </w:rPr>
            </w:pPr>
          </w:p>
        </w:tc>
      </w:tr>
      <w:tr w:rsidR="00821B82" w:rsidRPr="00C33D71" w14:paraId="69C38B73" w14:textId="77777777" w:rsidTr="00282204">
        <w:trPr>
          <w:trHeight w:val="281"/>
          <w:jc w:val="center"/>
        </w:trPr>
        <w:tc>
          <w:tcPr>
            <w:tcW w:w="6517" w:type="dxa"/>
            <w:gridSpan w:val="2"/>
            <w:shd w:val="clear" w:color="auto" w:fill="FFFFFF" w:themeFill="background1"/>
            <w:noWrap/>
            <w:vAlign w:val="bottom"/>
            <w:hideMark/>
          </w:tcPr>
          <w:p w14:paraId="6F851773"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Gender</w:t>
            </w:r>
          </w:p>
        </w:tc>
        <w:tc>
          <w:tcPr>
            <w:tcW w:w="6787" w:type="dxa"/>
            <w:gridSpan w:val="2"/>
            <w:shd w:val="clear" w:color="auto" w:fill="FFFFFF" w:themeFill="background1"/>
            <w:noWrap/>
            <w:vAlign w:val="bottom"/>
            <w:hideMark/>
          </w:tcPr>
          <w:p w14:paraId="5FE1854C"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Work Site</w:t>
            </w:r>
          </w:p>
        </w:tc>
      </w:tr>
      <w:tr w:rsidR="00821B82" w:rsidRPr="00C33D71" w14:paraId="1932D54A" w14:textId="77777777" w:rsidTr="00282204">
        <w:trPr>
          <w:trHeight w:val="281"/>
          <w:jc w:val="center"/>
        </w:trPr>
        <w:tc>
          <w:tcPr>
            <w:tcW w:w="5130" w:type="dxa"/>
            <w:shd w:val="clear" w:color="auto" w:fill="FFFFFF" w:themeFill="background1"/>
            <w:noWrap/>
            <w:vAlign w:val="center"/>
            <w:hideMark/>
          </w:tcPr>
          <w:p w14:paraId="0DC9A8A0"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Male</w:t>
            </w:r>
          </w:p>
        </w:tc>
        <w:tc>
          <w:tcPr>
            <w:tcW w:w="1387" w:type="dxa"/>
            <w:shd w:val="clear" w:color="auto" w:fill="FFFFFF" w:themeFill="background1"/>
            <w:noWrap/>
            <w:vAlign w:val="bottom"/>
            <w:hideMark/>
          </w:tcPr>
          <w:p w14:paraId="0C56C08B"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31 (33)</w:t>
            </w:r>
          </w:p>
        </w:tc>
        <w:tc>
          <w:tcPr>
            <w:tcW w:w="5628" w:type="dxa"/>
            <w:shd w:val="clear" w:color="auto" w:fill="FFFFFF" w:themeFill="background1"/>
            <w:noWrap/>
            <w:vAlign w:val="bottom"/>
            <w:hideMark/>
          </w:tcPr>
          <w:p w14:paraId="772553BC"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Dammam</w:t>
            </w:r>
          </w:p>
        </w:tc>
        <w:tc>
          <w:tcPr>
            <w:tcW w:w="1159" w:type="dxa"/>
            <w:shd w:val="clear" w:color="auto" w:fill="FFFFFF" w:themeFill="background1"/>
            <w:noWrap/>
            <w:vAlign w:val="bottom"/>
            <w:hideMark/>
          </w:tcPr>
          <w:p w14:paraId="6E0A38D2"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23 (24)</w:t>
            </w:r>
          </w:p>
        </w:tc>
      </w:tr>
      <w:tr w:rsidR="00821B82" w:rsidRPr="00C33D71" w14:paraId="56591309" w14:textId="77777777" w:rsidTr="00282204">
        <w:trPr>
          <w:trHeight w:val="281"/>
          <w:jc w:val="center"/>
        </w:trPr>
        <w:tc>
          <w:tcPr>
            <w:tcW w:w="5130" w:type="dxa"/>
            <w:shd w:val="clear" w:color="auto" w:fill="FFFFFF" w:themeFill="background1"/>
            <w:noWrap/>
            <w:vAlign w:val="center"/>
            <w:hideMark/>
          </w:tcPr>
          <w:p w14:paraId="4E2D3B3E"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Female</w:t>
            </w:r>
          </w:p>
        </w:tc>
        <w:tc>
          <w:tcPr>
            <w:tcW w:w="1387" w:type="dxa"/>
            <w:shd w:val="clear" w:color="auto" w:fill="FFFFFF" w:themeFill="background1"/>
            <w:noWrap/>
            <w:vAlign w:val="bottom"/>
            <w:hideMark/>
          </w:tcPr>
          <w:p w14:paraId="38469EAD"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69 (73)</w:t>
            </w:r>
          </w:p>
        </w:tc>
        <w:tc>
          <w:tcPr>
            <w:tcW w:w="5628" w:type="dxa"/>
            <w:shd w:val="clear" w:color="auto" w:fill="FFFFFF" w:themeFill="background1"/>
            <w:noWrap/>
            <w:vAlign w:val="bottom"/>
            <w:hideMark/>
          </w:tcPr>
          <w:p w14:paraId="084234EF"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Khobar</w:t>
            </w:r>
          </w:p>
        </w:tc>
        <w:tc>
          <w:tcPr>
            <w:tcW w:w="1159" w:type="dxa"/>
            <w:shd w:val="clear" w:color="auto" w:fill="FFFFFF" w:themeFill="background1"/>
            <w:noWrap/>
            <w:vAlign w:val="bottom"/>
            <w:hideMark/>
          </w:tcPr>
          <w:p w14:paraId="6EF55F62"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16 (17)</w:t>
            </w:r>
          </w:p>
        </w:tc>
      </w:tr>
      <w:tr w:rsidR="00821B82" w:rsidRPr="00C33D71" w14:paraId="1C3F46A1" w14:textId="77777777" w:rsidTr="00282204">
        <w:trPr>
          <w:trHeight w:val="281"/>
          <w:jc w:val="center"/>
        </w:trPr>
        <w:tc>
          <w:tcPr>
            <w:tcW w:w="6517" w:type="dxa"/>
            <w:gridSpan w:val="2"/>
            <w:shd w:val="clear" w:color="auto" w:fill="FFFFFF" w:themeFill="background1"/>
            <w:noWrap/>
            <w:vAlign w:val="bottom"/>
            <w:hideMark/>
          </w:tcPr>
          <w:p w14:paraId="323C116B"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Nationality</w:t>
            </w:r>
          </w:p>
        </w:tc>
        <w:tc>
          <w:tcPr>
            <w:tcW w:w="5628" w:type="dxa"/>
            <w:shd w:val="clear" w:color="auto" w:fill="FFFFFF" w:themeFill="background1"/>
            <w:noWrap/>
            <w:vAlign w:val="bottom"/>
            <w:hideMark/>
          </w:tcPr>
          <w:p w14:paraId="457504D8"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Qatif</w:t>
            </w:r>
          </w:p>
        </w:tc>
        <w:tc>
          <w:tcPr>
            <w:tcW w:w="1159" w:type="dxa"/>
            <w:shd w:val="clear" w:color="auto" w:fill="FFFFFF" w:themeFill="background1"/>
            <w:noWrap/>
            <w:vAlign w:val="bottom"/>
            <w:hideMark/>
          </w:tcPr>
          <w:p w14:paraId="3547BD8B"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39 (41)</w:t>
            </w:r>
          </w:p>
        </w:tc>
      </w:tr>
      <w:tr w:rsidR="00821B82" w:rsidRPr="00C33D71" w14:paraId="2982AF7D" w14:textId="77777777" w:rsidTr="00282204">
        <w:trPr>
          <w:trHeight w:val="281"/>
          <w:jc w:val="center"/>
        </w:trPr>
        <w:tc>
          <w:tcPr>
            <w:tcW w:w="5130" w:type="dxa"/>
            <w:shd w:val="clear" w:color="auto" w:fill="FFFFFF" w:themeFill="background1"/>
            <w:noWrap/>
            <w:vAlign w:val="center"/>
            <w:hideMark/>
          </w:tcPr>
          <w:p w14:paraId="42854CC1"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Saudi</w:t>
            </w:r>
          </w:p>
        </w:tc>
        <w:tc>
          <w:tcPr>
            <w:tcW w:w="1387" w:type="dxa"/>
            <w:shd w:val="clear" w:color="auto" w:fill="FFFFFF" w:themeFill="background1"/>
            <w:noWrap/>
            <w:vAlign w:val="bottom"/>
            <w:hideMark/>
          </w:tcPr>
          <w:p w14:paraId="0EDE5FC8"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92 (98)</w:t>
            </w:r>
          </w:p>
        </w:tc>
        <w:tc>
          <w:tcPr>
            <w:tcW w:w="5628" w:type="dxa"/>
            <w:shd w:val="clear" w:color="auto" w:fill="FFFFFF" w:themeFill="background1"/>
            <w:noWrap/>
            <w:vAlign w:val="bottom"/>
            <w:hideMark/>
          </w:tcPr>
          <w:p w14:paraId="040D4311"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Ras Tanura</w:t>
            </w:r>
          </w:p>
        </w:tc>
        <w:tc>
          <w:tcPr>
            <w:tcW w:w="1159" w:type="dxa"/>
            <w:shd w:val="clear" w:color="auto" w:fill="FFFFFF" w:themeFill="background1"/>
            <w:noWrap/>
            <w:vAlign w:val="bottom"/>
            <w:hideMark/>
          </w:tcPr>
          <w:p w14:paraId="0BD29AA0"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 (1)</w:t>
            </w:r>
          </w:p>
        </w:tc>
      </w:tr>
      <w:tr w:rsidR="00821B82" w:rsidRPr="00C33D71" w14:paraId="41DA36BE" w14:textId="77777777" w:rsidTr="00282204">
        <w:trPr>
          <w:trHeight w:val="281"/>
          <w:jc w:val="center"/>
        </w:trPr>
        <w:tc>
          <w:tcPr>
            <w:tcW w:w="5130" w:type="dxa"/>
            <w:shd w:val="clear" w:color="auto" w:fill="FFFFFF" w:themeFill="background1"/>
            <w:noWrap/>
            <w:vAlign w:val="center"/>
            <w:hideMark/>
          </w:tcPr>
          <w:p w14:paraId="15930D34"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Non-Saudi</w:t>
            </w:r>
          </w:p>
        </w:tc>
        <w:tc>
          <w:tcPr>
            <w:tcW w:w="1387" w:type="dxa"/>
            <w:shd w:val="clear" w:color="auto" w:fill="FFFFFF" w:themeFill="background1"/>
            <w:noWrap/>
            <w:vAlign w:val="bottom"/>
            <w:hideMark/>
          </w:tcPr>
          <w:p w14:paraId="456E3F9C"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8 (8)</w:t>
            </w:r>
          </w:p>
        </w:tc>
        <w:tc>
          <w:tcPr>
            <w:tcW w:w="5628" w:type="dxa"/>
            <w:shd w:val="clear" w:color="auto" w:fill="FFFFFF" w:themeFill="background1"/>
            <w:noWrap/>
            <w:vAlign w:val="bottom"/>
            <w:hideMark/>
          </w:tcPr>
          <w:p w14:paraId="318B1498"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Buqayaq</w:t>
            </w:r>
          </w:p>
        </w:tc>
        <w:tc>
          <w:tcPr>
            <w:tcW w:w="1159" w:type="dxa"/>
            <w:shd w:val="clear" w:color="auto" w:fill="FFFFFF" w:themeFill="background1"/>
            <w:noWrap/>
            <w:vAlign w:val="bottom"/>
            <w:hideMark/>
          </w:tcPr>
          <w:p w14:paraId="3FA1EBA7"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 (1)</w:t>
            </w:r>
          </w:p>
        </w:tc>
      </w:tr>
      <w:tr w:rsidR="00821B82" w:rsidRPr="00C33D71" w14:paraId="0CCD07A9" w14:textId="77777777" w:rsidTr="00282204">
        <w:trPr>
          <w:trHeight w:val="281"/>
          <w:jc w:val="center"/>
        </w:trPr>
        <w:tc>
          <w:tcPr>
            <w:tcW w:w="6517" w:type="dxa"/>
            <w:gridSpan w:val="2"/>
            <w:shd w:val="clear" w:color="auto" w:fill="FFFFFF" w:themeFill="background1"/>
            <w:noWrap/>
            <w:vAlign w:val="bottom"/>
            <w:hideMark/>
          </w:tcPr>
          <w:p w14:paraId="6B72DF07"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Professions</w:t>
            </w:r>
          </w:p>
        </w:tc>
        <w:tc>
          <w:tcPr>
            <w:tcW w:w="5628" w:type="dxa"/>
            <w:shd w:val="clear" w:color="auto" w:fill="FFFFFF" w:themeFill="background1"/>
            <w:noWrap/>
            <w:vAlign w:val="bottom"/>
            <w:hideMark/>
          </w:tcPr>
          <w:p w14:paraId="30E2FEBD"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Safwa</w:t>
            </w:r>
          </w:p>
        </w:tc>
        <w:tc>
          <w:tcPr>
            <w:tcW w:w="1159" w:type="dxa"/>
            <w:shd w:val="clear" w:color="auto" w:fill="FFFFFF" w:themeFill="background1"/>
            <w:noWrap/>
            <w:vAlign w:val="bottom"/>
            <w:hideMark/>
          </w:tcPr>
          <w:p w14:paraId="0F53616B"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5 (5)</w:t>
            </w:r>
          </w:p>
        </w:tc>
      </w:tr>
      <w:tr w:rsidR="00821B82" w:rsidRPr="00C33D71" w14:paraId="56061387" w14:textId="77777777" w:rsidTr="00282204">
        <w:trPr>
          <w:trHeight w:val="281"/>
          <w:jc w:val="center"/>
        </w:trPr>
        <w:tc>
          <w:tcPr>
            <w:tcW w:w="5130" w:type="dxa"/>
            <w:shd w:val="clear" w:color="auto" w:fill="FFFFFF" w:themeFill="background1"/>
            <w:noWrap/>
            <w:vAlign w:val="bottom"/>
            <w:hideMark/>
          </w:tcPr>
          <w:p w14:paraId="30ABA44E"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Doctor</w:t>
            </w:r>
          </w:p>
        </w:tc>
        <w:tc>
          <w:tcPr>
            <w:tcW w:w="1387" w:type="dxa"/>
            <w:shd w:val="clear" w:color="auto" w:fill="FFFFFF" w:themeFill="background1"/>
            <w:noWrap/>
            <w:vAlign w:val="bottom"/>
            <w:hideMark/>
          </w:tcPr>
          <w:p w14:paraId="43CB09DF"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46 (49)</w:t>
            </w:r>
          </w:p>
        </w:tc>
        <w:tc>
          <w:tcPr>
            <w:tcW w:w="5628" w:type="dxa"/>
            <w:shd w:val="clear" w:color="auto" w:fill="FFFFFF" w:themeFill="background1"/>
            <w:noWrap/>
            <w:vAlign w:val="bottom"/>
            <w:hideMark/>
          </w:tcPr>
          <w:p w14:paraId="5F467911"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Jubail</w:t>
            </w:r>
          </w:p>
        </w:tc>
        <w:tc>
          <w:tcPr>
            <w:tcW w:w="1159" w:type="dxa"/>
            <w:shd w:val="clear" w:color="auto" w:fill="FFFFFF" w:themeFill="background1"/>
            <w:noWrap/>
            <w:vAlign w:val="bottom"/>
            <w:hideMark/>
          </w:tcPr>
          <w:p w14:paraId="2D9F5ED6"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3 (3)</w:t>
            </w:r>
          </w:p>
        </w:tc>
      </w:tr>
      <w:tr w:rsidR="00821B82" w:rsidRPr="00C33D71" w14:paraId="188C7384" w14:textId="77777777" w:rsidTr="00282204">
        <w:trPr>
          <w:trHeight w:val="281"/>
          <w:jc w:val="center"/>
        </w:trPr>
        <w:tc>
          <w:tcPr>
            <w:tcW w:w="5130" w:type="dxa"/>
            <w:shd w:val="clear" w:color="auto" w:fill="FFFFFF" w:themeFill="background1"/>
            <w:noWrap/>
            <w:vAlign w:val="bottom"/>
            <w:hideMark/>
          </w:tcPr>
          <w:p w14:paraId="42280F70"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Pharmacist</w:t>
            </w:r>
          </w:p>
        </w:tc>
        <w:tc>
          <w:tcPr>
            <w:tcW w:w="1387" w:type="dxa"/>
            <w:shd w:val="clear" w:color="auto" w:fill="FFFFFF" w:themeFill="background1"/>
            <w:noWrap/>
            <w:vAlign w:val="bottom"/>
            <w:hideMark/>
          </w:tcPr>
          <w:p w14:paraId="15E51D06"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28 (30)</w:t>
            </w:r>
          </w:p>
        </w:tc>
        <w:tc>
          <w:tcPr>
            <w:tcW w:w="5628" w:type="dxa"/>
            <w:shd w:val="clear" w:color="auto" w:fill="FFFFFF" w:themeFill="background1"/>
            <w:noWrap/>
            <w:vAlign w:val="bottom"/>
            <w:hideMark/>
          </w:tcPr>
          <w:p w14:paraId="119720C9"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Anayriyah</w:t>
            </w:r>
          </w:p>
        </w:tc>
        <w:tc>
          <w:tcPr>
            <w:tcW w:w="1159" w:type="dxa"/>
            <w:shd w:val="clear" w:color="auto" w:fill="FFFFFF" w:themeFill="background1"/>
            <w:noWrap/>
            <w:vAlign w:val="bottom"/>
            <w:hideMark/>
          </w:tcPr>
          <w:p w14:paraId="6DD17BEF"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4 (4)</w:t>
            </w:r>
          </w:p>
        </w:tc>
      </w:tr>
      <w:tr w:rsidR="00821B82" w:rsidRPr="00C33D71" w14:paraId="567FFA1C" w14:textId="77777777" w:rsidTr="00282204">
        <w:trPr>
          <w:trHeight w:val="281"/>
          <w:jc w:val="center"/>
        </w:trPr>
        <w:tc>
          <w:tcPr>
            <w:tcW w:w="5130" w:type="dxa"/>
            <w:shd w:val="clear" w:color="auto" w:fill="FFFFFF" w:themeFill="background1"/>
            <w:noWrap/>
            <w:vAlign w:val="bottom"/>
            <w:hideMark/>
          </w:tcPr>
          <w:p w14:paraId="5F3853D0"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Nurse</w:t>
            </w:r>
          </w:p>
        </w:tc>
        <w:tc>
          <w:tcPr>
            <w:tcW w:w="1387" w:type="dxa"/>
            <w:shd w:val="clear" w:color="auto" w:fill="FFFFFF" w:themeFill="background1"/>
            <w:noWrap/>
            <w:vAlign w:val="bottom"/>
            <w:hideMark/>
          </w:tcPr>
          <w:p w14:paraId="0EF429A2"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26 (27)</w:t>
            </w:r>
          </w:p>
        </w:tc>
        <w:tc>
          <w:tcPr>
            <w:tcW w:w="5628" w:type="dxa"/>
            <w:shd w:val="clear" w:color="auto" w:fill="FFFFFF" w:themeFill="background1"/>
            <w:noWrap/>
            <w:vAlign w:val="bottom"/>
            <w:hideMark/>
          </w:tcPr>
          <w:p w14:paraId="47EDE1E0"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Other (Al Ahsa, Jeddah, Sarrar, Hail)</w:t>
            </w:r>
          </w:p>
        </w:tc>
        <w:tc>
          <w:tcPr>
            <w:tcW w:w="1159" w:type="dxa"/>
            <w:shd w:val="clear" w:color="auto" w:fill="FFFFFF" w:themeFill="background1"/>
            <w:noWrap/>
            <w:vAlign w:val="bottom"/>
            <w:hideMark/>
          </w:tcPr>
          <w:p w14:paraId="0BFF26CB"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9 (10)</w:t>
            </w:r>
          </w:p>
        </w:tc>
      </w:tr>
      <w:tr w:rsidR="00821B82" w:rsidRPr="00C33D71" w14:paraId="61424896" w14:textId="77777777" w:rsidTr="00282204">
        <w:trPr>
          <w:trHeight w:val="281"/>
          <w:jc w:val="center"/>
        </w:trPr>
        <w:tc>
          <w:tcPr>
            <w:tcW w:w="6517" w:type="dxa"/>
            <w:gridSpan w:val="2"/>
            <w:shd w:val="clear" w:color="auto" w:fill="FFFFFF" w:themeFill="background1"/>
            <w:noWrap/>
            <w:vAlign w:val="bottom"/>
            <w:hideMark/>
          </w:tcPr>
          <w:p w14:paraId="06AADF23"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Education Level</w:t>
            </w:r>
          </w:p>
        </w:tc>
        <w:tc>
          <w:tcPr>
            <w:tcW w:w="6787" w:type="dxa"/>
            <w:gridSpan w:val="2"/>
            <w:shd w:val="clear" w:color="auto" w:fill="FFFFFF" w:themeFill="background1"/>
            <w:noWrap/>
            <w:vAlign w:val="bottom"/>
            <w:hideMark/>
          </w:tcPr>
          <w:p w14:paraId="643F08D2"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Type of Centre</w:t>
            </w:r>
          </w:p>
        </w:tc>
      </w:tr>
      <w:tr w:rsidR="00821B82" w:rsidRPr="00C33D71" w14:paraId="02E27281" w14:textId="77777777" w:rsidTr="00282204">
        <w:trPr>
          <w:trHeight w:val="281"/>
          <w:jc w:val="center"/>
        </w:trPr>
        <w:tc>
          <w:tcPr>
            <w:tcW w:w="5130" w:type="dxa"/>
            <w:shd w:val="clear" w:color="auto" w:fill="FFFFFF" w:themeFill="background1"/>
            <w:noWrap/>
            <w:vAlign w:val="center"/>
            <w:hideMark/>
          </w:tcPr>
          <w:p w14:paraId="46E79CB3"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Diploma</w:t>
            </w:r>
          </w:p>
        </w:tc>
        <w:tc>
          <w:tcPr>
            <w:tcW w:w="1387" w:type="dxa"/>
            <w:shd w:val="clear" w:color="auto" w:fill="FFFFFF" w:themeFill="background1"/>
            <w:noWrap/>
            <w:vAlign w:val="bottom"/>
            <w:hideMark/>
          </w:tcPr>
          <w:p w14:paraId="3E7362AF"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15 (16)</w:t>
            </w:r>
          </w:p>
        </w:tc>
        <w:tc>
          <w:tcPr>
            <w:tcW w:w="5628" w:type="dxa"/>
            <w:shd w:val="clear" w:color="auto" w:fill="FFFFFF" w:themeFill="background1"/>
            <w:noWrap/>
            <w:vAlign w:val="bottom"/>
            <w:hideMark/>
          </w:tcPr>
          <w:p w14:paraId="6B9D9D60"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Specialist Centre</w:t>
            </w:r>
          </w:p>
        </w:tc>
        <w:tc>
          <w:tcPr>
            <w:tcW w:w="1159" w:type="dxa"/>
            <w:shd w:val="clear" w:color="auto" w:fill="FFFFFF" w:themeFill="background1"/>
            <w:noWrap/>
            <w:vAlign w:val="bottom"/>
            <w:hideMark/>
          </w:tcPr>
          <w:p w14:paraId="18AB68DC"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43 (45)</w:t>
            </w:r>
          </w:p>
        </w:tc>
      </w:tr>
      <w:tr w:rsidR="00821B82" w:rsidRPr="00C33D71" w14:paraId="04B98BFF" w14:textId="77777777" w:rsidTr="00282204">
        <w:trPr>
          <w:trHeight w:val="281"/>
          <w:jc w:val="center"/>
        </w:trPr>
        <w:tc>
          <w:tcPr>
            <w:tcW w:w="5130" w:type="dxa"/>
            <w:shd w:val="clear" w:color="auto" w:fill="FFFFFF" w:themeFill="background1"/>
            <w:noWrap/>
            <w:vAlign w:val="center"/>
            <w:hideMark/>
          </w:tcPr>
          <w:p w14:paraId="444F6347"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Bachelor’s degree</w:t>
            </w:r>
          </w:p>
        </w:tc>
        <w:tc>
          <w:tcPr>
            <w:tcW w:w="1387" w:type="dxa"/>
            <w:shd w:val="clear" w:color="auto" w:fill="FFFFFF" w:themeFill="background1"/>
            <w:noWrap/>
            <w:vAlign w:val="bottom"/>
            <w:hideMark/>
          </w:tcPr>
          <w:p w14:paraId="34A07F46"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45 (48)</w:t>
            </w:r>
          </w:p>
        </w:tc>
        <w:tc>
          <w:tcPr>
            <w:tcW w:w="5628" w:type="dxa"/>
            <w:shd w:val="clear" w:color="auto" w:fill="FFFFFF" w:themeFill="background1"/>
            <w:noWrap/>
            <w:vAlign w:val="bottom"/>
            <w:hideMark/>
          </w:tcPr>
          <w:p w14:paraId="0C3F812A"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Non-Specialist Centre</w:t>
            </w:r>
          </w:p>
        </w:tc>
        <w:tc>
          <w:tcPr>
            <w:tcW w:w="1159" w:type="dxa"/>
            <w:shd w:val="clear" w:color="auto" w:fill="FFFFFF" w:themeFill="background1"/>
            <w:noWrap/>
            <w:vAlign w:val="bottom"/>
            <w:hideMark/>
          </w:tcPr>
          <w:p w14:paraId="7B4AEED6"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48 (51)</w:t>
            </w:r>
          </w:p>
        </w:tc>
      </w:tr>
      <w:tr w:rsidR="00821B82" w:rsidRPr="00C33D71" w14:paraId="562CBC21" w14:textId="77777777" w:rsidTr="00282204">
        <w:trPr>
          <w:trHeight w:val="302"/>
          <w:jc w:val="center"/>
        </w:trPr>
        <w:tc>
          <w:tcPr>
            <w:tcW w:w="5130" w:type="dxa"/>
            <w:shd w:val="clear" w:color="auto" w:fill="FFFFFF" w:themeFill="background1"/>
            <w:noWrap/>
            <w:vAlign w:val="center"/>
            <w:hideMark/>
          </w:tcPr>
          <w:p w14:paraId="5D3C59AD"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Master degree</w:t>
            </w:r>
          </w:p>
        </w:tc>
        <w:tc>
          <w:tcPr>
            <w:tcW w:w="1387" w:type="dxa"/>
            <w:shd w:val="clear" w:color="auto" w:fill="FFFFFF" w:themeFill="background1"/>
            <w:noWrap/>
            <w:vAlign w:val="bottom"/>
            <w:hideMark/>
          </w:tcPr>
          <w:p w14:paraId="6F4929D8"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16 (17)</w:t>
            </w:r>
          </w:p>
          <w:p w14:paraId="64D7482A" w14:textId="77777777" w:rsidR="00821B82" w:rsidRPr="00C33D71" w:rsidRDefault="00821B82" w:rsidP="00282204">
            <w:pPr>
              <w:spacing w:after="0" w:line="240" w:lineRule="auto"/>
              <w:rPr>
                <w:rFonts w:eastAsia="Times New Roman" w:cstheme="minorHAnsi"/>
                <w:color w:val="000000"/>
              </w:rPr>
            </w:pPr>
          </w:p>
        </w:tc>
        <w:tc>
          <w:tcPr>
            <w:tcW w:w="5628" w:type="dxa"/>
            <w:vMerge w:val="restart"/>
            <w:shd w:val="clear" w:color="auto" w:fill="FFFFFF" w:themeFill="background1"/>
            <w:noWrap/>
            <w:vAlign w:val="bottom"/>
            <w:hideMark/>
          </w:tcPr>
          <w:p w14:paraId="31F86779"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Other (Dental care, Administration, Preventive medicine, Quality and patient safety, Community pharmacy)</w:t>
            </w:r>
          </w:p>
          <w:p w14:paraId="21A65C3C" w14:textId="77777777" w:rsidR="00821B82" w:rsidRPr="00C33D71" w:rsidRDefault="00821B82" w:rsidP="00282204">
            <w:pPr>
              <w:spacing w:after="0" w:line="240" w:lineRule="auto"/>
              <w:rPr>
                <w:rFonts w:eastAsia="Times New Roman" w:cstheme="minorHAnsi"/>
                <w:color w:val="000000"/>
              </w:rPr>
            </w:pPr>
          </w:p>
          <w:p w14:paraId="062D2405" w14:textId="77777777" w:rsidR="00821B82" w:rsidRPr="00C33D71" w:rsidRDefault="00821B82" w:rsidP="00282204">
            <w:pPr>
              <w:spacing w:after="0" w:line="240" w:lineRule="auto"/>
              <w:rPr>
                <w:rFonts w:eastAsia="Times New Roman" w:cstheme="minorHAnsi"/>
                <w:color w:val="000000"/>
              </w:rPr>
            </w:pPr>
          </w:p>
        </w:tc>
        <w:tc>
          <w:tcPr>
            <w:tcW w:w="1159" w:type="dxa"/>
            <w:vMerge w:val="restart"/>
            <w:shd w:val="clear" w:color="auto" w:fill="FFFFFF" w:themeFill="background1"/>
            <w:noWrap/>
            <w:vAlign w:val="bottom"/>
            <w:hideMark/>
          </w:tcPr>
          <w:p w14:paraId="0CCB8C77"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9 (10)</w:t>
            </w:r>
          </w:p>
          <w:p w14:paraId="77D870FE" w14:textId="77777777" w:rsidR="00821B82" w:rsidRPr="00C33D71" w:rsidRDefault="00821B82" w:rsidP="00282204">
            <w:pPr>
              <w:spacing w:after="0" w:line="240" w:lineRule="auto"/>
              <w:rPr>
                <w:rFonts w:eastAsia="Times New Roman" w:cstheme="minorHAnsi"/>
                <w:color w:val="000000"/>
              </w:rPr>
            </w:pPr>
          </w:p>
          <w:p w14:paraId="4573B037" w14:textId="77777777" w:rsidR="00821B82" w:rsidRPr="00C33D71" w:rsidRDefault="00821B82" w:rsidP="00282204">
            <w:pPr>
              <w:spacing w:after="0" w:line="240" w:lineRule="auto"/>
              <w:rPr>
                <w:rFonts w:eastAsia="Times New Roman" w:cstheme="minorHAnsi"/>
                <w:color w:val="000000"/>
              </w:rPr>
            </w:pPr>
          </w:p>
          <w:p w14:paraId="023C1636" w14:textId="77777777" w:rsidR="00821B82" w:rsidRPr="00C33D71" w:rsidRDefault="00821B82" w:rsidP="00282204">
            <w:pPr>
              <w:spacing w:after="0" w:line="240" w:lineRule="auto"/>
              <w:rPr>
                <w:rFonts w:eastAsia="Times New Roman" w:cstheme="minorHAnsi"/>
                <w:color w:val="000000"/>
              </w:rPr>
            </w:pPr>
          </w:p>
        </w:tc>
      </w:tr>
      <w:tr w:rsidR="00821B82" w:rsidRPr="00C33D71" w14:paraId="5638B7A8" w14:textId="77777777" w:rsidTr="00282204">
        <w:trPr>
          <w:trHeight w:val="281"/>
          <w:jc w:val="center"/>
        </w:trPr>
        <w:tc>
          <w:tcPr>
            <w:tcW w:w="5130" w:type="dxa"/>
            <w:shd w:val="clear" w:color="auto" w:fill="FFFFFF" w:themeFill="background1"/>
            <w:noWrap/>
            <w:vAlign w:val="center"/>
            <w:hideMark/>
          </w:tcPr>
          <w:p w14:paraId="0D3A25C5"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Doctoral degree (e.g MD, PhD)</w:t>
            </w:r>
          </w:p>
        </w:tc>
        <w:tc>
          <w:tcPr>
            <w:tcW w:w="1387" w:type="dxa"/>
            <w:shd w:val="clear" w:color="auto" w:fill="FFFFFF" w:themeFill="background1"/>
            <w:noWrap/>
            <w:vAlign w:val="bottom"/>
            <w:hideMark/>
          </w:tcPr>
          <w:p w14:paraId="0AC7B0A4"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6 (6)</w:t>
            </w:r>
          </w:p>
        </w:tc>
        <w:tc>
          <w:tcPr>
            <w:tcW w:w="5628" w:type="dxa"/>
            <w:vMerge/>
            <w:shd w:val="clear" w:color="auto" w:fill="FFFFFF" w:themeFill="background1"/>
            <w:noWrap/>
            <w:vAlign w:val="bottom"/>
            <w:hideMark/>
          </w:tcPr>
          <w:p w14:paraId="29D02E4A" w14:textId="77777777" w:rsidR="00821B82" w:rsidRPr="00C33D71" w:rsidRDefault="00821B82" w:rsidP="00282204">
            <w:pPr>
              <w:spacing w:after="0" w:line="240" w:lineRule="auto"/>
              <w:rPr>
                <w:rFonts w:eastAsia="Times New Roman" w:cstheme="minorHAnsi"/>
                <w:color w:val="000000"/>
              </w:rPr>
            </w:pPr>
          </w:p>
        </w:tc>
        <w:tc>
          <w:tcPr>
            <w:tcW w:w="1159" w:type="dxa"/>
            <w:vMerge/>
            <w:shd w:val="clear" w:color="auto" w:fill="FFFFFF" w:themeFill="background1"/>
            <w:noWrap/>
            <w:vAlign w:val="bottom"/>
            <w:hideMark/>
          </w:tcPr>
          <w:p w14:paraId="328C94E4" w14:textId="77777777" w:rsidR="00821B82" w:rsidRPr="00C33D71" w:rsidRDefault="00821B82" w:rsidP="00282204">
            <w:pPr>
              <w:spacing w:after="0" w:line="240" w:lineRule="auto"/>
              <w:rPr>
                <w:rFonts w:eastAsia="Times New Roman" w:cstheme="minorHAnsi"/>
              </w:rPr>
            </w:pPr>
          </w:p>
        </w:tc>
      </w:tr>
      <w:tr w:rsidR="00821B82" w:rsidRPr="00C33D71" w14:paraId="7FD7FB8C" w14:textId="77777777" w:rsidTr="00282204">
        <w:trPr>
          <w:trHeight w:val="281"/>
          <w:jc w:val="center"/>
        </w:trPr>
        <w:tc>
          <w:tcPr>
            <w:tcW w:w="5130" w:type="dxa"/>
            <w:shd w:val="clear" w:color="auto" w:fill="FFFFFF" w:themeFill="background1"/>
            <w:noWrap/>
            <w:vAlign w:val="center"/>
            <w:hideMark/>
          </w:tcPr>
          <w:p w14:paraId="58EA9726"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Postgraduate specialty</w:t>
            </w:r>
          </w:p>
        </w:tc>
        <w:tc>
          <w:tcPr>
            <w:tcW w:w="1387" w:type="dxa"/>
            <w:shd w:val="clear" w:color="auto" w:fill="FFFFFF" w:themeFill="background1"/>
            <w:noWrap/>
            <w:vAlign w:val="bottom"/>
            <w:hideMark/>
          </w:tcPr>
          <w:p w14:paraId="3AB574F5"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18 (19)</w:t>
            </w:r>
          </w:p>
        </w:tc>
        <w:tc>
          <w:tcPr>
            <w:tcW w:w="5628" w:type="dxa"/>
            <w:vMerge/>
            <w:shd w:val="clear" w:color="auto" w:fill="FFFFFF" w:themeFill="background1"/>
            <w:noWrap/>
            <w:vAlign w:val="bottom"/>
            <w:hideMark/>
          </w:tcPr>
          <w:p w14:paraId="5E54A0E9" w14:textId="77777777" w:rsidR="00821B82" w:rsidRPr="00C33D71" w:rsidRDefault="00821B82" w:rsidP="00282204">
            <w:pPr>
              <w:spacing w:after="0" w:line="240" w:lineRule="auto"/>
              <w:rPr>
                <w:rFonts w:eastAsia="Times New Roman" w:cstheme="minorHAnsi"/>
                <w:color w:val="000000"/>
              </w:rPr>
            </w:pPr>
          </w:p>
        </w:tc>
        <w:tc>
          <w:tcPr>
            <w:tcW w:w="1159" w:type="dxa"/>
            <w:vMerge/>
            <w:shd w:val="clear" w:color="auto" w:fill="FFFFFF" w:themeFill="background1"/>
            <w:noWrap/>
            <w:vAlign w:val="bottom"/>
            <w:hideMark/>
          </w:tcPr>
          <w:p w14:paraId="6FADF68A" w14:textId="77777777" w:rsidR="00821B82" w:rsidRPr="00C33D71" w:rsidRDefault="00821B82" w:rsidP="00282204">
            <w:pPr>
              <w:spacing w:after="0" w:line="240" w:lineRule="auto"/>
              <w:rPr>
                <w:rFonts w:eastAsia="Times New Roman" w:cstheme="minorHAnsi"/>
              </w:rPr>
            </w:pPr>
          </w:p>
        </w:tc>
      </w:tr>
      <w:tr w:rsidR="00821B82" w:rsidRPr="00C33D71" w14:paraId="5D6DC59F" w14:textId="77777777" w:rsidTr="00282204">
        <w:trPr>
          <w:trHeight w:val="281"/>
          <w:jc w:val="center"/>
        </w:trPr>
        <w:tc>
          <w:tcPr>
            <w:tcW w:w="6517" w:type="dxa"/>
            <w:gridSpan w:val="2"/>
            <w:shd w:val="clear" w:color="auto" w:fill="FFFFFF" w:themeFill="background1"/>
            <w:noWrap/>
            <w:vAlign w:val="bottom"/>
            <w:hideMark/>
          </w:tcPr>
          <w:p w14:paraId="1BDA2DF6"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Country of obtaining qualification</w:t>
            </w:r>
          </w:p>
        </w:tc>
        <w:tc>
          <w:tcPr>
            <w:tcW w:w="6787" w:type="dxa"/>
            <w:gridSpan w:val="2"/>
            <w:shd w:val="clear" w:color="auto" w:fill="FFFFFF" w:themeFill="background1"/>
            <w:noWrap/>
            <w:vAlign w:val="bottom"/>
            <w:hideMark/>
          </w:tcPr>
          <w:p w14:paraId="1C21F2D6"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Training in diabetes management</w:t>
            </w:r>
          </w:p>
        </w:tc>
      </w:tr>
      <w:tr w:rsidR="00821B82" w:rsidRPr="00C33D71" w14:paraId="481470E0" w14:textId="77777777" w:rsidTr="00282204">
        <w:trPr>
          <w:trHeight w:val="281"/>
          <w:jc w:val="center"/>
        </w:trPr>
        <w:tc>
          <w:tcPr>
            <w:tcW w:w="5130" w:type="dxa"/>
            <w:shd w:val="clear" w:color="auto" w:fill="FFFFFF" w:themeFill="background1"/>
            <w:noWrap/>
            <w:vAlign w:val="bottom"/>
            <w:hideMark/>
          </w:tcPr>
          <w:p w14:paraId="57434259"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Saudi Arabia</w:t>
            </w:r>
          </w:p>
        </w:tc>
        <w:tc>
          <w:tcPr>
            <w:tcW w:w="1387" w:type="dxa"/>
            <w:shd w:val="clear" w:color="auto" w:fill="FFFFFF" w:themeFill="background1"/>
            <w:noWrap/>
            <w:vAlign w:val="bottom"/>
            <w:hideMark/>
          </w:tcPr>
          <w:p w14:paraId="4A552527"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84 (89)</w:t>
            </w:r>
          </w:p>
        </w:tc>
        <w:tc>
          <w:tcPr>
            <w:tcW w:w="5628" w:type="dxa"/>
            <w:shd w:val="clear" w:color="auto" w:fill="FFFFFF" w:themeFill="background1"/>
            <w:noWrap/>
            <w:vAlign w:val="bottom"/>
            <w:hideMark/>
          </w:tcPr>
          <w:p w14:paraId="3F7F1452"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Pharmacists</w:t>
            </w:r>
          </w:p>
        </w:tc>
        <w:tc>
          <w:tcPr>
            <w:tcW w:w="1159" w:type="dxa"/>
            <w:shd w:val="clear" w:color="auto" w:fill="FFFFFF" w:themeFill="background1"/>
            <w:noWrap/>
            <w:vAlign w:val="bottom"/>
            <w:hideMark/>
          </w:tcPr>
          <w:p w14:paraId="093B6EC0"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63 (19)</w:t>
            </w:r>
          </w:p>
        </w:tc>
      </w:tr>
      <w:tr w:rsidR="00821B82" w:rsidRPr="00C33D71" w14:paraId="3404A688" w14:textId="77777777" w:rsidTr="00282204">
        <w:trPr>
          <w:trHeight w:val="215"/>
          <w:jc w:val="center"/>
        </w:trPr>
        <w:tc>
          <w:tcPr>
            <w:tcW w:w="5130" w:type="dxa"/>
            <w:shd w:val="clear" w:color="auto" w:fill="FFFFFF" w:themeFill="background1"/>
            <w:noWrap/>
            <w:vAlign w:val="bottom"/>
            <w:hideMark/>
          </w:tcPr>
          <w:p w14:paraId="533B12E5" w14:textId="77777777" w:rsidR="00821B82" w:rsidRPr="008D5F19" w:rsidRDefault="00821B82" w:rsidP="00282204">
            <w:pPr>
              <w:spacing w:after="0" w:line="240" w:lineRule="auto"/>
              <w:rPr>
                <w:rFonts w:eastAsia="Times New Roman" w:cstheme="minorHAnsi"/>
                <w:color w:val="000000"/>
                <w:lang w:val="sv-SE"/>
              </w:rPr>
            </w:pPr>
            <w:r w:rsidRPr="008D5F19">
              <w:rPr>
                <w:rFonts w:eastAsia="Times New Roman" w:cstheme="minorHAnsi"/>
                <w:color w:val="000000"/>
                <w:lang w:val="sv-SE"/>
              </w:rPr>
              <w:t>Other (UK, USA, EU, Ireland, Poland, India, Bahrain, Egypt)</w:t>
            </w:r>
          </w:p>
          <w:p w14:paraId="1C50CD03" w14:textId="77777777" w:rsidR="00821B82" w:rsidRPr="008D5F19" w:rsidRDefault="00821B82" w:rsidP="00282204">
            <w:pPr>
              <w:spacing w:after="0" w:line="240" w:lineRule="auto"/>
              <w:rPr>
                <w:rFonts w:eastAsia="Times New Roman" w:cstheme="minorHAnsi"/>
                <w:color w:val="000000"/>
                <w:lang w:val="sv-SE"/>
              </w:rPr>
            </w:pPr>
          </w:p>
        </w:tc>
        <w:tc>
          <w:tcPr>
            <w:tcW w:w="1387" w:type="dxa"/>
            <w:shd w:val="clear" w:color="auto" w:fill="FFFFFF" w:themeFill="background1"/>
            <w:noWrap/>
            <w:vAlign w:val="bottom"/>
            <w:hideMark/>
          </w:tcPr>
          <w:p w14:paraId="62D59C31"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16 (17)</w:t>
            </w:r>
          </w:p>
          <w:p w14:paraId="37D5F52B" w14:textId="77777777" w:rsidR="00821B82" w:rsidRPr="00C33D71" w:rsidRDefault="00821B82" w:rsidP="00282204">
            <w:pPr>
              <w:spacing w:after="0" w:line="240" w:lineRule="auto"/>
              <w:rPr>
                <w:rFonts w:eastAsia="Times New Roman" w:cstheme="minorHAnsi"/>
                <w:color w:val="000000"/>
              </w:rPr>
            </w:pPr>
          </w:p>
        </w:tc>
        <w:tc>
          <w:tcPr>
            <w:tcW w:w="5628" w:type="dxa"/>
            <w:shd w:val="clear" w:color="auto" w:fill="FFFFFF" w:themeFill="background1"/>
            <w:noWrap/>
            <w:vAlign w:val="bottom"/>
            <w:hideMark/>
          </w:tcPr>
          <w:p w14:paraId="262B45A5"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Nurses</w:t>
            </w:r>
          </w:p>
          <w:p w14:paraId="651B884E" w14:textId="77777777" w:rsidR="00821B82" w:rsidRPr="00C33D71" w:rsidRDefault="00821B82" w:rsidP="00282204">
            <w:pPr>
              <w:spacing w:after="0" w:line="240" w:lineRule="auto"/>
              <w:rPr>
                <w:rFonts w:eastAsia="Times New Roman" w:cstheme="minorHAnsi"/>
                <w:color w:val="000000"/>
              </w:rPr>
            </w:pPr>
          </w:p>
        </w:tc>
        <w:tc>
          <w:tcPr>
            <w:tcW w:w="1159" w:type="dxa"/>
            <w:shd w:val="clear" w:color="auto" w:fill="FFFFFF" w:themeFill="background1"/>
            <w:noWrap/>
            <w:vAlign w:val="bottom"/>
            <w:hideMark/>
          </w:tcPr>
          <w:p w14:paraId="6C490F78"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63 (17)</w:t>
            </w:r>
          </w:p>
          <w:p w14:paraId="49E36774" w14:textId="77777777" w:rsidR="00821B82" w:rsidRPr="00C33D71" w:rsidRDefault="00821B82" w:rsidP="00282204">
            <w:pPr>
              <w:spacing w:after="0" w:line="240" w:lineRule="auto"/>
              <w:rPr>
                <w:rFonts w:eastAsia="Times New Roman" w:cstheme="minorHAnsi"/>
                <w:color w:val="000000"/>
              </w:rPr>
            </w:pPr>
          </w:p>
        </w:tc>
      </w:tr>
      <w:tr w:rsidR="00821B82" w:rsidRPr="00C33D71" w14:paraId="4DCFB549" w14:textId="77777777" w:rsidTr="00282204">
        <w:trPr>
          <w:trHeight w:val="281"/>
          <w:jc w:val="center"/>
        </w:trPr>
        <w:tc>
          <w:tcPr>
            <w:tcW w:w="6517" w:type="dxa"/>
            <w:gridSpan w:val="2"/>
            <w:shd w:val="clear" w:color="auto" w:fill="FFFFFF" w:themeFill="background1"/>
            <w:noWrap/>
            <w:vAlign w:val="bottom"/>
            <w:hideMark/>
          </w:tcPr>
          <w:p w14:paraId="31757DA2"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Job Category</w:t>
            </w:r>
          </w:p>
        </w:tc>
        <w:tc>
          <w:tcPr>
            <w:tcW w:w="6787" w:type="dxa"/>
            <w:gridSpan w:val="2"/>
            <w:shd w:val="clear" w:color="auto" w:fill="FFFFFF" w:themeFill="background1"/>
            <w:noWrap/>
            <w:vAlign w:val="bottom"/>
            <w:hideMark/>
          </w:tcPr>
          <w:p w14:paraId="03617B9C"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Type of training</w:t>
            </w:r>
          </w:p>
        </w:tc>
      </w:tr>
      <w:tr w:rsidR="00821B82" w:rsidRPr="00C33D71" w14:paraId="7BFB4787" w14:textId="77777777" w:rsidTr="00282204">
        <w:trPr>
          <w:trHeight w:val="281"/>
          <w:jc w:val="center"/>
        </w:trPr>
        <w:tc>
          <w:tcPr>
            <w:tcW w:w="5130" w:type="dxa"/>
            <w:shd w:val="clear" w:color="auto" w:fill="FFFFFF" w:themeFill="background1"/>
            <w:noWrap/>
            <w:vAlign w:val="bottom"/>
            <w:hideMark/>
          </w:tcPr>
          <w:p w14:paraId="346A9267"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Consultant physician</w:t>
            </w:r>
          </w:p>
        </w:tc>
        <w:tc>
          <w:tcPr>
            <w:tcW w:w="1387" w:type="dxa"/>
            <w:shd w:val="clear" w:color="auto" w:fill="FFFFFF" w:themeFill="background1"/>
            <w:noWrap/>
            <w:vAlign w:val="bottom"/>
            <w:hideMark/>
          </w:tcPr>
          <w:p w14:paraId="777F4DEF"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8</w:t>
            </w:r>
            <w:r>
              <w:rPr>
                <w:rFonts w:eastAsia="Times New Roman" w:cstheme="minorHAnsi"/>
                <w:color w:val="000000"/>
              </w:rPr>
              <w:t xml:space="preserve"> </w:t>
            </w:r>
            <w:r w:rsidRPr="00C33D71">
              <w:rPr>
                <w:rFonts w:eastAsia="Times New Roman" w:cstheme="minorHAnsi"/>
                <w:color w:val="000000"/>
              </w:rPr>
              <w:t>(9)</w:t>
            </w:r>
          </w:p>
        </w:tc>
        <w:tc>
          <w:tcPr>
            <w:tcW w:w="6787" w:type="dxa"/>
            <w:gridSpan w:val="2"/>
            <w:shd w:val="clear" w:color="auto" w:fill="FFFFFF" w:themeFill="background1"/>
            <w:noWrap/>
            <w:vAlign w:val="bottom"/>
            <w:hideMark/>
          </w:tcPr>
          <w:p w14:paraId="69DDC5D4"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Postgraduate qualification</w:t>
            </w:r>
          </w:p>
        </w:tc>
      </w:tr>
      <w:tr w:rsidR="00821B82" w:rsidRPr="00C33D71" w14:paraId="10FFB77C" w14:textId="77777777" w:rsidTr="00282204">
        <w:trPr>
          <w:trHeight w:val="281"/>
          <w:jc w:val="center"/>
        </w:trPr>
        <w:tc>
          <w:tcPr>
            <w:tcW w:w="5130" w:type="dxa"/>
            <w:shd w:val="clear" w:color="auto" w:fill="FFFFFF" w:themeFill="background1"/>
            <w:noWrap/>
            <w:vAlign w:val="bottom"/>
            <w:hideMark/>
          </w:tcPr>
          <w:p w14:paraId="71F40D5C"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Specialist physician</w:t>
            </w:r>
          </w:p>
        </w:tc>
        <w:tc>
          <w:tcPr>
            <w:tcW w:w="1387" w:type="dxa"/>
            <w:shd w:val="clear" w:color="auto" w:fill="FFFFFF" w:themeFill="background1"/>
            <w:noWrap/>
            <w:vAlign w:val="bottom"/>
            <w:hideMark/>
          </w:tcPr>
          <w:p w14:paraId="3AB1846C"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10</w:t>
            </w:r>
            <w:r>
              <w:rPr>
                <w:rFonts w:eastAsia="Times New Roman" w:cstheme="minorHAnsi"/>
                <w:color w:val="000000"/>
              </w:rPr>
              <w:t xml:space="preserve"> </w:t>
            </w:r>
            <w:r w:rsidRPr="00C33D71">
              <w:rPr>
                <w:rFonts w:eastAsia="Times New Roman" w:cstheme="minorHAnsi"/>
                <w:color w:val="000000"/>
              </w:rPr>
              <w:t>(11)</w:t>
            </w:r>
          </w:p>
        </w:tc>
        <w:tc>
          <w:tcPr>
            <w:tcW w:w="5628" w:type="dxa"/>
            <w:shd w:val="clear" w:color="auto" w:fill="FFFFFF" w:themeFill="background1"/>
            <w:noWrap/>
            <w:vAlign w:val="bottom"/>
            <w:hideMark/>
          </w:tcPr>
          <w:p w14:paraId="473202C5"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Pharmacists</w:t>
            </w:r>
          </w:p>
        </w:tc>
        <w:tc>
          <w:tcPr>
            <w:tcW w:w="1159" w:type="dxa"/>
            <w:shd w:val="clear" w:color="auto" w:fill="FFFFFF" w:themeFill="background1"/>
            <w:noWrap/>
            <w:vAlign w:val="bottom"/>
            <w:hideMark/>
          </w:tcPr>
          <w:p w14:paraId="64A109BE"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20</w:t>
            </w:r>
            <w:r>
              <w:rPr>
                <w:rFonts w:eastAsia="Times New Roman" w:cstheme="minorHAnsi"/>
                <w:color w:val="000000"/>
              </w:rPr>
              <w:t xml:space="preserve"> </w:t>
            </w:r>
            <w:r w:rsidRPr="00C33D71">
              <w:rPr>
                <w:rFonts w:eastAsia="Times New Roman" w:cstheme="minorHAnsi"/>
                <w:color w:val="000000"/>
              </w:rPr>
              <w:t>(6)</w:t>
            </w:r>
          </w:p>
        </w:tc>
      </w:tr>
      <w:tr w:rsidR="00821B82" w:rsidRPr="00C33D71" w14:paraId="7B4A231E" w14:textId="77777777" w:rsidTr="00282204">
        <w:trPr>
          <w:trHeight w:val="333"/>
          <w:jc w:val="center"/>
        </w:trPr>
        <w:tc>
          <w:tcPr>
            <w:tcW w:w="5130" w:type="dxa"/>
            <w:shd w:val="clear" w:color="auto" w:fill="FFFFFF" w:themeFill="background1"/>
            <w:noWrap/>
            <w:vAlign w:val="bottom"/>
            <w:hideMark/>
          </w:tcPr>
          <w:p w14:paraId="3D2ED462"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Resident Physician</w:t>
            </w:r>
          </w:p>
        </w:tc>
        <w:tc>
          <w:tcPr>
            <w:tcW w:w="1387" w:type="dxa"/>
            <w:shd w:val="clear" w:color="auto" w:fill="FFFFFF" w:themeFill="background1"/>
            <w:noWrap/>
            <w:vAlign w:val="bottom"/>
            <w:hideMark/>
          </w:tcPr>
          <w:p w14:paraId="48968041"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21</w:t>
            </w:r>
            <w:r>
              <w:rPr>
                <w:rFonts w:eastAsia="Times New Roman" w:cstheme="minorHAnsi"/>
                <w:color w:val="000000"/>
              </w:rPr>
              <w:t xml:space="preserve"> </w:t>
            </w:r>
            <w:r w:rsidRPr="00C33D71">
              <w:rPr>
                <w:rFonts w:eastAsia="Times New Roman" w:cstheme="minorHAnsi"/>
                <w:color w:val="000000"/>
              </w:rPr>
              <w:t>(22)</w:t>
            </w:r>
          </w:p>
        </w:tc>
        <w:tc>
          <w:tcPr>
            <w:tcW w:w="5628" w:type="dxa"/>
            <w:shd w:val="clear" w:color="auto" w:fill="FFFFFF" w:themeFill="background1"/>
            <w:noWrap/>
            <w:vAlign w:val="bottom"/>
            <w:hideMark/>
          </w:tcPr>
          <w:p w14:paraId="50C3107C"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Nurses</w:t>
            </w:r>
          </w:p>
        </w:tc>
        <w:tc>
          <w:tcPr>
            <w:tcW w:w="1159" w:type="dxa"/>
            <w:shd w:val="clear" w:color="auto" w:fill="FFFFFF" w:themeFill="background1"/>
            <w:noWrap/>
            <w:vAlign w:val="bottom"/>
            <w:hideMark/>
          </w:tcPr>
          <w:p w14:paraId="665C3AD6"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22</w:t>
            </w:r>
            <w:r>
              <w:rPr>
                <w:rFonts w:eastAsia="Times New Roman" w:cstheme="minorHAnsi"/>
                <w:color w:val="000000"/>
              </w:rPr>
              <w:t xml:space="preserve"> </w:t>
            </w:r>
            <w:r w:rsidRPr="00C33D71">
              <w:rPr>
                <w:rFonts w:eastAsia="Times New Roman" w:cstheme="minorHAnsi"/>
                <w:color w:val="000000"/>
              </w:rPr>
              <w:t>(6)</w:t>
            </w:r>
          </w:p>
        </w:tc>
      </w:tr>
      <w:tr w:rsidR="00821B82" w:rsidRPr="00C33D71" w14:paraId="68EF2E19" w14:textId="77777777" w:rsidTr="00282204">
        <w:trPr>
          <w:trHeight w:val="281"/>
          <w:jc w:val="center"/>
        </w:trPr>
        <w:tc>
          <w:tcPr>
            <w:tcW w:w="5130" w:type="dxa"/>
            <w:shd w:val="clear" w:color="auto" w:fill="FFFFFF" w:themeFill="background1"/>
            <w:noWrap/>
            <w:vAlign w:val="bottom"/>
            <w:hideMark/>
          </w:tcPr>
          <w:p w14:paraId="66322E02"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Consultant pharmacist</w:t>
            </w:r>
          </w:p>
        </w:tc>
        <w:tc>
          <w:tcPr>
            <w:tcW w:w="1387" w:type="dxa"/>
            <w:shd w:val="clear" w:color="auto" w:fill="FFFFFF" w:themeFill="background1"/>
            <w:noWrap/>
            <w:vAlign w:val="bottom"/>
            <w:hideMark/>
          </w:tcPr>
          <w:p w14:paraId="2E1BE329"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3 (3)</w:t>
            </w:r>
          </w:p>
        </w:tc>
        <w:tc>
          <w:tcPr>
            <w:tcW w:w="6787" w:type="dxa"/>
            <w:gridSpan w:val="2"/>
            <w:shd w:val="clear" w:color="auto" w:fill="FFFFFF" w:themeFill="background1"/>
            <w:noWrap/>
            <w:vAlign w:val="bottom"/>
            <w:hideMark/>
          </w:tcPr>
          <w:p w14:paraId="7EE66CF7"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Continuing Professional Development</w:t>
            </w:r>
          </w:p>
        </w:tc>
      </w:tr>
      <w:tr w:rsidR="00821B82" w:rsidRPr="00C33D71" w14:paraId="10CE4CE8" w14:textId="77777777" w:rsidTr="00282204">
        <w:trPr>
          <w:trHeight w:val="281"/>
          <w:jc w:val="center"/>
        </w:trPr>
        <w:tc>
          <w:tcPr>
            <w:tcW w:w="5130" w:type="dxa"/>
            <w:shd w:val="clear" w:color="auto" w:fill="FFFFFF" w:themeFill="background1"/>
            <w:noWrap/>
            <w:vAlign w:val="bottom"/>
            <w:hideMark/>
          </w:tcPr>
          <w:p w14:paraId="3AC8645A"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Specialist pharmacist</w:t>
            </w:r>
          </w:p>
        </w:tc>
        <w:tc>
          <w:tcPr>
            <w:tcW w:w="1387" w:type="dxa"/>
            <w:shd w:val="clear" w:color="auto" w:fill="FFFFFF" w:themeFill="background1"/>
            <w:noWrap/>
            <w:vAlign w:val="bottom"/>
            <w:hideMark/>
          </w:tcPr>
          <w:p w14:paraId="34BEA06C"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5 (5)</w:t>
            </w:r>
          </w:p>
        </w:tc>
        <w:tc>
          <w:tcPr>
            <w:tcW w:w="5628" w:type="dxa"/>
            <w:shd w:val="clear" w:color="auto" w:fill="FFFFFF" w:themeFill="background1"/>
            <w:noWrap/>
            <w:vAlign w:val="bottom"/>
            <w:hideMark/>
          </w:tcPr>
          <w:p w14:paraId="101D0CE7"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Pharmacists</w:t>
            </w:r>
          </w:p>
        </w:tc>
        <w:tc>
          <w:tcPr>
            <w:tcW w:w="1159" w:type="dxa"/>
            <w:shd w:val="clear" w:color="auto" w:fill="FFFFFF" w:themeFill="background1"/>
            <w:noWrap/>
            <w:vAlign w:val="bottom"/>
            <w:hideMark/>
          </w:tcPr>
          <w:p w14:paraId="4584C033"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60</w:t>
            </w:r>
            <w:r>
              <w:rPr>
                <w:rFonts w:eastAsia="Times New Roman" w:cstheme="minorHAnsi"/>
                <w:color w:val="000000"/>
              </w:rPr>
              <w:t xml:space="preserve"> </w:t>
            </w:r>
            <w:r w:rsidRPr="00C33D71">
              <w:rPr>
                <w:rFonts w:eastAsia="Times New Roman" w:cstheme="minorHAnsi"/>
                <w:color w:val="000000"/>
              </w:rPr>
              <w:t>(18)</w:t>
            </w:r>
          </w:p>
        </w:tc>
      </w:tr>
      <w:tr w:rsidR="00821B82" w:rsidRPr="00C33D71" w14:paraId="017B6DE2" w14:textId="77777777" w:rsidTr="00282204">
        <w:trPr>
          <w:trHeight w:val="281"/>
          <w:jc w:val="center"/>
        </w:trPr>
        <w:tc>
          <w:tcPr>
            <w:tcW w:w="5130" w:type="dxa"/>
            <w:shd w:val="clear" w:color="auto" w:fill="FFFFFF" w:themeFill="background1"/>
            <w:noWrap/>
            <w:vAlign w:val="bottom"/>
            <w:hideMark/>
          </w:tcPr>
          <w:p w14:paraId="556914BB"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Pharmacist</w:t>
            </w:r>
          </w:p>
        </w:tc>
        <w:tc>
          <w:tcPr>
            <w:tcW w:w="1387" w:type="dxa"/>
            <w:shd w:val="clear" w:color="auto" w:fill="FFFFFF" w:themeFill="background1"/>
            <w:noWrap/>
            <w:vAlign w:val="bottom"/>
            <w:hideMark/>
          </w:tcPr>
          <w:p w14:paraId="3B4D2978"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16</w:t>
            </w:r>
            <w:r>
              <w:rPr>
                <w:rFonts w:eastAsia="Times New Roman" w:cstheme="minorHAnsi"/>
                <w:color w:val="000000"/>
              </w:rPr>
              <w:t xml:space="preserve"> </w:t>
            </w:r>
            <w:r w:rsidRPr="00C33D71">
              <w:rPr>
                <w:rFonts w:eastAsia="Times New Roman" w:cstheme="minorHAnsi"/>
                <w:color w:val="000000"/>
              </w:rPr>
              <w:t>(17)</w:t>
            </w:r>
          </w:p>
        </w:tc>
        <w:tc>
          <w:tcPr>
            <w:tcW w:w="5628" w:type="dxa"/>
            <w:shd w:val="clear" w:color="auto" w:fill="FFFFFF" w:themeFill="background1"/>
            <w:noWrap/>
            <w:vAlign w:val="bottom"/>
            <w:hideMark/>
          </w:tcPr>
          <w:p w14:paraId="1A3CAAC7"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Nurses</w:t>
            </w:r>
          </w:p>
        </w:tc>
        <w:tc>
          <w:tcPr>
            <w:tcW w:w="1159" w:type="dxa"/>
            <w:shd w:val="clear" w:color="auto" w:fill="FFFFFF" w:themeFill="background1"/>
            <w:noWrap/>
            <w:vAlign w:val="bottom"/>
            <w:hideMark/>
          </w:tcPr>
          <w:p w14:paraId="24704107"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48</w:t>
            </w:r>
            <w:r>
              <w:rPr>
                <w:rFonts w:eastAsia="Times New Roman" w:cstheme="minorHAnsi"/>
                <w:color w:val="000000"/>
              </w:rPr>
              <w:t xml:space="preserve"> </w:t>
            </w:r>
            <w:r w:rsidRPr="00C33D71">
              <w:rPr>
                <w:rFonts w:eastAsia="Times New Roman" w:cstheme="minorHAnsi"/>
                <w:color w:val="000000"/>
              </w:rPr>
              <w:t>(13)</w:t>
            </w:r>
          </w:p>
        </w:tc>
      </w:tr>
      <w:tr w:rsidR="00821B82" w:rsidRPr="00C33D71" w14:paraId="68B038F6" w14:textId="77777777" w:rsidTr="00282204">
        <w:trPr>
          <w:trHeight w:val="281"/>
          <w:jc w:val="center"/>
        </w:trPr>
        <w:tc>
          <w:tcPr>
            <w:tcW w:w="5130" w:type="dxa"/>
            <w:shd w:val="clear" w:color="auto" w:fill="FFFFFF" w:themeFill="background1"/>
            <w:noWrap/>
            <w:vAlign w:val="bottom"/>
            <w:hideMark/>
          </w:tcPr>
          <w:p w14:paraId="77331D63"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Nurse</w:t>
            </w:r>
          </w:p>
        </w:tc>
        <w:tc>
          <w:tcPr>
            <w:tcW w:w="1387" w:type="dxa"/>
            <w:shd w:val="clear" w:color="auto" w:fill="FFFFFF" w:themeFill="background1"/>
            <w:noWrap/>
            <w:vAlign w:val="bottom"/>
            <w:hideMark/>
          </w:tcPr>
          <w:p w14:paraId="7EFB5832"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12</w:t>
            </w:r>
            <w:r>
              <w:rPr>
                <w:rFonts w:eastAsia="Times New Roman" w:cstheme="minorHAnsi"/>
                <w:color w:val="000000"/>
              </w:rPr>
              <w:t xml:space="preserve"> </w:t>
            </w:r>
            <w:r w:rsidRPr="00C33D71">
              <w:rPr>
                <w:rFonts w:eastAsia="Times New Roman" w:cstheme="minorHAnsi"/>
                <w:color w:val="000000"/>
              </w:rPr>
              <w:t>(13)</w:t>
            </w:r>
          </w:p>
        </w:tc>
        <w:tc>
          <w:tcPr>
            <w:tcW w:w="6787" w:type="dxa"/>
            <w:gridSpan w:val="2"/>
            <w:shd w:val="clear" w:color="auto" w:fill="FFFFFF" w:themeFill="background1"/>
            <w:noWrap/>
            <w:vAlign w:val="bottom"/>
            <w:hideMark/>
          </w:tcPr>
          <w:p w14:paraId="0B737DDD"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Other training</w:t>
            </w:r>
          </w:p>
        </w:tc>
      </w:tr>
      <w:tr w:rsidR="00821B82" w:rsidRPr="00C33D71" w14:paraId="5D9D49C7" w14:textId="77777777" w:rsidTr="00282204">
        <w:trPr>
          <w:trHeight w:val="281"/>
          <w:jc w:val="center"/>
        </w:trPr>
        <w:tc>
          <w:tcPr>
            <w:tcW w:w="5130" w:type="dxa"/>
            <w:shd w:val="clear" w:color="auto" w:fill="FFFFFF" w:themeFill="background1"/>
            <w:noWrap/>
            <w:vAlign w:val="bottom"/>
            <w:hideMark/>
          </w:tcPr>
          <w:p w14:paraId="4B861F9D"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Nurse technician</w:t>
            </w:r>
          </w:p>
        </w:tc>
        <w:tc>
          <w:tcPr>
            <w:tcW w:w="1387" w:type="dxa"/>
            <w:shd w:val="clear" w:color="auto" w:fill="FFFFFF" w:themeFill="background1"/>
            <w:noWrap/>
            <w:vAlign w:val="bottom"/>
            <w:hideMark/>
          </w:tcPr>
          <w:p w14:paraId="7377B99A"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10</w:t>
            </w:r>
            <w:r>
              <w:rPr>
                <w:rFonts w:eastAsia="Times New Roman" w:cstheme="minorHAnsi"/>
                <w:color w:val="000000"/>
              </w:rPr>
              <w:t xml:space="preserve"> </w:t>
            </w:r>
            <w:r w:rsidRPr="00C33D71">
              <w:rPr>
                <w:rFonts w:eastAsia="Times New Roman" w:cstheme="minorHAnsi"/>
                <w:color w:val="000000"/>
              </w:rPr>
              <w:t>(11)</w:t>
            </w:r>
          </w:p>
        </w:tc>
        <w:tc>
          <w:tcPr>
            <w:tcW w:w="5628" w:type="dxa"/>
            <w:shd w:val="clear" w:color="auto" w:fill="FFFFFF" w:themeFill="background1"/>
            <w:noWrap/>
            <w:vAlign w:val="bottom"/>
            <w:hideMark/>
          </w:tcPr>
          <w:p w14:paraId="5318348B"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Pharmacists</w:t>
            </w:r>
          </w:p>
        </w:tc>
        <w:tc>
          <w:tcPr>
            <w:tcW w:w="1159" w:type="dxa"/>
            <w:shd w:val="clear" w:color="auto" w:fill="FFFFFF" w:themeFill="background1"/>
            <w:noWrap/>
            <w:vAlign w:val="bottom"/>
            <w:hideMark/>
          </w:tcPr>
          <w:p w14:paraId="62A48C0A"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20</w:t>
            </w:r>
            <w:r>
              <w:rPr>
                <w:rFonts w:eastAsia="Times New Roman" w:cstheme="minorHAnsi"/>
                <w:color w:val="000000"/>
              </w:rPr>
              <w:t xml:space="preserve"> </w:t>
            </w:r>
            <w:r w:rsidRPr="00C33D71">
              <w:rPr>
                <w:rFonts w:eastAsia="Times New Roman" w:cstheme="minorHAnsi"/>
                <w:color w:val="000000"/>
              </w:rPr>
              <w:t>(6)</w:t>
            </w:r>
          </w:p>
        </w:tc>
      </w:tr>
      <w:tr w:rsidR="00821B82" w:rsidRPr="00C33D71" w14:paraId="1185ADB1" w14:textId="77777777" w:rsidTr="00282204">
        <w:trPr>
          <w:trHeight w:val="281"/>
          <w:jc w:val="center"/>
        </w:trPr>
        <w:tc>
          <w:tcPr>
            <w:tcW w:w="5130" w:type="dxa"/>
            <w:shd w:val="clear" w:color="auto" w:fill="FFFFFF" w:themeFill="background1"/>
            <w:noWrap/>
            <w:vAlign w:val="bottom"/>
            <w:hideMark/>
          </w:tcPr>
          <w:p w14:paraId="76243194"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Other healthcare professionals (Executive healthcare, Public health specialist, Urologist, Pharmacy &amp; Radiology Technicians, Respiratory Therapist)</w:t>
            </w:r>
          </w:p>
        </w:tc>
        <w:tc>
          <w:tcPr>
            <w:tcW w:w="1387" w:type="dxa"/>
            <w:shd w:val="clear" w:color="auto" w:fill="FFFFFF" w:themeFill="background1"/>
            <w:noWrap/>
            <w:vAlign w:val="bottom"/>
            <w:hideMark/>
          </w:tcPr>
          <w:p w14:paraId="658EF63F"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14</w:t>
            </w:r>
            <w:r>
              <w:rPr>
                <w:rFonts w:eastAsia="Times New Roman" w:cstheme="minorHAnsi"/>
                <w:color w:val="000000"/>
              </w:rPr>
              <w:t xml:space="preserve"> </w:t>
            </w:r>
            <w:r w:rsidRPr="00C33D71">
              <w:rPr>
                <w:rFonts w:eastAsia="Times New Roman" w:cstheme="minorHAnsi"/>
                <w:color w:val="000000"/>
              </w:rPr>
              <w:t>(15)</w:t>
            </w:r>
          </w:p>
          <w:p w14:paraId="3889B5EA" w14:textId="77777777" w:rsidR="00821B82" w:rsidRPr="00C33D71" w:rsidRDefault="00821B82" w:rsidP="00282204">
            <w:pPr>
              <w:spacing w:after="0" w:line="240" w:lineRule="auto"/>
              <w:rPr>
                <w:rFonts w:eastAsia="Times New Roman" w:cstheme="minorHAnsi"/>
                <w:color w:val="000000"/>
              </w:rPr>
            </w:pPr>
          </w:p>
          <w:p w14:paraId="1614A27C" w14:textId="77777777" w:rsidR="00821B82" w:rsidRPr="00C33D71" w:rsidRDefault="00821B82" w:rsidP="00282204">
            <w:pPr>
              <w:spacing w:after="0" w:line="240" w:lineRule="auto"/>
              <w:rPr>
                <w:rFonts w:eastAsia="Times New Roman" w:cstheme="minorHAnsi"/>
                <w:color w:val="000000"/>
              </w:rPr>
            </w:pPr>
          </w:p>
        </w:tc>
        <w:tc>
          <w:tcPr>
            <w:tcW w:w="5628" w:type="dxa"/>
            <w:shd w:val="clear" w:color="auto" w:fill="FFFFFF" w:themeFill="background1"/>
            <w:noWrap/>
            <w:vAlign w:val="bottom"/>
            <w:hideMark/>
          </w:tcPr>
          <w:p w14:paraId="30AA25AC"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Nurses</w:t>
            </w:r>
          </w:p>
          <w:p w14:paraId="0A73FAEC" w14:textId="77777777" w:rsidR="00821B82" w:rsidRPr="00C33D71" w:rsidRDefault="00821B82" w:rsidP="00282204">
            <w:pPr>
              <w:spacing w:after="0" w:line="240" w:lineRule="auto"/>
              <w:rPr>
                <w:rFonts w:eastAsia="Times New Roman" w:cstheme="minorHAnsi"/>
                <w:color w:val="000000"/>
              </w:rPr>
            </w:pPr>
          </w:p>
          <w:p w14:paraId="1E6DF57F" w14:textId="77777777" w:rsidR="00821B82" w:rsidRPr="00C33D71" w:rsidRDefault="00821B82" w:rsidP="00282204">
            <w:pPr>
              <w:spacing w:after="0" w:line="240" w:lineRule="auto"/>
              <w:rPr>
                <w:rFonts w:eastAsia="Times New Roman" w:cstheme="minorHAnsi"/>
                <w:color w:val="000000"/>
              </w:rPr>
            </w:pPr>
          </w:p>
        </w:tc>
        <w:tc>
          <w:tcPr>
            <w:tcW w:w="1159" w:type="dxa"/>
            <w:shd w:val="clear" w:color="auto" w:fill="FFFFFF" w:themeFill="background1"/>
            <w:noWrap/>
            <w:vAlign w:val="bottom"/>
            <w:hideMark/>
          </w:tcPr>
          <w:p w14:paraId="7B6FC0BB"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30</w:t>
            </w:r>
            <w:r>
              <w:rPr>
                <w:rFonts w:eastAsia="Times New Roman" w:cstheme="minorHAnsi"/>
                <w:color w:val="000000"/>
              </w:rPr>
              <w:t xml:space="preserve"> </w:t>
            </w:r>
            <w:r w:rsidRPr="00C33D71">
              <w:rPr>
                <w:rFonts w:eastAsia="Times New Roman" w:cstheme="minorHAnsi"/>
                <w:color w:val="000000"/>
              </w:rPr>
              <w:t>(8)</w:t>
            </w:r>
          </w:p>
          <w:p w14:paraId="0941BD99" w14:textId="77777777" w:rsidR="00821B82" w:rsidRPr="00C33D71" w:rsidRDefault="00821B82" w:rsidP="00282204">
            <w:pPr>
              <w:spacing w:after="0" w:line="240" w:lineRule="auto"/>
              <w:rPr>
                <w:rFonts w:eastAsia="Times New Roman" w:cstheme="minorHAnsi"/>
                <w:color w:val="000000"/>
              </w:rPr>
            </w:pPr>
          </w:p>
          <w:p w14:paraId="3A134D35" w14:textId="77777777" w:rsidR="00821B82" w:rsidRPr="00C33D71" w:rsidRDefault="00821B82" w:rsidP="00282204">
            <w:pPr>
              <w:spacing w:after="0" w:line="240" w:lineRule="auto"/>
              <w:rPr>
                <w:rFonts w:eastAsia="Times New Roman" w:cstheme="minorHAnsi"/>
                <w:color w:val="000000"/>
              </w:rPr>
            </w:pPr>
          </w:p>
        </w:tc>
      </w:tr>
      <w:tr w:rsidR="00821B82" w:rsidRPr="00C33D71" w14:paraId="1E2D8240" w14:textId="77777777" w:rsidTr="00282204">
        <w:trPr>
          <w:trHeight w:val="354"/>
          <w:jc w:val="center"/>
        </w:trPr>
        <w:tc>
          <w:tcPr>
            <w:tcW w:w="5130" w:type="dxa"/>
            <w:shd w:val="clear" w:color="auto" w:fill="FFFFFF" w:themeFill="background1"/>
            <w:noWrap/>
            <w:vAlign w:val="bottom"/>
            <w:hideMark/>
          </w:tcPr>
          <w:p w14:paraId="5065250F"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Number of patients reviewed by healthcare providers per day</w:t>
            </w:r>
          </w:p>
          <w:p w14:paraId="534B8E69" w14:textId="77777777" w:rsidR="00821B82" w:rsidRPr="00C33D71" w:rsidRDefault="00821B82" w:rsidP="00282204">
            <w:pPr>
              <w:spacing w:after="0" w:line="240" w:lineRule="auto"/>
              <w:rPr>
                <w:rFonts w:eastAsia="Times New Roman" w:cstheme="minorHAnsi"/>
                <w:b/>
                <w:bCs/>
                <w:color w:val="000000"/>
              </w:rPr>
            </w:pPr>
          </w:p>
        </w:tc>
        <w:tc>
          <w:tcPr>
            <w:tcW w:w="1387" w:type="dxa"/>
            <w:shd w:val="clear" w:color="auto" w:fill="FFFFFF" w:themeFill="background1"/>
            <w:noWrap/>
            <w:vAlign w:val="bottom"/>
            <w:hideMark/>
          </w:tcPr>
          <w:p w14:paraId="14A32372"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10.0*</w:t>
            </w:r>
          </w:p>
          <w:p w14:paraId="519382F6" w14:textId="77777777" w:rsidR="00821B82" w:rsidRPr="00C33D71" w:rsidRDefault="00821B82" w:rsidP="00282204">
            <w:pPr>
              <w:spacing w:after="0" w:line="240" w:lineRule="auto"/>
              <w:rPr>
                <w:rFonts w:eastAsia="Times New Roman" w:cstheme="minorHAnsi"/>
                <w:color w:val="000000"/>
              </w:rPr>
            </w:pPr>
          </w:p>
        </w:tc>
        <w:tc>
          <w:tcPr>
            <w:tcW w:w="5628" w:type="dxa"/>
            <w:shd w:val="clear" w:color="auto" w:fill="FFFFFF" w:themeFill="background1"/>
            <w:noWrap/>
            <w:vAlign w:val="bottom"/>
            <w:hideMark/>
          </w:tcPr>
          <w:p w14:paraId="2313FA33" w14:textId="77777777" w:rsidR="00821B82" w:rsidRPr="00C33D71" w:rsidRDefault="00821B82" w:rsidP="00282204">
            <w:pPr>
              <w:spacing w:after="0" w:line="240" w:lineRule="auto"/>
              <w:rPr>
                <w:rFonts w:eastAsia="Times New Roman" w:cstheme="minorHAnsi"/>
                <w:b/>
                <w:bCs/>
                <w:color w:val="000000"/>
              </w:rPr>
            </w:pPr>
            <w:r w:rsidRPr="00C33D71">
              <w:rPr>
                <w:rFonts w:eastAsia="Times New Roman" w:cstheme="minorHAnsi"/>
                <w:b/>
                <w:bCs/>
                <w:color w:val="000000"/>
              </w:rPr>
              <w:t>Time spent (mins) with each patient per day</w:t>
            </w:r>
          </w:p>
          <w:p w14:paraId="50724068" w14:textId="77777777" w:rsidR="00821B82" w:rsidRPr="00C33D71" w:rsidRDefault="00821B82" w:rsidP="00282204">
            <w:pPr>
              <w:spacing w:after="0" w:line="240" w:lineRule="auto"/>
              <w:rPr>
                <w:rFonts w:eastAsia="Times New Roman" w:cstheme="minorHAnsi"/>
                <w:b/>
                <w:bCs/>
                <w:color w:val="000000"/>
              </w:rPr>
            </w:pPr>
          </w:p>
        </w:tc>
        <w:tc>
          <w:tcPr>
            <w:tcW w:w="1159" w:type="dxa"/>
            <w:shd w:val="clear" w:color="auto" w:fill="FFFFFF" w:themeFill="background1"/>
            <w:noWrap/>
            <w:vAlign w:val="bottom"/>
            <w:hideMark/>
          </w:tcPr>
          <w:p w14:paraId="4A1DB35E" w14:textId="77777777" w:rsidR="00821B82" w:rsidRPr="00C33D71" w:rsidRDefault="00821B82" w:rsidP="00282204">
            <w:pPr>
              <w:spacing w:after="0" w:line="240" w:lineRule="auto"/>
              <w:rPr>
                <w:rFonts w:eastAsia="Times New Roman" w:cstheme="minorHAnsi"/>
                <w:color w:val="000000"/>
              </w:rPr>
            </w:pPr>
            <w:r w:rsidRPr="00C33D71">
              <w:rPr>
                <w:rFonts w:eastAsia="Times New Roman" w:cstheme="minorHAnsi"/>
                <w:color w:val="000000"/>
              </w:rPr>
              <w:t>15.0*</w:t>
            </w:r>
          </w:p>
          <w:p w14:paraId="7076F1F7" w14:textId="77777777" w:rsidR="00821B82" w:rsidRPr="00C33D71" w:rsidRDefault="00821B82" w:rsidP="00282204">
            <w:pPr>
              <w:spacing w:after="0" w:line="240" w:lineRule="auto"/>
              <w:rPr>
                <w:rFonts w:eastAsia="Times New Roman" w:cstheme="minorHAnsi"/>
                <w:color w:val="000000"/>
              </w:rPr>
            </w:pPr>
          </w:p>
        </w:tc>
      </w:tr>
    </w:tbl>
    <w:p w14:paraId="52EA8BEB" w14:textId="77777777" w:rsidR="00821B82" w:rsidRDefault="00821B82" w:rsidP="00821B82">
      <w:pPr>
        <w:tabs>
          <w:tab w:val="left" w:pos="5690"/>
        </w:tabs>
        <w:rPr>
          <w:rFonts w:eastAsia="Times New Roman" w:cstheme="minorHAnsi"/>
          <w:color w:val="000000"/>
        </w:rPr>
      </w:pPr>
      <w:r w:rsidRPr="00647F04">
        <w:rPr>
          <w:rFonts w:asciiTheme="minorBidi" w:hAnsiTheme="minorBidi"/>
        </w:rPr>
        <w:t xml:space="preserve">* </w:t>
      </w:r>
      <w:r w:rsidRPr="009E52BC">
        <w:rPr>
          <w:rFonts w:eastAsia="Times New Roman" w:cstheme="minorHAnsi"/>
          <w:color w:val="000000"/>
        </w:rPr>
        <w:t>Median was chosen here because the standard deviation was very large from the mean due to the range between minimum value and max value was very large (1000)</w:t>
      </w:r>
    </w:p>
    <w:p w14:paraId="0B0698D5" w14:textId="77777777" w:rsidR="00821B82" w:rsidRPr="009E52BC" w:rsidRDefault="00821B82" w:rsidP="00821B82">
      <w:pPr>
        <w:tabs>
          <w:tab w:val="left" w:pos="5690"/>
        </w:tabs>
        <w:rPr>
          <w:rFonts w:eastAsia="Times New Roman" w:cstheme="minorHAnsi"/>
          <w:color w:val="000000"/>
        </w:rPr>
      </w:pPr>
    </w:p>
    <w:p w14:paraId="1721CA6B" w14:textId="39E498A2" w:rsidR="00821B82" w:rsidRDefault="00821B82" w:rsidP="00821B82">
      <w:pPr>
        <w:pStyle w:val="Caption"/>
        <w:keepNext/>
        <w:rPr>
          <w:sz w:val="24"/>
          <w:szCs w:val="24"/>
        </w:rPr>
      </w:pPr>
      <w:bookmarkStart w:id="176" w:name="_Ref105357236"/>
      <w:bookmarkStart w:id="177" w:name="_Toc153894569"/>
      <w:r w:rsidRPr="002127F8">
        <w:rPr>
          <w:sz w:val="24"/>
          <w:szCs w:val="24"/>
        </w:rPr>
        <w:t xml:space="preserve">Table </w:t>
      </w:r>
      <w:r w:rsidRPr="002127F8">
        <w:rPr>
          <w:sz w:val="24"/>
          <w:szCs w:val="24"/>
        </w:rPr>
        <w:fldChar w:fldCharType="begin"/>
      </w:r>
      <w:r w:rsidRPr="002127F8">
        <w:rPr>
          <w:sz w:val="24"/>
          <w:szCs w:val="24"/>
        </w:rPr>
        <w:instrText xml:space="preserve"> SEQ Table \* ARABIC </w:instrText>
      </w:r>
      <w:r w:rsidRPr="002127F8">
        <w:rPr>
          <w:sz w:val="24"/>
          <w:szCs w:val="24"/>
        </w:rPr>
        <w:fldChar w:fldCharType="separate"/>
      </w:r>
      <w:r w:rsidR="009B31EB">
        <w:rPr>
          <w:noProof/>
          <w:sz w:val="24"/>
          <w:szCs w:val="24"/>
        </w:rPr>
        <w:t>15</w:t>
      </w:r>
      <w:r w:rsidRPr="002127F8">
        <w:rPr>
          <w:sz w:val="24"/>
          <w:szCs w:val="24"/>
        </w:rPr>
        <w:fldChar w:fldCharType="end"/>
      </w:r>
      <w:bookmarkEnd w:id="176"/>
      <w:r w:rsidRPr="002127F8">
        <w:rPr>
          <w:sz w:val="24"/>
          <w:szCs w:val="24"/>
        </w:rPr>
        <w:t>: Average time spent with each diabetic patient by profession</w:t>
      </w:r>
      <w:bookmarkEnd w:id="177"/>
    </w:p>
    <w:tbl>
      <w:tblPr>
        <w:tblStyle w:val="TableGrid"/>
        <w:tblW w:w="9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1678"/>
        <w:gridCol w:w="1836"/>
        <w:gridCol w:w="1795"/>
      </w:tblGrid>
      <w:tr w:rsidR="00821B82" w:rsidRPr="00C33D71" w14:paraId="75CDF9EA" w14:textId="77777777" w:rsidTr="00282204">
        <w:trPr>
          <w:trHeight w:val="566"/>
          <w:jc w:val="center"/>
        </w:trPr>
        <w:tc>
          <w:tcPr>
            <w:tcW w:w="3711" w:type="dxa"/>
            <w:tcBorders>
              <w:bottom w:val="single" w:sz="4" w:space="0" w:color="auto"/>
            </w:tcBorders>
          </w:tcPr>
          <w:p w14:paraId="065F36B4" w14:textId="77777777" w:rsidR="00821B82" w:rsidRPr="00C33D71" w:rsidRDefault="00821B82" w:rsidP="00282204">
            <w:pPr>
              <w:rPr>
                <w:rFonts w:cstheme="minorHAnsi"/>
              </w:rPr>
            </w:pPr>
            <w:r>
              <w:rPr>
                <w:rFonts w:cstheme="minorHAnsi"/>
              </w:rPr>
              <w:t>Profession</w:t>
            </w:r>
          </w:p>
        </w:tc>
        <w:tc>
          <w:tcPr>
            <w:tcW w:w="1678" w:type="dxa"/>
            <w:tcBorders>
              <w:bottom w:val="single" w:sz="4" w:space="0" w:color="auto"/>
            </w:tcBorders>
          </w:tcPr>
          <w:p w14:paraId="0DC243FA" w14:textId="77777777" w:rsidR="00821B82" w:rsidRDefault="00821B82" w:rsidP="00282204">
            <w:pPr>
              <w:jc w:val="center"/>
              <w:rPr>
                <w:rFonts w:cstheme="minorHAnsi"/>
              </w:rPr>
            </w:pPr>
            <w:r w:rsidRPr="00C33D71">
              <w:rPr>
                <w:rFonts w:cstheme="minorHAnsi"/>
              </w:rPr>
              <w:t>Doctor</w:t>
            </w:r>
          </w:p>
          <w:p w14:paraId="70B68437" w14:textId="77777777" w:rsidR="00821B82" w:rsidRPr="00C33D71" w:rsidRDefault="00821B82" w:rsidP="00282204">
            <w:pPr>
              <w:jc w:val="center"/>
              <w:rPr>
                <w:rFonts w:cstheme="minorHAnsi"/>
              </w:rPr>
            </w:pPr>
            <w:r>
              <w:rPr>
                <w:rFonts w:cstheme="minorHAnsi"/>
              </w:rPr>
              <w:t>N=</w:t>
            </w:r>
            <w:r w:rsidRPr="00C33D71">
              <w:rPr>
                <w:rFonts w:cstheme="minorHAnsi"/>
              </w:rPr>
              <w:t>33</w:t>
            </w:r>
          </w:p>
        </w:tc>
        <w:tc>
          <w:tcPr>
            <w:tcW w:w="1836" w:type="dxa"/>
            <w:tcBorders>
              <w:bottom w:val="single" w:sz="4" w:space="0" w:color="auto"/>
            </w:tcBorders>
          </w:tcPr>
          <w:p w14:paraId="24FB2D3D" w14:textId="77777777" w:rsidR="00821B82" w:rsidRDefault="00821B82" w:rsidP="00282204">
            <w:pPr>
              <w:jc w:val="center"/>
              <w:rPr>
                <w:rFonts w:cstheme="minorHAnsi"/>
              </w:rPr>
            </w:pPr>
            <w:r w:rsidRPr="00C33D71">
              <w:rPr>
                <w:rFonts w:cstheme="minorHAnsi"/>
              </w:rPr>
              <w:t>Pharmacist</w:t>
            </w:r>
          </w:p>
          <w:p w14:paraId="53034F5B" w14:textId="77777777" w:rsidR="00821B82" w:rsidRPr="00C33D71" w:rsidRDefault="00821B82" w:rsidP="00282204">
            <w:pPr>
              <w:jc w:val="center"/>
              <w:rPr>
                <w:rFonts w:cstheme="minorHAnsi"/>
              </w:rPr>
            </w:pPr>
            <w:r>
              <w:rPr>
                <w:rFonts w:cstheme="minorHAnsi"/>
              </w:rPr>
              <w:t>N=9</w:t>
            </w:r>
          </w:p>
        </w:tc>
        <w:tc>
          <w:tcPr>
            <w:tcW w:w="1795" w:type="dxa"/>
            <w:tcBorders>
              <w:bottom w:val="single" w:sz="4" w:space="0" w:color="auto"/>
            </w:tcBorders>
          </w:tcPr>
          <w:p w14:paraId="410839DD" w14:textId="77777777" w:rsidR="00821B82" w:rsidRDefault="00821B82" w:rsidP="00282204">
            <w:pPr>
              <w:jc w:val="center"/>
              <w:rPr>
                <w:rFonts w:cstheme="minorHAnsi"/>
              </w:rPr>
            </w:pPr>
            <w:r w:rsidRPr="00C33D71">
              <w:rPr>
                <w:rFonts w:cstheme="minorHAnsi"/>
              </w:rPr>
              <w:t>Nurse</w:t>
            </w:r>
          </w:p>
          <w:p w14:paraId="73A0AB06" w14:textId="77777777" w:rsidR="00821B82" w:rsidRPr="00C33D71" w:rsidRDefault="00821B82" w:rsidP="00282204">
            <w:pPr>
              <w:jc w:val="center"/>
              <w:rPr>
                <w:rFonts w:cstheme="minorHAnsi"/>
              </w:rPr>
            </w:pPr>
            <w:r>
              <w:rPr>
                <w:rFonts w:cstheme="minorHAnsi"/>
              </w:rPr>
              <w:t>N=7</w:t>
            </w:r>
          </w:p>
        </w:tc>
      </w:tr>
      <w:tr w:rsidR="00821B82" w:rsidRPr="00C33D71" w14:paraId="6ED48576" w14:textId="77777777" w:rsidTr="00282204">
        <w:trPr>
          <w:trHeight w:val="296"/>
          <w:jc w:val="center"/>
        </w:trPr>
        <w:tc>
          <w:tcPr>
            <w:tcW w:w="3711" w:type="dxa"/>
            <w:tcBorders>
              <w:top w:val="single" w:sz="4" w:space="0" w:color="auto"/>
            </w:tcBorders>
          </w:tcPr>
          <w:p w14:paraId="79F98635" w14:textId="77777777" w:rsidR="00821B82" w:rsidRDefault="00821B82" w:rsidP="00282204">
            <w:pPr>
              <w:rPr>
                <w:rFonts w:cstheme="minorHAnsi"/>
              </w:rPr>
            </w:pPr>
            <w:r w:rsidRPr="00C33D71">
              <w:rPr>
                <w:rFonts w:cstheme="minorHAnsi"/>
              </w:rPr>
              <w:t>Average Time spent (mins) per patient</w:t>
            </w:r>
          </w:p>
          <w:p w14:paraId="749E975C" w14:textId="77777777" w:rsidR="00821B82" w:rsidRPr="00C33D71" w:rsidRDefault="00821B82" w:rsidP="00282204">
            <w:pPr>
              <w:rPr>
                <w:rFonts w:cstheme="minorHAnsi"/>
              </w:rPr>
            </w:pPr>
          </w:p>
        </w:tc>
        <w:tc>
          <w:tcPr>
            <w:tcW w:w="1678" w:type="dxa"/>
            <w:tcBorders>
              <w:top w:val="single" w:sz="4" w:space="0" w:color="auto"/>
            </w:tcBorders>
          </w:tcPr>
          <w:p w14:paraId="0321AB39" w14:textId="77777777" w:rsidR="00821B82" w:rsidRPr="00C33D71" w:rsidRDefault="00821B82" w:rsidP="00282204">
            <w:pPr>
              <w:jc w:val="center"/>
              <w:rPr>
                <w:rFonts w:cstheme="minorHAnsi"/>
              </w:rPr>
            </w:pPr>
            <w:r w:rsidRPr="00C33D71">
              <w:rPr>
                <w:rFonts w:cstheme="minorHAnsi"/>
              </w:rPr>
              <w:t>19</w:t>
            </w:r>
          </w:p>
        </w:tc>
        <w:tc>
          <w:tcPr>
            <w:tcW w:w="1836" w:type="dxa"/>
            <w:tcBorders>
              <w:top w:val="single" w:sz="4" w:space="0" w:color="auto"/>
            </w:tcBorders>
          </w:tcPr>
          <w:p w14:paraId="3DB2547E" w14:textId="77777777" w:rsidR="00821B82" w:rsidRPr="00C33D71" w:rsidRDefault="00821B82" w:rsidP="00282204">
            <w:pPr>
              <w:jc w:val="center"/>
              <w:rPr>
                <w:rFonts w:cstheme="minorHAnsi"/>
              </w:rPr>
            </w:pPr>
            <w:r w:rsidRPr="00C33D71">
              <w:rPr>
                <w:rFonts w:cstheme="minorHAnsi"/>
              </w:rPr>
              <w:t>15</w:t>
            </w:r>
          </w:p>
        </w:tc>
        <w:tc>
          <w:tcPr>
            <w:tcW w:w="1795" w:type="dxa"/>
            <w:tcBorders>
              <w:top w:val="single" w:sz="4" w:space="0" w:color="auto"/>
            </w:tcBorders>
          </w:tcPr>
          <w:p w14:paraId="7D6034BF" w14:textId="77777777" w:rsidR="00821B82" w:rsidRPr="00C33D71" w:rsidRDefault="00821B82" w:rsidP="00282204">
            <w:pPr>
              <w:jc w:val="center"/>
              <w:rPr>
                <w:rFonts w:cstheme="minorHAnsi"/>
              </w:rPr>
            </w:pPr>
            <w:r w:rsidRPr="00C33D71">
              <w:rPr>
                <w:rFonts w:cstheme="minorHAnsi"/>
              </w:rPr>
              <w:t>23</w:t>
            </w:r>
          </w:p>
        </w:tc>
      </w:tr>
    </w:tbl>
    <w:p w14:paraId="1720F018" w14:textId="77777777" w:rsidR="00821B82" w:rsidRPr="00245B96" w:rsidRDefault="00821B82" w:rsidP="00821B82">
      <w:pPr>
        <w:tabs>
          <w:tab w:val="left" w:pos="1200"/>
        </w:tabs>
        <w:rPr>
          <w:rFonts w:ascii="Verdana" w:hAnsi="Verdana"/>
          <w:sz w:val="20"/>
          <w:szCs w:val="20"/>
        </w:rPr>
        <w:sectPr w:rsidR="00821B82" w:rsidRPr="00245B96" w:rsidSect="00282204">
          <w:pgSz w:w="15840" w:h="12240" w:orient="landscape"/>
          <w:pgMar w:top="1440" w:right="1440" w:bottom="1440" w:left="1440" w:header="720" w:footer="720" w:gutter="0"/>
          <w:cols w:space="720"/>
          <w:docGrid w:linePitch="360"/>
        </w:sectPr>
      </w:pPr>
    </w:p>
    <w:p w14:paraId="65A784A9" w14:textId="77777777" w:rsidR="00821B82" w:rsidRPr="008A2672" w:rsidRDefault="00821B82" w:rsidP="00821B82">
      <w:pPr>
        <w:pStyle w:val="Heading3"/>
        <w:numPr>
          <w:ilvl w:val="2"/>
          <w:numId w:val="14"/>
        </w:numPr>
      </w:pPr>
      <w:bookmarkStart w:id="178" w:name="_Toc122626419"/>
      <w:bookmarkStart w:id="179" w:name="_Toc153894193"/>
      <w:r w:rsidRPr="00EA01B2">
        <w:t>Pharmaceutical Care Services Provided to Patients with Diabetes</w:t>
      </w:r>
      <w:bookmarkEnd w:id="178"/>
      <w:bookmarkEnd w:id="179"/>
    </w:p>
    <w:p w14:paraId="66992D38" w14:textId="4E6B21E0" w:rsidR="00821B82" w:rsidRPr="00684079" w:rsidRDefault="00821B82" w:rsidP="00821B82">
      <w:pPr>
        <w:pStyle w:val="Caption"/>
        <w:spacing w:line="360" w:lineRule="auto"/>
        <w:jc w:val="both"/>
        <w:rPr>
          <w:rFonts w:asciiTheme="minorBidi" w:hAnsiTheme="minorBidi"/>
          <w:i w:val="0"/>
          <w:iCs w:val="0"/>
          <w:color w:val="auto"/>
          <w:sz w:val="24"/>
          <w:szCs w:val="24"/>
        </w:rPr>
      </w:pPr>
      <w:r w:rsidRPr="00684079">
        <w:rPr>
          <w:rFonts w:asciiTheme="minorBidi" w:hAnsiTheme="minorBidi"/>
          <w:i w:val="0"/>
          <w:iCs w:val="0"/>
          <w:color w:val="auto"/>
          <w:sz w:val="24"/>
          <w:szCs w:val="24"/>
        </w:rPr>
        <w:t xml:space="preserve">This section </w:t>
      </w:r>
      <w:r w:rsidR="0073351B" w:rsidRPr="0073351B">
        <w:rPr>
          <w:rFonts w:asciiTheme="minorBidi" w:hAnsiTheme="minorBidi"/>
          <w:i w:val="0"/>
          <w:iCs w:val="0"/>
          <w:color w:val="auto"/>
          <w:sz w:val="24"/>
          <w:szCs w:val="24"/>
          <w:lang w:val="en-GB"/>
        </w:rPr>
        <w:t>summarises</w:t>
      </w:r>
      <w:r w:rsidR="00072973">
        <w:rPr>
          <w:rFonts w:asciiTheme="minorBidi" w:hAnsiTheme="minorBidi"/>
          <w:i w:val="0"/>
          <w:iCs w:val="0"/>
          <w:color w:val="auto"/>
          <w:sz w:val="24"/>
          <w:szCs w:val="24"/>
        </w:rPr>
        <w:t xml:space="preserve"> the services </w:t>
      </w:r>
      <w:r w:rsidRPr="00684079">
        <w:rPr>
          <w:rFonts w:asciiTheme="minorBidi" w:hAnsiTheme="minorBidi"/>
          <w:i w:val="0"/>
          <w:iCs w:val="0"/>
          <w:color w:val="auto"/>
          <w:sz w:val="24"/>
          <w:szCs w:val="24"/>
        </w:rPr>
        <w:t xml:space="preserve">provided by primary care pharmacists in </w:t>
      </w:r>
      <w:r>
        <w:rPr>
          <w:rFonts w:asciiTheme="minorBidi" w:hAnsiTheme="minorBidi"/>
          <w:i w:val="0"/>
          <w:iCs w:val="0"/>
          <w:color w:val="auto"/>
          <w:sz w:val="24"/>
          <w:szCs w:val="24"/>
        </w:rPr>
        <w:t>SA</w:t>
      </w:r>
      <w:r w:rsidRPr="00684079">
        <w:rPr>
          <w:rFonts w:asciiTheme="minorBidi" w:hAnsiTheme="minorBidi"/>
          <w:i w:val="0"/>
          <w:iCs w:val="0"/>
          <w:color w:val="auto"/>
          <w:sz w:val="24"/>
          <w:szCs w:val="24"/>
        </w:rPr>
        <w:t>. Pharmacists were asked to report the frequency with which they undertook certain activities. The most frequently undertaken activities were preparing and dispensing prescriptions, verification of prescriptions and patient counselling and education, with nearly half of respondents declaring that these were always undertaken (47%, 43%and 43%, respectively</w:t>
      </w:r>
      <w:r>
        <w:rPr>
          <w:rFonts w:asciiTheme="minorBidi" w:hAnsiTheme="minorBidi"/>
          <w:i w:val="0"/>
          <w:iCs w:val="0"/>
          <w:color w:val="auto"/>
          <w:sz w:val="24"/>
          <w:szCs w:val="24"/>
        </w:rPr>
        <w:t>;</w:t>
      </w:r>
      <w:r w:rsidR="000507B7">
        <w:rPr>
          <w:rFonts w:asciiTheme="minorBidi" w:hAnsiTheme="minorBidi"/>
          <w:i w:val="0"/>
          <w:iCs w:val="0"/>
          <w:color w:val="auto"/>
          <w:sz w:val="24"/>
          <w:szCs w:val="24"/>
        </w:rPr>
        <w:t xml:space="preserve"> </w:t>
      </w:r>
      <w:r w:rsidR="000507B7">
        <w:rPr>
          <w:rFonts w:asciiTheme="minorBidi" w:hAnsiTheme="minorBidi"/>
          <w:i w:val="0"/>
          <w:iCs w:val="0"/>
          <w:color w:val="auto"/>
          <w:sz w:val="24"/>
          <w:szCs w:val="24"/>
        </w:rPr>
        <w:fldChar w:fldCharType="begin"/>
      </w:r>
      <w:r w:rsidR="000507B7">
        <w:rPr>
          <w:rFonts w:asciiTheme="minorBidi" w:hAnsiTheme="minorBidi"/>
          <w:i w:val="0"/>
          <w:iCs w:val="0"/>
          <w:color w:val="auto"/>
          <w:sz w:val="24"/>
          <w:szCs w:val="24"/>
        </w:rPr>
        <w:instrText xml:space="preserve"> REF _Ref148518960 \h </w:instrText>
      </w:r>
      <w:r w:rsidR="004C48A8">
        <w:rPr>
          <w:rFonts w:asciiTheme="minorBidi" w:hAnsiTheme="minorBidi"/>
          <w:i w:val="0"/>
          <w:iCs w:val="0"/>
          <w:color w:val="auto"/>
          <w:sz w:val="24"/>
          <w:szCs w:val="24"/>
        </w:rPr>
        <w:instrText xml:space="preserve"> \* MERGEFORMAT </w:instrText>
      </w:r>
      <w:r w:rsidR="000507B7">
        <w:rPr>
          <w:rFonts w:asciiTheme="minorBidi" w:hAnsiTheme="minorBidi"/>
          <w:i w:val="0"/>
          <w:iCs w:val="0"/>
          <w:color w:val="auto"/>
          <w:sz w:val="24"/>
          <w:szCs w:val="24"/>
        </w:rPr>
      </w:r>
      <w:r w:rsidR="000507B7">
        <w:rPr>
          <w:rFonts w:asciiTheme="minorBidi" w:hAnsiTheme="minorBidi"/>
          <w:i w:val="0"/>
          <w:iCs w:val="0"/>
          <w:color w:val="auto"/>
          <w:sz w:val="24"/>
          <w:szCs w:val="24"/>
        </w:rPr>
        <w:fldChar w:fldCharType="separate"/>
      </w:r>
      <w:r w:rsidR="000507B7" w:rsidRPr="004C48A8">
        <w:rPr>
          <w:rFonts w:asciiTheme="minorBidi" w:hAnsiTheme="minorBidi"/>
          <w:i w:val="0"/>
          <w:iCs w:val="0"/>
          <w:color w:val="auto"/>
          <w:sz w:val="24"/>
          <w:szCs w:val="24"/>
        </w:rPr>
        <w:t>Figure 2</w:t>
      </w:r>
      <w:r w:rsidR="000507B7">
        <w:rPr>
          <w:rFonts w:asciiTheme="minorBidi" w:hAnsiTheme="minorBidi"/>
          <w:i w:val="0"/>
          <w:iCs w:val="0"/>
          <w:color w:val="auto"/>
          <w:sz w:val="24"/>
          <w:szCs w:val="24"/>
        </w:rPr>
        <w:fldChar w:fldCharType="end"/>
      </w:r>
      <w:r w:rsidRPr="008E26D6">
        <w:rPr>
          <w:rFonts w:asciiTheme="minorBidi" w:hAnsiTheme="minorBidi"/>
          <w:i w:val="0"/>
          <w:iCs w:val="0"/>
          <w:color w:val="auto"/>
          <w:sz w:val="24"/>
          <w:szCs w:val="24"/>
        </w:rPr>
        <w:t>)</w:t>
      </w:r>
      <w:r>
        <w:rPr>
          <w:rFonts w:asciiTheme="minorBidi" w:hAnsiTheme="minorBidi"/>
          <w:i w:val="0"/>
          <w:iCs w:val="0"/>
          <w:color w:val="auto"/>
          <w:sz w:val="24"/>
          <w:szCs w:val="24"/>
        </w:rPr>
        <w:t xml:space="preserve"> </w:t>
      </w:r>
      <w:r w:rsidRPr="00684079">
        <w:rPr>
          <w:rFonts w:asciiTheme="minorBidi" w:hAnsiTheme="minorBidi"/>
          <w:i w:val="0"/>
          <w:iCs w:val="0"/>
          <w:color w:val="auto"/>
          <w:sz w:val="24"/>
          <w:szCs w:val="24"/>
        </w:rPr>
        <w:t xml:space="preserve">The least reported activity was the independent prescribing of diabetic medication, with half of the participants stating that they had never done this. </w:t>
      </w:r>
    </w:p>
    <w:p w14:paraId="450621B4" w14:textId="55519973" w:rsidR="00760BAD" w:rsidRPr="00E15B42" w:rsidRDefault="00760BAD" w:rsidP="00821B82">
      <w:pPr>
        <w:spacing w:after="0" w:line="360" w:lineRule="auto"/>
        <w:jc w:val="both"/>
        <w:rPr>
          <w:rFonts w:ascii="Arial" w:hAnsi="Arial" w:cs="Arial"/>
          <w:sz w:val="24"/>
          <w:szCs w:val="24"/>
        </w:rPr>
      </w:pPr>
      <w:r w:rsidRPr="00E15B42">
        <w:rPr>
          <w:rFonts w:ascii="Arial" w:hAnsi="Arial" w:cs="Arial"/>
          <w:sz w:val="24"/>
          <w:szCs w:val="24"/>
          <w:shd w:val="clear" w:color="auto" w:fill="FAFAFA"/>
        </w:rPr>
        <w:t xml:space="preserve">When comparing the self-reported amount of prescribing by pharmacists, it was evident that independent prescribing (that is, prescribing which did not involve a doctor directly in the prescribing process) was undertaken less often than dependent prescribing (which does require the continued involvement of a doctor). Independent prescribing was rarely or never undertaken by over two thirds (67%) of respondent pharmacists, compared to just over a third (36%) who reported rarely or never using dependent prescribing. </w:t>
      </w:r>
    </w:p>
    <w:p w14:paraId="555F1F7D" w14:textId="77777777" w:rsidR="00821B82" w:rsidRDefault="00821B82" w:rsidP="00821B82">
      <w:pPr>
        <w:spacing w:after="0" w:line="360" w:lineRule="auto"/>
        <w:jc w:val="both"/>
        <w:rPr>
          <w:rFonts w:asciiTheme="minorBidi" w:hAnsiTheme="minorBidi"/>
          <w:sz w:val="24"/>
          <w:szCs w:val="24"/>
        </w:rPr>
      </w:pPr>
    </w:p>
    <w:p w14:paraId="3D47E237" w14:textId="234E6312" w:rsidR="00821B82" w:rsidRPr="00611710" w:rsidRDefault="00821B82" w:rsidP="00821B82">
      <w:pPr>
        <w:spacing w:after="0" w:line="360" w:lineRule="auto"/>
        <w:jc w:val="both"/>
        <w:rPr>
          <w:rFonts w:asciiTheme="minorBidi" w:hAnsiTheme="minorBidi"/>
          <w:sz w:val="24"/>
          <w:szCs w:val="24"/>
        </w:rPr>
      </w:pPr>
      <w:r w:rsidRPr="00611710">
        <w:rPr>
          <w:rFonts w:asciiTheme="minorBidi" w:hAnsiTheme="minorBidi"/>
          <w:sz w:val="24"/>
          <w:szCs w:val="24"/>
        </w:rPr>
        <w:t>What stands out in</w:t>
      </w:r>
      <w:r>
        <w:rPr>
          <w:rFonts w:asciiTheme="minorBidi" w:hAnsiTheme="minorBidi"/>
          <w:sz w:val="24"/>
          <w:szCs w:val="24"/>
        </w:rPr>
        <w:t xml:space="preserve"> </w:t>
      </w:r>
      <w:r w:rsidR="004C48A8">
        <w:rPr>
          <w:rFonts w:asciiTheme="minorBidi" w:hAnsiTheme="minorBidi"/>
          <w:i/>
          <w:iCs/>
          <w:sz w:val="24"/>
          <w:szCs w:val="24"/>
        </w:rPr>
        <w:fldChar w:fldCharType="begin"/>
      </w:r>
      <w:r w:rsidR="004C48A8">
        <w:rPr>
          <w:rFonts w:asciiTheme="minorBidi" w:hAnsiTheme="minorBidi"/>
          <w:i/>
          <w:iCs/>
          <w:sz w:val="24"/>
          <w:szCs w:val="24"/>
        </w:rPr>
        <w:instrText xml:space="preserve"> REF _Ref148518960 \h  \* MERGEFORMAT </w:instrText>
      </w:r>
      <w:r w:rsidR="004C48A8">
        <w:rPr>
          <w:rFonts w:asciiTheme="minorBidi" w:hAnsiTheme="minorBidi"/>
          <w:i/>
          <w:iCs/>
          <w:sz w:val="24"/>
          <w:szCs w:val="24"/>
        </w:rPr>
      </w:r>
      <w:r w:rsidR="004C48A8">
        <w:rPr>
          <w:rFonts w:asciiTheme="minorBidi" w:hAnsiTheme="minorBidi"/>
          <w:i/>
          <w:iCs/>
          <w:sz w:val="24"/>
          <w:szCs w:val="24"/>
        </w:rPr>
        <w:fldChar w:fldCharType="separate"/>
      </w:r>
      <w:r w:rsidR="004C48A8" w:rsidRPr="004C48A8">
        <w:rPr>
          <w:rFonts w:asciiTheme="minorBidi" w:hAnsiTheme="minorBidi"/>
          <w:i/>
          <w:iCs/>
          <w:sz w:val="24"/>
          <w:szCs w:val="24"/>
        </w:rPr>
        <w:t>Figure 2</w:t>
      </w:r>
      <w:r w:rsidR="004C48A8">
        <w:rPr>
          <w:rFonts w:asciiTheme="minorBidi" w:hAnsiTheme="minorBidi"/>
          <w:i/>
          <w:iCs/>
          <w:sz w:val="24"/>
          <w:szCs w:val="24"/>
        </w:rPr>
        <w:fldChar w:fldCharType="end"/>
      </w:r>
      <w:r w:rsidRPr="00611710">
        <w:rPr>
          <w:rFonts w:asciiTheme="minorBidi" w:hAnsiTheme="minorBidi"/>
          <w:sz w:val="24"/>
          <w:szCs w:val="24"/>
        </w:rPr>
        <w:t xml:space="preserve"> is </w:t>
      </w:r>
      <w:r w:rsidRPr="000F2E23">
        <w:rPr>
          <w:rFonts w:asciiTheme="minorBidi" w:hAnsiTheme="minorBidi"/>
          <w:sz w:val="24"/>
          <w:szCs w:val="24"/>
        </w:rPr>
        <w:t xml:space="preserve">that primary care pharmacists in </w:t>
      </w:r>
      <w:r>
        <w:rPr>
          <w:rFonts w:asciiTheme="minorBidi" w:hAnsiTheme="minorBidi"/>
          <w:sz w:val="24"/>
          <w:szCs w:val="24"/>
        </w:rPr>
        <w:t>SA</w:t>
      </w:r>
      <w:r w:rsidRPr="000F2E23">
        <w:rPr>
          <w:rFonts w:asciiTheme="minorBidi" w:hAnsiTheme="minorBidi"/>
          <w:sz w:val="24"/>
          <w:szCs w:val="24"/>
        </w:rPr>
        <w:t xml:space="preserve"> regularly provide traditional pharmacy services to </w:t>
      </w:r>
      <w:r>
        <w:rPr>
          <w:rFonts w:asciiTheme="minorBidi" w:hAnsiTheme="minorBidi"/>
          <w:sz w:val="24"/>
          <w:szCs w:val="24"/>
        </w:rPr>
        <w:t>patients with diabetes. T</w:t>
      </w:r>
      <w:r w:rsidRPr="00FA3A77">
        <w:rPr>
          <w:rFonts w:asciiTheme="minorBidi" w:hAnsiTheme="minorBidi"/>
          <w:sz w:val="24"/>
          <w:szCs w:val="24"/>
        </w:rPr>
        <w:t xml:space="preserve">hey also </w:t>
      </w:r>
      <w:r>
        <w:rPr>
          <w:rFonts w:asciiTheme="minorBidi" w:hAnsiTheme="minorBidi"/>
          <w:sz w:val="24"/>
          <w:szCs w:val="24"/>
        </w:rPr>
        <w:t xml:space="preserve">occasionally </w:t>
      </w:r>
      <w:r w:rsidRPr="00FA3A77">
        <w:rPr>
          <w:rFonts w:asciiTheme="minorBidi" w:hAnsiTheme="minorBidi"/>
          <w:sz w:val="24"/>
          <w:szCs w:val="24"/>
        </w:rPr>
        <w:t xml:space="preserve">provide some </w:t>
      </w:r>
      <w:r>
        <w:rPr>
          <w:rFonts w:asciiTheme="minorBidi" w:hAnsiTheme="minorBidi"/>
          <w:sz w:val="24"/>
          <w:szCs w:val="24"/>
        </w:rPr>
        <w:t xml:space="preserve">clinical </w:t>
      </w:r>
      <w:r w:rsidRPr="00FA3A77">
        <w:rPr>
          <w:rFonts w:asciiTheme="minorBidi" w:hAnsiTheme="minorBidi"/>
          <w:sz w:val="24"/>
          <w:szCs w:val="24"/>
        </w:rPr>
        <w:t>services</w:t>
      </w:r>
      <w:r>
        <w:rPr>
          <w:rFonts w:asciiTheme="minorBidi" w:hAnsiTheme="minorBidi"/>
          <w:sz w:val="24"/>
          <w:szCs w:val="24"/>
        </w:rPr>
        <w:t>.</w:t>
      </w:r>
      <w:r w:rsidRPr="00FA3A77">
        <w:rPr>
          <w:rFonts w:asciiTheme="minorBidi" w:hAnsiTheme="minorBidi"/>
          <w:sz w:val="24"/>
          <w:szCs w:val="24"/>
        </w:rPr>
        <w:t xml:space="preserve"> </w:t>
      </w:r>
      <w:r>
        <w:rPr>
          <w:rFonts w:asciiTheme="minorBidi" w:hAnsiTheme="minorBidi"/>
          <w:sz w:val="24"/>
          <w:szCs w:val="24"/>
        </w:rPr>
        <w:t>F</w:t>
      </w:r>
      <w:r w:rsidRPr="00FA3A77">
        <w:rPr>
          <w:rFonts w:asciiTheme="minorBidi" w:hAnsiTheme="minorBidi"/>
          <w:sz w:val="24"/>
          <w:szCs w:val="24"/>
        </w:rPr>
        <w:t>or example,</w:t>
      </w:r>
      <w:r w:rsidR="009B7BE4">
        <w:rPr>
          <w:rFonts w:asciiTheme="minorBidi" w:hAnsiTheme="minorBidi"/>
          <w:sz w:val="24"/>
          <w:szCs w:val="24"/>
        </w:rPr>
        <w:t xml:space="preserve"> </w:t>
      </w:r>
      <w:r w:rsidR="009B7BE4">
        <w:rPr>
          <w:rFonts w:asciiTheme="minorBidi" w:hAnsiTheme="minorBidi"/>
          <w:i/>
          <w:iCs/>
          <w:sz w:val="24"/>
          <w:szCs w:val="24"/>
        </w:rPr>
        <w:fldChar w:fldCharType="begin"/>
      </w:r>
      <w:r w:rsidR="009B7BE4">
        <w:rPr>
          <w:rFonts w:asciiTheme="minorBidi" w:hAnsiTheme="minorBidi"/>
          <w:i/>
          <w:iCs/>
          <w:sz w:val="24"/>
          <w:szCs w:val="24"/>
        </w:rPr>
        <w:instrText xml:space="preserve"> REF _Ref148518960 \h  \* MERGEFORMAT </w:instrText>
      </w:r>
      <w:r w:rsidR="009B7BE4">
        <w:rPr>
          <w:rFonts w:asciiTheme="minorBidi" w:hAnsiTheme="minorBidi"/>
          <w:i/>
          <w:iCs/>
          <w:sz w:val="24"/>
          <w:szCs w:val="24"/>
        </w:rPr>
      </w:r>
      <w:r w:rsidR="009B7BE4">
        <w:rPr>
          <w:rFonts w:asciiTheme="minorBidi" w:hAnsiTheme="minorBidi"/>
          <w:i/>
          <w:iCs/>
          <w:sz w:val="24"/>
          <w:szCs w:val="24"/>
        </w:rPr>
        <w:fldChar w:fldCharType="separate"/>
      </w:r>
      <w:r w:rsidR="009B7BE4" w:rsidRPr="004C48A8">
        <w:rPr>
          <w:rFonts w:asciiTheme="minorBidi" w:hAnsiTheme="minorBidi"/>
          <w:i/>
          <w:iCs/>
          <w:sz w:val="24"/>
          <w:szCs w:val="24"/>
        </w:rPr>
        <w:t>Figure 2</w:t>
      </w:r>
      <w:r w:rsidR="009B7BE4">
        <w:rPr>
          <w:rFonts w:asciiTheme="minorBidi" w:hAnsiTheme="minorBidi"/>
          <w:i/>
          <w:iCs/>
          <w:sz w:val="24"/>
          <w:szCs w:val="24"/>
        </w:rPr>
        <w:fldChar w:fldCharType="end"/>
      </w:r>
      <w:r w:rsidR="009B7BE4" w:rsidRPr="00611710">
        <w:rPr>
          <w:rFonts w:asciiTheme="minorBidi" w:hAnsiTheme="minorBidi"/>
          <w:sz w:val="24"/>
          <w:szCs w:val="24"/>
        </w:rPr>
        <w:t xml:space="preserve"> </w:t>
      </w:r>
      <w:r w:rsidR="009B7BE4">
        <w:rPr>
          <w:rFonts w:asciiTheme="minorBidi" w:hAnsiTheme="minorBidi"/>
          <w:sz w:val="24"/>
          <w:szCs w:val="24"/>
        </w:rPr>
        <w:t>shows that</w:t>
      </w:r>
      <w:r w:rsidRPr="00FA3A77">
        <w:rPr>
          <w:rFonts w:asciiTheme="minorBidi" w:hAnsiTheme="minorBidi"/>
          <w:sz w:val="24"/>
          <w:szCs w:val="24"/>
        </w:rPr>
        <w:t xml:space="preserve"> </w:t>
      </w:r>
      <w:r w:rsidR="009B7BE4">
        <w:rPr>
          <w:rFonts w:asciiTheme="minorBidi" w:hAnsiTheme="minorBidi"/>
          <w:sz w:val="24"/>
          <w:szCs w:val="24"/>
        </w:rPr>
        <w:t>pharmacists</w:t>
      </w:r>
      <w:r w:rsidR="009B7BE4" w:rsidRPr="00FA3A77">
        <w:rPr>
          <w:rFonts w:asciiTheme="minorBidi" w:hAnsiTheme="minorBidi"/>
          <w:sz w:val="24"/>
          <w:szCs w:val="24"/>
        </w:rPr>
        <w:t xml:space="preserve"> </w:t>
      </w:r>
      <w:r w:rsidRPr="00FA3A77">
        <w:rPr>
          <w:rFonts w:asciiTheme="minorBidi" w:hAnsiTheme="minorBidi"/>
          <w:sz w:val="24"/>
          <w:szCs w:val="24"/>
        </w:rPr>
        <w:t>often offer hypoglycemia management service</w:t>
      </w:r>
      <w:r>
        <w:rPr>
          <w:rFonts w:asciiTheme="minorBidi" w:hAnsiTheme="minorBidi"/>
          <w:sz w:val="24"/>
          <w:szCs w:val="24"/>
        </w:rPr>
        <w:t>s</w:t>
      </w:r>
      <w:r w:rsidRPr="00FA3A77">
        <w:rPr>
          <w:rFonts w:asciiTheme="minorBidi" w:hAnsiTheme="minorBidi"/>
          <w:sz w:val="24"/>
          <w:szCs w:val="24"/>
        </w:rPr>
        <w:t xml:space="preserve">. </w:t>
      </w:r>
      <w:r w:rsidR="005D0FD4">
        <w:rPr>
          <w:rFonts w:asciiTheme="minorBidi" w:hAnsiTheme="minorBidi"/>
          <w:i/>
          <w:iCs/>
          <w:sz w:val="24"/>
          <w:szCs w:val="24"/>
        </w:rPr>
        <w:fldChar w:fldCharType="begin"/>
      </w:r>
      <w:r w:rsidR="005D0FD4">
        <w:rPr>
          <w:rFonts w:asciiTheme="minorBidi" w:hAnsiTheme="minorBidi"/>
          <w:i/>
          <w:iCs/>
          <w:sz w:val="24"/>
          <w:szCs w:val="24"/>
        </w:rPr>
        <w:instrText xml:space="preserve"> REF _Ref148518960 \h  \* MERGEFORMAT </w:instrText>
      </w:r>
      <w:r w:rsidR="005D0FD4">
        <w:rPr>
          <w:rFonts w:asciiTheme="minorBidi" w:hAnsiTheme="minorBidi"/>
          <w:i/>
          <w:iCs/>
          <w:sz w:val="24"/>
          <w:szCs w:val="24"/>
        </w:rPr>
      </w:r>
      <w:r w:rsidR="005D0FD4">
        <w:rPr>
          <w:rFonts w:asciiTheme="minorBidi" w:hAnsiTheme="minorBidi"/>
          <w:i/>
          <w:iCs/>
          <w:sz w:val="24"/>
          <w:szCs w:val="24"/>
        </w:rPr>
        <w:fldChar w:fldCharType="separate"/>
      </w:r>
      <w:r w:rsidR="005D0FD4" w:rsidRPr="004C48A8">
        <w:rPr>
          <w:rFonts w:asciiTheme="minorBidi" w:hAnsiTheme="minorBidi"/>
          <w:i/>
          <w:iCs/>
          <w:sz w:val="24"/>
          <w:szCs w:val="24"/>
        </w:rPr>
        <w:t>Figure 2</w:t>
      </w:r>
      <w:r w:rsidR="005D0FD4">
        <w:rPr>
          <w:rFonts w:asciiTheme="minorBidi" w:hAnsiTheme="minorBidi"/>
          <w:i/>
          <w:iCs/>
          <w:sz w:val="24"/>
          <w:szCs w:val="24"/>
        </w:rPr>
        <w:fldChar w:fldCharType="end"/>
      </w:r>
      <w:r w:rsidR="005D0FD4" w:rsidRPr="00611710">
        <w:rPr>
          <w:rFonts w:asciiTheme="minorBidi" w:hAnsiTheme="minorBidi"/>
          <w:sz w:val="24"/>
          <w:szCs w:val="24"/>
        </w:rPr>
        <w:t xml:space="preserve"> </w:t>
      </w:r>
      <w:r w:rsidR="005D0FD4">
        <w:rPr>
          <w:rFonts w:asciiTheme="minorBidi" w:hAnsiTheme="minorBidi"/>
          <w:sz w:val="24"/>
          <w:szCs w:val="24"/>
        </w:rPr>
        <w:t>also shows</w:t>
      </w:r>
      <w:r w:rsidR="005D0FD4" w:rsidRPr="00FA3A77">
        <w:rPr>
          <w:rFonts w:asciiTheme="minorBidi" w:hAnsiTheme="minorBidi"/>
          <w:sz w:val="24"/>
          <w:szCs w:val="24"/>
        </w:rPr>
        <w:t xml:space="preserve"> </w:t>
      </w:r>
      <w:r w:rsidR="005D0FD4">
        <w:rPr>
          <w:rFonts w:asciiTheme="minorBidi" w:hAnsiTheme="minorBidi"/>
          <w:sz w:val="24"/>
          <w:szCs w:val="24"/>
        </w:rPr>
        <w:t>that t</w:t>
      </w:r>
      <w:r w:rsidRPr="00FA3A77">
        <w:rPr>
          <w:rFonts w:asciiTheme="minorBidi" w:hAnsiTheme="minorBidi"/>
          <w:sz w:val="24"/>
          <w:szCs w:val="24"/>
        </w:rPr>
        <w:t xml:space="preserve">hey </w:t>
      </w:r>
      <w:r>
        <w:rPr>
          <w:rFonts w:asciiTheme="minorBidi" w:hAnsiTheme="minorBidi"/>
          <w:sz w:val="24"/>
          <w:szCs w:val="24"/>
        </w:rPr>
        <w:t xml:space="preserve">sometimes </w:t>
      </w:r>
      <w:r w:rsidRPr="00FA3A77">
        <w:rPr>
          <w:rFonts w:asciiTheme="minorBidi" w:hAnsiTheme="minorBidi"/>
          <w:sz w:val="24"/>
          <w:szCs w:val="24"/>
        </w:rPr>
        <w:t>provide other clinical activities</w:t>
      </w:r>
      <w:r>
        <w:rPr>
          <w:rFonts w:asciiTheme="minorBidi" w:hAnsiTheme="minorBidi"/>
          <w:sz w:val="24"/>
          <w:szCs w:val="24"/>
        </w:rPr>
        <w:t xml:space="preserve"> such as </w:t>
      </w:r>
      <w:r w:rsidRPr="00FA3A77">
        <w:rPr>
          <w:rFonts w:asciiTheme="minorBidi" w:hAnsiTheme="minorBidi"/>
          <w:sz w:val="24"/>
          <w:szCs w:val="24"/>
        </w:rPr>
        <w:t>medication therapy management, medication review, blood glucose monitoring,</w:t>
      </w:r>
      <w:r>
        <w:rPr>
          <w:rFonts w:asciiTheme="minorBidi" w:hAnsiTheme="minorBidi"/>
          <w:sz w:val="24"/>
          <w:szCs w:val="24"/>
        </w:rPr>
        <w:t xml:space="preserve"> </w:t>
      </w:r>
      <w:r w:rsidRPr="00FA3A77">
        <w:rPr>
          <w:rFonts w:asciiTheme="minorBidi" w:hAnsiTheme="minorBidi"/>
          <w:sz w:val="24"/>
          <w:szCs w:val="24"/>
        </w:rPr>
        <w:t>co-morbid disease</w:t>
      </w:r>
      <w:r>
        <w:rPr>
          <w:rFonts w:asciiTheme="minorBidi" w:hAnsiTheme="minorBidi"/>
          <w:sz w:val="24"/>
          <w:szCs w:val="24"/>
        </w:rPr>
        <w:t xml:space="preserve"> education,</w:t>
      </w:r>
      <w:r w:rsidRPr="00FA3A77">
        <w:rPr>
          <w:rFonts w:asciiTheme="minorBidi" w:hAnsiTheme="minorBidi"/>
          <w:sz w:val="24"/>
          <w:szCs w:val="24"/>
        </w:rPr>
        <w:t xml:space="preserve"> co-morbid disease medication management, healthy lifestyle education</w:t>
      </w:r>
      <w:r>
        <w:rPr>
          <w:rFonts w:asciiTheme="minorBidi" w:hAnsiTheme="minorBidi"/>
          <w:sz w:val="24"/>
          <w:szCs w:val="24"/>
        </w:rPr>
        <w:t xml:space="preserve">, and dependent prescribing of diabetes medication. </w:t>
      </w:r>
    </w:p>
    <w:p w14:paraId="09BE2FBA" w14:textId="77777777" w:rsidR="00821B82" w:rsidRDefault="00821B82" w:rsidP="00821B82">
      <w:pPr>
        <w:spacing w:after="0" w:line="360" w:lineRule="auto"/>
        <w:jc w:val="both"/>
        <w:rPr>
          <w:rFonts w:asciiTheme="minorBidi" w:hAnsiTheme="minorBidi"/>
          <w:sz w:val="24"/>
          <w:szCs w:val="24"/>
        </w:rPr>
      </w:pPr>
    </w:p>
    <w:p w14:paraId="60399A95" w14:textId="77777777" w:rsidR="00821B82" w:rsidRPr="00B84747" w:rsidRDefault="00821B82" w:rsidP="00821B82">
      <w:pPr>
        <w:spacing w:after="0" w:line="360" w:lineRule="auto"/>
        <w:jc w:val="both"/>
        <w:rPr>
          <w:rFonts w:asciiTheme="minorBidi" w:hAnsiTheme="minorBidi"/>
          <w:sz w:val="24"/>
          <w:szCs w:val="24"/>
        </w:rPr>
        <w:sectPr w:rsidR="00821B82" w:rsidRPr="00B84747">
          <w:pgSz w:w="12240" w:h="15840"/>
          <w:pgMar w:top="1440" w:right="1440" w:bottom="1440" w:left="1440" w:header="720" w:footer="720" w:gutter="0"/>
          <w:cols w:space="720"/>
          <w:docGrid w:linePitch="360"/>
        </w:sectPr>
      </w:pPr>
      <w:r>
        <w:rPr>
          <w:rFonts w:asciiTheme="minorBidi" w:hAnsiTheme="minorBidi"/>
          <w:sz w:val="24"/>
          <w:szCs w:val="24"/>
        </w:rPr>
        <w:t xml:space="preserve">More details are attached in </w:t>
      </w:r>
      <w:r>
        <w:rPr>
          <w:rFonts w:asciiTheme="minorBidi" w:hAnsiTheme="minorBidi"/>
          <w:sz w:val="24"/>
          <w:szCs w:val="24"/>
        </w:rPr>
        <w:fldChar w:fldCharType="begin"/>
      </w:r>
      <w:r>
        <w:rPr>
          <w:rFonts w:asciiTheme="minorBidi" w:hAnsiTheme="minorBidi"/>
          <w:sz w:val="24"/>
          <w:szCs w:val="24"/>
        </w:rPr>
        <w:instrText xml:space="preserve"> REF _Ref126845521 \h  \* MERGEFORMAT </w:instrText>
      </w:r>
      <w:r>
        <w:rPr>
          <w:rFonts w:asciiTheme="minorBidi" w:hAnsiTheme="minorBidi"/>
          <w:sz w:val="24"/>
          <w:szCs w:val="24"/>
        </w:rPr>
      </w:r>
      <w:r>
        <w:rPr>
          <w:rFonts w:asciiTheme="minorBidi" w:hAnsiTheme="minorBidi"/>
          <w:sz w:val="24"/>
          <w:szCs w:val="24"/>
        </w:rPr>
        <w:fldChar w:fldCharType="separate"/>
      </w:r>
      <w:r w:rsidRPr="00B84747">
        <w:rPr>
          <w:rFonts w:asciiTheme="minorBidi" w:hAnsiTheme="minorBidi"/>
          <w:color w:val="1F3864" w:themeColor="accent1" w:themeShade="80"/>
          <w:sz w:val="24"/>
          <w:szCs w:val="24"/>
        </w:rPr>
        <w:t>Appendix P</w:t>
      </w:r>
      <w:r>
        <w:rPr>
          <w:rFonts w:asciiTheme="minorBidi" w:hAnsiTheme="minorBidi"/>
          <w:sz w:val="24"/>
          <w:szCs w:val="24"/>
        </w:rPr>
        <w:t>.</w:t>
      </w:r>
      <w:r>
        <w:rPr>
          <w:rFonts w:asciiTheme="minorBidi" w:hAnsiTheme="minorBidi"/>
          <w:sz w:val="24"/>
          <w:szCs w:val="24"/>
        </w:rPr>
        <w:fldChar w:fldCharType="end"/>
      </w:r>
    </w:p>
    <w:p w14:paraId="1CEC1FD2" w14:textId="77777777" w:rsidR="00821B82" w:rsidRDefault="00821B82" w:rsidP="00821B82"/>
    <w:p w14:paraId="298D7F07" w14:textId="77777777" w:rsidR="00821B82" w:rsidRDefault="00821B82" w:rsidP="00821B82">
      <w:r>
        <w:rPr>
          <w:noProof/>
        </w:rPr>
        <w:drawing>
          <wp:inline distT="0" distB="0" distL="0" distR="0" wp14:anchorId="338C6E90" wp14:editId="2D7A5564">
            <wp:extent cx="8229600" cy="5132187"/>
            <wp:effectExtent l="0" t="0" r="0" b="11430"/>
            <wp:docPr id="27" name="Chart 27">
              <a:extLst xmlns:a="http://schemas.openxmlformats.org/drawingml/2006/main">
                <a:ext uri="{FF2B5EF4-FFF2-40B4-BE49-F238E27FC236}">
                  <a16:creationId xmlns:a16="http://schemas.microsoft.com/office/drawing/2014/main" id="{EE3D6910-4849-2BEF-9366-1E63D8266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4EEAD0" w14:textId="74D83DA7" w:rsidR="00821B82" w:rsidRDefault="00821B82" w:rsidP="000507B7">
      <w:pPr>
        <w:pStyle w:val="Caption"/>
      </w:pPr>
      <w:r>
        <w:rPr>
          <w:noProof/>
        </w:rPr>
        <w:tab/>
      </w:r>
      <w:bookmarkStart w:id="180" w:name="_Ref148518960"/>
      <w:bookmarkStart w:id="181" w:name="_Toc153894790"/>
      <w:r w:rsidR="000507B7">
        <w:t xml:space="preserve">Figure </w:t>
      </w:r>
      <w:fldSimple w:instr=" SEQ Figure \* ARABIC ">
        <w:r w:rsidR="000507B7">
          <w:rPr>
            <w:noProof/>
          </w:rPr>
          <w:t>2</w:t>
        </w:r>
      </w:fldSimple>
      <w:bookmarkEnd w:id="180"/>
      <w:r>
        <w:t xml:space="preserve">: Percentage of </w:t>
      </w:r>
      <w:r w:rsidRPr="00D60895">
        <w:t>Pharmaceutical Care Services Provided to Patients with Diabetes</w:t>
      </w:r>
      <w:bookmarkEnd w:id="181"/>
      <w:r w:rsidRPr="00D60895">
        <w:t xml:space="preserve"> </w:t>
      </w:r>
    </w:p>
    <w:p w14:paraId="5292FB0A" w14:textId="77777777" w:rsidR="00821B82" w:rsidRDefault="00821B82" w:rsidP="00821B82">
      <w:pPr>
        <w:sectPr w:rsidR="00821B82" w:rsidSect="00282204">
          <w:pgSz w:w="15840" w:h="12240" w:orient="landscape"/>
          <w:pgMar w:top="1440" w:right="1440" w:bottom="1440" w:left="1440" w:header="720" w:footer="720" w:gutter="0"/>
          <w:cols w:space="720"/>
          <w:docGrid w:linePitch="360"/>
        </w:sectPr>
      </w:pPr>
    </w:p>
    <w:p w14:paraId="6BB5816D" w14:textId="77777777" w:rsidR="00821B82" w:rsidRPr="005A2EF3" w:rsidRDefault="00821B82" w:rsidP="00821B82">
      <w:pPr>
        <w:pStyle w:val="Heading3"/>
        <w:numPr>
          <w:ilvl w:val="2"/>
          <w:numId w:val="14"/>
        </w:numPr>
        <w:spacing w:line="257" w:lineRule="auto"/>
      </w:pPr>
      <w:bookmarkStart w:id="182" w:name="_Toc122626420"/>
      <w:bookmarkStart w:id="183" w:name="_Toc153894194"/>
      <w:r w:rsidRPr="005A2EF3">
        <w:t>Healthcare Professionals' Views on Potential Pharmacist Involvement in Diabetes Care</w:t>
      </w:r>
      <w:bookmarkEnd w:id="182"/>
      <w:bookmarkEnd w:id="183"/>
    </w:p>
    <w:p w14:paraId="1E8A2728" w14:textId="5491D6D9" w:rsidR="00821B82" w:rsidRDefault="00821B82" w:rsidP="00821B82">
      <w:pPr>
        <w:pStyle w:val="NormalWeb"/>
        <w:spacing w:line="360" w:lineRule="auto"/>
        <w:jc w:val="both"/>
        <w:rPr>
          <w:rFonts w:asciiTheme="minorBidi" w:hAnsiTheme="minorBidi" w:cstheme="minorBidi"/>
          <w:shd w:val="clear" w:color="auto" w:fill="FFFFFF"/>
        </w:rPr>
      </w:pPr>
      <w:r>
        <w:rPr>
          <w:rFonts w:asciiTheme="minorBidi" w:hAnsiTheme="minorBidi" w:cstheme="minorBidi"/>
          <w:shd w:val="clear" w:color="auto" w:fill="FFFFFF"/>
        </w:rPr>
        <w:t>HCPs</w:t>
      </w:r>
      <w:r w:rsidRPr="00316991">
        <w:rPr>
          <w:rFonts w:asciiTheme="minorBidi" w:hAnsiTheme="minorBidi" w:cstheme="minorBidi"/>
          <w:shd w:val="clear" w:color="auto" w:fill="FFFFFF"/>
        </w:rPr>
        <w:t xml:space="preserve"> reported their perceptions of the potential for different pharmacist roles in diabetes primary care management in </w:t>
      </w:r>
      <w:r>
        <w:rPr>
          <w:rFonts w:asciiTheme="minorBidi" w:hAnsiTheme="minorBidi" w:cstheme="minorBidi"/>
          <w:shd w:val="clear" w:color="auto" w:fill="FFFFFF"/>
        </w:rPr>
        <w:t>SA</w:t>
      </w:r>
      <w:r w:rsidRPr="00316991">
        <w:rPr>
          <w:rFonts w:asciiTheme="minorBidi" w:hAnsiTheme="minorBidi" w:cstheme="minorBidi"/>
          <w:shd w:val="clear" w:color="auto" w:fill="FFFFFF"/>
        </w:rPr>
        <w:t xml:space="preserve"> and were provided with a series of activities</w:t>
      </w:r>
      <w:r>
        <w:rPr>
          <w:rFonts w:asciiTheme="minorBidi" w:hAnsiTheme="minorBidi" w:cstheme="minorBidi"/>
          <w:shd w:val="clear" w:color="auto" w:fill="FFFFFF"/>
        </w:rPr>
        <w:t xml:space="preserve"> (</w:t>
      </w:r>
      <w:r w:rsidRPr="005A0ED2">
        <w:rPr>
          <w:rFonts w:asciiTheme="minorBidi" w:hAnsiTheme="minorBidi" w:cstheme="minorBidi"/>
          <w:color w:val="1F3864" w:themeColor="accent1" w:themeShade="80"/>
          <w:shd w:val="clear" w:color="auto" w:fill="FFFFFF"/>
        </w:rPr>
        <w:fldChar w:fldCharType="begin"/>
      </w:r>
      <w:r w:rsidRPr="005A0ED2">
        <w:rPr>
          <w:rFonts w:asciiTheme="minorBidi" w:hAnsiTheme="minorBidi" w:cstheme="minorBidi"/>
          <w:color w:val="1F3864" w:themeColor="accent1" w:themeShade="80"/>
          <w:shd w:val="clear" w:color="auto" w:fill="FFFFFF"/>
        </w:rPr>
        <w:instrText xml:space="preserve"> REF _Ref122361173 \h  \* MERGEFORMAT </w:instrText>
      </w:r>
      <w:r w:rsidRPr="005A0ED2">
        <w:rPr>
          <w:rFonts w:asciiTheme="minorBidi" w:hAnsiTheme="minorBidi" w:cstheme="minorBidi"/>
          <w:color w:val="1F3864" w:themeColor="accent1" w:themeShade="80"/>
          <w:shd w:val="clear" w:color="auto" w:fill="FFFFFF"/>
        </w:rPr>
      </w:r>
      <w:r w:rsidRPr="005A0ED2">
        <w:rPr>
          <w:rFonts w:asciiTheme="minorBidi" w:hAnsiTheme="minorBidi" w:cstheme="minorBidi"/>
          <w:color w:val="1F3864" w:themeColor="accent1" w:themeShade="80"/>
          <w:shd w:val="clear" w:color="auto" w:fill="FFFFFF"/>
        </w:rPr>
        <w:fldChar w:fldCharType="separate"/>
      </w:r>
      <w:r w:rsidR="00A15E4A" w:rsidRPr="00A15E4A">
        <w:rPr>
          <w:rFonts w:asciiTheme="minorBidi" w:hAnsiTheme="minorBidi" w:cstheme="minorBidi"/>
          <w:color w:val="1F3864" w:themeColor="accent1" w:themeShade="80"/>
        </w:rPr>
        <w:t xml:space="preserve">Table </w:t>
      </w:r>
      <w:r w:rsidR="00A15E4A" w:rsidRPr="00A15E4A">
        <w:rPr>
          <w:rFonts w:asciiTheme="minorBidi" w:hAnsiTheme="minorBidi" w:cstheme="minorBidi"/>
          <w:noProof/>
          <w:color w:val="1F3864" w:themeColor="accent1" w:themeShade="80"/>
        </w:rPr>
        <w:t>16</w:t>
      </w:r>
      <w:r w:rsidRPr="005A0ED2">
        <w:rPr>
          <w:rFonts w:asciiTheme="minorBidi" w:hAnsiTheme="minorBidi" w:cstheme="minorBidi"/>
          <w:color w:val="1F3864" w:themeColor="accent1" w:themeShade="80"/>
          <w:shd w:val="clear" w:color="auto" w:fill="FFFFFF"/>
        </w:rPr>
        <w:fldChar w:fldCharType="end"/>
      </w:r>
      <w:r w:rsidRPr="005A0ED2">
        <w:rPr>
          <w:rFonts w:asciiTheme="minorBidi" w:hAnsiTheme="minorBidi" w:cstheme="minorBidi"/>
          <w:color w:val="1F3864" w:themeColor="accent1" w:themeShade="80"/>
          <w:shd w:val="clear" w:color="auto" w:fill="FFFFFF"/>
        </w:rPr>
        <w:t>)</w:t>
      </w:r>
      <w:r>
        <w:rPr>
          <w:rFonts w:asciiTheme="minorBidi" w:hAnsiTheme="minorBidi" w:cstheme="minorBidi"/>
          <w:shd w:val="clear" w:color="auto" w:fill="FFFFFF"/>
        </w:rPr>
        <w:t xml:space="preserve">. </w:t>
      </w:r>
      <w:r w:rsidRPr="00316991">
        <w:rPr>
          <w:rFonts w:asciiTheme="minorBidi" w:hAnsiTheme="minorBidi" w:cstheme="minorBidi"/>
          <w:shd w:val="clear" w:color="auto" w:fill="FFFFFF"/>
        </w:rPr>
        <w:t xml:space="preserve">The participants were asked </w:t>
      </w:r>
      <w:r w:rsidRPr="00316991">
        <w:rPr>
          <w:rFonts w:asciiTheme="minorBidi" w:hAnsiTheme="minorBidi"/>
          <w:shd w:val="clear" w:color="auto" w:fill="FFFFFF"/>
        </w:rPr>
        <w:t xml:space="preserve">whether pharmacists should be involved in that type of service to diabetic patients </w:t>
      </w:r>
      <w:r w:rsidRPr="00316991">
        <w:rPr>
          <w:rFonts w:asciiTheme="minorBidi" w:hAnsiTheme="minorBidi" w:cstheme="minorBidi"/>
          <w:shd w:val="clear" w:color="auto" w:fill="FFFFFF"/>
        </w:rPr>
        <w:t xml:space="preserve">currently and in the future. </w:t>
      </w:r>
    </w:p>
    <w:p w14:paraId="350CFAE8" w14:textId="77777777" w:rsidR="00821B82" w:rsidRDefault="00821B82" w:rsidP="00821B82">
      <w:pPr>
        <w:pStyle w:val="NormalWeb"/>
        <w:spacing w:line="360" w:lineRule="auto"/>
        <w:jc w:val="both"/>
        <w:rPr>
          <w:rFonts w:asciiTheme="minorBidi" w:hAnsiTheme="minorBidi" w:cstheme="minorBidi"/>
          <w:shd w:val="clear" w:color="auto" w:fill="FFFFFF"/>
        </w:rPr>
      </w:pPr>
      <w:r>
        <w:rPr>
          <w:rFonts w:asciiTheme="minorBidi" w:hAnsiTheme="minorBidi" w:cstheme="minorBidi"/>
          <w:shd w:val="clear" w:color="auto" w:fill="FFFFFF"/>
        </w:rPr>
        <w:t xml:space="preserve">On average, the level of agreement among all participants on all </w:t>
      </w:r>
      <w:r w:rsidRPr="00316991">
        <w:rPr>
          <w:rFonts w:asciiTheme="minorBidi" w:hAnsiTheme="minorBidi" w:cstheme="minorBidi"/>
          <w:shd w:val="clear" w:color="auto" w:fill="FFFFFF"/>
        </w:rPr>
        <w:t>different pharmacist roles in diabetes</w:t>
      </w:r>
      <w:r>
        <w:rPr>
          <w:rFonts w:asciiTheme="minorBidi" w:hAnsiTheme="minorBidi" w:cstheme="minorBidi"/>
          <w:shd w:val="clear" w:color="auto" w:fill="FFFFFF"/>
        </w:rPr>
        <w:t xml:space="preserve">, except for the independent prescribing role, was 4. This suggests that most participants agreed on the involvement of pharmacists in diabetes primary care management, whether </w:t>
      </w:r>
      <w:r w:rsidRPr="00316991">
        <w:rPr>
          <w:rFonts w:asciiTheme="minorBidi" w:hAnsiTheme="minorBidi" w:cstheme="minorBidi"/>
          <w:shd w:val="clear" w:color="auto" w:fill="FFFFFF"/>
        </w:rPr>
        <w:t xml:space="preserve">currently </w:t>
      </w:r>
      <w:r>
        <w:rPr>
          <w:rFonts w:asciiTheme="minorBidi" w:hAnsiTheme="minorBidi" w:cstheme="minorBidi"/>
          <w:shd w:val="clear" w:color="auto" w:fill="FFFFFF"/>
        </w:rPr>
        <w:t>or</w:t>
      </w:r>
      <w:r w:rsidRPr="00316991">
        <w:rPr>
          <w:rFonts w:asciiTheme="minorBidi" w:hAnsiTheme="minorBidi" w:cstheme="minorBidi"/>
          <w:shd w:val="clear" w:color="auto" w:fill="FFFFFF"/>
        </w:rPr>
        <w:t xml:space="preserve"> in the future</w:t>
      </w:r>
      <w:r>
        <w:rPr>
          <w:rFonts w:asciiTheme="minorBidi" w:hAnsiTheme="minorBidi" w:cstheme="minorBidi"/>
          <w:shd w:val="clear" w:color="auto" w:fill="FFFFFF"/>
        </w:rPr>
        <w:t xml:space="preserve">. In contrast, the median average for independent prescribing role was the lowest (3), suggesting this role had a lower participant agreement level than other roles, but the IQR suggests that the participants’ responses were varied.  </w:t>
      </w:r>
    </w:p>
    <w:p w14:paraId="4E0253CC" w14:textId="77777777" w:rsidR="00821B82" w:rsidRDefault="00821B82" w:rsidP="00821B82"/>
    <w:p w14:paraId="4A5597D2" w14:textId="77777777" w:rsidR="00821B82" w:rsidRDefault="00821B82" w:rsidP="00821B82">
      <w:pPr>
        <w:sectPr w:rsidR="00821B82">
          <w:pgSz w:w="12240" w:h="15840"/>
          <w:pgMar w:top="1440" w:right="1440" w:bottom="1440" w:left="1440" w:header="720" w:footer="720" w:gutter="0"/>
          <w:cols w:space="720"/>
          <w:docGrid w:linePitch="360"/>
        </w:sectPr>
      </w:pPr>
    </w:p>
    <w:p w14:paraId="50AE1D8B" w14:textId="341F5DC4" w:rsidR="00821B82" w:rsidRPr="00D51B2C" w:rsidRDefault="00821B82" w:rsidP="00821B82">
      <w:pPr>
        <w:rPr>
          <w:rFonts w:asciiTheme="minorBidi" w:hAnsiTheme="minorBidi"/>
          <w:color w:val="32363A"/>
          <w:sz w:val="24"/>
          <w:szCs w:val="24"/>
          <w:shd w:val="clear" w:color="auto" w:fill="FFFFFF"/>
        </w:rPr>
      </w:pPr>
      <w:bookmarkStart w:id="184" w:name="_Ref122361173"/>
      <w:bookmarkStart w:id="185" w:name="_Toc153894570"/>
      <w:r w:rsidRPr="00D51B2C">
        <w:rPr>
          <w:i/>
          <w:iCs/>
          <w:color w:val="44546A" w:themeColor="text2"/>
        </w:rPr>
        <w:t xml:space="preserve">Table </w:t>
      </w:r>
      <w:r w:rsidRPr="00D51B2C">
        <w:rPr>
          <w:i/>
          <w:iCs/>
          <w:color w:val="44546A" w:themeColor="text2"/>
        </w:rPr>
        <w:fldChar w:fldCharType="begin"/>
      </w:r>
      <w:r w:rsidRPr="00D51B2C">
        <w:rPr>
          <w:i/>
          <w:iCs/>
          <w:color w:val="44546A" w:themeColor="text2"/>
        </w:rPr>
        <w:instrText xml:space="preserve"> SEQ Table \* ARABIC </w:instrText>
      </w:r>
      <w:r w:rsidRPr="00D51B2C">
        <w:rPr>
          <w:i/>
          <w:iCs/>
          <w:color w:val="44546A" w:themeColor="text2"/>
        </w:rPr>
        <w:fldChar w:fldCharType="separate"/>
      </w:r>
      <w:r w:rsidR="009B31EB">
        <w:rPr>
          <w:i/>
          <w:iCs/>
          <w:noProof/>
          <w:color w:val="44546A" w:themeColor="text2"/>
        </w:rPr>
        <w:t>16</w:t>
      </w:r>
      <w:r w:rsidRPr="00D51B2C">
        <w:rPr>
          <w:i/>
          <w:iCs/>
          <w:color w:val="44546A" w:themeColor="text2"/>
        </w:rPr>
        <w:fldChar w:fldCharType="end"/>
      </w:r>
      <w:bookmarkEnd w:id="184"/>
      <w:r w:rsidRPr="00D51B2C">
        <w:rPr>
          <w:i/>
          <w:iCs/>
          <w:color w:val="44546A" w:themeColor="text2"/>
        </w:rPr>
        <w:t>: Views of Healthcare Professionals on Potential Pharmacist Involvement in Diabetes Care</w:t>
      </w:r>
      <w:bookmarkEnd w:id="185"/>
      <w:r w:rsidRPr="00D51B2C">
        <w:rPr>
          <w:i/>
          <w:iCs/>
          <w:color w:val="44546A" w:themeColor="text2"/>
        </w:rPr>
        <w:t xml:space="preserve"> </w:t>
      </w:r>
    </w:p>
    <w:tbl>
      <w:tblPr>
        <w:tblW w:w="13837" w:type="dxa"/>
        <w:tblInd w:w="113" w:type="dxa"/>
        <w:tblLook w:val="04A0" w:firstRow="1" w:lastRow="0" w:firstColumn="1" w:lastColumn="0" w:noHBand="0" w:noVBand="1"/>
      </w:tblPr>
      <w:tblGrid>
        <w:gridCol w:w="5838"/>
        <w:gridCol w:w="1095"/>
        <w:gridCol w:w="1547"/>
        <w:gridCol w:w="1017"/>
        <w:gridCol w:w="1175"/>
        <w:gridCol w:w="988"/>
        <w:gridCol w:w="950"/>
        <w:gridCol w:w="1227"/>
      </w:tblGrid>
      <w:tr w:rsidR="00821B82" w:rsidRPr="00E271B2" w14:paraId="56E72FF1" w14:textId="77777777" w:rsidTr="00282204">
        <w:trPr>
          <w:trHeight w:val="340"/>
        </w:trPr>
        <w:tc>
          <w:tcPr>
            <w:tcW w:w="5838" w:type="dxa"/>
            <w:vMerge w:val="restart"/>
            <w:shd w:val="clear" w:color="auto" w:fill="auto"/>
            <w:noWrap/>
            <w:vAlign w:val="bottom"/>
          </w:tcPr>
          <w:p w14:paraId="42B0378F" w14:textId="77777777" w:rsidR="00821B82" w:rsidRPr="00E271B2" w:rsidRDefault="00821B82" w:rsidP="00282204">
            <w:pPr>
              <w:spacing w:after="0" w:line="240" w:lineRule="auto"/>
              <w:rPr>
                <w:rFonts w:asciiTheme="minorBidi" w:eastAsia="Times New Roman" w:hAnsiTheme="minorBidi"/>
                <w:color w:val="000000"/>
                <w:sz w:val="20"/>
                <w:szCs w:val="20"/>
              </w:rPr>
            </w:pPr>
          </w:p>
          <w:p w14:paraId="7D504F86" w14:textId="77777777" w:rsidR="00821B82" w:rsidRDefault="00821B82" w:rsidP="00282204">
            <w:pPr>
              <w:spacing w:after="0" w:line="240" w:lineRule="auto"/>
              <w:rPr>
                <w:rFonts w:asciiTheme="minorBidi" w:eastAsia="Times New Roman" w:hAnsiTheme="minorBidi"/>
                <w:color w:val="000000"/>
                <w:sz w:val="20"/>
                <w:szCs w:val="20"/>
              </w:rPr>
            </w:pPr>
          </w:p>
          <w:p w14:paraId="0D07BB13"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Pharmacists should be involved in following diabetes-related services</w:t>
            </w:r>
          </w:p>
          <w:p w14:paraId="7CA070E2" w14:textId="77777777" w:rsidR="00821B82" w:rsidRPr="00E271B2" w:rsidRDefault="00821B82" w:rsidP="00282204">
            <w:pPr>
              <w:spacing w:after="0" w:line="240" w:lineRule="auto"/>
              <w:rPr>
                <w:rFonts w:asciiTheme="minorBidi" w:eastAsia="Times New Roman" w:hAnsiTheme="minorBidi"/>
                <w:color w:val="000000"/>
                <w:sz w:val="20"/>
                <w:szCs w:val="20"/>
              </w:rPr>
            </w:pPr>
          </w:p>
        </w:tc>
        <w:tc>
          <w:tcPr>
            <w:tcW w:w="1095" w:type="dxa"/>
            <w:vMerge w:val="restart"/>
            <w:shd w:val="clear" w:color="auto" w:fill="auto"/>
            <w:noWrap/>
            <w:vAlign w:val="bottom"/>
          </w:tcPr>
          <w:p w14:paraId="32179C04"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Timepoint</w:t>
            </w:r>
          </w:p>
          <w:p w14:paraId="4EC9207E" w14:textId="77777777" w:rsidR="00821B82" w:rsidRPr="00E271B2" w:rsidRDefault="00821B82" w:rsidP="00282204">
            <w:pPr>
              <w:spacing w:after="0" w:line="240" w:lineRule="auto"/>
              <w:rPr>
                <w:rFonts w:asciiTheme="minorBidi" w:eastAsia="Times New Roman" w:hAnsiTheme="minorBidi"/>
                <w:color w:val="000000"/>
                <w:sz w:val="20"/>
                <w:szCs w:val="20"/>
              </w:rPr>
            </w:pPr>
          </w:p>
        </w:tc>
        <w:tc>
          <w:tcPr>
            <w:tcW w:w="5677" w:type="dxa"/>
            <w:gridSpan w:val="5"/>
            <w:shd w:val="clear" w:color="auto" w:fill="auto"/>
            <w:noWrap/>
            <w:vAlign w:val="bottom"/>
          </w:tcPr>
          <w:p w14:paraId="14F04FDA"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Responses in %, N=106</w:t>
            </w:r>
          </w:p>
        </w:tc>
        <w:tc>
          <w:tcPr>
            <w:tcW w:w="1227" w:type="dxa"/>
            <w:vMerge w:val="restart"/>
          </w:tcPr>
          <w:p w14:paraId="62341C02" w14:textId="77777777" w:rsidR="00821B82" w:rsidRPr="00E271B2" w:rsidRDefault="00821B82" w:rsidP="00282204">
            <w:pPr>
              <w:spacing w:after="0" w:line="240" w:lineRule="auto"/>
              <w:rPr>
                <w:rFonts w:asciiTheme="minorBidi" w:eastAsia="Times New Roman" w:hAnsiTheme="minorBidi"/>
                <w:color w:val="000000"/>
                <w:sz w:val="20"/>
                <w:szCs w:val="20"/>
              </w:rPr>
            </w:pPr>
          </w:p>
          <w:p w14:paraId="04237350" w14:textId="77777777" w:rsidR="00821B82" w:rsidRPr="00E271B2" w:rsidRDefault="00821B82" w:rsidP="00282204">
            <w:pPr>
              <w:spacing w:after="0" w:line="240" w:lineRule="auto"/>
              <w:rPr>
                <w:rFonts w:asciiTheme="minorBidi" w:eastAsia="Times New Roman" w:hAnsiTheme="minorBidi"/>
                <w:color w:val="000000"/>
                <w:sz w:val="20"/>
                <w:szCs w:val="20"/>
              </w:rPr>
            </w:pPr>
          </w:p>
          <w:p w14:paraId="5F0B7DD5"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Median</w:t>
            </w:r>
            <w:r>
              <w:rPr>
                <w:rFonts w:asciiTheme="minorBidi" w:eastAsia="Times New Roman" w:hAnsiTheme="minorBidi"/>
                <w:color w:val="000000"/>
                <w:sz w:val="20"/>
                <w:szCs w:val="20"/>
              </w:rPr>
              <w:t xml:space="preserve"> </w:t>
            </w:r>
            <w:r w:rsidRPr="00E271B2">
              <w:rPr>
                <w:rFonts w:asciiTheme="minorBidi" w:eastAsia="Times New Roman" w:hAnsiTheme="minorBidi"/>
                <w:color w:val="000000"/>
                <w:sz w:val="20"/>
                <w:szCs w:val="20"/>
              </w:rPr>
              <w:t>(IQR)</w:t>
            </w:r>
          </w:p>
        </w:tc>
      </w:tr>
      <w:tr w:rsidR="00821B82" w:rsidRPr="00161388" w14:paraId="4B19DB14" w14:textId="77777777" w:rsidTr="00282204">
        <w:trPr>
          <w:trHeight w:val="340"/>
        </w:trPr>
        <w:tc>
          <w:tcPr>
            <w:tcW w:w="5838" w:type="dxa"/>
            <w:vMerge/>
            <w:tcBorders>
              <w:bottom w:val="single" w:sz="4" w:space="0" w:color="auto"/>
            </w:tcBorders>
            <w:shd w:val="clear" w:color="auto" w:fill="auto"/>
            <w:noWrap/>
            <w:vAlign w:val="bottom"/>
            <w:hideMark/>
          </w:tcPr>
          <w:p w14:paraId="7E27090A" w14:textId="77777777" w:rsidR="00821B82" w:rsidRPr="00161388" w:rsidRDefault="00821B82" w:rsidP="00282204">
            <w:pPr>
              <w:spacing w:after="0" w:line="240" w:lineRule="auto"/>
              <w:rPr>
                <w:rFonts w:asciiTheme="minorBidi" w:eastAsia="Times New Roman" w:hAnsiTheme="minorBidi"/>
                <w:color w:val="000000"/>
                <w:sz w:val="20"/>
                <w:szCs w:val="20"/>
              </w:rPr>
            </w:pPr>
          </w:p>
        </w:tc>
        <w:tc>
          <w:tcPr>
            <w:tcW w:w="1095" w:type="dxa"/>
            <w:vMerge/>
            <w:tcBorders>
              <w:bottom w:val="single" w:sz="4" w:space="0" w:color="auto"/>
            </w:tcBorders>
            <w:shd w:val="clear" w:color="auto" w:fill="auto"/>
            <w:noWrap/>
            <w:vAlign w:val="bottom"/>
            <w:hideMark/>
          </w:tcPr>
          <w:p w14:paraId="3A92B254" w14:textId="77777777" w:rsidR="00821B82" w:rsidRPr="00161388" w:rsidRDefault="00821B82" w:rsidP="00282204">
            <w:pPr>
              <w:spacing w:after="0" w:line="240" w:lineRule="auto"/>
              <w:rPr>
                <w:rFonts w:asciiTheme="minorBidi" w:eastAsia="Times New Roman" w:hAnsiTheme="minorBidi"/>
                <w:color w:val="000000"/>
                <w:sz w:val="20"/>
                <w:szCs w:val="20"/>
              </w:rPr>
            </w:pPr>
          </w:p>
        </w:tc>
        <w:tc>
          <w:tcPr>
            <w:tcW w:w="1547" w:type="dxa"/>
            <w:tcBorders>
              <w:bottom w:val="single" w:sz="4" w:space="0" w:color="auto"/>
            </w:tcBorders>
            <w:shd w:val="clear" w:color="auto" w:fill="auto"/>
            <w:noWrap/>
            <w:vAlign w:val="bottom"/>
            <w:hideMark/>
          </w:tcPr>
          <w:p w14:paraId="28D0175C" w14:textId="77777777" w:rsidR="00821B82" w:rsidRPr="00161388" w:rsidRDefault="00821B82" w:rsidP="00282204">
            <w:pPr>
              <w:spacing w:after="0" w:line="240" w:lineRule="auto"/>
              <w:rPr>
                <w:rFonts w:asciiTheme="minorBidi" w:eastAsia="Times New Roman" w:hAnsiTheme="minorBidi"/>
                <w:color w:val="000000"/>
                <w:sz w:val="20"/>
                <w:szCs w:val="20"/>
              </w:rPr>
            </w:pPr>
            <w:r w:rsidRPr="00161388">
              <w:rPr>
                <w:rFonts w:asciiTheme="minorBidi" w:eastAsia="Times New Roman" w:hAnsiTheme="minorBidi"/>
                <w:color w:val="000000"/>
                <w:sz w:val="20"/>
                <w:szCs w:val="20"/>
              </w:rPr>
              <w:t>Strongly disagree</w:t>
            </w:r>
          </w:p>
          <w:p w14:paraId="521CEBE7" w14:textId="77777777" w:rsidR="00821B82" w:rsidRPr="00161388" w:rsidRDefault="00821B82" w:rsidP="00282204">
            <w:pPr>
              <w:spacing w:after="0" w:line="240" w:lineRule="auto"/>
              <w:rPr>
                <w:rFonts w:asciiTheme="minorBidi" w:eastAsia="Times New Roman" w:hAnsiTheme="minorBidi"/>
                <w:color w:val="000000"/>
                <w:sz w:val="20"/>
                <w:szCs w:val="20"/>
              </w:rPr>
            </w:pPr>
          </w:p>
          <w:p w14:paraId="3A92E1B2" w14:textId="77777777" w:rsidR="00821B82" w:rsidRPr="00161388" w:rsidRDefault="00821B82" w:rsidP="00282204">
            <w:pPr>
              <w:spacing w:after="0" w:line="240" w:lineRule="auto"/>
              <w:rPr>
                <w:rFonts w:asciiTheme="minorBidi" w:eastAsia="Times New Roman" w:hAnsiTheme="minorBidi"/>
                <w:color w:val="000000"/>
                <w:sz w:val="20"/>
                <w:szCs w:val="20"/>
              </w:rPr>
            </w:pPr>
          </w:p>
        </w:tc>
        <w:tc>
          <w:tcPr>
            <w:tcW w:w="1017" w:type="dxa"/>
            <w:tcBorders>
              <w:bottom w:val="single" w:sz="4" w:space="0" w:color="auto"/>
            </w:tcBorders>
            <w:shd w:val="clear" w:color="auto" w:fill="auto"/>
            <w:noWrap/>
            <w:vAlign w:val="bottom"/>
            <w:hideMark/>
          </w:tcPr>
          <w:p w14:paraId="2FE94F45" w14:textId="77777777" w:rsidR="00821B82" w:rsidRPr="00161388" w:rsidRDefault="00821B82" w:rsidP="00282204">
            <w:pPr>
              <w:spacing w:after="0" w:line="240" w:lineRule="auto"/>
              <w:rPr>
                <w:rFonts w:asciiTheme="minorBidi" w:eastAsia="Times New Roman" w:hAnsiTheme="minorBidi"/>
                <w:color w:val="000000"/>
                <w:sz w:val="20"/>
                <w:szCs w:val="20"/>
              </w:rPr>
            </w:pPr>
            <w:r w:rsidRPr="00161388">
              <w:rPr>
                <w:rFonts w:asciiTheme="minorBidi" w:eastAsia="Times New Roman" w:hAnsiTheme="minorBidi"/>
                <w:color w:val="000000"/>
                <w:sz w:val="20"/>
                <w:szCs w:val="20"/>
              </w:rPr>
              <w:t>Disagree</w:t>
            </w:r>
          </w:p>
          <w:p w14:paraId="2492C93C" w14:textId="77777777" w:rsidR="00821B82" w:rsidRPr="00161388" w:rsidRDefault="00821B82" w:rsidP="00282204">
            <w:pPr>
              <w:spacing w:after="0" w:line="240" w:lineRule="auto"/>
              <w:rPr>
                <w:rFonts w:asciiTheme="minorBidi" w:eastAsia="Times New Roman" w:hAnsiTheme="minorBidi"/>
                <w:color w:val="000000"/>
                <w:sz w:val="20"/>
                <w:szCs w:val="20"/>
              </w:rPr>
            </w:pPr>
          </w:p>
          <w:p w14:paraId="2E3EBAFF" w14:textId="77777777" w:rsidR="00821B82" w:rsidRPr="00161388" w:rsidRDefault="00821B82" w:rsidP="00282204">
            <w:pPr>
              <w:spacing w:after="0" w:line="240" w:lineRule="auto"/>
              <w:rPr>
                <w:rFonts w:asciiTheme="minorBidi" w:eastAsia="Times New Roman" w:hAnsiTheme="minorBidi"/>
                <w:color w:val="000000"/>
                <w:sz w:val="20"/>
                <w:szCs w:val="20"/>
              </w:rPr>
            </w:pPr>
          </w:p>
        </w:tc>
        <w:tc>
          <w:tcPr>
            <w:tcW w:w="1175" w:type="dxa"/>
            <w:tcBorders>
              <w:bottom w:val="single" w:sz="4" w:space="0" w:color="auto"/>
            </w:tcBorders>
            <w:shd w:val="clear" w:color="auto" w:fill="auto"/>
            <w:noWrap/>
            <w:vAlign w:val="bottom"/>
            <w:hideMark/>
          </w:tcPr>
          <w:p w14:paraId="379884F4" w14:textId="77777777" w:rsidR="00821B82" w:rsidRPr="00161388" w:rsidRDefault="00821B82" w:rsidP="00282204">
            <w:pPr>
              <w:spacing w:after="0" w:line="240" w:lineRule="auto"/>
              <w:rPr>
                <w:rFonts w:asciiTheme="minorBidi" w:eastAsia="Times New Roman" w:hAnsiTheme="minorBidi"/>
                <w:color w:val="000000"/>
                <w:sz w:val="20"/>
                <w:szCs w:val="20"/>
              </w:rPr>
            </w:pPr>
            <w:r w:rsidRPr="00161388">
              <w:rPr>
                <w:rFonts w:asciiTheme="minorBidi" w:eastAsia="Times New Roman" w:hAnsiTheme="minorBidi"/>
                <w:color w:val="000000"/>
                <w:sz w:val="20"/>
                <w:szCs w:val="20"/>
              </w:rPr>
              <w:t>Neither agree nor disagree</w:t>
            </w:r>
          </w:p>
        </w:tc>
        <w:tc>
          <w:tcPr>
            <w:tcW w:w="988" w:type="dxa"/>
            <w:tcBorders>
              <w:bottom w:val="single" w:sz="4" w:space="0" w:color="auto"/>
            </w:tcBorders>
            <w:shd w:val="clear" w:color="auto" w:fill="auto"/>
            <w:noWrap/>
            <w:vAlign w:val="bottom"/>
            <w:hideMark/>
          </w:tcPr>
          <w:p w14:paraId="713166F2" w14:textId="77777777" w:rsidR="00821B82" w:rsidRPr="00161388" w:rsidRDefault="00821B82" w:rsidP="00282204">
            <w:pPr>
              <w:spacing w:after="0" w:line="240" w:lineRule="auto"/>
              <w:rPr>
                <w:rFonts w:asciiTheme="minorBidi" w:eastAsia="Times New Roman" w:hAnsiTheme="minorBidi"/>
                <w:color w:val="000000"/>
                <w:sz w:val="20"/>
                <w:szCs w:val="20"/>
              </w:rPr>
            </w:pPr>
            <w:r w:rsidRPr="00161388">
              <w:rPr>
                <w:rFonts w:asciiTheme="minorBidi" w:eastAsia="Times New Roman" w:hAnsiTheme="minorBidi"/>
                <w:color w:val="000000"/>
                <w:sz w:val="20"/>
                <w:szCs w:val="20"/>
              </w:rPr>
              <w:t>Agree</w:t>
            </w:r>
          </w:p>
          <w:p w14:paraId="0F4737BF" w14:textId="77777777" w:rsidR="00821B82" w:rsidRPr="00161388" w:rsidRDefault="00821B82" w:rsidP="00282204">
            <w:pPr>
              <w:spacing w:after="0" w:line="240" w:lineRule="auto"/>
              <w:rPr>
                <w:rFonts w:asciiTheme="minorBidi" w:eastAsia="Times New Roman" w:hAnsiTheme="minorBidi"/>
                <w:color w:val="000000"/>
                <w:sz w:val="20"/>
                <w:szCs w:val="20"/>
              </w:rPr>
            </w:pPr>
          </w:p>
          <w:p w14:paraId="3A32482B" w14:textId="77777777" w:rsidR="00821B82" w:rsidRPr="00161388" w:rsidRDefault="00821B82" w:rsidP="00282204">
            <w:pPr>
              <w:spacing w:after="0" w:line="240" w:lineRule="auto"/>
              <w:rPr>
                <w:rFonts w:asciiTheme="minorBidi" w:eastAsia="Times New Roman" w:hAnsiTheme="minorBidi"/>
                <w:color w:val="000000"/>
                <w:sz w:val="20"/>
                <w:szCs w:val="20"/>
              </w:rPr>
            </w:pPr>
          </w:p>
        </w:tc>
        <w:tc>
          <w:tcPr>
            <w:tcW w:w="950" w:type="dxa"/>
            <w:tcBorders>
              <w:bottom w:val="single" w:sz="4" w:space="0" w:color="auto"/>
            </w:tcBorders>
            <w:shd w:val="clear" w:color="auto" w:fill="auto"/>
            <w:noWrap/>
            <w:vAlign w:val="bottom"/>
            <w:hideMark/>
          </w:tcPr>
          <w:p w14:paraId="360772C9" w14:textId="77777777" w:rsidR="00821B82" w:rsidRPr="00161388" w:rsidRDefault="00821B82" w:rsidP="00282204">
            <w:pPr>
              <w:spacing w:after="0" w:line="240" w:lineRule="auto"/>
              <w:rPr>
                <w:rFonts w:asciiTheme="minorBidi" w:eastAsia="Times New Roman" w:hAnsiTheme="minorBidi"/>
                <w:color w:val="000000"/>
                <w:sz w:val="20"/>
                <w:szCs w:val="20"/>
              </w:rPr>
            </w:pPr>
            <w:r w:rsidRPr="00161388">
              <w:rPr>
                <w:rFonts w:asciiTheme="minorBidi" w:eastAsia="Times New Roman" w:hAnsiTheme="minorBidi"/>
                <w:color w:val="000000"/>
                <w:sz w:val="20"/>
                <w:szCs w:val="20"/>
              </w:rPr>
              <w:t>Strongly agree</w:t>
            </w:r>
          </w:p>
          <w:p w14:paraId="56CB68B4" w14:textId="77777777" w:rsidR="00821B82" w:rsidRPr="00161388" w:rsidRDefault="00821B82" w:rsidP="00282204">
            <w:pPr>
              <w:spacing w:after="0" w:line="240" w:lineRule="auto"/>
              <w:rPr>
                <w:rFonts w:asciiTheme="minorBidi" w:eastAsia="Times New Roman" w:hAnsiTheme="minorBidi"/>
                <w:color w:val="000000"/>
                <w:sz w:val="20"/>
                <w:szCs w:val="20"/>
              </w:rPr>
            </w:pPr>
          </w:p>
        </w:tc>
        <w:tc>
          <w:tcPr>
            <w:tcW w:w="1227" w:type="dxa"/>
            <w:vMerge/>
            <w:tcBorders>
              <w:bottom w:val="single" w:sz="4" w:space="0" w:color="auto"/>
            </w:tcBorders>
            <w:shd w:val="clear" w:color="auto" w:fill="auto"/>
          </w:tcPr>
          <w:p w14:paraId="547C9981" w14:textId="77777777" w:rsidR="00821B82" w:rsidRPr="00161388" w:rsidRDefault="00821B82" w:rsidP="00282204">
            <w:pPr>
              <w:spacing w:after="0" w:line="240" w:lineRule="auto"/>
              <w:rPr>
                <w:rFonts w:asciiTheme="minorBidi" w:eastAsia="Times New Roman" w:hAnsiTheme="minorBidi"/>
                <w:color w:val="000000"/>
                <w:sz w:val="20"/>
                <w:szCs w:val="20"/>
              </w:rPr>
            </w:pPr>
          </w:p>
        </w:tc>
      </w:tr>
      <w:tr w:rsidR="00821B82" w:rsidRPr="006B35CB" w14:paraId="1D82F7E6" w14:textId="77777777" w:rsidTr="00282204">
        <w:trPr>
          <w:trHeight w:val="340"/>
        </w:trPr>
        <w:tc>
          <w:tcPr>
            <w:tcW w:w="5838" w:type="dxa"/>
            <w:vMerge w:val="restart"/>
            <w:tcBorders>
              <w:top w:val="single" w:sz="4" w:space="0" w:color="auto"/>
            </w:tcBorders>
            <w:shd w:val="clear" w:color="auto" w:fill="auto"/>
            <w:noWrap/>
            <w:vAlign w:val="center"/>
            <w:hideMark/>
          </w:tcPr>
          <w:p w14:paraId="39F679B7"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Medication Therapy Management</w:t>
            </w:r>
          </w:p>
        </w:tc>
        <w:tc>
          <w:tcPr>
            <w:tcW w:w="1095" w:type="dxa"/>
            <w:tcBorders>
              <w:top w:val="single" w:sz="4" w:space="0" w:color="auto"/>
            </w:tcBorders>
            <w:shd w:val="clear" w:color="auto" w:fill="auto"/>
            <w:vAlign w:val="center"/>
            <w:hideMark/>
          </w:tcPr>
          <w:p w14:paraId="3FA82717"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hideMark/>
          </w:tcPr>
          <w:p w14:paraId="30F06D61"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9</w:t>
            </w:r>
          </w:p>
        </w:tc>
        <w:tc>
          <w:tcPr>
            <w:tcW w:w="1017" w:type="dxa"/>
            <w:tcBorders>
              <w:top w:val="single" w:sz="4" w:space="0" w:color="auto"/>
            </w:tcBorders>
            <w:shd w:val="clear" w:color="auto" w:fill="auto"/>
            <w:vAlign w:val="center"/>
            <w:hideMark/>
          </w:tcPr>
          <w:p w14:paraId="12A0FBC8"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10</w:t>
            </w:r>
          </w:p>
        </w:tc>
        <w:tc>
          <w:tcPr>
            <w:tcW w:w="1175" w:type="dxa"/>
            <w:tcBorders>
              <w:top w:val="single" w:sz="4" w:space="0" w:color="auto"/>
            </w:tcBorders>
            <w:shd w:val="clear" w:color="auto" w:fill="auto"/>
            <w:vAlign w:val="center"/>
            <w:hideMark/>
          </w:tcPr>
          <w:p w14:paraId="44E7DD74"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14</w:t>
            </w:r>
          </w:p>
        </w:tc>
        <w:tc>
          <w:tcPr>
            <w:tcW w:w="988" w:type="dxa"/>
            <w:tcBorders>
              <w:top w:val="single" w:sz="4" w:space="0" w:color="auto"/>
            </w:tcBorders>
            <w:shd w:val="clear" w:color="auto" w:fill="auto"/>
            <w:vAlign w:val="center"/>
            <w:hideMark/>
          </w:tcPr>
          <w:p w14:paraId="0E279505"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43</w:t>
            </w:r>
          </w:p>
        </w:tc>
        <w:tc>
          <w:tcPr>
            <w:tcW w:w="950" w:type="dxa"/>
            <w:tcBorders>
              <w:top w:val="single" w:sz="4" w:space="0" w:color="auto"/>
            </w:tcBorders>
            <w:shd w:val="clear" w:color="auto" w:fill="auto"/>
            <w:vAlign w:val="center"/>
            <w:hideMark/>
          </w:tcPr>
          <w:p w14:paraId="1F8C872F"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24</w:t>
            </w:r>
          </w:p>
        </w:tc>
        <w:tc>
          <w:tcPr>
            <w:tcW w:w="1227" w:type="dxa"/>
            <w:tcBorders>
              <w:top w:val="single" w:sz="4" w:space="0" w:color="auto"/>
            </w:tcBorders>
            <w:shd w:val="clear" w:color="auto" w:fill="auto"/>
          </w:tcPr>
          <w:p w14:paraId="6D2AC98C"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 (3-4)</w:t>
            </w:r>
          </w:p>
        </w:tc>
      </w:tr>
      <w:tr w:rsidR="00821B82" w:rsidRPr="006B35CB" w14:paraId="67F57822" w14:textId="77777777" w:rsidTr="00282204">
        <w:trPr>
          <w:trHeight w:val="261"/>
        </w:trPr>
        <w:tc>
          <w:tcPr>
            <w:tcW w:w="5838" w:type="dxa"/>
            <w:vMerge/>
            <w:tcBorders>
              <w:bottom w:val="single" w:sz="4" w:space="0" w:color="auto"/>
            </w:tcBorders>
            <w:shd w:val="clear" w:color="auto" w:fill="auto"/>
            <w:noWrap/>
            <w:vAlign w:val="center"/>
            <w:hideMark/>
          </w:tcPr>
          <w:p w14:paraId="446CE5BB" w14:textId="77777777" w:rsidR="00821B82" w:rsidRPr="00F152E9" w:rsidRDefault="00821B82" w:rsidP="00282204">
            <w:pPr>
              <w:spacing w:after="0" w:line="240" w:lineRule="auto"/>
              <w:rPr>
                <w:rFonts w:asciiTheme="minorBidi" w:eastAsia="Times New Roman" w:hAnsiTheme="minorBidi"/>
                <w:color w:val="000000"/>
                <w:sz w:val="20"/>
                <w:szCs w:val="20"/>
              </w:rPr>
            </w:pPr>
          </w:p>
        </w:tc>
        <w:tc>
          <w:tcPr>
            <w:tcW w:w="1095" w:type="dxa"/>
            <w:tcBorders>
              <w:bottom w:val="single" w:sz="4" w:space="0" w:color="auto"/>
            </w:tcBorders>
            <w:shd w:val="clear" w:color="auto" w:fill="auto"/>
            <w:vAlign w:val="center"/>
            <w:hideMark/>
          </w:tcPr>
          <w:p w14:paraId="20B61319"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hideMark/>
          </w:tcPr>
          <w:p w14:paraId="04076999"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9</w:t>
            </w:r>
          </w:p>
        </w:tc>
        <w:tc>
          <w:tcPr>
            <w:tcW w:w="1017" w:type="dxa"/>
            <w:tcBorders>
              <w:bottom w:val="single" w:sz="4" w:space="0" w:color="auto"/>
            </w:tcBorders>
            <w:shd w:val="clear" w:color="auto" w:fill="auto"/>
            <w:vAlign w:val="center"/>
            <w:hideMark/>
          </w:tcPr>
          <w:p w14:paraId="2B6AB8F2"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5</w:t>
            </w:r>
          </w:p>
        </w:tc>
        <w:tc>
          <w:tcPr>
            <w:tcW w:w="1175" w:type="dxa"/>
            <w:tcBorders>
              <w:bottom w:val="single" w:sz="4" w:space="0" w:color="auto"/>
            </w:tcBorders>
            <w:shd w:val="clear" w:color="auto" w:fill="auto"/>
            <w:vAlign w:val="center"/>
            <w:hideMark/>
          </w:tcPr>
          <w:p w14:paraId="3845F5C1"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7</w:t>
            </w:r>
          </w:p>
        </w:tc>
        <w:tc>
          <w:tcPr>
            <w:tcW w:w="988" w:type="dxa"/>
            <w:tcBorders>
              <w:bottom w:val="single" w:sz="4" w:space="0" w:color="auto"/>
            </w:tcBorders>
            <w:shd w:val="clear" w:color="auto" w:fill="auto"/>
            <w:vAlign w:val="center"/>
            <w:hideMark/>
          </w:tcPr>
          <w:p w14:paraId="6EF1BEC8"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44</w:t>
            </w:r>
          </w:p>
        </w:tc>
        <w:tc>
          <w:tcPr>
            <w:tcW w:w="950" w:type="dxa"/>
            <w:tcBorders>
              <w:bottom w:val="single" w:sz="4" w:space="0" w:color="auto"/>
            </w:tcBorders>
            <w:shd w:val="clear" w:color="auto" w:fill="auto"/>
            <w:vAlign w:val="center"/>
            <w:hideMark/>
          </w:tcPr>
          <w:p w14:paraId="4B30FE69"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35</w:t>
            </w:r>
          </w:p>
        </w:tc>
        <w:tc>
          <w:tcPr>
            <w:tcW w:w="1227" w:type="dxa"/>
            <w:tcBorders>
              <w:bottom w:val="single" w:sz="4" w:space="0" w:color="auto"/>
            </w:tcBorders>
            <w:shd w:val="clear" w:color="auto" w:fill="auto"/>
          </w:tcPr>
          <w:p w14:paraId="319CD072"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 (4-5)</w:t>
            </w:r>
          </w:p>
        </w:tc>
      </w:tr>
      <w:tr w:rsidR="00821B82" w:rsidRPr="006B35CB" w14:paraId="0FF230E7" w14:textId="77777777" w:rsidTr="00282204">
        <w:trPr>
          <w:trHeight w:val="340"/>
        </w:trPr>
        <w:tc>
          <w:tcPr>
            <w:tcW w:w="5838" w:type="dxa"/>
            <w:vMerge w:val="restart"/>
            <w:tcBorders>
              <w:top w:val="single" w:sz="4" w:space="0" w:color="auto"/>
            </w:tcBorders>
            <w:shd w:val="clear" w:color="auto" w:fill="auto"/>
            <w:noWrap/>
            <w:vAlign w:val="center"/>
            <w:hideMark/>
          </w:tcPr>
          <w:p w14:paraId="4F0E9E92"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Medication Review</w:t>
            </w:r>
          </w:p>
        </w:tc>
        <w:tc>
          <w:tcPr>
            <w:tcW w:w="1095" w:type="dxa"/>
            <w:tcBorders>
              <w:top w:val="single" w:sz="4" w:space="0" w:color="auto"/>
            </w:tcBorders>
            <w:shd w:val="clear" w:color="auto" w:fill="auto"/>
            <w:vAlign w:val="center"/>
            <w:hideMark/>
          </w:tcPr>
          <w:p w14:paraId="7EE6284B"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hideMark/>
          </w:tcPr>
          <w:p w14:paraId="5EA4BC9B"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6</w:t>
            </w:r>
          </w:p>
        </w:tc>
        <w:tc>
          <w:tcPr>
            <w:tcW w:w="1017" w:type="dxa"/>
            <w:tcBorders>
              <w:top w:val="single" w:sz="4" w:space="0" w:color="auto"/>
            </w:tcBorders>
            <w:shd w:val="clear" w:color="auto" w:fill="auto"/>
            <w:vAlign w:val="center"/>
            <w:hideMark/>
          </w:tcPr>
          <w:p w14:paraId="70E46DC8"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7</w:t>
            </w:r>
          </w:p>
        </w:tc>
        <w:tc>
          <w:tcPr>
            <w:tcW w:w="1175" w:type="dxa"/>
            <w:tcBorders>
              <w:top w:val="single" w:sz="4" w:space="0" w:color="auto"/>
            </w:tcBorders>
            <w:shd w:val="clear" w:color="auto" w:fill="auto"/>
            <w:vAlign w:val="center"/>
            <w:hideMark/>
          </w:tcPr>
          <w:p w14:paraId="06548BF1"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10</w:t>
            </w:r>
          </w:p>
        </w:tc>
        <w:tc>
          <w:tcPr>
            <w:tcW w:w="988" w:type="dxa"/>
            <w:tcBorders>
              <w:top w:val="single" w:sz="4" w:space="0" w:color="auto"/>
            </w:tcBorders>
            <w:shd w:val="clear" w:color="auto" w:fill="auto"/>
            <w:vAlign w:val="center"/>
            <w:hideMark/>
          </w:tcPr>
          <w:p w14:paraId="748960CF"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39</w:t>
            </w:r>
          </w:p>
        </w:tc>
        <w:tc>
          <w:tcPr>
            <w:tcW w:w="950" w:type="dxa"/>
            <w:tcBorders>
              <w:top w:val="single" w:sz="4" w:space="0" w:color="auto"/>
            </w:tcBorders>
            <w:shd w:val="clear" w:color="auto" w:fill="auto"/>
            <w:vAlign w:val="center"/>
            <w:hideMark/>
          </w:tcPr>
          <w:p w14:paraId="5553D13F"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39</w:t>
            </w:r>
          </w:p>
        </w:tc>
        <w:tc>
          <w:tcPr>
            <w:tcW w:w="1227" w:type="dxa"/>
            <w:tcBorders>
              <w:top w:val="single" w:sz="4" w:space="0" w:color="auto"/>
            </w:tcBorders>
            <w:shd w:val="clear" w:color="auto" w:fill="auto"/>
          </w:tcPr>
          <w:p w14:paraId="0B8F3508"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 (4-5)</w:t>
            </w:r>
          </w:p>
        </w:tc>
      </w:tr>
      <w:tr w:rsidR="00821B82" w:rsidRPr="006B35CB" w14:paraId="157E2FE9" w14:textId="77777777" w:rsidTr="00282204">
        <w:trPr>
          <w:trHeight w:val="270"/>
        </w:trPr>
        <w:tc>
          <w:tcPr>
            <w:tcW w:w="5838" w:type="dxa"/>
            <w:vMerge/>
            <w:tcBorders>
              <w:bottom w:val="single" w:sz="4" w:space="0" w:color="auto"/>
            </w:tcBorders>
            <w:shd w:val="clear" w:color="auto" w:fill="auto"/>
            <w:noWrap/>
            <w:vAlign w:val="center"/>
            <w:hideMark/>
          </w:tcPr>
          <w:p w14:paraId="594ABBD9" w14:textId="77777777" w:rsidR="00821B82" w:rsidRPr="00F152E9" w:rsidRDefault="00821B82" w:rsidP="00282204">
            <w:pPr>
              <w:spacing w:after="0" w:line="240" w:lineRule="auto"/>
              <w:rPr>
                <w:rFonts w:asciiTheme="minorBidi" w:eastAsia="Times New Roman" w:hAnsiTheme="minorBidi"/>
                <w:color w:val="000000"/>
                <w:sz w:val="20"/>
                <w:szCs w:val="20"/>
              </w:rPr>
            </w:pPr>
          </w:p>
        </w:tc>
        <w:tc>
          <w:tcPr>
            <w:tcW w:w="1095" w:type="dxa"/>
            <w:tcBorders>
              <w:bottom w:val="single" w:sz="4" w:space="0" w:color="auto"/>
            </w:tcBorders>
            <w:shd w:val="clear" w:color="auto" w:fill="auto"/>
            <w:vAlign w:val="center"/>
            <w:hideMark/>
          </w:tcPr>
          <w:p w14:paraId="23155AEF"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hideMark/>
          </w:tcPr>
          <w:p w14:paraId="054E5A45"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w:t>
            </w:r>
          </w:p>
        </w:tc>
        <w:tc>
          <w:tcPr>
            <w:tcW w:w="1017" w:type="dxa"/>
            <w:tcBorders>
              <w:bottom w:val="single" w:sz="4" w:space="0" w:color="auto"/>
            </w:tcBorders>
            <w:shd w:val="clear" w:color="auto" w:fill="auto"/>
            <w:vAlign w:val="center"/>
            <w:hideMark/>
          </w:tcPr>
          <w:p w14:paraId="29E9BB92"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2</w:t>
            </w:r>
          </w:p>
        </w:tc>
        <w:tc>
          <w:tcPr>
            <w:tcW w:w="1175" w:type="dxa"/>
            <w:tcBorders>
              <w:bottom w:val="single" w:sz="4" w:space="0" w:color="auto"/>
            </w:tcBorders>
            <w:shd w:val="clear" w:color="auto" w:fill="auto"/>
            <w:vAlign w:val="center"/>
            <w:hideMark/>
          </w:tcPr>
          <w:p w14:paraId="06CD93DA"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7</w:t>
            </w:r>
          </w:p>
        </w:tc>
        <w:tc>
          <w:tcPr>
            <w:tcW w:w="988" w:type="dxa"/>
            <w:tcBorders>
              <w:bottom w:val="single" w:sz="4" w:space="0" w:color="auto"/>
            </w:tcBorders>
            <w:shd w:val="clear" w:color="auto" w:fill="auto"/>
            <w:vAlign w:val="center"/>
            <w:hideMark/>
          </w:tcPr>
          <w:p w14:paraId="17ADD46F"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43</w:t>
            </w:r>
          </w:p>
        </w:tc>
        <w:tc>
          <w:tcPr>
            <w:tcW w:w="950" w:type="dxa"/>
            <w:tcBorders>
              <w:bottom w:val="single" w:sz="4" w:space="0" w:color="auto"/>
            </w:tcBorders>
            <w:shd w:val="clear" w:color="auto" w:fill="auto"/>
            <w:vAlign w:val="center"/>
            <w:hideMark/>
          </w:tcPr>
          <w:p w14:paraId="02BB6FAF"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45</w:t>
            </w:r>
          </w:p>
        </w:tc>
        <w:tc>
          <w:tcPr>
            <w:tcW w:w="1227" w:type="dxa"/>
            <w:tcBorders>
              <w:bottom w:val="single" w:sz="4" w:space="0" w:color="auto"/>
            </w:tcBorders>
            <w:shd w:val="clear" w:color="auto" w:fill="auto"/>
          </w:tcPr>
          <w:p w14:paraId="6BB83961"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 (4-5)</w:t>
            </w:r>
          </w:p>
        </w:tc>
      </w:tr>
      <w:tr w:rsidR="00821B82" w:rsidRPr="006B35CB" w14:paraId="5947898E" w14:textId="77777777" w:rsidTr="00282204">
        <w:trPr>
          <w:trHeight w:val="340"/>
        </w:trPr>
        <w:tc>
          <w:tcPr>
            <w:tcW w:w="5838" w:type="dxa"/>
            <w:vMerge w:val="restart"/>
            <w:tcBorders>
              <w:top w:val="single" w:sz="4" w:space="0" w:color="auto"/>
            </w:tcBorders>
            <w:shd w:val="clear" w:color="auto" w:fill="auto"/>
            <w:noWrap/>
            <w:vAlign w:val="center"/>
            <w:hideMark/>
          </w:tcPr>
          <w:p w14:paraId="2500B6D1"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Co-Morbid Disease Education</w:t>
            </w:r>
          </w:p>
        </w:tc>
        <w:tc>
          <w:tcPr>
            <w:tcW w:w="1095" w:type="dxa"/>
            <w:tcBorders>
              <w:top w:val="single" w:sz="4" w:space="0" w:color="auto"/>
            </w:tcBorders>
            <w:shd w:val="clear" w:color="auto" w:fill="auto"/>
            <w:vAlign w:val="center"/>
            <w:hideMark/>
          </w:tcPr>
          <w:p w14:paraId="27723A1B"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hideMark/>
          </w:tcPr>
          <w:p w14:paraId="642BF0E7"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11</w:t>
            </w:r>
          </w:p>
        </w:tc>
        <w:tc>
          <w:tcPr>
            <w:tcW w:w="1017" w:type="dxa"/>
            <w:tcBorders>
              <w:top w:val="single" w:sz="4" w:space="0" w:color="auto"/>
            </w:tcBorders>
            <w:shd w:val="clear" w:color="auto" w:fill="auto"/>
            <w:vAlign w:val="center"/>
            <w:hideMark/>
          </w:tcPr>
          <w:p w14:paraId="04C5B89F"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9</w:t>
            </w:r>
          </w:p>
        </w:tc>
        <w:tc>
          <w:tcPr>
            <w:tcW w:w="1175" w:type="dxa"/>
            <w:tcBorders>
              <w:top w:val="single" w:sz="4" w:space="0" w:color="auto"/>
            </w:tcBorders>
            <w:shd w:val="clear" w:color="auto" w:fill="auto"/>
            <w:vAlign w:val="center"/>
            <w:hideMark/>
          </w:tcPr>
          <w:p w14:paraId="3048520D"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9</w:t>
            </w:r>
          </w:p>
        </w:tc>
        <w:tc>
          <w:tcPr>
            <w:tcW w:w="988" w:type="dxa"/>
            <w:tcBorders>
              <w:top w:val="single" w:sz="4" w:space="0" w:color="auto"/>
            </w:tcBorders>
            <w:shd w:val="clear" w:color="auto" w:fill="auto"/>
            <w:vAlign w:val="center"/>
            <w:hideMark/>
          </w:tcPr>
          <w:p w14:paraId="61808F97"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47</w:t>
            </w:r>
          </w:p>
        </w:tc>
        <w:tc>
          <w:tcPr>
            <w:tcW w:w="950" w:type="dxa"/>
            <w:tcBorders>
              <w:top w:val="single" w:sz="4" w:space="0" w:color="auto"/>
            </w:tcBorders>
            <w:shd w:val="clear" w:color="auto" w:fill="auto"/>
            <w:vAlign w:val="center"/>
            <w:hideMark/>
          </w:tcPr>
          <w:p w14:paraId="1C119004"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24</w:t>
            </w:r>
          </w:p>
        </w:tc>
        <w:tc>
          <w:tcPr>
            <w:tcW w:w="1227" w:type="dxa"/>
            <w:tcBorders>
              <w:top w:val="single" w:sz="4" w:space="0" w:color="auto"/>
            </w:tcBorders>
            <w:shd w:val="clear" w:color="auto" w:fill="auto"/>
          </w:tcPr>
          <w:p w14:paraId="68CE9C1A"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 (3-4)</w:t>
            </w:r>
          </w:p>
        </w:tc>
      </w:tr>
      <w:tr w:rsidR="00821B82" w:rsidRPr="00894B39" w14:paraId="1F1396C2" w14:textId="77777777" w:rsidTr="00282204">
        <w:trPr>
          <w:trHeight w:val="177"/>
        </w:trPr>
        <w:tc>
          <w:tcPr>
            <w:tcW w:w="5838" w:type="dxa"/>
            <w:vMerge/>
            <w:tcBorders>
              <w:bottom w:val="single" w:sz="4" w:space="0" w:color="auto"/>
            </w:tcBorders>
            <w:shd w:val="clear" w:color="auto" w:fill="auto"/>
            <w:noWrap/>
            <w:vAlign w:val="center"/>
            <w:hideMark/>
          </w:tcPr>
          <w:p w14:paraId="2874ECF2"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p>
        </w:tc>
        <w:tc>
          <w:tcPr>
            <w:tcW w:w="1095" w:type="dxa"/>
            <w:tcBorders>
              <w:bottom w:val="single" w:sz="4" w:space="0" w:color="auto"/>
            </w:tcBorders>
            <w:shd w:val="clear" w:color="auto" w:fill="auto"/>
            <w:vAlign w:val="center"/>
            <w:hideMark/>
          </w:tcPr>
          <w:p w14:paraId="28B2CA05"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hideMark/>
          </w:tcPr>
          <w:p w14:paraId="6DFCEDF1"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8</w:t>
            </w:r>
          </w:p>
        </w:tc>
        <w:tc>
          <w:tcPr>
            <w:tcW w:w="1017" w:type="dxa"/>
            <w:tcBorders>
              <w:bottom w:val="single" w:sz="4" w:space="0" w:color="auto"/>
            </w:tcBorders>
            <w:shd w:val="clear" w:color="auto" w:fill="auto"/>
            <w:vAlign w:val="center"/>
            <w:hideMark/>
          </w:tcPr>
          <w:p w14:paraId="1B41255F"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5</w:t>
            </w:r>
          </w:p>
        </w:tc>
        <w:tc>
          <w:tcPr>
            <w:tcW w:w="1175" w:type="dxa"/>
            <w:tcBorders>
              <w:bottom w:val="single" w:sz="4" w:space="0" w:color="auto"/>
            </w:tcBorders>
            <w:shd w:val="clear" w:color="auto" w:fill="auto"/>
            <w:vAlign w:val="center"/>
            <w:hideMark/>
          </w:tcPr>
          <w:p w14:paraId="2D4379DD"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9</w:t>
            </w:r>
          </w:p>
        </w:tc>
        <w:tc>
          <w:tcPr>
            <w:tcW w:w="988" w:type="dxa"/>
            <w:tcBorders>
              <w:bottom w:val="single" w:sz="4" w:space="0" w:color="auto"/>
            </w:tcBorders>
            <w:shd w:val="clear" w:color="auto" w:fill="auto"/>
            <w:vAlign w:val="center"/>
            <w:hideMark/>
          </w:tcPr>
          <w:p w14:paraId="10A6F0A6"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48</w:t>
            </w:r>
          </w:p>
        </w:tc>
        <w:tc>
          <w:tcPr>
            <w:tcW w:w="950" w:type="dxa"/>
            <w:tcBorders>
              <w:bottom w:val="single" w:sz="4" w:space="0" w:color="auto"/>
            </w:tcBorders>
            <w:shd w:val="clear" w:color="auto" w:fill="auto"/>
            <w:vAlign w:val="center"/>
            <w:hideMark/>
          </w:tcPr>
          <w:p w14:paraId="6F6AD037"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31</w:t>
            </w:r>
          </w:p>
        </w:tc>
        <w:tc>
          <w:tcPr>
            <w:tcW w:w="1227" w:type="dxa"/>
            <w:tcBorders>
              <w:bottom w:val="single" w:sz="4" w:space="0" w:color="auto"/>
            </w:tcBorders>
            <w:shd w:val="clear" w:color="auto" w:fill="auto"/>
          </w:tcPr>
          <w:p w14:paraId="6FC2CBDB"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 (4-5)</w:t>
            </w:r>
          </w:p>
        </w:tc>
      </w:tr>
      <w:tr w:rsidR="00821B82" w:rsidRPr="006B35CB" w14:paraId="43B3DAB4" w14:textId="77777777" w:rsidTr="00282204">
        <w:trPr>
          <w:trHeight w:val="327"/>
        </w:trPr>
        <w:tc>
          <w:tcPr>
            <w:tcW w:w="5838" w:type="dxa"/>
            <w:vMerge w:val="restart"/>
            <w:tcBorders>
              <w:top w:val="single" w:sz="4" w:space="0" w:color="auto"/>
            </w:tcBorders>
            <w:shd w:val="clear" w:color="auto" w:fill="auto"/>
            <w:noWrap/>
            <w:vAlign w:val="center"/>
            <w:hideMark/>
          </w:tcPr>
          <w:p w14:paraId="4D8B503D"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 xml:space="preserve">Co-Morbid Disease Medication Management  </w:t>
            </w:r>
          </w:p>
        </w:tc>
        <w:tc>
          <w:tcPr>
            <w:tcW w:w="1095" w:type="dxa"/>
            <w:tcBorders>
              <w:top w:val="single" w:sz="4" w:space="0" w:color="auto"/>
            </w:tcBorders>
            <w:shd w:val="clear" w:color="auto" w:fill="auto"/>
            <w:vAlign w:val="center"/>
            <w:hideMark/>
          </w:tcPr>
          <w:p w14:paraId="7492241A"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hideMark/>
          </w:tcPr>
          <w:p w14:paraId="257FE186"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9</w:t>
            </w:r>
          </w:p>
        </w:tc>
        <w:tc>
          <w:tcPr>
            <w:tcW w:w="1017" w:type="dxa"/>
            <w:tcBorders>
              <w:top w:val="single" w:sz="4" w:space="0" w:color="auto"/>
            </w:tcBorders>
            <w:shd w:val="clear" w:color="auto" w:fill="auto"/>
            <w:vAlign w:val="center"/>
            <w:hideMark/>
          </w:tcPr>
          <w:p w14:paraId="35FB90B2"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7</w:t>
            </w:r>
          </w:p>
        </w:tc>
        <w:tc>
          <w:tcPr>
            <w:tcW w:w="1175" w:type="dxa"/>
            <w:tcBorders>
              <w:top w:val="single" w:sz="4" w:space="0" w:color="auto"/>
            </w:tcBorders>
            <w:shd w:val="clear" w:color="auto" w:fill="auto"/>
            <w:vAlign w:val="center"/>
            <w:hideMark/>
          </w:tcPr>
          <w:p w14:paraId="0EEACD4A"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15</w:t>
            </w:r>
          </w:p>
        </w:tc>
        <w:tc>
          <w:tcPr>
            <w:tcW w:w="988" w:type="dxa"/>
            <w:tcBorders>
              <w:top w:val="single" w:sz="4" w:space="0" w:color="auto"/>
            </w:tcBorders>
            <w:shd w:val="clear" w:color="auto" w:fill="auto"/>
            <w:vAlign w:val="center"/>
            <w:hideMark/>
          </w:tcPr>
          <w:p w14:paraId="60D25471"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44</w:t>
            </w:r>
          </w:p>
        </w:tc>
        <w:tc>
          <w:tcPr>
            <w:tcW w:w="950" w:type="dxa"/>
            <w:tcBorders>
              <w:top w:val="single" w:sz="4" w:space="0" w:color="auto"/>
            </w:tcBorders>
            <w:shd w:val="clear" w:color="auto" w:fill="auto"/>
            <w:vAlign w:val="center"/>
            <w:hideMark/>
          </w:tcPr>
          <w:p w14:paraId="7FFE549B"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26</w:t>
            </w:r>
          </w:p>
        </w:tc>
        <w:tc>
          <w:tcPr>
            <w:tcW w:w="1227" w:type="dxa"/>
            <w:tcBorders>
              <w:top w:val="single" w:sz="4" w:space="0" w:color="auto"/>
            </w:tcBorders>
            <w:shd w:val="clear" w:color="auto" w:fill="auto"/>
          </w:tcPr>
          <w:p w14:paraId="5B00AB2E"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 (3-5)</w:t>
            </w:r>
          </w:p>
        </w:tc>
      </w:tr>
      <w:tr w:rsidR="00821B82" w:rsidRPr="00894B39" w14:paraId="6116C66A" w14:textId="77777777" w:rsidTr="00282204">
        <w:trPr>
          <w:trHeight w:val="274"/>
        </w:trPr>
        <w:tc>
          <w:tcPr>
            <w:tcW w:w="5838" w:type="dxa"/>
            <w:vMerge/>
            <w:tcBorders>
              <w:bottom w:val="single" w:sz="4" w:space="0" w:color="auto"/>
            </w:tcBorders>
            <w:shd w:val="clear" w:color="auto" w:fill="auto"/>
            <w:noWrap/>
            <w:vAlign w:val="center"/>
            <w:hideMark/>
          </w:tcPr>
          <w:p w14:paraId="65DA00CF"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p>
        </w:tc>
        <w:tc>
          <w:tcPr>
            <w:tcW w:w="1095" w:type="dxa"/>
            <w:tcBorders>
              <w:bottom w:val="single" w:sz="4" w:space="0" w:color="auto"/>
            </w:tcBorders>
            <w:shd w:val="clear" w:color="auto" w:fill="auto"/>
            <w:vAlign w:val="center"/>
            <w:hideMark/>
          </w:tcPr>
          <w:p w14:paraId="775DE1BC"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hideMark/>
          </w:tcPr>
          <w:p w14:paraId="67A9CFA6"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w:t>
            </w:r>
          </w:p>
        </w:tc>
        <w:tc>
          <w:tcPr>
            <w:tcW w:w="1017" w:type="dxa"/>
            <w:tcBorders>
              <w:bottom w:val="single" w:sz="4" w:space="0" w:color="auto"/>
            </w:tcBorders>
            <w:shd w:val="clear" w:color="auto" w:fill="auto"/>
            <w:vAlign w:val="center"/>
            <w:hideMark/>
          </w:tcPr>
          <w:p w14:paraId="788FF1F0"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6</w:t>
            </w:r>
          </w:p>
        </w:tc>
        <w:tc>
          <w:tcPr>
            <w:tcW w:w="1175" w:type="dxa"/>
            <w:tcBorders>
              <w:bottom w:val="single" w:sz="4" w:space="0" w:color="auto"/>
            </w:tcBorders>
            <w:shd w:val="clear" w:color="auto" w:fill="auto"/>
            <w:vAlign w:val="center"/>
            <w:hideMark/>
          </w:tcPr>
          <w:p w14:paraId="45416DD6"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9</w:t>
            </w:r>
          </w:p>
        </w:tc>
        <w:tc>
          <w:tcPr>
            <w:tcW w:w="988" w:type="dxa"/>
            <w:tcBorders>
              <w:bottom w:val="single" w:sz="4" w:space="0" w:color="auto"/>
            </w:tcBorders>
            <w:shd w:val="clear" w:color="auto" w:fill="auto"/>
            <w:vAlign w:val="center"/>
            <w:hideMark/>
          </w:tcPr>
          <w:p w14:paraId="7A1F8913"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47</w:t>
            </w:r>
          </w:p>
        </w:tc>
        <w:tc>
          <w:tcPr>
            <w:tcW w:w="950" w:type="dxa"/>
            <w:tcBorders>
              <w:bottom w:val="single" w:sz="4" w:space="0" w:color="auto"/>
            </w:tcBorders>
            <w:shd w:val="clear" w:color="auto" w:fill="auto"/>
            <w:vAlign w:val="center"/>
            <w:hideMark/>
          </w:tcPr>
          <w:p w14:paraId="26DA920B"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34</w:t>
            </w:r>
          </w:p>
        </w:tc>
        <w:tc>
          <w:tcPr>
            <w:tcW w:w="1227" w:type="dxa"/>
            <w:tcBorders>
              <w:bottom w:val="single" w:sz="4" w:space="0" w:color="auto"/>
            </w:tcBorders>
            <w:shd w:val="clear" w:color="auto" w:fill="auto"/>
          </w:tcPr>
          <w:p w14:paraId="2A217874"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 (4-5)</w:t>
            </w:r>
          </w:p>
        </w:tc>
      </w:tr>
      <w:tr w:rsidR="00821B82" w:rsidRPr="006B35CB" w14:paraId="37A49278" w14:textId="77777777" w:rsidTr="00282204">
        <w:trPr>
          <w:trHeight w:val="340"/>
        </w:trPr>
        <w:tc>
          <w:tcPr>
            <w:tcW w:w="5838" w:type="dxa"/>
            <w:vMerge w:val="restart"/>
            <w:tcBorders>
              <w:top w:val="single" w:sz="4" w:space="0" w:color="auto"/>
            </w:tcBorders>
            <w:shd w:val="clear" w:color="auto" w:fill="auto"/>
            <w:noWrap/>
            <w:vAlign w:val="center"/>
            <w:hideMark/>
          </w:tcPr>
          <w:p w14:paraId="41C6CD43"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 xml:space="preserve">Blood Glucose Monitoring </w:t>
            </w:r>
          </w:p>
        </w:tc>
        <w:tc>
          <w:tcPr>
            <w:tcW w:w="1095" w:type="dxa"/>
            <w:tcBorders>
              <w:top w:val="single" w:sz="4" w:space="0" w:color="auto"/>
            </w:tcBorders>
            <w:shd w:val="clear" w:color="auto" w:fill="auto"/>
            <w:vAlign w:val="center"/>
            <w:hideMark/>
          </w:tcPr>
          <w:p w14:paraId="02BD6DBE"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hideMark/>
          </w:tcPr>
          <w:p w14:paraId="3827C2CD"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11</w:t>
            </w:r>
          </w:p>
        </w:tc>
        <w:tc>
          <w:tcPr>
            <w:tcW w:w="1017" w:type="dxa"/>
            <w:tcBorders>
              <w:top w:val="single" w:sz="4" w:space="0" w:color="auto"/>
            </w:tcBorders>
            <w:shd w:val="clear" w:color="auto" w:fill="auto"/>
            <w:vAlign w:val="center"/>
            <w:hideMark/>
          </w:tcPr>
          <w:p w14:paraId="686915D4"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10</w:t>
            </w:r>
          </w:p>
        </w:tc>
        <w:tc>
          <w:tcPr>
            <w:tcW w:w="1175" w:type="dxa"/>
            <w:tcBorders>
              <w:top w:val="single" w:sz="4" w:space="0" w:color="auto"/>
            </w:tcBorders>
            <w:shd w:val="clear" w:color="auto" w:fill="auto"/>
            <w:vAlign w:val="center"/>
            <w:hideMark/>
          </w:tcPr>
          <w:p w14:paraId="22775151"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13</w:t>
            </w:r>
          </w:p>
        </w:tc>
        <w:tc>
          <w:tcPr>
            <w:tcW w:w="988" w:type="dxa"/>
            <w:tcBorders>
              <w:top w:val="single" w:sz="4" w:space="0" w:color="auto"/>
            </w:tcBorders>
            <w:shd w:val="clear" w:color="auto" w:fill="auto"/>
            <w:vAlign w:val="center"/>
            <w:hideMark/>
          </w:tcPr>
          <w:p w14:paraId="56774819"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52</w:t>
            </w:r>
          </w:p>
        </w:tc>
        <w:tc>
          <w:tcPr>
            <w:tcW w:w="950" w:type="dxa"/>
            <w:tcBorders>
              <w:top w:val="single" w:sz="4" w:space="0" w:color="auto"/>
            </w:tcBorders>
            <w:shd w:val="clear" w:color="auto" w:fill="auto"/>
            <w:vAlign w:val="center"/>
            <w:hideMark/>
          </w:tcPr>
          <w:p w14:paraId="3915BF59"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13</w:t>
            </w:r>
          </w:p>
        </w:tc>
        <w:tc>
          <w:tcPr>
            <w:tcW w:w="1227" w:type="dxa"/>
            <w:tcBorders>
              <w:top w:val="single" w:sz="4" w:space="0" w:color="auto"/>
            </w:tcBorders>
            <w:shd w:val="clear" w:color="auto" w:fill="auto"/>
          </w:tcPr>
          <w:p w14:paraId="125A9220"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 (3-4)</w:t>
            </w:r>
          </w:p>
        </w:tc>
      </w:tr>
      <w:tr w:rsidR="00821B82" w:rsidRPr="00894B39" w14:paraId="0ECD8DCD" w14:textId="77777777" w:rsidTr="00282204">
        <w:trPr>
          <w:trHeight w:val="216"/>
        </w:trPr>
        <w:tc>
          <w:tcPr>
            <w:tcW w:w="5838" w:type="dxa"/>
            <w:vMerge/>
            <w:tcBorders>
              <w:bottom w:val="single" w:sz="4" w:space="0" w:color="auto"/>
            </w:tcBorders>
            <w:shd w:val="clear" w:color="auto" w:fill="auto"/>
            <w:noWrap/>
            <w:vAlign w:val="center"/>
            <w:hideMark/>
          </w:tcPr>
          <w:p w14:paraId="3F93CBF4"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p>
        </w:tc>
        <w:tc>
          <w:tcPr>
            <w:tcW w:w="1095" w:type="dxa"/>
            <w:tcBorders>
              <w:bottom w:val="single" w:sz="4" w:space="0" w:color="auto"/>
            </w:tcBorders>
            <w:shd w:val="clear" w:color="auto" w:fill="auto"/>
            <w:vAlign w:val="center"/>
            <w:hideMark/>
          </w:tcPr>
          <w:p w14:paraId="2404189F"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hideMark/>
          </w:tcPr>
          <w:p w14:paraId="4C316274"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8</w:t>
            </w:r>
          </w:p>
        </w:tc>
        <w:tc>
          <w:tcPr>
            <w:tcW w:w="1017" w:type="dxa"/>
            <w:tcBorders>
              <w:bottom w:val="single" w:sz="4" w:space="0" w:color="auto"/>
            </w:tcBorders>
            <w:shd w:val="clear" w:color="auto" w:fill="auto"/>
            <w:vAlign w:val="center"/>
            <w:hideMark/>
          </w:tcPr>
          <w:p w14:paraId="1D9ADC0D"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7</w:t>
            </w:r>
          </w:p>
        </w:tc>
        <w:tc>
          <w:tcPr>
            <w:tcW w:w="1175" w:type="dxa"/>
            <w:tcBorders>
              <w:bottom w:val="single" w:sz="4" w:space="0" w:color="auto"/>
            </w:tcBorders>
            <w:shd w:val="clear" w:color="auto" w:fill="auto"/>
            <w:vAlign w:val="center"/>
            <w:hideMark/>
          </w:tcPr>
          <w:p w14:paraId="58F8A561"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10</w:t>
            </w:r>
          </w:p>
        </w:tc>
        <w:tc>
          <w:tcPr>
            <w:tcW w:w="988" w:type="dxa"/>
            <w:tcBorders>
              <w:bottom w:val="single" w:sz="4" w:space="0" w:color="auto"/>
            </w:tcBorders>
            <w:shd w:val="clear" w:color="auto" w:fill="auto"/>
            <w:vAlign w:val="center"/>
            <w:hideMark/>
          </w:tcPr>
          <w:p w14:paraId="55ED5F17"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53</w:t>
            </w:r>
          </w:p>
        </w:tc>
        <w:tc>
          <w:tcPr>
            <w:tcW w:w="950" w:type="dxa"/>
            <w:tcBorders>
              <w:bottom w:val="single" w:sz="4" w:space="0" w:color="auto"/>
            </w:tcBorders>
            <w:shd w:val="clear" w:color="auto" w:fill="auto"/>
            <w:vAlign w:val="center"/>
            <w:hideMark/>
          </w:tcPr>
          <w:p w14:paraId="0E65E1EE"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23</w:t>
            </w:r>
          </w:p>
        </w:tc>
        <w:tc>
          <w:tcPr>
            <w:tcW w:w="1227" w:type="dxa"/>
            <w:tcBorders>
              <w:bottom w:val="single" w:sz="4" w:space="0" w:color="auto"/>
            </w:tcBorders>
            <w:shd w:val="clear" w:color="auto" w:fill="auto"/>
          </w:tcPr>
          <w:p w14:paraId="75992280"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 (4-4)</w:t>
            </w:r>
          </w:p>
        </w:tc>
      </w:tr>
      <w:tr w:rsidR="00821B82" w:rsidRPr="006B35CB" w14:paraId="7D37820C" w14:textId="77777777" w:rsidTr="00282204">
        <w:trPr>
          <w:trHeight w:val="340"/>
        </w:trPr>
        <w:tc>
          <w:tcPr>
            <w:tcW w:w="5838" w:type="dxa"/>
            <w:vMerge w:val="restart"/>
            <w:tcBorders>
              <w:top w:val="single" w:sz="4" w:space="0" w:color="auto"/>
            </w:tcBorders>
            <w:shd w:val="clear" w:color="auto" w:fill="auto"/>
            <w:noWrap/>
            <w:vAlign w:val="center"/>
            <w:hideMark/>
          </w:tcPr>
          <w:p w14:paraId="7EC5AA57"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 xml:space="preserve">Hypoglycemia Management </w:t>
            </w:r>
          </w:p>
        </w:tc>
        <w:tc>
          <w:tcPr>
            <w:tcW w:w="1095" w:type="dxa"/>
            <w:tcBorders>
              <w:top w:val="single" w:sz="4" w:space="0" w:color="auto"/>
            </w:tcBorders>
            <w:shd w:val="clear" w:color="auto" w:fill="auto"/>
            <w:vAlign w:val="center"/>
            <w:hideMark/>
          </w:tcPr>
          <w:p w14:paraId="0024C6A4"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hideMark/>
          </w:tcPr>
          <w:p w14:paraId="1DE53EF2"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7</w:t>
            </w:r>
          </w:p>
        </w:tc>
        <w:tc>
          <w:tcPr>
            <w:tcW w:w="1017" w:type="dxa"/>
            <w:tcBorders>
              <w:top w:val="single" w:sz="4" w:space="0" w:color="auto"/>
            </w:tcBorders>
            <w:shd w:val="clear" w:color="auto" w:fill="auto"/>
            <w:vAlign w:val="center"/>
            <w:hideMark/>
          </w:tcPr>
          <w:p w14:paraId="7EAC9AAF"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9</w:t>
            </w:r>
          </w:p>
        </w:tc>
        <w:tc>
          <w:tcPr>
            <w:tcW w:w="1175" w:type="dxa"/>
            <w:tcBorders>
              <w:top w:val="single" w:sz="4" w:space="0" w:color="auto"/>
            </w:tcBorders>
            <w:shd w:val="clear" w:color="auto" w:fill="auto"/>
            <w:vAlign w:val="center"/>
            <w:hideMark/>
          </w:tcPr>
          <w:p w14:paraId="3EB732D2"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14</w:t>
            </w:r>
          </w:p>
        </w:tc>
        <w:tc>
          <w:tcPr>
            <w:tcW w:w="988" w:type="dxa"/>
            <w:tcBorders>
              <w:top w:val="single" w:sz="4" w:space="0" w:color="auto"/>
            </w:tcBorders>
            <w:shd w:val="clear" w:color="auto" w:fill="auto"/>
            <w:vAlign w:val="center"/>
            <w:hideMark/>
          </w:tcPr>
          <w:p w14:paraId="152576E3"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51</w:t>
            </w:r>
          </w:p>
        </w:tc>
        <w:tc>
          <w:tcPr>
            <w:tcW w:w="950" w:type="dxa"/>
            <w:tcBorders>
              <w:top w:val="single" w:sz="4" w:space="0" w:color="auto"/>
            </w:tcBorders>
            <w:shd w:val="clear" w:color="auto" w:fill="auto"/>
            <w:vAlign w:val="center"/>
            <w:hideMark/>
          </w:tcPr>
          <w:p w14:paraId="594E98B6"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19</w:t>
            </w:r>
          </w:p>
        </w:tc>
        <w:tc>
          <w:tcPr>
            <w:tcW w:w="1227" w:type="dxa"/>
            <w:tcBorders>
              <w:top w:val="single" w:sz="4" w:space="0" w:color="auto"/>
            </w:tcBorders>
            <w:shd w:val="clear" w:color="auto" w:fill="auto"/>
          </w:tcPr>
          <w:p w14:paraId="37456B70"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 (3-4)</w:t>
            </w:r>
          </w:p>
        </w:tc>
      </w:tr>
      <w:tr w:rsidR="00821B82" w:rsidRPr="00894B39" w14:paraId="523FFFEB" w14:textId="77777777" w:rsidTr="00282204">
        <w:trPr>
          <w:trHeight w:val="214"/>
        </w:trPr>
        <w:tc>
          <w:tcPr>
            <w:tcW w:w="5838" w:type="dxa"/>
            <w:vMerge/>
            <w:tcBorders>
              <w:bottom w:val="single" w:sz="4" w:space="0" w:color="auto"/>
            </w:tcBorders>
            <w:shd w:val="clear" w:color="auto" w:fill="auto"/>
            <w:noWrap/>
            <w:vAlign w:val="center"/>
            <w:hideMark/>
          </w:tcPr>
          <w:p w14:paraId="558508CF"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p>
        </w:tc>
        <w:tc>
          <w:tcPr>
            <w:tcW w:w="1095" w:type="dxa"/>
            <w:tcBorders>
              <w:bottom w:val="single" w:sz="4" w:space="0" w:color="auto"/>
            </w:tcBorders>
            <w:shd w:val="clear" w:color="auto" w:fill="auto"/>
            <w:vAlign w:val="center"/>
            <w:hideMark/>
          </w:tcPr>
          <w:p w14:paraId="6BAFD02D"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hideMark/>
          </w:tcPr>
          <w:p w14:paraId="52D24C87"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w:t>
            </w:r>
          </w:p>
        </w:tc>
        <w:tc>
          <w:tcPr>
            <w:tcW w:w="1017" w:type="dxa"/>
            <w:tcBorders>
              <w:bottom w:val="single" w:sz="4" w:space="0" w:color="auto"/>
            </w:tcBorders>
            <w:shd w:val="clear" w:color="auto" w:fill="auto"/>
            <w:vAlign w:val="center"/>
            <w:hideMark/>
          </w:tcPr>
          <w:p w14:paraId="68CEAC62"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w:t>
            </w:r>
          </w:p>
        </w:tc>
        <w:tc>
          <w:tcPr>
            <w:tcW w:w="1175" w:type="dxa"/>
            <w:tcBorders>
              <w:bottom w:val="single" w:sz="4" w:space="0" w:color="auto"/>
            </w:tcBorders>
            <w:shd w:val="clear" w:color="auto" w:fill="auto"/>
            <w:vAlign w:val="center"/>
            <w:hideMark/>
          </w:tcPr>
          <w:p w14:paraId="5BB82788"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13</w:t>
            </w:r>
          </w:p>
        </w:tc>
        <w:tc>
          <w:tcPr>
            <w:tcW w:w="988" w:type="dxa"/>
            <w:tcBorders>
              <w:bottom w:val="single" w:sz="4" w:space="0" w:color="auto"/>
            </w:tcBorders>
            <w:shd w:val="clear" w:color="auto" w:fill="auto"/>
            <w:vAlign w:val="center"/>
            <w:hideMark/>
          </w:tcPr>
          <w:p w14:paraId="42D176E1"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55</w:t>
            </w:r>
          </w:p>
        </w:tc>
        <w:tc>
          <w:tcPr>
            <w:tcW w:w="950" w:type="dxa"/>
            <w:tcBorders>
              <w:bottom w:val="single" w:sz="4" w:space="0" w:color="auto"/>
            </w:tcBorders>
            <w:shd w:val="clear" w:color="auto" w:fill="auto"/>
            <w:vAlign w:val="center"/>
            <w:hideMark/>
          </w:tcPr>
          <w:p w14:paraId="78CA73D8"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25</w:t>
            </w:r>
          </w:p>
        </w:tc>
        <w:tc>
          <w:tcPr>
            <w:tcW w:w="1227" w:type="dxa"/>
            <w:tcBorders>
              <w:bottom w:val="single" w:sz="4" w:space="0" w:color="auto"/>
            </w:tcBorders>
            <w:shd w:val="clear" w:color="auto" w:fill="auto"/>
          </w:tcPr>
          <w:p w14:paraId="09CB2B12"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 (4-4)</w:t>
            </w:r>
          </w:p>
        </w:tc>
      </w:tr>
      <w:tr w:rsidR="00821B82" w:rsidRPr="006B35CB" w14:paraId="2D399775" w14:textId="77777777" w:rsidTr="00282204">
        <w:trPr>
          <w:trHeight w:val="340"/>
        </w:trPr>
        <w:tc>
          <w:tcPr>
            <w:tcW w:w="5838" w:type="dxa"/>
            <w:vMerge w:val="restart"/>
            <w:tcBorders>
              <w:top w:val="single" w:sz="4" w:space="0" w:color="auto"/>
            </w:tcBorders>
            <w:shd w:val="clear" w:color="auto" w:fill="auto"/>
            <w:noWrap/>
            <w:vAlign w:val="center"/>
            <w:hideMark/>
          </w:tcPr>
          <w:p w14:paraId="7C49C4EA"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 xml:space="preserve">Verification of Prescriptions </w:t>
            </w:r>
          </w:p>
        </w:tc>
        <w:tc>
          <w:tcPr>
            <w:tcW w:w="1095" w:type="dxa"/>
            <w:tcBorders>
              <w:top w:val="single" w:sz="4" w:space="0" w:color="auto"/>
            </w:tcBorders>
            <w:shd w:val="clear" w:color="auto" w:fill="auto"/>
            <w:vAlign w:val="center"/>
            <w:hideMark/>
          </w:tcPr>
          <w:p w14:paraId="35145073"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hideMark/>
          </w:tcPr>
          <w:p w14:paraId="675F26F7"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5</w:t>
            </w:r>
          </w:p>
        </w:tc>
        <w:tc>
          <w:tcPr>
            <w:tcW w:w="1017" w:type="dxa"/>
            <w:tcBorders>
              <w:top w:val="single" w:sz="4" w:space="0" w:color="auto"/>
            </w:tcBorders>
            <w:shd w:val="clear" w:color="auto" w:fill="auto"/>
            <w:vAlign w:val="center"/>
            <w:hideMark/>
          </w:tcPr>
          <w:p w14:paraId="4866ADBE"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w:t>
            </w:r>
          </w:p>
        </w:tc>
        <w:tc>
          <w:tcPr>
            <w:tcW w:w="1175" w:type="dxa"/>
            <w:tcBorders>
              <w:top w:val="single" w:sz="4" w:space="0" w:color="auto"/>
            </w:tcBorders>
            <w:shd w:val="clear" w:color="auto" w:fill="auto"/>
            <w:vAlign w:val="center"/>
            <w:hideMark/>
          </w:tcPr>
          <w:p w14:paraId="26242DF6"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6</w:t>
            </w:r>
          </w:p>
        </w:tc>
        <w:tc>
          <w:tcPr>
            <w:tcW w:w="988" w:type="dxa"/>
            <w:tcBorders>
              <w:top w:val="single" w:sz="4" w:space="0" w:color="auto"/>
            </w:tcBorders>
            <w:shd w:val="clear" w:color="auto" w:fill="auto"/>
            <w:vAlign w:val="center"/>
            <w:hideMark/>
          </w:tcPr>
          <w:p w14:paraId="55040B56"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46</w:t>
            </w:r>
          </w:p>
        </w:tc>
        <w:tc>
          <w:tcPr>
            <w:tcW w:w="950" w:type="dxa"/>
            <w:tcBorders>
              <w:top w:val="single" w:sz="4" w:space="0" w:color="auto"/>
            </w:tcBorders>
            <w:shd w:val="clear" w:color="auto" w:fill="auto"/>
            <w:vAlign w:val="center"/>
            <w:hideMark/>
          </w:tcPr>
          <w:p w14:paraId="1733BB56"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40</w:t>
            </w:r>
          </w:p>
        </w:tc>
        <w:tc>
          <w:tcPr>
            <w:tcW w:w="1227" w:type="dxa"/>
            <w:tcBorders>
              <w:top w:val="single" w:sz="4" w:space="0" w:color="auto"/>
            </w:tcBorders>
            <w:shd w:val="clear" w:color="auto" w:fill="auto"/>
          </w:tcPr>
          <w:p w14:paraId="36A68498"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 (4-5)</w:t>
            </w:r>
          </w:p>
        </w:tc>
      </w:tr>
      <w:tr w:rsidR="00821B82" w:rsidRPr="00894B39" w14:paraId="791B9436" w14:textId="77777777" w:rsidTr="00282204">
        <w:trPr>
          <w:trHeight w:val="99"/>
        </w:trPr>
        <w:tc>
          <w:tcPr>
            <w:tcW w:w="5838" w:type="dxa"/>
            <w:vMerge/>
            <w:tcBorders>
              <w:bottom w:val="single" w:sz="4" w:space="0" w:color="auto"/>
            </w:tcBorders>
            <w:shd w:val="clear" w:color="auto" w:fill="auto"/>
            <w:noWrap/>
            <w:vAlign w:val="center"/>
            <w:hideMark/>
          </w:tcPr>
          <w:p w14:paraId="15742DFC"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p>
        </w:tc>
        <w:tc>
          <w:tcPr>
            <w:tcW w:w="1095" w:type="dxa"/>
            <w:tcBorders>
              <w:bottom w:val="single" w:sz="4" w:space="0" w:color="auto"/>
            </w:tcBorders>
            <w:shd w:val="clear" w:color="auto" w:fill="auto"/>
            <w:vAlign w:val="center"/>
            <w:hideMark/>
          </w:tcPr>
          <w:p w14:paraId="2514E528"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hideMark/>
          </w:tcPr>
          <w:p w14:paraId="2DA7E362"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w:t>
            </w:r>
          </w:p>
        </w:tc>
        <w:tc>
          <w:tcPr>
            <w:tcW w:w="1017" w:type="dxa"/>
            <w:tcBorders>
              <w:bottom w:val="single" w:sz="4" w:space="0" w:color="auto"/>
            </w:tcBorders>
            <w:shd w:val="clear" w:color="auto" w:fill="auto"/>
            <w:vAlign w:val="center"/>
            <w:hideMark/>
          </w:tcPr>
          <w:p w14:paraId="1CCAF4C1"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3</w:t>
            </w:r>
          </w:p>
        </w:tc>
        <w:tc>
          <w:tcPr>
            <w:tcW w:w="1175" w:type="dxa"/>
            <w:tcBorders>
              <w:bottom w:val="single" w:sz="4" w:space="0" w:color="auto"/>
            </w:tcBorders>
            <w:shd w:val="clear" w:color="auto" w:fill="auto"/>
            <w:vAlign w:val="center"/>
            <w:hideMark/>
          </w:tcPr>
          <w:p w14:paraId="311C54E6"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3</w:t>
            </w:r>
          </w:p>
        </w:tc>
        <w:tc>
          <w:tcPr>
            <w:tcW w:w="988" w:type="dxa"/>
            <w:tcBorders>
              <w:bottom w:val="single" w:sz="4" w:space="0" w:color="auto"/>
            </w:tcBorders>
            <w:shd w:val="clear" w:color="auto" w:fill="auto"/>
            <w:vAlign w:val="center"/>
            <w:hideMark/>
          </w:tcPr>
          <w:p w14:paraId="26F1CBA8"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41</w:t>
            </w:r>
          </w:p>
        </w:tc>
        <w:tc>
          <w:tcPr>
            <w:tcW w:w="950" w:type="dxa"/>
            <w:tcBorders>
              <w:bottom w:val="single" w:sz="4" w:space="0" w:color="auto"/>
            </w:tcBorders>
            <w:shd w:val="clear" w:color="auto" w:fill="auto"/>
            <w:vAlign w:val="center"/>
            <w:hideMark/>
          </w:tcPr>
          <w:p w14:paraId="251EA62D"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50</w:t>
            </w:r>
          </w:p>
        </w:tc>
        <w:tc>
          <w:tcPr>
            <w:tcW w:w="1227" w:type="dxa"/>
            <w:tcBorders>
              <w:bottom w:val="single" w:sz="4" w:space="0" w:color="auto"/>
            </w:tcBorders>
            <w:shd w:val="clear" w:color="auto" w:fill="auto"/>
          </w:tcPr>
          <w:p w14:paraId="23D9E464"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4.5 (4-5)</w:t>
            </w:r>
          </w:p>
        </w:tc>
      </w:tr>
      <w:tr w:rsidR="00821B82" w:rsidRPr="006B35CB" w14:paraId="0141994E" w14:textId="77777777" w:rsidTr="00282204">
        <w:trPr>
          <w:trHeight w:val="327"/>
        </w:trPr>
        <w:tc>
          <w:tcPr>
            <w:tcW w:w="5838" w:type="dxa"/>
            <w:vMerge w:val="restart"/>
            <w:tcBorders>
              <w:top w:val="single" w:sz="4" w:space="0" w:color="auto"/>
            </w:tcBorders>
            <w:shd w:val="clear" w:color="auto" w:fill="auto"/>
            <w:noWrap/>
            <w:vAlign w:val="center"/>
            <w:hideMark/>
          </w:tcPr>
          <w:p w14:paraId="3211CB30"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 xml:space="preserve">Preparing and Dispensing of Prescriptions </w:t>
            </w:r>
          </w:p>
        </w:tc>
        <w:tc>
          <w:tcPr>
            <w:tcW w:w="1095" w:type="dxa"/>
            <w:tcBorders>
              <w:top w:val="single" w:sz="4" w:space="0" w:color="auto"/>
            </w:tcBorders>
            <w:shd w:val="clear" w:color="auto" w:fill="auto"/>
            <w:vAlign w:val="center"/>
            <w:hideMark/>
          </w:tcPr>
          <w:p w14:paraId="6FACB5BE"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hideMark/>
          </w:tcPr>
          <w:p w14:paraId="4FC53AE6"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w:t>
            </w:r>
          </w:p>
        </w:tc>
        <w:tc>
          <w:tcPr>
            <w:tcW w:w="1017" w:type="dxa"/>
            <w:tcBorders>
              <w:top w:val="single" w:sz="4" w:space="0" w:color="auto"/>
            </w:tcBorders>
            <w:shd w:val="clear" w:color="auto" w:fill="auto"/>
            <w:vAlign w:val="center"/>
            <w:hideMark/>
          </w:tcPr>
          <w:p w14:paraId="5C717394"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6</w:t>
            </w:r>
          </w:p>
        </w:tc>
        <w:tc>
          <w:tcPr>
            <w:tcW w:w="1175" w:type="dxa"/>
            <w:tcBorders>
              <w:top w:val="single" w:sz="4" w:space="0" w:color="auto"/>
            </w:tcBorders>
            <w:shd w:val="clear" w:color="auto" w:fill="auto"/>
            <w:vAlign w:val="center"/>
            <w:hideMark/>
          </w:tcPr>
          <w:p w14:paraId="076BCF6F"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9</w:t>
            </w:r>
          </w:p>
        </w:tc>
        <w:tc>
          <w:tcPr>
            <w:tcW w:w="988" w:type="dxa"/>
            <w:tcBorders>
              <w:top w:val="single" w:sz="4" w:space="0" w:color="auto"/>
            </w:tcBorders>
            <w:shd w:val="clear" w:color="auto" w:fill="auto"/>
            <w:vAlign w:val="center"/>
            <w:hideMark/>
          </w:tcPr>
          <w:p w14:paraId="4E01808F"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37</w:t>
            </w:r>
          </w:p>
        </w:tc>
        <w:tc>
          <w:tcPr>
            <w:tcW w:w="950" w:type="dxa"/>
            <w:tcBorders>
              <w:top w:val="single" w:sz="4" w:space="0" w:color="auto"/>
            </w:tcBorders>
            <w:shd w:val="clear" w:color="auto" w:fill="auto"/>
            <w:vAlign w:val="center"/>
            <w:hideMark/>
          </w:tcPr>
          <w:p w14:paraId="2AADC05F"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44</w:t>
            </w:r>
          </w:p>
        </w:tc>
        <w:tc>
          <w:tcPr>
            <w:tcW w:w="1227" w:type="dxa"/>
            <w:tcBorders>
              <w:top w:val="single" w:sz="4" w:space="0" w:color="auto"/>
            </w:tcBorders>
            <w:shd w:val="clear" w:color="auto" w:fill="auto"/>
          </w:tcPr>
          <w:p w14:paraId="66B9CEDB"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 (4-5)</w:t>
            </w:r>
          </w:p>
        </w:tc>
      </w:tr>
      <w:tr w:rsidR="00821B82" w:rsidRPr="00894B39" w14:paraId="401BB6C5" w14:textId="77777777" w:rsidTr="00282204">
        <w:trPr>
          <w:trHeight w:val="243"/>
        </w:trPr>
        <w:tc>
          <w:tcPr>
            <w:tcW w:w="5838" w:type="dxa"/>
            <w:vMerge/>
            <w:tcBorders>
              <w:bottom w:val="single" w:sz="4" w:space="0" w:color="auto"/>
            </w:tcBorders>
            <w:shd w:val="clear" w:color="auto" w:fill="auto"/>
            <w:noWrap/>
            <w:vAlign w:val="center"/>
            <w:hideMark/>
          </w:tcPr>
          <w:p w14:paraId="4CA2EE79"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p>
        </w:tc>
        <w:tc>
          <w:tcPr>
            <w:tcW w:w="1095" w:type="dxa"/>
            <w:tcBorders>
              <w:bottom w:val="single" w:sz="4" w:space="0" w:color="auto"/>
            </w:tcBorders>
            <w:shd w:val="clear" w:color="auto" w:fill="auto"/>
            <w:vAlign w:val="center"/>
            <w:hideMark/>
          </w:tcPr>
          <w:p w14:paraId="21A36716"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hideMark/>
          </w:tcPr>
          <w:p w14:paraId="14B66EBE"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6</w:t>
            </w:r>
          </w:p>
        </w:tc>
        <w:tc>
          <w:tcPr>
            <w:tcW w:w="1017" w:type="dxa"/>
            <w:tcBorders>
              <w:bottom w:val="single" w:sz="4" w:space="0" w:color="auto"/>
            </w:tcBorders>
            <w:shd w:val="clear" w:color="auto" w:fill="auto"/>
            <w:vAlign w:val="center"/>
            <w:hideMark/>
          </w:tcPr>
          <w:p w14:paraId="35C327E5"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3</w:t>
            </w:r>
          </w:p>
        </w:tc>
        <w:tc>
          <w:tcPr>
            <w:tcW w:w="1175" w:type="dxa"/>
            <w:tcBorders>
              <w:bottom w:val="single" w:sz="4" w:space="0" w:color="auto"/>
            </w:tcBorders>
            <w:shd w:val="clear" w:color="auto" w:fill="auto"/>
            <w:vAlign w:val="center"/>
            <w:hideMark/>
          </w:tcPr>
          <w:p w14:paraId="1ADE50DD"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w:t>
            </w:r>
          </w:p>
        </w:tc>
        <w:tc>
          <w:tcPr>
            <w:tcW w:w="988" w:type="dxa"/>
            <w:tcBorders>
              <w:bottom w:val="single" w:sz="4" w:space="0" w:color="auto"/>
            </w:tcBorders>
            <w:shd w:val="clear" w:color="auto" w:fill="auto"/>
            <w:vAlign w:val="center"/>
            <w:hideMark/>
          </w:tcPr>
          <w:p w14:paraId="5DD0EB80"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34</w:t>
            </w:r>
          </w:p>
        </w:tc>
        <w:tc>
          <w:tcPr>
            <w:tcW w:w="950" w:type="dxa"/>
            <w:tcBorders>
              <w:bottom w:val="single" w:sz="4" w:space="0" w:color="auto"/>
            </w:tcBorders>
            <w:shd w:val="clear" w:color="auto" w:fill="auto"/>
            <w:vAlign w:val="center"/>
            <w:hideMark/>
          </w:tcPr>
          <w:p w14:paraId="32E776B3"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54</w:t>
            </w:r>
          </w:p>
        </w:tc>
        <w:tc>
          <w:tcPr>
            <w:tcW w:w="1227" w:type="dxa"/>
            <w:tcBorders>
              <w:bottom w:val="single" w:sz="4" w:space="0" w:color="auto"/>
            </w:tcBorders>
            <w:shd w:val="clear" w:color="auto" w:fill="auto"/>
          </w:tcPr>
          <w:p w14:paraId="74C18BC3"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5 (4-5)</w:t>
            </w:r>
          </w:p>
        </w:tc>
      </w:tr>
      <w:tr w:rsidR="00821B82" w:rsidRPr="006B35CB" w14:paraId="766A2DD6" w14:textId="77777777" w:rsidTr="00282204">
        <w:trPr>
          <w:trHeight w:val="340"/>
        </w:trPr>
        <w:tc>
          <w:tcPr>
            <w:tcW w:w="5838" w:type="dxa"/>
            <w:vMerge w:val="restart"/>
            <w:tcBorders>
              <w:top w:val="single" w:sz="4" w:space="0" w:color="auto"/>
            </w:tcBorders>
            <w:shd w:val="clear" w:color="auto" w:fill="auto"/>
            <w:noWrap/>
            <w:vAlign w:val="center"/>
            <w:hideMark/>
          </w:tcPr>
          <w:p w14:paraId="023F7205"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 xml:space="preserve">Patient Counselling and Education </w:t>
            </w:r>
          </w:p>
        </w:tc>
        <w:tc>
          <w:tcPr>
            <w:tcW w:w="1095" w:type="dxa"/>
            <w:tcBorders>
              <w:top w:val="single" w:sz="4" w:space="0" w:color="auto"/>
            </w:tcBorders>
            <w:shd w:val="clear" w:color="auto" w:fill="auto"/>
            <w:vAlign w:val="center"/>
            <w:hideMark/>
          </w:tcPr>
          <w:p w14:paraId="5705E41C"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hideMark/>
          </w:tcPr>
          <w:p w14:paraId="180CEC28"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3</w:t>
            </w:r>
          </w:p>
        </w:tc>
        <w:tc>
          <w:tcPr>
            <w:tcW w:w="1017" w:type="dxa"/>
            <w:tcBorders>
              <w:top w:val="single" w:sz="4" w:space="0" w:color="auto"/>
            </w:tcBorders>
            <w:shd w:val="clear" w:color="auto" w:fill="auto"/>
            <w:vAlign w:val="center"/>
            <w:hideMark/>
          </w:tcPr>
          <w:p w14:paraId="42CC66D0"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w:t>
            </w:r>
          </w:p>
        </w:tc>
        <w:tc>
          <w:tcPr>
            <w:tcW w:w="1175" w:type="dxa"/>
            <w:tcBorders>
              <w:top w:val="single" w:sz="4" w:space="0" w:color="auto"/>
            </w:tcBorders>
            <w:shd w:val="clear" w:color="auto" w:fill="auto"/>
            <w:vAlign w:val="center"/>
            <w:hideMark/>
          </w:tcPr>
          <w:p w14:paraId="369120D1"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9</w:t>
            </w:r>
          </w:p>
        </w:tc>
        <w:tc>
          <w:tcPr>
            <w:tcW w:w="988" w:type="dxa"/>
            <w:tcBorders>
              <w:top w:val="single" w:sz="4" w:space="0" w:color="auto"/>
            </w:tcBorders>
            <w:shd w:val="clear" w:color="auto" w:fill="auto"/>
            <w:vAlign w:val="center"/>
            <w:hideMark/>
          </w:tcPr>
          <w:p w14:paraId="78A4B0F0"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45</w:t>
            </w:r>
          </w:p>
        </w:tc>
        <w:tc>
          <w:tcPr>
            <w:tcW w:w="950" w:type="dxa"/>
            <w:tcBorders>
              <w:top w:val="single" w:sz="4" w:space="0" w:color="auto"/>
            </w:tcBorders>
            <w:shd w:val="clear" w:color="auto" w:fill="auto"/>
            <w:vAlign w:val="center"/>
            <w:hideMark/>
          </w:tcPr>
          <w:p w14:paraId="6124DE2C"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40</w:t>
            </w:r>
          </w:p>
        </w:tc>
        <w:tc>
          <w:tcPr>
            <w:tcW w:w="1227" w:type="dxa"/>
            <w:tcBorders>
              <w:top w:val="single" w:sz="4" w:space="0" w:color="auto"/>
            </w:tcBorders>
            <w:shd w:val="clear" w:color="auto" w:fill="auto"/>
          </w:tcPr>
          <w:p w14:paraId="5E6C28E8"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 (4-5)</w:t>
            </w:r>
          </w:p>
        </w:tc>
      </w:tr>
      <w:tr w:rsidR="00821B82" w:rsidRPr="00894B39" w14:paraId="60A94BB4" w14:textId="77777777" w:rsidTr="00282204">
        <w:trPr>
          <w:trHeight w:val="142"/>
        </w:trPr>
        <w:tc>
          <w:tcPr>
            <w:tcW w:w="5838" w:type="dxa"/>
            <w:vMerge/>
            <w:tcBorders>
              <w:bottom w:val="single" w:sz="4" w:space="0" w:color="auto"/>
            </w:tcBorders>
            <w:shd w:val="clear" w:color="auto" w:fill="auto"/>
            <w:noWrap/>
            <w:vAlign w:val="center"/>
            <w:hideMark/>
          </w:tcPr>
          <w:p w14:paraId="626D579C"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p>
        </w:tc>
        <w:tc>
          <w:tcPr>
            <w:tcW w:w="1095" w:type="dxa"/>
            <w:tcBorders>
              <w:bottom w:val="single" w:sz="4" w:space="0" w:color="auto"/>
            </w:tcBorders>
            <w:shd w:val="clear" w:color="auto" w:fill="auto"/>
            <w:vAlign w:val="center"/>
            <w:hideMark/>
          </w:tcPr>
          <w:p w14:paraId="17C6F908"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hideMark/>
          </w:tcPr>
          <w:p w14:paraId="474C56F6"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w:t>
            </w:r>
          </w:p>
        </w:tc>
        <w:tc>
          <w:tcPr>
            <w:tcW w:w="1017" w:type="dxa"/>
            <w:tcBorders>
              <w:bottom w:val="single" w:sz="4" w:space="0" w:color="auto"/>
            </w:tcBorders>
            <w:shd w:val="clear" w:color="auto" w:fill="auto"/>
            <w:vAlign w:val="center"/>
            <w:hideMark/>
          </w:tcPr>
          <w:p w14:paraId="56B0F7E7"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0</w:t>
            </w:r>
          </w:p>
        </w:tc>
        <w:tc>
          <w:tcPr>
            <w:tcW w:w="1175" w:type="dxa"/>
            <w:tcBorders>
              <w:bottom w:val="single" w:sz="4" w:space="0" w:color="auto"/>
            </w:tcBorders>
            <w:shd w:val="clear" w:color="auto" w:fill="auto"/>
            <w:vAlign w:val="center"/>
            <w:hideMark/>
          </w:tcPr>
          <w:p w14:paraId="5E233F45"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w:t>
            </w:r>
          </w:p>
        </w:tc>
        <w:tc>
          <w:tcPr>
            <w:tcW w:w="988" w:type="dxa"/>
            <w:tcBorders>
              <w:bottom w:val="single" w:sz="4" w:space="0" w:color="auto"/>
            </w:tcBorders>
            <w:shd w:val="clear" w:color="auto" w:fill="auto"/>
            <w:vAlign w:val="center"/>
            <w:hideMark/>
          </w:tcPr>
          <w:p w14:paraId="093F188E"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44</w:t>
            </w:r>
          </w:p>
        </w:tc>
        <w:tc>
          <w:tcPr>
            <w:tcW w:w="950" w:type="dxa"/>
            <w:tcBorders>
              <w:bottom w:val="single" w:sz="4" w:space="0" w:color="auto"/>
            </w:tcBorders>
            <w:shd w:val="clear" w:color="auto" w:fill="auto"/>
            <w:vAlign w:val="center"/>
            <w:hideMark/>
          </w:tcPr>
          <w:p w14:paraId="549DB4EF"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48</w:t>
            </w:r>
          </w:p>
        </w:tc>
        <w:tc>
          <w:tcPr>
            <w:tcW w:w="1227" w:type="dxa"/>
            <w:tcBorders>
              <w:bottom w:val="single" w:sz="4" w:space="0" w:color="auto"/>
            </w:tcBorders>
            <w:shd w:val="clear" w:color="auto" w:fill="auto"/>
          </w:tcPr>
          <w:p w14:paraId="41331B40"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 (4-5)</w:t>
            </w:r>
          </w:p>
        </w:tc>
      </w:tr>
      <w:tr w:rsidR="00821B82" w:rsidRPr="006B35CB" w14:paraId="06221599" w14:textId="77777777" w:rsidTr="00282204">
        <w:trPr>
          <w:trHeight w:val="340"/>
        </w:trPr>
        <w:tc>
          <w:tcPr>
            <w:tcW w:w="5838" w:type="dxa"/>
            <w:vMerge w:val="restart"/>
            <w:tcBorders>
              <w:top w:val="single" w:sz="4" w:space="0" w:color="auto"/>
            </w:tcBorders>
            <w:shd w:val="clear" w:color="auto" w:fill="auto"/>
            <w:noWrap/>
            <w:vAlign w:val="center"/>
            <w:hideMark/>
          </w:tcPr>
          <w:p w14:paraId="59CA0FFB"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 xml:space="preserve">Healthy lifestyle Education </w:t>
            </w:r>
          </w:p>
        </w:tc>
        <w:tc>
          <w:tcPr>
            <w:tcW w:w="1095" w:type="dxa"/>
            <w:tcBorders>
              <w:top w:val="single" w:sz="4" w:space="0" w:color="auto"/>
            </w:tcBorders>
            <w:shd w:val="clear" w:color="auto" w:fill="auto"/>
            <w:vAlign w:val="center"/>
            <w:hideMark/>
          </w:tcPr>
          <w:p w14:paraId="37D3F6FC"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hideMark/>
          </w:tcPr>
          <w:p w14:paraId="59B7037A"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7</w:t>
            </w:r>
          </w:p>
        </w:tc>
        <w:tc>
          <w:tcPr>
            <w:tcW w:w="1017" w:type="dxa"/>
            <w:tcBorders>
              <w:top w:val="single" w:sz="4" w:space="0" w:color="auto"/>
            </w:tcBorders>
            <w:shd w:val="clear" w:color="auto" w:fill="auto"/>
            <w:vAlign w:val="center"/>
            <w:hideMark/>
          </w:tcPr>
          <w:p w14:paraId="5D0D48AB"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10</w:t>
            </w:r>
          </w:p>
        </w:tc>
        <w:tc>
          <w:tcPr>
            <w:tcW w:w="1175" w:type="dxa"/>
            <w:tcBorders>
              <w:top w:val="single" w:sz="4" w:space="0" w:color="auto"/>
            </w:tcBorders>
            <w:shd w:val="clear" w:color="auto" w:fill="auto"/>
            <w:vAlign w:val="center"/>
            <w:hideMark/>
          </w:tcPr>
          <w:p w14:paraId="61A9B0CB"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21</w:t>
            </w:r>
          </w:p>
        </w:tc>
        <w:tc>
          <w:tcPr>
            <w:tcW w:w="988" w:type="dxa"/>
            <w:tcBorders>
              <w:top w:val="single" w:sz="4" w:space="0" w:color="auto"/>
            </w:tcBorders>
            <w:shd w:val="clear" w:color="auto" w:fill="auto"/>
            <w:vAlign w:val="center"/>
            <w:hideMark/>
          </w:tcPr>
          <w:p w14:paraId="45F0526F"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44</w:t>
            </w:r>
          </w:p>
        </w:tc>
        <w:tc>
          <w:tcPr>
            <w:tcW w:w="950" w:type="dxa"/>
            <w:tcBorders>
              <w:top w:val="single" w:sz="4" w:space="0" w:color="auto"/>
            </w:tcBorders>
            <w:shd w:val="clear" w:color="auto" w:fill="auto"/>
            <w:vAlign w:val="center"/>
            <w:hideMark/>
          </w:tcPr>
          <w:p w14:paraId="2F973B60"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18</w:t>
            </w:r>
          </w:p>
        </w:tc>
        <w:tc>
          <w:tcPr>
            <w:tcW w:w="1227" w:type="dxa"/>
            <w:tcBorders>
              <w:top w:val="single" w:sz="4" w:space="0" w:color="auto"/>
            </w:tcBorders>
            <w:shd w:val="clear" w:color="auto" w:fill="auto"/>
          </w:tcPr>
          <w:p w14:paraId="57CD9D8D"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 (3-4)</w:t>
            </w:r>
          </w:p>
        </w:tc>
      </w:tr>
      <w:tr w:rsidR="00821B82" w:rsidRPr="00894B39" w14:paraId="6EBCB7BB" w14:textId="77777777" w:rsidTr="00282204">
        <w:trPr>
          <w:trHeight w:val="238"/>
        </w:trPr>
        <w:tc>
          <w:tcPr>
            <w:tcW w:w="5838" w:type="dxa"/>
            <w:vMerge/>
            <w:tcBorders>
              <w:bottom w:val="single" w:sz="4" w:space="0" w:color="auto"/>
            </w:tcBorders>
            <w:shd w:val="clear" w:color="auto" w:fill="auto"/>
            <w:noWrap/>
            <w:vAlign w:val="center"/>
            <w:hideMark/>
          </w:tcPr>
          <w:p w14:paraId="64A34D38"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p>
        </w:tc>
        <w:tc>
          <w:tcPr>
            <w:tcW w:w="1095" w:type="dxa"/>
            <w:tcBorders>
              <w:bottom w:val="single" w:sz="4" w:space="0" w:color="auto"/>
            </w:tcBorders>
            <w:shd w:val="clear" w:color="auto" w:fill="auto"/>
            <w:vAlign w:val="center"/>
            <w:hideMark/>
          </w:tcPr>
          <w:p w14:paraId="67D657D9"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hideMark/>
          </w:tcPr>
          <w:p w14:paraId="24F51F5D"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2</w:t>
            </w:r>
          </w:p>
        </w:tc>
        <w:tc>
          <w:tcPr>
            <w:tcW w:w="1017" w:type="dxa"/>
            <w:tcBorders>
              <w:bottom w:val="single" w:sz="4" w:space="0" w:color="auto"/>
            </w:tcBorders>
            <w:shd w:val="clear" w:color="auto" w:fill="auto"/>
            <w:vAlign w:val="center"/>
            <w:hideMark/>
          </w:tcPr>
          <w:p w14:paraId="6AC0EC1A"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7</w:t>
            </w:r>
          </w:p>
        </w:tc>
        <w:tc>
          <w:tcPr>
            <w:tcW w:w="1175" w:type="dxa"/>
            <w:tcBorders>
              <w:bottom w:val="single" w:sz="4" w:space="0" w:color="auto"/>
            </w:tcBorders>
            <w:shd w:val="clear" w:color="auto" w:fill="auto"/>
            <w:vAlign w:val="center"/>
            <w:hideMark/>
          </w:tcPr>
          <w:p w14:paraId="062E9FEE"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22</w:t>
            </w:r>
          </w:p>
        </w:tc>
        <w:tc>
          <w:tcPr>
            <w:tcW w:w="988" w:type="dxa"/>
            <w:tcBorders>
              <w:bottom w:val="single" w:sz="4" w:space="0" w:color="auto"/>
            </w:tcBorders>
            <w:shd w:val="clear" w:color="auto" w:fill="auto"/>
            <w:vAlign w:val="center"/>
            <w:hideMark/>
          </w:tcPr>
          <w:p w14:paraId="45BA11F3"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43</w:t>
            </w:r>
          </w:p>
        </w:tc>
        <w:tc>
          <w:tcPr>
            <w:tcW w:w="950" w:type="dxa"/>
            <w:tcBorders>
              <w:bottom w:val="single" w:sz="4" w:space="0" w:color="auto"/>
            </w:tcBorders>
            <w:shd w:val="clear" w:color="auto" w:fill="auto"/>
            <w:vAlign w:val="center"/>
            <w:hideMark/>
          </w:tcPr>
          <w:p w14:paraId="0E4F82BA"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27</w:t>
            </w:r>
          </w:p>
        </w:tc>
        <w:tc>
          <w:tcPr>
            <w:tcW w:w="1227" w:type="dxa"/>
            <w:tcBorders>
              <w:bottom w:val="single" w:sz="4" w:space="0" w:color="auto"/>
            </w:tcBorders>
            <w:shd w:val="clear" w:color="auto" w:fill="auto"/>
          </w:tcPr>
          <w:p w14:paraId="1B56DF2E"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 (3-5)</w:t>
            </w:r>
          </w:p>
        </w:tc>
      </w:tr>
      <w:tr w:rsidR="00821B82" w:rsidRPr="006B35CB" w14:paraId="2499992B" w14:textId="77777777" w:rsidTr="00282204">
        <w:trPr>
          <w:trHeight w:val="340"/>
        </w:trPr>
        <w:tc>
          <w:tcPr>
            <w:tcW w:w="5838" w:type="dxa"/>
            <w:vMerge w:val="restart"/>
            <w:tcBorders>
              <w:top w:val="single" w:sz="4" w:space="0" w:color="auto"/>
            </w:tcBorders>
            <w:shd w:val="clear" w:color="auto" w:fill="auto"/>
            <w:noWrap/>
            <w:vAlign w:val="center"/>
            <w:hideMark/>
          </w:tcPr>
          <w:p w14:paraId="58E180D6"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 xml:space="preserve">Dependent Prescribing of Diabetes Medications  </w:t>
            </w:r>
          </w:p>
        </w:tc>
        <w:tc>
          <w:tcPr>
            <w:tcW w:w="1095" w:type="dxa"/>
            <w:tcBorders>
              <w:top w:val="single" w:sz="4" w:space="0" w:color="auto"/>
            </w:tcBorders>
            <w:shd w:val="clear" w:color="auto" w:fill="auto"/>
            <w:vAlign w:val="center"/>
            <w:hideMark/>
          </w:tcPr>
          <w:p w14:paraId="5E186DFA"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hideMark/>
          </w:tcPr>
          <w:p w14:paraId="6A4000A9"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7</w:t>
            </w:r>
          </w:p>
        </w:tc>
        <w:tc>
          <w:tcPr>
            <w:tcW w:w="1017" w:type="dxa"/>
            <w:tcBorders>
              <w:top w:val="single" w:sz="4" w:space="0" w:color="auto"/>
            </w:tcBorders>
            <w:shd w:val="clear" w:color="auto" w:fill="auto"/>
            <w:vAlign w:val="center"/>
            <w:hideMark/>
          </w:tcPr>
          <w:p w14:paraId="3466425D"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15</w:t>
            </w:r>
          </w:p>
        </w:tc>
        <w:tc>
          <w:tcPr>
            <w:tcW w:w="1175" w:type="dxa"/>
            <w:tcBorders>
              <w:top w:val="single" w:sz="4" w:space="0" w:color="auto"/>
            </w:tcBorders>
            <w:shd w:val="clear" w:color="auto" w:fill="auto"/>
            <w:vAlign w:val="center"/>
            <w:hideMark/>
          </w:tcPr>
          <w:p w14:paraId="520CC3FF"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17</w:t>
            </w:r>
          </w:p>
        </w:tc>
        <w:tc>
          <w:tcPr>
            <w:tcW w:w="988" w:type="dxa"/>
            <w:tcBorders>
              <w:top w:val="single" w:sz="4" w:space="0" w:color="auto"/>
            </w:tcBorders>
            <w:shd w:val="clear" w:color="auto" w:fill="auto"/>
            <w:vAlign w:val="center"/>
            <w:hideMark/>
          </w:tcPr>
          <w:p w14:paraId="4EC80226"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46</w:t>
            </w:r>
          </w:p>
        </w:tc>
        <w:tc>
          <w:tcPr>
            <w:tcW w:w="950" w:type="dxa"/>
            <w:tcBorders>
              <w:top w:val="single" w:sz="4" w:space="0" w:color="auto"/>
            </w:tcBorders>
            <w:shd w:val="clear" w:color="auto" w:fill="auto"/>
            <w:vAlign w:val="center"/>
            <w:hideMark/>
          </w:tcPr>
          <w:p w14:paraId="6A0756F3"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15</w:t>
            </w:r>
          </w:p>
        </w:tc>
        <w:tc>
          <w:tcPr>
            <w:tcW w:w="1227" w:type="dxa"/>
            <w:tcBorders>
              <w:top w:val="single" w:sz="4" w:space="0" w:color="auto"/>
            </w:tcBorders>
            <w:shd w:val="clear" w:color="auto" w:fill="auto"/>
          </w:tcPr>
          <w:p w14:paraId="369F9EBD"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4 (3-4)</w:t>
            </w:r>
          </w:p>
        </w:tc>
      </w:tr>
      <w:tr w:rsidR="00821B82" w:rsidRPr="00894B39" w14:paraId="5F03D35B" w14:textId="77777777" w:rsidTr="00282204">
        <w:trPr>
          <w:trHeight w:val="201"/>
        </w:trPr>
        <w:tc>
          <w:tcPr>
            <w:tcW w:w="5838" w:type="dxa"/>
            <w:vMerge/>
            <w:tcBorders>
              <w:bottom w:val="single" w:sz="4" w:space="0" w:color="auto"/>
            </w:tcBorders>
            <w:shd w:val="clear" w:color="auto" w:fill="auto"/>
            <w:noWrap/>
            <w:vAlign w:val="bottom"/>
            <w:hideMark/>
          </w:tcPr>
          <w:p w14:paraId="3395DEAA"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p>
        </w:tc>
        <w:tc>
          <w:tcPr>
            <w:tcW w:w="1095" w:type="dxa"/>
            <w:tcBorders>
              <w:bottom w:val="single" w:sz="4" w:space="0" w:color="auto"/>
            </w:tcBorders>
            <w:shd w:val="clear" w:color="auto" w:fill="auto"/>
            <w:vAlign w:val="center"/>
            <w:hideMark/>
          </w:tcPr>
          <w:p w14:paraId="178BE3A5"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hideMark/>
          </w:tcPr>
          <w:p w14:paraId="6CA8FA25"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7</w:t>
            </w:r>
          </w:p>
        </w:tc>
        <w:tc>
          <w:tcPr>
            <w:tcW w:w="1017" w:type="dxa"/>
            <w:tcBorders>
              <w:bottom w:val="single" w:sz="4" w:space="0" w:color="auto"/>
            </w:tcBorders>
            <w:shd w:val="clear" w:color="auto" w:fill="auto"/>
            <w:vAlign w:val="center"/>
            <w:hideMark/>
          </w:tcPr>
          <w:p w14:paraId="2991490A"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10</w:t>
            </w:r>
          </w:p>
        </w:tc>
        <w:tc>
          <w:tcPr>
            <w:tcW w:w="1175" w:type="dxa"/>
            <w:tcBorders>
              <w:bottom w:val="single" w:sz="4" w:space="0" w:color="auto"/>
            </w:tcBorders>
            <w:shd w:val="clear" w:color="auto" w:fill="auto"/>
            <w:vAlign w:val="center"/>
            <w:hideMark/>
          </w:tcPr>
          <w:p w14:paraId="45ABD82E"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14</w:t>
            </w:r>
          </w:p>
        </w:tc>
        <w:tc>
          <w:tcPr>
            <w:tcW w:w="988" w:type="dxa"/>
            <w:tcBorders>
              <w:bottom w:val="single" w:sz="4" w:space="0" w:color="auto"/>
            </w:tcBorders>
            <w:shd w:val="clear" w:color="auto" w:fill="auto"/>
            <w:vAlign w:val="center"/>
            <w:hideMark/>
          </w:tcPr>
          <w:p w14:paraId="6C91247D"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45</w:t>
            </w:r>
          </w:p>
        </w:tc>
        <w:tc>
          <w:tcPr>
            <w:tcW w:w="950" w:type="dxa"/>
            <w:tcBorders>
              <w:bottom w:val="single" w:sz="4" w:space="0" w:color="auto"/>
            </w:tcBorders>
            <w:shd w:val="clear" w:color="auto" w:fill="auto"/>
            <w:vAlign w:val="center"/>
            <w:hideMark/>
          </w:tcPr>
          <w:p w14:paraId="1731D011"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24</w:t>
            </w:r>
          </w:p>
        </w:tc>
        <w:tc>
          <w:tcPr>
            <w:tcW w:w="1227" w:type="dxa"/>
            <w:tcBorders>
              <w:bottom w:val="single" w:sz="4" w:space="0" w:color="auto"/>
            </w:tcBorders>
            <w:shd w:val="clear" w:color="auto" w:fill="auto"/>
          </w:tcPr>
          <w:p w14:paraId="6D07CB01"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4 (3-4)</w:t>
            </w:r>
          </w:p>
        </w:tc>
      </w:tr>
      <w:tr w:rsidR="00821B82" w:rsidRPr="006B35CB" w14:paraId="2CAB6CF4" w14:textId="77777777" w:rsidTr="00282204">
        <w:trPr>
          <w:trHeight w:val="201"/>
        </w:trPr>
        <w:tc>
          <w:tcPr>
            <w:tcW w:w="5838" w:type="dxa"/>
            <w:vMerge w:val="restart"/>
            <w:tcBorders>
              <w:top w:val="single" w:sz="4" w:space="0" w:color="auto"/>
            </w:tcBorders>
            <w:shd w:val="clear" w:color="auto" w:fill="auto"/>
            <w:noWrap/>
            <w:vAlign w:val="center"/>
          </w:tcPr>
          <w:p w14:paraId="30D03CC6"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 xml:space="preserve">Independent Prescribing of Diabetes Medications  </w:t>
            </w:r>
          </w:p>
        </w:tc>
        <w:tc>
          <w:tcPr>
            <w:tcW w:w="1095" w:type="dxa"/>
            <w:tcBorders>
              <w:top w:val="single" w:sz="4" w:space="0" w:color="auto"/>
            </w:tcBorders>
            <w:shd w:val="clear" w:color="auto" w:fill="auto"/>
            <w:vAlign w:val="center"/>
          </w:tcPr>
          <w:p w14:paraId="3FB8554A" w14:textId="77777777" w:rsidR="00821B82" w:rsidRPr="00F152E9" w:rsidRDefault="00821B82" w:rsidP="00282204">
            <w:pPr>
              <w:spacing w:after="0" w:line="240" w:lineRule="auto"/>
              <w:rPr>
                <w:rFonts w:asciiTheme="minorBidi" w:eastAsia="Times New Roman" w:hAnsiTheme="minorBidi"/>
                <w:color w:val="000000"/>
                <w:sz w:val="20"/>
                <w:szCs w:val="20"/>
              </w:rPr>
            </w:pPr>
            <w:r w:rsidRPr="00F152E9">
              <w:rPr>
                <w:rFonts w:asciiTheme="minorBidi" w:eastAsia="Times New Roman" w:hAnsiTheme="minorBidi"/>
                <w:color w:val="000000"/>
                <w:sz w:val="20"/>
                <w:szCs w:val="20"/>
              </w:rPr>
              <w:t>Current</w:t>
            </w:r>
          </w:p>
        </w:tc>
        <w:tc>
          <w:tcPr>
            <w:tcW w:w="1547" w:type="dxa"/>
            <w:tcBorders>
              <w:top w:val="single" w:sz="4" w:space="0" w:color="auto"/>
            </w:tcBorders>
            <w:shd w:val="clear" w:color="auto" w:fill="auto"/>
            <w:vAlign w:val="center"/>
          </w:tcPr>
          <w:p w14:paraId="1DACDE2A"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18</w:t>
            </w:r>
          </w:p>
        </w:tc>
        <w:tc>
          <w:tcPr>
            <w:tcW w:w="1017" w:type="dxa"/>
            <w:tcBorders>
              <w:top w:val="single" w:sz="4" w:space="0" w:color="auto"/>
            </w:tcBorders>
            <w:shd w:val="clear" w:color="auto" w:fill="auto"/>
            <w:vAlign w:val="center"/>
          </w:tcPr>
          <w:p w14:paraId="0BD3A26A"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25</w:t>
            </w:r>
          </w:p>
        </w:tc>
        <w:tc>
          <w:tcPr>
            <w:tcW w:w="1175" w:type="dxa"/>
            <w:tcBorders>
              <w:top w:val="single" w:sz="4" w:space="0" w:color="auto"/>
            </w:tcBorders>
            <w:shd w:val="clear" w:color="auto" w:fill="auto"/>
            <w:vAlign w:val="center"/>
          </w:tcPr>
          <w:p w14:paraId="510A75FA"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19</w:t>
            </w:r>
          </w:p>
        </w:tc>
        <w:tc>
          <w:tcPr>
            <w:tcW w:w="988" w:type="dxa"/>
            <w:tcBorders>
              <w:top w:val="single" w:sz="4" w:space="0" w:color="auto"/>
            </w:tcBorders>
            <w:shd w:val="clear" w:color="auto" w:fill="auto"/>
            <w:vAlign w:val="center"/>
          </w:tcPr>
          <w:p w14:paraId="195CDDE0"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32</w:t>
            </w:r>
          </w:p>
        </w:tc>
        <w:tc>
          <w:tcPr>
            <w:tcW w:w="950" w:type="dxa"/>
            <w:tcBorders>
              <w:top w:val="single" w:sz="4" w:space="0" w:color="auto"/>
            </w:tcBorders>
            <w:shd w:val="clear" w:color="auto" w:fill="auto"/>
            <w:vAlign w:val="center"/>
          </w:tcPr>
          <w:p w14:paraId="1AB89CFD"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7</w:t>
            </w:r>
          </w:p>
        </w:tc>
        <w:tc>
          <w:tcPr>
            <w:tcW w:w="1227" w:type="dxa"/>
            <w:tcBorders>
              <w:top w:val="single" w:sz="4" w:space="0" w:color="auto"/>
            </w:tcBorders>
            <w:shd w:val="clear" w:color="auto" w:fill="auto"/>
          </w:tcPr>
          <w:p w14:paraId="376B5BBF" w14:textId="77777777" w:rsidR="00821B82" w:rsidRPr="00E271B2" w:rsidRDefault="00821B82" w:rsidP="00282204">
            <w:pPr>
              <w:spacing w:after="0" w:line="240" w:lineRule="auto"/>
              <w:rPr>
                <w:rFonts w:asciiTheme="minorBidi" w:eastAsia="Times New Roman" w:hAnsiTheme="minorBidi"/>
                <w:color w:val="000000"/>
                <w:sz w:val="20"/>
                <w:szCs w:val="20"/>
              </w:rPr>
            </w:pPr>
            <w:r w:rsidRPr="00E271B2">
              <w:rPr>
                <w:rFonts w:asciiTheme="minorBidi" w:eastAsia="Times New Roman" w:hAnsiTheme="minorBidi"/>
                <w:color w:val="000000"/>
                <w:sz w:val="20"/>
                <w:szCs w:val="20"/>
              </w:rPr>
              <w:t>3 (2-4)</w:t>
            </w:r>
          </w:p>
        </w:tc>
      </w:tr>
      <w:tr w:rsidR="00821B82" w:rsidRPr="00894B39" w14:paraId="4A398BF2" w14:textId="77777777" w:rsidTr="00282204">
        <w:trPr>
          <w:trHeight w:val="261"/>
        </w:trPr>
        <w:tc>
          <w:tcPr>
            <w:tcW w:w="5838" w:type="dxa"/>
            <w:vMerge/>
            <w:tcBorders>
              <w:bottom w:val="single" w:sz="4" w:space="0" w:color="auto"/>
            </w:tcBorders>
            <w:shd w:val="clear" w:color="auto" w:fill="auto"/>
            <w:noWrap/>
            <w:vAlign w:val="center"/>
          </w:tcPr>
          <w:p w14:paraId="477F99D1" w14:textId="77777777" w:rsidR="00821B82" w:rsidRPr="00894B39" w:rsidRDefault="00821B82" w:rsidP="00282204">
            <w:pPr>
              <w:spacing w:after="0" w:line="240" w:lineRule="auto"/>
              <w:rPr>
                <w:rFonts w:asciiTheme="minorBidi" w:eastAsia="Times New Roman" w:hAnsiTheme="minorBidi"/>
                <w:color w:val="1F4E79" w:themeColor="accent5" w:themeShade="80"/>
                <w:sz w:val="18"/>
                <w:szCs w:val="18"/>
              </w:rPr>
            </w:pPr>
          </w:p>
        </w:tc>
        <w:tc>
          <w:tcPr>
            <w:tcW w:w="1095" w:type="dxa"/>
            <w:tcBorders>
              <w:bottom w:val="single" w:sz="4" w:space="0" w:color="auto"/>
            </w:tcBorders>
            <w:shd w:val="clear" w:color="auto" w:fill="auto"/>
            <w:vAlign w:val="center"/>
          </w:tcPr>
          <w:p w14:paraId="053CC437" w14:textId="77777777" w:rsidR="00821B82" w:rsidRPr="00894B39" w:rsidRDefault="00821B82" w:rsidP="00282204">
            <w:pPr>
              <w:spacing w:after="0" w:line="240" w:lineRule="auto"/>
              <w:rPr>
                <w:rFonts w:asciiTheme="minorBidi" w:eastAsia="Times New Roman" w:hAnsiTheme="minorBidi"/>
                <w:color w:val="1F4E79" w:themeColor="accent5" w:themeShade="80"/>
                <w:sz w:val="20"/>
                <w:szCs w:val="20"/>
              </w:rPr>
            </w:pPr>
            <w:r w:rsidRPr="00894B39">
              <w:rPr>
                <w:rFonts w:asciiTheme="minorBidi" w:eastAsia="Times New Roman" w:hAnsiTheme="minorBidi"/>
                <w:color w:val="1F4E79" w:themeColor="accent5" w:themeShade="80"/>
                <w:sz w:val="20"/>
                <w:szCs w:val="20"/>
              </w:rPr>
              <w:t>Future</w:t>
            </w:r>
          </w:p>
        </w:tc>
        <w:tc>
          <w:tcPr>
            <w:tcW w:w="1547" w:type="dxa"/>
            <w:tcBorders>
              <w:bottom w:val="single" w:sz="4" w:space="0" w:color="auto"/>
            </w:tcBorders>
            <w:shd w:val="clear" w:color="auto" w:fill="auto"/>
            <w:vAlign w:val="center"/>
          </w:tcPr>
          <w:p w14:paraId="07402AEE"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14</w:t>
            </w:r>
          </w:p>
        </w:tc>
        <w:tc>
          <w:tcPr>
            <w:tcW w:w="1017" w:type="dxa"/>
            <w:tcBorders>
              <w:bottom w:val="single" w:sz="4" w:space="0" w:color="auto"/>
            </w:tcBorders>
            <w:shd w:val="clear" w:color="auto" w:fill="auto"/>
            <w:vAlign w:val="center"/>
          </w:tcPr>
          <w:p w14:paraId="43BBA1BC"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27</w:t>
            </w:r>
          </w:p>
        </w:tc>
        <w:tc>
          <w:tcPr>
            <w:tcW w:w="1175" w:type="dxa"/>
            <w:tcBorders>
              <w:bottom w:val="single" w:sz="4" w:space="0" w:color="auto"/>
            </w:tcBorders>
            <w:shd w:val="clear" w:color="auto" w:fill="auto"/>
            <w:vAlign w:val="center"/>
          </w:tcPr>
          <w:p w14:paraId="103888C2"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17</w:t>
            </w:r>
          </w:p>
        </w:tc>
        <w:tc>
          <w:tcPr>
            <w:tcW w:w="988" w:type="dxa"/>
            <w:tcBorders>
              <w:bottom w:val="single" w:sz="4" w:space="0" w:color="auto"/>
            </w:tcBorders>
            <w:shd w:val="clear" w:color="auto" w:fill="auto"/>
            <w:vAlign w:val="center"/>
          </w:tcPr>
          <w:p w14:paraId="63E33DAF"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31</w:t>
            </w:r>
          </w:p>
        </w:tc>
        <w:tc>
          <w:tcPr>
            <w:tcW w:w="950" w:type="dxa"/>
            <w:tcBorders>
              <w:bottom w:val="single" w:sz="4" w:space="0" w:color="auto"/>
            </w:tcBorders>
            <w:shd w:val="clear" w:color="auto" w:fill="auto"/>
            <w:vAlign w:val="center"/>
          </w:tcPr>
          <w:p w14:paraId="1FC26028"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10</w:t>
            </w:r>
          </w:p>
        </w:tc>
        <w:tc>
          <w:tcPr>
            <w:tcW w:w="1227" w:type="dxa"/>
            <w:tcBorders>
              <w:bottom w:val="single" w:sz="4" w:space="0" w:color="auto"/>
            </w:tcBorders>
            <w:shd w:val="clear" w:color="auto" w:fill="auto"/>
          </w:tcPr>
          <w:p w14:paraId="7EEFA27D" w14:textId="77777777" w:rsidR="00821B82" w:rsidRPr="00E271B2" w:rsidRDefault="00821B82" w:rsidP="00282204">
            <w:pPr>
              <w:spacing w:after="0" w:line="240" w:lineRule="auto"/>
              <w:rPr>
                <w:rFonts w:asciiTheme="minorBidi" w:eastAsia="Times New Roman" w:hAnsiTheme="minorBidi"/>
                <w:color w:val="1F4E79" w:themeColor="accent5" w:themeShade="80"/>
                <w:sz w:val="20"/>
                <w:szCs w:val="20"/>
              </w:rPr>
            </w:pPr>
            <w:r w:rsidRPr="00E271B2">
              <w:rPr>
                <w:rFonts w:asciiTheme="minorBidi" w:eastAsia="Times New Roman" w:hAnsiTheme="minorBidi"/>
                <w:color w:val="1F4E79" w:themeColor="accent5" w:themeShade="80"/>
                <w:sz w:val="20"/>
                <w:szCs w:val="20"/>
              </w:rPr>
              <w:t>3 (2-4)</w:t>
            </w:r>
          </w:p>
        </w:tc>
      </w:tr>
    </w:tbl>
    <w:p w14:paraId="1CBAAA8B" w14:textId="77777777" w:rsidR="00821B82" w:rsidRPr="001E260B" w:rsidRDefault="00821B82" w:rsidP="00821B82">
      <w:pPr>
        <w:rPr>
          <w:rFonts w:asciiTheme="minorBidi" w:eastAsia="Times New Roman" w:hAnsiTheme="minorBidi"/>
          <w:color w:val="000000"/>
          <w:sz w:val="20"/>
          <w:szCs w:val="20"/>
        </w:rPr>
      </w:pPr>
      <w:r>
        <w:rPr>
          <w:rFonts w:asciiTheme="minorBidi" w:hAnsiTheme="minorBidi"/>
          <w:shd w:val="clear" w:color="auto" w:fill="FFFFFF"/>
        </w:rPr>
        <w:tab/>
      </w:r>
      <w:r>
        <w:rPr>
          <w:rFonts w:asciiTheme="minorBidi" w:eastAsia="Times New Roman" w:hAnsiTheme="minorBidi"/>
          <w:color w:val="000000"/>
          <w:sz w:val="20"/>
          <w:szCs w:val="20"/>
        </w:rPr>
        <w:t xml:space="preserve">Responses </w:t>
      </w:r>
      <w:r w:rsidRPr="00954DCA">
        <w:rPr>
          <w:rFonts w:asciiTheme="minorBidi" w:eastAsia="Times New Roman" w:hAnsiTheme="minorBidi"/>
          <w:color w:val="000000"/>
          <w:sz w:val="20"/>
          <w:szCs w:val="20"/>
        </w:rPr>
        <w:t xml:space="preserve">(1=Strongly disagree, 2=Disagree, 3=Neither agree nor disagree, 4=Agree, 5=Strongly agree), </w:t>
      </w:r>
      <w:r>
        <w:rPr>
          <w:rFonts w:asciiTheme="minorBidi" w:eastAsia="Times New Roman" w:hAnsiTheme="minorBidi"/>
          <w:color w:val="000000"/>
          <w:sz w:val="20"/>
          <w:szCs w:val="20"/>
        </w:rPr>
        <w:t>IQR:</w:t>
      </w:r>
      <w:r w:rsidRPr="00954DCA">
        <w:rPr>
          <w:rFonts w:asciiTheme="minorBidi" w:eastAsia="Times New Roman" w:hAnsiTheme="minorBidi"/>
          <w:color w:val="000000"/>
          <w:sz w:val="20"/>
          <w:szCs w:val="20"/>
        </w:rPr>
        <w:t xml:space="preserve"> Interquartile Range.</w:t>
      </w:r>
    </w:p>
    <w:p w14:paraId="402D51FD" w14:textId="77777777" w:rsidR="00821B82" w:rsidRDefault="00821B82" w:rsidP="00821B82">
      <w:pPr>
        <w:sectPr w:rsidR="00821B82" w:rsidSect="00282204">
          <w:pgSz w:w="15840" w:h="12240" w:orient="landscape"/>
          <w:pgMar w:top="1440" w:right="1440" w:bottom="1440" w:left="1440" w:header="720" w:footer="720" w:gutter="0"/>
          <w:cols w:space="720"/>
          <w:docGrid w:linePitch="360"/>
        </w:sectPr>
      </w:pPr>
    </w:p>
    <w:p w14:paraId="25AF394B" w14:textId="77777777" w:rsidR="00821B82" w:rsidRPr="003954A6" w:rsidRDefault="00821B82" w:rsidP="00821B82">
      <w:pPr>
        <w:pStyle w:val="Heading4"/>
        <w:numPr>
          <w:ilvl w:val="3"/>
          <w:numId w:val="14"/>
        </w:numPr>
        <w:tabs>
          <w:tab w:val="left" w:pos="810"/>
        </w:tabs>
        <w:spacing w:line="240" w:lineRule="auto"/>
        <w:rPr>
          <w:rFonts w:asciiTheme="minorBidi" w:hAnsiTheme="minorBidi" w:cstheme="minorBidi"/>
          <w:sz w:val="24"/>
          <w:szCs w:val="24"/>
        </w:rPr>
      </w:pPr>
      <w:r w:rsidRPr="003954A6">
        <w:rPr>
          <w:rFonts w:asciiTheme="minorBidi" w:hAnsiTheme="minorBidi" w:cstheme="minorBidi"/>
          <w:sz w:val="24"/>
          <w:szCs w:val="24"/>
        </w:rPr>
        <w:t>Proportions of positive/negative attitudes among the sample population toward pharmacist roles in diabetes management in Saudi Arabia</w:t>
      </w:r>
    </w:p>
    <w:p w14:paraId="4E35B8AE" w14:textId="24A57AF5" w:rsidR="00821B82" w:rsidRDefault="00821B82" w:rsidP="00821B82">
      <w:pPr>
        <w:pStyle w:val="NormalWeb"/>
        <w:spacing w:line="360" w:lineRule="auto"/>
        <w:jc w:val="both"/>
        <w:rPr>
          <w:rFonts w:asciiTheme="minorBidi" w:hAnsiTheme="minorBidi" w:cstheme="minorBidi"/>
          <w:color w:val="32363A"/>
          <w:shd w:val="clear" w:color="auto" w:fill="FFFFFF"/>
        </w:rPr>
      </w:pPr>
      <w:r w:rsidRPr="00443BDA">
        <w:rPr>
          <w:rFonts w:asciiTheme="minorBidi" w:hAnsiTheme="minorBidi" w:cstheme="minorBidi"/>
          <w:color w:val="32363A"/>
          <w:shd w:val="clear" w:color="auto" w:fill="FFFFFF"/>
        </w:rPr>
        <w:t>As shown in</w:t>
      </w:r>
      <w:r>
        <w:rPr>
          <w:rFonts w:asciiTheme="minorBidi" w:hAnsiTheme="minorBidi" w:cstheme="minorBidi"/>
          <w:color w:val="32363A"/>
          <w:shd w:val="clear" w:color="auto" w:fill="FFFFFF"/>
        </w:rPr>
        <w:t xml:space="preserve"> </w:t>
      </w:r>
      <w:r w:rsidRPr="00A35B81">
        <w:rPr>
          <w:rFonts w:asciiTheme="minorBidi" w:hAnsiTheme="minorBidi" w:cstheme="minorBidi"/>
          <w:color w:val="1F3864" w:themeColor="accent1" w:themeShade="80"/>
          <w:shd w:val="clear" w:color="auto" w:fill="FFFFFF"/>
        </w:rPr>
        <w:fldChar w:fldCharType="begin"/>
      </w:r>
      <w:r w:rsidRPr="00A35B81">
        <w:rPr>
          <w:rFonts w:asciiTheme="minorBidi" w:hAnsiTheme="minorBidi" w:cstheme="minorBidi"/>
          <w:color w:val="1F3864" w:themeColor="accent1" w:themeShade="80"/>
          <w:shd w:val="clear" w:color="auto" w:fill="FFFFFF"/>
        </w:rPr>
        <w:instrText xml:space="preserve"> REF _Ref122361356 \h  \* MERGEFORMAT </w:instrText>
      </w:r>
      <w:r w:rsidRPr="00A35B81">
        <w:rPr>
          <w:rFonts w:asciiTheme="minorBidi" w:hAnsiTheme="minorBidi" w:cstheme="minorBidi"/>
          <w:color w:val="1F3864" w:themeColor="accent1" w:themeShade="80"/>
          <w:shd w:val="clear" w:color="auto" w:fill="FFFFFF"/>
        </w:rPr>
      </w:r>
      <w:r w:rsidRPr="00A35B81">
        <w:rPr>
          <w:rFonts w:asciiTheme="minorBidi" w:hAnsiTheme="minorBidi" w:cstheme="minorBidi"/>
          <w:color w:val="1F3864" w:themeColor="accent1" w:themeShade="80"/>
          <w:shd w:val="clear" w:color="auto" w:fill="FFFFFF"/>
        </w:rPr>
        <w:fldChar w:fldCharType="separate"/>
      </w:r>
      <w:r w:rsidR="00CC0633" w:rsidRPr="00CC0633">
        <w:rPr>
          <w:rFonts w:asciiTheme="minorBidi" w:hAnsiTheme="minorBidi" w:cstheme="minorBidi"/>
          <w:color w:val="1F3864" w:themeColor="accent1" w:themeShade="80"/>
        </w:rPr>
        <w:t xml:space="preserve">Figure </w:t>
      </w:r>
      <w:r w:rsidR="00CC0633" w:rsidRPr="00CC0633">
        <w:rPr>
          <w:rFonts w:asciiTheme="minorBidi" w:hAnsiTheme="minorBidi" w:cstheme="minorBidi"/>
          <w:noProof/>
          <w:color w:val="1F3864" w:themeColor="accent1" w:themeShade="80"/>
        </w:rPr>
        <w:t>3</w:t>
      </w:r>
      <w:r w:rsidRPr="00A35B81">
        <w:rPr>
          <w:rFonts w:asciiTheme="minorBidi" w:hAnsiTheme="minorBidi" w:cstheme="minorBidi"/>
          <w:color w:val="1F3864" w:themeColor="accent1" w:themeShade="80"/>
          <w:shd w:val="clear" w:color="auto" w:fill="FFFFFF"/>
        </w:rPr>
        <w:fldChar w:fldCharType="end"/>
      </w:r>
      <w:r w:rsidRPr="00923398">
        <w:rPr>
          <w:rFonts w:asciiTheme="minorBidi" w:hAnsiTheme="minorBidi" w:cstheme="minorBidi"/>
          <w:color w:val="32363A"/>
          <w:shd w:val="clear" w:color="auto" w:fill="FFFFFF"/>
        </w:rPr>
        <w:t xml:space="preserve">, most participants had overall positive attitudes toward pharmacist roles in diabetes management, both currently and in the future. Most participants agreed slightly more with pharmacists' future involvement compared to current involvement. The highest level of agreement </w:t>
      </w:r>
      <w:r>
        <w:rPr>
          <w:rFonts w:asciiTheme="minorBidi" w:hAnsiTheme="minorBidi" w:cstheme="minorBidi"/>
          <w:color w:val="32363A"/>
          <w:shd w:val="clear" w:color="auto" w:fill="FFFFFF"/>
        </w:rPr>
        <w:t xml:space="preserve">on pharmacists’ future </w:t>
      </w:r>
      <w:r w:rsidRPr="00923398">
        <w:rPr>
          <w:rFonts w:asciiTheme="minorBidi" w:hAnsiTheme="minorBidi" w:cstheme="minorBidi"/>
          <w:color w:val="32363A"/>
          <w:shd w:val="clear" w:color="auto" w:fill="FFFFFF"/>
        </w:rPr>
        <w:t xml:space="preserve">involvement was with </w:t>
      </w:r>
      <w:r>
        <w:rPr>
          <w:rFonts w:asciiTheme="minorBidi" w:hAnsiTheme="minorBidi" w:cstheme="minorBidi"/>
          <w:color w:val="32363A"/>
          <w:shd w:val="clear" w:color="auto" w:fill="FFFFFF"/>
        </w:rPr>
        <w:t>current practices (accounted for around 90%)</w:t>
      </w:r>
      <w:r w:rsidRPr="00923398">
        <w:rPr>
          <w:rFonts w:asciiTheme="minorBidi" w:hAnsiTheme="minorBidi" w:cstheme="minorBidi"/>
          <w:color w:val="32363A"/>
          <w:shd w:val="clear" w:color="auto" w:fill="FFFFFF"/>
        </w:rPr>
        <w:t xml:space="preserve"> such as verifying prescriptions</w:t>
      </w:r>
      <w:r>
        <w:rPr>
          <w:rFonts w:asciiTheme="minorBidi" w:hAnsiTheme="minorBidi" w:cstheme="minorBidi"/>
          <w:color w:val="32363A"/>
          <w:shd w:val="clear" w:color="auto" w:fill="FFFFFF"/>
        </w:rPr>
        <w:t>,</w:t>
      </w:r>
      <w:r w:rsidRPr="00923398">
        <w:rPr>
          <w:rFonts w:asciiTheme="minorBidi" w:hAnsiTheme="minorBidi" w:cstheme="minorBidi"/>
          <w:color w:val="32363A"/>
          <w:shd w:val="clear" w:color="auto" w:fill="FFFFFF"/>
        </w:rPr>
        <w:t xml:space="preserve"> counselling</w:t>
      </w:r>
      <w:r>
        <w:rPr>
          <w:rFonts w:asciiTheme="minorBidi" w:hAnsiTheme="minorBidi" w:cstheme="minorBidi"/>
          <w:color w:val="32363A"/>
          <w:shd w:val="clear" w:color="auto" w:fill="FFFFFF"/>
        </w:rPr>
        <w:t>,</w:t>
      </w:r>
      <w:r w:rsidRPr="00923398">
        <w:rPr>
          <w:rFonts w:asciiTheme="minorBidi" w:hAnsiTheme="minorBidi" w:cstheme="minorBidi"/>
          <w:color w:val="32363A"/>
          <w:shd w:val="clear" w:color="auto" w:fill="FFFFFF"/>
        </w:rPr>
        <w:t xml:space="preserve"> educating patients</w:t>
      </w:r>
      <w:r>
        <w:rPr>
          <w:rFonts w:asciiTheme="minorBidi" w:hAnsiTheme="minorBidi" w:cstheme="minorBidi"/>
          <w:color w:val="32363A"/>
          <w:shd w:val="clear" w:color="auto" w:fill="FFFFFF"/>
        </w:rPr>
        <w:t xml:space="preserve">, followed by </w:t>
      </w:r>
      <w:r w:rsidRPr="00923398">
        <w:rPr>
          <w:rFonts w:asciiTheme="minorBidi" w:hAnsiTheme="minorBidi" w:cstheme="minorBidi"/>
          <w:color w:val="32363A"/>
          <w:shd w:val="clear" w:color="auto" w:fill="FFFFFF"/>
        </w:rPr>
        <w:t xml:space="preserve">preparing and dispensing prescriptions </w:t>
      </w:r>
      <w:r>
        <w:rPr>
          <w:rFonts w:asciiTheme="minorBidi" w:hAnsiTheme="minorBidi" w:cstheme="minorBidi"/>
          <w:color w:val="32363A"/>
          <w:shd w:val="clear" w:color="auto" w:fill="FFFFFF"/>
        </w:rPr>
        <w:t>that accounted for</w:t>
      </w:r>
      <w:r w:rsidRPr="00923398">
        <w:rPr>
          <w:rFonts w:asciiTheme="minorBidi" w:hAnsiTheme="minorBidi" w:cstheme="minorBidi"/>
          <w:color w:val="32363A"/>
          <w:shd w:val="clear" w:color="auto" w:fill="FFFFFF"/>
        </w:rPr>
        <w:t xml:space="preserve"> 88% </w:t>
      </w:r>
      <w:r>
        <w:rPr>
          <w:rFonts w:asciiTheme="minorBidi" w:hAnsiTheme="minorBidi" w:cstheme="minorBidi"/>
          <w:color w:val="32363A"/>
          <w:shd w:val="clear" w:color="auto" w:fill="FFFFFF"/>
        </w:rPr>
        <w:t xml:space="preserve">of </w:t>
      </w:r>
      <w:r w:rsidRPr="00923398">
        <w:rPr>
          <w:rFonts w:asciiTheme="minorBidi" w:hAnsiTheme="minorBidi" w:cstheme="minorBidi"/>
          <w:color w:val="32363A"/>
          <w:shd w:val="clear" w:color="auto" w:fill="FFFFFF"/>
        </w:rPr>
        <w:t>agree</w:t>
      </w:r>
      <w:r>
        <w:rPr>
          <w:rFonts w:asciiTheme="minorBidi" w:hAnsiTheme="minorBidi" w:cstheme="minorBidi"/>
          <w:color w:val="32363A"/>
          <w:shd w:val="clear" w:color="auto" w:fill="FFFFFF"/>
        </w:rPr>
        <w:t>ment.</w:t>
      </w:r>
      <w:r w:rsidRPr="00923398">
        <w:rPr>
          <w:rFonts w:asciiTheme="minorBidi" w:hAnsiTheme="minorBidi" w:cstheme="minorBidi"/>
          <w:color w:val="32363A"/>
          <w:shd w:val="clear" w:color="auto" w:fill="FFFFFF"/>
        </w:rPr>
        <w:t xml:space="preserve"> </w:t>
      </w:r>
      <w:r w:rsidRPr="00981F8D">
        <w:rPr>
          <w:rFonts w:asciiTheme="minorBidi" w:hAnsiTheme="minorBidi" w:cstheme="minorBidi"/>
          <w:color w:val="32363A"/>
          <w:shd w:val="clear" w:color="auto" w:fill="FFFFFF"/>
        </w:rPr>
        <w:t xml:space="preserve">Interestingly, there was also a high agreement level for </w:t>
      </w:r>
      <w:r>
        <w:rPr>
          <w:rFonts w:asciiTheme="minorBidi" w:hAnsiTheme="minorBidi" w:cstheme="minorBidi"/>
          <w:color w:val="32363A"/>
          <w:shd w:val="clear" w:color="auto" w:fill="FFFFFF"/>
        </w:rPr>
        <w:t xml:space="preserve">the </w:t>
      </w:r>
      <w:r w:rsidRPr="00981F8D">
        <w:rPr>
          <w:rFonts w:asciiTheme="minorBidi" w:hAnsiTheme="minorBidi" w:cstheme="minorBidi"/>
          <w:color w:val="32363A"/>
          <w:shd w:val="clear" w:color="auto" w:fill="FFFFFF"/>
        </w:rPr>
        <w:t xml:space="preserve">medication review service </w:t>
      </w:r>
      <w:r>
        <w:rPr>
          <w:rFonts w:asciiTheme="minorBidi" w:hAnsiTheme="minorBidi" w:cstheme="minorBidi"/>
          <w:color w:val="32363A"/>
          <w:shd w:val="clear" w:color="auto" w:fill="FFFFFF"/>
        </w:rPr>
        <w:t xml:space="preserve">(accounted for </w:t>
      </w:r>
      <w:r w:rsidRPr="00923398">
        <w:rPr>
          <w:rFonts w:asciiTheme="minorBidi" w:hAnsiTheme="minorBidi" w:cstheme="minorBidi"/>
          <w:color w:val="32363A"/>
          <w:shd w:val="clear" w:color="auto" w:fill="FFFFFF"/>
        </w:rPr>
        <w:t>88</w:t>
      </w:r>
      <w:r>
        <w:rPr>
          <w:rFonts w:asciiTheme="minorBidi" w:hAnsiTheme="minorBidi" w:cstheme="minorBidi"/>
          <w:color w:val="32363A"/>
          <w:shd w:val="clear" w:color="auto" w:fill="FFFFFF"/>
        </w:rPr>
        <w:t>%)</w:t>
      </w:r>
      <w:r>
        <w:rPr>
          <w:rFonts w:ascii="Open Sans" w:hAnsi="Open Sans" w:cs="Open Sans"/>
          <w:color w:val="333333"/>
          <w:sz w:val="21"/>
          <w:szCs w:val="21"/>
          <w:shd w:val="clear" w:color="auto" w:fill="FFFFFF"/>
        </w:rPr>
        <w:t xml:space="preserve">, </w:t>
      </w:r>
      <w:r w:rsidRPr="00923398">
        <w:rPr>
          <w:rFonts w:asciiTheme="minorBidi" w:hAnsiTheme="minorBidi" w:cstheme="minorBidi"/>
          <w:color w:val="32363A"/>
          <w:shd w:val="clear" w:color="auto" w:fill="FFFFFF"/>
        </w:rPr>
        <w:t>and this service was</w:t>
      </w:r>
      <w:r>
        <w:rPr>
          <w:rFonts w:asciiTheme="minorBidi" w:hAnsiTheme="minorBidi" w:cstheme="minorBidi"/>
          <w:color w:val="32363A"/>
          <w:shd w:val="clear" w:color="auto" w:fill="FFFFFF"/>
        </w:rPr>
        <w:t xml:space="preserve"> not regularly </w:t>
      </w:r>
      <w:r w:rsidRPr="00923398">
        <w:rPr>
          <w:rFonts w:asciiTheme="minorBidi" w:hAnsiTheme="minorBidi" w:cstheme="minorBidi"/>
          <w:color w:val="32363A"/>
          <w:shd w:val="clear" w:color="auto" w:fill="FFFFFF"/>
        </w:rPr>
        <w:t>provided, as shown in the previous section, which may indicate a need for such a service. The level of agreement for other clinical activities</w:t>
      </w:r>
      <w:r>
        <w:rPr>
          <w:rFonts w:asciiTheme="minorBidi" w:hAnsiTheme="minorBidi" w:cstheme="minorBidi"/>
          <w:color w:val="32363A"/>
          <w:shd w:val="clear" w:color="auto" w:fill="FFFFFF"/>
        </w:rPr>
        <w:t>,</w:t>
      </w:r>
      <w:r w:rsidRPr="00923398">
        <w:rPr>
          <w:rFonts w:asciiTheme="minorBidi" w:hAnsiTheme="minorBidi" w:cstheme="minorBidi"/>
          <w:color w:val="32363A"/>
          <w:shd w:val="clear" w:color="auto" w:fill="FFFFFF"/>
        </w:rPr>
        <w:t xml:space="preserve"> such as medication therapy management, co-morbid disease education, co-morbid disease medication management, blood glucose monitoring and hypoglycemic management</w:t>
      </w:r>
      <w:r>
        <w:rPr>
          <w:rFonts w:asciiTheme="minorBidi" w:hAnsiTheme="minorBidi" w:cstheme="minorBidi"/>
          <w:color w:val="32363A"/>
          <w:shd w:val="clear" w:color="auto" w:fill="FFFFFF"/>
        </w:rPr>
        <w:t>,</w:t>
      </w:r>
      <w:r w:rsidRPr="00923398">
        <w:rPr>
          <w:rFonts w:asciiTheme="minorBidi" w:hAnsiTheme="minorBidi" w:cstheme="minorBidi"/>
          <w:color w:val="32363A"/>
          <w:shd w:val="clear" w:color="auto" w:fill="FFFFFF"/>
        </w:rPr>
        <w:t xml:space="preserve"> was slightly less than medication review</w:t>
      </w:r>
      <w:r>
        <w:rPr>
          <w:rFonts w:asciiTheme="minorBidi" w:hAnsiTheme="minorBidi" w:cstheme="minorBidi"/>
          <w:color w:val="32363A"/>
          <w:shd w:val="clear" w:color="auto" w:fill="FFFFFF"/>
        </w:rPr>
        <w:t>;</w:t>
      </w:r>
      <w:r w:rsidRPr="00923398">
        <w:rPr>
          <w:rFonts w:asciiTheme="minorBidi" w:hAnsiTheme="minorBidi" w:cstheme="minorBidi"/>
          <w:color w:val="32363A"/>
          <w:shd w:val="clear" w:color="auto" w:fill="FFFFFF"/>
        </w:rPr>
        <w:t xml:space="preserve"> </w:t>
      </w:r>
      <w:r>
        <w:rPr>
          <w:rFonts w:asciiTheme="minorBidi" w:hAnsiTheme="minorBidi" w:cstheme="minorBidi"/>
          <w:color w:val="32363A"/>
          <w:shd w:val="clear" w:color="auto" w:fill="FFFFFF"/>
        </w:rPr>
        <w:t>these</w:t>
      </w:r>
      <w:r w:rsidRPr="00923398">
        <w:rPr>
          <w:rFonts w:asciiTheme="minorBidi" w:hAnsiTheme="minorBidi" w:cstheme="minorBidi"/>
          <w:color w:val="32363A"/>
          <w:shd w:val="clear" w:color="auto" w:fill="FFFFFF"/>
        </w:rPr>
        <w:t xml:space="preserve"> </w:t>
      </w:r>
      <w:r w:rsidRPr="00B10261">
        <w:rPr>
          <w:rFonts w:asciiTheme="minorBidi" w:hAnsiTheme="minorBidi"/>
          <w:shd w:val="clear" w:color="auto" w:fill="FFFFFF"/>
        </w:rPr>
        <w:t>ranged from 7</w:t>
      </w:r>
      <w:r>
        <w:rPr>
          <w:rFonts w:asciiTheme="minorBidi" w:hAnsiTheme="minorBidi"/>
          <w:shd w:val="clear" w:color="auto" w:fill="FFFFFF"/>
        </w:rPr>
        <w:t>5</w:t>
      </w:r>
      <w:r w:rsidRPr="00B10261">
        <w:rPr>
          <w:rFonts w:asciiTheme="minorBidi" w:hAnsiTheme="minorBidi"/>
          <w:shd w:val="clear" w:color="auto" w:fill="FFFFFF"/>
        </w:rPr>
        <w:t xml:space="preserve">% to </w:t>
      </w:r>
      <w:r>
        <w:rPr>
          <w:rFonts w:asciiTheme="minorBidi" w:hAnsiTheme="minorBidi"/>
          <w:shd w:val="clear" w:color="auto" w:fill="FFFFFF"/>
        </w:rPr>
        <w:t>81</w:t>
      </w:r>
      <w:r w:rsidRPr="00B10261">
        <w:rPr>
          <w:rFonts w:asciiTheme="minorBidi" w:hAnsiTheme="minorBidi"/>
          <w:shd w:val="clear" w:color="auto" w:fill="FFFFFF"/>
        </w:rPr>
        <w:t>%</w:t>
      </w:r>
      <w:r>
        <w:rPr>
          <w:rFonts w:asciiTheme="minorBidi" w:hAnsiTheme="minorBidi"/>
          <w:shd w:val="clear" w:color="auto" w:fill="FFFFFF"/>
        </w:rPr>
        <w:t xml:space="preserve">. </w:t>
      </w:r>
      <w:r w:rsidRPr="00923398">
        <w:rPr>
          <w:rFonts w:asciiTheme="minorBidi" w:hAnsiTheme="minorBidi" w:cstheme="minorBidi"/>
          <w:color w:val="32363A"/>
          <w:shd w:val="clear" w:color="auto" w:fill="FFFFFF"/>
        </w:rPr>
        <w:t>Finally, the prescribing privileges for pharmacists, whether dependent or independent, obtained the lowest level of participants' agreement.</w:t>
      </w:r>
      <w:r>
        <w:rPr>
          <w:rFonts w:asciiTheme="minorBidi" w:hAnsiTheme="minorBidi" w:cstheme="minorBidi"/>
          <w:color w:val="32363A"/>
          <w:shd w:val="clear" w:color="auto" w:fill="FFFFFF"/>
        </w:rPr>
        <w:t xml:space="preserve"> T</w:t>
      </w:r>
      <w:r w:rsidRPr="00923398">
        <w:rPr>
          <w:rFonts w:asciiTheme="minorBidi" w:hAnsiTheme="minorBidi" w:cstheme="minorBidi"/>
          <w:color w:val="32363A"/>
          <w:shd w:val="clear" w:color="auto" w:fill="FFFFFF"/>
        </w:rPr>
        <w:t xml:space="preserve">he level </w:t>
      </w:r>
      <w:r>
        <w:rPr>
          <w:rFonts w:asciiTheme="minorBidi" w:hAnsiTheme="minorBidi" w:cstheme="minorBidi"/>
          <w:color w:val="32363A"/>
          <w:shd w:val="clear" w:color="auto" w:fill="FFFFFF"/>
        </w:rPr>
        <w:t xml:space="preserve">of agreement </w:t>
      </w:r>
      <w:r w:rsidRPr="00923398">
        <w:rPr>
          <w:rFonts w:asciiTheme="minorBidi" w:hAnsiTheme="minorBidi" w:cstheme="minorBidi"/>
          <w:color w:val="32363A"/>
          <w:shd w:val="clear" w:color="auto" w:fill="FFFFFF"/>
        </w:rPr>
        <w:t xml:space="preserve">for dependent prescribing </w:t>
      </w:r>
      <w:r>
        <w:rPr>
          <w:rFonts w:asciiTheme="minorBidi" w:hAnsiTheme="minorBidi" w:cstheme="minorBidi"/>
          <w:color w:val="32363A"/>
          <w:shd w:val="clear" w:color="auto" w:fill="FFFFFF"/>
        </w:rPr>
        <w:t xml:space="preserve">role for pharmacists </w:t>
      </w:r>
      <w:r w:rsidRPr="00923398">
        <w:rPr>
          <w:rFonts w:asciiTheme="minorBidi" w:hAnsiTheme="minorBidi" w:cstheme="minorBidi"/>
          <w:color w:val="32363A"/>
          <w:shd w:val="clear" w:color="auto" w:fill="FFFFFF"/>
        </w:rPr>
        <w:t>was 69%</w:t>
      </w:r>
      <w:r>
        <w:rPr>
          <w:rFonts w:asciiTheme="minorBidi" w:hAnsiTheme="minorBidi" w:cstheme="minorBidi"/>
          <w:color w:val="32363A"/>
          <w:shd w:val="clear" w:color="auto" w:fill="FFFFFF"/>
        </w:rPr>
        <w:t>, while for independent prescribing it was around 40%</w:t>
      </w:r>
      <w:r w:rsidRPr="00923398">
        <w:rPr>
          <w:rFonts w:asciiTheme="minorBidi" w:hAnsiTheme="minorBidi" w:cstheme="minorBidi"/>
          <w:color w:val="32363A"/>
          <w:shd w:val="clear" w:color="auto" w:fill="FFFFFF"/>
        </w:rPr>
        <w:t xml:space="preserve">. </w:t>
      </w:r>
    </w:p>
    <w:p w14:paraId="7DFABB28" w14:textId="77777777" w:rsidR="00821B82" w:rsidRDefault="00821B82" w:rsidP="00821B82">
      <w:pPr>
        <w:pStyle w:val="NormalWeb"/>
        <w:spacing w:line="360" w:lineRule="auto"/>
        <w:rPr>
          <w:rFonts w:asciiTheme="minorBidi" w:hAnsiTheme="minorBidi" w:cstheme="minorBidi"/>
          <w:color w:val="32363A"/>
          <w:shd w:val="clear" w:color="auto" w:fill="FFFFFF"/>
        </w:rPr>
      </w:pPr>
    </w:p>
    <w:p w14:paraId="16EAE678" w14:textId="77777777" w:rsidR="00821B82" w:rsidRDefault="00821B82" w:rsidP="00821B82">
      <w:pPr>
        <w:sectPr w:rsidR="00821B82">
          <w:pgSz w:w="12240" w:h="15840"/>
          <w:pgMar w:top="1440" w:right="1440" w:bottom="1440" w:left="1440" w:header="720" w:footer="720" w:gutter="0"/>
          <w:cols w:space="720"/>
          <w:docGrid w:linePitch="360"/>
        </w:sectPr>
      </w:pPr>
    </w:p>
    <w:p w14:paraId="4C9843AA" w14:textId="77777777" w:rsidR="00821B82" w:rsidRDefault="00821B82" w:rsidP="00821B82">
      <w:r>
        <w:rPr>
          <w:noProof/>
        </w:rPr>
        <w:drawing>
          <wp:inline distT="0" distB="0" distL="0" distR="0" wp14:anchorId="492AB751" wp14:editId="06C77E0A">
            <wp:extent cx="8698727" cy="4778734"/>
            <wp:effectExtent l="0" t="0" r="7620" b="3175"/>
            <wp:docPr id="56" name="Chart 56">
              <a:extLst xmlns:a="http://schemas.openxmlformats.org/drawingml/2006/main">
                <a:ext uri="{FF2B5EF4-FFF2-40B4-BE49-F238E27FC236}">
                  <a16:creationId xmlns:a16="http://schemas.microsoft.com/office/drawing/2014/main" id="{1BD2A08A-DCA7-0D10-B0CD-5D4EFACF5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68A1D5" w14:textId="0DFBD357" w:rsidR="00821B82" w:rsidRPr="005819A7" w:rsidRDefault="00821B82" w:rsidP="00821B82">
      <w:pPr>
        <w:pStyle w:val="Caption"/>
        <w:sectPr w:rsidR="00821B82" w:rsidRPr="005819A7" w:rsidSect="00282204">
          <w:pgSz w:w="15840" w:h="12240" w:orient="landscape"/>
          <w:pgMar w:top="1440" w:right="1440" w:bottom="1440" w:left="1440" w:header="720" w:footer="720" w:gutter="0"/>
          <w:cols w:space="720"/>
          <w:docGrid w:linePitch="360"/>
        </w:sectPr>
      </w:pPr>
      <w:bookmarkStart w:id="186" w:name="_Ref122361356"/>
      <w:bookmarkStart w:id="187" w:name="_Toc153894791"/>
      <w:r>
        <w:t xml:space="preserve">Figure </w:t>
      </w:r>
      <w:fldSimple w:instr=" SEQ Figure \* ARABIC ">
        <w:r w:rsidR="000507B7">
          <w:rPr>
            <w:noProof/>
          </w:rPr>
          <w:t>3</w:t>
        </w:r>
      </w:fldSimple>
      <w:bookmarkEnd w:id="186"/>
      <w:r>
        <w:t xml:space="preserve">: </w:t>
      </w:r>
      <w:r w:rsidRPr="00DE6133">
        <w:t>Views of healthcare professionals on the involvement of pharmacists in diabetes management</w:t>
      </w:r>
      <w:bookmarkEnd w:id="187"/>
    </w:p>
    <w:p w14:paraId="31153063" w14:textId="77777777" w:rsidR="00821B82" w:rsidRPr="003954A6" w:rsidRDefault="00821B82" w:rsidP="00821B82">
      <w:pPr>
        <w:pStyle w:val="Heading4"/>
        <w:numPr>
          <w:ilvl w:val="3"/>
          <w:numId w:val="14"/>
        </w:numPr>
        <w:tabs>
          <w:tab w:val="left" w:pos="810"/>
        </w:tabs>
        <w:spacing w:line="240" w:lineRule="auto"/>
        <w:rPr>
          <w:rFonts w:asciiTheme="minorBidi" w:hAnsiTheme="minorBidi" w:cstheme="minorBidi"/>
          <w:sz w:val="24"/>
          <w:szCs w:val="24"/>
        </w:rPr>
      </w:pPr>
      <w:bookmarkStart w:id="188" w:name="_Toc122626421"/>
      <w:r w:rsidRPr="003954A6">
        <w:rPr>
          <w:rFonts w:asciiTheme="minorBidi" w:hAnsiTheme="minorBidi" w:cstheme="minorBidi"/>
          <w:sz w:val="24"/>
          <w:szCs w:val="24"/>
        </w:rPr>
        <w:t>Doctors’, pharmacists’, and nurses’ attitudes toward pharmacists’ role in diabetes-management</w:t>
      </w:r>
      <w:bookmarkEnd w:id="188"/>
      <w:r w:rsidRPr="003954A6">
        <w:rPr>
          <w:rFonts w:asciiTheme="minorBidi" w:hAnsiTheme="minorBidi" w:cstheme="minorBidi"/>
          <w:sz w:val="24"/>
          <w:szCs w:val="24"/>
        </w:rPr>
        <w:t xml:space="preserve"> </w:t>
      </w:r>
    </w:p>
    <w:p w14:paraId="14EE0ECC" w14:textId="77777777" w:rsidR="00821B82" w:rsidRPr="00ED6836" w:rsidRDefault="00821B82" w:rsidP="00821B82">
      <w:pPr>
        <w:spacing w:after="0"/>
      </w:pPr>
    </w:p>
    <w:p w14:paraId="0BBA70DE" w14:textId="788639BF" w:rsidR="00821B82" w:rsidRDefault="00821B82" w:rsidP="00821B82">
      <w:pPr>
        <w:spacing w:line="360" w:lineRule="auto"/>
        <w:jc w:val="both"/>
        <w:rPr>
          <w:rFonts w:asciiTheme="minorBidi" w:hAnsiTheme="minorBidi"/>
          <w:color w:val="32363A"/>
          <w:sz w:val="24"/>
          <w:szCs w:val="24"/>
          <w:shd w:val="clear" w:color="auto" w:fill="FFFFFF"/>
        </w:rPr>
      </w:pPr>
      <w:r w:rsidRPr="00DF5168">
        <w:rPr>
          <w:rFonts w:asciiTheme="minorBidi" w:hAnsiTheme="minorBidi"/>
          <w:sz w:val="24"/>
          <w:szCs w:val="24"/>
          <w:shd w:val="clear" w:color="auto" w:fill="FFFFFF"/>
        </w:rPr>
        <w:t xml:space="preserve">To compare the perspectives of those three </w:t>
      </w:r>
      <w:r>
        <w:rPr>
          <w:rFonts w:asciiTheme="minorBidi" w:hAnsiTheme="minorBidi"/>
          <w:sz w:val="24"/>
          <w:szCs w:val="24"/>
          <w:shd w:val="clear" w:color="auto" w:fill="FFFFFF"/>
        </w:rPr>
        <w:t>HCPs</w:t>
      </w:r>
      <w:r w:rsidRPr="00DF5168">
        <w:rPr>
          <w:rFonts w:asciiTheme="minorBidi" w:hAnsiTheme="minorBidi"/>
          <w:sz w:val="24"/>
          <w:szCs w:val="24"/>
          <w:shd w:val="clear" w:color="auto" w:fill="FFFFFF"/>
        </w:rPr>
        <w:t xml:space="preserve"> (doctors, pharmacists, and nurses) toward pharmacists’ roles in diabetes management,</w:t>
      </w:r>
      <w:r>
        <w:rPr>
          <w:rFonts w:asciiTheme="minorBidi" w:hAnsiTheme="minorBidi"/>
          <w:sz w:val="24"/>
          <w:szCs w:val="24"/>
          <w:shd w:val="clear" w:color="auto" w:fill="FFFFFF"/>
        </w:rPr>
        <w:t xml:space="preserve"> </w:t>
      </w:r>
      <w:r w:rsidR="001A54E4" w:rsidRPr="006651F9">
        <w:rPr>
          <w:rFonts w:asciiTheme="minorBidi" w:hAnsiTheme="minorBidi"/>
          <w:color w:val="1F3864" w:themeColor="accent1" w:themeShade="80"/>
          <w:sz w:val="24"/>
          <w:szCs w:val="24"/>
          <w:shd w:val="clear" w:color="auto" w:fill="FFFFFF"/>
        </w:rPr>
        <w:fldChar w:fldCharType="begin"/>
      </w:r>
      <w:r w:rsidR="001A54E4" w:rsidRPr="006651F9">
        <w:rPr>
          <w:rFonts w:asciiTheme="minorBidi" w:hAnsiTheme="minorBidi"/>
          <w:color w:val="1F3864" w:themeColor="accent1" w:themeShade="80"/>
          <w:sz w:val="24"/>
          <w:szCs w:val="24"/>
          <w:shd w:val="clear" w:color="auto" w:fill="FFFFFF"/>
        </w:rPr>
        <w:instrText xml:space="preserve"> REF _Ref122361693 \h  \* MERGEFORMAT </w:instrText>
      </w:r>
      <w:r w:rsidR="001A54E4" w:rsidRPr="006651F9">
        <w:rPr>
          <w:rFonts w:asciiTheme="minorBidi" w:hAnsiTheme="minorBidi"/>
          <w:color w:val="1F3864" w:themeColor="accent1" w:themeShade="80"/>
          <w:sz w:val="24"/>
          <w:szCs w:val="24"/>
          <w:shd w:val="clear" w:color="auto" w:fill="FFFFFF"/>
        </w:rPr>
      </w:r>
      <w:r w:rsidR="001A54E4" w:rsidRPr="006651F9">
        <w:rPr>
          <w:rFonts w:asciiTheme="minorBidi" w:hAnsiTheme="minorBidi"/>
          <w:color w:val="1F3864" w:themeColor="accent1" w:themeShade="80"/>
          <w:sz w:val="24"/>
          <w:szCs w:val="24"/>
          <w:shd w:val="clear" w:color="auto" w:fill="FFFFFF"/>
        </w:rPr>
        <w:fldChar w:fldCharType="separate"/>
      </w:r>
      <w:r w:rsidR="001A54E4" w:rsidRPr="001A54E4">
        <w:rPr>
          <w:rFonts w:asciiTheme="minorBidi" w:hAnsiTheme="minorBidi"/>
          <w:color w:val="1F3864" w:themeColor="accent1" w:themeShade="80"/>
          <w:sz w:val="24"/>
          <w:szCs w:val="24"/>
        </w:rPr>
        <w:t xml:space="preserve">Table </w:t>
      </w:r>
      <w:r w:rsidR="001A54E4" w:rsidRPr="001A54E4">
        <w:rPr>
          <w:rFonts w:asciiTheme="minorBidi" w:hAnsiTheme="minorBidi"/>
          <w:noProof/>
          <w:color w:val="1F3864" w:themeColor="accent1" w:themeShade="80"/>
          <w:sz w:val="24"/>
          <w:szCs w:val="24"/>
        </w:rPr>
        <w:t>17</w:t>
      </w:r>
      <w:r w:rsidR="001A54E4" w:rsidRPr="006651F9">
        <w:rPr>
          <w:rFonts w:asciiTheme="minorBidi" w:hAnsiTheme="minorBidi"/>
          <w:color w:val="1F3864" w:themeColor="accent1" w:themeShade="80"/>
          <w:sz w:val="24"/>
          <w:szCs w:val="24"/>
          <w:shd w:val="clear" w:color="auto" w:fill="FFFFFF"/>
        </w:rPr>
        <w:fldChar w:fldCharType="end"/>
      </w:r>
      <w:r>
        <w:rPr>
          <w:rFonts w:asciiTheme="minorBidi" w:hAnsiTheme="minorBidi"/>
          <w:color w:val="1F3864" w:themeColor="accent1" w:themeShade="80"/>
          <w:sz w:val="24"/>
          <w:szCs w:val="24"/>
          <w:shd w:val="clear" w:color="auto" w:fill="FFFFFF"/>
        </w:rPr>
        <w:t>,</w:t>
      </w:r>
      <w:r>
        <w:rPr>
          <w:rFonts w:asciiTheme="minorBidi" w:hAnsiTheme="minorBidi"/>
          <w:sz w:val="24"/>
          <w:szCs w:val="24"/>
          <w:shd w:val="clear" w:color="auto" w:fill="FFFFFF"/>
        </w:rPr>
        <w:t xml:space="preserve"> </w:t>
      </w:r>
      <w:r w:rsidRPr="00DF5168">
        <w:rPr>
          <w:rFonts w:asciiTheme="minorBidi" w:hAnsiTheme="minorBidi"/>
          <w:sz w:val="24"/>
          <w:szCs w:val="24"/>
          <w:shd w:val="clear" w:color="auto" w:fill="FFFFFF"/>
        </w:rPr>
        <w:t xml:space="preserve"> was designed. </w:t>
      </w:r>
      <w:r w:rsidRPr="008160EC">
        <w:rPr>
          <w:rFonts w:asciiTheme="minorBidi" w:hAnsiTheme="minorBidi"/>
          <w:sz w:val="24"/>
          <w:szCs w:val="24"/>
          <w:shd w:val="clear" w:color="auto" w:fill="FFFFFF"/>
        </w:rPr>
        <w:t xml:space="preserve">The </w:t>
      </w:r>
      <w:r w:rsidRPr="00861F97">
        <w:rPr>
          <w:rFonts w:asciiTheme="minorBidi" w:hAnsiTheme="minorBidi"/>
          <w:sz w:val="24"/>
          <w:szCs w:val="24"/>
          <w:shd w:val="clear" w:color="auto" w:fill="FFFFFF"/>
        </w:rPr>
        <w:t>Fisher’s Exact</w:t>
      </w:r>
      <w:r>
        <w:rPr>
          <w:rFonts w:asciiTheme="minorBidi" w:hAnsiTheme="minorBidi"/>
          <w:sz w:val="24"/>
          <w:szCs w:val="24"/>
          <w:shd w:val="clear" w:color="auto" w:fill="FFFFFF"/>
        </w:rPr>
        <w:t xml:space="preserve"> </w:t>
      </w:r>
      <w:r w:rsidRPr="008160EC">
        <w:rPr>
          <w:rFonts w:asciiTheme="minorBidi" w:hAnsiTheme="minorBidi"/>
          <w:sz w:val="24"/>
          <w:szCs w:val="24"/>
          <w:shd w:val="clear" w:color="auto" w:fill="FFFFFF"/>
        </w:rPr>
        <w:t xml:space="preserve">test was used to measure the differences between doctors', pharmacists', and nurses' views of pharmacist involvement in diabetes care, whether currently or in the future. </w:t>
      </w:r>
    </w:p>
    <w:p w14:paraId="0A88B670" w14:textId="256C1F52" w:rsidR="00821B82" w:rsidRDefault="00821B82" w:rsidP="00821B82">
      <w:pPr>
        <w:spacing w:line="360" w:lineRule="auto"/>
        <w:jc w:val="both"/>
        <w:rPr>
          <w:rFonts w:asciiTheme="minorBidi" w:hAnsiTheme="minorBidi"/>
          <w:sz w:val="24"/>
          <w:szCs w:val="24"/>
          <w:shd w:val="clear" w:color="auto" w:fill="FFFFFF"/>
        </w:rPr>
      </w:pPr>
      <w:r w:rsidRPr="00DF5168">
        <w:rPr>
          <w:rFonts w:asciiTheme="minorBidi" w:hAnsiTheme="minorBidi"/>
          <w:sz w:val="24"/>
          <w:szCs w:val="24"/>
          <w:shd w:val="clear" w:color="auto" w:fill="FFFFFF"/>
        </w:rPr>
        <w:t xml:space="preserve">In general, the three professional groups mostly agreed with most pharmacists' roles in diabetes management </w:t>
      </w:r>
      <w:r w:rsidRPr="005E49D6">
        <w:rPr>
          <w:rFonts w:asciiTheme="minorBidi" w:hAnsiTheme="minorBidi"/>
          <w:sz w:val="24"/>
          <w:szCs w:val="24"/>
          <w:shd w:val="clear" w:color="auto" w:fill="FFFFFF"/>
        </w:rPr>
        <w:t xml:space="preserve">except for the independent prescriber role. </w:t>
      </w:r>
      <w:r w:rsidRPr="00932FA6">
        <w:rPr>
          <w:rFonts w:asciiTheme="minorBidi" w:hAnsiTheme="minorBidi"/>
          <w:sz w:val="24"/>
          <w:szCs w:val="24"/>
          <w:shd w:val="clear" w:color="auto" w:fill="FFFFFF"/>
        </w:rPr>
        <w:t>At the bottom of</w:t>
      </w:r>
      <w:r>
        <w:rPr>
          <w:rFonts w:asciiTheme="minorBidi" w:hAnsiTheme="minorBidi"/>
          <w:sz w:val="24"/>
          <w:szCs w:val="24"/>
          <w:shd w:val="clear" w:color="auto" w:fill="FFFFFF"/>
        </w:rPr>
        <w:t xml:space="preserve"> </w:t>
      </w:r>
      <w:r w:rsidRPr="006651F9">
        <w:rPr>
          <w:rFonts w:asciiTheme="minorBidi" w:hAnsiTheme="minorBidi"/>
          <w:color w:val="1F3864" w:themeColor="accent1" w:themeShade="80"/>
          <w:sz w:val="24"/>
          <w:szCs w:val="24"/>
          <w:shd w:val="clear" w:color="auto" w:fill="FFFFFF"/>
        </w:rPr>
        <w:fldChar w:fldCharType="begin"/>
      </w:r>
      <w:r w:rsidRPr="006651F9">
        <w:rPr>
          <w:rFonts w:asciiTheme="minorBidi" w:hAnsiTheme="minorBidi"/>
          <w:color w:val="1F3864" w:themeColor="accent1" w:themeShade="80"/>
          <w:sz w:val="24"/>
          <w:szCs w:val="24"/>
          <w:shd w:val="clear" w:color="auto" w:fill="FFFFFF"/>
        </w:rPr>
        <w:instrText xml:space="preserve"> REF _Ref122361693 \h  \* MERGEFORMAT </w:instrText>
      </w:r>
      <w:r w:rsidRPr="006651F9">
        <w:rPr>
          <w:rFonts w:asciiTheme="minorBidi" w:hAnsiTheme="minorBidi"/>
          <w:color w:val="1F3864" w:themeColor="accent1" w:themeShade="80"/>
          <w:sz w:val="24"/>
          <w:szCs w:val="24"/>
          <w:shd w:val="clear" w:color="auto" w:fill="FFFFFF"/>
        </w:rPr>
      </w:r>
      <w:r w:rsidRPr="006651F9">
        <w:rPr>
          <w:rFonts w:asciiTheme="minorBidi" w:hAnsiTheme="minorBidi"/>
          <w:color w:val="1F3864" w:themeColor="accent1" w:themeShade="80"/>
          <w:sz w:val="24"/>
          <w:szCs w:val="24"/>
          <w:shd w:val="clear" w:color="auto" w:fill="FFFFFF"/>
        </w:rPr>
        <w:fldChar w:fldCharType="separate"/>
      </w:r>
      <w:r w:rsidR="001A54E4" w:rsidRPr="001A54E4">
        <w:rPr>
          <w:rFonts w:asciiTheme="minorBidi" w:hAnsiTheme="minorBidi"/>
          <w:color w:val="1F3864" w:themeColor="accent1" w:themeShade="80"/>
          <w:sz w:val="24"/>
          <w:szCs w:val="24"/>
        </w:rPr>
        <w:t xml:space="preserve">Table </w:t>
      </w:r>
      <w:r w:rsidR="001A54E4" w:rsidRPr="001A54E4">
        <w:rPr>
          <w:rFonts w:asciiTheme="minorBidi" w:hAnsiTheme="minorBidi"/>
          <w:noProof/>
          <w:color w:val="1F3864" w:themeColor="accent1" w:themeShade="80"/>
          <w:sz w:val="24"/>
          <w:szCs w:val="24"/>
        </w:rPr>
        <w:t>17</w:t>
      </w:r>
      <w:r w:rsidRPr="006651F9">
        <w:rPr>
          <w:rFonts w:asciiTheme="minorBidi" w:hAnsiTheme="minorBidi"/>
          <w:color w:val="1F3864" w:themeColor="accent1" w:themeShade="80"/>
          <w:sz w:val="24"/>
          <w:szCs w:val="24"/>
          <w:shd w:val="clear" w:color="auto" w:fill="FFFFFF"/>
        </w:rPr>
        <w:fldChar w:fldCharType="end"/>
      </w:r>
      <w:r w:rsidRPr="00932FA6">
        <w:rPr>
          <w:rFonts w:asciiTheme="minorBidi" w:hAnsiTheme="minorBidi"/>
          <w:sz w:val="24"/>
          <w:szCs w:val="24"/>
          <w:shd w:val="clear" w:color="auto" w:fill="FFFFFF"/>
        </w:rPr>
        <w:t>, doctors reported a significantly lower level of agreement on the independent pharmacists</w:t>
      </w:r>
      <w:r>
        <w:rPr>
          <w:rFonts w:asciiTheme="minorBidi" w:hAnsiTheme="minorBidi"/>
          <w:sz w:val="24"/>
          <w:szCs w:val="24"/>
          <w:shd w:val="clear" w:color="auto" w:fill="FFFFFF"/>
        </w:rPr>
        <w:t>’</w:t>
      </w:r>
      <w:r w:rsidRPr="00932FA6">
        <w:rPr>
          <w:rFonts w:asciiTheme="minorBidi" w:hAnsiTheme="minorBidi"/>
          <w:sz w:val="24"/>
          <w:szCs w:val="24"/>
          <w:shd w:val="clear" w:color="auto" w:fill="FFFFFF"/>
        </w:rPr>
        <w:t xml:space="preserve"> prescribing role. </w:t>
      </w:r>
    </w:p>
    <w:p w14:paraId="39CBAC99" w14:textId="2BF05932" w:rsidR="00821B82" w:rsidRDefault="00821B82" w:rsidP="00821B82">
      <w:pPr>
        <w:spacing w:after="0" w:line="360" w:lineRule="auto"/>
        <w:jc w:val="both"/>
        <w:rPr>
          <w:rFonts w:asciiTheme="minorBidi" w:hAnsiTheme="minorBidi"/>
          <w:sz w:val="24"/>
          <w:szCs w:val="24"/>
          <w:shd w:val="clear" w:color="auto" w:fill="FFFFFF"/>
        </w:rPr>
      </w:pPr>
      <w:r>
        <w:rPr>
          <w:rFonts w:asciiTheme="minorBidi" w:hAnsiTheme="minorBidi"/>
          <w:sz w:val="24"/>
          <w:szCs w:val="24"/>
          <w:shd w:val="clear" w:color="auto" w:fill="FFFFFF"/>
          <w:lang w:val="en-GB"/>
        </w:rPr>
        <w:t>F</w:t>
      </w:r>
      <w:r w:rsidRPr="00695D18">
        <w:rPr>
          <w:rFonts w:asciiTheme="minorBidi" w:hAnsiTheme="minorBidi"/>
          <w:sz w:val="24"/>
          <w:szCs w:val="24"/>
          <w:shd w:val="clear" w:color="auto" w:fill="FFFFFF"/>
          <w:lang w:val="en-GB"/>
        </w:rPr>
        <w:t xml:space="preserve">or illustrating </w:t>
      </w:r>
      <w:r w:rsidRPr="005E49D6">
        <w:rPr>
          <w:rFonts w:asciiTheme="minorBidi" w:hAnsiTheme="minorBidi"/>
          <w:sz w:val="24"/>
          <w:szCs w:val="24"/>
          <w:shd w:val="clear" w:color="auto" w:fill="FFFFFF"/>
        </w:rPr>
        <w:t>the difference</w:t>
      </w:r>
      <w:r>
        <w:rPr>
          <w:rFonts w:asciiTheme="minorBidi" w:hAnsiTheme="minorBidi"/>
          <w:sz w:val="24"/>
          <w:szCs w:val="24"/>
          <w:shd w:val="clear" w:color="auto" w:fill="FFFFFF"/>
        </w:rPr>
        <w:t xml:space="preserve">s in the level of agreement </w:t>
      </w:r>
      <w:r w:rsidRPr="005E49D6">
        <w:rPr>
          <w:rFonts w:asciiTheme="minorBidi" w:hAnsiTheme="minorBidi"/>
          <w:sz w:val="24"/>
          <w:szCs w:val="24"/>
          <w:shd w:val="clear" w:color="auto" w:fill="FFFFFF"/>
        </w:rPr>
        <w:t>between doctors, pharmacists, and nurses on the independent prescribing role of pharmacists</w:t>
      </w:r>
      <w:r>
        <w:rPr>
          <w:rFonts w:asciiTheme="minorBidi" w:hAnsiTheme="minorBidi"/>
          <w:sz w:val="24"/>
          <w:szCs w:val="24"/>
          <w:shd w:val="clear" w:color="auto" w:fill="FFFFFF"/>
        </w:rPr>
        <w:t xml:space="preserve"> a bar chart was created. See </w:t>
      </w:r>
      <w:r>
        <w:rPr>
          <w:rFonts w:asciiTheme="minorBidi" w:hAnsiTheme="minorBidi"/>
          <w:color w:val="1F3864" w:themeColor="accent1" w:themeShade="80"/>
          <w:sz w:val="24"/>
          <w:szCs w:val="24"/>
          <w:shd w:val="clear" w:color="auto" w:fill="FFFFFF"/>
        </w:rPr>
        <w:fldChar w:fldCharType="begin"/>
      </w:r>
      <w:r w:rsidRPr="00144FEA">
        <w:rPr>
          <w:rFonts w:asciiTheme="minorBidi" w:hAnsiTheme="minorBidi"/>
          <w:color w:val="1F3864" w:themeColor="accent1" w:themeShade="80"/>
          <w:sz w:val="24"/>
          <w:szCs w:val="24"/>
          <w:shd w:val="clear" w:color="auto" w:fill="FFFFFF"/>
        </w:rPr>
        <w:instrText xml:space="preserve"> REF _Ref122366365 \h  \* MERGEFORMAT </w:instrText>
      </w:r>
      <w:r>
        <w:rPr>
          <w:rFonts w:asciiTheme="minorBidi" w:hAnsiTheme="minorBidi"/>
          <w:color w:val="1F3864" w:themeColor="accent1" w:themeShade="80"/>
          <w:sz w:val="24"/>
          <w:szCs w:val="24"/>
          <w:shd w:val="clear" w:color="auto" w:fill="FFFFFF"/>
        </w:rPr>
      </w:r>
      <w:r>
        <w:rPr>
          <w:rFonts w:asciiTheme="minorBidi" w:hAnsiTheme="minorBidi"/>
          <w:color w:val="1F3864" w:themeColor="accent1" w:themeShade="80"/>
          <w:sz w:val="24"/>
          <w:szCs w:val="24"/>
          <w:shd w:val="clear" w:color="auto" w:fill="FFFFFF"/>
        </w:rPr>
        <w:fldChar w:fldCharType="separate"/>
      </w:r>
      <w:r w:rsidR="00CC0633" w:rsidRPr="00CC0633">
        <w:rPr>
          <w:rFonts w:asciiTheme="minorBidi" w:hAnsiTheme="minorBidi"/>
          <w:color w:val="1F3864" w:themeColor="accent1" w:themeShade="80"/>
          <w:sz w:val="24"/>
          <w:szCs w:val="24"/>
          <w:shd w:val="clear" w:color="auto" w:fill="FFFFFF"/>
        </w:rPr>
        <w:t>Figure</w:t>
      </w:r>
      <w:r w:rsidR="00CC0633" w:rsidRPr="00CC0633">
        <w:rPr>
          <w:rFonts w:asciiTheme="minorBidi" w:hAnsiTheme="minorBidi"/>
          <w:sz w:val="24"/>
          <w:szCs w:val="24"/>
          <w:shd w:val="clear" w:color="auto" w:fill="FFFFFF"/>
        </w:rPr>
        <w:t xml:space="preserve"> </w:t>
      </w:r>
      <w:r w:rsidR="00CC0633" w:rsidRPr="00CC0633">
        <w:rPr>
          <w:rFonts w:asciiTheme="minorBidi" w:hAnsiTheme="minorBidi"/>
          <w:color w:val="1F3864" w:themeColor="accent1" w:themeShade="80"/>
          <w:sz w:val="24"/>
          <w:szCs w:val="24"/>
          <w:shd w:val="clear" w:color="auto" w:fill="FFFFFF"/>
        </w:rPr>
        <w:t>4</w:t>
      </w:r>
      <w:r>
        <w:rPr>
          <w:rFonts w:asciiTheme="minorBidi" w:hAnsiTheme="minorBidi"/>
          <w:sz w:val="24"/>
          <w:szCs w:val="24"/>
          <w:shd w:val="clear" w:color="auto" w:fill="FFFFFF"/>
        </w:rPr>
        <w:fldChar w:fldCharType="end"/>
      </w:r>
      <w:r>
        <w:rPr>
          <w:rFonts w:asciiTheme="minorBidi" w:hAnsiTheme="minorBidi"/>
          <w:sz w:val="24"/>
          <w:szCs w:val="24"/>
          <w:shd w:val="clear" w:color="auto" w:fill="FFFFFF"/>
        </w:rPr>
        <w:t>. This</w:t>
      </w:r>
      <w:r w:rsidRPr="005E49D6">
        <w:rPr>
          <w:rFonts w:asciiTheme="minorBidi" w:hAnsiTheme="minorBidi"/>
          <w:sz w:val="24"/>
          <w:szCs w:val="24"/>
          <w:shd w:val="clear" w:color="auto" w:fill="FFFFFF"/>
        </w:rPr>
        <w:t xml:space="preserve"> figure shows significant difference</w:t>
      </w:r>
      <w:r>
        <w:rPr>
          <w:rFonts w:asciiTheme="minorBidi" w:hAnsiTheme="minorBidi"/>
          <w:sz w:val="24"/>
          <w:szCs w:val="24"/>
          <w:shd w:val="clear" w:color="auto" w:fill="FFFFFF"/>
        </w:rPr>
        <w:t>s</w:t>
      </w:r>
      <w:r w:rsidRPr="005E49D6">
        <w:rPr>
          <w:rFonts w:asciiTheme="minorBidi" w:hAnsiTheme="minorBidi"/>
          <w:sz w:val="24"/>
          <w:szCs w:val="24"/>
          <w:shd w:val="clear" w:color="auto" w:fill="FFFFFF"/>
        </w:rPr>
        <w:t xml:space="preserve"> between the three groups. About 70% of doctors disagreed with pharmacists' independent prescribing role, whether currently or in the future; in contrast, more than 70% of nurses agreed or strongly agreed. The level of agreement among pharmacists on this role was </w:t>
      </w:r>
      <w:r>
        <w:rPr>
          <w:rFonts w:asciiTheme="minorBidi" w:hAnsiTheme="minorBidi"/>
          <w:sz w:val="24"/>
          <w:szCs w:val="24"/>
          <w:shd w:val="clear" w:color="auto" w:fill="FFFFFF"/>
        </w:rPr>
        <w:t xml:space="preserve">around </w:t>
      </w:r>
      <w:r w:rsidRPr="005E49D6">
        <w:rPr>
          <w:rFonts w:asciiTheme="minorBidi" w:hAnsiTheme="minorBidi"/>
          <w:sz w:val="24"/>
          <w:szCs w:val="24"/>
          <w:shd w:val="clear" w:color="auto" w:fill="FFFFFF"/>
        </w:rPr>
        <w:t>50%. This indicates that concerns regarding the prescribing role were more widespread among doctors.</w:t>
      </w:r>
    </w:p>
    <w:p w14:paraId="55A92F1D" w14:textId="47B26C53" w:rsidR="00821B82" w:rsidRDefault="00821B82" w:rsidP="00821B82">
      <w:pPr>
        <w:spacing w:after="0" w:line="360" w:lineRule="auto"/>
        <w:jc w:val="both"/>
        <w:rPr>
          <w:rFonts w:asciiTheme="minorBidi" w:hAnsiTheme="minorBidi"/>
          <w:sz w:val="24"/>
          <w:szCs w:val="24"/>
          <w:shd w:val="clear" w:color="auto" w:fill="FFFFFF"/>
        </w:rPr>
        <w:sectPr w:rsidR="00821B82">
          <w:pgSz w:w="12240" w:h="15840"/>
          <w:pgMar w:top="1440" w:right="1440" w:bottom="1440" w:left="1440" w:header="720" w:footer="720" w:gutter="0"/>
          <w:cols w:space="720"/>
          <w:docGrid w:linePitch="360"/>
        </w:sectPr>
      </w:pPr>
      <w:r w:rsidRPr="00B10261">
        <w:rPr>
          <w:rFonts w:asciiTheme="minorBidi" w:hAnsiTheme="minorBidi"/>
          <w:sz w:val="24"/>
          <w:szCs w:val="24"/>
          <w:shd w:val="clear" w:color="auto" w:fill="FFFFFF"/>
        </w:rPr>
        <w:t>It can be seen from the data in</w:t>
      </w:r>
      <w:r>
        <w:rPr>
          <w:rFonts w:asciiTheme="minorBidi" w:hAnsiTheme="minorBidi"/>
          <w:sz w:val="24"/>
          <w:szCs w:val="24"/>
          <w:shd w:val="clear" w:color="auto" w:fill="FFFFFF"/>
        </w:rPr>
        <w:t xml:space="preserve"> </w:t>
      </w:r>
      <w:r w:rsidRPr="00395AA5">
        <w:rPr>
          <w:rFonts w:asciiTheme="minorBidi" w:hAnsiTheme="minorBidi"/>
          <w:color w:val="1F3864" w:themeColor="accent1" w:themeShade="80"/>
          <w:sz w:val="24"/>
          <w:szCs w:val="24"/>
          <w:shd w:val="clear" w:color="auto" w:fill="FFFFFF"/>
        </w:rPr>
        <w:fldChar w:fldCharType="begin"/>
      </w:r>
      <w:r w:rsidRPr="00395AA5">
        <w:rPr>
          <w:rFonts w:asciiTheme="minorBidi" w:hAnsiTheme="minorBidi"/>
          <w:color w:val="1F3864" w:themeColor="accent1" w:themeShade="80"/>
          <w:sz w:val="24"/>
          <w:szCs w:val="24"/>
          <w:shd w:val="clear" w:color="auto" w:fill="FFFFFF"/>
        </w:rPr>
        <w:instrText xml:space="preserve"> REF _Ref122361693 \h  \* MERGEFORMAT </w:instrText>
      </w:r>
      <w:r w:rsidRPr="00395AA5">
        <w:rPr>
          <w:rFonts w:asciiTheme="minorBidi" w:hAnsiTheme="minorBidi"/>
          <w:color w:val="1F3864" w:themeColor="accent1" w:themeShade="80"/>
          <w:sz w:val="24"/>
          <w:szCs w:val="24"/>
          <w:shd w:val="clear" w:color="auto" w:fill="FFFFFF"/>
        </w:rPr>
      </w:r>
      <w:r w:rsidRPr="00395AA5">
        <w:rPr>
          <w:rFonts w:asciiTheme="minorBidi" w:hAnsiTheme="minorBidi"/>
          <w:color w:val="1F3864" w:themeColor="accent1" w:themeShade="80"/>
          <w:sz w:val="24"/>
          <w:szCs w:val="24"/>
          <w:shd w:val="clear" w:color="auto" w:fill="FFFFFF"/>
        </w:rPr>
        <w:fldChar w:fldCharType="separate"/>
      </w:r>
      <w:r w:rsidR="001A54E4" w:rsidRPr="001A54E4">
        <w:rPr>
          <w:rFonts w:asciiTheme="minorBidi" w:hAnsiTheme="minorBidi"/>
          <w:color w:val="1F3864" w:themeColor="accent1" w:themeShade="80"/>
          <w:sz w:val="24"/>
          <w:szCs w:val="24"/>
          <w:shd w:val="clear" w:color="auto" w:fill="FFFFFF"/>
        </w:rPr>
        <w:t>Table 17</w:t>
      </w:r>
      <w:r w:rsidRPr="00395AA5">
        <w:rPr>
          <w:rFonts w:asciiTheme="minorBidi" w:hAnsiTheme="minorBidi"/>
          <w:color w:val="1F3864" w:themeColor="accent1" w:themeShade="80"/>
          <w:sz w:val="24"/>
          <w:szCs w:val="24"/>
          <w:shd w:val="clear" w:color="auto" w:fill="FFFFFF"/>
        </w:rPr>
        <w:fldChar w:fldCharType="end"/>
      </w:r>
      <w:r w:rsidRPr="00B10261">
        <w:rPr>
          <w:rFonts w:asciiTheme="minorBidi" w:hAnsiTheme="minorBidi"/>
          <w:sz w:val="24"/>
          <w:szCs w:val="24"/>
          <w:shd w:val="clear" w:color="auto" w:fill="FFFFFF"/>
        </w:rPr>
        <w:t xml:space="preserve"> that the three professional groups have on average the same perceptions of the potential for different pharmacist roles in diabetes primary care management except, as mentioned earlier, the independent prescribing role. The most striking observation that emerged from the comparison of the data in this table was that doctors' agreement levels on most pharmacists' roles in diabetes management currently w</w:t>
      </w:r>
      <w:r>
        <w:rPr>
          <w:rFonts w:asciiTheme="minorBidi" w:hAnsiTheme="minorBidi"/>
          <w:sz w:val="24"/>
          <w:szCs w:val="24"/>
          <w:shd w:val="clear" w:color="auto" w:fill="FFFFFF"/>
        </w:rPr>
        <w:t>ere</w:t>
      </w:r>
      <w:r w:rsidRPr="00B10261">
        <w:rPr>
          <w:rFonts w:asciiTheme="minorBidi" w:hAnsiTheme="minorBidi"/>
          <w:sz w:val="24"/>
          <w:szCs w:val="24"/>
          <w:shd w:val="clear" w:color="auto" w:fill="FFFFFF"/>
        </w:rPr>
        <w:t xml:space="preserve"> more varied compared to pharmacists' and nurses' agreement levels. The variation in doctors' responses was less when asked about these roles in the future.</w:t>
      </w:r>
    </w:p>
    <w:p w14:paraId="56815AF4" w14:textId="71DE91AF" w:rsidR="00821B82" w:rsidRPr="007133E5" w:rsidRDefault="00821B82" w:rsidP="00821B82">
      <w:pPr>
        <w:pStyle w:val="Caption"/>
        <w:rPr>
          <w:sz w:val="24"/>
          <w:szCs w:val="24"/>
        </w:rPr>
      </w:pPr>
      <w:bookmarkStart w:id="189" w:name="_Ref122361693"/>
      <w:bookmarkStart w:id="190" w:name="_Ref122361684"/>
      <w:bookmarkStart w:id="191" w:name="_Toc153894571"/>
      <w:r w:rsidRPr="00B4075E">
        <w:rPr>
          <w:sz w:val="24"/>
          <w:szCs w:val="24"/>
        </w:rPr>
        <w:t xml:space="preserve">Table </w:t>
      </w:r>
      <w:r w:rsidRPr="00B4075E">
        <w:rPr>
          <w:sz w:val="24"/>
          <w:szCs w:val="24"/>
        </w:rPr>
        <w:fldChar w:fldCharType="begin"/>
      </w:r>
      <w:r w:rsidRPr="00B4075E">
        <w:rPr>
          <w:sz w:val="24"/>
          <w:szCs w:val="24"/>
        </w:rPr>
        <w:instrText xml:space="preserve"> SEQ Table \* ARABIC </w:instrText>
      </w:r>
      <w:r w:rsidRPr="00B4075E">
        <w:rPr>
          <w:sz w:val="24"/>
          <w:szCs w:val="24"/>
        </w:rPr>
        <w:fldChar w:fldCharType="separate"/>
      </w:r>
      <w:r w:rsidR="009B31EB">
        <w:rPr>
          <w:noProof/>
          <w:sz w:val="24"/>
          <w:szCs w:val="24"/>
        </w:rPr>
        <w:t>17</w:t>
      </w:r>
      <w:r w:rsidRPr="00B4075E">
        <w:rPr>
          <w:sz w:val="24"/>
          <w:szCs w:val="24"/>
        </w:rPr>
        <w:fldChar w:fldCharType="end"/>
      </w:r>
      <w:bookmarkEnd w:id="189"/>
      <w:r w:rsidRPr="00B4075E">
        <w:rPr>
          <w:sz w:val="24"/>
          <w:szCs w:val="24"/>
        </w:rPr>
        <w:t xml:space="preserve">: </w:t>
      </w:r>
      <w:r w:rsidRPr="00CF681C">
        <w:rPr>
          <w:sz w:val="24"/>
          <w:szCs w:val="24"/>
        </w:rPr>
        <w:t>Respondents</w:t>
      </w:r>
      <w:r>
        <w:rPr>
          <w:sz w:val="24"/>
          <w:szCs w:val="24"/>
        </w:rPr>
        <w:t>’</w:t>
      </w:r>
      <w:r w:rsidRPr="00CF681C">
        <w:rPr>
          <w:sz w:val="24"/>
          <w:szCs w:val="24"/>
        </w:rPr>
        <w:t xml:space="preserve"> views according to profession; Views on Potential Pharmacist Involvement in Diabetes Care</w:t>
      </w:r>
      <w:bookmarkEnd w:id="190"/>
      <w:bookmarkEnd w:id="191"/>
    </w:p>
    <w:tbl>
      <w:tblPr>
        <w:tblW w:w="13926" w:type="dxa"/>
        <w:tblLayout w:type="fixed"/>
        <w:tblLook w:val="04A0" w:firstRow="1" w:lastRow="0" w:firstColumn="1" w:lastColumn="0" w:noHBand="0" w:noVBand="1"/>
      </w:tblPr>
      <w:tblGrid>
        <w:gridCol w:w="3491"/>
        <w:gridCol w:w="1323"/>
        <w:gridCol w:w="1226"/>
        <w:gridCol w:w="1283"/>
        <w:gridCol w:w="1059"/>
        <w:gridCol w:w="1254"/>
        <w:gridCol w:w="956"/>
        <w:gridCol w:w="1027"/>
        <w:gridCol w:w="1320"/>
        <w:gridCol w:w="987"/>
      </w:tblGrid>
      <w:tr w:rsidR="00821B82" w:rsidRPr="00812505" w14:paraId="0B955550" w14:textId="77777777" w:rsidTr="00282204">
        <w:trPr>
          <w:cantSplit/>
          <w:trHeight w:val="588"/>
          <w:tblHeader/>
        </w:trPr>
        <w:tc>
          <w:tcPr>
            <w:tcW w:w="3491" w:type="dxa"/>
            <w:vMerge w:val="restart"/>
            <w:shd w:val="clear" w:color="auto" w:fill="auto"/>
            <w:vAlign w:val="center"/>
            <w:hideMark/>
          </w:tcPr>
          <w:p w14:paraId="3B8B204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Pharmacists should be involved in</w:t>
            </w:r>
          </w:p>
          <w:p w14:paraId="636305C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 </w:t>
            </w:r>
          </w:p>
        </w:tc>
        <w:tc>
          <w:tcPr>
            <w:tcW w:w="1323" w:type="dxa"/>
            <w:vMerge w:val="restart"/>
            <w:shd w:val="clear" w:color="auto" w:fill="auto"/>
            <w:vAlign w:val="center"/>
            <w:hideMark/>
          </w:tcPr>
          <w:p w14:paraId="68E0D0D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Profession</w:t>
            </w:r>
          </w:p>
          <w:p w14:paraId="13B9DC5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 </w:t>
            </w:r>
          </w:p>
        </w:tc>
        <w:tc>
          <w:tcPr>
            <w:tcW w:w="1226" w:type="dxa"/>
            <w:vMerge w:val="restart"/>
            <w:shd w:val="clear" w:color="auto" w:fill="auto"/>
            <w:vAlign w:val="center"/>
            <w:hideMark/>
          </w:tcPr>
          <w:p w14:paraId="5C46F3E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Timepoint</w:t>
            </w:r>
          </w:p>
          <w:p w14:paraId="2908FB1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 </w:t>
            </w:r>
          </w:p>
        </w:tc>
        <w:tc>
          <w:tcPr>
            <w:tcW w:w="5579" w:type="dxa"/>
            <w:gridSpan w:val="5"/>
            <w:shd w:val="clear" w:color="auto" w:fill="auto"/>
            <w:vAlign w:val="center"/>
            <w:hideMark/>
          </w:tcPr>
          <w:p w14:paraId="5896082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Responses (%) (Doctors=49, Pharmacists=30, Nurses=27)  </w:t>
            </w:r>
          </w:p>
        </w:tc>
        <w:tc>
          <w:tcPr>
            <w:tcW w:w="1320" w:type="dxa"/>
            <w:vMerge w:val="restart"/>
            <w:shd w:val="clear" w:color="auto" w:fill="auto"/>
            <w:vAlign w:val="center"/>
            <w:hideMark/>
          </w:tcPr>
          <w:p w14:paraId="0EC2EB9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Median (IQR) </w:t>
            </w:r>
          </w:p>
          <w:p w14:paraId="66D43D7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 </w:t>
            </w:r>
          </w:p>
        </w:tc>
        <w:tc>
          <w:tcPr>
            <w:tcW w:w="987" w:type="dxa"/>
            <w:vMerge w:val="restart"/>
            <w:shd w:val="clear" w:color="auto" w:fill="auto"/>
            <w:vAlign w:val="center"/>
            <w:hideMark/>
          </w:tcPr>
          <w:p w14:paraId="774700F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eastAsia="Times New Roman" w:cstheme="minorHAnsi"/>
                <w:color w:val="000000"/>
                <w:sz w:val="18"/>
                <w:szCs w:val="18"/>
              </w:rPr>
              <w:t>Fisher’s Exact</w:t>
            </w:r>
          </w:p>
          <w:p w14:paraId="79FD759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 </w:t>
            </w:r>
          </w:p>
        </w:tc>
      </w:tr>
      <w:tr w:rsidR="00821B82" w:rsidRPr="00812505" w14:paraId="046BDCFC" w14:textId="77777777" w:rsidTr="00282204">
        <w:trPr>
          <w:cantSplit/>
          <w:trHeight w:val="441"/>
          <w:tblHeader/>
        </w:trPr>
        <w:tc>
          <w:tcPr>
            <w:tcW w:w="3491" w:type="dxa"/>
            <w:vMerge/>
            <w:tcBorders>
              <w:bottom w:val="single" w:sz="4" w:space="0" w:color="auto"/>
            </w:tcBorders>
            <w:shd w:val="clear" w:color="auto" w:fill="auto"/>
            <w:vAlign w:val="center"/>
            <w:hideMark/>
          </w:tcPr>
          <w:p w14:paraId="7AF692BC"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noWrap/>
            <w:vAlign w:val="bottom"/>
            <w:hideMark/>
          </w:tcPr>
          <w:p w14:paraId="60682ABC"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173C52A1"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bottom w:val="single" w:sz="4" w:space="0" w:color="auto"/>
            </w:tcBorders>
            <w:shd w:val="clear" w:color="auto" w:fill="auto"/>
            <w:vAlign w:val="center"/>
            <w:hideMark/>
          </w:tcPr>
          <w:p w14:paraId="003AA649" w14:textId="77777777" w:rsidR="00821B82" w:rsidRPr="00264998" w:rsidRDefault="00821B82" w:rsidP="00282204">
            <w:pPr>
              <w:spacing w:after="0" w:line="240" w:lineRule="auto"/>
              <w:rPr>
                <w:rFonts w:asciiTheme="minorBidi" w:eastAsia="Times New Roman" w:hAnsiTheme="minorBidi"/>
                <w:sz w:val="16"/>
                <w:szCs w:val="16"/>
              </w:rPr>
            </w:pPr>
            <w:r w:rsidRPr="00264998">
              <w:rPr>
                <w:rFonts w:asciiTheme="minorBidi" w:eastAsia="Times New Roman" w:hAnsiTheme="minorBidi"/>
                <w:sz w:val="16"/>
                <w:szCs w:val="16"/>
              </w:rPr>
              <w:t>Strongly disagree</w:t>
            </w:r>
          </w:p>
        </w:tc>
        <w:tc>
          <w:tcPr>
            <w:tcW w:w="1059" w:type="dxa"/>
            <w:tcBorders>
              <w:bottom w:val="single" w:sz="4" w:space="0" w:color="auto"/>
            </w:tcBorders>
            <w:shd w:val="clear" w:color="auto" w:fill="auto"/>
            <w:vAlign w:val="center"/>
            <w:hideMark/>
          </w:tcPr>
          <w:p w14:paraId="6509F00C" w14:textId="77777777" w:rsidR="00821B82" w:rsidRPr="00264998" w:rsidRDefault="00821B82" w:rsidP="00282204">
            <w:pPr>
              <w:spacing w:after="0" w:line="240" w:lineRule="auto"/>
              <w:rPr>
                <w:rFonts w:asciiTheme="minorBidi" w:eastAsia="Times New Roman" w:hAnsiTheme="minorBidi"/>
                <w:sz w:val="16"/>
                <w:szCs w:val="16"/>
              </w:rPr>
            </w:pPr>
            <w:r w:rsidRPr="00264998">
              <w:rPr>
                <w:rFonts w:asciiTheme="minorBidi" w:eastAsia="Times New Roman" w:hAnsiTheme="minorBidi"/>
                <w:sz w:val="16"/>
                <w:szCs w:val="16"/>
              </w:rPr>
              <w:t>Disagree</w:t>
            </w:r>
          </w:p>
        </w:tc>
        <w:tc>
          <w:tcPr>
            <w:tcW w:w="1254" w:type="dxa"/>
            <w:tcBorders>
              <w:bottom w:val="single" w:sz="4" w:space="0" w:color="auto"/>
            </w:tcBorders>
            <w:shd w:val="clear" w:color="auto" w:fill="auto"/>
            <w:vAlign w:val="center"/>
            <w:hideMark/>
          </w:tcPr>
          <w:p w14:paraId="494AD8AC" w14:textId="77777777" w:rsidR="00821B82" w:rsidRPr="00264998" w:rsidRDefault="00821B82" w:rsidP="00282204">
            <w:pPr>
              <w:spacing w:after="0" w:line="240" w:lineRule="auto"/>
              <w:rPr>
                <w:rFonts w:asciiTheme="minorBidi" w:eastAsia="Times New Roman" w:hAnsiTheme="minorBidi"/>
                <w:sz w:val="16"/>
                <w:szCs w:val="16"/>
              </w:rPr>
            </w:pPr>
            <w:r w:rsidRPr="00264998">
              <w:rPr>
                <w:rFonts w:asciiTheme="minorBidi" w:eastAsia="Times New Roman" w:hAnsiTheme="minorBidi"/>
                <w:sz w:val="16"/>
                <w:szCs w:val="16"/>
              </w:rPr>
              <w:t>Neither agree nor disagree</w:t>
            </w:r>
          </w:p>
        </w:tc>
        <w:tc>
          <w:tcPr>
            <w:tcW w:w="956" w:type="dxa"/>
            <w:tcBorders>
              <w:bottom w:val="single" w:sz="4" w:space="0" w:color="auto"/>
            </w:tcBorders>
            <w:shd w:val="clear" w:color="auto" w:fill="auto"/>
            <w:vAlign w:val="center"/>
            <w:hideMark/>
          </w:tcPr>
          <w:p w14:paraId="57671E51" w14:textId="77777777" w:rsidR="00821B82" w:rsidRPr="00264998" w:rsidRDefault="00821B82" w:rsidP="00282204">
            <w:pPr>
              <w:spacing w:after="0" w:line="240" w:lineRule="auto"/>
              <w:rPr>
                <w:rFonts w:asciiTheme="minorBidi" w:eastAsia="Times New Roman" w:hAnsiTheme="minorBidi"/>
                <w:sz w:val="16"/>
                <w:szCs w:val="16"/>
              </w:rPr>
            </w:pPr>
            <w:r w:rsidRPr="00264998">
              <w:rPr>
                <w:rFonts w:asciiTheme="minorBidi" w:eastAsia="Times New Roman" w:hAnsiTheme="minorBidi"/>
                <w:sz w:val="16"/>
                <w:szCs w:val="16"/>
              </w:rPr>
              <w:t>Agree</w:t>
            </w:r>
          </w:p>
        </w:tc>
        <w:tc>
          <w:tcPr>
            <w:tcW w:w="1027" w:type="dxa"/>
            <w:tcBorders>
              <w:bottom w:val="single" w:sz="4" w:space="0" w:color="auto"/>
            </w:tcBorders>
            <w:shd w:val="clear" w:color="auto" w:fill="auto"/>
            <w:vAlign w:val="center"/>
            <w:hideMark/>
          </w:tcPr>
          <w:p w14:paraId="2A02EF7B" w14:textId="77777777" w:rsidR="00821B82" w:rsidRPr="00264998" w:rsidRDefault="00821B82" w:rsidP="00282204">
            <w:pPr>
              <w:spacing w:after="0" w:line="240" w:lineRule="auto"/>
              <w:rPr>
                <w:rFonts w:asciiTheme="minorBidi" w:eastAsia="Times New Roman" w:hAnsiTheme="minorBidi"/>
                <w:sz w:val="16"/>
                <w:szCs w:val="16"/>
              </w:rPr>
            </w:pPr>
            <w:r w:rsidRPr="00264998">
              <w:rPr>
                <w:rFonts w:asciiTheme="minorBidi" w:eastAsia="Times New Roman" w:hAnsiTheme="minorBidi"/>
                <w:sz w:val="16"/>
                <w:szCs w:val="16"/>
              </w:rPr>
              <w:t>Strongly agree</w:t>
            </w:r>
          </w:p>
        </w:tc>
        <w:tc>
          <w:tcPr>
            <w:tcW w:w="1320" w:type="dxa"/>
            <w:vMerge/>
            <w:tcBorders>
              <w:bottom w:val="single" w:sz="4" w:space="0" w:color="auto"/>
            </w:tcBorders>
            <w:shd w:val="clear" w:color="auto" w:fill="auto"/>
            <w:vAlign w:val="center"/>
            <w:hideMark/>
          </w:tcPr>
          <w:p w14:paraId="4DAA044B" w14:textId="77777777" w:rsidR="00821B82" w:rsidRPr="00812505" w:rsidRDefault="00821B82" w:rsidP="00282204">
            <w:pPr>
              <w:spacing w:after="0" w:line="240" w:lineRule="auto"/>
              <w:rPr>
                <w:rFonts w:asciiTheme="minorBidi" w:eastAsia="Times New Roman" w:hAnsiTheme="minorBidi"/>
                <w:b/>
                <w:bCs/>
                <w:sz w:val="18"/>
                <w:szCs w:val="18"/>
              </w:rPr>
            </w:pPr>
          </w:p>
        </w:tc>
        <w:tc>
          <w:tcPr>
            <w:tcW w:w="987" w:type="dxa"/>
            <w:vMerge/>
            <w:tcBorders>
              <w:bottom w:val="single" w:sz="4" w:space="0" w:color="auto"/>
            </w:tcBorders>
            <w:shd w:val="clear" w:color="auto" w:fill="auto"/>
            <w:vAlign w:val="center"/>
            <w:hideMark/>
          </w:tcPr>
          <w:p w14:paraId="0E739D72" w14:textId="77777777" w:rsidR="00821B82" w:rsidRPr="00812505" w:rsidRDefault="00821B82" w:rsidP="00282204">
            <w:pPr>
              <w:spacing w:after="0" w:line="240" w:lineRule="auto"/>
              <w:rPr>
                <w:rFonts w:asciiTheme="minorBidi" w:eastAsia="Times New Roman" w:hAnsiTheme="minorBidi"/>
                <w:b/>
                <w:bCs/>
                <w:sz w:val="18"/>
                <w:szCs w:val="18"/>
              </w:rPr>
            </w:pPr>
          </w:p>
        </w:tc>
      </w:tr>
      <w:tr w:rsidR="00821B82" w:rsidRPr="00812505" w14:paraId="69403B54" w14:textId="77777777" w:rsidTr="00282204">
        <w:trPr>
          <w:trHeight w:val="143"/>
        </w:trPr>
        <w:tc>
          <w:tcPr>
            <w:tcW w:w="3491" w:type="dxa"/>
            <w:vMerge w:val="restart"/>
            <w:tcBorders>
              <w:top w:val="single" w:sz="4" w:space="0" w:color="auto"/>
            </w:tcBorders>
            <w:shd w:val="clear" w:color="auto" w:fill="auto"/>
            <w:vAlign w:val="center"/>
            <w:hideMark/>
          </w:tcPr>
          <w:p w14:paraId="3909565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Medication Therapy Management</w:t>
            </w:r>
          </w:p>
          <w:p w14:paraId="3642E4B5" w14:textId="77777777" w:rsidR="00821B82" w:rsidRPr="00812505" w:rsidRDefault="00821B82" w:rsidP="00282204">
            <w:pPr>
              <w:spacing w:after="0" w:line="240" w:lineRule="auto"/>
              <w:rPr>
                <w:rFonts w:asciiTheme="minorBidi" w:eastAsia="Times New Roman" w:hAnsiTheme="minorBidi"/>
                <w:sz w:val="18"/>
                <w:szCs w:val="18"/>
              </w:rPr>
            </w:pPr>
          </w:p>
          <w:p w14:paraId="3F4CD310" w14:textId="77777777" w:rsidR="00821B82" w:rsidRPr="00812505" w:rsidRDefault="00821B82" w:rsidP="00282204">
            <w:pPr>
              <w:spacing w:after="0" w:line="240" w:lineRule="auto"/>
              <w:rPr>
                <w:rFonts w:asciiTheme="minorBidi" w:eastAsia="Times New Roman" w:hAnsiTheme="minorBidi"/>
                <w:sz w:val="18"/>
                <w:szCs w:val="18"/>
              </w:rPr>
            </w:pPr>
          </w:p>
          <w:p w14:paraId="0149E874"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0B67633D" w14:textId="77777777" w:rsidR="00821B82" w:rsidRPr="00812505" w:rsidRDefault="00821B82" w:rsidP="00282204">
            <w:pPr>
              <w:spacing w:after="0" w:line="240" w:lineRule="auto"/>
              <w:rPr>
                <w:rFonts w:asciiTheme="minorBidi" w:eastAsia="Times New Roman" w:hAnsiTheme="minorBidi"/>
                <w:sz w:val="18"/>
                <w:szCs w:val="18"/>
              </w:rPr>
            </w:pPr>
          </w:p>
          <w:p w14:paraId="1856DE6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579DC53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5AA43B0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6979E59E" w14:textId="77777777" w:rsidR="00821B82" w:rsidRPr="00812505" w:rsidRDefault="00821B82" w:rsidP="00282204">
            <w:pPr>
              <w:spacing w:after="0" w:line="240" w:lineRule="auto"/>
              <w:rPr>
                <w:rFonts w:asciiTheme="minorBidi" w:eastAsia="Times New Roman" w:hAnsiTheme="minorBidi"/>
                <w:sz w:val="18"/>
                <w:szCs w:val="18"/>
              </w:rPr>
            </w:pPr>
          </w:p>
          <w:p w14:paraId="046AC953"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0FBA305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74DD8CD6" w14:textId="77777777" w:rsidR="00821B82" w:rsidRPr="00812505" w:rsidRDefault="00821B82" w:rsidP="00282204">
            <w:pPr>
              <w:spacing w:after="0" w:line="240" w:lineRule="auto"/>
              <w:rPr>
                <w:rFonts w:asciiTheme="minorBidi" w:eastAsia="Times New Roman" w:hAnsiTheme="minorBidi"/>
                <w:sz w:val="18"/>
                <w:szCs w:val="18"/>
              </w:rPr>
            </w:pPr>
          </w:p>
          <w:p w14:paraId="7270EB05" w14:textId="77777777" w:rsidR="00821B82" w:rsidRPr="00812505" w:rsidRDefault="00821B82" w:rsidP="00282204">
            <w:pPr>
              <w:spacing w:after="0" w:line="240" w:lineRule="auto"/>
              <w:rPr>
                <w:rFonts w:asciiTheme="minorBidi" w:eastAsia="Times New Roman" w:hAnsiTheme="minorBidi"/>
                <w:sz w:val="18"/>
                <w:szCs w:val="18"/>
              </w:rPr>
            </w:pPr>
          </w:p>
          <w:p w14:paraId="70F513A1"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04FEE83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12</w:t>
            </w:r>
          </w:p>
        </w:tc>
        <w:tc>
          <w:tcPr>
            <w:tcW w:w="1059" w:type="dxa"/>
            <w:tcBorders>
              <w:top w:val="single" w:sz="4" w:space="0" w:color="auto"/>
            </w:tcBorders>
            <w:shd w:val="clear" w:color="auto" w:fill="auto"/>
            <w:vAlign w:val="center"/>
            <w:hideMark/>
          </w:tcPr>
          <w:p w14:paraId="421F995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w:t>
            </w:r>
          </w:p>
        </w:tc>
        <w:tc>
          <w:tcPr>
            <w:tcW w:w="1254" w:type="dxa"/>
            <w:tcBorders>
              <w:top w:val="single" w:sz="4" w:space="0" w:color="auto"/>
            </w:tcBorders>
            <w:shd w:val="clear" w:color="auto" w:fill="auto"/>
            <w:vAlign w:val="center"/>
            <w:hideMark/>
          </w:tcPr>
          <w:p w14:paraId="514B69A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16</w:t>
            </w:r>
          </w:p>
        </w:tc>
        <w:tc>
          <w:tcPr>
            <w:tcW w:w="956" w:type="dxa"/>
            <w:tcBorders>
              <w:top w:val="single" w:sz="4" w:space="0" w:color="auto"/>
            </w:tcBorders>
            <w:shd w:val="clear" w:color="auto" w:fill="auto"/>
            <w:vAlign w:val="center"/>
            <w:hideMark/>
          </w:tcPr>
          <w:p w14:paraId="55207EC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33</w:t>
            </w:r>
          </w:p>
        </w:tc>
        <w:tc>
          <w:tcPr>
            <w:tcW w:w="1027" w:type="dxa"/>
            <w:tcBorders>
              <w:top w:val="single" w:sz="4" w:space="0" w:color="auto"/>
            </w:tcBorders>
            <w:shd w:val="clear" w:color="auto" w:fill="auto"/>
            <w:vAlign w:val="center"/>
            <w:hideMark/>
          </w:tcPr>
          <w:p w14:paraId="5AACC66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22</w:t>
            </w:r>
          </w:p>
        </w:tc>
        <w:tc>
          <w:tcPr>
            <w:tcW w:w="1320" w:type="dxa"/>
            <w:tcBorders>
              <w:top w:val="single" w:sz="4" w:space="0" w:color="auto"/>
            </w:tcBorders>
            <w:shd w:val="clear" w:color="auto" w:fill="auto"/>
            <w:vAlign w:val="center"/>
            <w:hideMark/>
          </w:tcPr>
          <w:p w14:paraId="3145228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(2-4)</w:t>
            </w:r>
          </w:p>
        </w:tc>
        <w:tc>
          <w:tcPr>
            <w:tcW w:w="987" w:type="dxa"/>
            <w:vMerge w:val="restart"/>
            <w:tcBorders>
              <w:top w:val="single" w:sz="4" w:space="0" w:color="auto"/>
            </w:tcBorders>
            <w:shd w:val="clear" w:color="auto" w:fill="auto"/>
            <w:vAlign w:val="center"/>
            <w:hideMark/>
          </w:tcPr>
          <w:p w14:paraId="444A9A9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0.05*</w:t>
            </w:r>
          </w:p>
          <w:p w14:paraId="7D187A5F" w14:textId="77777777" w:rsidR="00821B82" w:rsidRPr="00812505" w:rsidRDefault="00821B82" w:rsidP="00282204">
            <w:pPr>
              <w:spacing w:after="0" w:line="240" w:lineRule="auto"/>
              <w:rPr>
                <w:rFonts w:asciiTheme="minorBidi" w:eastAsia="Times New Roman" w:hAnsiTheme="minorBidi"/>
                <w:sz w:val="18"/>
                <w:szCs w:val="18"/>
              </w:rPr>
            </w:pPr>
          </w:p>
          <w:p w14:paraId="2F1B9C94" w14:textId="77777777" w:rsidR="00821B82" w:rsidRPr="00812505" w:rsidRDefault="00821B82" w:rsidP="00282204">
            <w:pPr>
              <w:spacing w:after="0" w:line="240" w:lineRule="auto"/>
              <w:rPr>
                <w:rFonts w:asciiTheme="minorBidi" w:eastAsia="Times New Roman" w:hAnsiTheme="minorBidi"/>
                <w:sz w:val="18"/>
                <w:szCs w:val="18"/>
              </w:rPr>
            </w:pPr>
          </w:p>
          <w:p w14:paraId="51529C3A"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57A37C34" w14:textId="77777777" w:rsidTr="00282204">
        <w:trPr>
          <w:trHeight w:val="207"/>
        </w:trPr>
        <w:tc>
          <w:tcPr>
            <w:tcW w:w="3491" w:type="dxa"/>
            <w:vMerge/>
            <w:shd w:val="clear" w:color="auto" w:fill="auto"/>
            <w:vAlign w:val="center"/>
            <w:hideMark/>
          </w:tcPr>
          <w:p w14:paraId="6030F2AF"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50DB165D"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7FF5D21C"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148A84B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059" w:type="dxa"/>
            <w:shd w:val="clear" w:color="auto" w:fill="auto"/>
            <w:vAlign w:val="center"/>
            <w:hideMark/>
          </w:tcPr>
          <w:p w14:paraId="2111525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10</w:t>
            </w:r>
          </w:p>
        </w:tc>
        <w:tc>
          <w:tcPr>
            <w:tcW w:w="1254" w:type="dxa"/>
            <w:shd w:val="clear" w:color="auto" w:fill="auto"/>
            <w:vAlign w:val="center"/>
            <w:hideMark/>
          </w:tcPr>
          <w:p w14:paraId="3090BDD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10</w:t>
            </w:r>
          </w:p>
        </w:tc>
        <w:tc>
          <w:tcPr>
            <w:tcW w:w="956" w:type="dxa"/>
            <w:shd w:val="clear" w:color="auto" w:fill="auto"/>
            <w:vAlign w:val="center"/>
            <w:hideMark/>
          </w:tcPr>
          <w:p w14:paraId="3BD043C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40</w:t>
            </w:r>
          </w:p>
        </w:tc>
        <w:tc>
          <w:tcPr>
            <w:tcW w:w="1027" w:type="dxa"/>
            <w:shd w:val="clear" w:color="auto" w:fill="auto"/>
            <w:vAlign w:val="center"/>
            <w:hideMark/>
          </w:tcPr>
          <w:p w14:paraId="3FC47B7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37</w:t>
            </w:r>
          </w:p>
        </w:tc>
        <w:tc>
          <w:tcPr>
            <w:tcW w:w="1320" w:type="dxa"/>
            <w:shd w:val="clear" w:color="auto" w:fill="auto"/>
            <w:vAlign w:val="center"/>
            <w:hideMark/>
          </w:tcPr>
          <w:p w14:paraId="6FC04B3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(3.75-5)</w:t>
            </w:r>
          </w:p>
        </w:tc>
        <w:tc>
          <w:tcPr>
            <w:tcW w:w="987" w:type="dxa"/>
            <w:vMerge/>
            <w:shd w:val="clear" w:color="auto" w:fill="auto"/>
            <w:vAlign w:val="center"/>
            <w:hideMark/>
          </w:tcPr>
          <w:p w14:paraId="3F130494"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2E53FBFF" w14:textId="77777777" w:rsidTr="00282204">
        <w:trPr>
          <w:trHeight w:val="60"/>
        </w:trPr>
        <w:tc>
          <w:tcPr>
            <w:tcW w:w="3491" w:type="dxa"/>
            <w:vMerge/>
            <w:shd w:val="clear" w:color="auto" w:fill="auto"/>
            <w:vAlign w:val="center"/>
            <w:hideMark/>
          </w:tcPr>
          <w:p w14:paraId="35E0B9F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094A57B4"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04133F41"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716E503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7</w:t>
            </w:r>
          </w:p>
        </w:tc>
        <w:tc>
          <w:tcPr>
            <w:tcW w:w="1059" w:type="dxa"/>
            <w:shd w:val="clear" w:color="auto" w:fill="auto"/>
            <w:vAlign w:val="center"/>
            <w:hideMark/>
          </w:tcPr>
          <w:p w14:paraId="30074EC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254" w:type="dxa"/>
            <w:shd w:val="clear" w:color="auto" w:fill="auto"/>
            <w:vAlign w:val="center"/>
            <w:hideMark/>
          </w:tcPr>
          <w:p w14:paraId="23650BC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15</w:t>
            </w:r>
          </w:p>
        </w:tc>
        <w:tc>
          <w:tcPr>
            <w:tcW w:w="956" w:type="dxa"/>
            <w:shd w:val="clear" w:color="auto" w:fill="auto"/>
            <w:vAlign w:val="center"/>
            <w:hideMark/>
          </w:tcPr>
          <w:p w14:paraId="76814D3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67</w:t>
            </w:r>
          </w:p>
        </w:tc>
        <w:tc>
          <w:tcPr>
            <w:tcW w:w="1027" w:type="dxa"/>
            <w:shd w:val="clear" w:color="auto" w:fill="auto"/>
            <w:vAlign w:val="center"/>
            <w:hideMark/>
          </w:tcPr>
          <w:p w14:paraId="597D4B1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11</w:t>
            </w:r>
          </w:p>
        </w:tc>
        <w:tc>
          <w:tcPr>
            <w:tcW w:w="1320" w:type="dxa"/>
            <w:shd w:val="clear" w:color="auto" w:fill="auto"/>
            <w:vAlign w:val="center"/>
            <w:hideMark/>
          </w:tcPr>
          <w:p w14:paraId="36B5BBA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(4-4)</w:t>
            </w:r>
          </w:p>
        </w:tc>
        <w:tc>
          <w:tcPr>
            <w:tcW w:w="987" w:type="dxa"/>
            <w:vMerge/>
            <w:shd w:val="clear" w:color="auto" w:fill="auto"/>
            <w:vAlign w:val="center"/>
            <w:hideMark/>
          </w:tcPr>
          <w:p w14:paraId="74EC7511"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2B03B41E" w14:textId="77777777" w:rsidTr="00282204">
        <w:trPr>
          <w:trHeight w:val="60"/>
        </w:trPr>
        <w:tc>
          <w:tcPr>
            <w:tcW w:w="3491" w:type="dxa"/>
            <w:vMerge/>
            <w:shd w:val="clear" w:color="auto" w:fill="auto"/>
            <w:vAlign w:val="center"/>
            <w:hideMark/>
          </w:tcPr>
          <w:p w14:paraId="66F731FD"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34459446"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6C56015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Future</w:t>
            </w:r>
          </w:p>
          <w:p w14:paraId="3A7E647C"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1DE1C8E2"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79E445CA" w14:textId="77777777" w:rsidR="00821B82" w:rsidRPr="00812505" w:rsidRDefault="00821B82" w:rsidP="00282204">
            <w:pPr>
              <w:spacing w:after="0" w:line="240" w:lineRule="auto"/>
              <w:rPr>
                <w:rFonts w:asciiTheme="minorBidi" w:eastAsia="Times New Roman" w:hAnsiTheme="minorBidi"/>
                <w:color w:val="264A60"/>
                <w:sz w:val="18"/>
                <w:szCs w:val="18"/>
              </w:rPr>
            </w:pPr>
          </w:p>
        </w:tc>
        <w:tc>
          <w:tcPr>
            <w:tcW w:w="1283" w:type="dxa"/>
            <w:shd w:val="clear" w:color="auto" w:fill="auto"/>
            <w:vAlign w:val="center"/>
            <w:hideMark/>
          </w:tcPr>
          <w:p w14:paraId="45563F5B"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8</w:t>
            </w:r>
          </w:p>
        </w:tc>
        <w:tc>
          <w:tcPr>
            <w:tcW w:w="1059" w:type="dxa"/>
            <w:shd w:val="clear" w:color="auto" w:fill="auto"/>
            <w:vAlign w:val="center"/>
            <w:hideMark/>
          </w:tcPr>
          <w:p w14:paraId="18C97255"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8</w:t>
            </w:r>
          </w:p>
        </w:tc>
        <w:tc>
          <w:tcPr>
            <w:tcW w:w="1254" w:type="dxa"/>
            <w:shd w:val="clear" w:color="auto" w:fill="auto"/>
            <w:vAlign w:val="center"/>
            <w:hideMark/>
          </w:tcPr>
          <w:p w14:paraId="0333EC6B"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6</w:t>
            </w:r>
          </w:p>
        </w:tc>
        <w:tc>
          <w:tcPr>
            <w:tcW w:w="956" w:type="dxa"/>
            <w:shd w:val="clear" w:color="auto" w:fill="auto"/>
            <w:vAlign w:val="center"/>
            <w:hideMark/>
          </w:tcPr>
          <w:p w14:paraId="7A01678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39</w:t>
            </w:r>
          </w:p>
        </w:tc>
        <w:tc>
          <w:tcPr>
            <w:tcW w:w="1027" w:type="dxa"/>
            <w:shd w:val="clear" w:color="auto" w:fill="auto"/>
            <w:vAlign w:val="center"/>
            <w:hideMark/>
          </w:tcPr>
          <w:p w14:paraId="22EEDCF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39</w:t>
            </w:r>
          </w:p>
        </w:tc>
        <w:tc>
          <w:tcPr>
            <w:tcW w:w="1320" w:type="dxa"/>
            <w:shd w:val="clear" w:color="auto" w:fill="auto"/>
            <w:vAlign w:val="center"/>
            <w:hideMark/>
          </w:tcPr>
          <w:p w14:paraId="40A02F5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(4-5)</w:t>
            </w:r>
          </w:p>
        </w:tc>
        <w:tc>
          <w:tcPr>
            <w:tcW w:w="987" w:type="dxa"/>
            <w:vMerge w:val="restart"/>
            <w:shd w:val="clear" w:color="auto" w:fill="auto"/>
            <w:vAlign w:val="center"/>
            <w:hideMark/>
          </w:tcPr>
          <w:p w14:paraId="5C44481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0.15</w:t>
            </w:r>
          </w:p>
          <w:p w14:paraId="428E5207"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68EDAECE"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015813FE"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07CF5DD7" w14:textId="77777777" w:rsidTr="00282204">
        <w:trPr>
          <w:trHeight w:val="60"/>
        </w:trPr>
        <w:tc>
          <w:tcPr>
            <w:tcW w:w="3491" w:type="dxa"/>
            <w:vMerge/>
            <w:shd w:val="clear" w:color="auto" w:fill="auto"/>
            <w:vAlign w:val="center"/>
            <w:hideMark/>
          </w:tcPr>
          <w:p w14:paraId="4821A94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4E671D75"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64E1F6CE" w14:textId="77777777" w:rsidR="00821B82" w:rsidRPr="00812505" w:rsidRDefault="00821B82" w:rsidP="00282204">
            <w:pPr>
              <w:spacing w:after="0" w:line="240" w:lineRule="auto"/>
              <w:rPr>
                <w:rFonts w:asciiTheme="minorBidi" w:eastAsia="Times New Roman" w:hAnsiTheme="minorBidi"/>
                <w:color w:val="264A60"/>
                <w:sz w:val="18"/>
                <w:szCs w:val="18"/>
              </w:rPr>
            </w:pPr>
          </w:p>
        </w:tc>
        <w:tc>
          <w:tcPr>
            <w:tcW w:w="1283" w:type="dxa"/>
            <w:shd w:val="clear" w:color="auto" w:fill="auto"/>
            <w:vAlign w:val="center"/>
            <w:hideMark/>
          </w:tcPr>
          <w:p w14:paraId="4BC62CD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1059" w:type="dxa"/>
            <w:shd w:val="clear" w:color="auto" w:fill="auto"/>
            <w:vAlign w:val="center"/>
            <w:hideMark/>
          </w:tcPr>
          <w:p w14:paraId="0CB3963E"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254" w:type="dxa"/>
            <w:shd w:val="clear" w:color="auto" w:fill="auto"/>
            <w:vAlign w:val="center"/>
            <w:hideMark/>
          </w:tcPr>
          <w:p w14:paraId="6097835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956" w:type="dxa"/>
            <w:shd w:val="clear" w:color="auto" w:fill="auto"/>
            <w:vAlign w:val="center"/>
            <w:hideMark/>
          </w:tcPr>
          <w:p w14:paraId="2F96910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47</w:t>
            </w:r>
          </w:p>
        </w:tc>
        <w:tc>
          <w:tcPr>
            <w:tcW w:w="1027" w:type="dxa"/>
            <w:shd w:val="clear" w:color="auto" w:fill="auto"/>
            <w:vAlign w:val="center"/>
            <w:hideMark/>
          </w:tcPr>
          <w:p w14:paraId="3E45722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43</w:t>
            </w:r>
          </w:p>
        </w:tc>
        <w:tc>
          <w:tcPr>
            <w:tcW w:w="1320" w:type="dxa"/>
            <w:shd w:val="clear" w:color="auto" w:fill="auto"/>
            <w:vAlign w:val="center"/>
            <w:hideMark/>
          </w:tcPr>
          <w:p w14:paraId="09395B7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(4-5)</w:t>
            </w:r>
          </w:p>
        </w:tc>
        <w:tc>
          <w:tcPr>
            <w:tcW w:w="987" w:type="dxa"/>
            <w:vMerge/>
            <w:shd w:val="clear" w:color="auto" w:fill="auto"/>
            <w:vAlign w:val="center"/>
            <w:hideMark/>
          </w:tcPr>
          <w:p w14:paraId="7876FCDB"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37158420" w14:textId="77777777" w:rsidTr="00282204">
        <w:trPr>
          <w:trHeight w:val="60"/>
        </w:trPr>
        <w:tc>
          <w:tcPr>
            <w:tcW w:w="3491" w:type="dxa"/>
            <w:vMerge/>
            <w:tcBorders>
              <w:bottom w:val="single" w:sz="4" w:space="0" w:color="auto"/>
            </w:tcBorders>
            <w:shd w:val="clear" w:color="auto" w:fill="auto"/>
            <w:vAlign w:val="center"/>
            <w:hideMark/>
          </w:tcPr>
          <w:p w14:paraId="394FB36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41A18BDF"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6D7FB89C" w14:textId="77777777" w:rsidR="00821B82" w:rsidRPr="00812505" w:rsidRDefault="00821B82" w:rsidP="00282204">
            <w:pPr>
              <w:spacing w:after="0" w:line="240" w:lineRule="auto"/>
              <w:rPr>
                <w:rFonts w:asciiTheme="minorBidi" w:eastAsia="Times New Roman" w:hAnsiTheme="minorBidi"/>
                <w:color w:val="264A60"/>
                <w:sz w:val="18"/>
                <w:szCs w:val="18"/>
              </w:rPr>
            </w:pPr>
          </w:p>
        </w:tc>
        <w:tc>
          <w:tcPr>
            <w:tcW w:w="1283" w:type="dxa"/>
            <w:tcBorders>
              <w:bottom w:val="single" w:sz="4" w:space="0" w:color="auto"/>
            </w:tcBorders>
            <w:shd w:val="clear" w:color="auto" w:fill="auto"/>
            <w:vAlign w:val="center"/>
            <w:hideMark/>
          </w:tcPr>
          <w:p w14:paraId="57DA274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w:t>
            </w:r>
          </w:p>
        </w:tc>
        <w:tc>
          <w:tcPr>
            <w:tcW w:w="1059" w:type="dxa"/>
            <w:tcBorders>
              <w:bottom w:val="single" w:sz="4" w:space="0" w:color="auto"/>
            </w:tcBorders>
            <w:shd w:val="clear" w:color="auto" w:fill="auto"/>
            <w:vAlign w:val="center"/>
            <w:hideMark/>
          </w:tcPr>
          <w:p w14:paraId="6721397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254" w:type="dxa"/>
            <w:tcBorders>
              <w:bottom w:val="single" w:sz="4" w:space="0" w:color="auto"/>
            </w:tcBorders>
            <w:shd w:val="clear" w:color="auto" w:fill="auto"/>
            <w:vAlign w:val="center"/>
            <w:hideMark/>
          </w:tcPr>
          <w:p w14:paraId="00A5607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15</w:t>
            </w:r>
          </w:p>
        </w:tc>
        <w:tc>
          <w:tcPr>
            <w:tcW w:w="956" w:type="dxa"/>
            <w:tcBorders>
              <w:bottom w:val="single" w:sz="4" w:space="0" w:color="auto"/>
            </w:tcBorders>
            <w:shd w:val="clear" w:color="auto" w:fill="auto"/>
            <w:vAlign w:val="center"/>
            <w:hideMark/>
          </w:tcPr>
          <w:p w14:paraId="6371B85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52</w:t>
            </w:r>
          </w:p>
        </w:tc>
        <w:tc>
          <w:tcPr>
            <w:tcW w:w="1027" w:type="dxa"/>
            <w:tcBorders>
              <w:bottom w:val="single" w:sz="4" w:space="0" w:color="auto"/>
            </w:tcBorders>
            <w:shd w:val="clear" w:color="auto" w:fill="auto"/>
            <w:vAlign w:val="center"/>
            <w:hideMark/>
          </w:tcPr>
          <w:p w14:paraId="1CB929D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19</w:t>
            </w:r>
          </w:p>
        </w:tc>
        <w:tc>
          <w:tcPr>
            <w:tcW w:w="1320" w:type="dxa"/>
            <w:tcBorders>
              <w:bottom w:val="single" w:sz="4" w:space="0" w:color="auto"/>
            </w:tcBorders>
            <w:shd w:val="clear" w:color="auto" w:fill="auto"/>
            <w:vAlign w:val="center"/>
            <w:hideMark/>
          </w:tcPr>
          <w:p w14:paraId="0687BCD5"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(3-4)</w:t>
            </w:r>
          </w:p>
        </w:tc>
        <w:tc>
          <w:tcPr>
            <w:tcW w:w="987" w:type="dxa"/>
            <w:vMerge/>
            <w:tcBorders>
              <w:bottom w:val="single" w:sz="4" w:space="0" w:color="auto"/>
            </w:tcBorders>
            <w:shd w:val="clear" w:color="auto" w:fill="auto"/>
            <w:vAlign w:val="center"/>
            <w:hideMark/>
          </w:tcPr>
          <w:p w14:paraId="2063FE0A"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7B039F37" w14:textId="77777777" w:rsidTr="00282204">
        <w:trPr>
          <w:trHeight w:val="107"/>
        </w:trPr>
        <w:tc>
          <w:tcPr>
            <w:tcW w:w="3491" w:type="dxa"/>
            <w:vMerge w:val="restart"/>
            <w:tcBorders>
              <w:top w:val="single" w:sz="4" w:space="0" w:color="auto"/>
            </w:tcBorders>
            <w:shd w:val="clear" w:color="auto" w:fill="auto"/>
            <w:vAlign w:val="center"/>
            <w:hideMark/>
          </w:tcPr>
          <w:p w14:paraId="4F7A85D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Medication Review</w:t>
            </w:r>
          </w:p>
          <w:p w14:paraId="2A6D1DCA" w14:textId="77777777" w:rsidR="00821B82" w:rsidRPr="00812505" w:rsidRDefault="00821B82" w:rsidP="00282204">
            <w:pPr>
              <w:spacing w:after="0" w:line="240" w:lineRule="auto"/>
              <w:rPr>
                <w:rFonts w:asciiTheme="minorBidi" w:eastAsia="Times New Roman" w:hAnsiTheme="minorBidi"/>
                <w:sz w:val="18"/>
                <w:szCs w:val="18"/>
              </w:rPr>
            </w:pPr>
          </w:p>
          <w:p w14:paraId="371C86F4" w14:textId="77777777" w:rsidR="00821B82" w:rsidRPr="00812505" w:rsidRDefault="00821B82" w:rsidP="00282204">
            <w:pPr>
              <w:spacing w:after="0" w:line="240" w:lineRule="auto"/>
              <w:rPr>
                <w:rFonts w:asciiTheme="minorBidi" w:eastAsia="Times New Roman" w:hAnsiTheme="minorBidi"/>
                <w:sz w:val="18"/>
                <w:szCs w:val="18"/>
              </w:rPr>
            </w:pPr>
          </w:p>
          <w:p w14:paraId="5C721DCC"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20EE0F2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67C8F2A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23130C6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2CCF8351" w14:textId="77777777" w:rsidR="00821B82" w:rsidRPr="00812505" w:rsidRDefault="00821B82" w:rsidP="00282204">
            <w:pPr>
              <w:spacing w:after="0" w:line="240" w:lineRule="auto"/>
              <w:rPr>
                <w:rFonts w:asciiTheme="minorBidi" w:eastAsia="Times New Roman" w:hAnsiTheme="minorBidi"/>
                <w:sz w:val="18"/>
                <w:szCs w:val="18"/>
              </w:rPr>
            </w:pPr>
          </w:p>
          <w:p w14:paraId="2FED813C"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4583A73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66B31A09" w14:textId="77777777" w:rsidR="00821B82" w:rsidRPr="00812505" w:rsidRDefault="00821B82" w:rsidP="00282204">
            <w:pPr>
              <w:spacing w:after="0" w:line="240" w:lineRule="auto"/>
              <w:rPr>
                <w:rFonts w:asciiTheme="minorBidi" w:eastAsia="Times New Roman" w:hAnsiTheme="minorBidi"/>
                <w:sz w:val="18"/>
                <w:szCs w:val="18"/>
              </w:rPr>
            </w:pPr>
          </w:p>
          <w:p w14:paraId="7FFAAD6C" w14:textId="77777777" w:rsidR="00821B82" w:rsidRPr="00812505" w:rsidRDefault="00821B82" w:rsidP="00282204">
            <w:pPr>
              <w:spacing w:after="0" w:line="240" w:lineRule="auto"/>
              <w:rPr>
                <w:rFonts w:asciiTheme="minorBidi" w:eastAsia="Times New Roman" w:hAnsiTheme="minorBidi"/>
                <w:sz w:val="18"/>
                <w:szCs w:val="18"/>
              </w:rPr>
            </w:pPr>
          </w:p>
          <w:p w14:paraId="4EDC067D"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69F1C5C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8</w:t>
            </w:r>
          </w:p>
        </w:tc>
        <w:tc>
          <w:tcPr>
            <w:tcW w:w="1059" w:type="dxa"/>
            <w:tcBorders>
              <w:top w:val="single" w:sz="4" w:space="0" w:color="auto"/>
            </w:tcBorders>
            <w:shd w:val="clear" w:color="auto" w:fill="auto"/>
            <w:vAlign w:val="center"/>
            <w:hideMark/>
          </w:tcPr>
          <w:p w14:paraId="7B3DFB8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10</w:t>
            </w:r>
          </w:p>
        </w:tc>
        <w:tc>
          <w:tcPr>
            <w:tcW w:w="1254" w:type="dxa"/>
            <w:tcBorders>
              <w:top w:val="single" w:sz="4" w:space="0" w:color="auto"/>
            </w:tcBorders>
            <w:shd w:val="clear" w:color="auto" w:fill="auto"/>
            <w:vAlign w:val="center"/>
            <w:hideMark/>
          </w:tcPr>
          <w:p w14:paraId="13E72A6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w:t>
            </w:r>
          </w:p>
        </w:tc>
        <w:tc>
          <w:tcPr>
            <w:tcW w:w="956" w:type="dxa"/>
            <w:tcBorders>
              <w:top w:val="single" w:sz="4" w:space="0" w:color="auto"/>
            </w:tcBorders>
            <w:shd w:val="clear" w:color="auto" w:fill="auto"/>
            <w:vAlign w:val="center"/>
            <w:hideMark/>
          </w:tcPr>
          <w:p w14:paraId="2652B2D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35</w:t>
            </w:r>
          </w:p>
        </w:tc>
        <w:tc>
          <w:tcPr>
            <w:tcW w:w="1027" w:type="dxa"/>
            <w:tcBorders>
              <w:top w:val="single" w:sz="4" w:space="0" w:color="auto"/>
            </w:tcBorders>
            <w:shd w:val="clear" w:color="auto" w:fill="auto"/>
            <w:vAlign w:val="center"/>
            <w:hideMark/>
          </w:tcPr>
          <w:p w14:paraId="4DA2F05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41</w:t>
            </w:r>
          </w:p>
        </w:tc>
        <w:tc>
          <w:tcPr>
            <w:tcW w:w="1320" w:type="dxa"/>
            <w:tcBorders>
              <w:top w:val="single" w:sz="4" w:space="0" w:color="auto"/>
            </w:tcBorders>
            <w:shd w:val="clear" w:color="auto" w:fill="auto"/>
            <w:vAlign w:val="center"/>
            <w:hideMark/>
          </w:tcPr>
          <w:p w14:paraId="7EEC03F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(3.5-5)</w:t>
            </w:r>
          </w:p>
        </w:tc>
        <w:tc>
          <w:tcPr>
            <w:tcW w:w="987" w:type="dxa"/>
            <w:vMerge w:val="restart"/>
            <w:tcBorders>
              <w:top w:val="single" w:sz="4" w:space="0" w:color="auto"/>
            </w:tcBorders>
            <w:shd w:val="clear" w:color="auto" w:fill="auto"/>
            <w:vAlign w:val="center"/>
            <w:hideMark/>
          </w:tcPr>
          <w:p w14:paraId="3F60EEF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0.10</w:t>
            </w:r>
          </w:p>
          <w:p w14:paraId="04BBC06A" w14:textId="77777777" w:rsidR="00821B82" w:rsidRPr="00812505" w:rsidRDefault="00821B82" w:rsidP="00282204">
            <w:pPr>
              <w:spacing w:after="0" w:line="240" w:lineRule="auto"/>
              <w:rPr>
                <w:rFonts w:asciiTheme="minorBidi" w:eastAsia="Times New Roman" w:hAnsiTheme="minorBidi"/>
                <w:sz w:val="18"/>
                <w:szCs w:val="18"/>
              </w:rPr>
            </w:pPr>
          </w:p>
          <w:p w14:paraId="31D157B5" w14:textId="77777777" w:rsidR="00821B82" w:rsidRPr="00812505" w:rsidRDefault="00821B82" w:rsidP="00282204">
            <w:pPr>
              <w:spacing w:after="0" w:line="240" w:lineRule="auto"/>
              <w:rPr>
                <w:rFonts w:asciiTheme="minorBidi" w:eastAsia="Times New Roman" w:hAnsiTheme="minorBidi"/>
                <w:sz w:val="18"/>
                <w:szCs w:val="18"/>
              </w:rPr>
            </w:pPr>
          </w:p>
          <w:p w14:paraId="471E933E"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21A0A231" w14:textId="77777777" w:rsidTr="00282204">
        <w:trPr>
          <w:trHeight w:val="108"/>
        </w:trPr>
        <w:tc>
          <w:tcPr>
            <w:tcW w:w="3491" w:type="dxa"/>
            <w:vMerge/>
            <w:shd w:val="clear" w:color="auto" w:fill="auto"/>
            <w:vAlign w:val="center"/>
            <w:hideMark/>
          </w:tcPr>
          <w:p w14:paraId="54FFFE2F"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7BC73EFE"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25C88206"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1830DB7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059" w:type="dxa"/>
            <w:shd w:val="clear" w:color="auto" w:fill="auto"/>
            <w:vAlign w:val="center"/>
            <w:hideMark/>
          </w:tcPr>
          <w:p w14:paraId="255F984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7</w:t>
            </w:r>
          </w:p>
        </w:tc>
        <w:tc>
          <w:tcPr>
            <w:tcW w:w="1254" w:type="dxa"/>
            <w:shd w:val="clear" w:color="auto" w:fill="auto"/>
            <w:vAlign w:val="center"/>
            <w:hideMark/>
          </w:tcPr>
          <w:p w14:paraId="5F60C86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13</w:t>
            </w:r>
          </w:p>
        </w:tc>
        <w:tc>
          <w:tcPr>
            <w:tcW w:w="956" w:type="dxa"/>
            <w:shd w:val="clear" w:color="auto" w:fill="auto"/>
            <w:vAlign w:val="center"/>
            <w:hideMark/>
          </w:tcPr>
          <w:p w14:paraId="1EF532F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30</w:t>
            </w:r>
          </w:p>
        </w:tc>
        <w:tc>
          <w:tcPr>
            <w:tcW w:w="1027" w:type="dxa"/>
            <w:shd w:val="clear" w:color="auto" w:fill="auto"/>
            <w:vAlign w:val="center"/>
            <w:hideMark/>
          </w:tcPr>
          <w:p w14:paraId="3FB1313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50</w:t>
            </w:r>
          </w:p>
        </w:tc>
        <w:tc>
          <w:tcPr>
            <w:tcW w:w="1320" w:type="dxa"/>
            <w:shd w:val="clear" w:color="auto" w:fill="auto"/>
            <w:vAlign w:val="center"/>
            <w:hideMark/>
          </w:tcPr>
          <w:p w14:paraId="0BBA75C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4.5 (4-5)</w:t>
            </w:r>
          </w:p>
        </w:tc>
        <w:tc>
          <w:tcPr>
            <w:tcW w:w="987" w:type="dxa"/>
            <w:vMerge/>
            <w:shd w:val="clear" w:color="auto" w:fill="auto"/>
            <w:vAlign w:val="center"/>
            <w:hideMark/>
          </w:tcPr>
          <w:p w14:paraId="0B4643B8"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60CF6BD3" w14:textId="77777777" w:rsidTr="00282204">
        <w:trPr>
          <w:trHeight w:val="72"/>
        </w:trPr>
        <w:tc>
          <w:tcPr>
            <w:tcW w:w="3491" w:type="dxa"/>
            <w:vMerge/>
            <w:shd w:val="clear" w:color="auto" w:fill="auto"/>
            <w:vAlign w:val="center"/>
            <w:hideMark/>
          </w:tcPr>
          <w:p w14:paraId="2A7AFC0E"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4B247F26"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522EBB61"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65D76BA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7</w:t>
            </w:r>
          </w:p>
        </w:tc>
        <w:tc>
          <w:tcPr>
            <w:tcW w:w="1059" w:type="dxa"/>
            <w:shd w:val="clear" w:color="auto" w:fill="auto"/>
            <w:vAlign w:val="center"/>
            <w:hideMark/>
          </w:tcPr>
          <w:p w14:paraId="1448CED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254" w:type="dxa"/>
            <w:shd w:val="clear" w:color="auto" w:fill="auto"/>
            <w:vAlign w:val="center"/>
            <w:hideMark/>
          </w:tcPr>
          <w:p w14:paraId="4833CF4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15</w:t>
            </w:r>
          </w:p>
        </w:tc>
        <w:tc>
          <w:tcPr>
            <w:tcW w:w="956" w:type="dxa"/>
            <w:shd w:val="clear" w:color="auto" w:fill="auto"/>
            <w:vAlign w:val="center"/>
            <w:hideMark/>
          </w:tcPr>
          <w:p w14:paraId="06A44B2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56</w:t>
            </w:r>
          </w:p>
        </w:tc>
        <w:tc>
          <w:tcPr>
            <w:tcW w:w="1027" w:type="dxa"/>
            <w:shd w:val="clear" w:color="auto" w:fill="auto"/>
            <w:vAlign w:val="center"/>
            <w:hideMark/>
          </w:tcPr>
          <w:p w14:paraId="67E33DD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22</w:t>
            </w:r>
          </w:p>
        </w:tc>
        <w:tc>
          <w:tcPr>
            <w:tcW w:w="1320" w:type="dxa"/>
            <w:shd w:val="clear" w:color="auto" w:fill="auto"/>
            <w:vAlign w:val="center"/>
            <w:hideMark/>
          </w:tcPr>
          <w:p w14:paraId="13C8C09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(4-4)</w:t>
            </w:r>
          </w:p>
        </w:tc>
        <w:tc>
          <w:tcPr>
            <w:tcW w:w="987" w:type="dxa"/>
            <w:vMerge/>
            <w:shd w:val="clear" w:color="auto" w:fill="auto"/>
            <w:vAlign w:val="center"/>
            <w:hideMark/>
          </w:tcPr>
          <w:p w14:paraId="179240DF"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6D2F25DF" w14:textId="77777777" w:rsidTr="00282204">
        <w:trPr>
          <w:trHeight w:val="60"/>
        </w:trPr>
        <w:tc>
          <w:tcPr>
            <w:tcW w:w="3491" w:type="dxa"/>
            <w:vMerge/>
            <w:shd w:val="clear" w:color="auto" w:fill="auto"/>
            <w:vAlign w:val="center"/>
            <w:hideMark/>
          </w:tcPr>
          <w:p w14:paraId="10685C11"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0EA0A68F"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4422802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Future</w:t>
            </w:r>
          </w:p>
          <w:p w14:paraId="7A9A7D6D"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13CAC014"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64376DF2" w14:textId="77777777" w:rsidR="00821B82" w:rsidRPr="00812505" w:rsidRDefault="00821B82" w:rsidP="00282204">
            <w:pPr>
              <w:spacing w:after="0" w:line="240" w:lineRule="auto"/>
              <w:rPr>
                <w:rFonts w:asciiTheme="minorBidi" w:eastAsia="Times New Roman" w:hAnsiTheme="minorBidi"/>
                <w:color w:val="264A60"/>
                <w:sz w:val="18"/>
                <w:szCs w:val="18"/>
              </w:rPr>
            </w:pPr>
          </w:p>
        </w:tc>
        <w:tc>
          <w:tcPr>
            <w:tcW w:w="1283" w:type="dxa"/>
            <w:shd w:val="clear" w:color="auto" w:fill="auto"/>
            <w:vAlign w:val="center"/>
            <w:hideMark/>
          </w:tcPr>
          <w:p w14:paraId="3D81BCF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1059" w:type="dxa"/>
            <w:shd w:val="clear" w:color="auto" w:fill="auto"/>
            <w:vAlign w:val="center"/>
            <w:hideMark/>
          </w:tcPr>
          <w:p w14:paraId="353B710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w:t>
            </w:r>
          </w:p>
        </w:tc>
        <w:tc>
          <w:tcPr>
            <w:tcW w:w="1254" w:type="dxa"/>
            <w:shd w:val="clear" w:color="auto" w:fill="auto"/>
            <w:vAlign w:val="center"/>
            <w:hideMark/>
          </w:tcPr>
          <w:p w14:paraId="446CDC5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956" w:type="dxa"/>
            <w:shd w:val="clear" w:color="auto" w:fill="auto"/>
            <w:vAlign w:val="center"/>
            <w:hideMark/>
          </w:tcPr>
          <w:p w14:paraId="1F4D963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41</w:t>
            </w:r>
          </w:p>
        </w:tc>
        <w:tc>
          <w:tcPr>
            <w:tcW w:w="1027" w:type="dxa"/>
            <w:shd w:val="clear" w:color="auto" w:fill="auto"/>
            <w:vAlign w:val="center"/>
            <w:hideMark/>
          </w:tcPr>
          <w:p w14:paraId="7E87FCE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49</w:t>
            </w:r>
          </w:p>
        </w:tc>
        <w:tc>
          <w:tcPr>
            <w:tcW w:w="1320" w:type="dxa"/>
            <w:shd w:val="clear" w:color="auto" w:fill="auto"/>
            <w:vAlign w:val="center"/>
            <w:hideMark/>
          </w:tcPr>
          <w:p w14:paraId="41FD92E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(4-5)</w:t>
            </w:r>
          </w:p>
        </w:tc>
        <w:tc>
          <w:tcPr>
            <w:tcW w:w="987" w:type="dxa"/>
            <w:vMerge w:val="restart"/>
            <w:shd w:val="clear" w:color="auto" w:fill="auto"/>
            <w:vAlign w:val="center"/>
            <w:hideMark/>
          </w:tcPr>
          <w:p w14:paraId="37F9FDF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0.38</w:t>
            </w:r>
          </w:p>
          <w:p w14:paraId="0C91AABB"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4B4F76EA"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4291C493"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07C04D4F" w14:textId="77777777" w:rsidTr="00282204">
        <w:trPr>
          <w:trHeight w:val="60"/>
        </w:trPr>
        <w:tc>
          <w:tcPr>
            <w:tcW w:w="3491" w:type="dxa"/>
            <w:vMerge/>
            <w:shd w:val="clear" w:color="auto" w:fill="auto"/>
            <w:vAlign w:val="center"/>
            <w:hideMark/>
          </w:tcPr>
          <w:p w14:paraId="44CCE07C"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02CCD449"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06F8A2D4" w14:textId="77777777" w:rsidR="00821B82" w:rsidRPr="00812505" w:rsidRDefault="00821B82" w:rsidP="00282204">
            <w:pPr>
              <w:spacing w:after="0" w:line="240" w:lineRule="auto"/>
              <w:rPr>
                <w:rFonts w:asciiTheme="minorBidi" w:eastAsia="Times New Roman" w:hAnsiTheme="minorBidi"/>
                <w:color w:val="264A60"/>
                <w:sz w:val="18"/>
                <w:szCs w:val="18"/>
              </w:rPr>
            </w:pPr>
          </w:p>
        </w:tc>
        <w:tc>
          <w:tcPr>
            <w:tcW w:w="1283" w:type="dxa"/>
            <w:shd w:val="clear" w:color="auto" w:fill="auto"/>
            <w:vAlign w:val="center"/>
            <w:hideMark/>
          </w:tcPr>
          <w:p w14:paraId="0B8B5C3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059" w:type="dxa"/>
            <w:shd w:val="clear" w:color="auto" w:fill="auto"/>
            <w:vAlign w:val="center"/>
            <w:hideMark/>
          </w:tcPr>
          <w:p w14:paraId="7C5E43A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254" w:type="dxa"/>
            <w:shd w:val="clear" w:color="auto" w:fill="auto"/>
            <w:vAlign w:val="center"/>
            <w:hideMark/>
          </w:tcPr>
          <w:p w14:paraId="475539E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10</w:t>
            </w:r>
          </w:p>
        </w:tc>
        <w:tc>
          <w:tcPr>
            <w:tcW w:w="956" w:type="dxa"/>
            <w:shd w:val="clear" w:color="auto" w:fill="auto"/>
            <w:vAlign w:val="center"/>
            <w:hideMark/>
          </w:tcPr>
          <w:p w14:paraId="2B9B31B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33</w:t>
            </w:r>
          </w:p>
        </w:tc>
        <w:tc>
          <w:tcPr>
            <w:tcW w:w="1027" w:type="dxa"/>
            <w:shd w:val="clear" w:color="auto" w:fill="auto"/>
            <w:vAlign w:val="center"/>
            <w:hideMark/>
          </w:tcPr>
          <w:p w14:paraId="7BCE979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53</w:t>
            </w:r>
          </w:p>
        </w:tc>
        <w:tc>
          <w:tcPr>
            <w:tcW w:w="1320" w:type="dxa"/>
            <w:shd w:val="clear" w:color="auto" w:fill="auto"/>
            <w:vAlign w:val="center"/>
            <w:hideMark/>
          </w:tcPr>
          <w:p w14:paraId="3F9B37F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 (4-5)</w:t>
            </w:r>
          </w:p>
        </w:tc>
        <w:tc>
          <w:tcPr>
            <w:tcW w:w="987" w:type="dxa"/>
            <w:vMerge/>
            <w:shd w:val="clear" w:color="auto" w:fill="auto"/>
            <w:vAlign w:val="center"/>
            <w:hideMark/>
          </w:tcPr>
          <w:p w14:paraId="40BF58D9"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52B3698D" w14:textId="77777777" w:rsidTr="00282204">
        <w:trPr>
          <w:trHeight w:val="97"/>
        </w:trPr>
        <w:tc>
          <w:tcPr>
            <w:tcW w:w="3491" w:type="dxa"/>
            <w:vMerge/>
            <w:tcBorders>
              <w:bottom w:val="single" w:sz="4" w:space="0" w:color="auto"/>
            </w:tcBorders>
            <w:shd w:val="clear" w:color="auto" w:fill="auto"/>
            <w:vAlign w:val="center"/>
            <w:hideMark/>
          </w:tcPr>
          <w:p w14:paraId="7762865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19C7E197"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2426239E" w14:textId="77777777" w:rsidR="00821B82" w:rsidRPr="00812505" w:rsidRDefault="00821B82" w:rsidP="00282204">
            <w:pPr>
              <w:spacing w:after="0" w:line="240" w:lineRule="auto"/>
              <w:rPr>
                <w:rFonts w:asciiTheme="minorBidi" w:eastAsia="Times New Roman" w:hAnsiTheme="minorBidi"/>
                <w:color w:val="264A60"/>
                <w:sz w:val="18"/>
                <w:szCs w:val="18"/>
              </w:rPr>
            </w:pPr>
          </w:p>
        </w:tc>
        <w:tc>
          <w:tcPr>
            <w:tcW w:w="1283" w:type="dxa"/>
            <w:tcBorders>
              <w:bottom w:val="single" w:sz="4" w:space="0" w:color="auto"/>
            </w:tcBorders>
            <w:shd w:val="clear" w:color="auto" w:fill="auto"/>
            <w:vAlign w:val="center"/>
            <w:hideMark/>
          </w:tcPr>
          <w:p w14:paraId="66311BFE"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1059" w:type="dxa"/>
            <w:tcBorders>
              <w:bottom w:val="single" w:sz="4" w:space="0" w:color="auto"/>
            </w:tcBorders>
            <w:shd w:val="clear" w:color="auto" w:fill="auto"/>
            <w:vAlign w:val="center"/>
            <w:hideMark/>
          </w:tcPr>
          <w:p w14:paraId="050BD6F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254" w:type="dxa"/>
            <w:tcBorders>
              <w:bottom w:val="single" w:sz="4" w:space="0" w:color="auto"/>
            </w:tcBorders>
            <w:shd w:val="clear" w:color="auto" w:fill="auto"/>
            <w:vAlign w:val="center"/>
            <w:hideMark/>
          </w:tcPr>
          <w:p w14:paraId="32416BB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956" w:type="dxa"/>
            <w:tcBorders>
              <w:bottom w:val="single" w:sz="4" w:space="0" w:color="auto"/>
            </w:tcBorders>
            <w:shd w:val="clear" w:color="auto" w:fill="auto"/>
            <w:vAlign w:val="center"/>
            <w:hideMark/>
          </w:tcPr>
          <w:p w14:paraId="12CEEE2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56</w:t>
            </w:r>
          </w:p>
        </w:tc>
        <w:tc>
          <w:tcPr>
            <w:tcW w:w="1027" w:type="dxa"/>
            <w:tcBorders>
              <w:bottom w:val="single" w:sz="4" w:space="0" w:color="auto"/>
            </w:tcBorders>
            <w:shd w:val="clear" w:color="auto" w:fill="auto"/>
            <w:vAlign w:val="center"/>
            <w:hideMark/>
          </w:tcPr>
          <w:p w14:paraId="279231D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30</w:t>
            </w:r>
          </w:p>
        </w:tc>
        <w:tc>
          <w:tcPr>
            <w:tcW w:w="1320" w:type="dxa"/>
            <w:tcBorders>
              <w:bottom w:val="single" w:sz="4" w:space="0" w:color="auto"/>
            </w:tcBorders>
            <w:shd w:val="clear" w:color="auto" w:fill="auto"/>
            <w:vAlign w:val="center"/>
            <w:hideMark/>
          </w:tcPr>
          <w:p w14:paraId="2E8FEF3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(4-5)</w:t>
            </w:r>
          </w:p>
        </w:tc>
        <w:tc>
          <w:tcPr>
            <w:tcW w:w="987" w:type="dxa"/>
            <w:vMerge/>
            <w:tcBorders>
              <w:bottom w:val="single" w:sz="4" w:space="0" w:color="auto"/>
            </w:tcBorders>
            <w:shd w:val="clear" w:color="auto" w:fill="auto"/>
            <w:vAlign w:val="center"/>
            <w:hideMark/>
          </w:tcPr>
          <w:p w14:paraId="62D9A59D"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12C3CD83" w14:textId="77777777" w:rsidTr="00282204">
        <w:trPr>
          <w:trHeight w:val="242"/>
        </w:trPr>
        <w:tc>
          <w:tcPr>
            <w:tcW w:w="3491" w:type="dxa"/>
            <w:vMerge w:val="restart"/>
            <w:tcBorders>
              <w:top w:val="single" w:sz="4" w:space="0" w:color="auto"/>
            </w:tcBorders>
            <w:shd w:val="clear" w:color="auto" w:fill="auto"/>
            <w:vAlign w:val="center"/>
            <w:hideMark/>
          </w:tcPr>
          <w:p w14:paraId="47E5272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Co-Morbid Disease Education</w:t>
            </w:r>
          </w:p>
          <w:p w14:paraId="3D1CEB33" w14:textId="77777777" w:rsidR="00821B82" w:rsidRPr="00812505" w:rsidRDefault="00821B82" w:rsidP="00282204">
            <w:pPr>
              <w:spacing w:after="0" w:line="240" w:lineRule="auto"/>
              <w:rPr>
                <w:rFonts w:asciiTheme="minorBidi" w:eastAsia="Times New Roman" w:hAnsiTheme="minorBidi"/>
                <w:sz w:val="18"/>
                <w:szCs w:val="18"/>
              </w:rPr>
            </w:pPr>
          </w:p>
          <w:p w14:paraId="1977D50D" w14:textId="77777777" w:rsidR="00821B82" w:rsidRPr="00812505" w:rsidRDefault="00821B82" w:rsidP="00282204">
            <w:pPr>
              <w:spacing w:after="0" w:line="240" w:lineRule="auto"/>
              <w:rPr>
                <w:rFonts w:asciiTheme="minorBidi" w:eastAsia="Times New Roman" w:hAnsiTheme="minorBidi"/>
                <w:sz w:val="18"/>
                <w:szCs w:val="18"/>
              </w:rPr>
            </w:pPr>
          </w:p>
          <w:p w14:paraId="25351F2D" w14:textId="77777777" w:rsidR="00821B82" w:rsidRPr="00812505" w:rsidRDefault="00821B82" w:rsidP="00282204">
            <w:pPr>
              <w:spacing w:after="0" w:line="240" w:lineRule="auto"/>
              <w:rPr>
                <w:rFonts w:asciiTheme="minorBidi" w:eastAsia="Times New Roman" w:hAnsiTheme="minorBidi"/>
                <w:sz w:val="18"/>
                <w:szCs w:val="18"/>
              </w:rPr>
            </w:pPr>
          </w:p>
          <w:p w14:paraId="01F9D7D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68D937E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7043787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6772016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1BAD2DBB" w14:textId="77777777" w:rsidR="00821B82" w:rsidRPr="00812505" w:rsidRDefault="00821B82" w:rsidP="00282204">
            <w:pPr>
              <w:spacing w:after="0" w:line="240" w:lineRule="auto"/>
              <w:rPr>
                <w:rFonts w:asciiTheme="minorBidi" w:eastAsia="Times New Roman" w:hAnsiTheme="minorBidi"/>
                <w:sz w:val="18"/>
                <w:szCs w:val="18"/>
              </w:rPr>
            </w:pPr>
          </w:p>
          <w:p w14:paraId="5DC019D3"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2DABAB0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2DCC797E" w14:textId="77777777" w:rsidR="00821B82" w:rsidRPr="00812505" w:rsidRDefault="00821B82" w:rsidP="00282204">
            <w:pPr>
              <w:spacing w:after="0" w:line="240" w:lineRule="auto"/>
              <w:rPr>
                <w:rFonts w:asciiTheme="minorBidi" w:eastAsia="Times New Roman" w:hAnsiTheme="minorBidi"/>
                <w:sz w:val="18"/>
                <w:szCs w:val="18"/>
              </w:rPr>
            </w:pPr>
          </w:p>
          <w:p w14:paraId="185DA3BA" w14:textId="77777777" w:rsidR="00821B82" w:rsidRPr="00812505" w:rsidRDefault="00821B82" w:rsidP="00282204">
            <w:pPr>
              <w:spacing w:after="0" w:line="240" w:lineRule="auto"/>
              <w:rPr>
                <w:rFonts w:asciiTheme="minorBidi" w:eastAsia="Times New Roman" w:hAnsiTheme="minorBidi"/>
                <w:sz w:val="18"/>
                <w:szCs w:val="18"/>
              </w:rPr>
            </w:pPr>
          </w:p>
          <w:p w14:paraId="5B5EDEF3"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619BFBF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12</w:t>
            </w:r>
          </w:p>
        </w:tc>
        <w:tc>
          <w:tcPr>
            <w:tcW w:w="1059" w:type="dxa"/>
            <w:tcBorders>
              <w:top w:val="single" w:sz="4" w:space="0" w:color="auto"/>
            </w:tcBorders>
            <w:shd w:val="clear" w:color="auto" w:fill="auto"/>
            <w:vAlign w:val="center"/>
            <w:hideMark/>
          </w:tcPr>
          <w:p w14:paraId="381D73C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18</w:t>
            </w:r>
          </w:p>
        </w:tc>
        <w:tc>
          <w:tcPr>
            <w:tcW w:w="1254" w:type="dxa"/>
            <w:tcBorders>
              <w:top w:val="single" w:sz="4" w:space="0" w:color="auto"/>
            </w:tcBorders>
            <w:shd w:val="clear" w:color="auto" w:fill="auto"/>
            <w:vAlign w:val="center"/>
            <w:hideMark/>
          </w:tcPr>
          <w:p w14:paraId="5CEFF66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10</w:t>
            </w:r>
          </w:p>
        </w:tc>
        <w:tc>
          <w:tcPr>
            <w:tcW w:w="956" w:type="dxa"/>
            <w:tcBorders>
              <w:top w:val="single" w:sz="4" w:space="0" w:color="auto"/>
            </w:tcBorders>
            <w:shd w:val="clear" w:color="auto" w:fill="auto"/>
            <w:vAlign w:val="center"/>
            <w:hideMark/>
          </w:tcPr>
          <w:p w14:paraId="7CCCCE7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45</w:t>
            </w:r>
          </w:p>
        </w:tc>
        <w:tc>
          <w:tcPr>
            <w:tcW w:w="1027" w:type="dxa"/>
            <w:tcBorders>
              <w:top w:val="single" w:sz="4" w:space="0" w:color="auto"/>
            </w:tcBorders>
            <w:shd w:val="clear" w:color="auto" w:fill="auto"/>
            <w:vAlign w:val="center"/>
            <w:hideMark/>
          </w:tcPr>
          <w:p w14:paraId="5818BD0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14</w:t>
            </w:r>
          </w:p>
        </w:tc>
        <w:tc>
          <w:tcPr>
            <w:tcW w:w="1320" w:type="dxa"/>
            <w:tcBorders>
              <w:top w:val="single" w:sz="4" w:space="0" w:color="auto"/>
            </w:tcBorders>
            <w:shd w:val="clear" w:color="auto" w:fill="auto"/>
            <w:vAlign w:val="center"/>
            <w:hideMark/>
          </w:tcPr>
          <w:p w14:paraId="4817EE9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(2-4)</w:t>
            </w:r>
          </w:p>
        </w:tc>
        <w:tc>
          <w:tcPr>
            <w:tcW w:w="987" w:type="dxa"/>
            <w:vMerge w:val="restart"/>
            <w:tcBorders>
              <w:top w:val="single" w:sz="4" w:space="0" w:color="auto"/>
            </w:tcBorders>
            <w:shd w:val="clear" w:color="auto" w:fill="auto"/>
            <w:vAlign w:val="center"/>
            <w:hideMark/>
          </w:tcPr>
          <w:p w14:paraId="5928C9C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0.00*</w:t>
            </w:r>
          </w:p>
          <w:p w14:paraId="0CD2D176" w14:textId="77777777" w:rsidR="00821B82" w:rsidRPr="00812505" w:rsidRDefault="00821B82" w:rsidP="00282204">
            <w:pPr>
              <w:spacing w:after="0" w:line="240" w:lineRule="auto"/>
              <w:rPr>
                <w:rFonts w:asciiTheme="minorBidi" w:eastAsia="Times New Roman" w:hAnsiTheme="minorBidi"/>
                <w:sz w:val="18"/>
                <w:szCs w:val="18"/>
              </w:rPr>
            </w:pPr>
          </w:p>
          <w:p w14:paraId="0EBA4561" w14:textId="77777777" w:rsidR="00821B82" w:rsidRPr="00812505" w:rsidRDefault="00821B82" w:rsidP="00282204">
            <w:pPr>
              <w:spacing w:after="0" w:line="240" w:lineRule="auto"/>
              <w:rPr>
                <w:rFonts w:asciiTheme="minorBidi" w:eastAsia="Times New Roman" w:hAnsiTheme="minorBidi"/>
                <w:sz w:val="18"/>
                <w:szCs w:val="18"/>
              </w:rPr>
            </w:pPr>
          </w:p>
          <w:p w14:paraId="1B0465D8"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650FBB19" w14:textId="77777777" w:rsidTr="00282204">
        <w:trPr>
          <w:trHeight w:val="117"/>
        </w:trPr>
        <w:tc>
          <w:tcPr>
            <w:tcW w:w="3491" w:type="dxa"/>
            <w:vMerge/>
            <w:shd w:val="clear" w:color="auto" w:fill="auto"/>
            <w:vAlign w:val="center"/>
            <w:hideMark/>
          </w:tcPr>
          <w:p w14:paraId="7CAFDD59"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01CB9978"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7ACB4710"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6372330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059" w:type="dxa"/>
            <w:shd w:val="clear" w:color="auto" w:fill="auto"/>
            <w:vAlign w:val="center"/>
            <w:hideMark/>
          </w:tcPr>
          <w:p w14:paraId="2F1CEBB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254" w:type="dxa"/>
            <w:shd w:val="clear" w:color="auto" w:fill="auto"/>
            <w:vAlign w:val="center"/>
            <w:hideMark/>
          </w:tcPr>
          <w:p w14:paraId="038B803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956" w:type="dxa"/>
            <w:shd w:val="clear" w:color="auto" w:fill="auto"/>
            <w:vAlign w:val="center"/>
            <w:hideMark/>
          </w:tcPr>
          <w:p w14:paraId="19C32C7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40</w:t>
            </w:r>
          </w:p>
        </w:tc>
        <w:tc>
          <w:tcPr>
            <w:tcW w:w="1027" w:type="dxa"/>
            <w:shd w:val="clear" w:color="auto" w:fill="auto"/>
            <w:vAlign w:val="center"/>
            <w:hideMark/>
          </w:tcPr>
          <w:p w14:paraId="6F8E246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50</w:t>
            </w:r>
          </w:p>
        </w:tc>
        <w:tc>
          <w:tcPr>
            <w:tcW w:w="1320" w:type="dxa"/>
            <w:shd w:val="clear" w:color="auto" w:fill="auto"/>
            <w:vAlign w:val="center"/>
            <w:hideMark/>
          </w:tcPr>
          <w:p w14:paraId="3B1671D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4.5 (4-5)</w:t>
            </w:r>
          </w:p>
        </w:tc>
        <w:tc>
          <w:tcPr>
            <w:tcW w:w="987" w:type="dxa"/>
            <w:vMerge/>
            <w:shd w:val="clear" w:color="auto" w:fill="auto"/>
            <w:vAlign w:val="center"/>
            <w:hideMark/>
          </w:tcPr>
          <w:p w14:paraId="6719D510"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188EB1B0" w14:textId="77777777" w:rsidTr="00282204">
        <w:trPr>
          <w:trHeight w:val="90"/>
        </w:trPr>
        <w:tc>
          <w:tcPr>
            <w:tcW w:w="3491" w:type="dxa"/>
            <w:vMerge/>
            <w:shd w:val="clear" w:color="auto" w:fill="auto"/>
            <w:vAlign w:val="center"/>
            <w:hideMark/>
          </w:tcPr>
          <w:p w14:paraId="2789AAB1"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6765FE66"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4EDD6E70"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1FE2A14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19</w:t>
            </w:r>
          </w:p>
        </w:tc>
        <w:tc>
          <w:tcPr>
            <w:tcW w:w="1059" w:type="dxa"/>
            <w:shd w:val="clear" w:color="auto" w:fill="auto"/>
            <w:vAlign w:val="center"/>
            <w:hideMark/>
          </w:tcPr>
          <w:p w14:paraId="5452959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254" w:type="dxa"/>
            <w:shd w:val="clear" w:color="auto" w:fill="auto"/>
            <w:vAlign w:val="center"/>
            <w:hideMark/>
          </w:tcPr>
          <w:p w14:paraId="7F415F1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11</w:t>
            </w:r>
          </w:p>
        </w:tc>
        <w:tc>
          <w:tcPr>
            <w:tcW w:w="956" w:type="dxa"/>
            <w:shd w:val="clear" w:color="auto" w:fill="auto"/>
            <w:vAlign w:val="center"/>
            <w:hideMark/>
          </w:tcPr>
          <w:p w14:paraId="09E955F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59</w:t>
            </w:r>
          </w:p>
        </w:tc>
        <w:tc>
          <w:tcPr>
            <w:tcW w:w="1027" w:type="dxa"/>
            <w:shd w:val="clear" w:color="auto" w:fill="auto"/>
            <w:vAlign w:val="center"/>
            <w:hideMark/>
          </w:tcPr>
          <w:p w14:paraId="5793942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11</w:t>
            </w:r>
          </w:p>
        </w:tc>
        <w:tc>
          <w:tcPr>
            <w:tcW w:w="1320" w:type="dxa"/>
            <w:shd w:val="clear" w:color="auto" w:fill="auto"/>
            <w:vAlign w:val="center"/>
            <w:hideMark/>
          </w:tcPr>
          <w:p w14:paraId="53A7C1E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(3-4)</w:t>
            </w:r>
          </w:p>
        </w:tc>
        <w:tc>
          <w:tcPr>
            <w:tcW w:w="987" w:type="dxa"/>
            <w:vMerge/>
            <w:shd w:val="clear" w:color="auto" w:fill="auto"/>
            <w:vAlign w:val="center"/>
            <w:hideMark/>
          </w:tcPr>
          <w:p w14:paraId="65C6D964"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4F55C3D0" w14:textId="77777777" w:rsidTr="00282204">
        <w:trPr>
          <w:trHeight w:val="60"/>
        </w:trPr>
        <w:tc>
          <w:tcPr>
            <w:tcW w:w="3491" w:type="dxa"/>
            <w:vMerge/>
            <w:shd w:val="clear" w:color="auto" w:fill="auto"/>
            <w:vAlign w:val="center"/>
            <w:hideMark/>
          </w:tcPr>
          <w:p w14:paraId="3543770B"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783AAD1F"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7E106D1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color w:val="264A60"/>
                <w:sz w:val="18"/>
                <w:szCs w:val="18"/>
              </w:rPr>
              <w:t>Future</w:t>
            </w:r>
          </w:p>
          <w:p w14:paraId="57358AFB" w14:textId="77777777" w:rsidR="00821B82" w:rsidRPr="00812505" w:rsidRDefault="00821B82" w:rsidP="00282204">
            <w:pPr>
              <w:spacing w:after="0" w:line="240" w:lineRule="auto"/>
              <w:rPr>
                <w:rFonts w:asciiTheme="minorBidi" w:eastAsia="Times New Roman" w:hAnsiTheme="minorBidi"/>
                <w:sz w:val="18"/>
                <w:szCs w:val="18"/>
              </w:rPr>
            </w:pPr>
          </w:p>
          <w:p w14:paraId="3C219C9F" w14:textId="77777777" w:rsidR="00821B82" w:rsidRPr="00812505" w:rsidRDefault="00821B82" w:rsidP="00282204">
            <w:pPr>
              <w:spacing w:after="0" w:line="240" w:lineRule="auto"/>
              <w:rPr>
                <w:rFonts w:asciiTheme="minorBidi" w:eastAsia="Times New Roman" w:hAnsiTheme="minorBidi"/>
                <w:sz w:val="18"/>
                <w:szCs w:val="18"/>
              </w:rPr>
            </w:pPr>
          </w:p>
          <w:p w14:paraId="708246A4"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50DCFB5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10</w:t>
            </w:r>
          </w:p>
        </w:tc>
        <w:tc>
          <w:tcPr>
            <w:tcW w:w="1059" w:type="dxa"/>
            <w:shd w:val="clear" w:color="auto" w:fill="auto"/>
            <w:vAlign w:val="center"/>
            <w:hideMark/>
          </w:tcPr>
          <w:p w14:paraId="48A2F28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8</w:t>
            </w:r>
          </w:p>
        </w:tc>
        <w:tc>
          <w:tcPr>
            <w:tcW w:w="1254" w:type="dxa"/>
            <w:shd w:val="clear" w:color="auto" w:fill="auto"/>
            <w:vAlign w:val="center"/>
            <w:hideMark/>
          </w:tcPr>
          <w:p w14:paraId="2E3EE82E"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10</w:t>
            </w:r>
          </w:p>
        </w:tc>
        <w:tc>
          <w:tcPr>
            <w:tcW w:w="956" w:type="dxa"/>
            <w:shd w:val="clear" w:color="auto" w:fill="auto"/>
            <w:vAlign w:val="center"/>
            <w:hideMark/>
          </w:tcPr>
          <w:p w14:paraId="3E5DFCF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43</w:t>
            </w:r>
          </w:p>
        </w:tc>
        <w:tc>
          <w:tcPr>
            <w:tcW w:w="1027" w:type="dxa"/>
            <w:shd w:val="clear" w:color="auto" w:fill="auto"/>
            <w:vAlign w:val="center"/>
            <w:hideMark/>
          </w:tcPr>
          <w:p w14:paraId="36BE317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29</w:t>
            </w:r>
          </w:p>
        </w:tc>
        <w:tc>
          <w:tcPr>
            <w:tcW w:w="1320" w:type="dxa"/>
            <w:shd w:val="clear" w:color="auto" w:fill="auto"/>
            <w:vAlign w:val="center"/>
            <w:hideMark/>
          </w:tcPr>
          <w:p w14:paraId="397BD89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(3-5)</w:t>
            </w:r>
          </w:p>
        </w:tc>
        <w:tc>
          <w:tcPr>
            <w:tcW w:w="987" w:type="dxa"/>
            <w:vMerge w:val="restart"/>
            <w:shd w:val="clear" w:color="auto" w:fill="auto"/>
            <w:vAlign w:val="center"/>
            <w:hideMark/>
          </w:tcPr>
          <w:p w14:paraId="5F306A6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0.12</w:t>
            </w:r>
          </w:p>
          <w:p w14:paraId="5F6EB394"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34EC1D84"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6135283E"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69728018" w14:textId="77777777" w:rsidTr="00282204">
        <w:trPr>
          <w:trHeight w:val="60"/>
        </w:trPr>
        <w:tc>
          <w:tcPr>
            <w:tcW w:w="3491" w:type="dxa"/>
            <w:vMerge/>
            <w:shd w:val="clear" w:color="auto" w:fill="auto"/>
            <w:vAlign w:val="center"/>
            <w:hideMark/>
          </w:tcPr>
          <w:p w14:paraId="2845F4FB"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1ED402AC"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467750E2"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6A66C41E"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059" w:type="dxa"/>
            <w:shd w:val="clear" w:color="auto" w:fill="auto"/>
            <w:vAlign w:val="center"/>
            <w:hideMark/>
          </w:tcPr>
          <w:p w14:paraId="037EA0D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254" w:type="dxa"/>
            <w:shd w:val="clear" w:color="auto" w:fill="auto"/>
            <w:vAlign w:val="center"/>
            <w:hideMark/>
          </w:tcPr>
          <w:p w14:paraId="2BEC5DA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956" w:type="dxa"/>
            <w:shd w:val="clear" w:color="auto" w:fill="auto"/>
            <w:vAlign w:val="center"/>
            <w:hideMark/>
          </w:tcPr>
          <w:p w14:paraId="25D270F8"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47</w:t>
            </w:r>
          </w:p>
        </w:tc>
        <w:tc>
          <w:tcPr>
            <w:tcW w:w="1027" w:type="dxa"/>
            <w:shd w:val="clear" w:color="auto" w:fill="auto"/>
            <w:vAlign w:val="center"/>
            <w:hideMark/>
          </w:tcPr>
          <w:p w14:paraId="154499A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47</w:t>
            </w:r>
          </w:p>
        </w:tc>
        <w:tc>
          <w:tcPr>
            <w:tcW w:w="1320" w:type="dxa"/>
            <w:shd w:val="clear" w:color="auto" w:fill="auto"/>
            <w:vAlign w:val="center"/>
            <w:hideMark/>
          </w:tcPr>
          <w:p w14:paraId="03C6B6E5"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(4-5)</w:t>
            </w:r>
          </w:p>
        </w:tc>
        <w:tc>
          <w:tcPr>
            <w:tcW w:w="987" w:type="dxa"/>
            <w:vMerge/>
            <w:shd w:val="clear" w:color="auto" w:fill="auto"/>
            <w:vAlign w:val="center"/>
            <w:hideMark/>
          </w:tcPr>
          <w:p w14:paraId="796316E6"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77EECD2D" w14:textId="77777777" w:rsidTr="00282204">
        <w:trPr>
          <w:trHeight w:val="78"/>
        </w:trPr>
        <w:tc>
          <w:tcPr>
            <w:tcW w:w="3491" w:type="dxa"/>
            <w:vMerge/>
            <w:tcBorders>
              <w:bottom w:val="single" w:sz="4" w:space="0" w:color="auto"/>
            </w:tcBorders>
            <w:shd w:val="clear" w:color="auto" w:fill="auto"/>
            <w:vAlign w:val="center"/>
            <w:hideMark/>
          </w:tcPr>
          <w:p w14:paraId="68A91360"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395930FA"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2DB8BE43"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bottom w:val="single" w:sz="4" w:space="0" w:color="auto"/>
            </w:tcBorders>
            <w:shd w:val="clear" w:color="auto" w:fill="auto"/>
            <w:vAlign w:val="center"/>
            <w:hideMark/>
          </w:tcPr>
          <w:p w14:paraId="2367E935"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1059" w:type="dxa"/>
            <w:tcBorders>
              <w:bottom w:val="single" w:sz="4" w:space="0" w:color="auto"/>
            </w:tcBorders>
            <w:shd w:val="clear" w:color="auto" w:fill="auto"/>
            <w:vAlign w:val="center"/>
            <w:hideMark/>
          </w:tcPr>
          <w:p w14:paraId="646A5A1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254" w:type="dxa"/>
            <w:tcBorders>
              <w:bottom w:val="single" w:sz="4" w:space="0" w:color="auto"/>
            </w:tcBorders>
            <w:shd w:val="clear" w:color="auto" w:fill="auto"/>
            <w:vAlign w:val="center"/>
            <w:hideMark/>
          </w:tcPr>
          <w:p w14:paraId="5F0E006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15</w:t>
            </w:r>
          </w:p>
        </w:tc>
        <w:tc>
          <w:tcPr>
            <w:tcW w:w="956" w:type="dxa"/>
            <w:tcBorders>
              <w:bottom w:val="single" w:sz="4" w:space="0" w:color="auto"/>
            </w:tcBorders>
            <w:shd w:val="clear" w:color="auto" w:fill="auto"/>
            <w:vAlign w:val="center"/>
            <w:hideMark/>
          </w:tcPr>
          <w:p w14:paraId="3732ABD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59</w:t>
            </w:r>
          </w:p>
        </w:tc>
        <w:tc>
          <w:tcPr>
            <w:tcW w:w="1027" w:type="dxa"/>
            <w:tcBorders>
              <w:bottom w:val="single" w:sz="4" w:space="0" w:color="auto"/>
            </w:tcBorders>
            <w:shd w:val="clear" w:color="auto" w:fill="auto"/>
            <w:vAlign w:val="center"/>
            <w:hideMark/>
          </w:tcPr>
          <w:p w14:paraId="2DF81075"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19</w:t>
            </w:r>
          </w:p>
        </w:tc>
        <w:tc>
          <w:tcPr>
            <w:tcW w:w="1320" w:type="dxa"/>
            <w:tcBorders>
              <w:bottom w:val="single" w:sz="4" w:space="0" w:color="auto"/>
            </w:tcBorders>
            <w:shd w:val="clear" w:color="auto" w:fill="auto"/>
            <w:vAlign w:val="center"/>
            <w:hideMark/>
          </w:tcPr>
          <w:p w14:paraId="209C23C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(4-4)</w:t>
            </w:r>
          </w:p>
        </w:tc>
        <w:tc>
          <w:tcPr>
            <w:tcW w:w="987" w:type="dxa"/>
            <w:vMerge/>
            <w:tcBorders>
              <w:bottom w:val="single" w:sz="4" w:space="0" w:color="auto"/>
            </w:tcBorders>
            <w:shd w:val="clear" w:color="auto" w:fill="auto"/>
            <w:vAlign w:val="center"/>
            <w:hideMark/>
          </w:tcPr>
          <w:p w14:paraId="211684BB"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133B5A0B" w14:textId="77777777" w:rsidTr="00282204">
        <w:trPr>
          <w:trHeight w:val="134"/>
        </w:trPr>
        <w:tc>
          <w:tcPr>
            <w:tcW w:w="3491" w:type="dxa"/>
            <w:vMerge w:val="restart"/>
            <w:tcBorders>
              <w:top w:val="single" w:sz="4" w:space="0" w:color="auto"/>
            </w:tcBorders>
            <w:shd w:val="clear" w:color="auto" w:fill="auto"/>
            <w:vAlign w:val="center"/>
            <w:hideMark/>
          </w:tcPr>
          <w:p w14:paraId="1F422FF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Co-Morbid Disease Medication Management</w:t>
            </w:r>
          </w:p>
          <w:p w14:paraId="49379B1B" w14:textId="77777777" w:rsidR="00821B82" w:rsidRPr="00812505" w:rsidRDefault="00821B82" w:rsidP="00282204">
            <w:pPr>
              <w:spacing w:after="0" w:line="240" w:lineRule="auto"/>
              <w:rPr>
                <w:rFonts w:asciiTheme="minorBidi" w:eastAsia="Times New Roman" w:hAnsiTheme="minorBidi"/>
                <w:sz w:val="18"/>
                <w:szCs w:val="18"/>
              </w:rPr>
            </w:pPr>
          </w:p>
          <w:p w14:paraId="75463C5D" w14:textId="77777777" w:rsidR="00821B82" w:rsidRPr="00812505" w:rsidRDefault="00821B82" w:rsidP="00282204">
            <w:pPr>
              <w:spacing w:after="0" w:line="240" w:lineRule="auto"/>
              <w:rPr>
                <w:rFonts w:asciiTheme="minorBidi" w:eastAsia="Times New Roman" w:hAnsiTheme="minorBidi"/>
                <w:sz w:val="18"/>
                <w:szCs w:val="18"/>
              </w:rPr>
            </w:pPr>
          </w:p>
          <w:p w14:paraId="2286A8A8" w14:textId="77777777" w:rsidR="00821B82" w:rsidRPr="00812505" w:rsidRDefault="00821B82" w:rsidP="00282204">
            <w:pPr>
              <w:spacing w:after="0" w:line="240" w:lineRule="auto"/>
              <w:rPr>
                <w:rFonts w:asciiTheme="minorBidi" w:eastAsia="Times New Roman" w:hAnsiTheme="minorBidi"/>
                <w:sz w:val="18"/>
                <w:szCs w:val="18"/>
              </w:rPr>
            </w:pPr>
          </w:p>
          <w:p w14:paraId="23010C06"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7A37179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2E91251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1149D65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58B0139B" w14:textId="77777777" w:rsidR="00821B82" w:rsidRPr="00812505" w:rsidRDefault="00821B82" w:rsidP="00282204">
            <w:pPr>
              <w:spacing w:after="0" w:line="240" w:lineRule="auto"/>
              <w:rPr>
                <w:rFonts w:asciiTheme="minorBidi" w:eastAsia="Times New Roman" w:hAnsiTheme="minorBidi"/>
                <w:sz w:val="18"/>
                <w:szCs w:val="18"/>
              </w:rPr>
            </w:pPr>
          </w:p>
          <w:p w14:paraId="75ECF8E6"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1F15765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156A62FE" w14:textId="77777777" w:rsidR="00821B82" w:rsidRPr="00812505" w:rsidRDefault="00821B82" w:rsidP="00282204">
            <w:pPr>
              <w:spacing w:after="0" w:line="240" w:lineRule="auto"/>
              <w:rPr>
                <w:rFonts w:asciiTheme="minorBidi" w:eastAsia="Times New Roman" w:hAnsiTheme="minorBidi"/>
                <w:sz w:val="18"/>
                <w:szCs w:val="18"/>
              </w:rPr>
            </w:pPr>
          </w:p>
          <w:p w14:paraId="2D646D43" w14:textId="77777777" w:rsidR="00821B82" w:rsidRPr="00812505" w:rsidRDefault="00821B82" w:rsidP="00282204">
            <w:pPr>
              <w:spacing w:after="0" w:line="240" w:lineRule="auto"/>
              <w:rPr>
                <w:rFonts w:asciiTheme="minorBidi" w:eastAsia="Times New Roman" w:hAnsiTheme="minorBidi"/>
                <w:sz w:val="18"/>
                <w:szCs w:val="18"/>
              </w:rPr>
            </w:pPr>
          </w:p>
          <w:p w14:paraId="00C065A8"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700887F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12</w:t>
            </w:r>
          </w:p>
        </w:tc>
        <w:tc>
          <w:tcPr>
            <w:tcW w:w="1059" w:type="dxa"/>
            <w:tcBorders>
              <w:top w:val="single" w:sz="4" w:space="0" w:color="auto"/>
            </w:tcBorders>
            <w:shd w:val="clear" w:color="auto" w:fill="auto"/>
            <w:vAlign w:val="center"/>
            <w:hideMark/>
          </w:tcPr>
          <w:p w14:paraId="1255EA5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12</w:t>
            </w:r>
          </w:p>
        </w:tc>
        <w:tc>
          <w:tcPr>
            <w:tcW w:w="1254" w:type="dxa"/>
            <w:tcBorders>
              <w:top w:val="single" w:sz="4" w:space="0" w:color="auto"/>
            </w:tcBorders>
            <w:shd w:val="clear" w:color="auto" w:fill="auto"/>
            <w:vAlign w:val="center"/>
            <w:hideMark/>
          </w:tcPr>
          <w:p w14:paraId="050B497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10</w:t>
            </w:r>
          </w:p>
        </w:tc>
        <w:tc>
          <w:tcPr>
            <w:tcW w:w="956" w:type="dxa"/>
            <w:tcBorders>
              <w:top w:val="single" w:sz="4" w:space="0" w:color="auto"/>
            </w:tcBorders>
            <w:shd w:val="clear" w:color="auto" w:fill="auto"/>
            <w:vAlign w:val="center"/>
            <w:hideMark/>
          </w:tcPr>
          <w:p w14:paraId="1D0D655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49</w:t>
            </w:r>
          </w:p>
        </w:tc>
        <w:tc>
          <w:tcPr>
            <w:tcW w:w="1027" w:type="dxa"/>
            <w:tcBorders>
              <w:top w:val="single" w:sz="4" w:space="0" w:color="auto"/>
            </w:tcBorders>
            <w:shd w:val="clear" w:color="auto" w:fill="auto"/>
            <w:vAlign w:val="center"/>
            <w:hideMark/>
          </w:tcPr>
          <w:p w14:paraId="25F5AD0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16</w:t>
            </w:r>
          </w:p>
        </w:tc>
        <w:tc>
          <w:tcPr>
            <w:tcW w:w="1320" w:type="dxa"/>
            <w:tcBorders>
              <w:top w:val="single" w:sz="4" w:space="0" w:color="auto"/>
            </w:tcBorders>
            <w:shd w:val="clear" w:color="auto" w:fill="auto"/>
            <w:vAlign w:val="center"/>
            <w:hideMark/>
          </w:tcPr>
          <w:p w14:paraId="5CFB80A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(2.5-4)</w:t>
            </w:r>
          </w:p>
        </w:tc>
        <w:tc>
          <w:tcPr>
            <w:tcW w:w="987" w:type="dxa"/>
            <w:vMerge w:val="restart"/>
            <w:tcBorders>
              <w:top w:val="single" w:sz="4" w:space="0" w:color="auto"/>
            </w:tcBorders>
            <w:shd w:val="clear" w:color="auto" w:fill="auto"/>
            <w:vAlign w:val="center"/>
            <w:hideMark/>
          </w:tcPr>
          <w:p w14:paraId="3783F08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0.02*</w:t>
            </w:r>
          </w:p>
          <w:p w14:paraId="5BAEF455" w14:textId="77777777" w:rsidR="00821B82" w:rsidRPr="00812505" w:rsidRDefault="00821B82" w:rsidP="00282204">
            <w:pPr>
              <w:spacing w:after="0" w:line="240" w:lineRule="auto"/>
              <w:rPr>
                <w:rFonts w:asciiTheme="minorBidi" w:eastAsia="Times New Roman" w:hAnsiTheme="minorBidi"/>
                <w:sz w:val="18"/>
                <w:szCs w:val="18"/>
              </w:rPr>
            </w:pPr>
          </w:p>
          <w:p w14:paraId="61E04ECC" w14:textId="77777777" w:rsidR="00821B82" w:rsidRPr="00812505" w:rsidRDefault="00821B82" w:rsidP="00282204">
            <w:pPr>
              <w:spacing w:after="0" w:line="240" w:lineRule="auto"/>
              <w:rPr>
                <w:rFonts w:asciiTheme="minorBidi" w:eastAsia="Times New Roman" w:hAnsiTheme="minorBidi"/>
                <w:sz w:val="18"/>
                <w:szCs w:val="18"/>
              </w:rPr>
            </w:pPr>
          </w:p>
          <w:p w14:paraId="753BD3DA"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7A19DC04" w14:textId="77777777" w:rsidTr="00282204">
        <w:trPr>
          <w:trHeight w:val="60"/>
        </w:trPr>
        <w:tc>
          <w:tcPr>
            <w:tcW w:w="3491" w:type="dxa"/>
            <w:vMerge/>
            <w:shd w:val="clear" w:color="auto" w:fill="auto"/>
            <w:vAlign w:val="center"/>
            <w:hideMark/>
          </w:tcPr>
          <w:p w14:paraId="66FA179C"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23689DAE"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7F75E629"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690BBDC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059" w:type="dxa"/>
            <w:shd w:val="clear" w:color="auto" w:fill="auto"/>
            <w:vAlign w:val="center"/>
            <w:hideMark/>
          </w:tcPr>
          <w:p w14:paraId="027DA56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254" w:type="dxa"/>
            <w:shd w:val="clear" w:color="auto" w:fill="auto"/>
            <w:vAlign w:val="center"/>
            <w:hideMark/>
          </w:tcPr>
          <w:p w14:paraId="293F869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20</w:t>
            </w:r>
          </w:p>
        </w:tc>
        <w:tc>
          <w:tcPr>
            <w:tcW w:w="956" w:type="dxa"/>
            <w:shd w:val="clear" w:color="auto" w:fill="auto"/>
            <w:vAlign w:val="center"/>
            <w:hideMark/>
          </w:tcPr>
          <w:p w14:paraId="051BE3D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33</w:t>
            </w:r>
          </w:p>
        </w:tc>
        <w:tc>
          <w:tcPr>
            <w:tcW w:w="1027" w:type="dxa"/>
            <w:shd w:val="clear" w:color="auto" w:fill="auto"/>
            <w:vAlign w:val="center"/>
            <w:hideMark/>
          </w:tcPr>
          <w:p w14:paraId="1A019A4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47</w:t>
            </w:r>
          </w:p>
        </w:tc>
        <w:tc>
          <w:tcPr>
            <w:tcW w:w="1320" w:type="dxa"/>
            <w:shd w:val="clear" w:color="auto" w:fill="auto"/>
            <w:vAlign w:val="center"/>
            <w:hideMark/>
          </w:tcPr>
          <w:p w14:paraId="4A88A5C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(4-5)</w:t>
            </w:r>
          </w:p>
        </w:tc>
        <w:tc>
          <w:tcPr>
            <w:tcW w:w="987" w:type="dxa"/>
            <w:vMerge/>
            <w:shd w:val="clear" w:color="auto" w:fill="auto"/>
            <w:vAlign w:val="center"/>
            <w:hideMark/>
          </w:tcPr>
          <w:p w14:paraId="774DAE05"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441F4475" w14:textId="77777777" w:rsidTr="00282204">
        <w:trPr>
          <w:trHeight w:val="81"/>
        </w:trPr>
        <w:tc>
          <w:tcPr>
            <w:tcW w:w="3491" w:type="dxa"/>
            <w:vMerge/>
            <w:shd w:val="clear" w:color="auto" w:fill="auto"/>
            <w:vAlign w:val="center"/>
            <w:hideMark/>
          </w:tcPr>
          <w:p w14:paraId="4D1A7C5D"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0C21DFD1"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0A941B36"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6EE4A8A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11</w:t>
            </w:r>
          </w:p>
        </w:tc>
        <w:tc>
          <w:tcPr>
            <w:tcW w:w="1059" w:type="dxa"/>
            <w:shd w:val="clear" w:color="auto" w:fill="auto"/>
            <w:vAlign w:val="center"/>
            <w:hideMark/>
          </w:tcPr>
          <w:p w14:paraId="5526034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254" w:type="dxa"/>
            <w:shd w:val="clear" w:color="auto" w:fill="auto"/>
            <w:vAlign w:val="center"/>
            <w:hideMark/>
          </w:tcPr>
          <w:p w14:paraId="2E59808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19</w:t>
            </w:r>
          </w:p>
        </w:tc>
        <w:tc>
          <w:tcPr>
            <w:tcW w:w="956" w:type="dxa"/>
            <w:shd w:val="clear" w:color="auto" w:fill="auto"/>
            <w:vAlign w:val="center"/>
            <w:hideMark/>
          </w:tcPr>
          <w:p w14:paraId="3AA3C56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48</w:t>
            </w:r>
          </w:p>
        </w:tc>
        <w:tc>
          <w:tcPr>
            <w:tcW w:w="1027" w:type="dxa"/>
            <w:shd w:val="clear" w:color="auto" w:fill="auto"/>
            <w:vAlign w:val="center"/>
            <w:hideMark/>
          </w:tcPr>
          <w:p w14:paraId="37D8F9E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19</w:t>
            </w:r>
          </w:p>
        </w:tc>
        <w:tc>
          <w:tcPr>
            <w:tcW w:w="1320" w:type="dxa"/>
            <w:shd w:val="clear" w:color="auto" w:fill="auto"/>
            <w:vAlign w:val="center"/>
            <w:hideMark/>
          </w:tcPr>
          <w:p w14:paraId="19F6F11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(3-4)</w:t>
            </w:r>
          </w:p>
        </w:tc>
        <w:tc>
          <w:tcPr>
            <w:tcW w:w="987" w:type="dxa"/>
            <w:vMerge/>
            <w:shd w:val="clear" w:color="auto" w:fill="auto"/>
            <w:vAlign w:val="center"/>
            <w:hideMark/>
          </w:tcPr>
          <w:p w14:paraId="318B328E"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40D650C7" w14:textId="77777777" w:rsidTr="00282204">
        <w:trPr>
          <w:trHeight w:val="60"/>
        </w:trPr>
        <w:tc>
          <w:tcPr>
            <w:tcW w:w="3491" w:type="dxa"/>
            <w:vMerge/>
            <w:shd w:val="clear" w:color="auto" w:fill="auto"/>
            <w:vAlign w:val="center"/>
            <w:hideMark/>
          </w:tcPr>
          <w:p w14:paraId="7E92124B"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44D4C6A0"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31D4B9D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color w:val="264A60"/>
                <w:sz w:val="18"/>
                <w:szCs w:val="18"/>
              </w:rPr>
              <w:t>Future</w:t>
            </w:r>
          </w:p>
          <w:p w14:paraId="48EB805F" w14:textId="77777777" w:rsidR="00821B82" w:rsidRPr="00812505" w:rsidRDefault="00821B82" w:rsidP="00282204">
            <w:pPr>
              <w:spacing w:after="0" w:line="240" w:lineRule="auto"/>
              <w:rPr>
                <w:rFonts w:asciiTheme="minorBidi" w:eastAsia="Times New Roman" w:hAnsiTheme="minorBidi"/>
                <w:sz w:val="18"/>
                <w:szCs w:val="18"/>
              </w:rPr>
            </w:pPr>
          </w:p>
          <w:p w14:paraId="0DA8869F" w14:textId="77777777" w:rsidR="00821B82" w:rsidRPr="00812505" w:rsidRDefault="00821B82" w:rsidP="00282204">
            <w:pPr>
              <w:spacing w:after="0" w:line="240" w:lineRule="auto"/>
              <w:rPr>
                <w:rFonts w:asciiTheme="minorBidi" w:eastAsia="Times New Roman" w:hAnsiTheme="minorBidi"/>
                <w:sz w:val="18"/>
                <w:szCs w:val="18"/>
              </w:rPr>
            </w:pPr>
          </w:p>
          <w:p w14:paraId="15412787"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7F962E7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1059" w:type="dxa"/>
            <w:shd w:val="clear" w:color="auto" w:fill="auto"/>
            <w:vAlign w:val="center"/>
            <w:hideMark/>
          </w:tcPr>
          <w:p w14:paraId="3F82B0C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10</w:t>
            </w:r>
          </w:p>
        </w:tc>
        <w:tc>
          <w:tcPr>
            <w:tcW w:w="1254" w:type="dxa"/>
            <w:shd w:val="clear" w:color="auto" w:fill="auto"/>
            <w:vAlign w:val="center"/>
            <w:hideMark/>
          </w:tcPr>
          <w:p w14:paraId="13C498D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10</w:t>
            </w:r>
          </w:p>
        </w:tc>
        <w:tc>
          <w:tcPr>
            <w:tcW w:w="956" w:type="dxa"/>
            <w:shd w:val="clear" w:color="auto" w:fill="auto"/>
            <w:vAlign w:val="center"/>
            <w:hideMark/>
          </w:tcPr>
          <w:p w14:paraId="78281BB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43</w:t>
            </w:r>
          </w:p>
        </w:tc>
        <w:tc>
          <w:tcPr>
            <w:tcW w:w="1027" w:type="dxa"/>
            <w:shd w:val="clear" w:color="auto" w:fill="auto"/>
            <w:vAlign w:val="center"/>
            <w:hideMark/>
          </w:tcPr>
          <w:p w14:paraId="35BC0A6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33</w:t>
            </w:r>
          </w:p>
        </w:tc>
        <w:tc>
          <w:tcPr>
            <w:tcW w:w="1320" w:type="dxa"/>
            <w:shd w:val="clear" w:color="auto" w:fill="auto"/>
            <w:vAlign w:val="center"/>
            <w:hideMark/>
          </w:tcPr>
          <w:p w14:paraId="09E70F6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(3.5-5)</w:t>
            </w:r>
          </w:p>
        </w:tc>
        <w:tc>
          <w:tcPr>
            <w:tcW w:w="987" w:type="dxa"/>
            <w:vMerge w:val="restart"/>
            <w:shd w:val="clear" w:color="auto" w:fill="auto"/>
            <w:vAlign w:val="center"/>
            <w:hideMark/>
          </w:tcPr>
          <w:p w14:paraId="00475018"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0.15</w:t>
            </w:r>
          </w:p>
          <w:p w14:paraId="4AD8627D"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6A4730F9"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482EA755"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7DD85F4F" w14:textId="77777777" w:rsidTr="00282204">
        <w:trPr>
          <w:trHeight w:val="60"/>
        </w:trPr>
        <w:tc>
          <w:tcPr>
            <w:tcW w:w="3491" w:type="dxa"/>
            <w:vMerge/>
            <w:shd w:val="clear" w:color="auto" w:fill="auto"/>
            <w:vAlign w:val="center"/>
            <w:hideMark/>
          </w:tcPr>
          <w:p w14:paraId="78E5C785"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2224225E"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5F473D19"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4AFFD6D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059" w:type="dxa"/>
            <w:shd w:val="clear" w:color="auto" w:fill="auto"/>
            <w:vAlign w:val="center"/>
            <w:hideMark/>
          </w:tcPr>
          <w:p w14:paraId="53E1485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254" w:type="dxa"/>
            <w:shd w:val="clear" w:color="auto" w:fill="auto"/>
            <w:vAlign w:val="center"/>
            <w:hideMark/>
          </w:tcPr>
          <w:p w14:paraId="04A072AB"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10</w:t>
            </w:r>
          </w:p>
        </w:tc>
        <w:tc>
          <w:tcPr>
            <w:tcW w:w="956" w:type="dxa"/>
            <w:shd w:val="clear" w:color="auto" w:fill="auto"/>
            <w:vAlign w:val="center"/>
            <w:hideMark/>
          </w:tcPr>
          <w:p w14:paraId="1A5BCDC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40</w:t>
            </w:r>
          </w:p>
        </w:tc>
        <w:tc>
          <w:tcPr>
            <w:tcW w:w="1027" w:type="dxa"/>
            <w:shd w:val="clear" w:color="auto" w:fill="auto"/>
            <w:vAlign w:val="center"/>
            <w:hideMark/>
          </w:tcPr>
          <w:p w14:paraId="4EF24C5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50</w:t>
            </w:r>
          </w:p>
        </w:tc>
        <w:tc>
          <w:tcPr>
            <w:tcW w:w="1320" w:type="dxa"/>
            <w:shd w:val="clear" w:color="auto" w:fill="auto"/>
            <w:vAlign w:val="center"/>
            <w:hideMark/>
          </w:tcPr>
          <w:p w14:paraId="4066B76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4.5 (4-5)</w:t>
            </w:r>
          </w:p>
        </w:tc>
        <w:tc>
          <w:tcPr>
            <w:tcW w:w="987" w:type="dxa"/>
            <w:vMerge/>
            <w:shd w:val="clear" w:color="auto" w:fill="auto"/>
            <w:vAlign w:val="center"/>
            <w:hideMark/>
          </w:tcPr>
          <w:p w14:paraId="3F962363"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57E35474" w14:textId="77777777" w:rsidTr="00282204">
        <w:trPr>
          <w:trHeight w:val="218"/>
        </w:trPr>
        <w:tc>
          <w:tcPr>
            <w:tcW w:w="3491" w:type="dxa"/>
            <w:vMerge/>
            <w:tcBorders>
              <w:bottom w:val="single" w:sz="4" w:space="0" w:color="auto"/>
            </w:tcBorders>
            <w:shd w:val="clear" w:color="auto" w:fill="auto"/>
            <w:vAlign w:val="center"/>
            <w:hideMark/>
          </w:tcPr>
          <w:p w14:paraId="70CD4B70"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0ED3FDB4"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75B89929"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bottom w:val="single" w:sz="4" w:space="0" w:color="auto"/>
            </w:tcBorders>
            <w:shd w:val="clear" w:color="auto" w:fill="auto"/>
            <w:vAlign w:val="center"/>
            <w:hideMark/>
          </w:tcPr>
          <w:p w14:paraId="45D8B1A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1059" w:type="dxa"/>
            <w:tcBorders>
              <w:bottom w:val="single" w:sz="4" w:space="0" w:color="auto"/>
            </w:tcBorders>
            <w:shd w:val="clear" w:color="auto" w:fill="auto"/>
            <w:vAlign w:val="center"/>
            <w:hideMark/>
          </w:tcPr>
          <w:p w14:paraId="25235185"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1254" w:type="dxa"/>
            <w:tcBorders>
              <w:bottom w:val="single" w:sz="4" w:space="0" w:color="auto"/>
            </w:tcBorders>
            <w:shd w:val="clear" w:color="auto" w:fill="auto"/>
            <w:vAlign w:val="center"/>
            <w:hideMark/>
          </w:tcPr>
          <w:p w14:paraId="56FB219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956" w:type="dxa"/>
            <w:tcBorders>
              <w:bottom w:val="single" w:sz="4" w:space="0" w:color="auto"/>
            </w:tcBorders>
            <w:shd w:val="clear" w:color="auto" w:fill="auto"/>
            <w:vAlign w:val="center"/>
            <w:hideMark/>
          </w:tcPr>
          <w:p w14:paraId="7B44D2F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63</w:t>
            </w:r>
          </w:p>
        </w:tc>
        <w:tc>
          <w:tcPr>
            <w:tcW w:w="1027" w:type="dxa"/>
            <w:tcBorders>
              <w:bottom w:val="single" w:sz="4" w:space="0" w:color="auto"/>
            </w:tcBorders>
            <w:shd w:val="clear" w:color="auto" w:fill="auto"/>
            <w:vAlign w:val="center"/>
            <w:hideMark/>
          </w:tcPr>
          <w:p w14:paraId="1A5DDBD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19</w:t>
            </w:r>
          </w:p>
        </w:tc>
        <w:tc>
          <w:tcPr>
            <w:tcW w:w="1320" w:type="dxa"/>
            <w:tcBorders>
              <w:bottom w:val="single" w:sz="4" w:space="0" w:color="auto"/>
            </w:tcBorders>
            <w:shd w:val="clear" w:color="auto" w:fill="auto"/>
            <w:vAlign w:val="center"/>
            <w:hideMark/>
          </w:tcPr>
          <w:p w14:paraId="1DC6C07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(4-4)</w:t>
            </w:r>
          </w:p>
        </w:tc>
        <w:tc>
          <w:tcPr>
            <w:tcW w:w="987" w:type="dxa"/>
            <w:vMerge/>
            <w:tcBorders>
              <w:bottom w:val="single" w:sz="4" w:space="0" w:color="auto"/>
            </w:tcBorders>
            <w:shd w:val="clear" w:color="auto" w:fill="auto"/>
            <w:vAlign w:val="center"/>
            <w:hideMark/>
          </w:tcPr>
          <w:p w14:paraId="6CD2390B"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3F4C6B6A" w14:textId="77777777" w:rsidTr="00282204">
        <w:trPr>
          <w:trHeight w:val="280"/>
        </w:trPr>
        <w:tc>
          <w:tcPr>
            <w:tcW w:w="3491" w:type="dxa"/>
            <w:vMerge w:val="restart"/>
            <w:tcBorders>
              <w:top w:val="single" w:sz="4" w:space="0" w:color="auto"/>
            </w:tcBorders>
            <w:shd w:val="clear" w:color="auto" w:fill="auto"/>
            <w:vAlign w:val="center"/>
            <w:hideMark/>
          </w:tcPr>
          <w:p w14:paraId="472BD0EA" w14:textId="77777777" w:rsidR="00821B82" w:rsidRPr="00812505" w:rsidRDefault="00821B82" w:rsidP="00282204">
            <w:pPr>
              <w:spacing w:after="0" w:line="240" w:lineRule="auto"/>
              <w:rPr>
                <w:rFonts w:asciiTheme="minorBidi" w:eastAsia="Times New Roman" w:hAnsiTheme="minorBidi"/>
                <w:sz w:val="18"/>
                <w:szCs w:val="18"/>
              </w:rPr>
            </w:pPr>
          </w:p>
          <w:p w14:paraId="76FA74A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Blood Glucose Monitoring</w:t>
            </w:r>
          </w:p>
          <w:p w14:paraId="0159133E" w14:textId="77777777" w:rsidR="00821B82" w:rsidRPr="00812505" w:rsidRDefault="00821B82" w:rsidP="00282204">
            <w:pPr>
              <w:spacing w:after="0" w:line="240" w:lineRule="auto"/>
              <w:rPr>
                <w:rFonts w:asciiTheme="minorBidi" w:eastAsia="Times New Roman" w:hAnsiTheme="minorBidi"/>
                <w:sz w:val="18"/>
                <w:szCs w:val="18"/>
              </w:rPr>
            </w:pPr>
          </w:p>
          <w:p w14:paraId="5143E167" w14:textId="77777777" w:rsidR="00821B82" w:rsidRPr="00812505" w:rsidRDefault="00821B82" w:rsidP="00282204">
            <w:pPr>
              <w:rPr>
                <w:rFonts w:asciiTheme="minorBidi" w:eastAsia="Times New Roman" w:hAnsiTheme="minorBidi"/>
                <w:sz w:val="18"/>
                <w:szCs w:val="18"/>
              </w:rPr>
            </w:pPr>
          </w:p>
          <w:p w14:paraId="342B08E2" w14:textId="77777777" w:rsidR="00821B82" w:rsidRPr="00812505" w:rsidRDefault="00821B82" w:rsidP="00282204">
            <w:pPr>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72008A9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19D1771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13D22B5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00D53965" w14:textId="77777777" w:rsidR="00821B82" w:rsidRPr="00812505" w:rsidRDefault="00821B82" w:rsidP="00282204">
            <w:pPr>
              <w:spacing w:after="0" w:line="240" w:lineRule="auto"/>
              <w:rPr>
                <w:rFonts w:asciiTheme="minorBidi" w:eastAsia="Times New Roman" w:hAnsiTheme="minorBidi"/>
                <w:sz w:val="18"/>
                <w:szCs w:val="18"/>
              </w:rPr>
            </w:pPr>
          </w:p>
          <w:p w14:paraId="0F077F2F"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2DA6D6F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74926DA1" w14:textId="77777777" w:rsidR="00821B82" w:rsidRPr="00812505" w:rsidRDefault="00821B82" w:rsidP="00282204">
            <w:pPr>
              <w:spacing w:after="0" w:line="240" w:lineRule="auto"/>
              <w:rPr>
                <w:rFonts w:asciiTheme="minorBidi" w:eastAsia="Times New Roman" w:hAnsiTheme="minorBidi"/>
                <w:sz w:val="18"/>
                <w:szCs w:val="18"/>
              </w:rPr>
            </w:pPr>
          </w:p>
          <w:p w14:paraId="3084A726"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6C0D1D0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16</w:t>
            </w:r>
          </w:p>
        </w:tc>
        <w:tc>
          <w:tcPr>
            <w:tcW w:w="1059" w:type="dxa"/>
            <w:tcBorders>
              <w:top w:val="single" w:sz="4" w:space="0" w:color="auto"/>
            </w:tcBorders>
            <w:shd w:val="clear" w:color="auto" w:fill="auto"/>
            <w:vAlign w:val="center"/>
            <w:hideMark/>
          </w:tcPr>
          <w:p w14:paraId="4E1F15D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18</w:t>
            </w:r>
          </w:p>
        </w:tc>
        <w:tc>
          <w:tcPr>
            <w:tcW w:w="1254" w:type="dxa"/>
            <w:tcBorders>
              <w:top w:val="single" w:sz="4" w:space="0" w:color="auto"/>
            </w:tcBorders>
            <w:shd w:val="clear" w:color="auto" w:fill="auto"/>
            <w:vAlign w:val="center"/>
            <w:hideMark/>
          </w:tcPr>
          <w:p w14:paraId="1995CED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8</w:t>
            </w:r>
          </w:p>
        </w:tc>
        <w:tc>
          <w:tcPr>
            <w:tcW w:w="956" w:type="dxa"/>
            <w:tcBorders>
              <w:top w:val="single" w:sz="4" w:space="0" w:color="auto"/>
            </w:tcBorders>
            <w:shd w:val="clear" w:color="auto" w:fill="auto"/>
            <w:vAlign w:val="center"/>
            <w:hideMark/>
          </w:tcPr>
          <w:p w14:paraId="232C0F7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45</w:t>
            </w:r>
          </w:p>
        </w:tc>
        <w:tc>
          <w:tcPr>
            <w:tcW w:w="1027" w:type="dxa"/>
            <w:tcBorders>
              <w:top w:val="single" w:sz="4" w:space="0" w:color="auto"/>
            </w:tcBorders>
            <w:shd w:val="clear" w:color="auto" w:fill="auto"/>
            <w:vAlign w:val="center"/>
            <w:hideMark/>
          </w:tcPr>
          <w:p w14:paraId="6C5A963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12</w:t>
            </w:r>
          </w:p>
        </w:tc>
        <w:tc>
          <w:tcPr>
            <w:tcW w:w="1320" w:type="dxa"/>
            <w:tcBorders>
              <w:top w:val="single" w:sz="4" w:space="0" w:color="auto"/>
            </w:tcBorders>
            <w:shd w:val="clear" w:color="auto" w:fill="auto"/>
            <w:vAlign w:val="center"/>
            <w:hideMark/>
          </w:tcPr>
          <w:p w14:paraId="6A4155C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(2-4)</w:t>
            </w:r>
          </w:p>
        </w:tc>
        <w:tc>
          <w:tcPr>
            <w:tcW w:w="987" w:type="dxa"/>
            <w:vMerge w:val="restart"/>
            <w:tcBorders>
              <w:top w:val="single" w:sz="4" w:space="0" w:color="auto"/>
            </w:tcBorders>
            <w:shd w:val="clear" w:color="auto" w:fill="auto"/>
            <w:vAlign w:val="center"/>
            <w:hideMark/>
          </w:tcPr>
          <w:p w14:paraId="6783B98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0.01*</w:t>
            </w:r>
          </w:p>
          <w:p w14:paraId="4371903D" w14:textId="77777777" w:rsidR="00821B82" w:rsidRPr="00812505" w:rsidRDefault="00821B82" w:rsidP="00282204">
            <w:pPr>
              <w:spacing w:after="0" w:line="240" w:lineRule="auto"/>
              <w:rPr>
                <w:rFonts w:asciiTheme="minorBidi" w:eastAsia="Times New Roman" w:hAnsiTheme="minorBidi"/>
                <w:sz w:val="18"/>
                <w:szCs w:val="18"/>
              </w:rPr>
            </w:pPr>
          </w:p>
          <w:p w14:paraId="76B75B55" w14:textId="77777777" w:rsidR="00821B82" w:rsidRPr="00812505" w:rsidRDefault="00821B82" w:rsidP="00282204">
            <w:pPr>
              <w:spacing w:after="0" w:line="240" w:lineRule="auto"/>
              <w:rPr>
                <w:rFonts w:asciiTheme="minorBidi" w:eastAsia="Times New Roman" w:hAnsiTheme="minorBidi"/>
                <w:sz w:val="18"/>
                <w:szCs w:val="18"/>
              </w:rPr>
            </w:pPr>
          </w:p>
          <w:p w14:paraId="7337D0A6"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3E52070A" w14:textId="77777777" w:rsidTr="00282204">
        <w:trPr>
          <w:trHeight w:val="81"/>
        </w:trPr>
        <w:tc>
          <w:tcPr>
            <w:tcW w:w="3491" w:type="dxa"/>
            <w:vMerge/>
            <w:shd w:val="clear" w:color="auto" w:fill="auto"/>
            <w:vAlign w:val="center"/>
            <w:hideMark/>
          </w:tcPr>
          <w:p w14:paraId="71C185C4"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28359C40"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2BB81A65"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50D951A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059" w:type="dxa"/>
            <w:shd w:val="clear" w:color="auto" w:fill="auto"/>
            <w:vAlign w:val="center"/>
            <w:hideMark/>
          </w:tcPr>
          <w:p w14:paraId="3C1F7AD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7</w:t>
            </w:r>
          </w:p>
        </w:tc>
        <w:tc>
          <w:tcPr>
            <w:tcW w:w="1254" w:type="dxa"/>
            <w:shd w:val="clear" w:color="auto" w:fill="auto"/>
            <w:vAlign w:val="center"/>
            <w:hideMark/>
          </w:tcPr>
          <w:p w14:paraId="1EB97DC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10</w:t>
            </w:r>
          </w:p>
        </w:tc>
        <w:tc>
          <w:tcPr>
            <w:tcW w:w="956" w:type="dxa"/>
            <w:shd w:val="clear" w:color="auto" w:fill="auto"/>
            <w:vAlign w:val="center"/>
            <w:hideMark/>
          </w:tcPr>
          <w:p w14:paraId="4D1A063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60</w:t>
            </w:r>
          </w:p>
        </w:tc>
        <w:tc>
          <w:tcPr>
            <w:tcW w:w="1027" w:type="dxa"/>
            <w:shd w:val="clear" w:color="auto" w:fill="auto"/>
            <w:vAlign w:val="center"/>
            <w:hideMark/>
          </w:tcPr>
          <w:p w14:paraId="7A6C5EA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23</w:t>
            </w:r>
          </w:p>
        </w:tc>
        <w:tc>
          <w:tcPr>
            <w:tcW w:w="1320" w:type="dxa"/>
            <w:shd w:val="clear" w:color="auto" w:fill="auto"/>
            <w:vAlign w:val="center"/>
            <w:hideMark/>
          </w:tcPr>
          <w:p w14:paraId="2A7889E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(4-4.25)</w:t>
            </w:r>
          </w:p>
        </w:tc>
        <w:tc>
          <w:tcPr>
            <w:tcW w:w="987" w:type="dxa"/>
            <w:vMerge/>
            <w:shd w:val="clear" w:color="auto" w:fill="auto"/>
            <w:vAlign w:val="center"/>
            <w:hideMark/>
          </w:tcPr>
          <w:p w14:paraId="6D505822"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2D13962E" w14:textId="77777777" w:rsidTr="00282204">
        <w:trPr>
          <w:trHeight w:val="60"/>
        </w:trPr>
        <w:tc>
          <w:tcPr>
            <w:tcW w:w="3491" w:type="dxa"/>
            <w:vMerge/>
            <w:shd w:val="clear" w:color="auto" w:fill="auto"/>
            <w:vAlign w:val="center"/>
            <w:hideMark/>
          </w:tcPr>
          <w:p w14:paraId="6BE4D9AE"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457FDA40"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54E4B4C5"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64F7DC8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15</w:t>
            </w:r>
          </w:p>
        </w:tc>
        <w:tc>
          <w:tcPr>
            <w:tcW w:w="1059" w:type="dxa"/>
            <w:shd w:val="clear" w:color="auto" w:fill="auto"/>
            <w:vAlign w:val="center"/>
            <w:hideMark/>
          </w:tcPr>
          <w:p w14:paraId="13D3332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254" w:type="dxa"/>
            <w:shd w:val="clear" w:color="auto" w:fill="auto"/>
            <w:vAlign w:val="center"/>
            <w:hideMark/>
          </w:tcPr>
          <w:p w14:paraId="285D52E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26</w:t>
            </w:r>
          </w:p>
        </w:tc>
        <w:tc>
          <w:tcPr>
            <w:tcW w:w="956" w:type="dxa"/>
            <w:shd w:val="clear" w:color="auto" w:fill="auto"/>
            <w:vAlign w:val="center"/>
            <w:hideMark/>
          </w:tcPr>
          <w:p w14:paraId="1F42408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56</w:t>
            </w:r>
          </w:p>
        </w:tc>
        <w:tc>
          <w:tcPr>
            <w:tcW w:w="1027" w:type="dxa"/>
            <w:shd w:val="clear" w:color="auto" w:fill="auto"/>
            <w:vAlign w:val="center"/>
            <w:hideMark/>
          </w:tcPr>
          <w:p w14:paraId="4BB3833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320" w:type="dxa"/>
            <w:shd w:val="clear" w:color="auto" w:fill="auto"/>
            <w:vAlign w:val="center"/>
            <w:hideMark/>
          </w:tcPr>
          <w:p w14:paraId="40BDC9F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(3-4)</w:t>
            </w:r>
          </w:p>
        </w:tc>
        <w:tc>
          <w:tcPr>
            <w:tcW w:w="987" w:type="dxa"/>
            <w:vMerge/>
            <w:shd w:val="clear" w:color="auto" w:fill="auto"/>
            <w:vAlign w:val="center"/>
            <w:hideMark/>
          </w:tcPr>
          <w:p w14:paraId="4BF91125"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5B3EDB1C" w14:textId="77777777" w:rsidTr="00282204">
        <w:trPr>
          <w:trHeight w:val="60"/>
        </w:trPr>
        <w:tc>
          <w:tcPr>
            <w:tcW w:w="3491" w:type="dxa"/>
            <w:vMerge/>
            <w:shd w:val="clear" w:color="auto" w:fill="auto"/>
            <w:vAlign w:val="center"/>
            <w:hideMark/>
          </w:tcPr>
          <w:p w14:paraId="63751F1A"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1F3711B9"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1EAFA18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color w:val="264A60"/>
                <w:sz w:val="18"/>
                <w:szCs w:val="18"/>
              </w:rPr>
              <w:t>Future</w:t>
            </w:r>
          </w:p>
          <w:p w14:paraId="52D572AB" w14:textId="77777777" w:rsidR="00821B82" w:rsidRPr="00812505" w:rsidRDefault="00821B82" w:rsidP="00282204">
            <w:pPr>
              <w:spacing w:after="0" w:line="240" w:lineRule="auto"/>
              <w:rPr>
                <w:rFonts w:asciiTheme="minorBidi" w:eastAsia="Times New Roman" w:hAnsiTheme="minorBidi"/>
                <w:sz w:val="18"/>
                <w:szCs w:val="18"/>
              </w:rPr>
            </w:pPr>
          </w:p>
          <w:p w14:paraId="619CD8CB" w14:textId="77777777" w:rsidR="00821B82" w:rsidRPr="00812505" w:rsidRDefault="00821B82" w:rsidP="00282204">
            <w:pPr>
              <w:spacing w:after="0" w:line="240" w:lineRule="auto"/>
              <w:rPr>
                <w:rFonts w:asciiTheme="minorBidi" w:eastAsia="Times New Roman" w:hAnsiTheme="minorBidi"/>
                <w:sz w:val="18"/>
                <w:szCs w:val="18"/>
              </w:rPr>
            </w:pPr>
          </w:p>
          <w:p w14:paraId="5935D94F"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01DE855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12</w:t>
            </w:r>
          </w:p>
        </w:tc>
        <w:tc>
          <w:tcPr>
            <w:tcW w:w="1059" w:type="dxa"/>
            <w:shd w:val="clear" w:color="auto" w:fill="auto"/>
            <w:vAlign w:val="center"/>
            <w:hideMark/>
          </w:tcPr>
          <w:p w14:paraId="50AD313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12</w:t>
            </w:r>
          </w:p>
        </w:tc>
        <w:tc>
          <w:tcPr>
            <w:tcW w:w="1254" w:type="dxa"/>
            <w:shd w:val="clear" w:color="auto" w:fill="auto"/>
            <w:vAlign w:val="center"/>
            <w:hideMark/>
          </w:tcPr>
          <w:p w14:paraId="1F450A8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10</w:t>
            </w:r>
          </w:p>
        </w:tc>
        <w:tc>
          <w:tcPr>
            <w:tcW w:w="956" w:type="dxa"/>
            <w:shd w:val="clear" w:color="auto" w:fill="auto"/>
            <w:vAlign w:val="center"/>
            <w:hideMark/>
          </w:tcPr>
          <w:p w14:paraId="36B2CDB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43</w:t>
            </w:r>
          </w:p>
        </w:tc>
        <w:tc>
          <w:tcPr>
            <w:tcW w:w="1027" w:type="dxa"/>
            <w:shd w:val="clear" w:color="auto" w:fill="auto"/>
            <w:vAlign w:val="center"/>
            <w:hideMark/>
          </w:tcPr>
          <w:p w14:paraId="0489CC8E"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22</w:t>
            </w:r>
          </w:p>
        </w:tc>
        <w:tc>
          <w:tcPr>
            <w:tcW w:w="1320" w:type="dxa"/>
            <w:shd w:val="clear" w:color="auto" w:fill="auto"/>
            <w:vAlign w:val="center"/>
            <w:hideMark/>
          </w:tcPr>
          <w:p w14:paraId="3579217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(2.5-4)</w:t>
            </w:r>
          </w:p>
        </w:tc>
        <w:tc>
          <w:tcPr>
            <w:tcW w:w="987" w:type="dxa"/>
            <w:vMerge w:val="restart"/>
            <w:shd w:val="clear" w:color="auto" w:fill="auto"/>
            <w:vAlign w:val="center"/>
            <w:hideMark/>
          </w:tcPr>
          <w:p w14:paraId="0306208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0.14</w:t>
            </w:r>
          </w:p>
          <w:p w14:paraId="1D19F73E"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082EBB1A"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03CC9A0F"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04F5A440" w14:textId="77777777" w:rsidTr="00282204">
        <w:trPr>
          <w:trHeight w:val="99"/>
        </w:trPr>
        <w:tc>
          <w:tcPr>
            <w:tcW w:w="3491" w:type="dxa"/>
            <w:vMerge/>
            <w:shd w:val="clear" w:color="auto" w:fill="auto"/>
            <w:vAlign w:val="center"/>
            <w:hideMark/>
          </w:tcPr>
          <w:p w14:paraId="15689AB7"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69041447"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5C8AD1AA"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549A59D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059" w:type="dxa"/>
            <w:shd w:val="clear" w:color="auto" w:fill="auto"/>
            <w:vAlign w:val="center"/>
            <w:hideMark/>
          </w:tcPr>
          <w:p w14:paraId="4075B3A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254" w:type="dxa"/>
            <w:shd w:val="clear" w:color="auto" w:fill="auto"/>
            <w:vAlign w:val="center"/>
            <w:hideMark/>
          </w:tcPr>
          <w:p w14:paraId="7E7A9F2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956" w:type="dxa"/>
            <w:shd w:val="clear" w:color="auto" w:fill="auto"/>
            <w:vAlign w:val="center"/>
            <w:hideMark/>
          </w:tcPr>
          <w:p w14:paraId="41389AE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60</w:t>
            </w:r>
          </w:p>
        </w:tc>
        <w:tc>
          <w:tcPr>
            <w:tcW w:w="1027" w:type="dxa"/>
            <w:shd w:val="clear" w:color="auto" w:fill="auto"/>
            <w:vAlign w:val="center"/>
            <w:hideMark/>
          </w:tcPr>
          <w:p w14:paraId="339C1E0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30</w:t>
            </w:r>
          </w:p>
        </w:tc>
        <w:tc>
          <w:tcPr>
            <w:tcW w:w="1320" w:type="dxa"/>
            <w:shd w:val="clear" w:color="auto" w:fill="auto"/>
            <w:vAlign w:val="center"/>
            <w:hideMark/>
          </w:tcPr>
          <w:p w14:paraId="073911F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(4-5)</w:t>
            </w:r>
          </w:p>
        </w:tc>
        <w:tc>
          <w:tcPr>
            <w:tcW w:w="987" w:type="dxa"/>
            <w:vMerge/>
            <w:shd w:val="clear" w:color="auto" w:fill="auto"/>
            <w:vAlign w:val="center"/>
            <w:hideMark/>
          </w:tcPr>
          <w:p w14:paraId="33740521"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3B94D933" w14:textId="77777777" w:rsidTr="00282204">
        <w:trPr>
          <w:trHeight w:val="60"/>
        </w:trPr>
        <w:tc>
          <w:tcPr>
            <w:tcW w:w="3491" w:type="dxa"/>
            <w:vMerge/>
            <w:tcBorders>
              <w:bottom w:val="single" w:sz="4" w:space="0" w:color="auto"/>
            </w:tcBorders>
            <w:shd w:val="clear" w:color="auto" w:fill="auto"/>
            <w:vAlign w:val="center"/>
            <w:hideMark/>
          </w:tcPr>
          <w:p w14:paraId="5EAAD5E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5ADC2680"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4ABDEFD0"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bottom w:val="single" w:sz="4" w:space="0" w:color="auto"/>
            </w:tcBorders>
            <w:shd w:val="clear" w:color="auto" w:fill="auto"/>
            <w:vAlign w:val="center"/>
            <w:hideMark/>
          </w:tcPr>
          <w:p w14:paraId="73A5ED4E"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1059" w:type="dxa"/>
            <w:tcBorders>
              <w:bottom w:val="single" w:sz="4" w:space="0" w:color="auto"/>
            </w:tcBorders>
            <w:shd w:val="clear" w:color="auto" w:fill="auto"/>
            <w:vAlign w:val="center"/>
            <w:hideMark/>
          </w:tcPr>
          <w:p w14:paraId="3F8DB50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254" w:type="dxa"/>
            <w:tcBorders>
              <w:bottom w:val="single" w:sz="4" w:space="0" w:color="auto"/>
            </w:tcBorders>
            <w:shd w:val="clear" w:color="auto" w:fill="auto"/>
            <w:vAlign w:val="center"/>
            <w:hideMark/>
          </w:tcPr>
          <w:p w14:paraId="3A65E85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15</w:t>
            </w:r>
          </w:p>
        </w:tc>
        <w:tc>
          <w:tcPr>
            <w:tcW w:w="956" w:type="dxa"/>
            <w:tcBorders>
              <w:bottom w:val="single" w:sz="4" w:space="0" w:color="auto"/>
            </w:tcBorders>
            <w:shd w:val="clear" w:color="auto" w:fill="auto"/>
            <w:vAlign w:val="center"/>
            <w:hideMark/>
          </w:tcPr>
          <w:p w14:paraId="728E360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63</w:t>
            </w:r>
          </w:p>
        </w:tc>
        <w:tc>
          <w:tcPr>
            <w:tcW w:w="1027" w:type="dxa"/>
            <w:tcBorders>
              <w:bottom w:val="single" w:sz="4" w:space="0" w:color="auto"/>
            </w:tcBorders>
            <w:shd w:val="clear" w:color="auto" w:fill="auto"/>
            <w:vAlign w:val="center"/>
            <w:hideMark/>
          </w:tcPr>
          <w:p w14:paraId="54BC8DA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15</w:t>
            </w:r>
          </w:p>
        </w:tc>
        <w:tc>
          <w:tcPr>
            <w:tcW w:w="1320" w:type="dxa"/>
            <w:tcBorders>
              <w:bottom w:val="single" w:sz="4" w:space="0" w:color="auto"/>
            </w:tcBorders>
            <w:shd w:val="clear" w:color="auto" w:fill="auto"/>
            <w:vAlign w:val="center"/>
            <w:hideMark/>
          </w:tcPr>
          <w:p w14:paraId="60922B88"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(4-4)</w:t>
            </w:r>
          </w:p>
        </w:tc>
        <w:tc>
          <w:tcPr>
            <w:tcW w:w="987" w:type="dxa"/>
            <w:vMerge/>
            <w:tcBorders>
              <w:bottom w:val="single" w:sz="4" w:space="0" w:color="auto"/>
            </w:tcBorders>
            <w:shd w:val="clear" w:color="auto" w:fill="auto"/>
            <w:vAlign w:val="center"/>
            <w:hideMark/>
          </w:tcPr>
          <w:p w14:paraId="629CFCA3"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0AFF58A0" w14:textId="77777777" w:rsidTr="00282204">
        <w:trPr>
          <w:trHeight w:val="50"/>
        </w:trPr>
        <w:tc>
          <w:tcPr>
            <w:tcW w:w="3491" w:type="dxa"/>
            <w:vMerge w:val="restart"/>
            <w:tcBorders>
              <w:top w:val="single" w:sz="4" w:space="0" w:color="auto"/>
            </w:tcBorders>
            <w:shd w:val="clear" w:color="auto" w:fill="auto"/>
            <w:vAlign w:val="center"/>
            <w:hideMark/>
          </w:tcPr>
          <w:p w14:paraId="585D472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Hypoglycemia Management</w:t>
            </w:r>
          </w:p>
          <w:p w14:paraId="0D7F83E7" w14:textId="77777777" w:rsidR="00821B82" w:rsidRPr="00812505" w:rsidRDefault="00821B82" w:rsidP="00282204">
            <w:pPr>
              <w:spacing w:after="0" w:line="240" w:lineRule="auto"/>
              <w:rPr>
                <w:rFonts w:asciiTheme="minorBidi" w:eastAsia="Times New Roman" w:hAnsiTheme="minorBidi"/>
                <w:sz w:val="18"/>
                <w:szCs w:val="18"/>
              </w:rPr>
            </w:pPr>
          </w:p>
          <w:p w14:paraId="6FF3FB7F" w14:textId="77777777" w:rsidR="00821B82" w:rsidRPr="00812505" w:rsidRDefault="00821B82" w:rsidP="00282204">
            <w:pPr>
              <w:spacing w:after="0" w:line="240" w:lineRule="auto"/>
              <w:rPr>
                <w:rFonts w:asciiTheme="minorBidi" w:eastAsia="Times New Roman" w:hAnsiTheme="minorBidi"/>
                <w:sz w:val="18"/>
                <w:szCs w:val="18"/>
              </w:rPr>
            </w:pPr>
          </w:p>
          <w:p w14:paraId="7E043B62" w14:textId="77777777" w:rsidR="00821B82" w:rsidRPr="00812505" w:rsidRDefault="00821B82" w:rsidP="00282204">
            <w:pPr>
              <w:spacing w:after="0" w:line="240" w:lineRule="auto"/>
              <w:rPr>
                <w:rFonts w:asciiTheme="minorBidi" w:eastAsia="Times New Roman" w:hAnsiTheme="minorBidi"/>
                <w:sz w:val="18"/>
                <w:szCs w:val="18"/>
              </w:rPr>
            </w:pPr>
          </w:p>
          <w:p w14:paraId="03670F5F"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23C5713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68957D0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49E9A5B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23885912" w14:textId="77777777" w:rsidR="00821B82" w:rsidRPr="00812505" w:rsidRDefault="00821B82" w:rsidP="00282204">
            <w:pPr>
              <w:spacing w:after="0" w:line="240" w:lineRule="auto"/>
              <w:rPr>
                <w:rFonts w:asciiTheme="minorBidi" w:eastAsia="Times New Roman" w:hAnsiTheme="minorBidi"/>
                <w:sz w:val="18"/>
                <w:szCs w:val="18"/>
              </w:rPr>
            </w:pPr>
          </w:p>
          <w:p w14:paraId="40CDC25C"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30A60D7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6D5EE04C" w14:textId="77777777" w:rsidR="00821B82" w:rsidRPr="00812505" w:rsidRDefault="00821B82" w:rsidP="00282204">
            <w:pPr>
              <w:spacing w:after="0" w:line="240" w:lineRule="auto"/>
              <w:rPr>
                <w:rFonts w:asciiTheme="minorBidi" w:eastAsia="Times New Roman" w:hAnsiTheme="minorBidi"/>
                <w:sz w:val="18"/>
                <w:szCs w:val="18"/>
              </w:rPr>
            </w:pPr>
          </w:p>
          <w:p w14:paraId="6BCFB68C" w14:textId="77777777" w:rsidR="00821B82" w:rsidRPr="00812505" w:rsidRDefault="00821B82" w:rsidP="00282204">
            <w:pPr>
              <w:spacing w:after="0" w:line="240" w:lineRule="auto"/>
              <w:rPr>
                <w:rFonts w:asciiTheme="minorBidi" w:eastAsia="Times New Roman" w:hAnsiTheme="minorBidi"/>
                <w:sz w:val="18"/>
                <w:szCs w:val="18"/>
              </w:rPr>
            </w:pPr>
          </w:p>
          <w:p w14:paraId="1A9B0B47"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490C645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12</w:t>
            </w:r>
          </w:p>
        </w:tc>
        <w:tc>
          <w:tcPr>
            <w:tcW w:w="1059" w:type="dxa"/>
            <w:tcBorders>
              <w:top w:val="single" w:sz="4" w:space="0" w:color="auto"/>
            </w:tcBorders>
            <w:shd w:val="clear" w:color="auto" w:fill="auto"/>
            <w:vAlign w:val="center"/>
            <w:hideMark/>
          </w:tcPr>
          <w:p w14:paraId="7B72CE6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18</w:t>
            </w:r>
          </w:p>
        </w:tc>
        <w:tc>
          <w:tcPr>
            <w:tcW w:w="1254" w:type="dxa"/>
            <w:tcBorders>
              <w:top w:val="single" w:sz="4" w:space="0" w:color="auto"/>
            </w:tcBorders>
            <w:shd w:val="clear" w:color="auto" w:fill="auto"/>
            <w:vAlign w:val="center"/>
            <w:hideMark/>
          </w:tcPr>
          <w:p w14:paraId="7E65FD7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8</w:t>
            </w:r>
          </w:p>
        </w:tc>
        <w:tc>
          <w:tcPr>
            <w:tcW w:w="956" w:type="dxa"/>
            <w:tcBorders>
              <w:top w:val="single" w:sz="4" w:space="0" w:color="auto"/>
            </w:tcBorders>
            <w:shd w:val="clear" w:color="auto" w:fill="auto"/>
            <w:vAlign w:val="center"/>
            <w:hideMark/>
          </w:tcPr>
          <w:p w14:paraId="29BAB92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41</w:t>
            </w:r>
          </w:p>
        </w:tc>
        <w:tc>
          <w:tcPr>
            <w:tcW w:w="1027" w:type="dxa"/>
            <w:tcBorders>
              <w:top w:val="single" w:sz="4" w:space="0" w:color="auto"/>
            </w:tcBorders>
            <w:shd w:val="clear" w:color="auto" w:fill="auto"/>
            <w:vAlign w:val="center"/>
            <w:hideMark/>
          </w:tcPr>
          <w:p w14:paraId="7B5D895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20</w:t>
            </w:r>
          </w:p>
        </w:tc>
        <w:tc>
          <w:tcPr>
            <w:tcW w:w="1320" w:type="dxa"/>
            <w:tcBorders>
              <w:top w:val="single" w:sz="4" w:space="0" w:color="auto"/>
            </w:tcBorders>
            <w:shd w:val="clear" w:color="auto" w:fill="auto"/>
            <w:vAlign w:val="center"/>
            <w:hideMark/>
          </w:tcPr>
          <w:p w14:paraId="4E6AEB0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(2-4)</w:t>
            </w:r>
          </w:p>
        </w:tc>
        <w:tc>
          <w:tcPr>
            <w:tcW w:w="987" w:type="dxa"/>
            <w:vMerge w:val="restart"/>
            <w:tcBorders>
              <w:top w:val="single" w:sz="4" w:space="0" w:color="auto"/>
            </w:tcBorders>
            <w:shd w:val="clear" w:color="auto" w:fill="auto"/>
            <w:vAlign w:val="center"/>
            <w:hideMark/>
          </w:tcPr>
          <w:p w14:paraId="76C85C1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0.00*</w:t>
            </w:r>
          </w:p>
          <w:p w14:paraId="7F82B12D" w14:textId="77777777" w:rsidR="00821B82" w:rsidRPr="00812505" w:rsidRDefault="00821B82" w:rsidP="00282204">
            <w:pPr>
              <w:spacing w:after="0" w:line="240" w:lineRule="auto"/>
              <w:rPr>
                <w:rFonts w:asciiTheme="minorBidi" w:eastAsia="Times New Roman" w:hAnsiTheme="minorBidi"/>
                <w:sz w:val="18"/>
                <w:szCs w:val="18"/>
              </w:rPr>
            </w:pPr>
          </w:p>
          <w:p w14:paraId="53D41A3C"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230B419A" w14:textId="77777777" w:rsidTr="00282204">
        <w:trPr>
          <w:trHeight w:val="60"/>
        </w:trPr>
        <w:tc>
          <w:tcPr>
            <w:tcW w:w="3491" w:type="dxa"/>
            <w:vMerge/>
            <w:shd w:val="clear" w:color="auto" w:fill="auto"/>
            <w:vAlign w:val="center"/>
            <w:hideMark/>
          </w:tcPr>
          <w:p w14:paraId="00F7AA07"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38426EFD"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67A8AC56"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4CE84F0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059" w:type="dxa"/>
            <w:shd w:val="clear" w:color="auto" w:fill="auto"/>
            <w:vAlign w:val="center"/>
            <w:hideMark/>
          </w:tcPr>
          <w:p w14:paraId="072CE66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254" w:type="dxa"/>
            <w:shd w:val="clear" w:color="auto" w:fill="auto"/>
            <w:vAlign w:val="center"/>
            <w:hideMark/>
          </w:tcPr>
          <w:p w14:paraId="6090115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10</w:t>
            </w:r>
          </w:p>
        </w:tc>
        <w:tc>
          <w:tcPr>
            <w:tcW w:w="956" w:type="dxa"/>
            <w:shd w:val="clear" w:color="auto" w:fill="auto"/>
            <w:vAlign w:val="center"/>
            <w:hideMark/>
          </w:tcPr>
          <w:p w14:paraId="11F58C6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57</w:t>
            </w:r>
          </w:p>
        </w:tc>
        <w:tc>
          <w:tcPr>
            <w:tcW w:w="1027" w:type="dxa"/>
            <w:shd w:val="clear" w:color="auto" w:fill="auto"/>
            <w:vAlign w:val="center"/>
            <w:hideMark/>
          </w:tcPr>
          <w:p w14:paraId="1418DAF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30</w:t>
            </w:r>
          </w:p>
        </w:tc>
        <w:tc>
          <w:tcPr>
            <w:tcW w:w="1320" w:type="dxa"/>
            <w:shd w:val="clear" w:color="auto" w:fill="auto"/>
            <w:vAlign w:val="center"/>
            <w:hideMark/>
          </w:tcPr>
          <w:p w14:paraId="1894CD0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(4-5)</w:t>
            </w:r>
          </w:p>
        </w:tc>
        <w:tc>
          <w:tcPr>
            <w:tcW w:w="987" w:type="dxa"/>
            <w:vMerge/>
            <w:shd w:val="clear" w:color="auto" w:fill="auto"/>
            <w:vAlign w:val="center"/>
            <w:hideMark/>
          </w:tcPr>
          <w:p w14:paraId="1F8A988E"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79D333E1" w14:textId="77777777" w:rsidTr="00282204">
        <w:trPr>
          <w:trHeight w:val="99"/>
        </w:trPr>
        <w:tc>
          <w:tcPr>
            <w:tcW w:w="3491" w:type="dxa"/>
            <w:vMerge/>
            <w:shd w:val="clear" w:color="auto" w:fill="auto"/>
            <w:vAlign w:val="center"/>
            <w:hideMark/>
          </w:tcPr>
          <w:p w14:paraId="01E06566"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189EB33A"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1B4E8241"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2DE7BB5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059" w:type="dxa"/>
            <w:shd w:val="clear" w:color="auto" w:fill="auto"/>
            <w:vAlign w:val="center"/>
            <w:hideMark/>
          </w:tcPr>
          <w:p w14:paraId="2E0B26F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254" w:type="dxa"/>
            <w:shd w:val="clear" w:color="auto" w:fill="auto"/>
            <w:vAlign w:val="center"/>
            <w:hideMark/>
          </w:tcPr>
          <w:p w14:paraId="7CE29F3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30</w:t>
            </w:r>
          </w:p>
        </w:tc>
        <w:tc>
          <w:tcPr>
            <w:tcW w:w="956" w:type="dxa"/>
            <w:shd w:val="clear" w:color="auto" w:fill="auto"/>
            <w:vAlign w:val="center"/>
            <w:hideMark/>
          </w:tcPr>
          <w:p w14:paraId="1D02870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63</w:t>
            </w:r>
          </w:p>
        </w:tc>
        <w:tc>
          <w:tcPr>
            <w:tcW w:w="1027" w:type="dxa"/>
            <w:shd w:val="clear" w:color="auto" w:fill="auto"/>
            <w:vAlign w:val="center"/>
            <w:hideMark/>
          </w:tcPr>
          <w:p w14:paraId="0503CCA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320" w:type="dxa"/>
            <w:shd w:val="clear" w:color="auto" w:fill="auto"/>
            <w:vAlign w:val="center"/>
            <w:hideMark/>
          </w:tcPr>
          <w:p w14:paraId="7DCDD3D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(3-4)</w:t>
            </w:r>
          </w:p>
        </w:tc>
        <w:tc>
          <w:tcPr>
            <w:tcW w:w="987" w:type="dxa"/>
            <w:vMerge/>
            <w:shd w:val="clear" w:color="auto" w:fill="auto"/>
            <w:vAlign w:val="center"/>
            <w:hideMark/>
          </w:tcPr>
          <w:p w14:paraId="5C45B8E6"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5FB52CB9" w14:textId="77777777" w:rsidTr="00282204">
        <w:trPr>
          <w:trHeight w:val="60"/>
        </w:trPr>
        <w:tc>
          <w:tcPr>
            <w:tcW w:w="3491" w:type="dxa"/>
            <w:vMerge/>
            <w:shd w:val="clear" w:color="auto" w:fill="auto"/>
            <w:vAlign w:val="center"/>
            <w:hideMark/>
          </w:tcPr>
          <w:p w14:paraId="367A474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0C0C8705"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57A48EB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color w:val="264A60"/>
                <w:sz w:val="18"/>
                <w:szCs w:val="18"/>
              </w:rPr>
              <w:t>Future</w:t>
            </w:r>
          </w:p>
          <w:p w14:paraId="5F035898" w14:textId="77777777" w:rsidR="00821B82" w:rsidRPr="00812505" w:rsidRDefault="00821B82" w:rsidP="00282204">
            <w:pPr>
              <w:spacing w:after="0" w:line="240" w:lineRule="auto"/>
              <w:rPr>
                <w:rFonts w:asciiTheme="minorBidi" w:eastAsia="Times New Roman" w:hAnsiTheme="minorBidi"/>
                <w:sz w:val="18"/>
                <w:szCs w:val="18"/>
              </w:rPr>
            </w:pPr>
          </w:p>
          <w:p w14:paraId="1E6AAAD1" w14:textId="77777777" w:rsidR="00821B82" w:rsidRPr="00812505" w:rsidRDefault="00821B82" w:rsidP="00282204">
            <w:pPr>
              <w:spacing w:after="0" w:line="240" w:lineRule="auto"/>
              <w:rPr>
                <w:rFonts w:asciiTheme="minorBidi" w:eastAsia="Times New Roman" w:hAnsiTheme="minorBidi"/>
                <w:sz w:val="18"/>
                <w:szCs w:val="18"/>
              </w:rPr>
            </w:pPr>
          </w:p>
          <w:p w14:paraId="7D27E778"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7EE7D4B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8</w:t>
            </w:r>
          </w:p>
        </w:tc>
        <w:tc>
          <w:tcPr>
            <w:tcW w:w="1059" w:type="dxa"/>
            <w:shd w:val="clear" w:color="auto" w:fill="auto"/>
            <w:vAlign w:val="center"/>
            <w:hideMark/>
          </w:tcPr>
          <w:p w14:paraId="1ED9311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6</w:t>
            </w:r>
          </w:p>
        </w:tc>
        <w:tc>
          <w:tcPr>
            <w:tcW w:w="1254" w:type="dxa"/>
            <w:shd w:val="clear" w:color="auto" w:fill="auto"/>
            <w:vAlign w:val="center"/>
            <w:hideMark/>
          </w:tcPr>
          <w:p w14:paraId="0D3D6F3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14</w:t>
            </w:r>
          </w:p>
        </w:tc>
        <w:tc>
          <w:tcPr>
            <w:tcW w:w="956" w:type="dxa"/>
            <w:shd w:val="clear" w:color="auto" w:fill="auto"/>
            <w:vAlign w:val="center"/>
            <w:hideMark/>
          </w:tcPr>
          <w:p w14:paraId="08E0506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47</w:t>
            </w:r>
          </w:p>
        </w:tc>
        <w:tc>
          <w:tcPr>
            <w:tcW w:w="1027" w:type="dxa"/>
            <w:shd w:val="clear" w:color="auto" w:fill="auto"/>
            <w:vAlign w:val="center"/>
            <w:hideMark/>
          </w:tcPr>
          <w:p w14:paraId="2078199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25</w:t>
            </w:r>
          </w:p>
        </w:tc>
        <w:tc>
          <w:tcPr>
            <w:tcW w:w="1320" w:type="dxa"/>
            <w:shd w:val="clear" w:color="auto" w:fill="auto"/>
            <w:vAlign w:val="center"/>
            <w:hideMark/>
          </w:tcPr>
          <w:p w14:paraId="3A7B725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(3-4.5)</w:t>
            </w:r>
          </w:p>
        </w:tc>
        <w:tc>
          <w:tcPr>
            <w:tcW w:w="987" w:type="dxa"/>
            <w:vMerge w:val="restart"/>
            <w:shd w:val="clear" w:color="auto" w:fill="auto"/>
            <w:vAlign w:val="center"/>
            <w:hideMark/>
          </w:tcPr>
          <w:p w14:paraId="2CDECA2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0.26</w:t>
            </w:r>
          </w:p>
          <w:p w14:paraId="79FD08E2"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7B4ACF71"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0005204F"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74B68397" w14:textId="77777777" w:rsidTr="00282204">
        <w:trPr>
          <w:trHeight w:val="60"/>
        </w:trPr>
        <w:tc>
          <w:tcPr>
            <w:tcW w:w="3491" w:type="dxa"/>
            <w:vMerge/>
            <w:shd w:val="clear" w:color="auto" w:fill="auto"/>
            <w:vAlign w:val="center"/>
            <w:hideMark/>
          </w:tcPr>
          <w:p w14:paraId="44818DA0"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3923015A"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0EF7A573"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4D92F8C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059" w:type="dxa"/>
            <w:shd w:val="clear" w:color="auto" w:fill="auto"/>
            <w:vAlign w:val="center"/>
            <w:hideMark/>
          </w:tcPr>
          <w:p w14:paraId="1A5DE50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254" w:type="dxa"/>
            <w:shd w:val="clear" w:color="auto" w:fill="auto"/>
            <w:vAlign w:val="center"/>
            <w:hideMark/>
          </w:tcPr>
          <w:p w14:paraId="1F26DF28"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956" w:type="dxa"/>
            <w:shd w:val="clear" w:color="auto" w:fill="auto"/>
            <w:vAlign w:val="center"/>
            <w:hideMark/>
          </w:tcPr>
          <w:p w14:paraId="314BD72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57</w:t>
            </w:r>
          </w:p>
        </w:tc>
        <w:tc>
          <w:tcPr>
            <w:tcW w:w="1027" w:type="dxa"/>
            <w:shd w:val="clear" w:color="auto" w:fill="auto"/>
            <w:vAlign w:val="center"/>
            <w:hideMark/>
          </w:tcPr>
          <w:p w14:paraId="458AA46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33</w:t>
            </w:r>
          </w:p>
        </w:tc>
        <w:tc>
          <w:tcPr>
            <w:tcW w:w="1320" w:type="dxa"/>
            <w:shd w:val="clear" w:color="auto" w:fill="auto"/>
            <w:vAlign w:val="center"/>
            <w:hideMark/>
          </w:tcPr>
          <w:p w14:paraId="72D2C395"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(4-5)</w:t>
            </w:r>
          </w:p>
        </w:tc>
        <w:tc>
          <w:tcPr>
            <w:tcW w:w="987" w:type="dxa"/>
            <w:vMerge/>
            <w:shd w:val="clear" w:color="auto" w:fill="auto"/>
            <w:vAlign w:val="center"/>
            <w:hideMark/>
          </w:tcPr>
          <w:p w14:paraId="1AA6311A"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5595B50C" w14:textId="77777777" w:rsidTr="00282204">
        <w:trPr>
          <w:trHeight w:val="60"/>
        </w:trPr>
        <w:tc>
          <w:tcPr>
            <w:tcW w:w="3491" w:type="dxa"/>
            <w:vMerge/>
            <w:tcBorders>
              <w:bottom w:val="single" w:sz="4" w:space="0" w:color="auto"/>
            </w:tcBorders>
            <w:shd w:val="clear" w:color="auto" w:fill="auto"/>
            <w:vAlign w:val="center"/>
            <w:hideMark/>
          </w:tcPr>
          <w:p w14:paraId="18E32D3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5E499C06"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48F3693F"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bottom w:val="single" w:sz="4" w:space="0" w:color="auto"/>
            </w:tcBorders>
            <w:shd w:val="clear" w:color="auto" w:fill="auto"/>
            <w:vAlign w:val="center"/>
            <w:hideMark/>
          </w:tcPr>
          <w:p w14:paraId="3D19724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059" w:type="dxa"/>
            <w:tcBorders>
              <w:bottom w:val="single" w:sz="4" w:space="0" w:color="auto"/>
            </w:tcBorders>
            <w:shd w:val="clear" w:color="auto" w:fill="auto"/>
            <w:vAlign w:val="center"/>
            <w:hideMark/>
          </w:tcPr>
          <w:p w14:paraId="1441BFD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254" w:type="dxa"/>
            <w:tcBorders>
              <w:bottom w:val="single" w:sz="4" w:space="0" w:color="auto"/>
            </w:tcBorders>
            <w:shd w:val="clear" w:color="auto" w:fill="auto"/>
            <w:vAlign w:val="center"/>
            <w:hideMark/>
          </w:tcPr>
          <w:p w14:paraId="3969A83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19</w:t>
            </w:r>
          </w:p>
        </w:tc>
        <w:tc>
          <w:tcPr>
            <w:tcW w:w="956" w:type="dxa"/>
            <w:tcBorders>
              <w:bottom w:val="single" w:sz="4" w:space="0" w:color="auto"/>
            </w:tcBorders>
            <w:shd w:val="clear" w:color="auto" w:fill="auto"/>
            <w:vAlign w:val="center"/>
            <w:hideMark/>
          </w:tcPr>
          <w:p w14:paraId="2566612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67</w:t>
            </w:r>
          </w:p>
        </w:tc>
        <w:tc>
          <w:tcPr>
            <w:tcW w:w="1027" w:type="dxa"/>
            <w:tcBorders>
              <w:bottom w:val="single" w:sz="4" w:space="0" w:color="auto"/>
            </w:tcBorders>
            <w:shd w:val="clear" w:color="auto" w:fill="auto"/>
            <w:vAlign w:val="center"/>
            <w:hideMark/>
          </w:tcPr>
          <w:p w14:paraId="63A8F618"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15</w:t>
            </w:r>
          </w:p>
        </w:tc>
        <w:tc>
          <w:tcPr>
            <w:tcW w:w="1320" w:type="dxa"/>
            <w:tcBorders>
              <w:bottom w:val="single" w:sz="4" w:space="0" w:color="auto"/>
            </w:tcBorders>
            <w:shd w:val="clear" w:color="auto" w:fill="auto"/>
            <w:vAlign w:val="center"/>
            <w:hideMark/>
          </w:tcPr>
          <w:p w14:paraId="63F5DF0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(4-4)</w:t>
            </w:r>
          </w:p>
        </w:tc>
        <w:tc>
          <w:tcPr>
            <w:tcW w:w="987" w:type="dxa"/>
            <w:vMerge/>
            <w:tcBorders>
              <w:bottom w:val="single" w:sz="4" w:space="0" w:color="auto"/>
            </w:tcBorders>
            <w:shd w:val="clear" w:color="auto" w:fill="auto"/>
            <w:vAlign w:val="center"/>
            <w:hideMark/>
          </w:tcPr>
          <w:p w14:paraId="6A7996A9"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465A8D5D" w14:textId="77777777" w:rsidTr="00282204">
        <w:trPr>
          <w:trHeight w:val="251"/>
        </w:trPr>
        <w:tc>
          <w:tcPr>
            <w:tcW w:w="3491" w:type="dxa"/>
            <w:vMerge w:val="restart"/>
            <w:tcBorders>
              <w:top w:val="single" w:sz="4" w:space="0" w:color="auto"/>
            </w:tcBorders>
            <w:shd w:val="clear" w:color="auto" w:fill="auto"/>
            <w:vAlign w:val="center"/>
            <w:hideMark/>
          </w:tcPr>
          <w:p w14:paraId="6B4F7D8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Verification of Prescriptions</w:t>
            </w:r>
          </w:p>
          <w:p w14:paraId="638F7AA9" w14:textId="77777777" w:rsidR="00821B82" w:rsidRPr="00812505" w:rsidRDefault="00821B82" w:rsidP="00282204">
            <w:pPr>
              <w:spacing w:after="0" w:line="240" w:lineRule="auto"/>
              <w:rPr>
                <w:rFonts w:asciiTheme="minorBidi" w:eastAsia="Times New Roman" w:hAnsiTheme="minorBidi"/>
                <w:sz w:val="18"/>
                <w:szCs w:val="18"/>
              </w:rPr>
            </w:pPr>
          </w:p>
          <w:p w14:paraId="12617E56" w14:textId="77777777" w:rsidR="00821B82" w:rsidRPr="00812505" w:rsidRDefault="00821B82" w:rsidP="00282204">
            <w:pPr>
              <w:spacing w:after="0" w:line="240" w:lineRule="auto"/>
              <w:rPr>
                <w:rFonts w:asciiTheme="minorBidi" w:eastAsia="Times New Roman" w:hAnsiTheme="minorBidi"/>
                <w:sz w:val="18"/>
                <w:szCs w:val="18"/>
              </w:rPr>
            </w:pPr>
          </w:p>
          <w:p w14:paraId="41387405" w14:textId="77777777" w:rsidR="00821B82" w:rsidRPr="00812505" w:rsidRDefault="00821B82" w:rsidP="00282204">
            <w:pPr>
              <w:spacing w:after="0" w:line="240" w:lineRule="auto"/>
              <w:rPr>
                <w:rFonts w:asciiTheme="minorBidi" w:eastAsia="Times New Roman" w:hAnsiTheme="minorBidi"/>
                <w:sz w:val="18"/>
                <w:szCs w:val="18"/>
              </w:rPr>
            </w:pPr>
          </w:p>
          <w:p w14:paraId="2DC7C84C"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645BD55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32143A4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4D0BACA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53EC3340" w14:textId="77777777" w:rsidR="00821B82" w:rsidRPr="00812505" w:rsidRDefault="00821B82" w:rsidP="00282204">
            <w:pPr>
              <w:spacing w:after="0" w:line="240" w:lineRule="auto"/>
              <w:rPr>
                <w:rFonts w:asciiTheme="minorBidi" w:eastAsia="Times New Roman" w:hAnsiTheme="minorBidi"/>
                <w:sz w:val="18"/>
                <w:szCs w:val="18"/>
              </w:rPr>
            </w:pPr>
          </w:p>
          <w:p w14:paraId="27770641"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1C37A39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1D8B7F45" w14:textId="77777777" w:rsidR="00821B82" w:rsidRPr="00812505" w:rsidRDefault="00821B82" w:rsidP="00282204">
            <w:pPr>
              <w:spacing w:after="0" w:line="240" w:lineRule="auto"/>
              <w:rPr>
                <w:rFonts w:asciiTheme="minorBidi" w:eastAsia="Times New Roman" w:hAnsiTheme="minorBidi"/>
                <w:sz w:val="18"/>
                <w:szCs w:val="18"/>
              </w:rPr>
            </w:pPr>
          </w:p>
          <w:p w14:paraId="0B9E4260" w14:textId="77777777" w:rsidR="00821B82" w:rsidRPr="00812505" w:rsidRDefault="00821B82" w:rsidP="00282204">
            <w:pPr>
              <w:spacing w:after="0" w:line="240" w:lineRule="auto"/>
              <w:rPr>
                <w:rFonts w:asciiTheme="minorBidi" w:eastAsia="Times New Roman" w:hAnsiTheme="minorBidi"/>
                <w:sz w:val="18"/>
                <w:szCs w:val="18"/>
              </w:rPr>
            </w:pPr>
          </w:p>
          <w:p w14:paraId="51651B37"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2ED1EB9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w:t>
            </w:r>
          </w:p>
        </w:tc>
        <w:tc>
          <w:tcPr>
            <w:tcW w:w="1059" w:type="dxa"/>
            <w:tcBorders>
              <w:top w:val="single" w:sz="4" w:space="0" w:color="auto"/>
            </w:tcBorders>
            <w:shd w:val="clear" w:color="auto" w:fill="auto"/>
            <w:vAlign w:val="center"/>
            <w:hideMark/>
          </w:tcPr>
          <w:p w14:paraId="4648CFA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254" w:type="dxa"/>
            <w:tcBorders>
              <w:top w:val="single" w:sz="4" w:space="0" w:color="auto"/>
            </w:tcBorders>
            <w:shd w:val="clear" w:color="auto" w:fill="auto"/>
            <w:vAlign w:val="center"/>
            <w:hideMark/>
          </w:tcPr>
          <w:p w14:paraId="72544AC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w:t>
            </w:r>
          </w:p>
        </w:tc>
        <w:tc>
          <w:tcPr>
            <w:tcW w:w="956" w:type="dxa"/>
            <w:tcBorders>
              <w:top w:val="single" w:sz="4" w:space="0" w:color="auto"/>
            </w:tcBorders>
            <w:shd w:val="clear" w:color="auto" w:fill="auto"/>
            <w:vAlign w:val="center"/>
            <w:hideMark/>
          </w:tcPr>
          <w:p w14:paraId="26C4DAA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41</w:t>
            </w:r>
          </w:p>
        </w:tc>
        <w:tc>
          <w:tcPr>
            <w:tcW w:w="1027" w:type="dxa"/>
            <w:tcBorders>
              <w:top w:val="single" w:sz="4" w:space="0" w:color="auto"/>
            </w:tcBorders>
            <w:shd w:val="clear" w:color="auto" w:fill="auto"/>
            <w:vAlign w:val="center"/>
            <w:hideMark/>
          </w:tcPr>
          <w:p w14:paraId="690615C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47</w:t>
            </w:r>
          </w:p>
        </w:tc>
        <w:tc>
          <w:tcPr>
            <w:tcW w:w="1320" w:type="dxa"/>
            <w:tcBorders>
              <w:top w:val="single" w:sz="4" w:space="0" w:color="auto"/>
            </w:tcBorders>
            <w:shd w:val="clear" w:color="auto" w:fill="auto"/>
            <w:vAlign w:val="center"/>
            <w:hideMark/>
          </w:tcPr>
          <w:p w14:paraId="297D976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(4-5)</w:t>
            </w:r>
          </w:p>
        </w:tc>
        <w:tc>
          <w:tcPr>
            <w:tcW w:w="987" w:type="dxa"/>
            <w:vMerge w:val="restart"/>
            <w:tcBorders>
              <w:top w:val="single" w:sz="4" w:space="0" w:color="auto"/>
            </w:tcBorders>
            <w:shd w:val="clear" w:color="auto" w:fill="auto"/>
            <w:vAlign w:val="center"/>
            <w:hideMark/>
          </w:tcPr>
          <w:p w14:paraId="52273CA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0.20</w:t>
            </w:r>
          </w:p>
          <w:p w14:paraId="464E25B6" w14:textId="77777777" w:rsidR="00821B82" w:rsidRPr="00812505" w:rsidRDefault="00821B82" w:rsidP="00282204">
            <w:pPr>
              <w:spacing w:after="0" w:line="240" w:lineRule="auto"/>
              <w:rPr>
                <w:rFonts w:asciiTheme="minorBidi" w:eastAsia="Times New Roman" w:hAnsiTheme="minorBidi"/>
                <w:sz w:val="18"/>
                <w:szCs w:val="18"/>
              </w:rPr>
            </w:pPr>
          </w:p>
          <w:p w14:paraId="3F09918E" w14:textId="77777777" w:rsidR="00821B82" w:rsidRPr="00812505" w:rsidRDefault="00821B82" w:rsidP="00282204">
            <w:pPr>
              <w:spacing w:after="0" w:line="240" w:lineRule="auto"/>
              <w:rPr>
                <w:rFonts w:asciiTheme="minorBidi" w:eastAsia="Times New Roman" w:hAnsiTheme="minorBidi"/>
                <w:sz w:val="18"/>
                <w:szCs w:val="18"/>
              </w:rPr>
            </w:pPr>
          </w:p>
          <w:p w14:paraId="6D21D7A4"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09F9E702" w14:textId="77777777" w:rsidTr="00282204">
        <w:trPr>
          <w:trHeight w:val="90"/>
        </w:trPr>
        <w:tc>
          <w:tcPr>
            <w:tcW w:w="3491" w:type="dxa"/>
            <w:vMerge/>
            <w:shd w:val="clear" w:color="auto" w:fill="auto"/>
            <w:vAlign w:val="center"/>
            <w:hideMark/>
          </w:tcPr>
          <w:p w14:paraId="1AEDFA16"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369FD48A"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2CA994F7"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00C4919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059" w:type="dxa"/>
            <w:shd w:val="clear" w:color="auto" w:fill="auto"/>
            <w:vAlign w:val="center"/>
            <w:hideMark/>
          </w:tcPr>
          <w:p w14:paraId="1012EB4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254" w:type="dxa"/>
            <w:shd w:val="clear" w:color="auto" w:fill="auto"/>
            <w:vAlign w:val="center"/>
            <w:hideMark/>
          </w:tcPr>
          <w:p w14:paraId="40D817C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7</w:t>
            </w:r>
          </w:p>
        </w:tc>
        <w:tc>
          <w:tcPr>
            <w:tcW w:w="956" w:type="dxa"/>
            <w:shd w:val="clear" w:color="auto" w:fill="auto"/>
            <w:vAlign w:val="center"/>
            <w:hideMark/>
          </w:tcPr>
          <w:p w14:paraId="3D15C3C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40</w:t>
            </w:r>
          </w:p>
        </w:tc>
        <w:tc>
          <w:tcPr>
            <w:tcW w:w="1027" w:type="dxa"/>
            <w:shd w:val="clear" w:color="auto" w:fill="auto"/>
            <w:vAlign w:val="center"/>
            <w:hideMark/>
          </w:tcPr>
          <w:p w14:paraId="0703FF7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47</w:t>
            </w:r>
          </w:p>
        </w:tc>
        <w:tc>
          <w:tcPr>
            <w:tcW w:w="1320" w:type="dxa"/>
            <w:shd w:val="clear" w:color="auto" w:fill="auto"/>
            <w:vAlign w:val="center"/>
            <w:hideMark/>
          </w:tcPr>
          <w:p w14:paraId="3F6D044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(4-5)</w:t>
            </w:r>
          </w:p>
        </w:tc>
        <w:tc>
          <w:tcPr>
            <w:tcW w:w="987" w:type="dxa"/>
            <w:vMerge/>
            <w:shd w:val="clear" w:color="auto" w:fill="auto"/>
            <w:vAlign w:val="center"/>
            <w:hideMark/>
          </w:tcPr>
          <w:p w14:paraId="5448DAAC"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744ED3F2" w14:textId="77777777" w:rsidTr="00282204">
        <w:trPr>
          <w:trHeight w:val="63"/>
        </w:trPr>
        <w:tc>
          <w:tcPr>
            <w:tcW w:w="3491" w:type="dxa"/>
            <w:vMerge/>
            <w:shd w:val="clear" w:color="auto" w:fill="auto"/>
            <w:vAlign w:val="center"/>
            <w:hideMark/>
          </w:tcPr>
          <w:p w14:paraId="531FE821"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0A1920DE"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010EA730"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2A309B4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059" w:type="dxa"/>
            <w:shd w:val="clear" w:color="auto" w:fill="auto"/>
            <w:vAlign w:val="center"/>
            <w:hideMark/>
          </w:tcPr>
          <w:p w14:paraId="25C2C20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254" w:type="dxa"/>
            <w:shd w:val="clear" w:color="auto" w:fill="auto"/>
            <w:vAlign w:val="center"/>
            <w:hideMark/>
          </w:tcPr>
          <w:p w14:paraId="3B9A387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11</w:t>
            </w:r>
          </w:p>
        </w:tc>
        <w:tc>
          <w:tcPr>
            <w:tcW w:w="956" w:type="dxa"/>
            <w:shd w:val="clear" w:color="auto" w:fill="auto"/>
            <w:vAlign w:val="center"/>
            <w:hideMark/>
          </w:tcPr>
          <w:p w14:paraId="2675B62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63</w:t>
            </w:r>
          </w:p>
        </w:tc>
        <w:tc>
          <w:tcPr>
            <w:tcW w:w="1027" w:type="dxa"/>
            <w:shd w:val="clear" w:color="auto" w:fill="auto"/>
            <w:vAlign w:val="center"/>
            <w:hideMark/>
          </w:tcPr>
          <w:p w14:paraId="0CD9510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19</w:t>
            </w:r>
          </w:p>
        </w:tc>
        <w:tc>
          <w:tcPr>
            <w:tcW w:w="1320" w:type="dxa"/>
            <w:shd w:val="clear" w:color="auto" w:fill="auto"/>
            <w:vAlign w:val="center"/>
            <w:hideMark/>
          </w:tcPr>
          <w:p w14:paraId="0805699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(4-4)</w:t>
            </w:r>
          </w:p>
        </w:tc>
        <w:tc>
          <w:tcPr>
            <w:tcW w:w="987" w:type="dxa"/>
            <w:vMerge/>
            <w:shd w:val="clear" w:color="auto" w:fill="auto"/>
            <w:vAlign w:val="center"/>
            <w:hideMark/>
          </w:tcPr>
          <w:p w14:paraId="52B13BC5"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2C772D12" w14:textId="77777777" w:rsidTr="00282204">
        <w:trPr>
          <w:trHeight w:val="126"/>
        </w:trPr>
        <w:tc>
          <w:tcPr>
            <w:tcW w:w="3491" w:type="dxa"/>
            <w:vMerge/>
            <w:shd w:val="clear" w:color="auto" w:fill="auto"/>
            <w:vAlign w:val="center"/>
            <w:hideMark/>
          </w:tcPr>
          <w:p w14:paraId="0F25F3E3"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3E0A0071"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20BFB2A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color w:val="264A60"/>
                <w:sz w:val="18"/>
                <w:szCs w:val="18"/>
              </w:rPr>
              <w:t>Future</w:t>
            </w:r>
          </w:p>
          <w:p w14:paraId="7534EAE8" w14:textId="77777777" w:rsidR="00821B82" w:rsidRPr="00812505" w:rsidRDefault="00821B82" w:rsidP="00282204">
            <w:pPr>
              <w:spacing w:after="0" w:line="240" w:lineRule="auto"/>
              <w:rPr>
                <w:rFonts w:asciiTheme="minorBidi" w:eastAsia="Times New Roman" w:hAnsiTheme="minorBidi"/>
                <w:sz w:val="18"/>
                <w:szCs w:val="18"/>
              </w:rPr>
            </w:pPr>
          </w:p>
          <w:p w14:paraId="0A24C25E" w14:textId="77777777" w:rsidR="00821B82" w:rsidRPr="00812505" w:rsidRDefault="00821B82" w:rsidP="00282204">
            <w:pPr>
              <w:spacing w:after="0" w:line="240" w:lineRule="auto"/>
              <w:rPr>
                <w:rFonts w:asciiTheme="minorBidi" w:eastAsia="Times New Roman" w:hAnsiTheme="minorBidi"/>
                <w:sz w:val="18"/>
                <w:szCs w:val="18"/>
              </w:rPr>
            </w:pPr>
          </w:p>
          <w:p w14:paraId="3F413BD5"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44A1303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1059" w:type="dxa"/>
            <w:shd w:val="clear" w:color="auto" w:fill="auto"/>
            <w:vAlign w:val="center"/>
            <w:hideMark/>
          </w:tcPr>
          <w:p w14:paraId="76C4C0DE"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w:t>
            </w:r>
          </w:p>
        </w:tc>
        <w:tc>
          <w:tcPr>
            <w:tcW w:w="1254" w:type="dxa"/>
            <w:shd w:val="clear" w:color="auto" w:fill="auto"/>
            <w:vAlign w:val="center"/>
            <w:hideMark/>
          </w:tcPr>
          <w:p w14:paraId="7527F8A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956" w:type="dxa"/>
            <w:shd w:val="clear" w:color="auto" w:fill="auto"/>
            <w:vAlign w:val="center"/>
            <w:hideMark/>
          </w:tcPr>
          <w:p w14:paraId="197A65F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27</w:t>
            </w:r>
          </w:p>
        </w:tc>
        <w:tc>
          <w:tcPr>
            <w:tcW w:w="1027" w:type="dxa"/>
            <w:shd w:val="clear" w:color="auto" w:fill="auto"/>
            <w:vAlign w:val="center"/>
            <w:hideMark/>
          </w:tcPr>
          <w:p w14:paraId="07A5E1F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67</w:t>
            </w:r>
          </w:p>
        </w:tc>
        <w:tc>
          <w:tcPr>
            <w:tcW w:w="1320" w:type="dxa"/>
            <w:shd w:val="clear" w:color="auto" w:fill="auto"/>
            <w:vAlign w:val="center"/>
            <w:hideMark/>
          </w:tcPr>
          <w:p w14:paraId="01D972A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 (4-5)</w:t>
            </w:r>
          </w:p>
        </w:tc>
        <w:tc>
          <w:tcPr>
            <w:tcW w:w="987" w:type="dxa"/>
            <w:vMerge w:val="restart"/>
            <w:shd w:val="clear" w:color="auto" w:fill="auto"/>
            <w:vAlign w:val="center"/>
            <w:hideMark/>
          </w:tcPr>
          <w:p w14:paraId="0E11436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0.01*</w:t>
            </w:r>
          </w:p>
          <w:p w14:paraId="47544148"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065936BC"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27957A07"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7FF7633F" w14:textId="77777777" w:rsidTr="00282204">
        <w:trPr>
          <w:trHeight w:val="60"/>
        </w:trPr>
        <w:tc>
          <w:tcPr>
            <w:tcW w:w="3491" w:type="dxa"/>
            <w:vMerge/>
            <w:shd w:val="clear" w:color="auto" w:fill="auto"/>
            <w:vAlign w:val="center"/>
            <w:hideMark/>
          </w:tcPr>
          <w:p w14:paraId="7308CCCC"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33A5B655"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7750970B"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69BF7BB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059" w:type="dxa"/>
            <w:shd w:val="clear" w:color="auto" w:fill="auto"/>
            <w:vAlign w:val="center"/>
            <w:hideMark/>
          </w:tcPr>
          <w:p w14:paraId="71FA7CC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254" w:type="dxa"/>
            <w:shd w:val="clear" w:color="auto" w:fill="auto"/>
            <w:vAlign w:val="center"/>
            <w:hideMark/>
          </w:tcPr>
          <w:p w14:paraId="319232A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956" w:type="dxa"/>
            <w:shd w:val="clear" w:color="auto" w:fill="auto"/>
            <w:vAlign w:val="center"/>
            <w:hideMark/>
          </w:tcPr>
          <w:p w14:paraId="50AD8EB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47</w:t>
            </w:r>
          </w:p>
        </w:tc>
        <w:tc>
          <w:tcPr>
            <w:tcW w:w="1027" w:type="dxa"/>
            <w:shd w:val="clear" w:color="auto" w:fill="auto"/>
            <w:vAlign w:val="center"/>
            <w:hideMark/>
          </w:tcPr>
          <w:p w14:paraId="2D49448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43</w:t>
            </w:r>
          </w:p>
        </w:tc>
        <w:tc>
          <w:tcPr>
            <w:tcW w:w="1320" w:type="dxa"/>
            <w:shd w:val="clear" w:color="auto" w:fill="auto"/>
            <w:vAlign w:val="center"/>
            <w:hideMark/>
          </w:tcPr>
          <w:p w14:paraId="6ED7739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(4-5)</w:t>
            </w:r>
          </w:p>
        </w:tc>
        <w:tc>
          <w:tcPr>
            <w:tcW w:w="987" w:type="dxa"/>
            <w:vMerge/>
            <w:shd w:val="clear" w:color="auto" w:fill="auto"/>
            <w:vAlign w:val="center"/>
            <w:hideMark/>
          </w:tcPr>
          <w:p w14:paraId="5A79712B"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6EA9550A" w14:textId="77777777" w:rsidTr="00282204">
        <w:trPr>
          <w:trHeight w:val="72"/>
        </w:trPr>
        <w:tc>
          <w:tcPr>
            <w:tcW w:w="3491" w:type="dxa"/>
            <w:vMerge/>
            <w:tcBorders>
              <w:bottom w:val="single" w:sz="4" w:space="0" w:color="auto"/>
            </w:tcBorders>
            <w:shd w:val="clear" w:color="auto" w:fill="auto"/>
            <w:vAlign w:val="center"/>
            <w:hideMark/>
          </w:tcPr>
          <w:p w14:paraId="50A765EA"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40FDAFEE"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5F5302D8"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bottom w:val="single" w:sz="4" w:space="0" w:color="auto"/>
            </w:tcBorders>
            <w:shd w:val="clear" w:color="auto" w:fill="auto"/>
            <w:vAlign w:val="center"/>
            <w:hideMark/>
          </w:tcPr>
          <w:p w14:paraId="0EA0F9F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1059" w:type="dxa"/>
            <w:tcBorders>
              <w:bottom w:val="single" w:sz="4" w:space="0" w:color="auto"/>
            </w:tcBorders>
            <w:shd w:val="clear" w:color="auto" w:fill="auto"/>
            <w:vAlign w:val="center"/>
            <w:hideMark/>
          </w:tcPr>
          <w:p w14:paraId="50A1C52E"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1254" w:type="dxa"/>
            <w:tcBorders>
              <w:bottom w:val="single" w:sz="4" w:space="0" w:color="auto"/>
            </w:tcBorders>
            <w:shd w:val="clear" w:color="auto" w:fill="auto"/>
            <w:vAlign w:val="center"/>
            <w:hideMark/>
          </w:tcPr>
          <w:p w14:paraId="691650B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956" w:type="dxa"/>
            <w:tcBorders>
              <w:bottom w:val="single" w:sz="4" w:space="0" w:color="auto"/>
            </w:tcBorders>
            <w:shd w:val="clear" w:color="auto" w:fill="auto"/>
            <w:vAlign w:val="center"/>
            <w:hideMark/>
          </w:tcPr>
          <w:p w14:paraId="1824A3D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59</w:t>
            </w:r>
          </w:p>
        </w:tc>
        <w:tc>
          <w:tcPr>
            <w:tcW w:w="1027" w:type="dxa"/>
            <w:tcBorders>
              <w:bottom w:val="single" w:sz="4" w:space="0" w:color="auto"/>
            </w:tcBorders>
            <w:shd w:val="clear" w:color="auto" w:fill="auto"/>
            <w:vAlign w:val="center"/>
            <w:hideMark/>
          </w:tcPr>
          <w:p w14:paraId="50ADB9D5"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26</w:t>
            </w:r>
          </w:p>
        </w:tc>
        <w:tc>
          <w:tcPr>
            <w:tcW w:w="1320" w:type="dxa"/>
            <w:tcBorders>
              <w:bottom w:val="single" w:sz="4" w:space="0" w:color="auto"/>
            </w:tcBorders>
            <w:shd w:val="clear" w:color="auto" w:fill="auto"/>
            <w:vAlign w:val="center"/>
            <w:hideMark/>
          </w:tcPr>
          <w:p w14:paraId="33BEF49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(4-5)</w:t>
            </w:r>
          </w:p>
        </w:tc>
        <w:tc>
          <w:tcPr>
            <w:tcW w:w="987" w:type="dxa"/>
            <w:vMerge/>
            <w:tcBorders>
              <w:bottom w:val="single" w:sz="4" w:space="0" w:color="auto"/>
            </w:tcBorders>
            <w:shd w:val="clear" w:color="auto" w:fill="auto"/>
            <w:vAlign w:val="center"/>
            <w:hideMark/>
          </w:tcPr>
          <w:p w14:paraId="3FBA71B7"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687B2942" w14:textId="77777777" w:rsidTr="00282204">
        <w:trPr>
          <w:trHeight w:val="224"/>
        </w:trPr>
        <w:tc>
          <w:tcPr>
            <w:tcW w:w="3491" w:type="dxa"/>
            <w:vMerge w:val="restart"/>
            <w:tcBorders>
              <w:top w:val="single" w:sz="4" w:space="0" w:color="auto"/>
            </w:tcBorders>
            <w:shd w:val="clear" w:color="auto" w:fill="auto"/>
            <w:vAlign w:val="center"/>
            <w:hideMark/>
          </w:tcPr>
          <w:p w14:paraId="71305F7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Preparing and Dispensing of Prescriptions</w:t>
            </w:r>
          </w:p>
          <w:p w14:paraId="67CC05D1" w14:textId="77777777" w:rsidR="00821B82" w:rsidRPr="00812505" w:rsidRDefault="00821B82" w:rsidP="00282204">
            <w:pPr>
              <w:spacing w:after="0" w:line="240" w:lineRule="auto"/>
              <w:rPr>
                <w:rFonts w:asciiTheme="minorBidi" w:eastAsia="Times New Roman" w:hAnsiTheme="minorBidi"/>
                <w:sz w:val="18"/>
                <w:szCs w:val="18"/>
              </w:rPr>
            </w:pPr>
          </w:p>
          <w:p w14:paraId="190800D0" w14:textId="77777777" w:rsidR="00821B82" w:rsidRPr="00812505" w:rsidRDefault="00821B82" w:rsidP="00282204">
            <w:pPr>
              <w:spacing w:after="0" w:line="240" w:lineRule="auto"/>
              <w:rPr>
                <w:rFonts w:asciiTheme="minorBidi" w:eastAsia="Times New Roman" w:hAnsiTheme="minorBidi"/>
                <w:sz w:val="18"/>
                <w:szCs w:val="18"/>
              </w:rPr>
            </w:pPr>
          </w:p>
          <w:p w14:paraId="6313F5E4" w14:textId="77777777" w:rsidR="00821B82" w:rsidRPr="00812505" w:rsidRDefault="00821B82" w:rsidP="00282204">
            <w:pPr>
              <w:spacing w:after="0" w:line="240" w:lineRule="auto"/>
              <w:rPr>
                <w:rFonts w:asciiTheme="minorBidi" w:eastAsia="Times New Roman" w:hAnsiTheme="minorBidi"/>
                <w:sz w:val="18"/>
                <w:szCs w:val="18"/>
              </w:rPr>
            </w:pPr>
          </w:p>
          <w:p w14:paraId="0FCD0CDD" w14:textId="77777777" w:rsidR="00821B82" w:rsidRPr="00812505" w:rsidRDefault="00821B82" w:rsidP="00282204">
            <w:pPr>
              <w:spacing w:after="0" w:line="240" w:lineRule="auto"/>
              <w:rPr>
                <w:rFonts w:asciiTheme="minorBidi" w:eastAsia="Times New Roman" w:hAnsiTheme="minorBidi"/>
                <w:sz w:val="18"/>
                <w:szCs w:val="18"/>
              </w:rPr>
            </w:pPr>
          </w:p>
          <w:p w14:paraId="48733661"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06F9F4A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3E2B036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132E7FB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79E6DF54" w14:textId="77777777" w:rsidR="00821B82" w:rsidRPr="00812505" w:rsidRDefault="00821B82" w:rsidP="00282204">
            <w:pPr>
              <w:spacing w:after="0" w:line="240" w:lineRule="auto"/>
              <w:rPr>
                <w:rFonts w:asciiTheme="minorBidi" w:eastAsia="Times New Roman" w:hAnsiTheme="minorBidi"/>
                <w:sz w:val="18"/>
                <w:szCs w:val="18"/>
              </w:rPr>
            </w:pPr>
          </w:p>
          <w:p w14:paraId="291294C6" w14:textId="77777777" w:rsidR="00821B82" w:rsidRPr="00812505" w:rsidRDefault="00821B82" w:rsidP="00282204">
            <w:pPr>
              <w:spacing w:after="0" w:line="240" w:lineRule="auto"/>
              <w:rPr>
                <w:rFonts w:asciiTheme="minorBidi" w:eastAsia="Times New Roman" w:hAnsiTheme="minorBidi"/>
                <w:sz w:val="18"/>
                <w:szCs w:val="18"/>
              </w:rPr>
            </w:pPr>
          </w:p>
          <w:p w14:paraId="48E24220"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2B0FA96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12E3B8B4" w14:textId="77777777" w:rsidR="00821B82" w:rsidRPr="00812505" w:rsidRDefault="00821B82" w:rsidP="00282204">
            <w:pPr>
              <w:spacing w:after="0" w:line="240" w:lineRule="auto"/>
              <w:rPr>
                <w:rFonts w:asciiTheme="minorBidi" w:eastAsia="Times New Roman" w:hAnsiTheme="minorBidi"/>
                <w:sz w:val="18"/>
                <w:szCs w:val="18"/>
              </w:rPr>
            </w:pPr>
          </w:p>
          <w:p w14:paraId="45319FC4" w14:textId="77777777" w:rsidR="00821B82" w:rsidRPr="00812505" w:rsidRDefault="00821B82" w:rsidP="00282204">
            <w:pPr>
              <w:spacing w:after="0" w:line="240" w:lineRule="auto"/>
              <w:rPr>
                <w:rFonts w:asciiTheme="minorBidi" w:eastAsia="Times New Roman" w:hAnsiTheme="minorBidi"/>
                <w:sz w:val="18"/>
                <w:szCs w:val="18"/>
              </w:rPr>
            </w:pPr>
          </w:p>
          <w:p w14:paraId="1BCAFBE5"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552E43E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059" w:type="dxa"/>
            <w:tcBorders>
              <w:top w:val="single" w:sz="4" w:space="0" w:color="auto"/>
            </w:tcBorders>
            <w:shd w:val="clear" w:color="auto" w:fill="auto"/>
            <w:vAlign w:val="center"/>
            <w:hideMark/>
          </w:tcPr>
          <w:p w14:paraId="6AF0BCB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8</w:t>
            </w:r>
          </w:p>
        </w:tc>
        <w:tc>
          <w:tcPr>
            <w:tcW w:w="1254" w:type="dxa"/>
            <w:tcBorders>
              <w:top w:val="single" w:sz="4" w:space="0" w:color="auto"/>
            </w:tcBorders>
            <w:shd w:val="clear" w:color="auto" w:fill="auto"/>
            <w:vAlign w:val="center"/>
            <w:hideMark/>
          </w:tcPr>
          <w:p w14:paraId="30851F6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w:t>
            </w:r>
          </w:p>
        </w:tc>
        <w:tc>
          <w:tcPr>
            <w:tcW w:w="956" w:type="dxa"/>
            <w:tcBorders>
              <w:top w:val="single" w:sz="4" w:space="0" w:color="auto"/>
            </w:tcBorders>
            <w:shd w:val="clear" w:color="auto" w:fill="auto"/>
            <w:vAlign w:val="center"/>
            <w:hideMark/>
          </w:tcPr>
          <w:p w14:paraId="7E12D21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33</w:t>
            </w:r>
          </w:p>
        </w:tc>
        <w:tc>
          <w:tcPr>
            <w:tcW w:w="1027" w:type="dxa"/>
            <w:tcBorders>
              <w:top w:val="single" w:sz="4" w:space="0" w:color="auto"/>
            </w:tcBorders>
            <w:shd w:val="clear" w:color="auto" w:fill="auto"/>
            <w:vAlign w:val="center"/>
            <w:hideMark/>
          </w:tcPr>
          <w:p w14:paraId="3312991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53</w:t>
            </w:r>
          </w:p>
        </w:tc>
        <w:tc>
          <w:tcPr>
            <w:tcW w:w="1320" w:type="dxa"/>
            <w:tcBorders>
              <w:top w:val="single" w:sz="4" w:space="0" w:color="auto"/>
            </w:tcBorders>
            <w:shd w:val="clear" w:color="auto" w:fill="auto"/>
            <w:vAlign w:val="center"/>
            <w:hideMark/>
          </w:tcPr>
          <w:p w14:paraId="6B88E8F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5 (4-5)</w:t>
            </w:r>
          </w:p>
        </w:tc>
        <w:tc>
          <w:tcPr>
            <w:tcW w:w="987" w:type="dxa"/>
            <w:vMerge w:val="restart"/>
            <w:tcBorders>
              <w:top w:val="single" w:sz="4" w:space="0" w:color="auto"/>
            </w:tcBorders>
            <w:shd w:val="clear" w:color="auto" w:fill="auto"/>
            <w:vAlign w:val="center"/>
            <w:hideMark/>
          </w:tcPr>
          <w:p w14:paraId="7E5D459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0.10</w:t>
            </w:r>
          </w:p>
          <w:p w14:paraId="5B44466A" w14:textId="77777777" w:rsidR="00821B82" w:rsidRPr="00812505" w:rsidRDefault="00821B82" w:rsidP="00282204">
            <w:pPr>
              <w:spacing w:after="0" w:line="240" w:lineRule="auto"/>
              <w:rPr>
                <w:rFonts w:asciiTheme="minorBidi" w:eastAsia="Times New Roman" w:hAnsiTheme="minorBidi"/>
                <w:sz w:val="18"/>
                <w:szCs w:val="18"/>
              </w:rPr>
            </w:pPr>
          </w:p>
          <w:p w14:paraId="654E3B21" w14:textId="77777777" w:rsidR="00821B82" w:rsidRPr="00812505" w:rsidRDefault="00821B82" w:rsidP="00282204">
            <w:pPr>
              <w:spacing w:after="0" w:line="240" w:lineRule="auto"/>
              <w:rPr>
                <w:rFonts w:asciiTheme="minorBidi" w:eastAsia="Times New Roman" w:hAnsiTheme="minorBidi"/>
                <w:sz w:val="18"/>
                <w:szCs w:val="18"/>
              </w:rPr>
            </w:pPr>
          </w:p>
          <w:p w14:paraId="053F4D0A"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1560F558" w14:textId="77777777" w:rsidTr="00282204">
        <w:trPr>
          <w:trHeight w:val="60"/>
        </w:trPr>
        <w:tc>
          <w:tcPr>
            <w:tcW w:w="3491" w:type="dxa"/>
            <w:vMerge/>
            <w:shd w:val="clear" w:color="auto" w:fill="auto"/>
            <w:vAlign w:val="center"/>
            <w:hideMark/>
          </w:tcPr>
          <w:p w14:paraId="57EAC4C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648B2303"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48CB1071"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31429D8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059" w:type="dxa"/>
            <w:shd w:val="clear" w:color="auto" w:fill="auto"/>
            <w:vAlign w:val="center"/>
            <w:hideMark/>
          </w:tcPr>
          <w:p w14:paraId="63A26C7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254" w:type="dxa"/>
            <w:shd w:val="clear" w:color="auto" w:fill="auto"/>
            <w:vAlign w:val="center"/>
            <w:hideMark/>
          </w:tcPr>
          <w:p w14:paraId="6928911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17</w:t>
            </w:r>
          </w:p>
        </w:tc>
        <w:tc>
          <w:tcPr>
            <w:tcW w:w="956" w:type="dxa"/>
            <w:shd w:val="clear" w:color="auto" w:fill="auto"/>
            <w:vAlign w:val="center"/>
            <w:hideMark/>
          </w:tcPr>
          <w:p w14:paraId="5453C4A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30</w:t>
            </w:r>
          </w:p>
        </w:tc>
        <w:tc>
          <w:tcPr>
            <w:tcW w:w="1027" w:type="dxa"/>
            <w:shd w:val="clear" w:color="auto" w:fill="auto"/>
            <w:vAlign w:val="center"/>
            <w:hideMark/>
          </w:tcPr>
          <w:p w14:paraId="2CAB05B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47</w:t>
            </w:r>
          </w:p>
        </w:tc>
        <w:tc>
          <w:tcPr>
            <w:tcW w:w="1320" w:type="dxa"/>
            <w:shd w:val="clear" w:color="auto" w:fill="auto"/>
            <w:vAlign w:val="center"/>
            <w:hideMark/>
          </w:tcPr>
          <w:p w14:paraId="3807244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(3.75-5)</w:t>
            </w:r>
          </w:p>
        </w:tc>
        <w:tc>
          <w:tcPr>
            <w:tcW w:w="987" w:type="dxa"/>
            <w:vMerge/>
            <w:shd w:val="clear" w:color="auto" w:fill="auto"/>
            <w:vAlign w:val="center"/>
            <w:hideMark/>
          </w:tcPr>
          <w:p w14:paraId="0507C017"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477FB7BC" w14:textId="77777777" w:rsidTr="00282204">
        <w:trPr>
          <w:trHeight w:val="60"/>
        </w:trPr>
        <w:tc>
          <w:tcPr>
            <w:tcW w:w="3491" w:type="dxa"/>
            <w:vMerge/>
            <w:shd w:val="clear" w:color="auto" w:fill="auto"/>
            <w:vAlign w:val="center"/>
            <w:hideMark/>
          </w:tcPr>
          <w:p w14:paraId="43B0F348"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7671E17A"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09E3FABD"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0A16CA0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059" w:type="dxa"/>
            <w:shd w:val="clear" w:color="auto" w:fill="auto"/>
            <w:vAlign w:val="center"/>
            <w:hideMark/>
          </w:tcPr>
          <w:p w14:paraId="275220B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254" w:type="dxa"/>
            <w:shd w:val="clear" w:color="auto" w:fill="auto"/>
            <w:vAlign w:val="center"/>
            <w:hideMark/>
          </w:tcPr>
          <w:p w14:paraId="14BD53E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15</w:t>
            </w:r>
          </w:p>
        </w:tc>
        <w:tc>
          <w:tcPr>
            <w:tcW w:w="956" w:type="dxa"/>
            <w:shd w:val="clear" w:color="auto" w:fill="auto"/>
            <w:vAlign w:val="center"/>
            <w:hideMark/>
          </w:tcPr>
          <w:p w14:paraId="3E48E62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52</w:t>
            </w:r>
          </w:p>
        </w:tc>
        <w:tc>
          <w:tcPr>
            <w:tcW w:w="1027" w:type="dxa"/>
            <w:shd w:val="clear" w:color="auto" w:fill="auto"/>
            <w:vAlign w:val="center"/>
            <w:hideMark/>
          </w:tcPr>
          <w:p w14:paraId="0DB2AEE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26</w:t>
            </w:r>
          </w:p>
        </w:tc>
        <w:tc>
          <w:tcPr>
            <w:tcW w:w="1320" w:type="dxa"/>
            <w:shd w:val="clear" w:color="auto" w:fill="auto"/>
            <w:vAlign w:val="center"/>
            <w:hideMark/>
          </w:tcPr>
          <w:p w14:paraId="1AEC9F0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(4-5)</w:t>
            </w:r>
          </w:p>
        </w:tc>
        <w:tc>
          <w:tcPr>
            <w:tcW w:w="987" w:type="dxa"/>
            <w:vMerge/>
            <w:shd w:val="clear" w:color="auto" w:fill="auto"/>
            <w:vAlign w:val="center"/>
            <w:hideMark/>
          </w:tcPr>
          <w:p w14:paraId="029C76A1"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592636F1" w14:textId="77777777" w:rsidTr="00282204">
        <w:trPr>
          <w:trHeight w:val="117"/>
        </w:trPr>
        <w:tc>
          <w:tcPr>
            <w:tcW w:w="3491" w:type="dxa"/>
            <w:vMerge/>
            <w:shd w:val="clear" w:color="auto" w:fill="auto"/>
            <w:vAlign w:val="center"/>
            <w:hideMark/>
          </w:tcPr>
          <w:p w14:paraId="09B87873"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04F19365"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42B0455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color w:val="264A60"/>
                <w:sz w:val="18"/>
                <w:szCs w:val="18"/>
              </w:rPr>
              <w:t>Future</w:t>
            </w:r>
          </w:p>
          <w:p w14:paraId="7F60BE31" w14:textId="77777777" w:rsidR="00821B82" w:rsidRPr="00812505" w:rsidRDefault="00821B82" w:rsidP="00282204">
            <w:pPr>
              <w:spacing w:after="0" w:line="240" w:lineRule="auto"/>
              <w:rPr>
                <w:rFonts w:asciiTheme="minorBidi" w:eastAsia="Times New Roman" w:hAnsiTheme="minorBidi"/>
                <w:sz w:val="18"/>
                <w:szCs w:val="18"/>
              </w:rPr>
            </w:pPr>
          </w:p>
          <w:p w14:paraId="3D6D68B8" w14:textId="77777777" w:rsidR="00821B82" w:rsidRPr="00812505" w:rsidRDefault="00821B82" w:rsidP="00282204">
            <w:pPr>
              <w:spacing w:after="0" w:line="240" w:lineRule="auto"/>
              <w:rPr>
                <w:rFonts w:asciiTheme="minorBidi" w:eastAsia="Times New Roman" w:hAnsiTheme="minorBidi"/>
                <w:sz w:val="18"/>
                <w:szCs w:val="18"/>
              </w:rPr>
            </w:pPr>
          </w:p>
          <w:p w14:paraId="29572BB1"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1033FEC5"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8</w:t>
            </w:r>
          </w:p>
        </w:tc>
        <w:tc>
          <w:tcPr>
            <w:tcW w:w="1059" w:type="dxa"/>
            <w:shd w:val="clear" w:color="auto" w:fill="auto"/>
            <w:vAlign w:val="center"/>
            <w:hideMark/>
          </w:tcPr>
          <w:p w14:paraId="35C17A6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254" w:type="dxa"/>
            <w:shd w:val="clear" w:color="auto" w:fill="auto"/>
            <w:vAlign w:val="center"/>
            <w:hideMark/>
          </w:tcPr>
          <w:p w14:paraId="5A8162A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w:t>
            </w:r>
          </w:p>
        </w:tc>
        <w:tc>
          <w:tcPr>
            <w:tcW w:w="956" w:type="dxa"/>
            <w:shd w:val="clear" w:color="auto" w:fill="auto"/>
            <w:vAlign w:val="center"/>
            <w:hideMark/>
          </w:tcPr>
          <w:p w14:paraId="30B3C64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22</w:t>
            </w:r>
          </w:p>
        </w:tc>
        <w:tc>
          <w:tcPr>
            <w:tcW w:w="1027" w:type="dxa"/>
            <w:shd w:val="clear" w:color="auto" w:fill="auto"/>
            <w:vAlign w:val="center"/>
            <w:hideMark/>
          </w:tcPr>
          <w:p w14:paraId="7BCAE23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67</w:t>
            </w:r>
          </w:p>
        </w:tc>
        <w:tc>
          <w:tcPr>
            <w:tcW w:w="1320" w:type="dxa"/>
            <w:shd w:val="clear" w:color="auto" w:fill="auto"/>
            <w:vAlign w:val="center"/>
            <w:hideMark/>
          </w:tcPr>
          <w:p w14:paraId="31564ACD"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 (4-5)</w:t>
            </w:r>
          </w:p>
        </w:tc>
        <w:tc>
          <w:tcPr>
            <w:tcW w:w="987" w:type="dxa"/>
            <w:vMerge w:val="restart"/>
            <w:shd w:val="clear" w:color="auto" w:fill="auto"/>
            <w:vAlign w:val="center"/>
            <w:hideMark/>
          </w:tcPr>
          <w:p w14:paraId="5680721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0.01*</w:t>
            </w:r>
          </w:p>
          <w:p w14:paraId="18A4B69E"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01FE86F8"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1C8C9B15"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2BBA6BD4" w14:textId="77777777" w:rsidTr="00282204">
        <w:trPr>
          <w:trHeight w:val="90"/>
        </w:trPr>
        <w:tc>
          <w:tcPr>
            <w:tcW w:w="3491" w:type="dxa"/>
            <w:vMerge/>
            <w:shd w:val="clear" w:color="auto" w:fill="auto"/>
            <w:vAlign w:val="center"/>
            <w:hideMark/>
          </w:tcPr>
          <w:p w14:paraId="2A16A2E1"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417357B9"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00F920B7"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7068AB0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059" w:type="dxa"/>
            <w:shd w:val="clear" w:color="auto" w:fill="auto"/>
            <w:vAlign w:val="center"/>
            <w:hideMark/>
          </w:tcPr>
          <w:p w14:paraId="7A76EFC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254" w:type="dxa"/>
            <w:shd w:val="clear" w:color="auto" w:fill="auto"/>
            <w:vAlign w:val="center"/>
            <w:hideMark/>
          </w:tcPr>
          <w:p w14:paraId="3FD8C95B"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956" w:type="dxa"/>
            <w:shd w:val="clear" w:color="auto" w:fill="auto"/>
            <w:vAlign w:val="center"/>
            <w:hideMark/>
          </w:tcPr>
          <w:p w14:paraId="7AB186D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30</w:t>
            </w:r>
          </w:p>
        </w:tc>
        <w:tc>
          <w:tcPr>
            <w:tcW w:w="1027" w:type="dxa"/>
            <w:shd w:val="clear" w:color="auto" w:fill="auto"/>
            <w:vAlign w:val="center"/>
            <w:hideMark/>
          </w:tcPr>
          <w:p w14:paraId="078EDDB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57</w:t>
            </w:r>
          </w:p>
        </w:tc>
        <w:tc>
          <w:tcPr>
            <w:tcW w:w="1320" w:type="dxa"/>
            <w:shd w:val="clear" w:color="auto" w:fill="auto"/>
            <w:vAlign w:val="center"/>
            <w:hideMark/>
          </w:tcPr>
          <w:p w14:paraId="0EDBA53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 (4-5)</w:t>
            </w:r>
          </w:p>
        </w:tc>
        <w:tc>
          <w:tcPr>
            <w:tcW w:w="987" w:type="dxa"/>
            <w:vMerge/>
            <w:shd w:val="clear" w:color="auto" w:fill="auto"/>
            <w:vAlign w:val="center"/>
            <w:hideMark/>
          </w:tcPr>
          <w:p w14:paraId="1B5F227A"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1D58587C" w14:textId="77777777" w:rsidTr="00282204">
        <w:trPr>
          <w:trHeight w:val="136"/>
        </w:trPr>
        <w:tc>
          <w:tcPr>
            <w:tcW w:w="3491" w:type="dxa"/>
            <w:vMerge/>
            <w:tcBorders>
              <w:bottom w:val="single" w:sz="4" w:space="0" w:color="auto"/>
            </w:tcBorders>
            <w:shd w:val="clear" w:color="auto" w:fill="auto"/>
            <w:vAlign w:val="center"/>
            <w:hideMark/>
          </w:tcPr>
          <w:p w14:paraId="29C75EC3"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608B21E6"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54A06432"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bottom w:val="single" w:sz="4" w:space="0" w:color="auto"/>
            </w:tcBorders>
            <w:shd w:val="clear" w:color="auto" w:fill="auto"/>
            <w:vAlign w:val="center"/>
            <w:hideMark/>
          </w:tcPr>
          <w:p w14:paraId="2830C4BB"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1059" w:type="dxa"/>
            <w:tcBorders>
              <w:bottom w:val="single" w:sz="4" w:space="0" w:color="auto"/>
            </w:tcBorders>
            <w:shd w:val="clear" w:color="auto" w:fill="auto"/>
            <w:vAlign w:val="center"/>
            <w:hideMark/>
          </w:tcPr>
          <w:p w14:paraId="71F8095B"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1254" w:type="dxa"/>
            <w:tcBorders>
              <w:bottom w:val="single" w:sz="4" w:space="0" w:color="auto"/>
            </w:tcBorders>
            <w:shd w:val="clear" w:color="auto" w:fill="auto"/>
            <w:vAlign w:val="center"/>
            <w:hideMark/>
          </w:tcPr>
          <w:p w14:paraId="538BD69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956" w:type="dxa"/>
            <w:tcBorders>
              <w:bottom w:val="single" w:sz="4" w:space="0" w:color="auto"/>
            </w:tcBorders>
            <w:shd w:val="clear" w:color="auto" w:fill="auto"/>
            <w:vAlign w:val="center"/>
            <w:hideMark/>
          </w:tcPr>
          <w:p w14:paraId="36B3C29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59</w:t>
            </w:r>
          </w:p>
        </w:tc>
        <w:tc>
          <w:tcPr>
            <w:tcW w:w="1027" w:type="dxa"/>
            <w:tcBorders>
              <w:bottom w:val="single" w:sz="4" w:space="0" w:color="auto"/>
            </w:tcBorders>
            <w:shd w:val="clear" w:color="auto" w:fill="auto"/>
            <w:vAlign w:val="center"/>
            <w:hideMark/>
          </w:tcPr>
          <w:p w14:paraId="293DA228"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26</w:t>
            </w:r>
          </w:p>
        </w:tc>
        <w:tc>
          <w:tcPr>
            <w:tcW w:w="1320" w:type="dxa"/>
            <w:tcBorders>
              <w:bottom w:val="single" w:sz="4" w:space="0" w:color="auto"/>
            </w:tcBorders>
            <w:shd w:val="clear" w:color="auto" w:fill="auto"/>
            <w:vAlign w:val="center"/>
            <w:hideMark/>
          </w:tcPr>
          <w:p w14:paraId="3C8296F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(4-5)</w:t>
            </w:r>
          </w:p>
        </w:tc>
        <w:tc>
          <w:tcPr>
            <w:tcW w:w="987" w:type="dxa"/>
            <w:vMerge/>
            <w:tcBorders>
              <w:bottom w:val="single" w:sz="4" w:space="0" w:color="auto"/>
            </w:tcBorders>
            <w:shd w:val="clear" w:color="auto" w:fill="auto"/>
            <w:vAlign w:val="center"/>
            <w:hideMark/>
          </w:tcPr>
          <w:p w14:paraId="78E5A784"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148F7003" w14:textId="77777777" w:rsidTr="00282204">
        <w:trPr>
          <w:trHeight w:val="206"/>
        </w:trPr>
        <w:tc>
          <w:tcPr>
            <w:tcW w:w="3491" w:type="dxa"/>
            <w:vMerge w:val="restart"/>
            <w:tcBorders>
              <w:top w:val="single" w:sz="4" w:space="0" w:color="auto"/>
            </w:tcBorders>
            <w:shd w:val="clear" w:color="auto" w:fill="auto"/>
            <w:vAlign w:val="center"/>
            <w:hideMark/>
          </w:tcPr>
          <w:p w14:paraId="6147455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Patient Counselling and Education</w:t>
            </w:r>
          </w:p>
          <w:p w14:paraId="063B1E14" w14:textId="77777777" w:rsidR="00821B82" w:rsidRPr="00812505" w:rsidRDefault="00821B82" w:rsidP="00282204">
            <w:pPr>
              <w:spacing w:after="0" w:line="240" w:lineRule="auto"/>
              <w:rPr>
                <w:rFonts w:asciiTheme="minorBidi" w:eastAsia="Times New Roman" w:hAnsiTheme="minorBidi"/>
                <w:sz w:val="18"/>
                <w:szCs w:val="18"/>
              </w:rPr>
            </w:pPr>
          </w:p>
          <w:p w14:paraId="24FD9D17" w14:textId="77777777" w:rsidR="00821B82" w:rsidRPr="00812505" w:rsidRDefault="00821B82" w:rsidP="00282204">
            <w:pPr>
              <w:spacing w:after="0" w:line="240" w:lineRule="auto"/>
              <w:rPr>
                <w:rFonts w:asciiTheme="minorBidi" w:eastAsia="Times New Roman" w:hAnsiTheme="minorBidi"/>
                <w:sz w:val="18"/>
                <w:szCs w:val="18"/>
              </w:rPr>
            </w:pPr>
          </w:p>
          <w:p w14:paraId="30803B3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426BBDB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3A59D31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23033F3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4E9D0D7A" w14:textId="77777777" w:rsidR="00821B82" w:rsidRPr="00812505" w:rsidRDefault="00821B82" w:rsidP="00282204">
            <w:pPr>
              <w:spacing w:after="0" w:line="240" w:lineRule="auto"/>
              <w:rPr>
                <w:rFonts w:asciiTheme="minorBidi" w:eastAsia="Times New Roman" w:hAnsiTheme="minorBidi"/>
                <w:sz w:val="18"/>
                <w:szCs w:val="18"/>
              </w:rPr>
            </w:pPr>
          </w:p>
          <w:p w14:paraId="7A1ADBC1" w14:textId="77777777" w:rsidR="00821B82" w:rsidRPr="00812505" w:rsidRDefault="00821B82" w:rsidP="00282204">
            <w:pPr>
              <w:spacing w:after="0" w:line="240" w:lineRule="auto"/>
              <w:rPr>
                <w:rFonts w:asciiTheme="minorBidi" w:eastAsia="Times New Roman" w:hAnsiTheme="minorBidi"/>
                <w:sz w:val="18"/>
                <w:szCs w:val="18"/>
              </w:rPr>
            </w:pPr>
          </w:p>
          <w:p w14:paraId="736D8487"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4B82345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5D1ECCD6" w14:textId="77777777" w:rsidR="00821B82" w:rsidRPr="00812505" w:rsidRDefault="00821B82" w:rsidP="00282204">
            <w:pPr>
              <w:spacing w:after="0" w:line="240" w:lineRule="auto"/>
              <w:rPr>
                <w:rFonts w:asciiTheme="minorBidi" w:eastAsia="Times New Roman" w:hAnsiTheme="minorBidi"/>
                <w:sz w:val="18"/>
                <w:szCs w:val="18"/>
              </w:rPr>
            </w:pPr>
          </w:p>
          <w:p w14:paraId="01A528C7" w14:textId="77777777" w:rsidR="00821B82" w:rsidRPr="00812505" w:rsidRDefault="00821B82" w:rsidP="00282204">
            <w:pPr>
              <w:spacing w:after="0" w:line="240" w:lineRule="auto"/>
              <w:rPr>
                <w:rFonts w:asciiTheme="minorBidi" w:eastAsia="Times New Roman" w:hAnsiTheme="minorBidi"/>
                <w:sz w:val="18"/>
                <w:szCs w:val="18"/>
              </w:rPr>
            </w:pPr>
          </w:p>
          <w:p w14:paraId="381A1783"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5C04BF6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w:t>
            </w:r>
          </w:p>
        </w:tc>
        <w:tc>
          <w:tcPr>
            <w:tcW w:w="1059" w:type="dxa"/>
            <w:tcBorders>
              <w:top w:val="single" w:sz="4" w:space="0" w:color="auto"/>
            </w:tcBorders>
            <w:shd w:val="clear" w:color="auto" w:fill="auto"/>
            <w:vAlign w:val="center"/>
            <w:hideMark/>
          </w:tcPr>
          <w:p w14:paraId="3D309EC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w:t>
            </w:r>
          </w:p>
        </w:tc>
        <w:tc>
          <w:tcPr>
            <w:tcW w:w="1254" w:type="dxa"/>
            <w:tcBorders>
              <w:top w:val="single" w:sz="4" w:space="0" w:color="auto"/>
            </w:tcBorders>
            <w:shd w:val="clear" w:color="auto" w:fill="auto"/>
            <w:vAlign w:val="center"/>
            <w:hideMark/>
          </w:tcPr>
          <w:p w14:paraId="0D48EF0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8</w:t>
            </w:r>
          </w:p>
        </w:tc>
        <w:tc>
          <w:tcPr>
            <w:tcW w:w="956" w:type="dxa"/>
            <w:tcBorders>
              <w:top w:val="single" w:sz="4" w:space="0" w:color="auto"/>
            </w:tcBorders>
            <w:shd w:val="clear" w:color="auto" w:fill="auto"/>
            <w:vAlign w:val="center"/>
            <w:hideMark/>
          </w:tcPr>
          <w:p w14:paraId="420676C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37</w:t>
            </w:r>
          </w:p>
        </w:tc>
        <w:tc>
          <w:tcPr>
            <w:tcW w:w="1027" w:type="dxa"/>
            <w:tcBorders>
              <w:top w:val="single" w:sz="4" w:space="0" w:color="auto"/>
            </w:tcBorders>
            <w:shd w:val="clear" w:color="auto" w:fill="auto"/>
            <w:vAlign w:val="center"/>
            <w:hideMark/>
          </w:tcPr>
          <w:p w14:paraId="0D07493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47</w:t>
            </w:r>
          </w:p>
        </w:tc>
        <w:tc>
          <w:tcPr>
            <w:tcW w:w="1320" w:type="dxa"/>
            <w:tcBorders>
              <w:top w:val="single" w:sz="4" w:space="0" w:color="auto"/>
            </w:tcBorders>
            <w:shd w:val="clear" w:color="auto" w:fill="auto"/>
            <w:vAlign w:val="center"/>
            <w:hideMark/>
          </w:tcPr>
          <w:p w14:paraId="6B91BC0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(4-5)</w:t>
            </w:r>
          </w:p>
        </w:tc>
        <w:tc>
          <w:tcPr>
            <w:tcW w:w="987" w:type="dxa"/>
            <w:vMerge w:val="restart"/>
            <w:tcBorders>
              <w:top w:val="single" w:sz="4" w:space="0" w:color="auto"/>
            </w:tcBorders>
            <w:shd w:val="clear" w:color="auto" w:fill="auto"/>
            <w:vAlign w:val="center"/>
            <w:hideMark/>
          </w:tcPr>
          <w:p w14:paraId="50E6E64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0.04*</w:t>
            </w:r>
          </w:p>
          <w:p w14:paraId="451C2EBE" w14:textId="77777777" w:rsidR="00821B82" w:rsidRPr="00812505" w:rsidRDefault="00821B82" w:rsidP="00282204">
            <w:pPr>
              <w:spacing w:after="0" w:line="240" w:lineRule="auto"/>
              <w:rPr>
                <w:rFonts w:asciiTheme="minorBidi" w:eastAsia="Times New Roman" w:hAnsiTheme="minorBidi"/>
                <w:sz w:val="18"/>
                <w:szCs w:val="18"/>
              </w:rPr>
            </w:pPr>
          </w:p>
          <w:p w14:paraId="653A14C6" w14:textId="77777777" w:rsidR="00821B82" w:rsidRPr="00812505" w:rsidRDefault="00821B82" w:rsidP="00282204">
            <w:pPr>
              <w:spacing w:after="0" w:line="240" w:lineRule="auto"/>
              <w:rPr>
                <w:rFonts w:asciiTheme="minorBidi" w:eastAsia="Times New Roman" w:hAnsiTheme="minorBidi"/>
                <w:sz w:val="18"/>
                <w:szCs w:val="18"/>
              </w:rPr>
            </w:pPr>
          </w:p>
          <w:p w14:paraId="003BE366"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0DFCA89B" w14:textId="77777777" w:rsidTr="00282204">
        <w:trPr>
          <w:trHeight w:val="62"/>
        </w:trPr>
        <w:tc>
          <w:tcPr>
            <w:tcW w:w="3491" w:type="dxa"/>
            <w:vMerge/>
            <w:shd w:val="clear" w:color="auto" w:fill="auto"/>
            <w:vAlign w:val="center"/>
            <w:hideMark/>
          </w:tcPr>
          <w:p w14:paraId="5DC8E028"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7E4C4828"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4F7932F2"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77A4570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059" w:type="dxa"/>
            <w:shd w:val="clear" w:color="auto" w:fill="auto"/>
            <w:vAlign w:val="center"/>
            <w:hideMark/>
          </w:tcPr>
          <w:p w14:paraId="76ABEE6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254" w:type="dxa"/>
            <w:shd w:val="clear" w:color="auto" w:fill="auto"/>
            <w:vAlign w:val="center"/>
            <w:hideMark/>
          </w:tcPr>
          <w:p w14:paraId="3CE5C24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956" w:type="dxa"/>
            <w:shd w:val="clear" w:color="auto" w:fill="auto"/>
            <w:vAlign w:val="center"/>
            <w:hideMark/>
          </w:tcPr>
          <w:p w14:paraId="555A138D"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40</w:t>
            </w:r>
          </w:p>
        </w:tc>
        <w:tc>
          <w:tcPr>
            <w:tcW w:w="1027" w:type="dxa"/>
            <w:shd w:val="clear" w:color="auto" w:fill="auto"/>
            <w:vAlign w:val="center"/>
            <w:hideMark/>
          </w:tcPr>
          <w:p w14:paraId="7BACDD3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50</w:t>
            </w:r>
          </w:p>
        </w:tc>
        <w:tc>
          <w:tcPr>
            <w:tcW w:w="1320" w:type="dxa"/>
            <w:shd w:val="clear" w:color="auto" w:fill="auto"/>
            <w:vAlign w:val="center"/>
            <w:hideMark/>
          </w:tcPr>
          <w:p w14:paraId="31AE79E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4.5 (4-5)</w:t>
            </w:r>
          </w:p>
        </w:tc>
        <w:tc>
          <w:tcPr>
            <w:tcW w:w="987" w:type="dxa"/>
            <w:vMerge/>
            <w:shd w:val="clear" w:color="auto" w:fill="auto"/>
            <w:vAlign w:val="center"/>
            <w:hideMark/>
          </w:tcPr>
          <w:p w14:paraId="0D86F89F"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597582D3" w14:textId="77777777" w:rsidTr="00282204">
        <w:trPr>
          <w:trHeight w:val="207"/>
        </w:trPr>
        <w:tc>
          <w:tcPr>
            <w:tcW w:w="3491" w:type="dxa"/>
            <w:vMerge/>
            <w:shd w:val="clear" w:color="auto" w:fill="auto"/>
            <w:vAlign w:val="center"/>
            <w:hideMark/>
          </w:tcPr>
          <w:p w14:paraId="30DD08AB"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2AA2511A"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300E2923"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2A4D03A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059" w:type="dxa"/>
            <w:shd w:val="clear" w:color="auto" w:fill="auto"/>
            <w:vAlign w:val="center"/>
            <w:hideMark/>
          </w:tcPr>
          <w:p w14:paraId="6790D7C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254" w:type="dxa"/>
            <w:shd w:val="clear" w:color="auto" w:fill="auto"/>
            <w:vAlign w:val="center"/>
            <w:hideMark/>
          </w:tcPr>
          <w:p w14:paraId="3AB2F88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15</w:t>
            </w:r>
          </w:p>
        </w:tc>
        <w:tc>
          <w:tcPr>
            <w:tcW w:w="956" w:type="dxa"/>
            <w:shd w:val="clear" w:color="auto" w:fill="auto"/>
            <w:vAlign w:val="center"/>
            <w:hideMark/>
          </w:tcPr>
          <w:p w14:paraId="7EF47FC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67</w:t>
            </w:r>
          </w:p>
        </w:tc>
        <w:tc>
          <w:tcPr>
            <w:tcW w:w="1027" w:type="dxa"/>
            <w:shd w:val="clear" w:color="auto" w:fill="auto"/>
            <w:vAlign w:val="center"/>
            <w:hideMark/>
          </w:tcPr>
          <w:p w14:paraId="04D7968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15</w:t>
            </w:r>
          </w:p>
        </w:tc>
        <w:tc>
          <w:tcPr>
            <w:tcW w:w="1320" w:type="dxa"/>
            <w:shd w:val="clear" w:color="auto" w:fill="auto"/>
            <w:vAlign w:val="center"/>
            <w:hideMark/>
          </w:tcPr>
          <w:p w14:paraId="5DB624E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(4-4)</w:t>
            </w:r>
          </w:p>
        </w:tc>
        <w:tc>
          <w:tcPr>
            <w:tcW w:w="987" w:type="dxa"/>
            <w:vMerge/>
            <w:shd w:val="clear" w:color="auto" w:fill="auto"/>
            <w:vAlign w:val="center"/>
            <w:hideMark/>
          </w:tcPr>
          <w:p w14:paraId="2FB1F7A0"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07DCBBF1" w14:textId="77777777" w:rsidTr="00282204">
        <w:trPr>
          <w:trHeight w:val="114"/>
        </w:trPr>
        <w:tc>
          <w:tcPr>
            <w:tcW w:w="3491" w:type="dxa"/>
            <w:vMerge/>
            <w:shd w:val="clear" w:color="auto" w:fill="auto"/>
            <w:vAlign w:val="center"/>
            <w:hideMark/>
          </w:tcPr>
          <w:p w14:paraId="0C28C05B"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12682586"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40743D9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Future</w:t>
            </w:r>
          </w:p>
          <w:p w14:paraId="466B1D93" w14:textId="77777777" w:rsidR="00821B82" w:rsidRPr="00812505" w:rsidRDefault="00821B82" w:rsidP="00282204">
            <w:pPr>
              <w:spacing w:after="0" w:line="240" w:lineRule="auto"/>
              <w:rPr>
                <w:rFonts w:asciiTheme="minorBidi" w:eastAsia="Times New Roman" w:hAnsiTheme="minorBidi"/>
                <w:sz w:val="18"/>
                <w:szCs w:val="18"/>
              </w:rPr>
            </w:pPr>
          </w:p>
          <w:p w14:paraId="165A5CD5"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23A8155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1059" w:type="dxa"/>
            <w:shd w:val="clear" w:color="auto" w:fill="auto"/>
            <w:vAlign w:val="center"/>
            <w:hideMark/>
          </w:tcPr>
          <w:p w14:paraId="0247B32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254" w:type="dxa"/>
            <w:shd w:val="clear" w:color="auto" w:fill="auto"/>
            <w:vAlign w:val="center"/>
            <w:hideMark/>
          </w:tcPr>
          <w:p w14:paraId="13AFAA85"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w:t>
            </w:r>
          </w:p>
        </w:tc>
        <w:tc>
          <w:tcPr>
            <w:tcW w:w="956" w:type="dxa"/>
            <w:shd w:val="clear" w:color="auto" w:fill="auto"/>
            <w:vAlign w:val="center"/>
            <w:hideMark/>
          </w:tcPr>
          <w:p w14:paraId="552D664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37</w:t>
            </w:r>
          </w:p>
        </w:tc>
        <w:tc>
          <w:tcPr>
            <w:tcW w:w="1027" w:type="dxa"/>
            <w:shd w:val="clear" w:color="auto" w:fill="auto"/>
            <w:vAlign w:val="center"/>
            <w:hideMark/>
          </w:tcPr>
          <w:p w14:paraId="49B9272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57</w:t>
            </w:r>
          </w:p>
        </w:tc>
        <w:tc>
          <w:tcPr>
            <w:tcW w:w="1320" w:type="dxa"/>
            <w:shd w:val="clear" w:color="auto" w:fill="auto"/>
            <w:vAlign w:val="center"/>
            <w:hideMark/>
          </w:tcPr>
          <w:p w14:paraId="5F1FE4F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 (4-5)</w:t>
            </w:r>
          </w:p>
        </w:tc>
        <w:tc>
          <w:tcPr>
            <w:tcW w:w="987" w:type="dxa"/>
            <w:vMerge w:val="restart"/>
            <w:shd w:val="clear" w:color="auto" w:fill="auto"/>
            <w:vAlign w:val="center"/>
            <w:hideMark/>
          </w:tcPr>
          <w:p w14:paraId="659F19B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0.04*</w:t>
            </w:r>
          </w:p>
          <w:p w14:paraId="23A965DB"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34B55222"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2B1CB872"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5E00A82B" w14:textId="77777777" w:rsidTr="00282204">
        <w:trPr>
          <w:trHeight w:val="189"/>
        </w:trPr>
        <w:tc>
          <w:tcPr>
            <w:tcW w:w="3491" w:type="dxa"/>
            <w:vMerge/>
            <w:shd w:val="clear" w:color="auto" w:fill="auto"/>
            <w:vAlign w:val="center"/>
            <w:hideMark/>
          </w:tcPr>
          <w:p w14:paraId="3A22CDD0"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643E866B"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4DB79940"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177F190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059" w:type="dxa"/>
            <w:shd w:val="clear" w:color="auto" w:fill="auto"/>
            <w:vAlign w:val="center"/>
            <w:hideMark/>
          </w:tcPr>
          <w:p w14:paraId="01F0B15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254" w:type="dxa"/>
            <w:shd w:val="clear" w:color="auto" w:fill="auto"/>
            <w:vAlign w:val="center"/>
            <w:hideMark/>
          </w:tcPr>
          <w:p w14:paraId="09CEF64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956" w:type="dxa"/>
            <w:shd w:val="clear" w:color="auto" w:fill="auto"/>
            <w:vAlign w:val="center"/>
            <w:hideMark/>
          </w:tcPr>
          <w:p w14:paraId="63CA955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37</w:t>
            </w:r>
          </w:p>
        </w:tc>
        <w:tc>
          <w:tcPr>
            <w:tcW w:w="1027" w:type="dxa"/>
            <w:shd w:val="clear" w:color="auto" w:fill="auto"/>
            <w:vAlign w:val="center"/>
            <w:hideMark/>
          </w:tcPr>
          <w:p w14:paraId="6DD077D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57</w:t>
            </w:r>
          </w:p>
        </w:tc>
        <w:tc>
          <w:tcPr>
            <w:tcW w:w="1320" w:type="dxa"/>
            <w:shd w:val="clear" w:color="auto" w:fill="auto"/>
            <w:vAlign w:val="center"/>
            <w:hideMark/>
          </w:tcPr>
          <w:p w14:paraId="7191B7E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 (4-5)</w:t>
            </w:r>
          </w:p>
        </w:tc>
        <w:tc>
          <w:tcPr>
            <w:tcW w:w="987" w:type="dxa"/>
            <w:vMerge/>
            <w:shd w:val="clear" w:color="auto" w:fill="auto"/>
            <w:vAlign w:val="center"/>
            <w:hideMark/>
          </w:tcPr>
          <w:p w14:paraId="7E4952F6"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203D51EC" w14:textId="77777777" w:rsidTr="00282204">
        <w:trPr>
          <w:trHeight w:val="63"/>
        </w:trPr>
        <w:tc>
          <w:tcPr>
            <w:tcW w:w="3491" w:type="dxa"/>
            <w:vMerge/>
            <w:tcBorders>
              <w:bottom w:val="single" w:sz="4" w:space="0" w:color="auto"/>
            </w:tcBorders>
            <w:shd w:val="clear" w:color="auto" w:fill="auto"/>
            <w:vAlign w:val="center"/>
            <w:hideMark/>
          </w:tcPr>
          <w:p w14:paraId="5A405CC0"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72331780"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2D197CF7"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bottom w:val="single" w:sz="4" w:space="0" w:color="auto"/>
            </w:tcBorders>
            <w:shd w:val="clear" w:color="auto" w:fill="auto"/>
            <w:vAlign w:val="center"/>
            <w:hideMark/>
          </w:tcPr>
          <w:p w14:paraId="45DBE61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1059" w:type="dxa"/>
            <w:tcBorders>
              <w:bottom w:val="single" w:sz="4" w:space="0" w:color="auto"/>
            </w:tcBorders>
            <w:shd w:val="clear" w:color="auto" w:fill="auto"/>
            <w:vAlign w:val="center"/>
            <w:hideMark/>
          </w:tcPr>
          <w:p w14:paraId="20181DA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254" w:type="dxa"/>
            <w:tcBorders>
              <w:bottom w:val="single" w:sz="4" w:space="0" w:color="auto"/>
            </w:tcBorders>
            <w:shd w:val="clear" w:color="auto" w:fill="auto"/>
            <w:vAlign w:val="center"/>
            <w:hideMark/>
          </w:tcPr>
          <w:p w14:paraId="5836B38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956" w:type="dxa"/>
            <w:tcBorders>
              <w:bottom w:val="single" w:sz="4" w:space="0" w:color="auto"/>
            </w:tcBorders>
            <w:shd w:val="clear" w:color="auto" w:fill="auto"/>
            <w:vAlign w:val="center"/>
            <w:hideMark/>
          </w:tcPr>
          <w:p w14:paraId="4592722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67</w:t>
            </w:r>
          </w:p>
        </w:tc>
        <w:tc>
          <w:tcPr>
            <w:tcW w:w="1027" w:type="dxa"/>
            <w:tcBorders>
              <w:bottom w:val="single" w:sz="4" w:space="0" w:color="auto"/>
            </w:tcBorders>
            <w:shd w:val="clear" w:color="auto" w:fill="auto"/>
            <w:vAlign w:val="center"/>
            <w:hideMark/>
          </w:tcPr>
          <w:p w14:paraId="1E3109E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22</w:t>
            </w:r>
          </w:p>
        </w:tc>
        <w:tc>
          <w:tcPr>
            <w:tcW w:w="1320" w:type="dxa"/>
            <w:tcBorders>
              <w:bottom w:val="single" w:sz="4" w:space="0" w:color="auto"/>
            </w:tcBorders>
            <w:shd w:val="clear" w:color="auto" w:fill="auto"/>
            <w:vAlign w:val="center"/>
            <w:hideMark/>
          </w:tcPr>
          <w:p w14:paraId="5A56637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(4-4)</w:t>
            </w:r>
          </w:p>
        </w:tc>
        <w:tc>
          <w:tcPr>
            <w:tcW w:w="987" w:type="dxa"/>
            <w:vMerge/>
            <w:tcBorders>
              <w:bottom w:val="single" w:sz="4" w:space="0" w:color="auto"/>
            </w:tcBorders>
            <w:shd w:val="clear" w:color="auto" w:fill="auto"/>
            <w:vAlign w:val="center"/>
            <w:hideMark/>
          </w:tcPr>
          <w:p w14:paraId="3F32F066"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5D111B7C" w14:textId="77777777" w:rsidTr="00282204">
        <w:trPr>
          <w:trHeight w:val="224"/>
        </w:trPr>
        <w:tc>
          <w:tcPr>
            <w:tcW w:w="3491" w:type="dxa"/>
            <w:vMerge w:val="restart"/>
            <w:tcBorders>
              <w:top w:val="single" w:sz="4" w:space="0" w:color="auto"/>
            </w:tcBorders>
            <w:shd w:val="clear" w:color="auto" w:fill="auto"/>
            <w:vAlign w:val="center"/>
            <w:hideMark/>
          </w:tcPr>
          <w:p w14:paraId="6B7C8E8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Healthy lifestyle Education</w:t>
            </w:r>
          </w:p>
          <w:p w14:paraId="24755319" w14:textId="77777777" w:rsidR="00821B82" w:rsidRPr="00812505" w:rsidRDefault="00821B82" w:rsidP="00282204">
            <w:pPr>
              <w:spacing w:after="0" w:line="240" w:lineRule="auto"/>
              <w:rPr>
                <w:rFonts w:asciiTheme="minorBidi" w:eastAsia="Times New Roman" w:hAnsiTheme="minorBidi"/>
                <w:sz w:val="18"/>
                <w:szCs w:val="18"/>
              </w:rPr>
            </w:pPr>
          </w:p>
          <w:p w14:paraId="4401AF70" w14:textId="77777777" w:rsidR="00821B82" w:rsidRPr="00812505" w:rsidRDefault="00821B82" w:rsidP="00282204">
            <w:pPr>
              <w:spacing w:after="0" w:line="240" w:lineRule="auto"/>
              <w:rPr>
                <w:rFonts w:asciiTheme="minorBidi" w:eastAsia="Times New Roman" w:hAnsiTheme="minorBidi"/>
                <w:sz w:val="18"/>
                <w:szCs w:val="18"/>
              </w:rPr>
            </w:pPr>
          </w:p>
          <w:p w14:paraId="0FB42EDC" w14:textId="77777777" w:rsidR="00821B82" w:rsidRPr="00812505" w:rsidRDefault="00821B82" w:rsidP="00282204">
            <w:pPr>
              <w:spacing w:after="0" w:line="240" w:lineRule="auto"/>
              <w:rPr>
                <w:rFonts w:asciiTheme="minorBidi" w:eastAsia="Times New Roman" w:hAnsiTheme="minorBidi"/>
                <w:sz w:val="18"/>
                <w:szCs w:val="18"/>
              </w:rPr>
            </w:pPr>
          </w:p>
          <w:p w14:paraId="0E76793A"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72156E9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3B40DD3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4272732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3BB8442F" w14:textId="77777777" w:rsidR="00821B82" w:rsidRPr="00812505" w:rsidRDefault="00821B82" w:rsidP="00282204">
            <w:pPr>
              <w:spacing w:after="0" w:line="240" w:lineRule="auto"/>
              <w:rPr>
                <w:rFonts w:asciiTheme="minorBidi" w:eastAsia="Times New Roman" w:hAnsiTheme="minorBidi"/>
                <w:sz w:val="18"/>
                <w:szCs w:val="18"/>
              </w:rPr>
            </w:pPr>
          </w:p>
          <w:p w14:paraId="271C8E93" w14:textId="77777777" w:rsidR="00821B82" w:rsidRPr="00812505" w:rsidRDefault="00821B82" w:rsidP="00282204">
            <w:pPr>
              <w:spacing w:after="0" w:line="240" w:lineRule="auto"/>
              <w:rPr>
                <w:rFonts w:asciiTheme="minorBidi" w:eastAsia="Times New Roman" w:hAnsiTheme="minorBidi"/>
                <w:sz w:val="18"/>
                <w:szCs w:val="18"/>
              </w:rPr>
            </w:pPr>
          </w:p>
          <w:p w14:paraId="0D966C88"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5ECE49B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2AEDCC31" w14:textId="77777777" w:rsidR="00821B82" w:rsidRPr="00812505" w:rsidRDefault="00821B82" w:rsidP="00282204">
            <w:pPr>
              <w:spacing w:after="0" w:line="240" w:lineRule="auto"/>
              <w:rPr>
                <w:rFonts w:asciiTheme="minorBidi" w:eastAsia="Times New Roman" w:hAnsiTheme="minorBidi"/>
                <w:sz w:val="18"/>
                <w:szCs w:val="18"/>
              </w:rPr>
            </w:pPr>
          </w:p>
          <w:p w14:paraId="7FBF32D0" w14:textId="77777777" w:rsidR="00821B82" w:rsidRPr="00812505" w:rsidRDefault="00821B82" w:rsidP="00282204">
            <w:pPr>
              <w:spacing w:after="0" w:line="240" w:lineRule="auto"/>
              <w:rPr>
                <w:rFonts w:asciiTheme="minorBidi" w:eastAsia="Times New Roman" w:hAnsiTheme="minorBidi"/>
                <w:sz w:val="18"/>
                <w:szCs w:val="18"/>
              </w:rPr>
            </w:pPr>
          </w:p>
          <w:p w14:paraId="650D4C8C"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4A3E81C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w:t>
            </w:r>
          </w:p>
        </w:tc>
        <w:tc>
          <w:tcPr>
            <w:tcW w:w="1059" w:type="dxa"/>
            <w:tcBorders>
              <w:top w:val="single" w:sz="4" w:space="0" w:color="auto"/>
            </w:tcBorders>
            <w:shd w:val="clear" w:color="auto" w:fill="auto"/>
            <w:vAlign w:val="center"/>
            <w:hideMark/>
          </w:tcPr>
          <w:p w14:paraId="5B05B73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18</w:t>
            </w:r>
          </w:p>
        </w:tc>
        <w:tc>
          <w:tcPr>
            <w:tcW w:w="1254" w:type="dxa"/>
            <w:tcBorders>
              <w:top w:val="single" w:sz="4" w:space="0" w:color="auto"/>
            </w:tcBorders>
            <w:shd w:val="clear" w:color="auto" w:fill="auto"/>
            <w:vAlign w:val="center"/>
            <w:hideMark/>
          </w:tcPr>
          <w:p w14:paraId="05527F7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22</w:t>
            </w:r>
          </w:p>
        </w:tc>
        <w:tc>
          <w:tcPr>
            <w:tcW w:w="956" w:type="dxa"/>
            <w:tcBorders>
              <w:top w:val="single" w:sz="4" w:space="0" w:color="auto"/>
            </w:tcBorders>
            <w:shd w:val="clear" w:color="auto" w:fill="auto"/>
            <w:vAlign w:val="center"/>
            <w:hideMark/>
          </w:tcPr>
          <w:p w14:paraId="48F1B55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35</w:t>
            </w:r>
          </w:p>
        </w:tc>
        <w:tc>
          <w:tcPr>
            <w:tcW w:w="1027" w:type="dxa"/>
            <w:tcBorders>
              <w:top w:val="single" w:sz="4" w:space="0" w:color="auto"/>
            </w:tcBorders>
            <w:shd w:val="clear" w:color="auto" w:fill="auto"/>
            <w:vAlign w:val="center"/>
            <w:hideMark/>
          </w:tcPr>
          <w:p w14:paraId="7BC625F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18</w:t>
            </w:r>
          </w:p>
        </w:tc>
        <w:tc>
          <w:tcPr>
            <w:tcW w:w="1320" w:type="dxa"/>
            <w:tcBorders>
              <w:top w:val="single" w:sz="4" w:space="0" w:color="auto"/>
            </w:tcBorders>
            <w:shd w:val="clear" w:color="auto" w:fill="auto"/>
            <w:vAlign w:val="center"/>
            <w:hideMark/>
          </w:tcPr>
          <w:p w14:paraId="7BAB556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(2.5-4)</w:t>
            </w:r>
          </w:p>
        </w:tc>
        <w:tc>
          <w:tcPr>
            <w:tcW w:w="987" w:type="dxa"/>
            <w:vMerge w:val="restart"/>
            <w:tcBorders>
              <w:top w:val="single" w:sz="4" w:space="0" w:color="auto"/>
            </w:tcBorders>
            <w:shd w:val="clear" w:color="auto" w:fill="auto"/>
            <w:vAlign w:val="center"/>
            <w:hideMark/>
          </w:tcPr>
          <w:p w14:paraId="76F79D1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0.05*</w:t>
            </w:r>
          </w:p>
          <w:p w14:paraId="14526B60" w14:textId="77777777" w:rsidR="00821B82" w:rsidRPr="00812505" w:rsidRDefault="00821B82" w:rsidP="00282204">
            <w:pPr>
              <w:spacing w:after="0" w:line="240" w:lineRule="auto"/>
              <w:rPr>
                <w:rFonts w:asciiTheme="minorBidi" w:eastAsia="Times New Roman" w:hAnsiTheme="minorBidi"/>
                <w:sz w:val="18"/>
                <w:szCs w:val="18"/>
              </w:rPr>
            </w:pPr>
          </w:p>
          <w:p w14:paraId="38EE0AA2" w14:textId="77777777" w:rsidR="00821B82" w:rsidRPr="00812505" w:rsidRDefault="00821B82" w:rsidP="00282204">
            <w:pPr>
              <w:spacing w:after="0" w:line="240" w:lineRule="auto"/>
              <w:rPr>
                <w:rFonts w:asciiTheme="minorBidi" w:eastAsia="Times New Roman" w:hAnsiTheme="minorBidi"/>
                <w:sz w:val="18"/>
                <w:szCs w:val="18"/>
              </w:rPr>
            </w:pPr>
          </w:p>
          <w:p w14:paraId="1F1AAAA4"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261E8325" w14:textId="77777777" w:rsidTr="00282204">
        <w:trPr>
          <w:trHeight w:val="81"/>
        </w:trPr>
        <w:tc>
          <w:tcPr>
            <w:tcW w:w="3491" w:type="dxa"/>
            <w:vMerge/>
            <w:shd w:val="clear" w:color="auto" w:fill="auto"/>
            <w:vAlign w:val="center"/>
            <w:hideMark/>
          </w:tcPr>
          <w:p w14:paraId="74584FF1"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7AFFBFF7"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40746AD4"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4D3329D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059" w:type="dxa"/>
            <w:shd w:val="clear" w:color="auto" w:fill="auto"/>
            <w:vAlign w:val="center"/>
            <w:hideMark/>
          </w:tcPr>
          <w:p w14:paraId="3ED933B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w:t>
            </w:r>
          </w:p>
        </w:tc>
        <w:tc>
          <w:tcPr>
            <w:tcW w:w="1254" w:type="dxa"/>
            <w:shd w:val="clear" w:color="auto" w:fill="auto"/>
            <w:vAlign w:val="center"/>
            <w:hideMark/>
          </w:tcPr>
          <w:p w14:paraId="2DA1AAB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20</w:t>
            </w:r>
          </w:p>
        </w:tc>
        <w:tc>
          <w:tcPr>
            <w:tcW w:w="956" w:type="dxa"/>
            <w:shd w:val="clear" w:color="auto" w:fill="auto"/>
            <w:vAlign w:val="center"/>
            <w:hideMark/>
          </w:tcPr>
          <w:p w14:paraId="2E1E903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43</w:t>
            </w:r>
          </w:p>
        </w:tc>
        <w:tc>
          <w:tcPr>
            <w:tcW w:w="1027" w:type="dxa"/>
            <w:shd w:val="clear" w:color="auto" w:fill="auto"/>
            <w:vAlign w:val="center"/>
            <w:hideMark/>
          </w:tcPr>
          <w:p w14:paraId="658F32C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30</w:t>
            </w:r>
          </w:p>
        </w:tc>
        <w:tc>
          <w:tcPr>
            <w:tcW w:w="1320" w:type="dxa"/>
            <w:shd w:val="clear" w:color="auto" w:fill="auto"/>
            <w:vAlign w:val="center"/>
            <w:hideMark/>
          </w:tcPr>
          <w:p w14:paraId="419B908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(3-5)</w:t>
            </w:r>
          </w:p>
        </w:tc>
        <w:tc>
          <w:tcPr>
            <w:tcW w:w="987" w:type="dxa"/>
            <w:vMerge/>
            <w:shd w:val="clear" w:color="auto" w:fill="auto"/>
            <w:vAlign w:val="center"/>
            <w:hideMark/>
          </w:tcPr>
          <w:p w14:paraId="0804402C"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3C6786F7" w14:textId="77777777" w:rsidTr="00282204">
        <w:trPr>
          <w:trHeight w:val="234"/>
        </w:trPr>
        <w:tc>
          <w:tcPr>
            <w:tcW w:w="3491" w:type="dxa"/>
            <w:vMerge/>
            <w:shd w:val="clear" w:color="auto" w:fill="auto"/>
            <w:vAlign w:val="center"/>
            <w:hideMark/>
          </w:tcPr>
          <w:p w14:paraId="7B99EDE4"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5B4840A8"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7DE55E8B"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636901D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11</w:t>
            </w:r>
          </w:p>
        </w:tc>
        <w:tc>
          <w:tcPr>
            <w:tcW w:w="1059" w:type="dxa"/>
            <w:shd w:val="clear" w:color="auto" w:fill="auto"/>
            <w:vAlign w:val="center"/>
            <w:hideMark/>
          </w:tcPr>
          <w:p w14:paraId="4E778A9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254" w:type="dxa"/>
            <w:shd w:val="clear" w:color="auto" w:fill="auto"/>
            <w:vAlign w:val="center"/>
            <w:hideMark/>
          </w:tcPr>
          <w:p w14:paraId="5B0B95C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19</w:t>
            </w:r>
          </w:p>
        </w:tc>
        <w:tc>
          <w:tcPr>
            <w:tcW w:w="956" w:type="dxa"/>
            <w:shd w:val="clear" w:color="auto" w:fill="auto"/>
            <w:vAlign w:val="center"/>
            <w:hideMark/>
          </w:tcPr>
          <w:p w14:paraId="667D902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63</w:t>
            </w:r>
          </w:p>
        </w:tc>
        <w:tc>
          <w:tcPr>
            <w:tcW w:w="1027" w:type="dxa"/>
            <w:shd w:val="clear" w:color="auto" w:fill="auto"/>
            <w:vAlign w:val="center"/>
            <w:hideMark/>
          </w:tcPr>
          <w:p w14:paraId="7A0F8C4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320" w:type="dxa"/>
            <w:shd w:val="clear" w:color="auto" w:fill="auto"/>
            <w:vAlign w:val="center"/>
            <w:hideMark/>
          </w:tcPr>
          <w:p w14:paraId="4186039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(3-4)</w:t>
            </w:r>
          </w:p>
        </w:tc>
        <w:tc>
          <w:tcPr>
            <w:tcW w:w="987" w:type="dxa"/>
            <w:vMerge/>
            <w:shd w:val="clear" w:color="auto" w:fill="auto"/>
            <w:vAlign w:val="center"/>
            <w:hideMark/>
          </w:tcPr>
          <w:p w14:paraId="4D43C849"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6728C40D" w14:textId="77777777" w:rsidTr="00282204">
        <w:trPr>
          <w:trHeight w:val="60"/>
        </w:trPr>
        <w:tc>
          <w:tcPr>
            <w:tcW w:w="3491" w:type="dxa"/>
            <w:vMerge/>
            <w:shd w:val="clear" w:color="auto" w:fill="auto"/>
            <w:vAlign w:val="center"/>
            <w:hideMark/>
          </w:tcPr>
          <w:p w14:paraId="6AB18187"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36C3030B"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72587F2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color w:val="264A60"/>
                <w:sz w:val="18"/>
                <w:szCs w:val="18"/>
              </w:rPr>
              <w:t>Future</w:t>
            </w:r>
          </w:p>
          <w:p w14:paraId="48130A48" w14:textId="77777777" w:rsidR="00821B82" w:rsidRPr="00812505" w:rsidRDefault="00821B82" w:rsidP="00282204">
            <w:pPr>
              <w:spacing w:after="0" w:line="240" w:lineRule="auto"/>
              <w:rPr>
                <w:rFonts w:asciiTheme="minorBidi" w:eastAsia="Times New Roman" w:hAnsiTheme="minorBidi"/>
                <w:sz w:val="18"/>
                <w:szCs w:val="18"/>
              </w:rPr>
            </w:pPr>
          </w:p>
          <w:p w14:paraId="1D7E439A" w14:textId="77777777" w:rsidR="00821B82" w:rsidRPr="00812505" w:rsidRDefault="00821B82" w:rsidP="00282204">
            <w:pPr>
              <w:spacing w:after="0" w:line="240" w:lineRule="auto"/>
              <w:rPr>
                <w:rFonts w:asciiTheme="minorBidi" w:eastAsia="Times New Roman" w:hAnsiTheme="minorBidi"/>
                <w:sz w:val="18"/>
                <w:szCs w:val="18"/>
              </w:rPr>
            </w:pPr>
          </w:p>
          <w:p w14:paraId="0FF41D73"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231A889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w:t>
            </w:r>
          </w:p>
        </w:tc>
        <w:tc>
          <w:tcPr>
            <w:tcW w:w="1059" w:type="dxa"/>
            <w:shd w:val="clear" w:color="auto" w:fill="auto"/>
            <w:vAlign w:val="center"/>
            <w:hideMark/>
          </w:tcPr>
          <w:p w14:paraId="4BF6CB1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12</w:t>
            </w:r>
          </w:p>
        </w:tc>
        <w:tc>
          <w:tcPr>
            <w:tcW w:w="1254" w:type="dxa"/>
            <w:shd w:val="clear" w:color="auto" w:fill="auto"/>
            <w:vAlign w:val="center"/>
            <w:hideMark/>
          </w:tcPr>
          <w:p w14:paraId="55DA211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29</w:t>
            </w:r>
          </w:p>
        </w:tc>
        <w:tc>
          <w:tcPr>
            <w:tcW w:w="956" w:type="dxa"/>
            <w:shd w:val="clear" w:color="auto" w:fill="auto"/>
            <w:vAlign w:val="center"/>
            <w:hideMark/>
          </w:tcPr>
          <w:p w14:paraId="2C33A91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35</w:t>
            </w:r>
          </w:p>
        </w:tc>
        <w:tc>
          <w:tcPr>
            <w:tcW w:w="1027" w:type="dxa"/>
            <w:shd w:val="clear" w:color="auto" w:fill="auto"/>
            <w:vAlign w:val="center"/>
            <w:hideMark/>
          </w:tcPr>
          <w:p w14:paraId="54EA093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22</w:t>
            </w:r>
          </w:p>
        </w:tc>
        <w:tc>
          <w:tcPr>
            <w:tcW w:w="1320" w:type="dxa"/>
            <w:shd w:val="clear" w:color="auto" w:fill="auto"/>
            <w:vAlign w:val="center"/>
            <w:hideMark/>
          </w:tcPr>
          <w:p w14:paraId="316FFEC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(3-4)</w:t>
            </w:r>
          </w:p>
        </w:tc>
        <w:tc>
          <w:tcPr>
            <w:tcW w:w="987" w:type="dxa"/>
            <w:vMerge w:val="restart"/>
            <w:shd w:val="clear" w:color="auto" w:fill="auto"/>
            <w:vAlign w:val="center"/>
            <w:hideMark/>
          </w:tcPr>
          <w:p w14:paraId="308E384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0.13</w:t>
            </w:r>
          </w:p>
          <w:p w14:paraId="5B115AF9"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43DBED3B"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08EADAF4" w14:textId="77777777" w:rsidTr="00282204">
        <w:trPr>
          <w:trHeight w:val="81"/>
        </w:trPr>
        <w:tc>
          <w:tcPr>
            <w:tcW w:w="3491" w:type="dxa"/>
            <w:vMerge/>
            <w:shd w:val="clear" w:color="auto" w:fill="auto"/>
            <w:vAlign w:val="center"/>
            <w:hideMark/>
          </w:tcPr>
          <w:p w14:paraId="21F61BD6"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7996B6E8"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25F3DE24"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179DC84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059" w:type="dxa"/>
            <w:shd w:val="clear" w:color="auto" w:fill="auto"/>
            <w:vAlign w:val="center"/>
            <w:hideMark/>
          </w:tcPr>
          <w:p w14:paraId="1B19CE7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w:t>
            </w:r>
          </w:p>
        </w:tc>
        <w:tc>
          <w:tcPr>
            <w:tcW w:w="1254" w:type="dxa"/>
            <w:shd w:val="clear" w:color="auto" w:fill="auto"/>
            <w:vAlign w:val="center"/>
            <w:hideMark/>
          </w:tcPr>
          <w:p w14:paraId="4811C627"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17</w:t>
            </w:r>
          </w:p>
        </w:tc>
        <w:tc>
          <w:tcPr>
            <w:tcW w:w="956" w:type="dxa"/>
            <w:shd w:val="clear" w:color="auto" w:fill="auto"/>
            <w:vAlign w:val="center"/>
            <w:hideMark/>
          </w:tcPr>
          <w:p w14:paraId="6CEB9EBB"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40</w:t>
            </w:r>
          </w:p>
        </w:tc>
        <w:tc>
          <w:tcPr>
            <w:tcW w:w="1027" w:type="dxa"/>
            <w:shd w:val="clear" w:color="auto" w:fill="auto"/>
            <w:vAlign w:val="center"/>
            <w:hideMark/>
          </w:tcPr>
          <w:p w14:paraId="26356099"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40</w:t>
            </w:r>
          </w:p>
        </w:tc>
        <w:tc>
          <w:tcPr>
            <w:tcW w:w="1320" w:type="dxa"/>
            <w:shd w:val="clear" w:color="auto" w:fill="auto"/>
            <w:vAlign w:val="center"/>
            <w:hideMark/>
          </w:tcPr>
          <w:p w14:paraId="68C7A06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(4-5)</w:t>
            </w:r>
          </w:p>
        </w:tc>
        <w:tc>
          <w:tcPr>
            <w:tcW w:w="987" w:type="dxa"/>
            <w:vMerge/>
            <w:shd w:val="clear" w:color="auto" w:fill="auto"/>
            <w:vAlign w:val="center"/>
            <w:hideMark/>
          </w:tcPr>
          <w:p w14:paraId="4D607810"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4735FA52" w14:textId="77777777" w:rsidTr="00282204">
        <w:trPr>
          <w:trHeight w:val="60"/>
        </w:trPr>
        <w:tc>
          <w:tcPr>
            <w:tcW w:w="3491" w:type="dxa"/>
            <w:vMerge/>
            <w:tcBorders>
              <w:bottom w:val="single" w:sz="4" w:space="0" w:color="auto"/>
            </w:tcBorders>
            <w:shd w:val="clear" w:color="auto" w:fill="auto"/>
            <w:vAlign w:val="center"/>
            <w:hideMark/>
          </w:tcPr>
          <w:p w14:paraId="34DE6DA7"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54215D2F"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1F00B2C9"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bottom w:val="single" w:sz="4" w:space="0" w:color="auto"/>
            </w:tcBorders>
            <w:shd w:val="clear" w:color="auto" w:fill="auto"/>
            <w:vAlign w:val="center"/>
            <w:hideMark/>
          </w:tcPr>
          <w:p w14:paraId="78D79345"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w:t>
            </w:r>
          </w:p>
        </w:tc>
        <w:tc>
          <w:tcPr>
            <w:tcW w:w="1059" w:type="dxa"/>
            <w:tcBorders>
              <w:bottom w:val="single" w:sz="4" w:space="0" w:color="auto"/>
            </w:tcBorders>
            <w:shd w:val="clear" w:color="auto" w:fill="auto"/>
            <w:vAlign w:val="center"/>
            <w:hideMark/>
          </w:tcPr>
          <w:p w14:paraId="0139BE7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254" w:type="dxa"/>
            <w:tcBorders>
              <w:bottom w:val="single" w:sz="4" w:space="0" w:color="auto"/>
            </w:tcBorders>
            <w:shd w:val="clear" w:color="auto" w:fill="auto"/>
            <w:vAlign w:val="center"/>
            <w:hideMark/>
          </w:tcPr>
          <w:p w14:paraId="1F4DCE8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15</w:t>
            </w:r>
          </w:p>
        </w:tc>
        <w:tc>
          <w:tcPr>
            <w:tcW w:w="956" w:type="dxa"/>
            <w:tcBorders>
              <w:bottom w:val="single" w:sz="4" w:space="0" w:color="auto"/>
            </w:tcBorders>
            <w:shd w:val="clear" w:color="auto" w:fill="auto"/>
            <w:vAlign w:val="center"/>
            <w:hideMark/>
          </w:tcPr>
          <w:p w14:paraId="06F7DF78"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59</w:t>
            </w:r>
          </w:p>
        </w:tc>
        <w:tc>
          <w:tcPr>
            <w:tcW w:w="1027" w:type="dxa"/>
            <w:tcBorders>
              <w:bottom w:val="single" w:sz="4" w:space="0" w:color="auto"/>
            </w:tcBorders>
            <w:shd w:val="clear" w:color="auto" w:fill="auto"/>
            <w:vAlign w:val="center"/>
            <w:hideMark/>
          </w:tcPr>
          <w:p w14:paraId="6E44AAD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22</w:t>
            </w:r>
          </w:p>
        </w:tc>
        <w:tc>
          <w:tcPr>
            <w:tcW w:w="1320" w:type="dxa"/>
            <w:tcBorders>
              <w:bottom w:val="single" w:sz="4" w:space="0" w:color="auto"/>
            </w:tcBorders>
            <w:shd w:val="clear" w:color="auto" w:fill="auto"/>
            <w:vAlign w:val="center"/>
            <w:hideMark/>
          </w:tcPr>
          <w:p w14:paraId="5B5ACAB1"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(4-4)</w:t>
            </w:r>
          </w:p>
        </w:tc>
        <w:tc>
          <w:tcPr>
            <w:tcW w:w="987" w:type="dxa"/>
            <w:vMerge/>
            <w:tcBorders>
              <w:bottom w:val="single" w:sz="4" w:space="0" w:color="auto"/>
            </w:tcBorders>
            <w:shd w:val="clear" w:color="auto" w:fill="auto"/>
            <w:vAlign w:val="center"/>
            <w:hideMark/>
          </w:tcPr>
          <w:p w14:paraId="451EBC98"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239035F0" w14:textId="77777777" w:rsidTr="00282204">
        <w:trPr>
          <w:trHeight w:val="98"/>
        </w:trPr>
        <w:tc>
          <w:tcPr>
            <w:tcW w:w="3491" w:type="dxa"/>
            <w:vMerge w:val="restart"/>
            <w:tcBorders>
              <w:top w:val="single" w:sz="4" w:space="0" w:color="auto"/>
            </w:tcBorders>
            <w:shd w:val="clear" w:color="auto" w:fill="auto"/>
            <w:vAlign w:val="center"/>
            <w:hideMark/>
          </w:tcPr>
          <w:p w14:paraId="7CD0F33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Dependent Prescribing of Diabetes Medications</w:t>
            </w:r>
          </w:p>
          <w:p w14:paraId="770FF74C" w14:textId="77777777" w:rsidR="00821B82" w:rsidRPr="00812505" w:rsidRDefault="00821B82" w:rsidP="00282204">
            <w:pPr>
              <w:spacing w:after="0" w:line="240" w:lineRule="auto"/>
              <w:rPr>
                <w:rFonts w:asciiTheme="minorBidi" w:eastAsia="Times New Roman" w:hAnsiTheme="minorBidi"/>
                <w:sz w:val="18"/>
                <w:szCs w:val="18"/>
              </w:rPr>
            </w:pPr>
          </w:p>
          <w:p w14:paraId="3A8F08EF" w14:textId="77777777" w:rsidR="00821B82" w:rsidRPr="00812505" w:rsidRDefault="00821B82" w:rsidP="00282204">
            <w:pPr>
              <w:spacing w:after="0" w:line="240" w:lineRule="auto"/>
              <w:rPr>
                <w:rFonts w:asciiTheme="minorBidi" w:eastAsia="Times New Roman" w:hAnsiTheme="minorBidi"/>
                <w:sz w:val="18"/>
                <w:szCs w:val="18"/>
              </w:rPr>
            </w:pPr>
          </w:p>
          <w:p w14:paraId="1C568913" w14:textId="77777777" w:rsidR="00821B82" w:rsidRPr="00812505" w:rsidRDefault="00821B82" w:rsidP="00282204">
            <w:pPr>
              <w:spacing w:after="0" w:line="240" w:lineRule="auto"/>
              <w:rPr>
                <w:rFonts w:asciiTheme="minorBidi" w:eastAsia="Times New Roman" w:hAnsiTheme="minorBidi"/>
                <w:sz w:val="18"/>
                <w:szCs w:val="18"/>
              </w:rPr>
            </w:pPr>
          </w:p>
          <w:p w14:paraId="3ED565FC"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1BB6445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3A68CEF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61D8C24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53A1205D" w14:textId="77777777" w:rsidR="00821B82" w:rsidRPr="00812505" w:rsidRDefault="00821B82" w:rsidP="00282204">
            <w:pPr>
              <w:spacing w:after="0" w:line="240" w:lineRule="auto"/>
              <w:rPr>
                <w:rFonts w:asciiTheme="minorBidi" w:eastAsia="Times New Roman" w:hAnsiTheme="minorBidi"/>
                <w:sz w:val="18"/>
                <w:szCs w:val="18"/>
              </w:rPr>
            </w:pPr>
          </w:p>
          <w:p w14:paraId="67636713"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6B76353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30E38B38" w14:textId="77777777" w:rsidR="00821B82" w:rsidRPr="00812505" w:rsidRDefault="00821B82" w:rsidP="00282204">
            <w:pPr>
              <w:spacing w:after="0" w:line="240" w:lineRule="auto"/>
              <w:rPr>
                <w:rFonts w:asciiTheme="minorBidi" w:eastAsia="Times New Roman" w:hAnsiTheme="minorBidi"/>
                <w:sz w:val="18"/>
                <w:szCs w:val="18"/>
              </w:rPr>
            </w:pPr>
          </w:p>
          <w:p w14:paraId="2460A4E8" w14:textId="77777777" w:rsidR="00821B82" w:rsidRPr="00812505" w:rsidRDefault="00821B82" w:rsidP="00282204">
            <w:pPr>
              <w:spacing w:after="0" w:line="240" w:lineRule="auto"/>
              <w:rPr>
                <w:rFonts w:asciiTheme="minorBidi" w:eastAsia="Times New Roman" w:hAnsiTheme="minorBidi"/>
                <w:sz w:val="18"/>
                <w:szCs w:val="18"/>
              </w:rPr>
            </w:pPr>
          </w:p>
          <w:p w14:paraId="2AA32FA6"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5167C53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12</w:t>
            </w:r>
          </w:p>
        </w:tc>
        <w:tc>
          <w:tcPr>
            <w:tcW w:w="1059" w:type="dxa"/>
            <w:tcBorders>
              <w:top w:val="single" w:sz="4" w:space="0" w:color="auto"/>
            </w:tcBorders>
            <w:shd w:val="clear" w:color="auto" w:fill="auto"/>
            <w:vAlign w:val="center"/>
            <w:hideMark/>
          </w:tcPr>
          <w:p w14:paraId="150523D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20</w:t>
            </w:r>
          </w:p>
        </w:tc>
        <w:tc>
          <w:tcPr>
            <w:tcW w:w="1254" w:type="dxa"/>
            <w:tcBorders>
              <w:top w:val="single" w:sz="4" w:space="0" w:color="auto"/>
            </w:tcBorders>
            <w:shd w:val="clear" w:color="auto" w:fill="auto"/>
            <w:vAlign w:val="center"/>
            <w:hideMark/>
          </w:tcPr>
          <w:p w14:paraId="013C178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10</w:t>
            </w:r>
          </w:p>
        </w:tc>
        <w:tc>
          <w:tcPr>
            <w:tcW w:w="956" w:type="dxa"/>
            <w:tcBorders>
              <w:top w:val="single" w:sz="4" w:space="0" w:color="auto"/>
            </w:tcBorders>
            <w:shd w:val="clear" w:color="auto" w:fill="auto"/>
            <w:vAlign w:val="center"/>
            <w:hideMark/>
          </w:tcPr>
          <w:p w14:paraId="795EEFD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41</w:t>
            </w:r>
          </w:p>
        </w:tc>
        <w:tc>
          <w:tcPr>
            <w:tcW w:w="1027" w:type="dxa"/>
            <w:tcBorders>
              <w:top w:val="single" w:sz="4" w:space="0" w:color="auto"/>
            </w:tcBorders>
            <w:shd w:val="clear" w:color="auto" w:fill="auto"/>
            <w:vAlign w:val="center"/>
            <w:hideMark/>
          </w:tcPr>
          <w:p w14:paraId="4A237FC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16</w:t>
            </w:r>
          </w:p>
        </w:tc>
        <w:tc>
          <w:tcPr>
            <w:tcW w:w="1320" w:type="dxa"/>
            <w:tcBorders>
              <w:top w:val="single" w:sz="4" w:space="0" w:color="auto"/>
            </w:tcBorders>
            <w:shd w:val="clear" w:color="auto" w:fill="auto"/>
            <w:vAlign w:val="center"/>
            <w:hideMark/>
          </w:tcPr>
          <w:p w14:paraId="4EEA63C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(2-4)</w:t>
            </w:r>
          </w:p>
        </w:tc>
        <w:tc>
          <w:tcPr>
            <w:tcW w:w="987" w:type="dxa"/>
            <w:vMerge w:val="restart"/>
            <w:tcBorders>
              <w:top w:val="single" w:sz="4" w:space="0" w:color="auto"/>
            </w:tcBorders>
            <w:shd w:val="clear" w:color="auto" w:fill="auto"/>
            <w:vAlign w:val="center"/>
            <w:hideMark/>
          </w:tcPr>
          <w:p w14:paraId="11031C7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0.06</w:t>
            </w:r>
          </w:p>
          <w:p w14:paraId="3F66EFA5" w14:textId="77777777" w:rsidR="00821B82" w:rsidRPr="00812505" w:rsidRDefault="00821B82" w:rsidP="00282204">
            <w:pPr>
              <w:spacing w:after="0" w:line="240" w:lineRule="auto"/>
              <w:rPr>
                <w:rFonts w:asciiTheme="minorBidi" w:eastAsia="Times New Roman" w:hAnsiTheme="minorBidi"/>
                <w:sz w:val="18"/>
                <w:szCs w:val="18"/>
              </w:rPr>
            </w:pPr>
          </w:p>
          <w:p w14:paraId="6B04698D" w14:textId="77777777" w:rsidR="00821B82" w:rsidRPr="00812505" w:rsidRDefault="00821B82" w:rsidP="00282204">
            <w:pPr>
              <w:spacing w:after="0" w:line="240" w:lineRule="auto"/>
              <w:rPr>
                <w:rFonts w:asciiTheme="minorBidi" w:eastAsia="Times New Roman" w:hAnsiTheme="minorBidi"/>
                <w:sz w:val="18"/>
                <w:szCs w:val="18"/>
              </w:rPr>
            </w:pPr>
          </w:p>
          <w:p w14:paraId="2352338C"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3A4C89BA" w14:textId="77777777" w:rsidTr="00282204">
        <w:trPr>
          <w:trHeight w:val="72"/>
        </w:trPr>
        <w:tc>
          <w:tcPr>
            <w:tcW w:w="3491" w:type="dxa"/>
            <w:vMerge/>
            <w:shd w:val="clear" w:color="auto" w:fill="auto"/>
            <w:vAlign w:val="center"/>
            <w:hideMark/>
          </w:tcPr>
          <w:p w14:paraId="6E71F4E0"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24CC3A86"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49EDF7FA"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494F0EB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059" w:type="dxa"/>
            <w:shd w:val="clear" w:color="auto" w:fill="auto"/>
            <w:vAlign w:val="center"/>
            <w:hideMark/>
          </w:tcPr>
          <w:p w14:paraId="78F4FEC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13</w:t>
            </w:r>
          </w:p>
        </w:tc>
        <w:tc>
          <w:tcPr>
            <w:tcW w:w="1254" w:type="dxa"/>
            <w:shd w:val="clear" w:color="auto" w:fill="auto"/>
            <w:vAlign w:val="center"/>
            <w:hideMark/>
          </w:tcPr>
          <w:p w14:paraId="69DE6F1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30</w:t>
            </w:r>
          </w:p>
        </w:tc>
        <w:tc>
          <w:tcPr>
            <w:tcW w:w="956" w:type="dxa"/>
            <w:shd w:val="clear" w:color="auto" w:fill="auto"/>
            <w:vAlign w:val="center"/>
            <w:hideMark/>
          </w:tcPr>
          <w:p w14:paraId="1558565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37</w:t>
            </w:r>
          </w:p>
        </w:tc>
        <w:tc>
          <w:tcPr>
            <w:tcW w:w="1027" w:type="dxa"/>
            <w:shd w:val="clear" w:color="auto" w:fill="auto"/>
            <w:vAlign w:val="center"/>
            <w:hideMark/>
          </w:tcPr>
          <w:p w14:paraId="78F6108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20</w:t>
            </w:r>
          </w:p>
        </w:tc>
        <w:tc>
          <w:tcPr>
            <w:tcW w:w="1320" w:type="dxa"/>
            <w:shd w:val="clear" w:color="auto" w:fill="auto"/>
            <w:vAlign w:val="center"/>
            <w:hideMark/>
          </w:tcPr>
          <w:p w14:paraId="12E56769"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(3-4)</w:t>
            </w:r>
          </w:p>
        </w:tc>
        <w:tc>
          <w:tcPr>
            <w:tcW w:w="987" w:type="dxa"/>
            <w:vMerge/>
            <w:shd w:val="clear" w:color="auto" w:fill="auto"/>
            <w:vAlign w:val="center"/>
            <w:hideMark/>
          </w:tcPr>
          <w:p w14:paraId="05BCE291"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323F87A4" w14:textId="77777777" w:rsidTr="00282204">
        <w:trPr>
          <w:trHeight w:val="60"/>
        </w:trPr>
        <w:tc>
          <w:tcPr>
            <w:tcW w:w="3491" w:type="dxa"/>
            <w:vMerge/>
            <w:shd w:val="clear" w:color="auto" w:fill="auto"/>
            <w:vAlign w:val="center"/>
            <w:hideMark/>
          </w:tcPr>
          <w:p w14:paraId="254C6F20"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004FEE34"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1571F09F"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4F28D24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059" w:type="dxa"/>
            <w:shd w:val="clear" w:color="auto" w:fill="auto"/>
            <w:vAlign w:val="center"/>
            <w:hideMark/>
          </w:tcPr>
          <w:p w14:paraId="6C183083"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7</w:t>
            </w:r>
          </w:p>
        </w:tc>
        <w:tc>
          <w:tcPr>
            <w:tcW w:w="1254" w:type="dxa"/>
            <w:shd w:val="clear" w:color="auto" w:fill="auto"/>
            <w:vAlign w:val="center"/>
            <w:hideMark/>
          </w:tcPr>
          <w:p w14:paraId="7709F68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15</w:t>
            </w:r>
          </w:p>
        </w:tc>
        <w:tc>
          <w:tcPr>
            <w:tcW w:w="956" w:type="dxa"/>
            <w:shd w:val="clear" w:color="auto" w:fill="auto"/>
            <w:vAlign w:val="center"/>
            <w:hideMark/>
          </w:tcPr>
          <w:p w14:paraId="5443199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67</w:t>
            </w:r>
          </w:p>
        </w:tc>
        <w:tc>
          <w:tcPr>
            <w:tcW w:w="1027" w:type="dxa"/>
            <w:shd w:val="clear" w:color="auto" w:fill="auto"/>
            <w:vAlign w:val="center"/>
            <w:hideMark/>
          </w:tcPr>
          <w:p w14:paraId="2D38B40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7</w:t>
            </w:r>
          </w:p>
        </w:tc>
        <w:tc>
          <w:tcPr>
            <w:tcW w:w="1320" w:type="dxa"/>
            <w:shd w:val="clear" w:color="auto" w:fill="auto"/>
            <w:vAlign w:val="center"/>
            <w:hideMark/>
          </w:tcPr>
          <w:p w14:paraId="735E6C84"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(3-4)</w:t>
            </w:r>
          </w:p>
        </w:tc>
        <w:tc>
          <w:tcPr>
            <w:tcW w:w="987" w:type="dxa"/>
            <w:vMerge/>
            <w:shd w:val="clear" w:color="auto" w:fill="auto"/>
            <w:vAlign w:val="center"/>
            <w:hideMark/>
          </w:tcPr>
          <w:p w14:paraId="08760236"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46713DDC" w14:textId="77777777" w:rsidTr="00282204">
        <w:trPr>
          <w:trHeight w:val="60"/>
        </w:trPr>
        <w:tc>
          <w:tcPr>
            <w:tcW w:w="3491" w:type="dxa"/>
            <w:vMerge/>
            <w:shd w:val="clear" w:color="auto" w:fill="auto"/>
            <w:vAlign w:val="center"/>
            <w:hideMark/>
          </w:tcPr>
          <w:p w14:paraId="4A4376FE"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1938D501"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34503BF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color w:val="264A60"/>
                <w:sz w:val="18"/>
                <w:szCs w:val="18"/>
              </w:rPr>
              <w:t>Future</w:t>
            </w:r>
          </w:p>
          <w:p w14:paraId="051939D7" w14:textId="77777777" w:rsidR="00821B82" w:rsidRPr="00812505" w:rsidRDefault="00821B82" w:rsidP="00282204">
            <w:pPr>
              <w:spacing w:after="0" w:line="240" w:lineRule="auto"/>
              <w:rPr>
                <w:rFonts w:asciiTheme="minorBidi" w:eastAsia="Times New Roman" w:hAnsiTheme="minorBidi"/>
                <w:sz w:val="18"/>
                <w:szCs w:val="18"/>
              </w:rPr>
            </w:pPr>
          </w:p>
          <w:p w14:paraId="33CCAF0B" w14:textId="77777777" w:rsidR="00821B82" w:rsidRPr="00812505" w:rsidRDefault="00821B82" w:rsidP="00282204">
            <w:pPr>
              <w:spacing w:after="0" w:line="240" w:lineRule="auto"/>
              <w:rPr>
                <w:rFonts w:asciiTheme="minorBidi" w:eastAsia="Times New Roman" w:hAnsiTheme="minorBidi"/>
                <w:sz w:val="18"/>
                <w:szCs w:val="18"/>
              </w:rPr>
            </w:pPr>
          </w:p>
          <w:p w14:paraId="4E640CD7"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6F4D77C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10</w:t>
            </w:r>
          </w:p>
        </w:tc>
        <w:tc>
          <w:tcPr>
            <w:tcW w:w="1059" w:type="dxa"/>
            <w:shd w:val="clear" w:color="auto" w:fill="auto"/>
            <w:vAlign w:val="center"/>
            <w:hideMark/>
          </w:tcPr>
          <w:p w14:paraId="09F83DA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10</w:t>
            </w:r>
          </w:p>
        </w:tc>
        <w:tc>
          <w:tcPr>
            <w:tcW w:w="1254" w:type="dxa"/>
            <w:shd w:val="clear" w:color="auto" w:fill="auto"/>
            <w:vAlign w:val="center"/>
            <w:hideMark/>
          </w:tcPr>
          <w:p w14:paraId="1361B9A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8</w:t>
            </w:r>
          </w:p>
        </w:tc>
        <w:tc>
          <w:tcPr>
            <w:tcW w:w="956" w:type="dxa"/>
            <w:shd w:val="clear" w:color="auto" w:fill="auto"/>
            <w:vAlign w:val="center"/>
            <w:hideMark/>
          </w:tcPr>
          <w:p w14:paraId="271B5BC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45</w:t>
            </w:r>
          </w:p>
        </w:tc>
        <w:tc>
          <w:tcPr>
            <w:tcW w:w="1027" w:type="dxa"/>
            <w:shd w:val="clear" w:color="auto" w:fill="auto"/>
            <w:vAlign w:val="center"/>
            <w:hideMark/>
          </w:tcPr>
          <w:p w14:paraId="5F9C0E7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27</w:t>
            </w:r>
          </w:p>
        </w:tc>
        <w:tc>
          <w:tcPr>
            <w:tcW w:w="1320" w:type="dxa"/>
            <w:shd w:val="clear" w:color="auto" w:fill="auto"/>
            <w:vAlign w:val="center"/>
            <w:hideMark/>
          </w:tcPr>
          <w:p w14:paraId="00E502F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(3-5)</w:t>
            </w:r>
          </w:p>
        </w:tc>
        <w:tc>
          <w:tcPr>
            <w:tcW w:w="987" w:type="dxa"/>
            <w:vMerge w:val="restart"/>
            <w:shd w:val="clear" w:color="auto" w:fill="auto"/>
            <w:vAlign w:val="center"/>
            <w:hideMark/>
          </w:tcPr>
          <w:p w14:paraId="6CB0907B"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0.02*</w:t>
            </w:r>
          </w:p>
          <w:p w14:paraId="4CA3A017"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3C417CD4"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375EAF20"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08F28DCF" w14:textId="77777777" w:rsidTr="00282204">
        <w:trPr>
          <w:trHeight w:val="81"/>
        </w:trPr>
        <w:tc>
          <w:tcPr>
            <w:tcW w:w="3491" w:type="dxa"/>
            <w:vMerge/>
            <w:shd w:val="clear" w:color="auto" w:fill="auto"/>
            <w:vAlign w:val="center"/>
            <w:hideMark/>
          </w:tcPr>
          <w:p w14:paraId="015EF598"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33008570"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360BDC87"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0017E6E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059" w:type="dxa"/>
            <w:shd w:val="clear" w:color="auto" w:fill="auto"/>
            <w:vAlign w:val="center"/>
            <w:hideMark/>
          </w:tcPr>
          <w:p w14:paraId="3002ACA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13</w:t>
            </w:r>
          </w:p>
        </w:tc>
        <w:tc>
          <w:tcPr>
            <w:tcW w:w="1254" w:type="dxa"/>
            <w:shd w:val="clear" w:color="auto" w:fill="auto"/>
            <w:vAlign w:val="center"/>
            <w:hideMark/>
          </w:tcPr>
          <w:p w14:paraId="71A5352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30</w:t>
            </w:r>
          </w:p>
        </w:tc>
        <w:tc>
          <w:tcPr>
            <w:tcW w:w="956" w:type="dxa"/>
            <w:shd w:val="clear" w:color="auto" w:fill="auto"/>
            <w:vAlign w:val="center"/>
            <w:hideMark/>
          </w:tcPr>
          <w:p w14:paraId="69F4845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27</w:t>
            </w:r>
          </w:p>
        </w:tc>
        <w:tc>
          <w:tcPr>
            <w:tcW w:w="1027" w:type="dxa"/>
            <w:shd w:val="clear" w:color="auto" w:fill="auto"/>
            <w:vAlign w:val="center"/>
            <w:hideMark/>
          </w:tcPr>
          <w:p w14:paraId="6485C49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30</w:t>
            </w:r>
          </w:p>
        </w:tc>
        <w:tc>
          <w:tcPr>
            <w:tcW w:w="1320" w:type="dxa"/>
            <w:shd w:val="clear" w:color="auto" w:fill="auto"/>
            <w:vAlign w:val="center"/>
            <w:hideMark/>
          </w:tcPr>
          <w:p w14:paraId="7AD2A2A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(3-5)</w:t>
            </w:r>
          </w:p>
        </w:tc>
        <w:tc>
          <w:tcPr>
            <w:tcW w:w="987" w:type="dxa"/>
            <w:vMerge/>
            <w:shd w:val="clear" w:color="auto" w:fill="auto"/>
            <w:vAlign w:val="center"/>
            <w:hideMark/>
          </w:tcPr>
          <w:p w14:paraId="7DB7A2EE"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0860E7D7" w14:textId="77777777" w:rsidTr="00282204">
        <w:trPr>
          <w:trHeight w:val="60"/>
        </w:trPr>
        <w:tc>
          <w:tcPr>
            <w:tcW w:w="3491" w:type="dxa"/>
            <w:vMerge/>
            <w:tcBorders>
              <w:bottom w:val="single" w:sz="4" w:space="0" w:color="auto"/>
            </w:tcBorders>
            <w:shd w:val="clear" w:color="auto" w:fill="auto"/>
            <w:vAlign w:val="center"/>
            <w:hideMark/>
          </w:tcPr>
          <w:p w14:paraId="5C36EFBA"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42978EE2"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4B51458C"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bottom w:val="single" w:sz="4" w:space="0" w:color="auto"/>
            </w:tcBorders>
            <w:shd w:val="clear" w:color="auto" w:fill="auto"/>
            <w:vAlign w:val="center"/>
            <w:hideMark/>
          </w:tcPr>
          <w:p w14:paraId="07E5F6B6"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1059" w:type="dxa"/>
            <w:tcBorders>
              <w:bottom w:val="single" w:sz="4" w:space="0" w:color="auto"/>
            </w:tcBorders>
            <w:shd w:val="clear" w:color="auto" w:fill="auto"/>
            <w:vAlign w:val="center"/>
            <w:hideMark/>
          </w:tcPr>
          <w:p w14:paraId="1C365858"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1254" w:type="dxa"/>
            <w:tcBorders>
              <w:bottom w:val="single" w:sz="4" w:space="0" w:color="auto"/>
            </w:tcBorders>
            <w:shd w:val="clear" w:color="auto" w:fill="auto"/>
            <w:vAlign w:val="center"/>
            <w:hideMark/>
          </w:tcPr>
          <w:p w14:paraId="6BE7F298"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956" w:type="dxa"/>
            <w:tcBorders>
              <w:bottom w:val="single" w:sz="4" w:space="0" w:color="auto"/>
            </w:tcBorders>
            <w:shd w:val="clear" w:color="auto" w:fill="auto"/>
            <w:vAlign w:val="center"/>
            <w:hideMark/>
          </w:tcPr>
          <w:p w14:paraId="3C52AE2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67</w:t>
            </w:r>
          </w:p>
        </w:tc>
        <w:tc>
          <w:tcPr>
            <w:tcW w:w="1027" w:type="dxa"/>
            <w:tcBorders>
              <w:bottom w:val="single" w:sz="4" w:space="0" w:color="auto"/>
            </w:tcBorders>
            <w:shd w:val="clear" w:color="auto" w:fill="auto"/>
            <w:vAlign w:val="center"/>
            <w:hideMark/>
          </w:tcPr>
          <w:p w14:paraId="4AEED3A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11</w:t>
            </w:r>
          </w:p>
        </w:tc>
        <w:tc>
          <w:tcPr>
            <w:tcW w:w="1320" w:type="dxa"/>
            <w:tcBorders>
              <w:bottom w:val="single" w:sz="4" w:space="0" w:color="auto"/>
            </w:tcBorders>
            <w:shd w:val="clear" w:color="auto" w:fill="auto"/>
            <w:vAlign w:val="center"/>
            <w:hideMark/>
          </w:tcPr>
          <w:p w14:paraId="473B435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(4-4)</w:t>
            </w:r>
          </w:p>
        </w:tc>
        <w:tc>
          <w:tcPr>
            <w:tcW w:w="987" w:type="dxa"/>
            <w:vMerge/>
            <w:tcBorders>
              <w:bottom w:val="single" w:sz="4" w:space="0" w:color="auto"/>
            </w:tcBorders>
            <w:shd w:val="clear" w:color="auto" w:fill="auto"/>
            <w:vAlign w:val="center"/>
            <w:hideMark/>
          </w:tcPr>
          <w:p w14:paraId="4793B3AE"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3A35E992" w14:textId="77777777" w:rsidTr="00282204">
        <w:trPr>
          <w:trHeight w:val="50"/>
        </w:trPr>
        <w:tc>
          <w:tcPr>
            <w:tcW w:w="3491" w:type="dxa"/>
            <w:vMerge w:val="restart"/>
            <w:tcBorders>
              <w:top w:val="single" w:sz="4" w:space="0" w:color="auto"/>
            </w:tcBorders>
            <w:shd w:val="clear" w:color="auto" w:fill="auto"/>
            <w:vAlign w:val="center"/>
            <w:hideMark/>
          </w:tcPr>
          <w:p w14:paraId="08AADD7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Independent Prescribing of Diabetes Medications</w:t>
            </w:r>
          </w:p>
          <w:p w14:paraId="1DFF57E8" w14:textId="77777777" w:rsidR="00821B82" w:rsidRPr="00812505" w:rsidRDefault="00821B82" w:rsidP="00282204">
            <w:pPr>
              <w:spacing w:after="0" w:line="240" w:lineRule="auto"/>
              <w:rPr>
                <w:rFonts w:asciiTheme="minorBidi" w:eastAsia="Times New Roman" w:hAnsiTheme="minorBidi"/>
                <w:sz w:val="18"/>
                <w:szCs w:val="18"/>
              </w:rPr>
            </w:pPr>
          </w:p>
          <w:p w14:paraId="67DC16CD" w14:textId="77777777" w:rsidR="00821B82" w:rsidRPr="00812505" w:rsidRDefault="00821B82" w:rsidP="00282204">
            <w:pPr>
              <w:spacing w:after="0" w:line="240" w:lineRule="auto"/>
              <w:rPr>
                <w:rFonts w:asciiTheme="minorBidi" w:eastAsia="Times New Roman" w:hAnsiTheme="minorBidi"/>
                <w:sz w:val="18"/>
                <w:szCs w:val="18"/>
              </w:rPr>
            </w:pPr>
          </w:p>
          <w:p w14:paraId="0163A72B"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val="restart"/>
            <w:tcBorders>
              <w:top w:val="single" w:sz="4" w:space="0" w:color="auto"/>
            </w:tcBorders>
            <w:shd w:val="clear" w:color="auto" w:fill="auto"/>
            <w:vAlign w:val="center"/>
            <w:hideMark/>
          </w:tcPr>
          <w:p w14:paraId="6710D74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Doctor</w:t>
            </w:r>
          </w:p>
          <w:p w14:paraId="0C20145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Pharmacist</w:t>
            </w:r>
          </w:p>
          <w:p w14:paraId="45B92678"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Nurse</w:t>
            </w:r>
          </w:p>
          <w:p w14:paraId="6B05B3C4" w14:textId="77777777" w:rsidR="00821B82" w:rsidRPr="00812505" w:rsidRDefault="00821B82" w:rsidP="00282204">
            <w:pPr>
              <w:spacing w:after="0" w:line="240" w:lineRule="auto"/>
              <w:rPr>
                <w:rFonts w:asciiTheme="minorBidi" w:eastAsia="Times New Roman" w:hAnsiTheme="minorBidi"/>
                <w:sz w:val="18"/>
                <w:szCs w:val="18"/>
              </w:rPr>
            </w:pPr>
          </w:p>
          <w:p w14:paraId="54CE4ECD" w14:textId="77777777" w:rsidR="00821B82" w:rsidRPr="00812505" w:rsidRDefault="00821B82" w:rsidP="00282204">
            <w:pPr>
              <w:spacing w:after="0" w:line="240" w:lineRule="auto"/>
              <w:rPr>
                <w:rFonts w:asciiTheme="minorBidi" w:eastAsia="Times New Roman" w:hAnsiTheme="minorBidi"/>
                <w:sz w:val="18"/>
                <w:szCs w:val="18"/>
              </w:rPr>
            </w:pPr>
          </w:p>
          <w:p w14:paraId="09B1FE32"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tcBorders>
              <w:top w:val="single" w:sz="4" w:space="0" w:color="auto"/>
            </w:tcBorders>
            <w:shd w:val="clear" w:color="auto" w:fill="auto"/>
            <w:vAlign w:val="center"/>
            <w:hideMark/>
          </w:tcPr>
          <w:p w14:paraId="0C7170F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Current</w:t>
            </w:r>
          </w:p>
          <w:p w14:paraId="7707CBC2" w14:textId="77777777" w:rsidR="00821B82" w:rsidRPr="00812505" w:rsidRDefault="00821B82" w:rsidP="00282204">
            <w:pPr>
              <w:spacing w:after="0" w:line="240" w:lineRule="auto"/>
              <w:rPr>
                <w:rFonts w:asciiTheme="minorBidi" w:eastAsia="Times New Roman" w:hAnsiTheme="minorBidi"/>
                <w:sz w:val="18"/>
                <w:szCs w:val="18"/>
              </w:rPr>
            </w:pPr>
          </w:p>
          <w:p w14:paraId="0120C060" w14:textId="77777777" w:rsidR="00821B82" w:rsidRPr="00812505" w:rsidRDefault="00821B82" w:rsidP="00282204">
            <w:pPr>
              <w:spacing w:after="0" w:line="240" w:lineRule="auto"/>
              <w:rPr>
                <w:rFonts w:asciiTheme="minorBidi" w:eastAsia="Times New Roman" w:hAnsiTheme="minorBidi"/>
                <w:sz w:val="18"/>
                <w:szCs w:val="18"/>
              </w:rPr>
            </w:pPr>
          </w:p>
          <w:p w14:paraId="6080CFC1"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top w:val="single" w:sz="4" w:space="0" w:color="auto"/>
            </w:tcBorders>
            <w:shd w:val="clear" w:color="auto" w:fill="auto"/>
            <w:vAlign w:val="center"/>
            <w:hideMark/>
          </w:tcPr>
          <w:p w14:paraId="48AF17C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37</w:t>
            </w:r>
          </w:p>
        </w:tc>
        <w:tc>
          <w:tcPr>
            <w:tcW w:w="1059" w:type="dxa"/>
            <w:tcBorders>
              <w:top w:val="single" w:sz="4" w:space="0" w:color="auto"/>
            </w:tcBorders>
            <w:shd w:val="clear" w:color="auto" w:fill="auto"/>
            <w:vAlign w:val="center"/>
            <w:hideMark/>
          </w:tcPr>
          <w:p w14:paraId="002EF0A1"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31</w:t>
            </w:r>
          </w:p>
        </w:tc>
        <w:tc>
          <w:tcPr>
            <w:tcW w:w="1254" w:type="dxa"/>
            <w:tcBorders>
              <w:top w:val="single" w:sz="4" w:space="0" w:color="auto"/>
            </w:tcBorders>
            <w:shd w:val="clear" w:color="auto" w:fill="auto"/>
            <w:vAlign w:val="center"/>
            <w:hideMark/>
          </w:tcPr>
          <w:p w14:paraId="23D1F5BB"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18</w:t>
            </w:r>
          </w:p>
        </w:tc>
        <w:tc>
          <w:tcPr>
            <w:tcW w:w="956" w:type="dxa"/>
            <w:tcBorders>
              <w:top w:val="single" w:sz="4" w:space="0" w:color="auto"/>
            </w:tcBorders>
            <w:shd w:val="clear" w:color="auto" w:fill="auto"/>
            <w:vAlign w:val="center"/>
            <w:hideMark/>
          </w:tcPr>
          <w:p w14:paraId="48CCC4F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12</w:t>
            </w:r>
          </w:p>
        </w:tc>
        <w:tc>
          <w:tcPr>
            <w:tcW w:w="1027" w:type="dxa"/>
            <w:tcBorders>
              <w:top w:val="single" w:sz="4" w:space="0" w:color="auto"/>
            </w:tcBorders>
            <w:shd w:val="clear" w:color="auto" w:fill="auto"/>
            <w:vAlign w:val="center"/>
            <w:hideMark/>
          </w:tcPr>
          <w:p w14:paraId="72AD7BF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w:t>
            </w:r>
          </w:p>
        </w:tc>
        <w:tc>
          <w:tcPr>
            <w:tcW w:w="1320" w:type="dxa"/>
            <w:tcBorders>
              <w:top w:val="single" w:sz="4" w:space="0" w:color="auto"/>
            </w:tcBorders>
            <w:shd w:val="clear" w:color="auto" w:fill="auto"/>
            <w:vAlign w:val="center"/>
            <w:hideMark/>
          </w:tcPr>
          <w:p w14:paraId="0479A812"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 (1-3)</w:t>
            </w:r>
          </w:p>
        </w:tc>
        <w:tc>
          <w:tcPr>
            <w:tcW w:w="987" w:type="dxa"/>
            <w:vMerge w:val="restart"/>
            <w:tcBorders>
              <w:top w:val="single" w:sz="4" w:space="0" w:color="auto"/>
            </w:tcBorders>
            <w:shd w:val="clear" w:color="auto" w:fill="auto"/>
            <w:vAlign w:val="center"/>
            <w:hideMark/>
          </w:tcPr>
          <w:p w14:paraId="4A317F66" w14:textId="77777777" w:rsidR="00821B82" w:rsidRPr="00812505" w:rsidRDefault="00821B82" w:rsidP="00282204">
            <w:pPr>
              <w:spacing w:after="0" w:line="240" w:lineRule="auto"/>
              <w:rPr>
                <w:rFonts w:asciiTheme="minorBidi" w:eastAsia="Times New Roman" w:hAnsiTheme="minorBidi"/>
                <w:b/>
                <w:bCs/>
                <w:sz w:val="18"/>
                <w:szCs w:val="18"/>
              </w:rPr>
            </w:pPr>
            <w:r w:rsidRPr="00812505">
              <w:rPr>
                <w:rFonts w:asciiTheme="minorBidi" w:eastAsia="Times New Roman" w:hAnsiTheme="minorBidi"/>
                <w:sz w:val="18"/>
                <w:szCs w:val="18"/>
              </w:rPr>
              <w:t>0.00*</w:t>
            </w:r>
          </w:p>
          <w:p w14:paraId="67F1431F" w14:textId="77777777" w:rsidR="00821B82" w:rsidRPr="00812505" w:rsidRDefault="00821B82" w:rsidP="00282204">
            <w:pPr>
              <w:spacing w:after="0" w:line="240" w:lineRule="auto"/>
              <w:rPr>
                <w:rFonts w:asciiTheme="minorBidi" w:eastAsia="Times New Roman" w:hAnsiTheme="minorBidi"/>
                <w:sz w:val="18"/>
                <w:szCs w:val="18"/>
              </w:rPr>
            </w:pPr>
          </w:p>
          <w:p w14:paraId="2DA8D8A6" w14:textId="77777777" w:rsidR="00821B82" w:rsidRPr="00812505" w:rsidRDefault="00821B82" w:rsidP="00282204">
            <w:pPr>
              <w:spacing w:after="0" w:line="240" w:lineRule="auto"/>
              <w:rPr>
                <w:rFonts w:asciiTheme="minorBidi" w:eastAsia="Times New Roman" w:hAnsiTheme="minorBidi"/>
                <w:sz w:val="18"/>
                <w:szCs w:val="18"/>
              </w:rPr>
            </w:pPr>
          </w:p>
          <w:p w14:paraId="418C30B8"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1B656837" w14:textId="77777777" w:rsidTr="00282204">
        <w:trPr>
          <w:trHeight w:val="60"/>
        </w:trPr>
        <w:tc>
          <w:tcPr>
            <w:tcW w:w="3491" w:type="dxa"/>
            <w:vMerge/>
            <w:shd w:val="clear" w:color="auto" w:fill="auto"/>
            <w:vAlign w:val="center"/>
            <w:hideMark/>
          </w:tcPr>
          <w:p w14:paraId="414E6101"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76EC2A78"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5D2625E4"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1B88960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0</w:t>
            </w:r>
          </w:p>
        </w:tc>
        <w:tc>
          <w:tcPr>
            <w:tcW w:w="1059" w:type="dxa"/>
            <w:shd w:val="clear" w:color="auto" w:fill="auto"/>
            <w:vAlign w:val="center"/>
            <w:hideMark/>
          </w:tcPr>
          <w:p w14:paraId="61F0BAEC"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23</w:t>
            </w:r>
          </w:p>
        </w:tc>
        <w:tc>
          <w:tcPr>
            <w:tcW w:w="1254" w:type="dxa"/>
            <w:shd w:val="clear" w:color="auto" w:fill="auto"/>
            <w:vAlign w:val="center"/>
            <w:hideMark/>
          </w:tcPr>
          <w:p w14:paraId="6B3FDFE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27</w:t>
            </w:r>
          </w:p>
        </w:tc>
        <w:tc>
          <w:tcPr>
            <w:tcW w:w="956" w:type="dxa"/>
            <w:shd w:val="clear" w:color="auto" w:fill="auto"/>
            <w:vAlign w:val="center"/>
            <w:hideMark/>
          </w:tcPr>
          <w:p w14:paraId="0C7D778A"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33</w:t>
            </w:r>
          </w:p>
        </w:tc>
        <w:tc>
          <w:tcPr>
            <w:tcW w:w="1027" w:type="dxa"/>
            <w:shd w:val="clear" w:color="auto" w:fill="auto"/>
            <w:vAlign w:val="center"/>
            <w:hideMark/>
          </w:tcPr>
          <w:p w14:paraId="445F9BB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17</w:t>
            </w:r>
          </w:p>
        </w:tc>
        <w:tc>
          <w:tcPr>
            <w:tcW w:w="1320" w:type="dxa"/>
            <w:shd w:val="clear" w:color="auto" w:fill="auto"/>
            <w:vAlign w:val="center"/>
            <w:hideMark/>
          </w:tcPr>
          <w:p w14:paraId="22E55FE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3.5 (2.74-4)</w:t>
            </w:r>
          </w:p>
        </w:tc>
        <w:tc>
          <w:tcPr>
            <w:tcW w:w="987" w:type="dxa"/>
            <w:vMerge/>
            <w:shd w:val="clear" w:color="auto" w:fill="auto"/>
            <w:vAlign w:val="center"/>
            <w:hideMark/>
          </w:tcPr>
          <w:p w14:paraId="549CB8AB"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632F2522" w14:textId="77777777" w:rsidTr="00282204">
        <w:trPr>
          <w:trHeight w:val="99"/>
        </w:trPr>
        <w:tc>
          <w:tcPr>
            <w:tcW w:w="3491" w:type="dxa"/>
            <w:vMerge/>
            <w:shd w:val="clear" w:color="auto" w:fill="auto"/>
            <w:vAlign w:val="center"/>
            <w:hideMark/>
          </w:tcPr>
          <w:p w14:paraId="1C5BD5A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0A1F5E8E"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vAlign w:val="center"/>
            <w:hideMark/>
          </w:tcPr>
          <w:p w14:paraId="707B11A0"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3C600F20"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059" w:type="dxa"/>
            <w:shd w:val="clear" w:color="auto" w:fill="auto"/>
            <w:vAlign w:val="center"/>
            <w:hideMark/>
          </w:tcPr>
          <w:p w14:paraId="4C311CF6"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15</w:t>
            </w:r>
          </w:p>
        </w:tc>
        <w:tc>
          <w:tcPr>
            <w:tcW w:w="1254" w:type="dxa"/>
            <w:shd w:val="clear" w:color="auto" w:fill="auto"/>
            <w:vAlign w:val="center"/>
            <w:hideMark/>
          </w:tcPr>
          <w:p w14:paraId="1330D725"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11</w:t>
            </w:r>
          </w:p>
        </w:tc>
        <w:tc>
          <w:tcPr>
            <w:tcW w:w="956" w:type="dxa"/>
            <w:shd w:val="clear" w:color="auto" w:fill="auto"/>
            <w:vAlign w:val="center"/>
            <w:hideMark/>
          </w:tcPr>
          <w:p w14:paraId="53BA6EBF"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67</w:t>
            </w:r>
          </w:p>
        </w:tc>
        <w:tc>
          <w:tcPr>
            <w:tcW w:w="1027" w:type="dxa"/>
            <w:shd w:val="clear" w:color="auto" w:fill="auto"/>
            <w:vAlign w:val="center"/>
            <w:hideMark/>
          </w:tcPr>
          <w:p w14:paraId="32377A17"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w:t>
            </w:r>
          </w:p>
        </w:tc>
        <w:tc>
          <w:tcPr>
            <w:tcW w:w="1320" w:type="dxa"/>
            <w:shd w:val="clear" w:color="auto" w:fill="auto"/>
            <w:vAlign w:val="center"/>
            <w:hideMark/>
          </w:tcPr>
          <w:p w14:paraId="1553A2F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sz w:val="18"/>
                <w:szCs w:val="18"/>
              </w:rPr>
              <w:t>4 (3-4)</w:t>
            </w:r>
          </w:p>
        </w:tc>
        <w:tc>
          <w:tcPr>
            <w:tcW w:w="987" w:type="dxa"/>
            <w:vMerge/>
            <w:shd w:val="clear" w:color="auto" w:fill="auto"/>
            <w:vAlign w:val="center"/>
            <w:hideMark/>
          </w:tcPr>
          <w:p w14:paraId="44A0AD8F"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139D5D2D" w14:textId="77777777" w:rsidTr="00282204">
        <w:trPr>
          <w:trHeight w:val="216"/>
        </w:trPr>
        <w:tc>
          <w:tcPr>
            <w:tcW w:w="3491" w:type="dxa"/>
            <w:vMerge/>
            <w:shd w:val="clear" w:color="auto" w:fill="auto"/>
            <w:vAlign w:val="center"/>
            <w:hideMark/>
          </w:tcPr>
          <w:p w14:paraId="22B06F8E"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65B46B22"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val="restart"/>
            <w:shd w:val="clear" w:color="auto" w:fill="auto"/>
            <w:vAlign w:val="center"/>
            <w:hideMark/>
          </w:tcPr>
          <w:p w14:paraId="557EDB4E" w14:textId="77777777" w:rsidR="00821B82" w:rsidRPr="00812505" w:rsidRDefault="00821B82" w:rsidP="00282204">
            <w:pPr>
              <w:spacing w:after="0" w:line="240" w:lineRule="auto"/>
              <w:rPr>
                <w:rFonts w:asciiTheme="minorBidi" w:eastAsia="Times New Roman" w:hAnsiTheme="minorBidi"/>
                <w:sz w:val="18"/>
                <w:szCs w:val="18"/>
              </w:rPr>
            </w:pPr>
            <w:r w:rsidRPr="00812505">
              <w:rPr>
                <w:rFonts w:asciiTheme="minorBidi" w:eastAsia="Times New Roman" w:hAnsiTheme="minorBidi"/>
                <w:color w:val="264A60"/>
                <w:sz w:val="18"/>
                <w:szCs w:val="18"/>
              </w:rPr>
              <w:t>Future</w:t>
            </w:r>
          </w:p>
          <w:p w14:paraId="7EB02503" w14:textId="77777777" w:rsidR="00821B82" w:rsidRPr="00812505" w:rsidRDefault="00821B82" w:rsidP="00282204">
            <w:pPr>
              <w:spacing w:after="0" w:line="240" w:lineRule="auto"/>
              <w:rPr>
                <w:rFonts w:asciiTheme="minorBidi" w:eastAsia="Times New Roman" w:hAnsiTheme="minorBidi"/>
                <w:sz w:val="18"/>
                <w:szCs w:val="18"/>
              </w:rPr>
            </w:pPr>
          </w:p>
          <w:p w14:paraId="4688D096" w14:textId="77777777" w:rsidR="00821B82" w:rsidRPr="00812505" w:rsidRDefault="00821B82" w:rsidP="00282204">
            <w:pPr>
              <w:spacing w:after="0" w:line="240" w:lineRule="auto"/>
              <w:rPr>
                <w:rFonts w:asciiTheme="minorBidi" w:eastAsia="Times New Roman" w:hAnsiTheme="minorBidi"/>
                <w:sz w:val="18"/>
                <w:szCs w:val="18"/>
              </w:rPr>
            </w:pPr>
          </w:p>
          <w:p w14:paraId="09B6E4EF"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4879618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31</w:t>
            </w:r>
          </w:p>
        </w:tc>
        <w:tc>
          <w:tcPr>
            <w:tcW w:w="1059" w:type="dxa"/>
            <w:shd w:val="clear" w:color="auto" w:fill="auto"/>
            <w:vAlign w:val="center"/>
            <w:hideMark/>
          </w:tcPr>
          <w:p w14:paraId="739EE3B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41</w:t>
            </w:r>
          </w:p>
        </w:tc>
        <w:tc>
          <w:tcPr>
            <w:tcW w:w="1254" w:type="dxa"/>
            <w:shd w:val="clear" w:color="auto" w:fill="auto"/>
            <w:vAlign w:val="center"/>
            <w:hideMark/>
          </w:tcPr>
          <w:p w14:paraId="31939AE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14</w:t>
            </w:r>
          </w:p>
        </w:tc>
        <w:tc>
          <w:tcPr>
            <w:tcW w:w="956" w:type="dxa"/>
            <w:shd w:val="clear" w:color="auto" w:fill="auto"/>
            <w:vAlign w:val="center"/>
            <w:hideMark/>
          </w:tcPr>
          <w:p w14:paraId="06A9A60C"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12</w:t>
            </w:r>
          </w:p>
        </w:tc>
        <w:tc>
          <w:tcPr>
            <w:tcW w:w="1027" w:type="dxa"/>
            <w:shd w:val="clear" w:color="auto" w:fill="auto"/>
            <w:vAlign w:val="center"/>
            <w:hideMark/>
          </w:tcPr>
          <w:p w14:paraId="3553DAF3"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w:t>
            </w:r>
          </w:p>
        </w:tc>
        <w:tc>
          <w:tcPr>
            <w:tcW w:w="1320" w:type="dxa"/>
            <w:shd w:val="clear" w:color="auto" w:fill="auto"/>
            <w:vAlign w:val="center"/>
            <w:hideMark/>
          </w:tcPr>
          <w:p w14:paraId="6D0365C8"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 (1-3)</w:t>
            </w:r>
          </w:p>
        </w:tc>
        <w:tc>
          <w:tcPr>
            <w:tcW w:w="987" w:type="dxa"/>
            <w:vMerge w:val="restart"/>
            <w:shd w:val="clear" w:color="auto" w:fill="auto"/>
            <w:vAlign w:val="center"/>
            <w:hideMark/>
          </w:tcPr>
          <w:p w14:paraId="36648AC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sz w:val="18"/>
                <w:szCs w:val="18"/>
              </w:rPr>
              <w:t>0.00*</w:t>
            </w:r>
          </w:p>
          <w:p w14:paraId="4A2C4443"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1F43ADFC" w14:textId="77777777" w:rsidR="00821B82" w:rsidRPr="00812505" w:rsidRDefault="00821B82" w:rsidP="00282204">
            <w:pPr>
              <w:spacing w:after="0" w:line="240" w:lineRule="auto"/>
              <w:rPr>
                <w:rFonts w:asciiTheme="minorBidi" w:eastAsia="Times New Roman" w:hAnsiTheme="minorBidi"/>
                <w:color w:val="264A60"/>
                <w:sz w:val="18"/>
                <w:szCs w:val="18"/>
              </w:rPr>
            </w:pPr>
          </w:p>
          <w:p w14:paraId="027668C1" w14:textId="77777777" w:rsidR="00821B82" w:rsidRPr="00812505" w:rsidRDefault="00821B82" w:rsidP="00282204">
            <w:pPr>
              <w:spacing w:after="0" w:line="240" w:lineRule="auto"/>
              <w:rPr>
                <w:rFonts w:asciiTheme="minorBidi" w:eastAsia="Times New Roman" w:hAnsiTheme="minorBidi"/>
                <w:color w:val="264A60"/>
                <w:sz w:val="18"/>
                <w:szCs w:val="18"/>
              </w:rPr>
            </w:pPr>
          </w:p>
        </w:tc>
      </w:tr>
      <w:tr w:rsidR="00821B82" w:rsidRPr="00812505" w14:paraId="673C0E46" w14:textId="77777777" w:rsidTr="00282204">
        <w:trPr>
          <w:trHeight w:val="71"/>
        </w:trPr>
        <w:tc>
          <w:tcPr>
            <w:tcW w:w="3491" w:type="dxa"/>
            <w:vMerge/>
            <w:shd w:val="clear" w:color="auto" w:fill="auto"/>
            <w:vAlign w:val="center"/>
            <w:hideMark/>
          </w:tcPr>
          <w:p w14:paraId="170C4F82"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shd w:val="clear" w:color="auto" w:fill="auto"/>
            <w:vAlign w:val="center"/>
            <w:hideMark/>
          </w:tcPr>
          <w:p w14:paraId="4E52F5A2"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shd w:val="clear" w:color="auto" w:fill="auto"/>
            <w:noWrap/>
            <w:vAlign w:val="bottom"/>
            <w:hideMark/>
          </w:tcPr>
          <w:p w14:paraId="5FA625A9"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shd w:val="clear" w:color="auto" w:fill="auto"/>
            <w:vAlign w:val="center"/>
            <w:hideMark/>
          </w:tcPr>
          <w:p w14:paraId="03FFAE1F"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059" w:type="dxa"/>
            <w:shd w:val="clear" w:color="auto" w:fill="auto"/>
            <w:vAlign w:val="center"/>
            <w:hideMark/>
          </w:tcPr>
          <w:p w14:paraId="02C79A0E"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17</w:t>
            </w:r>
          </w:p>
        </w:tc>
        <w:tc>
          <w:tcPr>
            <w:tcW w:w="1254" w:type="dxa"/>
            <w:shd w:val="clear" w:color="auto" w:fill="auto"/>
            <w:vAlign w:val="center"/>
            <w:hideMark/>
          </w:tcPr>
          <w:p w14:paraId="3E6DC6CE"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30</w:t>
            </w:r>
          </w:p>
        </w:tc>
        <w:tc>
          <w:tcPr>
            <w:tcW w:w="956" w:type="dxa"/>
            <w:shd w:val="clear" w:color="auto" w:fill="auto"/>
            <w:vAlign w:val="center"/>
            <w:hideMark/>
          </w:tcPr>
          <w:p w14:paraId="14709DC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33</w:t>
            </w:r>
          </w:p>
        </w:tc>
        <w:tc>
          <w:tcPr>
            <w:tcW w:w="1027" w:type="dxa"/>
            <w:shd w:val="clear" w:color="auto" w:fill="auto"/>
            <w:vAlign w:val="center"/>
            <w:hideMark/>
          </w:tcPr>
          <w:p w14:paraId="3F6112EA"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20</w:t>
            </w:r>
          </w:p>
        </w:tc>
        <w:tc>
          <w:tcPr>
            <w:tcW w:w="1320" w:type="dxa"/>
            <w:shd w:val="clear" w:color="auto" w:fill="auto"/>
            <w:vAlign w:val="center"/>
            <w:hideMark/>
          </w:tcPr>
          <w:p w14:paraId="0A1F630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(3-4)</w:t>
            </w:r>
          </w:p>
        </w:tc>
        <w:tc>
          <w:tcPr>
            <w:tcW w:w="987" w:type="dxa"/>
            <w:vMerge/>
            <w:shd w:val="clear" w:color="auto" w:fill="auto"/>
            <w:vAlign w:val="center"/>
            <w:hideMark/>
          </w:tcPr>
          <w:p w14:paraId="71265948" w14:textId="77777777" w:rsidR="00821B82" w:rsidRPr="00812505" w:rsidRDefault="00821B82" w:rsidP="00282204">
            <w:pPr>
              <w:spacing w:after="0" w:line="240" w:lineRule="auto"/>
              <w:rPr>
                <w:rFonts w:asciiTheme="minorBidi" w:eastAsia="Times New Roman" w:hAnsiTheme="minorBidi"/>
                <w:sz w:val="18"/>
                <w:szCs w:val="18"/>
              </w:rPr>
            </w:pPr>
          </w:p>
        </w:tc>
      </w:tr>
      <w:tr w:rsidR="00821B82" w:rsidRPr="00812505" w14:paraId="4FC59F39" w14:textId="77777777" w:rsidTr="00282204">
        <w:trPr>
          <w:trHeight w:val="74"/>
        </w:trPr>
        <w:tc>
          <w:tcPr>
            <w:tcW w:w="3491" w:type="dxa"/>
            <w:vMerge/>
            <w:tcBorders>
              <w:bottom w:val="single" w:sz="4" w:space="0" w:color="auto"/>
            </w:tcBorders>
            <w:shd w:val="clear" w:color="auto" w:fill="auto"/>
            <w:vAlign w:val="center"/>
            <w:hideMark/>
          </w:tcPr>
          <w:p w14:paraId="05FC7BA9" w14:textId="77777777" w:rsidR="00821B82" w:rsidRPr="00812505" w:rsidRDefault="00821B82" w:rsidP="00282204">
            <w:pPr>
              <w:spacing w:after="0" w:line="240" w:lineRule="auto"/>
              <w:rPr>
                <w:rFonts w:asciiTheme="minorBidi" w:eastAsia="Times New Roman" w:hAnsiTheme="minorBidi"/>
                <w:sz w:val="18"/>
                <w:szCs w:val="18"/>
              </w:rPr>
            </w:pPr>
          </w:p>
        </w:tc>
        <w:tc>
          <w:tcPr>
            <w:tcW w:w="1323" w:type="dxa"/>
            <w:vMerge/>
            <w:tcBorders>
              <w:bottom w:val="single" w:sz="4" w:space="0" w:color="auto"/>
            </w:tcBorders>
            <w:shd w:val="clear" w:color="auto" w:fill="auto"/>
            <w:vAlign w:val="center"/>
            <w:hideMark/>
          </w:tcPr>
          <w:p w14:paraId="4220A8E8" w14:textId="77777777" w:rsidR="00821B82" w:rsidRPr="00812505" w:rsidRDefault="00821B82" w:rsidP="00282204">
            <w:pPr>
              <w:spacing w:after="0" w:line="240" w:lineRule="auto"/>
              <w:rPr>
                <w:rFonts w:asciiTheme="minorBidi" w:eastAsia="Times New Roman" w:hAnsiTheme="minorBidi"/>
                <w:sz w:val="18"/>
                <w:szCs w:val="18"/>
              </w:rPr>
            </w:pPr>
          </w:p>
        </w:tc>
        <w:tc>
          <w:tcPr>
            <w:tcW w:w="1226" w:type="dxa"/>
            <w:vMerge/>
            <w:tcBorders>
              <w:bottom w:val="single" w:sz="4" w:space="0" w:color="auto"/>
            </w:tcBorders>
            <w:shd w:val="clear" w:color="auto" w:fill="auto"/>
            <w:vAlign w:val="center"/>
            <w:hideMark/>
          </w:tcPr>
          <w:p w14:paraId="79FCB40E" w14:textId="77777777" w:rsidR="00821B82" w:rsidRPr="00812505" w:rsidRDefault="00821B82" w:rsidP="00282204">
            <w:pPr>
              <w:spacing w:after="0" w:line="240" w:lineRule="auto"/>
              <w:rPr>
                <w:rFonts w:asciiTheme="minorBidi" w:eastAsia="Times New Roman" w:hAnsiTheme="minorBidi"/>
                <w:sz w:val="18"/>
                <w:szCs w:val="18"/>
              </w:rPr>
            </w:pPr>
          </w:p>
        </w:tc>
        <w:tc>
          <w:tcPr>
            <w:tcW w:w="1283" w:type="dxa"/>
            <w:tcBorders>
              <w:bottom w:val="single" w:sz="4" w:space="0" w:color="auto"/>
            </w:tcBorders>
            <w:shd w:val="clear" w:color="auto" w:fill="auto"/>
            <w:vAlign w:val="center"/>
            <w:hideMark/>
          </w:tcPr>
          <w:p w14:paraId="6E946CE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0</w:t>
            </w:r>
          </w:p>
        </w:tc>
        <w:tc>
          <w:tcPr>
            <w:tcW w:w="1059" w:type="dxa"/>
            <w:tcBorders>
              <w:bottom w:val="single" w:sz="4" w:space="0" w:color="auto"/>
            </w:tcBorders>
            <w:shd w:val="clear" w:color="auto" w:fill="auto"/>
            <w:vAlign w:val="center"/>
            <w:hideMark/>
          </w:tcPr>
          <w:p w14:paraId="4F21CDE0"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15</w:t>
            </w:r>
          </w:p>
        </w:tc>
        <w:tc>
          <w:tcPr>
            <w:tcW w:w="1254" w:type="dxa"/>
            <w:tcBorders>
              <w:bottom w:val="single" w:sz="4" w:space="0" w:color="auto"/>
            </w:tcBorders>
            <w:shd w:val="clear" w:color="auto" w:fill="auto"/>
            <w:vAlign w:val="center"/>
            <w:hideMark/>
          </w:tcPr>
          <w:p w14:paraId="5EE3F7FE"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7</w:t>
            </w:r>
          </w:p>
        </w:tc>
        <w:tc>
          <w:tcPr>
            <w:tcW w:w="956" w:type="dxa"/>
            <w:tcBorders>
              <w:bottom w:val="single" w:sz="4" w:space="0" w:color="auto"/>
            </w:tcBorders>
            <w:shd w:val="clear" w:color="auto" w:fill="auto"/>
            <w:vAlign w:val="center"/>
            <w:hideMark/>
          </w:tcPr>
          <w:p w14:paraId="6AADC18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63</w:t>
            </w:r>
          </w:p>
        </w:tc>
        <w:tc>
          <w:tcPr>
            <w:tcW w:w="1027" w:type="dxa"/>
            <w:tcBorders>
              <w:bottom w:val="single" w:sz="4" w:space="0" w:color="auto"/>
            </w:tcBorders>
            <w:shd w:val="clear" w:color="auto" w:fill="auto"/>
            <w:vAlign w:val="center"/>
            <w:hideMark/>
          </w:tcPr>
          <w:p w14:paraId="26E58A32"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15</w:t>
            </w:r>
          </w:p>
        </w:tc>
        <w:tc>
          <w:tcPr>
            <w:tcW w:w="1320" w:type="dxa"/>
            <w:tcBorders>
              <w:bottom w:val="single" w:sz="4" w:space="0" w:color="auto"/>
            </w:tcBorders>
            <w:shd w:val="clear" w:color="auto" w:fill="auto"/>
            <w:vAlign w:val="center"/>
            <w:hideMark/>
          </w:tcPr>
          <w:p w14:paraId="4EF35E34" w14:textId="77777777" w:rsidR="00821B82" w:rsidRPr="00812505" w:rsidRDefault="00821B82" w:rsidP="00282204">
            <w:pPr>
              <w:spacing w:after="0" w:line="240" w:lineRule="auto"/>
              <w:rPr>
                <w:rFonts w:asciiTheme="minorBidi" w:eastAsia="Times New Roman" w:hAnsiTheme="minorBidi"/>
                <w:color w:val="264A60"/>
                <w:sz w:val="18"/>
                <w:szCs w:val="18"/>
              </w:rPr>
            </w:pPr>
            <w:r w:rsidRPr="00812505">
              <w:rPr>
                <w:rFonts w:asciiTheme="minorBidi" w:eastAsia="Times New Roman" w:hAnsiTheme="minorBidi"/>
                <w:color w:val="264A60"/>
                <w:sz w:val="18"/>
                <w:szCs w:val="18"/>
              </w:rPr>
              <w:t>4 (4-4)</w:t>
            </w:r>
          </w:p>
        </w:tc>
        <w:tc>
          <w:tcPr>
            <w:tcW w:w="987" w:type="dxa"/>
            <w:vMerge/>
            <w:tcBorders>
              <w:bottom w:val="single" w:sz="4" w:space="0" w:color="auto"/>
            </w:tcBorders>
            <w:shd w:val="clear" w:color="auto" w:fill="auto"/>
            <w:vAlign w:val="center"/>
            <w:hideMark/>
          </w:tcPr>
          <w:p w14:paraId="6971DA03" w14:textId="77777777" w:rsidR="00821B82" w:rsidRPr="00812505" w:rsidRDefault="00821B82" w:rsidP="00282204">
            <w:pPr>
              <w:spacing w:after="0" w:line="240" w:lineRule="auto"/>
              <w:rPr>
                <w:rFonts w:asciiTheme="minorBidi" w:eastAsia="Times New Roman" w:hAnsiTheme="minorBidi"/>
                <w:sz w:val="18"/>
                <w:szCs w:val="18"/>
              </w:rPr>
            </w:pPr>
          </w:p>
        </w:tc>
      </w:tr>
    </w:tbl>
    <w:p w14:paraId="6B7A2A64" w14:textId="77777777" w:rsidR="00821B82" w:rsidRPr="00264998" w:rsidRDefault="00821B82" w:rsidP="00821B82">
      <w:pPr>
        <w:spacing w:after="0" w:line="360" w:lineRule="auto"/>
        <w:rPr>
          <w:rFonts w:asciiTheme="minorBidi" w:hAnsiTheme="minorBidi"/>
          <w:sz w:val="16"/>
          <w:szCs w:val="16"/>
          <w:shd w:val="clear" w:color="auto" w:fill="FFFFFF"/>
        </w:rPr>
      </w:pPr>
      <w:r w:rsidRPr="00264998">
        <w:rPr>
          <w:rFonts w:asciiTheme="minorBidi" w:hAnsiTheme="minorBidi"/>
          <w:sz w:val="16"/>
          <w:szCs w:val="16"/>
          <w:shd w:val="clear" w:color="auto" w:fill="FFFFFF"/>
        </w:rPr>
        <w:t xml:space="preserve">* P &lt; 0.05: statistically significant, IQR: </w:t>
      </w:r>
      <w:r w:rsidRPr="00264998">
        <w:rPr>
          <w:rFonts w:asciiTheme="minorBidi" w:eastAsia="Times New Roman" w:hAnsiTheme="minorBidi"/>
          <w:color w:val="000000"/>
          <w:sz w:val="16"/>
          <w:szCs w:val="16"/>
        </w:rPr>
        <w:t>Interquartile Range, responses (1=Strongly disagree, 2=Disagree, 3=Neither agree nor disagree, 4=Agree, 5=Strongly agree)</w:t>
      </w:r>
    </w:p>
    <w:p w14:paraId="48B9329E" w14:textId="77777777" w:rsidR="00821B82" w:rsidRDefault="00821B82" w:rsidP="00821B82">
      <w:pPr>
        <w:spacing w:after="0" w:line="360" w:lineRule="auto"/>
        <w:rPr>
          <w:rFonts w:asciiTheme="minorBidi" w:hAnsiTheme="minorBidi"/>
          <w:sz w:val="24"/>
          <w:szCs w:val="24"/>
          <w:shd w:val="clear" w:color="auto" w:fill="FFFFFF"/>
        </w:rPr>
      </w:pPr>
    </w:p>
    <w:p w14:paraId="03D7ADA5" w14:textId="77777777" w:rsidR="00821B82" w:rsidRDefault="00821B82" w:rsidP="00821B82">
      <w:pPr>
        <w:spacing w:after="0" w:line="360" w:lineRule="auto"/>
        <w:rPr>
          <w:rFonts w:asciiTheme="minorBidi" w:hAnsiTheme="minorBidi"/>
          <w:sz w:val="24"/>
          <w:szCs w:val="24"/>
          <w:shd w:val="clear" w:color="auto" w:fill="FFFFFF"/>
        </w:rPr>
      </w:pPr>
      <w:r>
        <w:rPr>
          <w:noProof/>
        </w:rPr>
        <w:drawing>
          <wp:inline distT="0" distB="0" distL="0" distR="0" wp14:anchorId="2E3AF06B" wp14:editId="262607D9">
            <wp:extent cx="7726257" cy="3185795"/>
            <wp:effectExtent l="0" t="0" r="8255" b="14605"/>
            <wp:docPr id="57" name="Chart 57">
              <a:extLst xmlns:a="http://schemas.openxmlformats.org/drawingml/2006/main">
                <a:ext uri="{FF2B5EF4-FFF2-40B4-BE49-F238E27FC236}">
                  <a16:creationId xmlns:a16="http://schemas.microsoft.com/office/drawing/2014/main" id="{838E2543-3E70-6003-20F4-90B02E88E0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2D490B" w14:textId="6CB277A4" w:rsidR="00821B82" w:rsidRDefault="00821B82" w:rsidP="00821B82">
      <w:pPr>
        <w:pStyle w:val="Caption"/>
      </w:pPr>
      <w:r>
        <w:t xml:space="preserve">   </w:t>
      </w:r>
      <w:bookmarkStart w:id="192" w:name="_Ref122366365"/>
      <w:bookmarkStart w:id="193" w:name="_Toc153894792"/>
      <w:r>
        <w:t xml:space="preserve">Figure </w:t>
      </w:r>
      <w:fldSimple w:instr=" SEQ Figure \* ARABIC ">
        <w:r w:rsidR="000507B7">
          <w:rPr>
            <w:noProof/>
          </w:rPr>
          <w:t>4</w:t>
        </w:r>
      </w:fldSimple>
      <w:bookmarkEnd w:id="192"/>
      <w:r>
        <w:t xml:space="preserve">: </w:t>
      </w:r>
      <w:r w:rsidRPr="00935183">
        <w:t>Healthcare professionals</w:t>
      </w:r>
      <w:r>
        <w:t>’</w:t>
      </w:r>
      <w:r w:rsidRPr="00935183">
        <w:t xml:space="preserve"> opinions on the role of independent prescribers</w:t>
      </w:r>
      <w:bookmarkEnd w:id="193"/>
    </w:p>
    <w:p w14:paraId="5857E404" w14:textId="77777777" w:rsidR="00821B82" w:rsidRDefault="00821B82" w:rsidP="00821B82">
      <w:pPr>
        <w:spacing w:after="0" w:line="360" w:lineRule="auto"/>
        <w:rPr>
          <w:rFonts w:asciiTheme="minorBidi" w:hAnsiTheme="minorBidi"/>
          <w:sz w:val="24"/>
          <w:szCs w:val="24"/>
          <w:shd w:val="clear" w:color="auto" w:fill="FFFFFF"/>
        </w:rPr>
        <w:sectPr w:rsidR="00821B82" w:rsidSect="00282204">
          <w:pgSz w:w="15840" w:h="12240" w:orient="landscape"/>
          <w:pgMar w:top="1440" w:right="1440" w:bottom="1440" w:left="1440" w:header="720" w:footer="720" w:gutter="0"/>
          <w:cols w:space="720"/>
          <w:docGrid w:linePitch="360"/>
        </w:sectPr>
      </w:pPr>
    </w:p>
    <w:p w14:paraId="3ED3500F" w14:textId="77777777" w:rsidR="00821B82" w:rsidRPr="003954A6" w:rsidRDefault="00821B82" w:rsidP="00821B82">
      <w:pPr>
        <w:pStyle w:val="Heading5"/>
        <w:rPr>
          <w:rFonts w:asciiTheme="minorBidi" w:hAnsiTheme="minorBidi" w:cstheme="minorBidi"/>
          <w:sz w:val="24"/>
          <w:szCs w:val="24"/>
          <w:shd w:val="clear" w:color="auto" w:fill="FFFFFF"/>
        </w:rPr>
      </w:pPr>
      <w:r w:rsidRPr="003954A6">
        <w:rPr>
          <w:rFonts w:asciiTheme="minorBidi" w:hAnsiTheme="minorBidi" w:cstheme="minorBidi"/>
          <w:sz w:val="24"/>
          <w:szCs w:val="24"/>
          <w:shd w:val="clear" w:color="auto" w:fill="FFFFFF"/>
        </w:rPr>
        <w:t>Views of doctors, pharmacists, and nurses on pharmacist involvement in diabetes care at present</w:t>
      </w:r>
    </w:p>
    <w:p w14:paraId="4BB32AC9" w14:textId="415A6C58" w:rsidR="00821B82" w:rsidRPr="00036EC6" w:rsidRDefault="00821B82" w:rsidP="00821B82">
      <w:pPr>
        <w:pStyle w:val="NormalWeb"/>
        <w:spacing w:line="360" w:lineRule="auto"/>
        <w:jc w:val="both"/>
        <w:rPr>
          <w:rFonts w:asciiTheme="minorBidi" w:hAnsiTheme="minorBidi" w:cstheme="minorBidi"/>
          <w:shd w:val="clear" w:color="auto" w:fill="FFFFFF"/>
        </w:rPr>
      </w:pPr>
      <w:r w:rsidRPr="00FC32F1">
        <w:rPr>
          <w:rFonts w:asciiTheme="minorBidi" w:hAnsiTheme="minorBidi" w:cstheme="minorBidi"/>
          <w:shd w:val="clear" w:color="auto" w:fill="FFFFFF"/>
        </w:rPr>
        <w:t xml:space="preserve">There was a significant difference between doctors, pharmacists, and nurses regarding the current involvement of pharmacists to provide clinical roles in diabetes management, such as medication therapy management, comorbid disease education, comorbid disease medication management, blood glucose management, hypoglycemic management, patient counselling and healthy lifestyle education (see </w:t>
      </w:r>
      <w:r w:rsidRPr="00AA0059">
        <w:rPr>
          <w:rFonts w:asciiTheme="minorBidi" w:hAnsiTheme="minorBidi" w:cstheme="minorBidi"/>
          <w:color w:val="1F3864" w:themeColor="accent1" w:themeShade="80"/>
          <w:shd w:val="clear" w:color="auto" w:fill="FFFFFF"/>
        </w:rPr>
        <w:fldChar w:fldCharType="begin"/>
      </w:r>
      <w:r w:rsidRPr="00AA0059">
        <w:rPr>
          <w:rFonts w:asciiTheme="minorBidi" w:hAnsiTheme="minorBidi" w:cstheme="minorBidi"/>
          <w:color w:val="1F3864" w:themeColor="accent1" w:themeShade="80"/>
          <w:shd w:val="clear" w:color="auto" w:fill="FFFFFF"/>
        </w:rPr>
        <w:instrText xml:space="preserve"> REF _Ref122361693 \h  \* MERGEFORMAT </w:instrText>
      </w:r>
      <w:r w:rsidRPr="00AA0059">
        <w:rPr>
          <w:rFonts w:asciiTheme="minorBidi" w:hAnsiTheme="minorBidi" w:cstheme="minorBidi"/>
          <w:color w:val="1F3864" w:themeColor="accent1" w:themeShade="80"/>
          <w:shd w:val="clear" w:color="auto" w:fill="FFFFFF"/>
        </w:rPr>
      </w:r>
      <w:r w:rsidRPr="00AA0059">
        <w:rPr>
          <w:rFonts w:asciiTheme="minorBidi" w:hAnsiTheme="minorBidi" w:cstheme="minorBidi"/>
          <w:color w:val="1F3864" w:themeColor="accent1" w:themeShade="80"/>
          <w:shd w:val="clear" w:color="auto" w:fill="FFFFFF"/>
        </w:rPr>
        <w:fldChar w:fldCharType="separate"/>
      </w:r>
      <w:r w:rsidR="001A54E4" w:rsidRPr="001A54E4">
        <w:rPr>
          <w:rFonts w:asciiTheme="minorBidi" w:hAnsiTheme="minorBidi" w:cstheme="minorBidi"/>
          <w:color w:val="1F3864" w:themeColor="accent1" w:themeShade="80"/>
          <w:shd w:val="clear" w:color="auto" w:fill="FFFFFF"/>
        </w:rPr>
        <w:t>Table 17</w:t>
      </w:r>
      <w:r w:rsidRPr="00AA0059">
        <w:rPr>
          <w:rFonts w:asciiTheme="minorBidi" w:hAnsiTheme="minorBidi" w:cstheme="minorBidi"/>
          <w:color w:val="1F3864" w:themeColor="accent1" w:themeShade="80"/>
          <w:shd w:val="clear" w:color="auto" w:fill="FFFFFF"/>
        </w:rPr>
        <w:fldChar w:fldCharType="end"/>
      </w:r>
      <w:r w:rsidRPr="00FC32F1">
        <w:rPr>
          <w:rFonts w:asciiTheme="minorBidi" w:hAnsiTheme="minorBidi" w:cstheme="minorBidi"/>
          <w:shd w:val="clear" w:color="auto" w:fill="FFFFFF"/>
        </w:rPr>
        <w:t>). From this table, we can see that doctors were less likely to agree to pharmacists providing these services at present. In contrast, nurses were more likely to agree but less so than pharmacists.</w:t>
      </w:r>
      <w:r>
        <w:rPr>
          <w:rFonts w:asciiTheme="minorBidi" w:hAnsiTheme="minorBidi" w:cstheme="minorBidi"/>
          <w:shd w:val="clear" w:color="auto" w:fill="FFFFFF"/>
        </w:rPr>
        <w:t xml:space="preserve"> </w:t>
      </w:r>
      <w:r w:rsidRPr="00FC32F1">
        <w:rPr>
          <w:rFonts w:asciiTheme="minorBidi" w:hAnsiTheme="minorBidi" w:cstheme="minorBidi"/>
          <w:shd w:val="clear" w:color="auto" w:fill="FFFFFF"/>
        </w:rPr>
        <w:t xml:space="preserve">To illustrate the significant differences in the views of those three professions (doctors, pharmacists and nurses) towards the roles of pharmacists in the management of diabetes at present, a bar chart was created; See </w:t>
      </w:r>
      <w:r w:rsidRPr="00EA193B">
        <w:rPr>
          <w:rFonts w:asciiTheme="minorBidi" w:hAnsiTheme="minorBidi" w:cstheme="minorBidi"/>
          <w:color w:val="1F3864" w:themeColor="accent1" w:themeShade="80"/>
          <w:shd w:val="clear" w:color="auto" w:fill="FFFFFF"/>
        </w:rPr>
        <w:fldChar w:fldCharType="begin"/>
      </w:r>
      <w:r w:rsidRPr="00EA193B">
        <w:rPr>
          <w:rFonts w:asciiTheme="minorBidi" w:hAnsiTheme="minorBidi" w:cstheme="minorBidi"/>
          <w:color w:val="1F3864" w:themeColor="accent1" w:themeShade="80"/>
          <w:shd w:val="clear" w:color="auto" w:fill="FFFFFF"/>
        </w:rPr>
        <w:instrText xml:space="preserve"> REF _Ref122366927 \h  \* MERGEFORMAT </w:instrText>
      </w:r>
      <w:r w:rsidRPr="00EA193B">
        <w:rPr>
          <w:rFonts w:asciiTheme="minorBidi" w:hAnsiTheme="minorBidi" w:cstheme="minorBidi"/>
          <w:color w:val="1F3864" w:themeColor="accent1" w:themeShade="80"/>
          <w:shd w:val="clear" w:color="auto" w:fill="FFFFFF"/>
        </w:rPr>
      </w:r>
      <w:r w:rsidRPr="00EA193B">
        <w:rPr>
          <w:rFonts w:asciiTheme="minorBidi" w:hAnsiTheme="minorBidi" w:cstheme="minorBidi"/>
          <w:color w:val="1F3864" w:themeColor="accent1" w:themeShade="80"/>
          <w:shd w:val="clear" w:color="auto" w:fill="FFFFFF"/>
        </w:rPr>
        <w:fldChar w:fldCharType="separate"/>
      </w:r>
      <w:r w:rsidR="00996795" w:rsidRPr="00996795">
        <w:rPr>
          <w:rFonts w:asciiTheme="minorBidi" w:hAnsiTheme="minorBidi" w:cstheme="minorBidi"/>
          <w:color w:val="1F3864" w:themeColor="accent1" w:themeShade="80"/>
          <w:shd w:val="clear" w:color="auto" w:fill="FFFFFF"/>
        </w:rPr>
        <w:t>Figure 5</w:t>
      </w:r>
      <w:r w:rsidRPr="00EA193B">
        <w:rPr>
          <w:rFonts w:asciiTheme="minorBidi" w:hAnsiTheme="minorBidi" w:cstheme="minorBidi"/>
          <w:color w:val="1F3864" w:themeColor="accent1" w:themeShade="80"/>
          <w:shd w:val="clear" w:color="auto" w:fill="FFFFFF"/>
        </w:rPr>
        <w:fldChar w:fldCharType="end"/>
      </w:r>
      <w:r>
        <w:rPr>
          <w:rFonts w:asciiTheme="minorBidi" w:hAnsiTheme="minorBidi" w:cstheme="minorBidi"/>
          <w:color w:val="1F3864" w:themeColor="accent1" w:themeShade="80"/>
          <w:shd w:val="clear" w:color="auto" w:fill="FFFFFF"/>
        </w:rPr>
        <w:t xml:space="preserve">. </w:t>
      </w:r>
    </w:p>
    <w:p w14:paraId="337D4AF8" w14:textId="12EA1E00" w:rsidR="00821B82" w:rsidRDefault="00821B82" w:rsidP="00821B82">
      <w:pPr>
        <w:spacing w:after="0" w:line="360" w:lineRule="auto"/>
        <w:jc w:val="both"/>
        <w:rPr>
          <w:rFonts w:asciiTheme="minorBidi" w:hAnsiTheme="minorBidi"/>
          <w:sz w:val="24"/>
          <w:szCs w:val="24"/>
          <w:shd w:val="clear" w:color="auto" w:fill="FFFFFF"/>
        </w:rPr>
        <w:sectPr w:rsidR="00821B82">
          <w:pgSz w:w="12240" w:h="15840"/>
          <w:pgMar w:top="1440" w:right="1440" w:bottom="1440" w:left="1440" w:header="720" w:footer="720" w:gutter="0"/>
          <w:cols w:space="720"/>
          <w:docGrid w:linePitch="360"/>
        </w:sectPr>
      </w:pPr>
      <w:r>
        <w:rPr>
          <w:rFonts w:asciiTheme="minorBidi" w:hAnsiTheme="minorBidi"/>
          <w:sz w:val="24"/>
          <w:szCs w:val="24"/>
          <w:shd w:val="clear" w:color="auto" w:fill="FFFFFF"/>
        </w:rPr>
        <w:t>Another figure was created (</w:t>
      </w:r>
      <w:r w:rsidRPr="00DE2006">
        <w:rPr>
          <w:rFonts w:asciiTheme="minorBidi" w:hAnsiTheme="minorBidi"/>
          <w:color w:val="1F3864" w:themeColor="accent1" w:themeShade="80"/>
          <w:sz w:val="24"/>
          <w:szCs w:val="24"/>
          <w:shd w:val="clear" w:color="auto" w:fill="FFFFFF"/>
        </w:rPr>
        <w:fldChar w:fldCharType="begin"/>
      </w:r>
      <w:r w:rsidRPr="00DE2006">
        <w:rPr>
          <w:rFonts w:asciiTheme="minorBidi" w:hAnsiTheme="minorBidi"/>
          <w:color w:val="1F3864" w:themeColor="accent1" w:themeShade="80"/>
          <w:sz w:val="24"/>
          <w:szCs w:val="24"/>
          <w:shd w:val="clear" w:color="auto" w:fill="FFFFFF"/>
        </w:rPr>
        <w:instrText xml:space="preserve"> REF _Ref122384116 \h  \* MERGEFORMAT </w:instrText>
      </w:r>
      <w:r w:rsidRPr="00DE2006">
        <w:rPr>
          <w:rFonts w:asciiTheme="minorBidi" w:hAnsiTheme="minorBidi"/>
          <w:color w:val="1F3864" w:themeColor="accent1" w:themeShade="80"/>
          <w:sz w:val="24"/>
          <w:szCs w:val="24"/>
          <w:shd w:val="clear" w:color="auto" w:fill="FFFFFF"/>
        </w:rPr>
      </w:r>
      <w:r w:rsidRPr="00DE2006">
        <w:rPr>
          <w:rFonts w:asciiTheme="minorBidi" w:hAnsiTheme="minorBidi"/>
          <w:color w:val="1F3864" w:themeColor="accent1" w:themeShade="80"/>
          <w:sz w:val="24"/>
          <w:szCs w:val="24"/>
          <w:shd w:val="clear" w:color="auto" w:fill="FFFFFF"/>
        </w:rPr>
        <w:fldChar w:fldCharType="separate"/>
      </w:r>
      <w:r w:rsidR="00996795" w:rsidRPr="00996795">
        <w:rPr>
          <w:rFonts w:asciiTheme="minorBidi" w:hAnsiTheme="minorBidi"/>
          <w:color w:val="1F3864" w:themeColor="accent1" w:themeShade="80"/>
          <w:sz w:val="24"/>
          <w:szCs w:val="24"/>
          <w:shd w:val="clear" w:color="auto" w:fill="FFFFFF"/>
        </w:rPr>
        <w:t>Figure 6</w:t>
      </w:r>
      <w:r w:rsidRPr="00DE2006">
        <w:rPr>
          <w:rFonts w:asciiTheme="minorBidi" w:hAnsiTheme="minorBidi"/>
          <w:color w:val="1F3864" w:themeColor="accent1" w:themeShade="80"/>
          <w:sz w:val="24"/>
          <w:szCs w:val="24"/>
          <w:shd w:val="clear" w:color="auto" w:fill="FFFFFF"/>
        </w:rPr>
        <w:fldChar w:fldCharType="end"/>
      </w:r>
      <w:r>
        <w:rPr>
          <w:rFonts w:asciiTheme="minorBidi" w:hAnsiTheme="minorBidi"/>
          <w:sz w:val="24"/>
          <w:szCs w:val="24"/>
          <w:shd w:val="clear" w:color="auto" w:fill="FFFFFF"/>
        </w:rPr>
        <w:t xml:space="preserve">) to demonstrate the activities that shows </w:t>
      </w:r>
      <w:r w:rsidRPr="00DE2006">
        <w:rPr>
          <w:rFonts w:asciiTheme="minorBidi" w:hAnsiTheme="minorBidi"/>
          <w:sz w:val="24"/>
          <w:szCs w:val="24"/>
          <w:shd w:val="clear" w:color="auto" w:fill="FFFFFF"/>
        </w:rPr>
        <w:t xml:space="preserve">significant differences (The Fisher’s Exact test ≤0.05) between doctors, pharmacists, and nurses regarding the current involvement of pharmacists to provide these activities (medication therapy management, comorbid disease education, comorbid disease medication management, blood glucose management, hypoglycemic management, patient counselling and healthy lifestyle education). </w:t>
      </w:r>
      <w:r w:rsidRPr="00B10261">
        <w:rPr>
          <w:rFonts w:asciiTheme="minorBidi" w:hAnsiTheme="minorBidi"/>
          <w:sz w:val="24"/>
          <w:szCs w:val="24"/>
          <w:shd w:val="clear" w:color="auto" w:fill="FFFFFF"/>
        </w:rPr>
        <w:t xml:space="preserve">From </w:t>
      </w:r>
      <w:r>
        <w:rPr>
          <w:rFonts w:asciiTheme="minorBidi" w:hAnsiTheme="minorBidi"/>
          <w:sz w:val="24"/>
          <w:szCs w:val="24"/>
          <w:shd w:val="clear" w:color="auto" w:fill="FFFFFF"/>
        </w:rPr>
        <w:t>this</w:t>
      </w:r>
      <w:r w:rsidRPr="00B10261">
        <w:rPr>
          <w:rFonts w:asciiTheme="minorBidi" w:hAnsiTheme="minorBidi"/>
          <w:sz w:val="24"/>
          <w:szCs w:val="24"/>
          <w:shd w:val="clear" w:color="auto" w:fill="FFFFFF"/>
        </w:rPr>
        <w:t xml:space="preserve"> figure, we can see that the level of pharmacists' agreement on providing </w:t>
      </w:r>
      <w:r>
        <w:rPr>
          <w:rFonts w:asciiTheme="minorBidi" w:hAnsiTheme="minorBidi"/>
          <w:sz w:val="24"/>
          <w:szCs w:val="24"/>
          <w:shd w:val="clear" w:color="auto" w:fill="FFFFFF"/>
        </w:rPr>
        <w:t>some</w:t>
      </w:r>
      <w:r w:rsidRPr="00B10261">
        <w:rPr>
          <w:rFonts w:asciiTheme="minorBidi" w:hAnsiTheme="minorBidi"/>
          <w:sz w:val="24"/>
          <w:szCs w:val="24"/>
          <w:shd w:val="clear" w:color="auto" w:fill="FFFFFF"/>
        </w:rPr>
        <w:t xml:space="preserve"> activities </w:t>
      </w:r>
      <w:r>
        <w:rPr>
          <w:rFonts w:asciiTheme="minorBidi" w:hAnsiTheme="minorBidi"/>
          <w:sz w:val="24"/>
          <w:szCs w:val="24"/>
          <w:shd w:val="clear" w:color="auto" w:fill="FFFFFF"/>
        </w:rPr>
        <w:t xml:space="preserve">including </w:t>
      </w:r>
      <w:r w:rsidRPr="00B10261">
        <w:rPr>
          <w:rFonts w:asciiTheme="minorBidi" w:hAnsiTheme="minorBidi"/>
          <w:sz w:val="24"/>
          <w:szCs w:val="24"/>
          <w:shd w:val="clear" w:color="auto" w:fill="FFFFFF"/>
        </w:rPr>
        <w:t>medication therapy management, comorbid disease management, blood glucose management, hypoglycemic management</w:t>
      </w:r>
      <w:r>
        <w:rPr>
          <w:rFonts w:asciiTheme="minorBidi" w:hAnsiTheme="minorBidi"/>
          <w:sz w:val="24"/>
          <w:szCs w:val="24"/>
          <w:shd w:val="clear" w:color="auto" w:fill="FFFFFF"/>
        </w:rPr>
        <w:t>,</w:t>
      </w:r>
      <w:r w:rsidRPr="00DE2006">
        <w:rPr>
          <w:rFonts w:asciiTheme="minorBidi" w:hAnsiTheme="minorBidi"/>
          <w:sz w:val="24"/>
          <w:szCs w:val="24"/>
          <w:shd w:val="clear" w:color="auto" w:fill="FFFFFF"/>
        </w:rPr>
        <w:t xml:space="preserve"> and</w:t>
      </w:r>
      <w:r w:rsidRPr="00B10261">
        <w:rPr>
          <w:rFonts w:asciiTheme="minorBidi" w:hAnsiTheme="minorBidi"/>
          <w:sz w:val="24"/>
          <w:szCs w:val="24"/>
          <w:shd w:val="clear" w:color="auto" w:fill="FFFFFF"/>
        </w:rPr>
        <w:t xml:space="preserve"> healthy lifestyle education)</w:t>
      </w:r>
      <w:r>
        <w:rPr>
          <w:rFonts w:asciiTheme="minorBidi" w:hAnsiTheme="minorBidi"/>
          <w:sz w:val="24"/>
          <w:szCs w:val="24"/>
          <w:shd w:val="clear" w:color="auto" w:fill="FFFFFF"/>
        </w:rPr>
        <w:t xml:space="preserve"> </w:t>
      </w:r>
      <w:r w:rsidRPr="00B10261">
        <w:rPr>
          <w:rFonts w:asciiTheme="minorBidi" w:hAnsiTheme="minorBidi"/>
          <w:sz w:val="24"/>
          <w:szCs w:val="24"/>
          <w:shd w:val="clear" w:color="auto" w:fill="FFFFFF"/>
        </w:rPr>
        <w:t>ranged from 73% to 90% compared to 53% to 65%</w:t>
      </w:r>
      <w:r>
        <w:rPr>
          <w:rFonts w:asciiTheme="minorBidi" w:hAnsiTheme="minorBidi"/>
          <w:sz w:val="24"/>
          <w:szCs w:val="24"/>
          <w:shd w:val="clear" w:color="auto" w:fill="FFFFFF"/>
        </w:rPr>
        <w:t xml:space="preserve"> </w:t>
      </w:r>
      <w:r w:rsidRPr="00B10261">
        <w:rPr>
          <w:rFonts w:asciiTheme="minorBidi" w:hAnsiTheme="minorBidi"/>
          <w:sz w:val="24"/>
          <w:szCs w:val="24"/>
          <w:shd w:val="clear" w:color="auto" w:fill="FFFFFF"/>
        </w:rPr>
        <w:t>and 60% to 78% for doctors and nurses, respectively.</w:t>
      </w:r>
      <w:r w:rsidRPr="00F5128B">
        <w:rPr>
          <w:rFonts w:asciiTheme="minorBidi" w:hAnsiTheme="minorBidi"/>
          <w:sz w:val="24"/>
          <w:szCs w:val="24"/>
          <w:shd w:val="clear" w:color="auto" w:fill="FFFFFF"/>
        </w:rPr>
        <w:t xml:space="preserve"> </w:t>
      </w:r>
      <w:r w:rsidRPr="003D20BF">
        <w:rPr>
          <w:rFonts w:asciiTheme="minorBidi" w:hAnsiTheme="minorBidi"/>
          <w:sz w:val="24"/>
          <w:szCs w:val="24"/>
          <w:shd w:val="clear" w:color="auto" w:fill="FFFFFF"/>
        </w:rPr>
        <w:t xml:space="preserve">These results indicate that doctors were less likely to agree to pharmacists currently providing these services. In contrast, nurses were more likely to agree but less so than pharmacists. </w:t>
      </w:r>
      <w:r w:rsidRPr="005F626C">
        <w:rPr>
          <w:rFonts w:asciiTheme="minorBidi" w:hAnsiTheme="minorBidi"/>
          <w:color w:val="00B050"/>
          <w:sz w:val="24"/>
          <w:szCs w:val="24"/>
          <w:shd w:val="clear" w:color="auto" w:fill="FFFFFF"/>
        </w:rPr>
        <w:t xml:space="preserve"> </w:t>
      </w:r>
      <w:r w:rsidRPr="00124632">
        <w:rPr>
          <w:rFonts w:asciiTheme="minorBidi" w:hAnsiTheme="minorBidi"/>
          <w:sz w:val="24"/>
          <w:szCs w:val="24"/>
          <w:shd w:val="clear" w:color="auto" w:fill="FFFFFF"/>
        </w:rPr>
        <w:t>For the patient counselling and education service, the opinions of doctors and nurses were reflected, as the doctors' agreement on pharmacists providing this service was 84%, which is slightly higher than the nurses' agreement (82%) but still less than the pharmacists' agreement (90%).</w:t>
      </w:r>
    </w:p>
    <w:p w14:paraId="68B1DFC9" w14:textId="77777777" w:rsidR="00821B82" w:rsidRDefault="00821B82" w:rsidP="00821B82">
      <w:pPr>
        <w:spacing w:after="0" w:line="360" w:lineRule="auto"/>
        <w:rPr>
          <w:rFonts w:asciiTheme="minorBidi" w:hAnsiTheme="minorBidi"/>
          <w:sz w:val="24"/>
          <w:szCs w:val="24"/>
          <w:shd w:val="clear" w:color="auto" w:fill="FFFFFF"/>
        </w:rPr>
      </w:pPr>
      <w:r>
        <w:rPr>
          <w:noProof/>
        </w:rPr>
        <w:drawing>
          <wp:inline distT="0" distB="0" distL="0" distR="0" wp14:anchorId="1C07D48B" wp14:editId="7371A1A0">
            <wp:extent cx="8265600" cy="2772000"/>
            <wp:effectExtent l="0" t="0" r="2540" b="9525"/>
            <wp:docPr id="58" name="Chart 58">
              <a:extLst xmlns:a="http://schemas.openxmlformats.org/drawingml/2006/main">
                <a:ext uri="{FF2B5EF4-FFF2-40B4-BE49-F238E27FC236}">
                  <a16:creationId xmlns:a16="http://schemas.microsoft.com/office/drawing/2014/main" id="{21D7B694-979A-7D53-D588-EC8EFC1650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E31E1B" w14:textId="77777777" w:rsidR="00821B82" w:rsidRDefault="00821B82" w:rsidP="00821B82">
      <w:pPr>
        <w:spacing w:after="0" w:line="360" w:lineRule="auto"/>
        <w:rPr>
          <w:rFonts w:asciiTheme="minorBidi" w:hAnsiTheme="minorBidi"/>
          <w:sz w:val="24"/>
          <w:szCs w:val="24"/>
          <w:shd w:val="clear" w:color="auto" w:fill="FFFFFF"/>
        </w:rPr>
      </w:pPr>
      <w:r>
        <w:rPr>
          <w:noProof/>
        </w:rPr>
        <w:drawing>
          <wp:inline distT="0" distB="0" distL="0" distR="0" wp14:anchorId="69525BC0" wp14:editId="1796D2DB">
            <wp:extent cx="8229600" cy="2387526"/>
            <wp:effectExtent l="0" t="0" r="0" b="13335"/>
            <wp:docPr id="61" name="Chart 61">
              <a:extLst xmlns:a="http://schemas.openxmlformats.org/drawingml/2006/main">
                <a:ext uri="{FF2B5EF4-FFF2-40B4-BE49-F238E27FC236}">
                  <a16:creationId xmlns:a16="http://schemas.microsoft.com/office/drawing/2014/main" id="{735D4DB0-9417-5DA7-DF45-E57654F9D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069D7E" w14:textId="3821A806" w:rsidR="00821B82" w:rsidRPr="00EA4D92" w:rsidRDefault="00821B82" w:rsidP="00821B82">
      <w:pPr>
        <w:pStyle w:val="Caption"/>
        <w:rPr>
          <w:sz w:val="22"/>
          <w:szCs w:val="22"/>
        </w:rPr>
      </w:pPr>
      <w:bookmarkStart w:id="194" w:name="_Ref122366927"/>
      <w:bookmarkStart w:id="195" w:name="_Ref122366919"/>
      <w:bookmarkStart w:id="196" w:name="_Toc153894793"/>
      <w:r w:rsidRPr="00C9008A">
        <w:rPr>
          <w:sz w:val="22"/>
          <w:szCs w:val="22"/>
        </w:rPr>
        <w:t xml:space="preserve">Figure </w:t>
      </w:r>
      <w:r w:rsidRPr="00C9008A">
        <w:rPr>
          <w:sz w:val="22"/>
          <w:szCs w:val="22"/>
        </w:rPr>
        <w:fldChar w:fldCharType="begin"/>
      </w:r>
      <w:r w:rsidRPr="00C9008A">
        <w:rPr>
          <w:sz w:val="22"/>
          <w:szCs w:val="22"/>
        </w:rPr>
        <w:instrText xml:space="preserve"> SEQ Figure \* ARABIC </w:instrText>
      </w:r>
      <w:r w:rsidRPr="00C9008A">
        <w:rPr>
          <w:sz w:val="22"/>
          <w:szCs w:val="22"/>
        </w:rPr>
        <w:fldChar w:fldCharType="separate"/>
      </w:r>
      <w:r w:rsidR="000507B7">
        <w:rPr>
          <w:noProof/>
          <w:sz w:val="22"/>
          <w:szCs w:val="22"/>
        </w:rPr>
        <w:t>5</w:t>
      </w:r>
      <w:r w:rsidRPr="00C9008A">
        <w:rPr>
          <w:noProof/>
          <w:sz w:val="22"/>
          <w:szCs w:val="22"/>
        </w:rPr>
        <w:fldChar w:fldCharType="end"/>
      </w:r>
      <w:bookmarkEnd w:id="194"/>
      <w:r w:rsidRPr="00C9008A">
        <w:rPr>
          <w:sz w:val="22"/>
          <w:szCs w:val="22"/>
        </w:rPr>
        <w:t>: opinions of healthcare professionals about the current involvement of pharmacists in some diabetes-related services</w:t>
      </w:r>
      <w:bookmarkEnd w:id="195"/>
      <w:bookmarkEnd w:id="196"/>
    </w:p>
    <w:p w14:paraId="06D4C0A5" w14:textId="77777777" w:rsidR="00821B82" w:rsidRDefault="00821B82" w:rsidP="00821B82">
      <w:pPr>
        <w:spacing w:after="0" w:line="360" w:lineRule="auto"/>
        <w:rPr>
          <w:rFonts w:asciiTheme="minorBidi" w:hAnsiTheme="minorBidi"/>
          <w:sz w:val="24"/>
          <w:szCs w:val="24"/>
          <w:shd w:val="clear" w:color="auto" w:fill="FFFFFF"/>
        </w:rPr>
      </w:pPr>
    </w:p>
    <w:p w14:paraId="2AEF3390" w14:textId="77777777" w:rsidR="00821B82" w:rsidRDefault="00821B82" w:rsidP="00821B82">
      <w:pPr>
        <w:spacing w:after="0" w:line="360" w:lineRule="auto"/>
        <w:rPr>
          <w:rFonts w:asciiTheme="minorBidi" w:hAnsiTheme="minorBidi"/>
          <w:sz w:val="24"/>
          <w:szCs w:val="24"/>
          <w:shd w:val="clear" w:color="auto" w:fill="FFFFFF"/>
        </w:rPr>
      </w:pPr>
    </w:p>
    <w:p w14:paraId="3599E8F0" w14:textId="77777777" w:rsidR="00821B82" w:rsidRDefault="00821B82" w:rsidP="00821B82">
      <w:pPr>
        <w:spacing w:after="0" w:line="360" w:lineRule="auto"/>
        <w:rPr>
          <w:rFonts w:asciiTheme="minorBidi" w:hAnsiTheme="minorBidi"/>
          <w:sz w:val="24"/>
          <w:szCs w:val="24"/>
          <w:shd w:val="clear" w:color="auto" w:fill="FFFFFF"/>
        </w:rPr>
      </w:pPr>
    </w:p>
    <w:p w14:paraId="6C8A1FEB" w14:textId="77777777" w:rsidR="00821B82" w:rsidRDefault="00821B82" w:rsidP="00821B82">
      <w:pPr>
        <w:spacing w:after="0" w:line="360" w:lineRule="auto"/>
        <w:rPr>
          <w:rFonts w:asciiTheme="minorBidi" w:hAnsiTheme="minorBidi"/>
          <w:sz w:val="24"/>
          <w:szCs w:val="24"/>
          <w:shd w:val="clear" w:color="auto" w:fill="FFFFFF"/>
        </w:rPr>
      </w:pPr>
      <w:r>
        <w:rPr>
          <w:noProof/>
        </w:rPr>
        <w:drawing>
          <wp:inline distT="0" distB="0" distL="0" distR="0" wp14:anchorId="1023E9F0" wp14:editId="4CD24F83">
            <wp:extent cx="8229600" cy="4765763"/>
            <wp:effectExtent l="0" t="0" r="0" b="15875"/>
            <wp:docPr id="64" name="Chart 64">
              <a:extLst xmlns:a="http://schemas.openxmlformats.org/drawingml/2006/main">
                <a:ext uri="{FF2B5EF4-FFF2-40B4-BE49-F238E27FC236}">
                  <a16:creationId xmlns:a16="http://schemas.microsoft.com/office/drawing/2014/main" id="{03266234-D032-7B61-DDD1-BEAB53C556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F76752" w14:textId="2DCEB6E8" w:rsidR="00821B82" w:rsidRPr="00510CBD" w:rsidRDefault="00821B82" w:rsidP="00821B82">
      <w:pPr>
        <w:pStyle w:val="Caption"/>
        <w:rPr>
          <w:rFonts w:asciiTheme="minorBidi" w:hAnsiTheme="minorBidi"/>
          <w:sz w:val="20"/>
          <w:szCs w:val="20"/>
        </w:rPr>
        <w:sectPr w:rsidR="00821B82" w:rsidRPr="00510CBD" w:rsidSect="00282204">
          <w:pgSz w:w="15840" w:h="12240" w:orient="landscape"/>
          <w:pgMar w:top="1440" w:right="1440" w:bottom="1440" w:left="1440" w:header="720" w:footer="720" w:gutter="0"/>
          <w:cols w:space="720"/>
          <w:docGrid w:linePitch="360"/>
        </w:sectPr>
      </w:pPr>
      <w:bookmarkStart w:id="197" w:name="_Ref122384116"/>
      <w:bookmarkStart w:id="198" w:name="_Toc153894794"/>
      <w:r>
        <w:t xml:space="preserve">Figure </w:t>
      </w:r>
      <w:fldSimple w:instr=" SEQ Figure \* ARABIC ">
        <w:r w:rsidR="000507B7">
          <w:rPr>
            <w:noProof/>
          </w:rPr>
          <w:t>6</w:t>
        </w:r>
      </w:fldSimple>
      <w:bookmarkEnd w:id="197"/>
      <w:r>
        <w:t xml:space="preserve">: </w:t>
      </w:r>
      <w:r w:rsidRPr="00C9008A">
        <w:rPr>
          <w:sz w:val="22"/>
          <w:szCs w:val="22"/>
        </w:rPr>
        <w:t>Different opinions of healthcare professionals about the current involvement of pharmacists in some diabetes-related services</w:t>
      </w:r>
      <w:bookmarkEnd w:id="198"/>
    </w:p>
    <w:p w14:paraId="73436C75" w14:textId="77777777" w:rsidR="00821B82" w:rsidRPr="003954A6" w:rsidRDefault="00821B82" w:rsidP="00821B82">
      <w:pPr>
        <w:pStyle w:val="Heading5"/>
        <w:spacing w:line="240" w:lineRule="auto"/>
        <w:jc w:val="both"/>
        <w:rPr>
          <w:rFonts w:asciiTheme="minorBidi" w:hAnsiTheme="minorBidi" w:cstheme="minorBidi"/>
          <w:sz w:val="24"/>
          <w:szCs w:val="24"/>
          <w:shd w:val="clear" w:color="auto" w:fill="FFFFFF"/>
        </w:rPr>
      </w:pPr>
      <w:r w:rsidRPr="003954A6">
        <w:rPr>
          <w:rFonts w:asciiTheme="minorBidi" w:hAnsiTheme="minorBidi" w:cstheme="minorBidi"/>
          <w:sz w:val="24"/>
          <w:szCs w:val="24"/>
          <w:shd w:val="clear" w:color="auto" w:fill="FFFFFF"/>
        </w:rPr>
        <w:t>Views of doctors, pharmacists, and nurses on pharmacist involvement in diabetes care in the future</w:t>
      </w:r>
    </w:p>
    <w:p w14:paraId="7CA4C321" w14:textId="77777777" w:rsidR="00821B82" w:rsidRPr="00166CBE" w:rsidRDefault="00821B82" w:rsidP="00821B82">
      <w:pPr>
        <w:spacing w:after="0"/>
      </w:pPr>
    </w:p>
    <w:p w14:paraId="57DEC84A" w14:textId="39F35C7F" w:rsidR="00821B82" w:rsidRPr="00AB523C" w:rsidRDefault="00821B82" w:rsidP="00821B82">
      <w:pPr>
        <w:spacing w:after="0" w:line="360" w:lineRule="auto"/>
        <w:jc w:val="both"/>
        <w:rPr>
          <w:rFonts w:asciiTheme="minorBidi" w:hAnsiTheme="minorBidi"/>
          <w:sz w:val="24"/>
          <w:szCs w:val="24"/>
          <w:shd w:val="clear" w:color="auto" w:fill="FFFFFF"/>
        </w:rPr>
      </w:pPr>
      <w:r w:rsidRPr="00AB523C">
        <w:rPr>
          <w:rFonts w:asciiTheme="minorBidi" w:hAnsiTheme="minorBidi"/>
          <w:sz w:val="24"/>
          <w:szCs w:val="24"/>
          <w:shd w:val="clear" w:color="auto" w:fill="FFFFFF"/>
        </w:rPr>
        <w:t>On the other hand,</w:t>
      </w:r>
      <w:r w:rsidRPr="00AB523C">
        <w:rPr>
          <w:rFonts w:asciiTheme="minorBidi" w:hAnsiTheme="minorBidi"/>
          <w:shd w:val="clear" w:color="auto" w:fill="FFFFFF"/>
        </w:rPr>
        <w:t xml:space="preserve"> </w:t>
      </w:r>
      <w:r w:rsidRPr="00AB523C">
        <w:rPr>
          <w:rFonts w:asciiTheme="minorBidi" w:hAnsiTheme="minorBidi"/>
          <w:sz w:val="24"/>
          <w:szCs w:val="24"/>
          <w:shd w:val="clear" w:color="auto" w:fill="FFFFFF"/>
        </w:rPr>
        <w:t xml:space="preserve">the Fisher’s Exact test did not show any significant differences between those </w:t>
      </w:r>
      <w:r>
        <w:rPr>
          <w:rFonts w:asciiTheme="minorBidi" w:hAnsiTheme="minorBidi"/>
          <w:sz w:val="24"/>
          <w:szCs w:val="24"/>
          <w:shd w:val="clear" w:color="auto" w:fill="FFFFFF"/>
        </w:rPr>
        <w:t>HCP</w:t>
      </w:r>
      <w:r w:rsidRPr="00AB523C">
        <w:rPr>
          <w:rFonts w:asciiTheme="minorBidi" w:hAnsiTheme="minorBidi"/>
          <w:sz w:val="24"/>
          <w:szCs w:val="24"/>
          <w:shd w:val="clear" w:color="auto" w:fill="FFFFFF"/>
        </w:rPr>
        <w:t xml:space="preserve">s’ perceptions of the potential for different pharmacist roles in diabetes primary care management in </w:t>
      </w:r>
      <w:r>
        <w:rPr>
          <w:rFonts w:asciiTheme="minorBidi" w:hAnsiTheme="minorBidi"/>
          <w:sz w:val="24"/>
          <w:szCs w:val="24"/>
          <w:shd w:val="clear" w:color="auto" w:fill="FFFFFF"/>
        </w:rPr>
        <w:t>SA</w:t>
      </w:r>
      <w:r w:rsidRPr="00AB523C">
        <w:rPr>
          <w:rFonts w:asciiTheme="minorBidi" w:hAnsiTheme="minorBidi"/>
          <w:sz w:val="24"/>
          <w:szCs w:val="24"/>
          <w:shd w:val="clear" w:color="auto" w:fill="FFFFFF"/>
        </w:rPr>
        <w:t xml:space="preserve"> in the future except for the following activities: the verifying, preparing and dispensing of prescriptions, counselling and educating patients, and the prescribing of medications, whether independently or dependently. With closer inspection of the data, there were slight differences in the level of agreement between the three professional groups in verifying, preparing and dispensing the prescriptions, and counselling and educating patients. As shown in</w:t>
      </w:r>
      <w:r>
        <w:rPr>
          <w:rFonts w:asciiTheme="minorBidi" w:hAnsiTheme="minorBidi"/>
          <w:color w:val="1F3864" w:themeColor="accent1" w:themeShade="80"/>
          <w:sz w:val="24"/>
          <w:szCs w:val="24"/>
          <w:shd w:val="clear" w:color="auto" w:fill="FFFFFF"/>
        </w:rPr>
        <w:t xml:space="preserve"> </w:t>
      </w:r>
      <w:r w:rsidRPr="00FF61BD">
        <w:rPr>
          <w:rFonts w:asciiTheme="minorBidi" w:hAnsiTheme="minorBidi"/>
          <w:color w:val="1F3864" w:themeColor="accent1" w:themeShade="80"/>
          <w:sz w:val="24"/>
          <w:szCs w:val="24"/>
          <w:shd w:val="clear" w:color="auto" w:fill="FFFFFF"/>
        </w:rPr>
        <w:fldChar w:fldCharType="begin"/>
      </w:r>
      <w:r w:rsidRPr="00FF61BD">
        <w:rPr>
          <w:rFonts w:asciiTheme="minorBidi" w:hAnsiTheme="minorBidi"/>
          <w:color w:val="1F3864" w:themeColor="accent1" w:themeShade="80"/>
          <w:sz w:val="24"/>
          <w:szCs w:val="24"/>
          <w:shd w:val="clear" w:color="auto" w:fill="FFFFFF"/>
        </w:rPr>
        <w:instrText xml:space="preserve"> REF _Ref122819743 \h  \* MERGEFORMAT </w:instrText>
      </w:r>
      <w:r w:rsidRPr="00FF61BD">
        <w:rPr>
          <w:rFonts w:asciiTheme="minorBidi" w:hAnsiTheme="minorBidi"/>
          <w:color w:val="1F3864" w:themeColor="accent1" w:themeShade="80"/>
          <w:sz w:val="24"/>
          <w:szCs w:val="24"/>
          <w:shd w:val="clear" w:color="auto" w:fill="FFFFFF"/>
        </w:rPr>
      </w:r>
      <w:r w:rsidRPr="00FF61BD">
        <w:rPr>
          <w:rFonts w:asciiTheme="minorBidi" w:hAnsiTheme="minorBidi"/>
          <w:color w:val="1F3864" w:themeColor="accent1" w:themeShade="80"/>
          <w:sz w:val="24"/>
          <w:szCs w:val="24"/>
          <w:shd w:val="clear" w:color="auto" w:fill="FFFFFF"/>
        </w:rPr>
        <w:fldChar w:fldCharType="separate"/>
      </w:r>
      <w:r w:rsidR="00996795" w:rsidRPr="00996795">
        <w:rPr>
          <w:rFonts w:asciiTheme="minorBidi" w:hAnsiTheme="minorBidi"/>
          <w:color w:val="1F3864" w:themeColor="accent1" w:themeShade="80"/>
          <w:sz w:val="24"/>
          <w:szCs w:val="24"/>
          <w:shd w:val="clear" w:color="auto" w:fill="FFFFFF"/>
        </w:rPr>
        <w:t>Figure 7</w:t>
      </w:r>
      <w:r w:rsidRPr="00FF61BD">
        <w:rPr>
          <w:rFonts w:asciiTheme="minorBidi" w:hAnsiTheme="minorBidi"/>
          <w:color w:val="1F3864" w:themeColor="accent1" w:themeShade="80"/>
          <w:sz w:val="24"/>
          <w:szCs w:val="24"/>
          <w:shd w:val="clear" w:color="auto" w:fill="FFFFFF"/>
        </w:rPr>
        <w:fldChar w:fldCharType="end"/>
      </w:r>
      <w:r w:rsidRPr="00AB523C">
        <w:rPr>
          <w:rFonts w:asciiTheme="minorBidi" w:hAnsiTheme="minorBidi"/>
          <w:sz w:val="24"/>
          <w:szCs w:val="24"/>
          <w:shd w:val="clear" w:color="auto" w:fill="FFFFFF"/>
        </w:rPr>
        <w:t xml:space="preserve">, 90% of doctors, 87% of pharmacists, and 85% of nurses agreed on the activity of preparing and dispensing the prescriptions, 94% of doctors, 90% of pharmacists, and 85% of nurses agreed on the verification of prescriptions, and 94% of doctors, 94% of pharmacists, and 89% of nurses agreed on the  patient counselling and education.  </w:t>
      </w:r>
    </w:p>
    <w:p w14:paraId="18B6B01A" w14:textId="0C18AFDE" w:rsidR="00821B82" w:rsidRPr="00AB523C" w:rsidRDefault="00821B82" w:rsidP="00821B82">
      <w:pPr>
        <w:pStyle w:val="NormalWeb"/>
        <w:spacing w:line="360" w:lineRule="auto"/>
        <w:jc w:val="both"/>
        <w:rPr>
          <w:rFonts w:asciiTheme="minorBidi" w:hAnsiTheme="minorBidi"/>
          <w:shd w:val="clear" w:color="auto" w:fill="FFFFFF"/>
        </w:rPr>
      </w:pPr>
      <w:r w:rsidRPr="00AB523C">
        <w:rPr>
          <w:rFonts w:asciiTheme="minorBidi" w:hAnsiTheme="minorBidi"/>
          <w:shd w:val="clear" w:color="auto" w:fill="FFFFFF"/>
        </w:rPr>
        <w:t>The significant differences was shown between those of t</w:t>
      </w:r>
      <w:r>
        <w:rPr>
          <w:rFonts w:asciiTheme="minorBidi" w:hAnsiTheme="minorBidi"/>
          <w:shd w:val="clear" w:color="auto" w:fill="FFFFFF"/>
        </w:rPr>
        <w:t>he</w:t>
      </w:r>
      <w:r w:rsidRPr="00AB523C">
        <w:rPr>
          <w:rFonts w:asciiTheme="minorBidi" w:hAnsiTheme="minorBidi"/>
          <w:shd w:val="clear" w:color="auto" w:fill="FFFFFF"/>
        </w:rPr>
        <w:t xml:space="preserve"> three professions toward independent prescribing of pharmacists roles. </w:t>
      </w:r>
      <w:r w:rsidRPr="00AB523C">
        <w:rPr>
          <w:rFonts w:asciiTheme="minorBidi" w:hAnsiTheme="minorBidi"/>
        </w:rPr>
        <w:t>As mentioned above and shown in</w:t>
      </w:r>
      <w:r w:rsidRPr="007A22B6">
        <w:rPr>
          <w:rFonts w:asciiTheme="minorBidi" w:hAnsiTheme="minorBidi"/>
          <w:color w:val="1F3864" w:themeColor="accent1" w:themeShade="80"/>
        </w:rPr>
        <w:t xml:space="preserve"> </w:t>
      </w:r>
      <w:r w:rsidRPr="007A22B6">
        <w:rPr>
          <w:rFonts w:asciiTheme="minorBidi" w:hAnsiTheme="minorBidi" w:cstheme="minorBidi"/>
          <w:color w:val="1F3864" w:themeColor="accent1" w:themeShade="80"/>
        </w:rPr>
        <w:fldChar w:fldCharType="begin"/>
      </w:r>
      <w:r w:rsidRPr="007A22B6">
        <w:rPr>
          <w:rFonts w:asciiTheme="minorBidi" w:hAnsiTheme="minorBidi" w:cstheme="minorBidi"/>
          <w:color w:val="1F3864" w:themeColor="accent1" w:themeShade="80"/>
        </w:rPr>
        <w:instrText xml:space="preserve"> REF _Ref122366365 \h </w:instrText>
      </w:r>
      <w:r w:rsidRPr="007A22B6">
        <w:rPr>
          <w:rFonts w:asciiTheme="minorBidi" w:hAnsiTheme="minorBidi"/>
          <w:color w:val="1F3864" w:themeColor="accent1" w:themeShade="80"/>
        </w:rPr>
        <w:instrText xml:space="preserve"> \* MERGEFORMAT </w:instrText>
      </w:r>
      <w:r w:rsidRPr="007A22B6">
        <w:rPr>
          <w:rFonts w:asciiTheme="minorBidi" w:hAnsiTheme="minorBidi" w:cstheme="minorBidi"/>
          <w:color w:val="1F3864" w:themeColor="accent1" w:themeShade="80"/>
        </w:rPr>
      </w:r>
      <w:r w:rsidRPr="007A22B6">
        <w:rPr>
          <w:rFonts w:asciiTheme="minorBidi" w:hAnsiTheme="minorBidi" w:cstheme="minorBidi"/>
          <w:color w:val="1F3864" w:themeColor="accent1" w:themeShade="80"/>
        </w:rPr>
        <w:fldChar w:fldCharType="separate"/>
      </w:r>
      <w:r w:rsidR="00996795" w:rsidRPr="00996795">
        <w:rPr>
          <w:rFonts w:asciiTheme="minorBidi" w:hAnsiTheme="minorBidi" w:cstheme="minorBidi"/>
          <w:color w:val="1F3864" w:themeColor="accent1" w:themeShade="80"/>
        </w:rPr>
        <w:t xml:space="preserve">Figure </w:t>
      </w:r>
      <w:r w:rsidR="00996795" w:rsidRPr="00996795">
        <w:rPr>
          <w:rFonts w:asciiTheme="minorBidi" w:hAnsiTheme="minorBidi" w:cstheme="minorBidi"/>
          <w:noProof/>
          <w:color w:val="1F3864" w:themeColor="accent1" w:themeShade="80"/>
        </w:rPr>
        <w:t>4</w:t>
      </w:r>
      <w:r w:rsidRPr="007A22B6">
        <w:rPr>
          <w:rFonts w:asciiTheme="minorBidi" w:hAnsiTheme="minorBidi" w:cstheme="minorBidi"/>
          <w:color w:val="1F3864" w:themeColor="accent1" w:themeShade="80"/>
        </w:rPr>
        <w:fldChar w:fldCharType="end"/>
      </w:r>
      <w:r w:rsidRPr="00AB523C">
        <w:rPr>
          <w:rFonts w:asciiTheme="minorBidi" w:hAnsiTheme="minorBidi"/>
          <w:shd w:val="clear" w:color="auto" w:fill="FFFFFF"/>
        </w:rPr>
        <w:t xml:space="preserve"> (about 70% of doctors showed disagreement toward pharmacists' independent prescribing role, whether currently or in the future, in contrast, more than 70% of nurses agreed or strongly agreed on this role. While the level of agreeing among pharmacists on this role was around 50%). </w:t>
      </w:r>
    </w:p>
    <w:p w14:paraId="338E9A88" w14:textId="0D46C135" w:rsidR="00821B82" w:rsidRPr="007278EF" w:rsidRDefault="00821B82" w:rsidP="00821B82">
      <w:pPr>
        <w:pStyle w:val="NormalWeb"/>
        <w:spacing w:line="360" w:lineRule="auto"/>
        <w:jc w:val="both"/>
        <w:rPr>
          <w:rFonts w:asciiTheme="minorBidi" w:hAnsiTheme="minorBidi"/>
          <w:color w:val="1F3864" w:themeColor="accent1" w:themeShade="80"/>
          <w:shd w:val="clear" w:color="auto" w:fill="FFFFFF"/>
        </w:rPr>
      </w:pPr>
      <w:r>
        <w:rPr>
          <w:rFonts w:asciiTheme="minorBidi" w:hAnsiTheme="minorBidi"/>
          <w:shd w:val="clear" w:color="auto" w:fill="FFFFFF"/>
        </w:rPr>
        <w:t>T</w:t>
      </w:r>
      <w:r w:rsidRPr="00B10261">
        <w:rPr>
          <w:rFonts w:asciiTheme="minorBidi" w:hAnsiTheme="minorBidi"/>
          <w:shd w:val="clear" w:color="auto" w:fill="FFFFFF"/>
        </w:rPr>
        <w:t xml:space="preserve">he attitude of </w:t>
      </w:r>
      <w:r>
        <w:rPr>
          <w:rFonts w:asciiTheme="minorBidi" w:hAnsiTheme="minorBidi"/>
          <w:shd w:val="clear" w:color="auto" w:fill="FFFFFF"/>
        </w:rPr>
        <w:t>HCPs</w:t>
      </w:r>
      <w:r w:rsidRPr="00B10261">
        <w:rPr>
          <w:rFonts w:asciiTheme="minorBidi" w:hAnsiTheme="minorBidi"/>
          <w:shd w:val="clear" w:color="auto" w:fill="FFFFFF"/>
        </w:rPr>
        <w:t xml:space="preserve"> towards the pharmacist as an independent prescriber</w:t>
      </w:r>
      <w:r>
        <w:rPr>
          <w:rFonts w:asciiTheme="minorBidi" w:hAnsiTheme="minorBidi"/>
          <w:shd w:val="clear" w:color="auto" w:fill="FFFFFF"/>
        </w:rPr>
        <w:t xml:space="preserve"> was one</w:t>
      </w:r>
      <w:r w:rsidRPr="00B10261">
        <w:rPr>
          <w:rFonts w:asciiTheme="minorBidi" w:hAnsiTheme="minorBidi"/>
          <w:shd w:val="clear" w:color="auto" w:fill="FFFFFF"/>
        </w:rPr>
        <w:t xml:space="preserve"> of the most interesting findings in this section</w:t>
      </w:r>
      <w:r>
        <w:rPr>
          <w:rFonts w:asciiTheme="minorBidi" w:hAnsiTheme="minorBidi"/>
          <w:shd w:val="clear" w:color="auto" w:fill="FFFFFF"/>
        </w:rPr>
        <w:t xml:space="preserve">. </w:t>
      </w:r>
      <w:r w:rsidRPr="00B10261">
        <w:rPr>
          <w:rFonts w:asciiTheme="minorBidi" w:hAnsiTheme="minorBidi"/>
          <w:shd w:val="clear" w:color="auto" w:fill="FFFFFF"/>
        </w:rPr>
        <w:t xml:space="preserve">Attitudes differed according to the profession. </w:t>
      </w:r>
      <w:r>
        <w:rPr>
          <w:rFonts w:asciiTheme="minorBidi" w:hAnsiTheme="minorBidi"/>
          <w:shd w:val="clear" w:color="auto" w:fill="FFFFFF"/>
        </w:rPr>
        <w:t>D</w:t>
      </w:r>
      <w:r w:rsidRPr="00B10261">
        <w:rPr>
          <w:rFonts w:asciiTheme="minorBidi" w:hAnsiTheme="minorBidi"/>
          <w:shd w:val="clear" w:color="auto" w:fill="FFFFFF"/>
        </w:rPr>
        <w:t>octors</w:t>
      </w:r>
      <w:r>
        <w:rPr>
          <w:rFonts w:asciiTheme="minorBidi" w:hAnsiTheme="minorBidi"/>
          <w:shd w:val="clear" w:color="auto" w:fill="FFFFFF"/>
        </w:rPr>
        <w:t xml:space="preserve"> had a negative</w:t>
      </w:r>
      <w:r w:rsidRPr="00B10261">
        <w:rPr>
          <w:rFonts w:asciiTheme="minorBidi" w:hAnsiTheme="minorBidi"/>
          <w:shd w:val="clear" w:color="auto" w:fill="FFFFFF"/>
        </w:rPr>
        <w:t xml:space="preserve"> attitude about pharmacists playing this role, w</w:t>
      </w:r>
      <w:r>
        <w:rPr>
          <w:rFonts w:asciiTheme="minorBidi" w:hAnsiTheme="minorBidi"/>
          <w:shd w:val="clear" w:color="auto" w:fill="FFFFFF"/>
        </w:rPr>
        <w:t>h</w:t>
      </w:r>
      <w:r w:rsidRPr="00B10261">
        <w:rPr>
          <w:rFonts w:asciiTheme="minorBidi" w:hAnsiTheme="minorBidi"/>
          <w:shd w:val="clear" w:color="auto" w:fill="FFFFFF"/>
        </w:rPr>
        <w:t xml:space="preserve">ether currently or in the future. On the other hand, </w:t>
      </w:r>
      <w:r>
        <w:rPr>
          <w:rFonts w:asciiTheme="minorBidi" w:hAnsiTheme="minorBidi"/>
          <w:shd w:val="clear" w:color="auto" w:fill="FFFFFF"/>
        </w:rPr>
        <w:t xml:space="preserve">the </w:t>
      </w:r>
      <w:r w:rsidRPr="00B10261">
        <w:rPr>
          <w:rFonts w:asciiTheme="minorBidi" w:hAnsiTheme="minorBidi"/>
          <w:shd w:val="clear" w:color="auto" w:fill="FFFFFF"/>
        </w:rPr>
        <w:t>nurses' attitude was positive current</w:t>
      </w:r>
      <w:r>
        <w:rPr>
          <w:rFonts w:asciiTheme="minorBidi" w:hAnsiTheme="minorBidi"/>
          <w:shd w:val="clear" w:color="auto" w:fill="FFFFFF"/>
        </w:rPr>
        <w:t>ly</w:t>
      </w:r>
      <w:r w:rsidRPr="00B10261">
        <w:rPr>
          <w:rFonts w:asciiTheme="minorBidi" w:hAnsiTheme="minorBidi"/>
          <w:shd w:val="clear" w:color="auto" w:fill="FFFFFF"/>
        </w:rPr>
        <w:t xml:space="preserve"> and </w:t>
      </w:r>
      <w:r>
        <w:rPr>
          <w:rFonts w:asciiTheme="minorBidi" w:hAnsiTheme="minorBidi"/>
          <w:shd w:val="clear" w:color="auto" w:fill="FFFFFF"/>
        </w:rPr>
        <w:t>for</w:t>
      </w:r>
      <w:r w:rsidRPr="00B10261">
        <w:rPr>
          <w:rFonts w:asciiTheme="minorBidi" w:hAnsiTheme="minorBidi"/>
          <w:shd w:val="clear" w:color="auto" w:fill="FFFFFF"/>
        </w:rPr>
        <w:t xml:space="preserve"> the future, while </w:t>
      </w:r>
      <w:r>
        <w:rPr>
          <w:rFonts w:asciiTheme="minorBidi" w:hAnsiTheme="minorBidi"/>
          <w:shd w:val="clear" w:color="auto" w:fill="FFFFFF"/>
        </w:rPr>
        <w:t xml:space="preserve">the </w:t>
      </w:r>
      <w:r w:rsidRPr="00B10261">
        <w:rPr>
          <w:rFonts w:asciiTheme="minorBidi" w:hAnsiTheme="minorBidi"/>
          <w:shd w:val="clear" w:color="auto" w:fill="FFFFFF"/>
        </w:rPr>
        <w:t xml:space="preserve">pharmacists' attitude was neutral currently and </w:t>
      </w:r>
      <w:r>
        <w:rPr>
          <w:rFonts w:asciiTheme="minorBidi" w:hAnsiTheme="minorBidi"/>
          <w:shd w:val="clear" w:color="auto" w:fill="FFFFFF"/>
        </w:rPr>
        <w:t>for</w:t>
      </w:r>
      <w:r w:rsidRPr="00B10261">
        <w:rPr>
          <w:rFonts w:asciiTheme="minorBidi" w:hAnsiTheme="minorBidi"/>
          <w:shd w:val="clear" w:color="auto" w:fill="FFFFFF"/>
        </w:rPr>
        <w:t xml:space="preserve"> the future. However, all three groups reported higher levels of agreement on the dependent prescribing role compared to the independent pharmacist prescribing role.</w:t>
      </w:r>
      <w:r>
        <w:rPr>
          <w:rFonts w:asciiTheme="minorBidi" w:hAnsiTheme="minorBidi"/>
          <w:shd w:val="clear" w:color="auto" w:fill="FFFFFF"/>
        </w:rPr>
        <w:t xml:space="preserve"> </w:t>
      </w:r>
      <w:r w:rsidRPr="00B10261">
        <w:rPr>
          <w:rFonts w:asciiTheme="minorBidi" w:hAnsiTheme="minorBidi"/>
          <w:shd w:val="clear" w:color="auto" w:fill="FFFFFF"/>
        </w:rPr>
        <w:t xml:space="preserve">See </w:t>
      </w:r>
      <w:r w:rsidRPr="007278EF">
        <w:rPr>
          <w:rFonts w:asciiTheme="minorBidi" w:hAnsiTheme="minorBidi"/>
          <w:color w:val="1F3864" w:themeColor="accent1" w:themeShade="80"/>
          <w:shd w:val="clear" w:color="auto" w:fill="FFFFFF"/>
        </w:rPr>
        <w:fldChar w:fldCharType="begin"/>
      </w:r>
      <w:r w:rsidRPr="007278EF">
        <w:rPr>
          <w:rFonts w:asciiTheme="minorBidi" w:hAnsiTheme="minorBidi"/>
          <w:color w:val="1F3864" w:themeColor="accent1" w:themeShade="80"/>
          <w:shd w:val="clear" w:color="auto" w:fill="FFFFFF"/>
        </w:rPr>
        <w:instrText xml:space="preserve"> REF _Ref122820249 \h  \* MERGEFORMAT </w:instrText>
      </w:r>
      <w:r w:rsidRPr="007278EF">
        <w:rPr>
          <w:rFonts w:asciiTheme="minorBidi" w:hAnsiTheme="minorBidi"/>
          <w:color w:val="1F3864" w:themeColor="accent1" w:themeShade="80"/>
          <w:shd w:val="clear" w:color="auto" w:fill="FFFFFF"/>
        </w:rPr>
      </w:r>
      <w:r w:rsidRPr="007278EF">
        <w:rPr>
          <w:rFonts w:asciiTheme="minorBidi" w:hAnsiTheme="minorBidi"/>
          <w:color w:val="1F3864" w:themeColor="accent1" w:themeShade="80"/>
          <w:shd w:val="clear" w:color="auto" w:fill="FFFFFF"/>
        </w:rPr>
        <w:fldChar w:fldCharType="separate"/>
      </w:r>
      <w:r w:rsidR="006E3DC7" w:rsidRPr="006E3DC7">
        <w:rPr>
          <w:rFonts w:asciiTheme="minorBidi" w:hAnsiTheme="minorBidi"/>
          <w:color w:val="1F3864" w:themeColor="accent1" w:themeShade="80"/>
          <w:shd w:val="clear" w:color="auto" w:fill="FFFFFF"/>
        </w:rPr>
        <w:t>Figure 8</w:t>
      </w:r>
      <w:r w:rsidRPr="007278EF">
        <w:rPr>
          <w:rFonts w:asciiTheme="minorBidi" w:hAnsiTheme="minorBidi"/>
          <w:color w:val="1F3864" w:themeColor="accent1" w:themeShade="80"/>
          <w:shd w:val="clear" w:color="auto" w:fill="FFFFFF"/>
        </w:rPr>
        <w:fldChar w:fldCharType="end"/>
      </w:r>
      <w:r w:rsidRPr="007278EF">
        <w:rPr>
          <w:rFonts w:asciiTheme="minorBidi" w:hAnsiTheme="minorBidi"/>
          <w:color w:val="1F3864" w:themeColor="accent1" w:themeShade="80"/>
          <w:shd w:val="clear" w:color="auto" w:fill="FFFFFF"/>
        </w:rPr>
        <w:fldChar w:fldCharType="begin"/>
      </w:r>
      <w:r w:rsidRPr="007278EF">
        <w:rPr>
          <w:rFonts w:asciiTheme="minorBidi" w:hAnsiTheme="minorBidi"/>
          <w:color w:val="1F3864" w:themeColor="accent1" w:themeShade="80"/>
          <w:shd w:val="clear" w:color="auto" w:fill="FFFFFF"/>
        </w:rPr>
        <w:instrText xml:space="preserve"> REF _Ref122819743 \h  \* MERGEFORMAT </w:instrText>
      </w:r>
      <w:r w:rsidRPr="007278EF">
        <w:rPr>
          <w:rFonts w:asciiTheme="minorBidi" w:hAnsiTheme="minorBidi"/>
          <w:color w:val="1F3864" w:themeColor="accent1" w:themeShade="80"/>
          <w:shd w:val="clear" w:color="auto" w:fill="FFFFFF"/>
        </w:rPr>
      </w:r>
      <w:r w:rsidR="00000000">
        <w:rPr>
          <w:rFonts w:asciiTheme="minorBidi" w:hAnsiTheme="minorBidi"/>
          <w:color w:val="1F3864" w:themeColor="accent1" w:themeShade="80"/>
          <w:shd w:val="clear" w:color="auto" w:fill="FFFFFF"/>
        </w:rPr>
        <w:fldChar w:fldCharType="separate"/>
      </w:r>
      <w:r w:rsidRPr="007278EF">
        <w:rPr>
          <w:rFonts w:asciiTheme="minorBidi" w:hAnsiTheme="minorBidi"/>
          <w:color w:val="1F3864" w:themeColor="accent1" w:themeShade="80"/>
          <w:shd w:val="clear" w:color="auto" w:fill="FFFFFF"/>
        </w:rPr>
        <w:fldChar w:fldCharType="end"/>
      </w:r>
      <w:r w:rsidRPr="007278EF">
        <w:rPr>
          <w:rFonts w:asciiTheme="minorBidi" w:hAnsiTheme="minorBidi"/>
          <w:color w:val="1F3864" w:themeColor="accent1" w:themeShade="80"/>
          <w:shd w:val="clear" w:color="auto" w:fill="FFFFFF"/>
        </w:rPr>
        <w:t>.</w:t>
      </w:r>
    </w:p>
    <w:p w14:paraId="00CB1905" w14:textId="3D5A66E0" w:rsidR="00821B82" w:rsidRDefault="00821B82" w:rsidP="00821B82">
      <w:pPr>
        <w:pStyle w:val="NormalWeb"/>
        <w:spacing w:line="360" w:lineRule="auto"/>
        <w:rPr>
          <w:rFonts w:asciiTheme="minorBidi" w:hAnsiTheme="minorBidi"/>
          <w:shd w:val="clear" w:color="auto" w:fill="FFFFFF"/>
        </w:rPr>
      </w:pPr>
      <w:r w:rsidRPr="00B10261">
        <w:rPr>
          <w:rFonts w:asciiTheme="minorBidi" w:hAnsiTheme="minorBidi"/>
          <w:shd w:val="clear" w:color="auto" w:fill="FFFFFF"/>
        </w:rPr>
        <w:t xml:space="preserve">What stands out in this section is that most participants showed their agreement with the involvement of pharmacists in most </w:t>
      </w:r>
      <w:r>
        <w:rPr>
          <w:rFonts w:asciiTheme="minorBidi" w:hAnsiTheme="minorBidi"/>
          <w:shd w:val="clear" w:color="auto" w:fill="FFFFFF"/>
        </w:rPr>
        <w:t xml:space="preserve">of the </w:t>
      </w:r>
      <w:r w:rsidRPr="00B10261">
        <w:rPr>
          <w:rFonts w:asciiTheme="minorBidi" w:hAnsiTheme="minorBidi"/>
          <w:shd w:val="clear" w:color="auto" w:fill="FFFFFF"/>
        </w:rPr>
        <w:t>diabetes</w:t>
      </w:r>
      <w:r>
        <w:rPr>
          <w:rFonts w:asciiTheme="minorBidi" w:hAnsiTheme="minorBidi"/>
          <w:shd w:val="clear" w:color="auto" w:fill="FFFFFF"/>
        </w:rPr>
        <w:t>-</w:t>
      </w:r>
      <w:r w:rsidRPr="00B10261">
        <w:rPr>
          <w:rFonts w:asciiTheme="minorBidi" w:hAnsiTheme="minorBidi"/>
          <w:shd w:val="clear" w:color="auto" w:fill="FFFFFF"/>
        </w:rPr>
        <w:t xml:space="preserve">related services </w:t>
      </w:r>
      <w:r>
        <w:rPr>
          <w:rFonts w:asciiTheme="minorBidi" w:hAnsiTheme="minorBidi"/>
          <w:shd w:val="clear" w:color="auto" w:fill="FFFFFF"/>
        </w:rPr>
        <w:t>lis</w:t>
      </w:r>
      <w:r w:rsidRPr="00B10261">
        <w:rPr>
          <w:rFonts w:asciiTheme="minorBidi" w:hAnsiTheme="minorBidi"/>
          <w:shd w:val="clear" w:color="auto" w:fill="FFFFFF"/>
        </w:rPr>
        <w:t>ted in</w:t>
      </w:r>
      <w:r>
        <w:rPr>
          <w:rFonts w:asciiTheme="minorBidi" w:hAnsiTheme="minorBidi"/>
          <w:shd w:val="clear" w:color="auto" w:fill="FFFFFF"/>
        </w:rPr>
        <w:t xml:space="preserve"> </w:t>
      </w:r>
      <w:r w:rsidRPr="00740309">
        <w:rPr>
          <w:rFonts w:asciiTheme="minorBidi" w:hAnsiTheme="minorBidi"/>
          <w:color w:val="1F3864" w:themeColor="accent1" w:themeShade="80"/>
          <w:shd w:val="clear" w:color="auto" w:fill="FFFFFF"/>
        </w:rPr>
        <w:fldChar w:fldCharType="begin"/>
      </w:r>
      <w:r w:rsidRPr="00740309">
        <w:rPr>
          <w:rFonts w:asciiTheme="minorBidi" w:hAnsiTheme="minorBidi"/>
          <w:color w:val="1F3864" w:themeColor="accent1" w:themeShade="80"/>
          <w:shd w:val="clear" w:color="auto" w:fill="FFFFFF"/>
        </w:rPr>
        <w:instrText xml:space="preserve"> REF _Ref122361173 \h  \* MERGEFORMAT </w:instrText>
      </w:r>
      <w:r w:rsidRPr="00740309">
        <w:rPr>
          <w:rFonts w:asciiTheme="minorBidi" w:hAnsiTheme="minorBidi"/>
          <w:color w:val="1F3864" w:themeColor="accent1" w:themeShade="80"/>
          <w:shd w:val="clear" w:color="auto" w:fill="FFFFFF"/>
        </w:rPr>
      </w:r>
      <w:r w:rsidRPr="00740309">
        <w:rPr>
          <w:rFonts w:asciiTheme="minorBidi" w:hAnsiTheme="minorBidi"/>
          <w:color w:val="1F3864" w:themeColor="accent1" w:themeShade="80"/>
          <w:shd w:val="clear" w:color="auto" w:fill="FFFFFF"/>
        </w:rPr>
        <w:fldChar w:fldCharType="separate"/>
      </w:r>
      <w:r w:rsidR="006E3DC7" w:rsidRPr="006E3DC7">
        <w:rPr>
          <w:rFonts w:asciiTheme="minorBidi" w:hAnsiTheme="minorBidi"/>
          <w:color w:val="1F3864" w:themeColor="accent1" w:themeShade="80"/>
          <w:shd w:val="clear" w:color="auto" w:fill="FFFFFF"/>
        </w:rPr>
        <w:t>Table 16</w:t>
      </w:r>
      <w:r w:rsidRPr="00740309">
        <w:rPr>
          <w:rFonts w:asciiTheme="minorBidi" w:hAnsiTheme="minorBidi"/>
          <w:color w:val="1F3864" w:themeColor="accent1" w:themeShade="80"/>
          <w:shd w:val="clear" w:color="auto" w:fill="FFFFFF"/>
        </w:rPr>
        <w:fldChar w:fldCharType="end"/>
      </w:r>
      <w:r w:rsidRPr="00740309">
        <w:rPr>
          <w:rFonts w:asciiTheme="minorBidi" w:hAnsiTheme="minorBidi"/>
          <w:color w:val="1F3864" w:themeColor="accent1" w:themeShade="80"/>
          <w:shd w:val="clear" w:color="auto" w:fill="FFFFFF"/>
        </w:rPr>
        <w:t>.</w:t>
      </w:r>
      <w:r>
        <w:rPr>
          <w:rFonts w:asciiTheme="minorBidi" w:hAnsiTheme="minorBidi"/>
          <w:shd w:val="clear" w:color="auto" w:fill="FFFFFF"/>
        </w:rPr>
        <w:t xml:space="preserve"> </w:t>
      </w:r>
      <w:r w:rsidRPr="00B10261">
        <w:rPr>
          <w:rFonts w:asciiTheme="minorBidi" w:hAnsiTheme="minorBidi"/>
          <w:shd w:val="clear" w:color="auto" w:fill="FFFFFF"/>
        </w:rPr>
        <w:t xml:space="preserve">Together these results provide important insights into pharmacists’ involvement in diabetes management. The next chapter, therefore, moves on to discuss the potential impact of pharmacist involvement in diabetes care in </w:t>
      </w:r>
      <w:r>
        <w:rPr>
          <w:rFonts w:asciiTheme="minorBidi" w:hAnsiTheme="minorBidi"/>
          <w:shd w:val="clear" w:color="auto" w:fill="FFFFFF"/>
        </w:rPr>
        <w:t>PHC</w:t>
      </w:r>
      <w:r w:rsidRPr="00B10261">
        <w:rPr>
          <w:rFonts w:asciiTheme="minorBidi" w:hAnsiTheme="minorBidi"/>
          <w:shd w:val="clear" w:color="auto" w:fill="FFFFFF"/>
        </w:rPr>
        <w:t xml:space="preserve"> in </w:t>
      </w:r>
      <w:r>
        <w:rPr>
          <w:rFonts w:asciiTheme="minorBidi" w:hAnsiTheme="minorBidi"/>
          <w:shd w:val="clear" w:color="auto" w:fill="FFFFFF"/>
        </w:rPr>
        <w:t>SA</w:t>
      </w:r>
      <w:r w:rsidRPr="00B10261">
        <w:rPr>
          <w:rFonts w:asciiTheme="minorBidi" w:hAnsiTheme="minorBidi"/>
          <w:shd w:val="clear" w:color="auto" w:fill="FFFFFF"/>
        </w:rPr>
        <w:t xml:space="preserve"> from the point of view of </w:t>
      </w:r>
      <w:r>
        <w:rPr>
          <w:rFonts w:asciiTheme="minorBidi" w:hAnsiTheme="minorBidi"/>
          <w:shd w:val="clear" w:color="auto" w:fill="FFFFFF"/>
        </w:rPr>
        <w:t>HCPs.</w:t>
      </w:r>
    </w:p>
    <w:p w14:paraId="0A8B7E7B" w14:textId="77777777" w:rsidR="00821B82" w:rsidRDefault="00821B82" w:rsidP="00821B82">
      <w:pPr>
        <w:pStyle w:val="NormalWeb"/>
        <w:spacing w:line="360" w:lineRule="auto"/>
        <w:rPr>
          <w:rFonts w:asciiTheme="minorBidi" w:hAnsiTheme="minorBidi"/>
          <w:shd w:val="clear" w:color="auto" w:fill="FFFFFF"/>
        </w:rPr>
        <w:sectPr w:rsidR="00821B82" w:rsidSect="00282204">
          <w:pgSz w:w="12240" w:h="15840"/>
          <w:pgMar w:top="1440" w:right="1440" w:bottom="1440" w:left="1440" w:header="720" w:footer="720" w:gutter="0"/>
          <w:cols w:space="720"/>
          <w:docGrid w:linePitch="360"/>
        </w:sectPr>
      </w:pPr>
    </w:p>
    <w:p w14:paraId="247FE7DD" w14:textId="77777777" w:rsidR="00821B82" w:rsidRDefault="00821B82" w:rsidP="00821B82">
      <w:pPr>
        <w:pStyle w:val="NormalWeb"/>
        <w:spacing w:line="360" w:lineRule="auto"/>
        <w:rPr>
          <w:rFonts w:asciiTheme="minorBidi" w:hAnsiTheme="minorBidi"/>
          <w:shd w:val="clear" w:color="auto" w:fill="FFFFFF"/>
        </w:rPr>
      </w:pPr>
      <w:r>
        <w:rPr>
          <w:noProof/>
        </w:rPr>
        <w:drawing>
          <wp:inline distT="0" distB="0" distL="0" distR="0" wp14:anchorId="3B413EB0" wp14:editId="510EC791">
            <wp:extent cx="8229600" cy="2750387"/>
            <wp:effectExtent l="0" t="0" r="0" b="12065"/>
            <wp:docPr id="30" name="Chart 30">
              <a:extLst xmlns:a="http://schemas.openxmlformats.org/drawingml/2006/main">
                <a:ext uri="{FF2B5EF4-FFF2-40B4-BE49-F238E27FC236}">
                  <a16:creationId xmlns:a16="http://schemas.microsoft.com/office/drawing/2014/main" id="{C4048028-C12B-2708-7F4A-A972F9537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EECA95" w14:textId="77777777" w:rsidR="00821B82" w:rsidRDefault="00821B82" w:rsidP="00821B82">
      <w:pPr>
        <w:pStyle w:val="NormalWeb"/>
        <w:spacing w:line="360" w:lineRule="auto"/>
        <w:rPr>
          <w:rFonts w:asciiTheme="minorBidi" w:hAnsiTheme="minorBidi"/>
          <w:shd w:val="clear" w:color="auto" w:fill="FFFFFF"/>
        </w:rPr>
      </w:pPr>
      <w:r>
        <w:rPr>
          <w:noProof/>
        </w:rPr>
        <w:drawing>
          <wp:inline distT="0" distB="0" distL="0" distR="0" wp14:anchorId="3F0AF984" wp14:editId="23130FC0">
            <wp:extent cx="8229600" cy="1996361"/>
            <wp:effectExtent l="0" t="0" r="0" b="4445"/>
            <wp:docPr id="31" name="Chart 31">
              <a:extLst xmlns:a="http://schemas.openxmlformats.org/drawingml/2006/main">
                <a:ext uri="{FF2B5EF4-FFF2-40B4-BE49-F238E27FC236}">
                  <a16:creationId xmlns:a16="http://schemas.microsoft.com/office/drawing/2014/main" id="{A0FFBA60-FDD2-BAC7-774B-5D14014859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DEAEA7" w14:textId="44BADA7E" w:rsidR="00821B82" w:rsidRPr="0083440B" w:rsidRDefault="00821B82" w:rsidP="00821B82">
      <w:pPr>
        <w:pStyle w:val="Caption"/>
      </w:pPr>
      <w:bookmarkStart w:id="199" w:name="_Ref122819743"/>
      <w:bookmarkStart w:id="200" w:name="_Toc153894795"/>
      <w:r>
        <w:t xml:space="preserve">Figure </w:t>
      </w:r>
      <w:fldSimple w:instr=" SEQ Figure \* ARABIC ">
        <w:r w:rsidR="000507B7">
          <w:rPr>
            <w:noProof/>
          </w:rPr>
          <w:t>7</w:t>
        </w:r>
      </w:fldSimple>
      <w:bookmarkEnd w:id="199"/>
      <w:r>
        <w:t xml:space="preserve">: </w:t>
      </w:r>
      <w:r w:rsidRPr="0083440B">
        <w:t>Opinions of healthcare professionals about the involvement of pharmacists in diabetes-related services in the future</w:t>
      </w:r>
      <w:bookmarkEnd w:id="200"/>
    </w:p>
    <w:p w14:paraId="51DF09D8" w14:textId="77777777" w:rsidR="00821B82" w:rsidRDefault="00821B82" w:rsidP="00821B82">
      <w:pPr>
        <w:pStyle w:val="NormalWeb"/>
        <w:spacing w:line="360" w:lineRule="auto"/>
        <w:rPr>
          <w:rFonts w:asciiTheme="minorBidi" w:hAnsiTheme="minorBidi"/>
          <w:shd w:val="clear" w:color="auto" w:fill="FFFFFF"/>
        </w:rPr>
      </w:pPr>
    </w:p>
    <w:p w14:paraId="748980C0" w14:textId="77777777" w:rsidR="00821B82" w:rsidRDefault="00821B82" w:rsidP="00821B82">
      <w:pPr>
        <w:pStyle w:val="NormalWeb"/>
        <w:spacing w:line="360" w:lineRule="auto"/>
        <w:rPr>
          <w:rFonts w:asciiTheme="minorBidi" w:hAnsiTheme="minorBidi"/>
          <w:shd w:val="clear" w:color="auto" w:fill="FFFFFF"/>
        </w:rPr>
      </w:pPr>
    </w:p>
    <w:p w14:paraId="5A1D4B6C" w14:textId="77777777" w:rsidR="00821B82" w:rsidRDefault="00821B82" w:rsidP="00821B82">
      <w:pPr>
        <w:pStyle w:val="Caption"/>
      </w:pPr>
      <w:r w:rsidRPr="00766C41">
        <w:rPr>
          <w:noProof/>
          <w:sz w:val="20"/>
          <w:szCs w:val="20"/>
        </w:rPr>
        <w:drawing>
          <wp:inline distT="0" distB="0" distL="0" distR="0" wp14:anchorId="2D500793" wp14:editId="723F6F89">
            <wp:extent cx="8229600" cy="5168900"/>
            <wp:effectExtent l="0" t="0" r="0" b="12700"/>
            <wp:docPr id="8" name="Chart 8">
              <a:extLst xmlns:a="http://schemas.openxmlformats.org/drawingml/2006/main">
                <a:ext uri="{FF2B5EF4-FFF2-40B4-BE49-F238E27FC236}">
                  <a16:creationId xmlns:a16="http://schemas.microsoft.com/office/drawing/2014/main" id="{0B4F5CF6-45B7-3A86-365B-16FF59FF2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E349DF" w14:textId="42508940" w:rsidR="00821B82" w:rsidRPr="001D17A5" w:rsidRDefault="00821B82" w:rsidP="00821B82">
      <w:pPr>
        <w:pStyle w:val="Caption"/>
        <w:rPr>
          <w:rFonts w:asciiTheme="minorBidi" w:hAnsiTheme="minorBidi"/>
          <w:sz w:val="20"/>
          <w:szCs w:val="20"/>
          <w:shd w:val="clear" w:color="auto" w:fill="FFFFFF"/>
        </w:rPr>
        <w:sectPr w:rsidR="00821B82" w:rsidRPr="001D17A5" w:rsidSect="00282204">
          <w:pgSz w:w="15840" w:h="12240" w:orient="landscape"/>
          <w:pgMar w:top="1440" w:right="1440" w:bottom="1440" w:left="1440" w:header="720" w:footer="720" w:gutter="0"/>
          <w:cols w:space="720"/>
          <w:docGrid w:linePitch="360"/>
        </w:sectPr>
      </w:pPr>
      <w:bookmarkStart w:id="201" w:name="_Ref122820249"/>
      <w:bookmarkStart w:id="202" w:name="_Toc153894796"/>
      <w:r>
        <w:t xml:space="preserve">Figure </w:t>
      </w:r>
      <w:fldSimple w:instr=" SEQ Figure \* ARABIC ">
        <w:r w:rsidR="000507B7">
          <w:rPr>
            <w:noProof/>
          </w:rPr>
          <w:t>8</w:t>
        </w:r>
      </w:fldSimple>
      <w:bookmarkEnd w:id="201"/>
      <w:r w:rsidRPr="00766C41">
        <w:rPr>
          <w:sz w:val="20"/>
          <w:szCs w:val="20"/>
        </w:rPr>
        <w:t>: Different opinions from healthcare professionals about the role of pharmacists in prescribing now and in the future</w:t>
      </w:r>
      <w:bookmarkEnd w:id="202"/>
    </w:p>
    <w:p w14:paraId="1A95CF79" w14:textId="77777777" w:rsidR="00821B82" w:rsidRPr="00CD649D" w:rsidRDefault="00821B82" w:rsidP="00821B82">
      <w:pPr>
        <w:pStyle w:val="Heading3"/>
        <w:numPr>
          <w:ilvl w:val="2"/>
          <w:numId w:val="14"/>
        </w:numPr>
        <w:spacing w:line="257" w:lineRule="auto"/>
        <w:jc w:val="both"/>
      </w:pPr>
      <w:bookmarkStart w:id="203" w:name="_Toc122626422"/>
      <w:bookmarkStart w:id="204" w:name="_Toc153894195"/>
      <w:r w:rsidRPr="00A82279">
        <w:t>Healthcare Professionals’ Views on Potential Impact of Pharmacist Involvement in Diabetes Primary Care Management</w:t>
      </w:r>
      <w:bookmarkEnd w:id="203"/>
      <w:bookmarkEnd w:id="204"/>
    </w:p>
    <w:p w14:paraId="0045182C" w14:textId="418E854C" w:rsidR="00821B82" w:rsidRDefault="00821B82" w:rsidP="00821B82">
      <w:pPr>
        <w:spacing w:before="240" w:line="360" w:lineRule="auto"/>
        <w:jc w:val="both"/>
        <w:rPr>
          <w:rFonts w:asciiTheme="minorBidi" w:eastAsia="Times New Roman" w:hAnsiTheme="minorBidi"/>
          <w:color w:val="32363A"/>
          <w:sz w:val="24"/>
          <w:szCs w:val="24"/>
        </w:rPr>
      </w:pPr>
      <w:r w:rsidRPr="002E3BC5">
        <w:rPr>
          <w:rFonts w:asciiTheme="minorBidi" w:eastAsia="Times New Roman" w:hAnsiTheme="minorBidi"/>
          <w:color w:val="32363A"/>
          <w:sz w:val="24"/>
          <w:szCs w:val="24"/>
          <w:shd w:val="clear" w:color="auto" w:fill="FFFFFF"/>
        </w:rPr>
        <w:t xml:space="preserve">This section of the analysis examined the potential impact of pharmacist involvement in diabetes care in </w:t>
      </w:r>
      <w:r>
        <w:rPr>
          <w:rFonts w:asciiTheme="minorBidi" w:eastAsia="Times New Roman" w:hAnsiTheme="minorBidi"/>
          <w:color w:val="32363A"/>
          <w:sz w:val="24"/>
          <w:szCs w:val="24"/>
          <w:shd w:val="clear" w:color="auto" w:fill="FFFFFF"/>
        </w:rPr>
        <w:t>PHCs</w:t>
      </w:r>
      <w:r w:rsidRPr="002E3BC5">
        <w:rPr>
          <w:rFonts w:asciiTheme="minorBidi" w:eastAsia="Times New Roman" w:hAnsiTheme="minorBidi"/>
          <w:color w:val="32363A"/>
          <w:sz w:val="24"/>
          <w:szCs w:val="24"/>
          <w:shd w:val="clear" w:color="auto" w:fill="FFFFFF"/>
        </w:rPr>
        <w:t xml:space="preserve"> in </w:t>
      </w:r>
      <w:r>
        <w:rPr>
          <w:rFonts w:asciiTheme="minorBidi" w:eastAsia="Times New Roman" w:hAnsiTheme="minorBidi"/>
          <w:color w:val="32363A"/>
          <w:sz w:val="24"/>
          <w:szCs w:val="24"/>
          <w:shd w:val="clear" w:color="auto" w:fill="FFFFFF"/>
        </w:rPr>
        <w:t>SA</w:t>
      </w:r>
      <w:r w:rsidRPr="002E3BC5">
        <w:rPr>
          <w:rFonts w:asciiTheme="minorBidi" w:eastAsia="Times New Roman" w:hAnsiTheme="minorBidi"/>
          <w:color w:val="32363A"/>
          <w:sz w:val="24"/>
          <w:szCs w:val="24"/>
          <w:shd w:val="clear" w:color="auto" w:fill="FFFFFF"/>
        </w:rPr>
        <w:t xml:space="preserve"> from the point of view of </w:t>
      </w:r>
      <w:r>
        <w:rPr>
          <w:rFonts w:asciiTheme="minorBidi" w:eastAsia="Times New Roman" w:hAnsiTheme="minorBidi"/>
          <w:color w:val="32363A"/>
          <w:sz w:val="24"/>
          <w:szCs w:val="24"/>
          <w:shd w:val="clear" w:color="auto" w:fill="FFFFFF"/>
        </w:rPr>
        <w:t>HCPs</w:t>
      </w:r>
      <w:r w:rsidRPr="002E3BC5">
        <w:rPr>
          <w:rFonts w:asciiTheme="minorBidi" w:eastAsia="Times New Roman" w:hAnsiTheme="minorBidi"/>
          <w:color w:val="32363A"/>
          <w:sz w:val="24"/>
          <w:szCs w:val="24"/>
          <w:shd w:val="clear" w:color="auto" w:fill="FFFFFF"/>
        </w:rPr>
        <w:t>.</w:t>
      </w:r>
      <w:r>
        <w:rPr>
          <w:rFonts w:asciiTheme="minorBidi" w:eastAsia="Times New Roman" w:hAnsiTheme="minorBidi"/>
          <w:color w:val="32363A"/>
          <w:sz w:val="24"/>
          <w:szCs w:val="24"/>
          <w:shd w:val="clear" w:color="auto" w:fill="FFFFFF"/>
        </w:rPr>
        <w:t xml:space="preserve"> The participants were asked to </w:t>
      </w:r>
      <w:r w:rsidRPr="00A25EAE">
        <w:rPr>
          <w:rFonts w:asciiTheme="minorBidi" w:eastAsia="Times New Roman" w:hAnsiTheme="minorBidi"/>
          <w:color w:val="32363A"/>
          <w:sz w:val="24"/>
          <w:szCs w:val="24"/>
        </w:rPr>
        <w:t>select the response that best describe</w:t>
      </w:r>
      <w:r>
        <w:rPr>
          <w:rFonts w:asciiTheme="minorBidi" w:eastAsia="Times New Roman" w:hAnsiTheme="minorBidi"/>
          <w:color w:val="32363A"/>
          <w:sz w:val="24"/>
          <w:szCs w:val="24"/>
        </w:rPr>
        <w:t>d</w:t>
      </w:r>
      <w:r w:rsidRPr="00A25EAE">
        <w:rPr>
          <w:rFonts w:asciiTheme="minorBidi" w:eastAsia="Times New Roman" w:hAnsiTheme="minorBidi"/>
          <w:color w:val="32363A"/>
          <w:sz w:val="24"/>
          <w:szCs w:val="24"/>
        </w:rPr>
        <w:t xml:space="preserve"> how </w:t>
      </w:r>
      <w:r>
        <w:rPr>
          <w:rFonts w:asciiTheme="minorBidi" w:eastAsia="Times New Roman" w:hAnsiTheme="minorBidi"/>
          <w:color w:val="32363A"/>
          <w:sz w:val="24"/>
          <w:szCs w:val="24"/>
        </w:rPr>
        <w:t>they</w:t>
      </w:r>
      <w:r w:rsidRPr="00A25EAE">
        <w:rPr>
          <w:rFonts w:asciiTheme="minorBidi" w:eastAsia="Times New Roman" w:hAnsiTheme="minorBidi"/>
          <w:color w:val="32363A"/>
          <w:sz w:val="24"/>
          <w:szCs w:val="24"/>
        </w:rPr>
        <w:t xml:space="preserve"> fe</w:t>
      </w:r>
      <w:r>
        <w:rPr>
          <w:rFonts w:asciiTheme="minorBidi" w:eastAsia="Times New Roman" w:hAnsiTheme="minorBidi"/>
          <w:color w:val="32363A"/>
          <w:sz w:val="24"/>
          <w:szCs w:val="24"/>
        </w:rPr>
        <w:t>lt</w:t>
      </w:r>
      <w:r w:rsidRPr="00A25EAE">
        <w:rPr>
          <w:rFonts w:asciiTheme="minorBidi" w:eastAsia="Times New Roman" w:hAnsiTheme="minorBidi"/>
          <w:color w:val="32363A"/>
          <w:sz w:val="24"/>
          <w:szCs w:val="24"/>
        </w:rPr>
        <w:t xml:space="preserve"> about the statement related to pharmacists working in </w:t>
      </w:r>
      <w:r>
        <w:rPr>
          <w:rFonts w:asciiTheme="minorBidi" w:eastAsia="Times New Roman" w:hAnsiTheme="minorBidi"/>
          <w:color w:val="32363A"/>
          <w:sz w:val="24"/>
          <w:szCs w:val="24"/>
        </w:rPr>
        <w:t>PHCs</w:t>
      </w:r>
      <w:r w:rsidRPr="00A25EAE">
        <w:rPr>
          <w:rFonts w:asciiTheme="minorBidi" w:eastAsia="Times New Roman" w:hAnsiTheme="minorBidi"/>
          <w:color w:val="32363A"/>
          <w:sz w:val="24"/>
          <w:szCs w:val="24"/>
        </w:rPr>
        <w:t xml:space="preserve"> </w:t>
      </w:r>
      <w:r>
        <w:rPr>
          <w:rFonts w:asciiTheme="minorBidi" w:eastAsia="Times New Roman" w:hAnsiTheme="minorBidi"/>
          <w:color w:val="32363A"/>
          <w:sz w:val="24"/>
          <w:szCs w:val="24"/>
        </w:rPr>
        <w:t>(see</w:t>
      </w:r>
      <w:r w:rsidRPr="00E761D2">
        <w:rPr>
          <w:rFonts w:asciiTheme="minorBidi" w:eastAsia="Times New Roman" w:hAnsiTheme="minorBidi"/>
          <w:color w:val="32363A"/>
          <w:sz w:val="24"/>
          <w:szCs w:val="24"/>
        </w:rPr>
        <w:t xml:space="preserve"> </w:t>
      </w:r>
      <w:r w:rsidRPr="00E761D2">
        <w:rPr>
          <w:rFonts w:asciiTheme="minorBidi" w:eastAsia="Times New Roman" w:hAnsiTheme="minorBidi"/>
          <w:color w:val="1F3864" w:themeColor="accent1" w:themeShade="80"/>
          <w:sz w:val="24"/>
          <w:szCs w:val="24"/>
        </w:rPr>
        <w:fldChar w:fldCharType="begin"/>
      </w:r>
      <w:r w:rsidRPr="00E761D2">
        <w:rPr>
          <w:rFonts w:asciiTheme="minorBidi" w:eastAsia="Times New Roman" w:hAnsiTheme="minorBidi"/>
          <w:color w:val="1F3864" w:themeColor="accent1" w:themeShade="80"/>
          <w:sz w:val="24"/>
          <w:szCs w:val="24"/>
        </w:rPr>
        <w:instrText xml:space="preserve"> REF _Ref122820671 \h  \* MERGEFORMAT </w:instrText>
      </w:r>
      <w:r w:rsidRPr="00E761D2">
        <w:rPr>
          <w:rFonts w:asciiTheme="minorBidi" w:eastAsia="Times New Roman" w:hAnsiTheme="minorBidi"/>
          <w:color w:val="1F3864" w:themeColor="accent1" w:themeShade="80"/>
          <w:sz w:val="24"/>
          <w:szCs w:val="24"/>
        </w:rPr>
      </w:r>
      <w:r w:rsidRPr="00E761D2">
        <w:rPr>
          <w:rFonts w:asciiTheme="minorBidi" w:eastAsia="Times New Roman" w:hAnsiTheme="minorBidi"/>
          <w:color w:val="1F3864" w:themeColor="accent1" w:themeShade="80"/>
          <w:sz w:val="24"/>
          <w:szCs w:val="24"/>
        </w:rPr>
        <w:fldChar w:fldCharType="separate"/>
      </w:r>
      <w:r w:rsidR="006E3DC7" w:rsidRPr="006E3DC7">
        <w:rPr>
          <w:rFonts w:asciiTheme="minorBidi" w:eastAsia="Times New Roman" w:hAnsiTheme="minorBidi"/>
          <w:color w:val="1F3864" w:themeColor="accent1" w:themeShade="80"/>
          <w:sz w:val="24"/>
          <w:szCs w:val="24"/>
        </w:rPr>
        <w:t>Table 18</w:t>
      </w:r>
      <w:r w:rsidRPr="00E761D2">
        <w:rPr>
          <w:rFonts w:asciiTheme="minorBidi" w:eastAsia="Times New Roman" w:hAnsiTheme="minorBidi"/>
          <w:color w:val="1F3864" w:themeColor="accent1" w:themeShade="80"/>
          <w:sz w:val="24"/>
          <w:szCs w:val="24"/>
        </w:rPr>
        <w:fldChar w:fldCharType="end"/>
      </w:r>
      <w:r w:rsidRPr="00E761D2">
        <w:rPr>
          <w:rFonts w:asciiTheme="minorBidi" w:eastAsia="Times New Roman" w:hAnsiTheme="minorBidi"/>
          <w:color w:val="32363A"/>
          <w:sz w:val="24"/>
          <w:szCs w:val="24"/>
        </w:rPr>
        <w:t>).</w:t>
      </w:r>
      <w:r>
        <w:rPr>
          <w:rFonts w:asciiTheme="minorBidi" w:eastAsia="Times New Roman" w:hAnsiTheme="minorBidi"/>
          <w:color w:val="32363A"/>
          <w:sz w:val="24"/>
          <w:szCs w:val="24"/>
          <w:shd w:val="clear" w:color="auto" w:fill="FFFFFF"/>
        </w:rPr>
        <w:t xml:space="preserve"> </w:t>
      </w:r>
      <w:r w:rsidRPr="00A25EAE">
        <w:rPr>
          <w:rFonts w:asciiTheme="minorBidi" w:eastAsia="Times New Roman" w:hAnsiTheme="minorBidi"/>
          <w:color w:val="32363A"/>
          <w:sz w:val="24"/>
          <w:szCs w:val="24"/>
        </w:rPr>
        <w:t xml:space="preserve"> </w:t>
      </w:r>
    </w:p>
    <w:p w14:paraId="75BD00D6" w14:textId="3EF321EC" w:rsidR="00821B82" w:rsidRDefault="00821B82" w:rsidP="00821B82">
      <w:pPr>
        <w:spacing w:line="360" w:lineRule="auto"/>
        <w:jc w:val="both"/>
        <w:rPr>
          <w:rFonts w:asciiTheme="minorBidi" w:eastAsia="Times New Roman" w:hAnsiTheme="minorBidi"/>
          <w:color w:val="32363A"/>
          <w:sz w:val="24"/>
          <w:szCs w:val="24"/>
          <w:shd w:val="clear" w:color="auto" w:fill="FFFFFF"/>
        </w:rPr>
      </w:pPr>
      <w:r w:rsidRPr="00C01326">
        <w:rPr>
          <w:rFonts w:asciiTheme="minorBidi" w:eastAsia="Times New Roman" w:hAnsiTheme="minorBidi"/>
          <w:color w:val="32363A"/>
          <w:sz w:val="24"/>
          <w:szCs w:val="24"/>
          <w:shd w:val="clear" w:color="auto" w:fill="FFFFFF"/>
        </w:rPr>
        <w:t xml:space="preserve">There was general agreement with most statements that described the potential benefits of </w:t>
      </w:r>
      <w:r>
        <w:rPr>
          <w:rFonts w:asciiTheme="minorBidi" w:eastAsia="Times New Roman" w:hAnsiTheme="minorBidi"/>
          <w:color w:val="32363A"/>
          <w:sz w:val="24"/>
          <w:szCs w:val="24"/>
          <w:shd w:val="clear" w:color="auto" w:fill="FFFFFF"/>
        </w:rPr>
        <w:t>p</w:t>
      </w:r>
      <w:r w:rsidRPr="00C01326">
        <w:rPr>
          <w:rFonts w:asciiTheme="minorBidi" w:eastAsia="Times New Roman" w:hAnsiTheme="minorBidi"/>
          <w:color w:val="32363A"/>
          <w:sz w:val="24"/>
          <w:szCs w:val="24"/>
          <w:shd w:val="clear" w:color="auto" w:fill="FFFFFF"/>
        </w:rPr>
        <w:t xml:space="preserve">harmacist </w:t>
      </w:r>
      <w:r>
        <w:rPr>
          <w:rFonts w:asciiTheme="minorBidi" w:eastAsia="Times New Roman" w:hAnsiTheme="minorBidi"/>
          <w:color w:val="32363A"/>
          <w:sz w:val="24"/>
          <w:szCs w:val="24"/>
          <w:shd w:val="clear" w:color="auto" w:fill="FFFFFF"/>
        </w:rPr>
        <w:t>i</w:t>
      </w:r>
      <w:r w:rsidRPr="00C01326">
        <w:rPr>
          <w:rFonts w:asciiTheme="minorBidi" w:eastAsia="Times New Roman" w:hAnsiTheme="minorBidi"/>
          <w:color w:val="32363A"/>
          <w:sz w:val="24"/>
          <w:szCs w:val="24"/>
          <w:shd w:val="clear" w:color="auto" w:fill="FFFFFF"/>
        </w:rPr>
        <w:t xml:space="preserve">nvolvement in </w:t>
      </w:r>
      <w:r>
        <w:rPr>
          <w:rFonts w:asciiTheme="minorBidi" w:eastAsia="Times New Roman" w:hAnsiTheme="minorBidi"/>
          <w:color w:val="32363A"/>
          <w:sz w:val="24"/>
          <w:szCs w:val="24"/>
          <w:shd w:val="clear" w:color="auto" w:fill="FFFFFF"/>
        </w:rPr>
        <w:t>d</w:t>
      </w:r>
      <w:r w:rsidRPr="00C01326">
        <w:rPr>
          <w:rFonts w:asciiTheme="minorBidi" w:eastAsia="Times New Roman" w:hAnsiTheme="minorBidi"/>
          <w:color w:val="32363A"/>
          <w:sz w:val="24"/>
          <w:szCs w:val="24"/>
          <w:shd w:val="clear" w:color="auto" w:fill="FFFFFF"/>
        </w:rPr>
        <w:t xml:space="preserve">iabetes </w:t>
      </w:r>
      <w:r>
        <w:rPr>
          <w:rFonts w:asciiTheme="minorBidi" w:eastAsia="Times New Roman" w:hAnsiTheme="minorBidi"/>
          <w:color w:val="32363A"/>
          <w:sz w:val="24"/>
          <w:szCs w:val="24"/>
          <w:shd w:val="clear" w:color="auto" w:fill="FFFFFF"/>
        </w:rPr>
        <w:t>p</w:t>
      </w:r>
      <w:r w:rsidRPr="00C01326">
        <w:rPr>
          <w:rFonts w:asciiTheme="minorBidi" w:eastAsia="Times New Roman" w:hAnsiTheme="minorBidi"/>
          <w:color w:val="32363A"/>
          <w:sz w:val="24"/>
          <w:szCs w:val="24"/>
          <w:shd w:val="clear" w:color="auto" w:fill="FFFFFF"/>
        </w:rPr>
        <w:t xml:space="preserve">rimary </w:t>
      </w:r>
      <w:r>
        <w:rPr>
          <w:rFonts w:asciiTheme="minorBidi" w:eastAsia="Times New Roman" w:hAnsiTheme="minorBidi"/>
          <w:color w:val="32363A"/>
          <w:sz w:val="24"/>
          <w:szCs w:val="24"/>
          <w:shd w:val="clear" w:color="auto" w:fill="FFFFFF"/>
        </w:rPr>
        <w:t>c</w:t>
      </w:r>
      <w:r w:rsidRPr="00C01326">
        <w:rPr>
          <w:rFonts w:asciiTheme="minorBidi" w:eastAsia="Times New Roman" w:hAnsiTheme="minorBidi"/>
          <w:color w:val="32363A"/>
          <w:sz w:val="24"/>
          <w:szCs w:val="24"/>
          <w:shd w:val="clear" w:color="auto" w:fill="FFFFFF"/>
        </w:rPr>
        <w:t xml:space="preserve">are </w:t>
      </w:r>
      <w:r>
        <w:rPr>
          <w:rFonts w:asciiTheme="minorBidi" w:eastAsia="Times New Roman" w:hAnsiTheme="minorBidi"/>
          <w:color w:val="32363A"/>
          <w:sz w:val="24"/>
          <w:szCs w:val="24"/>
          <w:shd w:val="clear" w:color="auto" w:fill="FFFFFF"/>
        </w:rPr>
        <w:t>m</w:t>
      </w:r>
      <w:r w:rsidRPr="00C01326">
        <w:rPr>
          <w:rFonts w:asciiTheme="minorBidi" w:eastAsia="Times New Roman" w:hAnsiTheme="minorBidi"/>
          <w:color w:val="32363A"/>
          <w:sz w:val="24"/>
          <w:szCs w:val="24"/>
          <w:shd w:val="clear" w:color="auto" w:fill="FFFFFF"/>
        </w:rPr>
        <w:t>anagement.</w:t>
      </w:r>
      <w:r>
        <w:rPr>
          <w:rFonts w:asciiTheme="minorBidi" w:eastAsia="Times New Roman" w:hAnsiTheme="minorBidi"/>
          <w:color w:val="32363A"/>
          <w:sz w:val="24"/>
          <w:szCs w:val="24"/>
          <w:shd w:val="clear" w:color="auto" w:fill="FFFFFF"/>
        </w:rPr>
        <w:t xml:space="preserve"> </w:t>
      </w:r>
      <w:r w:rsidRPr="00C01326">
        <w:rPr>
          <w:rFonts w:asciiTheme="minorBidi" w:eastAsia="Times New Roman" w:hAnsiTheme="minorBidi"/>
          <w:color w:val="32363A"/>
          <w:sz w:val="24"/>
          <w:szCs w:val="24"/>
          <w:shd w:val="clear" w:color="auto" w:fill="FFFFFF"/>
        </w:rPr>
        <w:t>A</w:t>
      </w:r>
      <w:r>
        <w:rPr>
          <w:rFonts w:asciiTheme="minorBidi" w:eastAsia="Times New Roman" w:hAnsiTheme="minorBidi"/>
          <w:color w:val="32363A"/>
          <w:sz w:val="24"/>
          <w:szCs w:val="24"/>
          <w:shd w:val="clear" w:color="auto" w:fill="FFFFFF"/>
        </w:rPr>
        <w:t>pproximately</w:t>
      </w:r>
      <w:r w:rsidRPr="001C5850">
        <w:rPr>
          <w:rFonts w:asciiTheme="minorBidi" w:eastAsia="Times New Roman" w:hAnsiTheme="minorBidi"/>
          <w:color w:val="32363A"/>
          <w:sz w:val="24"/>
          <w:szCs w:val="24"/>
          <w:shd w:val="clear" w:color="auto" w:fill="FFFFFF"/>
        </w:rPr>
        <w:t xml:space="preserve"> 90</w:t>
      </w:r>
      <w:r>
        <w:rPr>
          <w:rFonts w:asciiTheme="minorBidi" w:eastAsia="Times New Roman" w:hAnsiTheme="minorBidi"/>
          <w:color w:val="32363A"/>
          <w:sz w:val="24"/>
          <w:szCs w:val="24"/>
          <w:shd w:val="clear" w:color="auto" w:fill="FFFFFF"/>
        </w:rPr>
        <w:t>%</w:t>
      </w:r>
      <w:r w:rsidRPr="001C5850">
        <w:rPr>
          <w:rFonts w:asciiTheme="minorBidi" w:eastAsia="Times New Roman" w:hAnsiTheme="minorBidi"/>
          <w:color w:val="32363A"/>
          <w:sz w:val="24"/>
          <w:szCs w:val="24"/>
          <w:shd w:val="clear" w:color="auto" w:fill="FFFFFF"/>
        </w:rPr>
        <w:t xml:space="preserve"> of participants agreed or strongly agreed </w:t>
      </w:r>
      <w:r>
        <w:rPr>
          <w:rFonts w:asciiTheme="minorBidi" w:eastAsia="Times New Roman" w:hAnsiTheme="minorBidi"/>
          <w:color w:val="32363A"/>
          <w:sz w:val="24"/>
          <w:szCs w:val="24"/>
          <w:shd w:val="clear" w:color="auto" w:fill="FFFFFF"/>
        </w:rPr>
        <w:t>on most of the statements, see</w:t>
      </w:r>
      <w:r>
        <w:rPr>
          <w:rFonts w:asciiTheme="minorBidi" w:eastAsia="Times New Roman" w:hAnsiTheme="minorBidi"/>
          <w:color w:val="1F3864" w:themeColor="accent1" w:themeShade="80"/>
          <w:sz w:val="24"/>
          <w:szCs w:val="24"/>
          <w:shd w:val="clear" w:color="auto" w:fill="FFFFFF"/>
        </w:rPr>
        <w:t xml:space="preserve"> </w:t>
      </w:r>
      <w:r w:rsidRPr="00F742D0">
        <w:rPr>
          <w:rFonts w:asciiTheme="minorBidi" w:eastAsia="Times New Roman" w:hAnsiTheme="minorBidi"/>
          <w:color w:val="1F3864" w:themeColor="accent1" w:themeShade="80"/>
          <w:sz w:val="24"/>
          <w:szCs w:val="24"/>
          <w:shd w:val="clear" w:color="auto" w:fill="FFFFFF"/>
        </w:rPr>
        <w:fldChar w:fldCharType="begin"/>
      </w:r>
      <w:r w:rsidRPr="00F742D0">
        <w:rPr>
          <w:rFonts w:asciiTheme="minorBidi" w:eastAsia="Times New Roman" w:hAnsiTheme="minorBidi"/>
          <w:color w:val="1F3864" w:themeColor="accent1" w:themeShade="80"/>
          <w:sz w:val="24"/>
          <w:szCs w:val="24"/>
          <w:shd w:val="clear" w:color="auto" w:fill="FFFFFF"/>
        </w:rPr>
        <w:instrText xml:space="preserve"> REF _Ref127276167 \h  \* MERGEFORMAT </w:instrText>
      </w:r>
      <w:r w:rsidRPr="00F742D0">
        <w:rPr>
          <w:rFonts w:asciiTheme="minorBidi" w:eastAsia="Times New Roman" w:hAnsiTheme="minorBidi"/>
          <w:color w:val="1F3864" w:themeColor="accent1" w:themeShade="80"/>
          <w:sz w:val="24"/>
          <w:szCs w:val="24"/>
          <w:shd w:val="clear" w:color="auto" w:fill="FFFFFF"/>
        </w:rPr>
      </w:r>
      <w:r w:rsidRPr="00F742D0">
        <w:rPr>
          <w:rFonts w:asciiTheme="minorBidi" w:eastAsia="Times New Roman" w:hAnsiTheme="minorBidi"/>
          <w:color w:val="1F3864" w:themeColor="accent1" w:themeShade="80"/>
          <w:sz w:val="24"/>
          <w:szCs w:val="24"/>
          <w:shd w:val="clear" w:color="auto" w:fill="FFFFFF"/>
        </w:rPr>
        <w:fldChar w:fldCharType="separate"/>
      </w:r>
      <w:r w:rsidR="006E3DC7" w:rsidRPr="006E3DC7">
        <w:rPr>
          <w:rFonts w:asciiTheme="minorBidi" w:eastAsia="Times New Roman" w:hAnsiTheme="minorBidi"/>
          <w:color w:val="1F3864" w:themeColor="accent1" w:themeShade="80"/>
          <w:sz w:val="24"/>
          <w:szCs w:val="24"/>
          <w:shd w:val="clear" w:color="auto" w:fill="FFFFFF"/>
        </w:rPr>
        <w:t>Figure 9</w:t>
      </w:r>
      <w:r w:rsidRPr="00F742D0">
        <w:rPr>
          <w:rFonts w:asciiTheme="minorBidi" w:eastAsia="Times New Roman" w:hAnsiTheme="minorBidi"/>
          <w:color w:val="1F3864" w:themeColor="accent1" w:themeShade="80"/>
          <w:sz w:val="24"/>
          <w:szCs w:val="24"/>
          <w:shd w:val="clear" w:color="auto" w:fill="FFFFFF"/>
        </w:rPr>
        <w:fldChar w:fldCharType="end"/>
      </w:r>
      <w:r>
        <w:rPr>
          <w:rFonts w:asciiTheme="minorBidi" w:eastAsia="Times New Roman" w:hAnsiTheme="minorBidi"/>
          <w:color w:val="32363A"/>
          <w:sz w:val="24"/>
          <w:szCs w:val="24"/>
          <w:shd w:val="clear" w:color="auto" w:fill="FFFFFF"/>
        </w:rPr>
        <w:t xml:space="preserve">, which </w:t>
      </w:r>
      <w:r w:rsidRPr="00C01326">
        <w:rPr>
          <w:rFonts w:asciiTheme="minorBidi" w:eastAsia="Times New Roman" w:hAnsiTheme="minorBidi"/>
          <w:color w:val="32363A"/>
          <w:sz w:val="24"/>
          <w:szCs w:val="24"/>
          <w:shd w:val="clear" w:color="auto" w:fill="FFFFFF"/>
        </w:rPr>
        <w:t xml:space="preserve">included </w:t>
      </w:r>
      <w:r w:rsidRPr="001C5850">
        <w:rPr>
          <w:rFonts w:asciiTheme="minorBidi" w:eastAsia="Times New Roman" w:hAnsiTheme="minorBidi"/>
          <w:color w:val="32363A"/>
          <w:sz w:val="24"/>
          <w:szCs w:val="24"/>
          <w:shd w:val="clear" w:color="auto" w:fill="FFFFFF"/>
        </w:rPr>
        <w:t>benefits relating to improve</w:t>
      </w:r>
      <w:r>
        <w:rPr>
          <w:rFonts w:asciiTheme="minorBidi" w:eastAsia="Times New Roman" w:hAnsiTheme="minorBidi"/>
          <w:color w:val="32363A"/>
          <w:sz w:val="24"/>
          <w:szCs w:val="24"/>
          <w:shd w:val="clear" w:color="auto" w:fill="FFFFFF"/>
        </w:rPr>
        <w:t>d</w:t>
      </w:r>
      <w:r w:rsidRPr="001C5850">
        <w:rPr>
          <w:rFonts w:asciiTheme="minorBidi" w:eastAsia="Times New Roman" w:hAnsiTheme="minorBidi"/>
          <w:color w:val="32363A"/>
          <w:sz w:val="24"/>
          <w:szCs w:val="24"/>
          <w:shd w:val="clear" w:color="auto" w:fill="FFFFFF"/>
        </w:rPr>
        <w:t xml:space="preserve"> patient safety by reducing medication errors in the practice</w:t>
      </w:r>
      <w:r>
        <w:rPr>
          <w:rFonts w:asciiTheme="minorBidi" w:eastAsia="Times New Roman" w:hAnsiTheme="minorBidi"/>
          <w:color w:val="32363A"/>
          <w:sz w:val="24"/>
          <w:szCs w:val="24"/>
          <w:shd w:val="clear" w:color="auto" w:fill="FFFFFF"/>
        </w:rPr>
        <w:t xml:space="preserve"> and helping doctors to prescribe safely, </w:t>
      </w:r>
      <w:r w:rsidRPr="001C5850">
        <w:rPr>
          <w:rFonts w:asciiTheme="minorBidi" w:eastAsia="Times New Roman" w:hAnsiTheme="minorBidi"/>
          <w:color w:val="32363A"/>
          <w:sz w:val="24"/>
          <w:szCs w:val="24"/>
          <w:shd w:val="clear" w:color="auto" w:fill="FFFFFF"/>
        </w:rPr>
        <w:t>improv</w:t>
      </w:r>
      <w:r>
        <w:rPr>
          <w:rFonts w:asciiTheme="minorBidi" w:eastAsia="Times New Roman" w:hAnsiTheme="minorBidi"/>
          <w:color w:val="32363A"/>
          <w:sz w:val="24"/>
          <w:szCs w:val="24"/>
          <w:shd w:val="clear" w:color="auto" w:fill="FFFFFF"/>
        </w:rPr>
        <w:t>ing</w:t>
      </w:r>
      <w:r w:rsidRPr="001C5850">
        <w:rPr>
          <w:rFonts w:asciiTheme="minorBidi" w:eastAsia="Times New Roman" w:hAnsiTheme="minorBidi"/>
          <w:color w:val="32363A"/>
          <w:sz w:val="24"/>
          <w:szCs w:val="24"/>
          <w:shd w:val="clear" w:color="auto" w:fill="FFFFFF"/>
        </w:rPr>
        <w:t xml:space="preserve"> patient outcome</w:t>
      </w:r>
      <w:r>
        <w:rPr>
          <w:rFonts w:asciiTheme="minorBidi" w:eastAsia="Times New Roman" w:hAnsiTheme="minorBidi"/>
          <w:color w:val="32363A"/>
          <w:sz w:val="24"/>
          <w:szCs w:val="24"/>
          <w:shd w:val="clear" w:color="auto" w:fill="FFFFFF"/>
        </w:rPr>
        <w:t>s</w:t>
      </w:r>
      <w:r w:rsidRPr="001C5850">
        <w:rPr>
          <w:rFonts w:asciiTheme="minorBidi" w:eastAsia="Times New Roman" w:hAnsiTheme="minorBidi"/>
          <w:color w:val="32363A"/>
          <w:sz w:val="24"/>
          <w:szCs w:val="24"/>
          <w:shd w:val="clear" w:color="auto" w:fill="FFFFFF"/>
        </w:rPr>
        <w:t xml:space="preserve"> by making management of patients’ medication more efficient, </w:t>
      </w:r>
      <w:r>
        <w:rPr>
          <w:rFonts w:asciiTheme="minorBidi" w:eastAsia="Times New Roman" w:hAnsiTheme="minorBidi"/>
          <w:color w:val="32363A"/>
          <w:sz w:val="24"/>
          <w:szCs w:val="24"/>
          <w:shd w:val="clear" w:color="auto" w:fill="FFFFFF"/>
        </w:rPr>
        <w:t xml:space="preserve">and </w:t>
      </w:r>
      <w:r w:rsidRPr="001C5850">
        <w:rPr>
          <w:rFonts w:asciiTheme="minorBidi" w:eastAsia="Times New Roman" w:hAnsiTheme="minorBidi"/>
          <w:color w:val="32363A"/>
          <w:sz w:val="24"/>
          <w:szCs w:val="24"/>
          <w:shd w:val="clear" w:color="auto" w:fill="FFFFFF"/>
        </w:rPr>
        <w:t>improv</w:t>
      </w:r>
      <w:r>
        <w:rPr>
          <w:rFonts w:asciiTheme="minorBidi" w:eastAsia="Times New Roman" w:hAnsiTheme="minorBidi"/>
          <w:color w:val="32363A"/>
          <w:sz w:val="24"/>
          <w:szCs w:val="24"/>
          <w:shd w:val="clear" w:color="auto" w:fill="FFFFFF"/>
        </w:rPr>
        <w:t>ing</w:t>
      </w:r>
      <w:r w:rsidRPr="001C5850">
        <w:rPr>
          <w:rFonts w:asciiTheme="minorBidi" w:eastAsia="Times New Roman" w:hAnsiTheme="minorBidi"/>
          <w:color w:val="32363A"/>
          <w:sz w:val="24"/>
          <w:szCs w:val="24"/>
          <w:shd w:val="clear" w:color="auto" w:fill="FFFFFF"/>
        </w:rPr>
        <w:t xml:space="preserve"> job satisfaction for pharmacists via better utilisation of pharmacists’ skills</w:t>
      </w:r>
      <w:r>
        <w:rPr>
          <w:rFonts w:asciiTheme="minorBidi" w:eastAsia="Times New Roman" w:hAnsiTheme="minorBidi"/>
          <w:color w:val="32363A"/>
          <w:sz w:val="24"/>
          <w:szCs w:val="24"/>
          <w:shd w:val="clear" w:color="auto" w:fill="FFFFFF"/>
        </w:rPr>
        <w:t xml:space="preserve">. </w:t>
      </w:r>
    </w:p>
    <w:p w14:paraId="6ED5FC10" w14:textId="73E840DD" w:rsidR="00821B82" w:rsidRDefault="00821B82" w:rsidP="00821B82">
      <w:pPr>
        <w:spacing w:line="360" w:lineRule="auto"/>
        <w:jc w:val="both"/>
        <w:rPr>
          <w:rFonts w:asciiTheme="minorBidi" w:eastAsia="Times New Roman" w:hAnsiTheme="minorBidi"/>
          <w:color w:val="32363A"/>
          <w:sz w:val="24"/>
          <w:szCs w:val="24"/>
          <w:shd w:val="clear" w:color="auto" w:fill="FFFFFF"/>
        </w:rPr>
      </w:pPr>
      <w:r>
        <w:rPr>
          <w:rFonts w:asciiTheme="minorBidi" w:eastAsia="Times New Roman" w:hAnsiTheme="minorBidi"/>
          <w:color w:val="32363A"/>
          <w:sz w:val="24"/>
          <w:szCs w:val="24"/>
          <w:shd w:val="clear" w:color="auto" w:fill="FFFFFF"/>
        </w:rPr>
        <w:t>However, HCPs agreed less with the ability of pharmacists to be independent prescribers than with other potential benefits of pharmacist involvement in diabetes primary care management. In response to the statement “p</w:t>
      </w:r>
      <w:r w:rsidRPr="00866F58">
        <w:rPr>
          <w:rFonts w:asciiTheme="minorBidi" w:eastAsia="Times New Roman" w:hAnsiTheme="minorBidi"/>
          <w:color w:val="32363A"/>
          <w:sz w:val="24"/>
          <w:szCs w:val="24"/>
          <w:shd w:val="clear" w:color="auto" w:fill="FFFFFF"/>
        </w:rPr>
        <w:t>harmacists are able to independently prescribe safely</w:t>
      </w:r>
      <w:r>
        <w:rPr>
          <w:rFonts w:asciiTheme="minorBidi" w:eastAsia="Times New Roman" w:hAnsiTheme="minorBidi"/>
          <w:color w:val="32363A"/>
          <w:sz w:val="24"/>
          <w:szCs w:val="24"/>
          <w:shd w:val="clear" w:color="auto" w:fill="FFFFFF"/>
        </w:rPr>
        <w:t>”</w:t>
      </w:r>
      <w:r w:rsidRPr="00866F58">
        <w:rPr>
          <w:rFonts w:asciiTheme="minorBidi" w:eastAsia="Times New Roman" w:hAnsiTheme="minorBidi"/>
          <w:color w:val="32363A"/>
          <w:sz w:val="24"/>
          <w:szCs w:val="24"/>
          <w:shd w:val="clear" w:color="auto" w:fill="FFFFFF"/>
        </w:rPr>
        <w:t xml:space="preserve">, about half of </w:t>
      </w:r>
      <w:r>
        <w:rPr>
          <w:rFonts w:asciiTheme="minorBidi" w:eastAsia="Times New Roman" w:hAnsiTheme="minorBidi"/>
          <w:color w:val="32363A"/>
          <w:sz w:val="24"/>
          <w:szCs w:val="24"/>
          <w:shd w:val="clear" w:color="auto" w:fill="FFFFFF"/>
        </w:rPr>
        <w:t xml:space="preserve">the </w:t>
      </w:r>
      <w:r w:rsidRPr="00866F58">
        <w:rPr>
          <w:rFonts w:asciiTheme="minorBidi" w:eastAsia="Times New Roman" w:hAnsiTheme="minorBidi"/>
          <w:color w:val="32363A"/>
          <w:sz w:val="24"/>
          <w:szCs w:val="24"/>
          <w:shd w:val="clear" w:color="auto" w:fill="FFFFFF"/>
        </w:rPr>
        <w:t>partic</w:t>
      </w:r>
      <w:r>
        <w:rPr>
          <w:rFonts w:asciiTheme="minorBidi" w:eastAsia="Times New Roman" w:hAnsiTheme="minorBidi"/>
          <w:color w:val="32363A"/>
          <w:sz w:val="24"/>
          <w:szCs w:val="24"/>
          <w:shd w:val="clear" w:color="auto" w:fill="FFFFFF"/>
        </w:rPr>
        <w:t>i</w:t>
      </w:r>
      <w:r w:rsidRPr="00866F58">
        <w:rPr>
          <w:rFonts w:asciiTheme="minorBidi" w:eastAsia="Times New Roman" w:hAnsiTheme="minorBidi"/>
          <w:color w:val="32363A"/>
          <w:sz w:val="24"/>
          <w:szCs w:val="24"/>
          <w:shd w:val="clear" w:color="auto" w:fill="FFFFFF"/>
        </w:rPr>
        <w:t>pants</w:t>
      </w:r>
      <w:r>
        <w:rPr>
          <w:rFonts w:asciiTheme="minorBidi" w:eastAsia="Times New Roman" w:hAnsiTheme="minorBidi"/>
          <w:color w:val="32363A"/>
          <w:sz w:val="24"/>
          <w:szCs w:val="24"/>
          <w:shd w:val="clear" w:color="auto" w:fill="FFFFFF"/>
        </w:rPr>
        <w:t xml:space="preserve"> (53%)</w:t>
      </w:r>
      <w:r w:rsidRPr="00866F58">
        <w:rPr>
          <w:rFonts w:asciiTheme="minorBidi" w:eastAsia="Times New Roman" w:hAnsiTheme="minorBidi"/>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 xml:space="preserve">agreed or strongly agreed, </w:t>
      </w:r>
      <w:r w:rsidRPr="00CB76E3">
        <w:rPr>
          <w:rFonts w:asciiTheme="minorBidi" w:eastAsia="Times New Roman" w:hAnsiTheme="minorBidi"/>
          <w:color w:val="32363A"/>
          <w:sz w:val="24"/>
          <w:szCs w:val="24"/>
          <w:shd w:val="clear" w:color="auto" w:fill="FFFFFF"/>
        </w:rPr>
        <w:t>approximately a quarter</w:t>
      </w:r>
      <w:r>
        <w:rPr>
          <w:rFonts w:asciiTheme="minorBidi" w:eastAsia="Times New Roman" w:hAnsiTheme="minorBidi"/>
          <w:color w:val="32363A"/>
          <w:sz w:val="24"/>
          <w:szCs w:val="24"/>
          <w:shd w:val="clear" w:color="auto" w:fill="FFFFFF"/>
        </w:rPr>
        <w:t xml:space="preserve"> (23%)</w:t>
      </w:r>
      <w:r w:rsidRPr="00CB76E3">
        <w:rPr>
          <w:rFonts w:asciiTheme="minorBidi" w:eastAsia="Times New Roman" w:hAnsiTheme="minorBidi"/>
          <w:color w:val="32363A"/>
          <w:sz w:val="24"/>
          <w:szCs w:val="24"/>
          <w:shd w:val="clear" w:color="auto" w:fill="FFFFFF"/>
        </w:rPr>
        <w:t xml:space="preserve"> disagreed, and </w:t>
      </w:r>
      <w:r>
        <w:rPr>
          <w:rFonts w:asciiTheme="minorBidi" w:eastAsia="Times New Roman" w:hAnsiTheme="minorBidi"/>
          <w:color w:val="32363A"/>
          <w:sz w:val="24"/>
          <w:szCs w:val="24"/>
          <w:shd w:val="clear" w:color="auto" w:fill="FFFFFF"/>
        </w:rPr>
        <w:t xml:space="preserve">the remaining </w:t>
      </w:r>
      <w:r w:rsidRPr="00CB76E3">
        <w:rPr>
          <w:rFonts w:asciiTheme="minorBidi" w:eastAsia="Times New Roman" w:hAnsiTheme="minorBidi"/>
          <w:color w:val="32363A"/>
          <w:sz w:val="24"/>
          <w:szCs w:val="24"/>
          <w:shd w:val="clear" w:color="auto" w:fill="FFFFFF"/>
        </w:rPr>
        <w:t>quarter</w:t>
      </w:r>
      <w:r>
        <w:rPr>
          <w:rFonts w:asciiTheme="minorBidi" w:eastAsia="Times New Roman" w:hAnsiTheme="minorBidi"/>
          <w:color w:val="32363A"/>
          <w:sz w:val="24"/>
          <w:szCs w:val="24"/>
          <w:shd w:val="clear" w:color="auto" w:fill="FFFFFF"/>
        </w:rPr>
        <w:t xml:space="preserve"> (25%) were neutral as they </w:t>
      </w:r>
      <w:r w:rsidRPr="00CB76E3">
        <w:rPr>
          <w:rFonts w:asciiTheme="minorBidi" w:eastAsia="Times New Roman" w:hAnsiTheme="minorBidi"/>
          <w:color w:val="32363A"/>
          <w:sz w:val="24"/>
          <w:szCs w:val="24"/>
          <w:shd w:val="clear" w:color="auto" w:fill="FFFFFF"/>
        </w:rPr>
        <w:t>answered “neither agree nor disagree”</w:t>
      </w:r>
      <w:r>
        <w:rPr>
          <w:rFonts w:asciiTheme="minorBidi" w:eastAsia="Times New Roman" w:hAnsiTheme="minorBidi"/>
          <w:color w:val="32363A"/>
          <w:sz w:val="24"/>
          <w:szCs w:val="24"/>
          <w:shd w:val="clear" w:color="auto" w:fill="FFFFFF"/>
        </w:rPr>
        <w:t xml:space="preserve">, see </w:t>
      </w:r>
      <w:r w:rsidRPr="00F742D0">
        <w:rPr>
          <w:rFonts w:asciiTheme="minorBidi" w:eastAsia="Times New Roman" w:hAnsiTheme="minorBidi"/>
          <w:color w:val="1F3864" w:themeColor="accent1" w:themeShade="80"/>
          <w:sz w:val="24"/>
          <w:szCs w:val="24"/>
          <w:shd w:val="clear" w:color="auto" w:fill="FFFFFF"/>
        </w:rPr>
        <w:fldChar w:fldCharType="begin"/>
      </w:r>
      <w:r w:rsidRPr="00F742D0">
        <w:rPr>
          <w:rFonts w:asciiTheme="minorBidi" w:eastAsia="Times New Roman" w:hAnsiTheme="minorBidi"/>
          <w:color w:val="1F3864" w:themeColor="accent1" w:themeShade="80"/>
          <w:sz w:val="24"/>
          <w:szCs w:val="24"/>
          <w:shd w:val="clear" w:color="auto" w:fill="FFFFFF"/>
        </w:rPr>
        <w:instrText xml:space="preserve"> REF _Ref127276167 \h  \* MERGEFORMAT </w:instrText>
      </w:r>
      <w:r w:rsidRPr="00F742D0">
        <w:rPr>
          <w:rFonts w:asciiTheme="minorBidi" w:eastAsia="Times New Roman" w:hAnsiTheme="minorBidi"/>
          <w:color w:val="1F3864" w:themeColor="accent1" w:themeShade="80"/>
          <w:sz w:val="24"/>
          <w:szCs w:val="24"/>
          <w:shd w:val="clear" w:color="auto" w:fill="FFFFFF"/>
        </w:rPr>
      </w:r>
      <w:r w:rsidRPr="00F742D0">
        <w:rPr>
          <w:rFonts w:asciiTheme="minorBidi" w:eastAsia="Times New Roman" w:hAnsiTheme="minorBidi"/>
          <w:color w:val="1F3864" w:themeColor="accent1" w:themeShade="80"/>
          <w:sz w:val="24"/>
          <w:szCs w:val="24"/>
          <w:shd w:val="clear" w:color="auto" w:fill="FFFFFF"/>
        </w:rPr>
        <w:fldChar w:fldCharType="separate"/>
      </w:r>
      <w:r w:rsidR="006E3DC7" w:rsidRPr="006E3DC7">
        <w:rPr>
          <w:rFonts w:asciiTheme="minorBidi" w:eastAsia="Times New Roman" w:hAnsiTheme="minorBidi"/>
          <w:color w:val="1F3864" w:themeColor="accent1" w:themeShade="80"/>
          <w:sz w:val="24"/>
          <w:szCs w:val="24"/>
          <w:shd w:val="clear" w:color="auto" w:fill="FFFFFF"/>
        </w:rPr>
        <w:t>Figure 9</w:t>
      </w:r>
      <w:r w:rsidRPr="00F742D0">
        <w:rPr>
          <w:rFonts w:asciiTheme="minorBidi" w:eastAsia="Times New Roman" w:hAnsiTheme="minorBidi"/>
          <w:color w:val="1F3864" w:themeColor="accent1" w:themeShade="80"/>
          <w:sz w:val="24"/>
          <w:szCs w:val="24"/>
          <w:shd w:val="clear" w:color="auto" w:fill="FFFFFF"/>
        </w:rPr>
        <w:fldChar w:fldCharType="end"/>
      </w:r>
      <w:r>
        <w:rPr>
          <w:rFonts w:asciiTheme="minorBidi" w:eastAsia="Times New Roman" w:hAnsiTheme="minorBidi"/>
          <w:color w:val="32363A"/>
          <w:sz w:val="24"/>
          <w:szCs w:val="24"/>
          <w:shd w:val="clear" w:color="auto" w:fill="FFFFFF"/>
        </w:rPr>
        <w:t xml:space="preserve">. </w:t>
      </w:r>
      <w:r w:rsidRPr="00BF237A">
        <w:rPr>
          <w:rFonts w:asciiTheme="minorBidi" w:eastAsia="Times New Roman" w:hAnsiTheme="minorBidi"/>
          <w:color w:val="32363A"/>
          <w:sz w:val="24"/>
          <w:szCs w:val="24"/>
          <w:shd w:val="clear" w:color="auto" w:fill="FFFFFF"/>
        </w:rPr>
        <w:t xml:space="preserve">In this figure there is </w:t>
      </w:r>
      <w:r>
        <w:rPr>
          <w:rFonts w:asciiTheme="minorBidi" w:eastAsia="Times New Roman" w:hAnsiTheme="minorBidi"/>
          <w:color w:val="32363A"/>
          <w:sz w:val="24"/>
          <w:szCs w:val="24"/>
          <w:shd w:val="clear" w:color="auto" w:fill="FFFFFF"/>
        </w:rPr>
        <w:t>60% of participants agreed or strongly agreed with the statement “p</w:t>
      </w:r>
      <w:r w:rsidRPr="008F5590">
        <w:rPr>
          <w:rFonts w:asciiTheme="minorBidi" w:eastAsia="Times New Roman" w:hAnsiTheme="minorBidi"/>
          <w:color w:val="32363A"/>
          <w:sz w:val="24"/>
          <w:szCs w:val="24"/>
          <w:shd w:val="clear" w:color="auto" w:fill="FFFFFF"/>
        </w:rPr>
        <w:t>harmacists are able to independently prescribe cost-effectively</w:t>
      </w:r>
      <w:r>
        <w:rPr>
          <w:rFonts w:asciiTheme="minorBidi" w:eastAsia="Times New Roman" w:hAnsiTheme="minorBidi"/>
          <w:color w:val="32363A"/>
          <w:sz w:val="24"/>
          <w:szCs w:val="24"/>
          <w:shd w:val="clear" w:color="auto" w:fill="FFFFFF"/>
        </w:rPr>
        <w:t xml:space="preserve">”, and the proportion of agreement among participants in response to the role </w:t>
      </w:r>
      <w:r w:rsidRPr="008F5590">
        <w:rPr>
          <w:rFonts w:asciiTheme="minorBidi" w:eastAsia="Times New Roman" w:hAnsiTheme="minorBidi"/>
          <w:color w:val="32363A"/>
          <w:sz w:val="24"/>
          <w:szCs w:val="24"/>
          <w:shd w:val="clear" w:color="auto" w:fill="FFFFFF"/>
        </w:rPr>
        <w:t>of pharmacists in assessing patients’ clinical needs and performing a</w:t>
      </w:r>
      <w:r>
        <w:rPr>
          <w:rFonts w:asciiTheme="minorBidi" w:eastAsia="Times New Roman" w:hAnsiTheme="minorBidi"/>
          <w:color w:val="32363A"/>
          <w:sz w:val="24"/>
          <w:szCs w:val="24"/>
          <w:shd w:val="clear" w:color="auto" w:fill="FFFFFF"/>
        </w:rPr>
        <w:t xml:space="preserve"> </w:t>
      </w:r>
      <w:r w:rsidRPr="008F5590">
        <w:rPr>
          <w:rFonts w:asciiTheme="minorBidi" w:eastAsia="Times New Roman" w:hAnsiTheme="minorBidi"/>
          <w:color w:val="32363A"/>
          <w:sz w:val="24"/>
          <w:szCs w:val="24"/>
          <w:shd w:val="clear" w:color="auto" w:fill="FFFFFF"/>
        </w:rPr>
        <w:t>comprehensive medicines assessment</w:t>
      </w:r>
      <w:r>
        <w:rPr>
          <w:rFonts w:asciiTheme="minorBidi" w:eastAsia="Times New Roman" w:hAnsiTheme="minorBidi"/>
          <w:color w:val="32363A"/>
          <w:sz w:val="24"/>
          <w:szCs w:val="24"/>
          <w:shd w:val="clear" w:color="auto" w:fill="FFFFFF"/>
        </w:rPr>
        <w:t xml:space="preserve"> was 77%.  </w:t>
      </w:r>
    </w:p>
    <w:p w14:paraId="2233F6D0" w14:textId="77777777" w:rsidR="00821B82" w:rsidRPr="004D34D6" w:rsidRDefault="00821B82" w:rsidP="00821B82">
      <w:pPr>
        <w:spacing w:after="0" w:line="360" w:lineRule="auto"/>
        <w:jc w:val="both"/>
        <w:rPr>
          <w:rFonts w:asciiTheme="minorBidi" w:eastAsia="Times New Roman" w:hAnsiTheme="minorBidi"/>
          <w:color w:val="32363A"/>
          <w:sz w:val="24"/>
          <w:szCs w:val="24"/>
          <w:shd w:val="clear" w:color="auto" w:fill="FFFFFF"/>
        </w:rPr>
        <w:sectPr w:rsidR="00821B82" w:rsidRPr="004D34D6" w:rsidSect="00282204">
          <w:pgSz w:w="12240" w:h="15840"/>
          <w:pgMar w:top="1440" w:right="1440" w:bottom="1440" w:left="1440" w:header="720" w:footer="720" w:gutter="0"/>
          <w:cols w:space="720"/>
          <w:docGrid w:linePitch="360"/>
        </w:sectPr>
      </w:pPr>
      <w:r w:rsidRPr="00923CB0">
        <w:rPr>
          <w:rFonts w:asciiTheme="minorBidi" w:eastAsia="Times New Roman" w:hAnsiTheme="minorBidi"/>
          <w:color w:val="32363A"/>
          <w:sz w:val="24"/>
          <w:szCs w:val="24"/>
          <w:shd w:val="clear" w:color="auto" w:fill="FFFFFF"/>
        </w:rPr>
        <w:t>Together these results provide important insight into expanding pharmacists' roles as pharmacists are expected to make more clinical decisions for patients; simultaneously, there is resistance to expand</w:t>
      </w:r>
      <w:r>
        <w:rPr>
          <w:rFonts w:asciiTheme="minorBidi" w:eastAsia="Times New Roman" w:hAnsiTheme="minorBidi"/>
          <w:color w:val="32363A"/>
          <w:sz w:val="24"/>
          <w:szCs w:val="24"/>
          <w:shd w:val="clear" w:color="auto" w:fill="FFFFFF"/>
        </w:rPr>
        <w:t>ing</w:t>
      </w:r>
      <w:r w:rsidRPr="00923CB0">
        <w:rPr>
          <w:rFonts w:asciiTheme="minorBidi" w:eastAsia="Times New Roman" w:hAnsiTheme="minorBidi"/>
          <w:color w:val="32363A"/>
          <w:sz w:val="24"/>
          <w:szCs w:val="24"/>
          <w:shd w:val="clear" w:color="auto" w:fill="FFFFFF"/>
        </w:rPr>
        <w:t xml:space="preserve"> the role of pharmacists to </w:t>
      </w:r>
      <w:r>
        <w:rPr>
          <w:rFonts w:asciiTheme="minorBidi" w:eastAsia="Times New Roman" w:hAnsiTheme="minorBidi"/>
          <w:color w:val="32363A"/>
          <w:sz w:val="24"/>
          <w:szCs w:val="24"/>
          <w:shd w:val="clear" w:color="auto" w:fill="FFFFFF"/>
        </w:rPr>
        <w:t xml:space="preserve">be </w:t>
      </w:r>
      <w:r w:rsidRPr="00923CB0">
        <w:rPr>
          <w:rFonts w:asciiTheme="minorBidi" w:eastAsia="Times New Roman" w:hAnsiTheme="minorBidi"/>
          <w:color w:val="32363A"/>
          <w:sz w:val="24"/>
          <w:szCs w:val="24"/>
          <w:shd w:val="clear" w:color="auto" w:fill="FFFFFF"/>
        </w:rPr>
        <w:t>licensed/authorised prescribers</w:t>
      </w:r>
      <w:r>
        <w:rPr>
          <w:rFonts w:asciiTheme="minorBidi" w:eastAsia="Times New Roman" w:hAnsiTheme="minorBidi"/>
          <w:color w:val="32363A"/>
          <w:sz w:val="24"/>
          <w:szCs w:val="24"/>
          <w:shd w:val="clear" w:color="auto" w:fill="FFFFFF"/>
        </w:rPr>
        <w:t xml:space="preserve">. </w:t>
      </w:r>
      <w:r w:rsidRPr="00C92F69">
        <w:rPr>
          <w:rFonts w:asciiTheme="minorBidi" w:eastAsia="Times New Roman" w:hAnsiTheme="minorBidi"/>
          <w:color w:val="32363A"/>
          <w:sz w:val="24"/>
          <w:szCs w:val="24"/>
          <w:shd w:val="clear" w:color="auto" w:fill="FFFFFF"/>
        </w:rPr>
        <w:t xml:space="preserve">The following </w:t>
      </w:r>
      <w:r>
        <w:rPr>
          <w:rFonts w:asciiTheme="minorBidi" w:eastAsia="Times New Roman" w:hAnsiTheme="minorBidi"/>
          <w:color w:val="32363A"/>
          <w:sz w:val="24"/>
          <w:szCs w:val="24"/>
          <w:shd w:val="clear" w:color="auto" w:fill="FFFFFF"/>
        </w:rPr>
        <w:t>part</w:t>
      </w:r>
      <w:r w:rsidRPr="00C92F69">
        <w:rPr>
          <w:rFonts w:asciiTheme="minorBidi" w:eastAsia="Times New Roman" w:hAnsiTheme="minorBidi"/>
          <w:color w:val="32363A"/>
          <w:sz w:val="24"/>
          <w:szCs w:val="24"/>
          <w:shd w:val="clear" w:color="auto" w:fill="FFFFFF"/>
        </w:rPr>
        <w:t xml:space="preserve"> of this section relates to factors that might influence participants' views of pharmacists. T</w:t>
      </w:r>
      <w:r>
        <w:rPr>
          <w:rFonts w:asciiTheme="minorBidi" w:eastAsia="Times New Roman" w:hAnsiTheme="minorBidi"/>
          <w:color w:val="32363A"/>
          <w:sz w:val="24"/>
          <w:szCs w:val="24"/>
          <w:shd w:val="clear" w:color="auto" w:fill="FFFFFF"/>
        </w:rPr>
        <w:t xml:space="preserve">hree </w:t>
      </w:r>
      <w:r w:rsidRPr="00C92F69">
        <w:rPr>
          <w:rFonts w:asciiTheme="minorBidi" w:eastAsia="Times New Roman" w:hAnsiTheme="minorBidi"/>
          <w:color w:val="32363A"/>
          <w:sz w:val="24"/>
          <w:szCs w:val="24"/>
          <w:shd w:val="clear" w:color="auto" w:fill="FFFFFF"/>
        </w:rPr>
        <w:t xml:space="preserve">factors were investigated: </w:t>
      </w:r>
      <w:r>
        <w:rPr>
          <w:rFonts w:asciiTheme="minorBidi" w:eastAsia="Times New Roman" w:hAnsiTheme="minorBidi"/>
          <w:color w:val="32363A"/>
          <w:sz w:val="24"/>
          <w:szCs w:val="24"/>
          <w:shd w:val="clear" w:color="auto" w:fill="FFFFFF"/>
        </w:rPr>
        <w:t xml:space="preserve">profession category: doctors, pharmacists, and nurses, </w:t>
      </w:r>
      <w:r w:rsidRPr="00C92F69">
        <w:rPr>
          <w:rFonts w:asciiTheme="minorBidi" w:eastAsia="Times New Roman" w:hAnsiTheme="minorBidi"/>
          <w:color w:val="32363A"/>
          <w:sz w:val="24"/>
          <w:szCs w:val="24"/>
          <w:shd w:val="clear" w:color="auto" w:fill="FFFFFF"/>
        </w:rPr>
        <w:t xml:space="preserve">the country where the </w:t>
      </w:r>
      <w:r>
        <w:rPr>
          <w:rFonts w:asciiTheme="minorBidi" w:eastAsia="Times New Roman" w:hAnsiTheme="minorBidi"/>
          <w:color w:val="32363A"/>
          <w:sz w:val="24"/>
          <w:szCs w:val="24"/>
          <w:shd w:val="clear" w:color="auto" w:fill="FFFFFF"/>
        </w:rPr>
        <w:t>degree</w:t>
      </w:r>
      <w:r w:rsidRPr="00C92F69">
        <w:rPr>
          <w:rFonts w:asciiTheme="minorBidi" w:eastAsia="Times New Roman" w:hAnsiTheme="minorBidi"/>
          <w:color w:val="32363A"/>
          <w:sz w:val="24"/>
          <w:szCs w:val="24"/>
          <w:shd w:val="clear" w:color="auto" w:fill="FFFFFF"/>
        </w:rPr>
        <w:t xml:space="preserve"> was obtained</w:t>
      </w:r>
      <w:r>
        <w:rPr>
          <w:rFonts w:asciiTheme="minorBidi" w:eastAsia="Times New Roman" w:hAnsiTheme="minorBidi"/>
          <w:color w:val="32363A"/>
          <w:sz w:val="24"/>
          <w:szCs w:val="24"/>
          <w:shd w:val="clear" w:color="auto" w:fill="FFFFFF"/>
        </w:rPr>
        <w:t>,</w:t>
      </w:r>
      <w:r w:rsidRPr="00C92F69">
        <w:rPr>
          <w:rFonts w:asciiTheme="minorBidi" w:eastAsia="Times New Roman" w:hAnsiTheme="minorBidi"/>
          <w:color w:val="32363A"/>
          <w:sz w:val="24"/>
          <w:szCs w:val="24"/>
          <w:shd w:val="clear" w:color="auto" w:fill="FFFFFF"/>
        </w:rPr>
        <w:t xml:space="preserve"> and </w:t>
      </w:r>
      <w:r>
        <w:rPr>
          <w:rFonts w:asciiTheme="minorBidi" w:eastAsia="Times New Roman" w:hAnsiTheme="minorBidi"/>
          <w:color w:val="32363A"/>
          <w:sz w:val="24"/>
          <w:szCs w:val="24"/>
          <w:shd w:val="clear" w:color="auto" w:fill="FFFFFF"/>
        </w:rPr>
        <w:t xml:space="preserve">the </w:t>
      </w:r>
      <w:r w:rsidRPr="00C92F69">
        <w:rPr>
          <w:rFonts w:asciiTheme="minorBidi" w:eastAsia="Times New Roman" w:hAnsiTheme="minorBidi"/>
          <w:color w:val="32363A"/>
          <w:sz w:val="24"/>
          <w:szCs w:val="24"/>
          <w:shd w:val="clear" w:color="auto" w:fill="FFFFFF"/>
        </w:rPr>
        <w:t>years of experience as a healthcare practitioner.</w:t>
      </w:r>
    </w:p>
    <w:p w14:paraId="3E904CEC" w14:textId="28921113" w:rsidR="00821B82" w:rsidRPr="00B02AA8" w:rsidRDefault="00821B82" w:rsidP="00821B82">
      <w:pPr>
        <w:pStyle w:val="Caption"/>
      </w:pPr>
      <w:bookmarkStart w:id="205" w:name="_Ref122820671"/>
      <w:bookmarkStart w:id="206" w:name="_Toc153894572"/>
      <w:r>
        <w:t xml:space="preserve">Table </w:t>
      </w:r>
      <w:fldSimple w:instr=" SEQ Table \* ARABIC ">
        <w:r w:rsidR="009B31EB">
          <w:rPr>
            <w:noProof/>
          </w:rPr>
          <w:t>18</w:t>
        </w:r>
      </w:fldSimple>
      <w:bookmarkEnd w:id="205"/>
      <w:r>
        <w:t xml:space="preserve">: </w:t>
      </w:r>
      <w:r w:rsidRPr="005746D8">
        <w:t>Healthcare Professionals' Opinion toward Potential Impact of Pharmacist Involvement in Diabetes Primary Care Management</w:t>
      </w:r>
      <w:bookmarkEnd w:id="206"/>
    </w:p>
    <w:tbl>
      <w:tblPr>
        <w:tblW w:w="14040" w:type="dxa"/>
        <w:jc w:val="center"/>
        <w:shd w:val="clear" w:color="auto" w:fill="FFFFFF" w:themeFill="background1"/>
        <w:tblLayout w:type="fixed"/>
        <w:tblLook w:val="04A0" w:firstRow="1" w:lastRow="0" w:firstColumn="1" w:lastColumn="0" w:noHBand="0" w:noVBand="1"/>
      </w:tblPr>
      <w:tblGrid>
        <w:gridCol w:w="8149"/>
        <w:gridCol w:w="963"/>
        <w:gridCol w:w="963"/>
        <w:gridCol w:w="963"/>
        <w:gridCol w:w="750"/>
        <w:gridCol w:w="916"/>
        <w:gridCol w:w="1336"/>
      </w:tblGrid>
      <w:tr w:rsidR="00821B82" w:rsidRPr="00AF0AF6" w14:paraId="313342E5" w14:textId="77777777" w:rsidTr="00282204">
        <w:trPr>
          <w:cantSplit/>
          <w:trHeight w:val="414"/>
          <w:tblHeader/>
          <w:jc w:val="center"/>
        </w:trPr>
        <w:tc>
          <w:tcPr>
            <w:tcW w:w="8149" w:type="dxa"/>
            <w:vMerge w:val="restart"/>
            <w:shd w:val="clear" w:color="auto" w:fill="FFFFFF" w:themeFill="background1"/>
            <w:vAlign w:val="center"/>
          </w:tcPr>
          <w:p w14:paraId="40E3DEE3" w14:textId="77777777" w:rsidR="00821B82" w:rsidRPr="00AF0AF6" w:rsidRDefault="00821B82" w:rsidP="00282204">
            <w:pPr>
              <w:spacing w:after="0" w:line="240" w:lineRule="auto"/>
              <w:rPr>
                <w:rFonts w:asciiTheme="minorBidi" w:eastAsia="Times New Roman" w:hAnsiTheme="minorBidi"/>
                <w:color w:val="000000"/>
                <w:sz w:val="18"/>
                <w:szCs w:val="18"/>
              </w:rPr>
            </w:pPr>
          </w:p>
          <w:p w14:paraId="00EA8C8D" w14:textId="77777777" w:rsidR="00821B82" w:rsidRPr="00AF0AF6" w:rsidRDefault="00821B82" w:rsidP="00282204">
            <w:pPr>
              <w:spacing w:after="0" w:line="240" w:lineRule="auto"/>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Statement</w:t>
            </w:r>
          </w:p>
        </w:tc>
        <w:tc>
          <w:tcPr>
            <w:tcW w:w="4555" w:type="dxa"/>
            <w:gridSpan w:val="5"/>
            <w:shd w:val="clear" w:color="auto" w:fill="FFFFFF" w:themeFill="background1"/>
            <w:vAlign w:val="center"/>
          </w:tcPr>
          <w:p w14:paraId="411EA7C8" w14:textId="77777777" w:rsidR="00821B82" w:rsidRPr="00ED10CC" w:rsidRDefault="00821B82" w:rsidP="00282204">
            <w:pPr>
              <w:spacing w:after="0" w:line="240" w:lineRule="auto"/>
              <w:jc w:val="center"/>
              <w:rPr>
                <w:rFonts w:asciiTheme="minorBidi" w:eastAsia="Times New Roman" w:hAnsiTheme="minorBidi"/>
                <w:color w:val="000000"/>
                <w:sz w:val="16"/>
                <w:szCs w:val="16"/>
              </w:rPr>
            </w:pPr>
            <w:r w:rsidRPr="00ED10CC">
              <w:rPr>
                <w:rFonts w:asciiTheme="minorBidi" w:eastAsia="Times New Roman" w:hAnsiTheme="minorBidi"/>
                <w:color w:val="000000"/>
                <w:sz w:val="16"/>
                <w:szCs w:val="16"/>
              </w:rPr>
              <w:t>Responses rate in %, N=106</w:t>
            </w:r>
          </w:p>
        </w:tc>
        <w:tc>
          <w:tcPr>
            <w:tcW w:w="1336" w:type="dxa"/>
            <w:vMerge w:val="restart"/>
            <w:shd w:val="clear" w:color="auto" w:fill="FFFFFF" w:themeFill="background1"/>
            <w:vAlign w:val="center"/>
          </w:tcPr>
          <w:p w14:paraId="50178417" w14:textId="77777777" w:rsidR="00821B82" w:rsidRPr="00ED10CC" w:rsidRDefault="00821B82" w:rsidP="00282204">
            <w:pPr>
              <w:spacing w:after="0" w:line="240" w:lineRule="auto"/>
              <w:rPr>
                <w:rFonts w:asciiTheme="minorBidi" w:eastAsia="Times New Roman" w:hAnsiTheme="minorBidi"/>
                <w:color w:val="000000"/>
                <w:sz w:val="16"/>
                <w:szCs w:val="16"/>
              </w:rPr>
            </w:pPr>
            <w:r w:rsidRPr="00ED10CC">
              <w:rPr>
                <w:rFonts w:asciiTheme="minorBidi" w:eastAsia="Times New Roman" w:hAnsiTheme="minorBidi"/>
                <w:color w:val="000000"/>
                <w:sz w:val="16"/>
                <w:szCs w:val="16"/>
              </w:rPr>
              <w:t>Median (IQR)</w:t>
            </w:r>
          </w:p>
        </w:tc>
      </w:tr>
      <w:tr w:rsidR="00821B82" w:rsidRPr="00AF0AF6" w14:paraId="69E2A497" w14:textId="77777777" w:rsidTr="00282204">
        <w:trPr>
          <w:cantSplit/>
          <w:trHeight w:val="604"/>
          <w:tblHeader/>
          <w:jc w:val="center"/>
        </w:trPr>
        <w:tc>
          <w:tcPr>
            <w:tcW w:w="8149" w:type="dxa"/>
            <w:vMerge/>
            <w:tcBorders>
              <w:bottom w:val="single" w:sz="4" w:space="0" w:color="auto"/>
            </w:tcBorders>
            <w:shd w:val="clear" w:color="auto" w:fill="FFFFFF" w:themeFill="background1"/>
            <w:vAlign w:val="center"/>
            <w:hideMark/>
          </w:tcPr>
          <w:p w14:paraId="169A0B2F" w14:textId="77777777" w:rsidR="00821B82" w:rsidRPr="00AF0AF6" w:rsidRDefault="00821B82" w:rsidP="00282204">
            <w:pPr>
              <w:spacing w:after="0" w:line="240" w:lineRule="auto"/>
              <w:rPr>
                <w:rFonts w:asciiTheme="minorBidi" w:eastAsia="Times New Roman" w:hAnsiTheme="minorBidi"/>
                <w:color w:val="000000"/>
                <w:sz w:val="18"/>
                <w:szCs w:val="18"/>
              </w:rPr>
            </w:pPr>
          </w:p>
        </w:tc>
        <w:tc>
          <w:tcPr>
            <w:tcW w:w="963" w:type="dxa"/>
            <w:tcBorders>
              <w:bottom w:val="single" w:sz="4" w:space="0" w:color="auto"/>
            </w:tcBorders>
            <w:shd w:val="clear" w:color="auto" w:fill="FFFFFF" w:themeFill="background1"/>
            <w:vAlign w:val="center"/>
            <w:hideMark/>
          </w:tcPr>
          <w:p w14:paraId="2EABC232" w14:textId="77777777" w:rsidR="00821B82" w:rsidRPr="00ED10CC" w:rsidRDefault="00821B82" w:rsidP="00282204">
            <w:pPr>
              <w:spacing w:after="0" w:line="240" w:lineRule="auto"/>
              <w:jc w:val="center"/>
              <w:rPr>
                <w:rFonts w:asciiTheme="minorBidi" w:eastAsia="Times New Roman" w:hAnsiTheme="minorBidi"/>
                <w:color w:val="000000"/>
                <w:sz w:val="16"/>
                <w:szCs w:val="16"/>
              </w:rPr>
            </w:pPr>
            <w:r w:rsidRPr="00ED10CC">
              <w:rPr>
                <w:rFonts w:asciiTheme="minorBidi" w:eastAsia="Times New Roman" w:hAnsiTheme="minorBidi"/>
                <w:color w:val="000000"/>
                <w:sz w:val="16"/>
                <w:szCs w:val="16"/>
              </w:rPr>
              <w:t>Strongly disagree</w:t>
            </w:r>
          </w:p>
        </w:tc>
        <w:tc>
          <w:tcPr>
            <w:tcW w:w="963" w:type="dxa"/>
            <w:tcBorders>
              <w:bottom w:val="single" w:sz="4" w:space="0" w:color="auto"/>
            </w:tcBorders>
            <w:shd w:val="clear" w:color="auto" w:fill="FFFFFF" w:themeFill="background1"/>
            <w:vAlign w:val="center"/>
            <w:hideMark/>
          </w:tcPr>
          <w:p w14:paraId="0E45D3E1" w14:textId="77777777" w:rsidR="00821B82" w:rsidRPr="00ED10CC" w:rsidRDefault="00821B82" w:rsidP="00282204">
            <w:pPr>
              <w:spacing w:after="0" w:line="240" w:lineRule="auto"/>
              <w:jc w:val="center"/>
              <w:rPr>
                <w:rFonts w:asciiTheme="minorBidi" w:eastAsia="Times New Roman" w:hAnsiTheme="minorBidi"/>
                <w:color w:val="000000"/>
                <w:sz w:val="16"/>
                <w:szCs w:val="16"/>
              </w:rPr>
            </w:pPr>
            <w:r w:rsidRPr="00ED10CC">
              <w:rPr>
                <w:rFonts w:asciiTheme="minorBidi" w:eastAsia="Times New Roman" w:hAnsiTheme="minorBidi"/>
                <w:color w:val="000000"/>
                <w:sz w:val="16"/>
                <w:szCs w:val="16"/>
              </w:rPr>
              <w:t>Disagree</w:t>
            </w:r>
          </w:p>
        </w:tc>
        <w:tc>
          <w:tcPr>
            <w:tcW w:w="963" w:type="dxa"/>
            <w:tcBorders>
              <w:bottom w:val="single" w:sz="4" w:space="0" w:color="auto"/>
            </w:tcBorders>
            <w:shd w:val="clear" w:color="auto" w:fill="FFFFFF" w:themeFill="background1"/>
            <w:vAlign w:val="center"/>
            <w:hideMark/>
          </w:tcPr>
          <w:p w14:paraId="27DE1ECE" w14:textId="77777777" w:rsidR="00821B82" w:rsidRPr="00ED10CC" w:rsidRDefault="00821B82" w:rsidP="00282204">
            <w:pPr>
              <w:spacing w:after="0" w:line="240" w:lineRule="auto"/>
              <w:jc w:val="center"/>
              <w:rPr>
                <w:rFonts w:asciiTheme="minorBidi" w:eastAsia="Times New Roman" w:hAnsiTheme="minorBidi"/>
                <w:color w:val="000000"/>
                <w:sz w:val="16"/>
                <w:szCs w:val="16"/>
              </w:rPr>
            </w:pPr>
            <w:r w:rsidRPr="00ED10CC">
              <w:rPr>
                <w:rFonts w:asciiTheme="minorBidi" w:eastAsia="Times New Roman" w:hAnsiTheme="minorBidi"/>
                <w:color w:val="000000"/>
                <w:sz w:val="16"/>
                <w:szCs w:val="16"/>
              </w:rPr>
              <w:t>Neither agree nor disagree</w:t>
            </w:r>
          </w:p>
        </w:tc>
        <w:tc>
          <w:tcPr>
            <w:tcW w:w="750" w:type="dxa"/>
            <w:tcBorders>
              <w:bottom w:val="single" w:sz="4" w:space="0" w:color="auto"/>
            </w:tcBorders>
            <w:shd w:val="clear" w:color="auto" w:fill="FFFFFF" w:themeFill="background1"/>
            <w:vAlign w:val="center"/>
            <w:hideMark/>
          </w:tcPr>
          <w:p w14:paraId="0F5083EE" w14:textId="77777777" w:rsidR="00821B82" w:rsidRPr="00ED10CC" w:rsidRDefault="00821B82" w:rsidP="00282204">
            <w:pPr>
              <w:spacing w:after="0" w:line="240" w:lineRule="auto"/>
              <w:jc w:val="center"/>
              <w:rPr>
                <w:rFonts w:asciiTheme="minorBidi" w:eastAsia="Times New Roman" w:hAnsiTheme="minorBidi"/>
                <w:color w:val="000000"/>
                <w:sz w:val="16"/>
                <w:szCs w:val="16"/>
              </w:rPr>
            </w:pPr>
            <w:r w:rsidRPr="00ED10CC">
              <w:rPr>
                <w:rFonts w:asciiTheme="minorBidi" w:eastAsia="Times New Roman" w:hAnsiTheme="minorBidi"/>
                <w:color w:val="000000"/>
                <w:sz w:val="16"/>
                <w:szCs w:val="16"/>
              </w:rPr>
              <w:t>Agree</w:t>
            </w:r>
          </w:p>
        </w:tc>
        <w:tc>
          <w:tcPr>
            <w:tcW w:w="916" w:type="dxa"/>
            <w:tcBorders>
              <w:bottom w:val="single" w:sz="4" w:space="0" w:color="auto"/>
            </w:tcBorders>
            <w:shd w:val="clear" w:color="auto" w:fill="FFFFFF" w:themeFill="background1"/>
            <w:vAlign w:val="center"/>
            <w:hideMark/>
          </w:tcPr>
          <w:p w14:paraId="1EE1F2B1" w14:textId="77777777" w:rsidR="00821B82" w:rsidRPr="00ED10CC" w:rsidRDefault="00821B82" w:rsidP="00282204">
            <w:pPr>
              <w:spacing w:after="0" w:line="240" w:lineRule="auto"/>
              <w:jc w:val="center"/>
              <w:rPr>
                <w:rFonts w:asciiTheme="minorBidi" w:eastAsia="Times New Roman" w:hAnsiTheme="minorBidi"/>
                <w:color w:val="000000"/>
                <w:sz w:val="16"/>
                <w:szCs w:val="16"/>
              </w:rPr>
            </w:pPr>
            <w:r w:rsidRPr="00ED10CC">
              <w:rPr>
                <w:rFonts w:asciiTheme="minorBidi" w:eastAsia="Times New Roman" w:hAnsiTheme="minorBidi"/>
                <w:color w:val="000000"/>
                <w:sz w:val="16"/>
                <w:szCs w:val="16"/>
              </w:rPr>
              <w:t>Strongly agree</w:t>
            </w:r>
          </w:p>
        </w:tc>
        <w:tc>
          <w:tcPr>
            <w:tcW w:w="1336" w:type="dxa"/>
            <w:vMerge/>
            <w:tcBorders>
              <w:bottom w:val="single" w:sz="4" w:space="0" w:color="auto"/>
            </w:tcBorders>
            <w:shd w:val="clear" w:color="auto" w:fill="FFFFFF" w:themeFill="background1"/>
            <w:vAlign w:val="center"/>
            <w:hideMark/>
          </w:tcPr>
          <w:p w14:paraId="5D2830BD" w14:textId="77777777" w:rsidR="00821B82" w:rsidRPr="00ED10CC" w:rsidRDefault="00821B82" w:rsidP="00282204">
            <w:pPr>
              <w:spacing w:after="0" w:line="240" w:lineRule="auto"/>
              <w:jc w:val="center"/>
              <w:rPr>
                <w:rFonts w:asciiTheme="minorBidi" w:eastAsia="Times New Roman" w:hAnsiTheme="minorBidi"/>
                <w:color w:val="000000"/>
                <w:sz w:val="16"/>
                <w:szCs w:val="16"/>
              </w:rPr>
            </w:pPr>
          </w:p>
        </w:tc>
      </w:tr>
      <w:tr w:rsidR="00821B82" w:rsidRPr="00AF0AF6" w14:paraId="694C2316" w14:textId="77777777" w:rsidTr="00282204">
        <w:trPr>
          <w:trHeight w:val="314"/>
          <w:jc w:val="center"/>
        </w:trPr>
        <w:tc>
          <w:tcPr>
            <w:tcW w:w="8149" w:type="dxa"/>
            <w:tcBorders>
              <w:top w:val="single" w:sz="4" w:space="0" w:color="auto"/>
            </w:tcBorders>
            <w:shd w:val="clear" w:color="auto" w:fill="FFFFFF" w:themeFill="background1"/>
            <w:vAlign w:val="center"/>
            <w:hideMark/>
          </w:tcPr>
          <w:p w14:paraId="36D11E35"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can reduce medication errors in practice</w:t>
            </w:r>
          </w:p>
        </w:tc>
        <w:tc>
          <w:tcPr>
            <w:tcW w:w="963" w:type="dxa"/>
            <w:tcBorders>
              <w:top w:val="single" w:sz="4" w:space="0" w:color="auto"/>
            </w:tcBorders>
            <w:shd w:val="clear" w:color="auto" w:fill="FFFFFF" w:themeFill="background1"/>
            <w:vAlign w:val="center"/>
            <w:hideMark/>
          </w:tcPr>
          <w:p w14:paraId="0F809992"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2</w:t>
            </w:r>
          </w:p>
        </w:tc>
        <w:tc>
          <w:tcPr>
            <w:tcW w:w="963" w:type="dxa"/>
            <w:tcBorders>
              <w:top w:val="single" w:sz="4" w:space="0" w:color="auto"/>
            </w:tcBorders>
            <w:shd w:val="clear" w:color="auto" w:fill="FFFFFF" w:themeFill="background1"/>
            <w:vAlign w:val="center"/>
            <w:hideMark/>
          </w:tcPr>
          <w:p w14:paraId="53901FFF"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w:t>
            </w:r>
          </w:p>
        </w:tc>
        <w:tc>
          <w:tcPr>
            <w:tcW w:w="963" w:type="dxa"/>
            <w:tcBorders>
              <w:top w:val="single" w:sz="4" w:space="0" w:color="auto"/>
            </w:tcBorders>
            <w:shd w:val="clear" w:color="auto" w:fill="FFFFFF" w:themeFill="background1"/>
            <w:vAlign w:val="center"/>
            <w:hideMark/>
          </w:tcPr>
          <w:p w14:paraId="5B286F0C"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3</w:t>
            </w:r>
          </w:p>
        </w:tc>
        <w:tc>
          <w:tcPr>
            <w:tcW w:w="750" w:type="dxa"/>
            <w:tcBorders>
              <w:top w:val="single" w:sz="4" w:space="0" w:color="auto"/>
            </w:tcBorders>
            <w:shd w:val="clear" w:color="auto" w:fill="FFFFFF" w:themeFill="background1"/>
            <w:vAlign w:val="center"/>
            <w:hideMark/>
          </w:tcPr>
          <w:p w14:paraId="3939116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42</w:t>
            </w:r>
          </w:p>
        </w:tc>
        <w:tc>
          <w:tcPr>
            <w:tcW w:w="916" w:type="dxa"/>
            <w:tcBorders>
              <w:top w:val="single" w:sz="4" w:space="0" w:color="auto"/>
            </w:tcBorders>
            <w:shd w:val="clear" w:color="auto" w:fill="FFFFFF" w:themeFill="background1"/>
            <w:vAlign w:val="center"/>
            <w:hideMark/>
          </w:tcPr>
          <w:p w14:paraId="5D5D616D"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53</w:t>
            </w:r>
          </w:p>
        </w:tc>
        <w:tc>
          <w:tcPr>
            <w:tcW w:w="1336" w:type="dxa"/>
            <w:tcBorders>
              <w:top w:val="single" w:sz="4" w:space="0" w:color="auto"/>
            </w:tcBorders>
            <w:shd w:val="clear" w:color="auto" w:fill="FFFFFF" w:themeFill="background1"/>
            <w:vAlign w:val="center"/>
            <w:hideMark/>
          </w:tcPr>
          <w:p w14:paraId="626F7799"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5 (4-5)</w:t>
            </w:r>
          </w:p>
        </w:tc>
      </w:tr>
      <w:tr w:rsidR="00821B82" w:rsidRPr="00AF0AF6" w14:paraId="35F31A67" w14:textId="77777777" w:rsidTr="00282204">
        <w:trPr>
          <w:trHeight w:val="283"/>
          <w:jc w:val="center"/>
        </w:trPr>
        <w:tc>
          <w:tcPr>
            <w:tcW w:w="8149" w:type="dxa"/>
            <w:shd w:val="clear" w:color="auto" w:fill="FFFFFF" w:themeFill="background1"/>
            <w:vAlign w:val="center"/>
            <w:hideMark/>
          </w:tcPr>
          <w:p w14:paraId="28EB0286"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can help doctors to prescribe safely</w:t>
            </w:r>
          </w:p>
        </w:tc>
        <w:tc>
          <w:tcPr>
            <w:tcW w:w="963" w:type="dxa"/>
            <w:shd w:val="clear" w:color="auto" w:fill="FFFFFF" w:themeFill="background1"/>
            <w:vAlign w:val="center"/>
            <w:hideMark/>
          </w:tcPr>
          <w:p w14:paraId="5ACC8800"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2</w:t>
            </w:r>
          </w:p>
        </w:tc>
        <w:tc>
          <w:tcPr>
            <w:tcW w:w="963" w:type="dxa"/>
            <w:shd w:val="clear" w:color="auto" w:fill="FFFFFF" w:themeFill="background1"/>
            <w:vAlign w:val="center"/>
            <w:hideMark/>
          </w:tcPr>
          <w:p w14:paraId="738A401D"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0</w:t>
            </w:r>
          </w:p>
        </w:tc>
        <w:tc>
          <w:tcPr>
            <w:tcW w:w="963" w:type="dxa"/>
            <w:shd w:val="clear" w:color="auto" w:fill="FFFFFF" w:themeFill="background1"/>
            <w:vAlign w:val="center"/>
            <w:hideMark/>
          </w:tcPr>
          <w:p w14:paraId="19CA89C1"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7</w:t>
            </w:r>
          </w:p>
        </w:tc>
        <w:tc>
          <w:tcPr>
            <w:tcW w:w="750" w:type="dxa"/>
            <w:shd w:val="clear" w:color="auto" w:fill="FFFFFF" w:themeFill="background1"/>
            <w:vAlign w:val="center"/>
            <w:hideMark/>
          </w:tcPr>
          <w:p w14:paraId="0A13764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44</w:t>
            </w:r>
          </w:p>
        </w:tc>
        <w:tc>
          <w:tcPr>
            <w:tcW w:w="916" w:type="dxa"/>
            <w:shd w:val="clear" w:color="auto" w:fill="FFFFFF" w:themeFill="background1"/>
            <w:vAlign w:val="center"/>
            <w:hideMark/>
          </w:tcPr>
          <w:p w14:paraId="27AD2802"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47</w:t>
            </w:r>
          </w:p>
        </w:tc>
        <w:tc>
          <w:tcPr>
            <w:tcW w:w="1336" w:type="dxa"/>
            <w:shd w:val="clear" w:color="auto" w:fill="FFFFFF" w:themeFill="background1"/>
            <w:vAlign w:val="center"/>
            <w:hideMark/>
          </w:tcPr>
          <w:p w14:paraId="38E4A0A1"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65B6190C" w14:textId="77777777" w:rsidTr="00282204">
        <w:trPr>
          <w:trHeight w:val="517"/>
          <w:jc w:val="center"/>
        </w:trPr>
        <w:tc>
          <w:tcPr>
            <w:tcW w:w="8149" w:type="dxa"/>
            <w:shd w:val="clear" w:color="auto" w:fill="FFFFFF" w:themeFill="background1"/>
            <w:vAlign w:val="center"/>
            <w:hideMark/>
          </w:tcPr>
          <w:p w14:paraId="4A48BA0F"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can improve prescribing practice via discussions with healthcare providers/ providing education sessions to improve prescribing</w:t>
            </w:r>
          </w:p>
        </w:tc>
        <w:tc>
          <w:tcPr>
            <w:tcW w:w="963" w:type="dxa"/>
            <w:shd w:val="clear" w:color="auto" w:fill="FFFFFF" w:themeFill="background1"/>
            <w:vAlign w:val="center"/>
            <w:hideMark/>
          </w:tcPr>
          <w:p w14:paraId="6316A6B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2</w:t>
            </w:r>
          </w:p>
        </w:tc>
        <w:tc>
          <w:tcPr>
            <w:tcW w:w="963" w:type="dxa"/>
            <w:shd w:val="clear" w:color="auto" w:fill="FFFFFF" w:themeFill="background1"/>
            <w:vAlign w:val="center"/>
            <w:hideMark/>
          </w:tcPr>
          <w:p w14:paraId="7706AF71"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w:t>
            </w:r>
          </w:p>
        </w:tc>
        <w:tc>
          <w:tcPr>
            <w:tcW w:w="963" w:type="dxa"/>
            <w:shd w:val="clear" w:color="auto" w:fill="FFFFFF" w:themeFill="background1"/>
            <w:vAlign w:val="center"/>
            <w:hideMark/>
          </w:tcPr>
          <w:p w14:paraId="568570A5"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7</w:t>
            </w:r>
          </w:p>
        </w:tc>
        <w:tc>
          <w:tcPr>
            <w:tcW w:w="750" w:type="dxa"/>
            <w:shd w:val="clear" w:color="auto" w:fill="FFFFFF" w:themeFill="background1"/>
            <w:vAlign w:val="center"/>
            <w:hideMark/>
          </w:tcPr>
          <w:p w14:paraId="583F47AD"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47</w:t>
            </w:r>
          </w:p>
        </w:tc>
        <w:tc>
          <w:tcPr>
            <w:tcW w:w="916" w:type="dxa"/>
            <w:shd w:val="clear" w:color="auto" w:fill="FFFFFF" w:themeFill="background1"/>
            <w:vAlign w:val="center"/>
            <w:hideMark/>
          </w:tcPr>
          <w:p w14:paraId="0EAD9A9B"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43</w:t>
            </w:r>
          </w:p>
        </w:tc>
        <w:tc>
          <w:tcPr>
            <w:tcW w:w="1336" w:type="dxa"/>
            <w:shd w:val="clear" w:color="auto" w:fill="FFFFFF" w:themeFill="background1"/>
            <w:vAlign w:val="center"/>
            <w:hideMark/>
          </w:tcPr>
          <w:p w14:paraId="3510EF38"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2C7C7BC2" w14:textId="77777777" w:rsidTr="00282204">
        <w:trPr>
          <w:trHeight w:val="517"/>
          <w:jc w:val="center"/>
        </w:trPr>
        <w:tc>
          <w:tcPr>
            <w:tcW w:w="8149" w:type="dxa"/>
            <w:shd w:val="clear" w:color="auto" w:fill="FFFFFF" w:themeFill="background1"/>
            <w:vAlign w:val="center"/>
            <w:hideMark/>
          </w:tcPr>
          <w:p w14:paraId="15EBDC2B"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can be an important and integral part of the medical team for diabetes management</w:t>
            </w:r>
          </w:p>
        </w:tc>
        <w:tc>
          <w:tcPr>
            <w:tcW w:w="963" w:type="dxa"/>
            <w:shd w:val="clear" w:color="auto" w:fill="FFFFFF" w:themeFill="background1"/>
            <w:vAlign w:val="center"/>
            <w:hideMark/>
          </w:tcPr>
          <w:p w14:paraId="146A2C4C"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w:t>
            </w:r>
          </w:p>
        </w:tc>
        <w:tc>
          <w:tcPr>
            <w:tcW w:w="963" w:type="dxa"/>
            <w:shd w:val="clear" w:color="auto" w:fill="FFFFFF" w:themeFill="background1"/>
            <w:vAlign w:val="center"/>
            <w:hideMark/>
          </w:tcPr>
          <w:p w14:paraId="48322ECF"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0</w:t>
            </w:r>
          </w:p>
        </w:tc>
        <w:tc>
          <w:tcPr>
            <w:tcW w:w="963" w:type="dxa"/>
            <w:shd w:val="clear" w:color="auto" w:fill="FFFFFF" w:themeFill="background1"/>
            <w:vAlign w:val="center"/>
            <w:hideMark/>
          </w:tcPr>
          <w:p w14:paraId="483A94D0"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6</w:t>
            </w:r>
          </w:p>
        </w:tc>
        <w:tc>
          <w:tcPr>
            <w:tcW w:w="750" w:type="dxa"/>
            <w:shd w:val="clear" w:color="auto" w:fill="FFFFFF" w:themeFill="background1"/>
            <w:vAlign w:val="center"/>
            <w:hideMark/>
          </w:tcPr>
          <w:p w14:paraId="0A6BD2B2"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46</w:t>
            </w:r>
          </w:p>
        </w:tc>
        <w:tc>
          <w:tcPr>
            <w:tcW w:w="916" w:type="dxa"/>
            <w:shd w:val="clear" w:color="auto" w:fill="FFFFFF" w:themeFill="background1"/>
            <w:vAlign w:val="center"/>
            <w:hideMark/>
          </w:tcPr>
          <w:p w14:paraId="657EB60D"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44</w:t>
            </w:r>
          </w:p>
        </w:tc>
        <w:tc>
          <w:tcPr>
            <w:tcW w:w="1336" w:type="dxa"/>
            <w:shd w:val="clear" w:color="auto" w:fill="FFFFFF" w:themeFill="background1"/>
            <w:vAlign w:val="center"/>
            <w:hideMark/>
          </w:tcPr>
          <w:p w14:paraId="491B0430"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535B8794" w14:textId="77777777" w:rsidTr="00282204">
        <w:trPr>
          <w:trHeight w:val="245"/>
          <w:jc w:val="center"/>
        </w:trPr>
        <w:tc>
          <w:tcPr>
            <w:tcW w:w="8149" w:type="dxa"/>
            <w:shd w:val="clear" w:color="auto" w:fill="FFFFFF" w:themeFill="background1"/>
            <w:vAlign w:val="center"/>
            <w:hideMark/>
          </w:tcPr>
          <w:p w14:paraId="3EA47E8B"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can help doctors to prescribe cost-effectively</w:t>
            </w:r>
          </w:p>
        </w:tc>
        <w:tc>
          <w:tcPr>
            <w:tcW w:w="963" w:type="dxa"/>
            <w:shd w:val="clear" w:color="auto" w:fill="FFFFFF" w:themeFill="background1"/>
            <w:vAlign w:val="center"/>
            <w:hideMark/>
          </w:tcPr>
          <w:p w14:paraId="479775C2"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2</w:t>
            </w:r>
          </w:p>
        </w:tc>
        <w:tc>
          <w:tcPr>
            <w:tcW w:w="963" w:type="dxa"/>
            <w:shd w:val="clear" w:color="auto" w:fill="FFFFFF" w:themeFill="background1"/>
            <w:vAlign w:val="center"/>
            <w:hideMark/>
          </w:tcPr>
          <w:p w14:paraId="188D7676"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w:t>
            </w:r>
          </w:p>
        </w:tc>
        <w:tc>
          <w:tcPr>
            <w:tcW w:w="963" w:type="dxa"/>
            <w:shd w:val="clear" w:color="auto" w:fill="FFFFFF" w:themeFill="background1"/>
            <w:vAlign w:val="center"/>
            <w:hideMark/>
          </w:tcPr>
          <w:p w14:paraId="06063E53"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7</w:t>
            </w:r>
          </w:p>
        </w:tc>
        <w:tc>
          <w:tcPr>
            <w:tcW w:w="750" w:type="dxa"/>
            <w:shd w:val="clear" w:color="auto" w:fill="FFFFFF" w:themeFill="background1"/>
            <w:vAlign w:val="center"/>
            <w:hideMark/>
          </w:tcPr>
          <w:p w14:paraId="3891A522"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44</w:t>
            </w:r>
          </w:p>
        </w:tc>
        <w:tc>
          <w:tcPr>
            <w:tcW w:w="916" w:type="dxa"/>
            <w:shd w:val="clear" w:color="auto" w:fill="FFFFFF" w:themeFill="background1"/>
            <w:vAlign w:val="center"/>
            <w:hideMark/>
          </w:tcPr>
          <w:p w14:paraId="4678DEEB"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46</w:t>
            </w:r>
          </w:p>
        </w:tc>
        <w:tc>
          <w:tcPr>
            <w:tcW w:w="1336" w:type="dxa"/>
            <w:shd w:val="clear" w:color="auto" w:fill="FFFFFF" w:themeFill="background1"/>
            <w:vAlign w:val="center"/>
            <w:hideMark/>
          </w:tcPr>
          <w:p w14:paraId="260CC7D9"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349C1B4A" w14:textId="77777777" w:rsidTr="00282204">
        <w:trPr>
          <w:trHeight w:val="544"/>
          <w:jc w:val="center"/>
        </w:trPr>
        <w:tc>
          <w:tcPr>
            <w:tcW w:w="8149" w:type="dxa"/>
            <w:shd w:val="clear" w:color="auto" w:fill="FFFFFF" w:themeFill="background1"/>
            <w:vAlign w:val="center"/>
            <w:hideMark/>
          </w:tcPr>
          <w:p w14:paraId="796D17FF"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Involvement of pharmacists in multidisciplinary care team can help to increase the level of job satisfaction for pharmacists</w:t>
            </w:r>
          </w:p>
        </w:tc>
        <w:tc>
          <w:tcPr>
            <w:tcW w:w="963" w:type="dxa"/>
            <w:shd w:val="clear" w:color="auto" w:fill="FFFFFF" w:themeFill="background1"/>
            <w:vAlign w:val="center"/>
            <w:hideMark/>
          </w:tcPr>
          <w:p w14:paraId="693E8CAB"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2</w:t>
            </w:r>
          </w:p>
        </w:tc>
        <w:tc>
          <w:tcPr>
            <w:tcW w:w="963" w:type="dxa"/>
            <w:shd w:val="clear" w:color="auto" w:fill="FFFFFF" w:themeFill="background1"/>
            <w:vAlign w:val="center"/>
            <w:hideMark/>
          </w:tcPr>
          <w:p w14:paraId="1FA75FDA"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w:t>
            </w:r>
          </w:p>
        </w:tc>
        <w:tc>
          <w:tcPr>
            <w:tcW w:w="963" w:type="dxa"/>
            <w:shd w:val="clear" w:color="auto" w:fill="FFFFFF" w:themeFill="background1"/>
            <w:vAlign w:val="center"/>
            <w:hideMark/>
          </w:tcPr>
          <w:p w14:paraId="7314FEF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8</w:t>
            </w:r>
          </w:p>
        </w:tc>
        <w:tc>
          <w:tcPr>
            <w:tcW w:w="750" w:type="dxa"/>
            <w:shd w:val="clear" w:color="auto" w:fill="FFFFFF" w:themeFill="background1"/>
            <w:vAlign w:val="center"/>
            <w:hideMark/>
          </w:tcPr>
          <w:p w14:paraId="07864298"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49</w:t>
            </w:r>
          </w:p>
        </w:tc>
        <w:tc>
          <w:tcPr>
            <w:tcW w:w="916" w:type="dxa"/>
            <w:shd w:val="clear" w:color="auto" w:fill="FFFFFF" w:themeFill="background1"/>
            <w:vAlign w:val="center"/>
            <w:hideMark/>
          </w:tcPr>
          <w:p w14:paraId="44B5743F"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41</w:t>
            </w:r>
          </w:p>
        </w:tc>
        <w:tc>
          <w:tcPr>
            <w:tcW w:w="1336" w:type="dxa"/>
            <w:shd w:val="clear" w:color="auto" w:fill="FFFFFF" w:themeFill="background1"/>
            <w:vAlign w:val="center"/>
            <w:hideMark/>
          </w:tcPr>
          <w:p w14:paraId="0039631E"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3C671069" w14:textId="77777777" w:rsidTr="00282204">
        <w:trPr>
          <w:trHeight w:val="436"/>
          <w:jc w:val="center"/>
        </w:trPr>
        <w:tc>
          <w:tcPr>
            <w:tcW w:w="8149" w:type="dxa"/>
            <w:shd w:val="clear" w:color="auto" w:fill="FFFFFF" w:themeFill="background1"/>
            <w:vAlign w:val="center"/>
            <w:hideMark/>
          </w:tcPr>
          <w:p w14:paraId="63CFB1DC"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can provide drug information to physicians to help in decision-making regarding medicines to treat the patient’s condition</w:t>
            </w:r>
          </w:p>
          <w:p w14:paraId="31E73431" w14:textId="77777777" w:rsidR="00821B82" w:rsidRPr="00AF0AF6" w:rsidRDefault="00821B82" w:rsidP="00282204">
            <w:pPr>
              <w:spacing w:after="0" w:line="240" w:lineRule="auto"/>
              <w:rPr>
                <w:rFonts w:asciiTheme="minorBidi" w:eastAsia="Times New Roman" w:hAnsiTheme="minorBidi"/>
                <w:sz w:val="18"/>
                <w:szCs w:val="18"/>
              </w:rPr>
            </w:pPr>
          </w:p>
        </w:tc>
        <w:tc>
          <w:tcPr>
            <w:tcW w:w="963" w:type="dxa"/>
            <w:shd w:val="clear" w:color="auto" w:fill="FFFFFF" w:themeFill="background1"/>
            <w:vAlign w:val="center"/>
            <w:hideMark/>
          </w:tcPr>
          <w:p w14:paraId="0DCA0B8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3</w:t>
            </w:r>
          </w:p>
        </w:tc>
        <w:tc>
          <w:tcPr>
            <w:tcW w:w="963" w:type="dxa"/>
            <w:shd w:val="clear" w:color="auto" w:fill="FFFFFF" w:themeFill="background1"/>
            <w:vAlign w:val="center"/>
            <w:hideMark/>
          </w:tcPr>
          <w:p w14:paraId="1B28F7B6"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w:t>
            </w:r>
          </w:p>
        </w:tc>
        <w:tc>
          <w:tcPr>
            <w:tcW w:w="963" w:type="dxa"/>
            <w:shd w:val="clear" w:color="auto" w:fill="FFFFFF" w:themeFill="background1"/>
            <w:vAlign w:val="center"/>
            <w:hideMark/>
          </w:tcPr>
          <w:p w14:paraId="0DB3C76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7</w:t>
            </w:r>
          </w:p>
        </w:tc>
        <w:tc>
          <w:tcPr>
            <w:tcW w:w="750" w:type="dxa"/>
            <w:shd w:val="clear" w:color="auto" w:fill="FFFFFF" w:themeFill="background1"/>
            <w:vAlign w:val="center"/>
            <w:hideMark/>
          </w:tcPr>
          <w:p w14:paraId="44F57C6E"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46</w:t>
            </w:r>
          </w:p>
        </w:tc>
        <w:tc>
          <w:tcPr>
            <w:tcW w:w="916" w:type="dxa"/>
            <w:shd w:val="clear" w:color="auto" w:fill="FFFFFF" w:themeFill="background1"/>
            <w:vAlign w:val="center"/>
            <w:hideMark/>
          </w:tcPr>
          <w:p w14:paraId="18B362C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43</w:t>
            </w:r>
          </w:p>
        </w:tc>
        <w:tc>
          <w:tcPr>
            <w:tcW w:w="1336" w:type="dxa"/>
            <w:shd w:val="clear" w:color="auto" w:fill="FFFFFF" w:themeFill="background1"/>
            <w:vAlign w:val="center"/>
            <w:hideMark/>
          </w:tcPr>
          <w:p w14:paraId="34E1257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5E5F83FF" w14:textId="77777777" w:rsidTr="00282204">
        <w:trPr>
          <w:trHeight w:val="555"/>
          <w:jc w:val="center"/>
        </w:trPr>
        <w:tc>
          <w:tcPr>
            <w:tcW w:w="8149" w:type="dxa"/>
            <w:shd w:val="clear" w:color="auto" w:fill="FFFFFF" w:themeFill="background1"/>
            <w:vAlign w:val="center"/>
            <w:hideMark/>
          </w:tcPr>
          <w:p w14:paraId="58ED5F3D"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Collaborative work of pharmacists with other healthcare professionals such as doctors and nurses in the management of diabetes patients can improve the quality of healthcare services</w:t>
            </w:r>
          </w:p>
        </w:tc>
        <w:tc>
          <w:tcPr>
            <w:tcW w:w="963" w:type="dxa"/>
            <w:shd w:val="clear" w:color="auto" w:fill="FFFFFF" w:themeFill="background1"/>
            <w:vAlign w:val="center"/>
            <w:hideMark/>
          </w:tcPr>
          <w:p w14:paraId="256B91DC"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3</w:t>
            </w:r>
          </w:p>
        </w:tc>
        <w:tc>
          <w:tcPr>
            <w:tcW w:w="963" w:type="dxa"/>
            <w:shd w:val="clear" w:color="auto" w:fill="FFFFFF" w:themeFill="background1"/>
            <w:vAlign w:val="center"/>
            <w:hideMark/>
          </w:tcPr>
          <w:p w14:paraId="2AC77193"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w:t>
            </w:r>
          </w:p>
        </w:tc>
        <w:tc>
          <w:tcPr>
            <w:tcW w:w="963" w:type="dxa"/>
            <w:shd w:val="clear" w:color="auto" w:fill="FFFFFF" w:themeFill="background1"/>
            <w:vAlign w:val="center"/>
            <w:hideMark/>
          </w:tcPr>
          <w:p w14:paraId="405CE746"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7</w:t>
            </w:r>
          </w:p>
        </w:tc>
        <w:tc>
          <w:tcPr>
            <w:tcW w:w="750" w:type="dxa"/>
            <w:shd w:val="clear" w:color="auto" w:fill="FFFFFF" w:themeFill="background1"/>
            <w:vAlign w:val="center"/>
            <w:hideMark/>
          </w:tcPr>
          <w:p w14:paraId="47213E39"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43</w:t>
            </w:r>
          </w:p>
        </w:tc>
        <w:tc>
          <w:tcPr>
            <w:tcW w:w="916" w:type="dxa"/>
            <w:shd w:val="clear" w:color="auto" w:fill="FFFFFF" w:themeFill="background1"/>
            <w:vAlign w:val="center"/>
            <w:hideMark/>
          </w:tcPr>
          <w:p w14:paraId="615CE9B8"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46</w:t>
            </w:r>
          </w:p>
        </w:tc>
        <w:tc>
          <w:tcPr>
            <w:tcW w:w="1336" w:type="dxa"/>
            <w:shd w:val="clear" w:color="auto" w:fill="FFFFFF" w:themeFill="background1"/>
            <w:vAlign w:val="center"/>
            <w:hideMark/>
          </w:tcPr>
          <w:p w14:paraId="447F2FF4"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2CF14682" w14:textId="77777777" w:rsidTr="00282204">
        <w:trPr>
          <w:trHeight w:val="555"/>
          <w:jc w:val="center"/>
        </w:trPr>
        <w:tc>
          <w:tcPr>
            <w:tcW w:w="8149" w:type="dxa"/>
            <w:shd w:val="clear" w:color="auto" w:fill="FFFFFF" w:themeFill="background1"/>
            <w:vAlign w:val="center"/>
            <w:hideMark/>
          </w:tcPr>
          <w:p w14:paraId="1157BE1B"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working in the primary care team can make doctors’ job easier by reducing their workload and decreasing amount of time spent addressing medication-related problems</w:t>
            </w:r>
          </w:p>
        </w:tc>
        <w:tc>
          <w:tcPr>
            <w:tcW w:w="963" w:type="dxa"/>
            <w:shd w:val="clear" w:color="auto" w:fill="FFFFFF" w:themeFill="background1"/>
            <w:vAlign w:val="center"/>
            <w:hideMark/>
          </w:tcPr>
          <w:p w14:paraId="6E24DDEF"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3</w:t>
            </w:r>
          </w:p>
        </w:tc>
        <w:tc>
          <w:tcPr>
            <w:tcW w:w="963" w:type="dxa"/>
            <w:shd w:val="clear" w:color="auto" w:fill="FFFFFF" w:themeFill="background1"/>
            <w:vAlign w:val="center"/>
            <w:hideMark/>
          </w:tcPr>
          <w:p w14:paraId="176308A5"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0</w:t>
            </w:r>
          </w:p>
        </w:tc>
        <w:tc>
          <w:tcPr>
            <w:tcW w:w="963" w:type="dxa"/>
            <w:shd w:val="clear" w:color="auto" w:fill="FFFFFF" w:themeFill="background1"/>
            <w:vAlign w:val="center"/>
            <w:hideMark/>
          </w:tcPr>
          <w:p w14:paraId="4D4F6E4B"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9</w:t>
            </w:r>
          </w:p>
        </w:tc>
        <w:tc>
          <w:tcPr>
            <w:tcW w:w="750" w:type="dxa"/>
            <w:shd w:val="clear" w:color="auto" w:fill="FFFFFF" w:themeFill="background1"/>
            <w:vAlign w:val="center"/>
            <w:hideMark/>
          </w:tcPr>
          <w:p w14:paraId="7B47109A"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42</w:t>
            </w:r>
          </w:p>
        </w:tc>
        <w:tc>
          <w:tcPr>
            <w:tcW w:w="916" w:type="dxa"/>
            <w:shd w:val="clear" w:color="auto" w:fill="FFFFFF" w:themeFill="background1"/>
            <w:vAlign w:val="center"/>
            <w:hideMark/>
          </w:tcPr>
          <w:p w14:paraId="7054F095"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47</w:t>
            </w:r>
          </w:p>
        </w:tc>
        <w:tc>
          <w:tcPr>
            <w:tcW w:w="1336" w:type="dxa"/>
            <w:shd w:val="clear" w:color="auto" w:fill="FFFFFF" w:themeFill="background1"/>
            <w:vAlign w:val="center"/>
            <w:hideMark/>
          </w:tcPr>
          <w:p w14:paraId="059E8216"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4C1959B7" w14:textId="77777777" w:rsidTr="00282204">
        <w:trPr>
          <w:trHeight w:val="571"/>
          <w:jc w:val="center"/>
        </w:trPr>
        <w:tc>
          <w:tcPr>
            <w:tcW w:w="8149" w:type="dxa"/>
            <w:shd w:val="clear" w:color="auto" w:fill="FFFFFF" w:themeFill="background1"/>
            <w:vAlign w:val="center"/>
            <w:hideMark/>
          </w:tcPr>
          <w:p w14:paraId="3F2AABC3"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Use of pharmacist’s skills and knowledge in diabetes primary care management can improve patient outcomes</w:t>
            </w:r>
          </w:p>
        </w:tc>
        <w:tc>
          <w:tcPr>
            <w:tcW w:w="963" w:type="dxa"/>
            <w:shd w:val="clear" w:color="auto" w:fill="FFFFFF" w:themeFill="background1"/>
            <w:vAlign w:val="center"/>
            <w:hideMark/>
          </w:tcPr>
          <w:p w14:paraId="630C3D11"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2</w:t>
            </w:r>
          </w:p>
        </w:tc>
        <w:tc>
          <w:tcPr>
            <w:tcW w:w="963" w:type="dxa"/>
            <w:shd w:val="clear" w:color="auto" w:fill="FFFFFF" w:themeFill="background1"/>
            <w:vAlign w:val="center"/>
            <w:hideMark/>
          </w:tcPr>
          <w:p w14:paraId="678F9E39"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3</w:t>
            </w:r>
          </w:p>
        </w:tc>
        <w:tc>
          <w:tcPr>
            <w:tcW w:w="963" w:type="dxa"/>
            <w:shd w:val="clear" w:color="auto" w:fill="FFFFFF" w:themeFill="background1"/>
            <w:vAlign w:val="center"/>
            <w:hideMark/>
          </w:tcPr>
          <w:p w14:paraId="0BB5E3E0"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7</w:t>
            </w:r>
          </w:p>
        </w:tc>
        <w:tc>
          <w:tcPr>
            <w:tcW w:w="750" w:type="dxa"/>
            <w:shd w:val="clear" w:color="auto" w:fill="FFFFFF" w:themeFill="background1"/>
            <w:vAlign w:val="center"/>
            <w:hideMark/>
          </w:tcPr>
          <w:p w14:paraId="5BF3C2D1"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44</w:t>
            </w:r>
          </w:p>
        </w:tc>
        <w:tc>
          <w:tcPr>
            <w:tcW w:w="916" w:type="dxa"/>
            <w:shd w:val="clear" w:color="auto" w:fill="FFFFFF" w:themeFill="background1"/>
            <w:vAlign w:val="center"/>
            <w:hideMark/>
          </w:tcPr>
          <w:p w14:paraId="3185BFD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44</w:t>
            </w:r>
          </w:p>
        </w:tc>
        <w:tc>
          <w:tcPr>
            <w:tcW w:w="1336" w:type="dxa"/>
            <w:shd w:val="clear" w:color="auto" w:fill="FFFFFF" w:themeFill="background1"/>
            <w:vAlign w:val="center"/>
            <w:hideMark/>
          </w:tcPr>
          <w:p w14:paraId="731D74DE"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2609FF4A" w14:textId="77777777" w:rsidTr="00282204">
        <w:trPr>
          <w:trHeight w:val="165"/>
          <w:jc w:val="center"/>
        </w:trPr>
        <w:tc>
          <w:tcPr>
            <w:tcW w:w="8149" w:type="dxa"/>
            <w:shd w:val="clear" w:color="auto" w:fill="FFFFFF" w:themeFill="background1"/>
            <w:vAlign w:val="center"/>
            <w:hideMark/>
          </w:tcPr>
          <w:p w14:paraId="03939F12"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as medication therapy experts can make the management of patients’ medication more efficient</w:t>
            </w:r>
          </w:p>
        </w:tc>
        <w:tc>
          <w:tcPr>
            <w:tcW w:w="963" w:type="dxa"/>
            <w:shd w:val="clear" w:color="auto" w:fill="FFFFFF" w:themeFill="background1"/>
            <w:vAlign w:val="center"/>
            <w:hideMark/>
          </w:tcPr>
          <w:p w14:paraId="514A23FE"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w:t>
            </w:r>
          </w:p>
        </w:tc>
        <w:tc>
          <w:tcPr>
            <w:tcW w:w="963" w:type="dxa"/>
            <w:shd w:val="clear" w:color="auto" w:fill="FFFFFF" w:themeFill="background1"/>
            <w:vAlign w:val="center"/>
            <w:hideMark/>
          </w:tcPr>
          <w:p w14:paraId="2453B8CB"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2</w:t>
            </w:r>
          </w:p>
        </w:tc>
        <w:tc>
          <w:tcPr>
            <w:tcW w:w="963" w:type="dxa"/>
            <w:shd w:val="clear" w:color="auto" w:fill="FFFFFF" w:themeFill="background1"/>
            <w:vAlign w:val="center"/>
            <w:hideMark/>
          </w:tcPr>
          <w:p w14:paraId="3AE4FE5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7</w:t>
            </w:r>
          </w:p>
        </w:tc>
        <w:tc>
          <w:tcPr>
            <w:tcW w:w="750" w:type="dxa"/>
            <w:shd w:val="clear" w:color="auto" w:fill="FFFFFF" w:themeFill="background1"/>
            <w:vAlign w:val="center"/>
            <w:hideMark/>
          </w:tcPr>
          <w:p w14:paraId="7DFE2B1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46</w:t>
            </w:r>
          </w:p>
        </w:tc>
        <w:tc>
          <w:tcPr>
            <w:tcW w:w="916" w:type="dxa"/>
            <w:shd w:val="clear" w:color="auto" w:fill="FFFFFF" w:themeFill="background1"/>
            <w:vAlign w:val="center"/>
            <w:hideMark/>
          </w:tcPr>
          <w:p w14:paraId="1AC8093E"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42</w:t>
            </w:r>
          </w:p>
        </w:tc>
        <w:tc>
          <w:tcPr>
            <w:tcW w:w="1336" w:type="dxa"/>
            <w:shd w:val="clear" w:color="auto" w:fill="FFFFFF" w:themeFill="background1"/>
            <w:vAlign w:val="center"/>
            <w:hideMark/>
          </w:tcPr>
          <w:p w14:paraId="07175AFB"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71F48B1E" w14:textId="77777777" w:rsidTr="00282204">
        <w:trPr>
          <w:trHeight w:val="344"/>
          <w:jc w:val="center"/>
        </w:trPr>
        <w:tc>
          <w:tcPr>
            <w:tcW w:w="8149" w:type="dxa"/>
            <w:shd w:val="clear" w:color="auto" w:fill="FFFFFF" w:themeFill="background1"/>
            <w:vAlign w:val="center"/>
            <w:hideMark/>
          </w:tcPr>
          <w:p w14:paraId="689384E2"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can help with co-management of complex patients</w:t>
            </w:r>
          </w:p>
        </w:tc>
        <w:tc>
          <w:tcPr>
            <w:tcW w:w="963" w:type="dxa"/>
            <w:shd w:val="clear" w:color="auto" w:fill="FFFFFF" w:themeFill="background1"/>
            <w:vAlign w:val="center"/>
            <w:hideMark/>
          </w:tcPr>
          <w:p w14:paraId="7E5DCB7B"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w:t>
            </w:r>
          </w:p>
        </w:tc>
        <w:tc>
          <w:tcPr>
            <w:tcW w:w="963" w:type="dxa"/>
            <w:shd w:val="clear" w:color="auto" w:fill="FFFFFF" w:themeFill="background1"/>
            <w:vAlign w:val="center"/>
            <w:hideMark/>
          </w:tcPr>
          <w:p w14:paraId="6F5437C6"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2</w:t>
            </w:r>
          </w:p>
        </w:tc>
        <w:tc>
          <w:tcPr>
            <w:tcW w:w="963" w:type="dxa"/>
            <w:shd w:val="clear" w:color="auto" w:fill="FFFFFF" w:themeFill="background1"/>
            <w:vAlign w:val="center"/>
            <w:hideMark/>
          </w:tcPr>
          <w:p w14:paraId="0CEC9E25"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8</w:t>
            </w:r>
          </w:p>
        </w:tc>
        <w:tc>
          <w:tcPr>
            <w:tcW w:w="750" w:type="dxa"/>
            <w:shd w:val="clear" w:color="auto" w:fill="FFFFFF" w:themeFill="background1"/>
            <w:vAlign w:val="center"/>
            <w:hideMark/>
          </w:tcPr>
          <w:p w14:paraId="6C7BA49D"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46</w:t>
            </w:r>
          </w:p>
        </w:tc>
        <w:tc>
          <w:tcPr>
            <w:tcW w:w="916" w:type="dxa"/>
            <w:shd w:val="clear" w:color="auto" w:fill="FFFFFF" w:themeFill="background1"/>
            <w:vAlign w:val="center"/>
            <w:hideMark/>
          </w:tcPr>
          <w:p w14:paraId="5E671D8F"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41</w:t>
            </w:r>
          </w:p>
        </w:tc>
        <w:tc>
          <w:tcPr>
            <w:tcW w:w="1336" w:type="dxa"/>
            <w:shd w:val="clear" w:color="auto" w:fill="FFFFFF" w:themeFill="background1"/>
            <w:vAlign w:val="center"/>
            <w:hideMark/>
          </w:tcPr>
          <w:p w14:paraId="34E5E0F9"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3D047E27" w14:textId="77777777" w:rsidTr="00282204">
        <w:trPr>
          <w:trHeight w:val="454"/>
          <w:jc w:val="center"/>
        </w:trPr>
        <w:tc>
          <w:tcPr>
            <w:tcW w:w="8149" w:type="dxa"/>
            <w:shd w:val="clear" w:color="auto" w:fill="FFFFFF" w:themeFill="background1"/>
            <w:vAlign w:val="center"/>
            <w:hideMark/>
          </w:tcPr>
          <w:p w14:paraId="4D89F5DC"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working in the primary care team can make nurses’ job easier by reducing their workload and decreasing amount of time spent addressing medication-related problems</w:t>
            </w:r>
          </w:p>
        </w:tc>
        <w:tc>
          <w:tcPr>
            <w:tcW w:w="963" w:type="dxa"/>
            <w:shd w:val="clear" w:color="auto" w:fill="FFFFFF" w:themeFill="background1"/>
            <w:vAlign w:val="center"/>
            <w:hideMark/>
          </w:tcPr>
          <w:p w14:paraId="40A9CB6B"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3</w:t>
            </w:r>
          </w:p>
        </w:tc>
        <w:tc>
          <w:tcPr>
            <w:tcW w:w="963" w:type="dxa"/>
            <w:shd w:val="clear" w:color="auto" w:fill="FFFFFF" w:themeFill="background1"/>
            <w:vAlign w:val="center"/>
            <w:hideMark/>
          </w:tcPr>
          <w:p w14:paraId="4CEDA12F"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w:t>
            </w:r>
          </w:p>
        </w:tc>
        <w:tc>
          <w:tcPr>
            <w:tcW w:w="963" w:type="dxa"/>
            <w:shd w:val="clear" w:color="auto" w:fill="FFFFFF" w:themeFill="background1"/>
            <w:vAlign w:val="center"/>
            <w:hideMark/>
          </w:tcPr>
          <w:p w14:paraId="534D75B2"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17</w:t>
            </w:r>
          </w:p>
        </w:tc>
        <w:tc>
          <w:tcPr>
            <w:tcW w:w="750" w:type="dxa"/>
            <w:shd w:val="clear" w:color="auto" w:fill="FFFFFF" w:themeFill="background1"/>
            <w:vAlign w:val="center"/>
            <w:hideMark/>
          </w:tcPr>
          <w:p w14:paraId="5DA8FD89"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43</w:t>
            </w:r>
          </w:p>
        </w:tc>
        <w:tc>
          <w:tcPr>
            <w:tcW w:w="916" w:type="dxa"/>
            <w:shd w:val="clear" w:color="auto" w:fill="FFFFFF" w:themeFill="background1"/>
            <w:vAlign w:val="center"/>
            <w:hideMark/>
          </w:tcPr>
          <w:p w14:paraId="371362BD"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37</w:t>
            </w:r>
          </w:p>
        </w:tc>
        <w:tc>
          <w:tcPr>
            <w:tcW w:w="1336" w:type="dxa"/>
            <w:shd w:val="clear" w:color="auto" w:fill="FFFFFF" w:themeFill="background1"/>
            <w:vAlign w:val="center"/>
            <w:hideMark/>
          </w:tcPr>
          <w:p w14:paraId="7DBFAAB3"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4511F6E7" w14:textId="77777777" w:rsidTr="00282204">
        <w:trPr>
          <w:trHeight w:val="454"/>
          <w:jc w:val="center"/>
        </w:trPr>
        <w:tc>
          <w:tcPr>
            <w:tcW w:w="8149" w:type="dxa"/>
            <w:shd w:val="clear" w:color="auto" w:fill="FFFFFF" w:themeFill="background1"/>
            <w:vAlign w:val="center"/>
            <w:hideMark/>
          </w:tcPr>
          <w:p w14:paraId="70687203"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can assess patients’ clinical needs and perform a comprehensive medicines assessment</w:t>
            </w:r>
          </w:p>
        </w:tc>
        <w:tc>
          <w:tcPr>
            <w:tcW w:w="963" w:type="dxa"/>
            <w:shd w:val="clear" w:color="auto" w:fill="FFFFFF" w:themeFill="background1"/>
            <w:vAlign w:val="center"/>
            <w:hideMark/>
          </w:tcPr>
          <w:p w14:paraId="71EAC0BE"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5</w:t>
            </w:r>
          </w:p>
        </w:tc>
        <w:tc>
          <w:tcPr>
            <w:tcW w:w="963" w:type="dxa"/>
            <w:shd w:val="clear" w:color="auto" w:fill="FFFFFF" w:themeFill="background1"/>
            <w:vAlign w:val="center"/>
            <w:hideMark/>
          </w:tcPr>
          <w:p w14:paraId="55F1295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3</w:t>
            </w:r>
          </w:p>
        </w:tc>
        <w:tc>
          <w:tcPr>
            <w:tcW w:w="963" w:type="dxa"/>
            <w:shd w:val="clear" w:color="auto" w:fill="FFFFFF" w:themeFill="background1"/>
            <w:vAlign w:val="center"/>
            <w:hideMark/>
          </w:tcPr>
          <w:p w14:paraId="1FCBD33D"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16</w:t>
            </w:r>
          </w:p>
        </w:tc>
        <w:tc>
          <w:tcPr>
            <w:tcW w:w="750" w:type="dxa"/>
            <w:shd w:val="clear" w:color="auto" w:fill="FFFFFF" w:themeFill="background1"/>
            <w:vAlign w:val="center"/>
            <w:hideMark/>
          </w:tcPr>
          <w:p w14:paraId="69737C76"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43</w:t>
            </w:r>
          </w:p>
        </w:tc>
        <w:tc>
          <w:tcPr>
            <w:tcW w:w="916" w:type="dxa"/>
            <w:shd w:val="clear" w:color="auto" w:fill="FFFFFF" w:themeFill="background1"/>
            <w:vAlign w:val="center"/>
            <w:hideMark/>
          </w:tcPr>
          <w:p w14:paraId="0E7AA8A4"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34</w:t>
            </w:r>
          </w:p>
        </w:tc>
        <w:tc>
          <w:tcPr>
            <w:tcW w:w="1336" w:type="dxa"/>
            <w:shd w:val="clear" w:color="auto" w:fill="FFFFFF" w:themeFill="background1"/>
            <w:vAlign w:val="center"/>
            <w:hideMark/>
          </w:tcPr>
          <w:p w14:paraId="12A45307"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(4-5)</w:t>
            </w:r>
          </w:p>
        </w:tc>
      </w:tr>
      <w:tr w:rsidR="00821B82" w:rsidRPr="00AF0AF6" w14:paraId="11E493B6" w14:textId="77777777" w:rsidTr="00282204">
        <w:trPr>
          <w:trHeight w:val="72"/>
          <w:jc w:val="center"/>
        </w:trPr>
        <w:tc>
          <w:tcPr>
            <w:tcW w:w="8149" w:type="dxa"/>
            <w:shd w:val="clear" w:color="auto" w:fill="FFFFFF" w:themeFill="background1"/>
            <w:vAlign w:val="center"/>
            <w:hideMark/>
          </w:tcPr>
          <w:p w14:paraId="5D39E112"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are able to independently prescribe cost-effectively</w:t>
            </w:r>
          </w:p>
        </w:tc>
        <w:tc>
          <w:tcPr>
            <w:tcW w:w="963" w:type="dxa"/>
            <w:shd w:val="clear" w:color="auto" w:fill="FFFFFF" w:themeFill="background1"/>
            <w:vAlign w:val="center"/>
            <w:hideMark/>
          </w:tcPr>
          <w:p w14:paraId="107C51A0"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3</w:t>
            </w:r>
          </w:p>
        </w:tc>
        <w:tc>
          <w:tcPr>
            <w:tcW w:w="963" w:type="dxa"/>
            <w:shd w:val="clear" w:color="auto" w:fill="FFFFFF" w:themeFill="background1"/>
            <w:vAlign w:val="center"/>
            <w:hideMark/>
          </w:tcPr>
          <w:p w14:paraId="0C5411B0"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11</w:t>
            </w:r>
          </w:p>
        </w:tc>
        <w:tc>
          <w:tcPr>
            <w:tcW w:w="963" w:type="dxa"/>
            <w:shd w:val="clear" w:color="auto" w:fill="FFFFFF" w:themeFill="background1"/>
            <w:vAlign w:val="center"/>
            <w:hideMark/>
          </w:tcPr>
          <w:p w14:paraId="10374703"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23</w:t>
            </w:r>
          </w:p>
        </w:tc>
        <w:tc>
          <w:tcPr>
            <w:tcW w:w="750" w:type="dxa"/>
            <w:shd w:val="clear" w:color="auto" w:fill="FFFFFF" w:themeFill="background1"/>
            <w:vAlign w:val="center"/>
            <w:hideMark/>
          </w:tcPr>
          <w:p w14:paraId="33ABE8CD"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50</w:t>
            </w:r>
          </w:p>
        </w:tc>
        <w:tc>
          <w:tcPr>
            <w:tcW w:w="916" w:type="dxa"/>
            <w:shd w:val="clear" w:color="auto" w:fill="FFFFFF" w:themeFill="background1"/>
            <w:vAlign w:val="center"/>
            <w:hideMark/>
          </w:tcPr>
          <w:p w14:paraId="650EC87A"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13</w:t>
            </w:r>
          </w:p>
        </w:tc>
        <w:tc>
          <w:tcPr>
            <w:tcW w:w="1336" w:type="dxa"/>
            <w:shd w:val="clear" w:color="auto" w:fill="FFFFFF" w:themeFill="background1"/>
            <w:vAlign w:val="center"/>
            <w:hideMark/>
          </w:tcPr>
          <w:p w14:paraId="032DDF85"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(3-4)</w:t>
            </w:r>
          </w:p>
        </w:tc>
      </w:tr>
      <w:tr w:rsidR="00821B82" w:rsidRPr="00AF0AF6" w14:paraId="209E96CC" w14:textId="77777777" w:rsidTr="00282204">
        <w:trPr>
          <w:trHeight w:val="415"/>
          <w:jc w:val="center"/>
        </w:trPr>
        <w:tc>
          <w:tcPr>
            <w:tcW w:w="8149" w:type="dxa"/>
            <w:tcBorders>
              <w:bottom w:val="single" w:sz="4" w:space="0" w:color="auto"/>
            </w:tcBorders>
            <w:shd w:val="clear" w:color="auto" w:fill="FFFFFF" w:themeFill="background1"/>
            <w:vAlign w:val="center"/>
            <w:hideMark/>
          </w:tcPr>
          <w:p w14:paraId="09036EE9" w14:textId="77777777" w:rsidR="00821B82" w:rsidRPr="00AF0AF6" w:rsidRDefault="00821B82" w:rsidP="00282204">
            <w:pPr>
              <w:spacing w:after="0" w:line="240" w:lineRule="auto"/>
              <w:rPr>
                <w:rFonts w:asciiTheme="minorBidi" w:eastAsia="Times New Roman" w:hAnsiTheme="minorBidi"/>
                <w:sz w:val="18"/>
                <w:szCs w:val="18"/>
              </w:rPr>
            </w:pPr>
            <w:r w:rsidRPr="00AF0AF6">
              <w:rPr>
                <w:rFonts w:asciiTheme="minorBidi" w:eastAsia="Times New Roman" w:hAnsiTheme="minorBidi"/>
                <w:sz w:val="18"/>
                <w:szCs w:val="18"/>
              </w:rPr>
              <w:t>Pharmacists are able to independently prescribe safely</w:t>
            </w:r>
          </w:p>
          <w:p w14:paraId="63C29731" w14:textId="77777777" w:rsidR="00821B82" w:rsidRPr="00AF0AF6" w:rsidRDefault="00821B82" w:rsidP="00282204">
            <w:pPr>
              <w:rPr>
                <w:rFonts w:asciiTheme="minorBidi" w:eastAsia="Times New Roman" w:hAnsiTheme="minorBidi"/>
                <w:sz w:val="18"/>
                <w:szCs w:val="18"/>
              </w:rPr>
            </w:pPr>
          </w:p>
        </w:tc>
        <w:tc>
          <w:tcPr>
            <w:tcW w:w="963" w:type="dxa"/>
            <w:tcBorders>
              <w:bottom w:val="single" w:sz="4" w:space="0" w:color="auto"/>
            </w:tcBorders>
            <w:shd w:val="clear" w:color="auto" w:fill="FFFFFF" w:themeFill="background1"/>
            <w:vAlign w:val="center"/>
            <w:hideMark/>
          </w:tcPr>
          <w:p w14:paraId="3B2F15A2"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6</w:t>
            </w:r>
          </w:p>
        </w:tc>
        <w:tc>
          <w:tcPr>
            <w:tcW w:w="963" w:type="dxa"/>
            <w:tcBorders>
              <w:bottom w:val="single" w:sz="4" w:space="0" w:color="auto"/>
            </w:tcBorders>
            <w:shd w:val="clear" w:color="auto" w:fill="FFFFFF" w:themeFill="background1"/>
            <w:vAlign w:val="center"/>
            <w:hideMark/>
          </w:tcPr>
          <w:p w14:paraId="185DB1BC"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17</w:t>
            </w:r>
          </w:p>
        </w:tc>
        <w:tc>
          <w:tcPr>
            <w:tcW w:w="963" w:type="dxa"/>
            <w:tcBorders>
              <w:bottom w:val="single" w:sz="4" w:space="0" w:color="auto"/>
            </w:tcBorders>
            <w:shd w:val="clear" w:color="auto" w:fill="FFFFFF" w:themeFill="background1"/>
            <w:vAlign w:val="center"/>
            <w:hideMark/>
          </w:tcPr>
          <w:p w14:paraId="5D783084"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25</w:t>
            </w:r>
          </w:p>
        </w:tc>
        <w:tc>
          <w:tcPr>
            <w:tcW w:w="750" w:type="dxa"/>
            <w:tcBorders>
              <w:bottom w:val="single" w:sz="4" w:space="0" w:color="auto"/>
            </w:tcBorders>
            <w:shd w:val="clear" w:color="auto" w:fill="FFFFFF" w:themeFill="background1"/>
            <w:vAlign w:val="center"/>
            <w:hideMark/>
          </w:tcPr>
          <w:p w14:paraId="66EA3322"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38</w:t>
            </w:r>
          </w:p>
        </w:tc>
        <w:tc>
          <w:tcPr>
            <w:tcW w:w="916" w:type="dxa"/>
            <w:tcBorders>
              <w:bottom w:val="single" w:sz="4" w:space="0" w:color="auto"/>
            </w:tcBorders>
            <w:shd w:val="clear" w:color="auto" w:fill="FFFFFF" w:themeFill="background1"/>
            <w:vAlign w:val="center"/>
            <w:hideMark/>
          </w:tcPr>
          <w:p w14:paraId="41B890DE"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15</w:t>
            </w:r>
          </w:p>
        </w:tc>
        <w:tc>
          <w:tcPr>
            <w:tcW w:w="1336" w:type="dxa"/>
            <w:tcBorders>
              <w:bottom w:val="single" w:sz="4" w:space="0" w:color="auto"/>
            </w:tcBorders>
            <w:shd w:val="clear" w:color="auto" w:fill="FFFFFF" w:themeFill="background1"/>
            <w:vAlign w:val="center"/>
            <w:hideMark/>
          </w:tcPr>
          <w:p w14:paraId="609A759B" w14:textId="77777777" w:rsidR="00821B82" w:rsidRPr="00AF0AF6" w:rsidRDefault="00821B82" w:rsidP="00282204">
            <w:pPr>
              <w:spacing w:after="0" w:line="240" w:lineRule="auto"/>
              <w:jc w:val="center"/>
              <w:rPr>
                <w:rFonts w:asciiTheme="minorBidi" w:eastAsia="Times New Roman" w:hAnsiTheme="minorBidi"/>
                <w:color w:val="000000"/>
                <w:sz w:val="18"/>
                <w:szCs w:val="18"/>
              </w:rPr>
            </w:pPr>
            <w:r w:rsidRPr="00AF0AF6">
              <w:rPr>
                <w:rFonts w:asciiTheme="minorBidi" w:eastAsia="Times New Roman" w:hAnsiTheme="minorBidi"/>
                <w:color w:val="000000"/>
                <w:sz w:val="18"/>
                <w:szCs w:val="18"/>
              </w:rPr>
              <w:t>4 (3-4)</w:t>
            </w:r>
          </w:p>
        </w:tc>
      </w:tr>
    </w:tbl>
    <w:p w14:paraId="7F0BE1A1" w14:textId="77777777" w:rsidR="00821B82" w:rsidRPr="009A3D7B" w:rsidRDefault="00821B82" w:rsidP="00821B82">
      <w:pPr>
        <w:rPr>
          <w:rFonts w:asciiTheme="minorBidi" w:eastAsia="Times New Roman" w:hAnsiTheme="minorBidi"/>
          <w:color w:val="000000"/>
          <w:sz w:val="18"/>
          <w:szCs w:val="18"/>
        </w:rPr>
      </w:pPr>
      <w:r>
        <w:rPr>
          <w:rFonts w:asciiTheme="minorBidi" w:eastAsia="Times New Roman" w:hAnsiTheme="minorBidi"/>
          <w:color w:val="000000"/>
          <w:sz w:val="18"/>
          <w:szCs w:val="18"/>
        </w:rPr>
        <w:t xml:space="preserve">Responses </w:t>
      </w:r>
      <w:r w:rsidRPr="00411EBC">
        <w:rPr>
          <w:rFonts w:asciiTheme="minorBidi" w:eastAsia="Times New Roman" w:hAnsiTheme="minorBidi"/>
          <w:color w:val="000000"/>
          <w:sz w:val="18"/>
          <w:szCs w:val="18"/>
        </w:rPr>
        <w:t xml:space="preserve">(1=Strongly disagree, 2=Disagree, 3=Neither agree nor disagree, 4=Agree, 5=Strongly agree), </w:t>
      </w:r>
      <w:r>
        <w:rPr>
          <w:rFonts w:asciiTheme="minorBidi" w:eastAsia="Times New Roman" w:hAnsiTheme="minorBidi"/>
          <w:color w:val="000000"/>
          <w:sz w:val="18"/>
          <w:szCs w:val="18"/>
        </w:rPr>
        <w:t>IQR:</w:t>
      </w:r>
      <w:r w:rsidRPr="00411EBC">
        <w:rPr>
          <w:rFonts w:asciiTheme="minorBidi" w:eastAsia="Times New Roman" w:hAnsiTheme="minorBidi"/>
          <w:color w:val="000000"/>
          <w:sz w:val="18"/>
          <w:szCs w:val="18"/>
        </w:rPr>
        <w:t xml:space="preserve"> Interquartile Range.</w:t>
      </w:r>
      <w:r>
        <w:rPr>
          <w:rFonts w:asciiTheme="minorBidi" w:eastAsia="Times New Roman" w:hAnsiTheme="minorBidi"/>
          <w:color w:val="000000"/>
          <w:sz w:val="18"/>
          <w:szCs w:val="18"/>
        </w:rPr>
        <w:t xml:space="preserve"> </w:t>
      </w:r>
    </w:p>
    <w:p w14:paraId="05DBCF4F" w14:textId="77777777" w:rsidR="00821B82" w:rsidRDefault="00821B82" w:rsidP="00821B82">
      <w:pPr>
        <w:pStyle w:val="NormalWeb"/>
        <w:spacing w:line="360" w:lineRule="auto"/>
        <w:rPr>
          <w:rFonts w:asciiTheme="minorBidi" w:hAnsiTheme="minorBidi"/>
          <w:shd w:val="clear" w:color="auto" w:fill="FFFFFF"/>
        </w:rPr>
      </w:pPr>
    </w:p>
    <w:p w14:paraId="5CACB9E0" w14:textId="08CC6C3A" w:rsidR="00821B82" w:rsidRPr="003F397C" w:rsidRDefault="00821B82" w:rsidP="00821B82">
      <w:pPr>
        <w:pStyle w:val="Caption"/>
      </w:pPr>
      <w:bookmarkStart w:id="207" w:name="_Toc153894797"/>
      <w:r>
        <w:rPr>
          <w:noProof/>
        </w:rPr>
        <w:drawing>
          <wp:inline distT="0" distB="0" distL="0" distR="0" wp14:anchorId="06A6D282" wp14:editId="48E682E4">
            <wp:extent cx="8854289" cy="5649362"/>
            <wp:effectExtent l="0" t="0" r="4445" b="8890"/>
            <wp:docPr id="11" name="Chart 11">
              <a:extLst xmlns:a="http://schemas.openxmlformats.org/drawingml/2006/main">
                <a:ext uri="{FF2B5EF4-FFF2-40B4-BE49-F238E27FC236}">
                  <a16:creationId xmlns:a16="http://schemas.microsoft.com/office/drawing/2014/main" id="{E901C499-29BB-14D4-FF11-97F043045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208" w:name="_Ref127276167"/>
      <w:r>
        <w:t xml:space="preserve">Figure </w:t>
      </w:r>
      <w:fldSimple w:instr=" SEQ Figure \* ARABIC ">
        <w:r w:rsidR="000507B7">
          <w:rPr>
            <w:noProof/>
          </w:rPr>
          <w:t>9</w:t>
        </w:r>
      </w:fldSimple>
      <w:bookmarkEnd w:id="208"/>
      <w:r>
        <w:t xml:space="preserve">: </w:t>
      </w:r>
      <w:r w:rsidRPr="000261E9">
        <w:t>Healthcare Professionals' Opinion toward Potential Benefits of Pharmacists’ Involvement in Diabetes Management</w:t>
      </w:r>
      <w:bookmarkEnd w:id="207"/>
      <w:r>
        <w:t xml:space="preserve"> </w:t>
      </w:r>
    </w:p>
    <w:p w14:paraId="6963BEB5" w14:textId="77777777" w:rsidR="00821B82" w:rsidRDefault="00821B82" w:rsidP="00821B82">
      <w:pPr>
        <w:pStyle w:val="NormalWeb"/>
        <w:spacing w:line="360" w:lineRule="auto"/>
        <w:rPr>
          <w:rFonts w:asciiTheme="minorBidi" w:hAnsiTheme="minorBidi"/>
          <w:shd w:val="clear" w:color="auto" w:fill="FFFFFF"/>
        </w:rPr>
        <w:sectPr w:rsidR="00821B82" w:rsidSect="00282204">
          <w:pgSz w:w="15840" w:h="12240" w:orient="landscape"/>
          <w:pgMar w:top="1440" w:right="1440" w:bottom="1440" w:left="1440" w:header="720" w:footer="720" w:gutter="0"/>
          <w:cols w:space="720"/>
          <w:docGrid w:linePitch="360"/>
        </w:sectPr>
      </w:pPr>
    </w:p>
    <w:p w14:paraId="32981B05" w14:textId="77777777" w:rsidR="00821B82" w:rsidRPr="00733E8E" w:rsidRDefault="00821B82" w:rsidP="00821B82">
      <w:pPr>
        <w:pStyle w:val="Heading3"/>
        <w:numPr>
          <w:ilvl w:val="2"/>
          <w:numId w:val="14"/>
        </w:numPr>
        <w:rPr>
          <w:rFonts w:eastAsia="Times New Roman"/>
        </w:rPr>
      </w:pPr>
      <w:bookmarkStart w:id="209" w:name="_Toc153894196"/>
      <w:r w:rsidRPr="00733E8E">
        <w:t>The association between participants' attributes and their attitudes toward the primary care pharmacist role in Saudi Arabia</w:t>
      </w:r>
      <w:r w:rsidRPr="00733E8E">
        <w:rPr>
          <w:rFonts w:eastAsia="Times New Roman"/>
        </w:rPr>
        <w:t>.</w:t>
      </w:r>
      <w:bookmarkEnd w:id="209"/>
    </w:p>
    <w:p w14:paraId="10514C90" w14:textId="6DCC6E69" w:rsidR="00821B82" w:rsidRPr="009565D6" w:rsidRDefault="00821B82" w:rsidP="00821B82">
      <w:pPr>
        <w:spacing w:before="100" w:beforeAutospacing="1" w:after="100" w:afterAutospacing="1" w:line="360" w:lineRule="auto"/>
        <w:jc w:val="both"/>
        <w:rPr>
          <w:rFonts w:asciiTheme="minorBidi" w:eastAsia="Times New Roman" w:hAnsiTheme="minorBidi"/>
          <w:color w:val="32363A"/>
          <w:sz w:val="24"/>
          <w:szCs w:val="24"/>
          <w:shd w:val="clear" w:color="auto" w:fill="FFFFFF"/>
        </w:rPr>
      </w:pPr>
      <w:r w:rsidRPr="008B0A9F">
        <w:rPr>
          <w:rFonts w:asciiTheme="minorBidi" w:eastAsia="Times New Roman" w:hAnsiTheme="minorBidi"/>
          <w:color w:val="32363A"/>
          <w:sz w:val="24"/>
          <w:szCs w:val="24"/>
          <w:shd w:val="clear" w:color="auto" w:fill="FFFFFF"/>
        </w:rPr>
        <w:t xml:space="preserve">The </w:t>
      </w:r>
      <w:r>
        <w:rPr>
          <w:rFonts w:asciiTheme="minorBidi" w:eastAsia="Times New Roman" w:hAnsiTheme="minorBidi"/>
          <w:color w:val="32363A"/>
          <w:sz w:val="24"/>
          <w:szCs w:val="24"/>
          <w:shd w:val="clear" w:color="auto" w:fill="FFFFFF"/>
        </w:rPr>
        <w:t>association</w:t>
      </w:r>
      <w:r w:rsidRPr="008B0A9F">
        <w:rPr>
          <w:rFonts w:asciiTheme="minorBidi" w:eastAsia="Times New Roman" w:hAnsiTheme="minorBidi"/>
          <w:color w:val="32363A"/>
          <w:sz w:val="24"/>
          <w:szCs w:val="24"/>
          <w:shd w:val="clear" w:color="auto" w:fill="FFFFFF"/>
        </w:rPr>
        <w:t xml:space="preserve"> between profession category: doctors, pharmacists, and nurses, the country where the degree was obtained and the years of experience as a healthcare practitioner and their attitudes toward </w:t>
      </w:r>
      <w:r>
        <w:rPr>
          <w:rFonts w:asciiTheme="minorBidi" w:eastAsia="Times New Roman" w:hAnsiTheme="minorBidi"/>
          <w:color w:val="32363A"/>
          <w:sz w:val="24"/>
          <w:szCs w:val="24"/>
          <w:shd w:val="clear" w:color="auto" w:fill="FFFFFF"/>
        </w:rPr>
        <w:t xml:space="preserve">the </w:t>
      </w:r>
      <w:r w:rsidRPr="008B0A9F">
        <w:rPr>
          <w:rFonts w:asciiTheme="minorBidi" w:eastAsia="Times New Roman" w:hAnsiTheme="minorBidi"/>
          <w:color w:val="32363A"/>
          <w:sz w:val="24"/>
          <w:szCs w:val="24"/>
          <w:shd w:val="clear" w:color="auto" w:fill="FFFFFF"/>
        </w:rPr>
        <w:t xml:space="preserve">primary care pharmacist role in </w:t>
      </w:r>
      <w:r>
        <w:rPr>
          <w:rFonts w:asciiTheme="minorBidi" w:eastAsia="Times New Roman" w:hAnsiTheme="minorBidi"/>
          <w:color w:val="32363A"/>
          <w:sz w:val="24"/>
          <w:szCs w:val="24"/>
          <w:shd w:val="clear" w:color="auto" w:fill="FFFFFF"/>
        </w:rPr>
        <w:t>SA</w:t>
      </w:r>
      <w:r w:rsidRPr="008B0A9F">
        <w:rPr>
          <w:rFonts w:asciiTheme="minorBidi" w:eastAsia="Times New Roman" w:hAnsiTheme="minorBidi"/>
          <w:color w:val="32363A"/>
          <w:sz w:val="24"/>
          <w:szCs w:val="24"/>
          <w:shd w:val="clear" w:color="auto" w:fill="FFFFFF"/>
        </w:rPr>
        <w:t xml:space="preserve"> was tested using </w:t>
      </w:r>
      <w:r>
        <w:rPr>
          <w:rFonts w:asciiTheme="minorBidi" w:eastAsia="Times New Roman" w:hAnsiTheme="minorBidi"/>
          <w:color w:val="32363A"/>
          <w:sz w:val="24"/>
          <w:szCs w:val="24"/>
          <w:shd w:val="clear" w:color="auto" w:fill="FFFFFF"/>
        </w:rPr>
        <w:t>the Fisher Exact</w:t>
      </w:r>
      <w:r w:rsidRPr="008B0A9F">
        <w:rPr>
          <w:rFonts w:asciiTheme="minorBidi" w:eastAsia="Times New Roman" w:hAnsiTheme="minorBidi"/>
          <w:color w:val="32363A"/>
          <w:sz w:val="24"/>
          <w:szCs w:val="24"/>
          <w:shd w:val="clear" w:color="auto" w:fill="FFFFFF"/>
        </w:rPr>
        <w:t xml:space="preserve"> test and Spearman test. See</w:t>
      </w:r>
      <w:r w:rsidRPr="009565D6">
        <w:rPr>
          <w:rFonts w:asciiTheme="minorBidi" w:eastAsia="Times New Roman" w:hAnsiTheme="minorBidi"/>
          <w:color w:val="32363A"/>
          <w:sz w:val="24"/>
          <w:szCs w:val="24"/>
          <w:shd w:val="clear" w:color="auto" w:fill="FFFFFF"/>
        </w:rPr>
        <w:t xml:space="preserve"> </w:t>
      </w:r>
      <w:r w:rsidRPr="009565D6">
        <w:rPr>
          <w:rFonts w:asciiTheme="minorBidi" w:eastAsia="Times New Roman" w:hAnsiTheme="minorBidi"/>
          <w:color w:val="1F3864" w:themeColor="accent1" w:themeShade="80"/>
          <w:sz w:val="24"/>
          <w:szCs w:val="24"/>
          <w:shd w:val="clear" w:color="auto" w:fill="FFFFFF"/>
        </w:rPr>
        <w:fldChar w:fldCharType="begin"/>
      </w:r>
      <w:r w:rsidRPr="009565D6">
        <w:rPr>
          <w:rFonts w:asciiTheme="minorBidi" w:eastAsia="Times New Roman" w:hAnsiTheme="minorBidi"/>
          <w:color w:val="1F3864" w:themeColor="accent1" w:themeShade="80"/>
          <w:sz w:val="24"/>
          <w:szCs w:val="24"/>
          <w:shd w:val="clear" w:color="auto" w:fill="FFFFFF"/>
        </w:rPr>
        <w:instrText xml:space="preserve"> REF _Ref122823051 \h  \* MERGEFORMAT </w:instrText>
      </w:r>
      <w:r w:rsidRPr="009565D6">
        <w:rPr>
          <w:rFonts w:asciiTheme="minorBidi" w:eastAsia="Times New Roman" w:hAnsiTheme="minorBidi"/>
          <w:color w:val="1F3864" w:themeColor="accent1" w:themeShade="80"/>
          <w:sz w:val="24"/>
          <w:szCs w:val="24"/>
          <w:shd w:val="clear" w:color="auto" w:fill="FFFFFF"/>
        </w:rPr>
      </w:r>
      <w:r w:rsidRPr="009565D6">
        <w:rPr>
          <w:rFonts w:asciiTheme="minorBidi" w:eastAsia="Times New Roman" w:hAnsiTheme="minorBidi"/>
          <w:color w:val="1F3864" w:themeColor="accent1" w:themeShade="80"/>
          <w:sz w:val="24"/>
          <w:szCs w:val="24"/>
          <w:shd w:val="clear" w:color="auto" w:fill="FFFFFF"/>
        </w:rPr>
        <w:fldChar w:fldCharType="separate"/>
      </w:r>
      <w:r w:rsidR="00AF58D8" w:rsidRPr="00AF58D8">
        <w:rPr>
          <w:rFonts w:asciiTheme="minorBidi" w:eastAsia="Times New Roman" w:hAnsiTheme="minorBidi"/>
          <w:color w:val="1F3864" w:themeColor="accent1" w:themeShade="80"/>
          <w:sz w:val="24"/>
          <w:szCs w:val="24"/>
          <w:shd w:val="clear" w:color="auto" w:fill="FFFFFF"/>
        </w:rPr>
        <w:t>Table 19</w:t>
      </w:r>
      <w:r w:rsidRPr="009565D6">
        <w:rPr>
          <w:rFonts w:asciiTheme="minorBidi" w:eastAsia="Times New Roman" w:hAnsiTheme="minorBidi"/>
          <w:color w:val="1F3864" w:themeColor="accent1" w:themeShade="80"/>
          <w:sz w:val="24"/>
          <w:szCs w:val="24"/>
          <w:shd w:val="clear" w:color="auto" w:fill="FFFFFF"/>
        </w:rPr>
        <w:fldChar w:fldCharType="end"/>
      </w:r>
      <w:r w:rsidRPr="009565D6">
        <w:rPr>
          <w:rFonts w:asciiTheme="minorBidi" w:eastAsia="Times New Roman" w:hAnsiTheme="minorBidi"/>
          <w:color w:val="1F3864" w:themeColor="accent1" w:themeShade="80"/>
          <w:sz w:val="24"/>
          <w:szCs w:val="24"/>
          <w:shd w:val="clear" w:color="auto" w:fill="FFFFFF"/>
        </w:rPr>
        <w:t>,</w:t>
      </w:r>
      <w:r w:rsidRPr="009565D6">
        <w:rPr>
          <w:rFonts w:asciiTheme="minorBidi" w:eastAsia="Times New Roman" w:hAnsiTheme="minorBidi"/>
          <w:color w:val="1F3864" w:themeColor="accent1" w:themeShade="80"/>
          <w:sz w:val="24"/>
          <w:szCs w:val="24"/>
          <w:shd w:val="clear" w:color="auto" w:fill="FFFFFF"/>
        </w:rPr>
        <w:fldChar w:fldCharType="begin"/>
      </w:r>
      <w:r w:rsidRPr="009565D6">
        <w:rPr>
          <w:rFonts w:asciiTheme="minorBidi" w:eastAsia="Times New Roman" w:hAnsiTheme="minorBidi"/>
          <w:color w:val="1F3864" w:themeColor="accent1" w:themeShade="80"/>
          <w:sz w:val="24"/>
          <w:szCs w:val="24"/>
          <w:shd w:val="clear" w:color="auto" w:fill="FFFFFF"/>
        </w:rPr>
        <w:instrText xml:space="preserve"> REF _Ref122394747 \h  \* MERGEFORMAT </w:instrText>
      </w:r>
      <w:r w:rsidRPr="009565D6">
        <w:rPr>
          <w:rFonts w:asciiTheme="minorBidi" w:eastAsia="Times New Roman" w:hAnsiTheme="minorBidi"/>
          <w:color w:val="1F3864" w:themeColor="accent1" w:themeShade="80"/>
          <w:sz w:val="24"/>
          <w:szCs w:val="24"/>
          <w:shd w:val="clear" w:color="auto" w:fill="FFFFFF"/>
        </w:rPr>
      </w:r>
      <w:r w:rsidRPr="009565D6">
        <w:rPr>
          <w:rFonts w:asciiTheme="minorBidi" w:eastAsia="Times New Roman" w:hAnsiTheme="minorBidi"/>
          <w:color w:val="1F3864" w:themeColor="accent1" w:themeShade="80"/>
          <w:sz w:val="24"/>
          <w:szCs w:val="24"/>
          <w:shd w:val="clear" w:color="auto" w:fill="FFFFFF"/>
        </w:rPr>
        <w:fldChar w:fldCharType="separate"/>
      </w:r>
      <w:r w:rsidR="00AF58D8" w:rsidRPr="00AF58D8">
        <w:rPr>
          <w:rFonts w:asciiTheme="minorBidi" w:eastAsia="Times New Roman" w:hAnsiTheme="minorBidi"/>
          <w:color w:val="1F3864" w:themeColor="accent1" w:themeShade="80"/>
          <w:sz w:val="24"/>
          <w:szCs w:val="24"/>
          <w:shd w:val="clear" w:color="auto" w:fill="FFFFFF"/>
        </w:rPr>
        <w:t>Table 21</w:t>
      </w:r>
      <w:r w:rsidRPr="009565D6">
        <w:rPr>
          <w:rFonts w:asciiTheme="minorBidi" w:eastAsia="Times New Roman" w:hAnsiTheme="minorBidi"/>
          <w:color w:val="1F3864" w:themeColor="accent1" w:themeShade="80"/>
          <w:sz w:val="24"/>
          <w:szCs w:val="24"/>
          <w:shd w:val="clear" w:color="auto" w:fill="FFFFFF"/>
        </w:rPr>
        <w:fldChar w:fldCharType="end"/>
      </w:r>
      <w:r w:rsidRPr="009565D6">
        <w:rPr>
          <w:rFonts w:asciiTheme="minorBidi" w:eastAsia="Times New Roman" w:hAnsiTheme="minorBidi"/>
          <w:color w:val="32363A"/>
          <w:sz w:val="24"/>
          <w:szCs w:val="24"/>
          <w:shd w:val="clear" w:color="auto" w:fill="FFFFFF"/>
        </w:rPr>
        <w:t xml:space="preserve">, and </w:t>
      </w:r>
      <w:r w:rsidRPr="009565D6">
        <w:rPr>
          <w:rFonts w:asciiTheme="minorBidi" w:eastAsia="Times New Roman" w:hAnsiTheme="minorBidi"/>
          <w:color w:val="1F3864" w:themeColor="accent1" w:themeShade="80"/>
          <w:sz w:val="24"/>
          <w:szCs w:val="24"/>
          <w:shd w:val="clear" w:color="auto" w:fill="FFFFFF"/>
        </w:rPr>
        <w:fldChar w:fldCharType="begin"/>
      </w:r>
      <w:r w:rsidRPr="009565D6">
        <w:rPr>
          <w:rFonts w:asciiTheme="minorBidi" w:eastAsia="Times New Roman" w:hAnsiTheme="minorBidi"/>
          <w:color w:val="1F3864" w:themeColor="accent1" w:themeShade="80"/>
          <w:sz w:val="24"/>
          <w:szCs w:val="24"/>
          <w:shd w:val="clear" w:color="auto" w:fill="FFFFFF"/>
        </w:rPr>
        <w:instrText xml:space="preserve"> REF _Ref107316074 \h  \* MERGEFORMAT </w:instrText>
      </w:r>
      <w:r w:rsidRPr="009565D6">
        <w:rPr>
          <w:rFonts w:asciiTheme="minorBidi" w:eastAsia="Times New Roman" w:hAnsiTheme="minorBidi"/>
          <w:color w:val="1F3864" w:themeColor="accent1" w:themeShade="80"/>
          <w:sz w:val="24"/>
          <w:szCs w:val="24"/>
          <w:shd w:val="clear" w:color="auto" w:fill="FFFFFF"/>
        </w:rPr>
      </w:r>
      <w:r w:rsidRPr="009565D6">
        <w:rPr>
          <w:rFonts w:asciiTheme="minorBidi" w:eastAsia="Times New Roman" w:hAnsiTheme="minorBidi"/>
          <w:color w:val="1F3864" w:themeColor="accent1" w:themeShade="80"/>
          <w:sz w:val="24"/>
          <w:szCs w:val="24"/>
          <w:shd w:val="clear" w:color="auto" w:fill="FFFFFF"/>
        </w:rPr>
        <w:fldChar w:fldCharType="separate"/>
      </w:r>
      <w:r w:rsidR="00AF58D8" w:rsidRPr="00AF58D8">
        <w:rPr>
          <w:rFonts w:asciiTheme="minorBidi" w:eastAsia="Times New Roman" w:hAnsiTheme="minorBidi"/>
          <w:color w:val="1F3864" w:themeColor="accent1" w:themeShade="80"/>
          <w:sz w:val="24"/>
          <w:szCs w:val="24"/>
          <w:shd w:val="clear" w:color="auto" w:fill="FFFFFF"/>
        </w:rPr>
        <w:t>Table 23</w:t>
      </w:r>
      <w:r w:rsidRPr="009565D6">
        <w:rPr>
          <w:rFonts w:asciiTheme="minorBidi" w:eastAsia="Times New Roman" w:hAnsiTheme="minorBidi"/>
          <w:color w:val="1F3864" w:themeColor="accent1" w:themeShade="80"/>
          <w:sz w:val="24"/>
          <w:szCs w:val="24"/>
          <w:shd w:val="clear" w:color="auto" w:fill="FFFFFF"/>
        </w:rPr>
        <w:fldChar w:fldCharType="end"/>
      </w:r>
      <w:r w:rsidRPr="009565D6">
        <w:rPr>
          <w:rFonts w:asciiTheme="minorBidi" w:eastAsia="Times New Roman" w:hAnsiTheme="minorBidi"/>
          <w:color w:val="32363A"/>
          <w:sz w:val="24"/>
          <w:szCs w:val="24"/>
          <w:shd w:val="clear" w:color="auto" w:fill="FFFFFF"/>
        </w:rPr>
        <w:t>.</w:t>
      </w:r>
    </w:p>
    <w:p w14:paraId="19F2D734" w14:textId="77777777" w:rsidR="00821B82" w:rsidRPr="00DB602B" w:rsidRDefault="00821B82" w:rsidP="00821B82">
      <w:pPr>
        <w:spacing w:before="100" w:beforeAutospacing="1" w:after="100" w:afterAutospacing="1" w:line="360" w:lineRule="auto"/>
        <w:jc w:val="both"/>
        <w:rPr>
          <w:rFonts w:asciiTheme="minorBidi" w:eastAsia="Times New Roman" w:hAnsiTheme="minorBidi"/>
          <w:color w:val="32363A"/>
          <w:sz w:val="24"/>
          <w:szCs w:val="24"/>
          <w:shd w:val="clear" w:color="auto" w:fill="FFFFFF"/>
        </w:rPr>
      </w:pPr>
      <w:r w:rsidRPr="006F743A">
        <w:rPr>
          <w:rFonts w:asciiTheme="minorBidi" w:eastAsia="Times New Roman" w:hAnsiTheme="minorBidi"/>
          <w:color w:val="32363A"/>
          <w:sz w:val="24"/>
          <w:szCs w:val="24"/>
          <w:shd w:val="clear" w:color="auto" w:fill="FFFFFF"/>
        </w:rPr>
        <w:t xml:space="preserve">These three factors were selected for investigation because these factors could have an impact on participants' attitudes towards pharmacists' roles. It is necessary to investigate the influence of the profession on participants' responses to the potential effects of engaging pharmacists in the treatment of diabetics to be consistent with other </w:t>
      </w:r>
      <w:r>
        <w:rPr>
          <w:rFonts w:asciiTheme="minorBidi" w:eastAsia="Times New Roman" w:hAnsiTheme="minorBidi"/>
          <w:color w:val="32363A"/>
          <w:sz w:val="24"/>
          <w:szCs w:val="24"/>
          <w:shd w:val="clear" w:color="auto" w:fill="FFFFFF"/>
        </w:rPr>
        <w:t>sections</w:t>
      </w:r>
      <w:r w:rsidRPr="006F743A">
        <w:rPr>
          <w:rFonts w:asciiTheme="minorBidi" w:eastAsia="Times New Roman" w:hAnsiTheme="minorBidi"/>
          <w:color w:val="32363A"/>
          <w:sz w:val="24"/>
          <w:szCs w:val="24"/>
          <w:shd w:val="clear" w:color="auto" w:fill="FFFFFF"/>
        </w:rPr>
        <w:t>. As for the second factor, which is the effect of years of experience on the participant's attitude towards the role of the pharmacist, many studies have proven the existence of a relationship between them - and finally, the effect of the source of the participants' qualification degree on their attitude toward the pharmacist's role as this could be affected by the type of subjects taught in universities outside</w:t>
      </w:r>
      <w:r>
        <w:rPr>
          <w:rFonts w:asciiTheme="minorBidi" w:eastAsia="Times New Roman" w:hAnsiTheme="minorBidi"/>
          <w:color w:val="32363A"/>
          <w:sz w:val="24"/>
          <w:szCs w:val="24"/>
          <w:shd w:val="clear" w:color="auto" w:fill="FFFFFF"/>
        </w:rPr>
        <w:t xml:space="preserve"> SA</w:t>
      </w:r>
      <w:r w:rsidRPr="006F743A">
        <w:rPr>
          <w:rFonts w:asciiTheme="minorBidi" w:eastAsia="Times New Roman" w:hAnsiTheme="minorBidi"/>
          <w:color w:val="32363A"/>
          <w:sz w:val="24"/>
          <w:szCs w:val="24"/>
          <w:shd w:val="clear" w:color="auto" w:fill="FFFFFF"/>
        </w:rPr>
        <w:t xml:space="preserve"> and from </w:t>
      </w:r>
      <w:r>
        <w:rPr>
          <w:rFonts w:asciiTheme="minorBidi" w:eastAsia="Times New Roman" w:hAnsiTheme="minorBidi"/>
          <w:color w:val="32363A"/>
          <w:sz w:val="24"/>
          <w:szCs w:val="24"/>
          <w:shd w:val="clear" w:color="auto" w:fill="FFFFFF"/>
        </w:rPr>
        <w:t>SA</w:t>
      </w:r>
      <w:r w:rsidRPr="006F743A">
        <w:rPr>
          <w:rFonts w:asciiTheme="minorBidi" w:eastAsia="Times New Roman" w:hAnsiTheme="minorBidi"/>
          <w:color w:val="32363A"/>
          <w:sz w:val="24"/>
          <w:szCs w:val="24"/>
          <w:shd w:val="clear" w:color="auto" w:fill="FFFFFF"/>
        </w:rPr>
        <w:t>.</w:t>
      </w:r>
    </w:p>
    <w:p w14:paraId="1436A3C9" w14:textId="77777777" w:rsidR="00821B82" w:rsidRPr="003954A6" w:rsidRDefault="00821B82" w:rsidP="00821B82">
      <w:pPr>
        <w:pStyle w:val="Heading4"/>
        <w:numPr>
          <w:ilvl w:val="3"/>
          <w:numId w:val="14"/>
        </w:numPr>
        <w:tabs>
          <w:tab w:val="left" w:pos="810"/>
        </w:tabs>
        <w:spacing w:line="240" w:lineRule="auto"/>
        <w:rPr>
          <w:rFonts w:asciiTheme="minorBidi" w:hAnsiTheme="minorBidi" w:cstheme="minorBidi"/>
          <w:sz w:val="24"/>
          <w:szCs w:val="24"/>
        </w:rPr>
      </w:pPr>
      <w:r w:rsidRPr="003954A6">
        <w:rPr>
          <w:rFonts w:asciiTheme="minorBidi" w:hAnsiTheme="minorBidi" w:cstheme="minorBidi"/>
          <w:sz w:val="24"/>
          <w:szCs w:val="24"/>
        </w:rPr>
        <w:t xml:space="preserve">Views of doctors, pharmacists, and nurses on the potential impact of pharmacist involvement in diabetes primary care management </w:t>
      </w:r>
    </w:p>
    <w:p w14:paraId="0F360AD9" w14:textId="77777777" w:rsidR="00821B82" w:rsidRPr="004B0DA9" w:rsidRDefault="00821B82" w:rsidP="00821B82"/>
    <w:p w14:paraId="274ADC7C" w14:textId="008A5BB4" w:rsidR="00821B82" w:rsidRPr="002741EE" w:rsidRDefault="00821B82" w:rsidP="00821B82">
      <w:pPr>
        <w:spacing w:line="360" w:lineRule="auto"/>
        <w:jc w:val="both"/>
        <w:rPr>
          <w:rFonts w:asciiTheme="minorBidi" w:eastAsia="Times New Roman" w:hAnsiTheme="minorBidi"/>
          <w:color w:val="32363A"/>
          <w:sz w:val="24"/>
          <w:szCs w:val="24"/>
          <w:shd w:val="clear" w:color="auto" w:fill="FFFFFF"/>
        </w:rPr>
      </w:pPr>
      <w:r w:rsidRPr="002741EE">
        <w:rPr>
          <w:rFonts w:asciiTheme="minorBidi" w:eastAsia="Times New Roman" w:hAnsiTheme="minorBidi"/>
          <w:color w:val="32363A"/>
          <w:sz w:val="24"/>
          <w:szCs w:val="24"/>
          <w:shd w:val="clear" w:color="auto" w:fill="FFFFFF"/>
        </w:rPr>
        <w:t xml:space="preserve">The results of the correlational analysis are shown in </w:t>
      </w:r>
      <w:r w:rsidRPr="009565D6">
        <w:rPr>
          <w:rFonts w:asciiTheme="minorBidi" w:eastAsia="Times New Roman" w:hAnsiTheme="minorBidi"/>
          <w:color w:val="1F3864" w:themeColor="accent1" w:themeShade="80"/>
          <w:sz w:val="24"/>
          <w:szCs w:val="24"/>
          <w:shd w:val="clear" w:color="auto" w:fill="FFFFFF"/>
        </w:rPr>
        <w:fldChar w:fldCharType="begin"/>
      </w:r>
      <w:r w:rsidRPr="009565D6">
        <w:rPr>
          <w:rFonts w:asciiTheme="minorBidi" w:eastAsia="Times New Roman" w:hAnsiTheme="minorBidi"/>
          <w:color w:val="1F3864" w:themeColor="accent1" w:themeShade="80"/>
          <w:sz w:val="24"/>
          <w:szCs w:val="24"/>
          <w:shd w:val="clear" w:color="auto" w:fill="FFFFFF"/>
        </w:rPr>
        <w:instrText xml:space="preserve"> REF _Ref122823051 \h  \* MERGEFORMAT </w:instrText>
      </w:r>
      <w:r w:rsidRPr="009565D6">
        <w:rPr>
          <w:rFonts w:asciiTheme="minorBidi" w:eastAsia="Times New Roman" w:hAnsiTheme="minorBidi"/>
          <w:color w:val="1F3864" w:themeColor="accent1" w:themeShade="80"/>
          <w:sz w:val="24"/>
          <w:szCs w:val="24"/>
          <w:shd w:val="clear" w:color="auto" w:fill="FFFFFF"/>
        </w:rPr>
      </w:r>
      <w:r w:rsidRPr="009565D6">
        <w:rPr>
          <w:rFonts w:asciiTheme="minorBidi" w:eastAsia="Times New Roman" w:hAnsiTheme="minorBidi"/>
          <w:color w:val="1F3864" w:themeColor="accent1" w:themeShade="80"/>
          <w:sz w:val="24"/>
          <w:szCs w:val="24"/>
          <w:shd w:val="clear" w:color="auto" w:fill="FFFFFF"/>
        </w:rPr>
        <w:fldChar w:fldCharType="separate"/>
      </w:r>
      <w:r w:rsidRPr="00E62405">
        <w:rPr>
          <w:rFonts w:asciiTheme="minorBidi" w:eastAsia="Times New Roman" w:hAnsiTheme="minorBidi"/>
          <w:color w:val="1F3864" w:themeColor="accent1" w:themeShade="80"/>
          <w:sz w:val="24"/>
          <w:szCs w:val="24"/>
          <w:shd w:val="clear" w:color="auto" w:fill="FFFFFF"/>
        </w:rPr>
        <w:t>Table 21</w:t>
      </w:r>
      <w:r w:rsidRPr="009565D6">
        <w:rPr>
          <w:rFonts w:asciiTheme="minorBidi" w:eastAsia="Times New Roman" w:hAnsiTheme="minorBidi"/>
          <w:color w:val="1F3864" w:themeColor="accent1" w:themeShade="80"/>
          <w:sz w:val="24"/>
          <w:szCs w:val="24"/>
          <w:shd w:val="clear" w:color="auto" w:fill="FFFFFF"/>
        </w:rPr>
        <w:fldChar w:fldCharType="end"/>
      </w:r>
      <w:r w:rsidRPr="002741EE">
        <w:rPr>
          <w:rFonts w:asciiTheme="minorBidi" w:eastAsia="Times New Roman" w:hAnsiTheme="minorBidi"/>
          <w:color w:val="32363A"/>
          <w:sz w:val="24"/>
          <w:szCs w:val="24"/>
          <w:shd w:val="clear" w:color="auto" w:fill="FFFFFF"/>
        </w:rPr>
        <w:t xml:space="preserve">. On average, all </w:t>
      </w:r>
      <w:r>
        <w:rPr>
          <w:rFonts w:asciiTheme="minorBidi" w:eastAsia="Times New Roman" w:hAnsiTheme="minorBidi"/>
          <w:color w:val="32363A"/>
          <w:sz w:val="24"/>
          <w:szCs w:val="24"/>
          <w:shd w:val="clear" w:color="auto" w:fill="FFFFFF"/>
        </w:rPr>
        <w:t>HCPs</w:t>
      </w:r>
      <w:r w:rsidRPr="002741EE">
        <w:rPr>
          <w:rFonts w:asciiTheme="minorBidi" w:eastAsia="Times New Roman" w:hAnsiTheme="minorBidi"/>
          <w:color w:val="32363A"/>
          <w:sz w:val="24"/>
          <w:szCs w:val="24"/>
          <w:shd w:val="clear" w:color="auto" w:fill="FFFFFF"/>
        </w:rPr>
        <w:t xml:space="preserve"> (doctors, pharmacists, and nurses) agreed or strongly agreed on all potential impacts of pharmacist involvement in diabetes management except </w:t>
      </w:r>
      <w:r>
        <w:rPr>
          <w:rFonts w:asciiTheme="minorBidi" w:eastAsia="Times New Roman" w:hAnsiTheme="minorBidi"/>
          <w:color w:val="32363A"/>
          <w:sz w:val="24"/>
          <w:szCs w:val="24"/>
          <w:shd w:val="clear" w:color="auto" w:fill="FFFFFF"/>
        </w:rPr>
        <w:t xml:space="preserve">for the </w:t>
      </w:r>
      <w:r w:rsidRPr="002741EE">
        <w:rPr>
          <w:rFonts w:asciiTheme="minorBidi" w:eastAsia="Times New Roman" w:hAnsiTheme="minorBidi"/>
          <w:color w:val="32363A"/>
          <w:sz w:val="24"/>
          <w:szCs w:val="24"/>
          <w:shd w:val="clear" w:color="auto" w:fill="FFFFFF"/>
        </w:rPr>
        <w:t>two relat</w:t>
      </w:r>
      <w:r>
        <w:rPr>
          <w:rFonts w:asciiTheme="minorBidi" w:eastAsia="Times New Roman" w:hAnsiTheme="minorBidi"/>
          <w:color w:val="32363A"/>
          <w:sz w:val="24"/>
          <w:szCs w:val="24"/>
          <w:shd w:val="clear" w:color="auto" w:fill="FFFFFF"/>
        </w:rPr>
        <w:t>ing</w:t>
      </w:r>
      <w:r w:rsidRPr="002741EE">
        <w:rPr>
          <w:rFonts w:asciiTheme="minorBidi" w:eastAsia="Times New Roman" w:hAnsiTheme="minorBidi"/>
          <w:color w:val="32363A"/>
          <w:sz w:val="24"/>
          <w:szCs w:val="24"/>
          <w:shd w:val="clear" w:color="auto" w:fill="FFFFFF"/>
        </w:rPr>
        <w:t xml:space="preserve"> to the ability of pharmacists to prescribe safely and cost-effectively, </w:t>
      </w:r>
      <w:r>
        <w:rPr>
          <w:rFonts w:asciiTheme="minorBidi" w:eastAsia="Times New Roman" w:hAnsiTheme="minorBidi"/>
          <w:color w:val="32363A"/>
          <w:sz w:val="24"/>
          <w:szCs w:val="24"/>
          <w:shd w:val="clear" w:color="auto" w:fill="FFFFFF"/>
        </w:rPr>
        <w:t xml:space="preserve">on </w:t>
      </w:r>
      <w:r w:rsidRPr="002741EE">
        <w:rPr>
          <w:rFonts w:asciiTheme="minorBidi" w:eastAsia="Times New Roman" w:hAnsiTheme="minorBidi"/>
          <w:color w:val="32363A"/>
          <w:sz w:val="24"/>
          <w:szCs w:val="24"/>
          <w:shd w:val="clear" w:color="auto" w:fill="FFFFFF"/>
        </w:rPr>
        <w:t>w</w:t>
      </w:r>
      <w:r>
        <w:rPr>
          <w:rFonts w:asciiTheme="minorBidi" w:eastAsia="Times New Roman" w:hAnsiTheme="minorBidi"/>
          <w:color w:val="32363A"/>
          <w:sz w:val="24"/>
          <w:szCs w:val="24"/>
          <w:shd w:val="clear" w:color="auto" w:fill="FFFFFF"/>
        </w:rPr>
        <w:t>hich</w:t>
      </w:r>
      <w:r w:rsidRPr="002741EE">
        <w:rPr>
          <w:rFonts w:asciiTheme="minorBidi" w:eastAsia="Times New Roman" w:hAnsiTheme="minorBidi"/>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 xml:space="preserve">doctors did </w:t>
      </w:r>
      <w:r w:rsidRPr="002741EE">
        <w:rPr>
          <w:rFonts w:asciiTheme="minorBidi" w:eastAsia="Times New Roman" w:hAnsiTheme="minorBidi"/>
          <w:color w:val="32363A"/>
          <w:sz w:val="24"/>
          <w:szCs w:val="24"/>
          <w:shd w:val="clear" w:color="auto" w:fill="FFFFFF"/>
        </w:rPr>
        <w:t xml:space="preserve">not fully agree as </w:t>
      </w:r>
      <w:r>
        <w:rPr>
          <w:rFonts w:asciiTheme="minorBidi" w:eastAsia="Times New Roman" w:hAnsiTheme="minorBidi"/>
          <w:color w:val="32363A"/>
          <w:sz w:val="24"/>
          <w:szCs w:val="24"/>
          <w:shd w:val="clear" w:color="auto" w:fill="FFFFFF"/>
        </w:rPr>
        <w:t>the percentage of agreeing on these roles was 26% and 43% respectively, see</w:t>
      </w:r>
      <w:r>
        <w:rPr>
          <w:rFonts w:asciiTheme="minorBidi" w:eastAsia="Times New Roman" w:hAnsiTheme="minorBidi"/>
          <w:color w:val="1F3864" w:themeColor="accent1" w:themeShade="80"/>
          <w:sz w:val="24"/>
          <w:szCs w:val="24"/>
          <w:shd w:val="clear" w:color="auto" w:fill="FFFFFF"/>
        </w:rPr>
        <w:t xml:space="preserve"> </w:t>
      </w:r>
      <w:r w:rsidRPr="001C27BB">
        <w:rPr>
          <w:rFonts w:asciiTheme="minorBidi" w:eastAsia="Times New Roman" w:hAnsiTheme="minorBidi"/>
          <w:color w:val="1F3864" w:themeColor="accent1" w:themeShade="80"/>
          <w:sz w:val="24"/>
          <w:szCs w:val="24"/>
          <w:shd w:val="clear" w:color="auto" w:fill="FFFFFF"/>
        </w:rPr>
        <w:fldChar w:fldCharType="begin"/>
      </w:r>
      <w:r w:rsidRPr="001C27BB">
        <w:rPr>
          <w:rFonts w:asciiTheme="minorBidi" w:eastAsia="Times New Roman" w:hAnsiTheme="minorBidi"/>
          <w:color w:val="1F3864" w:themeColor="accent1" w:themeShade="80"/>
          <w:sz w:val="24"/>
          <w:szCs w:val="24"/>
          <w:shd w:val="clear" w:color="auto" w:fill="FFFFFF"/>
        </w:rPr>
        <w:instrText xml:space="preserve"> REF _Ref122823405 \h  \* MERGEFORMAT </w:instrText>
      </w:r>
      <w:r w:rsidRPr="001C27BB">
        <w:rPr>
          <w:rFonts w:asciiTheme="minorBidi" w:eastAsia="Times New Roman" w:hAnsiTheme="minorBidi"/>
          <w:color w:val="1F3864" w:themeColor="accent1" w:themeShade="80"/>
          <w:sz w:val="24"/>
          <w:szCs w:val="24"/>
          <w:shd w:val="clear" w:color="auto" w:fill="FFFFFF"/>
        </w:rPr>
      </w:r>
      <w:r w:rsidRPr="001C27BB">
        <w:rPr>
          <w:rFonts w:asciiTheme="minorBidi" w:eastAsia="Times New Roman" w:hAnsiTheme="minorBidi"/>
          <w:color w:val="1F3864" w:themeColor="accent1" w:themeShade="80"/>
          <w:sz w:val="24"/>
          <w:szCs w:val="24"/>
          <w:shd w:val="clear" w:color="auto" w:fill="FFFFFF"/>
        </w:rPr>
        <w:fldChar w:fldCharType="separate"/>
      </w:r>
      <w:r w:rsidR="005162D4" w:rsidRPr="005162D4">
        <w:rPr>
          <w:rFonts w:asciiTheme="minorBidi" w:eastAsia="Times New Roman" w:hAnsiTheme="minorBidi"/>
          <w:color w:val="1F3864" w:themeColor="accent1" w:themeShade="80"/>
          <w:sz w:val="24"/>
          <w:szCs w:val="24"/>
          <w:shd w:val="clear" w:color="auto" w:fill="FFFFFF"/>
        </w:rPr>
        <w:t>Figure 10</w:t>
      </w:r>
      <w:r w:rsidRPr="001C27BB">
        <w:rPr>
          <w:rFonts w:asciiTheme="minorBidi" w:eastAsia="Times New Roman" w:hAnsiTheme="minorBidi"/>
          <w:color w:val="1F3864" w:themeColor="accent1" w:themeShade="80"/>
          <w:sz w:val="24"/>
          <w:szCs w:val="24"/>
          <w:shd w:val="clear" w:color="auto" w:fill="FFFFFF"/>
        </w:rPr>
        <w:fldChar w:fldCharType="end"/>
      </w:r>
      <w:r w:rsidRPr="001C27BB">
        <w:rPr>
          <w:rFonts w:asciiTheme="minorBidi" w:eastAsia="Times New Roman" w:hAnsiTheme="minorBidi"/>
          <w:color w:val="1F3864" w:themeColor="accent1" w:themeShade="80"/>
          <w:sz w:val="24"/>
          <w:szCs w:val="24"/>
          <w:shd w:val="clear" w:color="auto" w:fill="FFFFFF"/>
        </w:rPr>
        <w:t>.</w:t>
      </w:r>
      <w:r>
        <w:rPr>
          <w:rFonts w:asciiTheme="minorBidi" w:eastAsia="Times New Roman" w:hAnsiTheme="minorBidi"/>
          <w:color w:val="32363A"/>
          <w:sz w:val="24"/>
          <w:szCs w:val="24"/>
          <w:shd w:val="clear" w:color="auto" w:fill="FFFFFF"/>
        </w:rPr>
        <w:t xml:space="preserve"> </w:t>
      </w:r>
      <w:r w:rsidRPr="002741EE">
        <w:rPr>
          <w:rFonts w:asciiTheme="minorBidi" w:eastAsia="Times New Roman" w:hAnsiTheme="minorBidi"/>
          <w:color w:val="32363A"/>
          <w:sz w:val="24"/>
          <w:szCs w:val="24"/>
          <w:shd w:val="clear" w:color="auto" w:fill="FFFFFF"/>
        </w:rPr>
        <w:t xml:space="preserve">This result is consistent with previous findings, indicating that doctors are concerned </w:t>
      </w:r>
      <w:r>
        <w:rPr>
          <w:rFonts w:asciiTheme="minorBidi" w:eastAsia="Times New Roman" w:hAnsiTheme="minorBidi"/>
          <w:color w:val="32363A"/>
          <w:sz w:val="24"/>
          <w:szCs w:val="24"/>
          <w:shd w:val="clear" w:color="auto" w:fill="FFFFFF"/>
        </w:rPr>
        <w:t>about</w:t>
      </w:r>
      <w:r w:rsidRPr="002741EE">
        <w:rPr>
          <w:rFonts w:asciiTheme="minorBidi" w:eastAsia="Times New Roman" w:hAnsiTheme="minorBidi"/>
          <w:color w:val="32363A"/>
          <w:sz w:val="24"/>
          <w:szCs w:val="24"/>
          <w:shd w:val="clear" w:color="auto" w:fill="FFFFFF"/>
        </w:rPr>
        <w:t xml:space="preserve"> pharmacist</w:t>
      </w:r>
      <w:r>
        <w:rPr>
          <w:rFonts w:asciiTheme="minorBidi" w:eastAsia="Times New Roman" w:hAnsiTheme="minorBidi"/>
          <w:color w:val="32363A"/>
          <w:sz w:val="24"/>
          <w:szCs w:val="24"/>
          <w:shd w:val="clear" w:color="auto" w:fill="FFFFFF"/>
        </w:rPr>
        <w:t>s</w:t>
      </w:r>
      <w:r w:rsidRPr="002741EE">
        <w:rPr>
          <w:rFonts w:asciiTheme="minorBidi" w:eastAsia="Times New Roman" w:hAnsiTheme="minorBidi"/>
          <w:color w:val="32363A"/>
          <w:sz w:val="24"/>
          <w:szCs w:val="24"/>
          <w:shd w:val="clear" w:color="auto" w:fill="FFFFFF"/>
        </w:rPr>
        <w:t xml:space="preserve"> prescrib</w:t>
      </w:r>
      <w:r>
        <w:rPr>
          <w:rFonts w:asciiTheme="minorBidi" w:eastAsia="Times New Roman" w:hAnsiTheme="minorBidi"/>
          <w:color w:val="32363A"/>
          <w:sz w:val="24"/>
          <w:szCs w:val="24"/>
          <w:shd w:val="clear" w:color="auto" w:fill="FFFFFF"/>
        </w:rPr>
        <w:t>ing</w:t>
      </w:r>
      <w:r w:rsidRPr="002741EE">
        <w:rPr>
          <w:rFonts w:asciiTheme="minorBidi" w:eastAsia="Times New Roman" w:hAnsiTheme="minorBidi"/>
          <w:color w:val="32363A"/>
          <w:sz w:val="24"/>
          <w:szCs w:val="24"/>
          <w:shd w:val="clear" w:color="auto" w:fill="FFFFFF"/>
        </w:rPr>
        <w:t xml:space="preserve"> medications to patients independently. </w:t>
      </w:r>
    </w:p>
    <w:p w14:paraId="7DF9369E" w14:textId="1E6C1E8B" w:rsidR="00821B82" w:rsidRPr="002741EE" w:rsidRDefault="00821B82" w:rsidP="00821B82">
      <w:pPr>
        <w:spacing w:line="360" w:lineRule="auto"/>
        <w:jc w:val="both"/>
        <w:rPr>
          <w:rFonts w:asciiTheme="minorBidi" w:eastAsia="Times New Roman" w:hAnsiTheme="minorBidi"/>
          <w:color w:val="32363A"/>
          <w:sz w:val="24"/>
          <w:szCs w:val="24"/>
          <w:shd w:val="clear" w:color="auto" w:fill="FFFFFF"/>
        </w:rPr>
      </w:pPr>
      <w:r w:rsidRPr="009565D6">
        <w:rPr>
          <w:rFonts w:asciiTheme="minorBidi" w:eastAsia="Times New Roman" w:hAnsiTheme="minorBidi"/>
          <w:color w:val="1F3864" w:themeColor="accent1" w:themeShade="80"/>
          <w:sz w:val="24"/>
          <w:szCs w:val="24"/>
          <w:shd w:val="clear" w:color="auto" w:fill="FFFFFF"/>
        </w:rPr>
        <w:fldChar w:fldCharType="begin"/>
      </w:r>
      <w:r w:rsidRPr="009565D6">
        <w:rPr>
          <w:rFonts w:asciiTheme="minorBidi" w:eastAsia="Times New Roman" w:hAnsiTheme="minorBidi"/>
          <w:color w:val="1F3864" w:themeColor="accent1" w:themeShade="80"/>
          <w:sz w:val="24"/>
          <w:szCs w:val="24"/>
          <w:shd w:val="clear" w:color="auto" w:fill="FFFFFF"/>
        </w:rPr>
        <w:instrText xml:space="preserve"> REF _Ref122823051 \h  \* MERGEFORMAT </w:instrText>
      </w:r>
      <w:r w:rsidRPr="009565D6">
        <w:rPr>
          <w:rFonts w:asciiTheme="minorBidi" w:eastAsia="Times New Roman" w:hAnsiTheme="minorBidi"/>
          <w:color w:val="1F3864" w:themeColor="accent1" w:themeShade="80"/>
          <w:sz w:val="24"/>
          <w:szCs w:val="24"/>
          <w:shd w:val="clear" w:color="auto" w:fill="FFFFFF"/>
        </w:rPr>
      </w:r>
      <w:r w:rsidRPr="009565D6">
        <w:rPr>
          <w:rFonts w:asciiTheme="minorBidi" w:eastAsia="Times New Roman" w:hAnsiTheme="minorBidi"/>
          <w:color w:val="1F3864" w:themeColor="accent1" w:themeShade="80"/>
          <w:sz w:val="24"/>
          <w:szCs w:val="24"/>
          <w:shd w:val="clear" w:color="auto" w:fill="FFFFFF"/>
        </w:rPr>
        <w:fldChar w:fldCharType="separate"/>
      </w:r>
      <w:r w:rsidR="005162D4" w:rsidRPr="005162D4">
        <w:rPr>
          <w:rFonts w:asciiTheme="minorBidi" w:eastAsia="Times New Roman" w:hAnsiTheme="minorBidi"/>
          <w:color w:val="1F3864" w:themeColor="accent1" w:themeShade="80"/>
          <w:sz w:val="24"/>
          <w:szCs w:val="24"/>
          <w:shd w:val="clear" w:color="auto" w:fill="FFFFFF"/>
        </w:rPr>
        <w:t>Table 19</w:t>
      </w:r>
      <w:r w:rsidRPr="009565D6">
        <w:rPr>
          <w:rFonts w:asciiTheme="minorBidi" w:eastAsia="Times New Roman" w:hAnsiTheme="minorBidi"/>
          <w:color w:val="1F3864" w:themeColor="accent1" w:themeShade="80"/>
          <w:sz w:val="24"/>
          <w:szCs w:val="24"/>
          <w:shd w:val="clear" w:color="auto" w:fill="FFFFFF"/>
        </w:rPr>
        <w:fldChar w:fldCharType="end"/>
      </w:r>
      <w:r w:rsidRPr="002741EE">
        <w:rPr>
          <w:rFonts w:asciiTheme="minorBidi" w:eastAsia="Times New Roman" w:hAnsiTheme="minorBidi"/>
          <w:color w:val="32363A"/>
          <w:sz w:val="24"/>
          <w:szCs w:val="24"/>
          <w:shd w:val="clear" w:color="auto" w:fill="FFFFFF"/>
        </w:rPr>
        <w:t xml:space="preserve"> also shows that there were significant differences between the three professional groups in their level of agreement for most </w:t>
      </w:r>
      <w:r>
        <w:rPr>
          <w:rFonts w:asciiTheme="minorBidi" w:eastAsia="Times New Roman" w:hAnsiTheme="minorBidi"/>
          <w:color w:val="32363A"/>
          <w:sz w:val="24"/>
          <w:szCs w:val="24"/>
          <w:shd w:val="clear" w:color="auto" w:fill="FFFFFF"/>
        </w:rPr>
        <w:t xml:space="preserve">of the </w:t>
      </w:r>
      <w:r w:rsidRPr="002741EE">
        <w:rPr>
          <w:rFonts w:asciiTheme="minorBidi" w:eastAsia="Times New Roman" w:hAnsiTheme="minorBidi"/>
          <w:color w:val="32363A"/>
          <w:sz w:val="24"/>
          <w:szCs w:val="24"/>
          <w:shd w:val="clear" w:color="auto" w:fill="FFFFFF"/>
        </w:rPr>
        <w:t>statements that related to potential impacts of pharmacist invo</w:t>
      </w:r>
      <w:r>
        <w:rPr>
          <w:rFonts w:asciiTheme="minorBidi" w:eastAsia="Times New Roman" w:hAnsiTheme="minorBidi"/>
          <w:color w:val="32363A"/>
          <w:sz w:val="24"/>
          <w:szCs w:val="24"/>
          <w:shd w:val="clear" w:color="auto" w:fill="FFFFFF"/>
        </w:rPr>
        <w:t>l</w:t>
      </w:r>
      <w:r w:rsidRPr="002741EE">
        <w:rPr>
          <w:rFonts w:asciiTheme="minorBidi" w:eastAsia="Times New Roman" w:hAnsiTheme="minorBidi"/>
          <w:color w:val="32363A"/>
          <w:sz w:val="24"/>
          <w:szCs w:val="24"/>
          <w:shd w:val="clear" w:color="auto" w:fill="FFFFFF"/>
        </w:rPr>
        <w:t>vement in diabetes manag</w:t>
      </w:r>
      <w:r>
        <w:rPr>
          <w:rFonts w:asciiTheme="minorBidi" w:eastAsia="Times New Roman" w:hAnsiTheme="minorBidi"/>
          <w:color w:val="32363A"/>
          <w:sz w:val="24"/>
          <w:szCs w:val="24"/>
          <w:shd w:val="clear" w:color="auto" w:fill="FFFFFF"/>
        </w:rPr>
        <w:t>e</w:t>
      </w:r>
      <w:r w:rsidRPr="002741EE">
        <w:rPr>
          <w:rFonts w:asciiTheme="minorBidi" w:eastAsia="Times New Roman" w:hAnsiTheme="minorBidi"/>
          <w:color w:val="32363A"/>
          <w:sz w:val="24"/>
          <w:szCs w:val="24"/>
          <w:shd w:val="clear" w:color="auto" w:fill="FFFFFF"/>
        </w:rPr>
        <w:t>ment. Nurse</w:t>
      </w:r>
      <w:r>
        <w:rPr>
          <w:rFonts w:asciiTheme="minorBidi" w:eastAsia="Times New Roman" w:hAnsiTheme="minorBidi"/>
          <w:color w:val="32363A"/>
          <w:sz w:val="24"/>
          <w:szCs w:val="24"/>
          <w:shd w:val="clear" w:color="auto" w:fill="FFFFFF"/>
        </w:rPr>
        <w:t>s</w:t>
      </w:r>
      <w:r w:rsidRPr="002741EE">
        <w:rPr>
          <w:rFonts w:asciiTheme="minorBidi" w:eastAsia="Times New Roman" w:hAnsiTheme="minorBidi"/>
          <w:color w:val="32363A"/>
          <w:sz w:val="24"/>
          <w:szCs w:val="24"/>
          <w:shd w:val="clear" w:color="auto" w:fill="FFFFFF"/>
        </w:rPr>
        <w:t xml:space="preserve"> varied </w:t>
      </w:r>
      <w:r>
        <w:rPr>
          <w:rFonts w:asciiTheme="minorBidi" w:eastAsia="Times New Roman" w:hAnsiTheme="minorBidi"/>
          <w:color w:val="32363A"/>
          <w:sz w:val="24"/>
          <w:szCs w:val="24"/>
          <w:shd w:val="clear" w:color="auto" w:fill="FFFFFF"/>
        </w:rPr>
        <w:t xml:space="preserve">less </w:t>
      </w:r>
      <w:r w:rsidRPr="002741EE">
        <w:rPr>
          <w:rFonts w:asciiTheme="minorBidi" w:eastAsia="Times New Roman" w:hAnsiTheme="minorBidi"/>
          <w:color w:val="32363A"/>
          <w:sz w:val="24"/>
          <w:szCs w:val="24"/>
          <w:shd w:val="clear" w:color="auto" w:fill="FFFFFF"/>
        </w:rPr>
        <w:t xml:space="preserve">in their responses compared to doctors and pharmacists. </w:t>
      </w:r>
    </w:p>
    <w:p w14:paraId="5CB146BB" w14:textId="213A8BF3" w:rsidR="00821B82" w:rsidRDefault="00821B82" w:rsidP="00821B82">
      <w:pPr>
        <w:spacing w:after="0" w:line="360" w:lineRule="auto"/>
        <w:jc w:val="both"/>
        <w:rPr>
          <w:rFonts w:asciiTheme="minorBidi" w:eastAsia="Times New Roman" w:hAnsiTheme="minorBidi"/>
          <w:color w:val="32363A"/>
          <w:sz w:val="24"/>
          <w:szCs w:val="24"/>
          <w:shd w:val="clear" w:color="auto" w:fill="FFFFFF"/>
        </w:rPr>
      </w:pPr>
      <w:r w:rsidRPr="002741EE">
        <w:rPr>
          <w:rFonts w:asciiTheme="minorBidi" w:eastAsia="Times New Roman" w:hAnsiTheme="minorBidi"/>
          <w:color w:val="32363A"/>
          <w:sz w:val="24"/>
          <w:szCs w:val="24"/>
          <w:shd w:val="clear" w:color="auto" w:fill="FFFFFF"/>
        </w:rPr>
        <w:t xml:space="preserve">There were also interesting results about pharmacists making doctors’ and nurses’ jobs easier, as is revealed in </w:t>
      </w:r>
      <w:r w:rsidRPr="001C27BB">
        <w:rPr>
          <w:rFonts w:asciiTheme="minorBidi" w:eastAsia="Times New Roman" w:hAnsiTheme="minorBidi"/>
          <w:color w:val="1F3864" w:themeColor="accent1" w:themeShade="80"/>
          <w:sz w:val="24"/>
          <w:szCs w:val="24"/>
          <w:shd w:val="clear" w:color="auto" w:fill="FFFFFF"/>
        </w:rPr>
        <w:fldChar w:fldCharType="begin"/>
      </w:r>
      <w:r w:rsidRPr="001C27BB">
        <w:rPr>
          <w:rFonts w:asciiTheme="minorBidi" w:eastAsia="Times New Roman" w:hAnsiTheme="minorBidi"/>
          <w:color w:val="1F3864" w:themeColor="accent1" w:themeShade="80"/>
          <w:sz w:val="24"/>
          <w:szCs w:val="24"/>
          <w:shd w:val="clear" w:color="auto" w:fill="FFFFFF"/>
        </w:rPr>
        <w:instrText xml:space="preserve"> REF _Ref122823405 \h  \* MERGEFORMAT </w:instrText>
      </w:r>
      <w:r w:rsidRPr="001C27BB">
        <w:rPr>
          <w:rFonts w:asciiTheme="minorBidi" w:eastAsia="Times New Roman" w:hAnsiTheme="minorBidi"/>
          <w:color w:val="1F3864" w:themeColor="accent1" w:themeShade="80"/>
          <w:sz w:val="24"/>
          <w:szCs w:val="24"/>
          <w:shd w:val="clear" w:color="auto" w:fill="FFFFFF"/>
        </w:rPr>
      </w:r>
      <w:r w:rsidRPr="001C27BB">
        <w:rPr>
          <w:rFonts w:asciiTheme="minorBidi" w:eastAsia="Times New Roman" w:hAnsiTheme="minorBidi"/>
          <w:color w:val="1F3864" w:themeColor="accent1" w:themeShade="80"/>
          <w:sz w:val="24"/>
          <w:szCs w:val="24"/>
          <w:shd w:val="clear" w:color="auto" w:fill="FFFFFF"/>
        </w:rPr>
        <w:fldChar w:fldCharType="separate"/>
      </w:r>
      <w:r w:rsidR="005162D4" w:rsidRPr="005162D4">
        <w:rPr>
          <w:rFonts w:asciiTheme="minorBidi" w:eastAsia="Times New Roman" w:hAnsiTheme="minorBidi"/>
          <w:color w:val="1F3864" w:themeColor="accent1" w:themeShade="80"/>
          <w:sz w:val="24"/>
          <w:szCs w:val="24"/>
          <w:shd w:val="clear" w:color="auto" w:fill="FFFFFF"/>
        </w:rPr>
        <w:t>Figure 10</w:t>
      </w:r>
      <w:r w:rsidRPr="001C27BB">
        <w:rPr>
          <w:rFonts w:asciiTheme="minorBidi" w:eastAsia="Times New Roman" w:hAnsiTheme="minorBidi"/>
          <w:color w:val="1F3864" w:themeColor="accent1" w:themeShade="80"/>
          <w:sz w:val="24"/>
          <w:szCs w:val="24"/>
          <w:shd w:val="clear" w:color="auto" w:fill="FFFFFF"/>
        </w:rPr>
        <w:fldChar w:fldCharType="end"/>
      </w:r>
      <w:r w:rsidRPr="002741EE">
        <w:rPr>
          <w:rFonts w:asciiTheme="minorBidi" w:eastAsia="Times New Roman" w:hAnsiTheme="minorBidi"/>
          <w:color w:val="32363A"/>
          <w:sz w:val="24"/>
          <w:szCs w:val="24"/>
          <w:shd w:val="clear" w:color="auto" w:fill="FFFFFF"/>
        </w:rPr>
        <w:t xml:space="preserve">, where it can be seen that more than  90% of doctors agreed or strongly agreed that having pharmacists work with them in the </w:t>
      </w:r>
      <w:r>
        <w:rPr>
          <w:rFonts w:asciiTheme="minorBidi" w:eastAsia="Times New Roman" w:hAnsiTheme="minorBidi"/>
          <w:color w:val="32363A"/>
          <w:sz w:val="24"/>
          <w:szCs w:val="24"/>
          <w:shd w:val="clear" w:color="auto" w:fill="FFFFFF"/>
        </w:rPr>
        <w:t>PHC</w:t>
      </w:r>
      <w:r w:rsidRPr="002741EE">
        <w:rPr>
          <w:rFonts w:asciiTheme="minorBidi" w:eastAsia="Times New Roman" w:hAnsiTheme="minorBidi"/>
          <w:color w:val="32363A"/>
          <w:sz w:val="24"/>
          <w:szCs w:val="24"/>
          <w:shd w:val="clear" w:color="auto" w:fill="FFFFFF"/>
        </w:rPr>
        <w:t xml:space="preserve"> makes their job easier by reducing their workload and decreasing the amount of time they spend addressing medication-related problems. Likewise, about 80% of nurses agreed or strongly agreed that pharmacists working in </w:t>
      </w:r>
      <w:r>
        <w:rPr>
          <w:rFonts w:asciiTheme="minorBidi" w:eastAsia="Times New Roman" w:hAnsiTheme="minorBidi"/>
          <w:color w:val="32363A"/>
          <w:sz w:val="24"/>
          <w:szCs w:val="24"/>
          <w:shd w:val="clear" w:color="auto" w:fill="FFFFFF"/>
        </w:rPr>
        <w:t>PHCs</w:t>
      </w:r>
      <w:r w:rsidRPr="002741EE">
        <w:rPr>
          <w:rFonts w:asciiTheme="minorBidi" w:eastAsia="Times New Roman" w:hAnsiTheme="minorBidi"/>
          <w:color w:val="32363A"/>
          <w:sz w:val="24"/>
          <w:szCs w:val="24"/>
          <w:shd w:val="clear" w:color="auto" w:fill="FFFFFF"/>
        </w:rPr>
        <w:t xml:space="preserve"> make their work easier for the same reasons.</w:t>
      </w:r>
    </w:p>
    <w:p w14:paraId="17F34D2D"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6BE477A2"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sectPr w:rsidR="00821B82" w:rsidSect="00282204">
          <w:pgSz w:w="12240" w:h="15840"/>
          <w:pgMar w:top="1440" w:right="1440" w:bottom="1440" w:left="1440" w:header="720" w:footer="720" w:gutter="0"/>
          <w:cols w:space="720"/>
          <w:docGrid w:linePitch="360"/>
        </w:sectPr>
      </w:pPr>
    </w:p>
    <w:p w14:paraId="36CE7C36" w14:textId="3C804151" w:rsidR="00821B82" w:rsidRDefault="00821B82" w:rsidP="00821B82">
      <w:pPr>
        <w:pStyle w:val="Caption"/>
      </w:pPr>
      <w:bookmarkStart w:id="210" w:name="_Ref122823051"/>
      <w:bookmarkStart w:id="211" w:name="_Toc153894573"/>
      <w:r>
        <w:t xml:space="preserve">Table </w:t>
      </w:r>
      <w:fldSimple w:instr=" SEQ Table \* ARABIC ">
        <w:r w:rsidR="009B31EB">
          <w:rPr>
            <w:noProof/>
          </w:rPr>
          <w:t>19</w:t>
        </w:r>
      </w:fldSimple>
      <w:bookmarkEnd w:id="210"/>
      <w:r>
        <w:t xml:space="preserve">: </w:t>
      </w:r>
      <w:r w:rsidRPr="004B3012">
        <w:t>Respondents</w:t>
      </w:r>
      <w:r>
        <w:t>’</w:t>
      </w:r>
      <w:r w:rsidRPr="004B3012">
        <w:t xml:space="preserve"> views according to profession; Views on Potential </w:t>
      </w:r>
      <w:r>
        <w:t xml:space="preserve">Impact of </w:t>
      </w:r>
      <w:r w:rsidRPr="004B3012">
        <w:t>Pharmacist Involvement in Diabetes Care</w:t>
      </w:r>
      <w:bookmarkEnd w:id="211"/>
    </w:p>
    <w:tbl>
      <w:tblPr>
        <w:tblW w:w="14670" w:type="dxa"/>
        <w:jc w:val="center"/>
        <w:tblLayout w:type="fixed"/>
        <w:tblLook w:val="04A0" w:firstRow="1" w:lastRow="0" w:firstColumn="1" w:lastColumn="0" w:noHBand="0" w:noVBand="1"/>
      </w:tblPr>
      <w:tblGrid>
        <w:gridCol w:w="5130"/>
        <w:gridCol w:w="1800"/>
        <w:gridCol w:w="1170"/>
        <w:gridCol w:w="1080"/>
        <w:gridCol w:w="1440"/>
        <w:gridCol w:w="810"/>
        <w:gridCol w:w="1260"/>
        <w:gridCol w:w="990"/>
        <w:gridCol w:w="990"/>
      </w:tblGrid>
      <w:tr w:rsidR="00821B82" w:rsidRPr="00267E1A" w14:paraId="5102D279" w14:textId="77777777" w:rsidTr="00282204">
        <w:trPr>
          <w:cantSplit/>
          <w:trHeight w:val="477"/>
          <w:tblHeader/>
          <w:jc w:val="center"/>
        </w:trPr>
        <w:tc>
          <w:tcPr>
            <w:tcW w:w="5130" w:type="dxa"/>
            <w:vMerge w:val="restart"/>
            <w:shd w:val="clear" w:color="000000" w:fill="F2F2F2"/>
            <w:vAlign w:val="center"/>
          </w:tcPr>
          <w:p w14:paraId="2A7FEEEC" w14:textId="77777777" w:rsidR="00821B82" w:rsidRPr="00267E1A" w:rsidRDefault="00821B82" w:rsidP="00282204">
            <w:pPr>
              <w:spacing w:after="0" w:line="240" w:lineRule="auto"/>
              <w:rPr>
                <w:rFonts w:eastAsia="Times New Roman" w:cstheme="minorHAnsi"/>
                <w:color w:val="000000"/>
              </w:rPr>
            </w:pPr>
            <w:r w:rsidRPr="00267E1A">
              <w:rPr>
                <w:rFonts w:eastAsia="Times New Roman" w:cstheme="minorHAnsi"/>
                <w:color w:val="000000"/>
              </w:rPr>
              <w:t>Statement</w:t>
            </w:r>
          </w:p>
        </w:tc>
        <w:tc>
          <w:tcPr>
            <w:tcW w:w="1800" w:type="dxa"/>
            <w:vMerge w:val="restart"/>
            <w:shd w:val="clear" w:color="000000" w:fill="F2F2F2"/>
            <w:vAlign w:val="center"/>
          </w:tcPr>
          <w:p w14:paraId="08FD9C45" w14:textId="77777777" w:rsidR="00821B82" w:rsidRPr="00267E1A" w:rsidRDefault="00821B82" w:rsidP="00282204">
            <w:pPr>
              <w:spacing w:after="0" w:line="240" w:lineRule="auto"/>
              <w:rPr>
                <w:rFonts w:eastAsia="Times New Roman" w:cstheme="minorHAnsi"/>
                <w:color w:val="000000"/>
              </w:rPr>
            </w:pPr>
            <w:r w:rsidRPr="00267E1A">
              <w:rPr>
                <w:rFonts w:eastAsia="Times New Roman" w:cstheme="minorHAnsi"/>
                <w:color w:val="000000"/>
              </w:rPr>
              <w:t>Profession</w:t>
            </w:r>
          </w:p>
        </w:tc>
        <w:tc>
          <w:tcPr>
            <w:tcW w:w="5760" w:type="dxa"/>
            <w:gridSpan w:val="5"/>
            <w:shd w:val="clear" w:color="000000" w:fill="F2F2F2"/>
            <w:vAlign w:val="center"/>
          </w:tcPr>
          <w:p w14:paraId="0460AFF4" w14:textId="77777777" w:rsidR="00821B82" w:rsidRPr="00267E1A" w:rsidRDefault="00821B82" w:rsidP="00282204">
            <w:pPr>
              <w:spacing w:after="0" w:line="240" w:lineRule="auto"/>
              <w:rPr>
                <w:rFonts w:eastAsia="Times New Roman" w:cstheme="minorHAnsi"/>
                <w:color w:val="000000"/>
              </w:rPr>
            </w:pPr>
            <w:r w:rsidRPr="008B36F9">
              <w:rPr>
                <w:rFonts w:eastAsia="Times New Roman" w:cstheme="minorHAnsi"/>
                <w:color w:val="000000"/>
                <w:sz w:val="20"/>
                <w:szCs w:val="20"/>
              </w:rPr>
              <w:t>Responses rate in % by Doctors=49, Pharmacists=30, and Nurses=27</w:t>
            </w:r>
          </w:p>
        </w:tc>
        <w:tc>
          <w:tcPr>
            <w:tcW w:w="990" w:type="dxa"/>
            <w:vMerge w:val="restart"/>
            <w:shd w:val="clear" w:color="000000" w:fill="F2F2F2"/>
            <w:vAlign w:val="center"/>
          </w:tcPr>
          <w:p w14:paraId="0C4ACF8D" w14:textId="77777777" w:rsidR="00821B82" w:rsidRPr="00267E1A" w:rsidRDefault="00821B82" w:rsidP="00282204">
            <w:pPr>
              <w:spacing w:after="0" w:line="240" w:lineRule="auto"/>
              <w:jc w:val="center"/>
              <w:rPr>
                <w:rFonts w:eastAsia="Times New Roman" w:cstheme="minorHAnsi"/>
                <w:color w:val="000000"/>
              </w:rPr>
            </w:pPr>
            <w:r w:rsidRPr="00267E1A">
              <w:rPr>
                <w:rFonts w:eastAsia="Times New Roman" w:cstheme="minorHAnsi"/>
                <w:color w:val="000000"/>
              </w:rPr>
              <w:t>Median (IQR)</w:t>
            </w:r>
          </w:p>
        </w:tc>
        <w:tc>
          <w:tcPr>
            <w:tcW w:w="990" w:type="dxa"/>
            <w:vMerge w:val="restart"/>
            <w:shd w:val="clear" w:color="000000" w:fill="F2F2F2"/>
            <w:vAlign w:val="center"/>
          </w:tcPr>
          <w:p w14:paraId="2D0918A2" w14:textId="77777777" w:rsidR="00821B82" w:rsidRPr="00267E1A" w:rsidRDefault="00821B82" w:rsidP="00282204">
            <w:pPr>
              <w:spacing w:after="0" w:line="240" w:lineRule="auto"/>
              <w:jc w:val="center"/>
              <w:rPr>
                <w:rFonts w:eastAsia="Times New Roman" w:cstheme="minorHAnsi"/>
                <w:color w:val="000000"/>
              </w:rPr>
            </w:pPr>
            <w:r>
              <w:rPr>
                <w:rFonts w:eastAsia="Times New Roman" w:cstheme="minorHAnsi"/>
                <w:color w:val="000000"/>
              </w:rPr>
              <w:t>Fisher’s Exact</w:t>
            </w:r>
          </w:p>
        </w:tc>
      </w:tr>
      <w:tr w:rsidR="00821B82" w:rsidRPr="001F6F94" w14:paraId="49885346" w14:textId="77777777" w:rsidTr="00282204">
        <w:trPr>
          <w:cantSplit/>
          <w:trHeight w:val="666"/>
          <w:tblHeader/>
          <w:jc w:val="center"/>
        </w:trPr>
        <w:tc>
          <w:tcPr>
            <w:tcW w:w="5130" w:type="dxa"/>
            <w:vMerge/>
            <w:tcBorders>
              <w:bottom w:val="single" w:sz="4" w:space="0" w:color="auto"/>
            </w:tcBorders>
            <w:shd w:val="clear" w:color="000000" w:fill="F2F2F2"/>
            <w:vAlign w:val="center"/>
            <w:hideMark/>
          </w:tcPr>
          <w:p w14:paraId="74513AB4" w14:textId="77777777" w:rsidR="00821B82" w:rsidRPr="001F6F94" w:rsidRDefault="00821B82" w:rsidP="00282204">
            <w:pPr>
              <w:spacing w:after="0" w:line="240" w:lineRule="auto"/>
              <w:rPr>
                <w:rFonts w:eastAsia="Times New Roman" w:cstheme="minorHAnsi"/>
                <w:color w:val="000000"/>
              </w:rPr>
            </w:pPr>
          </w:p>
        </w:tc>
        <w:tc>
          <w:tcPr>
            <w:tcW w:w="1800" w:type="dxa"/>
            <w:vMerge/>
            <w:tcBorders>
              <w:bottom w:val="single" w:sz="4" w:space="0" w:color="auto"/>
            </w:tcBorders>
            <w:shd w:val="clear" w:color="000000" w:fill="F2F2F2"/>
            <w:vAlign w:val="center"/>
            <w:hideMark/>
          </w:tcPr>
          <w:p w14:paraId="6B4607EB" w14:textId="77777777" w:rsidR="00821B82" w:rsidRPr="001F6F94" w:rsidRDefault="00821B82" w:rsidP="00282204">
            <w:pPr>
              <w:spacing w:after="0" w:line="240" w:lineRule="auto"/>
              <w:rPr>
                <w:rFonts w:eastAsia="Times New Roman" w:cstheme="minorHAnsi"/>
                <w:color w:val="000000"/>
              </w:rPr>
            </w:pPr>
          </w:p>
        </w:tc>
        <w:tc>
          <w:tcPr>
            <w:tcW w:w="1170" w:type="dxa"/>
            <w:tcBorders>
              <w:bottom w:val="single" w:sz="4" w:space="0" w:color="auto"/>
            </w:tcBorders>
            <w:shd w:val="clear" w:color="000000" w:fill="F2F2F2"/>
            <w:vAlign w:val="center"/>
            <w:hideMark/>
          </w:tcPr>
          <w:p w14:paraId="78AABE60" w14:textId="77777777" w:rsidR="00821B82" w:rsidRPr="001F6F94" w:rsidRDefault="00821B82" w:rsidP="00282204">
            <w:pPr>
              <w:spacing w:after="0" w:line="240" w:lineRule="auto"/>
              <w:jc w:val="center"/>
              <w:rPr>
                <w:rFonts w:eastAsia="Times New Roman" w:cstheme="minorHAnsi"/>
                <w:color w:val="000000"/>
              </w:rPr>
            </w:pPr>
            <w:r w:rsidRPr="001F6F94">
              <w:rPr>
                <w:rFonts w:eastAsia="Times New Roman" w:cstheme="minorHAnsi"/>
                <w:color w:val="000000"/>
              </w:rPr>
              <w:t>Strongly disagree</w:t>
            </w:r>
          </w:p>
        </w:tc>
        <w:tc>
          <w:tcPr>
            <w:tcW w:w="1080" w:type="dxa"/>
            <w:tcBorders>
              <w:bottom w:val="single" w:sz="4" w:space="0" w:color="auto"/>
            </w:tcBorders>
            <w:shd w:val="clear" w:color="000000" w:fill="F2F2F2"/>
            <w:vAlign w:val="center"/>
            <w:hideMark/>
          </w:tcPr>
          <w:p w14:paraId="49565A64" w14:textId="77777777" w:rsidR="00821B82" w:rsidRPr="001F6F94" w:rsidRDefault="00821B82" w:rsidP="00282204">
            <w:pPr>
              <w:spacing w:after="0" w:line="240" w:lineRule="auto"/>
              <w:jc w:val="center"/>
              <w:rPr>
                <w:rFonts w:eastAsia="Times New Roman" w:cstheme="minorHAnsi"/>
                <w:color w:val="000000"/>
              </w:rPr>
            </w:pPr>
            <w:r w:rsidRPr="001F6F94">
              <w:rPr>
                <w:rFonts w:eastAsia="Times New Roman" w:cstheme="minorHAnsi"/>
                <w:color w:val="000000"/>
              </w:rPr>
              <w:t>Disagree</w:t>
            </w:r>
          </w:p>
        </w:tc>
        <w:tc>
          <w:tcPr>
            <w:tcW w:w="1440" w:type="dxa"/>
            <w:tcBorders>
              <w:bottom w:val="single" w:sz="4" w:space="0" w:color="auto"/>
            </w:tcBorders>
            <w:shd w:val="clear" w:color="000000" w:fill="F2F2F2"/>
            <w:vAlign w:val="center"/>
            <w:hideMark/>
          </w:tcPr>
          <w:p w14:paraId="10D68F5D" w14:textId="77777777" w:rsidR="00821B82" w:rsidRDefault="00821B82" w:rsidP="00282204">
            <w:pPr>
              <w:spacing w:after="0" w:line="240" w:lineRule="auto"/>
              <w:jc w:val="center"/>
              <w:rPr>
                <w:rFonts w:eastAsia="Times New Roman" w:cstheme="minorHAnsi"/>
                <w:color w:val="000000"/>
              </w:rPr>
            </w:pPr>
            <w:r w:rsidRPr="001F6F94">
              <w:rPr>
                <w:rFonts w:eastAsia="Times New Roman" w:cstheme="minorHAnsi"/>
                <w:color w:val="000000"/>
              </w:rPr>
              <w:t>Neither agree nor disagree</w:t>
            </w:r>
          </w:p>
          <w:p w14:paraId="12469EE1" w14:textId="77777777" w:rsidR="00821B82" w:rsidRPr="001F6F94" w:rsidRDefault="00821B82" w:rsidP="00282204">
            <w:pPr>
              <w:spacing w:after="0" w:line="240" w:lineRule="auto"/>
              <w:jc w:val="center"/>
              <w:rPr>
                <w:rFonts w:eastAsia="Times New Roman" w:cstheme="minorHAnsi"/>
                <w:color w:val="000000"/>
              </w:rPr>
            </w:pPr>
          </w:p>
        </w:tc>
        <w:tc>
          <w:tcPr>
            <w:tcW w:w="810" w:type="dxa"/>
            <w:tcBorders>
              <w:bottom w:val="single" w:sz="4" w:space="0" w:color="auto"/>
            </w:tcBorders>
            <w:shd w:val="clear" w:color="000000" w:fill="F2F2F2"/>
            <w:vAlign w:val="center"/>
            <w:hideMark/>
          </w:tcPr>
          <w:p w14:paraId="3A49EB24" w14:textId="77777777" w:rsidR="00821B82" w:rsidRPr="001F6F94" w:rsidRDefault="00821B82" w:rsidP="00282204">
            <w:pPr>
              <w:spacing w:after="0" w:line="240" w:lineRule="auto"/>
              <w:jc w:val="center"/>
              <w:rPr>
                <w:rFonts w:eastAsia="Times New Roman" w:cstheme="minorHAnsi"/>
                <w:color w:val="000000"/>
              </w:rPr>
            </w:pPr>
            <w:r w:rsidRPr="001F6F94">
              <w:rPr>
                <w:rFonts w:eastAsia="Times New Roman" w:cstheme="minorHAnsi"/>
                <w:color w:val="000000"/>
              </w:rPr>
              <w:t>Agree</w:t>
            </w:r>
          </w:p>
        </w:tc>
        <w:tc>
          <w:tcPr>
            <w:tcW w:w="1260" w:type="dxa"/>
            <w:tcBorders>
              <w:bottom w:val="single" w:sz="4" w:space="0" w:color="auto"/>
            </w:tcBorders>
            <w:shd w:val="clear" w:color="000000" w:fill="F2F2F2"/>
            <w:vAlign w:val="center"/>
            <w:hideMark/>
          </w:tcPr>
          <w:p w14:paraId="40CE8FE8" w14:textId="77777777" w:rsidR="00821B82" w:rsidRPr="001F6F94" w:rsidRDefault="00821B82" w:rsidP="00282204">
            <w:pPr>
              <w:spacing w:after="0" w:line="240" w:lineRule="auto"/>
              <w:jc w:val="center"/>
              <w:rPr>
                <w:rFonts w:eastAsia="Times New Roman" w:cstheme="minorHAnsi"/>
                <w:color w:val="000000"/>
              </w:rPr>
            </w:pPr>
            <w:r w:rsidRPr="001F6F94">
              <w:rPr>
                <w:rFonts w:eastAsia="Times New Roman" w:cstheme="minorHAnsi"/>
                <w:color w:val="000000"/>
              </w:rPr>
              <w:t>Strongly agree</w:t>
            </w:r>
          </w:p>
        </w:tc>
        <w:tc>
          <w:tcPr>
            <w:tcW w:w="990" w:type="dxa"/>
            <w:vMerge/>
            <w:tcBorders>
              <w:bottom w:val="single" w:sz="4" w:space="0" w:color="auto"/>
            </w:tcBorders>
            <w:shd w:val="clear" w:color="000000" w:fill="F2F2F2"/>
            <w:vAlign w:val="center"/>
            <w:hideMark/>
          </w:tcPr>
          <w:p w14:paraId="4F738A3A" w14:textId="77777777" w:rsidR="00821B82" w:rsidRPr="001F6F94" w:rsidRDefault="00821B82" w:rsidP="00282204">
            <w:pPr>
              <w:spacing w:after="0" w:line="240" w:lineRule="auto"/>
              <w:jc w:val="center"/>
              <w:rPr>
                <w:rFonts w:eastAsia="Times New Roman" w:cstheme="minorHAnsi"/>
                <w:color w:val="000000"/>
              </w:rPr>
            </w:pPr>
          </w:p>
        </w:tc>
        <w:tc>
          <w:tcPr>
            <w:tcW w:w="990" w:type="dxa"/>
            <w:vMerge/>
            <w:tcBorders>
              <w:bottom w:val="single" w:sz="4" w:space="0" w:color="auto"/>
            </w:tcBorders>
            <w:shd w:val="clear" w:color="000000" w:fill="F2F2F2"/>
            <w:vAlign w:val="center"/>
          </w:tcPr>
          <w:p w14:paraId="1E8AAFD5" w14:textId="77777777" w:rsidR="00821B82" w:rsidRPr="001F6F94" w:rsidRDefault="00821B82" w:rsidP="00282204">
            <w:pPr>
              <w:spacing w:after="0" w:line="240" w:lineRule="auto"/>
              <w:jc w:val="center"/>
              <w:rPr>
                <w:rFonts w:eastAsia="Times New Roman" w:cstheme="minorHAnsi"/>
                <w:color w:val="000000"/>
              </w:rPr>
            </w:pPr>
          </w:p>
        </w:tc>
      </w:tr>
      <w:tr w:rsidR="00821B82" w:rsidRPr="001F0CCE" w14:paraId="6F08C481" w14:textId="77777777" w:rsidTr="00282204">
        <w:trPr>
          <w:trHeight w:val="89"/>
          <w:jc w:val="center"/>
        </w:trPr>
        <w:tc>
          <w:tcPr>
            <w:tcW w:w="5130" w:type="dxa"/>
            <w:vMerge w:val="restart"/>
            <w:tcBorders>
              <w:top w:val="single" w:sz="4" w:space="0" w:color="auto"/>
            </w:tcBorders>
            <w:shd w:val="clear" w:color="auto" w:fill="auto"/>
            <w:vAlign w:val="center"/>
            <w:hideMark/>
          </w:tcPr>
          <w:p w14:paraId="0DEF768E" w14:textId="77777777" w:rsidR="00821B82"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can reduce medication errors in practice</w:t>
            </w:r>
          </w:p>
          <w:p w14:paraId="36A3DC0F" w14:textId="77777777" w:rsidR="00821B82" w:rsidRPr="001F0CCE" w:rsidRDefault="00821B82" w:rsidP="00282204">
            <w:pPr>
              <w:spacing w:after="0" w:line="240" w:lineRule="auto"/>
              <w:rPr>
                <w:rFonts w:eastAsia="Times New Roman" w:cstheme="minorHAnsi"/>
                <w:color w:val="264A60"/>
              </w:rPr>
            </w:pPr>
          </w:p>
        </w:tc>
        <w:tc>
          <w:tcPr>
            <w:tcW w:w="1800" w:type="dxa"/>
            <w:tcBorders>
              <w:top w:val="single" w:sz="4" w:space="0" w:color="auto"/>
            </w:tcBorders>
            <w:shd w:val="clear" w:color="auto" w:fill="auto"/>
            <w:vAlign w:val="center"/>
            <w:hideMark/>
          </w:tcPr>
          <w:p w14:paraId="473E0750"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31AB561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tcBorders>
              <w:top w:val="single" w:sz="4" w:space="0" w:color="auto"/>
            </w:tcBorders>
            <w:shd w:val="clear" w:color="000000" w:fill="FFFFFF"/>
            <w:vAlign w:val="center"/>
            <w:hideMark/>
          </w:tcPr>
          <w:p w14:paraId="1511810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top w:val="single" w:sz="4" w:space="0" w:color="auto"/>
            </w:tcBorders>
            <w:shd w:val="clear" w:color="000000" w:fill="FFFFFF"/>
            <w:vAlign w:val="center"/>
            <w:hideMark/>
          </w:tcPr>
          <w:p w14:paraId="5B8F9B8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w:t>
            </w:r>
          </w:p>
        </w:tc>
        <w:tc>
          <w:tcPr>
            <w:tcW w:w="810" w:type="dxa"/>
            <w:tcBorders>
              <w:top w:val="single" w:sz="4" w:space="0" w:color="auto"/>
            </w:tcBorders>
            <w:shd w:val="clear" w:color="000000" w:fill="FFFFFF"/>
            <w:vAlign w:val="center"/>
            <w:hideMark/>
          </w:tcPr>
          <w:p w14:paraId="2F4E1D1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31</w:t>
            </w:r>
          </w:p>
        </w:tc>
        <w:tc>
          <w:tcPr>
            <w:tcW w:w="1260" w:type="dxa"/>
            <w:tcBorders>
              <w:top w:val="single" w:sz="4" w:space="0" w:color="auto"/>
            </w:tcBorders>
            <w:shd w:val="clear" w:color="000000" w:fill="FFFFFF"/>
            <w:vAlign w:val="center"/>
            <w:hideMark/>
          </w:tcPr>
          <w:p w14:paraId="62BE40F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67</w:t>
            </w:r>
          </w:p>
        </w:tc>
        <w:tc>
          <w:tcPr>
            <w:tcW w:w="990" w:type="dxa"/>
            <w:tcBorders>
              <w:top w:val="single" w:sz="4" w:space="0" w:color="auto"/>
            </w:tcBorders>
            <w:shd w:val="clear" w:color="000000" w:fill="FFFFFF"/>
            <w:vAlign w:val="center"/>
            <w:hideMark/>
          </w:tcPr>
          <w:p w14:paraId="37CFF0A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val="restart"/>
            <w:tcBorders>
              <w:top w:val="single" w:sz="4" w:space="0" w:color="auto"/>
            </w:tcBorders>
            <w:shd w:val="clear" w:color="auto" w:fill="auto"/>
            <w:vAlign w:val="center"/>
            <w:hideMark/>
          </w:tcPr>
          <w:p w14:paraId="3F4FAF66"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0.00*</w:t>
            </w:r>
          </w:p>
        </w:tc>
      </w:tr>
      <w:tr w:rsidR="00821B82" w:rsidRPr="001F0CCE" w14:paraId="224EDA12" w14:textId="77777777" w:rsidTr="00282204">
        <w:trPr>
          <w:trHeight w:val="297"/>
          <w:jc w:val="center"/>
        </w:trPr>
        <w:tc>
          <w:tcPr>
            <w:tcW w:w="5130" w:type="dxa"/>
            <w:vMerge/>
            <w:shd w:val="clear" w:color="auto" w:fill="auto"/>
            <w:vAlign w:val="center"/>
            <w:hideMark/>
          </w:tcPr>
          <w:p w14:paraId="3E676AA5"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2073176E"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7A56A87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shd w:val="clear" w:color="000000" w:fill="FFFFFF"/>
            <w:vAlign w:val="center"/>
            <w:hideMark/>
          </w:tcPr>
          <w:p w14:paraId="698A687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shd w:val="clear" w:color="000000" w:fill="FFFFFF"/>
            <w:vAlign w:val="center"/>
            <w:hideMark/>
          </w:tcPr>
          <w:p w14:paraId="7DD7CD0A"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810" w:type="dxa"/>
            <w:shd w:val="clear" w:color="000000" w:fill="FFFFFF"/>
            <w:vAlign w:val="center"/>
            <w:hideMark/>
          </w:tcPr>
          <w:p w14:paraId="5AE1F0F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43</w:t>
            </w:r>
          </w:p>
        </w:tc>
        <w:tc>
          <w:tcPr>
            <w:tcW w:w="1260" w:type="dxa"/>
            <w:shd w:val="clear" w:color="000000" w:fill="FFFFFF"/>
            <w:vAlign w:val="center"/>
            <w:hideMark/>
          </w:tcPr>
          <w:p w14:paraId="28E6292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57</w:t>
            </w:r>
          </w:p>
        </w:tc>
        <w:tc>
          <w:tcPr>
            <w:tcW w:w="990" w:type="dxa"/>
            <w:shd w:val="clear" w:color="000000" w:fill="FFFFFF"/>
            <w:vAlign w:val="center"/>
            <w:hideMark/>
          </w:tcPr>
          <w:p w14:paraId="20C53C1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shd w:val="clear" w:color="auto" w:fill="auto"/>
            <w:vAlign w:val="center"/>
            <w:hideMark/>
          </w:tcPr>
          <w:p w14:paraId="49A03645"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3FFF2DE9" w14:textId="77777777" w:rsidTr="00282204">
        <w:trPr>
          <w:trHeight w:val="216"/>
          <w:jc w:val="center"/>
        </w:trPr>
        <w:tc>
          <w:tcPr>
            <w:tcW w:w="5130" w:type="dxa"/>
            <w:vMerge/>
            <w:tcBorders>
              <w:bottom w:val="single" w:sz="4" w:space="0" w:color="auto"/>
            </w:tcBorders>
            <w:shd w:val="clear" w:color="auto" w:fill="auto"/>
            <w:vAlign w:val="center"/>
            <w:hideMark/>
          </w:tcPr>
          <w:p w14:paraId="4610B8AF"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0A89EABE"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67FF345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4487EC1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w:t>
            </w:r>
          </w:p>
        </w:tc>
        <w:tc>
          <w:tcPr>
            <w:tcW w:w="1440" w:type="dxa"/>
            <w:tcBorders>
              <w:bottom w:val="single" w:sz="4" w:space="0" w:color="auto"/>
            </w:tcBorders>
            <w:shd w:val="clear" w:color="000000" w:fill="FFFFFF"/>
            <w:vAlign w:val="center"/>
            <w:hideMark/>
          </w:tcPr>
          <w:p w14:paraId="2D78D2D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tcBorders>
              <w:bottom w:val="single" w:sz="4" w:space="0" w:color="auto"/>
            </w:tcBorders>
            <w:shd w:val="clear" w:color="000000" w:fill="FFFFFF"/>
            <w:vAlign w:val="center"/>
            <w:hideMark/>
          </w:tcPr>
          <w:p w14:paraId="0F3D93E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59</w:t>
            </w:r>
          </w:p>
        </w:tc>
        <w:tc>
          <w:tcPr>
            <w:tcW w:w="1260" w:type="dxa"/>
            <w:tcBorders>
              <w:bottom w:val="single" w:sz="4" w:space="0" w:color="auto"/>
            </w:tcBorders>
            <w:shd w:val="clear" w:color="000000" w:fill="FFFFFF"/>
            <w:vAlign w:val="center"/>
            <w:hideMark/>
          </w:tcPr>
          <w:p w14:paraId="486063F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22</w:t>
            </w:r>
          </w:p>
        </w:tc>
        <w:tc>
          <w:tcPr>
            <w:tcW w:w="990" w:type="dxa"/>
            <w:tcBorders>
              <w:bottom w:val="single" w:sz="4" w:space="0" w:color="auto"/>
            </w:tcBorders>
            <w:shd w:val="clear" w:color="000000" w:fill="FFFFFF"/>
            <w:vAlign w:val="center"/>
            <w:hideMark/>
          </w:tcPr>
          <w:p w14:paraId="34E8643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52591ECB"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0DFF7ADE" w14:textId="77777777" w:rsidTr="00282204">
        <w:trPr>
          <w:trHeight w:val="85"/>
          <w:jc w:val="center"/>
        </w:trPr>
        <w:tc>
          <w:tcPr>
            <w:tcW w:w="5130" w:type="dxa"/>
            <w:vMerge w:val="restart"/>
            <w:tcBorders>
              <w:top w:val="single" w:sz="4" w:space="0" w:color="auto"/>
            </w:tcBorders>
            <w:shd w:val="clear" w:color="auto" w:fill="auto"/>
            <w:vAlign w:val="center"/>
            <w:hideMark/>
          </w:tcPr>
          <w:p w14:paraId="3B910728" w14:textId="77777777" w:rsidR="00821B82"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can help doctors to prescribe safely</w:t>
            </w:r>
          </w:p>
          <w:p w14:paraId="45CC5642" w14:textId="77777777" w:rsidR="00821B82" w:rsidRPr="001F0CCE" w:rsidRDefault="00821B82" w:rsidP="00282204">
            <w:pPr>
              <w:spacing w:after="0" w:line="240" w:lineRule="auto"/>
              <w:rPr>
                <w:rFonts w:eastAsia="Times New Roman" w:cstheme="minorHAnsi"/>
                <w:color w:val="264A60"/>
              </w:rPr>
            </w:pPr>
          </w:p>
        </w:tc>
        <w:tc>
          <w:tcPr>
            <w:tcW w:w="1800" w:type="dxa"/>
            <w:tcBorders>
              <w:top w:val="single" w:sz="4" w:space="0" w:color="auto"/>
            </w:tcBorders>
            <w:shd w:val="clear" w:color="auto" w:fill="auto"/>
            <w:vAlign w:val="center"/>
            <w:hideMark/>
          </w:tcPr>
          <w:p w14:paraId="4B15FBD1"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256A529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Pr>
                <w:rFonts w:asciiTheme="minorBidi" w:eastAsia="Times New Roman" w:hAnsiTheme="minorBidi"/>
                <w:color w:val="010205"/>
                <w:sz w:val="18"/>
                <w:szCs w:val="18"/>
              </w:rPr>
              <w:t>0</w:t>
            </w:r>
          </w:p>
        </w:tc>
        <w:tc>
          <w:tcPr>
            <w:tcW w:w="1080" w:type="dxa"/>
            <w:tcBorders>
              <w:top w:val="single" w:sz="4" w:space="0" w:color="auto"/>
            </w:tcBorders>
            <w:shd w:val="clear" w:color="000000" w:fill="FFFFFF"/>
            <w:vAlign w:val="center"/>
            <w:hideMark/>
          </w:tcPr>
          <w:p w14:paraId="7AEF90F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Pr>
                <w:rFonts w:asciiTheme="minorBidi" w:eastAsia="Times New Roman" w:hAnsiTheme="minorBidi"/>
                <w:color w:val="010205"/>
                <w:sz w:val="18"/>
                <w:szCs w:val="18"/>
              </w:rPr>
              <w:t>0</w:t>
            </w:r>
          </w:p>
        </w:tc>
        <w:tc>
          <w:tcPr>
            <w:tcW w:w="1440" w:type="dxa"/>
            <w:tcBorders>
              <w:top w:val="single" w:sz="4" w:space="0" w:color="auto"/>
            </w:tcBorders>
            <w:shd w:val="clear" w:color="000000" w:fill="FFFFFF"/>
            <w:vAlign w:val="center"/>
            <w:hideMark/>
          </w:tcPr>
          <w:p w14:paraId="53996EA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Pr>
                <w:rFonts w:asciiTheme="minorBidi" w:eastAsia="Times New Roman" w:hAnsiTheme="minorBidi"/>
                <w:color w:val="010205"/>
                <w:sz w:val="18"/>
                <w:szCs w:val="18"/>
              </w:rPr>
              <w:t>8</w:t>
            </w:r>
          </w:p>
        </w:tc>
        <w:tc>
          <w:tcPr>
            <w:tcW w:w="810" w:type="dxa"/>
            <w:tcBorders>
              <w:top w:val="single" w:sz="4" w:space="0" w:color="auto"/>
            </w:tcBorders>
            <w:shd w:val="clear" w:color="000000" w:fill="FFFFFF"/>
            <w:vAlign w:val="center"/>
            <w:hideMark/>
          </w:tcPr>
          <w:p w14:paraId="4037FB5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Pr>
                <w:rFonts w:asciiTheme="minorBidi" w:eastAsia="Times New Roman" w:hAnsiTheme="minorBidi"/>
                <w:color w:val="010205"/>
                <w:sz w:val="18"/>
                <w:szCs w:val="18"/>
              </w:rPr>
              <w:t>31</w:t>
            </w:r>
          </w:p>
        </w:tc>
        <w:tc>
          <w:tcPr>
            <w:tcW w:w="1260" w:type="dxa"/>
            <w:tcBorders>
              <w:top w:val="single" w:sz="4" w:space="0" w:color="auto"/>
            </w:tcBorders>
            <w:shd w:val="clear" w:color="000000" w:fill="FFFFFF"/>
            <w:vAlign w:val="center"/>
            <w:hideMark/>
          </w:tcPr>
          <w:p w14:paraId="3EB1917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w:t>
            </w:r>
            <w:r>
              <w:rPr>
                <w:rFonts w:asciiTheme="minorBidi" w:eastAsia="Times New Roman" w:hAnsiTheme="minorBidi"/>
                <w:color w:val="010205"/>
                <w:sz w:val="18"/>
                <w:szCs w:val="18"/>
              </w:rPr>
              <w:t>1</w:t>
            </w:r>
          </w:p>
        </w:tc>
        <w:tc>
          <w:tcPr>
            <w:tcW w:w="990" w:type="dxa"/>
            <w:tcBorders>
              <w:top w:val="single" w:sz="4" w:space="0" w:color="auto"/>
            </w:tcBorders>
            <w:shd w:val="clear" w:color="000000" w:fill="FFFFFF"/>
            <w:vAlign w:val="center"/>
            <w:hideMark/>
          </w:tcPr>
          <w:p w14:paraId="3D276FA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val="restart"/>
            <w:tcBorders>
              <w:top w:val="single" w:sz="4" w:space="0" w:color="auto"/>
            </w:tcBorders>
            <w:shd w:val="clear" w:color="auto" w:fill="auto"/>
            <w:vAlign w:val="center"/>
            <w:hideMark/>
          </w:tcPr>
          <w:p w14:paraId="2CF3548D"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0.00*</w:t>
            </w:r>
          </w:p>
        </w:tc>
      </w:tr>
      <w:tr w:rsidR="00821B82" w:rsidRPr="001F0CCE" w14:paraId="24FEACBA" w14:textId="77777777" w:rsidTr="00282204">
        <w:trPr>
          <w:trHeight w:val="225"/>
          <w:jc w:val="center"/>
        </w:trPr>
        <w:tc>
          <w:tcPr>
            <w:tcW w:w="5130" w:type="dxa"/>
            <w:vMerge/>
            <w:shd w:val="clear" w:color="auto" w:fill="auto"/>
            <w:vAlign w:val="center"/>
            <w:hideMark/>
          </w:tcPr>
          <w:p w14:paraId="1D1961BB"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71C6F68E"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78EDAB8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shd w:val="clear" w:color="000000" w:fill="FFFFFF"/>
            <w:vAlign w:val="center"/>
            <w:hideMark/>
          </w:tcPr>
          <w:p w14:paraId="50DB5E1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Pr>
                <w:rFonts w:asciiTheme="minorBidi" w:eastAsia="Times New Roman" w:hAnsiTheme="minorBidi"/>
                <w:color w:val="010205"/>
                <w:sz w:val="18"/>
                <w:szCs w:val="18"/>
              </w:rPr>
              <w:t>0</w:t>
            </w:r>
          </w:p>
        </w:tc>
        <w:tc>
          <w:tcPr>
            <w:tcW w:w="1440" w:type="dxa"/>
            <w:shd w:val="clear" w:color="000000" w:fill="FFFFFF"/>
            <w:vAlign w:val="center"/>
            <w:hideMark/>
          </w:tcPr>
          <w:p w14:paraId="0AB5B42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Pr>
                <w:rFonts w:asciiTheme="minorBidi" w:eastAsia="Times New Roman" w:hAnsiTheme="minorBidi"/>
                <w:color w:val="010205"/>
                <w:sz w:val="18"/>
                <w:szCs w:val="18"/>
              </w:rPr>
              <w:t>3</w:t>
            </w:r>
          </w:p>
        </w:tc>
        <w:tc>
          <w:tcPr>
            <w:tcW w:w="810" w:type="dxa"/>
            <w:shd w:val="clear" w:color="000000" w:fill="FFFFFF"/>
            <w:vAlign w:val="center"/>
            <w:hideMark/>
          </w:tcPr>
          <w:p w14:paraId="77CC480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40</w:t>
            </w:r>
          </w:p>
        </w:tc>
        <w:tc>
          <w:tcPr>
            <w:tcW w:w="1260" w:type="dxa"/>
            <w:shd w:val="clear" w:color="000000" w:fill="FFFFFF"/>
            <w:vAlign w:val="center"/>
            <w:hideMark/>
          </w:tcPr>
          <w:p w14:paraId="72F41FEA"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Pr>
                <w:rFonts w:asciiTheme="minorBidi" w:eastAsia="Times New Roman" w:hAnsiTheme="minorBidi"/>
                <w:color w:val="010205"/>
                <w:sz w:val="18"/>
                <w:szCs w:val="18"/>
              </w:rPr>
              <w:t>57</w:t>
            </w:r>
          </w:p>
        </w:tc>
        <w:tc>
          <w:tcPr>
            <w:tcW w:w="990" w:type="dxa"/>
            <w:shd w:val="clear" w:color="000000" w:fill="FFFFFF"/>
            <w:vAlign w:val="center"/>
            <w:hideMark/>
          </w:tcPr>
          <w:p w14:paraId="1A79391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shd w:val="clear" w:color="auto" w:fill="auto"/>
            <w:vAlign w:val="center"/>
            <w:hideMark/>
          </w:tcPr>
          <w:p w14:paraId="378FDC2E"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44842AD9" w14:textId="77777777" w:rsidTr="00282204">
        <w:trPr>
          <w:trHeight w:val="207"/>
          <w:jc w:val="center"/>
        </w:trPr>
        <w:tc>
          <w:tcPr>
            <w:tcW w:w="5130" w:type="dxa"/>
            <w:vMerge/>
            <w:tcBorders>
              <w:bottom w:val="single" w:sz="4" w:space="0" w:color="auto"/>
            </w:tcBorders>
            <w:shd w:val="clear" w:color="auto" w:fill="auto"/>
            <w:vAlign w:val="center"/>
            <w:hideMark/>
          </w:tcPr>
          <w:p w14:paraId="59351125"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63DF8D69"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1240CE3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5B34AC8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0ECAF9D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Pr>
                <w:rFonts w:asciiTheme="minorBidi" w:eastAsia="Times New Roman" w:hAnsiTheme="minorBidi"/>
                <w:color w:val="010205"/>
                <w:sz w:val="18"/>
                <w:szCs w:val="18"/>
              </w:rPr>
              <w:t>7</w:t>
            </w:r>
          </w:p>
        </w:tc>
        <w:tc>
          <w:tcPr>
            <w:tcW w:w="810" w:type="dxa"/>
            <w:tcBorders>
              <w:bottom w:val="single" w:sz="4" w:space="0" w:color="auto"/>
            </w:tcBorders>
            <w:shd w:val="clear" w:color="000000" w:fill="FFFFFF"/>
            <w:vAlign w:val="center"/>
            <w:hideMark/>
          </w:tcPr>
          <w:p w14:paraId="1BDF047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Pr>
                <w:rFonts w:asciiTheme="minorBidi" w:eastAsia="Times New Roman" w:hAnsiTheme="minorBidi"/>
                <w:color w:val="010205"/>
                <w:sz w:val="18"/>
                <w:szCs w:val="18"/>
              </w:rPr>
              <w:t>74</w:t>
            </w:r>
          </w:p>
        </w:tc>
        <w:tc>
          <w:tcPr>
            <w:tcW w:w="1260" w:type="dxa"/>
            <w:tcBorders>
              <w:bottom w:val="single" w:sz="4" w:space="0" w:color="auto"/>
            </w:tcBorders>
            <w:shd w:val="clear" w:color="000000" w:fill="FFFFFF"/>
            <w:vAlign w:val="center"/>
            <w:hideMark/>
          </w:tcPr>
          <w:p w14:paraId="55BC44B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11</w:t>
            </w:r>
          </w:p>
        </w:tc>
        <w:tc>
          <w:tcPr>
            <w:tcW w:w="990" w:type="dxa"/>
            <w:tcBorders>
              <w:bottom w:val="single" w:sz="4" w:space="0" w:color="auto"/>
            </w:tcBorders>
            <w:shd w:val="clear" w:color="000000" w:fill="FFFFFF"/>
            <w:vAlign w:val="center"/>
            <w:hideMark/>
          </w:tcPr>
          <w:p w14:paraId="32A6073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26707D50"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000D92CB" w14:textId="77777777" w:rsidTr="00282204">
        <w:trPr>
          <w:trHeight w:val="306"/>
          <w:jc w:val="center"/>
        </w:trPr>
        <w:tc>
          <w:tcPr>
            <w:tcW w:w="5130" w:type="dxa"/>
            <w:vMerge w:val="restart"/>
            <w:tcBorders>
              <w:top w:val="single" w:sz="4" w:space="0" w:color="auto"/>
            </w:tcBorders>
            <w:shd w:val="clear" w:color="auto" w:fill="auto"/>
            <w:vAlign w:val="center"/>
            <w:hideMark/>
          </w:tcPr>
          <w:p w14:paraId="1D6C96EF" w14:textId="77777777" w:rsidR="00821B82"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can improve prescribing practice via discussions with healthcare providers and/or providing education sessions to improve prescribing</w:t>
            </w:r>
          </w:p>
          <w:p w14:paraId="69E708F7" w14:textId="77777777" w:rsidR="00821B82" w:rsidRPr="001F0CCE" w:rsidRDefault="00821B82" w:rsidP="00282204">
            <w:pPr>
              <w:spacing w:after="0" w:line="240" w:lineRule="auto"/>
              <w:rPr>
                <w:rFonts w:eastAsia="Times New Roman" w:cstheme="minorHAnsi"/>
                <w:color w:val="264A60"/>
              </w:rPr>
            </w:pPr>
          </w:p>
        </w:tc>
        <w:tc>
          <w:tcPr>
            <w:tcW w:w="1800" w:type="dxa"/>
            <w:tcBorders>
              <w:top w:val="single" w:sz="4" w:space="0" w:color="auto"/>
            </w:tcBorders>
            <w:shd w:val="clear" w:color="auto" w:fill="auto"/>
            <w:vAlign w:val="center"/>
            <w:hideMark/>
          </w:tcPr>
          <w:p w14:paraId="5F4FEA22"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17D6049A"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tcBorders>
              <w:top w:val="single" w:sz="4" w:space="0" w:color="auto"/>
            </w:tcBorders>
            <w:shd w:val="clear" w:color="000000" w:fill="FFFFFF"/>
            <w:vAlign w:val="center"/>
            <w:hideMark/>
          </w:tcPr>
          <w:p w14:paraId="087B512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w:t>
            </w:r>
          </w:p>
        </w:tc>
        <w:tc>
          <w:tcPr>
            <w:tcW w:w="1440" w:type="dxa"/>
            <w:tcBorders>
              <w:top w:val="single" w:sz="4" w:space="0" w:color="auto"/>
            </w:tcBorders>
            <w:shd w:val="clear" w:color="000000" w:fill="FFFFFF"/>
            <w:vAlign w:val="center"/>
            <w:hideMark/>
          </w:tcPr>
          <w:p w14:paraId="7DE50A6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8</w:t>
            </w:r>
          </w:p>
        </w:tc>
        <w:tc>
          <w:tcPr>
            <w:tcW w:w="810" w:type="dxa"/>
            <w:tcBorders>
              <w:top w:val="single" w:sz="4" w:space="0" w:color="auto"/>
            </w:tcBorders>
            <w:shd w:val="clear" w:color="000000" w:fill="FFFFFF"/>
            <w:vAlign w:val="center"/>
            <w:hideMark/>
          </w:tcPr>
          <w:p w14:paraId="56CCE4F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41</w:t>
            </w:r>
          </w:p>
        </w:tc>
        <w:tc>
          <w:tcPr>
            <w:tcW w:w="1260" w:type="dxa"/>
            <w:tcBorders>
              <w:top w:val="single" w:sz="4" w:space="0" w:color="auto"/>
            </w:tcBorders>
            <w:shd w:val="clear" w:color="000000" w:fill="FFFFFF"/>
            <w:vAlign w:val="center"/>
            <w:hideMark/>
          </w:tcPr>
          <w:p w14:paraId="0D789F9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49</w:t>
            </w:r>
          </w:p>
        </w:tc>
        <w:tc>
          <w:tcPr>
            <w:tcW w:w="990" w:type="dxa"/>
            <w:tcBorders>
              <w:top w:val="single" w:sz="4" w:space="0" w:color="auto"/>
            </w:tcBorders>
            <w:shd w:val="clear" w:color="000000" w:fill="FFFFFF"/>
            <w:vAlign w:val="center"/>
            <w:hideMark/>
          </w:tcPr>
          <w:p w14:paraId="678F1EB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(4-5)</w:t>
            </w:r>
          </w:p>
        </w:tc>
        <w:tc>
          <w:tcPr>
            <w:tcW w:w="990" w:type="dxa"/>
            <w:vMerge w:val="restart"/>
            <w:tcBorders>
              <w:top w:val="single" w:sz="4" w:space="0" w:color="auto"/>
            </w:tcBorders>
            <w:shd w:val="clear" w:color="auto" w:fill="auto"/>
            <w:vAlign w:val="center"/>
            <w:hideMark/>
          </w:tcPr>
          <w:p w14:paraId="789B7CBF"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0.02*</w:t>
            </w:r>
          </w:p>
        </w:tc>
      </w:tr>
      <w:tr w:rsidR="00821B82" w:rsidRPr="001F0CCE" w14:paraId="2D98DDED" w14:textId="77777777" w:rsidTr="00282204">
        <w:trPr>
          <w:trHeight w:val="216"/>
          <w:jc w:val="center"/>
        </w:trPr>
        <w:tc>
          <w:tcPr>
            <w:tcW w:w="5130" w:type="dxa"/>
            <w:vMerge/>
            <w:shd w:val="clear" w:color="auto" w:fill="auto"/>
            <w:vAlign w:val="center"/>
            <w:hideMark/>
          </w:tcPr>
          <w:p w14:paraId="23C51C56"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5BDCD79F"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4248E81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shd w:val="clear" w:color="000000" w:fill="FFFFFF"/>
            <w:vAlign w:val="center"/>
            <w:hideMark/>
          </w:tcPr>
          <w:p w14:paraId="01FBD74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shd w:val="clear" w:color="000000" w:fill="FFFFFF"/>
            <w:vAlign w:val="center"/>
            <w:hideMark/>
          </w:tcPr>
          <w:p w14:paraId="357F79D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810" w:type="dxa"/>
            <w:shd w:val="clear" w:color="000000" w:fill="FFFFFF"/>
            <w:vAlign w:val="center"/>
            <w:hideMark/>
          </w:tcPr>
          <w:p w14:paraId="76730BC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40</w:t>
            </w:r>
          </w:p>
        </w:tc>
        <w:tc>
          <w:tcPr>
            <w:tcW w:w="1260" w:type="dxa"/>
            <w:shd w:val="clear" w:color="000000" w:fill="FFFFFF"/>
            <w:vAlign w:val="center"/>
            <w:hideMark/>
          </w:tcPr>
          <w:p w14:paraId="3697786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57</w:t>
            </w:r>
          </w:p>
        </w:tc>
        <w:tc>
          <w:tcPr>
            <w:tcW w:w="990" w:type="dxa"/>
            <w:shd w:val="clear" w:color="000000" w:fill="FFFFFF"/>
            <w:vAlign w:val="center"/>
            <w:hideMark/>
          </w:tcPr>
          <w:p w14:paraId="6BF300B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shd w:val="clear" w:color="auto" w:fill="auto"/>
            <w:vAlign w:val="center"/>
            <w:hideMark/>
          </w:tcPr>
          <w:p w14:paraId="646FBC54"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07F6AFEA" w14:textId="77777777" w:rsidTr="00282204">
        <w:trPr>
          <w:trHeight w:val="68"/>
          <w:jc w:val="center"/>
        </w:trPr>
        <w:tc>
          <w:tcPr>
            <w:tcW w:w="5130" w:type="dxa"/>
            <w:vMerge/>
            <w:tcBorders>
              <w:bottom w:val="single" w:sz="4" w:space="0" w:color="auto"/>
            </w:tcBorders>
            <w:shd w:val="clear" w:color="auto" w:fill="auto"/>
            <w:vAlign w:val="center"/>
            <w:hideMark/>
          </w:tcPr>
          <w:p w14:paraId="5C8686CB"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2FEDEE57"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55DD5C3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2827974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11E43F5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tcBorders>
              <w:bottom w:val="single" w:sz="4" w:space="0" w:color="auto"/>
            </w:tcBorders>
            <w:shd w:val="clear" w:color="000000" w:fill="FFFFFF"/>
            <w:vAlign w:val="center"/>
            <w:hideMark/>
          </w:tcPr>
          <w:p w14:paraId="7C5EA25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67</w:t>
            </w:r>
          </w:p>
        </w:tc>
        <w:tc>
          <w:tcPr>
            <w:tcW w:w="1260" w:type="dxa"/>
            <w:tcBorders>
              <w:bottom w:val="single" w:sz="4" w:space="0" w:color="auto"/>
            </w:tcBorders>
            <w:shd w:val="clear" w:color="000000" w:fill="FFFFFF"/>
            <w:vAlign w:val="center"/>
            <w:hideMark/>
          </w:tcPr>
          <w:p w14:paraId="5586536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19</w:t>
            </w:r>
          </w:p>
        </w:tc>
        <w:tc>
          <w:tcPr>
            <w:tcW w:w="990" w:type="dxa"/>
            <w:tcBorders>
              <w:bottom w:val="single" w:sz="4" w:space="0" w:color="auto"/>
            </w:tcBorders>
            <w:shd w:val="clear" w:color="000000" w:fill="FFFFFF"/>
            <w:vAlign w:val="center"/>
            <w:hideMark/>
          </w:tcPr>
          <w:p w14:paraId="1D3B271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01572A19"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66E9ED9A" w14:textId="77777777" w:rsidTr="00282204">
        <w:trPr>
          <w:trHeight w:val="242"/>
          <w:jc w:val="center"/>
        </w:trPr>
        <w:tc>
          <w:tcPr>
            <w:tcW w:w="5130" w:type="dxa"/>
            <w:vMerge w:val="restart"/>
            <w:tcBorders>
              <w:top w:val="single" w:sz="4" w:space="0" w:color="auto"/>
            </w:tcBorders>
            <w:shd w:val="clear" w:color="auto" w:fill="auto"/>
            <w:vAlign w:val="center"/>
            <w:hideMark/>
          </w:tcPr>
          <w:p w14:paraId="1DC76BA5" w14:textId="77777777" w:rsidR="00821B82"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can be an important and integral part of the medical team for diabetes management</w:t>
            </w:r>
          </w:p>
          <w:p w14:paraId="06794A6F" w14:textId="77777777" w:rsidR="00821B82" w:rsidRDefault="00821B82" w:rsidP="00282204">
            <w:pPr>
              <w:spacing w:after="0" w:line="240" w:lineRule="auto"/>
              <w:rPr>
                <w:rFonts w:eastAsia="Times New Roman" w:cstheme="minorHAnsi"/>
                <w:color w:val="264A60"/>
              </w:rPr>
            </w:pPr>
          </w:p>
          <w:p w14:paraId="762949F8" w14:textId="77777777" w:rsidR="00821B82" w:rsidRPr="001F0CCE" w:rsidRDefault="00821B82" w:rsidP="00282204">
            <w:pPr>
              <w:spacing w:after="0" w:line="240" w:lineRule="auto"/>
              <w:rPr>
                <w:rFonts w:eastAsia="Times New Roman" w:cstheme="minorHAnsi"/>
                <w:color w:val="264A60"/>
              </w:rPr>
            </w:pPr>
          </w:p>
        </w:tc>
        <w:tc>
          <w:tcPr>
            <w:tcW w:w="1800" w:type="dxa"/>
            <w:tcBorders>
              <w:top w:val="single" w:sz="4" w:space="0" w:color="auto"/>
            </w:tcBorders>
            <w:shd w:val="clear" w:color="auto" w:fill="auto"/>
            <w:vAlign w:val="center"/>
            <w:hideMark/>
          </w:tcPr>
          <w:p w14:paraId="290795C9"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230A046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w:t>
            </w:r>
          </w:p>
        </w:tc>
        <w:tc>
          <w:tcPr>
            <w:tcW w:w="1080" w:type="dxa"/>
            <w:tcBorders>
              <w:top w:val="single" w:sz="4" w:space="0" w:color="auto"/>
            </w:tcBorders>
            <w:shd w:val="clear" w:color="auto" w:fill="auto"/>
            <w:vAlign w:val="center"/>
            <w:hideMark/>
          </w:tcPr>
          <w:p w14:paraId="5258C39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top w:val="single" w:sz="4" w:space="0" w:color="auto"/>
            </w:tcBorders>
            <w:shd w:val="clear" w:color="000000" w:fill="FFFFFF"/>
            <w:vAlign w:val="center"/>
            <w:hideMark/>
          </w:tcPr>
          <w:p w14:paraId="3253F9E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w:t>
            </w:r>
          </w:p>
        </w:tc>
        <w:tc>
          <w:tcPr>
            <w:tcW w:w="810" w:type="dxa"/>
            <w:tcBorders>
              <w:top w:val="single" w:sz="4" w:space="0" w:color="auto"/>
            </w:tcBorders>
            <w:shd w:val="clear" w:color="000000" w:fill="FFFFFF"/>
            <w:vAlign w:val="center"/>
            <w:hideMark/>
          </w:tcPr>
          <w:p w14:paraId="5AA602E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45</w:t>
            </w:r>
          </w:p>
        </w:tc>
        <w:tc>
          <w:tcPr>
            <w:tcW w:w="1260" w:type="dxa"/>
            <w:tcBorders>
              <w:top w:val="single" w:sz="4" w:space="0" w:color="auto"/>
            </w:tcBorders>
            <w:shd w:val="clear" w:color="000000" w:fill="FFFFFF"/>
            <w:vAlign w:val="center"/>
            <w:hideMark/>
          </w:tcPr>
          <w:p w14:paraId="2DCA53C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49</w:t>
            </w:r>
          </w:p>
        </w:tc>
        <w:tc>
          <w:tcPr>
            <w:tcW w:w="990" w:type="dxa"/>
            <w:tcBorders>
              <w:top w:val="single" w:sz="4" w:space="0" w:color="auto"/>
            </w:tcBorders>
            <w:shd w:val="clear" w:color="000000" w:fill="FFFFFF"/>
            <w:vAlign w:val="center"/>
            <w:hideMark/>
          </w:tcPr>
          <w:p w14:paraId="45FCB66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(4-5)</w:t>
            </w:r>
          </w:p>
        </w:tc>
        <w:tc>
          <w:tcPr>
            <w:tcW w:w="990" w:type="dxa"/>
            <w:vMerge w:val="restart"/>
            <w:tcBorders>
              <w:top w:val="single" w:sz="4" w:space="0" w:color="auto"/>
            </w:tcBorders>
            <w:shd w:val="clear" w:color="000000" w:fill="FFFFFF"/>
            <w:vAlign w:val="center"/>
            <w:hideMark/>
          </w:tcPr>
          <w:p w14:paraId="0AEFA28F"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r w:rsidRPr="00F01111">
              <w:rPr>
                <w:rFonts w:asciiTheme="minorBidi" w:eastAsia="Times New Roman" w:hAnsiTheme="minorBidi"/>
                <w:color w:val="010205"/>
                <w:sz w:val="18"/>
                <w:szCs w:val="18"/>
              </w:rPr>
              <w:t>0.04*</w:t>
            </w:r>
          </w:p>
          <w:p w14:paraId="263C0072"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47DF795D" w14:textId="77777777" w:rsidTr="00282204">
        <w:trPr>
          <w:trHeight w:val="126"/>
          <w:jc w:val="center"/>
        </w:trPr>
        <w:tc>
          <w:tcPr>
            <w:tcW w:w="5130" w:type="dxa"/>
            <w:vMerge/>
            <w:shd w:val="clear" w:color="auto" w:fill="auto"/>
            <w:vAlign w:val="center"/>
            <w:hideMark/>
          </w:tcPr>
          <w:p w14:paraId="374D2522"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25964A51"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auto" w:fill="auto"/>
            <w:vAlign w:val="center"/>
            <w:hideMark/>
          </w:tcPr>
          <w:p w14:paraId="11ADCB6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1080" w:type="dxa"/>
            <w:shd w:val="clear" w:color="auto" w:fill="auto"/>
            <w:vAlign w:val="center"/>
            <w:hideMark/>
          </w:tcPr>
          <w:p w14:paraId="536147A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shd w:val="clear" w:color="000000" w:fill="FFFFFF"/>
            <w:vAlign w:val="center"/>
            <w:hideMark/>
          </w:tcPr>
          <w:p w14:paraId="5606703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10</w:t>
            </w:r>
          </w:p>
        </w:tc>
        <w:tc>
          <w:tcPr>
            <w:tcW w:w="810" w:type="dxa"/>
            <w:shd w:val="clear" w:color="000000" w:fill="FFFFFF"/>
            <w:vAlign w:val="center"/>
            <w:hideMark/>
          </w:tcPr>
          <w:p w14:paraId="500CB23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30</w:t>
            </w:r>
          </w:p>
        </w:tc>
        <w:tc>
          <w:tcPr>
            <w:tcW w:w="1260" w:type="dxa"/>
            <w:shd w:val="clear" w:color="000000" w:fill="FFFFFF"/>
            <w:vAlign w:val="center"/>
            <w:hideMark/>
          </w:tcPr>
          <w:p w14:paraId="121D006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57</w:t>
            </w:r>
          </w:p>
        </w:tc>
        <w:tc>
          <w:tcPr>
            <w:tcW w:w="990" w:type="dxa"/>
            <w:shd w:val="clear" w:color="000000" w:fill="FFFFFF"/>
            <w:vAlign w:val="center"/>
            <w:hideMark/>
          </w:tcPr>
          <w:p w14:paraId="7DA654B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shd w:val="clear" w:color="auto" w:fill="auto"/>
            <w:vAlign w:val="center"/>
            <w:hideMark/>
          </w:tcPr>
          <w:p w14:paraId="710E2CF4"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65FA7E62" w14:textId="77777777" w:rsidTr="00282204">
        <w:trPr>
          <w:trHeight w:val="216"/>
          <w:jc w:val="center"/>
        </w:trPr>
        <w:tc>
          <w:tcPr>
            <w:tcW w:w="5130" w:type="dxa"/>
            <w:vMerge/>
            <w:tcBorders>
              <w:bottom w:val="single" w:sz="4" w:space="0" w:color="auto"/>
            </w:tcBorders>
            <w:shd w:val="clear" w:color="auto" w:fill="auto"/>
            <w:vAlign w:val="center"/>
            <w:hideMark/>
          </w:tcPr>
          <w:p w14:paraId="633FADD7"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1CFCEEC5"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auto" w:fill="auto"/>
            <w:vAlign w:val="center"/>
            <w:hideMark/>
          </w:tcPr>
          <w:p w14:paraId="2E60B0F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auto" w:fill="auto"/>
            <w:vAlign w:val="center"/>
            <w:hideMark/>
          </w:tcPr>
          <w:p w14:paraId="4E72C74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2454DCA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w:t>
            </w:r>
          </w:p>
        </w:tc>
        <w:tc>
          <w:tcPr>
            <w:tcW w:w="810" w:type="dxa"/>
            <w:tcBorders>
              <w:bottom w:val="single" w:sz="4" w:space="0" w:color="auto"/>
            </w:tcBorders>
            <w:shd w:val="clear" w:color="000000" w:fill="FFFFFF"/>
            <w:vAlign w:val="center"/>
            <w:hideMark/>
          </w:tcPr>
          <w:p w14:paraId="66A2641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67</w:t>
            </w:r>
          </w:p>
        </w:tc>
        <w:tc>
          <w:tcPr>
            <w:tcW w:w="1260" w:type="dxa"/>
            <w:tcBorders>
              <w:bottom w:val="single" w:sz="4" w:space="0" w:color="auto"/>
            </w:tcBorders>
            <w:shd w:val="clear" w:color="000000" w:fill="FFFFFF"/>
            <w:vAlign w:val="center"/>
            <w:hideMark/>
          </w:tcPr>
          <w:p w14:paraId="7EE6834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22</w:t>
            </w:r>
          </w:p>
        </w:tc>
        <w:tc>
          <w:tcPr>
            <w:tcW w:w="990" w:type="dxa"/>
            <w:tcBorders>
              <w:bottom w:val="single" w:sz="4" w:space="0" w:color="auto"/>
            </w:tcBorders>
            <w:shd w:val="clear" w:color="000000" w:fill="FFFFFF"/>
            <w:vAlign w:val="center"/>
            <w:hideMark/>
          </w:tcPr>
          <w:p w14:paraId="6C46E1C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764F9455"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6623F42C" w14:textId="77777777" w:rsidTr="00282204">
        <w:trPr>
          <w:trHeight w:val="197"/>
          <w:jc w:val="center"/>
        </w:trPr>
        <w:tc>
          <w:tcPr>
            <w:tcW w:w="5130" w:type="dxa"/>
            <w:vMerge w:val="restart"/>
            <w:tcBorders>
              <w:top w:val="single" w:sz="4" w:space="0" w:color="auto"/>
            </w:tcBorders>
            <w:shd w:val="clear" w:color="auto" w:fill="auto"/>
            <w:vAlign w:val="center"/>
            <w:hideMark/>
          </w:tcPr>
          <w:p w14:paraId="55CF5908" w14:textId="77777777" w:rsidR="00821B82" w:rsidRPr="001F0CCE"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can help doctors to prescribe cost-effectively</w:t>
            </w:r>
          </w:p>
          <w:p w14:paraId="0E97632C" w14:textId="77777777" w:rsidR="00821B82" w:rsidRPr="001F0CCE" w:rsidRDefault="00821B82" w:rsidP="00282204">
            <w:pPr>
              <w:spacing w:after="0" w:line="240" w:lineRule="auto"/>
              <w:rPr>
                <w:rFonts w:eastAsia="Times New Roman" w:cstheme="minorHAnsi"/>
                <w:color w:val="264A60"/>
              </w:rPr>
            </w:pPr>
          </w:p>
        </w:tc>
        <w:tc>
          <w:tcPr>
            <w:tcW w:w="1800" w:type="dxa"/>
            <w:tcBorders>
              <w:top w:val="single" w:sz="4" w:space="0" w:color="auto"/>
            </w:tcBorders>
            <w:shd w:val="clear" w:color="auto" w:fill="auto"/>
            <w:vAlign w:val="center"/>
            <w:hideMark/>
          </w:tcPr>
          <w:p w14:paraId="60C44B9A"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65952AC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tcBorders>
              <w:top w:val="single" w:sz="4" w:space="0" w:color="auto"/>
            </w:tcBorders>
            <w:shd w:val="clear" w:color="000000" w:fill="FFFFFF"/>
            <w:vAlign w:val="center"/>
            <w:hideMark/>
          </w:tcPr>
          <w:p w14:paraId="2696502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w:t>
            </w:r>
          </w:p>
        </w:tc>
        <w:tc>
          <w:tcPr>
            <w:tcW w:w="1440" w:type="dxa"/>
            <w:tcBorders>
              <w:top w:val="single" w:sz="4" w:space="0" w:color="auto"/>
            </w:tcBorders>
            <w:shd w:val="clear" w:color="000000" w:fill="FFFFFF"/>
            <w:vAlign w:val="center"/>
            <w:hideMark/>
          </w:tcPr>
          <w:p w14:paraId="6F8EF0A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8</w:t>
            </w:r>
          </w:p>
        </w:tc>
        <w:tc>
          <w:tcPr>
            <w:tcW w:w="810" w:type="dxa"/>
            <w:tcBorders>
              <w:top w:val="single" w:sz="4" w:space="0" w:color="auto"/>
            </w:tcBorders>
            <w:shd w:val="clear" w:color="000000" w:fill="FFFFFF"/>
            <w:vAlign w:val="center"/>
            <w:hideMark/>
          </w:tcPr>
          <w:p w14:paraId="59B2AE0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29</w:t>
            </w:r>
          </w:p>
        </w:tc>
        <w:tc>
          <w:tcPr>
            <w:tcW w:w="1260" w:type="dxa"/>
            <w:tcBorders>
              <w:top w:val="single" w:sz="4" w:space="0" w:color="auto"/>
            </w:tcBorders>
            <w:shd w:val="clear" w:color="000000" w:fill="FFFFFF"/>
            <w:vAlign w:val="center"/>
            <w:hideMark/>
          </w:tcPr>
          <w:p w14:paraId="36CC06E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61</w:t>
            </w:r>
          </w:p>
        </w:tc>
        <w:tc>
          <w:tcPr>
            <w:tcW w:w="990" w:type="dxa"/>
            <w:tcBorders>
              <w:top w:val="single" w:sz="4" w:space="0" w:color="auto"/>
            </w:tcBorders>
            <w:shd w:val="clear" w:color="000000" w:fill="FFFFFF"/>
            <w:vAlign w:val="center"/>
            <w:hideMark/>
          </w:tcPr>
          <w:p w14:paraId="4C31D87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val="restart"/>
            <w:tcBorders>
              <w:top w:val="single" w:sz="4" w:space="0" w:color="auto"/>
            </w:tcBorders>
            <w:shd w:val="clear" w:color="auto" w:fill="auto"/>
            <w:vAlign w:val="center"/>
            <w:hideMark/>
          </w:tcPr>
          <w:p w14:paraId="2F4ADD99"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0.00*</w:t>
            </w:r>
          </w:p>
        </w:tc>
      </w:tr>
      <w:tr w:rsidR="00821B82" w:rsidRPr="001F0CCE" w14:paraId="368677D2" w14:textId="77777777" w:rsidTr="00282204">
        <w:trPr>
          <w:trHeight w:val="207"/>
          <w:jc w:val="center"/>
        </w:trPr>
        <w:tc>
          <w:tcPr>
            <w:tcW w:w="5130" w:type="dxa"/>
            <w:vMerge/>
            <w:shd w:val="clear" w:color="auto" w:fill="auto"/>
            <w:vAlign w:val="center"/>
            <w:hideMark/>
          </w:tcPr>
          <w:p w14:paraId="0C5B21AA"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1F273CE5"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3F57D14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shd w:val="clear" w:color="000000" w:fill="FFFFFF"/>
            <w:vAlign w:val="center"/>
            <w:hideMark/>
          </w:tcPr>
          <w:p w14:paraId="270400C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shd w:val="clear" w:color="000000" w:fill="FFFFFF"/>
            <w:vAlign w:val="center"/>
            <w:hideMark/>
          </w:tcPr>
          <w:p w14:paraId="5F9DF14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810" w:type="dxa"/>
            <w:shd w:val="clear" w:color="000000" w:fill="FFFFFF"/>
            <w:vAlign w:val="center"/>
            <w:hideMark/>
          </w:tcPr>
          <w:p w14:paraId="493D689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43</w:t>
            </w:r>
          </w:p>
        </w:tc>
        <w:tc>
          <w:tcPr>
            <w:tcW w:w="1260" w:type="dxa"/>
            <w:shd w:val="clear" w:color="000000" w:fill="FFFFFF"/>
            <w:vAlign w:val="center"/>
            <w:hideMark/>
          </w:tcPr>
          <w:p w14:paraId="53E1324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53</w:t>
            </w:r>
          </w:p>
        </w:tc>
        <w:tc>
          <w:tcPr>
            <w:tcW w:w="990" w:type="dxa"/>
            <w:shd w:val="clear" w:color="000000" w:fill="FFFFFF"/>
            <w:vAlign w:val="center"/>
            <w:hideMark/>
          </w:tcPr>
          <w:p w14:paraId="0151CE9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shd w:val="clear" w:color="auto" w:fill="auto"/>
            <w:vAlign w:val="center"/>
            <w:hideMark/>
          </w:tcPr>
          <w:p w14:paraId="3A6E5A2E"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7CB6FD37" w14:textId="77777777" w:rsidTr="00282204">
        <w:trPr>
          <w:trHeight w:val="90"/>
          <w:jc w:val="center"/>
        </w:trPr>
        <w:tc>
          <w:tcPr>
            <w:tcW w:w="5130" w:type="dxa"/>
            <w:vMerge/>
            <w:tcBorders>
              <w:bottom w:val="single" w:sz="4" w:space="0" w:color="auto"/>
            </w:tcBorders>
            <w:shd w:val="clear" w:color="auto" w:fill="auto"/>
            <w:vAlign w:val="center"/>
            <w:hideMark/>
          </w:tcPr>
          <w:p w14:paraId="5FAF81D0"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6B13F030"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76F2434A"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470C76C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443584B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tcBorders>
              <w:bottom w:val="single" w:sz="4" w:space="0" w:color="auto"/>
            </w:tcBorders>
            <w:shd w:val="clear" w:color="000000" w:fill="FFFFFF"/>
            <w:vAlign w:val="center"/>
            <w:hideMark/>
          </w:tcPr>
          <w:p w14:paraId="5432155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74</w:t>
            </w:r>
          </w:p>
        </w:tc>
        <w:tc>
          <w:tcPr>
            <w:tcW w:w="1260" w:type="dxa"/>
            <w:tcBorders>
              <w:bottom w:val="single" w:sz="4" w:space="0" w:color="auto"/>
            </w:tcBorders>
            <w:shd w:val="clear" w:color="000000" w:fill="FFFFFF"/>
            <w:vAlign w:val="center"/>
            <w:hideMark/>
          </w:tcPr>
          <w:p w14:paraId="2069537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11</w:t>
            </w:r>
          </w:p>
        </w:tc>
        <w:tc>
          <w:tcPr>
            <w:tcW w:w="990" w:type="dxa"/>
            <w:tcBorders>
              <w:bottom w:val="single" w:sz="4" w:space="0" w:color="auto"/>
            </w:tcBorders>
            <w:shd w:val="clear" w:color="000000" w:fill="FFFFFF"/>
            <w:vAlign w:val="center"/>
            <w:hideMark/>
          </w:tcPr>
          <w:p w14:paraId="03B2EFA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02A12FE4"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435529BD" w14:textId="77777777" w:rsidTr="00282204">
        <w:trPr>
          <w:trHeight w:val="170"/>
          <w:jc w:val="center"/>
        </w:trPr>
        <w:tc>
          <w:tcPr>
            <w:tcW w:w="5130" w:type="dxa"/>
            <w:vMerge w:val="restart"/>
            <w:tcBorders>
              <w:top w:val="single" w:sz="4" w:space="0" w:color="auto"/>
            </w:tcBorders>
            <w:shd w:val="clear" w:color="auto" w:fill="auto"/>
            <w:vAlign w:val="center"/>
            <w:hideMark/>
          </w:tcPr>
          <w:p w14:paraId="131D1A73" w14:textId="77777777" w:rsidR="00821B82" w:rsidRPr="001F0CCE" w:rsidRDefault="00821B82" w:rsidP="00282204">
            <w:pPr>
              <w:spacing w:after="0" w:line="240" w:lineRule="auto"/>
              <w:rPr>
                <w:rFonts w:eastAsia="Times New Roman" w:cstheme="minorHAnsi"/>
                <w:color w:val="264A60"/>
              </w:rPr>
            </w:pPr>
            <w:r w:rsidRPr="001F0CCE">
              <w:rPr>
                <w:rFonts w:eastAsia="Times New Roman" w:cstheme="minorHAnsi"/>
                <w:color w:val="264A60"/>
              </w:rPr>
              <w:t>Involvement of pharmacists in multidisciplinary care team can help to increase the level of job satisfaction for pharmacists</w:t>
            </w:r>
          </w:p>
        </w:tc>
        <w:tc>
          <w:tcPr>
            <w:tcW w:w="1800" w:type="dxa"/>
            <w:tcBorders>
              <w:top w:val="single" w:sz="4" w:space="0" w:color="auto"/>
            </w:tcBorders>
            <w:shd w:val="clear" w:color="auto" w:fill="auto"/>
            <w:vAlign w:val="center"/>
            <w:hideMark/>
          </w:tcPr>
          <w:p w14:paraId="5E8C74BC"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4D672AA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tcBorders>
              <w:top w:val="single" w:sz="4" w:space="0" w:color="auto"/>
            </w:tcBorders>
            <w:shd w:val="clear" w:color="000000" w:fill="FFFFFF"/>
            <w:vAlign w:val="center"/>
            <w:hideMark/>
          </w:tcPr>
          <w:p w14:paraId="09DC717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top w:val="single" w:sz="4" w:space="0" w:color="auto"/>
            </w:tcBorders>
            <w:shd w:val="clear" w:color="000000" w:fill="FFFFFF"/>
            <w:vAlign w:val="center"/>
            <w:hideMark/>
          </w:tcPr>
          <w:p w14:paraId="68FA5E9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10</w:t>
            </w:r>
          </w:p>
        </w:tc>
        <w:tc>
          <w:tcPr>
            <w:tcW w:w="810" w:type="dxa"/>
            <w:tcBorders>
              <w:top w:val="single" w:sz="4" w:space="0" w:color="auto"/>
            </w:tcBorders>
            <w:shd w:val="clear" w:color="000000" w:fill="FFFFFF"/>
            <w:vAlign w:val="center"/>
            <w:hideMark/>
          </w:tcPr>
          <w:p w14:paraId="680B97B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39</w:t>
            </w:r>
          </w:p>
        </w:tc>
        <w:tc>
          <w:tcPr>
            <w:tcW w:w="1260" w:type="dxa"/>
            <w:tcBorders>
              <w:top w:val="single" w:sz="4" w:space="0" w:color="auto"/>
            </w:tcBorders>
            <w:shd w:val="clear" w:color="000000" w:fill="FFFFFF"/>
            <w:vAlign w:val="center"/>
            <w:hideMark/>
          </w:tcPr>
          <w:p w14:paraId="1FC7ADD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51</w:t>
            </w:r>
          </w:p>
        </w:tc>
        <w:tc>
          <w:tcPr>
            <w:tcW w:w="990" w:type="dxa"/>
            <w:tcBorders>
              <w:top w:val="single" w:sz="4" w:space="0" w:color="auto"/>
            </w:tcBorders>
            <w:shd w:val="clear" w:color="000000" w:fill="FFFFFF"/>
            <w:vAlign w:val="center"/>
            <w:hideMark/>
          </w:tcPr>
          <w:p w14:paraId="4A657FC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val="restart"/>
            <w:tcBorders>
              <w:top w:val="single" w:sz="4" w:space="0" w:color="auto"/>
            </w:tcBorders>
            <w:shd w:val="clear" w:color="auto" w:fill="auto"/>
            <w:vAlign w:val="center"/>
            <w:hideMark/>
          </w:tcPr>
          <w:p w14:paraId="32E2D6BF" w14:textId="77777777" w:rsidR="00821B82" w:rsidRPr="00684079"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0.00*</w:t>
            </w:r>
          </w:p>
        </w:tc>
      </w:tr>
      <w:tr w:rsidR="00821B82" w:rsidRPr="001F0CCE" w14:paraId="0E586A86" w14:textId="77777777" w:rsidTr="00282204">
        <w:trPr>
          <w:trHeight w:val="126"/>
          <w:jc w:val="center"/>
        </w:trPr>
        <w:tc>
          <w:tcPr>
            <w:tcW w:w="5130" w:type="dxa"/>
            <w:vMerge/>
            <w:shd w:val="clear" w:color="auto" w:fill="auto"/>
            <w:vAlign w:val="center"/>
            <w:hideMark/>
          </w:tcPr>
          <w:p w14:paraId="352F1506"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6A464717"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25223B3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shd w:val="clear" w:color="000000" w:fill="FFFFFF"/>
            <w:vAlign w:val="center"/>
            <w:hideMark/>
          </w:tcPr>
          <w:p w14:paraId="2D474CA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1440" w:type="dxa"/>
            <w:shd w:val="clear" w:color="000000" w:fill="FFFFFF"/>
            <w:vAlign w:val="center"/>
            <w:hideMark/>
          </w:tcPr>
          <w:p w14:paraId="2353A28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810" w:type="dxa"/>
            <w:shd w:val="clear" w:color="000000" w:fill="FFFFFF"/>
            <w:vAlign w:val="center"/>
            <w:hideMark/>
          </w:tcPr>
          <w:p w14:paraId="5A8F711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50</w:t>
            </w:r>
          </w:p>
        </w:tc>
        <w:tc>
          <w:tcPr>
            <w:tcW w:w="1260" w:type="dxa"/>
            <w:shd w:val="clear" w:color="000000" w:fill="FFFFFF"/>
            <w:vAlign w:val="center"/>
            <w:hideMark/>
          </w:tcPr>
          <w:p w14:paraId="4BF3050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47</w:t>
            </w:r>
          </w:p>
        </w:tc>
        <w:tc>
          <w:tcPr>
            <w:tcW w:w="990" w:type="dxa"/>
            <w:shd w:val="clear" w:color="000000" w:fill="FFFFFF"/>
            <w:vAlign w:val="center"/>
            <w:hideMark/>
          </w:tcPr>
          <w:p w14:paraId="4513DC4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(4-5)</w:t>
            </w:r>
          </w:p>
        </w:tc>
        <w:tc>
          <w:tcPr>
            <w:tcW w:w="990" w:type="dxa"/>
            <w:vMerge/>
            <w:shd w:val="clear" w:color="auto" w:fill="auto"/>
            <w:vAlign w:val="center"/>
            <w:hideMark/>
          </w:tcPr>
          <w:p w14:paraId="25F6F66D"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426305FD" w14:textId="77777777" w:rsidTr="00282204">
        <w:trPr>
          <w:trHeight w:val="117"/>
          <w:jc w:val="center"/>
        </w:trPr>
        <w:tc>
          <w:tcPr>
            <w:tcW w:w="5130" w:type="dxa"/>
            <w:vMerge/>
            <w:tcBorders>
              <w:bottom w:val="single" w:sz="4" w:space="0" w:color="auto"/>
            </w:tcBorders>
            <w:shd w:val="clear" w:color="auto" w:fill="auto"/>
            <w:vAlign w:val="center"/>
            <w:hideMark/>
          </w:tcPr>
          <w:p w14:paraId="70FB4F9F"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742A88C2"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1ECD806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4CC2AD2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6378A50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11</w:t>
            </w:r>
          </w:p>
        </w:tc>
        <w:tc>
          <w:tcPr>
            <w:tcW w:w="810" w:type="dxa"/>
            <w:tcBorders>
              <w:bottom w:val="single" w:sz="4" w:space="0" w:color="auto"/>
            </w:tcBorders>
            <w:shd w:val="clear" w:color="000000" w:fill="FFFFFF"/>
            <w:vAlign w:val="center"/>
            <w:hideMark/>
          </w:tcPr>
          <w:p w14:paraId="2660CA4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67</w:t>
            </w:r>
          </w:p>
        </w:tc>
        <w:tc>
          <w:tcPr>
            <w:tcW w:w="1260" w:type="dxa"/>
            <w:tcBorders>
              <w:bottom w:val="single" w:sz="4" w:space="0" w:color="auto"/>
            </w:tcBorders>
            <w:shd w:val="clear" w:color="000000" w:fill="FFFFFF"/>
            <w:vAlign w:val="center"/>
            <w:hideMark/>
          </w:tcPr>
          <w:p w14:paraId="6A3DB8F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15</w:t>
            </w:r>
          </w:p>
        </w:tc>
        <w:tc>
          <w:tcPr>
            <w:tcW w:w="990" w:type="dxa"/>
            <w:tcBorders>
              <w:bottom w:val="single" w:sz="4" w:space="0" w:color="auto"/>
            </w:tcBorders>
            <w:shd w:val="clear" w:color="000000" w:fill="FFFFFF"/>
            <w:vAlign w:val="center"/>
            <w:hideMark/>
          </w:tcPr>
          <w:p w14:paraId="5CEF045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5886B1E2"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3948B00D" w14:textId="77777777" w:rsidTr="00282204">
        <w:trPr>
          <w:trHeight w:val="179"/>
          <w:jc w:val="center"/>
        </w:trPr>
        <w:tc>
          <w:tcPr>
            <w:tcW w:w="5130" w:type="dxa"/>
            <w:vMerge w:val="restart"/>
            <w:tcBorders>
              <w:top w:val="single" w:sz="4" w:space="0" w:color="auto"/>
            </w:tcBorders>
            <w:shd w:val="clear" w:color="auto" w:fill="auto"/>
            <w:vAlign w:val="center"/>
            <w:hideMark/>
          </w:tcPr>
          <w:p w14:paraId="6BE9A169" w14:textId="77777777" w:rsidR="00821B82" w:rsidRPr="001F0CCE"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can provide drug information to physicians to help in decision-making regarding medicines to treat the patient’s condition</w:t>
            </w:r>
          </w:p>
        </w:tc>
        <w:tc>
          <w:tcPr>
            <w:tcW w:w="1800" w:type="dxa"/>
            <w:tcBorders>
              <w:top w:val="single" w:sz="4" w:space="0" w:color="auto"/>
            </w:tcBorders>
            <w:shd w:val="clear" w:color="auto" w:fill="auto"/>
            <w:vAlign w:val="center"/>
            <w:hideMark/>
          </w:tcPr>
          <w:p w14:paraId="7CE22590"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0AC7FF3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tcBorders>
              <w:top w:val="single" w:sz="4" w:space="0" w:color="auto"/>
            </w:tcBorders>
            <w:shd w:val="clear" w:color="000000" w:fill="FFFFFF"/>
            <w:vAlign w:val="center"/>
            <w:hideMark/>
          </w:tcPr>
          <w:p w14:paraId="3596F59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top w:val="single" w:sz="4" w:space="0" w:color="auto"/>
            </w:tcBorders>
            <w:shd w:val="clear" w:color="000000" w:fill="FFFFFF"/>
            <w:vAlign w:val="center"/>
            <w:hideMark/>
          </w:tcPr>
          <w:p w14:paraId="7B57769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8</w:t>
            </w:r>
          </w:p>
        </w:tc>
        <w:tc>
          <w:tcPr>
            <w:tcW w:w="810" w:type="dxa"/>
            <w:tcBorders>
              <w:top w:val="single" w:sz="4" w:space="0" w:color="auto"/>
            </w:tcBorders>
            <w:shd w:val="clear" w:color="000000" w:fill="FFFFFF"/>
            <w:vAlign w:val="center"/>
            <w:hideMark/>
          </w:tcPr>
          <w:p w14:paraId="656C900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41</w:t>
            </w:r>
          </w:p>
        </w:tc>
        <w:tc>
          <w:tcPr>
            <w:tcW w:w="1260" w:type="dxa"/>
            <w:tcBorders>
              <w:top w:val="single" w:sz="4" w:space="0" w:color="auto"/>
            </w:tcBorders>
            <w:shd w:val="clear" w:color="000000" w:fill="FFFFFF"/>
            <w:vAlign w:val="center"/>
            <w:hideMark/>
          </w:tcPr>
          <w:p w14:paraId="10DE90C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51</w:t>
            </w:r>
          </w:p>
        </w:tc>
        <w:tc>
          <w:tcPr>
            <w:tcW w:w="990" w:type="dxa"/>
            <w:tcBorders>
              <w:top w:val="single" w:sz="4" w:space="0" w:color="auto"/>
            </w:tcBorders>
            <w:shd w:val="clear" w:color="000000" w:fill="FFFFFF"/>
            <w:vAlign w:val="center"/>
            <w:hideMark/>
          </w:tcPr>
          <w:p w14:paraId="4563C34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val="restart"/>
            <w:tcBorders>
              <w:top w:val="single" w:sz="4" w:space="0" w:color="auto"/>
            </w:tcBorders>
            <w:shd w:val="clear" w:color="auto" w:fill="auto"/>
            <w:vAlign w:val="center"/>
            <w:hideMark/>
          </w:tcPr>
          <w:p w14:paraId="1F4871F6" w14:textId="77777777" w:rsidR="00821B82" w:rsidRPr="00F01111" w:rsidRDefault="00821B82" w:rsidP="00282204">
            <w:pPr>
              <w:spacing w:after="0" w:line="240" w:lineRule="auto"/>
              <w:jc w:val="center"/>
              <w:rPr>
                <w:rFonts w:asciiTheme="minorBidi" w:eastAsia="Times New Roman" w:hAnsiTheme="minorBidi"/>
                <w:color w:val="010205"/>
                <w:sz w:val="18"/>
                <w:szCs w:val="18"/>
              </w:rPr>
            </w:pPr>
            <w:r w:rsidRPr="00F01111">
              <w:rPr>
                <w:rFonts w:asciiTheme="minorBidi" w:eastAsia="Times New Roman" w:hAnsiTheme="minorBidi"/>
                <w:color w:val="010205"/>
                <w:sz w:val="18"/>
                <w:szCs w:val="18"/>
              </w:rPr>
              <w:t>0.02*</w:t>
            </w:r>
          </w:p>
        </w:tc>
      </w:tr>
      <w:tr w:rsidR="00821B82" w:rsidRPr="001F0CCE" w14:paraId="1F3D8CED" w14:textId="77777777" w:rsidTr="00282204">
        <w:trPr>
          <w:trHeight w:val="68"/>
          <w:jc w:val="center"/>
        </w:trPr>
        <w:tc>
          <w:tcPr>
            <w:tcW w:w="5130" w:type="dxa"/>
            <w:vMerge/>
            <w:shd w:val="clear" w:color="auto" w:fill="auto"/>
            <w:vAlign w:val="center"/>
            <w:hideMark/>
          </w:tcPr>
          <w:p w14:paraId="3496B9B7"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155F76E7"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0A61321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1080" w:type="dxa"/>
            <w:shd w:val="clear" w:color="000000" w:fill="FFFFFF"/>
            <w:vAlign w:val="center"/>
            <w:hideMark/>
          </w:tcPr>
          <w:p w14:paraId="4DCB82B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1440" w:type="dxa"/>
            <w:shd w:val="clear" w:color="000000" w:fill="FFFFFF"/>
            <w:vAlign w:val="center"/>
            <w:hideMark/>
          </w:tcPr>
          <w:p w14:paraId="1362383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810" w:type="dxa"/>
            <w:shd w:val="clear" w:color="000000" w:fill="FFFFFF"/>
            <w:vAlign w:val="center"/>
            <w:hideMark/>
          </w:tcPr>
          <w:p w14:paraId="3A1457E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37</w:t>
            </w:r>
          </w:p>
        </w:tc>
        <w:tc>
          <w:tcPr>
            <w:tcW w:w="1260" w:type="dxa"/>
            <w:shd w:val="clear" w:color="000000" w:fill="FFFFFF"/>
            <w:vAlign w:val="center"/>
            <w:hideMark/>
          </w:tcPr>
          <w:p w14:paraId="397BEC7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53</w:t>
            </w:r>
          </w:p>
        </w:tc>
        <w:tc>
          <w:tcPr>
            <w:tcW w:w="990" w:type="dxa"/>
            <w:shd w:val="clear" w:color="000000" w:fill="FFFFFF"/>
            <w:vAlign w:val="center"/>
            <w:hideMark/>
          </w:tcPr>
          <w:p w14:paraId="622A6A2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shd w:val="clear" w:color="auto" w:fill="auto"/>
            <w:vAlign w:val="center"/>
            <w:hideMark/>
          </w:tcPr>
          <w:p w14:paraId="1036BEA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5F166ECC" w14:textId="77777777" w:rsidTr="00282204">
        <w:trPr>
          <w:trHeight w:val="477"/>
          <w:jc w:val="center"/>
        </w:trPr>
        <w:tc>
          <w:tcPr>
            <w:tcW w:w="5130" w:type="dxa"/>
            <w:vMerge/>
            <w:tcBorders>
              <w:bottom w:val="single" w:sz="4" w:space="0" w:color="auto"/>
            </w:tcBorders>
            <w:shd w:val="clear" w:color="auto" w:fill="auto"/>
            <w:vAlign w:val="center"/>
            <w:hideMark/>
          </w:tcPr>
          <w:p w14:paraId="17541BAB"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10B6321C"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38AD1E7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64774B5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4F934A8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tcBorders>
              <w:bottom w:val="single" w:sz="4" w:space="0" w:color="auto"/>
            </w:tcBorders>
            <w:shd w:val="clear" w:color="000000" w:fill="FFFFFF"/>
            <w:vAlign w:val="center"/>
            <w:hideMark/>
          </w:tcPr>
          <w:p w14:paraId="60A041F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67</w:t>
            </w:r>
          </w:p>
        </w:tc>
        <w:tc>
          <w:tcPr>
            <w:tcW w:w="1260" w:type="dxa"/>
            <w:tcBorders>
              <w:bottom w:val="single" w:sz="4" w:space="0" w:color="auto"/>
            </w:tcBorders>
            <w:shd w:val="clear" w:color="000000" w:fill="FFFFFF"/>
            <w:vAlign w:val="center"/>
            <w:hideMark/>
          </w:tcPr>
          <w:p w14:paraId="7F10724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19</w:t>
            </w:r>
          </w:p>
        </w:tc>
        <w:tc>
          <w:tcPr>
            <w:tcW w:w="990" w:type="dxa"/>
            <w:tcBorders>
              <w:bottom w:val="single" w:sz="4" w:space="0" w:color="auto"/>
            </w:tcBorders>
            <w:shd w:val="clear" w:color="000000" w:fill="FFFFFF"/>
            <w:vAlign w:val="center"/>
            <w:hideMark/>
          </w:tcPr>
          <w:p w14:paraId="34FD192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6CBB0E0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747FBC97" w14:textId="77777777" w:rsidTr="00282204">
        <w:trPr>
          <w:trHeight w:val="224"/>
          <w:jc w:val="center"/>
        </w:trPr>
        <w:tc>
          <w:tcPr>
            <w:tcW w:w="5130" w:type="dxa"/>
            <w:vMerge w:val="restart"/>
            <w:tcBorders>
              <w:top w:val="single" w:sz="4" w:space="0" w:color="auto"/>
            </w:tcBorders>
            <w:shd w:val="clear" w:color="auto" w:fill="auto"/>
            <w:vAlign w:val="center"/>
            <w:hideMark/>
          </w:tcPr>
          <w:p w14:paraId="7AA567F0" w14:textId="77777777" w:rsidR="00821B82" w:rsidRDefault="00821B82" w:rsidP="00282204">
            <w:pPr>
              <w:spacing w:after="0" w:line="240" w:lineRule="auto"/>
              <w:rPr>
                <w:rFonts w:eastAsia="Times New Roman" w:cstheme="minorHAnsi"/>
                <w:color w:val="264A60"/>
              </w:rPr>
            </w:pPr>
            <w:r w:rsidRPr="001F0CCE">
              <w:rPr>
                <w:rFonts w:eastAsia="Times New Roman" w:cstheme="minorHAnsi"/>
                <w:color w:val="264A60"/>
              </w:rPr>
              <w:t>Collaborative work of pharmacists with other healthcare professionals such as doctors and nurses in the management of diabetes patients can improve the quality of healthcare services</w:t>
            </w:r>
          </w:p>
          <w:p w14:paraId="36916E9B" w14:textId="77777777" w:rsidR="00821B82" w:rsidRPr="001F0CCE" w:rsidRDefault="00821B82" w:rsidP="00282204">
            <w:pPr>
              <w:spacing w:after="0" w:line="240" w:lineRule="auto"/>
              <w:rPr>
                <w:rFonts w:eastAsia="Times New Roman" w:cstheme="minorHAnsi"/>
                <w:color w:val="264A60"/>
              </w:rPr>
            </w:pPr>
          </w:p>
        </w:tc>
        <w:tc>
          <w:tcPr>
            <w:tcW w:w="1800" w:type="dxa"/>
            <w:tcBorders>
              <w:top w:val="single" w:sz="4" w:space="0" w:color="auto"/>
            </w:tcBorders>
            <w:shd w:val="clear" w:color="auto" w:fill="auto"/>
            <w:vAlign w:val="center"/>
            <w:hideMark/>
          </w:tcPr>
          <w:p w14:paraId="044CF313"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1715CD5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tcBorders>
              <w:top w:val="single" w:sz="4" w:space="0" w:color="auto"/>
            </w:tcBorders>
            <w:shd w:val="clear" w:color="000000" w:fill="FFFFFF"/>
            <w:vAlign w:val="center"/>
            <w:hideMark/>
          </w:tcPr>
          <w:p w14:paraId="3A722C6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w:t>
            </w:r>
          </w:p>
        </w:tc>
        <w:tc>
          <w:tcPr>
            <w:tcW w:w="1440" w:type="dxa"/>
            <w:tcBorders>
              <w:top w:val="single" w:sz="4" w:space="0" w:color="auto"/>
            </w:tcBorders>
            <w:shd w:val="clear" w:color="000000" w:fill="FFFFFF"/>
            <w:vAlign w:val="center"/>
            <w:hideMark/>
          </w:tcPr>
          <w:p w14:paraId="491D9FE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8</w:t>
            </w:r>
          </w:p>
        </w:tc>
        <w:tc>
          <w:tcPr>
            <w:tcW w:w="810" w:type="dxa"/>
            <w:tcBorders>
              <w:top w:val="single" w:sz="4" w:space="0" w:color="auto"/>
            </w:tcBorders>
            <w:shd w:val="clear" w:color="000000" w:fill="FFFFFF"/>
            <w:vAlign w:val="center"/>
            <w:hideMark/>
          </w:tcPr>
          <w:p w14:paraId="108BC41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33</w:t>
            </w:r>
          </w:p>
        </w:tc>
        <w:tc>
          <w:tcPr>
            <w:tcW w:w="1260" w:type="dxa"/>
            <w:tcBorders>
              <w:top w:val="single" w:sz="4" w:space="0" w:color="auto"/>
            </w:tcBorders>
            <w:shd w:val="clear" w:color="000000" w:fill="FFFFFF"/>
            <w:vAlign w:val="center"/>
            <w:hideMark/>
          </w:tcPr>
          <w:p w14:paraId="5CEDC30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57</w:t>
            </w:r>
          </w:p>
        </w:tc>
        <w:tc>
          <w:tcPr>
            <w:tcW w:w="990" w:type="dxa"/>
            <w:tcBorders>
              <w:top w:val="single" w:sz="4" w:space="0" w:color="auto"/>
            </w:tcBorders>
            <w:shd w:val="clear" w:color="000000" w:fill="FFFFFF"/>
            <w:vAlign w:val="center"/>
            <w:hideMark/>
          </w:tcPr>
          <w:p w14:paraId="285EB66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val="restart"/>
            <w:tcBorders>
              <w:top w:val="single" w:sz="4" w:space="0" w:color="auto"/>
            </w:tcBorders>
            <w:shd w:val="clear" w:color="auto" w:fill="auto"/>
            <w:vAlign w:val="center"/>
            <w:hideMark/>
          </w:tcPr>
          <w:p w14:paraId="5487B035" w14:textId="77777777" w:rsidR="00821B82" w:rsidRPr="00684079"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0.01*</w:t>
            </w:r>
          </w:p>
        </w:tc>
      </w:tr>
      <w:tr w:rsidR="00821B82" w:rsidRPr="001F0CCE" w14:paraId="2B01D24F" w14:textId="77777777" w:rsidTr="00282204">
        <w:trPr>
          <w:trHeight w:val="459"/>
          <w:jc w:val="center"/>
        </w:trPr>
        <w:tc>
          <w:tcPr>
            <w:tcW w:w="5130" w:type="dxa"/>
            <w:vMerge/>
            <w:shd w:val="clear" w:color="auto" w:fill="auto"/>
            <w:vAlign w:val="center"/>
            <w:hideMark/>
          </w:tcPr>
          <w:p w14:paraId="6372D6CD"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47A770AE"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7D9AA6D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1080" w:type="dxa"/>
            <w:shd w:val="clear" w:color="000000" w:fill="FFFFFF"/>
            <w:vAlign w:val="center"/>
            <w:hideMark/>
          </w:tcPr>
          <w:p w14:paraId="31005C7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shd w:val="clear" w:color="000000" w:fill="FFFFFF"/>
            <w:vAlign w:val="center"/>
            <w:hideMark/>
          </w:tcPr>
          <w:p w14:paraId="75E7A4D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810" w:type="dxa"/>
            <w:shd w:val="clear" w:color="000000" w:fill="FFFFFF"/>
            <w:vAlign w:val="center"/>
            <w:hideMark/>
          </w:tcPr>
          <w:p w14:paraId="52AB5F4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40</w:t>
            </w:r>
          </w:p>
        </w:tc>
        <w:tc>
          <w:tcPr>
            <w:tcW w:w="1260" w:type="dxa"/>
            <w:shd w:val="clear" w:color="000000" w:fill="FFFFFF"/>
            <w:vAlign w:val="center"/>
            <w:hideMark/>
          </w:tcPr>
          <w:p w14:paraId="1373608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53</w:t>
            </w:r>
          </w:p>
        </w:tc>
        <w:tc>
          <w:tcPr>
            <w:tcW w:w="990" w:type="dxa"/>
            <w:shd w:val="clear" w:color="000000" w:fill="FFFFFF"/>
            <w:vAlign w:val="center"/>
            <w:hideMark/>
          </w:tcPr>
          <w:p w14:paraId="4C4B72F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shd w:val="clear" w:color="auto" w:fill="auto"/>
            <w:vAlign w:val="center"/>
            <w:hideMark/>
          </w:tcPr>
          <w:p w14:paraId="05871A1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2DCF9CE5" w14:textId="77777777" w:rsidTr="00282204">
        <w:trPr>
          <w:trHeight w:val="270"/>
          <w:jc w:val="center"/>
        </w:trPr>
        <w:tc>
          <w:tcPr>
            <w:tcW w:w="5130" w:type="dxa"/>
            <w:vMerge/>
            <w:tcBorders>
              <w:bottom w:val="single" w:sz="4" w:space="0" w:color="auto"/>
            </w:tcBorders>
            <w:shd w:val="clear" w:color="auto" w:fill="auto"/>
            <w:vAlign w:val="center"/>
            <w:hideMark/>
          </w:tcPr>
          <w:p w14:paraId="7FEDD944"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62B50B39"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567C7DE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00F7960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3542AB4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tcBorders>
              <w:bottom w:val="single" w:sz="4" w:space="0" w:color="auto"/>
            </w:tcBorders>
            <w:shd w:val="clear" w:color="000000" w:fill="FFFFFF"/>
            <w:vAlign w:val="center"/>
            <w:hideMark/>
          </w:tcPr>
          <w:p w14:paraId="59B2D4B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67</w:t>
            </w:r>
          </w:p>
        </w:tc>
        <w:tc>
          <w:tcPr>
            <w:tcW w:w="1260" w:type="dxa"/>
            <w:tcBorders>
              <w:bottom w:val="single" w:sz="4" w:space="0" w:color="auto"/>
            </w:tcBorders>
            <w:shd w:val="clear" w:color="000000" w:fill="FFFFFF"/>
            <w:vAlign w:val="center"/>
            <w:hideMark/>
          </w:tcPr>
          <w:p w14:paraId="3C97156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19</w:t>
            </w:r>
          </w:p>
        </w:tc>
        <w:tc>
          <w:tcPr>
            <w:tcW w:w="990" w:type="dxa"/>
            <w:tcBorders>
              <w:bottom w:val="single" w:sz="4" w:space="0" w:color="auto"/>
            </w:tcBorders>
            <w:shd w:val="clear" w:color="000000" w:fill="FFFFFF"/>
            <w:vAlign w:val="center"/>
            <w:hideMark/>
          </w:tcPr>
          <w:p w14:paraId="0B1C28D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5258A57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6D0A67F9" w14:textId="77777777" w:rsidTr="00282204">
        <w:trPr>
          <w:trHeight w:val="449"/>
          <w:jc w:val="center"/>
        </w:trPr>
        <w:tc>
          <w:tcPr>
            <w:tcW w:w="5130" w:type="dxa"/>
            <w:vMerge w:val="restart"/>
            <w:tcBorders>
              <w:top w:val="single" w:sz="4" w:space="0" w:color="auto"/>
            </w:tcBorders>
            <w:shd w:val="clear" w:color="auto" w:fill="auto"/>
            <w:vAlign w:val="center"/>
            <w:hideMark/>
          </w:tcPr>
          <w:p w14:paraId="10C2C38D" w14:textId="77777777" w:rsidR="00821B82" w:rsidRPr="001F0CCE"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working in the primary care team can make doctors’ job easier by reducing their workload and decreasing amount of time spent addressing medication-related problems</w:t>
            </w:r>
          </w:p>
        </w:tc>
        <w:tc>
          <w:tcPr>
            <w:tcW w:w="1800" w:type="dxa"/>
            <w:tcBorders>
              <w:top w:val="single" w:sz="4" w:space="0" w:color="auto"/>
            </w:tcBorders>
            <w:shd w:val="clear" w:color="auto" w:fill="auto"/>
            <w:vAlign w:val="center"/>
            <w:hideMark/>
          </w:tcPr>
          <w:p w14:paraId="1AD4C135"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auto" w:fill="auto"/>
            <w:vAlign w:val="center"/>
            <w:hideMark/>
          </w:tcPr>
          <w:p w14:paraId="6F04BE9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tcBorders>
              <w:top w:val="single" w:sz="4" w:space="0" w:color="auto"/>
            </w:tcBorders>
            <w:shd w:val="clear" w:color="auto" w:fill="auto"/>
            <w:vAlign w:val="center"/>
            <w:hideMark/>
          </w:tcPr>
          <w:p w14:paraId="24103A0A"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top w:val="single" w:sz="4" w:space="0" w:color="auto"/>
            </w:tcBorders>
            <w:shd w:val="clear" w:color="000000" w:fill="FFFFFF"/>
            <w:vAlign w:val="center"/>
            <w:hideMark/>
          </w:tcPr>
          <w:p w14:paraId="1D8F584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w:t>
            </w:r>
          </w:p>
        </w:tc>
        <w:tc>
          <w:tcPr>
            <w:tcW w:w="810" w:type="dxa"/>
            <w:tcBorders>
              <w:top w:val="single" w:sz="4" w:space="0" w:color="auto"/>
            </w:tcBorders>
            <w:shd w:val="clear" w:color="000000" w:fill="FFFFFF"/>
            <w:vAlign w:val="center"/>
            <w:hideMark/>
          </w:tcPr>
          <w:p w14:paraId="1F3AF3B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39</w:t>
            </w:r>
          </w:p>
        </w:tc>
        <w:tc>
          <w:tcPr>
            <w:tcW w:w="1260" w:type="dxa"/>
            <w:tcBorders>
              <w:top w:val="single" w:sz="4" w:space="0" w:color="auto"/>
            </w:tcBorders>
            <w:shd w:val="clear" w:color="000000" w:fill="FFFFFF"/>
            <w:vAlign w:val="center"/>
            <w:hideMark/>
          </w:tcPr>
          <w:p w14:paraId="33A55FD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53</w:t>
            </w:r>
          </w:p>
        </w:tc>
        <w:tc>
          <w:tcPr>
            <w:tcW w:w="990" w:type="dxa"/>
            <w:tcBorders>
              <w:top w:val="single" w:sz="4" w:space="0" w:color="auto"/>
            </w:tcBorders>
            <w:shd w:val="clear" w:color="000000" w:fill="FFFFFF"/>
            <w:vAlign w:val="center"/>
            <w:hideMark/>
          </w:tcPr>
          <w:p w14:paraId="6A5BA90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val="restart"/>
            <w:tcBorders>
              <w:top w:val="single" w:sz="4" w:space="0" w:color="auto"/>
            </w:tcBorders>
            <w:shd w:val="clear" w:color="auto" w:fill="auto"/>
            <w:vAlign w:val="center"/>
            <w:hideMark/>
          </w:tcPr>
          <w:p w14:paraId="59715D05"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r w:rsidRPr="00E22780">
              <w:rPr>
                <w:rFonts w:asciiTheme="minorBidi" w:eastAsia="Times New Roman" w:hAnsiTheme="minorBidi"/>
                <w:color w:val="010205"/>
                <w:sz w:val="18"/>
                <w:szCs w:val="18"/>
              </w:rPr>
              <w:t>0.05*</w:t>
            </w:r>
          </w:p>
        </w:tc>
      </w:tr>
      <w:tr w:rsidR="00821B82" w:rsidRPr="001F0CCE" w14:paraId="0D81BE01" w14:textId="77777777" w:rsidTr="00282204">
        <w:trPr>
          <w:trHeight w:val="541"/>
          <w:jc w:val="center"/>
        </w:trPr>
        <w:tc>
          <w:tcPr>
            <w:tcW w:w="5130" w:type="dxa"/>
            <w:vMerge/>
            <w:shd w:val="clear" w:color="auto" w:fill="auto"/>
            <w:vAlign w:val="center"/>
            <w:hideMark/>
          </w:tcPr>
          <w:p w14:paraId="4343AF85"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16B16918"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auto" w:fill="auto"/>
            <w:vAlign w:val="center"/>
            <w:hideMark/>
          </w:tcPr>
          <w:p w14:paraId="2F19872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shd w:val="clear" w:color="auto" w:fill="auto"/>
            <w:vAlign w:val="center"/>
            <w:hideMark/>
          </w:tcPr>
          <w:p w14:paraId="016296F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shd w:val="clear" w:color="000000" w:fill="FFFFFF"/>
            <w:vAlign w:val="center"/>
            <w:hideMark/>
          </w:tcPr>
          <w:p w14:paraId="3E45891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shd w:val="clear" w:color="000000" w:fill="FFFFFF"/>
            <w:vAlign w:val="center"/>
            <w:hideMark/>
          </w:tcPr>
          <w:p w14:paraId="0CA94CF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33</w:t>
            </w:r>
          </w:p>
        </w:tc>
        <w:tc>
          <w:tcPr>
            <w:tcW w:w="1260" w:type="dxa"/>
            <w:shd w:val="clear" w:color="000000" w:fill="FFFFFF"/>
            <w:vAlign w:val="center"/>
            <w:hideMark/>
          </w:tcPr>
          <w:p w14:paraId="55FB611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60</w:t>
            </w:r>
          </w:p>
        </w:tc>
        <w:tc>
          <w:tcPr>
            <w:tcW w:w="990" w:type="dxa"/>
            <w:shd w:val="clear" w:color="000000" w:fill="FFFFFF"/>
            <w:vAlign w:val="center"/>
            <w:hideMark/>
          </w:tcPr>
          <w:p w14:paraId="27C8D81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shd w:val="clear" w:color="auto" w:fill="auto"/>
            <w:vAlign w:val="center"/>
            <w:hideMark/>
          </w:tcPr>
          <w:p w14:paraId="5F16ECA7"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37490C0F" w14:textId="77777777" w:rsidTr="00282204">
        <w:trPr>
          <w:trHeight w:val="90"/>
          <w:jc w:val="center"/>
        </w:trPr>
        <w:tc>
          <w:tcPr>
            <w:tcW w:w="5130" w:type="dxa"/>
            <w:vMerge/>
            <w:tcBorders>
              <w:bottom w:val="single" w:sz="4" w:space="0" w:color="auto"/>
            </w:tcBorders>
            <w:shd w:val="clear" w:color="auto" w:fill="auto"/>
            <w:vAlign w:val="center"/>
            <w:hideMark/>
          </w:tcPr>
          <w:p w14:paraId="4562DF17"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7D154E11"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3560E4C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auto" w:fill="auto"/>
            <w:vAlign w:val="center"/>
            <w:hideMark/>
          </w:tcPr>
          <w:p w14:paraId="613570D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5A37046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15</w:t>
            </w:r>
          </w:p>
        </w:tc>
        <w:tc>
          <w:tcPr>
            <w:tcW w:w="810" w:type="dxa"/>
            <w:tcBorders>
              <w:bottom w:val="single" w:sz="4" w:space="0" w:color="auto"/>
            </w:tcBorders>
            <w:shd w:val="clear" w:color="000000" w:fill="FFFFFF"/>
            <w:vAlign w:val="center"/>
            <w:hideMark/>
          </w:tcPr>
          <w:p w14:paraId="0BB0DFE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56</w:t>
            </w:r>
          </w:p>
        </w:tc>
        <w:tc>
          <w:tcPr>
            <w:tcW w:w="1260" w:type="dxa"/>
            <w:tcBorders>
              <w:bottom w:val="single" w:sz="4" w:space="0" w:color="auto"/>
            </w:tcBorders>
            <w:shd w:val="clear" w:color="000000" w:fill="FFFFFF"/>
            <w:vAlign w:val="center"/>
            <w:hideMark/>
          </w:tcPr>
          <w:p w14:paraId="1B8962E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22</w:t>
            </w:r>
          </w:p>
        </w:tc>
        <w:tc>
          <w:tcPr>
            <w:tcW w:w="990" w:type="dxa"/>
            <w:tcBorders>
              <w:bottom w:val="single" w:sz="4" w:space="0" w:color="auto"/>
            </w:tcBorders>
            <w:shd w:val="clear" w:color="000000" w:fill="FFFFFF"/>
            <w:vAlign w:val="center"/>
            <w:hideMark/>
          </w:tcPr>
          <w:p w14:paraId="00A3F92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2D9B3B92"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36F13CBA" w14:textId="77777777" w:rsidTr="00282204">
        <w:trPr>
          <w:trHeight w:val="206"/>
          <w:jc w:val="center"/>
        </w:trPr>
        <w:tc>
          <w:tcPr>
            <w:tcW w:w="5130" w:type="dxa"/>
            <w:vMerge w:val="restart"/>
            <w:tcBorders>
              <w:top w:val="single" w:sz="4" w:space="0" w:color="auto"/>
            </w:tcBorders>
            <w:shd w:val="clear" w:color="auto" w:fill="auto"/>
            <w:vAlign w:val="center"/>
            <w:hideMark/>
          </w:tcPr>
          <w:p w14:paraId="08606D63" w14:textId="77777777" w:rsidR="00821B82" w:rsidRDefault="00821B82" w:rsidP="00282204">
            <w:pPr>
              <w:spacing w:after="0" w:line="240" w:lineRule="auto"/>
              <w:rPr>
                <w:rFonts w:eastAsia="Times New Roman" w:cstheme="minorHAnsi"/>
                <w:color w:val="264A60"/>
              </w:rPr>
            </w:pPr>
            <w:r w:rsidRPr="001F0CCE">
              <w:rPr>
                <w:rFonts w:eastAsia="Times New Roman" w:cstheme="minorHAnsi"/>
                <w:color w:val="264A60"/>
              </w:rPr>
              <w:t>Use of pharmacist’s skills and knowledge in diabetes primary care management can improve patient outcomes</w:t>
            </w:r>
          </w:p>
          <w:p w14:paraId="76512728" w14:textId="77777777" w:rsidR="00821B82" w:rsidRPr="001F0CCE" w:rsidRDefault="00821B82" w:rsidP="00282204">
            <w:pPr>
              <w:spacing w:after="0" w:line="240" w:lineRule="auto"/>
              <w:rPr>
                <w:rFonts w:eastAsia="Times New Roman" w:cstheme="minorHAnsi"/>
                <w:color w:val="264A60"/>
              </w:rPr>
            </w:pPr>
          </w:p>
        </w:tc>
        <w:tc>
          <w:tcPr>
            <w:tcW w:w="1800" w:type="dxa"/>
            <w:tcBorders>
              <w:top w:val="single" w:sz="4" w:space="0" w:color="auto"/>
            </w:tcBorders>
            <w:shd w:val="clear" w:color="auto" w:fill="auto"/>
            <w:vAlign w:val="center"/>
            <w:hideMark/>
          </w:tcPr>
          <w:p w14:paraId="22583294"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2C9913C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tcBorders>
              <w:top w:val="single" w:sz="4" w:space="0" w:color="auto"/>
            </w:tcBorders>
            <w:shd w:val="clear" w:color="000000" w:fill="FFFFFF"/>
            <w:vAlign w:val="center"/>
            <w:hideMark/>
          </w:tcPr>
          <w:p w14:paraId="0798CC7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w:t>
            </w:r>
          </w:p>
        </w:tc>
        <w:tc>
          <w:tcPr>
            <w:tcW w:w="1440" w:type="dxa"/>
            <w:tcBorders>
              <w:top w:val="single" w:sz="4" w:space="0" w:color="auto"/>
            </w:tcBorders>
            <w:shd w:val="clear" w:color="000000" w:fill="FFFFFF"/>
            <w:vAlign w:val="center"/>
            <w:hideMark/>
          </w:tcPr>
          <w:p w14:paraId="0BE84E1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w:t>
            </w:r>
          </w:p>
        </w:tc>
        <w:tc>
          <w:tcPr>
            <w:tcW w:w="810" w:type="dxa"/>
            <w:tcBorders>
              <w:top w:val="single" w:sz="4" w:space="0" w:color="auto"/>
            </w:tcBorders>
            <w:shd w:val="clear" w:color="000000" w:fill="FFFFFF"/>
            <w:vAlign w:val="center"/>
            <w:hideMark/>
          </w:tcPr>
          <w:p w14:paraId="6A089AE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33</w:t>
            </w:r>
          </w:p>
        </w:tc>
        <w:tc>
          <w:tcPr>
            <w:tcW w:w="1260" w:type="dxa"/>
            <w:tcBorders>
              <w:top w:val="single" w:sz="4" w:space="0" w:color="auto"/>
            </w:tcBorders>
            <w:shd w:val="clear" w:color="000000" w:fill="FFFFFF"/>
            <w:vAlign w:val="center"/>
            <w:hideMark/>
          </w:tcPr>
          <w:p w14:paraId="672C566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55</w:t>
            </w:r>
          </w:p>
        </w:tc>
        <w:tc>
          <w:tcPr>
            <w:tcW w:w="990" w:type="dxa"/>
            <w:tcBorders>
              <w:top w:val="single" w:sz="4" w:space="0" w:color="auto"/>
            </w:tcBorders>
            <w:shd w:val="clear" w:color="000000" w:fill="FFFFFF"/>
            <w:vAlign w:val="center"/>
            <w:hideMark/>
          </w:tcPr>
          <w:p w14:paraId="2AFAB0B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val="restart"/>
            <w:tcBorders>
              <w:top w:val="single" w:sz="4" w:space="0" w:color="auto"/>
            </w:tcBorders>
            <w:shd w:val="clear" w:color="auto" w:fill="auto"/>
            <w:vAlign w:val="center"/>
            <w:hideMark/>
          </w:tcPr>
          <w:p w14:paraId="6E5B12E8"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0.01*</w:t>
            </w:r>
          </w:p>
        </w:tc>
      </w:tr>
      <w:tr w:rsidR="00821B82" w:rsidRPr="001F0CCE" w14:paraId="2DEA6244" w14:textId="77777777" w:rsidTr="00282204">
        <w:trPr>
          <w:trHeight w:val="68"/>
          <w:jc w:val="center"/>
        </w:trPr>
        <w:tc>
          <w:tcPr>
            <w:tcW w:w="5130" w:type="dxa"/>
            <w:vMerge/>
            <w:shd w:val="clear" w:color="auto" w:fill="auto"/>
            <w:vAlign w:val="center"/>
            <w:hideMark/>
          </w:tcPr>
          <w:p w14:paraId="5FB37B84"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03966FE4"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3D4F37C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shd w:val="clear" w:color="000000" w:fill="FFFFFF"/>
            <w:vAlign w:val="center"/>
            <w:hideMark/>
          </w:tcPr>
          <w:p w14:paraId="231A83E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shd w:val="clear" w:color="000000" w:fill="FFFFFF"/>
            <w:vAlign w:val="center"/>
            <w:hideMark/>
          </w:tcPr>
          <w:p w14:paraId="4B426BB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shd w:val="clear" w:color="000000" w:fill="FFFFFF"/>
            <w:vAlign w:val="center"/>
            <w:hideMark/>
          </w:tcPr>
          <w:p w14:paraId="4E2B139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43</w:t>
            </w:r>
          </w:p>
        </w:tc>
        <w:tc>
          <w:tcPr>
            <w:tcW w:w="1260" w:type="dxa"/>
            <w:shd w:val="clear" w:color="000000" w:fill="FFFFFF"/>
            <w:vAlign w:val="center"/>
            <w:hideMark/>
          </w:tcPr>
          <w:p w14:paraId="659A4B1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50</w:t>
            </w:r>
          </w:p>
        </w:tc>
        <w:tc>
          <w:tcPr>
            <w:tcW w:w="990" w:type="dxa"/>
            <w:shd w:val="clear" w:color="000000" w:fill="FFFFFF"/>
            <w:vAlign w:val="center"/>
            <w:hideMark/>
          </w:tcPr>
          <w:p w14:paraId="6B405C2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4.5 (4-5)</w:t>
            </w:r>
          </w:p>
        </w:tc>
        <w:tc>
          <w:tcPr>
            <w:tcW w:w="990" w:type="dxa"/>
            <w:vMerge/>
            <w:shd w:val="clear" w:color="auto" w:fill="auto"/>
            <w:vAlign w:val="center"/>
            <w:hideMark/>
          </w:tcPr>
          <w:p w14:paraId="1F1CC626"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29AA5499" w14:textId="77777777" w:rsidTr="00282204">
        <w:trPr>
          <w:trHeight w:val="298"/>
          <w:jc w:val="center"/>
        </w:trPr>
        <w:tc>
          <w:tcPr>
            <w:tcW w:w="5130" w:type="dxa"/>
            <w:vMerge/>
            <w:tcBorders>
              <w:bottom w:val="single" w:sz="4" w:space="0" w:color="auto"/>
            </w:tcBorders>
            <w:shd w:val="clear" w:color="auto" w:fill="auto"/>
            <w:vAlign w:val="center"/>
            <w:hideMark/>
          </w:tcPr>
          <w:p w14:paraId="13C8A8F7"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1406D28A"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64C7C48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5ECC864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674833F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tcBorders>
              <w:bottom w:val="single" w:sz="4" w:space="0" w:color="auto"/>
            </w:tcBorders>
            <w:shd w:val="clear" w:color="000000" w:fill="FFFFFF"/>
            <w:vAlign w:val="center"/>
            <w:hideMark/>
          </w:tcPr>
          <w:p w14:paraId="57FDC92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67</w:t>
            </w:r>
          </w:p>
        </w:tc>
        <w:tc>
          <w:tcPr>
            <w:tcW w:w="1260" w:type="dxa"/>
            <w:tcBorders>
              <w:bottom w:val="single" w:sz="4" w:space="0" w:color="auto"/>
            </w:tcBorders>
            <w:shd w:val="clear" w:color="000000" w:fill="FFFFFF"/>
            <w:vAlign w:val="center"/>
            <w:hideMark/>
          </w:tcPr>
          <w:p w14:paraId="3E1B52E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19</w:t>
            </w:r>
          </w:p>
        </w:tc>
        <w:tc>
          <w:tcPr>
            <w:tcW w:w="990" w:type="dxa"/>
            <w:tcBorders>
              <w:bottom w:val="single" w:sz="4" w:space="0" w:color="auto"/>
            </w:tcBorders>
            <w:shd w:val="clear" w:color="000000" w:fill="FFFFFF"/>
            <w:vAlign w:val="center"/>
            <w:hideMark/>
          </w:tcPr>
          <w:p w14:paraId="39496C4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50CB7DEA"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70858BBB" w14:textId="77777777" w:rsidTr="00282204">
        <w:trPr>
          <w:trHeight w:val="314"/>
          <w:jc w:val="center"/>
        </w:trPr>
        <w:tc>
          <w:tcPr>
            <w:tcW w:w="5130" w:type="dxa"/>
            <w:vMerge w:val="restart"/>
            <w:tcBorders>
              <w:top w:val="single" w:sz="4" w:space="0" w:color="auto"/>
            </w:tcBorders>
            <w:shd w:val="clear" w:color="auto" w:fill="auto"/>
            <w:vAlign w:val="center"/>
            <w:hideMark/>
          </w:tcPr>
          <w:p w14:paraId="067C3C37" w14:textId="77777777" w:rsidR="00821B82"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as medication therapy experts can make the management of patients’ medication more efficient</w:t>
            </w:r>
          </w:p>
          <w:p w14:paraId="671EBA28" w14:textId="77777777" w:rsidR="00821B82" w:rsidRPr="001F0CCE" w:rsidRDefault="00821B82" w:rsidP="00282204">
            <w:pPr>
              <w:spacing w:after="0" w:line="240" w:lineRule="auto"/>
              <w:rPr>
                <w:rFonts w:eastAsia="Times New Roman" w:cstheme="minorHAnsi"/>
                <w:color w:val="264A60"/>
              </w:rPr>
            </w:pPr>
          </w:p>
        </w:tc>
        <w:tc>
          <w:tcPr>
            <w:tcW w:w="1800" w:type="dxa"/>
            <w:tcBorders>
              <w:top w:val="single" w:sz="4" w:space="0" w:color="auto"/>
            </w:tcBorders>
            <w:shd w:val="clear" w:color="auto" w:fill="auto"/>
            <w:vAlign w:val="center"/>
            <w:hideMark/>
          </w:tcPr>
          <w:p w14:paraId="20D888DE"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2E077B8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w:t>
            </w:r>
          </w:p>
        </w:tc>
        <w:tc>
          <w:tcPr>
            <w:tcW w:w="1080" w:type="dxa"/>
            <w:tcBorders>
              <w:top w:val="single" w:sz="4" w:space="0" w:color="auto"/>
            </w:tcBorders>
            <w:shd w:val="clear" w:color="000000" w:fill="FFFFFF"/>
            <w:vAlign w:val="center"/>
            <w:hideMark/>
          </w:tcPr>
          <w:p w14:paraId="701B8DF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w:t>
            </w:r>
          </w:p>
        </w:tc>
        <w:tc>
          <w:tcPr>
            <w:tcW w:w="1440" w:type="dxa"/>
            <w:tcBorders>
              <w:top w:val="single" w:sz="4" w:space="0" w:color="auto"/>
            </w:tcBorders>
            <w:shd w:val="clear" w:color="000000" w:fill="FFFFFF"/>
            <w:vAlign w:val="center"/>
            <w:hideMark/>
          </w:tcPr>
          <w:p w14:paraId="6C2209F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8</w:t>
            </w:r>
          </w:p>
        </w:tc>
        <w:tc>
          <w:tcPr>
            <w:tcW w:w="810" w:type="dxa"/>
            <w:tcBorders>
              <w:top w:val="single" w:sz="4" w:space="0" w:color="auto"/>
            </w:tcBorders>
            <w:shd w:val="clear" w:color="000000" w:fill="FFFFFF"/>
            <w:vAlign w:val="center"/>
            <w:hideMark/>
          </w:tcPr>
          <w:p w14:paraId="70E5C68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39</w:t>
            </w:r>
          </w:p>
        </w:tc>
        <w:tc>
          <w:tcPr>
            <w:tcW w:w="1260" w:type="dxa"/>
            <w:tcBorders>
              <w:top w:val="single" w:sz="4" w:space="0" w:color="auto"/>
            </w:tcBorders>
            <w:shd w:val="clear" w:color="000000" w:fill="FFFFFF"/>
            <w:vAlign w:val="center"/>
            <w:hideMark/>
          </w:tcPr>
          <w:p w14:paraId="39FD71D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49</w:t>
            </w:r>
          </w:p>
        </w:tc>
        <w:tc>
          <w:tcPr>
            <w:tcW w:w="990" w:type="dxa"/>
            <w:tcBorders>
              <w:top w:val="single" w:sz="4" w:space="0" w:color="auto"/>
            </w:tcBorders>
            <w:shd w:val="clear" w:color="000000" w:fill="FFFFFF"/>
            <w:vAlign w:val="center"/>
            <w:hideMark/>
          </w:tcPr>
          <w:p w14:paraId="4B04643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(4-5)</w:t>
            </w:r>
          </w:p>
        </w:tc>
        <w:tc>
          <w:tcPr>
            <w:tcW w:w="990" w:type="dxa"/>
            <w:vMerge w:val="restart"/>
            <w:tcBorders>
              <w:top w:val="single" w:sz="4" w:space="0" w:color="auto"/>
            </w:tcBorders>
            <w:shd w:val="clear" w:color="auto" w:fill="auto"/>
            <w:vAlign w:val="center"/>
            <w:hideMark/>
          </w:tcPr>
          <w:p w14:paraId="0285BDDF"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r w:rsidRPr="00E22780">
              <w:rPr>
                <w:rFonts w:asciiTheme="minorBidi" w:eastAsia="Times New Roman" w:hAnsiTheme="minorBidi"/>
                <w:color w:val="010205"/>
                <w:sz w:val="18"/>
                <w:szCs w:val="18"/>
              </w:rPr>
              <w:t>0.10</w:t>
            </w:r>
          </w:p>
          <w:p w14:paraId="5FD1BB59"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p w14:paraId="0C0D2D0A"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50647F3D" w14:textId="77777777" w:rsidTr="00282204">
        <w:trPr>
          <w:trHeight w:val="68"/>
          <w:jc w:val="center"/>
        </w:trPr>
        <w:tc>
          <w:tcPr>
            <w:tcW w:w="5130" w:type="dxa"/>
            <w:vMerge/>
            <w:shd w:val="clear" w:color="auto" w:fill="auto"/>
            <w:vAlign w:val="center"/>
            <w:hideMark/>
          </w:tcPr>
          <w:p w14:paraId="4E4E807D"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34A4297B"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18D8270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1080" w:type="dxa"/>
            <w:shd w:val="clear" w:color="000000" w:fill="FFFFFF"/>
            <w:vAlign w:val="center"/>
            <w:hideMark/>
          </w:tcPr>
          <w:p w14:paraId="375D2A9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1440" w:type="dxa"/>
            <w:shd w:val="clear" w:color="000000" w:fill="FFFFFF"/>
            <w:vAlign w:val="center"/>
            <w:hideMark/>
          </w:tcPr>
          <w:p w14:paraId="0C383C9A"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810" w:type="dxa"/>
            <w:shd w:val="clear" w:color="000000" w:fill="FFFFFF"/>
            <w:vAlign w:val="center"/>
            <w:hideMark/>
          </w:tcPr>
          <w:p w14:paraId="64798D9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40</w:t>
            </w:r>
          </w:p>
        </w:tc>
        <w:tc>
          <w:tcPr>
            <w:tcW w:w="1260" w:type="dxa"/>
            <w:shd w:val="clear" w:color="000000" w:fill="FFFFFF"/>
            <w:vAlign w:val="center"/>
            <w:hideMark/>
          </w:tcPr>
          <w:p w14:paraId="263931F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50</w:t>
            </w:r>
          </w:p>
        </w:tc>
        <w:tc>
          <w:tcPr>
            <w:tcW w:w="990" w:type="dxa"/>
            <w:shd w:val="clear" w:color="000000" w:fill="FFFFFF"/>
            <w:vAlign w:val="center"/>
            <w:hideMark/>
          </w:tcPr>
          <w:p w14:paraId="7B3FC53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4.5 (4-5)</w:t>
            </w:r>
          </w:p>
        </w:tc>
        <w:tc>
          <w:tcPr>
            <w:tcW w:w="990" w:type="dxa"/>
            <w:vMerge/>
            <w:shd w:val="clear" w:color="auto" w:fill="auto"/>
            <w:vAlign w:val="center"/>
            <w:hideMark/>
          </w:tcPr>
          <w:p w14:paraId="587D0CE5"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39EF1C7B" w14:textId="77777777" w:rsidTr="00282204">
        <w:trPr>
          <w:trHeight w:val="189"/>
          <w:jc w:val="center"/>
        </w:trPr>
        <w:tc>
          <w:tcPr>
            <w:tcW w:w="5130" w:type="dxa"/>
            <w:vMerge/>
            <w:tcBorders>
              <w:bottom w:val="single" w:sz="4" w:space="0" w:color="auto"/>
            </w:tcBorders>
            <w:shd w:val="clear" w:color="auto" w:fill="auto"/>
            <w:vAlign w:val="center"/>
            <w:hideMark/>
          </w:tcPr>
          <w:p w14:paraId="3A721D07"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46D07587"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463989A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286345D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037BA92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tcBorders>
              <w:bottom w:val="single" w:sz="4" w:space="0" w:color="auto"/>
            </w:tcBorders>
            <w:shd w:val="clear" w:color="000000" w:fill="FFFFFF"/>
            <w:vAlign w:val="center"/>
            <w:hideMark/>
          </w:tcPr>
          <w:p w14:paraId="3A14A7F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67</w:t>
            </w:r>
          </w:p>
        </w:tc>
        <w:tc>
          <w:tcPr>
            <w:tcW w:w="1260" w:type="dxa"/>
            <w:tcBorders>
              <w:bottom w:val="single" w:sz="4" w:space="0" w:color="auto"/>
            </w:tcBorders>
            <w:shd w:val="clear" w:color="000000" w:fill="FFFFFF"/>
            <w:vAlign w:val="center"/>
            <w:hideMark/>
          </w:tcPr>
          <w:p w14:paraId="457C790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19</w:t>
            </w:r>
          </w:p>
        </w:tc>
        <w:tc>
          <w:tcPr>
            <w:tcW w:w="990" w:type="dxa"/>
            <w:tcBorders>
              <w:bottom w:val="single" w:sz="4" w:space="0" w:color="auto"/>
            </w:tcBorders>
            <w:shd w:val="clear" w:color="000000" w:fill="FFFFFF"/>
            <w:vAlign w:val="center"/>
            <w:hideMark/>
          </w:tcPr>
          <w:p w14:paraId="533D157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696DF223"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5C8BCF59" w14:textId="77777777" w:rsidTr="00282204">
        <w:trPr>
          <w:trHeight w:val="89"/>
          <w:jc w:val="center"/>
        </w:trPr>
        <w:tc>
          <w:tcPr>
            <w:tcW w:w="5130" w:type="dxa"/>
            <w:vMerge w:val="restart"/>
            <w:tcBorders>
              <w:top w:val="single" w:sz="4" w:space="0" w:color="auto"/>
            </w:tcBorders>
            <w:shd w:val="clear" w:color="auto" w:fill="auto"/>
            <w:vAlign w:val="center"/>
            <w:hideMark/>
          </w:tcPr>
          <w:p w14:paraId="25246683" w14:textId="77777777" w:rsidR="00821B82"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can help with co-management of complex patients</w:t>
            </w:r>
          </w:p>
          <w:p w14:paraId="007D828A" w14:textId="77777777" w:rsidR="00821B82" w:rsidRPr="001F0CCE" w:rsidRDefault="00821B82" w:rsidP="00282204">
            <w:pPr>
              <w:spacing w:after="0" w:line="240" w:lineRule="auto"/>
              <w:rPr>
                <w:rFonts w:eastAsia="Times New Roman" w:cstheme="minorHAnsi"/>
                <w:color w:val="264A60"/>
              </w:rPr>
            </w:pPr>
          </w:p>
        </w:tc>
        <w:tc>
          <w:tcPr>
            <w:tcW w:w="1800" w:type="dxa"/>
            <w:tcBorders>
              <w:top w:val="single" w:sz="4" w:space="0" w:color="auto"/>
            </w:tcBorders>
            <w:shd w:val="clear" w:color="auto" w:fill="auto"/>
            <w:vAlign w:val="center"/>
            <w:hideMark/>
          </w:tcPr>
          <w:p w14:paraId="6A059E87"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749F9C4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tcBorders>
              <w:top w:val="single" w:sz="4" w:space="0" w:color="auto"/>
            </w:tcBorders>
            <w:shd w:val="clear" w:color="000000" w:fill="FFFFFF"/>
            <w:vAlign w:val="center"/>
            <w:hideMark/>
          </w:tcPr>
          <w:p w14:paraId="2A3C138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w:t>
            </w:r>
          </w:p>
        </w:tc>
        <w:tc>
          <w:tcPr>
            <w:tcW w:w="1440" w:type="dxa"/>
            <w:tcBorders>
              <w:top w:val="single" w:sz="4" w:space="0" w:color="auto"/>
            </w:tcBorders>
            <w:shd w:val="clear" w:color="000000" w:fill="FFFFFF"/>
            <w:vAlign w:val="center"/>
            <w:hideMark/>
          </w:tcPr>
          <w:p w14:paraId="5DC729D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w:t>
            </w:r>
          </w:p>
        </w:tc>
        <w:tc>
          <w:tcPr>
            <w:tcW w:w="810" w:type="dxa"/>
            <w:tcBorders>
              <w:top w:val="single" w:sz="4" w:space="0" w:color="auto"/>
            </w:tcBorders>
            <w:shd w:val="clear" w:color="000000" w:fill="FFFFFF"/>
            <w:vAlign w:val="center"/>
            <w:hideMark/>
          </w:tcPr>
          <w:p w14:paraId="3C9D159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39</w:t>
            </w:r>
          </w:p>
        </w:tc>
        <w:tc>
          <w:tcPr>
            <w:tcW w:w="1260" w:type="dxa"/>
            <w:tcBorders>
              <w:top w:val="single" w:sz="4" w:space="0" w:color="auto"/>
            </w:tcBorders>
            <w:shd w:val="clear" w:color="000000" w:fill="FFFFFF"/>
            <w:vAlign w:val="center"/>
            <w:hideMark/>
          </w:tcPr>
          <w:p w14:paraId="71521EB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53</w:t>
            </w:r>
          </w:p>
        </w:tc>
        <w:tc>
          <w:tcPr>
            <w:tcW w:w="990" w:type="dxa"/>
            <w:tcBorders>
              <w:top w:val="single" w:sz="4" w:space="0" w:color="auto"/>
            </w:tcBorders>
            <w:shd w:val="clear" w:color="000000" w:fill="FFFFFF"/>
            <w:vAlign w:val="center"/>
            <w:hideMark/>
          </w:tcPr>
          <w:p w14:paraId="7670482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 (4-5)</w:t>
            </w:r>
          </w:p>
        </w:tc>
        <w:tc>
          <w:tcPr>
            <w:tcW w:w="990" w:type="dxa"/>
            <w:vMerge w:val="restart"/>
            <w:tcBorders>
              <w:top w:val="single" w:sz="4" w:space="0" w:color="auto"/>
            </w:tcBorders>
            <w:shd w:val="clear" w:color="auto" w:fill="auto"/>
            <w:vAlign w:val="center"/>
            <w:hideMark/>
          </w:tcPr>
          <w:p w14:paraId="4C8D4168" w14:textId="77777777" w:rsidR="00821B82" w:rsidRPr="00684079"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0.01*</w:t>
            </w:r>
          </w:p>
          <w:p w14:paraId="62131E00"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p w14:paraId="1272E36F"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120FAA53" w14:textId="77777777" w:rsidTr="00282204">
        <w:trPr>
          <w:trHeight w:val="68"/>
          <w:jc w:val="center"/>
        </w:trPr>
        <w:tc>
          <w:tcPr>
            <w:tcW w:w="5130" w:type="dxa"/>
            <w:vMerge/>
            <w:shd w:val="clear" w:color="auto" w:fill="auto"/>
            <w:vAlign w:val="center"/>
            <w:hideMark/>
          </w:tcPr>
          <w:p w14:paraId="7A9E61BF"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2918C31D"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36020A9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1080" w:type="dxa"/>
            <w:shd w:val="clear" w:color="000000" w:fill="FFFFFF"/>
            <w:vAlign w:val="center"/>
            <w:hideMark/>
          </w:tcPr>
          <w:p w14:paraId="075C777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1440" w:type="dxa"/>
            <w:shd w:val="clear" w:color="000000" w:fill="FFFFFF"/>
            <w:vAlign w:val="center"/>
            <w:hideMark/>
          </w:tcPr>
          <w:p w14:paraId="0160678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10</w:t>
            </w:r>
          </w:p>
        </w:tc>
        <w:tc>
          <w:tcPr>
            <w:tcW w:w="810" w:type="dxa"/>
            <w:shd w:val="clear" w:color="000000" w:fill="FFFFFF"/>
            <w:vAlign w:val="center"/>
            <w:hideMark/>
          </w:tcPr>
          <w:p w14:paraId="6A6F6DB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40</w:t>
            </w:r>
          </w:p>
        </w:tc>
        <w:tc>
          <w:tcPr>
            <w:tcW w:w="1260" w:type="dxa"/>
            <w:shd w:val="clear" w:color="000000" w:fill="FFFFFF"/>
            <w:vAlign w:val="center"/>
            <w:hideMark/>
          </w:tcPr>
          <w:p w14:paraId="4FD10BFA"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43</w:t>
            </w:r>
          </w:p>
        </w:tc>
        <w:tc>
          <w:tcPr>
            <w:tcW w:w="990" w:type="dxa"/>
            <w:shd w:val="clear" w:color="000000" w:fill="FFFFFF"/>
            <w:vAlign w:val="center"/>
            <w:hideMark/>
          </w:tcPr>
          <w:p w14:paraId="21C55CD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(4-5)</w:t>
            </w:r>
          </w:p>
        </w:tc>
        <w:tc>
          <w:tcPr>
            <w:tcW w:w="990" w:type="dxa"/>
            <w:vMerge/>
            <w:shd w:val="clear" w:color="auto" w:fill="auto"/>
            <w:vAlign w:val="center"/>
            <w:hideMark/>
          </w:tcPr>
          <w:p w14:paraId="2B87C14E"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51E0020C" w14:textId="77777777" w:rsidTr="00282204">
        <w:trPr>
          <w:trHeight w:val="68"/>
          <w:jc w:val="center"/>
        </w:trPr>
        <w:tc>
          <w:tcPr>
            <w:tcW w:w="5130" w:type="dxa"/>
            <w:vMerge/>
            <w:tcBorders>
              <w:bottom w:val="single" w:sz="4" w:space="0" w:color="auto"/>
            </w:tcBorders>
            <w:shd w:val="clear" w:color="auto" w:fill="auto"/>
            <w:vAlign w:val="center"/>
            <w:hideMark/>
          </w:tcPr>
          <w:p w14:paraId="7E05F596"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45AB679D"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5BB2D01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11</w:t>
            </w:r>
          </w:p>
        </w:tc>
        <w:tc>
          <w:tcPr>
            <w:tcW w:w="1080" w:type="dxa"/>
            <w:tcBorders>
              <w:bottom w:val="single" w:sz="4" w:space="0" w:color="auto"/>
            </w:tcBorders>
            <w:shd w:val="clear" w:color="000000" w:fill="FFFFFF"/>
            <w:vAlign w:val="center"/>
            <w:hideMark/>
          </w:tcPr>
          <w:p w14:paraId="75E51AC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714229A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tcBorders>
              <w:bottom w:val="single" w:sz="4" w:space="0" w:color="auto"/>
            </w:tcBorders>
            <w:shd w:val="clear" w:color="000000" w:fill="FFFFFF"/>
            <w:vAlign w:val="center"/>
            <w:hideMark/>
          </w:tcPr>
          <w:p w14:paraId="1243C26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67</w:t>
            </w:r>
          </w:p>
        </w:tc>
        <w:tc>
          <w:tcPr>
            <w:tcW w:w="1260" w:type="dxa"/>
            <w:tcBorders>
              <w:bottom w:val="single" w:sz="4" w:space="0" w:color="auto"/>
            </w:tcBorders>
            <w:shd w:val="clear" w:color="000000" w:fill="FFFFFF"/>
            <w:vAlign w:val="center"/>
            <w:hideMark/>
          </w:tcPr>
          <w:p w14:paraId="4C85DD2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15</w:t>
            </w:r>
          </w:p>
        </w:tc>
        <w:tc>
          <w:tcPr>
            <w:tcW w:w="990" w:type="dxa"/>
            <w:tcBorders>
              <w:bottom w:val="single" w:sz="4" w:space="0" w:color="auto"/>
            </w:tcBorders>
            <w:shd w:val="clear" w:color="000000" w:fill="FFFFFF"/>
            <w:vAlign w:val="center"/>
            <w:hideMark/>
          </w:tcPr>
          <w:p w14:paraId="46831FE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2F6BB3DD"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52C74817" w14:textId="77777777" w:rsidTr="00282204">
        <w:trPr>
          <w:trHeight w:val="125"/>
          <w:jc w:val="center"/>
        </w:trPr>
        <w:tc>
          <w:tcPr>
            <w:tcW w:w="5130" w:type="dxa"/>
            <w:vMerge w:val="restart"/>
            <w:tcBorders>
              <w:top w:val="single" w:sz="4" w:space="0" w:color="auto"/>
            </w:tcBorders>
            <w:shd w:val="clear" w:color="auto" w:fill="auto"/>
            <w:vAlign w:val="center"/>
            <w:hideMark/>
          </w:tcPr>
          <w:p w14:paraId="19BB5B41" w14:textId="77777777" w:rsidR="00821B82" w:rsidRPr="001F0CCE"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working in the primary care team can make nurses’ job easier by reducing their workload and decreasing amount of time spent addressing medication-related problems</w:t>
            </w:r>
          </w:p>
        </w:tc>
        <w:tc>
          <w:tcPr>
            <w:tcW w:w="1800" w:type="dxa"/>
            <w:tcBorders>
              <w:top w:val="single" w:sz="4" w:space="0" w:color="auto"/>
            </w:tcBorders>
            <w:shd w:val="clear" w:color="auto" w:fill="auto"/>
            <w:vAlign w:val="center"/>
            <w:hideMark/>
          </w:tcPr>
          <w:p w14:paraId="43A89EBC"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36DE6F2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w:t>
            </w:r>
          </w:p>
        </w:tc>
        <w:tc>
          <w:tcPr>
            <w:tcW w:w="1080" w:type="dxa"/>
            <w:tcBorders>
              <w:top w:val="single" w:sz="4" w:space="0" w:color="auto"/>
            </w:tcBorders>
            <w:shd w:val="clear" w:color="000000" w:fill="FFFFFF"/>
            <w:vAlign w:val="center"/>
            <w:hideMark/>
          </w:tcPr>
          <w:p w14:paraId="0E5A473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w:t>
            </w:r>
          </w:p>
        </w:tc>
        <w:tc>
          <w:tcPr>
            <w:tcW w:w="1440" w:type="dxa"/>
            <w:tcBorders>
              <w:top w:val="single" w:sz="4" w:space="0" w:color="auto"/>
            </w:tcBorders>
            <w:shd w:val="clear" w:color="000000" w:fill="FFFFFF"/>
            <w:vAlign w:val="center"/>
            <w:hideMark/>
          </w:tcPr>
          <w:p w14:paraId="386AD6F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25</w:t>
            </w:r>
          </w:p>
        </w:tc>
        <w:tc>
          <w:tcPr>
            <w:tcW w:w="810" w:type="dxa"/>
            <w:tcBorders>
              <w:top w:val="single" w:sz="4" w:space="0" w:color="auto"/>
            </w:tcBorders>
            <w:shd w:val="clear" w:color="000000" w:fill="FFFFFF"/>
            <w:vAlign w:val="center"/>
            <w:hideMark/>
          </w:tcPr>
          <w:p w14:paraId="75C6386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29</w:t>
            </w:r>
          </w:p>
        </w:tc>
        <w:tc>
          <w:tcPr>
            <w:tcW w:w="1260" w:type="dxa"/>
            <w:tcBorders>
              <w:top w:val="single" w:sz="4" w:space="0" w:color="auto"/>
            </w:tcBorders>
            <w:shd w:val="clear" w:color="000000" w:fill="FFFFFF"/>
            <w:vAlign w:val="center"/>
            <w:hideMark/>
          </w:tcPr>
          <w:p w14:paraId="506E530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43</w:t>
            </w:r>
          </w:p>
        </w:tc>
        <w:tc>
          <w:tcPr>
            <w:tcW w:w="990" w:type="dxa"/>
            <w:tcBorders>
              <w:top w:val="single" w:sz="4" w:space="0" w:color="auto"/>
            </w:tcBorders>
            <w:shd w:val="clear" w:color="000000" w:fill="FFFFFF"/>
            <w:vAlign w:val="center"/>
            <w:hideMark/>
          </w:tcPr>
          <w:p w14:paraId="337439B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(3-5)</w:t>
            </w:r>
          </w:p>
        </w:tc>
        <w:tc>
          <w:tcPr>
            <w:tcW w:w="990" w:type="dxa"/>
            <w:vMerge w:val="restart"/>
            <w:tcBorders>
              <w:top w:val="single" w:sz="4" w:space="0" w:color="auto"/>
            </w:tcBorders>
            <w:shd w:val="clear" w:color="auto" w:fill="auto"/>
            <w:vAlign w:val="center"/>
            <w:hideMark/>
          </w:tcPr>
          <w:p w14:paraId="0CD7EDB7" w14:textId="77777777" w:rsidR="00821B82" w:rsidRPr="00684079"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0.01*</w:t>
            </w:r>
          </w:p>
        </w:tc>
      </w:tr>
      <w:tr w:rsidR="00821B82" w:rsidRPr="001F0CCE" w14:paraId="4E667191" w14:textId="77777777" w:rsidTr="00282204">
        <w:trPr>
          <w:trHeight w:val="360"/>
          <w:jc w:val="center"/>
        </w:trPr>
        <w:tc>
          <w:tcPr>
            <w:tcW w:w="5130" w:type="dxa"/>
            <w:vMerge/>
            <w:shd w:val="clear" w:color="auto" w:fill="auto"/>
            <w:vAlign w:val="center"/>
            <w:hideMark/>
          </w:tcPr>
          <w:p w14:paraId="4225868D"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34A7B427"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20B7095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shd w:val="clear" w:color="000000" w:fill="FFFFFF"/>
            <w:vAlign w:val="center"/>
            <w:hideMark/>
          </w:tcPr>
          <w:p w14:paraId="28EE5242"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shd w:val="clear" w:color="000000" w:fill="FFFFFF"/>
            <w:vAlign w:val="center"/>
            <w:hideMark/>
          </w:tcPr>
          <w:p w14:paraId="59D666E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shd w:val="clear" w:color="000000" w:fill="FFFFFF"/>
            <w:vAlign w:val="center"/>
            <w:hideMark/>
          </w:tcPr>
          <w:p w14:paraId="1137476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47</w:t>
            </w:r>
          </w:p>
        </w:tc>
        <w:tc>
          <w:tcPr>
            <w:tcW w:w="1260" w:type="dxa"/>
            <w:shd w:val="clear" w:color="000000" w:fill="FFFFFF"/>
            <w:vAlign w:val="center"/>
            <w:hideMark/>
          </w:tcPr>
          <w:p w14:paraId="10B9E6F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47</w:t>
            </w:r>
          </w:p>
        </w:tc>
        <w:tc>
          <w:tcPr>
            <w:tcW w:w="990" w:type="dxa"/>
            <w:shd w:val="clear" w:color="000000" w:fill="FFFFFF"/>
            <w:vAlign w:val="center"/>
            <w:hideMark/>
          </w:tcPr>
          <w:p w14:paraId="46DEA1A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(4-5)</w:t>
            </w:r>
          </w:p>
        </w:tc>
        <w:tc>
          <w:tcPr>
            <w:tcW w:w="990" w:type="dxa"/>
            <w:vMerge/>
            <w:shd w:val="clear" w:color="auto" w:fill="auto"/>
            <w:vAlign w:val="center"/>
            <w:hideMark/>
          </w:tcPr>
          <w:p w14:paraId="65ECF456"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0A6088CE" w14:textId="77777777" w:rsidTr="00282204">
        <w:trPr>
          <w:trHeight w:val="351"/>
          <w:jc w:val="center"/>
        </w:trPr>
        <w:tc>
          <w:tcPr>
            <w:tcW w:w="5130" w:type="dxa"/>
            <w:vMerge/>
            <w:tcBorders>
              <w:bottom w:val="single" w:sz="4" w:space="0" w:color="auto"/>
            </w:tcBorders>
            <w:shd w:val="clear" w:color="auto" w:fill="auto"/>
            <w:vAlign w:val="center"/>
            <w:hideMark/>
          </w:tcPr>
          <w:p w14:paraId="4B1F97D9"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16114750"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2FE9759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2A52190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tcBorders>
              <w:bottom w:val="single" w:sz="4" w:space="0" w:color="auto"/>
            </w:tcBorders>
            <w:shd w:val="clear" w:color="000000" w:fill="FFFFFF"/>
            <w:vAlign w:val="center"/>
            <w:hideMark/>
          </w:tcPr>
          <w:p w14:paraId="2A96C0D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15</w:t>
            </w:r>
          </w:p>
        </w:tc>
        <w:tc>
          <w:tcPr>
            <w:tcW w:w="810" w:type="dxa"/>
            <w:tcBorders>
              <w:bottom w:val="single" w:sz="4" w:space="0" w:color="auto"/>
            </w:tcBorders>
            <w:shd w:val="clear" w:color="000000" w:fill="FFFFFF"/>
            <w:vAlign w:val="center"/>
            <w:hideMark/>
          </w:tcPr>
          <w:p w14:paraId="7471B54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63</w:t>
            </w:r>
          </w:p>
        </w:tc>
        <w:tc>
          <w:tcPr>
            <w:tcW w:w="1260" w:type="dxa"/>
            <w:tcBorders>
              <w:bottom w:val="single" w:sz="4" w:space="0" w:color="auto"/>
            </w:tcBorders>
            <w:shd w:val="clear" w:color="000000" w:fill="FFFFFF"/>
            <w:vAlign w:val="center"/>
            <w:hideMark/>
          </w:tcPr>
          <w:p w14:paraId="49443A3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15</w:t>
            </w:r>
          </w:p>
        </w:tc>
        <w:tc>
          <w:tcPr>
            <w:tcW w:w="990" w:type="dxa"/>
            <w:tcBorders>
              <w:bottom w:val="single" w:sz="4" w:space="0" w:color="auto"/>
            </w:tcBorders>
            <w:shd w:val="clear" w:color="000000" w:fill="FFFFFF"/>
            <w:vAlign w:val="center"/>
            <w:hideMark/>
          </w:tcPr>
          <w:p w14:paraId="597A0627"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394AEC85"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2667D968" w14:textId="77777777" w:rsidTr="00282204">
        <w:trPr>
          <w:trHeight w:val="134"/>
          <w:jc w:val="center"/>
        </w:trPr>
        <w:tc>
          <w:tcPr>
            <w:tcW w:w="5130" w:type="dxa"/>
            <w:vMerge w:val="restart"/>
            <w:tcBorders>
              <w:top w:val="single" w:sz="4" w:space="0" w:color="auto"/>
            </w:tcBorders>
            <w:shd w:val="clear" w:color="auto" w:fill="auto"/>
            <w:vAlign w:val="center"/>
            <w:hideMark/>
          </w:tcPr>
          <w:p w14:paraId="346CFC30" w14:textId="77777777" w:rsidR="00821B82" w:rsidRPr="001F0CCE"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can assess patients’ clinical needs and perform a comprehensive medicines assessment</w:t>
            </w:r>
          </w:p>
        </w:tc>
        <w:tc>
          <w:tcPr>
            <w:tcW w:w="1800" w:type="dxa"/>
            <w:tcBorders>
              <w:top w:val="single" w:sz="4" w:space="0" w:color="auto"/>
            </w:tcBorders>
            <w:shd w:val="clear" w:color="auto" w:fill="auto"/>
            <w:vAlign w:val="center"/>
            <w:hideMark/>
          </w:tcPr>
          <w:p w14:paraId="54137D80"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0AC27CF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w:t>
            </w:r>
          </w:p>
        </w:tc>
        <w:tc>
          <w:tcPr>
            <w:tcW w:w="1080" w:type="dxa"/>
            <w:tcBorders>
              <w:top w:val="single" w:sz="4" w:space="0" w:color="auto"/>
            </w:tcBorders>
            <w:shd w:val="clear" w:color="000000" w:fill="FFFFFF"/>
            <w:vAlign w:val="center"/>
            <w:hideMark/>
          </w:tcPr>
          <w:p w14:paraId="6240743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w:t>
            </w:r>
          </w:p>
        </w:tc>
        <w:tc>
          <w:tcPr>
            <w:tcW w:w="1440" w:type="dxa"/>
            <w:tcBorders>
              <w:top w:val="single" w:sz="4" w:space="0" w:color="auto"/>
            </w:tcBorders>
            <w:shd w:val="clear" w:color="000000" w:fill="FFFFFF"/>
            <w:vAlign w:val="center"/>
            <w:hideMark/>
          </w:tcPr>
          <w:p w14:paraId="5DB7E23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25</w:t>
            </w:r>
          </w:p>
        </w:tc>
        <w:tc>
          <w:tcPr>
            <w:tcW w:w="810" w:type="dxa"/>
            <w:tcBorders>
              <w:top w:val="single" w:sz="4" w:space="0" w:color="auto"/>
            </w:tcBorders>
            <w:shd w:val="clear" w:color="000000" w:fill="FFFFFF"/>
            <w:vAlign w:val="center"/>
            <w:hideMark/>
          </w:tcPr>
          <w:p w14:paraId="726EF9BA"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27</w:t>
            </w:r>
          </w:p>
        </w:tc>
        <w:tc>
          <w:tcPr>
            <w:tcW w:w="1260" w:type="dxa"/>
            <w:tcBorders>
              <w:top w:val="single" w:sz="4" w:space="0" w:color="auto"/>
            </w:tcBorders>
            <w:shd w:val="clear" w:color="000000" w:fill="FFFFFF"/>
            <w:vAlign w:val="center"/>
            <w:hideMark/>
          </w:tcPr>
          <w:p w14:paraId="266F3DE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41</w:t>
            </w:r>
          </w:p>
        </w:tc>
        <w:tc>
          <w:tcPr>
            <w:tcW w:w="990" w:type="dxa"/>
            <w:tcBorders>
              <w:top w:val="single" w:sz="4" w:space="0" w:color="auto"/>
            </w:tcBorders>
            <w:shd w:val="clear" w:color="000000" w:fill="FFFFFF"/>
            <w:vAlign w:val="center"/>
            <w:hideMark/>
          </w:tcPr>
          <w:p w14:paraId="14A7493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(3-5)</w:t>
            </w:r>
          </w:p>
        </w:tc>
        <w:tc>
          <w:tcPr>
            <w:tcW w:w="990" w:type="dxa"/>
            <w:vMerge w:val="restart"/>
            <w:tcBorders>
              <w:top w:val="single" w:sz="4" w:space="0" w:color="auto"/>
            </w:tcBorders>
            <w:shd w:val="clear" w:color="auto" w:fill="auto"/>
            <w:vAlign w:val="center"/>
            <w:hideMark/>
          </w:tcPr>
          <w:p w14:paraId="70AFE16C"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0.00*</w:t>
            </w:r>
          </w:p>
        </w:tc>
      </w:tr>
      <w:tr w:rsidR="00821B82" w:rsidRPr="001F0CCE" w14:paraId="2E5BB8E1" w14:textId="77777777" w:rsidTr="00282204">
        <w:trPr>
          <w:trHeight w:val="68"/>
          <w:jc w:val="center"/>
        </w:trPr>
        <w:tc>
          <w:tcPr>
            <w:tcW w:w="5130" w:type="dxa"/>
            <w:vMerge/>
            <w:shd w:val="clear" w:color="auto" w:fill="auto"/>
            <w:vAlign w:val="center"/>
            <w:hideMark/>
          </w:tcPr>
          <w:p w14:paraId="790C3748"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64B1B074"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0FCB302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w:t>
            </w:r>
          </w:p>
        </w:tc>
        <w:tc>
          <w:tcPr>
            <w:tcW w:w="1080" w:type="dxa"/>
            <w:shd w:val="clear" w:color="000000" w:fill="FFFFFF"/>
            <w:vAlign w:val="center"/>
            <w:hideMark/>
          </w:tcPr>
          <w:p w14:paraId="0104069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440" w:type="dxa"/>
            <w:shd w:val="clear" w:color="000000" w:fill="FFFFFF"/>
            <w:vAlign w:val="center"/>
            <w:hideMark/>
          </w:tcPr>
          <w:p w14:paraId="127E8DD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10</w:t>
            </w:r>
          </w:p>
        </w:tc>
        <w:tc>
          <w:tcPr>
            <w:tcW w:w="810" w:type="dxa"/>
            <w:shd w:val="clear" w:color="000000" w:fill="FFFFFF"/>
            <w:vAlign w:val="center"/>
            <w:hideMark/>
          </w:tcPr>
          <w:p w14:paraId="1C13BAD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43</w:t>
            </w:r>
          </w:p>
        </w:tc>
        <w:tc>
          <w:tcPr>
            <w:tcW w:w="1260" w:type="dxa"/>
            <w:shd w:val="clear" w:color="000000" w:fill="FFFFFF"/>
            <w:vAlign w:val="center"/>
            <w:hideMark/>
          </w:tcPr>
          <w:p w14:paraId="3BF45BC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43</w:t>
            </w:r>
          </w:p>
        </w:tc>
        <w:tc>
          <w:tcPr>
            <w:tcW w:w="990" w:type="dxa"/>
            <w:shd w:val="clear" w:color="000000" w:fill="FFFFFF"/>
            <w:vAlign w:val="center"/>
            <w:hideMark/>
          </w:tcPr>
          <w:p w14:paraId="2871DF4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(4-5)</w:t>
            </w:r>
          </w:p>
        </w:tc>
        <w:tc>
          <w:tcPr>
            <w:tcW w:w="990" w:type="dxa"/>
            <w:vMerge/>
            <w:shd w:val="clear" w:color="auto" w:fill="auto"/>
            <w:vAlign w:val="center"/>
            <w:hideMark/>
          </w:tcPr>
          <w:p w14:paraId="338FCA96"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289D94E9" w14:textId="77777777" w:rsidTr="00282204">
        <w:trPr>
          <w:trHeight w:val="135"/>
          <w:jc w:val="center"/>
        </w:trPr>
        <w:tc>
          <w:tcPr>
            <w:tcW w:w="5130" w:type="dxa"/>
            <w:vMerge/>
            <w:tcBorders>
              <w:bottom w:val="single" w:sz="4" w:space="0" w:color="auto"/>
            </w:tcBorders>
            <w:shd w:val="clear" w:color="auto" w:fill="auto"/>
            <w:vAlign w:val="center"/>
            <w:hideMark/>
          </w:tcPr>
          <w:p w14:paraId="0FD06828"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493886E5"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189BDA2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2E0CF7A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w:t>
            </w:r>
          </w:p>
        </w:tc>
        <w:tc>
          <w:tcPr>
            <w:tcW w:w="1440" w:type="dxa"/>
            <w:tcBorders>
              <w:bottom w:val="single" w:sz="4" w:space="0" w:color="auto"/>
            </w:tcBorders>
            <w:shd w:val="clear" w:color="000000" w:fill="FFFFFF"/>
            <w:vAlign w:val="center"/>
            <w:hideMark/>
          </w:tcPr>
          <w:p w14:paraId="4285108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810" w:type="dxa"/>
            <w:tcBorders>
              <w:bottom w:val="single" w:sz="4" w:space="0" w:color="auto"/>
            </w:tcBorders>
            <w:shd w:val="clear" w:color="000000" w:fill="FFFFFF"/>
            <w:vAlign w:val="center"/>
            <w:hideMark/>
          </w:tcPr>
          <w:p w14:paraId="05D76BC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70</w:t>
            </w:r>
          </w:p>
        </w:tc>
        <w:tc>
          <w:tcPr>
            <w:tcW w:w="1260" w:type="dxa"/>
            <w:tcBorders>
              <w:bottom w:val="single" w:sz="4" w:space="0" w:color="auto"/>
            </w:tcBorders>
            <w:shd w:val="clear" w:color="000000" w:fill="FFFFFF"/>
            <w:vAlign w:val="center"/>
            <w:hideMark/>
          </w:tcPr>
          <w:p w14:paraId="344F54C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11</w:t>
            </w:r>
          </w:p>
        </w:tc>
        <w:tc>
          <w:tcPr>
            <w:tcW w:w="990" w:type="dxa"/>
            <w:tcBorders>
              <w:bottom w:val="single" w:sz="4" w:space="0" w:color="auto"/>
            </w:tcBorders>
            <w:shd w:val="clear" w:color="000000" w:fill="FFFFFF"/>
            <w:vAlign w:val="center"/>
            <w:hideMark/>
          </w:tcPr>
          <w:p w14:paraId="6273AD0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0AC0FC59"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4C612A31" w14:textId="77777777" w:rsidTr="00282204">
        <w:trPr>
          <w:trHeight w:val="342"/>
          <w:jc w:val="center"/>
        </w:trPr>
        <w:tc>
          <w:tcPr>
            <w:tcW w:w="5130" w:type="dxa"/>
            <w:vMerge w:val="restart"/>
            <w:tcBorders>
              <w:top w:val="single" w:sz="4" w:space="0" w:color="auto"/>
            </w:tcBorders>
            <w:shd w:val="clear" w:color="auto" w:fill="auto"/>
            <w:vAlign w:val="center"/>
            <w:hideMark/>
          </w:tcPr>
          <w:p w14:paraId="4066796C" w14:textId="77777777" w:rsidR="00821B82"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are able to independently prescribe cost-effectivel</w:t>
            </w:r>
            <w:r>
              <w:rPr>
                <w:rFonts w:eastAsia="Times New Roman" w:cstheme="minorHAnsi"/>
                <w:color w:val="264A60"/>
              </w:rPr>
              <w:t>y</w:t>
            </w:r>
          </w:p>
          <w:p w14:paraId="364D08B7" w14:textId="77777777" w:rsidR="00821B82" w:rsidRDefault="00821B82" w:rsidP="00282204">
            <w:pPr>
              <w:spacing w:after="0" w:line="240" w:lineRule="auto"/>
              <w:rPr>
                <w:rFonts w:eastAsia="Times New Roman" w:cstheme="minorHAnsi"/>
                <w:color w:val="264A60"/>
              </w:rPr>
            </w:pPr>
          </w:p>
          <w:p w14:paraId="44541E36" w14:textId="77777777" w:rsidR="00821B82" w:rsidRPr="001F0CCE" w:rsidRDefault="00821B82" w:rsidP="00282204">
            <w:pPr>
              <w:spacing w:after="0" w:line="240" w:lineRule="auto"/>
              <w:rPr>
                <w:rFonts w:eastAsia="Times New Roman" w:cstheme="minorHAnsi"/>
                <w:color w:val="264A60"/>
              </w:rPr>
            </w:pPr>
          </w:p>
        </w:tc>
        <w:tc>
          <w:tcPr>
            <w:tcW w:w="1800" w:type="dxa"/>
            <w:tcBorders>
              <w:top w:val="single" w:sz="4" w:space="0" w:color="auto"/>
            </w:tcBorders>
            <w:shd w:val="clear" w:color="auto" w:fill="auto"/>
            <w:vAlign w:val="center"/>
            <w:hideMark/>
          </w:tcPr>
          <w:p w14:paraId="6A17CD44"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2E2A86C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w:t>
            </w:r>
          </w:p>
        </w:tc>
        <w:tc>
          <w:tcPr>
            <w:tcW w:w="1080" w:type="dxa"/>
            <w:tcBorders>
              <w:top w:val="single" w:sz="4" w:space="0" w:color="auto"/>
            </w:tcBorders>
            <w:shd w:val="clear" w:color="000000" w:fill="FFFFFF"/>
            <w:vAlign w:val="center"/>
            <w:hideMark/>
          </w:tcPr>
          <w:p w14:paraId="3080D79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18</w:t>
            </w:r>
          </w:p>
        </w:tc>
        <w:tc>
          <w:tcPr>
            <w:tcW w:w="1440" w:type="dxa"/>
            <w:tcBorders>
              <w:top w:val="single" w:sz="4" w:space="0" w:color="auto"/>
            </w:tcBorders>
            <w:shd w:val="clear" w:color="000000" w:fill="FFFFFF"/>
            <w:vAlign w:val="center"/>
            <w:hideMark/>
          </w:tcPr>
          <w:p w14:paraId="59DC3D4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35</w:t>
            </w:r>
          </w:p>
        </w:tc>
        <w:tc>
          <w:tcPr>
            <w:tcW w:w="810" w:type="dxa"/>
            <w:tcBorders>
              <w:top w:val="single" w:sz="4" w:space="0" w:color="auto"/>
            </w:tcBorders>
            <w:shd w:val="clear" w:color="000000" w:fill="FFFFFF"/>
            <w:vAlign w:val="center"/>
            <w:hideMark/>
          </w:tcPr>
          <w:p w14:paraId="7128DE0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37</w:t>
            </w:r>
          </w:p>
        </w:tc>
        <w:tc>
          <w:tcPr>
            <w:tcW w:w="1260" w:type="dxa"/>
            <w:tcBorders>
              <w:top w:val="single" w:sz="4" w:space="0" w:color="auto"/>
            </w:tcBorders>
            <w:shd w:val="clear" w:color="000000" w:fill="FFFFFF"/>
            <w:vAlign w:val="center"/>
            <w:hideMark/>
          </w:tcPr>
          <w:p w14:paraId="47DACD0C"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w:t>
            </w:r>
          </w:p>
        </w:tc>
        <w:tc>
          <w:tcPr>
            <w:tcW w:w="990" w:type="dxa"/>
            <w:tcBorders>
              <w:top w:val="single" w:sz="4" w:space="0" w:color="auto"/>
            </w:tcBorders>
            <w:shd w:val="clear" w:color="000000" w:fill="FFFFFF"/>
            <w:vAlign w:val="center"/>
            <w:hideMark/>
          </w:tcPr>
          <w:p w14:paraId="2FF90DD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 (3-4)</w:t>
            </w:r>
          </w:p>
        </w:tc>
        <w:tc>
          <w:tcPr>
            <w:tcW w:w="990" w:type="dxa"/>
            <w:vMerge w:val="restart"/>
            <w:tcBorders>
              <w:top w:val="single" w:sz="4" w:space="0" w:color="auto"/>
            </w:tcBorders>
            <w:shd w:val="clear" w:color="auto" w:fill="auto"/>
            <w:vAlign w:val="center"/>
            <w:hideMark/>
          </w:tcPr>
          <w:p w14:paraId="0093D735" w14:textId="77777777" w:rsidR="00821B82" w:rsidRPr="00684079"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0.00*</w:t>
            </w:r>
          </w:p>
          <w:p w14:paraId="42B3BC48" w14:textId="77777777" w:rsidR="00821B82" w:rsidRPr="00684079" w:rsidRDefault="00821B82" w:rsidP="00282204">
            <w:pPr>
              <w:spacing w:after="0" w:line="240" w:lineRule="auto"/>
              <w:jc w:val="center"/>
              <w:rPr>
                <w:rFonts w:asciiTheme="minorBidi" w:eastAsia="Times New Roman" w:hAnsiTheme="minorBidi"/>
                <w:color w:val="010205"/>
                <w:sz w:val="18"/>
                <w:szCs w:val="18"/>
              </w:rPr>
            </w:pPr>
          </w:p>
          <w:p w14:paraId="044B008F" w14:textId="77777777" w:rsidR="00821B82" w:rsidRPr="00684079"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6905B932" w14:textId="77777777" w:rsidTr="00282204">
        <w:trPr>
          <w:trHeight w:val="68"/>
          <w:jc w:val="center"/>
        </w:trPr>
        <w:tc>
          <w:tcPr>
            <w:tcW w:w="5130" w:type="dxa"/>
            <w:vMerge/>
            <w:shd w:val="clear" w:color="auto" w:fill="auto"/>
            <w:vAlign w:val="center"/>
            <w:hideMark/>
          </w:tcPr>
          <w:p w14:paraId="469C7523"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7B46A9A9"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60E7B27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shd w:val="clear" w:color="000000" w:fill="FFFFFF"/>
            <w:vAlign w:val="center"/>
            <w:hideMark/>
          </w:tcPr>
          <w:p w14:paraId="33B5E1E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440" w:type="dxa"/>
            <w:shd w:val="clear" w:color="000000" w:fill="FFFFFF"/>
            <w:vAlign w:val="center"/>
            <w:hideMark/>
          </w:tcPr>
          <w:p w14:paraId="63A966D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13</w:t>
            </w:r>
          </w:p>
        </w:tc>
        <w:tc>
          <w:tcPr>
            <w:tcW w:w="810" w:type="dxa"/>
            <w:shd w:val="clear" w:color="000000" w:fill="FFFFFF"/>
            <w:vAlign w:val="center"/>
            <w:hideMark/>
          </w:tcPr>
          <w:p w14:paraId="74DB17D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50</w:t>
            </w:r>
          </w:p>
        </w:tc>
        <w:tc>
          <w:tcPr>
            <w:tcW w:w="1260" w:type="dxa"/>
            <w:shd w:val="clear" w:color="000000" w:fill="FFFFFF"/>
            <w:vAlign w:val="center"/>
            <w:hideMark/>
          </w:tcPr>
          <w:p w14:paraId="142EE68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30</w:t>
            </w:r>
          </w:p>
        </w:tc>
        <w:tc>
          <w:tcPr>
            <w:tcW w:w="990" w:type="dxa"/>
            <w:shd w:val="clear" w:color="000000" w:fill="FFFFFF"/>
            <w:vAlign w:val="center"/>
            <w:hideMark/>
          </w:tcPr>
          <w:p w14:paraId="664F9FD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(4-5)</w:t>
            </w:r>
          </w:p>
        </w:tc>
        <w:tc>
          <w:tcPr>
            <w:tcW w:w="990" w:type="dxa"/>
            <w:vMerge/>
            <w:shd w:val="clear" w:color="auto" w:fill="auto"/>
            <w:vAlign w:val="center"/>
            <w:hideMark/>
          </w:tcPr>
          <w:p w14:paraId="17B3D52C"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1AD42448" w14:textId="77777777" w:rsidTr="00282204">
        <w:trPr>
          <w:trHeight w:val="60"/>
          <w:jc w:val="center"/>
        </w:trPr>
        <w:tc>
          <w:tcPr>
            <w:tcW w:w="5130" w:type="dxa"/>
            <w:vMerge/>
            <w:tcBorders>
              <w:bottom w:val="single" w:sz="4" w:space="0" w:color="auto"/>
            </w:tcBorders>
            <w:shd w:val="clear" w:color="auto" w:fill="auto"/>
            <w:vAlign w:val="center"/>
            <w:hideMark/>
          </w:tcPr>
          <w:p w14:paraId="1B9EA68E"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306864F0"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2FF50C6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w:t>
            </w:r>
          </w:p>
        </w:tc>
        <w:tc>
          <w:tcPr>
            <w:tcW w:w="1080" w:type="dxa"/>
            <w:tcBorders>
              <w:bottom w:val="single" w:sz="4" w:space="0" w:color="auto"/>
            </w:tcBorders>
            <w:shd w:val="clear" w:color="000000" w:fill="FFFFFF"/>
            <w:vAlign w:val="center"/>
            <w:hideMark/>
          </w:tcPr>
          <w:p w14:paraId="66E899C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w:t>
            </w:r>
          </w:p>
        </w:tc>
        <w:tc>
          <w:tcPr>
            <w:tcW w:w="1440" w:type="dxa"/>
            <w:tcBorders>
              <w:bottom w:val="single" w:sz="4" w:space="0" w:color="auto"/>
            </w:tcBorders>
            <w:shd w:val="clear" w:color="000000" w:fill="FFFFFF"/>
            <w:vAlign w:val="center"/>
            <w:hideMark/>
          </w:tcPr>
          <w:p w14:paraId="045FB459"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11</w:t>
            </w:r>
          </w:p>
        </w:tc>
        <w:tc>
          <w:tcPr>
            <w:tcW w:w="810" w:type="dxa"/>
            <w:tcBorders>
              <w:bottom w:val="single" w:sz="4" w:space="0" w:color="auto"/>
            </w:tcBorders>
            <w:shd w:val="clear" w:color="000000" w:fill="FFFFFF"/>
            <w:vAlign w:val="center"/>
            <w:hideMark/>
          </w:tcPr>
          <w:p w14:paraId="66965A0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74</w:t>
            </w:r>
          </w:p>
        </w:tc>
        <w:tc>
          <w:tcPr>
            <w:tcW w:w="1260" w:type="dxa"/>
            <w:tcBorders>
              <w:bottom w:val="single" w:sz="4" w:space="0" w:color="auto"/>
            </w:tcBorders>
            <w:shd w:val="clear" w:color="000000" w:fill="FFFFFF"/>
            <w:vAlign w:val="center"/>
            <w:hideMark/>
          </w:tcPr>
          <w:p w14:paraId="3108920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990" w:type="dxa"/>
            <w:tcBorders>
              <w:bottom w:val="single" w:sz="4" w:space="0" w:color="auto"/>
            </w:tcBorders>
            <w:shd w:val="clear" w:color="000000" w:fill="FFFFFF"/>
            <w:vAlign w:val="center"/>
            <w:hideMark/>
          </w:tcPr>
          <w:p w14:paraId="30D6644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2BD1631D"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4E03D410" w14:textId="77777777" w:rsidTr="00282204">
        <w:trPr>
          <w:trHeight w:val="58"/>
          <w:jc w:val="center"/>
        </w:trPr>
        <w:tc>
          <w:tcPr>
            <w:tcW w:w="5130" w:type="dxa"/>
            <w:vMerge w:val="restart"/>
            <w:tcBorders>
              <w:top w:val="single" w:sz="4" w:space="0" w:color="auto"/>
            </w:tcBorders>
            <w:shd w:val="clear" w:color="auto" w:fill="auto"/>
            <w:vAlign w:val="center"/>
            <w:hideMark/>
          </w:tcPr>
          <w:p w14:paraId="5780A257" w14:textId="77777777" w:rsidR="00821B82" w:rsidRDefault="00821B82" w:rsidP="00282204">
            <w:pPr>
              <w:spacing w:after="0" w:line="240" w:lineRule="auto"/>
              <w:rPr>
                <w:rFonts w:eastAsia="Times New Roman" w:cstheme="minorHAnsi"/>
                <w:color w:val="264A60"/>
              </w:rPr>
            </w:pPr>
            <w:r w:rsidRPr="001F0CCE">
              <w:rPr>
                <w:rFonts w:eastAsia="Times New Roman" w:cstheme="minorHAnsi"/>
                <w:color w:val="264A60"/>
              </w:rPr>
              <w:t>Pharmacists are able to independently prescribe safely</w:t>
            </w:r>
          </w:p>
          <w:p w14:paraId="7CE0C8AE" w14:textId="77777777" w:rsidR="00821B82" w:rsidRDefault="00821B82" w:rsidP="00282204">
            <w:pPr>
              <w:spacing w:after="0" w:line="240" w:lineRule="auto"/>
              <w:rPr>
                <w:rFonts w:eastAsia="Times New Roman" w:cstheme="minorHAnsi"/>
                <w:color w:val="264A60"/>
              </w:rPr>
            </w:pPr>
          </w:p>
          <w:p w14:paraId="567FBCB0" w14:textId="77777777" w:rsidR="00821B82" w:rsidRPr="001F0CCE" w:rsidRDefault="00821B82" w:rsidP="00282204">
            <w:pPr>
              <w:spacing w:after="0" w:line="240" w:lineRule="auto"/>
              <w:rPr>
                <w:rFonts w:eastAsia="Times New Roman" w:cstheme="minorHAnsi"/>
                <w:color w:val="264A60"/>
              </w:rPr>
            </w:pPr>
          </w:p>
        </w:tc>
        <w:tc>
          <w:tcPr>
            <w:tcW w:w="1800" w:type="dxa"/>
            <w:tcBorders>
              <w:top w:val="single" w:sz="4" w:space="0" w:color="auto"/>
            </w:tcBorders>
            <w:shd w:val="clear" w:color="auto" w:fill="auto"/>
            <w:vAlign w:val="center"/>
            <w:hideMark/>
          </w:tcPr>
          <w:p w14:paraId="7D7680FA"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Doctor</w:t>
            </w:r>
          </w:p>
        </w:tc>
        <w:tc>
          <w:tcPr>
            <w:tcW w:w="1170" w:type="dxa"/>
            <w:tcBorders>
              <w:top w:val="single" w:sz="4" w:space="0" w:color="auto"/>
            </w:tcBorders>
            <w:shd w:val="clear" w:color="000000" w:fill="FFFFFF"/>
            <w:vAlign w:val="center"/>
            <w:hideMark/>
          </w:tcPr>
          <w:p w14:paraId="463EFD3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8</w:t>
            </w:r>
          </w:p>
        </w:tc>
        <w:tc>
          <w:tcPr>
            <w:tcW w:w="1080" w:type="dxa"/>
            <w:tcBorders>
              <w:top w:val="single" w:sz="4" w:space="0" w:color="auto"/>
            </w:tcBorders>
            <w:shd w:val="clear" w:color="000000" w:fill="FFFFFF"/>
            <w:vAlign w:val="center"/>
            <w:hideMark/>
          </w:tcPr>
          <w:p w14:paraId="7986084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31</w:t>
            </w:r>
          </w:p>
        </w:tc>
        <w:tc>
          <w:tcPr>
            <w:tcW w:w="1440" w:type="dxa"/>
            <w:tcBorders>
              <w:top w:val="single" w:sz="4" w:space="0" w:color="auto"/>
            </w:tcBorders>
            <w:shd w:val="clear" w:color="000000" w:fill="FFFFFF"/>
            <w:vAlign w:val="center"/>
            <w:hideMark/>
          </w:tcPr>
          <w:p w14:paraId="25F8034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35</w:t>
            </w:r>
          </w:p>
        </w:tc>
        <w:tc>
          <w:tcPr>
            <w:tcW w:w="810" w:type="dxa"/>
            <w:tcBorders>
              <w:top w:val="single" w:sz="4" w:space="0" w:color="auto"/>
            </w:tcBorders>
            <w:shd w:val="clear" w:color="000000" w:fill="FFFFFF"/>
            <w:vAlign w:val="center"/>
            <w:hideMark/>
          </w:tcPr>
          <w:p w14:paraId="36A1937B"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20</w:t>
            </w:r>
          </w:p>
        </w:tc>
        <w:tc>
          <w:tcPr>
            <w:tcW w:w="1260" w:type="dxa"/>
            <w:tcBorders>
              <w:top w:val="single" w:sz="4" w:space="0" w:color="auto"/>
            </w:tcBorders>
            <w:shd w:val="clear" w:color="000000" w:fill="FFFFFF"/>
            <w:vAlign w:val="center"/>
            <w:hideMark/>
          </w:tcPr>
          <w:p w14:paraId="6FA3985E"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w:t>
            </w:r>
          </w:p>
        </w:tc>
        <w:tc>
          <w:tcPr>
            <w:tcW w:w="990" w:type="dxa"/>
            <w:tcBorders>
              <w:top w:val="single" w:sz="4" w:space="0" w:color="auto"/>
            </w:tcBorders>
            <w:shd w:val="clear" w:color="000000" w:fill="FFFFFF"/>
            <w:vAlign w:val="center"/>
            <w:hideMark/>
          </w:tcPr>
          <w:p w14:paraId="7219414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 (2-4)</w:t>
            </w:r>
          </w:p>
        </w:tc>
        <w:tc>
          <w:tcPr>
            <w:tcW w:w="990" w:type="dxa"/>
            <w:vMerge w:val="restart"/>
            <w:tcBorders>
              <w:top w:val="single" w:sz="4" w:space="0" w:color="auto"/>
            </w:tcBorders>
            <w:shd w:val="clear" w:color="auto" w:fill="auto"/>
            <w:vAlign w:val="center"/>
            <w:hideMark/>
          </w:tcPr>
          <w:p w14:paraId="4DEB7AF2" w14:textId="77777777" w:rsidR="00821B82" w:rsidRPr="00684079" w:rsidRDefault="00821B82" w:rsidP="00282204">
            <w:pPr>
              <w:spacing w:after="0" w:line="240" w:lineRule="auto"/>
              <w:jc w:val="center"/>
              <w:rPr>
                <w:rFonts w:asciiTheme="minorBidi" w:eastAsia="Times New Roman" w:hAnsiTheme="minorBidi"/>
                <w:color w:val="010205"/>
                <w:sz w:val="18"/>
                <w:szCs w:val="18"/>
              </w:rPr>
            </w:pPr>
            <w:r w:rsidRPr="00684079">
              <w:rPr>
                <w:rFonts w:asciiTheme="minorBidi" w:eastAsia="Times New Roman" w:hAnsiTheme="minorBidi"/>
                <w:color w:val="010205"/>
                <w:sz w:val="18"/>
                <w:szCs w:val="18"/>
              </w:rPr>
              <w:t>0.00*</w:t>
            </w:r>
          </w:p>
          <w:p w14:paraId="5DD86A82"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p w14:paraId="527AD9D6" w14:textId="77777777" w:rsidR="00821B82" w:rsidRPr="00E22780" w:rsidRDefault="00821B82" w:rsidP="00282204">
            <w:pPr>
              <w:spacing w:after="0" w:line="240" w:lineRule="auto"/>
              <w:jc w:val="center"/>
              <w:rPr>
                <w:rFonts w:asciiTheme="minorBidi" w:eastAsia="Times New Roman" w:hAnsiTheme="minorBidi"/>
                <w:color w:val="010205"/>
                <w:sz w:val="18"/>
                <w:szCs w:val="18"/>
              </w:rPr>
            </w:pPr>
          </w:p>
        </w:tc>
      </w:tr>
      <w:tr w:rsidR="00821B82" w:rsidRPr="001F0CCE" w14:paraId="17991C8D" w14:textId="77777777" w:rsidTr="00282204">
        <w:trPr>
          <w:trHeight w:val="153"/>
          <w:jc w:val="center"/>
        </w:trPr>
        <w:tc>
          <w:tcPr>
            <w:tcW w:w="5130" w:type="dxa"/>
            <w:vMerge/>
            <w:shd w:val="clear" w:color="auto" w:fill="auto"/>
            <w:vAlign w:val="center"/>
            <w:hideMark/>
          </w:tcPr>
          <w:p w14:paraId="03EB442E" w14:textId="77777777" w:rsidR="00821B82" w:rsidRPr="001F0CCE" w:rsidRDefault="00821B82" w:rsidP="00282204">
            <w:pPr>
              <w:spacing w:after="0" w:line="240" w:lineRule="auto"/>
              <w:rPr>
                <w:rFonts w:eastAsia="Times New Roman" w:cstheme="minorHAnsi"/>
                <w:color w:val="264A60"/>
              </w:rPr>
            </w:pPr>
          </w:p>
        </w:tc>
        <w:tc>
          <w:tcPr>
            <w:tcW w:w="1800" w:type="dxa"/>
            <w:shd w:val="clear" w:color="auto" w:fill="auto"/>
            <w:vAlign w:val="center"/>
            <w:hideMark/>
          </w:tcPr>
          <w:p w14:paraId="73A34E6F"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Pharmacist</w:t>
            </w:r>
          </w:p>
        </w:tc>
        <w:tc>
          <w:tcPr>
            <w:tcW w:w="1170" w:type="dxa"/>
            <w:shd w:val="clear" w:color="000000" w:fill="FFFFFF"/>
            <w:vAlign w:val="center"/>
            <w:hideMark/>
          </w:tcPr>
          <w:p w14:paraId="5B04DB3A"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0</w:t>
            </w:r>
          </w:p>
        </w:tc>
        <w:tc>
          <w:tcPr>
            <w:tcW w:w="1080" w:type="dxa"/>
            <w:shd w:val="clear" w:color="000000" w:fill="FFFFFF"/>
            <w:vAlign w:val="center"/>
            <w:hideMark/>
          </w:tcPr>
          <w:p w14:paraId="645B3748"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440" w:type="dxa"/>
            <w:shd w:val="clear" w:color="000000" w:fill="FFFFFF"/>
            <w:vAlign w:val="center"/>
            <w:hideMark/>
          </w:tcPr>
          <w:p w14:paraId="1A649EA0"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20</w:t>
            </w:r>
          </w:p>
        </w:tc>
        <w:tc>
          <w:tcPr>
            <w:tcW w:w="810" w:type="dxa"/>
            <w:shd w:val="clear" w:color="000000" w:fill="FFFFFF"/>
            <w:vAlign w:val="center"/>
            <w:hideMark/>
          </w:tcPr>
          <w:p w14:paraId="21260EF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40</w:t>
            </w:r>
          </w:p>
        </w:tc>
        <w:tc>
          <w:tcPr>
            <w:tcW w:w="1260" w:type="dxa"/>
            <w:shd w:val="clear" w:color="000000" w:fill="FFFFFF"/>
            <w:vAlign w:val="center"/>
            <w:hideMark/>
          </w:tcPr>
          <w:p w14:paraId="4C1894A3"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33</w:t>
            </w:r>
          </w:p>
        </w:tc>
        <w:tc>
          <w:tcPr>
            <w:tcW w:w="990" w:type="dxa"/>
            <w:shd w:val="clear" w:color="000000" w:fill="FFFFFF"/>
            <w:vAlign w:val="center"/>
            <w:hideMark/>
          </w:tcPr>
          <w:p w14:paraId="660AFD91"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(3-5)</w:t>
            </w:r>
          </w:p>
        </w:tc>
        <w:tc>
          <w:tcPr>
            <w:tcW w:w="990" w:type="dxa"/>
            <w:vMerge/>
            <w:shd w:val="clear" w:color="auto" w:fill="auto"/>
            <w:vAlign w:val="center"/>
            <w:hideMark/>
          </w:tcPr>
          <w:p w14:paraId="4EAE8109" w14:textId="77777777" w:rsidR="00821B82" w:rsidRPr="009858D8" w:rsidRDefault="00821B82" w:rsidP="00282204">
            <w:pPr>
              <w:spacing w:after="0" w:line="240" w:lineRule="auto"/>
              <w:rPr>
                <w:rFonts w:asciiTheme="minorBidi" w:eastAsia="Times New Roman" w:hAnsiTheme="minorBidi"/>
                <w:color w:val="010205"/>
                <w:sz w:val="18"/>
                <w:szCs w:val="18"/>
              </w:rPr>
            </w:pPr>
          </w:p>
        </w:tc>
      </w:tr>
      <w:tr w:rsidR="00821B82" w:rsidRPr="001F0CCE" w14:paraId="580C6063" w14:textId="77777777" w:rsidTr="00282204">
        <w:trPr>
          <w:trHeight w:val="68"/>
          <w:jc w:val="center"/>
        </w:trPr>
        <w:tc>
          <w:tcPr>
            <w:tcW w:w="5130" w:type="dxa"/>
            <w:vMerge/>
            <w:tcBorders>
              <w:bottom w:val="single" w:sz="4" w:space="0" w:color="auto"/>
            </w:tcBorders>
            <w:shd w:val="clear" w:color="auto" w:fill="auto"/>
            <w:vAlign w:val="center"/>
            <w:hideMark/>
          </w:tcPr>
          <w:p w14:paraId="67E8FE60" w14:textId="77777777" w:rsidR="00821B82" w:rsidRPr="001F0CCE" w:rsidRDefault="00821B82" w:rsidP="00282204">
            <w:pPr>
              <w:spacing w:after="0" w:line="240" w:lineRule="auto"/>
              <w:rPr>
                <w:rFonts w:eastAsia="Times New Roman" w:cstheme="minorHAnsi"/>
                <w:color w:val="264A60"/>
              </w:rPr>
            </w:pPr>
          </w:p>
        </w:tc>
        <w:tc>
          <w:tcPr>
            <w:tcW w:w="1800" w:type="dxa"/>
            <w:tcBorders>
              <w:bottom w:val="single" w:sz="4" w:space="0" w:color="auto"/>
            </w:tcBorders>
            <w:shd w:val="clear" w:color="auto" w:fill="auto"/>
            <w:vAlign w:val="center"/>
            <w:hideMark/>
          </w:tcPr>
          <w:p w14:paraId="707388B5" w14:textId="77777777" w:rsidR="00821B82" w:rsidRPr="00435721" w:rsidRDefault="00821B82" w:rsidP="00282204">
            <w:pPr>
              <w:spacing w:after="0" w:line="240" w:lineRule="auto"/>
              <w:rPr>
                <w:rFonts w:eastAsia="Times New Roman" w:cstheme="minorHAnsi"/>
              </w:rPr>
            </w:pPr>
            <w:r w:rsidRPr="00435721">
              <w:rPr>
                <w:rFonts w:eastAsia="Times New Roman" w:cstheme="minorHAnsi"/>
              </w:rPr>
              <w:t>Nurse</w:t>
            </w:r>
          </w:p>
        </w:tc>
        <w:tc>
          <w:tcPr>
            <w:tcW w:w="1170" w:type="dxa"/>
            <w:tcBorders>
              <w:bottom w:val="single" w:sz="4" w:space="0" w:color="auto"/>
            </w:tcBorders>
            <w:shd w:val="clear" w:color="000000" w:fill="FFFFFF"/>
            <w:vAlign w:val="center"/>
            <w:hideMark/>
          </w:tcPr>
          <w:p w14:paraId="1B506DC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7</w:t>
            </w:r>
          </w:p>
        </w:tc>
        <w:tc>
          <w:tcPr>
            <w:tcW w:w="1080" w:type="dxa"/>
            <w:tcBorders>
              <w:bottom w:val="single" w:sz="4" w:space="0" w:color="auto"/>
            </w:tcBorders>
            <w:shd w:val="clear" w:color="000000" w:fill="FFFFFF"/>
            <w:vAlign w:val="center"/>
            <w:hideMark/>
          </w:tcPr>
          <w:p w14:paraId="779160F5"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w:t>
            </w:r>
          </w:p>
        </w:tc>
        <w:tc>
          <w:tcPr>
            <w:tcW w:w="1440" w:type="dxa"/>
            <w:tcBorders>
              <w:bottom w:val="single" w:sz="4" w:space="0" w:color="auto"/>
            </w:tcBorders>
            <w:shd w:val="clear" w:color="000000" w:fill="FFFFFF"/>
            <w:vAlign w:val="center"/>
            <w:hideMark/>
          </w:tcPr>
          <w:p w14:paraId="1F419124"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11</w:t>
            </w:r>
          </w:p>
        </w:tc>
        <w:tc>
          <w:tcPr>
            <w:tcW w:w="810" w:type="dxa"/>
            <w:tcBorders>
              <w:bottom w:val="single" w:sz="4" w:space="0" w:color="auto"/>
            </w:tcBorders>
            <w:shd w:val="clear" w:color="000000" w:fill="FFFFFF"/>
            <w:vAlign w:val="center"/>
            <w:hideMark/>
          </w:tcPr>
          <w:p w14:paraId="3169C88D"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67</w:t>
            </w:r>
          </w:p>
        </w:tc>
        <w:tc>
          <w:tcPr>
            <w:tcW w:w="1260" w:type="dxa"/>
            <w:tcBorders>
              <w:bottom w:val="single" w:sz="4" w:space="0" w:color="auto"/>
            </w:tcBorders>
            <w:shd w:val="clear" w:color="000000" w:fill="FFFFFF"/>
            <w:vAlign w:val="center"/>
            <w:hideMark/>
          </w:tcPr>
          <w:p w14:paraId="423FA516"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11</w:t>
            </w:r>
          </w:p>
        </w:tc>
        <w:tc>
          <w:tcPr>
            <w:tcW w:w="990" w:type="dxa"/>
            <w:tcBorders>
              <w:bottom w:val="single" w:sz="4" w:space="0" w:color="auto"/>
            </w:tcBorders>
            <w:shd w:val="clear" w:color="000000" w:fill="FFFFFF"/>
            <w:vAlign w:val="center"/>
            <w:hideMark/>
          </w:tcPr>
          <w:p w14:paraId="1EAD0AFF" w14:textId="77777777" w:rsidR="00821B82" w:rsidRPr="009858D8" w:rsidRDefault="00821B82" w:rsidP="00282204">
            <w:pPr>
              <w:spacing w:after="0" w:line="240" w:lineRule="auto"/>
              <w:jc w:val="center"/>
              <w:rPr>
                <w:rFonts w:asciiTheme="minorBidi" w:eastAsia="Times New Roman" w:hAnsiTheme="minorBidi"/>
                <w:color w:val="010205"/>
                <w:sz w:val="18"/>
                <w:szCs w:val="18"/>
              </w:rPr>
            </w:pPr>
            <w:r w:rsidRPr="009858D8">
              <w:rPr>
                <w:rFonts w:asciiTheme="minorBidi" w:eastAsia="Times New Roman" w:hAnsiTheme="minorBidi"/>
                <w:color w:val="010205"/>
                <w:sz w:val="18"/>
                <w:szCs w:val="18"/>
              </w:rPr>
              <w:t>4 (4-4)</w:t>
            </w:r>
          </w:p>
        </w:tc>
        <w:tc>
          <w:tcPr>
            <w:tcW w:w="990" w:type="dxa"/>
            <w:vMerge/>
            <w:tcBorders>
              <w:bottom w:val="single" w:sz="4" w:space="0" w:color="auto"/>
            </w:tcBorders>
            <w:shd w:val="clear" w:color="auto" w:fill="auto"/>
            <w:vAlign w:val="center"/>
            <w:hideMark/>
          </w:tcPr>
          <w:p w14:paraId="6F8B8F7B" w14:textId="77777777" w:rsidR="00821B82" w:rsidRPr="009858D8" w:rsidRDefault="00821B82" w:rsidP="00282204">
            <w:pPr>
              <w:spacing w:after="0" w:line="240" w:lineRule="auto"/>
              <w:rPr>
                <w:rFonts w:asciiTheme="minorBidi" w:eastAsia="Times New Roman" w:hAnsiTheme="minorBidi"/>
                <w:color w:val="010205"/>
                <w:sz w:val="18"/>
                <w:szCs w:val="18"/>
              </w:rPr>
            </w:pPr>
          </w:p>
        </w:tc>
      </w:tr>
    </w:tbl>
    <w:p w14:paraId="6DDA95CC" w14:textId="77777777" w:rsidR="00821B82" w:rsidRPr="00264998" w:rsidRDefault="00821B82" w:rsidP="00821B82">
      <w:pPr>
        <w:spacing w:after="0" w:line="360" w:lineRule="auto"/>
        <w:rPr>
          <w:rFonts w:asciiTheme="minorBidi" w:hAnsiTheme="minorBidi"/>
          <w:sz w:val="16"/>
          <w:szCs w:val="16"/>
          <w:shd w:val="clear" w:color="auto" w:fill="FFFFFF"/>
        </w:rPr>
      </w:pPr>
      <w:r w:rsidRPr="00264998">
        <w:rPr>
          <w:rFonts w:asciiTheme="minorBidi" w:hAnsiTheme="minorBidi"/>
          <w:sz w:val="16"/>
          <w:szCs w:val="16"/>
          <w:shd w:val="clear" w:color="auto" w:fill="FFFFFF"/>
        </w:rPr>
        <w:t xml:space="preserve">* P &lt; 0.05: statistically significant, IQR: </w:t>
      </w:r>
      <w:r w:rsidRPr="00264998">
        <w:rPr>
          <w:rFonts w:asciiTheme="minorBidi" w:eastAsia="Times New Roman" w:hAnsiTheme="minorBidi"/>
          <w:color w:val="000000"/>
          <w:sz w:val="16"/>
          <w:szCs w:val="16"/>
        </w:rPr>
        <w:t>Interquartile Range, responses (1=Strongly disagree, 2=Disagree, 3=Neither agree nor disagree, 4=Agree, 5=Strongly agree)</w:t>
      </w:r>
    </w:p>
    <w:p w14:paraId="75B19929"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394DA305" w14:textId="77777777" w:rsidR="00821B82" w:rsidRDefault="00821B82" w:rsidP="00821B82">
      <w:pPr>
        <w:spacing w:after="0" w:line="360" w:lineRule="auto"/>
        <w:jc w:val="center"/>
        <w:rPr>
          <w:rFonts w:asciiTheme="minorBidi" w:eastAsia="Times New Roman" w:hAnsiTheme="minorBidi"/>
          <w:color w:val="32363A"/>
          <w:sz w:val="24"/>
          <w:szCs w:val="24"/>
          <w:shd w:val="clear" w:color="auto" w:fill="FFFFFF"/>
        </w:rPr>
      </w:pPr>
      <w:r>
        <w:rPr>
          <w:noProof/>
        </w:rPr>
        <w:drawing>
          <wp:inline distT="0" distB="0" distL="0" distR="0" wp14:anchorId="4E385179" wp14:editId="619A7755">
            <wp:extent cx="8372475" cy="4953663"/>
            <wp:effectExtent l="0" t="0" r="9525" b="18415"/>
            <wp:docPr id="15" name="Chart 15">
              <a:extLst xmlns:a="http://schemas.openxmlformats.org/drawingml/2006/main">
                <a:ext uri="{FF2B5EF4-FFF2-40B4-BE49-F238E27FC236}">
                  <a16:creationId xmlns:a16="http://schemas.microsoft.com/office/drawing/2014/main" id="{2D5FC15F-CDF0-C64B-FFAB-9AC2B263A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73CAA9"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5F32990C"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332651AE" w14:textId="77777777" w:rsidR="00821B82" w:rsidRDefault="00821B82" w:rsidP="00821B82">
      <w:pPr>
        <w:spacing w:after="0" w:line="360" w:lineRule="auto"/>
        <w:jc w:val="center"/>
        <w:rPr>
          <w:rFonts w:asciiTheme="minorBidi" w:eastAsia="Times New Roman" w:hAnsiTheme="minorBidi"/>
          <w:color w:val="32363A"/>
          <w:sz w:val="24"/>
          <w:szCs w:val="24"/>
          <w:shd w:val="clear" w:color="auto" w:fill="FFFFFF"/>
        </w:rPr>
      </w:pPr>
      <w:r>
        <w:rPr>
          <w:noProof/>
        </w:rPr>
        <w:drawing>
          <wp:inline distT="0" distB="0" distL="0" distR="0" wp14:anchorId="7DE0D2B0" wp14:editId="34FFAFD6">
            <wp:extent cx="8229600" cy="5200593"/>
            <wp:effectExtent l="0" t="0" r="0" b="635"/>
            <wp:docPr id="16" name="Chart 16">
              <a:extLst xmlns:a="http://schemas.openxmlformats.org/drawingml/2006/main">
                <a:ext uri="{FF2B5EF4-FFF2-40B4-BE49-F238E27FC236}">
                  <a16:creationId xmlns:a16="http://schemas.microsoft.com/office/drawing/2014/main" id="{0E7CB839-0ECA-C3FA-889D-682EBF82E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183E66" w14:textId="0028364D" w:rsidR="00821B82" w:rsidRPr="00940FDF" w:rsidRDefault="00821B82" w:rsidP="00821B82">
      <w:pPr>
        <w:pStyle w:val="Caption"/>
        <w:rPr>
          <w:sz w:val="22"/>
          <w:szCs w:val="22"/>
        </w:rPr>
        <w:sectPr w:rsidR="00821B82" w:rsidRPr="00940FDF" w:rsidSect="00282204">
          <w:pgSz w:w="15840" w:h="12240" w:orient="landscape"/>
          <w:pgMar w:top="1440" w:right="1440" w:bottom="1440" w:left="1440" w:header="720" w:footer="720" w:gutter="0"/>
          <w:cols w:space="720"/>
          <w:docGrid w:linePitch="360"/>
        </w:sectPr>
      </w:pPr>
      <w:bookmarkStart w:id="212" w:name="_Ref122823405"/>
      <w:bookmarkStart w:id="213" w:name="_Toc153894798"/>
      <w:r w:rsidRPr="004C5980">
        <w:rPr>
          <w:sz w:val="22"/>
          <w:szCs w:val="22"/>
        </w:rPr>
        <w:t xml:space="preserve">Figure </w:t>
      </w:r>
      <w:r w:rsidRPr="004C5980">
        <w:rPr>
          <w:sz w:val="22"/>
          <w:szCs w:val="22"/>
        </w:rPr>
        <w:fldChar w:fldCharType="begin"/>
      </w:r>
      <w:r w:rsidRPr="004C5980">
        <w:rPr>
          <w:sz w:val="22"/>
          <w:szCs w:val="22"/>
        </w:rPr>
        <w:instrText xml:space="preserve"> SEQ Figure \* ARABIC </w:instrText>
      </w:r>
      <w:r w:rsidRPr="004C5980">
        <w:rPr>
          <w:sz w:val="22"/>
          <w:szCs w:val="22"/>
        </w:rPr>
        <w:fldChar w:fldCharType="separate"/>
      </w:r>
      <w:r w:rsidR="000507B7">
        <w:rPr>
          <w:noProof/>
          <w:sz w:val="22"/>
          <w:szCs w:val="22"/>
        </w:rPr>
        <w:t>10</w:t>
      </w:r>
      <w:r w:rsidRPr="004C5980">
        <w:rPr>
          <w:sz w:val="22"/>
          <w:szCs w:val="22"/>
        </w:rPr>
        <w:fldChar w:fldCharType="end"/>
      </w:r>
      <w:bookmarkEnd w:id="212"/>
      <w:r w:rsidRPr="004C5980">
        <w:rPr>
          <w:sz w:val="22"/>
          <w:szCs w:val="22"/>
        </w:rPr>
        <w:t>:</w:t>
      </w:r>
      <w:r w:rsidRPr="00940FDF">
        <w:rPr>
          <w:sz w:val="22"/>
          <w:szCs w:val="22"/>
        </w:rPr>
        <w:t xml:space="preserve"> Respondents’ views according to profession; Views on Potential Impact of Pharmacist Involvement in Diabetes Care</w:t>
      </w:r>
      <w:bookmarkEnd w:id="213"/>
    </w:p>
    <w:p w14:paraId="1D1EC61E" w14:textId="77777777" w:rsidR="00821B82" w:rsidRPr="003954A6" w:rsidRDefault="00821B82" w:rsidP="00821B82">
      <w:pPr>
        <w:pStyle w:val="Heading4"/>
        <w:numPr>
          <w:ilvl w:val="3"/>
          <w:numId w:val="14"/>
        </w:numPr>
        <w:tabs>
          <w:tab w:val="left" w:pos="810"/>
        </w:tabs>
        <w:spacing w:line="240" w:lineRule="auto"/>
        <w:rPr>
          <w:rFonts w:asciiTheme="minorBidi" w:hAnsiTheme="minorBidi" w:cstheme="minorBidi"/>
          <w:sz w:val="24"/>
          <w:szCs w:val="24"/>
        </w:rPr>
      </w:pPr>
      <w:r w:rsidRPr="003954A6">
        <w:rPr>
          <w:rFonts w:asciiTheme="minorBidi" w:hAnsiTheme="minorBidi" w:cstheme="minorBidi"/>
          <w:sz w:val="24"/>
          <w:szCs w:val="24"/>
        </w:rPr>
        <w:t>Impact of the healthcare professionals’ degree issuing country on opinions toward pharmacist involvement in diabetes management</w:t>
      </w:r>
    </w:p>
    <w:p w14:paraId="40A3386D" w14:textId="77777777" w:rsidR="00821B82" w:rsidRDefault="00821B82" w:rsidP="00821B82">
      <w:pPr>
        <w:spacing w:after="0" w:line="360" w:lineRule="auto"/>
        <w:rPr>
          <w:rFonts w:asciiTheme="minorBidi" w:eastAsia="Times New Roman" w:hAnsiTheme="minorBidi"/>
          <w:b/>
          <w:bCs/>
          <w:color w:val="32363A"/>
          <w:sz w:val="24"/>
          <w:szCs w:val="24"/>
          <w:shd w:val="clear" w:color="auto" w:fill="FFFFFF"/>
        </w:rPr>
      </w:pPr>
    </w:p>
    <w:p w14:paraId="50B88B08" w14:textId="22892F14" w:rsidR="00821B82" w:rsidRDefault="00821B82" w:rsidP="00821B82">
      <w:pPr>
        <w:spacing w:line="360" w:lineRule="auto"/>
        <w:jc w:val="both"/>
        <w:rPr>
          <w:rFonts w:asciiTheme="minorBidi" w:eastAsia="Times New Roman" w:hAnsiTheme="minorBidi"/>
          <w:color w:val="32363A"/>
          <w:sz w:val="24"/>
          <w:szCs w:val="24"/>
          <w:shd w:val="clear" w:color="auto" w:fill="FFFFFF"/>
        </w:rPr>
      </w:pPr>
      <w:r w:rsidRPr="00AF5E5F">
        <w:rPr>
          <w:rFonts w:asciiTheme="minorBidi" w:eastAsia="Times New Roman" w:hAnsiTheme="minorBidi"/>
          <w:color w:val="32363A"/>
          <w:sz w:val="24"/>
          <w:szCs w:val="24"/>
          <w:shd w:val="clear" w:color="auto" w:fill="FFFFFF"/>
        </w:rPr>
        <w:t xml:space="preserve">To investigate the impact of a health </w:t>
      </w:r>
      <w:r w:rsidRPr="00D10889">
        <w:rPr>
          <w:rFonts w:asciiTheme="minorBidi" w:eastAsia="Times New Roman" w:hAnsiTheme="minorBidi"/>
          <w:color w:val="32363A"/>
          <w:sz w:val="24"/>
          <w:szCs w:val="24"/>
          <w:shd w:val="clear" w:color="auto" w:fill="FFFFFF"/>
        </w:rPr>
        <w:t xml:space="preserve">professional’s </w:t>
      </w:r>
      <w:r>
        <w:rPr>
          <w:rFonts w:asciiTheme="minorBidi" w:eastAsia="Times New Roman" w:hAnsiTheme="minorBidi"/>
          <w:color w:val="32363A"/>
          <w:sz w:val="24"/>
          <w:szCs w:val="24"/>
          <w:shd w:val="clear" w:color="auto" w:fill="FFFFFF"/>
        </w:rPr>
        <w:t>degree</w:t>
      </w:r>
      <w:r w:rsidRPr="00AF5E5F">
        <w:rPr>
          <w:rFonts w:asciiTheme="minorBidi" w:eastAsia="Times New Roman" w:hAnsiTheme="minorBidi"/>
          <w:color w:val="32363A"/>
          <w:sz w:val="24"/>
          <w:szCs w:val="24"/>
          <w:shd w:val="clear" w:color="auto" w:fill="FFFFFF"/>
        </w:rPr>
        <w:t xml:space="preserve"> source on their perceptions of the benefits of pharmacists' involvement </w:t>
      </w:r>
      <w:r w:rsidRPr="000A1B29">
        <w:rPr>
          <w:rFonts w:asciiTheme="minorBidi" w:eastAsia="Times New Roman" w:hAnsiTheme="minorBidi"/>
          <w:color w:val="32363A"/>
          <w:sz w:val="24"/>
          <w:szCs w:val="24"/>
          <w:shd w:val="clear" w:color="auto" w:fill="FFFFFF"/>
        </w:rPr>
        <w:t>in diabetes primary care management</w:t>
      </w:r>
      <w:r w:rsidRPr="00BB6319">
        <w:rPr>
          <w:rFonts w:asciiTheme="minorBidi" w:eastAsia="Times New Roman" w:hAnsiTheme="minorBidi"/>
          <w:color w:val="32363A"/>
          <w:sz w:val="24"/>
          <w:szCs w:val="24"/>
          <w:shd w:val="clear" w:color="auto" w:fill="FFFFFF"/>
        </w:rPr>
        <w:t xml:space="preserve">, </w:t>
      </w:r>
      <w:r w:rsidRPr="00BB6319">
        <w:rPr>
          <w:rFonts w:asciiTheme="minorBidi" w:eastAsia="Times New Roman" w:hAnsiTheme="minorBidi"/>
          <w:color w:val="1F3864" w:themeColor="accent1" w:themeShade="80"/>
          <w:sz w:val="24"/>
          <w:szCs w:val="24"/>
          <w:shd w:val="clear" w:color="auto" w:fill="FFFFFF"/>
        </w:rPr>
        <w:fldChar w:fldCharType="begin"/>
      </w:r>
      <w:r w:rsidRPr="00BB6319">
        <w:rPr>
          <w:rFonts w:asciiTheme="minorBidi" w:eastAsia="Times New Roman" w:hAnsiTheme="minorBidi"/>
          <w:color w:val="1F3864" w:themeColor="accent1" w:themeShade="80"/>
          <w:sz w:val="24"/>
          <w:szCs w:val="24"/>
          <w:shd w:val="clear" w:color="auto" w:fill="FFFFFF"/>
        </w:rPr>
        <w:instrText xml:space="preserve"> REF _Ref122394747 \h  \* MERGEFORMAT </w:instrText>
      </w:r>
      <w:r w:rsidRPr="00BB6319">
        <w:rPr>
          <w:rFonts w:asciiTheme="minorBidi" w:eastAsia="Times New Roman" w:hAnsiTheme="minorBidi"/>
          <w:color w:val="1F3864" w:themeColor="accent1" w:themeShade="80"/>
          <w:sz w:val="24"/>
          <w:szCs w:val="24"/>
          <w:shd w:val="clear" w:color="auto" w:fill="FFFFFF"/>
        </w:rPr>
      </w:r>
      <w:r w:rsidRPr="00BB6319">
        <w:rPr>
          <w:rFonts w:asciiTheme="minorBidi" w:eastAsia="Times New Roman" w:hAnsiTheme="minorBidi"/>
          <w:color w:val="1F3864" w:themeColor="accent1" w:themeShade="80"/>
          <w:sz w:val="24"/>
          <w:szCs w:val="24"/>
          <w:shd w:val="clear" w:color="auto" w:fill="FFFFFF"/>
        </w:rPr>
        <w:fldChar w:fldCharType="separate"/>
      </w:r>
      <w:r w:rsidR="0079046D" w:rsidRPr="0079046D">
        <w:rPr>
          <w:rFonts w:asciiTheme="minorBidi" w:eastAsia="Times New Roman" w:hAnsiTheme="minorBidi"/>
          <w:color w:val="1F3864" w:themeColor="accent1" w:themeShade="80"/>
          <w:sz w:val="24"/>
          <w:szCs w:val="24"/>
          <w:shd w:val="clear" w:color="auto" w:fill="FFFFFF"/>
        </w:rPr>
        <w:t>Table 21</w:t>
      </w:r>
      <w:r w:rsidRPr="00BB6319">
        <w:rPr>
          <w:rFonts w:asciiTheme="minorBidi" w:eastAsia="Times New Roman" w:hAnsiTheme="minorBidi"/>
          <w:color w:val="1F3864" w:themeColor="accent1" w:themeShade="80"/>
          <w:sz w:val="24"/>
          <w:szCs w:val="24"/>
          <w:shd w:val="clear" w:color="auto" w:fill="FFFFFF"/>
        </w:rPr>
        <w:fldChar w:fldCharType="end"/>
      </w:r>
      <w:r w:rsidRPr="00BB6319">
        <w:rPr>
          <w:rFonts w:asciiTheme="minorBidi" w:eastAsia="Times New Roman" w:hAnsiTheme="minorBidi"/>
          <w:color w:val="32363A"/>
          <w:sz w:val="24"/>
          <w:szCs w:val="24"/>
          <w:shd w:val="clear" w:color="auto" w:fill="FFFFFF"/>
        </w:rPr>
        <w:t xml:space="preserve"> </w:t>
      </w:r>
      <w:r w:rsidRPr="0019103B">
        <w:rPr>
          <w:rFonts w:asciiTheme="minorBidi" w:eastAsia="Times New Roman" w:hAnsiTheme="minorBidi"/>
          <w:color w:val="32363A"/>
          <w:sz w:val="24"/>
          <w:szCs w:val="24"/>
          <w:shd w:val="clear" w:color="auto" w:fill="FFFFFF"/>
        </w:rPr>
        <w:t>was designed</w:t>
      </w:r>
      <w:r>
        <w:rPr>
          <w:rFonts w:asciiTheme="minorBidi" w:eastAsia="Times New Roman" w:hAnsiTheme="minorBidi"/>
          <w:color w:val="32363A"/>
          <w:sz w:val="24"/>
          <w:szCs w:val="24"/>
          <w:shd w:val="clear" w:color="auto" w:fill="FFFFFF"/>
        </w:rPr>
        <w:t xml:space="preserve"> via crosstabulation analysis</w:t>
      </w:r>
      <w:r w:rsidRPr="0019103B">
        <w:rPr>
          <w:rFonts w:asciiTheme="minorBidi" w:eastAsia="Times New Roman" w:hAnsiTheme="minorBidi"/>
          <w:color w:val="32363A"/>
          <w:sz w:val="24"/>
          <w:szCs w:val="24"/>
          <w:shd w:val="clear" w:color="auto" w:fill="FFFFFF"/>
        </w:rPr>
        <w:t xml:space="preserve">, and </w:t>
      </w:r>
      <w:r>
        <w:rPr>
          <w:rFonts w:asciiTheme="minorBidi" w:eastAsia="Times New Roman" w:hAnsiTheme="minorBidi"/>
          <w:color w:val="32363A"/>
          <w:sz w:val="24"/>
          <w:szCs w:val="24"/>
          <w:shd w:val="clear" w:color="auto" w:fill="FFFFFF"/>
        </w:rPr>
        <w:t>the Fisher Exact test</w:t>
      </w:r>
      <w:r w:rsidRPr="0019103B">
        <w:rPr>
          <w:rFonts w:asciiTheme="minorBidi" w:eastAsia="Times New Roman" w:hAnsiTheme="minorBidi"/>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 xml:space="preserve">was </w:t>
      </w:r>
      <w:r w:rsidRPr="0019103B">
        <w:rPr>
          <w:rFonts w:asciiTheme="minorBidi" w:eastAsia="Times New Roman" w:hAnsiTheme="minorBidi"/>
          <w:color w:val="32363A"/>
          <w:sz w:val="24"/>
          <w:szCs w:val="24"/>
          <w:shd w:val="clear" w:color="auto" w:fill="FFFFFF"/>
        </w:rPr>
        <w:t>used</w:t>
      </w:r>
      <w:r>
        <w:rPr>
          <w:rFonts w:asciiTheme="minorBidi" w:eastAsia="Times New Roman" w:hAnsiTheme="minorBidi"/>
          <w:color w:val="32363A"/>
          <w:sz w:val="24"/>
          <w:szCs w:val="24"/>
          <w:shd w:val="clear" w:color="auto" w:fill="FFFFFF"/>
        </w:rPr>
        <w:t xml:space="preserve"> </w:t>
      </w:r>
      <w:r w:rsidRPr="0016271E">
        <w:rPr>
          <w:rFonts w:asciiTheme="minorBidi" w:eastAsia="Times New Roman" w:hAnsiTheme="minorBidi"/>
          <w:color w:val="32363A"/>
          <w:sz w:val="24"/>
          <w:szCs w:val="24"/>
          <w:shd w:val="clear" w:color="auto" w:fill="FFFFFF"/>
        </w:rPr>
        <w:t xml:space="preserve">to </w:t>
      </w:r>
      <w:r>
        <w:rPr>
          <w:rFonts w:asciiTheme="minorBidi" w:eastAsia="Times New Roman" w:hAnsiTheme="minorBidi"/>
          <w:color w:val="32363A"/>
          <w:sz w:val="24"/>
          <w:szCs w:val="24"/>
          <w:shd w:val="clear" w:color="auto" w:fill="FFFFFF"/>
        </w:rPr>
        <w:t xml:space="preserve">determine whether </w:t>
      </w:r>
      <w:r w:rsidRPr="0016271E">
        <w:rPr>
          <w:rFonts w:asciiTheme="minorBidi" w:eastAsia="Times New Roman" w:hAnsiTheme="minorBidi"/>
          <w:color w:val="32363A"/>
          <w:sz w:val="24"/>
          <w:szCs w:val="24"/>
          <w:shd w:val="clear" w:color="auto" w:fill="FFFFFF"/>
        </w:rPr>
        <w:t>differences in responses were affected by</w:t>
      </w:r>
      <w:r>
        <w:rPr>
          <w:rFonts w:asciiTheme="minorBidi" w:eastAsia="Times New Roman" w:hAnsiTheme="minorBidi"/>
          <w:color w:val="32363A"/>
          <w:sz w:val="24"/>
          <w:szCs w:val="24"/>
          <w:shd w:val="clear" w:color="auto" w:fill="FFFFFF"/>
        </w:rPr>
        <w:t xml:space="preserve"> the source of qualification obtained. </w:t>
      </w:r>
    </w:p>
    <w:p w14:paraId="52BA9F27" w14:textId="0BE4AFC7" w:rsidR="00821B82" w:rsidRDefault="00821B82" w:rsidP="00821B82">
      <w:pPr>
        <w:spacing w:line="360" w:lineRule="auto"/>
        <w:jc w:val="both"/>
        <w:rPr>
          <w:rFonts w:asciiTheme="minorBidi" w:eastAsia="Times New Roman" w:hAnsiTheme="minorBidi"/>
          <w:color w:val="32363A"/>
          <w:sz w:val="24"/>
          <w:szCs w:val="24"/>
          <w:shd w:val="clear" w:color="auto" w:fill="FFFFFF"/>
        </w:rPr>
      </w:pPr>
      <w:r>
        <w:rPr>
          <w:rFonts w:asciiTheme="minorBidi" w:eastAsia="Times New Roman" w:hAnsiTheme="minorBidi"/>
          <w:color w:val="32363A"/>
          <w:sz w:val="24"/>
          <w:szCs w:val="24"/>
          <w:shd w:val="clear" w:color="auto" w:fill="FFFFFF"/>
        </w:rPr>
        <w:t>Almost t</w:t>
      </w:r>
      <w:r w:rsidRPr="000C56C0">
        <w:rPr>
          <w:rFonts w:asciiTheme="minorBidi" w:eastAsia="Times New Roman" w:hAnsiTheme="minorBidi"/>
          <w:color w:val="32363A"/>
          <w:sz w:val="24"/>
          <w:szCs w:val="24"/>
          <w:shd w:val="clear" w:color="auto" w:fill="FFFFFF"/>
        </w:rPr>
        <w:t xml:space="preserve">here was no </w:t>
      </w:r>
      <w:r>
        <w:rPr>
          <w:rFonts w:asciiTheme="minorBidi" w:eastAsia="Times New Roman" w:hAnsiTheme="minorBidi"/>
          <w:color w:val="32363A"/>
          <w:sz w:val="24"/>
          <w:szCs w:val="24"/>
          <w:shd w:val="clear" w:color="auto" w:fill="FFFFFF"/>
        </w:rPr>
        <w:t xml:space="preserve">significant </w:t>
      </w:r>
      <w:r w:rsidRPr="000C56C0">
        <w:rPr>
          <w:rFonts w:asciiTheme="minorBidi" w:eastAsia="Times New Roman" w:hAnsiTheme="minorBidi"/>
          <w:color w:val="32363A"/>
          <w:sz w:val="24"/>
          <w:szCs w:val="24"/>
          <w:shd w:val="clear" w:color="auto" w:fill="FFFFFF"/>
        </w:rPr>
        <w:t>difference in healthcare practitioners' perceptions on the potential impact of pharmacist involvement in patient management</w:t>
      </w:r>
      <w:r>
        <w:rPr>
          <w:rFonts w:asciiTheme="minorBidi" w:eastAsia="Times New Roman" w:hAnsiTheme="minorBidi"/>
          <w:color w:val="32363A"/>
          <w:sz w:val="24"/>
          <w:szCs w:val="24"/>
          <w:shd w:val="clear" w:color="auto" w:fill="FFFFFF"/>
        </w:rPr>
        <w:t xml:space="preserve"> in terms </w:t>
      </w:r>
      <w:r w:rsidRPr="000C56C0">
        <w:rPr>
          <w:rFonts w:asciiTheme="minorBidi" w:eastAsia="Times New Roman" w:hAnsiTheme="minorBidi"/>
          <w:color w:val="32363A"/>
          <w:sz w:val="24"/>
          <w:szCs w:val="24"/>
          <w:shd w:val="clear" w:color="auto" w:fill="FFFFFF"/>
        </w:rPr>
        <w:t>of wh</w:t>
      </w:r>
      <w:r>
        <w:rPr>
          <w:rFonts w:asciiTheme="minorBidi" w:eastAsia="Times New Roman" w:hAnsiTheme="minorBidi"/>
          <w:color w:val="32363A"/>
          <w:sz w:val="24"/>
          <w:szCs w:val="24"/>
          <w:shd w:val="clear" w:color="auto" w:fill="FFFFFF"/>
        </w:rPr>
        <w:t>ether they</w:t>
      </w:r>
      <w:r w:rsidRPr="000C56C0">
        <w:rPr>
          <w:rFonts w:asciiTheme="minorBidi" w:eastAsia="Times New Roman" w:hAnsiTheme="minorBidi"/>
          <w:color w:val="32363A"/>
          <w:sz w:val="24"/>
          <w:szCs w:val="24"/>
          <w:shd w:val="clear" w:color="auto" w:fill="FFFFFF"/>
        </w:rPr>
        <w:t xml:space="preserve"> obtained their degrees from </w:t>
      </w:r>
      <w:r>
        <w:rPr>
          <w:rFonts w:asciiTheme="minorBidi" w:eastAsia="Times New Roman" w:hAnsiTheme="minorBidi"/>
          <w:color w:val="32363A"/>
          <w:sz w:val="24"/>
          <w:szCs w:val="24"/>
          <w:shd w:val="clear" w:color="auto" w:fill="FFFFFF"/>
        </w:rPr>
        <w:t>SA</w:t>
      </w:r>
      <w:r w:rsidRPr="000C56C0">
        <w:rPr>
          <w:rFonts w:asciiTheme="minorBidi" w:eastAsia="Times New Roman" w:hAnsiTheme="minorBidi"/>
          <w:color w:val="32363A"/>
          <w:sz w:val="24"/>
          <w:szCs w:val="24"/>
          <w:shd w:val="clear" w:color="auto" w:fill="FFFFFF"/>
        </w:rPr>
        <w:t xml:space="preserve"> or other countries </w:t>
      </w:r>
      <w:r>
        <w:rPr>
          <w:rFonts w:asciiTheme="minorBidi" w:eastAsia="Times New Roman" w:hAnsiTheme="minorBidi"/>
          <w:color w:val="32363A"/>
          <w:sz w:val="24"/>
          <w:szCs w:val="24"/>
          <w:shd w:val="clear" w:color="auto" w:fill="FFFFFF"/>
        </w:rPr>
        <w:t xml:space="preserve">(See </w:t>
      </w:r>
      <w:r w:rsidRPr="00BB6319">
        <w:rPr>
          <w:rFonts w:asciiTheme="minorBidi" w:eastAsia="Times New Roman" w:hAnsiTheme="minorBidi"/>
          <w:color w:val="1F3864" w:themeColor="accent1" w:themeShade="80"/>
          <w:sz w:val="24"/>
          <w:szCs w:val="24"/>
          <w:shd w:val="clear" w:color="auto" w:fill="FFFFFF"/>
        </w:rPr>
        <w:fldChar w:fldCharType="begin"/>
      </w:r>
      <w:r w:rsidRPr="00BB6319">
        <w:rPr>
          <w:rFonts w:asciiTheme="minorBidi" w:eastAsia="Times New Roman" w:hAnsiTheme="minorBidi"/>
          <w:color w:val="1F3864" w:themeColor="accent1" w:themeShade="80"/>
          <w:sz w:val="24"/>
          <w:szCs w:val="24"/>
          <w:shd w:val="clear" w:color="auto" w:fill="FFFFFF"/>
        </w:rPr>
        <w:instrText xml:space="preserve"> REF _Ref122394747 \h  \* MERGEFORMAT </w:instrText>
      </w:r>
      <w:r w:rsidRPr="00BB6319">
        <w:rPr>
          <w:rFonts w:asciiTheme="minorBidi" w:eastAsia="Times New Roman" w:hAnsiTheme="minorBidi"/>
          <w:color w:val="1F3864" w:themeColor="accent1" w:themeShade="80"/>
          <w:sz w:val="24"/>
          <w:szCs w:val="24"/>
          <w:shd w:val="clear" w:color="auto" w:fill="FFFFFF"/>
        </w:rPr>
      </w:r>
      <w:r w:rsidRPr="00BB6319">
        <w:rPr>
          <w:rFonts w:asciiTheme="minorBidi" w:eastAsia="Times New Roman" w:hAnsiTheme="minorBidi"/>
          <w:color w:val="1F3864" w:themeColor="accent1" w:themeShade="80"/>
          <w:sz w:val="24"/>
          <w:szCs w:val="24"/>
          <w:shd w:val="clear" w:color="auto" w:fill="FFFFFF"/>
        </w:rPr>
        <w:fldChar w:fldCharType="separate"/>
      </w:r>
      <w:r w:rsidR="0079046D" w:rsidRPr="0079046D">
        <w:rPr>
          <w:rFonts w:asciiTheme="minorBidi" w:eastAsia="Times New Roman" w:hAnsiTheme="minorBidi"/>
          <w:color w:val="1F3864" w:themeColor="accent1" w:themeShade="80"/>
          <w:sz w:val="24"/>
          <w:szCs w:val="24"/>
          <w:shd w:val="clear" w:color="auto" w:fill="FFFFFF"/>
        </w:rPr>
        <w:t>Table 21</w:t>
      </w:r>
      <w:r w:rsidRPr="00BB6319">
        <w:rPr>
          <w:rFonts w:asciiTheme="minorBidi" w:eastAsia="Times New Roman" w:hAnsiTheme="minorBidi"/>
          <w:color w:val="1F3864" w:themeColor="accent1" w:themeShade="80"/>
          <w:sz w:val="24"/>
          <w:szCs w:val="24"/>
          <w:shd w:val="clear" w:color="auto" w:fill="FFFFFF"/>
        </w:rPr>
        <w:fldChar w:fldCharType="end"/>
      </w:r>
      <w:r>
        <w:rPr>
          <w:rFonts w:asciiTheme="minorBidi" w:eastAsia="Times New Roman" w:hAnsiTheme="minorBidi"/>
          <w:color w:val="32363A"/>
          <w:sz w:val="24"/>
          <w:szCs w:val="24"/>
          <w:shd w:val="clear" w:color="auto" w:fill="FFFFFF"/>
        </w:rPr>
        <w:t>). However, cl</w:t>
      </w:r>
      <w:r w:rsidRPr="000838F5">
        <w:rPr>
          <w:rFonts w:asciiTheme="minorBidi" w:eastAsia="Times New Roman" w:hAnsiTheme="minorBidi"/>
          <w:color w:val="32363A"/>
          <w:sz w:val="24"/>
          <w:szCs w:val="24"/>
          <w:shd w:val="clear" w:color="auto" w:fill="FFFFFF"/>
        </w:rPr>
        <w:t xml:space="preserve">oser inspection of the data </w:t>
      </w:r>
      <w:r>
        <w:rPr>
          <w:rFonts w:asciiTheme="minorBidi" w:eastAsia="Times New Roman" w:hAnsiTheme="minorBidi"/>
          <w:color w:val="32363A"/>
          <w:sz w:val="24"/>
          <w:szCs w:val="24"/>
          <w:shd w:val="clear" w:color="auto" w:fill="FFFFFF"/>
        </w:rPr>
        <w:t xml:space="preserve">in this table </w:t>
      </w:r>
      <w:r w:rsidRPr="000838F5">
        <w:rPr>
          <w:rFonts w:asciiTheme="minorBidi" w:eastAsia="Times New Roman" w:hAnsiTheme="minorBidi"/>
          <w:color w:val="32363A"/>
          <w:sz w:val="24"/>
          <w:szCs w:val="24"/>
          <w:shd w:val="clear" w:color="auto" w:fill="FFFFFF"/>
        </w:rPr>
        <w:t>shows</w:t>
      </w:r>
      <w:r>
        <w:rPr>
          <w:rFonts w:asciiTheme="minorBidi" w:eastAsia="Times New Roman" w:hAnsiTheme="minorBidi"/>
          <w:color w:val="32363A"/>
          <w:sz w:val="24"/>
          <w:szCs w:val="24"/>
          <w:shd w:val="clear" w:color="auto" w:fill="FFFFFF"/>
        </w:rPr>
        <w:t xml:space="preserve"> that HCPs who obtained their last qualification from outside SA were more agreeable with most of the potential benefits of adding pharmacists to diabetes care than those who obtained their qualification from SA, this can be seen clearly in</w:t>
      </w:r>
      <w:r w:rsidR="000875DA">
        <w:rPr>
          <w:rFonts w:asciiTheme="minorBidi" w:eastAsia="Times New Roman" w:hAnsiTheme="minorBidi"/>
          <w:color w:val="32363A"/>
          <w:sz w:val="24"/>
          <w:szCs w:val="24"/>
          <w:shd w:val="clear" w:color="auto" w:fill="FFFFFF"/>
        </w:rPr>
        <w:t xml:space="preserve"> </w:t>
      </w:r>
      <w:r w:rsidR="00FE7410" w:rsidRPr="00FE7410">
        <w:rPr>
          <w:rFonts w:asciiTheme="minorBidi" w:eastAsia="Times New Roman" w:hAnsiTheme="minorBidi"/>
          <w:color w:val="1F3864" w:themeColor="accent1" w:themeShade="80"/>
          <w:sz w:val="24"/>
          <w:szCs w:val="24"/>
          <w:shd w:val="clear" w:color="auto" w:fill="FFFFFF"/>
        </w:rPr>
        <w:fldChar w:fldCharType="begin"/>
      </w:r>
      <w:r w:rsidR="00FE7410" w:rsidRPr="00FE7410">
        <w:rPr>
          <w:rFonts w:asciiTheme="minorBidi" w:eastAsia="Times New Roman" w:hAnsiTheme="minorBidi"/>
          <w:color w:val="1F3864" w:themeColor="accent1" w:themeShade="80"/>
          <w:sz w:val="24"/>
          <w:szCs w:val="24"/>
          <w:shd w:val="clear" w:color="auto" w:fill="FFFFFF"/>
        </w:rPr>
        <w:instrText xml:space="preserve"> REF _Ref148519420 \h  \* MERGEFORMAT </w:instrText>
      </w:r>
      <w:r w:rsidR="00FE7410" w:rsidRPr="00FE7410">
        <w:rPr>
          <w:rFonts w:asciiTheme="minorBidi" w:eastAsia="Times New Roman" w:hAnsiTheme="minorBidi"/>
          <w:color w:val="1F3864" w:themeColor="accent1" w:themeShade="80"/>
          <w:sz w:val="24"/>
          <w:szCs w:val="24"/>
          <w:shd w:val="clear" w:color="auto" w:fill="FFFFFF"/>
        </w:rPr>
      </w:r>
      <w:r w:rsidR="00FE7410" w:rsidRPr="00FE7410">
        <w:rPr>
          <w:rFonts w:asciiTheme="minorBidi" w:eastAsia="Times New Roman" w:hAnsiTheme="minorBidi"/>
          <w:color w:val="1F3864" w:themeColor="accent1" w:themeShade="80"/>
          <w:sz w:val="24"/>
          <w:szCs w:val="24"/>
          <w:shd w:val="clear" w:color="auto" w:fill="FFFFFF"/>
        </w:rPr>
        <w:fldChar w:fldCharType="separate"/>
      </w:r>
      <w:r w:rsidR="00FE7410" w:rsidRPr="00FE7410">
        <w:rPr>
          <w:rFonts w:asciiTheme="minorBidi" w:eastAsia="Times New Roman" w:hAnsiTheme="minorBidi"/>
          <w:color w:val="1F3864" w:themeColor="accent1" w:themeShade="80"/>
          <w:sz w:val="24"/>
          <w:szCs w:val="24"/>
          <w:shd w:val="clear" w:color="auto" w:fill="FFFFFF"/>
        </w:rPr>
        <w:t>Figure 11</w:t>
      </w:r>
      <w:r w:rsidR="00FE7410" w:rsidRPr="00FE7410">
        <w:rPr>
          <w:rFonts w:asciiTheme="minorBidi" w:eastAsia="Times New Roman" w:hAnsiTheme="minorBidi"/>
          <w:color w:val="1F3864" w:themeColor="accent1" w:themeShade="80"/>
          <w:sz w:val="24"/>
          <w:szCs w:val="24"/>
          <w:shd w:val="clear" w:color="auto" w:fill="FFFFFF"/>
        </w:rPr>
        <w:fldChar w:fldCharType="end"/>
      </w:r>
      <w:r>
        <w:rPr>
          <w:rFonts w:asciiTheme="minorBidi" w:eastAsia="Times New Roman" w:hAnsiTheme="minorBidi"/>
          <w:color w:val="32363A"/>
          <w:sz w:val="24"/>
          <w:szCs w:val="24"/>
          <w:shd w:val="clear" w:color="auto" w:fill="FFFFFF"/>
        </w:rPr>
        <w:t xml:space="preserve">. However, more than half of participants who obtained their qualification outside SA were doctors, see </w:t>
      </w:r>
      <w:r w:rsidRPr="0022700E">
        <w:rPr>
          <w:rFonts w:asciiTheme="minorBidi" w:eastAsia="Times New Roman" w:hAnsiTheme="minorBidi"/>
          <w:color w:val="1F3864" w:themeColor="accent1" w:themeShade="80"/>
          <w:sz w:val="24"/>
          <w:szCs w:val="24"/>
          <w:shd w:val="clear" w:color="auto" w:fill="FFFFFF"/>
        </w:rPr>
        <w:fldChar w:fldCharType="begin"/>
      </w:r>
      <w:r w:rsidRPr="0022700E">
        <w:rPr>
          <w:rFonts w:asciiTheme="minorBidi" w:eastAsia="Times New Roman" w:hAnsiTheme="minorBidi"/>
          <w:color w:val="1F3864" w:themeColor="accent1" w:themeShade="80"/>
          <w:sz w:val="24"/>
          <w:szCs w:val="24"/>
          <w:shd w:val="clear" w:color="auto" w:fill="FFFFFF"/>
        </w:rPr>
        <w:instrText xml:space="preserve"> REF _Ref122823785 \h  \* MERGEFORMAT </w:instrText>
      </w:r>
      <w:r w:rsidRPr="0022700E">
        <w:rPr>
          <w:rFonts w:asciiTheme="minorBidi" w:eastAsia="Times New Roman" w:hAnsiTheme="minorBidi"/>
          <w:color w:val="1F3864" w:themeColor="accent1" w:themeShade="80"/>
          <w:sz w:val="24"/>
          <w:szCs w:val="24"/>
          <w:shd w:val="clear" w:color="auto" w:fill="FFFFFF"/>
        </w:rPr>
      </w:r>
      <w:r w:rsidRPr="0022700E">
        <w:rPr>
          <w:rFonts w:asciiTheme="minorBidi" w:eastAsia="Times New Roman" w:hAnsiTheme="minorBidi"/>
          <w:color w:val="1F3864" w:themeColor="accent1" w:themeShade="80"/>
          <w:sz w:val="24"/>
          <w:szCs w:val="24"/>
          <w:shd w:val="clear" w:color="auto" w:fill="FFFFFF"/>
        </w:rPr>
        <w:fldChar w:fldCharType="separate"/>
      </w:r>
      <w:r w:rsidR="0079046D" w:rsidRPr="0079046D">
        <w:rPr>
          <w:rFonts w:asciiTheme="minorBidi" w:eastAsia="Times New Roman" w:hAnsiTheme="minorBidi"/>
          <w:color w:val="1F3864" w:themeColor="accent1" w:themeShade="80"/>
          <w:sz w:val="24"/>
          <w:szCs w:val="24"/>
          <w:shd w:val="clear" w:color="auto" w:fill="FFFFFF"/>
        </w:rPr>
        <w:t>Table 20</w:t>
      </w:r>
      <w:r w:rsidRPr="0022700E">
        <w:rPr>
          <w:rFonts w:asciiTheme="minorBidi" w:eastAsia="Times New Roman" w:hAnsiTheme="minorBidi"/>
          <w:color w:val="1F3864" w:themeColor="accent1" w:themeShade="80"/>
          <w:sz w:val="24"/>
          <w:szCs w:val="24"/>
          <w:shd w:val="clear" w:color="auto" w:fill="FFFFFF"/>
        </w:rPr>
        <w:fldChar w:fldCharType="end"/>
      </w:r>
      <w:r w:rsidRPr="0022700E">
        <w:rPr>
          <w:rFonts w:asciiTheme="minorBidi" w:eastAsia="Times New Roman" w:hAnsiTheme="minorBidi"/>
          <w:color w:val="1F3864" w:themeColor="accent1" w:themeShade="80"/>
          <w:sz w:val="24"/>
          <w:szCs w:val="24"/>
          <w:shd w:val="clear" w:color="auto" w:fill="FFFFFF"/>
        </w:rPr>
        <w:t>.</w:t>
      </w:r>
    </w:p>
    <w:p w14:paraId="5C786E90" w14:textId="77777777" w:rsidR="00821B82" w:rsidRDefault="00821B82" w:rsidP="00821B82">
      <w:pPr>
        <w:spacing w:after="0" w:line="360" w:lineRule="auto"/>
        <w:jc w:val="both"/>
        <w:rPr>
          <w:rFonts w:asciiTheme="minorBidi" w:eastAsia="Times New Roman" w:hAnsiTheme="minorBidi"/>
          <w:color w:val="32363A"/>
          <w:sz w:val="24"/>
          <w:szCs w:val="24"/>
          <w:shd w:val="clear" w:color="auto" w:fill="FFFFFF"/>
        </w:rPr>
      </w:pPr>
      <w:r w:rsidRPr="00F945D6">
        <w:rPr>
          <w:rFonts w:asciiTheme="minorBidi" w:eastAsia="Times New Roman" w:hAnsiTheme="minorBidi"/>
          <w:color w:val="32363A"/>
          <w:sz w:val="24"/>
          <w:szCs w:val="24"/>
          <w:shd w:val="clear" w:color="auto" w:fill="FFFFFF"/>
        </w:rPr>
        <w:t xml:space="preserve">The most striking observation to emerge from </w:t>
      </w:r>
      <w:r>
        <w:rPr>
          <w:rFonts w:asciiTheme="minorBidi" w:eastAsia="Times New Roman" w:hAnsiTheme="minorBidi"/>
          <w:color w:val="32363A"/>
          <w:sz w:val="24"/>
          <w:szCs w:val="24"/>
          <w:shd w:val="clear" w:color="auto" w:fill="FFFFFF"/>
        </w:rPr>
        <w:t>the</w:t>
      </w:r>
      <w:r w:rsidRPr="00F945D6">
        <w:rPr>
          <w:rFonts w:asciiTheme="minorBidi" w:eastAsia="Times New Roman" w:hAnsiTheme="minorBidi"/>
          <w:color w:val="32363A"/>
          <w:sz w:val="24"/>
          <w:szCs w:val="24"/>
          <w:shd w:val="clear" w:color="auto" w:fill="FFFFFF"/>
        </w:rPr>
        <w:t xml:space="preserve"> data comparison was</w:t>
      </w:r>
      <w:r>
        <w:rPr>
          <w:rFonts w:asciiTheme="minorBidi" w:eastAsia="Times New Roman" w:hAnsiTheme="minorBidi"/>
          <w:color w:val="32363A"/>
          <w:sz w:val="24"/>
          <w:szCs w:val="24"/>
          <w:shd w:val="clear" w:color="auto" w:fill="FFFFFF"/>
        </w:rPr>
        <w:t xml:space="preserve"> that participants </w:t>
      </w:r>
      <w:r w:rsidRPr="004B4110">
        <w:rPr>
          <w:rFonts w:asciiTheme="minorBidi" w:eastAsia="Times New Roman" w:hAnsiTheme="minorBidi"/>
          <w:color w:val="32363A"/>
          <w:sz w:val="24"/>
          <w:szCs w:val="24"/>
          <w:shd w:val="clear" w:color="auto" w:fill="FFFFFF"/>
        </w:rPr>
        <w:t>(n=10)</w:t>
      </w:r>
      <w:r>
        <w:rPr>
          <w:rFonts w:asciiTheme="minorBidi" w:eastAsia="Times New Roman" w:hAnsiTheme="minorBidi"/>
          <w:color w:val="32363A"/>
          <w:sz w:val="24"/>
          <w:szCs w:val="24"/>
          <w:shd w:val="clear" w:color="auto" w:fill="FFFFFF"/>
        </w:rPr>
        <w:t xml:space="preserve"> who graduated from advanced countries (this data not shown in table) such as the EU (n=4), the UK (n=4), and the USA (n=2), strongly agreed on most statements related to the potential benefits of adding pharmacists to the diabetes care team. </w:t>
      </w:r>
    </w:p>
    <w:p w14:paraId="13366A86" w14:textId="77777777" w:rsidR="00821B82" w:rsidRDefault="00821B82" w:rsidP="00821B82">
      <w:pPr>
        <w:spacing w:after="0" w:line="360" w:lineRule="auto"/>
        <w:jc w:val="both"/>
        <w:rPr>
          <w:rFonts w:asciiTheme="minorBidi" w:eastAsia="Times New Roman" w:hAnsiTheme="minorBidi"/>
          <w:color w:val="32363A"/>
          <w:sz w:val="24"/>
          <w:szCs w:val="24"/>
          <w:shd w:val="clear" w:color="auto" w:fill="FFFFFF"/>
        </w:rPr>
      </w:pPr>
    </w:p>
    <w:p w14:paraId="29A152D9" w14:textId="548BFDAC" w:rsidR="00821B82" w:rsidRPr="00D35C06" w:rsidRDefault="00821B82" w:rsidP="00821B82">
      <w:pPr>
        <w:pStyle w:val="Caption"/>
        <w:rPr>
          <w:noProof/>
          <w:sz w:val="20"/>
          <w:szCs w:val="20"/>
        </w:rPr>
      </w:pPr>
      <w:bookmarkStart w:id="214" w:name="_Ref122823785"/>
      <w:bookmarkStart w:id="215" w:name="_Toc153894574"/>
      <w:r w:rsidRPr="00D35C06">
        <w:rPr>
          <w:sz w:val="20"/>
          <w:szCs w:val="20"/>
        </w:rPr>
        <w:t xml:space="preserve">Table </w:t>
      </w:r>
      <w:r w:rsidRPr="00D35C06">
        <w:rPr>
          <w:sz w:val="20"/>
          <w:szCs w:val="20"/>
        </w:rPr>
        <w:fldChar w:fldCharType="begin"/>
      </w:r>
      <w:r w:rsidRPr="00D35C06">
        <w:rPr>
          <w:sz w:val="20"/>
          <w:szCs w:val="20"/>
        </w:rPr>
        <w:instrText xml:space="preserve"> SEQ Table \* ARABIC </w:instrText>
      </w:r>
      <w:r w:rsidRPr="00D35C06">
        <w:rPr>
          <w:sz w:val="20"/>
          <w:szCs w:val="20"/>
        </w:rPr>
        <w:fldChar w:fldCharType="separate"/>
      </w:r>
      <w:r w:rsidR="009B31EB">
        <w:rPr>
          <w:noProof/>
          <w:sz w:val="20"/>
          <w:szCs w:val="20"/>
        </w:rPr>
        <w:t>20</w:t>
      </w:r>
      <w:r w:rsidRPr="00D35C06">
        <w:rPr>
          <w:noProof/>
          <w:sz w:val="20"/>
          <w:szCs w:val="20"/>
        </w:rPr>
        <w:fldChar w:fldCharType="end"/>
      </w:r>
      <w:bookmarkEnd w:id="214"/>
      <w:r w:rsidRPr="00D35C06">
        <w:rPr>
          <w:noProof/>
          <w:sz w:val="20"/>
          <w:szCs w:val="20"/>
        </w:rPr>
        <w:t>: Percetage of doctors, pharmacists, and nurses and the source of the participants' qualification degree</w:t>
      </w:r>
      <w:bookmarkEnd w:id="2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620"/>
        <w:gridCol w:w="1945"/>
        <w:gridCol w:w="2059"/>
      </w:tblGrid>
      <w:tr w:rsidR="00821B82" w:rsidRPr="007E660A" w14:paraId="1BB98829" w14:textId="77777777" w:rsidTr="00282204">
        <w:trPr>
          <w:trHeight w:val="407"/>
        </w:trPr>
        <w:tc>
          <w:tcPr>
            <w:tcW w:w="2610" w:type="dxa"/>
            <w:vMerge w:val="restart"/>
          </w:tcPr>
          <w:p w14:paraId="2CF42334" w14:textId="77777777" w:rsidR="00821B82" w:rsidRPr="007E660A" w:rsidRDefault="00821B82" w:rsidP="00282204">
            <w:pPr>
              <w:jc w:val="center"/>
              <w:rPr>
                <w:rFonts w:eastAsia="Times New Roman" w:cstheme="minorHAnsi"/>
              </w:rPr>
            </w:pPr>
            <w:r w:rsidRPr="007E660A">
              <w:rPr>
                <w:rFonts w:eastAsia="Times New Roman" w:cstheme="minorHAnsi"/>
              </w:rPr>
              <w:t>Qualification Obtained</w:t>
            </w:r>
            <w:r>
              <w:rPr>
                <w:rFonts w:eastAsia="Times New Roman" w:cstheme="minorHAnsi"/>
              </w:rPr>
              <w:t xml:space="preserve"> (n)</w:t>
            </w:r>
          </w:p>
          <w:p w14:paraId="2CF74999" w14:textId="77777777" w:rsidR="00821B82" w:rsidRPr="007E660A" w:rsidRDefault="00821B82" w:rsidP="00282204">
            <w:pPr>
              <w:spacing w:line="360" w:lineRule="auto"/>
              <w:jc w:val="center"/>
              <w:rPr>
                <w:rFonts w:eastAsia="Times New Roman" w:cstheme="minorHAnsi"/>
                <w:shd w:val="clear" w:color="auto" w:fill="FFFFFF"/>
              </w:rPr>
            </w:pPr>
          </w:p>
        </w:tc>
        <w:tc>
          <w:tcPr>
            <w:tcW w:w="5624" w:type="dxa"/>
            <w:gridSpan w:val="3"/>
          </w:tcPr>
          <w:p w14:paraId="25CF45E7" w14:textId="77777777" w:rsidR="00821B82" w:rsidRPr="007E660A" w:rsidRDefault="00821B82" w:rsidP="00282204">
            <w:pPr>
              <w:spacing w:line="360" w:lineRule="auto"/>
              <w:jc w:val="center"/>
              <w:rPr>
                <w:rFonts w:eastAsia="Times New Roman" w:cstheme="minorHAnsi"/>
                <w:shd w:val="clear" w:color="auto" w:fill="FFFFFF"/>
              </w:rPr>
            </w:pPr>
            <w:r w:rsidRPr="007E660A">
              <w:rPr>
                <w:rFonts w:eastAsia="Times New Roman" w:cstheme="minorHAnsi"/>
                <w:shd w:val="clear" w:color="auto" w:fill="FFFFFF"/>
              </w:rPr>
              <w:t>Profession, responses % (n)</w:t>
            </w:r>
          </w:p>
        </w:tc>
      </w:tr>
      <w:tr w:rsidR="00821B82" w:rsidRPr="007E660A" w14:paraId="3B37F15B" w14:textId="77777777" w:rsidTr="00282204">
        <w:trPr>
          <w:trHeight w:val="396"/>
        </w:trPr>
        <w:tc>
          <w:tcPr>
            <w:tcW w:w="2610" w:type="dxa"/>
            <w:vMerge/>
            <w:tcBorders>
              <w:bottom w:val="single" w:sz="4" w:space="0" w:color="auto"/>
            </w:tcBorders>
          </w:tcPr>
          <w:p w14:paraId="37A94D2F" w14:textId="77777777" w:rsidR="00821B82" w:rsidRPr="007E660A" w:rsidRDefault="00821B82" w:rsidP="00282204">
            <w:pPr>
              <w:spacing w:line="360" w:lineRule="auto"/>
              <w:jc w:val="center"/>
              <w:rPr>
                <w:rFonts w:eastAsia="Times New Roman" w:cstheme="minorHAnsi"/>
                <w:shd w:val="clear" w:color="auto" w:fill="FFFFFF"/>
              </w:rPr>
            </w:pPr>
          </w:p>
        </w:tc>
        <w:tc>
          <w:tcPr>
            <w:tcW w:w="1620" w:type="dxa"/>
            <w:tcBorders>
              <w:bottom w:val="single" w:sz="4" w:space="0" w:color="auto"/>
            </w:tcBorders>
          </w:tcPr>
          <w:p w14:paraId="7502D811" w14:textId="77777777" w:rsidR="00821B82" w:rsidRPr="007E660A" w:rsidRDefault="00821B82" w:rsidP="00282204">
            <w:pPr>
              <w:spacing w:line="360" w:lineRule="auto"/>
              <w:jc w:val="center"/>
              <w:rPr>
                <w:rFonts w:eastAsia="Times New Roman" w:cstheme="minorHAnsi"/>
                <w:shd w:val="clear" w:color="auto" w:fill="FFFFFF"/>
              </w:rPr>
            </w:pPr>
            <w:r w:rsidRPr="007E660A">
              <w:rPr>
                <w:rFonts w:eastAsia="Times New Roman" w:cstheme="minorHAnsi"/>
                <w:shd w:val="clear" w:color="auto" w:fill="FFFFFF"/>
              </w:rPr>
              <w:t>Doctor</w:t>
            </w:r>
          </w:p>
        </w:tc>
        <w:tc>
          <w:tcPr>
            <w:tcW w:w="1945" w:type="dxa"/>
            <w:tcBorders>
              <w:bottom w:val="single" w:sz="4" w:space="0" w:color="auto"/>
            </w:tcBorders>
          </w:tcPr>
          <w:p w14:paraId="0927F5C5" w14:textId="77777777" w:rsidR="00821B82" w:rsidRPr="007E660A" w:rsidRDefault="00821B82" w:rsidP="00282204">
            <w:pPr>
              <w:spacing w:line="360" w:lineRule="auto"/>
              <w:jc w:val="center"/>
              <w:rPr>
                <w:rFonts w:eastAsia="Times New Roman" w:cstheme="minorHAnsi"/>
                <w:shd w:val="clear" w:color="auto" w:fill="FFFFFF"/>
              </w:rPr>
            </w:pPr>
            <w:r w:rsidRPr="007E660A">
              <w:rPr>
                <w:rFonts w:eastAsia="Times New Roman" w:cstheme="minorHAnsi"/>
                <w:shd w:val="clear" w:color="auto" w:fill="FFFFFF"/>
              </w:rPr>
              <w:t>Pharmacist</w:t>
            </w:r>
          </w:p>
        </w:tc>
        <w:tc>
          <w:tcPr>
            <w:tcW w:w="2059" w:type="dxa"/>
            <w:tcBorders>
              <w:bottom w:val="single" w:sz="4" w:space="0" w:color="auto"/>
            </w:tcBorders>
          </w:tcPr>
          <w:p w14:paraId="5D0C4821" w14:textId="77777777" w:rsidR="00821B82" w:rsidRPr="007E660A" w:rsidRDefault="00821B82" w:rsidP="00282204">
            <w:pPr>
              <w:spacing w:line="360" w:lineRule="auto"/>
              <w:jc w:val="center"/>
              <w:rPr>
                <w:rFonts w:eastAsia="Times New Roman" w:cstheme="minorHAnsi"/>
                <w:shd w:val="clear" w:color="auto" w:fill="FFFFFF"/>
              </w:rPr>
            </w:pPr>
            <w:r w:rsidRPr="007E660A">
              <w:rPr>
                <w:rFonts w:eastAsia="Times New Roman" w:cstheme="minorHAnsi"/>
                <w:shd w:val="clear" w:color="auto" w:fill="FFFFFF"/>
              </w:rPr>
              <w:t>Nurse</w:t>
            </w:r>
          </w:p>
        </w:tc>
      </w:tr>
      <w:tr w:rsidR="00821B82" w:rsidRPr="007E660A" w14:paraId="0024A03C" w14:textId="77777777" w:rsidTr="00282204">
        <w:trPr>
          <w:trHeight w:val="407"/>
        </w:trPr>
        <w:tc>
          <w:tcPr>
            <w:tcW w:w="2610" w:type="dxa"/>
            <w:tcBorders>
              <w:top w:val="single" w:sz="4" w:space="0" w:color="auto"/>
            </w:tcBorders>
          </w:tcPr>
          <w:p w14:paraId="6C3301F4" w14:textId="77777777" w:rsidR="00821B82" w:rsidRPr="007E660A" w:rsidRDefault="00821B82" w:rsidP="00282204">
            <w:pPr>
              <w:spacing w:line="360" w:lineRule="auto"/>
              <w:jc w:val="center"/>
              <w:rPr>
                <w:rFonts w:eastAsia="Times New Roman" w:cstheme="minorHAnsi"/>
                <w:shd w:val="clear" w:color="auto" w:fill="FFFFFF"/>
              </w:rPr>
            </w:pPr>
            <w:r w:rsidRPr="007E660A">
              <w:rPr>
                <w:rFonts w:cstheme="minorHAnsi"/>
              </w:rPr>
              <w:t>Saudi Arabia</w:t>
            </w:r>
            <w:r>
              <w:rPr>
                <w:rFonts w:cstheme="minorHAnsi"/>
              </w:rPr>
              <w:t xml:space="preserve"> (89)</w:t>
            </w:r>
          </w:p>
        </w:tc>
        <w:tc>
          <w:tcPr>
            <w:tcW w:w="1620" w:type="dxa"/>
            <w:tcBorders>
              <w:top w:val="single" w:sz="4" w:space="0" w:color="auto"/>
            </w:tcBorders>
          </w:tcPr>
          <w:p w14:paraId="7BDEDBEF" w14:textId="77777777" w:rsidR="00821B82" w:rsidRPr="007E660A" w:rsidRDefault="00821B82" w:rsidP="00282204">
            <w:pPr>
              <w:spacing w:line="360" w:lineRule="auto"/>
              <w:jc w:val="center"/>
              <w:rPr>
                <w:rFonts w:eastAsia="Times New Roman" w:cstheme="minorHAnsi"/>
                <w:shd w:val="clear" w:color="auto" w:fill="FFFFFF"/>
              </w:rPr>
            </w:pPr>
            <w:r w:rsidRPr="007E660A">
              <w:rPr>
                <w:rFonts w:cstheme="minorHAnsi"/>
              </w:rPr>
              <w:t>4</w:t>
            </w:r>
            <w:r>
              <w:rPr>
                <w:rFonts w:cstheme="minorHAnsi"/>
              </w:rPr>
              <w:t>5</w:t>
            </w:r>
            <w:r w:rsidRPr="007E660A">
              <w:rPr>
                <w:rFonts w:cstheme="minorHAnsi"/>
              </w:rPr>
              <w:t xml:space="preserve"> (40)</w:t>
            </w:r>
          </w:p>
        </w:tc>
        <w:tc>
          <w:tcPr>
            <w:tcW w:w="1945" w:type="dxa"/>
            <w:tcBorders>
              <w:top w:val="single" w:sz="4" w:space="0" w:color="auto"/>
            </w:tcBorders>
          </w:tcPr>
          <w:p w14:paraId="2FA8480D" w14:textId="77777777" w:rsidR="00821B82" w:rsidRPr="007E660A" w:rsidRDefault="00821B82" w:rsidP="00282204">
            <w:pPr>
              <w:spacing w:line="360" w:lineRule="auto"/>
              <w:jc w:val="center"/>
              <w:rPr>
                <w:rFonts w:eastAsia="Times New Roman" w:cstheme="minorHAnsi"/>
                <w:shd w:val="clear" w:color="auto" w:fill="FFFFFF"/>
              </w:rPr>
            </w:pPr>
            <w:r w:rsidRPr="007E660A">
              <w:rPr>
                <w:rFonts w:cstheme="minorHAnsi"/>
              </w:rPr>
              <w:t>2</w:t>
            </w:r>
            <w:r>
              <w:rPr>
                <w:rFonts w:cstheme="minorHAnsi"/>
              </w:rPr>
              <w:t>7</w:t>
            </w:r>
            <w:r w:rsidRPr="007E660A">
              <w:rPr>
                <w:rFonts w:cstheme="minorHAnsi"/>
              </w:rPr>
              <w:t xml:space="preserve"> (2</w:t>
            </w:r>
            <w:r>
              <w:rPr>
                <w:rFonts w:cstheme="minorHAnsi"/>
              </w:rPr>
              <w:t>4</w:t>
            </w:r>
            <w:r w:rsidRPr="007E660A">
              <w:rPr>
                <w:rFonts w:cstheme="minorHAnsi"/>
              </w:rPr>
              <w:t>)</w:t>
            </w:r>
          </w:p>
        </w:tc>
        <w:tc>
          <w:tcPr>
            <w:tcW w:w="2059" w:type="dxa"/>
            <w:tcBorders>
              <w:top w:val="single" w:sz="4" w:space="0" w:color="auto"/>
            </w:tcBorders>
          </w:tcPr>
          <w:p w14:paraId="65E0E7AC" w14:textId="77777777" w:rsidR="00821B82" w:rsidRPr="007E660A" w:rsidRDefault="00821B82" w:rsidP="00282204">
            <w:pPr>
              <w:spacing w:line="360" w:lineRule="auto"/>
              <w:jc w:val="center"/>
              <w:rPr>
                <w:rFonts w:eastAsia="Times New Roman" w:cstheme="minorHAnsi"/>
                <w:shd w:val="clear" w:color="auto" w:fill="FFFFFF"/>
              </w:rPr>
            </w:pPr>
            <w:r w:rsidRPr="007E660A">
              <w:rPr>
                <w:rFonts w:cstheme="minorHAnsi"/>
              </w:rPr>
              <w:t>2</w:t>
            </w:r>
            <w:r>
              <w:rPr>
                <w:rFonts w:cstheme="minorHAnsi"/>
              </w:rPr>
              <w:t>8</w:t>
            </w:r>
            <w:r w:rsidRPr="007E660A">
              <w:rPr>
                <w:rFonts w:cstheme="minorHAnsi"/>
              </w:rPr>
              <w:t xml:space="preserve"> (2</w:t>
            </w:r>
            <w:r>
              <w:rPr>
                <w:rFonts w:cstheme="minorHAnsi"/>
              </w:rPr>
              <w:t>5</w:t>
            </w:r>
            <w:r w:rsidRPr="007E660A">
              <w:rPr>
                <w:rFonts w:cstheme="minorHAnsi"/>
              </w:rPr>
              <w:t>)</w:t>
            </w:r>
          </w:p>
        </w:tc>
      </w:tr>
      <w:tr w:rsidR="00821B82" w:rsidRPr="007E660A" w14:paraId="1B9D583F" w14:textId="77777777" w:rsidTr="00282204">
        <w:trPr>
          <w:trHeight w:val="407"/>
        </w:trPr>
        <w:tc>
          <w:tcPr>
            <w:tcW w:w="2610" w:type="dxa"/>
            <w:tcBorders>
              <w:bottom w:val="single" w:sz="4" w:space="0" w:color="auto"/>
            </w:tcBorders>
          </w:tcPr>
          <w:p w14:paraId="1823BCBF" w14:textId="77777777" w:rsidR="00821B82" w:rsidRPr="007E660A" w:rsidRDefault="00821B82" w:rsidP="00282204">
            <w:pPr>
              <w:spacing w:line="360" w:lineRule="auto"/>
              <w:jc w:val="center"/>
              <w:rPr>
                <w:rFonts w:eastAsia="Times New Roman" w:cstheme="minorHAnsi"/>
                <w:shd w:val="clear" w:color="auto" w:fill="FFFFFF"/>
              </w:rPr>
            </w:pPr>
            <w:r w:rsidRPr="007E660A">
              <w:rPr>
                <w:rFonts w:cstheme="minorHAnsi"/>
              </w:rPr>
              <w:t>Other</w:t>
            </w:r>
            <w:r>
              <w:rPr>
                <w:rFonts w:cstheme="minorHAnsi"/>
              </w:rPr>
              <w:t xml:space="preserve"> (17)</w:t>
            </w:r>
          </w:p>
        </w:tc>
        <w:tc>
          <w:tcPr>
            <w:tcW w:w="1620" w:type="dxa"/>
            <w:tcBorders>
              <w:bottom w:val="single" w:sz="4" w:space="0" w:color="auto"/>
            </w:tcBorders>
          </w:tcPr>
          <w:p w14:paraId="2E0C9F8A" w14:textId="77777777" w:rsidR="00821B82" w:rsidRPr="007E660A" w:rsidRDefault="00821B82" w:rsidP="00282204">
            <w:pPr>
              <w:spacing w:line="360" w:lineRule="auto"/>
              <w:jc w:val="center"/>
              <w:rPr>
                <w:rFonts w:eastAsia="Times New Roman" w:cstheme="minorHAnsi"/>
                <w:shd w:val="clear" w:color="auto" w:fill="FFFFFF"/>
              </w:rPr>
            </w:pPr>
            <w:r w:rsidRPr="007E660A">
              <w:rPr>
                <w:rFonts w:cstheme="minorHAnsi"/>
              </w:rPr>
              <w:t>53 (9)</w:t>
            </w:r>
          </w:p>
        </w:tc>
        <w:tc>
          <w:tcPr>
            <w:tcW w:w="1945" w:type="dxa"/>
            <w:tcBorders>
              <w:bottom w:val="single" w:sz="4" w:space="0" w:color="auto"/>
            </w:tcBorders>
          </w:tcPr>
          <w:p w14:paraId="35514329" w14:textId="77777777" w:rsidR="00821B82" w:rsidRPr="007E660A" w:rsidRDefault="00821B82" w:rsidP="00282204">
            <w:pPr>
              <w:spacing w:line="360" w:lineRule="auto"/>
              <w:jc w:val="center"/>
              <w:rPr>
                <w:rFonts w:eastAsia="Times New Roman" w:cstheme="minorHAnsi"/>
                <w:shd w:val="clear" w:color="auto" w:fill="FFFFFF"/>
              </w:rPr>
            </w:pPr>
            <w:r w:rsidRPr="007E660A">
              <w:rPr>
                <w:rFonts w:cstheme="minorHAnsi"/>
              </w:rPr>
              <w:t>35 (6)</w:t>
            </w:r>
          </w:p>
        </w:tc>
        <w:tc>
          <w:tcPr>
            <w:tcW w:w="2059" w:type="dxa"/>
            <w:tcBorders>
              <w:bottom w:val="single" w:sz="4" w:space="0" w:color="auto"/>
            </w:tcBorders>
          </w:tcPr>
          <w:p w14:paraId="098A59A2" w14:textId="77777777" w:rsidR="00821B82" w:rsidRPr="007E660A" w:rsidRDefault="00821B82" w:rsidP="00282204">
            <w:pPr>
              <w:spacing w:line="360" w:lineRule="auto"/>
              <w:jc w:val="center"/>
              <w:rPr>
                <w:rFonts w:eastAsia="Times New Roman" w:cstheme="minorHAnsi"/>
                <w:shd w:val="clear" w:color="auto" w:fill="FFFFFF"/>
              </w:rPr>
            </w:pPr>
            <w:r w:rsidRPr="007E660A">
              <w:rPr>
                <w:rFonts w:cstheme="minorHAnsi"/>
              </w:rPr>
              <w:t>12 (2)</w:t>
            </w:r>
          </w:p>
        </w:tc>
      </w:tr>
    </w:tbl>
    <w:p w14:paraId="7E4F2BCB"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3E5012D1"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sectPr w:rsidR="00821B82" w:rsidSect="00282204">
          <w:pgSz w:w="12240" w:h="15840"/>
          <w:pgMar w:top="1440" w:right="1440" w:bottom="1440" w:left="1440" w:header="720" w:footer="720" w:gutter="0"/>
          <w:cols w:space="720"/>
          <w:docGrid w:linePitch="360"/>
        </w:sectPr>
      </w:pPr>
    </w:p>
    <w:p w14:paraId="20EEB05F" w14:textId="159B0999" w:rsidR="00821B82" w:rsidRDefault="00821B82" w:rsidP="00821B82">
      <w:pPr>
        <w:pStyle w:val="Caption"/>
      </w:pPr>
      <w:bookmarkStart w:id="216" w:name="_Ref122394747"/>
      <w:bookmarkStart w:id="217" w:name="_Toc153894575"/>
      <w:r>
        <w:t xml:space="preserve">Table </w:t>
      </w:r>
      <w:fldSimple w:instr=" SEQ Table \* ARABIC ">
        <w:r w:rsidR="009B31EB">
          <w:rPr>
            <w:noProof/>
          </w:rPr>
          <w:t>21</w:t>
        </w:r>
      </w:fldSimple>
      <w:bookmarkEnd w:id="216"/>
      <w:r w:rsidRPr="00986576">
        <w:t xml:space="preserve">: </w:t>
      </w:r>
      <w:r w:rsidRPr="00583FE0">
        <w:t>Respondents' views according to the country issuing their qualifications; Views on Potential Impact of Pharmacist Involvement in Diabetes Care</w:t>
      </w:r>
      <w:bookmarkEnd w:id="217"/>
    </w:p>
    <w:tbl>
      <w:tblPr>
        <w:tblW w:w="13668" w:type="dxa"/>
        <w:jc w:val="center"/>
        <w:shd w:val="clear" w:color="auto" w:fill="FFFFFF" w:themeFill="background1"/>
        <w:tblLook w:val="04A0" w:firstRow="1" w:lastRow="0" w:firstColumn="1" w:lastColumn="0" w:noHBand="0" w:noVBand="1"/>
      </w:tblPr>
      <w:tblGrid>
        <w:gridCol w:w="5910"/>
        <w:gridCol w:w="1320"/>
        <w:gridCol w:w="934"/>
        <w:gridCol w:w="917"/>
        <w:gridCol w:w="967"/>
        <w:gridCol w:w="876"/>
        <w:gridCol w:w="882"/>
        <w:gridCol w:w="965"/>
        <w:gridCol w:w="897"/>
      </w:tblGrid>
      <w:tr w:rsidR="00821B82" w:rsidRPr="00344291" w14:paraId="421388B5" w14:textId="77777777" w:rsidTr="00282204">
        <w:trPr>
          <w:cantSplit/>
          <w:trHeight w:val="242"/>
          <w:tblHeader/>
          <w:jc w:val="center"/>
        </w:trPr>
        <w:tc>
          <w:tcPr>
            <w:tcW w:w="5910" w:type="dxa"/>
            <w:vMerge w:val="restart"/>
            <w:shd w:val="clear" w:color="auto" w:fill="FFFFFF" w:themeFill="background1"/>
            <w:vAlign w:val="center"/>
            <w:hideMark/>
          </w:tcPr>
          <w:p w14:paraId="7FF0FB2F" w14:textId="77777777" w:rsidR="00821B82" w:rsidRPr="00344291" w:rsidRDefault="00821B82" w:rsidP="00282204">
            <w:pPr>
              <w:spacing w:after="0" w:line="240" w:lineRule="auto"/>
              <w:rPr>
                <w:rFonts w:asciiTheme="minorBidi" w:eastAsia="Times New Roman" w:hAnsiTheme="minorBidi"/>
                <w:color w:val="000000"/>
                <w:sz w:val="18"/>
                <w:szCs w:val="18"/>
              </w:rPr>
            </w:pPr>
            <w:r w:rsidRPr="00344291">
              <w:rPr>
                <w:rFonts w:asciiTheme="minorBidi" w:eastAsia="Times New Roman" w:hAnsiTheme="minorBidi"/>
                <w:color w:val="000000"/>
                <w:sz w:val="18"/>
                <w:szCs w:val="18"/>
              </w:rPr>
              <w:t>Statement</w:t>
            </w:r>
          </w:p>
          <w:p w14:paraId="5AE12FA3" w14:textId="77777777" w:rsidR="00821B82" w:rsidRPr="00344291" w:rsidRDefault="00821B82" w:rsidP="00282204">
            <w:pPr>
              <w:spacing w:after="0" w:line="240" w:lineRule="auto"/>
              <w:rPr>
                <w:rFonts w:asciiTheme="minorBidi" w:eastAsia="Times New Roman" w:hAnsiTheme="minorBidi"/>
                <w:color w:val="000000"/>
                <w:sz w:val="18"/>
                <w:szCs w:val="18"/>
              </w:rPr>
            </w:pPr>
            <w:r w:rsidRPr="00344291">
              <w:rPr>
                <w:rFonts w:asciiTheme="minorBidi" w:eastAsia="Times New Roman" w:hAnsiTheme="minorBidi"/>
                <w:color w:val="000000"/>
                <w:sz w:val="18"/>
                <w:szCs w:val="18"/>
              </w:rPr>
              <w:t> </w:t>
            </w:r>
          </w:p>
        </w:tc>
        <w:tc>
          <w:tcPr>
            <w:tcW w:w="1320" w:type="dxa"/>
            <w:vMerge w:val="restart"/>
            <w:shd w:val="clear" w:color="auto" w:fill="FFFFFF" w:themeFill="background1"/>
            <w:vAlign w:val="center"/>
            <w:hideMark/>
          </w:tcPr>
          <w:p w14:paraId="0BED59E8" w14:textId="77777777" w:rsidR="00821B82" w:rsidRPr="00344291" w:rsidRDefault="00821B82" w:rsidP="00282204">
            <w:pPr>
              <w:spacing w:after="0" w:line="240" w:lineRule="auto"/>
              <w:jc w:val="center"/>
              <w:rPr>
                <w:rFonts w:asciiTheme="minorBidi" w:eastAsia="Times New Roman" w:hAnsiTheme="minorBidi"/>
                <w:color w:val="000000"/>
                <w:sz w:val="18"/>
                <w:szCs w:val="18"/>
              </w:rPr>
            </w:pPr>
            <w:r w:rsidRPr="00344291">
              <w:rPr>
                <w:rFonts w:asciiTheme="minorBidi" w:eastAsia="Times New Roman" w:hAnsiTheme="minorBidi"/>
                <w:color w:val="000000"/>
                <w:sz w:val="18"/>
                <w:szCs w:val="18"/>
              </w:rPr>
              <w:t>Qualification Obtained</w:t>
            </w:r>
          </w:p>
          <w:p w14:paraId="2B9EDD05" w14:textId="77777777" w:rsidR="00821B82" w:rsidRPr="00344291" w:rsidRDefault="00821B82" w:rsidP="00282204">
            <w:pPr>
              <w:spacing w:after="0" w:line="240" w:lineRule="auto"/>
              <w:jc w:val="center"/>
              <w:rPr>
                <w:rFonts w:asciiTheme="minorBidi" w:eastAsia="Times New Roman" w:hAnsiTheme="minorBidi"/>
                <w:color w:val="000000"/>
                <w:sz w:val="18"/>
                <w:szCs w:val="18"/>
              </w:rPr>
            </w:pPr>
          </w:p>
        </w:tc>
        <w:tc>
          <w:tcPr>
            <w:tcW w:w="4576" w:type="dxa"/>
            <w:gridSpan w:val="5"/>
            <w:shd w:val="clear" w:color="auto" w:fill="FFFFFF" w:themeFill="background1"/>
            <w:vAlign w:val="center"/>
            <w:hideMark/>
          </w:tcPr>
          <w:p w14:paraId="0891C417" w14:textId="77777777" w:rsidR="00821B82" w:rsidRPr="000C6196" w:rsidRDefault="00821B82" w:rsidP="00282204">
            <w:pPr>
              <w:spacing w:after="0" w:line="240" w:lineRule="auto"/>
              <w:jc w:val="center"/>
              <w:rPr>
                <w:rFonts w:asciiTheme="minorBidi" w:eastAsia="Times New Roman" w:hAnsiTheme="minorBidi"/>
                <w:color w:val="000000"/>
                <w:sz w:val="18"/>
                <w:szCs w:val="18"/>
              </w:rPr>
            </w:pPr>
            <w:r w:rsidRPr="000C6196">
              <w:rPr>
                <w:rFonts w:asciiTheme="minorBidi" w:eastAsia="Times New Roman" w:hAnsiTheme="minorBidi"/>
                <w:color w:val="000000"/>
                <w:sz w:val="18"/>
                <w:szCs w:val="18"/>
              </w:rPr>
              <w:t>Responses</w:t>
            </w:r>
            <w:r>
              <w:rPr>
                <w:rFonts w:asciiTheme="minorBidi" w:eastAsia="Times New Roman" w:hAnsiTheme="minorBidi"/>
                <w:color w:val="000000"/>
                <w:sz w:val="18"/>
                <w:szCs w:val="18"/>
              </w:rPr>
              <w:t xml:space="preserve"> </w:t>
            </w:r>
            <w:r w:rsidRPr="000C6196">
              <w:rPr>
                <w:rFonts w:asciiTheme="minorBidi" w:eastAsia="Times New Roman" w:hAnsiTheme="minorBidi"/>
                <w:color w:val="000000"/>
                <w:sz w:val="18"/>
                <w:szCs w:val="18"/>
              </w:rPr>
              <w:t>rate in %, total responses=106</w:t>
            </w:r>
            <w:r>
              <w:rPr>
                <w:rFonts w:asciiTheme="minorBidi" w:eastAsia="Times New Roman" w:hAnsiTheme="minorBidi"/>
                <w:color w:val="000000"/>
                <w:sz w:val="18"/>
                <w:szCs w:val="18"/>
              </w:rPr>
              <w:t xml:space="preserve"> </w:t>
            </w:r>
            <w:r w:rsidRPr="000C6196">
              <w:rPr>
                <w:rFonts w:asciiTheme="minorBidi" w:eastAsia="Times New Roman" w:hAnsiTheme="minorBidi"/>
                <w:color w:val="000000"/>
                <w:sz w:val="18"/>
                <w:szCs w:val="18"/>
              </w:rPr>
              <w:t>(89 from SA, 17 Other)</w:t>
            </w:r>
          </w:p>
        </w:tc>
        <w:tc>
          <w:tcPr>
            <w:tcW w:w="965" w:type="dxa"/>
            <w:vMerge w:val="restart"/>
            <w:shd w:val="clear" w:color="auto" w:fill="FFFFFF" w:themeFill="background1"/>
            <w:vAlign w:val="center"/>
            <w:hideMark/>
          </w:tcPr>
          <w:p w14:paraId="5B1C4D77" w14:textId="77777777" w:rsidR="00821B82" w:rsidRPr="00344291" w:rsidRDefault="00821B82" w:rsidP="00282204">
            <w:pPr>
              <w:spacing w:after="0" w:line="240" w:lineRule="auto"/>
              <w:jc w:val="center"/>
              <w:rPr>
                <w:rFonts w:asciiTheme="minorBidi" w:eastAsia="Times New Roman" w:hAnsiTheme="minorBidi"/>
                <w:color w:val="000000"/>
                <w:sz w:val="18"/>
                <w:szCs w:val="18"/>
              </w:rPr>
            </w:pPr>
            <w:r w:rsidRPr="00344291">
              <w:rPr>
                <w:rFonts w:asciiTheme="minorBidi" w:eastAsia="Times New Roman" w:hAnsiTheme="minorBidi"/>
                <w:color w:val="000000"/>
                <w:sz w:val="18"/>
                <w:szCs w:val="18"/>
              </w:rPr>
              <w:t>Median (IQR)</w:t>
            </w:r>
          </w:p>
          <w:p w14:paraId="67D4C763" w14:textId="77777777" w:rsidR="00821B82" w:rsidRPr="00344291" w:rsidRDefault="00821B82" w:rsidP="00282204">
            <w:pPr>
              <w:spacing w:after="0" w:line="240" w:lineRule="auto"/>
              <w:jc w:val="center"/>
              <w:rPr>
                <w:rFonts w:asciiTheme="minorBidi" w:eastAsia="Times New Roman" w:hAnsiTheme="minorBidi"/>
                <w:color w:val="000000"/>
                <w:sz w:val="18"/>
                <w:szCs w:val="18"/>
              </w:rPr>
            </w:pPr>
          </w:p>
        </w:tc>
        <w:tc>
          <w:tcPr>
            <w:tcW w:w="897" w:type="dxa"/>
            <w:vMerge w:val="restart"/>
            <w:shd w:val="clear" w:color="auto" w:fill="FFFFFF" w:themeFill="background1"/>
            <w:vAlign w:val="center"/>
            <w:hideMark/>
          </w:tcPr>
          <w:p w14:paraId="68F21627" w14:textId="77777777" w:rsidR="00821B82" w:rsidRPr="00344291" w:rsidRDefault="00821B82" w:rsidP="00282204">
            <w:pPr>
              <w:spacing w:after="0" w:line="240" w:lineRule="auto"/>
              <w:jc w:val="center"/>
              <w:rPr>
                <w:rFonts w:asciiTheme="minorBidi" w:eastAsia="Times New Roman" w:hAnsiTheme="minorBidi"/>
                <w:color w:val="000000"/>
                <w:sz w:val="18"/>
                <w:szCs w:val="18"/>
              </w:rPr>
            </w:pPr>
            <w:r>
              <w:rPr>
                <w:rFonts w:eastAsia="Times New Roman" w:cstheme="minorHAnsi"/>
                <w:color w:val="000000"/>
              </w:rPr>
              <w:t>Fisher’s Exact</w:t>
            </w:r>
          </w:p>
          <w:p w14:paraId="2A48B34E" w14:textId="77777777" w:rsidR="00821B82" w:rsidRPr="00344291" w:rsidRDefault="00821B82" w:rsidP="00282204">
            <w:pPr>
              <w:spacing w:after="0" w:line="240" w:lineRule="auto"/>
              <w:jc w:val="center"/>
              <w:rPr>
                <w:rFonts w:asciiTheme="minorBidi" w:eastAsia="Times New Roman" w:hAnsiTheme="minorBidi"/>
                <w:color w:val="000000"/>
                <w:sz w:val="18"/>
                <w:szCs w:val="18"/>
              </w:rPr>
            </w:pPr>
          </w:p>
        </w:tc>
      </w:tr>
      <w:tr w:rsidR="00821B82" w:rsidRPr="000C6196" w14:paraId="336A92E4" w14:textId="77777777" w:rsidTr="00282204">
        <w:trPr>
          <w:cantSplit/>
          <w:trHeight w:val="693"/>
          <w:tblHeader/>
          <w:jc w:val="center"/>
        </w:trPr>
        <w:tc>
          <w:tcPr>
            <w:tcW w:w="5910" w:type="dxa"/>
            <w:vMerge/>
            <w:tcBorders>
              <w:bottom w:val="single" w:sz="4" w:space="0" w:color="auto"/>
            </w:tcBorders>
            <w:shd w:val="clear" w:color="auto" w:fill="FFFFFF" w:themeFill="background1"/>
            <w:vAlign w:val="center"/>
            <w:hideMark/>
          </w:tcPr>
          <w:p w14:paraId="02706BA3" w14:textId="77777777" w:rsidR="00821B82" w:rsidRPr="000C6196" w:rsidRDefault="00821B82" w:rsidP="00282204">
            <w:pPr>
              <w:spacing w:after="0" w:line="240" w:lineRule="auto"/>
              <w:rPr>
                <w:rFonts w:asciiTheme="minorBidi" w:eastAsia="Times New Roman" w:hAnsiTheme="minorBidi"/>
                <w:color w:val="000000"/>
                <w:sz w:val="16"/>
                <w:szCs w:val="16"/>
              </w:rPr>
            </w:pPr>
          </w:p>
        </w:tc>
        <w:tc>
          <w:tcPr>
            <w:tcW w:w="1320" w:type="dxa"/>
            <w:vMerge/>
            <w:tcBorders>
              <w:bottom w:val="single" w:sz="4" w:space="0" w:color="auto"/>
            </w:tcBorders>
            <w:shd w:val="clear" w:color="auto" w:fill="FFFFFF" w:themeFill="background1"/>
            <w:vAlign w:val="center"/>
            <w:hideMark/>
          </w:tcPr>
          <w:p w14:paraId="2DDE0490" w14:textId="77777777" w:rsidR="00821B82" w:rsidRPr="000C6196" w:rsidRDefault="00821B82" w:rsidP="00282204">
            <w:pPr>
              <w:spacing w:after="0" w:line="240" w:lineRule="auto"/>
              <w:jc w:val="center"/>
              <w:rPr>
                <w:rFonts w:asciiTheme="minorBidi" w:eastAsia="Times New Roman" w:hAnsiTheme="minorBidi"/>
                <w:color w:val="000000"/>
                <w:sz w:val="16"/>
                <w:szCs w:val="16"/>
              </w:rPr>
            </w:pPr>
          </w:p>
        </w:tc>
        <w:tc>
          <w:tcPr>
            <w:tcW w:w="934" w:type="dxa"/>
            <w:tcBorders>
              <w:bottom w:val="single" w:sz="4" w:space="0" w:color="auto"/>
            </w:tcBorders>
            <w:shd w:val="clear" w:color="auto" w:fill="FFFFFF" w:themeFill="background1"/>
            <w:vAlign w:val="center"/>
            <w:hideMark/>
          </w:tcPr>
          <w:p w14:paraId="3961D292" w14:textId="77777777" w:rsidR="00821B82" w:rsidRPr="000C6196" w:rsidRDefault="00821B82" w:rsidP="00282204">
            <w:pPr>
              <w:spacing w:after="0" w:line="240" w:lineRule="auto"/>
              <w:jc w:val="center"/>
              <w:rPr>
                <w:rFonts w:asciiTheme="minorBidi" w:eastAsia="Times New Roman" w:hAnsiTheme="minorBidi"/>
                <w:color w:val="000000"/>
                <w:sz w:val="16"/>
                <w:szCs w:val="16"/>
              </w:rPr>
            </w:pPr>
            <w:r w:rsidRPr="000C6196">
              <w:rPr>
                <w:rFonts w:asciiTheme="minorBidi" w:eastAsia="Times New Roman" w:hAnsiTheme="minorBidi"/>
                <w:color w:val="000000"/>
                <w:sz w:val="16"/>
                <w:szCs w:val="16"/>
              </w:rPr>
              <w:t>Strongly disagree</w:t>
            </w:r>
          </w:p>
        </w:tc>
        <w:tc>
          <w:tcPr>
            <w:tcW w:w="917" w:type="dxa"/>
            <w:tcBorders>
              <w:bottom w:val="single" w:sz="4" w:space="0" w:color="auto"/>
            </w:tcBorders>
            <w:shd w:val="clear" w:color="auto" w:fill="FFFFFF" w:themeFill="background1"/>
            <w:vAlign w:val="center"/>
            <w:hideMark/>
          </w:tcPr>
          <w:p w14:paraId="78D7F5BD" w14:textId="77777777" w:rsidR="00821B82" w:rsidRPr="000C6196" w:rsidRDefault="00821B82" w:rsidP="00282204">
            <w:pPr>
              <w:spacing w:after="0" w:line="240" w:lineRule="auto"/>
              <w:jc w:val="center"/>
              <w:rPr>
                <w:rFonts w:asciiTheme="minorBidi" w:eastAsia="Times New Roman" w:hAnsiTheme="minorBidi"/>
                <w:color w:val="000000"/>
                <w:sz w:val="16"/>
                <w:szCs w:val="16"/>
              </w:rPr>
            </w:pPr>
            <w:r w:rsidRPr="000C6196">
              <w:rPr>
                <w:rFonts w:asciiTheme="minorBidi" w:eastAsia="Times New Roman" w:hAnsiTheme="minorBidi"/>
                <w:color w:val="000000"/>
                <w:sz w:val="16"/>
                <w:szCs w:val="16"/>
              </w:rPr>
              <w:t>Disagree</w:t>
            </w:r>
          </w:p>
        </w:tc>
        <w:tc>
          <w:tcPr>
            <w:tcW w:w="967" w:type="dxa"/>
            <w:tcBorders>
              <w:bottom w:val="single" w:sz="4" w:space="0" w:color="auto"/>
            </w:tcBorders>
            <w:shd w:val="clear" w:color="auto" w:fill="FFFFFF" w:themeFill="background1"/>
            <w:vAlign w:val="center"/>
            <w:hideMark/>
          </w:tcPr>
          <w:p w14:paraId="0FFB578A" w14:textId="77777777" w:rsidR="00821B82" w:rsidRPr="000C6196" w:rsidRDefault="00821B82" w:rsidP="00282204">
            <w:pPr>
              <w:spacing w:after="0" w:line="240" w:lineRule="auto"/>
              <w:jc w:val="center"/>
              <w:rPr>
                <w:rFonts w:asciiTheme="minorBidi" w:eastAsia="Times New Roman" w:hAnsiTheme="minorBidi"/>
                <w:color w:val="000000"/>
                <w:sz w:val="16"/>
                <w:szCs w:val="16"/>
              </w:rPr>
            </w:pPr>
            <w:r w:rsidRPr="000C6196">
              <w:rPr>
                <w:rFonts w:asciiTheme="minorBidi" w:eastAsia="Times New Roman" w:hAnsiTheme="minorBidi"/>
                <w:color w:val="000000"/>
                <w:sz w:val="16"/>
                <w:szCs w:val="16"/>
              </w:rPr>
              <w:t>Neither agree nor disagree</w:t>
            </w:r>
          </w:p>
        </w:tc>
        <w:tc>
          <w:tcPr>
            <w:tcW w:w="876" w:type="dxa"/>
            <w:tcBorders>
              <w:bottom w:val="single" w:sz="4" w:space="0" w:color="auto"/>
            </w:tcBorders>
            <w:shd w:val="clear" w:color="auto" w:fill="FFFFFF" w:themeFill="background1"/>
            <w:vAlign w:val="center"/>
            <w:hideMark/>
          </w:tcPr>
          <w:p w14:paraId="3859F09F" w14:textId="77777777" w:rsidR="00821B82" w:rsidRPr="000C6196" w:rsidRDefault="00821B82" w:rsidP="00282204">
            <w:pPr>
              <w:spacing w:after="0" w:line="240" w:lineRule="auto"/>
              <w:jc w:val="center"/>
              <w:rPr>
                <w:rFonts w:asciiTheme="minorBidi" w:eastAsia="Times New Roman" w:hAnsiTheme="minorBidi"/>
                <w:color w:val="000000"/>
                <w:sz w:val="16"/>
                <w:szCs w:val="16"/>
              </w:rPr>
            </w:pPr>
            <w:r w:rsidRPr="000C6196">
              <w:rPr>
                <w:rFonts w:asciiTheme="minorBidi" w:eastAsia="Times New Roman" w:hAnsiTheme="minorBidi"/>
                <w:color w:val="000000"/>
                <w:sz w:val="16"/>
                <w:szCs w:val="16"/>
              </w:rPr>
              <w:t>Agree</w:t>
            </w:r>
          </w:p>
        </w:tc>
        <w:tc>
          <w:tcPr>
            <w:tcW w:w="882" w:type="dxa"/>
            <w:tcBorders>
              <w:bottom w:val="single" w:sz="4" w:space="0" w:color="auto"/>
            </w:tcBorders>
            <w:shd w:val="clear" w:color="auto" w:fill="FFFFFF" w:themeFill="background1"/>
            <w:vAlign w:val="center"/>
            <w:hideMark/>
          </w:tcPr>
          <w:p w14:paraId="6D70D309" w14:textId="77777777" w:rsidR="00821B82" w:rsidRPr="000C6196" w:rsidRDefault="00821B82" w:rsidP="00282204">
            <w:pPr>
              <w:spacing w:after="0" w:line="240" w:lineRule="auto"/>
              <w:jc w:val="center"/>
              <w:rPr>
                <w:rFonts w:asciiTheme="minorBidi" w:eastAsia="Times New Roman" w:hAnsiTheme="minorBidi"/>
                <w:color w:val="000000"/>
                <w:sz w:val="16"/>
                <w:szCs w:val="16"/>
              </w:rPr>
            </w:pPr>
            <w:r w:rsidRPr="000C6196">
              <w:rPr>
                <w:rFonts w:asciiTheme="minorBidi" w:eastAsia="Times New Roman" w:hAnsiTheme="minorBidi"/>
                <w:color w:val="000000"/>
                <w:sz w:val="16"/>
                <w:szCs w:val="16"/>
              </w:rPr>
              <w:t>Strongly agree</w:t>
            </w:r>
          </w:p>
        </w:tc>
        <w:tc>
          <w:tcPr>
            <w:tcW w:w="965" w:type="dxa"/>
            <w:vMerge/>
            <w:tcBorders>
              <w:bottom w:val="single" w:sz="4" w:space="0" w:color="auto"/>
            </w:tcBorders>
            <w:shd w:val="clear" w:color="auto" w:fill="FFFFFF" w:themeFill="background1"/>
            <w:vAlign w:val="center"/>
            <w:hideMark/>
          </w:tcPr>
          <w:p w14:paraId="1C5CE0DB" w14:textId="77777777" w:rsidR="00821B82" w:rsidRPr="000C6196" w:rsidRDefault="00821B82" w:rsidP="00282204">
            <w:pPr>
              <w:spacing w:after="0" w:line="240" w:lineRule="auto"/>
              <w:jc w:val="center"/>
              <w:rPr>
                <w:rFonts w:asciiTheme="minorBidi" w:eastAsia="Times New Roman" w:hAnsiTheme="minorBidi"/>
                <w:color w:val="000000"/>
                <w:sz w:val="16"/>
                <w:szCs w:val="16"/>
              </w:rPr>
            </w:pPr>
          </w:p>
        </w:tc>
        <w:tc>
          <w:tcPr>
            <w:tcW w:w="897" w:type="dxa"/>
            <w:vMerge/>
            <w:tcBorders>
              <w:bottom w:val="single" w:sz="4" w:space="0" w:color="auto"/>
            </w:tcBorders>
            <w:shd w:val="clear" w:color="auto" w:fill="FFFFFF" w:themeFill="background1"/>
            <w:vAlign w:val="center"/>
            <w:hideMark/>
          </w:tcPr>
          <w:p w14:paraId="322AEA48" w14:textId="77777777" w:rsidR="00821B82" w:rsidRPr="000C6196" w:rsidRDefault="00821B82" w:rsidP="00282204">
            <w:pPr>
              <w:spacing w:after="0" w:line="240" w:lineRule="auto"/>
              <w:jc w:val="center"/>
              <w:rPr>
                <w:rFonts w:asciiTheme="minorBidi" w:eastAsia="Times New Roman" w:hAnsiTheme="minorBidi"/>
                <w:color w:val="000000"/>
                <w:sz w:val="16"/>
                <w:szCs w:val="16"/>
              </w:rPr>
            </w:pPr>
          </w:p>
        </w:tc>
      </w:tr>
      <w:tr w:rsidR="00821B82" w:rsidRPr="00C96F66" w14:paraId="4E9B72B7" w14:textId="77777777" w:rsidTr="00282204">
        <w:trPr>
          <w:trHeight w:val="284"/>
          <w:jc w:val="center"/>
        </w:trPr>
        <w:tc>
          <w:tcPr>
            <w:tcW w:w="5910" w:type="dxa"/>
            <w:vMerge w:val="restart"/>
            <w:tcBorders>
              <w:top w:val="single" w:sz="4" w:space="0" w:color="auto"/>
            </w:tcBorders>
            <w:shd w:val="clear" w:color="auto" w:fill="FFFFFF" w:themeFill="background1"/>
            <w:vAlign w:val="center"/>
            <w:hideMark/>
          </w:tcPr>
          <w:p w14:paraId="1A91FA4A"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can reduce medication errors in practice</w:t>
            </w:r>
          </w:p>
          <w:p w14:paraId="6D3BAAF8"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000000"/>
                <w:sz w:val="18"/>
                <w:szCs w:val="18"/>
              </w:rPr>
              <w:t> </w:t>
            </w:r>
          </w:p>
        </w:tc>
        <w:tc>
          <w:tcPr>
            <w:tcW w:w="1320" w:type="dxa"/>
            <w:tcBorders>
              <w:top w:val="single" w:sz="4" w:space="0" w:color="auto"/>
            </w:tcBorders>
            <w:shd w:val="clear" w:color="auto" w:fill="FFFFFF" w:themeFill="background1"/>
            <w:vAlign w:val="center"/>
            <w:hideMark/>
          </w:tcPr>
          <w:p w14:paraId="251ACDE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tcBorders>
              <w:top w:val="single" w:sz="4" w:space="0" w:color="auto"/>
            </w:tcBorders>
            <w:shd w:val="clear" w:color="auto" w:fill="FFFFFF" w:themeFill="background1"/>
            <w:vAlign w:val="center"/>
            <w:hideMark/>
          </w:tcPr>
          <w:p w14:paraId="1058E5DE"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w:t>
            </w:r>
          </w:p>
        </w:tc>
        <w:tc>
          <w:tcPr>
            <w:tcW w:w="917" w:type="dxa"/>
            <w:tcBorders>
              <w:top w:val="single" w:sz="4" w:space="0" w:color="auto"/>
            </w:tcBorders>
            <w:shd w:val="clear" w:color="auto" w:fill="FFFFFF" w:themeFill="background1"/>
            <w:vAlign w:val="center"/>
            <w:hideMark/>
          </w:tcPr>
          <w:p w14:paraId="3D7720CF"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w:t>
            </w:r>
          </w:p>
        </w:tc>
        <w:tc>
          <w:tcPr>
            <w:tcW w:w="967" w:type="dxa"/>
            <w:tcBorders>
              <w:top w:val="single" w:sz="4" w:space="0" w:color="auto"/>
            </w:tcBorders>
            <w:shd w:val="clear" w:color="auto" w:fill="FFFFFF" w:themeFill="background1"/>
            <w:vAlign w:val="center"/>
            <w:hideMark/>
          </w:tcPr>
          <w:p w14:paraId="1E3270A8"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w:t>
            </w:r>
          </w:p>
        </w:tc>
        <w:tc>
          <w:tcPr>
            <w:tcW w:w="876" w:type="dxa"/>
            <w:tcBorders>
              <w:top w:val="single" w:sz="4" w:space="0" w:color="auto"/>
            </w:tcBorders>
            <w:shd w:val="clear" w:color="auto" w:fill="FFFFFF" w:themeFill="background1"/>
            <w:vAlign w:val="center"/>
            <w:hideMark/>
          </w:tcPr>
          <w:p w14:paraId="10188D23"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46</w:t>
            </w:r>
          </w:p>
        </w:tc>
        <w:tc>
          <w:tcPr>
            <w:tcW w:w="882" w:type="dxa"/>
            <w:tcBorders>
              <w:top w:val="single" w:sz="4" w:space="0" w:color="auto"/>
            </w:tcBorders>
            <w:shd w:val="clear" w:color="auto" w:fill="FFFFFF" w:themeFill="background1"/>
            <w:vAlign w:val="center"/>
            <w:hideMark/>
          </w:tcPr>
          <w:p w14:paraId="18EB42B9"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47</w:t>
            </w:r>
          </w:p>
        </w:tc>
        <w:tc>
          <w:tcPr>
            <w:tcW w:w="965" w:type="dxa"/>
            <w:tcBorders>
              <w:top w:val="single" w:sz="4" w:space="0" w:color="auto"/>
            </w:tcBorders>
            <w:shd w:val="clear" w:color="auto" w:fill="FFFFFF" w:themeFill="background1"/>
            <w:vAlign w:val="center"/>
            <w:hideMark/>
          </w:tcPr>
          <w:p w14:paraId="146B5FDE"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tcBorders>
              <w:top w:val="single" w:sz="4" w:space="0" w:color="auto"/>
            </w:tcBorders>
            <w:shd w:val="clear" w:color="auto" w:fill="FFFFFF" w:themeFill="background1"/>
            <w:vAlign w:val="center"/>
            <w:hideMark/>
          </w:tcPr>
          <w:p w14:paraId="76498503"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0.13</w:t>
            </w:r>
          </w:p>
          <w:p w14:paraId="7D80BB39"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5B2EBCB8" w14:textId="77777777" w:rsidTr="00282204">
        <w:trPr>
          <w:trHeight w:val="132"/>
          <w:jc w:val="center"/>
        </w:trPr>
        <w:tc>
          <w:tcPr>
            <w:tcW w:w="5910" w:type="dxa"/>
            <w:vMerge/>
            <w:shd w:val="clear" w:color="auto" w:fill="FFFFFF" w:themeFill="background1"/>
            <w:vAlign w:val="center"/>
            <w:hideMark/>
          </w:tcPr>
          <w:p w14:paraId="3C8CBDCF"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7E5A742E"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6F27FB93"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6BEB21C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367B8E02"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876" w:type="dxa"/>
            <w:shd w:val="clear" w:color="auto" w:fill="FFFFFF" w:themeFill="background1"/>
            <w:vAlign w:val="center"/>
            <w:hideMark/>
          </w:tcPr>
          <w:p w14:paraId="3D03BDEA"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18</w:t>
            </w:r>
          </w:p>
        </w:tc>
        <w:tc>
          <w:tcPr>
            <w:tcW w:w="882" w:type="dxa"/>
            <w:shd w:val="clear" w:color="auto" w:fill="FFFFFF" w:themeFill="background1"/>
            <w:vAlign w:val="center"/>
            <w:hideMark/>
          </w:tcPr>
          <w:p w14:paraId="53999605"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82</w:t>
            </w:r>
          </w:p>
        </w:tc>
        <w:tc>
          <w:tcPr>
            <w:tcW w:w="965" w:type="dxa"/>
            <w:shd w:val="clear" w:color="auto" w:fill="FFFFFF" w:themeFill="background1"/>
            <w:vAlign w:val="center"/>
            <w:hideMark/>
          </w:tcPr>
          <w:p w14:paraId="461D19C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(4-5)</w:t>
            </w:r>
          </w:p>
        </w:tc>
        <w:tc>
          <w:tcPr>
            <w:tcW w:w="897" w:type="dxa"/>
            <w:vMerge/>
            <w:shd w:val="clear" w:color="auto" w:fill="FFFFFF" w:themeFill="background1"/>
            <w:vAlign w:val="center"/>
            <w:hideMark/>
          </w:tcPr>
          <w:p w14:paraId="6571D614"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69F582B2" w14:textId="77777777" w:rsidTr="00282204">
        <w:trPr>
          <w:trHeight w:val="397"/>
          <w:jc w:val="center"/>
        </w:trPr>
        <w:tc>
          <w:tcPr>
            <w:tcW w:w="5910" w:type="dxa"/>
            <w:vMerge w:val="restart"/>
            <w:shd w:val="clear" w:color="auto" w:fill="FFFFFF" w:themeFill="background1"/>
            <w:vAlign w:val="center"/>
            <w:hideMark/>
          </w:tcPr>
          <w:p w14:paraId="2B0AB78F" w14:textId="77777777" w:rsidR="00821B82"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can help doctors to prescribe safely</w:t>
            </w:r>
          </w:p>
          <w:p w14:paraId="5530C52F" w14:textId="77777777" w:rsidR="00821B82" w:rsidRPr="00C96F66" w:rsidRDefault="00821B82" w:rsidP="00282204">
            <w:pPr>
              <w:spacing w:after="0" w:line="240" w:lineRule="auto"/>
              <w:rPr>
                <w:rFonts w:asciiTheme="minorBidi" w:eastAsia="Times New Roman" w:hAnsiTheme="minorBidi"/>
                <w:color w:val="264A60"/>
                <w:sz w:val="18"/>
                <w:szCs w:val="18"/>
              </w:rPr>
            </w:pPr>
          </w:p>
          <w:p w14:paraId="4B098CEA" w14:textId="77777777" w:rsidR="00821B82" w:rsidRPr="00C96F66" w:rsidRDefault="00821B82" w:rsidP="00282204">
            <w:pPr>
              <w:spacing w:after="0" w:line="240" w:lineRule="auto"/>
              <w:rPr>
                <w:rFonts w:asciiTheme="minorBidi" w:eastAsia="Times New Roman" w:hAnsiTheme="minorBidi"/>
                <w:color w:val="264A60"/>
                <w:sz w:val="18"/>
                <w:szCs w:val="18"/>
              </w:rPr>
            </w:pPr>
          </w:p>
        </w:tc>
        <w:tc>
          <w:tcPr>
            <w:tcW w:w="1320" w:type="dxa"/>
            <w:shd w:val="clear" w:color="auto" w:fill="FFFFFF" w:themeFill="background1"/>
            <w:vAlign w:val="center"/>
            <w:hideMark/>
          </w:tcPr>
          <w:p w14:paraId="486FDBFA"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0656E00A"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w:t>
            </w:r>
          </w:p>
        </w:tc>
        <w:tc>
          <w:tcPr>
            <w:tcW w:w="917" w:type="dxa"/>
            <w:shd w:val="clear" w:color="auto" w:fill="FFFFFF" w:themeFill="background1"/>
            <w:vAlign w:val="center"/>
            <w:hideMark/>
          </w:tcPr>
          <w:p w14:paraId="4DDD876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46A0FF05"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8</w:t>
            </w:r>
          </w:p>
        </w:tc>
        <w:tc>
          <w:tcPr>
            <w:tcW w:w="876" w:type="dxa"/>
            <w:shd w:val="clear" w:color="auto" w:fill="FFFFFF" w:themeFill="background1"/>
            <w:vAlign w:val="center"/>
            <w:hideMark/>
          </w:tcPr>
          <w:p w14:paraId="296432E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47</w:t>
            </w:r>
          </w:p>
        </w:tc>
        <w:tc>
          <w:tcPr>
            <w:tcW w:w="882" w:type="dxa"/>
            <w:shd w:val="clear" w:color="auto" w:fill="FFFFFF" w:themeFill="background1"/>
            <w:vAlign w:val="center"/>
            <w:hideMark/>
          </w:tcPr>
          <w:p w14:paraId="04021B85"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43</w:t>
            </w:r>
          </w:p>
        </w:tc>
        <w:tc>
          <w:tcPr>
            <w:tcW w:w="965" w:type="dxa"/>
            <w:shd w:val="clear" w:color="auto" w:fill="FFFFFF" w:themeFill="background1"/>
            <w:vAlign w:val="center"/>
            <w:hideMark/>
          </w:tcPr>
          <w:p w14:paraId="5FE66EFE"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263CF086"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0.20</w:t>
            </w:r>
          </w:p>
          <w:p w14:paraId="0AE40DE3"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6D24C723" w14:textId="77777777" w:rsidTr="00282204">
        <w:trPr>
          <w:trHeight w:val="85"/>
          <w:jc w:val="center"/>
        </w:trPr>
        <w:tc>
          <w:tcPr>
            <w:tcW w:w="5910" w:type="dxa"/>
            <w:vMerge/>
            <w:shd w:val="clear" w:color="auto" w:fill="FFFFFF" w:themeFill="background1"/>
            <w:vAlign w:val="center"/>
            <w:hideMark/>
          </w:tcPr>
          <w:p w14:paraId="0AA3E093"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4BEB2F2F"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187DF85E"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33ADDCE8"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300070F2"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876" w:type="dxa"/>
            <w:shd w:val="clear" w:color="auto" w:fill="FFFFFF" w:themeFill="background1"/>
            <w:vAlign w:val="center"/>
            <w:hideMark/>
          </w:tcPr>
          <w:p w14:paraId="1BF9C464"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29</w:t>
            </w:r>
          </w:p>
        </w:tc>
        <w:tc>
          <w:tcPr>
            <w:tcW w:w="882" w:type="dxa"/>
            <w:shd w:val="clear" w:color="auto" w:fill="FFFFFF" w:themeFill="background1"/>
            <w:vAlign w:val="center"/>
            <w:hideMark/>
          </w:tcPr>
          <w:p w14:paraId="57EFE6F3"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71</w:t>
            </w:r>
          </w:p>
        </w:tc>
        <w:tc>
          <w:tcPr>
            <w:tcW w:w="965" w:type="dxa"/>
            <w:shd w:val="clear" w:color="auto" w:fill="FFFFFF" w:themeFill="background1"/>
            <w:vAlign w:val="center"/>
            <w:hideMark/>
          </w:tcPr>
          <w:p w14:paraId="297BE214"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(4-5)</w:t>
            </w:r>
          </w:p>
        </w:tc>
        <w:tc>
          <w:tcPr>
            <w:tcW w:w="897" w:type="dxa"/>
            <w:vMerge/>
            <w:shd w:val="clear" w:color="auto" w:fill="FFFFFF" w:themeFill="background1"/>
            <w:vAlign w:val="center"/>
            <w:hideMark/>
          </w:tcPr>
          <w:p w14:paraId="109CDF07"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2EF32628" w14:textId="77777777" w:rsidTr="00282204">
        <w:trPr>
          <w:trHeight w:val="452"/>
          <w:jc w:val="center"/>
        </w:trPr>
        <w:tc>
          <w:tcPr>
            <w:tcW w:w="5910" w:type="dxa"/>
            <w:vMerge w:val="restart"/>
            <w:shd w:val="clear" w:color="auto" w:fill="FFFFFF" w:themeFill="background1"/>
            <w:vAlign w:val="center"/>
            <w:hideMark/>
          </w:tcPr>
          <w:p w14:paraId="36F88160"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can improve prescribing practice via discussions with healthcare providers and/or providing education sessions to improve prescribing</w:t>
            </w:r>
          </w:p>
          <w:p w14:paraId="76881CDC" w14:textId="77777777" w:rsidR="00821B82" w:rsidRPr="00C96F66" w:rsidRDefault="00821B82" w:rsidP="00282204">
            <w:pPr>
              <w:spacing w:after="0" w:line="240" w:lineRule="auto"/>
              <w:rPr>
                <w:rFonts w:asciiTheme="minorBidi" w:eastAsia="Times New Roman" w:hAnsiTheme="minorBidi"/>
                <w:color w:val="264A60"/>
                <w:sz w:val="18"/>
                <w:szCs w:val="18"/>
              </w:rPr>
            </w:pPr>
          </w:p>
        </w:tc>
        <w:tc>
          <w:tcPr>
            <w:tcW w:w="1320" w:type="dxa"/>
            <w:shd w:val="clear" w:color="auto" w:fill="FFFFFF" w:themeFill="background1"/>
            <w:vAlign w:val="center"/>
            <w:hideMark/>
          </w:tcPr>
          <w:p w14:paraId="5EC80DB8"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3BC337F7"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w:t>
            </w:r>
          </w:p>
        </w:tc>
        <w:tc>
          <w:tcPr>
            <w:tcW w:w="917" w:type="dxa"/>
            <w:shd w:val="clear" w:color="auto" w:fill="FFFFFF" w:themeFill="background1"/>
            <w:vAlign w:val="center"/>
            <w:hideMark/>
          </w:tcPr>
          <w:p w14:paraId="4B46DCB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w:t>
            </w:r>
          </w:p>
        </w:tc>
        <w:tc>
          <w:tcPr>
            <w:tcW w:w="967" w:type="dxa"/>
            <w:shd w:val="clear" w:color="auto" w:fill="FFFFFF" w:themeFill="background1"/>
            <w:vAlign w:val="center"/>
            <w:hideMark/>
          </w:tcPr>
          <w:p w14:paraId="788D4398"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w:t>
            </w:r>
          </w:p>
        </w:tc>
        <w:tc>
          <w:tcPr>
            <w:tcW w:w="876" w:type="dxa"/>
            <w:shd w:val="clear" w:color="auto" w:fill="FFFFFF" w:themeFill="background1"/>
            <w:vAlign w:val="center"/>
            <w:hideMark/>
          </w:tcPr>
          <w:p w14:paraId="5E67217E"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51</w:t>
            </w:r>
          </w:p>
        </w:tc>
        <w:tc>
          <w:tcPr>
            <w:tcW w:w="882" w:type="dxa"/>
            <w:shd w:val="clear" w:color="auto" w:fill="FFFFFF" w:themeFill="background1"/>
            <w:vAlign w:val="center"/>
            <w:hideMark/>
          </w:tcPr>
          <w:p w14:paraId="357CC19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39</w:t>
            </w:r>
          </w:p>
        </w:tc>
        <w:tc>
          <w:tcPr>
            <w:tcW w:w="965" w:type="dxa"/>
            <w:shd w:val="clear" w:color="auto" w:fill="FFFFFF" w:themeFill="background1"/>
            <w:vAlign w:val="center"/>
            <w:hideMark/>
          </w:tcPr>
          <w:p w14:paraId="0E1C213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68320C05"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0.39</w:t>
            </w:r>
          </w:p>
          <w:p w14:paraId="630416FF"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4554E340" w14:textId="77777777" w:rsidTr="00282204">
        <w:trPr>
          <w:trHeight w:val="253"/>
          <w:jc w:val="center"/>
        </w:trPr>
        <w:tc>
          <w:tcPr>
            <w:tcW w:w="5910" w:type="dxa"/>
            <w:vMerge/>
            <w:shd w:val="clear" w:color="auto" w:fill="FFFFFF" w:themeFill="background1"/>
            <w:vAlign w:val="center"/>
            <w:hideMark/>
          </w:tcPr>
          <w:p w14:paraId="410B8720"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724BB21C"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5CFCD40E"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6A600EE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02288A64"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6</w:t>
            </w:r>
          </w:p>
        </w:tc>
        <w:tc>
          <w:tcPr>
            <w:tcW w:w="876" w:type="dxa"/>
            <w:shd w:val="clear" w:color="auto" w:fill="FFFFFF" w:themeFill="background1"/>
            <w:vAlign w:val="center"/>
            <w:hideMark/>
          </w:tcPr>
          <w:p w14:paraId="6851C2F7"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29</w:t>
            </w:r>
          </w:p>
        </w:tc>
        <w:tc>
          <w:tcPr>
            <w:tcW w:w="882" w:type="dxa"/>
            <w:shd w:val="clear" w:color="auto" w:fill="FFFFFF" w:themeFill="background1"/>
            <w:vAlign w:val="center"/>
            <w:hideMark/>
          </w:tcPr>
          <w:p w14:paraId="23B1771E"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65</w:t>
            </w:r>
          </w:p>
        </w:tc>
        <w:tc>
          <w:tcPr>
            <w:tcW w:w="965" w:type="dxa"/>
            <w:shd w:val="clear" w:color="auto" w:fill="FFFFFF" w:themeFill="background1"/>
            <w:vAlign w:val="center"/>
            <w:hideMark/>
          </w:tcPr>
          <w:p w14:paraId="6A338E44"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(4-5)</w:t>
            </w:r>
          </w:p>
        </w:tc>
        <w:tc>
          <w:tcPr>
            <w:tcW w:w="897" w:type="dxa"/>
            <w:vMerge/>
            <w:shd w:val="clear" w:color="auto" w:fill="FFFFFF" w:themeFill="background1"/>
            <w:vAlign w:val="center"/>
            <w:hideMark/>
          </w:tcPr>
          <w:p w14:paraId="56E5B4C6"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7D2B895E" w14:textId="77777777" w:rsidTr="00282204">
        <w:trPr>
          <w:trHeight w:val="441"/>
          <w:jc w:val="center"/>
        </w:trPr>
        <w:tc>
          <w:tcPr>
            <w:tcW w:w="5910" w:type="dxa"/>
            <w:vMerge w:val="restart"/>
            <w:shd w:val="clear" w:color="auto" w:fill="FFFFFF" w:themeFill="background1"/>
            <w:vAlign w:val="center"/>
            <w:hideMark/>
          </w:tcPr>
          <w:p w14:paraId="649EE77D"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can be an important and integral part of the medical team for diabetes management</w:t>
            </w:r>
          </w:p>
        </w:tc>
        <w:tc>
          <w:tcPr>
            <w:tcW w:w="1320" w:type="dxa"/>
            <w:shd w:val="clear" w:color="auto" w:fill="FFFFFF" w:themeFill="background1"/>
            <w:vAlign w:val="center"/>
            <w:hideMark/>
          </w:tcPr>
          <w:p w14:paraId="3F238D10"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51E772CE"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w:t>
            </w:r>
          </w:p>
        </w:tc>
        <w:tc>
          <w:tcPr>
            <w:tcW w:w="917" w:type="dxa"/>
            <w:shd w:val="clear" w:color="auto" w:fill="FFFFFF" w:themeFill="background1"/>
            <w:vAlign w:val="center"/>
            <w:hideMark/>
          </w:tcPr>
          <w:p w14:paraId="372C3A6E"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0</w:t>
            </w:r>
          </w:p>
        </w:tc>
        <w:tc>
          <w:tcPr>
            <w:tcW w:w="967" w:type="dxa"/>
            <w:shd w:val="clear" w:color="auto" w:fill="FFFFFF" w:themeFill="background1"/>
            <w:vAlign w:val="center"/>
            <w:hideMark/>
          </w:tcPr>
          <w:p w14:paraId="36CA4F8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w:t>
            </w:r>
          </w:p>
        </w:tc>
        <w:tc>
          <w:tcPr>
            <w:tcW w:w="876" w:type="dxa"/>
            <w:shd w:val="clear" w:color="auto" w:fill="FFFFFF" w:themeFill="background1"/>
            <w:vAlign w:val="center"/>
            <w:hideMark/>
          </w:tcPr>
          <w:p w14:paraId="0A599F0D"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47</w:t>
            </w:r>
          </w:p>
        </w:tc>
        <w:tc>
          <w:tcPr>
            <w:tcW w:w="882" w:type="dxa"/>
            <w:shd w:val="clear" w:color="auto" w:fill="FFFFFF" w:themeFill="background1"/>
            <w:vAlign w:val="center"/>
            <w:hideMark/>
          </w:tcPr>
          <w:p w14:paraId="2B376142"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42</w:t>
            </w:r>
          </w:p>
        </w:tc>
        <w:tc>
          <w:tcPr>
            <w:tcW w:w="965" w:type="dxa"/>
            <w:shd w:val="clear" w:color="auto" w:fill="FFFFFF" w:themeFill="background1"/>
            <w:vAlign w:val="center"/>
            <w:hideMark/>
          </w:tcPr>
          <w:p w14:paraId="069AE8E9"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7FE5F48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0.56</w:t>
            </w:r>
          </w:p>
          <w:p w14:paraId="33E1EC1B"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56464F87" w14:textId="77777777" w:rsidTr="00282204">
        <w:trPr>
          <w:trHeight w:val="358"/>
          <w:jc w:val="center"/>
        </w:trPr>
        <w:tc>
          <w:tcPr>
            <w:tcW w:w="5910" w:type="dxa"/>
            <w:vMerge/>
            <w:shd w:val="clear" w:color="auto" w:fill="FFFFFF" w:themeFill="background1"/>
            <w:vAlign w:val="center"/>
            <w:hideMark/>
          </w:tcPr>
          <w:p w14:paraId="0A41D8E2"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1B2A01CA"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359351E3"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0</w:t>
            </w:r>
          </w:p>
        </w:tc>
        <w:tc>
          <w:tcPr>
            <w:tcW w:w="917" w:type="dxa"/>
            <w:shd w:val="clear" w:color="auto" w:fill="FFFFFF" w:themeFill="background1"/>
            <w:vAlign w:val="center"/>
            <w:hideMark/>
          </w:tcPr>
          <w:p w14:paraId="6FB95172"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0</w:t>
            </w:r>
          </w:p>
        </w:tc>
        <w:tc>
          <w:tcPr>
            <w:tcW w:w="967" w:type="dxa"/>
            <w:shd w:val="clear" w:color="auto" w:fill="FFFFFF" w:themeFill="background1"/>
            <w:vAlign w:val="center"/>
            <w:hideMark/>
          </w:tcPr>
          <w:p w14:paraId="33767667"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0</w:t>
            </w:r>
          </w:p>
        </w:tc>
        <w:tc>
          <w:tcPr>
            <w:tcW w:w="876" w:type="dxa"/>
            <w:shd w:val="clear" w:color="auto" w:fill="FFFFFF" w:themeFill="background1"/>
            <w:vAlign w:val="center"/>
            <w:hideMark/>
          </w:tcPr>
          <w:p w14:paraId="62A92E26"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41</w:t>
            </w:r>
          </w:p>
        </w:tc>
        <w:tc>
          <w:tcPr>
            <w:tcW w:w="882" w:type="dxa"/>
            <w:shd w:val="clear" w:color="auto" w:fill="FFFFFF" w:themeFill="background1"/>
            <w:vAlign w:val="center"/>
            <w:hideMark/>
          </w:tcPr>
          <w:p w14:paraId="0F5C54C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59</w:t>
            </w:r>
          </w:p>
        </w:tc>
        <w:tc>
          <w:tcPr>
            <w:tcW w:w="965" w:type="dxa"/>
            <w:shd w:val="clear" w:color="auto" w:fill="FFFFFF" w:themeFill="background1"/>
            <w:vAlign w:val="center"/>
            <w:hideMark/>
          </w:tcPr>
          <w:p w14:paraId="642C27A2"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(4-5)</w:t>
            </w:r>
          </w:p>
        </w:tc>
        <w:tc>
          <w:tcPr>
            <w:tcW w:w="897" w:type="dxa"/>
            <w:vMerge/>
            <w:shd w:val="clear" w:color="auto" w:fill="FFFFFF" w:themeFill="background1"/>
            <w:vAlign w:val="center"/>
            <w:hideMark/>
          </w:tcPr>
          <w:p w14:paraId="0CF9628C"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20D639BC" w14:textId="77777777" w:rsidTr="00282204">
        <w:trPr>
          <w:trHeight w:val="341"/>
          <w:jc w:val="center"/>
        </w:trPr>
        <w:tc>
          <w:tcPr>
            <w:tcW w:w="5910" w:type="dxa"/>
            <w:vMerge w:val="restart"/>
            <w:shd w:val="clear" w:color="auto" w:fill="FFFFFF" w:themeFill="background1"/>
            <w:vAlign w:val="center"/>
            <w:hideMark/>
          </w:tcPr>
          <w:p w14:paraId="6265D07F"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can help doctors to prescribe cost-effectively</w:t>
            </w:r>
          </w:p>
          <w:p w14:paraId="76FC8BE6"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 </w:t>
            </w:r>
          </w:p>
        </w:tc>
        <w:tc>
          <w:tcPr>
            <w:tcW w:w="1320" w:type="dxa"/>
            <w:shd w:val="clear" w:color="auto" w:fill="FFFFFF" w:themeFill="background1"/>
            <w:vAlign w:val="center"/>
            <w:hideMark/>
          </w:tcPr>
          <w:p w14:paraId="518FE8BF"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18E0BA5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w:t>
            </w:r>
          </w:p>
        </w:tc>
        <w:tc>
          <w:tcPr>
            <w:tcW w:w="917" w:type="dxa"/>
            <w:shd w:val="clear" w:color="auto" w:fill="FFFFFF" w:themeFill="background1"/>
            <w:vAlign w:val="center"/>
            <w:hideMark/>
          </w:tcPr>
          <w:p w14:paraId="00592BA5"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w:t>
            </w:r>
          </w:p>
        </w:tc>
        <w:tc>
          <w:tcPr>
            <w:tcW w:w="967" w:type="dxa"/>
            <w:shd w:val="clear" w:color="auto" w:fill="FFFFFF" w:themeFill="background1"/>
            <w:vAlign w:val="center"/>
            <w:hideMark/>
          </w:tcPr>
          <w:p w14:paraId="77EC0778"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w:t>
            </w:r>
          </w:p>
        </w:tc>
        <w:tc>
          <w:tcPr>
            <w:tcW w:w="876" w:type="dxa"/>
            <w:shd w:val="clear" w:color="auto" w:fill="FFFFFF" w:themeFill="background1"/>
            <w:vAlign w:val="center"/>
            <w:hideMark/>
          </w:tcPr>
          <w:p w14:paraId="34E77F15"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48</w:t>
            </w:r>
          </w:p>
        </w:tc>
        <w:tc>
          <w:tcPr>
            <w:tcW w:w="882" w:type="dxa"/>
            <w:shd w:val="clear" w:color="auto" w:fill="FFFFFF" w:themeFill="background1"/>
            <w:vAlign w:val="center"/>
            <w:hideMark/>
          </w:tcPr>
          <w:p w14:paraId="30030D7D"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42</w:t>
            </w:r>
          </w:p>
        </w:tc>
        <w:tc>
          <w:tcPr>
            <w:tcW w:w="965" w:type="dxa"/>
            <w:shd w:val="clear" w:color="auto" w:fill="FFFFFF" w:themeFill="background1"/>
            <w:vAlign w:val="center"/>
            <w:hideMark/>
          </w:tcPr>
          <w:p w14:paraId="00294B7B"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4B4163B5"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0.24</w:t>
            </w:r>
          </w:p>
          <w:p w14:paraId="269AEF2C"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40753957" w14:textId="77777777" w:rsidTr="00282204">
        <w:trPr>
          <w:trHeight w:val="73"/>
          <w:jc w:val="center"/>
        </w:trPr>
        <w:tc>
          <w:tcPr>
            <w:tcW w:w="5910" w:type="dxa"/>
            <w:vMerge/>
            <w:shd w:val="clear" w:color="auto" w:fill="FFFFFF" w:themeFill="background1"/>
            <w:vAlign w:val="center"/>
            <w:hideMark/>
          </w:tcPr>
          <w:p w14:paraId="5571B777" w14:textId="77777777" w:rsidR="00821B82" w:rsidRPr="00C96F66" w:rsidRDefault="00821B82" w:rsidP="00282204">
            <w:pPr>
              <w:spacing w:after="0" w:line="240" w:lineRule="auto"/>
              <w:rPr>
                <w:rFonts w:asciiTheme="minorBidi" w:eastAsia="Times New Roman" w:hAnsiTheme="minorBidi"/>
                <w:color w:val="264A60"/>
                <w:sz w:val="18"/>
                <w:szCs w:val="18"/>
              </w:rPr>
            </w:pPr>
          </w:p>
        </w:tc>
        <w:tc>
          <w:tcPr>
            <w:tcW w:w="1320" w:type="dxa"/>
            <w:shd w:val="clear" w:color="auto" w:fill="FFFFFF" w:themeFill="background1"/>
            <w:vAlign w:val="center"/>
            <w:hideMark/>
          </w:tcPr>
          <w:p w14:paraId="069825BA"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15EC0DB7"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1BD6E15A"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1D8FF232"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6</w:t>
            </w:r>
          </w:p>
        </w:tc>
        <w:tc>
          <w:tcPr>
            <w:tcW w:w="876" w:type="dxa"/>
            <w:shd w:val="clear" w:color="auto" w:fill="FFFFFF" w:themeFill="background1"/>
            <w:vAlign w:val="center"/>
            <w:hideMark/>
          </w:tcPr>
          <w:p w14:paraId="364B19FE"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24</w:t>
            </w:r>
          </w:p>
        </w:tc>
        <w:tc>
          <w:tcPr>
            <w:tcW w:w="882" w:type="dxa"/>
            <w:shd w:val="clear" w:color="auto" w:fill="FFFFFF" w:themeFill="background1"/>
            <w:vAlign w:val="center"/>
            <w:hideMark/>
          </w:tcPr>
          <w:p w14:paraId="7A30F718"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71</w:t>
            </w:r>
          </w:p>
        </w:tc>
        <w:tc>
          <w:tcPr>
            <w:tcW w:w="965" w:type="dxa"/>
            <w:shd w:val="clear" w:color="auto" w:fill="FFFFFF" w:themeFill="background1"/>
            <w:vAlign w:val="center"/>
            <w:hideMark/>
          </w:tcPr>
          <w:p w14:paraId="43843B0C"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(4-5)</w:t>
            </w:r>
          </w:p>
        </w:tc>
        <w:tc>
          <w:tcPr>
            <w:tcW w:w="897" w:type="dxa"/>
            <w:vMerge/>
            <w:shd w:val="clear" w:color="auto" w:fill="FFFFFF" w:themeFill="background1"/>
            <w:vAlign w:val="center"/>
            <w:hideMark/>
          </w:tcPr>
          <w:p w14:paraId="42DA016B"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211FFE9D" w14:textId="77777777" w:rsidTr="00282204">
        <w:trPr>
          <w:trHeight w:val="441"/>
          <w:jc w:val="center"/>
        </w:trPr>
        <w:tc>
          <w:tcPr>
            <w:tcW w:w="5910" w:type="dxa"/>
            <w:vMerge w:val="restart"/>
            <w:shd w:val="clear" w:color="auto" w:fill="FFFFFF" w:themeFill="background1"/>
            <w:vAlign w:val="center"/>
            <w:hideMark/>
          </w:tcPr>
          <w:p w14:paraId="6C25A5C8" w14:textId="77777777" w:rsidR="00821B82"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Involvement of pharmacists in multidisciplinary care team can help to increase the level of job satisfaction for pharmacists</w:t>
            </w:r>
          </w:p>
          <w:p w14:paraId="7B55C810" w14:textId="77777777" w:rsidR="00821B82" w:rsidRPr="00C96F66" w:rsidRDefault="00821B82" w:rsidP="00282204">
            <w:pPr>
              <w:spacing w:after="0" w:line="240" w:lineRule="auto"/>
              <w:rPr>
                <w:rFonts w:asciiTheme="minorBidi" w:eastAsia="Times New Roman" w:hAnsiTheme="minorBidi"/>
                <w:color w:val="264A60"/>
                <w:sz w:val="18"/>
                <w:szCs w:val="18"/>
              </w:rPr>
            </w:pPr>
          </w:p>
          <w:p w14:paraId="24E908EC" w14:textId="77777777" w:rsidR="00821B82" w:rsidRPr="00C96F66" w:rsidRDefault="00821B82" w:rsidP="00282204">
            <w:pPr>
              <w:spacing w:after="0" w:line="240" w:lineRule="auto"/>
              <w:rPr>
                <w:rFonts w:asciiTheme="minorBidi" w:eastAsia="Times New Roman" w:hAnsiTheme="minorBidi"/>
                <w:color w:val="264A60"/>
                <w:sz w:val="18"/>
                <w:szCs w:val="18"/>
              </w:rPr>
            </w:pPr>
          </w:p>
        </w:tc>
        <w:tc>
          <w:tcPr>
            <w:tcW w:w="1320" w:type="dxa"/>
            <w:shd w:val="clear" w:color="auto" w:fill="FFFFFF" w:themeFill="background1"/>
            <w:vAlign w:val="center"/>
            <w:hideMark/>
          </w:tcPr>
          <w:p w14:paraId="1B0809FF"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1E744153"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w:t>
            </w:r>
          </w:p>
        </w:tc>
        <w:tc>
          <w:tcPr>
            <w:tcW w:w="917" w:type="dxa"/>
            <w:shd w:val="clear" w:color="auto" w:fill="FFFFFF" w:themeFill="background1"/>
            <w:vAlign w:val="center"/>
            <w:hideMark/>
          </w:tcPr>
          <w:p w14:paraId="6CFABDC7"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w:t>
            </w:r>
          </w:p>
        </w:tc>
        <w:tc>
          <w:tcPr>
            <w:tcW w:w="967" w:type="dxa"/>
            <w:shd w:val="clear" w:color="auto" w:fill="FFFFFF" w:themeFill="background1"/>
            <w:vAlign w:val="center"/>
            <w:hideMark/>
          </w:tcPr>
          <w:p w14:paraId="6A4F7712"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8</w:t>
            </w:r>
          </w:p>
        </w:tc>
        <w:tc>
          <w:tcPr>
            <w:tcW w:w="876" w:type="dxa"/>
            <w:shd w:val="clear" w:color="auto" w:fill="FFFFFF" w:themeFill="background1"/>
            <w:vAlign w:val="center"/>
            <w:hideMark/>
          </w:tcPr>
          <w:p w14:paraId="0597F07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51</w:t>
            </w:r>
          </w:p>
        </w:tc>
        <w:tc>
          <w:tcPr>
            <w:tcW w:w="882" w:type="dxa"/>
            <w:shd w:val="clear" w:color="auto" w:fill="FFFFFF" w:themeFill="background1"/>
            <w:vAlign w:val="center"/>
            <w:hideMark/>
          </w:tcPr>
          <w:p w14:paraId="30EFDF0A"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38</w:t>
            </w:r>
          </w:p>
        </w:tc>
        <w:tc>
          <w:tcPr>
            <w:tcW w:w="965" w:type="dxa"/>
            <w:shd w:val="clear" w:color="auto" w:fill="FFFFFF" w:themeFill="background1"/>
            <w:vAlign w:val="center"/>
            <w:hideMark/>
          </w:tcPr>
          <w:p w14:paraId="7D4C611D"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7636979C"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0.80</w:t>
            </w:r>
          </w:p>
          <w:p w14:paraId="2763221A"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19C10E77" w14:textId="77777777" w:rsidTr="00282204">
        <w:trPr>
          <w:trHeight w:val="220"/>
          <w:jc w:val="center"/>
        </w:trPr>
        <w:tc>
          <w:tcPr>
            <w:tcW w:w="5910" w:type="dxa"/>
            <w:vMerge/>
            <w:shd w:val="clear" w:color="auto" w:fill="FFFFFF" w:themeFill="background1"/>
            <w:vAlign w:val="center"/>
            <w:hideMark/>
          </w:tcPr>
          <w:p w14:paraId="6377853B"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7B3F0B1C"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3C9A39D7"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03A9D2F0"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250DEEE5"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6</w:t>
            </w:r>
          </w:p>
        </w:tc>
        <w:tc>
          <w:tcPr>
            <w:tcW w:w="876" w:type="dxa"/>
            <w:shd w:val="clear" w:color="auto" w:fill="FFFFFF" w:themeFill="background1"/>
            <w:vAlign w:val="center"/>
            <w:hideMark/>
          </w:tcPr>
          <w:p w14:paraId="22929964"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41</w:t>
            </w:r>
          </w:p>
        </w:tc>
        <w:tc>
          <w:tcPr>
            <w:tcW w:w="882" w:type="dxa"/>
            <w:shd w:val="clear" w:color="auto" w:fill="FFFFFF" w:themeFill="background1"/>
            <w:vAlign w:val="center"/>
            <w:hideMark/>
          </w:tcPr>
          <w:p w14:paraId="6D134EC4"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53</w:t>
            </w:r>
          </w:p>
        </w:tc>
        <w:tc>
          <w:tcPr>
            <w:tcW w:w="965" w:type="dxa"/>
            <w:shd w:val="clear" w:color="auto" w:fill="FFFFFF" w:themeFill="background1"/>
            <w:vAlign w:val="center"/>
            <w:hideMark/>
          </w:tcPr>
          <w:p w14:paraId="18C1B34F"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(4-5)</w:t>
            </w:r>
          </w:p>
        </w:tc>
        <w:tc>
          <w:tcPr>
            <w:tcW w:w="897" w:type="dxa"/>
            <w:vMerge/>
            <w:shd w:val="clear" w:color="auto" w:fill="FFFFFF" w:themeFill="background1"/>
            <w:vAlign w:val="center"/>
            <w:hideMark/>
          </w:tcPr>
          <w:p w14:paraId="5A08AC26"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1A08A802" w14:textId="77777777" w:rsidTr="00282204">
        <w:trPr>
          <w:trHeight w:val="452"/>
          <w:jc w:val="center"/>
        </w:trPr>
        <w:tc>
          <w:tcPr>
            <w:tcW w:w="5910" w:type="dxa"/>
            <w:vMerge w:val="restart"/>
            <w:shd w:val="clear" w:color="auto" w:fill="FFFFFF" w:themeFill="background1"/>
            <w:vAlign w:val="center"/>
            <w:hideMark/>
          </w:tcPr>
          <w:p w14:paraId="1E54AAD9" w14:textId="77777777" w:rsidR="00821B82"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can provide drug information to physicians to help in decision-making regarding medicines to treat the patient’s condition</w:t>
            </w:r>
          </w:p>
          <w:p w14:paraId="312B027A" w14:textId="77777777" w:rsidR="00821B82" w:rsidRPr="00C96F66" w:rsidRDefault="00821B82" w:rsidP="00282204">
            <w:pPr>
              <w:spacing w:after="0" w:line="240" w:lineRule="auto"/>
              <w:rPr>
                <w:rFonts w:asciiTheme="minorBidi" w:eastAsia="Times New Roman" w:hAnsiTheme="minorBidi"/>
                <w:color w:val="264A60"/>
                <w:sz w:val="18"/>
                <w:szCs w:val="18"/>
              </w:rPr>
            </w:pPr>
          </w:p>
        </w:tc>
        <w:tc>
          <w:tcPr>
            <w:tcW w:w="1320" w:type="dxa"/>
            <w:shd w:val="clear" w:color="auto" w:fill="FFFFFF" w:themeFill="background1"/>
            <w:vAlign w:val="center"/>
            <w:hideMark/>
          </w:tcPr>
          <w:p w14:paraId="5A0ACC46"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6B4B7DF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w:t>
            </w:r>
          </w:p>
        </w:tc>
        <w:tc>
          <w:tcPr>
            <w:tcW w:w="917" w:type="dxa"/>
            <w:shd w:val="clear" w:color="auto" w:fill="FFFFFF" w:themeFill="background1"/>
            <w:vAlign w:val="center"/>
            <w:hideMark/>
          </w:tcPr>
          <w:p w14:paraId="4A2CFD3F"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w:t>
            </w:r>
          </w:p>
        </w:tc>
        <w:tc>
          <w:tcPr>
            <w:tcW w:w="967" w:type="dxa"/>
            <w:shd w:val="clear" w:color="auto" w:fill="FFFFFF" w:themeFill="background1"/>
            <w:vAlign w:val="center"/>
            <w:hideMark/>
          </w:tcPr>
          <w:p w14:paraId="3AFC257D"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8</w:t>
            </w:r>
          </w:p>
        </w:tc>
        <w:tc>
          <w:tcPr>
            <w:tcW w:w="876" w:type="dxa"/>
            <w:shd w:val="clear" w:color="auto" w:fill="FFFFFF" w:themeFill="background1"/>
            <w:vAlign w:val="center"/>
            <w:hideMark/>
          </w:tcPr>
          <w:p w14:paraId="763710D0"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48</w:t>
            </w:r>
          </w:p>
        </w:tc>
        <w:tc>
          <w:tcPr>
            <w:tcW w:w="882" w:type="dxa"/>
            <w:shd w:val="clear" w:color="auto" w:fill="FFFFFF" w:themeFill="background1"/>
            <w:vAlign w:val="center"/>
            <w:hideMark/>
          </w:tcPr>
          <w:p w14:paraId="398CE4B0"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39</w:t>
            </w:r>
          </w:p>
        </w:tc>
        <w:tc>
          <w:tcPr>
            <w:tcW w:w="965" w:type="dxa"/>
            <w:shd w:val="clear" w:color="auto" w:fill="FFFFFF" w:themeFill="background1"/>
            <w:vAlign w:val="center"/>
            <w:hideMark/>
          </w:tcPr>
          <w:p w14:paraId="6D2E07C8"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19ED6750"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0.41</w:t>
            </w:r>
          </w:p>
          <w:p w14:paraId="43A13204"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0CF72185" w14:textId="77777777" w:rsidTr="00282204">
        <w:trPr>
          <w:trHeight w:val="119"/>
          <w:jc w:val="center"/>
        </w:trPr>
        <w:tc>
          <w:tcPr>
            <w:tcW w:w="5910" w:type="dxa"/>
            <w:vMerge/>
            <w:shd w:val="clear" w:color="auto" w:fill="FFFFFF" w:themeFill="background1"/>
            <w:vAlign w:val="center"/>
            <w:hideMark/>
          </w:tcPr>
          <w:p w14:paraId="5922256C"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0E02922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13ACB310"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635E33B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2FF20710"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876" w:type="dxa"/>
            <w:shd w:val="clear" w:color="auto" w:fill="FFFFFF" w:themeFill="background1"/>
            <w:vAlign w:val="center"/>
            <w:hideMark/>
          </w:tcPr>
          <w:p w14:paraId="7305AAA8"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35</w:t>
            </w:r>
          </w:p>
        </w:tc>
        <w:tc>
          <w:tcPr>
            <w:tcW w:w="882" w:type="dxa"/>
            <w:shd w:val="clear" w:color="auto" w:fill="FFFFFF" w:themeFill="background1"/>
            <w:vAlign w:val="center"/>
            <w:hideMark/>
          </w:tcPr>
          <w:p w14:paraId="3B70D190"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65</w:t>
            </w:r>
          </w:p>
        </w:tc>
        <w:tc>
          <w:tcPr>
            <w:tcW w:w="965" w:type="dxa"/>
            <w:shd w:val="clear" w:color="auto" w:fill="FFFFFF" w:themeFill="background1"/>
            <w:vAlign w:val="center"/>
            <w:hideMark/>
          </w:tcPr>
          <w:p w14:paraId="722455C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(4-5)</w:t>
            </w:r>
          </w:p>
        </w:tc>
        <w:tc>
          <w:tcPr>
            <w:tcW w:w="897" w:type="dxa"/>
            <w:vMerge/>
            <w:shd w:val="clear" w:color="auto" w:fill="FFFFFF" w:themeFill="background1"/>
            <w:vAlign w:val="center"/>
            <w:hideMark/>
          </w:tcPr>
          <w:p w14:paraId="76FAC226"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754CC773" w14:textId="77777777" w:rsidTr="00282204">
        <w:trPr>
          <w:trHeight w:val="528"/>
          <w:jc w:val="center"/>
        </w:trPr>
        <w:tc>
          <w:tcPr>
            <w:tcW w:w="5910" w:type="dxa"/>
            <w:vMerge w:val="restart"/>
            <w:shd w:val="clear" w:color="auto" w:fill="FFFFFF" w:themeFill="background1"/>
            <w:vAlign w:val="center"/>
            <w:hideMark/>
          </w:tcPr>
          <w:p w14:paraId="7FCDAC93" w14:textId="77777777" w:rsidR="00821B82"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Collaborative work of pharmacists with other healthcare professionals such as doctors and nurses in the management of diabetes patients can improve the quality of healthcare services</w:t>
            </w:r>
          </w:p>
          <w:p w14:paraId="10628BA0" w14:textId="77777777" w:rsidR="00821B82" w:rsidRDefault="00821B82" w:rsidP="00282204">
            <w:pPr>
              <w:spacing w:after="0" w:line="240" w:lineRule="auto"/>
              <w:rPr>
                <w:rFonts w:asciiTheme="minorBidi" w:eastAsia="Times New Roman" w:hAnsiTheme="minorBidi"/>
                <w:color w:val="264A60"/>
                <w:sz w:val="18"/>
                <w:szCs w:val="18"/>
              </w:rPr>
            </w:pPr>
          </w:p>
          <w:p w14:paraId="2F93354B" w14:textId="77777777" w:rsidR="00821B82" w:rsidRPr="00C96F66" w:rsidRDefault="00821B82" w:rsidP="00282204">
            <w:pPr>
              <w:spacing w:after="0" w:line="240" w:lineRule="auto"/>
              <w:rPr>
                <w:rFonts w:asciiTheme="minorBidi" w:eastAsia="Times New Roman" w:hAnsiTheme="minorBidi"/>
                <w:color w:val="264A60"/>
                <w:sz w:val="18"/>
                <w:szCs w:val="18"/>
              </w:rPr>
            </w:pPr>
          </w:p>
        </w:tc>
        <w:tc>
          <w:tcPr>
            <w:tcW w:w="1320" w:type="dxa"/>
            <w:shd w:val="clear" w:color="auto" w:fill="FFFFFF" w:themeFill="background1"/>
            <w:vAlign w:val="center"/>
            <w:hideMark/>
          </w:tcPr>
          <w:p w14:paraId="3D70529E"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191E3F1C"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w:t>
            </w:r>
          </w:p>
        </w:tc>
        <w:tc>
          <w:tcPr>
            <w:tcW w:w="917" w:type="dxa"/>
            <w:shd w:val="clear" w:color="auto" w:fill="FFFFFF" w:themeFill="background1"/>
            <w:vAlign w:val="center"/>
            <w:hideMark/>
          </w:tcPr>
          <w:p w14:paraId="3867C22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w:t>
            </w:r>
          </w:p>
        </w:tc>
        <w:tc>
          <w:tcPr>
            <w:tcW w:w="967" w:type="dxa"/>
            <w:shd w:val="clear" w:color="auto" w:fill="FFFFFF" w:themeFill="background1"/>
            <w:vAlign w:val="center"/>
            <w:hideMark/>
          </w:tcPr>
          <w:p w14:paraId="7F8F4539"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w:t>
            </w:r>
          </w:p>
        </w:tc>
        <w:tc>
          <w:tcPr>
            <w:tcW w:w="876" w:type="dxa"/>
            <w:shd w:val="clear" w:color="auto" w:fill="FFFFFF" w:themeFill="background1"/>
            <w:vAlign w:val="center"/>
            <w:hideMark/>
          </w:tcPr>
          <w:p w14:paraId="365FA8B9"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48</w:t>
            </w:r>
          </w:p>
        </w:tc>
        <w:tc>
          <w:tcPr>
            <w:tcW w:w="882" w:type="dxa"/>
            <w:shd w:val="clear" w:color="auto" w:fill="FFFFFF" w:themeFill="background1"/>
            <w:vAlign w:val="center"/>
            <w:hideMark/>
          </w:tcPr>
          <w:p w14:paraId="0ED8955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40</w:t>
            </w:r>
          </w:p>
        </w:tc>
        <w:tc>
          <w:tcPr>
            <w:tcW w:w="965" w:type="dxa"/>
            <w:shd w:val="clear" w:color="auto" w:fill="FFFFFF" w:themeFill="background1"/>
            <w:vAlign w:val="center"/>
            <w:hideMark/>
          </w:tcPr>
          <w:p w14:paraId="25E676DD"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156AB59C"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0.07</w:t>
            </w:r>
          </w:p>
          <w:p w14:paraId="39C5D36D"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0DB4B28A" w14:textId="77777777" w:rsidTr="00282204">
        <w:trPr>
          <w:trHeight w:val="358"/>
          <w:jc w:val="center"/>
        </w:trPr>
        <w:tc>
          <w:tcPr>
            <w:tcW w:w="5910" w:type="dxa"/>
            <w:vMerge/>
            <w:shd w:val="clear" w:color="auto" w:fill="FFFFFF" w:themeFill="background1"/>
            <w:vAlign w:val="center"/>
            <w:hideMark/>
          </w:tcPr>
          <w:p w14:paraId="1D8C723A"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3006E0D4"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12EC02F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033B021F"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09CD15D0"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6</w:t>
            </w:r>
          </w:p>
        </w:tc>
        <w:tc>
          <w:tcPr>
            <w:tcW w:w="876" w:type="dxa"/>
            <w:shd w:val="clear" w:color="auto" w:fill="FFFFFF" w:themeFill="background1"/>
            <w:vAlign w:val="center"/>
            <w:hideMark/>
          </w:tcPr>
          <w:p w14:paraId="1BCA8909"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18</w:t>
            </w:r>
          </w:p>
        </w:tc>
        <w:tc>
          <w:tcPr>
            <w:tcW w:w="882" w:type="dxa"/>
            <w:shd w:val="clear" w:color="auto" w:fill="FFFFFF" w:themeFill="background1"/>
            <w:vAlign w:val="center"/>
            <w:hideMark/>
          </w:tcPr>
          <w:p w14:paraId="43F7D8C7"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77</w:t>
            </w:r>
          </w:p>
        </w:tc>
        <w:tc>
          <w:tcPr>
            <w:tcW w:w="965" w:type="dxa"/>
            <w:shd w:val="clear" w:color="auto" w:fill="FFFFFF" w:themeFill="background1"/>
            <w:vAlign w:val="center"/>
            <w:hideMark/>
          </w:tcPr>
          <w:p w14:paraId="164435EE"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(4-5)</w:t>
            </w:r>
          </w:p>
        </w:tc>
        <w:tc>
          <w:tcPr>
            <w:tcW w:w="897" w:type="dxa"/>
            <w:vMerge/>
            <w:shd w:val="clear" w:color="auto" w:fill="FFFFFF" w:themeFill="background1"/>
            <w:vAlign w:val="center"/>
            <w:hideMark/>
          </w:tcPr>
          <w:p w14:paraId="51D5AF58"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5870DD17" w14:textId="77777777" w:rsidTr="00282204">
        <w:trPr>
          <w:trHeight w:val="573"/>
          <w:jc w:val="center"/>
        </w:trPr>
        <w:tc>
          <w:tcPr>
            <w:tcW w:w="5910" w:type="dxa"/>
            <w:vMerge w:val="restart"/>
            <w:shd w:val="clear" w:color="auto" w:fill="FFFFFF" w:themeFill="background1"/>
            <w:vAlign w:val="center"/>
            <w:hideMark/>
          </w:tcPr>
          <w:p w14:paraId="68321D5D" w14:textId="77777777" w:rsidR="00821B82"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working in the primary care team can make doctors’ job easier by reducing their workload and decreasing amount of time spent addressing medication-related problems</w:t>
            </w:r>
          </w:p>
          <w:p w14:paraId="659D72B1" w14:textId="77777777" w:rsidR="00821B82" w:rsidRPr="00C96F66" w:rsidRDefault="00821B82" w:rsidP="00282204">
            <w:pPr>
              <w:spacing w:after="0" w:line="240" w:lineRule="auto"/>
              <w:rPr>
                <w:rFonts w:asciiTheme="minorBidi" w:eastAsia="Times New Roman" w:hAnsiTheme="minorBidi"/>
                <w:color w:val="264A60"/>
                <w:sz w:val="18"/>
                <w:szCs w:val="18"/>
              </w:rPr>
            </w:pPr>
          </w:p>
        </w:tc>
        <w:tc>
          <w:tcPr>
            <w:tcW w:w="1320" w:type="dxa"/>
            <w:shd w:val="clear" w:color="auto" w:fill="FFFFFF" w:themeFill="background1"/>
            <w:vAlign w:val="center"/>
            <w:hideMark/>
          </w:tcPr>
          <w:p w14:paraId="6445DE72"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677395B3"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w:t>
            </w:r>
          </w:p>
        </w:tc>
        <w:tc>
          <w:tcPr>
            <w:tcW w:w="917" w:type="dxa"/>
            <w:shd w:val="clear" w:color="auto" w:fill="FFFFFF" w:themeFill="background1"/>
            <w:vAlign w:val="center"/>
            <w:hideMark/>
          </w:tcPr>
          <w:p w14:paraId="5842EF82"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1AEB354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9</w:t>
            </w:r>
          </w:p>
        </w:tc>
        <w:tc>
          <w:tcPr>
            <w:tcW w:w="876" w:type="dxa"/>
            <w:shd w:val="clear" w:color="auto" w:fill="FFFFFF" w:themeFill="background1"/>
            <w:vAlign w:val="center"/>
            <w:hideMark/>
          </w:tcPr>
          <w:p w14:paraId="4C66CF1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45</w:t>
            </w:r>
          </w:p>
        </w:tc>
        <w:tc>
          <w:tcPr>
            <w:tcW w:w="882" w:type="dxa"/>
            <w:shd w:val="clear" w:color="auto" w:fill="FFFFFF" w:themeFill="background1"/>
            <w:vAlign w:val="center"/>
            <w:hideMark/>
          </w:tcPr>
          <w:p w14:paraId="1F235BF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43</w:t>
            </w:r>
          </w:p>
        </w:tc>
        <w:tc>
          <w:tcPr>
            <w:tcW w:w="965" w:type="dxa"/>
            <w:shd w:val="clear" w:color="auto" w:fill="FFFFFF" w:themeFill="background1"/>
            <w:vAlign w:val="center"/>
            <w:hideMark/>
          </w:tcPr>
          <w:p w14:paraId="2A8C6F9F"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68A2EC85"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0.26</w:t>
            </w:r>
          </w:p>
          <w:p w14:paraId="4D588847"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1072B509" w14:textId="77777777" w:rsidTr="00282204">
        <w:trPr>
          <w:trHeight w:val="275"/>
          <w:jc w:val="center"/>
        </w:trPr>
        <w:tc>
          <w:tcPr>
            <w:tcW w:w="5910" w:type="dxa"/>
            <w:vMerge/>
            <w:shd w:val="clear" w:color="auto" w:fill="FFFFFF" w:themeFill="background1"/>
            <w:vAlign w:val="center"/>
            <w:hideMark/>
          </w:tcPr>
          <w:p w14:paraId="7CDE9843"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02844B8A"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285290BA"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0286EDC4"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0D5C398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6</w:t>
            </w:r>
          </w:p>
        </w:tc>
        <w:tc>
          <w:tcPr>
            <w:tcW w:w="876" w:type="dxa"/>
            <w:shd w:val="clear" w:color="auto" w:fill="FFFFFF" w:themeFill="background1"/>
            <w:vAlign w:val="center"/>
            <w:hideMark/>
          </w:tcPr>
          <w:p w14:paraId="26184BF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24</w:t>
            </w:r>
          </w:p>
        </w:tc>
        <w:tc>
          <w:tcPr>
            <w:tcW w:w="882" w:type="dxa"/>
            <w:shd w:val="clear" w:color="auto" w:fill="FFFFFF" w:themeFill="background1"/>
            <w:vAlign w:val="center"/>
            <w:hideMark/>
          </w:tcPr>
          <w:p w14:paraId="0D26EB45"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71</w:t>
            </w:r>
          </w:p>
        </w:tc>
        <w:tc>
          <w:tcPr>
            <w:tcW w:w="965" w:type="dxa"/>
            <w:shd w:val="clear" w:color="auto" w:fill="FFFFFF" w:themeFill="background1"/>
            <w:vAlign w:val="center"/>
            <w:hideMark/>
          </w:tcPr>
          <w:p w14:paraId="291C73CF"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(4-5)</w:t>
            </w:r>
          </w:p>
        </w:tc>
        <w:tc>
          <w:tcPr>
            <w:tcW w:w="897" w:type="dxa"/>
            <w:vMerge/>
            <w:shd w:val="clear" w:color="auto" w:fill="FFFFFF" w:themeFill="background1"/>
            <w:vAlign w:val="center"/>
            <w:hideMark/>
          </w:tcPr>
          <w:p w14:paraId="43939973"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7ACFA525" w14:textId="77777777" w:rsidTr="00282204">
        <w:trPr>
          <w:trHeight w:val="551"/>
          <w:jc w:val="center"/>
        </w:trPr>
        <w:tc>
          <w:tcPr>
            <w:tcW w:w="5910" w:type="dxa"/>
            <w:vMerge w:val="restart"/>
            <w:shd w:val="clear" w:color="auto" w:fill="FFFFFF" w:themeFill="background1"/>
            <w:vAlign w:val="center"/>
            <w:hideMark/>
          </w:tcPr>
          <w:p w14:paraId="1B97CF19"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Use of pharmacist’s skills and knowledge in diabetes primary care management can improve patient outcomes</w:t>
            </w:r>
          </w:p>
          <w:p w14:paraId="29F0A7BB"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000000"/>
                <w:sz w:val="18"/>
                <w:szCs w:val="18"/>
              </w:rPr>
              <w:t> </w:t>
            </w:r>
          </w:p>
        </w:tc>
        <w:tc>
          <w:tcPr>
            <w:tcW w:w="1320" w:type="dxa"/>
            <w:shd w:val="clear" w:color="auto" w:fill="FFFFFF" w:themeFill="background1"/>
            <w:vAlign w:val="center"/>
            <w:hideMark/>
          </w:tcPr>
          <w:p w14:paraId="105F8CE0"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3CAC1BF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w:t>
            </w:r>
          </w:p>
        </w:tc>
        <w:tc>
          <w:tcPr>
            <w:tcW w:w="917" w:type="dxa"/>
            <w:shd w:val="clear" w:color="auto" w:fill="FFFFFF" w:themeFill="background1"/>
            <w:vAlign w:val="center"/>
            <w:hideMark/>
          </w:tcPr>
          <w:p w14:paraId="31BA454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w:t>
            </w:r>
          </w:p>
        </w:tc>
        <w:tc>
          <w:tcPr>
            <w:tcW w:w="967" w:type="dxa"/>
            <w:shd w:val="clear" w:color="auto" w:fill="FFFFFF" w:themeFill="background1"/>
            <w:vAlign w:val="center"/>
            <w:hideMark/>
          </w:tcPr>
          <w:p w14:paraId="52006725"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w:t>
            </w:r>
          </w:p>
        </w:tc>
        <w:tc>
          <w:tcPr>
            <w:tcW w:w="876" w:type="dxa"/>
            <w:shd w:val="clear" w:color="auto" w:fill="FFFFFF" w:themeFill="background1"/>
            <w:vAlign w:val="center"/>
            <w:hideMark/>
          </w:tcPr>
          <w:p w14:paraId="7481D2AD"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48</w:t>
            </w:r>
          </w:p>
        </w:tc>
        <w:tc>
          <w:tcPr>
            <w:tcW w:w="882" w:type="dxa"/>
            <w:shd w:val="clear" w:color="auto" w:fill="FFFFFF" w:themeFill="background1"/>
            <w:vAlign w:val="center"/>
            <w:hideMark/>
          </w:tcPr>
          <w:p w14:paraId="337C27B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39</w:t>
            </w:r>
          </w:p>
        </w:tc>
        <w:tc>
          <w:tcPr>
            <w:tcW w:w="965" w:type="dxa"/>
            <w:shd w:val="clear" w:color="auto" w:fill="FFFFFF" w:themeFill="background1"/>
            <w:vAlign w:val="center"/>
            <w:hideMark/>
          </w:tcPr>
          <w:p w14:paraId="3D0B7A0F"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7C56533C"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0.20</w:t>
            </w:r>
          </w:p>
          <w:p w14:paraId="16C41112"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793D86F6" w14:textId="77777777" w:rsidTr="00282204">
        <w:trPr>
          <w:trHeight w:val="97"/>
          <w:jc w:val="center"/>
        </w:trPr>
        <w:tc>
          <w:tcPr>
            <w:tcW w:w="5910" w:type="dxa"/>
            <w:vMerge/>
            <w:shd w:val="clear" w:color="auto" w:fill="FFFFFF" w:themeFill="background1"/>
            <w:vAlign w:val="center"/>
            <w:hideMark/>
          </w:tcPr>
          <w:p w14:paraId="0AFF72D5"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04E5088F"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61860BBF"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6E7D8842"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60E13F1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6</w:t>
            </w:r>
          </w:p>
        </w:tc>
        <w:tc>
          <w:tcPr>
            <w:tcW w:w="876" w:type="dxa"/>
            <w:shd w:val="clear" w:color="auto" w:fill="FFFFFF" w:themeFill="background1"/>
            <w:vAlign w:val="center"/>
            <w:hideMark/>
          </w:tcPr>
          <w:p w14:paraId="3C3D4904"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24</w:t>
            </w:r>
          </w:p>
        </w:tc>
        <w:tc>
          <w:tcPr>
            <w:tcW w:w="882" w:type="dxa"/>
            <w:shd w:val="clear" w:color="auto" w:fill="FFFFFF" w:themeFill="background1"/>
            <w:vAlign w:val="center"/>
            <w:hideMark/>
          </w:tcPr>
          <w:p w14:paraId="1626F02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71</w:t>
            </w:r>
          </w:p>
        </w:tc>
        <w:tc>
          <w:tcPr>
            <w:tcW w:w="965" w:type="dxa"/>
            <w:shd w:val="clear" w:color="auto" w:fill="FFFFFF" w:themeFill="background1"/>
            <w:vAlign w:val="center"/>
            <w:hideMark/>
          </w:tcPr>
          <w:p w14:paraId="6ED6D503"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(4-5)</w:t>
            </w:r>
          </w:p>
        </w:tc>
        <w:tc>
          <w:tcPr>
            <w:tcW w:w="897" w:type="dxa"/>
            <w:vMerge/>
            <w:shd w:val="clear" w:color="auto" w:fill="FFFFFF" w:themeFill="background1"/>
            <w:vAlign w:val="center"/>
            <w:hideMark/>
          </w:tcPr>
          <w:p w14:paraId="42B6C8AE"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60C32F5D" w14:textId="77777777" w:rsidTr="00282204">
        <w:trPr>
          <w:trHeight w:val="383"/>
          <w:jc w:val="center"/>
        </w:trPr>
        <w:tc>
          <w:tcPr>
            <w:tcW w:w="5910" w:type="dxa"/>
            <w:vMerge w:val="restart"/>
            <w:shd w:val="clear" w:color="auto" w:fill="FFFFFF" w:themeFill="background1"/>
            <w:vAlign w:val="center"/>
            <w:hideMark/>
          </w:tcPr>
          <w:p w14:paraId="486F7DB5"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as medication therapy experts can make the management of patients’ medication more efficient</w:t>
            </w:r>
          </w:p>
          <w:p w14:paraId="783669C8"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000000"/>
                <w:sz w:val="18"/>
                <w:szCs w:val="18"/>
              </w:rPr>
              <w:t> </w:t>
            </w:r>
          </w:p>
        </w:tc>
        <w:tc>
          <w:tcPr>
            <w:tcW w:w="1320" w:type="dxa"/>
            <w:shd w:val="clear" w:color="auto" w:fill="FFFFFF" w:themeFill="background1"/>
            <w:vAlign w:val="center"/>
            <w:hideMark/>
          </w:tcPr>
          <w:p w14:paraId="5A852679"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4121E3DF"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5</w:t>
            </w:r>
          </w:p>
        </w:tc>
        <w:tc>
          <w:tcPr>
            <w:tcW w:w="917" w:type="dxa"/>
            <w:shd w:val="clear" w:color="auto" w:fill="FFFFFF" w:themeFill="background1"/>
            <w:vAlign w:val="center"/>
            <w:hideMark/>
          </w:tcPr>
          <w:p w14:paraId="4C2FBBC7"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w:t>
            </w:r>
          </w:p>
        </w:tc>
        <w:tc>
          <w:tcPr>
            <w:tcW w:w="967" w:type="dxa"/>
            <w:shd w:val="clear" w:color="auto" w:fill="FFFFFF" w:themeFill="background1"/>
            <w:vAlign w:val="center"/>
            <w:hideMark/>
          </w:tcPr>
          <w:p w14:paraId="5E438BFF"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8</w:t>
            </w:r>
          </w:p>
        </w:tc>
        <w:tc>
          <w:tcPr>
            <w:tcW w:w="876" w:type="dxa"/>
            <w:shd w:val="clear" w:color="auto" w:fill="FFFFFF" w:themeFill="background1"/>
            <w:vAlign w:val="center"/>
            <w:hideMark/>
          </w:tcPr>
          <w:p w14:paraId="605E9325"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46</w:t>
            </w:r>
          </w:p>
        </w:tc>
        <w:tc>
          <w:tcPr>
            <w:tcW w:w="882" w:type="dxa"/>
            <w:shd w:val="clear" w:color="auto" w:fill="FFFFFF" w:themeFill="background1"/>
            <w:vAlign w:val="center"/>
            <w:hideMark/>
          </w:tcPr>
          <w:p w14:paraId="273FE6A8"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40</w:t>
            </w:r>
          </w:p>
        </w:tc>
        <w:tc>
          <w:tcPr>
            <w:tcW w:w="965" w:type="dxa"/>
            <w:shd w:val="clear" w:color="auto" w:fill="FFFFFF" w:themeFill="background1"/>
            <w:vAlign w:val="center"/>
            <w:hideMark/>
          </w:tcPr>
          <w:p w14:paraId="59808A4E"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3346B2EB"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0.48</w:t>
            </w:r>
          </w:p>
          <w:p w14:paraId="3A4AC06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03BDAF0D" w14:textId="77777777" w:rsidTr="00282204">
        <w:trPr>
          <w:trHeight w:val="358"/>
          <w:jc w:val="center"/>
        </w:trPr>
        <w:tc>
          <w:tcPr>
            <w:tcW w:w="5910" w:type="dxa"/>
            <w:vMerge/>
            <w:shd w:val="clear" w:color="auto" w:fill="FFFFFF" w:themeFill="background1"/>
            <w:vAlign w:val="center"/>
            <w:hideMark/>
          </w:tcPr>
          <w:p w14:paraId="3AFCF2BB"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14F8B1A6"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23C3EC3F"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2E4AF68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6</w:t>
            </w:r>
          </w:p>
        </w:tc>
        <w:tc>
          <w:tcPr>
            <w:tcW w:w="967" w:type="dxa"/>
            <w:shd w:val="clear" w:color="auto" w:fill="FFFFFF" w:themeFill="background1"/>
            <w:vAlign w:val="center"/>
            <w:hideMark/>
          </w:tcPr>
          <w:p w14:paraId="0CE0FB2E"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876" w:type="dxa"/>
            <w:shd w:val="clear" w:color="auto" w:fill="FFFFFF" w:themeFill="background1"/>
            <w:vAlign w:val="center"/>
            <w:hideMark/>
          </w:tcPr>
          <w:p w14:paraId="2E10CE88"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47</w:t>
            </w:r>
          </w:p>
        </w:tc>
        <w:tc>
          <w:tcPr>
            <w:tcW w:w="882" w:type="dxa"/>
            <w:shd w:val="clear" w:color="auto" w:fill="FFFFFF" w:themeFill="background1"/>
            <w:vAlign w:val="center"/>
            <w:hideMark/>
          </w:tcPr>
          <w:p w14:paraId="55D0016F"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47</w:t>
            </w:r>
          </w:p>
        </w:tc>
        <w:tc>
          <w:tcPr>
            <w:tcW w:w="965" w:type="dxa"/>
            <w:shd w:val="clear" w:color="auto" w:fill="FFFFFF" w:themeFill="background1"/>
            <w:vAlign w:val="center"/>
            <w:hideMark/>
          </w:tcPr>
          <w:p w14:paraId="27D3EAD9"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shd w:val="clear" w:color="auto" w:fill="FFFFFF" w:themeFill="background1"/>
            <w:vAlign w:val="center"/>
            <w:hideMark/>
          </w:tcPr>
          <w:p w14:paraId="07E5536A"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16249C8E" w14:textId="77777777" w:rsidTr="00282204">
        <w:trPr>
          <w:trHeight w:val="451"/>
          <w:jc w:val="center"/>
        </w:trPr>
        <w:tc>
          <w:tcPr>
            <w:tcW w:w="5910" w:type="dxa"/>
            <w:vMerge w:val="restart"/>
            <w:shd w:val="clear" w:color="auto" w:fill="FFFFFF" w:themeFill="background1"/>
            <w:vAlign w:val="center"/>
            <w:hideMark/>
          </w:tcPr>
          <w:p w14:paraId="1EF13947" w14:textId="77777777" w:rsidR="00821B82"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can help with co-management of complex patients</w:t>
            </w:r>
          </w:p>
          <w:p w14:paraId="272F0B12" w14:textId="77777777" w:rsidR="00821B82" w:rsidRDefault="00821B82" w:rsidP="00282204">
            <w:pPr>
              <w:spacing w:after="0" w:line="240" w:lineRule="auto"/>
              <w:rPr>
                <w:rFonts w:asciiTheme="minorBidi" w:eastAsia="Times New Roman" w:hAnsiTheme="minorBidi"/>
                <w:color w:val="264A60"/>
                <w:sz w:val="18"/>
                <w:szCs w:val="18"/>
              </w:rPr>
            </w:pPr>
          </w:p>
          <w:p w14:paraId="52C886CE" w14:textId="77777777" w:rsidR="00821B82" w:rsidRPr="00C96F66" w:rsidRDefault="00821B82" w:rsidP="00282204">
            <w:pPr>
              <w:spacing w:after="0" w:line="240" w:lineRule="auto"/>
              <w:rPr>
                <w:rFonts w:asciiTheme="minorBidi" w:eastAsia="Times New Roman" w:hAnsiTheme="minorBidi"/>
                <w:color w:val="264A60"/>
                <w:sz w:val="18"/>
                <w:szCs w:val="18"/>
              </w:rPr>
            </w:pPr>
          </w:p>
          <w:p w14:paraId="71E881CC" w14:textId="77777777" w:rsidR="00821B82" w:rsidRPr="00C96F66" w:rsidRDefault="00821B82" w:rsidP="00282204">
            <w:pPr>
              <w:spacing w:after="0" w:line="240" w:lineRule="auto"/>
              <w:rPr>
                <w:rFonts w:asciiTheme="minorBidi" w:eastAsia="Times New Roman" w:hAnsiTheme="minorBidi"/>
                <w:color w:val="264A60"/>
                <w:sz w:val="18"/>
                <w:szCs w:val="18"/>
              </w:rPr>
            </w:pPr>
          </w:p>
        </w:tc>
        <w:tc>
          <w:tcPr>
            <w:tcW w:w="1320" w:type="dxa"/>
            <w:shd w:val="clear" w:color="auto" w:fill="FFFFFF" w:themeFill="background1"/>
            <w:vAlign w:val="center"/>
            <w:hideMark/>
          </w:tcPr>
          <w:p w14:paraId="7FC85DB3"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44BFA020"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5</w:t>
            </w:r>
          </w:p>
        </w:tc>
        <w:tc>
          <w:tcPr>
            <w:tcW w:w="917" w:type="dxa"/>
            <w:shd w:val="clear" w:color="auto" w:fill="FFFFFF" w:themeFill="background1"/>
            <w:vAlign w:val="center"/>
            <w:hideMark/>
          </w:tcPr>
          <w:p w14:paraId="066ECE7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w:t>
            </w:r>
          </w:p>
        </w:tc>
        <w:tc>
          <w:tcPr>
            <w:tcW w:w="967" w:type="dxa"/>
            <w:shd w:val="clear" w:color="auto" w:fill="FFFFFF" w:themeFill="background1"/>
            <w:vAlign w:val="center"/>
            <w:hideMark/>
          </w:tcPr>
          <w:p w14:paraId="63F32862"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9</w:t>
            </w:r>
          </w:p>
        </w:tc>
        <w:tc>
          <w:tcPr>
            <w:tcW w:w="876" w:type="dxa"/>
            <w:shd w:val="clear" w:color="auto" w:fill="FFFFFF" w:themeFill="background1"/>
            <w:vAlign w:val="center"/>
            <w:hideMark/>
          </w:tcPr>
          <w:p w14:paraId="0261153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49</w:t>
            </w:r>
          </w:p>
        </w:tc>
        <w:tc>
          <w:tcPr>
            <w:tcW w:w="882" w:type="dxa"/>
            <w:shd w:val="clear" w:color="auto" w:fill="FFFFFF" w:themeFill="background1"/>
            <w:vAlign w:val="center"/>
            <w:hideMark/>
          </w:tcPr>
          <w:p w14:paraId="6176A74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35</w:t>
            </w:r>
          </w:p>
        </w:tc>
        <w:tc>
          <w:tcPr>
            <w:tcW w:w="965" w:type="dxa"/>
            <w:shd w:val="clear" w:color="auto" w:fill="FFFFFF" w:themeFill="background1"/>
            <w:vAlign w:val="center"/>
            <w:hideMark/>
          </w:tcPr>
          <w:p w14:paraId="1FFB5A22"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08BD9BF4" w14:textId="77777777" w:rsidR="00821B82" w:rsidRDefault="00821B82" w:rsidP="00282204">
            <w:pPr>
              <w:spacing w:after="0" w:line="240" w:lineRule="auto"/>
              <w:jc w:val="center"/>
              <w:rPr>
                <w:rFonts w:asciiTheme="minorBidi" w:eastAsia="Times New Roman" w:hAnsiTheme="minorBidi"/>
                <w:color w:val="000000"/>
                <w:sz w:val="18"/>
                <w:szCs w:val="18"/>
              </w:rPr>
            </w:pPr>
          </w:p>
          <w:p w14:paraId="6D148BB2"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0.13</w:t>
            </w:r>
          </w:p>
          <w:p w14:paraId="48402460" w14:textId="77777777" w:rsidR="00821B82" w:rsidRDefault="00821B82" w:rsidP="00282204">
            <w:pPr>
              <w:spacing w:after="0" w:line="240" w:lineRule="auto"/>
              <w:jc w:val="center"/>
              <w:rPr>
                <w:rFonts w:asciiTheme="minorBidi" w:eastAsia="Times New Roman" w:hAnsiTheme="minorBidi"/>
                <w:color w:val="000000"/>
                <w:sz w:val="18"/>
                <w:szCs w:val="18"/>
              </w:rPr>
            </w:pPr>
          </w:p>
          <w:p w14:paraId="5FC04254" w14:textId="77777777" w:rsidR="00821B82" w:rsidRDefault="00821B82" w:rsidP="00282204">
            <w:pPr>
              <w:spacing w:after="0" w:line="240" w:lineRule="auto"/>
              <w:jc w:val="center"/>
              <w:rPr>
                <w:rFonts w:asciiTheme="minorBidi" w:eastAsia="Times New Roman" w:hAnsiTheme="minorBidi"/>
                <w:color w:val="000000"/>
                <w:sz w:val="18"/>
                <w:szCs w:val="18"/>
              </w:rPr>
            </w:pPr>
          </w:p>
          <w:p w14:paraId="6DBD66FB"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1A4F4472" w14:textId="77777777" w:rsidTr="00282204">
        <w:trPr>
          <w:trHeight w:val="243"/>
          <w:jc w:val="center"/>
        </w:trPr>
        <w:tc>
          <w:tcPr>
            <w:tcW w:w="5910" w:type="dxa"/>
            <w:vMerge/>
            <w:shd w:val="clear" w:color="auto" w:fill="FFFFFF" w:themeFill="background1"/>
            <w:vAlign w:val="center"/>
            <w:hideMark/>
          </w:tcPr>
          <w:p w14:paraId="1596A052" w14:textId="77777777" w:rsidR="00821B82" w:rsidRPr="00C96F66" w:rsidRDefault="00821B82" w:rsidP="00282204">
            <w:pPr>
              <w:spacing w:after="0" w:line="240" w:lineRule="auto"/>
              <w:rPr>
                <w:rFonts w:asciiTheme="minorBidi" w:eastAsia="Times New Roman" w:hAnsiTheme="minorBidi"/>
                <w:color w:val="264A60"/>
                <w:sz w:val="18"/>
                <w:szCs w:val="18"/>
              </w:rPr>
            </w:pPr>
          </w:p>
        </w:tc>
        <w:tc>
          <w:tcPr>
            <w:tcW w:w="1320" w:type="dxa"/>
            <w:shd w:val="clear" w:color="auto" w:fill="FFFFFF" w:themeFill="background1"/>
            <w:vAlign w:val="center"/>
            <w:hideMark/>
          </w:tcPr>
          <w:p w14:paraId="4E912E20"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32A34E47"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3DFECCAA"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72FE6B8C"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876" w:type="dxa"/>
            <w:shd w:val="clear" w:color="auto" w:fill="FFFFFF" w:themeFill="background1"/>
            <w:vAlign w:val="center"/>
            <w:hideMark/>
          </w:tcPr>
          <w:p w14:paraId="2570D93D"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29</w:t>
            </w:r>
          </w:p>
        </w:tc>
        <w:tc>
          <w:tcPr>
            <w:tcW w:w="882" w:type="dxa"/>
            <w:shd w:val="clear" w:color="auto" w:fill="FFFFFF" w:themeFill="background1"/>
            <w:vAlign w:val="center"/>
            <w:hideMark/>
          </w:tcPr>
          <w:p w14:paraId="754ACAE7"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71</w:t>
            </w:r>
          </w:p>
        </w:tc>
        <w:tc>
          <w:tcPr>
            <w:tcW w:w="965" w:type="dxa"/>
            <w:shd w:val="clear" w:color="auto" w:fill="FFFFFF" w:themeFill="background1"/>
            <w:vAlign w:val="center"/>
            <w:hideMark/>
          </w:tcPr>
          <w:p w14:paraId="515706A3"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(4-5)</w:t>
            </w:r>
          </w:p>
        </w:tc>
        <w:tc>
          <w:tcPr>
            <w:tcW w:w="897" w:type="dxa"/>
            <w:vMerge/>
            <w:shd w:val="clear" w:color="auto" w:fill="FFFFFF" w:themeFill="background1"/>
            <w:vAlign w:val="center"/>
            <w:hideMark/>
          </w:tcPr>
          <w:p w14:paraId="12A68BD6"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00857E09" w14:textId="77777777" w:rsidTr="00282204">
        <w:trPr>
          <w:trHeight w:val="372"/>
          <w:jc w:val="center"/>
        </w:trPr>
        <w:tc>
          <w:tcPr>
            <w:tcW w:w="5910" w:type="dxa"/>
            <w:vMerge w:val="restart"/>
            <w:shd w:val="clear" w:color="auto" w:fill="FFFFFF" w:themeFill="background1"/>
            <w:vAlign w:val="center"/>
            <w:hideMark/>
          </w:tcPr>
          <w:p w14:paraId="6E0189A0" w14:textId="77777777" w:rsidR="00821B82" w:rsidRDefault="00821B82" w:rsidP="00282204">
            <w:pPr>
              <w:spacing w:after="0" w:line="240" w:lineRule="auto"/>
              <w:rPr>
                <w:rFonts w:asciiTheme="minorBidi" w:eastAsia="Times New Roman" w:hAnsiTheme="minorBidi"/>
                <w:color w:val="264A60"/>
                <w:sz w:val="18"/>
                <w:szCs w:val="18"/>
              </w:rPr>
            </w:pPr>
          </w:p>
          <w:p w14:paraId="4C09B284" w14:textId="77777777" w:rsidR="00821B82"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working in the primary care team can make nurses’ job easier by reducing their workload and decreasing amount of time spent addressing medication-related problems</w:t>
            </w:r>
          </w:p>
          <w:p w14:paraId="2B12414E" w14:textId="77777777" w:rsidR="00821B82" w:rsidRDefault="00821B82" w:rsidP="00282204">
            <w:pPr>
              <w:spacing w:after="0" w:line="240" w:lineRule="auto"/>
              <w:rPr>
                <w:rFonts w:asciiTheme="minorBidi" w:eastAsia="Times New Roman" w:hAnsiTheme="minorBidi"/>
                <w:color w:val="264A60"/>
                <w:sz w:val="18"/>
                <w:szCs w:val="18"/>
              </w:rPr>
            </w:pPr>
          </w:p>
          <w:p w14:paraId="76600E85" w14:textId="77777777" w:rsidR="00821B82" w:rsidRPr="00C96F66" w:rsidRDefault="00821B82" w:rsidP="00282204">
            <w:pPr>
              <w:spacing w:after="0" w:line="240" w:lineRule="auto"/>
              <w:rPr>
                <w:rFonts w:asciiTheme="minorBidi" w:eastAsia="Times New Roman" w:hAnsiTheme="minorBidi"/>
                <w:color w:val="264A60"/>
                <w:sz w:val="18"/>
                <w:szCs w:val="18"/>
              </w:rPr>
            </w:pPr>
          </w:p>
        </w:tc>
        <w:tc>
          <w:tcPr>
            <w:tcW w:w="1320" w:type="dxa"/>
            <w:shd w:val="clear" w:color="auto" w:fill="FFFFFF" w:themeFill="background1"/>
            <w:vAlign w:val="center"/>
            <w:hideMark/>
          </w:tcPr>
          <w:p w14:paraId="5E1A0591" w14:textId="77777777" w:rsidR="00821B82" w:rsidRDefault="00821B82" w:rsidP="00282204">
            <w:pPr>
              <w:spacing w:after="0" w:line="240" w:lineRule="auto"/>
              <w:jc w:val="center"/>
              <w:rPr>
                <w:rFonts w:asciiTheme="minorBidi" w:eastAsia="Times New Roman" w:hAnsiTheme="minorBidi"/>
                <w:color w:val="000000"/>
                <w:sz w:val="18"/>
                <w:szCs w:val="18"/>
              </w:rPr>
            </w:pPr>
          </w:p>
          <w:p w14:paraId="2754724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6DAFF4A3" w14:textId="77777777" w:rsidR="00821B82" w:rsidRDefault="00821B82" w:rsidP="00282204">
            <w:pPr>
              <w:spacing w:after="0" w:line="240" w:lineRule="auto"/>
              <w:jc w:val="center"/>
              <w:rPr>
                <w:rFonts w:asciiTheme="minorBidi" w:eastAsia="Times New Roman" w:hAnsiTheme="minorBidi"/>
                <w:color w:val="010205"/>
                <w:sz w:val="18"/>
                <w:szCs w:val="18"/>
              </w:rPr>
            </w:pPr>
          </w:p>
          <w:p w14:paraId="124906EE"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w:t>
            </w:r>
          </w:p>
        </w:tc>
        <w:tc>
          <w:tcPr>
            <w:tcW w:w="917" w:type="dxa"/>
            <w:shd w:val="clear" w:color="auto" w:fill="FFFFFF" w:themeFill="background1"/>
            <w:vAlign w:val="center"/>
            <w:hideMark/>
          </w:tcPr>
          <w:p w14:paraId="169B99BA" w14:textId="77777777" w:rsidR="00821B82" w:rsidRDefault="00821B82" w:rsidP="00282204">
            <w:pPr>
              <w:spacing w:after="0" w:line="240" w:lineRule="auto"/>
              <w:jc w:val="center"/>
              <w:rPr>
                <w:rFonts w:asciiTheme="minorBidi" w:eastAsia="Times New Roman" w:hAnsiTheme="minorBidi"/>
                <w:color w:val="010205"/>
                <w:sz w:val="18"/>
                <w:szCs w:val="18"/>
              </w:rPr>
            </w:pPr>
          </w:p>
          <w:p w14:paraId="6A653010"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w:t>
            </w:r>
          </w:p>
        </w:tc>
        <w:tc>
          <w:tcPr>
            <w:tcW w:w="967" w:type="dxa"/>
            <w:shd w:val="clear" w:color="auto" w:fill="FFFFFF" w:themeFill="background1"/>
            <w:vAlign w:val="center"/>
            <w:hideMark/>
          </w:tcPr>
          <w:p w14:paraId="46F1B831" w14:textId="77777777" w:rsidR="00821B82" w:rsidRDefault="00821B82" w:rsidP="00282204">
            <w:pPr>
              <w:spacing w:after="0" w:line="240" w:lineRule="auto"/>
              <w:jc w:val="center"/>
              <w:rPr>
                <w:rFonts w:asciiTheme="minorBidi" w:eastAsia="Times New Roman" w:hAnsiTheme="minorBidi"/>
                <w:color w:val="010205"/>
                <w:sz w:val="18"/>
                <w:szCs w:val="18"/>
              </w:rPr>
            </w:pPr>
          </w:p>
          <w:p w14:paraId="42341C99"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16</w:t>
            </w:r>
          </w:p>
        </w:tc>
        <w:tc>
          <w:tcPr>
            <w:tcW w:w="876" w:type="dxa"/>
            <w:shd w:val="clear" w:color="auto" w:fill="FFFFFF" w:themeFill="background1"/>
            <w:vAlign w:val="center"/>
            <w:hideMark/>
          </w:tcPr>
          <w:p w14:paraId="6439E987" w14:textId="77777777" w:rsidR="00821B82" w:rsidRDefault="00821B82" w:rsidP="00282204">
            <w:pPr>
              <w:spacing w:after="0" w:line="240" w:lineRule="auto"/>
              <w:jc w:val="center"/>
              <w:rPr>
                <w:rFonts w:asciiTheme="minorBidi" w:eastAsia="Times New Roman" w:hAnsiTheme="minorBidi"/>
                <w:color w:val="010205"/>
                <w:sz w:val="18"/>
                <w:szCs w:val="18"/>
              </w:rPr>
            </w:pPr>
          </w:p>
          <w:p w14:paraId="1CC0D8F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46</w:t>
            </w:r>
          </w:p>
        </w:tc>
        <w:tc>
          <w:tcPr>
            <w:tcW w:w="882" w:type="dxa"/>
            <w:shd w:val="clear" w:color="auto" w:fill="FFFFFF" w:themeFill="background1"/>
            <w:vAlign w:val="center"/>
            <w:hideMark/>
          </w:tcPr>
          <w:p w14:paraId="2D50CF1B" w14:textId="77777777" w:rsidR="00821B82" w:rsidRDefault="00821B82" w:rsidP="00282204">
            <w:pPr>
              <w:spacing w:after="0" w:line="240" w:lineRule="auto"/>
              <w:jc w:val="center"/>
              <w:rPr>
                <w:rFonts w:asciiTheme="minorBidi" w:eastAsia="Times New Roman" w:hAnsiTheme="minorBidi"/>
                <w:color w:val="010205"/>
                <w:sz w:val="18"/>
                <w:szCs w:val="18"/>
              </w:rPr>
            </w:pPr>
          </w:p>
          <w:p w14:paraId="102601F3"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34</w:t>
            </w:r>
          </w:p>
        </w:tc>
        <w:tc>
          <w:tcPr>
            <w:tcW w:w="965" w:type="dxa"/>
            <w:shd w:val="clear" w:color="auto" w:fill="FFFFFF" w:themeFill="background1"/>
            <w:vAlign w:val="center"/>
            <w:hideMark/>
          </w:tcPr>
          <w:p w14:paraId="1D25712A" w14:textId="77777777" w:rsidR="00821B82" w:rsidRDefault="00821B82" w:rsidP="00282204">
            <w:pPr>
              <w:spacing w:after="0" w:line="240" w:lineRule="auto"/>
              <w:jc w:val="center"/>
              <w:rPr>
                <w:rFonts w:asciiTheme="minorBidi" w:eastAsia="Times New Roman" w:hAnsiTheme="minorBidi"/>
                <w:color w:val="000000"/>
                <w:sz w:val="18"/>
                <w:szCs w:val="18"/>
              </w:rPr>
            </w:pPr>
          </w:p>
          <w:p w14:paraId="40732057"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1BAC7968"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0.35</w:t>
            </w:r>
          </w:p>
          <w:p w14:paraId="42BA4F6A"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760E2DB5" w14:textId="77777777" w:rsidTr="00282204">
        <w:trPr>
          <w:trHeight w:val="317"/>
          <w:jc w:val="center"/>
        </w:trPr>
        <w:tc>
          <w:tcPr>
            <w:tcW w:w="5910" w:type="dxa"/>
            <w:vMerge/>
            <w:shd w:val="clear" w:color="auto" w:fill="FFFFFF" w:themeFill="background1"/>
            <w:vAlign w:val="center"/>
            <w:hideMark/>
          </w:tcPr>
          <w:p w14:paraId="1C40E1A9"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001DC154"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108E639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418F25D5"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67" w:type="dxa"/>
            <w:shd w:val="clear" w:color="auto" w:fill="FFFFFF" w:themeFill="background1"/>
            <w:vAlign w:val="center"/>
            <w:hideMark/>
          </w:tcPr>
          <w:p w14:paraId="2BAB2CA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24</w:t>
            </w:r>
          </w:p>
        </w:tc>
        <w:tc>
          <w:tcPr>
            <w:tcW w:w="876" w:type="dxa"/>
            <w:shd w:val="clear" w:color="auto" w:fill="FFFFFF" w:themeFill="background1"/>
            <w:vAlign w:val="center"/>
            <w:hideMark/>
          </w:tcPr>
          <w:p w14:paraId="60DC9C84"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24</w:t>
            </w:r>
          </w:p>
        </w:tc>
        <w:tc>
          <w:tcPr>
            <w:tcW w:w="882" w:type="dxa"/>
            <w:shd w:val="clear" w:color="auto" w:fill="FFFFFF" w:themeFill="background1"/>
            <w:vAlign w:val="center"/>
            <w:hideMark/>
          </w:tcPr>
          <w:p w14:paraId="0A6D6759"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53</w:t>
            </w:r>
          </w:p>
        </w:tc>
        <w:tc>
          <w:tcPr>
            <w:tcW w:w="965" w:type="dxa"/>
            <w:shd w:val="clear" w:color="auto" w:fill="FFFFFF" w:themeFill="background1"/>
            <w:vAlign w:val="center"/>
            <w:hideMark/>
          </w:tcPr>
          <w:p w14:paraId="22226A52"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(3.5-5)</w:t>
            </w:r>
          </w:p>
        </w:tc>
        <w:tc>
          <w:tcPr>
            <w:tcW w:w="897" w:type="dxa"/>
            <w:vMerge/>
            <w:shd w:val="clear" w:color="auto" w:fill="FFFFFF" w:themeFill="background1"/>
            <w:vAlign w:val="center"/>
            <w:hideMark/>
          </w:tcPr>
          <w:p w14:paraId="1D558CFB"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5CDF79F0" w14:textId="77777777" w:rsidTr="00282204">
        <w:trPr>
          <w:trHeight w:val="372"/>
          <w:jc w:val="center"/>
        </w:trPr>
        <w:tc>
          <w:tcPr>
            <w:tcW w:w="5910" w:type="dxa"/>
            <w:vMerge w:val="restart"/>
            <w:shd w:val="clear" w:color="auto" w:fill="FFFFFF" w:themeFill="background1"/>
            <w:vAlign w:val="center"/>
            <w:hideMark/>
          </w:tcPr>
          <w:p w14:paraId="18FC5F42" w14:textId="77777777" w:rsidR="00821B82"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can assess patients’ clinical needs and perform a comprehensive medicines assessment</w:t>
            </w:r>
          </w:p>
          <w:p w14:paraId="24DF2D09" w14:textId="77777777" w:rsidR="00821B82" w:rsidRPr="00C96F66" w:rsidRDefault="00821B82" w:rsidP="00282204">
            <w:pPr>
              <w:spacing w:after="0" w:line="240" w:lineRule="auto"/>
              <w:rPr>
                <w:rFonts w:asciiTheme="minorBidi" w:eastAsia="Times New Roman" w:hAnsiTheme="minorBidi"/>
                <w:color w:val="264A60"/>
                <w:sz w:val="18"/>
                <w:szCs w:val="18"/>
              </w:rPr>
            </w:pPr>
          </w:p>
        </w:tc>
        <w:tc>
          <w:tcPr>
            <w:tcW w:w="1320" w:type="dxa"/>
            <w:shd w:val="clear" w:color="auto" w:fill="FFFFFF" w:themeFill="background1"/>
            <w:vAlign w:val="center"/>
            <w:hideMark/>
          </w:tcPr>
          <w:p w14:paraId="20CF85BE"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544A8AD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6</w:t>
            </w:r>
          </w:p>
        </w:tc>
        <w:tc>
          <w:tcPr>
            <w:tcW w:w="917" w:type="dxa"/>
            <w:shd w:val="clear" w:color="auto" w:fill="FFFFFF" w:themeFill="background1"/>
            <w:vAlign w:val="center"/>
            <w:hideMark/>
          </w:tcPr>
          <w:p w14:paraId="4ABD1227"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w:t>
            </w:r>
          </w:p>
        </w:tc>
        <w:tc>
          <w:tcPr>
            <w:tcW w:w="967" w:type="dxa"/>
            <w:shd w:val="clear" w:color="auto" w:fill="FFFFFF" w:themeFill="background1"/>
            <w:vAlign w:val="center"/>
            <w:hideMark/>
          </w:tcPr>
          <w:p w14:paraId="526E36E9"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14</w:t>
            </w:r>
          </w:p>
        </w:tc>
        <w:tc>
          <w:tcPr>
            <w:tcW w:w="876" w:type="dxa"/>
            <w:shd w:val="clear" w:color="auto" w:fill="FFFFFF" w:themeFill="background1"/>
            <w:vAlign w:val="center"/>
            <w:hideMark/>
          </w:tcPr>
          <w:p w14:paraId="693D733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48</w:t>
            </w:r>
          </w:p>
        </w:tc>
        <w:tc>
          <w:tcPr>
            <w:tcW w:w="882" w:type="dxa"/>
            <w:shd w:val="clear" w:color="auto" w:fill="FFFFFF" w:themeFill="background1"/>
            <w:vAlign w:val="center"/>
            <w:hideMark/>
          </w:tcPr>
          <w:p w14:paraId="757903E0"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30</w:t>
            </w:r>
          </w:p>
        </w:tc>
        <w:tc>
          <w:tcPr>
            <w:tcW w:w="965" w:type="dxa"/>
            <w:shd w:val="clear" w:color="auto" w:fill="FFFFFF" w:themeFill="background1"/>
            <w:vAlign w:val="center"/>
            <w:hideMark/>
          </w:tcPr>
          <w:p w14:paraId="3E96A9DA"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(4-5)</w:t>
            </w:r>
          </w:p>
        </w:tc>
        <w:tc>
          <w:tcPr>
            <w:tcW w:w="897" w:type="dxa"/>
            <w:vMerge w:val="restart"/>
            <w:shd w:val="clear" w:color="auto" w:fill="FFFFFF" w:themeFill="background1"/>
            <w:vAlign w:val="center"/>
            <w:hideMark/>
          </w:tcPr>
          <w:p w14:paraId="34FEE53D"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0.02*</w:t>
            </w:r>
          </w:p>
          <w:p w14:paraId="31AD3538"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7EE5BBAE" w14:textId="77777777" w:rsidTr="00282204">
        <w:trPr>
          <w:trHeight w:val="550"/>
          <w:jc w:val="center"/>
        </w:trPr>
        <w:tc>
          <w:tcPr>
            <w:tcW w:w="5910" w:type="dxa"/>
            <w:vMerge/>
            <w:shd w:val="clear" w:color="auto" w:fill="FFFFFF" w:themeFill="background1"/>
            <w:vAlign w:val="center"/>
            <w:hideMark/>
          </w:tcPr>
          <w:p w14:paraId="0455C8CE"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6A05276D"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62C68153"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745C293D"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6</w:t>
            </w:r>
          </w:p>
        </w:tc>
        <w:tc>
          <w:tcPr>
            <w:tcW w:w="967" w:type="dxa"/>
            <w:shd w:val="clear" w:color="auto" w:fill="FFFFFF" w:themeFill="background1"/>
            <w:vAlign w:val="center"/>
            <w:hideMark/>
          </w:tcPr>
          <w:p w14:paraId="0EA6EC12"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29</w:t>
            </w:r>
          </w:p>
        </w:tc>
        <w:tc>
          <w:tcPr>
            <w:tcW w:w="876" w:type="dxa"/>
            <w:shd w:val="clear" w:color="auto" w:fill="FFFFFF" w:themeFill="background1"/>
            <w:vAlign w:val="center"/>
            <w:hideMark/>
          </w:tcPr>
          <w:p w14:paraId="34BB190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12</w:t>
            </w:r>
          </w:p>
        </w:tc>
        <w:tc>
          <w:tcPr>
            <w:tcW w:w="882" w:type="dxa"/>
            <w:shd w:val="clear" w:color="auto" w:fill="FFFFFF" w:themeFill="background1"/>
            <w:vAlign w:val="center"/>
            <w:hideMark/>
          </w:tcPr>
          <w:p w14:paraId="08BBD4A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53</w:t>
            </w:r>
          </w:p>
        </w:tc>
        <w:tc>
          <w:tcPr>
            <w:tcW w:w="965" w:type="dxa"/>
            <w:shd w:val="clear" w:color="auto" w:fill="FFFFFF" w:themeFill="background1"/>
            <w:vAlign w:val="center"/>
            <w:hideMark/>
          </w:tcPr>
          <w:p w14:paraId="28D99323"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5 (3-5)</w:t>
            </w:r>
          </w:p>
        </w:tc>
        <w:tc>
          <w:tcPr>
            <w:tcW w:w="897" w:type="dxa"/>
            <w:vMerge/>
            <w:shd w:val="clear" w:color="auto" w:fill="FFFFFF" w:themeFill="background1"/>
            <w:vAlign w:val="center"/>
            <w:hideMark/>
          </w:tcPr>
          <w:p w14:paraId="3DEE6D59"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31E0CA99" w14:textId="77777777" w:rsidTr="00282204">
        <w:trPr>
          <w:trHeight w:val="262"/>
          <w:jc w:val="center"/>
        </w:trPr>
        <w:tc>
          <w:tcPr>
            <w:tcW w:w="5910" w:type="dxa"/>
            <w:vMerge w:val="restart"/>
            <w:shd w:val="clear" w:color="auto" w:fill="FFFFFF" w:themeFill="background1"/>
            <w:vAlign w:val="center"/>
            <w:hideMark/>
          </w:tcPr>
          <w:p w14:paraId="4E5E05EF"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are able to independently prescribe cost-effectively</w:t>
            </w:r>
          </w:p>
          <w:p w14:paraId="08168841"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000000"/>
                <w:sz w:val="18"/>
                <w:szCs w:val="18"/>
              </w:rPr>
              <w:t> </w:t>
            </w:r>
          </w:p>
        </w:tc>
        <w:tc>
          <w:tcPr>
            <w:tcW w:w="1320" w:type="dxa"/>
            <w:shd w:val="clear" w:color="auto" w:fill="FFFFFF" w:themeFill="background1"/>
            <w:vAlign w:val="center"/>
            <w:hideMark/>
          </w:tcPr>
          <w:p w14:paraId="6375E4B3"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3CD3A4F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w:t>
            </w:r>
          </w:p>
        </w:tc>
        <w:tc>
          <w:tcPr>
            <w:tcW w:w="917" w:type="dxa"/>
            <w:shd w:val="clear" w:color="auto" w:fill="FFFFFF" w:themeFill="background1"/>
            <w:vAlign w:val="center"/>
            <w:hideMark/>
          </w:tcPr>
          <w:p w14:paraId="1E6D17FD"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10</w:t>
            </w:r>
          </w:p>
        </w:tc>
        <w:tc>
          <w:tcPr>
            <w:tcW w:w="967" w:type="dxa"/>
            <w:shd w:val="clear" w:color="auto" w:fill="FFFFFF" w:themeFill="background1"/>
            <w:vAlign w:val="center"/>
            <w:hideMark/>
          </w:tcPr>
          <w:p w14:paraId="5A3E007A"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24</w:t>
            </w:r>
          </w:p>
        </w:tc>
        <w:tc>
          <w:tcPr>
            <w:tcW w:w="876" w:type="dxa"/>
            <w:shd w:val="clear" w:color="auto" w:fill="FFFFFF" w:themeFill="background1"/>
            <w:vAlign w:val="center"/>
            <w:hideMark/>
          </w:tcPr>
          <w:p w14:paraId="17A531AC"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53</w:t>
            </w:r>
          </w:p>
        </w:tc>
        <w:tc>
          <w:tcPr>
            <w:tcW w:w="882" w:type="dxa"/>
            <w:shd w:val="clear" w:color="auto" w:fill="FFFFFF" w:themeFill="background1"/>
            <w:vAlign w:val="center"/>
            <w:hideMark/>
          </w:tcPr>
          <w:p w14:paraId="376F55CC"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10</w:t>
            </w:r>
          </w:p>
        </w:tc>
        <w:tc>
          <w:tcPr>
            <w:tcW w:w="965" w:type="dxa"/>
            <w:shd w:val="clear" w:color="auto" w:fill="FFFFFF" w:themeFill="background1"/>
            <w:vAlign w:val="center"/>
            <w:hideMark/>
          </w:tcPr>
          <w:p w14:paraId="453B436F"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(3-4)</w:t>
            </w:r>
          </w:p>
        </w:tc>
        <w:tc>
          <w:tcPr>
            <w:tcW w:w="897" w:type="dxa"/>
            <w:vMerge w:val="restart"/>
            <w:shd w:val="clear" w:color="auto" w:fill="FFFFFF" w:themeFill="background1"/>
            <w:vAlign w:val="center"/>
            <w:hideMark/>
          </w:tcPr>
          <w:p w14:paraId="0D96C86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0.18</w:t>
            </w:r>
          </w:p>
          <w:p w14:paraId="6C91D68D"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7268418C" w14:textId="77777777" w:rsidTr="00282204">
        <w:trPr>
          <w:trHeight w:val="451"/>
          <w:jc w:val="center"/>
        </w:trPr>
        <w:tc>
          <w:tcPr>
            <w:tcW w:w="5910" w:type="dxa"/>
            <w:vMerge/>
            <w:shd w:val="clear" w:color="auto" w:fill="FFFFFF" w:themeFill="background1"/>
            <w:vAlign w:val="center"/>
            <w:hideMark/>
          </w:tcPr>
          <w:p w14:paraId="17C90E4D" w14:textId="77777777" w:rsidR="00821B82" w:rsidRPr="00C96F66" w:rsidRDefault="00821B82" w:rsidP="00282204">
            <w:pPr>
              <w:spacing w:after="0" w:line="240" w:lineRule="auto"/>
              <w:rPr>
                <w:rFonts w:asciiTheme="minorBidi" w:eastAsia="Times New Roman" w:hAnsiTheme="minorBidi"/>
                <w:color w:val="000000"/>
                <w:sz w:val="18"/>
                <w:szCs w:val="18"/>
              </w:rPr>
            </w:pPr>
          </w:p>
        </w:tc>
        <w:tc>
          <w:tcPr>
            <w:tcW w:w="1320" w:type="dxa"/>
            <w:shd w:val="clear" w:color="auto" w:fill="FFFFFF" w:themeFill="background1"/>
            <w:vAlign w:val="center"/>
            <w:hideMark/>
          </w:tcPr>
          <w:p w14:paraId="173654BA"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shd w:val="clear" w:color="auto" w:fill="FFFFFF" w:themeFill="background1"/>
            <w:vAlign w:val="center"/>
            <w:hideMark/>
          </w:tcPr>
          <w:p w14:paraId="1A5D1241"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shd w:val="clear" w:color="auto" w:fill="FFFFFF" w:themeFill="background1"/>
            <w:vAlign w:val="center"/>
            <w:hideMark/>
          </w:tcPr>
          <w:p w14:paraId="7F92014E"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18</w:t>
            </w:r>
          </w:p>
        </w:tc>
        <w:tc>
          <w:tcPr>
            <w:tcW w:w="967" w:type="dxa"/>
            <w:shd w:val="clear" w:color="auto" w:fill="FFFFFF" w:themeFill="background1"/>
            <w:vAlign w:val="center"/>
            <w:hideMark/>
          </w:tcPr>
          <w:p w14:paraId="1F49084C"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18</w:t>
            </w:r>
          </w:p>
        </w:tc>
        <w:tc>
          <w:tcPr>
            <w:tcW w:w="876" w:type="dxa"/>
            <w:shd w:val="clear" w:color="auto" w:fill="FFFFFF" w:themeFill="background1"/>
            <w:vAlign w:val="center"/>
            <w:hideMark/>
          </w:tcPr>
          <w:p w14:paraId="4FD001EF"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35</w:t>
            </w:r>
          </w:p>
        </w:tc>
        <w:tc>
          <w:tcPr>
            <w:tcW w:w="882" w:type="dxa"/>
            <w:shd w:val="clear" w:color="auto" w:fill="FFFFFF" w:themeFill="background1"/>
            <w:vAlign w:val="center"/>
            <w:hideMark/>
          </w:tcPr>
          <w:p w14:paraId="79E6FBBF"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29</w:t>
            </w:r>
          </w:p>
        </w:tc>
        <w:tc>
          <w:tcPr>
            <w:tcW w:w="965" w:type="dxa"/>
            <w:shd w:val="clear" w:color="auto" w:fill="FFFFFF" w:themeFill="background1"/>
            <w:vAlign w:val="center"/>
            <w:hideMark/>
          </w:tcPr>
          <w:p w14:paraId="2D54CAFE"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(3-5)</w:t>
            </w:r>
          </w:p>
        </w:tc>
        <w:tc>
          <w:tcPr>
            <w:tcW w:w="897" w:type="dxa"/>
            <w:vMerge/>
            <w:shd w:val="clear" w:color="auto" w:fill="FFFFFF" w:themeFill="background1"/>
            <w:vAlign w:val="center"/>
            <w:hideMark/>
          </w:tcPr>
          <w:p w14:paraId="28FC4ED0"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02788859" w14:textId="77777777" w:rsidTr="00282204">
        <w:trPr>
          <w:trHeight w:val="394"/>
          <w:jc w:val="center"/>
        </w:trPr>
        <w:tc>
          <w:tcPr>
            <w:tcW w:w="5910" w:type="dxa"/>
            <w:vMerge w:val="restart"/>
            <w:shd w:val="clear" w:color="auto" w:fill="FFFFFF" w:themeFill="background1"/>
            <w:vAlign w:val="center"/>
            <w:hideMark/>
          </w:tcPr>
          <w:p w14:paraId="24A79CB6"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264A60"/>
                <w:sz w:val="18"/>
                <w:szCs w:val="18"/>
              </w:rPr>
              <w:t>Pharmacists are able to independently prescribe safely</w:t>
            </w:r>
          </w:p>
          <w:p w14:paraId="4D33A78A" w14:textId="77777777" w:rsidR="00821B82" w:rsidRPr="00C96F66" w:rsidRDefault="00821B82" w:rsidP="00282204">
            <w:pPr>
              <w:spacing w:after="0" w:line="240" w:lineRule="auto"/>
              <w:rPr>
                <w:rFonts w:asciiTheme="minorBidi" w:eastAsia="Times New Roman" w:hAnsiTheme="minorBidi"/>
                <w:color w:val="264A60"/>
                <w:sz w:val="18"/>
                <w:szCs w:val="18"/>
              </w:rPr>
            </w:pPr>
            <w:r w:rsidRPr="00C96F66">
              <w:rPr>
                <w:rFonts w:asciiTheme="minorBidi" w:eastAsia="Times New Roman" w:hAnsiTheme="minorBidi"/>
                <w:color w:val="000000"/>
                <w:sz w:val="18"/>
                <w:szCs w:val="18"/>
              </w:rPr>
              <w:t> </w:t>
            </w:r>
          </w:p>
        </w:tc>
        <w:tc>
          <w:tcPr>
            <w:tcW w:w="1320" w:type="dxa"/>
            <w:shd w:val="clear" w:color="auto" w:fill="FFFFFF" w:themeFill="background1"/>
            <w:vAlign w:val="center"/>
            <w:hideMark/>
          </w:tcPr>
          <w:p w14:paraId="51AF4687"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SA</w:t>
            </w:r>
          </w:p>
        </w:tc>
        <w:tc>
          <w:tcPr>
            <w:tcW w:w="934" w:type="dxa"/>
            <w:shd w:val="clear" w:color="auto" w:fill="FFFFFF" w:themeFill="background1"/>
            <w:vAlign w:val="center"/>
            <w:hideMark/>
          </w:tcPr>
          <w:p w14:paraId="4C318A60"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7</w:t>
            </w:r>
          </w:p>
        </w:tc>
        <w:tc>
          <w:tcPr>
            <w:tcW w:w="917" w:type="dxa"/>
            <w:shd w:val="clear" w:color="auto" w:fill="FFFFFF" w:themeFill="background1"/>
            <w:vAlign w:val="center"/>
            <w:hideMark/>
          </w:tcPr>
          <w:p w14:paraId="23965CD8"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14</w:t>
            </w:r>
          </w:p>
        </w:tc>
        <w:tc>
          <w:tcPr>
            <w:tcW w:w="967" w:type="dxa"/>
            <w:shd w:val="clear" w:color="auto" w:fill="FFFFFF" w:themeFill="background1"/>
            <w:vAlign w:val="center"/>
            <w:hideMark/>
          </w:tcPr>
          <w:p w14:paraId="5A748762"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26</w:t>
            </w:r>
          </w:p>
        </w:tc>
        <w:tc>
          <w:tcPr>
            <w:tcW w:w="876" w:type="dxa"/>
            <w:shd w:val="clear" w:color="auto" w:fill="FFFFFF" w:themeFill="background1"/>
            <w:vAlign w:val="center"/>
            <w:hideMark/>
          </w:tcPr>
          <w:p w14:paraId="437AAE4A"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40</w:t>
            </w:r>
          </w:p>
        </w:tc>
        <w:tc>
          <w:tcPr>
            <w:tcW w:w="882" w:type="dxa"/>
            <w:shd w:val="clear" w:color="auto" w:fill="FFFFFF" w:themeFill="background1"/>
            <w:vAlign w:val="center"/>
            <w:hideMark/>
          </w:tcPr>
          <w:p w14:paraId="547D381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14</w:t>
            </w:r>
          </w:p>
        </w:tc>
        <w:tc>
          <w:tcPr>
            <w:tcW w:w="965" w:type="dxa"/>
            <w:shd w:val="clear" w:color="auto" w:fill="FFFFFF" w:themeFill="background1"/>
            <w:vAlign w:val="center"/>
            <w:hideMark/>
          </w:tcPr>
          <w:p w14:paraId="62DE3AE0"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4 (3-4)</w:t>
            </w:r>
          </w:p>
        </w:tc>
        <w:tc>
          <w:tcPr>
            <w:tcW w:w="897" w:type="dxa"/>
            <w:vMerge w:val="restart"/>
            <w:shd w:val="clear" w:color="auto" w:fill="FFFFFF" w:themeFill="background1"/>
            <w:vAlign w:val="center"/>
            <w:hideMark/>
          </w:tcPr>
          <w:p w14:paraId="02857FC4"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Pr>
                <w:rFonts w:asciiTheme="minorBidi" w:eastAsia="Times New Roman" w:hAnsiTheme="minorBidi"/>
                <w:color w:val="000000"/>
                <w:sz w:val="18"/>
                <w:szCs w:val="18"/>
              </w:rPr>
              <w:t>0.13</w:t>
            </w:r>
          </w:p>
          <w:p w14:paraId="5683344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r w:rsidR="00821B82" w:rsidRPr="00C96F66" w14:paraId="50FF6BD0" w14:textId="77777777" w:rsidTr="00282204">
        <w:trPr>
          <w:trHeight w:val="358"/>
          <w:jc w:val="center"/>
        </w:trPr>
        <w:tc>
          <w:tcPr>
            <w:tcW w:w="5910" w:type="dxa"/>
            <w:vMerge/>
            <w:tcBorders>
              <w:bottom w:val="single" w:sz="4" w:space="0" w:color="auto"/>
            </w:tcBorders>
            <w:shd w:val="clear" w:color="auto" w:fill="FFFFFF" w:themeFill="background1"/>
            <w:vAlign w:val="center"/>
            <w:hideMark/>
          </w:tcPr>
          <w:p w14:paraId="65136392"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c>
          <w:tcPr>
            <w:tcW w:w="1320" w:type="dxa"/>
            <w:tcBorders>
              <w:bottom w:val="single" w:sz="4" w:space="0" w:color="auto"/>
            </w:tcBorders>
            <w:shd w:val="clear" w:color="auto" w:fill="FFFFFF" w:themeFill="background1"/>
            <w:vAlign w:val="center"/>
            <w:hideMark/>
          </w:tcPr>
          <w:p w14:paraId="33DFBC72"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Other</w:t>
            </w:r>
          </w:p>
        </w:tc>
        <w:tc>
          <w:tcPr>
            <w:tcW w:w="934" w:type="dxa"/>
            <w:tcBorders>
              <w:bottom w:val="single" w:sz="4" w:space="0" w:color="auto"/>
            </w:tcBorders>
            <w:shd w:val="clear" w:color="auto" w:fill="FFFFFF" w:themeFill="background1"/>
            <w:vAlign w:val="center"/>
            <w:hideMark/>
          </w:tcPr>
          <w:p w14:paraId="294D3B2E"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0</w:t>
            </w:r>
          </w:p>
        </w:tc>
        <w:tc>
          <w:tcPr>
            <w:tcW w:w="917" w:type="dxa"/>
            <w:tcBorders>
              <w:bottom w:val="single" w:sz="4" w:space="0" w:color="auto"/>
            </w:tcBorders>
            <w:shd w:val="clear" w:color="auto" w:fill="FFFFFF" w:themeFill="background1"/>
            <w:vAlign w:val="center"/>
            <w:hideMark/>
          </w:tcPr>
          <w:p w14:paraId="12E41E6B"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35</w:t>
            </w:r>
          </w:p>
        </w:tc>
        <w:tc>
          <w:tcPr>
            <w:tcW w:w="967" w:type="dxa"/>
            <w:tcBorders>
              <w:bottom w:val="single" w:sz="4" w:space="0" w:color="auto"/>
            </w:tcBorders>
            <w:shd w:val="clear" w:color="auto" w:fill="FFFFFF" w:themeFill="background1"/>
            <w:vAlign w:val="center"/>
            <w:hideMark/>
          </w:tcPr>
          <w:p w14:paraId="546FA604"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18</w:t>
            </w:r>
          </w:p>
        </w:tc>
        <w:tc>
          <w:tcPr>
            <w:tcW w:w="876" w:type="dxa"/>
            <w:tcBorders>
              <w:bottom w:val="single" w:sz="4" w:space="0" w:color="auto"/>
            </w:tcBorders>
            <w:shd w:val="clear" w:color="auto" w:fill="FFFFFF" w:themeFill="background1"/>
            <w:vAlign w:val="center"/>
            <w:hideMark/>
          </w:tcPr>
          <w:p w14:paraId="5A40DBAA"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24</w:t>
            </w:r>
          </w:p>
        </w:tc>
        <w:tc>
          <w:tcPr>
            <w:tcW w:w="882" w:type="dxa"/>
            <w:tcBorders>
              <w:bottom w:val="single" w:sz="4" w:space="0" w:color="auto"/>
            </w:tcBorders>
            <w:shd w:val="clear" w:color="auto" w:fill="FFFFFF" w:themeFill="background1"/>
            <w:vAlign w:val="center"/>
            <w:hideMark/>
          </w:tcPr>
          <w:p w14:paraId="0537FE66" w14:textId="77777777" w:rsidR="00821B82" w:rsidRPr="00C96F66" w:rsidRDefault="00821B82" w:rsidP="00282204">
            <w:pPr>
              <w:spacing w:after="0" w:line="240" w:lineRule="auto"/>
              <w:jc w:val="center"/>
              <w:rPr>
                <w:rFonts w:asciiTheme="minorBidi" w:eastAsia="Times New Roman" w:hAnsiTheme="minorBidi"/>
                <w:color w:val="010205"/>
                <w:sz w:val="18"/>
                <w:szCs w:val="18"/>
              </w:rPr>
            </w:pPr>
            <w:r w:rsidRPr="00C96F66">
              <w:rPr>
                <w:rFonts w:asciiTheme="minorBidi" w:eastAsia="Times New Roman" w:hAnsiTheme="minorBidi"/>
                <w:color w:val="010205"/>
                <w:sz w:val="18"/>
                <w:szCs w:val="18"/>
              </w:rPr>
              <w:t>24</w:t>
            </w:r>
          </w:p>
        </w:tc>
        <w:tc>
          <w:tcPr>
            <w:tcW w:w="965" w:type="dxa"/>
            <w:tcBorders>
              <w:bottom w:val="single" w:sz="4" w:space="0" w:color="auto"/>
            </w:tcBorders>
            <w:shd w:val="clear" w:color="auto" w:fill="FFFFFF" w:themeFill="background1"/>
            <w:vAlign w:val="center"/>
            <w:hideMark/>
          </w:tcPr>
          <w:p w14:paraId="50274946"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r w:rsidRPr="00C96F66">
              <w:rPr>
                <w:rFonts w:asciiTheme="minorBidi" w:eastAsia="Times New Roman" w:hAnsiTheme="minorBidi"/>
                <w:color w:val="000000"/>
                <w:sz w:val="18"/>
                <w:szCs w:val="18"/>
              </w:rPr>
              <w:t>3 (2-4)</w:t>
            </w:r>
          </w:p>
        </w:tc>
        <w:tc>
          <w:tcPr>
            <w:tcW w:w="897" w:type="dxa"/>
            <w:vMerge/>
            <w:tcBorders>
              <w:bottom w:val="single" w:sz="4" w:space="0" w:color="auto"/>
            </w:tcBorders>
            <w:shd w:val="clear" w:color="auto" w:fill="FFFFFF" w:themeFill="background1"/>
            <w:vAlign w:val="center"/>
            <w:hideMark/>
          </w:tcPr>
          <w:p w14:paraId="0E32E171" w14:textId="77777777" w:rsidR="00821B82" w:rsidRPr="00C96F66" w:rsidRDefault="00821B82" w:rsidP="00282204">
            <w:pPr>
              <w:spacing w:after="0" w:line="240" w:lineRule="auto"/>
              <w:jc w:val="center"/>
              <w:rPr>
                <w:rFonts w:asciiTheme="minorBidi" w:eastAsia="Times New Roman" w:hAnsiTheme="minorBidi"/>
                <w:color w:val="000000"/>
                <w:sz w:val="18"/>
                <w:szCs w:val="18"/>
              </w:rPr>
            </w:pPr>
          </w:p>
        </w:tc>
      </w:tr>
    </w:tbl>
    <w:p w14:paraId="71D7FA81" w14:textId="77777777" w:rsidR="00821B82" w:rsidRPr="00264998" w:rsidRDefault="00821B82" w:rsidP="00821B82">
      <w:pPr>
        <w:spacing w:after="0" w:line="360" w:lineRule="auto"/>
        <w:rPr>
          <w:rFonts w:asciiTheme="minorBidi" w:hAnsiTheme="minorBidi"/>
          <w:sz w:val="16"/>
          <w:szCs w:val="16"/>
          <w:shd w:val="clear" w:color="auto" w:fill="FFFFFF"/>
        </w:rPr>
      </w:pPr>
      <w:r w:rsidRPr="00264998">
        <w:rPr>
          <w:rFonts w:asciiTheme="minorBidi" w:hAnsiTheme="minorBidi"/>
          <w:sz w:val="16"/>
          <w:szCs w:val="16"/>
          <w:shd w:val="clear" w:color="auto" w:fill="FFFFFF"/>
        </w:rPr>
        <w:t xml:space="preserve">* P &lt; 0.05: statistically significant, IQR: </w:t>
      </w:r>
      <w:r w:rsidRPr="00264998">
        <w:rPr>
          <w:rFonts w:asciiTheme="minorBidi" w:eastAsia="Times New Roman" w:hAnsiTheme="minorBidi"/>
          <w:color w:val="000000"/>
          <w:sz w:val="16"/>
          <w:szCs w:val="16"/>
        </w:rPr>
        <w:t>Interquartile Range, responses (1=Strongly disagree, 2=Disagree, 3=Neither agree nor disagree, 4=Agree, 5=Strongly agree)</w:t>
      </w:r>
    </w:p>
    <w:p w14:paraId="05B20EF1"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1AF3F291"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1BAD754D"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6879CF88"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241B75F7"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4C894B3D"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4A183A14"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1E78DFB8"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1E2B5024"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7EAE34B0"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r>
        <w:rPr>
          <w:noProof/>
        </w:rPr>
        <w:drawing>
          <wp:inline distT="0" distB="0" distL="0" distR="0" wp14:anchorId="50096EFF" wp14:editId="14F406B4">
            <wp:extent cx="8600303" cy="5140411"/>
            <wp:effectExtent l="0" t="0" r="10795" b="3175"/>
            <wp:docPr id="526716456" name="Chart 526716456">
              <a:extLst xmlns:a="http://schemas.openxmlformats.org/drawingml/2006/main">
                <a:ext uri="{FF2B5EF4-FFF2-40B4-BE49-F238E27FC236}">
                  <a16:creationId xmlns:a16="http://schemas.microsoft.com/office/drawing/2014/main" id="{9CA55BD8-5E42-5691-01FB-BFC1E0294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284C4E" w14:textId="77777777" w:rsidR="00821B82" w:rsidRDefault="00821B82" w:rsidP="00821B82">
      <w:pPr>
        <w:pStyle w:val="Caption"/>
        <w:rPr>
          <w:sz w:val="20"/>
          <w:szCs w:val="20"/>
        </w:rPr>
      </w:pPr>
    </w:p>
    <w:p w14:paraId="4293149F" w14:textId="77777777" w:rsidR="00FE7410" w:rsidRDefault="00821B82" w:rsidP="00FE7410">
      <w:pPr>
        <w:pStyle w:val="Caption"/>
      </w:pPr>
      <w:r>
        <w:rPr>
          <w:noProof/>
        </w:rPr>
        <w:drawing>
          <wp:inline distT="0" distB="0" distL="0" distR="0" wp14:anchorId="70B1E79A" wp14:editId="740EF255">
            <wp:extent cx="8649730" cy="5189838"/>
            <wp:effectExtent l="0" t="0" r="18415" b="11430"/>
            <wp:docPr id="28" name="Chart 28">
              <a:extLst xmlns:a="http://schemas.openxmlformats.org/drawingml/2006/main">
                <a:ext uri="{FF2B5EF4-FFF2-40B4-BE49-F238E27FC236}">
                  <a16:creationId xmlns:a16="http://schemas.microsoft.com/office/drawing/2014/main" id="{4EABD47D-F892-D5B6-963E-2E5C35AC1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1043CA8" w14:textId="035DDA79" w:rsidR="00821B82" w:rsidRPr="00FE7410" w:rsidRDefault="00821B82" w:rsidP="00FE7410">
      <w:pPr>
        <w:pStyle w:val="Caption"/>
      </w:pPr>
      <w:bookmarkStart w:id="218" w:name="_Ref148519420"/>
      <w:bookmarkStart w:id="219" w:name="_Toc153894799"/>
      <w:r>
        <w:t xml:space="preserve">Figure </w:t>
      </w:r>
      <w:fldSimple w:instr=" SEQ Figure \* ARABIC ">
        <w:r w:rsidR="000507B7">
          <w:rPr>
            <w:noProof/>
          </w:rPr>
          <w:t>11</w:t>
        </w:r>
      </w:fldSimple>
      <w:bookmarkEnd w:id="218"/>
      <w:r w:rsidRPr="000A520F">
        <w:rPr>
          <w:sz w:val="20"/>
          <w:szCs w:val="20"/>
        </w:rPr>
        <w:t>: Respondents' views according to the country issuing their qualifications; Views on Potential Impact of Pharmacist Involvement in Diabetes Care</w:t>
      </w:r>
      <w:bookmarkStart w:id="220" w:name="_Ref122399927"/>
      <w:bookmarkEnd w:id="219"/>
      <w:r w:rsidRPr="009C0668">
        <w:rPr>
          <w:sz w:val="20"/>
          <w:szCs w:val="20"/>
        </w:rPr>
        <w:t xml:space="preserve"> </w:t>
      </w:r>
    </w:p>
    <w:bookmarkEnd w:id="220"/>
    <w:p w14:paraId="0A97B74D"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795FB646"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sectPr w:rsidR="00821B82" w:rsidSect="00282204">
          <w:pgSz w:w="15840" w:h="12240" w:orient="landscape"/>
          <w:pgMar w:top="1440" w:right="1440" w:bottom="1440" w:left="1440" w:header="720" w:footer="720" w:gutter="0"/>
          <w:cols w:space="720"/>
          <w:docGrid w:linePitch="360"/>
        </w:sectPr>
      </w:pPr>
    </w:p>
    <w:p w14:paraId="67E08933" w14:textId="77777777" w:rsidR="00821B82" w:rsidRDefault="00821B82" w:rsidP="00821B82">
      <w:pPr>
        <w:tabs>
          <w:tab w:val="left" w:pos="1680"/>
        </w:tabs>
      </w:pPr>
    </w:p>
    <w:p w14:paraId="2BFC476A" w14:textId="77777777" w:rsidR="00821B82" w:rsidRPr="003954A6" w:rsidRDefault="00821B82" w:rsidP="00821B82">
      <w:pPr>
        <w:pStyle w:val="Heading4"/>
        <w:numPr>
          <w:ilvl w:val="3"/>
          <w:numId w:val="14"/>
        </w:numPr>
        <w:tabs>
          <w:tab w:val="left" w:pos="810"/>
        </w:tabs>
        <w:spacing w:line="240" w:lineRule="auto"/>
        <w:rPr>
          <w:rFonts w:asciiTheme="minorBidi" w:hAnsiTheme="minorBidi" w:cstheme="minorBidi"/>
          <w:sz w:val="24"/>
          <w:szCs w:val="24"/>
        </w:rPr>
      </w:pPr>
      <w:r w:rsidRPr="003954A6">
        <w:rPr>
          <w:rFonts w:asciiTheme="minorBidi" w:hAnsiTheme="minorBidi" w:cstheme="minorBidi"/>
          <w:sz w:val="24"/>
          <w:szCs w:val="24"/>
        </w:rPr>
        <w:t>Impact of health professionals’ years of experience on opinions toward pharmacist involvement in diabetes management</w:t>
      </w:r>
    </w:p>
    <w:p w14:paraId="084C77D7" w14:textId="77777777" w:rsidR="00821B82" w:rsidRPr="00CC5A0D" w:rsidRDefault="00821B82" w:rsidP="00821B82">
      <w:pPr>
        <w:spacing w:after="0" w:line="360" w:lineRule="auto"/>
        <w:rPr>
          <w:rFonts w:asciiTheme="minorBidi" w:eastAsia="Times New Roman" w:hAnsiTheme="minorBidi"/>
          <w:color w:val="32363A"/>
          <w:sz w:val="24"/>
          <w:szCs w:val="24"/>
          <w:shd w:val="clear" w:color="auto" w:fill="FFFFFF"/>
        </w:rPr>
      </w:pPr>
    </w:p>
    <w:p w14:paraId="789E2DC5" w14:textId="464A72C2" w:rsidR="00821B82" w:rsidRDefault="00821B82" w:rsidP="00821B82">
      <w:pPr>
        <w:spacing w:line="360" w:lineRule="auto"/>
        <w:jc w:val="both"/>
        <w:rPr>
          <w:rFonts w:asciiTheme="minorBidi" w:eastAsia="Times New Roman" w:hAnsiTheme="minorBidi"/>
          <w:color w:val="32363A"/>
          <w:sz w:val="24"/>
          <w:szCs w:val="24"/>
          <w:shd w:val="clear" w:color="auto" w:fill="FFFFFF"/>
        </w:rPr>
      </w:pPr>
      <w:r w:rsidRPr="0016271E">
        <w:rPr>
          <w:rFonts w:asciiTheme="minorBidi" w:eastAsia="Times New Roman" w:hAnsiTheme="minorBidi"/>
          <w:color w:val="32363A"/>
          <w:sz w:val="24"/>
          <w:szCs w:val="24"/>
          <w:shd w:val="clear" w:color="auto" w:fill="FFFFFF"/>
        </w:rPr>
        <w:t>To investigate the</w:t>
      </w:r>
      <w:r>
        <w:rPr>
          <w:rFonts w:asciiTheme="minorBidi" w:eastAsia="Times New Roman" w:hAnsiTheme="minorBidi"/>
          <w:color w:val="32363A"/>
          <w:sz w:val="24"/>
          <w:szCs w:val="24"/>
          <w:shd w:val="clear" w:color="auto" w:fill="FFFFFF"/>
        </w:rPr>
        <w:t xml:space="preserve"> effect of</w:t>
      </w:r>
      <w:r w:rsidRPr="0016271E">
        <w:rPr>
          <w:rFonts w:asciiTheme="minorBidi" w:eastAsia="Times New Roman" w:hAnsiTheme="minorBidi"/>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the ‘</w:t>
      </w:r>
      <w:r w:rsidRPr="0016271E">
        <w:rPr>
          <w:rFonts w:asciiTheme="minorBidi" w:eastAsia="Times New Roman" w:hAnsiTheme="minorBidi"/>
          <w:color w:val="32363A"/>
          <w:sz w:val="24"/>
          <w:szCs w:val="24"/>
          <w:shd w:val="clear" w:color="auto" w:fill="FFFFFF"/>
        </w:rPr>
        <w:t>years of experience</w:t>
      </w:r>
      <w:r>
        <w:rPr>
          <w:rFonts w:asciiTheme="minorBidi" w:eastAsia="Times New Roman" w:hAnsiTheme="minorBidi"/>
          <w:color w:val="32363A"/>
          <w:sz w:val="24"/>
          <w:szCs w:val="24"/>
          <w:shd w:val="clear" w:color="auto" w:fill="FFFFFF"/>
        </w:rPr>
        <w:t>’</w:t>
      </w:r>
      <w:r w:rsidRPr="0016271E">
        <w:rPr>
          <w:rFonts w:asciiTheme="minorBidi" w:eastAsia="Times New Roman" w:hAnsiTheme="minorBidi"/>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variable</w:t>
      </w:r>
      <w:r w:rsidRPr="0016271E">
        <w:rPr>
          <w:rFonts w:asciiTheme="minorBidi" w:eastAsia="Times New Roman" w:hAnsiTheme="minorBidi"/>
          <w:color w:val="32363A"/>
          <w:sz w:val="24"/>
          <w:szCs w:val="24"/>
          <w:shd w:val="clear" w:color="auto" w:fill="FFFFFF"/>
        </w:rPr>
        <w:t xml:space="preserve"> on participants' responses to </w:t>
      </w:r>
      <w:r>
        <w:rPr>
          <w:rFonts w:asciiTheme="minorBidi" w:eastAsia="Times New Roman" w:hAnsiTheme="minorBidi"/>
          <w:color w:val="32363A"/>
          <w:sz w:val="24"/>
          <w:szCs w:val="24"/>
          <w:shd w:val="clear" w:color="auto" w:fill="FFFFFF"/>
        </w:rPr>
        <w:t xml:space="preserve">statements related to potential impacts of pharmacist </w:t>
      </w:r>
      <w:r w:rsidRPr="0016271E">
        <w:rPr>
          <w:rFonts w:asciiTheme="minorBidi" w:eastAsia="Times New Roman" w:hAnsiTheme="minorBidi"/>
          <w:color w:val="32363A"/>
          <w:sz w:val="24"/>
          <w:szCs w:val="24"/>
          <w:shd w:val="clear" w:color="auto" w:fill="FFFFFF"/>
        </w:rPr>
        <w:t xml:space="preserve">involvement in diabetes care in </w:t>
      </w:r>
      <w:r>
        <w:rPr>
          <w:rFonts w:asciiTheme="minorBidi" w:eastAsia="Times New Roman" w:hAnsiTheme="minorBidi"/>
          <w:color w:val="32363A"/>
          <w:sz w:val="24"/>
          <w:szCs w:val="24"/>
          <w:shd w:val="clear" w:color="auto" w:fill="FFFFFF"/>
        </w:rPr>
        <w:t>PHCs</w:t>
      </w:r>
      <w:r w:rsidRPr="0016271E">
        <w:rPr>
          <w:rFonts w:asciiTheme="minorBidi" w:eastAsia="Times New Roman" w:hAnsiTheme="minorBidi"/>
          <w:color w:val="32363A"/>
          <w:sz w:val="24"/>
          <w:szCs w:val="24"/>
          <w:shd w:val="clear" w:color="auto" w:fill="FFFFFF"/>
        </w:rPr>
        <w:t xml:space="preserve">, crosstabulation </w:t>
      </w:r>
      <w:r>
        <w:rPr>
          <w:rFonts w:asciiTheme="minorBidi" w:eastAsia="Times New Roman" w:hAnsiTheme="minorBidi"/>
          <w:color w:val="32363A"/>
          <w:sz w:val="24"/>
          <w:szCs w:val="24"/>
          <w:shd w:val="clear" w:color="auto" w:fill="FFFFFF"/>
        </w:rPr>
        <w:t xml:space="preserve">analysis </w:t>
      </w:r>
      <w:r w:rsidRPr="0016271E">
        <w:rPr>
          <w:rFonts w:asciiTheme="minorBidi" w:eastAsia="Times New Roman" w:hAnsiTheme="minorBidi"/>
          <w:color w:val="32363A"/>
          <w:sz w:val="24"/>
          <w:szCs w:val="24"/>
          <w:shd w:val="clear" w:color="auto" w:fill="FFFFFF"/>
        </w:rPr>
        <w:t xml:space="preserve">was </w:t>
      </w:r>
      <w:r>
        <w:rPr>
          <w:rFonts w:asciiTheme="minorBidi" w:eastAsia="Times New Roman" w:hAnsiTheme="minorBidi"/>
          <w:color w:val="32363A"/>
          <w:sz w:val="24"/>
          <w:szCs w:val="24"/>
          <w:shd w:val="clear" w:color="auto" w:fill="FFFFFF"/>
        </w:rPr>
        <w:t>performed</w:t>
      </w:r>
      <w:r w:rsidRPr="0016271E">
        <w:rPr>
          <w:rFonts w:asciiTheme="minorBidi" w:eastAsia="Times New Roman" w:hAnsiTheme="minorBidi"/>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 xml:space="preserve">on </w:t>
      </w:r>
      <w:r w:rsidRPr="0016271E">
        <w:rPr>
          <w:rFonts w:asciiTheme="minorBidi" w:eastAsia="Times New Roman" w:hAnsiTheme="minorBidi"/>
          <w:color w:val="32363A"/>
          <w:sz w:val="24"/>
          <w:szCs w:val="24"/>
          <w:shd w:val="clear" w:color="auto" w:fill="FFFFFF"/>
        </w:rPr>
        <w:t>these variables</w:t>
      </w:r>
      <w:r>
        <w:rPr>
          <w:rFonts w:asciiTheme="minorBidi" w:eastAsia="Times New Roman" w:hAnsiTheme="minorBidi"/>
          <w:color w:val="32363A"/>
          <w:sz w:val="24"/>
          <w:szCs w:val="24"/>
          <w:shd w:val="clear" w:color="auto" w:fill="FFFFFF"/>
        </w:rPr>
        <w:t xml:space="preserve">. </w:t>
      </w:r>
      <w:r w:rsidRPr="005A67C9">
        <w:rPr>
          <w:rFonts w:asciiTheme="minorBidi" w:eastAsia="Times New Roman" w:hAnsiTheme="minorBidi"/>
          <w:color w:val="1F3864" w:themeColor="accent1" w:themeShade="80"/>
          <w:sz w:val="24"/>
          <w:szCs w:val="24"/>
          <w:shd w:val="clear" w:color="auto" w:fill="FFFFFF"/>
        </w:rPr>
        <w:fldChar w:fldCharType="begin"/>
      </w:r>
      <w:r w:rsidRPr="005A67C9">
        <w:rPr>
          <w:rFonts w:asciiTheme="minorBidi" w:eastAsia="Times New Roman" w:hAnsiTheme="minorBidi"/>
          <w:color w:val="1F3864" w:themeColor="accent1" w:themeShade="80"/>
          <w:sz w:val="24"/>
          <w:szCs w:val="24"/>
          <w:shd w:val="clear" w:color="auto" w:fill="FFFFFF"/>
        </w:rPr>
        <w:instrText xml:space="preserve"> REF _Ref107316074 \h  \* MERGEFORMAT </w:instrText>
      </w:r>
      <w:r w:rsidRPr="005A67C9">
        <w:rPr>
          <w:rFonts w:asciiTheme="minorBidi" w:eastAsia="Times New Roman" w:hAnsiTheme="minorBidi"/>
          <w:color w:val="1F3864" w:themeColor="accent1" w:themeShade="80"/>
          <w:sz w:val="24"/>
          <w:szCs w:val="24"/>
          <w:shd w:val="clear" w:color="auto" w:fill="FFFFFF"/>
        </w:rPr>
      </w:r>
      <w:r w:rsidRPr="005A67C9">
        <w:rPr>
          <w:rFonts w:asciiTheme="minorBidi" w:eastAsia="Times New Roman" w:hAnsiTheme="minorBidi"/>
          <w:color w:val="1F3864" w:themeColor="accent1" w:themeShade="80"/>
          <w:sz w:val="24"/>
          <w:szCs w:val="24"/>
          <w:shd w:val="clear" w:color="auto" w:fill="FFFFFF"/>
        </w:rPr>
        <w:fldChar w:fldCharType="separate"/>
      </w:r>
      <w:r w:rsidR="0079046D" w:rsidRPr="0079046D">
        <w:rPr>
          <w:rFonts w:asciiTheme="minorBidi" w:eastAsia="Times New Roman" w:hAnsiTheme="minorBidi"/>
          <w:color w:val="1F3864" w:themeColor="accent1" w:themeShade="80"/>
          <w:sz w:val="24"/>
          <w:szCs w:val="24"/>
          <w:shd w:val="clear" w:color="auto" w:fill="FFFFFF"/>
        </w:rPr>
        <w:t>Table 23</w:t>
      </w:r>
      <w:r w:rsidRPr="005A67C9">
        <w:rPr>
          <w:rFonts w:asciiTheme="minorBidi" w:eastAsia="Times New Roman" w:hAnsiTheme="minorBidi"/>
          <w:color w:val="1F3864" w:themeColor="accent1" w:themeShade="80"/>
          <w:sz w:val="24"/>
          <w:szCs w:val="24"/>
          <w:shd w:val="clear" w:color="auto" w:fill="FFFFFF"/>
        </w:rPr>
        <w:fldChar w:fldCharType="end"/>
      </w:r>
      <w:r>
        <w:rPr>
          <w:rFonts w:asciiTheme="minorBidi" w:eastAsia="Times New Roman" w:hAnsiTheme="minorBidi"/>
          <w:color w:val="32363A"/>
          <w:sz w:val="24"/>
          <w:szCs w:val="24"/>
          <w:shd w:val="clear" w:color="auto" w:fill="FFFFFF"/>
        </w:rPr>
        <w:t xml:space="preserve"> </w:t>
      </w:r>
      <w:r w:rsidRPr="0016271E">
        <w:rPr>
          <w:rFonts w:asciiTheme="minorBidi" w:eastAsia="Times New Roman" w:hAnsiTheme="minorBidi"/>
          <w:color w:val="32363A"/>
          <w:sz w:val="24"/>
          <w:szCs w:val="24"/>
          <w:shd w:val="clear" w:color="auto" w:fill="FFFFFF"/>
        </w:rPr>
        <w:t xml:space="preserve">compares the difference between the years of experience of </w:t>
      </w:r>
      <w:r>
        <w:rPr>
          <w:rFonts w:asciiTheme="minorBidi" w:eastAsia="Times New Roman" w:hAnsiTheme="minorBidi"/>
          <w:color w:val="32363A"/>
          <w:sz w:val="24"/>
          <w:szCs w:val="24"/>
          <w:shd w:val="clear" w:color="auto" w:fill="FFFFFF"/>
        </w:rPr>
        <w:t>HCPs</w:t>
      </w:r>
      <w:r w:rsidRPr="0016271E">
        <w:rPr>
          <w:rFonts w:asciiTheme="minorBidi" w:eastAsia="Times New Roman" w:hAnsiTheme="minorBidi"/>
          <w:color w:val="32363A"/>
          <w:sz w:val="24"/>
          <w:szCs w:val="24"/>
          <w:shd w:val="clear" w:color="auto" w:fill="FFFFFF"/>
        </w:rPr>
        <w:t xml:space="preserve"> and their attitudes towards the role of pharmacists in </w:t>
      </w:r>
      <w:r>
        <w:rPr>
          <w:rFonts w:asciiTheme="minorBidi" w:eastAsia="Times New Roman" w:hAnsiTheme="minorBidi"/>
          <w:color w:val="32363A"/>
          <w:sz w:val="24"/>
          <w:szCs w:val="24"/>
          <w:shd w:val="clear" w:color="auto" w:fill="FFFFFF"/>
        </w:rPr>
        <w:t>PHCs</w:t>
      </w:r>
      <w:r w:rsidRPr="0016271E">
        <w:rPr>
          <w:rFonts w:asciiTheme="minorBidi" w:eastAsia="Times New Roman" w:hAnsiTheme="minorBidi"/>
          <w:color w:val="32363A"/>
          <w:sz w:val="24"/>
          <w:szCs w:val="24"/>
          <w:shd w:val="clear" w:color="auto" w:fill="FFFFFF"/>
        </w:rPr>
        <w:t xml:space="preserve"> in </w:t>
      </w:r>
      <w:r>
        <w:rPr>
          <w:rFonts w:asciiTheme="minorBidi" w:eastAsia="Times New Roman" w:hAnsiTheme="minorBidi"/>
          <w:color w:val="32363A"/>
          <w:sz w:val="24"/>
          <w:szCs w:val="24"/>
          <w:shd w:val="clear" w:color="auto" w:fill="FFFFFF"/>
        </w:rPr>
        <w:t>SA</w:t>
      </w:r>
      <w:r w:rsidRPr="0016271E">
        <w:rPr>
          <w:rFonts w:asciiTheme="minorBidi" w:eastAsia="Times New Roman" w:hAnsiTheme="minorBidi"/>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The Fisher Exact test</w:t>
      </w:r>
      <w:r w:rsidRPr="0016271E">
        <w:rPr>
          <w:rFonts w:asciiTheme="minorBidi" w:eastAsia="Times New Roman" w:hAnsiTheme="minorBidi"/>
          <w:color w:val="32363A"/>
          <w:sz w:val="24"/>
          <w:szCs w:val="24"/>
          <w:shd w:val="clear" w:color="auto" w:fill="FFFFFF"/>
        </w:rPr>
        <w:t xml:space="preserve"> was used to </w:t>
      </w:r>
      <w:r>
        <w:rPr>
          <w:rFonts w:asciiTheme="minorBidi" w:eastAsia="Times New Roman" w:hAnsiTheme="minorBidi"/>
          <w:color w:val="32363A"/>
          <w:sz w:val="24"/>
          <w:szCs w:val="24"/>
          <w:shd w:val="clear" w:color="auto" w:fill="FFFFFF"/>
        </w:rPr>
        <w:t xml:space="preserve">determine whether </w:t>
      </w:r>
      <w:r w:rsidRPr="0016271E">
        <w:rPr>
          <w:rFonts w:asciiTheme="minorBidi" w:eastAsia="Times New Roman" w:hAnsiTheme="minorBidi"/>
          <w:color w:val="32363A"/>
          <w:sz w:val="24"/>
          <w:szCs w:val="24"/>
          <w:shd w:val="clear" w:color="auto" w:fill="FFFFFF"/>
        </w:rPr>
        <w:t xml:space="preserve">differences in responses were affected by years of experience, and </w:t>
      </w:r>
      <w:r>
        <w:rPr>
          <w:rFonts w:asciiTheme="minorBidi" w:eastAsia="Times New Roman" w:hAnsiTheme="minorBidi"/>
          <w:color w:val="32363A"/>
          <w:sz w:val="24"/>
          <w:szCs w:val="24"/>
          <w:shd w:val="clear" w:color="auto" w:fill="FFFFFF"/>
        </w:rPr>
        <w:t xml:space="preserve">the </w:t>
      </w:r>
      <w:r w:rsidRPr="00B22304">
        <w:rPr>
          <w:rFonts w:asciiTheme="minorBidi" w:eastAsia="Times New Roman" w:hAnsiTheme="minorBidi"/>
          <w:color w:val="32363A"/>
          <w:sz w:val="24"/>
          <w:szCs w:val="24"/>
          <w:shd w:val="clear" w:color="auto" w:fill="FFFFFF"/>
        </w:rPr>
        <w:t>Spearman</w:t>
      </w:r>
      <w:r w:rsidRPr="0016271E">
        <w:rPr>
          <w:rFonts w:asciiTheme="minorBidi" w:eastAsia="Times New Roman" w:hAnsiTheme="minorBidi"/>
          <w:color w:val="32363A"/>
          <w:sz w:val="24"/>
          <w:szCs w:val="24"/>
          <w:shd w:val="clear" w:color="auto" w:fill="FFFFFF"/>
        </w:rPr>
        <w:t xml:space="preserve"> test was used to measure the association between years of experience and </w:t>
      </w:r>
      <w:r>
        <w:rPr>
          <w:rFonts w:asciiTheme="minorBidi" w:eastAsia="Times New Roman" w:hAnsiTheme="minorBidi"/>
          <w:color w:val="32363A"/>
          <w:sz w:val="24"/>
          <w:szCs w:val="24"/>
          <w:shd w:val="clear" w:color="auto" w:fill="FFFFFF"/>
        </w:rPr>
        <w:t>levels of agreement of participants on</w:t>
      </w:r>
      <w:r w:rsidRPr="0016271E">
        <w:rPr>
          <w:rFonts w:asciiTheme="minorBidi" w:eastAsia="Times New Roman" w:hAnsiTheme="minorBidi"/>
          <w:color w:val="32363A"/>
          <w:sz w:val="24"/>
          <w:szCs w:val="24"/>
          <w:shd w:val="clear" w:color="auto" w:fill="FFFFFF"/>
        </w:rPr>
        <w:t xml:space="preserve"> the potential benefits of adding pharmacists to the diabetes care team in the </w:t>
      </w:r>
      <w:r>
        <w:rPr>
          <w:rFonts w:asciiTheme="minorBidi" w:eastAsia="Times New Roman" w:hAnsiTheme="minorBidi"/>
          <w:color w:val="32363A"/>
          <w:sz w:val="24"/>
          <w:szCs w:val="24"/>
          <w:shd w:val="clear" w:color="auto" w:fill="FFFFFF"/>
        </w:rPr>
        <w:t>PHCs</w:t>
      </w:r>
      <w:r w:rsidRPr="0016271E">
        <w:rPr>
          <w:rFonts w:asciiTheme="minorBidi" w:eastAsia="Times New Roman" w:hAnsiTheme="minorBidi"/>
          <w:color w:val="32363A"/>
          <w:sz w:val="24"/>
          <w:szCs w:val="24"/>
          <w:shd w:val="clear" w:color="auto" w:fill="FFFFFF"/>
        </w:rPr>
        <w:t xml:space="preserve"> in </w:t>
      </w:r>
      <w:r>
        <w:rPr>
          <w:rFonts w:asciiTheme="minorBidi" w:eastAsia="Times New Roman" w:hAnsiTheme="minorBidi"/>
          <w:color w:val="32363A"/>
          <w:sz w:val="24"/>
          <w:szCs w:val="24"/>
          <w:shd w:val="clear" w:color="auto" w:fill="FFFFFF"/>
        </w:rPr>
        <w:t>SA</w:t>
      </w:r>
      <w:r w:rsidRPr="0016271E">
        <w:rPr>
          <w:rFonts w:asciiTheme="minorBidi" w:eastAsia="Times New Roman" w:hAnsiTheme="minorBidi"/>
          <w:color w:val="32363A"/>
          <w:sz w:val="24"/>
          <w:szCs w:val="24"/>
          <w:shd w:val="clear" w:color="auto" w:fill="FFFFFF"/>
        </w:rPr>
        <w:t xml:space="preserve">. </w:t>
      </w:r>
    </w:p>
    <w:p w14:paraId="674EE762" w14:textId="3F8AC9A1" w:rsidR="00821B82" w:rsidRDefault="00821B82" w:rsidP="00821B82">
      <w:pPr>
        <w:spacing w:line="360" w:lineRule="auto"/>
        <w:jc w:val="both"/>
        <w:rPr>
          <w:rFonts w:asciiTheme="minorBidi" w:eastAsia="Times New Roman" w:hAnsiTheme="minorBidi"/>
          <w:color w:val="32363A"/>
          <w:sz w:val="24"/>
          <w:szCs w:val="24"/>
          <w:shd w:val="clear" w:color="auto" w:fill="FFFFFF"/>
        </w:rPr>
      </w:pPr>
      <w:r w:rsidRPr="005A67C9">
        <w:rPr>
          <w:rFonts w:asciiTheme="minorBidi" w:eastAsia="Times New Roman" w:hAnsiTheme="minorBidi"/>
          <w:color w:val="1F3864" w:themeColor="accent1" w:themeShade="80"/>
          <w:sz w:val="24"/>
          <w:szCs w:val="24"/>
          <w:shd w:val="clear" w:color="auto" w:fill="FFFFFF"/>
        </w:rPr>
        <w:fldChar w:fldCharType="begin"/>
      </w:r>
      <w:r w:rsidRPr="005A67C9">
        <w:rPr>
          <w:rFonts w:asciiTheme="minorBidi" w:eastAsia="Times New Roman" w:hAnsiTheme="minorBidi"/>
          <w:color w:val="1F3864" w:themeColor="accent1" w:themeShade="80"/>
          <w:sz w:val="24"/>
          <w:szCs w:val="24"/>
          <w:shd w:val="clear" w:color="auto" w:fill="FFFFFF"/>
        </w:rPr>
        <w:instrText xml:space="preserve"> REF _Ref107316074 \h  \* MERGEFORMAT </w:instrText>
      </w:r>
      <w:r w:rsidRPr="005A67C9">
        <w:rPr>
          <w:rFonts w:asciiTheme="minorBidi" w:eastAsia="Times New Roman" w:hAnsiTheme="minorBidi"/>
          <w:color w:val="1F3864" w:themeColor="accent1" w:themeShade="80"/>
          <w:sz w:val="24"/>
          <w:szCs w:val="24"/>
          <w:shd w:val="clear" w:color="auto" w:fill="FFFFFF"/>
        </w:rPr>
      </w:r>
      <w:r w:rsidRPr="005A67C9">
        <w:rPr>
          <w:rFonts w:asciiTheme="minorBidi" w:eastAsia="Times New Roman" w:hAnsiTheme="minorBidi"/>
          <w:color w:val="1F3864" w:themeColor="accent1" w:themeShade="80"/>
          <w:sz w:val="24"/>
          <w:szCs w:val="24"/>
          <w:shd w:val="clear" w:color="auto" w:fill="FFFFFF"/>
        </w:rPr>
        <w:fldChar w:fldCharType="separate"/>
      </w:r>
      <w:r w:rsidR="0079046D" w:rsidRPr="0079046D">
        <w:rPr>
          <w:rFonts w:asciiTheme="minorBidi" w:eastAsia="Times New Roman" w:hAnsiTheme="minorBidi"/>
          <w:color w:val="1F3864" w:themeColor="accent1" w:themeShade="80"/>
          <w:sz w:val="24"/>
          <w:szCs w:val="24"/>
          <w:shd w:val="clear" w:color="auto" w:fill="FFFFFF"/>
        </w:rPr>
        <w:t>Table 23</w:t>
      </w:r>
      <w:r w:rsidRPr="005A67C9">
        <w:rPr>
          <w:rFonts w:asciiTheme="minorBidi" w:eastAsia="Times New Roman" w:hAnsiTheme="minorBidi"/>
          <w:color w:val="1F3864" w:themeColor="accent1" w:themeShade="80"/>
          <w:sz w:val="24"/>
          <w:szCs w:val="24"/>
          <w:shd w:val="clear" w:color="auto" w:fill="FFFFFF"/>
        </w:rPr>
        <w:fldChar w:fldCharType="end"/>
      </w:r>
      <w:r>
        <w:rPr>
          <w:rFonts w:asciiTheme="minorBidi" w:eastAsia="Times New Roman" w:hAnsiTheme="minorBidi"/>
          <w:color w:val="32363A"/>
          <w:sz w:val="24"/>
          <w:szCs w:val="24"/>
          <w:shd w:val="clear" w:color="auto" w:fill="FFFFFF"/>
        </w:rPr>
        <w:t xml:space="preserve"> compares the results obtained from HCPs with different years of experiences. As can be seen from this table, the majority of HCPs with different years of experiences all agreed on most of the potential impacts of pharmacists’ involvement in diabetes management. </w:t>
      </w:r>
      <w:r w:rsidRPr="0016271E">
        <w:rPr>
          <w:rFonts w:asciiTheme="minorBidi" w:eastAsia="Times New Roman" w:hAnsiTheme="minorBidi"/>
          <w:color w:val="32363A"/>
          <w:sz w:val="24"/>
          <w:szCs w:val="24"/>
          <w:shd w:val="clear" w:color="auto" w:fill="FFFFFF"/>
        </w:rPr>
        <w:t xml:space="preserve">The </w:t>
      </w:r>
      <w:r>
        <w:rPr>
          <w:rFonts w:asciiTheme="minorBidi" w:eastAsia="Times New Roman" w:hAnsiTheme="minorBidi"/>
          <w:color w:val="32363A"/>
          <w:sz w:val="24"/>
          <w:szCs w:val="24"/>
          <w:shd w:val="clear" w:color="auto" w:fill="FFFFFF"/>
        </w:rPr>
        <w:t xml:space="preserve">Fisher Exact </w:t>
      </w:r>
      <w:r w:rsidRPr="0016271E">
        <w:rPr>
          <w:rFonts w:asciiTheme="minorBidi" w:eastAsia="Times New Roman" w:hAnsiTheme="minorBidi"/>
          <w:color w:val="32363A"/>
          <w:sz w:val="24"/>
          <w:szCs w:val="24"/>
          <w:shd w:val="clear" w:color="auto" w:fill="FFFFFF"/>
        </w:rPr>
        <w:t xml:space="preserve">test shows there were no differences between the participants' responses and years of experience </w:t>
      </w:r>
      <w:r>
        <w:rPr>
          <w:rFonts w:asciiTheme="minorBidi" w:eastAsia="Times New Roman" w:hAnsiTheme="minorBidi"/>
          <w:color w:val="32363A"/>
          <w:sz w:val="24"/>
          <w:szCs w:val="24"/>
          <w:shd w:val="clear" w:color="auto" w:fill="FFFFFF"/>
        </w:rPr>
        <w:t>for</w:t>
      </w:r>
      <w:r w:rsidRPr="0016271E">
        <w:rPr>
          <w:rFonts w:asciiTheme="minorBidi" w:eastAsia="Times New Roman" w:hAnsiTheme="minorBidi"/>
          <w:color w:val="32363A"/>
          <w:sz w:val="24"/>
          <w:szCs w:val="24"/>
          <w:shd w:val="clear" w:color="auto" w:fill="FFFFFF"/>
        </w:rPr>
        <w:t xml:space="preserve"> most statements</w:t>
      </w:r>
      <w:r>
        <w:rPr>
          <w:rFonts w:asciiTheme="minorBidi" w:eastAsia="Times New Roman" w:hAnsiTheme="minorBidi"/>
          <w:color w:val="32363A"/>
          <w:sz w:val="24"/>
          <w:szCs w:val="24"/>
          <w:shd w:val="clear" w:color="auto" w:fill="FFFFFF"/>
        </w:rPr>
        <w:t xml:space="preserve">. </w:t>
      </w:r>
      <w:r w:rsidRPr="0016271E">
        <w:rPr>
          <w:rFonts w:asciiTheme="minorBidi" w:eastAsia="Times New Roman" w:hAnsiTheme="minorBidi"/>
          <w:color w:val="32363A"/>
          <w:sz w:val="24"/>
          <w:szCs w:val="24"/>
          <w:shd w:val="clear" w:color="auto" w:fill="FFFFFF"/>
        </w:rPr>
        <w:t xml:space="preserve">Significant differences were found between these </w:t>
      </w:r>
      <w:r>
        <w:rPr>
          <w:rFonts w:asciiTheme="minorBidi" w:eastAsia="Times New Roman" w:hAnsiTheme="minorBidi"/>
          <w:color w:val="32363A"/>
          <w:sz w:val="24"/>
          <w:szCs w:val="24"/>
          <w:shd w:val="clear" w:color="auto" w:fill="FFFFFF"/>
        </w:rPr>
        <w:t xml:space="preserve">two </w:t>
      </w:r>
      <w:r w:rsidRPr="0016271E">
        <w:rPr>
          <w:rFonts w:asciiTheme="minorBidi" w:eastAsia="Times New Roman" w:hAnsiTheme="minorBidi"/>
          <w:color w:val="32363A"/>
          <w:sz w:val="24"/>
          <w:szCs w:val="24"/>
          <w:shd w:val="clear" w:color="auto" w:fill="FFFFFF"/>
        </w:rPr>
        <w:t>variables</w:t>
      </w:r>
      <w:r>
        <w:rPr>
          <w:rFonts w:asciiTheme="minorBidi" w:eastAsia="Times New Roman" w:hAnsiTheme="minorBidi"/>
          <w:color w:val="32363A"/>
          <w:sz w:val="24"/>
          <w:szCs w:val="24"/>
          <w:shd w:val="clear" w:color="auto" w:fill="FFFFFF"/>
        </w:rPr>
        <w:t>, however,</w:t>
      </w:r>
      <w:r w:rsidRPr="0016271E">
        <w:rPr>
          <w:rFonts w:asciiTheme="minorBidi" w:eastAsia="Times New Roman" w:hAnsiTheme="minorBidi"/>
          <w:color w:val="32363A"/>
          <w:sz w:val="24"/>
          <w:szCs w:val="24"/>
          <w:shd w:val="clear" w:color="auto" w:fill="FFFFFF"/>
        </w:rPr>
        <w:t xml:space="preserve"> when participants were asked about the role of independent prescribers and other roles that relate</w:t>
      </w:r>
      <w:r>
        <w:rPr>
          <w:rFonts w:asciiTheme="minorBidi" w:eastAsia="Times New Roman" w:hAnsiTheme="minorBidi"/>
          <w:color w:val="32363A"/>
          <w:sz w:val="24"/>
          <w:szCs w:val="24"/>
          <w:shd w:val="clear" w:color="auto" w:fill="FFFFFF"/>
        </w:rPr>
        <w:t>d</w:t>
      </w:r>
      <w:r w:rsidRPr="0016271E">
        <w:rPr>
          <w:rFonts w:asciiTheme="minorBidi" w:eastAsia="Times New Roman" w:hAnsiTheme="minorBidi"/>
          <w:color w:val="32363A"/>
          <w:sz w:val="24"/>
          <w:szCs w:val="24"/>
          <w:shd w:val="clear" w:color="auto" w:fill="FFFFFF"/>
        </w:rPr>
        <w:t xml:space="preserve"> to improving prescribing </w:t>
      </w:r>
      <w:r>
        <w:rPr>
          <w:rFonts w:asciiTheme="minorBidi" w:eastAsia="Times New Roman" w:hAnsiTheme="minorBidi"/>
          <w:color w:val="32363A"/>
          <w:sz w:val="24"/>
          <w:szCs w:val="24"/>
          <w:shd w:val="clear" w:color="auto" w:fill="FFFFFF"/>
        </w:rPr>
        <w:t>and patient outcomes</w:t>
      </w:r>
      <w:r w:rsidRPr="0016271E">
        <w:rPr>
          <w:rFonts w:asciiTheme="minorBidi" w:eastAsia="Times New Roman" w:hAnsiTheme="minorBidi"/>
          <w:color w:val="32363A"/>
          <w:sz w:val="24"/>
          <w:szCs w:val="24"/>
          <w:shd w:val="clear" w:color="auto" w:fill="FFFFFF"/>
        </w:rPr>
        <w:t>.</w:t>
      </w:r>
      <w:r>
        <w:rPr>
          <w:rFonts w:asciiTheme="minorBidi" w:eastAsia="Times New Roman" w:hAnsiTheme="minorBidi"/>
          <w:color w:val="32363A"/>
          <w:sz w:val="24"/>
          <w:szCs w:val="24"/>
          <w:shd w:val="clear" w:color="auto" w:fill="FFFFFF"/>
        </w:rPr>
        <w:t xml:space="preserve"> Less experienced HCPs are most likely to disagree with pharmacists having these two roles. </w:t>
      </w:r>
      <w:r w:rsidRPr="003601E8">
        <w:rPr>
          <w:rFonts w:asciiTheme="minorBidi" w:eastAsia="Times New Roman" w:hAnsiTheme="minorBidi"/>
          <w:color w:val="32363A"/>
          <w:sz w:val="24"/>
          <w:szCs w:val="24"/>
          <w:shd w:val="clear" w:color="auto" w:fill="FFFFFF"/>
        </w:rPr>
        <w:t xml:space="preserve">Noting that the percentages of different professional groups per experience category are unbalanced, as shown in </w:t>
      </w:r>
      <w:r w:rsidRPr="000B0665">
        <w:rPr>
          <w:rFonts w:asciiTheme="minorBidi" w:eastAsia="Times New Roman" w:hAnsiTheme="minorBidi"/>
          <w:color w:val="1F3864" w:themeColor="accent1" w:themeShade="80"/>
          <w:sz w:val="24"/>
          <w:szCs w:val="24"/>
          <w:shd w:val="clear" w:color="auto" w:fill="FFFFFF"/>
        </w:rPr>
        <w:fldChar w:fldCharType="begin"/>
      </w:r>
      <w:r w:rsidRPr="000B0665">
        <w:rPr>
          <w:rFonts w:asciiTheme="minorBidi" w:eastAsia="Times New Roman" w:hAnsiTheme="minorBidi"/>
          <w:color w:val="1F3864" w:themeColor="accent1" w:themeShade="80"/>
          <w:sz w:val="24"/>
          <w:szCs w:val="24"/>
          <w:shd w:val="clear" w:color="auto" w:fill="FFFFFF"/>
        </w:rPr>
        <w:instrText xml:space="preserve"> REF _Ref107417554 \h  \* MERGEFORMAT </w:instrText>
      </w:r>
      <w:r w:rsidRPr="000B0665">
        <w:rPr>
          <w:rFonts w:asciiTheme="minorBidi" w:eastAsia="Times New Roman" w:hAnsiTheme="minorBidi"/>
          <w:color w:val="1F3864" w:themeColor="accent1" w:themeShade="80"/>
          <w:sz w:val="24"/>
          <w:szCs w:val="24"/>
          <w:shd w:val="clear" w:color="auto" w:fill="FFFFFF"/>
        </w:rPr>
      </w:r>
      <w:r w:rsidRPr="000B0665">
        <w:rPr>
          <w:rFonts w:asciiTheme="minorBidi" w:eastAsia="Times New Roman" w:hAnsiTheme="minorBidi"/>
          <w:color w:val="1F3864" w:themeColor="accent1" w:themeShade="80"/>
          <w:sz w:val="24"/>
          <w:szCs w:val="24"/>
          <w:shd w:val="clear" w:color="auto" w:fill="FFFFFF"/>
        </w:rPr>
        <w:fldChar w:fldCharType="separate"/>
      </w:r>
      <w:r w:rsidR="0079046D" w:rsidRPr="0079046D">
        <w:rPr>
          <w:rFonts w:asciiTheme="minorBidi" w:eastAsia="Times New Roman" w:hAnsiTheme="minorBidi"/>
          <w:color w:val="1F3864" w:themeColor="accent1" w:themeShade="80"/>
          <w:sz w:val="24"/>
          <w:szCs w:val="24"/>
          <w:shd w:val="clear" w:color="auto" w:fill="FFFFFF"/>
        </w:rPr>
        <w:t>Table 22</w:t>
      </w:r>
      <w:r w:rsidRPr="000B0665">
        <w:rPr>
          <w:rFonts w:asciiTheme="minorBidi" w:eastAsia="Times New Roman" w:hAnsiTheme="minorBidi"/>
          <w:color w:val="1F3864" w:themeColor="accent1" w:themeShade="80"/>
          <w:sz w:val="24"/>
          <w:szCs w:val="24"/>
          <w:shd w:val="clear" w:color="auto" w:fill="FFFFFF"/>
        </w:rPr>
        <w:fldChar w:fldCharType="end"/>
      </w:r>
      <w:r w:rsidRPr="000B0665">
        <w:rPr>
          <w:rFonts w:asciiTheme="minorBidi" w:eastAsia="Times New Roman" w:hAnsiTheme="minorBidi"/>
          <w:color w:val="1F3864" w:themeColor="accent1" w:themeShade="80"/>
          <w:sz w:val="24"/>
          <w:szCs w:val="24"/>
          <w:shd w:val="clear" w:color="auto" w:fill="FFFFFF"/>
        </w:rPr>
        <w:t xml:space="preserve">, </w:t>
      </w:r>
      <w:r w:rsidRPr="003601E8">
        <w:rPr>
          <w:rFonts w:asciiTheme="minorBidi" w:eastAsia="Times New Roman" w:hAnsiTheme="minorBidi"/>
          <w:color w:val="32363A"/>
          <w:sz w:val="24"/>
          <w:szCs w:val="24"/>
          <w:shd w:val="clear" w:color="auto" w:fill="FFFFFF"/>
        </w:rPr>
        <w:t>which may affect the results; in addition, the first two experience categories have small sample sizes</w:t>
      </w:r>
      <w:r>
        <w:rPr>
          <w:rFonts w:asciiTheme="minorBidi" w:eastAsia="Times New Roman" w:hAnsiTheme="minorBidi"/>
          <w:color w:val="32363A"/>
          <w:sz w:val="24"/>
          <w:szCs w:val="24"/>
          <w:shd w:val="clear" w:color="auto" w:fill="FFFFFF"/>
        </w:rPr>
        <w:t xml:space="preserve">, and more than 70% of them were doctors.  </w:t>
      </w:r>
    </w:p>
    <w:p w14:paraId="590F8E84" w14:textId="665A6558" w:rsidR="00821B82" w:rsidRDefault="00821B82" w:rsidP="00821B82">
      <w:pPr>
        <w:spacing w:after="0" w:line="360" w:lineRule="auto"/>
        <w:jc w:val="both"/>
        <w:rPr>
          <w:rFonts w:asciiTheme="minorBidi" w:eastAsia="Times New Roman" w:hAnsiTheme="minorBidi"/>
          <w:color w:val="32363A"/>
          <w:sz w:val="24"/>
          <w:szCs w:val="24"/>
          <w:shd w:val="clear" w:color="auto" w:fill="FFFFFF"/>
        </w:rPr>
      </w:pPr>
      <w:r w:rsidRPr="00432DF3">
        <w:rPr>
          <w:rFonts w:asciiTheme="minorBidi" w:eastAsia="Times New Roman" w:hAnsiTheme="minorBidi" w:cs="Times New Roman"/>
          <w:color w:val="32363A"/>
          <w:sz w:val="24"/>
          <w:szCs w:val="24"/>
          <w:shd w:val="clear" w:color="auto" w:fill="FFFFFF"/>
        </w:rPr>
        <w:t>The Spearman</w:t>
      </w:r>
      <w:r w:rsidRPr="00E37202">
        <w:rPr>
          <w:rFonts w:asciiTheme="minorBidi" w:eastAsia="Times New Roman" w:hAnsiTheme="minorBidi"/>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correlation</w:t>
      </w:r>
      <w:r w:rsidRPr="00432DF3">
        <w:rPr>
          <w:rFonts w:asciiTheme="minorBidi" w:eastAsia="Times New Roman" w:hAnsiTheme="minorBidi" w:cs="Times New Roman"/>
          <w:color w:val="32363A"/>
          <w:sz w:val="24"/>
          <w:szCs w:val="24"/>
          <w:shd w:val="clear" w:color="auto" w:fill="FFFFFF"/>
        </w:rPr>
        <w:t xml:space="preserve"> test, as shown in</w:t>
      </w:r>
      <w:r>
        <w:rPr>
          <w:rFonts w:asciiTheme="minorBidi" w:eastAsia="Times New Roman" w:hAnsiTheme="minorBidi" w:cs="Times New Roman"/>
          <w:color w:val="1F3864" w:themeColor="accent1" w:themeShade="80"/>
          <w:sz w:val="24"/>
          <w:szCs w:val="24"/>
          <w:shd w:val="clear" w:color="auto" w:fill="FFFFFF"/>
        </w:rPr>
        <w:t xml:space="preserve"> </w:t>
      </w:r>
      <w:r w:rsidRPr="008D1746">
        <w:rPr>
          <w:rFonts w:asciiTheme="minorBidi" w:eastAsia="Times New Roman" w:hAnsiTheme="minorBidi" w:cs="Times New Roman"/>
          <w:color w:val="1F3864" w:themeColor="accent1" w:themeShade="80"/>
          <w:sz w:val="24"/>
          <w:szCs w:val="24"/>
          <w:shd w:val="clear" w:color="auto" w:fill="FFFFFF"/>
        </w:rPr>
        <w:fldChar w:fldCharType="begin"/>
      </w:r>
      <w:r w:rsidRPr="008D1746">
        <w:rPr>
          <w:rFonts w:asciiTheme="minorBidi" w:eastAsia="Times New Roman" w:hAnsiTheme="minorBidi" w:cs="Times New Roman"/>
          <w:color w:val="1F3864" w:themeColor="accent1" w:themeShade="80"/>
          <w:sz w:val="24"/>
          <w:szCs w:val="24"/>
          <w:shd w:val="clear" w:color="auto" w:fill="FFFFFF"/>
        </w:rPr>
        <w:instrText xml:space="preserve"> REF _Ref107316074 \h  \* MERGEFORMAT </w:instrText>
      </w:r>
      <w:r w:rsidRPr="008D1746">
        <w:rPr>
          <w:rFonts w:asciiTheme="minorBidi" w:eastAsia="Times New Roman" w:hAnsiTheme="minorBidi" w:cs="Times New Roman"/>
          <w:color w:val="1F3864" w:themeColor="accent1" w:themeShade="80"/>
          <w:sz w:val="24"/>
          <w:szCs w:val="24"/>
          <w:shd w:val="clear" w:color="auto" w:fill="FFFFFF"/>
        </w:rPr>
      </w:r>
      <w:r w:rsidRPr="008D1746">
        <w:rPr>
          <w:rFonts w:asciiTheme="minorBidi" w:eastAsia="Times New Roman" w:hAnsiTheme="minorBidi" w:cs="Times New Roman"/>
          <w:color w:val="1F3864" w:themeColor="accent1" w:themeShade="80"/>
          <w:sz w:val="24"/>
          <w:szCs w:val="24"/>
          <w:shd w:val="clear" w:color="auto" w:fill="FFFFFF"/>
        </w:rPr>
        <w:fldChar w:fldCharType="separate"/>
      </w:r>
      <w:r w:rsidR="0079046D" w:rsidRPr="0079046D">
        <w:rPr>
          <w:rFonts w:asciiTheme="minorBidi" w:eastAsia="Times New Roman" w:hAnsiTheme="minorBidi" w:cs="Times New Roman"/>
          <w:color w:val="1F3864" w:themeColor="accent1" w:themeShade="80"/>
          <w:sz w:val="24"/>
          <w:szCs w:val="24"/>
          <w:shd w:val="clear" w:color="auto" w:fill="FFFFFF"/>
        </w:rPr>
        <w:t>Table 23</w:t>
      </w:r>
      <w:r w:rsidRPr="008D1746">
        <w:rPr>
          <w:rFonts w:asciiTheme="minorBidi" w:eastAsia="Times New Roman" w:hAnsiTheme="minorBidi" w:cs="Times New Roman"/>
          <w:color w:val="1F3864" w:themeColor="accent1" w:themeShade="80"/>
          <w:sz w:val="24"/>
          <w:szCs w:val="24"/>
          <w:shd w:val="clear" w:color="auto" w:fill="FFFFFF"/>
        </w:rPr>
        <w:fldChar w:fldCharType="end"/>
      </w:r>
      <w:r w:rsidRPr="00432DF3">
        <w:rPr>
          <w:rFonts w:asciiTheme="minorBidi" w:eastAsia="Times New Roman" w:hAnsiTheme="minorBidi" w:cs="Times New Roman"/>
          <w:color w:val="32363A"/>
          <w:sz w:val="24"/>
          <w:szCs w:val="24"/>
          <w:shd w:val="clear" w:color="auto" w:fill="FFFFFF"/>
        </w:rPr>
        <w:t xml:space="preserve">, confirms that there is a positive association between the years of experience of </w:t>
      </w:r>
      <w:r>
        <w:rPr>
          <w:rFonts w:asciiTheme="minorBidi" w:eastAsia="Times New Roman" w:hAnsiTheme="minorBidi"/>
          <w:color w:val="32363A"/>
          <w:sz w:val="24"/>
          <w:szCs w:val="24"/>
          <w:shd w:val="clear" w:color="auto" w:fill="FFFFFF"/>
        </w:rPr>
        <w:t>HCPs</w:t>
      </w:r>
      <w:r w:rsidRPr="00432DF3">
        <w:rPr>
          <w:rFonts w:asciiTheme="minorBidi" w:eastAsia="Times New Roman" w:hAnsiTheme="minorBidi" w:cs="Times New Roman"/>
          <w:color w:val="32363A"/>
          <w:sz w:val="24"/>
          <w:szCs w:val="24"/>
          <w:shd w:val="clear" w:color="auto" w:fill="FFFFFF"/>
        </w:rPr>
        <w:t xml:space="preserve"> and their attitudes towards the role of pharmacists in PHCs</w:t>
      </w:r>
      <w:r>
        <w:rPr>
          <w:rFonts w:asciiTheme="minorBidi" w:eastAsia="Times New Roman" w:hAnsiTheme="minorBidi" w:cs="Times New Roman"/>
          <w:color w:val="32363A"/>
          <w:sz w:val="24"/>
          <w:szCs w:val="24"/>
          <w:shd w:val="clear" w:color="auto" w:fill="FFFFFF"/>
        </w:rPr>
        <w:t xml:space="preserve"> (</w:t>
      </w:r>
      <w:r w:rsidRPr="00432DF3">
        <w:rPr>
          <w:rFonts w:asciiTheme="minorBidi" w:eastAsia="Times New Roman" w:hAnsiTheme="minorBidi" w:cs="Times New Roman"/>
          <w:color w:val="32363A"/>
          <w:sz w:val="24"/>
          <w:szCs w:val="24"/>
          <w:shd w:val="clear" w:color="auto" w:fill="FFFFFF"/>
        </w:rPr>
        <w:t>i.e., those with less experience were less positive</w:t>
      </w:r>
      <w:r>
        <w:rPr>
          <w:rFonts w:asciiTheme="minorBidi" w:eastAsia="Times New Roman" w:hAnsiTheme="minorBidi" w:cs="Times New Roman"/>
          <w:color w:val="32363A"/>
          <w:sz w:val="24"/>
          <w:szCs w:val="24"/>
          <w:shd w:val="clear" w:color="auto" w:fill="FFFFFF"/>
        </w:rPr>
        <w:t>)</w:t>
      </w:r>
      <w:r w:rsidRPr="00432DF3">
        <w:rPr>
          <w:rFonts w:asciiTheme="minorBidi" w:eastAsia="Times New Roman" w:hAnsiTheme="minorBidi" w:cs="Times New Roman"/>
          <w:color w:val="32363A"/>
          <w:sz w:val="24"/>
          <w:szCs w:val="24"/>
          <w:shd w:val="clear" w:color="auto" w:fill="FFFFFF"/>
        </w:rPr>
        <w:t xml:space="preserve">, </w:t>
      </w:r>
      <w:r>
        <w:rPr>
          <w:rFonts w:asciiTheme="minorBidi" w:eastAsia="Times New Roman" w:hAnsiTheme="minorBidi" w:cs="Times New Roman"/>
          <w:color w:val="32363A"/>
          <w:sz w:val="24"/>
          <w:szCs w:val="24"/>
          <w:shd w:val="clear" w:color="auto" w:fill="FFFFFF"/>
        </w:rPr>
        <w:t xml:space="preserve">except with </w:t>
      </w:r>
      <w:r w:rsidRPr="0016271E">
        <w:rPr>
          <w:rFonts w:asciiTheme="minorBidi" w:eastAsia="Times New Roman" w:hAnsiTheme="minorBidi"/>
          <w:color w:val="32363A"/>
          <w:sz w:val="24"/>
          <w:szCs w:val="24"/>
          <w:shd w:val="clear" w:color="auto" w:fill="FFFFFF"/>
        </w:rPr>
        <w:t>the role of independent prescribers</w:t>
      </w:r>
      <w:r>
        <w:rPr>
          <w:rFonts w:asciiTheme="minorBidi" w:eastAsia="Times New Roman" w:hAnsiTheme="minorBidi" w:cs="Times New Roman"/>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 xml:space="preserve">the Spearman correlation test shows no relationship (r=0) between these two variables (years of experience and the level of agreement on the ability of pharmacists to prescribe medications to patients with diabetes). Although, </w:t>
      </w:r>
      <w:r w:rsidRPr="00FB4957">
        <w:rPr>
          <w:rFonts w:asciiTheme="minorBidi" w:eastAsia="Times New Roman" w:hAnsiTheme="minorBidi"/>
          <w:color w:val="1F3864" w:themeColor="accent1" w:themeShade="80"/>
          <w:sz w:val="24"/>
          <w:szCs w:val="24"/>
          <w:shd w:val="clear" w:color="auto" w:fill="FFFFFF"/>
        </w:rPr>
        <w:fldChar w:fldCharType="begin"/>
      </w:r>
      <w:r w:rsidRPr="00FB4957">
        <w:rPr>
          <w:rFonts w:asciiTheme="minorBidi" w:eastAsia="Times New Roman" w:hAnsiTheme="minorBidi"/>
          <w:color w:val="1F3864" w:themeColor="accent1" w:themeShade="80"/>
          <w:sz w:val="24"/>
          <w:szCs w:val="24"/>
          <w:shd w:val="clear" w:color="auto" w:fill="FFFFFF"/>
        </w:rPr>
        <w:instrText xml:space="preserve"> REF _Ref122481166 \h  \* MERGEFORMAT </w:instrText>
      </w:r>
      <w:r w:rsidRPr="00FB4957">
        <w:rPr>
          <w:rFonts w:asciiTheme="minorBidi" w:eastAsia="Times New Roman" w:hAnsiTheme="minorBidi"/>
          <w:color w:val="1F3864" w:themeColor="accent1" w:themeShade="80"/>
          <w:sz w:val="24"/>
          <w:szCs w:val="24"/>
          <w:shd w:val="clear" w:color="auto" w:fill="FFFFFF"/>
        </w:rPr>
      </w:r>
      <w:r w:rsidRPr="00FB4957">
        <w:rPr>
          <w:rFonts w:asciiTheme="minorBidi" w:eastAsia="Times New Roman" w:hAnsiTheme="minorBidi"/>
          <w:color w:val="1F3864" w:themeColor="accent1" w:themeShade="80"/>
          <w:sz w:val="24"/>
          <w:szCs w:val="24"/>
          <w:shd w:val="clear" w:color="auto" w:fill="FFFFFF"/>
        </w:rPr>
        <w:fldChar w:fldCharType="separate"/>
      </w:r>
      <w:r w:rsidR="009A5DDE" w:rsidRPr="009A5DDE">
        <w:rPr>
          <w:rFonts w:asciiTheme="minorBidi" w:eastAsia="Times New Roman" w:hAnsiTheme="minorBidi"/>
          <w:color w:val="1F3864" w:themeColor="accent1" w:themeShade="80"/>
          <w:sz w:val="24"/>
          <w:szCs w:val="24"/>
          <w:shd w:val="clear" w:color="auto" w:fill="FFFFFF"/>
        </w:rPr>
        <w:t>Figure 12</w:t>
      </w:r>
      <w:r w:rsidRPr="00FB4957">
        <w:rPr>
          <w:rFonts w:asciiTheme="minorBidi" w:eastAsia="Times New Roman" w:hAnsiTheme="minorBidi"/>
          <w:color w:val="1F3864" w:themeColor="accent1" w:themeShade="80"/>
          <w:sz w:val="24"/>
          <w:szCs w:val="24"/>
          <w:shd w:val="clear" w:color="auto" w:fill="FFFFFF"/>
        </w:rPr>
        <w:fldChar w:fldCharType="end"/>
      </w:r>
      <w:r w:rsidRPr="00FB4957">
        <w:rPr>
          <w:rFonts w:asciiTheme="minorBidi" w:eastAsia="Times New Roman" w:hAnsiTheme="minorBidi"/>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shows</w:t>
      </w:r>
      <w:r w:rsidRPr="00CC5A0D">
        <w:rPr>
          <w:rFonts w:asciiTheme="minorBidi" w:eastAsia="Times New Roman" w:hAnsiTheme="minorBidi"/>
          <w:color w:val="32363A"/>
          <w:sz w:val="24"/>
          <w:szCs w:val="24"/>
          <w:shd w:val="clear" w:color="auto" w:fill="FFFFFF"/>
        </w:rPr>
        <w:t xml:space="preserve"> that</w:t>
      </w:r>
      <w:r>
        <w:rPr>
          <w:rFonts w:asciiTheme="minorBidi" w:eastAsia="Times New Roman" w:hAnsiTheme="minorBidi"/>
          <w:color w:val="32363A"/>
          <w:sz w:val="24"/>
          <w:szCs w:val="24"/>
          <w:shd w:val="clear" w:color="auto" w:fill="FFFFFF"/>
        </w:rPr>
        <w:t xml:space="preserve"> </w:t>
      </w:r>
      <w:r w:rsidRPr="009352A6">
        <w:rPr>
          <w:rFonts w:asciiTheme="minorBidi" w:eastAsia="Times New Roman" w:hAnsiTheme="minorBidi"/>
          <w:color w:val="32363A"/>
          <w:sz w:val="24"/>
          <w:szCs w:val="24"/>
          <w:shd w:val="clear" w:color="auto" w:fill="FFFFFF"/>
        </w:rPr>
        <w:t xml:space="preserve">more experienced </w:t>
      </w:r>
      <w:r>
        <w:rPr>
          <w:rFonts w:asciiTheme="minorBidi" w:eastAsia="Times New Roman" w:hAnsiTheme="minorBidi"/>
          <w:color w:val="32363A"/>
          <w:sz w:val="24"/>
          <w:szCs w:val="24"/>
          <w:shd w:val="clear" w:color="auto" w:fill="FFFFFF"/>
        </w:rPr>
        <w:t>HCPs</w:t>
      </w:r>
      <w:r w:rsidRPr="009352A6">
        <w:rPr>
          <w:rFonts w:asciiTheme="minorBidi" w:eastAsia="Times New Roman" w:hAnsiTheme="minorBidi"/>
          <w:color w:val="32363A"/>
          <w:sz w:val="24"/>
          <w:szCs w:val="24"/>
          <w:shd w:val="clear" w:color="auto" w:fill="FFFFFF"/>
        </w:rPr>
        <w:t xml:space="preserve"> are</w:t>
      </w:r>
      <w:r>
        <w:rPr>
          <w:rFonts w:asciiTheme="minorBidi" w:eastAsia="Times New Roman" w:hAnsiTheme="minorBidi"/>
          <w:color w:val="32363A"/>
          <w:sz w:val="24"/>
          <w:szCs w:val="24"/>
          <w:shd w:val="clear" w:color="auto" w:fill="FFFFFF"/>
        </w:rPr>
        <w:t xml:space="preserve"> </w:t>
      </w:r>
      <w:r w:rsidRPr="009352A6">
        <w:rPr>
          <w:rFonts w:asciiTheme="minorBidi" w:eastAsia="Times New Roman" w:hAnsiTheme="minorBidi"/>
          <w:color w:val="32363A"/>
          <w:sz w:val="24"/>
          <w:szCs w:val="24"/>
          <w:shd w:val="clear" w:color="auto" w:fill="FFFFFF"/>
        </w:rPr>
        <w:t>more receptive to the role of a pharmacist as a prescriber</w:t>
      </w:r>
      <w:r>
        <w:rPr>
          <w:rFonts w:asciiTheme="minorBidi" w:eastAsia="Times New Roman" w:hAnsiTheme="minorBidi"/>
          <w:color w:val="32363A"/>
          <w:sz w:val="24"/>
          <w:szCs w:val="24"/>
          <w:shd w:val="clear" w:color="auto" w:fill="FFFFFF"/>
        </w:rPr>
        <w:t xml:space="preserve">; in fact, more than </w:t>
      </w:r>
      <w:r w:rsidRPr="009352A6">
        <w:rPr>
          <w:rFonts w:asciiTheme="minorBidi" w:eastAsia="Times New Roman" w:hAnsiTheme="minorBidi"/>
          <w:color w:val="32363A"/>
          <w:sz w:val="24"/>
          <w:szCs w:val="24"/>
          <w:shd w:val="clear" w:color="auto" w:fill="FFFFFF"/>
        </w:rPr>
        <w:t>60</w:t>
      </w:r>
      <w:r>
        <w:rPr>
          <w:rFonts w:asciiTheme="minorBidi" w:eastAsia="Times New Roman" w:hAnsiTheme="minorBidi"/>
          <w:color w:val="32363A"/>
          <w:sz w:val="24"/>
          <w:szCs w:val="24"/>
          <w:shd w:val="clear" w:color="auto" w:fill="FFFFFF"/>
        </w:rPr>
        <w:t>%</w:t>
      </w:r>
      <w:r w:rsidRPr="009352A6">
        <w:rPr>
          <w:rFonts w:asciiTheme="minorBidi" w:eastAsia="Times New Roman" w:hAnsiTheme="minorBidi"/>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of HCPs</w:t>
      </w:r>
      <w:r w:rsidRPr="009352A6">
        <w:rPr>
          <w:rFonts w:asciiTheme="minorBidi" w:eastAsia="Times New Roman" w:hAnsiTheme="minorBidi"/>
          <w:color w:val="32363A"/>
          <w:sz w:val="24"/>
          <w:szCs w:val="24"/>
          <w:shd w:val="clear" w:color="auto" w:fill="FFFFFF"/>
        </w:rPr>
        <w:t xml:space="preserve"> with more than </w:t>
      </w:r>
      <w:r>
        <w:rPr>
          <w:rFonts w:asciiTheme="minorBidi" w:eastAsia="Times New Roman" w:hAnsiTheme="minorBidi"/>
          <w:color w:val="32363A"/>
          <w:sz w:val="24"/>
          <w:szCs w:val="24"/>
          <w:shd w:val="clear" w:color="auto" w:fill="FFFFFF"/>
        </w:rPr>
        <w:t>ten</w:t>
      </w:r>
      <w:r w:rsidRPr="009352A6">
        <w:rPr>
          <w:rFonts w:asciiTheme="minorBidi" w:eastAsia="Times New Roman" w:hAnsiTheme="minorBidi"/>
          <w:color w:val="32363A"/>
          <w:sz w:val="24"/>
          <w:szCs w:val="24"/>
          <w:shd w:val="clear" w:color="auto" w:fill="FFFFFF"/>
        </w:rPr>
        <w:t xml:space="preserve"> years of experience expressed their agreement with pharmacists' ability to prescribe medications safely </w:t>
      </w:r>
      <w:r>
        <w:rPr>
          <w:rFonts w:asciiTheme="minorBidi" w:eastAsia="Times New Roman" w:hAnsiTheme="minorBidi"/>
          <w:color w:val="32363A"/>
          <w:sz w:val="24"/>
          <w:szCs w:val="24"/>
          <w:shd w:val="clear" w:color="auto" w:fill="FFFFFF"/>
        </w:rPr>
        <w:t>compared to 28% with experience of less than 5 years, and 37% with experience of between 5 and 10 years</w:t>
      </w:r>
      <w:r w:rsidRPr="009352A6">
        <w:rPr>
          <w:rFonts w:asciiTheme="minorBidi" w:eastAsia="Times New Roman" w:hAnsiTheme="minorBidi"/>
          <w:color w:val="32363A"/>
          <w:sz w:val="24"/>
          <w:szCs w:val="24"/>
          <w:shd w:val="clear" w:color="auto" w:fill="FFFFFF"/>
        </w:rPr>
        <w:t>.</w:t>
      </w:r>
      <w:r>
        <w:rPr>
          <w:rFonts w:asciiTheme="minorBidi" w:eastAsia="Times New Roman" w:hAnsiTheme="minorBidi"/>
          <w:color w:val="32363A"/>
          <w:sz w:val="24"/>
          <w:szCs w:val="24"/>
          <w:shd w:val="clear" w:color="auto" w:fill="FFFFFF"/>
        </w:rPr>
        <w:t xml:space="preserve"> The Fisher’s Exact test confirms these differences between the three groups (p=0.03), but as mentioned above (</w:t>
      </w:r>
      <w:r w:rsidRPr="003601E8">
        <w:rPr>
          <w:rFonts w:asciiTheme="minorBidi" w:eastAsia="Times New Roman" w:hAnsiTheme="minorBidi"/>
          <w:color w:val="32363A"/>
          <w:sz w:val="24"/>
          <w:szCs w:val="24"/>
          <w:shd w:val="clear" w:color="auto" w:fill="FFFFFF"/>
        </w:rPr>
        <w:t>the percentages of different professional groups per experience category are unbalanced</w:t>
      </w:r>
      <w:r>
        <w:rPr>
          <w:rFonts w:asciiTheme="minorBidi" w:eastAsia="Times New Roman" w:hAnsiTheme="minorBidi"/>
          <w:color w:val="32363A"/>
          <w:sz w:val="24"/>
          <w:szCs w:val="24"/>
          <w:shd w:val="clear" w:color="auto" w:fill="FFFFFF"/>
        </w:rPr>
        <w:t xml:space="preserve">), </w:t>
      </w:r>
      <w:r w:rsidRPr="003601E8">
        <w:rPr>
          <w:rFonts w:asciiTheme="minorBidi" w:eastAsia="Times New Roman" w:hAnsiTheme="minorBidi"/>
          <w:color w:val="32363A"/>
          <w:sz w:val="24"/>
          <w:szCs w:val="24"/>
          <w:shd w:val="clear" w:color="auto" w:fill="FFFFFF"/>
        </w:rPr>
        <w:t>which may affect the results</w:t>
      </w:r>
      <w:r>
        <w:rPr>
          <w:rFonts w:asciiTheme="minorBidi" w:eastAsia="Times New Roman" w:hAnsiTheme="minorBidi"/>
          <w:color w:val="32363A"/>
          <w:sz w:val="24"/>
          <w:szCs w:val="24"/>
          <w:shd w:val="clear" w:color="auto" w:fill="FFFFFF"/>
        </w:rPr>
        <w:t xml:space="preserve">. </w:t>
      </w:r>
    </w:p>
    <w:p w14:paraId="44DB37B8" w14:textId="77777777" w:rsidR="00821B82" w:rsidRDefault="00821B82" w:rsidP="00821B82">
      <w:pPr>
        <w:spacing w:after="0" w:line="360" w:lineRule="auto"/>
        <w:rPr>
          <w:rFonts w:asciiTheme="minorBidi" w:eastAsia="Times New Roman" w:hAnsiTheme="minorBidi"/>
          <w:color w:val="32363A"/>
          <w:sz w:val="24"/>
          <w:szCs w:val="24"/>
          <w:shd w:val="clear" w:color="auto" w:fill="FFFFFF"/>
        </w:rPr>
      </w:pPr>
    </w:p>
    <w:p w14:paraId="28F5588D" w14:textId="682A92E3" w:rsidR="00821B82" w:rsidRPr="00CD2D30" w:rsidRDefault="00821B82" w:rsidP="00821B82">
      <w:pPr>
        <w:pStyle w:val="Caption"/>
        <w:jc w:val="center"/>
        <w:rPr>
          <w:sz w:val="22"/>
          <w:szCs w:val="22"/>
        </w:rPr>
      </w:pPr>
      <w:bookmarkStart w:id="221" w:name="_Ref107417554"/>
      <w:bookmarkStart w:id="222" w:name="_Toc153894576"/>
      <w:r w:rsidRPr="00CD2D30">
        <w:rPr>
          <w:sz w:val="22"/>
          <w:szCs w:val="22"/>
        </w:rPr>
        <w:t xml:space="preserve">Table </w:t>
      </w:r>
      <w:r w:rsidRPr="00CD2D30">
        <w:rPr>
          <w:sz w:val="22"/>
          <w:szCs w:val="22"/>
        </w:rPr>
        <w:fldChar w:fldCharType="begin"/>
      </w:r>
      <w:r w:rsidRPr="00CD2D30">
        <w:rPr>
          <w:sz w:val="22"/>
          <w:szCs w:val="22"/>
        </w:rPr>
        <w:instrText xml:space="preserve"> SEQ Table \* ARABIC </w:instrText>
      </w:r>
      <w:r w:rsidRPr="00CD2D30">
        <w:rPr>
          <w:sz w:val="22"/>
          <w:szCs w:val="22"/>
        </w:rPr>
        <w:fldChar w:fldCharType="separate"/>
      </w:r>
      <w:r w:rsidR="009B31EB">
        <w:rPr>
          <w:noProof/>
          <w:sz w:val="22"/>
          <w:szCs w:val="22"/>
        </w:rPr>
        <w:t>22</w:t>
      </w:r>
      <w:r w:rsidRPr="00CD2D30">
        <w:rPr>
          <w:noProof/>
          <w:sz w:val="22"/>
          <w:szCs w:val="22"/>
        </w:rPr>
        <w:fldChar w:fldCharType="end"/>
      </w:r>
      <w:bookmarkEnd w:id="221"/>
      <w:r w:rsidRPr="00CD2D30">
        <w:rPr>
          <w:noProof/>
          <w:sz w:val="22"/>
          <w:szCs w:val="22"/>
        </w:rPr>
        <w:t xml:space="preserve">: </w:t>
      </w:r>
      <w:r w:rsidRPr="00CD2D30">
        <w:rPr>
          <w:sz w:val="22"/>
          <w:szCs w:val="22"/>
        </w:rPr>
        <w:t>Percentages of different professional groups per experience category</w:t>
      </w:r>
      <w:bookmarkEnd w:id="22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6"/>
        <w:gridCol w:w="1956"/>
        <w:gridCol w:w="1957"/>
        <w:gridCol w:w="1958"/>
      </w:tblGrid>
      <w:tr w:rsidR="00821B82" w:rsidRPr="001F0E7B" w14:paraId="6AFEB10F" w14:textId="77777777" w:rsidTr="00282204">
        <w:trPr>
          <w:trHeight w:val="294"/>
          <w:jc w:val="center"/>
        </w:trPr>
        <w:tc>
          <w:tcPr>
            <w:tcW w:w="1956" w:type="dxa"/>
            <w:vMerge w:val="restart"/>
          </w:tcPr>
          <w:p w14:paraId="6752D05E" w14:textId="77777777" w:rsidR="00821B82" w:rsidRPr="001F0E7B" w:rsidRDefault="00821B82" w:rsidP="00282204">
            <w:pPr>
              <w:spacing w:line="360" w:lineRule="auto"/>
              <w:rPr>
                <w:rFonts w:asciiTheme="minorBidi" w:eastAsia="Times New Roman" w:hAnsiTheme="minorBidi"/>
                <w:color w:val="32363A"/>
                <w:sz w:val="18"/>
                <w:szCs w:val="18"/>
                <w:shd w:val="clear" w:color="auto" w:fill="FFFFFF"/>
              </w:rPr>
            </w:pPr>
            <w:r w:rsidRPr="001F0E7B">
              <w:rPr>
                <w:rFonts w:asciiTheme="minorBidi" w:eastAsia="Times New Roman" w:hAnsiTheme="minorBidi"/>
                <w:b/>
                <w:bCs/>
                <w:color w:val="000000"/>
                <w:sz w:val="18"/>
                <w:szCs w:val="18"/>
              </w:rPr>
              <w:t>Years of experience</w:t>
            </w:r>
            <w:r>
              <w:rPr>
                <w:rFonts w:asciiTheme="minorBidi" w:eastAsia="Times New Roman" w:hAnsiTheme="minorBidi"/>
                <w:b/>
                <w:bCs/>
                <w:color w:val="000000"/>
                <w:sz w:val="18"/>
                <w:szCs w:val="18"/>
              </w:rPr>
              <w:t xml:space="preserve"> (n)</w:t>
            </w:r>
          </w:p>
        </w:tc>
        <w:tc>
          <w:tcPr>
            <w:tcW w:w="5871" w:type="dxa"/>
            <w:gridSpan w:val="3"/>
          </w:tcPr>
          <w:p w14:paraId="6F109A5C" w14:textId="77777777" w:rsidR="00821B82" w:rsidRPr="001F0E7B" w:rsidRDefault="00821B82" w:rsidP="00282204">
            <w:pPr>
              <w:spacing w:line="360" w:lineRule="auto"/>
              <w:jc w:val="center"/>
              <w:rPr>
                <w:rFonts w:asciiTheme="minorBidi" w:eastAsia="Times New Roman" w:hAnsiTheme="minorBidi"/>
                <w:b/>
                <w:bCs/>
                <w:color w:val="32363A"/>
                <w:sz w:val="18"/>
                <w:szCs w:val="18"/>
                <w:shd w:val="clear" w:color="auto" w:fill="FFFFFF"/>
              </w:rPr>
            </w:pPr>
            <w:r w:rsidRPr="001F0E7B">
              <w:rPr>
                <w:rFonts w:asciiTheme="minorBidi" w:eastAsia="Times New Roman" w:hAnsiTheme="minorBidi"/>
                <w:b/>
                <w:bCs/>
                <w:color w:val="32363A"/>
                <w:sz w:val="18"/>
                <w:szCs w:val="18"/>
                <w:shd w:val="clear" w:color="auto" w:fill="FFFFFF"/>
              </w:rPr>
              <w:t>Profession, responses % (n)</w:t>
            </w:r>
          </w:p>
        </w:tc>
      </w:tr>
      <w:tr w:rsidR="00821B82" w:rsidRPr="001F0E7B" w14:paraId="53F44D43" w14:textId="77777777" w:rsidTr="00282204">
        <w:trPr>
          <w:trHeight w:val="338"/>
          <w:jc w:val="center"/>
        </w:trPr>
        <w:tc>
          <w:tcPr>
            <w:tcW w:w="1956" w:type="dxa"/>
            <w:vMerge/>
            <w:tcBorders>
              <w:bottom w:val="single" w:sz="4" w:space="0" w:color="auto"/>
            </w:tcBorders>
          </w:tcPr>
          <w:p w14:paraId="47DB6D2E" w14:textId="77777777" w:rsidR="00821B82" w:rsidRPr="001F0E7B" w:rsidRDefault="00821B82" w:rsidP="00282204">
            <w:pPr>
              <w:spacing w:line="360" w:lineRule="auto"/>
              <w:rPr>
                <w:rFonts w:asciiTheme="minorBidi" w:eastAsia="Times New Roman" w:hAnsiTheme="minorBidi"/>
                <w:color w:val="32363A"/>
                <w:sz w:val="18"/>
                <w:szCs w:val="18"/>
                <w:shd w:val="clear" w:color="auto" w:fill="FFFFFF"/>
              </w:rPr>
            </w:pPr>
          </w:p>
        </w:tc>
        <w:tc>
          <w:tcPr>
            <w:tcW w:w="1956" w:type="dxa"/>
            <w:tcBorders>
              <w:bottom w:val="single" w:sz="4" w:space="0" w:color="auto"/>
            </w:tcBorders>
          </w:tcPr>
          <w:p w14:paraId="47F86ABB" w14:textId="77777777" w:rsidR="00821B82" w:rsidRPr="001F0E7B" w:rsidRDefault="00821B82" w:rsidP="00282204">
            <w:pPr>
              <w:spacing w:line="360" w:lineRule="auto"/>
              <w:rPr>
                <w:rFonts w:asciiTheme="minorBidi" w:eastAsia="Times New Roman" w:hAnsiTheme="minorBidi"/>
                <w:b/>
                <w:bCs/>
                <w:color w:val="32363A"/>
                <w:sz w:val="18"/>
                <w:szCs w:val="18"/>
                <w:shd w:val="clear" w:color="auto" w:fill="FFFFFF"/>
              </w:rPr>
            </w:pPr>
            <w:r w:rsidRPr="001F0E7B">
              <w:rPr>
                <w:rFonts w:asciiTheme="minorBidi" w:eastAsia="Times New Roman" w:hAnsiTheme="minorBidi"/>
                <w:b/>
                <w:bCs/>
                <w:color w:val="32363A"/>
                <w:sz w:val="18"/>
                <w:szCs w:val="18"/>
                <w:shd w:val="clear" w:color="auto" w:fill="FFFFFF"/>
              </w:rPr>
              <w:t>Doctor</w:t>
            </w:r>
          </w:p>
        </w:tc>
        <w:tc>
          <w:tcPr>
            <w:tcW w:w="1957" w:type="dxa"/>
            <w:tcBorders>
              <w:bottom w:val="single" w:sz="4" w:space="0" w:color="auto"/>
            </w:tcBorders>
          </w:tcPr>
          <w:p w14:paraId="20236CCA" w14:textId="77777777" w:rsidR="00821B82" w:rsidRPr="001F0E7B" w:rsidRDefault="00821B82" w:rsidP="00282204">
            <w:pPr>
              <w:spacing w:line="360" w:lineRule="auto"/>
              <w:rPr>
                <w:rFonts w:asciiTheme="minorBidi" w:eastAsia="Times New Roman" w:hAnsiTheme="minorBidi"/>
                <w:b/>
                <w:bCs/>
                <w:color w:val="32363A"/>
                <w:sz w:val="18"/>
                <w:szCs w:val="18"/>
                <w:shd w:val="clear" w:color="auto" w:fill="FFFFFF"/>
              </w:rPr>
            </w:pPr>
            <w:r w:rsidRPr="001F0E7B">
              <w:rPr>
                <w:rFonts w:asciiTheme="minorBidi" w:eastAsia="Times New Roman" w:hAnsiTheme="minorBidi"/>
                <w:b/>
                <w:bCs/>
                <w:color w:val="32363A"/>
                <w:sz w:val="18"/>
                <w:szCs w:val="18"/>
                <w:shd w:val="clear" w:color="auto" w:fill="FFFFFF"/>
              </w:rPr>
              <w:t>Pharmacist</w:t>
            </w:r>
          </w:p>
        </w:tc>
        <w:tc>
          <w:tcPr>
            <w:tcW w:w="1957" w:type="dxa"/>
            <w:tcBorders>
              <w:bottom w:val="single" w:sz="4" w:space="0" w:color="auto"/>
            </w:tcBorders>
          </w:tcPr>
          <w:p w14:paraId="0A114798" w14:textId="77777777" w:rsidR="00821B82" w:rsidRPr="001F0E7B" w:rsidRDefault="00821B82" w:rsidP="00282204">
            <w:pPr>
              <w:spacing w:line="360" w:lineRule="auto"/>
              <w:rPr>
                <w:rFonts w:asciiTheme="minorBidi" w:eastAsia="Times New Roman" w:hAnsiTheme="minorBidi"/>
                <w:b/>
                <w:bCs/>
                <w:color w:val="32363A"/>
                <w:sz w:val="18"/>
                <w:szCs w:val="18"/>
                <w:shd w:val="clear" w:color="auto" w:fill="FFFFFF"/>
              </w:rPr>
            </w:pPr>
            <w:r w:rsidRPr="001F0E7B">
              <w:rPr>
                <w:rFonts w:asciiTheme="minorBidi" w:eastAsia="Times New Roman" w:hAnsiTheme="minorBidi"/>
                <w:b/>
                <w:bCs/>
                <w:color w:val="32363A"/>
                <w:sz w:val="18"/>
                <w:szCs w:val="18"/>
                <w:shd w:val="clear" w:color="auto" w:fill="FFFFFF"/>
              </w:rPr>
              <w:t>Nurse</w:t>
            </w:r>
          </w:p>
        </w:tc>
      </w:tr>
      <w:tr w:rsidR="00821B82" w:rsidRPr="001F0E7B" w14:paraId="1B039859" w14:textId="77777777" w:rsidTr="00282204">
        <w:trPr>
          <w:trHeight w:val="283"/>
          <w:jc w:val="center"/>
        </w:trPr>
        <w:tc>
          <w:tcPr>
            <w:tcW w:w="1956" w:type="dxa"/>
            <w:tcBorders>
              <w:top w:val="single" w:sz="4" w:space="0" w:color="auto"/>
            </w:tcBorders>
          </w:tcPr>
          <w:p w14:paraId="5E44E246" w14:textId="77777777" w:rsidR="00821B82" w:rsidRPr="001F0E7B" w:rsidRDefault="00821B82" w:rsidP="00282204">
            <w:pPr>
              <w:spacing w:line="360" w:lineRule="auto"/>
              <w:rPr>
                <w:rFonts w:asciiTheme="minorBidi" w:eastAsia="Times New Roman" w:hAnsiTheme="minorBidi"/>
                <w:color w:val="32363A"/>
                <w:sz w:val="18"/>
                <w:szCs w:val="18"/>
                <w:shd w:val="clear" w:color="auto" w:fill="FFFFFF"/>
              </w:rPr>
            </w:pPr>
            <w:r w:rsidRPr="001F0E7B">
              <w:rPr>
                <w:rFonts w:asciiTheme="minorBidi" w:hAnsiTheme="minorBidi"/>
                <w:color w:val="264A60"/>
                <w:sz w:val="18"/>
                <w:szCs w:val="18"/>
              </w:rPr>
              <w:t>0-5</w:t>
            </w:r>
            <w:r>
              <w:rPr>
                <w:rFonts w:asciiTheme="minorBidi" w:hAnsiTheme="minorBidi"/>
                <w:color w:val="264A60"/>
                <w:sz w:val="18"/>
                <w:szCs w:val="18"/>
              </w:rPr>
              <w:t xml:space="preserve"> (17)</w:t>
            </w:r>
          </w:p>
        </w:tc>
        <w:tc>
          <w:tcPr>
            <w:tcW w:w="1956" w:type="dxa"/>
            <w:tcBorders>
              <w:top w:val="single" w:sz="4" w:space="0" w:color="auto"/>
            </w:tcBorders>
          </w:tcPr>
          <w:p w14:paraId="13A97697" w14:textId="77777777" w:rsidR="00821B82" w:rsidRPr="001F0E7B" w:rsidRDefault="00821B82" w:rsidP="00282204">
            <w:pPr>
              <w:spacing w:line="360" w:lineRule="auto"/>
              <w:rPr>
                <w:rFonts w:asciiTheme="minorBidi" w:eastAsia="Times New Roman" w:hAnsiTheme="minorBidi"/>
                <w:color w:val="32363A"/>
                <w:sz w:val="18"/>
                <w:szCs w:val="18"/>
                <w:shd w:val="clear" w:color="auto" w:fill="FFFFFF"/>
              </w:rPr>
            </w:pPr>
            <w:r w:rsidRPr="001F0E7B">
              <w:rPr>
                <w:rFonts w:asciiTheme="minorBidi" w:hAnsiTheme="minorBidi"/>
                <w:sz w:val="18"/>
                <w:szCs w:val="18"/>
              </w:rPr>
              <w:t>7</w:t>
            </w:r>
            <w:r>
              <w:rPr>
                <w:rFonts w:asciiTheme="minorBidi" w:hAnsiTheme="minorBidi"/>
                <w:sz w:val="18"/>
                <w:szCs w:val="18"/>
              </w:rPr>
              <w:t>6</w:t>
            </w:r>
            <w:r w:rsidRPr="001F0E7B">
              <w:rPr>
                <w:rFonts w:asciiTheme="minorBidi" w:hAnsiTheme="minorBidi"/>
                <w:sz w:val="18"/>
                <w:szCs w:val="18"/>
              </w:rPr>
              <w:t xml:space="preserve"> (13)</w:t>
            </w:r>
          </w:p>
        </w:tc>
        <w:tc>
          <w:tcPr>
            <w:tcW w:w="1957" w:type="dxa"/>
            <w:tcBorders>
              <w:top w:val="single" w:sz="4" w:space="0" w:color="auto"/>
            </w:tcBorders>
          </w:tcPr>
          <w:p w14:paraId="67374C8E" w14:textId="77777777" w:rsidR="00821B82" w:rsidRPr="001F0E7B" w:rsidRDefault="00821B82" w:rsidP="00282204">
            <w:pPr>
              <w:spacing w:line="360" w:lineRule="auto"/>
              <w:rPr>
                <w:rFonts w:asciiTheme="minorBidi" w:eastAsia="Times New Roman" w:hAnsiTheme="minorBidi"/>
                <w:color w:val="32363A"/>
                <w:sz w:val="18"/>
                <w:szCs w:val="18"/>
                <w:shd w:val="clear" w:color="auto" w:fill="FFFFFF"/>
              </w:rPr>
            </w:pPr>
            <w:r w:rsidRPr="001F0E7B">
              <w:rPr>
                <w:rFonts w:asciiTheme="minorBidi" w:hAnsiTheme="minorBidi"/>
                <w:sz w:val="18"/>
                <w:szCs w:val="18"/>
              </w:rPr>
              <w:t>6 (1)</w:t>
            </w:r>
          </w:p>
        </w:tc>
        <w:tc>
          <w:tcPr>
            <w:tcW w:w="1957" w:type="dxa"/>
            <w:tcBorders>
              <w:top w:val="single" w:sz="4" w:space="0" w:color="auto"/>
            </w:tcBorders>
          </w:tcPr>
          <w:p w14:paraId="4F80CB49" w14:textId="77777777" w:rsidR="00821B82" w:rsidRPr="001F0E7B" w:rsidRDefault="00821B82" w:rsidP="00282204">
            <w:pPr>
              <w:spacing w:line="360" w:lineRule="auto"/>
              <w:rPr>
                <w:rFonts w:asciiTheme="minorBidi" w:eastAsia="Times New Roman" w:hAnsiTheme="minorBidi"/>
                <w:color w:val="32363A"/>
                <w:sz w:val="18"/>
                <w:szCs w:val="18"/>
                <w:shd w:val="clear" w:color="auto" w:fill="FFFFFF"/>
              </w:rPr>
            </w:pPr>
            <w:r>
              <w:rPr>
                <w:rFonts w:asciiTheme="minorBidi" w:hAnsiTheme="minorBidi"/>
                <w:sz w:val="18"/>
                <w:szCs w:val="18"/>
              </w:rPr>
              <w:t>18</w:t>
            </w:r>
            <w:r w:rsidRPr="001F0E7B">
              <w:rPr>
                <w:rFonts w:asciiTheme="minorBidi" w:hAnsiTheme="minorBidi"/>
                <w:sz w:val="18"/>
                <w:szCs w:val="18"/>
              </w:rPr>
              <w:t xml:space="preserve"> (</w:t>
            </w:r>
            <w:r>
              <w:rPr>
                <w:rFonts w:asciiTheme="minorBidi" w:hAnsiTheme="minorBidi"/>
                <w:sz w:val="18"/>
                <w:szCs w:val="18"/>
              </w:rPr>
              <w:t>3</w:t>
            </w:r>
            <w:r w:rsidRPr="001F0E7B">
              <w:rPr>
                <w:rFonts w:asciiTheme="minorBidi" w:hAnsiTheme="minorBidi"/>
                <w:sz w:val="18"/>
                <w:szCs w:val="18"/>
              </w:rPr>
              <w:t>)</w:t>
            </w:r>
          </w:p>
        </w:tc>
      </w:tr>
      <w:tr w:rsidR="00821B82" w:rsidRPr="001F0E7B" w14:paraId="2F345E5B" w14:textId="77777777" w:rsidTr="00282204">
        <w:trPr>
          <w:trHeight w:val="377"/>
          <w:jc w:val="center"/>
        </w:trPr>
        <w:tc>
          <w:tcPr>
            <w:tcW w:w="1956" w:type="dxa"/>
          </w:tcPr>
          <w:p w14:paraId="73F8463A" w14:textId="77777777" w:rsidR="00821B82" w:rsidRPr="001F0E7B" w:rsidRDefault="00821B82" w:rsidP="00282204">
            <w:pPr>
              <w:spacing w:line="360" w:lineRule="auto"/>
              <w:rPr>
                <w:rFonts w:asciiTheme="minorBidi" w:eastAsia="Times New Roman" w:hAnsiTheme="minorBidi"/>
                <w:color w:val="32363A"/>
                <w:sz w:val="18"/>
                <w:szCs w:val="18"/>
                <w:shd w:val="clear" w:color="auto" w:fill="FFFFFF"/>
              </w:rPr>
            </w:pPr>
            <w:r w:rsidRPr="001F0E7B">
              <w:rPr>
                <w:rFonts w:asciiTheme="minorBidi" w:hAnsiTheme="minorBidi"/>
                <w:color w:val="264A60"/>
                <w:sz w:val="18"/>
                <w:szCs w:val="18"/>
              </w:rPr>
              <w:t>&gt;5-10</w:t>
            </w:r>
            <w:r>
              <w:rPr>
                <w:rFonts w:asciiTheme="minorBidi" w:hAnsiTheme="minorBidi"/>
                <w:color w:val="264A60"/>
                <w:sz w:val="18"/>
                <w:szCs w:val="18"/>
              </w:rPr>
              <w:t xml:space="preserve"> (19)</w:t>
            </w:r>
          </w:p>
        </w:tc>
        <w:tc>
          <w:tcPr>
            <w:tcW w:w="1956" w:type="dxa"/>
          </w:tcPr>
          <w:p w14:paraId="16AB0C3E" w14:textId="77777777" w:rsidR="00821B82" w:rsidRPr="001F0E7B" w:rsidRDefault="00821B82" w:rsidP="00282204">
            <w:pPr>
              <w:spacing w:line="360" w:lineRule="auto"/>
              <w:rPr>
                <w:rFonts w:asciiTheme="minorBidi" w:eastAsia="Times New Roman" w:hAnsiTheme="minorBidi"/>
                <w:color w:val="32363A"/>
                <w:sz w:val="18"/>
                <w:szCs w:val="18"/>
                <w:shd w:val="clear" w:color="auto" w:fill="FFFFFF"/>
              </w:rPr>
            </w:pPr>
            <w:r w:rsidRPr="001F0E7B">
              <w:rPr>
                <w:rFonts w:asciiTheme="minorBidi" w:hAnsiTheme="minorBidi"/>
                <w:sz w:val="18"/>
                <w:szCs w:val="18"/>
              </w:rPr>
              <w:t>74 (14)</w:t>
            </w:r>
          </w:p>
        </w:tc>
        <w:tc>
          <w:tcPr>
            <w:tcW w:w="1957" w:type="dxa"/>
          </w:tcPr>
          <w:p w14:paraId="3B017307" w14:textId="77777777" w:rsidR="00821B82" w:rsidRPr="001F0E7B" w:rsidRDefault="00821B82" w:rsidP="00282204">
            <w:pPr>
              <w:spacing w:line="360" w:lineRule="auto"/>
              <w:rPr>
                <w:rFonts w:asciiTheme="minorBidi" w:eastAsia="Times New Roman" w:hAnsiTheme="minorBidi"/>
                <w:color w:val="32363A"/>
                <w:sz w:val="18"/>
                <w:szCs w:val="18"/>
                <w:shd w:val="clear" w:color="auto" w:fill="FFFFFF"/>
              </w:rPr>
            </w:pPr>
            <w:r w:rsidRPr="001F0E7B">
              <w:rPr>
                <w:rFonts w:asciiTheme="minorBidi" w:hAnsiTheme="minorBidi"/>
                <w:sz w:val="18"/>
                <w:szCs w:val="18"/>
              </w:rPr>
              <w:t>21 (4)</w:t>
            </w:r>
          </w:p>
        </w:tc>
        <w:tc>
          <w:tcPr>
            <w:tcW w:w="1957" w:type="dxa"/>
          </w:tcPr>
          <w:p w14:paraId="41A6987A" w14:textId="77777777" w:rsidR="00821B82" w:rsidRPr="001F0E7B" w:rsidRDefault="00821B82" w:rsidP="00282204">
            <w:pPr>
              <w:spacing w:line="360" w:lineRule="auto"/>
              <w:rPr>
                <w:rFonts w:asciiTheme="minorBidi" w:eastAsia="Times New Roman" w:hAnsiTheme="minorBidi"/>
                <w:color w:val="32363A"/>
                <w:sz w:val="18"/>
                <w:szCs w:val="18"/>
                <w:shd w:val="clear" w:color="auto" w:fill="FFFFFF"/>
              </w:rPr>
            </w:pPr>
            <w:r w:rsidRPr="001F0E7B">
              <w:rPr>
                <w:rFonts w:asciiTheme="minorBidi" w:hAnsiTheme="minorBidi"/>
                <w:sz w:val="18"/>
                <w:szCs w:val="18"/>
              </w:rPr>
              <w:t>5 (1)</w:t>
            </w:r>
          </w:p>
        </w:tc>
      </w:tr>
      <w:tr w:rsidR="00821B82" w:rsidRPr="001F0E7B" w14:paraId="0A462BBA" w14:textId="77777777" w:rsidTr="00282204">
        <w:trPr>
          <w:trHeight w:val="377"/>
          <w:jc w:val="center"/>
        </w:trPr>
        <w:tc>
          <w:tcPr>
            <w:tcW w:w="1956" w:type="dxa"/>
            <w:tcBorders>
              <w:bottom w:val="single" w:sz="4" w:space="0" w:color="auto"/>
            </w:tcBorders>
          </w:tcPr>
          <w:p w14:paraId="0714A154" w14:textId="77777777" w:rsidR="00821B82" w:rsidRPr="001F0E7B" w:rsidRDefault="00821B82" w:rsidP="00282204">
            <w:pPr>
              <w:spacing w:line="360" w:lineRule="auto"/>
              <w:rPr>
                <w:rFonts w:asciiTheme="minorBidi" w:hAnsiTheme="minorBidi"/>
                <w:color w:val="264A60"/>
                <w:sz w:val="18"/>
                <w:szCs w:val="18"/>
              </w:rPr>
            </w:pPr>
            <w:r w:rsidRPr="001F0E7B">
              <w:rPr>
                <w:rFonts w:asciiTheme="minorBidi" w:hAnsiTheme="minorBidi"/>
                <w:color w:val="264A60"/>
                <w:sz w:val="18"/>
                <w:szCs w:val="18"/>
              </w:rPr>
              <w:t>&gt;10</w:t>
            </w:r>
            <w:r>
              <w:rPr>
                <w:rFonts w:asciiTheme="minorBidi" w:hAnsiTheme="minorBidi"/>
                <w:color w:val="264A60"/>
                <w:sz w:val="18"/>
                <w:szCs w:val="18"/>
              </w:rPr>
              <w:t xml:space="preserve"> (70)</w:t>
            </w:r>
          </w:p>
        </w:tc>
        <w:tc>
          <w:tcPr>
            <w:tcW w:w="1956" w:type="dxa"/>
            <w:tcBorders>
              <w:bottom w:val="single" w:sz="4" w:space="0" w:color="auto"/>
            </w:tcBorders>
          </w:tcPr>
          <w:p w14:paraId="3D7DC5F1" w14:textId="77777777" w:rsidR="00821B82" w:rsidRPr="001F0E7B" w:rsidRDefault="00821B82" w:rsidP="00282204">
            <w:pPr>
              <w:spacing w:line="360" w:lineRule="auto"/>
              <w:rPr>
                <w:rFonts w:asciiTheme="minorBidi" w:hAnsiTheme="minorBidi"/>
                <w:sz w:val="18"/>
                <w:szCs w:val="18"/>
              </w:rPr>
            </w:pPr>
            <w:r w:rsidRPr="001F0E7B">
              <w:rPr>
                <w:rFonts w:asciiTheme="minorBidi" w:hAnsiTheme="minorBidi"/>
                <w:sz w:val="18"/>
                <w:szCs w:val="18"/>
              </w:rPr>
              <w:t>31 (22)</w:t>
            </w:r>
          </w:p>
        </w:tc>
        <w:tc>
          <w:tcPr>
            <w:tcW w:w="1957" w:type="dxa"/>
            <w:tcBorders>
              <w:bottom w:val="single" w:sz="4" w:space="0" w:color="auto"/>
            </w:tcBorders>
          </w:tcPr>
          <w:p w14:paraId="1D1F91C2" w14:textId="77777777" w:rsidR="00821B82" w:rsidRPr="001F0E7B" w:rsidRDefault="00821B82" w:rsidP="00282204">
            <w:pPr>
              <w:spacing w:line="360" w:lineRule="auto"/>
              <w:rPr>
                <w:rFonts w:asciiTheme="minorBidi" w:hAnsiTheme="minorBidi"/>
                <w:sz w:val="18"/>
                <w:szCs w:val="18"/>
              </w:rPr>
            </w:pPr>
            <w:r w:rsidRPr="001F0E7B">
              <w:rPr>
                <w:rFonts w:asciiTheme="minorBidi" w:hAnsiTheme="minorBidi"/>
                <w:sz w:val="18"/>
                <w:szCs w:val="18"/>
              </w:rPr>
              <w:t>3</w:t>
            </w:r>
            <w:r>
              <w:rPr>
                <w:rFonts w:asciiTheme="minorBidi" w:hAnsiTheme="minorBidi"/>
                <w:sz w:val="18"/>
                <w:szCs w:val="18"/>
              </w:rPr>
              <w:t>6</w:t>
            </w:r>
            <w:r w:rsidRPr="001F0E7B">
              <w:rPr>
                <w:rFonts w:asciiTheme="minorBidi" w:hAnsiTheme="minorBidi"/>
                <w:sz w:val="18"/>
                <w:szCs w:val="18"/>
              </w:rPr>
              <w:t xml:space="preserve"> (2</w:t>
            </w:r>
            <w:r>
              <w:rPr>
                <w:rFonts w:asciiTheme="minorBidi" w:hAnsiTheme="minorBidi"/>
                <w:sz w:val="18"/>
                <w:szCs w:val="18"/>
              </w:rPr>
              <w:t>5</w:t>
            </w:r>
            <w:r w:rsidRPr="001F0E7B">
              <w:rPr>
                <w:rFonts w:asciiTheme="minorBidi" w:hAnsiTheme="minorBidi"/>
                <w:sz w:val="18"/>
                <w:szCs w:val="18"/>
              </w:rPr>
              <w:t>)</w:t>
            </w:r>
          </w:p>
        </w:tc>
        <w:tc>
          <w:tcPr>
            <w:tcW w:w="1957" w:type="dxa"/>
            <w:tcBorders>
              <w:bottom w:val="single" w:sz="4" w:space="0" w:color="auto"/>
            </w:tcBorders>
          </w:tcPr>
          <w:p w14:paraId="5F2785D5" w14:textId="77777777" w:rsidR="00821B82" w:rsidRPr="001F0E7B" w:rsidRDefault="00821B82" w:rsidP="00282204">
            <w:pPr>
              <w:spacing w:line="360" w:lineRule="auto"/>
              <w:rPr>
                <w:rFonts w:asciiTheme="minorBidi" w:hAnsiTheme="minorBidi"/>
                <w:sz w:val="18"/>
                <w:szCs w:val="18"/>
              </w:rPr>
            </w:pPr>
            <w:r w:rsidRPr="001F0E7B">
              <w:rPr>
                <w:rFonts w:asciiTheme="minorBidi" w:hAnsiTheme="minorBidi"/>
                <w:sz w:val="18"/>
                <w:szCs w:val="18"/>
              </w:rPr>
              <w:t>3</w:t>
            </w:r>
            <w:r>
              <w:rPr>
                <w:rFonts w:asciiTheme="minorBidi" w:hAnsiTheme="minorBidi"/>
                <w:sz w:val="18"/>
                <w:szCs w:val="18"/>
              </w:rPr>
              <w:t>3</w:t>
            </w:r>
            <w:r w:rsidRPr="001F0E7B">
              <w:rPr>
                <w:rFonts w:asciiTheme="minorBidi" w:hAnsiTheme="minorBidi"/>
                <w:sz w:val="18"/>
                <w:szCs w:val="18"/>
              </w:rPr>
              <w:t xml:space="preserve"> (23)</w:t>
            </w:r>
          </w:p>
        </w:tc>
      </w:tr>
    </w:tbl>
    <w:p w14:paraId="41082EE6" w14:textId="77777777" w:rsidR="00821B82" w:rsidRDefault="00821B82" w:rsidP="00821B82">
      <w:pPr>
        <w:pStyle w:val="NoSpacing"/>
        <w:rPr>
          <w:shd w:val="clear" w:color="auto" w:fill="FFFFFF"/>
        </w:rPr>
      </w:pPr>
    </w:p>
    <w:p w14:paraId="71FC0D76" w14:textId="77777777" w:rsidR="00821B82" w:rsidRDefault="00821B82" w:rsidP="00821B82">
      <w:pPr>
        <w:pStyle w:val="NoSpacing"/>
        <w:rPr>
          <w:shd w:val="clear" w:color="auto" w:fill="FFFFFF"/>
        </w:rPr>
      </w:pPr>
    </w:p>
    <w:p w14:paraId="6D9D54E3" w14:textId="77777777" w:rsidR="00821B82" w:rsidRPr="003954A6" w:rsidRDefault="00821B82" w:rsidP="00821B82">
      <w:pPr>
        <w:pStyle w:val="Heading4"/>
        <w:numPr>
          <w:ilvl w:val="3"/>
          <w:numId w:val="14"/>
        </w:numPr>
        <w:tabs>
          <w:tab w:val="left" w:pos="810"/>
        </w:tabs>
        <w:spacing w:line="240" w:lineRule="auto"/>
        <w:rPr>
          <w:rFonts w:asciiTheme="minorBidi" w:hAnsiTheme="minorBidi" w:cstheme="minorBidi"/>
          <w:sz w:val="24"/>
          <w:szCs w:val="24"/>
        </w:rPr>
      </w:pPr>
      <w:r w:rsidRPr="003954A6">
        <w:rPr>
          <w:rFonts w:asciiTheme="minorBidi" w:hAnsiTheme="minorBidi" w:cstheme="minorBidi"/>
          <w:sz w:val="24"/>
          <w:szCs w:val="24"/>
        </w:rPr>
        <w:t>Results of open-ended questions</w:t>
      </w:r>
    </w:p>
    <w:p w14:paraId="47CE6D65" w14:textId="77777777" w:rsidR="00821B82" w:rsidRDefault="00821B82" w:rsidP="00821B82">
      <w:pPr>
        <w:spacing w:before="240" w:line="360" w:lineRule="auto"/>
        <w:jc w:val="both"/>
        <w:rPr>
          <w:rFonts w:asciiTheme="minorBidi" w:eastAsia="Times New Roman" w:hAnsiTheme="minorBidi"/>
          <w:color w:val="32363A"/>
          <w:sz w:val="24"/>
          <w:szCs w:val="24"/>
          <w:shd w:val="clear" w:color="auto" w:fill="FFFFFF"/>
        </w:rPr>
      </w:pPr>
      <w:r>
        <w:rPr>
          <w:rFonts w:asciiTheme="minorBidi" w:eastAsia="Times New Roman" w:hAnsiTheme="minorBidi"/>
          <w:color w:val="32363A"/>
          <w:sz w:val="24"/>
          <w:szCs w:val="24"/>
          <w:shd w:val="clear" w:color="auto" w:fill="FFFFFF"/>
        </w:rPr>
        <w:t>Responde</w:t>
      </w:r>
      <w:r w:rsidRPr="00CC5A0D">
        <w:rPr>
          <w:rFonts w:asciiTheme="minorBidi" w:eastAsia="Times New Roman" w:hAnsiTheme="minorBidi"/>
          <w:color w:val="32363A"/>
          <w:sz w:val="24"/>
          <w:szCs w:val="24"/>
          <w:shd w:val="clear" w:color="auto" w:fill="FFFFFF"/>
        </w:rPr>
        <w:t xml:space="preserve">nts were also asked to suggest other ways in which pharmacists could impact diabetes care services. </w:t>
      </w:r>
      <w:r>
        <w:rPr>
          <w:rFonts w:asciiTheme="minorBidi" w:eastAsia="Times New Roman" w:hAnsiTheme="minorBidi"/>
          <w:color w:val="32363A"/>
          <w:sz w:val="24"/>
          <w:szCs w:val="24"/>
          <w:shd w:val="clear" w:color="auto" w:fill="FFFFFF"/>
        </w:rPr>
        <w:t>Only doctors with postgraduate degrees (master’s or doctoral) gave responses to this question, which included the following: p</w:t>
      </w:r>
      <w:r w:rsidRPr="00CC5A0D">
        <w:rPr>
          <w:rFonts w:asciiTheme="minorBidi" w:eastAsia="Times New Roman" w:hAnsiTheme="minorBidi"/>
          <w:color w:val="32363A"/>
          <w:sz w:val="24"/>
          <w:szCs w:val="24"/>
          <w:shd w:val="clear" w:color="auto" w:fill="FFFFFF"/>
        </w:rPr>
        <w:t>harmacists can monitor service quality, assist in infection control and prevention service, improve patient compliance by providing virtual follow-up, prevent or reduce drug interactions with patients taking multiple medications</w:t>
      </w:r>
      <w:r>
        <w:rPr>
          <w:rFonts w:asciiTheme="minorBidi" w:eastAsia="Times New Roman" w:hAnsiTheme="minorBidi"/>
          <w:color w:val="32363A"/>
          <w:sz w:val="24"/>
          <w:szCs w:val="24"/>
          <w:shd w:val="clear" w:color="auto" w:fill="FFFFFF"/>
        </w:rPr>
        <w:t>,</w:t>
      </w:r>
      <w:r w:rsidRPr="00CC5A0D">
        <w:rPr>
          <w:rFonts w:asciiTheme="minorBidi" w:eastAsia="Times New Roman" w:hAnsiTheme="minorBidi"/>
          <w:color w:val="32363A"/>
          <w:sz w:val="24"/>
          <w:szCs w:val="24"/>
          <w:shd w:val="clear" w:color="auto" w:fill="FFFFFF"/>
        </w:rPr>
        <w:t xml:space="preserve"> and offer dietetic recommendations to patients with diabetes.</w:t>
      </w:r>
    </w:p>
    <w:p w14:paraId="554788F1" w14:textId="77777777" w:rsidR="00821B82" w:rsidRPr="000E2480" w:rsidRDefault="00821B82" w:rsidP="00821B82">
      <w:pPr>
        <w:spacing w:line="360" w:lineRule="auto"/>
        <w:jc w:val="both"/>
        <w:rPr>
          <w:rFonts w:asciiTheme="minorBidi" w:eastAsia="Times New Roman" w:hAnsiTheme="minorBidi"/>
          <w:color w:val="32363A"/>
          <w:sz w:val="24"/>
          <w:szCs w:val="24"/>
          <w:shd w:val="clear" w:color="auto" w:fill="FFFFFF"/>
        </w:rPr>
        <w:sectPr w:rsidR="00821B82" w:rsidRPr="000E2480" w:rsidSect="00282204">
          <w:pgSz w:w="12240" w:h="15840"/>
          <w:pgMar w:top="1440" w:right="1440" w:bottom="1440" w:left="1440" w:header="720" w:footer="720" w:gutter="0"/>
          <w:cols w:space="720"/>
          <w:docGrid w:linePitch="360"/>
        </w:sectPr>
      </w:pPr>
      <w:r w:rsidRPr="00860ACB">
        <w:rPr>
          <w:rFonts w:asciiTheme="minorBidi" w:eastAsia="Times New Roman" w:hAnsiTheme="minorBidi"/>
          <w:color w:val="32363A"/>
          <w:sz w:val="24"/>
          <w:szCs w:val="24"/>
          <w:shd w:val="clear" w:color="auto" w:fill="FFFFFF"/>
        </w:rPr>
        <w:t xml:space="preserve">The results in this section indicate </w:t>
      </w:r>
      <w:r>
        <w:rPr>
          <w:rFonts w:asciiTheme="minorBidi" w:eastAsia="Times New Roman" w:hAnsiTheme="minorBidi"/>
          <w:color w:val="32363A"/>
          <w:sz w:val="24"/>
          <w:szCs w:val="24"/>
          <w:shd w:val="clear" w:color="auto" w:fill="FFFFFF"/>
        </w:rPr>
        <w:t xml:space="preserve">that </w:t>
      </w:r>
      <w:r w:rsidRPr="00860ACB">
        <w:rPr>
          <w:rFonts w:asciiTheme="minorBidi" w:eastAsia="Times New Roman" w:hAnsiTheme="minorBidi"/>
          <w:color w:val="32363A"/>
          <w:sz w:val="24"/>
          <w:szCs w:val="24"/>
          <w:shd w:val="clear" w:color="auto" w:fill="FFFFFF"/>
        </w:rPr>
        <w:t xml:space="preserve">most </w:t>
      </w:r>
      <w:r>
        <w:rPr>
          <w:rFonts w:asciiTheme="minorBidi" w:eastAsia="Times New Roman" w:hAnsiTheme="minorBidi"/>
          <w:color w:val="32363A"/>
          <w:sz w:val="24"/>
          <w:szCs w:val="24"/>
          <w:shd w:val="clear" w:color="auto" w:fill="FFFFFF"/>
        </w:rPr>
        <w:t xml:space="preserve">HCPs with different years of experiences have </w:t>
      </w:r>
      <w:r w:rsidRPr="00860ACB">
        <w:rPr>
          <w:rFonts w:asciiTheme="minorBidi" w:eastAsia="Times New Roman" w:hAnsiTheme="minorBidi"/>
          <w:color w:val="32363A"/>
          <w:sz w:val="24"/>
          <w:szCs w:val="24"/>
          <w:shd w:val="clear" w:color="auto" w:fill="FFFFFF"/>
        </w:rPr>
        <w:t>positive views toward the impact of pharmacists' involvement in diabetes management. Thus, the final chapter moves on to discuss the barriers that pharmacists face to provide diabetes-related services to patients with diabetes.</w:t>
      </w:r>
    </w:p>
    <w:p w14:paraId="345D69CE" w14:textId="6D70F745" w:rsidR="00821B82" w:rsidRDefault="00821B82" w:rsidP="00821B82">
      <w:pPr>
        <w:pStyle w:val="Caption"/>
      </w:pPr>
      <w:bookmarkStart w:id="223" w:name="_Ref107316074"/>
      <w:bookmarkStart w:id="224" w:name="_Toc153894577"/>
      <w:r w:rsidRPr="00BA440D">
        <w:t xml:space="preserve">Table </w:t>
      </w:r>
      <w:fldSimple w:instr=" SEQ Table \* ARABIC ">
        <w:r w:rsidR="009B31EB">
          <w:rPr>
            <w:noProof/>
          </w:rPr>
          <w:t>23</w:t>
        </w:r>
      </w:fldSimple>
      <w:bookmarkEnd w:id="223"/>
      <w:r w:rsidRPr="00BA440D">
        <w:t>: Respondents' views based on their experiences; Views on Potential Impact of Pharmacist Involvement in Diabetes Care</w:t>
      </w:r>
      <w:bookmarkEnd w:id="224"/>
    </w:p>
    <w:tbl>
      <w:tblPr>
        <w:tblW w:w="13979" w:type="dxa"/>
        <w:tblLook w:val="04A0" w:firstRow="1" w:lastRow="0" w:firstColumn="1" w:lastColumn="0" w:noHBand="0" w:noVBand="1"/>
      </w:tblPr>
      <w:tblGrid>
        <w:gridCol w:w="3955"/>
        <w:gridCol w:w="1097"/>
        <w:gridCol w:w="917"/>
        <w:gridCol w:w="1080"/>
        <w:gridCol w:w="1063"/>
        <w:gridCol w:w="990"/>
        <w:gridCol w:w="1158"/>
        <w:gridCol w:w="1452"/>
        <w:gridCol w:w="1170"/>
        <w:gridCol w:w="1097"/>
      </w:tblGrid>
      <w:tr w:rsidR="00821B82" w:rsidRPr="001E1371" w14:paraId="1D7A83B0" w14:textId="77777777" w:rsidTr="00282204">
        <w:trPr>
          <w:trHeight w:val="553"/>
          <w:tblHeader/>
        </w:trPr>
        <w:tc>
          <w:tcPr>
            <w:tcW w:w="3955" w:type="dxa"/>
            <w:vMerge w:val="restart"/>
            <w:shd w:val="clear" w:color="000000" w:fill="FFFFFF"/>
            <w:noWrap/>
            <w:vAlign w:val="center"/>
            <w:hideMark/>
          </w:tcPr>
          <w:p w14:paraId="7EB0DF05" w14:textId="77777777" w:rsidR="00821B82" w:rsidRPr="001E1371" w:rsidRDefault="00821B82" w:rsidP="00282204">
            <w:pPr>
              <w:spacing w:after="0" w:line="240" w:lineRule="auto"/>
              <w:rPr>
                <w:rFonts w:ascii="Arial" w:eastAsia="Times New Roman" w:hAnsi="Arial" w:cs="Arial"/>
                <w:color w:val="000000"/>
                <w:sz w:val="18"/>
                <w:szCs w:val="18"/>
              </w:rPr>
            </w:pPr>
            <w:r w:rsidRPr="001E1371">
              <w:rPr>
                <w:rFonts w:ascii="Arial" w:eastAsia="Times New Roman" w:hAnsi="Arial" w:cs="Arial"/>
                <w:color w:val="000000"/>
                <w:sz w:val="18"/>
                <w:szCs w:val="18"/>
              </w:rPr>
              <w:t> Statement</w:t>
            </w:r>
          </w:p>
          <w:p w14:paraId="6268C531" w14:textId="77777777" w:rsidR="00821B82" w:rsidRPr="001E1371" w:rsidRDefault="00821B82" w:rsidP="00282204">
            <w:pPr>
              <w:spacing w:after="0" w:line="240" w:lineRule="auto"/>
              <w:rPr>
                <w:rFonts w:ascii="Arial" w:eastAsia="Times New Roman" w:hAnsi="Arial" w:cs="Arial"/>
                <w:color w:val="000000"/>
                <w:sz w:val="18"/>
                <w:szCs w:val="18"/>
              </w:rPr>
            </w:pPr>
            <w:r w:rsidRPr="001E1371">
              <w:rPr>
                <w:rFonts w:ascii="Arial" w:eastAsia="Times New Roman" w:hAnsi="Arial" w:cs="Arial"/>
                <w:color w:val="000000"/>
                <w:sz w:val="18"/>
                <w:szCs w:val="18"/>
              </w:rPr>
              <w:t> </w:t>
            </w:r>
          </w:p>
        </w:tc>
        <w:tc>
          <w:tcPr>
            <w:tcW w:w="1097" w:type="dxa"/>
            <w:vMerge w:val="restart"/>
            <w:shd w:val="clear" w:color="000000" w:fill="FFFFFF"/>
            <w:noWrap/>
            <w:vAlign w:val="center"/>
            <w:hideMark/>
          </w:tcPr>
          <w:p w14:paraId="6861C4BC" w14:textId="77777777" w:rsidR="00821B82" w:rsidRPr="001E1371" w:rsidRDefault="00821B82" w:rsidP="00282204">
            <w:pPr>
              <w:spacing w:after="0" w:line="240" w:lineRule="auto"/>
              <w:jc w:val="center"/>
              <w:rPr>
                <w:rFonts w:ascii="Arial" w:eastAsia="Times New Roman" w:hAnsi="Arial" w:cs="Arial"/>
                <w:color w:val="000000"/>
                <w:sz w:val="18"/>
                <w:szCs w:val="18"/>
              </w:rPr>
            </w:pPr>
            <w:r w:rsidRPr="001E1371">
              <w:rPr>
                <w:rFonts w:ascii="Arial" w:eastAsia="Times New Roman" w:hAnsi="Arial" w:cs="Arial"/>
                <w:color w:val="000000"/>
                <w:sz w:val="18"/>
                <w:szCs w:val="18"/>
              </w:rPr>
              <w:t>Years of experience</w:t>
            </w:r>
          </w:p>
          <w:p w14:paraId="09C55BA2" w14:textId="77777777" w:rsidR="00821B82" w:rsidRPr="001E1371" w:rsidRDefault="00821B82" w:rsidP="00282204">
            <w:pPr>
              <w:spacing w:after="0" w:line="240" w:lineRule="auto"/>
              <w:jc w:val="center"/>
              <w:rPr>
                <w:rFonts w:ascii="Arial" w:eastAsia="Times New Roman" w:hAnsi="Arial" w:cs="Arial"/>
                <w:color w:val="000000"/>
                <w:sz w:val="18"/>
                <w:szCs w:val="18"/>
              </w:rPr>
            </w:pPr>
          </w:p>
        </w:tc>
        <w:tc>
          <w:tcPr>
            <w:tcW w:w="5208" w:type="dxa"/>
            <w:gridSpan w:val="5"/>
            <w:shd w:val="clear" w:color="000000" w:fill="FFFFFF"/>
            <w:noWrap/>
            <w:vAlign w:val="center"/>
            <w:hideMark/>
          </w:tcPr>
          <w:p w14:paraId="73590893" w14:textId="77777777" w:rsidR="00821B82" w:rsidRPr="001E1371" w:rsidRDefault="00821B82" w:rsidP="00282204">
            <w:pPr>
              <w:spacing w:after="0" w:line="240" w:lineRule="auto"/>
              <w:jc w:val="center"/>
              <w:rPr>
                <w:rFonts w:ascii="Arial" w:eastAsia="Times New Roman" w:hAnsi="Arial" w:cs="Arial"/>
                <w:color w:val="000000"/>
                <w:sz w:val="17"/>
                <w:szCs w:val="17"/>
              </w:rPr>
            </w:pPr>
            <w:r w:rsidRPr="001E1371">
              <w:rPr>
                <w:rFonts w:ascii="Arial" w:eastAsia="Times New Roman" w:hAnsi="Arial" w:cs="Arial"/>
                <w:color w:val="000000"/>
                <w:sz w:val="17"/>
                <w:szCs w:val="17"/>
              </w:rPr>
              <w:t>Responses rate in %, total N=106 (0-5=18, &gt;5-10=19, &gt;10=69)</w:t>
            </w:r>
          </w:p>
        </w:tc>
        <w:tc>
          <w:tcPr>
            <w:tcW w:w="1452" w:type="dxa"/>
            <w:vMerge w:val="restart"/>
            <w:shd w:val="clear" w:color="000000" w:fill="FFFFFF"/>
            <w:vAlign w:val="center"/>
            <w:hideMark/>
          </w:tcPr>
          <w:p w14:paraId="39AAEE7B" w14:textId="77777777" w:rsidR="00821B82" w:rsidRPr="001E1371" w:rsidRDefault="00821B82" w:rsidP="00282204">
            <w:pPr>
              <w:spacing w:after="0" w:line="240" w:lineRule="auto"/>
              <w:jc w:val="center"/>
              <w:rPr>
                <w:rFonts w:ascii="Arial" w:eastAsia="Times New Roman" w:hAnsi="Arial" w:cs="Arial"/>
                <w:color w:val="000000"/>
                <w:sz w:val="18"/>
                <w:szCs w:val="18"/>
              </w:rPr>
            </w:pPr>
            <w:r w:rsidRPr="001E1371">
              <w:rPr>
                <w:rFonts w:ascii="Arial" w:eastAsia="Times New Roman" w:hAnsi="Arial" w:cs="Arial"/>
                <w:color w:val="000000"/>
                <w:sz w:val="18"/>
                <w:szCs w:val="18"/>
              </w:rPr>
              <w:t>Median</w:t>
            </w:r>
            <w:r>
              <w:rPr>
                <w:rFonts w:ascii="Arial" w:eastAsia="Times New Roman" w:hAnsi="Arial" w:cs="Arial"/>
                <w:color w:val="000000"/>
                <w:sz w:val="18"/>
                <w:szCs w:val="18"/>
              </w:rPr>
              <w:t xml:space="preserve"> (I</w:t>
            </w:r>
            <w:r w:rsidRPr="001E1371">
              <w:rPr>
                <w:rFonts w:ascii="Arial" w:eastAsia="Times New Roman" w:hAnsi="Arial" w:cs="Arial"/>
                <w:color w:val="000000"/>
                <w:sz w:val="18"/>
                <w:szCs w:val="18"/>
              </w:rPr>
              <w:t>QR</w:t>
            </w:r>
            <w:r>
              <w:rPr>
                <w:rFonts w:ascii="Arial" w:eastAsia="Times New Roman" w:hAnsi="Arial" w:cs="Arial"/>
                <w:color w:val="000000"/>
                <w:sz w:val="18"/>
                <w:szCs w:val="18"/>
              </w:rPr>
              <w:t>)</w:t>
            </w:r>
          </w:p>
        </w:tc>
        <w:tc>
          <w:tcPr>
            <w:tcW w:w="1170" w:type="dxa"/>
            <w:vMerge w:val="restart"/>
            <w:shd w:val="clear" w:color="000000" w:fill="FFFFFF"/>
            <w:noWrap/>
            <w:vAlign w:val="center"/>
            <w:hideMark/>
          </w:tcPr>
          <w:p w14:paraId="6D8BC0EB" w14:textId="77777777" w:rsidR="00821B82" w:rsidRPr="001E1371" w:rsidRDefault="00821B82" w:rsidP="00282204">
            <w:pPr>
              <w:spacing w:after="0" w:line="240" w:lineRule="auto"/>
              <w:jc w:val="center"/>
              <w:rPr>
                <w:rFonts w:ascii="Arial" w:eastAsia="Times New Roman" w:hAnsi="Arial" w:cs="Arial"/>
                <w:color w:val="000000"/>
                <w:sz w:val="18"/>
                <w:szCs w:val="18"/>
              </w:rPr>
            </w:pPr>
            <w:r w:rsidRPr="001E1371">
              <w:rPr>
                <w:rFonts w:ascii="Arial" w:eastAsia="Times New Roman" w:hAnsi="Arial" w:cs="Arial"/>
                <w:color w:val="000000"/>
                <w:sz w:val="18"/>
                <w:szCs w:val="18"/>
              </w:rPr>
              <w:t>Fisher’s Exact</w:t>
            </w:r>
          </w:p>
          <w:p w14:paraId="2574E837" w14:textId="77777777" w:rsidR="00821B82" w:rsidRPr="001E1371" w:rsidRDefault="00821B82" w:rsidP="00282204">
            <w:pPr>
              <w:spacing w:after="0" w:line="240" w:lineRule="auto"/>
              <w:jc w:val="center"/>
              <w:rPr>
                <w:rFonts w:ascii="Arial" w:eastAsia="Times New Roman" w:hAnsi="Arial" w:cs="Arial"/>
                <w:color w:val="000000"/>
                <w:sz w:val="18"/>
                <w:szCs w:val="18"/>
              </w:rPr>
            </w:pPr>
          </w:p>
        </w:tc>
        <w:tc>
          <w:tcPr>
            <w:tcW w:w="1097" w:type="dxa"/>
            <w:vMerge w:val="restart"/>
            <w:shd w:val="clear" w:color="000000" w:fill="FFFFFF"/>
            <w:noWrap/>
            <w:vAlign w:val="center"/>
            <w:hideMark/>
          </w:tcPr>
          <w:p w14:paraId="10FD4EBD" w14:textId="77777777" w:rsidR="00821B82" w:rsidRPr="001E1371" w:rsidRDefault="00821B82" w:rsidP="00282204">
            <w:pPr>
              <w:spacing w:after="0" w:line="240" w:lineRule="auto"/>
              <w:jc w:val="center"/>
              <w:rPr>
                <w:rFonts w:ascii="Arial" w:eastAsia="Times New Roman" w:hAnsi="Arial" w:cs="Arial"/>
                <w:color w:val="000000"/>
                <w:sz w:val="18"/>
                <w:szCs w:val="18"/>
              </w:rPr>
            </w:pPr>
            <w:r w:rsidRPr="001E1371">
              <w:rPr>
                <w:rFonts w:ascii="Arial" w:eastAsia="Times New Roman" w:hAnsi="Arial" w:cs="Arial"/>
                <w:color w:val="000000"/>
                <w:sz w:val="18"/>
                <w:szCs w:val="18"/>
              </w:rPr>
              <w:t>Spearman Correlation</w:t>
            </w:r>
          </w:p>
          <w:p w14:paraId="60C26A72" w14:textId="77777777" w:rsidR="00821B82" w:rsidRPr="001E1371" w:rsidRDefault="00821B82" w:rsidP="00282204">
            <w:pPr>
              <w:spacing w:after="0" w:line="240" w:lineRule="auto"/>
              <w:jc w:val="center"/>
              <w:rPr>
                <w:rFonts w:ascii="Arial" w:eastAsia="Times New Roman" w:hAnsi="Arial" w:cs="Arial"/>
                <w:color w:val="000000"/>
                <w:sz w:val="18"/>
                <w:szCs w:val="18"/>
              </w:rPr>
            </w:pPr>
          </w:p>
        </w:tc>
      </w:tr>
      <w:tr w:rsidR="00821B82" w:rsidRPr="001E1371" w14:paraId="5F5E4A07" w14:textId="77777777" w:rsidTr="00282204">
        <w:trPr>
          <w:trHeight w:val="388"/>
          <w:tblHeader/>
        </w:trPr>
        <w:tc>
          <w:tcPr>
            <w:tcW w:w="3955" w:type="dxa"/>
            <w:vMerge/>
            <w:tcBorders>
              <w:bottom w:val="single" w:sz="4" w:space="0" w:color="auto"/>
            </w:tcBorders>
            <w:shd w:val="clear" w:color="000000" w:fill="FFFFFF"/>
            <w:noWrap/>
            <w:vAlign w:val="center"/>
            <w:hideMark/>
          </w:tcPr>
          <w:p w14:paraId="001ABC7A" w14:textId="77777777" w:rsidR="00821B82" w:rsidRPr="001E1371" w:rsidRDefault="00821B82" w:rsidP="00282204">
            <w:pPr>
              <w:spacing w:after="0" w:line="240" w:lineRule="auto"/>
              <w:rPr>
                <w:rFonts w:ascii="Arial" w:eastAsia="Times New Roman" w:hAnsi="Arial" w:cs="Arial"/>
                <w:color w:val="000000"/>
                <w:sz w:val="18"/>
                <w:szCs w:val="18"/>
              </w:rPr>
            </w:pPr>
          </w:p>
        </w:tc>
        <w:tc>
          <w:tcPr>
            <w:tcW w:w="1097" w:type="dxa"/>
            <w:vMerge/>
            <w:tcBorders>
              <w:bottom w:val="single" w:sz="4" w:space="0" w:color="auto"/>
            </w:tcBorders>
            <w:shd w:val="clear" w:color="000000" w:fill="FFFFFF"/>
            <w:noWrap/>
            <w:vAlign w:val="center"/>
            <w:hideMark/>
          </w:tcPr>
          <w:p w14:paraId="1CBD3704" w14:textId="77777777" w:rsidR="00821B82" w:rsidRPr="001E1371" w:rsidRDefault="00821B82" w:rsidP="00282204">
            <w:pPr>
              <w:spacing w:after="0" w:line="240" w:lineRule="auto"/>
              <w:jc w:val="center"/>
              <w:rPr>
                <w:rFonts w:ascii="Arial" w:eastAsia="Times New Roman" w:hAnsi="Arial" w:cs="Arial"/>
                <w:color w:val="000000"/>
                <w:sz w:val="18"/>
                <w:szCs w:val="18"/>
              </w:rPr>
            </w:pPr>
          </w:p>
        </w:tc>
        <w:tc>
          <w:tcPr>
            <w:tcW w:w="917" w:type="dxa"/>
            <w:tcBorders>
              <w:bottom w:val="single" w:sz="4" w:space="0" w:color="auto"/>
            </w:tcBorders>
            <w:shd w:val="clear" w:color="000000" w:fill="FFFFFF"/>
            <w:vAlign w:val="center"/>
            <w:hideMark/>
          </w:tcPr>
          <w:p w14:paraId="21F44BC1" w14:textId="77777777" w:rsidR="00821B82" w:rsidRPr="007B7B66" w:rsidRDefault="00821B82" w:rsidP="00282204">
            <w:pPr>
              <w:spacing w:after="0" w:line="240" w:lineRule="auto"/>
              <w:jc w:val="center"/>
              <w:rPr>
                <w:rFonts w:ascii="Arial" w:eastAsia="Times New Roman" w:hAnsi="Arial" w:cs="Arial"/>
                <w:color w:val="000000"/>
                <w:sz w:val="16"/>
                <w:szCs w:val="16"/>
              </w:rPr>
            </w:pPr>
            <w:r w:rsidRPr="007B7B66">
              <w:rPr>
                <w:rFonts w:ascii="Arial" w:eastAsia="Times New Roman" w:hAnsi="Arial" w:cs="Arial"/>
                <w:color w:val="000000"/>
                <w:sz w:val="16"/>
                <w:szCs w:val="16"/>
              </w:rPr>
              <w:t>Strongly disagree</w:t>
            </w:r>
          </w:p>
        </w:tc>
        <w:tc>
          <w:tcPr>
            <w:tcW w:w="1080" w:type="dxa"/>
            <w:tcBorders>
              <w:bottom w:val="single" w:sz="4" w:space="0" w:color="auto"/>
            </w:tcBorders>
            <w:shd w:val="clear" w:color="000000" w:fill="FFFFFF"/>
            <w:vAlign w:val="center"/>
            <w:hideMark/>
          </w:tcPr>
          <w:p w14:paraId="340AEEED" w14:textId="77777777" w:rsidR="00821B82" w:rsidRPr="007B7B66" w:rsidRDefault="00821B82" w:rsidP="00282204">
            <w:pPr>
              <w:spacing w:after="0" w:line="240" w:lineRule="auto"/>
              <w:jc w:val="center"/>
              <w:rPr>
                <w:rFonts w:ascii="Arial" w:eastAsia="Times New Roman" w:hAnsi="Arial" w:cs="Arial"/>
                <w:color w:val="000000"/>
                <w:sz w:val="16"/>
                <w:szCs w:val="16"/>
              </w:rPr>
            </w:pPr>
            <w:r w:rsidRPr="007B7B66">
              <w:rPr>
                <w:rFonts w:ascii="Arial" w:eastAsia="Times New Roman" w:hAnsi="Arial" w:cs="Arial"/>
                <w:color w:val="000000"/>
                <w:sz w:val="16"/>
                <w:szCs w:val="16"/>
              </w:rPr>
              <w:t>Disagree</w:t>
            </w:r>
          </w:p>
        </w:tc>
        <w:tc>
          <w:tcPr>
            <w:tcW w:w="1063" w:type="dxa"/>
            <w:tcBorders>
              <w:bottom w:val="single" w:sz="4" w:space="0" w:color="auto"/>
            </w:tcBorders>
            <w:shd w:val="clear" w:color="000000" w:fill="FFFFFF"/>
            <w:vAlign w:val="center"/>
            <w:hideMark/>
          </w:tcPr>
          <w:p w14:paraId="227CBC56" w14:textId="77777777" w:rsidR="00821B82" w:rsidRPr="007B7B66" w:rsidRDefault="00821B82" w:rsidP="00282204">
            <w:pPr>
              <w:spacing w:after="0" w:line="240" w:lineRule="auto"/>
              <w:jc w:val="center"/>
              <w:rPr>
                <w:rFonts w:ascii="Arial" w:eastAsia="Times New Roman" w:hAnsi="Arial" w:cs="Arial"/>
                <w:color w:val="000000"/>
                <w:sz w:val="16"/>
                <w:szCs w:val="16"/>
              </w:rPr>
            </w:pPr>
            <w:r w:rsidRPr="007B7B66">
              <w:rPr>
                <w:rFonts w:ascii="Arial" w:eastAsia="Times New Roman" w:hAnsi="Arial" w:cs="Arial"/>
                <w:color w:val="000000"/>
                <w:sz w:val="16"/>
                <w:szCs w:val="16"/>
              </w:rPr>
              <w:t>Neither agree nor disagree</w:t>
            </w:r>
          </w:p>
        </w:tc>
        <w:tc>
          <w:tcPr>
            <w:tcW w:w="990" w:type="dxa"/>
            <w:tcBorders>
              <w:bottom w:val="single" w:sz="4" w:space="0" w:color="auto"/>
            </w:tcBorders>
            <w:shd w:val="clear" w:color="000000" w:fill="FFFFFF"/>
            <w:vAlign w:val="center"/>
            <w:hideMark/>
          </w:tcPr>
          <w:p w14:paraId="2651F899" w14:textId="77777777" w:rsidR="00821B82" w:rsidRPr="007B7B66" w:rsidRDefault="00821B82" w:rsidP="00282204">
            <w:pPr>
              <w:spacing w:after="0" w:line="240" w:lineRule="auto"/>
              <w:jc w:val="center"/>
              <w:rPr>
                <w:rFonts w:ascii="Arial" w:eastAsia="Times New Roman" w:hAnsi="Arial" w:cs="Arial"/>
                <w:color w:val="000000"/>
                <w:sz w:val="16"/>
                <w:szCs w:val="16"/>
              </w:rPr>
            </w:pPr>
            <w:r w:rsidRPr="007B7B66">
              <w:rPr>
                <w:rFonts w:ascii="Arial" w:eastAsia="Times New Roman" w:hAnsi="Arial" w:cs="Arial"/>
                <w:color w:val="000000"/>
                <w:sz w:val="16"/>
                <w:szCs w:val="16"/>
              </w:rPr>
              <w:t>Agree</w:t>
            </w:r>
          </w:p>
        </w:tc>
        <w:tc>
          <w:tcPr>
            <w:tcW w:w="1158" w:type="dxa"/>
            <w:tcBorders>
              <w:bottom w:val="single" w:sz="4" w:space="0" w:color="auto"/>
            </w:tcBorders>
            <w:shd w:val="clear" w:color="000000" w:fill="FFFFFF"/>
            <w:vAlign w:val="center"/>
            <w:hideMark/>
          </w:tcPr>
          <w:p w14:paraId="31BAD8C1" w14:textId="77777777" w:rsidR="00821B82" w:rsidRPr="007B7B66" w:rsidRDefault="00821B82" w:rsidP="00282204">
            <w:pPr>
              <w:spacing w:after="0" w:line="240" w:lineRule="auto"/>
              <w:jc w:val="center"/>
              <w:rPr>
                <w:rFonts w:ascii="Arial" w:eastAsia="Times New Roman" w:hAnsi="Arial" w:cs="Arial"/>
                <w:color w:val="000000"/>
                <w:sz w:val="16"/>
                <w:szCs w:val="16"/>
              </w:rPr>
            </w:pPr>
            <w:r w:rsidRPr="007B7B66">
              <w:rPr>
                <w:rFonts w:ascii="Arial" w:eastAsia="Times New Roman" w:hAnsi="Arial" w:cs="Arial"/>
                <w:color w:val="000000"/>
                <w:sz w:val="16"/>
                <w:szCs w:val="16"/>
              </w:rPr>
              <w:t>Strongly agree</w:t>
            </w:r>
          </w:p>
        </w:tc>
        <w:tc>
          <w:tcPr>
            <w:tcW w:w="1452" w:type="dxa"/>
            <w:vMerge/>
            <w:tcBorders>
              <w:bottom w:val="single" w:sz="4" w:space="0" w:color="auto"/>
            </w:tcBorders>
            <w:shd w:val="clear" w:color="auto" w:fill="auto"/>
            <w:noWrap/>
            <w:vAlign w:val="bottom"/>
            <w:hideMark/>
          </w:tcPr>
          <w:p w14:paraId="681A2F6A" w14:textId="77777777" w:rsidR="00821B82" w:rsidRPr="001E1371" w:rsidRDefault="00821B82" w:rsidP="00282204">
            <w:pPr>
              <w:spacing w:after="0" w:line="240" w:lineRule="auto"/>
              <w:jc w:val="center"/>
              <w:rPr>
                <w:rFonts w:ascii="Arial" w:eastAsia="Times New Roman" w:hAnsi="Arial" w:cs="Arial"/>
                <w:color w:val="000000"/>
                <w:sz w:val="18"/>
                <w:szCs w:val="18"/>
              </w:rPr>
            </w:pPr>
          </w:p>
        </w:tc>
        <w:tc>
          <w:tcPr>
            <w:tcW w:w="1170" w:type="dxa"/>
            <w:vMerge/>
            <w:tcBorders>
              <w:bottom w:val="single" w:sz="4" w:space="0" w:color="auto"/>
            </w:tcBorders>
            <w:shd w:val="clear" w:color="000000" w:fill="FFFFFF"/>
            <w:noWrap/>
            <w:vAlign w:val="center"/>
            <w:hideMark/>
          </w:tcPr>
          <w:p w14:paraId="4F99E467" w14:textId="77777777" w:rsidR="00821B82" w:rsidRPr="001E1371" w:rsidRDefault="00821B82" w:rsidP="00282204">
            <w:pPr>
              <w:spacing w:after="0" w:line="240" w:lineRule="auto"/>
              <w:jc w:val="center"/>
              <w:rPr>
                <w:rFonts w:ascii="Arial" w:eastAsia="Times New Roman" w:hAnsi="Arial" w:cs="Arial"/>
                <w:color w:val="000000"/>
                <w:sz w:val="18"/>
                <w:szCs w:val="18"/>
              </w:rPr>
            </w:pPr>
          </w:p>
        </w:tc>
        <w:tc>
          <w:tcPr>
            <w:tcW w:w="1097" w:type="dxa"/>
            <w:vMerge/>
            <w:tcBorders>
              <w:bottom w:val="single" w:sz="4" w:space="0" w:color="auto"/>
            </w:tcBorders>
            <w:shd w:val="clear" w:color="000000" w:fill="FFFFFF"/>
            <w:noWrap/>
            <w:vAlign w:val="center"/>
            <w:hideMark/>
          </w:tcPr>
          <w:p w14:paraId="5DDC16A9" w14:textId="77777777" w:rsidR="00821B82" w:rsidRPr="001E1371" w:rsidRDefault="00821B82" w:rsidP="00282204">
            <w:pPr>
              <w:spacing w:after="0" w:line="240" w:lineRule="auto"/>
              <w:jc w:val="center"/>
              <w:rPr>
                <w:rFonts w:ascii="Arial" w:eastAsia="Times New Roman" w:hAnsi="Arial" w:cs="Arial"/>
                <w:color w:val="000000"/>
                <w:sz w:val="18"/>
                <w:szCs w:val="18"/>
              </w:rPr>
            </w:pPr>
          </w:p>
        </w:tc>
      </w:tr>
      <w:tr w:rsidR="00821B82" w:rsidRPr="001E1371" w14:paraId="744A1C9B" w14:textId="77777777" w:rsidTr="00282204">
        <w:trPr>
          <w:trHeight w:val="269"/>
        </w:trPr>
        <w:tc>
          <w:tcPr>
            <w:tcW w:w="3955" w:type="dxa"/>
            <w:vMerge w:val="restart"/>
            <w:tcBorders>
              <w:top w:val="single" w:sz="4" w:space="0" w:color="auto"/>
            </w:tcBorders>
            <w:shd w:val="clear" w:color="000000" w:fill="FFFFFF"/>
            <w:vAlign w:val="center"/>
            <w:hideMark/>
          </w:tcPr>
          <w:p w14:paraId="3F4AD951"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can reduce medication errors in practice</w:t>
            </w:r>
          </w:p>
          <w:p w14:paraId="357FCC0C"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p w14:paraId="02C3B71D"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top w:val="single" w:sz="4" w:space="0" w:color="auto"/>
            </w:tcBorders>
            <w:shd w:val="clear" w:color="000000" w:fill="FFFFFF"/>
            <w:vAlign w:val="center"/>
            <w:hideMark/>
          </w:tcPr>
          <w:p w14:paraId="29548357"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2A3F761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5FA2979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top w:val="single" w:sz="4" w:space="0" w:color="auto"/>
            </w:tcBorders>
            <w:shd w:val="clear" w:color="000000" w:fill="FFFFFF"/>
            <w:vAlign w:val="center"/>
            <w:hideMark/>
          </w:tcPr>
          <w:p w14:paraId="7B9E550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990" w:type="dxa"/>
            <w:tcBorders>
              <w:top w:val="single" w:sz="4" w:space="0" w:color="auto"/>
            </w:tcBorders>
            <w:shd w:val="clear" w:color="000000" w:fill="FFFFFF"/>
            <w:vAlign w:val="center"/>
            <w:hideMark/>
          </w:tcPr>
          <w:p w14:paraId="0430808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22</w:t>
            </w:r>
          </w:p>
        </w:tc>
        <w:tc>
          <w:tcPr>
            <w:tcW w:w="1158" w:type="dxa"/>
            <w:tcBorders>
              <w:top w:val="single" w:sz="4" w:space="0" w:color="auto"/>
            </w:tcBorders>
            <w:shd w:val="clear" w:color="000000" w:fill="FFFFFF"/>
            <w:vAlign w:val="center"/>
            <w:hideMark/>
          </w:tcPr>
          <w:p w14:paraId="53BE86B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67</w:t>
            </w:r>
          </w:p>
        </w:tc>
        <w:tc>
          <w:tcPr>
            <w:tcW w:w="1452" w:type="dxa"/>
            <w:tcBorders>
              <w:top w:val="single" w:sz="4" w:space="0" w:color="auto"/>
            </w:tcBorders>
            <w:shd w:val="clear" w:color="000000" w:fill="FFFFFF"/>
            <w:vAlign w:val="center"/>
            <w:hideMark/>
          </w:tcPr>
          <w:p w14:paraId="4F42061F"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5 (4-5)</w:t>
            </w:r>
          </w:p>
        </w:tc>
        <w:tc>
          <w:tcPr>
            <w:tcW w:w="1170" w:type="dxa"/>
            <w:tcBorders>
              <w:top w:val="single" w:sz="4" w:space="0" w:color="auto"/>
            </w:tcBorders>
            <w:shd w:val="clear" w:color="000000" w:fill="FFFFFF"/>
            <w:vAlign w:val="center"/>
            <w:hideMark/>
          </w:tcPr>
          <w:p w14:paraId="32F1BA97"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0.1</w:t>
            </w:r>
          </w:p>
        </w:tc>
        <w:tc>
          <w:tcPr>
            <w:tcW w:w="1097" w:type="dxa"/>
            <w:tcBorders>
              <w:top w:val="single" w:sz="4" w:space="0" w:color="auto"/>
            </w:tcBorders>
            <w:shd w:val="clear" w:color="000000" w:fill="FFFFFF"/>
            <w:vAlign w:val="center"/>
            <w:hideMark/>
          </w:tcPr>
          <w:p w14:paraId="7E8FF8D6"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0.11</w:t>
            </w:r>
          </w:p>
        </w:tc>
      </w:tr>
      <w:tr w:rsidR="00821B82" w:rsidRPr="001E1371" w14:paraId="7BF4D455" w14:textId="77777777" w:rsidTr="00282204">
        <w:trPr>
          <w:trHeight w:val="288"/>
        </w:trPr>
        <w:tc>
          <w:tcPr>
            <w:tcW w:w="3955" w:type="dxa"/>
            <w:vMerge/>
            <w:shd w:val="clear" w:color="000000" w:fill="FFFFFF"/>
            <w:vAlign w:val="center"/>
            <w:hideMark/>
          </w:tcPr>
          <w:p w14:paraId="5A3851AE"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3DA2654A"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1A14A30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24BDE5A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shd w:val="clear" w:color="000000" w:fill="FFFFFF"/>
            <w:vAlign w:val="center"/>
            <w:hideMark/>
          </w:tcPr>
          <w:p w14:paraId="2421244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990" w:type="dxa"/>
            <w:shd w:val="clear" w:color="000000" w:fill="FFFFFF"/>
            <w:vAlign w:val="center"/>
            <w:hideMark/>
          </w:tcPr>
          <w:p w14:paraId="26793FA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37</w:t>
            </w:r>
          </w:p>
        </w:tc>
        <w:tc>
          <w:tcPr>
            <w:tcW w:w="1158" w:type="dxa"/>
            <w:shd w:val="clear" w:color="000000" w:fill="FFFFFF"/>
            <w:vAlign w:val="center"/>
            <w:hideMark/>
          </w:tcPr>
          <w:p w14:paraId="148C130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63</w:t>
            </w:r>
          </w:p>
        </w:tc>
        <w:tc>
          <w:tcPr>
            <w:tcW w:w="1452" w:type="dxa"/>
            <w:shd w:val="clear" w:color="000000" w:fill="FFFFFF"/>
            <w:vAlign w:val="center"/>
            <w:hideMark/>
          </w:tcPr>
          <w:p w14:paraId="5CC1FAAF"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5 (4-5)</w:t>
            </w:r>
          </w:p>
        </w:tc>
        <w:tc>
          <w:tcPr>
            <w:tcW w:w="1170" w:type="dxa"/>
            <w:shd w:val="clear" w:color="000000" w:fill="FFFFFF"/>
            <w:noWrap/>
            <w:vAlign w:val="center"/>
            <w:hideMark/>
          </w:tcPr>
          <w:p w14:paraId="18BAE5F1"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55140446"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4076B530" w14:textId="77777777" w:rsidTr="00282204">
        <w:trPr>
          <w:trHeight w:val="288"/>
        </w:trPr>
        <w:tc>
          <w:tcPr>
            <w:tcW w:w="3955" w:type="dxa"/>
            <w:vMerge/>
            <w:tcBorders>
              <w:bottom w:val="single" w:sz="4" w:space="0" w:color="auto"/>
            </w:tcBorders>
            <w:shd w:val="clear" w:color="000000" w:fill="FFFFFF"/>
            <w:vAlign w:val="center"/>
            <w:hideMark/>
          </w:tcPr>
          <w:p w14:paraId="7A82B816"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03DD23E6"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55B6E46D"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tcBorders>
              <w:bottom w:val="single" w:sz="4" w:space="0" w:color="auto"/>
            </w:tcBorders>
            <w:shd w:val="clear" w:color="000000" w:fill="FFFFFF"/>
            <w:vAlign w:val="center"/>
            <w:hideMark/>
          </w:tcPr>
          <w:p w14:paraId="64661A7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63" w:type="dxa"/>
            <w:tcBorders>
              <w:bottom w:val="single" w:sz="4" w:space="0" w:color="auto"/>
            </w:tcBorders>
            <w:shd w:val="clear" w:color="000000" w:fill="FFFFFF"/>
            <w:vAlign w:val="center"/>
            <w:hideMark/>
          </w:tcPr>
          <w:p w14:paraId="3C1129A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w:t>
            </w:r>
          </w:p>
        </w:tc>
        <w:tc>
          <w:tcPr>
            <w:tcW w:w="990" w:type="dxa"/>
            <w:tcBorders>
              <w:bottom w:val="single" w:sz="4" w:space="0" w:color="auto"/>
            </w:tcBorders>
            <w:shd w:val="clear" w:color="000000" w:fill="FFFFFF"/>
            <w:vAlign w:val="center"/>
            <w:hideMark/>
          </w:tcPr>
          <w:p w14:paraId="7977EC3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48</w:t>
            </w:r>
          </w:p>
        </w:tc>
        <w:tc>
          <w:tcPr>
            <w:tcW w:w="1158" w:type="dxa"/>
            <w:tcBorders>
              <w:bottom w:val="single" w:sz="4" w:space="0" w:color="auto"/>
            </w:tcBorders>
            <w:shd w:val="clear" w:color="000000" w:fill="FFFFFF"/>
            <w:vAlign w:val="center"/>
            <w:hideMark/>
          </w:tcPr>
          <w:p w14:paraId="08AEFB0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46</w:t>
            </w:r>
          </w:p>
        </w:tc>
        <w:tc>
          <w:tcPr>
            <w:tcW w:w="1452" w:type="dxa"/>
            <w:tcBorders>
              <w:bottom w:val="single" w:sz="4" w:space="0" w:color="auto"/>
            </w:tcBorders>
            <w:shd w:val="clear" w:color="000000" w:fill="FFFFFF"/>
            <w:vAlign w:val="center"/>
            <w:hideMark/>
          </w:tcPr>
          <w:p w14:paraId="3BE1737E"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bottom"/>
            <w:hideMark/>
          </w:tcPr>
          <w:p w14:paraId="53187FD7" w14:textId="77777777" w:rsidR="00821B82" w:rsidRPr="001E1371" w:rsidRDefault="00821B82" w:rsidP="00282204">
            <w:pPr>
              <w:spacing w:after="0" w:line="240" w:lineRule="auto"/>
              <w:jc w:val="center"/>
              <w:rPr>
                <w:rFonts w:ascii="Calibri" w:eastAsia="Times New Roman" w:hAnsi="Calibri" w:cs="Calibri"/>
                <w:color w:val="000000"/>
              </w:rPr>
            </w:pPr>
          </w:p>
        </w:tc>
        <w:tc>
          <w:tcPr>
            <w:tcW w:w="1097" w:type="dxa"/>
            <w:tcBorders>
              <w:bottom w:val="single" w:sz="4" w:space="0" w:color="auto"/>
            </w:tcBorders>
            <w:shd w:val="clear" w:color="000000" w:fill="FFFFFF"/>
            <w:noWrap/>
            <w:vAlign w:val="bottom"/>
            <w:hideMark/>
          </w:tcPr>
          <w:p w14:paraId="6DED377D" w14:textId="77777777" w:rsidR="00821B82" w:rsidRPr="001E1371" w:rsidRDefault="00821B82" w:rsidP="00282204">
            <w:pPr>
              <w:spacing w:after="0" w:line="240" w:lineRule="auto"/>
              <w:jc w:val="center"/>
              <w:rPr>
                <w:rFonts w:ascii="Calibri" w:eastAsia="Times New Roman" w:hAnsi="Calibri" w:cs="Calibri"/>
                <w:color w:val="000000"/>
              </w:rPr>
            </w:pPr>
          </w:p>
        </w:tc>
      </w:tr>
      <w:tr w:rsidR="00821B82" w:rsidRPr="001E1371" w14:paraId="4F3EC7B9" w14:textId="77777777" w:rsidTr="00282204">
        <w:trPr>
          <w:trHeight w:val="287"/>
        </w:trPr>
        <w:tc>
          <w:tcPr>
            <w:tcW w:w="3955" w:type="dxa"/>
            <w:vMerge w:val="restart"/>
            <w:tcBorders>
              <w:top w:val="single" w:sz="4" w:space="0" w:color="auto"/>
            </w:tcBorders>
            <w:shd w:val="clear" w:color="000000" w:fill="FFFFFF"/>
            <w:vAlign w:val="center"/>
            <w:hideMark/>
          </w:tcPr>
          <w:p w14:paraId="2511D92B"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can help doctors to prescribe safely</w:t>
            </w:r>
          </w:p>
          <w:p w14:paraId="38C4FB39"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p w14:paraId="77E680D0"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60E893DC"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557D592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44D12AA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top w:val="single" w:sz="4" w:space="0" w:color="auto"/>
            </w:tcBorders>
            <w:shd w:val="clear" w:color="000000" w:fill="FFFFFF"/>
            <w:vAlign w:val="center"/>
            <w:hideMark/>
          </w:tcPr>
          <w:p w14:paraId="275DC5B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990" w:type="dxa"/>
            <w:tcBorders>
              <w:top w:val="single" w:sz="4" w:space="0" w:color="auto"/>
            </w:tcBorders>
            <w:shd w:val="clear" w:color="000000" w:fill="FFFFFF"/>
            <w:vAlign w:val="center"/>
            <w:hideMark/>
          </w:tcPr>
          <w:p w14:paraId="5378070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39</w:t>
            </w:r>
          </w:p>
        </w:tc>
        <w:tc>
          <w:tcPr>
            <w:tcW w:w="1158" w:type="dxa"/>
            <w:tcBorders>
              <w:top w:val="single" w:sz="4" w:space="0" w:color="auto"/>
            </w:tcBorders>
            <w:shd w:val="clear" w:color="000000" w:fill="FFFFFF"/>
            <w:vAlign w:val="center"/>
            <w:hideMark/>
          </w:tcPr>
          <w:p w14:paraId="3EB18A4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50</w:t>
            </w:r>
          </w:p>
        </w:tc>
        <w:tc>
          <w:tcPr>
            <w:tcW w:w="1452" w:type="dxa"/>
            <w:tcBorders>
              <w:top w:val="single" w:sz="4" w:space="0" w:color="auto"/>
            </w:tcBorders>
            <w:shd w:val="clear" w:color="000000" w:fill="FFFFFF"/>
            <w:vAlign w:val="center"/>
            <w:hideMark/>
          </w:tcPr>
          <w:p w14:paraId="3C139D1D"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4.5 (4-5)</w:t>
            </w:r>
          </w:p>
        </w:tc>
        <w:tc>
          <w:tcPr>
            <w:tcW w:w="1170" w:type="dxa"/>
            <w:tcBorders>
              <w:top w:val="single" w:sz="4" w:space="0" w:color="auto"/>
            </w:tcBorders>
            <w:shd w:val="clear" w:color="000000" w:fill="FFFFFF"/>
            <w:vAlign w:val="center"/>
            <w:hideMark/>
          </w:tcPr>
          <w:p w14:paraId="577F4603"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0.09</w:t>
            </w:r>
          </w:p>
        </w:tc>
        <w:tc>
          <w:tcPr>
            <w:tcW w:w="1097" w:type="dxa"/>
            <w:tcBorders>
              <w:top w:val="single" w:sz="4" w:space="0" w:color="auto"/>
            </w:tcBorders>
            <w:shd w:val="clear" w:color="000000" w:fill="FFFFFF"/>
            <w:vAlign w:val="center"/>
            <w:hideMark/>
          </w:tcPr>
          <w:p w14:paraId="48ADD12F"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0.31</w:t>
            </w:r>
          </w:p>
        </w:tc>
      </w:tr>
      <w:tr w:rsidR="00821B82" w:rsidRPr="001E1371" w14:paraId="11A48C65" w14:textId="77777777" w:rsidTr="00282204">
        <w:trPr>
          <w:trHeight w:val="288"/>
        </w:trPr>
        <w:tc>
          <w:tcPr>
            <w:tcW w:w="3955" w:type="dxa"/>
            <w:vMerge/>
            <w:shd w:val="clear" w:color="000000" w:fill="FFFFFF"/>
            <w:vAlign w:val="center"/>
            <w:hideMark/>
          </w:tcPr>
          <w:p w14:paraId="3680E145"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094EDE79"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31B9899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35E06A8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shd w:val="clear" w:color="000000" w:fill="FFFFFF"/>
            <w:vAlign w:val="center"/>
            <w:hideMark/>
          </w:tcPr>
          <w:p w14:paraId="7D64975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w:t>
            </w:r>
          </w:p>
        </w:tc>
        <w:tc>
          <w:tcPr>
            <w:tcW w:w="990" w:type="dxa"/>
            <w:shd w:val="clear" w:color="000000" w:fill="FFFFFF"/>
            <w:vAlign w:val="center"/>
            <w:hideMark/>
          </w:tcPr>
          <w:p w14:paraId="170F931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32</w:t>
            </w:r>
          </w:p>
        </w:tc>
        <w:tc>
          <w:tcPr>
            <w:tcW w:w="1158" w:type="dxa"/>
            <w:shd w:val="clear" w:color="000000" w:fill="FFFFFF"/>
            <w:vAlign w:val="center"/>
            <w:hideMark/>
          </w:tcPr>
          <w:p w14:paraId="4B8ABE2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63</w:t>
            </w:r>
          </w:p>
        </w:tc>
        <w:tc>
          <w:tcPr>
            <w:tcW w:w="1452" w:type="dxa"/>
            <w:shd w:val="clear" w:color="000000" w:fill="FFFFFF"/>
            <w:vAlign w:val="center"/>
            <w:hideMark/>
          </w:tcPr>
          <w:p w14:paraId="24AD03F5"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5 (4-5)</w:t>
            </w:r>
          </w:p>
        </w:tc>
        <w:tc>
          <w:tcPr>
            <w:tcW w:w="1170" w:type="dxa"/>
            <w:shd w:val="clear" w:color="000000" w:fill="FFFFFF"/>
            <w:noWrap/>
            <w:vAlign w:val="center"/>
            <w:hideMark/>
          </w:tcPr>
          <w:p w14:paraId="1C7D8D2C"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179D892F"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36FCEA26" w14:textId="77777777" w:rsidTr="00282204">
        <w:trPr>
          <w:trHeight w:val="288"/>
        </w:trPr>
        <w:tc>
          <w:tcPr>
            <w:tcW w:w="3955" w:type="dxa"/>
            <w:vMerge/>
            <w:tcBorders>
              <w:bottom w:val="single" w:sz="4" w:space="0" w:color="auto"/>
            </w:tcBorders>
            <w:shd w:val="clear" w:color="000000" w:fill="FFFFFF"/>
            <w:vAlign w:val="center"/>
            <w:hideMark/>
          </w:tcPr>
          <w:p w14:paraId="70AABAA2"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60C6BEAD"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438DED5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tcBorders>
              <w:bottom w:val="single" w:sz="4" w:space="0" w:color="auto"/>
            </w:tcBorders>
            <w:shd w:val="clear" w:color="000000" w:fill="FFFFFF"/>
            <w:vAlign w:val="center"/>
            <w:hideMark/>
          </w:tcPr>
          <w:p w14:paraId="36D7953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bottom w:val="single" w:sz="4" w:space="0" w:color="auto"/>
            </w:tcBorders>
            <w:shd w:val="clear" w:color="000000" w:fill="FFFFFF"/>
            <w:vAlign w:val="center"/>
            <w:hideMark/>
          </w:tcPr>
          <w:p w14:paraId="07848B6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9</w:t>
            </w:r>
          </w:p>
        </w:tc>
        <w:tc>
          <w:tcPr>
            <w:tcW w:w="990" w:type="dxa"/>
            <w:tcBorders>
              <w:bottom w:val="single" w:sz="4" w:space="0" w:color="auto"/>
            </w:tcBorders>
            <w:shd w:val="clear" w:color="000000" w:fill="FFFFFF"/>
            <w:vAlign w:val="center"/>
            <w:hideMark/>
          </w:tcPr>
          <w:p w14:paraId="02E4537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49</w:t>
            </w:r>
          </w:p>
        </w:tc>
        <w:tc>
          <w:tcPr>
            <w:tcW w:w="1158" w:type="dxa"/>
            <w:tcBorders>
              <w:bottom w:val="single" w:sz="4" w:space="0" w:color="auto"/>
            </w:tcBorders>
            <w:shd w:val="clear" w:color="000000" w:fill="FFFFFF"/>
            <w:vAlign w:val="center"/>
            <w:hideMark/>
          </w:tcPr>
          <w:p w14:paraId="0C62074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42</w:t>
            </w:r>
          </w:p>
        </w:tc>
        <w:tc>
          <w:tcPr>
            <w:tcW w:w="1452" w:type="dxa"/>
            <w:tcBorders>
              <w:bottom w:val="single" w:sz="4" w:space="0" w:color="auto"/>
            </w:tcBorders>
            <w:shd w:val="clear" w:color="000000" w:fill="FFFFFF"/>
            <w:vAlign w:val="center"/>
            <w:hideMark/>
          </w:tcPr>
          <w:p w14:paraId="27BDA728"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31C25FC5"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08E0E6A4"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1E2CEEA0" w14:textId="77777777" w:rsidTr="00282204">
        <w:trPr>
          <w:trHeight w:val="296"/>
        </w:trPr>
        <w:tc>
          <w:tcPr>
            <w:tcW w:w="3955" w:type="dxa"/>
            <w:vMerge w:val="restart"/>
            <w:tcBorders>
              <w:top w:val="single" w:sz="4" w:space="0" w:color="auto"/>
            </w:tcBorders>
            <w:shd w:val="clear" w:color="000000" w:fill="FFFFFF"/>
            <w:vAlign w:val="center"/>
            <w:hideMark/>
          </w:tcPr>
          <w:p w14:paraId="1FAF775B"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can improve prescribing practice via discussions with healthcare providers and/or providing education sessions to improve prescribing</w:t>
            </w:r>
          </w:p>
          <w:p w14:paraId="29829B0D"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12831605"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49F07E8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2A33E50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top w:val="single" w:sz="4" w:space="0" w:color="auto"/>
            </w:tcBorders>
            <w:shd w:val="clear" w:color="000000" w:fill="FFFFFF"/>
            <w:vAlign w:val="center"/>
            <w:hideMark/>
          </w:tcPr>
          <w:p w14:paraId="23E6166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990" w:type="dxa"/>
            <w:tcBorders>
              <w:top w:val="single" w:sz="4" w:space="0" w:color="auto"/>
            </w:tcBorders>
            <w:shd w:val="clear" w:color="000000" w:fill="FFFFFF"/>
            <w:vAlign w:val="center"/>
            <w:hideMark/>
          </w:tcPr>
          <w:p w14:paraId="4CF67DF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44</w:t>
            </w:r>
          </w:p>
        </w:tc>
        <w:tc>
          <w:tcPr>
            <w:tcW w:w="1158" w:type="dxa"/>
            <w:tcBorders>
              <w:top w:val="single" w:sz="4" w:space="0" w:color="auto"/>
            </w:tcBorders>
            <w:shd w:val="clear" w:color="000000" w:fill="FFFFFF"/>
            <w:vAlign w:val="center"/>
            <w:hideMark/>
          </w:tcPr>
          <w:p w14:paraId="274AE23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39</w:t>
            </w:r>
          </w:p>
        </w:tc>
        <w:tc>
          <w:tcPr>
            <w:tcW w:w="1452" w:type="dxa"/>
            <w:tcBorders>
              <w:top w:val="single" w:sz="4" w:space="0" w:color="auto"/>
            </w:tcBorders>
            <w:shd w:val="clear" w:color="000000" w:fill="FFFFFF"/>
            <w:vAlign w:val="center"/>
            <w:hideMark/>
          </w:tcPr>
          <w:p w14:paraId="7ED62DE0"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top w:val="single" w:sz="4" w:space="0" w:color="auto"/>
            </w:tcBorders>
            <w:shd w:val="clear" w:color="000000" w:fill="FFFFFF"/>
            <w:vAlign w:val="center"/>
            <w:hideMark/>
          </w:tcPr>
          <w:p w14:paraId="79AAE3E8"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0.08</w:t>
            </w:r>
          </w:p>
        </w:tc>
        <w:tc>
          <w:tcPr>
            <w:tcW w:w="1097" w:type="dxa"/>
            <w:tcBorders>
              <w:top w:val="single" w:sz="4" w:space="0" w:color="auto"/>
            </w:tcBorders>
            <w:shd w:val="clear" w:color="000000" w:fill="FFFFFF"/>
            <w:vAlign w:val="center"/>
            <w:hideMark/>
          </w:tcPr>
          <w:p w14:paraId="2BF62D19"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0.98</w:t>
            </w:r>
          </w:p>
        </w:tc>
      </w:tr>
      <w:tr w:rsidR="00821B82" w:rsidRPr="001E1371" w14:paraId="25E754A8" w14:textId="77777777" w:rsidTr="00282204">
        <w:trPr>
          <w:trHeight w:val="359"/>
        </w:trPr>
        <w:tc>
          <w:tcPr>
            <w:tcW w:w="3955" w:type="dxa"/>
            <w:vMerge/>
            <w:shd w:val="clear" w:color="000000" w:fill="FFFFFF"/>
            <w:vAlign w:val="center"/>
            <w:hideMark/>
          </w:tcPr>
          <w:p w14:paraId="3CCB4219"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5CB387FB"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6E748C4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0836C02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w:t>
            </w:r>
          </w:p>
        </w:tc>
        <w:tc>
          <w:tcPr>
            <w:tcW w:w="1063" w:type="dxa"/>
            <w:shd w:val="clear" w:color="000000" w:fill="FFFFFF"/>
            <w:vAlign w:val="center"/>
            <w:hideMark/>
          </w:tcPr>
          <w:p w14:paraId="3775BCA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w:t>
            </w:r>
          </w:p>
        </w:tc>
        <w:tc>
          <w:tcPr>
            <w:tcW w:w="990" w:type="dxa"/>
            <w:shd w:val="clear" w:color="000000" w:fill="FFFFFF"/>
            <w:vAlign w:val="center"/>
            <w:hideMark/>
          </w:tcPr>
          <w:p w14:paraId="3AD4415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32</w:t>
            </w:r>
          </w:p>
        </w:tc>
        <w:tc>
          <w:tcPr>
            <w:tcW w:w="1158" w:type="dxa"/>
            <w:shd w:val="clear" w:color="000000" w:fill="FFFFFF"/>
            <w:vAlign w:val="center"/>
            <w:hideMark/>
          </w:tcPr>
          <w:p w14:paraId="7BDC8B0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58</w:t>
            </w:r>
          </w:p>
        </w:tc>
        <w:tc>
          <w:tcPr>
            <w:tcW w:w="1452" w:type="dxa"/>
            <w:shd w:val="clear" w:color="000000" w:fill="FFFFFF"/>
            <w:vAlign w:val="center"/>
            <w:hideMark/>
          </w:tcPr>
          <w:p w14:paraId="56CEDAF2"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5 (4-5)</w:t>
            </w:r>
          </w:p>
        </w:tc>
        <w:tc>
          <w:tcPr>
            <w:tcW w:w="1170" w:type="dxa"/>
            <w:shd w:val="clear" w:color="000000" w:fill="FFFFFF"/>
            <w:noWrap/>
            <w:vAlign w:val="center"/>
            <w:hideMark/>
          </w:tcPr>
          <w:p w14:paraId="58B2475C"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4A687F45"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12F21936" w14:textId="77777777" w:rsidTr="00282204">
        <w:trPr>
          <w:trHeight w:val="242"/>
        </w:trPr>
        <w:tc>
          <w:tcPr>
            <w:tcW w:w="3955" w:type="dxa"/>
            <w:vMerge/>
            <w:tcBorders>
              <w:bottom w:val="single" w:sz="4" w:space="0" w:color="auto"/>
            </w:tcBorders>
            <w:shd w:val="clear" w:color="000000" w:fill="FFFFFF"/>
            <w:vAlign w:val="center"/>
            <w:hideMark/>
          </w:tcPr>
          <w:p w14:paraId="36A77BA9"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523FD8F0"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7672412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tcBorders>
              <w:bottom w:val="single" w:sz="4" w:space="0" w:color="auto"/>
            </w:tcBorders>
            <w:shd w:val="clear" w:color="000000" w:fill="FFFFFF"/>
            <w:vAlign w:val="center"/>
            <w:hideMark/>
          </w:tcPr>
          <w:p w14:paraId="183A90C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bottom w:val="single" w:sz="4" w:space="0" w:color="auto"/>
            </w:tcBorders>
            <w:shd w:val="clear" w:color="000000" w:fill="FFFFFF"/>
            <w:vAlign w:val="center"/>
            <w:hideMark/>
          </w:tcPr>
          <w:p w14:paraId="19D19FE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7</w:t>
            </w:r>
          </w:p>
        </w:tc>
        <w:tc>
          <w:tcPr>
            <w:tcW w:w="990" w:type="dxa"/>
            <w:tcBorders>
              <w:bottom w:val="single" w:sz="4" w:space="0" w:color="auto"/>
            </w:tcBorders>
            <w:shd w:val="clear" w:color="000000" w:fill="FFFFFF"/>
            <w:vAlign w:val="center"/>
            <w:hideMark/>
          </w:tcPr>
          <w:p w14:paraId="19F11B5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52</w:t>
            </w:r>
          </w:p>
        </w:tc>
        <w:tc>
          <w:tcPr>
            <w:tcW w:w="1158" w:type="dxa"/>
            <w:tcBorders>
              <w:bottom w:val="single" w:sz="4" w:space="0" w:color="auto"/>
            </w:tcBorders>
            <w:shd w:val="clear" w:color="000000" w:fill="FFFFFF"/>
            <w:vAlign w:val="center"/>
            <w:hideMark/>
          </w:tcPr>
          <w:p w14:paraId="51B1D28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41</w:t>
            </w:r>
          </w:p>
        </w:tc>
        <w:tc>
          <w:tcPr>
            <w:tcW w:w="1452" w:type="dxa"/>
            <w:tcBorders>
              <w:bottom w:val="single" w:sz="4" w:space="0" w:color="auto"/>
            </w:tcBorders>
            <w:shd w:val="clear" w:color="000000" w:fill="FFFFFF"/>
            <w:vAlign w:val="center"/>
            <w:hideMark/>
          </w:tcPr>
          <w:p w14:paraId="2DE79383"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2812E115"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7751A9F5"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79A64F0D" w14:textId="77777777" w:rsidTr="00282204">
        <w:trPr>
          <w:trHeight w:val="242"/>
        </w:trPr>
        <w:tc>
          <w:tcPr>
            <w:tcW w:w="3955" w:type="dxa"/>
            <w:vMerge w:val="restart"/>
            <w:tcBorders>
              <w:top w:val="single" w:sz="4" w:space="0" w:color="auto"/>
            </w:tcBorders>
            <w:shd w:val="clear" w:color="000000" w:fill="FFFFFF"/>
            <w:vAlign w:val="center"/>
            <w:hideMark/>
          </w:tcPr>
          <w:p w14:paraId="6CBDF42C"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can be an important and integral part of the medical team for diabetes management</w:t>
            </w:r>
          </w:p>
          <w:p w14:paraId="4E4D27BB"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00FA1292"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14A7122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687034F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top w:val="single" w:sz="4" w:space="0" w:color="auto"/>
            </w:tcBorders>
            <w:shd w:val="clear" w:color="000000" w:fill="FFFFFF"/>
            <w:vAlign w:val="center"/>
            <w:hideMark/>
          </w:tcPr>
          <w:p w14:paraId="33ACC20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990" w:type="dxa"/>
            <w:tcBorders>
              <w:top w:val="single" w:sz="4" w:space="0" w:color="auto"/>
            </w:tcBorders>
            <w:shd w:val="clear" w:color="000000" w:fill="FFFFFF"/>
            <w:vAlign w:val="center"/>
            <w:hideMark/>
          </w:tcPr>
          <w:p w14:paraId="059D7ED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44</w:t>
            </w:r>
          </w:p>
        </w:tc>
        <w:tc>
          <w:tcPr>
            <w:tcW w:w="1158" w:type="dxa"/>
            <w:tcBorders>
              <w:top w:val="single" w:sz="4" w:space="0" w:color="auto"/>
            </w:tcBorders>
            <w:shd w:val="clear" w:color="000000" w:fill="FFFFFF"/>
            <w:vAlign w:val="center"/>
            <w:hideMark/>
          </w:tcPr>
          <w:p w14:paraId="061792DD"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44</w:t>
            </w:r>
          </w:p>
        </w:tc>
        <w:tc>
          <w:tcPr>
            <w:tcW w:w="1452" w:type="dxa"/>
            <w:tcBorders>
              <w:top w:val="single" w:sz="4" w:space="0" w:color="auto"/>
            </w:tcBorders>
            <w:shd w:val="clear" w:color="000000" w:fill="FFFFFF"/>
            <w:vAlign w:val="center"/>
            <w:hideMark/>
          </w:tcPr>
          <w:p w14:paraId="5169E7D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 (4-5)</w:t>
            </w:r>
          </w:p>
        </w:tc>
        <w:tc>
          <w:tcPr>
            <w:tcW w:w="1170" w:type="dxa"/>
            <w:tcBorders>
              <w:top w:val="single" w:sz="4" w:space="0" w:color="auto"/>
            </w:tcBorders>
            <w:shd w:val="clear" w:color="000000" w:fill="FFFFFF"/>
            <w:vAlign w:val="center"/>
            <w:hideMark/>
          </w:tcPr>
          <w:p w14:paraId="66EF64B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0.58</w:t>
            </w:r>
          </w:p>
        </w:tc>
        <w:tc>
          <w:tcPr>
            <w:tcW w:w="1097" w:type="dxa"/>
            <w:tcBorders>
              <w:top w:val="single" w:sz="4" w:space="0" w:color="auto"/>
            </w:tcBorders>
            <w:shd w:val="clear" w:color="000000" w:fill="FFFFFF"/>
            <w:vAlign w:val="center"/>
            <w:hideMark/>
          </w:tcPr>
          <w:p w14:paraId="08F6A86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0.97</w:t>
            </w:r>
          </w:p>
        </w:tc>
      </w:tr>
      <w:tr w:rsidR="00821B82" w:rsidRPr="001E1371" w14:paraId="605C2261" w14:textId="77777777" w:rsidTr="00282204">
        <w:trPr>
          <w:trHeight w:val="288"/>
        </w:trPr>
        <w:tc>
          <w:tcPr>
            <w:tcW w:w="3955" w:type="dxa"/>
            <w:vMerge/>
            <w:shd w:val="clear" w:color="000000" w:fill="FFFFFF"/>
            <w:vAlign w:val="center"/>
            <w:hideMark/>
          </w:tcPr>
          <w:p w14:paraId="7C33A04D"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6399B078"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1A13C73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03CF01E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shd w:val="clear" w:color="000000" w:fill="FFFFFF"/>
            <w:vAlign w:val="center"/>
            <w:hideMark/>
          </w:tcPr>
          <w:p w14:paraId="3788716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990" w:type="dxa"/>
            <w:shd w:val="clear" w:color="000000" w:fill="FFFFFF"/>
            <w:vAlign w:val="center"/>
            <w:hideMark/>
          </w:tcPr>
          <w:p w14:paraId="087353A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42</w:t>
            </w:r>
          </w:p>
        </w:tc>
        <w:tc>
          <w:tcPr>
            <w:tcW w:w="1158" w:type="dxa"/>
            <w:shd w:val="clear" w:color="000000" w:fill="FFFFFF"/>
            <w:vAlign w:val="center"/>
            <w:hideMark/>
          </w:tcPr>
          <w:p w14:paraId="4B5C582D"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47</w:t>
            </w:r>
          </w:p>
        </w:tc>
        <w:tc>
          <w:tcPr>
            <w:tcW w:w="1452" w:type="dxa"/>
            <w:shd w:val="clear" w:color="000000" w:fill="FFFFFF"/>
            <w:vAlign w:val="center"/>
            <w:hideMark/>
          </w:tcPr>
          <w:p w14:paraId="30AF868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 (4-5)</w:t>
            </w:r>
          </w:p>
        </w:tc>
        <w:tc>
          <w:tcPr>
            <w:tcW w:w="1170" w:type="dxa"/>
            <w:shd w:val="clear" w:color="000000" w:fill="FFFFFF"/>
            <w:noWrap/>
            <w:vAlign w:val="center"/>
            <w:hideMark/>
          </w:tcPr>
          <w:p w14:paraId="58C883CB"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1F74D6AB"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060BD659" w14:textId="77777777" w:rsidTr="00282204">
        <w:trPr>
          <w:trHeight w:val="288"/>
        </w:trPr>
        <w:tc>
          <w:tcPr>
            <w:tcW w:w="3955" w:type="dxa"/>
            <w:vMerge/>
            <w:tcBorders>
              <w:bottom w:val="single" w:sz="4" w:space="0" w:color="auto"/>
            </w:tcBorders>
            <w:shd w:val="clear" w:color="000000" w:fill="FFFFFF"/>
            <w:vAlign w:val="center"/>
            <w:hideMark/>
          </w:tcPr>
          <w:p w14:paraId="499FCF49"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12DFFA84"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359A490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w:t>
            </w:r>
          </w:p>
        </w:tc>
        <w:tc>
          <w:tcPr>
            <w:tcW w:w="1080" w:type="dxa"/>
            <w:tcBorders>
              <w:bottom w:val="single" w:sz="4" w:space="0" w:color="auto"/>
            </w:tcBorders>
            <w:shd w:val="clear" w:color="000000" w:fill="FFFFFF"/>
            <w:vAlign w:val="center"/>
            <w:hideMark/>
          </w:tcPr>
          <w:p w14:paraId="7AEFAE4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bottom w:val="single" w:sz="4" w:space="0" w:color="auto"/>
            </w:tcBorders>
            <w:shd w:val="clear" w:color="000000" w:fill="FFFFFF"/>
            <w:vAlign w:val="center"/>
            <w:hideMark/>
          </w:tcPr>
          <w:p w14:paraId="57FD26B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990" w:type="dxa"/>
            <w:tcBorders>
              <w:bottom w:val="single" w:sz="4" w:space="0" w:color="auto"/>
            </w:tcBorders>
            <w:shd w:val="clear" w:color="000000" w:fill="FFFFFF"/>
            <w:vAlign w:val="center"/>
            <w:hideMark/>
          </w:tcPr>
          <w:p w14:paraId="25C232F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48</w:t>
            </w:r>
          </w:p>
        </w:tc>
        <w:tc>
          <w:tcPr>
            <w:tcW w:w="1158" w:type="dxa"/>
            <w:tcBorders>
              <w:bottom w:val="single" w:sz="4" w:space="0" w:color="auto"/>
            </w:tcBorders>
            <w:shd w:val="clear" w:color="000000" w:fill="FFFFFF"/>
            <w:vAlign w:val="center"/>
            <w:hideMark/>
          </w:tcPr>
          <w:p w14:paraId="2628E47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44</w:t>
            </w:r>
          </w:p>
        </w:tc>
        <w:tc>
          <w:tcPr>
            <w:tcW w:w="1452" w:type="dxa"/>
            <w:tcBorders>
              <w:bottom w:val="single" w:sz="4" w:space="0" w:color="auto"/>
            </w:tcBorders>
            <w:shd w:val="clear" w:color="000000" w:fill="FFFFFF"/>
            <w:vAlign w:val="center"/>
            <w:hideMark/>
          </w:tcPr>
          <w:p w14:paraId="09D1D425"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51C44F48"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73224DB4"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7F6076A4" w14:textId="77777777" w:rsidTr="00282204">
        <w:trPr>
          <w:trHeight w:val="206"/>
        </w:trPr>
        <w:tc>
          <w:tcPr>
            <w:tcW w:w="3955" w:type="dxa"/>
            <w:vMerge w:val="restart"/>
            <w:tcBorders>
              <w:top w:val="single" w:sz="4" w:space="0" w:color="auto"/>
            </w:tcBorders>
            <w:shd w:val="clear" w:color="000000" w:fill="FFFFFF"/>
            <w:vAlign w:val="center"/>
            <w:hideMark/>
          </w:tcPr>
          <w:p w14:paraId="0F2AD3CD"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can help doctors to prescribe cost-effectively</w:t>
            </w:r>
          </w:p>
          <w:p w14:paraId="790C0D2D"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p w14:paraId="5E626FE8"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top w:val="single" w:sz="4" w:space="0" w:color="auto"/>
            </w:tcBorders>
            <w:shd w:val="clear" w:color="000000" w:fill="FFFFFF"/>
            <w:vAlign w:val="center"/>
            <w:hideMark/>
          </w:tcPr>
          <w:p w14:paraId="016BFB2A"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268F329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5E952E9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top w:val="single" w:sz="4" w:space="0" w:color="auto"/>
            </w:tcBorders>
            <w:shd w:val="clear" w:color="000000" w:fill="FFFFFF"/>
            <w:vAlign w:val="center"/>
            <w:hideMark/>
          </w:tcPr>
          <w:p w14:paraId="1C282FE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990" w:type="dxa"/>
            <w:tcBorders>
              <w:top w:val="single" w:sz="4" w:space="0" w:color="auto"/>
            </w:tcBorders>
            <w:shd w:val="clear" w:color="000000" w:fill="FFFFFF"/>
            <w:vAlign w:val="center"/>
            <w:hideMark/>
          </w:tcPr>
          <w:p w14:paraId="4CC1999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33</w:t>
            </w:r>
          </w:p>
        </w:tc>
        <w:tc>
          <w:tcPr>
            <w:tcW w:w="1158" w:type="dxa"/>
            <w:tcBorders>
              <w:top w:val="single" w:sz="4" w:space="0" w:color="auto"/>
            </w:tcBorders>
            <w:shd w:val="clear" w:color="000000" w:fill="FFFFFF"/>
            <w:vAlign w:val="center"/>
            <w:hideMark/>
          </w:tcPr>
          <w:p w14:paraId="3A2D067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50</w:t>
            </w:r>
          </w:p>
        </w:tc>
        <w:tc>
          <w:tcPr>
            <w:tcW w:w="1452" w:type="dxa"/>
            <w:tcBorders>
              <w:top w:val="single" w:sz="4" w:space="0" w:color="auto"/>
            </w:tcBorders>
            <w:shd w:val="clear" w:color="000000" w:fill="FFFFFF"/>
            <w:vAlign w:val="center"/>
            <w:hideMark/>
          </w:tcPr>
          <w:p w14:paraId="6C5D3B26"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4.5 (4-5)</w:t>
            </w:r>
          </w:p>
        </w:tc>
        <w:tc>
          <w:tcPr>
            <w:tcW w:w="1170" w:type="dxa"/>
            <w:tcBorders>
              <w:top w:val="single" w:sz="4" w:space="0" w:color="auto"/>
            </w:tcBorders>
            <w:shd w:val="clear" w:color="000000" w:fill="FFFFFF"/>
            <w:vAlign w:val="center"/>
            <w:hideMark/>
          </w:tcPr>
          <w:p w14:paraId="4FB304AF"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0.16</w:t>
            </w:r>
          </w:p>
        </w:tc>
        <w:tc>
          <w:tcPr>
            <w:tcW w:w="1097" w:type="dxa"/>
            <w:tcBorders>
              <w:top w:val="single" w:sz="4" w:space="0" w:color="auto"/>
            </w:tcBorders>
            <w:shd w:val="clear" w:color="000000" w:fill="FFFFFF"/>
            <w:vAlign w:val="center"/>
            <w:hideMark/>
          </w:tcPr>
          <w:p w14:paraId="21C78C5C"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0.33</w:t>
            </w:r>
          </w:p>
        </w:tc>
      </w:tr>
      <w:tr w:rsidR="00821B82" w:rsidRPr="001E1371" w14:paraId="268C523D" w14:textId="77777777" w:rsidTr="00282204">
        <w:trPr>
          <w:trHeight w:val="288"/>
        </w:trPr>
        <w:tc>
          <w:tcPr>
            <w:tcW w:w="3955" w:type="dxa"/>
            <w:vMerge/>
            <w:shd w:val="clear" w:color="000000" w:fill="FFFFFF"/>
            <w:vAlign w:val="center"/>
            <w:hideMark/>
          </w:tcPr>
          <w:p w14:paraId="32B46DE3"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4EE85E21"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436FE87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3735D3D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shd w:val="clear" w:color="000000" w:fill="FFFFFF"/>
            <w:vAlign w:val="center"/>
            <w:hideMark/>
          </w:tcPr>
          <w:p w14:paraId="270D3BF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w:t>
            </w:r>
          </w:p>
        </w:tc>
        <w:tc>
          <w:tcPr>
            <w:tcW w:w="990" w:type="dxa"/>
            <w:shd w:val="clear" w:color="000000" w:fill="FFFFFF"/>
            <w:vAlign w:val="center"/>
            <w:hideMark/>
          </w:tcPr>
          <w:p w14:paraId="41C36B6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32</w:t>
            </w:r>
          </w:p>
        </w:tc>
        <w:tc>
          <w:tcPr>
            <w:tcW w:w="1158" w:type="dxa"/>
            <w:shd w:val="clear" w:color="000000" w:fill="FFFFFF"/>
            <w:vAlign w:val="center"/>
            <w:hideMark/>
          </w:tcPr>
          <w:p w14:paraId="00FBDFA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63</w:t>
            </w:r>
          </w:p>
        </w:tc>
        <w:tc>
          <w:tcPr>
            <w:tcW w:w="1452" w:type="dxa"/>
            <w:shd w:val="clear" w:color="000000" w:fill="FFFFFF"/>
            <w:vAlign w:val="center"/>
            <w:hideMark/>
          </w:tcPr>
          <w:p w14:paraId="59BFDAF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 (4-5)</w:t>
            </w:r>
          </w:p>
        </w:tc>
        <w:tc>
          <w:tcPr>
            <w:tcW w:w="1170" w:type="dxa"/>
            <w:shd w:val="clear" w:color="000000" w:fill="FFFFFF"/>
            <w:noWrap/>
            <w:vAlign w:val="center"/>
            <w:hideMark/>
          </w:tcPr>
          <w:p w14:paraId="304012A5"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25180BE0"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7EAA1292" w14:textId="77777777" w:rsidTr="00282204">
        <w:trPr>
          <w:trHeight w:val="152"/>
        </w:trPr>
        <w:tc>
          <w:tcPr>
            <w:tcW w:w="3955" w:type="dxa"/>
            <w:vMerge/>
            <w:tcBorders>
              <w:bottom w:val="single" w:sz="4" w:space="0" w:color="auto"/>
            </w:tcBorders>
            <w:shd w:val="clear" w:color="000000" w:fill="FFFFFF"/>
            <w:vAlign w:val="center"/>
            <w:hideMark/>
          </w:tcPr>
          <w:p w14:paraId="703BBB09"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3E83300C"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49D705DD"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tcBorders>
              <w:bottom w:val="single" w:sz="4" w:space="0" w:color="auto"/>
            </w:tcBorders>
            <w:shd w:val="clear" w:color="000000" w:fill="FFFFFF"/>
            <w:vAlign w:val="center"/>
            <w:hideMark/>
          </w:tcPr>
          <w:p w14:paraId="5908D06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63" w:type="dxa"/>
            <w:tcBorders>
              <w:bottom w:val="single" w:sz="4" w:space="0" w:color="auto"/>
            </w:tcBorders>
            <w:shd w:val="clear" w:color="000000" w:fill="FFFFFF"/>
            <w:vAlign w:val="center"/>
            <w:hideMark/>
          </w:tcPr>
          <w:p w14:paraId="422F75C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7</w:t>
            </w:r>
          </w:p>
        </w:tc>
        <w:tc>
          <w:tcPr>
            <w:tcW w:w="990" w:type="dxa"/>
            <w:tcBorders>
              <w:bottom w:val="single" w:sz="4" w:space="0" w:color="auto"/>
            </w:tcBorders>
            <w:shd w:val="clear" w:color="000000" w:fill="FFFFFF"/>
            <w:vAlign w:val="center"/>
            <w:hideMark/>
          </w:tcPr>
          <w:p w14:paraId="31C5366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51</w:t>
            </w:r>
          </w:p>
        </w:tc>
        <w:tc>
          <w:tcPr>
            <w:tcW w:w="1158" w:type="dxa"/>
            <w:tcBorders>
              <w:bottom w:val="single" w:sz="4" w:space="0" w:color="auto"/>
            </w:tcBorders>
            <w:shd w:val="clear" w:color="000000" w:fill="FFFFFF"/>
            <w:vAlign w:val="center"/>
            <w:hideMark/>
          </w:tcPr>
          <w:p w14:paraId="75C48CE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41</w:t>
            </w:r>
          </w:p>
        </w:tc>
        <w:tc>
          <w:tcPr>
            <w:tcW w:w="1452" w:type="dxa"/>
            <w:tcBorders>
              <w:bottom w:val="single" w:sz="4" w:space="0" w:color="auto"/>
            </w:tcBorders>
            <w:shd w:val="clear" w:color="000000" w:fill="FFFFFF"/>
            <w:vAlign w:val="center"/>
            <w:hideMark/>
          </w:tcPr>
          <w:p w14:paraId="105DFC9E"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00B1018F"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21957B5B"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0E137F45" w14:textId="77777777" w:rsidTr="00282204">
        <w:trPr>
          <w:trHeight w:val="350"/>
        </w:trPr>
        <w:tc>
          <w:tcPr>
            <w:tcW w:w="3955" w:type="dxa"/>
            <w:vMerge w:val="restart"/>
            <w:tcBorders>
              <w:top w:val="single" w:sz="4" w:space="0" w:color="auto"/>
            </w:tcBorders>
            <w:shd w:val="clear" w:color="000000" w:fill="FFFFFF"/>
            <w:vAlign w:val="center"/>
            <w:hideMark/>
          </w:tcPr>
          <w:p w14:paraId="5D975F70"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Involvement of pharmacists in multidisciplinary care team can help to increase the level of job satisfaction for pharmacists</w:t>
            </w:r>
          </w:p>
          <w:p w14:paraId="13353F9B"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7CD5D0B5"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31B4A0D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798A75D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top w:val="single" w:sz="4" w:space="0" w:color="auto"/>
            </w:tcBorders>
            <w:shd w:val="clear" w:color="000000" w:fill="FFFFFF"/>
            <w:vAlign w:val="center"/>
            <w:hideMark/>
          </w:tcPr>
          <w:p w14:paraId="4FD8E73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990" w:type="dxa"/>
            <w:tcBorders>
              <w:top w:val="single" w:sz="4" w:space="0" w:color="auto"/>
            </w:tcBorders>
            <w:shd w:val="clear" w:color="000000" w:fill="FFFFFF"/>
            <w:vAlign w:val="center"/>
            <w:hideMark/>
          </w:tcPr>
          <w:p w14:paraId="4F2A345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39</w:t>
            </w:r>
          </w:p>
        </w:tc>
        <w:tc>
          <w:tcPr>
            <w:tcW w:w="1158" w:type="dxa"/>
            <w:tcBorders>
              <w:top w:val="single" w:sz="4" w:space="0" w:color="auto"/>
            </w:tcBorders>
            <w:shd w:val="clear" w:color="000000" w:fill="FFFFFF"/>
            <w:vAlign w:val="center"/>
            <w:hideMark/>
          </w:tcPr>
          <w:p w14:paraId="2125E86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44</w:t>
            </w:r>
          </w:p>
        </w:tc>
        <w:tc>
          <w:tcPr>
            <w:tcW w:w="1452" w:type="dxa"/>
            <w:tcBorders>
              <w:top w:val="single" w:sz="4" w:space="0" w:color="auto"/>
            </w:tcBorders>
            <w:shd w:val="clear" w:color="000000" w:fill="FFFFFF"/>
            <w:vAlign w:val="center"/>
            <w:hideMark/>
          </w:tcPr>
          <w:p w14:paraId="4650D31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 (4-5)</w:t>
            </w:r>
          </w:p>
        </w:tc>
        <w:tc>
          <w:tcPr>
            <w:tcW w:w="1170" w:type="dxa"/>
            <w:tcBorders>
              <w:top w:val="single" w:sz="4" w:space="0" w:color="auto"/>
            </w:tcBorders>
            <w:shd w:val="clear" w:color="000000" w:fill="FFFFFF"/>
            <w:vAlign w:val="center"/>
            <w:hideMark/>
          </w:tcPr>
          <w:p w14:paraId="25BEEAE1"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0.36</w:t>
            </w:r>
          </w:p>
        </w:tc>
        <w:tc>
          <w:tcPr>
            <w:tcW w:w="1097" w:type="dxa"/>
            <w:tcBorders>
              <w:top w:val="single" w:sz="4" w:space="0" w:color="auto"/>
            </w:tcBorders>
            <w:shd w:val="clear" w:color="000000" w:fill="FFFFFF"/>
            <w:vAlign w:val="center"/>
            <w:hideMark/>
          </w:tcPr>
          <w:p w14:paraId="28458531"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0.99</w:t>
            </w:r>
          </w:p>
        </w:tc>
      </w:tr>
      <w:tr w:rsidR="00821B82" w:rsidRPr="001E1371" w14:paraId="7A76E9B4" w14:textId="77777777" w:rsidTr="00282204">
        <w:trPr>
          <w:trHeight w:val="288"/>
        </w:trPr>
        <w:tc>
          <w:tcPr>
            <w:tcW w:w="3955" w:type="dxa"/>
            <w:vMerge/>
            <w:shd w:val="clear" w:color="000000" w:fill="FFFFFF"/>
            <w:vAlign w:val="center"/>
            <w:hideMark/>
          </w:tcPr>
          <w:p w14:paraId="1D064512"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14949690"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2360CFA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540C16F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shd w:val="clear" w:color="000000" w:fill="FFFFFF"/>
            <w:vAlign w:val="center"/>
            <w:hideMark/>
          </w:tcPr>
          <w:p w14:paraId="6EDA940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990" w:type="dxa"/>
            <w:shd w:val="clear" w:color="000000" w:fill="FFFFFF"/>
            <w:vAlign w:val="center"/>
            <w:hideMark/>
          </w:tcPr>
          <w:p w14:paraId="526E434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47</w:t>
            </w:r>
          </w:p>
        </w:tc>
        <w:tc>
          <w:tcPr>
            <w:tcW w:w="1158" w:type="dxa"/>
            <w:shd w:val="clear" w:color="000000" w:fill="FFFFFF"/>
            <w:vAlign w:val="center"/>
            <w:hideMark/>
          </w:tcPr>
          <w:p w14:paraId="6B191B5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42</w:t>
            </w:r>
          </w:p>
        </w:tc>
        <w:tc>
          <w:tcPr>
            <w:tcW w:w="1452" w:type="dxa"/>
            <w:shd w:val="clear" w:color="000000" w:fill="FFFFFF"/>
            <w:vAlign w:val="center"/>
            <w:hideMark/>
          </w:tcPr>
          <w:p w14:paraId="3D39E8A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 (4-5)</w:t>
            </w:r>
          </w:p>
        </w:tc>
        <w:tc>
          <w:tcPr>
            <w:tcW w:w="1170" w:type="dxa"/>
            <w:shd w:val="clear" w:color="000000" w:fill="FFFFFF"/>
            <w:noWrap/>
            <w:vAlign w:val="center"/>
            <w:hideMark/>
          </w:tcPr>
          <w:p w14:paraId="719F8D82"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1104A692"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49E733D6" w14:textId="77777777" w:rsidTr="00282204">
        <w:trPr>
          <w:trHeight w:val="288"/>
        </w:trPr>
        <w:tc>
          <w:tcPr>
            <w:tcW w:w="3955" w:type="dxa"/>
            <w:vMerge/>
            <w:tcBorders>
              <w:bottom w:val="single" w:sz="4" w:space="0" w:color="auto"/>
            </w:tcBorders>
            <w:shd w:val="clear" w:color="000000" w:fill="FFFFFF"/>
            <w:vAlign w:val="center"/>
            <w:hideMark/>
          </w:tcPr>
          <w:p w14:paraId="3EF0A736"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314B902B"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3AE69B6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tcBorders>
              <w:bottom w:val="single" w:sz="4" w:space="0" w:color="auto"/>
            </w:tcBorders>
            <w:shd w:val="clear" w:color="000000" w:fill="FFFFFF"/>
            <w:vAlign w:val="center"/>
            <w:hideMark/>
          </w:tcPr>
          <w:p w14:paraId="3BE3EFA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63" w:type="dxa"/>
            <w:tcBorders>
              <w:bottom w:val="single" w:sz="4" w:space="0" w:color="auto"/>
            </w:tcBorders>
            <w:shd w:val="clear" w:color="000000" w:fill="FFFFFF"/>
            <w:vAlign w:val="center"/>
            <w:hideMark/>
          </w:tcPr>
          <w:p w14:paraId="326E50A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7</w:t>
            </w:r>
          </w:p>
        </w:tc>
        <w:tc>
          <w:tcPr>
            <w:tcW w:w="990" w:type="dxa"/>
            <w:tcBorders>
              <w:bottom w:val="single" w:sz="4" w:space="0" w:color="auto"/>
            </w:tcBorders>
            <w:shd w:val="clear" w:color="000000" w:fill="FFFFFF"/>
            <w:vAlign w:val="center"/>
            <w:hideMark/>
          </w:tcPr>
          <w:p w14:paraId="4D1824B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52</w:t>
            </w:r>
          </w:p>
        </w:tc>
        <w:tc>
          <w:tcPr>
            <w:tcW w:w="1158" w:type="dxa"/>
            <w:tcBorders>
              <w:bottom w:val="single" w:sz="4" w:space="0" w:color="auto"/>
            </w:tcBorders>
            <w:shd w:val="clear" w:color="000000" w:fill="FFFFFF"/>
            <w:vAlign w:val="center"/>
            <w:hideMark/>
          </w:tcPr>
          <w:p w14:paraId="3244DCA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39</w:t>
            </w:r>
          </w:p>
        </w:tc>
        <w:tc>
          <w:tcPr>
            <w:tcW w:w="1452" w:type="dxa"/>
            <w:tcBorders>
              <w:bottom w:val="single" w:sz="4" w:space="0" w:color="auto"/>
            </w:tcBorders>
            <w:shd w:val="clear" w:color="000000" w:fill="FFFFFF"/>
            <w:vAlign w:val="center"/>
            <w:hideMark/>
          </w:tcPr>
          <w:p w14:paraId="16D24658"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1BE1569E"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2EC4AB2A"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22878EE4" w14:textId="77777777" w:rsidTr="00282204">
        <w:trPr>
          <w:trHeight w:val="296"/>
        </w:trPr>
        <w:tc>
          <w:tcPr>
            <w:tcW w:w="3955" w:type="dxa"/>
            <w:vMerge w:val="restart"/>
            <w:tcBorders>
              <w:top w:val="single" w:sz="4" w:space="0" w:color="auto"/>
            </w:tcBorders>
            <w:shd w:val="clear" w:color="000000" w:fill="FFFFFF"/>
            <w:vAlign w:val="center"/>
            <w:hideMark/>
          </w:tcPr>
          <w:p w14:paraId="45BC80D1"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can provide drug information to physicians to help in decision-making regarding medicines to treat the patient’s condition</w:t>
            </w:r>
          </w:p>
          <w:p w14:paraId="6BA6B73A"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75D01C16"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4BD2671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61CA856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top w:val="single" w:sz="4" w:space="0" w:color="auto"/>
            </w:tcBorders>
            <w:shd w:val="clear" w:color="000000" w:fill="FFFFFF"/>
            <w:vAlign w:val="center"/>
            <w:hideMark/>
          </w:tcPr>
          <w:p w14:paraId="316C66E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990" w:type="dxa"/>
            <w:tcBorders>
              <w:top w:val="single" w:sz="4" w:space="0" w:color="auto"/>
            </w:tcBorders>
            <w:shd w:val="clear" w:color="000000" w:fill="FFFFFF"/>
            <w:vAlign w:val="center"/>
            <w:hideMark/>
          </w:tcPr>
          <w:p w14:paraId="26B5A03D"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44</w:t>
            </w:r>
          </w:p>
        </w:tc>
        <w:tc>
          <w:tcPr>
            <w:tcW w:w="1158" w:type="dxa"/>
            <w:tcBorders>
              <w:top w:val="single" w:sz="4" w:space="0" w:color="auto"/>
            </w:tcBorders>
            <w:shd w:val="clear" w:color="000000" w:fill="FFFFFF"/>
            <w:vAlign w:val="center"/>
            <w:hideMark/>
          </w:tcPr>
          <w:p w14:paraId="20D10D9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44</w:t>
            </w:r>
          </w:p>
        </w:tc>
        <w:tc>
          <w:tcPr>
            <w:tcW w:w="1452" w:type="dxa"/>
            <w:tcBorders>
              <w:top w:val="single" w:sz="4" w:space="0" w:color="auto"/>
            </w:tcBorders>
            <w:shd w:val="clear" w:color="000000" w:fill="FFFFFF"/>
            <w:vAlign w:val="center"/>
            <w:hideMark/>
          </w:tcPr>
          <w:p w14:paraId="0F0333F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 (4-5)</w:t>
            </w:r>
          </w:p>
        </w:tc>
        <w:tc>
          <w:tcPr>
            <w:tcW w:w="1170" w:type="dxa"/>
            <w:tcBorders>
              <w:top w:val="single" w:sz="4" w:space="0" w:color="auto"/>
            </w:tcBorders>
            <w:shd w:val="clear" w:color="000000" w:fill="FFFFFF"/>
            <w:vAlign w:val="center"/>
            <w:hideMark/>
          </w:tcPr>
          <w:p w14:paraId="08EE84D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0.45</w:t>
            </w:r>
          </w:p>
        </w:tc>
        <w:tc>
          <w:tcPr>
            <w:tcW w:w="1097" w:type="dxa"/>
            <w:tcBorders>
              <w:top w:val="single" w:sz="4" w:space="0" w:color="auto"/>
            </w:tcBorders>
            <w:shd w:val="clear" w:color="000000" w:fill="FFFFFF"/>
            <w:vAlign w:val="center"/>
            <w:hideMark/>
          </w:tcPr>
          <w:p w14:paraId="416A3532"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0.63</w:t>
            </w:r>
          </w:p>
        </w:tc>
      </w:tr>
      <w:tr w:rsidR="00821B82" w:rsidRPr="001E1371" w14:paraId="70FB0066" w14:textId="77777777" w:rsidTr="00282204">
        <w:trPr>
          <w:trHeight w:val="288"/>
        </w:trPr>
        <w:tc>
          <w:tcPr>
            <w:tcW w:w="3955" w:type="dxa"/>
            <w:vMerge/>
            <w:shd w:val="clear" w:color="000000" w:fill="FFFFFF"/>
            <w:vAlign w:val="center"/>
            <w:hideMark/>
          </w:tcPr>
          <w:p w14:paraId="45817E7E"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13DE946C"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5CF0B53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19660CB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shd w:val="clear" w:color="000000" w:fill="FFFFFF"/>
            <w:vAlign w:val="center"/>
            <w:hideMark/>
          </w:tcPr>
          <w:p w14:paraId="7B020E8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990" w:type="dxa"/>
            <w:shd w:val="clear" w:color="000000" w:fill="FFFFFF"/>
            <w:vAlign w:val="center"/>
            <w:hideMark/>
          </w:tcPr>
          <w:p w14:paraId="18F5747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37</w:t>
            </w:r>
          </w:p>
        </w:tc>
        <w:tc>
          <w:tcPr>
            <w:tcW w:w="1158" w:type="dxa"/>
            <w:shd w:val="clear" w:color="000000" w:fill="FFFFFF"/>
            <w:vAlign w:val="center"/>
            <w:hideMark/>
          </w:tcPr>
          <w:p w14:paraId="1B82D90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53</w:t>
            </w:r>
          </w:p>
        </w:tc>
        <w:tc>
          <w:tcPr>
            <w:tcW w:w="1452" w:type="dxa"/>
            <w:shd w:val="clear" w:color="000000" w:fill="FFFFFF"/>
            <w:vAlign w:val="center"/>
            <w:hideMark/>
          </w:tcPr>
          <w:p w14:paraId="05CC671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 (4-5)</w:t>
            </w:r>
          </w:p>
        </w:tc>
        <w:tc>
          <w:tcPr>
            <w:tcW w:w="1170" w:type="dxa"/>
            <w:shd w:val="clear" w:color="000000" w:fill="FFFFFF"/>
            <w:noWrap/>
            <w:vAlign w:val="center"/>
            <w:hideMark/>
          </w:tcPr>
          <w:p w14:paraId="0D9BA1C5"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2699AFD3"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14BFECC8" w14:textId="77777777" w:rsidTr="00282204">
        <w:trPr>
          <w:trHeight w:val="323"/>
        </w:trPr>
        <w:tc>
          <w:tcPr>
            <w:tcW w:w="3955" w:type="dxa"/>
            <w:vMerge/>
            <w:tcBorders>
              <w:bottom w:val="single" w:sz="4" w:space="0" w:color="auto"/>
            </w:tcBorders>
            <w:shd w:val="clear" w:color="000000" w:fill="FFFFFF"/>
            <w:vAlign w:val="center"/>
            <w:hideMark/>
          </w:tcPr>
          <w:p w14:paraId="684B4595"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2AB96123"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24D046C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80" w:type="dxa"/>
            <w:tcBorders>
              <w:bottom w:val="single" w:sz="4" w:space="0" w:color="auto"/>
            </w:tcBorders>
            <w:shd w:val="clear" w:color="000000" w:fill="FFFFFF"/>
            <w:vAlign w:val="center"/>
            <w:hideMark/>
          </w:tcPr>
          <w:p w14:paraId="6538B3B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63" w:type="dxa"/>
            <w:tcBorders>
              <w:bottom w:val="single" w:sz="4" w:space="0" w:color="auto"/>
            </w:tcBorders>
            <w:shd w:val="clear" w:color="000000" w:fill="FFFFFF"/>
            <w:vAlign w:val="center"/>
            <w:hideMark/>
          </w:tcPr>
          <w:p w14:paraId="4B5412E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7</w:t>
            </w:r>
          </w:p>
        </w:tc>
        <w:tc>
          <w:tcPr>
            <w:tcW w:w="990" w:type="dxa"/>
            <w:tcBorders>
              <w:bottom w:val="single" w:sz="4" w:space="0" w:color="auto"/>
            </w:tcBorders>
            <w:shd w:val="clear" w:color="000000" w:fill="FFFFFF"/>
            <w:vAlign w:val="center"/>
            <w:hideMark/>
          </w:tcPr>
          <w:p w14:paraId="73661F6D"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49</w:t>
            </w:r>
          </w:p>
        </w:tc>
        <w:tc>
          <w:tcPr>
            <w:tcW w:w="1158" w:type="dxa"/>
            <w:tcBorders>
              <w:bottom w:val="single" w:sz="4" w:space="0" w:color="auto"/>
            </w:tcBorders>
            <w:shd w:val="clear" w:color="000000" w:fill="FFFFFF"/>
            <w:vAlign w:val="center"/>
            <w:hideMark/>
          </w:tcPr>
          <w:p w14:paraId="2FD08DF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41</w:t>
            </w:r>
          </w:p>
        </w:tc>
        <w:tc>
          <w:tcPr>
            <w:tcW w:w="1452" w:type="dxa"/>
            <w:tcBorders>
              <w:bottom w:val="single" w:sz="4" w:space="0" w:color="auto"/>
            </w:tcBorders>
            <w:shd w:val="clear" w:color="000000" w:fill="FFFFFF"/>
            <w:vAlign w:val="center"/>
            <w:hideMark/>
          </w:tcPr>
          <w:p w14:paraId="6EE1F50B"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6D82A46C"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47EAC622"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59D65262" w14:textId="77777777" w:rsidTr="00282204">
        <w:trPr>
          <w:trHeight w:val="377"/>
        </w:trPr>
        <w:tc>
          <w:tcPr>
            <w:tcW w:w="3955" w:type="dxa"/>
            <w:vMerge w:val="restart"/>
            <w:tcBorders>
              <w:top w:val="single" w:sz="4" w:space="0" w:color="auto"/>
            </w:tcBorders>
            <w:shd w:val="clear" w:color="000000" w:fill="FFFFFF"/>
            <w:vAlign w:val="center"/>
            <w:hideMark/>
          </w:tcPr>
          <w:p w14:paraId="21EB73BF"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Collaborative work of pharmacists with other healthcare professionals such as doctors and nurses in the management of diabetes patients can improve the quality of healthcare services</w:t>
            </w:r>
          </w:p>
          <w:p w14:paraId="60C43DFA"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638A869F"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545B63B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510C66A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top w:val="single" w:sz="4" w:space="0" w:color="auto"/>
            </w:tcBorders>
            <w:shd w:val="clear" w:color="000000" w:fill="FFFFFF"/>
            <w:vAlign w:val="center"/>
            <w:hideMark/>
          </w:tcPr>
          <w:p w14:paraId="63CAD6F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17</w:t>
            </w:r>
          </w:p>
        </w:tc>
        <w:tc>
          <w:tcPr>
            <w:tcW w:w="990" w:type="dxa"/>
            <w:tcBorders>
              <w:top w:val="single" w:sz="4" w:space="0" w:color="auto"/>
            </w:tcBorders>
            <w:shd w:val="clear" w:color="000000" w:fill="FFFFFF"/>
            <w:vAlign w:val="center"/>
            <w:hideMark/>
          </w:tcPr>
          <w:p w14:paraId="77A62B8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28</w:t>
            </w:r>
          </w:p>
        </w:tc>
        <w:tc>
          <w:tcPr>
            <w:tcW w:w="1158" w:type="dxa"/>
            <w:tcBorders>
              <w:top w:val="single" w:sz="4" w:space="0" w:color="auto"/>
            </w:tcBorders>
            <w:shd w:val="clear" w:color="000000" w:fill="FFFFFF"/>
            <w:vAlign w:val="center"/>
            <w:hideMark/>
          </w:tcPr>
          <w:p w14:paraId="3CDFE94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44</w:t>
            </w:r>
          </w:p>
        </w:tc>
        <w:tc>
          <w:tcPr>
            <w:tcW w:w="1452" w:type="dxa"/>
            <w:tcBorders>
              <w:top w:val="single" w:sz="4" w:space="0" w:color="auto"/>
            </w:tcBorders>
            <w:shd w:val="clear" w:color="000000" w:fill="FFFFFF"/>
            <w:vAlign w:val="center"/>
            <w:hideMark/>
          </w:tcPr>
          <w:p w14:paraId="7505148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 (3-5)</w:t>
            </w:r>
          </w:p>
        </w:tc>
        <w:tc>
          <w:tcPr>
            <w:tcW w:w="1170" w:type="dxa"/>
            <w:tcBorders>
              <w:top w:val="single" w:sz="4" w:space="0" w:color="auto"/>
            </w:tcBorders>
            <w:shd w:val="clear" w:color="000000" w:fill="FFFFFF"/>
            <w:vAlign w:val="center"/>
            <w:hideMark/>
          </w:tcPr>
          <w:p w14:paraId="5EF20AD6"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0.08</w:t>
            </w:r>
          </w:p>
        </w:tc>
        <w:tc>
          <w:tcPr>
            <w:tcW w:w="1097" w:type="dxa"/>
            <w:tcBorders>
              <w:top w:val="single" w:sz="4" w:space="0" w:color="auto"/>
            </w:tcBorders>
            <w:shd w:val="clear" w:color="000000" w:fill="FFFFFF"/>
            <w:vAlign w:val="center"/>
            <w:hideMark/>
          </w:tcPr>
          <w:p w14:paraId="069694C7"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0.58</w:t>
            </w:r>
          </w:p>
        </w:tc>
      </w:tr>
      <w:tr w:rsidR="00821B82" w:rsidRPr="001E1371" w14:paraId="26FC0A36" w14:textId="77777777" w:rsidTr="00282204">
        <w:trPr>
          <w:trHeight w:val="494"/>
        </w:trPr>
        <w:tc>
          <w:tcPr>
            <w:tcW w:w="3955" w:type="dxa"/>
            <w:vMerge/>
            <w:shd w:val="clear" w:color="000000" w:fill="FFFFFF"/>
            <w:vAlign w:val="center"/>
            <w:hideMark/>
          </w:tcPr>
          <w:p w14:paraId="0E236D5E"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00277AFB"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05A59BC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3D558AF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w:t>
            </w:r>
          </w:p>
        </w:tc>
        <w:tc>
          <w:tcPr>
            <w:tcW w:w="1063" w:type="dxa"/>
            <w:shd w:val="clear" w:color="000000" w:fill="FFFFFF"/>
            <w:vAlign w:val="center"/>
            <w:hideMark/>
          </w:tcPr>
          <w:p w14:paraId="15C1090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w:t>
            </w:r>
          </w:p>
        </w:tc>
        <w:tc>
          <w:tcPr>
            <w:tcW w:w="990" w:type="dxa"/>
            <w:shd w:val="clear" w:color="000000" w:fill="FFFFFF"/>
            <w:vAlign w:val="center"/>
            <w:hideMark/>
          </w:tcPr>
          <w:p w14:paraId="2982FB7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37</w:t>
            </w:r>
          </w:p>
        </w:tc>
        <w:tc>
          <w:tcPr>
            <w:tcW w:w="1158" w:type="dxa"/>
            <w:shd w:val="clear" w:color="000000" w:fill="FFFFFF"/>
            <w:vAlign w:val="center"/>
            <w:hideMark/>
          </w:tcPr>
          <w:p w14:paraId="20F62CD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53</w:t>
            </w:r>
          </w:p>
        </w:tc>
        <w:tc>
          <w:tcPr>
            <w:tcW w:w="1452" w:type="dxa"/>
            <w:shd w:val="clear" w:color="000000" w:fill="FFFFFF"/>
            <w:vAlign w:val="center"/>
            <w:hideMark/>
          </w:tcPr>
          <w:p w14:paraId="1F22424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 (4-5)</w:t>
            </w:r>
          </w:p>
        </w:tc>
        <w:tc>
          <w:tcPr>
            <w:tcW w:w="1170" w:type="dxa"/>
            <w:shd w:val="clear" w:color="000000" w:fill="FFFFFF"/>
            <w:noWrap/>
            <w:vAlign w:val="center"/>
            <w:hideMark/>
          </w:tcPr>
          <w:p w14:paraId="0055EE19"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7B9BE70E"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64B12C32" w14:textId="77777777" w:rsidTr="00282204">
        <w:trPr>
          <w:trHeight w:val="296"/>
        </w:trPr>
        <w:tc>
          <w:tcPr>
            <w:tcW w:w="3955" w:type="dxa"/>
            <w:vMerge/>
            <w:tcBorders>
              <w:bottom w:val="single" w:sz="4" w:space="0" w:color="auto"/>
            </w:tcBorders>
            <w:shd w:val="clear" w:color="000000" w:fill="FFFFFF"/>
            <w:vAlign w:val="center"/>
            <w:hideMark/>
          </w:tcPr>
          <w:p w14:paraId="2E2080BA"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2FF72182"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36CD4C1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80" w:type="dxa"/>
            <w:tcBorders>
              <w:bottom w:val="single" w:sz="4" w:space="0" w:color="auto"/>
            </w:tcBorders>
            <w:shd w:val="clear" w:color="000000" w:fill="FFFFFF"/>
            <w:vAlign w:val="center"/>
            <w:hideMark/>
          </w:tcPr>
          <w:p w14:paraId="7CEC323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bottom w:val="single" w:sz="4" w:space="0" w:color="auto"/>
            </w:tcBorders>
            <w:shd w:val="clear" w:color="000000" w:fill="FFFFFF"/>
            <w:vAlign w:val="center"/>
            <w:hideMark/>
          </w:tcPr>
          <w:p w14:paraId="0C4E71F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w:t>
            </w:r>
          </w:p>
        </w:tc>
        <w:tc>
          <w:tcPr>
            <w:tcW w:w="990" w:type="dxa"/>
            <w:tcBorders>
              <w:bottom w:val="single" w:sz="4" w:space="0" w:color="auto"/>
            </w:tcBorders>
            <w:shd w:val="clear" w:color="000000" w:fill="FFFFFF"/>
            <w:vAlign w:val="center"/>
            <w:hideMark/>
          </w:tcPr>
          <w:p w14:paraId="38770DC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49</w:t>
            </w:r>
          </w:p>
        </w:tc>
        <w:tc>
          <w:tcPr>
            <w:tcW w:w="1158" w:type="dxa"/>
            <w:tcBorders>
              <w:bottom w:val="single" w:sz="4" w:space="0" w:color="auto"/>
            </w:tcBorders>
            <w:shd w:val="clear" w:color="000000" w:fill="FFFFFF"/>
            <w:vAlign w:val="center"/>
            <w:hideMark/>
          </w:tcPr>
          <w:p w14:paraId="4A58B7ED"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45</w:t>
            </w:r>
          </w:p>
        </w:tc>
        <w:tc>
          <w:tcPr>
            <w:tcW w:w="1452" w:type="dxa"/>
            <w:tcBorders>
              <w:bottom w:val="single" w:sz="4" w:space="0" w:color="auto"/>
            </w:tcBorders>
            <w:shd w:val="clear" w:color="000000" w:fill="FFFFFF"/>
            <w:vAlign w:val="center"/>
            <w:hideMark/>
          </w:tcPr>
          <w:p w14:paraId="4894EC1E"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14331FC1"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bottom"/>
            <w:hideMark/>
          </w:tcPr>
          <w:p w14:paraId="0855F553" w14:textId="77777777" w:rsidR="00821B82" w:rsidRPr="001E1371" w:rsidRDefault="00821B82" w:rsidP="00282204">
            <w:pPr>
              <w:spacing w:after="0" w:line="240" w:lineRule="auto"/>
              <w:jc w:val="center"/>
              <w:rPr>
                <w:rFonts w:ascii="Calibri" w:eastAsia="Times New Roman" w:hAnsi="Calibri" w:cs="Calibri"/>
                <w:color w:val="000000"/>
              </w:rPr>
            </w:pPr>
          </w:p>
        </w:tc>
      </w:tr>
      <w:tr w:rsidR="00821B82" w:rsidRPr="001E1371" w14:paraId="17C42D06" w14:textId="77777777" w:rsidTr="00282204">
        <w:trPr>
          <w:trHeight w:val="332"/>
        </w:trPr>
        <w:tc>
          <w:tcPr>
            <w:tcW w:w="3955" w:type="dxa"/>
            <w:vMerge w:val="restart"/>
            <w:tcBorders>
              <w:top w:val="single" w:sz="4" w:space="0" w:color="auto"/>
            </w:tcBorders>
            <w:shd w:val="clear" w:color="000000" w:fill="FFFFFF"/>
            <w:vAlign w:val="center"/>
            <w:hideMark/>
          </w:tcPr>
          <w:p w14:paraId="7BF95918"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working in the primary care team can make doctors’ job easier by reducing their workload and decreasing amount of time spent addressing medication-related problems</w:t>
            </w:r>
          </w:p>
          <w:p w14:paraId="27DBF33E"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3C0F5F60"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34CAB52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5F94536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top w:val="single" w:sz="4" w:space="0" w:color="auto"/>
            </w:tcBorders>
            <w:shd w:val="clear" w:color="000000" w:fill="FFFFFF"/>
            <w:vAlign w:val="center"/>
            <w:hideMark/>
          </w:tcPr>
          <w:p w14:paraId="584FDBF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990" w:type="dxa"/>
            <w:tcBorders>
              <w:top w:val="single" w:sz="4" w:space="0" w:color="auto"/>
            </w:tcBorders>
            <w:shd w:val="clear" w:color="000000" w:fill="FFFFFF"/>
            <w:vAlign w:val="center"/>
            <w:hideMark/>
          </w:tcPr>
          <w:p w14:paraId="0AB6C59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33</w:t>
            </w:r>
          </w:p>
        </w:tc>
        <w:tc>
          <w:tcPr>
            <w:tcW w:w="1158" w:type="dxa"/>
            <w:tcBorders>
              <w:top w:val="single" w:sz="4" w:space="0" w:color="auto"/>
            </w:tcBorders>
            <w:shd w:val="clear" w:color="000000" w:fill="FFFFFF"/>
            <w:vAlign w:val="center"/>
            <w:hideMark/>
          </w:tcPr>
          <w:p w14:paraId="20C6D51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50</w:t>
            </w:r>
          </w:p>
        </w:tc>
        <w:tc>
          <w:tcPr>
            <w:tcW w:w="1452" w:type="dxa"/>
            <w:tcBorders>
              <w:top w:val="single" w:sz="4" w:space="0" w:color="auto"/>
            </w:tcBorders>
            <w:shd w:val="clear" w:color="000000" w:fill="FFFFFF"/>
            <w:vAlign w:val="center"/>
            <w:hideMark/>
          </w:tcPr>
          <w:p w14:paraId="06E8FB9E"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4.5 (4-5)</w:t>
            </w:r>
          </w:p>
        </w:tc>
        <w:tc>
          <w:tcPr>
            <w:tcW w:w="1170" w:type="dxa"/>
            <w:tcBorders>
              <w:top w:val="single" w:sz="4" w:space="0" w:color="auto"/>
            </w:tcBorders>
            <w:shd w:val="clear" w:color="000000" w:fill="FFFFFF"/>
            <w:vAlign w:val="center"/>
            <w:hideMark/>
          </w:tcPr>
          <w:p w14:paraId="33099B57"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0.45</w:t>
            </w:r>
          </w:p>
        </w:tc>
        <w:tc>
          <w:tcPr>
            <w:tcW w:w="1097" w:type="dxa"/>
            <w:tcBorders>
              <w:top w:val="single" w:sz="4" w:space="0" w:color="auto"/>
            </w:tcBorders>
            <w:shd w:val="clear" w:color="000000" w:fill="FFFFFF"/>
            <w:vAlign w:val="center"/>
            <w:hideMark/>
          </w:tcPr>
          <w:p w14:paraId="12992243"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0.5</w:t>
            </w:r>
            <w:r>
              <w:rPr>
                <w:rFonts w:ascii="Arial" w:eastAsia="Times New Roman" w:hAnsi="Arial" w:cs="Arial"/>
                <w:color w:val="000000"/>
                <w:sz w:val="16"/>
                <w:szCs w:val="16"/>
              </w:rPr>
              <w:t>0</w:t>
            </w:r>
          </w:p>
        </w:tc>
      </w:tr>
      <w:tr w:rsidR="00821B82" w:rsidRPr="001E1371" w14:paraId="395B5C58" w14:textId="77777777" w:rsidTr="00282204">
        <w:trPr>
          <w:trHeight w:val="288"/>
        </w:trPr>
        <w:tc>
          <w:tcPr>
            <w:tcW w:w="3955" w:type="dxa"/>
            <w:vMerge/>
            <w:shd w:val="clear" w:color="000000" w:fill="FFFFFF"/>
            <w:vAlign w:val="center"/>
            <w:hideMark/>
          </w:tcPr>
          <w:p w14:paraId="5BFFF9FF"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06269C08"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123CA41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3B6EECC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shd w:val="clear" w:color="000000" w:fill="FFFFFF"/>
            <w:vAlign w:val="center"/>
            <w:hideMark/>
          </w:tcPr>
          <w:p w14:paraId="297D740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w:t>
            </w:r>
          </w:p>
        </w:tc>
        <w:tc>
          <w:tcPr>
            <w:tcW w:w="990" w:type="dxa"/>
            <w:shd w:val="clear" w:color="000000" w:fill="FFFFFF"/>
            <w:vAlign w:val="center"/>
            <w:hideMark/>
          </w:tcPr>
          <w:p w14:paraId="4CD8975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37</w:t>
            </w:r>
          </w:p>
        </w:tc>
        <w:tc>
          <w:tcPr>
            <w:tcW w:w="1158" w:type="dxa"/>
            <w:shd w:val="clear" w:color="000000" w:fill="FFFFFF"/>
            <w:vAlign w:val="center"/>
            <w:hideMark/>
          </w:tcPr>
          <w:p w14:paraId="2C33C9C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58</w:t>
            </w:r>
          </w:p>
        </w:tc>
        <w:tc>
          <w:tcPr>
            <w:tcW w:w="1452" w:type="dxa"/>
            <w:shd w:val="clear" w:color="000000" w:fill="FFFFFF"/>
            <w:vAlign w:val="center"/>
            <w:hideMark/>
          </w:tcPr>
          <w:p w14:paraId="59D11FA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 (4-5)</w:t>
            </w:r>
          </w:p>
        </w:tc>
        <w:tc>
          <w:tcPr>
            <w:tcW w:w="1170" w:type="dxa"/>
            <w:shd w:val="clear" w:color="000000" w:fill="FFFFFF"/>
            <w:noWrap/>
            <w:vAlign w:val="center"/>
            <w:hideMark/>
          </w:tcPr>
          <w:p w14:paraId="46B81845"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1F87D74D"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38B62009" w14:textId="77777777" w:rsidTr="00282204">
        <w:trPr>
          <w:trHeight w:val="288"/>
        </w:trPr>
        <w:tc>
          <w:tcPr>
            <w:tcW w:w="3955" w:type="dxa"/>
            <w:vMerge/>
            <w:tcBorders>
              <w:bottom w:val="single" w:sz="4" w:space="0" w:color="auto"/>
            </w:tcBorders>
            <w:shd w:val="clear" w:color="000000" w:fill="FFFFFF"/>
            <w:vAlign w:val="center"/>
            <w:hideMark/>
          </w:tcPr>
          <w:p w14:paraId="00F27EBA"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71F4687B"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4859186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80" w:type="dxa"/>
            <w:tcBorders>
              <w:bottom w:val="single" w:sz="4" w:space="0" w:color="auto"/>
            </w:tcBorders>
            <w:shd w:val="clear" w:color="000000" w:fill="FFFFFF"/>
            <w:vAlign w:val="center"/>
            <w:hideMark/>
          </w:tcPr>
          <w:p w14:paraId="1D09945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bottom w:val="single" w:sz="4" w:space="0" w:color="auto"/>
            </w:tcBorders>
            <w:shd w:val="clear" w:color="000000" w:fill="FFFFFF"/>
            <w:vAlign w:val="center"/>
            <w:hideMark/>
          </w:tcPr>
          <w:p w14:paraId="138B8EB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10</w:t>
            </w:r>
          </w:p>
        </w:tc>
        <w:tc>
          <w:tcPr>
            <w:tcW w:w="990" w:type="dxa"/>
            <w:tcBorders>
              <w:bottom w:val="single" w:sz="4" w:space="0" w:color="auto"/>
            </w:tcBorders>
            <w:shd w:val="clear" w:color="000000" w:fill="FFFFFF"/>
            <w:vAlign w:val="center"/>
            <w:hideMark/>
          </w:tcPr>
          <w:p w14:paraId="6BEDD6A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45</w:t>
            </w:r>
          </w:p>
        </w:tc>
        <w:tc>
          <w:tcPr>
            <w:tcW w:w="1158" w:type="dxa"/>
            <w:tcBorders>
              <w:bottom w:val="single" w:sz="4" w:space="0" w:color="auto"/>
            </w:tcBorders>
            <w:shd w:val="clear" w:color="000000" w:fill="FFFFFF"/>
            <w:vAlign w:val="center"/>
            <w:hideMark/>
          </w:tcPr>
          <w:p w14:paraId="1E514B1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44</w:t>
            </w:r>
          </w:p>
        </w:tc>
        <w:tc>
          <w:tcPr>
            <w:tcW w:w="1452" w:type="dxa"/>
            <w:tcBorders>
              <w:bottom w:val="single" w:sz="4" w:space="0" w:color="auto"/>
            </w:tcBorders>
            <w:shd w:val="clear" w:color="000000" w:fill="FFFFFF"/>
            <w:vAlign w:val="center"/>
            <w:hideMark/>
          </w:tcPr>
          <w:p w14:paraId="2FB9A936"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009D54E3"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2ECE3AE5"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4DE7E4DC" w14:textId="77777777" w:rsidTr="00282204">
        <w:trPr>
          <w:trHeight w:val="278"/>
        </w:trPr>
        <w:tc>
          <w:tcPr>
            <w:tcW w:w="3955" w:type="dxa"/>
            <w:vMerge w:val="restart"/>
            <w:tcBorders>
              <w:top w:val="single" w:sz="4" w:space="0" w:color="auto"/>
            </w:tcBorders>
            <w:shd w:val="clear" w:color="000000" w:fill="FFFFFF"/>
            <w:vAlign w:val="center"/>
            <w:hideMark/>
          </w:tcPr>
          <w:p w14:paraId="3DF7CB21"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Use of pharmacist’s skills and knowledge in diabetes primary care management can improve patient outcomes</w:t>
            </w:r>
          </w:p>
          <w:p w14:paraId="663888A7"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21DF5C71"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10EA128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7ED47BD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63" w:type="dxa"/>
            <w:tcBorders>
              <w:top w:val="single" w:sz="4" w:space="0" w:color="auto"/>
            </w:tcBorders>
            <w:shd w:val="clear" w:color="000000" w:fill="FFFFFF"/>
            <w:vAlign w:val="center"/>
            <w:hideMark/>
          </w:tcPr>
          <w:p w14:paraId="38A08C1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990" w:type="dxa"/>
            <w:tcBorders>
              <w:top w:val="single" w:sz="4" w:space="0" w:color="auto"/>
            </w:tcBorders>
            <w:shd w:val="clear" w:color="000000" w:fill="FFFFFF"/>
            <w:vAlign w:val="center"/>
            <w:hideMark/>
          </w:tcPr>
          <w:p w14:paraId="022A972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28</w:t>
            </w:r>
          </w:p>
        </w:tc>
        <w:tc>
          <w:tcPr>
            <w:tcW w:w="1158" w:type="dxa"/>
            <w:tcBorders>
              <w:top w:val="single" w:sz="4" w:space="0" w:color="auto"/>
            </w:tcBorders>
            <w:shd w:val="clear" w:color="000000" w:fill="FFFFFF"/>
            <w:vAlign w:val="center"/>
            <w:hideMark/>
          </w:tcPr>
          <w:p w14:paraId="36F4D23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39</w:t>
            </w:r>
          </w:p>
        </w:tc>
        <w:tc>
          <w:tcPr>
            <w:tcW w:w="1452" w:type="dxa"/>
            <w:tcBorders>
              <w:top w:val="single" w:sz="4" w:space="0" w:color="auto"/>
            </w:tcBorders>
            <w:shd w:val="clear" w:color="000000" w:fill="FFFFFF"/>
            <w:vAlign w:val="center"/>
            <w:hideMark/>
          </w:tcPr>
          <w:p w14:paraId="693139CF"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(2.75-5)</w:t>
            </w:r>
          </w:p>
        </w:tc>
        <w:tc>
          <w:tcPr>
            <w:tcW w:w="1170" w:type="dxa"/>
            <w:tcBorders>
              <w:top w:val="single" w:sz="4" w:space="0" w:color="auto"/>
            </w:tcBorders>
            <w:shd w:val="clear" w:color="000000" w:fill="FFFFFF"/>
            <w:vAlign w:val="center"/>
            <w:hideMark/>
          </w:tcPr>
          <w:p w14:paraId="2083A307"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0.02*</w:t>
            </w:r>
          </w:p>
        </w:tc>
        <w:tc>
          <w:tcPr>
            <w:tcW w:w="1097" w:type="dxa"/>
            <w:tcBorders>
              <w:top w:val="single" w:sz="4" w:space="0" w:color="auto"/>
            </w:tcBorders>
            <w:shd w:val="clear" w:color="000000" w:fill="FFFFFF"/>
            <w:vAlign w:val="center"/>
            <w:hideMark/>
          </w:tcPr>
          <w:p w14:paraId="7511FB7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0.33</w:t>
            </w:r>
          </w:p>
        </w:tc>
      </w:tr>
      <w:tr w:rsidR="00821B82" w:rsidRPr="001E1371" w14:paraId="31CE7DBA" w14:textId="77777777" w:rsidTr="00282204">
        <w:trPr>
          <w:trHeight w:val="269"/>
        </w:trPr>
        <w:tc>
          <w:tcPr>
            <w:tcW w:w="3955" w:type="dxa"/>
            <w:vMerge/>
            <w:shd w:val="clear" w:color="000000" w:fill="FFFFFF"/>
            <w:vAlign w:val="center"/>
            <w:hideMark/>
          </w:tcPr>
          <w:p w14:paraId="5443986C"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403B5288"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3EDA097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4DA90C5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w:t>
            </w:r>
          </w:p>
        </w:tc>
        <w:tc>
          <w:tcPr>
            <w:tcW w:w="1063" w:type="dxa"/>
            <w:shd w:val="clear" w:color="000000" w:fill="FFFFFF"/>
            <w:vAlign w:val="center"/>
            <w:hideMark/>
          </w:tcPr>
          <w:p w14:paraId="694A583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w:t>
            </w:r>
          </w:p>
        </w:tc>
        <w:tc>
          <w:tcPr>
            <w:tcW w:w="990" w:type="dxa"/>
            <w:shd w:val="clear" w:color="000000" w:fill="FFFFFF"/>
            <w:vAlign w:val="center"/>
            <w:hideMark/>
          </w:tcPr>
          <w:p w14:paraId="6427192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37</w:t>
            </w:r>
          </w:p>
        </w:tc>
        <w:tc>
          <w:tcPr>
            <w:tcW w:w="1158" w:type="dxa"/>
            <w:shd w:val="clear" w:color="000000" w:fill="FFFFFF"/>
            <w:vAlign w:val="center"/>
            <w:hideMark/>
          </w:tcPr>
          <w:p w14:paraId="4AFE0CC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53</w:t>
            </w:r>
          </w:p>
        </w:tc>
        <w:tc>
          <w:tcPr>
            <w:tcW w:w="1452" w:type="dxa"/>
            <w:shd w:val="clear" w:color="000000" w:fill="FFFFFF"/>
            <w:vAlign w:val="center"/>
            <w:hideMark/>
          </w:tcPr>
          <w:p w14:paraId="0F3DB71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 (4-5)</w:t>
            </w:r>
          </w:p>
        </w:tc>
        <w:tc>
          <w:tcPr>
            <w:tcW w:w="1170" w:type="dxa"/>
            <w:shd w:val="clear" w:color="000000" w:fill="FFFFFF"/>
            <w:noWrap/>
            <w:vAlign w:val="center"/>
            <w:hideMark/>
          </w:tcPr>
          <w:p w14:paraId="4DA5C40C"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6B5EE044"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18FD649E" w14:textId="77777777" w:rsidTr="00282204">
        <w:trPr>
          <w:trHeight w:val="152"/>
        </w:trPr>
        <w:tc>
          <w:tcPr>
            <w:tcW w:w="3955" w:type="dxa"/>
            <w:vMerge/>
            <w:tcBorders>
              <w:bottom w:val="single" w:sz="4" w:space="0" w:color="auto"/>
            </w:tcBorders>
            <w:shd w:val="clear" w:color="000000" w:fill="FFFFFF"/>
            <w:vAlign w:val="center"/>
            <w:hideMark/>
          </w:tcPr>
          <w:p w14:paraId="59BA0722"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50B096E4"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2199861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tcBorders>
              <w:bottom w:val="single" w:sz="4" w:space="0" w:color="auto"/>
            </w:tcBorders>
            <w:shd w:val="clear" w:color="000000" w:fill="FFFFFF"/>
            <w:vAlign w:val="center"/>
            <w:hideMark/>
          </w:tcPr>
          <w:p w14:paraId="19BAE5D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bottom w:val="single" w:sz="4" w:space="0" w:color="auto"/>
            </w:tcBorders>
            <w:shd w:val="clear" w:color="000000" w:fill="FFFFFF"/>
            <w:vAlign w:val="center"/>
            <w:hideMark/>
          </w:tcPr>
          <w:p w14:paraId="32106B1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990" w:type="dxa"/>
            <w:tcBorders>
              <w:bottom w:val="single" w:sz="4" w:space="0" w:color="auto"/>
            </w:tcBorders>
            <w:shd w:val="clear" w:color="000000" w:fill="FFFFFF"/>
            <w:vAlign w:val="center"/>
            <w:hideMark/>
          </w:tcPr>
          <w:p w14:paraId="3AE9CA4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51</w:t>
            </w:r>
          </w:p>
        </w:tc>
        <w:tc>
          <w:tcPr>
            <w:tcW w:w="1158" w:type="dxa"/>
            <w:tcBorders>
              <w:bottom w:val="single" w:sz="4" w:space="0" w:color="auto"/>
            </w:tcBorders>
            <w:shd w:val="clear" w:color="000000" w:fill="FFFFFF"/>
            <w:vAlign w:val="center"/>
            <w:hideMark/>
          </w:tcPr>
          <w:p w14:paraId="36017C4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44</w:t>
            </w:r>
          </w:p>
        </w:tc>
        <w:tc>
          <w:tcPr>
            <w:tcW w:w="1452" w:type="dxa"/>
            <w:tcBorders>
              <w:bottom w:val="single" w:sz="4" w:space="0" w:color="auto"/>
            </w:tcBorders>
            <w:shd w:val="clear" w:color="000000" w:fill="FFFFFF"/>
            <w:vAlign w:val="center"/>
            <w:hideMark/>
          </w:tcPr>
          <w:p w14:paraId="72098702"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728D420C"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302BBCF9"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346DD207" w14:textId="77777777" w:rsidTr="00282204">
        <w:trPr>
          <w:trHeight w:val="260"/>
        </w:trPr>
        <w:tc>
          <w:tcPr>
            <w:tcW w:w="3955" w:type="dxa"/>
            <w:vMerge w:val="restart"/>
            <w:tcBorders>
              <w:top w:val="single" w:sz="4" w:space="0" w:color="auto"/>
            </w:tcBorders>
            <w:shd w:val="clear" w:color="000000" w:fill="FFFFFF"/>
            <w:vAlign w:val="center"/>
            <w:hideMark/>
          </w:tcPr>
          <w:p w14:paraId="4C09B1CD"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as medication therapy experts can make the management of patients’ medication more efficient</w:t>
            </w:r>
          </w:p>
          <w:p w14:paraId="2AF6EC5A"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5DD5FB3B"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7513EBA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18449B7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1063" w:type="dxa"/>
            <w:tcBorders>
              <w:top w:val="single" w:sz="4" w:space="0" w:color="auto"/>
            </w:tcBorders>
            <w:shd w:val="clear" w:color="000000" w:fill="FFFFFF"/>
            <w:vAlign w:val="center"/>
            <w:hideMark/>
          </w:tcPr>
          <w:p w14:paraId="1B0C315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990" w:type="dxa"/>
            <w:tcBorders>
              <w:top w:val="single" w:sz="4" w:space="0" w:color="auto"/>
            </w:tcBorders>
            <w:shd w:val="clear" w:color="000000" w:fill="FFFFFF"/>
            <w:vAlign w:val="center"/>
            <w:hideMark/>
          </w:tcPr>
          <w:p w14:paraId="3DCEAB8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39</w:t>
            </w:r>
          </w:p>
        </w:tc>
        <w:tc>
          <w:tcPr>
            <w:tcW w:w="1158" w:type="dxa"/>
            <w:tcBorders>
              <w:top w:val="single" w:sz="4" w:space="0" w:color="auto"/>
            </w:tcBorders>
            <w:shd w:val="clear" w:color="000000" w:fill="FFFFFF"/>
            <w:vAlign w:val="center"/>
            <w:hideMark/>
          </w:tcPr>
          <w:p w14:paraId="3C9745B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39</w:t>
            </w:r>
          </w:p>
        </w:tc>
        <w:tc>
          <w:tcPr>
            <w:tcW w:w="1452" w:type="dxa"/>
            <w:tcBorders>
              <w:top w:val="single" w:sz="4" w:space="0" w:color="auto"/>
            </w:tcBorders>
            <w:shd w:val="clear" w:color="000000" w:fill="FFFFFF"/>
            <w:vAlign w:val="center"/>
            <w:hideMark/>
          </w:tcPr>
          <w:p w14:paraId="125A57FF"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(3.75-5)</w:t>
            </w:r>
          </w:p>
        </w:tc>
        <w:tc>
          <w:tcPr>
            <w:tcW w:w="1170" w:type="dxa"/>
            <w:tcBorders>
              <w:top w:val="single" w:sz="4" w:space="0" w:color="auto"/>
            </w:tcBorders>
            <w:shd w:val="clear" w:color="000000" w:fill="FFFFFF"/>
            <w:vAlign w:val="center"/>
            <w:hideMark/>
          </w:tcPr>
          <w:p w14:paraId="2EEE954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0.49</w:t>
            </w:r>
          </w:p>
        </w:tc>
        <w:tc>
          <w:tcPr>
            <w:tcW w:w="1097" w:type="dxa"/>
            <w:tcBorders>
              <w:top w:val="single" w:sz="4" w:space="0" w:color="auto"/>
            </w:tcBorders>
            <w:shd w:val="clear" w:color="000000" w:fill="FFFFFF"/>
            <w:vAlign w:val="center"/>
            <w:hideMark/>
          </w:tcPr>
          <w:p w14:paraId="11E25F4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0.77</w:t>
            </w:r>
          </w:p>
        </w:tc>
      </w:tr>
      <w:tr w:rsidR="00821B82" w:rsidRPr="001E1371" w14:paraId="537F1B85" w14:textId="77777777" w:rsidTr="00282204">
        <w:trPr>
          <w:trHeight w:val="288"/>
        </w:trPr>
        <w:tc>
          <w:tcPr>
            <w:tcW w:w="3955" w:type="dxa"/>
            <w:vMerge/>
            <w:shd w:val="clear" w:color="000000" w:fill="FFFFFF"/>
            <w:vAlign w:val="center"/>
            <w:hideMark/>
          </w:tcPr>
          <w:p w14:paraId="741F28F6"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6A735E13"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66ECF0B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2ADB995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shd w:val="clear" w:color="000000" w:fill="FFFFFF"/>
            <w:vAlign w:val="center"/>
            <w:hideMark/>
          </w:tcPr>
          <w:p w14:paraId="45955D1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990" w:type="dxa"/>
            <w:shd w:val="clear" w:color="000000" w:fill="FFFFFF"/>
            <w:vAlign w:val="center"/>
            <w:hideMark/>
          </w:tcPr>
          <w:p w14:paraId="0E20283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47</w:t>
            </w:r>
          </w:p>
        </w:tc>
        <w:tc>
          <w:tcPr>
            <w:tcW w:w="1158" w:type="dxa"/>
            <w:shd w:val="clear" w:color="000000" w:fill="FFFFFF"/>
            <w:vAlign w:val="center"/>
            <w:hideMark/>
          </w:tcPr>
          <w:p w14:paraId="02B2E9E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53</w:t>
            </w:r>
          </w:p>
        </w:tc>
        <w:tc>
          <w:tcPr>
            <w:tcW w:w="1452" w:type="dxa"/>
            <w:shd w:val="clear" w:color="000000" w:fill="FFFFFF"/>
            <w:vAlign w:val="center"/>
            <w:hideMark/>
          </w:tcPr>
          <w:p w14:paraId="24C3C6F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 (4-5)</w:t>
            </w:r>
          </w:p>
        </w:tc>
        <w:tc>
          <w:tcPr>
            <w:tcW w:w="1170" w:type="dxa"/>
            <w:shd w:val="clear" w:color="000000" w:fill="FFFFFF"/>
            <w:noWrap/>
            <w:vAlign w:val="center"/>
            <w:hideMark/>
          </w:tcPr>
          <w:p w14:paraId="05B4C43C"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02D8D564"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31A10D72" w14:textId="77777777" w:rsidTr="00282204">
        <w:trPr>
          <w:trHeight w:val="288"/>
        </w:trPr>
        <w:tc>
          <w:tcPr>
            <w:tcW w:w="3955" w:type="dxa"/>
            <w:vMerge/>
            <w:tcBorders>
              <w:bottom w:val="single" w:sz="4" w:space="0" w:color="auto"/>
            </w:tcBorders>
            <w:shd w:val="clear" w:color="000000" w:fill="FFFFFF"/>
            <w:vAlign w:val="center"/>
            <w:hideMark/>
          </w:tcPr>
          <w:p w14:paraId="4E4F8E04"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5D0811FB"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19A6C4E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w:t>
            </w:r>
          </w:p>
        </w:tc>
        <w:tc>
          <w:tcPr>
            <w:tcW w:w="1080" w:type="dxa"/>
            <w:tcBorders>
              <w:bottom w:val="single" w:sz="4" w:space="0" w:color="auto"/>
            </w:tcBorders>
            <w:shd w:val="clear" w:color="000000" w:fill="FFFFFF"/>
            <w:vAlign w:val="center"/>
            <w:hideMark/>
          </w:tcPr>
          <w:p w14:paraId="2DDD331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63" w:type="dxa"/>
            <w:tcBorders>
              <w:bottom w:val="single" w:sz="4" w:space="0" w:color="auto"/>
            </w:tcBorders>
            <w:shd w:val="clear" w:color="000000" w:fill="FFFFFF"/>
            <w:vAlign w:val="center"/>
            <w:hideMark/>
          </w:tcPr>
          <w:p w14:paraId="19FD599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9</w:t>
            </w:r>
          </w:p>
        </w:tc>
        <w:tc>
          <w:tcPr>
            <w:tcW w:w="990" w:type="dxa"/>
            <w:tcBorders>
              <w:bottom w:val="single" w:sz="4" w:space="0" w:color="auto"/>
            </w:tcBorders>
            <w:shd w:val="clear" w:color="000000" w:fill="FFFFFF"/>
            <w:vAlign w:val="center"/>
            <w:hideMark/>
          </w:tcPr>
          <w:p w14:paraId="2762A8B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48</w:t>
            </w:r>
          </w:p>
        </w:tc>
        <w:tc>
          <w:tcPr>
            <w:tcW w:w="1158" w:type="dxa"/>
            <w:tcBorders>
              <w:bottom w:val="single" w:sz="4" w:space="0" w:color="auto"/>
            </w:tcBorders>
            <w:shd w:val="clear" w:color="000000" w:fill="FFFFFF"/>
            <w:vAlign w:val="center"/>
            <w:hideMark/>
          </w:tcPr>
          <w:p w14:paraId="0EEFF49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39</w:t>
            </w:r>
          </w:p>
        </w:tc>
        <w:tc>
          <w:tcPr>
            <w:tcW w:w="1452" w:type="dxa"/>
            <w:tcBorders>
              <w:bottom w:val="single" w:sz="4" w:space="0" w:color="auto"/>
            </w:tcBorders>
            <w:shd w:val="clear" w:color="000000" w:fill="FFFFFF"/>
            <w:vAlign w:val="center"/>
            <w:hideMark/>
          </w:tcPr>
          <w:p w14:paraId="2686F27D"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221170A4"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121B0525"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23F95963" w14:textId="77777777" w:rsidTr="00282204">
        <w:trPr>
          <w:trHeight w:val="287"/>
        </w:trPr>
        <w:tc>
          <w:tcPr>
            <w:tcW w:w="3955" w:type="dxa"/>
            <w:vMerge w:val="restart"/>
            <w:tcBorders>
              <w:top w:val="single" w:sz="4" w:space="0" w:color="auto"/>
            </w:tcBorders>
            <w:shd w:val="clear" w:color="000000" w:fill="FFFFFF"/>
            <w:vAlign w:val="center"/>
            <w:hideMark/>
          </w:tcPr>
          <w:p w14:paraId="0A8DA050"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can help with co-management of complex patients</w:t>
            </w:r>
          </w:p>
          <w:p w14:paraId="764BE4FE"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p w14:paraId="589CCC7F"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top w:val="single" w:sz="4" w:space="0" w:color="auto"/>
            </w:tcBorders>
            <w:shd w:val="clear" w:color="000000" w:fill="FFFFFF"/>
            <w:vAlign w:val="center"/>
            <w:hideMark/>
          </w:tcPr>
          <w:p w14:paraId="125E1774"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3EB6858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7B2D2AF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1063" w:type="dxa"/>
            <w:tcBorders>
              <w:top w:val="single" w:sz="4" w:space="0" w:color="auto"/>
            </w:tcBorders>
            <w:shd w:val="clear" w:color="000000" w:fill="FFFFFF"/>
            <w:vAlign w:val="center"/>
            <w:hideMark/>
          </w:tcPr>
          <w:p w14:paraId="0ED7066D"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990" w:type="dxa"/>
            <w:tcBorders>
              <w:top w:val="single" w:sz="4" w:space="0" w:color="auto"/>
            </w:tcBorders>
            <w:shd w:val="clear" w:color="000000" w:fill="FFFFFF"/>
            <w:vAlign w:val="center"/>
            <w:hideMark/>
          </w:tcPr>
          <w:p w14:paraId="6A1E474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50</w:t>
            </w:r>
          </w:p>
        </w:tc>
        <w:tc>
          <w:tcPr>
            <w:tcW w:w="1158" w:type="dxa"/>
            <w:tcBorders>
              <w:top w:val="single" w:sz="4" w:space="0" w:color="auto"/>
            </w:tcBorders>
            <w:shd w:val="clear" w:color="000000" w:fill="FFFFFF"/>
            <w:vAlign w:val="center"/>
            <w:hideMark/>
          </w:tcPr>
          <w:p w14:paraId="26A089A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33</w:t>
            </w:r>
          </w:p>
        </w:tc>
        <w:tc>
          <w:tcPr>
            <w:tcW w:w="1452" w:type="dxa"/>
            <w:tcBorders>
              <w:top w:val="single" w:sz="4" w:space="0" w:color="auto"/>
            </w:tcBorders>
            <w:shd w:val="clear" w:color="000000" w:fill="FFFFFF"/>
            <w:vAlign w:val="center"/>
            <w:hideMark/>
          </w:tcPr>
          <w:p w14:paraId="77CD2A2C"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top w:val="single" w:sz="4" w:space="0" w:color="auto"/>
            </w:tcBorders>
            <w:shd w:val="clear" w:color="000000" w:fill="FFFFFF"/>
            <w:vAlign w:val="center"/>
            <w:hideMark/>
          </w:tcPr>
          <w:p w14:paraId="14D7D2C6"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0.45</w:t>
            </w:r>
          </w:p>
        </w:tc>
        <w:tc>
          <w:tcPr>
            <w:tcW w:w="1097" w:type="dxa"/>
            <w:tcBorders>
              <w:top w:val="single" w:sz="4" w:space="0" w:color="auto"/>
            </w:tcBorders>
            <w:shd w:val="clear" w:color="000000" w:fill="FFFFFF"/>
            <w:vAlign w:val="center"/>
            <w:hideMark/>
          </w:tcPr>
          <w:p w14:paraId="36BDA1EA"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0.88</w:t>
            </w:r>
          </w:p>
        </w:tc>
      </w:tr>
      <w:tr w:rsidR="00821B82" w:rsidRPr="001E1371" w14:paraId="4695DE05" w14:textId="77777777" w:rsidTr="00282204">
        <w:trPr>
          <w:trHeight w:val="288"/>
        </w:trPr>
        <w:tc>
          <w:tcPr>
            <w:tcW w:w="3955" w:type="dxa"/>
            <w:vMerge/>
            <w:shd w:val="clear" w:color="000000" w:fill="FFFFFF"/>
            <w:vAlign w:val="center"/>
            <w:hideMark/>
          </w:tcPr>
          <w:p w14:paraId="2FE6FA77"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4B23765B"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2A8053B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181807A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shd w:val="clear" w:color="000000" w:fill="FFFFFF"/>
            <w:vAlign w:val="center"/>
            <w:hideMark/>
          </w:tcPr>
          <w:p w14:paraId="6CEA03F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w:t>
            </w:r>
          </w:p>
        </w:tc>
        <w:tc>
          <w:tcPr>
            <w:tcW w:w="990" w:type="dxa"/>
            <w:shd w:val="clear" w:color="000000" w:fill="FFFFFF"/>
            <w:vAlign w:val="center"/>
            <w:hideMark/>
          </w:tcPr>
          <w:p w14:paraId="68A69EA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42</w:t>
            </w:r>
          </w:p>
        </w:tc>
        <w:tc>
          <w:tcPr>
            <w:tcW w:w="1158" w:type="dxa"/>
            <w:shd w:val="clear" w:color="000000" w:fill="FFFFFF"/>
            <w:vAlign w:val="center"/>
            <w:hideMark/>
          </w:tcPr>
          <w:p w14:paraId="5B204B0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53</w:t>
            </w:r>
          </w:p>
        </w:tc>
        <w:tc>
          <w:tcPr>
            <w:tcW w:w="1452" w:type="dxa"/>
            <w:shd w:val="clear" w:color="000000" w:fill="FFFFFF"/>
            <w:vAlign w:val="center"/>
            <w:hideMark/>
          </w:tcPr>
          <w:p w14:paraId="00EBECE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 (4-5)</w:t>
            </w:r>
          </w:p>
        </w:tc>
        <w:tc>
          <w:tcPr>
            <w:tcW w:w="1170" w:type="dxa"/>
            <w:shd w:val="clear" w:color="000000" w:fill="FFFFFF"/>
            <w:noWrap/>
            <w:vAlign w:val="center"/>
            <w:hideMark/>
          </w:tcPr>
          <w:p w14:paraId="75ECB9E0"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15A3C3A9"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65E38A03" w14:textId="77777777" w:rsidTr="00282204">
        <w:trPr>
          <w:trHeight w:val="288"/>
        </w:trPr>
        <w:tc>
          <w:tcPr>
            <w:tcW w:w="3955" w:type="dxa"/>
            <w:vMerge/>
            <w:tcBorders>
              <w:bottom w:val="single" w:sz="4" w:space="0" w:color="auto"/>
            </w:tcBorders>
            <w:shd w:val="clear" w:color="000000" w:fill="FFFFFF"/>
            <w:vAlign w:val="center"/>
            <w:hideMark/>
          </w:tcPr>
          <w:p w14:paraId="7E73456C"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273B37BF"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25D6697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w:t>
            </w:r>
          </w:p>
        </w:tc>
        <w:tc>
          <w:tcPr>
            <w:tcW w:w="1080" w:type="dxa"/>
            <w:tcBorders>
              <w:bottom w:val="single" w:sz="4" w:space="0" w:color="auto"/>
            </w:tcBorders>
            <w:shd w:val="clear" w:color="000000" w:fill="FFFFFF"/>
            <w:vAlign w:val="center"/>
            <w:hideMark/>
          </w:tcPr>
          <w:p w14:paraId="2D97B95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63" w:type="dxa"/>
            <w:tcBorders>
              <w:bottom w:val="single" w:sz="4" w:space="0" w:color="auto"/>
            </w:tcBorders>
            <w:shd w:val="clear" w:color="000000" w:fill="FFFFFF"/>
            <w:vAlign w:val="center"/>
            <w:hideMark/>
          </w:tcPr>
          <w:p w14:paraId="30AF102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10</w:t>
            </w:r>
          </w:p>
        </w:tc>
        <w:tc>
          <w:tcPr>
            <w:tcW w:w="990" w:type="dxa"/>
            <w:tcBorders>
              <w:bottom w:val="single" w:sz="4" w:space="0" w:color="auto"/>
            </w:tcBorders>
            <w:shd w:val="clear" w:color="000000" w:fill="FFFFFF"/>
            <w:vAlign w:val="center"/>
            <w:hideMark/>
          </w:tcPr>
          <w:p w14:paraId="470BB38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46</w:t>
            </w:r>
          </w:p>
        </w:tc>
        <w:tc>
          <w:tcPr>
            <w:tcW w:w="1158" w:type="dxa"/>
            <w:tcBorders>
              <w:bottom w:val="single" w:sz="4" w:space="0" w:color="auto"/>
            </w:tcBorders>
            <w:shd w:val="clear" w:color="000000" w:fill="FFFFFF"/>
            <w:vAlign w:val="center"/>
            <w:hideMark/>
          </w:tcPr>
          <w:p w14:paraId="26F362E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39</w:t>
            </w:r>
          </w:p>
        </w:tc>
        <w:tc>
          <w:tcPr>
            <w:tcW w:w="1452" w:type="dxa"/>
            <w:tcBorders>
              <w:bottom w:val="single" w:sz="4" w:space="0" w:color="auto"/>
            </w:tcBorders>
            <w:shd w:val="clear" w:color="000000" w:fill="FFFFFF"/>
            <w:vAlign w:val="center"/>
            <w:hideMark/>
          </w:tcPr>
          <w:p w14:paraId="6226842C"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7AA96BAA"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5094573C"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6BF20B4E" w14:textId="77777777" w:rsidTr="00282204">
        <w:trPr>
          <w:trHeight w:val="296"/>
        </w:trPr>
        <w:tc>
          <w:tcPr>
            <w:tcW w:w="3955" w:type="dxa"/>
            <w:vMerge w:val="restart"/>
            <w:tcBorders>
              <w:top w:val="single" w:sz="4" w:space="0" w:color="auto"/>
            </w:tcBorders>
            <w:shd w:val="clear" w:color="000000" w:fill="FFFFFF"/>
            <w:vAlign w:val="center"/>
            <w:hideMark/>
          </w:tcPr>
          <w:p w14:paraId="65328089"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working in the primary care team can make nurses’ job easier by reducing their workload and decreasing amount of time spent addressing medication-related problems</w:t>
            </w:r>
          </w:p>
          <w:p w14:paraId="5D79F3BD"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2A88900C"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540AF5E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080" w:type="dxa"/>
            <w:tcBorders>
              <w:top w:val="single" w:sz="4" w:space="0" w:color="auto"/>
            </w:tcBorders>
            <w:shd w:val="clear" w:color="000000" w:fill="FFFFFF"/>
            <w:vAlign w:val="center"/>
            <w:hideMark/>
          </w:tcPr>
          <w:p w14:paraId="438854B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tcBorders>
              <w:top w:val="single" w:sz="4" w:space="0" w:color="auto"/>
            </w:tcBorders>
            <w:shd w:val="clear" w:color="000000" w:fill="FFFFFF"/>
            <w:vAlign w:val="center"/>
            <w:hideMark/>
          </w:tcPr>
          <w:p w14:paraId="6026DA5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28</w:t>
            </w:r>
          </w:p>
        </w:tc>
        <w:tc>
          <w:tcPr>
            <w:tcW w:w="990" w:type="dxa"/>
            <w:tcBorders>
              <w:top w:val="single" w:sz="4" w:space="0" w:color="auto"/>
            </w:tcBorders>
            <w:shd w:val="clear" w:color="000000" w:fill="FFFFFF"/>
            <w:vAlign w:val="center"/>
            <w:hideMark/>
          </w:tcPr>
          <w:p w14:paraId="4D93A1C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22</w:t>
            </w:r>
          </w:p>
        </w:tc>
        <w:tc>
          <w:tcPr>
            <w:tcW w:w="1158" w:type="dxa"/>
            <w:tcBorders>
              <w:top w:val="single" w:sz="4" w:space="0" w:color="auto"/>
            </w:tcBorders>
            <w:shd w:val="clear" w:color="000000" w:fill="FFFFFF"/>
            <w:vAlign w:val="center"/>
            <w:hideMark/>
          </w:tcPr>
          <w:p w14:paraId="33B275D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39</w:t>
            </w:r>
          </w:p>
        </w:tc>
        <w:tc>
          <w:tcPr>
            <w:tcW w:w="1452" w:type="dxa"/>
            <w:tcBorders>
              <w:top w:val="single" w:sz="4" w:space="0" w:color="auto"/>
            </w:tcBorders>
            <w:shd w:val="clear" w:color="000000" w:fill="FFFFFF"/>
            <w:vAlign w:val="center"/>
            <w:hideMark/>
          </w:tcPr>
          <w:p w14:paraId="60604A98"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(3-5)</w:t>
            </w:r>
          </w:p>
        </w:tc>
        <w:tc>
          <w:tcPr>
            <w:tcW w:w="1170" w:type="dxa"/>
            <w:tcBorders>
              <w:top w:val="single" w:sz="4" w:space="0" w:color="auto"/>
            </w:tcBorders>
            <w:shd w:val="clear" w:color="000000" w:fill="FFFFFF"/>
            <w:vAlign w:val="center"/>
            <w:hideMark/>
          </w:tcPr>
          <w:p w14:paraId="691A829B"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0.2</w:t>
            </w:r>
          </w:p>
        </w:tc>
        <w:tc>
          <w:tcPr>
            <w:tcW w:w="1097" w:type="dxa"/>
            <w:tcBorders>
              <w:top w:val="single" w:sz="4" w:space="0" w:color="auto"/>
            </w:tcBorders>
            <w:shd w:val="clear" w:color="000000" w:fill="FFFFFF"/>
            <w:vAlign w:val="center"/>
            <w:hideMark/>
          </w:tcPr>
          <w:p w14:paraId="391168E6"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0.58</w:t>
            </w:r>
          </w:p>
        </w:tc>
      </w:tr>
      <w:tr w:rsidR="00821B82" w:rsidRPr="001E1371" w14:paraId="6AFF8F41" w14:textId="77777777" w:rsidTr="00282204">
        <w:trPr>
          <w:trHeight w:val="288"/>
        </w:trPr>
        <w:tc>
          <w:tcPr>
            <w:tcW w:w="3955" w:type="dxa"/>
            <w:vMerge/>
            <w:shd w:val="clear" w:color="000000" w:fill="FFFFFF"/>
            <w:vAlign w:val="center"/>
            <w:hideMark/>
          </w:tcPr>
          <w:p w14:paraId="3FA8A1AD"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434F4AE1"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53F87C3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7EC1579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63" w:type="dxa"/>
            <w:shd w:val="clear" w:color="000000" w:fill="FFFFFF"/>
            <w:vAlign w:val="center"/>
            <w:hideMark/>
          </w:tcPr>
          <w:p w14:paraId="5A49218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21</w:t>
            </w:r>
          </w:p>
        </w:tc>
        <w:tc>
          <w:tcPr>
            <w:tcW w:w="990" w:type="dxa"/>
            <w:shd w:val="clear" w:color="000000" w:fill="FFFFFF"/>
            <w:vAlign w:val="center"/>
            <w:hideMark/>
          </w:tcPr>
          <w:p w14:paraId="429724C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37</w:t>
            </w:r>
          </w:p>
        </w:tc>
        <w:tc>
          <w:tcPr>
            <w:tcW w:w="1158" w:type="dxa"/>
            <w:shd w:val="clear" w:color="000000" w:fill="FFFFFF"/>
            <w:vAlign w:val="center"/>
            <w:hideMark/>
          </w:tcPr>
          <w:p w14:paraId="3B6BF5F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42</w:t>
            </w:r>
          </w:p>
        </w:tc>
        <w:tc>
          <w:tcPr>
            <w:tcW w:w="1452" w:type="dxa"/>
            <w:shd w:val="clear" w:color="000000" w:fill="FFFFFF"/>
            <w:vAlign w:val="center"/>
            <w:hideMark/>
          </w:tcPr>
          <w:p w14:paraId="37C7B343"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w:t>
            </w:r>
            <w:r w:rsidRPr="001E1371">
              <w:rPr>
                <w:rFonts w:ascii="Arial" w:eastAsia="Times New Roman" w:hAnsi="Arial" w:cs="Arial"/>
                <w:color w:val="010205"/>
                <w:sz w:val="16"/>
                <w:szCs w:val="16"/>
              </w:rPr>
              <w:t xml:space="preserve"> (4-5)</w:t>
            </w:r>
          </w:p>
        </w:tc>
        <w:tc>
          <w:tcPr>
            <w:tcW w:w="1170" w:type="dxa"/>
            <w:shd w:val="clear" w:color="000000" w:fill="FFFFFF"/>
            <w:noWrap/>
            <w:vAlign w:val="center"/>
            <w:hideMark/>
          </w:tcPr>
          <w:p w14:paraId="0334E377"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1F0702B5"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7EA29EBB" w14:textId="77777777" w:rsidTr="00282204">
        <w:trPr>
          <w:trHeight w:val="288"/>
        </w:trPr>
        <w:tc>
          <w:tcPr>
            <w:tcW w:w="3955" w:type="dxa"/>
            <w:vMerge/>
            <w:tcBorders>
              <w:bottom w:val="single" w:sz="4" w:space="0" w:color="auto"/>
            </w:tcBorders>
            <w:shd w:val="clear" w:color="000000" w:fill="FFFFFF"/>
            <w:vAlign w:val="center"/>
            <w:hideMark/>
          </w:tcPr>
          <w:p w14:paraId="6927959D"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2EA3A28B"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569F87A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80" w:type="dxa"/>
            <w:tcBorders>
              <w:bottom w:val="single" w:sz="4" w:space="0" w:color="auto"/>
            </w:tcBorders>
            <w:shd w:val="clear" w:color="000000" w:fill="FFFFFF"/>
            <w:vAlign w:val="center"/>
            <w:hideMark/>
          </w:tcPr>
          <w:p w14:paraId="41243E1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63" w:type="dxa"/>
            <w:tcBorders>
              <w:bottom w:val="single" w:sz="4" w:space="0" w:color="auto"/>
            </w:tcBorders>
            <w:shd w:val="clear" w:color="000000" w:fill="FFFFFF"/>
            <w:vAlign w:val="center"/>
            <w:hideMark/>
          </w:tcPr>
          <w:p w14:paraId="266E5D6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13</w:t>
            </w:r>
          </w:p>
        </w:tc>
        <w:tc>
          <w:tcPr>
            <w:tcW w:w="990" w:type="dxa"/>
            <w:tcBorders>
              <w:bottom w:val="single" w:sz="4" w:space="0" w:color="auto"/>
            </w:tcBorders>
            <w:shd w:val="clear" w:color="000000" w:fill="FFFFFF"/>
            <w:vAlign w:val="center"/>
            <w:hideMark/>
          </w:tcPr>
          <w:p w14:paraId="7301437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49</w:t>
            </w:r>
          </w:p>
        </w:tc>
        <w:tc>
          <w:tcPr>
            <w:tcW w:w="1158" w:type="dxa"/>
            <w:tcBorders>
              <w:bottom w:val="single" w:sz="4" w:space="0" w:color="auto"/>
            </w:tcBorders>
            <w:shd w:val="clear" w:color="000000" w:fill="FFFFFF"/>
            <w:vAlign w:val="center"/>
            <w:hideMark/>
          </w:tcPr>
          <w:p w14:paraId="1285A49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35</w:t>
            </w:r>
          </w:p>
        </w:tc>
        <w:tc>
          <w:tcPr>
            <w:tcW w:w="1452" w:type="dxa"/>
            <w:tcBorders>
              <w:bottom w:val="single" w:sz="4" w:space="0" w:color="auto"/>
            </w:tcBorders>
            <w:shd w:val="clear" w:color="000000" w:fill="FFFFFF"/>
            <w:vAlign w:val="center"/>
            <w:hideMark/>
          </w:tcPr>
          <w:p w14:paraId="2C07FA9E"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492636FF"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5A18A5EF"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47610007" w14:textId="77777777" w:rsidTr="00282204">
        <w:trPr>
          <w:trHeight w:val="242"/>
        </w:trPr>
        <w:tc>
          <w:tcPr>
            <w:tcW w:w="3955" w:type="dxa"/>
            <w:vMerge w:val="restart"/>
            <w:tcBorders>
              <w:top w:val="single" w:sz="4" w:space="0" w:color="auto"/>
            </w:tcBorders>
            <w:shd w:val="clear" w:color="000000" w:fill="FFFFFF"/>
            <w:vAlign w:val="center"/>
            <w:hideMark/>
          </w:tcPr>
          <w:p w14:paraId="3FB07521"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can assess patients’ clinical needs and perform a comprehensive medicines assessment</w:t>
            </w:r>
          </w:p>
          <w:p w14:paraId="6F8A3CF1"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2550CE1B"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27FFB2A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17</w:t>
            </w:r>
          </w:p>
        </w:tc>
        <w:tc>
          <w:tcPr>
            <w:tcW w:w="1080" w:type="dxa"/>
            <w:tcBorders>
              <w:top w:val="single" w:sz="4" w:space="0" w:color="auto"/>
            </w:tcBorders>
            <w:shd w:val="clear" w:color="000000" w:fill="FFFFFF"/>
            <w:vAlign w:val="center"/>
            <w:hideMark/>
          </w:tcPr>
          <w:p w14:paraId="1775B08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1063" w:type="dxa"/>
            <w:tcBorders>
              <w:top w:val="single" w:sz="4" w:space="0" w:color="auto"/>
            </w:tcBorders>
            <w:shd w:val="clear" w:color="000000" w:fill="FFFFFF"/>
            <w:vAlign w:val="center"/>
            <w:hideMark/>
          </w:tcPr>
          <w:p w14:paraId="1900CD5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17</w:t>
            </w:r>
          </w:p>
        </w:tc>
        <w:tc>
          <w:tcPr>
            <w:tcW w:w="990" w:type="dxa"/>
            <w:tcBorders>
              <w:top w:val="single" w:sz="4" w:space="0" w:color="auto"/>
            </w:tcBorders>
            <w:shd w:val="clear" w:color="000000" w:fill="FFFFFF"/>
            <w:vAlign w:val="center"/>
            <w:hideMark/>
          </w:tcPr>
          <w:p w14:paraId="4ED1FD8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28</w:t>
            </w:r>
          </w:p>
        </w:tc>
        <w:tc>
          <w:tcPr>
            <w:tcW w:w="1158" w:type="dxa"/>
            <w:tcBorders>
              <w:top w:val="single" w:sz="4" w:space="0" w:color="auto"/>
            </w:tcBorders>
            <w:shd w:val="clear" w:color="000000" w:fill="FFFFFF"/>
            <w:vAlign w:val="center"/>
            <w:hideMark/>
          </w:tcPr>
          <w:p w14:paraId="68F756F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33</w:t>
            </w:r>
          </w:p>
        </w:tc>
        <w:tc>
          <w:tcPr>
            <w:tcW w:w="1452" w:type="dxa"/>
            <w:tcBorders>
              <w:top w:val="single" w:sz="4" w:space="0" w:color="auto"/>
            </w:tcBorders>
            <w:shd w:val="clear" w:color="000000" w:fill="FFFFFF"/>
            <w:vAlign w:val="center"/>
            <w:hideMark/>
          </w:tcPr>
          <w:p w14:paraId="73CF38E9"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(2.75-5)</w:t>
            </w:r>
          </w:p>
        </w:tc>
        <w:tc>
          <w:tcPr>
            <w:tcW w:w="1170" w:type="dxa"/>
            <w:tcBorders>
              <w:top w:val="single" w:sz="4" w:space="0" w:color="auto"/>
            </w:tcBorders>
            <w:shd w:val="clear" w:color="000000" w:fill="FFFFFF"/>
            <w:vAlign w:val="center"/>
            <w:hideMark/>
          </w:tcPr>
          <w:p w14:paraId="6FC728EB"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0.18</w:t>
            </w:r>
          </w:p>
        </w:tc>
        <w:tc>
          <w:tcPr>
            <w:tcW w:w="1097" w:type="dxa"/>
            <w:tcBorders>
              <w:top w:val="single" w:sz="4" w:space="0" w:color="auto"/>
            </w:tcBorders>
            <w:shd w:val="clear" w:color="000000" w:fill="FFFFFF"/>
            <w:vAlign w:val="center"/>
            <w:hideMark/>
          </w:tcPr>
          <w:p w14:paraId="4679BD53"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0.48</w:t>
            </w:r>
          </w:p>
        </w:tc>
      </w:tr>
      <w:tr w:rsidR="00821B82" w:rsidRPr="001E1371" w14:paraId="52E89710" w14:textId="77777777" w:rsidTr="00282204">
        <w:trPr>
          <w:trHeight w:val="288"/>
        </w:trPr>
        <w:tc>
          <w:tcPr>
            <w:tcW w:w="3955" w:type="dxa"/>
            <w:vMerge/>
            <w:shd w:val="clear" w:color="000000" w:fill="FFFFFF"/>
            <w:vAlign w:val="center"/>
            <w:hideMark/>
          </w:tcPr>
          <w:p w14:paraId="6F4AF571"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29B6D548"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6620EDE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1854242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w:t>
            </w:r>
          </w:p>
        </w:tc>
        <w:tc>
          <w:tcPr>
            <w:tcW w:w="1063" w:type="dxa"/>
            <w:shd w:val="clear" w:color="000000" w:fill="FFFFFF"/>
            <w:vAlign w:val="center"/>
            <w:hideMark/>
          </w:tcPr>
          <w:p w14:paraId="6EFB55C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21</w:t>
            </w:r>
          </w:p>
        </w:tc>
        <w:tc>
          <w:tcPr>
            <w:tcW w:w="990" w:type="dxa"/>
            <w:shd w:val="clear" w:color="000000" w:fill="FFFFFF"/>
            <w:vAlign w:val="center"/>
            <w:hideMark/>
          </w:tcPr>
          <w:p w14:paraId="3B160E2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32</w:t>
            </w:r>
          </w:p>
        </w:tc>
        <w:tc>
          <w:tcPr>
            <w:tcW w:w="1158" w:type="dxa"/>
            <w:shd w:val="clear" w:color="000000" w:fill="FFFFFF"/>
            <w:vAlign w:val="center"/>
            <w:hideMark/>
          </w:tcPr>
          <w:p w14:paraId="5828DE3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42</w:t>
            </w:r>
          </w:p>
        </w:tc>
        <w:tc>
          <w:tcPr>
            <w:tcW w:w="1452" w:type="dxa"/>
            <w:shd w:val="clear" w:color="000000" w:fill="FFFFFF"/>
            <w:vAlign w:val="center"/>
            <w:hideMark/>
          </w:tcPr>
          <w:p w14:paraId="32E259E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 (3-5)</w:t>
            </w:r>
          </w:p>
        </w:tc>
        <w:tc>
          <w:tcPr>
            <w:tcW w:w="1170" w:type="dxa"/>
            <w:shd w:val="clear" w:color="000000" w:fill="FFFFFF"/>
            <w:noWrap/>
            <w:vAlign w:val="center"/>
            <w:hideMark/>
          </w:tcPr>
          <w:p w14:paraId="309F8594"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72D43B01"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2A941A91" w14:textId="77777777" w:rsidTr="00282204">
        <w:trPr>
          <w:trHeight w:val="288"/>
        </w:trPr>
        <w:tc>
          <w:tcPr>
            <w:tcW w:w="3955" w:type="dxa"/>
            <w:vMerge/>
            <w:tcBorders>
              <w:bottom w:val="single" w:sz="4" w:space="0" w:color="auto"/>
            </w:tcBorders>
            <w:shd w:val="clear" w:color="000000" w:fill="FFFFFF"/>
            <w:vAlign w:val="center"/>
            <w:hideMark/>
          </w:tcPr>
          <w:p w14:paraId="3FF82AD6"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2E902E68"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6C511D6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w:t>
            </w:r>
          </w:p>
        </w:tc>
        <w:tc>
          <w:tcPr>
            <w:tcW w:w="1080" w:type="dxa"/>
            <w:tcBorders>
              <w:bottom w:val="single" w:sz="4" w:space="0" w:color="auto"/>
            </w:tcBorders>
            <w:shd w:val="clear" w:color="000000" w:fill="FFFFFF"/>
            <w:vAlign w:val="center"/>
            <w:hideMark/>
          </w:tcPr>
          <w:p w14:paraId="7EE0E4A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w:t>
            </w:r>
          </w:p>
        </w:tc>
        <w:tc>
          <w:tcPr>
            <w:tcW w:w="1063" w:type="dxa"/>
            <w:tcBorders>
              <w:bottom w:val="single" w:sz="4" w:space="0" w:color="auto"/>
            </w:tcBorders>
            <w:shd w:val="clear" w:color="000000" w:fill="FFFFFF"/>
            <w:vAlign w:val="center"/>
            <w:hideMark/>
          </w:tcPr>
          <w:p w14:paraId="14B0F9B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15</w:t>
            </w:r>
          </w:p>
        </w:tc>
        <w:tc>
          <w:tcPr>
            <w:tcW w:w="990" w:type="dxa"/>
            <w:tcBorders>
              <w:bottom w:val="single" w:sz="4" w:space="0" w:color="auto"/>
            </w:tcBorders>
            <w:shd w:val="clear" w:color="000000" w:fill="FFFFFF"/>
            <w:vAlign w:val="center"/>
            <w:hideMark/>
          </w:tcPr>
          <w:p w14:paraId="6469B979"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49</w:t>
            </w:r>
          </w:p>
        </w:tc>
        <w:tc>
          <w:tcPr>
            <w:tcW w:w="1158" w:type="dxa"/>
            <w:tcBorders>
              <w:bottom w:val="single" w:sz="4" w:space="0" w:color="auto"/>
            </w:tcBorders>
            <w:shd w:val="clear" w:color="000000" w:fill="FFFFFF"/>
            <w:vAlign w:val="center"/>
            <w:hideMark/>
          </w:tcPr>
          <w:p w14:paraId="46FD53C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32</w:t>
            </w:r>
          </w:p>
        </w:tc>
        <w:tc>
          <w:tcPr>
            <w:tcW w:w="1452" w:type="dxa"/>
            <w:tcBorders>
              <w:bottom w:val="single" w:sz="4" w:space="0" w:color="auto"/>
            </w:tcBorders>
            <w:shd w:val="clear" w:color="000000" w:fill="FFFFFF"/>
            <w:vAlign w:val="center"/>
            <w:hideMark/>
          </w:tcPr>
          <w:p w14:paraId="7F843762"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(4-5)</w:t>
            </w:r>
          </w:p>
        </w:tc>
        <w:tc>
          <w:tcPr>
            <w:tcW w:w="1170" w:type="dxa"/>
            <w:tcBorders>
              <w:bottom w:val="single" w:sz="4" w:space="0" w:color="auto"/>
            </w:tcBorders>
            <w:shd w:val="clear" w:color="000000" w:fill="FFFFFF"/>
            <w:noWrap/>
            <w:vAlign w:val="center"/>
            <w:hideMark/>
          </w:tcPr>
          <w:p w14:paraId="0E4DA3FD"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5398DE47"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4DB055A0" w14:textId="77777777" w:rsidTr="00282204">
        <w:trPr>
          <w:trHeight w:val="206"/>
        </w:trPr>
        <w:tc>
          <w:tcPr>
            <w:tcW w:w="3955" w:type="dxa"/>
            <w:vMerge w:val="restart"/>
            <w:tcBorders>
              <w:top w:val="single" w:sz="4" w:space="0" w:color="auto"/>
            </w:tcBorders>
            <w:shd w:val="clear" w:color="000000" w:fill="FFFFFF"/>
            <w:vAlign w:val="center"/>
            <w:hideMark/>
          </w:tcPr>
          <w:p w14:paraId="0ECBFF2D"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are able to independently prescribe cost-effectively</w:t>
            </w:r>
          </w:p>
          <w:p w14:paraId="4309144D"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p w14:paraId="4E5C953B"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top w:val="single" w:sz="4" w:space="0" w:color="auto"/>
            </w:tcBorders>
            <w:shd w:val="clear" w:color="000000" w:fill="FFFFFF"/>
            <w:vAlign w:val="center"/>
            <w:hideMark/>
          </w:tcPr>
          <w:p w14:paraId="50D5C84E"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34724A4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1080" w:type="dxa"/>
            <w:tcBorders>
              <w:top w:val="single" w:sz="4" w:space="0" w:color="auto"/>
            </w:tcBorders>
            <w:shd w:val="clear" w:color="000000" w:fill="FFFFFF"/>
            <w:vAlign w:val="center"/>
            <w:hideMark/>
          </w:tcPr>
          <w:p w14:paraId="1F99506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17</w:t>
            </w:r>
          </w:p>
        </w:tc>
        <w:tc>
          <w:tcPr>
            <w:tcW w:w="1063" w:type="dxa"/>
            <w:tcBorders>
              <w:top w:val="single" w:sz="4" w:space="0" w:color="auto"/>
            </w:tcBorders>
            <w:shd w:val="clear" w:color="000000" w:fill="FFFFFF"/>
            <w:vAlign w:val="center"/>
            <w:hideMark/>
          </w:tcPr>
          <w:p w14:paraId="57AD5C0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17</w:t>
            </w:r>
          </w:p>
        </w:tc>
        <w:tc>
          <w:tcPr>
            <w:tcW w:w="990" w:type="dxa"/>
            <w:tcBorders>
              <w:top w:val="single" w:sz="4" w:space="0" w:color="auto"/>
            </w:tcBorders>
            <w:shd w:val="clear" w:color="000000" w:fill="FFFFFF"/>
            <w:vAlign w:val="center"/>
            <w:hideMark/>
          </w:tcPr>
          <w:p w14:paraId="30AF3FC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50</w:t>
            </w:r>
          </w:p>
        </w:tc>
        <w:tc>
          <w:tcPr>
            <w:tcW w:w="1158" w:type="dxa"/>
            <w:tcBorders>
              <w:top w:val="single" w:sz="4" w:space="0" w:color="auto"/>
            </w:tcBorders>
            <w:shd w:val="clear" w:color="000000" w:fill="FFFFFF"/>
            <w:vAlign w:val="center"/>
            <w:hideMark/>
          </w:tcPr>
          <w:p w14:paraId="4E2E4541"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452" w:type="dxa"/>
            <w:tcBorders>
              <w:top w:val="single" w:sz="4" w:space="0" w:color="auto"/>
            </w:tcBorders>
            <w:shd w:val="clear" w:color="000000" w:fill="FFFFFF"/>
            <w:vAlign w:val="center"/>
            <w:hideMark/>
          </w:tcPr>
          <w:p w14:paraId="60239C89"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(2.75-4)</w:t>
            </w:r>
          </w:p>
        </w:tc>
        <w:tc>
          <w:tcPr>
            <w:tcW w:w="1170" w:type="dxa"/>
            <w:tcBorders>
              <w:top w:val="single" w:sz="4" w:space="0" w:color="auto"/>
            </w:tcBorders>
            <w:shd w:val="clear" w:color="000000" w:fill="FFFFFF"/>
            <w:vAlign w:val="center"/>
            <w:hideMark/>
          </w:tcPr>
          <w:p w14:paraId="51393060"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0.39</w:t>
            </w:r>
          </w:p>
        </w:tc>
        <w:tc>
          <w:tcPr>
            <w:tcW w:w="1097" w:type="dxa"/>
            <w:tcBorders>
              <w:top w:val="single" w:sz="4" w:space="0" w:color="auto"/>
            </w:tcBorders>
            <w:shd w:val="clear" w:color="000000" w:fill="FFFFFF"/>
            <w:vAlign w:val="center"/>
            <w:hideMark/>
          </w:tcPr>
          <w:p w14:paraId="1A01AF57"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0.14</w:t>
            </w:r>
          </w:p>
        </w:tc>
      </w:tr>
      <w:tr w:rsidR="00821B82" w:rsidRPr="001E1371" w14:paraId="1C46CF89" w14:textId="77777777" w:rsidTr="00282204">
        <w:trPr>
          <w:trHeight w:val="288"/>
        </w:trPr>
        <w:tc>
          <w:tcPr>
            <w:tcW w:w="3955" w:type="dxa"/>
            <w:vMerge/>
            <w:shd w:val="clear" w:color="000000" w:fill="FFFFFF"/>
            <w:vAlign w:val="center"/>
            <w:hideMark/>
          </w:tcPr>
          <w:p w14:paraId="00D1BDBC"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09688A46"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0A8D630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6D1C6FA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16</w:t>
            </w:r>
          </w:p>
        </w:tc>
        <w:tc>
          <w:tcPr>
            <w:tcW w:w="1063" w:type="dxa"/>
            <w:shd w:val="clear" w:color="000000" w:fill="FFFFFF"/>
            <w:vAlign w:val="center"/>
            <w:hideMark/>
          </w:tcPr>
          <w:p w14:paraId="76F417AB"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42</w:t>
            </w:r>
          </w:p>
        </w:tc>
        <w:tc>
          <w:tcPr>
            <w:tcW w:w="990" w:type="dxa"/>
            <w:shd w:val="clear" w:color="000000" w:fill="FFFFFF"/>
            <w:vAlign w:val="center"/>
            <w:hideMark/>
          </w:tcPr>
          <w:p w14:paraId="0D3CF3F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32</w:t>
            </w:r>
          </w:p>
        </w:tc>
        <w:tc>
          <w:tcPr>
            <w:tcW w:w="1158" w:type="dxa"/>
            <w:shd w:val="clear" w:color="000000" w:fill="FFFFFF"/>
            <w:vAlign w:val="center"/>
            <w:hideMark/>
          </w:tcPr>
          <w:p w14:paraId="7668BD92"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452" w:type="dxa"/>
            <w:shd w:val="clear" w:color="000000" w:fill="FFFFFF"/>
            <w:vAlign w:val="center"/>
            <w:hideMark/>
          </w:tcPr>
          <w:p w14:paraId="2B3D7EA1"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3 (3-4)</w:t>
            </w:r>
          </w:p>
        </w:tc>
        <w:tc>
          <w:tcPr>
            <w:tcW w:w="1170" w:type="dxa"/>
            <w:shd w:val="clear" w:color="000000" w:fill="FFFFFF"/>
            <w:noWrap/>
            <w:vAlign w:val="center"/>
            <w:hideMark/>
          </w:tcPr>
          <w:p w14:paraId="712FB23D"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4DD5C080"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78B51F2F" w14:textId="77777777" w:rsidTr="00282204">
        <w:trPr>
          <w:trHeight w:val="288"/>
        </w:trPr>
        <w:tc>
          <w:tcPr>
            <w:tcW w:w="3955" w:type="dxa"/>
            <w:vMerge/>
            <w:tcBorders>
              <w:bottom w:val="single" w:sz="4" w:space="0" w:color="auto"/>
            </w:tcBorders>
            <w:shd w:val="clear" w:color="000000" w:fill="FFFFFF"/>
            <w:vAlign w:val="center"/>
            <w:hideMark/>
          </w:tcPr>
          <w:p w14:paraId="639476DC"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51A0C9AF"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206630C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w:t>
            </w:r>
          </w:p>
        </w:tc>
        <w:tc>
          <w:tcPr>
            <w:tcW w:w="1080" w:type="dxa"/>
            <w:tcBorders>
              <w:bottom w:val="single" w:sz="4" w:space="0" w:color="auto"/>
            </w:tcBorders>
            <w:shd w:val="clear" w:color="000000" w:fill="FFFFFF"/>
            <w:vAlign w:val="center"/>
            <w:hideMark/>
          </w:tcPr>
          <w:p w14:paraId="0B69A227"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9</w:t>
            </w:r>
          </w:p>
        </w:tc>
        <w:tc>
          <w:tcPr>
            <w:tcW w:w="1063" w:type="dxa"/>
            <w:tcBorders>
              <w:bottom w:val="single" w:sz="4" w:space="0" w:color="auto"/>
            </w:tcBorders>
            <w:shd w:val="clear" w:color="000000" w:fill="FFFFFF"/>
            <w:vAlign w:val="center"/>
            <w:hideMark/>
          </w:tcPr>
          <w:p w14:paraId="6E7E689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19</w:t>
            </w:r>
          </w:p>
        </w:tc>
        <w:tc>
          <w:tcPr>
            <w:tcW w:w="990" w:type="dxa"/>
            <w:tcBorders>
              <w:bottom w:val="single" w:sz="4" w:space="0" w:color="auto"/>
            </w:tcBorders>
            <w:shd w:val="clear" w:color="000000" w:fill="FFFFFF"/>
            <w:vAlign w:val="center"/>
            <w:hideMark/>
          </w:tcPr>
          <w:p w14:paraId="027E5793"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55</w:t>
            </w:r>
          </w:p>
        </w:tc>
        <w:tc>
          <w:tcPr>
            <w:tcW w:w="1158" w:type="dxa"/>
            <w:tcBorders>
              <w:bottom w:val="single" w:sz="4" w:space="0" w:color="auto"/>
            </w:tcBorders>
            <w:shd w:val="clear" w:color="000000" w:fill="FFFFFF"/>
            <w:vAlign w:val="center"/>
            <w:hideMark/>
          </w:tcPr>
          <w:p w14:paraId="43F24E3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15</w:t>
            </w:r>
          </w:p>
        </w:tc>
        <w:tc>
          <w:tcPr>
            <w:tcW w:w="1452" w:type="dxa"/>
            <w:tcBorders>
              <w:bottom w:val="single" w:sz="4" w:space="0" w:color="auto"/>
            </w:tcBorders>
            <w:shd w:val="clear" w:color="000000" w:fill="FFFFFF"/>
            <w:vAlign w:val="center"/>
            <w:hideMark/>
          </w:tcPr>
          <w:p w14:paraId="41B0379B"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(3-4)</w:t>
            </w:r>
          </w:p>
        </w:tc>
        <w:tc>
          <w:tcPr>
            <w:tcW w:w="1170" w:type="dxa"/>
            <w:tcBorders>
              <w:bottom w:val="single" w:sz="4" w:space="0" w:color="auto"/>
            </w:tcBorders>
            <w:shd w:val="clear" w:color="000000" w:fill="FFFFFF"/>
            <w:noWrap/>
            <w:vAlign w:val="center"/>
            <w:hideMark/>
          </w:tcPr>
          <w:p w14:paraId="2051FDB1"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047E349D"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35893945" w14:textId="77777777" w:rsidTr="00282204">
        <w:trPr>
          <w:trHeight w:val="269"/>
        </w:trPr>
        <w:tc>
          <w:tcPr>
            <w:tcW w:w="3955" w:type="dxa"/>
            <w:vMerge w:val="restart"/>
            <w:tcBorders>
              <w:top w:val="single" w:sz="4" w:space="0" w:color="auto"/>
            </w:tcBorders>
            <w:shd w:val="clear" w:color="000000" w:fill="FFFFFF"/>
            <w:vAlign w:val="center"/>
            <w:hideMark/>
          </w:tcPr>
          <w:p w14:paraId="577A3819"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Pharmacists are able to independently prescribe safely</w:t>
            </w:r>
          </w:p>
          <w:p w14:paraId="06C6F1D3"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p w14:paraId="1937DDDB" w14:textId="77777777" w:rsidR="00821B82" w:rsidRPr="001E1371" w:rsidRDefault="00821B82" w:rsidP="00282204">
            <w:pPr>
              <w:spacing w:after="0" w:line="240" w:lineRule="auto"/>
              <w:rPr>
                <w:rFonts w:ascii="Arial" w:eastAsia="Times New Roman" w:hAnsi="Arial" w:cs="Arial"/>
                <w:color w:val="264A60"/>
                <w:sz w:val="18"/>
                <w:szCs w:val="18"/>
              </w:rPr>
            </w:pPr>
            <w:r w:rsidRPr="001E1371">
              <w:rPr>
                <w:rFonts w:ascii="Arial" w:eastAsia="Times New Roman" w:hAnsi="Arial" w:cs="Arial"/>
                <w:color w:val="264A60"/>
                <w:sz w:val="18"/>
                <w:szCs w:val="18"/>
              </w:rPr>
              <w:t> </w:t>
            </w:r>
          </w:p>
        </w:tc>
        <w:tc>
          <w:tcPr>
            <w:tcW w:w="1097" w:type="dxa"/>
            <w:tcBorders>
              <w:top w:val="single" w:sz="4" w:space="0" w:color="auto"/>
            </w:tcBorders>
            <w:shd w:val="clear" w:color="000000" w:fill="FFFFFF"/>
            <w:vAlign w:val="center"/>
            <w:hideMark/>
          </w:tcPr>
          <w:p w14:paraId="0F46E8DD"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0-5</w:t>
            </w:r>
          </w:p>
        </w:tc>
        <w:tc>
          <w:tcPr>
            <w:tcW w:w="917" w:type="dxa"/>
            <w:tcBorders>
              <w:top w:val="single" w:sz="4" w:space="0" w:color="auto"/>
            </w:tcBorders>
            <w:shd w:val="clear" w:color="000000" w:fill="FFFFFF"/>
            <w:vAlign w:val="center"/>
            <w:hideMark/>
          </w:tcPr>
          <w:p w14:paraId="2E6012A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22</w:t>
            </w:r>
          </w:p>
        </w:tc>
        <w:tc>
          <w:tcPr>
            <w:tcW w:w="1080" w:type="dxa"/>
            <w:tcBorders>
              <w:top w:val="single" w:sz="4" w:space="0" w:color="auto"/>
            </w:tcBorders>
            <w:shd w:val="clear" w:color="000000" w:fill="FFFFFF"/>
            <w:vAlign w:val="center"/>
            <w:hideMark/>
          </w:tcPr>
          <w:p w14:paraId="36B80BCC"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17</w:t>
            </w:r>
          </w:p>
        </w:tc>
        <w:tc>
          <w:tcPr>
            <w:tcW w:w="1063" w:type="dxa"/>
            <w:tcBorders>
              <w:top w:val="single" w:sz="4" w:space="0" w:color="auto"/>
            </w:tcBorders>
            <w:shd w:val="clear" w:color="000000" w:fill="FFFFFF"/>
            <w:vAlign w:val="center"/>
            <w:hideMark/>
          </w:tcPr>
          <w:p w14:paraId="4DA9725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33</w:t>
            </w:r>
          </w:p>
        </w:tc>
        <w:tc>
          <w:tcPr>
            <w:tcW w:w="990" w:type="dxa"/>
            <w:tcBorders>
              <w:top w:val="single" w:sz="4" w:space="0" w:color="auto"/>
            </w:tcBorders>
            <w:shd w:val="clear" w:color="000000" w:fill="FFFFFF"/>
            <w:vAlign w:val="center"/>
            <w:hideMark/>
          </w:tcPr>
          <w:p w14:paraId="78955125"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22</w:t>
            </w:r>
          </w:p>
        </w:tc>
        <w:tc>
          <w:tcPr>
            <w:tcW w:w="1158" w:type="dxa"/>
            <w:tcBorders>
              <w:top w:val="single" w:sz="4" w:space="0" w:color="auto"/>
            </w:tcBorders>
            <w:shd w:val="clear" w:color="000000" w:fill="FFFFFF"/>
            <w:vAlign w:val="center"/>
            <w:hideMark/>
          </w:tcPr>
          <w:p w14:paraId="1356DFD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6</w:t>
            </w:r>
          </w:p>
        </w:tc>
        <w:tc>
          <w:tcPr>
            <w:tcW w:w="1452" w:type="dxa"/>
            <w:tcBorders>
              <w:top w:val="single" w:sz="4" w:space="0" w:color="auto"/>
            </w:tcBorders>
            <w:shd w:val="clear" w:color="000000" w:fill="FFFFFF"/>
            <w:vAlign w:val="center"/>
            <w:hideMark/>
          </w:tcPr>
          <w:p w14:paraId="06D62E6D"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3 (1.75-4)</w:t>
            </w:r>
          </w:p>
        </w:tc>
        <w:tc>
          <w:tcPr>
            <w:tcW w:w="1170" w:type="dxa"/>
            <w:tcBorders>
              <w:top w:val="single" w:sz="4" w:space="0" w:color="auto"/>
            </w:tcBorders>
            <w:shd w:val="clear" w:color="000000" w:fill="FFFFFF"/>
            <w:vAlign w:val="center"/>
            <w:hideMark/>
          </w:tcPr>
          <w:p w14:paraId="61BFAD9D"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0.03*</w:t>
            </w:r>
          </w:p>
        </w:tc>
        <w:tc>
          <w:tcPr>
            <w:tcW w:w="1097" w:type="dxa"/>
            <w:tcBorders>
              <w:top w:val="single" w:sz="4" w:space="0" w:color="auto"/>
            </w:tcBorders>
            <w:shd w:val="clear" w:color="000000" w:fill="FFFFFF"/>
            <w:vAlign w:val="center"/>
            <w:hideMark/>
          </w:tcPr>
          <w:p w14:paraId="11744BB6"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0.00*</w:t>
            </w:r>
          </w:p>
        </w:tc>
      </w:tr>
      <w:tr w:rsidR="00821B82" w:rsidRPr="001E1371" w14:paraId="2C573115" w14:textId="77777777" w:rsidTr="00282204">
        <w:trPr>
          <w:trHeight w:val="288"/>
        </w:trPr>
        <w:tc>
          <w:tcPr>
            <w:tcW w:w="3955" w:type="dxa"/>
            <w:vMerge/>
            <w:shd w:val="clear" w:color="000000" w:fill="FFFFFF"/>
            <w:vAlign w:val="center"/>
            <w:hideMark/>
          </w:tcPr>
          <w:p w14:paraId="6C66CFB9"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shd w:val="clear" w:color="000000" w:fill="FFFFFF"/>
            <w:vAlign w:val="center"/>
            <w:hideMark/>
          </w:tcPr>
          <w:p w14:paraId="3F3BED3C"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&gt;5-10</w:t>
            </w:r>
          </w:p>
        </w:tc>
        <w:tc>
          <w:tcPr>
            <w:tcW w:w="917" w:type="dxa"/>
            <w:shd w:val="clear" w:color="000000" w:fill="FFFFFF"/>
            <w:vAlign w:val="center"/>
            <w:hideMark/>
          </w:tcPr>
          <w:p w14:paraId="7908E88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0</w:t>
            </w:r>
          </w:p>
        </w:tc>
        <w:tc>
          <w:tcPr>
            <w:tcW w:w="1080" w:type="dxa"/>
            <w:shd w:val="clear" w:color="000000" w:fill="FFFFFF"/>
            <w:vAlign w:val="center"/>
            <w:hideMark/>
          </w:tcPr>
          <w:p w14:paraId="65CDFCDA"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21</w:t>
            </w:r>
          </w:p>
        </w:tc>
        <w:tc>
          <w:tcPr>
            <w:tcW w:w="1063" w:type="dxa"/>
            <w:shd w:val="clear" w:color="000000" w:fill="FFFFFF"/>
            <w:vAlign w:val="center"/>
            <w:hideMark/>
          </w:tcPr>
          <w:p w14:paraId="2A6A27D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42</w:t>
            </w:r>
          </w:p>
        </w:tc>
        <w:tc>
          <w:tcPr>
            <w:tcW w:w="990" w:type="dxa"/>
            <w:shd w:val="clear" w:color="000000" w:fill="FFFFFF"/>
            <w:vAlign w:val="center"/>
            <w:hideMark/>
          </w:tcPr>
          <w:p w14:paraId="458630A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26</w:t>
            </w:r>
          </w:p>
        </w:tc>
        <w:tc>
          <w:tcPr>
            <w:tcW w:w="1158" w:type="dxa"/>
            <w:shd w:val="clear" w:color="000000" w:fill="FFFFFF"/>
            <w:vAlign w:val="center"/>
            <w:hideMark/>
          </w:tcPr>
          <w:p w14:paraId="480450B4"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11</w:t>
            </w:r>
          </w:p>
        </w:tc>
        <w:tc>
          <w:tcPr>
            <w:tcW w:w="1452" w:type="dxa"/>
            <w:shd w:val="clear" w:color="000000" w:fill="FFFFFF"/>
            <w:vAlign w:val="center"/>
            <w:hideMark/>
          </w:tcPr>
          <w:p w14:paraId="6898D66A"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3 (3-4)</w:t>
            </w:r>
          </w:p>
        </w:tc>
        <w:tc>
          <w:tcPr>
            <w:tcW w:w="1170" w:type="dxa"/>
            <w:shd w:val="clear" w:color="000000" w:fill="FFFFFF"/>
            <w:noWrap/>
            <w:vAlign w:val="center"/>
            <w:hideMark/>
          </w:tcPr>
          <w:p w14:paraId="4A669638"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shd w:val="clear" w:color="000000" w:fill="FFFFFF"/>
            <w:noWrap/>
            <w:vAlign w:val="center"/>
            <w:hideMark/>
          </w:tcPr>
          <w:p w14:paraId="5C9DC9E5"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r w:rsidR="00821B82" w:rsidRPr="001E1371" w14:paraId="12678F1B" w14:textId="77777777" w:rsidTr="00282204">
        <w:trPr>
          <w:trHeight w:val="288"/>
        </w:trPr>
        <w:tc>
          <w:tcPr>
            <w:tcW w:w="3955" w:type="dxa"/>
            <w:vMerge/>
            <w:tcBorders>
              <w:bottom w:val="single" w:sz="4" w:space="0" w:color="auto"/>
            </w:tcBorders>
            <w:shd w:val="clear" w:color="000000" w:fill="FFFFFF"/>
            <w:vAlign w:val="center"/>
            <w:hideMark/>
          </w:tcPr>
          <w:p w14:paraId="2802B2C5" w14:textId="77777777" w:rsidR="00821B82" w:rsidRPr="001E1371" w:rsidRDefault="00821B82" w:rsidP="00282204">
            <w:pPr>
              <w:spacing w:after="0" w:line="240" w:lineRule="auto"/>
              <w:rPr>
                <w:rFonts w:ascii="Arial" w:eastAsia="Times New Roman" w:hAnsi="Arial" w:cs="Arial"/>
                <w:color w:val="264A60"/>
                <w:sz w:val="18"/>
                <w:szCs w:val="18"/>
              </w:rPr>
            </w:pPr>
          </w:p>
        </w:tc>
        <w:tc>
          <w:tcPr>
            <w:tcW w:w="1097" w:type="dxa"/>
            <w:tcBorders>
              <w:bottom w:val="single" w:sz="4" w:space="0" w:color="auto"/>
            </w:tcBorders>
            <w:shd w:val="clear" w:color="000000" w:fill="FFFFFF"/>
            <w:vAlign w:val="center"/>
            <w:hideMark/>
          </w:tcPr>
          <w:p w14:paraId="0A90F5A1" w14:textId="77777777" w:rsidR="00821B82" w:rsidRPr="001E1371" w:rsidRDefault="00821B82" w:rsidP="00282204">
            <w:pPr>
              <w:spacing w:after="0" w:line="240" w:lineRule="auto"/>
              <w:jc w:val="center"/>
              <w:rPr>
                <w:rFonts w:ascii="Arial" w:eastAsia="Times New Roman" w:hAnsi="Arial" w:cs="Arial"/>
                <w:color w:val="264A60"/>
                <w:sz w:val="16"/>
                <w:szCs w:val="16"/>
              </w:rPr>
            </w:pPr>
            <w:r w:rsidRPr="001E1371">
              <w:rPr>
                <w:rFonts w:ascii="Arial" w:eastAsia="Times New Roman" w:hAnsi="Arial" w:cs="Arial"/>
                <w:color w:val="264A60"/>
                <w:sz w:val="16"/>
                <w:szCs w:val="16"/>
              </w:rPr>
              <w:t>&gt;10</w:t>
            </w:r>
          </w:p>
        </w:tc>
        <w:tc>
          <w:tcPr>
            <w:tcW w:w="917" w:type="dxa"/>
            <w:tcBorders>
              <w:bottom w:val="single" w:sz="4" w:space="0" w:color="auto"/>
            </w:tcBorders>
            <w:shd w:val="clear" w:color="000000" w:fill="FFFFFF"/>
            <w:vAlign w:val="center"/>
            <w:hideMark/>
          </w:tcPr>
          <w:p w14:paraId="762BCE98"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3</w:t>
            </w:r>
          </w:p>
        </w:tc>
        <w:tc>
          <w:tcPr>
            <w:tcW w:w="1080" w:type="dxa"/>
            <w:tcBorders>
              <w:bottom w:val="single" w:sz="4" w:space="0" w:color="auto"/>
            </w:tcBorders>
            <w:shd w:val="clear" w:color="000000" w:fill="FFFFFF"/>
            <w:vAlign w:val="center"/>
            <w:hideMark/>
          </w:tcPr>
          <w:p w14:paraId="09A18466"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16</w:t>
            </w:r>
          </w:p>
        </w:tc>
        <w:tc>
          <w:tcPr>
            <w:tcW w:w="1063" w:type="dxa"/>
            <w:tcBorders>
              <w:bottom w:val="single" w:sz="4" w:space="0" w:color="auto"/>
            </w:tcBorders>
            <w:shd w:val="clear" w:color="000000" w:fill="FFFFFF"/>
            <w:vAlign w:val="center"/>
            <w:hideMark/>
          </w:tcPr>
          <w:p w14:paraId="1460F52E"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17</w:t>
            </w:r>
          </w:p>
        </w:tc>
        <w:tc>
          <w:tcPr>
            <w:tcW w:w="990" w:type="dxa"/>
            <w:tcBorders>
              <w:bottom w:val="single" w:sz="4" w:space="0" w:color="auto"/>
            </w:tcBorders>
            <w:shd w:val="clear" w:color="000000" w:fill="FFFFFF"/>
            <w:vAlign w:val="center"/>
            <w:hideMark/>
          </w:tcPr>
          <w:p w14:paraId="66AA9B0F"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45</w:t>
            </w:r>
          </w:p>
        </w:tc>
        <w:tc>
          <w:tcPr>
            <w:tcW w:w="1158" w:type="dxa"/>
            <w:tcBorders>
              <w:bottom w:val="single" w:sz="4" w:space="0" w:color="auto"/>
            </w:tcBorders>
            <w:shd w:val="clear" w:color="000000" w:fill="FFFFFF"/>
            <w:vAlign w:val="center"/>
            <w:hideMark/>
          </w:tcPr>
          <w:p w14:paraId="3A0B74E0" w14:textId="77777777" w:rsidR="00821B82" w:rsidRPr="001E1371" w:rsidRDefault="00821B82" w:rsidP="00282204">
            <w:pPr>
              <w:spacing w:after="0" w:line="240" w:lineRule="auto"/>
              <w:jc w:val="center"/>
              <w:rPr>
                <w:rFonts w:ascii="Arial" w:eastAsia="Times New Roman" w:hAnsi="Arial" w:cs="Arial"/>
                <w:color w:val="010205"/>
                <w:sz w:val="16"/>
                <w:szCs w:val="16"/>
              </w:rPr>
            </w:pPr>
            <w:r w:rsidRPr="001E1371">
              <w:rPr>
                <w:rFonts w:ascii="Arial" w:eastAsia="Times New Roman" w:hAnsi="Arial" w:cs="Arial"/>
                <w:color w:val="010205"/>
                <w:sz w:val="16"/>
                <w:szCs w:val="16"/>
              </w:rPr>
              <w:t>19</w:t>
            </w:r>
          </w:p>
        </w:tc>
        <w:tc>
          <w:tcPr>
            <w:tcW w:w="1452" w:type="dxa"/>
            <w:tcBorders>
              <w:bottom w:val="single" w:sz="4" w:space="0" w:color="auto"/>
            </w:tcBorders>
            <w:shd w:val="clear" w:color="000000" w:fill="FFFFFF"/>
            <w:vAlign w:val="center"/>
            <w:hideMark/>
          </w:tcPr>
          <w:p w14:paraId="648F9AD3" w14:textId="77777777" w:rsidR="00821B82" w:rsidRPr="001E1371" w:rsidRDefault="00821B82" w:rsidP="00282204">
            <w:pPr>
              <w:spacing w:after="0" w:line="240" w:lineRule="auto"/>
              <w:jc w:val="center"/>
              <w:rPr>
                <w:rFonts w:ascii="Arial" w:eastAsia="Times New Roman" w:hAnsi="Arial" w:cs="Arial"/>
                <w:color w:val="000000"/>
                <w:sz w:val="16"/>
                <w:szCs w:val="16"/>
              </w:rPr>
            </w:pPr>
            <w:r w:rsidRPr="001E1371">
              <w:rPr>
                <w:rFonts w:ascii="Arial" w:eastAsia="Times New Roman" w:hAnsi="Arial" w:cs="Arial"/>
                <w:color w:val="000000"/>
                <w:sz w:val="16"/>
                <w:szCs w:val="16"/>
              </w:rPr>
              <w:t>4 (3-4)</w:t>
            </w:r>
          </w:p>
        </w:tc>
        <w:tc>
          <w:tcPr>
            <w:tcW w:w="1170" w:type="dxa"/>
            <w:tcBorders>
              <w:bottom w:val="single" w:sz="4" w:space="0" w:color="auto"/>
            </w:tcBorders>
            <w:shd w:val="clear" w:color="000000" w:fill="FFFFFF"/>
            <w:noWrap/>
            <w:vAlign w:val="center"/>
            <w:hideMark/>
          </w:tcPr>
          <w:p w14:paraId="74338E9B"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c>
          <w:tcPr>
            <w:tcW w:w="1097" w:type="dxa"/>
            <w:tcBorders>
              <w:bottom w:val="single" w:sz="4" w:space="0" w:color="auto"/>
            </w:tcBorders>
            <w:shd w:val="clear" w:color="000000" w:fill="FFFFFF"/>
            <w:noWrap/>
            <w:vAlign w:val="center"/>
            <w:hideMark/>
          </w:tcPr>
          <w:p w14:paraId="78F2B71B" w14:textId="77777777" w:rsidR="00821B82" w:rsidRPr="001E1371" w:rsidRDefault="00821B82" w:rsidP="00282204">
            <w:pPr>
              <w:spacing w:after="0" w:line="240" w:lineRule="auto"/>
              <w:jc w:val="center"/>
              <w:rPr>
                <w:rFonts w:ascii="Arial" w:eastAsia="Times New Roman" w:hAnsi="Arial" w:cs="Arial"/>
                <w:color w:val="000000"/>
                <w:sz w:val="16"/>
                <w:szCs w:val="16"/>
              </w:rPr>
            </w:pPr>
          </w:p>
        </w:tc>
      </w:tr>
    </w:tbl>
    <w:p w14:paraId="29E9C1DF" w14:textId="77777777" w:rsidR="00821B82" w:rsidRPr="00264998" w:rsidRDefault="00821B82" w:rsidP="00821B82">
      <w:pPr>
        <w:spacing w:after="0" w:line="360" w:lineRule="auto"/>
        <w:rPr>
          <w:rFonts w:asciiTheme="minorBidi" w:hAnsiTheme="minorBidi"/>
          <w:sz w:val="16"/>
          <w:szCs w:val="16"/>
          <w:shd w:val="clear" w:color="auto" w:fill="FFFFFF"/>
        </w:rPr>
      </w:pPr>
      <w:r w:rsidRPr="00264998">
        <w:rPr>
          <w:rFonts w:asciiTheme="minorBidi" w:hAnsiTheme="minorBidi"/>
          <w:sz w:val="16"/>
          <w:szCs w:val="16"/>
          <w:shd w:val="clear" w:color="auto" w:fill="FFFFFF"/>
        </w:rPr>
        <w:t xml:space="preserve">* P &lt; 0.05: statistically significant, IQR: </w:t>
      </w:r>
      <w:r w:rsidRPr="00264998">
        <w:rPr>
          <w:rFonts w:asciiTheme="minorBidi" w:eastAsia="Times New Roman" w:hAnsiTheme="minorBidi"/>
          <w:color w:val="000000"/>
          <w:sz w:val="16"/>
          <w:szCs w:val="16"/>
        </w:rPr>
        <w:t>Interquartile Range, responses (1=Strongly disagree, 2=Disagree, 3=Neither agree nor disagree, 4=Agree, 5=Strongly agree)</w:t>
      </w:r>
    </w:p>
    <w:p w14:paraId="07BF514C" w14:textId="77777777" w:rsidR="00821B82" w:rsidRDefault="00821B82" w:rsidP="00821B82">
      <w:pPr>
        <w:pStyle w:val="NormalWeb"/>
        <w:spacing w:line="360" w:lineRule="auto"/>
        <w:rPr>
          <w:rFonts w:asciiTheme="minorBidi" w:hAnsiTheme="minorBidi"/>
          <w:shd w:val="clear" w:color="auto" w:fill="FFFFFF"/>
        </w:rPr>
      </w:pPr>
    </w:p>
    <w:p w14:paraId="519E7673" w14:textId="77777777" w:rsidR="00821B82" w:rsidRDefault="00821B82" w:rsidP="00821B82">
      <w:pPr>
        <w:pStyle w:val="NormalWeb"/>
        <w:spacing w:line="360" w:lineRule="auto"/>
        <w:rPr>
          <w:rFonts w:asciiTheme="minorBidi" w:hAnsiTheme="minorBidi"/>
          <w:shd w:val="clear" w:color="auto" w:fill="FFFFFF"/>
        </w:rPr>
      </w:pPr>
      <w:r>
        <w:rPr>
          <w:noProof/>
        </w:rPr>
        <w:drawing>
          <wp:inline distT="0" distB="0" distL="0" distR="0" wp14:anchorId="7C739C97" wp14:editId="7A4B347A">
            <wp:extent cx="8229600" cy="3992561"/>
            <wp:effectExtent l="0" t="0" r="0" b="8255"/>
            <wp:docPr id="33" name="Chart 33">
              <a:extLst xmlns:a="http://schemas.openxmlformats.org/drawingml/2006/main">
                <a:ext uri="{FF2B5EF4-FFF2-40B4-BE49-F238E27FC236}">
                  <a16:creationId xmlns:a16="http://schemas.microsoft.com/office/drawing/2014/main" id="{C6D61D00-439B-D8B9-D5D1-3FE929C08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32E934" w14:textId="77777777" w:rsidR="00821B82" w:rsidRDefault="00821B82" w:rsidP="00821B82">
      <w:pPr>
        <w:pStyle w:val="NormalWeb"/>
        <w:spacing w:line="360" w:lineRule="auto"/>
        <w:rPr>
          <w:rFonts w:asciiTheme="minorBidi" w:hAnsiTheme="minorBidi"/>
          <w:shd w:val="clear" w:color="auto" w:fill="FFFFFF"/>
        </w:rPr>
      </w:pPr>
      <w:r>
        <w:rPr>
          <w:noProof/>
        </w:rPr>
        <w:drawing>
          <wp:inline distT="0" distB="0" distL="0" distR="0" wp14:anchorId="3229349E" wp14:editId="71D45475">
            <wp:extent cx="8229600" cy="4578359"/>
            <wp:effectExtent l="0" t="0" r="0" b="12700"/>
            <wp:docPr id="35" name="Chart 35">
              <a:extLst xmlns:a="http://schemas.openxmlformats.org/drawingml/2006/main">
                <a:ext uri="{FF2B5EF4-FFF2-40B4-BE49-F238E27FC236}">
                  <a16:creationId xmlns:a16="http://schemas.microsoft.com/office/drawing/2014/main" id="{C40C4C34-C2CF-984D-B777-C4289D895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29380D" w14:textId="5D3E8543" w:rsidR="00821B82" w:rsidRDefault="00821B82" w:rsidP="00821B82">
      <w:pPr>
        <w:pStyle w:val="Caption"/>
      </w:pPr>
      <w:bookmarkStart w:id="225" w:name="_Ref122481166"/>
      <w:bookmarkStart w:id="226" w:name="_Toc153894800"/>
      <w:r>
        <w:t xml:space="preserve">Figure </w:t>
      </w:r>
      <w:fldSimple w:instr=" SEQ Figure \* ARABIC ">
        <w:r w:rsidR="000507B7">
          <w:rPr>
            <w:noProof/>
          </w:rPr>
          <w:t>12</w:t>
        </w:r>
      </w:fldSimple>
      <w:bookmarkEnd w:id="225"/>
      <w:r>
        <w:t xml:space="preserve">: </w:t>
      </w:r>
      <w:r w:rsidRPr="00BA440D">
        <w:t>Respondents' views based on their experiences; Views on Potential Impact of Pharmacist Involvement in Diabetes Care</w:t>
      </w:r>
      <w:bookmarkEnd w:id="226"/>
    </w:p>
    <w:p w14:paraId="5357FB20" w14:textId="77777777" w:rsidR="00821B82" w:rsidRDefault="00821B82" w:rsidP="00821B82">
      <w:pPr>
        <w:pStyle w:val="NormalWeb"/>
        <w:spacing w:line="360" w:lineRule="auto"/>
        <w:rPr>
          <w:rFonts w:asciiTheme="minorBidi" w:hAnsiTheme="minorBidi"/>
          <w:shd w:val="clear" w:color="auto" w:fill="FFFFFF"/>
        </w:rPr>
        <w:sectPr w:rsidR="00821B82" w:rsidSect="00282204">
          <w:pgSz w:w="15840" w:h="12240" w:orient="landscape"/>
          <w:pgMar w:top="1440" w:right="1440" w:bottom="1440" w:left="1440" w:header="720" w:footer="720" w:gutter="0"/>
          <w:cols w:space="720"/>
          <w:docGrid w:linePitch="360"/>
        </w:sectPr>
      </w:pPr>
    </w:p>
    <w:p w14:paraId="7149E180" w14:textId="77777777" w:rsidR="00821B82" w:rsidRPr="009056CA" w:rsidRDefault="00821B82" w:rsidP="00821B82">
      <w:pPr>
        <w:pStyle w:val="Heading3"/>
        <w:numPr>
          <w:ilvl w:val="2"/>
          <w:numId w:val="14"/>
        </w:numPr>
        <w:spacing w:line="360" w:lineRule="auto"/>
        <w:jc w:val="both"/>
      </w:pPr>
      <w:bookmarkStart w:id="227" w:name="_Toc122626423"/>
      <w:bookmarkStart w:id="228" w:name="_Toc153894197"/>
      <w:r>
        <w:t xml:space="preserve">Barriers to </w:t>
      </w:r>
      <w:r w:rsidRPr="00515C51">
        <w:t>Pharmacist Involvement in Diabetes Primary Care Management</w:t>
      </w:r>
      <w:bookmarkEnd w:id="227"/>
      <w:bookmarkEnd w:id="228"/>
    </w:p>
    <w:p w14:paraId="3A5CD466" w14:textId="59843D93" w:rsidR="00821B82" w:rsidRDefault="00821B82" w:rsidP="00821B82">
      <w:pPr>
        <w:shd w:val="clear" w:color="auto" w:fill="FFFFFF"/>
        <w:spacing w:after="0" w:line="360" w:lineRule="auto"/>
        <w:jc w:val="both"/>
        <w:rPr>
          <w:rFonts w:asciiTheme="minorBidi" w:eastAsia="Times New Roman" w:hAnsiTheme="minorBidi"/>
          <w:color w:val="32363A"/>
          <w:sz w:val="24"/>
          <w:szCs w:val="24"/>
          <w:shd w:val="clear" w:color="auto" w:fill="FFFFFF"/>
        </w:rPr>
      </w:pPr>
      <w:r w:rsidRPr="00733994">
        <w:rPr>
          <w:rFonts w:asciiTheme="minorBidi" w:eastAsia="Times New Roman" w:hAnsiTheme="minorBidi"/>
          <w:color w:val="32363A"/>
          <w:sz w:val="24"/>
          <w:szCs w:val="24"/>
          <w:shd w:val="clear" w:color="auto" w:fill="FFFFFF"/>
        </w:rPr>
        <w:t>This section identifies factors that affect primary care pharmacists in providing clinical services to patients with diabetes. Participants were asked to express their agreement about barriers that may prevent primary care pharmacists from providing clinical services to patients with diabetes</w:t>
      </w:r>
      <w:r>
        <w:rPr>
          <w:rFonts w:asciiTheme="minorBidi" w:eastAsia="Times New Roman" w:hAnsiTheme="minorBidi"/>
          <w:color w:val="32363A"/>
          <w:sz w:val="24"/>
          <w:szCs w:val="24"/>
          <w:shd w:val="clear" w:color="auto" w:fill="FFFFFF"/>
        </w:rPr>
        <w:t xml:space="preserve">, </w:t>
      </w:r>
      <w:r w:rsidRPr="00964223">
        <w:rPr>
          <w:rFonts w:asciiTheme="minorBidi" w:eastAsia="Times New Roman" w:hAnsiTheme="minorBidi"/>
          <w:color w:val="32363A"/>
          <w:sz w:val="24"/>
          <w:szCs w:val="24"/>
          <w:shd w:val="clear" w:color="auto" w:fill="FFFFFF"/>
        </w:rPr>
        <w:t>see</w:t>
      </w:r>
      <w:r>
        <w:rPr>
          <w:rFonts w:asciiTheme="minorBidi" w:eastAsia="Times New Roman" w:hAnsiTheme="minorBidi"/>
          <w:color w:val="1F3864" w:themeColor="accent1" w:themeShade="80"/>
          <w:sz w:val="24"/>
          <w:szCs w:val="24"/>
          <w:shd w:val="clear" w:color="auto" w:fill="FFFFFF"/>
        </w:rPr>
        <w:t xml:space="preserve"> </w:t>
      </w:r>
      <w:r w:rsidRPr="00AD2577">
        <w:rPr>
          <w:rFonts w:asciiTheme="minorBidi" w:eastAsia="Times New Roman" w:hAnsiTheme="minorBidi"/>
          <w:color w:val="1F3864" w:themeColor="accent1" w:themeShade="80"/>
          <w:sz w:val="24"/>
          <w:szCs w:val="24"/>
          <w:shd w:val="clear" w:color="auto" w:fill="FFFFFF"/>
        </w:rPr>
        <w:fldChar w:fldCharType="begin"/>
      </w:r>
      <w:r w:rsidRPr="00AD2577">
        <w:rPr>
          <w:rFonts w:asciiTheme="minorBidi" w:eastAsia="Times New Roman" w:hAnsiTheme="minorBidi"/>
          <w:color w:val="1F3864" w:themeColor="accent1" w:themeShade="80"/>
          <w:sz w:val="24"/>
          <w:szCs w:val="24"/>
          <w:shd w:val="clear" w:color="auto" w:fill="FFFFFF"/>
        </w:rPr>
        <w:instrText xml:space="preserve"> REF _Ref122825386 \h  \* MERGEFORMAT </w:instrText>
      </w:r>
      <w:r w:rsidRPr="00AD2577">
        <w:rPr>
          <w:rFonts w:asciiTheme="minorBidi" w:eastAsia="Times New Roman" w:hAnsiTheme="minorBidi"/>
          <w:color w:val="1F3864" w:themeColor="accent1" w:themeShade="80"/>
          <w:sz w:val="24"/>
          <w:szCs w:val="24"/>
          <w:shd w:val="clear" w:color="auto" w:fill="FFFFFF"/>
        </w:rPr>
      </w:r>
      <w:r w:rsidRPr="00AD2577">
        <w:rPr>
          <w:rFonts w:asciiTheme="minorBidi" w:eastAsia="Times New Roman" w:hAnsiTheme="minorBidi"/>
          <w:color w:val="1F3864" w:themeColor="accent1" w:themeShade="80"/>
          <w:sz w:val="24"/>
          <w:szCs w:val="24"/>
          <w:shd w:val="clear" w:color="auto" w:fill="FFFFFF"/>
        </w:rPr>
        <w:fldChar w:fldCharType="separate"/>
      </w:r>
      <w:r w:rsidR="00B734DA" w:rsidRPr="00B734DA">
        <w:rPr>
          <w:rFonts w:asciiTheme="minorBidi" w:eastAsia="Times New Roman" w:hAnsiTheme="minorBidi"/>
          <w:color w:val="1F3864" w:themeColor="accent1" w:themeShade="80"/>
          <w:sz w:val="24"/>
          <w:szCs w:val="24"/>
          <w:shd w:val="clear" w:color="auto" w:fill="FFFFFF"/>
        </w:rPr>
        <w:t>Table 24</w:t>
      </w:r>
      <w:r w:rsidRPr="00AD2577">
        <w:rPr>
          <w:rFonts w:asciiTheme="minorBidi" w:eastAsia="Times New Roman" w:hAnsiTheme="minorBidi"/>
          <w:color w:val="1F3864" w:themeColor="accent1" w:themeShade="80"/>
          <w:sz w:val="24"/>
          <w:szCs w:val="24"/>
          <w:shd w:val="clear" w:color="auto" w:fill="FFFFFF"/>
        </w:rPr>
        <w:fldChar w:fldCharType="end"/>
      </w:r>
      <w:r>
        <w:rPr>
          <w:rFonts w:asciiTheme="minorBidi" w:eastAsia="Times New Roman" w:hAnsiTheme="minorBidi"/>
          <w:color w:val="32363A"/>
          <w:sz w:val="24"/>
          <w:szCs w:val="24"/>
          <w:shd w:val="clear" w:color="auto" w:fill="FFFFFF"/>
        </w:rPr>
        <w:t>. The results showed that participa</w:t>
      </w:r>
      <w:r w:rsidRPr="00833E14">
        <w:rPr>
          <w:rFonts w:asciiTheme="minorBidi" w:eastAsia="Times New Roman" w:hAnsiTheme="minorBidi"/>
          <w:color w:val="32363A"/>
          <w:sz w:val="24"/>
          <w:szCs w:val="24"/>
          <w:shd w:val="clear" w:color="auto" w:fill="FFFFFF"/>
        </w:rPr>
        <w:t xml:space="preserve">nts agreed on all barriers </w:t>
      </w:r>
      <w:r>
        <w:rPr>
          <w:rFonts w:asciiTheme="minorBidi" w:eastAsia="Times New Roman" w:hAnsiTheme="minorBidi"/>
          <w:color w:val="32363A"/>
          <w:sz w:val="24"/>
          <w:szCs w:val="24"/>
          <w:shd w:val="clear" w:color="auto" w:fill="FFFFFF"/>
        </w:rPr>
        <w:t>lis</w:t>
      </w:r>
      <w:r w:rsidRPr="00833E14">
        <w:rPr>
          <w:rFonts w:asciiTheme="minorBidi" w:eastAsia="Times New Roman" w:hAnsiTheme="minorBidi"/>
          <w:color w:val="32363A"/>
          <w:sz w:val="24"/>
          <w:szCs w:val="24"/>
          <w:shd w:val="clear" w:color="auto" w:fill="FFFFFF"/>
        </w:rPr>
        <w:t>ted in this table</w:t>
      </w:r>
      <w:r>
        <w:rPr>
          <w:rFonts w:asciiTheme="minorBidi" w:eastAsia="Times New Roman" w:hAnsiTheme="minorBidi"/>
          <w:color w:val="32363A"/>
          <w:sz w:val="24"/>
          <w:szCs w:val="24"/>
          <w:shd w:val="clear" w:color="auto" w:fill="FFFFFF"/>
        </w:rPr>
        <w:t>.</w:t>
      </w:r>
      <w:r w:rsidRPr="00833E14">
        <w:rPr>
          <w:rFonts w:asciiTheme="minorBidi" w:eastAsia="Times New Roman" w:hAnsiTheme="minorBidi"/>
          <w:color w:val="32363A"/>
          <w:sz w:val="24"/>
          <w:szCs w:val="24"/>
          <w:shd w:val="clear" w:color="auto" w:fill="FFFFFF"/>
        </w:rPr>
        <w:t xml:space="preserve"> </w:t>
      </w:r>
    </w:p>
    <w:p w14:paraId="164D3249" w14:textId="77777777" w:rsidR="00821B82" w:rsidRPr="00833E14" w:rsidRDefault="00821B82" w:rsidP="00821B82">
      <w:pPr>
        <w:shd w:val="clear" w:color="auto" w:fill="FFFFFF"/>
        <w:spacing w:after="0" w:line="360" w:lineRule="auto"/>
        <w:jc w:val="both"/>
        <w:rPr>
          <w:rFonts w:asciiTheme="minorBidi" w:eastAsia="Times New Roman" w:hAnsiTheme="minorBidi"/>
          <w:color w:val="32363A"/>
          <w:sz w:val="24"/>
          <w:szCs w:val="24"/>
          <w:shd w:val="clear" w:color="auto" w:fill="FFFFFF"/>
        </w:rPr>
      </w:pPr>
    </w:p>
    <w:p w14:paraId="2A8EDD35" w14:textId="78A280D7" w:rsidR="00821B82" w:rsidRDefault="00821B82" w:rsidP="00821B82">
      <w:pPr>
        <w:spacing w:after="0" w:line="360" w:lineRule="auto"/>
        <w:jc w:val="both"/>
        <w:rPr>
          <w:rFonts w:asciiTheme="minorBidi" w:eastAsia="Times New Roman" w:hAnsiTheme="minorBidi"/>
          <w:color w:val="32363A"/>
          <w:sz w:val="24"/>
          <w:szCs w:val="24"/>
          <w:shd w:val="clear" w:color="auto" w:fill="FFFFFF"/>
        </w:rPr>
      </w:pPr>
      <w:r w:rsidRPr="004E3867">
        <w:rPr>
          <w:rFonts w:asciiTheme="minorBidi" w:eastAsia="Times New Roman" w:hAnsiTheme="minorBidi"/>
          <w:color w:val="1F3864" w:themeColor="accent1" w:themeShade="80"/>
          <w:sz w:val="24"/>
          <w:szCs w:val="24"/>
          <w:shd w:val="clear" w:color="auto" w:fill="FFFFFF"/>
        </w:rPr>
        <w:fldChar w:fldCharType="begin"/>
      </w:r>
      <w:r w:rsidRPr="004E3867">
        <w:rPr>
          <w:rFonts w:asciiTheme="minorBidi" w:eastAsia="Times New Roman" w:hAnsiTheme="minorBidi"/>
          <w:color w:val="1F3864" w:themeColor="accent1" w:themeShade="80"/>
          <w:sz w:val="24"/>
          <w:szCs w:val="24"/>
          <w:shd w:val="clear" w:color="auto" w:fill="FFFFFF"/>
        </w:rPr>
        <w:instrText xml:space="preserve"> REF _Ref122825503 \h  \* MERGEFORMAT </w:instrText>
      </w:r>
      <w:r w:rsidRPr="004E3867">
        <w:rPr>
          <w:rFonts w:asciiTheme="minorBidi" w:eastAsia="Times New Roman" w:hAnsiTheme="minorBidi"/>
          <w:color w:val="1F3864" w:themeColor="accent1" w:themeShade="80"/>
          <w:sz w:val="24"/>
          <w:szCs w:val="24"/>
          <w:shd w:val="clear" w:color="auto" w:fill="FFFFFF"/>
        </w:rPr>
      </w:r>
      <w:r w:rsidRPr="004E3867">
        <w:rPr>
          <w:rFonts w:asciiTheme="minorBidi" w:eastAsia="Times New Roman" w:hAnsiTheme="minorBidi"/>
          <w:color w:val="1F3864" w:themeColor="accent1" w:themeShade="80"/>
          <w:sz w:val="24"/>
          <w:szCs w:val="24"/>
          <w:shd w:val="clear" w:color="auto" w:fill="FFFFFF"/>
        </w:rPr>
        <w:fldChar w:fldCharType="separate"/>
      </w:r>
      <w:r w:rsidR="009A5DDE" w:rsidRPr="009A5DDE">
        <w:rPr>
          <w:rFonts w:asciiTheme="minorBidi" w:hAnsiTheme="minorBidi"/>
          <w:color w:val="1F3864" w:themeColor="accent1" w:themeShade="80"/>
          <w:sz w:val="24"/>
          <w:szCs w:val="24"/>
        </w:rPr>
        <w:t xml:space="preserve">Figure </w:t>
      </w:r>
      <w:r w:rsidR="009A5DDE" w:rsidRPr="009A5DDE">
        <w:rPr>
          <w:rFonts w:asciiTheme="minorBidi" w:hAnsiTheme="minorBidi"/>
          <w:noProof/>
          <w:color w:val="1F3864" w:themeColor="accent1" w:themeShade="80"/>
          <w:sz w:val="24"/>
          <w:szCs w:val="24"/>
        </w:rPr>
        <w:t>13</w:t>
      </w:r>
      <w:r w:rsidRPr="004E3867">
        <w:rPr>
          <w:rFonts w:asciiTheme="minorBidi" w:eastAsia="Times New Roman" w:hAnsiTheme="minorBidi"/>
          <w:color w:val="1F3864" w:themeColor="accent1" w:themeShade="80"/>
          <w:sz w:val="24"/>
          <w:szCs w:val="24"/>
          <w:shd w:val="clear" w:color="auto" w:fill="FFFFFF"/>
        </w:rPr>
        <w:fldChar w:fldCharType="end"/>
      </w:r>
      <w:r w:rsidRPr="004E3867">
        <w:rPr>
          <w:rFonts w:asciiTheme="minorBidi" w:eastAsia="Times New Roman" w:hAnsiTheme="minorBidi"/>
          <w:color w:val="1F3864" w:themeColor="accent1" w:themeShade="80"/>
          <w:sz w:val="24"/>
          <w:szCs w:val="24"/>
          <w:shd w:val="clear" w:color="auto" w:fill="FFFFFF"/>
        </w:rPr>
        <w:t xml:space="preserve"> </w:t>
      </w:r>
      <w:r w:rsidRPr="004E3867">
        <w:rPr>
          <w:rFonts w:asciiTheme="minorBidi" w:eastAsia="Times New Roman" w:hAnsiTheme="minorBidi"/>
          <w:color w:val="32363A"/>
          <w:sz w:val="24"/>
          <w:szCs w:val="24"/>
          <w:shd w:val="clear" w:color="auto" w:fill="FFFFFF"/>
        </w:rPr>
        <w:t>illu</w:t>
      </w:r>
      <w:r>
        <w:rPr>
          <w:rFonts w:asciiTheme="minorBidi" w:eastAsia="Times New Roman" w:hAnsiTheme="minorBidi"/>
          <w:color w:val="32363A"/>
          <w:sz w:val="24"/>
          <w:szCs w:val="24"/>
          <w:shd w:val="clear" w:color="auto" w:fill="FFFFFF"/>
        </w:rPr>
        <w:t>strates that p</w:t>
      </w:r>
      <w:r w:rsidRPr="00733994">
        <w:rPr>
          <w:rFonts w:asciiTheme="minorBidi" w:eastAsia="Times New Roman" w:hAnsiTheme="minorBidi"/>
          <w:color w:val="32363A"/>
          <w:sz w:val="24"/>
          <w:szCs w:val="24"/>
          <w:shd w:val="clear" w:color="auto" w:fill="FFFFFF"/>
        </w:rPr>
        <w:t xml:space="preserve">articipants' agreement on </w:t>
      </w:r>
      <w:r>
        <w:rPr>
          <w:rFonts w:asciiTheme="minorBidi" w:eastAsia="Times New Roman" w:hAnsiTheme="minorBidi"/>
          <w:color w:val="32363A"/>
          <w:sz w:val="24"/>
          <w:szCs w:val="24"/>
          <w:shd w:val="clear" w:color="auto" w:fill="FFFFFF"/>
        </w:rPr>
        <w:t xml:space="preserve">the existence of all barriers </w:t>
      </w:r>
      <w:r w:rsidRPr="00733994">
        <w:rPr>
          <w:rFonts w:asciiTheme="minorBidi" w:eastAsia="Times New Roman" w:hAnsiTheme="minorBidi"/>
          <w:color w:val="32363A"/>
          <w:sz w:val="24"/>
          <w:szCs w:val="24"/>
          <w:shd w:val="clear" w:color="auto" w:fill="FFFFFF"/>
        </w:rPr>
        <w:t xml:space="preserve">ranged from 58% to 86%, </w:t>
      </w:r>
      <w:r w:rsidRPr="00CD3119">
        <w:rPr>
          <w:rFonts w:asciiTheme="minorBidi" w:eastAsia="Times New Roman" w:hAnsiTheme="minorBidi"/>
          <w:color w:val="32363A"/>
          <w:sz w:val="24"/>
          <w:szCs w:val="24"/>
          <w:shd w:val="clear" w:color="auto" w:fill="FFFFFF"/>
        </w:rPr>
        <w:t>with the lowest level of agreement on the barrier related to patients' attitudes toward pharmacist’s</w:t>
      </w:r>
      <w:r>
        <w:rPr>
          <w:rFonts w:asciiTheme="minorBidi" w:eastAsia="Times New Roman" w:hAnsiTheme="minorBidi"/>
          <w:color w:val="32363A"/>
          <w:sz w:val="24"/>
          <w:szCs w:val="24"/>
          <w:shd w:val="clear" w:color="auto" w:fill="FFFFFF"/>
        </w:rPr>
        <w:t xml:space="preserve"> role </w:t>
      </w:r>
      <w:r w:rsidRPr="00CD3119">
        <w:rPr>
          <w:rFonts w:asciiTheme="minorBidi" w:eastAsia="Times New Roman" w:hAnsiTheme="minorBidi"/>
          <w:color w:val="32363A"/>
          <w:sz w:val="24"/>
          <w:szCs w:val="24"/>
          <w:shd w:val="clear" w:color="auto" w:fill="FFFFFF"/>
        </w:rPr>
        <w:t>and the highest related to the lack of a well-defined pharmacist role</w:t>
      </w:r>
      <w:r>
        <w:rPr>
          <w:rFonts w:asciiTheme="minorBidi" w:eastAsia="Times New Roman" w:hAnsiTheme="minorBidi"/>
          <w:color w:val="32363A"/>
          <w:sz w:val="24"/>
          <w:szCs w:val="24"/>
          <w:shd w:val="clear" w:color="auto" w:fill="FFFFFF"/>
        </w:rPr>
        <w:t xml:space="preserve">. Among the participants, </w:t>
      </w:r>
      <w:r w:rsidRPr="00733994">
        <w:rPr>
          <w:rFonts w:asciiTheme="minorBidi" w:eastAsia="Times New Roman" w:hAnsiTheme="minorBidi"/>
          <w:color w:val="32363A"/>
          <w:sz w:val="24"/>
          <w:szCs w:val="24"/>
          <w:shd w:val="clear" w:color="auto" w:fill="FFFFFF"/>
        </w:rPr>
        <w:t>86%</w:t>
      </w:r>
      <w:r>
        <w:rPr>
          <w:rFonts w:asciiTheme="minorBidi" w:eastAsia="Times New Roman" w:hAnsiTheme="minorBidi"/>
          <w:color w:val="32363A"/>
          <w:sz w:val="24"/>
          <w:szCs w:val="24"/>
          <w:shd w:val="clear" w:color="auto" w:fill="FFFFFF"/>
        </w:rPr>
        <w:t xml:space="preserve"> </w:t>
      </w:r>
      <w:r w:rsidRPr="00160A68">
        <w:rPr>
          <w:rFonts w:asciiTheme="minorBidi" w:eastAsia="Times New Roman" w:hAnsiTheme="minorBidi"/>
          <w:color w:val="32363A"/>
          <w:sz w:val="24"/>
          <w:szCs w:val="24"/>
          <w:shd w:val="clear" w:color="auto" w:fill="FFFFFF"/>
        </w:rPr>
        <w:t xml:space="preserve">agreed or strongly agreed that the lack of a well-defined pharmacist role was a barrier </w:t>
      </w:r>
      <w:r>
        <w:rPr>
          <w:rFonts w:asciiTheme="minorBidi" w:eastAsia="Times New Roman" w:hAnsiTheme="minorBidi"/>
          <w:color w:val="32363A"/>
          <w:sz w:val="24"/>
          <w:szCs w:val="24"/>
          <w:shd w:val="clear" w:color="auto" w:fill="FFFFFF"/>
        </w:rPr>
        <w:t xml:space="preserve">to </w:t>
      </w:r>
      <w:r w:rsidRPr="00160A68">
        <w:rPr>
          <w:rFonts w:asciiTheme="minorBidi" w:eastAsia="Times New Roman" w:hAnsiTheme="minorBidi"/>
          <w:color w:val="32363A"/>
          <w:sz w:val="24"/>
          <w:szCs w:val="24"/>
          <w:shd w:val="clear" w:color="auto" w:fill="FFFFFF"/>
        </w:rPr>
        <w:t xml:space="preserve">primary care pharmacists providing clinical services to diabetic patients, followed by a </w:t>
      </w:r>
      <w:r>
        <w:rPr>
          <w:rFonts w:asciiTheme="minorBidi" w:eastAsia="Times New Roman" w:hAnsiTheme="minorBidi"/>
          <w:color w:val="32363A"/>
          <w:sz w:val="24"/>
          <w:szCs w:val="24"/>
          <w:shd w:val="clear" w:color="auto" w:fill="FFFFFF"/>
        </w:rPr>
        <w:t>l</w:t>
      </w:r>
      <w:r w:rsidRPr="00F44708">
        <w:rPr>
          <w:rFonts w:asciiTheme="minorBidi" w:eastAsia="Times New Roman" w:hAnsiTheme="minorBidi"/>
          <w:color w:val="32363A"/>
          <w:sz w:val="24"/>
          <w:szCs w:val="24"/>
          <w:shd w:val="clear" w:color="auto" w:fill="FFFFFF"/>
        </w:rPr>
        <w:t>ack of a private room</w:t>
      </w:r>
      <w:r w:rsidRPr="00CD3119">
        <w:rPr>
          <w:rFonts w:asciiTheme="minorBidi" w:eastAsia="Times New Roman" w:hAnsiTheme="minorBidi"/>
          <w:color w:val="32363A"/>
          <w:sz w:val="24"/>
          <w:szCs w:val="24"/>
          <w:shd w:val="clear" w:color="auto" w:fill="FFFFFF"/>
        </w:rPr>
        <w:t xml:space="preserve"> to </w:t>
      </w:r>
      <w:r>
        <w:rPr>
          <w:rFonts w:asciiTheme="minorBidi" w:eastAsia="Times New Roman" w:hAnsiTheme="minorBidi"/>
          <w:color w:val="32363A"/>
          <w:sz w:val="24"/>
          <w:szCs w:val="24"/>
          <w:shd w:val="clear" w:color="auto" w:fill="FFFFFF"/>
        </w:rPr>
        <w:t>counsel</w:t>
      </w:r>
      <w:r w:rsidRPr="00CD3119">
        <w:rPr>
          <w:rFonts w:asciiTheme="minorBidi" w:eastAsia="Times New Roman" w:hAnsiTheme="minorBidi"/>
          <w:color w:val="32363A"/>
          <w:sz w:val="24"/>
          <w:szCs w:val="24"/>
          <w:shd w:val="clear" w:color="auto" w:fill="FFFFFF"/>
        </w:rPr>
        <w:t xml:space="preserve"> patients</w:t>
      </w:r>
      <w:r>
        <w:rPr>
          <w:rFonts w:asciiTheme="minorBidi" w:eastAsia="Times New Roman" w:hAnsiTheme="minorBidi"/>
          <w:color w:val="32363A"/>
          <w:sz w:val="24"/>
          <w:szCs w:val="24"/>
          <w:shd w:val="clear" w:color="auto" w:fill="FFFFFF"/>
        </w:rPr>
        <w:t>,</w:t>
      </w:r>
      <w:r w:rsidRPr="00160A68">
        <w:rPr>
          <w:rFonts w:asciiTheme="minorBidi" w:eastAsia="Times New Roman" w:hAnsiTheme="minorBidi"/>
          <w:color w:val="32363A"/>
          <w:sz w:val="24"/>
          <w:szCs w:val="24"/>
          <w:shd w:val="clear" w:color="auto" w:fill="FFFFFF"/>
        </w:rPr>
        <w:t xml:space="preserve"> which </w:t>
      </w:r>
      <w:r>
        <w:rPr>
          <w:rFonts w:asciiTheme="minorBidi" w:eastAsia="Times New Roman" w:hAnsiTheme="minorBidi"/>
          <w:color w:val="32363A"/>
          <w:sz w:val="24"/>
          <w:szCs w:val="24"/>
          <w:shd w:val="clear" w:color="auto" w:fill="FFFFFF"/>
        </w:rPr>
        <w:t xml:space="preserve">accounted for </w:t>
      </w:r>
      <w:r w:rsidRPr="00160A68">
        <w:rPr>
          <w:rFonts w:asciiTheme="minorBidi" w:eastAsia="Times New Roman" w:hAnsiTheme="minorBidi"/>
          <w:color w:val="32363A"/>
          <w:sz w:val="24"/>
          <w:szCs w:val="24"/>
          <w:shd w:val="clear" w:color="auto" w:fill="FFFFFF"/>
        </w:rPr>
        <w:t>8</w:t>
      </w:r>
      <w:r>
        <w:rPr>
          <w:rFonts w:asciiTheme="minorBidi" w:eastAsia="Times New Roman" w:hAnsiTheme="minorBidi"/>
          <w:color w:val="32363A"/>
          <w:sz w:val="24"/>
          <w:szCs w:val="24"/>
          <w:shd w:val="clear" w:color="auto" w:fill="FFFFFF"/>
        </w:rPr>
        <w:t>4%</w:t>
      </w:r>
      <w:r w:rsidRPr="00160A68">
        <w:rPr>
          <w:rFonts w:asciiTheme="minorBidi" w:eastAsia="Times New Roman" w:hAnsiTheme="minorBidi"/>
          <w:color w:val="32363A"/>
          <w:sz w:val="24"/>
          <w:szCs w:val="24"/>
          <w:shd w:val="clear" w:color="auto" w:fill="FFFFFF"/>
        </w:rPr>
        <w:t xml:space="preserve"> of</w:t>
      </w:r>
      <w:r>
        <w:rPr>
          <w:rFonts w:asciiTheme="minorBidi" w:eastAsia="Times New Roman" w:hAnsiTheme="minorBidi"/>
          <w:color w:val="32363A"/>
          <w:sz w:val="24"/>
          <w:szCs w:val="24"/>
          <w:shd w:val="clear" w:color="auto" w:fill="FFFFFF"/>
        </w:rPr>
        <w:t xml:space="preserve"> the</w:t>
      </w:r>
      <w:r w:rsidRPr="00160A68">
        <w:rPr>
          <w:rFonts w:asciiTheme="minorBidi" w:eastAsia="Times New Roman" w:hAnsiTheme="minorBidi"/>
          <w:color w:val="32363A"/>
          <w:sz w:val="24"/>
          <w:szCs w:val="24"/>
          <w:shd w:val="clear" w:color="auto" w:fill="FFFFFF"/>
        </w:rPr>
        <w:t xml:space="preserve"> participants</w:t>
      </w:r>
      <w:r>
        <w:rPr>
          <w:rFonts w:asciiTheme="minorBidi" w:eastAsia="Times New Roman" w:hAnsiTheme="minorBidi"/>
          <w:color w:val="32363A"/>
          <w:sz w:val="24"/>
          <w:szCs w:val="24"/>
          <w:shd w:val="clear" w:color="auto" w:fill="FFFFFF"/>
        </w:rPr>
        <w:t>’</w:t>
      </w:r>
      <w:r w:rsidRPr="00160A68">
        <w:rPr>
          <w:rFonts w:asciiTheme="minorBidi" w:eastAsia="Times New Roman" w:hAnsiTheme="minorBidi"/>
          <w:color w:val="32363A"/>
          <w:sz w:val="24"/>
          <w:szCs w:val="24"/>
          <w:shd w:val="clear" w:color="auto" w:fill="FFFFFF"/>
        </w:rPr>
        <w:t xml:space="preserve"> agree</w:t>
      </w:r>
      <w:r>
        <w:rPr>
          <w:rFonts w:asciiTheme="minorBidi" w:eastAsia="Times New Roman" w:hAnsiTheme="minorBidi"/>
          <w:color w:val="32363A"/>
          <w:sz w:val="24"/>
          <w:szCs w:val="24"/>
          <w:shd w:val="clear" w:color="auto" w:fill="FFFFFF"/>
        </w:rPr>
        <w:t>ment</w:t>
      </w:r>
      <w:r w:rsidRPr="00160A68">
        <w:rPr>
          <w:rFonts w:asciiTheme="minorBidi" w:eastAsia="Times New Roman" w:hAnsiTheme="minorBidi"/>
          <w:color w:val="32363A"/>
          <w:sz w:val="24"/>
          <w:szCs w:val="24"/>
          <w:shd w:val="clear" w:color="auto" w:fill="FFFFFF"/>
        </w:rPr>
        <w:t>.</w:t>
      </w:r>
      <w:r>
        <w:rPr>
          <w:rFonts w:asciiTheme="minorBidi" w:eastAsia="Times New Roman" w:hAnsiTheme="minorBidi"/>
          <w:color w:val="32363A"/>
          <w:sz w:val="24"/>
          <w:szCs w:val="24"/>
          <w:shd w:val="clear" w:color="auto" w:fill="FFFFFF"/>
        </w:rPr>
        <w:t xml:space="preserve"> </w:t>
      </w:r>
      <w:r w:rsidRPr="00CD3119">
        <w:rPr>
          <w:rFonts w:asciiTheme="minorBidi" w:eastAsia="Times New Roman" w:hAnsiTheme="minorBidi"/>
          <w:color w:val="32363A"/>
          <w:sz w:val="24"/>
          <w:szCs w:val="24"/>
          <w:shd w:val="clear" w:color="auto" w:fill="FFFFFF"/>
        </w:rPr>
        <w:t xml:space="preserve">The </w:t>
      </w:r>
      <w:r w:rsidRPr="00583C14">
        <w:rPr>
          <w:rFonts w:asciiTheme="minorBidi" w:eastAsia="Times New Roman" w:hAnsiTheme="minorBidi"/>
          <w:color w:val="32363A"/>
          <w:sz w:val="24"/>
          <w:szCs w:val="24"/>
          <w:shd w:val="clear" w:color="auto" w:fill="FFFFFF"/>
        </w:rPr>
        <w:t xml:space="preserve">lack of awareness of the clinical role of pharmacist by </w:t>
      </w:r>
      <w:r>
        <w:rPr>
          <w:rFonts w:asciiTheme="minorBidi" w:eastAsia="Times New Roman" w:hAnsiTheme="minorBidi"/>
          <w:color w:val="32363A"/>
          <w:sz w:val="24"/>
          <w:szCs w:val="24"/>
          <w:shd w:val="clear" w:color="auto" w:fill="FFFFFF"/>
        </w:rPr>
        <w:t>HCPs</w:t>
      </w:r>
      <w:r w:rsidRPr="00583C14">
        <w:rPr>
          <w:rFonts w:asciiTheme="minorBidi" w:eastAsia="Times New Roman" w:hAnsiTheme="minorBidi"/>
          <w:color w:val="32363A"/>
          <w:sz w:val="24"/>
          <w:szCs w:val="24"/>
          <w:shd w:val="clear" w:color="auto" w:fill="FFFFFF"/>
        </w:rPr>
        <w:t xml:space="preserve"> as well as </w:t>
      </w:r>
      <w:r w:rsidRPr="00CD3119">
        <w:rPr>
          <w:rFonts w:asciiTheme="minorBidi" w:eastAsia="Times New Roman" w:hAnsiTheme="minorBidi"/>
          <w:color w:val="32363A"/>
          <w:sz w:val="24"/>
          <w:szCs w:val="24"/>
          <w:shd w:val="clear" w:color="auto" w:fill="FFFFFF"/>
        </w:rPr>
        <w:t>lack of clinical experience of pharmacists came as the third highest</w:t>
      </w:r>
      <w:r>
        <w:rPr>
          <w:rFonts w:asciiTheme="minorBidi" w:eastAsia="Times New Roman" w:hAnsiTheme="minorBidi"/>
          <w:color w:val="32363A"/>
          <w:sz w:val="24"/>
          <w:szCs w:val="24"/>
          <w:shd w:val="clear" w:color="auto" w:fill="FFFFFF"/>
        </w:rPr>
        <w:t xml:space="preserve"> </w:t>
      </w:r>
      <w:r w:rsidRPr="00CD3119">
        <w:rPr>
          <w:rFonts w:asciiTheme="minorBidi" w:eastAsia="Times New Roman" w:hAnsiTheme="minorBidi"/>
          <w:color w:val="32363A"/>
          <w:sz w:val="24"/>
          <w:szCs w:val="24"/>
          <w:shd w:val="clear" w:color="auto" w:fill="FFFFFF"/>
        </w:rPr>
        <w:t xml:space="preserve">barrier to pharmacists providing clinical services to patients with diabetes. </w:t>
      </w:r>
    </w:p>
    <w:p w14:paraId="45C9070E" w14:textId="77777777" w:rsidR="00821B82" w:rsidRPr="00160A68" w:rsidRDefault="00821B82" w:rsidP="00821B82">
      <w:pPr>
        <w:spacing w:after="0" w:line="360" w:lineRule="auto"/>
        <w:jc w:val="both"/>
        <w:rPr>
          <w:rFonts w:asciiTheme="minorBidi" w:eastAsia="Times New Roman" w:hAnsiTheme="minorBidi"/>
          <w:color w:val="32363A"/>
          <w:sz w:val="24"/>
          <w:szCs w:val="24"/>
          <w:shd w:val="clear" w:color="auto" w:fill="FFFFFF"/>
        </w:rPr>
      </w:pPr>
    </w:p>
    <w:p w14:paraId="4C2084E5" w14:textId="77777777" w:rsidR="00821B82" w:rsidRPr="00511D03" w:rsidRDefault="00821B82" w:rsidP="00821B82">
      <w:pPr>
        <w:spacing w:line="360" w:lineRule="auto"/>
        <w:jc w:val="both"/>
        <w:rPr>
          <w:rFonts w:asciiTheme="minorBidi" w:eastAsia="Times New Roman" w:hAnsiTheme="minorBidi"/>
          <w:color w:val="32363A"/>
          <w:sz w:val="24"/>
          <w:szCs w:val="24"/>
          <w:shd w:val="clear" w:color="auto" w:fill="FFFFFF"/>
        </w:rPr>
      </w:pPr>
      <w:r w:rsidRPr="00511D03">
        <w:rPr>
          <w:rFonts w:asciiTheme="minorBidi" w:eastAsia="Times New Roman" w:hAnsiTheme="minorBidi"/>
          <w:color w:val="32363A"/>
          <w:sz w:val="24"/>
          <w:szCs w:val="24"/>
          <w:shd w:val="clear" w:color="auto" w:fill="FFFFFF"/>
        </w:rPr>
        <w:t xml:space="preserve">A minority of participants (n = 4, </w:t>
      </w:r>
      <w:r>
        <w:rPr>
          <w:rFonts w:asciiTheme="minorBidi" w:eastAsia="Times New Roman" w:hAnsiTheme="minorBidi"/>
          <w:color w:val="32363A"/>
          <w:sz w:val="24"/>
          <w:szCs w:val="24"/>
          <w:shd w:val="clear" w:color="auto" w:fill="FFFFFF"/>
        </w:rPr>
        <w:t>4</w:t>
      </w:r>
      <w:r w:rsidRPr="00511D03">
        <w:rPr>
          <w:rFonts w:asciiTheme="minorBidi" w:eastAsia="Times New Roman" w:hAnsiTheme="minorBidi"/>
          <w:color w:val="32363A"/>
          <w:sz w:val="24"/>
          <w:szCs w:val="24"/>
          <w:shd w:val="clear" w:color="auto" w:fill="FFFFFF"/>
        </w:rPr>
        <w:t>%, three doctors and one pharmacist) reported other barriers</w:t>
      </w:r>
      <w:r>
        <w:rPr>
          <w:rFonts w:asciiTheme="minorBidi" w:eastAsia="Times New Roman" w:hAnsiTheme="minorBidi"/>
          <w:color w:val="32363A"/>
          <w:sz w:val="24"/>
          <w:szCs w:val="24"/>
          <w:shd w:val="clear" w:color="auto" w:fill="FFFFFF"/>
        </w:rPr>
        <w:t xml:space="preserve">. One was that PHCs no longer provide medications, which must now be forwarded to retail pharmacies to be dispensed. Participants expressed concern about this shift, with one stating that </w:t>
      </w:r>
      <w:r w:rsidRPr="00511D03">
        <w:rPr>
          <w:rFonts w:asciiTheme="minorBidi" w:eastAsia="Times New Roman" w:hAnsiTheme="minorBidi"/>
          <w:color w:val="32363A"/>
          <w:sz w:val="24"/>
          <w:szCs w:val="24"/>
          <w:shd w:val="clear" w:color="auto" w:fill="FFFFFF"/>
        </w:rPr>
        <w:t xml:space="preserve">workers in the private sector </w:t>
      </w:r>
      <w:r>
        <w:rPr>
          <w:rFonts w:asciiTheme="minorBidi" w:eastAsia="Times New Roman" w:hAnsiTheme="minorBidi"/>
          <w:color w:val="32363A"/>
          <w:sz w:val="24"/>
          <w:szCs w:val="24"/>
          <w:shd w:val="clear" w:color="auto" w:fill="FFFFFF"/>
        </w:rPr>
        <w:t>were</w:t>
      </w:r>
      <w:r w:rsidRPr="00511D03">
        <w:rPr>
          <w:rFonts w:asciiTheme="minorBidi" w:eastAsia="Times New Roman" w:hAnsiTheme="minorBidi"/>
          <w:color w:val="32363A"/>
          <w:sz w:val="24"/>
          <w:szCs w:val="24"/>
          <w:shd w:val="clear" w:color="auto" w:fill="FFFFFF"/>
        </w:rPr>
        <w:t xml:space="preserve"> not doing their job</w:t>
      </w:r>
      <w:r>
        <w:rPr>
          <w:rFonts w:asciiTheme="minorBidi" w:eastAsia="Times New Roman" w:hAnsiTheme="minorBidi"/>
          <w:color w:val="32363A"/>
          <w:sz w:val="24"/>
          <w:szCs w:val="24"/>
          <w:shd w:val="clear" w:color="auto" w:fill="FFFFFF"/>
        </w:rPr>
        <w:t>s</w:t>
      </w:r>
      <w:r w:rsidRPr="00511D03">
        <w:rPr>
          <w:rFonts w:asciiTheme="minorBidi" w:eastAsia="Times New Roman" w:hAnsiTheme="minorBidi"/>
          <w:color w:val="32363A"/>
          <w:sz w:val="24"/>
          <w:szCs w:val="24"/>
          <w:shd w:val="clear" w:color="auto" w:fill="FFFFFF"/>
        </w:rPr>
        <w:t xml:space="preserve"> as they </w:t>
      </w:r>
      <w:r>
        <w:rPr>
          <w:rFonts w:asciiTheme="minorBidi" w:eastAsia="Times New Roman" w:hAnsiTheme="minorBidi"/>
          <w:color w:val="32363A"/>
          <w:sz w:val="24"/>
          <w:szCs w:val="24"/>
          <w:shd w:val="clear" w:color="auto" w:fill="FFFFFF"/>
        </w:rPr>
        <w:t>were</w:t>
      </w:r>
      <w:r w:rsidRPr="00511D03">
        <w:rPr>
          <w:rFonts w:asciiTheme="minorBidi" w:eastAsia="Times New Roman" w:hAnsiTheme="minorBidi"/>
          <w:color w:val="32363A"/>
          <w:sz w:val="24"/>
          <w:szCs w:val="24"/>
          <w:shd w:val="clear" w:color="auto" w:fill="FFFFFF"/>
        </w:rPr>
        <w:t xml:space="preserve"> supposed to. </w:t>
      </w:r>
      <w:r>
        <w:rPr>
          <w:rFonts w:asciiTheme="minorBidi" w:eastAsia="Times New Roman" w:hAnsiTheme="minorBidi"/>
          <w:color w:val="32363A"/>
          <w:sz w:val="24"/>
          <w:szCs w:val="24"/>
          <w:shd w:val="clear" w:color="auto" w:fill="FFFFFF"/>
        </w:rPr>
        <w:t xml:space="preserve">According to this participant, retail community pharmacists did not explain medications to patients. </w:t>
      </w:r>
      <w:r w:rsidRPr="00511D03">
        <w:rPr>
          <w:rFonts w:asciiTheme="minorBidi" w:eastAsia="Times New Roman" w:hAnsiTheme="minorBidi"/>
          <w:color w:val="32363A"/>
          <w:sz w:val="24"/>
          <w:szCs w:val="24"/>
          <w:shd w:val="clear" w:color="auto" w:fill="FFFFFF"/>
        </w:rPr>
        <w:t xml:space="preserve"> </w:t>
      </w:r>
    </w:p>
    <w:p w14:paraId="169712BF" w14:textId="77777777" w:rsidR="00821B82" w:rsidRDefault="00821B82" w:rsidP="00821B82">
      <w:pPr>
        <w:spacing w:line="360" w:lineRule="auto"/>
        <w:jc w:val="both"/>
        <w:rPr>
          <w:rFonts w:asciiTheme="minorBidi" w:eastAsia="Times New Roman" w:hAnsiTheme="minorBidi"/>
          <w:color w:val="32363A"/>
          <w:sz w:val="24"/>
          <w:szCs w:val="24"/>
          <w:shd w:val="clear" w:color="auto" w:fill="FFFFFF"/>
        </w:rPr>
      </w:pPr>
      <w:r w:rsidRPr="00490334">
        <w:rPr>
          <w:rFonts w:asciiTheme="minorBidi" w:eastAsia="Times New Roman" w:hAnsiTheme="minorBidi"/>
          <w:sz w:val="24"/>
          <w:szCs w:val="24"/>
          <w:shd w:val="clear" w:color="auto" w:fill="FFFFFF"/>
        </w:rPr>
        <w:t xml:space="preserve">The survey </w:t>
      </w:r>
      <w:r>
        <w:rPr>
          <w:rFonts w:asciiTheme="minorBidi" w:eastAsia="Times New Roman" w:hAnsiTheme="minorBidi"/>
          <w:color w:val="32363A"/>
          <w:sz w:val="24"/>
          <w:szCs w:val="24"/>
          <w:shd w:val="clear" w:color="auto" w:fill="FFFFFF"/>
        </w:rPr>
        <w:t>included some</w:t>
      </w:r>
      <w:r w:rsidRPr="00862FF5">
        <w:rPr>
          <w:rFonts w:asciiTheme="minorBidi" w:eastAsia="Times New Roman" w:hAnsiTheme="minorBidi"/>
          <w:color w:val="32363A"/>
          <w:sz w:val="24"/>
          <w:szCs w:val="24"/>
          <w:shd w:val="clear" w:color="auto" w:fill="FFFFFF"/>
        </w:rPr>
        <w:t xml:space="preserve"> </w:t>
      </w:r>
      <w:r w:rsidRPr="00511D03">
        <w:rPr>
          <w:rFonts w:asciiTheme="minorBidi" w:eastAsia="Times New Roman" w:hAnsiTheme="minorBidi"/>
          <w:color w:val="32363A"/>
          <w:sz w:val="24"/>
          <w:szCs w:val="24"/>
          <w:shd w:val="clear" w:color="auto" w:fill="FFFFFF"/>
        </w:rPr>
        <w:t>negative comments about the system</w:t>
      </w:r>
      <w:r>
        <w:rPr>
          <w:rFonts w:asciiTheme="minorBidi" w:eastAsia="Times New Roman" w:hAnsiTheme="minorBidi"/>
          <w:color w:val="32363A"/>
          <w:sz w:val="24"/>
          <w:szCs w:val="24"/>
          <w:shd w:val="clear" w:color="auto" w:fill="FFFFFF"/>
        </w:rPr>
        <w:t>. A</w:t>
      </w:r>
      <w:r w:rsidRPr="00511D03">
        <w:rPr>
          <w:rFonts w:asciiTheme="minorBidi" w:eastAsia="Times New Roman" w:hAnsiTheme="minorBidi"/>
          <w:color w:val="32363A"/>
          <w:sz w:val="24"/>
          <w:szCs w:val="24"/>
          <w:shd w:val="clear" w:color="auto" w:fill="FFFFFF"/>
        </w:rPr>
        <w:t xml:space="preserve"> pharmacist stated, </w:t>
      </w:r>
      <w:r>
        <w:rPr>
          <w:rFonts w:asciiTheme="minorBidi" w:eastAsia="Times New Roman" w:hAnsiTheme="minorBidi"/>
          <w:color w:val="32363A"/>
          <w:sz w:val="24"/>
          <w:szCs w:val="24"/>
          <w:shd w:val="clear" w:color="auto" w:fill="FFFFFF"/>
        </w:rPr>
        <w:t>“</w:t>
      </w:r>
      <w:r w:rsidRPr="00D74CD0">
        <w:rPr>
          <w:rFonts w:asciiTheme="minorBidi" w:eastAsia="Times New Roman" w:hAnsiTheme="minorBidi"/>
          <w:i/>
          <w:iCs/>
          <w:color w:val="32363A"/>
          <w:sz w:val="24"/>
          <w:szCs w:val="24"/>
          <w:shd w:val="clear" w:color="auto" w:fill="FFFFFF"/>
        </w:rPr>
        <w:t>The system encourages pharmacists to purely carry out orders, and not question physicians</w:t>
      </w:r>
      <w:r>
        <w:rPr>
          <w:rFonts w:asciiTheme="minorBidi" w:eastAsia="Times New Roman" w:hAnsiTheme="minorBidi"/>
          <w:color w:val="32363A"/>
          <w:sz w:val="24"/>
          <w:szCs w:val="24"/>
          <w:shd w:val="clear" w:color="auto" w:fill="FFFFFF"/>
        </w:rPr>
        <w:t>”</w:t>
      </w:r>
      <w:r w:rsidRPr="00511D03">
        <w:rPr>
          <w:rFonts w:asciiTheme="minorBidi" w:eastAsia="Times New Roman" w:hAnsiTheme="minorBidi"/>
          <w:color w:val="32363A"/>
          <w:sz w:val="24"/>
          <w:szCs w:val="24"/>
          <w:shd w:val="clear" w:color="auto" w:fill="FFFFFF"/>
        </w:rPr>
        <w:t>. Therefore, pharmacists who want</w:t>
      </w:r>
      <w:r>
        <w:rPr>
          <w:rFonts w:asciiTheme="minorBidi" w:eastAsia="Times New Roman" w:hAnsiTheme="minorBidi"/>
          <w:color w:val="32363A"/>
          <w:sz w:val="24"/>
          <w:szCs w:val="24"/>
          <w:shd w:val="clear" w:color="auto" w:fill="FFFFFF"/>
        </w:rPr>
        <w:t>ed</w:t>
      </w:r>
      <w:r w:rsidRPr="00511D03">
        <w:rPr>
          <w:rFonts w:asciiTheme="minorBidi" w:eastAsia="Times New Roman" w:hAnsiTheme="minorBidi"/>
          <w:color w:val="32363A"/>
          <w:sz w:val="24"/>
          <w:szCs w:val="24"/>
          <w:shd w:val="clear" w:color="auto" w:fill="FFFFFF"/>
        </w:rPr>
        <w:t xml:space="preserve"> to be more proactive </w:t>
      </w:r>
      <w:r>
        <w:rPr>
          <w:rFonts w:asciiTheme="minorBidi" w:eastAsia="Times New Roman" w:hAnsiTheme="minorBidi"/>
          <w:color w:val="32363A"/>
          <w:sz w:val="24"/>
          <w:szCs w:val="24"/>
          <w:shd w:val="clear" w:color="auto" w:fill="FFFFFF"/>
        </w:rPr>
        <w:t>were</w:t>
      </w:r>
      <w:r w:rsidRPr="00511D03">
        <w:rPr>
          <w:rFonts w:asciiTheme="minorBidi" w:eastAsia="Times New Roman" w:hAnsiTheme="minorBidi"/>
          <w:color w:val="32363A"/>
          <w:sz w:val="24"/>
          <w:szCs w:val="24"/>
          <w:shd w:val="clear" w:color="auto" w:fill="FFFFFF"/>
        </w:rPr>
        <w:t xml:space="preserve"> discouraged by such a system that hinder</w:t>
      </w:r>
      <w:r>
        <w:rPr>
          <w:rFonts w:asciiTheme="minorBidi" w:eastAsia="Times New Roman" w:hAnsiTheme="minorBidi"/>
          <w:color w:val="32363A"/>
          <w:sz w:val="24"/>
          <w:szCs w:val="24"/>
          <w:shd w:val="clear" w:color="auto" w:fill="FFFFFF"/>
        </w:rPr>
        <w:t>ed</w:t>
      </w:r>
      <w:r w:rsidRPr="00511D03">
        <w:rPr>
          <w:rFonts w:asciiTheme="minorBidi" w:eastAsia="Times New Roman" w:hAnsiTheme="minorBidi"/>
          <w:color w:val="32363A"/>
          <w:sz w:val="24"/>
          <w:szCs w:val="24"/>
          <w:shd w:val="clear" w:color="auto" w:fill="FFFFFF"/>
        </w:rPr>
        <w:t xml:space="preserve"> </w:t>
      </w:r>
      <w:r>
        <w:rPr>
          <w:rFonts w:asciiTheme="minorBidi" w:eastAsia="Times New Roman" w:hAnsiTheme="minorBidi"/>
          <w:color w:val="32363A"/>
          <w:sz w:val="24"/>
          <w:szCs w:val="24"/>
          <w:shd w:val="clear" w:color="auto" w:fill="FFFFFF"/>
        </w:rPr>
        <w:t>them</w:t>
      </w:r>
      <w:r w:rsidRPr="00511D03">
        <w:rPr>
          <w:rFonts w:asciiTheme="minorBidi" w:eastAsia="Times New Roman" w:hAnsiTheme="minorBidi"/>
          <w:color w:val="32363A"/>
          <w:sz w:val="24"/>
          <w:szCs w:val="24"/>
          <w:shd w:val="clear" w:color="auto" w:fill="FFFFFF"/>
        </w:rPr>
        <w:t xml:space="preserve"> from taking a more active role. The same participants also reported that </w:t>
      </w:r>
      <w:r>
        <w:rPr>
          <w:rFonts w:asciiTheme="minorBidi" w:eastAsia="Times New Roman" w:hAnsiTheme="minorBidi"/>
          <w:color w:val="32363A"/>
          <w:sz w:val="24"/>
          <w:szCs w:val="24"/>
          <w:shd w:val="clear" w:color="auto" w:fill="FFFFFF"/>
        </w:rPr>
        <w:t>“</w:t>
      </w:r>
      <w:r w:rsidRPr="00D74CD0">
        <w:rPr>
          <w:rFonts w:asciiTheme="minorBidi" w:eastAsia="Times New Roman" w:hAnsiTheme="minorBidi"/>
          <w:i/>
          <w:iCs/>
          <w:color w:val="32363A"/>
          <w:sz w:val="24"/>
          <w:szCs w:val="24"/>
          <w:shd w:val="clear" w:color="auto" w:fill="FFFFFF"/>
        </w:rPr>
        <w:t>many hospitals and other centres are reluctant to develop pharmacist roles further</w:t>
      </w:r>
      <w:r>
        <w:rPr>
          <w:rFonts w:asciiTheme="minorBidi" w:eastAsia="Times New Roman" w:hAnsiTheme="minorBidi"/>
          <w:color w:val="32363A"/>
          <w:sz w:val="24"/>
          <w:szCs w:val="24"/>
          <w:shd w:val="clear" w:color="auto" w:fill="FFFFFF"/>
        </w:rPr>
        <w:t>”</w:t>
      </w:r>
      <w:r w:rsidRPr="00511D03">
        <w:rPr>
          <w:rFonts w:asciiTheme="minorBidi" w:eastAsia="Times New Roman" w:hAnsiTheme="minorBidi"/>
          <w:color w:val="32363A"/>
          <w:sz w:val="24"/>
          <w:szCs w:val="24"/>
          <w:shd w:val="clear" w:color="auto" w:fill="FFFFFF"/>
        </w:rPr>
        <w:t>, which ma</w:t>
      </w:r>
      <w:r>
        <w:rPr>
          <w:rFonts w:asciiTheme="minorBidi" w:eastAsia="Times New Roman" w:hAnsiTheme="minorBidi"/>
          <w:color w:val="32363A"/>
          <w:sz w:val="24"/>
          <w:szCs w:val="24"/>
          <w:shd w:val="clear" w:color="auto" w:fill="FFFFFF"/>
        </w:rPr>
        <w:t>de</w:t>
      </w:r>
      <w:r w:rsidRPr="00511D03">
        <w:rPr>
          <w:rFonts w:asciiTheme="minorBidi" w:eastAsia="Times New Roman" w:hAnsiTheme="minorBidi"/>
          <w:color w:val="32363A"/>
          <w:sz w:val="24"/>
          <w:szCs w:val="24"/>
          <w:shd w:val="clear" w:color="auto" w:fill="FFFFFF"/>
        </w:rPr>
        <w:t xml:space="preserve"> pharmacists insufficiently equipped to get into high-level discussions. The </w:t>
      </w:r>
      <w:r>
        <w:rPr>
          <w:rFonts w:asciiTheme="minorBidi" w:eastAsia="Times New Roman" w:hAnsiTheme="minorBidi"/>
          <w:color w:val="32363A"/>
          <w:sz w:val="24"/>
          <w:szCs w:val="24"/>
          <w:shd w:val="clear" w:color="auto" w:fill="FFFFFF"/>
        </w:rPr>
        <w:t xml:space="preserve">same </w:t>
      </w:r>
      <w:r w:rsidRPr="00511D03">
        <w:rPr>
          <w:rFonts w:asciiTheme="minorBidi" w:eastAsia="Times New Roman" w:hAnsiTheme="minorBidi"/>
          <w:color w:val="32363A"/>
          <w:sz w:val="24"/>
          <w:szCs w:val="24"/>
          <w:shd w:val="clear" w:color="auto" w:fill="FFFFFF"/>
        </w:rPr>
        <w:t xml:space="preserve">pharmacist reported medicolegal implications </w:t>
      </w:r>
      <w:r>
        <w:rPr>
          <w:rFonts w:asciiTheme="minorBidi" w:eastAsia="Times New Roman" w:hAnsiTheme="minorBidi"/>
          <w:color w:val="32363A"/>
          <w:sz w:val="24"/>
          <w:szCs w:val="24"/>
          <w:shd w:val="clear" w:color="auto" w:fill="FFFFFF"/>
        </w:rPr>
        <w:t xml:space="preserve">as another barrier </w:t>
      </w:r>
      <w:r w:rsidRPr="00511D03">
        <w:rPr>
          <w:rFonts w:asciiTheme="minorBidi" w:eastAsia="Times New Roman" w:hAnsiTheme="minorBidi"/>
          <w:color w:val="32363A"/>
          <w:sz w:val="24"/>
          <w:szCs w:val="24"/>
          <w:shd w:val="clear" w:color="auto" w:fill="FFFFFF"/>
        </w:rPr>
        <w:t>that make</w:t>
      </w:r>
      <w:r>
        <w:rPr>
          <w:rFonts w:asciiTheme="minorBidi" w:eastAsia="Times New Roman" w:hAnsiTheme="minorBidi"/>
          <w:color w:val="32363A"/>
          <w:sz w:val="24"/>
          <w:szCs w:val="24"/>
          <w:shd w:val="clear" w:color="auto" w:fill="FFFFFF"/>
        </w:rPr>
        <w:t>s</w:t>
      </w:r>
      <w:r w:rsidRPr="00511D03">
        <w:rPr>
          <w:rFonts w:asciiTheme="minorBidi" w:eastAsia="Times New Roman" w:hAnsiTheme="minorBidi"/>
          <w:color w:val="32363A"/>
          <w:sz w:val="24"/>
          <w:szCs w:val="24"/>
          <w:shd w:val="clear" w:color="auto" w:fill="FFFFFF"/>
        </w:rPr>
        <w:t xml:space="preserve"> pharmacists worr</w:t>
      </w:r>
      <w:r>
        <w:rPr>
          <w:rFonts w:asciiTheme="minorBidi" w:eastAsia="Times New Roman" w:hAnsiTheme="minorBidi"/>
          <w:color w:val="32363A"/>
          <w:sz w:val="24"/>
          <w:szCs w:val="24"/>
          <w:shd w:val="clear" w:color="auto" w:fill="FFFFFF"/>
        </w:rPr>
        <w:t>ied</w:t>
      </w:r>
      <w:r w:rsidRPr="00511D03">
        <w:rPr>
          <w:rFonts w:asciiTheme="minorBidi" w:eastAsia="Times New Roman" w:hAnsiTheme="minorBidi"/>
          <w:color w:val="32363A"/>
          <w:sz w:val="24"/>
          <w:szCs w:val="24"/>
          <w:shd w:val="clear" w:color="auto" w:fill="FFFFFF"/>
        </w:rPr>
        <w:t xml:space="preserve"> about taking </w:t>
      </w:r>
      <w:r>
        <w:rPr>
          <w:rFonts w:asciiTheme="minorBidi" w:eastAsia="Times New Roman" w:hAnsiTheme="minorBidi"/>
          <w:color w:val="32363A"/>
          <w:sz w:val="24"/>
          <w:szCs w:val="24"/>
          <w:shd w:val="clear" w:color="auto" w:fill="FFFFFF"/>
        </w:rPr>
        <w:t xml:space="preserve">on </w:t>
      </w:r>
      <w:r w:rsidRPr="00511D03">
        <w:rPr>
          <w:rFonts w:asciiTheme="minorBidi" w:eastAsia="Times New Roman" w:hAnsiTheme="minorBidi"/>
          <w:color w:val="32363A"/>
          <w:sz w:val="24"/>
          <w:szCs w:val="24"/>
          <w:shd w:val="clear" w:color="auto" w:fill="FFFFFF"/>
        </w:rPr>
        <w:t xml:space="preserve">advanced clinical roles beyond their traditional pharmacy practice.  </w:t>
      </w:r>
    </w:p>
    <w:p w14:paraId="3CB6DCCA" w14:textId="77777777" w:rsidR="00821B82" w:rsidRDefault="00821B82" w:rsidP="00821B82">
      <w:pPr>
        <w:spacing w:line="360" w:lineRule="auto"/>
        <w:jc w:val="both"/>
        <w:rPr>
          <w:rFonts w:asciiTheme="minorBidi" w:eastAsia="Times New Roman" w:hAnsiTheme="minorBidi"/>
          <w:color w:val="32363A"/>
          <w:sz w:val="24"/>
          <w:szCs w:val="24"/>
          <w:shd w:val="clear" w:color="auto" w:fill="FFFFFF"/>
        </w:rPr>
      </w:pPr>
    </w:p>
    <w:p w14:paraId="4E40FC16" w14:textId="77777777" w:rsidR="00821B82" w:rsidRDefault="00821B82" w:rsidP="00821B82">
      <w:pPr>
        <w:spacing w:line="360" w:lineRule="auto"/>
        <w:rPr>
          <w:rFonts w:asciiTheme="minorBidi" w:eastAsia="Times New Roman" w:hAnsiTheme="minorBidi"/>
          <w:color w:val="32363A"/>
          <w:sz w:val="24"/>
          <w:szCs w:val="24"/>
          <w:shd w:val="clear" w:color="auto" w:fill="FFFFFF"/>
        </w:rPr>
      </w:pPr>
    </w:p>
    <w:p w14:paraId="2E13B581" w14:textId="77777777" w:rsidR="00821B82" w:rsidRDefault="00821B82" w:rsidP="00821B82">
      <w:pPr>
        <w:pStyle w:val="NormalWeb"/>
        <w:spacing w:line="360" w:lineRule="auto"/>
        <w:rPr>
          <w:rFonts w:asciiTheme="minorBidi" w:hAnsiTheme="minorBidi"/>
          <w:shd w:val="clear" w:color="auto" w:fill="FFFFFF"/>
        </w:rPr>
        <w:sectPr w:rsidR="00821B82" w:rsidSect="00282204">
          <w:pgSz w:w="12240" w:h="15840"/>
          <w:pgMar w:top="1440" w:right="1440" w:bottom="1440" w:left="1440" w:header="720" w:footer="720" w:gutter="0"/>
          <w:cols w:space="720"/>
          <w:docGrid w:linePitch="360"/>
        </w:sectPr>
      </w:pPr>
    </w:p>
    <w:p w14:paraId="4526E3B7" w14:textId="75311B03" w:rsidR="00821B82" w:rsidRDefault="00821B82" w:rsidP="00821B82">
      <w:pPr>
        <w:pStyle w:val="Caption"/>
        <w:rPr>
          <w:rFonts w:asciiTheme="minorBidi" w:eastAsia="Times New Roman" w:hAnsiTheme="minorBidi"/>
          <w:color w:val="32363A"/>
          <w:sz w:val="24"/>
          <w:szCs w:val="24"/>
          <w:shd w:val="clear" w:color="auto" w:fill="FFFFFF"/>
        </w:rPr>
      </w:pPr>
      <w:bookmarkStart w:id="229" w:name="_Ref122825386"/>
      <w:bookmarkStart w:id="230" w:name="_Toc153894578"/>
      <w:r>
        <w:t xml:space="preserve">Table </w:t>
      </w:r>
      <w:fldSimple w:instr=" SEQ Table \* ARABIC ">
        <w:r w:rsidR="009B31EB">
          <w:rPr>
            <w:noProof/>
          </w:rPr>
          <w:t>24</w:t>
        </w:r>
      </w:fldSimple>
      <w:bookmarkEnd w:id="229"/>
      <w:r>
        <w:t xml:space="preserve">: </w:t>
      </w:r>
      <w:r w:rsidRPr="001E68FE">
        <w:t xml:space="preserve">Barriers </w:t>
      </w:r>
      <w:r>
        <w:t>to</w:t>
      </w:r>
      <w:r w:rsidRPr="001E68FE">
        <w:t xml:space="preserve"> primary care pharmacists providing clinical services to patients with diabetes</w:t>
      </w:r>
      <w:bookmarkEnd w:id="230"/>
    </w:p>
    <w:tbl>
      <w:tblPr>
        <w:tblW w:w="13883" w:type="dxa"/>
        <w:tblLayout w:type="fixed"/>
        <w:tblLook w:val="04A0" w:firstRow="1" w:lastRow="0" w:firstColumn="1" w:lastColumn="0" w:noHBand="0" w:noVBand="1"/>
      </w:tblPr>
      <w:tblGrid>
        <w:gridCol w:w="7470"/>
        <w:gridCol w:w="1170"/>
        <w:gridCol w:w="990"/>
        <w:gridCol w:w="1260"/>
        <w:gridCol w:w="810"/>
        <w:gridCol w:w="959"/>
        <w:gridCol w:w="1224"/>
      </w:tblGrid>
      <w:tr w:rsidR="00821B82" w:rsidRPr="00404587" w14:paraId="54EF26D8" w14:textId="77777777" w:rsidTr="00282204">
        <w:trPr>
          <w:cantSplit/>
          <w:trHeight w:val="340"/>
          <w:tblHeader/>
        </w:trPr>
        <w:tc>
          <w:tcPr>
            <w:tcW w:w="7470" w:type="dxa"/>
            <w:vMerge w:val="restart"/>
            <w:shd w:val="clear" w:color="000000" w:fill="F2F2F2"/>
            <w:vAlign w:val="center"/>
            <w:hideMark/>
          </w:tcPr>
          <w:p w14:paraId="7FFAB2C0" w14:textId="77777777" w:rsidR="00821B82" w:rsidRPr="00404587" w:rsidRDefault="00821B82" w:rsidP="00282204">
            <w:pPr>
              <w:spacing w:after="0" w:line="240" w:lineRule="auto"/>
              <w:rPr>
                <w:rFonts w:asciiTheme="minorBidi" w:eastAsia="Times New Roman" w:hAnsiTheme="minorBidi"/>
                <w:color w:val="4D4D4D"/>
                <w:sz w:val="18"/>
                <w:szCs w:val="18"/>
              </w:rPr>
            </w:pPr>
          </w:p>
          <w:p w14:paraId="4FA876B2" w14:textId="77777777" w:rsidR="00821B82" w:rsidRPr="00404587" w:rsidRDefault="00821B82" w:rsidP="00282204">
            <w:pPr>
              <w:spacing w:after="0" w:line="240" w:lineRule="auto"/>
              <w:rPr>
                <w:rFonts w:asciiTheme="minorBidi" w:eastAsia="Times New Roman" w:hAnsiTheme="minorBidi"/>
                <w:sz w:val="18"/>
                <w:szCs w:val="18"/>
              </w:rPr>
            </w:pPr>
            <w:r w:rsidRPr="00404587">
              <w:rPr>
                <w:rFonts w:asciiTheme="minorBidi" w:eastAsia="Times New Roman" w:hAnsiTheme="minorBidi"/>
                <w:sz w:val="18"/>
                <w:szCs w:val="18"/>
              </w:rPr>
              <w:t>Barriers to pharmacists providing clinical services to patients with diabetes</w:t>
            </w:r>
          </w:p>
          <w:p w14:paraId="0CDE69C0" w14:textId="77777777" w:rsidR="00821B82" w:rsidRPr="00404587" w:rsidRDefault="00821B82" w:rsidP="00282204">
            <w:pPr>
              <w:spacing w:after="0" w:line="240" w:lineRule="auto"/>
              <w:rPr>
                <w:rFonts w:asciiTheme="minorBidi" w:eastAsia="Times New Roman" w:hAnsiTheme="minorBidi"/>
                <w:color w:val="4D4D4D"/>
                <w:sz w:val="18"/>
                <w:szCs w:val="18"/>
              </w:rPr>
            </w:pPr>
            <w:r w:rsidRPr="00404587">
              <w:rPr>
                <w:rFonts w:asciiTheme="minorBidi" w:eastAsia="Times New Roman" w:hAnsiTheme="minorBidi"/>
                <w:color w:val="4D4D4D"/>
                <w:sz w:val="18"/>
                <w:szCs w:val="18"/>
              </w:rPr>
              <w:t> </w:t>
            </w:r>
          </w:p>
        </w:tc>
        <w:tc>
          <w:tcPr>
            <w:tcW w:w="5189" w:type="dxa"/>
            <w:gridSpan w:val="5"/>
            <w:shd w:val="clear" w:color="000000" w:fill="F2F2F2"/>
            <w:vAlign w:val="center"/>
            <w:hideMark/>
          </w:tcPr>
          <w:p w14:paraId="4B8BB17B"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Total responses=106, </w:t>
            </w:r>
            <w:r>
              <w:rPr>
                <w:rFonts w:asciiTheme="minorBidi" w:eastAsia="Times New Roman" w:hAnsiTheme="minorBidi"/>
                <w:color w:val="000000"/>
                <w:sz w:val="18"/>
                <w:szCs w:val="18"/>
              </w:rPr>
              <w:t>responses rate in</w:t>
            </w:r>
            <w:r w:rsidRPr="00404587">
              <w:rPr>
                <w:rFonts w:asciiTheme="minorBidi" w:eastAsia="Times New Roman" w:hAnsiTheme="minorBidi"/>
                <w:color w:val="000000"/>
                <w:sz w:val="18"/>
                <w:szCs w:val="18"/>
              </w:rPr>
              <w:t xml:space="preserve"> %</w:t>
            </w:r>
          </w:p>
        </w:tc>
        <w:tc>
          <w:tcPr>
            <w:tcW w:w="1224" w:type="dxa"/>
            <w:vMerge w:val="restart"/>
            <w:shd w:val="clear" w:color="000000" w:fill="F2F2F2"/>
            <w:vAlign w:val="center"/>
            <w:hideMark/>
          </w:tcPr>
          <w:p w14:paraId="4924A78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Median (IRQ)</w:t>
            </w:r>
          </w:p>
          <w:p w14:paraId="1E3AE85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r>
      <w:tr w:rsidR="00821B82" w:rsidRPr="00404587" w14:paraId="37452596" w14:textId="77777777" w:rsidTr="00282204">
        <w:trPr>
          <w:cantSplit/>
          <w:trHeight w:val="359"/>
          <w:tblHeader/>
        </w:trPr>
        <w:tc>
          <w:tcPr>
            <w:tcW w:w="7470" w:type="dxa"/>
            <w:vMerge/>
            <w:tcBorders>
              <w:bottom w:val="single" w:sz="4" w:space="0" w:color="auto"/>
            </w:tcBorders>
            <w:shd w:val="clear" w:color="000000" w:fill="F2F2F2"/>
            <w:vAlign w:val="center"/>
            <w:hideMark/>
          </w:tcPr>
          <w:p w14:paraId="75B207E1" w14:textId="77777777" w:rsidR="00821B82" w:rsidRPr="00404587" w:rsidRDefault="00821B82" w:rsidP="00282204">
            <w:pPr>
              <w:spacing w:after="0" w:line="240" w:lineRule="auto"/>
              <w:rPr>
                <w:rFonts w:asciiTheme="minorBidi" w:eastAsia="Times New Roman" w:hAnsiTheme="minorBidi"/>
                <w:color w:val="4D4D4D"/>
                <w:sz w:val="18"/>
                <w:szCs w:val="18"/>
              </w:rPr>
            </w:pPr>
          </w:p>
        </w:tc>
        <w:tc>
          <w:tcPr>
            <w:tcW w:w="1170" w:type="dxa"/>
            <w:tcBorders>
              <w:bottom w:val="single" w:sz="4" w:space="0" w:color="auto"/>
            </w:tcBorders>
            <w:shd w:val="clear" w:color="000000" w:fill="F2F2F2"/>
            <w:vAlign w:val="center"/>
            <w:hideMark/>
          </w:tcPr>
          <w:p w14:paraId="49E533A8"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Strongly disagree</w:t>
            </w:r>
          </w:p>
        </w:tc>
        <w:tc>
          <w:tcPr>
            <w:tcW w:w="990" w:type="dxa"/>
            <w:tcBorders>
              <w:bottom w:val="single" w:sz="4" w:space="0" w:color="auto"/>
            </w:tcBorders>
            <w:shd w:val="clear" w:color="000000" w:fill="F2F2F2"/>
            <w:vAlign w:val="center"/>
            <w:hideMark/>
          </w:tcPr>
          <w:p w14:paraId="78FB83AD"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Disagree</w:t>
            </w:r>
          </w:p>
        </w:tc>
        <w:tc>
          <w:tcPr>
            <w:tcW w:w="1260" w:type="dxa"/>
            <w:tcBorders>
              <w:bottom w:val="single" w:sz="4" w:space="0" w:color="auto"/>
            </w:tcBorders>
            <w:shd w:val="clear" w:color="000000" w:fill="F2F2F2"/>
            <w:vAlign w:val="center"/>
            <w:hideMark/>
          </w:tcPr>
          <w:p w14:paraId="63F7874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Neither agree nor disagree</w:t>
            </w:r>
          </w:p>
        </w:tc>
        <w:tc>
          <w:tcPr>
            <w:tcW w:w="810" w:type="dxa"/>
            <w:tcBorders>
              <w:bottom w:val="single" w:sz="4" w:space="0" w:color="auto"/>
            </w:tcBorders>
            <w:shd w:val="clear" w:color="auto" w:fill="F2F2F2" w:themeFill="background1" w:themeFillShade="F2"/>
            <w:vAlign w:val="center"/>
            <w:hideMark/>
          </w:tcPr>
          <w:p w14:paraId="2A0D52F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Agree</w:t>
            </w:r>
          </w:p>
        </w:tc>
        <w:tc>
          <w:tcPr>
            <w:tcW w:w="959" w:type="dxa"/>
            <w:tcBorders>
              <w:bottom w:val="single" w:sz="4" w:space="0" w:color="auto"/>
            </w:tcBorders>
            <w:shd w:val="clear" w:color="000000" w:fill="F2F2F2"/>
            <w:vAlign w:val="center"/>
            <w:hideMark/>
          </w:tcPr>
          <w:p w14:paraId="5C355D1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Strongly agree</w:t>
            </w:r>
          </w:p>
        </w:tc>
        <w:tc>
          <w:tcPr>
            <w:tcW w:w="1224" w:type="dxa"/>
            <w:vMerge/>
            <w:tcBorders>
              <w:bottom w:val="single" w:sz="4" w:space="0" w:color="auto"/>
            </w:tcBorders>
            <w:shd w:val="clear" w:color="000000" w:fill="F2F2F2"/>
            <w:vAlign w:val="center"/>
            <w:hideMark/>
          </w:tcPr>
          <w:p w14:paraId="0642445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r>
      <w:tr w:rsidR="00821B82" w:rsidRPr="00404587" w14:paraId="5A02AB48" w14:textId="77777777" w:rsidTr="00282204">
        <w:trPr>
          <w:trHeight w:val="459"/>
        </w:trPr>
        <w:tc>
          <w:tcPr>
            <w:tcW w:w="7470" w:type="dxa"/>
            <w:tcBorders>
              <w:top w:val="single" w:sz="4" w:space="0" w:color="auto"/>
            </w:tcBorders>
            <w:shd w:val="clear" w:color="auto" w:fill="FFFFFF" w:themeFill="background1"/>
            <w:vAlign w:val="center"/>
            <w:hideMark/>
          </w:tcPr>
          <w:p w14:paraId="72BFACC1" w14:textId="77777777" w:rsidR="00821B82" w:rsidRDefault="00821B82" w:rsidP="00282204">
            <w:pPr>
              <w:spacing w:after="0" w:line="240" w:lineRule="auto"/>
              <w:rPr>
                <w:rFonts w:asciiTheme="minorBidi" w:eastAsia="Times New Roman" w:hAnsiTheme="minorBidi"/>
                <w:b/>
                <w:bCs/>
                <w:color w:val="4D4D4D"/>
                <w:sz w:val="18"/>
                <w:szCs w:val="18"/>
              </w:rPr>
            </w:pPr>
          </w:p>
          <w:p w14:paraId="3E5349F8" w14:textId="77777777" w:rsidR="00821B82" w:rsidRPr="00404587" w:rsidRDefault="00821B82" w:rsidP="00282204">
            <w:pPr>
              <w:spacing w:after="0" w:line="240" w:lineRule="auto"/>
              <w:rPr>
                <w:rFonts w:asciiTheme="minorBidi" w:eastAsia="Times New Roman" w:hAnsiTheme="minorBidi"/>
                <w:b/>
                <w:bCs/>
                <w:color w:val="000000"/>
                <w:sz w:val="18"/>
                <w:szCs w:val="18"/>
              </w:rPr>
            </w:pPr>
            <w:r w:rsidRPr="00404587">
              <w:rPr>
                <w:rFonts w:asciiTheme="minorBidi" w:eastAsia="Times New Roman" w:hAnsiTheme="minorBidi"/>
                <w:b/>
                <w:bCs/>
                <w:color w:val="4D4D4D"/>
                <w:sz w:val="18"/>
                <w:szCs w:val="18"/>
              </w:rPr>
              <w:t>General Issues</w:t>
            </w:r>
            <w:r w:rsidRPr="00404587">
              <w:rPr>
                <w:rFonts w:asciiTheme="minorBidi" w:eastAsia="Times New Roman" w:hAnsiTheme="minorBidi"/>
                <w:b/>
                <w:bCs/>
                <w:color w:val="000000"/>
                <w:sz w:val="18"/>
                <w:szCs w:val="18"/>
              </w:rPr>
              <w:t> </w:t>
            </w:r>
          </w:p>
          <w:p w14:paraId="1C4991A1" w14:textId="77777777" w:rsidR="00821B82" w:rsidRPr="00404587" w:rsidRDefault="00821B82" w:rsidP="00282204">
            <w:pPr>
              <w:spacing w:after="0" w:line="240" w:lineRule="auto"/>
              <w:rPr>
                <w:rFonts w:asciiTheme="minorBidi" w:eastAsia="Times New Roman" w:hAnsiTheme="minorBidi"/>
                <w:b/>
                <w:bCs/>
                <w:color w:val="000000"/>
                <w:sz w:val="18"/>
                <w:szCs w:val="18"/>
              </w:rPr>
            </w:pPr>
          </w:p>
          <w:p w14:paraId="4D647B7E" w14:textId="77777777" w:rsidR="00821B82" w:rsidRPr="00404587" w:rsidRDefault="00821B82" w:rsidP="00282204">
            <w:pPr>
              <w:spacing w:after="0" w:line="240" w:lineRule="auto"/>
              <w:rPr>
                <w:rFonts w:asciiTheme="minorBidi" w:eastAsia="Times New Roman" w:hAnsiTheme="minorBidi"/>
                <w:b/>
                <w:bCs/>
                <w:color w:val="4D4D4D"/>
                <w:sz w:val="18"/>
                <w:szCs w:val="18"/>
              </w:rPr>
            </w:pPr>
          </w:p>
        </w:tc>
        <w:tc>
          <w:tcPr>
            <w:tcW w:w="1170" w:type="dxa"/>
            <w:tcBorders>
              <w:top w:val="single" w:sz="4" w:space="0" w:color="auto"/>
            </w:tcBorders>
            <w:shd w:val="clear" w:color="auto" w:fill="FFFFFF" w:themeFill="background1"/>
            <w:vAlign w:val="center"/>
            <w:hideMark/>
          </w:tcPr>
          <w:p w14:paraId="22E27ED8"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90" w:type="dxa"/>
            <w:tcBorders>
              <w:top w:val="single" w:sz="4" w:space="0" w:color="auto"/>
            </w:tcBorders>
            <w:shd w:val="clear" w:color="auto" w:fill="FFFFFF" w:themeFill="background1"/>
            <w:vAlign w:val="center"/>
            <w:hideMark/>
          </w:tcPr>
          <w:p w14:paraId="6628F7C9"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60" w:type="dxa"/>
            <w:tcBorders>
              <w:top w:val="single" w:sz="4" w:space="0" w:color="auto"/>
            </w:tcBorders>
            <w:shd w:val="clear" w:color="auto" w:fill="FFFFFF" w:themeFill="background1"/>
            <w:vAlign w:val="center"/>
            <w:hideMark/>
          </w:tcPr>
          <w:p w14:paraId="4CB6D99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810" w:type="dxa"/>
            <w:tcBorders>
              <w:top w:val="single" w:sz="4" w:space="0" w:color="auto"/>
            </w:tcBorders>
            <w:shd w:val="clear" w:color="auto" w:fill="FFFFFF" w:themeFill="background1"/>
            <w:vAlign w:val="center"/>
            <w:hideMark/>
          </w:tcPr>
          <w:p w14:paraId="1DC78F6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59" w:type="dxa"/>
            <w:tcBorders>
              <w:top w:val="single" w:sz="4" w:space="0" w:color="auto"/>
            </w:tcBorders>
            <w:shd w:val="clear" w:color="auto" w:fill="FFFFFF" w:themeFill="background1"/>
            <w:vAlign w:val="center"/>
            <w:hideMark/>
          </w:tcPr>
          <w:p w14:paraId="0BD5A982"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24" w:type="dxa"/>
            <w:tcBorders>
              <w:top w:val="single" w:sz="4" w:space="0" w:color="auto"/>
            </w:tcBorders>
            <w:shd w:val="clear" w:color="auto" w:fill="FFFFFF" w:themeFill="background1"/>
            <w:vAlign w:val="center"/>
            <w:hideMark/>
          </w:tcPr>
          <w:p w14:paraId="1ED48518"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r>
      <w:tr w:rsidR="00821B82" w:rsidRPr="00404587" w14:paraId="487F4D1B" w14:textId="77777777" w:rsidTr="00282204">
        <w:trPr>
          <w:trHeight w:val="270"/>
        </w:trPr>
        <w:tc>
          <w:tcPr>
            <w:tcW w:w="7470" w:type="dxa"/>
            <w:shd w:val="clear" w:color="auto" w:fill="auto"/>
            <w:vAlign w:val="center"/>
            <w:hideMark/>
          </w:tcPr>
          <w:p w14:paraId="3371C086"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The current primary care centre infrastructure</w:t>
            </w:r>
          </w:p>
        </w:tc>
        <w:tc>
          <w:tcPr>
            <w:tcW w:w="1170" w:type="dxa"/>
            <w:shd w:val="clear" w:color="auto" w:fill="auto"/>
            <w:vAlign w:val="center"/>
            <w:hideMark/>
          </w:tcPr>
          <w:p w14:paraId="2DF3A694"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w:t>
            </w:r>
          </w:p>
        </w:tc>
        <w:tc>
          <w:tcPr>
            <w:tcW w:w="990" w:type="dxa"/>
            <w:shd w:val="clear" w:color="auto" w:fill="auto"/>
            <w:vAlign w:val="center"/>
            <w:hideMark/>
          </w:tcPr>
          <w:p w14:paraId="774A43B2"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9</w:t>
            </w:r>
          </w:p>
        </w:tc>
        <w:tc>
          <w:tcPr>
            <w:tcW w:w="1260" w:type="dxa"/>
            <w:shd w:val="clear" w:color="auto" w:fill="auto"/>
            <w:vAlign w:val="center"/>
            <w:hideMark/>
          </w:tcPr>
          <w:p w14:paraId="7713EBE3"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22</w:t>
            </w:r>
          </w:p>
        </w:tc>
        <w:tc>
          <w:tcPr>
            <w:tcW w:w="810" w:type="dxa"/>
            <w:shd w:val="clear" w:color="auto" w:fill="auto"/>
            <w:vAlign w:val="center"/>
            <w:hideMark/>
          </w:tcPr>
          <w:p w14:paraId="524D56C7"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54</w:t>
            </w:r>
          </w:p>
        </w:tc>
        <w:tc>
          <w:tcPr>
            <w:tcW w:w="959" w:type="dxa"/>
            <w:shd w:val="clear" w:color="auto" w:fill="auto"/>
            <w:vAlign w:val="center"/>
            <w:hideMark/>
          </w:tcPr>
          <w:p w14:paraId="7C06FF1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14</w:t>
            </w:r>
          </w:p>
        </w:tc>
        <w:tc>
          <w:tcPr>
            <w:tcW w:w="1224" w:type="dxa"/>
            <w:shd w:val="clear" w:color="auto" w:fill="auto"/>
            <w:vAlign w:val="center"/>
            <w:hideMark/>
          </w:tcPr>
          <w:p w14:paraId="3375C7D0"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2ECABE19" w14:textId="77777777" w:rsidTr="00282204">
        <w:trPr>
          <w:trHeight w:val="377"/>
        </w:trPr>
        <w:tc>
          <w:tcPr>
            <w:tcW w:w="7470" w:type="dxa"/>
            <w:shd w:val="clear" w:color="auto" w:fill="auto"/>
            <w:vAlign w:val="center"/>
            <w:hideMark/>
          </w:tcPr>
          <w:p w14:paraId="56BDD6C7"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Inadequate teamwork among healthcare professionals in the primary healthcare centres </w:t>
            </w:r>
          </w:p>
        </w:tc>
        <w:tc>
          <w:tcPr>
            <w:tcW w:w="1170" w:type="dxa"/>
            <w:shd w:val="clear" w:color="auto" w:fill="auto"/>
            <w:vAlign w:val="center"/>
            <w:hideMark/>
          </w:tcPr>
          <w:p w14:paraId="4BE5858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w:t>
            </w:r>
          </w:p>
        </w:tc>
        <w:tc>
          <w:tcPr>
            <w:tcW w:w="990" w:type="dxa"/>
            <w:shd w:val="clear" w:color="auto" w:fill="auto"/>
            <w:vAlign w:val="center"/>
            <w:hideMark/>
          </w:tcPr>
          <w:p w14:paraId="3F417CB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7</w:t>
            </w:r>
          </w:p>
        </w:tc>
        <w:tc>
          <w:tcPr>
            <w:tcW w:w="1260" w:type="dxa"/>
            <w:shd w:val="clear" w:color="auto" w:fill="auto"/>
            <w:vAlign w:val="center"/>
            <w:hideMark/>
          </w:tcPr>
          <w:p w14:paraId="4E595F8D"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14</w:t>
            </w:r>
          </w:p>
        </w:tc>
        <w:tc>
          <w:tcPr>
            <w:tcW w:w="810" w:type="dxa"/>
            <w:shd w:val="clear" w:color="auto" w:fill="auto"/>
            <w:vAlign w:val="center"/>
            <w:hideMark/>
          </w:tcPr>
          <w:p w14:paraId="55B3887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60</w:t>
            </w:r>
          </w:p>
        </w:tc>
        <w:tc>
          <w:tcPr>
            <w:tcW w:w="959" w:type="dxa"/>
            <w:shd w:val="clear" w:color="auto" w:fill="auto"/>
            <w:vAlign w:val="center"/>
            <w:hideMark/>
          </w:tcPr>
          <w:p w14:paraId="63878B82"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17</w:t>
            </w:r>
          </w:p>
        </w:tc>
        <w:tc>
          <w:tcPr>
            <w:tcW w:w="1224" w:type="dxa"/>
            <w:shd w:val="clear" w:color="auto" w:fill="auto"/>
            <w:vAlign w:val="center"/>
            <w:hideMark/>
          </w:tcPr>
          <w:p w14:paraId="61FFD63D"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(4-4)</w:t>
            </w:r>
          </w:p>
        </w:tc>
      </w:tr>
      <w:tr w:rsidR="00821B82" w:rsidRPr="00404587" w14:paraId="73A072F7" w14:textId="77777777" w:rsidTr="00282204">
        <w:trPr>
          <w:trHeight w:val="368"/>
        </w:trPr>
        <w:tc>
          <w:tcPr>
            <w:tcW w:w="7470" w:type="dxa"/>
            <w:shd w:val="clear" w:color="auto" w:fill="auto"/>
            <w:vAlign w:val="center"/>
            <w:hideMark/>
          </w:tcPr>
          <w:p w14:paraId="32EB9A0D"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Resistance to change among healthcare providers </w:t>
            </w:r>
          </w:p>
        </w:tc>
        <w:tc>
          <w:tcPr>
            <w:tcW w:w="1170" w:type="dxa"/>
            <w:shd w:val="clear" w:color="auto" w:fill="auto"/>
            <w:vAlign w:val="center"/>
            <w:hideMark/>
          </w:tcPr>
          <w:p w14:paraId="1381BDD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w:t>
            </w:r>
          </w:p>
        </w:tc>
        <w:tc>
          <w:tcPr>
            <w:tcW w:w="990" w:type="dxa"/>
            <w:shd w:val="clear" w:color="auto" w:fill="auto"/>
            <w:vAlign w:val="center"/>
            <w:hideMark/>
          </w:tcPr>
          <w:p w14:paraId="735BAD4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11</w:t>
            </w:r>
          </w:p>
        </w:tc>
        <w:tc>
          <w:tcPr>
            <w:tcW w:w="1260" w:type="dxa"/>
            <w:shd w:val="clear" w:color="auto" w:fill="auto"/>
            <w:vAlign w:val="center"/>
            <w:hideMark/>
          </w:tcPr>
          <w:p w14:paraId="1F135908"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12</w:t>
            </w:r>
          </w:p>
        </w:tc>
        <w:tc>
          <w:tcPr>
            <w:tcW w:w="810" w:type="dxa"/>
            <w:shd w:val="clear" w:color="auto" w:fill="auto"/>
            <w:vAlign w:val="center"/>
            <w:hideMark/>
          </w:tcPr>
          <w:p w14:paraId="444B527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55</w:t>
            </w:r>
          </w:p>
        </w:tc>
        <w:tc>
          <w:tcPr>
            <w:tcW w:w="959" w:type="dxa"/>
            <w:shd w:val="clear" w:color="auto" w:fill="auto"/>
            <w:vAlign w:val="center"/>
            <w:hideMark/>
          </w:tcPr>
          <w:p w14:paraId="18A74872"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20</w:t>
            </w:r>
          </w:p>
        </w:tc>
        <w:tc>
          <w:tcPr>
            <w:tcW w:w="1224" w:type="dxa"/>
            <w:shd w:val="clear" w:color="auto" w:fill="auto"/>
            <w:vAlign w:val="center"/>
            <w:hideMark/>
          </w:tcPr>
          <w:p w14:paraId="6492ED24"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1AD707B4" w14:textId="77777777" w:rsidTr="00282204">
        <w:trPr>
          <w:trHeight w:val="560"/>
        </w:trPr>
        <w:tc>
          <w:tcPr>
            <w:tcW w:w="7470" w:type="dxa"/>
            <w:shd w:val="clear" w:color="auto" w:fill="FFFFFF" w:themeFill="background1"/>
            <w:vAlign w:val="center"/>
            <w:hideMark/>
          </w:tcPr>
          <w:p w14:paraId="6D67555B" w14:textId="77777777" w:rsidR="00821B82" w:rsidRPr="00404587" w:rsidRDefault="00821B82" w:rsidP="00282204">
            <w:pPr>
              <w:spacing w:after="0" w:line="240" w:lineRule="auto"/>
              <w:rPr>
                <w:rFonts w:asciiTheme="minorBidi" w:eastAsia="Times New Roman" w:hAnsiTheme="minorBidi"/>
                <w:b/>
                <w:bCs/>
                <w:color w:val="4D4D4D"/>
                <w:sz w:val="18"/>
                <w:szCs w:val="18"/>
              </w:rPr>
            </w:pPr>
            <w:r w:rsidRPr="00404587">
              <w:rPr>
                <w:rFonts w:asciiTheme="minorBidi" w:eastAsia="Times New Roman" w:hAnsiTheme="minorBidi"/>
                <w:b/>
                <w:bCs/>
                <w:color w:val="4D4D4D"/>
                <w:sz w:val="18"/>
                <w:szCs w:val="18"/>
              </w:rPr>
              <w:t xml:space="preserve">Attitudes towards Pharmacists </w:t>
            </w:r>
          </w:p>
        </w:tc>
        <w:tc>
          <w:tcPr>
            <w:tcW w:w="1170" w:type="dxa"/>
            <w:shd w:val="clear" w:color="auto" w:fill="FFFFFF" w:themeFill="background1"/>
            <w:vAlign w:val="center"/>
            <w:hideMark/>
          </w:tcPr>
          <w:p w14:paraId="304265F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90" w:type="dxa"/>
            <w:shd w:val="clear" w:color="auto" w:fill="FFFFFF" w:themeFill="background1"/>
            <w:vAlign w:val="center"/>
            <w:hideMark/>
          </w:tcPr>
          <w:p w14:paraId="7E4F845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60" w:type="dxa"/>
            <w:shd w:val="clear" w:color="auto" w:fill="FFFFFF" w:themeFill="background1"/>
            <w:vAlign w:val="center"/>
            <w:hideMark/>
          </w:tcPr>
          <w:p w14:paraId="4B94A08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810" w:type="dxa"/>
            <w:shd w:val="clear" w:color="auto" w:fill="FFFFFF" w:themeFill="background1"/>
            <w:vAlign w:val="center"/>
            <w:hideMark/>
          </w:tcPr>
          <w:p w14:paraId="1FDF0109"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59" w:type="dxa"/>
            <w:shd w:val="clear" w:color="auto" w:fill="FFFFFF" w:themeFill="background1"/>
            <w:vAlign w:val="center"/>
            <w:hideMark/>
          </w:tcPr>
          <w:p w14:paraId="49376D44"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24" w:type="dxa"/>
            <w:shd w:val="clear" w:color="auto" w:fill="FFFFFF" w:themeFill="background1"/>
            <w:vAlign w:val="center"/>
            <w:hideMark/>
          </w:tcPr>
          <w:p w14:paraId="6E67AFF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r>
      <w:tr w:rsidR="00821B82" w:rsidRPr="00404587" w14:paraId="21CBCCAF" w14:textId="77777777" w:rsidTr="00282204">
        <w:trPr>
          <w:trHeight w:val="267"/>
        </w:trPr>
        <w:tc>
          <w:tcPr>
            <w:tcW w:w="7470" w:type="dxa"/>
            <w:shd w:val="clear" w:color="auto" w:fill="auto"/>
            <w:vAlign w:val="center"/>
            <w:hideMark/>
          </w:tcPr>
          <w:p w14:paraId="464F3DDC"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Policymakers’ attitudes toward pharmacists’ role </w:t>
            </w:r>
          </w:p>
        </w:tc>
        <w:tc>
          <w:tcPr>
            <w:tcW w:w="1170" w:type="dxa"/>
            <w:shd w:val="clear" w:color="auto" w:fill="auto"/>
            <w:vAlign w:val="center"/>
            <w:hideMark/>
          </w:tcPr>
          <w:p w14:paraId="690506F9"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w:t>
            </w:r>
          </w:p>
        </w:tc>
        <w:tc>
          <w:tcPr>
            <w:tcW w:w="990" w:type="dxa"/>
            <w:shd w:val="clear" w:color="auto" w:fill="auto"/>
            <w:vAlign w:val="center"/>
            <w:hideMark/>
          </w:tcPr>
          <w:p w14:paraId="00E96770"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9</w:t>
            </w:r>
          </w:p>
        </w:tc>
        <w:tc>
          <w:tcPr>
            <w:tcW w:w="1260" w:type="dxa"/>
            <w:shd w:val="clear" w:color="auto" w:fill="auto"/>
            <w:vAlign w:val="center"/>
            <w:hideMark/>
          </w:tcPr>
          <w:p w14:paraId="1531D329"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25</w:t>
            </w:r>
          </w:p>
        </w:tc>
        <w:tc>
          <w:tcPr>
            <w:tcW w:w="810" w:type="dxa"/>
            <w:shd w:val="clear" w:color="auto" w:fill="auto"/>
            <w:vAlign w:val="center"/>
            <w:hideMark/>
          </w:tcPr>
          <w:p w14:paraId="337E8A7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48</w:t>
            </w:r>
          </w:p>
        </w:tc>
        <w:tc>
          <w:tcPr>
            <w:tcW w:w="959" w:type="dxa"/>
            <w:shd w:val="clear" w:color="auto" w:fill="auto"/>
            <w:vAlign w:val="center"/>
            <w:hideMark/>
          </w:tcPr>
          <w:p w14:paraId="1892A98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17</w:t>
            </w:r>
          </w:p>
        </w:tc>
        <w:tc>
          <w:tcPr>
            <w:tcW w:w="1224" w:type="dxa"/>
            <w:shd w:val="clear" w:color="auto" w:fill="auto"/>
            <w:vAlign w:val="center"/>
            <w:hideMark/>
          </w:tcPr>
          <w:p w14:paraId="4D7F256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7EB637CC" w14:textId="77777777" w:rsidTr="00282204">
        <w:trPr>
          <w:trHeight w:val="368"/>
        </w:trPr>
        <w:tc>
          <w:tcPr>
            <w:tcW w:w="7470" w:type="dxa"/>
            <w:shd w:val="clear" w:color="auto" w:fill="auto"/>
            <w:vAlign w:val="center"/>
            <w:hideMark/>
          </w:tcPr>
          <w:p w14:paraId="22781DF5"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Managers’ attitudes toward pharmacists’ role </w:t>
            </w:r>
          </w:p>
        </w:tc>
        <w:tc>
          <w:tcPr>
            <w:tcW w:w="1170" w:type="dxa"/>
            <w:shd w:val="clear" w:color="auto" w:fill="auto"/>
            <w:vAlign w:val="center"/>
            <w:hideMark/>
          </w:tcPr>
          <w:p w14:paraId="7522054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3</w:t>
            </w:r>
          </w:p>
        </w:tc>
        <w:tc>
          <w:tcPr>
            <w:tcW w:w="990" w:type="dxa"/>
            <w:shd w:val="clear" w:color="auto" w:fill="auto"/>
            <w:vAlign w:val="center"/>
            <w:hideMark/>
          </w:tcPr>
          <w:p w14:paraId="3532A894"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12</w:t>
            </w:r>
          </w:p>
        </w:tc>
        <w:tc>
          <w:tcPr>
            <w:tcW w:w="1260" w:type="dxa"/>
            <w:shd w:val="clear" w:color="auto" w:fill="auto"/>
            <w:vAlign w:val="center"/>
            <w:hideMark/>
          </w:tcPr>
          <w:p w14:paraId="7379F96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18</w:t>
            </w:r>
          </w:p>
        </w:tc>
        <w:tc>
          <w:tcPr>
            <w:tcW w:w="810" w:type="dxa"/>
            <w:shd w:val="clear" w:color="auto" w:fill="auto"/>
            <w:vAlign w:val="center"/>
            <w:hideMark/>
          </w:tcPr>
          <w:p w14:paraId="2962A543"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54</w:t>
            </w:r>
          </w:p>
        </w:tc>
        <w:tc>
          <w:tcPr>
            <w:tcW w:w="959" w:type="dxa"/>
            <w:shd w:val="clear" w:color="auto" w:fill="auto"/>
            <w:vAlign w:val="center"/>
            <w:hideMark/>
          </w:tcPr>
          <w:p w14:paraId="486ACD1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13</w:t>
            </w:r>
          </w:p>
        </w:tc>
        <w:tc>
          <w:tcPr>
            <w:tcW w:w="1224" w:type="dxa"/>
            <w:shd w:val="clear" w:color="auto" w:fill="auto"/>
            <w:vAlign w:val="center"/>
            <w:hideMark/>
          </w:tcPr>
          <w:p w14:paraId="444AA55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71B786C7" w14:textId="77777777" w:rsidTr="00282204">
        <w:trPr>
          <w:trHeight w:val="306"/>
        </w:trPr>
        <w:tc>
          <w:tcPr>
            <w:tcW w:w="7470" w:type="dxa"/>
            <w:shd w:val="clear" w:color="auto" w:fill="auto"/>
            <w:vAlign w:val="center"/>
            <w:hideMark/>
          </w:tcPr>
          <w:p w14:paraId="2F877F9A"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Patients' attitudes toward pharmacists’ role </w:t>
            </w:r>
          </w:p>
        </w:tc>
        <w:tc>
          <w:tcPr>
            <w:tcW w:w="1170" w:type="dxa"/>
            <w:shd w:val="clear" w:color="auto" w:fill="auto"/>
            <w:vAlign w:val="center"/>
            <w:hideMark/>
          </w:tcPr>
          <w:p w14:paraId="7C36FF6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w:t>
            </w:r>
          </w:p>
        </w:tc>
        <w:tc>
          <w:tcPr>
            <w:tcW w:w="990" w:type="dxa"/>
            <w:shd w:val="clear" w:color="auto" w:fill="auto"/>
            <w:vAlign w:val="center"/>
            <w:hideMark/>
          </w:tcPr>
          <w:p w14:paraId="64F0DEB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21</w:t>
            </w:r>
          </w:p>
        </w:tc>
        <w:tc>
          <w:tcPr>
            <w:tcW w:w="1260" w:type="dxa"/>
            <w:shd w:val="clear" w:color="auto" w:fill="auto"/>
            <w:vAlign w:val="center"/>
            <w:hideMark/>
          </w:tcPr>
          <w:p w14:paraId="079C293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16</w:t>
            </w:r>
          </w:p>
        </w:tc>
        <w:tc>
          <w:tcPr>
            <w:tcW w:w="810" w:type="dxa"/>
            <w:shd w:val="clear" w:color="auto" w:fill="auto"/>
            <w:vAlign w:val="center"/>
            <w:hideMark/>
          </w:tcPr>
          <w:p w14:paraId="0CE5A83B"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51</w:t>
            </w:r>
          </w:p>
        </w:tc>
        <w:tc>
          <w:tcPr>
            <w:tcW w:w="959" w:type="dxa"/>
            <w:shd w:val="clear" w:color="auto" w:fill="auto"/>
            <w:vAlign w:val="center"/>
            <w:hideMark/>
          </w:tcPr>
          <w:p w14:paraId="617387F8"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7</w:t>
            </w:r>
          </w:p>
        </w:tc>
        <w:tc>
          <w:tcPr>
            <w:tcW w:w="1224" w:type="dxa"/>
            <w:shd w:val="clear" w:color="auto" w:fill="auto"/>
            <w:vAlign w:val="center"/>
            <w:hideMark/>
          </w:tcPr>
          <w:p w14:paraId="28341933"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(2-4)</w:t>
            </w:r>
          </w:p>
        </w:tc>
      </w:tr>
      <w:tr w:rsidR="00821B82" w:rsidRPr="00404587" w14:paraId="6DB954AF" w14:textId="77777777" w:rsidTr="00282204">
        <w:trPr>
          <w:trHeight w:val="368"/>
        </w:trPr>
        <w:tc>
          <w:tcPr>
            <w:tcW w:w="7470" w:type="dxa"/>
            <w:shd w:val="clear" w:color="auto" w:fill="auto"/>
            <w:vAlign w:val="center"/>
            <w:hideMark/>
          </w:tcPr>
          <w:p w14:paraId="28BA648C"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Lack of healthcare professionals’ confidence in pharmacists’ abilities</w:t>
            </w:r>
          </w:p>
        </w:tc>
        <w:tc>
          <w:tcPr>
            <w:tcW w:w="1170" w:type="dxa"/>
            <w:shd w:val="clear" w:color="auto" w:fill="auto"/>
            <w:vAlign w:val="center"/>
            <w:hideMark/>
          </w:tcPr>
          <w:p w14:paraId="11B02A33"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w:t>
            </w:r>
          </w:p>
        </w:tc>
        <w:tc>
          <w:tcPr>
            <w:tcW w:w="990" w:type="dxa"/>
            <w:shd w:val="clear" w:color="auto" w:fill="auto"/>
            <w:vAlign w:val="center"/>
            <w:hideMark/>
          </w:tcPr>
          <w:p w14:paraId="2E4FAA1D"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13</w:t>
            </w:r>
          </w:p>
        </w:tc>
        <w:tc>
          <w:tcPr>
            <w:tcW w:w="1260" w:type="dxa"/>
            <w:shd w:val="clear" w:color="auto" w:fill="auto"/>
            <w:vAlign w:val="center"/>
            <w:hideMark/>
          </w:tcPr>
          <w:p w14:paraId="413DEE3B"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22</w:t>
            </w:r>
          </w:p>
        </w:tc>
        <w:tc>
          <w:tcPr>
            <w:tcW w:w="810" w:type="dxa"/>
            <w:shd w:val="clear" w:color="auto" w:fill="auto"/>
            <w:vAlign w:val="center"/>
            <w:hideMark/>
          </w:tcPr>
          <w:p w14:paraId="7FE9232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50</w:t>
            </w:r>
          </w:p>
        </w:tc>
        <w:tc>
          <w:tcPr>
            <w:tcW w:w="959" w:type="dxa"/>
            <w:shd w:val="clear" w:color="auto" w:fill="auto"/>
            <w:vAlign w:val="center"/>
            <w:hideMark/>
          </w:tcPr>
          <w:p w14:paraId="2DF66137"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11</w:t>
            </w:r>
          </w:p>
        </w:tc>
        <w:tc>
          <w:tcPr>
            <w:tcW w:w="1224" w:type="dxa"/>
            <w:shd w:val="clear" w:color="auto" w:fill="auto"/>
            <w:vAlign w:val="center"/>
            <w:hideMark/>
          </w:tcPr>
          <w:p w14:paraId="5FFC50E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64AFA0CB" w14:textId="77777777" w:rsidTr="00282204">
        <w:trPr>
          <w:trHeight w:val="368"/>
        </w:trPr>
        <w:tc>
          <w:tcPr>
            <w:tcW w:w="7470" w:type="dxa"/>
            <w:shd w:val="clear" w:color="auto" w:fill="FFFFFF" w:themeFill="background1"/>
            <w:vAlign w:val="center"/>
            <w:hideMark/>
          </w:tcPr>
          <w:p w14:paraId="79F2AD70" w14:textId="77777777" w:rsidR="00821B82" w:rsidRPr="00404587" w:rsidRDefault="00821B82" w:rsidP="00282204">
            <w:pPr>
              <w:spacing w:after="0" w:line="240" w:lineRule="auto"/>
              <w:rPr>
                <w:rFonts w:asciiTheme="minorBidi" w:eastAsia="Times New Roman" w:hAnsiTheme="minorBidi"/>
                <w:b/>
                <w:bCs/>
                <w:color w:val="4D4D4D"/>
                <w:sz w:val="18"/>
                <w:szCs w:val="18"/>
              </w:rPr>
            </w:pPr>
            <w:r w:rsidRPr="00404587">
              <w:rPr>
                <w:rFonts w:asciiTheme="minorBidi" w:eastAsia="Times New Roman" w:hAnsiTheme="minorBidi"/>
                <w:b/>
                <w:bCs/>
                <w:color w:val="4D4D4D"/>
                <w:sz w:val="18"/>
                <w:szCs w:val="18"/>
              </w:rPr>
              <w:t>Pharmacist Attributes</w:t>
            </w:r>
          </w:p>
        </w:tc>
        <w:tc>
          <w:tcPr>
            <w:tcW w:w="1170" w:type="dxa"/>
            <w:shd w:val="clear" w:color="auto" w:fill="FFFFFF" w:themeFill="background1"/>
            <w:vAlign w:val="center"/>
            <w:hideMark/>
          </w:tcPr>
          <w:p w14:paraId="6DF4A93B"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90" w:type="dxa"/>
            <w:shd w:val="clear" w:color="auto" w:fill="FFFFFF" w:themeFill="background1"/>
            <w:vAlign w:val="center"/>
            <w:hideMark/>
          </w:tcPr>
          <w:p w14:paraId="5E0D2CE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60" w:type="dxa"/>
            <w:shd w:val="clear" w:color="auto" w:fill="FFFFFF" w:themeFill="background1"/>
            <w:vAlign w:val="center"/>
            <w:hideMark/>
          </w:tcPr>
          <w:p w14:paraId="3A80661F" w14:textId="77777777" w:rsidR="00821B82" w:rsidRPr="00404587" w:rsidRDefault="00821B82" w:rsidP="00282204">
            <w:pPr>
              <w:spacing w:after="0" w:line="240" w:lineRule="auto"/>
              <w:jc w:val="center"/>
              <w:rPr>
                <w:rFonts w:asciiTheme="minorBidi" w:eastAsia="Times New Roman" w:hAnsiTheme="minorBidi"/>
                <w:color w:val="4D4D4D"/>
                <w:sz w:val="18"/>
                <w:szCs w:val="18"/>
              </w:rPr>
            </w:pPr>
          </w:p>
        </w:tc>
        <w:tc>
          <w:tcPr>
            <w:tcW w:w="810" w:type="dxa"/>
            <w:shd w:val="clear" w:color="auto" w:fill="FFFFFF" w:themeFill="background1"/>
            <w:vAlign w:val="center"/>
            <w:hideMark/>
          </w:tcPr>
          <w:p w14:paraId="6ADA82A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59" w:type="dxa"/>
            <w:shd w:val="clear" w:color="auto" w:fill="FFFFFF" w:themeFill="background1"/>
            <w:vAlign w:val="center"/>
            <w:hideMark/>
          </w:tcPr>
          <w:p w14:paraId="5BD46218"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24" w:type="dxa"/>
            <w:shd w:val="clear" w:color="auto" w:fill="FFFFFF" w:themeFill="background1"/>
            <w:vAlign w:val="center"/>
            <w:hideMark/>
          </w:tcPr>
          <w:p w14:paraId="7DC4098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r>
      <w:tr w:rsidR="00821B82" w:rsidRPr="00404587" w14:paraId="4D1A9CB3" w14:textId="77777777" w:rsidTr="00282204">
        <w:trPr>
          <w:trHeight w:val="368"/>
        </w:trPr>
        <w:tc>
          <w:tcPr>
            <w:tcW w:w="7470" w:type="dxa"/>
            <w:shd w:val="clear" w:color="auto" w:fill="FFFFFF" w:themeFill="background1"/>
            <w:vAlign w:val="center"/>
            <w:hideMark/>
          </w:tcPr>
          <w:p w14:paraId="40B870AD" w14:textId="77777777" w:rsidR="00821B82" w:rsidRPr="00404587" w:rsidRDefault="00821B82" w:rsidP="00282204">
            <w:pPr>
              <w:spacing w:after="0" w:line="240" w:lineRule="auto"/>
              <w:rPr>
                <w:rFonts w:asciiTheme="minorBidi" w:eastAsia="Times New Roman" w:hAnsiTheme="minorBidi"/>
                <w:b/>
                <w:bCs/>
                <w:color w:val="4D4D4D"/>
                <w:sz w:val="18"/>
                <w:szCs w:val="18"/>
              </w:rPr>
            </w:pPr>
            <w:r w:rsidRPr="00404587">
              <w:rPr>
                <w:rFonts w:asciiTheme="minorBidi" w:eastAsia="Times New Roman" w:hAnsiTheme="minorBidi"/>
                <w:b/>
                <w:bCs/>
                <w:color w:val="4D4D4D"/>
                <w:sz w:val="18"/>
                <w:szCs w:val="18"/>
              </w:rPr>
              <w:t xml:space="preserve">1.      Skill/Knowledge-based </w:t>
            </w:r>
          </w:p>
        </w:tc>
        <w:tc>
          <w:tcPr>
            <w:tcW w:w="1170" w:type="dxa"/>
            <w:shd w:val="clear" w:color="auto" w:fill="FFFFFF" w:themeFill="background1"/>
            <w:vAlign w:val="center"/>
            <w:hideMark/>
          </w:tcPr>
          <w:p w14:paraId="7EC76A0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90" w:type="dxa"/>
            <w:shd w:val="clear" w:color="auto" w:fill="FFFFFF" w:themeFill="background1"/>
            <w:vAlign w:val="center"/>
            <w:hideMark/>
          </w:tcPr>
          <w:p w14:paraId="433B4577"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60" w:type="dxa"/>
            <w:shd w:val="clear" w:color="auto" w:fill="FFFFFF" w:themeFill="background1"/>
            <w:vAlign w:val="center"/>
            <w:hideMark/>
          </w:tcPr>
          <w:p w14:paraId="53E4C59D" w14:textId="77777777" w:rsidR="00821B82" w:rsidRPr="00404587" w:rsidRDefault="00821B82" w:rsidP="00282204">
            <w:pPr>
              <w:spacing w:after="0" w:line="240" w:lineRule="auto"/>
              <w:jc w:val="center"/>
              <w:rPr>
                <w:rFonts w:asciiTheme="minorBidi" w:eastAsia="Times New Roman" w:hAnsiTheme="minorBidi"/>
                <w:color w:val="4D4D4D"/>
                <w:sz w:val="18"/>
                <w:szCs w:val="18"/>
              </w:rPr>
            </w:pPr>
          </w:p>
        </w:tc>
        <w:tc>
          <w:tcPr>
            <w:tcW w:w="810" w:type="dxa"/>
            <w:shd w:val="clear" w:color="auto" w:fill="FFFFFF" w:themeFill="background1"/>
            <w:vAlign w:val="center"/>
            <w:hideMark/>
          </w:tcPr>
          <w:p w14:paraId="0A7DFAA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59" w:type="dxa"/>
            <w:shd w:val="clear" w:color="auto" w:fill="FFFFFF" w:themeFill="background1"/>
            <w:vAlign w:val="center"/>
            <w:hideMark/>
          </w:tcPr>
          <w:p w14:paraId="1E0540EB"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24" w:type="dxa"/>
            <w:shd w:val="clear" w:color="auto" w:fill="FFFFFF" w:themeFill="background1"/>
            <w:vAlign w:val="center"/>
            <w:hideMark/>
          </w:tcPr>
          <w:p w14:paraId="4A983AF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r>
      <w:tr w:rsidR="00821B82" w:rsidRPr="00404587" w14:paraId="6D15D1C9" w14:textId="77777777" w:rsidTr="00282204">
        <w:trPr>
          <w:trHeight w:val="252"/>
        </w:trPr>
        <w:tc>
          <w:tcPr>
            <w:tcW w:w="7470" w:type="dxa"/>
            <w:shd w:val="clear" w:color="auto" w:fill="auto"/>
            <w:vAlign w:val="center"/>
            <w:hideMark/>
          </w:tcPr>
          <w:p w14:paraId="10FA54C0"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Lack of clinical education of pharmacists </w:t>
            </w:r>
          </w:p>
        </w:tc>
        <w:tc>
          <w:tcPr>
            <w:tcW w:w="1170" w:type="dxa"/>
            <w:shd w:val="clear" w:color="auto" w:fill="auto"/>
            <w:vAlign w:val="center"/>
            <w:hideMark/>
          </w:tcPr>
          <w:p w14:paraId="6E91F56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3</w:t>
            </w:r>
          </w:p>
        </w:tc>
        <w:tc>
          <w:tcPr>
            <w:tcW w:w="990" w:type="dxa"/>
            <w:shd w:val="clear" w:color="auto" w:fill="auto"/>
            <w:vAlign w:val="center"/>
            <w:hideMark/>
          </w:tcPr>
          <w:p w14:paraId="70817930"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7</w:t>
            </w:r>
          </w:p>
        </w:tc>
        <w:tc>
          <w:tcPr>
            <w:tcW w:w="1260" w:type="dxa"/>
            <w:shd w:val="clear" w:color="auto" w:fill="auto"/>
            <w:vAlign w:val="center"/>
            <w:hideMark/>
          </w:tcPr>
          <w:p w14:paraId="32132CE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15</w:t>
            </w:r>
          </w:p>
        </w:tc>
        <w:tc>
          <w:tcPr>
            <w:tcW w:w="810" w:type="dxa"/>
            <w:shd w:val="clear" w:color="auto" w:fill="auto"/>
            <w:vAlign w:val="center"/>
            <w:hideMark/>
          </w:tcPr>
          <w:p w14:paraId="24AFA877"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62</w:t>
            </w:r>
          </w:p>
        </w:tc>
        <w:tc>
          <w:tcPr>
            <w:tcW w:w="959" w:type="dxa"/>
            <w:shd w:val="clear" w:color="auto" w:fill="auto"/>
            <w:vAlign w:val="center"/>
            <w:hideMark/>
          </w:tcPr>
          <w:p w14:paraId="01DE9654"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13</w:t>
            </w:r>
          </w:p>
        </w:tc>
        <w:tc>
          <w:tcPr>
            <w:tcW w:w="1224" w:type="dxa"/>
            <w:shd w:val="clear" w:color="auto" w:fill="auto"/>
            <w:vAlign w:val="center"/>
            <w:hideMark/>
          </w:tcPr>
          <w:p w14:paraId="5339D7B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(3.75-4)</w:t>
            </w:r>
          </w:p>
        </w:tc>
      </w:tr>
      <w:tr w:rsidR="00821B82" w:rsidRPr="00404587" w14:paraId="5F70F3E7" w14:textId="77777777" w:rsidTr="00282204">
        <w:trPr>
          <w:trHeight w:val="370"/>
        </w:trPr>
        <w:tc>
          <w:tcPr>
            <w:tcW w:w="7470" w:type="dxa"/>
            <w:shd w:val="clear" w:color="auto" w:fill="auto"/>
            <w:vAlign w:val="center"/>
            <w:hideMark/>
          </w:tcPr>
          <w:p w14:paraId="791E0D58"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Lack of clinical experience of pharmacists </w:t>
            </w:r>
          </w:p>
        </w:tc>
        <w:tc>
          <w:tcPr>
            <w:tcW w:w="1170" w:type="dxa"/>
            <w:shd w:val="clear" w:color="auto" w:fill="auto"/>
            <w:vAlign w:val="center"/>
            <w:hideMark/>
          </w:tcPr>
          <w:p w14:paraId="10F2D698"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3</w:t>
            </w:r>
          </w:p>
        </w:tc>
        <w:tc>
          <w:tcPr>
            <w:tcW w:w="990" w:type="dxa"/>
            <w:shd w:val="clear" w:color="auto" w:fill="auto"/>
            <w:vAlign w:val="center"/>
            <w:hideMark/>
          </w:tcPr>
          <w:p w14:paraId="4F1F2EC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5</w:t>
            </w:r>
          </w:p>
        </w:tc>
        <w:tc>
          <w:tcPr>
            <w:tcW w:w="1260" w:type="dxa"/>
            <w:shd w:val="clear" w:color="auto" w:fill="auto"/>
            <w:vAlign w:val="center"/>
            <w:hideMark/>
          </w:tcPr>
          <w:p w14:paraId="7A536767"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9</w:t>
            </w:r>
          </w:p>
        </w:tc>
        <w:tc>
          <w:tcPr>
            <w:tcW w:w="810" w:type="dxa"/>
            <w:shd w:val="clear" w:color="auto" w:fill="auto"/>
            <w:vAlign w:val="center"/>
            <w:hideMark/>
          </w:tcPr>
          <w:p w14:paraId="6CB2E110"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65</w:t>
            </w:r>
          </w:p>
        </w:tc>
        <w:tc>
          <w:tcPr>
            <w:tcW w:w="959" w:type="dxa"/>
            <w:shd w:val="clear" w:color="auto" w:fill="auto"/>
            <w:vAlign w:val="center"/>
            <w:hideMark/>
          </w:tcPr>
          <w:p w14:paraId="25710C63"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18</w:t>
            </w:r>
          </w:p>
        </w:tc>
        <w:tc>
          <w:tcPr>
            <w:tcW w:w="1224" w:type="dxa"/>
            <w:shd w:val="clear" w:color="auto" w:fill="auto"/>
            <w:vAlign w:val="center"/>
            <w:hideMark/>
          </w:tcPr>
          <w:p w14:paraId="7CF5094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(4-4)</w:t>
            </w:r>
          </w:p>
        </w:tc>
      </w:tr>
      <w:tr w:rsidR="00821B82" w:rsidRPr="00404587" w14:paraId="27F04019" w14:textId="77777777" w:rsidTr="00282204">
        <w:trPr>
          <w:trHeight w:val="138"/>
        </w:trPr>
        <w:tc>
          <w:tcPr>
            <w:tcW w:w="7470" w:type="dxa"/>
            <w:shd w:val="clear" w:color="auto" w:fill="auto"/>
            <w:vAlign w:val="center"/>
            <w:hideMark/>
          </w:tcPr>
          <w:p w14:paraId="0B49D756"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Lack of communication skills of pharmacists </w:t>
            </w:r>
          </w:p>
        </w:tc>
        <w:tc>
          <w:tcPr>
            <w:tcW w:w="1170" w:type="dxa"/>
            <w:shd w:val="clear" w:color="auto" w:fill="auto"/>
            <w:vAlign w:val="center"/>
            <w:hideMark/>
          </w:tcPr>
          <w:p w14:paraId="2AD6BFBB"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w:t>
            </w:r>
          </w:p>
        </w:tc>
        <w:tc>
          <w:tcPr>
            <w:tcW w:w="990" w:type="dxa"/>
            <w:shd w:val="clear" w:color="auto" w:fill="auto"/>
            <w:vAlign w:val="center"/>
            <w:hideMark/>
          </w:tcPr>
          <w:p w14:paraId="0B86395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16</w:t>
            </w:r>
          </w:p>
        </w:tc>
        <w:tc>
          <w:tcPr>
            <w:tcW w:w="1260" w:type="dxa"/>
            <w:shd w:val="clear" w:color="auto" w:fill="auto"/>
            <w:vAlign w:val="center"/>
            <w:hideMark/>
          </w:tcPr>
          <w:p w14:paraId="375247E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17</w:t>
            </w:r>
          </w:p>
        </w:tc>
        <w:tc>
          <w:tcPr>
            <w:tcW w:w="810" w:type="dxa"/>
            <w:shd w:val="clear" w:color="auto" w:fill="auto"/>
            <w:vAlign w:val="center"/>
            <w:hideMark/>
          </w:tcPr>
          <w:p w14:paraId="6A9D0A1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51</w:t>
            </w:r>
          </w:p>
        </w:tc>
        <w:tc>
          <w:tcPr>
            <w:tcW w:w="959" w:type="dxa"/>
            <w:shd w:val="clear" w:color="auto" w:fill="auto"/>
            <w:vAlign w:val="center"/>
            <w:hideMark/>
          </w:tcPr>
          <w:p w14:paraId="2599BFE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12</w:t>
            </w:r>
          </w:p>
        </w:tc>
        <w:tc>
          <w:tcPr>
            <w:tcW w:w="1224" w:type="dxa"/>
            <w:shd w:val="clear" w:color="auto" w:fill="auto"/>
            <w:vAlign w:val="center"/>
            <w:hideMark/>
          </w:tcPr>
          <w:p w14:paraId="16647BDB"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38965B47" w14:textId="77777777" w:rsidTr="00282204">
        <w:trPr>
          <w:trHeight w:val="405"/>
        </w:trPr>
        <w:tc>
          <w:tcPr>
            <w:tcW w:w="7470" w:type="dxa"/>
            <w:shd w:val="clear" w:color="auto" w:fill="auto"/>
            <w:vAlign w:val="center"/>
            <w:hideMark/>
          </w:tcPr>
          <w:p w14:paraId="46D7DA1F"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Lack of confidence of pharmacists in themselves and their ability </w:t>
            </w:r>
          </w:p>
        </w:tc>
        <w:tc>
          <w:tcPr>
            <w:tcW w:w="1170" w:type="dxa"/>
            <w:shd w:val="clear" w:color="auto" w:fill="auto"/>
            <w:vAlign w:val="center"/>
            <w:hideMark/>
          </w:tcPr>
          <w:p w14:paraId="61D7A55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w:t>
            </w:r>
          </w:p>
        </w:tc>
        <w:tc>
          <w:tcPr>
            <w:tcW w:w="990" w:type="dxa"/>
            <w:shd w:val="clear" w:color="auto" w:fill="auto"/>
            <w:vAlign w:val="center"/>
            <w:hideMark/>
          </w:tcPr>
          <w:p w14:paraId="28EEB86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11</w:t>
            </w:r>
          </w:p>
        </w:tc>
        <w:tc>
          <w:tcPr>
            <w:tcW w:w="1260" w:type="dxa"/>
            <w:shd w:val="clear" w:color="auto" w:fill="auto"/>
            <w:vAlign w:val="center"/>
            <w:hideMark/>
          </w:tcPr>
          <w:p w14:paraId="6925DB74"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20</w:t>
            </w:r>
          </w:p>
        </w:tc>
        <w:tc>
          <w:tcPr>
            <w:tcW w:w="810" w:type="dxa"/>
            <w:shd w:val="clear" w:color="auto" w:fill="auto"/>
            <w:vAlign w:val="center"/>
            <w:hideMark/>
          </w:tcPr>
          <w:p w14:paraId="6C60D14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52</w:t>
            </w:r>
          </w:p>
        </w:tc>
        <w:tc>
          <w:tcPr>
            <w:tcW w:w="959" w:type="dxa"/>
            <w:shd w:val="clear" w:color="auto" w:fill="auto"/>
            <w:vAlign w:val="center"/>
            <w:hideMark/>
          </w:tcPr>
          <w:p w14:paraId="594945F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11</w:t>
            </w:r>
          </w:p>
        </w:tc>
        <w:tc>
          <w:tcPr>
            <w:tcW w:w="1224" w:type="dxa"/>
            <w:shd w:val="clear" w:color="auto" w:fill="auto"/>
            <w:vAlign w:val="center"/>
            <w:hideMark/>
          </w:tcPr>
          <w:p w14:paraId="6B0EF9E9"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57B641E3" w14:textId="77777777" w:rsidTr="00282204">
        <w:trPr>
          <w:trHeight w:val="202"/>
        </w:trPr>
        <w:tc>
          <w:tcPr>
            <w:tcW w:w="7470" w:type="dxa"/>
            <w:shd w:val="clear" w:color="auto" w:fill="auto"/>
            <w:vAlign w:val="center"/>
            <w:hideMark/>
          </w:tcPr>
          <w:p w14:paraId="7B38818A"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Pharmacist willingness to take on new roles </w:t>
            </w:r>
          </w:p>
        </w:tc>
        <w:tc>
          <w:tcPr>
            <w:tcW w:w="1170" w:type="dxa"/>
            <w:shd w:val="clear" w:color="auto" w:fill="auto"/>
            <w:vAlign w:val="center"/>
            <w:hideMark/>
          </w:tcPr>
          <w:p w14:paraId="41CE87A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3</w:t>
            </w:r>
          </w:p>
        </w:tc>
        <w:tc>
          <w:tcPr>
            <w:tcW w:w="990" w:type="dxa"/>
            <w:shd w:val="clear" w:color="auto" w:fill="auto"/>
            <w:vAlign w:val="center"/>
            <w:hideMark/>
          </w:tcPr>
          <w:p w14:paraId="2B375A67"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11</w:t>
            </w:r>
          </w:p>
        </w:tc>
        <w:tc>
          <w:tcPr>
            <w:tcW w:w="1260" w:type="dxa"/>
            <w:shd w:val="clear" w:color="auto" w:fill="auto"/>
            <w:vAlign w:val="center"/>
            <w:hideMark/>
          </w:tcPr>
          <w:p w14:paraId="0593EC80"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24</w:t>
            </w:r>
          </w:p>
        </w:tc>
        <w:tc>
          <w:tcPr>
            <w:tcW w:w="810" w:type="dxa"/>
            <w:shd w:val="clear" w:color="auto" w:fill="auto"/>
            <w:vAlign w:val="center"/>
            <w:hideMark/>
          </w:tcPr>
          <w:p w14:paraId="16E49E2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51</w:t>
            </w:r>
          </w:p>
        </w:tc>
        <w:tc>
          <w:tcPr>
            <w:tcW w:w="959" w:type="dxa"/>
            <w:shd w:val="clear" w:color="auto" w:fill="auto"/>
            <w:vAlign w:val="center"/>
            <w:hideMark/>
          </w:tcPr>
          <w:p w14:paraId="5B93113B"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11</w:t>
            </w:r>
          </w:p>
        </w:tc>
        <w:tc>
          <w:tcPr>
            <w:tcW w:w="1224" w:type="dxa"/>
            <w:shd w:val="clear" w:color="auto" w:fill="auto"/>
            <w:vAlign w:val="center"/>
            <w:hideMark/>
          </w:tcPr>
          <w:p w14:paraId="3408FBF2"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29EEB91F" w14:textId="77777777" w:rsidTr="00282204">
        <w:trPr>
          <w:trHeight w:val="443"/>
        </w:trPr>
        <w:tc>
          <w:tcPr>
            <w:tcW w:w="7470" w:type="dxa"/>
            <w:shd w:val="clear" w:color="auto" w:fill="FFFFFF" w:themeFill="background1"/>
            <w:vAlign w:val="center"/>
            <w:hideMark/>
          </w:tcPr>
          <w:p w14:paraId="060A8C8B" w14:textId="77777777" w:rsidR="00821B82" w:rsidRPr="00404587" w:rsidRDefault="00821B82" w:rsidP="00282204">
            <w:pPr>
              <w:spacing w:after="0" w:line="240" w:lineRule="auto"/>
              <w:rPr>
                <w:rFonts w:asciiTheme="minorBidi" w:eastAsia="Times New Roman" w:hAnsiTheme="minorBidi"/>
                <w:b/>
                <w:bCs/>
                <w:color w:val="4D4D4D"/>
                <w:sz w:val="18"/>
                <w:szCs w:val="18"/>
              </w:rPr>
            </w:pPr>
            <w:r w:rsidRPr="00404587">
              <w:rPr>
                <w:rFonts w:asciiTheme="minorBidi" w:eastAsia="Times New Roman" w:hAnsiTheme="minorBidi"/>
                <w:b/>
                <w:bCs/>
                <w:color w:val="4D4D4D"/>
                <w:sz w:val="18"/>
                <w:szCs w:val="18"/>
              </w:rPr>
              <w:t xml:space="preserve">2.      Workforce based </w:t>
            </w:r>
          </w:p>
        </w:tc>
        <w:tc>
          <w:tcPr>
            <w:tcW w:w="1170" w:type="dxa"/>
            <w:shd w:val="clear" w:color="auto" w:fill="FFFFFF" w:themeFill="background1"/>
            <w:vAlign w:val="center"/>
            <w:hideMark/>
          </w:tcPr>
          <w:p w14:paraId="5DBE5343"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90" w:type="dxa"/>
            <w:shd w:val="clear" w:color="auto" w:fill="FFFFFF" w:themeFill="background1"/>
            <w:vAlign w:val="center"/>
            <w:hideMark/>
          </w:tcPr>
          <w:p w14:paraId="698D15F7"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60" w:type="dxa"/>
            <w:shd w:val="clear" w:color="auto" w:fill="FFFFFF" w:themeFill="background1"/>
            <w:vAlign w:val="center"/>
            <w:hideMark/>
          </w:tcPr>
          <w:p w14:paraId="6490A2C2"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810" w:type="dxa"/>
            <w:shd w:val="clear" w:color="auto" w:fill="FFFFFF" w:themeFill="background1"/>
            <w:vAlign w:val="center"/>
            <w:hideMark/>
          </w:tcPr>
          <w:p w14:paraId="1BC0DA40"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59" w:type="dxa"/>
            <w:shd w:val="clear" w:color="auto" w:fill="FFFFFF" w:themeFill="background1"/>
            <w:vAlign w:val="center"/>
            <w:hideMark/>
          </w:tcPr>
          <w:p w14:paraId="508180B2"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24" w:type="dxa"/>
            <w:shd w:val="clear" w:color="auto" w:fill="FFFFFF" w:themeFill="background1"/>
            <w:vAlign w:val="center"/>
            <w:hideMark/>
          </w:tcPr>
          <w:p w14:paraId="13331664"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r>
      <w:tr w:rsidR="00821B82" w:rsidRPr="00404587" w14:paraId="73CE0EDB" w14:textId="77777777" w:rsidTr="00282204">
        <w:trPr>
          <w:trHeight w:val="285"/>
        </w:trPr>
        <w:tc>
          <w:tcPr>
            <w:tcW w:w="7470" w:type="dxa"/>
            <w:shd w:val="clear" w:color="auto" w:fill="auto"/>
            <w:vAlign w:val="center"/>
            <w:hideMark/>
          </w:tcPr>
          <w:p w14:paraId="464095FB"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Lack of qualified pharmacy staff working at primary healthcare centres </w:t>
            </w:r>
          </w:p>
        </w:tc>
        <w:tc>
          <w:tcPr>
            <w:tcW w:w="1170" w:type="dxa"/>
            <w:shd w:val="clear" w:color="auto" w:fill="auto"/>
            <w:vAlign w:val="center"/>
            <w:hideMark/>
          </w:tcPr>
          <w:p w14:paraId="36C68F1B"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3</w:t>
            </w:r>
          </w:p>
        </w:tc>
        <w:tc>
          <w:tcPr>
            <w:tcW w:w="990" w:type="dxa"/>
            <w:shd w:val="clear" w:color="auto" w:fill="auto"/>
            <w:vAlign w:val="center"/>
            <w:hideMark/>
          </w:tcPr>
          <w:p w14:paraId="7A6CDF3D"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w:t>
            </w:r>
          </w:p>
        </w:tc>
        <w:tc>
          <w:tcPr>
            <w:tcW w:w="1260" w:type="dxa"/>
            <w:shd w:val="clear" w:color="auto" w:fill="auto"/>
            <w:vAlign w:val="center"/>
            <w:hideMark/>
          </w:tcPr>
          <w:p w14:paraId="3DBD1E99"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17</w:t>
            </w:r>
          </w:p>
        </w:tc>
        <w:tc>
          <w:tcPr>
            <w:tcW w:w="810" w:type="dxa"/>
            <w:shd w:val="clear" w:color="auto" w:fill="auto"/>
            <w:vAlign w:val="center"/>
            <w:hideMark/>
          </w:tcPr>
          <w:p w14:paraId="1B4B9BB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60</w:t>
            </w:r>
          </w:p>
        </w:tc>
        <w:tc>
          <w:tcPr>
            <w:tcW w:w="959" w:type="dxa"/>
            <w:shd w:val="clear" w:color="auto" w:fill="auto"/>
            <w:vAlign w:val="center"/>
            <w:hideMark/>
          </w:tcPr>
          <w:p w14:paraId="3EA2786D"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14</w:t>
            </w:r>
          </w:p>
        </w:tc>
        <w:tc>
          <w:tcPr>
            <w:tcW w:w="1224" w:type="dxa"/>
            <w:shd w:val="clear" w:color="auto" w:fill="auto"/>
            <w:vAlign w:val="center"/>
            <w:hideMark/>
          </w:tcPr>
          <w:p w14:paraId="79F2D479"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505DF163" w14:textId="77777777" w:rsidTr="00282204">
        <w:trPr>
          <w:trHeight w:val="368"/>
        </w:trPr>
        <w:tc>
          <w:tcPr>
            <w:tcW w:w="7470" w:type="dxa"/>
            <w:shd w:val="clear" w:color="auto" w:fill="auto"/>
            <w:vAlign w:val="center"/>
            <w:hideMark/>
          </w:tcPr>
          <w:p w14:paraId="431CCCC9"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Lack of time </w:t>
            </w:r>
          </w:p>
        </w:tc>
        <w:tc>
          <w:tcPr>
            <w:tcW w:w="1170" w:type="dxa"/>
            <w:shd w:val="clear" w:color="auto" w:fill="auto"/>
            <w:vAlign w:val="center"/>
            <w:hideMark/>
          </w:tcPr>
          <w:p w14:paraId="42E9242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8</w:t>
            </w:r>
          </w:p>
        </w:tc>
        <w:tc>
          <w:tcPr>
            <w:tcW w:w="990" w:type="dxa"/>
            <w:shd w:val="clear" w:color="auto" w:fill="auto"/>
            <w:vAlign w:val="center"/>
            <w:hideMark/>
          </w:tcPr>
          <w:p w14:paraId="051C7337"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10</w:t>
            </w:r>
          </w:p>
        </w:tc>
        <w:tc>
          <w:tcPr>
            <w:tcW w:w="1260" w:type="dxa"/>
            <w:shd w:val="clear" w:color="auto" w:fill="auto"/>
            <w:vAlign w:val="center"/>
            <w:hideMark/>
          </w:tcPr>
          <w:p w14:paraId="2F7CBB4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18</w:t>
            </w:r>
          </w:p>
        </w:tc>
        <w:tc>
          <w:tcPr>
            <w:tcW w:w="810" w:type="dxa"/>
            <w:shd w:val="clear" w:color="auto" w:fill="auto"/>
            <w:vAlign w:val="center"/>
            <w:hideMark/>
          </w:tcPr>
          <w:p w14:paraId="5F2A6D43"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53</w:t>
            </w:r>
          </w:p>
        </w:tc>
        <w:tc>
          <w:tcPr>
            <w:tcW w:w="959" w:type="dxa"/>
            <w:shd w:val="clear" w:color="auto" w:fill="auto"/>
            <w:vAlign w:val="center"/>
            <w:hideMark/>
          </w:tcPr>
          <w:p w14:paraId="79AE7994"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11</w:t>
            </w:r>
          </w:p>
        </w:tc>
        <w:tc>
          <w:tcPr>
            <w:tcW w:w="1224" w:type="dxa"/>
            <w:shd w:val="clear" w:color="auto" w:fill="auto"/>
            <w:vAlign w:val="center"/>
            <w:hideMark/>
          </w:tcPr>
          <w:p w14:paraId="357B2597"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4EFD3BC9" w14:textId="77777777" w:rsidTr="00282204">
        <w:trPr>
          <w:trHeight w:val="368"/>
        </w:trPr>
        <w:tc>
          <w:tcPr>
            <w:tcW w:w="7470" w:type="dxa"/>
            <w:shd w:val="clear" w:color="auto" w:fill="FFFFFF" w:themeFill="background1"/>
            <w:vAlign w:val="center"/>
            <w:hideMark/>
          </w:tcPr>
          <w:p w14:paraId="3F025382" w14:textId="77777777" w:rsidR="00821B82" w:rsidRPr="00404587" w:rsidRDefault="00821B82" w:rsidP="00282204">
            <w:pPr>
              <w:spacing w:after="0" w:line="240" w:lineRule="auto"/>
              <w:rPr>
                <w:rFonts w:asciiTheme="minorBidi" w:eastAsia="Times New Roman" w:hAnsiTheme="minorBidi"/>
                <w:b/>
                <w:bCs/>
                <w:color w:val="4D4D4D"/>
                <w:sz w:val="18"/>
                <w:szCs w:val="18"/>
              </w:rPr>
            </w:pPr>
            <w:r w:rsidRPr="00404587">
              <w:rPr>
                <w:rFonts w:asciiTheme="minorBidi" w:eastAsia="Times New Roman" w:hAnsiTheme="minorBidi"/>
                <w:b/>
                <w:bCs/>
                <w:color w:val="4D4D4D"/>
                <w:sz w:val="18"/>
                <w:szCs w:val="18"/>
              </w:rPr>
              <w:t xml:space="preserve">3.      Procedural/ Legal </w:t>
            </w:r>
          </w:p>
        </w:tc>
        <w:tc>
          <w:tcPr>
            <w:tcW w:w="1170" w:type="dxa"/>
            <w:shd w:val="clear" w:color="auto" w:fill="FFFFFF" w:themeFill="background1"/>
            <w:vAlign w:val="center"/>
            <w:hideMark/>
          </w:tcPr>
          <w:p w14:paraId="574A7552"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90" w:type="dxa"/>
            <w:shd w:val="clear" w:color="auto" w:fill="FFFFFF" w:themeFill="background1"/>
            <w:vAlign w:val="center"/>
            <w:hideMark/>
          </w:tcPr>
          <w:p w14:paraId="5E83B57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60" w:type="dxa"/>
            <w:shd w:val="clear" w:color="auto" w:fill="FFFFFF" w:themeFill="background1"/>
            <w:vAlign w:val="center"/>
            <w:hideMark/>
          </w:tcPr>
          <w:p w14:paraId="7DD6490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810" w:type="dxa"/>
            <w:shd w:val="clear" w:color="auto" w:fill="FFFFFF" w:themeFill="background1"/>
            <w:vAlign w:val="center"/>
            <w:hideMark/>
          </w:tcPr>
          <w:p w14:paraId="20BDBDA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59" w:type="dxa"/>
            <w:shd w:val="clear" w:color="auto" w:fill="FFFFFF" w:themeFill="background1"/>
            <w:vAlign w:val="center"/>
            <w:hideMark/>
          </w:tcPr>
          <w:p w14:paraId="2A22B88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24" w:type="dxa"/>
            <w:shd w:val="clear" w:color="auto" w:fill="FFFFFF" w:themeFill="background1"/>
            <w:vAlign w:val="center"/>
            <w:hideMark/>
          </w:tcPr>
          <w:p w14:paraId="110D86E8"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r>
      <w:tr w:rsidR="00821B82" w:rsidRPr="00404587" w14:paraId="4C3FFBDD" w14:textId="77777777" w:rsidTr="00282204">
        <w:trPr>
          <w:trHeight w:val="276"/>
        </w:trPr>
        <w:tc>
          <w:tcPr>
            <w:tcW w:w="7470" w:type="dxa"/>
            <w:shd w:val="clear" w:color="auto" w:fill="auto"/>
            <w:vAlign w:val="center"/>
            <w:hideMark/>
          </w:tcPr>
          <w:p w14:paraId="63EB6F20"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Lack of prescribing authority for pharmacists </w:t>
            </w:r>
          </w:p>
        </w:tc>
        <w:tc>
          <w:tcPr>
            <w:tcW w:w="1170" w:type="dxa"/>
            <w:shd w:val="clear" w:color="auto" w:fill="auto"/>
            <w:vAlign w:val="center"/>
            <w:hideMark/>
          </w:tcPr>
          <w:p w14:paraId="5A13080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0</w:t>
            </w:r>
          </w:p>
        </w:tc>
        <w:tc>
          <w:tcPr>
            <w:tcW w:w="990" w:type="dxa"/>
            <w:shd w:val="clear" w:color="auto" w:fill="auto"/>
            <w:vAlign w:val="center"/>
            <w:hideMark/>
          </w:tcPr>
          <w:p w14:paraId="2728A40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8</w:t>
            </w:r>
          </w:p>
        </w:tc>
        <w:tc>
          <w:tcPr>
            <w:tcW w:w="1260" w:type="dxa"/>
            <w:shd w:val="clear" w:color="auto" w:fill="auto"/>
            <w:vAlign w:val="center"/>
            <w:hideMark/>
          </w:tcPr>
          <w:p w14:paraId="5D288690"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20</w:t>
            </w:r>
          </w:p>
        </w:tc>
        <w:tc>
          <w:tcPr>
            <w:tcW w:w="810" w:type="dxa"/>
            <w:shd w:val="clear" w:color="auto" w:fill="auto"/>
            <w:vAlign w:val="center"/>
            <w:hideMark/>
          </w:tcPr>
          <w:p w14:paraId="76BF3819"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59</w:t>
            </w:r>
          </w:p>
        </w:tc>
        <w:tc>
          <w:tcPr>
            <w:tcW w:w="959" w:type="dxa"/>
            <w:shd w:val="clear" w:color="auto" w:fill="auto"/>
            <w:vAlign w:val="center"/>
            <w:hideMark/>
          </w:tcPr>
          <w:p w14:paraId="20D8059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14</w:t>
            </w:r>
          </w:p>
        </w:tc>
        <w:tc>
          <w:tcPr>
            <w:tcW w:w="1224" w:type="dxa"/>
            <w:shd w:val="clear" w:color="auto" w:fill="auto"/>
            <w:vAlign w:val="center"/>
            <w:hideMark/>
          </w:tcPr>
          <w:p w14:paraId="1A5BBBC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763CE1CD" w14:textId="77777777" w:rsidTr="00282204">
        <w:trPr>
          <w:trHeight w:val="370"/>
        </w:trPr>
        <w:tc>
          <w:tcPr>
            <w:tcW w:w="7470" w:type="dxa"/>
            <w:shd w:val="clear" w:color="auto" w:fill="auto"/>
            <w:vAlign w:val="center"/>
            <w:hideMark/>
          </w:tcPr>
          <w:p w14:paraId="4DAE3210"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Lack of access to patients' medical records for pharmacists </w:t>
            </w:r>
          </w:p>
        </w:tc>
        <w:tc>
          <w:tcPr>
            <w:tcW w:w="1170" w:type="dxa"/>
            <w:shd w:val="clear" w:color="auto" w:fill="auto"/>
            <w:vAlign w:val="center"/>
            <w:hideMark/>
          </w:tcPr>
          <w:p w14:paraId="2EC3756B"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3</w:t>
            </w:r>
          </w:p>
        </w:tc>
        <w:tc>
          <w:tcPr>
            <w:tcW w:w="990" w:type="dxa"/>
            <w:shd w:val="clear" w:color="auto" w:fill="auto"/>
            <w:vAlign w:val="center"/>
            <w:hideMark/>
          </w:tcPr>
          <w:p w14:paraId="1B7C490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7</w:t>
            </w:r>
          </w:p>
        </w:tc>
        <w:tc>
          <w:tcPr>
            <w:tcW w:w="1260" w:type="dxa"/>
            <w:shd w:val="clear" w:color="auto" w:fill="auto"/>
            <w:vAlign w:val="center"/>
            <w:hideMark/>
          </w:tcPr>
          <w:p w14:paraId="0A0ABCD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11</w:t>
            </w:r>
          </w:p>
        </w:tc>
        <w:tc>
          <w:tcPr>
            <w:tcW w:w="810" w:type="dxa"/>
            <w:shd w:val="clear" w:color="auto" w:fill="auto"/>
            <w:vAlign w:val="center"/>
            <w:hideMark/>
          </w:tcPr>
          <w:p w14:paraId="58FAF3B2"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63</w:t>
            </w:r>
          </w:p>
        </w:tc>
        <w:tc>
          <w:tcPr>
            <w:tcW w:w="959" w:type="dxa"/>
            <w:shd w:val="clear" w:color="auto" w:fill="auto"/>
            <w:vAlign w:val="center"/>
            <w:hideMark/>
          </w:tcPr>
          <w:p w14:paraId="2E63D5F9"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16</w:t>
            </w:r>
          </w:p>
        </w:tc>
        <w:tc>
          <w:tcPr>
            <w:tcW w:w="1224" w:type="dxa"/>
            <w:shd w:val="clear" w:color="auto" w:fill="auto"/>
            <w:vAlign w:val="center"/>
            <w:hideMark/>
          </w:tcPr>
          <w:p w14:paraId="471470E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(4-4)</w:t>
            </w:r>
          </w:p>
        </w:tc>
      </w:tr>
      <w:tr w:rsidR="00821B82" w:rsidRPr="00404587" w14:paraId="274778CE" w14:textId="77777777" w:rsidTr="00282204">
        <w:trPr>
          <w:trHeight w:val="465"/>
        </w:trPr>
        <w:tc>
          <w:tcPr>
            <w:tcW w:w="7470" w:type="dxa"/>
            <w:shd w:val="clear" w:color="auto" w:fill="auto"/>
            <w:vAlign w:val="center"/>
            <w:hideMark/>
          </w:tcPr>
          <w:p w14:paraId="18AF6E09"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Lack of a private room to interview patients and advise them </w:t>
            </w:r>
          </w:p>
        </w:tc>
        <w:tc>
          <w:tcPr>
            <w:tcW w:w="1170" w:type="dxa"/>
            <w:shd w:val="clear" w:color="auto" w:fill="auto"/>
            <w:vAlign w:val="center"/>
            <w:hideMark/>
          </w:tcPr>
          <w:p w14:paraId="1D1D0CC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3</w:t>
            </w:r>
          </w:p>
        </w:tc>
        <w:tc>
          <w:tcPr>
            <w:tcW w:w="990" w:type="dxa"/>
            <w:shd w:val="clear" w:color="auto" w:fill="auto"/>
            <w:vAlign w:val="center"/>
            <w:hideMark/>
          </w:tcPr>
          <w:p w14:paraId="7E8059B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w:t>
            </w:r>
          </w:p>
        </w:tc>
        <w:tc>
          <w:tcPr>
            <w:tcW w:w="1260" w:type="dxa"/>
            <w:shd w:val="clear" w:color="auto" w:fill="auto"/>
            <w:vAlign w:val="center"/>
            <w:hideMark/>
          </w:tcPr>
          <w:p w14:paraId="1CFF253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9</w:t>
            </w:r>
          </w:p>
        </w:tc>
        <w:tc>
          <w:tcPr>
            <w:tcW w:w="810" w:type="dxa"/>
            <w:shd w:val="clear" w:color="auto" w:fill="auto"/>
            <w:vAlign w:val="center"/>
            <w:hideMark/>
          </w:tcPr>
          <w:p w14:paraId="03427C9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65</w:t>
            </w:r>
          </w:p>
        </w:tc>
        <w:tc>
          <w:tcPr>
            <w:tcW w:w="959" w:type="dxa"/>
            <w:shd w:val="clear" w:color="auto" w:fill="auto"/>
            <w:vAlign w:val="center"/>
            <w:hideMark/>
          </w:tcPr>
          <w:p w14:paraId="28B200F3"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19</w:t>
            </w:r>
          </w:p>
        </w:tc>
        <w:tc>
          <w:tcPr>
            <w:tcW w:w="1224" w:type="dxa"/>
            <w:shd w:val="clear" w:color="auto" w:fill="auto"/>
            <w:vAlign w:val="center"/>
            <w:hideMark/>
          </w:tcPr>
          <w:p w14:paraId="4FDB332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(4-4)</w:t>
            </w:r>
          </w:p>
        </w:tc>
      </w:tr>
      <w:tr w:rsidR="00821B82" w:rsidRPr="00404587" w14:paraId="036117DD" w14:textId="77777777" w:rsidTr="00282204">
        <w:trPr>
          <w:trHeight w:val="270"/>
        </w:trPr>
        <w:tc>
          <w:tcPr>
            <w:tcW w:w="7470" w:type="dxa"/>
            <w:shd w:val="clear" w:color="auto" w:fill="FFFFFF" w:themeFill="background1"/>
            <w:vAlign w:val="center"/>
            <w:hideMark/>
          </w:tcPr>
          <w:p w14:paraId="7BF22B6F" w14:textId="77777777" w:rsidR="00821B82" w:rsidRPr="00404587" w:rsidRDefault="00821B82" w:rsidP="00282204">
            <w:pPr>
              <w:spacing w:after="0" w:line="240" w:lineRule="auto"/>
              <w:rPr>
                <w:rFonts w:asciiTheme="minorBidi" w:eastAsia="Times New Roman" w:hAnsiTheme="minorBidi"/>
                <w:b/>
                <w:bCs/>
                <w:color w:val="4D4D4D"/>
                <w:sz w:val="18"/>
                <w:szCs w:val="18"/>
              </w:rPr>
            </w:pPr>
            <w:r w:rsidRPr="00404587">
              <w:rPr>
                <w:rFonts w:asciiTheme="minorBidi" w:eastAsia="Times New Roman" w:hAnsiTheme="minorBidi"/>
                <w:color w:val="4D4D4D"/>
                <w:sz w:val="18"/>
                <w:szCs w:val="18"/>
              </w:rPr>
              <w:t xml:space="preserve">4.       </w:t>
            </w:r>
            <w:r w:rsidRPr="00404587">
              <w:rPr>
                <w:rFonts w:asciiTheme="minorBidi" w:eastAsia="Times New Roman" w:hAnsiTheme="minorBidi"/>
                <w:b/>
                <w:bCs/>
                <w:color w:val="4D4D4D"/>
                <w:sz w:val="18"/>
                <w:szCs w:val="18"/>
              </w:rPr>
              <w:t>Pharmacist Roles</w:t>
            </w:r>
          </w:p>
          <w:p w14:paraId="14792ECC" w14:textId="77777777" w:rsidR="00821B82" w:rsidRPr="00404587" w:rsidRDefault="00821B82" w:rsidP="00282204">
            <w:pPr>
              <w:spacing w:after="0" w:line="240" w:lineRule="auto"/>
              <w:rPr>
                <w:rFonts w:asciiTheme="minorBidi" w:eastAsia="Times New Roman" w:hAnsiTheme="minorBidi"/>
                <w:color w:val="4D4D4D"/>
                <w:sz w:val="18"/>
                <w:szCs w:val="18"/>
              </w:rPr>
            </w:pPr>
            <w:r w:rsidRPr="00404587">
              <w:rPr>
                <w:rFonts w:asciiTheme="minorBidi" w:eastAsia="Times New Roman" w:hAnsiTheme="minorBidi"/>
                <w:color w:val="4D4D4D"/>
                <w:sz w:val="18"/>
                <w:szCs w:val="18"/>
              </w:rPr>
              <w:t xml:space="preserve"> </w:t>
            </w:r>
          </w:p>
        </w:tc>
        <w:tc>
          <w:tcPr>
            <w:tcW w:w="1170" w:type="dxa"/>
            <w:shd w:val="clear" w:color="auto" w:fill="FFFFFF" w:themeFill="background1"/>
            <w:vAlign w:val="center"/>
            <w:hideMark/>
          </w:tcPr>
          <w:p w14:paraId="08050A20"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90" w:type="dxa"/>
            <w:shd w:val="clear" w:color="auto" w:fill="FFFFFF" w:themeFill="background1"/>
            <w:vAlign w:val="center"/>
            <w:hideMark/>
          </w:tcPr>
          <w:p w14:paraId="44622213"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60" w:type="dxa"/>
            <w:shd w:val="clear" w:color="auto" w:fill="FFFFFF" w:themeFill="background1"/>
            <w:vAlign w:val="center"/>
            <w:hideMark/>
          </w:tcPr>
          <w:p w14:paraId="03C2127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810" w:type="dxa"/>
            <w:shd w:val="clear" w:color="auto" w:fill="FFFFFF" w:themeFill="background1"/>
            <w:vAlign w:val="center"/>
            <w:hideMark/>
          </w:tcPr>
          <w:p w14:paraId="474A1CD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959" w:type="dxa"/>
            <w:shd w:val="clear" w:color="auto" w:fill="FFFFFF" w:themeFill="background1"/>
            <w:vAlign w:val="center"/>
            <w:hideMark/>
          </w:tcPr>
          <w:p w14:paraId="014243C0"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c>
          <w:tcPr>
            <w:tcW w:w="1224" w:type="dxa"/>
            <w:shd w:val="clear" w:color="auto" w:fill="FFFFFF" w:themeFill="background1"/>
            <w:vAlign w:val="center"/>
            <w:hideMark/>
          </w:tcPr>
          <w:p w14:paraId="662DBAB8"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p>
        </w:tc>
      </w:tr>
      <w:tr w:rsidR="00821B82" w:rsidRPr="00404587" w14:paraId="77118DC9" w14:textId="77777777" w:rsidTr="00282204">
        <w:trPr>
          <w:trHeight w:val="165"/>
        </w:trPr>
        <w:tc>
          <w:tcPr>
            <w:tcW w:w="7470" w:type="dxa"/>
            <w:shd w:val="clear" w:color="auto" w:fill="auto"/>
            <w:vAlign w:val="center"/>
            <w:hideMark/>
          </w:tcPr>
          <w:p w14:paraId="3EDD3142"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Lack of well-defined pharmacist role </w:t>
            </w:r>
          </w:p>
        </w:tc>
        <w:tc>
          <w:tcPr>
            <w:tcW w:w="1170" w:type="dxa"/>
            <w:shd w:val="clear" w:color="auto" w:fill="auto"/>
            <w:vAlign w:val="center"/>
            <w:hideMark/>
          </w:tcPr>
          <w:p w14:paraId="46B77EC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w:t>
            </w:r>
          </w:p>
        </w:tc>
        <w:tc>
          <w:tcPr>
            <w:tcW w:w="990" w:type="dxa"/>
            <w:shd w:val="clear" w:color="auto" w:fill="auto"/>
            <w:vAlign w:val="center"/>
            <w:hideMark/>
          </w:tcPr>
          <w:p w14:paraId="08867A6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w:t>
            </w:r>
          </w:p>
        </w:tc>
        <w:tc>
          <w:tcPr>
            <w:tcW w:w="1260" w:type="dxa"/>
            <w:shd w:val="clear" w:color="auto" w:fill="auto"/>
            <w:vAlign w:val="center"/>
            <w:hideMark/>
          </w:tcPr>
          <w:p w14:paraId="2A133F94"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11</w:t>
            </w:r>
          </w:p>
        </w:tc>
        <w:tc>
          <w:tcPr>
            <w:tcW w:w="810" w:type="dxa"/>
            <w:shd w:val="clear" w:color="auto" w:fill="auto"/>
            <w:vAlign w:val="center"/>
            <w:hideMark/>
          </w:tcPr>
          <w:p w14:paraId="3F7AC90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67</w:t>
            </w:r>
          </w:p>
        </w:tc>
        <w:tc>
          <w:tcPr>
            <w:tcW w:w="959" w:type="dxa"/>
            <w:shd w:val="clear" w:color="auto" w:fill="auto"/>
            <w:vAlign w:val="center"/>
            <w:hideMark/>
          </w:tcPr>
          <w:p w14:paraId="647F47EB"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19</w:t>
            </w:r>
          </w:p>
        </w:tc>
        <w:tc>
          <w:tcPr>
            <w:tcW w:w="1224" w:type="dxa"/>
            <w:shd w:val="clear" w:color="auto" w:fill="auto"/>
            <w:vAlign w:val="center"/>
            <w:hideMark/>
          </w:tcPr>
          <w:p w14:paraId="01F6E08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(4-4)</w:t>
            </w:r>
          </w:p>
        </w:tc>
      </w:tr>
      <w:tr w:rsidR="00821B82" w:rsidRPr="00404587" w14:paraId="5F082D20" w14:textId="77777777" w:rsidTr="00282204">
        <w:trPr>
          <w:trHeight w:val="405"/>
        </w:trPr>
        <w:tc>
          <w:tcPr>
            <w:tcW w:w="7470" w:type="dxa"/>
            <w:shd w:val="clear" w:color="auto" w:fill="auto"/>
            <w:vAlign w:val="center"/>
            <w:hideMark/>
          </w:tcPr>
          <w:p w14:paraId="77794EEE"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Lack of awareness of the clinical role of pharmacist by healthcare providers </w:t>
            </w:r>
          </w:p>
        </w:tc>
        <w:tc>
          <w:tcPr>
            <w:tcW w:w="1170" w:type="dxa"/>
            <w:shd w:val="clear" w:color="auto" w:fill="auto"/>
            <w:vAlign w:val="center"/>
            <w:hideMark/>
          </w:tcPr>
          <w:p w14:paraId="03D5FB6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w:t>
            </w:r>
          </w:p>
        </w:tc>
        <w:tc>
          <w:tcPr>
            <w:tcW w:w="990" w:type="dxa"/>
            <w:shd w:val="clear" w:color="auto" w:fill="auto"/>
            <w:vAlign w:val="center"/>
            <w:hideMark/>
          </w:tcPr>
          <w:p w14:paraId="431B148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w:t>
            </w:r>
          </w:p>
        </w:tc>
        <w:tc>
          <w:tcPr>
            <w:tcW w:w="1260" w:type="dxa"/>
            <w:shd w:val="clear" w:color="auto" w:fill="auto"/>
            <w:vAlign w:val="center"/>
            <w:hideMark/>
          </w:tcPr>
          <w:p w14:paraId="00F07FE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14</w:t>
            </w:r>
          </w:p>
        </w:tc>
        <w:tc>
          <w:tcPr>
            <w:tcW w:w="810" w:type="dxa"/>
            <w:shd w:val="clear" w:color="auto" w:fill="auto"/>
            <w:vAlign w:val="center"/>
            <w:hideMark/>
          </w:tcPr>
          <w:p w14:paraId="25668A9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62</w:t>
            </w:r>
          </w:p>
        </w:tc>
        <w:tc>
          <w:tcPr>
            <w:tcW w:w="959" w:type="dxa"/>
            <w:shd w:val="clear" w:color="auto" w:fill="auto"/>
            <w:vAlign w:val="center"/>
            <w:hideMark/>
          </w:tcPr>
          <w:p w14:paraId="69E0ABD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21</w:t>
            </w:r>
          </w:p>
        </w:tc>
        <w:tc>
          <w:tcPr>
            <w:tcW w:w="1224" w:type="dxa"/>
            <w:shd w:val="clear" w:color="auto" w:fill="auto"/>
            <w:vAlign w:val="center"/>
            <w:hideMark/>
          </w:tcPr>
          <w:p w14:paraId="6B2E01C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(4-4)</w:t>
            </w:r>
          </w:p>
        </w:tc>
      </w:tr>
      <w:tr w:rsidR="00821B82" w:rsidRPr="00404587" w14:paraId="4A2A14B0" w14:textId="77777777" w:rsidTr="00282204">
        <w:trPr>
          <w:trHeight w:val="285"/>
        </w:trPr>
        <w:tc>
          <w:tcPr>
            <w:tcW w:w="7470" w:type="dxa"/>
            <w:shd w:val="clear" w:color="auto" w:fill="auto"/>
            <w:vAlign w:val="center"/>
            <w:hideMark/>
          </w:tcPr>
          <w:p w14:paraId="57B8170A"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Resistance to the clinical role of pharmacists by healthcare providers </w:t>
            </w:r>
          </w:p>
        </w:tc>
        <w:tc>
          <w:tcPr>
            <w:tcW w:w="1170" w:type="dxa"/>
            <w:shd w:val="clear" w:color="auto" w:fill="auto"/>
            <w:vAlign w:val="center"/>
            <w:hideMark/>
          </w:tcPr>
          <w:p w14:paraId="4C58C27C"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w:t>
            </w:r>
          </w:p>
        </w:tc>
        <w:tc>
          <w:tcPr>
            <w:tcW w:w="990" w:type="dxa"/>
            <w:shd w:val="clear" w:color="auto" w:fill="auto"/>
            <w:vAlign w:val="center"/>
            <w:hideMark/>
          </w:tcPr>
          <w:p w14:paraId="0429DF73"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8</w:t>
            </w:r>
          </w:p>
        </w:tc>
        <w:tc>
          <w:tcPr>
            <w:tcW w:w="1260" w:type="dxa"/>
            <w:shd w:val="clear" w:color="auto" w:fill="auto"/>
            <w:vAlign w:val="center"/>
            <w:hideMark/>
          </w:tcPr>
          <w:p w14:paraId="556DEE6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15</w:t>
            </w:r>
          </w:p>
        </w:tc>
        <w:tc>
          <w:tcPr>
            <w:tcW w:w="810" w:type="dxa"/>
            <w:shd w:val="clear" w:color="auto" w:fill="auto"/>
            <w:vAlign w:val="center"/>
            <w:hideMark/>
          </w:tcPr>
          <w:p w14:paraId="7560DFE1"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65</w:t>
            </w:r>
          </w:p>
        </w:tc>
        <w:tc>
          <w:tcPr>
            <w:tcW w:w="959" w:type="dxa"/>
            <w:shd w:val="clear" w:color="auto" w:fill="auto"/>
            <w:vAlign w:val="center"/>
            <w:hideMark/>
          </w:tcPr>
          <w:p w14:paraId="2079A67D"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10</w:t>
            </w:r>
          </w:p>
        </w:tc>
        <w:tc>
          <w:tcPr>
            <w:tcW w:w="1224" w:type="dxa"/>
            <w:shd w:val="clear" w:color="auto" w:fill="auto"/>
            <w:vAlign w:val="center"/>
            <w:hideMark/>
          </w:tcPr>
          <w:p w14:paraId="75F4C4AD"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(3.75-4)</w:t>
            </w:r>
          </w:p>
        </w:tc>
      </w:tr>
      <w:tr w:rsidR="00821B82" w:rsidRPr="00404587" w14:paraId="09CCB1D5" w14:textId="77777777" w:rsidTr="00282204">
        <w:trPr>
          <w:trHeight w:val="276"/>
        </w:trPr>
        <w:tc>
          <w:tcPr>
            <w:tcW w:w="7470" w:type="dxa"/>
            <w:shd w:val="clear" w:color="auto" w:fill="auto"/>
            <w:vAlign w:val="center"/>
            <w:hideMark/>
          </w:tcPr>
          <w:p w14:paraId="4B6876E2"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Administrations duties of pharmacists </w:t>
            </w:r>
          </w:p>
        </w:tc>
        <w:tc>
          <w:tcPr>
            <w:tcW w:w="1170" w:type="dxa"/>
            <w:shd w:val="clear" w:color="auto" w:fill="auto"/>
            <w:vAlign w:val="center"/>
            <w:hideMark/>
          </w:tcPr>
          <w:p w14:paraId="01A598D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w:t>
            </w:r>
          </w:p>
        </w:tc>
        <w:tc>
          <w:tcPr>
            <w:tcW w:w="990" w:type="dxa"/>
            <w:shd w:val="clear" w:color="auto" w:fill="auto"/>
            <w:vAlign w:val="center"/>
            <w:hideMark/>
          </w:tcPr>
          <w:p w14:paraId="48E62B2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w:t>
            </w:r>
          </w:p>
        </w:tc>
        <w:tc>
          <w:tcPr>
            <w:tcW w:w="1260" w:type="dxa"/>
            <w:shd w:val="clear" w:color="auto" w:fill="auto"/>
            <w:vAlign w:val="center"/>
            <w:hideMark/>
          </w:tcPr>
          <w:p w14:paraId="411355D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23</w:t>
            </w:r>
          </w:p>
        </w:tc>
        <w:tc>
          <w:tcPr>
            <w:tcW w:w="810" w:type="dxa"/>
            <w:shd w:val="clear" w:color="auto" w:fill="auto"/>
            <w:vAlign w:val="center"/>
            <w:hideMark/>
          </w:tcPr>
          <w:p w14:paraId="1DD0B4A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60</w:t>
            </w:r>
          </w:p>
        </w:tc>
        <w:tc>
          <w:tcPr>
            <w:tcW w:w="959" w:type="dxa"/>
            <w:shd w:val="clear" w:color="auto" w:fill="auto"/>
            <w:vAlign w:val="center"/>
            <w:hideMark/>
          </w:tcPr>
          <w:p w14:paraId="6AB04B0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9</w:t>
            </w:r>
          </w:p>
        </w:tc>
        <w:tc>
          <w:tcPr>
            <w:tcW w:w="1224" w:type="dxa"/>
            <w:shd w:val="clear" w:color="auto" w:fill="auto"/>
            <w:vAlign w:val="center"/>
            <w:hideMark/>
          </w:tcPr>
          <w:p w14:paraId="083C3BB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(3-4)</w:t>
            </w:r>
          </w:p>
        </w:tc>
      </w:tr>
      <w:tr w:rsidR="00821B82" w:rsidRPr="00404587" w14:paraId="33D1BE6B" w14:textId="77777777" w:rsidTr="00282204">
        <w:trPr>
          <w:trHeight w:val="370"/>
        </w:trPr>
        <w:tc>
          <w:tcPr>
            <w:tcW w:w="7470" w:type="dxa"/>
            <w:tcBorders>
              <w:bottom w:val="single" w:sz="4" w:space="0" w:color="auto"/>
            </w:tcBorders>
            <w:shd w:val="clear" w:color="auto" w:fill="auto"/>
            <w:vAlign w:val="center"/>
            <w:hideMark/>
          </w:tcPr>
          <w:p w14:paraId="0CCEE8A3" w14:textId="77777777" w:rsidR="00821B82" w:rsidRPr="00404587" w:rsidRDefault="00821B82" w:rsidP="00282204">
            <w:pPr>
              <w:spacing w:after="0" w:line="240" w:lineRule="auto"/>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 xml:space="preserve">Under-utilisation of pharmacist roles in primary healthcare centres </w:t>
            </w:r>
          </w:p>
        </w:tc>
        <w:tc>
          <w:tcPr>
            <w:tcW w:w="1170" w:type="dxa"/>
            <w:tcBorders>
              <w:bottom w:val="single" w:sz="4" w:space="0" w:color="auto"/>
            </w:tcBorders>
            <w:shd w:val="clear" w:color="auto" w:fill="auto"/>
            <w:vAlign w:val="center"/>
            <w:hideMark/>
          </w:tcPr>
          <w:p w14:paraId="78BF67CA"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w:t>
            </w:r>
          </w:p>
        </w:tc>
        <w:tc>
          <w:tcPr>
            <w:tcW w:w="990" w:type="dxa"/>
            <w:tcBorders>
              <w:bottom w:val="single" w:sz="4" w:space="0" w:color="auto"/>
            </w:tcBorders>
            <w:shd w:val="clear" w:color="auto" w:fill="auto"/>
            <w:vAlign w:val="center"/>
            <w:hideMark/>
          </w:tcPr>
          <w:p w14:paraId="61FDA186"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2</w:t>
            </w:r>
          </w:p>
        </w:tc>
        <w:tc>
          <w:tcPr>
            <w:tcW w:w="1260" w:type="dxa"/>
            <w:tcBorders>
              <w:bottom w:val="single" w:sz="4" w:space="0" w:color="auto"/>
            </w:tcBorders>
            <w:shd w:val="clear" w:color="auto" w:fill="auto"/>
            <w:vAlign w:val="center"/>
            <w:hideMark/>
          </w:tcPr>
          <w:p w14:paraId="5A2A764F"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18</w:t>
            </w:r>
          </w:p>
        </w:tc>
        <w:tc>
          <w:tcPr>
            <w:tcW w:w="810" w:type="dxa"/>
            <w:tcBorders>
              <w:bottom w:val="single" w:sz="4" w:space="0" w:color="auto"/>
            </w:tcBorders>
            <w:shd w:val="clear" w:color="auto" w:fill="auto"/>
            <w:vAlign w:val="center"/>
            <w:hideMark/>
          </w:tcPr>
          <w:p w14:paraId="2A098C5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64</w:t>
            </w:r>
          </w:p>
        </w:tc>
        <w:tc>
          <w:tcPr>
            <w:tcW w:w="959" w:type="dxa"/>
            <w:tcBorders>
              <w:bottom w:val="single" w:sz="4" w:space="0" w:color="auto"/>
            </w:tcBorders>
            <w:shd w:val="clear" w:color="auto" w:fill="auto"/>
            <w:vAlign w:val="center"/>
            <w:hideMark/>
          </w:tcPr>
          <w:p w14:paraId="4B5AB98E"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15</w:t>
            </w:r>
          </w:p>
        </w:tc>
        <w:tc>
          <w:tcPr>
            <w:tcW w:w="1224" w:type="dxa"/>
            <w:tcBorders>
              <w:bottom w:val="single" w:sz="4" w:space="0" w:color="auto"/>
            </w:tcBorders>
            <w:shd w:val="clear" w:color="auto" w:fill="auto"/>
            <w:vAlign w:val="center"/>
            <w:hideMark/>
          </w:tcPr>
          <w:p w14:paraId="728D5A65" w14:textId="77777777" w:rsidR="00821B82" w:rsidRPr="00404587" w:rsidRDefault="00821B82" w:rsidP="00282204">
            <w:pPr>
              <w:spacing w:after="0" w:line="240" w:lineRule="auto"/>
              <w:jc w:val="center"/>
              <w:rPr>
                <w:rFonts w:asciiTheme="minorBidi" w:eastAsia="Times New Roman" w:hAnsiTheme="minorBidi"/>
                <w:color w:val="000000"/>
                <w:sz w:val="18"/>
                <w:szCs w:val="18"/>
              </w:rPr>
            </w:pPr>
            <w:r w:rsidRPr="00404587">
              <w:rPr>
                <w:rFonts w:asciiTheme="minorBidi" w:eastAsia="Times New Roman" w:hAnsiTheme="minorBidi"/>
                <w:color w:val="000000"/>
                <w:sz w:val="18"/>
                <w:szCs w:val="18"/>
              </w:rPr>
              <w:t>4 (4-4)</w:t>
            </w:r>
          </w:p>
        </w:tc>
      </w:tr>
    </w:tbl>
    <w:p w14:paraId="1082CDBD" w14:textId="77777777" w:rsidR="00821B82" w:rsidRPr="009A3D7B" w:rsidRDefault="00821B82" w:rsidP="00821B82">
      <w:pPr>
        <w:rPr>
          <w:rFonts w:asciiTheme="minorBidi" w:eastAsia="Times New Roman" w:hAnsiTheme="minorBidi"/>
          <w:color w:val="000000"/>
          <w:sz w:val="18"/>
          <w:szCs w:val="18"/>
        </w:rPr>
      </w:pPr>
      <w:r>
        <w:rPr>
          <w:rFonts w:asciiTheme="minorBidi" w:eastAsia="Times New Roman" w:hAnsiTheme="minorBidi"/>
          <w:color w:val="000000"/>
          <w:sz w:val="18"/>
          <w:szCs w:val="18"/>
        </w:rPr>
        <w:t xml:space="preserve">Responses: </w:t>
      </w:r>
      <w:r w:rsidRPr="00411EBC">
        <w:rPr>
          <w:rFonts w:asciiTheme="minorBidi" w:eastAsia="Times New Roman" w:hAnsiTheme="minorBidi"/>
          <w:color w:val="000000"/>
          <w:sz w:val="18"/>
          <w:szCs w:val="18"/>
        </w:rPr>
        <w:t xml:space="preserve">(1=Strongly disagree, 2=Disagree, 3=Neither agree nor disagree, 4=Agree, 5=Strongly agree), </w:t>
      </w:r>
      <w:r>
        <w:rPr>
          <w:rFonts w:asciiTheme="minorBidi" w:eastAsia="Times New Roman" w:hAnsiTheme="minorBidi"/>
          <w:color w:val="000000"/>
          <w:sz w:val="18"/>
          <w:szCs w:val="18"/>
        </w:rPr>
        <w:t xml:space="preserve">IQR: </w:t>
      </w:r>
      <w:r w:rsidRPr="00411EBC">
        <w:rPr>
          <w:rFonts w:asciiTheme="minorBidi" w:eastAsia="Times New Roman" w:hAnsiTheme="minorBidi"/>
          <w:color w:val="000000"/>
          <w:sz w:val="18"/>
          <w:szCs w:val="18"/>
        </w:rPr>
        <w:t xml:space="preserve"> Interquartile Range.</w:t>
      </w:r>
    </w:p>
    <w:p w14:paraId="051B8E5A" w14:textId="77777777" w:rsidR="00821B82" w:rsidRDefault="00821B82" w:rsidP="00821B82">
      <w:pPr>
        <w:pStyle w:val="NormalWeb"/>
        <w:spacing w:line="360" w:lineRule="auto"/>
        <w:rPr>
          <w:rFonts w:asciiTheme="minorBidi" w:hAnsiTheme="minorBidi"/>
          <w:shd w:val="clear" w:color="auto" w:fill="FFFFFF"/>
        </w:rPr>
      </w:pPr>
    </w:p>
    <w:p w14:paraId="0D30B923" w14:textId="77777777" w:rsidR="00821B82" w:rsidRDefault="00821B82" w:rsidP="00821B82">
      <w:pPr>
        <w:pStyle w:val="NormalWeb"/>
        <w:spacing w:line="360" w:lineRule="auto"/>
        <w:rPr>
          <w:rFonts w:asciiTheme="minorBidi" w:hAnsiTheme="minorBidi"/>
          <w:shd w:val="clear" w:color="auto" w:fill="FFFFFF"/>
        </w:rPr>
      </w:pPr>
      <w:r>
        <w:rPr>
          <w:noProof/>
        </w:rPr>
        <w:drawing>
          <wp:inline distT="0" distB="0" distL="0" distR="0" wp14:anchorId="79B8FC25" wp14:editId="48AE0A28">
            <wp:extent cx="8229600" cy="5276476"/>
            <wp:effectExtent l="0" t="0" r="0" b="635"/>
            <wp:docPr id="10" name="Chart 10">
              <a:extLst xmlns:a="http://schemas.openxmlformats.org/drawingml/2006/main">
                <a:ext uri="{FF2B5EF4-FFF2-40B4-BE49-F238E27FC236}">
                  <a16:creationId xmlns:a16="http://schemas.microsoft.com/office/drawing/2014/main" id="{FB19FAEE-30D2-E440-F9AB-191797818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3B2E29" w14:textId="7D9E5EFE" w:rsidR="00821B82" w:rsidRDefault="00821B82" w:rsidP="00821B82">
      <w:pPr>
        <w:pStyle w:val="Caption"/>
        <w:rPr>
          <w:rFonts w:asciiTheme="minorBidi" w:eastAsia="Times New Roman" w:hAnsiTheme="minorBidi"/>
          <w:color w:val="32363A"/>
          <w:sz w:val="24"/>
          <w:szCs w:val="24"/>
          <w:shd w:val="clear" w:color="auto" w:fill="FFFFFF"/>
        </w:rPr>
      </w:pPr>
      <w:bookmarkStart w:id="231" w:name="_Ref122825503"/>
      <w:bookmarkStart w:id="232" w:name="_Ref122825495"/>
      <w:bookmarkStart w:id="233" w:name="_Toc153894801"/>
      <w:r>
        <w:t xml:space="preserve">Figure </w:t>
      </w:r>
      <w:fldSimple w:instr=" SEQ Figure \* ARABIC ">
        <w:r w:rsidR="000507B7">
          <w:rPr>
            <w:noProof/>
          </w:rPr>
          <w:t>13</w:t>
        </w:r>
      </w:fldSimple>
      <w:bookmarkEnd w:id="231"/>
      <w:r>
        <w:t xml:space="preserve">: </w:t>
      </w:r>
      <w:r w:rsidRPr="001E68FE">
        <w:t xml:space="preserve">Barriers </w:t>
      </w:r>
      <w:r>
        <w:t xml:space="preserve">to </w:t>
      </w:r>
      <w:r w:rsidRPr="001E68FE">
        <w:t>primary care pharmacists providing clinical services to patients with diabetes</w:t>
      </w:r>
      <w:bookmarkEnd w:id="232"/>
      <w:bookmarkEnd w:id="233"/>
    </w:p>
    <w:p w14:paraId="7666A871" w14:textId="77777777" w:rsidR="00821B82" w:rsidRDefault="00821B82" w:rsidP="00821B82">
      <w:pPr>
        <w:pStyle w:val="NormalWeb"/>
        <w:spacing w:line="360" w:lineRule="auto"/>
        <w:rPr>
          <w:rFonts w:asciiTheme="minorBidi" w:hAnsiTheme="minorBidi"/>
          <w:shd w:val="clear" w:color="auto" w:fill="FFFFFF"/>
        </w:rPr>
        <w:sectPr w:rsidR="00821B82" w:rsidSect="00282204">
          <w:pgSz w:w="15840" w:h="12240" w:orient="landscape"/>
          <w:pgMar w:top="1440" w:right="1440" w:bottom="1440" w:left="1440" w:header="720" w:footer="720" w:gutter="0"/>
          <w:cols w:space="720"/>
          <w:docGrid w:linePitch="360"/>
        </w:sectPr>
      </w:pPr>
    </w:p>
    <w:p w14:paraId="5B58F72D" w14:textId="77777777" w:rsidR="00821B82" w:rsidRPr="00B8310D" w:rsidRDefault="00821B82" w:rsidP="00821B82">
      <w:pPr>
        <w:pStyle w:val="Heading4"/>
        <w:numPr>
          <w:ilvl w:val="3"/>
          <w:numId w:val="14"/>
        </w:numPr>
        <w:tabs>
          <w:tab w:val="left" w:pos="810"/>
        </w:tabs>
        <w:spacing w:line="240" w:lineRule="auto"/>
        <w:rPr>
          <w:rFonts w:asciiTheme="minorBidi" w:hAnsiTheme="minorBidi" w:cstheme="minorBidi"/>
          <w:sz w:val="24"/>
          <w:szCs w:val="24"/>
        </w:rPr>
      </w:pPr>
      <w:r w:rsidRPr="00B8310D">
        <w:rPr>
          <w:rFonts w:asciiTheme="minorBidi" w:hAnsiTheme="minorBidi" w:cstheme="minorBidi"/>
          <w:sz w:val="24"/>
          <w:szCs w:val="24"/>
        </w:rPr>
        <w:t>Doctors, pharmacists, nurses’ views on the barriers to pharmacists providing diabetes-related services</w:t>
      </w:r>
    </w:p>
    <w:p w14:paraId="7F0F6A90" w14:textId="64646BD0" w:rsidR="00821B82" w:rsidRPr="00182A98" w:rsidRDefault="00821B82" w:rsidP="00821B82">
      <w:pPr>
        <w:spacing w:before="240" w:line="360" w:lineRule="auto"/>
        <w:jc w:val="both"/>
        <w:rPr>
          <w:rFonts w:ascii="Arial" w:hAnsi="Arial" w:cs="Arial"/>
          <w:sz w:val="24"/>
          <w:szCs w:val="24"/>
        </w:rPr>
      </w:pPr>
      <w:r w:rsidRPr="00182A98">
        <w:rPr>
          <w:rFonts w:ascii="Arial" w:hAnsi="Arial" w:cs="Arial"/>
          <w:sz w:val="24"/>
          <w:szCs w:val="24"/>
        </w:rPr>
        <w:t>There were no significant differences between the views of the three professional groups on the barriers to pharmacists providing diabetes-related services, see</w:t>
      </w:r>
      <w:r>
        <w:rPr>
          <w:rFonts w:ascii="Arial" w:hAnsi="Arial" w:cs="Arial"/>
          <w:sz w:val="24"/>
          <w:szCs w:val="24"/>
        </w:rPr>
        <w:t xml:space="preserve"> </w:t>
      </w:r>
      <w:r w:rsidRPr="00FD0535">
        <w:rPr>
          <w:rFonts w:ascii="Arial" w:hAnsi="Arial" w:cs="Arial"/>
          <w:color w:val="1F3864" w:themeColor="accent1" w:themeShade="80"/>
          <w:sz w:val="24"/>
          <w:szCs w:val="24"/>
        </w:rPr>
        <w:fldChar w:fldCharType="begin"/>
      </w:r>
      <w:r w:rsidRPr="00FD0535">
        <w:rPr>
          <w:rFonts w:ascii="Arial" w:hAnsi="Arial" w:cs="Arial"/>
          <w:color w:val="1F3864" w:themeColor="accent1" w:themeShade="80"/>
          <w:sz w:val="24"/>
          <w:szCs w:val="24"/>
        </w:rPr>
        <w:instrText xml:space="preserve"> REF _Ref122825943 \h  \* MERGEFORMAT </w:instrText>
      </w:r>
      <w:r w:rsidRPr="00FD0535">
        <w:rPr>
          <w:rFonts w:ascii="Arial" w:hAnsi="Arial" w:cs="Arial"/>
          <w:color w:val="1F3864" w:themeColor="accent1" w:themeShade="80"/>
          <w:sz w:val="24"/>
          <w:szCs w:val="24"/>
        </w:rPr>
      </w:r>
      <w:r w:rsidRPr="00FD0535">
        <w:rPr>
          <w:rFonts w:ascii="Arial" w:hAnsi="Arial" w:cs="Arial"/>
          <w:color w:val="1F3864" w:themeColor="accent1" w:themeShade="80"/>
          <w:sz w:val="24"/>
          <w:szCs w:val="24"/>
        </w:rPr>
        <w:fldChar w:fldCharType="separate"/>
      </w:r>
      <w:r w:rsidR="00B734DA" w:rsidRPr="00B734DA">
        <w:rPr>
          <w:rFonts w:ascii="Arial" w:hAnsi="Arial" w:cs="Arial"/>
          <w:color w:val="1F3864" w:themeColor="accent1" w:themeShade="80"/>
          <w:sz w:val="24"/>
          <w:szCs w:val="24"/>
        </w:rPr>
        <w:t>Table 25</w:t>
      </w:r>
      <w:r w:rsidRPr="00FD0535">
        <w:rPr>
          <w:rFonts w:ascii="Arial" w:hAnsi="Arial" w:cs="Arial"/>
          <w:color w:val="1F3864" w:themeColor="accent1" w:themeShade="80"/>
          <w:sz w:val="24"/>
          <w:szCs w:val="24"/>
        </w:rPr>
        <w:fldChar w:fldCharType="end"/>
      </w:r>
      <w:r w:rsidRPr="00FD0535">
        <w:rPr>
          <w:rFonts w:ascii="Arial" w:hAnsi="Arial" w:cs="Arial"/>
          <w:color w:val="1F3864" w:themeColor="accent1" w:themeShade="80"/>
          <w:sz w:val="24"/>
          <w:szCs w:val="24"/>
        </w:rPr>
        <w:t xml:space="preserve">. </w:t>
      </w:r>
      <w:r w:rsidRPr="00182A98">
        <w:rPr>
          <w:rFonts w:ascii="Arial" w:hAnsi="Arial" w:cs="Arial"/>
          <w:sz w:val="24"/>
          <w:szCs w:val="24"/>
        </w:rPr>
        <w:t>However,</w:t>
      </w:r>
      <w:r>
        <w:rPr>
          <w:rFonts w:ascii="Arial" w:hAnsi="Arial" w:cs="Arial"/>
          <w:sz w:val="24"/>
          <w:szCs w:val="24"/>
        </w:rPr>
        <w:t xml:space="preserve"> </w:t>
      </w:r>
      <w:r w:rsidRPr="000573A0">
        <w:rPr>
          <w:rFonts w:ascii="Arial" w:hAnsi="Arial" w:cs="Arial"/>
          <w:color w:val="1F3864" w:themeColor="accent1" w:themeShade="80"/>
          <w:sz w:val="24"/>
          <w:szCs w:val="24"/>
        </w:rPr>
        <w:fldChar w:fldCharType="begin"/>
      </w:r>
      <w:r w:rsidRPr="000573A0">
        <w:rPr>
          <w:rFonts w:ascii="Arial" w:hAnsi="Arial" w:cs="Arial"/>
          <w:color w:val="1F3864" w:themeColor="accent1" w:themeShade="80"/>
          <w:sz w:val="24"/>
          <w:szCs w:val="24"/>
        </w:rPr>
        <w:instrText xml:space="preserve"> REF _Ref122485771 \h  \* MERGEFORMAT </w:instrText>
      </w:r>
      <w:r w:rsidRPr="000573A0">
        <w:rPr>
          <w:rFonts w:ascii="Arial" w:hAnsi="Arial" w:cs="Arial"/>
          <w:color w:val="1F3864" w:themeColor="accent1" w:themeShade="80"/>
          <w:sz w:val="24"/>
          <w:szCs w:val="24"/>
        </w:rPr>
      </w:r>
      <w:r w:rsidRPr="000573A0">
        <w:rPr>
          <w:rFonts w:ascii="Arial" w:hAnsi="Arial" w:cs="Arial"/>
          <w:color w:val="1F3864" w:themeColor="accent1" w:themeShade="80"/>
          <w:sz w:val="24"/>
          <w:szCs w:val="24"/>
        </w:rPr>
        <w:fldChar w:fldCharType="separate"/>
      </w:r>
      <w:r w:rsidR="009A5DDE" w:rsidRPr="009A5DDE">
        <w:rPr>
          <w:rFonts w:ascii="Arial" w:hAnsi="Arial" w:cs="Arial"/>
          <w:color w:val="1F3864" w:themeColor="accent1" w:themeShade="80"/>
          <w:sz w:val="24"/>
          <w:szCs w:val="24"/>
        </w:rPr>
        <w:t>Figure 14</w:t>
      </w:r>
      <w:r w:rsidRPr="000573A0">
        <w:rPr>
          <w:rFonts w:ascii="Arial" w:hAnsi="Arial" w:cs="Arial"/>
          <w:color w:val="1F3864" w:themeColor="accent1" w:themeShade="80"/>
          <w:sz w:val="24"/>
          <w:szCs w:val="24"/>
        </w:rPr>
        <w:fldChar w:fldCharType="end"/>
      </w:r>
      <w:r w:rsidRPr="000573A0">
        <w:rPr>
          <w:rFonts w:ascii="Arial" w:hAnsi="Arial" w:cs="Arial"/>
          <w:sz w:val="24"/>
          <w:szCs w:val="24"/>
        </w:rPr>
        <w:t xml:space="preserve"> </w:t>
      </w:r>
      <w:r w:rsidRPr="00182A98">
        <w:rPr>
          <w:rFonts w:ascii="Arial" w:hAnsi="Arial" w:cs="Arial"/>
          <w:sz w:val="24"/>
          <w:szCs w:val="24"/>
        </w:rPr>
        <w:t xml:space="preserve">illustrates interesting results that barriers related to policymakers' and managers' attitudes towards pharmacists' roles in diabetes management were less agreed upon by doctors compared to other professional groups. In addition, the barrier of </w:t>
      </w:r>
      <w:r w:rsidRPr="00B0006A">
        <w:rPr>
          <w:rFonts w:ascii="Arial" w:hAnsi="Arial" w:cs="Arial"/>
          <w:sz w:val="24"/>
          <w:szCs w:val="24"/>
        </w:rPr>
        <w:t xml:space="preserve">Lack of </w:t>
      </w:r>
      <w:r>
        <w:rPr>
          <w:rFonts w:ascii="Arial" w:hAnsi="Arial" w:cs="Arial"/>
          <w:sz w:val="24"/>
          <w:szCs w:val="24"/>
        </w:rPr>
        <w:t>HCPs</w:t>
      </w:r>
      <w:r w:rsidRPr="00B0006A">
        <w:rPr>
          <w:rFonts w:ascii="Arial" w:hAnsi="Arial" w:cs="Arial"/>
          <w:sz w:val="24"/>
          <w:szCs w:val="24"/>
        </w:rPr>
        <w:t xml:space="preserve">’ confidence in pharmacists’ abilities </w:t>
      </w:r>
      <w:r>
        <w:rPr>
          <w:rFonts w:ascii="Arial" w:hAnsi="Arial" w:cs="Arial"/>
          <w:sz w:val="24"/>
          <w:szCs w:val="24"/>
        </w:rPr>
        <w:t>w</w:t>
      </w:r>
      <w:r w:rsidRPr="00182A98">
        <w:rPr>
          <w:rFonts w:ascii="Arial" w:hAnsi="Arial" w:cs="Arial"/>
          <w:sz w:val="24"/>
          <w:szCs w:val="24"/>
        </w:rPr>
        <w:t xml:space="preserve">as also obtained a lower doctors’ agreement (53%) than pharmacists’ agreement (64%) and nurses’ agreement (74%). Another interesting finding is that about half of the </w:t>
      </w:r>
      <w:r>
        <w:rPr>
          <w:rFonts w:ascii="Arial" w:hAnsi="Arial" w:cs="Arial"/>
          <w:sz w:val="24"/>
          <w:szCs w:val="24"/>
        </w:rPr>
        <w:t>doctors</w:t>
      </w:r>
      <w:r w:rsidRPr="00182A98">
        <w:rPr>
          <w:rFonts w:ascii="Arial" w:hAnsi="Arial" w:cs="Arial"/>
          <w:sz w:val="24"/>
          <w:szCs w:val="24"/>
        </w:rPr>
        <w:t xml:space="preserve"> agreed that pharmacists lack communication skills, while more than 80% of nurses agreed. Notice, it is very known in the Saudi MoH that doctors hold the policymakers' and managers' positions, so identifying their attitudes in this regard could be an advantage that could help pharmacists' involvement in diabetes care. </w:t>
      </w:r>
    </w:p>
    <w:p w14:paraId="0D7801C3" w14:textId="77777777" w:rsidR="00821B82" w:rsidRPr="00182A98" w:rsidRDefault="00821B82" w:rsidP="00821B82">
      <w:pPr>
        <w:spacing w:line="360" w:lineRule="auto"/>
        <w:jc w:val="both"/>
        <w:rPr>
          <w:rFonts w:ascii="Arial" w:hAnsi="Arial" w:cs="Arial"/>
          <w:sz w:val="24"/>
          <w:szCs w:val="24"/>
        </w:rPr>
      </w:pPr>
      <w:r w:rsidRPr="00182A98">
        <w:rPr>
          <w:rFonts w:ascii="Arial" w:hAnsi="Arial" w:cs="Arial"/>
          <w:sz w:val="24"/>
          <w:szCs w:val="24"/>
        </w:rPr>
        <w:t xml:space="preserve">Interesting results can also be seen in this figure: the barrier of Lack of confidence of pharmacists in themselves and their ability was obtained at a higher level of pharmacists' agreement (73%) than the level of agreement of other professional groups (57% and 63% for doctors' and nurses' agreement, respectively). </w:t>
      </w:r>
    </w:p>
    <w:p w14:paraId="4FE85B99" w14:textId="77777777" w:rsidR="00821B82" w:rsidRDefault="00821B82" w:rsidP="00821B82">
      <w:pPr>
        <w:spacing w:line="360" w:lineRule="auto"/>
        <w:jc w:val="both"/>
        <w:rPr>
          <w:rFonts w:ascii="Arial" w:hAnsi="Arial" w:cs="Arial"/>
          <w:sz w:val="24"/>
          <w:szCs w:val="24"/>
        </w:rPr>
        <w:sectPr w:rsidR="00821B82" w:rsidSect="00282204">
          <w:pgSz w:w="12240" w:h="15840"/>
          <w:pgMar w:top="1440" w:right="1440" w:bottom="1440" w:left="1440" w:header="720" w:footer="720" w:gutter="0"/>
          <w:cols w:space="720"/>
          <w:docGrid w:linePitch="360"/>
        </w:sectPr>
      </w:pPr>
    </w:p>
    <w:p w14:paraId="200EDA8B" w14:textId="228FA991" w:rsidR="00821B82" w:rsidRDefault="00821B82" w:rsidP="00821B82">
      <w:pPr>
        <w:pStyle w:val="Caption"/>
      </w:pPr>
      <w:bookmarkStart w:id="234" w:name="_Ref122825943"/>
      <w:bookmarkStart w:id="235" w:name="_Toc153894579"/>
      <w:r>
        <w:t xml:space="preserve">Table </w:t>
      </w:r>
      <w:fldSimple w:instr=" SEQ Table \* ARABIC ">
        <w:r w:rsidR="009B31EB">
          <w:rPr>
            <w:noProof/>
          </w:rPr>
          <w:t>25</w:t>
        </w:r>
      </w:fldSimple>
      <w:bookmarkEnd w:id="234"/>
      <w:r>
        <w:t xml:space="preserve">: Views of doctors, pharmacists, and nurses on the barriers to </w:t>
      </w:r>
      <w:r w:rsidRPr="001674D8">
        <w:t>pharmacists providing diabetes-related services</w:t>
      </w:r>
      <w:bookmarkEnd w:id="235"/>
    </w:p>
    <w:tbl>
      <w:tblPr>
        <w:tblW w:w="14179" w:type="dxa"/>
        <w:jc w:val="center"/>
        <w:tblLook w:val="04A0" w:firstRow="1" w:lastRow="0" w:firstColumn="1" w:lastColumn="0" w:noHBand="0" w:noVBand="1"/>
      </w:tblPr>
      <w:tblGrid>
        <w:gridCol w:w="5861"/>
        <w:gridCol w:w="1529"/>
        <w:gridCol w:w="909"/>
        <w:gridCol w:w="992"/>
        <w:gridCol w:w="1072"/>
        <w:gridCol w:w="798"/>
        <w:gridCol w:w="883"/>
        <w:gridCol w:w="1065"/>
        <w:gridCol w:w="1070"/>
      </w:tblGrid>
      <w:tr w:rsidR="00821B82" w:rsidRPr="00454BA4" w14:paraId="77CC1D39" w14:textId="77777777" w:rsidTr="00282204">
        <w:trPr>
          <w:cantSplit/>
          <w:trHeight w:val="855"/>
          <w:tblHeader/>
          <w:jc w:val="center"/>
        </w:trPr>
        <w:tc>
          <w:tcPr>
            <w:tcW w:w="5861" w:type="dxa"/>
            <w:vMerge w:val="restart"/>
            <w:shd w:val="clear" w:color="000000" w:fill="F2F2F2"/>
            <w:vAlign w:val="center"/>
            <w:hideMark/>
          </w:tcPr>
          <w:p w14:paraId="74E2D7CA" w14:textId="77777777" w:rsidR="00821B82" w:rsidRPr="00986F51" w:rsidRDefault="00821B82" w:rsidP="00282204">
            <w:pPr>
              <w:spacing w:after="0" w:line="240" w:lineRule="auto"/>
              <w:rPr>
                <w:rFonts w:asciiTheme="minorBidi" w:eastAsia="Times New Roman" w:hAnsiTheme="minorBidi"/>
                <w:color w:val="000000"/>
                <w:sz w:val="18"/>
                <w:szCs w:val="18"/>
              </w:rPr>
            </w:pPr>
            <w:r w:rsidRPr="00CB2677">
              <w:rPr>
                <w:rFonts w:asciiTheme="minorBidi" w:eastAsia="Times New Roman" w:hAnsiTheme="minorBidi"/>
                <w:color w:val="000000"/>
                <w:sz w:val="18"/>
                <w:szCs w:val="18"/>
              </w:rPr>
              <w:t>Barriers to pharmacists providing clinical services to patients with diabetes</w:t>
            </w:r>
          </w:p>
        </w:tc>
        <w:tc>
          <w:tcPr>
            <w:tcW w:w="1529" w:type="dxa"/>
            <w:vMerge w:val="restart"/>
            <w:shd w:val="clear" w:color="000000" w:fill="F2F2F2"/>
            <w:vAlign w:val="center"/>
            <w:hideMark/>
          </w:tcPr>
          <w:p w14:paraId="3D7D63A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Profession</w:t>
            </w:r>
          </w:p>
        </w:tc>
        <w:tc>
          <w:tcPr>
            <w:tcW w:w="4654" w:type="dxa"/>
            <w:gridSpan w:val="5"/>
            <w:shd w:val="clear" w:color="000000" w:fill="F2F2F2"/>
            <w:vAlign w:val="center"/>
            <w:hideMark/>
          </w:tcPr>
          <w:p w14:paraId="0E6506D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Responses rate in % by Doctors=49, Pharmacists=30, and Nurses=27</w:t>
            </w:r>
          </w:p>
        </w:tc>
        <w:tc>
          <w:tcPr>
            <w:tcW w:w="1065" w:type="dxa"/>
            <w:vMerge w:val="restart"/>
            <w:shd w:val="clear" w:color="000000" w:fill="F2F2F2"/>
            <w:vAlign w:val="center"/>
            <w:hideMark/>
          </w:tcPr>
          <w:p w14:paraId="54C5162A" w14:textId="77777777" w:rsidR="00821B82" w:rsidRPr="00454BA4"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Median (IQR)</w:t>
            </w:r>
          </w:p>
          <w:p w14:paraId="27F026D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70" w:type="dxa"/>
            <w:vMerge w:val="restart"/>
            <w:shd w:val="clear" w:color="000000" w:fill="F2F2F2"/>
            <w:vAlign w:val="center"/>
            <w:hideMark/>
          </w:tcPr>
          <w:p w14:paraId="430F014A" w14:textId="77777777" w:rsidR="00821B82" w:rsidRPr="00454BA4"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Fisher’s Exact</w:t>
            </w:r>
          </w:p>
          <w:p w14:paraId="31B13F0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r>
      <w:tr w:rsidR="00821B82" w:rsidRPr="00FE4C06" w14:paraId="4C6F8AA0" w14:textId="77777777" w:rsidTr="00282204">
        <w:trPr>
          <w:cantSplit/>
          <w:trHeight w:val="374"/>
          <w:tblHeader/>
          <w:jc w:val="center"/>
        </w:trPr>
        <w:tc>
          <w:tcPr>
            <w:tcW w:w="5861" w:type="dxa"/>
            <w:vMerge/>
            <w:tcBorders>
              <w:bottom w:val="single" w:sz="4" w:space="0" w:color="auto"/>
            </w:tcBorders>
            <w:shd w:val="clear" w:color="000000" w:fill="F2F2F2"/>
            <w:vAlign w:val="center"/>
            <w:hideMark/>
          </w:tcPr>
          <w:p w14:paraId="6C8A158E" w14:textId="77777777" w:rsidR="00821B82" w:rsidRPr="00FE4C06" w:rsidRDefault="00821B82" w:rsidP="00282204">
            <w:pPr>
              <w:spacing w:after="0" w:line="240" w:lineRule="auto"/>
              <w:rPr>
                <w:rFonts w:asciiTheme="minorBidi" w:eastAsia="Times New Roman" w:hAnsiTheme="minorBidi"/>
                <w:color w:val="000000"/>
                <w:sz w:val="16"/>
                <w:szCs w:val="16"/>
              </w:rPr>
            </w:pPr>
          </w:p>
        </w:tc>
        <w:tc>
          <w:tcPr>
            <w:tcW w:w="1529" w:type="dxa"/>
            <w:vMerge/>
            <w:tcBorders>
              <w:bottom w:val="single" w:sz="4" w:space="0" w:color="auto"/>
            </w:tcBorders>
            <w:shd w:val="clear" w:color="000000" w:fill="F2F2F2"/>
            <w:vAlign w:val="center"/>
            <w:hideMark/>
          </w:tcPr>
          <w:p w14:paraId="0869E08D" w14:textId="77777777" w:rsidR="00821B82" w:rsidRPr="00FE4C06" w:rsidRDefault="00821B82" w:rsidP="00282204">
            <w:pPr>
              <w:spacing w:after="0" w:line="240" w:lineRule="auto"/>
              <w:jc w:val="center"/>
              <w:rPr>
                <w:rFonts w:asciiTheme="minorBidi" w:eastAsia="Times New Roman" w:hAnsiTheme="minorBidi"/>
                <w:color w:val="000000"/>
                <w:sz w:val="16"/>
                <w:szCs w:val="16"/>
              </w:rPr>
            </w:pPr>
          </w:p>
        </w:tc>
        <w:tc>
          <w:tcPr>
            <w:tcW w:w="909" w:type="dxa"/>
            <w:tcBorders>
              <w:bottom w:val="single" w:sz="4" w:space="0" w:color="auto"/>
            </w:tcBorders>
            <w:shd w:val="clear" w:color="000000" w:fill="F2F2F2"/>
            <w:vAlign w:val="center"/>
            <w:hideMark/>
          </w:tcPr>
          <w:p w14:paraId="60D82D5B" w14:textId="77777777" w:rsidR="00821B82" w:rsidRPr="00FE4C06" w:rsidRDefault="00821B82" w:rsidP="00282204">
            <w:pPr>
              <w:spacing w:after="0" w:line="240" w:lineRule="auto"/>
              <w:jc w:val="center"/>
              <w:rPr>
                <w:rFonts w:asciiTheme="minorBidi" w:eastAsia="Times New Roman" w:hAnsiTheme="minorBidi"/>
                <w:color w:val="000000"/>
                <w:sz w:val="16"/>
                <w:szCs w:val="16"/>
              </w:rPr>
            </w:pPr>
            <w:r w:rsidRPr="00FE4C06">
              <w:rPr>
                <w:rFonts w:asciiTheme="minorBidi" w:eastAsia="Times New Roman" w:hAnsiTheme="minorBidi"/>
                <w:color w:val="000000"/>
                <w:sz w:val="16"/>
                <w:szCs w:val="16"/>
              </w:rPr>
              <w:t>Strongly disagree</w:t>
            </w:r>
          </w:p>
        </w:tc>
        <w:tc>
          <w:tcPr>
            <w:tcW w:w="992" w:type="dxa"/>
            <w:tcBorders>
              <w:bottom w:val="single" w:sz="4" w:space="0" w:color="auto"/>
            </w:tcBorders>
            <w:shd w:val="clear" w:color="000000" w:fill="F2F2F2"/>
            <w:vAlign w:val="center"/>
            <w:hideMark/>
          </w:tcPr>
          <w:p w14:paraId="6050D55F" w14:textId="77777777" w:rsidR="00821B82" w:rsidRPr="00FE4C06" w:rsidRDefault="00821B82" w:rsidP="00282204">
            <w:pPr>
              <w:spacing w:after="0" w:line="240" w:lineRule="auto"/>
              <w:jc w:val="center"/>
              <w:rPr>
                <w:rFonts w:asciiTheme="minorBidi" w:eastAsia="Times New Roman" w:hAnsiTheme="minorBidi"/>
                <w:color w:val="000000"/>
                <w:sz w:val="16"/>
                <w:szCs w:val="16"/>
              </w:rPr>
            </w:pPr>
            <w:r w:rsidRPr="00FE4C06">
              <w:rPr>
                <w:rFonts w:asciiTheme="minorBidi" w:eastAsia="Times New Roman" w:hAnsiTheme="minorBidi"/>
                <w:color w:val="000000"/>
                <w:sz w:val="16"/>
                <w:szCs w:val="16"/>
              </w:rPr>
              <w:t>Disagree</w:t>
            </w:r>
          </w:p>
        </w:tc>
        <w:tc>
          <w:tcPr>
            <w:tcW w:w="1072" w:type="dxa"/>
            <w:tcBorders>
              <w:bottom w:val="single" w:sz="4" w:space="0" w:color="auto"/>
            </w:tcBorders>
            <w:shd w:val="clear" w:color="000000" w:fill="F2F2F2"/>
            <w:vAlign w:val="center"/>
            <w:hideMark/>
          </w:tcPr>
          <w:p w14:paraId="18168B22" w14:textId="77777777" w:rsidR="00821B82" w:rsidRPr="00FE4C06" w:rsidRDefault="00821B82" w:rsidP="00282204">
            <w:pPr>
              <w:spacing w:after="0" w:line="240" w:lineRule="auto"/>
              <w:jc w:val="center"/>
              <w:rPr>
                <w:rFonts w:asciiTheme="minorBidi" w:eastAsia="Times New Roman" w:hAnsiTheme="minorBidi"/>
                <w:color w:val="000000"/>
                <w:sz w:val="16"/>
                <w:szCs w:val="16"/>
              </w:rPr>
            </w:pPr>
            <w:r w:rsidRPr="00FE4C06">
              <w:rPr>
                <w:rFonts w:asciiTheme="minorBidi" w:eastAsia="Times New Roman" w:hAnsiTheme="minorBidi"/>
                <w:color w:val="000000"/>
                <w:sz w:val="16"/>
                <w:szCs w:val="16"/>
              </w:rPr>
              <w:t>Neither agree nor disagree</w:t>
            </w:r>
          </w:p>
        </w:tc>
        <w:tc>
          <w:tcPr>
            <w:tcW w:w="798" w:type="dxa"/>
            <w:tcBorders>
              <w:bottom w:val="single" w:sz="4" w:space="0" w:color="auto"/>
            </w:tcBorders>
            <w:shd w:val="clear" w:color="000000" w:fill="F2F2F2"/>
            <w:vAlign w:val="center"/>
            <w:hideMark/>
          </w:tcPr>
          <w:p w14:paraId="33E4673A" w14:textId="77777777" w:rsidR="00821B82" w:rsidRPr="00FE4C06" w:rsidRDefault="00821B82" w:rsidP="00282204">
            <w:pPr>
              <w:spacing w:after="0" w:line="240" w:lineRule="auto"/>
              <w:jc w:val="center"/>
              <w:rPr>
                <w:rFonts w:asciiTheme="minorBidi" w:eastAsia="Times New Roman" w:hAnsiTheme="minorBidi"/>
                <w:color w:val="000000"/>
                <w:sz w:val="16"/>
                <w:szCs w:val="16"/>
              </w:rPr>
            </w:pPr>
            <w:r w:rsidRPr="00FE4C06">
              <w:rPr>
                <w:rFonts w:asciiTheme="minorBidi" w:eastAsia="Times New Roman" w:hAnsiTheme="minorBidi"/>
                <w:color w:val="000000"/>
                <w:sz w:val="16"/>
                <w:szCs w:val="16"/>
              </w:rPr>
              <w:t>Agree</w:t>
            </w:r>
          </w:p>
        </w:tc>
        <w:tc>
          <w:tcPr>
            <w:tcW w:w="883" w:type="dxa"/>
            <w:tcBorders>
              <w:bottom w:val="single" w:sz="4" w:space="0" w:color="auto"/>
            </w:tcBorders>
            <w:shd w:val="clear" w:color="000000" w:fill="F2F2F2"/>
            <w:vAlign w:val="center"/>
            <w:hideMark/>
          </w:tcPr>
          <w:p w14:paraId="5C58E7AC" w14:textId="77777777" w:rsidR="00821B82" w:rsidRPr="00FE4C06" w:rsidRDefault="00821B82" w:rsidP="00282204">
            <w:pPr>
              <w:spacing w:after="0" w:line="240" w:lineRule="auto"/>
              <w:jc w:val="center"/>
              <w:rPr>
                <w:rFonts w:asciiTheme="minorBidi" w:eastAsia="Times New Roman" w:hAnsiTheme="minorBidi"/>
                <w:color w:val="000000"/>
                <w:sz w:val="16"/>
                <w:szCs w:val="16"/>
              </w:rPr>
            </w:pPr>
            <w:r w:rsidRPr="00FE4C06">
              <w:rPr>
                <w:rFonts w:asciiTheme="minorBidi" w:eastAsia="Times New Roman" w:hAnsiTheme="minorBidi"/>
                <w:color w:val="000000"/>
                <w:sz w:val="16"/>
                <w:szCs w:val="16"/>
              </w:rPr>
              <w:t>Strongly agree</w:t>
            </w:r>
          </w:p>
        </w:tc>
        <w:tc>
          <w:tcPr>
            <w:tcW w:w="1065" w:type="dxa"/>
            <w:vMerge/>
            <w:tcBorders>
              <w:bottom w:val="single" w:sz="4" w:space="0" w:color="auto"/>
            </w:tcBorders>
            <w:shd w:val="clear" w:color="000000" w:fill="F2F2F2"/>
            <w:vAlign w:val="center"/>
            <w:hideMark/>
          </w:tcPr>
          <w:p w14:paraId="59BC95E3" w14:textId="77777777" w:rsidR="00821B82" w:rsidRPr="00FE4C06" w:rsidRDefault="00821B82" w:rsidP="00282204">
            <w:pPr>
              <w:spacing w:after="0" w:line="240" w:lineRule="auto"/>
              <w:jc w:val="center"/>
              <w:rPr>
                <w:rFonts w:asciiTheme="minorBidi" w:eastAsia="Times New Roman" w:hAnsiTheme="minorBidi"/>
                <w:color w:val="000000"/>
                <w:sz w:val="16"/>
                <w:szCs w:val="16"/>
              </w:rPr>
            </w:pPr>
          </w:p>
        </w:tc>
        <w:tc>
          <w:tcPr>
            <w:tcW w:w="1070" w:type="dxa"/>
            <w:vMerge/>
            <w:tcBorders>
              <w:bottom w:val="single" w:sz="4" w:space="0" w:color="auto"/>
            </w:tcBorders>
            <w:shd w:val="clear" w:color="000000" w:fill="F2F2F2"/>
            <w:vAlign w:val="center"/>
            <w:hideMark/>
          </w:tcPr>
          <w:p w14:paraId="32CF0E97" w14:textId="77777777" w:rsidR="00821B82" w:rsidRPr="00FE4C06" w:rsidRDefault="00821B82" w:rsidP="00282204">
            <w:pPr>
              <w:spacing w:after="0" w:line="240" w:lineRule="auto"/>
              <w:jc w:val="center"/>
              <w:rPr>
                <w:rFonts w:asciiTheme="minorBidi" w:eastAsia="Times New Roman" w:hAnsiTheme="minorBidi"/>
                <w:color w:val="000000"/>
                <w:sz w:val="16"/>
                <w:szCs w:val="16"/>
              </w:rPr>
            </w:pPr>
          </w:p>
        </w:tc>
      </w:tr>
      <w:tr w:rsidR="00821B82" w:rsidRPr="00454BA4" w14:paraId="63D047B7" w14:textId="77777777" w:rsidTr="00282204">
        <w:trPr>
          <w:trHeight w:val="387"/>
          <w:jc w:val="center"/>
        </w:trPr>
        <w:tc>
          <w:tcPr>
            <w:tcW w:w="5861" w:type="dxa"/>
            <w:tcBorders>
              <w:top w:val="single" w:sz="4" w:space="0" w:color="auto"/>
            </w:tcBorders>
            <w:shd w:val="clear" w:color="auto" w:fill="auto"/>
            <w:noWrap/>
            <w:vAlign w:val="center"/>
            <w:hideMark/>
          </w:tcPr>
          <w:p w14:paraId="6E25F8CF" w14:textId="77777777" w:rsidR="00821B82" w:rsidRPr="00986F51" w:rsidRDefault="00821B82" w:rsidP="00282204">
            <w:pPr>
              <w:spacing w:after="0" w:line="240" w:lineRule="auto"/>
              <w:rPr>
                <w:rFonts w:asciiTheme="minorBidi" w:eastAsia="Times New Roman" w:hAnsiTheme="minorBidi"/>
                <w:b/>
                <w:bCs/>
                <w:color w:val="4D4D4D"/>
                <w:sz w:val="18"/>
                <w:szCs w:val="18"/>
              </w:rPr>
            </w:pPr>
            <w:r w:rsidRPr="00986F51">
              <w:rPr>
                <w:rFonts w:asciiTheme="minorBidi" w:eastAsia="Times New Roman" w:hAnsiTheme="minorBidi"/>
                <w:b/>
                <w:bCs/>
                <w:color w:val="4D4D4D"/>
                <w:sz w:val="18"/>
                <w:szCs w:val="18"/>
              </w:rPr>
              <w:t>General Issues</w:t>
            </w:r>
            <w:r w:rsidRPr="00986F51">
              <w:rPr>
                <w:rFonts w:asciiTheme="minorBidi" w:eastAsia="Times New Roman" w:hAnsiTheme="minorBidi"/>
                <w:b/>
                <w:bCs/>
                <w:color w:val="000000"/>
                <w:sz w:val="18"/>
                <w:szCs w:val="18"/>
              </w:rPr>
              <w:t> </w:t>
            </w:r>
          </w:p>
        </w:tc>
        <w:tc>
          <w:tcPr>
            <w:tcW w:w="1529" w:type="dxa"/>
            <w:tcBorders>
              <w:top w:val="single" w:sz="4" w:space="0" w:color="auto"/>
            </w:tcBorders>
            <w:shd w:val="clear" w:color="auto" w:fill="auto"/>
            <w:vAlign w:val="center"/>
            <w:hideMark/>
          </w:tcPr>
          <w:p w14:paraId="41C7117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09" w:type="dxa"/>
            <w:tcBorders>
              <w:top w:val="single" w:sz="4" w:space="0" w:color="auto"/>
            </w:tcBorders>
            <w:shd w:val="clear" w:color="auto" w:fill="auto"/>
            <w:noWrap/>
            <w:vAlign w:val="bottom"/>
            <w:hideMark/>
          </w:tcPr>
          <w:p w14:paraId="0CF6BEA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92" w:type="dxa"/>
            <w:tcBorders>
              <w:top w:val="single" w:sz="4" w:space="0" w:color="auto"/>
            </w:tcBorders>
            <w:shd w:val="clear" w:color="auto" w:fill="auto"/>
            <w:noWrap/>
            <w:vAlign w:val="bottom"/>
            <w:hideMark/>
          </w:tcPr>
          <w:p w14:paraId="70FCE92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72" w:type="dxa"/>
            <w:tcBorders>
              <w:top w:val="single" w:sz="4" w:space="0" w:color="auto"/>
            </w:tcBorders>
            <w:shd w:val="clear" w:color="auto" w:fill="auto"/>
            <w:noWrap/>
            <w:vAlign w:val="bottom"/>
            <w:hideMark/>
          </w:tcPr>
          <w:p w14:paraId="3188766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798" w:type="dxa"/>
            <w:tcBorders>
              <w:top w:val="single" w:sz="4" w:space="0" w:color="auto"/>
            </w:tcBorders>
            <w:shd w:val="clear" w:color="auto" w:fill="auto"/>
            <w:noWrap/>
            <w:vAlign w:val="bottom"/>
            <w:hideMark/>
          </w:tcPr>
          <w:p w14:paraId="5B31FD3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883" w:type="dxa"/>
            <w:tcBorders>
              <w:top w:val="single" w:sz="4" w:space="0" w:color="auto"/>
            </w:tcBorders>
            <w:shd w:val="clear" w:color="auto" w:fill="auto"/>
            <w:noWrap/>
            <w:vAlign w:val="bottom"/>
            <w:hideMark/>
          </w:tcPr>
          <w:p w14:paraId="27CB231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65" w:type="dxa"/>
            <w:tcBorders>
              <w:top w:val="single" w:sz="4" w:space="0" w:color="auto"/>
            </w:tcBorders>
            <w:shd w:val="clear" w:color="auto" w:fill="auto"/>
            <w:vAlign w:val="center"/>
            <w:hideMark/>
          </w:tcPr>
          <w:p w14:paraId="370EA8A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70" w:type="dxa"/>
            <w:tcBorders>
              <w:top w:val="single" w:sz="4" w:space="0" w:color="auto"/>
            </w:tcBorders>
            <w:shd w:val="clear" w:color="auto" w:fill="auto"/>
            <w:vAlign w:val="center"/>
            <w:hideMark/>
          </w:tcPr>
          <w:p w14:paraId="4868494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r>
      <w:tr w:rsidR="00821B82" w:rsidRPr="00454BA4" w14:paraId="212B7FCD" w14:textId="77777777" w:rsidTr="00282204">
        <w:trPr>
          <w:trHeight w:val="258"/>
          <w:jc w:val="center"/>
        </w:trPr>
        <w:tc>
          <w:tcPr>
            <w:tcW w:w="5861" w:type="dxa"/>
            <w:vMerge w:val="restart"/>
            <w:shd w:val="clear" w:color="auto" w:fill="auto"/>
            <w:vAlign w:val="center"/>
            <w:hideMark/>
          </w:tcPr>
          <w:p w14:paraId="485C1B49"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The current primary care centre infrastructure </w:t>
            </w:r>
          </w:p>
          <w:p w14:paraId="108F9744"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6FAAB3B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shd w:val="clear" w:color="auto" w:fill="auto"/>
            <w:noWrap/>
            <w:vAlign w:val="bottom"/>
            <w:hideMark/>
          </w:tcPr>
          <w:p w14:paraId="02BD4D2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992" w:type="dxa"/>
            <w:shd w:val="clear" w:color="auto" w:fill="auto"/>
            <w:noWrap/>
            <w:vAlign w:val="bottom"/>
            <w:hideMark/>
          </w:tcPr>
          <w:p w14:paraId="334654C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1072" w:type="dxa"/>
            <w:shd w:val="clear" w:color="auto" w:fill="auto"/>
            <w:noWrap/>
            <w:vAlign w:val="bottom"/>
            <w:hideMark/>
          </w:tcPr>
          <w:p w14:paraId="2C2FD85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18</w:t>
            </w:r>
          </w:p>
        </w:tc>
        <w:tc>
          <w:tcPr>
            <w:tcW w:w="798" w:type="dxa"/>
            <w:shd w:val="clear" w:color="auto" w:fill="auto"/>
            <w:noWrap/>
            <w:vAlign w:val="bottom"/>
            <w:hideMark/>
          </w:tcPr>
          <w:p w14:paraId="428BAEB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47</w:t>
            </w:r>
          </w:p>
        </w:tc>
        <w:tc>
          <w:tcPr>
            <w:tcW w:w="883" w:type="dxa"/>
            <w:shd w:val="clear" w:color="auto" w:fill="auto"/>
            <w:noWrap/>
            <w:vAlign w:val="bottom"/>
            <w:hideMark/>
          </w:tcPr>
          <w:p w14:paraId="03B9866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22</w:t>
            </w:r>
          </w:p>
        </w:tc>
        <w:tc>
          <w:tcPr>
            <w:tcW w:w="1065" w:type="dxa"/>
            <w:shd w:val="clear" w:color="000000" w:fill="FFFFFF"/>
            <w:vAlign w:val="center"/>
            <w:hideMark/>
          </w:tcPr>
          <w:p w14:paraId="7F660FE8"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097D261B"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0.09</w:t>
            </w:r>
          </w:p>
        </w:tc>
      </w:tr>
      <w:tr w:rsidR="00821B82" w:rsidRPr="00454BA4" w14:paraId="50D9F3AC" w14:textId="77777777" w:rsidTr="00282204">
        <w:trPr>
          <w:trHeight w:val="278"/>
          <w:jc w:val="center"/>
        </w:trPr>
        <w:tc>
          <w:tcPr>
            <w:tcW w:w="5861" w:type="dxa"/>
            <w:vMerge/>
            <w:shd w:val="clear" w:color="auto" w:fill="auto"/>
            <w:vAlign w:val="center"/>
            <w:hideMark/>
          </w:tcPr>
          <w:p w14:paraId="1CD29279"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5549EBD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0FEAA18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shd w:val="clear" w:color="auto" w:fill="auto"/>
            <w:noWrap/>
            <w:vAlign w:val="bottom"/>
            <w:hideMark/>
          </w:tcPr>
          <w:p w14:paraId="374397E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1072" w:type="dxa"/>
            <w:shd w:val="clear" w:color="auto" w:fill="auto"/>
            <w:noWrap/>
            <w:vAlign w:val="bottom"/>
            <w:hideMark/>
          </w:tcPr>
          <w:p w14:paraId="3726526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798" w:type="dxa"/>
            <w:shd w:val="clear" w:color="auto" w:fill="auto"/>
            <w:noWrap/>
            <w:vAlign w:val="bottom"/>
            <w:hideMark/>
          </w:tcPr>
          <w:p w14:paraId="5435089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63</w:t>
            </w:r>
          </w:p>
        </w:tc>
        <w:tc>
          <w:tcPr>
            <w:tcW w:w="883" w:type="dxa"/>
            <w:shd w:val="clear" w:color="auto" w:fill="auto"/>
            <w:noWrap/>
            <w:vAlign w:val="bottom"/>
            <w:hideMark/>
          </w:tcPr>
          <w:p w14:paraId="1196B53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1065" w:type="dxa"/>
            <w:shd w:val="clear" w:color="000000" w:fill="FFFFFF"/>
            <w:vAlign w:val="center"/>
            <w:hideMark/>
          </w:tcPr>
          <w:p w14:paraId="5DB3A3B9"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(3.75-4)</w:t>
            </w:r>
          </w:p>
        </w:tc>
        <w:tc>
          <w:tcPr>
            <w:tcW w:w="1070" w:type="dxa"/>
            <w:shd w:val="clear" w:color="auto" w:fill="auto"/>
            <w:vAlign w:val="center"/>
            <w:hideMark/>
          </w:tcPr>
          <w:p w14:paraId="4F9CE3BF"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511E21D0" w14:textId="77777777" w:rsidTr="00282204">
        <w:trPr>
          <w:trHeight w:val="95"/>
          <w:jc w:val="center"/>
        </w:trPr>
        <w:tc>
          <w:tcPr>
            <w:tcW w:w="5861" w:type="dxa"/>
            <w:vMerge/>
            <w:shd w:val="clear" w:color="auto" w:fill="auto"/>
            <w:vAlign w:val="center"/>
            <w:hideMark/>
          </w:tcPr>
          <w:p w14:paraId="5465ECCB"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653A036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7DA0A60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bottom w:val="single" w:sz="4" w:space="0" w:color="auto"/>
            </w:tcBorders>
            <w:shd w:val="clear" w:color="auto" w:fill="auto"/>
            <w:noWrap/>
            <w:vAlign w:val="bottom"/>
            <w:hideMark/>
          </w:tcPr>
          <w:p w14:paraId="170F770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1072" w:type="dxa"/>
            <w:tcBorders>
              <w:bottom w:val="single" w:sz="4" w:space="0" w:color="auto"/>
            </w:tcBorders>
            <w:shd w:val="clear" w:color="auto" w:fill="auto"/>
            <w:noWrap/>
            <w:vAlign w:val="bottom"/>
            <w:hideMark/>
          </w:tcPr>
          <w:p w14:paraId="4755F87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30</w:t>
            </w:r>
          </w:p>
        </w:tc>
        <w:tc>
          <w:tcPr>
            <w:tcW w:w="798" w:type="dxa"/>
            <w:tcBorders>
              <w:bottom w:val="single" w:sz="4" w:space="0" w:color="auto"/>
            </w:tcBorders>
            <w:shd w:val="clear" w:color="auto" w:fill="auto"/>
            <w:noWrap/>
            <w:vAlign w:val="bottom"/>
            <w:hideMark/>
          </w:tcPr>
          <w:p w14:paraId="482A04E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56</w:t>
            </w:r>
          </w:p>
        </w:tc>
        <w:tc>
          <w:tcPr>
            <w:tcW w:w="883" w:type="dxa"/>
            <w:tcBorders>
              <w:bottom w:val="single" w:sz="4" w:space="0" w:color="auto"/>
            </w:tcBorders>
            <w:shd w:val="clear" w:color="auto" w:fill="auto"/>
            <w:noWrap/>
            <w:vAlign w:val="bottom"/>
            <w:hideMark/>
          </w:tcPr>
          <w:p w14:paraId="0F0A448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1065" w:type="dxa"/>
            <w:tcBorders>
              <w:bottom w:val="single" w:sz="4" w:space="0" w:color="auto"/>
            </w:tcBorders>
            <w:shd w:val="clear" w:color="000000" w:fill="FFFFFF"/>
            <w:vAlign w:val="center"/>
            <w:hideMark/>
          </w:tcPr>
          <w:p w14:paraId="17F363CE"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6F48A63B"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37507912" w14:textId="77777777" w:rsidTr="00282204">
        <w:trPr>
          <w:trHeight w:val="209"/>
          <w:jc w:val="center"/>
        </w:trPr>
        <w:tc>
          <w:tcPr>
            <w:tcW w:w="5861" w:type="dxa"/>
            <w:vMerge w:val="restart"/>
            <w:shd w:val="clear" w:color="auto" w:fill="auto"/>
            <w:vAlign w:val="center"/>
            <w:hideMark/>
          </w:tcPr>
          <w:p w14:paraId="0C04167C"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Inadequate teamwork among healthcare professionals in the primary healthcare centres</w:t>
            </w:r>
          </w:p>
          <w:p w14:paraId="13DF586F"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7A50557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76EAB5F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top w:val="single" w:sz="4" w:space="0" w:color="auto"/>
            </w:tcBorders>
            <w:shd w:val="clear" w:color="auto" w:fill="auto"/>
            <w:noWrap/>
            <w:vAlign w:val="bottom"/>
            <w:hideMark/>
          </w:tcPr>
          <w:p w14:paraId="25532CA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8</w:t>
            </w:r>
          </w:p>
        </w:tc>
        <w:tc>
          <w:tcPr>
            <w:tcW w:w="1072" w:type="dxa"/>
            <w:tcBorders>
              <w:top w:val="single" w:sz="4" w:space="0" w:color="auto"/>
            </w:tcBorders>
            <w:shd w:val="clear" w:color="auto" w:fill="auto"/>
            <w:noWrap/>
            <w:vAlign w:val="bottom"/>
            <w:hideMark/>
          </w:tcPr>
          <w:p w14:paraId="02E5DD5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16</w:t>
            </w:r>
          </w:p>
        </w:tc>
        <w:tc>
          <w:tcPr>
            <w:tcW w:w="798" w:type="dxa"/>
            <w:tcBorders>
              <w:top w:val="single" w:sz="4" w:space="0" w:color="auto"/>
            </w:tcBorders>
            <w:shd w:val="clear" w:color="auto" w:fill="auto"/>
            <w:noWrap/>
            <w:vAlign w:val="bottom"/>
            <w:hideMark/>
          </w:tcPr>
          <w:p w14:paraId="4769FD9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49</w:t>
            </w:r>
          </w:p>
        </w:tc>
        <w:tc>
          <w:tcPr>
            <w:tcW w:w="883" w:type="dxa"/>
            <w:tcBorders>
              <w:top w:val="single" w:sz="4" w:space="0" w:color="auto"/>
            </w:tcBorders>
            <w:shd w:val="clear" w:color="auto" w:fill="auto"/>
            <w:noWrap/>
            <w:vAlign w:val="bottom"/>
            <w:hideMark/>
          </w:tcPr>
          <w:p w14:paraId="48319A2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22</w:t>
            </w:r>
          </w:p>
        </w:tc>
        <w:tc>
          <w:tcPr>
            <w:tcW w:w="1065" w:type="dxa"/>
            <w:tcBorders>
              <w:top w:val="single" w:sz="4" w:space="0" w:color="auto"/>
            </w:tcBorders>
            <w:shd w:val="clear" w:color="000000" w:fill="FFFFFF"/>
            <w:vAlign w:val="center"/>
            <w:hideMark/>
          </w:tcPr>
          <w:p w14:paraId="31F3283A"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585B080B"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0.63</w:t>
            </w:r>
          </w:p>
        </w:tc>
      </w:tr>
      <w:tr w:rsidR="00821B82" w:rsidRPr="00454BA4" w14:paraId="14ECCEF5" w14:textId="77777777" w:rsidTr="00282204">
        <w:trPr>
          <w:trHeight w:val="326"/>
          <w:jc w:val="center"/>
        </w:trPr>
        <w:tc>
          <w:tcPr>
            <w:tcW w:w="5861" w:type="dxa"/>
            <w:vMerge/>
            <w:shd w:val="clear" w:color="auto" w:fill="auto"/>
            <w:vAlign w:val="center"/>
            <w:hideMark/>
          </w:tcPr>
          <w:p w14:paraId="254170AC"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5A8C34C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4FD0816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shd w:val="clear" w:color="auto" w:fill="auto"/>
            <w:noWrap/>
            <w:vAlign w:val="bottom"/>
            <w:hideMark/>
          </w:tcPr>
          <w:p w14:paraId="0D01AD4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1072" w:type="dxa"/>
            <w:shd w:val="clear" w:color="auto" w:fill="auto"/>
            <w:noWrap/>
            <w:vAlign w:val="bottom"/>
            <w:hideMark/>
          </w:tcPr>
          <w:p w14:paraId="14615A9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798" w:type="dxa"/>
            <w:shd w:val="clear" w:color="auto" w:fill="auto"/>
            <w:noWrap/>
            <w:vAlign w:val="bottom"/>
            <w:hideMark/>
          </w:tcPr>
          <w:p w14:paraId="75DDAFA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73</w:t>
            </w:r>
          </w:p>
        </w:tc>
        <w:tc>
          <w:tcPr>
            <w:tcW w:w="883" w:type="dxa"/>
            <w:shd w:val="clear" w:color="auto" w:fill="auto"/>
            <w:noWrap/>
            <w:vAlign w:val="bottom"/>
            <w:hideMark/>
          </w:tcPr>
          <w:p w14:paraId="54A9184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1065" w:type="dxa"/>
            <w:shd w:val="clear" w:color="000000" w:fill="FFFFFF"/>
            <w:vAlign w:val="center"/>
            <w:hideMark/>
          </w:tcPr>
          <w:p w14:paraId="761517A8"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22398D4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5C7FF24A" w14:textId="77777777" w:rsidTr="00282204">
        <w:trPr>
          <w:trHeight w:val="278"/>
          <w:jc w:val="center"/>
        </w:trPr>
        <w:tc>
          <w:tcPr>
            <w:tcW w:w="5861" w:type="dxa"/>
            <w:vMerge/>
            <w:shd w:val="clear" w:color="auto" w:fill="auto"/>
            <w:vAlign w:val="center"/>
            <w:hideMark/>
          </w:tcPr>
          <w:p w14:paraId="5BCC4666"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46B5962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3F4DA9D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bottom w:val="single" w:sz="4" w:space="0" w:color="auto"/>
            </w:tcBorders>
            <w:shd w:val="clear" w:color="auto" w:fill="auto"/>
            <w:noWrap/>
            <w:vAlign w:val="bottom"/>
            <w:hideMark/>
          </w:tcPr>
          <w:p w14:paraId="2178560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2088E64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798" w:type="dxa"/>
            <w:tcBorders>
              <w:bottom w:val="single" w:sz="4" w:space="0" w:color="auto"/>
            </w:tcBorders>
            <w:shd w:val="clear" w:color="auto" w:fill="auto"/>
            <w:noWrap/>
            <w:vAlign w:val="bottom"/>
            <w:hideMark/>
          </w:tcPr>
          <w:p w14:paraId="3EF6A07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67</w:t>
            </w:r>
          </w:p>
        </w:tc>
        <w:tc>
          <w:tcPr>
            <w:tcW w:w="883" w:type="dxa"/>
            <w:tcBorders>
              <w:bottom w:val="single" w:sz="4" w:space="0" w:color="auto"/>
            </w:tcBorders>
            <w:shd w:val="clear" w:color="auto" w:fill="auto"/>
            <w:noWrap/>
            <w:vAlign w:val="bottom"/>
            <w:hideMark/>
          </w:tcPr>
          <w:p w14:paraId="1677907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11</w:t>
            </w:r>
          </w:p>
        </w:tc>
        <w:tc>
          <w:tcPr>
            <w:tcW w:w="1065" w:type="dxa"/>
            <w:tcBorders>
              <w:bottom w:val="single" w:sz="4" w:space="0" w:color="auto"/>
            </w:tcBorders>
            <w:shd w:val="clear" w:color="000000" w:fill="FFFFFF"/>
            <w:vAlign w:val="center"/>
            <w:hideMark/>
          </w:tcPr>
          <w:p w14:paraId="03EDC96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545503CF"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5021BF56" w14:textId="77777777" w:rsidTr="00282204">
        <w:trPr>
          <w:trHeight w:val="278"/>
          <w:jc w:val="center"/>
        </w:trPr>
        <w:tc>
          <w:tcPr>
            <w:tcW w:w="5861" w:type="dxa"/>
            <w:vMerge w:val="restart"/>
            <w:shd w:val="clear" w:color="auto" w:fill="auto"/>
            <w:vAlign w:val="center"/>
            <w:hideMark/>
          </w:tcPr>
          <w:p w14:paraId="337EF5C6"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Resistance to change among healthcare providers </w:t>
            </w:r>
          </w:p>
          <w:p w14:paraId="28A76E32"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3A3B2FA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0BA0226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992" w:type="dxa"/>
            <w:tcBorders>
              <w:top w:val="single" w:sz="4" w:space="0" w:color="auto"/>
            </w:tcBorders>
            <w:shd w:val="clear" w:color="auto" w:fill="auto"/>
            <w:noWrap/>
            <w:vAlign w:val="bottom"/>
            <w:hideMark/>
          </w:tcPr>
          <w:p w14:paraId="195502F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16</w:t>
            </w:r>
          </w:p>
        </w:tc>
        <w:tc>
          <w:tcPr>
            <w:tcW w:w="1072" w:type="dxa"/>
            <w:tcBorders>
              <w:top w:val="single" w:sz="4" w:space="0" w:color="auto"/>
            </w:tcBorders>
            <w:shd w:val="clear" w:color="auto" w:fill="auto"/>
            <w:noWrap/>
            <w:vAlign w:val="bottom"/>
            <w:hideMark/>
          </w:tcPr>
          <w:p w14:paraId="6D5EA77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798" w:type="dxa"/>
            <w:tcBorders>
              <w:top w:val="single" w:sz="4" w:space="0" w:color="auto"/>
            </w:tcBorders>
            <w:shd w:val="clear" w:color="auto" w:fill="auto"/>
            <w:noWrap/>
            <w:vAlign w:val="bottom"/>
            <w:hideMark/>
          </w:tcPr>
          <w:p w14:paraId="634CAC1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51</w:t>
            </w:r>
          </w:p>
        </w:tc>
        <w:tc>
          <w:tcPr>
            <w:tcW w:w="883" w:type="dxa"/>
            <w:tcBorders>
              <w:top w:val="single" w:sz="4" w:space="0" w:color="auto"/>
            </w:tcBorders>
            <w:shd w:val="clear" w:color="auto" w:fill="auto"/>
            <w:noWrap/>
            <w:vAlign w:val="bottom"/>
            <w:hideMark/>
          </w:tcPr>
          <w:p w14:paraId="0F720EF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1065" w:type="dxa"/>
            <w:tcBorders>
              <w:top w:val="single" w:sz="4" w:space="0" w:color="auto"/>
            </w:tcBorders>
            <w:shd w:val="clear" w:color="000000" w:fill="FFFFFF"/>
            <w:vAlign w:val="center"/>
            <w:hideMark/>
          </w:tcPr>
          <w:p w14:paraId="25B53788"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(4-5)</w:t>
            </w:r>
          </w:p>
        </w:tc>
        <w:tc>
          <w:tcPr>
            <w:tcW w:w="1070" w:type="dxa"/>
            <w:shd w:val="clear" w:color="auto" w:fill="auto"/>
            <w:vAlign w:val="center"/>
            <w:hideMark/>
          </w:tcPr>
          <w:p w14:paraId="3420246A"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0.39</w:t>
            </w:r>
          </w:p>
        </w:tc>
      </w:tr>
      <w:tr w:rsidR="00821B82" w:rsidRPr="00454BA4" w14:paraId="52DCB7D6" w14:textId="77777777" w:rsidTr="00282204">
        <w:trPr>
          <w:trHeight w:val="346"/>
          <w:jc w:val="center"/>
        </w:trPr>
        <w:tc>
          <w:tcPr>
            <w:tcW w:w="5861" w:type="dxa"/>
            <w:vMerge/>
            <w:shd w:val="clear" w:color="auto" w:fill="auto"/>
            <w:vAlign w:val="center"/>
            <w:hideMark/>
          </w:tcPr>
          <w:p w14:paraId="39B6355D"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1E29F29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4A4BB74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shd w:val="clear" w:color="auto" w:fill="auto"/>
            <w:noWrap/>
            <w:vAlign w:val="bottom"/>
            <w:hideMark/>
          </w:tcPr>
          <w:p w14:paraId="55C43D9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1072" w:type="dxa"/>
            <w:shd w:val="clear" w:color="auto" w:fill="auto"/>
            <w:noWrap/>
            <w:vAlign w:val="bottom"/>
            <w:hideMark/>
          </w:tcPr>
          <w:p w14:paraId="647BDFA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798" w:type="dxa"/>
            <w:shd w:val="clear" w:color="auto" w:fill="auto"/>
            <w:noWrap/>
            <w:vAlign w:val="bottom"/>
            <w:hideMark/>
          </w:tcPr>
          <w:p w14:paraId="7F3F4DD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50</w:t>
            </w:r>
          </w:p>
        </w:tc>
        <w:tc>
          <w:tcPr>
            <w:tcW w:w="883" w:type="dxa"/>
            <w:shd w:val="clear" w:color="auto" w:fill="auto"/>
            <w:noWrap/>
            <w:vAlign w:val="bottom"/>
            <w:hideMark/>
          </w:tcPr>
          <w:p w14:paraId="3A9B662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23</w:t>
            </w:r>
          </w:p>
        </w:tc>
        <w:tc>
          <w:tcPr>
            <w:tcW w:w="1065" w:type="dxa"/>
            <w:shd w:val="clear" w:color="000000" w:fill="FFFFFF"/>
            <w:vAlign w:val="center"/>
            <w:hideMark/>
          </w:tcPr>
          <w:p w14:paraId="76AB205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(3-4.25)</w:t>
            </w:r>
          </w:p>
        </w:tc>
        <w:tc>
          <w:tcPr>
            <w:tcW w:w="1070" w:type="dxa"/>
            <w:shd w:val="clear" w:color="auto" w:fill="auto"/>
            <w:vAlign w:val="center"/>
            <w:hideMark/>
          </w:tcPr>
          <w:p w14:paraId="1E057816"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65DA32A1" w14:textId="77777777" w:rsidTr="00282204">
        <w:trPr>
          <w:trHeight w:val="114"/>
          <w:jc w:val="center"/>
        </w:trPr>
        <w:tc>
          <w:tcPr>
            <w:tcW w:w="5861" w:type="dxa"/>
            <w:vMerge/>
            <w:tcBorders>
              <w:bottom w:val="single" w:sz="4" w:space="0" w:color="auto"/>
            </w:tcBorders>
            <w:shd w:val="clear" w:color="auto" w:fill="auto"/>
            <w:vAlign w:val="center"/>
            <w:hideMark/>
          </w:tcPr>
          <w:p w14:paraId="78857065"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3235C2D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5381489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bottom w:val="single" w:sz="4" w:space="0" w:color="auto"/>
            </w:tcBorders>
            <w:shd w:val="clear" w:color="auto" w:fill="auto"/>
            <w:noWrap/>
            <w:vAlign w:val="bottom"/>
            <w:hideMark/>
          </w:tcPr>
          <w:p w14:paraId="21CB8EF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1072" w:type="dxa"/>
            <w:tcBorders>
              <w:bottom w:val="single" w:sz="4" w:space="0" w:color="auto"/>
            </w:tcBorders>
            <w:shd w:val="clear" w:color="auto" w:fill="auto"/>
            <w:noWrap/>
            <w:vAlign w:val="bottom"/>
            <w:hideMark/>
          </w:tcPr>
          <w:p w14:paraId="1937A09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798" w:type="dxa"/>
            <w:tcBorders>
              <w:bottom w:val="single" w:sz="4" w:space="0" w:color="auto"/>
            </w:tcBorders>
            <w:shd w:val="clear" w:color="auto" w:fill="auto"/>
            <w:noWrap/>
            <w:vAlign w:val="bottom"/>
            <w:hideMark/>
          </w:tcPr>
          <w:p w14:paraId="0617E5E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67</w:t>
            </w:r>
          </w:p>
        </w:tc>
        <w:tc>
          <w:tcPr>
            <w:tcW w:w="883" w:type="dxa"/>
            <w:tcBorders>
              <w:bottom w:val="single" w:sz="4" w:space="0" w:color="auto"/>
            </w:tcBorders>
            <w:shd w:val="clear" w:color="auto" w:fill="auto"/>
            <w:noWrap/>
            <w:vAlign w:val="bottom"/>
            <w:hideMark/>
          </w:tcPr>
          <w:p w14:paraId="5DDB486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1065" w:type="dxa"/>
            <w:tcBorders>
              <w:bottom w:val="single" w:sz="4" w:space="0" w:color="auto"/>
            </w:tcBorders>
            <w:shd w:val="clear" w:color="000000" w:fill="FFFFFF"/>
            <w:vAlign w:val="center"/>
            <w:hideMark/>
          </w:tcPr>
          <w:p w14:paraId="40755276"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tcBorders>
              <w:bottom w:val="single" w:sz="4" w:space="0" w:color="auto"/>
            </w:tcBorders>
            <w:shd w:val="clear" w:color="auto" w:fill="auto"/>
            <w:vAlign w:val="center"/>
            <w:hideMark/>
          </w:tcPr>
          <w:p w14:paraId="6FE957CC"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10B772F6" w14:textId="77777777" w:rsidTr="00282204">
        <w:trPr>
          <w:trHeight w:val="258"/>
          <w:jc w:val="center"/>
        </w:trPr>
        <w:tc>
          <w:tcPr>
            <w:tcW w:w="5861" w:type="dxa"/>
            <w:tcBorders>
              <w:top w:val="single" w:sz="4" w:space="0" w:color="auto"/>
            </w:tcBorders>
            <w:shd w:val="clear" w:color="auto" w:fill="auto"/>
            <w:noWrap/>
            <w:vAlign w:val="bottom"/>
            <w:hideMark/>
          </w:tcPr>
          <w:p w14:paraId="7ED53EB3" w14:textId="77777777" w:rsidR="00821B82" w:rsidRPr="00986F51" w:rsidRDefault="00821B82" w:rsidP="00282204">
            <w:pPr>
              <w:spacing w:after="0" w:line="240" w:lineRule="auto"/>
              <w:rPr>
                <w:rFonts w:asciiTheme="minorBidi" w:eastAsia="Times New Roman" w:hAnsiTheme="minorBidi"/>
                <w:b/>
                <w:bCs/>
                <w:color w:val="4D4D4D"/>
                <w:sz w:val="18"/>
                <w:szCs w:val="18"/>
              </w:rPr>
            </w:pPr>
            <w:r w:rsidRPr="00986F51">
              <w:rPr>
                <w:rFonts w:asciiTheme="minorBidi" w:eastAsia="Times New Roman" w:hAnsiTheme="minorBidi"/>
                <w:b/>
                <w:bCs/>
                <w:color w:val="4D4D4D"/>
                <w:sz w:val="18"/>
                <w:szCs w:val="18"/>
              </w:rPr>
              <w:t xml:space="preserve">Attitudes towards Pharmacists </w:t>
            </w:r>
          </w:p>
        </w:tc>
        <w:tc>
          <w:tcPr>
            <w:tcW w:w="1529" w:type="dxa"/>
            <w:tcBorders>
              <w:top w:val="single" w:sz="4" w:space="0" w:color="auto"/>
            </w:tcBorders>
            <w:shd w:val="clear" w:color="auto" w:fill="auto"/>
            <w:vAlign w:val="center"/>
            <w:hideMark/>
          </w:tcPr>
          <w:p w14:paraId="55D34EA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09" w:type="dxa"/>
            <w:tcBorders>
              <w:top w:val="single" w:sz="4" w:space="0" w:color="auto"/>
            </w:tcBorders>
            <w:shd w:val="clear" w:color="auto" w:fill="auto"/>
            <w:noWrap/>
            <w:vAlign w:val="bottom"/>
            <w:hideMark/>
          </w:tcPr>
          <w:p w14:paraId="267DB07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92" w:type="dxa"/>
            <w:tcBorders>
              <w:top w:val="single" w:sz="4" w:space="0" w:color="auto"/>
            </w:tcBorders>
            <w:shd w:val="clear" w:color="auto" w:fill="auto"/>
            <w:noWrap/>
            <w:vAlign w:val="bottom"/>
            <w:hideMark/>
          </w:tcPr>
          <w:p w14:paraId="3EE8985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72" w:type="dxa"/>
            <w:tcBorders>
              <w:top w:val="single" w:sz="4" w:space="0" w:color="auto"/>
            </w:tcBorders>
            <w:shd w:val="clear" w:color="auto" w:fill="auto"/>
            <w:noWrap/>
            <w:vAlign w:val="bottom"/>
            <w:hideMark/>
          </w:tcPr>
          <w:p w14:paraId="7C29B8F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798" w:type="dxa"/>
            <w:tcBorders>
              <w:top w:val="single" w:sz="4" w:space="0" w:color="auto"/>
            </w:tcBorders>
            <w:shd w:val="clear" w:color="auto" w:fill="auto"/>
            <w:noWrap/>
            <w:vAlign w:val="bottom"/>
            <w:hideMark/>
          </w:tcPr>
          <w:p w14:paraId="67A8E63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883" w:type="dxa"/>
            <w:tcBorders>
              <w:top w:val="single" w:sz="4" w:space="0" w:color="auto"/>
            </w:tcBorders>
            <w:shd w:val="clear" w:color="auto" w:fill="auto"/>
            <w:noWrap/>
            <w:vAlign w:val="bottom"/>
            <w:hideMark/>
          </w:tcPr>
          <w:p w14:paraId="5595B98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65" w:type="dxa"/>
            <w:tcBorders>
              <w:top w:val="single" w:sz="4" w:space="0" w:color="auto"/>
            </w:tcBorders>
            <w:shd w:val="clear" w:color="000000" w:fill="FFFFFF"/>
            <w:vAlign w:val="center"/>
            <w:hideMark/>
          </w:tcPr>
          <w:p w14:paraId="6BFC5F0A"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c>
          <w:tcPr>
            <w:tcW w:w="1070" w:type="dxa"/>
            <w:tcBorders>
              <w:top w:val="single" w:sz="4" w:space="0" w:color="auto"/>
            </w:tcBorders>
            <w:shd w:val="clear" w:color="auto" w:fill="auto"/>
            <w:vAlign w:val="center"/>
            <w:hideMark/>
          </w:tcPr>
          <w:p w14:paraId="4BD6F666"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7927522C" w14:textId="77777777" w:rsidTr="00282204">
        <w:trPr>
          <w:trHeight w:val="301"/>
          <w:jc w:val="center"/>
        </w:trPr>
        <w:tc>
          <w:tcPr>
            <w:tcW w:w="5861" w:type="dxa"/>
            <w:vMerge w:val="restart"/>
            <w:shd w:val="clear" w:color="auto" w:fill="auto"/>
            <w:vAlign w:val="center"/>
            <w:hideMark/>
          </w:tcPr>
          <w:p w14:paraId="68C1FAEA"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Policymakers’ attitudes toward pharmacists’ role </w:t>
            </w:r>
          </w:p>
          <w:p w14:paraId="74C3E202"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19C2625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shd w:val="clear" w:color="auto" w:fill="auto"/>
            <w:noWrap/>
            <w:vAlign w:val="bottom"/>
            <w:hideMark/>
          </w:tcPr>
          <w:p w14:paraId="5144322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shd w:val="clear" w:color="auto" w:fill="auto"/>
            <w:noWrap/>
            <w:vAlign w:val="bottom"/>
            <w:hideMark/>
          </w:tcPr>
          <w:p w14:paraId="4045982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12</w:t>
            </w:r>
          </w:p>
        </w:tc>
        <w:tc>
          <w:tcPr>
            <w:tcW w:w="1072" w:type="dxa"/>
            <w:shd w:val="clear" w:color="auto" w:fill="auto"/>
            <w:noWrap/>
            <w:vAlign w:val="bottom"/>
            <w:hideMark/>
          </w:tcPr>
          <w:p w14:paraId="48EAE5A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31</w:t>
            </w:r>
          </w:p>
        </w:tc>
        <w:tc>
          <w:tcPr>
            <w:tcW w:w="798" w:type="dxa"/>
            <w:shd w:val="clear" w:color="auto" w:fill="auto"/>
            <w:noWrap/>
            <w:vAlign w:val="bottom"/>
            <w:hideMark/>
          </w:tcPr>
          <w:p w14:paraId="767967E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37</w:t>
            </w:r>
          </w:p>
        </w:tc>
        <w:tc>
          <w:tcPr>
            <w:tcW w:w="883" w:type="dxa"/>
            <w:shd w:val="clear" w:color="auto" w:fill="auto"/>
            <w:noWrap/>
            <w:vAlign w:val="bottom"/>
            <w:hideMark/>
          </w:tcPr>
          <w:p w14:paraId="2A93C4C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1065" w:type="dxa"/>
            <w:shd w:val="clear" w:color="000000" w:fill="FFFFFF"/>
            <w:vAlign w:val="center"/>
            <w:hideMark/>
          </w:tcPr>
          <w:p w14:paraId="01F131F5"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000000" w:fill="FFFFFF"/>
            <w:vAlign w:val="center"/>
            <w:hideMark/>
          </w:tcPr>
          <w:p w14:paraId="1D163CC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0.12</w:t>
            </w:r>
          </w:p>
        </w:tc>
      </w:tr>
      <w:tr w:rsidR="00821B82" w:rsidRPr="00454BA4" w14:paraId="31535F54" w14:textId="77777777" w:rsidTr="00282204">
        <w:trPr>
          <w:trHeight w:val="282"/>
          <w:jc w:val="center"/>
        </w:trPr>
        <w:tc>
          <w:tcPr>
            <w:tcW w:w="5861" w:type="dxa"/>
            <w:vMerge/>
            <w:shd w:val="clear" w:color="auto" w:fill="auto"/>
            <w:vAlign w:val="center"/>
            <w:hideMark/>
          </w:tcPr>
          <w:p w14:paraId="748860AF"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2EF21FC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19B9AEB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shd w:val="clear" w:color="auto" w:fill="auto"/>
            <w:noWrap/>
            <w:vAlign w:val="bottom"/>
            <w:hideMark/>
          </w:tcPr>
          <w:p w14:paraId="036FAC3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shd w:val="clear" w:color="auto" w:fill="auto"/>
            <w:noWrap/>
            <w:vAlign w:val="bottom"/>
            <w:hideMark/>
          </w:tcPr>
          <w:p w14:paraId="6E2FAE9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798" w:type="dxa"/>
            <w:shd w:val="clear" w:color="auto" w:fill="auto"/>
            <w:noWrap/>
            <w:vAlign w:val="bottom"/>
            <w:hideMark/>
          </w:tcPr>
          <w:p w14:paraId="364A08E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50</w:t>
            </w:r>
          </w:p>
        </w:tc>
        <w:tc>
          <w:tcPr>
            <w:tcW w:w="883" w:type="dxa"/>
            <w:shd w:val="clear" w:color="auto" w:fill="auto"/>
            <w:noWrap/>
            <w:vAlign w:val="bottom"/>
            <w:hideMark/>
          </w:tcPr>
          <w:p w14:paraId="5143B61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23</w:t>
            </w:r>
          </w:p>
        </w:tc>
        <w:tc>
          <w:tcPr>
            <w:tcW w:w="1065" w:type="dxa"/>
            <w:shd w:val="clear" w:color="000000" w:fill="FFFFFF"/>
            <w:vAlign w:val="center"/>
            <w:hideMark/>
          </w:tcPr>
          <w:p w14:paraId="2DAE8BF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(3-4.25)</w:t>
            </w:r>
          </w:p>
        </w:tc>
        <w:tc>
          <w:tcPr>
            <w:tcW w:w="1070" w:type="dxa"/>
            <w:shd w:val="clear" w:color="000000" w:fill="FFFFFF"/>
            <w:vAlign w:val="center"/>
            <w:hideMark/>
          </w:tcPr>
          <w:p w14:paraId="1C3B7DBC"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4F802801" w14:textId="77777777" w:rsidTr="00282204">
        <w:trPr>
          <w:trHeight w:val="91"/>
          <w:jc w:val="center"/>
        </w:trPr>
        <w:tc>
          <w:tcPr>
            <w:tcW w:w="5861" w:type="dxa"/>
            <w:vMerge/>
            <w:shd w:val="clear" w:color="auto" w:fill="auto"/>
            <w:vAlign w:val="center"/>
            <w:hideMark/>
          </w:tcPr>
          <w:p w14:paraId="667CDEAC"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5F775F6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0194A48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bottom w:val="single" w:sz="4" w:space="0" w:color="auto"/>
            </w:tcBorders>
            <w:shd w:val="clear" w:color="auto" w:fill="auto"/>
            <w:noWrap/>
            <w:vAlign w:val="bottom"/>
            <w:hideMark/>
          </w:tcPr>
          <w:p w14:paraId="3E779C6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0DB8672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19</w:t>
            </w:r>
          </w:p>
        </w:tc>
        <w:tc>
          <w:tcPr>
            <w:tcW w:w="798" w:type="dxa"/>
            <w:tcBorders>
              <w:bottom w:val="single" w:sz="4" w:space="0" w:color="auto"/>
            </w:tcBorders>
            <w:shd w:val="clear" w:color="auto" w:fill="auto"/>
            <w:noWrap/>
            <w:vAlign w:val="bottom"/>
            <w:hideMark/>
          </w:tcPr>
          <w:p w14:paraId="7659FD8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67</w:t>
            </w:r>
          </w:p>
        </w:tc>
        <w:tc>
          <w:tcPr>
            <w:tcW w:w="883" w:type="dxa"/>
            <w:tcBorders>
              <w:bottom w:val="single" w:sz="4" w:space="0" w:color="auto"/>
            </w:tcBorders>
            <w:shd w:val="clear" w:color="auto" w:fill="auto"/>
            <w:noWrap/>
            <w:vAlign w:val="bottom"/>
            <w:hideMark/>
          </w:tcPr>
          <w:p w14:paraId="75605DB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65" w:type="dxa"/>
            <w:tcBorders>
              <w:bottom w:val="single" w:sz="4" w:space="0" w:color="auto"/>
            </w:tcBorders>
            <w:shd w:val="clear" w:color="000000" w:fill="FFFFFF"/>
            <w:vAlign w:val="center"/>
            <w:hideMark/>
          </w:tcPr>
          <w:p w14:paraId="0CF81385"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000000" w:fill="FFFFFF"/>
            <w:vAlign w:val="center"/>
            <w:hideMark/>
          </w:tcPr>
          <w:p w14:paraId="2411874C"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5F4F366B" w14:textId="77777777" w:rsidTr="00282204">
        <w:trPr>
          <w:trHeight w:val="338"/>
          <w:jc w:val="center"/>
        </w:trPr>
        <w:tc>
          <w:tcPr>
            <w:tcW w:w="5861" w:type="dxa"/>
            <w:vMerge w:val="restart"/>
            <w:shd w:val="clear" w:color="auto" w:fill="auto"/>
            <w:vAlign w:val="center"/>
            <w:hideMark/>
          </w:tcPr>
          <w:p w14:paraId="028B8D74"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Managers’ attitudes toward pharmacists’ role </w:t>
            </w:r>
          </w:p>
          <w:p w14:paraId="3EBE3B83"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22FDD60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7F0989C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top w:val="single" w:sz="4" w:space="0" w:color="auto"/>
            </w:tcBorders>
            <w:shd w:val="clear" w:color="auto" w:fill="auto"/>
            <w:noWrap/>
            <w:vAlign w:val="bottom"/>
            <w:hideMark/>
          </w:tcPr>
          <w:p w14:paraId="2BF8C94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16</w:t>
            </w:r>
          </w:p>
        </w:tc>
        <w:tc>
          <w:tcPr>
            <w:tcW w:w="1072" w:type="dxa"/>
            <w:tcBorders>
              <w:top w:val="single" w:sz="4" w:space="0" w:color="auto"/>
            </w:tcBorders>
            <w:shd w:val="clear" w:color="auto" w:fill="auto"/>
            <w:noWrap/>
            <w:vAlign w:val="bottom"/>
            <w:hideMark/>
          </w:tcPr>
          <w:p w14:paraId="024E850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25</w:t>
            </w:r>
          </w:p>
        </w:tc>
        <w:tc>
          <w:tcPr>
            <w:tcW w:w="798" w:type="dxa"/>
            <w:tcBorders>
              <w:top w:val="single" w:sz="4" w:space="0" w:color="auto"/>
            </w:tcBorders>
            <w:shd w:val="clear" w:color="auto" w:fill="auto"/>
            <w:noWrap/>
            <w:vAlign w:val="bottom"/>
            <w:hideMark/>
          </w:tcPr>
          <w:p w14:paraId="19524E6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39</w:t>
            </w:r>
          </w:p>
        </w:tc>
        <w:tc>
          <w:tcPr>
            <w:tcW w:w="883" w:type="dxa"/>
            <w:tcBorders>
              <w:top w:val="single" w:sz="4" w:space="0" w:color="auto"/>
            </w:tcBorders>
            <w:shd w:val="clear" w:color="auto" w:fill="auto"/>
            <w:noWrap/>
            <w:vAlign w:val="bottom"/>
            <w:hideMark/>
          </w:tcPr>
          <w:p w14:paraId="0595F49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16</w:t>
            </w:r>
          </w:p>
        </w:tc>
        <w:tc>
          <w:tcPr>
            <w:tcW w:w="1065" w:type="dxa"/>
            <w:tcBorders>
              <w:top w:val="single" w:sz="4" w:space="0" w:color="auto"/>
            </w:tcBorders>
            <w:shd w:val="clear" w:color="000000" w:fill="FFFFFF"/>
            <w:vAlign w:val="center"/>
            <w:hideMark/>
          </w:tcPr>
          <w:p w14:paraId="64D47641"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45C9870F"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0.16</w:t>
            </w:r>
          </w:p>
        </w:tc>
      </w:tr>
      <w:tr w:rsidR="00821B82" w:rsidRPr="00454BA4" w14:paraId="4D5BA57D" w14:textId="77777777" w:rsidTr="00282204">
        <w:trPr>
          <w:trHeight w:val="239"/>
          <w:jc w:val="center"/>
        </w:trPr>
        <w:tc>
          <w:tcPr>
            <w:tcW w:w="5861" w:type="dxa"/>
            <w:vMerge/>
            <w:shd w:val="clear" w:color="auto" w:fill="auto"/>
            <w:vAlign w:val="center"/>
            <w:hideMark/>
          </w:tcPr>
          <w:p w14:paraId="7CE79D41"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5C88C68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0634923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shd w:val="clear" w:color="auto" w:fill="auto"/>
            <w:noWrap/>
            <w:vAlign w:val="bottom"/>
            <w:hideMark/>
          </w:tcPr>
          <w:p w14:paraId="29D92C4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1072" w:type="dxa"/>
            <w:shd w:val="clear" w:color="auto" w:fill="auto"/>
            <w:noWrap/>
            <w:vAlign w:val="bottom"/>
            <w:hideMark/>
          </w:tcPr>
          <w:p w14:paraId="0B848EC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798" w:type="dxa"/>
            <w:shd w:val="clear" w:color="auto" w:fill="auto"/>
            <w:noWrap/>
            <w:vAlign w:val="bottom"/>
            <w:hideMark/>
          </w:tcPr>
          <w:p w14:paraId="7765A90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63</w:t>
            </w:r>
          </w:p>
        </w:tc>
        <w:tc>
          <w:tcPr>
            <w:tcW w:w="883" w:type="dxa"/>
            <w:shd w:val="clear" w:color="auto" w:fill="auto"/>
            <w:noWrap/>
            <w:vAlign w:val="bottom"/>
            <w:hideMark/>
          </w:tcPr>
          <w:p w14:paraId="12134C3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1065" w:type="dxa"/>
            <w:shd w:val="clear" w:color="000000" w:fill="FFFFFF"/>
            <w:vAlign w:val="center"/>
            <w:hideMark/>
          </w:tcPr>
          <w:p w14:paraId="09608506"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56DBE7E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1CD7AF0B" w14:textId="77777777" w:rsidTr="00282204">
        <w:trPr>
          <w:trHeight w:val="70"/>
          <w:jc w:val="center"/>
        </w:trPr>
        <w:tc>
          <w:tcPr>
            <w:tcW w:w="5861" w:type="dxa"/>
            <w:vMerge/>
            <w:shd w:val="clear" w:color="auto" w:fill="auto"/>
            <w:vAlign w:val="center"/>
            <w:hideMark/>
          </w:tcPr>
          <w:p w14:paraId="4FE884D3"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263C796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7909593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bottom w:val="single" w:sz="4" w:space="0" w:color="auto"/>
            </w:tcBorders>
            <w:shd w:val="clear" w:color="auto" w:fill="auto"/>
            <w:noWrap/>
            <w:vAlign w:val="bottom"/>
            <w:hideMark/>
          </w:tcPr>
          <w:p w14:paraId="76AFE6F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553DAD0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798" w:type="dxa"/>
            <w:tcBorders>
              <w:bottom w:val="single" w:sz="4" w:space="0" w:color="auto"/>
            </w:tcBorders>
            <w:shd w:val="clear" w:color="auto" w:fill="auto"/>
            <w:noWrap/>
            <w:vAlign w:val="bottom"/>
            <w:hideMark/>
          </w:tcPr>
          <w:p w14:paraId="3A2326F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70</w:t>
            </w:r>
          </w:p>
        </w:tc>
        <w:tc>
          <w:tcPr>
            <w:tcW w:w="883" w:type="dxa"/>
            <w:tcBorders>
              <w:bottom w:val="single" w:sz="4" w:space="0" w:color="auto"/>
            </w:tcBorders>
            <w:shd w:val="clear" w:color="auto" w:fill="auto"/>
            <w:noWrap/>
            <w:vAlign w:val="bottom"/>
            <w:hideMark/>
          </w:tcPr>
          <w:p w14:paraId="719B2B5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65" w:type="dxa"/>
            <w:tcBorders>
              <w:bottom w:val="single" w:sz="4" w:space="0" w:color="auto"/>
            </w:tcBorders>
            <w:shd w:val="clear" w:color="000000" w:fill="FFFFFF"/>
            <w:vAlign w:val="center"/>
            <w:hideMark/>
          </w:tcPr>
          <w:p w14:paraId="68D9D535"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07D54C2A"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7BC95411" w14:textId="77777777" w:rsidTr="00282204">
        <w:trPr>
          <w:trHeight w:val="345"/>
          <w:jc w:val="center"/>
        </w:trPr>
        <w:tc>
          <w:tcPr>
            <w:tcW w:w="5861" w:type="dxa"/>
            <w:vMerge w:val="restart"/>
            <w:shd w:val="clear" w:color="auto" w:fill="auto"/>
            <w:vAlign w:val="center"/>
            <w:hideMark/>
          </w:tcPr>
          <w:p w14:paraId="1962ECED"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Patients' attitudes toward pharmacists’ role </w:t>
            </w:r>
          </w:p>
          <w:p w14:paraId="0327EEDB"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2E03083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455F432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w:t>
            </w:r>
          </w:p>
        </w:tc>
        <w:tc>
          <w:tcPr>
            <w:tcW w:w="992" w:type="dxa"/>
            <w:tcBorders>
              <w:top w:val="single" w:sz="4" w:space="0" w:color="auto"/>
            </w:tcBorders>
            <w:shd w:val="clear" w:color="auto" w:fill="auto"/>
            <w:noWrap/>
            <w:vAlign w:val="bottom"/>
            <w:hideMark/>
          </w:tcPr>
          <w:p w14:paraId="72A12FB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27</w:t>
            </w:r>
          </w:p>
        </w:tc>
        <w:tc>
          <w:tcPr>
            <w:tcW w:w="1072" w:type="dxa"/>
            <w:tcBorders>
              <w:top w:val="single" w:sz="4" w:space="0" w:color="auto"/>
            </w:tcBorders>
            <w:shd w:val="clear" w:color="auto" w:fill="auto"/>
            <w:noWrap/>
            <w:vAlign w:val="bottom"/>
            <w:hideMark/>
          </w:tcPr>
          <w:p w14:paraId="2CAFC6C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18</w:t>
            </w:r>
          </w:p>
        </w:tc>
        <w:tc>
          <w:tcPr>
            <w:tcW w:w="798" w:type="dxa"/>
            <w:tcBorders>
              <w:top w:val="single" w:sz="4" w:space="0" w:color="auto"/>
            </w:tcBorders>
            <w:shd w:val="clear" w:color="auto" w:fill="auto"/>
            <w:noWrap/>
            <w:vAlign w:val="bottom"/>
            <w:hideMark/>
          </w:tcPr>
          <w:p w14:paraId="6E68ED7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41</w:t>
            </w:r>
          </w:p>
        </w:tc>
        <w:tc>
          <w:tcPr>
            <w:tcW w:w="883" w:type="dxa"/>
            <w:tcBorders>
              <w:top w:val="single" w:sz="4" w:space="0" w:color="auto"/>
            </w:tcBorders>
            <w:shd w:val="clear" w:color="auto" w:fill="auto"/>
            <w:noWrap/>
            <w:vAlign w:val="bottom"/>
            <w:hideMark/>
          </w:tcPr>
          <w:p w14:paraId="4A6C05F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8</w:t>
            </w:r>
          </w:p>
        </w:tc>
        <w:tc>
          <w:tcPr>
            <w:tcW w:w="1065" w:type="dxa"/>
            <w:tcBorders>
              <w:top w:val="single" w:sz="4" w:space="0" w:color="auto"/>
            </w:tcBorders>
            <w:shd w:val="clear" w:color="000000" w:fill="FFFFFF"/>
            <w:vAlign w:val="center"/>
            <w:hideMark/>
          </w:tcPr>
          <w:p w14:paraId="2D2EA7A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3 (2-4)</w:t>
            </w:r>
          </w:p>
        </w:tc>
        <w:tc>
          <w:tcPr>
            <w:tcW w:w="1070" w:type="dxa"/>
            <w:shd w:val="clear" w:color="auto" w:fill="auto"/>
            <w:vAlign w:val="center"/>
            <w:hideMark/>
          </w:tcPr>
          <w:p w14:paraId="71E1BAD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0.27</w:t>
            </w:r>
          </w:p>
        </w:tc>
      </w:tr>
      <w:tr w:rsidR="00821B82" w:rsidRPr="00454BA4" w14:paraId="2A1DFDBF" w14:textId="77777777" w:rsidTr="00282204">
        <w:trPr>
          <w:trHeight w:val="171"/>
          <w:jc w:val="center"/>
        </w:trPr>
        <w:tc>
          <w:tcPr>
            <w:tcW w:w="5861" w:type="dxa"/>
            <w:vMerge/>
            <w:shd w:val="clear" w:color="auto" w:fill="auto"/>
            <w:vAlign w:val="center"/>
            <w:hideMark/>
          </w:tcPr>
          <w:p w14:paraId="75AB1685"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3F8BE06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742BD10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992" w:type="dxa"/>
            <w:shd w:val="clear" w:color="auto" w:fill="auto"/>
            <w:noWrap/>
            <w:vAlign w:val="bottom"/>
            <w:hideMark/>
          </w:tcPr>
          <w:p w14:paraId="4FFE4FE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1072" w:type="dxa"/>
            <w:shd w:val="clear" w:color="auto" w:fill="auto"/>
            <w:noWrap/>
            <w:vAlign w:val="bottom"/>
            <w:hideMark/>
          </w:tcPr>
          <w:p w14:paraId="6A4B6B3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798" w:type="dxa"/>
            <w:shd w:val="clear" w:color="auto" w:fill="auto"/>
            <w:noWrap/>
            <w:vAlign w:val="bottom"/>
            <w:hideMark/>
          </w:tcPr>
          <w:p w14:paraId="6A5DF0B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47</w:t>
            </w:r>
          </w:p>
        </w:tc>
        <w:tc>
          <w:tcPr>
            <w:tcW w:w="883" w:type="dxa"/>
            <w:shd w:val="clear" w:color="auto" w:fill="auto"/>
            <w:noWrap/>
            <w:vAlign w:val="bottom"/>
            <w:hideMark/>
          </w:tcPr>
          <w:p w14:paraId="30E818A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1065" w:type="dxa"/>
            <w:shd w:val="clear" w:color="000000" w:fill="FFFFFF"/>
            <w:vAlign w:val="center"/>
            <w:hideMark/>
          </w:tcPr>
          <w:p w14:paraId="5306DB1E"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(2.75-4)</w:t>
            </w:r>
          </w:p>
        </w:tc>
        <w:tc>
          <w:tcPr>
            <w:tcW w:w="1070" w:type="dxa"/>
            <w:shd w:val="clear" w:color="auto" w:fill="auto"/>
            <w:vAlign w:val="center"/>
            <w:hideMark/>
          </w:tcPr>
          <w:p w14:paraId="4910F1E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06C2BBD2" w14:textId="77777777" w:rsidTr="00282204">
        <w:trPr>
          <w:trHeight w:val="320"/>
          <w:jc w:val="center"/>
        </w:trPr>
        <w:tc>
          <w:tcPr>
            <w:tcW w:w="5861" w:type="dxa"/>
            <w:vMerge/>
            <w:shd w:val="clear" w:color="auto" w:fill="auto"/>
            <w:vAlign w:val="center"/>
            <w:hideMark/>
          </w:tcPr>
          <w:p w14:paraId="5B9C4A66"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15DF05D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27F0F52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bottom w:val="single" w:sz="4" w:space="0" w:color="auto"/>
            </w:tcBorders>
            <w:shd w:val="clear" w:color="auto" w:fill="auto"/>
            <w:noWrap/>
            <w:vAlign w:val="bottom"/>
            <w:hideMark/>
          </w:tcPr>
          <w:p w14:paraId="61FAD64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1072" w:type="dxa"/>
            <w:tcBorders>
              <w:bottom w:val="single" w:sz="4" w:space="0" w:color="auto"/>
            </w:tcBorders>
            <w:shd w:val="clear" w:color="auto" w:fill="auto"/>
            <w:noWrap/>
            <w:vAlign w:val="bottom"/>
            <w:hideMark/>
          </w:tcPr>
          <w:p w14:paraId="6EFA4EB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798" w:type="dxa"/>
            <w:tcBorders>
              <w:bottom w:val="single" w:sz="4" w:space="0" w:color="auto"/>
            </w:tcBorders>
            <w:shd w:val="clear" w:color="auto" w:fill="auto"/>
            <w:noWrap/>
            <w:vAlign w:val="bottom"/>
            <w:hideMark/>
          </w:tcPr>
          <w:p w14:paraId="13AA607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74</w:t>
            </w:r>
          </w:p>
        </w:tc>
        <w:tc>
          <w:tcPr>
            <w:tcW w:w="883" w:type="dxa"/>
            <w:tcBorders>
              <w:bottom w:val="single" w:sz="4" w:space="0" w:color="auto"/>
            </w:tcBorders>
            <w:shd w:val="clear" w:color="auto" w:fill="auto"/>
            <w:noWrap/>
            <w:vAlign w:val="bottom"/>
            <w:hideMark/>
          </w:tcPr>
          <w:p w14:paraId="0A430EC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1065" w:type="dxa"/>
            <w:tcBorders>
              <w:bottom w:val="single" w:sz="4" w:space="0" w:color="auto"/>
            </w:tcBorders>
            <w:shd w:val="clear" w:color="000000" w:fill="FFFFFF"/>
            <w:vAlign w:val="center"/>
            <w:hideMark/>
          </w:tcPr>
          <w:p w14:paraId="499B549E"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670A0730"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3F78D311" w14:textId="77777777" w:rsidTr="00282204">
        <w:trPr>
          <w:trHeight w:val="278"/>
          <w:jc w:val="center"/>
        </w:trPr>
        <w:tc>
          <w:tcPr>
            <w:tcW w:w="5861" w:type="dxa"/>
            <w:vMerge w:val="restart"/>
            <w:shd w:val="clear" w:color="auto" w:fill="auto"/>
            <w:vAlign w:val="center"/>
            <w:hideMark/>
          </w:tcPr>
          <w:p w14:paraId="77AC12AB"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Lack of healthcare professionals’ confidence in pharmacists’ abilities </w:t>
            </w:r>
          </w:p>
          <w:p w14:paraId="1F5530D8"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223F98B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7CD2CB4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top w:val="single" w:sz="4" w:space="0" w:color="auto"/>
            </w:tcBorders>
            <w:shd w:val="clear" w:color="auto" w:fill="auto"/>
            <w:noWrap/>
            <w:vAlign w:val="bottom"/>
            <w:hideMark/>
          </w:tcPr>
          <w:p w14:paraId="3DCCFCA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12</w:t>
            </w:r>
          </w:p>
        </w:tc>
        <w:tc>
          <w:tcPr>
            <w:tcW w:w="1072" w:type="dxa"/>
            <w:tcBorders>
              <w:top w:val="single" w:sz="4" w:space="0" w:color="auto"/>
            </w:tcBorders>
            <w:shd w:val="clear" w:color="auto" w:fill="auto"/>
            <w:noWrap/>
            <w:vAlign w:val="bottom"/>
            <w:hideMark/>
          </w:tcPr>
          <w:p w14:paraId="7C05130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31</w:t>
            </w:r>
          </w:p>
        </w:tc>
        <w:tc>
          <w:tcPr>
            <w:tcW w:w="798" w:type="dxa"/>
            <w:tcBorders>
              <w:top w:val="single" w:sz="4" w:space="0" w:color="auto"/>
            </w:tcBorders>
            <w:shd w:val="clear" w:color="auto" w:fill="auto"/>
            <w:noWrap/>
            <w:vAlign w:val="bottom"/>
            <w:hideMark/>
          </w:tcPr>
          <w:p w14:paraId="69B8635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43</w:t>
            </w:r>
          </w:p>
        </w:tc>
        <w:tc>
          <w:tcPr>
            <w:tcW w:w="883" w:type="dxa"/>
            <w:tcBorders>
              <w:top w:val="single" w:sz="4" w:space="0" w:color="auto"/>
            </w:tcBorders>
            <w:shd w:val="clear" w:color="auto" w:fill="auto"/>
            <w:noWrap/>
            <w:vAlign w:val="bottom"/>
            <w:hideMark/>
          </w:tcPr>
          <w:p w14:paraId="61C6D77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1065" w:type="dxa"/>
            <w:tcBorders>
              <w:top w:val="single" w:sz="4" w:space="0" w:color="auto"/>
            </w:tcBorders>
            <w:shd w:val="clear" w:color="000000" w:fill="FFFFFF"/>
            <w:vAlign w:val="center"/>
            <w:hideMark/>
          </w:tcPr>
          <w:p w14:paraId="2445D80A"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267DB440"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0.41</w:t>
            </w:r>
          </w:p>
        </w:tc>
      </w:tr>
      <w:tr w:rsidR="00821B82" w:rsidRPr="00454BA4" w14:paraId="6BB5231A" w14:textId="77777777" w:rsidTr="00282204">
        <w:trPr>
          <w:trHeight w:val="278"/>
          <w:jc w:val="center"/>
        </w:trPr>
        <w:tc>
          <w:tcPr>
            <w:tcW w:w="5861" w:type="dxa"/>
            <w:vMerge/>
            <w:shd w:val="clear" w:color="auto" w:fill="auto"/>
            <w:vAlign w:val="center"/>
            <w:hideMark/>
          </w:tcPr>
          <w:p w14:paraId="19460886"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2EC1ABE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56EBE79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992" w:type="dxa"/>
            <w:shd w:val="clear" w:color="auto" w:fill="auto"/>
            <w:noWrap/>
            <w:vAlign w:val="bottom"/>
            <w:hideMark/>
          </w:tcPr>
          <w:p w14:paraId="331FD08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1072" w:type="dxa"/>
            <w:shd w:val="clear" w:color="auto" w:fill="auto"/>
            <w:noWrap/>
            <w:vAlign w:val="bottom"/>
            <w:hideMark/>
          </w:tcPr>
          <w:p w14:paraId="668F10D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798" w:type="dxa"/>
            <w:shd w:val="clear" w:color="auto" w:fill="auto"/>
            <w:noWrap/>
            <w:vAlign w:val="bottom"/>
            <w:hideMark/>
          </w:tcPr>
          <w:p w14:paraId="1985435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47</w:t>
            </w:r>
          </w:p>
        </w:tc>
        <w:tc>
          <w:tcPr>
            <w:tcW w:w="883" w:type="dxa"/>
            <w:shd w:val="clear" w:color="auto" w:fill="auto"/>
            <w:noWrap/>
            <w:vAlign w:val="bottom"/>
            <w:hideMark/>
          </w:tcPr>
          <w:p w14:paraId="2874845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1065" w:type="dxa"/>
            <w:shd w:val="clear" w:color="000000" w:fill="FFFFFF"/>
            <w:vAlign w:val="center"/>
            <w:hideMark/>
          </w:tcPr>
          <w:p w14:paraId="1906F35A"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(2.75-4)</w:t>
            </w:r>
          </w:p>
        </w:tc>
        <w:tc>
          <w:tcPr>
            <w:tcW w:w="1070" w:type="dxa"/>
            <w:shd w:val="clear" w:color="auto" w:fill="auto"/>
            <w:vAlign w:val="center"/>
            <w:hideMark/>
          </w:tcPr>
          <w:p w14:paraId="3AB2781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6A034650" w14:textId="77777777" w:rsidTr="00282204">
        <w:trPr>
          <w:trHeight w:val="291"/>
          <w:jc w:val="center"/>
        </w:trPr>
        <w:tc>
          <w:tcPr>
            <w:tcW w:w="5861" w:type="dxa"/>
            <w:vMerge/>
            <w:tcBorders>
              <w:bottom w:val="single" w:sz="4" w:space="0" w:color="auto"/>
            </w:tcBorders>
            <w:shd w:val="clear" w:color="auto" w:fill="auto"/>
            <w:vAlign w:val="center"/>
            <w:hideMark/>
          </w:tcPr>
          <w:p w14:paraId="1F10911C"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599BB1F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450745E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bottom w:val="single" w:sz="4" w:space="0" w:color="auto"/>
            </w:tcBorders>
            <w:shd w:val="clear" w:color="auto" w:fill="auto"/>
            <w:noWrap/>
            <w:vAlign w:val="bottom"/>
            <w:hideMark/>
          </w:tcPr>
          <w:p w14:paraId="4312258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2A35BD9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798" w:type="dxa"/>
            <w:tcBorders>
              <w:bottom w:val="single" w:sz="4" w:space="0" w:color="auto"/>
            </w:tcBorders>
            <w:shd w:val="clear" w:color="auto" w:fill="auto"/>
            <w:noWrap/>
            <w:vAlign w:val="bottom"/>
            <w:hideMark/>
          </w:tcPr>
          <w:p w14:paraId="6AB77A7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67</w:t>
            </w:r>
          </w:p>
        </w:tc>
        <w:tc>
          <w:tcPr>
            <w:tcW w:w="883" w:type="dxa"/>
            <w:tcBorders>
              <w:bottom w:val="single" w:sz="4" w:space="0" w:color="auto"/>
            </w:tcBorders>
            <w:shd w:val="clear" w:color="auto" w:fill="auto"/>
            <w:noWrap/>
            <w:vAlign w:val="bottom"/>
            <w:hideMark/>
          </w:tcPr>
          <w:p w14:paraId="1BE1DF9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65" w:type="dxa"/>
            <w:tcBorders>
              <w:bottom w:val="single" w:sz="4" w:space="0" w:color="auto"/>
            </w:tcBorders>
            <w:shd w:val="clear" w:color="000000" w:fill="FFFFFF"/>
            <w:vAlign w:val="center"/>
            <w:hideMark/>
          </w:tcPr>
          <w:p w14:paraId="434AFB05"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tcBorders>
              <w:bottom w:val="single" w:sz="4" w:space="0" w:color="auto"/>
            </w:tcBorders>
            <w:shd w:val="clear" w:color="auto" w:fill="auto"/>
            <w:vAlign w:val="center"/>
            <w:hideMark/>
          </w:tcPr>
          <w:p w14:paraId="2E8CC8E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5E78C5DD" w14:textId="77777777" w:rsidTr="00282204">
        <w:trPr>
          <w:trHeight w:val="337"/>
          <w:jc w:val="center"/>
        </w:trPr>
        <w:tc>
          <w:tcPr>
            <w:tcW w:w="5861" w:type="dxa"/>
            <w:tcBorders>
              <w:top w:val="single" w:sz="4" w:space="0" w:color="auto"/>
            </w:tcBorders>
            <w:shd w:val="clear" w:color="auto" w:fill="auto"/>
            <w:noWrap/>
            <w:vAlign w:val="bottom"/>
            <w:hideMark/>
          </w:tcPr>
          <w:p w14:paraId="1AAD5E74" w14:textId="77777777" w:rsidR="00821B82" w:rsidRPr="00986F51" w:rsidRDefault="00821B82" w:rsidP="00282204">
            <w:pPr>
              <w:spacing w:after="0" w:line="240" w:lineRule="auto"/>
              <w:rPr>
                <w:rFonts w:asciiTheme="minorBidi" w:eastAsia="Times New Roman" w:hAnsiTheme="minorBidi"/>
                <w:b/>
                <w:bCs/>
                <w:color w:val="4D4D4D"/>
                <w:sz w:val="18"/>
                <w:szCs w:val="18"/>
              </w:rPr>
            </w:pPr>
            <w:r w:rsidRPr="00986F51">
              <w:rPr>
                <w:rFonts w:asciiTheme="minorBidi" w:eastAsia="Times New Roman" w:hAnsiTheme="minorBidi"/>
                <w:b/>
                <w:bCs/>
                <w:color w:val="4D4D4D"/>
                <w:sz w:val="18"/>
                <w:szCs w:val="18"/>
              </w:rPr>
              <w:t>Pharmacist Attributes</w:t>
            </w:r>
          </w:p>
        </w:tc>
        <w:tc>
          <w:tcPr>
            <w:tcW w:w="1529" w:type="dxa"/>
            <w:tcBorders>
              <w:top w:val="single" w:sz="4" w:space="0" w:color="auto"/>
            </w:tcBorders>
            <w:shd w:val="clear" w:color="auto" w:fill="auto"/>
            <w:vAlign w:val="center"/>
            <w:hideMark/>
          </w:tcPr>
          <w:p w14:paraId="080D577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09" w:type="dxa"/>
            <w:tcBorders>
              <w:top w:val="single" w:sz="4" w:space="0" w:color="auto"/>
            </w:tcBorders>
            <w:shd w:val="clear" w:color="auto" w:fill="auto"/>
            <w:noWrap/>
            <w:vAlign w:val="bottom"/>
            <w:hideMark/>
          </w:tcPr>
          <w:p w14:paraId="02E23DF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92" w:type="dxa"/>
            <w:tcBorders>
              <w:top w:val="single" w:sz="4" w:space="0" w:color="auto"/>
            </w:tcBorders>
            <w:shd w:val="clear" w:color="auto" w:fill="auto"/>
            <w:noWrap/>
            <w:vAlign w:val="bottom"/>
            <w:hideMark/>
          </w:tcPr>
          <w:p w14:paraId="3C6FE14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72" w:type="dxa"/>
            <w:tcBorders>
              <w:top w:val="single" w:sz="4" w:space="0" w:color="auto"/>
            </w:tcBorders>
            <w:shd w:val="clear" w:color="auto" w:fill="auto"/>
            <w:noWrap/>
            <w:vAlign w:val="bottom"/>
            <w:hideMark/>
          </w:tcPr>
          <w:p w14:paraId="2B21611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798" w:type="dxa"/>
            <w:tcBorders>
              <w:top w:val="single" w:sz="4" w:space="0" w:color="auto"/>
            </w:tcBorders>
            <w:shd w:val="clear" w:color="auto" w:fill="auto"/>
            <w:noWrap/>
            <w:vAlign w:val="bottom"/>
            <w:hideMark/>
          </w:tcPr>
          <w:p w14:paraId="3A9798F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883" w:type="dxa"/>
            <w:tcBorders>
              <w:top w:val="single" w:sz="4" w:space="0" w:color="auto"/>
            </w:tcBorders>
            <w:shd w:val="clear" w:color="auto" w:fill="auto"/>
            <w:noWrap/>
            <w:vAlign w:val="bottom"/>
            <w:hideMark/>
          </w:tcPr>
          <w:p w14:paraId="64D3DFC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65" w:type="dxa"/>
            <w:tcBorders>
              <w:top w:val="single" w:sz="4" w:space="0" w:color="auto"/>
            </w:tcBorders>
            <w:shd w:val="clear" w:color="000000" w:fill="FFFFFF"/>
            <w:vAlign w:val="center"/>
            <w:hideMark/>
          </w:tcPr>
          <w:p w14:paraId="2F3C7091"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c>
          <w:tcPr>
            <w:tcW w:w="1070" w:type="dxa"/>
            <w:tcBorders>
              <w:top w:val="single" w:sz="4" w:space="0" w:color="auto"/>
            </w:tcBorders>
            <w:shd w:val="clear" w:color="auto" w:fill="auto"/>
            <w:vAlign w:val="center"/>
            <w:hideMark/>
          </w:tcPr>
          <w:p w14:paraId="3CB74903"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6B7B5576" w14:textId="77777777" w:rsidTr="00282204">
        <w:trPr>
          <w:trHeight w:val="267"/>
          <w:jc w:val="center"/>
        </w:trPr>
        <w:tc>
          <w:tcPr>
            <w:tcW w:w="5861" w:type="dxa"/>
            <w:shd w:val="clear" w:color="auto" w:fill="auto"/>
            <w:noWrap/>
            <w:vAlign w:val="bottom"/>
            <w:hideMark/>
          </w:tcPr>
          <w:p w14:paraId="5A4B9DF4" w14:textId="77777777" w:rsidR="00821B82" w:rsidRPr="00986F51" w:rsidRDefault="00821B82" w:rsidP="00282204">
            <w:pPr>
              <w:spacing w:after="0" w:line="240" w:lineRule="auto"/>
              <w:rPr>
                <w:rFonts w:asciiTheme="minorBidi" w:eastAsia="Times New Roman" w:hAnsiTheme="minorBidi"/>
                <w:b/>
                <w:bCs/>
                <w:color w:val="4D4D4D"/>
                <w:sz w:val="18"/>
                <w:szCs w:val="18"/>
              </w:rPr>
            </w:pPr>
            <w:r w:rsidRPr="00986F51">
              <w:rPr>
                <w:rFonts w:asciiTheme="minorBidi" w:eastAsia="Times New Roman" w:hAnsiTheme="minorBidi"/>
                <w:b/>
                <w:bCs/>
                <w:color w:val="4D4D4D"/>
                <w:sz w:val="18"/>
                <w:szCs w:val="18"/>
              </w:rPr>
              <w:t xml:space="preserve">1.      Skill/Knowledge-based </w:t>
            </w:r>
          </w:p>
        </w:tc>
        <w:tc>
          <w:tcPr>
            <w:tcW w:w="1529" w:type="dxa"/>
            <w:shd w:val="clear" w:color="auto" w:fill="auto"/>
            <w:vAlign w:val="center"/>
            <w:hideMark/>
          </w:tcPr>
          <w:p w14:paraId="21F77E5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09" w:type="dxa"/>
            <w:shd w:val="clear" w:color="auto" w:fill="auto"/>
            <w:noWrap/>
            <w:vAlign w:val="bottom"/>
            <w:hideMark/>
          </w:tcPr>
          <w:p w14:paraId="2EB6D49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92" w:type="dxa"/>
            <w:shd w:val="clear" w:color="auto" w:fill="auto"/>
            <w:noWrap/>
            <w:vAlign w:val="bottom"/>
            <w:hideMark/>
          </w:tcPr>
          <w:p w14:paraId="3707019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72" w:type="dxa"/>
            <w:shd w:val="clear" w:color="auto" w:fill="auto"/>
            <w:noWrap/>
            <w:vAlign w:val="bottom"/>
            <w:hideMark/>
          </w:tcPr>
          <w:p w14:paraId="22D5026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798" w:type="dxa"/>
            <w:shd w:val="clear" w:color="auto" w:fill="auto"/>
            <w:noWrap/>
            <w:vAlign w:val="bottom"/>
            <w:hideMark/>
          </w:tcPr>
          <w:p w14:paraId="60CA0F9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883" w:type="dxa"/>
            <w:shd w:val="clear" w:color="auto" w:fill="auto"/>
            <w:noWrap/>
            <w:vAlign w:val="bottom"/>
            <w:hideMark/>
          </w:tcPr>
          <w:p w14:paraId="42C6174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65" w:type="dxa"/>
            <w:shd w:val="clear" w:color="000000" w:fill="FFFFFF"/>
            <w:vAlign w:val="center"/>
            <w:hideMark/>
          </w:tcPr>
          <w:p w14:paraId="447915A7"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c>
          <w:tcPr>
            <w:tcW w:w="1070" w:type="dxa"/>
            <w:shd w:val="clear" w:color="auto" w:fill="auto"/>
            <w:vAlign w:val="center"/>
            <w:hideMark/>
          </w:tcPr>
          <w:p w14:paraId="74408D58"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6A9F38D2" w14:textId="77777777" w:rsidTr="00282204">
        <w:trPr>
          <w:trHeight w:val="79"/>
          <w:jc w:val="center"/>
        </w:trPr>
        <w:tc>
          <w:tcPr>
            <w:tcW w:w="5861" w:type="dxa"/>
            <w:vMerge w:val="restart"/>
            <w:shd w:val="clear" w:color="auto" w:fill="auto"/>
            <w:vAlign w:val="center"/>
            <w:hideMark/>
          </w:tcPr>
          <w:p w14:paraId="758A90AA"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Lack of clinical education of pharmacists</w:t>
            </w:r>
          </w:p>
          <w:p w14:paraId="5FDCD340"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35A1241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shd w:val="clear" w:color="auto" w:fill="auto"/>
            <w:noWrap/>
            <w:vAlign w:val="bottom"/>
            <w:hideMark/>
          </w:tcPr>
          <w:p w14:paraId="01F1E75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992" w:type="dxa"/>
            <w:shd w:val="clear" w:color="auto" w:fill="auto"/>
            <w:noWrap/>
            <w:vAlign w:val="bottom"/>
            <w:hideMark/>
          </w:tcPr>
          <w:p w14:paraId="3844A07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1072" w:type="dxa"/>
            <w:shd w:val="clear" w:color="auto" w:fill="auto"/>
            <w:noWrap/>
            <w:vAlign w:val="bottom"/>
            <w:hideMark/>
          </w:tcPr>
          <w:p w14:paraId="3BCBCC7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798" w:type="dxa"/>
            <w:shd w:val="clear" w:color="auto" w:fill="auto"/>
            <w:noWrap/>
            <w:vAlign w:val="bottom"/>
            <w:hideMark/>
          </w:tcPr>
          <w:p w14:paraId="1470EC8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65</w:t>
            </w:r>
          </w:p>
        </w:tc>
        <w:tc>
          <w:tcPr>
            <w:tcW w:w="883" w:type="dxa"/>
            <w:shd w:val="clear" w:color="auto" w:fill="auto"/>
            <w:noWrap/>
            <w:vAlign w:val="bottom"/>
            <w:hideMark/>
          </w:tcPr>
          <w:p w14:paraId="4B2E6FA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1065" w:type="dxa"/>
            <w:shd w:val="clear" w:color="000000" w:fill="FFFFFF"/>
            <w:vAlign w:val="center"/>
            <w:hideMark/>
          </w:tcPr>
          <w:p w14:paraId="4F7D27A3"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(3.5-4)</w:t>
            </w:r>
          </w:p>
        </w:tc>
        <w:tc>
          <w:tcPr>
            <w:tcW w:w="1070" w:type="dxa"/>
            <w:shd w:val="clear" w:color="auto" w:fill="auto"/>
            <w:vAlign w:val="center"/>
            <w:hideMark/>
          </w:tcPr>
          <w:p w14:paraId="0F66823E"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0.37</w:t>
            </w:r>
          </w:p>
        </w:tc>
      </w:tr>
      <w:tr w:rsidR="00821B82" w:rsidRPr="00454BA4" w14:paraId="2953D5A6" w14:textId="77777777" w:rsidTr="00282204">
        <w:trPr>
          <w:trHeight w:val="267"/>
          <w:jc w:val="center"/>
        </w:trPr>
        <w:tc>
          <w:tcPr>
            <w:tcW w:w="5861" w:type="dxa"/>
            <w:vMerge/>
            <w:shd w:val="clear" w:color="auto" w:fill="auto"/>
            <w:vAlign w:val="center"/>
            <w:hideMark/>
          </w:tcPr>
          <w:p w14:paraId="7953C83F"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1E3611A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1B50C5D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992" w:type="dxa"/>
            <w:shd w:val="clear" w:color="auto" w:fill="auto"/>
            <w:noWrap/>
            <w:vAlign w:val="bottom"/>
            <w:hideMark/>
          </w:tcPr>
          <w:p w14:paraId="04C247C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1072" w:type="dxa"/>
            <w:shd w:val="clear" w:color="auto" w:fill="auto"/>
            <w:noWrap/>
            <w:vAlign w:val="bottom"/>
            <w:hideMark/>
          </w:tcPr>
          <w:p w14:paraId="2C47ACF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798" w:type="dxa"/>
            <w:shd w:val="clear" w:color="auto" w:fill="auto"/>
            <w:noWrap/>
            <w:vAlign w:val="bottom"/>
            <w:hideMark/>
          </w:tcPr>
          <w:p w14:paraId="54C3C1F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57</w:t>
            </w:r>
          </w:p>
        </w:tc>
        <w:tc>
          <w:tcPr>
            <w:tcW w:w="883" w:type="dxa"/>
            <w:shd w:val="clear" w:color="auto" w:fill="auto"/>
            <w:noWrap/>
            <w:vAlign w:val="bottom"/>
            <w:hideMark/>
          </w:tcPr>
          <w:p w14:paraId="74F4338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1065" w:type="dxa"/>
            <w:shd w:val="clear" w:color="000000" w:fill="FFFFFF"/>
            <w:vAlign w:val="center"/>
            <w:hideMark/>
          </w:tcPr>
          <w:p w14:paraId="576ADC33"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(3.75-4)</w:t>
            </w:r>
          </w:p>
        </w:tc>
        <w:tc>
          <w:tcPr>
            <w:tcW w:w="1070" w:type="dxa"/>
            <w:shd w:val="clear" w:color="auto" w:fill="auto"/>
            <w:vAlign w:val="center"/>
            <w:hideMark/>
          </w:tcPr>
          <w:p w14:paraId="398E760E"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6AF92444" w14:textId="77777777" w:rsidTr="00282204">
        <w:trPr>
          <w:trHeight w:val="301"/>
          <w:jc w:val="center"/>
        </w:trPr>
        <w:tc>
          <w:tcPr>
            <w:tcW w:w="5861" w:type="dxa"/>
            <w:vMerge/>
            <w:shd w:val="clear" w:color="auto" w:fill="auto"/>
            <w:vAlign w:val="center"/>
            <w:hideMark/>
          </w:tcPr>
          <w:p w14:paraId="1037FDA0"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4F099F1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3F28350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bottom w:val="single" w:sz="4" w:space="0" w:color="auto"/>
            </w:tcBorders>
            <w:shd w:val="clear" w:color="auto" w:fill="auto"/>
            <w:noWrap/>
            <w:vAlign w:val="bottom"/>
            <w:hideMark/>
          </w:tcPr>
          <w:p w14:paraId="04863B7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2CA2E38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798" w:type="dxa"/>
            <w:tcBorders>
              <w:bottom w:val="single" w:sz="4" w:space="0" w:color="auto"/>
            </w:tcBorders>
            <w:shd w:val="clear" w:color="auto" w:fill="auto"/>
            <w:noWrap/>
            <w:vAlign w:val="bottom"/>
            <w:hideMark/>
          </w:tcPr>
          <w:p w14:paraId="7FFF491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63</w:t>
            </w:r>
          </w:p>
        </w:tc>
        <w:tc>
          <w:tcPr>
            <w:tcW w:w="883" w:type="dxa"/>
            <w:tcBorders>
              <w:bottom w:val="single" w:sz="4" w:space="0" w:color="auto"/>
            </w:tcBorders>
            <w:shd w:val="clear" w:color="auto" w:fill="auto"/>
            <w:noWrap/>
            <w:vAlign w:val="bottom"/>
            <w:hideMark/>
          </w:tcPr>
          <w:p w14:paraId="7FA5020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11</w:t>
            </w:r>
          </w:p>
        </w:tc>
        <w:tc>
          <w:tcPr>
            <w:tcW w:w="1065" w:type="dxa"/>
            <w:tcBorders>
              <w:bottom w:val="single" w:sz="4" w:space="0" w:color="auto"/>
            </w:tcBorders>
            <w:shd w:val="clear" w:color="000000" w:fill="FFFFFF"/>
            <w:vAlign w:val="center"/>
            <w:hideMark/>
          </w:tcPr>
          <w:p w14:paraId="784AAECF"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6421424B"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39C8DDCF" w14:textId="77777777" w:rsidTr="00282204">
        <w:trPr>
          <w:trHeight w:val="250"/>
          <w:jc w:val="center"/>
        </w:trPr>
        <w:tc>
          <w:tcPr>
            <w:tcW w:w="5861" w:type="dxa"/>
            <w:vMerge w:val="restart"/>
            <w:shd w:val="clear" w:color="auto" w:fill="auto"/>
            <w:vAlign w:val="center"/>
            <w:hideMark/>
          </w:tcPr>
          <w:p w14:paraId="72F1298E"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Lack of clinical experience of pharmacists </w:t>
            </w:r>
          </w:p>
          <w:p w14:paraId="28D4194F"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6BDBB4C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66B22DC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992" w:type="dxa"/>
            <w:tcBorders>
              <w:top w:val="single" w:sz="4" w:space="0" w:color="auto"/>
            </w:tcBorders>
            <w:shd w:val="clear" w:color="auto" w:fill="auto"/>
            <w:noWrap/>
            <w:vAlign w:val="bottom"/>
            <w:hideMark/>
          </w:tcPr>
          <w:p w14:paraId="5C92E0D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1072" w:type="dxa"/>
            <w:tcBorders>
              <w:top w:val="single" w:sz="4" w:space="0" w:color="auto"/>
            </w:tcBorders>
            <w:shd w:val="clear" w:color="auto" w:fill="auto"/>
            <w:noWrap/>
            <w:vAlign w:val="bottom"/>
            <w:hideMark/>
          </w:tcPr>
          <w:p w14:paraId="09C9799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8</w:t>
            </w:r>
          </w:p>
        </w:tc>
        <w:tc>
          <w:tcPr>
            <w:tcW w:w="798" w:type="dxa"/>
            <w:tcBorders>
              <w:top w:val="single" w:sz="4" w:space="0" w:color="auto"/>
            </w:tcBorders>
            <w:shd w:val="clear" w:color="auto" w:fill="auto"/>
            <w:noWrap/>
            <w:vAlign w:val="bottom"/>
            <w:hideMark/>
          </w:tcPr>
          <w:p w14:paraId="114B7B7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67</w:t>
            </w:r>
          </w:p>
        </w:tc>
        <w:tc>
          <w:tcPr>
            <w:tcW w:w="883" w:type="dxa"/>
            <w:tcBorders>
              <w:top w:val="single" w:sz="4" w:space="0" w:color="auto"/>
            </w:tcBorders>
            <w:shd w:val="clear" w:color="auto" w:fill="auto"/>
            <w:noWrap/>
            <w:vAlign w:val="bottom"/>
            <w:hideMark/>
          </w:tcPr>
          <w:p w14:paraId="17CD432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1065" w:type="dxa"/>
            <w:tcBorders>
              <w:top w:val="single" w:sz="4" w:space="0" w:color="auto"/>
            </w:tcBorders>
            <w:shd w:val="clear" w:color="000000" w:fill="FFFFFF"/>
            <w:vAlign w:val="center"/>
            <w:hideMark/>
          </w:tcPr>
          <w:p w14:paraId="3894FED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47022EC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0.75</w:t>
            </w:r>
          </w:p>
        </w:tc>
      </w:tr>
      <w:tr w:rsidR="00821B82" w:rsidRPr="00454BA4" w14:paraId="3AEA8397" w14:textId="77777777" w:rsidTr="00282204">
        <w:trPr>
          <w:trHeight w:val="357"/>
          <w:jc w:val="center"/>
        </w:trPr>
        <w:tc>
          <w:tcPr>
            <w:tcW w:w="5861" w:type="dxa"/>
            <w:vMerge/>
            <w:shd w:val="clear" w:color="auto" w:fill="auto"/>
            <w:vAlign w:val="center"/>
            <w:hideMark/>
          </w:tcPr>
          <w:p w14:paraId="69F22869"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0A0538A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055B702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992" w:type="dxa"/>
            <w:shd w:val="clear" w:color="auto" w:fill="auto"/>
            <w:noWrap/>
            <w:vAlign w:val="bottom"/>
            <w:hideMark/>
          </w:tcPr>
          <w:p w14:paraId="1FEB64D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1072" w:type="dxa"/>
            <w:shd w:val="clear" w:color="auto" w:fill="auto"/>
            <w:noWrap/>
            <w:vAlign w:val="bottom"/>
            <w:hideMark/>
          </w:tcPr>
          <w:p w14:paraId="248739B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798" w:type="dxa"/>
            <w:shd w:val="clear" w:color="auto" w:fill="auto"/>
            <w:noWrap/>
            <w:vAlign w:val="bottom"/>
            <w:hideMark/>
          </w:tcPr>
          <w:p w14:paraId="72BDACC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60</w:t>
            </w:r>
          </w:p>
        </w:tc>
        <w:tc>
          <w:tcPr>
            <w:tcW w:w="883" w:type="dxa"/>
            <w:shd w:val="clear" w:color="auto" w:fill="auto"/>
            <w:noWrap/>
            <w:vAlign w:val="bottom"/>
            <w:hideMark/>
          </w:tcPr>
          <w:p w14:paraId="719AD1F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1065" w:type="dxa"/>
            <w:shd w:val="clear" w:color="000000" w:fill="FFFFFF"/>
            <w:vAlign w:val="center"/>
            <w:hideMark/>
          </w:tcPr>
          <w:p w14:paraId="5B76ECF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7C6E9F8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3122D193" w14:textId="77777777" w:rsidTr="00282204">
        <w:trPr>
          <w:trHeight w:val="310"/>
          <w:jc w:val="center"/>
        </w:trPr>
        <w:tc>
          <w:tcPr>
            <w:tcW w:w="5861" w:type="dxa"/>
            <w:vMerge/>
            <w:shd w:val="clear" w:color="auto" w:fill="auto"/>
            <w:vAlign w:val="center"/>
            <w:hideMark/>
          </w:tcPr>
          <w:p w14:paraId="51C6FC6A"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59CE501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5AE262A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bottom w:val="single" w:sz="4" w:space="0" w:color="auto"/>
            </w:tcBorders>
            <w:shd w:val="clear" w:color="auto" w:fill="auto"/>
            <w:noWrap/>
            <w:vAlign w:val="bottom"/>
            <w:hideMark/>
          </w:tcPr>
          <w:p w14:paraId="39F0AA7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72" w:type="dxa"/>
            <w:tcBorders>
              <w:bottom w:val="single" w:sz="4" w:space="0" w:color="auto"/>
            </w:tcBorders>
            <w:shd w:val="clear" w:color="auto" w:fill="auto"/>
            <w:noWrap/>
            <w:vAlign w:val="bottom"/>
            <w:hideMark/>
          </w:tcPr>
          <w:p w14:paraId="60C9723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798" w:type="dxa"/>
            <w:tcBorders>
              <w:bottom w:val="single" w:sz="4" w:space="0" w:color="auto"/>
            </w:tcBorders>
            <w:shd w:val="clear" w:color="auto" w:fill="auto"/>
            <w:noWrap/>
            <w:vAlign w:val="bottom"/>
            <w:hideMark/>
          </w:tcPr>
          <w:p w14:paraId="2B2FD55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67</w:t>
            </w:r>
          </w:p>
        </w:tc>
        <w:tc>
          <w:tcPr>
            <w:tcW w:w="883" w:type="dxa"/>
            <w:tcBorders>
              <w:bottom w:val="single" w:sz="4" w:space="0" w:color="auto"/>
            </w:tcBorders>
            <w:shd w:val="clear" w:color="auto" w:fill="auto"/>
            <w:noWrap/>
            <w:vAlign w:val="bottom"/>
            <w:hideMark/>
          </w:tcPr>
          <w:p w14:paraId="651936C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11</w:t>
            </w:r>
          </w:p>
        </w:tc>
        <w:tc>
          <w:tcPr>
            <w:tcW w:w="1065" w:type="dxa"/>
            <w:tcBorders>
              <w:bottom w:val="single" w:sz="4" w:space="0" w:color="auto"/>
            </w:tcBorders>
            <w:shd w:val="clear" w:color="000000" w:fill="FFFFFF"/>
            <w:vAlign w:val="center"/>
            <w:hideMark/>
          </w:tcPr>
          <w:p w14:paraId="1356B8D9"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00FE26CA"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3CCB85F0" w14:textId="77777777" w:rsidTr="00282204">
        <w:trPr>
          <w:trHeight w:val="249"/>
          <w:jc w:val="center"/>
        </w:trPr>
        <w:tc>
          <w:tcPr>
            <w:tcW w:w="5861" w:type="dxa"/>
            <w:vMerge w:val="restart"/>
            <w:shd w:val="clear" w:color="auto" w:fill="auto"/>
            <w:vAlign w:val="center"/>
            <w:hideMark/>
          </w:tcPr>
          <w:p w14:paraId="1FCEC51B"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Lack of communication skills of pharmacists </w:t>
            </w:r>
          </w:p>
          <w:p w14:paraId="5A6C4D79"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07E5070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784BF85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992" w:type="dxa"/>
            <w:tcBorders>
              <w:top w:val="single" w:sz="4" w:space="0" w:color="auto"/>
            </w:tcBorders>
            <w:shd w:val="clear" w:color="auto" w:fill="auto"/>
            <w:noWrap/>
            <w:vAlign w:val="bottom"/>
            <w:hideMark/>
          </w:tcPr>
          <w:p w14:paraId="1582855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25</w:t>
            </w:r>
          </w:p>
        </w:tc>
        <w:tc>
          <w:tcPr>
            <w:tcW w:w="1072" w:type="dxa"/>
            <w:tcBorders>
              <w:top w:val="single" w:sz="4" w:space="0" w:color="auto"/>
            </w:tcBorders>
            <w:shd w:val="clear" w:color="auto" w:fill="auto"/>
            <w:noWrap/>
            <w:vAlign w:val="bottom"/>
            <w:hideMark/>
          </w:tcPr>
          <w:p w14:paraId="4B42E1F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22</w:t>
            </w:r>
          </w:p>
        </w:tc>
        <w:tc>
          <w:tcPr>
            <w:tcW w:w="798" w:type="dxa"/>
            <w:tcBorders>
              <w:top w:val="single" w:sz="4" w:space="0" w:color="auto"/>
            </w:tcBorders>
            <w:shd w:val="clear" w:color="auto" w:fill="auto"/>
            <w:noWrap/>
            <w:vAlign w:val="bottom"/>
            <w:hideMark/>
          </w:tcPr>
          <w:p w14:paraId="5FE41F9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35</w:t>
            </w:r>
          </w:p>
        </w:tc>
        <w:tc>
          <w:tcPr>
            <w:tcW w:w="883" w:type="dxa"/>
            <w:tcBorders>
              <w:top w:val="single" w:sz="4" w:space="0" w:color="auto"/>
            </w:tcBorders>
            <w:shd w:val="clear" w:color="auto" w:fill="auto"/>
            <w:noWrap/>
            <w:vAlign w:val="bottom"/>
            <w:hideMark/>
          </w:tcPr>
          <w:p w14:paraId="4D9BDF2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16</w:t>
            </w:r>
          </w:p>
        </w:tc>
        <w:tc>
          <w:tcPr>
            <w:tcW w:w="1065" w:type="dxa"/>
            <w:tcBorders>
              <w:top w:val="single" w:sz="4" w:space="0" w:color="auto"/>
            </w:tcBorders>
            <w:shd w:val="clear" w:color="000000" w:fill="FFFFFF"/>
            <w:vAlign w:val="center"/>
            <w:hideMark/>
          </w:tcPr>
          <w:p w14:paraId="6FCCE76E"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(2-4)</w:t>
            </w:r>
          </w:p>
        </w:tc>
        <w:tc>
          <w:tcPr>
            <w:tcW w:w="1070" w:type="dxa"/>
            <w:shd w:val="clear" w:color="auto" w:fill="auto"/>
            <w:vAlign w:val="center"/>
            <w:hideMark/>
          </w:tcPr>
          <w:p w14:paraId="22D7685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0.00</w:t>
            </w:r>
          </w:p>
        </w:tc>
      </w:tr>
      <w:tr w:rsidR="00821B82" w:rsidRPr="00454BA4" w14:paraId="7B12A880" w14:textId="77777777" w:rsidTr="00282204">
        <w:trPr>
          <w:trHeight w:val="287"/>
          <w:jc w:val="center"/>
        </w:trPr>
        <w:tc>
          <w:tcPr>
            <w:tcW w:w="5861" w:type="dxa"/>
            <w:vMerge/>
            <w:shd w:val="clear" w:color="auto" w:fill="auto"/>
            <w:vAlign w:val="center"/>
            <w:hideMark/>
          </w:tcPr>
          <w:p w14:paraId="66DE0CF8"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6FA47C8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144B341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992" w:type="dxa"/>
            <w:shd w:val="clear" w:color="auto" w:fill="auto"/>
            <w:noWrap/>
            <w:vAlign w:val="bottom"/>
            <w:hideMark/>
          </w:tcPr>
          <w:p w14:paraId="241A54C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1072" w:type="dxa"/>
            <w:shd w:val="clear" w:color="auto" w:fill="auto"/>
            <w:noWrap/>
            <w:vAlign w:val="bottom"/>
            <w:hideMark/>
          </w:tcPr>
          <w:p w14:paraId="213280B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798" w:type="dxa"/>
            <w:shd w:val="clear" w:color="auto" w:fill="auto"/>
            <w:noWrap/>
            <w:vAlign w:val="bottom"/>
            <w:hideMark/>
          </w:tcPr>
          <w:p w14:paraId="298128C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50</w:t>
            </w:r>
          </w:p>
        </w:tc>
        <w:tc>
          <w:tcPr>
            <w:tcW w:w="883" w:type="dxa"/>
            <w:shd w:val="clear" w:color="auto" w:fill="auto"/>
            <w:noWrap/>
            <w:vAlign w:val="bottom"/>
            <w:hideMark/>
          </w:tcPr>
          <w:p w14:paraId="5B061F8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1065" w:type="dxa"/>
            <w:shd w:val="clear" w:color="000000" w:fill="FFFFFF"/>
            <w:vAlign w:val="center"/>
            <w:hideMark/>
          </w:tcPr>
          <w:p w14:paraId="14F45197"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7BEAD5A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4A67E5F6" w14:textId="77777777" w:rsidTr="00282204">
        <w:trPr>
          <w:trHeight w:val="288"/>
          <w:jc w:val="center"/>
        </w:trPr>
        <w:tc>
          <w:tcPr>
            <w:tcW w:w="5861" w:type="dxa"/>
            <w:vMerge/>
            <w:shd w:val="clear" w:color="auto" w:fill="auto"/>
            <w:vAlign w:val="center"/>
            <w:hideMark/>
          </w:tcPr>
          <w:p w14:paraId="15D7320F"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7BA8312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7E729ED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992" w:type="dxa"/>
            <w:tcBorders>
              <w:bottom w:val="single" w:sz="4" w:space="0" w:color="auto"/>
            </w:tcBorders>
            <w:shd w:val="clear" w:color="auto" w:fill="auto"/>
            <w:noWrap/>
            <w:vAlign w:val="bottom"/>
            <w:hideMark/>
          </w:tcPr>
          <w:p w14:paraId="0E44EA7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72" w:type="dxa"/>
            <w:tcBorders>
              <w:bottom w:val="single" w:sz="4" w:space="0" w:color="auto"/>
            </w:tcBorders>
            <w:shd w:val="clear" w:color="auto" w:fill="auto"/>
            <w:noWrap/>
            <w:vAlign w:val="bottom"/>
            <w:hideMark/>
          </w:tcPr>
          <w:p w14:paraId="04E28B0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798" w:type="dxa"/>
            <w:tcBorders>
              <w:bottom w:val="single" w:sz="4" w:space="0" w:color="auto"/>
            </w:tcBorders>
            <w:shd w:val="clear" w:color="auto" w:fill="auto"/>
            <w:noWrap/>
            <w:vAlign w:val="bottom"/>
            <w:hideMark/>
          </w:tcPr>
          <w:p w14:paraId="01FD4CB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82</w:t>
            </w:r>
          </w:p>
        </w:tc>
        <w:tc>
          <w:tcPr>
            <w:tcW w:w="883" w:type="dxa"/>
            <w:tcBorders>
              <w:bottom w:val="single" w:sz="4" w:space="0" w:color="auto"/>
            </w:tcBorders>
            <w:shd w:val="clear" w:color="auto" w:fill="auto"/>
            <w:noWrap/>
            <w:vAlign w:val="bottom"/>
            <w:hideMark/>
          </w:tcPr>
          <w:p w14:paraId="6D73C30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1065" w:type="dxa"/>
            <w:tcBorders>
              <w:bottom w:val="single" w:sz="4" w:space="0" w:color="auto"/>
            </w:tcBorders>
            <w:shd w:val="clear" w:color="000000" w:fill="FFFFFF"/>
            <w:vAlign w:val="center"/>
            <w:hideMark/>
          </w:tcPr>
          <w:p w14:paraId="0D0E654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7C50FF87"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4572D926" w14:textId="77777777" w:rsidTr="00282204">
        <w:trPr>
          <w:trHeight w:val="260"/>
          <w:jc w:val="center"/>
        </w:trPr>
        <w:tc>
          <w:tcPr>
            <w:tcW w:w="5861" w:type="dxa"/>
            <w:vMerge w:val="restart"/>
            <w:shd w:val="clear" w:color="auto" w:fill="auto"/>
            <w:vAlign w:val="center"/>
            <w:hideMark/>
          </w:tcPr>
          <w:p w14:paraId="0EEDFB64"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Lack of confidence of pharmacists in themselves and their ability </w:t>
            </w:r>
          </w:p>
          <w:p w14:paraId="5AD1E9D1"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4203E37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2A3B608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top w:val="single" w:sz="4" w:space="0" w:color="auto"/>
            </w:tcBorders>
            <w:shd w:val="clear" w:color="auto" w:fill="auto"/>
            <w:noWrap/>
            <w:vAlign w:val="bottom"/>
            <w:hideMark/>
          </w:tcPr>
          <w:p w14:paraId="42F3936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12</w:t>
            </w:r>
          </w:p>
        </w:tc>
        <w:tc>
          <w:tcPr>
            <w:tcW w:w="1072" w:type="dxa"/>
            <w:tcBorders>
              <w:top w:val="single" w:sz="4" w:space="0" w:color="auto"/>
            </w:tcBorders>
            <w:shd w:val="clear" w:color="auto" w:fill="auto"/>
            <w:noWrap/>
            <w:vAlign w:val="bottom"/>
            <w:hideMark/>
          </w:tcPr>
          <w:p w14:paraId="156BC21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27</w:t>
            </w:r>
          </w:p>
        </w:tc>
        <w:tc>
          <w:tcPr>
            <w:tcW w:w="798" w:type="dxa"/>
            <w:tcBorders>
              <w:top w:val="single" w:sz="4" w:space="0" w:color="auto"/>
            </w:tcBorders>
            <w:shd w:val="clear" w:color="auto" w:fill="auto"/>
            <w:noWrap/>
            <w:vAlign w:val="bottom"/>
            <w:hideMark/>
          </w:tcPr>
          <w:p w14:paraId="6202ECF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45</w:t>
            </w:r>
          </w:p>
        </w:tc>
        <w:tc>
          <w:tcPr>
            <w:tcW w:w="883" w:type="dxa"/>
            <w:tcBorders>
              <w:top w:val="single" w:sz="4" w:space="0" w:color="auto"/>
            </w:tcBorders>
            <w:shd w:val="clear" w:color="auto" w:fill="auto"/>
            <w:noWrap/>
            <w:vAlign w:val="bottom"/>
            <w:hideMark/>
          </w:tcPr>
          <w:p w14:paraId="2549811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12</w:t>
            </w:r>
          </w:p>
        </w:tc>
        <w:tc>
          <w:tcPr>
            <w:tcW w:w="1065" w:type="dxa"/>
            <w:tcBorders>
              <w:top w:val="single" w:sz="4" w:space="0" w:color="auto"/>
            </w:tcBorders>
            <w:shd w:val="clear" w:color="000000" w:fill="FFFFFF"/>
            <w:vAlign w:val="center"/>
            <w:hideMark/>
          </w:tcPr>
          <w:p w14:paraId="0FE95201"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04FBA84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0.24</w:t>
            </w:r>
          </w:p>
        </w:tc>
      </w:tr>
      <w:tr w:rsidR="00821B82" w:rsidRPr="00454BA4" w14:paraId="2AA59417" w14:textId="77777777" w:rsidTr="00282204">
        <w:trPr>
          <w:trHeight w:val="200"/>
          <w:jc w:val="center"/>
        </w:trPr>
        <w:tc>
          <w:tcPr>
            <w:tcW w:w="5861" w:type="dxa"/>
            <w:vMerge/>
            <w:shd w:val="clear" w:color="auto" w:fill="auto"/>
            <w:vAlign w:val="center"/>
            <w:hideMark/>
          </w:tcPr>
          <w:p w14:paraId="6201533B"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67E2E2C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0622350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992" w:type="dxa"/>
            <w:shd w:val="clear" w:color="auto" w:fill="auto"/>
            <w:noWrap/>
            <w:vAlign w:val="bottom"/>
            <w:hideMark/>
          </w:tcPr>
          <w:p w14:paraId="6957F28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1072" w:type="dxa"/>
            <w:shd w:val="clear" w:color="auto" w:fill="auto"/>
            <w:noWrap/>
            <w:vAlign w:val="bottom"/>
            <w:hideMark/>
          </w:tcPr>
          <w:p w14:paraId="6E00015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798" w:type="dxa"/>
            <w:shd w:val="clear" w:color="auto" w:fill="auto"/>
            <w:noWrap/>
            <w:vAlign w:val="bottom"/>
            <w:hideMark/>
          </w:tcPr>
          <w:p w14:paraId="1140D18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53</w:t>
            </w:r>
          </w:p>
        </w:tc>
        <w:tc>
          <w:tcPr>
            <w:tcW w:w="883" w:type="dxa"/>
            <w:shd w:val="clear" w:color="auto" w:fill="auto"/>
            <w:noWrap/>
            <w:vAlign w:val="bottom"/>
            <w:hideMark/>
          </w:tcPr>
          <w:p w14:paraId="7EB22CC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1065" w:type="dxa"/>
            <w:shd w:val="clear" w:color="000000" w:fill="FFFFFF"/>
            <w:vAlign w:val="center"/>
            <w:hideMark/>
          </w:tcPr>
          <w:p w14:paraId="146CFC9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3422806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74CAB8E3" w14:textId="77777777" w:rsidTr="00282204">
        <w:trPr>
          <w:trHeight w:val="297"/>
          <w:jc w:val="center"/>
        </w:trPr>
        <w:tc>
          <w:tcPr>
            <w:tcW w:w="5861" w:type="dxa"/>
            <w:vMerge/>
            <w:shd w:val="clear" w:color="auto" w:fill="auto"/>
            <w:vAlign w:val="center"/>
            <w:hideMark/>
          </w:tcPr>
          <w:p w14:paraId="2D2EFC91"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7E9C01B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41FACEC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992" w:type="dxa"/>
            <w:tcBorders>
              <w:bottom w:val="single" w:sz="4" w:space="0" w:color="auto"/>
            </w:tcBorders>
            <w:shd w:val="clear" w:color="auto" w:fill="auto"/>
            <w:noWrap/>
            <w:vAlign w:val="bottom"/>
            <w:hideMark/>
          </w:tcPr>
          <w:p w14:paraId="4DDB878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11</w:t>
            </w:r>
          </w:p>
        </w:tc>
        <w:tc>
          <w:tcPr>
            <w:tcW w:w="1072" w:type="dxa"/>
            <w:tcBorders>
              <w:bottom w:val="single" w:sz="4" w:space="0" w:color="auto"/>
            </w:tcBorders>
            <w:shd w:val="clear" w:color="auto" w:fill="auto"/>
            <w:noWrap/>
            <w:vAlign w:val="bottom"/>
            <w:hideMark/>
          </w:tcPr>
          <w:p w14:paraId="79EB1AB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19</w:t>
            </w:r>
          </w:p>
        </w:tc>
        <w:tc>
          <w:tcPr>
            <w:tcW w:w="798" w:type="dxa"/>
            <w:tcBorders>
              <w:bottom w:val="single" w:sz="4" w:space="0" w:color="auto"/>
            </w:tcBorders>
            <w:shd w:val="clear" w:color="auto" w:fill="auto"/>
            <w:noWrap/>
            <w:vAlign w:val="bottom"/>
            <w:hideMark/>
          </w:tcPr>
          <w:p w14:paraId="4B6C9BB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63</w:t>
            </w:r>
          </w:p>
        </w:tc>
        <w:tc>
          <w:tcPr>
            <w:tcW w:w="883" w:type="dxa"/>
            <w:tcBorders>
              <w:bottom w:val="single" w:sz="4" w:space="0" w:color="auto"/>
            </w:tcBorders>
            <w:shd w:val="clear" w:color="auto" w:fill="auto"/>
            <w:noWrap/>
            <w:vAlign w:val="bottom"/>
            <w:hideMark/>
          </w:tcPr>
          <w:p w14:paraId="209DE4F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1065" w:type="dxa"/>
            <w:tcBorders>
              <w:bottom w:val="single" w:sz="4" w:space="0" w:color="auto"/>
            </w:tcBorders>
            <w:shd w:val="clear" w:color="000000" w:fill="FFFFFF"/>
            <w:vAlign w:val="center"/>
            <w:hideMark/>
          </w:tcPr>
          <w:p w14:paraId="6464ACE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0549A1A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4E841164" w14:textId="77777777" w:rsidTr="00282204">
        <w:trPr>
          <w:trHeight w:val="297"/>
          <w:jc w:val="center"/>
        </w:trPr>
        <w:tc>
          <w:tcPr>
            <w:tcW w:w="5861" w:type="dxa"/>
            <w:vMerge w:val="restart"/>
            <w:shd w:val="clear" w:color="auto" w:fill="auto"/>
            <w:vAlign w:val="center"/>
            <w:hideMark/>
          </w:tcPr>
          <w:p w14:paraId="2023D208"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Pharmacist willingness to take on new roles </w:t>
            </w:r>
          </w:p>
          <w:p w14:paraId="193D303C"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5B70318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7A29100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992" w:type="dxa"/>
            <w:tcBorders>
              <w:top w:val="single" w:sz="4" w:space="0" w:color="auto"/>
            </w:tcBorders>
            <w:shd w:val="clear" w:color="auto" w:fill="auto"/>
            <w:noWrap/>
            <w:vAlign w:val="bottom"/>
            <w:hideMark/>
          </w:tcPr>
          <w:p w14:paraId="14591D1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8</w:t>
            </w:r>
          </w:p>
        </w:tc>
        <w:tc>
          <w:tcPr>
            <w:tcW w:w="1072" w:type="dxa"/>
            <w:tcBorders>
              <w:top w:val="single" w:sz="4" w:space="0" w:color="auto"/>
            </w:tcBorders>
            <w:shd w:val="clear" w:color="auto" w:fill="auto"/>
            <w:noWrap/>
            <w:vAlign w:val="bottom"/>
            <w:hideMark/>
          </w:tcPr>
          <w:p w14:paraId="39BE8E1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33</w:t>
            </w:r>
          </w:p>
        </w:tc>
        <w:tc>
          <w:tcPr>
            <w:tcW w:w="798" w:type="dxa"/>
            <w:tcBorders>
              <w:top w:val="single" w:sz="4" w:space="0" w:color="auto"/>
            </w:tcBorders>
            <w:shd w:val="clear" w:color="auto" w:fill="auto"/>
            <w:noWrap/>
            <w:vAlign w:val="bottom"/>
            <w:hideMark/>
          </w:tcPr>
          <w:p w14:paraId="5E5EF1A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41</w:t>
            </w:r>
          </w:p>
        </w:tc>
        <w:tc>
          <w:tcPr>
            <w:tcW w:w="883" w:type="dxa"/>
            <w:tcBorders>
              <w:top w:val="single" w:sz="4" w:space="0" w:color="auto"/>
            </w:tcBorders>
            <w:shd w:val="clear" w:color="auto" w:fill="auto"/>
            <w:noWrap/>
            <w:vAlign w:val="bottom"/>
            <w:hideMark/>
          </w:tcPr>
          <w:p w14:paraId="7B69B54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16</w:t>
            </w:r>
          </w:p>
        </w:tc>
        <w:tc>
          <w:tcPr>
            <w:tcW w:w="1065" w:type="dxa"/>
            <w:tcBorders>
              <w:top w:val="single" w:sz="4" w:space="0" w:color="auto"/>
            </w:tcBorders>
            <w:shd w:val="clear" w:color="000000" w:fill="FFFFFF"/>
            <w:vAlign w:val="center"/>
            <w:hideMark/>
          </w:tcPr>
          <w:p w14:paraId="215CAA0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7AF2C53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0.07</w:t>
            </w:r>
          </w:p>
        </w:tc>
      </w:tr>
      <w:tr w:rsidR="00821B82" w:rsidRPr="00454BA4" w14:paraId="6197E5A1" w14:textId="77777777" w:rsidTr="00282204">
        <w:trPr>
          <w:trHeight w:val="182"/>
          <w:jc w:val="center"/>
        </w:trPr>
        <w:tc>
          <w:tcPr>
            <w:tcW w:w="5861" w:type="dxa"/>
            <w:vMerge/>
            <w:shd w:val="clear" w:color="auto" w:fill="auto"/>
            <w:vAlign w:val="center"/>
            <w:hideMark/>
          </w:tcPr>
          <w:p w14:paraId="3B9BF77B"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6971EE7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52D641B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992" w:type="dxa"/>
            <w:shd w:val="clear" w:color="auto" w:fill="auto"/>
            <w:noWrap/>
            <w:vAlign w:val="bottom"/>
            <w:hideMark/>
          </w:tcPr>
          <w:p w14:paraId="00A303D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1072" w:type="dxa"/>
            <w:shd w:val="clear" w:color="auto" w:fill="auto"/>
            <w:noWrap/>
            <w:vAlign w:val="bottom"/>
            <w:hideMark/>
          </w:tcPr>
          <w:p w14:paraId="08D5F43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798" w:type="dxa"/>
            <w:shd w:val="clear" w:color="auto" w:fill="auto"/>
            <w:noWrap/>
            <w:vAlign w:val="bottom"/>
            <w:hideMark/>
          </w:tcPr>
          <w:p w14:paraId="1307B26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47</w:t>
            </w:r>
          </w:p>
        </w:tc>
        <w:tc>
          <w:tcPr>
            <w:tcW w:w="883" w:type="dxa"/>
            <w:shd w:val="clear" w:color="auto" w:fill="auto"/>
            <w:noWrap/>
            <w:vAlign w:val="bottom"/>
            <w:hideMark/>
          </w:tcPr>
          <w:p w14:paraId="29543AD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1065" w:type="dxa"/>
            <w:shd w:val="clear" w:color="000000" w:fill="FFFFFF"/>
            <w:vAlign w:val="center"/>
            <w:hideMark/>
          </w:tcPr>
          <w:p w14:paraId="1F62911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(2-4)</w:t>
            </w:r>
          </w:p>
        </w:tc>
        <w:tc>
          <w:tcPr>
            <w:tcW w:w="1070" w:type="dxa"/>
            <w:shd w:val="clear" w:color="auto" w:fill="auto"/>
            <w:vAlign w:val="center"/>
            <w:hideMark/>
          </w:tcPr>
          <w:p w14:paraId="2364803A"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0C4E0A77" w14:textId="77777777" w:rsidTr="00282204">
        <w:trPr>
          <w:trHeight w:val="143"/>
          <w:jc w:val="center"/>
        </w:trPr>
        <w:tc>
          <w:tcPr>
            <w:tcW w:w="5861" w:type="dxa"/>
            <w:vMerge/>
            <w:shd w:val="clear" w:color="auto" w:fill="auto"/>
            <w:vAlign w:val="center"/>
            <w:hideMark/>
          </w:tcPr>
          <w:p w14:paraId="1B514EA9"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19435A4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47EA0D3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bottom w:val="single" w:sz="4" w:space="0" w:color="auto"/>
            </w:tcBorders>
            <w:shd w:val="clear" w:color="auto" w:fill="auto"/>
            <w:noWrap/>
            <w:vAlign w:val="bottom"/>
            <w:hideMark/>
          </w:tcPr>
          <w:p w14:paraId="7909A0C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016A4CD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798" w:type="dxa"/>
            <w:tcBorders>
              <w:bottom w:val="single" w:sz="4" w:space="0" w:color="auto"/>
            </w:tcBorders>
            <w:shd w:val="clear" w:color="auto" w:fill="auto"/>
            <w:noWrap/>
            <w:vAlign w:val="bottom"/>
            <w:hideMark/>
          </w:tcPr>
          <w:p w14:paraId="661367E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74</w:t>
            </w:r>
          </w:p>
        </w:tc>
        <w:tc>
          <w:tcPr>
            <w:tcW w:w="883" w:type="dxa"/>
            <w:tcBorders>
              <w:bottom w:val="single" w:sz="4" w:space="0" w:color="auto"/>
            </w:tcBorders>
            <w:shd w:val="clear" w:color="auto" w:fill="auto"/>
            <w:noWrap/>
            <w:vAlign w:val="bottom"/>
            <w:hideMark/>
          </w:tcPr>
          <w:p w14:paraId="11866D9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65" w:type="dxa"/>
            <w:tcBorders>
              <w:bottom w:val="single" w:sz="4" w:space="0" w:color="auto"/>
            </w:tcBorders>
            <w:shd w:val="clear" w:color="000000" w:fill="FFFFFF"/>
            <w:vAlign w:val="center"/>
            <w:hideMark/>
          </w:tcPr>
          <w:p w14:paraId="6D2779F8"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1E7F14CF"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5B5CAC88" w14:textId="77777777" w:rsidTr="00282204">
        <w:trPr>
          <w:trHeight w:val="287"/>
          <w:jc w:val="center"/>
        </w:trPr>
        <w:tc>
          <w:tcPr>
            <w:tcW w:w="5861" w:type="dxa"/>
            <w:shd w:val="clear" w:color="auto" w:fill="auto"/>
            <w:noWrap/>
            <w:vAlign w:val="bottom"/>
            <w:hideMark/>
          </w:tcPr>
          <w:p w14:paraId="28F432BA" w14:textId="77777777" w:rsidR="00821B82" w:rsidRPr="00986F51" w:rsidRDefault="00821B82" w:rsidP="00282204">
            <w:pPr>
              <w:spacing w:after="0" w:line="240" w:lineRule="auto"/>
              <w:rPr>
                <w:rFonts w:asciiTheme="minorBidi" w:eastAsia="Times New Roman" w:hAnsiTheme="minorBidi"/>
                <w:b/>
                <w:bCs/>
                <w:color w:val="4D4D4D"/>
                <w:sz w:val="18"/>
                <w:szCs w:val="18"/>
              </w:rPr>
            </w:pPr>
            <w:r w:rsidRPr="00986F51">
              <w:rPr>
                <w:rFonts w:asciiTheme="minorBidi" w:eastAsia="Times New Roman" w:hAnsiTheme="minorBidi"/>
                <w:b/>
                <w:bCs/>
                <w:color w:val="4D4D4D"/>
                <w:sz w:val="18"/>
                <w:szCs w:val="18"/>
              </w:rPr>
              <w:t xml:space="preserve">2.      Workforce based </w:t>
            </w:r>
          </w:p>
        </w:tc>
        <w:tc>
          <w:tcPr>
            <w:tcW w:w="1529" w:type="dxa"/>
            <w:tcBorders>
              <w:top w:val="single" w:sz="4" w:space="0" w:color="auto"/>
            </w:tcBorders>
            <w:shd w:val="clear" w:color="auto" w:fill="auto"/>
            <w:vAlign w:val="center"/>
            <w:hideMark/>
          </w:tcPr>
          <w:p w14:paraId="3B4AC59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09" w:type="dxa"/>
            <w:tcBorders>
              <w:top w:val="single" w:sz="4" w:space="0" w:color="auto"/>
            </w:tcBorders>
            <w:shd w:val="clear" w:color="auto" w:fill="auto"/>
            <w:noWrap/>
            <w:vAlign w:val="bottom"/>
            <w:hideMark/>
          </w:tcPr>
          <w:p w14:paraId="3E8AF84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92" w:type="dxa"/>
            <w:tcBorders>
              <w:top w:val="single" w:sz="4" w:space="0" w:color="auto"/>
            </w:tcBorders>
            <w:shd w:val="clear" w:color="auto" w:fill="auto"/>
            <w:noWrap/>
            <w:vAlign w:val="bottom"/>
            <w:hideMark/>
          </w:tcPr>
          <w:p w14:paraId="7463FED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72" w:type="dxa"/>
            <w:tcBorders>
              <w:top w:val="single" w:sz="4" w:space="0" w:color="auto"/>
            </w:tcBorders>
            <w:shd w:val="clear" w:color="auto" w:fill="auto"/>
            <w:noWrap/>
            <w:vAlign w:val="bottom"/>
            <w:hideMark/>
          </w:tcPr>
          <w:p w14:paraId="3B3403F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798" w:type="dxa"/>
            <w:tcBorders>
              <w:top w:val="single" w:sz="4" w:space="0" w:color="auto"/>
            </w:tcBorders>
            <w:shd w:val="clear" w:color="auto" w:fill="auto"/>
            <w:noWrap/>
            <w:vAlign w:val="bottom"/>
            <w:hideMark/>
          </w:tcPr>
          <w:p w14:paraId="558861B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883" w:type="dxa"/>
            <w:tcBorders>
              <w:top w:val="single" w:sz="4" w:space="0" w:color="auto"/>
            </w:tcBorders>
            <w:shd w:val="clear" w:color="auto" w:fill="auto"/>
            <w:noWrap/>
            <w:vAlign w:val="bottom"/>
            <w:hideMark/>
          </w:tcPr>
          <w:p w14:paraId="6C19543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65" w:type="dxa"/>
            <w:tcBorders>
              <w:top w:val="single" w:sz="4" w:space="0" w:color="auto"/>
            </w:tcBorders>
            <w:shd w:val="clear" w:color="000000" w:fill="FFFFFF"/>
            <w:vAlign w:val="center"/>
            <w:hideMark/>
          </w:tcPr>
          <w:p w14:paraId="22BFA3CF"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c>
          <w:tcPr>
            <w:tcW w:w="1070" w:type="dxa"/>
            <w:shd w:val="clear" w:color="auto" w:fill="auto"/>
            <w:vAlign w:val="center"/>
            <w:hideMark/>
          </w:tcPr>
          <w:p w14:paraId="2CFC051B"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74998982" w14:textId="77777777" w:rsidTr="00282204">
        <w:trPr>
          <w:trHeight w:val="84"/>
          <w:jc w:val="center"/>
        </w:trPr>
        <w:tc>
          <w:tcPr>
            <w:tcW w:w="5861" w:type="dxa"/>
            <w:vMerge w:val="restart"/>
            <w:shd w:val="clear" w:color="auto" w:fill="auto"/>
            <w:vAlign w:val="center"/>
            <w:hideMark/>
          </w:tcPr>
          <w:p w14:paraId="0D53C170"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Lack of qualified pharmacy staff working at primary healthcare centres </w:t>
            </w:r>
          </w:p>
          <w:p w14:paraId="6130ABF8"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2342317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shd w:val="clear" w:color="auto" w:fill="auto"/>
            <w:noWrap/>
            <w:vAlign w:val="bottom"/>
            <w:hideMark/>
          </w:tcPr>
          <w:p w14:paraId="3D70A36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992" w:type="dxa"/>
            <w:shd w:val="clear" w:color="auto" w:fill="auto"/>
            <w:noWrap/>
            <w:vAlign w:val="bottom"/>
            <w:hideMark/>
          </w:tcPr>
          <w:p w14:paraId="2539AC5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72" w:type="dxa"/>
            <w:shd w:val="clear" w:color="auto" w:fill="auto"/>
            <w:noWrap/>
            <w:vAlign w:val="bottom"/>
            <w:hideMark/>
          </w:tcPr>
          <w:p w14:paraId="3094699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22</w:t>
            </w:r>
          </w:p>
        </w:tc>
        <w:tc>
          <w:tcPr>
            <w:tcW w:w="798" w:type="dxa"/>
            <w:shd w:val="clear" w:color="auto" w:fill="auto"/>
            <w:noWrap/>
            <w:vAlign w:val="bottom"/>
            <w:hideMark/>
          </w:tcPr>
          <w:p w14:paraId="48A4326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53</w:t>
            </w:r>
          </w:p>
        </w:tc>
        <w:tc>
          <w:tcPr>
            <w:tcW w:w="883" w:type="dxa"/>
            <w:shd w:val="clear" w:color="auto" w:fill="auto"/>
            <w:noWrap/>
            <w:vAlign w:val="bottom"/>
            <w:hideMark/>
          </w:tcPr>
          <w:p w14:paraId="5E2E841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18</w:t>
            </w:r>
          </w:p>
        </w:tc>
        <w:tc>
          <w:tcPr>
            <w:tcW w:w="1065" w:type="dxa"/>
            <w:shd w:val="clear" w:color="000000" w:fill="FFFFFF"/>
            <w:vAlign w:val="center"/>
            <w:hideMark/>
          </w:tcPr>
          <w:p w14:paraId="398F3F8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4785D718"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0.52</w:t>
            </w:r>
          </w:p>
        </w:tc>
      </w:tr>
      <w:tr w:rsidR="00821B82" w:rsidRPr="00454BA4" w14:paraId="72105128" w14:textId="77777777" w:rsidTr="00282204">
        <w:trPr>
          <w:trHeight w:val="357"/>
          <w:jc w:val="center"/>
        </w:trPr>
        <w:tc>
          <w:tcPr>
            <w:tcW w:w="5861" w:type="dxa"/>
            <w:vMerge/>
            <w:shd w:val="clear" w:color="auto" w:fill="auto"/>
            <w:vAlign w:val="center"/>
            <w:hideMark/>
          </w:tcPr>
          <w:p w14:paraId="413D3F9B"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65BDEF0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4288CC7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992" w:type="dxa"/>
            <w:shd w:val="clear" w:color="auto" w:fill="auto"/>
            <w:noWrap/>
            <w:vAlign w:val="bottom"/>
            <w:hideMark/>
          </w:tcPr>
          <w:p w14:paraId="1517FB8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shd w:val="clear" w:color="auto" w:fill="auto"/>
            <w:noWrap/>
            <w:vAlign w:val="bottom"/>
            <w:hideMark/>
          </w:tcPr>
          <w:p w14:paraId="5418E97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798" w:type="dxa"/>
            <w:shd w:val="clear" w:color="auto" w:fill="auto"/>
            <w:noWrap/>
            <w:vAlign w:val="bottom"/>
            <w:hideMark/>
          </w:tcPr>
          <w:p w14:paraId="5AC082D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63</w:t>
            </w:r>
          </w:p>
        </w:tc>
        <w:tc>
          <w:tcPr>
            <w:tcW w:w="883" w:type="dxa"/>
            <w:shd w:val="clear" w:color="auto" w:fill="auto"/>
            <w:noWrap/>
            <w:vAlign w:val="bottom"/>
            <w:hideMark/>
          </w:tcPr>
          <w:p w14:paraId="2669714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1065" w:type="dxa"/>
            <w:shd w:val="clear" w:color="000000" w:fill="FFFFFF"/>
            <w:vAlign w:val="center"/>
            <w:hideMark/>
          </w:tcPr>
          <w:p w14:paraId="362BFA47"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502D39D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74878508" w14:textId="77777777" w:rsidTr="00282204">
        <w:trPr>
          <w:trHeight w:val="200"/>
          <w:jc w:val="center"/>
        </w:trPr>
        <w:tc>
          <w:tcPr>
            <w:tcW w:w="5861" w:type="dxa"/>
            <w:vMerge/>
            <w:shd w:val="clear" w:color="auto" w:fill="auto"/>
            <w:vAlign w:val="center"/>
            <w:hideMark/>
          </w:tcPr>
          <w:p w14:paraId="77064EE2"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480D2EE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3CCD6F6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bottom w:val="single" w:sz="4" w:space="0" w:color="auto"/>
            </w:tcBorders>
            <w:shd w:val="clear" w:color="auto" w:fill="auto"/>
            <w:noWrap/>
            <w:vAlign w:val="bottom"/>
            <w:hideMark/>
          </w:tcPr>
          <w:p w14:paraId="30374BD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54660C6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798" w:type="dxa"/>
            <w:tcBorders>
              <w:bottom w:val="single" w:sz="4" w:space="0" w:color="auto"/>
            </w:tcBorders>
            <w:shd w:val="clear" w:color="auto" w:fill="auto"/>
            <w:noWrap/>
            <w:vAlign w:val="bottom"/>
            <w:hideMark/>
          </w:tcPr>
          <w:p w14:paraId="69F7220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70</w:t>
            </w:r>
          </w:p>
        </w:tc>
        <w:tc>
          <w:tcPr>
            <w:tcW w:w="883" w:type="dxa"/>
            <w:tcBorders>
              <w:bottom w:val="single" w:sz="4" w:space="0" w:color="auto"/>
            </w:tcBorders>
            <w:shd w:val="clear" w:color="auto" w:fill="auto"/>
            <w:noWrap/>
            <w:vAlign w:val="bottom"/>
            <w:hideMark/>
          </w:tcPr>
          <w:p w14:paraId="48E0AF5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65" w:type="dxa"/>
            <w:tcBorders>
              <w:bottom w:val="single" w:sz="4" w:space="0" w:color="auto"/>
            </w:tcBorders>
            <w:shd w:val="clear" w:color="000000" w:fill="FFFFFF"/>
            <w:vAlign w:val="center"/>
            <w:hideMark/>
          </w:tcPr>
          <w:p w14:paraId="6EB2BBA5"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59D5A77E"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1BCEF5DB" w14:textId="77777777" w:rsidTr="00282204">
        <w:trPr>
          <w:trHeight w:val="267"/>
          <w:jc w:val="center"/>
        </w:trPr>
        <w:tc>
          <w:tcPr>
            <w:tcW w:w="5861" w:type="dxa"/>
            <w:vMerge w:val="restart"/>
            <w:shd w:val="clear" w:color="auto" w:fill="auto"/>
            <w:vAlign w:val="center"/>
            <w:hideMark/>
          </w:tcPr>
          <w:p w14:paraId="0E077234"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Lack of time </w:t>
            </w:r>
          </w:p>
          <w:p w14:paraId="4EB4F6C1"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0F6B16F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1A5DCFB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992" w:type="dxa"/>
            <w:tcBorders>
              <w:top w:val="single" w:sz="4" w:space="0" w:color="auto"/>
            </w:tcBorders>
            <w:shd w:val="clear" w:color="auto" w:fill="auto"/>
            <w:noWrap/>
            <w:vAlign w:val="bottom"/>
            <w:hideMark/>
          </w:tcPr>
          <w:p w14:paraId="1BF55C5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8</w:t>
            </w:r>
          </w:p>
        </w:tc>
        <w:tc>
          <w:tcPr>
            <w:tcW w:w="1072" w:type="dxa"/>
            <w:tcBorders>
              <w:top w:val="single" w:sz="4" w:space="0" w:color="auto"/>
            </w:tcBorders>
            <w:shd w:val="clear" w:color="auto" w:fill="auto"/>
            <w:noWrap/>
            <w:vAlign w:val="bottom"/>
            <w:hideMark/>
          </w:tcPr>
          <w:p w14:paraId="2EE55C4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798" w:type="dxa"/>
            <w:tcBorders>
              <w:top w:val="single" w:sz="4" w:space="0" w:color="auto"/>
            </w:tcBorders>
            <w:shd w:val="clear" w:color="auto" w:fill="auto"/>
            <w:noWrap/>
            <w:vAlign w:val="bottom"/>
            <w:hideMark/>
          </w:tcPr>
          <w:p w14:paraId="30124A1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49</w:t>
            </w:r>
          </w:p>
        </w:tc>
        <w:tc>
          <w:tcPr>
            <w:tcW w:w="883" w:type="dxa"/>
            <w:tcBorders>
              <w:top w:val="single" w:sz="4" w:space="0" w:color="auto"/>
            </w:tcBorders>
            <w:shd w:val="clear" w:color="auto" w:fill="auto"/>
            <w:noWrap/>
            <w:vAlign w:val="bottom"/>
            <w:hideMark/>
          </w:tcPr>
          <w:p w14:paraId="48B0371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12</w:t>
            </w:r>
          </w:p>
        </w:tc>
        <w:tc>
          <w:tcPr>
            <w:tcW w:w="1065" w:type="dxa"/>
            <w:tcBorders>
              <w:top w:val="single" w:sz="4" w:space="0" w:color="auto"/>
            </w:tcBorders>
            <w:shd w:val="clear" w:color="000000" w:fill="FFFFFF"/>
            <w:vAlign w:val="center"/>
            <w:hideMark/>
          </w:tcPr>
          <w:p w14:paraId="2B3DF05B"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023A90BB"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0.67</w:t>
            </w:r>
          </w:p>
        </w:tc>
      </w:tr>
      <w:tr w:rsidR="00821B82" w:rsidRPr="00454BA4" w14:paraId="0BBED9F9" w14:textId="77777777" w:rsidTr="00282204">
        <w:trPr>
          <w:trHeight w:val="267"/>
          <w:jc w:val="center"/>
        </w:trPr>
        <w:tc>
          <w:tcPr>
            <w:tcW w:w="5861" w:type="dxa"/>
            <w:vMerge/>
            <w:shd w:val="clear" w:color="auto" w:fill="auto"/>
            <w:vAlign w:val="center"/>
            <w:hideMark/>
          </w:tcPr>
          <w:p w14:paraId="6DBA9492"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29E296D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74C2261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992" w:type="dxa"/>
            <w:shd w:val="clear" w:color="auto" w:fill="auto"/>
            <w:noWrap/>
            <w:vAlign w:val="bottom"/>
            <w:hideMark/>
          </w:tcPr>
          <w:p w14:paraId="573C856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1072" w:type="dxa"/>
            <w:shd w:val="clear" w:color="auto" w:fill="auto"/>
            <w:noWrap/>
            <w:vAlign w:val="bottom"/>
            <w:hideMark/>
          </w:tcPr>
          <w:p w14:paraId="47D728E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798" w:type="dxa"/>
            <w:shd w:val="clear" w:color="auto" w:fill="auto"/>
            <w:noWrap/>
            <w:vAlign w:val="bottom"/>
            <w:hideMark/>
          </w:tcPr>
          <w:p w14:paraId="2449B16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50</w:t>
            </w:r>
          </w:p>
        </w:tc>
        <w:tc>
          <w:tcPr>
            <w:tcW w:w="883" w:type="dxa"/>
            <w:shd w:val="clear" w:color="auto" w:fill="auto"/>
            <w:noWrap/>
            <w:vAlign w:val="bottom"/>
            <w:hideMark/>
          </w:tcPr>
          <w:p w14:paraId="3A27F48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1065" w:type="dxa"/>
            <w:shd w:val="clear" w:color="000000" w:fill="FFFFFF"/>
            <w:vAlign w:val="center"/>
            <w:hideMark/>
          </w:tcPr>
          <w:p w14:paraId="29DC50F5"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041A9B27"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6D0D53C4" w14:textId="77777777" w:rsidTr="00282204">
        <w:trPr>
          <w:trHeight w:val="91"/>
          <w:jc w:val="center"/>
        </w:trPr>
        <w:tc>
          <w:tcPr>
            <w:tcW w:w="5861" w:type="dxa"/>
            <w:vMerge/>
            <w:shd w:val="clear" w:color="auto" w:fill="auto"/>
            <w:vAlign w:val="center"/>
            <w:hideMark/>
          </w:tcPr>
          <w:p w14:paraId="33BCDEC7"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6FBB506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0008970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992" w:type="dxa"/>
            <w:tcBorders>
              <w:bottom w:val="single" w:sz="4" w:space="0" w:color="auto"/>
            </w:tcBorders>
            <w:shd w:val="clear" w:color="auto" w:fill="auto"/>
            <w:noWrap/>
            <w:vAlign w:val="bottom"/>
            <w:hideMark/>
          </w:tcPr>
          <w:p w14:paraId="6495A02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5B2E117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19</w:t>
            </w:r>
          </w:p>
        </w:tc>
        <w:tc>
          <w:tcPr>
            <w:tcW w:w="798" w:type="dxa"/>
            <w:tcBorders>
              <w:bottom w:val="single" w:sz="4" w:space="0" w:color="auto"/>
            </w:tcBorders>
            <w:shd w:val="clear" w:color="auto" w:fill="auto"/>
            <w:noWrap/>
            <w:vAlign w:val="bottom"/>
            <w:hideMark/>
          </w:tcPr>
          <w:p w14:paraId="1161288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63</w:t>
            </w:r>
          </w:p>
        </w:tc>
        <w:tc>
          <w:tcPr>
            <w:tcW w:w="883" w:type="dxa"/>
            <w:tcBorders>
              <w:bottom w:val="single" w:sz="4" w:space="0" w:color="auto"/>
            </w:tcBorders>
            <w:shd w:val="clear" w:color="auto" w:fill="auto"/>
            <w:noWrap/>
            <w:vAlign w:val="bottom"/>
            <w:hideMark/>
          </w:tcPr>
          <w:p w14:paraId="575B6C4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65" w:type="dxa"/>
            <w:tcBorders>
              <w:bottom w:val="single" w:sz="4" w:space="0" w:color="auto"/>
            </w:tcBorders>
            <w:shd w:val="clear" w:color="000000" w:fill="FFFFFF"/>
            <w:vAlign w:val="center"/>
            <w:hideMark/>
          </w:tcPr>
          <w:p w14:paraId="6956897B"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37E526C6"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7E50713B" w14:textId="77777777" w:rsidTr="00282204">
        <w:trPr>
          <w:trHeight w:val="163"/>
          <w:jc w:val="center"/>
        </w:trPr>
        <w:tc>
          <w:tcPr>
            <w:tcW w:w="5861" w:type="dxa"/>
            <w:shd w:val="clear" w:color="auto" w:fill="auto"/>
            <w:noWrap/>
            <w:vAlign w:val="bottom"/>
            <w:hideMark/>
          </w:tcPr>
          <w:p w14:paraId="33537E3D" w14:textId="77777777" w:rsidR="00821B82" w:rsidRPr="00986F51" w:rsidRDefault="00821B82" w:rsidP="00282204">
            <w:pPr>
              <w:spacing w:after="0" w:line="240" w:lineRule="auto"/>
              <w:rPr>
                <w:rFonts w:asciiTheme="minorBidi" w:eastAsia="Times New Roman" w:hAnsiTheme="minorBidi"/>
                <w:b/>
                <w:bCs/>
                <w:color w:val="4D4D4D"/>
                <w:sz w:val="18"/>
                <w:szCs w:val="18"/>
              </w:rPr>
            </w:pPr>
            <w:r w:rsidRPr="00986F51">
              <w:rPr>
                <w:rFonts w:asciiTheme="minorBidi" w:eastAsia="Times New Roman" w:hAnsiTheme="minorBidi"/>
                <w:b/>
                <w:bCs/>
                <w:color w:val="4D4D4D"/>
                <w:sz w:val="18"/>
                <w:szCs w:val="18"/>
              </w:rPr>
              <w:t xml:space="preserve">3.      Procedural/ Legal </w:t>
            </w:r>
          </w:p>
        </w:tc>
        <w:tc>
          <w:tcPr>
            <w:tcW w:w="1529" w:type="dxa"/>
            <w:tcBorders>
              <w:top w:val="single" w:sz="4" w:space="0" w:color="auto"/>
            </w:tcBorders>
            <w:shd w:val="clear" w:color="auto" w:fill="auto"/>
            <w:vAlign w:val="center"/>
            <w:hideMark/>
          </w:tcPr>
          <w:p w14:paraId="251EC3B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09" w:type="dxa"/>
            <w:tcBorders>
              <w:top w:val="single" w:sz="4" w:space="0" w:color="auto"/>
            </w:tcBorders>
            <w:shd w:val="clear" w:color="auto" w:fill="auto"/>
            <w:noWrap/>
            <w:vAlign w:val="bottom"/>
            <w:hideMark/>
          </w:tcPr>
          <w:p w14:paraId="2846863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92" w:type="dxa"/>
            <w:tcBorders>
              <w:top w:val="single" w:sz="4" w:space="0" w:color="auto"/>
            </w:tcBorders>
            <w:shd w:val="clear" w:color="auto" w:fill="auto"/>
            <w:noWrap/>
            <w:vAlign w:val="bottom"/>
            <w:hideMark/>
          </w:tcPr>
          <w:p w14:paraId="3496C95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72" w:type="dxa"/>
            <w:tcBorders>
              <w:top w:val="single" w:sz="4" w:space="0" w:color="auto"/>
            </w:tcBorders>
            <w:shd w:val="clear" w:color="auto" w:fill="auto"/>
            <w:noWrap/>
            <w:vAlign w:val="bottom"/>
            <w:hideMark/>
          </w:tcPr>
          <w:p w14:paraId="17B5CEC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798" w:type="dxa"/>
            <w:tcBorders>
              <w:top w:val="single" w:sz="4" w:space="0" w:color="auto"/>
            </w:tcBorders>
            <w:shd w:val="clear" w:color="auto" w:fill="auto"/>
            <w:noWrap/>
            <w:vAlign w:val="bottom"/>
            <w:hideMark/>
          </w:tcPr>
          <w:p w14:paraId="34CAF53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883" w:type="dxa"/>
            <w:tcBorders>
              <w:top w:val="single" w:sz="4" w:space="0" w:color="auto"/>
            </w:tcBorders>
            <w:shd w:val="clear" w:color="auto" w:fill="auto"/>
            <w:noWrap/>
            <w:vAlign w:val="bottom"/>
            <w:hideMark/>
          </w:tcPr>
          <w:p w14:paraId="692E5D6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65" w:type="dxa"/>
            <w:tcBorders>
              <w:top w:val="single" w:sz="4" w:space="0" w:color="auto"/>
            </w:tcBorders>
            <w:shd w:val="clear" w:color="000000" w:fill="FFFFFF"/>
            <w:vAlign w:val="center"/>
            <w:hideMark/>
          </w:tcPr>
          <w:p w14:paraId="32C12BA1"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c>
          <w:tcPr>
            <w:tcW w:w="1070" w:type="dxa"/>
            <w:shd w:val="clear" w:color="auto" w:fill="auto"/>
            <w:vAlign w:val="center"/>
            <w:hideMark/>
          </w:tcPr>
          <w:p w14:paraId="37B38DB7"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12FCF74F" w14:textId="77777777" w:rsidTr="00282204">
        <w:trPr>
          <w:trHeight w:val="235"/>
          <w:jc w:val="center"/>
        </w:trPr>
        <w:tc>
          <w:tcPr>
            <w:tcW w:w="5861" w:type="dxa"/>
            <w:vMerge w:val="restart"/>
            <w:shd w:val="clear" w:color="auto" w:fill="auto"/>
            <w:vAlign w:val="center"/>
            <w:hideMark/>
          </w:tcPr>
          <w:p w14:paraId="6F14D6C6"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Lack of prescribing authority for pharmacists </w:t>
            </w:r>
          </w:p>
          <w:p w14:paraId="0D804AF7"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0DC8A1E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shd w:val="clear" w:color="auto" w:fill="auto"/>
            <w:noWrap/>
            <w:vAlign w:val="bottom"/>
            <w:hideMark/>
          </w:tcPr>
          <w:p w14:paraId="64F7C8E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shd w:val="clear" w:color="auto" w:fill="auto"/>
            <w:noWrap/>
            <w:vAlign w:val="bottom"/>
            <w:hideMark/>
          </w:tcPr>
          <w:p w14:paraId="10E3F3C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w:t>
            </w:r>
          </w:p>
        </w:tc>
        <w:tc>
          <w:tcPr>
            <w:tcW w:w="1072" w:type="dxa"/>
            <w:shd w:val="clear" w:color="auto" w:fill="auto"/>
            <w:noWrap/>
            <w:vAlign w:val="bottom"/>
            <w:hideMark/>
          </w:tcPr>
          <w:p w14:paraId="140CF92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798" w:type="dxa"/>
            <w:shd w:val="clear" w:color="auto" w:fill="auto"/>
            <w:noWrap/>
            <w:vAlign w:val="bottom"/>
            <w:hideMark/>
          </w:tcPr>
          <w:p w14:paraId="50BF4CC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53</w:t>
            </w:r>
          </w:p>
        </w:tc>
        <w:tc>
          <w:tcPr>
            <w:tcW w:w="883" w:type="dxa"/>
            <w:shd w:val="clear" w:color="auto" w:fill="auto"/>
            <w:noWrap/>
            <w:vAlign w:val="bottom"/>
            <w:hideMark/>
          </w:tcPr>
          <w:p w14:paraId="55F1083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1065" w:type="dxa"/>
            <w:shd w:val="clear" w:color="000000" w:fill="FFFFFF"/>
            <w:vAlign w:val="center"/>
            <w:hideMark/>
          </w:tcPr>
          <w:p w14:paraId="1AD52057"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7D4674D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0.21</w:t>
            </w:r>
          </w:p>
        </w:tc>
      </w:tr>
      <w:tr w:rsidR="00821B82" w:rsidRPr="00454BA4" w14:paraId="14D6AE54" w14:textId="77777777" w:rsidTr="00282204">
        <w:trPr>
          <w:trHeight w:val="278"/>
          <w:jc w:val="center"/>
        </w:trPr>
        <w:tc>
          <w:tcPr>
            <w:tcW w:w="5861" w:type="dxa"/>
            <w:vMerge/>
            <w:shd w:val="clear" w:color="auto" w:fill="auto"/>
            <w:vAlign w:val="center"/>
            <w:hideMark/>
          </w:tcPr>
          <w:p w14:paraId="0DA842C8"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0B16A52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7ECAD9B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shd w:val="clear" w:color="auto" w:fill="auto"/>
            <w:noWrap/>
            <w:vAlign w:val="bottom"/>
            <w:hideMark/>
          </w:tcPr>
          <w:p w14:paraId="470EB6F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1072" w:type="dxa"/>
            <w:shd w:val="clear" w:color="auto" w:fill="auto"/>
            <w:noWrap/>
            <w:vAlign w:val="bottom"/>
            <w:hideMark/>
          </w:tcPr>
          <w:p w14:paraId="1A8EF7A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798" w:type="dxa"/>
            <w:shd w:val="clear" w:color="auto" w:fill="auto"/>
            <w:noWrap/>
            <w:vAlign w:val="bottom"/>
            <w:hideMark/>
          </w:tcPr>
          <w:p w14:paraId="79BEAEA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57</w:t>
            </w:r>
          </w:p>
        </w:tc>
        <w:tc>
          <w:tcPr>
            <w:tcW w:w="883" w:type="dxa"/>
            <w:shd w:val="clear" w:color="auto" w:fill="auto"/>
            <w:noWrap/>
            <w:vAlign w:val="bottom"/>
            <w:hideMark/>
          </w:tcPr>
          <w:p w14:paraId="233F54B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1065" w:type="dxa"/>
            <w:shd w:val="clear" w:color="000000" w:fill="FFFFFF"/>
            <w:vAlign w:val="center"/>
            <w:hideMark/>
          </w:tcPr>
          <w:p w14:paraId="4FA11FA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73476410"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4A38F1FF" w14:textId="77777777" w:rsidTr="00282204">
        <w:trPr>
          <w:trHeight w:val="95"/>
          <w:jc w:val="center"/>
        </w:trPr>
        <w:tc>
          <w:tcPr>
            <w:tcW w:w="5861" w:type="dxa"/>
            <w:vMerge/>
            <w:shd w:val="clear" w:color="auto" w:fill="auto"/>
            <w:vAlign w:val="center"/>
            <w:hideMark/>
          </w:tcPr>
          <w:p w14:paraId="0AEA9161"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63D7E6F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6CC387E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bottom w:val="single" w:sz="4" w:space="0" w:color="auto"/>
            </w:tcBorders>
            <w:shd w:val="clear" w:color="auto" w:fill="auto"/>
            <w:noWrap/>
            <w:vAlign w:val="bottom"/>
            <w:hideMark/>
          </w:tcPr>
          <w:p w14:paraId="2442DA9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33C92CA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22</w:t>
            </w:r>
          </w:p>
        </w:tc>
        <w:tc>
          <w:tcPr>
            <w:tcW w:w="798" w:type="dxa"/>
            <w:tcBorders>
              <w:bottom w:val="single" w:sz="4" w:space="0" w:color="auto"/>
            </w:tcBorders>
            <w:shd w:val="clear" w:color="auto" w:fill="auto"/>
            <w:noWrap/>
            <w:vAlign w:val="bottom"/>
            <w:hideMark/>
          </w:tcPr>
          <w:p w14:paraId="47C39D7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70</w:t>
            </w:r>
          </w:p>
        </w:tc>
        <w:tc>
          <w:tcPr>
            <w:tcW w:w="883" w:type="dxa"/>
            <w:tcBorders>
              <w:bottom w:val="single" w:sz="4" w:space="0" w:color="auto"/>
            </w:tcBorders>
            <w:shd w:val="clear" w:color="auto" w:fill="auto"/>
            <w:noWrap/>
            <w:vAlign w:val="bottom"/>
            <w:hideMark/>
          </w:tcPr>
          <w:p w14:paraId="367C0BE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1065" w:type="dxa"/>
            <w:tcBorders>
              <w:bottom w:val="single" w:sz="4" w:space="0" w:color="auto"/>
            </w:tcBorders>
            <w:shd w:val="clear" w:color="000000" w:fill="FFFFFF"/>
            <w:vAlign w:val="center"/>
            <w:hideMark/>
          </w:tcPr>
          <w:p w14:paraId="4FE0C567"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7D01D44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4E84650D" w14:textId="77777777" w:rsidTr="00282204">
        <w:trPr>
          <w:trHeight w:val="328"/>
          <w:jc w:val="center"/>
        </w:trPr>
        <w:tc>
          <w:tcPr>
            <w:tcW w:w="5861" w:type="dxa"/>
            <w:vMerge w:val="restart"/>
            <w:shd w:val="clear" w:color="auto" w:fill="auto"/>
            <w:vAlign w:val="center"/>
            <w:hideMark/>
          </w:tcPr>
          <w:p w14:paraId="05A88D98"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Lack of access to patients' medical records for pharmacists </w:t>
            </w:r>
          </w:p>
          <w:p w14:paraId="2E4CBE69"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513192D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75DB33F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top w:val="single" w:sz="4" w:space="0" w:color="auto"/>
            </w:tcBorders>
            <w:shd w:val="clear" w:color="auto" w:fill="auto"/>
            <w:noWrap/>
            <w:vAlign w:val="bottom"/>
            <w:hideMark/>
          </w:tcPr>
          <w:p w14:paraId="75669B1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8</w:t>
            </w:r>
          </w:p>
        </w:tc>
        <w:tc>
          <w:tcPr>
            <w:tcW w:w="1072" w:type="dxa"/>
            <w:tcBorders>
              <w:top w:val="single" w:sz="4" w:space="0" w:color="auto"/>
            </w:tcBorders>
            <w:shd w:val="clear" w:color="auto" w:fill="auto"/>
            <w:noWrap/>
            <w:vAlign w:val="bottom"/>
            <w:hideMark/>
          </w:tcPr>
          <w:p w14:paraId="7C57EED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12</w:t>
            </w:r>
          </w:p>
        </w:tc>
        <w:tc>
          <w:tcPr>
            <w:tcW w:w="798" w:type="dxa"/>
            <w:tcBorders>
              <w:top w:val="single" w:sz="4" w:space="0" w:color="auto"/>
            </w:tcBorders>
            <w:shd w:val="clear" w:color="auto" w:fill="auto"/>
            <w:noWrap/>
            <w:vAlign w:val="bottom"/>
            <w:hideMark/>
          </w:tcPr>
          <w:p w14:paraId="5473485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55</w:t>
            </w:r>
          </w:p>
        </w:tc>
        <w:tc>
          <w:tcPr>
            <w:tcW w:w="883" w:type="dxa"/>
            <w:tcBorders>
              <w:top w:val="single" w:sz="4" w:space="0" w:color="auto"/>
            </w:tcBorders>
            <w:shd w:val="clear" w:color="auto" w:fill="auto"/>
            <w:noWrap/>
            <w:vAlign w:val="bottom"/>
            <w:hideMark/>
          </w:tcPr>
          <w:p w14:paraId="65ABD48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1065" w:type="dxa"/>
            <w:tcBorders>
              <w:top w:val="single" w:sz="4" w:space="0" w:color="auto"/>
            </w:tcBorders>
            <w:shd w:val="clear" w:color="000000" w:fill="FFFFFF"/>
            <w:vAlign w:val="center"/>
            <w:hideMark/>
          </w:tcPr>
          <w:p w14:paraId="0C060AFB"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(3.5-4)</w:t>
            </w:r>
          </w:p>
        </w:tc>
        <w:tc>
          <w:tcPr>
            <w:tcW w:w="1070" w:type="dxa"/>
            <w:shd w:val="clear" w:color="auto" w:fill="auto"/>
            <w:vAlign w:val="center"/>
            <w:hideMark/>
          </w:tcPr>
          <w:p w14:paraId="5EDFE5EC"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0.75</w:t>
            </w:r>
          </w:p>
        </w:tc>
      </w:tr>
      <w:tr w:rsidR="00821B82" w:rsidRPr="00454BA4" w14:paraId="40B13836" w14:textId="77777777" w:rsidTr="00282204">
        <w:trPr>
          <w:trHeight w:val="114"/>
          <w:jc w:val="center"/>
        </w:trPr>
        <w:tc>
          <w:tcPr>
            <w:tcW w:w="5861" w:type="dxa"/>
            <w:vMerge/>
            <w:shd w:val="clear" w:color="auto" w:fill="auto"/>
            <w:vAlign w:val="center"/>
            <w:hideMark/>
          </w:tcPr>
          <w:p w14:paraId="48258727"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62BEBE6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4A9C64F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992" w:type="dxa"/>
            <w:shd w:val="clear" w:color="auto" w:fill="auto"/>
            <w:noWrap/>
            <w:vAlign w:val="bottom"/>
            <w:hideMark/>
          </w:tcPr>
          <w:p w14:paraId="6CD9495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shd w:val="clear" w:color="auto" w:fill="auto"/>
            <w:noWrap/>
            <w:vAlign w:val="bottom"/>
            <w:hideMark/>
          </w:tcPr>
          <w:p w14:paraId="66E0707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798" w:type="dxa"/>
            <w:shd w:val="clear" w:color="auto" w:fill="auto"/>
            <w:noWrap/>
            <w:vAlign w:val="bottom"/>
            <w:hideMark/>
          </w:tcPr>
          <w:p w14:paraId="4B48676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67</w:t>
            </w:r>
          </w:p>
        </w:tc>
        <w:tc>
          <w:tcPr>
            <w:tcW w:w="883" w:type="dxa"/>
            <w:shd w:val="clear" w:color="auto" w:fill="auto"/>
            <w:noWrap/>
            <w:vAlign w:val="bottom"/>
            <w:hideMark/>
          </w:tcPr>
          <w:p w14:paraId="33B43EF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17</w:t>
            </w:r>
          </w:p>
        </w:tc>
        <w:tc>
          <w:tcPr>
            <w:tcW w:w="1065" w:type="dxa"/>
            <w:shd w:val="clear" w:color="000000" w:fill="FFFFFF"/>
            <w:vAlign w:val="center"/>
            <w:hideMark/>
          </w:tcPr>
          <w:p w14:paraId="24DFCA45"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385F7250"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1A17889C" w14:textId="77777777" w:rsidTr="00282204">
        <w:trPr>
          <w:trHeight w:val="239"/>
          <w:jc w:val="center"/>
        </w:trPr>
        <w:tc>
          <w:tcPr>
            <w:tcW w:w="5861" w:type="dxa"/>
            <w:vMerge/>
            <w:shd w:val="clear" w:color="auto" w:fill="auto"/>
            <w:vAlign w:val="center"/>
            <w:hideMark/>
          </w:tcPr>
          <w:p w14:paraId="69C63E97"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755C11E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6828A09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bottom w:val="single" w:sz="4" w:space="0" w:color="auto"/>
            </w:tcBorders>
            <w:shd w:val="clear" w:color="auto" w:fill="auto"/>
            <w:noWrap/>
            <w:vAlign w:val="bottom"/>
            <w:hideMark/>
          </w:tcPr>
          <w:p w14:paraId="79A5A57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72" w:type="dxa"/>
            <w:tcBorders>
              <w:bottom w:val="single" w:sz="4" w:space="0" w:color="auto"/>
            </w:tcBorders>
            <w:shd w:val="clear" w:color="auto" w:fill="auto"/>
            <w:noWrap/>
            <w:vAlign w:val="bottom"/>
            <w:hideMark/>
          </w:tcPr>
          <w:p w14:paraId="62CA5DB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798" w:type="dxa"/>
            <w:tcBorders>
              <w:bottom w:val="single" w:sz="4" w:space="0" w:color="auto"/>
            </w:tcBorders>
            <w:shd w:val="clear" w:color="auto" w:fill="auto"/>
            <w:noWrap/>
            <w:vAlign w:val="bottom"/>
            <w:hideMark/>
          </w:tcPr>
          <w:p w14:paraId="0879FD0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74</w:t>
            </w:r>
          </w:p>
        </w:tc>
        <w:tc>
          <w:tcPr>
            <w:tcW w:w="883" w:type="dxa"/>
            <w:tcBorders>
              <w:bottom w:val="single" w:sz="4" w:space="0" w:color="auto"/>
            </w:tcBorders>
            <w:shd w:val="clear" w:color="auto" w:fill="auto"/>
            <w:noWrap/>
            <w:vAlign w:val="bottom"/>
            <w:hideMark/>
          </w:tcPr>
          <w:p w14:paraId="4AED2E0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65" w:type="dxa"/>
            <w:tcBorders>
              <w:bottom w:val="single" w:sz="4" w:space="0" w:color="auto"/>
            </w:tcBorders>
            <w:shd w:val="clear" w:color="000000" w:fill="FFFFFF"/>
            <w:vAlign w:val="center"/>
            <w:hideMark/>
          </w:tcPr>
          <w:p w14:paraId="080B30F0"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306126BA"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091D6766" w14:textId="77777777" w:rsidTr="00282204">
        <w:trPr>
          <w:trHeight w:val="249"/>
          <w:jc w:val="center"/>
        </w:trPr>
        <w:tc>
          <w:tcPr>
            <w:tcW w:w="5861" w:type="dxa"/>
            <w:vMerge w:val="restart"/>
            <w:shd w:val="clear" w:color="auto" w:fill="auto"/>
            <w:vAlign w:val="center"/>
            <w:hideMark/>
          </w:tcPr>
          <w:p w14:paraId="13E096C0"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Lack of a private room to interview patients and advise them </w:t>
            </w:r>
          </w:p>
          <w:p w14:paraId="2A040191" w14:textId="77777777" w:rsidR="00821B82" w:rsidRPr="00454BA4" w:rsidRDefault="00821B82" w:rsidP="00282204">
            <w:pPr>
              <w:spacing w:after="0" w:line="240" w:lineRule="auto"/>
              <w:rPr>
                <w:rFonts w:asciiTheme="minorBidi" w:eastAsia="Times New Roman" w:hAnsiTheme="minorBidi"/>
                <w:color w:val="264A60"/>
                <w:sz w:val="18"/>
                <w:szCs w:val="18"/>
              </w:rPr>
            </w:pPr>
          </w:p>
          <w:p w14:paraId="76BCEBE4"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48B2905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05579BC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992" w:type="dxa"/>
            <w:tcBorders>
              <w:top w:val="single" w:sz="4" w:space="0" w:color="auto"/>
            </w:tcBorders>
            <w:shd w:val="clear" w:color="auto" w:fill="auto"/>
            <w:noWrap/>
            <w:vAlign w:val="bottom"/>
            <w:hideMark/>
          </w:tcPr>
          <w:p w14:paraId="0D0073D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72" w:type="dxa"/>
            <w:tcBorders>
              <w:top w:val="single" w:sz="4" w:space="0" w:color="auto"/>
            </w:tcBorders>
            <w:shd w:val="clear" w:color="auto" w:fill="auto"/>
            <w:noWrap/>
            <w:vAlign w:val="bottom"/>
            <w:hideMark/>
          </w:tcPr>
          <w:p w14:paraId="6568E8A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798" w:type="dxa"/>
            <w:tcBorders>
              <w:top w:val="single" w:sz="4" w:space="0" w:color="auto"/>
            </w:tcBorders>
            <w:shd w:val="clear" w:color="auto" w:fill="auto"/>
            <w:noWrap/>
            <w:vAlign w:val="bottom"/>
            <w:hideMark/>
          </w:tcPr>
          <w:p w14:paraId="04B3326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63</w:t>
            </w:r>
          </w:p>
        </w:tc>
        <w:tc>
          <w:tcPr>
            <w:tcW w:w="883" w:type="dxa"/>
            <w:tcBorders>
              <w:top w:val="single" w:sz="4" w:space="0" w:color="auto"/>
            </w:tcBorders>
            <w:shd w:val="clear" w:color="auto" w:fill="auto"/>
            <w:noWrap/>
            <w:vAlign w:val="bottom"/>
            <w:hideMark/>
          </w:tcPr>
          <w:p w14:paraId="69A269E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18</w:t>
            </w:r>
          </w:p>
        </w:tc>
        <w:tc>
          <w:tcPr>
            <w:tcW w:w="1065" w:type="dxa"/>
            <w:tcBorders>
              <w:top w:val="single" w:sz="4" w:space="0" w:color="auto"/>
            </w:tcBorders>
            <w:shd w:val="clear" w:color="000000" w:fill="FFFFFF"/>
            <w:vAlign w:val="center"/>
            <w:hideMark/>
          </w:tcPr>
          <w:p w14:paraId="16C652E9"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516775C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0.51</w:t>
            </w:r>
          </w:p>
        </w:tc>
      </w:tr>
      <w:tr w:rsidR="00821B82" w:rsidRPr="00454BA4" w14:paraId="45512CFB" w14:textId="77777777" w:rsidTr="00282204">
        <w:trPr>
          <w:trHeight w:val="216"/>
          <w:jc w:val="center"/>
        </w:trPr>
        <w:tc>
          <w:tcPr>
            <w:tcW w:w="5861" w:type="dxa"/>
            <w:vMerge/>
            <w:shd w:val="clear" w:color="auto" w:fill="auto"/>
            <w:vAlign w:val="center"/>
            <w:hideMark/>
          </w:tcPr>
          <w:p w14:paraId="48147850"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5458811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625DE62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992" w:type="dxa"/>
            <w:shd w:val="clear" w:color="auto" w:fill="auto"/>
            <w:noWrap/>
            <w:vAlign w:val="bottom"/>
            <w:hideMark/>
          </w:tcPr>
          <w:p w14:paraId="4753AEA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1072" w:type="dxa"/>
            <w:shd w:val="clear" w:color="auto" w:fill="auto"/>
            <w:noWrap/>
            <w:vAlign w:val="bottom"/>
            <w:hideMark/>
          </w:tcPr>
          <w:p w14:paraId="7060FF6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798" w:type="dxa"/>
            <w:shd w:val="clear" w:color="auto" w:fill="auto"/>
            <w:noWrap/>
            <w:vAlign w:val="bottom"/>
            <w:hideMark/>
          </w:tcPr>
          <w:p w14:paraId="543238F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53</w:t>
            </w:r>
          </w:p>
        </w:tc>
        <w:tc>
          <w:tcPr>
            <w:tcW w:w="883" w:type="dxa"/>
            <w:shd w:val="clear" w:color="auto" w:fill="auto"/>
            <w:noWrap/>
            <w:vAlign w:val="bottom"/>
            <w:hideMark/>
          </w:tcPr>
          <w:p w14:paraId="25BFC74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30</w:t>
            </w:r>
          </w:p>
        </w:tc>
        <w:tc>
          <w:tcPr>
            <w:tcW w:w="1065" w:type="dxa"/>
            <w:shd w:val="clear" w:color="000000" w:fill="FFFFFF"/>
            <w:vAlign w:val="center"/>
            <w:hideMark/>
          </w:tcPr>
          <w:p w14:paraId="494CB21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(4-5)</w:t>
            </w:r>
          </w:p>
        </w:tc>
        <w:tc>
          <w:tcPr>
            <w:tcW w:w="1070" w:type="dxa"/>
            <w:shd w:val="clear" w:color="auto" w:fill="auto"/>
            <w:vAlign w:val="center"/>
            <w:hideMark/>
          </w:tcPr>
          <w:p w14:paraId="1E58877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60C803A7" w14:textId="77777777" w:rsidTr="00282204">
        <w:trPr>
          <w:trHeight w:val="351"/>
          <w:jc w:val="center"/>
        </w:trPr>
        <w:tc>
          <w:tcPr>
            <w:tcW w:w="5861" w:type="dxa"/>
            <w:vMerge/>
            <w:shd w:val="clear" w:color="auto" w:fill="auto"/>
            <w:vAlign w:val="center"/>
            <w:hideMark/>
          </w:tcPr>
          <w:p w14:paraId="563769BB"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26E00EE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7CA8002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bottom w:val="single" w:sz="4" w:space="0" w:color="auto"/>
            </w:tcBorders>
            <w:shd w:val="clear" w:color="auto" w:fill="auto"/>
            <w:noWrap/>
            <w:vAlign w:val="bottom"/>
            <w:hideMark/>
          </w:tcPr>
          <w:p w14:paraId="541A519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72" w:type="dxa"/>
            <w:tcBorders>
              <w:bottom w:val="single" w:sz="4" w:space="0" w:color="auto"/>
            </w:tcBorders>
            <w:shd w:val="clear" w:color="auto" w:fill="auto"/>
            <w:noWrap/>
            <w:vAlign w:val="bottom"/>
            <w:hideMark/>
          </w:tcPr>
          <w:p w14:paraId="10B84ED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798" w:type="dxa"/>
            <w:tcBorders>
              <w:bottom w:val="single" w:sz="4" w:space="0" w:color="auto"/>
            </w:tcBorders>
            <w:shd w:val="clear" w:color="auto" w:fill="auto"/>
            <w:noWrap/>
            <w:vAlign w:val="bottom"/>
            <w:hideMark/>
          </w:tcPr>
          <w:p w14:paraId="09B5712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82</w:t>
            </w:r>
          </w:p>
        </w:tc>
        <w:tc>
          <w:tcPr>
            <w:tcW w:w="883" w:type="dxa"/>
            <w:tcBorders>
              <w:bottom w:val="single" w:sz="4" w:space="0" w:color="auto"/>
            </w:tcBorders>
            <w:shd w:val="clear" w:color="auto" w:fill="auto"/>
            <w:noWrap/>
            <w:vAlign w:val="bottom"/>
            <w:hideMark/>
          </w:tcPr>
          <w:p w14:paraId="10C310A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65" w:type="dxa"/>
            <w:tcBorders>
              <w:bottom w:val="single" w:sz="4" w:space="0" w:color="auto"/>
            </w:tcBorders>
            <w:shd w:val="clear" w:color="000000" w:fill="FFFFFF"/>
            <w:vAlign w:val="center"/>
            <w:hideMark/>
          </w:tcPr>
          <w:p w14:paraId="2663B46F"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5A0DDC4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2CCA35FC" w14:textId="77777777" w:rsidTr="00282204">
        <w:trPr>
          <w:trHeight w:val="387"/>
          <w:jc w:val="center"/>
        </w:trPr>
        <w:tc>
          <w:tcPr>
            <w:tcW w:w="5861" w:type="dxa"/>
            <w:shd w:val="clear" w:color="auto" w:fill="auto"/>
            <w:noWrap/>
            <w:vAlign w:val="center"/>
            <w:hideMark/>
          </w:tcPr>
          <w:p w14:paraId="74410D88" w14:textId="77777777" w:rsidR="00821B82" w:rsidRPr="00986F51" w:rsidRDefault="00821B82" w:rsidP="00282204">
            <w:pPr>
              <w:spacing w:after="0" w:line="240" w:lineRule="auto"/>
              <w:rPr>
                <w:rFonts w:asciiTheme="minorBidi" w:eastAsia="Times New Roman" w:hAnsiTheme="minorBidi"/>
                <w:color w:val="4D4D4D"/>
                <w:sz w:val="18"/>
                <w:szCs w:val="18"/>
              </w:rPr>
            </w:pPr>
            <w:r w:rsidRPr="00986F51">
              <w:rPr>
                <w:rFonts w:asciiTheme="minorBidi" w:eastAsia="Times New Roman" w:hAnsiTheme="minorBidi"/>
                <w:color w:val="4D4D4D"/>
                <w:sz w:val="18"/>
                <w:szCs w:val="18"/>
              </w:rPr>
              <w:t xml:space="preserve">4.       </w:t>
            </w:r>
            <w:r w:rsidRPr="00986F51">
              <w:rPr>
                <w:rFonts w:asciiTheme="minorBidi" w:eastAsia="Times New Roman" w:hAnsiTheme="minorBidi"/>
                <w:b/>
                <w:bCs/>
                <w:color w:val="4D4D4D"/>
                <w:sz w:val="18"/>
                <w:szCs w:val="18"/>
              </w:rPr>
              <w:t>Pharmacist Roles</w:t>
            </w:r>
          </w:p>
        </w:tc>
        <w:tc>
          <w:tcPr>
            <w:tcW w:w="1529" w:type="dxa"/>
            <w:tcBorders>
              <w:top w:val="single" w:sz="4" w:space="0" w:color="auto"/>
            </w:tcBorders>
            <w:shd w:val="clear" w:color="auto" w:fill="auto"/>
            <w:vAlign w:val="center"/>
            <w:hideMark/>
          </w:tcPr>
          <w:p w14:paraId="7EB121E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09" w:type="dxa"/>
            <w:tcBorders>
              <w:top w:val="single" w:sz="4" w:space="0" w:color="auto"/>
            </w:tcBorders>
            <w:shd w:val="clear" w:color="auto" w:fill="auto"/>
            <w:noWrap/>
            <w:vAlign w:val="bottom"/>
            <w:hideMark/>
          </w:tcPr>
          <w:p w14:paraId="6C6D77C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992" w:type="dxa"/>
            <w:tcBorders>
              <w:top w:val="single" w:sz="4" w:space="0" w:color="auto"/>
            </w:tcBorders>
            <w:shd w:val="clear" w:color="auto" w:fill="auto"/>
            <w:noWrap/>
            <w:vAlign w:val="bottom"/>
            <w:hideMark/>
          </w:tcPr>
          <w:p w14:paraId="3E99BCD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72" w:type="dxa"/>
            <w:tcBorders>
              <w:top w:val="single" w:sz="4" w:space="0" w:color="auto"/>
            </w:tcBorders>
            <w:shd w:val="clear" w:color="auto" w:fill="auto"/>
            <w:noWrap/>
            <w:vAlign w:val="bottom"/>
            <w:hideMark/>
          </w:tcPr>
          <w:p w14:paraId="2AEDE44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798" w:type="dxa"/>
            <w:tcBorders>
              <w:top w:val="single" w:sz="4" w:space="0" w:color="auto"/>
            </w:tcBorders>
            <w:shd w:val="clear" w:color="auto" w:fill="auto"/>
            <w:noWrap/>
            <w:vAlign w:val="bottom"/>
            <w:hideMark/>
          </w:tcPr>
          <w:p w14:paraId="035AB09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883" w:type="dxa"/>
            <w:tcBorders>
              <w:top w:val="single" w:sz="4" w:space="0" w:color="auto"/>
            </w:tcBorders>
            <w:shd w:val="clear" w:color="auto" w:fill="auto"/>
            <w:noWrap/>
            <w:vAlign w:val="bottom"/>
            <w:hideMark/>
          </w:tcPr>
          <w:p w14:paraId="49363B7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p>
        </w:tc>
        <w:tc>
          <w:tcPr>
            <w:tcW w:w="1065" w:type="dxa"/>
            <w:tcBorders>
              <w:top w:val="single" w:sz="4" w:space="0" w:color="auto"/>
            </w:tcBorders>
            <w:shd w:val="clear" w:color="000000" w:fill="FFFFFF"/>
            <w:vAlign w:val="center"/>
            <w:hideMark/>
          </w:tcPr>
          <w:p w14:paraId="40935809"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c>
          <w:tcPr>
            <w:tcW w:w="1070" w:type="dxa"/>
            <w:shd w:val="clear" w:color="auto" w:fill="auto"/>
            <w:vAlign w:val="center"/>
            <w:hideMark/>
          </w:tcPr>
          <w:p w14:paraId="6FA52004"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313FAF06" w14:textId="77777777" w:rsidTr="00282204">
        <w:trPr>
          <w:trHeight w:val="296"/>
          <w:jc w:val="center"/>
        </w:trPr>
        <w:tc>
          <w:tcPr>
            <w:tcW w:w="5861" w:type="dxa"/>
            <w:vMerge w:val="restart"/>
            <w:shd w:val="clear" w:color="auto" w:fill="auto"/>
            <w:vAlign w:val="center"/>
            <w:hideMark/>
          </w:tcPr>
          <w:p w14:paraId="6485DA30"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Lack of well-defined pharmacist role </w:t>
            </w:r>
          </w:p>
          <w:p w14:paraId="7E1054E0"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539515B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shd w:val="clear" w:color="auto" w:fill="auto"/>
            <w:noWrap/>
            <w:vAlign w:val="bottom"/>
            <w:hideMark/>
          </w:tcPr>
          <w:p w14:paraId="196F604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992" w:type="dxa"/>
            <w:shd w:val="clear" w:color="auto" w:fill="auto"/>
            <w:noWrap/>
            <w:vAlign w:val="bottom"/>
            <w:hideMark/>
          </w:tcPr>
          <w:p w14:paraId="60CC75B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1072" w:type="dxa"/>
            <w:shd w:val="clear" w:color="auto" w:fill="auto"/>
            <w:noWrap/>
            <w:vAlign w:val="bottom"/>
            <w:hideMark/>
          </w:tcPr>
          <w:p w14:paraId="1ECD51C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12</w:t>
            </w:r>
          </w:p>
        </w:tc>
        <w:tc>
          <w:tcPr>
            <w:tcW w:w="798" w:type="dxa"/>
            <w:shd w:val="clear" w:color="auto" w:fill="auto"/>
            <w:noWrap/>
            <w:vAlign w:val="bottom"/>
            <w:hideMark/>
          </w:tcPr>
          <w:p w14:paraId="45C7777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65</w:t>
            </w:r>
          </w:p>
        </w:tc>
        <w:tc>
          <w:tcPr>
            <w:tcW w:w="883" w:type="dxa"/>
            <w:shd w:val="clear" w:color="auto" w:fill="auto"/>
            <w:noWrap/>
            <w:vAlign w:val="bottom"/>
            <w:hideMark/>
          </w:tcPr>
          <w:p w14:paraId="103EFC3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1065" w:type="dxa"/>
            <w:shd w:val="clear" w:color="000000" w:fill="FFFFFF"/>
            <w:vAlign w:val="center"/>
            <w:hideMark/>
          </w:tcPr>
          <w:p w14:paraId="5B5E26EA"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4607B88C"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0.40</w:t>
            </w:r>
          </w:p>
        </w:tc>
      </w:tr>
      <w:tr w:rsidR="00821B82" w:rsidRPr="00454BA4" w14:paraId="45CFA7D0" w14:textId="77777777" w:rsidTr="00282204">
        <w:trPr>
          <w:trHeight w:val="249"/>
          <w:jc w:val="center"/>
        </w:trPr>
        <w:tc>
          <w:tcPr>
            <w:tcW w:w="5861" w:type="dxa"/>
            <w:vMerge/>
            <w:shd w:val="clear" w:color="auto" w:fill="auto"/>
            <w:vAlign w:val="center"/>
            <w:hideMark/>
          </w:tcPr>
          <w:p w14:paraId="732A3CB0"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36671F0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2D1E296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shd w:val="clear" w:color="auto" w:fill="auto"/>
            <w:noWrap/>
            <w:vAlign w:val="bottom"/>
            <w:hideMark/>
          </w:tcPr>
          <w:p w14:paraId="7926664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1072" w:type="dxa"/>
            <w:shd w:val="clear" w:color="auto" w:fill="auto"/>
            <w:noWrap/>
            <w:vAlign w:val="bottom"/>
            <w:hideMark/>
          </w:tcPr>
          <w:p w14:paraId="512E64D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798" w:type="dxa"/>
            <w:shd w:val="clear" w:color="auto" w:fill="auto"/>
            <w:noWrap/>
            <w:vAlign w:val="bottom"/>
            <w:hideMark/>
          </w:tcPr>
          <w:p w14:paraId="7BDE9A9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70</w:t>
            </w:r>
          </w:p>
        </w:tc>
        <w:tc>
          <w:tcPr>
            <w:tcW w:w="883" w:type="dxa"/>
            <w:shd w:val="clear" w:color="auto" w:fill="auto"/>
            <w:noWrap/>
            <w:vAlign w:val="bottom"/>
            <w:hideMark/>
          </w:tcPr>
          <w:p w14:paraId="25DD659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23</w:t>
            </w:r>
          </w:p>
        </w:tc>
        <w:tc>
          <w:tcPr>
            <w:tcW w:w="1065" w:type="dxa"/>
            <w:shd w:val="clear" w:color="000000" w:fill="FFFFFF"/>
            <w:vAlign w:val="center"/>
            <w:hideMark/>
          </w:tcPr>
          <w:p w14:paraId="398EA69F"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(4-4.25)</w:t>
            </w:r>
          </w:p>
        </w:tc>
        <w:tc>
          <w:tcPr>
            <w:tcW w:w="1070" w:type="dxa"/>
            <w:shd w:val="clear" w:color="auto" w:fill="auto"/>
            <w:vAlign w:val="center"/>
            <w:hideMark/>
          </w:tcPr>
          <w:p w14:paraId="309B0305"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0D973105" w14:textId="77777777" w:rsidTr="00282204">
        <w:trPr>
          <w:trHeight w:val="387"/>
          <w:jc w:val="center"/>
        </w:trPr>
        <w:tc>
          <w:tcPr>
            <w:tcW w:w="5861" w:type="dxa"/>
            <w:vMerge/>
            <w:shd w:val="clear" w:color="auto" w:fill="auto"/>
            <w:vAlign w:val="center"/>
            <w:hideMark/>
          </w:tcPr>
          <w:p w14:paraId="4A65BDF7"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3C3579A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6A89F6F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bottom w:val="single" w:sz="4" w:space="0" w:color="auto"/>
            </w:tcBorders>
            <w:shd w:val="clear" w:color="auto" w:fill="auto"/>
            <w:noWrap/>
            <w:vAlign w:val="bottom"/>
            <w:hideMark/>
          </w:tcPr>
          <w:p w14:paraId="49D3DA5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72" w:type="dxa"/>
            <w:tcBorders>
              <w:bottom w:val="single" w:sz="4" w:space="0" w:color="auto"/>
            </w:tcBorders>
            <w:shd w:val="clear" w:color="auto" w:fill="auto"/>
            <w:noWrap/>
            <w:vAlign w:val="bottom"/>
            <w:hideMark/>
          </w:tcPr>
          <w:p w14:paraId="5F6B099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19</w:t>
            </w:r>
          </w:p>
        </w:tc>
        <w:tc>
          <w:tcPr>
            <w:tcW w:w="798" w:type="dxa"/>
            <w:tcBorders>
              <w:bottom w:val="single" w:sz="4" w:space="0" w:color="auto"/>
            </w:tcBorders>
            <w:shd w:val="clear" w:color="auto" w:fill="auto"/>
            <w:noWrap/>
            <w:vAlign w:val="bottom"/>
            <w:hideMark/>
          </w:tcPr>
          <w:p w14:paraId="285B366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67</w:t>
            </w:r>
          </w:p>
        </w:tc>
        <w:tc>
          <w:tcPr>
            <w:tcW w:w="883" w:type="dxa"/>
            <w:tcBorders>
              <w:bottom w:val="single" w:sz="4" w:space="0" w:color="auto"/>
            </w:tcBorders>
            <w:shd w:val="clear" w:color="auto" w:fill="auto"/>
            <w:noWrap/>
            <w:vAlign w:val="bottom"/>
            <w:hideMark/>
          </w:tcPr>
          <w:p w14:paraId="4E43CE4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11</w:t>
            </w:r>
          </w:p>
        </w:tc>
        <w:tc>
          <w:tcPr>
            <w:tcW w:w="1065" w:type="dxa"/>
            <w:tcBorders>
              <w:bottom w:val="single" w:sz="4" w:space="0" w:color="auto"/>
            </w:tcBorders>
            <w:shd w:val="clear" w:color="000000" w:fill="FFFFFF"/>
            <w:vAlign w:val="center"/>
            <w:hideMark/>
          </w:tcPr>
          <w:p w14:paraId="1A4CB1F0"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0B53169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0AE5A95C" w14:textId="77777777" w:rsidTr="00282204">
        <w:trPr>
          <w:trHeight w:val="267"/>
          <w:jc w:val="center"/>
        </w:trPr>
        <w:tc>
          <w:tcPr>
            <w:tcW w:w="5861" w:type="dxa"/>
            <w:vMerge w:val="restart"/>
            <w:shd w:val="clear" w:color="auto" w:fill="auto"/>
            <w:vAlign w:val="center"/>
            <w:hideMark/>
          </w:tcPr>
          <w:p w14:paraId="7C405831"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Lack of awareness of the clinical role of pharmacist by healthcare providers </w:t>
            </w:r>
          </w:p>
          <w:p w14:paraId="4B8445AA"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2C7159F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1394E59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992" w:type="dxa"/>
            <w:tcBorders>
              <w:top w:val="single" w:sz="4" w:space="0" w:color="auto"/>
            </w:tcBorders>
            <w:shd w:val="clear" w:color="auto" w:fill="auto"/>
            <w:noWrap/>
            <w:vAlign w:val="bottom"/>
            <w:hideMark/>
          </w:tcPr>
          <w:p w14:paraId="5239C18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1072" w:type="dxa"/>
            <w:tcBorders>
              <w:top w:val="single" w:sz="4" w:space="0" w:color="auto"/>
            </w:tcBorders>
            <w:shd w:val="clear" w:color="auto" w:fill="auto"/>
            <w:noWrap/>
            <w:vAlign w:val="bottom"/>
            <w:hideMark/>
          </w:tcPr>
          <w:p w14:paraId="0CC23DC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14</w:t>
            </w:r>
          </w:p>
        </w:tc>
        <w:tc>
          <w:tcPr>
            <w:tcW w:w="798" w:type="dxa"/>
            <w:tcBorders>
              <w:top w:val="single" w:sz="4" w:space="0" w:color="auto"/>
            </w:tcBorders>
            <w:shd w:val="clear" w:color="auto" w:fill="auto"/>
            <w:noWrap/>
            <w:vAlign w:val="bottom"/>
            <w:hideMark/>
          </w:tcPr>
          <w:p w14:paraId="12C9883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59</w:t>
            </w:r>
          </w:p>
        </w:tc>
        <w:tc>
          <w:tcPr>
            <w:tcW w:w="883" w:type="dxa"/>
            <w:tcBorders>
              <w:top w:val="single" w:sz="4" w:space="0" w:color="auto"/>
            </w:tcBorders>
            <w:shd w:val="clear" w:color="auto" w:fill="auto"/>
            <w:noWrap/>
            <w:vAlign w:val="bottom"/>
            <w:hideMark/>
          </w:tcPr>
          <w:p w14:paraId="587B55EF"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25</w:t>
            </w:r>
          </w:p>
        </w:tc>
        <w:tc>
          <w:tcPr>
            <w:tcW w:w="1065" w:type="dxa"/>
            <w:tcBorders>
              <w:top w:val="single" w:sz="4" w:space="0" w:color="auto"/>
            </w:tcBorders>
            <w:shd w:val="clear" w:color="000000" w:fill="FFFFFF"/>
            <w:vAlign w:val="center"/>
            <w:hideMark/>
          </w:tcPr>
          <w:p w14:paraId="0E9C954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(4-4.5)</w:t>
            </w:r>
          </w:p>
        </w:tc>
        <w:tc>
          <w:tcPr>
            <w:tcW w:w="1070" w:type="dxa"/>
            <w:shd w:val="clear" w:color="auto" w:fill="auto"/>
            <w:vAlign w:val="center"/>
            <w:hideMark/>
          </w:tcPr>
          <w:p w14:paraId="2816B9E1"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0.73</w:t>
            </w:r>
          </w:p>
        </w:tc>
      </w:tr>
      <w:tr w:rsidR="00821B82" w:rsidRPr="00454BA4" w14:paraId="6F52F159" w14:textId="77777777" w:rsidTr="00282204">
        <w:trPr>
          <w:trHeight w:val="287"/>
          <w:jc w:val="center"/>
        </w:trPr>
        <w:tc>
          <w:tcPr>
            <w:tcW w:w="5861" w:type="dxa"/>
            <w:vMerge/>
            <w:shd w:val="clear" w:color="auto" w:fill="auto"/>
            <w:vAlign w:val="center"/>
            <w:hideMark/>
          </w:tcPr>
          <w:p w14:paraId="279EDFE0"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14FF69B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25878D6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shd w:val="clear" w:color="auto" w:fill="auto"/>
            <w:noWrap/>
            <w:vAlign w:val="bottom"/>
            <w:hideMark/>
          </w:tcPr>
          <w:p w14:paraId="5C48DF9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1072" w:type="dxa"/>
            <w:shd w:val="clear" w:color="auto" w:fill="auto"/>
            <w:noWrap/>
            <w:vAlign w:val="bottom"/>
            <w:hideMark/>
          </w:tcPr>
          <w:p w14:paraId="72B78E8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798" w:type="dxa"/>
            <w:shd w:val="clear" w:color="auto" w:fill="auto"/>
            <w:noWrap/>
            <w:vAlign w:val="bottom"/>
            <w:hideMark/>
          </w:tcPr>
          <w:p w14:paraId="06E2F07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60</w:t>
            </w:r>
          </w:p>
        </w:tc>
        <w:tc>
          <w:tcPr>
            <w:tcW w:w="883" w:type="dxa"/>
            <w:shd w:val="clear" w:color="auto" w:fill="auto"/>
            <w:noWrap/>
            <w:vAlign w:val="bottom"/>
            <w:hideMark/>
          </w:tcPr>
          <w:p w14:paraId="4B2FB39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23</w:t>
            </w:r>
          </w:p>
        </w:tc>
        <w:tc>
          <w:tcPr>
            <w:tcW w:w="1065" w:type="dxa"/>
            <w:shd w:val="clear" w:color="000000" w:fill="FFFFFF"/>
            <w:vAlign w:val="center"/>
            <w:hideMark/>
          </w:tcPr>
          <w:p w14:paraId="000A5239"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(4-4.25)</w:t>
            </w:r>
          </w:p>
        </w:tc>
        <w:tc>
          <w:tcPr>
            <w:tcW w:w="1070" w:type="dxa"/>
            <w:shd w:val="clear" w:color="auto" w:fill="auto"/>
            <w:vAlign w:val="center"/>
            <w:hideMark/>
          </w:tcPr>
          <w:p w14:paraId="2701136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7AAC5B72" w14:textId="77777777" w:rsidTr="00282204">
        <w:trPr>
          <w:trHeight w:val="387"/>
          <w:jc w:val="center"/>
        </w:trPr>
        <w:tc>
          <w:tcPr>
            <w:tcW w:w="5861" w:type="dxa"/>
            <w:vMerge/>
            <w:shd w:val="clear" w:color="auto" w:fill="auto"/>
            <w:vAlign w:val="center"/>
            <w:hideMark/>
          </w:tcPr>
          <w:p w14:paraId="5C01C603"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4B16437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30273F6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bottom w:val="single" w:sz="4" w:space="0" w:color="auto"/>
            </w:tcBorders>
            <w:shd w:val="clear" w:color="auto" w:fill="auto"/>
            <w:noWrap/>
            <w:vAlign w:val="bottom"/>
            <w:hideMark/>
          </w:tcPr>
          <w:p w14:paraId="6CB7AF4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72" w:type="dxa"/>
            <w:tcBorders>
              <w:bottom w:val="single" w:sz="4" w:space="0" w:color="auto"/>
            </w:tcBorders>
            <w:shd w:val="clear" w:color="auto" w:fill="auto"/>
            <w:noWrap/>
            <w:vAlign w:val="bottom"/>
            <w:hideMark/>
          </w:tcPr>
          <w:p w14:paraId="5DCC095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798" w:type="dxa"/>
            <w:tcBorders>
              <w:bottom w:val="single" w:sz="4" w:space="0" w:color="auto"/>
            </w:tcBorders>
            <w:shd w:val="clear" w:color="auto" w:fill="auto"/>
            <w:noWrap/>
            <w:vAlign w:val="bottom"/>
            <w:hideMark/>
          </w:tcPr>
          <w:p w14:paraId="7790153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70</w:t>
            </w:r>
          </w:p>
        </w:tc>
        <w:tc>
          <w:tcPr>
            <w:tcW w:w="883" w:type="dxa"/>
            <w:tcBorders>
              <w:bottom w:val="single" w:sz="4" w:space="0" w:color="auto"/>
            </w:tcBorders>
            <w:shd w:val="clear" w:color="auto" w:fill="auto"/>
            <w:noWrap/>
            <w:vAlign w:val="bottom"/>
            <w:hideMark/>
          </w:tcPr>
          <w:p w14:paraId="6D8AD66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11</w:t>
            </w:r>
          </w:p>
        </w:tc>
        <w:tc>
          <w:tcPr>
            <w:tcW w:w="1065" w:type="dxa"/>
            <w:tcBorders>
              <w:bottom w:val="single" w:sz="4" w:space="0" w:color="auto"/>
            </w:tcBorders>
            <w:shd w:val="clear" w:color="000000" w:fill="FFFFFF"/>
            <w:vAlign w:val="center"/>
            <w:hideMark/>
          </w:tcPr>
          <w:p w14:paraId="02508F08"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678BD66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560C66AF" w14:textId="77777777" w:rsidTr="00282204">
        <w:trPr>
          <w:trHeight w:val="267"/>
          <w:jc w:val="center"/>
        </w:trPr>
        <w:tc>
          <w:tcPr>
            <w:tcW w:w="5861" w:type="dxa"/>
            <w:vMerge w:val="restart"/>
            <w:shd w:val="clear" w:color="auto" w:fill="auto"/>
            <w:vAlign w:val="center"/>
            <w:hideMark/>
          </w:tcPr>
          <w:p w14:paraId="413D2032"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Resistance to the clinical role of pharmacists by healthcare providers </w:t>
            </w:r>
          </w:p>
          <w:p w14:paraId="6108FAB3"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30868B6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349DE6B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w:t>
            </w:r>
          </w:p>
        </w:tc>
        <w:tc>
          <w:tcPr>
            <w:tcW w:w="992" w:type="dxa"/>
            <w:tcBorders>
              <w:top w:val="single" w:sz="4" w:space="0" w:color="auto"/>
            </w:tcBorders>
            <w:shd w:val="clear" w:color="auto" w:fill="auto"/>
            <w:noWrap/>
            <w:vAlign w:val="bottom"/>
            <w:hideMark/>
          </w:tcPr>
          <w:p w14:paraId="28A922E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w:t>
            </w:r>
          </w:p>
        </w:tc>
        <w:tc>
          <w:tcPr>
            <w:tcW w:w="1072" w:type="dxa"/>
            <w:tcBorders>
              <w:top w:val="single" w:sz="4" w:space="0" w:color="auto"/>
            </w:tcBorders>
            <w:shd w:val="clear" w:color="auto" w:fill="auto"/>
            <w:noWrap/>
            <w:vAlign w:val="bottom"/>
            <w:hideMark/>
          </w:tcPr>
          <w:p w14:paraId="7BAD77C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798" w:type="dxa"/>
            <w:tcBorders>
              <w:top w:val="single" w:sz="4" w:space="0" w:color="auto"/>
            </w:tcBorders>
            <w:shd w:val="clear" w:color="auto" w:fill="auto"/>
            <w:noWrap/>
            <w:vAlign w:val="bottom"/>
            <w:hideMark/>
          </w:tcPr>
          <w:p w14:paraId="48D9B29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57</w:t>
            </w:r>
          </w:p>
        </w:tc>
        <w:tc>
          <w:tcPr>
            <w:tcW w:w="883" w:type="dxa"/>
            <w:tcBorders>
              <w:top w:val="single" w:sz="4" w:space="0" w:color="auto"/>
            </w:tcBorders>
            <w:shd w:val="clear" w:color="auto" w:fill="auto"/>
            <w:noWrap/>
            <w:vAlign w:val="bottom"/>
            <w:hideMark/>
          </w:tcPr>
          <w:p w14:paraId="62A4160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14</w:t>
            </w:r>
          </w:p>
        </w:tc>
        <w:tc>
          <w:tcPr>
            <w:tcW w:w="1065" w:type="dxa"/>
            <w:tcBorders>
              <w:top w:val="single" w:sz="4" w:space="0" w:color="auto"/>
            </w:tcBorders>
            <w:shd w:val="clear" w:color="000000" w:fill="FFFFFF"/>
            <w:vAlign w:val="center"/>
            <w:hideMark/>
          </w:tcPr>
          <w:p w14:paraId="4BEEE576"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26E5B98F"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0.30</w:t>
            </w:r>
          </w:p>
        </w:tc>
      </w:tr>
      <w:tr w:rsidR="00821B82" w:rsidRPr="00454BA4" w14:paraId="53FAA6E0" w14:textId="77777777" w:rsidTr="00282204">
        <w:trPr>
          <w:trHeight w:val="354"/>
          <w:jc w:val="center"/>
        </w:trPr>
        <w:tc>
          <w:tcPr>
            <w:tcW w:w="5861" w:type="dxa"/>
            <w:vMerge/>
            <w:shd w:val="clear" w:color="auto" w:fill="auto"/>
            <w:vAlign w:val="center"/>
            <w:hideMark/>
          </w:tcPr>
          <w:p w14:paraId="34CC2935"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1755A3B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4B770FB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992" w:type="dxa"/>
            <w:shd w:val="clear" w:color="auto" w:fill="auto"/>
            <w:noWrap/>
            <w:vAlign w:val="bottom"/>
            <w:hideMark/>
          </w:tcPr>
          <w:p w14:paraId="31A347C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1072" w:type="dxa"/>
            <w:shd w:val="clear" w:color="auto" w:fill="auto"/>
            <w:noWrap/>
            <w:vAlign w:val="bottom"/>
            <w:hideMark/>
          </w:tcPr>
          <w:p w14:paraId="6004BA9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798" w:type="dxa"/>
            <w:shd w:val="clear" w:color="auto" w:fill="auto"/>
            <w:noWrap/>
            <w:vAlign w:val="bottom"/>
            <w:hideMark/>
          </w:tcPr>
          <w:p w14:paraId="3077EA6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63</w:t>
            </w:r>
          </w:p>
        </w:tc>
        <w:tc>
          <w:tcPr>
            <w:tcW w:w="883" w:type="dxa"/>
            <w:shd w:val="clear" w:color="auto" w:fill="auto"/>
            <w:noWrap/>
            <w:vAlign w:val="bottom"/>
            <w:hideMark/>
          </w:tcPr>
          <w:p w14:paraId="03687BA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1065" w:type="dxa"/>
            <w:shd w:val="clear" w:color="000000" w:fill="FFFFFF"/>
            <w:vAlign w:val="center"/>
            <w:hideMark/>
          </w:tcPr>
          <w:p w14:paraId="5A5CE11A"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(3.75-4)</w:t>
            </w:r>
          </w:p>
        </w:tc>
        <w:tc>
          <w:tcPr>
            <w:tcW w:w="1070" w:type="dxa"/>
            <w:shd w:val="clear" w:color="auto" w:fill="auto"/>
            <w:vAlign w:val="center"/>
            <w:hideMark/>
          </w:tcPr>
          <w:p w14:paraId="38349310"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0B050CB9" w14:textId="77777777" w:rsidTr="00282204">
        <w:trPr>
          <w:trHeight w:val="378"/>
          <w:jc w:val="center"/>
        </w:trPr>
        <w:tc>
          <w:tcPr>
            <w:tcW w:w="5861" w:type="dxa"/>
            <w:vMerge/>
            <w:shd w:val="clear" w:color="auto" w:fill="auto"/>
            <w:vAlign w:val="center"/>
            <w:hideMark/>
          </w:tcPr>
          <w:p w14:paraId="51E0C5F3"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3716EEAB"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05CEE57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bottom w:val="single" w:sz="4" w:space="0" w:color="auto"/>
            </w:tcBorders>
            <w:shd w:val="clear" w:color="auto" w:fill="auto"/>
            <w:noWrap/>
            <w:vAlign w:val="bottom"/>
            <w:hideMark/>
          </w:tcPr>
          <w:p w14:paraId="6D46142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347FAA5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11</w:t>
            </w:r>
          </w:p>
        </w:tc>
        <w:tc>
          <w:tcPr>
            <w:tcW w:w="798" w:type="dxa"/>
            <w:tcBorders>
              <w:bottom w:val="single" w:sz="4" w:space="0" w:color="auto"/>
            </w:tcBorders>
            <w:shd w:val="clear" w:color="auto" w:fill="auto"/>
            <w:noWrap/>
            <w:vAlign w:val="bottom"/>
            <w:hideMark/>
          </w:tcPr>
          <w:p w14:paraId="20B63F1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82</w:t>
            </w:r>
          </w:p>
        </w:tc>
        <w:tc>
          <w:tcPr>
            <w:tcW w:w="883" w:type="dxa"/>
            <w:tcBorders>
              <w:bottom w:val="single" w:sz="4" w:space="0" w:color="auto"/>
            </w:tcBorders>
            <w:shd w:val="clear" w:color="auto" w:fill="auto"/>
            <w:noWrap/>
            <w:vAlign w:val="bottom"/>
            <w:hideMark/>
          </w:tcPr>
          <w:p w14:paraId="0A9F48C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1065" w:type="dxa"/>
            <w:tcBorders>
              <w:bottom w:val="single" w:sz="4" w:space="0" w:color="auto"/>
            </w:tcBorders>
            <w:shd w:val="clear" w:color="000000" w:fill="FFFFFF"/>
            <w:vAlign w:val="center"/>
            <w:hideMark/>
          </w:tcPr>
          <w:p w14:paraId="1BB696BD"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46C191D9"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600E79A6" w14:textId="77777777" w:rsidTr="00282204">
        <w:trPr>
          <w:trHeight w:val="350"/>
          <w:jc w:val="center"/>
        </w:trPr>
        <w:tc>
          <w:tcPr>
            <w:tcW w:w="5861" w:type="dxa"/>
            <w:vMerge w:val="restart"/>
            <w:shd w:val="clear" w:color="auto" w:fill="auto"/>
            <w:vAlign w:val="center"/>
            <w:hideMark/>
          </w:tcPr>
          <w:p w14:paraId="5BC5D558"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Administrations duties of pharmacists </w:t>
            </w:r>
          </w:p>
          <w:p w14:paraId="4F967D64"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5B5538C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6F70D14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top w:val="single" w:sz="4" w:space="0" w:color="auto"/>
            </w:tcBorders>
            <w:shd w:val="clear" w:color="auto" w:fill="auto"/>
            <w:noWrap/>
            <w:vAlign w:val="bottom"/>
            <w:hideMark/>
          </w:tcPr>
          <w:p w14:paraId="5619BBE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w:t>
            </w:r>
          </w:p>
        </w:tc>
        <w:tc>
          <w:tcPr>
            <w:tcW w:w="1072" w:type="dxa"/>
            <w:tcBorders>
              <w:top w:val="single" w:sz="4" w:space="0" w:color="auto"/>
            </w:tcBorders>
            <w:shd w:val="clear" w:color="auto" w:fill="auto"/>
            <w:noWrap/>
            <w:vAlign w:val="bottom"/>
            <w:hideMark/>
          </w:tcPr>
          <w:p w14:paraId="344B6E3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27</w:t>
            </w:r>
          </w:p>
        </w:tc>
        <w:tc>
          <w:tcPr>
            <w:tcW w:w="798" w:type="dxa"/>
            <w:tcBorders>
              <w:top w:val="single" w:sz="4" w:space="0" w:color="auto"/>
            </w:tcBorders>
            <w:shd w:val="clear" w:color="auto" w:fill="auto"/>
            <w:noWrap/>
            <w:vAlign w:val="bottom"/>
            <w:hideMark/>
          </w:tcPr>
          <w:p w14:paraId="4CCFAB7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57</w:t>
            </w:r>
          </w:p>
        </w:tc>
        <w:tc>
          <w:tcPr>
            <w:tcW w:w="883" w:type="dxa"/>
            <w:tcBorders>
              <w:top w:val="single" w:sz="4" w:space="0" w:color="auto"/>
            </w:tcBorders>
            <w:shd w:val="clear" w:color="auto" w:fill="auto"/>
            <w:noWrap/>
            <w:vAlign w:val="bottom"/>
            <w:hideMark/>
          </w:tcPr>
          <w:p w14:paraId="55F0CCC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10</w:t>
            </w:r>
          </w:p>
        </w:tc>
        <w:tc>
          <w:tcPr>
            <w:tcW w:w="1065" w:type="dxa"/>
            <w:tcBorders>
              <w:top w:val="single" w:sz="4" w:space="0" w:color="auto"/>
            </w:tcBorders>
            <w:shd w:val="clear" w:color="000000" w:fill="FFFFFF"/>
            <w:vAlign w:val="center"/>
            <w:hideMark/>
          </w:tcPr>
          <w:p w14:paraId="11EC5652"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32B83678"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0.25</w:t>
            </w:r>
          </w:p>
        </w:tc>
      </w:tr>
      <w:tr w:rsidR="00821B82" w:rsidRPr="00454BA4" w14:paraId="562BDEEF" w14:textId="77777777" w:rsidTr="00282204">
        <w:trPr>
          <w:trHeight w:val="267"/>
          <w:jc w:val="center"/>
        </w:trPr>
        <w:tc>
          <w:tcPr>
            <w:tcW w:w="5861" w:type="dxa"/>
            <w:vMerge/>
            <w:shd w:val="clear" w:color="auto" w:fill="auto"/>
            <w:vAlign w:val="center"/>
            <w:hideMark/>
          </w:tcPr>
          <w:p w14:paraId="265DD044"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780B76F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6ADF359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992" w:type="dxa"/>
            <w:shd w:val="clear" w:color="auto" w:fill="auto"/>
            <w:noWrap/>
            <w:vAlign w:val="bottom"/>
            <w:hideMark/>
          </w:tcPr>
          <w:p w14:paraId="1018090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1072" w:type="dxa"/>
            <w:shd w:val="clear" w:color="auto" w:fill="auto"/>
            <w:noWrap/>
            <w:vAlign w:val="bottom"/>
            <w:hideMark/>
          </w:tcPr>
          <w:p w14:paraId="051EE7F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27</w:t>
            </w:r>
          </w:p>
        </w:tc>
        <w:tc>
          <w:tcPr>
            <w:tcW w:w="798" w:type="dxa"/>
            <w:shd w:val="clear" w:color="auto" w:fill="auto"/>
            <w:noWrap/>
            <w:vAlign w:val="bottom"/>
            <w:hideMark/>
          </w:tcPr>
          <w:p w14:paraId="0DB514A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50</w:t>
            </w:r>
          </w:p>
        </w:tc>
        <w:tc>
          <w:tcPr>
            <w:tcW w:w="883" w:type="dxa"/>
            <w:shd w:val="clear" w:color="auto" w:fill="auto"/>
            <w:noWrap/>
            <w:vAlign w:val="bottom"/>
            <w:hideMark/>
          </w:tcPr>
          <w:p w14:paraId="76E6B13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1065" w:type="dxa"/>
            <w:shd w:val="clear" w:color="000000" w:fill="FFFFFF"/>
            <w:vAlign w:val="center"/>
            <w:hideMark/>
          </w:tcPr>
          <w:p w14:paraId="0B29AE07"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(3-4)</w:t>
            </w:r>
          </w:p>
        </w:tc>
        <w:tc>
          <w:tcPr>
            <w:tcW w:w="1070" w:type="dxa"/>
            <w:shd w:val="clear" w:color="auto" w:fill="auto"/>
            <w:vAlign w:val="center"/>
            <w:hideMark/>
          </w:tcPr>
          <w:p w14:paraId="5905FF9C"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6B7C19AE" w14:textId="77777777" w:rsidTr="00282204">
        <w:trPr>
          <w:trHeight w:val="287"/>
          <w:jc w:val="center"/>
        </w:trPr>
        <w:tc>
          <w:tcPr>
            <w:tcW w:w="5861" w:type="dxa"/>
            <w:vMerge/>
            <w:shd w:val="clear" w:color="auto" w:fill="auto"/>
            <w:vAlign w:val="center"/>
            <w:hideMark/>
          </w:tcPr>
          <w:p w14:paraId="6C1459CD"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63C60BA6"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3FB9DB0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bottom w:val="single" w:sz="4" w:space="0" w:color="auto"/>
            </w:tcBorders>
            <w:shd w:val="clear" w:color="auto" w:fill="auto"/>
            <w:noWrap/>
            <w:vAlign w:val="bottom"/>
            <w:hideMark/>
          </w:tcPr>
          <w:p w14:paraId="5813D7A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0C45328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11</w:t>
            </w:r>
          </w:p>
        </w:tc>
        <w:tc>
          <w:tcPr>
            <w:tcW w:w="798" w:type="dxa"/>
            <w:tcBorders>
              <w:bottom w:val="single" w:sz="4" w:space="0" w:color="auto"/>
            </w:tcBorders>
            <w:shd w:val="clear" w:color="auto" w:fill="auto"/>
            <w:noWrap/>
            <w:vAlign w:val="bottom"/>
            <w:hideMark/>
          </w:tcPr>
          <w:p w14:paraId="55AF5CF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78</w:t>
            </w:r>
          </w:p>
        </w:tc>
        <w:tc>
          <w:tcPr>
            <w:tcW w:w="883" w:type="dxa"/>
            <w:tcBorders>
              <w:bottom w:val="single" w:sz="4" w:space="0" w:color="auto"/>
            </w:tcBorders>
            <w:shd w:val="clear" w:color="auto" w:fill="auto"/>
            <w:noWrap/>
            <w:vAlign w:val="bottom"/>
            <w:hideMark/>
          </w:tcPr>
          <w:p w14:paraId="438E9BB1"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65" w:type="dxa"/>
            <w:tcBorders>
              <w:bottom w:val="single" w:sz="4" w:space="0" w:color="auto"/>
            </w:tcBorders>
            <w:shd w:val="clear" w:color="000000" w:fill="FFFFFF"/>
            <w:vAlign w:val="center"/>
            <w:hideMark/>
          </w:tcPr>
          <w:p w14:paraId="50F7A9F8"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484072AC"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53A5CEB5" w14:textId="77777777" w:rsidTr="00282204">
        <w:trPr>
          <w:trHeight w:val="323"/>
          <w:jc w:val="center"/>
        </w:trPr>
        <w:tc>
          <w:tcPr>
            <w:tcW w:w="5861" w:type="dxa"/>
            <w:vMerge w:val="restart"/>
            <w:shd w:val="clear" w:color="auto" w:fill="auto"/>
            <w:vAlign w:val="center"/>
            <w:hideMark/>
          </w:tcPr>
          <w:p w14:paraId="12F22951" w14:textId="77777777" w:rsidR="00821B82" w:rsidRPr="00454BA4" w:rsidRDefault="00821B82" w:rsidP="00282204">
            <w:pPr>
              <w:spacing w:after="0" w:line="240" w:lineRule="auto"/>
              <w:rPr>
                <w:rFonts w:asciiTheme="minorBidi" w:eastAsia="Times New Roman" w:hAnsiTheme="minorBidi"/>
                <w:color w:val="264A60"/>
                <w:sz w:val="18"/>
                <w:szCs w:val="18"/>
              </w:rPr>
            </w:pPr>
            <w:r w:rsidRPr="00986F51">
              <w:rPr>
                <w:rFonts w:asciiTheme="minorBidi" w:eastAsia="Times New Roman" w:hAnsiTheme="minorBidi"/>
                <w:color w:val="264A60"/>
                <w:sz w:val="18"/>
                <w:szCs w:val="18"/>
              </w:rPr>
              <w:t xml:space="preserve">Under-utilisation of pharmacist roles in primary healthcare centres </w:t>
            </w:r>
          </w:p>
          <w:p w14:paraId="6F27BAB3"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top w:val="single" w:sz="4" w:space="0" w:color="auto"/>
            </w:tcBorders>
            <w:shd w:val="clear" w:color="auto" w:fill="auto"/>
            <w:vAlign w:val="center"/>
            <w:hideMark/>
          </w:tcPr>
          <w:p w14:paraId="623260A8"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Doctor</w:t>
            </w:r>
          </w:p>
        </w:tc>
        <w:tc>
          <w:tcPr>
            <w:tcW w:w="909" w:type="dxa"/>
            <w:tcBorders>
              <w:top w:val="single" w:sz="4" w:space="0" w:color="auto"/>
            </w:tcBorders>
            <w:shd w:val="clear" w:color="auto" w:fill="auto"/>
            <w:noWrap/>
            <w:vAlign w:val="bottom"/>
            <w:hideMark/>
          </w:tcPr>
          <w:p w14:paraId="41B3022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top w:val="single" w:sz="4" w:space="0" w:color="auto"/>
            </w:tcBorders>
            <w:shd w:val="clear" w:color="auto" w:fill="auto"/>
            <w:noWrap/>
            <w:vAlign w:val="bottom"/>
            <w:hideMark/>
          </w:tcPr>
          <w:p w14:paraId="0B661B9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1072" w:type="dxa"/>
            <w:tcBorders>
              <w:top w:val="single" w:sz="4" w:space="0" w:color="auto"/>
            </w:tcBorders>
            <w:shd w:val="clear" w:color="auto" w:fill="auto"/>
            <w:noWrap/>
            <w:vAlign w:val="bottom"/>
            <w:hideMark/>
          </w:tcPr>
          <w:p w14:paraId="673E052A"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18</w:t>
            </w:r>
          </w:p>
        </w:tc>
        <w:tc>
          <w:tcPr>
            <w:tcW w:w="798" w:type="dxa"/>
            <w:tcBorders>
              <w:top w:val="single" w:sz="4" w:space="0" w:color="auto"/>
            </w:tcBorders>
            <w:shd w:val="clear" w:color="auto" w:fill="auto"/>
            <w:noWrap/>
            <w:vAlign w:val="bottom"/>
            <w:hideMark/>
          </w:tcPr>
          <w:p w14:paraId="5158FFC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59</w:t>
            </w:r>
          </w:p>
        </w:tc>
        <w:tc>
          <w:tcPr>
            <w:tcW w:w="883" w:type="dxa"/>
            <w:tcBorders>
              <w:top w:val="single" w:sz="4" w:space="0" w:color="auto"/>
            </w:tcBorders>
            <w:shd w:val="clear" w:color="auto" w:fill="auto"/>
            <w:noWrap/>
            <w:vAlign w:val="bottom"/>
            <w:hideMark/>
          </w:tcPr>
          <w:p w14:paraId="5E58BE1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22</w:t>
            </w:r>
          </w:p>
        </w:tc>
        <w:tc>
          <w:tcPr>
            <w:tcW w:w="1065" w:type="dxa"/>
            <w:tcBorders>
              <w:top w:val="single" w:sz="4" w:space="0" w:color="auto"/>
            </w:tcBorders>
            <w:shd w:val="clear" w:color="000000" w:fill="FFFFFF"/>
            <w:vAlign w:val="center"/>
            <w:hideMark/>
          </w:tcPr>
          <w:p w14:paraId="0D809767"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shd w:val="clear" w:color="auto" w:fill="auto"/>
            <w:vAlign w:val="center"/>
            <w:hideMark/>
          </w:tcPr>
          <w:p w14:paraId="193CFC3F"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0.12</w:t>
            </w:r>
          </w:p>
        </w:tc>
      </w:tr>
      <w:tr w:rsidR="00821B82" w:rsidRPr="00454BA4" w14:paraId="3801A3A8" w14:textId="77777777" w:rsidTr="00282204">
        <w:trPr>
          <w:trHeight w:val="335"/>
          <w:jc w:val="center"/>
        </w:trPr>
        <w:tc>
          <w:tcPr>
            <w:tcW w:w="5861" w:type="dxa"/>
            <w:vMerge/>
            <w:shd w:val="clear" w:color="auto" w:fill="auto"/>
            <w:vAlign w:val="center"/>
            <w:hideMark/>
          </w:tcPr>
          <w:p w14:paraId="1AF7DD15"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shd w:val="clear" w:color="auto" w:fill="auto"/>
            <w:vAlign w:val="center"/>
            <w:hideMark/>
          </w:tcPr>
          <w:p w14:paraId="31E9349D"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Pharmacist</w:t>
            </w:r>
          </w:p>
        </w:tc>
        <w:tc>
          <w:tcPr>
            <w:tcW w:w="909" w:type="dxa"/>
            <w:shd w:val="clear" w:color="auto" w:fill="auto"/>
            <w:noWrap/>
            <w:vAlign w:val="bottom"/>
            <w:hideMark/>
          </w:tcPr>
          <w:p w14:paraId="5A943789"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3</w:t>
            </w:r>
          </w:p>
        </w:tc>
        <w:tc>
          <w:tcPr>
            <w:tcW w:w="992" w:type="dxa"/>
            <w:shd w:val="clear" w:color="auto" w:fill="auto"/>
            <w:noWrap/>
            <w:vAlign w:val="bottom"/>
            <w:hideMark/>
          </w:tcPr>
          <w:p w14:paraId="03236E1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1072" w:type="dxa"/>
            <w:shd w:val="clear" w:color="auto" w:fill="auto"/>
            <w:noWrap/>
            <w:vAlign w:val="bottom"/>
            <w:hideMark/>
          </w:tcPr>
          <w:p w14:paraId="01426037"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20</w:t>
            </w:r>
          </w:p>
        </w:tc>
        <w:tc>
          <w:tcPr>
            <w:tcW w:w="798" w:type="dxa"/>
            <w:shd w:val="clear" w:color="auto" w:fill="auto"/>
            <w:noWrap/>
            <w:vAlign w:val="bottom"/>
            <w:hideMark/>
          </w:tcPr>
          <w:p w14:paraId="6A71CFE2"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63</w:t>
            </w:r>
          </w:p>
        </w:tc>
        <w:tc>
          <w:tcPr>
            <w:tcW w:w="883" w:type="dxa"/>
            <w:shd w:val="clear" w:color="auto" w:fill="auto"/>
            <w:noWrap/>
            <w:vAlign w:val="bottom"/>
            <w:hideMark/>
          </w:tcPr>
          <w:p w14:paraId="2B4100E4"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13</w:t>
            </w:r>
          </w:p>
        </w:tc>
        <w:tc>
          <w:tcPr>
            <w:tcW w:w="1065" w:type="dxa"/>
            <w:shd w:val="clear" w:color="000000" w:fill="FFFFFF"/>
            <w:vAlign w:val="center"/>
            <w:hideMark/>
          </w:tcPr>
          <w:p w14:paraId="77CBF1DB"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(3.75-4)</w:t>
            </w:r>
          </w:p>
        </w:tc>
        <w:tc>
          <w:tcPr>
            <w:tcW w:w="1070" w:type="dxa"/>
            <w:shd w:val="clear" w:color="auto" w:fill="auto"/>
            <w:vAlign w:val="center"/>
            <w:hideMark/>
          </w:tcPr>
          <w:p w14:paraId="660A6640"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r w:rsidR="00821B82" w:rsidRPr="00454BA4" w14:paraId="616CEB44" w14:textId="77777777" w:rsidTr="00282204">
        <w:trPr>
          <w:trHeight w:val="182"/>
          <w:jc w:val="center"/>
        </w:trPr>
        <w:tc>
          <w:tcPr>
            <w:tcW w:w="5861" w:type="dxa"/>
            <w:vMerge/>
            <w:tcBorders>
              <w:bottom w:val="single" w:sz="4" w:space="0" w:color="auto"/>
            </w:tcBorders>
            <w:shd w:val="clear" w:color="auto" w:fill="auto"/>
            <w:vAlign w:val="center"/>
            <w:hideMark/>
          </w:tcPr>
          <w:p w14:paraId="31F027EB" w14:textId="77777777" w:rsidR="00821B82" w:rsidRPr="00986F51" w:rsidRDefault="00821B82" w:rsidP="00282204">
            <w:pPr>
              <w:spacing w:after="0" w:line="240" w:lineRule="auto"/>
              <w:rPr>
                <w:rFonts w:asciiTheme="minorBidi" w:eastAsia="Times New Roman" w:hAnsiTheme="minorBidi"/>
                <w:color w:val="264A60"/>
                <w:sz w:val="18"/>
                <w:szCs w:val="18"/>
              </w:rPr>
            </w:pPr>
          </w:p>
        </w:tc>
        <w:tc>
          <w:tcPr>
            <w:tcW w:w="1529" w:type="dxa"/>
            <w:tcBorders>
              <w:bottom w:val="single" w:sz="4" w:space="0" w:color="auto"/>
            </w:tcBorders>
            <w:shd w:val="clear" w:color="auto" w:fill="auto"/>
            <w:vAlign w:val="center"/>
            <w:hideMark/>
          </w:tcPr>
          <w:p w14:paraId="65382B93"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Nurse</w:t>
            </w:r>
          </w:p>
        </w:tc>
        <w:tc>
          <w:tcPr>
            <w:tcW w:w="909" w:type="dxa"/>
            <w:tcBorders>
              <w:bottom w:val="single" w:sz="4" w:space="0" w:color="auto"/>
            </w:tcBorders>
            <w:shd w:val="clear" w:color="auto" w:fill="auto"/>
            <w:noWrap/>
            <w:vAlign w:val="bottom"/>
            <w:hideMark/>
          </w:tcPr>
          <w:p w14:paraId="36EC9200"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0</w:t>
            </w:r>
          </w:p>
        </w:tc>
        <w:tc>
          <w:tcPr>
            <w:tcW w:w="992" w:type="dxa"/>
            <w:tcBorders>
              <w:bottom w:val="single" w:sz="4" w:space="0" w:color="auto"/>
            </w:tcBorders>
            <w:shd w:val="clear" w:color="auto" w:fill="auto"/>
            <w:noWrap/>
            <w:vAlign w:val="bottom"/>
            <w:hideMark/>
          </w:tcPr>
          <w:p w14:paraId="2CA9DD8C"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w:t>
            </w:r>
          </w:p>
        </w:tc>
        <w:tc>
          <w:tcPr>
            <w:tcW w:w="1072" w:type="dxa"/>
            <w:tcBorders>
              <w:bottom w:val="single" w:sz="4" w:space="0" w:color="auto"/>
            </w:tcBorders>
            <w:shd w:val="clear" w:color="auto" w:fill="auto"/>
            <w:noWrap/>
            <w:vAlign w:val="bottom"/>
            <w:hideMark/>
          </w:tcPr>
          <w:p w14:paraId="0BA50BA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15</w:t>
            </w:r>
          </w:p>
        </w:tc>
        <w:tc>
          <w:tcPr>
            <w:tcW w:w="798" w:type="dxa"/>
            <w:tcBorders>
              <w:bottom w:val="single" w:sz="4" w:space="0" w:color="auto"/>
            </w:tcBorders>
            <w:shd w:val="clear" w:color="auto" w:fill="auto"/>
            <w:noWrap/>
            <w:vAlign w:val="bottom"/>
            <w:hideMark/>
          </w:tcPr>
          <w:p w14:paraId="55BC6CDE"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74</w:t>
            </w:r>
          </w:p>
        </w:tc>
        <w:tc>
          <w:tcPr>
            <w:tcW w:w="883" w:type="dxa"/>
            <w:tcBorders>
              <w:bottom w:val="single" w:sz="4" w:space="0" w:color="auto"/>
            </w:tcBorders>
            <w:shd w:val="clear" w:color="auto" w:fill="auto"/>
            <w:noWrap/>
            <w:vAlign w:val="bottom"/>
            <w:hideMark/>
          </w:tcPr>
          <w:p w14:paraId="38A955C5" w14:textId="77777777" w:rsidR="00821B82" w:rsidRPr="00986F51" w:rsidRDefault="00821B82" w:rsidP="00282204">
            <w:pPr>
              <w:spacing w:after="0" w:line="240" w:lineRule="auto"/>
              <w:jc w:val="center"/>
              <w:rPr>
                <w:rFonts w:asciiTheme="minorBidi" w:eastAsia="Times New Roman" w:hAnsiTheme="minorBidi"/>
                <w:color w:val="000000"/>
                <w:sz w:val="18"/>
                <w:szCs w:val="18"/>
              </w:rPr>
            </w:pPr>
            <w:r w:rsidRPr="00986F51">
              <w:rPr>
                <w:rFonts w:asciiTheme="minorBidi" w:eastAsia="Times New Roman" w:hAnsiTheme="minorBidi"/>
                <w:color w:val="000000"/>
                <w:sz w:val="18"/>
                <w:szCs w:val="18"/>
              </w:rPr>
              <w:t>4</w:t>
            </w:r>
          </w:p>
        </w:tc>
        <w:tc>
          <w:tcPr>
            <w:tcW w:w="1065" w:type="dxa"/>
            <w:tcBorders>
              <w:bottom w:val="single" w:sz="4" w:space="0" w:color="auto"/>
            </w:tcBorders>
            <w:shd w:val="clear" w:color="000000" w:fill="FFFFFF"/>
            <w:vAlign w:val="center"/>
            <w:hideMark/>
          </w:tcPr>
          <w:p w14:paraId="534C273B"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r w:rsidRPr="00986F51">
              <w:rPr>
                <w:rFonts w:asciiTheme="minorBidi" w:eastAsia="Times New Roman" w:hAnsiTheme="minorBidi"/>
                <w:color w:val="010205"/>
                <w:sz w:val="18"/>
                <w:szCs w:val="18"/>
              </w:rPr>
              <w:t>4 (4-4)</w:t>
            </w:r>
          </w:p>
        </w:tc>
        <w:tc>
          <w:tcPr>
            <w:tcW w:w="1070" w:type="dxa"/>
            <w:tcBorders>
              <w:bottom w:val="single" w:sz="4" w:space="0" w:color="auto"/>
            </w:tcBorders>
            <w:shd w:val="clear" w:color="auto" w:fill="auto"/>
            <w:vAlign w:val="center"/>
            <w:hideMark/>
          </w:tcPr>
          <w:p w14:paraId="2B89D2E8" w14:textId="77777777" w:rsidR="00821B82" w:rsidRPr="00986F51" w:rsidRDefault="00821B82" w:rsidP="00282204">
            <w:pPr>
              <w:spacing w:after="0" w:line="240" w:lineRule="auto"/>
              <w:jc w:val="center"/>
              <w:rPr>
                <w:rFonts w:asciiTheme="minorBidi" w:eastAsia="Times New Roman" w:hAnsiTheme="minorBidi"/>
                <w:color w:val="010205"/>
                <w:sz w:val="18"/>
                <w:szCs w:val="18"/>
              </w:rPr>
            </w:pPr>
          </w:p>
        </w:tc>
      </w:tr>
    </w:tbl>
    <w:p w14:paraId="2A8A7981" w14:textId="77777777" w:rsidR="00821B82" w:rsidRPr="00264998" w:rsidRDefault="00821B82" w:rsidP="00821B82">
      <w:pPr>
        <w:spacing w:after="0" w:line="360" w:lineRule="auto"/>
        <w:rPr>
          <w:rFonts w:asciiTheme="minorBidi" w:hAnsiTheme="minorBidi"/>
          <w:sz w:val="16"/>
          <w:szCs w:val="16"/>
          <w:shd w:val="clear" w:color="auto" w:fill="FFFFFF"/>
        </w:rPr>
      </w:pPr>
      <w:r w:rsidRPr="00264998">
        <w:rPr>
          <w:rFonts w:asciiTheme="minorBidi" w:hAnsiTheme="minorBidi"/>
          <w:sz w:val="16"/>
          <w:szCs w:val="16"/>
          <w:shd w:val="clear" w:color="auto" w:fill="FFFFFF"/>
        </w:rPr>
        <w:t xml:space="preserve">* P &lt; 0.05: statistically significant, IQR: </w:t>
      </w:r>
      <w:r w:rsidRPr="00264998">
        <w:rPr>
          <w:rFonts w:asciiTheme="minorBidi" w:eastAsia="Times New Roman" w:hAnsiTheme="minorBidi"/>
          <w:color w:val="000000"/>
          <w:sz w:val="16"/>
          <w:szCs w:val="16"/>
        </w:rPr>
        <w:t>Interquartile Range, responses (1=Strongly disagree, 2=Disagree, 3=Neither agree nor disagree, 4=Agree, 5=Strongly agree)</w:t>
      </w:r>
    </w:p>
    <w:p w14:paraId="1D640FA0" w14:textId="77777777" w:rsidR="00821B82" w:rsidRDefault="00821B82" w:rsidP="00821B82">
      <w:pPr>
        <w:spacing w:line="360" w:lineRule="auto"/>
        <w:jc w:val="both"/>
        <w:rPr>
          <w:rFonts w:ascii="Arial" w:hAnsi="Arial" w:cs="Arial"/>
          <w:sz w:val="24"/>
          <w:szCs w:val="24"/>
        </w:rPr>
      </w:pPr>
    </w:p>
    <w:p w14:paraId="22B824B9" w14:textId="77777777" w:rsidR="00821B82" w:rsidRDefault="00821B82" w:rsidP="00821B82">
      <w:pPr>
        <w:spacing w:line="360" w:lineRule="auto"/>
        <w:jc w:val="both"/>
        <w:rPr>
          <w:rFonts w:ascii="Arial" w:hAnsi="Arial" w:cs="Arial"/>
          <w:sz w:val="24"/>
          <w:szCs w:val="24"/>
        </w:rPr>
      </w:pPr>
    </w:p>
    <w:p w14:paraId="0D659E82" w14:textId="77777777" w:rsidR="00821B82" w:rsidRDefault="00821B82" w:rsidP="00821B82">
      <w:pPr>
        <w:spacing w:line="360" w:lineRule="auto"/>
        <w:jc w:val="both"/>
        <w:rPr>
          <w:rFonts w:ascii="Arial" w:hAnsi="Arial" w:cs="Arial"/>
          <w:sz w:val="24"/>
          <w:szCs w:val="24"/>
        </w:rPr>
      </w:pPr>
    </w:p>
    <w:p w14:paraId="0E7E97C7" w14:textId="77777777" w:rsidR="00821B82" w:rsidRDefault="00821B82" w:rsidP="00821B82">
      <w:pPr>
        <w:spacing w:line="360" w:lineRule="auto"/>
        <w:jc w:val="both"/>
        <w:rPr>
          <w:rFonts w:ascii="Arial" w:hAnsi="Arial" w:cs="Arial"/>
          <w:sz w:val="24"/>
          <w:szCs w:val="24"/>
        </w:rPr>
      </w:pPr>
      <w:r>
        <w:rPr>
          <w:noProof/>
        </w:rPr>
        <w:drawing>
          <wp:inline distT="0" distB="0" distL="0" distR="0" wp14:anchorId="57C87DF7" wp14:editId="419559FA">
            <wp:extent cx="8229600" cy="5085277"/>
            <wp:effectExtent l="0" t="0" r="0" b="1270"/>
            <wp:docPr id="24" name="Chart 24">
              <a:extLst xmlns:a="http://schemas.openxmlformats.org/drawingml/2006/main">
                <a:ext uri="{FF2B5EF4-FFF2-40B4-BE49-F238E27FC236}">
                  <a16:creationId xmlns:a16="http://schemas.microsoft.com/office/drawing/2014/main" id="{0A122EAD-2F9B-2167-B8A3-72BAC5D69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99169C3" w14:textId="77777777" w:rsidR="00821B82" w:rsidRDefault="00821B82" w:rsidP="00821B82">
      <w:pPr>
        <w:spacing w:line="360" w:lineRule="auto"/>
        <w:jc w:val="both"/>
        <w:rPr>
          <w:rFonts w:ascii="Arial" w:hAnsi="Arial" w:cs="Arial"/>
          <w:sz w:val="24"/>
          <w:szCs w:val="24"/>
        </w:rPr>
      </w:pPr>
    </w:p>
    <w:p w14:paraId="4A9327B8" w14:textId="77777777" w:rsidR="00821B82" w:rsidRDefault="00821B82" w:rsidP="00821B82">
      <w:pPr>
        <w:spacing w:line="360" w:lineRule="auto"/>
        <w:jc w:val="both"/>
        <w:rPr>
          <w:rFonts w:ascii="Arial" w:hAnsi="Arial" w:cs="Arial"/>
          <w:sz w:val="24"/>
          <w:szCs w:val="24"/>
        </w:rPr>
      </w:pPr>
      <w:r>
        <w:rPr>
          <w:noProof/>
        </w:rPr>
        <w:drawing>
          <wp:inline distT="0" distB="0" distL="0" distR="0" wp14:anchorId="19A99F38" wp14:editId="1B4DE131">
            <wp:extent cx="8229600" cy="5256134"/>
            <wp:effectExtent l="0" t="0" r="0" b="1905"/>
            <wp:docPr id="25" name="Chart 25">
              <a:extLst xmlns:a="http://schemas.openxmlformats.org/drawingml/2006/main">
                <a:ext uri="{FF2B5EF4-FFF2-40B4-BE49-F238E27FC236}">
                  <a16:creationId xmlns:a16="http://schemas.microsoft.com/office/drawing/2014/main" id="{A9DDE7D3-F722-5F82-7F91-05025A9A1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679B6F" w14:textId="77777777" w:rsidR="00821B82" w:rsidRDefault="00821B82" w:rsidP="00821B82">
      <w:pPr>
        <w:spacing w:line="360" w:lineRule="auto"/>
        <w:jc w:val="both"/>
        <w:rPr>
          <w:rFonts w:ascii="Arial" w:hAnsi="Arial" w:cs="Arial"/>
          <w:sz w:val="24"/>
          <w:szCs w:val="24"/>
        </w:rPr>
      </w:pPr>
      <w:r>
        <w:rPr>
          <w:noProof/>
        </w:rPr>
        <w:drawing>
          <wp:inline distT="0" distB="0" distL="0" distR="0" wp14:anchorId="15C4D0F9" wp14:editId="3A918E77">
            <wp:extent cx="8229600" cy="4816942"/>
            <wp:effectExtent l="0" t="0" r="0" b="3175"/>
            <wp:docPr id="26" name="Chart 26">
              <a:extLst xmlns:a="http://schemas.openxmlformats.org/drawingml/2006/main">
                <a:ext uri="{FF2B5EF4-FFF2-40B4-BE49-F238E27FC236}">
                  <a16:creationId xmlns:a16="http://schemas.microsoft.com/office/drawing/2014/main" id="{EAC1A49F-7F90-1929-D305-A657C87C0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C29FC8" w14:textId="4A3AAE16" w:rsidR="00821B82" w:rsidRPr="007F00D6" w:rsidRDefault="00821B82" w:rsidP="00821B82">
      <w:pPr>
        <w:pStyle w:val="Caption"/>
        <w:rPr>
          <w:rFonts w:ascii="Arial" w:hAnsi="Arial" w:cs="Arial"/>
          <w:color w:val="000000"/>
          <w:sz w:val="32"/>
          <w:szCs w:val="32"/>
          <w:lang w:val="en-GB"/>
        </w:rPr>
        <w:sectPr w:rsidR="00821B82" w:rsidRPr="007F00D6" w:rsidSect="00282204">
          <w:pgSz w:w="15840" w:h="12240" w:orient="landscape"/>
          <w:pgMar w:top="1440" w:right="1440" w:bottom="1440" w:left="1440" w:header="720" w:footer="720" w:gutter="0"/>
          <w:cols w:space="720"/>
          <w:docGrid w:linePitch="360"/>
        </w:sectPr>
      </w:pPr>
      <w:bookmarkStart w:id="236" w:name="_Ref122485771"/>
      <w:bookmarkStart w:id="237" w:name="_Toc153894802"/>
      <w:r w:rsidRPr="007F00D6">
        <w:rPr>
          <w:sz w:val="22"/>
          <w:szCs w:val="22"/>
        </w:rPr>
        <w:t xml:space="preserve">Figure </w:t>
      </w:r>
      <w:r w:rsidRPr="007F00D6">
        <w:rPr>
          <w:sz w:val="22"/>
          <w:szCs w:val="22"/>
        </w:rPr>
        <w:fldChar w:fldCharType="begin"/>
      </w:r>
      <w:r w:rsidRPr="007F00D6">
        <w:rPr>
          <w:sz w:val="22"/>
          <w:szCs w:val="22"/>
        </w:rPr>
        <w:instrText xml:space="preserve"> SEQ Figure \* ARABIC </w:instrText>
      </w:r>
      <w:r w:rsidRPr="007F00D6">
        <w:rPr>
          <w:sz w:val="22"/>
          <w:szCs w:val="22"/>
        </w:rPr>
        <w:fldChar w:fldCharType="separate"/>
      </w:r>
      <w:r w:rsidR="000507B7">
        <w:rPr>
          <w:noProof/>
          <w:sz w:val="22"/>
          <w:szCs w:val="22"/>
        </w:rPr>
        <w:t>14</w:t>
      </w:r>
      <w:r w:rsidRPr="007F00D6">
        <w:rPr>
          <w:sz w:val="22"/>
          <w:szCs w:val="22"/>
        </w:rPr>
        <w:fldChar w:fldCharType="end"/>
      </w:r>
      <w:bookmarkEnd w:id="236"/>
      <w:r w:rsidRPr="007F00D6">
        <w:rPr>
          <w:sz w:val="22"/>
          <w:szCs w:val="22"/>
        </w:rPr>
        <w:t>:</w:t>
      </w:r>
      <w:r w:rsidRPr="007F00D6">
        <w:rPr>
          <w:i w:val="0"/>
          <w:iCs w:val="0"/>
          <w:color w:val="auto"/>
          <w:sz w:val="36"/>
          <w:szCs w:val="36"/>
        </w:rPr>
        <w:t xml:space="preserve"> </w:t>
      </w:r>
      <w:r w:rsidRPr="007F00D6">
        <w:rPr>
          <w:sz w:val="22"/>
          <w:szCs w:val="22"/>
        </w:rPr>
        <w:t>Barriers to primary care pharmacists providing clinical services to patients with diabetes</w:t>
      </w:r>
      <w:bookmarkEnd w:id="237"/>
    </w:p>
    <w:p w14:paraId="1C7886D0" w14:textId="77777777" w:rsidR="00821B82" w:rsidRPr="00FC3132" w:rsidRDefault="00821B82" w:rsidP="00821B82">
      <w:pPr>
        <w:pStyle w:val="Heading2"/>
        <w:numPr>
          <w:ilvl w:val="1"/>
          <w:numId w:val="14"/>
        </w:numPr>
        <w:spacing w:line="360" w:lineRule="auto"/>
        <w:ind w:left="0" w:firstLine="0"/>
        <w:rPr>
          <w:lang w:val="en-GB"/>
        </w:rPr>
      </w:pPr>
      <w:bookmarkStart w:id="238" w:name="_Toc122626424"/>
      <w:bookmarkStart w:id="239" w:name="_Toc153894198"/>
      <w:r w:rsidRPr="00FC3132">
        <w:rPr>
          <w:lang w:val="en-GB"/>
        </w:rPr>
        <w:t>Summary and Conclusion</w:t>
      </w:r>
      <w:bookmarkEnd w:id="238"/>
      <w:bookmarkEnd w:id="239"/>
    </w:p>
    <w:p w14:paraId="56D89428" w14:textId="77777777" w:rsidR="00821B82" w:rsidRPr="002F3D1B" w:rsidRDefault="00821B82" w:rsidP="00821B82">
      <w:pPr>
        <w:spacing w:line="360" w:lineRule="auto"/>
        <w:jc w:val="both"/>
        <w:rPr>
          <w:rFonts w:asciiTheme="minorBidi" w:hAnsiTheme="minorBidi"/>
          <w:sz w:val="24"/>
          <w:szCs w:val="24"/>
          <w:lang w:val="en-GB"/>
        </w:rPr>
      </w:pPr>
      <w:r w:rsidRPr="002F3D1B">
        <w:rPr>
          <w:rFonts w:asciiTheme="minorBidi" w:hAnsiTheme="minorBidi"/>
          <w:sz w:val="24"/>
          <w:szCs w:val="24"/>
          <w:lang w:val="en-GB"/>
        </w:rPr>
        <w:t xml:space="preserve">This chapter introduced the first data collection stage, the quantitative survey method and the results of the quantitative approach. Data were collected from doctors, pharmacists and nurses working or who worked in PHCs in the Eastern Province of </w:t>
      </w:r>
      <w:r>
        <w:rPr>
          <w:rFonts w:asciiTheme="minorBidi" w:hAnsiTheme="minorBidi"/>
          <w:sz w:val="24"/>
          <w:szCs w:val="24"/>
          <w:lang w:val="en-GB"/>
        </w:rPr>
        <w:t>SA</w:t>
      </w:r>
      <w:r w:rsidRPr="002F3D1B">
        <w:rPr>
          <w:rFonts w:asciiTheme="minorBidi" w:hAnsiTheme="minorBidi"/>
          <w:sz w:val="24"/>
          <w:szCs w:val="24"/>
          <w:lang w:val="en-GB"/>
        </w:rPr>
        <w:t>. 60% of the participants at this stage had more than ten years of experience working in PHCs. In general, positive results were found at this stage, including that primary care pharmacists working in PHCs in SA provide clinical activities beyond the traditional roles of preparing and dispensing medicines. Where it was found that pharmacists can play different roles in the management of diabetes in PHCs, including</w:t>
      </w:r>
      <w:r>
        <w:rPr>
          <w:rFonts w:asciiTheme="minorBidi" w:hAnsiTheme="minorBidi"/>
          <w:sz w:val="24"/>
          <w:szCs w:val="24"/>
          <w:lang w:val="en-GB"/>
        </w:rPr>
        <w:t xml:space="preserve"> </w:t>
      </w:r>
      <w:r w:rsidRPr="002F3D1B">
        <w:rPr>
          <w:rFonts w:asciiTheme="minorBidi" w:hAnsiTheme="minorBidi"/>
          <w:sz w:val="24"/>
          <w:szCs w:val="24"/>
          <w:lang w:val="en-GB"/>
        </w:rPr>
        <w:t xml:space="preserve">medication therapy management, medication review, co-morbid disease education, co-morbid disease medication management, blood glucose monitoring, hypoglycemia management, verification of prescriptions, preparing and dispensing of </w:t>
      </w:r>
      <w:r>
        <w:rPr>
          <w:rFonts w:asciiTheme="minorBidi" w:hAnsiTheme="minorBidi"/>
          <w:sz w:val="24"/>
          <w:szCs w:val="24"/>
          <w:lang w:val="en-GB"/>
        </w:rPr>
        <w:t>p</w:t>
      </w:r>
      <w:r w:rsidRPr="002F3D1B">
        <w:rPr>
          <w:rFonts w:asciiTheme="minorBidi" w:hAnsiTheme="minorBidi"/>
          <w:sz w:val="24"/>
          <w:szCs w:val="24"/>
          <w:lang w:val="en-GB"/>
        </w:rPr>
        <w:t xml:space="preserve">rescriptions, patient counselling and education, healthy lifestyle education, dependent/independent prescribing of diabetes medications. </w:t>
      </w:r>
    </w:p>
    <w:p w14:paraId="4DB89E05" w14:textId="77777777" w:rsidR="00821B82" w:rsidRPr="002F3D1B" w:rsidRDefault="00821B82" w:rsidP="00821B82">
      <w:pPr>
        <w:spacing w:line="360" w:lineRule="auto"/>
        <w:jc w:val="both"/>
        <w:rPr>
          <w:rFonts w:asciiTheme="minorBidi" w:hAnsiTheme="minorBidi"/>
          <w:sz w:val="24"/>
          <w:szCs w:val="24"/>
          <w:lang w:val="en-GB"/>
        </w:rPr>
      </w:pPr>
      <w:r w:rsidRPr="002F3D1B">
        <w:rPr>
          <w:rFonts w:asciiTheme="minorBidi" w:hAnsiTheme="minorBidi"/>
          <w:sz w:val="24"/>
          <w:szCs w:val="24"/>
          <w:lang w:val="en-GB"/>
        </w:rPr>
        <w:t xml:space="preserve">This stage also found that </w:t>
      </w:r>
      <w:r>
        <w:rPr>
          <w:rFonts w:asciiTheme="minorBidi" w:hAnsiTheme="minorBidi"/>
          <w:sz w:val="24"/>
          <w:szCs w:val="24"/>
          <w:lang w:val="en-GB"/>
        </w:rPr>
        <w:t>HCPs</w:t>
      </w:r>
      <w:r w:rsidRPr="002F3D1B">
        <w:rPr>
          <w:rFonts w:asciiTheme="minorBidi" w:hAnsiTheme="minorBidi"/>
          <w:sz w:val="24"/>
          <w:szCs w:val="24"/>
          <w:lang w:val="en-GB"/>
        </w:rPr>
        <w:t xml:space="preserve"> (doctors, pharmacists and nurses) </w:t>
      </w:r>
      <w:r>
        <w:rPr>
          <w:rFonts w:asciiTheme="minorBidi" w:hAnsiTheme="minorBidi"/>
          <w:sz w:val="24"/>
          <w:szCs w:val="24"/>
          <w:lang w:val="en-GB"/>
        </w:rPr>
        <w:t>had</w:t>
      </w:r>
      <w:r w:rsidRPr="002F3D1B">
        <w:rPr>
          <w:rFonts w:asciiTheme="minorBidi" w:hAnsiTheme="minorBidi"/>
          <w:sz w:val="24"/>
          <w:szCs w:val="24"/>
          <w:lang w:val="en-GB"/>
        </w:rPr>
        <w:t xml:space="preserve"> positive attitudes towards the role of pharmacists in patient care in general and diabetes care in particular. </w:t>
      </w:r>
      <w:r>
        <w:rPr>
          <w:rFonts w:asciiTheme="minorBidi" w:hAnsiTheme="minorBidi"/>
          <w:sz w:val="24"/>
          <w:szCs w:val="24"/>
          <w:lang w:val="en-GB"/>
        </w:rPr>
        <w:t>HCPs</w:t>
      </w:r>
      <w:r w:rsidRPr="002F3D1B">
        <w:rPr>
          <w:rFonts w:asciiTheme="minorBidi" w:hAnsiTheme="minorBidi"/>
          <w:sz w:val="24"/>
          <w:szCs w:val="24"/>
          <w:lang w:val="en-GB"/>
        </w:rPr>
        <w:t xml:space="preserve"> also reported positive perceptions of potential outcomes of pharmacist involvement in primary care management of diabetes, including a positive impact on patient outcomes and safety, as well as job satisfaction for primary care providers.</w:t>
      </w:r>
    </w:p>
    <w:p w14:paraId="3E92F757" w14:textId="77777777" w:rsidR="00821B82" w:rsidRDefault="00821B82" w:rsidP="00821B82">
      <w:pPr>
        <w:spacing w:line="360" w:lineRule="auto"/>
        <w:jc w:val="both"/>
        <w:rPr>
          <w:rFonts w:asciiTheme="minorBidi" w:hAnsiTheme="minorBidi"/>
          <w:sz w:val="24"/>
          <w:szCs w:val="24"/>
          <w:lang w:val="en-GB"/>
        </w:rPr>
      </w:pPr>
      <w:r w:rsidRPr="002F3D1B">
        <w:rPr>
          <w:rFonts w:asciiTheme="minorBidi" w:hAnsiTheme="minorBidi"/>
          <w:sz w:val="24"/>
          <w:szCs w:val="24"/>
          <w:lang w:val="en-GB"/>
        </w:rPr>
        <w:t>However, the level of agreement of the participants on pharmacists’ involvement in diabetes management in the future was slightly higher than the level of their current agreement, and the pharmacist's role as an independent prescriber was</w:t>
      </w:r>
      <w:r>
        <w:rPr>
          <w:rFonts w:asciiTheme="minorBidi" w:hAnsiTheme="minorBidi"/>
          <w:sz w:val="24"/>
          <w:szCs w:val="24"/>
          <w:lang w:val="en-GB"/>
        </w:rPr>
        <w:t xml:space="preserve"> viewed </w:t>
      </w:r>
      <w:r w:rsidRPr="002F3D1B">
        <w:rPr>
          <w:rFonts w:asciiTheme="minorBidi" w:hAnsiTheme="minorBidi"/>
          <w:sz w:val="24"/>
          <w:szCs w:val="24"/>
          <w:lang w:val="en-GB"/>
        </w:rPr>
        <w:t>negatively by the doctors.</w:t>
      </w:r>
      <w:r>
        <w:rPr>
          <w:rFonts w:asciiTheme="minorBidi" w:hAnsiTheme="minorBidi"/>
          <w:sz w:val="24"/>
          <w:szCs w:val="24"/>
          <w:lang w:val="en-GB"/>
        </w:rPr>
        <w:t xml:space="preserve"> </w:t>
      </w:r>
    </w:p>
    <w:p w14:paraId="2727900F" w14:textId="3D99CAF8" w:rsidR="00821B82" w:rsidRDefault="00821B82" w:rsidP="00821B82">
      <w:pPr>
        <w:shd w:val="clear" w:color="auto" w:fill="FFFFFF"/>
        <w:spacing w:after="0" w:line="360" w:lineRule="auto"/>
        <w:jc w:val="both"/>
        <w:rPr>
          <w:rFonts w:asciiTheme="minorBidi" w:eastAsia="Times New Roman" w:hAnsiTheme="minorBidi"/>
          <w:color w:val="32363A"/>
          <w:sz w:val="24"/>
          <w:szCs w:val="24"/>
          <w:shd w:val="clear" w:color="auto" w:fill="FFFFFF"/>
        </w:rPr>
      </w:pPr>
      <w:r>
        <w:rPr>
          <w:rFonts w:asciiTheme="minorBidi" w:hAnsiTheme="minorBidi"/>
          <w:sz w:val="24"/>
          <w:szCs w:val="24"/>
          <w:lang w:val="en-GB"/>
        </w:rPr>
        <w:t>Several barriers</w:t>
      </w:r>
      <w:r w:rsidRPr="00800849">
        <w:rPr>
          <w:rFonts w:asciiTheme="minorBidi" w:eastAsia="Times New Roman" w:hAnsiTheme="minorBidi"/>
          <w:color w:val="32363A"/>
          <w:sz w:val="24"/>
          <w:szCs w:val="24"/>
          <w:shd w:val="clear" w:color="auto" w:fill="FFFFFF"/>
        </w:rPr>
        <w:t xml:space="preserve"> </w:t>
      </w:r>
      <w:r w:rsidRPr="005066B7">
        <w:rPr>
          <w:rFonts w:asciiTheme="minorBidi" w:hAnsiTheme="minorBidi"/>
          <w:sz w:val="24"/>
          <w:szCs w:val="24"/>
          <w:lang w:val="en-GB"/>
        </w:rPr>
        <w:t>to pharmacists providing clinical services to patients with diabetes</w:t>
      </w:r>
      <w:r>
        <w:rPr>
          <w:rFonts w:asciiTheme="minorBidi" w:hAnsiTheme="minorBidi"/>
          <w:sz w:val="24"/>
          <w:szCs w:val="24"/>
          <w:lang w:val="en-GB"/>
        </w:rPr>
        <w:t xml:space="preserve"> have been identified at this stage</w:t>
      </w:r>
      <w:r>
        <w:rPr>
          <w:rFonts w:asciiTheme="minorBidi" w:hAnsiTheme="minorBidi"/>
          <w:color w:val="1F3864" w:themeColor="accent1" w:themeShade="80"/>
          <w:sz w:val="24"/>
          <w:szCs w:val="24"/>
          <w:lang w:val="en-GB"/>
        </w:rPr>
        <w:t xml:space="preserve"> </w:t>
      </w:r>
      <w:r w:rsidRPr="000E7A6F">
        <w:rPr>
          <w:rFonts w:asciiTheme="minorBidi" w:hAnsiTheme="minorBidi"/>
          <w:color w:val="1F3864" w:themeColor="accent1" w:themeShade="80"/>
          <w:sz w:val="24"/>
          <w:szCs w:val="24"/>
          <w:lang w:val="en-GB"/>
        </w:rPr>
        <w:fldChar w:fldCharType="begin"/>
      </w:r>
      <w:r w:rsidRPr="000E7A6F">
        <w:rPr>
          <w:rFonts w:asciiTheme="minorBidi" w:hAnsiTheme="minorBidi"/>
          <w:color w:val="1F3864" w:themeColor="accent1" w:themeShade="80"/>
          <w:sz w:val="24"/>
          <w:szCs w:val="24"/>
          <w:lang w:val="en-GB"/>
        </w:rPr>
        <w:instrText xml:space="preserve"> REF _Ref122825503 \h  \* MERGEFORMAT </w:instrText>
      </w:r>
      <w:r w:rsidRPr="000E7A6F">
        <w:rPr>
          <w:rFonts w:asciiTheme="minorBidi" w:hAnsiTheme="minorBidi"/>
          <w:color w:val="1F3864" w:themeColor="accent1" w:themeShade="80"/>
          <w:sz w:val="24"/>
          <w:szCs w:val="24"/>
          <w:lang w:val="en-GB"/>
        </w:rPr>
      </w:r>
      <w:r w:rsidRPr="000E7A6F">
        <w:rPr>
          <w:rFonts w:asciiTheme="minorBidi" w:hAnsiTheme="minorBidi"/>
          <w:color w:val="1F3864" w:themeColor="accent1" w:themeShade="80"/>
          <w:sz w:val="24"/>
          <w:szCs w:val="24"/>
          <w:lang w:val="en-GB"/>
        </w:rPr>
        <w:fldChar w:fldCharType="separate"/>
      </w:r>
      <w:r w:rsidR="00360D0A" w:rsidRPr="00360D0A">
        <w:rPr>
          <w:rFonts w:asciiTheme="minorBidi" w:hAnsiTheme="minorBidi"/>
          <w:color w:val="1F3864" w:themeColor="accent1" w:themeShade="80"/>
          <w:sz w:val="24"/>
          <w:szCs w:val="24"/>
          <w:lang w:val="en-GB"/>
        </w:rPr>
        <w:t>Figure 13</w:t>
      </w:r>
      <w:r w:rsidRPr="000E7A6F">
        <w:rPr>
          <w:rFonts w:asciiTheme="minorBidi" w:hAnsiTheme="minorBidi"/>
          <w:color w:val="1F3864" w:themeColor="accent1" w:themeShade="80"/>
          <w:sz w:val="24"/>
          <w:szCs w:val="24"/>
          <w:lang w:val="en-GB"/>
        </w:rPr>
        <w:fldChar w:fldCharType="end"/>
      </w:r>
      <w:r>
        <w:rPr>
          <w:rFonts w:asciiTheme="minorBidi" w:hAnsiTheme="minorBidi"/>
          <w:sz w:val="24"/>
          <w:szCs w:val="24"/>
          <w:lang w:val="en-GB"/>
        </w:rPr>
        <w:t xml:space="preserve">. The most common barriers were the </w:t>
      </w:r>
      <w:r w:rsidRPr="005066B7">
        <w:rPr>
          <w:rFonts w:asciiTheme="minorBidi" w:hAnsiTheme="minorBidi"/>
          <w:sz w:val="24"/>
          <w:szCs w:val="24"/>
          <w:lang w:val="en-GB"/>
        </w:rPr>
        <w:t xml:space="preserve">lack of well-defined pharmacist role, a private room to </w:t>
      </w:r>
      <w:r>
        <w:rPr>
          <w:rFonts w:asciiTheme="minorBidi" w:hAnsiTheme="minorBidi"/>
          <w:sz w:val="24"/>
          <w:szCs w:val="24"/>
          <w:lang w:val="en-GB"/>
        </w:rPr>
        <w:t>consult</w:t>
      </w:r>
      <w:r w:rsidRPr="005066B7">
        <w:rPr>
          <w:rFonts w:asciiTheme="minorBidi" w:hAnsiTheme="minorBidi"/>
          <w:sz w:val="24"/>
          <w:szCs w:val="24"/>
          <w:lang w:val="en-GB"/>
        </w:rPr>
        <w:t xml:space="preserve"> patients, awareness of the clinical </w:t>
      </w:r>
      <w:r>
        <w:rPr>
          <w:rFonts w:asciiTheme="minorBidi" w:hAnsiTheme="minorBidi"/>
          <w:sz w:val="24"/>
          <w:szCs w:val="24"/>
          <w:lang w:val="en-GB"/>
        </w:rPr>
        <w:t xml:space="preserve">pharmacist’s </w:t>
      </w:r>
      <w:r w:rsidRPr="005066B7">
        <w:rPr>
          <w:rFonts w:asciiTheme="minorBidi" w:hAnsiTheme="minorBidi"/>
          <w:sz w:val="24"/>
          <w:szCs w:val="24"/>
          <w:lang w:val="en-GB"/>
        </w:rPr>
        <w:t xml:space="preserve">role by </w:t>
      </w:r>
      <w:r>
        <w:rPr>
          <w:rFonts w:asciiTheme="minorBidi" w:hAnsiTheme="minorBidi"/>
          <w:sz w:val="24"/>
          <w:szCs w:val="24"/>
          <w:lang w:val="en-GB"/>
        </w:rPr>
        <w:t>HCPs</w:t>
      </w:r>
      <w:r w:rsidRPr="005066B7">
        <w:rPr>
          <w:rFonts w:asciiTheme="minorBidi" w:hAnsiTheme="minorBidi"/>
          <w:sz w:val="24"/>
          <w:szCs w:val="24"/>
          <w:lang w:val="en-GB"/>
        </w:rPr>
        <w:t>, and clinical experience of pharmacists</w:t>
      </w:r>
      <w:r>
        <w:rPr>
          <w:rFonts w:asciiTheme="minorBidi" w:hAnsiTheme="minorBidi"/>
          <w:sz w:val="24"/>
          <w:szCs w:val="24"/>
          <w:lang w:val="en-GB"/>
        </w:rPr>
        <w:t>.</w:t>
      </w:r>
      <w:r w:rsidRPr="005066B7">
        <w:rPr>
          <w:rFonts w:asciiTheme="minorBidi" w:hAnsiTheme="minorBidi"/>
          <w:sz w:val="24"/>
          <w:szCs w:val="24"/>
          <w:lang w:val="en-GB"/>
        </w:rPr>
        <w:t xml:space="preserve"> </w:t>
      </w:r>
    </w:p>
    <w:p w14:paraId="33CE65EB" w14:textId="77777777" w:rsidR="00821B82" w:rsidRDefault="00821B82" w:rsidP="00821B82">
      <w:pPr>
        <w:shd w:val="clear" w:color="auto" w:fill="FFFFFF"/>
        <w:spacing w:after="0" w:line="360" w:lineRule="auto"/>
        <w:rPr>
          <w:rFonts w:asciiTheme="minorBidi" w:eastAsia="Times New Roman" w:hAnsiTheme="minorBidi"/>
          <w:color w:val="32363A"/>
          <w:sz w:val="24"/>
          <w:szCs w:val="24"/>
          <w:shd w:val="clear" w:color="auto" w:fill="FFFFFF"/>
        </w:rPr>
      </w:pPr>
    </w:p>
    <w:p w14:paraId="1028B361" w14:textId="77777777" w:rsidR="00821B82" w:rsidRDefault="00821B82" w:rsidP="00821B82">
      <w:pPr>
        <w:shd w:val="clear" w:color="auto" w:fill="FFFFFF"/>
        <w:spacing w:after="0" w:line="360" w:lineRule="auto"/>
        <w:jc w:val="both"/>
        <w:rPr>
          <w:rFonts w:asciiTheme="minorBidi" w:eastAsia="Times New Roman" w:hAnsiTheme="minorBidi"/>
          <w:sz w:val="24"/>
          <w:szCs w:val="24"/>
          <w:shd w:val="clear" w:color="auto" w:fill="FFFFFF"/>
        </w:rPr>
      </w:pPr>
      <w:r w:rsidRPr="003D1180">
        <w:rPr>
          <w:rFonts w:asciiTheme="minorBidi" w:eastAsia="Times New Roman" w:hAnsiTheme="minorBidi"/>
          <w:sz w:val="24"/>
          <w:szCs w:val="24"/>
          <w:shd w:val="clear" w:color="auto" w:fill="FFFFFF"/>
        </w:rPr>
        <w:t xml:space="preserve">After obtaining the quantitative results, a decision was made about which results need to be further explored through qualitative data collection. For instance, unclear, unexpected, surprising, or statistically significant/nonsignificant results were examined in more detail </w:t>
      </w:r>
      <w:r w:rsidRPr="003D1180">
        <w:rPr>
          <w:rFonts w:ascii="Arial" w:hAnsi="Arial" w:cs="Arial"/>
          <w:sz w:val="24"/>
          <w:szCs w:val="24"/>
          <w:lang w:val="en-GB"/>
        </w:rPr>
        <w:fldChar w:fldCharType="begin" w:fldLock="1"/>
      </w:r>
      <w:r w:rsidRPr="003D1180">
        <w:rPr>
          <w:rFonts w:ascii="Arial" w:hAnsi="Arial" w:cs="Arial"/>
          <w:sz w:val="24"/>
          <w:szCs w:val="24"/>
          <w:lang w:val="en-GB"/>
        </w:rPr>
        <w:instrText>ADDIN CSL_CITATION {"citationItems":[{"id":"ITEM-1","itemData":{"author":[{"dropping-particle":"","family":"Creswell","given":"John W","non-dropping-particle":"","parse-names":false,"suffix":""},{"dropping-particle":"","family":"Clark","given":"Vicki L Piano","non-dropping-particle":"","parse-names":false,"suffix":""}],"id":"ITEM-1","issued":{"date-parts":[["2017"]]},"title":"Designing and Conducting Mixed Methods Research Third Edition","type":"report"},"uris":["http://www.mendeley.com/documents/?uuid=bbc18315-bb08-3054-9313-2768fe2d433d"]}],"mendeley":{"formattedCitation":"(Creswell and Clark, 2017)","plainTextFormattedCitation":"(Creswell and Clark, 2017)","previouslyFormattedCitation":"(Creswell and Clark, 2017)"},"properties":{"noteIndex":0},"schema":"https://github.com/citation-style-language/schema/raw/master/csl-citation.json"}</w:instrText>
      </w:r>
      <w:r w:rsidRPr="003D1180">
        <w:rPr>
          <w:rFonts w:ascii="Arial" w:hAnsi="Arial" w:cs="Arial"/>
          <w:sz w:val="24"/>
          <w:szCs w:val="24"/>
          <w:lang w:val="en-GB"/>
        </w:rPr>
        <w:fldChar w:fldCharType="separate"/>
      </w:r>
      <w:r w:rsidRPr="003D1180">
        <w:rPr>
          <w:rFonts w:ascii="Arial" w:hAnsi="Arial" w:cs="Arial"/>
          <w:noProof/>
          <w:sz w:val="24"/>
          <w:szCs w:val="24"/>
          <w:lang w:val="en-GB"/>
        </w:rPr>
        <w:t>(Creswell and Clark, 2017)</w:t>
      </w:r>
      <w:r w:rsidRPr="003D1180">
        <w:rPr>
          <w:rFonts w:ascii="Arial" w:hAnsi="Arial" w:cs="Arial"/>
          <w:sz w:val="24"/>
          <w:szCs w:val="24"/>
          <w:lang w:val="en-GB"/>
        </w:rPr>
        <w:fldChar w:fldCharType="end"/>
      </w:r>
      <w:r w:rsidRPr="003D1180">
        <w:rPr>
          <w:rFonts w:ascii="Arial" w:hAnsi="Arial" w:cs="Arial"/>
          <w:sz w:val="24"/>
          <w:szCs w:val="24"/>
          <w:lang w:val="en-GB"/>
        </w:rPr>
        <w:t xml:space="preserve"> </w:t>
      </w:r>
      <w:r w:rsidRPr="003D1180">
        <w:rPr>
          <w:rFonts w:asciiTheme="minorBidi" w:eastAsia="Times New Roman" w:hAnsiTheme="minorBidi"/>
          <w:sz w:val="24"/>
          <w:szCs w:val="24"/>
          <w:shd w:val="clear" w:color="auto" w:fill="FFFFFF"/>
        </w:rPr>
        <w:t>through operationalisation into interview questions that were used with subsequent qualitative phase participants.</w:t>
      </w:r>
    </w:p>
    <w:p w14:paraId="04763CE6" w14:textId="77777777" w:rsidR="00821B82" w:rsidRDefault="00821B82" w:rsidP="00821B82">
      <w:pPr>
        <w:rPr>
          <w:rFonts w:asciiTheme="minorBidi" w:eastAsia="Times New Roman" w:hAnsiTheme="minorBidi"/>
          <w:sz w:val="24"/>
          <w:szCs w:val="24"/>
          <w:shd w:val="clear" w:color="auto" w:fill="FFFFFF"/>
        </w:rPr>
      </w:pPr>
      <w:r>
        <w:rPr>
          <w:rFonts w:asciiTheme="minorBidi" w:eastAsia="Times New Roman" w:hAnsiTheme="minorBidi"/>
          <w:sz w:val="24"/>
          <w:szCs w:val="24"/>
          <w:shd w:val="clear" w:color="auto" w:fill="FFFFFF"/>
        </w:rPr>
        <w:br w:type="page"/>
      </w:r>
    </w:p>
    <w:p w14:paraId="77EA2DA2" w14:textId="246FE606" w:rsidR="00507D48" w:rsidRPr="00507D48" w:rsidRDefault="00821B82" w:rsidP="00876389">
      <w:pPr>
        <w:pStyle w:val="Heading1"/>
        <w:numPr>
          <w:ilvl w:val="0"/>
          <w:numId w:val="14"/>
        </w:numPr>
        <w:spacing w:line="276" w:lineRule="auto"/>
        <w:ind w:left="418" w:hanging="418"/>
      </w:pPr>
      <w:bookmarkStart w:id="240" w:name="_Toc153894199"/>
      <w:bookmarkStart w:id="241" w:name="_Toc122626425"/>
      <w:r>
        <w:t xml:space="preserve">Chapter six: </w:t>
      </w:r>
      <w:r w:rsidRPr="00C41AE8">
        <w:t xml:space="preserve">Qualitative </w:t>
      </w:r>
      <w:r w:rsidR="00765EEA">
        <w:t>Results</w:t>
      </w:r>
      <w:bookmarkEnd w:id="240"/>
    </w:p>
    <w:bookmarkEnd w:id="241"/>
    <w:p w14:paraId="2B1C3E85" w14:textId="0113B1CF" w:rsidR="00821B82" w:rsidRPr="008405D9" w:rsidRDefault="00821B82" w:rsidP="00D35AB2">
      <w:pPr>
        <w:spacing w:line="276" w:lineRule="auto"/>
        <w:jc w:val="both"/>
        <w:rPr>
          <w:rFonts w:asciiTheme="minorBidi" w:hAnsiTheme="minorBidi"/>
          <w:color w:val="000000"/>
          <w:sz w:val="24"/>
          <w:szCs w:val="24"/>
          <w:shd w:val="clear" w:color="auto" w:fill="FFFFFF"/>
          <w:lang w:val="en-GB"/>
        </w:rPr>
      </w:pPr>
    </w:p>
    <w:p w14:paraId="75974875" w14:textId="2C8E1C7D" w:rsidR="00821B82" w:rsidRPr="008A1EDD" w:rsidRDefault="00821B82" w:rsidP="005D30DE">
      <w:pPr>
        <w:pStyle w:val="Heading2"/>
        <w:numPr>
          <w:ilvl w:val="1"/>
          <w:numId w:val="14"/>
        </w:numPr>
        <w:spacing w:line="257" w:lineRule="auto"/>
        <w:ind w:left="0" w:firstLine="0"/>
      </w:pPr>
      <w:bookmarkStart w:id="242" w:name="_Toc122626437"/>
      <w:bookmarkStart w:id="243" w:name="_Toc153894200"/>
      <w:r w:rsidRPr="00D8206E">
        <w:rPr>
          <w:rStyle w:val="Strong"/>
          <w:b w:val="0"/>
          <w:bCs w:val="0"/>
        </w:rPr>
        <w:t xml:space="preserve">Interview </w:t>
      </w:r>
      <w:r w:rsidR="00584451">
        <w:rPr>
          <w:rStyle w:val="Strong"/>
          <w:b w:val="0"/>
          <w:bCs w:val="0"/>
        </w:rPr>
        <w:t>f</w:t>
      </w:r>
      <w:r w:rsidRPr="00D8206E">
        <w:rPr>
          <w:rStyle w:val="Strong"/>
          <w:b w:val="0"/>
          <w:bCs w:val="0"/>
        </w:rPr>
        <w:t>indings</w:t>
      </w:r>
      <w:bookmarkEnd w:id="242"/>
      <w:bookmarkEnd w:id="243"/>
    </w:p>
    <w:p w14:paraId="666D22DF" w14:textId="77777777" w:rsidR="00864449" w:rsidRDefault="00821B82" w:rsidP="00821B82">
      <w:pPr>
        <w:spacing w:line="360" w:lineRule="auto"/>
        <w:jc w:val="both"/>
        <w:rPr>
          <w:rFonts w:asciiTheme="minorBidi" w:hAnsiTheme="minorBidi"/>
          <w:color w:val="000000"/>
          <w:sz w:val="24"/>
          <w:szCs w:val="24"/>
          <w:shd w:val="clear" w:color="auto" w:fill="FFFFFF"/>
          <w:lang w:val="en-GB"/>
        </w:rPr>
      </w:pPr>
      <w:r w:rsidRPr="00257068">
        <w:rPr>
          <w:rFonts w:asciiTheme="minorBidi" w:hAnsiTheme="minorBidi"/>
          <w:sz w:val="24"/>
          <w:szCs w:val="24"/>
        </w:rPr>
        <w:t xml:space="preserve">This </w:t>
      </w:r>
      <w:r>
        <w:rPr>
          <w:rFonts w:asciiTheme="minorBidi" w:hAnsiTheme="minorBidi"/>
          <w:sz w:val="24"/>
          <w:szCs w:val="24"/>
        </w:rPr>
        <w:t>section</w:t>
      </w:r>
      <w:r w:rsidRPr="00257068">
        <w:rPr>
          <w:rFonts w:asciiTheme="minorBidi" w:hAnsiTheme="minorBidi"/>
          <w:sz w:val="24"/>
          <w:szCs w:val="24"/>
        </w:rPr>
        <w:t xml:space="preserve"> presents the findings of the qualitative phase, which </w:t>
      </w:r>
      <w:r>
        <w:rPr>
          <w:rFonts w:asciiTheme="minorBidi" w:hAnsiTheme="minorBidi"/>
          <w:sz w:val="24"/>
          <w:szCs w:val="24"/>
        </w:rPr>
        <w:t>was conducted through</w:t>
      </w:r>
      <w:r w:rsidRPr="00257068">
        <w:rPr>
          <w:rFonts w:asciiTheme="minorBidi" w:hAnsiTheme="minorBidi"/>
          <w:sz w:val="24"/>
          <w:szCs w:val="24"/>
        </w:rPr>
        <w:t xml:space="preserve"> one-on-one semi-structured interviews. </w:t>
      </w:r>
      <w:r w:rsidR="009B5F7F" w:rsidRPr="00316455">
        <w:rPr>
          <w:rFonts w:asciiTheme="minorBidi" w:hAnsiTheme="minorBidi"/>
          <w:color w:val="000000"/>
          <w:sz w:val="24"/>
          <w:szCs w:val="24"/>
          <w:shd w:val="clear" w:color="auto" w:fill="FFFFFF"/>
          <w:lang w:val="en-GB"/>
        </w:rPr>
        <w:t xml:space="preserve">The interviews were analysed using Braun and Clarke’s (2006) 6-stage thematic analysis process. NVivo software for qualitative analysis was </w:t>
      </w:r>
      <w:r w:rsidR="009B5F7F">
        <w:rPr>
          <w:rFonts w:asciiTheme="minorBidi" w:hAnsiTheme="minorBidi"/>
          <w:color w:val="000000"/>
          <w:sz w:val="24"/>
          <w:szCs w:val="24"/>
          <w:shd w:val="clear" w:color="auto" w:fill="FFFFFF"/>
          <w:lang w:val="en-GB"/>
        </w:rPr>
        <w:t xml:space="preserve">also </w:t>
      </w:r>
      <w:r w:rsidR="009B5F7F" w:rsidRPr="00316455">
        <w:rPr>
          <w:rFonts w:asciiTheme="minorBidi" w:hAnsiTheme="minorBidi"/>
          <w:color w:val="000000"/>
          <w:sz w:val="24"/>
          <w:szCs w:val="24"/>
          <w:shd w:val="clear" w:color="auto" w:fill="FFFFFF"/>
          <w:lang w:val="en-GB"/>
        </w:rPr>
        <w:t>used</w:t>
      </w:r>
      <w:r w:rsidR="009B5F7F">
        <w:rPr>
          <w:rFonts w:asciiTheme="minorBidi" w:hAnsiTheme="minorBidi"/>
          <w:color w:val="000000"/>
          <w:sz w:val="24"/>
          <w:szCs w:val="24"/>
          <w:shd w:val="clear" w:color="auto" w:fill="FFFFFF"/>
          <w:lang w:val="en-GB"/>
        </w:rPr>
        <w:t xml:space="preserve"> to </w:t>
      </w:r>
      <w:r w:rsidR="009B5F7F" w:rsidRPr="00316455">
        <w:rPr>
          <w:rFonts w:asciiTheme="minorBidi" w:hAnsiTheme="minorBidi"/>
          <w:color w:val="000000"/>
          <w:sz w:val="24"/>
          <w:szCs w:val="24"/>
          <w:shd w:val="clear" w:color="auto" w:fill="FFFFFF"/>
          <w:lang w:val="en-GB"/>
        </w:rPr>
        <w:t>facilitate the coding process</w:t>
      </w:r>
      <w:r w:rsidR="009B5F7F">
        <w:rPr>
          <w:rFonts w:asciiTheme="minorBidi" w:hAnsiTheme="minorBidi"/>
          <w:color w:val="000000"/>
          <w:sz w:val="24"/>
          <w:szCs w:val="24"/>
          <w:shd w:val="clear" w:color="auto" w:fill="FFFFFF"/>
          <w:lang w:val="en-GB"/>
        </w:rPr>
        <w:t xml:space="preserve">, see </w:t>
      </w:r>
      <w:r w:rsidR="009B5F7F">
        <w:rPr>
          <w:rFonts w:asciiTheme="minorBidi" w:hAnsiTheme="minorBidi"/>
          <w:color w:val="000000"/>
          <w:sz w:val="24"/>
          <w:szCs w:val="24"/>
          <w:shd w:val="clear" w:color="auto" w:fill="FFFFFF"/>
          <w:lang w:val="en-GB"/>
        </w:rPr>
        <w:fldChar w:fldCharType="begin"/>
      </w:r>
      <w:r w:rsidR="009B5F7F">
        <w:rPr>
          <w:rFonts w:asciiTheme="minorBidi" w:hAnsiTheme="minorBidi"/>
          <w:color w:val="000000"/>
          <w:sz w:val="24"/>
          <w:szCs w:val="24"/>
          <w:shd w:val="clear" w:color="auto" w:fill="FFFFFF"/>
          <w:lang w:val="en-GB"/>
        </w:rPr>
        <w:instrText xml:space="preserve"> REF _Ref149899310 \h  \* MERGEFORMAT </w:instrText>
      </w:r>
      <w:r w:rsidR="009B5F7F">
        <w:rPr>
          <w:rFonts w:asciiTheme="minorBidi" w:hAnsiTheme="minorBidi"/>
          <w:color w:val="000000"/>
          <w:sz w:val="24"/>
          <w:szCs w:val="24"/>
          <w:shd w:val="clear" w:color="auto" w:fill="FFFFFF"/>
          <w:lang w:val="en-GB"/>
        </w:rPr>
      </w:r>
      <w:r w:rsidR="009B5F7F">
        <w:rPr>
          <w:rFonts w:asciiTheme="minorBidi" w:hAnsiTheme="minorBidi"/>
          <w:color w:val="000000"/>
          <w:sz w:val="24"/>
          <w:szCs w:val="24"/>
          <w:shd w:val="clear" w:color="auto" w:fill="FFFFFF"/>
          <w:lang w:val="en-GB"/>
        </w:rPr>
        <w:fldChar w:fldCharType="separate"/>
      </w:r>
      <w:r w:rsidR="009B5F7F" w:rsidRPr="001F32E0">
        <w:rPr>
          <w:rFonts w:asciiTheme="minorBidi" w:hAnsiTheme="minorBidi"/>
          <w:color w:val="000000"/>
          <w:sz w:val="24"/>
          <w:szCs w:val="24"/>
          <w:shd w:val="clear" w:color="auto" w:fill="FFFFFF"/>
          <w:lang w:val="en-GB"/>
        </w:rPr>
        <w:t>Appendix Q.</w:t>
      </w:r>
      <w:r w:rsidR="009B5F7F">
        <w:rPr>
          <w:rFonts w:asciiTheme="minorBidi" w:hAnsiTheme="minorBidi"/>
          <w:color w:val="000000"/>
          <w:sz w:val="24"/>
          <w:szCs w:val="24"/>
          <w:shd w:val="clear" w:color="auto" w:fill="FFFFFF"/>
          <w:lang w:val="en-GB"/>
        </w:rPr>
        <w:fldChar w:fldCharType="end"/>
      </w:r>
      <w:r w:rsidR="009B5F7F">
        <w:rPr>
          <w:rFonts w:asciiTheme="minorBidi" w:hAnsiTheme="minorBidi"/>
          <w:color w:val="000000"/>
          <w:sz w:val="24"/>
          <w:szCs w:val="24"/>
          <w:shd w:val="clear" w:color="auto" w:fill="FFFFFF"/>
          <w:lang w:val="en-GB"/>
        </w:rPr>
        <w:t xml:space="preserve"> </w:t>
      </w:r>
    </w:p>
    <w:p w14:paraId="47C3B008" w14:textId="7A4FE766" w:rsidR="00821B82" w:rsidRDefault="00821B82" w:rsidP="00821B82">
      <w:pPr>
        <w:spacing w:line="360" w:lineRule="auto"/>
        <w:jc w:val="both"/>
        <w:rPr>
          <w:rFonts w:asciiTheme="minorBidi" w:hAnsiTheme="minorBidi"/>
          <w:sz w:val="24"/>
          <w:szCs w:val="24"/>
        </w:rPr>
      </w:pPr>
      <w:r w:rsidRPr="00257068">
        <w:rPr>
          <w:rFonts w:asciiTheme="minorBidi" w:hAnsiTheme="minorBidi"/>
          <w:sz w:val="24"/>
          <w:szCs w:val="24"/>
        </w:rPr>
        <w:t xml:space="preserve">A total of </w:t>
      </w:r>
      <w:r>
        <w:rPr>
          <w:rFonts w:asciiTheme="minorBidi" w:hAnsiTheme="minorBidi"/>
          <w:sz w:val="24"/>
          <w:szCs w:val="24"/>
        </w:rPr>
        <w:t>9</w:t>
      </w:r>
      <w:r w:rsidRPr="00257068">
        <w:rPr>
          <w:rFonts w:asciiTheme="minorBidi" w:hAnsiTheme="minorBidi"/>
          <w:sz w:val="24"/>
          <w:szCs w:val="24"/>
        </w:rPr>
        <w:t xml:space="preserve"> interviews were conducted, with </w:t>
      </w:r>
      <w:r>
        <w:rPr>
          <w:rFonts w:asciiTheme="minorBidi" w:hAnsiTheme="minorBidi"/>
          <w:sz w:val="24"/>
          <w:szCs w:val="24"/>
        </w:rPr>
        <w:t>8</w:t>
      </w:r>
      <w:r w:rsidRPr="00257068">
        <w:rPr>
          <w:rFonts w:asciiTheme="minorBidi" w:hAnsiTheme="minorBidi"/>
          <w:sz w:val="24"/>
          <w:szCs w:val="24"/>
        </w:rPr>
        <w:t xml:space="preserve"> participants from </w:t>
      </w:r>
      <w:r>
        <w:rPr>
          <w:rFonts w:asciiTheme="minorBidi" w:hAnsiTheme="minorBidi"/>
          <w:sz w:val="24"/>
          <w:szCs w:val="24"/>
        </w:rPr>
        <w:t>Qatif PHCs and 1 from Safwa PHCs. All participants</w:t>
      </w:r>
      <w:r w:rsidRPr="009E757C">
        <w:rPr>
          <w:rFonts w:asciiTheme="minorBidi" w:hAnsiTheme="minorBidi"/>
          <w:sz w:val="24"/>
          <w:szCs w:val="24"/>
        </w:rPr>
        <w:t xml:space="preserve"> were passionate about the </w:t>
      </w:r>
      <w:r>
        <w:rPr>
          <w:rFonts w:asciiTheme="minorBidi" w:hAnsiTheme="minorBidi"/>
          <w:sz w:val="24"/>
          <w:szCs w:val="24"/>
        </w:rPr>
        <w:t>research</w:t>
      </w:r>
      <w:r w:rsidRPr="009E757C">
        <w:rPr>
          <w:rFonts w:asciiTheme="minorBidi" w:hAnsiTheme="minorBidi"/>
          <w:sz w:val="24"/>
          <w:szCs w:val="24"/>
        </w:rPr>
        <w:t xml:space="preserve"> topic and talked openly about</w:t>
      </w:r>
      <w:r>
        <w:rPr>
          <w:rFonts w:asciiTheme="minorBidi" w:hAnsiTheme="minorBidi"/>
          <w:sz w:val="24"/>
          <w:szCs w:val="24"/>
        </w:rPr>
        <w:t xml:space="preserve"> </w:t>
      </w:r>
      <w:r w:rsidRPr="009E757C">
        <w:rPr>
          <w:rFonts w:asciiTheme="minorBidi" w:hAnsiTheme="minorBidi"/>
          <w:sz w:val="24"/>
          <w:szCs w:val="24"/>
        </w:rPr>
        <w:t>their</w:t>
      </w:r>
      <w:r>
        <w:rPr>
          <w:rFonts w:asciiTheme="minorBidi" w:hAnsiTheme="minorBidi"/>
          <w:sz w:val="24"/>
          <w:szCs w:val="24"/>
        </w:rPr>
        <w:t xml:space="preserve"> </w:t>
      </w:r>
      <w:r w:rsidRPr="009E757C">
        <w:rPr>
          <w:rFonts w:asciiTheme="minorBidi" w:hAnsiTheme="minorBidi"/>
          <w:sz w:val="24"/>
          <w:szCs w:val="24"/>
        </w:rPr>
        <w:t>experiences</w:t>
      </w:r>
      <w:r>
        <w:rPr>
          <w:rFonts w:asciiTheme="minorBidi" w:hAnsiTheme="minorBidi"/>
          <w:sz w:val="24"/>
          <w:szCs w:val="24"/>
        </w:rPr>
        <w:t>,</w:t>
      </w:r>
      <w:r w:rsidRPr="006A4187">
        <w:rPr>
          <w:rFonts w:asciiTheme="minorBidi" w:hAnsiTheme="minorBidi"/>
          <w:sz w:val="24"/>
          <w:szCs w:val="24"/>
        </w:rPr>
        <w:t xml:space="preserve"> </w:t>
      </w:r>
      <w:r w:rsidRPr="009E757C">
        <w:rPr>
          <w:rFonts w:asciiTheme="minorBidi" w:hAnsiTheme="minorBidi"/>
          <w:sz w:val="24"/>
          <w:szCs w:val="24"/>
        </w:rPr>
        <w:t xml:space="preserve">feelings and views on </w:t>
      </w:r>
      <w:r w:rsidRPr="00A368C2">
        <w:rPr>
          <w:rFonts w:asciiTheme="minorBidi" w:hAnsiTheme="minorBidi"/>
          <w:sz w:val="24"/>
          <w:szCs w:val="24"/>
        </w:rPr>
        <w:t xml:space="preserve">pharmacist involvement in diabetes primary care management in </w:t>
      </w:r>
      <w:r>
        <w:rPr>
          <w:rFonts w:asciiTheme="minorBidi" w:hAnsiTheme="minorBidi"/>
          <w:sz w:val="24"/>
          <w:szCs w:val="24"/>
        </w:rPr>
        <w:t>SA</w:t>
      </w:r>
      <w:r w:rsidRPr="00A368C2">
        <w:rPr>
          <w:rFonts w:asciiTheme="minorBidi" w:hAnsiTheme="minorBidi"/>
          <w:sz w:val="24"/>
          <w:szCs w:val="24"/>
        </w:rPr>
        <w:t xml:space="preserve"> and associated facilitators and barriers to adding the pharmacist into the diabetes care team</w:t>
      </w:r>
      <w:r>
        <w:rPr>
          <w:rFonts w:asciiTheme="minorBidi" w:hAnsiTheme="minorBidi"/>
          <w:sz w:val="24"/>
          <w:szCs w:val="24"/>
        </w:rPr>
        <w:t>. P</w:t>
      </w:r>
      <w:r w:rsidRPr="009E757C">
        <w:rPr>
          <w:rFonts w:asciiTheme="minorBidi" w:hAnsiTheme="minorBidi"/>
          <w:sz w:val="24"/>
          <w:szCs w:val="24"/>
        </w:rPr>
        <w:t>articipants</w:t>
      </w:r>
      <w:r>
        <w:rPr>
          <w:rFonts w:asciiTheme="minorBidi" w:hAnsiTheme="minorBidi"/>
          <w:sz w:val="24"/>
          <w:szCs w:val="24"/>
        </w:rPr>
        <w:t>’</w:t>
      </w:r>
      <w:r w:rsidRPr="009E757C">
        <w:rPr>
          <w:rFonts w:asciiTheme="minorBidi" w:hAnsiTheme="minorBidi"/>
          <w:sz w:val="24"/>
          <w:szCs w:val="24"/>
        </w:rPr>
        <w:t xml:space="preserve"> willingness and openness to discuss the issues related to </w:t>
      </w:r>
      <w:r>
        <w:rPr>
          <w:rFonts w:asciiTheme="minorBidi" w:hAnsiTheme="minorBidi"/>
          <w:sz w:val="24"/>
          <w:szCs w:val="24"/>
        </w:rPr>
        <w:t>the research topic</w:t>
      </w:r>
      <w:r w:rsidRPr="009E757C">
        <w:rPr>
          <w:rFonts w:asciiTheme="minorBidi" w:hAnsiTheme="minorBidi"/>
          <w:sz w:val="24"/>
          <w:szCs w:val="24"/>
        </w:rPr>
        <w:t xml:space="preserve"> showed the importance of the topic to them. </w:t>
      </w:r>
      <w:r>
        <w:rPr>
          <w:rFonts w:asciiTheme="minorBidi" w:hAnsiTheme="minorBidi"/>
          <w:sz w:val="24"/>
          <w:szCs w:val="24"/>
        </w:rPr>
        <w:t>E</w:t>
      </w:r>
      <w:r w:rsidRPr="009E757C">
        <w:rPr>
          <w:rFonts w:asciiTheme="minorBidi" w:hAnsiTheme="minorBidi"/>
          <w:sz w:val="24"/>
          <w:szCs w:val="24"/>
        </w:rPr>
        <w:t>ach participant</w:t>
      </w:r>
      <w:r>
        <w:rPr>
          <w:rFonts w:asciiTheme="minorBidi" w:hAnsiTheme="minorBidi"/>
          <w:sz w:val="24"/>
          <w:szCs w:val="24"/>
        </w:rPr>
        <w:t xml:space="preserve"> makes a unique </w:t>
      </w:r>
      <w:r w:rsidRPr="009E757C">
        <w:rPr>
          <w:rFonts w:asciiTheme="minorBidi" w:hAnsiTheme="minorBidi"/>
          <w:sz w:val="24"/>
          <w:szCs w:val="24"/>
        </w:rPr>
        <w:t>contribution</w:t>
      </w:r>
      <w:r w:rsidRPr="00A368C2">
        <w:rPr>
          <w:rFonts w:asciiTheme="minorBidi" w:hAnsiTheme="minorBidi"/>
          <w:sz w:val="24"/>
          <w:szCs w:val="24"/>
        </w:rPr>
        <w:t xml:space="preserve"> and enrich</w:t>
      </w:r>
      <w:r>
        <w:rPr>
          <w:rFonts w:asciiTheme="minorBidi" w:hAnsiTheme="minorBidi"/>
          <w:sz w:val="24"/>
          <w:szCs w:val="24"/>
        </w:rPr>
        <w:t>e</w:t>
      </w:r>
      <w:r w:rsidRPr="00A368C2">
        <w:rPr>
          <w:rFonts w:asciiTheme="minorBidi" w:hAnsiTheme="minorBidi"/>
          <w:sz w:val="24"/>
          <w:szCs w:val="24"/>
        </w:rPr>
        <w:t>s the research data</w:t>
      </w:r>
      <w:r>
        <w:rPr>
          <w:rFonts w:asciiTheme="minorBidi" w:hAnsiTheme="minorBidi"/>
          <w:sz w:val="24"/>
          <w:szCs w:val="24"/>
        </w:rPr>
        <w:t xml:space="preserve">. </w:t>
      </w:r>
    </w:p>
    <w:p w14:paraId="394502BE" w14:textId="77777777" w:rsidR="00821B82" w:rsidRPr="0009756F" w:rsidRDefault="00821B82" w:rsidP="00821B82">
      <w:pPr>
        <w:spacing w:line="360" w:lineRule="auto"/>
        <w:jc w:val="both"/>
        <w:rPr>
          <w:rFonts w:asciiTheme="minorBidi" w:hAnsiTheme="minorBidi"/>
          <w:sz w:val="24"/>
          <w:szCs w:val="24"/>
        </w:rPr>
      </w:pPr>
      <w:r>
        <w:rPr>
          <w:rFonts w:asciiTheme="minorBidi" w:hAnsiTheme="minorBidi"/>
          <w:sz w:val="24"/>
          <w:szCs w:val="24"/>
        </w:rPr>
        <w:t>In general, a</w:t>
      </w:r>
      <w:r w:rsidRPr="0009756F">
        <w:rPr>
          <w:rFonts w:asciiTheme="minorBidi" w:hAnsiTheme="minorBidi"/>
          <w:sz w:val="24"/>
          <w:szCs w:val="24"/>
        </w:rPr>
        <w:t xml:space="preserve">ll participants agreed on the importance of the pharmacist being part of the diabetes care team in </w:t>
      </w:r>
      <w:r>
        <w:rPr>
          <w:rFonts w:asciiTheme="minorBidi" w:hAnsiTheme="minorBidi"/>
          <w:sz w:val="24"/>
          <w:szCs w:val="24"/>
        </w:rPr>
        <w:t>PHCs</w:t>
      </w:r>
      <w:r w:rsidRPr="0009756F">
        <w:rPr>
          <w:rFonts w:asciiTheme="minorBidi" w:hAnsiTheme="minorBidi"/>
          <w:sz w:val="24"/>
          <w:szCs w:val="24"/>
        </w:rPr>
        <w:t xml:space="preserve">. However, </w:t>
      </w:r>
      <w:r>
        <w:rPr>
          <w:rFonts w:asciiTheme="minorBidi" w:hAnsiTheme="minorBidi"/>
          <w:sz w:val="24"/>
          <w:szCs w:val="24"/>
        </w:rPr>
        <w:t xml:space="preserve">they had different experiences </w:t>
      </w:r>
      <w:r w:rsidRPr="0009756F">
        <w:rPr>
          <w:rFonts w:asciiTheme="minorBidi" w:hAnsiTheme="minorBidi"/>
          <w:sz w:val="24"/>
          <w:szCs w:val="24"/>
        </w:rPr>
        <w:t xml:space="preserve">of working with a pharmacist at </w:t>
      </w:r>
      <w:r>
        <w:rPr>
          <w:rFonts w:asciiTheme="minorBidi" w:hAnsiTheme="minorBidi"/>
          <w:sz w:val="24"/>
          <w:szCs w:val="24"/>
        </w:rPr>
        <w:t>their practices</w:t>
      </w:r>
      <w:r w:rsidRPr="0009756F">
        <w:rPr>
          <w:rFonts w:asciiTheme="minorBidi" w:hAnsiTheme="minorBidi"/>
          <w:sz w:val="24"/>
          <w:szCs w:val="24"/>
        </w:rPr>
        <w:t xml:space="preserve">. </w:t>
      </w:r>
      <w:r w:rsidRPr="00CC0237">
        <w:rPr>
          <w:rFonts w:asciiTheme="minorBidi" w:hAnsiTheme="minorBidi"/>
          <w:sz w:val="24"/>
          <w:szCs w:val="24"/>
        </w:rPr>
        <w:t xml:space="preserve">The participants on the whole demonstrated that the pharmacist's role in diabetes management was different and varied between PHCs, from providing basic services such as dispensing prescriptions to patients to providing advanced clinical services such as reviewing medications. </w:t>
      </w:r>
    </w:p>
    <w:p w14:paraId="2786F2B7" w14:textId="77777777" w:rsidR="00821B82" w:rsidRDefault="00821B82" w:rsidP="00821B82">
      <w:pPr>
        <w:spacing w:line="360" w:lineRule="auto"/>
        <w:jc w:val="both"/>
        <w:rPr>
          <w:rFonts w:asciiTheme="minorBidi" w:hAnsiTheme="minorBidi"/>
          <w:sz w:val="24"/>
          <w:szCs w:val="24"/>
        </w:rPr>
      </w:pPr>
      <w:r w:rsidRPr="0009756F">
        <w:rPr>
          <w:rFonts w:asciiTheme="minorBidi" w:hAnsiTheme="minorBidi"/>
          <w:sz w:val="24"/>
          <w:szCs w:val="24"/>
        </w:rPr>
        <w:t xml:space="preserve">Although all participants had positive perceptions of a pharmacist's critical role in diabetes management, the majority expressed the importance of this role in dispensing medications to patients and educating them about their medications. Some participants see the pharmacist's role beyond the dispensing of prescriptions; </w:t>
      </w:r>
      <w:r>
        <w:rPr>
          <w:rFonts w:asciiTheme="minorBidi" w:hAnsiTheme="minorBidi"/>
          <w:sz w:val="24"/>
          <w:szCs w:val="24"/>
        </w:rPr>
        <w:t>t</w:t>
      </w:r>
      <w:r w:rsidRPr="0009756F">
        <w:rPr>
          <w:rFonts w:asciiTheme="minorBidi" w:hAnsiTheme="minorBidi"/>
          <w:sz w:val="24"/>
          <w:szCs w:val="24"/>
        </w:rPr>
        <w:t xml:space="preserve">hey see the pharmacist as an expert in medications who should </w:t>
      </w:r>
      <w:r>
        <w:rPr>
          <w:rFonts w:asciiTheme="minorBidi" w:hAnsiTheme="minorBidi"/>
          <w:sz w:val="24"/>
          <w:szCs w:val="24"/>
        </w:rPr>
        <w:t>play</w:t>
      </w:r>
      <w:r w:rsidRPr="0009756F">
        <w:rPr>
          <w:rFonts w:asciiTheme="minorBidi" w:hAnsiTheme="minorBidi"/>
          <w:sz w:val="24"/>
          <w:szCs w:val="24"/>
        </w:rPr>
        <w:t xml:space="preserve"> an active role in diabetes management by providing advanced </w:t>
      </w:r>
      <w:r>
        <w:rPr>
          <w:rFonts w:asciiTheme="minorBidi" w:hAnsiTheme="minorBidi"/>
          <w:sz w:val="24"/>
          <w:szCs w:val="24"/>
        </w:rPr>
        <w:t>pharmaceutical care</w:t>
      </w:r>
      <w:r w:rsidRPr="0009756F">
        <w:rPr>
          <w:rFonts w:asciiTheme="minorBidi" w:hAnsiTheme="minorBidi"/>
          <w:sz w:val="24"/>
          <w:szCs w:val="24"/>
        </w:rPr>
        <w:t xml:space="preserve"> such as medication therapy management.</w:t>
      </w:r>
    </w:p>
    <w:p w14:paraId="7F1A1917" w14:textId="77777777" w:rsidR="00821B82" w:rsidRDefault="00821B82" w:rsidP="00821B82">
      <w:pPr>
        <w:spacing w:line="360" w:lineRule="auto"/>
        <w:jc w:val="both"/>
        <w:rPr>
          <w:rFonts w:asciiTheme="minorBidi" w:hAnsiTheme="minorBidi"/>
          <w:sz w:val="24"/>
          <w:szCs w:val="24"/>
        </w:rPr>
      </w:pPr>
    </w:p>
    <w:p w14:paraId="2741738E" w14:textId="77777777" w:rsidR="00821B82" w:rsidRPr="00DD02C6" w:rsidRDefault="00821B82" w:rsidP="00821B82">
      <w:pPr>
        <w:pStyle w:val="Heading3"/>
        <w:numPr>
          <w:ilvl w:val="2"/>
          <w:numId w:val="14"/>
        </w:numPr>
        <w:spacing w:line="257" w:lineRule="auto"/>
        <w:ind w:left="0" w:firstLine="0"/>
      </w:pPr>
      <w:bookmarkStart w:id="244" w:name="_Toc122626438"/>
      <w:bookmarkStart w:id="245" w:name="_Toc153894201"/>
      <w:r w:rsidRPr="00361CE0">
        <w:t>Participants demographic information</w:t>
      </w:r>
      <w:bookmarkEnd w:id="244"/>
      <w:bookmarkEnd w:id="245"/>
    </w:p>
    <w:p w14:paraId="14FACD27" w14:textId="507267F5" w:rsidR="00821B82" w:rsidRDefault="00821B82" w:rsidP="00821B82">
      <w:pPr>
        <w:spacing w:line="360" w:lineRule="auto"/>
        <w:rPr>
          <w:rFonts w:asciiTheme="minorBidi" w:hAnsiTheme="minorBidi"/>
          <w:sz w:val="24"/>
          <w:szCs w:val="24"/>
        </w:rPr>
      </w:pPr>
      <w:r w:rsidRPr="002B16B7">
        <w:rPr>
          <w:rFonts w:asciiTheme="minorBidi" w:hAnsiTheme="minorBidi"/>
          <w:sz w:val="24"/>
          <w:szCs w:val="24"/>
        </w:rPr>
        <w:t xml:space="preserve">The participants came from </w:t>
      </w:r>
      <w:r>
        <w:rPr>
          <w:rFonts w:asciiTheme="minorBidi" w:hAnsiTheme="minorBidi"/>
          <w:sz w:val="24"/>
          <w:szCs w:val="24"/>
        </w:rPr>
        <w:t>the same</w:t>
      </w:r>
      <w:r w:rsidRPr="002B16B7">
        <w:rPr>
          <w:rFonts w:asciiTheme="minorBidi" w:hAnsiTheme="minorBidi"/>
          <w:sz w:val="24"/>
          <w:szCs w:val="24"/>
        </w:rPr>
        <w:t xml:space="preserve"> culture and background. </w:t>
      </w:r>
      <w:r>
        <w:rPr>
          <w:rFonts w:asciiTheme="minorBidi" w:hAnsiTheme="minorBidi"/>
          <w:sz w:val="24"/>
          <w:szCs w:val="24"/>
        </w:rPr>
        <w:t>All participants</w:t>
      </w:r>
      <w:r w:rsidRPr="002B16B7">
        <w:rPr>
          <w:rFonts w:asciiTheme="minorBidi" w:hAnsiTheme="minorBidi"/>
          <w:sz w:val="24"/>
          <w:szCs w:val="24"/>
        </w:rPr>
        <w:t xml:space="preserve"> </w:t>
      </w:r>
      <w:r>
        <w:rPr>
          <w:rFonts w:asciiTheme="minorBidi" w:hAnsiTheme="minorBidi"/>
          <w:sz w:val="24"/>
          <w:szCs w:val="24"/>
        </w:rPr>
        <w:t>(9</w:t>
      </w:r>
      <w:r w:rsidRPr="009E3A56">
        <w:rPr>
          <w:rFonts w:asciiTheme="minorBidi" w:hAnsiTheme="minorBidi"/>
          <w:sz w:val="24"/>
          <w:szCs w:val="24"/>
        </w:rPr>
        <w:t xml:space="preserve"> </w:t>
      </w:r>
      <w:r>
        <w:rPr>
          <w:rFonts w:asciiTheme="minorBidi" w:hAnsiTheme="minorBidi"/>
          <w:sz w:val="24"/>
          <w:szCs w:val="24"/>
        </w:rPr>
        <w:t xml:space="preserve">HCPs; 4 nurses, 3 pharmacists, and 2 doctors) </w:t>
      </w:r>
      <w:r w:rsidRPr="002B16B7">
        <w:rPr>
          <w:rFonts w:asciiTheme="minorBidi" w:hAnsiTheme="minorBidi"/>
          <w:sz w:val="24"/>
          <w:szCs w:val="24"/>
        </w:rPr>
        <w:t>were</w:t>
      </w:r>
      <w:r>
        <w:rPr>
          <w:rFonts w:asciiTheme="minorBidi" w:hAnsiTheme="minorBidi"/>
          <w:sz w:val="24"/>
          <w:szCs w:val="24"/>
        </w:rPr>
        <w:t xml:space="preserve"> </w:t>
      </w:r>
      <w:r w:rsidRPr="002B16B7">
        <w:rPr>
          <w:rFonts w:asciiTheme="minorBidi" w:hAnsiTheme="minorBidi"/>
          <w:sz w:val="24"/>
          <w:szCs w:val="24"/>
        </w:rPr>
        <w:t xml:space="preserve">from </w:t>
      </w:r>
      <w:r>
        <w:rPr>
          <w:rFonts w:asciiTheme="minorBidi" w:hAnsiTheme="minorBidi"/>
          <w:sz w:val="24"/>
          <w:szCs w:val="24"/>
        </w:rPr>
        <w:t xml:space="preserve">SA. </w:t>
      </w:r>
      <w:r w:rsidRPr="002B16B7">
        <w:rPr>
          <w:rFonts w:asciiTheme="minorBidi" w:hAnsiTheme="minorBidi"/>
          <w:sz w:val="24"/>
          <w:szCs w:val="24"/>
        </w:rPr>
        <w:t xml:space="preserve">Participants’ years of experience </w:t>
      </w:r>
      <w:r>
        <w:rPr>
          <w:rFonts w:asciiTheme="minorBidi" w:hAnsiTheme="minorBidi"/>
          <w:sz w:val="24"/>
          <w:szCs w:val="24"/>
        </w:rPr>
        <w:t xml:space="preserve">working </w:t>
      </w:r>
      <w:r w:rsidRPr="002B16B7">
        <w:rPr>
          <w:rFonts w:asciiTheme="minorBidi" w:hAnsiTheme="minorBidi"/>
          <w:sz w:val="24"/>
          <w:szCs w:val="24"/>
        </w:rPr>
        <w:t xml:space="preserve">in </w:t>
      </w:r>
      <w:r>
        <w:rPr>
          <w:rFonts w:asciiTheme="minorBidi" w:hAnsiTheme="minorBidi"/>
          <w:sz w:val="24"/>
          <w:szCs w:val="24"/>
        </w:rPr>
        <w:t>SA</w:t>
      </w:r>
      <w:r w:rsidRPr="002B16B7">
        <w:rPr>
          <w:rFonts w:asciiTheme="minorBidi" w:hAnsiTheme="minorBidi"/>
          <w:sz w:val="24"/>
          <w:szCs w:val="24"/>
        </w:rPr>
        <w:t xml:space="preserve"> were </w:t>
      </w:r>
      <w:r>
        <w:rPr>
          <w:rFonts w:asciiTheme="minorBidi" w:hAnsiTheme="minorBidi"/>
          <w:sz w:val="24"/>
          <w:szCs w:val="24"/>
        </w:rPr>
        <w:t>almost the same</w:t>
      </w:r>
      <w:r w:rsidRPr="002B16B7">
        <w:rPr>
          <w:rFonts w:asciiTheme="minorBidi" w:hAnsiTheme="minorBidi"/>
          <w:sz w:val="24"/>
          <w:szCs w:val="24"/>
        </w:rPr>
        <w:t xml:space="preserve">. </w:t>
      </w:r>
      <w:r>
        <w:rPr>
          <w:rFonts w:asciiTheme="minorBidi" w:hAnsiTheme="minorBidi"/>
          <w:sz w:val="24"/>
          <w:szCs w:val="24"/>
        </w:rPr>
        <w:t>All</w:t>
      </w:r>
      <w:r w:rsidRPr="0039089E">
        <w:rPr>
          <w:rFonts w:asciiTheme="minorBidi" w:hAnsiTheme="minorBidi"/>
          <w:sz w:val="24"/>
          <w:szCs w:val="24"/>
        </w:rPr>
        <w:t xml:space="preserve"> had been working in </w:t>
      </w:r>
      <w:r>
        <w:rPr>
          <w:rFonts w:asciiTheme="minorBidi" w:hAnsiTheme="minorBidi"/>
          <w:sz w:val="24"/>
          <w:szCs w:val="24"/>
        </w:rPr>
        <w:t xml:space="preserve">the </w:t>
      </w:r>
      <w:r w:rsidRPr="0039089E">
        <w:rPr>
          <w:rFonts w:asciiTheme="minorBidi" w:hAnsiTheme="minorBidi"/>
          <w:sz w:val="24"/>
          <w:szCs w:val="24"/>
        </w:rPr>
        <w:t xml:space="preserve">Saudi </w:t>
      </w:r>
      <w:r>
        <w:rPr>
          <w:rFonts w:asciiTheme="minorBidi" w:hAnsiTheme="minorBidi"/>
          <w:sz w:val="24"/>
          <w:szCs w:val="24"/>
        </w:rPr>
        <w:t xml:space="preserve">MoH </w:t>
      </w:r>
      <w:r w:rsidRPr="0039089E">
        <w:rPr>
          <w:rFonts w:asciiTheme="minorBidi" w:hAnsiTheme="minorBidi"/>
          <w:sz w:val="24"/>
          <w:szCs w:val="24"/>
        </w:rPr>
        <w:t xml:space="preserve">for more than </w:t>
      </w:r>
      <w:r>
        <w:rPr>
          <w:rFonts w:asciiTheme="minorBidi" w:hAnsiTheme="minorBidi"/>
          <w:sz w:val="24"/>
          <w:szCs w:val="24"/>
        </w:rPr>
        <w:t>ten</w:t>
      </w:r>
      <w:r w:rsidRPr="0039089E">
        <w:rPr>
          <w:rFonts w:asciiTheme="minorBidi" w:hAnsiTheme="minorBidi"/>
          <w:sz w:val="24"/>
          <w:szCs w:val="24"/>
        </w:rPr>
        <w:t xml:space="preserve"> years at the time of the interview</w:t>
      </w:r>
      <w:r>
        <w:rPr>
          <w:rFonts w:asciiTheme="minorBidi" w:hAnsiTheme="minorBidi"/>
          <w:sz w:val="24"/>
          <w:szCs w:val="24"/>
        </w:rPr>
        <w:t xml:space="preserve">, except one had work experience of more than five years and fewer than ten years. The research data benefited greatly from </w:t>
      </w:r>
      <w:r w:rsidRPr="00977944">
        <w:rPr>
          <w:rFonts w:asciiTheme="minorBidi" w:hAnsiTheme="minorBidi"/>
          <w:sz w:val="24"/>
          <w:szCs w:val="24"/>
        </w:rPr>
        <w:t xml:space="preserve">such a group with so much experience. It </w:t>
      </w:r>
      <w:r>
        <w:rPr>
          <w:rFonts w:asciiTheme="minorBidi" w:hAnsiTheme="minorBidi"/>
          <w:sz w:val="24"/>
          <w:szCs w:val="24"/>
        </w:rPr>
        <w:t xml:space="preserve">was </w:t>
      </w:r>
      <w:r w:rsidRPr="00977944">
        <w:rPr>
          <w:rFonts w:asciiTheme="minorBidi" w:hAnsiTheme="minorBidi"/>
          <w:sz w:val="24"/>
          <w:szCs w:val="24"/>
        </w:rPr>
        <w:t xml:space="preserve">enriched </w:t>
      </w:r>
      <w:r>
        <w:rPr>
          <w:rFonts w:asciiTheme="minorBidi" w:hAnsiTheme="minorBidi"/>
          <w:sz w:val="24"/>
          <w:szCs w:val="24"/>
        </w:rPr>
        <w:t xml:space="preserve">by the </w:t>
      </w:r>
      <w:r w:rsidRPr="00977944">
        <w:rPr>
          <w:rFonts w:asciiTheme="minorBidi" w:hAnsiTheme="minorBidi"/>
          <w:sz w:val="24"/>
          <w:szCs w:val="24"/>
        </w:rPr>
        <w:t>participants’ reflections on their experiences and perceptions</w:t>
      </w:r>
      <w:r w:rsidRPr="00DC4059">
        <w:rPr>
          <w:rFonts w:asciiTheme="minorBidi" w:hAnsiTheme="minorBidi"/>
          <w:sz w:val="24"/>
          <w:szCs w:val="24"/>
        </w:rPr>
        <w:t>.</w:t>
      </w:r>
      <w:r w:rsidRPr="0039089E">
        <w:rPr>
          <w:rFonts w:asciiTheme="minorBidi" w:hAnsiTheme="minorBidi"/>
          <w:sz w:val="24"/>
          <w:szCs w:val="24"/>
        </w:rPr>
        <w:t xml:space="preserve"> </w:t>
      </w:r>
      <w:r>
        <w:rPr>
          <w:rFonts w:asciiTheme="minorBidi" w:hAnsiTheme="minorBidi"/>
          <w:sz w:val="24"/>
          <w:szCs w:val="24"/>
        </w:rPr>
        <w:t xml:space="preserve">Eight </w:t>
      </w:r>
      <w:r w:rsidRPr="002B16B7">
        <w:rPr>
          <w:rFonts w:asciiTheme="minorBidi" w:hAnsiTheme="minorBidi"/>
          <w:sz w:val="24"/>
          <w:szCs w:val="24"/>
        </w:rPr>
        <w:t xml:space="preserve">participants were </w:t>
      </w:r>
      <w:r>
        <w:rPr>
          <w:rFonts w:asciiTheme="minorBidi" w:hAnsiTheme="minorBidi"/>
          <w:sz w:val="24"/>
          <w:szCs w:val="24"/>
        </w:rPr>
        <w:t xml:space="preserve">female, and one were male. </w:t>
      </w:r>
      <w:r w:rsidRPr="002B16B7">
        <w:rPr>
          <w:rFonts w:asciiTheme="minorBidi" w:hAnsiTheme="minorBidi"/>
          <w:sz w:val="24"/>
          <w:szCs w:val="24"/>
        </w:rPr>
        <w:t xml:space="preserve">Most </w:t>
      </w:r>
      <w:r>
        <w:rPr>
          <w:rFonts w:asciiTheme="minorBidi" w:hAnsiTheme="minorBidi"/>
          <w:sz w:val="24"/>
          <w:szCs w:val="24"/>
        </w:rPr>
        <w:t>participants work</w:t>
      </w:r>
      <w:r w:rsidRPr="00DC4059">
        <w:rPr>
          <w:rFonts w:asciiTheme="minorBidi" w:hAnsiTheme="minorBidi"/>
          <w:sz w:val="24"/>
          <w:szCs w:val="24"/>
        </w:rPr>
        <w:t xml:space="preserve"> in </w:t>
      </w:r>
      <w:r>
        <w:rPr>
          <w:rFonts w:asciiTheme="minorBidi" w:hAnsiTheme="minorBidi"/>
          <w:sz w:val="24"/>
          <w:szCs w:val="24"/>
        </w:rPr>
        <w:t>Qatif, SA.</w:t>
      </w:r>
      <w:r w:rsidRPr="00DC4059">
        <w:rPr>
          <w:rFonts w:asciiTheme="minorBidi" w:hAnsiTheme="minorBidi"/>
          <w:sz w:val="24"/>
          <w:szCs w:val="24"/>
        </w:rPr>
        <w:t xml:space="preserve"> </w:t>
      </w:r>
      <w:r>
        <w:rPr>
          <w:rFonts w:asciiTheme="minorBidi" w:hAnsiTheme="minorBidi"/>
          <w:sz w:val="24"/>
          <w:szCs w:val="24"/>
        </w:rPr>
        <w:t>O</w:t>
      </w:r>
      <w:r w:rsidRPr="00DC4059">
        <w:rPr>
          <w:rFonts w:asciiTheme="minorBidi" w:hAnsiTheme="minorBidi"/>
          <w:sz w:val="24"/>
          <w:szCs w:val="24"/>
        </w:rPr>
        <w:t xml:space="preserve">nly </w:t>
      </w:r>
      <w:r>
        <w:rPr>
          <w:rFonts w:asciiTheme="minorBidi" w:hAnsiTheme="minorBidi"/>
          <w:sz w:val="24"/>
          <w:szCs w:val="24"/>
        </w:rPr>
        <w:t>one</w:t>
      </w:r>
      <w:r w:rsidRPr="00DC4059">
        <w:rPr>
          <w:rFonts w:asciiTheme="minorBidi" w:hAnsiTheme="minorBidi"/>
          <w:sz w:val="24"/>
          <w:szCs w:val="24"/>
        </w:rPr>
        <w:t xml:space="preserve"> </w:t>
      </w:r>
      <w:r>
        <w:rPr>
          <w:rFonts w:asciiTheme="minorBidi" w:hAnsiTheme="minorBidi"/>
          <w:sz w:val="24"/>
          <w:szCs w:val="24"/>
        </w:rPr>
        <w:t>works in Safwa, SA</w:t>
      </w:r>
      <w:r w:rsidRPr="00DC4059">
        <w:rPr>
          <w:rFonts w:asciiTheme="minorBidi" w:hAnsiTheme="minorBidi"/>
          <w:sz w:val="24"/>
          <w:szCs w:val="24"/>
        </w:rPr>
        <w:t>.</w:t>
      </w:r>
      <w:r w:rsidRPr="0061206C">
        <w:rPr>
          <w:rFonts w:asciiTheme="minorBidi" w:hAnsiTheme="minorBidi"/>
          <w:sz w:val="24"/>
          <w:szCs w:val="24"/>
        </w:rPr>
        <w:t xml:space="preserve"> </w:t>
      </w:r>
      <w:r>
        <w:rPr>
          <w:rFonts w:asciiTheme="minorBidi" w:hAnsiTheme="minorBidi"/>
          <w:sz w:val="24"/>
          <w:szCs w:val="24"/>
        </w:rPr>
        <w:t>The i</w:t>
      </w:r>
      <w:r w:rsidRPr="009E3A56">
        <w:rPr>
          <w:rFonts w:asciiTheme="minorBidi" w:hAnsiTheme="minorBidi"/>
          <w:sz w:val="24"/>
          <w:szCs w:val="24"/>
        </w:rPr>
        <w:t xml:space="preserve">nterviews ranged in duration from 24 to 60 min with an average length of 38 min. </w:t>
      </w:r>
      <w:r>
        <w:rPr>
          <w:rFonts w:asciiTheme="minorBidi" w:hAnsiTheme="minorBidi"/>
          <w:sz w:val="24"/>
          <w:szCs w:val="24"/>
        </w:rPr>
        <w:t xml:space="preserve">See </w:t>
      </w:r>
      <w:r w:rsidRPr="00DC2D60">
        <w:rPr>
          <w:rFonts w:asciiTheme="minorBidi" w:hAnsiTheme="minorBidi"/>
          <w:color w:val="1F3864" w:themeColor="accent1" w:themeShade="80"/>
          <w:sz w:val="24"/>
          <w:szCs w:val="24"/>
        </w:rPr>
        <w:fldChar w:fldCharType="begin"/>
      </w:r>
      <w:r w:rsidRPr="00DC2D60">
        <w:rPr>
          <w:rFonts w:asciiTheme="minorBidi" w:hAnsiTheme="minorBidi"/>
          <w:color w:val="1F3864" w:themeColor="accent1" w:themeShade="80"/>
          <w:sz w:val="24"/>
          <w:szCs w:val="24"/>
        </w:rPr>
        <w:instrText xml:space="preserve"> REF _Ref122827340 \h  \* MERGEFORMAT </w:instrText>
      </w:r>
      <w:r w:rsidRPr="00DC2D60">
        <w:rPr>
          <w:rFonts w:asciiTheme="minorBidi" w:hAnsiTheme="minorBidi"/>
          <w:color w:val="1F3864" w:themeColor="accent1" w:themeShade="80"/>
          <w:sz w:val="24"/>
          <w:szCs w:val="24"/>
        </w:rPr>
      </w:r>
      <w:r w:rsidRPr="00DC2D60">
        <w:rPr>
          <w:rFonts w:asciiTheme="minorBidi" w:hAnsiTheme="minorBidi"/>
          <w:color w:val="1F3864" w:themeColor="accent1" w:themeShade="80"/>
          <w:sz w:val="24"/>
          <w:szCs w:val="24"/>
        </w:rPr>
        <w:fldChar w:fldCharType="separate"/>
      </w:r>
      <w:r w:rsidR="00B734DA" w:rsidRPr="00B734DA">
        <w:rPr>
          <w:rFonts w:asciiTheme="minorBidi" w:hAnsiTheme="minorBidi"/>
          <w:color w:val="1F3864" w:themeColor="accent1" w:themeShade="80"/>
          <w:sz w:val="24"/>
          <w:szCs w:val="24"/>
        </w:rPr>
        <w:t>Table 26</w:t>
      </w:r>
      <w:r w:rsidRPr="00DC2D60">
        <w:rPr>
          <w:rFonts w:asciiTheme="minorBidi" w:hAnsiTheme="minorBidi"/>
          <w:color w:val="1F3864" w:themeColor="accent1" w:themeShade="80"/>
          <w:sz w:val="24"/>
          <w:szCs w:val="24"/>
        </w:rPr>
        <w:fldChar w:fldCharType="end"/>
      </w:r>
      <w:r w:rsidRPr="00DC2D60">
        <w:rPr>
          <w:rFonts w:asciiTheme="minorBidi" w:hAnsiTheme="minorBidi"/>
          <w:color w:val="1F3864" w:themeColor="accent1" w:themeShade="80"/>
          <w:sz w:val="24"/>
          <w:szCs w:val="24"/>
        </w:rPr>
        <w:fldChar w:fldCharType="begin"/>
      </w:r>
      <w:r w:rsidRPr="00DC2D60">
        <w:rPr>
          <w:rFonts w:asciiTheme="minorBidi" w:hAnsiTheme="minorBidi"/>
          <w:color w:val="1F3864" w:themeColor="accent1" w:themeShade="80"/>
          <w:sz w:val="24"/>
          <w:szCs w:val="24"/>
        </w:rPr>
        <w:instrText xml:space="preserve"> REF _Ref111725214 \h  \* MERGEFORMAT </w:instrText>
      </w:r>
      <w:r w:rsidRPr="00DC2D60">
        <w:rPr>
          <w:rFonts w:asciiTheme="minorBidi" w:hAnsiTheme="minorBidi"/>
          <w:color w:val="1F3864" w:themeColor="accent1" w:themeShade="80"/>
          <w:sz w:val="24"/>
          <w:szCs w:val="24"/>
        </w:rPr>
      </w:r>
      <w:r w:rsidR="00000000">
        <w:rPr>
          <w:rFonts w:asciiTheme="minorBidi" w:hAnsiTheme="minorBidi"/>
          <w:color w:val="1F3864" w:themeColor="accent1" w:themeShade="80"/>
          <w:sz w:val="24"/>
          <w:szCs w:val="24"/>
        </w:rPr>
        <w:fldChar w:fldCharType="separate"/>
      </w:r>
      <w:r w:rsidRPr="00DC2D60">
        <w:rPr>
          <w:rFonts w:asciiTheme="minorBidi" w:hAnsiTheme="minorBidi"/>
          <w:color w:val="1F3864" w:themeColor="accent1" w:themeShade="80"/>
          <w:sz w:val="24"/>
          <w:szCs w:val="24"/>
        </w:rPr>
        <w:fldChar w:fldCharType="end"/>
      </w:r>
      <w:r w:rsidRPr="00DC2D60">
        <w:rPr>
          <w:rFonts w:asciiTheme="minorBidi" w:hAnsiTheme="minorBidi"/>
          <w:color w:val="1F3864" w:themeColor="accent1" w:themeShade="80"/>
          <w:sz w:val="24"/>
          <w:szCs w:val="24"/>
        </w:rPr>
        <w:t xml:space="preserve">. </w:t>
      </w:r>
    </w:p>
    <w:p w14:paraId="749D1E57" w14:textId="35C765C2" w:rsidR="00821B82" w:rsidRPr="004E1B82" w:rsidRDefault="00821B82" w:rsidP="00821B82">
      <w:pPr>
        <w:pStyle w:val="Caption"/>
        <w:rPr>
          <w:sz w:val="22"/>
          <w:szCs w:val="22"/>
        </w:rPr>
      </w:pPr>
      <w:bookmarkStart w:id="246" w:name="_Ref122827340"/>
      <w:bookmarkStart w:id="247" w:name="_Toc153894580"/>
      <w:r w:rsidRPr="004E1B82">
        <w:rPr>
          <w:sz w:val="22"/>
          <w:szCs w:val="22"/>
        </w:rPr>
        <w:t xml:space="preserve">Table </w:t>
      </w:r>
      <w:r w:rsidRPr="004E1B82">
        <w:rPr>
          <w:sz w:val="22"/>
          <w:szCs w:val="22"/>
        </w:rPr>
        <w:fldChar w:fldCharType="begin"/>
      </w:r>
      <w:r w:rsidRPr="004E1B82">
        <w:rPr>
          <w:sz w:val="22"/>
          <w:szCs w:val="22"/>
        </w:rPr>
        <w:instrText xml:space="preserve"> SEQ Table \* ARABIC </w:instrText>
      </w:r>
      <w:r w:rsidRPr="004E1B82">
        <w:rPr>
          <w:sz w:val="22"/>
          <w:szCs w:val="22"/>
        </w:rPr>
        <w:fldChar w:fldCharType="separate"/>
      </w:r>
      <w:r w:rsidR="009B31EB">
        <w:rPr>
          <w:noProof/>
          <w:sz w:val="22"/>
          <w:szCs w:val="22"/>
        </w:rPr>
        <w:t>26</w:t>
      </w:r>
      <w:r w:rsidRPr="004E1B82">
        <w:rPr>
          <w:sz w:val="22"/>
          <w:szCs w:val="22"/>
        </w:rPr>
        <w:fldChar w:fldCharType="end"/>
      </w:r>
      <w:bookmarkEnd w:id="246"/>
      <w:r w:rsidRPr="004E1B82">
        <w:rPr>
          <w:sz w:val="22"/>
          <w:szCs w:val="22"/>
        </w:rPr>
        <w:t>: Demographic Information of the Participants</w:t>
      </w:r>
      <w:bookmarkEnd w:id="24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652"/>
        <w:gridCol w:w="2445"/>
      </w:tblGrid>
      <w:tr w:rsidR="00821B82" w:rsidRPr="00EE0CE6" w14:paraId="304A75DD" w14:textId="77777777" w:rsidTr="00282204">
        <w:trPr>
          <w:trHeight w:val="334"/>
          <w:jc w:val="center"/>
        </w:trPr>
        <w:tc>
          <w:tcPr>
            <w:tcW w:w="3195" w:type="dxa"/>
            <w:tcBorders>
              <w:bottom w:val="single" w:sz="4" w:space="0" w:color="auto"/>
            </w:tcBorders>
          </w:tcPr>
          <w:p w14:paraId="4AA1F341" w14:textId="77777777" w:rsidR="00821B82" w:rsidRPr="00E87B8D" w:rsidRDefault="00821B82" w:rsidP="00282204">
            <w:pPr>
              <w:rPr>
                <w:rFonts w:asciiTheme="minorBidi" w:hAnsiTheme="minorBidi"/>
                <w:sz w:val="20"/>
                <w:szCs w:val="20"/>
              </w:rPr>
            </w:pPr>
            <w:r w:rsidRPr="00E87B8D">
              <w:rPr>
                <w:rFonts w:asciiTheme="minorBidi" w:hAnsiTheme="minorBidi"/>
                <w:sz w:val="20"/>
                <w:szCs w:val="20"/>
              </w:rPr>
              <w:t>No. of participants</w:t>
            </w:r>
          </w:p>
        </w:tc>
        <w:tc>
          <w:tcPr>
            <w:tcW w:w="652" w:type="dxa"/>
            <w:tcBorders>
              <w:bottom w:val="single" w:sz="4" w:space="0" w:color="auto"/>
            </w:tcBorders>
          </w:tcPr>
          <w:p w14:paraId="41FDE3FF" w14:textId="77777777" w:rsidR="00821B82" w:rsidRPr="00E87B8D" w:rsidRDefault="00821B82" w:rsidP="00282204">
            <w:pPr>
              <w:rPr>
                <w:rFonts w:asciiTheme="minorBidi" w:hAnsiTheme="minorBidi"/>
                <w:sz w:val="20"/>
                <w:szCs w:val="20"/>
              </w:rPr>
            </w:pPr>
            <w:r w:rsidRPr="00E87B8D">
              <w:rPr>
                <w:rFonts w:asciiTheme="minorBidi" w:hAnsiTheme="minorBidi"/>
                <w:sz w:val="20"/>
                <w:szCs w:val="20"/>
              </w:rPr>
              <w:t>9</w:t>
            </w:r>
          </w:p>
        </w:tc>
        <w:tc>
          <w:tcPr>
            <w:tcW w:w="2445" w:type="dxa"/>
            <w:tcBorders>
              <w:bottom w:val="single" w:sz="4" w:space="0" w:color="auto"/>
            </w:tcBorders>
          </w:tcPr>
          <w:p w14:paraId="4420903E" w14:textId="77777777" w:rsidR="00821B82" w:rsidRPr="00E87B8D" w:rsidRDefault="00821B82" w:rsidP="00282204">
            <w:pPr>
              <w:rPr>
                <w:rFonts w:asciiTheme="minorBidi" w:hAnsiTheme="minorBidi"/>
                <w:sz w:val="20"/>
                <w:szCs w:val="20"/>
              </w:rPr>
            </w:pPr>
            <w:r w:rsidRPr="00E87B8D">
              <w:rPr>
                <w:rFonts w:asciiTheme="minorBidi" w:hAnsiTheme="minorBidi"/>
                <w:sz w:val="20"/>
                <w:szCs w:val="20"/>
              </w:rPr>
              <w:t>Participant code</w:t>
            </w:r>
          </w:p>
        </w:tc>
      </w:tr>
      <w:tr w:rsidR="00821B82" w:rsidRPr="00EE0CE6" w14:paraId="789F8D00" w14:textId="77777777" w:rsidTr="00282204">
        <w:trPr>
          <w:trHeight w:val="304"/>
          <w:jc w:val="center"/>
        </w:trPr>
        <w:tc>
          <w:tcPr>
            <w:tcW w:w="3195" w:type="dxa"/>
            <w:tcBorders>
              <w:top w:val="single" w:sz="4" w:space="0" w:color="auto"/>
            </w:tcBorders>
          </w:tcPr>
          <w:p w14:paraId="339862DF" w14:textId="77777777" w:rsidR="00821B82" w:rsidRPr="00AB50BF" w:rsidRDefault="00821B82" w:rsidP="00282204">
            <w:pPr>
              <w:rPr>
                <w:rFonts w:asciiTheme="minorBidi" w:hAnsiTheme="minorBidi"/>
                <w:b/>
                <w:bCs/>
                <w:sz w:val="20"/>
                <w:szCs w:val="20"/>
              </w:rPr>
            </w:pPr>
            <w:r w:rsidRPr="00AB50BF">
              <w:rPr>
                <w:rFonts w:asciiTheme="minorBidi" w:hAnsiTheme="minorBidi"/>
                <w:b/>
                <w:bCs/>
                <w:sz w:val="20"/>
                <w:szCs w:val="20"/>
              </w:rPr>
              <w:t>Gender</w:t>
            </w:r>
          </w:p>
        </w:tc>
        <w:tc>
          <w:tcPr>
            <w:tcW w:w="652" w:type="dxa"/>
            <w:tcBorders>
              <w:top w:val="single" w:sz="4" w:space="0" w:color="auto"/>
            </w:tcBorders>
          </w:tcPr>
          <w:p w14:paraId="7815D8B4" w14:textId="77777777" w:rsidR="00821B82" w:rsidRPr="00AB50BF" w:rsidRDefault="00821B82" w:rsidP="00282204">
            <w:pPr>
              <w:rPr>
                <w:rFonts w:asciiTheme="minorBidi" w:hAnsiTheme="minorBidi"/>
                <w:sz w:val="20"/>
                <w:szCs w:val="20"/>
              </w:rPr>
            </w:pPr>
          </w:p>
        </w:tc>
        <w:tc>
          <w:tcPr>
            <w:tcW w:w="2445" w:type="dxa"/>
            <w:tcBorders>
              <w:top w:val="single" w:sz="4" w:space="0" w:color="auto"/>
            </w:tcBorders>
          </w:tcPr>
          <w:p w14:paraId="79276D78" w14:textId="77777777" w:rsidR="00821B82" w:rsidRPr="00AB50BF" w:rsidRDefault="00821B82" w:rsidP="00282204">
            <w:pPr>
              <w:rPr>
                <w:rFonts w:asciiTheme="minorBidi" w:hAnsiTheme="minorBidi"/>
                <w:sz w:val="20"/>
                <w:szCs w:val="20"/>
              </w:rPr>
            </w:pPr>
          </w:p>
        </w:tc>
      </w:tr>
      <w:tr w:rsidR="00821B82" w:rsidRPr="00D16531" w14:paraId="2F3618F7" w14:textId="77777777" w:rsidTr="00282204">
        <w:trPr>
          <w:trHeight w:val="220"/>
          <w:jc w:val="center"/>
        </w:trPr>
        <w:tc>
          <w:tcPr>
            <w:tcW w:w="3195" w:type="dxa"/>
          </w:tcPr>
          <w:p w14:paraId="1BF1354F" w14:textId="77777777" w:rsidR="00821B82" w:rsidRPr="00F206C2" w:rsidRDefault="00821B82" w:rsidP="00282204">
            <w:pPr>
              <w:rPr>
                <w:rFonts w:asciiTheme="minorBidi" w:hAnsiTheme="minorBidi"/>
                <w:sz w:val="20"/>
                <w:szCs w:val="20"/>
              </w:rPr>
            </w:pPr>
            <w:r w:rsidRPr="009F00B0">
              <w:rPr>
                <w:rFonts w:asciiTheme="minorBidi" w:hAnsiTheme="minorBidi"/>
                <w:sz w:val="20"/>
                <w:szCs w:val="20"/>
              </w:rPr>
              <w:t>Male</w:t>
            </w:r>
          </w:p>
        </w:tc>
        <w:tc>
          <w:tcPr>
            <w:tcW w:w="652" w:type="dxa"/>
          </w:tcPr>
          <w:p w14:paraId="0F96D85E" w14:textId="77777777" w:rsidR="00821B82" w:rsidRPr="00B03206" w:rsidRDefault="00821B82" w:rsidP="00282204">
            <w:pPr>
              <w:rPr>
                <w:rFonts w:asciiTheme="minorBidi" w:hAnsiTheme="minorBidi"/>
                <w:sz w:val="20"/>
                <w:szCs w:val="20"/>
              </w:rPr>
            </w:pPr>
            <w:r w:rsidRPr="009F00B0">
              <w:rPr>
                <w:rFonts w:asciiTheme="minorBidi" w:hAnsiTheme="minorBidi"/>
                <w:sz w:val="20"/>
                <w:szCs w:val="20"/>
              </w:rPr>
              <w:t>1</w:t>
            </w:r>
          </w:p>
        </w:tc>
        <w:tc>
          <w:tcPr>
            <w:tcW w:w="2445" w:type="dxa"/>
          </w:tcPr>
          <w:p w14:paraId="28F73843" w14:textId="77777777" w:rsidR="00821B82" w:rsidRPr="00B03206" w:rsidRDefault="00821B82" w:rsidP="00282204">
            <w:pPr>
              <w:rPr>
                <w:rFonts w:asciiTheme="minorBidi" w:hAnsiTheme="minorBidi"/>
                <w:sz w:val="20"/>
                <w:szCs w:val="20"/>
              </w:rPr>
            </w:pPr>
          </w:p>
        </w:tc>
      </w:tr>
      <w:tr w:rsidR="00821B82" w:rsidRPr="00D16531" w14:paraId="3F468AD3" w14:textId="77777777" w:rsidTr="00282204">
        <w:trPr>
          <w:trHeight w:val="385"/>
          <w:jc w:val="center"/>
        </w:trPr>
        <w:tc>
          <w:tcPr>
            <w:tcW w:w="3195" w:type="dxa"/>
          </w:tcPr>
          <w:p w14:paraId="49687F2A" w14:textId="77777777" w:rsidR="00821B82" w:rsidRPr="00812770" w:rsidRDefault="00821B82" w:rsidP="00282204">
            <w:pPr>
              <w:rPr>
                <w:rFonts w:asciiTheme="minorBidi" w:hAnsiTheme="minorBidi"/>
                <w:sz w:val="20"/>
                <w:szCs w:val="20"/>
              </w:rPr>
            </w:pPr>
            <w:r w:rsidRPr="009F00B0">
              <w:rPr>
                <w:rFonts w:asciiTheme="minorBidi" w:hAnsiTheme="minorBidi"/>
                <w:sz w:val="20"/>
                <w:szCs w:val="20"/>
              </w:rPr>
              <w:t>Female</w:t>
            </w:r>
          </w:p>
        </w:tc>
        <w:tc>
          <w:tcPr>
            <w:tcW w:w="652" w:type="dxa"/>
          </w:tcPr>
          <w:p w14:paraId="48E35A61" w14:textId="77777777" w:rsidR="00821B82" w:rsidRPr="00812770" w:rsidRDefault="00821B82" w:rsidP="00282204">
            <w:pPr>
              <w:rPr>
                <w:rFonts w:asciiTheme="minorBidi" w:hAnsiTheme="minorBidi"/>
                <w:sz w:val="20"/>
                <w:szCs w:val="20"/>
              </w:rPr>
            </w:pPr>
            <w:r w:rsidRPr="009F00B0">
              <w:rPr>
                <w:rFonts w:asciiTheme="minorBidi" w:hAnsiTheme="minorBidi"/>
                <w:sz w:val="20"/>
                <w:szCs w:val="20"/>
              </w:rPr>
              <w:t>8</w:t>
            </w:r>
          </w:p>
        </w:tc>
        <w:tc>
          <w:tcPr>
            <w:tcW w:w="2445" w:type="dxa"/>
          </w:tcPr>
          <w:p w14:paraId="550F1933" w14:textId="77777777" w:rsidR="00821B82" w:rsidRPr="00812770" w:rsidRDefault="00821B82" w:rsidP="00282204">
            <w:pPr>
              <w:rPr>
                <w:rFonts w:asciiTheme="minorBidi" w:hAnsiTheme="minorBidi"/>
                <w:sz w:val="20"/>
                <w:szCs w:val="20"/>
              </w:rPr>
            </w:pPr>
          </w:p>
        </w:tc>
      </w:tr>
      <w:tr w:rsidR="00821B82" w:rsidRPr="00D16531" w14:paraId="255D8860" w14:textId="77777777" w:rsidTr="00282204">
        <w:trPr>
          <w:trHeight w:val="231"/>
          <w:jc w:val="center"/>
        </w:trPr>
        <w:tc>
          <w:tcPr>
            <w:tcW w:w="3195" w:type="dxa"/>
          </w:tcPr>
          <w:p w14:paraId="10489D91" w14:textId="77777777" w:rsidR="00821B82" w:rsidRPr="00AB50BF" w:rsidRDefault="00821B82" w:rsidP="00282204">
            <w:pPr>
              <w:rPr>
                <w:rFonts w:asciiTheme="minorBidi" w:hAnsiTheme="minorBidi"/>
                <w:b/>
                <w:bCs/>
                <w:sz w:val="20"/>
                <w:szCs w:val="20"/>
              </w:rPr>
            </w:pPr>
            <w:r w:rsidRPr="00AB50BF">
              <w:rPr>
                <w:rFonts w:asciiTheme="minorBidi" w:hAnsiTheme="minorBidi"/>
                <w:b/>
                <w:bCs/>
                <w:sz w:val="20"/>
                <w:szCs w:val="20"/>
              </w:rPr>
              <w:t>Nationality</w:t>
            </w:r>
          </w:p>
        </w:tc>
        <w:tc>
          <w:tcPr>
            <w:tcW w:w="652" w:type="dxa"/>
          </w:tcPr>
          <w:p w14:paraId="4CD18024" w14:textId="77777777" w:rsidR="00821B82" w:rsidRPr="00B03206" w:rsidRDefault="00821B82" w:rsidP="00282204">
            <w:pPr>
              <w:rPr>
                <w:rFonts w:asciiTheme="minorBidi" w:hAnsiTheme="minorBidi"/>
                <w:sz w:val="20"/>
                <w:szCs w:val="20"/>
              </w:rPr>
            </w:pPr>
          </w:p>
        </w:tc>
        <w:tc>
          <w:tcPr>
            <w:tcW w:w="2445" w:type="dxa"/>
          </w:tcPr>
          <w:p w14:paraId="1C2DD553" w14:textId="77777777" w:rsidR="00821B82" w:rsidRPr="00B03206" w:rsidRDefault="00821B82" w:rsidP="00282204">
            <w:pPr>
              <w:rPr>
                <w:rFonts w:asciiTheme="minorBidi" w:hAnsiTheme="minorBidi"/>
                <w:sz w:val="20"/>
                <w:szCs w:val="20"/>
              </w:rPr>
            </w:pPr>
          </w:p>
        </w:tc>
      </w:tr>
      <w:tr w:rsidR="00821B82" w:rsidRPr="00D16531" w14:paraId="0A146D98" w14:textId="77777777" w:rsidTr="00282204">
        <w:trPr>
          <w:trHeight w:val="253"/>
          <w:jc w:val="center"/>
        </w:trPr>
        <w:tc>
          <w:tcPr>
            <w:tcW w:w="3195" w:type="dxa"/>
          </w:tcPr>
          <w:p w14:paraId="10459FB2" w14:textId="77777777" w:rsidR="00821B82" w:rsidRPr="00B76E7E" w:rsidRDefault="00821B82" w:rsidP="00282204">
            <w:pPr>
              <w:rPr>
                <w:rFonts w:asciiTheme="minorBidi" w:hAnsiTheme="minorBidi"/>
                <w:sz w:val="20"/>
                <w:szCs w:val="20"/>
              </w:rPr>
            </w:pPr>
            <w:r w:rsidRPr="009F00B0">
              <w:rPr>
                <w:rFonts w:asciiTheme="minorBidi" w:hAnsiTheme="minorBidi"/>
                <w:sz w:val="20"/>
                <w:szCs w:val="20"/>
              </w:rPr>
              <w:t>Saudi</w:t>
            </w:r>
          </w:p>
        </w:tc>
        <w:tc>
          <w:tcPr>
            <w:tcW w:w="652" w:type="dxa"/>
          </w:tcPr>
          <w:p w14:paraId="5A0C3AD1" w14:textId="77777777" w:rsidR="00821B82" w:rsidRPr="00B76E7E" w:rsidRDefault="00821B82" w:rsidP="00282204">
            <w:pPr>
              <w:rPr>
                <w:rFonts w:asciiTheme="minorBidi" w:hAnsiTheme="minorBidi"/>
                <w:sz w:val="20"/>
                <w:szCs w:val="20"/>
              </w:rPr>
            </w:pPr>
            <w:r>
              <w:rPr>
                <w:rFonts w:asciiTheme="minorBidi" w:hAnsiTheme="minorBidi"/>
                <w:sz w:val="20"/>
                <w:szCs w:val="20"/>
              </w:rPr>
              <w:t>9</w:t>
            </w:r>
          </w:p>
        </w:tc>
        <w:tc>
          <w:tcPr>
            <w:tcW w:w="2445" w:type="dxa"/>
          </w:tcPr>
          <w:p w14:paraId="223944E3" w14:textId="77777777" w:rsidR="00821B82" w:rsidRPr="00B76E7E" w:rsidRDefault="00821B82" w:rsidP="00282204">
            <w:pPr>
              <w:rPr>
                <w:rFonts w:asciiTheme="minorBidi" w:hAnsiTheme="minorBidi"/>
                <w:sz w:val="20"/>
                <w:szCs w:val="20"/>
              </w:rPr>
            </w:pPr>
          </w:p>
        </w:tc>
      </w:tr>
      <w:tr w:rsidR="00821B82" w:rsidRPr="00D16531" w14:paraId="32E0E792" w14:textId="77777777" w:rsidTr="00282204">
        <w:trPr>
          <w:trHeight w:val="401"/>
          <w:jc w:val="center"/>
        </w:trPr>
        <w:tc>
          <w:tcPr>
            <w:tcW w:w="3195" w:type="dxa"/>
          </w:tcPr>
          <w:p w14:paraId="4CBD0B61" w14:textId="77777777" w:rsidR="00821B82" w:rsidRPr="00B76E7E" w:rsidRDefault="00821B82" w:rsidP="00282204">
            <w:pPr>
              <w:rPr>
                <w:rFonts w:asciiTheme="minorBidi" w:hAnsiTheme="minorBidi"/>
                <w:sz w:val="20"/>
                <w:szCs w:val="20"/>
              </w:rPr>
            </w:pPr>
            <w:r w:rsidRPr="009F00B0">
              <w:rPr>
                <w:rFonts w:asciiTheme="minorBidi" w:hAnsiTheme="minorBidi"/>
                <w:sz w:val="20"/>
                <w:szCs w:val="20"/>
              </w:rPr>
              <w:t>Non-Saudi</w:t>
            </w:r>
          </w:p>
        </w:tc>
        <w:tc>
          <w:tcPr>
            <w:tcW w:w="652" w:type="dxa"/>
          </w:tcPr>
          <w:p w14:paraId="0B6A53B2" w14:textId="77777777" w:rsidR="00821B82" w:rsidRPr="00B76E7E" w:rsidRDefault="00821B82" w:rsidP="00282204">
            <w:pPr>
              <w:rPr>
                <w:rFonts w:asciiTheme="minorBidi" w:hAnsiTheme="minorBidi"/>
                <w:sz w:val="20"/>
                <w:szCs w:val="20"/>
              </w:rPr>
            </w:pPr>
            <w:r>
              <w:rPr>
                <w:rFonts w:asciiTheme="minorBidi" w:hAnsiTheme="minorBidi"/>
                <w:sz w:val="20"/>
                <w:szCs w:val="20"/>
              </w:rPr>
              <w:t>0</w:t>
            </w:r>
          </w:p>
        </w:tc>
        <w:tc>
          <w:tcPr>
            <w:tcW w:w="2445" w:type="dxa"/>
          </w:tcPr>
          <w:p w14:paraId="091983C6" w14:textId="77777777" w:rsidR="00821B82" w:rsidRPr="00B76E7E" w:rsidRDefault="00821B82" w:rsidP="00282204">
            <w:pPr>
              <w:rPr>
                <w:rFonts w:asciiTheme="minorBidi" w:hAnsiTheme="minorBidi"/>
                <w:sz w:val="20"/>
                <w:szCs w:val="20"/>
              </w:rPr>
            </w:pPr>
          </w:p>
        </w:tc>
      </w:tr>
      <w:tr w:rsidR="00821B82" w:rsidRPr="00D16531" w14:paraId="4DBD9E7D" w14:textId="77777777" w:rsidTr="00282204">
        <w:trPr>
          <w:trHeight w:val="231"/>
          <w:jc w:val="center"/>
        </w:trPr>
        <w:tc>
          <w:tcPr>
            <w:tcW w:w="3195" w:type="dxa"/>
          </w:tcPr>
          <w:p w14:paraId="79209F0E" w14:textId="77777777" w:rsidR="00821B82" w:rsidRPr="00AB50BF" w:rsidRDefault="00821B82" w:rsidP="00282204">
            <w:pPr>
              <w:rPr>
                <w:rFonts w:asciiTheme="minorBidi" w:hAnsiTheme="minorBidi"/>
                <w:b/>
                <w:bCs/>
                <w:sz w:val="20"/>
                <w:szCs w:val="20"/>
              </w:rPr>
            </w:pPr>
            <w:r w:rsidRPr="00AB50BF">
              <w:rPr>
                <w:rFonts w:asciiTheme="minorBidi" w:hAnsiTheme="minorBidi"/>
                <w:b/>
                <w:bCs/>
                <w:sz w:val="20"/>
                <w:szCs w:val="20"/>
              </w:rPr>
              <w:t>Qualification</w:t>
            </w:r>
          </w:p>
        </w:tc>
        <w:tc>
          <w:tcPr>
            <w:tcW w:w="652" w:type="dxa"/>
          </w:tcPr>
          <w:p w14:paraId="7382E62D" w14:textId="77777777" w:rsidR="00821B82" w:rsidRPr="00B76E7E" w:rsidRDefault="00821B82" w:rsidP="00282204">
            <w:pPr>
              <w:rPr>
                <w:rFonts w:asciiTheme="minorBidi" w:hAnsiTheme="minorBidi"/>
                <w:sz w:val="20"/>
                <w:szCs w:val="20"/>
              </w:rPr>
            </w:pPr>
          </w:p>
        </w:tc>
        <w:tc>
          <w:tcPr>
            <w:tcW w:w="2445" w:type="dxa"/>
          </w:tcPr>
          <w:p w14:paraId="7FC5438E" w14:textId="77777777" w:rsidR="00821B82" w:rsidRPr="00B76E7E" w:rsidRDefault="00821B82" w:rsidP="00282204">
            <w:pPr>
              <w:rPr>
                <w:rFonts w:asciiTheme="minorBidi" w:hAnsiTheme="minorBidi"/>
                <w:sz w:val="20"/>
                <w:szCs w:val="20"/>
              </w:rPr>
            </w:pPr>
          </w:p>
        </w:tc>
      </w:tr>
      <w:tr w:rsidR="00821B82" w:rsidRPr="00D16531" w14:paraId="7A14EA14" w14:textId="77777777" w:rsidTr="00282204">
        <w:trPr>
          <w:trHeight w:val="162"/>
          <w:jc w:val="center"/>
        </w:trPr>
        <w:tc>
          <w:tcPr>
            <w:tcW w:w="3195" w:type="dxa"/>
          </w:tcPr>
          <w:p w14:paraId="7E75FDA5" w14:textId="77777777" w:rsidR="00821B82" w:rsidRPr="00B76E7E" w:rsidRDefault="00821B82" w:rsidP="00282204">
            <w:pPr>
              <w:rPr>
                <w:rFonts w:asciiTheme="minorBidi" w:hAnsiTheme="minorBidi"/>
                <w:sz w:val="20"/>
                <w:szCs w:val="20"/>
              </w:rPr>
            </w:pPr>
            <w:r w:rsidRPr="009F00B0">
              <w:rPr>
                <w:rFonts w:asciiTheme="minorBidi" w:hAnsiTheme="minorBidi"/>
                <w:sz w:val="20"/>
                <w:szCs w:val="20"/>
              </w:rPr>
              <w:t>Doctor</w:t>
            </w:r>
          </w:p>
        </w:tc>
        <w:tc>
          <w:tcPr>
            <w:tcW w:w="652" w:type="dxa"/>
          </w:tcPr>
          <w:p w14:paraId="0F9093C9" w14:textId="77777777" w:rsidR="00821B82" w:rsidRPr="00B76E7E" w:rsidRDefault="00821B82" w:rsidP="00282204">
            <w:pPr>
              <w:rPr>
                <w:rFonts w:asciiTheme="minorBidi" w:hAnsiTheme="minorBidi"/>
                <w:sz w:val="20"/>
                <w:szCs w:val="20"/>
              </w:rPr>
            </w:pPr>
            <w:r>
              <w:rPr>
                <w:rFonts w:asciiTheme="minorBidi" w:hAnsiTheme="minorBidi"/>
                <w:sz w:val="20"/>
                <w:szCs w:val="20"/>
              </w:rPr>
              <w:t>2</w:t>
            </w:r>
          </w:p>
        </w:tc>
        <w:tc>
          <w:tcPr>
            <w:tcW w:w="2445" w:type="dxa"/>
          </w:tcPr>
          <w:p w14:paraId="38824EC7" w14:textId="77777777" w:rsidR="00821B82" w:rsidRPr="00B76E7E" w:rsidRDefault="00821B82" w:rsidP="00282204">
            <w:pPr>
              <w:rPr>
                <w:rFonts w:asciiTheme="minorBidi" w:hAnsiTheme="minorBidi"/>
                <w:sz w:val="20"/>
                <w:szCs w:val="20"/>
              </w:rPr>
            </w:pPr>
            <w:r w:rsidRPr="00B76E7E">
              <w:rPr>
                <w:rFonts w:asciiTheme="minorBidi" w:hAnsiTheme="minorBidi"/>
                <w:sz w:val="20"/>
                <w:szCs w:val="20"/>
              </w:rPr>
              <w:t>D1, D2</w:t>
            </w:r>
          </w:p>
        </w:tc>
      </w:tr>
      <w:tr w:rsidR="00821B82" w:rsidRPr="00D16531" w14:paraId="632F16E6" w14:textId="77777777" w:rsidTr="00282204">
        <w:trPr>
          <w:trHeight w:val="231"/>
          <w:jc w:val="center"/>
        </w:trPr>
        <w:tc>
          <w:tcPr>
            <w:tcW w:w="3195" w:type="dxa"/>
          </w:tcPr>
          <w:p w14:paraId="0F64ED8A" w14:textId="77777777" w:rsidR="00821B82" w:rsidRPr="00EA2635" w:rsidRDefault="00821B82" w:rsidP="00282204">
            <w:pPr>
              <w:rPr>
                <w:rFonts w:asciiTheme="minorBidi" w:hAnsiTheme="minorBidi"/>
                <w:sz w:val="20"/>
                <w:szCs w:val="20"/>
              </w:rPr>
            </w:pPr>
            <w:r w:rsidRPr="009F00B0">
              <w:rPr>
                <w:rFonts w:asciiTheme="minorBidi" w:hAnsiTheme="minorBidi"/>
                <w:sz w:val="20"/>
                <w:szCs w:val="20"/>
              </w:rPr>
              <w:t>Pharmacist</w:t>
            </w:r>
          </w:p>
        </w:tc>
        <w:tc>
          <w:tcPr>
            <w:tcW w:w="652" w:type="dxa"/>
          </w:tcPr>
          <w:p w14:paraId="2DF98CBE" w14:textId="77777777" w:rsidR="00821B82" w:rsidRPr="00EA2635" w:rsidRDefault="00821B82" w:rsidP="00282204">
            <w:pPr>
              <w:rPr>
                <w:rFonts w:asciiTheme="minorBidi" w:hAnsiTheme="minorBidi"/>
                <w:sz w:val="20"/>
                <w:szCs w:val="20"/>
              </w:rPr>
            </w:pPr>
            <w:r>
              <w:rPr>
                <w:rFonts w:asciiTheme="minorBidi" w:hAnsiTheme="minorBidi"/>
                <w:sz w:val="20"/>
                <w:szCs w:val="20"/>
              </w:rPr>
              <w:t>3</w:t>
            </w:r>
          </w:p>
        </w:tc>
        <w:tc>
          <w:tcPr>
            <w:tcW w:w="2445" w:type="dxa"/>
          </w:tcPr>
          <w:p w14:paraId="5999250C" w14:textId="77777777" w:rsidR="00821B82" w:rsidRPr="00EA2635" w:rsidRDefault="00821B82" w:rsidP="00282204">
            <w:pPr>
              <w:rPr>
                <w:rFonts w:asciiTheme="minorBidi" w:hAnsiTheme="minorBidi"/>
                <w:sz w:val="20"/>
                <w:szCs w:val="20"/>
              </w:rPr>
            </w:pPr>
            <w:r w:rsidRPr="00B76E7E">
              <w:rPr>
                <w:rFonts w:asciiTheme="minorBidi" w:hAnsiTheme="minorBidi"/>
                <w:sz w:val="20"/>
                <w:szCs w:val="20"/>
              </w:rPr>
              <w:t>Ph1, Ph2, Ph3</w:t>
            </w:r>
          </w:p>
        </w:tc>
      </w:tr>
      <w:tr w:rsidR="00821B82" w:rsidRPr="00D16531" w14:paraId="397866DC" w14:textId="77777777" w:rsidTr="00282204">
        <w:trPr>
          <w:trHeight w:val="352"/>
          <w:jc w:val="center"/>
        </w:trPr>
        <w:tc>
          <w:tcPr>
            <w:tcW w:w="3195" w:type="dxa"/>
          </w:tcPr>
          <w:p w14:paraId="208E51B8" w14:textId="77777777" w:rsidR="00821B82" w:rsidRPr="00EA2635" w:rsidRDefault="00821B82" w:rsidP="00282204">
            <w:pPr>
              <w:rPr>
                <w:rFonts w:asciiTheme="minorBidi" w:hAnsiTheme="minorBidi"/>
                <w:sz w:val="20"/>
                <w:szCs w:val="20"/>
              </w:rPr>
            </w:pPr>
            <w:r w:rsidRPr="009F00B0">
              <w:rPr>
                <w:rFonts w:asciiTheme="minorBidi" w:hAnsiTheme="minorBidi"/>
                <w:sz w:val="20"/>
                <w:szCs w:val="20"/>
              </w:rPr>
              <w:t>Nurse</w:t>
            </w:r>
          </w:p>
        </w:tc>
        <w:tc>
          <w:tcPr>
            <w:tcW w:w="652" w:type="dxa"/>
          </w:tcPr>
          <w:p w14:paraId="0EE1C35C" w14:textId="77777777" w:rsidR="00821B82" w:rsidRPr="00EA2635" w:rsidRDefault="00821B82" w:rsidP="00282204">
            <w:pPr>
              <w:rPr>
                <w:rFonts w:asciiTheme="minorBidi" w:hAnsiTheme="minorBidi"/>
                <w:sz w:val="20"/>
                <w:szCs w:val="20"/>
              </w:rPr>
            </w:pPr>
            <w:r>
              <w:rPr>
                <w:rFonts w:asciiTheme="minorBidi" w:hAnsiTheme="minorBidi"/>
                <w:sz w:val="20"/>
                <w:szCs w:val="20"/>
              </w:rPr>
              <w:t>4</w:t>
            </w:r>
          </w:p>
        </w:tc>
        <w:tc>
          <w:tcPr>
            <w:tcW w:w="2445" w:type="dxa"/>
          </w:tcPr>
          <w:p w14:paraId="061046CA" w14:textId="77777777" w:rsidR="00821B82" w:rsidRPr="00EA2635" w:rsidRDefault="00821B82" w:rsidP="00282204">
            <w:pPr>
              <w:rPr>
                <w:rFonts w:asciiTheme="minorBidi" w:hAnsiTheme="minorBidi"/>
                <w:sz w:val="20"/>
                <w:szCs w:val="20"/>
              </w:rPr>
            </w:pPr>
            <w:r w:rsidRPr="00B76E7E">
              <w:rPr>
                <w:rFonts w:asciiTheme="minorBidi" w:hAnsiTheme="minorBidi"/>
                <w:sz w:val="20"/>
                <w:szCs w:val="20"/>
              </w:rPr>
              <w:t>N1, N2, N3, N4</w:t>
            </w:r>
          </w:p>
        </w:tc>
      </w:tr>
      <w:tr w:rsidR="00821B82" w:rsidRPr="00D16531" w14:paraId="6682CC4E" w14:textId="77777777" w:rsidTr="00282204">
        <w:trPr>
          <w:trHeight w:val="231"/>
          <w:jc w:val="center"/>
        </w:trPr>
        <w:tc>
          <w:tcPr>
            <w:tcW w:w="3195" w:type="dxa"/>
          </w:tcPr>
          <w:p w14:paraId="5B0ED798" w14:textId="77777777" w:rsidR="00821B82" w:rsidRPr="00AB50BF" w:rsidRDefault="00821B82" w:rsidP="00282204">
            <w:pPr>
              <w:rPr>
                <w:rFonts w:asciiTheme="minorBidi" w:hAnsiTheme="minorBidi"/>
                <w:b/>
                <w:bCs/>
                <w:sz w:val="20"/>
                <w:szCs w:val="20"/>
              </w:rPr>
            </w:pPr>
            <w:r w:rsidRPr="00AB50BF">
              <w:rPr>
                <w:rFonts w:asciiTheme="minorBidi" w:hAnsiTheme="minorBidi"/>
                <w:b/>
                <w:bCs/>
                <w:sz w:val="20"/>
                <w:szCs w:val="20"/>
              </w:rPr>
              <w:t>Years of experience</w:t>
            </w:r>
          </w:p>
        </w:tc>
        <w:tc>
          <w:tcPr>
            <w:tcW w:w="652" w:type="dxa"/>
          </w:tcPr>
          <w:p w14:paraId="6371BB9B" w14:textId="77777777" w:rsidR="00821B82" w:rsidRPr="00AB50BF" w:rsidRDefault="00821B82" w:rsidP="00282204">
            <w:pPr>
              <w:rPr>
                <w:rFonts w:asciiTheme="minorBidi" w:hAnsiTheme="minorBidi"/>
                <w:sz w:val="20"/>
                <w:szCs w:val="20"/>
              </w:rPr>
            </w:pPr>
          </w:p>
        </w:tc>
        <w:tc>
          <w:tcPr>
            <w:tcW w:w="2445" w:type="dxa"/>
          </w:tcPr>
          <w:p w14:paraId="1D371DE6" w14:textId="77777777" w:rsidR="00821B82" w:rsidRPr="00AB50BF" w:rsidRDefault="00821B82" w:rsidP="00282204">
            <w:pPr>
              <w:rPr>
                <w:rFonts w:asciiTheme="minorBidi" w:hAnsiTheme="minorBidi"/>
                <w:sz w:val="20"/>
                <w:szCs w:val="20"/>
              </w:rPr>
            </w:pPr>
          </w:p>
        </w:tc>
      </w:tr>
      <w:tr w:rsidR="00821B82" w:rsidRPr="00D16531" w14:paraId="100914C9" w14:textId="77777777" w:rsidTr="00282204">
        <w:trPr>
          <w:trHeight w:val="261"/>
          <w:jc w:val="center"/>
        </w:trPr>
        <w:tc>
          <w:tcPr>
            <w:tcW w:w="3195" w:type="dxa"/>
          </w:tcPr>
          <w:p w14:paraId="42E4BEAD" w14:textId="77777777" w:rsidR="00821B82" w:rsidRPr="00156B2E" w:rsidRDefault="00821B82" w:rsidP="00282204">
            <w:pPr>
              <w:rPr>
                <w:rFonts w:asciiTheme="minorBidi" w:hAnsiTheme="minorBidi"/>
                <w:sz w:val="20"/>
                <w:szCs w:val="20"/>
              </w:rPr>
            </w:pPr>
            <w:r w:rsidRPr="009F00B0">
              <w:rPr>
                <w:rFonts w:asciiTheme="minorBidi" w:hAnsiTheme="minorBidi"/>
                <w:sz w:val="20"/>
                <w:szCs w:val="20"/>
              </w:rPr>
              <w:t>0-5</w:t>
            </w:r>
          </w:p>
        </w:tc>
        <w:tc>
          <w:tcPr>
            <w:tcW w:w="652" w:type="dxa"/>
          </w:tcPr>
          <w:p w14:paraId="5C73D3BB" w14:textId="77777777" w:rsidR="00821B82" w:rsidRPr="00156B2E" w:rsidRDefault="00821B82" w:rsidP="00282204">
            <w:pPr>
              <w:rPr>
                <w:rFonts w:asciiTheme="minorBidi" w:hAnsiTheme="minorBidi"/>
                <w:sz w:val="20"/>
                <w:szCs w:val="20"/>
              </w:rPr>
            </w:pPr>
            <w:r>
              <w:rPr>
                <w:rFonts w:asciiTheme="minorBidi" w:hAnsiTheme="minorBidi"/>
                <w:sz w:val="20"/>
                <w:szCs w:val="20"/>
              </w:rPr>
              <w:t>0</w:t>
            </w:r>
          </w:p>
        </w:tc>
        <w:tc>
          <w:tcPr>
            <w:tcW w:w="2445" w:type="dxa"/>
          </w:tcPr>
          <w:p w14:paraId="628E8173" w14:textId="77777777" w:rsidR="00821B82" w:rsidRPr="00156B2E" w:rsidRDefault="00821B82" w:rsidP="00282204">
            <w:pPr>
              <w:rPr>
                <w:rFonts w:asciiTheme="minorBidi" w:hAnsiTheme="minorBidi"/>
                <w:sz w:val="20"/>
                <w:szCs w:val="20"/>
              </w:rPr>
            </w:pPr>
          </w:p>
        </w:tc>
      </w:tr>
      <w:tr w:rsidR="00821B82" w:rsidRPr="00D16531" w14:paraId="127F93F5" w14:textId="77777777" w:rsidTr="00282204">
        <w:trPr>
          <w:trHeight w:val="261"/>
          <w:jc w:val="center"/>
        </w:trPr>
        <w:tc>
          <w:tcPr>
            <w:tcW w:w="3195" w:type="dxa"/>
          </w:tcPr>
          <w:p w14:paraId="476F2E19" w14:textId="77777777" w:rsidR="00821B82" w:rsidRPr="00EA2635" w:rsidRDefault="00821B82" w:rsidP="00282204">
            <w:pPr>
              <w:rPr>
                <w:rFonts w:asciiTheme="minorBidi" w:hAnsiTheme="minorBidi"/>
                <w:sz w:val="20"/>
                <w:szCs w:val="20"/>
              </w:rPr>
            </w:pPr>
            <w:r w:rsidRPr="009F00B0">
              <w:rPr>
                <w:rFonts w:asciiTheme="minorBidi" w:hAnsiTheme="minorBidi"/>
                <w:sz w:val="20"/>
                <w:szCs w:val="20"/>
              </w:rPr>
              <w:t>&gt;5-10</w:t>
            </w:r>
          </w:p>
        </w:tc>
        <w:tc>
          <w:tcPr>
            <w:tcW w:w="652" w:type="dxa"/>
          </w:tcPr>
          <w:p w14:paraId="0F484F13" w14:textId="77777777" w:rsidR="00821B82" w:rsidRPr="00EA2635" w:rsidRDefault="00821B82" w:rsidP="00282204">
            <w:pPr>
              <w:rPr>
                <w:rFonts w:asciiTheme="minorBidi" w:hAnsiTheme="minorBidi"/>
                <w:sz w:val="20"/>
                <w:szCs w:val="20"/>
              </w:rPr>
            </w:pPr>
            <w:r>
              <w:rPr>
                <w:rFonts w:asciiTheme="minorBidi" w:hAnsiTheme="minorBidi"/>
                <w:sz w:val="20"/>
                <w:szCs w:val="20"/>
              </w:rPr>
              <w:t>1</w:t>
            </w:r>
          </w:p>
        </w:tc>
        <w:tc>
          <w:tcPr>
            <w:tcW w:w="2445" w:type="dxa"/>
          </w:tcPr>
          <w:p w14:paraId="640E4525" w14:textId="77777777" w:rsidR="00821B82" w:rsidRPr="00EA2635" w:rsidRDefault="00821B82" w:rsidP="00282204">
            <w:pPr>
              <w:rPr>
                <w:rFonts w:asciiTheme="minorBidi" w:hAnsiTheme="minorBidi"/>
                <w:sz w:val="20"/>
                <w:szCs w:val="20"/>
              </w:rPr>
            </w:pPr>
          </w:p>
        </w:tc>
      </w:tr>
      <w:tr w:rsidR="00821B82" w:rsidRPr="00D16531" w14:paraId="70C7FD99" w14:textId="77777777" w:rsidTr="00282204">
        <w:trPr>
          <w:trHeight w:val="384"/>
          <w:jc w:val="center"/>
        </w:trPr>
        <w:tc>
          <w:tcPr>
            <w:tcW w:w="3195" w:type="dxa"/>
          </w:tcPr>
          <w:p w14:paraId="435BC69D" w14:textId="77777777" w:rsidR="00821B82" w:rsidRPr="00EA2635" w:rsidRDefault="00821B82" w:rsidP="00282204">
            <w:pPr>
              <w:rPr>
                <w:rFonts w:asciiTheme="minorBidi" w:hAnsiTheme="minorBidi"/>
                <w:sz w:val="20"/>
                <w:szCs w:val="20"/>
              </w:rPr>
            </w:pPr>
            <w:r w:rsidRPr="009F00B0">
              <w:rPr>
                <w:rFonts w:asciiTheme="minorBidi" w:hAnsiTheme="minorBidi"/>
                <w:sz w:val="20"/>
                <w:szCs w:val="20"/>
              </w:rPr>
              <w:t>&gt;10</w:t>
            </w:r>
          </w:p>
        </w:tc>
        <w:tc>
          <w:tcPr>
            <w:tcW w:w="652" w:type="dxa"/>
          </w:tcPr>
          <w:p w14:paraId="32DF601C" w14:textId="77777777" w:rsidR="00821B82" w:rsidRPr="00EA2635" w:rsidRDefault="00821B82" w:rsidP="00282204">
            <w:pPr>
              <w:rPr>
                <w:rFonts w:asciiTheme="minorBidi" w:hAnsiTheme="minorBidi"/>
                <w:sz w:val="20"/>
                <w:szCs w:val="20"/>
              </w:rPr>
            </w:pPr>
            <w:r>
              <w:rPr>
                <w:rFonts w:asciiTheme="minorBidi" w:hAnsiTheme="minorBidi"/>
                <w:sz w:val="20"/>
                <w:szCs w:val="20"/>
              </w:rPr>
              <w:t>8</w:t>
            </w:r>
          </w:p>
        </w:tc>
        <w:tc>
          <w:tcPr>
            <w:tcW w:w="2445" w:type="dxa"/>
          </w:tcPr>
          <w:p w14:paraId="3E76DB4D" w14:textId="77777777" w:rsidR="00821B82" w:rsidRPr="00EA2635" w:rsidRDefault="00821B82" w:rsidP="00282204">
            <w:pPr>
              <w:rPr>
                <w:rFonts w:asciiTheme="minorBidi" w:hAnsiTheme="minorBidi"/>
                <w:sz w:val="20"/>
                <w:szCs w:val="20"/>
              </w:rPr>
            </w:pPr>
          </w:p>
        </w:tc>
      </w:tr>
      <w:tr w:rsidR="00821B82" w:rsidRPr="00D16531" w14:paraId="7F49336C" w14:textId="77777777" w:rsidTr="00282204">
        <w:trPr>
          <w:trHeight w:val="280"/>
          <w:jc w:val="center"/>
        </w:trPr>
        <w:tc>
          <w:tcPr>
            <w:tcW w:w="3195" w:type="dxa"/>
          </w:tcPr>
          <w:p w14:paraId="4358D49D" w14:textId="77777777" w:rsidR="00821B82" w:rsidRPr="00AB50BF" w:rsidRDefault="00821B82" w:rsidP="00282204">
            <w:pPr>
              <w:rPr>
                <w:rFonts w:asciiTheme="minorBidi" w:hAnsiTheme="minorBidi"/>
                <w:b/>
                <w:bCs/>
                <w:sz w:val="20"/>
                <w:szCs w:val="20"/>
              </w:rPr>
            </w:pPr>
            <w:r w:rsidRPr="00AB50BF">
              <w:rPr>
                <w:rFonts w:asciiTheme="minorBidi" w:hAnsiTheme="minorBidi"/>
                <w:b/>
                <w:bCs/>
                <w:sz w:val="20"/>
                <w:szCs w:val="20"/>
              </w:rPr>
              <w:t>Workplace</w:t>
            </w:r>
          </w:p>
        </w:tc>
        <w:tc>
          <w:tcPr>
            <w:tcW w:w="652" w:type="dxa"/>
          </w:tcPr>
          <w:p w14:paraId="41E15298" w14:textId="77777777" w:rsidR="00821B82" w:rsidRPr="00156B2E" w:rsidRDefault="00821B82" w:rsidP="00282204">
            <w:pPr>
              <w:rPr>
                <w:rFonts w:asciiTheme="minorBidi" w:hAnsiTheme="minorBidi"/>
                <w:sz w:val="20"/>
                <w:szCs w:val="20"/>
              </w:rPr>
            </w:pPr>
          </w:p>
        </w:tc>
        <w:tc>
          <w:tcPr>
            <w:tcW w:w="2445" w:type="dxa"/>
          </w:tcPr>
          <w:p w14:paraId="7C2A5699" w14:textId="77777777" w:rsidR="00821B82" w:rsidRPr="00156B2E" w:rsidRDefault="00821B82" w:rsidP="00282204">
            <w:pPr>
              <w:rPr>
                <w:rFonts w:asciiTheme="minorBidi" w:hAnsiTheme="minorBidi"/>
                <w:sz w:val="20"/>
                <w:szCs w:val="20"/>
              </w:rPr>
            </w:pPr>
          </w:p>
        </w:tc>
      </w:tr>
      <w:tr w:rsidR="00821B82" w:rsidRPr="00EE0CE6" w14:paraId="46F77687" w14:textId="77777777" w:rsidTr="00282204">
        <w:trPr>
          <w:trHeight w:val="269"/>
          <w:jc w:val="center"/>
        </w:trPr>
        <w:tc>
          <w:tcPr>
            <w:tcW w:w="3195" w:type="dxa"/>
          </w:tcPr>
          <w:p w14:paraId="3646C293" w14:textId="77777777" w:rsidR="00821B82" w:rsidRPr="00156B2E" w:rsidRDefault="00821B82" w:rsidP="00282204">
            <w:pPr>
              <w:rPr>
                <w:rFonts w:asciiTheme="minorBidi" w:hAnsiTheme="minorBidi"/>
                <w:sz w:val="20"/>
                <w:szCs w:val="20"/>
              </w:rPr>
            </w:pPr>
            <w:r w:rsidRPr="009F00B0">
              <w:rPr>
                <w:rFonts w:asciiTheme="minorBidi" w:hAnsiTheme="minorBidi"/>
                <w:sz w:val="20"/>
                <w:szCs w:val="20"/>
              </w:rPr>
              <w:t>Qatif</w:t>
            </w:r>
          </w:p>
        </w:tc>
        <w:tc>
          <w:tcPr>
            <w:tcW w:w="652" w:type="dxa"/>
          </w:tcPr>
          <w:p w14:paraId="53A3637C" w14:textId="77777777" w:rsidR="00821B82" w:rsidRPr="00156B2E" w:rsidRDefault="00821B82" w:rsidP="00282204">
            <w:pPr>
              <w:rPr>
                <w:rFonts w:asciiTheme="minorBidi" w:hAnsiTheme="minorBidi"/>
                <w:sz w:val="20"/>
                <w:szCs w:val="20"/>
              </w:rPr>
            </w:pPr>
            <w:r>
              <w:rPr>
                <w:rFonts w:asciiTheme="minorBidi" w:hAnsiTheme="minorBidi"/>
                <w:sz w:val="20"/>
                <w:szCs w:val="20"/>
              </w:rPr>
              <w:t>8</w:t>
            </w:r>
          </w:p>
        </w:tc>
        <w:tc>
          <w:tcPr>
            <w:tcW w:w="2445" w:type="dxa"/>
          </w:tcPr>
          <w:p w14:paraId="3E2C5CF8" w14:textId="77777777" w:rsidR="00821B82" w:rsidRPr="00156B2E" w:rsidRDefault="00821B82" w:rsidP="00282204">
            <w:pPr>
              <w:rPr>
                <w:rFonts w:asciiTheme="minorBidi" w:hAnsiTheme="minorBidi"/>
                <w:sz w:val="20"/>
                <w:szCs w:val="20"/>
              </w:rPr>
            </w:pPr>
          </w:p>
        </w:tc>
      </w:tr>
      <w:tr w:rsidR="00821B82" w:rsidRPr="00EA2635" w14:paraId="4309E24A" w14:textId="77777777" w:rsidTr="00282204">
        <w:trPr>
          <w:trHeight w:val="442"/>
          <w:jc w:val="center"/>
        </w:trPr>
        <w:tc>
          <w:tcPr>
            <w:tcW w:w="3195" w:type="dxa"/>
          </w:tcPr>
          <w:p w14:paraId="1E8AEA1E" w14:textId="77777777" w:rsidR="00821B82" w:rsidRPr="00EA2635" w:rsidRDefault="00821B82" w:rsidP="00282204">
            <w:pPr>
              <w:rPr>
                <w:rFonts w:asciiTheme="minorBidi" w:hAnsiTheme="minorBidi"/>
                <w:sz w:val="20"/>
                <w:szCs w:val="20"/>
              </w:rPr>
            </w:pPr>
            <w:r w:rsidRPr="009F00B0">
              <w:rPr>
                <w:rFonts w:asciiTheme="minorBidi" w:hAnsiTheme="minorBidi"/>
                <w:sz w:val="20"/>
                <w:szCs w:val="20"/>
              </w:rPr>
              <w:t>Safwa</w:t>
            </w:r>
          </w:p>
        </w:tc>
        <w:tc>
          <w:tcPr>
            <w:tcW w:w="652" w:type="dxa"/>
          </w:tcPr>
          <w:p w14:paraId="524448E7" w14:textId="77777777" w:rsidR="00821B82" w:rsidRPr="00EA2635" w:rsidRDefault="00821B82" w:rsidP="00282204">
            <w:pPr>
              <w:rPr>
                <w:rFonts w:asciiTheme="minorBidi" w:hAnsiTheme="minorBidi"/>
                <w:sz w:val="20"/>
                <w:szCs w:val="20"/>
              </w:rPr>
            </w:pPr>
            <w:r>
              <w:rPr>
                <w:rFonts w:asciiTheme="minorBidi" w:hAnsiTheme="minorBidi"/>
                <w:sz w:val="20"/>
                <w:szCs w:val="20"/>
              </w:rPr>
              <w:t>1</w:t>
            </w:r>
          </w:p>
        </w:tc>
        <w:tc>
          <w:tcPr>
            <w:tcW w:w="2445" w:type="dxa"/>
          </w:tcPr>
          <w:p w14:paraId="20ADB51D" w14:textId="77777777" w:rsidR="00821B82" w:rsidRPr="00EA2635" w:rsidRDefault="00821B82" w:rsidP="00282204">
            <w:pPr>
              <w:rPr>
                <w:rFonts w:asciiTheme="minorBidi" w:hAnsiTheme="minorBidi"/>
                <w:sz w:val="20"/>
                <w:szCs w:val="20"/>
              </w:rPr>
            </w:pPr>
          </w:p>
        </w:tc>
      </w:tr>
      <w:tr w:rsidR="00821B82" w:rsidRPr="00D16531" w14:paraId="1122AFD1" w14:textId="77777777" w:rsidTr="00282204">
        <w:trPr>
          <w:trHeight w:val="294"/>
          <w:jc w:val="center"/>
        </w:trPr>
        <w:tc>
          <w:tcPr>
            <w:tcW w:w="3195" w:type="dxa"/>
            <w:tcBorders>
              <w:bottom w:val="single" w:sz="4" w:space="0" w:color="auto"/>
            </w:tcBorders>
          </w:tcPr>
          <w:p w14:paraId="6D3B1908" w14:textId="77777777" w:rsidR="00821B82" w:rsidRPr="00156B2E" w:rsidRDefault="00821B82" w:rsidP="00282204">
            <w:pPr>
              <w:rPr>
                <w:rFonts w:asciiTheme="minorBidi" w:hAnsiTheme="minorBidi"/>
                <w:sz w:val="20"/>
                <w:szCs w:val="20"/>
              </w:rPr>
            </w:pPr>
            <w:r w:rsidRPr="00156B2E">
              <w:rPr>
                <w:rFonts w:asciiTheme="minorBidi" w:hAnsiTheme="minorBidi"/>
                <w:sz w:val="20"/>
                <w:szCs w:val="20"/>
              </w:rPr>
              <w:t>An average interview duration (mins)</w:t>
            </w:r>
          </w:p>
        </w:tc>
        <w:tc>
          <w:tcPr>
            <w:tcW w:w="652" w:type="dxa"/>
            <w:tcBorders>
              <w:bottom w:val="single" w:sz="4" w:space="0" w:color="auto"/>
            </w:tcBorders>
          </w:tcPr>
          <w:p w14:paraId="0F3C342E" w14:textId="77777777" w:rsidR="00821B82" w:rsidRPr="00156B2E" w:rsidRDefault="00821B82" w:rsidP="00282204">
            <w:pPr>
              <w:rPr>
                <w:rFonts w:asciiTheme="minorBidi" w:hAnsiTheme="minorBidi"/>
                <w:sz w:val="20"/>
                <w:szCs w:val="20"/>
              </w:rPr>
            </w:pPr>
            <w:r w:rsidRPr="00156B2E">
              <w:rPr>
                <w:rFonts w:asciiTheme="minorBidi" w:hAnsiTheme="minorBidi"/>
                <w:sz w:val="20"/>
                <w:szCs w:val="20"/>
              </w:rPr>
              <w:t>38</w:t>
            </w:r>
          </w:p>
        </w:tc>
        <w:tc>
          <w:tcPr>
            <w:tcW w:w="2445" w:type="dxa"/>
            <w:tcBorders>
              <w:bottom w:val="single" w:sz="4" w:space="0" w:color="auto"/>
            </w:tcBorders>
          </w:tcPr>
          <w:p w14:paraId="13AA8E53" w14:textId="77777777" w:rsidR="00821B82" w:rsidRPr="00156B2E" w:rsidRDefault="00821B82" w:rsidP="00282204">
            <w:pPr>
              <w:rPr>
                <w:rFonts w:asciiTheme="minorBidi" w:hAnsiTheme="minorBidi"/>
                <w:sz w:val="20"/>
                <w:szCs w:val="20"/>
              </w:rPr>
            </w:pPr>
          </w:p>
        </w:tc>
      </w:tr>
    </w:tbl>
    <w:p w14:paraId="7ABF9819" w14:textId="77777777" w:rsidR="00821B82" w:rsidRPr="009E3A56" w:rsidRDefault="00821B82" w:rsidP="00821B82">
      <w:pPr>
        <w:spacing w:line="480" w:lineRule="auto"/>
        <w:rPr>
          <w:rFonts w:asciiTheme="minorBidi" w:hAnsiTheme="minorBidi"/>
          <w:sz w:val="24"/>
          <w:szCs w:val="24"/>
        </w:rPr>
      </w:pPr>
    </w:p>
    <w:p w14:paraId="233AF99C" w14:textId="77777777" w:rsidR="00821B82" w:rsidRPr="009E3A56" w:rsidRDefault="00821B82" w:rsidP="00821B82">
      <w:pPr>
        <w:spacing w:line="360" w:lineRule="auto"/>
        <w:rPr>
          <w:rFonts w:asciiTheme="minorBidi" w:hAnsiTheme="minorBidi"/>
          <w:sz w:val="24"/>
          <w:szCs w:val="24"/>
        </w:rPr>
      </w:pPr>
    </w:p>
    <w:p w14:paraId="28869955" w14:textId="77777777" w:rsidR="00821B82" w:rsidRPr="00DC2D60" w:rsidRDefault="00821B82" w:rsidP="00821B82">
      <w:pPr>
        <w:rPr>
          <w:rFonts w:asciiTheme="minorBidi" w:hAnsiTheme="minorBidi"/>
          <w:sz w:val="24"/>
          <w:szCs w:val="24"/>
        </w:rPr>
      </w:pPr>
    </w:p>
    <w:p w14:paraId="4EB52C8B" w14:textId="77777777" w:rsidR="00821B82" w:rsidRPr="00786966" w:rsidRDefault="00821B82" w:rsidP="00821B82">
      <w:pPr>
        <w:pStyle w:val="Heading3"/>
        <w:numPr>
          <w:ilvl w:val="2"/>
          <w:numId w:val="14"/>
        </w:numPr>
        <w:spacing w:line="257" w:lineRule="auto"/>
        <w:ind w:left="0" w:firstLine="0"/>
      </w:pPr>
      <w:r>
        <w:t xml:space="preserve"> </w:t>
      </w:r>
      <w:bookmarkStart w:id="248" w:name="_Toc122626439"/>
      <w:bookmarkStart w:id="249" w:name="_Toc153894202"/>
      <w:r>
        <w:t>Thematic groups</w:t>
      </w:r>
      <w:bookmarkEnd w:id="248"/>
      <w:bookmarkEnd w:id="249"/>
    </w:p>
    <w:p w14:paraId="177AA219" w14:textId="04CD4A1A" w:rsidR="00821B82" w:rsidRDefault="00821B82" w:rsidP="00821B82">
      <w:pPr>
        <w:spacing w:line="360" w:lineRule="auto"/>
        <w:jc w:val="both"/>
        <w:rPr>
          <w:rFonts w:asciiTheme="minorBidi" w:hAnsiTheme="minorBidi"/>
          <w:sz w:val="24"/>
          <w:szCs w:val="24"/>
        </w:rPr>
      </w:pPr>
      <w:r>
        <w:rPr>
          <w:rFonts w:asciiTheme="minorBidi" w:hAnsiTheme="minorBidi"/>
          <w:sz w:val="24"/>
          <w:szCs w:val="24"/>
        </w:rPr>
        <w:t>Four</w:t>
      </w:r>
      <w:r w:rsidRPr="009E3A56">
        <w:rPr>
          <w:rFonts w:asciiTheme="minorBidi" w:hAnsiTheme="minorBidi"/>
          <w:sz w:val="24"/>
          <w:szCs w:val="24"/>
        </w:rPr>
        <w:t xml:space="preserve"> key themes </w:t>
      </w:r>
      <w:r>
        <w:rPr>
          <w:rFonts w:asciiTheme="minorBidi" w:hAnsiTheme="minorBidi"/>
          <w:sz w:val="24"/>
          <w:szCs w:val="24"/>
        </w:rPr>
        <w:t>were constructed from the interviews (</w:t>
      </w:r>
      <w:r w:rsidRPr="00E6025A">
        <w:rPr>
          <w:rFonts w:asciiTheme="minorBidi" w:hAnsiTheme="minorBidi"/>
          <w:color w:val="1F3864" w:themeColor="accent1" w:themeShade="80"/>
          <w:sz w:val="24"/>
          <w:szCs w:val="24"/>
        </w:rPr>
        <w:fldChar w:fldCharType="begin"/>
      </w:r>
      <w:r w:rsidRPr="00E6025A">
        <w:rPr>
          <w:rFonts w:asciiTheme="minorBidi" w:hAnsiTheme="minorBidi"/>
          <w:color w:val="1F3864" w:themeColor="accent1" w:themeShade="80"/>
          <w:sz w:val="24"/>
          <w:szCs w:val="24"/>
        </w:rPr>
        <w:instrText xml:space="preserve"> REF _Ref122828312 \h  \* MERGEFORMAT </w:instrText>
      </w:r>
      <w:r w:rsidRPr="00E6025A">
        <w:rPr>
          <w:rFonts w:asciiTheme="minorBidi" w:hAnsiTheme="minorBidi"/>
          <w:color w:val="1F3864" w:themeColor="accent1" w:themeShade="80"/>
          <w:sz w:val="24"/>
          <w:szCs w:val="24"/>
        </w:rPr>
      </w:r>
      <w:r w:rsidRPr="00E6025A">
        <w:rPr>
          <w:rFonts w:asciiTheme="minorBidi" w:hAnsiTheme="minorBidi"/>
          <w:color w:val="1F3864" w:themeColor="accent1" w:themeShade="80"/>
          <w:sz w:val="24"/>
          <w:szCs w:val="24"/>
        </w:rPr>
        <w:fldChar w:fldCharType="separate"/>
      </w:r>
      <w:r w:rsidR="00B734DA" w:rsidRPr="00B734DA">
        <w:rPr>
          <w:rFonts w:asciiTheme="minorBidi" w:hAnsiTheme="minorBidi"/>
          <w:color w:val="1F3864" w:themeColor="accent1" w:themeShade="80"/>
          <w:sz w:val="24"/>
          <w:szCs w:val="24"/>
        </w:rPr>
        <w:t>Table 27</w:t>
      </w:r>
      <w:r w:rsidRPr="00E6025A">
        <w:rPr>
          <w:rFonts w:asciiTheme="minorBidi" w:hAnsiTheme="minorBidi"/>
          <w:color w:val="1F3864" w:themeColor="accent1" w:themeShade="80"/>
          <w:sz w:val="24"/>
          <w:szCs w:val="24"/>
        </w:rPr>
        <w:fldChar w:fldCharType="end"/>
      </w:r>
      <w:r w:rsidRPr="00E6025A">
        <w:rPr>
          <w:rFonts w:asciiTheme="minorBidi" w:hAnsiTheme="minorBidi"/>
          <w:sz w:val="24"/>
          <w:szCs w:val="24"/>
        </w:rPr>
        <w:t>)</w:t>
      </w:r>
      <w:r w:rsidRPr="009E3A56">
        <w:rPr>
          <w:rFonts w:asciiTheme="minorBidi" w:hAnsiTheme="minorBidi"/>
          <w:sz w:val="24"/>
          <w:szCs w:val="24"/>
        </w:rPr>
        <w:t xml:space="preserve"> relating to the involvement of pharmacists in primary care management of patients with diabetes</w:t>
      </w:r>
      <w:r>
        <w:rPr>
          <w:rFonts w:asciiTheme="minorBidi" w:hAnsiTheme="minorBidi"/>
          <w:sz w:val="24"/>
          <w:szCs w:val="24"/>
        </w:rPr>
        <w:t>,</w:t>
      </w:r>
      <w:r w:rsidRPr="009E3A56">
        <w:rPr>
          <w:rFonts w:asciiTheme="minorBidi" w:hAnsiTheme="minorBidi"/>
          <w:sz w:val="24"/>
          <w:szCs w:val="24"/>
        </w:rPr>
        <w:t xml:space="preserve"> </w:t>
      </w:r>
      <w:r>
        <w:rPr>
          <w:rFonts w:asciiTheme="minorBidi" w:hAnsiTheme="minorBidi"/>
          <w:sz w:val="24"/>
          <w:szCs w:val="24"/>
        </w:rPr>
        <w:t>f</w:t>
      </w:r>
      <w:r w:rsidRPr="009E3A56">
        <w:rPr>
          <w:rFonts w:asciiTheme="minorBidi" w:hAnsiTheme="minorBidi"/>
          <w:sz w:val="24"/>
          <w:szCs w:val="24"/>
        </w:rPr>
        <w:t>ollowed by a set of sub-themes</w:t>
      </w:r>
      <w:r w:rsidRPr="003E0898">
        <w:rPr>
          <w:rFonts w:asciiTheme="minorBidi" w:hAnsiTheme="minorBidi"/>
          <w:sz w:val="24"/>
          <w:szCs w:val="24"/>
        </w:rPr>
        <w:t xml:space="preserve">. </w:t>
      </w:r>
      <w:r w:rsidRPr="00A6019F">
        <w:rPr>
          <w:rFonts w:asciiTheme="minorBidi" w:hAnsiTheme="minorBidi"/>
          <w:sz w:val="24"/>
          <w:szCs w:val="24"/>
        </w:rPr>
        <w:t xml:space="preserve">In the first theme, participants describe the pharmacy practice in primary care settings in </w:t>
      </w:r>
      <w:r>
        <w:rPr>
          <w:rFonts w:asciiTheme="minorBidi" w:hAnsiTheme="minorBidi"/>
          <w:sz w:val="24"/>
          <w:szCs w:val="24"/>
        </w:rPr>
        <w:t>SA</w:t>
      </w:r>
      <w:r w:rsidRPr="00A6019F">
        <w:rPr>
          <w:rFonts w:asciiTheme="minorBidi" w:hAnsiTheme="minorBidi"/>
          <w:sz w:val="24"/>
          <w:szCs w:val="24"/>
        </w:rPr>
        <w:t xml:space="preserve"> and the role of primary care pharmacists in caring for patients in general and diabetics in particular. Then the participants talked about the </w:t>
      </w:r>
      <w:r>
        <w:rPr>
          <w:rFonts w:asciiTheme="minorBidi" w:hAnsiTheme="minorBidi"/>
          <w:sz w:val="24"/>
          <w:szCs w:val="24"/>
        </w:rPr>
        <w:t xml:space="preserve">impact of integrating pharmacists into PHCs, followed by talking about the perceived impacts of pharmacists involvement in diabetes primary care management. Finally, </w:t>
      </w:r>
      <w:r w:rsidRPr="00A6019F">
        <w:rPr>
          <w:rFonts w:asciiTheme="minorBidi" w:hAnsiTheme="minorBidi"/>
          <w:sz w:val="24"/>
          <w:szCs w:val="24"/>
        </w:rPr>
        <w:t xml:space="preserve">concerns were raised about the closing of pharmacies from </w:t>
      </w:r>
      <w:r>
        <w:rPr>
          <w:rFonts w:asciiTheme="minorBidi" w:hAnsiTheme="minorBidi"/>
          <w:sz w:val="24"/>
          <w:szCs w:val="24"/>
        </w:rPr>
        <w:t>PHCs</w:t>
      </w:r>
      <w:r w:rsidRPr="00A6019F">
        <w:rPr>
          <w:rFonts w:asciiTheme="minorBidi" w:hAnsiTheme="minorBidi"/>
          <w:sz w:val="24"/>
          <w:szCs w:val="24"/>
        </w:rPr>
        <w:t xml:space="preserve"> and the diversion of the medication supply service to the retail community pharmacy.</w:t>
      </w:r>
      <w:r>
        <w:rPr>
          <w:rFonts w:asciiTheme="minorBidi" w:hAnsiTheme="minorBidi"/>
          <w:sz w:val="24"/>
          <w:szCs w:val="24"/>
        </w:rPr>
        <w:t xml:space="preserve"> The main concern was lack of communication between PHCs and community pharmacies. </w:t>
      </w:r>
    </w:p>
    <w:p w14:paraId="56A94524" w14:textId="77777777" w:rsidR="00821B82" w:rsidRDefault="00821B82" w:rsidP="00821B82">
      <w:pPr>
        <w:spacing w:line="360" w:lineRule="auto"/>
        <w:jc w:val="both"/>
        <w:rPr>
          <w:rFonts w:asciiTheme="minorBidi" w:hAnsiTheme="minorBidi"/>
          <w:sz w:val="24"/>
          <w:szCs w:val="24"/>
        </w:rPr>
      </w:pPr>
      <w:r w:rsidRPr="003E0898">
        <w:rPr>
          <w:rFonts w:asciiTheme="minorBidi" w:hAnsiTheme="minorBidi"/>
          <w:sz w:val="24"/>
          <w:szCs w:val="24"/>
        </w:rPr>
        <w:t xml:space="preserve">The </w:t>
      </w:r>
      <w:r>
        <w:rPr>
          <w:rFonts w:asciiTheme="minorBidi" w:hAnsiTheme="minorBidi"/>
          <w:sz w:val="24"/>
          <w:szCs w:val="24"/>
        </w:rPr>
        <w:t>second</w:t>
      </w:r>
      <w:r w:rsidRPr="003E0898">
        <w:rPr>
          <w:rFonts w:asciiTheme="minorBidi" w:hAnsiTheme="minorBidi"/>
          <w:sz w:val="24"/>
          <w:szCs w:val="24"/>
        </w:rPr>
        <w:t xml:space="preserve"> theme presents primary </w:t>
      </w:r>
      <w:r>
        <w:rPr>
          <w:rFonts w:asciiTheme="minorBidi" w:hAnsiTheme="minorBidi"/>
          <w:sz w:val="24"/>
          <w:szCs w:val="24"/>
        </w:rPr>
        <w:t>HCPs</w:t>
      </w:r>
      <w:r w:rsidRPr="003E0898">
        <w:rPr>
          <w:rFonts w:asciiTheme="minorBidi" w:hAnsiTheme="minorBidi"/>
          <w:sz w:val="24"/>
          <w:szCs w:val="24"/>
        </w:rPr>
        <w:t>' attitudes, perceptions, and expectations of pharmacists</w:t>
      </w:r>
      <w:r>
        <w:rPr>
          <w:rFonts w:asciiTheme="minorBidi" w:hAnsiTheme="minorBidi"/>
          <w:sz w:val="24"/>
          <w:szCs w:val="24"/>
        </w:rPr>
        <w:t xml:space="preserve"> </w:t>
      </w:r>
      <w:r w:rsidRPr="008A7366">
        <w:rPr>
          <w:rFonts w:asciiTheme="minorBidi" w:hAnsiTheme="minorBidi"/>
          <w:sz w:val="24"/>
          <w:szCs w:val="24"/>
        </w:rPr>
        <w:t>and how culture influences their attitudes toward the pharmacist's role</w:t>
      </w:r>
      <w:r w:rsidRPr="003E0898">
        <w:rPr>
          <w:rFonts w:asciiTheme="minorBidi" w:hAnsiTheme="minorBidi"/>
          <w:sz w:val="24"/>
          <w:szCs w:val="24"/>
        </w:rPr>
        <w:t>.</w:t>
      </w:r>
      <w:r>
        <w:rPr>
          <w:rFonts w:asciiTheme="minorBidi" w:hAnsiTheme="minorBidi"/>
          <w:sz w:val="24"/>
          <w:szCs w:val="24"/>
        </w:rPr>
        <w:t xml:space="preserve"> </w:t>
      </w:r>
      <w:r w:rsidRPr="003C4B45">
        <w:rPr>
          <w:rFonts w:asciiTheme="minorBidi" w:hAnsiTheme="minorBidi"/>
          <w:sz w:val="24"/>
          <w:szCs w:val="24"/>
        </w:rPr>
        <w:t xml:space="preserve">All participants agreed that pharmacists have a critical role in patient care, especially </w:t>
      </w:r>
      <w:r>
        <w:rPr>
          <w:rFonts w:asciiTheme="minorBidi" w:hAnsiTheme="minorBidi"/>
          <w:sz w:val="24"/>
          <w:szCs w:val="24"/>
        </w:rPr>
        <w:t xml:space="preserve">in chronic care including </w:t>
      </w:r>
      <w:r w:rsidRPr="003C4B45">
        <w:rPr>
          <w:rFonts w:asciiTheme="minorBidi" w:hAnsiTheme="minorBidi"/>
          <w:sz w:val="24"/>
          <w:szCs w:val="24"/>
        </w:rPr>
        <w:t>diabetes care.</w:t>
      </w:r>
      <w:r>
        <w:rPr>
          <w:rFonts w:asciiTheme="minorBidi" w:hAnsiTheme="minorBidi"/>
          <w:sz w:val="24"/>
          <w:szCs w:val="24"/>
        </w:rPr>
        <w:t xml:space="preserve"> However, v</w:t>
      </w:r>
      <w:r w:rsidRPr="006C14E8">
        <w:rPr>
          <w:rFonts w:asciiTheme="minorBidi" w:hAnsiTheme="minorBidi"/>
          <w:sz w:val="24"/>
          <w:szCs w:val="24"/>
        </w:rPr>
        <w:t>arious views were expressed regarding pharmacists' different roles in managing diabetes.</w:t>
      </w:r>
      <w:r>
        <w:rPr>
          <w:rFonts w:asciiTheme="minorBidi" w:hAnsiTheme="minorBidi"/>
          <w:sz w:val="24"/>
          <w:szCs w:val="24"/>
        </w:rPr>
        <w:t xml:space="preserve"> </w:t>
      </w:r>
      <w:r w:rsidRPr="00E601BE">
        <w:rPr>
          <w:rFonts w:asciiTheme="minorBidi" w:hAnsiTheme="minorBidi"/>
          <w:sz w:val="24"/>
          <w:szCs w:val="24"/>
        </w:rPr>
        <w:t xml:space="preserve">A number of participants see the importance of the pharmacist's role in preparing and dispensing prescriptions to patients as well as educating them about their medications. Some see pharmacists as experts in medications; they can be dependent or independent prescribers, managing common illnesses and providing a medication therapy management service for chronic disease patients. </w:t>
      </w:r>
    </w:p>
    <w:p w14:paraId="36CE486D" w14:textId="77777777" w:rsidR="00821B82" w:rsidRDefault="00821B82" w:rsidP="00821B82">
      <w:pPr>
        <w:spacing w:line="360" w:lineRule="auto"/>
        <w:jc w:val="both"/>
        <w:rPr>
          <w:rFonts w:asciiTheme="minorBidi" w:hAnsiTheme="minorBidi"/>
          <w:sz w:val="24"/>
          <w:szCs w:val="24"/>
        </w:rPr>
      </w:pPr>
      <w:r w:rsidRPr="003E0898">
        <w:rPr>
          <w:rFonts w:asciiTheme="minorBidi" w:hAnsiTheme="minorBidi"/>
          <w:sz w:val="24"/>
          <w:szCs w:val="24"/>
        </w:rPr>
        <w:t xml:space="preserve">In the </w:t>
      </w:r>
      <w:r>
        <w:rPr>
          <w:rFonts w:asciiTheme="minorBidi" w:hAnsiTheme="minorBidi"/>
          <w:sz w:val="24"/>
          <w:szCs w:val="24"/>
        </w:rPr>
        <w:t>third</w:t>
      </w:r>
      <w:r w:rsidRPr="003E0898">
        <w:rPr>
          <w:rFonts w:asciiTheme="minorBidi" w:hAnsiTheme="minorBidi"/>
          <w:sz w:val="24"/>
          <w:szCs w:val="24"/>
        </w:rPr>
        <w:t xml:space="preserve"> theme, participants explain the challenges of engaging pharmacists in diabetes </w:t>
      </w:r>
      <w:r>
        <w:rPr>
          <w:rFonts w:asciiTheme="minorBidi" w:hAnsiTheme="minorBidi"/>
          <w:sz w:val="24"/>
          <w:szCs w:val="24"/>
        </w:rPr>
        <w:t xml:space="preserve">primary care </w:t>
      </w:r>
      <w:r w:rsidRPr="003E0898">
        <w:rPr>
          <w:rFonts w:asciiTheme="minorBidi" w:hAnsiTheme="minorBidi"/>
          <w:sz w:val="24"/>
          <w:szCs w:val="24"/>
        </w:rPr>
        <w:t>management with the current transformation of the health care system</w:t>
      </w:r>
      <w:r>
        <w:rPr>
          <w:rFonts w:asciiTheme="minorBidi" w:hAnsiTheme="minorBidi"/>
          <w:sz w:val="24"/>
          <w:szCs w:val="24"/>
        </w:rPr>
        <w:t xml:space="preserve"> </w:t>
      </w:r>
      <w:r w:rsidRPr="00DF4D6E">
        <w:rPr>
          <w:rFonts w:asciiTheme="minorBidi" w:hAnsiTheme="minorBidi"/>
          <w:sz w:val="24"/>
          <w:szCs w:val="24"/>
        </w:rPr>
        <w:t xml:space="preserve">where pharmacists were moved from </w:t>
      </w:r>
      <w:r>
        <w:rPr>
          <w:rFonts w:asciiTheme="minorBidi" w:hAnsiTheme="minorBidi"/>
          <w:sz w:val="24"/>
          <w:szCs w:val="24"/>
        </w:rPr>
        <w:t>PHCs</w:t>
      </w:r>
      <w:r w:rsidRPr="00DF4D6E">
        <w:rPr>
          <w:rFonts w:asciiTheme="minorBidi" w:hAnsiTheme="minorBidi"/>
          <w:sz w:val="24"/>
          <w:szCs w:val="24"/>
        </w:rPr>
        <w:t xml:space="preserve"> to other settings such as hospitals</w:t>
      </w:r>
      <w:r w:rsidRPr="003E0898">
        <w:rPr>
          <w:rFonts w:asciiTheme="minorBidi" w:hAnsiTheme="minorBidi"/>
          <w:sz w:val="24"/>
          <w:szCs w:val="24"/>
        </w:rPr>
        <w:t xml:space="preserve">. </w:t>
      </w:r>
      <w:r w:rsidRPr="00693707">
        <w:rPr>
          <w:rFonts w:asciiTheme="minorBidi" w:hAnsiTheme="minorBidi"/>
          <w:sz w:val="24"/>
          <w:szCs w:val="24"/>
        </w:rPr>
        <w:t>Several challenges were identified and categorised into two main groups</w:t>
      </w:r>
      <w:r>
        <w:rPr>
          <w:rFonts w:asciiTheme="minorBidi" w:hAnsiTheme="minorBidi"/>
          <w:sz w:val="24"/>
          <w:szCs w:val="24"/>
        </w:rPr>
        <w:t>:</w:t>
      </w:r>
      <w:r w:rsidRPr="00693707">
        <w:rPr>
          <w:rFonts w:asciiTheme="minorBidi" w:hAnsiTheme="minorBidi"/>
          <w:sz w:val="24"/>
          <w:szCs w:val="24"/>
        </w:rPr>
        <w:t xml:space="preserve"> </w:t>
      </w:r>
      <w:r>
        <w:rPr>
          <w:rFonts w:asciiTheme="minorBidi" w:hAnsiTheme="minorBidi"/>
          <w:sz w:val="24"/>
          <w:szCs w:val="24"/>
        </w:rPr>
        <w:t>i</w:t>
      </w:r>
      <w:r w:rsidRPr="00693707">
        <w:rPr>
          <w:rFonts w:asciiTheme="minorBidi" w:hAnsiTheme="minorBidi"/>
          <w:sz w:val="24"/>
          <w:szCs w:val="24"/>
        </w:rPr>
        <w:t xml:space="preserve">ssues related to the healthcare system and issues related to </w:t>
      </w:r>
      <w:r>
        <w:rPr>
          <w:rFonts w:asciiTheme="minorBidi" w:hAnsiTheme="minorBidi"/>
          <w:sz w:val="24"/>
          <w:szCs w:val="24"/>
        </w:rPr>
        <w:t xml:space="preserve">HCPs. </w:t>
      </w:r>
    </w:p>
    <w:p w14:paraId="22BD48FA" w14:textId="77777777" w:rsidR="00821B82" w:rsidRDefault="00821B82" w:rsidP="00821B82">
      <w:pPr>
        <w:spacing w:line="360" w:lineRule="auto"/>
        <w:jc w:val="both"/>
        <w:rPr>
          <w:rFonts w:asciiTheme="minorBidi" w:hAnsiTheme="minorBidi"/>
          <w:sz w:val="24"/>
          <w:szCs w:val="24"/>
        </w:rPr>
      </w:pPr>
      <w:r w:rsidRPr="003E0898">
        <w:rPr>
          <w:rFonts w:asciiTheme="minorBidi" w:hAnsiTheme="minorBidi"/>
          <w:sz w:val="24"/>
          <w:szCs w:val="24"/>
        </w:rPr>
        <w:t xml:space="preserve">The </w:t>
      </w:r>
      <w:r>
        <w:rPr>
          <w:rFonts w:asciiTheme="minorBidi" w:hAnsiTheme="minorBidi"/>
          <w:sz w:val="24"/>
          <w:szCs w:val="24"/>
        </w:rPr>
        <w:t>fourth</w:t>
      </w:r>
      <w:r w:rsidRPr="003E0898">
        <w:rPr>
          <w:rFonts w:asciiTheme="minorBidi" w:hAnsiTheme="minorBidi"/>
          <w:sz w:val="24"/>
          <w:szCs w:val="24"/>
        </w:rPr>
        <w:t xml:space="preserve"> theme shows the facilitators of </w:t>
      </w:r>
      <w:r>
        <w:rPr>
          <w:rFonts w:asciiTheme="minorBidi" w:hAnsiTheme="minorBidi"/>
          <w:sz w:val="24"/>
          <w:szCs w:val="24"/>
        </w:rPr>
        <w:t xml:space="preserve">pharmacists involvement in diabetes management </w:t>
      </w:r>
      <w:r w:rsidRPr="00125670">
        <w:rPr>
          <w:rFonts w:asciiTheme="minorBidi" w:hAnsiTheme="minorBidi"/>
          <w:sz w:val="24"/>
          <w:szCs w:val="24"/>
        </w:rPr>
        <w:t>with the current transformation of changing the pharmacy practice in a primary care setting to become a patient-centred practice.</w:t>
      </w:r>
      <w:r>
        <w:rPr>
          <w:rFonts w:asciiTheme="minorBidi" w:hAnsiTheme="minorBidi"/>
          <w:sz w:val="24"/>
          <w:szCs w:val="24"/>
        </w:rPr>
        <w:t xml:space="preserve"> The</w:t>
      </w:r>
      <w:r w:rsidRPr="009B3571">
        <w:rPr>
          <w:rFonts w:asciiTheme="minorBidi" w:hAnsiTheme="minorBidi"/>
          <w:sz w:val="24"/>
          <w:szCs w:val="24"/>
        </w:rPr>
        <w:t xml:space="preserve"> </w:t>
      </w:r>
      <w:r>
        <w:rPr>
          <w:rFonts w:asciiTheme="minorBidi" w:hAnsiTheme="minorBidi"/>
          <w:sz w:val="24"/>
          <w:szCs w:val="24"/>
        </w:rPr>
        <w:t xml:space="preserve">main </w:t>
      </w:r>
      <w:r w:rsidRPr="009B3571">
        <w:rPr>
          <w:rFonts w:asciiTheme="minorBidi" w:hAnsiTheme="minorBidi"/>
          <w:sz w:val="24"/>
          <w:szCs w:val="24"/>
        </w:rPr>
        <w:t xml:space="preserve">factor was the Saudi Vision 2030. </w:t>
      </w:r>
      <w:r w:rsidRPr="00BE4413">
        <w:rPr>
          <w:rFonts w:asciiTheme="minorBidi" w:hAnsiTheme="minorBidi"/>
          <w:sz w:val="24"/>
          <w:szCs w:val="24"/>
        </w:rPr>
        <w:t>Now, with the 2030 vision, the goals of pharmaceutical care in primary healthcare settings have changed dramatically</w:t>
      </w:r>
      <w:r>
        <w:rPr>
          <w:rFonts w:asciiTheme="minorBidi" w:hAnsiTheme="minorBidi"/>
          <w:sz w:val="24"/>
          <w:szCs w:val="24"/>
        </w:rPr>
        <w:t xml:space="preserve"> from a product focused practice to a patient focused practice. </w:t>
      </w:r>
      <w:r w:rsidRPr="009B3571">
        <w:rPr>
          <w:rFonts w:asciiTheme="minorBidi" w:hAnsiTheme="minorBidi"/>
          <w:sz w:val="24"/>
          <w:szCs w:val="24"/>
        </w:rPr>
        <w:t>The new transformation in the Saudi health care system gives opportunities to primary care pharmacists to provide public health services</w:t>
      </w:r>
      <w:r>
        <w:rPr>
          <w:rFonts w:asciiTheme="minorBidi" w:hAnsiTheme="minorBidi"/>
          <w:sz w:val="24"/>
          <w:szCs w:val="24"/>
        </w:rPr>
        <w:t xml:space="preserve">. </w:t>
      </w:r>
    </w:p>
    <w:p w14:paraId="52A56E52" w14:textId="77777777" w:rsidR="00821B82" w:rsidRPr="003D1180" w:rsidRDefault="00821B82" w:rsidP="00821B82">
      <w:pPr>
        <w:shd w:val="clear" w:color="auto" w:fill="FFFFFF"/>
        <w:spacing w:after="0" w:line="360" w:lineRule="auto"/>
        <w:jc w:val="both"/>
        <w:rPr>
          <w:rFonts w:asciiTheme="minorBidi" w:eastAsia="Times New Roman" w:hAnsiTheme="minorBidi"/>
          <w:sz w:val="24"/>
          <w:szCs w:val="24"/>
          <w:shd w:val="clear" w:color="auto" w:fill="FFFFFF"/>
        </w:rPr>
      </w:pPr>
    </w:p>
    <w:p w14:paraId="2F860EEA" w14:textId="77777777" w:rsidR="00821B82" w:rsidRDefault="00821B82" w:rsidP="00821B82">
      <w:pPr>
        <w:shd w:val="clear" w:color="auto" w:fill="FFFFFF"/>
        <w:spacing w:after="0" w:line="360" w:lineRule="auto"/>
        <w:rPr>
          <w:rFonts w:asciiTheme="minorBidi" w:eastAsia="Times New Roman" w:hAnsiTheme="minorBidi"/>
          <w:color w:val="32363A"/>
          <w:sz w:val="24"/>
          <w:szCs w:val="24"/>
          <w:shd w:val="clear" w:color="auto" w:fill="FFFFFF"/>
        </w:rPr>
        <w:sectPr w:rsidR="00821B82" w:rsidSect="00282204">
          <w:pgSz w:w="12240" w:h="15840"/>
          <w:pgMar w:top="1440" w:right="1440" w:bottom="1440" w:left="1440" w:header="720" w:footer="720" w:gutter="0"/>
          <w:cols w:space="720"/>
          <w:docGrid w:linePitch="360"/>
        </w:sectPr>
      </w:pPr>
    </w:p>
    <w:p w14:paraId="44F6F9A7" w14:textId="44A1336B" w:rsidR="00821B82" w:rsidRPr="002446E4" w:rsidRDefault="00821B82" w:rsidP="00821B82">
      <w:pPr>
        <w:pStyle w:val="Caption"/>
        <w:rPr>
          <w:sz w:val="22"/>
          <w:szCs w:val="22"/>
        </w:rPr>
      </w:pPr>
      <w:bookmarkStart w:id="250" w:name="_Ref122828312"/>
      <w:bookmarkStart w:id="251" w:name="_Toc153894581"/>
      <w:r w:rsidRPr="002446E4">
        <w:rPr>
          <w:sz w:val="22"/>
          <w:szCs w:val="22"/>
        </w:rPr>
        <w:t xml:space="preserve">Table </w:t>
      </w:r>
      <w:r w:rsidRPr="002446E4">
        <w:rPr>
          <w:sz w:val="22"/>
          <w:szCs w:val="22"/>
        </w:rPr>
        <w:fldChar w:fldCharType="begin"/>
      </w:r>
      <w:r w:rsidRPr="002446E4">
        <w:rPr>
          <w:sz w:val="22"/>
          <w:szCs w:val="22"/>
        </w:rPr>
        <w:instrText xml:space="preserve"> SEQ Table \* ARABIC </w:instrText>
      </w:r>
      <w:r w:rsidRPr="002446E4">
        <w:rPr>
          <w:sz w:val="22"/>
          <w:szCs w:val="22"/>
        </w:rPr>
        <w:fldChar w:fldCharType="separate"/>
      </w:r>
      <w:r w:rsidR="009B31EB">
        <w:rPr>
          <w:noProof/>
          <w:sz w:val="22"/>
          <w:szCs w:val="22"/>
        </w:rPr>
        <w:t>27</w:t>
      </w:r>
      <w:r w:rsidRPr="002446E4">
        <w:rPr>
          <w:sz w:val="22"/>
          <w:szCs w:val="22"/>
        </w:rPr>
        <w:fldChar w:fldCharType="end"/>
      </w:r>
      <w:bookmarkEnd w:id="250"/>
      <w:r w:rsidRPr="002446E4">
        <w:rPr>
          <w:sz w:val="22"/>
          <w:szCs w:val="22"/>
        </w:rPr>
        <w:t>: Themes identified in qualitative interview data</w:t>
      </w:r>
      <w:bookmarkEnd w:id="251"/>
      <w:r w:rsidRPr="002446E4">
        <w:rPr>
          <w:sz w:val="22"/>
          <w:szCs w:val="22"/>
        </w:rPr>
        <w:t xml:space="preserve">  </w:t>
      </w:r>
    </w:p>
    <w:tbl>
      <w:tblPr>
        <w:tblW w:w="14695" w:type="dxa"/>
        <w:jc w:val="center"/>
        <w:tblLook w:val="04A0" w:firstRow="1" w:lastRow="0" w:firstColumn="1" w:lastColumn="0" w:noHBand="0" w:noVBand="1"/>
      </w:tblPr>
      <w:tblGrid>
        <w:gridCol w:w="2718"/>
        <w:gridCol w:w="4780"/>
        <w:gridCol w:w="7197"/>
      </w:tblGrid>
      <w:tr w:rsidR="00821B82" w:rsidRPr="00C40E83" w14:paraId="32A28B6F" w14:textId="77777777" w:rsidTr="00282204">
        <w:trPr>
          <w:trHeight w:val="359"/>
          <w:jc w:val="center"/>
        </w:trPr>
        <w:tc>
          <w:tcPr>
            <w:tcW w:w="2718" w:type="dxa"/>
            <w:tcBorders>
              <w:bottom w:val="single" w:sz="4" w:space="0" w:color="auto"/>
            </w:tcBorders>
            <w:shd w:val="clear" w:color="auto" w:fill="E7E6E6" w:themeFill="background2"/>
            <w:hideMark/>
          </w:tcPr>
          <w:p w14:paraId="51D462EB" w14:textId="77777777" w:rsidR="00821B82" w:rsidRPr="009B6F2A" w:rsidRDefault="00821B82" w:rsidP="00282204">
            <w:pPr>
              <w:spacing w:after="0" w:line="240" w:lineRule="auto"/>
              <w:rPr>
                <w:rFonts w:ascii="Calibri" w:eastAsia="Times New Roman" w:hAnsi="Calibri" w:cs="Calibri"/>
                <w:color w:val="000000"/>
                <w:sz w:val="24"/>
                <w:szCs w:val="24"/>
              </w:rPr>
            </w:pPr>
            <w:r w:rsidRPr="009B6F2A">
              <w:rPr>
                <w:rFonts w:ascii="Calibri" w:eastAsia="Times New Roman" w:hAnsi="Calibri" w:cstheme="minorHAnsi"/>
                <w:color w:val="000000"/>
                <w:sz w:val="24"/>
                <w:szCs w:val="24"/>
              </w:rPr>
              <w:t>Themes</w:t>
            </w:r>
          </w:p>
        </w:tc>
        <w:tc>
          <w:tcPr>
            <w:tcW w:w="4780" w:type="dxa"/>
            <w:tcBorders>
              <w:bottom w:val="single" w:sz="4" w:space="0" w:color="auto"/>
            </w:tcBorders>
            <w:shd w:val="clear" w:color="auto" w:fill="E7E6E6" w:themeFill="background2"/>
            <w:hideMark/>
          </w:tcPr>
          <w:p w14:paraId="5BE3B6BF" w14:textId="77777777" w:rsidR="00821B82" w:rsidRPr="009B6F2A" w:rsidRDefault="00821B82" w:rsidP="00282204">
            <w:pPr>
              <w:spacing w:after="0" w:line="240" w:lineRule="auto"/>
              <w:rPr>
                <w:rFonts w:ascii="Calibri" w:eastAsia="Times New Roman" w:hAnsi="Calibri" w:cs="Calibri"/>
                <w:color w:val="000000"/>
                <w:sz w:val="24"/>
                <w:szCs w:val="24"/>
              </w:rPr>
            </w:pPr>
            <w:r w:rsidRPr="009B6F2A">
              <w:rPr>
                <w:rFonts w:ascii="Calibri" w:eastAsia="Times New Roman" w:hAnsi="Calibri" w:cstheme="minorHAnsi"/>
                <w:color w:val="000000"/>
                <w:sz w:val="24"/>
                <w:szCs w:val="24"/>
              </w:rPr>
              <w:t>Theme definition/Description</w:t>
            </w:r>
          </w:p>
        </w:tc>
        <w:tc>
          <w:tcPr>
            <w:tcW w:w="7197" w:type="dxa"/>
            <w:tcBorders>
              <w:bottom w:val="single" w:sz="4" w:space="0" w:color="auto"/>
            </w:tcBorders>
            <w:shd w:val="clear" w:color="auto" w:fill="E7E6E6" w:themeFill="background2"/>
            <w:hideMark/>
          </w:tcPr>
          <w:p w14:paraId="49E6B45F" w14:textId="77777777" w:rsidR="00821B82" w:rsidRPr="009B6F2A" w:rsidRDefault="00821B82" w:rsidP="00282204">
            <w:pPr>
              <w:spacing w:after="0" w:line="240" w:lineRule="auto"/>
              <w:rPr>
                <w:rFonts w:ascii="Calibri" w:eastAsia="Times New Roman" w:hAnsi="Calibri" w:cs="Calibri"/>
                <w:color w:val="000000"/>
                <w:sz w:val="24"/>
                <w:szCs w:val="24"/>
              </w:rPr>
            </w:pPr>
            <w:r w:rsidRPr="009B6F2A">
              <w:rPr>
                <w:rFonts w:ascii="Calibri" w:eastAsia="Times New Roman" w:hAnsi="Calibri" w:cstheme="minorHAnsi"/>
                <w:color w:val="000000"/>
                <w:sz w:val="24"/>
                <w:szCs w:val="24"/>
              </w:rPr>
              <w:t>Sub-themes/</w:t>
            </w:r>
            <w:r w:rsidRPr="009B6F2A">
              <w:rPr>
                <w:rFonts w:ascii="Calibri" w:eastAsia="Times New Roman" w:hAnsi="Calibri" w:cs="Calibri"/>
                <w:color w:val="000000"/>
                <w:sz w:val="24"/>
                <w:szCs w:val="24"/>
              </w:rPr>
              <w:t xml:space="preserve"> </w:t>
            </w:r>
            <w:r w:rsidRPr="009B6F2A">
              <w:rPr>
                <w:rFonts w:ascii="Calibri" w:eastAsia="Times New Roman" w:hAnsi="Calibri" w:cs="Calibri"/>
                <w:i/>
                <w:iCs/>
                <w:color w:val="000000"/>
                <w:sz w:val="24"/>
                <w:szCs w:val="24"/>
              </w:rPr>
              <w:t>Subtitle</w:t>
            </w:r>
          </w:p>
        </w:tc>
      </w:tr>
      <w:tr w:rsidR="00821B82" w:rsidRPr="009B6F2A" w14:paraId="7F7C50ED" w14:textId="77777777" w:rsidTr="00282204">
        <w:trPr>
          <w:trHeight w:val="1745"/>
          <w:jc w:val="center"/>
        </w:trPr>
        <w:tc>
          <w:tcPr>
            <w:tcW w:w="2718" w:type="dxa"/>
            <w:tcBorders>
              <w:top w:val="single" w:sz="4" w:space="0" w:color="auto"/>
              <w:bottom w:val="single" w:sz="4" w:space="0" w:color="auto"/>
            </w:tcBorders>
            <w:shd w:val="clear" w:color="auto" w:fill="auto"/>
            <w:hideMark/>
          </w:tcPr>
          <w:p w14:paraId="20CC02E2" w14:textId="77777777" w:rsidR="00821B82" w:rsidRPr="009B6F2A"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theme="minorHAnsi"/>
                <w:color w:val="000000"/>
                <w:sz w:val="21"/>
                <w:szCs w:val="21"/>
              </w:rPr>
              <w:t>Role of pharmacists in primary care settings</w:t>
            </w:r>
          </w:p>
        </w:tc>
        <w:tc>
          <w:tcPr>
            <w:tcW w:w="4780" w:type="dxa"/>
            <w:tcBorders>
              <w:top w:val="single" w:sz="4" w:space="0" w:color="auto"/>
              <w:bottom w:val="single" w:sz="4" w:space="0" w:color="auto"/>
            </w:tcBorders>
            <w:shd w:val="clear" w:color="auto" w:fill="auto"/>
            <w:hideMark/>
          </w:tcPr>
          <w:p w14:paraId="4D975E9C" w14:textId="77777777" w:rsidR="00821B82" w:rsidRDefault="00821B82" w:rsidP="00282204">
            <w:pPr>
              <w:spacing w:after="0" w:line="240" w:lineRule="auto"/>
              <w:rPr>
                <w:rFonts w:ascii="Calibri" w:eastAsia="Times New Roman" w:hAnsi="Calibri" w:cstheme="minorHAnsi"/>
                <w:color w:val="000000"/>
                <w:sz w:val="21"/>
                <w:szCs w:val="21"/>
              </w:rPr>
            </w:pPr>
            <w:r>
              <w:rPr>
                <w:rFonts w:ascii="Calibri" w:eastAsia="Times New Roman" w:hAnsi="Calibri" w:cstheme="minorHAnsi"/>
                <w:color w:val="000000"/>
                <w:sz w:val="21"/>
                <w:szCs w:val="21"/>
              </w:rPr>
              <w:t>-</w:t>
            </w:r>
            <w:r w:rsidRPr="009B6F2A">
              <w:rPr>
                <w:rFonts w:ascii="Calibri" w:eastAsia="Times New Roman" w:hAnsi="Calibri" w:cstheme="minorHAnsi"/>
                <w:color w:val="000000"/>
                <w:sz w:val="21"/>
                <w:szCs w:val="21"/>
              </w:rPr>
              <w:t xml:space="preserve">Identification of the standard roles and practices of primary care pharmacists; What are pharmaceutical care services provided to patients in PHCs? What actual roles did pharmacists play in these centres? </w:t>
            </w:r>
          </w:p>
          <w:p w14:paraId="43155D97" w14:textId="77777777" w:rsidR="00821B82" w:rsidRPr="009B6F2A"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theme="minorHAnsi"/>
                <w:color w:val="000000"/>
                <w:sz w:val="21"/>
                <w:szCs w:val="21"/>
              </w:rPr>
              <w:t>- Determining the impact of engaging pharmacists in managing primary care patients</w:t>
            </w:r>
          </w:p>
        </w:tc>
        <w:tc>
          <w:tcPr>
            <w:tcW w:w="7197" w:type="dxa"/>
            <w:tcBorders>
              <w:top w:val="single" w:sz="4" w:space="0" w:color="auto"/>
              <w:bottom w:val="single" w:sz="4" w:space="0" w:color="auto"/>
            </w:tcBorders>
            <w:shd w:val="clear" w:color="auto" w:fill="auto"/>
            <w:hideMark/>
          </w:tcPr>
          <w:p w14:paraId="25B4384F" w14:textId="77777777" w:rsidR="00821B82" w:rsidRDefault="00821B82" w:rsidP="00282204">
            <w:pPr>
              <w:spacing w:after="0" w:line="240" w:lineRule="auto"/>
              <w:rPr>
                <w:rFonts w:ascii="Calibri" w:eastAsia="Times New Roman" w:hAnsi="Calibri" w:cstheme="minorHAnsi"/>
                <w:color w:val="000000"/>
                <w:sz w:val="21"/>
                <w:szCs w:val="21"/>
              </w:rPr>
            </w:pPr>
            <w:r>
              <w:rPr>
                <w:rFonts w:ascii="Calibri" w:eastAsia="Times New Roman" w:hAnsi="Calibri" w:cstheme="minorHAnsi"/>
                <w:color w:val="000000"/>
                <w:sz w:val="21"/>
                <w:szCs w:val="21"/>
              </w:rPr>
              <w:t>-</w:t>
            </w:r>
            <w:r w:rsidRPr="009B6F2A">
              <w:rPr>
                <w:rFonts w:ascii="Calibri" w:eastAsia="Times New Roman" w:hAnsi="Calibri" w:cstheme="minorHAnsi"/>
                <w:color w:val="000000"/>
                <w:sz w:val="21"/>
                <w:szCs w:val="21"/>
              </w:rPr>
              <w:t xml:space="preserve">Standard roles and practices for primary care pharmacists </w:t>
            </w:r>
          </w:p>
          <w:p w14:paraId="0DE0E8FF" w14:textId="77777777" w:rsidR="00821B82" w:rsidRDefault="00821B82" w:rsidP="00282204">
            <w:pPr>
              <w:spacing w:after="0" w:line="240" w:lineRule="auto"/>
              <w:rPr>
                <w:rFonts w:ascii="Calibri" w:eastAsia="Times New Roman" w:hAnsi="Calibri" w:cstheme="minorHAnsi"/>
                <w:color w:val="000000"/>
                <w:sz w:val="21"/>
                <w:szCs w:val="21"/>
              </w:rPr>
            </w:pPr>
            <w:r w:rsidRPr="009B6F2A">
              <w:rPr>
                <w:rFonts w:ascii="Calibri" w:eastAsia="Times New Roman" w:hAnsi="Calibri" w:cstheme="minorHAnsi"/>
                <w:color w:val="000000"/>
                <w:sz w:val="21"/>
                <w:szCs w:val="21"/>
              </w:rPr>
              <w:t>- impact of integrating pharmacists into PHCs teams</w:t>
            </w:r>
          </w:p>
          <w:p w14:paraId="08573E41" w14:textId="77777777" w:rsidR="00821B82" w:rsidRDefault="00821B82" w:rsidP="00282204">
            <w:pPr>
              <w:spacing w:after="0" w:line="240" w:lineRule="auto"/>
              <w:rPr>
                <w:rFonts w:ascii="Calibri" w:eastAsia="Times New Roman" w:hAnsi="Calibri" w:cstheme="minorHAnsi"/>
                <w:color w:val="000000"/>
                <w:sz w:val="21"/>
                <w:szCs w:val="21"/>
              </w:rPr>
            </w:pPr>
            <w:r w:rsidRPr="009B6F2A">
              <w:rPr>
                <w:rFonts w:ascii="Calibri" w:eastAsia="Times New Roman" w:hAnsi="Calibri" w:cstheme="minorHAnsi"/>
                <w:color w:val="000000"/>
                <w:sz w:val="21"/>
                <w:szCs w:val="21"/>
              </w:rPr>
              <w:t xml:space="preserve">-Perceived impact of involving pharmacists in diabetes primary care management </w:t>
            </w:r>
          </w:p>
          <w:p w14:paraId="15FBFF42" w14:textId="77777777" w:rsidR="00821B82" w:rsidRPr="009B6F2A" w:rsidRDefault="00821B82" w:rsidP="00282204">
            <w:pPr>
              <w:spacing w:after="0" w:line="240" w:lineRule="auto"/>
              <w:rPr>
                <w:rFonts w:ascii="Calibri" w:eastAsia="Times New Roman" w:hAnsi="Calibri" w:cstheme="minorHAnsi"/>
                <w:color w:val="000000"/>
                <w:sz w:val="21"/>
                <w:szCs w:val="21"/>
              </w:rPr>
            </w:pPr>
            <w:r w:rsidRPr="009B6F2A">
              <w:rPr>
                <w:rFonts w:ascii="Calibri" w:eastAsia="Times New Roman" w:hAnsi="Calibri" w:cstheme="minorHAnsi"/>
                <w:color w:val="000000"/>
                <w:sz w:val="21"/>
                <w:szCs w:val="21"/>
              </w:rPr>
              <w:t>- Concerns over shifting of pharmacy services to the retail community pharmacies</w:t>
            </w:r>
          </w:p>
        </w:tc>
      </w:tr>
      <w:tr w:rsidR="00821B82" w:rsidRPr="009B6F2A" w14:paraId="7A55EFA9" w14:textId="77777777" w:rsidTr="00282204">
        <w:trPr>
          <w:trHeight w:val="1375"/>
          <w:jc w:val="center"/>
        </w:trPr>
        <w:tc>
          <w:tcPr>
            <w:tcW w:w="2718" w:type="dxa"/>
            <w:tcBorders>
              <w:top w:val="single" w:sz="4" w:space="0" w:color="auto"/>
              <w:bottom w:val="single" w:sz="4" w:space="0" w:color="auto"/>
            </w:tcBorders>
            <w:shd w:val="clear" w:color="auto" w:fill="auto"/>
            <w:hideMark/>
          </w:tcPr>
          <w:p w14:paraId="5F399F03" w14:textId="77777777" w:rsidR="00821B82" w:rsidRPr="009B6F2A"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theme="minorHAnsi"/>
                <w:color w:val="000000"/>
                <w:sz w:val="21"/>
                <w:szCs w:val="21"/>
              </w:rPr>
              <w:t xml:space="preserve">Attitudes, </w:t>
            </w:r>
            <w:r>
              <w:rPr>
                <w:rFonts w:ascii="Calibri" w:eastAsia="Times New Roman" w:hAnsi="Calibri" w:cstheme="minorHAnsi"/>
                <w:color w:val="000000"/>
                <w:sz w:val="21"/>
                <w:szCs w:val="21"/>
              </w:rPr>
              <w:t>p</w:t>
            </w:r>
            <w:r w:rsidRPr="009B6F2A">
              <w:rPr>
                <w:rFonts w:ascii="Calibri" w:eastAsia="Times New Roman" w:hAnsi="Calibri" w:cstheme="minorHAnsi"/>
                <w:color w:val="000000"/>
                <w:sz w:val="21"/>
                <w:szCs w:val="21"/>
              </w:rPr>
              <w:t xml:space="preserve">erceptions, and </w:t>
            </w:r>
            <w:r>
              <w:rPr>
                <w:rFonts w:ascii="Calibri" w:eastAsia="Times New Roman" w:hAnsi="Calibri" w:cstheme="minorHAnsi"/>
                <w:color w:val="000000"/>
                <w:sz w:val="21"/>
                <w:szCs w:val="21"/>
              </w:rPr>
              <w:t>e</w:t>
            </w:r>
            <w:r w:rsidRPr="009B6F2A">
              <w:rPr>
                <w:rFonts w:ascii="Calibri" w:eastAsia="Times New Roman" w:hAnsi="Calibri" w:cstheme="minorHAnsi"/>
                <w:color w:val="000000"/>
                <w:sz w:val="21"/>
                <w:szCs w:val="21"/>
              </w:rPr>
              <w:t xml:space="preserve">xpectations of </w:t>
            </w:r>
            <w:r>
              <w:rPr>
                <w:rFonts w:ascii="Calibri" w:eastAsia="Times New Roman" w:hAnsi="Calibri" w:cstheme="minorHAnsi"/>
                <w:color w:val="000000"/>
                <w:sz w:val="21"/>
                <w:szCs w:val="21"/>
              </w:rPr>
              <w:t>HCPs</w:t>
            </w:r>
            <w:r w:rsidRPr="009B6F2A">
              <w:rPr>
                <w:rFonts w:ascii="Calibri" w:eastAsia="Times New Roman" w:hAnsi="Calibri" w:cstheme="minorHAnsi"/>
                <w:color w:val="000000"/>
                <w:sz w:val="21"/>
                <w:szCs w:val="21"/>
              </w:rPr>
              <w:t xml:space="preserve"> of </w:t>
            </w:r>
            <w:r>
              <w:rPr>
                <w:rFonts w:ascii="Calibri" w:eastAsia="Times New Roman" w:hAnsi="Calibri" w:cstheme="minorHAnsi"/>
                <w:color w:val="000000"/>
                <w:sz w:val="21"/>
                <w:szCs w:val="21"/>
              </w:rPr>
              <w:t>p</w:t>
            </w:r>
            <w:r w:rsidRPr="009B6F2A">
              <w:rPr>
                <w:rFonts w:ascii="Calibri" w:eastAsia="Times New Roman" w:hAnsi="Calibri" w:cstheme="minorHAnsi"/>
                <w:color w:val="000000"/>
                <w:sz w:val="21"/>
                <w:szCs w:val="21"/>
              </w:rPr>
              <w:t>harmacists</w:t>
            </w:r>
          </w:p>
        </w:tc>
        <w:tc>
          <w:tcPr>
            <w:tcW w:w="4780" w:type="dxa"/>
            <w:tcBorders>
              <w:top w:val="single" w:sz="4" w:space="0" w:color="auto"/>
              <w:bottom w:val="single" w:sz="4" w:space="0" w:color="auto"/>
            </w:tcBorders>
            <w:shd w:val="clear" w:color="auto" w:fill="auto"/>
            <w:hideMark/>
          </w:tcPr>
          <w:p w14:paraId="40962D4D" w14:textId="77777777" w:rsidR="00821B82" w:rsidRPr="009B6F2A"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theme="minorHAnsi"/>
                <w:color w:val="000000"/>
                <w:sz w:val="21"/>
                <w:szCs w:val="21"/>
              </w:rPr>
              <w:t xml:space="preserve">The way primary </w:t>
            </w:r>
            <w:r>
              <w:rPr>
                <w:rFonts w:ascii="Calibri" w:eastAsia="Times New Roman" w:hAnsi="Calibri" w:cstheme="minorHAnsi"/>
                <w:color w:val="000000"/>
                <w:sz w:val="21"/>
                <w:szCs w:val="21"/>
              </w:rPr>
              <w:t>HCPs</w:t>
            </w:r>
            <w:r w:rsidRPr="009B6F2A">
              <w:rPr>
                <w:rFonts w:ascii="Calibri" w:eastAsia="Times New Roman" w:hAnsi="Calibri" w:cstheme="minorHAnsi"/>
                <w:color w:val="000000"/>
                <w:sz w:val="21"/>
                <w:szCs w:val="21"/>
              </w:rPr>
              <w:t xml:space="preserve"> think or feel about pharmacists' role in patients’ care. This includes both positive and negative attitudes towards the role of pharmacists in the healthcare system in general and in diabetes care in particular </w:t>
            </w:r>
          </w:p>
        </w:tc>
        <w:tc>
          <w:tcPr>
            <w:tcW w:w="7197" w:type="dxa"/>
            <w:tcBorders>
              <w:top w:val="single" w:sz="4" w:space="0" w:color="auto"/>
              <w:bottom w:val="single" w:sz="4" w:space="0" w:color="auto"/>
            </w:tcBorders>
            <w:shd w:val="clear" w:color="auto" w:fill="auto"/>
            <w:hideMark/>
          </w:tcPr>
          <w:p w14:paraId="5C54BC70" w14:textId="77777777" w:rsidR="00821B82" w:rsidRDefault="00821B82" w:rsidP="00282204">
            <w:pPr>
              <w:spacing w:after="0" w:line="240" w:lineRule="auto"/>
              <w:rPr>
                <w:rFonts w:ascii="Calibri" w:eastAsia="Times New Roman" w:hAnsi="Calibri" w:cs="Calibri"/>
                <w:color w:val="000000"/>
                <w:sz w:val="21"/>
                <w:szCs w:val="21"/>
              </w:rPr>
            </w:pPr>
            <w:r>
              <w:rPr>
                <w:rFonts w:ascii="Arial" w:eastAsia="Times New Roman" w:hAnsi="Arial" w:cs="Arial"/>
                <w:color w:val="000000"/>
                <w:sz w:val="21"/>
                <w:szCs w:val="21"/>
              </w:rPr>
              <w:t>-</w:t>
            </w:r>
            <w:r w:rsidRPr="009B6F2A">
              <w:rPr>
                <w:rFonts w:ascii="Arial" w:eastAsia="Times New Roman" w:hAnsi="Arial" w:cs="Arial"/>
                <w:color w:val="000000"/>
                <w:sz w:val="21"/>
                <w:szCs w:val="21"/>
              </w:rPr>
              <w:t>C</w:t>
            </w:r>
            <w:r w:rsidRPr="009B6F2A">
              <w:rPr>
                <w:rFonts w:ascii="Calibri" w:eastAsia="Times New Roman" w:hAnsi="Calibri" w:cs="Calibri"/>
                <w:color w:val="000000"/>
                <w:sz w:val="21"/>
                <w:szCs w:val="21"/>
              </w:rPr>
              <w:t xml:space="preserve">ulture’s influence on attitudes toward the pharmacist’s role </w:t>
            </w:r>
          </w:p>
          <w:p w14:paraId="39CDE9E2" w14:textId="77777777" w:rsidR="00821B82"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Calibri"/>
                <w:color w:val="000000"/>
                <w:sz w:val="21"/>
                <w:szCs w:val="21"/>
              </w:rPr>
              <w:t xml:space="preserve">- Doctors’ attitude towards the role of pharmacists in diabetes management </w:t>
            </w:r>
          </w:p>
          <w:p w14:paraId="2B924ABC" w14:textId="77777777" w:rsidR="00821B82"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Calibri"/>
                <w:color w:val="000000"/>
                <w:sz w:val="21"/>
                <w:szCs w:val="21"/>
              </w:rPr>
              <w:t xml:space="preserve">- Nurses’ attitudes towards pharmacists’ role in diabetes management </w:t>
            </w:r>
          </w:p>
          <w:p w14:paraId="2649DAA7" w14:textId="77777777" w:rsidR="00821B82" w:rsidRPr="009B6F2A"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Calibri"/>
                <w:color w:val="000000"/>
                <w:sz w:val="21"/>
                <w:szCs w:val="21"/>
              </w:rPr>
              <w:t>- Pharmacists' attitude toward their roles in diabetes management</w:t>
            </w:r>
          </w:p>
        </w:tc>
      </w:tr>
      <w:tr w:rsidR="00821B82" w:rsidRPr="009B6F2A" w14:paraId="506BC609" w14:textId="77777777" w:rsidTr="00282204">
        <w:trPr>
          <w:trHeight w:val="2554"/>
          <w:jc w:val="center"/>
        </w:trPr>
        <w:tc>
          <w:tcPr>
            <w:tcW w:w="2718" w:type="dxa"/>
            <w:tcBorders>
              <w:top w:val="single" w:sz="4" w:space="0" w:color="auto"/>
              <w:bottom w:val="single" w:sz="4" w:space="0" w:color="auto"/>
            </w:tcBorders>
            <w:shd w:val="clear" w:color="auto" w:fill="auto"/>
            <w:hideMark/>
          </w:tcPr>
          <w:p w14:paraId="4DD83309" w14:textId="77777777" w:rsidR="00821B82" w:rsidRPr="009B6F2A" w:rsidRDefault="00821B82" w:rsidP="00282204">
            <w:pPr>
              <w:spacing w:after="0" w:line="240" w:lineRule="auto"/>
              <w:rPr>
                <w:rFonts w:ascii="Calibri" w:eastAsia="Times New Roman" w:hAnsi="Calibri" w:cs="Calibri"/>
                <w:color w:val="000000"/>
              </w:rPr>
            </w:pPr>
            <w:r w:rsidRPr="009B6F2A">
              <w:rPr>
                <w:rFonts w:ascii="Calibri" w:eastAsia="Times New Roman" w:hAnsi="Calibri" w:cs="Calibri"/>
                <w:color w:val="000000"/>
              </w:rPr>
              <w:t>Challenges of engaging pharmacists in diabetes primary care management</w:t>
            </w:r>
          </w:p>
        </w:tc>
        <w:tc>
          <w:tcPr>
            <w:tcW w:w="4780" w:type="dxa"/>
            <w:tcBorders>
              <w:top w:val="single" w:sz="4" w:space="0" w:color="auto"/>
              <w:bottom w:val="single" w:sz="4" w:space="0" w:color="auto"/>
            </w:tcBorders>
            <w:shd w:val="clear" w:color="auto" w:fill="auto"/>
            <w:hideMark/>
          </w:tcPr>
          <w:p w14:paraId="7A2AB7DC" w14:textId="77777777" w:rsidR="00821B82" w:rsidRDefault="00821B82" w:rsidP="00282204">
            <w:pPr>
              <w:spacing w:after="0" w:line="240" w:lineRule="auto"/>
              <w:rPr>
                <w:rFonts w:ascii="Calibri" w:eastAsia="Times New Roman" w:hAnsi="Calibri" w:cstheme="minorHAnsi"/>
                <w:color w:val="000000"/>
                <w:sz w:val="21"/>
                <w:szCs w:val="21"/>
              </w:rPr>
            </w:pPr>
            <w:r w:rsidRPr="009B6F2A">
              <w:rPr>
                <w:rFonts w:ascii="Calibri" w:eastAsia="Times New Roman" w:hAnsi="Calibri" w:cstheme="minorHAnsi"/>
                <w:color w:val="000000"/>
                <w:sz w:val="21"/>
                <w:szCs w:val="21"/>
              </w:rPr>
              <w:t>Identifying the challenges pharmacists faced in providing pharmaceutical care to patients when they were working in PHCs</w:t>
            </w:r>
            <w:r>
              <w:rPr>
                <w:rFonts w:ascii="Calibri" w:eastAsia="Times New Roman" w:hAnsi="Calibri" w:cstheme="minorHAnsi"/>
                <w:color w:val="000000"/>
                <w:sz w:val="21"/>
                <w:szCs w:val="21"/>
              </w:rPr>
              <w:t>.</w:t>
            </w:r>
            <w:r w:rsidRPr="009B6F2A">
              <w:rPr>
                <w:rFonts w:ascii="Calibri" w:eastAsia="Times New Roman" w:hAnsi="Calibri" w:cstheme="minorHAnsi"/>
                <w:color w:val="000000"/>
                <w:sz w:val="21"/>
                <w:szCs w:val="21"/>
              </w:rPr>
              <w:t xml:space="preserve"> </w:t>
            </w:r>
          </w:p>
          <w:p w14:paraId="53DC59B9" w14:textId="77777777" w:rsidR="00821B82" w:rsidRDefault="00821B82" w:rsidP="00282204">
            <w:pPr>
              <w:spacing w:after="0" w:line="240" w:lineRule="auto"/>
              <w:rPr>
                <w:rFonts w:ascii="Calibri" w:eastAsia="Times New Roman" w:hAnsi="Calibri" w:cstheme="minorHAnsi"/>
                <w:color w:val="000000"/>
                <w:sz w:val="21"/>
                <w:szCs w:val="21"/>
              </w:rPr>
            </w:pPr>
          </w:p>
          <w:p w14:paraId="476AF023" w14:textId="77777777" w:rsidR="00821B82" w:rsidRPr="009B6F2A"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theme="minorHAnsi"/>
                <w:color w:val="000000"/>
                <w:sz w:val="21"/>
                <w:szCs w:val="21"/>
              </w:rPr>
              <w:t>Identify the barriers to engaging pharmacists in managing diabetes with the current health transformation strategy and proposed solutions to achieving healthcare transformation goals in PHCs</w:t>
            </w:r>
          </w:p>
        </w:tc>
        <w:tc>
          <w:tcPr>
            <w:tcW w:w="7197" w:type="dxa"/>
            <w:tcBorders>
              <w:top w:val="single" w:sz="4" w:space="0" w:color="auto"/>
              <w:bottom w:val="single" w:sz="4" w:space="0" w:color="auto"/>
            </w:tcBorders>
            <w:shd w:val="clear" w:color="auto" w:fill="auto"/>
            <w:hideMark/>
          </w:tcPr>
          <w:p w14:paraId="6C8B5810" w14:textId="77777777" w:rsidR="00821B82" w:rsidRDefault="00821B82" w:rsidP="00282204">
            <w:pPr>
              <w:spacing w:after="0" w:line="240" w:lineRule="auto"/>
              <w:rPr>
                <w:rFonts w:ascii="Calibri" w:eastAsia="Times New Roman" w:hAnsi="Calibri" w:cs="Calibri"/>
                <w:color w:val="000000"/>
                <w:sz w:val="21"/>
                <w:szCs w:val="21"/>
              </w:rPr>
            </w:pPr>
            <w:r>
              <w:rPr>
                <w:rFonts w:ascii="Calibri" w:eastAsia="Times New Roman" w:hAnsi="Calibri" w:cs="Calibri"/>
                <w:color w:val="000000"/>
                <w:sz w:val="21"/>
                <w:szCs w:val="21"/>
              </w:rPr>
              <w:t>-</w:t>
            </w:r>
            <w:r w:rsidRPr="009B6F2A">
              <w:rPr>
                <w:rFonts w:ascii="Calibri" w:eastAsia="Times New Roman" w:hAnsi="Calibri" w:cs="Calibri"/>
                <w:color w:val="000000"/>
                <w:sz w:val="21"/>
                <w:szCs w:val="21"/>
              </w:rPr>
              <w:t>Challenges of providing pharmaceutical care in PHCs</w:t>
            </w:r>
          </w:p>
          <w:p w14:paraId="38BE467D" w14:textId="77777777" w:rsidR="00821B82" w:rsidRPr="00CE2842" w:rsidRDefault="00821B82" w:rsidP="00282204">
            <w:pPr>
              <w:spacing w:after="0" w:line="240" w:lineRule="auto"/>
              <w:rPr>
                <w:rFonts w:ascii="Calibri" w:eastAsia="Times New Roman" w:hAnsi="Calibri" w:cs="Calibri"/>
                <w:i/>
                <w:iCs/>
                <w:color w:val="000000"/>
                <w:sz w:val="21"/>
                <w:szCs w:val="21"/>
              </w:rPr>
            </w:pPr>
            <w:r w:rsidRPr="009B6F2A">
              <w:rPr>
                <w:rFonts w:ascii="Calibri" w:eastAsia="Times New Roman" w:hAnsi="Calibri" w:cs="Calibri"/>
                <w:color w:val="000000"/>
                <w:sz w:val="21"/>
                <w:szCs w:val="21"/>
              </w:rPr>
              <w:t xml:space="preserve">- </w:t>
            </w:r>
            <w:r w:rsidRPr="009B6F2A">
              <w:rPr>
                <w:rFonts w:ascii="Calibri" w:eastAsia="Times New Roman" w:hAnsi="Calibri" w:cs="Calibri"/>
                <w:i/>
                <w:iCs/>
                <w:color w:val="000000"/>
                <w:sz w:val="21"/>
                <w:szCs w:val="21"/>
              </w:rPr>
              <w:t xml:space="preserve">Issues related to the healthcare system </w:t>
            </w:r>
          </w:p>
          <w:p w14:paraId="76A2F9CE" w14:textId="77777777" w:rsidR="00821B82"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Calibri"/>
                <w:i/>
                <w:iCs/>
                <w:color w:val="000000"/>
                <w:sz w:val="21"/>
                <w:szCs w:val="21"/>
              </w:rPr>
              <w:t>-Issues related to healthcare professionals</w:t>
            </w:r>
            <w:r w:rsidRPr="009B6F2A">
              <w:rPr>
                <w:rFonts w:ascii="Calibri" w:eastAsia="Times New Roman" w:hAnsi="Calibri" w:cs="Calibri"/>
                <w:color w:val="000000"/>
                <w:sz w:val="21"/>
                <w:szCs w:val="21"/>
              </w:rPr>
              <w:t xml:space="preserve"> </w:t>
            </w:r>
          </w:p>
          <w:p w14:paraId="65565037" w14:textId="77777777" w:rsidR="00821B82" w:rsidRDefault="00821B82" w:rsidP="00282204">
            <w:pPr>
              <w:spacing w:after="0" w:line="240" w:lineRule="auto"/>
              <w:rPr>
                <w:rFonts w:ascii="Calibri" w:eastAsia="Times New Roman" w:hAnsi="Calibri" w:cs="Calibri"/>
                <w:color w:val="000000"/>
                <w:sz w:val="21"/>
                <w:szCs w:val="21"/>
              </w:rPr>
            </w:pPr>
          </w:p>
          <w:p w14:paraId="3B503BE7" w14:textId="77777777" w:rsidR="00821B82"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Calibri"/>
                <w:color w:val="000000"/>
                <w:sz w:val="21"/>
                <w:szCs w:val="21"/>
              </w:rPr>
              <w:t>-Barriers to pharmacists’ involvement in diabetes primary care management to achieving healthcare transformation goals</w:t>
            </w:r>
          </w:p>
          <w:p w14:paraId="1016D24E" w14:textId="77777777" w:rsidR="00821B82" w:rsidRDefault="00821B82" w:rsidP="00282204">
            <w:pPr>
              <w:spacing w:after="0" w:line="240" w:lineRule="auto"/>
              <w:rPr>
                <w:rFonts w:ascii="Calibri" w:eastAsia="Times New Roman" w:hAnsi="Calibri" w:cs="Calibri"/>
                <w:i/>
                <w:iCs/>
                <w:color w:val="000000"/>
                <w:sz w:val="21"/>
                <w:szCs w:val="21"/>
              </w:rPr>
            </w:pPr>
            <w:r w:rsidRPr="009B6F2A">
              <w:rPr>
                <w:rFonts w:ascii="Calibri" w:eastAsia="Times New Roman" w:hAnsi="Calibri" w:cs="Calibri"/>
                <w:i/>
                <w:iCs/>
                <w:color w:val="000000"/>
                <w:sz w:val="21"/>
                <w:szCs w:val="21"/>
              </w:rPr>
              <w:t xml:space="preserve">Transferring pharmacists from PHCs and the impact of the work environment on their participation in patient care </w:t>
            </w:r>
          </w:p>
          <w:p w14:paraId="568EB574" w14:textId="77777777" w:rsidR="00821B82" w:rsidRPr="00CD554F" w:rsidRDefault="00821B82" w:rsidP="00282204">
            <w:pPr>
              <w:spacing w:after="0" w:line="240" w:lineRule="auto"/>
              <w:rPr>
                <w:rFonts w:ascii="Calibri" w:eastAsia="Times New Roman" w:hAnsi="Calibri" w:cs="Calibri"/>
                <w:i/>
                <w:iCs/>
                <w:color w:val="000000"/>
                <w:sz w:val="21"/>
                <w:szCs w:val="21"/>
              </w:rPr>
            </w:pPr>
            <w:r w:rsidRPr="009B6F2A">
              <w:rPr>
                <w:rFonts w:ascii="Calibri" w:eastAsia="Times New Roman" w:hAnsi="Calibri" w:cs="Calibri"/>
                <w:i/>
                <w:iCs/>
                <w:color w:val="000000"/>
                <w:sz w:val="21"/>
                <w:szCs w:val="21"/>
              </w:rPr>
              <w:t>Shortage of qualified and trained pharmacists</w:t>
            </w:r>
          </w:p>
          <w:p w14:paraId="3BD4090B" w14:textId="77777777" w:rsidR="00821B82" w:rsidRPr="009B6F2A"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Calibri"/>
                <w:i/>
                <w:iCs/>
                <w:color w:val="000000"/>
                <w:sz w:val="21"/>
                <w:szCs w:val="21"/>
              </w:rPr>
              <w:t>Lack of a role model</w:t>
            </w:r>
            <w:r w:rsidRPr="009B6F2A">
              <w:rPr>
                <w:rFonts w:ascii="Calibri" w:eastAsia="Times New Roman" w:hAnsi="Calibri" w:cs="Calibri"/>
                <w:color w:val="000000"/>
                <w:sz w:val="21"/>
                <w:szCs w:val="21"/>
              </w:rPr>
              <w:t xml:space="preserve"> </w:t>
            </w:r>
          </w:p>
        </w:tc>
      </w:tr>
      <w:tr w:rsidR="00821B82" w:rsidRPr="009B6F2A" w14:paraId="5101DD5B" w14:textId="77777777" w:rsidTr="00282204">
        <w:trPr>
          <w:trHeight w:val="2546"/>
          <w:jc w:val="center"/>
        </w:trPr>
        <w:tc>
          <w:tcPr>
            <w:tcW w:w="2718" w:type="dxa"/>
            <w:tcBorders>
              <w:top w:val="single" w:sz="4" w:space="0" w:color="auto"/>
              <w:bottom w:val="single" w:sz="4" w:space="0" w:color="auto"/>
            </w:tcBorders>
            <w:shd w:val="clear" w:color="auto" w:fill="auto"/>
            <w:hideMark/>
          </w:tcPr>
          <w:p w14:paraId="51991558" w14:textId="77777777" w:rsidR="00821B82" w:rsidRPr="009B6F2A" w:rsidRDefault="00821B82" w:rsidP="00282204">
            <w:pPr>
              <w:spacing w:after="0" w:line="240" w:lineRule="auto"/>
              <w:rPr>
                <w:rFonts w:ascii="Calibri" w:eastAsia="Times New Roman" w:hAnsi="Calibri" w:cs="Calibri"/>
                <w:color w:val="000000"/>
              </w:rPr>
            </w:pPr>
            <w:r w:rsidRPr="009B6F2A">
              <w:rPr>
                <w:rFonts w:ascii="Calibri" w:eastAsia="Times New Roman" w:hAnsi="Calibri" w:cstheme="minorHAnsi"/>
                <w:color w:val="000000"/>
              </w:rPr>
              <w:t>Facilitators to pharmacists involvement in diabetes primary care management</w:t>
            </w:r>
          </w:p>
        </w:tc>
        <w:tc>
          <w:tcPr>
            <w:tcW w:w="4780" w:type="dxa"/>
            <w:tcBorders>
              <w:top w:val="single" w:sz="4" w:space="0" w:color="auto"/>
              <w:bottom w:val="single" w:sz="4" w:space="0" w:color="auto"/>
            </w:tcBorders>
            <w:shd w:val="clear" w:color="auto" w:fill="auto"/>
            <w:hideMark/>
          </w:tcPr>
          <w:p w14:paraId="78D4B525" w14:textId="77777777" w:rsidR="00821B82" w:rsidRPr="009B6F2A" w:rsidRDefault="00821B82" w:rsidP="00282204">
            <w:pPr>
              <w:spacing w:after="0" w:line="240" w:lineRule="auto"/>
              <w:rPr>
                <w:rFonts w:ascii="Calibri" w:eastAsia="Times New Roman" w:hAnsi="Calibri" w:cs="Calibri"/>
                <w:color w:val="000000"/>
                <w:sz w:val="21"/>
                <w:szCs w:val="21"/>
              </w:rPr>
            </w:pPr>
            <w:r w:rsidRPr="009B6F2A">
              <w:rPr>
                <w:rFonts w:ascii="Calibri" w:eastAsia="Times New Roman" w:hAnsi="Calibri" w:cstheme="minorHAnsi"/>
                <w:color w:val="000000"/>
                <w:sz w:val="21"/>
                <w:szCs w:val="21"/>
              </w:rPr>
              <w:t>What are the facilitators that could help in engaging pharmacists in diabetes management in PHCs</w:t>
            </w:r>
          </w:p>
        </w:tc>
        <w:tc>
          <w:tcPr>
            <w:tcW w:w="7197" w:type="dxa"/>
            <w:tcBorders>
              <w:top w:val="single" w:sz="4" w:space="0" w:color="auto"/>
              <w:bottom w:val="single" w:sz="4" w:space="0" w:color="auto"/>
            </w:tcBorders>
            <w:shd w:val="clear" w:color="auto" w:fill="auto"/>
            <w:hideMark/>
          </w:tcPr>
          <w:p w14:paraId="13364707" w14:textId="77777777" w:rsidR="00821B82" w:rsidRDefault="00821B82" w:rsidP="00282204">
            <w:pPr>
              <w:spacing w:after="0" w:line="240" w:lineRule="auto"/>
              <w:rPr>
                <w:rFonts w:ascii="Calibri" w:eastAsia="Times New Roman" w:hAnsi="Calibri" w:cstheme="minorHAnsi"/>
                <w:color w:val="000000"/>
                <w:sz w:val="21"/>
                <w:szCs w:val="21"/>
              </w:rPr>
            </w:pPr>
            <w:r>
              <w:rPr>
                <w:rFonts w:ascii="Calibri" w:eastAsia="Times New Roman" w:hAnsi="Calibri" w:cstheme="minorHAnsi"/>
                <w:color w:val="000000"/>
                <w:sz w:val="21"/>
                <w:szCs w:val="21"/>
              </w:rPr>
              <w:t>-</w:t>
            </w:r>
            <w:r w:rsidRPr="009B6F2A">
              <w:rPr>
                <w:rFonts w:ascii="Calibri" w:eastAsia="Times New Roman" w:hAnsi="Calibri" w:cstheme="minorHAnsi"/>
                <w:color w:val="000000"/>
                <w:sz w:val="21"/>
                <w:szCs w:val="21"/>
              </w:rPr>
              <w:t xml:space="preserve">Developing pharmacy practice for the Saudi Vision 2030 </w:t>
            </w:r>
          </w:p>
          <w:p w14:paraId="244F9151" w14:textId="77777777" w:rsidR="00821B82" w:rsidRPr="00B50ED7" w:rsidRDefault="00821B82" w:rsidP="00282204">
            <w:pPr>
              <w:spacing w:after="0" w:line="240" w:lineRule="auto"/>
              <w:rPr>
                <w:rFonts w:ascii="Calibri" w:eastAsia="Times New Roman" w:hAnsi="Calibri" w:cstheme="minorHAnsi"/>
                <w:i/>
                <w:iCs/>
                <w:color w:val="000000"/>
                <w:sz w:val="21"/>
                <w:szCs w:val="21"/>
              </w:rPr>
            </w:pPr>
            <w:r w:rsidRPr="009B6F2A">
              <w:rPr>
                <w:rFonts w:ascii="Calibri" w:eastAsia="Times New Roman" w:hAnsi="Calibri" w:cstheme="minorHAnsi"/>
                <w:color w:val="000000"/>
                <w:sz w:val="21"/>
                <w:szCs w:val="21"/>
              </w:rPr>
              <w:t xml:space="preserve">- </w:t>
            </w:r>
            <w:r w:rsidRPr="009B6F2A">
              <w:rPr>
                <w:rFonts w:ascii="Calibri" w:eastAsia="Times New Roman" w:hAnsi="Calibri" w:cstheme="minorHAnsi"/>
                <w:i/>
                <w:iCs/>
                <w:color w:val="000000"/>
                <w:sz w:val="21"/>
                <w:szCs w:val="21"/>
              </w:rPr>
              <w:t xml:space="preserve">Prioritising pharmaceutical care services in primary care settings: Services needed in PHCs </w:t>
            </w:r>
          </w:p>
          <w:p w14:paraId="1B8685A1" w14:textId="77777777" w:rsidR="00821B82" w:rsidRPr="00B50ED7" w:rsidRDefault="00821B82" w:rsidP="00282204">
            <w:pPr>
              <w:spacing w:after="0" w:line="240" w:lineRule="auto"/>
              <w:rPr>
                <w:rFonts w:ascii="Calibri" w:eastAsia="Times New Roman" w:hAnsi="Calibri" w:cstheme="minorHAnsi"/>
                <w:i/>
                <w:iCs/>
                <w:color w:val="000000"/>
                <w:sz w:val="21"/>
                <w:szCs w:val="21"/>
              </w:rPr>
            </w:pPr>
            <w:r w:rsidRPr="009B6F2A">
              <w:rPr>
                <w:rFonts w:ascii="Calibri" w:eastAsia="Times New Roman" w:hAnsi="Calibri" w:cstheme="minorHAnsi"/>
                <w:i/>
                <w:iCs/>
                <w:color w:val="000000"/>
                <w:sz w:val="21"/>
                <w:szCs w:val="21"/>
              </w:rPr>
              <w:t xml:space="preserve">- A need for a </w:t>
            </w:r>
            <w:r>
              <w:rPr>
                <w:rFonts w:ascii="Calibri" w:eastAsia="Times New Roman" w:hAnsi="Calibri" w:cstheme="minorHAnsi"/>
                <w:i/>
                <w:iCs/>
                <w:color w:val="000000"/>
                <w:sz w:val="21"/>
                <w:szCs w:val="21"/>
              </w:rPr>
              <w:t>MDT</w:t>
            </w:r>
            <w:r w:rsidRPr="009B6F2A">
              <w:rPr>
                <w:rFonts w:ascii="Calibri" w:eastAsia="Times New Roman" w:hAnsi="Calibri" w:cstheme="minorHAnsi"/>
                <w:i/>
                <w:iCs/>
                <w:color w:val="000000"/>
                <w:sz w:val="21"/>
                <w:szCs w:val="21"/>
              </w:rPr>
              <w:t xml:space="preserve"> to develop care plans for chronic patients </w:t>
            </w:r>
          </w:p>
          <w:p w14:paraId="12C1239E" w14:textId="77777777" w:rsidR="00821B82" w:rsidRPr="00B50ED7" w:rsidRDefault="00821B82" w:rsidP="00282204">
            <w:pPr>
              <w:spacing w:after="0" w:line="240" w:lineRule="auto"/>
              <w:rPr>
                <w:rFonts w:ascii="Calibri" w:eastAsia="Times New Roman" w:hAnsi="Calibri" w:cstheme="minorHAnsi"/>
                <w:i/>
                <w:iCs/>
                <w:color w:val="000000"/>
                <w:sz w:val="21"/>
                <w:szCs w:val="21"/>
              </w:rPr>
            </w:pPr>
            <w:r w:rsidRPr="009B6F2A">
              <w:rPr>
                <w:rFonts w:ascii="Calibri" w:eastAsia="Times New Roman" w:hAnsi="Calibri" w:cstheme="minorHAnsi"/>
                <w:i/>
                <w:iCs/>
                <w:color w:val="000000"/>
                <w:sz w:val="21"/>
                <w:szCs w:val="21"/>
              </w:rPr>
              <w:t xml:space="preserve">- Desire of primary </w:t>
            </w:r>
            <w:r>
              <w:rPr>
                <w:rFonts w:ascii="Calibri" w:eastAsia="Times New Roman" w:hAnsi="Calibri" w:cstheme="minorHAnsi"/>
                <w:i/>
                <w:iCs/>
                <w:color w:val="000000"/>
                <w:sz w:val="21"/>
                <w:szCs w:val="21"/>
              </w:rPr>
              <w:t>HCPs</w:t>
            </w:r>
            <w:r w:rsidRPr="009B6F2A">
              <w:rPr>
                <w:rFonts w:ascii="Calibri" w:eastAsia="Times New Roman" w:hAnsi="Calibri" w:cstheme="minorHAnsi"/>
                <w:i/>
                <w:iCs/>
                <w:color w:val="000000"/>
                <w:sz w:val="21"/>
                <w:szCs w:val="21"/>
              </w:rPr>
              <w:t xml:space="preserve"> to have a pharmacist on their team </w:t>
            </w:r>
          </w:p>
          <w:p w14:paraId="16802BBC" w14:textId="77777777" w:rsidR="00821B82" w:rsidRPr="00B50ED7" w:rsidRDefault="00821B82" w:rsidP="00282204">
            <w:pPr>
              <w:spacing w:after="0" w:line="240" w:lineRule="auto"/>
              <w:rPr>
                <w:rFonts w:ascii="Calibri" w:eastAsia="Times New Roman" w:hAnsi="Calibri" w:cstheme="minorHAnsi"/>
                <w:i/>
                <w:iCs/>
                <w:color w:val="000000"/>
                <w:sz w:val="21"/>
                <w:szCs w:val="21"/>
              </w:rPr>
            </w:pPr>
            <w:r w:rsidRPr="009B6F2A">
              <w:rPr>
                <w:rFonts w:ascii="Calibri" w:eastAsia="Times New Roman" w:hAnsi="Calibri" w:cstheme="minorHAnsi"/>
                <w:i/>
                <w:iCs/>
                <w:color w:val="000000"/>
                <w:sz w:val="21"/>
                <w:szCs w:val="21"/>
              </w:rPr>
              <w:t xml:space="preserve">-Pharmacists’ willingness to take on new roles provide clinical services </w:t>
            </w:r>
          </w:p>
          <w:p w14:paraId="4E1A7BC6" w14:textId="77777777" w:rsidR="00821B82" w:rsidRPr="00B50ED7" w:rsidRDefault="00821B82" w:rsidP="00282204">
            <w:pPr>
              <w:spacing w:after="0" w:line="240" w:lineRule="auto"/>
              <w:rPr>
                <w:rFonts w:ascii="Calibri" w:eastAsia="Times New Roman" w:hAnsi="Calibri" w:cstheme="minorHAnsi"/>
                <w:i/>
                <w:iCs/>
                <w:color w:val="000000"/>
                <w:sz w:val="21"/>
                <w:szCs w:val="21"/>
              </w:rPr>
            </w:pPr>
            <w:r w:rsidRPr="009B6F2A">
              <w:rPr>
                <w:rFonts w:ascii="Calibri" w:eastAsia="Times New Roman" w:hAnsi="Calibri" w:cstheme="minorHAnsi"/>
                <w:i/>
                <w:iCs/>
                <w:color w:val="000000"/>
                <w:sz w:val="21"/>
                <w:szCs w:val="21"/>
              </w:rPr>
              <w:t xml:space="preserve">-Simulation of advanced pharmacy practice applied in other regions of SA </w:t>
            </w:r>
          </w:p>
          <w:p w14:paraId="690B48C6" w14:textId="77777777" w:rsidR="00821B82" w:rsidRPr="00B50ED7" w:rsidRDefault="00821B82" w:rsidP="00282204">
            <w:pPr>
              <w:spacing w:after="0" w:line="240" w:lineRule="auto"/>
              <w:rPr>
                <w:rFonts w:ascii="Calibri" w:eastAsia="Times New Roman" w:hAnsi="Calibri" w:cstheme="minorHAnsi"/>
                <w:i/>
                <w:iCs/>
                <w:color w:val="000000"/>
                <w:sz w:val="21"/>
                <w:szCs w:val="21"/>
              </w:rPr>
            </w:pPr>
            <w:r w:rsidRPr="009B6F2A">
              <w:rPr>
                <w:rFonts w:ascii="Calibri" w:eastAsia="Times New Roman" w:hAnsi="Calibri" w:cstheme="minorHAnsi"/>
                <w:i/>
                <w:iCs/>
                <w:color w:val="000000"/>
                <w:sz w:val="21"/>
                <w:szCs w:val="21"/>
              </w:rPr>
              <w:t xml:space="preserve">-Drug Delivery Initiative for Chronic Disease Patients in the COVID-19 Pandemic </w:t>
            </w:r>
          </w:p>
          <w:p w14:paraId="70F3B8B5" w14:textId="77777777" w:rsidR="00821B82" w:rsidRPr="009B6F2A" w:rsidRDefault="00821B82" w:rsidP="00282204">
            <w:pPr>
              <w:spacing w:after="0" w:line="240" w:lineRule="auto"/>
              <w:rPr>
                <w:rFonts w:ascii="Calibri" w:eastAsia="Times New Roman" w:hAnsi="Calibri" w:cstheme="minorHAnsi"/>
                <w:color w:val="000000"/>
                <w:sz w:val="21"/>
                <w:szCs w:val="21"/>
              </w:rPr>
            </w:pPr>
            <w:r w:rsidRPr="009B6F2A">
              <w:rPr>
                <w:rFonts w:ascii="Calibri" w:eastAsia="Times New Roman" w:hAnsi="Calibri" w:cstheme="minorHAnsi"/>
                <w:i/>
                <w:iCs/>
                <w:color w:val="000000"/>
                <w:sz w:val="21"/>
                <w:szCs w:val="21"/>
              </w:rPr>
              <w:t>- Digitising Healthcare System</w:t>
            </w:r>
          </w:p>
        </w:tc>
      </w:tr>
    </w:tbl>
    <w:p w14:paraId="4F95D196" w14:textId="77777777" w:rsidR="00821B82" w:rsidRDefault="00821B82" w:rsidP="00821B82">
      <w:pPr>
        <w:shd w:val="clear" w:color="auto" w:fill="FFFFFF"/>
        <w:spacing w:after="0" w:line="360" w:lineRule="auto"/>
        <w:rPr>
          <w:rFonts w:asciiTheme="minorBidi" w:eastAsia="Times New Roman" w:hAnsiTheme="minorBidi"/>
          <w:color w:val="32363A"/>
          <w:sz w:val="24"/>
          <w:szCs w:val="24"/>
          <w:shd w:val="clear" w:color="auto" w:fill="FFFFFF"/>
        </w:rPr>
        <w:sectPr w:rsidR="00821B82" w:rsidSect="00282204">
          <w:pgSz w:w="15840" w:h="12240" w:orient="landscape"/>
          <w:pgMar w:top="1440" w:right="1440" w:bottom="1440" w:left="1440" w:header="720" w:footer="720" w:gutter="0"/>
          <w:cols w:space="720"/>
          <w:docGrid w:linePitch="360"/>
        </w:sectPr>
      </w:pPr>
    </w:p>
    <w:p w14:paraId="4196460D" w14:textId="77777777" w:rsidR="00821B82" w:rsidRPr="000C6076" w:rsidRDefault="00821B82" w:rsidP="00821B82">
      <w:pPr>
        <w:pStyle w:val="Heading3"/>
        <w:numPr>
          <w:ilvl w:val="2"/>
          <w:numId w:val="14"/>
        </w:numPr>
      </w:pPr>
      <w:bookmarkStart w:id="252" w:name="_Toc153894203"/>
      <w:r w:rsidRPr="00531594">
        <w:t>Role of pharmacists in primary care settings</w:t>
      </w:r>
      <w:bookmarkEnd w:id="252"/>
    </w:p>
    <w:p w14:paraId="3D0A4367" w14:textId="77777777" w:rsidR="00821B82" w:rsidRPr="00B75C4D" w:rsidRDefault="00821B82" w:rsidP="00821B82">
      <w:pPr>
        <w:spacing w:line="360" w:lineRule="auto"/>
        <w:jc w:val="both"/>
        <w:rPr>
          <w:rFonts w:asciiTheme="minorBidi" w:hAnsiTheme="minorBidi"/>
          <w:sz w:val="24"/>
          <w:szCs w:val="24"/>
        </w:rPr>
      </w:pPr>
      <w:r w:rsidRPr="005A07CF">
        <w:rPr>
          <w:rFonts w:asciiTheme="minorBidi" w:hAnsiTheme="minorBidi"/>
          <w:sz w:val="24"/>
          <w:szCs w:val="24"/>
        </w:rPr>
        <w:t xml:space="preserve">This </w:t>
      </w:r>
      <w:r>
        <w:rPr>
          <w:rFonts w:asciiTheme="minorBidi" w:hAnsiTheme="minorBidi"/>
          <w:sz w:val="24"/>
          <w:szCs w:val="24"/>
        </w:rPr>
        <w:t xml:space="preserve">first </w:t>
      </w:r>
      <w:r w:rsidRPr="005A07CF">
        <w:rPr>
          <w:rFonts w:asciiTheme="minorBidi" w:hAnsiTheme="minorBidi"/>
          <w:sz w:val="24"/>
          <w:szCs w:val="24"/>
        </w:rPr>
        <w:t xml:space="preserve">theme focuses on participants’ experiences </w:t>
      </w:r>
      <w:r>
        <w:rPr>
          <w:rFonts w:asciiTheme="minorBidi" w:hAnsiTheme="minorBidi"/>
          <w:sz w:val="24"/>
          <w:szCs w:val="24"/>
        </w:rPr>
        <w:t xml:space="preserve">working with/as pharmacists in PHCs </w:t>
      </w:r>
      <w:r w:rsidRPr="005A07CF">
        <w:rPr>
          <w:rFonts w:asciiTheme="minorBidi" w:hAnsiTheme="minorBidi"/>
          <w:sz w:val="24"/>
          <w:szCs w:val="24"/>
        </w:rPr>
        <w:t xml:space="preserve">and </w:t>
      </w:r>
      <w:r>
        <w:rPr>
          <w:rFonts w:asciiTheme="minorBidi" w:hAnsiTheme="minorBidi"/>
          <w:sz w:val="24"/>
          <w:szCs w:val="24"/>
        </w:rPr>
        <w:t xml:space="preserve">their </w:t>
      </w:r>
      <w:r w:rsidRPr="005A07CF">
        <w:rPr>
          <w:rFonts w:asciiTheme="minorBidi" w:hAnsiTheme="minorBidi"/>
          <w:sz w:val="24"/>
          <w:szCs w:val="24"/>
        </w:rPr>
        <w:t xml:space="preserve">perceptions of </w:t>
      </w:r>
      <w:r>
        <w:rPr>
          <w:rFonts w:asciiTheme="minorBidi" w:hAnsiTheme="minorBidi"/>
          <w:sz w:val="24"/>
          <w:szCs w:val="24"/>
        </w:rPr>
        <w:t>the pharmacy practice in primary care settings (PHCs</w:t>
      </w:r>
      <w:r w:rsidRPr="00A36806">
        <w:rPr>
          <w:rFonts w:asciiTheme="minorBidi" w:hAnsiTheme="minorBidi"/>
          <w:sz w:val="24"/>
          <w:szCs w:val="24"/>
        </w:rPr>
        <w:t xml:space="preserve"> and retail community pharmacies)</w:t>
      </w:r>
      <w:r>
        <w:rPr>
          <w:rFonts w:asciiTheme="minorBidi" w:hAnsiTheme="minorBidi"/>
          <w:sz w:val="24"/>
          <w:szCs w:val="24"/>
        </w:rPr>
        <w:t xml:space="preserve">. </w:t>
      </w:r>
      <w:r w:rsidRPr="00B9058C">
        <w:rPr>
          <w:rFonts w:asciiTheme="minorBidi" w:hAnsiTheme="minorBidi"/>
          <w:sz w:val="24"/>
          <w:szCs w:val="24"/>
        </w:rPr>
        <w:t xml:space="preserve">The theme consists of </w:t>
      </w:r>
      <w:r>
        <w:rPr>
          <w:rFonts w:asciiTheme="minorBidi" w:hAnsiTheme="minorBidi"/>
          <w:sz w:val="24"/>
          <w:szCs w:val="24"/>
        </w:rPr>
        <w:t>four</w:t>
      </w:r>
      <w:r w:rsidRPr="00B9058C">
        <w:rPr>
          <w:rFonts w:asciiTheme="minorBidi" w:hAnsiTheme="minorBidi"/>
          <w:sz w:val="24"/>
          <w:szCs w:val="24"/>
        </w:rPr>
        <w:t xml:space="preserve"> sub-themes that are related </w:t>
      </w:r>
      <w:r>
        <w:rPr>
          <w:rFonts w:asciiTheme="minorBidi" w:hAnsiTheme="minorBidi"/>
          <w:sz w:val="24"/>
          <w:szCs w:val="24"/>
        </w:rPr>
        <w:t xml:space="preserve">to </w:t>
      </w:r>
      <w:r w:rsidRPr="00B9058C">
        <w:rPr>
          <w:rFonts w:asciiTheme="minorBidi" w:hAnsiTheme="minorBidi"/>
          <w:sz w:val="24"/>
          <w:szCs w:val="24"/>
        </w:rPr>
        <w:t>each other</w:t>
      </w:r>
      <w:r>
        <w:rPr>
          <w:rFonts w:asciiTheme="minorBidi" w:hAnsiTheme="minorBidi"/>
          <w:sz w:val="24"/>
          <w:szCs w:val="24"/>
        </w:rPr>
        <w:t xml:space="preserve"> </w:t>
      </w:r>
      <w:r w:rsidRPr="00B9058C">
        <w:rPr>
          <w:rFonts w:asciiTheme="minorBidi" w:hAnsiTheme="minorBidi"/>
          <w:sz w:val="24"/>
          <w:szCs w:val="24"/>
        </w:rPr>
        <w:t xml:space="preserve">to understand the participants’ </w:t>
      </w:r>
      <w:r w:rsidRPr="005A07CF">
        <w:rPr>
          <w:rFonts w:asciiTheme="minorBidi" w:hAnsiTheme="minorBidi"/>
          <w:sz w:val="24"/>
          <w:szCs w:val="24"/>
        </w:rPr>
        <w:t xml:space="preserve">experiences </w:t>
      </w:r>
      <w:r>
        <w:rPr>
          <w:rFonts w:asciiTheme="minorBidi" w:hAnsiTheme="minorBidi"/>
          <w:sz w:val="24"/>
          <w:szCs w:val="24"/>
        </w:rPr>
        <w:t xml:space="preserve">and </w:t>
      </w:r>
      <w:r w:rsidRPr="00B9058C">
        <w:rPr>
          <w:rFonts w:asciiTheme="minorBidi" w:hAnsiTheme="minorBidi"/>
          <w:sz w:val="24"/>
          <w:szCs w:val="24"/>
        </w:rPr>
        <w:t xml:space="preserve">perceptions of </w:t>
      </w:r>
      <w:r>
        <w:rPr>
          <w:rFonts w:asciiTheme="minorBidi" w:hAnsiTheme="minorBidi"/>
          <w:sz w:val="24"/>
          <w:szCs w:val="24"/>
        </w:rPr>
        <w:t>pharmacy</w:t>
      </w:r>
      <w:r w:rsidRPr="00B9058C">
        <w:rPr>
          <w:rFonts w:asciiTheme="minorBidi" w:hAnsiTheme="minorBidi"/>
          <w:sz w:val="24"/>
          <w:szCs w:val="24"/>
        </w:rPr>
        <w:t xml:space="preserve"> </w:t>
      </w:r>
      <w:r>
        <w:rPr>
          <w:rFonts w:asciiTheme="minorBidi" w:hAnsiTheme="minorBidi"/>
          <w:sz w:val="24"/>
          <w:szCs w:val="24"/>
        </w:rPr>
        <w:t>practice</w:t>
      </w:r>
      <w:r w:rsidRPr="00B9058C">
        <w:rPr>
          <w:rFonts w:asciiTheme="minorBidi" w:hAnsiTheme="minorBidi"/>
          <w:sz w:val="24"/>
          <w:szCs w:val="24"/>
        </w:rPr>
        <w:t xml:space="preserve"> </w:t>
      </w:r>
      <w:r>
        <w:rPr>
          <w:rFonts w:asciiTheme="minorBidi" w:hAnsiTheme="minorBidi"/>
          <w:sz w:val="24"/>
          <w:szCs w:val="24"/>
        </w:rPr>
        <w:t>i</w:t>
      </w:r>
      <w:r w:rsidRPr="00B9058C">
        <w:rPr>
          <w:rFonts w:asciiTheme="minorBidi" w:hAnsiTheme="minorBidi"/>
          <w:sz w:val="24"/>
          <w:szCs w:val="24"/>
        </w:rPr>
        <w:t>n their work.</w:t>
      </w:r>
      <w:r>
        <w:rPr>
          <w:rFonts w:asciiTheme="minorBidi" w:hAnsiTheme="minorBidi"/>
          <w:sz w:val="24"/>
          <w:szCs w:val="24"/>
        </w:rPr>
        <w:t xml:space="preserve"> </w:t>
      </w:r>
      <w:r w:rsidRPr="00BD27FD">
        <w:rPr>
          <w:rFonts w:asciiTheme="minorBidi" w:hAnsiTheme="minorBidi"/>
          <w:sz w:val="24"/>
          <w:szCs w:val="24"/>
        </w:rPr>
        <w:t>In the first sub-theme the interviewees described pha</w:t>
      </w:r>
      <w:r>
        <w:rPr>
          <w:rFonts w:asciiTheme="minorBidi" w:hAnsiTheme="minorBidi"/>
          <w:sz w:val="24"/>
          <w:szCs w:val="24"/>
        </w:rPr>
        <w:t>r</w:t>
      </w:r>
      <w:r w:rsidRPr="00BD27FD">
        <w:rPr>
          <w:rFonts w:asciiTheme="minorBidi" w:hAnsiTheme="minorBidi"/>
          <w:sz w:val="24"/>
          <w:szCs w:val="24"/>
        </w:rPr>
        <w:t>maceutical services deliver</w:t>
      </w:r>
      <w:r>
        <w:rPr>
          <w:rFonts w:asciiTheme="minorBidi" w:hAnsiTheme="minorBidi"/>
          <w:sz w:val="24"/>
          <w:szCs w:val="24"/>
        </w:rPr>
        <w:t>e</w:t>
      </w:r>
      <w:r w:rsidRPr="00BD27FD">
        <w:rPr>
          <w:rFonts w:asciiTheme="minorBidi" w:hAnsiTheme="minorBidi"/>
          <w:sz w:val="24"/>
          <w:szCs w:val="24"/>
        </w:rPr>
        <w:t>d to patients and pharmacists</w:t>
      </w:r>
      <w:r>
        <w:rPr>
          <w:rFonts w:asciiTheme="minorBidi" w:hAnsiTheme="minorBidi"/>
          <w:sz w:val="24"/>
          <w:szCs w:val="24"/>
        </w:rPr>
        <w:t xml:space="preserve">’ </w:t>
      </w:r>
      <w:r w:rsidRPr="00BD27FD">
        <w:rPr>
          <w:rFonts w:asciiTheme="minorBidi" w:hAnsiTheme="minorBidi"/>
          <w:sz w:val="24"/>
          <w:szCs w:val="24"/>
        </w:rPr>
        <w:t>roles in patient management. In the second</w:t>
      </w:r>
      <w:r>
        <w:rPr>
          <w:rFonts w:asciiTheme="minorBidi" w:hAnsiTheme="minorBidi"/>
          <w:sz w:val="24"/>
          <w:szCs w:val="24"/>
        </w:rPr>
        <w:t xml:space="preserve"> </w:t>
      </w:r>
      <w:r w:rsidRPr="00BD27FD">
        <w:rPr>
          <w:rFonts w:asciiTheme="minorBidi" w:hAnsiTheme="minorBidi"/>
          <w:sz w:val="24"/>
          <w:szCs w:val="24"/>
        </w:rPr>
        <w:t>sub</w:t>
      </w:r>
      <w:r>
        <w:rPr>
          <w:rFonts w:asciiTheme="minorBidi" w:hAnsiTheme="minorBidi"/>
          <w:sz w:val="24"/>
          <w:szCs w:val="24"/>
        </w:rPr>
        <w:t>-</w:t>
      </w:r>
      <w:r w:rsidRPr="00BD27FD">
        <w:rPr>
          <w:rFonts w:asciiTheme="minorBidi" w:hAnsiTheme="minorBidi"/>
          <w:sz w:val="24"/>
          <w:szCs w:val="24"/>
        </w:rPr>
        <w:t xml:space="preserve">theme the interviewees </w:t>
      </w:r>
      <w:r w:rsidRPr="00BB4D61">
        <w:rPr>
          <w:rFonts w:asciiTheme="minorBidi" w:hAnsiTheme="minorBidi"/>
          <w:sz w:val="24"/>
          <w:szCs w:val="24"/>
        </w:rPr>
        <w:t xml:space="preserve">described </w:t>
      </w:r>
      <w:r w:rsidRPr="00CE0B4E">
        <w:rPr>
          <w:rFonts w:asciiTheme="minorBidi" w:hAnsiTheme="minorBidi"/>
          <w:sz w:val="24"/>
          <w:szCs w:val="24"/>
        </w:rPr>
        <w:t xml:space="preserve">the </w:t>
      </w:r>
      <w:r w:rsidRPr="00CE0B4E">
        <w:rPr>
          <w:rFonts w:asciiTheme="minorBidi" w:eastAsiaTheme="minorEastAsia" w:hAnsiTheme="minorBidi"/>
          <w:sz w:val="24"/>
          <w:szCs w:val="24"/>
          <w:lang w:eastAsia="en-GB"/>
        </w:rPr>
        <w:t>impact</w:t>
      </w:r>
      <w:r>
        <w:rPr>
          <w:rFonts w:asciiTheme="minorBidi" w:eastAsiaTheme="minorEastAsia" w:hAnsiTheme="minorBidi"/>
          <w:sz w:val="24"/>
          <w:szCs w:val="24"/>
          <w:lang w:eastAsia="en-GB"/>
        </w:rPr>
        <w:t>s</w:t>
      </w:r>
      <w:r w:rsidRPr="00CE0B4E">
        <w:rPr>
          <w:rFonts w:asciiTheme="minorBidi" w:eastAsiaTheme="minorEastAsia" w:hAnsiTheme="minorBidi"/>
          <w:sz w:val="24"/>
          <w:szCs w:val="24"/>
          <w:lang w:eastAsia="en-GB"/>
        </w:rPr>
        <w:t xml:space="preserve"> of integrating pharmacists into </w:t>
      </w:r>
      <w:r>
        <w:rPr>
          <w:rFonts w:asciiTheme="minorBidi" w:eastAsiaTheme="minorEastAsia" w:hAnsiTheme="minorBidi"/>
          <w:sz w:val="24"/>
          <w:szCs w:val="24"/>
          <w:lang w:eastAsia="en-GB"/>
        </w:rPr>
        <w:t>PHCs</w:t>
      </w:r>
      <w:r w:rsidRPr="00CE0B4E">
        <w:rPr>
          <w:rFonts w:asciiTheme="minorBidi" w:eastAsiaTheme="minorEastAsia" w:hAnsiTheme="minorBidi"/>
          <w:sz w:val="24"/>
          <w:szCs w:val="24"/>
          <w:lang w:eastAsia="en-GB"/>
        </w:rPr>
        <w:t xml:space="preserve"> teams</w:t>
      </w:r>
      <w:r>
        <w:rPr>
          <w:rFonts w:asciiTheme="minorBidi" w:hAnsiTheme="minorBidi"/>
          <w:sz w:val="24"/>
          <w:szCs w:val="24"/>
        </w:rPr>
        <w:t>.</w:t>
      </w:r>
      <w:r w:rsidRPr="00BD27FD">
        <w:rPr>
          <w:rFonts w:asciiTheme="minorBidi" w:hAnsiTheme="minorBidi"/>
          <w:sz w:val="24"/>
          <w:szCs w:val="24"/>
        </w:rPr>
        <w:t xml:space="preserve"> The third sub-theme</w:t>
      </w:r>
      <w:r>
        <w:rPr>
          <w:rFonts w:asciiTheme="minorBidi" w:hAnsiTheme="minorBidi"/>
          <w:sz w:val="24"/>
          <w:szCs w:val="24"/>
        </w:rPr>
        <w:t xml:space="preserve"> relates to</w:t>
      </w:r>
      <w:r w:rsidRPr="00BD27FD">
        <w:rPr>
          <w:rFonts w:asciiTheme="minorBidi" w:hAnsiTheme="minorBidi"/>
          <w:sz w:val="24"/>
          <w:szCs w:val="24"/>
        </w:rPr>
        <w:t xml:space="preserve"> participants ta</w:t>
      </w:r>
      <w:r>
        <w:rPr>
          <w:rFonts w:asciiTheme="minorBidi" w:hAnsiTheme="minorBidi"/>
          <w:sz w:val="24"/>
          <w:szCs w:val="24"/>
        </w:rPr>
        <w:t>l</w:t>
      </w:r>
      <w:r w:rsidRPr="00BD27FD">
        <w:rPr>
          <w:rFonts w:asciiTheme="minorBidi" w:hAnsiTheme="minorBidi"/>
          <w:sz w:val="24"/>
          <w:szCs w:val="24"/>
        </w:rPr>
        <w:t xml:space="preserve">king about </w:t>
      </w:r>
      <w:r>
        <w:rPr>
          <w:rFonts w:asciiTheme="minorBidi" w:hAnsiTheme="minorBidi"/>
          <w:sz w:val="24"/>
          <w:szCs w:val="24"/>
        </w:rPr>
        <w:t>the p</w:t>
      </w:r>
      <w:r w:rsidRPr="00DF0D69">
        <w:rPr>
          <w:rFonts w:asciiTheme="minorBidi" w:hAnsiTheme="minorBidi"/>
          <w:sz w:val="24"/>
          <w:szCs w:val="24"/>
        </w:rPr>
        <w:t>erceived impact of involving pharmacists in diabetes primary care management.</w:t>
      </w:r>
      <w:r>
        <w:rPr>
          <w:rFonts w:asciiTheme="minorBidi" w:hAnsiTheme="minorBidi"/>
          <w:sz w:val="24"/>
          <w:szCs w:val="24"/>
        </w:rPr>
        <w:t xml:space="preserve"> The final sub-theme covers participants’</w:t>
      </w:r>
      <w:r>
        <w:rPr>
          <w:rFonts w:asciiTheme="minorBidi" w:hAnsiTheme="minorBidi" w:hint="cs"/>
          <w:sz w:val="24"/>
          <w:szCs w:val="24"/>
          <w:rtl/>
        </w:rPr>
        <w:t xml:space="preserve"> </w:t>
      </w:r>
      <w:r>
        <w:rPr>
          <w:rFonts w:asciiTheme="minorBidi" w:hAnsiTheme="minorBidi"/>
          <w:sz w:val="24"/>
          <w:szCs w:val="24"/>
        </w:rPr>
        <w:t xml:space="preserve">expression of their </w:t>
      </w:r>
      <w:r w:rsidRPr="00B75C4D">
        <w:rPr>
          <w:rFonts w:asciiTheme="minorBidi" w:hAnsiTheme="minorBidi"/>
          <w:sz w:val="24"/>
          <w:szCs w:val="24"/>
        </w:rPr>
        <w:t xml:space="preserve">concerns </w:t>
      </w:r>
      <w:r>
        <w:rPr>
          <w:rFonts w:asciiTheme="minorBidi" w:hAnsiTheme="minorBidi"/>
          <w:sz w:val="24"/>
          <w:szCs w:val="24"/>
        </w:rPr>
        <w:t xml:space="preserve">over the </w:t>
      </w:r>
      <w:r w:rsidRPr="00B75C4D">
        <w:rPr>
          <w:rFonts w:asciiTheme="minorBidi" w:hAnsiTheme="minorBidi"/>
          <w:sz w:val="24"/>
          <w:szCs w:val="24"/>
        </w:rPr>
        <w:t>sh</w:t>
      </w:r>
      <w:r>
        <w:rPr>
          <w:rFonts w:asciiTheme="minorBidi" w:hAnsiTheme="minorBidi"/>
          <w:sz w:val="24"/>
          <w:szCs w:val="24"/>
        </w:rPr>
        <w:t>i</w:t>
      </w:r>
      <w:r w:rsidRPr="00B75C4D">
        <w:rPr>
          <w:rFonts w:asciiTheme="minorBidi" w:hAnsiTheme="minorBidi"/>
          <w:sz w:val="24"/>
          <w:szCs w:val="24"/>
        </w:rPr>
        <w:t xml:space="preserve">fting </w:t>
      </w:r>
      <w:r>
        <w:rPr>
          <w:rFonts w:asciiTheme="minorBidi" w:hAnsiTheme="minorBidi"/>
          <w:sz w:val="24"/>
          <w:szCs w:val="24"/>
        </w:rPr>
        <w:t xml:space="preserve">of </w:t>
      </w:r>
      <w:r w:rsidRPr="00B75C4D">
        <w:rPr>
          <w:rFonts w:asciiTheme="minorBidi" w:hAnsiTheme="minorBidi"/>
          <w:sz w:val="24"/>
          <w:szCs w:val="24"/>
        </w:rPr>
        <w:t>pharmacy services to the retail community pharmacies</w:t>
      </w:r>
      <w:r>
        <w:rPr>
          <w:rFonts w:asciiTheme="minorBidi" w:hAnsiTheme="minorBidi"/>
          <w:sz w:val="24"/>
          <w:szCs w:val="24"/>
        </w:rPr>
        <w:t>.</w:t>
      </w:r>
    </w:p>
    <w:p w14:paraId="4DC8A8B9" w14:textId="77777777" w:rsidR="00821B82" w:rsidRPr="00B8310D" w:rsidRDefault="00821B82" w:rsidP="00821B82">
      <w:pPr>
        <w:pStyle w:val="Heading4"/>
        <w:numPr>
          <w:ilvl w:val="3"/>
          <w:numId w:val="14"/>
        </w:numPr>
        <w:tabs>
          <w:tab w:val="left" w:pos="810"/>
        </w:tabs>
        <w:spacing w:before="0" w:line="360" w:lineRule="auto"/>
        <w:ind w:left="0" w:firstLine="0"/>
        <w:rPr>
          <w:rFonts w:asciiTheme="minorBidi" w:hAnsiTheme="minorBidi" w:cstheme="minorBidi"/>
          <w:sz w:val="24"/>
          <w:szCs w:val="24"/>
        </w:rPr>
      </w:pPr>
      <w:r w:rsidRPr="00B8310D">
        <w:rPr>
          <w:rFonts w:asciiTheme="minorBidi" w:hAnsiTheme="minorBidi" w:cstheme="minorBidi"/>
          <w:sz w:val="24"/>
          <w:szCs w:val="24"/>
        </w:rPr>
        <w:t>Standard roles and practices for primary care pharmacists</w:t>
      </w:r>
    </w:p>
    <w:p w14:paraId="25FDA709" w14:textId="77777777" w:rsidR="00821B82" w:rsidRDefault="00821B82" w:rsidP="00821B82">
      <w:pPr>
        <w:spacing w:line="360" w:lineRule="auto"/>
        <w:jc w:val="both"/>
        <w:rPr>
          <w:rFonts w:asciiTheme="minorBidi" w:hAnsiTheme="minorBidi"/>
          <w:sz w:val="24"/>
          <w:szCs w:val="24"/>
        </w:rPr>
      </w:pPr>
      <w:r w:rsidRPr="00460DDC">
        <w:rPr>
          <w:rFonts w:asciiTheme="minorBidi" w:hAnsiTheme="minorBidi"/>
          <w:sz w:val="24"/>
          <w:szCs w:val="24"/>
        </w:rPr>
        <w:t>This sub</w:t>
      </w:r>
      <w:r>
        <w:rPr>
          <w:rFonts w:asciiTheme="minorBidi" w:hAnsiTheme="minorBidi"/>
          <w:sz w:val="24"/>
          <w:szCs w:val="24"/>
        </w:rPr>
        <w:t>-</w:t>
      </w:r>
      <w:r w:rsidRPr="00460DDC">
        <w:rPr>
          <w:rFonts w:asciiTheme="minorBidi" w:hAnsiTheme="minorBidi"/>
          <w:sz w:val="24"/>
          <w:szCs w:val="24"/>
        </w:rPr>
        <w:t xml:space="preserve">theme mainly focused on pharmacy practice in PHCs. </w:t>
      </w:r>
      <w:r w:rsidRPr="002035EA">
        <w:rPr>
          <w:rFonts w:asciiTheme="minorBidi" w:hAnsiTheme="minorBidi"/>
          <w:sz w:val="24"/>
          <w:szCs w:val="24"/>
        </w:rPr>
        <w:t>All participants agreed that pharmacists have a critical role in patient care, especially chronic care, including diabetes.</w:t>
      </w:r>
      <w:r w:rsidRPr="00460DDC">
        <w:rPr>
          <w:rFonts w:asciiTheme="minorBidi" w:hAnsiTheme="minorBidi"/>
          <w:sz w:val="24"/>
          <w:szCs w:val="24"/>
        </w:rPr>
        <w:t xml:space="preserve"> The interviewees talked about the work duties of pharmacists in their workplace.</w:t>
      </w:r>
      <w:r>
        <w:rPr>
          <w:rFonts w:asciiTheme="minorBidi" w:hAnsiTheme="minorBidi"/>
          <w:sz w:val="24"/>
          <w:szCs w:val="24"/>
        </w:rPr>
        <w:t xml:space="preserve"> </w:t>
      </w:r>
    </w:p>
    <w:p w14:paraId="0EFDD858" w14:textId="77777777" w:rsidR="00821B82" w:rsidRPr="00B8310D" w:rsidRDefault="00821B82" w:rsidP="00821B82">
      <w:pPr>
        <w:pStyle w:val="Heading5"/>
        <w:spacing w:line="360" w:lineRule="auto"/>
        <w:rPr>
          <w:rFonts w:asciiTheme="minorBidi" w:hAnsiTheme="minorBidi" w:cstheme="minorBidi"/>
          <w:sz w:val="24"/>
          <w:szCs w:val="24"/>
        </w:rPr>
      </w:pPr>
      <w:r w:rsidRPr="00B8310D">
        <w:rPr>
          <w:rFonts w:asciiTheme="minorBidi" w:hAnsiTheme="minorBidi" w:cstheme="minorBidi"/>
          <w:sz w:val="24"/>
          <w:szCs w:val="24"/>
        </w:rPr>
        <w:t>Job responsibilities</w:t>
      </w:r>
    </w:p>
    <w:p w14:paraId="3B6153CD" w14:textId="77777777" w:rsidR="00821B82" w:rsidRDefault="00821B82" w:rsidP="00821B82">
      <w:pPr>
        <w:spacing w:line="360" w:lineRule="auto"/>
        <w:jc w:val="both"/>
        <w:rPr>
          <w:rFonts w:asciiTheme="minorBidi" w:hAnsiTheme="minorBidi"/>
          <w:sz w:val="24"/>
          <w:szCs w:val="24"/>
        </w:rPr>
      </w:pPr>
      <w:r>
        <w:rPr>
          <w:rFonts w:asciiTheme="minorBidi" w:hAnsiTheme="minorBidi"/>
          <w:sz w:val="24"/>
          <w:szCs w:val="24"/>
        </w:rPr>
        <w:t>The participants mentioned that a</w:t>
      </w:r>
      <w:r w:rsidRPr="004F0118">
        <w:rPr>
          <w:rFonts w:asciiTheme="minorBidi" w:hAnsiTheme="minorBidi"/>
          <w:sz w:val="24"/>
          <w:szCs w:val="24"/>
        </w:rPr>
        <w:t xml:space="preserve"> pharmacy in a PHC is usually run by an employee who is a pharmacist or pharmacy technician responsible for all pharmaceutical services provided to patients, </w:t>
      </w:r>
      <w:r>
        <w:rPr>
          <w:rFonts w:asciiTheme="minorBidi" w:hAnsiTheme="minorBidi"/>
          <w:sz w:val="24"/>
          <w:szCs w:val="24"/>
        </w:rPr>
        <w:t>HCPs</w:t>
      </w:r>
      <w:r w:rsidRPr="004F0118">
        <w:rPr>
          <w:rFonts w:asciiTheme="minorBidi" w:hAnsiTheme="minorBidi"/>
          <w:sz w:val="24"/>
          <w:szCs w:val="24"/>
        </w:rPr>
        <w:t>, the public, and organisations.</w:t>
      </w:r>
      <w:r>
        <w:rPr>
          <w:rFonts w:asciiTheme="minorBidi" w:hAnsiTheme="minorBidi"/>
          <w:sz w:val="24"/>
          <w:szCs w:val="24"/>
        </w:rPr>
        <w:t xml:space="preserve"> </w:t>
      </w:r>
      <w:r w:rsidRPr="00493622">
        <w:rPr>
          <w:rFonts w:asciiTheme="minorBidi" w:hAnsiTheme="minorBidi"/>
          <w:sz w:val="24"/>
          <w:szCs w:val="24"/>
        </w:rPr>
        <w:t xml:space="preserve">They are </w:t>
      </w:r>
      <w:r>
        <w:rPr>
          <w:rFonts w:asciiTheme="minorBidi" w:hAnsiTheme="minorBidi"/>
          <w:sz w:val="24"/>
          <w:szCs w:val="24"/>
        </w:rPr>
        <w:t xml:space="preserve">thus </w:t>
      </w:r>
      <w:r w:rsidRPr="00493622">
        <w:rPr>
          <w:rFonts w:asciiTheme="minorBidi" w:hAnsiTheme="minorBidi"/>
          <w:sz w:val="24"/>
          <w:szCs w:val="24"/>
        </w:rPr>
        <w:t xml:space="preserve">responsible for: </w:t>
      </w:r>
      <w:r>
        <w:rPr>
          <w:rFonts w:asciiTheme="minorBidi" w:hAnsiTheme="minorBidi"/>
          <w:sz w:val="24"/>
          <w:szCs w:val="24"/>
        </w:rPr>
        <w:t>ordering medications for patients and the health centre and i</w:t>
      </w:r>
      <w:r w:rsidRPr="00493622">
        <w:rPr>
          <w:rFonts w:asciiTheme="minorBidi" w:hAnsiTheme="minorBidi"/>
          <w:sz w:val="24"/>
          <w:szCs w:val="24"/>
        </w:rPr>
        <w:t>mplementing policies and procedures regarding the dispensing of medications to the patients, implementing the drug safety programmes through reporting any adverse drug reactions, allergies, and medication errors, performing monthly inspection of the pharmacy and all medication storage areas for any expired or near to expire medications, reporting drug shortages to the doctors and medical director, and recommend</w:t>
      </w:r>
      <w:r>
        <w:rPr>
          <w:rFonts w:asciiTheme="minorBidi" w:hAnsiTheme="minorBidi"/>
          <w:sz w:val="24"/>
          <w:szCs w:val="24"/>
        </w:rPr>
        <w:t>ing</w:t>
      </w:r>
      <w:r w:rsidRPr="00493622">
        <w:rPr>
          <w:rFonts w:asciiTheme="minorBidi" w:hAnsiTheme="minorBidi"/>
          <w:sz w:val="24"/>
          <w:szCs w:val="24"/>
        </w:rPr>
        <w:t xml:space="preserve"> alt</w:t>
      </w:r>
      <w:r>
        <w:rPr>
          <w:rFonts w:asciiTheme="minorBidi" w:hAnsiTheme="minorBidi"/>
          <w:sz w:val="24"/>
          <w:szCs w:val="24"/>
        </w:rPr>
        <w:t>e</w:t>
      </w:r>
      <w:r w:rsidRPr="00493622">
        <w:rPr>
          <w:rFonts w:asciiTheme="minorBidi" w:hAnsiTheme="minorBidi"/>
          <w:sz w:val="24"/>
          <w:szCs w:val="24"/>
        </w:rPr>
        <w:t xml:space="preserve">rnative solutions, </w:t>
      </w:r>
      <w:r>
        <w:rPr>
          <w:rFonts w:asciiTheme="minorBidi" w:hAnsiTheme="minorBidi"/>
          <w:sz w:val="24"/>
          <w:szCs w:val="24"/>
        </w:rPr>
        <w:t>record</w:t>
      </w:r>
      <w:r w:rsidRPr="00493622">
        <w:rPr>
          <w:rFonts w:asciiTheme="minorBidi" w:hAnsiTheme="minorBidi"/>
          <w:sz w:val="24"/>
          <w:szCs w:val="24"/>
        </w:rPr>
        <w:t xml:space="preserve">ing monthly consumption statistics, reviewing prescription orders for appropriateness, identifying drug-drug interactions and intervening when necessary by direct communication with attending doctor, dispensing of </w:t>
      </w:r>
      <w:r>
        <w:rPr>
          <w:rFonts w:asciiTheme="minorBidi" w:hAnsiTheme="minorBidi"/>
          <w:sz w:val="24"/>
          <w:szCs w:val="24"/>
        </w:rPr>
        <w:t xml:space="preserve">medical </w:t>
      </w:r>
      <w:r w:rsidRPr="00493622">
        <w:rPr>
          <w:rFonts w:asciiTheme="minorBidi" w:hAnsiTheme="minorBidi"/>
          <w:sz w:val="24"/>
          <w:szCs w:val="24"/>
        </w:rPr>
        <w:t xml:space="preserve">prescriptions after </w:t>
      </w:r>
      <w:r w:rsidRPr="00727194">
        <w:rPr>
          <w:rFonts w:asciiTheme="minorBidi" w:hAnsiTheme="minorBidi"/>
          <w:sz w:val="24"/>
          <w:szCs w:val="24"/>
        </w:rPr>
        <w:t>verificatio</w:t>
      </w:r>
      <w:r>
        <w:rPr>
          <w:rFonts w:asciiTheme="minorBidi" w:hAnsiTheme="minorBidi"/>
          <w:sz w:val="24"/>
          <w:szCs w:val="24"/>
        </w:rPr>
        <w:t>n</w:t>
      </w:r>
      <w:r w:rsidRPr="00493622">
        <w:rPr>
          <w:rFonts w:asciiTheme="minorBidi" w:hAnsiTheme="minorBidi"/>
          <w:sz w:val="24"/>
          <w:szCs w:val="24"/>
        </w:rPr>
        <w:t>, providing medication education and counselling patients on appropriate medication usage and storage, providing also educational presentations to pharmacy staff, other healthcare professionals, and intern students</w:t>
      </w:r>
      <w:r>
        <w:rPr>
          <w:rFonts w:asciiTheme="minorBidi" w:hAnsiTheme="minorBidi"/>
          <w:sz w:val="24"/>
          <w:szCs w:val="24"/>
        </w:rPr>
        <w:t>:</w:t>
      </w:r>
    </w:p>
    <w:p w14:paraId="1FD8C348" w14:textId="77777777" w:rsidR="00821B82" w:rsidRPr="000D474A"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0D474A">
        <w:rPr>
          <w:rFonts w:eastAsiaTheme="minorEastAsia" w:cstheme="minorHAnsi"/>
          <w:i/>
          <w:iCs/>
          <w:sz w:val="24"/>
          <w:szCs w:val="24"/>
          <w:lang w:val="en-GB" w:eastAsia="en-GB"/>
        </w:rPr>
        <w:t>The pharmacy is usually operated with a pharmacy employee, either a pharmacist or a pharmacy technician. This employee must provide the service of traditional pharmacy practice, mainly to dispense prescriptions to patients and perform all technical and administrative tasks.</w:t>
      </w:r>
      <w:r>
        <w:rPr>
          <w:rFonts w:eastAsiaTheme="minorEastAsia" w:cstheme="minorHAnsi"/>
          <w:i/>
          <w:iCs/>
          <w:sz w:val="24"/>
          <w:szCs w:val="24"/>
          <w:lang w:val="en-GB" w:eastAsia="en-GB"/>
        </w:rPr>
        <w:t>’</w:t>
      </w:r>
      <w:r w:rsidRPr="000D474A">
        <w:rPr>
          <w:rFonts w:eastAsiaTheme="minorEastAsia" w:cstheme="minorHAnsi"/>
          <w:i/>
          <w:iCs/>
          <w:sz w:val="24"/>
          <w:szCs w:val="24"/>
          <w:lang w:val="en-GB" w:eastAsia="en-GB"/>
        </w:rPr>
        <w:t xml:space="preserve"> Ph1</w:t>
      </w:r>
    </w:p>
    <w:p w14:paraId="59C85288"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0D474A">
        <w:rPr>
          <w:rFonts w:eastAsiaTheme="minorEastAsia" w:cstheme="minorHAnsi"/>
          <w:i/>
          <w:iCs/>
          <w:sz w:val="24"/>
          <w:szCs w:val="24"/>
          <w:lang w:val="en-GB" w:eastAsia="en-GB"/>
        </w:rPr>
        <w:t>A pharmacist who works alone in a PHC has to do a lot of work regarding statistics, recording the number of medications and ordering medications.</w:t>
      </w:r>
      <w:r>
        <w:rPr>
          <w:rFonts w:eastAsiaTheme="minorEastAsia" w:cstheme="minorHAnsi"/>
          <w:i/>
          <w:iCs/>
          <w:sz w:val="24"/>
          <w:szCs w:val="24"/>
          <w:lang w:val="en-GB" w:eastAsia="en-GB"/>
        </w:rPr>
        <w:t>’</w:t>
      </w:r>
      <w:r w:rsidRPr="000D474A">
        <w:rPr>
          <w:rFonts w:eastAsiaTheme="minorEastAsia" w:cstheme="minorHAnsi"/>
          <w:i/>
          <w:iCs/>
          <w:sz w:val="24"/>
          <w:szCs w:val="24"/>
          <w:lang w:val="en-GB" w:eastAsia="en-GB"/>
        </w:rPr>
        <w:t xml:space="preserve"> Ph2</w:t>
      </w:r>
    </w:p>
    <w:p w14:paraId="75132024" w14:textId="77777777" w:rsidR="00821B82" w:rsidRPr="000D474A" w:rsidRDefault="00821B82" w:rsidP="00821B82">
      <w:pPr>
        <w:spacing w:line="240" w:lineRule="auto"/>
        <w:ind w:left="720"/>
        <w:jc w:val="both"/>
        <w:rPr>
          <w:rFonts w:eastAsiaTheme="minorEastAsia" w:cstheme="minorHAnsi"/>
          <w:i/>
          <w:iCs/>
          <w:sz w:val="24"/>
          <w:szCs w:val="24"/>
          <w:lang w:val="en-GB" w:eastAsia="en-GB"/>
        </w:rPr>
      </w:pPr>
    </w:p>
    <w:p w14:paraId="79C50521" w14:textId="77777777" w:rsidR="00821B82" w:rsidRPr="00B8310D" w:rsidRDefault="00821B82" w:rsidP="00821B82">
      <w:pPr>
        <w:pStyle w:val="Heading5"/>
        <w:spacing w:line="360" w:lineRule="auto"/>
        <w:rPr>
          <w:rFonts w:asciiTheme="minorBidi" w:hAnsiTheme="minorBidi" w:cstheme="minorBidi"/>
          <w:sz w:val="24"/>
          <w:szCs w:val="24"/>
        </w:rPr>
      </w:pPr>
      <w:r w:rsidRPr="00B8310D">
        <w:rPr>
          <w:rFonts w:asciiTheme="minorBidi" w:hAnsiTheme="minorBidi" w:cstheme="minorBidi"/>
          <w:sz w:val="24"/>
          <w:szCs w:val="24"/>
        </w:rPr>
        <w:t>Product-Focused Practice</w:t>
      </w:r>
    </w:p>
    <w:p w14:paraId="1662AD2A" w14:textId="77777777" w:rsidR="00821B82" w:rsidRDefault="00821B82" w:rsidP="00821B82">
      <w:pPr>
        <w:spacing w:line="360" w:lineRule="auto"/>
        <w:jc w:val="both"/>
        <w:rPr>
          <w:rFonts w:asciiTheme="minorBidi" w:hAnsiTheme="minorBidi"/>
          <w:sz w:val="24"/>
          <w:szCs w:val="24"/>
        </w:rPr>
      </w:pPr>
      <w:r w:rsidRPr="00897BC0">
        <w:rPr>
          <w:rFonts w:asciiTheme="minorBidi" w:hAnsiTheme="minorBidi"/>
          <w:sz w:val="24"/>
          <w:szCs w:val="24"/>
        </w:rPr>
        <w:t xml:space="preserve">It was found that traditional pharmacy practice is the predominant practice in primary health care settings. </w:t>
      </w:r>
      <w:r>
        <w:rPr>
          <w:rFonts w:asciiTheme="minorBidi" w:hAnsiTheme="minorBidi"/>
          <w:sz w:val="24"/>
          <w:szCs w:val="24"/>
        </w:rPr>
        <w:t xml:space="preserve">The findings indicated that the primary role of pharmacists in PHCs was dispensing medical prescriptions to patients. </w:t>
      </w:r>
      <w:r w:rsidRPr="00182064">
        <w:rPr>
          <w:rFonts w:asciiTheme="minorBidi" w:hAnsiTheme="minorBidi"/>
          <w:sz w:val="24"/>
          <w:szCs w:val="24"/>
        </w:rPr>
        <w:t>When asked about the primary role of primary care pharmacists, participants were unanimous that it was preparing and dispensing prescriptions to patients.</w:t>
      </w:r>
      <w:r>
        <w:rPr>
          <w:rFonts w:asciiTheme="minorBidi" w:hAnsiTheme="minorBidi"/>
          <w:sz w:val="24"/>
          <w:szCs w:val="24"/>
        </w:rPr>
        <w:t xml:space="preserve"> This was recognised by pharmacists themselves but also nurses and doctors as these two quotes illustrate:</w:t>
      </w:r>
    </w:p>
    <w:p w14:paraId="6299E691" w14:textId="77777777" w:rsidR="00821B82" w:rsidRPr="00FA08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Pr>
          <w:rFonts w:eastAsiaTheme="minorEastAsia" w:cstheme="minorHAnsi"/>
          <w:i/>
          <w:iCs/>
          <w:sz w:val="24"/>
          <w:szCs w:val="24"/>
          <w:lang w:val="en-GB" w:eastAsia="en-GB"/>
        </w:rPr>
        <w:softHyphen/>
      </w:r>
      <w:r>
        <w:rPr>
          <w:rFonts w:eastAsiaTheme="minorEastAsia" w:cstheme="minorHAnsi"/>
          <w:i/>
          <w:iCs/>
          <w:sz w:val="24"/>
          <w:szCs w:val="24"/>
          <w:lang w:val="en-GB" w:eastAsia="en-GB"/>
        </w:rPr>
        <w:softHyphen/>
      </w:r>
      <w:r w:rsidRPr="00040A53">
        <w:rPr>
          <w:rFonts w:eastAsiaTheme="minorEastAsia" w:cstheme="minorHAnsi"/>
          <w:i/>
          <w:iCs/>
          <w:sz w:val="24"/>
          <w:szCs w:val="24"/>
          <w:lang w:val="en-GB" w:eastAsia="en-GB"/>
        </w:rPr>
        <w:t>The pharmacist's role is often to dispense the medication and make sure that medication is compatible with the diagnosis</w:t>
      </w:r>
      <w:r>
        <w:rPr>
          <w:rFonts w:eastAsiaTheme="minorEastAsia" w:cstheme="minorHAnsi"/>
          <w:i/>
          <w:iCs/>
          <w:sz w:val="24"/>
          <w:szCs w:val="24"/>
          <w:lang w:val="en-GB" w:eastAsia="en-GB"/>
        </w:rPr>
        <w:t xml:space="preserve"> […] He/she </w:t>
      </w:r>
      <w:r w:rsidRPr="00040A53">
        <w:rPr>
          <w:rFonts w:eastAsiaTheme="minorEastAsia" w:cstheme="minorHAnsi"/>
          <w:i/>
          <w:iCs/>
          <w:sz w:val="24"/>
          <w:szCs w:val="24"/>
          <w:lang w:val="en-GB" w:eastAsia="en-GB"/>
        </w:rPr>
        <w:t>check</w:t>
      </w:r>
      <w:r>
        <w:rPr>
          <w:rFonts w:eastAsiaTheme="minorEastAsia" w:cstheme="minorHAnsi"/>
          <w:i/>
          <w:iCs/>
          <w:sz w:val="24"/>
          <w:szCs w:val="24"/>
          <w:lang w:val="en-GB" w:eastAsia="en-GB"/>
        </w:rPr>
        <w:t>s</w:t>
      </w:r>
      <w:r w:rsidRPr="00040A53">
        <w:rPr>
          <w:rFonts w:eastAsiaTheme="minorEastAsia" w:cstheme="minorHAnsi"/>
          <w:i/>
          <w:iCs/>
          <w:sz w:val="24"/>
          <w:szCs w:val="24"/>
          <w:lang w:val="en-GB" w:eastAsia="en-GB"/>
        </w:rPr>
        <w:t xml:space="preserve"> the drug name, dosage, etc. </w:t>
      </w:r>
      <w:r>
        <w:rPr>
          <w:rFonts w:eastAsiaTheme="minorEastAsia" w:cstheme="minorHAnsi"/>
          <w:i/>
          <w:iCs/>
          <w:sz w:val="24"/>
          <w:szCs w:val="24"/>
          <w:lang w:val="en-GB" w:eastAsia="en-GB"/>
        </w:rPr>
        <w:t>They</w:t>
      </w:r>
      <w:r w:rsidRPr="00040A53">
        <w:rPr>
          <w:rFonts w:eastAsiaTheme="minorEastAsia" w:cstheme="minorHAnsi"/>
          <w:i/>
          <w:iCs/>
          <w:sz w:val="24"/>
          <w:szCs w:val="24"/>
          <w:lang w:val="en-GB" w:eastAsia="en-GB"/>
        </w:rPr>
        <w:t xml:space="preserve"> usually write these things out</w:t>
      </w: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 xml:space="preserve"> how often before and after eating and a little to educate the patient about medicines. These are what actually a pharmacist does</w:t>
      </w:r>
      <w:r>
        <w:rPr>
          <w:rFonts w:eastAsiaTheme="minorEastAsia" w:cstheme="minorHAnsi"/>
          <w:i/>
          <w:iCs/>
          <w:sz w:val="24"/>
          <w:szCs w:val="24"/>
          <w:lang w:val="en-GB" w:eastAsia="en-GB"/>
        </w:rPr>
        <w:t xml:space="preserve"> [</w:t>
      </w:r>
      <w:r w:rsidRPr="00040A53">
        <w:rPr>
          <w:rFonts w:eastAsiaTheme="minorEastAsia" w:cstheme="minorHAnsi"/>
          <w:i/>
          <w:iCs/>
          <w:sz w:val="24"/>
          <w:szCs w:val="24"/>
          <w:lang w:val="en-GB" w:eastAsia="en-GB"/>
        </w:rPr>
        <w:t>…</w:t>
      </w: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 xml:space="preserve"> basically dispensing medication orders!</w:t>
      </w: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 xml:space="preserve"> N1</w:t>
      </w:r>
    </w:p>
    <w:p w14:paraId="452F3F5D"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From what I saw, I think the role was to</w:t>
      </w:r>
      <w:r>
        <w:rPr>
          <w:rFonts w:eastAsiaTheme="minorEastAsia" w:cstheme="minorHAnsi"/>
          <w:i/>
          <w:iCs/>
          <w:sz w:val="24"/>
          <w:szCs w:val="24"/>
          <w:lang w:val="en-GB" w:eastAsia="en-GB"/>
        </w:rPr>
        <w:t xml:space="preserve"> </w:t>
      </w:r>
      <w:r w:rsidRPr="00040A53">
        <w:rPr>
          <w:rFonts w:eastAsiaTheme="minorEastAsia" w:cstheme="minorHAnsi"/>
          <w:i/>
          <w:iCs/>
          <w:sz w:val="24"/>
          <w:szCs w:val="24"/>
          <w:lang w:val="en-GB" w:eastAsia="en-GB"/>
        </w:rPr>
        <w:t>dispense drugs, but if you write a wrong prescription, they also give you feedback</w:t>
      </w: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D1</w:t>
      </w:r>
    </w:p>
    <w:p w14:paraId="409EA1D6" w14:textId="77777777" w:rsidR="00821B82" w:rsidRPr="00040A53" w:rsidRDefault="00821B82" w:rsidP="00821B82">
      <w:pPr>
        <w:spacing w:line="240" w:lineRule="auto"/>
        <w:ind w:left="720"/>
        <w:jc w:val="both"/>
        <w:rPr>
          <w:rFonts w:eastAsiaTheme="minorEastAsia" w:cstheme="minorHAnsi"/>
          <w:i/>
          <w:iCs/>
          <w:sz w:val="24"/>
          <w:szCs w:val="24"/>
          <w:lang w:val="en-GB" w:eastAsia="en-GB"/>
        </w:rPr>
      </w:pPr>
    </w:p>
    <w:p w14:paraId="20B35A6C" w14:textId="77777777" w:rsidR="00821B82" w:rsidRPr="00592A71" w:rsidRDefault="00821B82" w:rsidP="00821B82">
      <w:pPr>
        <w:pStyle w:val="Heading5"/>
        <w:spacing w:line="360" w:lineRule="auto"/>
        <w:rPr>
          <w:sz w:val="24"/>
          <w:szCs w:val="24"/>
        </w:rPr>
      </w:pPr>
      <w:r w:rsidRPr="00592A71">
        <w:rPr>
          <w:sz w:val="24"/>
          <w:szCs w:val="24"/>
        </w:rPr>
        <w:t xml:space="preserve">Patient-Focused Practice </w:t>
      </w:r>
    </w:p>
    <w:p w14:paraId="1BA0A63F" w14:textId="77777777" w:rsidR="00821B82" w:rsidRPr="00053C01" w:rsidRDefault="00821B82" w:rsidP="00821B82">
      <w:pPr>
        <w:spacing w:line="360" w:lineRule="auto"/>
        <w:jc w:val="both"/>
        <w:rPr>
          <w:rFonts w:asciiTheme="minorBidi" w:hAnsiTheme="minorBidi"/>
          <w:sz w:val="24"/>
          <w:szCs w:val="24"/>
        </w:rPr>
      </w:pPr>
      <w:r w:rsidRPr="00053C01">
        <w:rPr>
          <w:rFonts w:asciiTheme="minorBidi" w:hAnsiTheme="minorBidi"/>
          <w:sz w:val="24"/>
          <w:szCs w:val="24"/>
        </w:rPr>
        <w:t>However, a number of interviewees stated that the role of pharmacists went beyond simply dispensing prescriptions to patients. Interestingly, provi</w:t>
      </w:r>
      <w:r>
        <w:rPr>
          <w:rFonts w:asciiTheme="minorBidi" w:hAnsiTheme="minorBidi"/>
          <w:sz w:val="24"/>
          <w:szCs w:val="24"/>
        </w:rPr>
        <w:t>sion of</w:t>
      </w:r>
      <w:r w:rsidRPr="00053C01">
        <w:rPr>
          <w:rFonts w:asciiTheme="minorBidi" w:hAnsiTheme="minorBidi"/>
          <w:sz w:val="24"/>
          <w:szCs w:val="24"/>
        </w:rPr>
        <w:t xml:space="preserve"> some clinical pharmacy activities w</w:t>
      </w:r>
      <w:r>
        <w:rPr>
          <w:rFonts w:asciiTheme="minorBidi" w:hAnsiTheme="minorBidi"/>
          <w:sz w:val="24"/>
          <w:szCs w:val="24"/>
        </w:rPr>
        <w:t>as</w:t>
      </w:r>
      <w:r w:rsidRPr="00053C01">
        <w:rPr>
          <w:rFonts w:asciiTheme="minorBidi" w:hAnsiTheme="minorBidi"/>
          <w:sz w:val="24"/>
          <w:szCs w:val="24"/>
        </w:rPr>
        <w:t xml:space="preserve"> reported, such as providing drug review services and participating in many vital activities related to the management of patients with chronic conditions, especially diabetes patients, including managing medication for co-morbidities, monitoring blood glucose levels, and educating patients about a healthy lifestyle by providing essential information on diet and exercise as they relate to diabetes management</w:t>
      </w:r>
      <w:r>
        <w:rPr>
          <w:rFonts w:asciiTheme="minorBidi" w:hAnsiTheme="minorBidi"/>
          <w:sz w:val="24"/>
          <w:szCs w:val="24"/>
        </w:rPr>
        <w:t xml:space="preserve"> and like the traditional roles noted above this was recognised by pharmacists themselves but also other health professionals:</w:t>
      </w:r>
    </w:p>
    <w:p w14:paraId="7D167D86" w14:textId="77777777" w:rsidR="00821B82" w:rsidRPr="00BA490C" w:rsidRDefault="00821B82" w:rsidP="00821B82">
      <w:pPr>
        <w:spacing w:line="240" w:lineRule="auto"/>
        <w:ind w:left="720"/>
        <w:jc w:val="both"/>
        <w:rPr>
          <w:rFonts w:asciiTheme="minorBidi" w:hAnsiTheme="minorBidi"/>
          <w:sz w:val="24"/>
          <w:szCs w:val="24"/>
        </w:rPr>
      </w:pPr>
      <w:r>
        <w:rPr>
          <w:rFonts w:asciiTheme="minorBidi" w:hAnsiTheme="minorBidi"/>
          <w:sz w:val="24"/>
          <w:szCs w:val="24"/>
        </w:rPr>
        <w:t>‘</w:t>
      </w:r>
      <w:r>
        <w:rPr>
          <w:rFonts w:eastAsiaTheme="minorEastAsia" w:cstheme="minorHAnsi"/>
          <w:i/>
          <w:iCs/>
          <w:sz w:val="24"/>
          <w:szCs w:val="24"/>
          <w:lang w:val="en-GB" w:eastAsia="en-GB"/>
        </w:rPr>
        <w:t>P</w:t>
      </w:r>
      <w:r w:rsidRPr="00FD5629">
        <w:rPr>
          <w:rFonts w:eastAsiaTheme="minorEastAsia" w:cstheme="minorHAnsi"/>
          <w:i/>
          <w:iCs/>
          <w:sz w:val="24"/>
          <w:szCs w:val="24"/>
          <w:lang w:val="en-GB" w:eastAsia="en-GB"/>
        </w:rPr>
        <w:t>harmacists have to check lab results, such as checking kidney function tests. I did that before; I used to calculate an estimated glomerular filtration rate and check HbA1c level when I was in the PHC.</w:t>
      </w:r>
      <w:r>
        <w:rPr>
          <w:rFonts w:eastAsiaTheme="minorEastAsia" w:cstheme="minorHAnsi"/>
          <w:i/>
          <w:iCs/>
          <w:sz w:val="24"/>
          <w:szCs w:val="24"/>
          <w:lang w:val="en-GB" w:eastAsia="en-GB"/>
        </w:rPr>
        <w:t>’</w:t>
      </w:r>
      <w:r w:rsidRPr="00FD5629">
        <w:rPr>
          <w:rFonts w:eastAsiaTheme="minorEastAsia" w:cstheme="minorHAnsi"/>
          <w:i/>
          <w:iCs/>
          <w:sz w:val="24"/>
          <w:szCs w:val="24"/>
          <w:lang w:val="en-GB" w:eastAsia="en-GB"/>
        </w:rPr>
        <w:t xml:space="preserve"> Ph2</w:t>
      </w:r>
    </w:p>
    <w:p w14:paraId="62DA7830" w14:textId="77777777" w:rsidR="00821B82" w:rsidRPr="00230298"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531362">
        <w:rPr>
          <w:rFonts w:eastAsiaTheme="minorEastAsia" w:cstheme="minorHAnsi"/>
          <w:i/>
          <w:iCs/>
          <w:sz w:val="24"/>
          <w:szCs w:val="24"/>
          <w:lang w:val="en-GB" w:eastAsia="en-GB"/>
        </w:rPr>
        <w:t>The pharmacist participates and is highly involved in patients' treatment plans. I always see doctors talking to and consulting the pharmacist when they prescribe medications or add a new treatment. They discuss all issues related to the patient's condition, including laboratory results</w:t>
      </w:r>
      <w:r>
        <w:rPr>
          <w:rFonts w:eastAsiaTheme="minorEastAsia" w:cstheme="minorHAnsi"/>
          <w:i/>
          <w:iCs/>
          <w:sz w:val="24"/>
          <w:szCs w:val="24"/>
          <w:lang w:val="en-GB" w:eastAsia="en-GB"/>
        </w:rPr>
        <w:t xml:space="preserve"> […]</w:t>
      </w:r>
      <w:r w:rsidRPr="00531362">
        <w:rPr>
          <w:rFonts w:eastAsiaTheme="minorEastAsia" w:cstheme="minorHAnsi"/>
          <w:i/>
          <w:iCs/>
          <w:sz w:val="24"/>
          <w:szCs w:val="24"/>
          <w:lang w:val="en-GB" w:eastAsia="en-GB"/>
        </w:rPr>
        <w:t xml:space="preserve"> the pharmacist makes suggestions and asks if the patient is taking other medications.</w:t>
      </w:r>
      <w:r>
        <w:rPr>
          <w:rFonts w:eastAsiaTheme="minorEastAsia" w:cstheme="minorHAnsi"/>
          <w:i/>
          <w:iCs/>
          <w:sz w:val="24"/>
          <w:szCs w:val="24"/>
          <w:lang w:val="en-GB" w:eastAsia="en-GB"/>
        </w:rPr>
        <w:t>’ N2</w:t>
      </w:r>
    </w:p>
    <w:p w14:paraId="7241A2AD" w14:textId="77777777" w:rsidR="00821B82" w:rsidRPr="00646EB9" w:rsidRDefault="00821B82" w:rsidP="00821B82">
      <w:pPr>
        <w:spacing w:before="240" w:line="360" w:lineRule="auto"/>
        <w:jc w:val="both"/>
        <w:rPr>
          <w:rFonts w:asciiTheme="minorBidi" w:eastAsiaTheme="minorEastAsia" w:hAnsiTheme="minorBidi"/>
          <w:sz w:val="24"/>
          <w:szCs w:val="24"/>
          <w:lang w:val="en-GB" w:eastAsia="en-GB"/>
        </w:rPr>
      </w:pPr>
      <w:r w:rsidRPr="00646EB9">
        <w:rPr>
          <w:rFonts w:asciiTheme="minorBidi" w:eastAsiaTheme="minorEastAsia" w:hAnsiTheme="minorBidi"/>
          <w:sz w:val="24"/>
          <w:szCs w:val="24"/>
          <w:lang w:val="en-GB" w:eastAsia="en-GB"/>
        </w:rPr>
        <w:t xml:space="preserve">The interviewees reported another active role for pharmacists in PHCs, that of working as </w:t>
      </w:r>
      <w:r>
        <w:rPr>
          <w:rFonts w:asciiTheme="minorBidi" w:eastAsiaTheme="minorEastAsia" w:hAnsiTheme="minorBidi"/>
          <w:sz w:val="24"/>
          <w:szCs w:val="24"/>
          <w:lang w:val="en-GB" w:eastAsia="en-GB"/>
        </w:rPr>
        <w:t>a medication advisor</w:t>
      </w:r>
      <w:r w:rsidRPr="00646EB9">
        <w:rPr>
          <w:rFonts w:asciiTheme="minorBidi" w:eastAsiaTheme="minorEastAsia" w:hAnsiTheme="minorBidi"/>
          <w:sz w:val="24"/>
          <w:szCs w:val="24"/>
          <w:lang w:val="en-GB" w:eastAsia="en-GB"/>
        </w:rPr>
        <w:t xml:space="preserve">. The nurses </w:t>
      </w:r>
      <w:r>
        <w:rPr>
          <w:rFonts w:asciiTheme="minorBidi" w:eastAsiaTheme="minorEastAsia" w:hAnsiTheme="minorBidi"/>
          <w:sz w:val="24"/>
          <w:szCs w:val="24"/>
          <w:lang w:val="en-GB" w:eastAsia="en-GB"/>
        </w:rPr>
        <w:t xml:space="preserve">in particular </w:t>
      </w:r>
      <w:r w:rsidRPr="00646EB9">
        <w:rPr>
          <w:rFonts w:asciiTheme="minorBidi" w:eastAsiaTheme="minorEastAsia" w:hAnsiTheme="minorBidi"/>
          <w:sz w:val="24"/>
          <w:szCs w:val="24"/>
          <w:lang w:val="en-GB" w:eastAsia="en-GB"/>
        </w:rPr>
        <w:t>emphasised this role, and it was also noted that they used the pharmacist more than the doctor as a health information channel</w:t>
      </w:r>
      <w:r>
        <w:rPr>
          <w:rFonts w:asciiTheme="minorBidi" w:eastAsiaTheme="minorEastAsia" w:hAnsiTheme="minorBidi"/>
          <w:sz w:val="24"/>
          <w:szCs w:val="24"/>
          <w:lang w:val="en-GB" w:eastAsia="en-GB"/>
        </w:rPr>
        <w:t>:</w:t>
      </w:r>
    </w:p>
    <w:p w14:paraId="5B0AAD80"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EA1F4F">
        <w:rPr>
          <w:rFonts w:eastAsiaTheme="minorEastAsia" w:cstheme="minorHAnsi"/>
          <w:i/>
          <w:iCs/>
          <w:sz w:val="24"/>
          <w:szCs w:val="24"/>
          <w:lang w:val="en-GB" w:eastAsia="en-GB"/>
        </w:rPr>
        <w:t>Nurses have a superficial knowledge of medicines, so the pharmacist benefited us enormously. When I give an injection or particular medication, I used to refer to and ask the pharmacist more than the doctor because he knows more about medicines</w:t>
      </w:r>
      <w:r>
        <w:rPr>
          <w:rFonts w:eastAsiaTheme="minorEastAsia" w:cstheme="minorHAnsi"/>
          <w:i/>
          <w:iCs/>
          <w:sz w:val="24"/>
          <w:szCs w:val="24"/>
          <w:lang w:val="en-GB" w:eastAsia="en-GB"/>
        </w:rPr>
        <w:t xml:space="preserve"> […] </w:t>
      </w:r>
      <w:r w:rsidRPr="00C44EDB">
        <w:rPr>
          <w:rFonts w:eastAsiaTheme="minorEastAsia" w:cstheme="minorHAnsi"/>
          <w:i/>
          <w:iCs/>
          <w:sz w:val="24"/>
          <w:szCs w:val="24"/>
          <w:lang w:val="en-GB" w:eastAsia="en-GB"/>
        </w:rPr>
        <w:t>His role was as a</w:t>
      </w:r>
      <w:r>
        <w:rPr>
          <w:rFonts w:eastAsiaTheme="minorEastAsia" w:cstheme="minorHAnsi"/>
          <w:i/>
          <w:iCs/>
          <w:sz w:val="24"/>
          <w:szCs w:val="24"/>
          <w:lang w:val="en-GB" w:eastAsia="en-GB"/>
        </w:rPr>
        <w:t xml:space="preserve"> drug</w:t>
      </w:r>
      <w:r w:rsidRPr="00C44EDB">
        <w:rPr>
          <w:rFonts w:eastAsiaTheme="minorEastAsia" w:cstheme="minorHAnsi"/>
          <w:i/>
          <w:iCs/>
          <w:sz w:val="24"/>
          <w:szCs w:val="24"/>
          <w:lang w:val="en-GB" w:eastAsia="en-GB"/>
        </w:rPr>
        <w:t xml:space="preserve"> advisor. Doctors sometimes resorted to pharmacists for medication consultation. The doctor asked the pharmacist whether to start this medication or prefer another one; what is the best option to treat a patient…Doctors would turn to the pharmacist as a pharmacological advisor to ensure/confirm the patient's treatment</w:t>
      </w:r>
      <w:r>
        <w:rPr>
          <w:rFonts w:eastAsiaTheme="minorEastAsia" w:cstheme="minorHAnsi"/>
          <w:i/>
          <w:iCs/>
          <w:sz w:val="24"/>
          <w:szCs w:val="24"/>
          <w:lang w:val="en-GB" w:eastAsia="en-GB"/>
        </w:rPr>
        <w:t>.’</w:t>
      </w:r>
      <w:r w:rsidRPr="00C44EDB">
        <w:rPr>
          <w:rFonts w:eastAsiaTheme="minorEastAsia" w:cstheme="minorHAnsi"/>
          <w:i/>
          <w:iCs/>
          <w:sz w:val="24"/>
          <w:szCs w:val="24"/>
          <w:lang w:val="en-GB" w:eastAsia="en-GB"/>
        </w:rPr>
        <w:t xml:space="preserve"> N3</w:t>
      </w:r>
    </w:p>
    <w:p w14:paraId="43AEDBA5" w14:textId="77777777" w:rsidR="00821B82" w:rsidRPr="003A6594" w:rsidRDefault="00821B82" w:rsidP="00821B82">
      <w:pPr>
        <w:spacing w:line="240" w:lineRule="auto"/>
        <w:ind w:left="720"/>
        <w:jc w:val="both"/>
        <w:rPr>
          <w:rFonts w:eastAsiaTheme="minorEastAsia" w:cstheme="minorHAnsi"/>
          <w:i/>
          <w:iCs/>
          <w:sz w:val="24"/>
          <w:szCs w:val="24"/>
          <w:lang w:val="en-GB" w:eastAsia="en-GB"/>
        </w:rPr>
      </w:pPr>
    </w:p>
    <w:p w14:paraId="262D221C" w14:textId="77777777" w:rsidR="00821B82" w:rsidRPr="003001E1" w:rsidRDefault="00821B82" w:rsidP="00821B82">
      <w:pPr>
        <w:pStyle w:val="Heading5"/>
        <w:spacing w:line="360" w:lineRule="auto"/>
        <w:rPr>
          <w:rFonts w:asciiTheme="minorBidi" w:hAnsiTheme="minorBidi" w:cstheme="minorBidi"/>
          <w:sz w:val="24"/>
          <w:szCs w:val="24"/>
        </w:rPr>
      </w:pPr>
      <w:r w:rsidRPr="003001E1">
        <w:rPr>
          <w:rFonts w:asciiTheme="minorBidi" w:hAnsiTheme="minorBidi" w:cstheme="minorBidi"/>
          <w:sz w:val="24"/>
          <w:szCs w:val="24"/>
        </w:rPr>
        <w:t>Other roles</w:t>
      </w:r>
    </w:p>
    <w:p w14:paraId="2C82457E" w14:textId="77777777" w:rsidR="00821B82" w:rsidRDefault="00821B82" w:rsidP="00821B82">
      <w:pPr>
        <w:spacing w:line="360" w:lineRule="auto"/>
        <w:jc w:val="both"/>
        <w:rPr>
          <w:rFonts w:asciiTheme="minorBidi" w:hAnsiTheme="minorBidi"/>
          <w:sz w:val="24"/>
          <w:szCs w:val="24"/>
          <w:rtl/>
        </w:rPr>
      </w:pPr>
      <w:r>
        <w:rPr>
          <w:rFonts w:asciiTheme="minorBidi" w:hAnsiTheme="minorBidi"/>
          <w:sz w:val="24"/>
          <w:szCs w:val="24"/>
        </w:rPr>
        <w:t>O</w:t>
      </w:r>
      <w:r w:rsidRPr="007461C5">
        <w:rPr>
          <w:rFonts w:asciiTheme="minorBidi" w:hAnsiTheme="minorBidi"/>
          <w:sz w:val="24"/>
          <w:szCs w:val="24"/>
        </w:rPr>
        <w:t xml:space="preserve">ne of the well-known </w:t>
      </w:r>
      <w:r>
        <w:rPr>
          <w:rFonts w:asciiTheme="minorBidi" w:hAnsiTheme="minorBidi"/>
          <w:sz w:val="24"/>
          <w:szCs w:val="24"/>
        </w:rPr>
        <w:t>tasks</w:t>
      </w:r>
      <w:r w:rsidRPr="007461C5">
        <w:rPr>
          <w:rFonts w:asciiTheme="minorBidi" w:hAnsiTheme="minorBidi"/>
          <w:sz w:val="24"/>
          <w:szCs w:val="24"/>
        </w:rPr>
        <w:t xml:space="preserve"> in the scope of the nursing service is to give injection</w:t>
      </w:r>
      <w:r>
        <w:rPr>
          <w:rFonts w:asciiTheme="minorBidi" w:hAnsiTheme="minorBidi"/>
          <w:sz w:val="24"/>
          <w:szCs w:val="24"/>
        </w:rPr>
        <w:t>s</w:t>
      </w:r>
      <w:r w:rsidRPr="007461C5">
        <w:rPr>
          <w:rFonts w:asciiTheme="minorBidi" w:hAnsiTheme="minorBidi"/>
          <w:sz w:val="24"/>
          <w:szCs w:val="24"/>
        </w:rPr>
        <w:t xml:space="preserve"> to the patient; </w:t>
      </w:r>
      <w:r>
        <w:rPr>
          <w:rFonts w:asciiTheme="minorBidi" w:hAnsiTheme="minorBidi"/>
          <w:sz w:val="24"/>
          <w:szCs w:val="24"/>
        </w:rPr>
        <w:t>s</w:t>
      </w:r>
      <w:r w:rsidRPr="007461C5">
        <w:rPr>
          <w:rFonts w:asciiTheme="minorBidi" w:hAnsiTheme="minorBidi"/>
          <w:sz w:val="24"/>
          <w:szCs w:val="24"/>
        </w:rPr>
        <w:t xml:space="preserve">urprisingly, </w:t>
      </w:r>
      <w:r>
        <w:rPr>
          <w:rFonts w:asciiTheme="minorBidi" w:hAnsiTheme="minorBidi"/>
          <w:sz w:val="24"/>
          <w:szCs w:val="24"/>
        </w:rPr>
        <w:t>o</w:t>
      </w:r>
      <w:r w:rsidRPr="007461C5">
        <w:rPr>
          <w:rFonts w:asciiTheme="minorBidi" w:hAnsiTheme="minorBidi"/>
          <w:sz w:val="24"/>
          <w:szCs w:val="24"/>
        </w:rPr>
        <w:t>ne of the nurses pointed out that some of the pharmacists she worked with helped the nurses with this task</w:t>
      </w:r>
      <w:r>
        <w:rPr>
          <w:rFonts w:asciiTheme="minorBidi" w:hAnsiTheme="minorBidi"/>
          <w:sz w:val="24"/>
          <w:szCs w:val="24"/>
        </w:rPr>
        <w:t>.</w:t>
      </w:r>
    </w:p>
    <w:p w14:paraId="1CB0CAE4" w14:textId="77777777" w:rsidR="00821B82" w:rsidRPr="00040A53"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Some of the services we provide to the patient in the dressing</w:t>
      </w:r>
      <w:r>
        <w:rPr>
          <w:rFonts w:eastAsiaTheme="minorEastAsia" w:cstheme="minorHAnsi"/>
          <w:i/>
          <w:iCs/>
          <w:sz w:val="24"/>
          <w:szCs w:val="24"/>
          <w:lang w:val="en-GB" w:eastAsia="en-GB"/>
        </w:rPr>
        <w:t xml:space="preserve"> room</w:t>
      </w:r>
      <w:r w:rsidRPr="00040A53">
        <w:rPr>
          <w:rFonts w:eastAsiaTheme="minorEastAsia" w:cstheme="minorHAnsi"/>
          <w:i/>
          <w:iCs/>
          <w:sz w:val="24"/>
          <w:szCs w:val="24"/>
          <w:lang w:val="en-GB" w:eastAsia="en-GB"/>
        </w:rPr>
        <w:t>, such as giving injections, some pharmacists are diligent and perform this role. They practi</w:t>
      </w:r>
      <w:r>
        <w:rPr>
          <w:rFonts w:eastAsiaTheme="minorEastAsia" w:cstheme="minorHAnsi"/>
          <w:i/>
          <w:iCs/>
          <w:sz w:val="24"/>
          <w:szCs w:val="24"/>
          <w:lang w:val="en-GB" w:eastAsia="en-GB"/>
        </w:rPr>
        <w:t>s</w:t>
      </w:r>
      <w:r w:rsidRPr="00040A53">
        <w:rPr>
          <w:rFonts w:eastAsiaTheme="minorEastAsia" w:cstheme="minorHAnsi"/>
          <w:i/>
          <w:iCs/>
          <w:sz w:val="24"/>
          <w:szCs w:val="24"/>
          <w:lang w:val="en-GB" w:eastAsia="en-GB"/>
        </w:rPr>
        <w:t>e this.</w:t>
      </w: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 xml:space="preserve"> N2</w:t>
      </w:r>
    </w:p>
    <w:p w14:paraId="456457AE" w14:textId="77777777" w:rsidR="00821B82" w:rsidRPr="00A17E51" w:rsidRDefault="00821B82" w:rsidP="00821B82">
      <w:pPr>
        <w:spacing w:before="240" w:line="360" w:lineRule="auto"/>
        <w:jc w:val="both"/>
        <w:rPr>
          <w:rFonts w:asciiTheme="minorBidi" w:eastAsiaTheme="minorEastAsia" w:hAnsiTheme="minorBidi"/>
          <w:sz w:val="24"/>
          <w:szCs w:val="24"/>
          <w:lang w:eastAsia="en-GB"/>
        </w:rPr>
      </w:pPr>
      <w:r w:rsidRPr="00A26390">
        <w:rPr>
          <w:rFonts w:asciiTheme="minorBidi" w:hAnsiTheme="minorBidi"/>
          <w:sz w:val="24"/>
          <w:szCs w:val="24"/>
        </w:rPr>
        <w:t>Together, these findings provide important insights into the role of pharmacists in PHCs</w:t>
      </w:r>
      <w:r>
        <w:rPr>
          <w:rFonts w:asciiTheme="minorBidi" w:hAnsiTheme="minorBidi"/>
          <w:sz w:val="24"/>
          <w:szCs w:val="24"/>
        </w:rPr>
        <w:t xml:space="preserve"> </w:t>
      </w:r>
      <w:r w:rsidRPr="00070D05">
        <w:rPr>
          <w:rFonts w:asciiTheme="minorBidi" w:hAnsiTheme="minorBidi"/>
          <w:sz w:val="24"/>
          <w:szCs w:val="24"/>
        </w:rPr>
        <w:t>that go beyond dispensing.</w:t>
      </w:r>
      <w:r w:rsidRPr="00A26390">
        <w:rPr>
          <w:rFonts w:asciiTheme="minorBidi" w:hAnsiTheme="minorBidi"/>
          <w:sz w:val="24"/>
          <w:szCs w:val="24"/>
        </w:rPr>
        <w:t xml:space="preserve"> </w:t>
      </w:r>
      <w:r>
        <w:rPr>
          <w:rFonts w:asciiTheme="minorBidi" w:eastAsiaTheme="minorEastAsia" w:hAnsiTheme="minorBidi"/>
          <w:sz w:val="24"/>
          <w:szCs w:val="24"/>
          <w:lang w:val="en-GB" w:eastAsia="en-GB"/>
        </w:rPr>
        <w:t>Therefore,</w:t>
      </w:r>
      <w:r w:rsidRPr="002A2198">
        <w:rPr>
          <w:rFonts w:asciiTheme="minorBidi" w:eastAsiaTheme="minorEastAsia" w:hAnsiTheme="minorBidi"/>
          <w:sz w:val="24"/>
          <w:szCs w:val="24"/>
          <w:lang w:val="en-GB" w:eastAsia="en-GB"/>
        </w:rPr>
        <w:t xml:space="preserve"> the following sub</w:t>
      </w:r>
      <w:r>
        <w:rPr>
          <w:rFonts w:asciiTheme="minorBidi" w:eastAsiaTheme="minorEastAsia" w:hAnsiTheme="minorBidi"/>
          <w:sz w:val="24"/>
          <w:szCs w:val="24"/>
          <w:lang w:val="en-GB" w:eastAsia="en-GB"/>
        </w:rPr>
        <w:t>-</w:t>
      </w:r>
      <w:r w:rsidRPr="002A2198">
        <w:rPr>
          <w:rFonts w:asciiTheme="minorBidi" w:eastAsiaTheme="minorEastAsia" w:hAnsiTheme="minorBidi"/>
          <w:sz w:val="24"/>
          <w:szCs w:val="24"/>
          <w:lang w:val="en-GB" w:eastAsia="en-GB"/>
        </w:rPr>
        <w:t xml:space="preserve">theme, </w:t>
      </w:r>
      <w:r>
        <w:rPr>
          <w:rFonts w:asciiTheme="minorBidi" w:eastAsiaTheme="minorEastAsia" w:hAnsiTheme="minorBidi"/>
          <w:sz w:val="24"/>
          <w:szCs w:val="24"/>
          <w:lang w:val="en-GB" w:eastAsia="en-GB"/>
        </w:rPr>
        <w:t xml:space="preserve">moves to identify the impact of integrating pharmacists into PHCs team. </w:t>
      </w:r>
      <w:r w:rsidRPr="00721D3C">
        <w:rPr>
          <w:rFonts w:asciiTheme="minorBidi" w:eastAsiaTheme="minorEastAsia" w:hAnsiTheme="minorBidi"/>
          <w:sz w:val="24"/>
          <w:szCs w:val="24"/>
          <w:lang w:eastAsia="en-GB"/>
        </w:rPr>
        <w:t xml:space="preserve">However, this integration has been affected by the health transformation strategy as pharmacists are currently no longer working in </w:t>
      </w:r>
      <w:r>
        <w:rPr>
          <w:rFonts w:asciiTheme="minorBidi" w:eastAsiaTheme="minorEastAsia" w:hAnsiTheme="minorBidi"/>
          <w:sz w:val="24"/>
          <w:szCs w:val="24"/>
          <w:lang w:eastAsia="en-GB"/>
        </w:rPr>
        <w:t>PHCs</w:t>
      </w:r>
      <w:r w:rsidRPr="00721D3C">
        <w:rPr>
          <w:rFonts w:asciiTheme="minorBidi" w:eastAsiaTheme="minorEastAsia" w:hAnsiTheme="minorBidi"/>
          <w:sz w:val="24"/>
          <w:szCs w:val="24"/>
          <w:lang w:eastAsia="en-GB"/>
        </w:rPr>
        <w:t>. All pharmacists were transferred to work elsewhere, most to hospitals where participating pharmacists reported this.</w:t>
      </w:r>
    </w:p>
    <w:p w14:paraId="358499A9" w14:textId="77777777" w:rsidR="00821B82" w:rsidRPr="003001E1" w:rsidRDefault="00821B82" w:rsidP="00821B82">
      <w:pPr>
        <w:pStyle w:val="Heading4"/>
        <w:spacing w:line="360" w:lineRule="auto"/>
        <w:rPr>
          <w:rFonts w:asciiTheme="minorBidi" w:hAnsiTheme="minorBidi" w:cstheme="minorBidi"/>
          <w:sz w:val="24"/>
          <w:szCs w:val="24"/>
        </w:rPr>
      </w:pPr>
      <w:r w:rsidRPr="003001E1">
        <w:rPr>
          <w:rFonts w:asciiTheme="minorBidi" w:hAnsiTheme="minorBidi" w:cstheme="minorBidi"/>
          <w:sz w:val="24"/>
          <w:szCs w:val="24"/>
        </w:rPr>
        <w:t xml:space="preserve">6.4.3.2. Impact of integrating pharmacists </w:t>
      </w:r>
      <w:r w:rsidRPr="003001E1">
        <w:rPr>
          <w:rFonts w:asciiTheme="minorBidi" w:hAnsiTheme="minorBidi" w:cstheme="minorBidi"/>
          <w:sz w:val="28"/>
          <w:szCs w:val="28"/>
        </w:rPr>
        <w:t xml:space="preserve">into </w:t>
      </w:r>
      <w:r w:rsidRPr="003001E1">
        <w:rPr>
          <w:rFonts w:asciiTheme="minorBidi" w:hAnsiTheme="minorBidi" w:cstheme="minorBidi"/>
          <w:sz w:val="24"/>
          <w:szCs w:val="24"/>
        </w:rPr>
        <w:t>PHCs teams</w:t>
      </w:r>
    </w:p>
    <w:p w14:paraId="3B07AE01" w14:textId="77777777" w:rsidR="00821B82" w:rsidRDefault="00821B82" w:rsidP="00821B82">
      <w:pPr>
        <w:spacing w:line="360" w:lineRule="auto"/>
        <w:jc w:val="both"/>
        <w:rPr>
          <w:rFonts w:asciiTheme="minorBidi" w:eastAsiaTheme="minorEastAsia" w:hAnsiTheme="minorBidi"/>
          <w:sz w:val="24"/>
          <w:szCs w:val="24"/>
          <w:lang w:eastAsia="en-GB"/>
        </w:rPr>
      </w:pPr>
      <w:r>
        <w:rPr>
          <w:rFonts w:asciiTheme="minorBidi" w:hAnsiTheme="minorBidi"/>
          <w:sz w:val="24"/>
          <w:szCs w:val="24"/>
        </w:rPr>
        <w:t xml:space="preserve">This subtheme </w:t>
      </w:r>
      <w:r w:rsidRPr="00D65BBA">
        <w:rPr>
          <w:rFonts w:asciiTheme="minorBidi" w:eastAsiaTheme="minorEastAsia" w:hAnsiTheme="minorBidi"/>
          <w:sz w:val="24"/>
          <w:szCs w:val="24"/>
          <w:lang w:eastAsia="en-GB"/>
        </w:rPr>
        <w:t>helped us understand</w:t>
      </w:r>
      <w:r w:rsidRPr="003F71CB">
        <w:rPr>
          <w:rFonts w:asciiTheme="minorBidi" w:eastAsiaTheme="minorEastAsia" w:hAnsiTheme="minorBidi"/>
          <w:sz w:val="24"/>
          <w:szCs w:val="24"/>
          <w:lang w:eastAsia="en-GB"/>
        </w:rPr>
        <w:t xml:space="preserve"> what </w:t>
      </w:r>
      <w:r>
        <w:rPr>
          <w:rFonts w:asciiTheme="minorBidi" w:eastAsiaTheme="minorEastAsia" w:hAnsiTheme="minorBidi"/>
          <w:sz w:val="24"/>
          <w:szCs w:val="24"/>
          <w:lang w:eastAsia="en-GB"/>
        </w:rPr>
        <w:t xml:space="preserve">HCPs </w:t>
      </w:r>
      <w:r w:rsidRPr="003F71CB">
        <w:rPr>
          <w:rFonts w:asciiTheme="minorBidi" w:eastAsiaTheme="minorEastAsia" w:hAnsiTheme="minorBidi"/>
          <w:sz w:val="24"/>
          <w:szCs w:val="24"/>
          <w:lang w:eastAsia="en-GB"/>
        </w:rPr>
        <w:t xml:space="preserve">think about integrating pharmacists into primary healthcare teams and how this integration affects healthcare delivery. </w:t>
      </w:r>
    </w:p>
    <w:p w14:paraId="30AB2C63" w14:textId="77777777" w:rsidR="00821B82" w:rsidRDefault="00821B82" w:rsidP="00821B82">
      <w:pPr>
        <w:spacing w:line="360" w:lineRule="auto"/>
        <w:jc w:val="both"/>
        <w:rPr>
          <w:rFonts w:asciiTheme="minorBidi" w:hAnsiTheme="minorBidi"/>
          <w:sz w:val="24"/>
          <w:szCs w:val="24"/>
          <w:rtl/>
        </w:rPr>
      </w:pPr>
      <w:r w:rsidRPr="003C4B45">
        <w:rPr>
          <w:rFonts w:asciiTheme="minorBidi" w:hAnsiTheme="minorBidi"/>
          <w:sz w:val="24"/>
          <w:szCs w:val="24"/>
        </w:rPr>
        <w:t xml:space="preserve">All participants agreed that pharmacists have a critical role in patient care, especially </w:t>
      </w:r>
      <w:r>
        <w:rPr>
          <w:rFonts w:asciiTheme="minorBidi" w:hAnsiTheme="minorBidi"/>
          <w:sz w:val="24"/>
          <w:szCs w:val="24"/>
        </w:rPr>
        <w:t xml:space="preserve">in chronic care including </w:t>
      </w:r>
      <w:r w:rsidRPr="003C4B45">
        <w:rPr>
          <w:rFonts w:asciiTheme="minorBidi" w:hAnsiTheme="minorBidi"/>
          <w:sz w:val="24"/>
          <w:szCs w:val="24"/>
        </w:rPr>
        <w:t>diabetes care.</w:t>
      </w:r>
      <w:r>
        <w:rPr>
          <w:rFonts w:asciiTheme="minorBidi" w:hAnsiTheme="minorBidi"/>
          <w:sz w:val="24"/>
          <w:szCs w:val="24"/>
        </w:rPr>
        <w:t xml:space="preserve"> They also </w:t>
      </w:r>
      <w:r w:rsidRPr="0023781C">
        <w:rPr>
          <w:rFonts w:asciiTheme="minorBidi" w:hAnsiTheme="minorBidi"/>
          <w:sz w:val="24"/>
          <w:szCs w:val="24"/>
        </w:rPr>
        <w:t xml:space="preserve">agreed that pharmacy services should be available to patients </w:t>
      </w:r>
      <w:r>
        <w:rPr>
          <w:rFonts w:asciiTheme="minorBidi" w:hAnsiTheme="minorBidi"/>
          <w:sz w:val="24"/>
          <w:szCs w:val="24"/>
        </w:rPr>
        <w:t xml:space="preserve">and integrated </w:t>
      </w:r>
      <w:r w:rsidRPr="0023781C">
        <w:rPr>
          <w:rFonts w:asciiTheme="minorBidi" w:hAnsiTheme="minorBidi"/>
          <w:sz w:val="24"/>
          <w:szCs w:val="24"/>
        </w:rPr>
        <w:t xml:space="preserve">in </w:t>
      </w:r>
      <w:r>
        <w:rPr>
          <w:rFonts w:asciiTheme="minorBidi" w:hAnsiTheme="minorBidi"/>
          <w:sz w:val="24"/>
          <w:szCs w:val="24"/>
        </w:rPr>
        <w:t>PHCs</w:t>
      </w:r>
      <w:r w:rsidRPr="0023781C">
        <w:rPr>
          <w:rFonts w:asciiTheme="minorBidi" w:hAnsiTheme="minorBidi"/>
          <w:sz w:val="24"/>
          <w:szCs w:val="24"/>
        </w:rPr>
        <w:t xml:space="preserve"> as the presence of a pharmacist within the primary </w:t>
      </w:r>
      <w:r>
        <w:rPr>
          <w:rFonts w:asciiTheme="minorBidi" w:hAnsiTheme="minorBidi"/>
          <w:sz w:val="24"/>
          <w:szCs w:val="24"/>
        </w:rPr>
        <w:t>health</w:t>
      </w:r>
      <w:r w:rsidRPr="0023781C">
        <w:rPr>
          <w:rFonts w:asciiTheme="minorBidi" w:hAnsiTheme="minorBidi"/>
          <w:sz w:val="24"/>
          <w:szCs w:val="24"/>
        </w:rPr>
        <w:t xml:space="preserve">care team has a critical role in </w:t>
      </w:r>
      <w:r>
        <w:rPr>
          <w:rFonts w:asciiTheme="minorBidi" w:hAnsiTheme="minorBidi"/>
          <w:sz w:val="24"/>
          <w:szCs w:val="24"/>
        </w:rPr>
        <w:t xml:space="preserve">delivering safe and effective care to </w:t>
      </w:r>
      <w:r w:rsidRPr="0023781C">
        <w:rPr>
          <w:rFonts w:asciiTheme="minorBidi" w:hAnsiTheme="minorBidi"/>
          <w:sz w:val="24"/>
          <w:szCs w:val="24"/>
        </w:rPr>
        <w:t>patient</w:t>
      </w:r>
      <w:r>
        <w:rPr>
          <w:rFonts w:asciiTheme="minorBidi" w:hAnsiTheme="minorBidi"/>
          <w:sz w:val="24"/>
          <w:szCs w:val="24"/>
        </w:rPr>
        <w:t xml:space="preserve">s. </w:t>
      </w:r>
      <w:r w:rsidRPr="00FF449B">
        <w:rPr>
          <w:rFonts w:asciiTheme="minorBidi" w:hAnsiTheme="minorBidi"/>
          <w:sz w:val="24"/>
          <w:szCs w:val="24"/>
        </w:rPr>
        <w:t>When participants were asked about the impact of pharmacists' participation in diabetes management</w:t>
      </w:r>
      <w:r>
        <w:rPr>
          <w:rFonts w:asciiTheme="minorBidi" w:hAnsiTheme="minorBidi"/>
          <w:sz w:val="24"/>
          <w:szCs w:val="24"/>
        </w:rPr>
        <w:t>, they</w:t>
      </w:r>
      <w:r w:rsidRPr="008658A6">
        <w:rPr>
          <w:rFonts w:asciiTheme="minorBidi" w:hAnsiTheme="minorBidi"/>
          <w:sz w:val="24"/>
          <w:szCs w:val="24"/>
        </w:rPr>
        <w:t xml:space="preserve"> unanimously agreed that pharmacists' contributions positively impact the delivery of health care services.</w:t>
      </w:r>
    </w:p>
    <w:p w14:paraId="31D2AB81" w14:textId="77777777" w:rsidR="00821B82" w:rsidRDefault="00821B82" w:rsidP="00821B82">
      <w:pPr>
        <w:spacing w:line="360" w:lineRule="auto"/>
        <w:jc w:val="both"/>
        <w:rPr>
          <w:rFonts w:asciiTheme="minorBidi" w:hAnsiTheme="minorBidi"/>
          <w:sz w:val="24"/>
          <w:szCs w:val="24"/>
          <w:rtl/>
        </w:rPr>
      </w:pPr>
      <w:r w:rsidRPr="0077257A">
        <w:rPr>
          <w:rFonts w:asciiTheme="minorBidi" w:hAnsiTheme="minorBidi"/>
          <w:sz w:val="24"/>
          <w:szCs w:val="24"/>
        </w:rPr>
        <w:t xml:space="preserve">The following are positive </w:t>
      </w:r>
      <w:r>
        <w:rPr>
          <w:rFonts w:asciiTheme="minorBidi" w:hAnsiTheme="minorBidi"/>
          <w:sz w:val="24"/>
          <w:szCs w:val="24"/>
        </w:rPr>
        <w:t>impacts</w:t>
      </w:r>
      <w:r w:rsidRPr="0077257A">
        <w:rPr>
          <w:rFonts w:asciiTheme="minorBidi" w:hAnsiTheme="minorBidi"/>
          <w:sz w:val="24"/>
          <w:szCs w:val="24"/>
        </w:rPr>
        <w:t xml:space="preserve"> of the pharmacist's work within the </w:t>
      </w:r>
      <w:r>
        <w:rPr>
          <w:rFonts w:asciiTheme="minorBidi" w:hAnsiTheme="minorBidi"/>
          <w:sz w:val="24"/>
          <w:szCs w:val="24"/>
        </w:rPr>
        <w:t>PHC</w:t>
      </w:r>
      <w:r w:rsidRPr="0077257A">
        <w:rPr>
          <w:rFonts w:asciiTheme="minorBidi" w:hAnsiTheme="minorBidi"/>
          <w:sz w:val="24"/>
          <w:szCs w:val="24"/>
        </w:rPr>
        <w:t xml:space="preserve"> staff, which were extracted from the interviews.</w:t>
      </w:r>
    </w:p>
    <w:p w14:paraId="7A0A5006" w14:textId="77777777" w:rsidR="00821B82" w:rsidRPr="003001E1" w:rsidRDefault="00821B82" w:rsidP="00821B82">
      <w:pPr>
        <w:pStyle w:val="Heading5"/>
        <w:spacing w:line="360" w:lineRule="auto"/>
        <w:rPr>
          <w:rFonts w:asciiTheme="minorBidi" w:hAnsiTheme="minorBidi" w:cstheme="minorBidi"/>
          <w:sz w:val="24"/>
          <w:szCs w:val="24"/>
        </w:rPr>
      </w:pPr>
      <w:r w:rsidRPr="003001E1">
        <w:rPr>
          <w:rFonts w:asciiTheme="minorBidi" w:hAnsiTheme="minorBidi" w:cstheme="minorBidi"/>
          <w:sz w:val="24"/>
          <w:szCs w:val="24"/>
        </w:rPr>
        <w:t xml:space="preserve">Teamwork </w:t>
      </w:r>
    </w:p>
    <w:p w14:paraId="78ACE00D" w14:textId="77777777" w:rsidR="00821B82" w:rsidRDefault="00821B82" w:rsidP="00821B82">
      <w:pPr>
        <w:spacing w:line="360" w:lineRule="auto"/>
        <w:jc w:val="both"/>
        <w:rPr>
          <w:rFonts w:asciiTheme="minorBidi" w:hAnsiTheme="minorBidi"/>
          <w:sz w:val="24"/>
          <w:szCs w:val="24"/>
        </w:rPr>
      </w:pPr>
      <w:r w:rsidRPr="00890950">
        <w:rPr>
          <w:rFonts w:asciiTheme="minorBidi" w:hAnsiTheme="minorBidi"/>
          <w:sz w:val="24"/>
          <w:szCs w:val="24"/>
        </w:rPr>
        <w:t xml:space="preserve">The participants described the importance </w:t>
      </w:r>
      <w:r>
        <w:rPr>
          <w:rFonts w:asciiTheme="minorBidi" w:hAnsiTheme="minorBidi"/>
          <w:sz w:val="24"/>
          <w:szCs w:val="24"/>
        </w:rPr>
        <w:t>of following</w:t>
      </w:r>
      <w:r w:rsidRPr="00890950">
        <w:rPr>
          <w:rFonts w:asciiTheme="minorBidi" w:hAnsiTheme="minorBidi"/>
          <w:sz w:val="24"/>
          <w:szCs w:val="24"/>
        </w:rPr>
        <w:t xml:space="preserve"> </w:t>
      </w:r>
      <w:r>
        <w:rPr>
          <w:rFonts w:asciiTheme="minorBidi" w:hAnsiTheme="minorBidi"/>
          <w:sz w:val="24"/>
          <w:szCs w:val="24"/>
        </w:rPr>
        <w:t xml:space="preserve">a </w:t>
      </w:r>
      <w:r w:rsidRPr="00890950">
        <w:rPr>
          <w:rFonts w:asciiTheme="minorBidi" w:hAnsiTheme="minorBidi"/>
          <w:sz w:val="24"/>
          <w:szCs w:val="24"/>
        </w:rPr>
        <w:t>multidisciplinary team-based practice approach</w:t>
      </w:r>
      <w:r>
        <w:rPr>
          <w:rFonts w:asciiTheme="minorBidi" w:hAnsiTheme="minorBidi"/>
          <w:sz w:val="24"/>
          <w:szCs w:val="24"/>
        </w:rPr>
        <w:t>,</w:t>
      </w:r>
      <w:r w:rsidRPr="00890950">
        <w:rPr>
          <w:rFonts w:asciiTheme="minorBidi" w:hAnsiTheme="minorBidi"/>
          <w:sz w:val="24"/>
          <w:szCs w:val="24"/>
        </w:rPr>
        <w:t xml:space="preserve"> where several health professionals work together to deliver comprehensive patient care. They </w:t>
      </w:r>
      <w:r>
        <w:rPr>
          <w:rFonts w:asciiTheme="minorBidi" w:hAnsiTheme="minorBidi"/>
          <w:sz w:val="24"/>
          <w:szCs w:val="24"/>
        </w:rPr>
        <w:t>presented</w:t>
      </w:r>
      <w:r w:rsidRPr="00890950">
        <w:rPr>
          <w:rFonts w:asciiTheme="minorBidi" w:hAnsiTheme="minorBidi"/>
          <w:sz w:val="24"/>
          <w:szCs w:val="24"/>
        </w:rPr>
        <w:t xml:space="preserve"> some positive </w:t>
      </w:r>
      <w:r>
        <w:rPr>
          <w:rFonts w:asciiTheme="minorBidi" w:hAnsiTheme="minorBidi"/>
          <w:sz w:val="24"/>
          <w:szCs w:val="24"/>
        </w:rPr>
        <w:t>impacts</w:t>
      </w:r>
      <w:r w:rsidRPr="00890950">
        <w:rPr>
          <w:rFonts w:asciiTheme="minorBidi" w:hAnsiTheme="minorBidi"/>
          <w:sz w:val="24"/>
          <w:szCs w:val="24"/>
        </w:rPr>
        <w:t xml:space="preserve"> of implementing this approach</w:t>
      </w:r>
      <w:r>
        <w:rPr>
          <w:rFonts w:asciiTheme="minorBidi" w:hAnsiTheme="minorBidi"/>
          <w:sz w:val="24"/>
          <w:szCs w:val="24"/>
        </w:rPr>
        <w:t xml:space="preserve"> – </w:t>
      </w:r>
      <w:r w:rsidRPr="008D7B29">
        <w:rPr>
          <w:rFonts w:asciiTheme="minorBidi" w:hAnsiTheme="minorBidi"/>
          <w:sz w:val="24"/>
          <w:szCs w:val="24"/>
        </w:rPr>
        <w:t xml:space="preserve">involving a pharmacist when they were in PHC </w:t>
      </w:r>
      <w:r>
        <w:rPr>
          <w:rFonts w:asciiTheme="minorBidi" w:hAnsiTheme="minorBidi"/>
          <w:sz w:val="24"/>
          <w:szCs w:val="24"/>
        </w:rPr>
        <w:t>–</w:t>
      </w:r>
      <w:r w:rsidRPr="008D7B29">
        <w:rPr>
          <w:rFonts w:asciiTheme="minorBidi" w:hAnsiTheme="minorBidi"/>
          <w:sz w:val="24"/>
          <w:szCs w:val="24"/>
        </w:rPr>
        <w:t xml:space="preserve"> </w:t>
      </w:r>
      <w:r w:rsidRPr="00890950">
        <w:rPr>
          <w:rFonts w:asciiTheme="minorBidi" w:hAnsiTheme="minorBidi"/>
          <w:sz w:val="24"/>
          <w:szCs w:val="24"/>
        </w:rPr>
        <w:t>on the</w:t>
      </w:r>
      <w:r>
        <w:rPr>
          <w:rFonts w:asciiTheme="minorBidi" w:hAnsiTheme="minorBidi"/>
          <w:sz w:val="24"/>
          <w:szCs w:val="24"/>
        </w:rPr>
        <w:t>ir work, patient</w:t>
      </w:r>
      <w:r w:rsidRPr="00890950">
        <w:rPr>
          <w:rFonts w:asciiTheme="minorBidi" w:hAnsiTheme="minorBidi"/>
          <w:sz w:val="24"/>
          <w:szCs w:val="24"/>
        </w:rPr>
        <w:t xml:space="preserve"> outcomes, and patient safety.</w:t>
      </w:r>
      <w:r>
        <w:rPr>
          <w:rFonts w:asciiTheme="minorBidi" w:hAnsiTheme="minorBidi"/>
          <w:sz w:val="24"/>
          <w:szCs w:val="24"/>
        </w:rPr>
        <w:t xml:space="preserve"> They also provided some issues with applying this approach a</w:t>
      </w:r>
      <w:r w:rsidRPr="00D07E8F">
        <w:rPr>
          <w:rFonts w:asciiTheme="minorBidi" w:hAnsiTheme="minorBidi"/>
          <w:sz w:val="24"/>
          <w:szCs w:val="24"/>
        </w:rPr>
        <w:t xml:space="preserve">s pharmacists are currently </w:t>
      </w:r>
      <w:r>
        <w:rPr>
          <w:rFonts w:asciiTheme="minorBidi" w:hAnsiTheme="minorBidi"/>
          <w:sz w:val="24"/>
          <w:szCs w:val="24"/>
        </w:rPr>
        <w:t xml:space="preserve">being </w:t>
      </w:r>
      <w:r w:rsidRPr="00D07E8F">
        <w:rPr>
          <w:rFonts w:asciiTheme="minorBidi" w:hAnsiTheme="minorBidi"/>
          <w:sz w:val="24"/>
          <w:szCs w:val="24"/>
        </w:rPr>
        <w:t>relocated from PHCs</w:t>
      </w:r>
      <w:r>
        <w:rPr>
          <w:rFonts w:asciiTheme="minorBidi" w:hAnsiTheme="minorBidi"/>
          <w:sz w:val="24"/>
          <w:szCs w:val="24"/>
        </w:rPr>
        <w:t>. The participants pointed out this fact and emphasised the importance of adding a pharmacist to the chronic care team.</w:t>
      </w:r>
    </w:p>
    <w:p w14:paraId="1B1C45E4" w14:textId="77777777" w:rsidR="00821B82" w:rsidRPr="004F38BC" w:rsidRDefault="00821B82" w:rsidP="00821B82">
      <w:pPr>
        <w:tabs>
          <w:tab w:val="left" w:pos="450"/>
        </w:tabs>
        <w:spacing w:line="240" w:lineRule="auto"/>
        <w:ind w:left="720"/>
        <w:jc w:val="both"/>
        <w:rPr>
          <w:rFonts w:cstheme="minorHAnsi"/>
          <w:i/>
          <w:iCs/>
          <w:sz w:val="24"/>
          <w:szCs w:val="24"/>
        </w:rPr>
      </w:pPr>
      <w:r>
        <w:rPr>
          <w:rFonts w:ascii="Gill Sans MT" w:eastAsiaTheme="minorEastAsia" w:hAnsi="Gill Sans MT"/>
          <w:sz w:val="24"/>
          <w:szCs w:val="24"/>
          <w:lang w:val="en-GB" w:eastAsia="en-GB"/>
        </w:rPr>
        <w:t>‘</w:t>
      </w:r>
      <w:r w:rsidRPr="004F38BC">
        <w:rPr>
          <w:rFonts w:cstheme="minorHAnsi"/>
          <w:i/>
          <w:iCs/>
          <w:sz w:val="24"/>
          <w:szCs w:val="24"/>
        </w:rPr>
        <w:t>The work depends on teamwork from several disciplines</w:t>
      </w:r>
      <w:r>
        <w:rPr>
          <w:rFonts w:cstheme="minorHAnsi"/>
          <w:i/>
          <w:iCs/>
          <w:sz w:val="24"/>
          <w:szCs w:val="24"/>
        </w:rPr>
        <w:t xml:space="preserve"> […] </w:t>
      </w:r>
      <w:r w:rsidRPr="004F38BC">
        <w:rPr>
          <w:rFonts w:cstheme="minorHAnsi"/>
          <w:i/>
          <w:iCs/>
          <w:sz w:val="24"/>
          <w:szCs w:val="24"/>
        </w:rPr>
        <w:t>There must be teamwork to continue providing the service</w:t>
      </w:r>
      <w:r>
        <w:rPr>
          <w:rFonts w:cstheme="minorHAnsi"/>
          <w:i/>
          <w:iCs/>
          <w:sz w:val="24"/>
          <w:szCs w:val="24"/>
        </w:rPr>
        <w:t xml:space="preserve"> [</w:t>
      </w:r>
      <w:r w:rsidRPr="004F38BC">
        <w:rPr>
          <w:rFonts w:cstheme="minorHAnsi"/>
          <w:i/>
          <w:iCs/>
          <w:sz w:val="24"/>
          <w:szCs w:val="24"/>
        </w:rPr>
        <w:t>…</w:t>
      </w:r>
      <w:r>
        <w:rPr>
          <w:rFonts w:cstheme="minorHAnsi"/>
          <w:i/>
          <w:iCs/>
          <w:sz w:val="24"/>
          <w:szCs w:val="24"/>
        </w:rPr>
        <w:t xml:space="preserve">] </w:t>
      </w:r>
      <w:r w:rsidRPr="003A3BED">
        <w:rPr>
          <w:rFonts w:cstheme="minorHAnsi"/>
          <w:i/>
          <w:iCs/>
          <w:sz w:val="24"/>
          <w:szCs w:val="24"/>
        </w:rPr>
        <w:t>and as I mentioned at the beginning, the pharmacist is irreplaceable.</w:t>
      </w:r>
      <w:r w:rsidRPr="004F38BC">
        <w:rPr>
          <w:rFonts w:cstheme="minorHAnsi"/>
          <w:i/>
          <w:iCs/>
          <w:sz w:val="24"/>
          <w:szCs w:val="24"/>
        </w:rPr>
        <w:t>’ N4</w:t>
      </w:r>
    </w:p>
    <w:p w14:paraId="26B1F659"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7A1440">
        <w:rPr>
          <w:rFonts w:cstheme="minorHAnsi"/>
          <w:i/>
          <w:iCs/>
          <w:sz w:val="24"/>
          <w:szCs w:val="24"/>
        </w:rPr>
        <w:t xml:space="preserve">The role of the pharmacist is very, very important to complete the team in </w:t>
      </w:r>
      <w:r>
        <w:rPr>
          <w:rFonts w:cstheme="minorHAnsi"/>
          <w:i/>
          <w:iCs/>
          <w:sz w:val="24"/>
          <w:szCs w:val="24"/>
        </w:rPr>
        <w:t>PHCs…’</w:t>
      </w:r>
      <w:r w:rsidRPr="007A1440">
        <w:rPr>
          <w:rFonts w:cstheme="minorHAnsi"/>
          <w:i/>
          <w:iCs/>
          <w:sz w:val="24"/>
          <w:szCs w:val="24"/>
        </w:rPr>
        <w:t>N2</w:t>
      </w:r>
    </w:p>
    <w:p w14:paraId="144488DB" w14:textId="77777777" w:rsidR="00821B82" w:rsidRDefault="00821B82" w:rsidP="00821B82">
      <w:pPr>
        <w:spacing w:line="240" w:lineRule="auto"/>
        <w:ind w:left="720"/>
        <w:jc w:val="both"/>
        <w:rPr>
          <w:rFonts w:cstheme="minorHAnsi"/>
          <w:i/>
          <w:iCs/>
          <w:sz w:val="24"/>
          <w:szCs w:val="24"/>
        </w:rPr>
      </w:pPr>
    </w:p>
    <w:p w14:paraId="2442E8D7" w14:textId="77777777" w:rsidR="00821B82" w:rsidRPr="007C6088" w:rsidRDefault="00821B82" w:rsidP="00821B82">
      <w:pPr>
        <w:pStyle w:val="Heading5"/>
        <w:spacing w:line="360" w:lineRule="auto"/>
        <w:rPr>
          <w:rFonts w:asciiTheme="minorBidi" w:hAnsiTheme="minorBidi" w:cstheme="minorBidi"/>
          <w:sz w:val="24"/>
          <w:szCs w:val="24"/>
        </w:rPr>
      </w:pPr>
      <w:r w:rsidRPr="007C6088">
        <w:rPr>
          <w:rFonts w:asciiTheme="minorBidi" w:hAnsiTheme="minorBidi" w:cstheme="minorBidi"/>
          <w:sz w:val="24"/>
          <w:szCs w:val="24"/>
        </w:rPr>
        <w:t>Communicating within teams</w:t>
      </w:r>
    </w:p>
    <w:p w14:paraId="35EB4B2F" w14:textId="77777777" w:rsidR="00821B82" w:rsidRDefault="00821B82" w:rsidP="00821B82">
      <w:pPr>
        <w:spacing w:line="360" w:lineRule="auto"/>
        <w:jc w:val="both"/>
        <w:rPr>
          <w:rFonts w:asciiTheme="minorBidi" w:hAnsiTheme="minorBidi"/>
          <w:sz w:val="24"/>
          <w:szCs w:val="24"/>
          <w:lang w:val="en-GB"/>
        </w:rPr>
      </w:pPr>
      <w:r>
        <w:rPr>
          <w:rFonts w:asciiTheme="minorBidi" w:hAnsiTheme="minorBidi"/>
          <w:sz w:val="24"/>
          <w:szCs w:val="24"/>
          <w:lang w:val="en-GB"/>
        </w:rPr>
        <w:t xml:space="preserve">Participants found it easy to communicate with pharmacists when they worked in the same practice/site. </w:t>
      </w:r>
    </w:p>
    <w:p w14:paraId="1EB02411" w14:textId="77777777" w:rsidR="00821B82" w:rsidRPr="00FD110F" w:rsidRDefault="00821B82" w:rsidP="00821B82">
      <w:pPr>
        <w:spacing w:line="240" w:lineRule="auto"/>
        <w:ind w:left="720"/>
        <w:jc w:val="both"/>
        <w:rPr>
          <w:rFonts w:cstheme="minorHAnsi"/>
          <w:i/>
          <w:iCs/>
          <w:sz w:val="24"/>
          <w:szCs w:val="24"/>
        </w:rPr>
      </w:pPr>
      <w:r>
        <w:rPr>
          <w:rFonts w:cstheme="minorHAnsi"/>
          <w:i/>
          <w:iCs/>
          <w:sz w:val="24"/>
          <w:szCs w:val="24"/>
        </w:rPr>
        <w:t>‘</w:t>
      </w:r>
      <w:r w:rsidRPr="00FD110F">
        <w:rPr>
          <w:rFonts w:cstheme="minorHAnsi"/>
          <w:i/>
          <w:iCs/>
          <w:sz w:val="24"/>
          <w:szCs w:val="24"/>
        </w:rPr>
        <w:t>We have you know some interaction with the pharmacist regarding the dose sometimes regarding with frequency sometime regarding the substitution of the brand if it is not available</w:t>
      </w:r>
      <w:r>
        <w:rPr>
          <w:rFonts w:cstheme="minorHAnsi"/>
          <w:i/>
          <w:iCs/>
          <w:sz w:val="24"/>
          <w:szCs w:val="24"/>
        </w:rPr>
        <w:t xml:space="preserve"> [</w:t>
      </w:r>
      <w:r w:rsidRPr="00FD110F">
        <w:rPr>
          <w:rFonts w:cstheme="minorHAnsi"/>
          <w:i/>
          <w:iCs/>
          <w:sz w:val="24"/>
          <w:szCs w:val="24"/>
        </w:rPr>
        <w:t>…</w:t>
      </w:r>
      <w:r>
        <w:rPr>
          <w:rFonts w:cstheme="minorHAnsi"/>
          <w:i/>
          <w:iCs/>
          <w:sz w:val="24"/>
          <w:szCs w:val="24"/>
        </w:rPr>
        <w:t xml:space="preserve">] </w:t>
      </w:r>
      <w:r w:rsidRPr="00FD110F">
        <w:rPr>
          <w:rFonts w:cstheme="minorHAnsi"/>
          <w:i/>
          <w:iCs/>
          <w:sz w:val="24"/>
          <w:szCs w:val="24"/>
        </w:rPr>
        <w:t>The pharmacist might find that the patient ha</w:t>
      </w:r>
      <w:r>
        <w:rPr>
          <w:rFonts w:cstheme="minorHAnsi"/>
          <w:i/>
          <w:iCs/>
          <w:sz w:val="24"/>
          <w:szCs w:val="24"/>
        </w:rPr>
        <w:t>s</w:t>
      </w:r>
      <w:r w:rsidRPr="00FD110F">
        <w:rPr>
          <w:rFonts w:cstheme="minorHAnsi"/>
          <w:i/>
          <w:iCs/>
          <w:sz w:val="24"/>
          <w:szCs w:val="24"/>
        </w:rPr>
        <w:t xml:space="preserve"> been shifted and he want</w:t>
      </w:r>
      <w:r>
        <w:rPr>
          <w:rFonts w:cstheme="minorHAnsi"/>
          <w:i/>
          <w:iCs/>
          <w:sz w:val="24"/>
          <w:szCs w:val="24"/>
        </w:rPr>
        <w:t>s</w:t>
      </w:r>
      <w:r w:rsidRPr="00FD110F">
        <w:rPr>
          <w:rFonts w:cstheme="minorHAnsi"/>
          <w:i/>
          <w:iCs/>
          <w:sz w:val="24"/>
          <w:szCs w:val="24"/>
        </w:rPr>
        <w:t xml:space="preserve"> to clarify whether this is written by mistake or written intentionally so he might call back me to just confirm that the order or to question about the dose so usually it is kind of a team work rather than just an order by the physician</w:t>
      </w:r>
      <w:r>
        <w:rPr>
          <w:rFonts w:cstheme="minorHAnsi"/>
          <w:i/>
          <w:iCs/>
          <w:sz w:val="24"/>
          <w:szCs w:val="24"/>
        </w:rPr>
        <w:t>…’D2</w:t>
      </w:r>
    </w:p>
    <w:p w14:paraId="6664596B"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w:t>
      </w:r>
      <w:r w:rsidRPr="00DF1187">
        <w:rPr>
          <w:rFonts w:cstheme="minorHAnsi"/>
          <w:i/>
          <w:iCs/>
          <w:sz w:val="24"/>
          <w:szCs w:val="24"/>
        </w:rPr>
        <w:t>e might know if the patient refused to take the prescribe</w:t>
      </w:r>
      <w:r>
        <w:rPr>
          <w:rFonts w:cstheme="minorHAnsi"/>
          <w:i/>
          <w:iCs/>
          <w:sz w:val="24"/>
          <w:szCs w:val="24"/>
        </w:rPr>
        <w:t>d</w:t>
      </w:r>
      <w:r w:rsidRPr="00DF1187">
        <w:rPr>
          <w:rFonts w:cstheme="minorHAnsi"/>
          <w:i/>
          <w:iCs/>
          <w:sz w:val="24"/>
          <w:szCs w:val="24"/>
        </w:rPr>
        <w:t xml:space="preserve"> amount that he get</w:t>
      </w:r>
      <w:r>
        <w:rPr>
          <w:rFonts w:cstheme="minorHAnsi"/>
          <w:i/>
          <w:iCs/>
          <w:sz w:val="24"/>
          <w:szCs w:val="24"/>
        </w:rPr>
        <w:t>s</w:t>
      </w:r>
      <w:r w:rsidRPr="00DF1187">
        <w:rPr>
          <w:rFonts w:cstheme="minorHAnsi"/>
          <w:i/>
          <w:iCs/>
          <w:sz w:val="24"/>
          <w:szCs w:val="24"/>
        </w:rPr>
        <w:t xml:space="preserve"> a poor compliance. So the information shared by the pharmacist</w:t>
      </w:r>
      <w:r>
        <w:rPr>
          <w:rFonts w:cstheme="minorHAnsi"/>
          <w:i/>
          <w:iCs/>
          <w:sz w:val="24"/>
          <w:szCs w:val="24"/>
        </w:rPr>
        <w:t xml:space="preserve"> [...]</w:t>
      </w:r>
      <w:r w:rsidRPr="00DF1187">
        <w:rPr>
          <w:rFonts w:cstheme="minorHAnsi"/>
          <w:i/>
          <w:iCs/>
          <w:sz w:val="24"/>
          <w:szCs w:val="24"/>
        </w:rPr>
        <w:t xml:space="preserve"> </w:t>
      </w:r>
      <w:r>
        <w:rPr>
          <w:rFonts w:cstheme="minorHAnsi"/>
          <w:i/>
          <w:iCs/>
          <w:sz w:val="24"/>
          <w:szCs w:val="24"/>
        </w:rPr>
        <w:t>I</w:t>
      </w:r>
      <w:r w:rsidRPr="00DF1187">
        <w:rPr>
          <w:rFonts w:cstheme="minorHAnsi"/>
          <w:i/>
          <w:iCs/>
          <w:sz w:val="24"/>
          <w:szCs w:val="24"/>
        </w:rPr>
        <w:t xml:space="preserve">f </w:t>
      </w:r>
      <w:r>
        <w:rPr>
          <w:rFonts w:cstheme="minorHAnsi"/>
          <w:i/>
          <w:iCs/>
          <w:sz w:val="24"/>
          <w:szCs w:val="24"/>
        </w:rPr>
        <w:t>a patient</w:t>
      </w:r>
      <w:r w:rsidRPr="00DF1187">
        <w:rPr>
          <w:rFonts w:cstheme="minorHAnsi"/>
          <w:i/>
          <w:iCs/>
          <w:sz w:val="24"/>
          <w:szCs w:val="24"/>
        </w:rPr>
        <w:t xml:space="preserve"> did not come for refill at schedule refilled</w:t>
      </w:r>
      <w:r>
        <w:rPr>
          <w:rFonts w:cstheme="minorHAnsi"/>
          <w:i/>
          <w:iCs/>
          <w:sz w:val="24"/>
          <w:szCs w:val="24"/>
        </w:rPr>
        <w:t>,</w:t>
      </w:r>
      <w:r w:rsidRPr="00DF1187">
        <w:rPr>
          <w:rFonts w:cstheme="minorHAnsi"/>
          <w:i/>
          <w:iCs/>
          <w:sz w:val="24"/>
          <w:szCs w:val="24"/>
        </w:rPr>
        <w:t xml:space="preserve"> the pharmacist will you know analyse this information as a poor compliance</w:t>
      </w:r>
      <w:r>
        <w:rPr>
          <w:rFonts w:cstheme="minorHAnsi"/>
          <w:i/>
          <w:iCs/>
          <w:sz w:val="24"/>
          <w:szCs w:val="24"/>
        </w:rPr>
        <w:t xml:space="preserve"> […] </w:t>
      </w:r>
      <w:r w:rsidRPr="00DF1187">
        <w:rPr>
          <w:rFonts w:cstheme="minorHAnsi"/>
          <w:i/>
          <w:iCs/>
          <w:sz w:val="24"/>
          <w:szCs w:val="24"/>
        </w:rPr>
        <w:t>or  maybe he's not taking the dose as directed by the physician so I think sharing the information through the team, the treating team,  w</w:t>
      </w:r>
      <w:r>
        <w:rPr>
          <w:rFonts w:cstheme="minorHAnsi"/>
          <w:i/>
          <w:iCs/>
          <w:sz w:val="24"/>
          <w:szCs w:val="24"/>
        </w:rPr>
        <w:t>e</w:t>
      </w:r>
      <w:r w:rsidRPr="00DF1187">
        <w:rPr>
          <w:rFonts w:cstheme="minorHAnsi"/>
          <w:i/>
          <w:iCs/>
          <w:sz w:val="24"/>
          <w:szCs w:val="24"/>
        </w:rPr>
        <w:t>ll it is very valuable</w:t>
      </w:r>
      <w:r>
        <w:rPr>
          <w:rFonts w:cstheme="minorHAnsi"/>
          <w:i/>
          <w:iCs/>
          <w:sz w:val="24"/>
          <w:szCs w:val="24"/>
        </w:rPr>
        <w:t>,</w:t>
      </w:r>
      <w:r w:rsidRPr="00DF1187">
        <w:rPr>
          <w:rFonts w:cstheme="minorHAnsi"/>
          <w:i/>
          <w:iCs/>
          <w:sz w:val="24"/>
          <w:szCs w:val="24"/>
        </w:rPr>
        <w:t xml:space="preserve"> any behavioural any let</w:t>
      </w:r>
      <w:r>
        <w:rPr>
          <w:rFonts w:cstheme="minorHAnsi"/>
          <w:i/>
          <w:iCs/>
          <w:sz w:val="24"/>
          <w:szCs w:val="24"/>
        </w:rPr>
        <w:t>’s</w:t>
      </w:r>
      <w:r w:rsidRPr="00DF1187">
        <w:rPr>
          <w:rFonts w:cstheme="minorHAnsi"/>
          <w:i/>
          <w:iCs/>
          <w:sz w:val="24"/>
          <w:szCs w:val="24"/>
        </w:rPr>
        <w:t xml:space="preserve"> say a comment from the patient to the pharmacist is a valuable comment that might add a key role in the management of the chronic disease I think.</w:t>
      </w:r>
      <w:r>
        <w:rPr>
          <w:rFonts w:cstheme="minorHAnsi"/>
          <w:i/>
          <w:iCs/>
          <w:sz w:val="24"/>
          <w:szCs w:val="24"/>
        </w:rPr>
        <w:t>D2</w:t>
      </w:r>
    </w:p>
    <w:p w14:paraId="32C75562" w14:textId="77777777" w:rsidR="00821B82" w:rsidRPr="007A1440" w:rsidRDefault="00821B82" w:rsidP="00821B82">
      <w:pPr>
        <w:spacing w:line="240" w:lineRule="auto"/>
        <w:ind w:left="720"/>
        <w:jc w:val="both"/>
        <w:rPr>
          <w:rFonts w:cstheme="minorHAnsi"/>
          <w:i/>
          <w:iCs/>
          <w:sz w:val="24"/>
          <w:szCs w:val="24"/>
        </w:rPr>
      </w:pPr>
    </w:p>
    <w:p w14:paraId="24235F94" w14:textId="77777777" w:rsidR="00821B82" w:rsidRPr="007C6088" w:rsidRDefault="00821B82" w:rsidP="00821B82">
      <w:pPr>
        <w:pStyle w:val="Heading5"/>
        <w:spacing w:line="360" w:lineRule="auto"/>
        <w:rPr>
          <w:rFonts w:asciiTheme="minorBidi" w:hAnsiTheme="minorBidi" w:cstheme="minorBidi"/>
          <w:sz w:val="24"/>
          <w:szCs w:val="24"/>
        </w:rPr>
      </w:pPr>
      <w:r w:rsidRPr="007C6088">
        <w:rPr>
          <w:rFonts w:asciiTheme="minorBidi" w:hAnsiTheme="minorBidi" w:cstheme="minorBidi"/>
          <w:sz w:val="24"/>
          <w:szCs w:val="24"/>
        </w:rPr>
        <w:t>Delivery of care: Pharmacists' integration in PHCs affects care delivery</w:t>
      </w:r>
    </w:p>
    <w:p w14:paraId="7C167579" w14:textId="77777777" w:rsidR="00821B82" w:rsidRDefault="00821B82" w:rsidP="00821B82">
      <w:pPr>
        <w:spacing w:line="360" w:lineRule="auto"/>
        <w:jc w:val="both"/>
        <w:rPr>
          <w:rFonts w:asciiTheme="minorBidi" w:hAnsiTheme="minorBidi"/>
          <w:sz w:val="24"/>
          <w:szCs w:val="24"/>
          <w:rtl/>
        </w:rPr>
      </w:pPr>
      <w:r>
        <w:rPr>
          <w:rFonts w:asciiTheme="minorBidi" w:hAnsiTheme="minorBidi"/>
          <w:sz w:val="24"/>
          <w:szCs w:val="24"/>
        </w:rPr>
        <w:t xml:space="preserve">Pharmacies located in PHCs seem more effective in providing pharmaceutical care than retail community pharmacies. Pharmacists working in PHCs can intervene in patients’ management to some extent via accessing patients’ records, assessing patients’ treatment plans, and communicating with treating doctors and other HCPs when needed. </w:t>
      </w:r>
      <w:r w:rsidRPr="00B33CDE">
        <w:rPr>
          <w:rFonts w:asciiTheme="minorBidi" w:hAnsiTheme="minorBidi"/>
          <w:sz w:val="24"/>
          <w:szCs w:val="24"/>
        </w:rPr>
        <w:t>In comparison, pharmacists in retail pharmacies do not have these advantages and are limited to dispensing medications to patients.</w:t>
      </w:r>
    </w:p>
    <w:p w14:paraId="04A59274" w14:textId="77777777" w:rsidR="00821B82" w:rsidRPr="000063FA" w:rsidRDefault="00821B82" w:rsidP="00821B82">
      <w:pPr>
        <w:spacing w:line="240" w:lineRule="auto"/>
        <w:ind w:left="720"/>
        <w:jc w:val="both"/>
        <w:rPr>
          <w:rFonts w:cstheme="minorHAnsi"/>
          <w:i/>
          <w:iCs/>
          <w:sz w:val="24"/>
          <w:szCs w:val="24"/>
        </w:rPr>
      </w:pPr>
      <w:r>
        <w:rPr>
          <w:rFonts w:cstheme="minorHAnsi"/>
          <w:i/>
          <w:iCs/>
          <w:sz w:val="24"/>
          <w:szCs w:val="24"/>
        </w:rPr>
        <w:t>‘</w:t>
      </w:r>
      <w:r w:rsidRPr="000063FA">
        <w:rPr>
          <w:rFonts w:cstheme="minorHAnsi"/>
          <w:i/>
          <w:iCs/>
          <w:sz w:val="24"/>
          <w:szCs w:val="24"/>
        </w:rPr>
        <w:t>For DM patients, in PHC, we have a chance to interact with patients more</w:t>
      </w:r>
      <w:r>
        <w:rPr>
          <w:rFonts w:cstheme="minorHAnsi"/>
          <w:i/>
          <w:iCs/>
          <w:sz w:val="24"/>
          <w:szCs w:val="24"/>
        </w:rPr>
        <w:t xml:space="preserve"> […]. </w:t>
      </w:r>
      <w:r w:rsidRPr="000063FA">
        <w:rPr>
          <w:rFonts w:cstheme="minorHAnsi"/>
          <w:i/>
          <w:iCs/>
          <w:sz w:val="24"/>
          <w:szCs w:val="24"/>
        </w:rPr>
        <w:t xml:space="preserve">We check/review </w:t>
      </w:r>
      <w:r>
        <w:rPr>
          <w:rFonts w:cstheme="minorHAnsi"/>
          <w:i/>
          <w:iCs/>
          <w:sz w:val="24"/>
          <w:szCs w:val="24"/>
        </w:rPr>
        <w:t>patients’</w:t>
      </w:r>
      <w:r w:rsidRPr="000063FA">
        <w:rPr>
          <w:rFonts w:cstheme="minorHAnsi"/>
          <w:i/>
          <w:iCs/>
          <w:sz w:val="24"/>
          <w:szCs w:val="24"/>
        </w:rPr>
        <w:t xml:space="preserve"> medications every time they visit the centre to dispense their refill prescriptions</w:t>
      </w:r>
      <w:r>
        <w:rPr>
          <w:rFonts w:cstheme="minorHAnsi"/>
          <w:i/>
          <w:iCs/>
          <w:sz w:val="24"/>
          <w:szCs w:val="24"/>
        </w:rPr>
        <w:t xml:space="preserve"> [</w:t>
      </w:r>
      <w:r w:rsidRPr="000063FA">
        <w:rPr>
          <w:rFonts w:cstheme="minorHAnsi"/>
          <w:i/>
          <w:iCs/>
          <w:sz w:val="24"/>
          <w:szCs w:val="24"/>
        </w:rPr>
        <w:t>…</w:t>
      </w:r>
      <w:r>
        <w:rPr>
          <w:rFonts w:cstheme="minorHAnsi"/>
          <w:i/>
          <w:iCs/>
          <w:sz w:val="24"/>
          <w:szCs w:val="24"/>
        </w:rPr>
        <w:t xml:space="preserve">] </w:t>
      </w:r>
      <w:r w:rsidRPr="000063FA">
        <w:rPr>
          <w:rFonts w:cstheme="minorHAnsi"/>
          <w:i/>
          <w:iCs/>
          <w:sz w:val="24"/>
          <w:szCs w:val="24"/>
        </w:rPr>
        <w:t xml:space="preserve">We make sure that the drug is given safely to patients. For example, if there is any change in a patient's medication, we can detect this by reviewing the patient's drug profile. We review the patient's medication </w:t>
      </w:r>
      <w:r>
        <w:rPr>
          <w:rFonts w:cstheme="minorHAnsi"/>
          <w:i/>
          <w:iCs/>
          <w:sz w:val="24"/>
          <w:szCs w:val="24"/>
        </w:rPr>
        <w:t>and</w:t>
      </w:r>
      <w:r w:rsidRPr="000063FA">
        <w:rPr>
          <w:rFonts w:cstheme="minorHAnsi"/>
          <w:i/>
          <w:iCs/>
          <w:sz w:val="24"/>
          <w:szCs w:val="24"/>
        </w:rPr>
        <w:t xml:space="preserve"> documenting and updating any changes in the medications in this file. So through this, you can see if there is any change in prescribing the medication itself, the dose, frequency, etc. We also detect medication errors. For example, if a mistake was made by doctors from not giving the usual dose or miss writing any medication for the patient, the pharmacist contacts the prescribers to notify them.</w:t>
      </w:r>
      <w:r>
        <w:rPr>
          <w:rFonts w:cstheme="minorHAnsi"/>
          <w:i/>
          <w:iCs/>
          <w:sz w:val="24"/>
          <w:szCs w:val="24"/>
        </w:rPr>
        <w:t>’Ph2</w:t>
      </w:r>
    </w:p>
    <w:p w14:paraId="5EF02A68" w14:textId="77777777" w:rsidR="00821B82" w:rsidRPr="0029355E" w:rsidRDefault="00821B82" w:rsidP="00821B82">
      <w:pPr>
        <w:spacing w:line="240" w:lineRule="auto"/>
        <w:ind w:left="720"/>
        <w:jc w:val="both"/>
        <w:rPr>
          <w:rFonts w:cstheme="minorHAnsi"/>
          <w:i/>
          <w:iCs/>
          <w:sz w:val="24"/>
          <w:szCs w:val="24"/>
        </w:rPr>
      </w:pPr>
      <w:r>
        <w:rPr>
          <w:rFonts w:cstheme="minorHAnsi"/>
          <w:i/>
          <w:iCs/>
          <w:sz w:val="24"/>
          <w:szCs w:val="24"/>
        </w:rPr>
        <w:t>‘</w:t>
      </w:r>
      <w:r w:rsidRPr="0029355E">
        <w:rPr>
          <w:rFonts w:cstheme="minorHAnsi"/>
          <w:i/>
          <w:iCs/>
          <w:sz w:val="24"/>
          <w:szCs w:val="24"/>
        </w:rPr>
        <w:t>When a patient comes to the pharmacy to take their medication, we usually review the prescription and make sure exactly what medications the patient is using. If any change is made in the patient's prescription/patients' medications, for example, in the dose or frequency of the medication or a change of medication to another medication, I contact the doctor to inquire about the reason for any change. I also ask the patient about this change and whether it is based on laboratory results. I only dispense the Rx after making sure with the doctor and patient about any change in the patient's prescription.</w:t>
      </w:r>
      <w:r>
        <w:rPr>
          <w:rFonts w:cstheme="minorHAnsi"/>
          <w:i/>
          <w:iCs/>
          <w:sz w:val="24"/>
          <w:szCs w:val="24"/>
        </w:rPr>
        <w:t>’</w:t>
      </w:r>
      <w:r w:rsidRPr="0029355E">
        <w:rPr>
          <w:rFonts w:cstheme="minorHAnsi"/>
          <w:i/>
          <w:iCs/>
          <w:sz w:val="24"/>
          <w:szCs w:val="24"/>
        </w:rPr>
        <w:t>Ph1</w:t>
      </w:r>
    </w:p>
    <w:p w14:paraId="3E97AF73" w14:textId="77777777" w:rsidR="00821B82" w:rsidRPr="007C6088" w:rsidRDefault="00821B82" w:rsidP="00821B82">
      <w:pPr>
        <w:pStyle w:val="Heading5"/>
        <w:spacing w:line="360" w:lineRule="auto"/>
        <w:rPr>
          <w:rFonts w:asciiTheme="minorBidi" w:hAnsiTheme="minorBidi" w:cstheme="minorBidi"/>
          <w:sz w:val="24"/>
          <w:szCs w:val="24"/>
        </w:rPr>
      </w:pPr>
      <w:r w:rsidRPr="007C6088">
        <w:rPr>
          <w:rFonts w:asciiTheme="minorBidi" w:hAnsiTheme="minorBidi" w:cstheme="minorBidi"/>
          <w:sz w:val="24"/>
          <w:szCs w:val="24"/>
        </w:rPr>
        <w:t>Job satisfaction for primary healthcare providers</w:t>
      </w:r>
    </w:p>
    <w:p w14:paraId="5C32962F" w14:textId="77777777" w:rsidR="00821B82" w:rsidRPr="00CA6FF7"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hAnsiTheme="minorBidi"/>
          <w:sz w:val="24"/>
          <w:szCs w:val="24"/>
        </w:rPr>
      </w:pPr>
      <w:r w:rsidRPr="000F52F2">
        <w:rPr>
          <w:rFonts w:asciiTheme="minorBidi" w:hAnsiTheme="minorBidi"/>
          <w:sz w:val="24"/>
          <w:szCs w:val="24"/>
        </w:rPr>
        <w:t xml:space="preserve">A positive work experience was observed in all participants who worked with pharmacists in </w:t>
      </w:r>
      <w:r>
        <w:rPr>
          <w:rFonts w:asciiTheme="minorBidi" w:hAnsiTheme="minorBidi"/>
          <w:sz w:val="24"/>
          <w:szCs w:val="24"/>
        </w:rPr>
        <w:t>PHCs</w:t>
      </w:r>
      <w:r w:rsidRPr="000F52F2">
        <w:rPr>
          <w:rFonts w:asciiTheme="minorBidi" w:hAnsiTheme="minorBidi"/>
          <w:sz w:val="24"/>
          <w:szCs w:val="24"/>
        </w:rPr>
        <w:t xml:space="preserve">. In addition, the pharmacists were satisfied with </w:t>
      </w:r>
      <w:r>
        <w:rPr>
          <w:rFonts w:asciiTheme="minorBidi" w:hAnsiTheme="minorBidi"/>
          <w:sz w:val="24"/>
          <w:szCs w:val="24"/>
        </w:rPr>
        <w:t xml:space="preserve">and enjoyed </w:t>
      </w:r>
      <w:r w:rsidRPr="000F52F2">
        <w:rPr>
          <w:rFonts w:asciiTheme="minorBidi" w:hAnsiTheme="minorBidi"/>
          <w:sz w:val="24"/>
          <w:szCs w:val="24"/>
        </w:rPr>
        <w:t xml:space="preserve">working in </w:t>
      </w:r>
      <w:r>
        <w:rPr>
          <w:rFonts w:asciiTheme="minorBidi" w:hAnsiTheme="minorBidi"/>
          <w:sz w:val="24"/>
          <w:szCs w:val="24"/>
        </w:rPr>
        <w:t>PHCs</w:t>
      </w:r>
      <w:r w:rsidRPr="000F52F2">
        <w:rPr>
          <w:rFonts w:asciiTheme="minorBidi" w:hAnsiTheme="minorBidi"/>
          <w:sz w:val="24"/>
          <w:szCs w:val="24"/>
        </w:rPr>
        <w:t xml:space="preserve"> and hope to return to work in the </w:t>
      </w:r>
      <w:r>
        <w:rPr>
          <w:rFonts w:asciiTheme="minorBidi" w:hAnsiTheme="minorBidi"/>
          <w:sz w:val="24"/>
          <w:szCs w:val="24"/>
        </w:rPr>
        <w:t>PHCs</w:t>
      </w:r>
      <w:r w:rsidRPr="000F52F2">
        <w:rPr>
          <w:rFonts w:asciiTheme="minorBidi" w:hAnsiTheme="minorBidi"/>
          <w:sz w:val="24"/>
          <w:szCs w:val="24"/>
        </w:rPr>
        <w:t>.</w:t>
      </w:r>
      <w:r>
        <w:rPr>
          <w:rFonts w:asciiTheme="minorBidi" w:hAnsiTheme="minorBidi"/>
          <w:sz w:val="24"/>
          <w:szCs w:val="24"/>
        </w:rPr>
        <w:t xml:space="preserve"> </w:t>
      </w:r>
      <w:r w:rsidRPr="00CA6FF7">
        <w:rPr>
          <w:rFonts w:asciiTheme="minorBidi" w:hAnsiTheme="minorBidi"/>
          <w:sz w:val="24"/>
          <w:szCs w:val="24"/>
        </w:rPr>
        <w:t>When we asked pharmacist interviewees about th</w:t>
      </w:r>
      <w:r>
        <w:rPr>
          <w:rFonts w:asciiTheme="minorBidi" w:hAnsiTheme="minorBidi"/>
          <w:sz w:val="24"/>
          <w:szCs w:val="24"/>
        </w:rPr>
        <w:t>ei</w:t>
      </w:r>
      <w:r w:rsidRPr="00CA6FF7">
        <w:rPr>
          <w:rFonts w:asciiTheme="minorBidi" w:hAnsiTheme="minorBidi"/>
          <w:sz w:val="24"/>
          <w:szCs w:val="24"/>
        </w:rPr>
        <w:t xml:space="preserve">r experience working in the PHC, </w:t>
      </w:r>
      <w:r>
        <w:rPr>
          <w:rFonts w:asciiTheme="minorBidi" w:hAnsiTheme="minorBidi"/>
          <w:sz w:val="24"/>
          <w:szCs w:val="24"/>
        </w:rPr>
        <w:t>they</w:t>
      </w:r>
      <w:r w:rsidRPr="00CA6FF7">
        <w:rPr>
          <w:rFonts w:asciiTheme="minorBidi" w:hAnsiTheme="minorBidi"/>
          <w:sz w:val="24"/>
          <w:szCs w:val="24"/>
        </w:rPr>
        <w:t xml:space="preserve"> answer</w:t>
      </w:r>
      <w:r>
        <w:rPr>
          <w:rFonts w:asciiTheme="minorBidi" w:hAnsiTheme="minorBidi"/>
          <w:sz w:val="24"/>
          <w:szCs w:val="24"/>
        </w:rPr>
        <w:t>e</w:t>
      </w:r>
      <w:r w:rsidRPr="00CA6FF7">
        <w:rPr>
          <w:rFonts w:asciiTheme="minorBidi" w:hAnsiTheme="minorBidi"/>
          <w:sz w:val="24"/>
          <w:szCs w:val="24"/>
        </w:rPr>
        <w:t>d:</w:t>
      </w:r>
    </w:p>
    <w:p w14:paraId="1BB866E3" w14:textId="77777777" w:rsidR="00821B82" w:rsidRPr="00C06E50" w:rsidRDefault="00821B82" w:rsidP="00821B82">
      <w:pPr>
        <w:spacing w:line="240" w:lineRule="auto"/>
        <w:ind w:left="720"/>
        <w:jc w:val="both"/>
        <w:rPr>
          <w:rFonts w:cstheme="minorHAnsi"/>
          <w:i/>
          <w:iCs/>
          <w:sz w:val="24"/>
          <w:szCs w:val="24"/>
        </w:rPr>
      </w:pPr>
      <w:r>
        <w:rPr>
          <w:rFonts w:cstheme="minorHAnsi"/>
          <w:i/>
          <w:iCs/>
          <w:sz w:val="24"/>
          <w:szCs w:val="24"/>
        </w:rPr>
        <w:t>‘</w:t>
      </w:r>
      <w:r w:rsidRPr="00C06E50">
        <w:rPr>
          <w:rFonts w:cstheme="minorHAnsi"/>
          <w:i/>
          <w:iCs/>
          <w:sz w:val="24"/>
          <w:szCs w:val="24"/>
        </w:rPr>
        <w:t>It was a fantastic (excellent) experience</w:t>
      </w:r>
      <w:r>
        <w:rPr>
          <w:rFonts w:cstheme="minorHAnsi"/>
          <w:i/>
          <w:iCs/>
          <w:sz w:val="24"/>
          <w:szCs w:val="24"/>
        </w:rPr>
        <w:t xml:space="preserve"> [</w:t>
      </w:r>
      <w:r w:rsidRPr="00C06E50">
        <w:rPr>
          <w:rFonts w:cstheme="minorHAnsi"/>
          <w:i/>
          <w:iCs/>
          <w:sz w:val="24"/>
          <w:szCs w:val="24"/>
        </w:rPr>
        <w:t>…</w:t>
      </w:r>
      <w:r>
        <w:rPr>
          <w:rFonts w:cstheme="minorHAnsi"/>
          <w:i/>
          <w:iCs/>
          <w:sz w:val="24"/>
          <w:szCs w:val="24"/>
        </w:rPr>
        <w:t xml:space="preserve">] </w:t>
      </w:r>
      <w:r w:rsidRPr="00C06E50">
        <w:rPr>
          <w:rFonts w:cstheme="minorHAnsi"/>
          <w:i/>
          <w:iCs/>
          <w:sz w:val="24"/>
          <w:szCs w:val="24"/>
        </w:rPr>
        <w:t>As a primary care pharmacist, I would very much like to return to work in PHCs. There I feel that I am closer to the patient than the hospital, so my service to them would be better.</w:t>
      </w:r>
      <w:r>
        <w:rPr>
          <w:rFonts w:cstheme="minorHAnsi"/>
          <w:i/>
          <w:iCs/>
          <w:sz w:val="24"/>
          <w:szCs w:val="24"/>
        </w:rPr>
        <w:t>’</w:t>
      </w:r>
      <w:r w:rsidRPr="00C06E50">
        <w:rPr>
          <w:rFonts w:cstheme="minorHAnsi"/>
          <w:i/>
          <w:iCs/>
          <w:sz w:val="24"/>
          <w:szCs w:val="24"/>
        </w:rPr>
        <w:t xml:space="preserve"> Ph1</w:t>
      </w:r>
    </w:p>
    <w:p w14:paraId="0C4FD5D4" w14:textId="77777777" w:rsidR="00821B82" w:rsidRPr="00C06E50" w:rsidRDefault="00821B82" w:rsidP="00821B82">
      <w:pPr>
        <w:spacing w:line="240" w:lineRule="auto"/>
        <w:ind w:left="720"/>
        <w:jc w:val="both"/>
        <w:rPr>
          <w:rFonts w:cstheme="minorHAnsi"/>
          <w:i/>
          <w:iCs/>
          <w:sz w:val="24"/>
          <w:szCs w:val="24"/>
        </w:rPr>
      </w:pPr>
      <w:r>
        <w:rPr>
          <w:rFonts w:cstheme="minorHAnsi"/>
          <w:i/>
          <w:iCs/>
          <w:sz w:val="24"/>
          <w:szCs w:val="24"/>
        </w:rPr>
        <w:t>‘</w:t>
      </w:r>
      <w:r w:rsidRPr="00C06E50">
        <w:rPr>
          <w:rFonts w:cstheme="minorHAnsi"/>
          <w:i/>
          <w:iCs/>
          <w:sz w:val="24"/>
          <w:szCs w:val="24"/>
        </w:rPr>
        <w:t>We work as a family in the PHCs… I have been moved from the PHC, but I believe that pharmacists can play an important and active role in patient care in PHC</w:t>
      </w:r>
      <w:r>
        <w:rPr>
          <w:rFonts w:cstheme="minorHAnsi"/>
          <w:i/>
          <w:iCs/>
          <w:sz w:val="24"/>
          <w:szCs w:val="24"/>
        </w:rPr>
        <w:t>’</w:t>
      </w:r>
      <w:r w:rsidRPr="00C06E50">
        <w:rPr>
          <w:rFonts w:cstheme="minorHAnsi"/>
          <w:i/>
          <w:iCs/>
          <w:sz w:val="24"/>
          <w:szCs w:val="24"/>
        </w:rPr>
        <w:t xml:space="preserve"> Ph2</w:t>
      </w:r>
    </w:p>
    <w:p w14:paraId="6DCAE4CE"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C06E50">
        <w:rPr>
          <w:rFonts w:cstheme="minorHAnsi"/>
          <w:i/>
          <w:iCs/>
          <w:sz w:val="24"/>
          <w:szCs w:val="24"/>
        </w:rPr>
        <w:t>I hope the pharmacists return to work in PHCs. Their role is important</w:t>
      </w:r>
      <w:r>
        <w:rPr>
          <w:rFonts w:cstheme="minorHAnsi"/>
          <w:i/>
          <w:iCs/>
          <w:sz w:val="24"/>
          <w:szCs w:val="24"/>
        </w:rPr>
        <w:t>’</w:t>
      </w:r>
      <w:r w:rsidRPr="00C06E50">
        <w:rPr>
          <w:rFonts w:cstheme="minorHAnsi"/>
          <w:i/>
          <w:iCs/>
          <w:sz w:val="24"/>
          <w:szCs w:val="24"/>
        </w:rPr>
        <w:t xml:space="preserve"> </w:t>
      </w:r>
      <w:r>
        <w:rPr>
          <w:rFonts w:cstheme="minorHAnsi"/>
          <w:i/>
          <w:iCs/>
          <w:sz w:val="24"/>
          <w:szCs w:val="24"/>
        </w:rPr>
        <w:t>P</w:t>
      </w:r>
      <w:r w:rsidRPr="00C06E50">
        <w:rPr>
          <w:rFonts w:cstheme="minorHAnsi"/>
          <w:i/>
          <w:iCs/>
          <w:sz w:val="24"/>
          <w:szCs w:val="24"/>
        </w:rPr>
        <w:t>h3</w:t>
      </w:r>
    </w:p>
    <w:p w14:paraId="1BB894EB" w14:textId="77777777" w:rsidR="00821B82" w:rsidRPr="004314DF" w:rsidRDefault="00821B82" w:rsidP="00821B82">
      <w:pPr>
        <w:spacing w:before="240" w:line="360" w:lineRule="auto"/>
        <w:jc w:val="both"/>
        <w:rPr>
          <w:rFonts w:asciiTheme="minorBidi" w:hAnsiTheme="minorBidi"/>
          <w:sz w:val="24"/>
          <w:szCs w:val="24"/>
        </w:rPr>
      </w:pPr>
      <w:r>
        <w:rPr>
          <w:rFonts w:asciiTheme="minorBidi" w:hAnsiTheme="minorBidi"/>
          <w:sz w:val="24"/>
          <w:szCs w:val="24"/>
        </w:rPr>
        <w:t>We found that a</w:t>
      </w:r>
      <w:r w:rsidRPr="004314DF">
        <w:rPr>
          <w:rFonts w:asciiTheme="minorBidi" w:hAnsiTheme="minorBidi"/>
          <w:sz w:val="24"/>
          <w:szCs w:val="24"/>
        </w:rPr>
        <w:t xml:space="preserve">lso nurses and doctors wished pharmacists </w:t>
      </w:r>
      <w:r>
        <w:rPr>
          <w:rFonts w:asciiTheme="minorBidi" w:hAnsiTheme="minorBidi"/>
          <w:sz w:val="24"/>
          <w:szCs w:val="24"/>
        </w:rPr>
        <w:t xml:space="preserve">to go </w:t>
      </w:r>
      <w:r w:rsidRPr="004314DF">
        <w:rPr>
          <w:rFonts w:asciiTheme="minorBidi" w:hAnsiTheme="minorBidi"/>
          <w:sz w:val="24"/>
          <w:szCs w:val="24"/>
        </w:rPr>
        <w:t>back to work</w:t>
      </w:r>
      <w:r>
        <w:rPr>
          <w:rFonts w:asciiTheme="minorBidi" w:hAnsiTheme="minorBidi"/>
          <w:sz w:val="24"/>
          <w:szCs w:val="24"/>
        </w:rPr>
        <w:t>ing</w:t>
      </w:r>
      <w:r w:rsidRPr="004314DF">
        <w:rPr>
          <w:rFonts w:asciiTheme="minorBidi" w:hAnsiTheme="minorBidi"/>
          <w:sz w:val="24"/>
          <w:szCs w:val="24"/>
        </w:rPr>
        <w:t xml:space="preserve"> in the </w:t>
      </w:r>
      <w:r>
        <w:rPr>
          <w:rFonts w:asciiTheme="minorBidi" w:hAnsiTheme="minorBidi"/>
          <w:sz w:val="24"/>
          <w:szCs w:val="24"/>
        </w:rPr>
        <w:t>P</w:t>
      </w:r>
      <w:r w:rsidRPr="004314DF">
        <w:rPr>
          <w:rFonts w:asciiTheme="minorBidi" w:hAnsiTheme="minorBidi"/>
          <w:sz w:val="24"/>
          <w:szCs w:val="24"/>
        </w:rPr>
        <w:t>HCs</w:t>
      </w:r>
      <w:r>
        <w:rPr>
          <w:rFonts w:asciiTheme="minorBidi" w:hAnsiTheme="minorBidi"/>
          <w:sz w:val="24"/>
          <w:szCs w:val="24"/>
        </w:rPr>
        <w:t>:</w:t>
      </w:r>
    </w:p>
    <w:p w14:paraId="1335CC5F" w14:textId="77777777" w:rsidR="00821B82" w:rsidRPr="001F607C" w:rsidRDefault="00821B82" w:rsidP="00821B82">
      <w:pPr>
        <w:spacing w:line="240" w:lineRule="auto"/>
        <w:ind w:left="720"/>
        <w:jc w:val="both"/>
        <w:rPr>
          <w:rFonts w:cstheme="minorHAnsi"/>
          <w:i/>
          <w:iCs/>
          <w:sz w:val="24"/>
          <w:szCs w:val="24"/>
        </w:rPr>
      </w:pPr>
      <w:r>
        <w:rPr>
          <w:rFonts w:cstheme="minorHAnsi"/>
          <w:i/>
          <w:iCs/>
          <w:sz w:val="24"/>
          <w:szCs w:val="24"/>
        </w:rPr>
        <w:t>‘</w:t>
      </w:r>
      <w:r w:rsidRPr="001F607C">
        <w:rPr>
          <w:rFonts w:cstheme="minorHAnsi"/>
          <w:i/>
          <w:iCs/>
          <w:sz w:val="24"/>
          <w:szCs w:val="24"/>
        </w:rPr>
        <w:t xml:space="preserve">I hope that pharmacists will return to </w:t>
      </w:r>
      <w:r>
        <w:rPr>
          <w:rFonts w:cstheme="minorHAnsi"/>
          <w:i/>
          <w:iCs/>
          <w:sz w:val="24"/>
          <w:szCs w:val="24"/>
        </w:rPr>
        <w:t>PHCs</w:t>
      </w:r>
      <w:r w:rsidRPr="001F607C">
        <w:rPr>
          <w:rFonts w:cstheme="minorHAnsi"/>
          <w:i/>
          <w:iCs/>
          <w:sz w:val="24"/>
          <w:szCs w:val="24"/>
        </w:rPr>
        <w:t xml:space="preserve"> because their role is influential; they have a significant role in patients</w:t>
      </w:r>
      <w:r>
        <w:rPr>
          <w:rFonts w:cstheme="minorHAnsi"/>
          <w:i/>
          <w:iCs/>
          <w:sz w:val="24"/>
          <w:szCs w:val="24"/>
        </w:rPr>
        <w:t>’</w:t>
      </w:r>
      <w:r w:rsidRPr="001F607C">
        <w:rPr>
          <w:rFonts w:cstheme="minorHAnsi"/>
          <w:i/>
          <w:iCs/>
          <w:sz w:val="24"/>
          <w:szCs w:val="24"/>
        </w:rPr>
        <w:t xml:space="preserve"> care</w:t>
      </w:r>
      <w:r>
        <w:rPr>
          <w:rFonts w:cstheme="minorHAnsi"/>
          <w:i/>
          <w:iCs/>
          <w:sz w:val="24"/>
          <w:szCs w:val="24"/>
        </w:rPr>
        <w:t>’</w:t>
      </w:r>
      <w:r w:rsidRPr="001F607C">
        <w:rPr>
          <w:rFonts w:cstheme="minorHAnsi"/>
          <w:i/>
          <w:iCs/>
          <w:sz w:val="24"/>
          <w:szCs w:val="24"/>
        </w:rPr>
        <w:t>. N3</w:t>
      </w:r>
    </w:p>
    <w:p w14:paraId="11EE198D"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1F607C">
        <w:rPr>
          <w:rFonts w:cstheme="minorHAnsi"/>
          <w:i/>
          <w:iCs/>
          <w:sz w:val="24"/>
          <w:szCs w:val="24"/>
        </w:rPr>
        <w:t xml:space="preserve">I hope that even if I retire, the pharmacist's role </w:t>
      </w:r>
      <w:r>
        <w:rPr>
          <w:rFonts w:cstheme="minorHAnsi"/>
          <w:i/>
          <w:iCs/>
          <w:sz w:val="24"/>
          <w:szCs w:val="24"/>
        </w:rPr>
        <w:t xml:space="preserve">will </w:t>
      </w:r>
      <w:r w:rsidRPr="001F607C">
        <w:rPr>
          <w:rFonts w:cstheme="minorHAnsi"/>
          <w:i/>
          <w:iCs/>
          <w:sz w:val="24"/>
          <w:szCs w:val="24"/>
        </w:rPr>
        <w:t>return to PHCs. I hope so</w:t>
      </w:r>
      <w:r>
        <w:rPr>
          <w:rFonts w:cstheme="minorHAnsi"/>
          <w:i/>
          <w:iCs/>
          <w:sz w:val="24"/>
          <w:szCs w:val="24"/>
        </w:rPr>
        <w:t xml:space="preserve"> […]</w:t>
      </w:r>
      <w:r w:rsidRPr="005C268D">
        <w:rPr>
          <w:rFonts w:cstheme="minorHAnsi"/>
          <w:i/>
          <w:iCs/>
          <w:sz w:val="24"/>
          <w:szCs w:val="24"/>
        </w:rPr>
        <w:t xml:space="preserve"> </w:t>
      </w:r>
      <w:r w:rsidRPr="00240028">
        <w:rPr>
          <w:rFonts w:cstheme="minorHAnsi"/>
          <w:i/>
          <w:iCs/>
          <w:sz w:val="24"/>
          <w:szCs w:val="24"/>
        </w:rPr>
        <w:t xml:space="preserve">The role of the pharmacist is very, very important in </w:t>
      </w:r>
      <w:r>
        <w:rPr>
          <w:rFonts w:cstheme="minorHAnsi"/>
          <w:i/>
          <w:iCs/>
          <w:sz w:val="24"/>
          <w:szCs w:val="24"/>
        </w:rPr>
        <w:t>PHCs</w:t>
      </w:r>
      <w:r w:rsidRPr="00240028">
        <w:rPr>
          <w:rFonts w:cstheme="minorHAnsi"/>
          <w:i/>
          <w:iCs/>
          <w:sz w:val="24"/>
          <w:szCs w:val="24"/>
        </w:rPr>
        <w:t>. Unfortunately, we missed it greatly</w:t>
      </w:r>
      <w:r>
        <w:rPr>
          <w:rFonts w:cstheme="minorHAnsi"/>
          <w:i/>
          <w:iCs/>
          <w:sz w:val="24"/>
          <w:szCs w:val="24"/>
        </w:rPr>
        <w:t xml:space="preserve">’ </w:t>
      </w:r>
      <w:r w:rsidRPr="001F607C">
        <w:rPr>
          <w:rFonts w:cstheme="minorHAnsi"/>
          <w:i/>
          <w:iCs/>
          <w:sz w:val="24"/>
          <w:szCs w:val="24"/>
        </w:rPr>
        <w:t>N2</w:t>
      </w:r>
    </w:p>
    <w:p w14:paraId="7657032C" w14:textId="77777777" w:rsidR="00821B82" w:rsidRPr="008F71DC"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cstheme="minorHAnsi"/>
          <w:i/>
          <w:iCs/>
          <w:sz w:val="24"/>
          <w:szCs w:val="24"/>
        </w:rPr>
      </w:pPr>
      <w:r w:rsidRPr="006F62D0">
        <w:rPr>
          <w:rFonts w:asciiTheme="minorBidi" w:hAnsiTheme="minorBidi"/>
          <w:sz w:val="24"/>
          <w:szCs w:val="24"/>
        </w:rPr>
        <w:t xml:space="preserve">The results of the interviews </w:t>
      </w:r>
      <w:r>
        <w:rPr>
          <w:rFonts w:asciiTheme="minorBidi" w:hAnsiTheme="minorBidi"/>
          <w:sz w:val="24"/>
          <w:szCs w:val="24"/>
        </w:rPr>
        <w:t xml:space="preserve">also </w:t>
      </w:r>
      <w:r w:rsidRPr="006F62D0">
        <w:rPr>
          <w:rFonts w:asciiTheme="minorBidi" w:hAnsiTheme="minorBidi"/>
          <w:sz w:val="24"/>
          <w:szCs w:val="24"/>
        </w:rPr>
        <w:t xml:space="preserve">indicate that the integration of pharmacists with the medical team in </w:t>
      </w:r>
      <w:r>
        <w:rPr>
          <w:rFonts w:asciiTheme="minorBidi" w:hAnsiTheme="minorBidi"/>
          <w:sz w:val="24"/>
          <w:szCs w:val="24"/>
        </w:rPr>
        <w:t>PHCs</w:t>
      </w:r>
      <w:r w:rsidRPr="006F62D0">
        <w:rPr>
          <w:rFonts w:asciiTheme="minorBidi" w:hAnsiTheme="minorBidi"/>
          <w:sz w:val="24"/>
          <w:szCs w:val="24"/>
        </w:rPr>
        <w:t xml:space="preserve"> achieves positive effects </w:t>
      </w:r>
      <w:r>
        <w:rPr>
          <w:rFonts w:asciiTheme="minorBidi" w:hAnsiTheme="minorBidi"/>
          <w:sz w:val="24"/>
          <w:szCs w:val="24"/>
        </w:rPr>
        <w:t>for</w:t>
      </w:r>
      <w:r w:rsidRPr="006F62D0">
        <w:rPr>
          <w:rFonts w:asciiTheme="minorBidi" w:hAnsiTheme="minorBidi"/>
          <w:sz w:val="24"/>
          <w:szCs w:val="24"/>
        </w:rPr>
        <w:t xml:space="preserve"> the pharmacists, the medical team and patients.</w:t>
      </w:r>
      <w:r>
        <w:rPr>
          <w:rFonts w:asciiTheme="minorBidi" w:hAnsiTheme="minorBidi"/>
          <w:sz w:val="24"/>
          <w:szCs w:val="24"/>
        </w:rPr>
        <w:t xml:space="preserve"> All pharmacist interviewees expressed their satisfaction with this integration as the discussion with the medical team about medication related issues enhanced their job satisfaction.</w:t>
      </w:r>
    </w:p>
    <w:p w14:paraId="03219DBC" w14:textId="77777777" w:rsidR="00821B82" w:rsidRPr="003413D8" w:rsidRDefault="00821B82" w:rsidP="00821B82">
      <w:pPr>
        <w:spacing w:line="240" w:lineRule="auto"/>
        <w:ind w:left="720"/>
        <w:jc w:val="both"/>
        <w:rPr>
          <w:rFonts w:cstheme="minorHAnsi"/>
          <w:i/>
          <w:iCs/>
          <w:sz w:val="24"/>
          <w:szCs w:val="24"/>
        </w:rPr>
      </w:pPr>
      <w:r>
        <w:rPr>
          <w:rFonts w:cstheme="minorHAnsi"/>
          <w:i/>
          <w:iCs/>
          <w:sz w:val="24"/>
          <w:szCs w:val="24"/>
        </w:rPr>
        <w:t>‘</w:t>
      </w:r>
      <w:r w:rsidRPr="003413D8">
        <w:rPr>
          <w:rFonts w:cstheme="minorHAnsi"/>
          <w:i/>
          <w:iCs/>
          <w:sz w:val="24"/>
          <w:szCs w:val="24"/>
        </w:rPr>
        <w:t xml:space="preserve">It is a nice feeling. I feel job satisfaction from doing my role as a pharmacist rather than a dispenser. When I discuss </w:t>
      </w:r>
      <w:r>
        <w:rPr>
          <w:rFonts w:cstheme="minorHAnsi"/>
          <w:i/>
          <w:iCs/>
          <w:sz w:val="24"/>
          <w:szCs w:val="24"/>
        </w:rPr>
        <w:t xml:space="preserve">with </w:t>
      </w:r>
      <w:r w:rsidRPr="003413D8">
        <w:rPr>
          <w:rFonts w:cstheme="minorHAnsi"/>
          <w:i/>
          <w:iCs/>
          <w:sz w:val="24"/>
          <w:szCs w:val="24"/>
        </w:rPr>
        <w:t>the doctor, I feel proud of my profession as a pharmacist.</w:t>
      </w:r>
      <w:r>
        <w:rPr>
          <w:rFonts w:cstheme="minorHAnsi"/>
          <w:i/>
          <w:iCs/>
          <w:sz w:val="24"/>
          <w:szCs w:val="24"/>
        </w:rPr>
        <w:t>’</w:t>
      </w:r>
      <w:r w:rsidRPr="003413D8">
        <w:rPr>
          <w:rFonts w:cstheme="minorHAnsi"/>
          <w:i/>
          <w:iCs/>
          <w:sz w:val="24"/>
          <w:szCs w:val="24"/>
        </w:rPr>
        <w:t xml:space="preserve"> Ph1</w:t>
      </w:r>
    </w:p>
    <w:p w14:paraId="3BACD465" w14:textId="77777777" w:rsidR="00821B82" w:rsidRPr="003413D8" w:rsidRDefault="00821B82" w:rsidP="00821B82">
      <w:pPr>
        <w:spacing w:line="240" w:lineRule="auto"/>
        <w:ind w:left="720"/>
        <w:jc w:val="both"/>
        <w:rPr>
          <w:rFonts w:cstheme="minorHAnsi"/>
          <w:i/>
          <w:iCs/>
          <w:sz w:val="24"/>
          <w:szCs w:val="24"/>
        </w:rPr>
      </w:pPr>
      <w:r>
        <w:rPr>
          <w:rFonts w:cstheme="minorHAnsi"/>
          <w:i/>
          <w:iCs/>
          <w:sz w:val="24"/>
          <w:szCs w:val="24"/>
        </w:rPr>
        <w:t>‘</w:t>
      </w:r>
      <w:r w:rsidRPr="003413D8">
        <w:rPr>
          <w:rFonts w:cstheme="minorHAnsi"/>
          <w:i/>
          <w:iCs/>
          <w:sz w:val="24"/>
          <w:szCs w:val="24"/>
        </w:rPr>
        <w:t>I like this so much. I like to search, be involved, and feel satisfied when I do that because I want to do my job in the best way that I can.</w:t>
      </w:r>
      <w:r>
        <w:rPr>
          <w:rFonts w:cstheme="minorHAnsi"/>
          <w:i/>
          <w:iCs/>
          <w:sz w:val="24"/>
          <w:szCs w:val="24"/>
        </w:rPr>
        <w:t>’</w:t>
      </w:r>
      <w:r w:rsidRPr="003413D8">
        <w:rPr>
          <w:rFonts w:cstheme="minorHAnsi"/>
          <w:i/>
          <w:iCs/>
          <w:sz w:val="24"/>
          <w:szCs w:val="24"/>
        </w:rPr>
        <w:t xml:space="preserve"> Ph2</w:t>
      </w:r>
    </w:p>
    <w:p w14:paraId="705CE8C7" w14:textId="77777777" w:rsidR="00821B82" w:rsidRPr="003413D8" w:rsidRDefault="00821B82" w:rsidP="00821B82">
      <w:pPr>
        <w:spacing w:line="240" w:lineRule="auto"/>
        <w:ind w:left="720"/>
        <w:jc w:val="both"/>
        <w:rPr>
          <w:rFonts w:cstheme="minorHAnsi"/>
          <w:i/>
          <w:iCs/>
          <w:sz w:val="24"/>
          <w:szCs w:val="24"/>
        </w:rPr>
      </w:pPr>
      <w:r>
        <w:rPr>
          <w:rFonts w:cstheme="minorHAnsi"/>
          <w:i/>
          <w:iCs/>
          <w:sz w:val="24"/>
          <w:szCs w:val="24"/>
        </w:rPr>
        <w:t>‘</w:t>
      </w:r>
      <w:r w:rsidRPr="003413D8">
        <w:rPr>
          <w:rFonts w:cstheme="minorHAnsi"/>
          <w:i/>
          <w:iCs/>
          <w:sz w:val="24"/>
          <w:szCs w:val="24"/>
        </w:rPr>
        <w:t>I feel proud of myself as a pharmacist, especially if I could deliver the message correctly and it was taken, and the patient benefited from it</w:t>
      </w:r>
      <w:r>
        <w:rPr>
          <w:rFonts w:cstheme="minorHAnsi"/>
          <w:i/>
          <w:iCs/>
          <w:sz w:val="24"/>
          <w:szCs w:val="24"/>
        </w:rPr>
        <w:t>…’</w:t>
      </w:r>
      <w:r w:rsidRPr="003413D8">
        <w:rPr>
          <w:rFonts w:cstheme="minorHAnsi"/>
          <w:i/>
          <w:iCs/>
          <w:sz w:val="24"/>
          <w:szCs w:val="24"/>
        </w:rPr>
        <w:t>. Ph3</w:t>
      </w:r>
    </w:p>
    <w:p w14:paraId="375B1314" w14:textId="77777777" w:rsidR="00821B82" w:rsidRPr="003F1310"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hAnsiTheme="minorBidi"/>
          <w:sz w:val="24"/>
          <w:szCs w:val="24"/>
          <w:lang w:val="en-GB"/>
        </w:rPr>
      </w:pPr>
      <w:r w:rsidRPr="003B78AE">
        <w:rPr>
          <w:rFonts w:asciiTheme="minorBidi" w:hAnsiTheme="minorBidi"/>
          <w:sz w:val="24"/>
          <w:szCs w:val="24"/>
          <w:lang w:val="en-GB"/>
        </w:rPr>
        <w:t xml:space="preserve">Doctors </w:t>
      </w:r>
      <w:r>
        <w:rPr>
          <w:rFonts w:asciiTheme="minorBidi" w:hAnsiTheme="minorBidi"/>
          <w:sz w:val="24"/>
          <w:szCs w:val="24"/>
          <w:lang w:val="en-GB"/>
        </w:rPr>
        <w:t xml:space="preserve">and nurses </w:t>
      </w:r>
      <w:r w:rsidRPr="003B78AE">
        <w:rPr>
          <w:rFonts w:asciiTheme="minorBidi" w:hAnsiTheme="minorBidi"/>
          <w:sz w:val="24"/>
          <w:szCs w:val="24"/>
          <w:lang w:val="en-GB"/>
        </w:rPr>
        <w:t>interviewed were also satisfied with working with pharmacists</w:t>
      </w:r>
      <w:r>
        <w:rPr>
          <w:rFonts w:asciiTheme="minorBidi" w:hAnsiTheme="minorBidi"/>
          <w:sz w:val="24"/>
          <w:szCs w:val="24"/>
          <w:lang w:val="en-GB"/>
        </w:rPr>
        <w:t xml:space="preserve">. They have valued pharmacists’ contributions in patients’ management and stated that pharmacists increased their knowledge in medications. </w:t>
      </w:r>
      <w:r w:rsidRPr="00191DB2">
        <w:rPr>
          <w:rFonts w:asciiTheme="minorBidi" w:hAnsiTheme="minorBidi"/>
          <w:sz w:val="24"/>
          <w:szCs w:val="24"/>
          <w:lang w:val="en-GB"/>
        </w:rPr>
        <w:t>Participants highlighted that pharmacists are highly skilled clinicians who have excellent knowledge of medications.</w:t>
      </w:r>
      <w:r>
        <w:rPr>
          <w:rFonts w:asciiTheme="minorBidi" w:hAnsiTheme="minorBidi"/>
          <w:sz w:val="24"/>
          <w:szCs w:val="24"/>
          <w:lang w:val="en-GB"/>
        </w:rPr>
        <w:t xml:space="preserve"> </w:t>
      </w:r>
    </w:p>
    <w:p w14:paraId="3BF7B89D"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3413D8">
        <w:rPr>
          <w:rFonts w:cstheme="minorHAnsi"/>
          <w:i/>
          <w:iCs/>
          <w:sz w:val="24"/>
          <w:szCs w:val="24"/>
        </w:rPr>
        <w:t xml:space="preserve">I hear </w:t>
      </w:r>
      <w:r>
        <w:rPr>
          <w:rFonts w:cstheme="minorHAnsi"/>
          <w:i/>
          <w:iCs/>
          <w:sz w:val="24"/>
          <w:szCs w:val="24"/>
        </w:rPr>
        <w:t xml:space="preserve">a </w:t>
      </w:r>
      <w:r w:rsidRPr="003413D8">
        <w:rPr>
          <w:rFonts w:cstheme="minorHAnsi"/>
          <w:i/>
          <w:iCs/>
          <w:sz w:val="24"/>
          <w:szCs w:val="24"/>
        </w:rPr>
        <w:t>lot of instruction given by a pharmacist which is a valid one</w:t>
      </w:r>
      <w:r>
        <w:rPr>
          <w:rFonts w:cstheme="minorHAnsi"/>
          <w:i/>
          <w:iCs/>
          <w:sz w:val="24"/>
          <w:szCs w:val="24"/>
        </w:rPr>
        <w:t>,</w:t>
      </w:r>
      <w:r w:rsidRPr="003413D8">
        <w:rPr>
          <w:rFonts w:cstheme="minorHAnsi"/>
          <w:i/>
          <w:iCs/>
          <w:sz w:val="24"/>
          <w:szCs w:val="24"/>
        </w:rPr>
        <w:t xml:space="preserve"> I learned from it myself…I was lucky to have somebody who is more eager and expert in the pharmacy, he hold</w:t>
      </w:r>
      <w:r>
        <w:rPr>
          <w:rFonts w:cstheme="minorHAnsi"/>
          <w:i/>
          <w:iCs/>
          <w:sz w:val="24"/>
          <w:szCs w:val="24"/>
        </w:rPr>
        <w:t>s a</w:t>
      </w:r>
      <w:r w:rsidRPr="003413D8">
        <w:rPr>
          <w:rFonts w:cstheme="minorHAnsi"/>
          <w:i/>
          <w:iCs/>
          <w:sz w:val="24"/>
          <w:szCs w:val="24"/>
        </w:rPr>
        <w:t xml:space="preserve"> bachelor’s degree so always we have a lovely discussion about the changing the plan or shifting from one to another brand or another classes equivalent and what is the equivalent dose</w:t>
      </w:r>
      <w:r>
        <w:rPr>
          <w:rFonts w:cstheme="minorHAnsi"/>
          <w:i/>
          <w:iCs/>
          <w:sz w:val="24"/>
          <w:szCs w:val="24"/>
        </w:rPr>
        <w:t>,</w:t>
      </w:r>
      <w:r w:rsidRPr="003413D8">
        <w:rPr>
          <w:rFonts w:cstheme="minorHAnsi"/>
          <w:i/>
          <w:iCs/>
          <w:sz w:val="24"/>
          <w:szCs w:val="24"/>
        </w:rPr>
        <w:t xml:space="preserve"> how to shift…</w:t>
      </w:r>
      <w:r>
        <w:rPr>
          <w:rFonts w:cstheme="minorHAnsi"/>
          <w:i/>
          <w:iCs/>
          <w:sz w:val="24"/>
          <w:szCs w:val="24"/>
        </w:rPr>
        <w:t>’</w:t>
      </w:r>
      <w:r w:rsidRPr="003413D8">
        <w:rPr>
          <w:rFonts w:cstheme="minorHAnsi"/>
          <w:i/>
          <w:iCs/>
          <w:sz w:val="24"/>
          <w:szCs w:val="24"/>
        </w:rPr>
        <w:t>D2</w:t>
      </w:r>
    </w:p>
    <w:p w14:paraId="29722A6A" w14:textId="77777777" w:rsidR="00821B82" w:rsidRPr="003413D8" w:rsidRDefault="00821B82" w:rsidP="00821B82">
      <w:pPr>
        <w:spacing w:line="240" w:lineRule="auto"/>
        <w:ind w:left="720"/>
        <w:jc w:val="both"/>
        <w:rPr>
          <w:rFonts w:cstheme="minorHAnsi"/>
          <w:i/>
          <w:iCs/>
          <w:sz w:val="24"/>
          <w:szCs w:val="24"/>
        </w:rPr>
      </w:pPr>
      <w:r>
        <w:rPr>
          <w:rFonts w:cstheme="minorHAnsi"/>
          <w:i/>
          <w:iCs/>
          <w:sz w:val="24"/>
          <w:szCs w:val="24"/>
        </w:rPr>
        <w:t>‘</w:t>
      </w:r>
      <w:r w:rsidRPr="003413D8">
        <w:rPr>
          <w:rFonts w:cstheme="minorHAnsi"/>
          <w:i/>
          <w:iCs/>
          <w:sz w:val="24"/>
          <w:szCs w:val="24"/>
        </w:rPr>
        <w:t>We worked as an integrated team</w:t>
      </w:r>
      <w:r>
        <w:rPr>
          <w:rFonts w:cstheme="minorHAnsi"/>
          <w:i/>
          <w:iCs/>
          <w:sz w:val="24"/>
          <w:szCs w:val="24"/>
        </w:rPr>
        <w:t xml:space="preserve">. Since </w:t>
      </w:r>
      <w:r w:rsidRPr="003413D8">
        <w:rPr>
          <w:rFonts w:cstheme="minorHAnsi"/>
          <w:i/>
          <w:iCs/>
          <w:sz w:val="24"/>
          <w:szCs w:val="24"/>
        </w:rPr>
        <w:t>nurses have a superficial knowledge of medicines, so the pharmacist benefited us enormously</w:t>
      </w:r>
      <w:r>
        <w:rPr>
          <w:rFonts w:cstheme="minorHAnsi"/>
          <w:i/>
          <w:iCs/>
          <w:sz w:val="24"/>
          <w:szCs w:val="24"/>
        </w:rPr>
        <w:t>’</w:t>
      </w:r>
      <w:r w:rsidRPr="003413D8">
        <w:rPr>
          <w:rFonts w:cstheme="minorHAnsi"/>
          <w:i/>
          <w:iCs/>
          <w:sz w:val="24"/>
          <w:szCs w:val="24"/>
        </w:rPr>
        <w:t xml:space="preserve"> N3</w:t>
      </w:r>
      <w:r>
        <w:rPr>
          <w:rFonts w:cstheme="minorHAnsi"/>
          <w:i/>
          <w:iCs/>
          <w:sz w:val="24"/>
          <w:szCs w:val="24"/>
        </w:rPr>
        <w:t xml:space="preserve"> </w:t>
      </w:r>
    </w:p>
    <w:p w14:paraId="1BD1F402" w14:textId="77777777" w:rsidR="00821B82" w:rsidRPr="001F607C" w:rsidRDefault="00821B82" w:rsidP="00821B82">
      <w:pPr>
        <w:spacing w:line="240" w:lineRule="auto"/>
        <w:ind w:left="720"/>
        <w:jc w:val="both"/>
        <w:rPr>
          <w:rFonts w:cstheme="minorHAnsi"/>
          <w:i/>
          <w:iCs/>
          <w:sz w:val="24"/>
          <w:szCs w:val="24"/>
        </w:rPr>
      </w:pPr>
    </w:p>
    <w:p w14:paraId="608ABFD9" w14:textId="77777777" w:rsidR="00821B82" w:rsidRPr="007C6088" w:rsidRDefault="00821B82" w:rsidP="00821B82">
      <w:pPr>
        <w:pStyle w:val="Heading5"/>
        <w:spacing w:line="360" w:lineRule="auto"/>
        <w:rPr>
          <w:rFonts w:asciiTheme="minorBidi" w:hAnsiTheme="minorBidi" w:cstheme="minorBidi"/>
          <w:sz w:val="24"/>
          <w:szCs w:val="24"/>
        </w:rPr>
      </w:pPr>
      <w:r w:rsidRPr="007C6088">
        <w:rPr>
          <w:rFonts w:asciiTheme="minorBidi" w:hAnsiTheme="minorBidi" w:cstheme="minorBidi"/>
          <w:sz w:val="24"/>
          <w:szCs w:val="24"/>
        </w:rPr>
        <w:t xml:space="preserve">Patients’ outcomes and patients’ safety </w:t>
      </w:r>
    </w:p>
    <w:p w14:paraId="45EEE0D7" w14:textId="77777777" w:rsidR="00821B82" w:rsidRPr="00513EB8" w:rsidRDefault="00821B82" w:rsidP="00821B82">
      <w:pPr>
        <w:spacing w:line="360" w:lineRule="auto"/>
        <w:jc w:val="both"/>
        <w:rPr>
          <w:rFonts w:asciiTheme="minorBidi" w:hAnsiTheme="minorBidi"/>
          <w:sz w:val="24"/>
          <w:szCs w:val="24"/>
        </w:rPr>
      </w:pPr>
      <w:r w:rsidRPr="00513EB8">
        <w:rPr>
          <w:rFonts w:asciiTheme="minorBidi" w:hAnsiTheme="minorBidi"/>
          <w:sz w:val="24"/>
          <w:szCs w:val="24"/>
        </w:rPr>
        <w:t xml:space="preserve">Participants indicated that integrated pharmacists improved patient safety and contributed to avoiding preventable patient harm by detecting medication errors and medication-related problems.   </w:t>
      </w:r>
    </w:p>
    <w:p w14:paraId="78347F5B" w14:textId="77777777" w:rsidR="00821B82" w:rsidRPr="004E6931" w:rsidRDefault="00821B82" w:rsidP="00821B82">
      <w:pPr>
        <w:spacing w:line="240" w:lineRule="auto"/>
        <w:ind w:left="720"/>
        <w:jc w:val="both"/>
        <w:rPr>
          <w:rFonts w:cstheme="minorHAnsi"/>
          <w:i/>
          <w:iCs/>
          <w:sz w:val="24"/>
          <w:szCs w:val="24"/>
        </w:rPr>
      </w:pPr>
      <w:r>
        <w:rPr>
          <w:rFonts w:cstheme="minorHAnsi"/>
          <w:i/>
          <w:iCs/>
          <w:sz w:val="24"/>
          <w:szCs w:val="24"/>
        </w:rPr>
        <w:t>‘</w:t>
      </w:r>
      <w:r w:rsidRPr="00C06E50">
        <w:rPr>
          <w:rFonts w:cstheme="minorHAnsi"/>
          <w:i/>
          <w:iCs/>
          <w:sz w:val="24"/>
          <w:szCs w:val="24"/>
        </w:rPr>
        <w:t>We detect medication errors. For example, if there is a mistake made by doctors from not giving the usual dose or miss writing any medication for the patient, the pharmacist contacts the prescribers to notify them</w:t>
      </w:r>
      <w:r>
        <w:rPr>
          <w:rFonts w:cstheme="minorHAnsi"/>
          <w:i/>
          <w:iCs/>
          <w:sz w:val="24"/>
          <w:szCs w:val="24"/>
        </w:rPr>
        <w:t xml:space="preserve"> […] </w:t>
      </w:r>
      <w:r w:rsidRPr="00C06E50">
        <w:rPr>
          <w:rFonts w:cstheme="minorHAnsi"/>
          <w:i/>
          <w:iCs/>
          <w:sz w:val="24"/>
          <w:szCs w:val="24"/>
        </w:rPr>
        <w:t xml:space="preserve">I remember </w:t>
      </w:r>
      <w:r>
        <w:rPr>
          <w:rFonts w:cstheme="minorHAnsi"/>
          <w:i/>
          <w:iCs/>
          <w:sz w:val="24"/>
          <w:szCs w:val="24"/>
        </w:rPr>
        <w:t xml:space="preserve">a </w:t>
      </w:r>
      <w:r w:rsidRPr="00C06E50">
        <w:rPr>
          <w:rFonts w:cstheme="minorHAnsi"/>
          <w:i/>
          <w:iCs/>
          <w:sz w:val="24"/>
          <w:szCs w:val="24"/>
        </w:rPr>
        <w:t>case, when a patient told me that she got tired of her pills because she felt tired, chilled, and weak when she took them. I asked her how she takes her medication? She told me that she takes glibenclamide three times a day with metformin. While it was prescribed to her twice a day. I told the doctor about this problem, explained how she should take her medication, and then she felt better.</w:t>
      </w:r>
      <w:r>
        <w:rPr>
          <w:rFonts w:cstheme="minorHAnsi"/>
          <w:i/>
          <w:iCs/>
          <w:sz w:val="24"/>
          <w:szCs w:val="24"/>
        </w:rPr>
        <w:t>’</w:t>
      </w:r>
      <w:r w:rsidRPr="00C06E50">
        <w:rPr>
          <w:rFonts w:cstheme="minorHAnsi"/>
          <w:i/>
          <w:iCs/>
          <w:sz w:val="24"/>
          <w:szCs w:val="24"/>
        </w:rPr>
        <w:t xml:space="preserve"> Ph2</w:t>
      </w:r>
    </w:p>
    <w:p w14:paraId="1106AB71" w14:textId="77777777" w:rsidR="00821B82" w:rsidRPr="00A064CE" w:rsidRDefault="00821B82" w:rsidP="00821B82">
      <w:pPr>
        <w:spacing w:before="240" w:line="360" w:lineRule="auto"/>
        <w:jc w:val="both"/>
        <w:rPr>
          <w:rFonts w:asciiTheme="minorBidi" w:hAnsiTheme="minorBidi"/>
          <w:sz w:val="24"/>
          <w:szCs w:val="24"/>
        </w:rPr>
      </w:pPr>
      <w:r w:rsidRPr="00A064CE">
        <w:rPr>
          <w:rFonts w:asciiTheme="minorBidi" w:hAnsiTheme="minorBidi"/>
          <w:sz w:val="24"/>
          <w:szCs w:val="24"/>
        </w:rPr>
        <w:t xml:space="preserve">Another beneficial effect of pharmacists' work within the </w:t>
      </w:r>
      <w:r w:rsidRPr="008B614B">
        <w:rPr>
          <w:rFonts w:asciiTheme="minorBidi" w:hAnsiTheme="minorBidi"/>
          <w:sz w:val="24"/>
          <w:szCs w:val="24"/>
        </w:rPr>
        <w:t xml:space="preserve">primary healthcare </w:t>
      </w:r>
      <w:r w:rsidRPr="00A064CE">
        <w:rPr>
          <w:rFonts w:asciiTheme="minorBidi" w:hAnsiTheme="minorBidi"/>
          <w:sz w:val="24"/>
          <w:szCs w:val="24"/>
        </w:rPr>
        <w:t xml:space="preserve">team was that pharmacists enhanced </w:t>
      </w:r>
      <w:r>
        <w:rPr>
          <w:rFonts w:asciiTheme="minorBidi" w:hAnsiTheme="minorBidi"/>
          <w:sz w:val="24"/>
          <w:szCs w:val="24"/>
        </w:rPr>
        <w:t>PHC</w:t>
      </w:r>
      <w:r w:rsidRPr="00A064CE">
        <w:rPr>
          <w:rFonts w:asciiTheme="minorBidi" w:hAnsiTheme="minorBidi"/>
          <w:sz w:val="24"/>
          <w:szCs w:val="24"/>
        </w:rPr>
        <w:t xml:space="preserve"> services and patient safety through improved prescribing practice. Participants reported that pharmacists had improved the prescribing practice by communicating effectively with other </w:t>
      </w:r>
      <w:r>
        <w:rPr>
          <w:rFonts w:asciiTheme="minorBidi" w:hAnsiTheme="minorBidi"/>
          <w:sz w:val="24"/>
          <w:szCs w:val="24"/>
        </w:rPr>
        <w:t>HCPs</w:t>
      </w:r>
      <w:r w:rsidRPr="00A064CE">
        <w:rPr>
          <w:rFonts w:asciiTheme="minorBidi" w:hAnsiTheme="minorBidi"/>
          <w:sz w:val="24"/>
          <w:szCs w:val="24"/>
        </w:rPr>
        <w:t xml:space="preserve"> through discussions and providing educational sessions to keep them abreast of the latest developments in pharmacotherapy.</w:t>
      </w:r>
    </w:p>
    <w:p w14:paraId="47EBB863" w14:textId="77777777" w:rsidR="00821B82" w:rsidRPr="001D5C11" w:rsidRDefault="00821B82" w:rsidP="00821B82">
      <w:pPr>
        <w:spacing w:line="240" w:lineRule="auto"/>
        <w:ind w:left="720"/>
        <w:jc w:val="both"/>
        <w:rPr>
          <w:rFonts w:cstheme="minorHAnsi"/>
          <w:i/>
          <w:iCs/>
          <w:sz w:val="24"/>
          <w:szCs w:val="24"/>
        </w:rPr>
      </w:pPr>
      <w:r>
        <w:rPr>
          <w:rFonts w:cstheme="minorHAnsi"/>
          <w:i/>
          <w:iCs/>
          <w:sz w:val="24"/>
          <w:szCs w:val="24"/>
        </w:rPr>
        <w:t>‘</w:t>
      </w:r>
      <w:r w:rsidRPr="00C06E50">
        <w:rPr>
          <w:rFonts w:cstheme="minorHAnsi"/>
          <w:i/>
          <w:iCs/>
          <w:sz w:val="24"/>
          <w:szCs w:val="24"/>
        </w:rPr>
        <w:t>A pharmacist gives a lecture in the continuing education program</w:t>
      </w:r>
      <w:r>
        <w:rPr>
          <w:rFonts w:cstheme="minorHAnsi"/>
          <w:i/>
          <w:iCs/>
          <w:sz w:val="24"/>
          <w:szCs w:val="24"/>
        </w:rPr>
        <w:t>me</w:t>
      </w:r>
      <w:r w:rsidRPr="00C06E50">
        <w:rPr>
          <w:rFonts w:cstheme="minorHAnsi"/>
          <w:i/>
          <w:iCs/>
          <w:sz w:val="24"/>
          <w:szCs w:val="24"/>
        </w:rPr>
        <w:t xml:space="preserve"> for healthcare providers… Our lectures include information about treatments, drug safety, and other relevant medication-related topics from our field in which we are experts.</w:t>
      </w:r>
      <w:r>
        <w:rPr>
          <w:rFonts w:cstheme="minorHAnsi"/>
          <w:i/>
          <w:iCs/>
          <w:sz w:val="24"/>
          <w:szCs w:val="24"/>
        </w:rPr>
        <w:t>’</w:t>
      </w:r>
      <w:r w:rsidRPr="00C06E50">
        <w:rPr>
          <w:rFonts w:cstheme="minorHAnsi"/>
          <w:i/>
          <w:iCs/>
          <w:sz w:val="24"/>
          <w:szCs w:val="24"/>
        </w:rPr>
        <w:t xml:space="preserve"> Ph2</w:t>
      </w:r>
    </w:p>
    <w:p w14:paraId="390D797E" w14:textId="77777777" w:rsidR="00821B82" w:rsidRPr="00572DED" w:rsidRDefault="00821B82" w:rsidP="00821B82">
      <w:pPr>
        <w:pStyle w:val="pf0"/>
        <w:spacing w:line="360" w:lineRule="auto"/>
        <w:jc w:val="both"/>
        <w:rPr>
          <w:rFonts w:asciiTheme="minorBidi" w:hAnsiTheme="minorBidi"/>
          <w:lang w:val="en-GB"/>
        </w:rPr>
      </w:pPr>
      <w:r>
        <w:rPr>
          <w:rFonts w:asciiTheme="minorBidi" w:hAnsiTheme="minorBidi"/>
          <w:lang w:val="en-GB"/>
        </w:rPr>
        <w:t xml:space="preserve">Participants stated that having pharmacists within the PHC is very convenient for patients, they do not have to be referred to a different site to receive their medications; everything is provided in the same location. </w:t>
      </w:r>
      <w:r>
        <w:rPr>
          <w:rFonts w:asciiTheme="minorBidi" w:hAnsiTheme="minorBidi"/>
        </w:rPr>
        <w:t>The</w:t>
      </w:r>
      <w:r w:rsidRPr="00572DED">
        <w:rPr>
          <w:rFonts w:asciiTheme="minorBidi" w:hAnsiTheme="minorBidi"/>
          <w:lang w:val="en-GB"/>
        </w:rPr>
        <w:t xml:space="preserve"> safety implication of this </w:t>
      </w:r>
      <w:r>
        <w:rPr>
          <w:rFonts w:asciiTheme="minorBidi" w:hAnsiTheme="minorBidi"/>
          <w:lang w:val="en-GB"/>
        </w:rPr>
        <w:t>is</w:t>
      </w:r>
      <w:r w:rsidRPr="00572DED">
        <w:rPr>
          <w:rFonts w:asciiTheme="minorBidi" w:hAnsiTheme="minorBidi"/>
          <w:lang w:val="en-GB"/>
        </w:rPr>
        <w:t xml:space="preserve"> shown in the following </w:t>
      </w:r>
      <w:r w:rsidRPr="00CC22DB">
        <w:rPr>
          <w:rFonts w:asciiTheme="minorBidi" w:hAnsiTheme="minorBidi"/>
          <w:lang w:val="en-GB"/>
        </w:rPr>
        <w:t>quote</w:t>
      </w:r>
      <w:r>
        <w:rPr>
          <w:rFonts w:asciiTheme="minorBidi" w:hAnsiTheme="minorBidi"/>
          <w:lang w:val="en-GB"/>
        </w:rPr>
        <w:t>s</w:t>
      </w:r>
      <w:r w:rsidRPr="00572DED">
        <w:rPr>
          <w:rFonts w:asciiTheme="minorBidi" w:hAnsiTheme="minorBidi"/>
          <w:lang w:val="en-GB"/>
        </w:rPr>
        <w:t xml:space="preserve">. </w:t>
      </w:r>
    </w:p>
    <w:p w14:paraId="54FAB435"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830EBC">
        <w:rPr>
          <w:rFonts w:cstheme="minorHAnsi"/>
          <w:i/>
          <w:iCs/>
          <w:sz w:val="24"/>
          <w:szCs w:val="24"/>
        </w:rPr>
        <w:t>Now, patients are stressed by moving from one pharmacy to another, as the prescription is sometimes partially dispensed. The patient has to look for the rest of his medications in other pharmacies to complete the treatment as prescribed. The current situation is tragic for patients and us.</w:t>
      </w:r>
      <w:r>
        <w:rPr>
          <w:rFonts w:cstheme="minorHAnsi"/>
          <w:i/>
          <w:iCs/>
          <w:sz w:val="24"/>
          <w:szCs w:val="24"/>
        </w:rPr>
        <w:t>’ N2</w:t>
      </w:r>
    </w:p>
    <w:p w14:paraId="30E04280"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‘N</w:t>
      </w:r>
      <w:r w:rsidRPr="00E20864">
        <w:rPr>
          <w:rFonts w:cstheme="minorHAnsi"/>
          <w:i/>
          <w:iCs/>
          <w:sz w:val="24"/>
          <w:szCs w:val="24"/>
        </w:rPr>
        <w:t>ow, there are significant obstacles; for example, elderly patients cannot go to the pharmacy, and most patients with chronic diseases are elderly, so they cannot go to the pharmacy to receive their medicine themselves. The one who takes medication for him from the pharmacy may not understand the medication and cannot deliver the correct treatment information.</w:t>
      </w:r>
      <w:r>
        <w:rPr>
          <w:rFonts w:cstheme="minorHAnsi"/>
          <w:i/>
          <w:iCs/>
          <w:sz w:val="24"/>
          <w:szCs w:val="24"/>
        </w:rPr>
        <w:t>’ N3</w:t>
      </w:r>
    </w:p>
    <w:p w14:paraId="2663FBE6" w14:textId="77777777" w:rsidR="00821B82" w:rsidRDefault="00821B82" w:rsidP="00821B82">
      <w:pPr>
        <w:spacing w:line="240" w:lineRule="auto"/>
        <w:ind w:left="720"/>
        <w:jc w:val="both"/>
        <w:rPr>
          <w:rFonts w:cstheme="minorHAnsi"/>
          <w:i/>
          <w:iCs/>
          <w:sz w:val="24"/>
          <w:szCs w:val="24"/>
        </w:rPr>
      </w:pPr>
    </w:p>
    <w:p w14:paraId="64C36066" w14:textId="77777777" w:rsidR="00821B82" w:rsidRPr="007C6088" w:rsidRDefault="00821B82" w:rsidP="00821B82">
      <w:pPr>
        <w:pStyle w:val="Heading5"/>
        <w:spacing w:line="360" w:lineRule="auto"/>
        <w:rPr>
          <w:rFonts w:asciiTheme="minorBidi" w:eastAsiaTheme="minorEastAsia" w:hAnsiTheme="minorBidi" w:cstheme="minorBidi"/>
          <w:sz w:val="24"/>
          <w:szCs w:val="24"/>
          <w:lang w:eastAsia="en-GB"/>
        </w:rPr>
      </w:pPr>
      <w:r w:rsidRPr="007C6088">
        <w:rPr>
          <w:rFonts w:asciiTheme="minorBidi" w:eastAsiaTheme="minorEastAsia" w:hAnsiTheme="minorBidi" w:cstheme="minorBidi"/>
          <w:sz w:val="24"/>
          <w:szCs w:val="24"/>
          <w:lang w:eastAsia="en-GB"/>
        </w:rPr>
        <w:t xml:space="preserve">Communicating with patients </w:t>
      </w:r>
    </w:p>
    <w:p w14:paraId="36560B96" w14:textId="77777777" w:rsidR="00821B82" w:rsidRPr="00CC22DB" w:rsidRDefault="00821B82" w:rsidP="00821B82">
      <w:pPr>
        <w:spacing w:line="360" w:lineRule="auto"/>
        <w:jc w:val="both"/>
        <w:rPr>
          <w:rFonts w:asciiTheme="minorBidi" w:hAnsiTheme="minorBidi"/>
          <w:sz w:val="24"/>
          <w:szCs w:val="24"/>
          <w:lang w:val="en-GB"/>
        </w:rPr>
      </w:pPr>
      <w:r w:rsidRPr="00CC22DB">
        <w:rPr>
          <w:rFonts w:asciiTheme="minorBidi" w:hAnsiTheme="minorBidi"/>
          <w:sz w:val="24"/>
          <w:szCs w:val="24"/>
          <w:lang w:val="en-GB"/>
        </w:rPr>
        <w:t>Participants reported another important aspect of patient outcomes and patient safety that was affected by the closure of pharmacies from PHCs: effective communication between pharmacists and patients. When the pharmacy was located within the PHCs, for the most part, patients received their medication themselves, so the pharmacist's instructions for their medication were obtained directly. But now the situation has changed, as can be seen from the following quote.</w:t>
      </w:r>
    </w:p>
    <w:p w14:paraId="1E074DDD"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9B0F52">
        <w:rPr>
          <w:rFonts w:cstheme="minorHAnsi"/>
          <w:i/>
          <w:iCs/>
          <w:sz w:val="24"/>
          <w:szCs w:val="24"/>
        </w:rPr>
        <w:t xml:space="preserve">The pharmacy was inside the </w:t>
      </w:r>
      <w:r>
        <w:rPr>
          <w:rFonts w:cstheme="minorHAnsi"/>
          <w:i/>
          <w:iCs/>
          <w:sz w:val="24"/>
          <w:szCs w:val="24"/>
        </w:rPr>
        <w:t>PHCs</w:t>
      </w:r>
      <w:r w:rsidRPr="009B0F52">
        <w:rPr>
          <w:rFonts w:cstheme="minorHAnsi"/>
          <w:i/>
          <w:iCs/>
          <w:sz w:val="24"/>
          <w:szCs w:val="24"/>
        </w:rPr>
        <w:t xml:space="preserve">, prescriptions </w:t>
      </w:r>
      <w:r>
        <w:rPr>
          <w:rFonts w:cstheme="minorHAnsi"/>
          <w:i/>
          <w:iCs/>
          <w:sz w:val="24"/>
          <w:szCs w:val="24"/>
        </w:rPr>
        <w:t>were</w:t>
      </w:r>
      <w:r w:rsidRPr="009B0F52">
        <w:rPr>
          <w:rFonts w:cstheme="minorHAnsi"/>
          <w:i/>
          <w:iCs/>
          <w:sz w:val="24"/>
          <w:szCs w:val="24"/>
        </w:rPr>
        <w:t xml:space="preserve"> dispensed directly</w:t>
      </w:r>
      <w:r>
        <w:rPr>
          <w:rFonts w:cstheme="minorHAnsi"/>
          <w:i/>
          <w:iCs/>
          <w:sz w:val="24"/>
          <w:szCs w:val="24"/>
        </w:rPr>
        <w:t xml:space="preserve"> to patients</w:t>
      </w:r>
      <w:r w:rsidRPr="009B0F52">
        <w:rPr>
          <w:rFonts w:cstheme="minorHAnsi"/>
          <w:i/>
          <w:iCs/>
          <w:sz w:val="24"/>
          <w:szCs w:val="24"/>
        </w:rPr>
        <w:t>, face to face, but now who goes to the pharmacy, as I told you, one of the patient's relatives, father, son, brother or daughter, and brings the medicines, so the information about taking the treatment may be delivered incorrect to the patient. And patients sometimes take their treatments completely wrong. Now there is no direct contact between the pharmacist and the patient</w:t>
      </w:r>
      <w:r>
        <w:rPr>
          <w:rFonts w:cstheme="minorHAnsi"/>
          <w:i/>
          <w:iCs/>
          <w:sz w:val="24"/>
          <w:szCs w:val="24"/>
        </w:rPr>
        <w:t>’</w:t>
      </w:r>
      <w:r w:rsidRPr="009B0F52">
        <w:rPr>
          <w:rFonts w:cstheme="minorHAnsi"/>
          <w:i/>
          <w:iCs/>
          <w:sz w:val="24"/>
          <w:szCs w:val="24"/>
        </w:rPr>
        <w:t>.</w:t>
      </w:r>
      <w:r>
        <w:rPr>
          <w:rFonts w:cstheme="minorHAnsi"/>
          <w:i/>
          <w:iCs/>
          <w:sz w:val="24"/>
          <w:szCs w:val="24"/>
        </w:rPr>
        <w:t xml:space="preserve"> N2</w:t>
      </w:r>
    </w:p>
    <w:p w14:paraId="1942DEFF" w14:textId="77777777" w:rsidR="00821B82" w:rsidRDefault="00821B82" w:rsidP="00821B82">
      <w:pPr>
        <w:spacing w:line="240" w:lineRule="auto"/>
        <w:ind w:left="720"/>
        <w:jc w:val="both"/>
        <w:rPr>
          <w:rFonts w:cstheme="minorHAnsi"/>
          <w:i/>
          <w:iCs/>
          <w:sz w:val="24"/>
          <w:szCs w:val="24"/>
        </w:rPr>
      </w:pPr>
    </w:p>
    <w:p w14:paraId="35718998" w14:textId="77777777" w:rsidR="00821B82" w:rsidRDefault="00821B82" w:rsidP="00821B82">
      <w:pPr>
        <w:spacing w:line="360" w:lineRule="auto"/>
        <w:jc w:val="both"/>
        <w:rPr>
          <w:rFonts w:asciiTheme="minorBidi" w:hAnsiTheme="minorBidi"/>
          <w:sz w:val="24"/>
          <w:szCs w:val="24"/>
          <w:lang w:val="en-GB"/>
        </w:rPr>
      </w:pPr>
      <w:r w:rsidRPr="003A431E">
        <w:rPr>
          <w:rFonts w:asciiTheme="minorBidi" w:hAnsiTheme="minorBidi"/>
          <w:sz w:val="24"/>
          <w:szCs w:val="24"/>
          <w:lang w:val="en-GB"/>
        </w:rPr>
        <w:t>Overall, these results indicate that the integration of pharmacists into PHCs has a positive impact on several aspects, including delivery of care and patient safety. Turning now to identify specifically the impact of pharmacist involvement in diabetes primary care management, whether perceived or potential, from the participants' point of view.</w:t>
      </w:r>
    </w:p>
    <w:p w14:paraId="5FB86575" w14:textId="77777777" w:rsidR="00821B82" w:rsidRPr="00EE3184" w:rsidRDefault="00821B82" w:rsidP="00821B82">
      <w:pPr>
        <w:spacing w:line="360" w:lineRule="auto"/>
        <w:jc w:val="both"/>
        <w:rPr>
          <w:rFonts w:asciiTheme="minorBidi" w:hAnsiTheme="minorBidi"/>
          <w:sz w:val="24"/>
          <w:szCs w:val="24"/>
          <w:lang w:val="en-GB"/>
        </w:rPr>
      </w:pPr>
    </w:p>
    <w:p w14:paraId="40192028" w14:textId="77777777" w:rsidR="00821B82" w:rsidRPr="007C6088" w:rsidRDefault="00821B82" w:rsidP="00821B82">
      <w:pPr>
        <w:pStyle w:val="Heading4"/>
        <w:numPr>
          <w:ilvl w:val="3"/>
          <w:numId w:val="14"/>
        </w:numPr>
        <w:spacing w:line="360" w:lineRule="auto"/>
        <w:ind w:left="810" w:hanging="810"/>
        <w:rPr>
          <w:rFonts w:asciiTheme="minorBidi" w:hAnsiTheme="minorBidi" w:cstheme="minorBidi"/>
          <w:sz w:val="24"/>
          <w:szCs w:val="24"/>
        </w:rPr>
      </w:pPr>
      <w:r w:rsidRPr="007C6088">
        <w:rPr>
          <w:rFonts w:asciiTheme="minorBidi" w:hAnsiTheme="minorBidi" w:cstheme="minorBidi"/>
          <w:sz w:val="24"/>
          <w:szCs w:val="24"/>
          <w:lang w:eastAsia="en-GB"/>
        </w:rPr>
        <w:t>Impact of pharmacist involvement in diabetes primary care management</w:t>
      </w:r>
      <w:r w:rsidRPr="007C6088">
        <w:rPr>
          <w:rFonts w:asciiTheme="minorBidi" w:hAnsiTheme="minorBidi" w:cstheme="minorBidi"/>
          <w:sz w:val="24"/>
          <w:szCs w:val="24"/>
        </w:rPr>
        <w:t xml:space="preserve"> </w:t>
      </w:r>
    </w:p>
    <w:p w14:paraId="1EF37287" w14:textId="77777777" w:rsidR="00821B82" w:rsidRPr="00D43CF3" w:rsidRDefault="00821B82" w:rsidP="00821B82">
      <w:pPr>
        <w:spacing w:line="360" w:lineRule="auto"/>
        <w:jc w:val="both"/>
        <w:rPr>
          <w:rFonts w:asciiTheme="minorBidi" w:eastAsiaTheme="minorEastAsia" w:hAnsiTheme="minorBidi"/>
          <w:sz w:val="24"/>
          <w:szCs w:val="24"/>
          <w:lang w:eastAsia="en-GB"/>
        </w:rPr>
      </w:pPr>
      <w:r w:rsidRPr="00280D10">
        <w:rPr>
          <w:rFonts w:asciiTheme="minorBidi" w:hAnsiTheme="minorBidi"/>
          <w:sz w:val="24"/>
          <w:szCs w:val="24"/>
        </w:rPr>
        <w:t xml:space="preserve">This </w:t>
      </w:r>
      <w:r>
        <w:rPr>
          <w:rFonts w:asciiTheme="minorBidi" w:hAnsiTheme="minorBidi"/>
          <w:sz w:val="24"/>
          <w:szCs w:val="24"/>
        </w:rPr>
        <w:t>subtheme</w:t>
      </w:r>
      <w:r w:rsidRPr="00280D10">
        <w:rPr>
          <w:rFonts w:asciiTheme="minorBidi" w:hAnsiTheme="minorBidi"/>
          <w:sz w:val="24"/>
          <w:szCs w:val="24"/>
        </w:rPr>
        <w:t xml:space="preserve"> help</w:t>
      </w:r>
      <w:r>
        <w:rPr>
          <w:rFonts w:asciiTheme="minorBidi" w:hAnsiTheme="minorBidi"/>
          <w:sz w:val="24"/>
          <w:szCs w:val="24"/>
        </w:rPr>
        <w:t>ed</w:t>
      </w:r>
      <w:r w:rsidRPr="00280D10">
        <w:rPr>
          <w:rFonts w:asciiTheme="minorBidi" w:hAnsiTheme="minorBidi"/>
          <w:sz w:val="24"/>
          <w:szCs w:val="24"/>
        </w:rPr>
        <w:t xml:space="preserve"> us to understand the opinion of </w:t>
      </w:r>
      <w:r>
        <w:rPr>
          <w:rFonts w:asciiTheme="minorBidi" w:hAnsiTheme="minorBidi"/>
          <w:sz w:val="24"/>
          <w:szCs w:val="24"/>
        </w:rPr>
        <w:t>HCPs</w:t>
      </w:r>
      <w:r w:rsidRPr="00280D10">
        <w:rPr>
          <w:rFonts w:asciiTheme="minorBidi" w:hAnsiTheme="minorBidi"/>
          <w:sz w:val="24"/>
          <w:szCs w:val="24"/>
        </w:rPr>
        <w:t xml:space="preserve"> about </w:t>
      </w:r>
      <w:r w:rsidRPr="004F7EEF">
        <w:rPr>
          <w:rFonts w:asciiTheme="minorBidi" w:hAnsiTheme="minorBidi"/>
          <w:sz w:val="24"/>
          <w:szCs w:val="24"/>
        </w:rPr>
        <w:t>the perceived or</w:t>
      </w:r>
      <w:r>
        <w:rPr>
          <w:rFonts w:asciiTheme="minorBidi" w:hAnsiTheme="minorBidi"/>
          <w:sz w:val="24"/>
          <w:szCs w:val="24"/>
        </w:rPr>
        <w:t xml:space="preserve"> potential </w:t>
      </w:r>
      <w:r w:rsidRPr="00280D10">
        <w:rPr>
          <w:rFonts w:asciiTheme="minorBidi" w:hAnsiTheme="minorBidi"/>
          <w:sz w:val="24"/>
          <w:szCs w:val="24"/>
        </w:rPr>
        <w:t xml:space="preserve">impact of pharmacist involvement in diabetes care </w:t>
      </w:r>
      <w:r>
        <w:rPr>
          <w:rFonts w:asciiTheme="minorBidi" w:hAnsiTheme="minorBidi"/>
          <w:sz w:val="24"/>
          <w:szCs w:val="24"/>
        </w:rPr>
        <w:t>in PHCs</w:t>
      </w:r>
      <w:r w:rsidRPr="00280D10">
        <w:rPr>
          <w:rFonts w:asciiTheme="minorBidi" w:hAnsiTheme="minorBidi"/>
          <w:sz w:val="24"/>
          <w:szCs w:val="24"/>
        </w:rPr>
        <w:t xml:space="preserve"> in </w:t>
      </w:r>
      <w:r>
        <w:rPr>
          <w:rFonts w:asciiTheme="minorBidi" w:hAnsiTheme="minorBidi"/>
          <w:sz w:val="24"/>
          <w:szCs w:val="24"/>
        </w:rPr>
        <w:t xml:space="preserve">SA. </w:t>
      </w:r>
      <w:r w:rsidRPr="008B614B">
        <w:rPr>
          <w:rFonts w:asciiTheme="minorBidi" w:hAnsiTheme="minorBidi"/>
          <w:sz w:val="24"/>
          <w:szCs w:val="24"/>
        </w:rPr>
        <w:t>The main outcomes that participants envisioned for the pharmacist's involvement in diabetes management with the primary healthcare team were that it would improve patient care delivery via improving workflow that could be achieved by delegating medication-related issues to be addressed by pharmacists. Other positive outcomes reported from engaging the pharmacist in diabetes management were improving patient outcomes and patient safety through patient education, improving patient compliance and preventing medication-related problems.</w:t>
      </w:r>
    </w:p>
    <w:p w14:paraId="7C7D7045" w14:textId="77777777" w:rsidR="00821B82" w:rsidRPr="007C6088" w:rsidRDefault="00821B82" w:rsidP="00821B82">
      <w:pPr>
        <w:pStyle w:val="Heading5"/>
        <w:spacing w:line="360" w:lineRule="auto"/>
        <w:rPr>
          <w:rFonts w:asciiTheme="minorBidi" w:eastAsiaTheme="minorEastAsia" w:hAnsiTheme="minorBidi" w:cstheme="minorBidi"/>
          <w:sz w:val="24"/>
          <w:szCs w:val="24"/>
          <w:lang w:val="en-GB" w:eastAsia="en-GB"/>
        </w:rPr>
      </w:pPr>
      <w:r w:rsidRPr="007C6088">
        <w:rPr>
          <w:rFonts w:asciiTheme="minorBidi" w:eastAsiaTheme="minorEastAsia" w:hAnsiTheme="minorBidi" w:cstheme="minorBidi"/>
          <w:sz w:val="24"/>
          <w:szCs w:val="24"/>
          <w:lang w:val="en-GB" w:eastAsia="en-GB"/>
        </w:rPr>
        <w:t>Delegating work to pharmacists and expanding roles of pharmacists</w:t>
      </w:r>
    </w:p>
    <w:p w14:paraId="7348EEFD"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hAnsiTheme="minorBidi"/>
          <w:sz w:val="24"/>
          <w:szCs w:val="24"/>
        </w:rPr>
      </w:pPr>
      <w:r>
        <w:rPr>
          <w:rFonts w:asciiTheme="minorBidi" w:hAnsiTheme="minorBidi"/>
          <w:sz w:val="24"/>
          <w:szCs w:val="24"/>
        </w:rPr>
        <w:t xml:space="preserve">Participants were </w:t>
      </w:r>
      <w:r w:rsidRPr="00B020D2">
        <w:rPr>
          <w:rFonts w:asciiTheme="minorBidi" w:hAnsiTheme="minorBidi"/>
          <w:sz w:val="24"/>
          <w:szCs w:val="24"/>
        </w:rPr>
        <w:t xml:space="preserve">very encouraging </w:t>
      </w:r>
      <w:r>
        <w:rPr>
          <w:rFonts w:asciiTheme="minorBidi" w:hAnsiTheme="minorBidi"/>
          <w:sz w:val="24"/>
          <w:szCs w:val="24"/>
        </w:rPr>
        <w:t>regarding</w:t>
      </w:r>
      <w:r w:rsidRPr="00B020D2">
        <w:rPr>
          <w:rFonts w:asciiTheme="minorBidi" w:hAnsiTheme="minorBidi"/>
          <w:sz w:val="24"/>
          <w:szCs w:val="24"/>
        </w:rPr>
        <w:t xml:space="preserve"> expand</w:t>
      </w:r>
      <w:r>
        <w:rPr>
          <w:rFonts w:asciiTheme="minorBidi" w:hAnsiTheme="minorBidi"/>
          <w:sz w:val="24"/>
          <w:szCs w:val="24"/>
        </w:rPr>
        <w:t>ing</w:t>
      </w:r>
      <w:r w:rsidRPr="00B020D2">
        <w:rPr>
          <w:rFonts w:asciiTheme="minorBidi" w:hAnsiTheme="minorBidi"/>
          <w:sz w:val="24"/>
          <w:szCs w:val="24"/>
        </w:rPr>
        <w:t xml:space="preserve"> the pharmacist's role to include carrying out the drug review</w:t>
      </w:r>
      <w:r>
        <w:rPr>
          <w:rFonts w:asciiTheme="minorBidi" w:hAnsiTheme="minorBidi"/>
          <w:sz w:val="24"/>
          <w:szCs w:val="24"/>
        </w:rPr>
        <w:t>, a task</w:t>
      </w:r>
      <w:r w:rsidRPr="00B020D2">
        <w:rPr>
          <w:rFonts w:asciiTheme="minorBidi" w:hAnsiTheme="minorBidi"/>
          <w:sz w:val="24"/>
          <w:szCs w:val="24"/>
        </w:rPr>
        <w:t xml:space="preserve"> that takes time and effort from the treating physician. </w:t>
      </w:r>
      <w:r w:rsidRPr="00490AD6">
        <w:rPr>
          <w:rFonts w:asciiTheme="minorBidi" w:hAnsiTheme="minorBidi"/>
          <w:sz w:val="24"/>
          <w:szCs w:val="24"/>
        </w:rPr>
        <w:t xml:space="preserve">One of the more experienced participants </w:t>
      </w:r>
      <w:r w:rsidRPr="00B020D2">
        <w:rPr>
          <w:rFonts w:asciiTheme="minorBidi" w:hAnsiTheme="minorBidi"/>
          <w:sz w:val="24"/>
          <w:szCs w:val="24"/>
        </w:rPr>
        <w:t xml:space="preserve">also suggested going further to re-dispense the treatment </w:t>
      </w:r>
      <w:r>
        <w:rPr>
          <w:rFonts w:asciiTheme="minorBidi" w:hAnsiTheme="minorBidi"/>
          <w:sz w:val="24"/>
          <w:szCs w:val="24"/>
        </w:rPr>
        <w:t>for</w:t>
      </w:r>
      <w:r w:rsidRPr="00B020D2">
        <w:rPr>
          <w:rFonts w:asciiTheme="minorBidi" w:hAnsiTheme="minorBidi"/>
          <w:sz w:val="24"/>
          <w:szCs w:val="24"/>
        </w:rPr>
        <w:t xml:space="preserve"> patients with stable chronic conditions and treat common diseases. He mentioned several diseases that pharmacists can manage, including managing urinary tract infections in women, and thyroid hormone deficiency, as both have a straightforward approach to treatment.</w:t>
      </w:r>
    </w:p>
    <w:p w14:paraId="50055DB7" w14:textId="77777777" w:rsidR="00821B82" w:rsidRDefault="00821B82" w:rsidP="00821B82">
      <w:pPr>
        <w:spacing w:line="240" w:lineRule="auto"/>
        <w:ind w:left="720"/>
        <w:jc w:val="both"/>
        <w:rPr>
          <w:rFonts w:eastAsiaTheme="minorEastAsia" w:cstheme="minorHAnsi"/>
          <w:i/>
          <w:iCs/>
          <w:lang w:val="en-GB" w:eastAsia="en-GB"/>
        </w:rPr>
      </w:pPr>
      <w:r>
        <w:rPr>
          <w:rFonts w:eastAsiaTheme="minorEastAsia" w:cstheme="minorHAnsi"/>
          <w:i/>
          <w:iCs/>
          <w:lang w:val="en-GB" w:eastAsia="en-GB"/>
        </w:rPr>
        <w:t>‘R</w:t>
      </w:r>
      <w:r w:rsidRPr="00CE6776">
        <w:rPr>
          <w:rFonts w:eastAsiaTheme="minorEastAsia" w:cstheme="minorHAnsi"/>
          <w:i/>
          <w:iCs/>
          <w:lang w:val="en-GB" w:eastAsia="en-GB"/>
        </w:rPr>
        <w:t>ole</w:t>
      </w:r>
      <w:r>
        <w:rPr>
          <w:rFonts w:eastAsiaTheme="minorEastAsia" w:cstheme="minorHAnsi"/>
          <w:i/>
          <w:iCs/>
          <w:lang w:val="en-GB" w:eastAsia="en-GB"/>
        </w:rPr>
        <w:t>s</w:t>
      </w:r>
      <w:r w:rsidRPr="00CE6776">
        <w:rPr>
          <w:rFonts w:eastAsiaTheme="minorEastAsia" w:cstheme="minorHAnsi"/>
          <w:i/>
          <w:iCs/>
          <w:lang w:val="en-GB" w:eastAsia="en-GB"/>
        </w:rPr>
        <w:t xml:space="preserve"> should be directed to the pharmacist at least to have the pharmacist to do refill if there is no contraindicat</w:t>
      </w:r>
      <w:r>
        <w:rPr>
          <w:rFonts w:eastAsiaTheme="minorEastAsia" w:cstheme="minorHAnsi"/>
          <w:i/>
          <w:iCs/>
          <w:lang w:val="en-GB" w:eastAsia="en-GB"/>
        </w:rPr>
        <w:t>ion,</w:t>
      </w:r>
      <w:r w:rsidRPr="00CE6776">
        <w:rPr>
          <w:rFonts w:eastAsiaTheme="minorEastAsia" w:cstheme="minorHAnsi"/>
          <w:i/>
          <w:iCs/>
          <w:lang w:val="en-GB" w:eastAsia="en-GB"/>
        </w:rPr>
        <w:t xml:space="preserve"> if he ha</w:t>
      </w:r>
      <w:r>
        <w:rPr>
          <w:rFonts w:eastAsiaTheme="minorEastAsia" w:cstheme="minorHAnsi"/>
          <w:i/>
          <w:iCs/>
          <w:lang w:val="en-GB" w:eastAsia="en-GB"/>
        </w:rPr>
        <w:t>s</w:t>
      </w:r>
      <w:r w:rsidRPr="00CE6776">
        <w:rPr>
          <w:rFonts w:eastAsiaTheme="minorEastAsia" w:cstheme="minorHAnsi"/>
          <w:i/>
          <w:iCs/>
          <w:lang w:val="en-GB" w:eastAsia="en-GB"/>
        </w:rPr>
        <w:t xml:space="preserve"> access to some crucial information like critinine or</w:t>
      </w:r>
      <w:r>
        <w:rPr>
          <w:rFonts w:eastAsiaTheme="minorEastAsia" w:cstheme="minorHAnsi"/>
          <w:i/>
          <w:iCs/>
          <w:lang w:val="en-GB" w:eastAsia="en-GB"/>
        </w:rPr>
        <w:t xml:space="preserve"> </w:t>
      </w:r>
      <w:r w:rsidRPr="00CE6776">
        <w:rPr>
          <w:rFonts w:eastAsiaTheme="minorEastAsia" w:cstheme="minorHAnsi"/>
          <w:i/>
          <w:iCs/>
          <w:lang w:val="en-GB" w:eastAsia="en-GB"/>
        </w:rPr>
        <w:t xml:space="preserve">GeFR </w:t>
      </w:r>
      <w:r>
        <w:rPr>
          <w:rFonts w:eastAsiaTheme="minorEastAsia" w:cstheme="minorHAnsi"/>
          <w:i/>
          <w:iCs/>
          <w:lang w:val="en-GB" w:eastAsia="en-GB"/>
        </w:rPr>
        <w:t xml:space="preserve">[…] </w:t>
      </w:r>
      <w:r w:rsidRPr="00CE6776">
        <w:rPr>
          <w:rFonts w:eastAsiaTheme="minorEastAsia" w:cstheme="minorHAnsi"/>
          <w:i/>
          <w:iCs/>
          <w:lang w:val="en-GB" w:eastAsia="en-GB"/>
        </w:rPr>
        <w:t>allergic status</w:t>
      </w:r>
      <w:r>
        <w:rPr>
          <w:rFonts w:eastAsiaTheme="minorEastAsia" w:cstheme="minorHAnsi"/>
          <w:i/>
          <w:iCs/>
          <w:lang w:val="en-GB" w:eastAsia="en-GB"/>
        </w:rPr>
        <w:t xml:space="preserve"> [</w:t>
      </w:r>
      <w:r w:rsidRPr="00CE6776">
        <w:rPr>
          <w:rFonts w:eastAsiaTheme="minorEastAsia" w:cstheme="minorHAnsi"/>
          <w:i/>
          <w:iCs/>
          <w:lang w:val="en-GB" w:eastAsia="en-GB"/>
        </w:rPr>
        <w:t>…</w:t>
      </w:r>
      <w:r>
        <w:rPr>
          <w:rFonts w:eastAsiaTheme="minorEastAsia" w:cstheme="minorHAnsi"/>
          <w:i/>
          <w:iCs/>
          <w:lang w:val="en-GB" w:eastAsia="en-GB"/>
        </w:rPr>
        <w:t xml:space="preserve">] </w:t>
      </w:r>
      <w:r w:rsidRPr="00CE6776">
        <w:rPr>
          <w:rFonts w:eastAsiaTheme="minorEastAsia" w:cstheme="minorHAnsi"/>
          <w:i/>
          <w:iCs/>
          <w:lang w:val="en-GB" w:eastAsia="en-GB"/>
        </w:rPr>
        <w:t>Number 2 with regard of the very clear you know indication of the pharmacological treatment  sometimes we get condition</w:t>
      </w:r>
      <w:r>
        <w:rPr>
          <w:rFonts w:eastAsiaTheme="minorEastAsia" w:cstheme="minorHAnsi"/>
          <w:i/>
          <w:iCs/>
          <w:lang w:val="en-GB" w:eastAsia="en-GB"/>
        </w:rPr>
        <w:t>s</w:t>
      </w:r>
      <w:r w:rsidRPr="00CE6776">
        <w:rPr>
          <w:rFonts w:eastAsiaTheme="minorEastAsia" w:cstheme="minorHAnsi"/>
          <w:i/>
          <w:iCs/>
          <w:lang w:val="en-GB" w:eastAsia="en-GB"/>
        </w:rPr>
        <w:t xml:space="preserve"> like for example the UTI in female</w:t>
      </w:r>
      <w:r>
        <w:rPr>
          <w:rFonts w:eastAsiaTheme="minorEastAsia" w:cstheme="minorHAnsi"/>
          <w:i/>
          <w:iCs/>
          <w:lang w:val="en-GB" w:eastAsia="en-GB"/>
        </w:rPr>
        <w:t>s</w:t>
      </w:r>
      <w:r w:rsidRPr="00CE6776">
        <w:rPr>
          <w:rFonts w:eastAsiaTheme="minorEastAsia" w:cstheme="minorHAnsi"/>
          <w:i/>
          <w:iCs/>
          <w:lang w:val="en-GB" w:eastAsia="en-GB"/>
        </w:rPr>
        <w:t xml:space="preserve"> so any symptomatic UTI could be prescribed antibiotics unless it is  contraindicated</w:t>
      </w:r>
      <w:r>
        <w:rPr>
          <w:rFonts w:eastAsiaTheme="minorEastAsia" w:cstheme="minorHAnsi"/>
          <w:i/>
          <w:iCs/>
          <w:lang w:val="en-GB" w:eastAsia="en-GB"/>
        </w:rPr>
        <w:t>,</w:t>
      </w:r>
      <w:r w:rsidRPr="00CE6776">
        <w:rPr>
          <w:rFonts w:eastAsiaTheme="minorEastAsia" w:cstheme="minorHAnsi"/>
          <w:i/>
          <w:iCs/>
          <w:lang w:val="en-GB" w:eastAsia="en-GB"/>
        </w:rPr>
        <w:t xml:space="preserve"> otherwise I don't have to confirm the diagnosis, this is also another role, another one for thyroid function</w:t>
      </w:r>
      <w:r>
        <w:rPr>
          <w:rFonts w:eastAsiaTheme="minorEastAsia" w:cstheme="minorHAnsi"/>
          <w:i/>
          <w:iCs/>
          <w:lang w:val="en-GB" w:eastAsia="en-GB"/>
        </w:rPr>
        <w:t>,</w:t>
      </w:r>
      <w:r w:rsidRPr="00CE6776">
        <w:rPr>
          <w:rFonts w:eastAsiaTheme="minorEastAsia" w:cstheme="minorHAnsi"/>
          <w:i/>
          <w:iCs/>
          <w:lang w:val="en-GB" w:eastAsia="en-GB"/>
        </w:rPr>
        <w:t xml:space="preserve"> it is easy to adjust thyroid medication so if somebody who's already diagnosed after confirmation of two measurement</w:t>
      </w:r>
      <w:r>
        <w:rPr>
          <w:rFonts w:eastAsiaTheme="minorEastAsia" w:cstheme="minorHAnsi"/>
          <w:i/>
          <w:iCs/>
          <w:lang w:val="en-GB" w:eastAsia="en-GB"/>
        </w:rPr>
        <w:t>s</w:t>
      </w:r>
      <w:r w:rsidRPr="00CE6776">
        <w:rPr>
          <w:rFonts w:eastAsiaTheme="minorEastAsia" w:cstheme="minorHAnsi"/>
          <w:i/>
          <w:iCs/>
          <w:lang w:val="en-GB" w:eastAsia="en-GB"/>
        </w:rPr>
        <w:t xml:space="preserve"> of TSH and T4 and he </w:t>
      </w:r>
      <w:r>
        <w:rPr>
          <w:rFonts w:eastAsiaTheme="minorEastAsia" w:cstheme="minorHAnsi"/>
          <w:i/>
          <w:iCs/>
          <w:lang w:val="en-GB" w:eastAsia="en-GB"/>
        </w:rPr>
        <w:t xml:space="preserve">is </w:t>
      </w:r>
      <w:r w:rsidRPr="00CE6776">
        <w:rPr>
          <w:rFonts w:eastAsiaTheme="minorEastAsia" w:cstheme="minorHAnsi"/>
          <w:i/>
          <w:iCs/>
          <w:lang w:val="en-GB" w:eastAsia="en-GB"/>
        </w:rPr>
        <w:t>already stable I think the clinical pharmacist can adjust the dose and totally you know manage the hypothyroidism patient by dispen</w:t>
      </w:r>
      <w:r>
        <w:rPr>
          <w:rFonts w:eastAsiaTheme="minorEastAsia" w:cstheme="minorHAnsi"/>
          <w:i/>
          <w:iCs/>
          <w:lang w:val="en-GB" w:eastAsia="en-GB"/>
        </w:rPr>
        <w:t>s</w:t>
      </w:r>
      <w:r w:rsidRPr="00CE6776">
        <w:rPr>
          <w:rFonts w:eastAsiaTheme="minorEastAsia" w:cstheme="minorHAnsi"/>
          <w:i/>
          <w:iCs/>
          <w:lang w:val="en-GB" w:eastAsia="en-GB"/>
        </w:rPr>
        <w:t>ing same dose or adjusting the medication. I think there is many rules in the chronic disease and non-chronic disease for the clinical pharmacist</w:t>
      </w:r>
      <w:r>
        <w:rPr>
          <w:rFonts w:eastAsiaTheme="minorEastAsia" w:cstheme="minorHAnsi"/>
          <w:i/>
          <w:iCs/>
          <w:lang w:val="en-GB" w:eastAsia="en-GB"/>
        </w:rPr>
        <w:t>,</w:t>
      </w:r>
      <w:r w:rsidRPr="00CE6776">
        <w:rPr>
          <w:rFonts w:eastAsiaTheme="minorEastAsia" w:cstheme="minorHAnsi"/>
          <w:i/>
          <w:iCs/>
          <w:lang w:val="en-GB" w:eastAsia="en-GB"/>
        </w:rPr>
        <w:t xml:space="preserve"> especially at primary care</w:t>
      </w:r>
      <w:r>
        <w:rPr>
          <w:rFonts w:eastAsiaTheme="minorEastAsia" w:cstheme="minorHAnsi"/>
          <w:i/>
          <w:iCs/>
          <w:lang w:val="en-GB" w:eastAsia="en-GB"/>
        </w:rPr>
        <w:t xml:space="preserve"> […] </w:t>
      </w:r>
      <w:r w:rsidRPr="00CE6776">
        <w:rPr>
          <w:rFonts w:eastAsiaTheme="minorEastAsia" w:cstheme="minorHAnsi"/>
          <w:i/>
          <w:iCs/>
          <w:lang w:val="en-GB" w:eastAsia="en-GB"/>
        </w:rPr>
        <w:t>I think they might have a very clear role in more than 10 maybe conditions that should be managed totally under supervision of minimal consultation with the G</w:t>
      </w:r>
      <w:r>
        <w:rPr>
          <w:rFonts w:eastAsiaTheme="minorEastAsia" w:cstheme="minorHAnsi"/>
          <w:i/>
          <w:iCs/>
          <w:lang w:val="en-GB" w:eastAsia="en-GB"/>
        </w:rPr>
        <w:t>P</w:t>
      </w:r>
      <w:r w:rsidRPr="00CE6776">
        <w:rPr>
          <w:rFonts w:eastAsiaTheme="minorEastAsia" w:cstheme="minorHAnsi"/>
          <w:i/>
          <w:iCs/>
          <w:lang w:val="en-GB" w:eastAsia="en-GB"/>
        </w:rPr>
        <w:t xml:space="preserve"> o</w:t>
      </w:r>
      <w:r>
        <w:rPr>
          <w:rFonts w:eastAsiaTheme="minorEastAsia" w:cstheme="minorHAnsi"/>
          <w:i/>
          <w:iCs/>
          <w:lang w:val="en-GB" w:eastAsia="en-GB"/>
        </w:rPr>
        <w:t>r</w:t>
      </w:r>
      <w:r w:rsidRPr="00CE6776">
        <w:rPr>
          <w:rFonts w:eastAsiaTheme="minorEastAsia" w:cstheme="minorHAnsi"/>
          <w:i/>
          <w:iCs/>
          <w:lang w:val="en-GB" w:eastAsia="en-GB"/>
        </w:rPr>
        <w:t xml:space="preserve"> family physician.</w:t>
      </w:r>
      <w:r>
        <w:rPr>
          <w:rFonts w:eastAsiaTheme="minorEastAsia" w:cstheme="minorHAnsi"/>
          <w:i/>
          <w:iCs/>
          <w:lang w:val="en-GB" w:eastAsia="en-GB"/>
        </w:rPr>
        <w:t>’D2</w:t>
      </w:r>
    </w:p>
    <w:p w14:paraId="78E90E6B" w14:textId="77777777" w:rsidR="00821B82" w:rsidRDefault="00821B82" w:rsidP="00821B82">
      <w:pPr>
        <w:spacing w:line="240" w:lineRule="auto"/>
        <w:ind w:left="720"/>
        <w:jc w:val="both"/>
        <w:rPr>
          <w:rFonts w:eastAsiaTheme="minorEastAsia" w:cstheme="minorHAnsi"/>
          <w:i/>
          <w:iCs/>
          <w:lang w:val="en-GB" w:eastAsia="en-GB"/>
        </w:rPr>
      </w:pPr>
    </w:p>
    <w:p w14:paraId="1FDB1004" w14:textId="77777777" w:rsidR="00821B82" w:rsidRPr="007C6088" w:rsidRDefault="00821B82" w:rsidP="00821B82">
      <w:pPr>
        <w:pStyle w:val="Heading5"/>
        <w:spacing w:line="360" w:lineRule="auto"/>
        <w:rPr>
          <w:rFonts w:asciiTheme="minorBidi" w:eastAsiaTheme="minorEastAsia" w:hAnsiTheme="minorBidi" w:cstheme="minorBidi"/>
          <w:sz w:val="24"/>
          <w:szCs w:val="24"/>
          <w:lang w:val="en-GB" w:eastAsia="en-GB"/>
        </w:rPr>
      </w:pPr>
      <w:r w:rsidRPr="007C6088">
        <w:rPr>
          <w:rFonts w:asciiTheme="minorBidi" w:eastAsiaTheme="minorEastAsia" w:hAnsiTheme="minorBidi" w:cstheme="minorBidi"/>
          <w:sz w:val="24"/>
          <w:szCs w:val="24"/>
          <w:lang w:val="en-GB" w:eastAsia="en-GB"/>
        </w:rPr>
        <w:t>Delivery of care</w:t>
      </w:r>
    </w:p>
    <w:p w14:paraId="320227B8" w14:textId="77777777" w:rsidR="00821B82" w:rsidRDefault="00821B82" w:rsidP="00821B82">
      <w:pPr>
        <w:spacing w:line="360" w:lineRule="auto"/>
        <w:jc w:val="both"/>
        <w:rPr>
          <w:rFonts w:asciiTheme="minorBidi" w:hAnsiTheme="minorBidi"/>
          <w:sz w:val="24"/>
          <w:szCs w:val="24"/>
          <w:lang w:val="en-GB"/>
        </w:rPr>
      </w:pPr>
      <w:r w:rsidRPr="00403A53">
        <w:rPr>
          <w:rFonts w:asciiTheme="minorBidi" w:hAnsiTheme="minorBidi"/>
          <w:sz w:val="24"/>
          <w:szCs w:val="24"/>
        </w:rPr>
        <w:t>Participants reported that having a pharmacist on the diabetes care team would enhance care delivery by improving workflow as pharmacists can reduce the amount of time spent on medication-related issues.</w:t>
      </w:r>
      <w:r>
        <w:rPr>
          <w:rFonts w:asciiTheme="minorBidi" w:hAnsiTheme="minorBidi"/>
          <w:sz w:val="24"/>
          <w:szCs w:val="24"/>
        </w:rPr>
        <w:t xml:space="preserve"> </w:t>
      </w:r>
      <w:r>
        <w:rPr>
          <w:rFonts w:asciiTheme="minorBidi" w:hAnsiTheme="minorBidi"/>
          <w:sz w:val="24"/>
          <w:szCs w:val="24"/>
          <w:lang w:val="en-GB"/>
        </w:rPr>
        <w:t>F</w:t>
      </w:r>
      <w:r w:rsidRPr="00AA5B48">
        <w:rPr>
          <w:rFonts w:asciiTheme="minorBidi" w:hAnsiTheme="minorBidi"/>
          <w:sz w:val="24"/>
          <w:szCs w:val="24"/>
          <w:lang w:val="en-GB"/>
        </w:rPr>
        <w:t xml:space="preserve">or example, “medication reconciliation” where assessing medication profile during clinical settings transitions to ensure no disturbed and updated medication therapy which takes time from doctors to write the drug list of patient in patient drug profile so if such task delivered by another </w:t>
      </w:r>
      <w:r>
        <w:rPr>
          <w:rFonts w:asciiTheme="minorBidi" w:hAnsiTheme="minorBidi"/>
          <w:sz w:val="24"/>
          <w:szCs w:val="24"/>
          <w:lang w:val="en-GB"/>
        </w:rPr>
        <w:t>HCPs</w:t>
      </w:r>
      <w:r w:rsidRPr="00AA5B48">
        <w:rPr>
          <w:rFonts w:asciiTheme="minorBidi" w:hAnsiTheme="minorBidi"/>
          <w:sz w:val="24"/>
          <w:szCs w:val="24"/>
          <w:lang w:val="en-GB"/>
        </w:rPr>
        <w:t xml:space="preserve"> and let’s doctors focus on medical related issues rather than medication related issues.</w:t>
      </w:r>
    </w:p>
    <w:p w14:paraId="17BA9583" w14:textId="77777777" w:rsidR="00821B82" w:rsidRPr="0085398B" w:rsidRDefault="00821B82" w:rsidP="00821B82">
      <w:pPr>
        <w:spacing w:line="240" w:lineRule="auto"/>
        <w:ind w:left="720"/>
        <w:jc w:val="both"/>
        <w:rPr>
          <w:rFonts w:cstheme="minorHAnsi"/>
          <w:i/>
          <w:iCs/>
          <w:sz w:val="24"/>
          <w:szCs w:val="24"/>
        </w:rPr>
      </w:pPr>
      <w:r>
        <w:rPr>
          <w:rFonts w:cstheme="minorHAnsi"/>
          <w:i/>
          <w:iCs/>
          <w:sz w:val="24"/>
          <w:szCs w:val="24"/>
        </w:rPr>
        <w:t>‘</w:t>
      </w:r>
      <w:r w:rsidRPr="00263427">
        <w:rPr>
          <w:rFonts w:cstheme="minorHAnsi"/>
          <w:i/>
          <w:iCs/>
          <w:sz w:val="24"/>
          <w:szCs w:val="24"/>
        </w:rPr>
        <w:t>I think if the clinical pharmacist or the pharmacist is a smart one he might ask the patient to bring all his medication because maybe in the last two years we have change a lot of brands available in the primary care from different companies</w:t>
      </w:r>
      <w:r>
        <w:rPr>
          <w:rFonts w:cstheme="minorHAnsi"/>
          <w:i/>
          <w:iCs/>
          <w:sz w:val="24"/>
          <w:szCs w:val="24"/>
        </w:rPr>
        <w:t xml:space="preserve"> […] </w:t>
      </w:r>
      <w:r w:rsidRPr="00263427">
        <w:rPr>
          <w:rFonts w:cstheme="minorHAnsi"/>
          <w:i/>
          <w:iCs/>
          <w:sz w:val="24"/>
          <w:szCs w:val="24"/>
        </w:rPr>
        <w:t>sometimes the patient is illiterate</w:t>
      </w:r>
      <w:r>
        <w:rPr>
          <w:rFonts w:cstheme="minorHAnsi"/>
          <w:i/>
          <w:iCs/>
          <w:sz w:val="24"/>
          <w:szCs w:val="24"/>
        </w:rPr>
        <w:t>,</w:t>
      </w:r>
      <w:r w:rsidRPr="00263427">
        <w:rPr>
          <w:rFonts w:cstheme="minorHAnsi"/>
          <w:i/>
          <w:iCs/>
          <w:sz w:val="24"/>
          <w:szCs w:val="24"/>
        </w:rPr>
        <w:t xml:space="preserve"> he might use </w:t>
      </w:r>
      <w:r>
        <w:rPr>
          <w:rFonts w:cstheme="minorHAnsi"/>
          <w:i/>
          <w:iCs/>
          <w:sz w:val="24"/>
          <w:szCs w:val="24"/>
        </w:rPr>
        <w:t xml:space="preserve">same medication from different companies, </w:t>
      </w:r>
      <w:r w:rsidRPr="00263427">
        <w:rPr>
          <w:rFonts w:cstheme="minorHAnsi"/>
          <w:i/>
          <w:iCs/>
          <w:sz w:val="24"/>
          <w:szCs w:val="24"/>
        </w:rPr>
        <w:t>double dose, he might think this is a new medication prescribed by his physician so he might take 2 medication</w:t>
      </w:r>
      <w:r>
        <w:rPr>
          <w:rFonts w:cstheme="minorHAnsi"/>
          <w:i/>
          <w:iCs/>
          <w:sz w:val="24"/>
          <w:szCs w:val="24"/>
        </w:rPr>
        <w:t>…</w:t>
      </w:r>
      <w:r w:rsidRPr="008F5640">
        <w:t xml:space="preserve"> </w:t>
      </w:r>
      <w:r w:rsidRPr="0085398B">
        <w:rPr>
          <w:rFonts w:cstheme="minorHAnsi"/>
          <w:i/>
          <w:iCs/>
          <w:sz w:val="24"/>
          <w:szCs w:val="24"/>
        </w:rPr>
        <w:t xml:space="preserve">I usually ask the pharmacists to bring me a sample so I might educate the patient; I say ok, we have changed the brand for you, do not confuse. They would dispense you this </w:t>
      </w:r>
      <w:r>
        <w:rPr>
          <w:rFonts w:cstheme="minorHAnsi"/>
          <w:i/>
          <w:iCs/>
          <w:sz w:val="24"/>
          <w:szCs w:val="24"/>
        </w:rPr>
        <w:t xml:space="preserve">[…] </w:t>
      </w:r>
      <w:r w:rsidRPr="0085398B">
        <w:rPr>
          <w:rFonts w:cstheme="minorHAnsi"/>
          <w:i/>
          <w:iCs/>
          <w:sz w:val="24"/>
          <w:szCs w:val="24"/>
        </w:rPr>
        <w:t>medication; this is the same one as before because most of our patients are illiterate</w:t>
      </w:r>
      <w:r>
        <w:rPr>
          <w:rFonts w:cstheme="minorHAnsi"/>
          <w:i/>
          <w:iCs/>
          <w:sz w:val="24"/>
          <w:szCs w:val="24"/>
        </w:rPr>
        <w:t>…’D2</w:t>
      </w:r>
    </w:p>
    <w:p w14:paraId="6C0689FF"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7A1440">
        <w:rPr>
          <w:rFonts w:cstheme="minorHAnsi"/>
          <w:i/>
          <w:iCs/>
          <w:sz w:val="24"/>
          <w:szCs w:val="24"/>
        </w:rPr>
        <w:t>Having a pharmacist on the diabetes care team is important and necessary to give the right messages in the right place.</w:t>
      </w:r>
      <w:r>
        <w:rPr>
          <w:rFonts w:cstheme="minorHAnsi"/>
          <w:i/>
          <w:iCs/>
          <w:sz w:val="24"/>
          <w:szCs w:val="24"/>
        </w:rPr>
        <w:t xml:space="preserve">’ </w:t>
      </w:r>
      <w:r w:rsidRPr="007A1440">
        <w:rPr>
          <w:rFonts w:cstheme="minorHAnsi"/>
          <w:i/>
          <w:iCs/>
          <w:sz w:val="24"/>
          <w:szCs w:val="24"/>
        </w:rPr>
        <w:t>N2</w:t>
      </w:r>
    </w:p>
    <w:p w14:paraId="51E8D972" w14:textId="77777777" w:rsidR="00821B82" w:rsidRPr="004D0A6D" w:rsidRDefault="00821B82" w:rsidP="00821B82">
      <w:pPr>
        <w:spacing w:line="240" w:lineRule="auto"/>
        <w:ind w:left="720"/>
        <w:jc w:val="both"/>
        <w:rPr>
          <w:rFonts w:cstheme="minorHAnsi"/>
          <w:i/>
          <w:iCs/>
          <w:sz w:val="24"/>
          <w:szCs w:val="24"/>
        </w:rPr>
      </w:pPr>
    </w:p>
    <w:p w14:paraId="6CEAD423" w14:textId="77777777" w:rsidR="00821B82" w:rsidRPr="007C6088" w:rsidRDefault="00821B82" w:rsidP="00821B82">
      <w:pPr>
        <w:pStyle w:val="Heading5"/>
        <w:spacing w:line="360" w:lineRule="auto"/>
        <w:rPr>
          <w:rFonts w:asciiTheme="minorBidi" w:eastAsiaTheme="minorEastAsia" w:hAnsiTheme="minorBidi" w:cstheme="minorBidi"/>
          <w:sz w:val="24"/>
          <w:szCs w:val="24"/>
          <w:lang w:val="en-GB" w:eastAsia="en-GB"/>
        </w:rPr>
      </w:pPr>
      <w:r w:rsidRPr="007C6088">
        <w:rPr>
          <w:rFonts w:asciiTheme="minorBidi" w:eastAsiaTheme="minorEastAsia" w:hAnsiTheme="minorBidi" w:cstheme="minorBidi"/>
          <w:sz w:val="24"/>
          <w:szCs w:val="24"/>
          <w:lang w:val="en-GB" w:eastAsia="en-GB"/>
        </w:rPr>
        <w:t>Patient outcomes and safety</w:t>
      </w:r>
    </w:p>
    <w:p w14:paraId="07D927DF" w14:textId="77777777" w:rsidR="00821B82" w:rsidRDefault="00821B82" w:rsidP="00821B82">
      <w:pPr>
        <w:spacing w:line="360" w:lineRule="auto"/>
        <w:jc w:val="both"/>
        <w:rPr>
          <w:rFonts w:asciiTheme="minorBidi" w:hAnsiTheme="minorBidi"/>
          <w:sz w:val="24"/>
          <w:szCs w:val="24"/>
        </w:rPr>
      </w:pPr>
      <w:r w:rsidRPr="00AE38A8">
        <w:rPr>
          <w:rFonts w:asciiTheme="minorBidi" w:hAnsiTheme="minorBidi"/>
          <w:sz w:val="24"/>
          <w:szCs w:val="24"/>
        </w:rPr>
        <w:t xml:space="preserve">Participants </w:t>
      </w:r>
      <w:r>
        <w:rPr>
          <w:rFonts w:asciiTheme="minorBidi" w:hAnsiTheme="minorBidi"/>
          <w:sz w:val="24"/>
          <w:szCs w:val="24"/>
        </w:rPr>
        <w:t>suggested</w:t>
      </w:r>
      <w:r w:rsidRPr="00AE38A8">
        <w:rPr>
          <w:rFonts w:asciiTheme="minorBidi" w:hAnsiTheme="minorBidi"/>
          <w:sz w:val="24"/>
          <w:szCs w:val="24"/>
        </w:rPr>
        <w:t xml:space="preserve"> that integrat</w:t>
      </w:r>
      <w:r>
        <w:rPr>
          <w:rFonts w:asciiTheme="minorBidi" w:hAnsiTheme="minorBidi"/>
          <w:sz w:val="24"/>
          <w:szCs w:val="24"/>
        </w:rPr>
        <w:t>ing</w:t>
      </w:r>
      <w:r w:rsidRPr="00AE38A8">
        <w:rPr>
          <w:rFonts w:asciiTheme="minorBidi" w:hAnsiTheme="minorBidi"/>
          <w:sz w:val="24"/>
          <w:szCs w:val="24"/>
        </w:rPr>
        <w:t xml:space="preserve"> pharmac</w:t>
      </w:r>
      <w:r>
        <w:rPr>
          <w:rFonts w:asciiTheme="minorBidi" w:hAnsiTheme="minorBidi"/>
          <w:sz w:val="24"/>
          <w:szCs w:val="24"/>
        </w:rPr>
        <w:t>ies</w:t>
      </w:r>
      <w:r w:rsidRPr="00AE38A8">
        <w:rPr>
          <w:rFonts w:asciiTheme="minorBidi" w:hAnsiTheme="minorBidi"/>
          <w:sz w:val="24"/>
          <w:szCs w:val="24"/>
        </w:rPr>
        <w:t xml:space="preserve"> within </w:t>
      </w:r>
      <w:r>
        <w:rPr>
          <w:rFonts w:asciiTheme="minorBidi" w:hAnsiTheme="minorBidi"/>
          <w:sz w:val="24"/>
          <w:szCs w:val="24"/>
        </w:rPr>
        <w:t>PHCs</w:t>
      </w:r>
      <w:r w:rsidRPr="00AE38A8">
        <w:rPr>
          <w:rFonts w:asciiTheme="minorBidi" w:hAnsiTheme="minorBidi"/>
          <w:sz w:val="24"/>
          <w:szCs w:val="24"/>
        </w:rPr>
        <w:t xml:space="preserve"> could positively impact patient outcomes by increasing compliance and patient safety by reducing medication errors as the pharmacist </w:t>
      </w:r>
      <w:r>
        <w:rPr>
          <w:rFonts w:asciiTheme="minorBidi" w:hAnsiTheme="minorBidi"/>
          <w:sz w:val="24"/>
          <w:szCs w:val="24"/>
        </w:rPr>
        <w:t xml:space="preserve">can </w:t>
      </w:r>
      <w:r w:rsidRPr="00AE38A8">
        <w:rPr>
          <w:rFonts w:asciiTheme="minorBidi" w:hAnsiTheme="minorBidi"/>
          <w:sz w:val="24"/>
          <w:szCs w:val="24"/>
        </w:rPr>
        <w:t>easily address medication-related issues.</w:t>
      </w:r>
    </w:p>
    <w:p w14:paraId="30DB51E1"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0D2D12">
        <w:rPr>
          <w:rFonts w:cstheme="minorHAnsi"/>
          <w:i/>
          <w:iCs/>
          <w:sz w:val="24"/>
          <w:szCs w:val="24"/>
        </w:rPr>
        <w:t>When you have good pharmacist who might involve more with the patient in the education in order to have a good compliance</w:t>
      </w:r>
      <w:r>
        <w:rPr>
          <w:rFonts w:cstheme="minorHAnsi"/>
          <w:i/>
          <w:iCs/>
          <w:sz w:val="24"/>
          <w:szCs w:val="24"/>
        </w:rPr>
        <w:t xml:space="preserve"> […]  A </w:t>
      </w:r>
      <w:r w:rsidRPr="00F15BC0">
        <w:rPr>
          <w:rFonts w:cstheme="minorHAnsi"/>
          <w:i/>
          <w:iCs/>
          <w:sz w:val="24"/>
          <w:szCs w:val="24"/>
        </w:rPr>
        <w:t xml:space="preserve">patient might be a newly diagnostic diabetic while the </w:t>
      </w:r>
      <w:r>
        <w:rPr>
          <w:rFonts w:cstheme="minorHAnsi"/>
          <w:i/>
          <w:iCs/>
          <w:sz w:val="24"/>
          <w:szCs w:val="24"/>
        </w:rPr>
        <w:t>doctor</w:t>
      </w:r>
      <w:r w:rsidRPr="00F15BC0">
        <w:rPr>
          <w:rFonts w:cstheme="minorHAnsi"/>
          <w:i/>
          <w:iCs/>
          <w:sz w:val="24"/>
          <w:szCs w:val="24"/>
        </w:rPr>
        <w:t xml:space="preserve"> write metformin dose of 1 gram bid which is should goes with the titration</w:t>
      </w:r>
      <w:r>
        <w:rPr>
          <w:rFonts w:cstheme="minorHAnsi"/>
          <w:i/>
          <w:iCs/>
          <w:sz w:val="24"/>
          <w:szCs w:val="24"/>
        </w:rPr>
        <w:t>.</w:t>
      </w:r>
      <w:r w:rsidRPr="00F15BC0">
        <w:rPr>
          <w:rFonts w:cstheme="minorHAnsi"/>
          <w:i/>
          <w:iCs/>
          <w:sz w:val="24"/>
          <w:szCs w:val="24"/>
        </w:rPr>
        <w:t xml:space="preserve"> I think the guidance or having somebody who is senior in this area will add a lot in regard of the you know initiation in regard of the education not only to the patient but also to the healthcare workers</w:t>
      </w:r>
      <w:r>
        <w:rPr>
          <w:rFonts w:cstheme="minorHAnsi"/>
          <w:i/>
          <w:iCs/>
          <w:sz w:val="24"/>
          <w:szCs w:val="24"/>
        </w:rPr>
        <w:t xml:space="preserve"> […] </w:t>
      </w:r>
      <w:r w:rsidRPr="000D2D12">
        <w:rPr>
          <w:rFonts w:cstheme="minorHAnsi"/>
          <w:i/>
          <w:iCs/>
          <w:sz w:val="24"/>
          <w:szCs w:val="24"/>
        </w:rPr>
        <w:t>any kind of services that might improve the drug drug interaction</w:t>
      </w:r>
      <w:r>
        <w:rPr>
          <w:rFonts w:cstheme="minorHAnsi"/>
          <w:i/>
          <w:iCs/>
          <w:sz w:val="24"/>
          <w:szCs w:val="24"/>
        </w:rPr>
        <w:t xml:space="preserve"> […]</w:t>
      </w:r>
      <w:r w:rsidRPr="000D2D12">
        <w:rPr>
          <w:rFonts w:cstheme="minorHAnsi"/>
          <w:i/>
          <w:iCs/>
          <w:sz w:val="24"/>
          <w:szCs w:val="24"/>
        </w:rPr>
        <w:t xml:space="preserve"> is very crucial.</w:t>
      </w:r>
      <w:r>
        <w:rPr>
          <w:rFonts w:cstheme="minorHAnsi"/>
          <w:i/>
          <w:iCs/>
          <w:sz w:val="24"/>
          <w:szCs w:val="24"/>
        </w:rPr>
        <w:t>’D2</w:t>
      </w:r>
    </w:p>
    <w:p w14:paraId="68E10398" w14:textId="77777777" w:rsidR="00821B82" w:rsidRPr="004E344F" w:rsidRDefault="00821B82" w:rsidP="00821B82">
      <w:pPr>
        <w:spacing w:line="240" w:lineRule="auto"/>
        <w:ind w:left="720"/>
        <w:jc w:val="both"/>
        <w:rPr>
          <w:rFonts w:cstheme="minorHAnsi"/>
          <w:i/>
          <w:iCs/>
          <w:sz w:val="24"/>
          <w:szCs w:val="24"/>
        </w:rPr>
      </w:pPr>
      <w:r>
        <w:rPr>
          <w:rFonts w:cstheme="minorHAnsi"/>
          <w:i/>
          <w:iCs/>
          <w:sz w:val="24"/>
          <w:szCs w:val="24"/>
        </w:rPr>
        <w:t>‘</w:t>
      </w:r>
      <w:r w:rsidRPr="00314C83">
        <w:rPr>
          <w:rFonts w:cstheme="minorHAnsi"/>
          <w:i/>
          <w:iCs/>
          <w:sz w:val="24"/>
          <w:szCs w:val="24"/>
        </w:rPr>
        <w:t>When the patient talks with the pharmacist, this improves his understanding of the treatment and affects his taking the treatment correctly, so the effectiveness of the treatment is more.</w:t>
      </w:r>
      <w:r>
        <w:rPr>
          <w:rFonts w:cstheme="minorHAnsi"/>
          <w:i/>
          <w:iCs/>
          <w:sz w:val="24"/>
          <w:szCs w:val="24"/>
        </w:rPr>
        <w:t>’Ph3</w:t>
      </w:r>
    </w:p>
    <w:p w14:paraId="1B53DCC6" w14:textId="77777777" w:rsidR="00821B82" w:rsidRPr="003751BF" w:rsidRDefault="00821B82" w:rsidP="00821B82">
      <w:pPr>
        <w:spacing w:line="240" w:lineRule="auto"/>
        <w:ind w:left="720"/>
        <w:jc w:val="both"/>
        <w:rPr>
          <w:rFonts w:cstheme="minorHAnsi"/>
          <w:i/>
          <w:iCs/>
          <w:sz w:val="24"/>
          <w:szCs w:val="24"/>
        </w:rPr>
      </w:pPr>
      <w:r>
        <w:rPr>
          <w:rFonts w:cstheme="minorHAnsi"/>
          <w:i/>
          <w:iCs/>
          <w:sz w:val="24"/>
          <w:szCs w:val="24"/>
        </w:rPr>
        <w:t>‘W</w:t>
      </w:r>
      <w:r w:rsidRPr="00B5353C">
        <w:rPr>
          <w:rFonts w:cstheme="minorHAnsi"/>
          <w:i/>
          <w:iCs/>
          <w:sz w:val="24"/>
          <w:szCs w:val="24"/>
        </w:rPr>
        <w:t>hen everybody in the medical team is involved in the healthcare plan of a diabetic patient and everybody agrees on the medications and the treatment plan it will be reassuring for the patient to hear the same instructions and the same things said from a doctor and from a pharmacist</w:t>
      </w:r>
      <w:r>
        <w:rPr>
          <w:rFonts w:cstheme="minorHAnsi"/>
          <w:i/>
          <w:iCs/>
          <w:sz w:val="24"/>
          <w:szCs w:val="24"/>
        </w:rPr>
        <w:t>’</w:t>
      </w:r>
      <w:r w:rsidRPr="00B5353C">
        <w:rPr>
          <w:rFonts w:cstheme="minorHAnsi"/>
          <w:i/>
          <w:iCs/>
          <w:sz w:val="24"/>
          <w:szCs w:val="24"/>
        </w:rPr>
        <w:t xml:space="preserve"> D1</w:t>
      </w:r>
    </w:p>
    <w:p w14:paraId="7B4969C0" w14:textId="77777777" w:rsidR="00821B82" w:rsidRDefault="00821B82" w:rsidP="00821B82">
      <w:pPr>
        <w:spacing w:before="240" w:line="360" w:lineRule="auto"/>
        <w:jc w:val="both"/>
        <w:rPr>
          <w:rFonts w:asciiTheme="minorBidi" w:hAnsiTheme="minorBidi"/>
          <w:sz w:val="24"/>
          <w:szCs w:val="24"/>
        </w:rPr>
      </w:pPr>
      <w:r w:rsidRPr="006B3F68">
        <w:rPr>
          <w:rFonts w:asciiTheme="minorBidi" w:hAnsiTheme="minorBidi"/>
          <w:sz w:val="24"/>
          <w:szCs w:val="24"/>
        </w:rPr>
        <w:t xml:space="preserve">In this section, most participants talked about the positive effects of pharmacists' contributions to the quality of health services in </w:t>
      </w:r>
      <w:r>
        <w:rPr>
          <w:rFonts w:asciiTheme="minorBidi" w:hAnsiTheme="minorBidi"/>
          <w:sz w:val="24"/>
          <w:szCs w:val="24"/>
        </w:rPr>
        <w:t>PHCs</w:t>
      </w:r>
      <w:r w:rsidRPr="006B3F68">
        <w:rPr>
          <w:rFonts w:asciiTheme="minorBidi" w:hAnsiTheme="minorBidi"/>
          <w:sz w:val="24"/>
          <w:szCs w:val="24"/>
        </w:rPr>
        <w:t>. All participants agreed that pharmacists have a critical role in patient care, including diabetes care</w:t>
      </w:r>
      <w:r w:rsidRPr="00CC5B58">
        <w:rPr>
          <w:rFonts w:asciiTheme="minorBidi" w:hAnsiTheme="minorBidi"/>
          <w:sz w:val="24"/>
          <w:szCs w:val="24"/>
        </w:rPr>
        <w:t xml:space="preserve">. </w:t>
      </w:r>
      <w:r>
        <w:rPr>
          <w:rFonts w:asciiTheme="minorBidi" w:hAnsiTheme="minorBidi"/>
          <w:sz w:val="24"/>
          <w:szCs w:val="24"/>
        </w:rPr>
        <w:t xml:space="preserve">However, a </w:t>
      </w:r>
      <w:r w:rsidRPr="00CC5B58">
        <w:rPr>
          <w:rFonts w:asciiTheme="minorBidi" w:hAnsiTheme="minorBidi"/>
          <w:sz w:val="24"/>
          <w:szCs w:val="24"/>
        </w:rPr>
        <w:t xml:space="preserve">common view amongst interviewees was that </w:t>
      </w:r>
      <w:r>
        <w:rPr>
          <w:rFonts w:asciiTheme="minorBidi" w:hAnsiTheme="minorBidi"/>
          <w:sz w:val="24"/>
          <w:szCs w:val="24"/>
        </w:rPr>
        <w:t>pharmacists’ contribution</w:t>
      </w:r>
      <w:r w:rsidRPr="00CC5B58">
        <w:rPr>
          <w:rFonts w:asciiTheme="minorBidi" w:hAnsiTheme="minorBidi"/>
          <w:sz w:val="24"/>
          <w:szCs w:val="24"/>
        </w:rPr>
        <w:t xml:space="preserve"> varies depending on the pharmacy's location. </w:t>
      </w:r>
      <w:r w:rsidRPr="00DB0813">
        <w:rPr>
          <w:rFonts w:asciiTheme="minorBidi" w:hAnsiTheme="minorBidi"/>
          <w:sz w:val="24"/>
          <w:szCs w:val="24"/>
        </w:rPr>
        <w:t xml:space="preserve">Pharmacists working in </w:t>
      </w:r>
      <w:r>
        <w:rPr>
          <w:rFonts w:asciiTheme="minorBidi" w:hAnsiTheme="minorBidi"/>
          <w:sz w:val="24"/>
          <w:szCs w:val="24"/>
        </w:rPr>
        <w:t>PHCs</w:t>
      </w:r>
      <w:r w:rsidRPr="00DB0813">
        <w:rPr>
          <w:rFonts w:asciiTheme="minorBidi" w:hAnsiTheme="minorBidi"/>
          <w:sz w:val="24"/>
          <w:szCs w:val="24"/>
        </w:rPr>
        <w:t xml:space="preserve"> are more involved in patient care than pharmacists working in retail community pharmac</w:t>
      </w:r>
      <w:r>
        <w:rPr>
          <w:rFonts w:asciiTheme="minorBidi" w:hAnsiTheme="minorBidi"/>
          <w:sz w:val="24"/>
          <w:szCs w:val="24"/>
        </w:rPr>
        <w:t>ies</w:t>
      </w:r>
      <w:r w:rsidRPr="00DB0813">
        <w:rPr>
          <w:rFonts w:asciiTheme="minorBidi" w:hAnsiTheme="minorBidi"/>
          <w:sz w:val="24"/>
          <w:szCs w:val="24"/>
        </w:rPr>
        <w:t xml:space="preserve">. </w:t>
      </w:r>
      <w:r>
        <w:rPr>
          <w:rFonts w:asciiTheme="minorBidi" w:hAnsiTheme="minorBidi"/>
          <w:sz w:val="24"/>
          <w:szCs w:val="24"/>
        </w:rPr>
        <w:t>Therefore, the m</w:t>
      </w:r>
      <w:r w:rsidRPr="00101CFD">
        <w:rPr>
          <w:rFonts w:asciiTheme="minorBidi" w:hAnsiTheme="minorBidi"/>
          <w:sz w:val="24"/>
          <w:szCs w:val="24"/>
        </w:rPr>
        <w:t xml:space="preserve">ajority of participants showed their disagreement with the closure of pharmacies </w:t>
      </w:r>
      <w:r>
        <w:rPr>
          <w:rFonts w:asciiTheme="minorBidi" w:hAnsiTheme="minorBidi"/>
          <w:sz w:val="24"/>
          <w:szCs w:val="24"/>
        </w:rPr>
        <w:t xml:space="preserve">in </w:t>
      </w:r>
      <w:r w:rsidRPr="00101CFD">
        <w:rPr>
          <w:rFonts w:asciiTheme="minorBidi" w:hAnsiTheme="minorBidi"/>
          <w:sz w:val="24"/>
          <w:szCs w:val="24"/>
        </w:rPr>
        <w:t>PHC</w:t>
      </w:r>
      <w:r>
        <w:rPr>
          <w:rFonts w:asciiTheme="minorBidi" w:hAnsiTheme="minorBidi"/>
          <w:sz w:val="24"/>
          <w:szCs w:val="24"/>
        </w:rPr>
        <w:t xml:space="preserve">s </w:t>
      </w:r>
      <w:r w:rsidRPr="00101CFD">
        <w:rPr>
          <w:rFonts w:asciiTheme="minorBidi" w:hAnsiTheme="minorBidi"/>
          <w:sz w:val="24"/>
          <w:szCs w:val="24"/>
        </w:rPr>
        <w:t>and the transfer of pharmacy service</w:t>
      </w:r>
      <w:r>
        <w:rPr>
          <w:rFonts w:asciiTheme="minorBidi" w:hAnsiTheme="minorBidi"/>
          <w:sz w:val="24"/>
          <w:szCs w:val="24"/>
        </w:rPr>
        <w:t>s</w:t>
      </w:r>
      <w:r w:rsidRPr="00101CFD">
        <w:rPr>
          <w:rFonts w:asciiTheme="minorBidi" w:hAnsiTheme="minorBidi"/>
          <w:sz w:val="24"/>
          <w:szCs w:val="24"/>
        </w:rPr>
        <w:t xml:space="preserve"> to the retail community pharmacy</w:t>
      </w:r>
      <w:r>
        <w:rPr>
          <w:rFonts w:asciiTheme="minorBidi" w:hAnsiTheme="minorBidi"/>
          <w:sz w:val="24"/>
          <w:szCs w:val="24"/>
        </w:rPr>
        <w:t>.</w:t>
      </w:r>
    </w:p>
    <w:p w14:paraId="4A6AD213" w14:textId="77777777" w:rsidR="00821B82" w:rsidRPr="001F607C" w:rsidRDefault="00821B82" w:rsidP="00821B82">
      <w:pPr>
        <w:spacing w:line="240" w:lineRule="auto"/>
        <w:ind w:left="720"/>
        <w:jc w:val="both"/>
        <w:rPr>
          <w:rFonts w:cstheme="minorHAnsi"/>
          <w:i/>
          <w:iCs/>
          <w:sz w:val="24"/>
          <w:szCs w:val="24"/>
        </w:rPr>
      </w:pPr>
      <w:r>
        <w:rPr>
          <w:rFonts w:cstheme="minorHAnsi"/>
          <w:i/>
          <w:iCs/>
          <w:sz w:val="24"/>
          <w:szCs w:val="24"/>
        </w:rPr>
        <w:t>‘</w:t>
      </w:r>
      <w:r w:rsidRPr="001F607C">
        <w:rPr>
          <w:rFonts w:cstheme="minorHAnsi"/>
          <w:i/>
          <w:iCs/>
          <w:sz w:val="24"/>
          <w:szCs w:val="24"/>
        </w:rPr>
        <w:t>The pharmacist is a great assistant to the doctors and nurses… It is not accepted that pharmacists be taken out of the PHCs.</w:t>
      </w:r>
      <w:r>
        <w:rPr>
          <w:rFonts w:cstheme="minorHAnsi"/>
          <w:i/>
          <w:iCs/>
          <w:sz w:val="24"/>
          <w:szCs w:val="24"/>
        </w:rPr>
        <w:t>’</w:t>
      </w:r>
      <w:r w:rsidRPr="001F607C">
        <w:rPr>
          <w:rFonts w:cstheme="minorHAnsi"/>
          <w:i/>
          <w:iCs/>
          <w:sz w:val="24"/>
          <w:szCs w:val="24"/>
        </w:rPr>
        <w:t>N3</w:t>
      </w:r>
    </w:p>
    <w:p w14:paraId="7F0A0F52"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1F607C">
        <w:rPr>
          <w:rFonts w:cstheme="minorHAnsi"/>
          <w:i/>
          <w:iCs/>
          <w:sz w:val="24"/>
          <w:szCs w:val="24"/>
        </w:rPr>
        <w:t>Closing all pharmacy services from PHCs and moving all pharmacy staff to work in hospitals was not the right approach, in my opinion</w:t>
      </w:r>
      <w:r>
        <w:rPr>
          <w:rFonts w:cstheme="minorHAnsi"/>
          <w:i/>
          <w:iCs/>
          <w:sz w:val="24"/>
          <w:szCs w:val="24"/>
        </w:rPr>
        <w:t>’ Ph1</w:t>
      </w:r>
    </w:p>
    <w:p w14:paraId="3FFAB69F" w14:textId="77777777" w:rsidR="00821B82" w:rsidRPr="00AF680D" w:rsidRDefault="00821B82" w:rsidP="00821B82">
      <w:pPr>
        <w:spacing w:before="240" w:line="360" w:lineRule="auto"/>
        <w:jc w:val="both"/>
        <w:rPr>
          <w:rFonts w:cstheme="minorHAnsi"/>
          <w:i/>
          <w:iCs/>
          <w:sz w:val="24"/>
          <w:szCs w:val="24"/>
        </w:rPr>
      </w:pPr>
      <w:r w:rsidRPr="00AF680D">
        <w:rPr>
          <w:rFonts w:asciiTheme="minorBidi" w:hAnsiTheme="minorBidi"/>
          <w:sz w:val="24"/>
          <w:szCs w:val="24"/>
        </w:rPr>
        <w:t xml:space="preserve">Only one of the participants justified the closure of pharmacies in PHCs as these pharmacies were not considered to provide effective pharmaceutical care to the community as they should be, but their role is primarily limited to dispensing prescriptions; </w:t>
      </w:r>
      <w:r>
        <w:rPr>
          <w:rFonts w:asciiTheme="minorBidi" w:hAnsiTheme="minorBidi"/>
          <w:sz w:val="24"/>
          <w:szCs w:val="24"/>
        </w:rPr>
        <w:t>f</w:t>
      </w:r>
      <w:r w:rsidRPr="00AF680D">
        <w:rPr>
          <w:rFonts w:asciiTheme="minorBidi" w:hAnsiTheme="minorBidi"/>
          <w:sz w:val="24"/>
          <w:szCs w:val="24"/>
        </w:rPr>
        <w:t xml:space="preserve">or this reason, they were closed, and the prescription dispensing service is transferred to the retail community pharmacies as indicated in the following quote. </w:t>
      </w:r>
    </w:p>
    <w:p w14:paraId="103CD917" w14:textId="77777777" w:rsidR="00821B82" w:rsidRPr="00931E68" w:rsidRDefault="00821B82" w:rsidP="00821B82">
      <w:pPr>
        <w:spacing w:line="240" w:lineRule="auto"/>
        <w:ind w:left="720"/>
        <w:jc w:val="both"/>
        <w:rPr>
          <w:rFonts w:cstheme="minorHAnsi"/>
          <w:i/>
          <w:iCs/>
          <w:sz w:val="24"/>
          <w:szCs w:val="24"/>
        </w:rPr>
      </w:pPr>
      <w:r>
        <w:rPr>
          <w:rFonts w:cstheme="minorHAnsi"/>
          <w:i/>
          <w:iCs/>
          <w:sz w:val="24"/>
          <w:szCs w:val="24"/>
        </w:rPr>
        <w:t>‘</w:t>
      </w:r>
      <w:r w:rsidRPr="00931E68">
        <w:rPr>
          <w:rFonts w:cstheme="minorHAnsi"/>
          <w:i/>
          <w:iCs/>
          <w:sz w:val="24"/>
          <w:szCs w:val="24"/>
        </w:rPr>
        <w:t xml:space="preserve">I think policymakers want to activate the clinical role of pharmacists. Since pharmacy services in the PHCs focused on the traditional role of dispensing prescriptions to patients, the policymakers did not find an effective role for primary care pharmacists in providing patient-centred care services. Therefore, the decision was </w:t>
      </w:r>
      <w:r>
        <w:rPr>
          <w:rFonts w:cstheme="minorHAnsi"/>
          <w:i/>
          <w:iCs/>
          <w:sz w:val="24"/>
          <w:szCs w:val="24"/>
        </w:rPr>
        <w:t>made</w:t>
      </w:r>
      <w:r w:rsidRPr="00931E68">
        <w:rPr>
          <w:rFonts w:cstheme="minorHAnsi"/>
          <w:i/>
          <w:iCs/>
          <w:sz w:val="24"/>
          <w:szCs w:val="24"/>
        </w:rPr>
        <w:t xml:space="preserve"> to close this service and replace it with</w:t>
      </w:r>
      <w:r>
        <w:rPr>
          <w:rFonts w:cstheme="minorHAnsi"/>
          <w:i/>
          <w:iCs/>
          <w:sz w:val="24"/>
          <w:szCs w:val="24"/>
        </w:rPr>
        <w:t xml:space="preserve"> retail</w:t>
      </w:r>
      <w:r w:rsidRPr="00931E68">
        <w:rPr>
          <w:rFonts w:cstheme="minorHAnsi"/>
          <w:i/>
          <w:iCs/>
          <w:sz w:val="24"/>
          <w:szCs w:val="24"/>
        </w:rPr>
        <w:t xml:space="preserve"> community pharmacies</w:t>
      </w:r>
      <w:r>
        <w:rPr>
          <w:rFonts w:cstheme="minorHAnsi"/>
          <w:i/>
          <w:iCs/>
          <w:sz w:val="24"/>
          <w:szCs w:val="24"/>
        </w:rPr>
        <w:t>’ Ph1</w:t>
      </w:r>
    </w:p>
    <w:p w14:paraId="09610D58" w14:textId="77777777" w:rsidR="00821B82" w:rsidRDefault="00821B82" w:rsidP="00821B82">
      <w:pPr>
        <w:spacing w:before="240" w:line="360" w:lineRule="auto"/>
        <w:jc w:val="both"/>
        <w:rPr>
          <w:rFonts w:asciiTheme="minorBidi" w:hAnsiTheme="minorBidi"/>
          <w:sz w:val="24"/>
          <w:szCs w:val="24"/>
        </w:rPr>
      </w:pPr>
      <w:r w:rsidRPr="001D1523">
        <w:rPr>
          <w:rFonts w:asciiTheme="minorBidi" w:hAnsiTheme="minorBidi"/>
          <w:sz w:val="24"/>
          <w:szCs w:val="24"/>
        </w:rPr>
        <w:t>However, participants commented that the current situation has worsened:</w:t>
      </w:r>
    </w:p>
    <w:p w14:paraId="6B498F1B" w14:textId="77777777" w:rsidR="00821B82" w:rsidRPr="0042386B" w:rsidRDefault="00821B82" w:rsidP="00821B82">
      <w:pPr>
        <w:spacing w:line="240" w:lineRule="auto"/>
        <w:ind w:left="720"/>
        <w:jc w:val="both"/>
        <w:rPr>
          <w:rFonts w:cstheme="minorHAnsi"/>
          <w:i/>
          <w:iCs/>
          <w:sz w:val="24"/>
          <w:szCs w:val="24"/>
          <w:rtl/>
        </w:rPr>
      </w:pPr>
      <w:r>
        <w:rPr>
          <w:rFonts w:cstheme="minorHAnsi"/>
          <w:i/>
          <w:iCs/>
          <w:sz w:val="24"/>
          <w:szCs w:val="24"/>
        </w:rPr>
        <w:t>‘</w:t>
      </w:r>
      <w:r w:rsidRPr="00AF059E">
        <w:rPr>
          <w:rFonts w:cstheme="minorHAnsi"/>
          <w:i/>
          <w:iCs/>
          <w:sz w:val="24"/>
          <w:szCs w:val="24"/>
        </w:rPr>
        <w:t xml:space="preserve">The situation became worse, if there </w:t>
      </w:r>
      <w:r>
        <w:rPr>
          <w:rFonts w:cstheme="minorHAnsi"/>
          <w:i/>
          <w:iCs/>
          <w:sz w:val="24"/>
          <w:szCs w:val="24"/>
        </w:rPr>
        <w:t>is</w:t>
      </w:r>
      <w:r w:rsidRPr="00AF059E">
        <w:rPr>
          <w:rFonts w:cstheme="minorHAnsi"/>
          <w:i/>
          <w:iCs/>
          <w:sz w:val="24"/>
          <w:szCs w:val="24"/>
        </w:rPr>
        <w:t xml:space="preserve"> a pharmacist in the centre, </w:t>
      </w:r>
      <w:r>
        <w:rPr>
          <w:rFonts w:cstheme="minorHAnsi"/>
          <w:i/>
          <w:iCs/>
          <w:sz w:val="24"/>
          <w:szCs w:val="24"/>
        </w:rPr>
        <w:t>it</w:t>
      </w:r>
      <w:r w:rsidRPr="00AF059E">
        <w:rPr>
          <w:rFonts w:cstheme="minorHAnsi"/>
          <w:i/>
          <w:iCs/>
          <w:sz w:val="24"/>
          <w:szCs w:val="24"/>
        </w:rPr>
        <w:t xml:space="preserve"> would have been better coordination, but now there is no coordination at all. This is one of the downsides of closing the </w:t>
      </w:r>
      <w:r>
        <w:rPr>
          <w:rFonts w:cstheme="minorHAnsi"/>
          <w:i/>
          <w:iCs/>
          <w:sz w:val="24"/>
          <w:szCs w:val="24"/>
        </w:rPr>
        <w:t>PHC</w:t>
      </w:r>
      <w:r w:rsidRPr="00AF059E">
        <w:rPr>
          <w:rFonts w:cstheme="minorHAnsi"/>
          <w:i/>
          <w:iCs/>
          <w:sz w:val="24"/>
          <w:szCs w:val="24"/>
        </w:rPr>
        <w:t xml:space="preserve"> pharmacy</w:t>
      </w:r>
      <w:r>
        <w:rPr>
          <w:rFonts w:cstheme="minorHAnsi"/>
          <w:i/>
          <w:iCs/>
          <w:sz w:val="24"/>
          <w:szCs w:val="24"/>
        </w:rPr>
        <w:t>’ N</w:t>
      </w:r>
      <w:r w:rsidRPr="00AF059E">
        <w:rPr>
          <w:rFonts w:cstheme="minorHAnsi"/>
          <w:i/>
          <w:iCs/>
          <w:sz w:val="24"/>
          <w:szCs w:val="24"/>
        </w:rPr>
        <w:t>3</w:t>
      </w:r>
    </w:p>
    <w:p w14:paraId="0003EA1C" w14:textId="77777777" w:rsidR="00821B82" w:rsidRDefault="00821B82" w:rsidP="00821B82">
      <w:pPr>
        <w:spacing w:before="240" w:line="360" w:lineRule="auto"/>
        <w:jc w:val="both"/>
        <w:rPr>
          <w:rFonts w:asciiTheme="minorBidi" w:eastAsiaTheme="minorEastAsia" w:hAnsiTheme="minorBidi"/>
          <w:b/>
          <w:bCs/>
          <w:sz w:val="24"/>
          <w:szCs w:val="24"/>
          <w:lang w:eastAsia="en-GB"/>
        </w:rPr>
      </w:pPr>
      <w:r>
        <w:rPr>
          <w:rFonts w:asciiTheme="minorBidi" w:hAnsiTheme="minorBidi"/>
          <w:sz w:val="24"/>
          <w:szCs w:val="24"/>
        </w:rPr>
        <w:t>The participants</w:t>
      </w:r>
      <w:r w:rsidRPr="002C1C51">
        <w:rPr>
          <w:rFonts w:asciiTheme="minorBidi" w:hAnsiTheme="minorBidi"/>
          <w:sz w:val="24"/>
          <w:szCs w:val="24"/>
        </w:rPr>
        <w:t xml:space="preserve"> voiced</w:t>
      </w:r>
      <w:r>
        <w:rPr>
          <w:rFonts w:asciiTheme="minorBidi" w:hAnsiTheme="minorBidi"/>
          <w:sz w:val="24"/>
          <w:szCs w:val="24"/>
        </w:rPr>
        <w:t xml:space="preserve"> </w:t>
      </w:r>
      <w:r w:rsidRPr="002C1C51">
        <w:rPr>
          <w:rFonts w:asciiTheme="minorBidi" w:hAnsiTheme="minorBidi"/>
          <w:sz w:val="24"/>
          <w:szCs w:val="24"/>
        </w:rPr>
        <w:t xml:space="preserve">concerns about </w:t>
      </w:r>
      <w:r w:rsidRPr="00101CFD">
        <w:rPr>
          <w:rFonts w:asciiTheme="minorBidi" w:hAnsiTheme="minorBidi"/>
          <w:sz w:val="24"/>
          <w:szCs w:val="24"/>
        </w:rPr>
        <w:t xml:space="preserve">the current </w:t>
      </w:r>
      <w:r>
        <w:rPr>
          <w:rFonts w:asciiTheme="minorBidi" w:hAnsiTheme="minorBidi"/>
          <w:sz w:val="24"/>
          <w:szCs w:val="24"/>
        </w:rPr>
        <w:t>pharmacy</w:t>
      </w:r>
      <w:r w:rsidRPr="00101CFD">
        <w:rPr>
          <w:rFonts w:asciiTheme="minorBidi" w:hAnsiTheme="minorBidi"/>
          <w:sz w:val="24"/>
          <w:szCs w:val="24"/>
        </w:rPr>
        <w:t xml:space="preserve"> practice in the retail community pharmacies</w:t>
      </w:r>
      <w:r w:rsidRPr="004A6A5E">
        <w:rPr>
          <w:rFonts w:asciiTheme="minorBidi" w:eastAsiaTheme="minorEastAsia" w:hAnsiTheme="minorBidi"/>
          <w:sz w:val="24"/>
          <w:szCs w:val="24"/>
          <w:lang w:eastAsia="en-GB"/>
        </w:rPr>
        <w:t>. A number of issues were reported in the pharmacy practice there. The next sub-theme of the findings, therefore, is concerned with shifting pharmacy services to the retail community pharmacies</w:t>
      </w:r>
      <w:r>
        <w:rPr>
          <w:rFonts w:asciiTheme="minorBidi" w:eastAsiaTheme="minorEastAsia" w:hAnsiTheme="minorBidi"/>
          <w:sz w:val="24"/>
          <w:szCs w:val="24"/>
          <w:lang w:eastAsia="en-GB"/>
        </w:rPr>
        <w:t>.</w:t>
      </w:r>
    </w:p>
    <w:p w14:paraId="3138EBD8" w14:textId="77777777" w:rsidR="00821B82" w:rsidRPr="00F44D14" w:rsidRDefault="00821B82" w:rsidP="00F44D14">
      <w:pPr>
        <w:pStyle w:val="Heading4"/>
        <w:numPr>
          <w:ilvl w:val="3"/>
          <w:numId w:val="14"/>
        </w:numPr>
        <w:tabs>
          <w:tab w:val="left" w:pos="720"/>
        </w:tabs>
        <w:spacing w:after="240" w:line="240" w:lineRule="auto"/>
        <w:ind w:left="810" w:hanging="810"/>
        <w:rPr>
          <w:rFonts w:asciiTheme="minorBidi" w:eastAsiaTheme="minorEastAsia" w:hAnsiTheme="minorBidi" w:cstheme="minorBidi"/>
          <w:lang w:eastAsia="en-GB"/>
        </w:rPr>
      </w:pPr>
      <w:r w:rsidRPr="00F44D14">
        <w:rPr>
          <w:rFonts w:asciiTheme="minorBidi" w:eastAsiaTheme="minorEastAsia" w:hAnsiTheme="minorBidi" w:cstheme="minorBidi"/>
          <w:lang w:eastAsia="en-GB"/>
        </w:rPr>
        <w:t xml:space="preserve"> </w:t>
      </w:r>
      <w:r w:rsidRPr="00F44D14">
        <w:rPr>
          <w:rFonts w:asciiTheme="minorBidi" w:hAnsiTheme="minorBidi" w:cstheme="minorBidi"/>
          <w:sz w:val="24"/>
          <w:szCs w:val="24"/>
          <w:lang w:eastAsia="en-GB"/>
        </w:rPr>
        <w:t>Concerns over shifting of pharmacy services to the retail community pharmacies</w:t>
      </w:r>
    </w:p>
    <w:p w14:paraId="6FBC95BC"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eastAsiaTheme="minorEastAsia" w:hAnsiTheme="minorBidi"/>
          <w:sz w:val="24"/>
          <w:szCs w:val="24"/>
          <w:lang w:eastAsia="en-GB"/>
        </w:rPr>
      </w:pPr>
      <w:r w:rsidRPr="00B52BDE">
        <w:rPr>
          <w:rFonts w:asciiTheme="minorBidi" w:eastAsiaTheme="minorEastAsia" w:hAnsiTheme="minorBidi"/>
          <w:sz w:val="24"/>
          <w:szCs w:val="24"/>
          <w:lang w:eastAsia="en-GB"/>
        </w:rPr>
        <w:t>Participants explicitly expressed concern about shifting pharmacy services to the retail community pharmacies. The</w:t>
      </w:r>
      <w:r>
        <w:rPr>
          <w:rFonts w:asciiTheme="minorBidi" w:eastAsiaTheme="minorEastAsia" w:hAnsiTheme="minorBidi"/>
          <w:sz w:val="24"/>
          <w:szCs w:val="24"/>
          <w:lang w:eastAsia="en-GB"/>
        </w:rPr>
        <w:t xml:space="preserve">y </w:t>
      </w:r>
      <w:r w:rsidRPr="00B52BDE">
        <w:rPr>
          <w:rFonts w:asciiTheme="minorBidi" w:eastAsiaTheme="minorEastAsia" w:hAnsiTheme="minorBidi"/>
          <w:sz w:val="24"/>
          <w:szCs w:val="24"/>
          <w:lang w:eastAsia="en-GB"/>
        </w:rPr>
        <w:t xml:space="preserve">raised several issues related to the safety culture of current pharmacy practice in retail community pharmacies and patient safety. </w:t>
      </w:r>
    </w:p>
    <w:p w14:paraId="30C933EA" w14:textId="77777777" w:rsidR="00821B82" w:rsidRPr="00F44D14" w:rsidRDefault="00821B82" w:rsidP="00821B82">
      <w:pPr>
        <w:pStyle w:val="Heading5"/>
        <w:spacing w:line="360" w:lineRule="auto"/>
        <w:rPr>
          <w:rFonts w:asciiTheme="minorBidi" w:eastAsiaTheme="minorEastAsia" w:hAnsiTheme="minorBidi" w:cstheme="minorBidi"/>
          <w:sz w:val="24"/>
          <w:szCs w:val="24"/>
          <w:lang w:eastAsia="en-GB"/>
        </w:rPr>
      </w:pPr>
      <w:r w:rsidRPr="00F44D14">
        <w:rPr>
          <w:rFonts w:asciiTheme="minorBidi" w:eastAsiaTheme="minorEastAsia" w:hAnsiTheme="minorBidi" w:cstheme="minorBidi"/>
          <w:sz w:val="24"/>
          <w:szCs w:val="24"/>
          <w:lang w:eastAsia="en-GB"/>
        </w:rPr>
        <w:t xml:space="preserve">Safety culture and patient safety </w:t>
      </w:r>
    </w:p>
    <w:p w14:paraId="31D95560"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eastAsiaTheme="minorEastAsia" w:hAnsiTheme="minorBidi"/>
          <w:sz w:val="24"/>
          <w:szCs w:val="24"/>
          <w:lang w:eastAsia="en-GB"/>
        </w:rPr>
      </w:pPr>
      <w:r w:rsidRPr="00814DE5">
        <w:rPr>
          <w:rFonts w:asciiTheme="minorBidi" w:eastAsiaTheme="minorEastAsia" w:hAnsiTheme="minorBidi"/>
          <w:sz w:val="24"/>
          <w:szCs w:val="24"/>
          <w:lang w:eastAsia="en-GB"/>
        </w:rPr>
        <w:t xml:space="preserve">Participants explicitly expressed concern that shifting pharmacy services to the retail community pharmacies was a patient safety threat, given that the current practice in retail community pharmacies is more business-based than patient-centred practice. </w:t>
      </w:r>
      <w:r w:rsidRPr="00A8282D">
        <w:rPr>
          <w:rFonts w:asciiTheme="minorBidi" w:eastAsiaTheme="minorEastAsia" w:hAnsiTheme="minorBidi"/>
          <w:sz w:val="24"/>
          <w:szCs w:val="24"/>
          <w:lang w:eastAsia="en-GB"/>
        </w:rPr>
        <w:t>They indicated that it affected the safety of their patients.</w:t>
      </w:r>
    </w:p>
    <w:p w14:paraId="79AD14A5" w14:textId="77777777" w:rsidR="00821B82" w:rsidRPr="008241DD" w:rsidRDefault="00821B82" w:rsidP="00821B82">
      <w:pPr>
        <w:tabs>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cstheme="minorHAnsi"/>
          <w:i/>
          <w:iCs/>
          <w:sz w:val="24"/>
          <w:szCs w:val="24"/>
        </w:rPr>
      </w:pPr>
      <w:r>
        <w:rPr>
          <w:rFonts w:cstheme="minorHAnsi"/>
          <w:i/>
          <w:iCs/>
          <w:sz w:val="24"/>
          <w:szCs w:val="24"/>
        </w:rPr>
        <w:t>‘</w:t>
      </w:r>
      <w:r w:rsidRPr="000B084B">
        <w:rPr>
          <w:rFonts w:cstheme="minorHAnsi"/>
          <w:i/>
          <w:iCs/>
          <w:sz w:val="24"/>
          <w:szCs w:val="24"/>
        </w:rPr>
        <w:t>The pharmacist gives me the treatment, as if I were buying grocery items, exactly doesn't act like a pharmacist; not once did he give me instructions regarding my treatment</w:t>
      </w:r>
      <w:r>
        <w:rPr>
          <w:rFonts w:cstheme="minorHAnsi"/>
          <w:i/>
          <w:iCs/>
          <w:sz w:val="24"/>
          <w:szCs w:val="24"/>
        </w:rPr>
        <w:t>’</w:t>
      </w:r>
      <w:r w:rsidRPr="000B084B">
        <w:rPr>
          <w:rFonts w:cstheme="minorHAnsi"/>
          <w:i/>
          <w:iCs/>
          <w:sz w:val="24"/>
          <w:szCs w:val="24"/>
        </w:rPr>
        <w:t xml:space="preserve"> N2</w:t>
      </w:r>
    </w:p>
    <w:p w14:paraId="7FFDF6CC" w14:textId="77777777" w:rsidR="00821B82" w:rsidRDefault="00821B82" w:rsidP="00821B82">
      <w:pPr>
        <w:spacing w:before="240" w:line="360" w:lineRule="auto"/>
        <w:jc w:val="both"/>
        <w:rPr>
          <w:rFonts w:asciiTheme="minorBidi" w:eastAsiaTheme="minorEastAsia" w:hAnsiTheme="minorBidi"/>
          <w:sz w:val="24"/>
          <w:szCs w:val="24"/>
          <w:lang w:eastAsia="en-GB"/>
        </w:rPr>
      </w:pPr>
      <w:r w:rsidRPr="005E1565">
        <w:rPr>
          <w:rFonts w:asciiTheme="minorBidi" w:eastAsiaTheme="minorEastAsia" w:hAnsiTheme="minorBidi"/>
          <w:sz w:val="24"/>
          <w:szCs w:val="24"/>
          <w:lang w:eastAsia="en-GB"/>
        </w:rPr>
        <w:t>There were also some more negative comments about pharmacists' role in retail community pharmacies</w:t>
      </w:r>
      <w:r>
        <w:rPr>
          <w:rFonts w:asciiTheme="minorBidi" w:eastAsiaTheme="minorEastAsia" w:hAnsiTheme="minorBidi"/>
          <w:sz w:val="24"/>
          <w:szCs w:val="24"/>
          <w:lang w:eastAsia="en-GB"/>
        </w:rPr>
        <w:t>.</w:t>
      </w:r>
      <w:r w:rsidRPr="005E1565">
        <w:rPr>
          <w:rFonts w:asciiTheme="minorBidi" w:eastAsiaTheme="minorEastAsia" w:hAnsiTheme="minorBidi"/>
          <w:sz w:val="24"/>
          <w:szCs w:val="24"/>
          <w:lang w:eastAsia="en-GB"/>
        </w:rPr>
        <w:t xml:space="preserve"> Their role is limited to dispensing medical prescriptions to patients, and they do not engage in </w:t>
      </w:r>
      <w:r>
        <w:rPr>
          <w:rFonts w:asciiTheme="minorBidi" w:eastAsiaTheme="minorEastAsia" w:hAnsiTheme="minorBidi"/>
          <w:sz w:val="24"/>
          <w:szCs w:val="24"/>
          <w:lang w:eastAsia="en-GB"/>
        </w:rPr>
        <w:t xml:space="preserve">addressing </w:t>
      </w:r>
      <w:r w:rsidRPr="005E1565">
        <w:rPr>
          <w:rFonts w:asciiTheme="minorBidi" w:eastAsiaTheme="minorEastAsia" w:hAnsiTheme="minorBidi"/>
          <w:sz w:val="24"/>
          <w:szCs w:val="24"/>
          <w:lang w:eastAsia="en-GB"/>
        </w:rPr>
        <w:t>the consumers' health. Interviewees described that as:</w:t>
      </w:r>
    </w:p>
    <w:p w14:paraId="4CF1EFDD" w14:textId="77777777" w:rsidR="00821B82" w:rsidRPr="000B084B" w:rsidRDefault="00821B82" w:rsidP="00821B82">
      <w:pPr>
        <w:spacing w:line="240" w:lineRule="auto"/>
        <w:ind w:left="630"/>
        <w:jc w:val="both"/>
        <w:rPr>
          <w:rFonts w:cstheme="minorHAnsi"/>
          <w:i/>
          <w:iCs/>
          <w:sz w:val="24"/>
          <w:szCs w:val="24"/>
        </w:rPr>
      </w:pPr>
      <w:r>
        <w:rPr>
          <w:rFonts w:cstheme="minorHAnsi"/>
          <w:i/>
          <w:iCs/>
          <w:sz w:val="24"/>
          <w:szCs w:val="24"/>
        </w:rPr>
        <w:t>‘</w:t>
      </w:r>
      <w:r w:rsidRPr="000B084B">
        <w:rPr>
          <w:rFonts w:cstheme="minorHAnsi"/>
          <w:i/>
          <w:iCs/>
          <w:sz w:val="24"/>
          <w:szCs w:val="24"/>
        </w:rPr>
        <w:t>They practi</w:t>
      </w:r>
      <w:r>
        <w:rPr>
          <w:rFonts w:cstheme="minorHAnsi"/>
          <w:i/>
          <w:iCs/>
          <w:sz w:val="24"/>
          <w:szCs w:val="24"/>
        </w:rPr>
        <w:t>s</w:t>
      </w:r>
      <w:r w:rsidRPr="000B084B">
        <w:rPr>
          <w:rFonts w:cstheme="minorHAnsi"/>
          <w:i/>
          <w:iCs/>
          <w:sz w:val="24"/>
          <w:szCs w:val="24"/>
        </w:rPr>
        <w:t>e only as dispensing pharmacists; they dispense prescriptions without knowing the patient's diagnosis or any other patient's health condition. The dispenser in the retail community pharmacy does not care. His job seems to be limited to handing out to patients their medications</w:t>
      </w:r>
      <w:r>
        <w:rPr>
          <w:rFonts w:cstheme="minorHAnsi"/>
          <w:i/>
          <w:iCs/>
          <w:sz w:val="24"/>
          <w:szCs w:val="24"/>
        </w:rPr>
        <w:t>.’</w:t>
      </w:r>
      <w:r w:rsidRPr="000B084B">
        <w:rPr>
          <w:rFonts w:cstheme="minorHAnsi"/>
          <w:i/>
          <w:iCs/>
          <w:sz w:val="24"/>
          <w:szCs w:val="24"/>
        </w:rPr>
        <w:t>Ph1</w:t>
      </w:r>
    </w:p>
    <w:p w14:paraId="788BBF95"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3A23B3">
        <w:rPr>
          <w:rFonts w:cstheme="minorHAnsi"/>
          <w:i/>
          <w:iCs/>
          <w:sz w:val="24"/>
          <w:szCs w:val="24"/>
        </w:rPr>
        <w:t>Pharmacists in community pharmacies are just dispensers</w:t>
      </w:r>
      <w:r>
        <w:rPr>
          <w:rFonts w:cstheme="minorHAnsi"/>
          <w:i/>
          <w:iCs/>
          <w:sz w:val="24"/>
          <w:szCs w:val="24"/>
        </w:rPr>
        <w:t xml:space="preserve"> […]</w:t>
      </w:r>
      <w:r w:rsidRPr="003A23B3">
        <w:rPr>
          <w:rFonts w:cstheme="minorHAnsi"/>
          <w:i/>
          <w:iCs/>
          <w:sz w:val="24"/>
          <w:szCs w:val="24"/>
        </w:rPr>
        <w:t xml:space="preserve"> most of the time, they give the medication to the patient without any instructions written on it, even how to use it.</w:t>
      </w:r>
      <w:r>
        <w:rPr>
          <w:rFonts w:cstheme="minorHAnsi"/>
          <w:i/>
          <w:iCs/>
          <w:sz w:val="24"/>
          <w:szCs w:val="24"/>
        </w:rPr>
        <w:t>’Ph3</w:t>
      </w:r>
    </w:p>
    <w:p w14:paraId="2441B037" w14:textId="77777777" w:rsidR="00821B82" w:rsidRDefault="00821B82" w:rsidP="00821B82">
      <w:pPr>
        <w:spacing w:before="240" w:line="360" w:lineRule="auto"/>
        <w:jc w:val="both"/>
        <w:rPr>
          <w:rFonts w:asciiTheme="minorBidi" w:hAnsiTheme="minorBidi"/>
          <w:sz w:val="24"/>
          <w:szCs w:val="24"/>
        </w:rPr>
      </w:pPr>
      <w:r w:rsidRPr="00625ED4">
        <w:rPr>
          <w:rFonts w:asciiTheme="minorBidi" w:hAnsiTheme="minorBidi"/>
          <w:sz w:val="24"/>
          <w:szCs w:val="24"/>
        </w:rPr>
        <w:t>When talking about current poor pharmaceutical practices in retail community pharmacies, suggestions were made by some of those interviewed to improve service there. Th</w:t>
      </w:r>
      <w:r>
        <w:rPr>
          <w:rFonts w:asciiTheme="minorBidi" w:hAnsiTheme="minorBidi"/>
          <w:sz w:val="24"/>
          <w:szCs w:val="24"/>
        </w:rPr>
        <w:t>ese</w:t>
      </w:r>
      <w:r w:rsidRPr="00625ED4">
        <w:rPr>
          <w:rFonts w:asciiTheme="minorBidi" w:hAnsiTheme="minorBidi"/>
          <w:sz w:val="24"/>
          <w:szCs w:val="24"/>
        </w:rPr>
        <w:t xml:space="preserve"> include</w:t>
      </w:r>
      <w:r>
        <w:rPr>
          <w:rFonts w:asciiTheme="minorBidi" w:hAnsiTheme="minorBidi"/>
          <w:sz w:val="24"/>
          <w:szCs w:val="24"/>
        </w:rPr>
        <w:t>d</w:t>
      </w:r>
      <w:r w:rsidRPr="00625ED4">
        <w:rPr>
          <w:rFonts w:asciiTheme="minorBidi" w:hAnsiTheme="minorBidi"/>
          <w:sz w:val="24"/>
          <w:szCs w:val="24"/>
        </w:rPr>
        <w:t xml:space="preserve"> extensive supervision and close monitoring of retail community pharmacy work by the supervisory authorities of the Saudi </w:t>
      </w:r>
      <w:r>
        <w:rPr>
          <w:rFonts w:asciiTheme="minorBidi" w:hAnsiTheme="minorBidi"/>
          <w:sz w:val="24"/>
          <w:szCs w:val="24"/>
        </w:rPr>
        <w:t>MoH</w:t>
      </w:r>
      <w:r w:rsidRPr="00625ED4">
        <w:rPr>
          <w:rFonts w:asciiTheme="minorBidi" w:hAnsiTheme="minorBidi"/>
          <w:sz w:val="24"/>
          <w:szCs w:val="24"/>
        </w:rPr>
        <w:t xml:space="preserve"> and the employment of well-trained qualified pharmacists to provide advanced pharmacy practice focused on a patient-centred approach rather than a product-focused approach.</w:t>
      </w:r>
    </w:p>
    <w:p w14:paraId="0711F5D7" w14:textId="77777777" w:rsidR="00821B82" w:rsidRPr="001A5189" w:rsidRDefault="00821B82" w:rsidP="00821B82">
      <w:pPr>
        <w:spacing w:line="240" w:lineRule="auto"/>
        <w:ind w:left="720"/>
        <w:jc w:val="both"/>
        <w:rPr>
          <w:rFonts w:cstheme="minorHAnsi"/>
          <w:i/>
          <w:iCs/>
          <w:sz w:val="24"/>
          <w:szCs w:val="24"/>
        </w:rPr>
      </w:pPr>
      <w:r>
        <w:rPr>
          <w:rFonts w:cstheme="minorHAnsi"/>
          <w:i/>
          <w:iCs/>
          <w:sz w:val="24"/>
          <w:szCs w:val="24"/>
        </w:rPr>
        <w:t>‘A</w:t>
      </w:r>
      <w:r w:rsidRPr="003879EB">
        <w:rPr>
          <w:rFonts w:cstheme="minorHAnsi"/>
          <w:i/>
          <w:iCs/>
          <w:sz w:val="24"/>
          <w:szCs w:val="24"/>
        </w:rPr>
        <w:t>t least there is oversight of pharmacy practice in community pharmacies</w:t>
      </w:r>
      <w:r>
        <w:rPr>
          <w:rFonts w:cstheme="minorHAnsi"/>
          <w:i/>
          <w:iCs/>
          <w:sz w:val="24"/>
          <w:szCs w:val="24"/>
        </w:rPr>
        <w:t>…</w:t>
      </w:r>
      <w:r w:rsidRPr="00B23BA4">
        <w:rPr>
          <w:rFonts w:cstheme="minorHAnsi"/>
          <w:i/>
          <w:iCs/>
          <w:sz w:val="24"/>
          <w:szCs w:val="24"/>
        </w:rPr>
        <w:t>I hope qualified pharmacists will be assigned to community pharmacies to take care of patients, especially patients with chronic diseases.</w:t>
      </w:r>
      <w:r>
        <w:rPr>
          <w:rFonts w:cstheme="minorHAnsi"/>
          <w:i/>
          <w:iCs/>
          <w:sz w:val="24"/>
          <w:szCs w:val="24"/>
        </w:rPr>
        <w:t>’ Ph1</w:t>
      </w:r>
    </w:p>
    <w:p w14:paraId="5710F3FF" w14:textId="77777777" w:rsidR="00821B82" w:rsidRDefault="00821B82" w:rsidP="00821B82">
      <w:pPr>
        <w:spacing w:before="240" w:line="360" w:lineRule="auto"/>
        <w:jc w:val="both"/>
        <w:rPr>
          <w:rFonts w:asciiTheme="minorBidi" w:hAnsiTheme="minorBidi"/>
          <w:sz w:val="24"/>
          <w:szCs w:val="24"/>
        </w:rPr>
      </w:pPr>
      <w:r w:rsidRPr="00290C06">
        <w:rPr>
          <w:rFonts w:asciiTheme="minorBidi" w:hAnsiTheme="minorBidi"/>
          <w:sz w:val="24"/>
          <w:szCs w:val="24"/>
        </w:rPr>
        <w:t>However, completely different opinion</w:t>
      </w:r>
      <w:r>
        <w:rPr>
          <w:rFonts w:asciiTheme="minorBidi" w:hAnsiTheme="minorBidi"/>
          <w:sz w:val="24"/>
          <w:szCs w:val="24"/>
        </w:rPr>
        <w:t>s were noted</w:t>
      </w:r>
      <w:r w:rsidRPr="00290C06">
        <w:rPr>
          <w:rFonts w:asciiTheme="minorBidi" w:hAnsiTheme="minorBidi"/>
          <w:sz w:val="24"/>
          <w:szCs w:val="24"/>
        </w:rPr>
        <w:t xml:space="preserve"> from th</w:t>
      </w:r>
      <w:r>
        <w:rPr>
          <w:rFonts w:asciiTheme="minorBidi" w:hAnsiTheme="minorBidi"/>
          <w:sz w:val="24"/>
          <w:szCs w:val="24"/>
        </w:rPr>
        <w:t>os</w:t>
      </w:r>
      <w:r w:rsidRPr="00290C06">
        <w:rPr>
          <w:rFonts w:asciiTheme="minorBidi" w:hAnsiTheme="minorBidi"/>
          <w:sz w:val="24"/>
          <w:szCs w:val="24"/>
        </w:rPr>
        <w:t xml:space="preserve">e </w:t>
      </w:r>
      <w:r>
        <w:rPr>
          <w:rFonts w:asciiTheme="minorBidi" w:hAnsiTheme="minorBidi"/>
          <w:sz w:val="24"/>
          <w:szCs w:val="24"/>
        </w:rPr>
        <w:t xml:space="preserve">of </w:t>
      </w:r>
      <w:r w:rsidRPr="00290C06">
        <w:rPr>
          <w:rFonts w:asciiTheme="minorBidi" w:hAnsiTheme="minorBidi"/>
          <w:sz w:val="24"/>
          <w:szCs w:val="24"/>
        </w:rPr>
        <w:t>participants who critici</w:t>
      </w:r>
      <w:r>
        <w:rPr>
          <w:rFonts w:asciiTheme="minorBidi" w:hAnsiTheme="minorBidi"/>
          <w:sz w:val="24"/>
          <w:szCs w:val="24"/>
        </w:rPr>
        <w:t>s</w:t>
      </w:r>
      <w:r w:rsidRPr="00290C06">
        <w:rPr>
          <w:rFonts w:asciiTheme="minorBidi" w:hAnsiTheme="minorBidi"/>
          <w:sz w:val="24"/>
          <w:szCs w:val="24"/>
        </w:rPr>
        <w:t>ed the practice of dispensing</w:t>
      </w:r>
      <w:r>
        <w:rPr>
          <w:rFonts w:asciiTheme="minorBidi" w:hAnsiTheme="minorBidi"/>
          <w:sz w:val="24"/>
          <w:szCs w:val="24"/>
        </w:rPr>
        <w:t xml:space="preserve"> </w:t>
      </w:r>
      <w:r w:rsidRPr="00290C06">
        <w:rPr>
          <w:rFonts w:asciiTheme="minorBidi" w:hAnsiTheme="minorBidi"/>
          <w:sz w:val="24"/>
          <w:szCs w:val="24"/>
        </w:rPr>
        <w:t xml:space="preserve">prescriptions </w:t>
      </w:r>
      <w:r>
        <w:rPr>
          <w:rFonts w:asciiTheme="minorBidi" w:hAnsiTheme="minorBidi"/>
          <w:sz w:val="24"/>
          <w:szCs w:val="24"/>
        </w:rPr>
        <w:t xml:space="preserve">by </w:t>
      </w:r>
      <w:r w:rsidRPr="00290C06">
        <w:rPr>
          <w:rFonts w:asciiTheme="minorBidi" w:hAnsiTheme="minorBidi"/>
          <w:sz w:val="24"/>
          <w:szCs w:val="24"/>
        </w:rPr>
        <w:t xml:space="preserve">community pharmacists that </w:t>
      </w:r>
      <w:r>
        <w:rPr>
          <w:rFonts w:asciiTheme="minorBidi" w:hAnsiTheme="minorBidi"/>
          <w:sz w:val="24"/>
          <w:szCs w:val="24"/>
        </w:rPr>
        <w:t xml:space="preserve">have </w:t>
      </w:r>
      <w:r w:rsidRPr="00290C06">
        <w:rPr>
          <w:rFonts w:asciiTheme="minorBidi" w:hAnsiTheme="minorBidi"/>
          <w:sz w:val="24"/>
          <w:szCs w:val="24"/>
        </w:rPr>
        <w:t xml:space="preserve">come from </w:t>
      </w:r>
      <w:r>
        <w:rPr>
          <w:rFonts w:asciiTheme="minorBidi" w:hAnsiTheme="minorBidi"/>
          <w:sz w:val="24"/>
          <w:szCs w:val="24"/>
        </w:rPr>
        <w:t>PHCs</w:t>
      </w:r>
      <w:r w:rsidRPr="00290C06">
        <w:rPr>
          <w:rFonts w:asciiTheme="minorBidi" w:hAnsiTheme="minorBidi"/>
          <w:sz w:val="24"/>
          <w:szCs w:val="24"/>
        </w:rPr>
        <w:t xml:space="preserve"> and their lack of professionalism in delivering this service. Surprisingly, one interviewee raised those pharmacists in community</w:t>
      </w:r>
      <w:r>
        <w:rPr>
          <w:rFonts w:asciiTheme="minorBidi" w:hAnsiTheme="minorBidi"/>
          <w:sz w:val="24"/>
          <w:szCs w:val="24"/>
        </w:rPr>
        <w:t xml:space="preserve"> retail </w:t>
      </w:r>
      <w:r w:rsidRPr="00290C06">
        <w:rPr>
          <w:rFonts w:asciiTheme="minorBidi" w:hAnsiTheme="minorBidi"/>
          <w:sz w:val="24"/>
          <w:szCs w:val="24"/>
        </w:rPr>
        <w:t xml:space="preserve">pharmacies are autonomous/independent </w:t>
      </w:r>
      <w:r>
        <w:rPr>
          <w:rFonts w:asciiTheme="minorBidi" w:hAnsiTheme="minorBidi"/>
          <w:sz w:val="24"/>
          <w:szCs w:val="24"/>
        </w:rPr>
        <w:t>HCPs</w:t>
      </w:r>
      <w:r w:rsidRPr="00290C06">
        <w:rPr>
          <w:rFonts w:asciiTheme="minorBidi" w:hAnsiTheme="minorBidi"/>
          <w:sz w:val="24"/>
          <w:szCs w:val="24"/>
        </w:rPr>
        <w:t xml:space="preserve"> and have general health care skills. They can treat minor ailments, and many patients go to them for advice, trusting their treatment. This inconsistency in service provision raises many questions that require more in-depth exploratory study.</w:t>
      </w:r>
    </w:p>
    <w:p w14:paraId="406D74FF"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A27231">
        <w:rPr>
          <w:rFonts w:cstheme="minorHAnsi"/>
          <w:i/>
          <w:iCs/>
          <w:sz w:val="24"/>
          <w:szCs w:val="24"/>
        </w:rPr>
        <w:t xml:space="preserve">There are people who do not go to the doctor for treatment; </w:t>
      </w:r>
      <w:r>
        <w:rPr>
          <w:rFonts w:cstheme="minorHAnsi"/>
          <w:i/>
          <w:iCs/>
          <w:sz w:val="24"/>
          <w:szCs w:val="24"/>
        </w:rPr>
        <w:t>t</w:t>
      </w:r>
      <w:r w:rsidRPr="00A27231">
        <w:rPr>
          <w:rFonts w:cstheme="minorHAnsi"/>
          <w:i/>
          <w:iCs/>
          <w:sz w:val="24"/>
          <w:szCs w:val="24"/>
        </w:rPr>
        <w:t xml:space="preserve">hey go to the pharmacist. Previously, it was normal </w:t>
      </w:r>
      <w:r>
        <w:rPr>
          <w:rFonts w:cstheme="minorHAnsi"/>
          <w:i/>
          <w:iCs/>
          <w:sz w:val="24"/>
          <w:szCs w:val="24"/>
        </w:rPr>
        <w:t>and</w:t>
      </w:r>
      <w:r w:rsidRPr="00A27231">
        <w:rPr>
          <w:rFonts w:cstheme="minorHAnsi"/>
          <w:i/>
          <w:iCs/>
          <w:sz w:val="24"/>
          <w:szCs w:val="24"/>
        </w:rPr>
        <w:t xml:space="preserve"> common to get antibiotics from community retail pharmacies. People go to the pharmacy and are treated by pharmacists and receive their treatment; this is from real experiences from my family, those around us and PHC consumers who come to us and say I went to a pharmacist who gave me this remedy, and I benefited from it after I came to you and </w:t>
      </w:r>
      <w:r>
        <w:rPr>
          <w:rFonts w:cstheme="minorHAnsi"/>
          <w:i/>
          <w:iCs/>
          <w:sz w:val="24"/>
          <w:szCs w:val="24"/>
        </w:rPr>
        <w:t>I</w:t>
      </w:r>
      <w:r w:rsidRPr="00A27231">
        <w:rPr>
          <w:rFonts w:cstheme="minorHAnsi"/>
          <w:i/>
          <w:iCs/>
          <w:sz w:val="24"/>
          <w:szCs w:val="24"/>
        </w:rPr>
        <w:t xml:space="preserve"> did not benefit </w:t>
      </w:r>
      <w:r>
        <w:rPr>
          <w:rFonts w:cstheme="minorHAnsi"/>
          <w:i/>
          <w:iCs/>
          <w:sz w:val="24"/>
          <w:szCs w:val="24"/>
        </w:rPr>
        <w:t>from</w:t>
      </w:r>
      <w:r w:rsidRPr="00A27231">
        <w:rPr>
          <w:rFonts w:cstheme="minorHAnsi"/>
          <w:i/>
          <w:iCs/>
          <w:sz w:val="24"/>
          <w:szCs w:val="24"/>
        </w:rPr>
        <w:t xml:space="preserve"> you.</w:t>
      </w:r>
      <w:r>
        <w:rPr>
          <w:rFonts w:cstheme="minorHAnsi"/>
          <w:i/>
          <w:iCs/>
          <w:sz w:val="24"/>
          <w:szCs w:val="24"/>
        </w:rPr>
        <w:t>’</w:t>
      </w:r>
      <w:r w:rsidRPr="00A27231">
        <w:rPr>
          <w:rFonts w:cstheme="minorHAnsi"/>
          <w:i/>
          <w:iCs/>
          <w:sz w:val="24"/>
          <w:szCs w:val="24"/>
        </w:rPr>
        <w:t xml:space="preserve"> N2</w:t>
      </w:r>
    </w:p>
    <w:p w14:paraId="422E420A" w14:textId="77777777" w:rsidR="00821B82" w:rsidRPr="001510AA" w:rsidRDefault="00821B82" w:rsidP="00821B82">
      <w:pPr>
        <w:spacing w:line="240" w:lineRule="auto"/>
        <w:ind w:left="720"/>
        <w:jc w:val="both"/>
        <w:rPr>
          <w:rFonts w:cstheme="minorHAnsi"/>
          <w:i/>
          <w:iCs/>
          <w:sz w:val="24"/>
          <w:szCs w:val="24"/>
        </w:rPr>
      </w:pPr>
    </w:p>
    <w:p w14:paraId="03A84697" w14:textId="77777777" w:rsidR="00821B82" w:rsidRPr="00F44D14" w:rsidRDefault="00821B82" w:rsidP="00821B82">
      <w:pPr>
        <w:pStyle w:val="Heading5"/>
        <w:spacing w:line="360" w:lineRule="auto"/>
        <w:rPr>
          <w:rFonts w:asciiTheme="minorBidi" w:eastAsiaTheme="minorEastAsia" w:hAnsiTheme="minorBidi" w:cstheme="minorBidi"/>
          <w:sz w:val="24"/>
          <w:szCs w:val="24"/>
          <w:lang w:eastAsia="en-GB"/>
        </w:rPr>
      </w:pPr>
      <w:r w:rsidRPr="00F44D14">
        <w:rPr>
          <w:rFonts w:asciiTheme="minorBidi" w:eastAsiaTheme="minorEastAsia" w:hAnsiTheme="minorBidi" w:cstheme="minorBidi"/>
          <w:sz w:val="24"/>
          <w:szCs w:val="24"/>
          <w:lang w:eastAsia="en-GB"/>
        </w:rPr>
        <w:t xml:space="preserve">Lack of patient education </w:t>
      </w:r>
    </w:p>
    <w:p w14:paraId="69A8B0DF" w14:textId="77777777" w:rsidR="00821B82" w:rsidRPr="000B084B"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eastAsiaTheme="minorEastAsia" w:hAnsiTheme="minorBidi"/>
          <w:sz w:val="24"/>
          <w:szCs w:val="24"/>
          <w:lang w:eastAsia="en-GB"/>
        </w:rPr>
      </w:pPr>
      <w:r w:rsidRPr="003F17AD">
        <w:rPr>
          <w:rFonts w:asciiTheme="minorBidi" w:eastAsiaTheme="minorEastAsia" w:hAnsiTheme="minorBidi"/>
          <w:sz w:val="24"/>
          <w:szCs w:val="24"/>
          <w:lang w:eastAsia="en-GB"/>
        </w:rPr>
        <w:t xml:space="preserve">Lack of patient education about their medication was </w:t>
      </w:r>
      <w:r>
        <w:rPr>
          <w:rFonts w:asciiTheme="minorBidi" w:eastAsiaTheme="minorEastAsia" w:hAnsiTheme="minorBidi"/>
          <w:sz w:val="24"/>
          <w:szCs w:val="24"/>
          <w:lang w:eastAsia="en-GB"/>
        </w:rPr>
        <w:t xml:space="preserve">one of </w:t>
      </w:r>
      <w:r w:rsidRPr="003F17AD">
        <w:rPr>
          <w:rFonts w:asciiTheme="minorBidi" w:eastAsiaTheme="minorEastAsia" w:hAnsiTheme="minorBidi"/>
          <w:sz w:val="24"/>
          <w:szCs w:val="24"/>
          <w:lang w:eastAsia="en-GB"/>
        </w:rPr>
        <w:t>the most common patient safety issue</w:t>
      </w:r>
      <w:r>
        <w:rPr>
          <w:rFonts w:asciiTheme="minorBidi" w:eastAsiaTheme="minorEastAsia" w:hAnsiTheme="minorBidi"/>
          <w:sz w:val="24"/>
          <w:szCs w:val="24"/>
          <w:lang w:eastAsia="en-GB"/>
        </w:rPr>
        <w:t>s</w:t>
      </w:r>
      <w:r w:rsidRPr="003F17AD">
        <w:rPr>
          <w:rFonts w:asciiTheme="minorBidi" w:eastAsiaTheme="minorEastAsia" w:hAnsiTheme="minorBidi"/>
          <w:sz w:val="24"/>
          <w:szCs w:val="24"/>
          <w:lang w:eastAsia="en-GB"/>
        </w:rPr>
        <w:t xml:space="preserve"> reported by the participants</w:t>
      </w:r>
      <w:r>
        <w:rPr>
          <w:rFonts w:asciiTheme="minorBidi" w:eastAsiaTheme="minorEastAsia" w:hAnsiTheme="minorBidi"/>
          <w:sz w:val="24"/>
          <w:szCs w:val="24"/>
          <w:lang w:eastAsia="en-GB"/>
        </w:rPr>
        <w:t xml:space="preserve">, </w:t>
      </w:r>
      <w:r w:rsidRPr="000B084B">
        <w:rPr>
          <w:rFonts w:asciiTheme="minorBidi" w:eastAsiaTheme="minorEastAsia" w:hAnsiTheme="minorBidi"/>
          <w:sz w:val="24"/>
          <w:szCs w:val="24"/>
          <w:lang w:eastAsia="en-GB"/>
        </w:rPr>
        <w:t>as illustrated in the quote</w:t>
      </w:r>
      <w:r>
        <w:rPr>
          <w:rFonts w:asciiTheme="minorBidi" w:eastAsiaTheme="minorEastAsia" w:hAnsiTheme="minorBidi"/>
          <w:sz w:val="24"/>
          <w:szCs w:val="24"/>
          <w:lang w:eastAsia="en-GB"/>
        </w:rPr>
        <w:t>s</w:t>
      </w:r>
      <w:r w:rsidRPr="000B084B">
        <w:rPr>
          <w:rFonts w:asciiTheme="minorBidi" w:eastAsiaTheme="minorEastAsia" w:hAnsiTheme="minorBidi"/>
          <w:sz w:val="24"/>
          <w:szCs w:val="24"/>
          <w:lang w:eastAsia="en-GB"/>
        </w:rPr>
        <w:t xml:space="preserve"> below</w:t>
      </w:r>
      <w:r>
        <w:rPr>
          <w:rFonts w:asciiTheme="minorBidi" w:eastAsiaTheme="minorEastAsia" w:hAnsiTheme="minorBidi"/>
          <w:sz w:val="24"/>
          <w:szCs w:val="24"/>
          <w:lang w:eastAsia="en-GB"/>
        </w:rPr>
        <w:t xml:space="preserve">: </w:t>
      </w:r>
    </w:p>
    <w:p w14:paraId="079646B0"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cstheme="minorHAnsi"/>
          <w:i/>
          <w:iCs/>
          <w:sz w:val="24"/>
          <w:szCs w:val="24"/>
        </w:rPr>
      </w:pPr>
      <w:r>
        <w:rPr>
          <w:rFonts w:cstheme="minorHAnsi"/>
          <w:i/>
          <w:iCs/>
          <w:sz w:val="24"/>
          <w:szCs w:val="24"/>
        </w:rPr>
        <w:t>‘</w:t>
      </w:r>
      <w:r w:rsidRPr="000B084B">
        <w:rPr>
          <w:rFonts w:cstheme="minorHAnsi"/>
          <w:i/>
          <w:iCs/>
          <w:sz w:val="24"/>
          <w:szCs w:val="24"/>
        </w:rPr>
        <w:t>There is no patient education at all about their medication. They dispense medications without any instructions on how to use the medicines as they are not labelled</w:t>
      </w:r>
      <w:r>
        <w:rPr>
          <w:rFonts w:cstheme="minorHAnsi"/>
          <w:i/>
          <w:iCs/>
          <w:sz w:val="24"/>
          <w:szCs w:val="24"/>
        </w:rPr>
        <w:t xml:space="preserve"> –</w:t>
      </w:r>
      <w:r w:rsidRPr="000B084B">
        <w:rPr>
          <w:rFonts w:cstheme="minorHAnsi"/>
          <w:i/>
          <w:iCs/>
          <w:sz w:val="24"/>
          <w:szCs w:val="24"/>
        </w:rPr>
        <w:t xml:space="preserve"> there is not even a medication label on medication packages</w:t>
      </w:r>
      <w:r>
        <w:rPr>
          <w:rFonts w:cstheme="minorHAnsi"/>
          <w:i/>
          <w:iCs/>
          <w:sz w:val="24"/>
          <w:szCs w:val="24"/>
        </w:rPr>
        <w:t xml:space="preserve"> –</w:t>
      </w:r>
      <w:r w:rsidRPr="000B084B">
        <w:rPr>
          <w:rFonts w:cstheme="minorHAnsi"/>
          <w:i/>
          <w:iCs/>
          <w:sz w:val="24"/>
          <w:szCs w:val="24"/>
        </w:rPr>
        <w:t xml:space="preserve"> and no education is provided to the patients</w:t>
      </w:r>
      <w:r>
        <w:rPr>
          <w:rFonts w:cstheme="minorHAnsi"/>
          <w:i/>
          <w:iCs/>
          <w:sz w:val="24"/>
          <w:szCs w:val="24"/>
        </w:rPr>
        <w:t>’</w:t>
      </w:r>
      <w:r w:rsidRPr="000B084B">
        <w:rPr>
          <w:rFonts w:cstheme="minorHAnsi"/>
          <w:i/>
          <w:iCs/>
          <w:sz w:val="24"/>
          <w:szCs w:val="24"/>
        </w:rPr>
        <w:t xml:space="preserve"> Ph1</w:t>
      </w:r>
    </w:p>
    <w:p w14:paraId="2B228217"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cstheme="minorHAnsi"/>
          <w:i/>
          <w:iCs/>
          <w:sz w:val="24"/>
          <w:szCs w:val="24"/>
        </w:rPr>
      </w:pPr>
      <w:r>
        <w:rPr>
          <w:rFonts w:cstheme="minorHAnsi"/>
          <w:i/>
          <w:iCs/>
          <w:sz w:val="24"/>
          <w:szCs w:val="24"/>
        </w:rPr>
        <w:t>‘</w:t>
      </w:r>
      <w:r w:rsidRPr="00375748">
        <w:rPr>
          <w:rFonts w:cstheme="minorHAnsi"/>
          <w:i/>
          <w:iCs/>
          <w:sz w:val="24"/>
          <w:szCs w:val="24"/>
        </w:rPr>
        <w:t xml:space="preserve">I see that the role of the pharmacist in the </w:t>
      </w:r>
      <w:r>
        <w:rPr>
          <w:rFonts w:cstheme="minorHAnsi"/>
          <w:i/>
          <w:iCs/>
          <w:sz w:val="24"/>
          <w:szCs w:val="24"/>
        </w:rPr>
        <w:t>PHC</w:t>
      </w:r>
      <w:r w:rsidRPr="00375748">
        <w:rPr>
          <w:rFonts w:cstheme="minorHAnsi"/>
          <w:i/>
          <w:iCs/>
          <w:sz w:val="24"/>
          <w:szCs w:val="24"/>
        </w:rPr>
        <w:t xml:space="preserve"> is very important, especially with our experience now with the placement of the pharmacy outside the health centre. This change has affected patients, especially chronic disease patients, including diabetics, by not knowing their medications. Patients are not given instructions to take medicine and the importance of being regular in taking it; unfortunately, all of these things are not currently available to them. We always face patient complaints daily by returning to the health centre after taking medication from </w:t>
      </w:r>
      <w:r>
        <w:rPr>
          <w:rFonts w:cstheme="minorHAnsi"/>
          <w:i/>
          <w:iCs/>
          <w:sz w:val="24"/>
          <w:szCs w:val="24"/>
        </w:rPr>
        <w:t xml:space="preserve">the </w:t>
      </w:r>
      <w:r w:rsidRPr="00375748">
        <w:rPr>
          <w:rFonts w:cstheme="minorHAnsi"/>
          <w:i/>
          <w:iCs/>
          <w:sz w:val="24"/>
          <w:szCs w:val="24"/>
        </w:rPr>
        <w:t>retail community pharmacy</w:t>
      </w:r>
      <w:r>
        <w:rPr>
          <w:rFonts w:cstheme="minorHAnsi"/>
          <w:i/>
          <w:iCs/>
          <w:sz w:val="24"/>
          <w:szCs w:val="24"/>
        </w:rPr>
        <w:t xml:space="preserve">. </w:t>
      </w:r>
      <w:r w:rsidRPr="00375748">
        <w:rPr>
          <w:rFonts w:cstheme="minorHAnsi"/>
          <w:i/>
          <w:iCs/>
          <w:sz w:val="24"/>
          <w:szCs w:val="24"/>
        </w:rPr>
        <w:t xml:space="preserve">They do not alert patients. For example, when changing companies, these things happen constantly; companies change almost monthly. </w:t>
      </w:r>
      <w:r w:rsidRPr="00E82A1A">
        <w:rPr>
          <w:rFonts w:cstheme="minorHAnsi"/>
          <w:i/>
          <w:iCs/>
          <w:sz w:val="24"/>
          <w:szCs w:val="24"/>
        </w:rPr>
        <w:t xml:space="preserve">When the pharmacy was in the centre, I would see the pharmacists explaining these </w:t>
      </w:r>
      <w:r>
        <w:rPr>
          <w:rFonts w:cstheme="minorHAnsi"/>
          <w:i/>
          <w:iCs/>
          <w:sz w:val="24"/>
          <w:szCs w:val="24"/>
        </w:rPr>
        <w:t>issues</w:t>
      </w:r>
      <w:r w:rsidRPr="00E82A1A">
        <w:rPr>
          <w:rFonts w:cstheme="minorHAnsi"/>
          <w:i/>
          <w:iCs/>
          <w:sz w:val="24"/>
          <w:szCs w:val="24"/>
        </w:rPr>
        <w:t xml:space="preserve"> to the patients - these pills are the same treatment I received the previous month but from a different company. </w:t>
      </w:r>
      <w:r>
        <w:rPr>
          <w:rFonts w:cstheme="minorHAnsi"/>
          <w:i/>
          <w:iCs/>
          <w:sz w:val="24"/>
          <w:szCs w:val="24"/>
        </w:rPr>
        <w:t>Currently</w:t>
      </w:r>
      <w:r w:rsidRPr="00E82A1A">
        <w:rPr>
          <w:rFonts w:cstheme="minorHAnsi"/>
          <w:i/>
          <w:iCs/>
          <w:sz w:val="24"/>
          <w:szCs w:val="24"/>
        </w:rPr>
        <w:t>, these things are not provided to patients, and this is from my personal experience</w:t>
      </w:r>
      <w:r>
        <w:rPr>
          <w:rFonts w:cstheme="minorHAnsi"/>
          <w:i/>
          <w:iCs/>
          <w:sz w:val="24"/>
          <w:szCs w:val="24"/>
        </w:rPr>
        <w:t>’ N2</w:t>
      </w:r>
    </w:p>
    <w:p w14:paraId="65E57004" w14:textId="77777777" w:rsidR="00821B82" w:rsidRPr="000B084B"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cstheme="minorHAnsi"/>
          <w:i/>
          <w:iCs/>
          <w:sz w:val="24"/>
          <w:szCs w:val="24"/>
        </w:rPr>
      </w:pPr>
    </w:p>
    <w:p w14:paraId="2E07241E" w14:textId="77777777" w:rsidR="00821B82" w:rsidRPr="00F44D14" w:rsidRDefault="00821B82" w:rsidP="00821B82">
      <w:pPr>
        <w:pStyle w:val="Heading5"/>
        <w:spacing w:line="360" w:lineRule="auto"/>
        <w:rPr>
          <w:rFonts w:asciiTheme="minorBidi" w:eastAsiaTheme="minorEastAsia" w:hAnsiTheme="minorBidi" w:cstheme="minorBidi"/>
          <w:sz w:val="24"/>
          <w:szCs w:val="24"/>
          <w:lang w:eastAsia="en-GB"/>
        </w:rPr>
      </w:pPr>
      <w:r w:rsidRPr="00F44D14">
        <w:rPr>
          <w:rFonts w:asciiTheme="minorBidi" w:eastAsiaTheme="minorEastAsia" w:hAnsiTheme="minorBidi" w:cstheme="minorBidi"/>
          <w:sz w:val="24"/>
          <w:szCs w:val="24"/>
          <w:lang w:eastAsia="en-GB"/>
        </w:rPr>
        <w:t>Lack of prescriptions verification</w:t>
      </w:r>
    </w:p>
    <w:p w14:paraId="6301647E"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eastAsiaTheme="minorEastAsia" w:hAnsiTheme="minorBidi"/>
          <w:sz w:val="24"/>
          <w:szCs w:val="24"/>
          <w:lang w:eastAsia="en-GB"/>
        </w:rPr>
      </w:pPr>
      <w:r w:rsidRPr="00D304A0">
        <w:rPr>
          <w:rFonts w:asciiTheme="minorBidi" w:eastAsiaTheme="minorEastAsia" w:hAnsiTheme="minorBidi"/>
          <w:sz w:val="24"/>
          <w:szCs w:val="24"/>
          <w:lang w:eastAsia="en-GB"/>
        </w:rPr>
        <w:t xml:space="preserve">Another issue related to patient safety, which many participants raised, is that community pharmacists do not check the validity of the electronic prescription in terms of its suitability to the patient's condition; they dispense what is visible to them in the system. If the doctor makes a mistake in writing a specific medicine, it will be dispensed without discovering the matter. </w:t>
      </w:r>
    </w:p>
    <w:p w14:paraId="47792E8F"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cstheme="minorHAnsi"/>
          <w:i/>
          <w:iCs/>
          <w:sz w:val="24"/>
          <w:szCs w:val="24"/>
        </w:rPr>
      </w:pPr>
      <w:r>
        <w:rPr>
          <w:rFonts w:cstheme="minorHAnsi"/>
          <w:i/>
          <w:iCs/>
          <w:sz w:val="24"/>
          <w:szCs w:val="24"/>
        </w:rPr>
        <w:t>‘</w:t>
      </w:r>
      <w:r w:rsidRPr="001520AA">
        <w:rPr>
          <w:rFonts w:cstheme="minorHAnsi"/>
          <w:i/>
          <w:iCs/>
          <w:sz w:val="24"/>
          <w:szCs w:val="24"/>
        </w:rPr>
        <w:t>The patient receives the prescription code on his mobile phone to dispense it from any retail community pharmacy. I do not know exactly about the presence of the diagnosis in the electronic prescription. The diagnosis may be written in the electronic prescription, but the dispenser does not care. His job seems to be limited to handing out to patients their medications.</w:t>
      </w:r>
      <w:r>
        <w:rPr>
          <w:rFonts w:cstheme="minorHAnsi"/>
          <w:i/>
          <w:iCs/>
          <w:sz w:val="24"/>
          <w:szCs w:val="24"/>
        </w:rPr>
        <w:t>’ Ph1</w:t>
      </w:r>
    </w:p>
    <w:p w14:paraId="0EFBF64C" w14:textId="77777777" w:rsidR="00821B82" w:rsidRPr="001520AA"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cstheme="minorHAnsi"/>
          <w:i/>
          <w:iCs/>
          <w:sz w:val="24"/>
          <w:szCs w:val="24"/>
        </w:rPr>
      </w:pPr>
    </w:p>
    <w:p w14:paraId="73248CFC" w14:textId="77777777" w:rsidR="00821B82" w:rsidRPr="00F44D14" w:rsidRDefault="00821B82" w:rsidP="00821B82">
      <w:pPr>
        <w:pStyle w:val="Heading5"/>
        <w:spacing w:line="360" w:lineRule="auto"/>
        <w:rPr>
          <w:rFonts w:asciiTheme="minorBidi" w:eastAsiaTheme="minorEastAsia" w:hAnsiTheme="minorBidi" w:cstheme="minorBidi"/>
          <w:sz w:val="24"/>
          <w:szCs w:val="24"/>
          <w:lang w:eastAsia="en-GB"/>
        </w:rPr>
      </w:pPr>
      <w:r w:rsidRPr="00F44D14">
        <w:rPr>
          <w:rFonts w:asciiTheme="minorBidi" w:eastAsiaTheme="minorEastAsia" w:hAnsiTheme="minorBidi" w:cstheme="minorBidi"/>
          <w:sz w:val="24"/>
          <w:szCs w:val="24"/>
          <w:lang w:eastAsia="en-GB"/>
        </w:rPr>
        <w:t>Logistics issues</w:t>
      </w:r>
    </w:p>
    <w:p w14:paraId="5C419568"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hAnsiTheme="minorBidi"/>
          <w:sz w:val="24"/>
          <w:szCs w:val="24"/>
        </w:rPr>
      </w:pPr>
      <w:r w:rsidRPr="002346CD">
        <w:rPr>
          <w:rFonts w:asciiTheme="minorBidi" w:hAnsiTheme="minorBidi"/>
          <w:sz w:val="24"/>
          <w:szCs w:val="24"/>
        </w:rPr>
        <w:t>Participants indicated that the lack of access by community pharmacists to patients' health records, as there is no electronic connection between PHCs and retail community pharmacies, may be a reason for community pharmacists not verifying prescriptions and their suitability for the patient's condition.</w:t>
      </w:r>
    </w:p>
    <w:p w14:paraId="5B0DAC58"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630"/>
        <w:jc w:val="both"/>
        <w:rPr>
          <w:rFonts w:cstheme="minorHAnsi"/>
          <w:i/>
          <w:iCs/>
          <w:sz w:val="24"/>
          <w:szCs w:val="24"/>
        </w:rPr>
      </w:pPr>
      <w:r>
        <w:rPr>
          <w:rFonts w:cstheme="minorHAnsi"/>
          <w:i/>
          <w:iCs/>
          <w:sz w:val="24"/>
          <w:szCs w:val="24"/>
        </w:rPr>
        <w:t>‘</w:t>
      </w:r>
      <w:r w:rsidRPr="004B1542">
        <w:rPr>
          <w:rFonts w:cstheme="minorHAnsi"/>
          <w:i/>
          <w:iCs/>
          <w:sz w:val="24"/>
          <w:szCs w:val="24"/>
        </w:rPr>
        <w:t>As a result of the lack of connection as well as communication between these two health settings, we sometimes see that a doctor may mistakenly write a medication for a patient in the prescription, and the community pharmacist dispenses it.</w:t>
      </w:r>
      <w:r>
        <w:rPr>
          <w:rFonts w:cstheme="minorHAnsi"/>
          <w:i/>
          <w:iCs/>
          <w:sz w:val="24"/>
          <w:szCs w:val="24"/>
        </w:rPr>
        <w:t>’</w:t>
      </w:r>
      <w:r w:rsidRPr="004B1542">
        <w:rPr>
          <w:rFonts w:cstheme="minorHAnsi"/>
          <w:i/>
          <w:iCs/>
          <w:sz w:val="24"/>
          <w:szCs w:val="24"/>
        </w:rPr>
        <w:t xml:space="preserve"> N1</w:t>
      </w:r>
    </w:p>
    <w:p w14:paraId="36998595" w14:textId="77777777" w:rsidR="00821B82" w:rsidRPr="004B154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630"/>
        <w:jc w:val="both"/>
        <w:rPr>
          <w:rFonts w:cstheme="minorHAnsi"/>
          <w:i/>
          <w:iCs/>
          <w:sz w:val="24"/>
          <w:szCs w:val="24"/>
        </w:rPr>
      </w:pPr>
    </w:p>
    <w:p w14:paraId="3AA68842" w14:textId="77777777" w:rsidR="00821B82" w:rsidRPr="00F44D14" w:rsidRDefault="00821B82" w:rsidP="00821B82">
      <w:pPr>
        <w:pStyle w:val="Heading5"/>
        <w:spacing w:line="360" w:lineRule="auto"/>
        <w:rPr>
          <w:rFonts w:asciiTheme="minorBidi" w:eastAsiaTheme="minorEastAsia" w:hAnsiTheme="minorBidi" w:cstheme="minorBidi"/>
          <w:sz w:val="24"/>
          <w:szCs w:val="24"/>
          <w:lang w:eastAsia="en-GB"/>
        </w:rPr>
      </w:pPr>
      <w:r w:rsidRPr="00F44D14">
        <w:rPr>
          <w:rStyle w:val="Heading5Char"/>
          <w:rFonts w:asciiTheme="minorBidi" w:hAnsiTheme="minorBidi" w:cstheme="minorBidi"/>
          <w:sz w:val="24"/>
          <w:szCs w:val="24"/>
        </w:rPr>
        <w:t>Communicating</w:t>
      </w:r>
      <w:r w:rsidRPr="00F44D14">
        <w:rPr>
          <w:rFonts w:asciiTheme="minorBidi" w:eastAsiaTheme="minorEastAsia" w:hAnsiTheme="minorBidi" w:cstheme="minorBidi"/>
          <w:sz w:val="24"/>
          <w:szCs w:val="24"/>
          <w:lang w:eastAsia="en-GB"/>
        </w:rPr>
        <w:t xml:space="preserve"> with patients </w:t>
      </w:r>
    </w:p>
    <w:p w14:paraId="21C631BB"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eastAsiaTheme="minorEastAsia" w:hAnsiTheme="minorBidi"/>
          <w:sz w:val="24"/>
          <w:szCs w:val="24"/>
          <w:lang w:eastAsia="en-GB"/>
        </w:rPr>
      </w:pPr>
      <w:r w:rsidRPr="00DA2ECB">
        <w:rPr>
          <w:rFonts w:asciiTheme="minorBidi" w:eastAsiaTheme="minorEastAsia" w:hAnsiTheme="minorBidi"/>
          <w:sz w:val="24"/>
          <w:szCs w:val="24"/>
          <w:lang w:eastAsia="en-GB"/>
        </w:rPr>
        <w:t xml:space="preserve">Another reason that concerned participants with regard to patient safety is that the </w:t>
      </w:r>
      <w:r>
        <w:rPr>
          <w:rFonts w:asciiTheme="minorBidi" w:eastAsiaTheme="minorEastAsia" w:hAnsiTheme="minorBidi"/>
          <w:sz w:val="24"/>
          <w:szCs w:val="24"/>
          <w:lang w:eastAsia="en-GB"/>
        </w:rPr>
        <w:t>community</w:t>
      </w:r>
      <w:r w:rsidRPr="00F76446">
        <w:rPr>
          <w:rFonts w:asciiTheme="minorBidi" w:eastAsiaTheme="minorEastAsia" w:hAnsiTheme="minorBidi"/>
          <w:sz w:val="24"/>
          <w:szCs w:val="24"/>
          <w:lang w:eastAsia="en-GB"/>
        </w:rPr>
        <w:t xml:space="preserve"> pharmacist does not communicate directly with the patient</w:t>
      </w:r>
      <w:r w:rsidRPr="00D304A0">
        <w:rPr>
          <w:rFonts w:asciiTheme="minorBidi" w:eastAsiaTheme="minorEastAsia" w:hAnsiTheme="minorBidi"/>
          <w:sz w:val="24"/>
          <w:szCs w:val="24"/>
          <w:lang w:eastAsia="en-GB"/>
        </w:rPr>
        <w:t xml:space="preserve">, </w:t>
      </w:r>
      <w:r>
        <w:rPr>
          <w:rFonts w:asciiTheme="minorBidi" w:eastAsiaTheme="minorEastAsia" w:hAnsiTheme="minorBidi"/>
          <w:sz w:val="24"/>
          <w:szCs w:val="24"/>
          <w:lang w:eastAsia="en-GB"/>
        </w:rPr>
        <w:t xml:space="preserve">since </w:t>
      </w:r>
      <w:r w:rsidRPr="00D304A0">
        <w:rPr>
          <w:rFonts w:asciiTheme="minorBidi" w:eastAsiaTheme="minorEastAsia" w:hAnsiTheme="minorBidi"/>
          <w:sz w:val="24"/>
          <w:szCs w:val="24"/>
          <w:lang w:eastAsia="en-GB"/>
        </w:rPr>
        <w:t xml:space="preserve">usually the </w:t>
      </w:r>
      <w:r>
        <w:rPr>
          <w:rFonts w:asciiTheme="minorBidi" w:eastAsiaTheme="minorEastAsia" w:hAnsiTheme="minorBidi"/>
          <w:sz w:val="24"/>
          <w:szCs w:val="24"/>
          <w:lang w:eastAsia="en-GB"/>
        </w:rPr>
        <w:t xml:space="preserve">person </w:t>
      </w:r>
      <w:r w:rsidRPr="00D304A0">
        <w:rPr>
          <w:rFonts w:asciiTheme="minorBidi" w:eastAsiaTheme="minorEastAsia" w:hAnsiTheme="minorBidi"/>
          <w:sz w:val="24"/>
          <w:szCs w:val="24"/>
          <w:lang w:eastAsia="en-GB"/>
        </w:rPr>
        <w:t>who goes with the prescription to the pharmacy and receives the patient's medications is one of his</w:t>
      </w:r>
      <w:r>
        <w:rPr>
          <w:rFonts w:asciiTheme="minorBidi" w:eastAsiaTheme="minorEastAsia" w:hAnsiTheme="minorBidi"/>
          <w:sz w:val="24"/>
          <w:szCs w:val="24"/>
          <w:lang w:eastAsia="en-GB"/>
        </w:rPr>
        <w:t>/her</w:t>
      </w:r>
      <w:r w:rsidRPr="00D304A0">
        <w:rPr>
          <w:rFonts w:asciiTheme="minorBidi" w:eastAsiaTheme="minorEastAsia" w:hAnsiTheme="minorBidi"/>
          <w:sz w:val="24"/>
          <w:szCs w:val="24"/>
          <w:lang w:eastAsia="en-GB"/>
        </w:rPr>
        <w:t xml:space="preserve"> relatives or those in charge of his</w:t>
      </w:r>
      <w:r>
        <w:rPr>
          <w:rFonts w:asciiTheme="minorBidi" w:eastAsiaTheme="minorEastAsia" w:hAnsiTheme="minorBidi"/>
          <w:sz w:val="24"/>
          <w:szCs w:val="24"/>
          <w:lang w:eastAsia="en-GB"/>
        </w:rPr>
        <w:t>/her</w:t>
      </w:r>
      <w:r w:rsidRPr="00D304A0">
        <w:rPr>
          <w:rFonts w:asciiTheme="minorBidi" w:eastAsiaTheme="minorEastAsia" w:hAnsiTheme="minorBidi"/>
          <w:sz w:val="24"/>
          <w:szCs w:val="24"/>
          <w:lang w:eastAsia="en-GB"/>
        </w:rPr>
        <w:t xml:space="preserve"> care, and this is one of the negative </w:t>
      </w:r>
      <w:r>
        <w:rPr>
          <w:rFonts w:asciiTheme="minorBidi" w:eastAsiaTheme="minorEastAsia" w:hAnsiTheme="minorBidi"/>
          <w:sz w:val="24"/>
          <w:szCs w:val="24"/>
          <w:lang w:eastAsia="en-GB"/>
        </w:rPr>
        <w:t xml:space="preserve">consequences of </w:t>
      </w:r>
      <w:r w:rsidRPr="00D304A0">
        <w:rPr>
          <w:rFonts w:asciiTheme="minorBidi" w:eastAsiaTheme="minorEastAsia" w:hAnsiTheme="minorBidi"/>
          <w:sz w:val="24"/>
          <w:szCs w:val="24"/>
          <w:lang w:eastAsia="en-GB"/>
        </w:rPr>
        <w:t xml:space="preserve">closing the service </w:t>
      </w:r>
      <w:r>
        <w:rPr>
          <w:rFonts w:asciiTheme="minorBidi" w:eastAsiaTheme="minorEastAsia" w:hAnsiTheme="minorBidi"/>
          <w:sz w:val="24"/>
          <w:szCs w:val="24"/>
          <w:lang w:eastAsia="en-GB"/>
        </w:rPr>
        <w:t>for</w:t>
      </w:r>
      <w:r w:rsidRPr="00D304A0">
        <w:rPr>
          <w:rFonts w:asciiTheme="minorBidi" w:eastAsiaTheme="minorEastAsia" w:hAnsiTheme="minorBidi"/>
          <w:sz w:val="24"/>
          <w:szCs w:val="24"/>
          <w:lang w:eastAsia="en-GB"/>
        </w:rPr>
        <w:t xml:space="preserve"> providing treatment </w:t>
      </w:r>
      <w:r>
        <w:rPr>
          <w:rFonts w:asciiTheme="minorBidi" w:eastAsiaTheme="minorEastAsia" w:hAnsiTheme="minorBidi"/>
          <w:sz w:val="24"/>
          <w:szCs w:val="24"/>
          <w:lang w:eastAsia="en-GB"/>
        </w:rPr>
        <w:t xml:space="preserve">at </w:t>
      </w:r>
      <w:r w:rsidRPr="00D304A0">
        <w:rPr>
          <w:rFonts w:asciiTheme="minorBidi" w:eastAsiaTheme="minorEastAsia" w:hAnsiTheme="minorBidi"/>
          <w:sz w:val="24"/>
          <w:szCs w:val="24"/>
          <w:lang w:eastAsia="en-GB"/>
        </w:rPr>
        <w:t>the health centre. This stresses the patient</w:t>
      </w:r>
      <w:r>
        <w:rPr>
          <w:rFonts w:asciiTheme="minorBidi" w:eastAsiaTheme="minorEastAsia" w:hAnsiTheme="minorBidi"/>
          <w:sz w:val="24"/>
          <w:szCs w:val="24"/>
          <w:lang w:eastAsia="en-GB"/>
        </w:rPr>
        <w:t>s</w:t>
      </w:r>
      <w:r w:rsidRPr="00D304A0">
        <w:rPr>
          <w:rFonts w:asciiTheme="minorBidi" w:eastAsiaTheme="minorEastAsia" w:hAnsiTheme="minorBidi"/>
          <w:sz w:val="24"/>
          <w:szCs w:val="24"/>
          <w:lang w:eastAsia="en-GB"/>
        </w:rPr>
        <w:t>, especially the elderly, and may cause a delay in taking the medication due to the lack of transportation for the patient to reach the community pharmacy or his</w:t>
      </w:r>
      <w:r>
        <w:rPr>
          <w:rFonts w:asciiTheme="minorBidi" w:eastAsiaTheme="minorEastAsia" w:hAnsiTheme="minorBidi"/>
          <w:sz w:val="24"/>
          <w:szCs w:val="24"/>
          <w:lang w:eastAsia="en-GB"/>
        </w:rPr>
        <w:t>/her</w:t>
      </w:r>
      <w:r w:rsidRPr="00D304A0">
        <w:rPr>
          <w:rFonts w:asciiTheme="minorBidi" w:eastAsiaTheme="minorEastAsia" w:hAnsiTheme="minorBidi"/>
          <w:sz w:val="24"/>
          <w:szCs w:val="24"/>
          <w:lang w:eastAsia="en-GB"/>
        </w:rPr>
        <w:t xml:space="preserve"> family being </w:t>
      </w:r>
      <w:r>
        <w:rPr>
          <w:rFonts w:asciiTheme="minorBidi" w:eastAsiaTheme="minorEastAsia" w:hAnsiTheme="minorBidi"/>
          <w:sz w:val="24"/>
          <w:szCs w:val="24"/>
          <w:lang w:eastAsia="en-GB"/>
        </w:rPr>
        <w:t xml:space="preserve">too </w:t>
      </w:r>
      <w:r w:rsidRPr="00D304A0">
        <w:rPr>
          <w:rFonts w:asciiTheme="minorBidi" w:eastAsiaTheme="minorEastAsia" w:hAnsiTheme="minorBidi"/>
          <w:sz w:val="24"/>
          <w:szCs w:val="24"/>
          <w:lang w:eastAsia="en-GB"/>
        </w:rPr>
        <w:t xml:space="preserve">busy </w:t>
      </w:r>
      <w:r>
        <w:rPr>
          <w:rFonts w:asciiTheme="minorBidi" w:eastAsiaTheme="minorEastAsia" w:hAnsiTheme="minorBidi"/>
          <w:sz w:val="24"/>
          <w:szCs w:val="24"/>
          <w:lang w:eastAsia="en-GB"/>
        </w:rPr>
        <w:t xml:space="preserve">to </w:t>
      </w:r>
      <w:r w:rsidRPr="00D304A0">
        <w:rPr>
          <w:rFonts w:asciiTheme="minorBidi" w:eastAsiaTheme="minorEastAsia" w:hAnsiTheme="minorBidi"/>
          <w:sz w:val="24"/>
          <w:szCs w:val="24"/>
          <w:lang w:eastAsia="en-GB"/>
        </w:rPr>
        <w:t>go to the pharmacy and receiv</w:t>
      </w:r>
      <w:r>
        <w:rPr>
          <w:rFonts w:asciiTheme="minorBidi" w:eastAsiaTheme="minorEastAsia" w:hAnsiTheme="minorBidi"/>
          <w:sz w:val="24"/>
          <w:szCs w:val="24"/>
          <w:lang w:eastAsia="en-GB"/>
        </w:rPr>
        <w:t>e</w:t>
      </w:r>
      <w:r w:rsidRPr="00D304A0">
        <w:rPr>
          <w:rFonts w:asciiTheme="minorBidi" w:eastAsiaTheme="minorEastAsia" w:hAnsiTheme="minorBidi"/>
          <w:sz w:val="24"/>
          <w:szCs w:val="24"/>
          <w:lang w:eastAsia="en-GB"/>
        </w:rPr>
        <w:t xml:space="preserve"> treatment.</w:t>
      </w:r>
    </w:p>
    <w:p w14:paraId="4B6EA009"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‘N</w:t>
      </w:r>
      <w:r w:rsidRPr="00E20864">
        <w:rPr>
          <w:rFonts w:cstheme="minorHAnsi"/>
          <w:i/>
          <w:iCs/>
          <w:sz w:val="24"/>
          <w:szCs w:val="24"/>
        </w:rPr>
        <w:t>ow, there are significant obstacles; for example, elderly patients cannot go to the pharmacy, and most patients with chronic diseases are elderly, so they cannot go to the pharmacy to receive their medicine themselves. The one who takes medication for him from the pharmacy may not understand the medication and cannot deliver the correct treatment information.</w:t>
      </w:r>
      <w:r>
        <w:rPr>
          <w:rFonts w:cstheme="minorHAnsi"/>
          <w:i/>
          <w:iCs/>
          <w:sz w:val="24"/>
          <w:szCs w:val="24"/>
        </w:rPr>
        <w:t>’ N3</w:t>
      </w:r>
    </w:p>
    <w:p w14:paraId="6DFE4F96" w14:textId="77777777" w:rsidR="00821B82" w:rsidRPr="00830EBC" w:rsidRDefault="00821B82" w:rsidP="00821B82">
      <w:pPr>
        <w:spacing w:line="240" w:lineRule="auto"/>
        <w:ind w:left="720"/>
        <w:jc w:val="both"/>
        <w:rPr>
          <w:rFonts w:cstheme="minorHAnsi"/>
          <w:i/>
          <w:iCs/>
          <w:sz w:val="24"/>
          <w:szCs w:val="24"/>
        </w:rPr>
      </w:pPr>
    </w:p>
    <w:p w14:paraId="504010EC" w14:textId="77777777" w:rsidR="00821B82" w:rsidRPr="00F44D14" w:rsidRDefault="00821B82" w:rsidP="00821B82">
      <w:pPr>
        <w:pStyle w:val="Heading5"/>
        <w:spacing w:line="360" w:lineRule="auto"/>
        <w:rPr>
          <w:rFonts w:asciiTheme="minorBidi" w:eastAsiaTheme="minorEastAsia" w:hAnsiTheme="minorBidi" w:cstheme="minorBidi"/>
          <w:sz w:val="24"/>
          <w:szCs w:val="24"/>
          <w:lang w:eastAsia="en-GB"/>
        </w:rPr>
      </w:pPr>
      <w:r w:rsidRPr="00F44D14">
        <w:rPr>
          <w:rFonts w:asciiTheme="minorBidi" w:eastAsiaTheme="minorEastAsia" w:hAnsiTheme="minorBidi" w:cstheme="minorBidi"/>
          <w:sz w:val="24"/>
          <w:szCs w:val="24"/>
          <w:lang w:eastAsia="en-GB"/>
        </w:rPr>
        <w:t xml:space="preserve">Transportation </w:t>
      </w:r>
    </w:p>
    <w:p w14:paraId="44D60912"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eastAsiaTheme="minorEastAsia" w:hAnsiTheme="minorBidi"/>
          <w:sz w:val="24"/>
          <w:szCs w:val="24"/>
          <w:lang w:eastAsia="en-GB"/>
        </w:rPr>
      </w:pPr>
      <w:r w:rsidRPr="0089554C">
        <w:rPr>
          <w:rFonts w:asciiTheme="minorBidi" w:eastAsiaTheme="minorEastAsia" w:hAnsiTheme="minorBidi"/>
          <w:sz w:val="24"/>
          <w:szCs w:val="24"/>
          <w:lang w:eastAsia="en-GB"/>
        </w:rPr>
        <w:t xml:space="preserve">Closing pharmacies from </w:t>
      </w:r>
      <w:r>
        <w:rPr>
          <w:rFonts w:asciiTheme="minorBidi" w:eastAsiaTheme="minorEastAsia" w:hAnsiTheme="minorBidi"/>
          <w:sz w:val="24"/>
          <w:szCs w:val="24"/>
          <w:lang w:eastAsia="en-GB"/>
        </w:rPr>
        <w:t>PHCs</w:t>
      </w:r>
      <w:r w:rsidRPr="0089554C">
        <w:rPr>
          <w:rFonts w:asciiTheme="minorBidi" w:eastAsiaTheme="minorEastAsia" w:hAnsiTheme="minorBidi"/>
          <w:sz w:val="24"/>
          <w:szCs w:val="24"/>
          <w:lang w:eastAsia="en-GB"/>
        </w:rPr>
        <w:t xml:space="preserve"> will require patients to have an additional trip and transportation to the </w:t>
      </w:r>
      <w:r>
        <w:rPr>
          <w:rFonts w:asciiTheme="minorBidi" w:eastAsiaTheme="minorEastAsia" w:hAnsiTheme="minorBidi"/>
          <w:sz w:val="24"/>
          <w:szCs w:val="24"/>
          <w:lang w:eastAsia="en-GB"/>
        </w:rPr>
        <w:t xml:space="preserve">retail </w:t>
      </w:r>
      <w:r w:rsidRPr="0089554C">
        <w:rPr>
          <w:rFonts w:asciiTheme="minorBidi" w:eastAsiaTheme="minorEastAsia" w:hAnsiTheme="minorBidi"/>
          <w:sz w:val="24"/>
          <w:szCs w:val="24"/>
          <w:lang w:eastAsia="en-GB"/>
        </w:rPr>
        <w:t>community pharmacy to receive their medication</w:t>
      </w:r>
      <w:r>
        <w:rPr>
          <w:rFonts w:asciiTheme="minorBidi" w:eastAsiaTheme="minorEastAsia" w:hAnsiTheme="minorBidi"/>
          <w:sz w:val="24"/>
          <w:szCs w:val="24"/>
          <w:lang w:eastAsia="en-GB"/>
        </w:rPr>
        <w:t>s</w:t>
      </w:r>
      <w:r w:rsidRPr="0089554C">
        <w:rPr>
          <w:rFonts w:asciiTheme="minorBidi" w:eastAsiaTheme="minorEastAsia" w:hAnsiTheme="minorBidi"/>
          <w:sz w:val="24"/>
          <w:szCs w:val="24"/>
          <w:lang w:eastAsia="en-GB"/>
        </w:rPr>
        <w:t>.</w:t>
      </w:r>
      <w:r>
        <w:rPr>
          <w:rFonts w:asciiTheme="minorBidi" w:eastAsiaTheme="minorEastAsia" w:hAnsiTheme="minorBidi"/>
          <w:sz w:val="24"/>
          <w:szCs w:val="24"/>
          <w:lang w:eastAsia="en-GB"/>
        </w:rPr>
        <w:t xml:space="preserve"> </w:t>
      </w:r>
      <w:r w:rsidRPr="00C73AFD">
        <w:rPr>
          <w:rFonts w:asciiTheme="minorBidi" w:eastAsiaTheme="minorEastAsia" w:hAnsiTheme="minorBidi"/>
          <w:sz w:val="24"/>
          <w:szCs w:val="24"/>
          <w:lang w:eastAsia="en-GB"/>
        </w:rPr>
        <w:t>And the current problem that the participants mentioned is in the service of dispensing medical prescriptions, which is limited to the working hours of the health centres, which is</w:t>
      </w:r>
      <w:r>
        <w:rPr>
          <w:rFonts w:asciiTheme="minorBidi" w:eastAsiaTheme="minorEastAsia" w:hAnsiTheme="minorBidi"/>
          <w:sz w:val="24"/>
          <w:szCs w:val="24"/>
          <w:lang w:eastAsia="en-GB"/>
        </w:rPr>
        <w:t xml:space="preserve"> </w:t>
      </w:r>
      <w:r w:rsidRPr="00B53033">
        <w:rPr>
          <w:rFonts w:asciiTheme="minorBidi" w:eastAsiaTheme="minorEastAsia" w:hAnsiTheme="minorBidi"/>
          <w:sz w:val="24"/>
          <w:szCs w:val="24"/>
          <w:lang w:eastAsia="en-GB"/>
        </w:rPr>
        <w:t xml:space="preserve">the prescription dispensing service for health centre patients is determined at a specific time (from 8 am to 4 pm), which makes it more difficult for the patient. It was expected that one of the advantages of </w:t>
      </w:r>
      <w:r>
        <w:rPr>
          <w:rFonts w:asciiTheme="minorBidi" w:eastAsiaTheme="minorEastAsia" w:hAnsiTheme="minorBidi"/>
          <w:sz w:val="24"/>
          <w:szCs w:val="24"/>
          <w:lang w:eastAsia="en-GB"/>
        </w:rPr>
        <w:t>transferr</w:t>
      </w:r>
      <w:r w:rsidRPr="00B53033">
        <w:rPr>
          <w:rFonts w:asciiTheme="minorBidi" w:eastAsiaTheme="minorEastAsia" w:hAnsiTheme="minorBidi"/>
          <w:sz w:val="24"/>
          <w:szCs w:val="24"/>
          <w:lang w:eastAsia="en-GB"/>
        </w:rPr>
        <w:t xml:space="preserve">ing the prescription dispensing service to the </w:t>
      </w:r>
      <w:r>
        <w:rPr>
          <w:rFonts w:asciiTheme="minorBidi" w:eastAsiaTheme="minorEastAsia" w:hAnsiTheme="minorBidi"/>
          <w:sz w:val="24"/>
          <w:szCs w:val="24"/>
          <w:lang w:eastAsia="en-GB"/>
        </w:rPr>
        <w:t xml:space="preserve">retail </w:t>
      </w:r>
      <w:r w:rsidRPr="00B53033">
        <w:rPr>
          <w:rFonts w:asciiTheme="minorBidi" w:eastAsiaTheme="minorEastAsia" w:hAnsiTheme="minorBidi"/>
          <w:sz w:val="24"/>
          <w:szCs w:val="24"/>
          <w:lang w:eastAsia="en-GB"/>
        </w:rPr>
        <w:t xml:space="preserve">community pharmacy </w:t>
      </w:r>
      <w:r>
        <w:rPr>
          <w:rFonts w:asciiTheme="minorBidi" w:eastAsiaTheme="minorEastAsia" w:hAnsiTheme="minorBidi"/>
          <w:sz w:val="24"/>
          <w:szCs w:val="24"/>
          <w:lang w:eastAsia="en-GB"/>
        </w:rPr>
        <w:t>would be</w:t>
      </w:r>
      <w:r w:rsidRPr="00B53033">
        <w:rPr>
          <w:rFonts w:asciiTheme="minorBidi" w:eastAsiaTheme="minorEastAsia" w:hAnsiTheme="minorBidi"/>
          <w:sz w:val="24"/>
          <w:szCs w:val="24"/>
          <w:lang w:eastAsia="en-GB"/>
        </w:rPr>
        <w:t xml:space="preserve"> that the service would be available throughout the day.</w:t>
      </w:r>
    </w:p>
    <w:p w14:paraId="6226E17C"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5D5116">
        <w:rPr>
          <w:rFonts w:cstheme="minorHAnsi"/>
          <w:i/>
          <w:iCs/>
          <w:sz w:val="24"/>
          <w:szCs w:val="24"/>
        </w:rPr>
        <w:t xml:space="preserve">dispensing patients' prescriptions from </w:t>
      </w:r>
      <w:r>
        <w:rPr>
          <w:rFonts w:cstheme="minorHAnsi"/>
          <w:i/>
          <w:iCs/>
          <w:sz w:val="24"/>
          <w:szCs w:val="24"/>
        </w:rPr>
        <w:t>t</w:t>
      </w:r>
      <w:r w:rsidRPr="003305D2">
        <w:rPr>
          <w:rFonts w:cstheme="minorHAnsi"/>
          <w:i/>
          <w:iCs/>
          <w:sz w:val="24"/>
          <w:szCs w:val="24"/>
        </w:rPr>
        <w:t>he retail community pharmacy has become from 8 am to 4 pm during weekdays, which means the same situation when the pharmacy located in the PHC. So why let patients, especially the elderly, have trouble dispensing their prescriptions from an external branch, in addition to the fact that it is dispensed incorrectly for him.</w:t>
      </w:r>
      <w:r>
        <w:rPr>
          <w:rFonts w:cstheme="minorHAnsi"/>
          <w:i/>
          <w:iCs/>
          <w:sz w:val="24"/>
          <w:szCs w:val="24"/>
        </w:rPr>
        <w:t>’</w:t>
      </w:r>
      <w:r w:rsidRPr="003305D2">
        <w:rPr>
          <w:rFonts w:cstheme="minorHAnsi"/>
          <w:i/>
          <w:iCs/>
          <w:sz w:val="24"/>
          <w:szCs w:val="24"/>
        </w:rPr>
        <w:t xml:space="preserve"> </w:t>
      </w:r>
      <w:r>
        <w:rPr>
          <w:rFonts w:cstheme="minorHAnsi"/>
          <w:i/>
          <w:iCs/>
          <w:sz w:val="24"/>
          <w:szCs w:val="24"/>
        </w:rPr>
        <w:t>N3</w:t>
      </w:r>
    </w:p>
    <w:p w14:paraId="08A54C1C"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cstheme="minorHAnsi"/>
          <w:i/>
          <w:iCs/>
          <w:sz w:val="24"/>
          <w:szCs w:val="24"/>
        </w:rPr>
      </w:pPr>
      <w:r>
        <w:rPr>
          <w:rFonts w:cstheme="minorHAnsi"/>
          <w:i/>
          <w:iCs/>
          <w:sz w:val="24"/>
          <w:szCs w:val="24"/>
        </w:rPr>
        <w:t>‘</w:t>
      </w:r>
      <w:r w:rsidRPr="00314C83">
        <w:rPr>
          <w:rFonts w:cstheme="minorHAnsi"/>
          <w:i/>
          <w:iCs/>
          <w:sz w:val="24"/>
          <w:szCs w:val="24"/>
        </w:rPr>
        <w:t>I think the structure of PHCs now, the pharmacy is separated from any healthcare centres. The pharmacy is not at the same building which make</w:t>
      </w:r>
      <w:r>
        <w:rPr>
          <w:rFonts w:cstheme="minorHAnsi"/>
          <w:i/>
          <w:iCs/>
          <w:sz w:val="24"/>
          <w:szCs w:val="24"/>
        </w:rPr>
        <w:t>s</w:t>
      </w:r>
      <w:r w:rsidRPr="00314C83">
        <w:rPr>
          <w:rFonts w:cstheme="minorHAnsi"/>
          <w:i/>
          <w:iCs/>
          <w:sz w:val="24"/>
          <w:szCs w:val="24"/>
        </w:rPr>
        <w:t xml:space="preserve"> it more difficult for the patient to get the medicine</w:t>
      </w:r>
      <w:r>
        <w:rPr>
          <w:rFonts w:cstheme="minorHAnsi"/>
          <w:i/>
          <w:iCs/>
          <w:sz w:val="24"/>
          <w:szCs w:val="24"/>
        </w:rPr>
        <w:t>..</w:t>
      </w:r>
      <w:r w:rsidRPr="00314C83">
        <w:rPr>
          <w:rFonts w:cstheme="minorHAnsi"/>
          <w:i/>
          <w:iCs/>
          <w:sz w:val="24"/>
          <w:szCs w:val="24"/>
        </w:rPr>
        <w:t>.</w:t>
      </w:r>
      <w:r>
        <w:rPr>
          <w:rFonts w:cstheme="minorHAnsi"/>
          <w:i/>
          <w:iCs/>
          <w:sz w:val="24"/>
          <w:szCs w:val="24"/>
        </w:rPr>
        <w:t>’D2</w:t>
      </w:r>
    </w:p>
    <w:p w14:paraId="48657D87" w14:textId="77777777" w:rsidR="00821B82" w:rsidRPr="003305D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cstheme="minorHAnsi"/>
          <w:i/>
          <w:iCs/>
          <w:sz w:val="24"/>
          <w:szCs w:val="24"/>
        </w:rPr>
      </w:pPr>
    </w:p>
    <w:p w14:paraId="788D7616" w14:textId="77777777" w:rsidR="00821B82" w:rsidRPr="00F44D14" w:rsidRDefault="00821B82" w:rsidP="00821B82">
      <w:pPr>
        <w:pStyle w:val="Heading5"/>
        <w:spacing w:line="360" w:lineRule="auto"/>
        <w:rPr>
          <w:rFonts w:asciiTheme="minorBidi" w:hAnsiTheme="minorBidi" w:cstheme="minorBidi"/>
          <w:sz w:val="24"/>
          <w:szCs w:val="24"/>
        </w:rPr>
      </w:pPr>
      <w:r w:rsidRPr="00F44D14">
        <w:rPr>
          <w:rFonts w:asciiTheme="minorBidi" w:hAnsiTheme="minorBidi" w:cstheme="minorBidi"/>
          <w:sz w:val="24"/>
          <w:szCs w:val="24"/>
        </w:rPr>
        <w:t>Impacts on teamwork and communication between professionals</w:t>
      </w:r>
    </w:p>
    <w:p w14:paraId="65F82639"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hAnsiTheme="minorBidi"/>
          <w:sz w:val="24"/>
          <w:szCs w:val="24"/>
          <w:lang w:val="en-GB"/>
        </w:rPr>
      </w:pPr>
      <w:r w:rsidRPr="005B03A4">
        <w:rPr>
          <w:rFonts w:asciiTheme="minorBidi" w:hAnsiTheme="minorBidi"/>
          <w:sz w:val="24"/>
          <w:szCs w:val="24"/>
        </w:rPr>
        <w:t xml:space="preserve">Another </w:t>
      </w:r>
      <w:r>
        <w:rPr>
          <w:rFonts w:asciiTheme="minorBidi" w:hAnsiTheme="minorBidi"/>
          <w:sz w:val="24"/>
          <w:szCs w:val="24"/>
        </w:rPr>
        <w:t>main issue</w:t>
      </w:r>
      <w:r w:rsidRPr="005B03A4">
        <w:rPr>
          <w:rFonts w:asciiTheme="minorBidi" w:hAnsiTheme="minorBidi"/>
          <w:sz w:val="24"/>
          <w:szCs w:val="24"/>
        </w:rPr>
        <w:t xml:space="preserve"> raised by participants was the lack of</w:t>
      </w:r>
      <w:r>
        <w:rPr>
          <w:rFonts w:asciiTheme="minorBidi" w:hAnsiTheme="minorBidi"/>
          <w:sz w:val="24"/>
          <w:szCs w:val="24"/>
        </w:rPr>
        <w:t xml:space="preserve"> communication between community pharmacists and HCPs. </w:t>
      </w:r>
      <w:r>
        <w:rPr>
          <w:rFonts w:asciiTheme="minorBidi" w:hAnsiTheme="minorBidi"/>
          <w:sz w:val="24"/>
          <w:szCs w:val="24"/>
          <w:lang w:val="en-GB"/>
        </w:rPr>
        <w:t xml:space="preserve">Participants found it easy to communicate with pharmacists when they worked in the same practice/site. </w:t>
      </w:r>
      <w:r w:rsidRPr="009555B2">
        <w:rPr>
          <w:rFonts w:asciiTheme="minorBidi" w:hAnsiTheme="minorBidi"/>
          <w:sz w:val="24"/>
          <w:szCs w:val="24"/>
          <w:lang w:val="en-GB"/>
        </w:rPr>
        <w:t xml:space="preserve">They described the current situation </w:t>
      </w:r>
      <w:r>
        <w:rPr>
          <w:rFonts w:asciiTheme="minorBidi" w:hAnsiTheme="minorBidi"/>
          <w:sz w:val="24"/>
          <w:szCs w:val="24"/>
          <w:lang w:val="en-GB"/>
        </w:rPr>
        <w:t>a</w:t>
      </w:r>
      <w:r w:rsidRPr="009555B2">
        <w:rPr>
          <w:rFonts w:asciiTheme="minorBidi" w:hAnsiTheme="minorBidi"/>
          <w:sz w:val="24"/>
          <w:szCs w:val="24"/>
          <w:lang w:val="en-GB"/>
        </w:rPr>
        <w:t xml:space="preserve">s challenging as there is no clear </w:t>
      </w:r>
      <w:r>
        <w:rPr>
          <w:rFonts w:asciiTheme="minorBidi" w:hAnsiTheme="minorBidi"/>
          <w:sz w:val="24"/>
          <w:szCs w:val="24"/>
          <w:lang w:val="en-GB"/>
        </w:rPr>
        <w:t xml:space="preserve">connection </w:t>
      </w:r>
      <w:r w:rsidRPr="009555B2">
        <w:rPr>
          <w:rFonts w:asciiTheme="minorBidi" w:hAnsiTheme="minorBidi"/>
          <w:sz w:val="24"/>
          <w:szCs w:val="24"/>
          <w:lang w:val="en-GB"/>
        </w:rPr>
        <w:t>pathway</w:t>
      </w:r>
      <w:r>
        <w:rPr>
          <w:rFonts w:asciiTheme="minorBidi" w:hAnsiTheme="minorBidi"/>
          <w:sz w:val="24"/>
          <w:szCs w:val="24"/>
          <w:lang w:val="en-GB"/>
        </w:rPr>
        <w:t xml:space="preserve"> between primary HCPs and pharmacists working in retail </w:t>
      </w:r>
      <w:r w:rsidRPr="009555B2">
        <w:rPr>
          <w:rFonts w:asciiTheme="minorBidi" w:hAnsiTheme="minorBidi"/>
          <w:sz w:val="24"/>
          <w:szCs w:val="24"/>
          <w:lang w:val="en-GB"/>
        </w:rPr>
        <w:t>community pharmacies</w:t>
      </w:r>
      <w:r>
        <w:rPr>
          <w:rFonts w:asciiTheme="minorBidi" w:hAnsiTheme="minorBidi"/>
          <w:sz w:val="24"/>
          <w:szCs w:val="24"/>
          <w:lang w:val="en-GB"/>
        </w:rPr>
        <w:t xml:space="preserve">. </w:t>
      </w:r>
    </w:p>
    <w:p w14:paraId="7BDF38D6"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D94505">
        <w:rPr>
          <w:rFonts w:cstheme="minorHAnsi"/>
          <w:i/>
          <w:iCs/>
          <w:sz w:val="24"/>
          <w:szCs w:val="24"/>
        </w:rPr>
        <w:t>Currently there is no clear pathway although there is a contact number appearing in the profile of physician prescribing, but they are not calling</w:t>
      </w:r>
      <w:r>
        <w:rPr>
          <w:rFonts w:cstheme="minorHAnsi"/>
          <w:i/>
          <w:iCs/>
          <w:sz w:val="24"/>
          <w:szCs w:val="24"/>
        </w:rPr>
        <w:t>.</w:t>
      </w:r>
      <w:r w:rsidRPr="00D94505">
        <w:rPr>
          <w:rFonts w:cstheme="minorHAnsi"/>
          <w:i/>
          <w:iCs/>
          <w:sz w:val="24"/>
          <w:szCs w:val="24"/>
        </w:rPr>
        <w:t xml:space="preserve"> I haven't received any calls from the </w:t>
      </w:r>
      <w:r>
        <w:rPr>
          <w:rFonts w:cstheme="minorHAnsi"/>
          <w:i/>
          <w:iCs/>
          <w:sz w:val="24"/>
          <w:szCs w:val="24"/>
        </w:rPr>
        <w:t xml:space="preserve">retail </w:t>
      </w:r>
      <w:r w:rsidRPr="00D94505">
        <w:rPr>
          <w:rFonts w:cstheme="minorHAnsi"/>
          <w:i/>
          <w:iCs/>
          <w:sz w:val="24"/>
          <w:szCs w:val="24"/>
        </w:rPr>
        <w:t>community pharmacy</w:t>
      </w:r>
      <w:r>
        <w:rPr>
          <w:rFonts w:cstheme="minorHAnsi"/>
          <w:i/>
          <w:iCs/>
          <w:sz w:val="24"/>
          <w:szCs w:val="24"/>
        </w:rPr>
        <w:t xml:space="preserve">.’ </w:t>
      </w:r>
      <w:r w:rsidRPr="00D94505">
        <w:rPr>
          <w:rFonts w:cstheme="minorHAnsi"/>
          <w:i/>
          <w:iCs/>
          <w:sz w:val="24"/>
          <w:szCs w:val="24"/>
        </w:rPr>
        <w:t xml:space="preserve"> D2</w:t>
      </w:r>
    </w:p>
    <w:p w14:paraId="3D946BAB" w14:textId="77777777" w:rsidR="00821B82" w:rsidRPr="00D94505" w:rsidRDefault="00821B82" w:rsidP="00821B82">
      <w:pPr>
        <w:spacing w:line="240" w:lineRule="auto"/>
        <w:ind w:left="720"/>
        <w:jc w:val="both"/>
        <w:rPr>
          <w:rFonts w:cstheme="minorHAnsi"/>
          <w:i/>
          <w:iCs/>
          <w:sz w:val="24"/>
          <w:szCs w:val="24"/>
        </w:rPr>
      </w:pPr>
      <w:r>
        <w:rPr>
          <w:rFonts w:cstheme="minorHAnsi"/>
          <w:i/>
          <w:iCs/>
          <w:sz w:val="24"/>
          <w:szCs w:val="24"/>
        </w:rPr>
        <w:t>‘It</w:t>
      </w:r>
      <w:r w:rsidRPr="00314C83">
        <w:rPr>
          <w:rFonts w:cstheme="minorHAnsi"/>
          <w:i/>
          <w:iCs/>
          <w:sz w:val="24"/>
          <w:szCs w:val="24"/>
        </w:rPr>
        <w:t xml:space="preserve"> also makes it harder for healthcare practitioners to get in touch with pharmacists since they are in a different building, and they don’t know which pharmacy the patient will go to and which pharmacists.</w:t>
      </w:r>
      <w:r>
        <w:rPr>
          <w:rFonts w:cstheme="minorHAnsi"/>
          <w:i/>
          <w:iCs/>
          <w:sz w:val="24"/>
          <w:szCs w:val="24"/>
        </w:rPr>
        <w:t xml:space="preserve">’ </w:t>
      </w:r>
      <w:r w:rsidRPr="00314C83">
        <w:rPr>
          <w:rFonts w:cstheme="minorHAnsi"/>
          <w:i/>
          <w:iCs/>
          <w:sz w:val="24"/>
          <w:szCs w:val="24"/>
        </w:rPr>
        <w:t>D1</w:t>
      </w:r>
    </w:p>
    <w:p w14:paraId="01F357C4"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1163CE">
        <w:rPr>
          <w:rFonts w:cstheme="minorHAnsi"/>
          <w:i/>
          <w:iCs/>
          <w:sz w:val="24"/>
          <w:szCs w:val="24"/>
        </w:rPr>
        <w:t>Community pharmacists work in isolation without any contact with the medical team in PHCs.</w:t>
      </w:r>
      <w:r>
        <w:rPr>
          <w:rFonts w:cstheme="minorHAnsi"/>
          <w:i/>
          <w:iCs/>
          <w:sz w:val="24"/>
          <w:szCs w:val="24"/>
        </w:rPr>
        <w:t>’Ph1</w:t>
      </w:r>
    </w:p>
    <w:p w14:paraId="6F7AA91B" w14:textId="77777777" w:rsidR="00821B82" w:rsidRPr="001906CE" w:rsidRDefault="00821B82" w:rsidP="00821B82">
      <w:pPr>
        <w:spacing w:before="240" w:line="360" w:lineRule="auto"/>
        <w:jc w:val="both"/>
        <w:rPr>
          <w:rFonts w:asciiTheme="minorBidi" w:hAnsiTheme="minorBidi"/>
          <w:sz w:val="24"/>
          <w:szCs w:val="24"/>
        </w:rPr>
      </w:pPr>
      <w:r w:rsidRPr="001906CE">
        <w:rPr>
          <w:rFonts w:asciiTheme="minorBidi" w:hAnsiTheme="minorBidi"/>
          <w:sz w:val="24"/>
          <w:szCs w:val="24"/>
        </w:rPr>
        <w:t>Due to a lack of communication between healthcare workers in PHCs and community pharmacies, the patient is sometimes given medication other than what is written in the electronic prescription. The treating physician is not notified of the reasons for the change. This is evident in the following quote:</w:t>
      </w:r>
    </w:p>
    <w:p w14:paraId="4FB665C6"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1906CE">
        <w:rPr>
          <w:rFonts w:cstheme="minorHAnsi"/>
          <w:i/>
          <w:iCs/>
          <w:sz w:val="24"/>
          <w:szCs w:val="24"/>
        </w:rPr>
        <w:t xml:space="preserve">Now there is no communication or feedback from community pharmacists. Some patients come back to us and ask: why </w:t>
      </w:r>
      <w:r>
        <w:rPr>
          <w:rFonts w:cstheme="minorHAnsi"/>
          <w:i/>
          <w:iCs/>
          <w:sz w:val="24"/>
          <w:szCs w:val="24"/>
        </w:rPr>
        <w:t xml:space="preserve">have </w:t>
      </w:r>
      <w:r w:rsidRPr="001906CE">
        <w:rPr>
          <w:rFonts w:cstheme="minorHAnsi"/>
          <w:i/>
          <w:iCs/>
          <w:sz w:val="24"/>
          <w:szCs w:val="24"/>
        </w:rPr>
        <w:t>you changed my medication</w:t>
      </w:r>
      <w:r>
        <w:rPr>
          <w:rFonts w:cstheme="minorHAnsi"/>
          <w:i/>
          <w:iCs/>
          <w:sz w:val="24"/>
          <w:szCs w:val="24"/>
        </w:rPr>
        <w:t>?</w:t>
      </w:r>
      <w:r w:rsidRPr="001906CE">
        <w:rPr>
          <w:rFonts w:cstheme="minorHAnsi"/>
          <w:i/>
          <w:iCs/>
          <w:sz w:val="24"/>
          <w:szCs w:val="24"/>
        </w:rPr>
        <w:t xml:space="preserve"> When referring to the doctor’s prescription, the doctor wrote the same name as the requested medication, but we do not know the reasons for the change. There is no communication and no feedback to the doctor from community pharmacists.</w:t>
      </w:r>
      <w:r>
        <w:rPr>
          <w:rFonts w:cstheme="minorHAnsi"/>
          <w:i/>
          <w:iCs/>
          <w:sz w:val="24"/>
          <w:szCs w:val="24"/>
        </w:rPr>
        <w:t>’N1</w:t>
      </w:r>
    </w:p>
    <w:p w14:paraId="236B3C2A" w14:textId="77777777" w:rsidR="00821B82" w:rsidRDefault="00821B82" w:rsidP="00821B82">
      <w:pPr>
        <w:spacing w:before="240" w:line="360" w:lineRule="auto"/>
        <w:jc w:val="both"/>
        <w:rPr>
          <w:rFonts w:asciiTheme="minorBidi" w:hAnsiTheme="minorBidi"/>
          <w:sz w:val="24"/>
          <w:szCs w:val="24"/>
        </w:rPr>
      </w:pPr>
      <w:r w:rsidRPr="002F38FC">
        <w:rPr>
          <w:rFonts w:asciiTheme="minorBidi" w:hAnsiTheme="minorBidi"/>
          <w:sz w:val="24"/>
          <w:szCs w:val="24"/>
        </w:rPr>
        <w:t>Others reported that patients sometimes receive the same medicine from different brands</w:t>
      </w:r>
    </w:p>
    <w:p w14:paraId="63EFEBED"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cstheme="minorHAnsi"/>
          <w:i/>
          <w:iCs/>
          <w:sz w:val="24"/>
          <w:szCs w:val="24"/>
        </w:rPr>
      </w:pPr>
      <w:r>
        <w:rPr>
          <w:rFonts w:cstheme="minorHAnsi"/>
          <w:i/>
          <w:iCs/>
          <w:sz w:val="24"/>
          <w:szCs w:val="24"/>
        </w:rPr>
        <w:t>‘</w:t>
      </w:r>
      <w:r w:rsidRPr="00A9175E">
        <w:rPr>
          <w:rFonts w:cstheme="minorHAnsi"/>
          <w:i/>
          <w:iCs/>
          <w:sz w:val="24"/>
          <w:szCs w:val="24"/>
        </w:rPr>
        <w:t>A patient sent me a photo of the same medication; he said I have a shortage of this and this. Well, this is just a duplicate of the same drug; why are you sending these two; he said I received them from the pharmacist</w:t>
      </w:r>
      <w:r>
        <w:rPr>
          <w:rFonts w:cstheme="minorHAnsi"/>
          <w:i/>
          <w:iCs/>
          <w:sz w:val="24"/>
          <w:szCs w:val="24"/>
        </w:rPr>
        <w:t>’</w:t>
      </w:r>
      <w:r w:rsidRPr="00A9175E">
        <w:rPr>
          <w:rFonts w:cstheme="minorHAnsi"/>
          <w:i/>
          <w:iCs/>
          <w:sz w:val="24"/>
          <w:szCs w:val="24"/>
        </w:rPr>
        <w:t xml:space="preserve"> D2</w:t>
      </w:r>
    </w:p>
    <w:p w14:paraId="063AC6AE"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asciiTheme="minorBidi" w:hAnsiTheme="minorBidi"/>
          <w:sz w:val="24"/>
          <w:szCs w:val="24"/>
        </w:rPr>
      </w:pPr>
      <w:r w:rsidRPr="00631BB3">
        <w:rPr>
          <w:rFonts w:asciiTheme="minorBidi" w:hAnsiTheme="minorBidi"/>
          <w:sz w:val="24"/>
          <w:szCs w:val="24"/>
        </w:rPr>
        <w:t>Dealing with team members based on the workplace was one important issue raised by participants</w:t>
      </w:r>
      <w:r>
        <w:rPr>
          <w:rFonts w:asciiTheme="minorBidi" w:hAnsiTheme="minorBidi"/>
          <w:sz w:val="24"/>
          <w:szCs w:val="24"/>
        </w:rPr>
        <w:t xml:space="preserve"> who</w:t>
      </w:r>
      <w:r w:rsidRPr="00280648">
        <w:rPr>
          <w:rFonts w:asciiTheme="minorBidi" w:hAnsiTheme="minorBidi"/>
          <w:sz w:val="24"/>
          <w:szCs w:val="24"/>
        </w:rPr>
        <w:t xml:space="preserve"> recognised the lack of communication between health care workers in the PHC and the retail community pharmacies</w:t>
      </w:r>
      <w:r>
        <w:rPr>
          <w:rFonts w:asciiTheme="minorBidi" w:hAnsiTheme="minorBidi"/>
          <w:sz w:val="24"/>
          <w:szCs w:val="24"/>
        </w:rPr>
        <w:t>. P</w:t>
      </w:r>
      <w:r w:rsidRPr="00280648">
        <w:rPr>
          <w:rFonts w:asciiTheme="minorBidi" w:hAnsiTheme="minorBidi"/>
          <w:sz w:val="24"/>
          <w:szCs w:val="24"/>
        </w:rPr>
        <w:t>artic</w:t>
      </w:r>
      <w:r>
        <w:rPr>
          <w:rFonts w:asciiTheme="minorBidi" w:hAnsiTheme="minorBidi"/>
          <w:sz w:val="24"/>
          <w:szCs w:val="24"/>
        </w:rPr>
        <w:t>i</w:t>
      </w:r>
      <w:r w:rsidRPr="00280648">
        <w:rPr>
          <w:rFonts w:asciiTheme="minorBidi" w:hAnsiTheme="minorBidi"/>
          <w:sz w:val="24"/>
          <w:szCs w:val="24"/>
        </w:rPr>
        <w:t xml:space="preserve">pants indicated that </w:t>
      </w:r>
      <w:r>
        <w:rPr>
          <w:rFonts w:asciiTheme="minorBidi" w:hAnsiTheme="minorBidi"/>
          <w:sz w:val="24"/>
          <w:szCs w:val="24"/>
        </w:rPr>
        <w:t xml:space="preserve">the </w:t>
      </w:r>
      <w:r w:rsidRPr="00280648">
        <w:rPr>
          <w:rFonts w:asciiTheme="minorBidi" w:hAnsiTheme="minorBidi"/>
          <w:sz w:val="24"/>
          <w:szCs w:val="24"/>
        </w:rPr>
        <w:t>communication system between these two healthcare settings needed to be improved.</w:t>
      </w:r>
    </w:p>
    <w:p w14:paraId="17E4C40D" w14:textId="77777777" w:rsidR="00821B82" w:rsidRPr="00F44D14" w:rsidRDefault="00821B82" w:rsidP="00821B82">
      <w:pPr>
        <w:pStyle w:val="Heading5"/>
        <w:spacing w:line="360" w:lineRule="auto"/>
        <w:rPr>
          <w:rFonts w:asciiTheme="minorBidi" w:hAnsiTheme="minorBidi" w:cstheme="minorBidi"/>
          <w:sz w:val="24"/>
          <w:szCs w:val="24"/>
        </w:rPr>
      </w:pPr>
      <w:r w:rsidRPr="00F44D14">
        <w:rPr>
          <w:rFonts w:asciiTheme="minorBidi" w:hAnsiTheme="minorBidi" w:cstheme="minorBidi"/>
          <w:sz w:val="24"/>
          <w:szCs w:val="24"/>
        </w:rPr>
        <w:t>Lack of medication information service in PHCs</w:t>
      </w:r>
    </w:p>
    <w:p w14:paraId="3E41DB19" w14:textId="77777777" w:rsidR="00821B82" w:rsidRDefault="00821B82" w:rsidP="00821B82">
      <w:pPr>
        <w:spacing w:line="360" w:lineRule="auto"/>
        <w:jc w:val="both"/>
        <w:rPr>
          <w:rFonts w:asciiTheme="minorBidi" w:hAnsiTheme="minorBidi"/>
          <w:sz w:val="24"/>
          <w:szCs w:val="24"/>
        </w:rPr>
      </w:pPr>
      <w:r w:rsidRPr="00055DE9">
        <w:rPr>
          <w:rFonts w:asciiTheme="minorBidi" w:hAnsiTheme="minorBidi"/>
          <w:sz w:val="24"/>
          <w:szCs w:val="24"/>
        </w:rPr>
        <w:t xml:space="preserve">Another major problem that participants encountered after transferring pharmacists from PHCs was the loss of a medication advisor and the difficulty of finding a replacement. There are no medication consultation services or medication information centres in PHCs </w:t>
      </w:r>
      <w:r>
        <w:rPr>
          <w:rFonts w:asciiTheme="minorBidi" w:hAnsiTheme="minorBidi"/>
          <w:sz w:val="24"/>
          <w:szCs w:val="24"/>
        </w:rPr>
        <w:t xml:space="preserve">such </w:t>
      </w:r>
      <w:r w:rsidRPr="00055DE9">
        <w:rPr>
          <w:rFonts w:asciiTheme="minorBidi" w:hAnsiTheme="minorBidi"/>
          <w:sz w:val="24"/>
          <w:szCs w:val="24"/>
        </w:rPr>
        <w:t xml:space="preserve">as </w:t>
      </w:r>
      <w:r>
        <w:rPr>
          <w:rFonts w:asciiTheme="minorBidi" w:hAnsiTheme="minorBidi"/>
          <w:sz w:val="24"/>
          <w:szCs w:val="24"/>
        </w:rPr>
        <w:t xml:space="preserve">there are </w:t>
      </w:r>
      <w:r w:rsidRPr="00055DE9">
        <w:rPr>
          <w:rFonts w:asciiTheme="minorBidi" w:hAnsiTheme="minorBidi"/>
          <w:sz w:val="24"/>
          <w:szCs w:val="24"/>
        </w:rPr>
        <w:t>in hospitals. And they demanded that this service be provided by appointing a specialis</w:t>
      </w:r>
      <w:r>
        <w:rPr>
          <w:rFonts w:asciiTheme="minorBidi" w:hAnsiTheme="minorBidi"/>
          <w:sz w:val="24"/>
          <w:szCs w:val="24"/>
        </w:rPr>
        <w:t>t</w:t>
      </w:r>
      <w:r w:rsidRPr="00055DE9">
        <w:rPr>
          <w:rFonts w:asciiTheme="minorBidi" w:hAnsiTheme="minorBidi"/>
          <w:sz w:val="24"/>
          <w:szCs w:val="24"/>
        </w:rPr>
        <w:t xml:space="preserve"> pharmacist to answer their medication-related inquiries.</w:t>
      </w:r>
    </w:p>
    <w:p w14:paraId="7F7F26A5" w14:textId="77777777" w:rsidR="00821B82" w:rsidRPr="00581CB3" w:rsidRDefault="00821B82" w:rsidP="00821B82">
      <w:pPr>
        <w:spacing w:line="240" w:lineRule="auto"/>
        <w:ind w:left="720"/>
        <w:jc w:val="both"/>
        <w:rPr>
          <w:rFonts w:cstheme="minorHAnsi"/>
          <w:i/>
          <w:iCs/>
          <w:sz w:val="24"/>
          <w:szCs w:val="24"/>
        </w:rPr>
      </w:pPr>
      <w:r>
        <w:rPr>
          <w:rFonts w:cstheme="minorHAnsi"/>
          <w:i/>
          <w:iCs/>
          <w:sz w:val="24"/>
          <w:szCs w:val="24"/>
        </w:rPr>
        <w:t>‘</w:t>
      </w:r>
      <w:r w:rsidRPr="00581CB3">
        <w:rPr>
          <w:rFonts w:cstheme="minorHAnsi"/>
          <w:i/>
          <w:iCs/>
          <w:sz w:val="24"/>
          <w:szCs w:val="24"/>
        </w:rPr>
        <w:t>The first obstacle at present is the lack of a pharmacist in PHCs. If a doctor needs a medication consultation, now it is not easy to find someone to consult; he does not know who to turn to.</w:t>
      </w:r>
      <w:r>
        <w:rPr>
          <w:rFonts w:cstheme="minorHAnsi"/>
          <w:i/>
          <w:iCs/>
          <w:sz w:val="24"/>
          <w:szCs w:val="24"/>
        </w:rPr>
        <w:t>’</w:t>
      </w:r>
      <w:r w:rsidRPr="00581CB3">
        <w:rPr>
          <w:rFonts w:cstheme="minorHAnsi"/>
          <w:i/>
          <w:iCs/>
          <w:sz w:val="24"/>
          <w:szCs w:val="24"/>
        </w:rPr>
        <w:t xml:space="preserve"> </w:t>
      </w:r>
      <w:r>
        <w:rPr>
          <w:rFonts w:cstheme="minorHAnsi"/>
          <w:i/>
          <w:iCs/>
          <w:sz w:val="24"/>
          <w:szCs w:val="24"/>
        </w:rPr>
        <w:t>N2</w:t>
      </w:r>
    </w:p>
    <w:p w14:paraId="4BFA7C9B" w14:textId="77777777" w:rsidR="00821B82" w:rsidRPr="00CB7EE7" w:rsidRDefault="00821B82" w:rsidP="00821B82">
      <w:pPr>
        <w:spacing w:before="240" w:line="360" w:lineRule="auto"/>
        <w:jc w:val="both"/>
        <w:rPr>
          <w:rFonts w:asciiTheme="minorBidi" w:eastAsiaTheme="minorEastAsia" w:hAnsiTheme="minorBidi"/>
          <w:sz w:val="24"/>
          <w:szCs w:val="24"/>
          <w:lang w:val="en-GB" w:eastAsia="en-GB"/>
        </w:rPr>
      </w:pPr>
      <w:r w:rsidRPr="00CB7EE7">
        <w:rPr>
          <w:rFonts w:asciiTheme="minorBidi" w:eastAsiaTheme="minorEastAsia" w:hAnsiTheme="minorBidi"/>
          <w:sz w:val="24"/>
          <w:szCs w:val="24"/>
          <w:lang w:val="en-GB" w:eastAsia="en-GB"/>
        </w:rPr>
        <w:t xml:space="preserve">Taken together, these </w:t>
      </w:r>
      <w:r>
        <w:rPr>
          <w:rFonts w:asciiTheme="minorBidi" w:eastAsiaTheme="minorEastAsia" w:hAnsiTheme="minorBidi"/>
          <w:sz w:val="24"/>
          <w:szCs w:val="24"/>
          <w:lang w:val="en-GB" w:eastAsia="en-GB"/>
        </w:rPr>
        <w:t>findings</w:t>
      </w:r>
      <w:r w:rsidRPr="00CB7EE7">
        <w:rPr>
          <w:rFonts w:asciiTheme="minorBidi" w:eastAsiaTheme="minorEastAsia" w:hAnsiTheme="minorBidi"/>
          <w:sz w:val="24"/>
          <w:szCs w:val="24"/>
          <w:lang w:val="en-GB" w:eastAsia="en-GB"/>
        </w:rPr>
        <w:t xml:space="preserve"> suggest that there are several issues related to current community pharmacy practice. All participants showed their disagreement with the closure of pharmacies from </w:t>
      </w:r>
      <w:r>
        <w:rPr>
          <w:rFonts w:asciiTheme="minorBidi" w:eastAsiaTheme="minorEastAsia" w:hAnsiTheme="minorBidi"/>
          <w:sz w:val="24"/>
          <w:szCs w:val="24"/>
          <w:lang w:val="en-GB" w:eastAsia="en-GB"/>
        </w:rPr>
        <w:t>PHCs</w:t>
      </w:r>
      <w:r w:rsidRPr="00CB7EE7">
        <w:rPr>
          <w:rFonts w:asciiTheme="minorBidi" w:eastAsiaTheme="minorEastAsia" w:hAnsiTheme="minorBidi"/>
          <w:sz w:val="24"/>
          <w:szCs w:val="24"/>
          <w:lang w:val="en-GB" w:eastAsia="en-GB"/>
        </w:rPr>
        <w:t xml:space="preserve"> and the transfer of pharmacy service</w:t>
      </w:r>
      <w:r>
        <w:rPr>
          <w:rFonts w:asciiTheme="minorBidi" w:eastAsiaTheme="minorEastAsia" w:hAnsiTheme="minorBidi"/>
          <w:sz w:val="24"/>
          <w:szCs w:val="24"/>
          <w:lang w:val="en-GB" w:eastAsia="en-GB"/>
        </w:rPr>
        <w:t>s</w:t>
      </w:r>
      <w:r w:rsidRPr="00CB7EE7">
        <w:rPr>
          <w:rFonts w:asciiTheme="minorBidi" w:eastAsiaTheme="minorEastAsia" w:hAnsiTheme="minorBidi"/>
          <w:sz w:val="24"/>
          <w:szCs w:val="24"/>
          <w:lang w:val="en-GB" w:eastAsia="en-GB"/>
        </w:rPr>
        <w:t xml:space="preserve"> to retail community pharmacies. All participants agreed that pharmacy services should be available to patients and integrated into PHCs as the pharmacist within the primary care team has a critical role in patient care, especially in chronic care. The next section of data analysis concerns how primary </w:t>
      </w:r>
      <w:r>
        <w:rPr>
          <w:rFonts w:asciiTheme="minorBidi" w:eastAsiaTheme="minorEastAsia" w:hAnsiTheme="minorBidi"/>
          <w:sz w:val="24"/>
          <w:szCs w:val="24"/>
          <w:lang w:val="en-GB" w:eastAsia="en-GB"/>
        </w:rPr>
        <w:t>HCPs</w:t>
      </w:r>
      <w:r w:rsidRPr="00CB7EE7">
        <w:rPr>
          <w:rFonts w:asciiTheme="minorBidi" w:eastAsiaTheme="minorEastAsia" w:hAnsiTheme="minorBidi"/>
          <w:sz w:val="24"/>
          <w:szCs w:val="24"/>
          <w:lang w:val="en-GB" w:eastAsia="en-GB"/>
        </w:rPr>
        <w:t xml:space="preserve"> (doctors, nurses, and pharmacists) think or feel about the role of pharmacists in </w:t>
      </w:r>
      <w:r w:rsidRPr="00CD693A">
        <w:rPr>
          <w:rFonts w:asciiTheme="minorBidi" w:eastAsiaTheme="minorEastAsia" w:hAnsiTheme="minorBidi"/>
          <w:sz w:val="24"/>
          <w:szCs w:val="24"/>
          <w:lang w:eastAsia="en-GB"/>
        </w:rPr>
        <w:t>diabetes management</w:t>
      </w:r>
      <w:r w:rsidRPr="00CB7EE7">
        <w:rPr>
          <w:rFonts w:asciiTheme="minorBidi" w:eastAsiaTheme="minorEastAsia" w:hAnsiTheme="minorBidi"/>
          <w:sz w:val="24"/>
          <w:szCs w:val="24"/>
          <w:lang w:val="en-GB" w:eastAsia="en-GB"/>
        </w:rPr>
        <w:t>.</w:t>
      </w:r>
    </w:p>
    <w:p w14:paraId="638B191A" w14:textId="77777777" w:rsidR="00821B82" w:rsidRPr="00A26390" w:rsidRDefault="00821B82" w:rsidP="00821B82">
      <w:pPr>
        <w:spacing w:line="360" w:lineRule="auto"/>
        <w:rPr>
          <w:rFonts w:asciiTheme="minorBidi" w:hAnsiTheme="minorBidi"/>
          <w:sz w:val="24"/>
          <w:szCs w:val="24"/>
        </w:rPr>
      </w:pPr>
    </w:p>
    <w:p w14:paraId="6A4EEFA2" w14:textId="77777777" w:rsidR="00821B82" w:rsidRDefault="00821B82" w:rsidP="00821B82">
      <w:pPr>
        <w:rPr>
          <w:rFonts w:asciiTheme="minorBidi" w:hAnsiTheme="minorBidi"/>
          <w:b/>
          <w:bCs/>
          <w:sz w:val="24"/>
          <w:szCs w:val="24"/>
        </w:rPr>
      </w:pPr>
      <w:r>
        <w:rPr>
          <w:rFonts w:asciiTheme="minorBidi" w:hAnsiTheme="minorBidi"/>
          <w:b/>
          <w:bCs/>
          <w:sz w:val="24"/>
          <w:szCs w:val="24"/>
        </w:rPr>
        <w:br w:type="page"/>
      </w:r>
    </w:p>
    <w:p w14:paraId="714BF6FC" w14:textId="77777777" w:rsidR="00821B82" w:rsidRPr="00CD267B" w:rsidRDefault="00821B82" w:rsidP="00821B82">
      <w:pPr>
        <w:pStyle w:val="Heading3"/>
        <w:numPr>
          <w:ilvl w:val="2"/>
          <w:numId w:val="14"/>
        </w:numPr>
        <w:jc w:val="both"/>
      </w:pPr>
      <w:r>
        <w:t xml:space="preserve"> </w:t>
      </w:r>
      <w:bookmarkStart w:id="253" w:name="_Ref126858131"/>
      <w:bookmarkStart w:id="254" w:name="_Toc153894204"/>
      <w:r w:rsidRPr="00FA3214">
        <w:t>Healthcare providers’ attitudes, perceptions, and expectations of the pharmacist’s role in diabetes care</w:t>
      </w:r>
      <w:bookmarkEnd w:id="253"/>
      <w:bookmarkEnd w:id="254"/>
    </w:p>
    <w:p w14:paraId="0A4F1949" w14:textId="77777777" w:rsidR="00821B82" w:rsidRPr="00CD693A"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eastAsiaTheme="minorEastAsia" w:hAnsiTheme="minorBidi"/>
          <w:sz w:val="24"/>
          <w:szCs w:val="24"/>
          <w:lang w:eastAsia="en-GB"/>
        </w:rPr>
      </w:pPr>
      <w:r w:rsidRPr="00CD693A">
        <w:rPr>
          <w:rFonts w:asciiTheme="minorBidi" w:eastAsiaTheme="minorEastAsia" w:hAnsiTheme="minorBidi"/>
          <w:sz w:val="24"/>
          <w:szCs w:val="24"/>
          <w:lang w:eastAsia="en-GB"/>
        </w:rPr>
        <w:t xml:space="preserve">This theme focuses on participants' perceptions of the role of primary care pharmacists in the management of diabetes. It provides an understanding of participants' attitudes toward pharmacists' involvement in diabetes management and how culture influences their attitudes toward the pharmacist's role. It also helps explain why pharmacists classify themselves as dispensers or technicians rather than professionals and how the culture of </w:t>
      </w:r>
      <w:r>
        <w:rPr>
          <w:rFonts w:asciiTheme="minorBidi" w:eastAsiaTheme="minorEastAsia" w:hAnsiTheme="minorBidi"/>
          <w:sz w:val="24"/>
          <w:szCs w:val="24"/>
          <w:lang w:eastAsia="en-GB"/>
        </w:rPr>
        <w:t>SA</w:t>
      </w:r>
      <w:r w:rsidRPr="00CD693A">
        <w:rPr>
          <w:rFonts w:asciiTheme="minorBidi" w:eastAsiaTheme="minorEastAsia" w:hAnsiTheme="minorBidi"/>
          <w:sz w:val="24"/>
          <w:szCs w:val="24"/>
          <w:lang w:eastAsia="en-GB"/>
        </w:rPr>
        <w:t xml:space="preserve"> has shaped their roles.</w:t>
      </w:r>
    </w:p>
    <w:p w14:paraId="1789C330" w14:textId="77777777" w:rsidR="00821B82" w:rsidRPr="002E0A13"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eastAsiaTheme="minorEastAsia" w:hAnsiTheme="minorBidi"/>
          <w:sz w:val="24"/>
          <w:szCs w:val="24"/>
          <w:lang w:eastAsia="en-GB"/>
        </w:rPr>
      </w:pPr>
      <w:r w:rsidRPr="002E0A13">
        <w:rPr>
          <w:rFonts w:asciiTheme="minorBidi" w:eastAsiaTheme="minorEastAsia" w:hAnsiTheme="minorBidi"/>
          <w:sz w:val="24"/>
          <w:szCs w:val="24"/>
          <w:lang w:eastAsia="en-GB"/>
        </w:rPr>
        <w:t xml:space="preserve">This theme consists of </w:t>
      </w:r>
      <w:r>
        <w:rPr>
          <w:rFonts w:asciiTheme="minorBidi" w:eastAsiaTheme="minorEastAsia" w:hAnsiTheme="minorBidi"/>
          <w:sz w:val="24"/>
          <w:szCs w:val="24"/>
          <w:lang w:eastAsia="en-GB"/>
        </w:rPr>
        <w:t>four</w:t>
      </w:r>
      <w:r w:rsidRPr="002E0A13">
        <w:rPr>
          <w:rFonts w:asciiTheme="minorBidi" w:eastAsiaTheme="minorEastAsia" w:hAnsiTheme="minorBidi"/>
          <w:sz w:val="24"/>
          <w:szCs w:val="24"/>
          <w:lang w:eastAsia="en-GB"/>
        </w:rPr>
        <w:t xml:space="preserve"> sub-themes: </w:t>
      </w:r>
      <w:r w:rsidRPr="00675135">
        <w:rPr>
          <w:rFonts w:asciiTheme="minorBidi" w:eastAsiaTheme="minorEastAsia" w:hAnsiTheme="minorBidi"/>
          <w:sz w:val="24"/>
          <w:szCs w:val="24"/>
          <w:lang w:eastAsia="en-GB"/>
        </w:rPr>
        <w:t>culture’s influence on attitudes toward pharmacist’s role</w:t>
      </w:r>
      <w:r>
        <w:rPr>
          <w:rFonts w:asciiTheme="minorBidi" w:eastAsiaTheme="minorEastAsia" w:hAnsiTheme="minorBidi"/>
          <w:sz w:val="24"/>
          <w:szCs w:val="24"/>
          <w:lang w:eastAsia="en-GB"/>
        </w:rPr>
        <w:t>,</w:t>
      </w:r>
      <w:r w:rsidRPr="002E0A13">
        <w:rPr>
          <w:rFonts w:asciiTheme="minorBidi" w:eastAsiaTheme="minorEastAsia" w:hAnsiTheme="minorBidi"/>
          <w:sz w:val="24"/>
          <w:szCs w:val="24"/>
          <w:lang w:eastAsia="en-GB"/>
        </w:rPr>
        <w:t xml:space="preserve"> doctors’ attitude</w:t>
      </w:r>
      <w:r>
        <w:rPr>
          <w:rFonts w:asciiTheme="minorBidi" w:eastAsiaTheme="minorEastAsia" w:hAnsiTheme="minorBidi"/>
          <w:sz w:val="24"/>
          <w:szCs w:val="24"/>
          <w:lang w:eastAsia="en-GB"/>
        </w:rPr>
        <w:t xml:space="preserve"> </w:t>
      </w:r>
      <w:r w:rsidRPr="00675135">
        <w:rPr>
          <w:rFonts w:asciiTheme="minorBidi" w:eastAsiaTheme="minorEastAsia" w:hAnsiTheme="minorBidi"/>
          <w:sz w:val="24"/>
          <w:szCs w:val="24"/>
          <w:lang w:eastAsia="en-GB"/>
        </w:rPr>
        <w:t>toward pharmacist’s role</w:t>
      </w:r>
      <w:r w:rsidRPr="002E0A13">
        <w:rPr>
          <w:rFonts w:asciiTheme="minorBidi" w:eastAsiaTheme="minorEastAsia" w:hAnsiTheme="minorBidi"/>
          <w:sz w:val="24"/>
          <w:szCs w:val="24"/>
          <w:lang w:eastAsia="en-GB"/>
        </w:rPr>
        <w:t>, nurses’ attitude</w:t>
      </w:r>
      <w:r>
        <w:rPr>
          <w:rFonts w:asciiTheme="minorBidi" w:eastAsiaTheme="minorEastAsia" w:hAnsiTheme="minorBidi"/>
          <w:sz w:val="24"/>
          <w:szCs w:val="24"/>
          <w:lang w:eastAsia="en-GB"/>
        </w:rPr>
        <w:t xml:space="preserve"> </w:t>
      </w:r>
      <w:r w:rsidRPr="00675135">
        <w:rPr>
          <w:rFonts w:asciiTheme="minorBidi" w:eastAsiaTheme="minorEastAsia" w:hAnsiTheme="minorBidi"/>
          <w:sz w:val="24"/>
          <w:szCs w:val="24"/>
          <w:lang w:eastAsia="en-GB"/>
        </w:rPr>
        <w:t>toward pharmacist’s role</w:t>
      </w:r>
      <w:r w:rsidRPr="002E0A13">
        <w:rPr>
          <w:rFonts w:asciiTheme="minorBidi" w:eastAsiaTheme="minorEastAsia" w:hAnsiTheme="minorBidi"/>
          <w:sz w:val="24"/>
          <w:szCs w:val="24"/>
          <w:lang w:eastAsia="en-GB"/>
        </w:rPr>
        <w:t>,</w:t>
      </w:r>
      <w:r>
        <w:rPr>
          <w:rFonts w:asciiTheme="minorBidi" w:eastAsiaTheme="minorEastAsia" w:hAnsiTheme="minorBidi"/>
          <w:sz w:val="24"/>
          <w:szCs w:val="24"/>
          <w:lang w:eastAsia="en-GB"/>
        </w:rPr>
        <w:t xml:space="preserve"> </w:t>
      </w:r>
      <w:r w:rsidRPr="002E0A13">
        <w:rPr>
          <w:rFonts w:asciiTheme="minorBidi" w:eastAsiaTheme="minorEastAsia" w:hAnsiTheme="minorBidi"/>
          <w:sz w:val="24"/>
          <w:szCs w:val="24"/>
          <w:lang w:eastAsia="en-GB"/>
        </w:rPr>
        <w:t>and pharmacists’ attitude</w:t>
      </w:r>
      <w:r>
        <w:rPr>
          <w:rFonts w:asciiTheme="minorBidi" w:eastAsiaTheme="minorEastAsia" w:hAnsiTheme="minorBidi"/>
          <w:sz w:val="24"/>
          <w:szCs w:val="24"/>
          <w:lang w:eastAsia="en-GB"/>
        </w:rPr>
        <w:t xml:space="preserve"> </w:t>
      </w:r>
      <w:r w:rsidRPr="00675135">
        <w:rPr>
          <w:rFonts w:asciiTheme="minorBidi" w:eastAsiaTheme="minorEastAsia" w:hAnsiTheme="minorBidi"/>
          <w:sz w:val="24"/>
          <w:szCs w:val="24"/>
          <w:lang w:eastAsia="en-GB"/>
        </w:rPr>
        <w:t>toward pharmacist’s role</w:t>
      </w:r>
      <w:r w:rsidRPr="002E0A13">
        <w:rPr>
          <w:rFonts w:asciiTheme="minorBidi" w:eastAsiaTheme="minorEastAsia" w:hAnsiTheme="minorBidi"/>
          <w:sz w:val="24"/>
          <w:szCs w:val="24"/>
          <w:lang w:eastAsia="en-GB"/>
        </w:rPr>
        <w:t>, and how they differ in their views and attitudes toward the pharmacist's role in diabetes management.</w:t>
      </w:r>
    </w:p>
    <w:p w14:paraId="1B11CEB9" w14:textId="77777777" w:rsidR="00821B82" w:rsidRDefault="00821B82" w:rsidP="00821B82">
      <w:pPr>
        <w:spacing w:line="360" w:lineRule="auto"/>
        <w:jc w:val="both"/>
        <w:rPr>
          <w:rFonts w:asciiTheme="minorBidi" w:eastAsiaTheme="minorEastAsia" w:hAnsiTheme="minorBidi"/>
          <w:sz w:val="24"/>
          <w:szCs w:val="24"/>
          <w:lang w:eastAsia="en-GB"/>
        </w:rPr>
      </w:pPr>
      <w:r w:rsidRPr="00CB3896">
        <w:rPr>
          <w:rFonts w:asciiTheme="minorBidi" w:eastAsiaTheme="minorEastAsia" w:hAnsiTheme="minorBidi"/>
          <w:sz w:val="24"/>
          <w:szCs w:val="24"/>
          <w:lang w:eastAsia="en-GB"/>
        </w:rPr>
        <w:t xml:space="preserve">In general, positive attitudes toward pharmacists' roles were found in </w:t>
      </w:r>
      <w:r>
        <w:rPr>
          <w:rFonts w:asciiTheme="minorBidi" w:eastAsiaTheme="minorEastAsia" w:hAnsiTheme="minorBidi"/>
          <w:sz w:val="24"/>
          <w:szCs w:val="24"/>
          <w:lang w:eastAsia="en-GB"/>
        </w:rPr>
        <w:t xml:space="preserve">all </w:t>
      </w:r>
      <w:r w:rsidRPr="00CB3896">
        <w:rPr>
          <w:rFonts w:asciiTheme="minorBidi" w:eastAsiaTheme="minorEastAsia" w:hAnsiTheme="minorBidi"/>
          <w:sz w:val="24"/>
          <w:szCs w:val="24"/>
          <w:lang w:eastAsia="en-GB"/>
        </w:rPr>
        <w:t xml:space="preserve">three professional groups. They consider pharmacists are crucial members of healthcare teams and systems. </w:t>
      </w:r>
      <w:r w:rsidRPr="001E788E">
        <w:rPr>
          <w:rFonts w:asciiTheme="minorBidi" w:eastAsiaTheme="minorEastAsia" w:hAnsiTheme="minorBidi"/>
          <w:sz w:val="24"/>
          <w:szCs w:val="24"/>
          <w:lang w:eastAsia="en-GB"/>
        </w:rPr>
        <w:t xml:space="preserve">However, differences were also found in the </w:t>
      </w:r>
      <w:r>
        <w:rPr>
          <w:rFonts w:asciiTheme="minorBidi" w:eastAsiaTheme="minorEastAsia" w:hAnsiTheme="minorBidi"/>
          <w:sz w:val="24"/>
          <w:szCs w:val="24"/>
          <w:lang w:eastAsia="en-GB"/>
        </w:rPr>
        <w:t>HCP</w:t>
      </w:r>
      <w:r w:rsidRPr="001E788E">
        <w:rPr>
          <w:rFonts w:asciiTheme="minorBidi" w:eastAsiaTheme="minorEastAsia" w:hAnsiTheme="minorBidi"/>
          <w:sz w:val="24"/>
          <w:szCs w:val="24"/>
          <w:lang w:eastAsia="en-GB"/>
        </w:rPr>
        <w:t xml:space="preserve">s' attitudes toward the clinical roles of pharmacists. The findings indicate that the general perceptions of primary </w:t>
      </w:r>
      <w:r>
        <w:rPr>
          <w:rFonts w:asciiTheme="minorBidi" w:eastAsiaTheme="minorEastAsia" w:hAnsiTheme="minorBidi"/>
          <w:sz w:val="24"/>
          <w:szCs w:val="24"/>
          <w:lang w:eastAsia="en-GB"/>
        </w:rPr>
        <w:t>HCPs</w:t>
      </w:r>
      <w:r w:rsidRPr="001E788E">
        <w:rPr>
          <w:rFonts w:asciiTheme="minorBidi" w:eastAsiaTheme="minorEastAsia" w:hAnsiTheme="minorBidi"/>
          <w:sz w:val="24"/>
          <w:szCs w:val="24"/>
          <w:lang w:eastAsia="en-GB"/>
        </w:rPr>
        <w:t xml:space="preserve"> about the role of pharmacists is limited to dispensing prescriptions and educating patients on their medications. </w:t>
      </w:r>
      <w:r>
        <w:rPr>
          <w:rFonts w:asciiTheme="minorBidi" w:eastAsiaTheme="minorEastAsia" w:hAnsiTheme="minorBidi"/>
          <w:sz w:val="24"/>
          <w:szCs w:val="24"/>
          <w:lang w:eastAsia="en-GB"/>
        </w:rPr>
        <w:t>However,</w:t>
      </w:r>
      <w:r w:rsidRPr="001E788E">
        <w:rPr>
          <w:rFonts w:asciiTheme="minorBidi" w:eastAsiaTheme="minorEastAsia" w:hAnsiTheme="minorBidi"/>
          <w:sz w:val="24"/>
          <w:szCs w:val="24"/>
          <w:lang w:eastAsia="en-GB"/>
        </w:rPr>
        <w:t xml:space="preserve"> </w:t>
      </w:r>
      <w:r>
        <w:rPr>
          <w:rFonts w:asciiTheme="minorBidi" w:eastAsiaTheme="minorEastAsia" w:hAnsiTheme="minorBidi"/>
          <w:sz w:val="24"/>
          <w:szCs w:val="24"/>
          <w:lang w:eastAsia="en-GB"/>
        </w:rPr>
        <w:t>d</w:t>
      </w:r>
      <w:r w:rsidRPr="00882CE1">
        <w:rPr>
          <w:rFonts w:asciiTheme="minorBidi" w:eastAsiaTheme="minorEastAsia" w:hAnsiTheme="minorBidi"/>
          <w:sz w:val="24"/>
          <w:szCs w:val="24"/>
          <w:lang w:eastAsia="en-GB"/>
        </w:rPr>
        <w:t>octors expect more active roles from pharmacists rather than the typical role</w:t>
      </w:r>
      <w:r>
        <w:rPr>
          <w:rFonts w:asciiTheme="minorBidi" w:eastAsiaTheme="minorEastAsia" w:hAnsiTheme="minorBidi"/>
          <w:sz w:val="24"/>
          <w:szCs w:val="24"/>
          <w:lang w:eastAsia="en-GB"/>
        </w:rPr>
        <w:t xml:space="preserve">. </w:t>
      </w:r>
    </w:p>
    <w:p w14:paraId="15345139" w14:textId="77777777" w:rsidR="00821B82" w:rsidRPr="00F44D14" w:rsidRDefault="00821B82" w:rsidP="00821B82">
      <w:pPr>
        <w:pStyle w:val="Heading4"/>
        <w:numPr>
          <w:ilvl w:val="3"/>
          <w:numId w:val="14"/>
        </w:numPr>
        <w:tabs>
          <w:tab w:val="left" w:pos="720"/>
        </w:tabs>
        <w:spacing w:line="360" w:lineRule="auto"/>
        <w:ind w:left="810" w:hanging="810"/>
        <w:rPr>
          <w:rFonts w:asciiTheme="minorBidi" w:hAnsiTheme="minorBidi" w:cstheme="minorBidi"/>
          <w:sz w:val="24"/>
          <w:szCs w:val="24"/>
          <w:rtl/>
        </w:rPr>
      </w:pPr>
      <w:r w:rsidRPr="00F44D14">
        <w:rPr>
          <w:rFonts w:asciiTheme="minorBidi" w:eastAsiaTheme="minorEastAsia" w:hAnsiTheme="minorBidi" w:cstheme="minorBidi"/>
          <w:sz w:val="28"/>
          <w:szCs w:val="28"/>
          <w:lang w:eastAsia="en-GB"/>
        </w:rPr>
        <w:br w:type="page"/>
      </w:r>
      <w:r w:rsidRPr="00F44D14">
        <w:rPr>
          <w:rFonts w:asciiTheme="minorBidi" w:eastAsiaTheme="minorEastAsia" w:hAnsiTheme="minorBidi" w:cstheme="minorBidi"/>
          <w:sz w:val="24"/>
          <w:szCs w:val="24"/>
        </w:rPr>
        <w:t>Culture’s influence on attitudes toward pharmacist’s role</w:t>
      </w:r>
    </w:p>
    <w:p w14:paraId="131CAC29"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eastAsiaTheme="minorEastAsia" w:hAnsiTheme="minorBidi"/>
          <w:sz w:val="24"/>
          <w:szCs w:val="24"/>
          <w:lang w:eastAsia="en-GB"/>
        </w:rPr>
      </w:pPr>
      <w:r w:rsidRPr="00104FE1">
        <w:rPr>
          <w:rFonts w:asciiTheme="minorBidi" w:eastAsiaTheme="minorEastAsia" w:hAnsiTheme="minorBidi"/>
          <w:sz w:val="24"/>
          <w:szCs w:val="24"/>
          <w:lang w:eastAsia="en-GB"/>
        </w:rPr>
        <w:t xml:space="preserve">It seems that </w:t>
      </w:r>
      <w:r>
        <w:rPr>
          <w:rFonts w:asciiTheme="minorBidi" w:eastAsiaTheme="minorEastAsia" w:hAnsiTheme="minorBidi"/>
          <w:sz w:val="24"/>
          <w:szCs w:val="24"/>
          <w:lang w:eastAsia="en-GB"/>
        </w:rPr>
        <w:t xml:space="preserve">the </w:t>
      </w:r>
      <w:r w:rsidRPr="00104FE1">
        <w:rPr>
          <w:rFonts w:asciiTheme="minorBidi" w:eastAsiaTheme="minorEastAsia" w:hAnsiTheme="minorBidi"/>
          <w:sz w:val="24"/>
          <w:szCs w:val="24"/>
          <w:lang w:eastAsia="en-GB"/>
        </w:rPr>
        <w:t xml:space="preserve">society's culture has a significant influence on the attitudes of the medical staff and people towards the pharmacist's role. The stereotypical role of the pharmacist who works in </w:t>
      </w:r>
      <w:r>
        <w:rPr>
          <w:rFonts w:asciiTheme="minorBidi" w:eastAsiaTheme="minorEastAsia" w:hAnsiTheme="minorBidi"/>
          <w:sz w:val="24"/>
          <w:szCs w:val="24"/>
          <w:lang w:eastAsia="en-GB"/>
        </w:rPr>
        <w:t>a PHC</w:t>
      </w:r>
      <w:r w:rsidRPr="00104FE1">
        <w:rPr>
          <w:rFonts w:asciiTheme="minorBidi" w:eastAsiaTheme="minorEastAsia" w:hAnsiTheme="minorBidi"/>
          <w:sz w:val="24"/>
          <w:szCs w:val="24"/>
          <w:lang w:eastAsia="en-GB"/>
        </w:rPr>
        <w:t xml:space="preserve"> is only to dispense prescriptions without </w:t>
      </w:r>
      <w:r w:rsidRPr="00B6228A">
        <w:rPr>
          <w:rFonts w:asciiTheme="minorBidi" w:eastAsiaTheme="minorEastAsia" w:hAnsiTheme="minorBidi"/>
          <w:sz w:val="24"/>
          <w:szCs w:val="24"/>
          <w:lang w:eastAsia="en-GB"/>
        </w:rPr>
        <w:t xml:space="preserve">intervening </w:t>
      </w:r>
      <w:r>
        <w:rPr>
          <w:rFonts w:asciiTheme="minorBidi" w:eastAsiaTheme="minorEastAsia" w:hAnsiTheme="minorBidi"/>
          <w:sz w:val="24"/>
          <w:szCs w:val="24"/>
          <w:lang w:eastAsia="en-GB"/>
        </w:rPr>
        <w:t xml:space="preserve">in </w:t>
      </w:r>
      <w:r w:rsidRPr="00104FE1">
        <w:rPr>
          <w:rFonts w:asciiTheme="minorBidi" w:eastAsiaTheme="minorEastAsia" w:hAnsiTheme="minorBidi"/>
          <w:sz w:val="24"/>
          <w:szCs w:val="24"/>
          <w:lang w:eastAsia="en-GB"/>
        </w:rPr>
        <w:t xml:space="preserve">the doctor’s orders. At the same time, the image appears better for the </w:t>
      </w:r>
      <w:r>
        <w:rPr>
          <w:rFonts w:asciiTheme="minorBidi" w:eastAsiaTheme="minorEastAsia" w:hAnsiTheme="minorBidi"/>
          <w:sz w:val="24"/>
          <w:szCs w:val="24"/>
          <w:lang w:eastAsia="en-GB"/>
        </w:rPr>
        <w:t xml:space="preserve">retail </w:t>
      </w:r>
      <w:r w:rsidRPr="00104FE1">
        <w:rPr>
          <w:rFonts w:asciiTheme="minorBidi" w:eastAsiaTheme="minorEastAsia" w:hAnsiTheme="minorBidi"/>
          <w:sz w:val="24"/>
          <w:szCs w:val="24"/>
          <w:lang w:eastAsia="en-GB"/>
        </w:rPr>
        <w:t>community pharmacist</w:t>
      </w:r>
      <w:r>
        <w:rPr>
          <w:rFonts w:asciiTheme="minorBidi" w:eastAsiaTheme="minorEastAsia" w:hAnsiTheme="minorBidi"/>
          <w:sz w:val="24"/>
          <w:szCs w:val="24"/>
          <w:lang w:eastAsia="en-GB"/>
        </w:rPr>
        <w:t>s</w:t>
      </w:r>
      <w:r w:rsidRPr="00104FE1">
        <w:rPr>
          <w:rFonts w:asciiTheme="minorBidi" w:eastAsiaTheme="minorEastAsia" w:hAnsiTheme="minorBidi"/>
          <w:sz w:val="24"/>
          <w:szCs w:val="24"/>
          <w:lang w:eastAsia="en-GB"/>
        </w:rPr>
        <w:t>, as they appear or see that they are independent in treating the patient.</w:t>
      </w:r>
    </w:p>
    <w:p w14:paraId="4E055A10" w14:textId="77777777" w:rsidR="00821B82" w:rsidRPr="00BF23A0"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w:t>
      </w:r>
      <w:r w:rsidRPr="00BF23A0">
        <w:rPr>
          <w:rFonts w:eastAsiaTheme="minorEastAsia" w:cstheme="minorHAnsi"/>
          <w:i/>
          <w:iCs/>
          <w:sz w:val="24"/>
          <w:szCs w:val="24"/>
          <w:lang w:val="en-GB" w:eastAsia="en-GB"/>
        </w:rPr>
        <w:t xml:space="preserve">e have inherited the role of the pharmacist as dispenser due to the lack of the available qualified clinical pharmacist or bachelor degree pharmacist. Their role was very limited and as it is already </w:t>
      </w:r>
      <w:r>
        <w:rPr>
          <w:rFonts w:eastAsiaTheme="minorEastAsia" w:cstheme="minorHAnsi"/>
          <w:i/>
          <w:iCs/>
          <w:sz w:val="24"/>
          <w:szCs w:val="24"/>
          <w:lang w:val="en-GB" w:eastAsia="en-GB"/>
        </w:rPr>
        <w:t xml:space="preserve">a </w:t>
      </w:r>
      <w:r w:rsidRPr="00BF23A0">
        <w:rPr>
          <w:rFonts w:eastAsiaTheme="minorEastAsia" w:cstheme="minorHAnsi"/>
          <w:i/>
          <w:iCs/>
          <w:sz w:val="24"/>
          <w:szCs w:val="24"/>
          <w:lang w:val="en-GB" w:eastAsia="en-GB"/>
        </w:rPr>
        <w:t xml:space="preserve">stereotype that the pharmacist is dispenser while their job and their background is totally different from the stereotype picture that </w:t>
      </w:r>
      <w:r>
        <w:rPr>
          <w:rFonts w:eastAsiaTheme="minorEastAsia" w:cstheme="minorHAnsi"/>
          <w:i/>
          <w:iCs/>
          <w:sz w:val="24"/>
          <w:szCs w:val="24"/>
          <w:lang w:val="en-GB" w:eastAsia="en-GB"/>
        </w:rPr>
        <w:t xml:space="preserve">was </w:t>
      </w:r>
      <w:r w:rsidRPr="00BF23A0">
        <w:rPr>
          <w:rFonts w:eastAsiaTheme="minorEastAsia" w:cstheme="minorHAnsi"/>
          <w:i/>
          <w:iCs/>
          <w:sz w:val="24"/>
          <w:szCs w:val="24"/>
          <w:lang w:val="en-GB" w:eastAsia="en-GB"/>
        </w:rPr>
        <w:t>inherited for</w:t>
      </w:r>
      <w:r>
        <w:rPr>
          <w:rFonts w:eastAsiaTheme="minorEastAsia" w:cstheme="minorHAnsi"/>
          <w:i/>
          <w:iCs/>
          <w:sz w:val="24"/>
          <w:szCs w:val="24"/>
          <w:lang w:val="en-GB" w:eastAsia="en-GB"/>
        </w:rPr>
        <w:t xml:space="preserve"> a</w:t>
      </w:r>
      <w:r w:rsidRPr="00BF23A0">
        <w:rPr>
          <w:rFonts w:eastAsiaTheme="minorEastAsia" w:cstheme="minorHAnsi"/>
          <w:i/>
          <w:iCs/>
          <w:sz w:val="24"/>
          <w:szCs w:val="24"/>
          <w:lang w:val="en-GB" w:eastAsia="en-GB"/>
        </w:rPr>
        <w:t xml:space="preserve"> long time</w:t>
      </w:r>
      <w:r>
        <w:rPr>
          <w:rFonts w:eastAsiaTheme="minorEastAsia" w:cstheme="minorHAnsi"/>
          <w:i/>
          <w:iCs/>
          <w:sz w:val="24"/>
          <w:szCs w:val="24"/>
          <w:lang w:val="en-GB" w:eastAsia="en-GB"/>
        </w:rPr>
        <w:t>,</w:t>
      </w:r>
      <w:r w:rsidRPr="00BF23A0">
        <w:rPr>
          <w:rFonts w:eastAsiaTheme="minorEastAsia" w:cstheme="minorHAnsi"/>
          <w:i/>
          <w:iCs/>
          <w:sz w:val="24"/>
          <w:szCs w:val="24"/>
          <w:lang w:val="en-GB" w:eastAsia="en-GB"/>
        </w:rPr>
        <w:t xml:space="preserve"> for more than 30 year</w:t>
      </w:r>
      <w:r>
        <w:rPr>
          <w:rFonts w:eastAsiaTheme="minorEastAsia" w:cstheme="minorHAnsi"/>
          <w:i/>
          <w:iCs/>
          <w:sz w:val="24"/>
          <w:szCs w:val="24"/>
          <w:lang w:val="en-GB" w:eastAsia="en-GB"/>
        </w:rPr>
        <w:t>s.’</w:t>
      </w:r>
      <w:r w:rsidRPr="00BF23A0">
        <w:rPr>
          <w:rFonts w:eastAsiaTheme="minorEastAsia" w:cstheme="minorHAnsi"/>
          <w:i/>
          <w:iCs/>
          <w:sz w:val="24"/>
          <w:szCs w:val="24"/>
          <w:lang w:val="en-GB" w:eastAsia="en-GB"/>
        </w:rPr>
        <w:t>D2</w:t>
      </w:r>
    </w:p>
    <w:p w14:paraId="3E5D085B"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‘D</w:t>
      </w:r>
      <w:r w:rsidRPr="00F929E5">
        <w:rPr>
          <w:rFonts w:eastAsiaTheme="minorEastAsia" w:cstheme="minorHAnsi"/>
          <w:i/>
          <w:iCs/>
          <w:sz w:val="24"/>
          <w:szCs w:val="24"/>
          <w:lang w:val="en-GB" w:eastAsia="en-GB"/>
        </w:rPr>
        <w:t>ue to the influence of culture on us, what we grew up on, this person does this, and that person does that and so on.</w:t>
      </w:r>
      <w:r>
        <w:rPr>
          <w:rFonts w:eastAsiaTheme="minorEastAsia" w:cstheme="minorHAnsi"/>
          <w:i/>
          <w:iCs/>
          <w:sz w:val="24"/>
          <w:szCs w:val="24"/>
          <w:lang w:val="en-GB" w:eastAsia="en-GB"/>
        </w:rPr>
        <w:t>’</w:t>
      </w:r>
      <w:r w:rsidRPr="00F929E5">
        <w:rPr>
          <w:rFonts w:eastAsiaTheme="minorEastAsia" w:cstheme="minorHAnsi"/>
          <w:i/>
          <w:iCs/>
          <w:sz w:val="24"/>
          <w:szCs w:val="24"/>
          <w:lang w:val="en-GB" w:eastAsia="en-GB"/>
        </w:rPr>
        <w:t xml:space="preserve"> Ph3</w:t>
      </w:r>
    </w:p>
    <w:p w14:paraId="12165E28" w14:textId="77777777" w:rsidR="00821B82" w:rsidRDefault="00821B82" w:rsidP="00821B82">
      <w:pPr>
        <w:spacing w:before="240" w:line="360" w:lineRule="auto"/>
        <w:jc w:val="both"/>
        <w:rPr>
          <w:rFonts w:asciiTheme="minorBidi" w:eastAsiaTheme="minorEastAsia" w:hAnsiTheme="minorBidi"/>
          <w:sz w:val="24"/>
          <w:szCs w:val="24"/>
          <w:lang w:eastAsia="en-GB"/>
        </w:rPr>
      </w:pPr>
      <w:r w:rsidRPr="003A37EB">
        <w:rPr>
          <w:rFonts w:asciiTheme="minorBidi" w:eastAsiaTheme="minorEastAsia" w:hAnsiTheme="minorBidi"/>
          <w:sz w:val="24"/>
          <w:szCs w:val="24"/>
          <w:lang w:eastAsia="en-GB"/>
        </w:rPr>
        <w:t xml:space="preserve">One of the </w:t>
      </w:r>
      <w:r>
        <w:rPr>
          <w:rFonts w:asciiTheme="minorBidi" w:eastAsiaTheme="minorEastAsia" w:hAnsiTheme="minorBidi"/>
          <w:sz w:val="24"/>
          <w:szCs w:val="24"/>
          <w:lang w:eastAsia="en-GB"/>
        </w:rPr>
        <w:t>participants</w:t>
      </w:r>
      <w:r w:rsidRPr="003A37EB">
        <w:rPr>
          <w:rFonts w:asciiTheme="minorBidi" w:eastAsiaTheme="minorEastAsia" w:hAnsiTheme="minorBidi"/>
          <w:sz w:val="24"/>
          <w:szCs w:val="24"/>
          <w:lang w:eastAsia="en-GB"/>
        </w:rPr>
        <w:t xml:space="preserve"> h</w:t>
      </w:r>
      <w:r>
        <w:rPr>
          <w:rFonts w:asciiTheme="minorBidi" w:eastAsiaTheme="minorEastAsia" w:hAnsiTheme="minorBidi"/>
          <w:sz w:val="24"/>
          <w:szCs w:val="24"/>
          <w:lang w:eastAsia="en-GB"/>
        </w:rPr>
        <w:t>e</w:t>
      </w:r>
      <w:r w:rsidRPr="003A37EB">
        <w:rPr>
          <w:rFonts w:asciiTheme="minorBidi" w:eastAsiaTheme="minorEastAsia" w:hAnsiTheme="minorBidi"/>
          <w:sz w:val="24"/>
          <w:szCs w:val="24"/>
          <w:lang w:eastAsia="en-GB"/>
        </w:rPr>
        <w:t>ld pharmacists responsib</w:t>
      </w:r>
      <w:r>
        <w:rPr>
          <w:rFonts w:asciiTheme="minorBidi" w:eastAsiaTheme="minorEastAsia" w:hAnsiTheme="minorBidi"/>
          <w:sz w:val="24"/>
          <w:szCs w:val="24"/>
          <w:lang w:eastAsia="en-GB"/>
        </w:rPr>
        <w:t>le</w:t>
      </w:r>
      <w:r w:rsidRPr="003A37EB">
        <w:rPr>
          <w:rFonts w:asciiTheme="minorBidi" w:eastAsiaTheme="minorEastAsia" w:hAnsiTheme="minorBidi"/>
          <w:sz w:val="24"/>
          <w:szCs w:val="24"/>
          <w:lang w:eastAsia="en-GB"/>
        </w:rPr>
        <w:t xml:space="preserve"> for changing the stereotype about their role in </w:t>
      </w:r>
      <w:r>
        <w:rPr>
          <w:rFonts w:asciiTheme="minorBidi" w:eastAsiaTheme="minorEastAsia" w:hAnsiTheme="minorBidi"/>
          <w:sz w:val="24"/>
          <w:szCs w:val="24"/>
          <w:lang w:eastAsia="en-GB"/>
        </w:rPr>
        <w:t>PHCs:</w:t>
      </w:r>
    </w:p>
    <w:p w14:paraId="7F26E8DD" w14:textId="77777777" w:rsidR="00821B82" w:rsidRDefault="00821B82" w:rsidP="00821B82">
      <w:pPr>
        <w:spacing w:line="240" w:lineRule="auto"/>
        <w:ind w:left="720"/>
        <w:jc w:val="both"/>
        <w:rPr>
          <w:rFonts w:eastAsiaTheme="minorEastAsia" w:cstheme="minorHAnsi"/>
          <w:i/>
          <w:iCs/>
          <w:sz w:val="24"/>
          <w:szCs w:val="24"/>
          <w:lang w:val="en-GB" w:eastAsia="en-GB"/>
        </w:rPr>
      </w:pPr>
      <w:r w:rsidRPr="004F5E65">
        <w:rPr>
          <w:rFonts w:eastAsiaTheme="minorEastAsia" w:cstheme="minorHAnsi"/>
          <w:i/>
          <w:iCs/>
          <w:sz w:val="24"/>
          <w:szCs w:val="24"/>
          <w:lang w:val="en-GB" w:eastAsia="en-GB"/>
        </w:rPr>
        <w:t>‘A big job is needed by the newly graduated clinical pharmacist in order to change this stereotype picture. I don't think it is only the legislation rather than the role model, we don't have a role model in the primary care, role of the clinical pharmacist…’D2</w:t>
      </w:r>
    </w:p>
    <w:p w14:paraId="12C0594E" w14:textId="77777777" w:rsidR="00821B82" w:rsidRPr="004F5E65" w:rsidRDefault="00821B82" w:rsidP="00821B82">
      <w:pPr>
        <w:spacing w:line="240" w:lineRule="auto"/>
        <w:ind w:left="720"/>
        <w:jc w:val="both"/>
        <w:rPr>
          <w:rFonts w:eastAsiaTheme="minorEastAsia" w:cstheme="minorHAnsi"/>
          <w:i/>
          <w:iCs/>
          <w:sz w:val="24"/>
          <w:szCs w:val="24"/>
          <w:lang w:val="en-GB" w:eastAsia="en-GB"/>
        </w:rPr>
      </w:pPr>
    </w:p>
    <w:p w14:paraId="782EB1EA" w14:textId="77777777" w:rsidR="00821B82" w:rsidRPr="00677FB5" w:rsidRDefault="00821B82" w:rsidP="00821B82">
      <w:pPr>
        <w:spacing w:line="360" w:lineRule="auto"/>
        <w:jc w:val="both"/>
        <w:rPr>
          <w:rFonts w:asciiTheme="minorBidi" w:eastAsiaTheme="minorEastAsia" w:hAnsiTheme="minorBidi"/>
          <w:sz w:val="24"/>
          <w:szCs w:val="24"/>
          <w:lang w:eastAsia="en-GB"/>
        </w:rPr>
      </w:pPr>
      <w:r w:rsidRPr="00677FB5">
        <w:rPr>
          <w:rFonts w:asciiTheme="minorBidi" w:eastAsiaTheme="minorEastAsia" w:hAnsiTheme="minorBidi"/>
          <w:sz w:val="24"/>
          <w:szCs w:val="24"/>
          <w:lang w:eastAsia="en-GB"/>
        </w:rPr>
        <w:t xml:space="preserve">The stereotype of </w:t>
      </w:r>
      <w:r>
        <w:rPr>
          <w:rFonts w:asciiTheme="minorBidi" w:eastAsiaTheme="minorEastAsia" w:hAnsiTheme="minorBidi"/>
          <w:sz w:val="24"/>
          <w:szCs w:val="24"/>
          <w:lang w:eastAsia="en-GB"/>
        </w:rPr>
        <w:t xml:space="preserve">retail </w:t>
      </w:r>
      <w:r w:rsidRPr="00677FB5">
        <w:rPr>
          <w:rFonts w:asciiTheme="minorBidi" w:eastAsiaTheme="minorEastAsia" w:hAnsiTheme="minorBidi"/>
          <w:sz w:val="24"/>
          <w:szCs w:val="24"/>
          <w:lang w:eastAsia="en-GB"/>
        </w:rPr>
        <w:t>community pharmacy is illustrated in the following quote</w:t>
      </w:r>
      <w:r>
        <w:rPr>
          <w:rFonts w:asciiTheme="minorBidi" w:eastAsiaTheme="minorEastAsia" w:hAnsiTheme="minorBidi"/>
          <w:sz w:val="24"/>
          <w:szCs w:val="24"/>
          <w:lang w:eastAsia="en-GB"/>
        </w:rPr>
        <w:t xml:space="preserve">: </w:t>
      </w:r>
    </w:p>
    <w:p w14:paraId="326C6122" w14:textId="77777777" w:rsidR="00821B82" w:rsidRPr="00F929E5"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F929E5">
        <w:rPr>
          <w:rFonts w:eastAsiaTheme="minorEastAsia" w:cstheme="minorHAnsi"/>
          <w:i/>
          <w:iCs/>
          <w:sz w:val="24"/>
          <w:szCs w:val="24"/>
          <w:lang w:val="en-GB" w:eastAsia="en-GB"/>
        </w:rPr>
        <w:t xml:space="preserve">The patient considers the pharmacist as a doctor, and we see this more often in </w:t>
      </w:r>
      <w:r>
        <w:rPr>
          <w:rFonts w:eastAsiaTheme="minorEastAsia" w:cstheme="minorHAnsi"/>
          <w:i/>
          <w:iCs/>
          <w:sz w:val="24"/>
          <w:szCs w:val="24"/>
          <w:lang w:val="en-GB" w:eastAsia="en-GB"/>
        </w:rPr>
        <w:t xml:space="preserve">retail </w:t>
      </w:r>
      <w:r w:rsidRPr="00F929E5">
        <w:rPr>
          <w:rFonts w:eastAsiaTheme="minorEastAsia" w:cstheme="minorHAnsi"/>
          <w:i/>
          <w:iCs/>
          <w:sz w:val="24"/>
          <w:szCs w:val="24"/>
          <w:lang w:val="en-GB" w:eastAsia="en-GB"/>
        </w:rPr>
        <w:t>community pharmacies. Patients go to community pharmacists to explain their condition and seek treatment. The role of the pharmacist is big and not simple.</w:t>
      </w:r>
      <w:r>
        <w:rPr>
          <w:rFonts w:eastAsiaTheme="minorEastAsia" w:cstheme="minorHAnsi"/>
          <w:i/>
          <w:iCs/>
          <w:sz w:val="24"/>
          <w:szCs w:val="24"/>
          <w:lang w:val="en-GB" w:eastAsia="en-GB"/>
        </w:rPr>
        <w:t>’</w:t>
      </w:r>
      <w:r w:rsidRPr="00F929E5">
        <w:rPr>
          <w:rFonts w:eastAsiaTheme="minorEastAsia" w:cstheme="minorHAnsi"/>
          <w:i/>
          <w:iCs/>
          <w:sz w:val="24"/>
          <w:szCs w:val="24"/>
          <w:lang w:val="en-GB" w:eastAsia="en-GB"/>
        </w:rPr>
        <w:t>N1</w:t>
      </w:r>
    </w:p>
    <w:p w14:paraId="02D72A66"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asciiTheme="minorBidi" w:hAnsiTheme="minorBidi"/>
          <w:b/>
          <w:bCs/>
          <w:sz w:val="24"/>
          <w:szCs w:val="24"/>
        </w:rPr>
      </w:pPr>
      <w:r w:rsidRPr="006E2BA0">
        <w:rPr>
          <w:rFonts w:asciiTheme="minorBidi" w:eastAsiaTheme="minorEastAsia" w:hAnsiTheme="minorBidi"/>
          <w:sz w:val="24"/>
          <w:szCs w:val="24"/>
          <w:lang w:eastAsia="en-GB"/>
        </w:rPr>
        <w:t xml:space="preserve">It was noted from the participants' answers that the community's attitude towards the pharmacist's role is somewhat better than that of </w:t>
      </w:r>
      <w:r>
        <w:rPr>
          <w:rFonts w:asciiTheme="minorBidi" w:eastAsiaTheme="minorEastAsia" w:hAnsiTheme="minorBidi"/>
          <w:sz w:val="24"/>
          <w:szCs w:val="24"/>
          <w:lang w:eastAsia="en-GB"/>
        </w:rPr>
        <w:t>HCPs</w:t>
      </w:r>
      <w:r w:rsidRPr="006E2BA0">
        <w:rPr>
          <w:rFonts w:asciiTheme="minorBidi" w:eastAsiaTheme="minorEastAsia" w:hAnsiTheme="minorBidi"/>
          <w:sz w:val="24"/>
          <w:szCs w:val="24"/>
          <w:lang w:eastAsia="en-GB"/>
        </w:rPr>
        <w:t>, although the prevailing practice in both places is the traditional role. However, community pharmacists have privileges that pharmacists do not have in PHCs, as they are allowed to treat common diseases and re-dispense medications for chronic diseases, while pharmacists working in PHCs</w:t>
      </w:r>
      <w:r>
        <w:rPr>
          <w:rFonts w:asciiTheme="minorBidi" w:eastAsiaTheme="minorEastAsia" w:hAnsiTheme="minorBidi"/>
          <w:sz w:val="24"/>
          <w:szCs w:val="24"/>
          <w:lang w:eastAsia="en-GB"/>
        </w:rPr>
        <w:t>,</w:t>
      </w:r>
      <w:r w:rsidRPr="006E2BA0">
        <w:rPr>
          <w:rFonts w:asciiTheme="minorBidi" w:eastAsiaTheme="minorEastAsia" w:hAnsiTheme="minorBidi"/>
          <w:sz w:val="24"/>
          <w:szCs w:val="24"/>
          <w:lang w:eastAsia="en-GB"/>
        </w:rPr>
        <w:t xml:space="preserve"> for legal reasons</w:t>
      </w:r>
      <w:r>
        <w:rPr>
          <w:rFonts w:asciiTheme="minorBidi" w:eastAsiaTheme="minorEastAsia" w:hAnsiTheme="minorBidi"/>
          <w:sz w:val="24"/>
          <w:szCs w:val="24"/>
          <w:lang w:eastAsia="en-GB"/>
        </w:rPr>
        <w:t>,</w:t>
      </w:r>
      <w:r w:rsidRPr="006E2BA0">
        <w:rPr>
          <w:rFonts w:asciiTheme="minorBidi" w:eastAsiaTheme="minorEastAsia" w:hAnsiTheme="minorBidi"/>
          <w:sz w:val="24"/>
          <w:szCs w:val="24"/>
          <w:lang w:eastAsia="en-GB"/>
        </w:rPr>
        <w:t xml:space="preserve"> cannot dispense any medication</w:t>
      </w:r>
      <w:r>
        <w:rPr>
          <w:rFonts w:asciiTheme="minorBidi" w:eastAsiaTheme="minorEastAsia" w:hAnsiTheme="minorBidi"/>
          <w:sz w:val="24"/>
          <w:szCs w:val="24"/>
          <w:lang w:eastAsia="en-GB"/>
        </w:rPr>
        <w:t>,</w:t>
      </w:r>
      <w:r w:rsidRPr="006E2BA0">
        <w:rPr>
          <w:rFonts w:asciiTheme="minorBidi" w:eastAsiaTheme="minorEastAsia" w:hAnsiTheme="minorBidi"/>
          <w:sz w:val="24"/>
          <w:szCs w:val="24"/>
          <w:lang w:eastAsia="en-GB"/>
        </w:rPr>
        <w:t xml:space="preserve"> even those over-the-counter medications such as paracetamol</w:t>
      </w:r>
      <w:r>
        <w:rPr>
          <w:rFonts w:asciiTheme="minorBidi" w:eastAsiaTheme="minorEastAsia" w:hAnsiTheme="minorBidi"/>
          <w:sz w:val="24"/>
          <w:szCs w:val="24"/>
          <w:lang w:eastAsia="en-GB"/>
        </w:rPr>
        <w:t>,</w:t>
      </w:r>
      <w:r w:rsidRPr="006E2BA0">
        <w:rPr>
          <w:rFonts w:asciiTheme="minorBidi" w:eastAsiaTheme="minorEastAsia" w:hAnsiTheme="minorBidi"/>
          <w:sz w:val="24"/>
          <w:szCs w:val="24"/>
          <w:lang w:eastAsia="en-GB"/>
        </w:rPr>
        <w:t xml:space="preserve"> without a prescription. This is why pharmacists working in PHCs are seen as dispensers</w:t>
      </w:r>
      <w:r>
        <w:rPr>
          <w:rFonts w:asciiTheme="minorBidi" w:eastAsiaTheme="minorEastAsia" w:hAnsiTheme="minorBidi"/>
          <w:sz w:val="24"/>
          <w:szCs w:val="24"/>
          <w:lang w:eastAsia="en-GB"/>
        </w:rPr>
        <w:t xml:space="preserve"> who</w:t>
      </w:r>
      <w:r w:rsidRPr="006E2BA0">
        <w:rPr>
          <w:rFonts w:asciiTheme="minorBidi" w:eastAsiaTheme="minorEastAsia" w:hAnsiTheme="minorBidi"/>
          <w:sz w:val="24"/>
          <w:szCs w:val="24"/>
          <w:lang w:eastAsia="en-GB"/>
        </w:rPr>
        <w:t xml:space="preserve"> only count the pills.</w:t>
      </w:r>
    </w:p>
    <w:p w14:paraId="138244C1" w14:textId="77777777" w:rsidR="00821B82" w:rsidRPr="001D02BD" w:rsidRDefault="00821B82" w:rsidP="00821B82">
      <w:pPr>
        <w:pStyle w:val="Heading4"/>
        <w:numPr>
          <w:ilvl w:val="3"/>
          <w:numId w:val="14"/>
        </w:numPr>
        <w:tabs>
          <w:tab w:val="left" w:pos="720"/>
        </w:tabs>
        <w:spacing w:line="360" w:lineRule="auto"/>
        <w:ind w:left="810" w:hanging="810"/>
        <w:rPr>
          <w:rFonts w:asciiTheme="minorBidi" w:eastAsiaTheme="minorEastAsia" w:hAnsiTheme="minorBidi" w:cstheme="minorBidi"/>
          <w:sz w:val="24"/>
          <w:szCs w:val="24"/>
        </w:rPr>
      </w:pPr>
      <w:r w:rsidRPr="001D02BD">
        <w:rPr>
          <w:rFonts w:asciiTheme="minorBidi" w:eastAsiaTheme="minorEastAsia" w:hAnsiTheme="minorBidi" w:cstheme="minorBidi"/>
          <w:sz w:val="24"/>
          <w:szCs w:val="24"/>
        </w:rPr>
        <w:t>Doctors’ attitude towards the role of pharmacists in diabetes management.</w:t>
      </w:r>
    </w:p>
    <w:p w14:paraId="07944E5A" w14:textId="77777777" w:rsidR="00821B82" w:rsidRDefault="00821B82" w:rsidP="00821B82">
      <w:pPr>
        <w:spacing w:line="360" w:lineRule="auto"/>
        <w:jc w:val="both"/>
        <w:rPr>
          <w:rFonts w:eastAsiaTheme="minorEastAsia" w:cstheme="minorHAnsi"/>
          <w:i/>
          <w:iCs/>
          <w:sz w:val="24"/>
          <w:szCs w:val="24"/>
          <w:lang w:val="en-GB" w:eastAsia="en-GB"/>
        </w:rPr>
      </w:pPr>
      <w:r w:rsidRPr="00B020D2">
        <w:rPr>
          <w:rFonts w:asciiTheme="minorBidi" w:hAnsiTheme="minorBidi"/>
          <w:sz w:val="24"/>
          <w:szCs w:val="24"/>
        </w:rPr>
        <w:t xml:space="preserve">The participants </w:t>
      </w:r>
      <w:r>
        <w:rPr>
          <w:rFonts w:asciiTheme="minorBidi" w:hAnsiTheme="minorBidi"/>
          <w:sz w:val="24"/>
          <w:szCs w:val="24"/>
        </w:rPr>
        <w:t xml:space="preserve">in this study included only two </w:t>
      </w:r>
      <w:r w:rsidRPr="00B020D2">
        <w:rPr>
          <w:rFonts w:asciiTheme="minorBidi" w:hAnsiTheme="minorBidi"/>
          <w:sz w:val="24"/>
          <w:szCs w:val="24"/>
        </w:rPr>
        <w:t xml:space="preserve">doctors. Their experience varies greatly, one </w:t>
      </w:r>
      <w:r>
        <w:rPr>
          <w:rFonts w:asciiTheme="minorBidi" w:hAnsiTheme="minorBidi"/>
          <w:sz w:val="24"/>
          <w:szCs w:val="24"/>
        </w:rPr>
        <w:t xml:space="preserve">with </w:t>
      </w:r>
      <w:r w:rsidRPr="00B020D2">
        <w:rPr>
          <w:rFonts w:asciiTheme="minorBidi" w:hAnsiTheme="minorBidi"/>
          <w:sz w:val="24"/>
          <w:szCs w:val="24"/>
        </w:rPr>
        <w:t xml:space="preserve">over 20 years and the other almost five years. The person with </w:t>
      </w:r>
      <w:r>
        <w:rPr>
          <w:rFonts w:asciiTheme="minorBidi" w:hAnsiTheme="minorBidi"/>
          <w:sz w:val="24"/>
          <w:szCs w:val="24"/>
        </w:rPr>
        <w:t xml:space="preserve">the </w:t>
      </w:r>
      <w:r w:rsidRPr="00B020D2">
        <w:rPr>
          <w:rFonts w:asciiTheme="minorBidi" w:hAnsiTheme="minorBidi"/>
          <w:sz w:val="24"/>
          <w:szCs w:val="24"/>
        </w:rPr>
        <w:t>long</w:t>
      </w:r>
      <w:r>
        <w:rPr>
          <w:rFonts w:asciiTheme="minorBidi" w:hAnsiTheme="minorBidi"/>
          <w:sz w:val="24"/>
          <w:szCs w:val="24"/>
        </w:rPr>
        <w:t>er</w:t>
      </w:r>
      <w:r w:rsidRPr="00B020D2">
        <w:rPr>
          <w:rFonts w:asciiTheme="minorBidi" w:hAnsiTheme="minorBidi"/>
          <w:sz w:val="24"/>
          <w:szCs w:val="24"/>
        </w:rPr>
        <w:t xml:space="preserve"> experience is a consultant and leader at the level of the </w:t>
      </w:r>
      <w:r>
        <w:rPr>
          <w:rFonts w:asciiTheme="minorBidi" w:hAnsiTheme="minorBidi"/>
          <w:sz w:val="24"/>
          <w:szCs w:val="24"/>
        </w:rPr>
        <w:t>MoH</w:t>
      </w:r>
      <w:r w:rsidRPr="00B020D2">
        <w:rPr>
          <w:rFonts w:asciiTheme="minorBidi" w:hAnsiTheme="minorBidi"/>
          <w:sz w:val="24"/>
          <w:szCs w:val="24"/>
        </w:rPr>
        <w:t xml:space="preserve">, and the other is a general practitioner with little experience working in </w:t>
      </w:r>
      <w:r>
        <w:rPr>
          <w:rFonts w:asciiTheme="minorBidi" w:hAnsiTheme="minorBidi"/>
          <w:sz w:val="24"/>
          <w:szCs w:val="24"/>
        </w:rPr>
        <w:t>PHCs</w:t>
      </w:r>
      <w:r w:rsidRPr="00B020D2">
        <w:rPr>
          <w:rFonts w:asciiTheme="minorBidi" w:hAnsiTheme="minorBidi"/>
          <w:sz w:val="24"/>
          <w:szCs w:val="24"/>
        </w:rPr>
        <w:t xml:space="preserve">. Both of them have very positive attitudes towards the pharmacist's participation in the treatment of diabetics. But </w:t>
      </w:r>
      <w:r>
        <w:rPr>
          <w:rFonts w:asciiTheme="minorBidi" w:hAnsiTheme="minorBidi"/>
          <w:sz w:val="24"/>
          <w:szCs w:val="24"/>
        </w:rPr>
        <w:t>the two differ in terms of their</w:t>
      </w:r>
      <w:r w:rsidRPr="00B020D2">
        <w:rPr>
          <w:rFonts w:asciiTheme="minorBidi" w:hAnsiTheme="minorBidi"/>
          <w:sz w:val="24"/>
          <w:szCs w:val="24"/>
        </w:rPr>
        <w:t xml:space="preserve"> level of trust in a pharmacist's abilities. The </w:t>
      </w:r>
      <w:r>
        <w:rPr>
          <w:rFonts w:asciiTheme="minorBidi" w:hAnsiTheme="minorBidi"/>
          <w:sz w:val="24"/>
          <w:szCs w:val="24"/>
        </w:rPr>
        <w:t xml:space="preserve">more </w:t>
      </w:r>
      <w:r w:rsidRPr="00B020D2">
        <w:rPr>
          <w:rFonts w:asciiTheme="minorBidi" w:hAnsiTheme="minorBidi"/>
          <w:sz w:val="24"/>
          <w:szCs w:val="24"/>
        </w:rPr>
        <w:t xml:space="preserve">experienced person was very encouraging </w:t>
      </w:r>
      <w:r>
        <w:rPr>
          <w:rFonts w:asciiTheme="minorBidi" w:hAnsiTheme="minorBidi"/>
          <w:sz w:val="24"/>
          <w:szCs w:val="24"/>
        </w:rPr>
        <w:t>regarding</w:t>
      </w:r>
      <w:r w:rsidRPr="00B020D2">
        <w:rPr>
          <w:rFonts w:asciiTheme="minorBidi" w:hAnsiTheme="minorBidi"/>
          <w:sz w:val="24"/>
          <w:szCs w:val="24"/>
        </w:rPr>
        <w:t xml:space="preserve"> expand</w:t>
      </w:r>
      <w:r>
        <w:rPr>
          <w:rFonts w:asciiTheme="minorBidi" w:hAnsiTheme="minorBidi"/>
          <w:sz w:val="24"/>
          <w:szCs w:val="24"/>
        </w:rPr>
        <w:t>ing</w:t>
      </w:r>
      <w:r w:rsidRPr="00B020D2">
        <w:rPr>
          <w:rFonts w:asciiTheme="minorBidi" w:hAnsiTheme="minorBidi"/>
          <w:sz w:val="24"/>
          <w:szCs w:val="24"/>
        </w:rPr>
        <w:t xml:space="preserve"> the pharmacist's role to include carrying out the drug review</w:t>
      </w:r>
      <w:r>
        <w:rPr>
          <w:rFonts w:asciiTheme="minorBidi" w:hAnsiTheme="minorBidi"/>
          <w:sz w:val="24"/>
          <w:szCs w:val="24"/>
        </w:rPr>
        <w:t>, a task</w:t>
      </w:r>
      <w:r w:rsidRPr="00B020D2">
        <w:rPr>
          <w:rFonts w:asciiTheme="minorBidi" w:hAnsiTheme="minorBidi"/>
          <w:sz w:val="24"/>
          <w:szCs w:val="24"/>
        </w:rPr>
        <w:t xml:space="preserve"> that takes time and effort from the treating physician. He also suggested going further to re-dispense the treatment </w:t>
      </w:r>
      <w:r>
        <w:rPr>
          <w:rFonts w:asciiTheme="minorBidi" w:hAnsiTheme="minorBidi"/>
          <w:sz w:val="24"/>
          <w:szCs w:val="24"/>
        </w:rPr>
        <w:t>for</w:t>
      </w:r>
      <w:r w:rsidRPr="00B020D2">
        <w:rPr>
          <w:rFonts w:asciiTheme="minorBidi" w:hAnsiTheme="minorBidi"/>
          <w:sz w:val="24"/>
          <w:szCs w:val="24"/>
        </w:rPr>
        <w:t xml:space="preserve"> patients with stable chronic conditions and treat common diseases. He mentioned several diseases that pharmacists can manage, including managing urinary tract infections in women, and thyroid hormone deficiency, as both have a straightforward approach to treatment.</w:t>
      </w:r>
      <w:r w:rsidRPr="0002301B">
        <w:rPr>
          <w:rFonts w:eastAsiaTheme="minorEastAsia" w:cstheme="minorHAnsi"/>
          <w:i/>
          <w:iCs/>
          <w:sz w:val="24"/>
          <w:szCs w:val="24"/>
          <w:lang w:val="en-GB" w:eastAsia="en-GB"/>
        </w:rPr>
        <w:t xml:space="preserve"> </w:t>
      </w:r>
    </w:p>
    <w:p w14:paraId="5F8E7995" w14:textId="77777777" w:rsidR="00821B82" w:rsidRPr="0002301B" w:rsidRDefault="00821B82" w:rsidP="00821B82">
      <w:pPr>
        <w:spacing w:line="240" w:lineRule="auto"/>
        <w:ind w:left="720"/>
        <w:jc w:val="both"/>
        <w:rPr>
          <w:rFonts w:eastAsiaTheme="minorEastAsia" w:cstheme="minorHAnsi"/>
          <w:i/>
          <w:iCs/>
          <w:sz w:val="24"/>
          <w:szCs w:val="24"/>
          <w:lang w:val="en-GB" w:eastAsia="en-GB"/>
        </w:rPr>
      </w:pPr>
      <w:r w:rsidRPr="0002301B">
        <w:rPr>
          <w:rFonts w:eastAsiaTheme="minorEastAsia" w:cstheme="minorHAnsi"/>
          <w:i/>
          <w:iCs/>
          <w:sz w:val="24"/>
          <w:szCs w:val="24"/>
          <w:lang w:val="en-GB" w:eastAsia="en-GB"/>
        </w:rPr>
        <w:t>‘I think of the role of the pharmacist in reviewing medication is a crucial one […] if we have any intervention with regard of the polypharmacy, I think this will decrease the admission rate due to the electrolyte disturbances related to be polypharmacy […] I have sometimes 15 visits just for refill or 15 calls just for refills […] and I'm wondering if this role should be directed to the pharmacist.’ D2</w:t>
      </w:r>
    </w:p>
    <w:p w14:paraId="77DB2D61"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asciiTheme="minorBidi" w:hAnsiTheme="minorBidi"/>
          <w:sz w:val="24"/>
          <w:szCs w:val="24"/>
        </w:rPr>
      </w:pPr>
      <w:r w:rsidRPr="00B020D2">
        <w:rPr>
          <w:rFonts w:asciiTheme="minorBidi" w:hAnsiTheme="minorBidi"/>
          <w:sz w:val="24"/>
          <w:szCs w:val="24"/>
        </w:rPr>
        <w:t xml:space="preserve">As for the other doctor with less experience, it seems that she is less familiar with the clinical roles that the pharmacist can play. This is evident by her response to the question about delegating the task of medication review to the pharmacist instead of the doctor; </w:t>
      </w:r>
      <w:r>
        <w:rPr>
          <w:rFonts w:asciiTheme="minorBidi" w:hAnsiTheme="minorBidi"/>
          <w:sz w:val="24"/>
          <w:szCs w:val="24"/>
        </w:rPr>
        <w:t xml:space="preserve">in her opinion </w:t>
      </w:r>
      <w:r w:rsidRPr="00B020D2">
        <w:rPr>
          <w:rFonts w:asciiTheme="minorBidi" w:hAnsiTheme="minorBidi"/>
          <w:sz w:val="24"/>
          <w:szCs w:val="24"/>
        </w:rPr>
        <w:t xml:space="preserve">the doctor must review the patient's medications before issuing a new prescription, even if the pharmacist </w:t>
      </w:r>
      <w:r>
        <w:rPr>
          <w:rFonts w:asciiTheme="minorBidi" w:hAnsiTheme="minorBidi"/>
          <w:sz w:val="24"/>
          <w:szCs w:val="24"/>
        </w:rPr>
        <w:t xml:space="preserve">already </w:t>
      </w:r>
      <w:r w:rsidRPr="00B020D2">
        <w:rPr>
          <w:rFonts w:asciiTheme="minorBidi" w:hAnsiTheme="minorBidi"/>
          <w:sz w:val="24"/>
          <w:szCs w:val="24"/>
        </w:rPr>
        <w:t>does so.</w:t>
      </w:r>
    </w:p>
    <w:p w14:paraId="2E68E3CA" w14:textId="77777777" w:rsidR="00821B82" w:rsidRPr="005569BD" w:rsidRDefault="00821B82" w:rsidP="00821B82">
      <w:pPr>
        <w:spacing w:line="240" w:lineRule="auto"/>
        <w:ind w:left="720"/>
        <w:jc w:val="both"/>
        <w:rPr>
          <w:rFonts w:eastAsiaTheme="minorEastAsia" w:cstheme="minorHAnsi"/>
          <w:i/>
          <w:iCs/>
          <w:sz w:val="24"/>
          <w:szCs w:val="24"/>
          <w:lang w:val="en-GB" w:eastAsia="en-GB"/>
        </w:rPr>
      </w:pPr>
      <w:r w:rsidRPr="005569BD">
        <w:rPr>
          <w:rFonts w:eastAsiaTheme="minorEastAsia" w:cstheme="minorHAnsi"/>
          <w:i/>
          <w:iCs/>
          <w:sz w:val="24"/>
          <w:szCs w:val="24"/>
          <w:lang w:val="en-GB" w:eastAsia="en-GB"/>
        </w:rPr>
        <w:t>‘Well, I think both (doctor and pharmacist) should do it. I think the doctor is responsible for prescribing the medicine and if there is any mistake will be the one who has to answer to any committee; so he should “you have to do your own work.”  He should review the medication of each single patient, he is responsible for that, and if we are talking about a committee, we need to report things to, let’s say, the ministry of health. There is no problem if the doctor, as head of the team, gives a part for the pharmacists, let's say, give them the part to review the medicines after him.’ D1</w:t>
      </w:r>
    </w:p>
    <w:p w14:paraId="08F79879" w14:textId="77777777" w:rsidR="00821B82" w:rsidRDefault="00821B82" w:rsidP="00821B82">
      <w:pPr>
        <w:spacing w:line="360" w:lineRule="auto"/>
        <w:jc w:val="both"/>
        <w:rPr>
          <w:rFonts w:asciiTheme="minorBidi" w:eastAsiaTheme="minorEastAsia" w:hAnsiTheme="minorBidi"/>
          <w:sz w:val="24"/>
          <w:szCs w:val="24"/>
          <w:lang w:eastAsia="en-GB"/>
        </w:rPr>
      </w:pPr>
      <w:r w:rsidRPr="00125CA9">
        <w:rPr>
          <w:rFonts w:asciiTheme="minorBidi" w:eastAsiaTheme="minorEastAsia" w:hAnsiTheme="minorBidi"/>
          <w:sz w:val="24"/>
          <w:szCs w:val="24"/>
          <w:lang w:val="en-GB" w:eastAsia="en-GB"/>
        </w:rPr>
        <w:t>In general, the analysis of the results of interviews with doctors indicates that holders of higher degrees as specialists and consultants have a positive attitude towards the role of pharmacists and trust them more than juniors (or residents).</w:t>
      </w:r>
    </w:p>
    <w:p w14:paraId="1DA11680" w14:textId="77777777" w:rsidR="00821B82" w:rsidRPr="005569BD" w:rsidRDefault="00821B82" w:rsidP="00821B82">
      <w:pPr>
        <w:spacing w:line="240" w:lineRule="auto"/>
        <w:ind w:left="720"/>
        <w:jc w:val="both"/>
        <w:rPr>
          <w:rFonts w:eastAsiaTheme="minorEastAsia" w:cstheme="minorHAnsi"/>
          <w:i/>
          <w:iCs/>
          <w:sz w:val="24"/>
          <w:szCs w:val="24"/>
          <w:lang w:val="en-GB" w:eastAsia="en-GB"/>
        </w:rPr>
      </w:pPr>
      <w:r w:rsidRPr="005569BD">
        <w:rPr>
          <w:rFonts w:eastAsiaTheme="minorEastAsia" w:cstheme="minorHAnsi"/>
          <w:i/>
          <w:iCs/>
          <w:sz w:val="24"/>
          <w:szCs w:val="24"/>
          <w:lang w:val="en-GB" w:eastAsia="en-GB"/>
        </w:rPr>
        <w:t>I did hear my doctor, my supervisor which I trained under, I did hear him and he is always asking pharmacists D1</w:t>
      </w:r>
    </w:p>
    <w:p w14:paraId="47E8FD59" w14:textId="77777777" w:rsidR="00821B82" w:rsidRDefault="00821B82" w:rsidP="00821B82">
      <w:pPr>
        <w:spacing w:before="240" w:line="360" w:lineRule="auto"/>
        <w:jc w:val="both"/>
        <w:rPr>
          <w:rFonts w:asciiTheme="minorBidi" w:eastAsiaTheme="minorEastAsia" w:hAnsiTheme="minorBidi"/>
          <w:sz w:val="24"/>
          <w:szCs w:val="24"/>
          <w:lang w:eastAsia="en-GB"/>
        </w:rPr>
      </w:pPr>
      <w:r w:rsidRPr="002F5EDB">
        <w:rPr>
          <w:rFonts w:asciiTheme="minorBidi" w:eastAsiaTheme="minorEastAsia" w:hAnsiTheme="minorBidi"/>
          <w:sz w:val="24"/>
          <w:szCs w:val="24"/>
          <w:lang w:eastAsia="en-GB"/>
        </w:rPr>
        <w:t xml:space="preserve">It was also found that junior doctors were less cooperative and listened to the pharmacist's opinion; </w:t>
      </w:r>
      <w:r>
        <w:rPr>
          <w:rFonts w:asciiTheme="minorBidi" w:eastAsiaTheme="minorEastAsia" w:hAnsiTheme="minorBidi"/>
          <w:sz w:val="24"/>
          <w:szCs w:val="24"/>
          <w:lang w:eastAsia="en-GB"/>
        </w:rPr>
        <w:t>t</w:t>
      </w:r>
      <w:r w:rsidRPr="006F4D67">
        <w:rPr>
          <w:rFonts w:asciiTheme="minorBidi" w:eastAsiaTheme="minorEastAsia" w:hAnsiTheme="minorBidi"/>
          <w:sz w:val="24"/>
          <w:szCs w:val="24"/>
          <w:lang w:eastAsia="en-GB"/>
        </w:rPr>
        <w:t>hey were annoyed by the interventions of pharmacists.</w:t>
      </w:r>
      <w:r>
        <w:rPr>
          <w:rFonts w:asciiTheme="minorBidi" w:eastAsiaTheme="minorEastAsia" w:hAnsiTheme="minorBidi"/>
          <w:sz w:val="24"/>
          <w:szCs w:val="24"/>
          <w:lang w:eastAsia="en-GB"/>
        </w:rPr>
        <w:t xml:space="preserve"> </w:t>
      </w:r>
      <w:r w:rsidRPr="002F5EDB">
        <w:rPr>
          <w:rFonts w:asciiTheme="minorBidi" w:eastAsiaTheme="minorEastAsia" w:hAnsiTheme="minorBidi"/>
          <w:sz w:val="24"/>
          <w:szCs w:val="24"/>
          <w:lang w:eastAsia="en-GB"/>
        </w:rPr>
        <w:t>As one of the doctors interviewed said:</w:t>
      </w:r>
    </w:p>
    <w:p w14:paraId="504C18CC" w14:textId="77777777" w:rsidR="00821B82" w:rsidRPr="005569BD"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5569BD">
        <w:rPr>
          <w:rFonts w:eastAsiaTheme="minorEastAsia" w:cstheme="minorHAnsi"/>
          <w:i/>
          <w:iCs/>
          <w:sz w:val="24"/>
          <w:szCs w:val="24"/>
          <w:lang w:val="en-GB" w:eastAsia="en-GB"/>
        </w:rPr>
        <w:t>I usually involve them and I feel they are part of the team, but I know many situation of my colleagues s</w:t>
      </w:r>
      <w:r>
        <w:rPr>
          <w:rFonts w:eastAsiaTheme="minorEastAsia" w:cstheme="minorHAnsi"/>
          <w:i/>
          <w:iCs/>
          <w:sz w:val="24"/>
          <w:szCs w:val="24"/>
          <w:lang w:val="en-GB" w:eastAsia="en-GB"/>
        </w:rPr>
        <w:t>t</w:t>
      </w:r>
      <w:r w:rsidRPr="005569BD">
        <w:rPr>
          <w:rFonts w:eastAsiaTheme="minorEastAsia" w:cstheme="minorHAnsi"/>
          <w:i/>
          <w:iCs/>
          <w:sz w:val="24"/>
          <w:szCs w:val="24"/>
          <w:lang w:val="en-GB" w:eastAsia="en-GB"/>
        </w:rPr>
        <w:t>ate that they get angry or uncomfortable whenever they have been called by the pharmacist to question any order or question any changes in medication, regardless for diabetic or non diabetic patients. They say we feel uncomfortable, always the pharmacist is calling me and corrects that or it is not allowed or decrease the dose; this is not the actual dose, is not an indication,  I said this is a healthy way of you know controlling the privilege. I don't feel angry about it, it is a part of our mission to ensure everybody is taking a role in the management. I have work</w:t>
      </w:r>
      <w:r>
        <w:rPr>
          <w:rFonts w:eastAsiaTheme="minorEastAsia" w:cstheme="minorHAnsi"/>
          <w:i/>
          <w:iCs/>
          <w:sz w:val="24"/>
          <w:szCs w:val="24"/>
          <w:lang w:val="en-GB" w:eastAsia="en-GB"/>
        </w:rPr>
        <w:t>ed</w:t>
      </w:r>
      <w:r w:rsidRPr="005569BD">
        <w:rPr>
          <w:rFonts w:eastAsiaTheme="minorEastAsia" w:cstheme="minorHAnsi"/>
          <w:i/>
          <w:iCs/>
          <w:sz w:val="24"/>
          <w:szCs w:val="24"/>
          <w:lang w:val="en-GB" w:eastAsia="en-GB"/>
        </w:rPr>
        <w:t xml:space="preserve"> in </w:t>
      </w:r>
      <w:r>
        <w:rPr>
          <w:rFonts w:eastAsiaTheme="minorEastAsia" w:cstheme="minorHAnsi"/>
          <w:i/>
          <w:iCs/>
          <w:sz w:val="24"/>
          <w:szCs w:val="24"/>
          <w:lang w:val="en-GB" w:eastAsia="en-GB"/>
        </w:rPr>
        <w:t xml:space="preserve">a </w:t>
      </w:r>
      <w:r w:rsidRPr="005569BD">
        <w:rPr>
          <w:rFonts w:eastAsiaTheme="minorEastAsia" w:cstheme="minorHAnsi"/>
          <w:i/>
          <w:iCs/>
          <w:sz w:val="24"/>
          <w:szCs w:val="24"/>
          <w:lang w:val="en-GB" w:eastAsia="en-GB"/>
        </w:rPr>
        <w:t>big hospital where a big consultant was called by pharmacists stating no doctor sorry you're not having the privilege to prescribe this medication. I don't feel angry, I don't feel discomfort in this regard but I know it is a stressful situation sometimes for the beginner,  for somebody who already has no let’s say a relationship or teamwork with his colleagues, they are all strangers to him, he might feel uncomfortable to you know have a discussion with the pharmacist regarding the plan of care or something like.</w:t>
      </w:r>
      <w:r>
        <w:rPr>
          <w:rFonts w:eastAsiaTheme="minorEastAsia" w:cstheme="minorHAnsi"/>
          <w:i/>
          <w:iCs/>
          <w:sz w:val="24"/>
          <w:szCs w:val="24"/>
          <w:lang w:val="en-GB" w:eastAsia="en-GB"/>
        </w:rPr>
        <w:t>’</w:t>
      </w:r>
      <w:r w:rsidRPr="005569BD">
        <w:rPr>
          <w:rFonts w:eastAsiaTheme="minorEastAsia" w:cstheme="minorHAnsi"/>
          <w:i/>
          <w:iCs/>
          <w:sz w:val="24"/>
          <w:szCs w:val="24"/>
          <w:lang w:val="en-GB" w:eastAsia="en-GB"/>
        </w:rPr>
        <w:t xml:space="preserve"> D2</w:t>
      </w:r>
    </w:p>
    <w:p w14:paraId="12601F4E" w14:textId="77777777" w:rsidR="00821B82" w:rsidRPr="009814F9" w:rsidRDefault="00821B82" w:rsidP="00821B82">
      <w:pPr>
        <w:spacing w:before="240" w:line="360" w:lineRule="auto"/>
        <w:jc w:val="both"/>
        <w:rPr>
          <w:rFonts w:asciiTheme="minorBidi" w:eastAsiaTheme="minorEastAsia" w:hAnsiTheme="minorBidi"/>
          <w:sz w:val="24"/>
          <w:szCs w:val="24"/>
          <w:lang w:eastAsia="en-GB"/>
        </w:rPr>
      </w:pPr>
      <w:r w:rsidRPr="00882CE1">
        <w:rPr>
          <w:rFonts w:asciiTheme="minorBidi" w:eastAsiaTheme="minorEastAsia" w:hAnsiTheme="minorBidi"/>
          <w:sz w:val="24"/>
          <w:szCs w:val="24"/>
          <w:lang w:eastAsia="en-GB"/>
        </w:rPr>
        <w:t xml:space="preserve">Doctors expect more active roles from pharmacists rather than the typical role. </w:t>
      </w:r>
      <w:r>
        <w:rPr>
          <w:rFonts w:asciiTheme="minorBidi" w:eastAsiaTheme="minorEastAsia" w:hAnsiTheme="minorBidi"/>
          <w:sz w:val="24"/>
          <w:szCs w:val="24"/>
          <w:lang w:eastAsia="en-GB"/>
        </w:rPr>
        <w:t xml:space="preserve">They suggested some services that can be provided by pharmacists as seen in this section. </w:t>
      </w:r>
      <w:r w:rsidRPr="00084158">
        <w:rPr>
          <w:rFonts w:asciiTheme="minorBidi" w:eastAsiaTheme="minorEastAsia" w:hAnsiTheme="minorBidi"/>
          <w:sz w:val="24"/>
          <w:szCs w:val="24"/>
          <w:lang w:eastAsia="en-GB"/>
        </w:rPr>
        <w:t>For example, it has been suggested that pharmacists should be given the right to repeat prescriptions and provide a drug review service for chronic disease patients and those with polypharmacy to conserve physician</w:t>
      </w:r>
      <w:r>
        <w:rPr>
          <w:rFonts w:asciiTheme="minorBidi" w:eastAsiaTheme="minorEastAsia" w:hAnsiTheme="minorBidi"/>
          <w:sz w:val="24"/>
          <w:szCs w:val="24"/>
          <w:lang w:eastAsia="en-GB"/>
        </w:rPr>
        <w:t>s’</w:t>
      </w:r>
      <w:r w:rsidRPr="00084158">
        <w:rPr>
          <w:rFonts w:asciiTheme="minorBidi" w:eastAsiaTheme="minorEastAsia" w:hAnsiTheme="minorBidi"/>
          <w:sz w:val="24"/>
          <w:szCs w:val="24"/>
          <w:lang w:eastAsia="en-GB"/>
        </w:rPr>
        <w:t xml:space="preserve"> time and </w:t>
      </w:r>
      <w:r>
        <w:rPr>
          <w:rFonts w:asciiTheme="minorBidi" w:eastAsiaTheme="minorEastAsia" w:hAnsiTheme="minorBidi"/>
          <w:sz w:val="24"/>
          <w:szCs w:val="24"/>
          <w:lang w:eastAsia="en-GB"/>
        </w:rPr>
        <w:t xml:space="preserve">enable them to </w:t>
      </w:r>
      <w:r w:rsidRPr="00084158">
        <w:rPr>
          <w:rFonts w:asciiTheme="minorBidi" w:eastAsiaTheme="minorEastAsia" w:hAnsiTheme="minorBidi"/>
          <w:sz w:val="24"/>
          <w:szCs w:val="24"/>
          <w:lang w:eastAsia="en-GB"/>
        </w:rPr>
        <w:t>spend that time spent on these tasks with the patient.</w:t>
      </w:r>
    </w:p>
    <w:p w14:paraId="0C9DBAF9" w14:textId="77777777" w:rsidR="00821B82" w:rsidRPr="001D02BD" w:rsidRDefault="00821B82" w:rsidP="001D02BD">
      <w:pPr>
        <w:pStyle w:val="Heading4"/>
        <w:numPr>
          <w:ilvl w:val="3"/>
          <w:numId w:val="14"/>
        </w:numPr>
        <w:tabs>
          <w:tab w:val="left" w:pos="720"/>
        </w:tabs>
        <w:spacing w:line="240" w:lineRule="auto"/>
        <w:ind w:left="810" w:hanging="810"/>
        <w:rPr>
          <w:rFonts w:asciiTheme="minorBidi" w:eastAsiaTheme="minorEastAsia" w:hAnsiTheme="minorBidi" w:cstheme="minorBidi"/>
          <w:sz w:val="24"/>
          <w:szCs w:val="24"/>
        </w:rPr>
      </w:pPr>
      <w:bookmarkStart w:id="255" w:name="_Ref127753579"/>
      <w:r w:rsidRPr="001D02BD">
        <w:rPr>
          <w:rFonts w:asciiTheme="minorBidi" w:eastAsiaTheme="minorEastAsia" w:hAnsiTheme="minorBidi" w:cstheme="minorBidi"/>
          <w:sz w:val="24"/>
          <w:szCs w:val="24"/>
        </w:rPr>
        <w:t>Nurses’ attitudes towards pharmacists’ role in the management of diabetes in PHCs</w:t>
      </w:r>
      <w:bookmarkEnd w:id="255"/>
    </w:p>
    <w:p w14:paraId="1A1A8873" w14:textId="77777777" w:rsidR="00821B82" w:rsidRDefault="00821B82" w:rsidP="001D02BD">
      <w:pPr>
        <w:spacing w:before="240" w:line="360" w:lineRule="auto"/>
        <w:jc w:val="both"/>
        <w:rPr>
          <w:rFonts w:asciiTheme="minorBidi" w:eastAsiaTheme="minorEastAsia" w:hAnsiTheme="minorBidi"/>
          <w:sz w:val="24"/>
          <w:szCs w:val="24"/>
          <w:lang w:val="en-GB" w:eastAsia="en-GB"/>
        </w:rPr>
      </w:pPr>
      <w:r w:rsidRPr="007A3BD6">
        <w:rPr>
          <w:rFonts w:asciiTheme="minorBidi" w:eastAsiaTheme="minorEastAsia" w:hAnsiTheme="minorBidi"/>
          <w:sz w:val="24"/>
          <w:szCs w:val="24"/>
          <w:lang w:val="en-GB" w:eastAsia="en-GB"/>
        </w:rPr>
        <w:t>It was found that the nurs</w:t>
      </w:r>
      <w:r>
        <w:rPr>
          <w:rFonts w:asciiTheme="minorBidi" w:eastAsiaTheme="minorEastAsia" w:hAnsiTheme="minorBidi"/>
          <w:sz w:val="24"/>
          <w:szCs w:val="24"/>
          <w:lang w:val="en-GB" w:eastAsia="en-GB"/>
        </w:rPr>
        <w:t>es’</w:t>
      </w:r>
      <w:r w:rsidRPr="007A3BD6">
        <w:rPr>
          <w:rFonts w:asciiTheme="minorBidi" w:eastAsiaTheme="minorEastAsia" w:hAnsiTheme="minorBidi"/>
          <w:sz w:val="24"/>
          <w:szCs w:val="24"/>
          <w:lang w:val="en-GB" w:eastAsia="en-GB"/>
        </w:rPr>
        <w:t xml:space="preserve"> attitude</w:t>
      </w:r>
      <w:r>
        <w:rPr>
          <w:rFonts w:asciiTheme="minorBidi" w:eastAsiaTheme="minorEastAsia" w:hAnsiTheme="minorBidi"/>
          <w:sz w:val="24"/>
          <w:szCs w:val="24"/>
          <w:lang w:val="en-GB" w:eastAsia="en-GB"/>
        </w:rPr>
        <w:t>s</w:t>
      </w:r>
      <w:r w:rsidRPr="007A3BD6">
        <w:rPr>
          <w:rFonts w:asciiTheme="minorBidi" w:eastAsiaTheme="minorEastAsia" w:hAnsiTheme="minorBidi"/>
          <w:sz w:val="24"/>
          <w:szCs w:val="24"/>
          <w:lang w:val="en-GB" w:eastAsia="en-GB"/>
        </w:rPr>
        <w:t xml:space="preserve"> towards the pharmacist w</w:t>
      </w:r>
      <w:r>
        <w:rPr>
          <w:rFonts w:asciiTheme="minorBidi" w:eastAsiaTheme="minorEastAsia" w:hAnsiTheme="minorBidi"/>
          <w:sz w:val="24"/>
          <w:szCs w:val="24"/>
          <w:lang w:val="en-GB" w:eastAsia="en-GB"/>
        </w:rPr>
        <w:t>ere</w:t>
      </w:r>
      <w:r w:rsidRPr="007A3BD6">
        <w:rPr>
          <w:rFonts w:asciiTheme="minorBidi" w:eastAsiaTheme="minorEastAsia" w:hAnsiTheme="minorBidi"/>
          <w:sz w:val="24"/>
          <w:szCs w:val="24"/>
          <w:lang w:val="en-GB" w:eastAsia="en-GB"/>
        </w:rPr>
        <w:t xml:space="preserve"> very positive, as most of them emphasised the patient's need and their need for the pharmacist in the primary care team.</w:t>
      </w:r>
      <w:r>
        <w:rPr>
          <w:rFonts w:asciiTheme="minorBidi" w:eastAsiaTheme="minorEastAsia" w:hAnsiTheme="minorBidi"/>
          <w:sz w:val="24"/>
          <w:szCs w:val="24"/>
          <w:lang w:val="en-GB" w:eastAsia="en-GB"/>
        </w:rPr>
        <w:t xml:space="preserve"> </w:t>
      </w:r>
      <w:r w:rsidRPr="00891AA5">
        <w:rPr>
          <w:rFonts w:asciiTheme="minorBidi" w:eastAsiaTheme="minorEastAsia" w:hAnsiTheme="minorBidi"/>
          <w:sz w:val="24"/>
          <w:szCs w:val="24"/>
          <w:lang w:val="en-GB" w:eastAsia="en-GB"/>
        </w:rPr>
        <w:t>They believe that pharmacists are experts in medicines.</w:t>
      </w:r>
    </w:p>
    <w:p w14:paraId="06F15AC7" w14:textId="77777777" w:rsidR="00821B82" w:rsidRPr="008A7B29" w:rsidRDefault="00821B82" w:rsidP="00821B82">
      <w:pPr>
        <w:spacing w:line="240" w:lineRule="auto"/>
        <w:ind w:left="720"/>
        <w:jc w:val="both"/>
        <w:rPr>
          <w:rFonts w:eastAsiaTheme="minorEastAsia" w:cstheme="minorHAnsi"/>
          <w:i/>
          <w:iCs/>
          <w:sz w:val="24"/>
          <w:szCs w:val="24"/>
          <w:lang w:val="en-GB" w:eastAsia="en-GB"/>
        </w:rPr>
      </w:pPr>
      <w:r w:rsidRPr="008A7B29">
        <w:rPr>
          <w:rFonts w:eastAsiaTheme="minorEastAsia" w:cstheme="minorHAnsi"/>
          <w:i/>
          <w:iCs/>
          <w:sz w:val="24"/>
          <w:szCs w:val="24"/>
          <w:lang w:val="en-GB" w:eastAsia="en-GB"/>
        </w:rPr>
        <w:t>‘We feel confident and reassured because he is an expert in medicines, even if we are aware of medicine, he is our reference in these matters.’ N3</w:t>
      </w:r>
    </w:p>
    <w:p w14:paraId="74344434" w14:textId="77777777" w:rsidR="00821B82" w:rsidRDefault="00821B82" w:rsidP="00821B82">
      <w:pPr>
        <w:spacing w:before="240" w:line="360" w:lineRule="auto"/>
        <w:jc w:val="both"/>
        <w:rPr>
          <w:rFonts w:asciiTheme="minorBidi" w:eastAsiaTheme="minorEastAsia" w:hAnsiTheme="minorBidi"/>
          <w:sz w:val="24"/>
          <w:szCs w:val="24"/>
          <w:lang w:val="en-GB" w:eastAsia="en-GB"/>
        </w:rPr>
      </w:pPr>
      <w:r w:rsidRPr="00F2142F">
        <w:rPr>
          <w:rFonts w:asciiTheme="minorBidi" w:eastAsiaTheme="minorEastAsia" w:hAnsiTheme="minorBidi"/>
          <w:sz w:val="24"/>
          <w:szCs w:val="24"/>
          <w:lang w:val="en-GB" w:eastAsia="en-GB"/>
        </w:rPr>
        <w:t xml:space="preserve">Most of the nurses interviewed mentioned situations that praise the pharmacists' role in </w:t>
      </w:r>
      <w:r>
        <w:rPr>
          <w:rFonts w:asciiTheme="minorBidi" w:eastAsiaTheme="minorEastAsia" w:hAnsiTheme="minorBidi"/>
          <w:sz w:val="24"/>
          <w:szCs w:val="24"/>
          <w:lang w:val="en-GB" w:eastAsia="en-GB"/>
        </w:rPr>
        <w:t>PHCs</w:t>
      </w:r>
      <w:r w:rsidRPr="00F2142F">
        <w:rPr>
          <w:rFonts w:asciiTheme="minorBidi" w:eastAsiaTheme="minorEastAsia" w:hAnsiTheme="minorBidi"/>
          <w:sz w:val="24"/>
          <w:szCs w:val="24"/>
          <w:lang w:val="en-GB" w:eastAsia="en-GB"/>
        </w:rPr>
        <w:t xml:space="preserve">, for example, their role in educating the healthcare staff and patients on matters related to medication and medication safety. They also mentioned that the pharmacist is the primary reference for them </w:t>
      </w:r>
      <w:r>
        <w:rPr>
          <w:rFonts w:asciiTheme="minorBidi" w:eastAsiaTheme="minorEastAsia" w:hAnsiTheme="minorBidi"/>
          <w:sz w:val="24"/>
          <w:szCs w:val="24"/>
          <w:lang w:val="en-GB" w:eastAsia="en-GB"/>
        </w:rPr>
        <w:t>with</w:t>
      </w:r>
      <w:r w:rsidRPr="00F2142F">
        <w:rPr>
          <w:rFonts w:asciiTheme="minorBidi" w:eastAsiaTheme="minorEastAsia" w:hAnsiTheme="minorBidi"/>
          <w:sz w:val="24"/>
          <w:szCs w:val="24"/>
          <w:lang w:val="en-GB" w:eastAsia="en-GB"/>
        </w:rPr>
        <w:t xml:space="preserve"> </w:t>
      </w:r>
      <w:r>
        <w:rPr>
          <w:rFonts w:asciiTheme="minorBidi" w:eastAsiaTheme="minorEastAsia" w:hAnsiTheme="minorBidi"/>
          <w:sz w:val="24"/>
          <w:szCs w:val="24"/>
          <w:lang w:val="en-GB" w:eastAsia="en-GB"/>
        </w:rPr>
        <w:t xml:space="preserve">any </w:t>
      </w:r>
      <w:r w:rsidRPr="00F2142F">
        <w:rPr>
          <w:rFonts w:asciiTheme="minorBidi" w:eastAsiaTheme="minorEastAsia" w:hAnsiTheme="minorBidi"/>
          <w:sz w:val="24"/>
          <w:szCs w:val="24"/>
          <w:lang w:val="en-GB" w:eastAsia="en-GB"/>
        </w:rPr>
        <w:t>inquir</w:t>
      </w:r>
      <w:r>
        <w:rPr>
          <w:rFonts w:asciiTheme="minorBidi" w:eastAsiaTheme="minorEastAsia" w:hAnsiTheme="minorBidi"/>
          <w:sz w:val="24"/>
          <w:szCs w:val="24"/>
          <w:lang w:val="en-GB" w:eastAsia="en-GB"/>
        </w:rPr>
        <w:t>i</w:t>
      </w:r>
      <w:r w:rsidRPr="00F2142F">
        <w:rPr>
          <w:rFonts w:asciiTheme="minorBidi" w:eastAsiaTheme="minorEastAsia" w:hAnsiTheme="minorBidi"/>
          <w:sz w:val="24"/>
          <w:szCs w:val="24"/>
          <w:lang w:val="en-GB" w:eastAsia="en-GB"/>
        </w:rPr>
        <w:t>e</w:t>
      </w:r>
      <w:r>
        <w:rPr>
          <w:rFonts w:asciiTheme="minorBidi" w:eastAsiaTheme="minorEastAsia" w:hAnsiTheme="minorBidi"/>
          <w:sz w:val="24"/>
          <w:szCs w:val="24"/>
          <w:lang w:val="en-GB" w:eastAsia="en-GB"/>
        </w:rPr>
        <w:t>s</w:t>
      </w:r>
      <w:r w:rsidRPr="00F2142F">
        <w:rPr>
          <w:rFonts w:asciiTheme="minorBidi" w:eastAsiaTheme="minorEastAsia" w:hAnsiTheme="minorBidi"/>
          <w:sz w:val="24"/>
          <w:szCs w:val="24"/>
          <w:lang w:val="en-GB" w:eastAsia="en-GB"/>
        </w:rPr>
        <w:t xml:space="preserve"> related to </w:t>
      </w:r>
      <w:r>
        <w:rPr>
          <w:rFonts w:asciiTheme="minorBidi" w:eastAsiaTheme="minorEastAsia" w:hAnsiTheme="minorBidi"/>
          <w:sz w:val="24"/>
          <w:szCs w:val="24"/>
          <w:lang w:val="en-GB" w:eastAsia="en-GB"/>
        </w:rPr>
        <w:t>medications</w:t>
      </w:r>
      <w:r w:rsidRPr="00F2142F">
        <w:rPr>
          <w:rFonts w:asciiTheme="minorBidi" w:eastAsiaTheme="minorEastAsia" w:hAnsiTheme="minorBidi"/>
          <w:sz w:val="24"/>
          <w:szCs w:val="24"/>
          <w:lang w:val="en-GB" w:eastAsia="en-GB"/>
        </w:rPr>
        <w:t xml:space="preserve">. </w:t>
      </w:r>
      <w:r w:rsidRPr="002371DB">
        <w:rPr>
          <w:rFonts w:asciiTheme="minorBidi" w:eastAsiaTheme="minorEastAsia" w:hAnsiTheme="minorBidi"/>
          <w:sz w:val="24"/>
          <w:szCs w:val="24"/>
          <w:lang w:val="en-GB" w:eastAsia="en-GB"/>
        </w:rPr>
        <w:t>They also mentioned in a sad tone that there is currently no one to fill this gap in their practices</w:t>
      </w:r>
      <w:r w:rsidRPr="00F2142F">
        <w:rPr>
          <w:rFonts w:asciiTheme="minorBidi" w:eastAsiaTheme="minorEastAsia" w:hAnsiTheme="minorBidi"/>
          <w:sz w:val="24"/>
          <w:szCs w:val="24"/>
          <w:lang w:val="en-GB" w:eastAsia="en-GB"/>
        </w:rPr>
        <w:t xml:space="preserve">, as doctors are very busy and </w:t>
      </w:r>
      <w:r>
        <w:rPr>
          <w:rFonts w:asciiTheme="minorBidi" w:eastAsiaTheme="minorEastAsia" w:hAnsiTheme="minorBidi"/>
          <w:sz w:val="24"/>
          <w:szCs w:val="24"/>
          <w:lang w:val="en-GB" w:eastAsia="en-GB"/>
        </w:rPr>
        <w:t xml:space="preserve">they </w:t>
      </w:r>
      <w:r w:rsidRPr="00F2142F">
        <w:rPr>
          <w:rFonts w:asciiTheme="minorBidi" w:eastAsiaTheme="minorEastAsia" w:hAnsiTheme="minorBidi"/>
          <w:sz w:val="24"/>
          <w:szCs w:val="24"/>
          <w:lang w:val="en-GB" w:eastAsia="en-GB"/>
        </w:rPr>
        <w:t xml:space="preserve">need a </w:t>
      </w:r>
      <w:r>
        <w:rPr>
          <w:rFonts w:asciiTheme="minorBidi" w:eastAsiaTheme="minorEastAsia" w:hAnsiTheme="minorBidi"/>
          <w:sz w:val="24"/>
          <w:szCs w:val="24"/>
          <w:lang w:val="en-GB" w:eastAsia="en-GB"/>
        </w:rPr>
        <w:t>drug</w:t>
      </w:r>
      <w:r w:rsidRPr="00F2142F">
        <w:rPr>
          <w:rFonts w:asciiTheme="minorBidi" w:eastAsiaTheme="minorEastAsia" w:hAnsiTheme="minorBidi"/>
          <w:sz w:val="24"/>
          <w:szCs w:val="24"/>
          <w:lang w:val="en-GB" w:eastAsia="en-GB"/>
        </w:rPr>
        <w:t xml:space="preserve"> advisor.</w:t>
      </w:r>
    </w:p>
    <w:p w14:paraId="14297CC6" w14:textId="77777777" w:rsidR="00821B82" w:rsidRPr="001F425E" w:rsidRDefault="00821B82" w:rsidP="00821B82">
      <w:pPr>
        <w:spacing w:line="240" w:lineRule="auto"/>
        <w:ind w:left="720"/>
        <w:jc w:val="both"/>
        <w:rPr>
          <w:rFonts w:eastAsiaTheme="minorEastAsia" w:cstheme="minorHAnsi"/>
          <w:i/>
          <w:iCs/>
          <w:sz w:val="24"/>
          <w:szCs w:val="24"/>
          <w:lang w:val="en-GB" w:eastAsia="en-GB"/>
        </w:rPr>
      </w:pPr>
      <w:r w:rsidRPr="004D1416">
        <w:rPr>
          <w:rFonts w:eastAsiaTheme="minorEastAsia" w:cstheme="minorHAnsi"/>
          <w:i/>
          <w:iCs/>
          <w:sz w:val="24"/>
          <w:szCs w:val="24"/>
          <w:lang w:val="en-GB" w:eastAsia="en-GB"/>
        </w:rPr>
        <w:t>‘When I gave an injection or particular medication, I used to refer to and ask the pharmacist more than the doctor because he knows more about medicines: their side effects, how to deal with narcotic medication, and so on</w:t>
      </w:r>
      <w:r>
        <w:rPr>
          <w:rFonts w:eastAsiaTheme="minorEastAsia" w:cstheme="minorHAnsi"/>
          <w:i/>
          <w:iCs/>
          <w:sz w:val="24"/>
          <w:szCs w:val="24"/>
          <w:lang w:val="en-GB" w:eastAsia="en-GB"/>
        </w:rPr>
        <w:t xml:space="preserve"> [</w:t>
      </w:r>
      <w:r w:rsidRPr="004D1416">
        <w:rPr>
          <w:rFonts w:eastAsiaTheme="minorEastAsia" w:cstheme="minorHAnsi"/>
          <w:i/>
          <w:iCs/>
          <w:sz w:val="24"/>
          <w:szCs w:val="24"/>
          <w:lang w:val="en-GB" w:eastAsia="en-GB"/>
        </w:rPr>
        <w:t>...</w:t>
      </w:r>
      <w:r>
        <w:rPr>
          <w:rFonts w:eastAsiaTheme="minorEastAsia" w:cstheme="minorHAnsi"/>
          <w:i/>
          <w:iCs/>
          <w:sz w:val="24"/>
          <w:szCs w:val="24"/>
          <w:lang w:val="en-GB" w:eastAsia="en-GB"/>
        </w:rPr>
        <w:t xml:space="preserve">] </w:t>
      </w:r>
      <w:r w:rsidRPr="004D1416">
        <w:rPr>
          <w:rFonts w:eastAsiaTheme="minorEastAsia" w:cstheme="minorHAnsi"/>
          <w:i/>
          <w:iCs/>
          <w:sz w:val="24"/>
          <w:szCs w:val="24"/>
          <w:lang w:val="en-GB" w:eastAsia="en-GB"/>
        </w:rPr>
        <w:t>I go to the pharmacist for help, especially in urgent cases</w:t>
      </w:r>
      <w:r>
        <w:rPr>
          <w:rFonts w:eastAsiaTheme="minorEastAsia" w:cstheme="minorHAnsi"/>
          <w:i/>
          <w:iCs/>
          <w:sz w:val="24"/>
          <w:szCs w:val="24"/>
          <w:lang w:val="en-GB" w:eastAsia="en-GB"/>
        </w:rPr>
        <w:t xml:space="preserve"> […] </w:t>
      </w:r>
      <w:r w:rsidRPr="004D1416">
        <w:rPr>
          <w:rFonts w:eastAsiaTheme="minorEastAsia" w:cstheme="minorHAnsi"/>
          <w:i/>
          <w:iCs/>
          <w:sz w:val="24"/>
          <w:szCs w:val="24"/>
          <w:lang w:val="en-GB" w:eastAsia="en-GB"/>
        </w:rPr>
        <w:t xml:space="preserve">Doctors </w:t>
      </w:r>
      <w:r>
        <w:rPr>
          <w:rFonts w:eastAsiaTheme="minorEastAsia" w:cstheme="minorHAnsi"/>
          <w:i/>
          <w:iCs/>
          <w:sz w:val="24"/>
          <w:szCs w:val="24"/>
          <w:lang w:val="en-GB" w:eastAsia="en-GB"/>
        </w:rPr>
        <w:t xml:space="preserve">also </w:t>
      </w:r>
      <w:r w:rsidRPr="004D1416">
        <w:rPr>
          <w:rFonts w:eastAsiaTheme="minorEastAsia" w:cstheme="minorHAnsi"/>
          <w:i/>
          <w:iCs/>
          <w:sz w:val="24"/>
          <w:szCs w:val="24"/>
          <w:lang w:val="en-GB" w:eastAsia="en-GB"/>
        </w:rPr>
        <w:t xml:space="preserve">sometimes turn to pharmacists for </w:t>
      </w:r>
      <w:r w:rsidRPr="00573D35">
        <w:rPr>
          <w:rFonts w:eastAsiaTheme="minorEastAsia" w:cstheme="minorHAnsi"/>
          <w:i/>
          <w:iCs/>
          <w:sz w:val="24"/>
          <w:szCs w:val="24"/>
          <w:lang w:val="en-GB" w:eastAsia="en-GB"/>
        </w:rPr>
        <w:t xml:space="preserve">medication </w:t>
      </w:r>
      <w:r w:rsidRPr="004D1416">
        <w:rPr>
          <w:rFonts w:eastAsiaTheme="minorEastAsia" w:cstheme="minorHAnsi"/>
          <w:i/>
          <w:iCs/>
          <w:sz w:val="24"/>
          <w:szCs w:val="24"/>
          <w:lang w:val="en-GB" w:eastAsia="en-GB"/>
        </w:rPr>
        <w:t>advice, asking the pharmacist on the best option available in PHCs for treating a patient</w:t>
      </w:r>
      <w:r>
        <w:rPr>
          <w:rFonts w:eastAsiaTheme="minorEastAsia" w:cstheme="minorHAnsi"/>
          <w:i/>
          <w:iCs/>
          <w:sz w:val="24"/>
          <w:szCs w:val="24"/>
          <w:lang w:val="en-GB" w:eastAsia="en-GB"/>
        </w:rPr>
        <w:t xml:space="preserve"> […] </w:t>
      </w:r>
      <w:r w:rsidRPr="004D1416">
        <w:rPr>
          <w:rFonts w:eastAsiaTheme="minorEastAsia" w:cstheme="minorHAnsi"/>
          <w:i/>
          <w:iCs/>
          <w:sz w:val="24"/>
          <w:szCs w:val="24"/>
          <w:lang w:val="en-GB" w:eastAsia="en-GB"/>
        </w:rPr>
        <w:t>Patients feel more confident in the treatment when the pharmacist confirms it and dispenses it.</w:t>
      </w:r>
      <w:r>
        <w:rPr>
          <w:rFonts w:eastAsiaTheme="minorEastAsia" w:cstheme="minorHAnsi"/>
          <w:i/>
          <w:iCs/>
          <w:sz w:val="24"/>
          <w:szCs w:val="24"/>
          <w:lang w:val="en-GB" w:eastAsia="en-GB"/>
        </w:rPr>
        <w:t>’N3</w:t>
      </w:r>
    </w:p>
    <w:p w14:paraId="16A47167" w14:textId="77777777" w:rsidR="00821B82" w:rsidRDefault="00821B82" w:rsidP="00821B82">
      <w:pPr>
        <w:spacing w:before="240" w:line="360" w:lineRule="auto"/>
        <w:jc w:val="both"/>
        <w:rPr>
          <w:rFonts w:asciiTheme="minorBidi" w:eastAsiaTheme="minorEastAsia" w:hAnsiTheme="minorBidi"/>
          <w:sz w:val="24"/>
          <w:szCs w:val="24"/>
          <w:lang w:val="en-GB" w:eastAsia="en-GB"/>
        </w:rPr>
      </w:pPr>
      <w:r w:rsidRPr="00A86DBE">
        <w:rPr>
          <w:rFonts w:asciiTheme="minorBidi" w:eastAsiaTheme="minorEastAsia" w:hAnsiTheme="minorBidi"/>
          <w:sz w:val="24"/>
          <w:szCs w:val="24"/>
          <w:lang w:val="en-GB" w:eastAsia="en-GB"/>
        </w:rPr>
        <w:t>Interestingly, half</w:t>
      </w:r>
      <w:r w:rsidRPr="003003B7">
        <w:rPr>
          <w:rFonts w:asciiTheme="minorBidi" w:eastAsiaTheme="minorEastAsia" w:hAnsiTheme="minorBidi"/>
          <w:sz w:val="24"/>
          <w:szCs w:val="24"/>
          <w:lang w:val="en-GB" w:eastAsia="en-GB"/>
        </w:rPr>
        <w:t xml:space="preserve"> </w:t>
      </w:r>
      <w:r w:rsidRPr="00A86DBE">
        <w:rPr>
          <w:rFonts w:asciiTheme="minorBidi" w:eastAsiaTheme="minorEastAsia" w:hAnsiTheme="minorBidi"/>
          <w:sz w:val="24"/>
          <w:szCs w:val="24"/>
          <w:lang w:val="en-GB" w:eastAsia="en-GB"/>
        </w:rPr>
        <w:t xml:space="preserve">of the nurses </w:t>
      </w:r>
      <w:r>
        <w:rPr>
          <w:rFonts w:asciiTheme="minorBidi" w:eastAsiaTheme="minorEastAsia" w:hAnsiTheme="minorBidi"/>
          <w:sz w:val="24"/>
          <w:szCs w:val="24"/>
          <w:lang w:val="en-GB" w:eastAsia="en-GB"/>
        </w:rPr>
        <w:t>(</w:t>
      </w:r>
      <w:r w:rsidRPr="003003B7">
        <w:rPr>
          <w:rFonts w:asciiTheme="minorBidi" w:eastAsiaTheme="minorEastAsia" w:hAnsiTheme="minorBidi"/>
          <w:sz w:val="24"/>
          <w:szCs w:val="24"/>
          <w:lang w:val="en-GB" w:eastAsia="en-GB"/>
        </w:rPr>
        <w:t>two of the four)</w:t>
      </w:r>
      <w:r>
        <w:rPr>
          <w:rFonts w:asciiTheme="minorBidi" w:eastAsiaTheme="minorEastAsia" w:hAnsiTheme="minorBidi"/>
          <w:sz w:val="24"/>
          <w:szCs w:val="24"/>
          <w:lang w:val="en-GB" w:eastAsia="en-GB"/>
        </w:rPr>
        <w:t xml:space="preserve"> </w:t>
      </w:r>
      <w:r w:rsidRPr="00A86DBE">
        <w:rPr>
          <w:rFonts w:asciiTheme="minorBidi" w:eastAsiaTheme="minorEastAsia" w:hAnsiTheme="minorBidi"/>
          <w:sz w:val="24"/>
          <w:szCs w:val="24"/>
          <w:lang w:val="en-GB" w:eastAsia="en-GB"/>
        </w:rPr>
        <w:t>interviewed believed that the pharmacist's role is just as important as the doctor's role in patient management.</w:t>
      </w:r>
    </w:p>
    <w:p w14:paraId="3D9F3C1C" w14:textId="77777777" w:rsidR="00821B82" w:rsidRPr="00DC6B32" w:rsidRDefault="00821B82" w:rsidP="00821B82">
      <w:pPr>
        <w:spacing w:line="240" w:lineRule="auto"/>
        <w:ind w:left="720"/>
        <w:jc w:val="both"/>
        <w:rPr>
          <w:rFonts w:eastAsiaTheme="minorEastAsia" w:cstheme="minorHAnsi"/>
          <w:i/>
          <w:iCs/>
          <w:sz w:val="24"/>
          <w:szCs w:val="24"/>
          <w:lang w:val="en-GB" w:eastAsia="en-GB"/>
        </w:rPr>
      </w:pPr>
      <w:r w:rsidRPr="00CF4C84">
        <w:rPr>
          <w:rFonts w:eastAsiaTheme="minorEastAsia" w:cstheme="minorHAnsi"/>
          <w:i/>
          <w:iCs/>
          <w:sz w:val="24"/>
          <w:szCs w:val="24"/>
          <w:lang w:val="en-GB" w:eastAsia="en-GB"/>
        </w:rPr>
        <w:t>‘I consider pharmacist's role</w:t>
      </w:r>
      <w:r>
        <w:rPr>
          <w:rFonts w:eastAsiaTheme="minorEastAsia" w:cstheme="minorHAnsi"/>
          <w:i/>
          <w:iCs/>
          <w:sz w:val="24"/>
          <w:szCs w:val="24"/>
          <w:lang w:val="en-GB" w:eastAsia="en-GB"/>
        </w:rPr>
        <w:t xml:space="preserve"> </w:t>
      </w:r>
      <w:r w:rsidRPr="00CF4C84">
        <w:rPr>
          <w:rFonts w:eastAsiaTheme="minorEastAsia" w:cstheme="minorHAnsi"/>
          <w:i/>
          <w:iCs/>
          <w:sz w:val="24"/>
          <w:szCs w:val="24"/>
          <w:lang w:val="en-GB" w:eastAsia="en-GB"/>
        </w:rPr>
        <w:t>equivalent to that of a doctor</w:t>
      </w:r>
      <w:r>
        <w:rPr>
          <w:rFonts w:eastAsiaTheme="minorEastAsia" w:cstheme="minorHAnsi"/>
          <w:i/>
          <w:iCs/>
          <w:sz w:val="24"/>
          <w:szCs w:val="24"/>
          <w:lang w:val="en-GB" w:eastAsia="en-GB"/>
        </w:rPr>
        <w:t xml:space="preserve"> [</w:t>
      </w:r>
      <w:r w:rsidRPr="00CF4C84">
        <w:rPr>
          <w:rFonts w:eastAsiaTheme="minorEastAsia" w:cstheme="minorHAnsi"/>
          <w:i/>
          <w:iCs/>
          <w:sz w:val="24"/>
          <w:szCs w:val="24"/>
          <w:lang w:val="en-GB" w:eastAsia="en-GB"/>
        </w:rPr>
        <w:t>…</w:t>
      </w:r>
      <w:r>
        <w:rPr>
          <w:rFonts w:eastAsiaTheme="minorEastAsia" w:cstheme="minorHAnsi"/>
          <w:i/>
          <w:iCs/>
          <w:sz w:val="24"/>
          <w:szCs w:val="24"/>
          <w:lang w:val="en-GB" w:eastAsia="en-GB"/>
        </w:rPr>
        <w:t>] P</w:t>
      </w:r>
      <w:r w:rsidRPr="00CF4C84">
        <w:rPr>
          <w:rFonts w:eastAsiaTheme="minorEastAsia" w:cstheme="minorHAnsi"/>
          <w:i/>
          <w:iCs/>
          <w:sz w:val="24"/>
          <w:szCs w:val="24"/>
          <w:lang w:val="en-GB" w:eastAsia="en-GB"/>
        </w:rPr>
        <w:t>atients</w:t>
      </w:r>
      <w:r>
        <w:rPr>
          <w:rFonts w:eastAsiaTheme="minorEastAsia" w:cstheme="minorHAnsi"/>
          <w:i/>
          <w:iCs/>
          <w:sz w:val="24"/>
          <w:szCs w:val="24"/>
          <w:lang w:val="en-GB" w:eastAsia="en-GB"/>
        </w:rPr>
        <w:t xml:space="preserve"> also</w:t>
      </w:r>
      <w:r w:rsidRPr="00CF4C84">
        <w:rPr>
          <w:rFonts w:eastAsiaTheme="minorEastAsia" w:cstheme="minorHAnsi"/>
          <w:i/>
          <w:iCs/>
          <w:sz w:val="24"/>
          <w:szCs w:val="24"/>
          <w:lang w:val="en-GB" w:eastAsia="en-GB"/>
        </w:rPr>
        <w:t xml:space="preserve"> consider pharmacists to the same degree as doctors, which I see; patients trust pharmacists.’ N2</w:t>
      </w:r>
    </w:p>
    <w:p w14:paraId="20D1C0C9" w14:textId="77777777" w:rsidR="00821B82" w:rsidRPr="000E35AD" w:rsidRDefault="00821B82" w:rsidP="00821B82">
      <w:pPr>
        <w:spacing w:before="240" w:line="360" w:lineRule="auto"/>
        <w:jc w:val="both"/>
        <w:rPr>
          <w:rFonts w:asciiTheme="minorBidi" w:hAnsiTheme="minorBidi"/>
          <w:sz w:val="24"/>
          <w:szCs w:val="24"/>
        </w:rPr>
      </w:pPr>
      <w:r w:rsidRPr="000E35AD">
        <w:rPr>
          <w:rFonts w:asciiTheme="minorBidi" w:hAnsiTheme="minorBidi"/>
          <w:sz w:val="24"/>
          <w:szCs w:val="24"/>
        </w:rPr>
        <w:t xml:space="preserve">One of the nurses interviewed had a slightly different experience with the pharmacist and had a neutral opinion about their role in PHCs. She stated that their relationship with the pharmacist was superficial, and she used to refer </w:t>
      </w:r>
      <w:r>
        <w:rPr>
          <w:rFonts w:asciiTheme="minorBidi" w:hAnsiTheme="minorBidi"/>
          <w:sz w:val="24"/>
          <w:szCs w:val="24"/>
        </w:rPr>
        <w:t xml:space="preserve">to </w:t>
      </w:r>
      <w:r w:rsidRPr="000E35AD">
        <w:rPr>
          <w:rFonts w:asciiTheme="minorBidi" w:hAnsiTheme="minorBidi"/>
          <w:sz w:val="24"/>
          <w:szCs w:val="24"/>
        </w:rPr>
        <w:t xml:space="preserve">him on rare occasions to ask how the medication </w:t>
      </w:r>
      <w:r>
        <w:rPr>
          <w:rFonts w:asciiTheme="minorBidi" w:hAnsiTheme="minorBidi"/>
          <w:sz w:val="24"/>
          <w:szCs w:val="24"/>
        </w:rPr>
        <w:t>wa</w:t>
      </w:r>
      <w:r w:rsidRPr="000E35AD">
        <w:rPr>
          <w:rFonts w:asciiTheme="minorBidi" w:hAnsiTheme="minorBidi"/>
          <w:sz w:val="24"/>
          <w:szCs w:val="24"/>
        </w:rPr>
        <w:t xml:space="preserve">s stored or if she needed information about a specific medication, such as side effects. This nurse was critical of the nature of work in </w:t>
      </w:r>
      <w:r>
        <w:rPr>
          <w:rFonts w:asciiTheme="minorBidi" w:hAnsiTheme="minorBidi"/>
          <w:sz w:val="24"/>
          <w:szCs w:val="24"/>
        </w:rPr>
        <w:t>PHCs</w:t>
      </w:r>
      <w:r w:rsidRPr="000E35AD">
        <w:rPr>
          <w:rFonts w:asciiTheme="minorBidi" w:hAnsiTheme="minorBidi"/>
          <w:sz w:val="24"/>
          <w:szCs w:val="24"/>
        </w:rPr>
        <w:t>, where work is based on individual work rather than teamwork, where each employee in his</w:t>
      </w:r>
      <w:r>
        <w:rPr>
          <w:rFonts w:asciiTheme="minorBidi" w:hAnsiTheme="minorBidi"/>
          <w:sz w:val="24"/>
          <w:szCs w:val="24"/>
        </w:rPr>
        <w:t>/her</w:t>
      </w:r>
      <w:r w:rsidRPr="000E35AD">
        <w:rPr>
          <w:rFonts w:asciiTheme="minorBidi" w:hAnsiTheme="minorBidi"/>
          <w:sz w:val="24"/>
          <w:szCs w:val="24"/>
        </w:rPr>
        <w:t xml:space="preserve"> field works independently. There was no integrated team from various disciplines caring for patients with chronic conditions, including diabetics.</w:t>
      </w:r>
      <w:r w:rsidRPr="000E35AD">
        <w:rPr>
          <w:rFonts w:asciiTheme="minorBidi" w:hAnsiTheme="minorBidi"/>
          <w:sz w:val="24"/>
          <w:szCs w:val="24"/>
          <w:rtl/>
        </w:rPr>
        <w:t xml:space="preserve"> </w:t>
      </w:r>
      <w:r w:rsidRPr="000E35AD">
        <w:rPr>
          <w:rFonts w:asciiTheme="minorBidi" w:hAnsiTheme="minorBidi"/>
          <w:sz w:val="24"/>
          <w:szCs w:val="24"/>
        </w:rPr>
        <w:t xml:space="preserve"> However, when she </w:t>
      </w:r>
      <w:r>
        <w:rPr>
          <w:rFonts w:asciiTheme="minorBidi" w:hAnsiTheme="minorBidi"/>
          <w:sz w:val="24"/>
          <w:szCs w:val="24"/>
        </w:rPr>
        <w:t xml:space="preserve">was </w:t>
      </w:r>
      <w:r w:rsidRPr="000E35AD">
        <w:rPr>
          <w:rFonts w:asciiTheme="minorBidi" w:hAnsiTheme="minorBidi"/>
          <w:sz w:val="24"/>
          <w:szCs w:val="24"/>
        </w:rPr>
        <w:t>asked about the current situation after the closure of pharmacies from PHCs</w:t>
      </w:r>
      <w:r>
        <w:rPr>
          <w:rFonts w:asciiTheme="minorBidi" w:hAnsiTheme="minorBidi"/>
          <w:sz w:val="24"/>
          <w:szCs w:val="24"/>
        </w:rPr>
        <w:t>,</w:t>
      </w:r>
      <w:r w:rsidRPr="000E35AD">
        <w:rPr>
          <w:rFonts w:asciiTheme="minorBidi" w:hAnsiTheme="minorBidi"/>
          <w:sz w:val="24"/>
          <w:szCs w:val="24"/>
        </w:rPr>
        <w:t xml:space="preserve"> she stated that the presence of the pharmacist </w:t>
      </w:r>
      <w:r>
        <w:rPr>
          <w:rFonts w:asciiTheme="minorBidi" w:hAnsiTheme="minorBidi"/>
          <w:sz w:val="24"/>
          <w:szCs w:val="24"/>
        </w:rPr>
        <w:t xml:space="preserve">working </w:t>
      </w:r>
      <w:r w:rsidRPr="000E35AD">
        <w:rPr>
          <w:rFonts w:asciiTheme="minorBidi" w:hAnsiTheme="minorBidi"/>
          <w:sz w:val="24"/>
          <w:szCs w:val="24"/>
        </w:rPr>
        <w:t xml:space="preserve">with them in the health centre </w:t>
      </w:r>
      <w:r>
        <w:rPr>
          <w:rFonts w:asciiTheme="minorBidi" w:hAnsiTheme="minorBidi"/>
          <w:sz w:val="24"/>
          <w:szCs w:val="24"/>
        </w:rPr>
        <w:t>wa</w:t>
      </w:r>
      <w:r w:rsidRPr="000E35AD">
        <w:rPr>
          <w:rFonts w:asciiTheme="minorBidi" w:hAnsiTheme="minorBidi"/>
          <w:sz w:val="24"/>
          <w:szCs w:val="24"/>
        </w:rPr>
        <w:t xml:space="preserve">s better than </w:t>
      </w:r>
      <w:r>
        <w:rPr>
          <w:rFonts w:asciiTheme="minorBidi" w:hAnsiTheme="minorBidi"/>
          <w:sz w:val="24"/>
          <w:szCs w:val="24"/>
        </w:rPr>
        <w:t xml:space="preserve">in </w:t>
      </w:r>
      <w:r w:rsidRPr="000E35AD">
        <w:rPr>
          <w:rFonts w:asciiTheme="minorBidi" w:hAnsiTheme="minorBidi"/>
          <w:sz w:val="24"/>
          <w:szCs w:val="24"/>
        </w:rPr>
        <w:t>the current situation, a</w:t>
      </w:r>
      <w:r>
        <w:rPr>
          <w:rFonts w:asciiTheme="minorBidi" w:hAnsiTheme="minorBidi"/>
          <w:sz w:val="24"/>
          <w:szCs w:val="24"/>
        </w:rPr>
        <w:t>s</w:t>
      </w:r>
      <w:r w:rsidRPr="000E35AD">
        <w:rPr>
          <w:rFonts w:asciiTheme="minorBidi" w:hAnsiTheme="minorBidi"/>
          <w:sz w:val="24"/>
          <w:szCs w:val="24"/>
        </w:rPr>
        <w:t xml:space="preserve"> is clear from the following quote:</w:t>
      </w:r>
    </w:p>
    <w:p w14:paraId="29DDA4DB"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7E79C8">
        <w:rPr>
          <w:rFonts w:eastAsiaTheme="minorEastAsia" w:cstheme="minorHAnsi"/>
          <w:i/>
          <w:iCs/>
          <w:sz w:val="24"/>
          <w:szCs w:val="24"/>
          <w:lang w:val="en-GB" w:eastAsia="en-GB"/>
        </w:rPr>
        <w:t>Now the situation is worse. Previously it was better when the pharmacist was in the primary health care centre. He was better in terms of communication with the patient. Pharmacists sometimes take patients' medication histories and directly discuss matters relating to their medication, but now there is no such thing, unfortunately.</w:t>
      </w:r>
      <w:r>
        <w:rPr>
          <w:rFonts w:eastAsiaTheme="minorEastAsia" w:cstheme="minorHAnsi"/>
          <w:i/>
          <w:iCs/>
          <w:sz w:val="24"/>
          <w:szCs w:val="24"/>
          <w:lang w:val="en-GB" w:eastAsia="en-GB"/>
        </w:rPr>
        <w:t>’</w:t>
      </w:r>
      <w:r w:rsidRPr="007E79C8">
        <w:rPr>
          <w:rFonts w:eastAsiaTheme="minorEastAsia" w:cstheme="minorHAnsi"/>
          <w:i/>
          <w:iCs/>
          <w:sz w:val="24"/>
          <w:szCs w:val="24"/>
          <w:lang w:val="en-GB" w:eastAsia="en-GB"/>
        </w:rPr>
        <w:t xml:space="preserve"> N1</w:t>
      </w:r>
    </w:p>
    <w:p w14:paraId="370A2420" w14:textId="77777777" w:rsidR="00821B82" w:rsidRDefault="00821B82" w:rsidP="00821B82">
      <w:pPr>
        <w:spacing w:before="240" w:line="360" w:lineRule="auto"/>
        <w:jc w:val="both"/>
        <w:rPr>
          <w:rFonts w:asciiTheme="minorBidi" w:hAnsiTheme="minorBidi"/>
          <w:sz w:val="24"/>
          <w:szCs w:val="24"/>
          <w:rtl/>
        </w:rPr>
      </w:pPr>
      <w:r w:rsidRPr="00B83C9D">
        <w:rPr>
          <w:rFonts w:asciiTheme="minorBidi" w:hAnsiTheme="minorBidi"/>
          <w:sz w:val="24"/>
          <w:szCs w:val="24"/>
        </w:rPr>
        <w:t xml:space="preserve">All the nurses interviewed wished that pharmacists would return to work in </w:t>
      </w:r>
      <w:r>
        <w:rPr>
          <w:rFonts w:asciiTheme="minorBidi" w:hAnsiTheme="minorBidi"/>
          <w:sz w:val="24"/>
          <w:szCs w:val="24"/>
        </w:rPr>
        <w:t>PHCs</w:t>
      </w:r>
      <w:r w:rsidRPr="00B83C9D">
        <w:rPr>
          <w:rFonts w:asciiTheme="minorBidi" w:hAnsiTheme="minorBidi"/>
          <w:sz w:val="24"/>
          <w:szCs w:val="24"/>
        </w:rPr>
        <w:t xml:space="preserve"> because their role is vital in optimising healthcare delivery.</w:t>
      </w:r>
    </w:p>
    <w:p w14:paraId="1B18ACCE" w14:textId="77777777" w:rsidR="00821B82" w:rsidRPr="00644BE4"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644BE4">
        <w:rPr>
          <w:rFonts w:eastAsiaTheme="minorEastAsia" w:cstheme="minorHAnsi"/>
          <w:i/>
          <w:iCs/>
          <w:sz w:val="24"/>
          <w:szCs w:val="24"/>
          <w:lang w:val="en-GB" w:eastAsia="en-GB"/>
        </w:rPr>
        <w:t xml:space="preserve">I hope that pharmacists return to their places in health centres. </w:t>
      </w:r>
      <w:r>
        <w:rPr>
          <w:rFonts w:eastAsiaTheme="minorEastAsia" w:cstheme="minorHAnsi"/>
          <w:i/>
          <w:iCs/>
          <w:sz w:val="24"/>
          <w:szCs w:val="24"/>
          <w:lang w:val="en-GB" w:eastAsia="en-GB"/>
        </w:rPr>
        <w:t>T</w:t>
      </w:r>
      <w:r w:rsidRPr="00644BE4">
        <w:rPr>
          <w:rFonts w:eastAsiaTheme="minorEastAsia" w:cstheme="minorHAnsi"/>
          <w:i/>
          <w:iCs/>
          <w:sz w:val="24"/>
          <w:szCs w:val="24"/>
          <w:lang w:val="en-GB" w:eastAsia="en-GB"/>
        </w:rPr>
        <w:t xml:space="preserve">he medical staff </w:t>
      </w:r>
      <w:r>
        <w:rPr>
          <w:rFonts w:eastAsiaTheme="minorEastAsia" w:cstheme="minorHAnsi"/>
          <w:i/>
          <w:iCs/>
          <w:sz w:val="24"/>
          <w:szCs w:val="24"/>
          <w:lang w:val="en-GB" w:eastAsia="en-GB"/>
        </w:rPr>
        <w:t xml:space="preserve">and </w:t>
      </w:r>
      <w:r w:rsidRPr="00644BE4">
        <w:rPr>
          <w:rFonts w:eastAsiaTheme="minorEastAsia" w:cstheme="minorHAnsi"/>
          <w:i/>
          <w:iCs/>
          <w:sz w:val="24"/>
          <w:szCs w:val="24"/>
          <w:lang w:val="en-GB" w:eastAsia="en-GB"/>
        </w:rPr>
        <w:t>patient need pharmacists. This is what we all wish for.</w:t>
      </w:r>
      <w:r>
        <w:rPr>
          <w:rFonts w:eastAsiaTheme="minorEastAsia" w:cstheme="minorHAnsi"/>
          <w:i/>
          <w:iCs/>
          <w:sz w:val="24"/>
          <w:szCs w:val="24"/>
          <w:lang w:val="en-GB" w:eastAsia="en-GB"/>
        </w:rPr>
        <w:t>’</w:t>
      </w:r>
      <w:r w:rsidRPr="00644BE4">
        <w:rPr>
          <w:rFonts w:eastAsiaTheme="minorEastAsia" w:cstheme="minorHAnsi"/>
          <w:i/>
          <w:iCs/>
          <w:sz w:val="24"/>
          <w:szCs w:val="24"/>
          <w:lang w:val="en-GB" w:eastAsia="en-GB"/>
        </w:rPr>
        <w:t xml:space="preserve"> N1</w:t>
      </w:r>
    </w:p>
    <w:p w14:paraId="1CAA11C3"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644BE4">
        <w:rPr>
          <w:rFonts w:eastAsiaTheme="minorEastAsia" w:cstheme="minorHAnsi"/>
          <w:i/>
          <w:iCs/>
          <w:sz w:val="24"/>
          <w:szCs w:val="24"/>
          <w:lang w:val="en-GB" w:eastAsia="en-GB"/>
        </w:rPr>
        <w:t>I hope that pharmacists will return to primary care centres because their role is effective; frankly, it is unacceptable to forbid the patient from receiving pharmacists’ services in the centre. The pharmacist has a big, big and big role for patients</w:t>
      </w:r>
      <w:r>
        <w:rPr>
          <w:rFonts w:eastAsiaTheme="minorEastAsia" w:cstheme="minorHAnsi"/>
          <w:i/>
          <w:iCs/>
          <w:sz w:val="24"/>
          <w:szCs w:val="24"/>
          <w:lang w:val="en-GB" w:eastAsia="en-GB"/>
        </w:rPr>
        <w:t xml:space="preserve">…’ </w:t>
      </w:r>
      <w:r w:rsidRPr="00644BE4">
        <w:rPr>
          <w:rFonts w:eastAsiaTheme="minorEastAsia" w:cstheme="minorHAnsi"/>
          <w:i/>
          <w:iCs/>
          <w:sz w:val="24"/>
          <w:szCs w:val="24"/>
          <w:lang w:val="en-GB" w:eastAsia="en-GB"/>
        </w:rPr>
        <w:t>N3</w:t>
      </w:r>
    </w:p>
    <w:p w14:paraId="43781EC9" w14:textId="77777777" w:rsidR="00821B82" w:rsidRPr="00F60FF3" w:rsidRDefault="00821B82" w:rsidP="00821B82">
      <w:pPr>
        <w:spacing w:line="240" w:lineRule="auto"/>
        <w:ind w:left="720"/>
        <w:jc w:val="both"/>
        <w:rPr>
          <w:rFonts w:eastAsiaTheme="minorEastAsia" w:cstheme="minorHAnsi"/>
          <w:i/>
          <w:iCs/>
          <w:sz w:val="24"/>
          <w:szCs w:val="24"/>
          <w:lang w:val="en-GB" w:eastAsia="en-GB"/>
        </w:rPr>
      </w:pPr>
    </w:p>
    <w:p w14:paraId="7241E0A7" w14:textId="77777777" w:rsidR="00821B82" w:rsidRPr="001D02BD" w:rsidRDefault="00821B82" w:rsidP="00821B82">
      <w:pPr>
        <w:pStyle w:val="Heading4"/>
        <w:numPr>
          <w:ilvl w:val="3"/>
          <w:numId w:val="14"/>
        </w:numPr>
        <w:tabs>
          <w:tab w:val="left" w:pos="720"/>
        </w:tabs>
        <w:spacing w:line="360" w:lineRule="auto"/>
        <w:ind w:left="810" w:hanging="810"/>
        <w:rPr>
          <w:rFonts w:asciiTheme="minorBidi" w:eastAsiaTheme="minorEastAsia" w:hAnsiTheme="minorBidi" w:cstheme="minorBidi"/>
          <w:sz w:val="24"/>
          <w:szCs w:val="24"/>
        </w:rPr>
      </w:pPr>
      <w:r w:rsidRPr="001D02BD">
        <w:rPr>
          <w:rFonts w:asciiTheme="minorBidi" w:eastAsiaTheme="minorEastAsia" w:hAnsiTheme="minorBidi" w:cstheme="minorBidi"/>
          <w:sz w:val="24"/>
          <w:szCs w:val="24"/>
        </w:rPr>
        <w:t xml:space="preserve">Pharmacists’ attitude toward their roles in diabetes management </w:t>
      </w:r>
    </w:p>
    <w:p w14:paraId="64546C7D"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hAnsiTheme="minorBidi"/>
          <w:sz w:val="24"/>
          <w:szCs w:val="24"/>
        </w:rPr>
      </w:pPr>
      <w:r w:rsidRPr="003C4555">
        <w:rPr>
          <w:rFonts w:asciiTheme="minorBidi" w:hAnsiTheme="minorBidi"/>
          <w:sz w:val="24"/>
          <w:szCs w:val="24"/>
        </w:rPr>
        <w:t xml:space="preserve">Pharmacists interviewed </w:t>
      </w:r>
      <w:r>
        <w:rPr>
          <w:rFonts w:asciiTheme="minorBidi" w:hAnsiTheme="minorBidi"/>
          <w:sz w:val="24"/>
          <w:szCs w:val="24"/>
        </w:rPr>
        <w:t>talked</w:t>
      </w:r>
      <w:r w:rsidRPr="003C4555">
        <w:rPr>
          <w:rFonts w:asciiTheme="minorBidi" w:hAnsiTheme="minorBidi"/>
          <w:sz w:val="24"/>
          <w:szCs w:val="24"/>
        </w:rPr>
        <w:t xml:space="preserve"> about the image of pharmacists and how other team members perceive them. Pharmacists see themselves </w:t>
      </w:r>
      <w:r>
        <w:rPr>
          <w:rFonts w:asciiTheme="minorBidi" w:hAnsiTheme="minorBidi"/>
          <w:sz w:val="24"/>
          <w:szCs w:val="24"/>
        </w:rPr>
        <w:t xml:space="preserve">as </w:t>
      </w:r>
      <w:r w:rsidRPr="003C4555">
        <w:rPr>
          <w:rFonts w:asciiTheme="minorBidi" w:hAnsiTheme="minorBidi"/>
          <w:sz w:val="24"/>
          <w:szCs w:val="24"/>
        </w:rPr>
        <w:t xml:space="preserve">overburdened in performing all pharmacy duties because </w:t>
      </w:r>
      <w:r>
        <w:rPr>
          <w:rFonts w:asciiTheme="minorBidi" w:hAnsiTheme="minorBidi"/>
          <w:sz w:val="24"/>
          <w:szCs w:val="24"/>
        </w:rPr>
        <w:t xml:space="preserve">just </w:t>
      </w:r>
      <w:r w:rsidRPr="003C4555">
        <w:rPr>
          <w:rFonts w:asciiTheme="minorBidi" w:hAnsiTheme="minorBidi"/>
          <w:sz w:val="24"/>
          <w:szCs w:val="24"/>
        </w:rPr>
        <w:t xml:space="preserve">one pharmacy employee runs the </w:t>
      </w:r>
      <w:r>
        <w:rPr>
          <w:rFonts w:asciiTheme="minorBidi" w:hAnsiTheme="minorBidi"/>
          <w:sz w:val="24"/>
          <w:szCs w:val="24"/>
        </w:rPr>
        <w:t>PHC</w:t>
      </w:r>
      <w:r w:rsidRPr="003C4555">
        <w:rPr>
          <w:rFonts w:asciiTheme="minorBidi" w:hAnsiTheme="minorBidi"/>
          <w:sz w:val="24"/>
          <w:szCs w:val="24"/>
        </w:rPr>
        <w:t xml:space="preserve"> pharmacy. When pharmacists do all of these jobs, they expect recognition and appreciation. But closing pharmacies and transferring all pharmacists to hospitals sent a passive message to all health care workers that there are no roles for pharmacists in providing public health services. Those feelings were palpable in the tone of the pharmacists interviewed.</w:t>
      </w:r>
    </w:p>
    <w:p w14:paraId="15D2E123" w14:textId="77777777" w:rsidR="00821B82" w:rsidRPr="008B43D5"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8D265A">
        <w:rPr>
          <w:rFonts w:eastAsiaTheme="minorEastAsia" w:cstheme="minorHAnsi"/>
          <w:i/>
          <w:iCs/>
          <w:sz w:val="24"/>
          <w:szCs w:val="24"/>
          <w:lang w:val="en-GB" w:eastAsia="en-GB"/>
        </w:rPr>
        <w:t>I have been moved from the PHC, but I believe that pharmacists can play an important and active role in patient care in PHC</w:t>
      </w:r>
      <w:r>
        <w:rPr>
          <w:rFonts w:eastAsiaTheme="minorEastAsia" w:cstheme="minorHAnsi"/>
          <w:i/>
          <w:iCs/>
          <w:sz w:val="24"/>
          <w:szCs w:val="24"/>
          <w:lang w:val="en-GB" w:eastAsia="en-GB"/>
        </w:rPr>
        <w:t>s</w:t>
      </w:r>
      <w:r w:rsidRPr="008D265A">
        <w:rPr>
          <w:rFonts w:eastAsiaTheme="minorEastAsia" w:cstheme="minorHAnsi"/>
          <w:i/>
          <w:iCs/>
          <w:sz w:val="24"/>
          <w:szCs w:val="24"/>
          <w:lang w:val="en-GB" w:eastAsia="en-GB"/>
        </w:rPr>
        <w:t>, updating medical staff with the new evolutions in medication treatments, such as diabetes management, and providing patient education</w:t>
      </w:r>
      <w:r>
        <w:rPr>
          <w:rFonts w:eastAsiaTheme="minorEastAsia" w:cstheme="minorHAnsi"/>
          <w:i/>
          <w:iCs/>
          <w:sz w:val="24"/>
          <w:szCs w:val="24"/>
          <w:lang w:val="en-GB" w:eastAsia="en-GB"/>
        </w:rPr>
        <w:t>’ Ph2</w:t>
      </w:r>
    </w:p>
    <w:p w14:paraId="5613BA81" w14:textId="77777777" w:rsidR="00821B82" w:rsidRDefault="00821B82" w:rsidP="00821B82">
      <w:pPr>
        <w:spacing w:before="240" w:line="360" w:lineRule="auto"/>
        <w:jc w:val="both"/>
        <w:rPr>
          <w:rFonts w:asciiTheme="minorBidi" w:hAnsiTheme="minorBidi"/>
          <w:sz w:val="24"/>
          <w:szCs w:val="24"/>
        </w:rPr>
      </w:pPr>
      <w:r w:rsidRPr="006B1FEC">
        <w:rPr>
          <w:rFonts w:asciiTheme="minorBidi" w:hAnsiTheme="minorBidi"/>
          <w:sz w:val="24"/>
          <w:szCs w:val="24"/>
        </w:rPr>
        <w:t>Pharmacists expressed disappointment with the decision to move them from PHCs once pharmacies are closed. This was an indirect message to them that their role is limited to dispensing medical prescriptions only, and in the absence of this service, there is no need for a pharmacist in this institution.</w:t>
      </w:r>
      <w:r>
        <w:rPr>
          <w:rFonts w:asciiTheme="minorBidi" w:hAnsiTheme="minorBidi"/>
          <w:sz w:val="24"/>
          <w:szCs w:val="24"/>
        </w:rPr>
        <w:t xml:space="preserve"> </w:t>
      </w:r>
    </w:p>
    <w:p w14:paraId="4DE6C8F2" w14:textId="77777777" w:rsidR="00821B82" w:rsidRPr="00063B6A" w:rsidRDefault="00821B82" w:rsidP="00821B82">
      <w:pPr>
        <w:spacing w:line="240" w:lineRule="auto"/>
        <w:ind w:left="720"/>
        <w:jc w:val="both"/>
        <w:rPr>
          <w:rFonts w:cstheme="minorHAnsi"/>
          <w:sz w:val="24"/>
          <w:szCs w:val="24"/>
        </w:rPr>
      </w:pPr>
      <w:r>
        <w:rPr>
          <w:rFonts w:cstheme="minorHAnsi"/>
          <w:i/>
          <w:iCs/>
          <w:sz w:val="24"/>
          <w:szCs w:val="24"/>
        </w:rPr>
        <w:t>‘</w:t>
      </w:r>
      <w:r w:rsidRPr="001F5142">
        <w:rPr>
          <w:rFonts w:cstheme="minorHAnsi"/>
          <w:i/>
          <w:iCs/>
          <w:sz w:val="24"/>
          <w:szCs w:val="24"/>
        </w:rPr>
        <w:t>Unfortunately, the pharmacist's role is significantly reduced from the PHCs and shifted to hospitals during this period. All pharmacists were transferred to hospitals. There are very few pharmacist assistants in the PHCs to dispense medications from pharmacies that are still there. The role of the pharmacist is now minimal in PHCs</w:t>
      </w:r>
      <w:r w:rsidRPr="00942D22">
        <w:rPr>
          <w:rFonts w:cstheme="minorHAnsi"/>
          <w:sz w:val="24"/>
          <w:szCs w:val="24"/>
        </w:rPr>
        <w:t>.</w:t>
      </w:r>
      <w:r>
        <w:rPr>
          <w:rFonts w:cstheme="minorHAnsi"/>
          <w:sz w:val="24"/>
          <w:szCs w:val="24"/>
        </w:rPr>
        <w:t>’ Ph3</w:t>
      </w:r>
    </w:p>
    <w:p w14:paraId="29B7BCD7"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asciiTheme="minorBidi" w:hAnsiTheme="minorBidi"/>
          <w:sz w:val="24"/>
          <w:szCs w:val="24"/>
        </w:rPr>
      </w:pPr>
      <w:r w:rsidRPr="00EC6629">
        <w:rPr>
          <w:rFonts w:asciiTheme="minorBidi" w:hAnsiTheme="minorBidi"/>
          <w:sz w:val="24"/>
          <w:szCs w:val="24"/>
        </w:rPr>
        <w:t>Pharmacists mentioned that the attitude of doctors towards them varies according to the degree of education that the doctor holds. The higher the doctor's scientific and professional degree, the more accepting he is of the pharmacist's role in the patient care team. This is in agreement with what was previously mentioned.</w:t>
      </w:r>
    </w:p>
    <w:p w14:paraId="08D43E2E" w14:textId="77777777" w:rsidR="00821B82" w:rsidRPr="00FA08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FA0882">
        <w:rPr>
          <w:rFonts w:eastAsiaTheme="minorEastAsia" w:cstheme="minorHAnsi"/>
          <w:i/>
          <w:iCs/>
          <w:sz w:val="24"/>
          <w:szCs w:val="24"/>
          <w:lang w:val="en-GB" w:eastAsia="en-GB"/>
        </w:rPr>
        <w:t>I noticed that consultants or specialists demand a pharmacist to be part of their team in managing patients, and they also consider the pharmacist's opinion, but with the newcomers (juniors), you rarely find such a thing with them.</w:t>
      </w:r>
      <w:r>
        <w:rPr>
          <w:rFonts w:eastAsiaTheme="minorEastAsia" w:cstheme="minorHAnsi"/>
          <w:i/>
          <w:iCs/>
          <w:sz w:val="24"/>
          <w:szCs w:val="24"/>
          <w:lang w:val="en-GB" w:eastAsia="en-GB"/>
        </w:rPr>
        <w:t>’</w:t>
      </w:r>
      <w:r w:rsidRPr="00FA0882">
        <w:rPr>
          <w:rFonts w:eastAsiaTheme="minorEastAsia" w:cstheme="minorHAnsi"/>
          <w:i/>
          <w:iCs/>
          <w:sz w:val="24"/>
          <w:szCs w:val="24"/>
          <w:lang w:val="en-GB" w:eastAsia="en-GB"/>
        </w:rPr>
        <w:t xml:space="preserve"> Ph3</w:t>
      </w:r>
    </w:p>
    <w:p w14:paraId="5162156B" w14:textId="77777777" w:rsidR="00821B82" w:rsidRDefault="00821B82" w:rsidP="00821B82">
      <w:pPr>
        <w:spacing w:before="240" w:line="360" w:lineRule="auto"/>
        <w:jc w:val="both"/>
        <w:rPr>
          <w:rFonts w:asciiTheme="minorBidi" w:hAnsiTheme="minorBidi"/>
          <w:sz w:val="24"/>
          <w:szCs w:val="24"/>
        </w:rPr>
      </w:pPr>
      <w:r>
        <w:rPr>
          <w:rFonts w:asciiTheme="minorBidi" w:eastAsiaTheme="minorEastAsia" w:hAnsiTheme="minorBidi"/>
          <w:sz w:val="24"/>
          <w:szCs w:val="24"/>
          <w:lang w:val="en-GB" w:eastAsia="en-GB"/>
        </w:rPr>
        <w:t xml:space="preserve">Pharmacist interviewed were frustrated about treatment of the pharmacy professionals as less important than physicians and not being recognised as professionals. </w:t>
      </w:r>
      <w:r w:rsidRPr="00995D38">
        <w:rPr>
          <w:rFonts w:asciiTheme="minorBidi" w:hAnsiTheme="minorBidi"/>
          <w:sz w:val="24"/>
          <w:szCs w:val="24"/>
        </w:rPr>
        <w:t xml:space="preserve">The pharmacists who were interviewed were disappointed with the hierarchical system in the health institutions of the </w:t>
      </w:r>
      <w:r>
        <w:rPr>
          <w:rFonts w:asciiTheme="minorBidi" w:hAnsiTheme="minorBidi"/>
          <w:sz w:val="24"/>
          <w:szCs w:val="24"/>
        </w:rPr>
        <w:t>MoH</w:t>
      </w:r>
      <w:r w:rsidRPr="00995D38">
        <w:rPr>
          <w:rFonts w:asciiTheme="minorBidi" w:hAnsiTheme="minorBidi"/>
          <w:sz w:val="24"/>
          <w:szCs w:val="24"/>
        </w:rPr>
        <w:t>, where doctors are considered at the top of the hierarchy, and other specialties come after them. The pharmacists who were interviewed were upset about not being recogni</w:t>
      </w:r>
      <w:r>
        <w:rPr>
          <w:rFonts w:asciiTheme="minorBidi" w:hAnsiTheme="minorBidi"/>
          <w:sz w:val="24"/>
          <w:szCs w:val="24"/>
        </w:rPr>
        <w:t>s</w:t>
      </w:r>
      <w:r w:rsidRPr="00995D38">
        <w:rPr>
          <w:rFonts w:asciiTheme="minorBidi" w:hAnsiTheme="minorBidi"/>
          <w:sz w:val="24"/>
          <w:szCs w:val="24"/>
        </w:rPr>
        <w:t xml:space="preserve">ed as health care professionals and providers, and one of them cited an incident that occurred when the Pharmacy Department applied for accreditation of a course offered to all health cadres working in </w:t>
      </w:r>
      <w:r>
        <w:rPr>
          <w:rFonts w:asciiTheme="minorBidi" w:hAnsiTheme="minorBidi"/>
          <w:sz w:val="24"/>
          <w:szCs w:val="24"/>
        </w:rPr>
        <w:t>PHCs</w:t>
      </w:r>
      <w:r w:rsidRPr="00995D38">
        <w:rPr>
          <w:rFonts w:asciiTheme="minorBidi" w:hAnsiTheme="minorBidi"/>
          <w:sz w:val="24"/>
          <w:szCs w:val="24"/>
        </w:rPr>
        <w:t xml:space="preserve"> to obtain continuing education hours for employees wishing to attend this course. The response from the accreditation body was that continuing education hours would not be accredited to physicians because the course would be delivered by a group of pharmacists. According to what was reported to them, the reasoning was that the scientific rank of the pharmacist is lower than </w:t>
      </w:r>
      <w:r>
        <w:rPr>
          <w:rFonts w:asciiTheme="minorBidi" w:hAnsiTheme="minorBidi"/>
          <w:sz w:val="24"/>
          <w:szCs w:val="24"/>
        </w:rPr>
        <w:t xml:space="preserve">that of </w:t>
      </w:r>
      <w:r w:rsidRPr="00995D38">
        <w:rPr>
          <w:rFonts w:asciiTheme="minorBidi" w:hAnsiTheme="minorBidi"/>
          <w:sz w:val="24"/>
          <w:szCs w:val="24"/>
        </w:rPr>
        <w:t xml:space="preserve">the doctor, so it is not possible to count educational hours for the doctors if they attend such courses in which there are no participating doctors. To solve this problem, they added lectures </w:t>
      </w:r>
      <w:r>
        <w:rPr>
          <w:rFonts w:asciiTheme="minorBidi" w:hAnsiTheme="minorBidi"/>
          <w:sz w:val="24"/>
          <w:szCs w:val="24"/>
        </w:rPr>
        <w:t>by</w:t>
      </w:r>
      <w:r w:rsidRPr="00995D38">
        <w:rPr>
          <w:rFonts w:asciiTheme="minorBidi" w:hAnsiTheme="minorBidi"/>
          <w:sz w:val="24"/>
          <w:szCs w:val="24"/>
        </w:rPr>
        <w:t xml:space="preserve"> doctors to the course. This event shocked her, as such behaviour </w:t>
      </w:r>
      <w:r>
        <w:rPr>
          <w:rFonts w:asciiTheme="minorBidi" w:hAnsiTheme="minorBidi"/>
          <w:sz w:val="24"/>
          <w:szCs w:val="24"/>
        </w:rPr>
        <w:t xml:space="preserve">encourages </w:t>
      </w:r>
      <w:r w:rsidRPr="00995D38">
        <w:rPr>
          <w:rFonts w:asciiTheme="minorBidi" w:hAnsiTheme="minorBidi"/>
          <w:sz w:val="24"/>
          <w:szCs w:val="24"/>
        </w:rPr>
        <w:t xml:space="preserve">doctors </w:t>
      </w:r>
      <w:r>
        <w:rPr>
          <w:rFonts w:asciiTheme="minorBidi" w:hAnsiTheme="minorBidi"/>
          <w:sz w:val="24"/>
          <w:szCs w:val="24"/>
        </w:rPr>
        <w:t xml:space="preserve">to show </w:t>
      </w:r>
      <w:r w:rsidRPr="00995D38">
        <w:rPr>
          <w:rFonts w:asciiTheme="minorBidi" w:hAnsiTheme="minorBidi"/>
          <w:sz w:val="24"/>
          <w:szCs w:val="24"/>
        </w:rPr>
        <w:t>superiority and disrespect to other specialties.</w:t>
      </w:r>
    </w:p>
    <w:p w14:paraId="3ADC983E" w14:textId="77777777" w:rsidR="00821B82" w:rsidRPr="00594B1A"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594B1A">
        <w:rPr>
          <w:rFonts w:eastAsiaTheme="minorEastAsia" w:cstheme="minorHAnsi"/>
          <w:i/>
          <w:iCs/>
          <w:sz w:val="24"/>
          <w:szCs w:val="24"/>
          <w:lang w:val="en-GB" w:eastAsia="en-GB"/>
        </w:rPr>
        <w:t>I remembered something that happened to me in a primary health care centre when a pharmacist gave a lecture in the continuing education programme for healthcare providers, continuing education hours don't count for doctors unless the lecturer is a doctor, and that's what I was told when we applied for the accreditation of continuing education hours. The justification was that physicians hold a higher education or qualification than pharmacists, so they cannot award CME hours to physicians if the programme is offered only by pharmacists. To solve this problem, some doctors suggested adding doctors to the educational programme to accredit the hours to the attendees from doctors. I do not know why there is this attitude towards pharmacists. Our lectures include information about treatments, drug safety, and other relevant medication-related topics from our field in which we are experts. You can see from this example that there are different perceptions and attitudes towards pharmacists.</w:t>
      </w:r>
      <w:r>
        <w:rPr>
          <w:rFonts w:eastAsiaTheme="minorEastAsia" w:cstheme="minorHAnsi"/>
          <w:i/>
          <w:iCs/>
          <w:sz w:val="24"/>
          <w:szCs w:val="24"/>
          <w:lang w:val="en-GB" w:eastAsia="en-GB"/>
        </w:rPr>
        <w:t xml:space="preserve">’ </w:t>
      </w:r>
      <w:r w:rsidRPr="00594B1A">
        <w:rPr>
          <w:rFonts w:eastAsiaTheme="minorEastAsia" w:cstheme="minorHAnsi"/>
          <w:i/>
          <w:iCs/>
          <w:sz w:val="24"/>
          <w:szCs w:val="24"/>
          <w:lang w:val="en-GB" w:eastAsia="en-GB"/>
        </w:rPr>
        <w:t>Ph</w:t>
      </w:r>
      <w:r>
        <w:rPr>
          <w:rFonts w:eastAsiaTheme="minorEastAsia" w:cstheme="minorHAnsi"/>
          <w:i/>
          <w:iCs/>
          <w:sz w:val="24"/>
          <w:szCs w:val="24"/>
          <w:lang w:val="en-GB" w:eastAsia="en-GB"/>
        </w:rPr>
        <w:t>2</w:t>
      </w:r>
    </w:p>
    <w:p w14:paraId="3BC94B5B" w14:textId="77777777" w:rsidR="00821B82" w:rsidRDefault="00821B82" w:rsidP="00821B82">
      <w:pPr>
        <w:spacing w:before="240" w:line="360" w:lineRule="auto"/>
        <w:jc w:val="both"/>
        <w:rPr>
          <w:rFonts w:asciiTheme="minorBidi" w:hAnsiTheme="minorBidi"/>
          <w:sz w:val="24"/>
          <w:szCs w:val="24"/>
        </w:rPr>
      </w:pPr>
      <w:r>
        <w:rPr>
          <w:rFonts w:asciiTheme="minorBidi" w:hAnsiTheme="minorBidi"/>
          <w:sz w:val="24"/>
          <w:szCs w:val="24"/>
        </w:rPr>
        <w:t>T</w:t>
      </w:r>
      <w:r w:rsidRPr="00CF274E">
        <w:rPr>
          <w:rFonts w:asciiTheme="minorBidi" w:hAnsiTheme="minorBidi"/>
          <w:sz w:val="24"/>
          <w:szCs w:val="24"/>
        </w:rPr>
        <w:t xml:space="preserve">he </w:t>
      </w:r>
      <w:r>
        <w:rPr>
          <w:rFonts w:asciiTheme="minorBidi" w:hAnsiTheme="minorBidi"/>
          <w:sz w:val="24"/>
          <w:szCs w:val="24"/>
        </w:rPr>
        <w:t>findings</w:t>
      </w:r>
      <w:r w:rsidRPr="00CF274E">
        <w:rPr>
          <w:rFonts w:asciiTheme="minorBidi" w:hAnsiTheme="minorBidi"/>
          <w:sz w:val="24"/>
          <w:szCs w:val="24"/>
        </w:rPr>
        <w:t xml:space="preserve"> showed that some pharmacists were frustrated at not being recognised as professionals. </w:t>
      </w:r>
      <w:r>
        <w:rPr>
          <w:rFonts w:asciiTheme="minorBidi" w:hAnsiTheme="minorBidi"/>
          <w:sz w:val="24"/>
          <w:szCs w:val="24"/>
        </w:rPr>
        <w:t xml:space="preserve">They </w:t>
      </w:r>
      <w:r w:rsidRPr="0083171D">
        <w:rPr>
          <w:rFonts w:asciiTheme="minorBidi" w:hAnsiTheme="minorBidi"/>
          <w:sz w:val="24"/>
          <w:szCs w:val="24"/>
        </w:rPr>
        <w:t xml:space="preserve">said that they did not have the opportunity to engage in patient management and </w:t>
      </w:r>
      <w:r>
        <w:rPr>
          <w:rFonts w:asciiTheme="minorBidi" w:hAnsiTheme="minorBidi"/>
          <w:sz w:val="24"/>
          <w:szCs w:val="24"/>
        </w:rPr>
        <w:t xml:space="preserve">were </w:t>
      </w:r>
      <w:r w:rsidRPr="0083171D">
        <w:rPr>
          <w:rFonts w:asciiTheme="minorBidi" w:hAnsiTheme="minorBidi"/>
          <w:sz w:val="24"/>
          <w:szCs w:val="24"/>
        </w:rPr>
        <w:t>not trust</w:t>
      </w:r>
      <w:r>
        <w:rPr>
          <w:rFonts w:asciiTheme="minorBidi" w:hAnsiTheme="minorBidi"/>
          <w:sz w:val="24"/>
          <w:szCs w:val="24"/>
        </w:rPr>
        <w:t>ed</w:t>
      </w:r>
      <w:r w:rsidRPr="0083171D">
        <w:rPr>
          <w:rFonts w:asciiTheme="minorBidi" w:hAnsiTheme="minorBidi"/>
          <w:sz w:val="24"/>
          <w:szCs w:val="24"/>
        </w:rPr>
        <w:t xml:space="preserve"> to apply what they </w:t>
      </w:r>
      <w:r>
        <w:rPr>
          <w:rFonts w:asciiTheme="minorBidi" w:hAnsiTheme="minorBidi"/>
          <w:sz w:val="24"/>
          <w:szCs w:val="24"/>
        </w:rPr>
        <w:t xml:space="preserve">had </w:t>
      </w:r>
      <w:r w:rsidRPr="0083171D">
        <w:rPr>
          <w:rFonts w:asciiTheme="minorBidi" w:hAnsiTheme="minorBidi"/>
          <w:sz w:val="24"/>
          <w:szCs w:val="24"/>
        </w:rPr>
        <w:t>learned at the University of Pharmacy.</w:t>
      </w:r>
    </w:p>
    <w:p w14:paraId="345CAAD1" w14:textId="77777777" w:rsidR="00821B82" w:rsidRPr="000C16B9"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0C16B9">
        <w:rPr>
          <w:rFonts w:eastAsiaTheme="minorEastAsia" w:cstheme="minorHAnsi"/>
          <w:i/>
          <w:iCs/>
          <w:sz w:val="24"/>
          <w:szCs w:val="24"/>
          <w:lang w:val="en-GB" w:eastAsia="en-GB"/>
        </w:rPr>
        <w:t>The role of the pharmacist in PHCs should be expanded to provide patient-centred services. The role of the pharmacy should be clearly defined for the medical team. We studied Therapeutics at the University, and any pharmacist would hope to apply what he learned, but the work environment in PHCs was not encouraging to practise the clinical role. In addition, there was no support system for it.</w:t>
      </w:r>
      <w:r>
        <w:rPr>
          <w:rFonts w:eastAsiaTheme="minorEastAsia" w:cstheme="minorHAnsi"/>
          <w:i/>
          <w:iCs/>
          <w:sz w:val="24"/>
          <w:szCs w:val="24"/>
          <w:lang w:val="en-GB" w:eastAsia="en-GB"/>
        </w:rPr>
        <w:t xml:space="preserve">’ </w:t>
      </w:r>
      <w:r w:rsidRPr="000C16B9">
        <w:rPr>
          <w:rFonts w:eastAsiaTheme="minorEastAsia" w:cstheme="minorHAnsi"/>
          <w:i/>
          <w:iCs/>
          <w:sz w:val="24"/>
          <w:szCs w:val="24"/>
          <w:lang w:val="en-GB" w:eastAsia="en-GB"/>
        </w:rPr>
        <w:t>Ph1</w:t>
      </w:r>
    </w:p>
    <w:p w14:paraId="6211D5B6"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asciiTheme="minorBidi" w:hAnsiTheme="minorBidi"/>
          <w:sz w:val="24"/>
          <w:szCs w:val="24"/>
          <w:rtl/>
        </w:rPr>
      </w:pPr>
      <w:r w:rsidRPr="00CF274E">
        <w:rPr>
          <w:rFonts w:asciiTheme="minorBidi" w:hAnsiTheme="minorBidi"/>
          <w:sz w:val="24"/>
          <w:szCs w:val="24"/>
        </w:rPr>
        <w:t>In addition, they felt that they were not receiving recognition for their work.</w:t>
      </w:r>
    </w:p>
    <w:p w14:paraId="61409363" w14:textId="77777777" w:rsidR="00821B82" w:rsidRPr="00437ACA"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437ACA">
        <w:rPr>
          <w:rFonts w:eastAsiaTheme="minorEastAsia" w:cstheme="minorHAnsi"/>
          <w:i/>
          <w:iCs/>
          <w:sz w:val="24"/>
          <w:szCs w:val="24"/>
          <w:lang w:val="en-GB" w:eastAsia="en-GB"/>
        </w:rPr>
        <w:t>For doctors who think/believe the pharmacist's role is only to dispense prescriptions, I tell them no, not just dispensing… a pharmacist is not just a dispenser but a nerve (core) in health institutions serving people and society</w:t>
      </w:r>
      <w:r>
        <w:rPr>
          <w:rFonts w:eastAsiaTheme="minorEastAsia" w:cstheme="minorHAnsi"/>
          <w:i/>
          <w:iCs/>
          <w:sz w:val="24"/>
          <w:szCs w:val="24"/>
          <w:lang w:val="en-GB" w:eastAsia="en-GB"/>
        </w:rPr>
        <w:t>’</w:t>
      </w:r>
      <w:r w:rsidRPr="00437ACA">
        <w:rPr>
          <w:rFonts w:eastAsiaTheme="minorEastAsia" w:cstheme="minorHAnsi"/>
          <w:i/>
          <w:iCs/>
          <w:sz w:val="24"/>
          <w:szCs w:val="24"/>
          <w:lang w:val="en-GB" w:eastAsia="en-GB"/>
        </w:rPr>
        <w:t xml:space="preserve"> Ph3</w:t>
      </w:r>
    </w:p>
    <w:p w14:paraId="056328DE" w14:textId="77777777" w:rsidR="00821B82" w:rsidRPr="00CF1A23" w:rsidRDefault="00821B82" w:rsidP="00821B82">
      <w:pPr>
        <w:spacing w:before="240" w:line="360" w:lineRule="auto"/>
        <w:jc w:val="both"/>
        <w:rPr>
          <w:rFonts w:asciiTheme="minorBidi" w:eastAsiaTheme="minorEastAsia" w:hAnsiTheme="minorBidi"/>
          <w:sz w:val="24"/>
          <w:szCs w:val="24"/>
          <w:rtl/>
          <w:lang w:val="en-GB" w:eastAsia="en-GB"/>
        </w:rPr>
      </w:pPr>
      <w:r w:rsidRPr="00CF1A23">
        <w:rPr>
          <w:rFonts w:asciiTheme="minorBidi" w:eastAsiaTheme="minorEastAsia" w:hAnsiTheme="minorBidi"/>
          <w:sz w:val="24"/>
          <w:szCs w:val="24"/>
          <w:lang w:val="en-GB" w:eastAsia="en-GB"/>
        </w:rPr>
        <w:t xml:space="preserve">One of the participating pharmacists indicated that some pharmacists who used to work in the pharmacy limit their work to dispensing orders and do not work as a team in their workplaces. </w:t>
      </w:r>
      <w:r>
        <w:rPr>
          <w:rFonts w:asciiTheme="minorBidi" w:eastAsiaTheme="minorEastAsia" w:hAnsiTheme="minorBidi"/>
          <w:sz w:val="24"/>
          <w:szCs w:val="24"/>
          <w:lang w:val="en-GB" w:eastAsia="en-GB"/>
        </w:rPr>
        <w:t xml:space="preserve">Neither do they </w:t>
      </w:r>
      <w:r w:rsidRPr="00CF1A23">
        <w:rPr>
          <w:rFonts w:asciiTheme="minorBidi" w:eastAsiaTheme="minorEastAsia" w:hAnsiTheme="minorBidi"/>
          <w:sz w:val="24"/>
          <w:szCs w:val="24"/>
          <w:lang w:val="en-GB" w:eastAsia="en-GB"/>
        </w:rPr>
        <w:t>enter into discussion</w:t>
      </w:r>
      <w:r>
        <w:rPr>
          <w:rFonts w:asciiTheme="minorBidi" w:eastAsiaTheme="minorEastAsia" w:hAnsiTheme="minorBidi"/>
          <w:sz w:val="24"/>
          <w:szCs w:val="24"/>
          <w:lang w:val="en-GB" w:eastAsia="en-GB"/>
        </w:rPr>
        <w:t>s</w:t>
      </w:r>
      <w:r w:rsidRPr="00CF1A23">
        <w:rPr>
          <w:rFonts w:asciiTheme="minorBidi" w:eastAsiaTheme="minorEastAsia" w:hAnsiTheme="minorBidi"/>
          <w:sz w:val="24"/>
          <w:szCs w:val="24"/>
          <w:lang w:val="en-GB" w:eastAsia="en-GB"/>
        </w:rPr>
        <w:t xml:space="preserve"> with the medical team. The attitude of these pharmacists towards their work contributed to defining the image of the pharmacy profession in the health institution in which they work. If these pharmacists believed in their vital role in treating patients, they would have demonstrated their knowledge and self-confidence, imposed themselves on the team and gained the trust of the medical team and patients.</w:t>
      </w:r>
    </w:p>
    <w:p w14:paraId="48236F57" w14:textId="77777777" w:rsidR="00821B82" w:rsidRPr="00F032EB"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F032EB">
        <w:rPr>
          <w:rFonts w:eastAsiaTheme="minorEastAsia" w:cstheme="minorHAnsi"/>
          <w:i/>
          <w:iCs/>
          <w:sz w:val="24"/>
          <w:szCs w:val="24"/>
          <w:lang w:val="en-GB" w:eastAsia="en-GB"/>
        </w:rPr>
        <w:t>This is the pharmacist's role in grabbing patients' attention, making them trust the pharmacist, and being more confident about their role in the patient's care</w:t>
      </w:r>
      <w:r>
        <w:rPr>
          <w:rFonts w:eastAsiaTheme="minorEastAsia" w:cstheme="minorHAnsi"/>
          <w:i/>
          <w:iCs/>
          <w:sz w:val="24"/>
          <w:szCs w:val="24"/>
          <w:lang w:val="en-GB" w:eastAsia="en-GB"/>
        </w:rPr>
        <w:t xml:space="preserve"> [..</w:t>
      </w:r>
      <w:r w:rsidRPr="00F032EB">
        <w:rPr>
          <w:rFonts w:eastAsiaTheme="minorEastAsia" w:cstheme="minorHAnsi"/>
          <w:i/>
          <w:iCs/>
          <w:sz w:val="24"/>
          <w:szCs w:val="24"/>
          <w:lang w:val="en-GB" w:eastAsia="en-GB"/>
        </w:rPr>
        <w:t>.</w:t>
      </w:r>
      <w:r>
        <w:rPr>
          <w:rFonts w:eastAsiaTheme="minorEastAsia" w:cstheme="minorHAnsi"/>
          <w:i/>
          <w:iCs/>
          <w:sz w:val="24"/>
          <w:szCs w:val="24"/>
          <w:lang w:val="en-GB" w:eastAsia="en-GB"/>
        </w:rPr>
        <w:t>]</w:t>
      </w:r>
      <w:r w:rsidRPr="00F032EB">
        <w:rPr>
          <w:rFonts w:eastAsiaTheme="minorEastAsia" w:cstheme="minorHAnsi"/>
          <w:i/>
          <w:iCs/>
          <w:sz w:val="24"/>
          <w:szCs w:val="24"/>
          <w:lang w:val="en-GB" w:eastAsia="en-GB"/>
        </w:rPr>
        <w:t xml:space="preserve"> How the pharmacist presents himself, shows his knowledge, participates in the management plan</w:t>
      </w:r>
      <w:r>
        <w:rPr>
          <w:rFonts w:eastAsiaTheme="minorEastAsia" w:cstheme="minorHAnsi"/>
          <w:i/>
          <w:iCs/>
          <w:sz w:val="24"/>
          <w:szCs w:val="24"/>
          <w:lang w:val="en-GB" w:eastAsia="en-GB"/>
        </w:rPr>
        <w:t xml:space="preserve"> […]</w:t>
      </w:r>
      <w:r w:rsidRPr="00F032EB">
        <w:rPr>
          <w:rFonts w:eastAsiaTheme="minorEastAsia" w:cstheme="minorHAnsi"/>
          <w:i/>
          <w:iCs/>
          <w:sz w:val="24"/>
          <w:szCs w:val="24"/>
          <w:lang w:val="en-GB" w:eastAsia="en-GB"/>
        </w:rPr>
        <w:t xml:space="preserve"> the pharmacist role in PHC comes from pharmacist him/herself, as I said. He can put his knowledge</w:t>
      </w:r>
      <w:r>
        <w:rPr>
          <w:rFonts w:eastAsiaTheme="minorEastAsia" w:cstheme="minorHAnsi"/>
          <w:i/>
          <w:iCs/>
          <w:sz w:val="24"/>
          <w:szCs w:val="24"/>
          <w:lang w:val="en-GB" w:eastAsia="en-GB"/>
        </w:rPr>
        <w:t xml:space="preserve"> [</w:t>
      </w:r>
      <w:r w:rsidRPr="00F032EB">
        <w:rPr>
          <w:rFonts w:eastAsiaTheme="minorEastAsia" w:cstheme="minorHAnsi"/>
          <w:i/>
          <w:iCs/>
          <w:sz w:val="24"/>
          <w:szCs w:val="24"/>
          <w:lang w:val="en-GB" w:eastAsia="en-GB"/>
        </w:rPr>
        <w:t>…</w:t>
      </w:r>
      <w:r>
        <w:rPr>
          <w:rFonts w:eastAsiaTheme="minorEastAsia" w:cstheme="minorHAnsi"/>
          <w:i/>
          <w:iCs/>
          <w:sz w:val="24"/>
          <w:szCs w:val="24"/>
          <w:lang w:val="en-GB" w:eastAsia="en-GB"/>
        </w:rPr>
        <w:t>]</w:t>
      </w:r>
      <w:r w:rsidRPr="00F032EB">
        <w:rPr>
          <w:rFonts w:eastAsiaTheme="minorEastAsia" w:cstheme="minorHAnsi"/>
          <w:i/>
          <w:iCs/>
          <w:sz w:val="24"/>
          <w:szCs w:val="24"/>
          <w:lang w:val="en-GB" w:eastAsia="en-GB"/>
        </w:rPr>
        <w:t xml:space="preserve"> if he puts his knowledge, he will let the others recognise the importance of pharmacists in the setting he/she works at. And make them rely on him or her by expanding his influence and involving him/herself in the treatment plan, educating patients, being an active member in the healthcare team, he will improve himself like this way. If the pharmacist puts him/herself in a limited area and only keeps him/herself inside the pharmacy, this will not help him/her improve or be recognised.</w:t>
      </w:r>
      <w:r>
        <w:rPr>
          <w:rFonts w:eastAsiaTheme="minorEastAsia" w:cstheme="minorHAnsi"/>
          <w:i/>
          <w:iCs/>
          <w:sz w:val="24"/>
          <w:szCs w:val="24"/>
          <w:lang w:val="en-GB" w:eastAsia="en-GB"/>
        </w:rPr>
        <w:t xml:space="preserve">’ </w:t>
      </w:r>
      <w:r w:rsidRPr="00F032EB">
        <w:rPr>
          <w:rFonts w:eastAsiaTheme="minorEastAsia" w:cstheme="minorHAnsi"/>
          <w:i/>
          <w:iCs/>
          <w:sz w:val="24"/>
          <w:szCs w:val="24"/>
          <w:lang w:val="en-GB" w:eastAsia="en-GB"/>
        </w:rPr>
        <w:t>Ph2</w:t>
      </w:r>
    </w:p>
    <w:p w14:paraId="12733A45"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asciiTheme="minorBidi" w:hAnsiTheme="minorBidi"/>
          <w:sz w:val="24"/>
          <w:szCs w:val="24"/>
        </w:rPr>
      </w:pPr>
      <w:r w:rsidRPr="0000577C">
        <w:rPr>
          <w:rFonts w:asciiTheme="minorBidi" w:hAnsiTheme="minorBidi"/>
          <w:sz w:val="24"/>
          <w:szCs w:val="24"/>
        </w:rPr>
        <w:t>Some pharmacists mentioned that some doctors have a negative attitude towards the role of the clinical pharmacist as if pharmacist</w:t>
      </w:r>
      <w:r>
        <w:rPr>
          <w:rFonts w:asciiTheme="minorBidi" w:hAnsiTheme="minorBidi"/>
          <w:sz w:val="24"/>
          <w:szCs w:val="24"/>
        </w:rPr>
        <w:t>s</w:t>
      </w:r>
      <w:r w:rsidRPr="0000577C">
        <w:rPr>
          <w:rFonts w:asciiTheme="minorBidi" w:hAnsiTheme="minorBidi"/>
          <w:sz w:val="24"/>
          <w:szCs w:val="24"/>
        </w:rPr>
        <w:t xml:space="preserve"> express</w:t>
      </w:r>
      <w:r>
        <w:rPr>
          <w:rFonts w:asciiTheme="minorBidi" w:hAnsiTheme="minorBidi"/>
          <w:sz w:val="24"/>
          <w:szCs w:val="24"/>
        </w:rPr>
        <w:t xml:space="preserve"> their</w:t>
      </w:r>
      <w:r w:rsidRPr="0000577C">
        <w:rPr>
          <w:rFonts w:asciiTheme="minorBidi" w:hAnsiTheme="minorBidi"/>
          <w:sz w:val="24"/>
          <w:szCs w:val="24"/>
        </w:rPr>
        <w:t xml:space="preserve"> opinion on the doctor’s decision in the patient’s treatment plan</w:t>
      </w:r>
      <w:r>
        <w:rPr>
          <w:rFonts w:asciiTheme="minorBidi" w:hAnsiTheme="minorBidi"/>
          <w:sz w:val="24"/>
          <w:szCs w:val="24"/>
        </w:rPr>
        <w:t>,</w:t>
      </w:r>
      <w:r w:rsidRPr="0000577C">
        <w:rPr>
          <w:rFonts w:asciiTheme="minorBidi" w:hAnsiTheme="minorBidi"/>
          <w:sz w:val="24"/>
          <w:szCs w:val="24"/>
        </w:rPr>
        <w:t xml:space="preserve"> </w:t>
      </w:r>
      <w:r>
        <w:rPr>
          <w:rFonts w:asciiTheme="minorBidi" w:hAnsiTheme="minorBidi"/>
          <w:sz w:val="24"/>
          <w:szCs w:val="24"/>
        </w:rPr>
        <w:t xml:space="preserve">they are </w:t>
      </w:r>
      <w:r w:rsidRPr="0000577C">
        <w:rPr>
          <w:rFonts w:asciiTheme="minorBidi" w:hAnsiTheme="minorBidi"/>
          <w:sz w:val="24"/>
          <w:szCs w:val="24"/>
        </w:rPr>
        <w:t>exceed</w:t>
      </w:r>
      <w:r>
        <w:rPr>
          <w:rFonts w:asciiTheme="minorBidi" w:hAnsiTheme="minorBidi"/>
          <w:sz w:val="24"/>
          <w:szCs w:val="24"/>
        </w:rPr>
        <w:t>ing</w:t>
      </w:r>
      <w:r w:rsidRPr="0000577C">
        <w:rPr>
          <w:rFonts w:asciiTheme="minorBidi" w:hAnsiTheme="minorBidi"/>
          <w:sz w:val="24"/>
          <w:szCs w:val="24"/>
        </w:rPr>
        <w:t xml:space="preserve"> </w:t>
      </w:r>
      <w:r>
        <w:rPr>
          <w:rFonts w:asciiTheme="minorBidi" w:hAnsiTheme="minorBidi"/>
          <w:sz w:val="24"/>
          <w:szCs w:val="24"/>
        </w:rPr>
        <w:t>their</w:t>
      </w:r>
      <w:r w:rsidRPr="0000577C">
        <w:rPr>
          <w:rFonts w:asciiTheme="minorBidi" w:hAnsiTheme="minorBidi"/>
          <w:sz w:val="24"/>
          <w:szCs w:val="24"/>
        </w:rPr>
        <w:t xml:space="preserve"> professional limits and </w:t>
      </w:r>
      <w:r>
        <w:rPr>
          <w:rFonts w:asciiTheme="minorBidi" w:hAnsiTheme="minorBidi"/>
          <w:sz w:val="24"/>
          <w:szCs w:val="24"/>
        </w:rPr>
        <w:t>are</w:t>
      </w:r>
      <w:r w:rsidRPr="0000577C">
        <w:rPr>
          <w:rFonts w:asciiTheme="minorBidi" w:hAnsiTheme="minorBidi"/>
          <w:sz w:val="24"/>
          <w:szCs w:val="24"/>
        </w:rPr>
        <w:t xml:space="preserve"> competing with the doctor.</w:t>
      </w:r>
      <w:r>
        <w:rPr>
          <w:rFonts w:asciiTheme="minorBidi" w:hAnsiTheme="minorBidi"/>
          <w:sz w:val="24"/>
          <w:szCs w:val="24"/>
        </w:rPr>
        <w:t xml:space="preserve"> </w:t>
      </w:r>
      <w:r w:rsidRPr="00C87944">
        <w:rPr>
          <w:rFonts w:asciiTheme="minorBidi" w:hAnsiTheme="minorBidi"/>
          <w:sz w:val="24"/>
          <w:szCs w:val="24"/>
        </w:rPr>
        <w:t xml:space="preserve">Doctors may see the pharmacists </w:t>
      </w:r>
      <w:r>
        <w:rPr>
          <w:rFonts w:asciiTheme="minorBidi" w:hAnsiTheme="minorBidi"/>
          <w:sz w:val="24"/>
          <w:szCs w:val="24"/>
        </w:rPr>
        <w:t xml:space="preserve">as </w:t>
      </w:r>
      <w:r w:rsidRPr="00C87944">
        <w:rPr>
          <w:rFonts w:asciiTheme="minorBidi" w:hAnsiTheme="minorBidi"/>
          <w:sz w:val="24"/>
          <w:szCs w:val="24"/>
        </w:rPr>
        <w:t>interfer</w:t>
      </w:r>
      <w:r>
        <w:rPr>
          <w:rFonts w:asciiTheme="minorBidi" w:hAnsiTheme="minorBidi"/>
          <w:sz w:val="24"/>
          <w:szCs w:val="24"/>
        </w:rPr>
        <w:t>ing</w:t>
      </w:r>
      <w:r w:rsidRPr="00C87944">
        <w:rPr>
          <w:rFonts w:asciiTheme="minorBidi" w:hAnsiTheme="minorBidi"/>
          <w:sz w:val="24"/>
          <w:szCs w:val="24"/>
        </w:rPr>
        <w:t xml:space="preserve"> with their work. A pharmacist raised this issue:</w:t>
      </w:r>
    </w:p>
    <w:p w14:paraId="698F1E7D" w14:textId="77777777" w:rsidR="00821B82" w:rsidRPr="008E2448"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8E2448">
        <w:rPr>
          <w:rFonts w:eastAsiaTheme="minorEastAsia" w:cstheme="minorHAnsi"/>
          <w:i/>
          <w:iCs/>
          <w:sz w:val="24"/>
          <w:szCs w:val="24"/>
          <w:lang w:val="en-GB" w:eastAsia="en-GB"/>
        </w:rPr>
        <w:t>We should discuss and professionally present opinions when treating a patient's condition and not take it personally and prove that I am a pharmacist or a doctor</w:t>
      </w:r>
      <w:r>
        <w:rPr>
          <w:rFonts w:eastAsiaTheme="minorEastAsia" w:cstheme="minorHAnsi"/>
          <w:i/>
          <w:iCs/>
          <w:sz w:val="24"/>
          <w:szCs w:val="24"/>
          <w:lang w:val="en-GB" w:eastAsia="en-GB"/>
        </w:rPr>
        <w:t xml:space="preserve"> [</w:t>
      </w:r>
      <w:r w:rsidRPr="008E2448">
        <w:rPr>
          <w:rFonts w:eastAsiaTheme="minorEastAsia" w:cstheme="minorHAnsi"/>
          <w:i/>
          <w:iCs/>
          <w:sz w:val="24"/>
          <w:szCs w:val="24"/>
          <w:lang w:val="en-GB" w:eastAsia="en-GB"/>
        </w:rPr>
        <w:t>…</w:t>
      </w:r>
      <w:r>
        <w:rPr>
          <w:rFonts w:eastAsiaTheme="minorEastAsia" w:cstheme="minorHAnsi"/>
          <w:i/>
          <w:iCs/>
          <w:sz w:val="24"/>
          <w:szCs w:val="24"/>
          <w:lang w:val="en-GB" w:eastAsia="en-GB"/>
        </w:rPr>
        <w:t>]</w:t>
      </w:r>
      <w:r w:rsidRPr="008E2448">
        <w:rPr>
          <w:rFonts w:eastAsiaTheme="minorEastAsia" w:cstheme="minorHAnsi"/>
          <w:i/>
          <w:iCs/>
          <w:sz w:val="24"/>
          <w:szCs w:val="24"/>
          <w:lang w:val="en-GB" w:eastAsia="en-GB"/>
        </w:rPr>
        <w:t xml:space="preserve"> Pharmacists play roles related to their field of work. They will not, of course, overtake the role of a physician who clinically examines patients</w:t>
      </w:r>
      <w:r>
        <w:rPr>
          <w:rFonts w:eastAsiaTheme="minorEastAsia" w:cstheme="minorHAnsi"/>
          <w:i/>
          <w:iCs/>
          <w:sz w:val="24"/>
          <w:szCs w:val="24"/>
          <w:lang w:val="en-GB" w:eastAsia="en-GB"/>
        </w:rPr>
        <w:t xml:space="preserve"> [</w:t>
      </w:r>
      <w:r w:rsidRPr="008E2448">
        <w:rPr>
          <w:rFonts w:eastAsiaTheme="minorEastAsia" w:cstheme="minorHAnsi"/>
          <w:i/>
          <w:iCs/>
          <w:sz w:val="24"/>
          <w:szCs w:val="24"/>
          <w:lang w:val="en-GB" w:eastAsia="en-GB"/>
        </w:rPr>
        <w:t>…</w:t>
      </w:r>
      <w:r>
        <w:rPr>
          <w:rFonts w:eastAsiaTheme="minorEastAsia" w:cstheme="minorHAnsi"/>
          <w:i/>
          <w:iCs/>
          <w:sz w:val="24"/>
          <w:szCs w:val="24"/>
          <w:lang w:val="en-GB" w:eastAsia="en-GB"/>
        </w:rPr>
        <w:t>]</w:t>
      </w:r>
      <w:r w:rsidRPr="008E2448">
        <w:rPr>
          <w:rFonts w:cstheme="minorHAnsi"/>
          <w:sz w:val="28"/>
          <w:szCs w:val="28"/>
        </w:rPr>
        <w:t xml:space="preserve"> </w:t>
      </w:r>
      <w:r w:rsidRPr="008E2448">
        <w:rPr>
          <w:rFonts w:eastAsiaTheme="minorEastAsia" w:cstheme="minorHAnsi"/>
          <w:i/>
          <w:iCs/>
          <w:sz w:val="24"/>
          <w:szCs w:val="24"/>
          <w:lang w:val="en-GB" w:eastAsia="en-GB"/>
        </w:rPr>
        <w:t>We practice within our scope of service as pharmacists. A professional pharmacist can intervene in planning or designing a patient's treatment plan.</w:t>
      </w:r>
      <w:r>
        <w:rPr>
          <w:rFonts w:eastAsiaTheme="minorEastAsia" w:cstheme="minorHAnsi"/>
          <w:i/>
          <w:iCs/>
          <w:sz w:val="24"/>
          <w:szCs w:val="24"/>
          <w:lang w:val="en-GB" w:eastAsia="en-GB"/>
        </w:rPr>
        <w:t>’</w:t>
      </w:r>
      <w:r w:rsidRPr="008E2448">
        <w:rPr>
          <w:rFonts w:eastAsiaTheme="minorEastAsia" w:cstheme="minorHAnsi"/>
          <w:i/>
          <w:iCs/>
          <w:sz w:val="24"/>
          <w:szCs w:val="24"/>
          <w:lang w:val="en-GB" w:eastAsia="en-GB"/>
        </w:rPr>
        <w:t xml:space="preserve"> Ph3</w:t>
      </w:r>
    </w:p>
    <w:p w14:paraId="32918ECE" w14:textId="77777777" w:rsidR="00821B82" w:rsidRPr="00404048" w:rsidRDefault="00821B82" w:rsidP="00821B82">
      <w:pPr>
        <w:spacing w:before="240" w:line="360" w:lineRule="auto"/>
        <w:jc w:val="both"/>
        <w:rPr>
          <w:rFonts w:asciiTheme="minorBidi" w:hAnsiTheme="minorBidi"/>
          <w:sz w:val="24"/>
          <w:szCs w:val="24"/>
        </w:rPr>
      </w:pPr>
      <w:r w:rsidRPr="00404048">
        <w:rPr>
          <w:rFonts w:asciiTheme="minorBidi" w:hAnsiTheme="minorBidi"/>
          <w:sz w:val="24"/>
          <w:szCs w:val="24"/>
        </w:rPr>
        <w:t xml:space="preserve">Regarding pharmacists' feelings about nurses' attitudes about their role as a member of their patient care team, the general feeling of pharmacists was that nurses trust pharmacists and consult them so much on drug-related matters that they rarely come back to the doctor to ask about these matters. This result is largely consistent with the results that mentioned </w:t>
      </w:r>
      <w:r>
        <w:rPr>
          <w:rFonts w:asciiTheme="minorBidi" w:hAnsiTheme="minorBidi"/>
          <w:sz w:val="24"/>
          <w:szCs w:val="24"/>
        </w:rPr>
        <w:t>earlier</w:t>
      </w:r>
      <w:r w:rsidRPr="00404048">
        <w:rPr>
          <w:rFonts w:asciiTheme="minorBidi" w:hAnsiTheme="minorBidi"/>
          <w:sz w:val="24"/>
          <w:szCs w:val="24"/>
        </w:rPr>
        <w:t xml:space="preserve"> when talking about nurs</w:t>
      </w:r>
      <w:r>
        <w:rPr>
          <w:rFonts w:asciiTheme="minorBidi" w:hAnsiTheme="minorBidi"/>
          <w:sz w:val="24"/>
          <w:szCs w:val="24"/>
        </w:rPr>
        <w:t>es’</w:t>
      </w:r>
      <w:r w:rsidRPr="00404048">
        <w:rPr>
          <w:rFonts w:asciiTheme="minorBidi" w:hAnsiTheme="minorBidi"/>
          <w:sz w:val="24"/>
          <w:szCs w:val="24"/>
        </w:rPr>
        <w:t xml:space="preserve"> attitude towards the role of pharmacists. </w:t>
      </w:r>
    </w:p>
    <w:p w14:paraId="1520562C"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DD2FAA">
        <w:rPr>
          <w:rFonts w:eastAsiaTheme="minorEastAsia" w:cstheme="minorHAnsi"/>
          <w:i/>
          <w:iCs/>
          <w:sz w:val="24"/>
          <w:szCs w:val="24"/>
          <w:lang w:val="en-GB" w:eastAsia="en-GB"/>
        </w:rPr>
        <w:t>In general, nurses have relied a lot on the pharmacist for medication consultations. They did not go to the doctor when they had questions about medications</w:t>
      </w:r>
      <w:r>
        <w:rPr>
          <w:rFonts w:eastAsiaTheme="minorEastAsia" w:cstheme="minorHAnsi"/>
          <w:i/>
          <w:iCs/>
          <w:sz w:val="24"/>
          <w:szCs w:val="24"/>
          <w:lang w:val="en-GB" w:eastAsia="en-GB"/>
        </w:rPr>
        <w:t xml:space="preserve"> […]</w:t>
      </w:r>
      <w:r w:rsidRPr="00DD2FAA">
        <w:rPr>
          <w:rFonts w:eastAsiaTheme="minorEastAsia" w:cstheme="minorHAnsi"/>
          <w:i/>
          <w:iCs/>
          <w:sz w:val="24"/>
          <w:szCs w:val="24"/>
          <w:lang w:val="en-GB" w:eastAsia="en-GB"/>
        </w:rPr>
        <w:t xml:space="preserve"> they come to take a medication consultation from the pharmacist</w:t>
      </w:r>
      <w:r>
        <w:rPr>
          <w:rFonts w:eastAsiaTheme="minorEastAsia" w:cstheme="minorHAnsi"/>
          <w:i/>
          <w:iCs/>
          <w:sz w:val="24"/>
          <w:szCs w:val="24"/>
          <w:lang w:val="en-GB" w:eastAsia="en-GB"/>
        </w:rPr>
        <w:t>’</w:t>
      </w:r>
      <w:r w:rsidRPr="00DD2FAA">
        <w:rPr>
          <w:rFonts w:eastAsiaTheme="minorEastAsia" w:cstheme="minorHAnsi"/>
          <w:i/>
          <w:iCs/>
          <w:sz w:val="24"/>
          <w:szCs w:val="24"/>
          <w:lang w:val="en-GB" w:eastAsia="en-GB"/>
        </w:rPr>
        <w:t xml:space="preserve"> Ph3</w:t>
      </w:r>
    </w:p>
    <w:p w14:paraId="14968797" w14:textId="77777777" w:rsidR="00821B82" w:rsidRPr="00D029EA" w:rsidRDefault="00821B82" w:rsidP="00821B82">
      <w:pPr>
        <w:spacing w:before="240" w:line="360" w:lineRule="auto"/>
        <w:jc w:val="both"/>
        <w:rPr>
          <w:rFonts w:asciiTheme="minorBidi" w:hAnsiTheme="minorBidi"/>
          <w:sz w:val="24"/>
          <w:szCs w:val="24"/>
        </w:rPr>
      </w:pPr>
      <w:r w:rsidRPr="00404048">
        <w:rPr>
          <w:rFonts w:asciiTheme="minorBidi" w:hAnsiTheme="minorBidi"/>
          <w:sz w:val="24"/>
          <w:szCs w:val="24"/>
        </w:rPr>
        <w:t xml:space="preserve">However, only one of the pharmacists interviewed said that nurses do not </w:t>
      </w:r>
      <w:r w:rsidRPr="00C97FF7">
        <w:rPr>
          <w:rFonts w:asciiTheme="minorBidi" w:hAnsiTheme="minorBidi"/>
          <w:sz w:val="24"/>
          <w:szCs w:val="24"/>
          <w:lang w:val="en-GB"/>
        </w:rPr>
        <w:t>realise</w:t>
      </w:r>
      <w:r w:rsidRPr="00404048">
        <w:rPr>
          <w:rFonts w:asciiTheme="minorBidi" w:hAnsiTheme="minorBidi"/>
          <w:sz w:val="24"/>
          <w:szCs w:val="24"/>
        </w:rPr>
        <w:t xml:space="preserve"> the importance of the pharmacist </w:t>
      </w:r>
      <w:r>
        <w:rPr>
          <w:rFonts w:asciiTheme="minorBidi" w:hAnsiTheme="minorBidi"/>
          <w:sz w:val="24"/>
          <w:szCs w:val="24"/>
        </w:rPr>
        <w:t xml:space="preserve">to the same extent </w:t>
      </w:r>
      <w:r w:rsidRPr="00404048">
        <w:rPr>
          <w:rFonts w:asciiTheme="minorBidi" w:hAnsiTheme="minorBidi"/>
          <w:sz w:val="24"/>
          <w:szCs w:val="24"/>
        </w:rPr>
        <w:t>as doctors</w:t>
      </w:r>
      <w:r>
        <w:rPr>
          <w:rFonts w:asciiTheme="minorBidi" w:hAnsiTheme="minorBidi"/>
          <w:sz w:val="24"/>
          <w:szCs w:val="24"/>
        </w:rPr>
        <w:t>.</w:t>
      </w:r>
      <w:r w:rsidRPr="00404048">
        <w:rPr>
          <w:rFonts w:asciiTheme="minorBidi" w:hAnsiTheme="minorBidi"/>
          <w:sz w:val="24"/>
          <w:szCs w:val="24"/>
        </w:rPr>
        <w:t xml:space="preserve"> The doctor returns to consulting the pharmacist before prescribing treatment to the patient, so doctors consider pharmacists</w:t>
      </w:r>
      <w:r>
        <w:rPr>
          <w:rFonts w:asciiTheme="minorBidi" w:hAnsiTheme="minorBidi"/>
          <w:sz w:val="24"/>
          <w:szCs w:val="24"/>
        </w:rPr>
        <w:t>’</w:t>
      </w:r>
      <w:r w:rsidRPr="00404048">
        <w:rPr>
          <w:rFonts w:asciiTheme="minorBidi" w:hAnsiTheme="minorBidi"/>
          <w:sz w:val="24"/>
          <w:szCs w:val="24"/>
        </w:rPr>
        <w:t xml:space="preserve"> assistance in making the decision, so </w:t>
      </w:r>
      <w:r>
        <w:rPr>
          <w:rFonts w:asciiTheme="minorBidi" w:hAnsiTheme="minorBidi"/>
          <w:sz w:val="24"/>
          <w:szCs w:val="24"/>
        </w:rPr>
        <w:t>she</w:t>
      </w:r>
      <w:r w:rsidRPr="00404048">
        <w:rPr>
          <w:rFonts w:asciiTheme="minorBidi" w:hAnsiTheme="minorBidi"/>
          <w:sz w:val="24"/>
          <w:szCs w:val="24"/>
        </w:rPr>
        <w:t xml:space="preserve"> feel</w:t>
      </w:r>
      <w:r>
        <w:rPr>
          <w:rFonts w:asciiTheme="minorBidi" w:hAnsiTheme="minorBidi"/>
          <w:sz w:val="24"/>
          <w:szCs w:val="24"/>
        </w:rPr>
        <w:t>s</w:t>
      </w:r>
      <w:r w:rsidRPr="00404048">
        <w:rPr>
          <w:rFonts w:asciiTheme="minorBidi" w:hAnsiTheme="minorBidi"/>
          <w:sz w:val="24"/>
          <w:szCs w:val="24"/>
        </w:rPr>
        <w:t xml:space="preserve"> th</w:t>
      </w:r>
      <w:r>
        <w:rPr>
          <w:rFonts w:asciiTheme="minorBidi" w:hAnsiTheme="minorBidi"/>
          <w:sz w:val="24"/>
          <w:szCs w:val="24"/>
        </w:rPr>
        <w:t>at</w:t>
      </w:r>
      <w:r w:rsidRPr="00404048">
        <w:rPr>
          <w:rFonts w:asciiTheme="minorBidi" w:hAnsiTheme="minorBidi"/>
          <w:sz w:val="24"/>
          <w:szCs w:val="24"/>
        </w:rPr>
        <w:t xml:space="preserve"> doctors</w:t>
      </w:r>
      <w:r>
        <w:rPr>
          <w:rFonts w:asciiTheme="minorBidi" w:hAnsiTheme="minorBidi"/>
          <w:sz w:val="24"/>
          <w:szCs w:val="24"/>
        </w:rPr>
        <w:t xml:space="preserve"> have more</w:t>
      </w:r>
      <w:r w:rsidRPr="00404048">
        <w:rPr>
          <w:rFonts w:asciiTheme="minorBidi" w:hAnsiTheme="minorBidi"/>
          <w:sz w:val="24"/>
          <w:szCs w:val="24"/>
        </w:rPr>
        <w:t xml:space="preserve"> respect </w:t>
      </w:r>
      <w:r>
        <w:rPr>
          <w:rFonts w:asciiTheme="minorBidi" w:hAnsiTheme="minorBidi"/>
          <w:sz w:val="24"/>
          <w:szCs w:val="24"/>
        </w:rPr>
        <w:t xml:space="preserve">than nurses </w:t>
      </w:r>
      <w:r w:rsidRPr="00404048">
        <w:rPr>
          <w:rFonts w:asciiTheme="minorBidi" w:hAnsiTheme="minorBidi"/>
          <w:sz w:val="24"/>
          <w:szCs w:val="24"/>
        </w:rPr>
        <w:t>for pharmacists.</w:t>
      </w:r>
    </w:p>
    <w:p w14:paraId="6DDC68C5" w14:textId="77777777" w:rsidR="00821B82" w:rsidRPr="002748FE"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DD2FAA">
        <w:rPr>
          <w:rFonts w:eastAsiaTheme="minorEastAsia" w:cstheme="minorHAnsi"/>
          <w:i/>
          <w:iCs/>
          <w:sz w:val="24"/>
          <w:szCs w:val="24"/>
          <w:lang w:val="en-GB" w:eastAsia="en-GB"/>
        </w:rPr>
        <w:t>I think that doctors appreciate and respect the pharmacist's role, as they look to the pharmacist as an assistant in choosing the appropriate treatment and determining the doses. They view the pharmacist's role as an important role in the patient care team. While the nurses’ view, I think, is different from that. I see the doctor's view of the pharmacist as more respectful.</w:t>
      </w:r>
      <w:r>
        <w:rPr>
          <w:rFonts w:eastAsiaTheme="minorEastAsia" w:cstheme="minorHAnsi"/>
          <w:i/>
          <w:iCs/>
          <w:sz w:val="24"/>
          <w:szCs w:val="24"/>
          <w:lang w:val="en-GB" w:eastAsia="en-GB"/>
        </w:rPr>
        <w:t>’</w:t>
      </w:r>
      <w:r w:rsidRPr="00DD2FAA">
        <w:rPr>
          <w:rFonts w:eastAsiaTheme="minorEastAsia" w:cstheme="minorHAnsi"/>
          <w:i/>
          <w:iCs/>
          <w:sz w:val="24"/>
          <w:szCs w:val="24"/>
          <w:lang w:val="en-GB" w:eastAsia="en-GB"/>
        </w:rPr>
        <w:t xml:space="preserve"> Ph1</w:t>
      </w:r>
    </w:p>
    <w:p w14:paraId="3BAC4142"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asciiTheme="minorBidi" w:hAnsiTheme="minorBidi"/>
          <w:sz w:val="24"/>
          <w:szCs w:val="24"/>
        </w:rPr>
      </w:pPr>
      <w:r w:rsidRPr="005922CF">
        <w:rPr>
          <w:rFonts w:asciiTheme="minorBidi" w:hAnsiTheme="minorBidi"/>
          <w:sz w:val="24"/>
          <w:szCs w:val="24"/>
        </w:rPr>
        <w:t xml:space="preserve">Regarding the way pharmacists see themselves as </w:t>
      </w:r>
      <w:r>
        <w:rPr>
          <w:rFonts w:asciiTheme="minorBidi" w:hAnsiTheme="minorBidi"/>
          <w:sz w:val="24"/>
          <w:szCs w:val="24"/>
        </w:rPr>
        <w:t>HCPs</w:t>
      </w:r>
      <w:r w:rsidRPr="005922CF">
        <w:rPr>
          <w:rFonts w:asciiTheme="minorBidi" w:hAnsiTheme="minorBidi"/>
          <w:sz w:val="24"/>
          <w:szCs w:val="24"/>
        </w:rPr>
        <w:t>, it is clear from analysis of interviews with pharmacists that pharmacists are self-confident and can discuss professional colleagues and inform their opinions scientifically.</w:t>
      </w:r>
      <w:r>
        <w:rPr>
          <w:rFonts w:asciiTheme="minorBidi" w:hAnsiTheme="minorBidi"/>
          <w:sz w:val="24"/>
          <w:szCs w:val="24"/>
        </w:rPr>
        <w:t xml:space="preserve"> </w:t>
      </w:r>
      <w:r w:rsidRPr="00A46180">
        <w:rPr>
          <w:rFonts w:asciiTheme="minorBidi" w:hAnsiTheme="minorBidi"/>
          <w:sz w:val="24"/>
          <w:szCs w:val="24"/>
        </w:rPr>
        <w:t>This can be seen in the following quote</w:t>
      </w:r>
      <w:r>
        <w:rPr>
          <w:rFonts w:asciiTheme="minorBidi" w:hAnsiTheme="minorBidi"/>
          <w:sz w:val="24"/>
          <w:szCs w:val="24"/>
        </w:rPr>
        <w:t>;</w:t>
      </w:r>
    </w:p>
    <w:p w14:paraId="5A5045D6"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jc w:val="both"/>
        <w:rPr>
          <w:rFonts w:asciiTheme="minorBidi" w:hAnsiTheme="minorBidi"/>
          <w:sz w:val="24"/>
          <w:szCs w:val="24"/>
        </w:rPr>
      </w:pPr>
      <w:r>
        <w:rPr>
          <w:rFonts w:eastAsiaTheme="minorEastAsia" w:cstheme="minorHAnsi"/>
          <w:i/>
          <w:iCs/>
          <w:sz w:val="24"/>
          <w:szCs w:val="24"/>
          <w:lang w:val="en-GB" w:eastAsia="en-GB"/>
        </w:rPr>
        <w:t>‘</w:t>
      </w:r>
      <w:r w:rsidRPr="0050670A">
        <w:rPr>
          <w:rFonts w:eastAsiaTheme="minorEastAsia" w:cstheme="minorHAnsi"/>
          <w:i/>
          <w:iCs/>
          <w:sz w:val="24"/>
          <w:szCs w:val="24"/>
          <w:lang w:val="en-GB" w:eastAsia="en-GB"/>
        </w:rPr>
        <w:t>I feel confident because my discussion is supported by scientific evidence.</w:t>
      </w:r>
      <w:r>
        <w:rPr>
          <w:rFonts w:eastAsiaTheme="minorEastAsia" w:cstheme="minorHAnsi"/>
          <w:i/>
          <w:iCs/>
          <w:sz w:val="24"/>
          <w:szCs w:val="24"/>
          <w:lang w:val="en-GB" w:eastAsia="en-GB"/>
        </w:rPr>
        <w:t>’ Ph1</w:t>
      </w:r>
    </w:p>
    <w:p w14:paraId="5493F9CF" w14:textId="77777777" w:rsidR="00821B82" w:rsidRPr="00C70450"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720"/>
        <w:jc w:val="both"/>
        <w:rPr>
          <w:rFonts w:asciiTheme="minorBidi" w:hAnsiTheme="minorBidi"/>
          <w:sz w:val="24"/>
          <w:szCs w:val="24"/>
        </w:rPr>
      </w:pPr>
    </w:p>
    <w:p w14:paraId="4BE35696"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eastAsiaTheme="minorEastAsia" w:hAnsiTheme="minorBidi"/>
          <w:sz w:val="24"/>
          <w:szCs w:val="24"/>
          <w:rtl/>
          <w:lang w:eastAsia="en-GB"/>
        </w:rPr>
      </w:pPr>
      <w:r w:rsidRPr="0082513E">
        <w:rPr>
          <w:rFonts w:asciiTheme="minorBidi" w:eastAsiaTheme="minorEastAsia" w:hAnsiTheme="minorBidi"/>
          <w:sz w:val="24"/>
          <w:szCs w:val="24"/>
          <w:lang w:eastAsia="en-GB"/>
        </w:rPr>
        <w:t xml:space="preserve">Findings </w:t>
      </w:r>
      <w:r>
        <w:rPr>
          <w:rFonts w:asciiTheme="minorBidi" w:eastAsiaTheme="minorEastAsia" w:hAnsiTheme="minorBidi"/>
          <w:sz w:val="24"/>
          <w:szCs w:val="24"/>
          <w:lang w:eastAsia="en-GB"/>
        </w:rPr>
        <w:t>under</w:t>
      </w:r>
      <w:r w:rsidRPr="0082513E">
        <w:rPr>
          <w:rFonts w:asciiTheme="minorBidi" w:eastAsiaTheme="minorEastAsia" w:hAnsiTheme="minorBidi"/>
          <w:sz w:val="24"/>
          <w:szCs w:val="24"/>
          <w:lang w:eastAsia="en-GB"/>
        </w:rPr>
        <w:t xml:space="preserve"> this theme indicate that </w:t>
      </w:r>
      <w:r>
        <w:rPr>
          <w:rFonts w:asciiTheme="minorBidi" w:eastAsiaTheme="minorEastAsia" w:hAnsiTheme="minorBidi"/>
          <w:sz w:val="24"/>
          <w:szCs w:val="24"/>
          <w:lang w:eastAsia="en-GB"/>
        </w:rPr>
        <w:t>HCPs</w:t>
      </w:r>
      <w:r w:rsidRPr="0082513E">
        <w:rPr>
          <w:rFonts w:asciiTheme="minorBidi" w:eastAsiaTheme="minorEastAsia" w:hAnsiTheme="minorBidi"/>
          <w:sz w:val="24"/>
          <w:szCs w:val="24"/>
          <w:lang w:eastAsia="en-GB"/>
        </w:rPr>
        <w:t xml:space="preserve"> in PHCs respect pharmacists and value their contributions to managing chronic patients, including diabetic patients. In general, they have a positive attitude towards the role of pharmacists in patient management. Doctors and nurses expressed their views on the place of pharmacists as professionals and their importance as part of the team. They hope to work together to provide the best service to treat patients and improve healthcare services in PHCs. Therefore, the next theme discusses the challenges of engaging pharmacists in the management of diabetes in PHCs with the current transformation of the health care system.</w:t>
      </w:r>
    </w:p>
    <w:p w14:paraId="6B7D90E8" w14:textId="77777777" w:rsidR="00821B82" w:rsidRDefault="00821B82" w:rsidP="00821B82">
      <w:pPr>
        <w:jc w:val="both"/>
        <w:rPr>
          <w:rFonts w:asciiTheme="minorBidi" w:eastAsiaTheme="minorEastAsia" w:hAnsiTheme="minorBidi"/>
          <w:sz w:val="24"/>
          <w:szCs w:val="24"/>
          <w:lang w:eastAsia="en-GB"/>
        </w:rPr>
      </w:pPr>
      <w:r>
        <w:rPr>
          <w:rFonts w:asciiTheme="minorBidi" w:eastAsiaTheme="minorEastAsia" w:hAnsiTheme="minorBidi"/>
          <w:sz w:val="24"/>
          <w:szCs w:val="24"/>
          <w:lang w:eastAsia="en-GB"/>
        </w:rPr>
        <w:br w:type="page"/>
      </w:r>
    </w:p>
    <w:p w14:paraId="4B2CFB02" w14:textId="77777777" w:rsidR="00821B82" w:rsidRPr="0077571E" w:rsidRDefault="00821B82" w:rsidP="00821B82">
      <w:pPr>
        <w:pStyle w:val="Heading3"/>
        <w:numPr>
          <w:ilvl w:val="2"/>
          <w:numId w:val="14"/>
        </w:numPr>
      </w:pPr>
      <w:r w:rsidRPr="0077571E">
        <w:t xml:space="preserve"> </w:t>
      </w:r>
      <w:bookmarkStart w:id="256" w:name="_Ref127754094"/>
      <w:bookmarkStart w:id="257" w:name="_Toc153894205"/>
      <w:r w:rsidRPr="0077571E">
        <w:t>Challenges of engaging pharmacists in diabetes primary care management</w:t>
      </w:r>
      <w:bookmarkEnd w:id="256"/>
      <w:bookmarkEnd w:id="257"/>
      <w:r w:rsidRPr="0077571E">
        <w:t xml:space="preserve"> </w:t>
      </w:r>
    </w:p>
    <w:p w14:paraId="17A656C4" w14:textId="77777777" w:rsidR="00821B82" w:rsidRDefault="00821B82" w:rsidP="00821B82">
      <w:pPr>
        <w:spacing w:before="240" w:line="360" w:lineRule="auto"/>
        <w:jc w:val="both"/>
        <w:rPr>
          <w:rFonts w:asciiTheme="minorBidi" w:hAnsiTheme="minorBidi"/>
          <w:sz w:val="24"/>
          <w:szCs w:val="24"/>
        </w:rPr>
      </w:pPr>
      <w:r>
        <w:rPr>
          <w:rFonts w:asciiTheme="minorBidi" w:hAnsiTheme="minorBidi"/>
          <w:sz w:val="24"/>
          <w:szCs w:val="24"/>
        </w:rPr>
        <w:t>M</w:t>
      </w:r>
      <w:r w:rsidRPr="00A26390">
        <w:rPr>
          <w:rFonts w:asciiTheme="minorBidi" w:hAnsiTheme="minorBidi"/>
          <w:sz w:val="24"/>
          <w:szCs w:val="24"/>
        </w:rPr>
        <w:t>any challenges have been reported concerning providing effective pharmaceutical care services.</w:t>
      </w:r>
      <w:r>
        <w:rPr>
          <w:rFonts w:asciiTheme="minorBidi" w:hAnsiTheme="minorBidi"/>
          <w:sz w:val="24"/>
          <w:szCs w:val="24"/>
        </w:rPr>
        <w:t xml:space="preserve"> </w:t>
      </w:r>
      <w:r w:rsidRPr="00B20308">
        <w:rPr>
          <w:rFonts w:asciiTheme="minorBidi" w:hAnsiTheme="minorBidi"/>
          <w:sz w:val="24"/>
          <w:szCs w:val="24"/>
        </w:rPr>
        <w:t>Therefore, th</w:t>
      </w:r>
      <w:r>
        <w:rPr>
          <w:rFonts w:asciiTheme="minorBidi" w:hAnsiTheme="minorBidi"/>
          <w:sz w:val="24"/>
          <w:szCs w:val="24"/>
        </w:rPr>
        <w:t>is</w:t>
      </w:r>
      <w:r w:rsidRPr="00B20308">
        <w:rPr>
          <w:rFonts w:asciiTheme="minorBidi" w:hAnsiTheme="minorBidi"/>
          <w:sz w:val="24"/>
          <w:szCs w:val="24"/>
        </w:rPr>
        <w:t xml:space="preserve"> theme explore</w:t>
      </w:r>
      <w:r>
        <w:rPr>
          <w:rFonts w:asciiTheme="minorBidi" w:hAnsiTheme="minorBidi"/>
          <w:sz w:val="24"/>
          <w:szCs w:val="24"/>
        </w:rPr>
        <w:t>s</w:t>
      </w:r>
      <w:r w:rsidRPr="00B20308">
        <w:rPr>
          <w:rFonts w:asciiTheme="minorBidi" w:hAnsiTheme="minorBidi"/>
          <w:sz w:val="24"/>
          <w:szCs w:val="24"/>
        </w:rPr>
        <w:t xml:space="preserve"> these challenges </w:t>
      </w:r>
      <w:r>
        <w:rPr>
          <w:rFonts w:asciiTheme="minorBidi" w:hAnsiTheme="minorBidi"/>
          <w:sz w:val="24"/>
          <w:szCs w:val="24"/>
        </w:rPr>
        <w:t xml:space="preserve">through </w:t>
      </w:r>
      <w:r w:rsidRPr="00B20308">
        <w:rPr>
          <w:rFonts w:asciiTheme="minorBidi" w:hAnsiTheme="minorBidi"/>
          <w:sz w:val="24"/>
          <w:szCs w:val="24"/>
        </w:rPr>
        <w:t>the participants' experiences and perspectives.</w:t>
      </w:r>
      <w:r>
        <w:rPr>
          <w:rFonts w:asciiTheme="minorBidi" w:hAnsiTheme="minorBidi"/>
          <w:sz w:val="24"/>
          <w:szCs w:val="24"/>
        </w:rPr>
        <w:t xml:space="preserve"> This theme consists of two sub-themes. The first one identifies the challenges that pharmacists faced to provide pharmaceutical care for patients when they were working in the PHCs. </w:t>
      </w:r>
      <w:r w:rsidRPr="00D62A51">
        <w:rPr>
          <w:rFonts w:asciiTheme="minorBidi" w:hAnsiTheme="minorBidi"/>
          <w:sz w:val="24"/>
          <w:szCs w:val="24"/>
        </w:rPr>
        <w:t xml:space="preserve">The second </w:t>
      </w:r>
      <w:r>
        <w:rPr>
          <w:rFonts w:asciiTheme="minorBidi" w:hAnsiTheme="minorBidi"/>
          <w:sz w:val="24"/>
          <w:szCs w:val="24"/>
        </w:rPr>
        <w:t>sub-</w:t>
      </w:r>
      <w:r w:rsidRPr="00D62A51">
        <w:rPr>
          <w:rFonts w:asciiTheme="minorBidi" w:hAnsiTheme="minorBidi"/>
          <w:sz w:val="24"/>
          <w:szCs w:val="24"/>
        </w:rPr>
        <w:t>theme demonstrates the barriers to pharmacists' involvement in managing diabetes in PHCs with the current healthcare system transformation. It also presents proposed solutions to integrate pharmacists with the diabetes care team in PHCs.</w:t>
      </w:r>
    </w:p>
    <w:p w14:paraId="635B6B47" w14:textId="77777777" w:rsidR="00821B82" w:rsidRPr="00B7276A" w:rsidRDefault="00821B82" w:rsidP="00781224">
      <w:pPr>
        <w:pStyle w:val="Heading4"/>
        <w:numPr>
          <w:ilvl w:val="3"/>
          <w:numId w:val="14"/>
        </w:numPr>
        <w:tabs>
          <w:tab w:val="left" w:pos="810"/>
        </w:tabs>
        <w:spacing w:after="240" w:line="360" w:lineRule="auto"/>
        <w:rPr>
          <w:rFonts w:asciiTheme="minorBidi" w:hAnsiTheme="minorBidi" w:cstheme="minorBidi"/>
          <w:sz w:val="24"/>
          <w:szCs w:val="24"/>
        </w:rPr>
      </w:pPr>
      <w:bookmarkStart w:id="258" w:name="_Ref127753824"/>
      <w:r w:rsidRPr="00B7276A">
        <w:rPr>
          <w:rFonts w:asciiTheme="minorBidi" w:hAnsiTheme="minorBidi" w:cstheme="minorBidi"/>
          <w:sz w:val="24"/>
          <w:szCs w:val="24"/>
        </w:rPr>
        <w:t>Challenges faced by pharmacists in providing pharmaceutical care to patients in PHCs</w:t>
      </w:r>
      <w:bookmarkEnd w:id="258"/>
    </w:p>
    <w:p w14:paraId="452F66F9" w14:textId="77777777" w:rsidR="00821B82" w:rsidRDefault="00821B82" w:rsidP="00821B82">
      <w:pPr>
        <w:spacing w:line="360" w:lineRule="auto"/>
        <w:jc w:val="both"/>
        <w:rPr>
          <w:rFonts w:asciiTheme="minorBidi" w:hAnsiTheme="minorBidi"/>
          <w:sz w:val="24"/>
          <w:szCs w:val="24"/>
        </w:rPr>
      </w:pPr>
      <w:r w:rsidRPr="004C6410">
        <w:rPr>
          <w:rFonts w:asciiTheme="minorBidi" w:hAnsiTheme="minorBidi"/>
          <w:sz w:val="24"/>
          <w:szCs w:val="24"/>
        </w:rPr>
        <w:t xml:space="preserve">Pharmacists faced many challenges when they were working in </w:t>
      </w:r>
      <w:r>
        <w:rPr>
          <w:rFonts w:asciiTheme="minorBidi" w:hAnsiTheme="minorBidi"/>
          <w:sz w:val="24"/>
          <w:szCs w:val="24"/>
        </w:rPr>
        <w:t xml:space="preserve">PHCs. </w:t>
      </w:r>
      <w:r w:rsidRPr="00B75C4D">
        <w:rPr>
          <w:rFonts w:asciiTheme="minorBidi" w:hAnsiTheme="minorBidi"/>
          <w:sz w:val="24"/>
          <w:szCs w:val="24"/>
        </w:rPr>
        <w:t xml:space="preserve">Participants highlighted several elements in relation to </w:t>
      </w:r>
      <w:r>
        <w:rPr>
          <w:rFonts w:asciiTheme="minorBidi" w:hAnsiTheme="minorBidi"/>
          <w:sz w:val="24"/>
          <w:szCs w:val="24"/>
        </w:rPr>
        <w:t xml:space="preserve">the </w:t>
      </w:r>
      <w:r w:rsidRPr="00B75C4D">
        <w:rPr>
          <w:rFonts w:asciiTheme="minorBidi" w:hAnsiTheme="minorBidi"/>
          <w:sz w:val="24"/>
          <w:szCs w:val="24"/>
        </w:rPr>
        <w:t>work envir</w:t>
      </w:r>
      <w:r>
        <w:rPr>
          <w:rFonts w:asciiTheme="minorBidi" w:hAnsiTheme="minorBidi"/>
          <w:sz w:val="24"/>
          <w:szCs w:val="24"/>
        </w:rPr>
        <w:t>on</w:t>
      </w:r>
      <w:r w:rsidRPr="00B75C4D">
        <w:rPr>
          <w:rFonts w:asciiTheme="minorBidi" w:hAnsiTheme="minorBidi"/>
          <w:sz w:val="24"/>
          <w:szCs w:val="24"/>
        </w:rPr>
        <w:t>ment</w:t>
      </w:r>
      <w:r>
        <w:rPr>
          <w:rFonts w:asciiTheme="minorBidi" w:hAnsiTheme="minorBidi"/>
          <w:sz w:val="24"/>
          <w:szCs w:val="24"/>
        </w:rPr>
        <w:t>,</w:t>
      </w:r>
      <w:r w:rsidRPr="00B75C4D">
        <w:rPr>
          <w:rFonts w:asciiTheme="minorBidi" w:hAnsiTheme="minorBidi"/>
          <w:sz w:val="24"/>
          <w:szCs w:val="24"/>
        </w:rPr>
        <w:t xml:space="preserve"> such as </w:t>
      </w:r>
      <w:r>
        <w:rPr>
          <w:rFonts w:asciiTheme="minorBidi" w:hAnsiTheme="minorBidi"/>
          <w:sz w:val="24"/>
          <w:szCs w:val="24"/>
        </w:rPr>
        <w:t xml:space="preserve">the </w:t>
      </w:r>
      <w:r w:rsidRPr="00B75C4D">
        <w:rPr>
          <w:rFonts w:asciiTheme="minorBidi" w:hAnsiTheme="minorBidi"/>
          <w:sz w:val="24"/>
          <w:szCs w:val="24"/>
        </w:rPr>
        <w:t>health institution system, social behavio</w:t>
      </w:r>
      <w:r>
        <w:rPr>
          <w:rFonts w:asciiTheme="minorBidi" w:hAnsiTheme="minorBidi"/>
          <w:sz w:val="24"/>
          <w:szCs w:val="24"/>
        </w:rPr>
        <w:t>u</w:t>
      </w:r>
      <w:r w:rsidRPr="00B75C4D">
        <w:rPr>
          <w:rFonts w:asciiTheme="minorBidi" w:hAnsiTheme="minorBidi"/>
          <w:sz w:val="24"/>
          <w:szCs w:val="24"/>
        </w:rPr>
        <w:t xml:space="preserve">rs, and leadership </w:t>
      </w:r>
      <w:r>
        <w:rPr>
          <w:rFonts w:asciiTheme="minorBidi" w:hAnsiTheme="minorBidi"/>
          <w:sz w:val="24"/>
          <w:szCs w:val="24"/>
        </w:rPr>
        <w:t>support</w:t>
      </w:r>
      <w:r w:rsidRPr="00B75C4D">
        <w:rPr>
          <w:rFonts w:asciiTheme="minorBidi" w:hAnsiTheme="minorBidi"/>
          <w:sz w:val="24"/>
          <w:szCs w:val="24"/>
        </w:rPr>
        <w:t>.</w:t>
      </w:r>
      <w:r>
        <w:rPr>
          <w:rFonts w:asciiTheme="minorBidi" w:hAnsiTheme="minorBidi"/>
          <w:sz w:val="24"/>
          <w:szCs w:val="24"/>
        </w:rPr>
        <w:t xml:space="preserve"> Some of the </w:t>
      </w:r>
      <w:r w:rsidRPr="006B6FAD">
        <w:rPr>
          <w:rFonts w:asciiTheme="minorBidi" w:hAnsiTheme="minorBidi"/>
          <w:sz w:val="24"/>
          <w:szCs w:val="24"/>
        </w:rPr>
        <w:t>challenges</w:t>
      </w:r>
      <w:r>
        <w:rPr>
          <w:rFonts w:asciiTheme="minorBidi" w:hAnsiTheme="minorBidi"/>
          <w:sz w:val="24"/>
          <w:szCs w:val="24"/>
        </w:rPr>
        <w:t xml:space="preserve"> categorised under this subtheme</w:t>
      </w:r>
      <w:r w:rsidRPr="006B6FAD">
        <w:rPr>
          <w:rFonts w:asciiTheme="minorBidi" w:hAnsiTheme="minorBidi"/>
          <w:sz w:val="24"/>
          <w:szCs w:val="24"/>
        </w:rPr>
        <w:t xml:space="preserve"> are related to societal barriers, such as the attitudes towards the pharmacist's role, and some are related to the service's structure and preparation, such as the lack of </w:t>
      </w:r>
      <w:r>
        <w:rPr>
          <w:rFonts w:asciiTheme="minorBidi" w:hAnsiTheme="minorBidi"/>
          <w:sz w:val="24"/>
          <w:szCs w:val="24"/>
        </w:rPr>
        <w:t xml:space="preserve">a </w:t>
      </w:r>
      <w:r w:rsidRPr="006B6FAD">
        <w:rPr>
          <w:rFonts w:asciiTheme="minorBidi" w:hAnsiTheme="minorBidi"/>
          <w:sz w:val="24"/>
          <w:szCs w:val="24"/>
        </w:rPr>
        <w:t>private area for pharmacists to meet patients and pharmacist training</w:t>
      </w:r>
      <w:r>
        <w:rPr>
          <w:rFonts w:asciiTheme="minorBidi" w:hAnsiTheme="minorBidi"/>
          <w:sz w:val="24"/>
          <w:szCs w:val="24"/>
        </w:rPr>
        <w:t>. O</w:t>
      </w:r>
      <w:r w:rsidRPr="006B6FAD">
        <w:rPr>
          <w:rFonts w:asciiTheme="minorBidi" w:hAnsiTheme="minorBidi"/>
          <w:sz w:val="24"/>
          <w:szCs w:val="24"/>
        </w:rPr>
        <w:t>thers are related to administrative barriers such as the lack of staff workforce, lack of time, lack of well-defined pharmacist's role, and lack of awareness of clinical pharmacy role, lack of key performance indicators, and lack of incentives</w:t>
      </w:r>
      <w:r>
        <w:rPr>
          <w:rFonts w:asciiTheme="minorBidi" w:hAnsiTheme="minorBidi"/>
          <w:sz w:val="24"/>
          <w:szCs w:val="24"/>
        </w:rPr>
        <w:t>, d</w:t>
      </w:r>
      <w:r w:rsidRPr="002637DE">
        <w:rPr>
          <w:rFonts w:asciiTheme="minorBidi" w:hAnsiTheme="minorBidi"/>
          <w:sz w:val="24"/>
          <w:szCs w:val="24"/>
        </w:rPr>
        <w:t>ifficulty accessing patient records</w:t>
      </w:r>
      <w:r>
        <w:rPr>
          <w:rFonts w:asciiTheme="minorBidi" w:hAnsiTheme="minorBidi"/>
          <w:sz w:val="24"/>
          <w:szCs w:val="24"/>
        </w:rPr>
        <w:t>, while some challenges are related to legal issues such as lack of prescribing authority and meeting the minimal requirement to provide clinical services.</w:t>
      </w:r>
    </w:p>
    <w:p w14:paraId="26AC57FD" w14:textId="77777777" w:rsidR="001873E7" w:rsidRDefault="001873E7" w:rsidP="00821B82">
      <w:pPr>
        <w:spacing w:line="360" w:lineRule="auto"/>
        <w:jc w:val="both"/>
        <w:rPr>
          <w:rFonts w:asciiTheme="minorBidi" w:hAnsiTheme="minorBidi"/>
          <w:sz w:val="24"/>
          <w:szCs w:val="24"/>
        </w:rPr>
      </w:pPr>
    </w:p>
    <w:p w14:paraId="468E32AD" w14:textId="77777777" w:rsidR="00821B82" w:rsidRPr="00200F94" w:rsidRDefault="00821B82" w:rsidP="001873E7">
      <w:pPr>
        <w:pStyle w:val="Heading5"/>
        <w:spacing w:after="240" w:line="360" w:lineRule="auto"/>
        <w:rPr>
          <w:rFonts w:asciiTheme="minorBidi" w:eastAsiaTheme="minorEastAsia" w:hAnsiTheme="minorBidi" w:cstheme="minorBidi"/>
          <w:b/>
          <w:bCs/>
          <w:sz w:val="24"/>
          <w:szCs w:val="24"/>
          <w:lang w:eastAsia="en-GB"/>
        </w:rPr>
      </w:pPr>
      <w:r w:rsidRPr="00200F94">
        <w:rPr>
          <w:rFonts w:asciiTheme="minorBidi" w:eastAsiaTheme="minorEastAsia" w:hAnsiTheme="minorBidi" w:cstheme="minorBidi"/>
          <w:b/>
          <w:bCs/>
          <w:sz w:val="24"/>
          <w:szCs w:val="24"/>
          <w:lang w:eastAsia="en-GB"/>
        </w:rPr>
        <w:t>Issues related to the healthcare system</w:t>
      </w:r>
    </w:p>
    <w:p w14:paraId="583AF6FB" w14:textId="77777777" w:rsidR="00821B82" w:rsidRPr="00200F94" w:rsidRDefault="00821B82" w:rsidP="001873E7">
      <w:pPr>
        <w:pStyle w:val="Heading6"/>
        <w:spacing w:after="240" w:line="360" w:lineRule="auto"/>
        <w:rPr>
          <w:rFonts w:asciiTheme="minorBidi" w:hAnsiTheme="minorBidi" w:cstheme="minorBidi"/>
          <w:sz w:val="24"/>
          <w:szCs w:val="24"/>
        </w:rPr>
      </w:pPr>
      <w:r w:rsidRPr="00200F94">
        <w:rPr>
          <w:rFonts w:asciiTheme="minorBidi" w:hAnsiTheme="minorBidi" w:cstheme="minorBidi"/>
          <w:sz w:val="24"/>
          <w:szCs w:val="24"/>
        </w:rPr>
        <w:t>Working conditions: Workload and shortage of pharmacy staff</w:t>
      </w:r>
    </w:p>
    <w:p w14:paraId="6921D6BE" w14:textId="77777777" w:rsidR="00821B82" w:rsidRPr="00F1599A" w:rsidRDefault="00821B82" w:rsidP="00821B82">
      <w:pPr>
        <w:spacing w:line="360" w:lineRule="auto"/>
        <w:jc w:val="both"/>
        <w:rPr>
          <w:rFonts w:asciiTheme="minorBidi" w:hAnsiTheme="minorBidi"/>
          <w:b/>
          <w:bCs/>
          <w:sz w:val="24"/>
          <w:szCs w:val="24"/>
        </w:rPr>
      </w:pPr>
      <w:r>
        <w:rPr>
          <w:rFonts w:asciiTheme="minorBidi" w:hAnsiTheme="minorBidi"/>
          <w:sz w:val="24"/>
          <w:szCs w:val="24"/>
        </w:rPr>
        <w:t>The p</w:t>
      </w:r>
      <w:r w:rsidRPr="00544F5E">
        <w:rPr>
          <w:rFonts w:asciiTheme="minorBidi" w:hAnsiTheme="minorBidi"/>
          <w:sz w:val="24"/>
          <w:szCs w:val="24"/>
        </w:rPr>
        <w:t xml:space="preserve">articipants indicated that pharmacists </w:t>
      </w:r>
      <w:r>
        <w:rPr>
          <w:rFonts w:asciiTheme="minorBidi" w:hAnsiTheme="minorBidi"/>
          <w:sz w:val="24"/>
          <w:szCs w:val="24"/>
        </w:rPr>
        <w:t>were</w:t>
      </w:r>
      <w:r w:rsidRPr="00544F5E">
        <w:rPr>
          <w:rFonts w:asciiTheme="minorBidi" w:hAnsiTheme="minorBidi"/>
          <w:sz w:val="24"/>
          <w:szCs w:val="24"/>
        </w:rPr>
        <w:t xml:space="preserve"> frustrated and overwhelmed by performing</w:t>
      </w:r>
      <w:r>
        <w:rPr>
          <w:rFonts w:asciiTheme="minorBidi" w:hAnsiTheme="minorBidi"/>
          <w:sz w:val="24"/>
          <w:szCs w:val="24"/>
        </w:rPr>
        <w:t xml:space="preserve"> a multitude of</w:t>
      </w:r>
      <w:r w:rsidRPr="00544F5E">
        <w:rPr>
          <w:rFonts w:asciiTheme="minorBidi" w:hAnsiTheme="minorBidi"/>
          <w:sz w:val="24"/>
          <w:szCs w:val="24"/>
        </w:rPr>
        <w:t xml:space="preserve"> work duties as the pharmacist worked alone in the PHC pharmacy. Pharmacists reported that </w:t>
      </w:r>
      <w:r>
        <w:rPr>
          <w:rFonts w:asciiTheme="minorBidi" w:hAnsiTheme="minorBidi"/>
          <w:sz w:val="24"/>
          <w:szCs w:val="24"/>
        </w:rPr>
        <w:t xml:space="preserve">a perceived shortage of pharmacy staff was </w:t>
      </w:r>
      <w:r w:rsidRPr="00544F5E">
        <w:rPr>
          <w:rFonts w:asciiTheme="minorBidi" w:hAnsiTheme="minorBidi"/>
          <w:sz w:val="24"/>
          <w:szCs w:val="24"/>
        </w:rPr>
        <w:t xml:space="preserve">the main </w:t>
      </w:r>
      <w:r>
        <w:rPr>
          <w:rFonts w:asciiTheme="minorBidi" w:hAnsiTheme="minorBidi"/>
          <w:sz w:val="24"/>
          <w:szCs w:val="24"/>
        </w:rPr>
        <w:t xml:space="preserve">barrier </w:t>
      </w:r>
      <w:r w:rsidRPr="00B25210">
        <w:rPr>
          <w:rFonts w:asciiTheme="minorBidi" w:hAnsiTheme="minorBidi"/>
          <w:sz w:val="24"/>
          <w:szCs w:val="24"/>
        </w:rPr>
        <w:t xml:space="preserve">to pharmacists </w:t>
      </w:r>
      <w:r w:rsidRPr="00544F5E">
        <w:rPr>
          <w:rFonts w:asciiTheme="minorBidi" w:hAnsiTheme="minorBidi"/>
          <w:sz w:val="24"/>
          <w:szCs w:val="24"/>
        </w:rPr>
        <w:t>providing a high standard of pharmaceutical care in PHCs</w:t>
      </w:r>
      <w:r>
        <w:rPr>
          <w:rFonts w:asciiTheme="minorBidi" w:hAnsiTheme="minorBidi"/>
          <w:sz w:val="24"/>
          <w:szCs w:val="24"/>
        </w:rPr>
        <w:t xml:space="preserve">, including </w:t>
      </w:r>
      <w:r w:rsidRPr="00B25210">
        <w:rPr>
          <w:rFonts w:asciiTheme="minorBidi" w:hAnsiTheme="minorBidi"/>
          <w:sz w:val="24"/>
          <w:szCs w:val="24"/>
        </w:rPr>
        <w:t>providing clinical services</w:t>
      </w:r>
      <w:r>
        <w:rPr>
          <w:rFonts w:asciiTheme="minorBidi" w:hAnsiTheme="minorBidi"/>
          <w:sz w:val="24"/>
          <w:szCs w:val="24"/>
        </w:rPr>
        <w:t xml:space="preserve">, because the pharmacists mentioned that they do not have time to perform all pharmacy work tasks, in addition to </w:t>
      </w:r>
      <w:r w:rsidRPr="001342FC">
        <w:rPr>
          <w:rFonts w:asciiTheme="minorBidi" w:hAnsiTheme="minorBidi"/>
          <w:sz w:val="24"/>
          <w:szCs w:val="24"/>
        </w:rPr>
        <w:t xml:space="preserve">continuing </w:t>
      </w:r>
      <w:r>
        <w:rPr>
          <w:rFonts w:asciiTheme="minorBidi" w:hAnsiTheme="minorBidi"/>
          <w:sz w:val="24"/>
          <w:szCs w:val="24"/>
        </w:rPr>
        <w:t xml:space="preserve">with </w:t>
      </w:r>
      <w:r w:rsidRPr="001342FC">
        <w:rPr>
          <w:rFonts w:asciiTheme="minorBidi" w:hAnsiTheme="minorBidi"/>
          <w:sz w:val="24"/>
          <w:szCs w:val="24"/>
        </w:rPr>
        <w:t>professional development</w:t>
      </w:r>
      <w:r>
        <w:rPr>
          <w:rFonts w:asciiTheme="minorBidi" w:hAnsiTheme="minorBidi"/>
          <w:sz w:val="24"/>
          <w:szCs w:val="24"/>
        </w:rPr>
        <w:t xml:space="preserve"> which is important to being competent in their </w:t>
      </w:r>
      <w:r w:rsidRPr="00682C76">
        <w:rPr>
          <w:rFonts w:asciiTheme="minorBidi" w:hAnsiTheme="minorBidi"/>
          <w:sz w:val="24"/>
          <w:szCs w:val="24"/>
        </w:rPr>
        <w:t>profession</w:t>
      </w:r>
      <w:r>
        <w:rPr>
          <w:rFonts w:ascii="Arial" w:hAnsi="Arial" w:cs="Arial"/>
          <w:b/>
          <w:bCs/>
          <w:color w:val="202124"/>
          <w:shd w:val="clear" w:color="auto" w:fill="FFFFFF"/>
        </w:rPr>
        <w:t>:</w:t>
      </w:r>
    </w:p>
    <w:p w14:paraId="523835E0"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360B3C">
        <w:rPr>
          <w:rFonts w:cstheme="minorHAnsi"/>
          <w:i/>
          <w:iCs/>
          <w:sz w:val="24"/>
          <w:szCs w:val="24"/>
        </w:rPr>
        <w:t>Shortages of pharmacists</w:t>
      </w:r>
      <w:r>
        <w:rPr>
          <w:rFonts w:cstheme="minorHAnsi"/>
          <w:i/>
          <w:iCs/>
          <w:sz w:val="24"/>
          <w:szCs w:val="24"/>
        </w:rPr>
        <w:t>/</w:t>
      </w:r>
      <w:r w:rsidRPr="00360B3C">
        <w:rPr>
          <w:rFonts w:cstheme="minorHAnsi"/>
          <w:i/>
          <w:iCs/>
          <w:sz w:val="24"/>
          <w:szCs w:val="24"/>
        </w:rPr>
        <w:t xml:space="preserve">pharmacy staff, and we </w:t>
      </w:r>
      <w:r>
        <w:rPr>
          <w:rFonts w:cstheme="minorHAnsi"/>
          <w:i/>
          <w:iCs/>
          <w:sz w:val="24"/>
          <w:szCs w:val="24"/>
        </w:rPr>
        <w:t>were</w:t>
      </w:r>
      <w:r w:rsidRPr="00360B3C">
        <w:rPr>
          <w:rFonts w:cstheme="minorHAnsi"/>
          <w:i/>
          <w:iCs/>
          <w:sz w:val="24"/>
          <w:szCs w:val="24"/>
        </w:rPr>
        <w:t xml:space="preserve"> overwhelmed with administrative duties that take up a lot of my time, so I cannot educate myself, learn and update information in my </w:t>
      </w:r>
      <w:r w:rsidRPr="00360B3C">
        <w:rPr>
          <w:rFonts w:cstheme="minorHAnsi"/>
          <w:i/>
          <w:iCs/>
          <w:sz w:val="24"/>
          <w:szCs w:val="24"/>
          <w:lang w:val="en-GB"/>
        </w:rPr>
        <w:t>specialty</w:t>
      </w:r>
      <w:r w:rsidRPr="00360B3C">
        <w:rPr>
          <w:rFonts w:cstheme="minorHAnsi"/>
          <w:i/>
          <w:iCs/>
          <w:sz w:val="24"/>
          <w:szCs w:val="24"/>
        </w:rPr>
        <w:t>.</w:t>
      </w:r>
      <w:r>
        <w:rPr>
          <w:rFonts w:cstheme="minorHAnsi"/>
          <w:i/>
          <w:iCs/>
          <w:sz w:val="24"/>
          <w:szCs w:val="24"/>
        </w:rPr>
        <w:t>’ Ph3</w:t>
      </w:r>
    </w:p>
    <w:p w14:paraId="5177C012" w14:textId="77777777" w:rsidR="00821B82" w:rsidRDefault="00821B82" w:rsidP="00821B82">
      <w:pPr>
        <w:spacing w:before="240" w:line="360" w:lineRule="auto"/>
        <w:jc w:val="both"/>
        <w:rPr>
          <w:rFonts w:asciiTheme="minorBidi" w:hAnsiTheme="minorBidi"/>
          <w:sz w:val="24"/>
          <w:szCs w:val="24"/>
        </w:rPr>
      </w:pPr>
      <w:r w:rsidRPr="00544F5E">
        <w:rPr>
          <w:rFonts w:asciiTheme="minorBidi" w:hAnsiTheme="minorBidi"/>
          <w:sz w:val="24"/>
          <w:szCs w:val="24"/>
        </w:rPr>
        <w:t xml:space="preserve">Participants </w:t>
      </w:r>
      <w:r>
        <w:rPr>
          <w:rFonts w:asciiTheme="minorBidi" w:hAnsiTheme="minorBidi"/>
          <w:sz w:val="24"/>
          <w:szCs w:val="24"/>
        </w:rPr>
        <w:t xml:space="preserve">also </w:t>
      </w:r>
      <w:r w:rsidRPr="00544F5E">
        <w:rPr>
          <w:rFonts w:asciiTheme="minorBidi" w:hAnsiTheme="minorBidi"/>
          <w:sz w:val="24"/>
          <w:szCs w:val="24"/>
        </w:rPr>
        <w:t xml:space="preserve">mentioned it was challenging to provide effective clinical services with work pressures from dispensing prescriptions and other administrative duties. Participants commented </w:t>
      </w:r>
      <w:r>
        <w:rPr>
          <w:rFonts w:asciiTheme="minorBidi" w:hAnsiTheme="minorBidi"/>
          <w:sz w:val="24"/>
          <w:szCs w:val="24"/>
        </w:rPr>
        <w:t xml:space="preserve">that </w:t>
      </w:r>
      <w:r w:rsidRPr="00544F5E">
        <w:rPr>
          <w:rFonts w:asciiTheme="minorBidi" w:hAnsiTheme="minorBidi"/>
          <w:sz w:val="24"/>
          <w:szCs w:val="24"/>
        </w:rPr>
        <w:t>the dispensing service was a major obstacle to delivering effective clinical pharmacy services</w:t>
      </w:r>
      <w:r>
        <w:rPr>
          <w:rFonts w:asciiTheme="minorBidi" w:hAnsiTheme="minorBidi"/>
          <w:sz w:val="24"/>
          <w:szCs w:val="24"/>
        </w:rPr>
        <w:t>:</w:t>
      </w:r>
    </w:p>
    <w:p w14:paraId="7A104961" w14:textId="77777777" w:rsidR="00821B82" w:rsidRDefault="00821B82" w:rsidP="00821B82">
      <w:pPr>
        <w:tabs>
          <w:tab w:val="left" w:pos="360"/>
        </w:tabs>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6403A3">
        <w:rPr>
          <w:rFonts w:eastAsiaTheme="minorEastAsia" w:cstheme="minorHAnsi"/>
          <w:i/>
          <w:iCs/>
          <w:sz w:val="24"/>
          <w:szCs w:val="24"/>
          <w:lang w:val="en-GB" w:eastAsia="en-GB"/>
        </w:rPr>
        <w:t xml:space="preserve">My duties in the PHCs mainly focused on administrative and technical tasks such as dispensing, inventory, making orders, statistics, etc., and there was no time to </w:t>
      </w:r>
      <w:r w:rsidRPr="00285892">
        <w:rPr>
          <w:rFonts w:eastAsiaTheme="minorEastAsia" w:cstheme="minorHAnsi"/>
          <w:i/>
          <w:iCs/>
          <w:sz w:val="24"/>
          <w:szCs w:val="24"/>
          <w:lang w:val="en-GB" w:eastAsia="en-GB"/>
        </w:rPr>
        <w:t>intervene</w:t>
      </w:r>
      <w:r>
        <w:rPr>
          <w:rFonts w:eastAsiaTheme="minorEastAsia" w:cstheme="minorHAnsi"/>
          <w:i/>
          <w:iCs/>
          <w:sz w:val="24"/>
          <w:szCs w:val="24"/>
          <w:lang w:val="en-GB" w:eastAsia="en-GB"/>
        </w:rPr>
        <w:t xml:space="preserve"> </w:t>
      </w:r>
      <w:r w:rsidRPr="006403A3">
        <w:rPr>
          <w:rFonts w:eastAsiaTheme="minorEastAsia" w:cstheme="minorHAnsi"/>
          <w:i/>
          <w:iCs/>
          <w:sz w:val="24"/>
          <w:szCs w:val="24"/>
          <w:lang w:val="en-GB" w:eastAsia="en-GB"/>
        </w:rPr>
        <w:t>with patients' treatment plans</w:t>
      </w:r>
      <w:r>
        <w:rPr>
          <w:rFonts w:eastAsiaTheme="minorEastAsia" w:cstheme="minorHAnsi"/>
          <w:i/>
          <w:iCs/>
          <w:sz w:val="24"/>
          <w:szCs w:val="24"/>
          <w:lang w:val="en-GB" w:eastAsia="en-GB"/>
        </w:rPr>
        <w:t>…</w:t>
      </w:r>
      <w:r w:rsidRPr="003F50BC">
        <w:rPr>
          <w:rFonts w:eastAsiaTheme="minorEastAsia" w:cstheme="minorHAnsi"/>
          <w:i/>
          <w:iCs/>
          <w:sz w:val="24"/>
          <w:szCs w:val="24"/>
          <w:lang w:val="en-GB" w:eastAsia="en-GB"/>
        </w:rPr>
        <w:t>Even if I wanted to provide clinical services to the patients, I didn't have the time because I was so constrained by administrative and technical tasks</w:t>
      </w:r>
      <w:r>
        <w:rPr>
          <w:rFonts w:eastAsiaTheme="minorEastAsia" w:cstheme="minorHAnsi"/>
          <w:i/>
          <w:iCs/>
          <w:sz w:val="24"/>
          <w:szCs w:val="24"/>
          <w:lang w:val="en-GB" w:eastAsia="en-GB"/>
        </w:rPr>
        <w:t>’</w:t>
      </w:r>
      <w:r w:rsidRPr="003F50BC">
        <w:rPr>
          <w:rFonts w:eastAsiaTheme="minorEastAsia" w:cstheme="minorHAnsi"/>
          <w:i/>
          <w:iCs/>
          <w:sz w:val="24"/>
          <w:szCs w:val="24"/>
          <w:lang w:val="en-GB" w:eastAsia="en-GB"/>
        </w:rPr>
        <w:t xml:space="preserve">. </w:t>
      </w:r>
      <w:r w:rsidRPr="006403A3">
        <w:rPr>
          <w:rFonts w:eastAsiaTheme="minorEastAsia" w:cstheme="minorHAnsi"/>
          <w:i/>
          <w:iCs/>
          <w:sz w:val="24"/>
          <w:szCs w:val="24"/>
          <w:lang w:val="en-GB" w:eastAsia="en-GB"/>
        </w:rPr>
        <w:t>Ph1</w:t>
      </w:r>
    </w:p>
    <w:p w14:paraId="5DDBFC15" w14:textId="77777777" w:rsidR="00821B82" w:rsidRPr="00032368" w:rsidRDefault="00821B82" w:rsidP="00821B82">
      <w:pPr>
        <w:tabs>
          <w:tab w:val="left" w:pos="360"/>
        </w:tabs>
        <w:spacing w:line="240" w:lineRule="auto"/>
        <w:ind w:left="720"/>
        <w:jc w:val="both"/>
        <w:rPr>
          <w:rFonts w:eastAsiaTheme="minorEastAsia" w:cstheme="minorHAnsi"/>
          <w:i/>
          <w:iCs/>
          <w:sz w:val="24"/>
          <w:szCs w:val="24"/>
          <w:lang w:val="en-GB" w:eastAsia="en-GB"/>
        </w:rPr>
      </w:pPr>
    </w:p>
    <w:p w14:paraId="5B62968E" w14:textId="77777777" w:rsidR="00821B82" w:rsidRPr="00200F94" w:rsidRDefault="00821B82" w:rsidP="00200F94">
      <w:pPr>
        <w:pStyle w:val="Heading6"/>
        <w:spacing w:after="240" w:line="360" w:lineRule="auto"/>
        <w:rPr>
          <w:rFonts w:asciiTheme="minorBidi" w:hAnsiTheme="minorBidi" w:cstheme="minorBidi"/>
          <w:sz w:val="24"/>
          <w:szCs w:val="24"/>
        </w:rPr>
      </w:pPr>
      <w:r w:rsidRPr="00200F94">
        <w:rPr>
          <w:rFonts w:asciiTheme="minorBidi" w:hAnsiTheme="minorBidi" w:cstheme="minorBidi"/>
          <w:sz w:val="24"/>
          <w:szCs w:val="24"/>
        </w:rPr>
        <w:t>Lack of education and training for pharmacists</w:t>
      </w:r>
    </w:p>
    <w:p w14:paraId="7036B91F" w14:textId="77777777" w:rsidR="00821B82" w:rsidRDefault="00821B82" w:rsidP="00821B82">
      <w:pPr>
        <w:spacing w:line="360" w:lineRule="auto"/>
        <w:jc w:val="both"/>
        <w:rPr>
          <w:rFonts w:asciiTheme="minorBidi" w:hAnsiTheme="minorBidi"/>
          <w:sz w:val="24"/>
          <w:szCs w:val="24"/>
        </w:rPr>
      </w:pPr>
      <w:r>
        <w:rPr>
          <w:rFonts w:asciiTheme="minorBidi" w:hAnsiTheme="minorBidi"/>
          <w:sz w:val="24"/>
          <w:szCs w:val="24"/>
        </w:rPr>
        <w:t>The</w:t>
      </w:r>
      <w:r w:rsidRPr="00BA546D">
        <w:rPr>
          <w:rFonts w:asciiTheme="minorBidi" w:hAnsiTheme="minorBidi"/>
          <w:sz w:val="24"/>
          <w:szCs w:val="24"/>
        </w:rPr>
        <w:t xml:space="preserve"> lack of accredited </w:t>
      </w:r>
      <w:r>
        <w:rPr>
          <w:rFonts w:asciiTheme="minorBidi" w:hAnsiTheme="minorBidi"/>
          <w:sz w:val="24"/>
          <w:szCs w:val="24"/>
        </w:rPr>
        <w:t>post</w:t>
      </w:r>
      <w:r w:rsidRPr="00BA546D">
        <w:rPr>
          <w:rFonts w:asciiTheme="minorBidi" w:hAnsiTheme="minorBidi"/>
          <w:sz w:val="24"/>
          <w:szCs w:val="24"/>
        </w:rPr>
        <w:t>graduate programm</w:t>
      </w:r>
      <w:r>
        <w:rPr>
          <w:rFonts w:asciiTheme="minorBidi" w:hAnsiTheme="minorBidi"/>
          <w:sz w:val="24"/>
          <w:szCs w:val="24"/>
        </w:rPr>
        <w:t>e</w:t>
      </w:r>
      <w:r w:rsidRPr="00BA546D">
        <w:rPr>
          <w:rFonts w:asciiTheme="minorBidi" w:hAnsiTheme="minorBidi"/>
          <w:sz w:val="24"/>
          <w:szCs w:val="24"/>
        </w:rPr>
        <w:t>s for pharmacists was another challenge facing pharmacists who wish to raise their qualifications to provide advanced and specialised pharmacy services, such as being a diabetes educator.</w:t>
      </w:r>
    </w:p>
    <w:p w14:paraId="7E68DDE8" w14:textId="77777777" w:rsidR="00821B82" w:rsidRPr="00856BE4" w:rsidRDefault="00821B82" w:rsidP="00821B82">
      <w:pPr>
        <w:spacing w:line="240" w:lineRule="auto"/>
        <w:ind w:left="720"/>
        <w:jc w:val="both"/>
        <w:rPr>
          <w:rFonts w:eastAsiaTheme="minorEastAsia" w:cstheme="minorHAnsi"/>
          <w:i/>
          <w:iCs/>
          <w:sz w:val="24"/>
          <w:szCs w:val="24"/>
          <w:lang w:val="en-GB" w:eastAsia="en-GB"/>
        </w:rPr>
      </w:pPr>
      <w:r w:rsidRPr="00856BE4">
        <w:rPr>
          <w:rFonts w:eastAsiaTheme="minorEastAsia" w:cstheme="minorHAnsi"/>
          <w:i/>
          <w:iCs/>
          <w:sz w:val="24"/>
          <w:szCs w:val="24"/>
          <w:lang w:val="en-GB" w:eastAsia="en-GB"/>
        </w:rPr>
        <w:t>‘</w:t>
      </w:r>
      <w:r>
        <w:rPr>
          <w:rFonts w:eastAsiaTheme="minorEastAsia" w:cstheme="minorHAnsi"/>
          <w:i/>
          <w:iCs/>
          <w:sz w:val="24"/>
          <w:szCs w:val="24"/>
          <w:lang w:val="en-GB" w:eastAsia="en-GB"/>
        </w:rPr>
        <w:t>M</w:t>
      </w:r>
      <w:r w:rsidRPr="00856BE4">
        <w:rPr>
          <w:rFonts w:eastAsiaTheme="minorEastAsia" w:cstheme="minorHAnsi"/>
          <w:i/>
          <w:iCs/>
          <w:sz w:val="24"/>
          <w:szCs w:val="24"/>
          <w:lang w:val="en-GB" w:eastAsia="en-GB"/>
        </w:rPr>
        <w:t xml:space="preserve">y hope to be a specialised pharmacist, certified diabetes educator, as we are lacking in that, and I believe this will play an important role in achieving better patient health </w:t>
      </w:r>
      <w:r w:rsidRPr="004F18E6">
        <w:rPr>
          <w:rFonts w:eastAsiaTheme="minorEastAsia" w:cstheme="minorHAnsi"/>
          <w:i/>
          <w:iCs/>
          <w:sz w:val="24"/>
          <w:szCs w:val="24"/>
          <w:lang w:val="en-GB" w:eastAsia="en-GB"/>
        </w:rPr>
        <w:t>outcomes</w:t>
      </w:r>
      <w:r>
        <w:rPr>
          <w:rFonts w:eastAsiaTheme="minorEastAsia" w:cstheme="minorHAnsi"/>
          <w:i/>
          <w:iCs/>
          <w:sz w:val="24"/>
          <w:szCs w:val="24"/>
          <w:lang w:val="en-GB" w:eastAsia="en-GB"/>
        </w:rPr>
        <w:t xml:space="preserve"> [</w:t>
      </w:r>
      <w:r w:rsidRPr="004F18E6">
        <w:rPr>
          <w:rFonts w:eastAsiaTheme="minorEastAsia" w:cstheme="minorHAnsi"/>
          <w:i/>
          <w:iCs/>
          <w:sz w:val="24"/>
          <w:szCs w:val="24"/>
          <w:lang w:val="en-GB" w:eastAsia="en-GB"/>
        </w:rPr>
        <w:t>…</w:t>
      </w:r>
      <w:r>
        <w:rPr>
          <w:rFonts w:eastAsiaTheme="minorEastAsia" w:cstheme="minorHAnsi"/>
          <w:i/>
          <w:iCs/>
          <w:sz w:val="24"/>
          <w:szCs w:val="24"/>
          <w:lang w:val="en-GB" w:eastAsia="en-GB"/>
        </w:rPr>
        <w:t xml:space="preserve">] </w:t>
      </w:r>
      <w:r w:rsidRPr="004F18E6">
        <w:rPr>
          <w:rFonts w:eastAsiaTheme="minorEastAsia" w:cstheme="minorHAnsi"/>
          <w:i/>
          <w:iCs/>
          <w:sz w:val="24"/>
          <w:szCs w:val="24"/>
          <w:lang w:val="en-GB" w:eastAsia="en-GB"/>
        </w:rPr>
        <w:t>I meant is a certified programme that gives you a license as a specialist practitioner such as a diploma or postgraduate programme in a specific discipline. When you are a certified or licensed pharmacist in a particular speciality, this gives you an opportunity to enforce yourself and ask, for example, for an office to provide this service…’</w:t>
      </w:r>
      <w:r w:rsidRPr="00856BE4">
        <w:rPr>
          <w:rFonts w:eastAsiaTheme="minorEastAsia" w:cstheme="minorHAnsi"/>
          <w:i/>
          <w:iCs/>
          <w:sz w:val="24"/>
          <w:szCs w:val="24"/>
          <w:lang w:val="en-GB" w:eastAsia="en-GB"/>
        </w:rPr>
        <w:t xml:space="preserve"> Ph2</w:t>
      </w:r>
    </w:p>
    <w:p w14:paraId="18161308" w14:textId="77777777" w:rsidR="00821B82" w:rsidRDefault="00821B82" w:rsidP="00821B82">
      <w:pPr>
        <w:shd w:val="clear" w:color="auto" w:fill="FFFFFF"/>
        <w:spacing w:before="240" w:after="0" w:line="360" w:lineRule="auto"/>
        <w:jc w:val="both"/>
        <w:rPr>
          <w:rFonts w:asciiTheme="minorBidi" w:eastAsiaTheme="minorEastAsia" w:hAnsiTheme="minorBidi"/>
          <w:sz w:val="24"/>
          <w:szCs w:val="24"/>
          <w:lang w:eastAsia="en-GB"/>
        </w:rPr>
      </w:pPr>
      <w:r w:rsidRPr="00422145">
        <w:rPr>
          <w:rFonts w:asciiTheme="minorBidi" w:eastAsiaTheme="minorEastAsia" w:hAnsiTheme="minorBidi"/>
          <w:sz w:val="24"/>
          <w:szCs w:val="24"/>
          <w:lang w:eastAsia="en-GB"/>
        </w:rPr>
        <w:t>Pharmacists interviewed highlighted factors related to pharmacist</w:t>
      </w:r>
      <w:r>
        <w:rPr>
          <w:rFonts w:asciiTheme="minorBidi" w:eastAsiaTheme="minorEastAsia" w:hAnsiTheme="minorBidi"/>
          <w:sz w:val="24"/>
          <w:szCs w:val="24"/>
          <w:lang w:eastAsia="en-GB"/>
        </w:rPr>
        <w:t>s’</w:t>
      </w:r>
      <w:r w:rsidRPr="00422145">
        <w:rPr>
          <w:rFonts w:asciiTheme="minorBidi" w:eastAsiaTheme="minorEastAsia" w:hAnsiTheme="minorBidi"/>
          <w:sz w:val="24"/>
          <w:szCs w:val="24"/>
          <w:lang w:eastAsia="en-GB"/>
        </w:rPr>
        <w:t xml:space="preserve"> attribute</w:t>
      </w:r>
      <w:r>
        <w:rPr>
          <w:rFonts w:asciiTheme="minorBidi" w:eastAsiaTheme="minorEastAsia" w:hAnsiTheme="minorBidi"/>
          <w:sz w:val="24"/>
          <w:szCs w:val="24"/>
          <w:lang w:eastAsia="en-GB"/>
        </w:rPr>
        <w:t>s</w:t>
      </w:r>
      <w:r w:rsidRPr="00422145">
        <w:rPr>
          <w:rFonts w:asciiTheme="minorBidi" w:eastAsiaTheme="minorEastAsia" w:hAnsiTheme="minorBidi"/>
          <w:sz w:val="24"/>
          <w:szCs w:val="24"/>
          <w:lang w:eastAsia="en-GB"/>
        </w:rPr>
        <w:t xml:space="preserve"> such as </w:t>
      </w:r>
      <w:r>
        <w:rPr>
          <w:rFonts w:asciiTheme="minorBidi" w:eastAsiaTheme="minorEastAsia" w:hAnsiTheme="minorBidi"/>
          <w:sz w:val="24"/>
          <w:szCs w:val="24"/>
          <w:lang w:eastAsia="en-GB"/>
        </w:rPr>
        <w:t xml:space="preserve">their </w:t>
      </w:r>
      <w:r w:rsidRPr="00422145">
        <w:rPr>
          <w:rFonts w:asciiTheme="minorBidi" w:eastAsiaTheme="minorEastAsia" w:hAnsiTheme="minorBidi"/>
          <w:sz w:val="24"/>
          <w:szCs w:val="24"/>
          <w:lang w:eastAsia="en-GB"/>
        </w:rPr>
        <w:t>skills and knowledge. They stated that a lack of clinical experience, continuing clinical education, and effective communication skills pose barriers to providing effective pharmaceutical care in PHCs</w:t>
      </w:r>
      <w:r>
        <w:rPr>
          <w:rFonts w:asciiTheme="minorBidi" w:eastAsiaTheme="minorEastAsia" w:hAnsiTheme="minorBidi"/>
          <w:sz w:val="24"/>
          <w:szCs w:val="24"/>
          <w:lang w:eastAsia="en-GB"/>
        </w:rPr>
        <w:t>:</w:t>
      </w:r>
    </w:p>
    <w:p w14:paraId="21E4D63A"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asciiTheme="minorBidi" w:eastAsiaTheme="minorEastAsia" w:hAnsiTheme="minorBidi"/>
          <w:sz w:val="24"/>
          <w:szCs w:val="24"/>
          <w:lang w:eastAsia="en-GB"/>
        </w:rPr>
        <w:t>‘</w:t>
      </w:r>
      <w:r w:rsidRPr="00321489">
        <w:rPr>
          <w:rFonts w:eastAsiaTheme="minorEastAsia" w:cstheme="minorHAnsi"/>
          <w:i/>
          <w:iCs/>
          <w:sz w:val="24"/>
          <w:szCs w:val="24"/>
          <w:lang w:val="en-GB" w:eastAsia="en-GB"/>
        </w:rPr>
        <w:t>A pharmacist needs intensive specialised training of at least 6 months to provide clinical services to patients</w:t>
      </w:r>
      <w:r>
        <w:rPr>
          <w:rFonts w:eastAsiaTheme="minorEastAsia" w:cstheme="minorHAnsi"/>
          <w:i/>
          <w:iCs/>
          <w:sz w:val="24"/>
          <w:szCs w:val="24"/>
          <w:lang w:val="en-GB" w:eastAsia="en-GB"/>
        </w:rPr>
        <w:t>.’</w:t>
      </w:r>
      <w:r w:rsidRPr="00321489">
        <w:rPr>
          <w:rFonts w:eastAsiaTheme="minorEastAsia" w:cstheme="minorHAnsi"/>
          <w:i/>
          <w:iCs/>
          <w:sz w:val="24"/>
          <w:szCs w:val="24"/>
          <w:lang w:val="en-GB" w:eastAsia="en-GB"/>
        </w:rPr>
        <w:t xml:space="preserve"> Ph1</w:t>
      </w:r>
    </w:p>
    <w:p w14:paraId="62FB2B03" w14:textId="77777777" w:rsidR="00821B82" w:rsidRDefault="00821B82" w:rsidP="00821B82">
      <w:pPr>
        <w:spacing w:line="240" w:lineRule="auto"/>
        <w:ind w:left="720"/>
        <w:jc w:val="both"/>
        <w:rPr>
          <w:rFonts w:eastAsiaTheme="minorEastAsia" w:cstheme="minorHAnsi"/>
          <w:i/>
          <w:iCs/>
          <w:sz w:val="24"/>
          <w:szCs w:val="24"/>
          <w:lang w:val="en-GB" w:eastAsia="en-GB"/>
        </w:rPr>
      </w:pPr>
    </w:p>
    <w:p w14:paraId="58ADF7EB" w14:textId="77777777" w:rsidR="00821B82" w:rsidRPr="001873E7" w:rsidRDefault="00821B82" w:rsidP="00821B82">
      <w:pPr>
        <w:pStyle w:val="Heading6"/>
        <w:spacing w:line="360" w:lineRule="auto"/>
        <w:rPr>
          <w:rFonts w:asciiTheme="minorBidi" w:eastAsiaTheme="minorEastAsia" w:hAnsiTheme="minorBidi" w:cstheme="minorBidi"/>
          <w:sz w:val="24"/>
          <w:szCs w:val="24"/>
          <w:lang w:eastAsia="en-GB"/>
        </w:rPr>
      </w:pPr>
      <w:r w:rsidRPr="001873E7">
        <w:rPr>
          <w:rFonts w:asciiTheme="minorBidi" w:eastAsiaTheme="minorEastAsia" w:hAnsiTheme="minorBidi" w:cstheme="minorBidi"/>
          <w:sz w:val="24"/>
          <w:szCs w:val="24"/>
          <w:lang w:eastAsia="en-GB"/>
        </w:rPr>
        <w:t xml:space="preserve">Lack of facilities </w:t>
      </w:r>
    </w:p>
    <w:p w14:paraId="250CC671" w14:textId="77777777" w:rsidR="00821B82" w:rsidRDefault="00821B82" w:rsidP="00E25EF5">
      <w:pPr>
        <w:spacing w:before="240" w:line="360" w:lineRule="auto"/>
        <w:jc w:val="both"/>
        <w:rPr>
          <w:rFonts w:asciiTheme="minorBidi" w:eastAsiaTheme="minorEastAsia" w:hAnsiTheme="minorBidi"/>
          <w:sz w:val="24"/>
          <w:szCs w:val="24"/>
          <w:lang w:eastAsia="en-GB"/>
        </w:rPr>
      </w:pPr>
      <w:r w:rsidRPr="00934218">
        <w:rPr>
          <w:rFonts w:asciiTheme="minorBidi" w:eastAsiaTheme="minorEastAsia" w:hAnsiTheme="minorBidi"/>
          <w:sz w:val="24"/>
          <w:szCs w:val="24"/>
          <w:lang w:eastAsia="en-GB"/>
        </w:rPr>
        <w:t>Participants reported other challenges related to the pharmacy structure, such as the lack of a private room to sit with patients to discuss medication-related issues</w:t>
      </w:r>
      <w:r>
        <w:rPr>
          <w:rFonts w:asciiTheme="minorBidi" w:eastAsiaTheme="minorEastAsia" w:hAnsiTheme="minorBidi"/>
          <w:sz w:val="24"/>
          <w:szCs w:val="24"/>
          <w:lang w:eastAsia="en-GB"/>
        </w:rPr>
        <w:t>, talking to patients through only small window with sometime glass protection</w:t>
      </w:r>
      <w:r w:rsidRPr="00934218">
        <w:rPr>
          <w:rFonts w:asciiTheme="minorBidi" w:eastAsiaTheme="minorEastAsia" w:hAnsiTheme="minorBidi"/>
          <w:sz w:val="24"/>
          <w:szCs w:val="24"/>
          <w:lang w:eastAsia="en-GB"/>
        </w:rPr>
        <w:t>.</w:t>
      </w:r>
    </w:p>
    <w:p w14:paraId="7625AF3E"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‘In</w:t>
      </w:r>
      <w:r w:rsidRPr="003F50BC">
        <w:rPr>
          <w:rFonts w:eastAsiaTheme="minorEastAsia" w:cstheme="minorHAnsi"/>
          <w:i/>
          <w:iCs/>
          <w:sz w:val="24"/>
          <w:szCs w:val="24"/>
          <w:lang w:val="en-GB" w:eastAsia="en-GB"/>
        </w:rPr>
        <w:t xml:space="preserve"> the PHC, the pharmacist does not have a private room to sit with patients such as those with chronic diseases and those with polypharmacy. I don't have that facility when I want to talk to a patient about a treatment plan, which is another barrier</w:t>
      </w:r>
      <w:r>
        <w:rPr>
          <w:rFonts w:eastAsiaTheme="minorEastAsia" w:cstheme="minorHAnsi"/>
          <w:i/>
          <w:iCs/>
          <w:sz w:val="24"/>
          <w:szCs w:val="24"/>
          <w:lang w:val="en-GB" w:eastAsia="en-GB"/>
        </w:rPr>
        <w:t>’</w:t>
      </w:r>
      <w:r w:rsidRPr="003F50BC">
        <w:rPr>
          <w:rFonts w:eastAsiaTheme="minorEastAsia" w:cstheme="minorHAnsi"/>
          <w:i/>
          <w:iCs/>
          <w:sz w:val="24"/>
          <w:szCs w:val="24"/>
          <w:lang w:val="en-GB" w:eastAsia="en-GB"/>
        </w:rPr>
        <w:t>. Ph3</w:t>
      </w:r>
    </w:p>
    <w:p w14:paraId="1EC0E7B2" w14:textId="77777777" w:rsidR="00821B82" w:rsidRPr="009C3B6C" w:rsidRDefault="00821B82" w:rsidP="00821B82">
      <w:pPr>
        <w:spacing w:before="240" w:line="360" w:lineRule="auto"/>
        <w:jc w:val="both"/>
        <w:rPr>
          <w:rFonts w:asciiTheme="minorBidi" w:hAnsiTheme="minorBidi"/>
          <w:sz w:val="24"/>
          <w:szCs w:val="24"/>
        </w:rPr>
      </w:pPr>
      <w:r>
        <w:rPr>
          <w:rFonts w:asciiTheme="minorBidi" w:hAnsiTheme="minorBidi"/>
          <w:sz w:val="24"/>
          <w:szCs w:val="24"/>
        </w:rPr>
        <w:t xml:space="preserve">Lack of electronic system was also a barrier as in </w:t>
      </w:r>
      <w:r w:rsidRPr="009C3B6C">
        <w:rPr>
          <w:rFonts w:asciiTheme="minorBidi" w:hAnsiTheme="minorBidi"/>
          <w:sz w:val="24"/>
          <w:szCs w:val="24"/>
        </w:rPr>
        <w:t xml:space="preserve">the </w:t>
      </w:r>
      <w:r>
        <w:rPr>
          <w:rFonts w:asciiTheme="minorBidi" w:hAnsiTheme="minorBidi"/>
          <w:sz w:val="24"/>
          <w:szCs w:val="24"/>
        </w:rPr>
        <w:t>PHC</w:t>
      </w:r>
      <w:r w:rsidRPr="009C3B6C">
        <w:rPr>
          <w:rFonts w:asciiTheme="minorBidi" w:hAnsiTheme="minorBidi"/>
          <w:sz w:val="24"/>
          <w:szCs w:val="24"/>
        </w:rPr>
        <w:t>, electronic system</w:t>
      </w:r>
      <w:r>
        <w:rPr>
          <w:rFonts w:asciiTheme="minorBidi" w:hAnsiTheme="minorBidi"/>
          <w:sz w:val="24"/>
          <w:szCs w:val="24"/>
        </w:rPr>
        <w:t>s had</w:t>
      </w:r>
      <w:r w:rsidRPr="009C3B6C">
        <w:rPr>
          <w:rFonts w:asciiTheme="minorBidi" w:hAnsiTheme="minorBidi"/>
          <w:sz w:val="24"/>
          <w:szCs w:val="24"/>
        </w:rPr>
        <w:t xml:space="preserve"> not </w:t>
      </w:r>
      <w:r>
        <w:rPr>
          <w:rFonts w:asciiTheme="minorBidi" w:hAnsiTheme="minorBidi"/>
          <w:sz w:val="24"/>
          <w:szCs w:val="24"/>
        </w:rPr>
        <w:t xml:space="preserve">yet been </w:t>
      </w:r>
      <w:r w:rsidRPr="009C3B6C">
        <w:rPr>
          <w:rFonts w:asciiTheme="minorBidi" w:hAnsiTheme="minorBidi"/>
          <w:sz w:val="24"/>
          <w:szCs w:val="24"/>
        </w:rPr>
        <w:t xml:space="preserve">activated when the pharmacists worked there, so </w:t>
      </w:r>
      <w:r>
        <w:rPr>
          <w:rFonts w:asciiTheme="minorBidi" w:hAnsiTheme="minorBidi"/>
          <w:sz w:val="24"/>
          <w:szCs w:val="24"/>
        </w:rPr>
        <w:t>t</w:t>
      </w:r>
      <w:r w:rsidRPr="009C3B6C">
        <w:rPr>
          <w:rFonts w:asciiTheme="minorBidi" w:hAnsiTheme="minorBidi"/>
          <w:sz w:val="24"/>
          <w:szCs w:val="24"/>
        </w:rPr>
        <w:t>hey f</w:t>
      </w:r>
      <w:r>
        <w:rPr>
          <w:rFonts w:asciiTheme="minorBidi" w:hAnsiTheme="minorBidi"/>
          <w:sz w:val="24"/>
          <w:szCs w:val="24"/>
        </w:rPr>
        <w:t>ou</w:t>
      </w:r>
      <w:r w:rsidRPr="009C3B6C">
        <w:rPr>
          <w:rFonts w:asciiTheme="minorBidi" w:hAnsiTheme="minorBidi"/>
          <w:sz w:val="24"/>
          <w:szCs w:val="24"/>
        </w:rPr>
        <w:t xml:space="preserve">nd themselves </w:t>
      </w:r>
      <w:r>
        <w:rPr>
          <w:rFonts w:asciiTheme="minorBidi" w:hAnsiTheme="minorBidi"/>
          <w:sz w:val="24"/>
          <w:szCs w:val="24"/>
        </w:rPr>
        <w:t>having to dispense</w:t>
      </w:r>
      <w:r w:rsidRPr="009C3B6C">
        <w:rPr>
          <w:rFonts w:asciiTheme="minorBidi" w:hAnsiTheme="minorBidi"/>
          <w:sz w:val="24"/>
          <w:szCs w:val="24"/>
        </w:rPr>
        <w:t xml:space="preserve"> the </w:t>
      </w:r>
      <w:r w:rsidRPr="003A4A66">
        <w:rPr>
          <w:rFonts w:asciiTheme="minorBidi" w:hAnsiTheme="minorBidi"/>
          <w:sz w:val="24"/>
          <w:szCs w:val="24"/>
        </w:rPr>
        <w:t xml:space="preserve">prescriptions </w:t>
      </w:r>
      <w:r w:rsidRPr="009C3B6C">
        <w:rPr>
          <w:rFonts w:asciiTheme="minorBidi" w:hAnsiTheme="minorBidi"/>
          <w:sz w:val="24"/>
          <w:szCs w:val="24"/>
        </w:rPr>
        <w:t>and then solv</w:t>
      </w:r>
      <w:r>
        <w:rPr>
          <w:rFonts w:asciiTheme="minorBidi" w:hAnsiTheme="minorBidi"/>
          <w:sz w:val="24"/>
          <w:szCs w:val="24"/>
        </w:rPr>
        <w:t>e</w:t>
      </w:r>
      <w:r w:rsidRPr="009C3B6C">
        <w:rPr>
          <w:rFonts w:asciiTheme="minorBidi" w:hAnsiTheme="minorBidi"/>
          <w:sz w:val="24"/>
          <w:szCs w:val="24"/>
        </w:rPr>
        <w:t xml:space="preserve"> any related issues later.</w:t>
      </w:r>
      <w:r>
        <w:rPr>
          <w:rFonts w:asciiTheme="minorBidi" w:hAnsiTheme="minorBidi"/>
          <w:sz w:val="24"/>
          <w:szCs w:val="24"/>
        </w:rPr>
        <w:t xml:space="preserve"> </w:t>
      </w:r>
      <w:r w:rsidRPr="009C3B6C">
        <w:rPr>
          <w:rFonts w:asciiTheme="minorBidi" w:hAnsiTheme="minorBidi"/>
          <w:sz w:val="24"/>
          <w:szCs w:val="24"/>
        </w:rPr>
        <w:t>The pharmacist interviewe</w:t>
      </w:r>
      <w:r>
        <w:rPr>
          <w:rFonts w:asciiTheme="minorBidi" w:hAnsiTheme="minorBidi"/>
          <w:sz w:val="24"/>
          <w:szCs w:val="24"/>
        </w:rPr>
        <w:t xml:space="preserve">es stating </w:t>
      </w:r>
      <w:r w:rsidRPr="009C3B6C">
        <w:rPr>
          <w:rFonts w:asciiTheme="minorBidi" w:hAnsiTheme="minorBidi"/>
          <w:sz w:val="24"/>
          <w:szCs w:val="24"/>
        </w:rPr>
        <w:t xml:space="preserve">that </w:t>
      </w:r>
      <w:r>
        <w:rPr>
          <w:rFonts w:asciiTheme="minorBidi" w:hAnsiTheme="minorBidi"/>
          <w:sz w:val="24"/>
          <w:szCs w:val="24"/>
        </w:rPr>
        <w:t xml:space="preserve">the </w:t>
      </w:r>
      <w:r w:rsidRPr="009C3B6C">
        <w:rPr>
          <w:rFonts w:asciiTheme="minorBidi" w:hAnsiTheme="minorBidi"/>
          <w:sz w:val="24"/>
          <w:szCs w:val="24"/>
        </w:rPr>
        <w:t xml:space="preserve">electronic system in the hospital enables the pharmacists to </w:t>
      </w:r>
      <w:r>
        <w:rPr>
          <w:rFonts w:asciiTheme="minorBidi" w:hAnsiTheme="minorBidi"/>
          <w:sz w:val="24"/>
          <w:szCs w:val="24"/>
        </w:rPr>
        <w:t xml:space="preserve">delay </w:t>
      </w:r>
      <w:r w:rsidRPr="009C3B6C">
        <w:rPr>
          <w:rFonts w:asciiTheme="minorBidi" w:hAnsiTheme="minorBidi"/>
          <w:sz w:val="24"/>
          <w:szCs w:val="24"/>
        </w:rPr>
        <w:t>dispens</w:t>
      </w:r>
      <w:r>
        <w:rPr>
          <w:rFonts w:asciiTheme="minorBidi" w:hAnsiTheme="minorBidi"/>
          <w:sz w:val="24"/>
          <w:szCs w:val="24"/>
        </w:rPr>
        <w:t>ing</w:t>
      </w:r>
      <w:r w:rsidRPr="009C3B6C">
        <w:rPr>
          <w:rFonts w:asciiTheme="minorBidi" w:hAnsiTheme="minorBidi"/>
          <w:sz w:val="24"/>
          <w:szCs w:val="24"/>
        </w:rPr>
        <w:t xml:space="preserve"> the prescription until any problem is resolved. </w:t>
      </w:r>
      <w:r w:rsidRPr="00FD42C9">
        <w:rPr>
          <w:rFonts w:asciiTheme="minorBidi" w:hAnsiTheme="minorBidi"/>
          <w:sz w:val="24"/>
          <w:szCs w:val="24"/>
        </w:rPr>
        <w:t>Using the digital system in hospitals allows pharmacists to access the patient's health record easily and quickly</w:t>
      </w:r>
      <w:r>
        <w:rPr>
          <w:rFonts w:asciiTheme="minorBidi" w:hAnsiTheme="minorBidi"/>
          <w:sz w:val="24"/>
          <w:szCs w:val="24"/>
        </w:rPr>
        <w:t xml:space="preserve">. This suggests that the </w:t>
      </w:r>
      <w:r w:rsidRPr="00DE5D75">
        <w:rPr>
          <w:rFonts w:asciiTheme="minorBidi" w:hAnsiTheme="minorBidi"/>
          <w:sz w:val="24"/>
          <w:szCs w:val="24"/>
        </w:rPr>
        <w:t xml:space="preserve">difficulty of accessing the patient’s medical file was </w:t>
      </w:r>
      <w:r>
        <w:rPr>
          <w:rFonts w:asciiTheme="minorBidi" w:hAnsiTheme="minorBidi"/>
          <w:sz w:val="24"/>
          <w:szCs w:val="24"/>
        </w:rPr>
        <w:t xml:space="preserve">a </w:t>
      </w:r>
      <w:r w:rsidRPr="003D21C1">
        <w:rPr>
          <w:rFonts w:asciiTheme="minorBidi" w:hAnsiTheme="minorBidi"/>
          <w:sz w:val="24"/>
          <w:szCs w:val="24"/>
        </w:rPr>
        <w:t xml:space="preserve">barrier </w:t>
      </w:r>
      <w:r w:rsidRPr="00DE5D75">
        <w:rPr>
          <w:rFonts w:asciiTheme="minorBidi" w:hAnsiTheme="minorBidi"/>
          <w:sz w:val="24"/>
          <w:szCs w:val="24"/>
        </w:rPr>
        <w:t>for pharmacists</w:t>
      </w:r>
      <w:r>
        <w:rPr>
          <w:rFonts w:asciiTheme="minorBidi" w:hAnsiTheme="minorBidi"/>
          <w:sz w:val="24"/>
          <w:szCs w:val="24"/>
        </w:rPr>
        <w:t>’</w:t>
      </w:r>
      <w:r w:rsidRPr="00DE5D75">
        <w:rPr>
          <w:rFonts w:asciiTheme="minorBidi" w:hAnsiTheme="minorBidi"/>
          <w:sz w:val="24"/>
          <w:szCs w:val="24"/>
        </w:rPr>
        <w:t xml:space="preserve"> inter</w:t>
      </w:r>
      <w:r>
        <w:rPr>
          <w:rFonts w:asciiTheme="minorBidi" w:hAnsiTheme="minorBidi"/>
          <w:sz w:val="24"/>
          <w:szCs w:val="24"/>
        </w:rPr>
        <w:t>v</w:t>
      </w:r>
      <w:r w:rsidRPr="00DE5D75">
        <w:rPr>
          <w:rFonts w:asciiTheme="minorBidi" w:hAnsiTheme="minorBidi"/>
          <w:sz w:val="24"/>
          <w:szCs w:val="24"/>
        </w:rPr>
        <w:t>e</w:t>
      </w:r>
      <w:r>
        <w:rPr>
          <w:rFonts w:asciiTheme="minorBidi" w:hAnsiTheme="minorBidi"/>
          <w:sz w:val="24"/>
          <w:szCs w:val="24"/>
        </w:rPr>
        <w:t>ntion</w:t>
      </w:r>
      <w:r w:rsidRPr="00DE5D75">
        <w:rPr>
          <w:rFonts w:asciiTheme="minorBidi" w:hAnsiTheme="minorBidi"/>
          <w:sz w:val="24"/>
          <w:szCs w:val="24"/>
        </w:rPr>
        <w:t xml:space="preserve"> </w:t>
      </w:r>
      <w:r>
        <w:rPr>
          <w:rFonts w:asciiTheme="minorBidi" w:hAnsiTheme="minorBidi"/>
          <w:sz w:val="24"/>
          <w:szCs w:val="24"/>
        </w:rPr>
        <w:t>in</w:t>
      </w:r>
      <w:r w:rsidRPr="00DE5D75">
        <w:rPr>
          <w:rFonts w:asciiTheme="minorBidi" w:hAnsiTheme="minorBidi"/>
          <w:sz w:val="24"/>
          <w:szCs w:val="24"/>
        </w:rPr>
        <w:t xml:space="preserve"> the patient’s </w:t>
      </w:r>
      <w:r>
        <w:rPr>
          <w:rFonts w:asciiTheme="minorBidi" w:hAnsiTheme="minorBidi"/>
          <w:sz w:val="24"/>
          <w:szCs w:val="24"/>
        </w:rPr>
        <w:t>management</w:t>
      </w:r>
      <w:r w:rsidRPr="00DE5D75">
        <w:rPr>
          <w:rFonts w:asciiTheme="minorBidi" w:hAnsiTheme="minorBidi"/>
          <w:sz w:val="24"/>
          <w:szCs w:val="24"/>
        </w:rPr>
        <w:t>, as the pharmacist had to leave the pharmacy to look for the file in the doctor’s or nurse’s office or the medical files department</w:t>
      </w:r>
      <w:r>
        <w:rPr>
          <w:rFonts w:asciiTheme="minorBidi" w:hAnsiTheme="minorBidi"/>
          <w:sz w:val="24"/>
          <w:szCs w:val="24"/>
        </w:rPr>
        <w:t>:</w:t>
      </w:r>
    </w:p>
    <w:p w14:paraId="6985490A"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3F50BC">
        <w:rPr>
          <w:rFonts w:eastAsiaTheme="minorEastAsia" w:cstheme="minorHAnsi"/>
          <w:i/>
          <w:iCs/>
          <w:sz w:val="24"/>
          <w:szCs w:val="24"/>
          <w:lang w:val="en-GB" w:eastAsia="en-GB"/>
        </w:rPr>
        <w:t>My role in the hospital is now somewhat better. Working with the electronic system, I can intervene by stopping the</w:t>
      </w:r>
      <w:r>
        <w:rPr>
          <w:rFonts w:eastAsiaTheme="minorEastAsia" w:cstheme="minorHAnsi"/>
          <w:i/>
          <w:iCs/>
          <w:sz w:val="24"/>
          <w:szCs w:val="24"/>
          <w:lang w:val="en-GB" w:eastAsia="en-GB"/>
        </w:rPr>
        <w:t xml:space="preserve"> prescription</w:t>
      </w:r>
      <w:r w:rsidRPr="003F50BC">
        <w:rPr>
          <w:rFonts w:eastAsiaTheme="minorEastAsia" w:cstheme="minorHAnsi"/>
          <w:i/>
          <w:iCs/>
          <w:sz w:val="24"/>
          <w:szCs w:val="24"/>
          <w:lang w:val="en-GB" w:eastAsia="en-GB"/>
        </w:rPr>
        <w:t xml:space="preserve"> from being dispensed and documenting justifications for this, while in the PHCs, this privilege was not available to pharmacists</w:t>
      </w:r>
      <w:r>
        <w:rPr>
          <w:rFonts w:eastAsiaTheme="minorEastAsia" w:cstheme="minorHAnsi"/>
          <w:i/>
          <w:iCs/>
          <w:sz w:val="24"/>
          <w:szCs w:val="24"/>
          <w:lang w:val="en-GB" w:eastAsia="en-GB"/>
        </w:rPr>
        <w:t xml:space="preserve"> […in PHCs] t</w:t>
      </w:r>
      <w:r w:rsidRPr="003F50BC">
        <w:rPr>
          <w:rFonts w:eastAsiaTheme="minorEastAsia" w:cstheme="minorHAnsi"/>
          <w:i/>
          <w:iCs/>
          <w:sz w:val="24"/>
          <w:szCs w:val="24"/>
          <w:lang w:val="en-GB" w:eastAsia="en-GB"/>
        </w:rPr>
        <w:t xml:space="preserve">he doctor forces the pharmacist to dispense the </w:t>
      </w:r>
      <w:r>
        <w:rPr>
          <w:rFonts w:eastAsiaTheme="minorEastAsia" w:cstheme="minorHAnsi"/>
          <w:i/>
          <w:iCs/>
          <w:sz w:val="24"/>
          <w:szCs w:val="24"/>
          <w:lang w:val="en-GB" w:eastAsia="en-GB"/>
        </w:rPr>
        <w:t>prescription</w:t>
      </w:r>
      <w:r w:rsidRPr="003F50BC">
        <w:rPr>
          <w:rFonts w:eastAsiaTheme="minorEastAsia" w:cstheme="minorHAnsi"/>
          <w:i/>
          <w:iCs/>
          <w:sz w:val="24"/>
          <w:szCs w:val="24"/>
          <w:lang w:val="en-GB" w:eastAsia="en-GB"/>
        </w:rPr>
        <w:t xml:space="preserve"> even if there is a medication error. The pharmacist is, in this case, obliged to dispense the prescription to the patient waiting at the window and resolve any prescribing errors later if there is an opportunity to do so.</w:t>
      </w:r>
      <w:r>
        <w:rPr>
          <w:rFonts w:eastAsiaTheme="minorEastAsia" w:cstheme="minorHAnsi"/>
          <w:i/>
          <w:iCs/>
          <w:sz w:val="24"/>
          <w:szCs w:val="24"/>
          <w:lang w:val="en-GB" w:eastAsia="en-GB"/>
        </w:rPr>
        <w:t>’</w:t>
      </w:r>
      <w:r w:rsidRPr="003F50BC">
        <w:rPr>
          <w:rFonts w:eastAsiaTheme="minorEastAsia" w:cstheme="minorHAnsi"/>
          <w:i/>
          <w:iCs/>
          <w:sz w:val="24"/>
          <w:szCs w:val="24"/>
          <w:lang w:val="en-GB" w:eastAsia="en-GB"/>
        </w:rPr>
        <w:t xml:space="preserve"> Ph1</w:t>
      </w:r>
    </w:p>
    <w:p w14:paraId="394FF95F" w14:textId="77777777" w:rsidR="00821B82" w:rsidRPr="003F50BC"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3F50BC">
        <w:rPr>
          <w:rFonts w:eastAsiaTheme="minorEastAsia" w:cstheme="minorHAnsi"/>
          <w:i/>
          <w:iCs/>
          <w:sz w:val="24"/>
          <w:szCs w:val="24"/>
          <w:lang w:val="en-GB" w:eastAsia="en-GB"/>
        </w:rPr>
        <w:t xml:space="preserve">In PHCs, it was difficult to review /check the patient’s health record during the dispensing process, as the patient's health record at that time was a paper file and usually present in the doctor’s office, so it </w:t>
      </w:r>
      <w:r>
        <w:rPr>
          <w:rFonts w:eastAsiaTheme="minorEastAsia" w:cstheme="minorHAnsi"/>
          <w:i/>
          <w:iCs/>
          <w:sz w:val="24"/>
          <w:szCs w:val="24"/>
          <w:lang w:val="en-GB" w:eastAsia="en-GB"/>
        </w:rPr>
        <w:t>wa</w:t>
      </w:r>
      <w:r w:rsidRPr="003F50BC">
        <w:rPr>
          <w:rFonts w:eastAsiaTheme="minorEastAsia" w:cstheme="minorHAnsi"/>
          <w:i/>
          <w:iCs/>
          <w:sz w:val="24"/>
          <w:szCs w:val="24"/>
          <w:lang w:val="en-GB" w:eastAsia="en-GB"/>
        </w:rPr>
        <w:t xml:space="preserve">s difficult to bring it to the pharmacy and review it before the dispensing the Rx, so the fastest way was to communicate by phone with the doctor to inquire about the reason for the changes in the treatment plan. While now in the hospital, the situation is entirely different; the system is digitalised, the prescriptions are electronic, and </w:t>
      </w:r>
      <w:r>
        <w:rPr>
          <w:rFonts w:eastAsiaTheme="minorEastAsia" w:cstheme="minorHAnsi"/>
          <w:i/>
          <w:iCs/>
          <w:sz w:val="24"/>
          <w:szCs w:val="24"/>
          <w:lang w:val="en-GB" w:eastAsia="en-GB"/>
        </w:rPr>
        <w:t xml:space="preserve">I have </w:t>
      </w:r>
      <w:r w:rsidRPr="003F50BC">
        <w:rPr>
          <w:rFonts w:eastAsiaTheme="minorEastAsia" w:cstheme="minorHAnsi"/>
          <w:i/>
          <w:iCs/>
          <w:sz w:val="24"/>
          <w:szCs w:val="24"/>
          <w:lang w:val="en-GB" w:eastAsia="en-GB"/>
        </w:rPr>
        <w:t>the ability to access the patient’s health record to see all the information I need to make sure that the medications prescribed to the patient are correct. The system is completely different in the PHCs than in the hospital.</w:t>
      </w:r>
      <w:r>
        <w:rPr>
          <w:rFonts w:eastAsiaTheme="minorEastAsia" w:cstheme="minorHAnsi"/>
          <w:i/>
          <w:iCs/>
          <w:sz w:val="24"/>
          <w:szCs w:val="24"/>
          <w:lang w:val="en-GB" w:eastAsia="en-GB"/>
        </w:rPr>
        <w:t>’</w:t>
      </w:r>
      <w:r w:rsidRPr="003F50BC">
        <w:rPr>
          <w:rFonts w:eastAsiaTheme="minorEastAsia" w:cstheme="minorHAnsi"/>
          <w:i/>
          <w:iCs/>
          <w:sz w:val="24"/>
          <w:szCs w:val="24"/>
          <w:lang w:val="en-GB" w:eastAsia="en-GB"/>
        </w:rPr>
        <w:t xml:space="preserve"> Ph1</w:t>
      </w:r>
    </w:p>
    <w:p w14:paraId="4C1E8B33" w14:textId="77777777" w:rsidR="00821B82" w:rsidRDefault="00821B82" w:rsidP="00821B82">
      <w:pPr>
        <w:shd w:val="clear" w:color="auto" w:fill="FFFFFF"/>
        <w:spacing w:after="0" w:line="360" w:lineRule="auto"/>
        <w:jc w:val="both"/>
        <w:rPr>
          <w:rFonts w:asciiTheme="minorBidi" w:eastAsiaTheme="minorEastAsia" w:hAnsiTheme="minorBidi"/>
          <w:b/>
          <w:bCs/>
          <w:sz w:val="24"/>
          <w:szCs w:val="24"/>
          <w:lang w:eastAsia="en-GB"/>
        </w:rPr>
      </w:pPr>
    </w:p>
    <w:p w14:paraId="4ACF0DA0" w14:textId="77777777" w:rsidR="00821B82" w:rsidRPr="00E25EF5" w:rsidRDefault="00821B82" w:rsidP="00E25EF5">
      <w:pPr>
        <w:pStyle w:val="Heading6"/>
        <w:spacing w:after="240" w:line="360" w:lineRule="auto"/>
        <w:rPr>
          <w:rFonts w:asciiTheme="minorBidi" w:eastAsiaTheme="minorEastAsia" w:hAnsiTheme="minorBidi" w:cstheme="minorBidi"/>
          <w:sz w:val="24"/>
          <w:szCs w:val="24"/>
          <w:lang w:eastAsia="en-GB"/>
        </w:rPr>
      </w:pPr>
      <w:r w:rsidRPr="00E25EF5">
        <w:rPr>
          <w:rFonts w:asciiTheme="minorBidi" w:eastAsiaTheme="minorEastAsia" w:hAnsiTheme="minorBidi" w:cstheme="minorBidi"/>
          <w:sz w:val="24"/>
          <w:szCs w:val="24"/>
          <w:lang w:eastAsia="en-GB"/>
        </w:rPr>
        <w:t xml:space="preserve">Regulation and legislation issues </w:t>
      </w:r>
    </w:p>
    <w:p w14:paraId="044A94C3" w14:textId="77777777" w:rsidR="00821B82" w:rsidRPr="00E25EF5" w:rsidRDefault="00821B82" w:rsidP="00E25EF5">
      <w:pPr>
        <w:pStyle w:val="Heading7"/>
        <w:spacing w:after="240" w:line="360" w:lineRule="auto"/>
        <w:rPr>
          <w:rFonts w:asciiTheme="minorBidi" w:hAnsiTheme="minorBidi" w:cstheme="minorBidi"/>
          <w:sz w:val="24"/>
          <w:szCs w:val="24"/>
        </w:rPr>
      </w:pPr>
      <w:r w:rsidRPr="00E25EF5">
        <w:rPr>
          <w:rFonts w:asciiTheme="minorBidi" w:hAnsiTheme="minorBidi" w:cstheme="minorBidi"/>
          <w:sz w:val="24"/>
          <w:szCs w:val="24"/>
        </w:rPr>
        <w:t xml:space="preserve">Lack of well-defined pharmacists’ role </w:t>
      </w:r>
    </w:p>
    <w:p w14:paraId="3C39A3F4" w14:textId="77777777" w:rsidR="00821B82" w:rsidRPr="005E04CF" w:rsidRDefault="00821B82" w:rsidP="00821B82">
      <w:pPr>
        <w:shd w:val="clear" w:color="auto" w:fill="FFFFFF"/>
        <w:spacing w:after="0" w:line="360" w:lineRule="auto"/>
        <w:jc w:val="both"/>
        <w:rPr>
          <w:rFonts w:asciiTheme="minorBidi" w:eastAsiaTheme="minorEastAsia" w:hAnsiTheme="minorBidi"/>
          <w:sz w:val="24"/>
          <w:szCs w:val="24"/>
          <w:lang w:eastAsia="en-GB"/>
        </w:rPr>
      </w:pPr>
      <w:r w:rsidRPr="005E04CF">
        <w:rPr>
          <w:rFonts w:asciiTheme="minorBidi" w:eastAsiaTheme="minorEastAsia" w:hAnsiTheme="minorBidi"/>
          <w:sz w:val="24"/>
          <w:szCs w:val="24"/>
          <w:lang w:eastAsia="en-GB"/>
        </w:rPr>
        <w:t>A pharmacist highlighted this issue in the following quote</w:t>
      </w:r>
      <w:r>
        <w:rPr>
          <w:rFonts w:asciiTheme="minorBidi" w:eastAsiaTheme="minorEastAsia" w:hAnsiTheme="minorBidi"/>
          <w:sz w:val="24"/>
          <w:szCs w:val="24"/>
          <w:lang w:eastAsia="en-GB"/>
        </w:rPr>
        <w:t>.</w:t>
      </w:r>
    </w:p>
    <w:p w14:paraId="0A539A71" w14:textId="77777777" w:rsidR="00821B82" w:rsidRDefault="00821B82" w:rsidP="00821B82">
      <w:pPr>
        <w:shd w:val="clear" w:color="auto" w:fill="FFFFFF"/>
        <w:spacing w:after="0"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eastAsia="en-GB"/>
        </w:rPr>
        <w:t>‘</w:t>
      </w:r>
      <w:r w:rsidRPr="003413D8">
        <w:rPr>
          <w:rFonts w:eastAsiaTheme="minorEastAsia" w:cstheme="minorHAnsi"/>
          <w:i/>
          <w:iCs/>
          <w:sz w:val="24"/>
          <w:szCs w:val="24"/>
          <w:lang w:val="en-GB" w:eastAsia="en-GB"/>
        </w:rPr>
        <w:t>There was no difference between the pharmacist's role and the role of the pharmacy technician</w:t>
      </w:r>
      <w:r>
        <w:rPr>
          <w:rFonts w:eastAsiaTheme="minorEastAsia" w:cstheme="minorHAnsi"/>
          <w:i/>
          <w:iCs/>
          <w:sz w:val="24"/>
          <w:szCs w:val="24"/>
          <w:lang w:val="en-GB" w:eastAsia="en-GB"/>
        </w:rPr>
        <w:t>’</w:t>
      </w:r>
      <w:r w:rsidRPr="003413D8">
        <w:rPr>
          <w:rFonts w:eastAsiaTheme="minorEastAsia" w:cstheme="minorHAnsi"/>
          <w:i/>
          <w:iCs/>
          <w:sz w:val="24"/>
          <w:szCs w:val="24"/>
          <w:lang w:val="en-GB" w:eastAsia="en-GB"/>
        </w:rPr>
        <w:t>. P</w:t>
      </w:r>
      <w:r>
        <w:rPr>
          <w:rFonts w:eastAsiaTheme="minorEastAsia" w:cstheme="minorHAnsi"/>
          <w:i/>
          <w:iCs/>
          <w:sz w:val="24"/>
          <w:szCs w:val="24"/>
          <w:lang w:val="en-GB" w:eastAsia="en-GB"/>
        </w:rPr>
        <w:t>h</w:t>
      </w:r>
      <w:r w:rsidRPr="003413D8">
        <w:rPr>
          <w:rFonts w:eastAsiaTheme="minorEastAsia" w:cstheme="minorHAnsi"/>
          <w:i/>
          <w:iCs/>
          <w:sz w:val="24"/>
          <w:szCs w:val="24"/>
          <w:lang w:val="en-GB" w:eastAsia="en-GB"/>
        </w:rPr>
        <w:t>1</w:t>
      </w:r>
    </w:p>
    <w:p w14:paraId="44588983" w14:textId="77777777" w:rsidR="00821B82" w:rsidRPr="00255043" w:rsidRDefault="00821B82" w:rsidP="00821B82">
      <w:pPr>
        <w:shd w:val="clear" w:color="auto" w:fill="FFFFFF"/>
        <w:spacing w:after="0" w:line="240" w:lineRule="auto"/>
        <w:ind w:left="720"/>
        <w:jc w:val="both"/>
        <w:rPr>
          <w:rFonts w:eastAsiaTheme="minorEastAsia" w:cstheme="minorHAnsi"/>
          <w:i/>
          <w:iCs/>
          <w:sz w:val="24"/>
          <w:szCs w:val="24"/>
          <w:lang w:val="en-GB" w:eastAsia="en-GB"/>
        </w:rPr>
      </w:pPr>
    </w:p>
    <w:p w14:paraId="13A043BB" w14:textId="77777777" w:rsidR="00821B82" w:rsidRPr="00E25EF5" w:rsidRDefault="00821B82" w:rsidP="00E25EF5">
      <w:pPr>
        <w:pStyle w:val="Heading7"/>
        <w:spacing w:after="240" w:line="360" w:lineRule="auto"/>
        <w:rPr>
          <w:rFonts w:asciiTheme="minorBidi" w:hAnsiTheme="minorBidi" w:cstheme="minorBidi"/>
          <w:sz w:val="24"/>
          <w:szCs w:val="24"/>
          <w:lang w:eastAsia="en-GB"/>
        </w:rPr>
      </w:pPr>
      <w:r w:rsidRPr="00E25EF5">
        <w:rPr>
          <w:rFonts w:asciiTheme="minorBidi" w:hAnsiTheme="minorBidi" w:cstheme="minorBidi"/>
          <w:sz w:val="24"/>
          <w:szCs w:val="24"/>
          <w:lang w:eastAsia="en-GB"/>
        </w:rPr>
        <w:t xml:space="preserve">Eligibility to provide ambulatory/ primary care pharmacy services </w:t>
      </w:r>
    </w:p>
    <w:p w14:paraId="065307F2" w14:textId="77777777" w:rsidR="00821B82" w:rsidRDefault="00821B82" w:rsidP="00821B82">
      <w:pPr>
        <w:keepNext/>
        <w:spacing w:line="360" w:lineRule="auto"/>
        <w:jc w:val="both"/>
        <w:rPr>
          <w:rFonts w:asciiTheme="minorBidi" w:hAnsiTheme="minorBidi"/>
          <w:sz w:val="24"/>
          <w:szCs w:val="24"/>
          <w:lang w:eastAsia="en-GB"/>
        </w:rPr>
      </w:pPr>
      <w:r w:rsidRPr="005418E8">
        <w:rPr>
          <w:rFonts w:asciiTheme="minorBidi" w:hAnsiTheme="minorBidi"/>
          <w:sz w:val="24"/>
          <w:szCs w:val="24"/>
          <w:lang w:eastAsia="en-GB"/>
        </w:rPr>
        <w:t>One</w:t>
      </w:r>
      <w:r w:rsidRPr="00AF09B3">
        <w:rPr>
          <w:rFonts w:asciiTheme="minorBidi" w:hAnsiTheme="minorBidi"/>
          <w:sz w:val="24"/>
          <w:szCs w:val="24"/>
          <w:lang w:eastAsia="en-GB"/>
        </w:rPr>
        <w:t xml:space="preserve"> interviewee argued that </w:t>
      </w:r>
      <w:r>
        <w:rPr>
          <w:rFonts w:asciiTheme="minorBidi" w:hAnsiTheme="minorBidi"/>
          <w:sz w:val="24"/>
          <w:szCs w:val="24"/>
          <w:lang w:eastAsia="en-GB"/>
        </w:rPr>
        <w:t>l</w:t>
      </w:r>
      <w:r w:rsidRPr="0055674E">
        <w:rPr>
          <w:rFonts w:asciiTheme="minorBidi" w:hAnsiTheme="minorBidi"/>
          <w:sz w:val="24"/>
          <w:szCs w:val="24"/>
          <w:lang w:eastAsia="en-GB"/>
        </w:rPr>
        <w:t xml:space="preserve">ack of qualified clinical pharmacists, </w:t>
      </w:r>
      <w:r>
        <w:rPr>
          <w:rFonts w:asciiTheme="minorBidi" w:hAnsiTheme="minorBidi"/>
          <w:sz w:val="24"/>
          <w:szCs w:val="24"/>
          <w:lang w:eastAsia="en-GB"/>
        </w:rPr>
        <w:t xml:space="preserve">those </w:t>
      </w:r>
      <w:r w:rsidRPr="0055674E">
        <w:rPr>
          <w:rFonts w:asciiTheme="minorBidi" w:hAnsiTheme="minorBidi"/>
          <w:sz w:val="24"/>
          <w:szCs w:val="24"/>
          <w:lang w:eastAsia="en-GB"/>
        </w:rPr>
        <w:t>holding a Doctor of Pharmacy (Pharm</w:t>
      </w:r>
      <w:r>
        <w:rPr>
          <w:rFonts w:asciiTheme="minorBidi" w:hAnsiTheme="minorBidi"/>
          <w:sz w:val="24"/>
          <w:szCs w:val="24"/>
          <w:lang w:eastAsia="en-GB"/>
        </w:rPr>
        <w:t>D</w:t>
      </w:r>
      <w:r w:rsidRPr="0055674E">
        <w:rPr>
          <w:rFonts w:asciiTheme="minorBidi" w:hAnsiTheme="minorBidi"/>
          <w:sz w:val="24"/>
          <w:szCs w:val="24"/>
          <w:lang w:eastAsia="en-GB"/>
        </w:rPr>
        <w:t>) or Master of Clinical Pharmacy degree</w:t>
      </w:r>
      <w:r>
        <w:rPr>
          <w:rFonts w:asciiTheme="minorBidi" w:hAnsiTheme="minorBidi"/>
          <w:sz w:val="24"/>
          <w:szCs w:val="24"/>
          <w:lang w:eastAsia="en-GB"/>
        </w:rPr>
        <w:t>,</w:t>
      </w:r>
      <w:r w:rsidRPr="0055674E">
        <w:rPr>
          <w:rFonts w:asciiTheme="minorBidi" w:hAnsiTheme="minorBidi"/>
          <w:sz w:val="24"/>
          <w:szCs w:val="24"/>
          <w:lang w:eastAsia="en-GB"/>
        </w:rPr>
        <w:t xml:space="preserve"> or resident pharmacist</w:t>
      </w:r>
      <w:r>
        <w:rPr>
          <w:rFonts w:asciiTheme="minorBidi" w:hAnsiTheme="minorBidi"/>
          <w:sz w:val="24"/>
          <w:szCs w:val="24"/>
          <w:lang w:eastAsia="en-GB"/>
        </w:rPr>
        <w:t>s</w:t>
      </w:r>
      <w:r w:rsidRPr="0055674E">
        <w:rPr>
          <w:rFonts w:asciiTheme="minorBidi" w:hAnsiTheme="minorBidi"/>
          <w:sz w:val="24"/>
          <w:szCs w:val="24"/>
          <w:lang w:eastAsia="en-GB"/>
        </w:rPr>
        <w:t xml:space="preserve"> with a postgraduate specialty such as the Saudi Diploma in General Clinical Pharmacy, which is considered equivalent to the PGY1 level in the USA, was a barrier to </w:t>
      </w:r>
      <w:r>
        <w:rPr>
          <w:rFonts w:asciiTheme="minorBidi" w:hAnsiTheme="minorBidi"/>
          <w:sz w:val="24"/>
          <w:szCs w:val="24"/>
          <w:lang w:eastAsia="en-GB"/>
        </w:rPr>
        <w:t xml:space="preserve">pharmacists </w:t>
      </w:r>
      <w:r w:rsidRPr="0055674E">
        <w:rPr>
          <w:rFonts w:asciiTheme="minorBidi" w:hAnsiTheme="minorBidi"/>
          <w:sz w:val="24"/>
          <w:szCs w:val="24"/>
          <w:lang w:eastAsia="en-GB"/>
        </w:rPr>
        <w:t>providing clinical services to patients. The finding showed that a primary care pharmacy is usually managed by a pharmacist with a bachelor's degree in pharmacy or a pharmacy technician with a diploma in pharmacy.</w:t>
      </w:r>
      <w:r>
        <w:rPr>
          <w:rFonts w:asciiTheme="minorBidi" w:hAnsiTheme="minorBidi"/>
          <w:sz w:val="24"/>
          <w:szCs w:val="24"/>
          <w:lang w:eastAsia="en-GB"/>
        </w:rPr>
        <w:t xml:space="preserve"> </w:t>
      </w:r>
      <w:r w:rsidRPr="00C721B4">
        <w:rPr>
          <w:rFonts w:asciiTheme="minorBidi" w:hAnsiTheme="minorBidi"/>
          <w:sz w:val="24"/>
          <w:szCs w:val="24"/>
          <w:lang w:eastAsia="en-GB"/>
        </w:rPr>
        <w:t xml:space="preserve">It is </w:t>
      </w:r>
      <w:r>
        <w:rPr>
          <w:rFonts w:asciiTheme="minorBidi" w:hAnsiTheme="minorBidi"/>
          <w:sz w:val="24"/>
          <w:szCs w:val="24"/>
          <w:lang w:eastAsia="en-GB"/>
        </w:rPr>
        <w:t xml:space="preserve">from the interviews whether </w:t>
      </w:r>
      <w:r w:rsidRPr="00C721B4">
        <w:rPr>
          <w:rFonts w:asciiTheme="minorBidi" w:hAnsiTheme="minorBidi"/>
          <w:sz w:val="24"/>
          <w:szCs w:val="24"/>
          <w:lang w:eastAsia="en-GB"/>
        </w:rPr>
        <w:t xml:space="preserve">pharmacists are </w:t>
      </w:r>
      <w:r>
        <w:rPr>
          <w:rFonts w:asciiTheme="minorBidi" w:hAnsiTheme="minorBidi"/>
          <w:sz w:val="24"/>
          <w:szCs w:val="24"/>
          <w:lang w:eastAsia="en-GB"/>
        </w:rPr>
        <w:t>forbidden from</w:t>
      </w:r>
      <w:r w:rsidRPr="00C721B4">
        <w:rPr>
          <w:rFonts w:asciiTheme="minorBidi" w:hAnsiTheme="minorBidi"/>
          <w:sz w:val="24"/>
          <w:szCs w:val="24"/>
          <w:lang w:eastAsia="en-GB"/>
        </w:rPr>
        <w:t xml:space="preserve"> </w:t>
      </w:r>
      <w:r>
        <w:rPr>
          <w:rFonts w:asciiTheme="minorBidi" w:hAnsiTheme="minorBidi"/>
          <w:sz w:val="24"/>
          <w:szCs w:val="24"/>
          <w:lang w:eastAsia="en-GB"/>
        </w:rPr>
        <w:t>undertaking</w:t>
      </w:r>
      <w:r w:rsidRPr="00C721B4">
        <w:rPr>
          <w:rFonts w:asciiTheme="minorBidi" w:hAnsiTheme="minorBidi"/>
          <w:sz w:val="24"/>
          <w:szCs w:val="24"/>
          <w:lang w:eastAsia="en-GB"/>
        </w:rPr>
        <w:t xml:space="preserve"> clinical roles in </w:t>
      </w:r>
      <w:r>
        <w:rPr>
          <w:rFonts w:asciiTheme="minorBidi" w:hAnsiTheme="minorBidi"/>
          <w:sz w:val="24"/>
          <w:szCs w:val="24"/>
          <w:lang w:eastAsia="en-GB"/>
        </w:rPr>
        <w:t>PHCs</w:t>
      </w:r>
      <w:r w:rsidRPr="00C721B4">
        <w:rPr>
          <w:rFonts w:asciiTheme="minorBidi" w:hAnsiTheme="minorBidi"/>
          <w:sz w:val="24"/>
          <w:szCs w:val="24"/>
          <w:lang w:eastAsia="en-GB"/>
        </w:rPr>
        <w:t xml:space="preserve"> as only one participant indicated that the system does not allow this, and when asked about the competence and ability of a primary care pharmacist to do so, she replied that a pharmacist could perform these roles, but the lack of staff limits th</w:t>
      </w:r>
      <w:r>
        <w:rPr>
          <w:rFonts w:asciiTheme="minorBidi" w:hAnsiTheme="minorBidi"/>
          <w:sz w:val="24"/>
          <w:szCs w:val="24"/>
          <w:lang w:eastAsia="en-GB"/>
        </w:rPr>
        <w:t>e opportunities:</w:t>
      </w:r>
    </w:p>
    <w:p w14:paraId="3A648C6E" w14:textId="77777777" w:rsidR="00821B82" w:rsidRPr="00321489" w:rsidRDefault="00821B82" w:rsidP="00821B82">
      <w:pPr>
        <w:spacing w:before="100" w:beforeAutospacing="1" w:after="100" w:afterAutospacing="1"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321489">
        <w:rPr>
          <w:rFonts w:eastAsiaTheme="minorEastAsia" w:cstheme="minorHAnsi"/>
          <w:i/>
          <w:iCs/>
          <w:sz w:val="24"/>
          <w:szCs w:val="24"/>
          <w:lang w:val="en-GB" w:eastAsia="en-GB"/>
        </w:rPr>
        <w:t>Clinical services are not the duty of pharmacists as there were no clinical pharmacists in PHCs</w:t>
      </w:r>
      <w:r>
        <w:rPr>
          <w:rFonts w:eastAsiaTheme="minorEastAsia" w:cstheme="minorHAnsi"/>
          <w:i/>
          <w:iCs/>
          <w:sz w:val="24"/>
          <w:szCs w:val="24"/>
          <w:lang w:val="en-GB" w:eastAsia="en-GB"/>
        </w:rPr>
        <w:t xml:space="preserve"> </w:t>
      </w:r>
      <w:r w:rsidRPr="0049183A">
        <w:rPr>
          <w:rFonts w:eastAsiaTheme="minorEastAsia" w:cstheme="minorHAnsi"/>
          <w:i/>
          <w:iCs/>
          <w:sz w:val="24"/>
          <w:szCs w:val="24"/>
          <w:lang w:val="en-GB" w:eastAsia="en-GB"/>
        </w:rPr>
        <w:t>[…]</w:t>
      </w:r>
      <w:r>
        <w:rPr>
          <w:rFonts w:eastAsiaTheme="minorEastAsia" w:cstheme="minorHAnsi"/>
          <w:i/>
          <w:iCs/>
          <w:sz w:val="24"/>
          <w:szCs w:val="24"/>
          <w:lang w:val="en-GB" w:eastAsia="en-GB"/>
        </w:rPr>
        <w:t xml:space="preserve"> </w:t>
      </w:r>
      <w:r w:rsidRPr="00321489">
        <w:rPr>
          <w:rFonts w:eastAsiaTheme="minorEastAsia" w:cstheme="minorHAnsi"/>
          <w:i/>
          <w:iCs/>
          <w:sz w:val="24"/>
          <w:szCs w:val="24"/>
          <w:lang w:val="en-GB" w:eastAsia="en-GB"/>
        </w:rPr>
        <w:t>The lack of clinical pharmacists in the PHCs is a barrier</w:t>
      </w:r>
      <w:r>
        <w:rPr>
          <w:rFonts w:eastAsiaTheme="minorEastAsia" w:cstheme="minorHAnsi"/>
          <w:i/>
          <w:iCs/>
          <w:sz w:val="24"/>
          <w:szCs w:val="24"/>
          <w:lang w:val="en-GB" w:eastAsia="en-GB"/>
        </w:rPr>
        <w:t xml:space="preserve"> </w:t>
      </w:r>
      <w:r w:rsidRPr="0049183A">
        <w:rPr>
          <w:rFonts w:eastAsiaTheme="minorEastAsia" w:cstheme="minorHAnsi"/>
          <w:i/>
          <w:iCs/>
          <w:sz w:val="24"/>
          <w:szCs w:val="24"/>
          <w:lang w:val="en-GB" w:eastAsia="en-GB"/>
        </w:rPr>
        <w:t>[…]</w:t>
      </w:r>
      <w:r>
        <w:rPr>
          <w:rFonts w:eastAsiaTheme="minorEastAsia" w:cstheme="minorHAnsi"/>
          <w:i/>
          <w:iCs/>
          <w:sz w:val="24"/>
          <w:szCs w:val="24"/>
          <w:lang w:val="en-GB" w:eastAsia="en-GB"/>
        </w:rPr>
        <w:t xml:space="preserve"> </w:t>
      </w:r>
      <w:r w:rsidRPr="00321489">
        <w:rPr>
          <w:rFonts w:eastAsiaTheme="minorEastAsia" w:cstheme="minorHAnsi"/>
          <w:i/>
          <w:iCs/>
          <w:sz w:val="24"/>
          <w:szCs w:val="24"/>
          <w:lang w:val="en-GB" w:eastAsia="en-GB"/>
        </w:rPr>
        <w:t>The system does not allow these (clinical) services to be provided</w:t>
      </w:r>
      <w:r>
        <w:rPr>
          <w:rFonts w:eastAsiaTheme="minorEastAsia" w:cstheme="minorHAnsi"/>
          <w:i/>
          <w:iCs/>
          <w:sz w:val="24"/>
          <w:szCs w:val="24"/>
          <w:lang w:val="en-GB" w:eastAsia="en-GB"/>
        </w:rPr>
        <w:t xml:space="preserve">’ </w:t>
      </w:r>
      <w:r w:rsidRPr="00321489">
        <w:rPr>
          <w:rFonts w:eastAsiaTheme="minorEastAsia" w:cstheme="minorHAnsi"/>
          <w:i/>
          <w:iCs/>
          <w:sz w:val="24"/>
          <w:szCs w:val="24"/>
          <w:lang w:val="en-GB" w:eastAsia="en-GB"/>
        </w:rPr>
        <w:t>Ph3</w:t>
      </w:r>
    </w:p>
    <w:p w14:paraId="3E6C36AC" w14:textId="77777777" w:rsidR="00821B82" w:rsidRDefault="00821B82" w:rsidP="00821B82">
      <w:pPr>
        <w:shd w:val="clear" w:color="auto" w:fill="FFFFFF"/>
        <w:spacing w:before="240" w:line="360" w:lineRule="auto"/>
        <w:jc w:val="both"/>
        <w:rPr>
          <w:rFonts w:asciiTheme="minorBidi" w:eastAsiaTheme="minorEastAsia" w:hAnsiTheme="minorBidi"/>
          <w:sz w:val="24"/>
          <w:szCs w:val="24"/>
          <w:rtl/>
          <w:lang w:eastAsia="en-GB"/>
        </w:rPr>
      </w:pPr>
      <w:r w:rsidRPr="007F3BB6">
        <w:rPr>
          <w:rFonts w:asciiTheme="minorBidi" w:eastAsiaTheme="minorEastAsia" w:hAnsiTheme="minorBidi"/>
          <w:sz w:val="24"/>
          <w:szCs w:val="24"/>
          <w:lang w:eastAsia="en-GB"/>
        </w:rPr>
        <w:t xml:space="preserve">Another pharmacist </w:t>
      </w:r>
      <w:r>
        <w:rPr>
          <w:rFonts w:asciiTheme="minorBidi" w:eastAsiaTheme="minorEastAsia" w:hAnsiTheme="minorBidi"/>
          <w:sz w:val="24"/>
          <w:szCs w:val="24"/>
          <w:lang w:eastAsia="en-GB"/>
        </w:rPr>
        <w:t>offered</w:t>
      </w:r>
      <w:r w:rsidRPr="007F3BB6">
        <w:rPr>
          <w:rFonts w:asciiTheme="minorBidi" w:eastAsiaTheme="minorEastAsia" w:hAnsiTheme="minorBidi"/>
          <w:sz w:val="24"/>
          <w:szCs w:val="24"/>
          <w:lang w:eastAsia="en-GB"/>
        </w:rPr>
        <w:t xml:space="preserve"> a different </w:t>
      </w:r>
      <w:r>
        <w:rPr>
          <w:rFonts w:asciiTheme="minorBidi" w:eastAsiaTheme="minorEastAsia" w:hAnsiTheme="minorBidi"/>
          <w:sz w:val="24"/>
          <w:szCs w:val="24"/>
          <w:lang w:eastAsia="en-GB"/>
        </w:rPr>
        <w:t>perspective</w:t>
      </w:r>
      <w:r w:rsidRPr="007F3BB6">
        <w:rPr>
          <w:rFonts w:asciiTheme="minorBidi" w:eastAsiaTheme="minorEastAsia" w:hAnsiTheme="minorBidi"/>
          <w:sz w:val="24"/>
          <w:szCs w:val="24"/>
          <w:lang w:eastAsia="en-GB"/>
        </w:rPr>
        <w:t xml:space="preserve"> regarding clinical pharmacy practice in </w:t>
      </w:r>
      <w:r>
        <w:rPr>
          <w:rFonts w:asciiTheme="minorBidi" w:eastAsiaTheme="minorEastAsia" w:hAnsiTheme="minorBidi"/>
          <w:sz w:val="24"/>
          <w:szCs w:val="24"/>
          <w:lang w:eastAsia="en-GB"/>
        </w:rPr>
        <w:t>PHCs</w:t>
      </w:r>
      <w:r w:rsidRPr="007F3BB6">
        <w:rPr>
          <w:rFonts w:asciiTheme="minorBidi" w:eastAsiaTheme="minorEastAsia" w:hAnsiTheme="minorBidi"/>
          <w:sz w:val="24"/>
          <w:szCs w:val="24"/>
          <w:lang w:eastAsia="en-GB"/>
        </w:rPr>
        <w:t xml:space="preserve">. From her experience working in </w:t>
      </w:r>
      <w:r>
        <w:rPr>
          <w:rFonts w:asciiTheme="minorBidi" w:eastAsiaTheme="minorEastAsia" w:hAnsiTheme="minorBidi"/>
          <w:sz w:val="24"/>
          <w:szCs w:val="24"/>
          <w:lang w:eastAsia="en-GB"/>
        </w:rPr>
        <w:t>PHCs</w:t>
      </w:r>
      <w:r w:rsidRPr="007F3BB6">
        <w:rPr>
          <w:rFonts w:asciiTheme="minorBidi" w:eastAsiaTheme="minorEastAsia" w:hAnsiTheme="minorBidi"/>
          <w:sz w:val="24"/>
          <w:szCs w:val="24"/>
          <w:lang w:eastAsia="en-GB"/>
        </w:rPr>
        <w:t>, she noted that the directives there urge the pharmacist to practice clinical pharmacy and participate in treatment plans for patient</w:t>
      </w:r>
      <w:r>
        <w:rPr>
          <w:rFonts w:asciiTheme="minorBidi" w:eastAsiaTheme="minorEastAsia" w:hAnsiTheme="minorBidi"/>
          <w:sz w:val="24"/>
          <w:szCs w:val="24"/>
          <w:lang w:eastAsia="en-GB"/>
        </w:rPr>
        <w:t>s</w:t>
      </w:r>
      <w:r w:rsidRPr="007F3BB6">
        <w:rPr>
          <w:rFonts w:asciiTheme="minorBidi" w:eastAsiaTheme="minorEastAsia" w:hAnsiTheme="minorBidi"/>
          <w:sz w:val="24"/>
          <w:szCs w:val="24"/>
          <w:lang w:eastAsia="en-GB"/>
        </w:rPr>
        <w:t>, as shown in the following quote</w:t>
      </w:r>
      <w:r>
        <w:rPr>
          <w:rFonts w:asciiTheme="minorBidi" w:eastAsiaTheme="minorEastAsia" w:hAnsiTheme="minorBidi"/>
          <w:sz w:val="24"/>
          <w:szCs w:val="24"/>
          <w:lang w:eastAsia="en-GB"/>
        </w:rPr>
        <w:t>:</w:t>
      </w:r>
    </w:p>
    <w:p w14:paraId="587A2EBD" w14:textId="77777777" w:rsidR="00821B82" w:rsidRPr="003413D8" w:rsidRDefault="00821B82" w:rsidP="00821B82">
      <w:pPr>
        <w:shd w:val="clear" w:color="auto" w:fill="FFFFFF"/>
        <w:spacing w:after="0"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‘A</w:t>
      </w:r>
      <w:r w:rsidRPr="003413D8">
        <w:rPr>
          <w:rFonts w:eastAsiaTheme="minorEastAsia" w:cstheme="minorHAnsi"/>
          <w:i/>
          <w:iCs/>
          <w:sz w:val="24"/>
          <w:szCs w:val="24"/>
          <w:lang w:val="en-GB" w:eastAsia="en-GB"/>
        </w:rPr>
        <w:t>ccording to the guideline, the pharmacist can be involved in providing clinical services, which plays an important role in treating patients. For example, pharmacists have to check lab results, such as checking kidney function tests. I did that before; I used to calculate an estimated glomerular filtration rate and check HbA1c level when I was in the PHC</w:t>
      </w:r>
      <w:r>
        <w:rPr>
          <w:rFonts w:eastAsiaTheme="minorEastAsia" w:cstheme="minorHAnsi"/>
          <w:i/>
          <w:iCs/>
          <w:sz w:val="24"/>
          <w:szCs w:val="24"/>
          <w:lang w:val="en-GB" w:eastAsia="en-GB"/>
        </w:rPr>
        <w:t>’</w:t>
      </w:r>
      <w:r w:rsidRPr="003413D8">
        <w:rPr>
          <w:rFonts w:eastAsiaTheme="minorEastAsia" w:cstheme="minorHAnsi"/>
          <w:i/>
          <w:iCs/>
          <w:sz w:val="24"/>
          <w:szCs w:val="24"/>
          <w:lang w:val="en-GB" w:eastAsia="en-GB"/>
        </w:rPr>
        <w:t xml:space="preserve"> Ph</w:t>
      </w:r>
      <w:r>
        <w:rPr>
          <w:rFonts w:eastAsiaTheme="minorEastAsia" w:cstheme="minorHAnsi"/>
          <w:i/>
          <w:iCs/>
          <w:sz w:val="24"/>
          <w:szCs w:val="24"/>
          <w:lang w:val="en-GB" w:eastAsia="en-GB"/>
        </w:rPr>
        <w:t>2</w:t>
      </w:r>
    </w:p>
    <w:p w14:paraId="625FE2B9" w14:textId="77777777" w:rsidR="00821B82" w:rsidRDefault="00821B82" w:rsidP="00821B82">
      <w:pPr>
        <w:shd w:val="clear" w:color="auto" w:fill="FFFFFF"/>
        <w:spacing w:after="0" w:line="360" w:lineRule="auto"/>
        <w:jc w:val="both"/>
        <w:rPr>
          <w:rFonts w:asciiTheme="minorBidi" w:eastAsiaTheme="minorEastAsia" w:hAnsiTheme="minorBidi"/>
          <w:b/>
          <w:bCs/>
          <w:sz w:val="24"/>
          <w:szCs w:val="24"/>
          <w:lang w:eastAsia="en-GB"/>
        </w:rPr>
      </w:pPr>
    </w:p>
    <w:p w14:paraId="1389B9C9" w14:textId="77777777" w:rsidR="00821B82" w:rsidRPr="00E25EF5" w:rsidRDefault="00821B82" w:rsidP="00E25EF5">
      <w:pPr>
        <w:pStyle w:val="Heading7"/>
        <w:spacing w:after="240" w:line="360" w:lineRule="auto"/>
        <w:rPr>
          <w:rFonts w:asciiTheme="minorBidi" w:hAnsiTheme="minorBidi" w:cstheme="minorBidi"/>
          <w:sz w:val="24"/>
          <w:szCs w:val="24"/>
          <w:lang w:eastAsia="en-GB"/>
        </w:rPr>
      </w:pPr>
      <w:r w:rsidRPr="00E25EF5">
        <w:rPr>
          <w:rFonts w:asciiTheme="minorBidi" w:eastAsiaTheme="minorEastAsia" w:hAnsiTheme="minorBidi" w:cstheme="minorBidi"/>
          <w:sz w:val="24"/>
          <w:szCs w:val="24"/>
          <w:lang w:eastAsia="en-GB"/>
        </w:rPr>
        <w:t xml:space="preserve">Policy and procedures </w:t>
      </w:r>
    </w:p>
    <w:p w14:paraId="25A9210C" w14:textId="77777777" w:rsidR="00821B82" w:rsidRDefault="00821B82" w:rsidP="00821B82">
      <w:pPr>
        <w:shd w:val="clear" w:color="auto" w:fill="FFFFFF"/>
        <w:spacing w:line="360" w:lineRule="auto"/>
        <w:jc w:val="both"/>
        <w:rPr>
          <w:rFonts w:asciiTheme="minorBidi" w:eastAsiaTheme="minorEastAsia" w:hAnsiTheme="minorBidi"/>
          <w:sz w:val="24"/>
          <w:szCs w:val="24"/>
          <w:lang w:eastAsia="en-GB"/>
        </w:rPr>
      </w:pPr>
      <w:r w:rsidRPr="00AA592E">
        <w:rPr>
          <w:rFonts w:asciiTheme="minorBidi" w:eastAsiaTheme="minorEastAsia" w:hAnsiTheme="minorBidi"/>
          <w:sz w:val="24"/>
          <w:szCs w:val="24"/>
          <w:lang w:eastAsia="en-GB"/>
        </w:rPr>
        <w:t xml:space="preserve">On the other hand, a nurse stated that the pharmacist’s practice of clinical activities is not stipulated in </w:t>
      </w:r>
      <w:r>
        <w:rPr>
          <w:rFonts w:asciiTheme="minorBidi" w:eastAsiaTheme="minorEastAsia" w:hAnsiTheme="minorBidi"/>
          <w:sz w:val="24"/>
          <w:szCs w:val="24"/>
          <w:lang w:eastAsia="en-GB"/>
        </w:rPr>
        <w:t>PHCs</w:t>
      </w:r>
      <w:r w:rsidRPr="00AA592E">
        <w:rPr>
          <w:rFonts w:asciiTheme="minorBidi" w:eastAsiaTheme="minorEastAsia" w:hAnsiTheme="minorBidi"/>
          <w:sz w:val="24"/>
          <w:szCs w:val="24"/>
          <w:lang w:eastAsia="en-GB"/>
        </w:rPr>
        <w:t xml:space="preserve">, which was consistent with what the pharmacist </w:t>
      </w:r>
      <w:r>
        <w:rPr>
          <w:rFonts w:asciiTheme="minorBidi" w:eastAsiaTheme="minorEastAsia" w:hAnsiTheme="minorBidi"/>
          <w:sz w:val="24"/>
          <w:szCs w:val="24"/>
          <w:lang w:eastAsia="en-GB"/>
        </w:rPr>
        <w:t xml:space="preserve">(Ph3) </w:t>
      </w:r>
      <w:r w:rsidRPr="00AA592E">
        <w:rPr>
          <w:rFonts w:asciiTheme="minorBidi" w:eastAsiaTheme="minorEastAsia" w:hAnsiTheme="minorBidi"/>
          <w:sz w:val="24"/>
          <w:szCs w:val="24"/>
          <w:lang w:eastAsia="en-GB"/>
        </w:rPr>
        <w:t>mentioned.</w:t>
      </w:r>
    </w:p>
    <w:p w14:paraId="646598B5" w14:textId="77777777" w:rsidR="00821B82" w:rsidRPr="003413D8" w:rsidRDefault="00821B82" w:rsidP="00821B82">
      <w:pPr>
        <w:shd w:val="clear" w:color="auto" w:fill="FFFFFF"/>
        <w:spacing w:after="0"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3413D8">
        <w:rPr>
          <w:rFonts w:eastAsiaTheme="minorEastAsia" w:cstheme="minorHAnsi"/>
          <w:i/>
          <w:iCs/>
          <w:sz w:val="24"/>
          <w:szCs w:val="24"/>
          <w:lang w:val="en-GB" w:eastAsia="en-GB"/>
        </w:rPr>
        <w:t>The role of pharmacists was limited. There was no protocol, no policy or procedures to enforce this, and no document (guidelines) that said a pharmacist should do these things. The situation depended on the pharmacist and his initiative in providing services to the patient other than dispensing treatment. Some explain to the patient, for example, the side effects, but not routinely and not for all patients.</w:t>
      </w:r>
      <w:r>
        <w:rPr>
          <w:rFonts w:eastAsiaTheme="minorEastAsia" w:cstheme="minorHAnsi"/>
          <w:i/>
          <w:iCs/>
          <w:sz w:val="24"/>
          <w:szCs w:val="24"/>
          <w:lang w:val="en-GB" w:eastAsia="en-GB"/>
        </w:rPr>
        <w:t>’</w:t>
      </w:r>
      <w:r w:rsidRPr="003413D8">
        <w:rPr>
          <w:rFonts w:eastAsiaTheme="minorEastAsia" w:cstheme="minorHAnsi"/>
          <w:i/>
          <w:iCs/>
          <w:sz w:val="24"/>
          <w:szCs w:val="24"/>
          <w:lang w:val="en-GB" w:eastAsia="en-GB"/>
        </w:rPr>
        <w:t xml:space="preserve"> N1</w:t>
      </w:r>
    </w:p>
    <w:p w14:paraId="28A03F4E" w14:textId="77777777" w:rsidR="00821B82" w:rsidRPr="00AA592E" w:rsidRDefault="00821B82" w:rsidP="00821B82">
      <w:pPr>
        <w:shd w:val="clear" w:color="auto" w:fill="FFFFFF"/>
        <w:spacing w:after="0" w:line="360" w:lineRule="auto"/>
        <w:rPr>
          <w:rFonts w:ascii="Gill Sans MT" w:eastAsiaTheme="minorEastAsia" w:hAnsi="Gill Sans MT"/>
          <w:i/>
          <w:iCs/>
          <w:sz w:val="24"/>
          <w:szCs w:val="24"/>
          <w:rtl/>
          <w:lang w:val="en-GB" w:eastAsia="en-GB"/>
        </w:rPr>
      </w:pPr>
    </w:p>
    <w:p w14:paraId="26A96E3A" w14:textId="77777777" w:rsidR="00821B82" w:rsidRPr="00E25EF5" w:rsidRDefault="00821B82" w:rsidP="00E25EF5">
      <w:pPr>
        <w:pStyle w:val="Heading7"/>
        <w:spacing w:after="240" w:line="360" w:lineRule="auto"/>
        <w:rPr>
          <w:rFonts w:asciiTheme="minorBidi" w:eastAsiaTheme="minorEastAsia" w:hAnsiTheme="minorBidi" w:cstheme="minorBidi"/>
          <w:sz w:val="24"/>
          <w:szCs w:val="24"/>
          <w:lang w:eastAsia="en-GB"/>
        </w:rPr>
      </w:pPr>
      <w:r w:rsidRPr="00E25EF5">
        <w:rPr>
          <w:rFonts w:asciiTheme="minorBidi" w:eastAsiaTheme="minorEastAsia" w:hAnsiTheme="minorBidi" w:cstheme="minorBidi"/>
          <w:sz w:val="24"/>
          <w:szCs w:val="24"/>
          <w:lang w:eastAsia="en-GB"/>
        </w:rPr>
        <w:t xml:space="preserve">Lack of key performance indicators to improve patient care in pharmacy </w:t>
      </w:r>
    </w:p>
    <w:p w14:paraId="4CF66735" w14:textId="77777777" w:rsidR="00821B82" w:rsidRDefault="00821B82" w:rsidP="00821B82">
      <w:pPr>
        <w:shd w:val="clear" w:color="auto" w:fill="FFFFFF"/>
        <w:spacing w:line="360" w:lineRule="auto"/>
        <w:jc w:val="both"/>
        <w:rPr>
          <w:rFonts w:asciiTheme="minorBidi" w:eastAsiaTheme="minorEastAsia" w:hAnsiTheme="minorBidi"/>
          <w:sz w:val="24"/>
          <w:szCs w:val="24"/>
          <w:lang w:eastAsia="en-GB"/>
        </w:rPr>
      </w:pPr>
      <w:r w:rsidRPr="00135E9F">
        <w:rPr>
          <w:rFonts w:asciiTheme="minorBidi" w:eastAsiaTheme="minorEastAsia" w:hAnsiTheme="minorBidi"/>
          <w:sz w:val="24"/>
          <w:szCs w:val="24"/>
          <w:lang w:eastAsia="en-GB"/>
        </w:rPr>
        <w:t>Participants argued that the lack of key performance</w:t>
      </w:r>
      <w:r w:rsidRPr="00F00D06">
        <w:rPr>
          <w:rFonts w:asciiTheme="minorBidi" w:eastAsiaTheme="minorEastAsia" w:hAnsiTheme="minorBidi"/>
          <w:sz w:val="24"/>
          <w:szCs w:val="24"/>
          <w:lang w:eastAsia="en-GB"/>
        </w:rPr>
        <w:t xml:space="preserve"> indicators (KPIs) measuring pharmaceutical care services also contributed to pharmacists not actively engaging in patient care. This argument was in line with the claim of other pharmacists interviewed that clinical services do not belong to their scope of service. The participants also mentioned that the lack of material and moral incentives discouraged pharmacists from providing advanced pharmacy services.</w:t>
      </w:r>
    </w:p>
    <w:p w14:paraId="23E248AD" w14:textId="77777777" w:rsidR="00821B82" w:rsidRDefault="00821B82" w:rsidP="00821B82">
      <w:pPr>
        <w:shd w:val="clear" w:color="auto" w:fill="FFFFFF"/>
        <w:spacing w:after="0"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3413D8">
        <w:rPr>
          <w:rFonts w:eastAsiaTheme="minorEastAsia" w:cstheme="minorHAnsi"/>
          <w:i/>
          <w:iCs/>
          <w:sz w:val="24"/>
          <w:szCs w:val="24"/>
          <w:lang w:val="en-GB" w:eastAsia="en-GB"/>
        </w:rPr>
        <w:t>We usually have KPI of available medication</w:t>
      </w:r>
      <w:r>
        <w:rPr>
          <w:rFonts w:eastAsiaTheme="minorEastAsia" w:cstheme="minorHAnsi"/>
          <w:i/>
          <w:iCs/>
          <w:sz w:val="24"/>
          <w:szCs w:val="24"/>
          <w:lang w:val="en-GB" w:eastAsia="en-GB"/>
        </w:rPr>
        <w:t>,</w:t>
      </w:r>
      <w:r w:rsidRPr="003413D8">
        <w:rPr>
          <w:rFonts w:eastAsiaTheme="minorEastAsia" w:cstheme="minorHAnsi"/>
          <w:i/>
          <w:iCs/>
          <w:sz w:val="24"/>
          <w:szCs w:val="24"/>
          <w:lang w:val="en-GB" w:eastAsia="en-GB"/>
        </w:rPr>
        <w:t xml:space="preserve"> we don't have KPI of those already educated or we're not looking for or it is not important for the director of any health care institution. To have it measure</w:t>
      </w:r>
      <w:r>
        <w:rPr>
          <w:rFonts w:eastAsiaTheme="minorEastAsia" w:cstheme="minorHAnsi"/>
          <w:i/>
          <w:iCs/>
          <w:sz w:val="24"/>
          <w:szCs w:val="24"/>
          <w:lang w:val="en-GB" w:eastAsia="en-GB"/>
        </w:rPr>
        <w:t>d</w:t>
      </w:r>
      <w:r w:rsidRPr="003413D8">
        <w:rPr>
          <w:rFonts w:eastAsiaTheme="minorEastAsia" w:cstheme="minorHAnsi"/>
          <w:i/>
          <w:iCs/>
          <w:sz w:val="24"/>
          <w:szCs w:val="24"/>
          <w:lang w:val="en-GB" w:eastAsia="en-GB"/>
        </w:rPr>
        <w:t xml:space="preserve"> I think it would improve the situation.</w:t>
      </w:r>
      <w:r>
        <w:rPr>
          <w:rFonts w:eastAsiaTheme="minorEastAsia" w:cstheme="minorHAnsi"/>
          <w:i/>
          <w:iCs/>
          <w:sz w:val="24"/>
          <w:szCs w:val="24"/>
          <w:lang w:val="en-GB" w:eastAsia="en-GB"/>
        </w:rPr>
        <w:t xml:space="preserve">’ </w:t>
      </w:r>
      <w:r w:rsidRPr="003413D8">
        <w:rPr>
          <w:rFonts w:eastAsiaTheme="minorEastAsia" w:cstheme="minorHAnsi"/>
          <w:i/>
          <w:iCs/>
          <w:sz w:val="24"/>
          <w:szCs w:val="24"/>
          <w:lang w:val="en-GB" w:eastAsia="en-GB"/>
        </w:rPr>
        <w:t>D2</w:t>
      </w:r>
    </w:p>
    <w:p w14:paraId="3B0AE852" w14:textId="77777777" w:rsidR="00821B82" w:rsidRPr="003413D8" w:rsidRDefault="00821B82" w:rsidP="00821B82">
      <w:pPr>
        <w:shd w:val="clear" w:color="auto" w:fill="FFFFFF"/>
        <w:spacing w:after="0" w:line="240" w:lineRule="auto"/>
        <w:jc w:val="both"/>
        <w:rPr>
          <w:rFonts w:eastAsiaTheme="minorEastAsia" w:cstheme="minorHAnsi"/>
          <w:i/>
          <w:iCs/>
          <w:sz w:val="24"/>
          <w:szCs w:val="24"/>
          <w:lang w:val="en-GB" w:eastAsia="en-GB"/>
        </w:rPr>
      </w:pPr>
    </w:p>
    <w:p w14:paraId="2C7F529B" w14:textId="77777777" w:rsidR="00821B82" w:rsidRDefault="00821B82" w:rsidP="00821B82">
      <w:pPr>
        <w:shd w:val="clear" w:color="auto" w:fill="FFFFFF"/>
        <w:spacing w:after="0"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3413D8">
        <w:rPr>
          <w:rFonts w:eastAsiaTheme="minorEastAsia" w:cstheme="minorHAnsi"/>
          <w:i/>
          <w:iCs/>
          <w:sz w:val="24"/>
          <w:szCs w:val="24"/>
          <w:lang w:val="en-GB" w:eastAsia="en-GB"/>
        </w:rPr>
        <w:t>If there is an obligation, law, protocol or policy, or follow-up and supervision of the work of pharmacists by the supervisory authorities, and measur</w:t>
      </w:r>
      <w:r>
        <w:rPr>
          <w:rFonts w:eastAsiaTheme="minorEastAsia" w:cstheme="minorHAnsi"/>
          <w:i/>
          <w:iCs/>
          <w:sz w:val="24"/>
          <w:szCs w:val="24"/>
          <w:lang w:val="en-GB" w:eastAsia="en-GB"/>
        </w:rPr>
        <w:t>ing</w:t>
      </w:r>
      <w:r w:rsidRPr="003413D8">
        <w:rPr>
          <w:rFonts w:eastAsiaTheme="minorEastAsia" w:cstheme="minorHAnsi"/>
          <w:i/>
          <w:iCs/>
          <w:sz w:val="24"/>
          <w:szCs w:val="24"/>
          <w:lang w:val="en-GB" w:eastAsia="en-GB"/>
        </w:rPr>
        <w:t xml:space="preserve"> consumer satisfaction</w:t>
      </w:r>
      <w:r>
        <w:rPr>
          <w:rFonts w:eastAsiaTheme="minorEastAsia" w:cstheme="minorHAnsi"/>
          <w:i/>
          <w:iCs/>
          <w:sz w:val="24"/>
          <w:szCs w:val="24"/>
          <w:lang w:val="en-GB" w:eastAsia="en-GB"/>
        </w:rPr>
        <w:t xml:space="preserve"> [..</w:t>
      </w:r>
      <w:r w:rsidRPr="003413D8">
        <w:rPr>
          <w:rFonts w:eastAsiaTheme="minorEastAsia" w:cstheme="minorHAnsi"/>
          <w:i/>
          <w:iCs/>
          <w:sz w:val="24"/>
          <w:szCs w:val="24"/>
          <w:lang w:val="en-GB" w:eastAsia="en-GB"/>
        </w:rPr>
        <w:t>.</w:t>
      </w:r>
      <w:r>
        <w:rPr>
          <w:rFonts w:eastAsiaTheme="minorEastAsia" w:cstheme="minorHAnsi"/>
          <w:i/>
          <w:iCs/>
          <w:sz w:val="24"/>
          <w:szCs w:val="24"/>
          <w:lang w:val="en-GB" w:eastAsia="en-GB"/>
        </w:rPr>
        <w:t>]</w:t>
      </w:r>
      <w:r w:rsidRPr="003413D8">
        <w:rPr>
          <w:rFonts w:eastAsiaTheme="minorEastAsia" w:cstheme="minorHAnsi"/>
          <w:i/>
          <w:iCs/>
          <w:sz w:val="24"/>
          <w:szCs w:val="24"/>
          <w:lang w:val="en-GB" w:eastAsia="en-GB"/>
        </w:rPr>
        <w:t xml:space="preserve"> </w:t>
      </w:r>
      <w:r>
        <w:rPr>
          <w:rFonts w:eastAsiaTheme="minorEastAsia" w:cstheme="minorHAnsi"/>
          <w:i/>
          <w:iCs/>
          <w:sz w:val="24"/>
          <w:szCs w:val="24"/>
          <w:lang w:val="en-GB" w:eastAsia="en-GB"/>
        </w:rPr>
        <w:t>I</w:t>
      </w:r>
      <w:r w:rsidRPr="003413D8">
        <w:rPr>
          <w:rFonts w:eastAsiaTheme="minorEastAsia" w:cstheme="minorHAnsi"/>
          <w:i/>
          <w:iCs/>
          <w:sz w:val="24"/>
          <w:szCs w:val="24"/>
          <w:lang w:val="en-GB" w:eastAsia="en-GB"/>
        </w:rPr>
        <w:t>f we increase supervision, the performance will rise even if the person does not have diligence personal</w:t>
      </w:r>
      <w:r>
        <w:rPr>
          <w:rFonts w:eastAsiaTheme="minorEastAsia" w:cstheme="minorHAnsi"/>
          <w:i/>
          <w:iCs/>
          <w:sz w:val="24"/>
          <w:szCs w:val="24"/>
          <w:lang w:val="en-GB" w:eastAsia="en-GB"/>
        </w:rPr>
        <w:t>ly</w:t>
      </w:r>
      <w:r w:rsidRPr="003413D8">
        <w:rPr>
          <w:rFonts w:eastAsiaTheme="minorEastAsia" w:cstheme="minorHAnsi"/>
          <w:i/>
          <w:iCs/>
          <w:sz w:val="24"/>
          <w:szCs w:val="24"/>
          <w:lang w:val="en-GB" w:eastAsia="en-GB"/>
        </w:rPr>
        <w:t>, he will try to reach the hardworking.</w:t>
      </w:r>
      <w:r>
        <w:rPr>
          <w:rFonts w:eastAsiaTheme="minorEastAsia" w:cstheme="minorHAnsi"/>
          <w:i/>
          <w:iCs/>
          <w:sz w:val="24"/>
          <w:szCs w:val="24"/>
          <w:lang w:val="en-GB" w:eastAsia="en-GB"/>
        </w:rPr>
        <w:t xml:space="preserve">’ </w:t>
      </w:r>
      <w:r w:rsidRPr="003413D8">
        <w:rPr>
          <w:rFonts w:eastAsiaTheme="minorEastAsia" w:cstheme="minorHAnsi"/>
          <w:i/>
          <w:iCs/>
          <w:sz w:val="24"/>
          <w:szCs w:val="24"/>
          <w:lang w:val="en-GB" w:eastAsia="en-GB"/>
        </w:rPr>
        <w:t>N1</w:t>
      </w:r>
    </w:p>
    <w:p w14:paraId="2B90BC5B" w14:textId="77777777" w:rsidR="00821B82" w:rsidRPr="0081783F" w:rsidRDefault="00821B82" w:rsidP="00821B82">
      <w:pPr>
        <w:shd w:val="clear" w:color="auto" w:fill="FFFFFF"/>
        <w:spacing w:after="0" w:line="360" w:lineRule="auto"/>
        <w:jc w:val="both"/>
        <w:rPr>
          <w:rFonts w:eastAsiaTheme="minorEastAsia" w:cstheme="minorHAnsi"/>
          <w:i/>
          <w:iCs/>
          <w:sz w:val="24"/>
          <w:szCs w:val="24"/>
          <w:lang w:val="en-GB" w:eastAsia="en-GB"/>
        </w:rPr>
      </w:pPr>
    </w:p>
    <w:p w14:paraId="6A96C3CD" w14:textId="77777777" w:rsidR="00821B82" w:rsidRPr="00E25EF5" w:rsidRDefault="00821B82" w:rsidP="00E25EF5">
      <w:pPr>
        <w:pStyle w:val="Heading7"/>
        <w:spacing w:after="240" w:line="360" w:lineRule="auto"/>
        <w:rPr>
          <w:rFonts w:asciiTheme="minorBidi" w:hAnsiTheme="minorBidi" w:cstheme="minorBidi"/>
          <w:sz w:val="24"/>
          <w:szCs w:val="24"/>
          <w:shd w:val="clear" w:color="auto" w:fill="FFFFFF"/>
        </w:rPr>
      </w:pPr>
      <w:r w:rsidRPr="00E25EF5">
        <w:rPr>
          <w:rFonts w:asciiTheme="minorBidi" w:hAnsiTheme="minorBidi" w:cstheme="minorBidi"/>
          <w:sz w:val="24"/>
          <w:szCs w:val="24"/>
          <w:shd w:val="clear" w:color="auto" w:fill="FFFFFF"/>
        </w:rPr>
        <w:t>Lack of opportunities for pharmacists to actively contribute to patient care</w:t>
      </w:r>
    </w:p>
    <w:p w14:paraId="34E27A06" w14:textId="77777777" w:rsidR="00821B82" w:rsidRPr="00003876" w:rsidRDefault="00821B82" w:rsidP="00821B82">
      <w:pPr>
        <w:spacing w:line="360" w:lineRule="auto"/>
        <w:jc w:val="both"/>
        <w:rPr>
          <w:rFonts w:asciiTheme="minorBidi" w:hAnsiTheme="minorBidi"/>
          <w:sz w:val="24"/>
          <w:szCs w:val="24"/>
          <w:shd w:val="clear" w:color="auto" w:fill="FFFFFF"/>
        </w:rPr>
      </w:pPr>
      <w:r w:rsidRPr="00135E9F">
        <w:rPr>
          <w:rFonts w:asciiTheme="minorBidi" w:hAnsiTheme="minorBidi"/>
          <w:sz w:val="24"/>
          <w:szCs w:val="24"/>
          <w:shd w:val="clear" w:color="auto" w:fill="FFFFFF"/>
        </w:rPr>
        <w:t>The participants also argued</w:t>
      </w:r>
      <w:r w:rsidRPr="00193241">
        <w:rPr>
          <w:rFonts w:asciiTheme="minorBidi" w:hAnsiTheme="minorBidi"/>
          <w:sz w:val="24"/>
          <w:szCs w:val="24"/>
          <w:shd w:val="clear" w:color="auto" w:fill="FFFFFF"/>
        </w:rPr>
        <w:t xml:space="preserve"> that a primary care pharmacist was not given the opportunity to provide clinical services, such as providing support with </w:t>
      </w:r>
      <w:r>
        <w:rPr>
          <w:rFonts w:asciiTheme="minorBidi" w:hAnsiTheme="minorBidi"/>
          <w:sz w:val="24"/>
          <w:szCs w:val="24"/>
          <w:shd w:val="clear" w:color="auto" w:fill="FFFFFF"/>
        </w:rPr>
        <w:t xml:space="preserve">running a clinic, </w:t>
      </w:r>
      <w:r w:rsidRPr="00193241">
        <w:rPr>
          <w:rFonts w:asciiTheme="minorBidi" w:hAnsiTheme="minorBidi"/>
          <w:sz w:val="24"/>
          <w:szCs w:val="24"/>
          <w:shd w:val="clear" w:color="auto" w:fill="FFFFFF"/>
        </w:rPr>
        <w:t xml:space="preserve">repeat prescriptions and medicines reviews, while other healthcare institutions </w:t>
      </w:r>
      <w:r>
        <w:rPr>
          <w:rFonts w:asciiTheme="minorBidi" w:hAnsiTheme="minorBidi"/>
          <w:sz w:val="24"/>
          <w:szCs w:val="24"/>
          <w:shd w:val="clear" w:color="auto" w:fill="FFFFFF"/>
        </w:rPr>
        <w:t xml:space="preserve">would </w:t>
      </w:r>
      <w:r w:rsidRPr="00193241">
        <w:rPr>
          <w:rFonts w:asciiTheme="minorBidi" w:hAnsiTheme="minorBidi"/>
          <w:sz w:val="24"/>
          <w:szCs w:val="24"/>
          <w:shd w:val="clear" w:color="auto" w:fill="FFFFFF"/>
        </w:rPr>
        <w:t xml:space="preserve">consider </w:t>
      </w:r>
      <w:r w:rsidRPr="00003876">
        <w:rPr>
          <w:rFonts w:asciiTheme="minorBidi" w:hAnsiTheme="minorBidi"/>
          <w:sz w:val="24"/>
          <w:szCs w:val="24"/>
          <w:shd w:val="clear" w:color="auto" w:fill="FFFFFF"/>
        </w:rPr>
        <w:t>that. The participants highlighted this issue:</w:t>
      </w:r>
    </w:p>
    <w:p w14:paraId="6F6FF6E4" w14:textId="77777777" w:rsidR="00821B82" w:rsidRDefault="00821B82" w:rsidP="00821B82">
      <w:pPr>
        <w:spacing w:line="240" w:lineRule="auto"/>
        <w:ind w:left="720"/>
        <w:jc w:val="both"/>
        <w:rPr>
          <w:i/>
          <w:iCs/>
          <w:sz w:val="24"/>
          <w:szCs w:val="24"/>
          <w:lang w:val="en-GB"/>
        </w:rPr>
      </w:pPr>
      <w:r>
        <w:rPr>
          <w:i/>
          <w:iCs/>
          <w:sz w:val="24"/>
          <w:szCs w:val="24"/>
          <w:lang w:val="en-GB"/>
        </w:rPr>
        <w:t>‘</w:t>
      </w:r>
      <w:r w:rsidRPr="00BB00CA">
        <w:rPr>
          <w:i/>
          <w:iCs/>
          <w:sz w:val="24"/>
          <w:szCs w:val="24"/>
          <w:lang w:val="en-GB"/>
        </w:rPr>
        <w:t xml:space="preserve">I have seen even in the tertiary hospitals the nurse is responsible for refill medication. and I'm wondering if this role should be directed to the pharmacist, at least to have the pharmacist to do refill </w:t>
      </w:r>
      <w:r>
        <w:rPr>
          <w:i/>
          <w:iCs/>
          <w:sz w:val="24"/>
          <w:szCs w:val="24"/>
          <w:lang w:val="en-GB"/>
        </w:rPr>
        <w:t>prescription.’</w:t>
      </w:r>
      <w:r w:rsidRPr="001706D2">
        <w:rPr>
          <w:i/>
          <w:iCs/>
          <w:sz w:val="24"/>
          <w:szCs w:val="24"/>
          <w:lang w:val="en-GB"/>
        </w:rPr>
        <w:t xml:space="preserve"> D2.</w:t>
      </w:r>
    </w:p>
    <w:p w14:paraId="355F8A4E" w14:textId="77777777" w:rsidR="00821B82" w:rsidRPr="004221CF"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asciiTheme="minorBidi" w:hAnsiTheme="minorBidi"/>
          <w:sz w:val="24"/>
          <w:szCs w:val="24"/>
          <w:shd w:val="clear" w:color="auto" w:fill="FFFFFF"/>
        </w:rPr>
      </w:pPr>
      <w:r w:rsidRPr="004221CF">
        <w:rPr>
          <w:rFonts w:asciiTheme="minorBidi" w:hAnsiTheme="minorBidi"/>
          <w:sz w:val="24"/>
          <w:szCs w:val="24"/>
          <w:shd w:val="clear" w:color="auto" w:fill="FFFFFF"/>
        </w:rPr>
        <w:t xml:space="preserve">Another interviewee, when asked about a pharmacist's participation in the management plan for patients with diabetes, </w:t>
      </w:r>
      <w:r>
        <w:rPr>
          <w:rFonts w:asciiTheme="minorBidi" w:hAnsiTheme="minorBidi"/>
          <w:sz w:val="24"/>
          <w:szCs w:val="24"/>
          <w:shd w:val="clear" w:color="auto" w:fill="FFFFFF"/>
        </w:rPr>
        <w:t>noted:</w:t>
      </w:r>
    </w:p>
    <w:p w14:paraId="2D49A762"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i/>
          <w:iCs/>
          <w:sz w:val="24"/>
          <w:szCs w:val="24"/>
          <w:lang w:val="en-GB"/>
        </w:rPr>
      </w:pPr>
      <w:r>
        <w:rPr>
          <w:i/>
          <w:iCs/>
          <w:sz w:val="24"/>
          <w:szCs w:val="24"/>
          <w:lang w:val="en-GB"/>
        </w:rPr>
        <w:t>‘</w:t>
      </w:r>
      <w:r w:rsidRPr="001706D2">
        <w:rPr>
          <w:i/>
          <w:iCs/>
          <w:sz w:val="24"/>
          <w:szCs w:val="24"/>
          <w:lang w:val="en-GB"/>
        </w:rPr>
        <w:t xml:space="preserve">I didn't really see any clinics run by pharmacists who are specialised for diabetic patients </w:t>
      </w:r>
      <w:r>
        <w:rPr>
          <w:i/>
          <w:iCs/>
          <w:sz w:val="24"/>
          <w:szCs w:val="24"/>
          <w:lang w:val="en-GB"/>
        </w:rPr>
        <w:t>[…]</w:t>
      </w:r>
      <w:r w:rsidRPr="001706D2">
        <w:rPr>
          <w:i/>
          <w:iCs/>
          <w:sz w:val="24"/>
          <w:szCs w:val="24"/>
          <w:lang w:val="en-GB"/>
        </w:rPr>
        <w:t>, I think they only have that in Saudi Aramco to my knowledge.</w:t>
      </w:r>
      <w:r>
        <w:rPr>
          <w:i/>
          <w:iCs/>
          <w:sz w:val="24"/>
          <w:szCs w:val="24"/>
          <w:lang w:val="en-GB"/>
        </w:rPr>
        <w:t xml:space="preserve">’ </w:t>
      </w:r>
      <w:r w:rsidRPr="001706D2">
        <w:rPr>
          <w:i/>
          <w:iCs/>
          <w:sz w:val="24"/>
          <w:szCs w:val="24"/>
          <w:lang w:val="en-GB"/>
        </w:rPr>
        <w:t>D</w:t>
      </w:r>
      <w:r>
        <w:rPr>
          <w:i/>
          <w:iCs/>
          <w:sz w:val="24"/>
          <w:szCs w:val="24"/>
          <w:lang w:val="en-GB"/>
        </w:rPr>
        <w:t>1</w:t>
      </w:r>
    </w:p>
    <w:p w14:paraId="7DA7144B" w14:textId="77777777" w:rsidR="00821B82" w:rsidRPr="00277F41"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i/>
          <w:iCs/>
          <w:sz w:val="24"/>
          <w:szCs w:val="24"/>
          <w:lang w:val="en-GB"/>
        </w:rPr>
      </w:pPr>
    </w:p>
    <w:p w14:paraId="0DC27C35" w14:textId="77777777" w:rsidR="00821B82" w:rsidRPr="00A3418F" w:rsidRDefault="00821B82" w:rsidP="00A3418F">
      <w:pPr>
        <w:pStyle w:val="Heading5"/>
        <w:spacing w:after="240" w:line="360" w:lineRule="auto"/>
        <w:rPr>
          <w:rFonts w:asciiTheme="minorBidi" w:hAnsiTheme="minorBidi" w:cstheme="minorBidi"/>
          <w:b/>
          <w:bCs/>
          <w:sz w:val="24"/>
          <w:szCs w:val="24"/>
          <w:lang w:eastAsia="en-GB"/>
        </w:rPr>
      </w:pPr>
      <w:r w:rsidRPr="00A3418F">
        <w:rPr>
          <w:rFonts w:asciiTheme="minorBidi" w:eastAsiaTheme="minorEastAsia" w:hAnsiTheme="minorBidi" w:cstheme="minorBidi"/>
          <w:b/>
          <w:bCs/>
          <w:sz w:val="24"/>
          <w:szCs w:val="24"/>
          <w:lang w:eastAsia="en-GB"/>
        </w:rPr>
        <w:t>Issues related to healthcare professionals</w:t>
      </w:r>
    </w:p>
    <w:p w14:paraId="7923B393" w14:textId="77777777" w:rsidR="00821B82" w:rsidRPr="00A3418F" w:rsidRDefault="00821B82" w:rsidP="00A3418F">
      <w:pPr>
        <w:pStyle w:val="Heading6"/>
        <w:spacing w:after="240" w:line="360" w:lineRule="auto"/>
        <w:rPr>
          <w:rFonts w:asciiTheme="minorBidi" w:hAnsiTheme="minorBidi" w:cstheme="minorBidi"/>
          <w:sz w:val="24"/>
          <w:szCs w:val="24"/>
          <w:lang w:eastAsia="en-GB"/>
        </w:rPr>
      </w:pPr>
      <w:r w:rsidRPr="00A3418F">
        <w:rPr>
          <w:rFonts w:asciiTheme="minorBidi" w:eastAsiaTheme="minorEastAsia" w:hAnsiTheme="minorBidi" w:cstheme="minorBidi"/>
          <w:sz w:val="24"/>
          <w:szCs w:val="24"/>
          <w:lang w:eastAsia="en-GB"/>
        </w:rPr>
        <w:t>Lack of awareness of pharmacists’ clinical roles</w:t>
      </w:r>
    </w:p>
    <w:p w14:paraId="69AD02B0" w14:textId="77777777" w:rsidR="00821B82" w:rsidRDefault="00821B82" w:rsidP="00821B82">
      <w:pPr>
        <w:spacing w:line="360" w:lineRule="auto"/>
        <w:jc w:val="both"/>
        <w:rPr>
          <w:rFonts w:asciiTheme="minorBidi" w:eastAsiaTheme="minorEastAsia" w:hAnsiTheme="minorBidi"/>
          <w:sz w:val="24"/>
          <w:szCs w:val="24"/>
          <w:lang w:eastAsia="en-GB"/>
        </w:rPr>
      </w:pPr>
      <w:r w:rsidRPr="00934218">
        <w:rPr>
          <w:rFonts w:asciiTheme="minorBidi" w:eastAsiaTheme="minorEastAsia" w:hAnsiTheme="minorBidi"/>
          <w:sz w:val="24"/>
          <w:szCs w:val="24"/>
          <w:lang w:eastAsia="en-GB"/>
        </w:rPr>
        <w:t>Participants reported other major challenge</w:t>
      </w:r>
      <w:r>
        <w:rPr>
          <w:rFonts w:asciiTheme="minorBidi" w:eastAsiaTheme="minorEastAsia" w:hAnsiTheme="minorBidi"/>
          <w:sz w:val="24"/>
          <w:szCs w:val="24"/>
          <w:lang w:eastAsia="en-GB"/>
        </w:rPr>
        <w:t>s</w:t>
      </w:r>
      <w:r w:rsidRPr="00934218">
        <w:rPr>
          <w:rFonts w:asciiTheme="minorBidi" w:eastAsiaTheme="minorEastAsia" w:hAnsiTheme="minorBidi"/>
          <w:sz w:val="24"/>
          <w:szCs w:val="24"/>
          <w:lang w:eastAsia="en-GB"/>
        </w:rPr>
        <w:t xml:space="preserve"> that </w:t>
      </w:r>
      <w:r>
        <w:rPr>
          <w:rFonts w:asciiTheme="minorBidi" w:eastAsiaTheme="minorEastAsia" w:hAnsiTheme="minorBidi"/>
          <w:sz w:val="24"/>
          <w:szCs w:val="24"/>
          <w:lang w:eastAsia="en-GB"/>
        </w:rPr>
        <w:t xml:space="preserve">they considered as barriers, including </w:t>
      </w:r>
      <w:r w:rsidRPr="00934218">
        <w:rPr>
          <w:rFonts w:asciiTheme="minorBidi" w:eastAsiaTheme="minorEastAsia" w:hAnsiTheme="minorBidi"/>
          <w:sz w:val="24"/>
          <w:szCs w:val="24"/>
          <w:lang w:eastAsia="en-GB"/>
        </w:rPr>
        <w:t xml:space="preserve">the lack of awareness of the clinical pharmacy role </w:t>
      </w:r>
      <w:r>
        <w:rPr>
          <w:rFonts w:asciiTheme="minorBidi" w:eastAsiaTheme="minorEastAsia" w:hAnsiTheme="minorBidi"/>
          <w:sz w:val="24"/>
          <w:szCs w:val="24"/>
          <w:lang w:eastAsia="en-GB"/>
        </w:rPr>
        <w:t xml:space="preserve">which was mentioned </w:t>
      </w:r>
      <w:r w:rsidRPr="00934218">
        <w:rPr>
          <w:rFonts w:asciiTheme="minorBidi" w:eastAsiaTheme="minorEastAsia" w:hAnsiTheme="minorBidi"/>
          <w:sz w:val="24"/>
          <w:szCs w:val="24"/>
          <w:lang w:eastAsia="en-GB"/>
        </w:rPr>
        <w:t>by the majority of participants</w:t>
      </w:r>
      <w:r>
        <w:rPr>
          <w:rFonts w:asciiTheme="minorBidi" w:eastAsiaTheme="minorEastAsia" w:hAnsiTheme="minorBidi"/>
          <w:sz w:val="24"/>
          <w:szCs w:val="24"/>
          <w:lang w:eastAsia="en-GB"/>
        </w:rPr>
        <w:t xml:space="preserve">. </w:t>
      </w:r>
    </w:p>
    <w:p w14:paraId="2D4D168B" w14:textId="77777777" w:rsidR="00821B82" w:rsidRDefault="00821B82" w:rsidP="00821B82">
      <w:pPr>
        <w:spacing w:after="0"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B2063A">
        <w:rPr>
          <w:rFonts w:eastAsiaTheme="minorEastAsia" w:cstheme="minorHAnsi"/>
          <w:i/>
          <w:iCs/>
          <w:sz w:val="24"/>
          <w:szCs w:val="24"/>
          <w:lang w:val="en-GB" w:eastAsia="en-GB"/>
        </w:rPr>
        <w:t>I dealt with a lot of doctors, some of them show the need of involving pharmacists in patients’ treatment plans, and some of them ignore or let's say that they are unaware of the role of the pharmacist and the knowledge they have</w:t>
      </w:r>
      <w:r>
        <w:rPr>
          <w:rFonts w:eastAsiaTheme="minorEastAsia" w:cstheme="minorHAnsi"/>
          <w:i/>
          <w:iCs/>
          <w:sz w:val="24"/>
          <w:szCs w:val="24"/>
          <w:lang w:val="en-GB" w:eastAsia="en-GB"/>
        </w:rPr>
        <w:t>’</w:t>
      </w:r>
      <w:r w:rsidRPr="00B2063A">
        <w:rPr>
          <w:rFonts w:eastAsiaTheme="minorEastAsia" w:cstheme="minorHAnsi"/>
          <w:i/>
          <w:iCs/>
          <w:sz w:val="24"/>
          <w:szCs w:val="24"/>
          <w:lang w:val="en-GB" w:eastAsia="en-GB"/>
        </w:rPr>
        <w:t>.</w:t>
      </w:r>
      <w:r>
        <w:rPr>
          <w:rFonts w:eastAsiaTheme="minorEastAsia" w:cstheme="minorHAnsi"/>
          <w:i/>
          <w:iCs/>
          <w:sz w:val="24"/>
          <w:szCs w:val="24"/>
          <w:lang w:val="en-GB" w:eastAsia="en-GB"/>
        </w:rPr>
        <w:t xml:space="preserve"> Ph2</w:t>
      </w:r>
    </w:p>
    <w:p w14:paraId="0166AEF6" w14:textId="77777777" w:rsidR="00821B82" w:rsidRPr="006D1C68" w:rsidRDefault="00821B82" w:rsidP="00821B82">
      <w:pPr>
        <w:spacing w:line="240" w:lineRule="auto"/>
        <w:ind w:left="720"/>
        <w:jc w:val="both"/>
        <w:rPr>
          <w:rFonts w:eastAsiaTheme="minorEastAsia" w:cstheme="minorHAnsi"/>
          <w:i/>
          <w:iCs/>
          <w:sz w:val="24"/>
          <w:szCs w:val="24"/>
          <w:lang w:val="en-GB" w:eastAsia="en-GB"/>
        </w:rPr>
      </w:pPr>
    </w:p>
    <w:p w14:paraId="5B52CC63" w14:textId="77777777" w:rsidR="00821B82" w:rsidRPr="00A3418F" w:rsidRDefault="00821B82" w:rsidP="00A3418F">
      <w:pPr>
        <w:pStyle w:val="Heading6"/>
        <w:spacing w:after="240" w:line="360" w:lineRule="auto"/>
        <w:rPr>
          <w:rFonts w:asciiTheme="minorBidi" w:eastAsiaTheme="minorEastAsia" w:hAnsiTheme="minorBidi" w:cstheme="minorBidi"/>
          <w:sz w:val="24"/>
          <w:szCs w:val="24"/>
          <w:lang w:eastAsia="en-GB"/>
        </w:rPr>
      </w:pPr>
      <w:r w:rsidRPr="00A3418F">
        <w:rPr>
          <w:rFonts w:asciiTheme="minorBidi" w:eastAsiaTheme="minorEastAsia" w:hAnsiTheme="minorBidi" w:cstheme="minorBidi"/>
          <w:sz w:val="24"/>
          <w:szCs w:val="24"/>
          <w:lang w:eastAsia="en-GB"/>
        </w:rPr>
        <w:t>Attitudes towards pharmacists’ role</w:t>
      </w:r>
    </w:p>
    <w:p w14:paraId="1277D493" w14:textId="77777777" w:rsidR="00821B82" w:rsidRDefault="00821B82" w:rsidP="00821B82">
      <w:pPr>
        <w:spacing w:line="360" w:lineRule="auto"/>
        <w:jc w:val="both"/>
        <w:rPr>
          <w:rFonts w:asciiTheme="minorBidi" w:eastAsiaTheme="minorEastAsia" w:hAnsiTheme="minorBidi"/>
          <w:sz w:val="24"/>
          <w:szCs w:val="24"/>
          <w:lang w:eastAsia="en-GB"/>
        </w:rPr>
      </w:pPr>
      <w:r>
        <w:rPr>
          <w:rFonts w:asciiTheme="minorBidi" w:eastAsiaTheme="minorEastAsia" w:hAnsiTheme="minorBidi"/>
          <w:sz w:val="24"/>
          <w:szCs w:val="24"/>
          <w:lang w:eastAsia="en-GB"/>
        </w:rPr>
        <w:t xml:space="preserve">Other </w:t>
      </w:r>
      <w:r w:rsidRPr="00934218">
        <w:rPr>
          <w:rFonts w:asciiTheme="minorBidi" w:eastAsiaTheme="minorEastAsia" w:hAnsiTheme="minorBidi"/>
          <w:sz w:val="24"/>
          <w:szCs w:val="24"/>
          <w:lang w:eastAsia="en-GB"/>
        </w:rPr>
        <w:t xml:space="preserve">issues related to attitudes towards pharmacists from policymakers and </w:t>
      </w:r>
      <w:r>
        <w:rPr>
          <w:rFonts w:asciiTheme="minorBidi" w:eastAsiaTheme="minorEastAsia" w:hAnsiTheme="minorBidi"/>
          <w:sz w:val="24"/>
          <w:szCs w:val="24"/>
          <w:lang w:eastAsia="en-GB"/>
        </w:rPr>
        <w:t xml:space="preserve">HCPs (as reported in </w:t>
      </w:r>
      <w:r w:rsidRPr="00077680">
        <w:rPr>
          <w:rFonts w:asciiTheme="minorBidi" w:eastAsiaTheme="minorEastAsia" w:hAnsiTheme="minorBidi"/>
          <w:color w:val="1F3864" w:themeColor="accent1" w:themeShade="80"/>
          <w:sz w:val="24"/>
          <w:szCs w:val="24"/>
          <w:lang w:eastAsia="en-GB"/>
        </w:rPr>
        <w:fldChar w:fldCharType="begin"/>
      </w:r>
      <w:r w:rsidRPr="00077680">
        <w:rPr>
          <w:rFonts w:asciiTheme="minorBidi" w:eastAsiaTheme="minorEastAsia" w:hAnsiTheme="minorBidi"/>
          <w:color w:val="1F3864" w:themeColor="accent1" w:themeShade="80"/>
          <w:sz w:val="24"/>
          <w:szCs w:val="24"/>
          <w:lang w:eastAsia="en-GB"/>
        </w:rPr>
        <w:instrText xml:space="preserve"> REF _Ref126858131 \n \h </w:instrText>
      </w:r>
      <w:r w:rsidRPr="00077680">
        <w:rPr>
          <w:rFonts w:asciiTheme="minorBidi" w:eastAsiaTheme="minorEastAsia" w:hAnsiTheme="minorBidi"/>
          <w:color w:val="1F3864" w:themeColor="accent1" w:themeShade="80"/>
          <w:sz w:val="24"/>
          <w:szCs w:val="24"/>
          <w:lang w:eastAsia="en-GB"/>
        </w:rPr>
      </w:r>
      <w:r w:rsidRPr="00077680">
        <w:rPr>
          <w:rFonts w:asciiTheme="minorBidi" w:eastAsiaTheme="minorEastAsia" w:hAnsiTheme="minorBidi"/>
          <w:color w:val="1F3864" w:themeColor="accent1" w:themeShade="80"/>
          <w:sz w:val="24"/>
          <w:szCs w:val="24"/>
          <w:lang w:eastAsia="en-GB"/>
        </w:rPr>
        <w:fldChar w:fldCharType="separate"/>
      </w:r>
      <w:r w:rsidRPr="00077680">
        <w:rPr>
          <w:rFonts w:asciiTheme="minorBidi" w:eastAsiaTheme="minorEastAsia" w:hAnsiTheme="minorBidi"/>
          <w:color w:val="1F3864" w:themeColor="accent1" w:themeShade="80"/>
          <w:sz w:val="24"/>
          <w:szCs w:val="24"/>
          <w:cs/>
          <w:lang w:eastAsia="en-GB"/>
        </w:rPr>
        <w:t>‎</w:t>
      </w:r>
      <w:r w:rsidRPr="00077680">
        <w:rPr>
          <w:rFonts w:asciiTheme="minorBidi" w:eastAsiaTheme="minorEastAsia" w:hAnsiTheme="minorBidi"/>
          <w:color w:val="1F3864" w:themeColor="accent1" w:themeShade="80"/>
          <w:sz w:val="24"/>
          <w:szCs w:val="24"/>
          <w:lang w:eastAsia="en-GB"/>
        </w:rPr>
        <w:t>6.4.4</w:t>
      </w:r>
      <w:r w:rsidRPr="00077680">
        <w:rPr>
          <w:rFonts w:asciiTheme="minorBidi" w:eastAsiaTheme="minorEastAsia" w:hAnsiTheme="minorBidi"/>
          <w:color w:val="1F3864" w:themeColor="accent1" w:themeShade="80"/>
          <w:sz w:val="24"/>
          <w:szCs w:val="24"/>
          <w:lang w:eastAsia="en-GB"/>
        </w:rPr>
        <w:fldChar w:fldCharType="end"/>
      </w:r>
      <w:r>
        <w:rPr>
          <w:rFonts w:asciiTheme="minorBidi" w:eastAsiaTheme="minorEastAsia" w:hAnsiTheme="minorBidi"/>
          <w:sz w:val="24"/>
          <w:szCs w:val="24"/>
          <w:lang w:eastAsia="en-GB"/>
        </w:rPr>
        <w:t xml:space="preserve">) </w:t>
      </w:r>
      <w:r w:rsidRPr="00934218">
        <w:rPr>
          <w:rFonts w:asciiTheme="minorBidi" w:eastAsiaTheme="minorEastAsia" w:hAnsiTheme="minorBidi"/>
          <w:sz w:val="24"/>
          <w:szCs w:val="24"/>
          <w:lang w:eastAsia="en-GB"/>
        </w:rPr>
        <w:t>—</w:t>
      </w:r>
      <w:r>
        <w:rPr>
          <w:rFonts w:asciiTheme="minorBidi" w:eastAsiaTheme="minorEastAsia" w:hAnsiTheme="minorBidi"/>
          <w:sz w:val="24"/>
          <w:szCs w:val="24"/>
          <w:lang w:eastAsia="en-GB"/>
        </w:rPr>
        <w:t xml:space="preserve"> </w:t>
      </w:r>
      <w:r w:rsidRPr="00934218">
        <w:rPr>
          <w:rFonts w:asciiTheme="minorBidi" w:eastAsiaTheme="minorEastAsia" w:hAnsiTheme="minorBidi"/>
          <w:sz w:val="24"/>
          <w:szCs w:val="24"/>
          <w:lang w:eastAsia="en-GB"/>
        </w:rPr>
        <w:t xml:space="preserve">notably the underutilisation of the roles of pharmacists by policymakers and resistance to pharmacists' interventions </w:t>
      </w:r>
      <w:r>
        <w:rPr>
          <w:rFonts w:asciiTheme="minorBidi" w:eastAsiaTheme="minorEastAsia" w:hAnsiTheme="minorBidi"/>
          <w:sz w:val="24"/>
          <w:szCs w:val="24"/>
          <w:lang w:eastAsia="en-GB"/>
        </w:rPr>
        <w:t xml:space="preserve">among </w:t>
      </w:r>
      <w:r w:rsidRPr="00934218">
        <w:rPr>
          <w:rFonts w:asciiTheme="minorBidi" w:eastAsiaTheme="minorEastAsia" w:hAnsiTheme="minorBidi"/>
          <w:sz w:val="24"/>
          <w:szCs w:val="24"/>
          <w:lang w:eastAsia="en-GB"/>
        </w:rPr>
        <w:t>doctors</w:t>
      </w:r>
      <w:r>
        <w:rPr>
          <w:rFonts w:asciiTheme="minorBidi" w:eastAsiaTheme="minorEastAsia" w:hAnsiTheme="minorBidi"/>
          <w:sz w:val="24"/>
          <w:szCs w:val="24"/>
          <w:lang w:eastAsia="en-GB"/>
        </w:rPr>
        <w:t>.</w:t>
      </w:r>
    </w:p>
    <w:p w14:paraId="1A22CBD8" w14:textId="77777777" w:rsidR="00821B82" w:rsidRPr="0031250D"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6D1C68">
        <w:rPr>
          <w:rFonts w:eastAsiaTheme="minorEastAsia" w:cstheme="minorHAnsi"/>
          <w:i/>
          <w:iCs/>
          <w:sz w:val="24"/>
          <w:szCs w:val="24"/>
          <w:lang w:val="en-GB" w:eastAsia="en-GB"/>
        </w:rPr>
        <w:t>I think the underestimation of the role the pharmacists</w:t>
      </w:r>
      <w:r>
        <w:rPr>
          <w:rFonts w:eastAsiaTheme="minorEastAsia" w:cstheme="minorHAnsi"/>
          <w:i/>
          <w:iCs/>
          <w:sz w:val="24"/>
          <w:szCs w:val="24"/>
          <w:lang w:val="en-GB" w:eastAsia="en-GB"/>
        </w:rPr>
        <w:t>,</w:t>
      </w:r>
      <w:r w:rsidRPr="006D1C68">
        <w:rPr>
          <w:rFonts w:eastAsiaTheme="minorEastAsia" w:cstheme="minorHAnsi"/>
          <w:i/>
          <w:iCs/>
          <w:sz w:val="24"/>
          <w:szCs w:val="24"/>
          <w:lang w:val="en-GB" w:eastAsia="en-GB"/>
        </w:rPr>
        <w:t xml:space="preserve"> if I can say anything after 20 year</w:t>
      </w:r>
      <w:r>
        <w:rPr>
          <w:rFonts w:eastAsiaTheme="minorEastAsia" w:cstheme="minorHAnsi"/>
          <w:i/>
          <w:iCs/>
          <w:sz w:val="24"/>
          <w:szCs w:val="24"/>
          <w:lang w:val="en-GB" w:eastAsia="en-GB"/>
        </w:rPr>
        <w:t>s’</w:t>
      </w:r>
      <w:r w:rsidRPr="006D1C68">
        <w:rPr>
          <w:rFonts w:eastAsiaTheme="minorEastAsia" w:cstheme="minorHAnsi"/>
          <w:i/>
          <w:iCs/>
          <w:sz w:val="24"/>
          <w:szCs w:val="24"/>
          <w:lang w:val="en-GB" w:eastAsia="en-GB"/>
        </w:rPr>
        <w:t xml:space="preserve"> experience in the medical field, the physician</w:t>
      </w:r>
      <w:r>
        <w:rPr>
          <w:rFonts w:eastAsiaTheme="minorEastAsia" w:cstheme="minorHAnsi"/>
          <w:i/>
          <w:iCs/>
          <w:sz w:val="24"/>
          <w:szCs w:val="24"/>
          <w:lang w:val="en-GB" w:eastAsia="en-GB"/>
        </w:rPr>
        <w:t>s</w:t>
      </w:r>
      <w:r w:rsidRPr="006D1C68">
        <w:rPr>
          <w:rFonts w:eastAsiaTheme="minorEastAsia" w:cstheme="minorHAnsi"/>
          <w:i/>
          <w:iCs/>
          <w:sz w:val="24"/>
          <w:szCs w:val="24"/>
          <w:lang w:val="en-GB" w:eastAsia="en-GB"/>
        </w:rPr>
        <w:t>, they think themselves in the top</w:t>
      </w:r>
      <w:r>
        <w:rPr>
          <w:rFonts w:eastAsiaTheme="minorEastAsia" w:cstheme="minorHAnsi"/>
          <w:i/>
          <w:iCs/>
          <w:sz w:val="24"/>
          <w:szCs w:val="24"/>
          <w:lang w:val="en-GB" w:eastAsia="en-GB"/>
        </w:rPr>
        <w:t xml:space="preserve">’ </w:t>
      </w:r>
      <w:r w:rsidRPr="006D1C68">
        <w:rPr>
          <w:rFonts w:eastAsiaTheme="minorEastAsia" w:cstheme="minorHAnsi"/>
          <w:i/>
          <w:iCs/>
          <w:sz w:val="24"/>
          <w:szCs w:val="24"/>
          <w:lang w:val="en-GB" w:eastAsia="en-GB"/>
        </w:rPr>
        <w:t>D2</w:t>
      </w:r>
    </w:p>
    <w:p w14:paraId="43F2D909"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asciiTheme="minorBidi" w:hAnsiTheme="minorBidi"/>
          <w:sz w:val="24"/>
          <w:szCs w:val="24"/>
        </w:rPr>
      </w:pPr>
      <w:r w:rsidRPr="00CA5FD0">
        <w:rPr>
          <w:rFonts w:asciiTheme="minorBidi" w:hAnsiTheme="minorBidi"/>
          <w:sz w:val="24"/>
          <w:szCs w:val="24"/>
        </w:rPr>
        <w:t>The participating pharmacists spoke of the difficulties they encountered in changing the prevailing culture of the pharmacist's role, from his</w:t>
      </w:r>
      <w:r>
        <w:rPr>
          <w:rFonts w:asciiTheme="minorBidi" w:hAnsiTheme="minorBidi"/>
          <w:sz w:val="24"/>
          <w:szCs w:val="24"/>
        </w:rPr>
        <w:t>/her</w:t>
      </w:r>
      <w:r w:rsidRPr="00CA5FD0">
        <w:rPr>
          <w:rFonts w:asciiTheme="minorBidi" w:hAnsiTheme="minorBidi"/>
          <w:sz w:val="24"/>
          <w:szCs w:val="24"/>
        </w:rPr>
        <w:t xml:space="preserve"> role as a drug dispenser to </w:t>
      </w:r>
      <w:r>
        <w:rPr>
          <w:rFonts w:asciiTheme="minorBidi" w:hAnsiTheme="minorBidi"/>
          <w:sz w:val="24"/>
          <w:szCs w:val="24"/>
        </w:rPr>
        <w:t xml:space="preserve">a </w:t>
      </w:r>
      <w:r w:rsidRPr="00CA5FD0">
        <w:rPr>
          <w:rFonts w:asciiTheme="minorBidi" w:hAnsiTheme="minorBidi"/>
          <w:sz w:val="24"/>
          <w:szCs w:val="24"/>
        </w:rPr>
        <w:t>primary professional role in patient care as a therapist. They mentioned different ways that helped them change the local culture around the pharmacist's role.</w:t>
      </w:r>
    </w:p>
    <w:p w14:paraId="567D179E" w14:textId="77777777" w:rsidR="00821B82" w:rsidRPr="00F9214D"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6D1C68">
        <w:rPr>
          <w:rFonts w:eastAsiaTheme="minorEastAsia" w:cstheme="minorHAnsi"/>
          <w:i/>
          <w:iCs/>
          <w:sz w:val="24"/>
          <w:szCs w:val="24"/>
          <w:lang w:val="en-GB" w:eastAsia="en-GB"/>
        </w:rPr>
        <w:t>To change this view, I have worked with the majority of my fellow pharmacists, each in their own way, through the discussions and knowledge they have, to show that a pharmacist is not just a dispenser but a nerve (core) in health institutions serving people and society. After that, the majority, whether doctors or nurses</w:t>
      </w:r>
      <w:r>
        <w:rPr>
          <w:rFonts w:eastAsiaTheme="minorEastAsia" w:cstheme="minorHAnsi"/>
          <w:i/>
          <w:iCs/>
          <w:sz w:val="24"/>
          <w:szCs w:val="24"/>
          <w:lang w:val="en-GB" w:eastAsia="en-GB"/>
        </w:rPr>
        <w:t>,</w:t>
      </w:r>
      <w:r w:rsidRPr="006D1C68">
        <w:rPr>
          <w:rFonts w:eastAsiaTheme="minorEastAsia" w:cstheme="minorHAnsi"/>
          <w:i/>
          <w:iCs/>
          <w:sz w:val="24"/>
          <w:szCs w:val="24"/>
          <w:lang w:val="en-GB" w:eastAsia="en-GB"/>
        </w:rPr>
        <w:t xml:space="preserve"> have seen the role of pharmacists differently than before.</w:t>
      </w:r>
      <w:r>
        <w:rPr>
          <w:rFonts w:eastAsiaTheme="minorEastAsia" w:cstheme="minorHAnsi"/>
          <w:i/>
          <w:iCs/>
          <w:sz w:val="24"/>
          <w:szCs w:val="24"/>
          <w:lang w:val="en-GB" w:eastAsia="en-GB"/>
        </w:rPr>
        <w:t>’</w:t>
      </w:r>
      <w:r w:rsidRPr="006D1C68">
        <w:rPr>
          <w:rFonts w:eastAsiaTheme="minorEastAsia" w:cstheme="minorHAnsi"/>
          <w:i/>
          <w:iCs/>
          <w:sz w:val="24"/>
          <w:szCs w:val="24"/>
          <w:lang w:val="en-GB" w:eastAsia="en-GB"/>
        </w:rPr>
        <w:t xml:space="preserve"> Ph3</w:t>
      </w:r>
    </w:p>
    <w:p w14:paraId="17FFF113" w14:textId="77777777" w:rsidR="00821B82" w:rsidRDefault="00821B82" w:rsidP="00821B82">
      <w:pPr>
        <w:shd w:val="clear" w:color="auto" w:fill="FFFFFF"/>
        <w:spacing w:before="240" w:after="0" w:line="360" w:lineRule="auto"/>
        <w:jc w:val="both"/>
        <w:rPr>
          <w:rFonts w:asciiTheme="minorBidi" w:eastAsiaTheme="minorEastAsia" w:hAnsiTheme="minorBidi"/>
          <w:sz w:val="24"/>
          <w:szCs w:val="24"/>
          <w:lang w:eastAsia="en-GB"/>
        </w:rPr>
      </w:pPr>
      <w:r>
        <w:rPr>
          <w:rFonts w:asciiTheme="minorBidi" w:eastAsiaTheme="minorEastAsia" w:hAnsiTheme="minorBidi"/>
          <w:sz w:val="24"/>
          <w:szCs w:val="24"/>
          <w:lang w:eastAsia="en-GB"/>
        </w:rPr>
        <w:t>This was also recognised by doctors, as the following quote illustrates:</w:t>
      </w:r>
    </w:p>
    <w:p w14:paraId="50D0363A" w14:textId="77777777" w:rsidR="00821B82" w:rsidRPr="00215F8F"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6D1C68">
        <w:rPr>
          <w:rFonts w:eastAsiaTheme="minorEastAsia" w:cstheme="minorHAnsi"/>
          <w:i/>
          <w:iCs/>
          <w:sz w:val="24"/>
          <w:szCs w:val="24"/>
          <w:lang w:val="en-GB" w:eastAsia="en-GB"/>
        </w:rPr>
        <w:t xml:space="preserve">We have inherited the role of the pharmacist as dispenser due to the lack of the available qualified clinical pharmacist or bachelor degree pharmacist. Their role was very limited and as it is already </w:t>
      </w:r>
      <w:r>
        <w:rPr>
          <w:rFonts w:eastAsiaTheme="minorEastAsia" w:cstheme="minorHAnsi"/>
          <w:i/>
          <w:iCs/>
          <w:sz w:val="24"/>
          <w:szCs w:val="24"/>
          <w:lang w:val="en-GB" w:eastAsia="en-GB"/>
        </w:rPr>
        <w:t xml:space="preserve">a </w:t>
      </w:r>
      <w:r w:rsidRPr="006D1C68">
        <w:rPr>
          <w:rFonts w:eastAsiaTheme="minorEastAsia" w:cstheme="minorHAnsi"/>
          <w:i/>
          <w:iCs/>
          <w:sz w:val="24"/>
          <w:szCs w:val="24"/>
          <w:lang w:val="en-GB" w:eastAsia="en-GB"/>
        </w:rPr>
        <w:t xml:space="preserve">stereotype that the pharmacist is dispenser while their job and their background is totally different from the stereotype picture that </w:t>
      </w:r>
      <w:r>
        <w:rPr>
          <w:rFonts w:eastAsiaTheme="minorEastAsia" w:cstheme="minorHAnsi"/>
          <w:i/>
          <w:iCs/>
          <w:sz w:val="24"/>
          <w:szCs w:val="24"/>
          <w:lang w:val="en-GB" w:eastAsia="en-GB"/>
        </w:rPr>
        <w:t xml:space="preserve">was </w:t>
      </w:r>
      <w:r w:rsidRPr="006D1C68">
        <w:rPr>
          <w:rFonts w:eastAsiaTheme="minorEastAsia" w:cstheme="minorHAnsi"/>
          <w:i/>
          <w:iCs/>
          <w:sz w:val="24"/>
          <w:szCs w:val="24"/>
          <w:lang w:val="en-GB" w:eastAsia="en-GB"/>
        </w:rPr>
        <w:t>inherited for</w:t>
      </w:r>
      <w:r>
        <w:rPr>
          <w:rFonts w:eastAsiaTheme="minorEastAsia" w:cstheme="minorHAnsi"/>
          <w:i/>
          <w:iCs/>
          <w:sz w:val="24"/>
          <w:szCs w:val="24"/>
          <w:lang w:val="en-GB" w:eastAsia="en-GB"/>
        </w:rPr>
        <w:t xml:space="preserve"> a</w:t>
      </w:r>
      <w:r w:rsidRPr="006D1C68">
        <w:rPr>
          <w:rFonts w:eastAsiaTheme="minorEastAsia" w:cstheme="minorHAnsi"/>
          <w:i/>
          <w:iCs/>
          <w:sz w:val="24"/>
          <w:szCs w:val="24"/>
          <w:lang w:val="en-GB" w:eastAsia="en-GB"/>
        </w:rPr>
        <w:t xml:space="preserve"> long time.</w:t>
      </w:r>
      <w:r>
        <w:rPr>
          <w:rFonts w:eastAsiaTheme="minorEastAsia" w:cstheme="minorHAnsi"/>
          <w:i/>
          <w:iCs/>
          <w:sz w:val="24"/>
          <w:szCs w:val="24"/>
          <w:lang w:val="en-GB" w:eastAsia="en-GB"/>
        </w:rPr>
        <w:t xml:space="preserve">’ </w:t>
      </w:r>
      <w:r w:rsidRPr="006D1C68">
        <w:rPr>
          <w:rFonts w:eastAsiaTheme="minorEastAsia" w:cstheme="minorHAnsi"/>
          <w:i/>
          <w:iCs/>
          <w:sz w:val="24"/>
          <w:szCs w:val="24"/>
          <w:lang w:val="en-GB" w:eastAsia="en-GB"/>
        </w:rPr>
        <w:t>D2</w:t>
      </w:r>
    </w:p>
    <w:p w14:paraId="5EBD1E1E" w14:textId="77777777" w:rsidR="00821B82" w:rsidRDefault="00821B82" w:rsidP="00821B82">
      <w:pPr>
        <w:spacing w:before="240" w:line="360" w:lineRule="auto"/>
        <w:jc w:val="both"/>
        <w:rPr>
          <w:rFonts w:asciiTheme="minorBidi" w:eastAsiaTheme="minorEastAsia" w:hAnsiTheme="minorBidi"/>
          <w:sz w:val="24"/>
          <w:szCs w:val="24"/>
          <w:lang w:eastAsia="en-GB"/>
        </w:rPr>
      </w:pPr>
      <w:r w:rsidRPr="000C6938">
        <w:rPr>
          <w:rFonts w:asciiTheme="minorBidi" w:eastAsiaTheme="minorEastAsia" w:hAnsiTheme="minorBidi"/>
          <w:sz w:val="24"/>
          <w:szCs w:val="24"/>
          <w:lang w:eastAsia="en-GB"/>
        </w:rPr>
        <w:t xml:space="preserve">Some of the </w:t>
      </w:r>
      <w:r>
        <w:rPr>
          <w:rFonts w:asciiTheme="minorBidi" w:eastAsiaTheme="minorEastAsia" w:hAnsiTheme="minorBidi"/>
          <w:sz w:val="24"/>
          <w:szCs w:val="24"/>
          <w:lang w:eastAsia="en-GB"/>
        </w:rPr>
        <w:t xml:space="preserve">main </w:t>
      </w:r>
      <w:r w:rsidRPr="000C6938">
        <w:rPr>
          <w:rFonts w:asciiTheme="minorBidi" w:eastAsiaTheme="minorEastAsia" w:hAnsiTheme="minorBidi"/>
          <w:sz w:val="24"/>
          <w:szCs w:val="24"/>
          <w:lang w:eastAsia="en-GB"/>
        </w:rPr>
        <w:t xml:space="preserve">challenges that limited the delivery of effective pharmaceutical care in </w:t>
      </w:r>
      <w:r>
        <w:rPr>
          <w:rFonts w:asciiTheme="minorBidi" w:eastAsiaTheme="minorEastAsia" w:hAnsiTheme="minorBidi"/>
          <w:sz w:val="24"/>
          <w:szCs w:val="24"/>
          <w:lang w:eastAsia="en-GB"/>
        </w:rPr>
        <w:t>PHCs</w:t>
      </w:r>
      <w:r w:rsidRPr="000C6938">
        <w:rPr>
          <w:rFonts w:asciiTheme="minorBidi" w:eastAsiaTheme="minorEastAsia" w:hAnsiTheme="minorBidi"/>
          <w:sz w:val="24"/>
          <w:szCs w:val="24"/>
          <w:lang w:eastAsia="en-GB"/>
        </w:rPr>
        <w:t xml:space="preserve"> are identified in this sub-theme. </w:t>
      </w:r>
      <w:r w:rsidRPr="00887611">
        <w:rPr>
          <w:rFonts w:asciiTheme="minorBidi" w:eastAsiaTheme="minorEastAsia" w:hAnsiTheme="minorBidi"/>
          <w:sz w:val="24"/>
          <w:szCs w:val="24"/>
          <w:lang w:eastAsia="en-GB"/>
        </w:rPr>
        <w:t xml:space="preserve">The next sub-theme moves to identify </w:t>
      </w:r>
      <w:r>
        <w:rPr>
          <w:rFonts w:asciiTheme="minorBidi" w:eastAsiaTheme="minorEastAsia" w:hAnsiTheme="minorBidi"/>
          <w:sz w:val="24"/>
          <w:szCs w:val="24"/>
          <w:lang w:eastAsia="en-GB"/>
        </w:rPr>
        <w:t xml:space="preserve">the </w:t>
      </w:r>
      <w:r w:rsidRPr="006E17AB">
        <w:rPr>
          <w:rFonts w:asciiTheme="minorBidi" w:eastAsiaTheme="minorEastAsia" w:hAnsiTheme="minorBidi"/>
          <w:sz w:val="24"/>
          <w:szCs w:val="24"/>
          <w:lang w:eastAsia="en-GB"/>
        </w:rPr>
        <w:t xml:space="preserve">barriers to engaging pharmacists in managing diabetes with </w:t>
      </w:r>
      <w:r w:rsidRPr="00887611">
        <w:rPr>
          <w:rFonts w:asciiTheme="minorBidi" w:eastAsiaTheme="minorEastAsia" w:hAnsiTheme="minorBidi"/>
          <w:sz w:val="24"/>
          <w:szCs w:val="24"/>
          <w:lang w:eastAsia="en-GB"/>
        </w:rPr>
        <w:t xml:space="preserve">the health transformation strategy as pharmacists are currently no longer working in </w:t>
      </w:r>
      <w:r>
        <w:rPr>
          <w:rFonts w:asciiTheme="minorBidi" w:eastAsiaTheme="minorEastAsia" w:hAnsiTheme="minorBidi"/>
          <w:sz w:val="24"/>
          <w:szCs w:val="24"/>
          <w:lang w:eastAsia="en-GB"/>
        </w:rPr>
        <w:t>PHCs</w:t>
      </w:r>
      <w:r w:rsidRPr="00887611">
        <w:rPr>
          <w:rFonts w:asciiTheme="minorBidi" w:eastAsiaTheme="minorEastAsia" w:hAnsiTheme="minorBidi"/>
          <w:sz w:val="24"/>
          <w:szCs w:val="24"/>
          <w:lang w:eastAsia="en-GB"/>
        </w:rPr>
        <w:t>. All pharmacists were transferred to work elsewhere, most to hospitals where participating pharmacists reported this.</w:t>
      </w:r>
    </w:p>
    <w:p w14:paraId="3BEC5B8F" w14:textId="77777777" w:rsidR="004F7907" w:rsidRPr="00D7190F" w:rsidRDefault="004F7907" w:rsidP="00821B82">
      <w:pPr>
        <w:spacing w:before="240" w:line="360" w:lineRule="auto"/>
        <w:jc w:val="both"/>
        <w:rPr>
          <w:rFonts w:asciiTheme="minorBidi" w:eastAsiaTheme="minorEastAsia" w:hAnsiTheme="minorBidi"/>
          <w:sz w:val="24"/>
          <w:szCs w:val="24"/>
          <w:lang w:eastAsia="en-GB"/>
        </w:rPr>
      </w:pPr>
    </w:p>
    <w:p w14:paraId="183956F1" w14:textId="77777777" w:rsidR="00821B82" w:rsidRPr="004F7907" w:rsidRDefault="00821B82" w:rsidP="004F7907">
      <w:pPr>
        <w:pStyle w:val="Heading4"/>
        <w:numPr>
          <w:ilvl w:val="3"/>
          <w:numId w:val="14"/>
        </w:numPr>
        <w:tabs>
          <w:tab w:val="left" w:pos="720"/>
        </w:tabs>
        <w:spacing w:after="240" w:line="240" w:lineRule="auto"/>
        <w:rPr>
          <w:rFonts w:asciiTheme="minorBidi" w:hAnsiTheme="minorBidi" w:cstheme="minorBidi"/>
        </w:rPr>
      </w:pPr>
      <w:r w:rsidRPr="004F7907">
        <w:rPr>
          <w:rFonts w:asciiTheme="minorBidi" w:hAnsiTheme="minorBidi" w:cstheme="minorBidi"/>
        </w:rPr>
        <w:t xml:space="preserve"> </w:t>
      </w:r>
      <w:bookmarkStart w:id="259" w:name="_Toc122626440"/>
      <w:r w:rsidRPr="004F7907">
        <w:rPr>
          <w:rFonts w:asciiTheme="minorBidi" w:hAnsiTheme="minorBidi" w:cstheme="minorBidi"/>
          <w:sz w:val="24"/>
          <w:szCs w:val="24"/>
        </w:rPr>
        <w:t>Barriers to pharmacists’ involvement in diabetes primary care management and proposed solutions</w:t>
      </w:r>
      <w:r w:rsidRPr="004F7907">
        <w:rPr>
          <w:rFonts w:asciiTheme="minorBidi" w:hAnsiTheme="minorBidi" w:cstheme="minorBidi"/>
        </w:rPr>
        <w:t xml:space="preserve"> </w:t>
      </w:r>
      <w:bookmarkEnd w:id="259"/>
    </w:p>
    <w:p w14:paraId="6AC9208F" w14:textId="77777777" w:rsidR="00821B82" w:rsidRDefault="00821B82" w:rsidP="00821B82">
      <w:pPr>
        <w:spacing w:before="240" w:line="360" w:lineRule="auto"/>
        <w:jc w:val="both"/>
        <w:rPr>
          <w:rFonts w:asciiTheme="minorBidi" w:hAnsiTheme="minorBidi"/>
          <w:sz w:val="24"/>
          <w:szCs w:val="24"/>
        </w:rPr>
      </w:pPr>
      <w:r w:rsidRPr="00AA5FB8">
        <w:rPr>
          <w:rFonts w:asciiTheme="minorBidi" w:hAnsiTheme="minorBidi"/>
          <w:sz w:val="24"/>
          <w:szCs w:val="24"/>
        </w:rPr>
        <w:t xml:space="preserve">This section will discuss the challenges in engaging pharmacists in treating patients with diabetes in PHCs and provide solutions suggested by participants that may help overcome these challenges. Analysis of interviews with </w:t>
      </w:r>
      <w:r>
        <w:rPr>
          <w:rFonts w:asciiTheme="minorBidi" w:hAnsiTheme="minorBidi"/>
          <w:sz w:val="24"/>
          <w:szCs w:val="24"/>
        </w:rPr>
        <w:t>HCPs</w:t>
      </w:r>
      <w:r w:rsidRPr="00AA5FB8">
        <w:rPr>
          <w:rFonts w:asciiTheme="minorBidi" w:hAnsiTheme="minorBidi"/>
          <w:sz w:val="24"/>
          <w:szCs w:val="24"/>
        </w:rPr>
        <w:t xml:space="preserve"> in PHCs showed that the biggest challenge now is the lack of a pharmacist on the chronic disease care team. This is because after the pharmacies of PHCs were closed, all pharmacists were transferred to work in other health institutions such as hospitals.</w:t>
      </w:r>
    </w:p>
    <w:p w14:paraId="40F2F2F4" w14:textId="77777777" w:rsidR="00821B82" w:rsidRPr="004F7907" w:rsidRDefault="00821B82" w:rsidP="00821B82">
      <w:pPr>
        <w:pStyle w:val="Heading5"/>
        <w:spacing w:after="240"/>
        <w:jc w:val="both"/>
        <w:rPr>
          <w:rFonts w:asciiTheme="minorBidi" w:hAnsiTheme="minorBidi" w:cstheme="minorBidi"/>
          <w:sz w:val="24"/>
          <w:szCs w:val="24"/>
          <w:rtl/>
        </w:rPr>
      </w:pPr>
      <w:r w:rsidRPr="004F7907">
        <w:rPr>
          <w:rFonts w:asciiTheme="minorBidi" w:hAnsiTheme="minorBidi" w:cstheme="minorBidi"/>
          <w:sz w:val="24"/>
          <w:szCs w:val="24"/>
        </w:rPr>
        <w:t>Transferring pharmacists from PHCs and the impact of the work environment on their participation in patient care</w:t>
      </w:r>
    </w:p>
    <w:p w14:paraId="435F4EC9" w14:textId="77777777" w:rsidR="00821B82" w:rsidRPr="00E07DFF"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240" w:line="360" w:lineRule="auto"/>
        <w:jc w:val="both"/>
        <w:rPr>
          <w:rFonts w:asciiTheme="minorBidi" w:hAnsiTheme="minorBidi"/>
          <w:sz w:val="24"/>
          <w:szCs w:val="24"/>
        </w:rPr>
      </w:pPr>
      <w:r>
        <w:rPr>
          <w:rFonts w:asciiTheme="minorBidi" w:hAnsiTheme="minorBidi"/>
          <w:sz w:val="24"/>
          <w:szCs w:val="24"/>
        </w:rPr>
        <w:t>D</w:t>
      </w:r>
      <w:r w:rsidRPr="002C162F">
        <w:rPr>
          <w:rFonts w:asciiTheme="minorBidi" w:hAnsiTheme="minorBidi"/>
          <w:sz w:val="24"/>
          <w:szCs w:val="24"/>
        </w:rPr>
        <w:t xml:space="preserve">ue to the recent changes in </w:t>
      </w:r>
      <w:r>
        <w:rPr>
          <w:rFonts w:asciiTheme="minorBidi" w:hAnsiTheme="minorBidi"/>
          <w:sz w:val="24"/>
          <w:szCs w:val="24"/>
        </w:rPr>
        <w:t>PHC</w:t>
      </w:r>
      <w:r w:rsidRPr="002C162F">
        <w:rPr>
          <w:rFonts w:asciiTheme="minorBidi" w:hAnsiTheme="minorBidi"/>
          <w:sz w:val="24"/>
          <w:szCs w:val="24"/>
        </w:rPr>
        <w:t xml:space="preserve"> services</w:t>
      </w:r>
      <w:r>
        <w:rPr>
          <w:rFonts w:asciiTheme="minorBidi" w:hAnsiTheme="minorBidi"/>
          <w:sz w:val="24"/>
          <w:szCs w:val="24"/>
        </w:rPr>
        <w:t>,</w:t>
      </w:r>
      <w:r w:rsidRPr="002C162F">
        <w:rPr>
          <w:rFonts w:asciiTheme="minorBidi" w:hAnsiTheme="minorBidi"/>
          <w:sz w:val="24"/>
          <w:szCs w:val="24"/>
        </w:rPr>
        <w:t xml:space="preserve"> pharmacies </w:t>
      </w:r>
      <w:r>
        <w:rPr>
          <w:rFonts w:asciiTheme="minorBidi" w:hAnsiTheme="minorBidi"/>
          <w:sz w:val="24"/>
          <w:szCs w:val="24"/>
        </w:rPr>
        <w:t>in</w:t>
      </w:r>
      <w:r w:rsidRPr="002C162F">
        <w:rPr>
          <w:rFonts w:asciiTheme="minorBidi" w:hAnsiTheme="minorBidi"/>
          <w:sz w:val="24"/>
          <w:szCs w:val="24"/>
        </w:rPr>
        <w:t xml:space="preserve"> </w:t>
      </w:r>
      <w:r>
        <w:rPr>
          <w:rFonts w:asciiTheme="minorBidi" w:hAnsiTheme="minorBidi"/>
          <w:sz w:val="24"/>
          <w:szCs w:val="24"/>
        </w:rPr>
        <w:t>PHCs have been closed</w:t>
      </w:r>
      <w:r w:rsidRPr="002C162F">
        <w:rPr>
          <w:rFonts w:asciiTheme="minorBidi" w:hAnsiTheme="minorBidi"/>
          <w:sz w:val="24"/>
          <w:szCs w:val="24"/>
        </w:rPr>
        <w:t>, and pharmacists have been transferred to work in hospitals.</w:t>
      </w:r>
      <w:r>
        <w:rPr>
          <w:rFonts w:asciiTheme="minorBidi" w:hAnsiTheme="minorBidi"/>
          <w:sz w:val="24"/>
          <w:szCs w:val="24"/>
        </w:rPr>
        <w:t xml:space="preserve"> Pharmacist interviewees</w:t>
      </w:r>
      <w:r w:rsidRPr="00B75C4D">
        <w:rPr>
          <w:rFonts w:asciiTheme="minorBidi" w:hAnsiTheme="minorBidi"/>
          <w:sz w:val="24"/>
          <w:szCs w:val="24"/>
        </w:rPr>
        <w:t xml:space="preserve"> described the effect of the work environment on them and the services provided. They talked about the difference between working in </w:t>
      </w:r>
      <w:r>
        <w:rPr>
          <w:rFonts w:asciiTheme="minorBidi" w:hAnsiTheme="minorBidi"/>
          <w:sz w:val="24"/>
          <w:szCs w:val="24"/>
        </w:rPr>
        <w:t>a PHC</w:t>
      </w:r>
      <w:r w:rsidRPr="00B75C4D">
        <w:rPr>
          <w:rFonts w:asciiTheme="minorBidi" w:hAnsiTheme="minorBidi"/>
          <w:sz w:val="24"/>
          <w:szCs w:val="24"/>
        </w:rPr>
        <w:t xml:space="preserve"> and </w:t>
      </w:r>
      <w:r>
        <w:rPr>
          <w:rFonts w:asciiTheme="minorBidi" w:hAnsiTheme="minorBidi"/>
          <w:sz w:val="24"/>
          <w:szCs w:val="24"/>
        </w:rPr>
        <w:t xml:space="preserve">a </w:t>
      </w:r>
      <w:r w:rsidRPr="00B75C4D">
        <w:rPr>
          <w:rFonts w:asciiTheme="minorBidi" w:hAnsiTheme="minorBidi"/>
          <w:sz w:val="24"/>
          <w:szCs w:val="24"/>
        </w:rPr>
        <w:t xml:space="preserve">hospital. They expressed </w:t>
      </w:r>
      <w:r>
        <w:rPr>
          <w:rFonts w:asciiTheme="minorBidi" w:hAnsiTheme="minorBidi"/>
          <w:sz w:val="24"/>
          <w:szCs w:val="24"/>
        </w:rPr>
        <w:t xml:space="preserve">stronger </w:t>
      </w:r>
      <w:r w:rsidRPr="00B75C4D">
        <w:rPr>
          <w:rFonts w:asciiTheme="minorBidi" w:hAnsiTheme="minorBidi"/>
          <w:sz w:val="24"/>
          <w:szCs w:val="24"/>
        </w:rPr>
        <w:t>feeling</w:t>
      </w:r>
      <w:r>
        <w:rPr>
          <w:rFonts w:asciiTheme="minorBidi" w:hAnsiTheme="minorBidi"/>
          <w:sz w:val="24"/>
          <w:szCs w:val="24"/>
        </w:rPr>
        <w:t>s</w:t>
      </w:r>
      <w:r w:rsidRPr="00B75C4D">
        <w:rPr>
          <w:rFonts w:asciiTheme="minorBidi" w:hAnsiTheme="minorBidi"/>
          <w:sz w:val="24"/>
          <w:szCs w:val="24"/>
        </w:rPr>
        <w:t xml:space="preserve"> of ease and comfort with </w:t>
      </w:r>
      <w:r>
        <w:rPr>
          <w:rFonts w:asciiTheme="minorBidi" w:hAnsiTheme="minorBidi"/>
          <w:sz w:val="24"/>
          <w:szCs w:val="24"/>
        </w:rPr>
        <w:t xml:space="preserve">their </w:t>
      </w:r>
      <w:r w:rsidRPr="00B75C4D">
        <w:rPr>
          <w:rFonts w:asciiTheme="minorBidi" w:hAnsiTheme="minorBidi"/>
          <w:sz w:val="24"/>
          <w:szCs w:val="24"/>
        </w:rPr>
        <w:t>work enviro</w:t>
      </w:r>
      <w:r>
        <w:rPr>
          <w:rFonts w:asciiTheme="minorBidi" w:hAnsiTheme="minorBidi"/>
          <w:sz w:val="24"/>
          <w:szCs w:val="24"/>
        </w:rPr>
        <w:t>n</w:t>
      </w:r>
      <w:r w:rsidRPr="00B75C4D">
        <w:rPr>
          <w:rFonts w:asciiTheme="minorBidi" w:hAnsiTheme="minorBidi"/>
          <w:sz w:val="24"/>
          <w:szCs w:val="24"/>
        </w:rPr>
        <w:t xml:space="preserve">ment and colleagues </w:t>
      </w:r>
      <w:r>
        <w:rPr>
          <w:rFonts w:asciiTheme="minorBidi" w:hAnsiTheme="minorBidi"/>
          <w:sz w:val="24"/>
          <w:szCs w:val="24"/>
        </w:rPr>
        <w:t xml:space="preserve">in </w:t>
      </w:r>
      <w:r w:rsidRPr="00B75C4D">
        <w:rPr>
          <w:rFonts w:asciiTheme="minorBidi" w:hAnsiTheme="minorBidi"/>
          <w:sz w:val="24"/>
          <w:szCs w:val="24"/>
        </w:rPr>
        <w:t xml:space="preserve">the </w:t>
      </w:r>
      <w:r>
        <w:rPr>
          <w:rFonts w:asciiTheme="minorBidi" w:hAnsiTheme="minorBidi"/>
          <w:sz w:val="24"/>
          <w:szCs w:val="24"/>
        </w:rPr>
        <w:t>PHC</w:t>
      </w:r>
      <w:r w:rsidRPr="00B75C4D">
        <w:rPr>
          <w:rFonts w:asciiTheme="minorBidi" w:hAnsiTheme="minorBidi"/>
          <w:sz w:val="24"/>
          <w:szCs w:val="24"/>
        </w:rPr>
        <w:t xml:space="preserve"> than</w:t>
      </w:r>
      <w:r>
        <w:rPr>
          <w:rFonts w:asciiTheme="minorBidi" w:hAnsiTheme="minorBidi"/>
          <w:sz w:val="24"/>
          <w:szCs w:val="24"/>
        </w:rPr>
        <w:t xml:space="preserve"> in</w:t>
      </w:r>
      <w:r w:rsidRPr="00B75C4D">
        <w:rPr>
          <w:rFonts w:asciiTheme="minorBidi" w:hAnsiTheme="minorBidi"/>
          <w:sz w:val="24"/>
          <w:szCs w:val="24"/>
        </w:rPr>
        <w:t xml:space="preserve"> the hospital</w:t>
      </w:r>
      <w:r>
        <w:rPr>
          <w:rFonts w:asciiTheme="minorBidi" w:hAnsiTheme="minorBidi"/>
          <w:sz w:val="24"/>
          <w:szCs w:val="24"/>
        </w:rPr>
        <w:t>,</w:t>
      </w:r>
      <w:r w:rsidRPr="00B75C4D">
        <w:rPr>
          <w:rFonts w:asciiTheme="minorBidi" w:hAnsiTheme="minorBidi"/>
          <w:sz w:val="24"/>
          <w:szCs w:val="24"/>
        </w:rPr>
        <w:t xml:space="preserve"> </w:t>
      </w:r>
      <w:r>
        <w:rPr>
          <w:rFonts w:asciiTheme="minorBidi" w:hAnsiTheme="minorBidi"/>
          <w:sz w:val="24"/>
          <w:szCs w:val="24"/>
        </w:rPr>
        <w:t xml:space="preserve">and </w:t>
      </w:r>
      <w:r w:rsidRPr="005D7786">
        <w:rPr>
          <w:rFonts w:asciiTheme="minorBidi" w:hAnsiTheme="minorBidi"/>
          <w:sz w:val="24"/>
          <w:szCs w:val="24"/>
        </w:rPr>
        <w:t xml:space="preserve">described working in the PHC as </w:t>
      </w:r>
      <w:r>
        <w:rPr>
          <w:rFonts w:asciiTheme="minorBidi" w:hAnsiTheme="minorBidi"/>
          <w:sz w:val="24"/>
          <w:szCs w:val="24"/>
        </w:rPr>
        <w:t xml:space="preserve">the </w:t>
      </w:r>
      <w:r w:rsidRPr="005D7786">
        <w:rPr>
          <w:rFonts w:asciiTheme="minorBidi" w:hAnsiTheme="minorBidi"/>
          <w:sz w:val="24"/>
          <w:szCs w:val="24"/>
        </w:rPr>
        <w:t>most comfortable medical home enviro</w:t>
      </w:r>
      <w:r>
        <w:rPr>
          <w:rFonts w:asciiTheme="minorBidi" w:hAnsiTheme="minorBidi"/>
          <w:sz w:val="24"/>
          <w:szCs w:val="24"/>
        </w:rPr>
        <w:t>n</w:t>
      </w:r>
      <w:r w:rsidRPr="005D7786">
        <w:rPr>
          <w:rFonts w:asciiTheme="minorBidi" w:hAnsiTheme="minorBidi"/>
          <w:sz w:val="24"/>
          <w:szCs w:val="24"/>
        </w:rPr>
        <w:t xml:space="preserve">ment. </w:t>
      </w:r>
      <w:r w:rsidRPr="00B75C4D">
        <w:rPr>
          <w:rFonts w:asciiTheme="minorBidi" w:hAnsiTheme="minorBidi"/>
          <w:sz w:val="24"/>
          <w:szCs w:val="24"/>
        </w:rPr>
        <w:t>They acknowledge</w:t>
      </w:r>
      <w:r>
        <w:rPr>
          <w:rFonts w:asciiTheme="minorBidi" w:hAnsiTheme="minorBidi"/>
          <w:sz w:val="24"/>
          <w:szCs w:val="24"/>
        </w:rPr>
        <w:t>d</w:t>
      </w:r>
      <w:r w:rsidRPr="00B75C4D">
        <w:rPr>
          <w:rFonts w:asciiTheme="minorBidi" w:hAnsiTheme="minorBidi"/>
          <w:sz w:val="24"/>
          <w:szCs w:val="24"/>
        </w:rPr>
        <w:t xml:space="preserve"> the differences in the work environment between </w:t>
      </w:r>
      <w:r>
        <w:rPr>
          <w:rFonts w:asciiTheme="minorBidi" w:hAnsiTheme="minorBidi"/>
          <w:sz w:val="24"/>
          <w:szCs w:val="24"/>
        </w:rPr>
        <w:t>the PHC</w:t>
      </w:r>
      <w:r w:rsidRPr="00B75C4D">
        <w:rPr>
          <w:rFonts w:asciiTheme="minorBidi" w:hAnsiTheme="minorBidi"/>
          <w:sz w:val="24"/>
          <w:szCs w:val="24"/>
        </w:rPr>
        <w:t xml:space="preserve"> and hospital and how these differences affect their contribution </w:t>
      </w:r>
      <w:r>
        <w:rPr>
          <w:rFonts w:asciiTheme="minorBidi" w:hAnsiTheme="minorBidi"/>
          <w:sz w:val="24"/>
          <w:szCs w:val="24"/>
        </w:rPr>
        <w:t>to</w:t>
      </w:r>
      <w:r w:rsidRPr="00B75C4D">
        <w:rPr>
          <w:rFonts w:asciiTheme="minorBidi" w:hAnsiTheme="minorBidi"/>
          <w:sz w:val="24"/>
          <w:szCs w:val="24"/>
        </w:rPr>
        <w:t xml:space="preserve"> the patients' management</w:t>
      </w:r>
      <w:r>
        <w:rPr>
          <w:rFonts w:asciiTheme="minorBidi" w:hAnsiTheme="minorBidi"/>
          <w:sz w:val="24"/>
          <w:szCs w:val="24"/>
        </w:rPr>
        <w:t>. T</w:t>
      </w:r>
      <w:r w:rsidRPr="00F212EE">
        <w:rPr>
          <w:rFonts w:asciiTheme="minorBidi" w:hAnsiTheme="minorBidi"/>
          <w:sz w:val="24"/>
          <w:szCs w:val="24"/>
        </w:rPr>
        <w:t xml:space="preserve">he quality of teamwork and collaboration between </w:t>
      </w:r>
      <w:r>
        <w:rPr>
          <w:rFonts w:asciiTheme="minorBidi" w:hAnsiTheme="minorBidi"/>
          <w:sz w:val="24"/>
          <w:szCs w:val="24"/>
        </w:rPr>
        <w:t>HCPs</w:t>
      </w:r>
      <w:r w:rsidRPr="00F212EE">
        <w:rPr>
          <w:rFonts w:asciiTheme="minorBidi" w:hAnsiTheme="minorBidi"/>
          <w:sz w:val="24"/>
          <w:szCs w:val="24"/>
        </w:rPr>
        <w:t xml:space="preserve"> </w:t>
      </w:r>
      <w:r>
        <w:rPr>
          <w:rFonts w:asciiTheme="minorBidi" w:hAnsiTheme="minorBidi"/>
          <w:sz w:val="24"/>
          <w:szCs w:val="24"/>
        </w:rPr>
        <w:t xml:space="preserve">as well as patients </w:t>
      </w:r>
      <w:r w:rsidRPr="00F212EE">
        <w:rPr>
          <w:rFonts w:asciiTheme="minorBidi" w:hAnsiTheme="minorBidi"/>
          <w:sz w:val="24"/>
          <w:szCs w:val="24"/>
        </w:rPr>
        <w:t>within</w:t>
      </w:r>
      <w:r>
        <w:rPr>
          <w:rFonts w:asciiTheme="minorBidi" w:hAnsiTheme="minorBidi"/>
          <w:sz w:val="24"/>
          <w:szCs w:val="24"/>
        </w:rPr>
        <w:t xml:space="preserve"> PHCs more than in hospitals</w:t>
      </w:r>
    </w:p>
    <w:p w14:paraId="3A5E4E2F" w14:textId="77777777" w:rsidR="00821B82" w:rsidRPr="00040A53"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I initially worked in a hospital pharmacy, then I moved to work in PHC. My experience working in a PHC pharmacy was different. I feel it brings me closer to the patients</w:t>
      </w:r>
      <w:r>
        <w:rPr>
          <w:rFonts w:eastAsiaTheme="minorEastAsia" w:cstheme="minorHAnsi"/>
          <w:i/>
          <w:iCs/>
          <w:sz w:val="24"/>
          <w:szCs w:val="24"/>
          <w:lang w:val="en-GB" w:eastAsia="en-GB"/>
        </w:rPr>
        <w:t xml:space="preserve"> [</w:t>
      </w:r>
      <w:r w:rsidRPr="00040A53">
        <w:rPr>
          <w:rFonts w:eastAsiaTheme="minorEastAsia" w:cstheme="minorHAnsi"/>
          <w:i/>
          <w:iCs/>
          <w:sz w:val="24"/>
          <w:szCs w:val="24"/>
          <w:lang w:val="en-GB" w:eastAsia="en-GB"/>
        </w:rPr>
        <w:t>…</w:t>
      </w:r>
      <w:r>
        <w:rPr>
          <w:rFonts w:eastAsiaTheme="minorEastAsia" w:cstheme="minorHAnsi"/>
          <w:i/>
          <w:iCs/>
          <w:sz w:val="24"/>
          <w:szCs w:val="24"/>
          <w:lang w:val="en-GB" w:eastAsia="en-GB"/>
        </w:rPr>
        <w:t xml:space="preserve">] </w:t>
      </w:r>
      <w:r w:rsidRPr="00040A53">
        <w:rPr>
          <w:rFonts w:eastAsiaTheme="minorEastAsia" w:cstheme="minorHAnsi"/>
          <w:i/>
          <w:iCs/>
          <w:sz w:val="24"/>
          <w:szCs w:val="24"/>
          <w:lang w:val="en-GB" w:eastAsia="en-GB"/>
        </w:rPr>
        <w:t>In general, more patient-focused than in the hospital. I feel there is a difference between the hospital and the PHCs in how to deal with patients. In PHCs, we have the opportunity to participate in the medication therapy management for all chronic patients. We have a chance to interact with patients more, and that's what I used to do with them when I was working in the centre</w:t>
      </w: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 xml:space="preserve"> Ph2</w:t>
      </w:r>
    </w:p>
    <w:p w14:paraId="4EEA40C2" w14:textId="77777777" w:rsidR="00821B82" w:rsidRPr="003E4FF7"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asciiTheme="minorBidi" w:hAnsiTheme="minorBidi"/>
          <w:sz w:val="24"/>
          <w:szCs w:val="24"/>
        </w:rPr>
      </w:pPr>
      <w:r w:rsidRPr="00B75C4D">
        <w:rPr>
          <w:rFonts w:asciiTheme="minorBidi" w:hAnsiTheme="minorBidi"/>
          <w:sz w:val="24"/>
          <w:szCs w:val="24"/>
        </w:rPr>
        <w:t xml:space="preserve">Other pharmacist interviewees had different opinions </w:t>
      </w:r>
      <w:r>
        <w:rPr>
          <w:rFonts w:asciiTheme="minorBidi" w:hAnsiTheme="minorBidi"/>
          <w:sz w:val="24"/>
          <w:szCs w:val="24"/>
        </w:rPr>
        <w:t>from</w:t>
      </w:r>
      <w:r w:rsidRPr="00B75C4D">
        <w:rPr>
          <w:rFonts w:asciiTheme="minorBidi" w:hAnsiTheme="minorBidi"/>
          <w:sz w:val="24"/>
          <w:szCs w:val="24"/>
        </w:rPr>
        <w:t xml:space="preserve"> the above. They found that </w:t>
      </w:r>
      <w:r>
        <w:rPr>
          <w:rFonts w:asciiTheme="minorBidi" w:hAnsiTheme="minorBidi"/>
          <w:sz w:val="24"/>
          <w:szCs w:val="24"/>
        </w:rPr>
        <w:t xml:space="preserve">in </w:t>
      </w:r>
      <w:r w:rsidRPr="00B75C4D">
        <w:rPr>
          <w:rFonts w:asciiTheme="minorBidi" w:hAnsiTheme="minorBidi"/>
          <w:sz w:val="24"/>
          <w:szCs w:val="24"/>
        </w:rPr>
        <w:t>compar</w:t>
      </w:r>
      <w:r>
        <w:rPr>
          <w:rFonts w:asciiTheme="minorBidi" w:hAnsiTheme="minorBidi"/>
          <w:sz w:val="24"/>
          <w:szCs w:val="24"/>
        </w:rPr>
        <w:t>ison</w:t>
      </w:r>
      <w:r w:rsidRPr="00B75C4D">
        <w:rPr>
          <w:rFonts w:asciiTheme="minorBidi" w:hAnsiTheme="minorBidi"/>
          <w:sz w:val="24"/>
          <w:szCs w:val="24"/>
        </w:rPr>
        <w:t xml:space="preserve"> to the hospital the work environment </w:t>
      </w:r>
      <w:r>
        <w:rPr>
          <w:rFonts w:asciiTheme="minorBidi" w:hAnsiTheme="minorBidi"/>
          <w:sz w:val="24"/>
          <w:szCs w:val="24"/>
        </w:rPr>
        <w:t xml:space="preserve">in the PHC </w:t>
      </w:r>
      <w:r w:rsidRPr="00B75C4D">
        <w:rPr>
          <w:rFonts w:asciiTheme="minorBidi" w:hAnsiTheme="minorBidi"/>
          <w:sz w:val="24"/>
          <w:szCs w:val="24"/>
        </w:rPr>
        <w:t>was not conducive to the development of the pharmacy profession/practice</w:t>
      </w:r>
      <w:r>
        <w:rPr>
          <w:rFonts w:asciiTheme="minorBidi" w:hAnsiTheme="minorBidi"/>
          <w:sz w:val="24"/>
          <w:szCs w:val="24"/>
        </w:rPr>
        <w:t>.</w:t>
      </w:r>
    </w:p>
    <w:p w14:paraId="0BC32A99" w14:textId="77777777" w:rsidR="00821B82" w:rsidRPr="00040A53"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 xml:space="preserve">The work environment in PHCs was not encouraging to practise the clinical role; there was no support system for it. There was no pharmacy profession development team there supporting pharmacists to provide clinical services to patients. My primary role in </w:t>
      </w:r>
      <w:r>
        <w:rPr>
          <w:rFonts w:eastAsiaTheme="minorEastAsia" w:cstheme="minorHAnsi"/>
          <w:i/>
          <w:iCs/>
          <w:sz w:val="24"/>
          <w:szCs w:val="24"/>
          <w:lang w:val="en-GB" w:eastAsia="en-GB"/>
        </w:rPr>
        <w:t>PHCs</w:t>
      </w:r>
      <w:r w:rsidRPr="00040A53">
        <w:rPr>
          <w:rFonts w:eastAsiaTheme="minorEastAsia" w:cstheme="minorHAnsi"/>
          <w:i/>
          <w:iCs/>
          <w:sz w:val="24"/>
          <w:szCs w:val="24"/>
          <w:lang w:val="en-GB" w:eastAsia="en-GB"/>
        </w:rPr>
        <w:t xml:space="preserve"> was close to the technician's role and focused on preparing medication requests and </w:t>
      </w: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w:t>
      </w:r>
      <w:r>
        <w:rPr>
          <w:rFonts w:eastAsiaTheme="minorEastAsia" w:cstheme="minorHAnsi"/>
          <w:i/>
          <w:iCs/>
          <w:sz w:val="24"/>
          <w:szCs w:val="24"/>
          <w:lang w:val="en-GB" w:eastAsia="en-GB"/>
        </w:rPr>
        <w:t xml:space="preserve">] </w:t>
      </w:r>
      <w:r w:rsidRPr="00040A53">
        <w:rPr>
          <w:rFonts w:eastAsiaTheme="minorEastAsia" w:cstheme="minorHAnsi"/>
          <w:i/>
          <w:iCs/>
          <w:sz w:val="24"/>
          <w:szCs w:val="24"/>
          <w:lang w:val="en-GB" w:eastAsia="en-GB"/>
        </w:rPr>
        <w:t>My role in the hospital is now somewhat better</w:t>
      </w:r>
      <w:r>
        <w:rPr>
          <w:rFonts w:eastAsiaTheme="minorEastAsia" w:cstheme="minorHAnsi"/>
          <w:i/>
          <w:iCs/>
          <w:sz w:val="24"/>
          <w:szCs w:val="24"/>
          <w:lang w:val="en-GB" w:eastAsia="en-GB"/>
        </w:rPr>
        <w:t xml:space="preserve"> [</w:t>
      </w:r>
      <w:r w:rsidRPr="00040A53">
        <w:rPr>
          <w:rFonts w:eastAsiaTheme="minorEastAsia" w:cstheme="minorHAnsi"/>
          <w:i/>
          <w:iCs/>
          <w:sz w:val="24"/>
          <w:szCs w:val="24"/>
          <w:lang w:val="en-GB" w:eastAsia="en-GB"/>
        </w:rPr>
        <w:t>…</w:t>
      </w: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 xml:space="preserve"> I served in PHCs several years and did not learn as much as I did in a year of working in the hospital. My information about medication has enriched this year, so now, my evaluation of the treatment plan is completely different from my previous experience working in PHCs. Now, I feel that I am practising my actual role as a pharmacist.</w:t>
      </w: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 xml:space="preserve"> Ph1</w:t>
      </w:r>
    </w:p>
    <w:p w14:paraId="5945D412" w14:textId="77777777" w:rsidR="00821B82" w:rsidRPr="00040A53"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Pharmacies in the PHCs are closed and we are moved to work in the hospital. Our role in the hospital is now more scrutini</w:t>
      </w:r>
      <w:r>
        <w:rPr>
          <w:rFonts w:eastAsiaTheme="minorEastAsia" w:cstheme="minorHAnsi"/>
          <w:i/>
          <w:iCs/>
          <w:sz w:val="24"/>
          <w:szCs w:val="24"/>
          <w:lang w:val="en-GB" w:eastAsia="en-GB"/>
        </w:rPr>
        <w:t>s</w:t>
      </w:r>
      <w:r w:rsidRPr="00040A53">
        <w:rPr>
          <w:rFonts w:eastAsiaTheme="minorEastAsia" w:cstheme="minorHAnsi"/>
          <w:i/>
          <w:iCs/>
          <w:sz w:val="24"/>
          <w:szCs w:val="24"/>
          <w:lang w:val="en-GB" w:eastAsia="en-GB"/>
        </w:rPr>
        <w:t>ed to ensure the safe prescribing and safe dispensing of medications to patients.</w:t>
      </w:r>
      <w:r>
        <w:rPr>
          <w:rFonts w:eastAsiaTheme="minorEastAsia" w:cstheme="minorHAnsi"/>
          <w:i/>
          <w:iCs/>
          <w:sz w:val="24"/>
          <w:szCs w:val="24"/>
          <w:lang w:val="en-GB" w:eastAsia="en-GB"/>
        </w:rPr>
        <w:t>’</w:t>
      </w:r>
      <w:r w:rsidRPr="00040A53">
        <w:rPr>
          <w:rFonts w:eastAsiaTheme="minorEastAsia" w:cstheme="minorHAnsi"/>
          <w:i/>
          <w:iCs/>
          <w:sz w:val="24"/>
          <w:szCs w:val="24"/>
          <w:lang w:val="en-GB" w:eastAsia="en-GB"/>
        </w:rPr>
        <w:t xml:space="preserve"> Ph3</w:t>
      </w:r>
    </w:p>
    <w:p w14:paraId="66E5A1FC" w14:textId="77777777" w:rsidR="00821B82" w:rsidRPr="009C3B6C" w:rsidRDefault="00821B82" w:rsidP="00821B82">
      <w:pPr>
        <w:spacing w:before="240" w:line="360" w:lineRule="auto"/>
        <w:jc w:val="both"/>
        <w:rPr>
          <w:rFonts w:asciiTheme="minorBidi" w:hAnsiTheme="minorBidi"/>
          <w:sz w:val="24"/>
          <w:szCs w:val="24"/>
        </w:rPr>
      </w:pPr>
      <w:r w:rsidRPr="00F169B4">
        <w:rPr>
          <w:rFonts w:asciiTheme="minorBidi" w:hAnsiTheme="minorBidi"/>
          <w:sz w:val="24"/>
          <w:szCs w:val="24"/>
        </w:rPr>
        <w:t>These findings suggest tha</w:t>
      </w:r>
      <w:r>
        <w:rPr>
          <w:rFonts w:asciiTheme="minorBidi" w:hAnsiTheme="minorBidi"/>
          <w:sz w:val="24"/>
          <w:szCs w:val="24"/>
        </w:rPr>
        <w:t>t t</w:t>
      </w:r>
      <w:r w:rsidRPr="009C3B6C">
        <w:rPr>
          <w:rFonts w:asciiTheme="minorBidi" w:hAnsiTheme="minorBidi"/>
          <w:sz w:val="24"/>
          <w:szCs w:val="24"/>
        </w:rPr>
        <w:t>he context of practi</w:t>
      </w:r>
      <w:r>
        <w:rPr>
          <w:rFonts w:asciiTheme="minorBidi" w:hAnsiTheme="minorBidi"/>
          <w:sz w:val="24"/>
          <w:szCs w:val="24"/>
        </w:rPr>
        <w:t>c</w:t>
      </w:r>
      <w:r w:rsidRPr="009C3B6C">
        <w:rPr>
          <w:rFonts w:asciiTheme="minorBidi" w:hAnsiTheme="minorBidi"/>
          <w:sz w:val="24"/>
          <w:szCs w:val="24"/>
        </w:rPr>
        <w:t xml:space="preserve">e varies in different healthcare settings </w:t>
      </w:r>
      <w:r>
        <w:rPr>
          <w:rFonts w:asciiTheme="minorBidi" w:hAnsiTheme="minorBidi"/>
          <w:sz w:val="24"/>
          <w:szCs w:val="24"/>
        </w:rPr>
        <w:t>–</w:t>
      </w:r>
      <w:r w:rsidRPr="009C3B6C">
        <w:rPr>
          <w:rFonts w:asciiTheme="minorBidi" w:hAnsiTheme="minorBidi"/>
          <w:sz w:val="24"/>
          <w:szCs w:val="24"/>
        </w:rPr>
        <w:t xml:space="preserve"> hospital pharmacists seem to have more power to stop dispensing a </w:t>
      </w:r>
      <w:r>
        <w:rPr>
          <w:rFonts w:asciiTheme="minorBidi" w:hAnsiTheme="minorBidi"/>
          <w:sz w:val="24"/>
          <w:szCs w:val="24"/>
        </w:rPr>
        <w:t xml:space="preserve">medical </w:t>
      </w:r>
      <w:r w:rsidRPr="009C3B6C">
        <w:rPr>
          <w:rFonts w:asciiTheme="minorBidi" w:hAnsiTheme="minorBidi"/>
          <w:sz w:val="24"/>
          <w:szCs w:val="24"/>
        </w:rPr>
        <w:t xml:space="preserve">prescription if there is </w:t>
      </w:r>
      <w:r>
        <w:rPr>
          <w:rFonts w:asciiTheme="minorBidi" w:hAnsiTheme="minorBidi"/>
          <w:sz w:val="24"/>
          <w:szCs w:val="24"/>
        </w:rPr>
        <w:t xml:space="preserve">an issue </w:t>
      </w:r>
      <w:r w:rsidRPr="009C3B6C">
        <w:rPr>
          <w:rFonts w:asciiTheme="minorBidi" w:hAnsiTheme="minorBidi"/>
          <w:sz w:val="24"/>
          <w:szCs w:val="24"/>
        </w:rPr>
        <w:t>with it. The pharmacist interviewe</w:t>
      </w:r>
      <w:r>
        <w:rPr>
          <w:rFonts w:asciiTheme="minorBidi" w:hAnsiTheme="minorBidi"/>
          <w:sz w:val="24"/>
          <w:szCs w:val="24"/>
        </w:rPr>
        <w:t>es justifie</w:t>
      </w:r>
      <w:r w:rsidRPr="009C3B6C">
        <w:rPr>
          <w:rFonts w:asciiTheme="minorBidi" w:hAnsiTheme="minorBidi"/>
          <w:sz w:val="24"/>
          <w:szCs w:val="24"/>
        </w:rPr>
        <w:t xml:space="preserve">d </w:t>
      </w:r>
      <w:r>
        <w:rPr>
          <w:rFonts w:asciiTheme="minorBidi" w:hAnsiTheme="minorBidi"/>
          <w:sz w:val="24"/>
          <w:szCs w:val="24"/>
        </w:rPr>
        <w:t xml:space="preserve">this by stating </w:t>
      </w:r>
      <w:r w:rsidRPr="009C3B6C">
        <w:rPr>
          <w:rFonts w:asciiTheme="minorBidi" w:hAnsiTheme="minorBidi"/>
          <w:sz w:val="24"/>
          <w:szCs w:val="24"/>
        </w:rPr>
        <w:t xml:space="preserve">that </w:t>
      </w:r>
      <w:r>
        <w:rPr>
          <w:rFonts w:asciiTheme="minorBidi" w:hAnsiTheme="minorBidi"/>
          <w:sz w:val="24"/>
          <w:szCs w:val="24"/>
        </w:rPr>
        <w:t xml:space="preserve">the </w:t>
      </w:r>
      <w:r w:rsidRPr="009C3B6C">
        <w:rPr>
          <w:rFonts w:asciiTheme="minorBidi" w:hAnsiTheme="minorBidi"/>
          <w:sz w:val="24"/>
          <w:szCs w:val="24"/>
        </w:rPr>
        <w:t xml:space="preserve">electronic system in the hospital enables the pharmacists to </w:t>
      </w:r>
      <w:r>
        <w:rPr>
          <w:rFonts w:asciiTheme="minorBidi" w:hAnsiTheme="minorBidi"/>
          <w:sz w:val="24"/>
          <w:szCs w:val="24"/>
        </w:rPr>
        <w:t xml:space="preserve">delay </w:t>
      </w:r>
      <w:r w:rsidRPr="009C3B6C">
        <w:rPr>
          <w:rFonts w:asciiTheme="minorBidi" w:hAnsiTheme="minorBidi"/>
          <w:sz w:val="24"/>
          <w:szCs w:val="24"/>
        </w:rPr>
        <w:t>dispens</w:t>
      </w:r>
      <w:r>
        <w:rPr>
          <w:rFonts w:asciiTheme="minorBidi" w:hAnsiTheme="minorBidi"/>
          <w:sz w:val="24"/>
          <w:szCs w:val="24"/>
        </w:rPr>
        <w:t>ing</w:t>
      </w:r>
      <w:r w:rsidRPr="009C3B6C">
        <w:rPr>
          <w:rFonts w:asciiTheme="minorBidi" w:hAnsiTheme="minorBidi"/>
          <w:sz w:val="24"/>
          <w:szCs w:val="24"/>
        </w:rPr>
        <w:t xml:space="preserve"> the prescription until any problem is resolved. </w:t>
      </w:r>
      <w:r w:rsidRPr="00FD42C9">
        <w:rPr>
          <w:rFonts w:asciiTheme="minorBidi" w:hAnsiTheme="minorBidi"/>
          <w:sz w:val="24"/>
          <w:szCs w:val="24"/>
        </w:rPr>
        <w:t>Using the digital system in hospitals allows pharmacists to access the patient's health record easily and quickly.</w:t>
      </w:r>
      <w:r>
        <w:rPr>
          <w:rFonts w:asciiTheme="minorBidi" w:hAnsiTheme="minorBidi"/>
          <w:sz w:val="24"/>
          <w:szCs w:val="24"/>
        </w:rPr>
        <w:t xml:space="preserve"> </w:t>
      </w:r>
      <w:r w:rsidRPr="009C3B6C">
        <w:rPr>
          <w:rFonts w:asciiTheme="minorBidi" w:hAnsiTheme="minorBidi"/>
          <w:sz w:val="24"/>
          <w:szCs w:val="24"/>
        </w:rPr>
        <w:t xml:space="preserve">In contrast, in the </w:t>
      </w:r>
      <w:r>
        <w:rPr>
          <w:rFonts w:asciiTheme="minorBidi" w:hAnsiTheme="minorBidi"/>
          <w:sz w:val="24"/>
          <w:szCs w:val="24"/>
        </w:rPr>
        <w:t>PHC</w:t>
      </w:r>
      <w:r w:rsidRPr="009C3B6C">
        <w:rPr>
          <w:rFonts w:asciiTheme="minorBidi" w:hAnsiTheme="minorBidi"/>
          <w:sz w:val="24"/>
          <w:szCs w:val="24"/>
        </w:rPr>
        <w:t>, electronic system</w:t>
      </w:r>
      <w:r>
        <w:rPr>
          <w:rFonts w:asciiTheme="minorBidi" w:hAnsiTheme="minorBidi"/>
          <w:sz w:val="24"/>
          <w:szCs w:val="24"/>
        </w:rPr>
        <w:t>s had</w:t>
      </w:r>
      <w:r w:rsidRPr="009C3B6C">
        <w:rPr>
          <w:rFonts w:asciiTheme="minorBidi" w:hAnsiTheme="minorBidi"/>
          <w:sz w:val="24"/>
          <w:szCs w:val="24"/>
        </w:rPr>
        <w:t xml:space="preserve"> not </w:t>
      </w:r>
      <w:r>
        <w:rPr>
          <w:rFonts w:asciiTheme="minorBidi" w:hAnsiTheme="minorBidi"/>
          <w:sz w:val="24"/>
          <w:szCs w:val="24"/>
        </w:rPr>
        <w:t xml:space="preserve">yet been </w:t>
      </w:r>
      <w:r w:rsidRPr="009C3B6C">
        <w:rPr>
          <w:rFonts w:asciiTheme="minorBidi" w:hAnsiTheme="minorBidi"/>
          <w:sz w:val="24"/>
          <w:szCs w:val="24"/>
        </w:rPr>
        <w:t xml:space="preserve">activated when the pharmacists worked there, so </w:t>
      </w:r>
      <w:r>
        <w:rPr>
          <w:rFonts w:asciiTheme="minorBidi" w:hAnsiTheme="minorBidi"/>
          <w:sz w:val="24"/>
          <w:szCs w:val="24"/>
        </w:rPr>
        <w:t>t</w:t>
      </w:r>
      <w:r w:rsidRPr="009C3B6C">
        <w:rPr>
          <w:rFonts w:asciiTheme="minorBidi" w:hAnsiTheme="minorBidi"/>
          <w:sz w:val="24"/>
          <w:szCs w:val="24"/>
        </w:rPr>
        <w:t>hey f</w:t>
      </w:r>
      <w:r>
        <w:rPr>
          <w:rFonts w:asciiTheme="minorBidi" w:hAnsiTheme="minorBidi"/>
          <w:sz w:val="24"/>
          <w:szCs w:val="24"/>
        </w:rPr>
        <w:t>ou</w:t>
      </w:r>
      <w:r w:rsidRPr="009C3B6C">
        <w:rPr>
          <w:rFonts w:asciiTheme="minorBidi" w:hAnsiTheme="minorBidi"/>
          <w:sz w:val="24"/>
          <w:szCs w:val="24"/>
        </w:rPr>
        <w:t xml:space="preserve">nd themselves </w:t>
      </w:r>
      <w:r>
        <w:rPr>
          <w:rFonts w:asciiTheme="minorBidi" w:hAnsiTheme="minorBidi"/>
          <w:sz w:val="24"/>
          <w:szCs w:val="24"/>
        </w:rPr>
        <w:t>having to dispense</w:t>
      </w:r>
      <w:r w:rsidRPr="009C3B6C">
        <w:rPr>
          <w:rFonts w:asciiTheme="minorBidi" w:hAnsiTheme="minorBidi"/>
          <w:sz w:val="24"/>
          <w:szCs w:val="24"/>
        </w:rPr>
        <w:t xml:space="preserve"> the </w:t>
      </w:r>
      <w:r w:rsidRPr="003A4A66">
        <w:rPr>
          <w:rFonts w:asciiTheme="minorBidi" w:hAnsiTheme="minorBidi"/>
          <w:sz w:val="24"/>
          <w:szCs w:val="24"/>
        </w:rPr>
        <w:t xml:space="preserve">prescriptions </w:t>
      </w:r>
      <w:r w:rsidRPr="009C3B6C">
        <w:rPr>
          <w:rFonts w:asciiTheme="minorBidi" w:hAnsiTheme="minorBidi"/>
          <w:sz w:val="24"/>
          <w:szCs w:val="24"/>
        </w:rPr>
        <w:t>and then solv</w:t>
      </w:r>
      <w:r>
        <w:rPr>
          <w:rFonts w:asciiTheme="minorBidi" w:hAnsiTheme="minorBidi"/>
          <w:sz w:val="24"/>
          <w:szCs w:val="24"/>
        </w:rPr>
        <w:t>e</w:t>
      </w:r>
      <w:r w:rsidRPr="009C3B6C">
        <w:rPr>
          <w:rFonts w:asciiTheme="minorBidi" w:hAnsiTheme="minorBidi"/>
          <w:sz w:val="24"/>
          <w:szCs w:val="24"/>
        </w:rPr>
        <w:t xml:space="preserve"> any related issues later</w:t>
      </w:r>
      <w:r>
        <w:rPr>
          <w:rFonts w:asciiTheme="minorBidi" w:hAnsiTheme="minorBidi"/>
          <w:sz w:val="24"/>
          <w:szCs w:val="24"/>
        </w:rPr>
        <w:t>.</w:t>
      </w:r>
    </w:p>
    <w:p w14:paraId="12842C86"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3F50BC">
        <w:rPr>
          <w:rFonts w:eastAsiaTheme="minorEastAsia" w:cstheme="minorHAnsi"/>
          <w:i/>
          <w:iCs/>
          <w:sz w:val="24"/>
          <w:szCs w:val="24"/>
          <w:lang w:val="en-GB" w:eastAsia="en-GB"/>
        </w:rPr>
        <w:t>My role in the hospital is now somewhat better. Working with the electronic system, I can intervene by stopping the</w:t>
      </w:r>
      <w:r>
        <w:rPr>
          <w:rFonts w:eastAsiaTheme="minorEastAsia" w:cstheme="minorHAnsi"/>
          <w:i/>
          <w:iCs/>
          <w:sz w:val="24"/>
          <w:szCs w:val="24"/>
          <w:lang w:val="en-GB" w:eastAsia="en-GB"/>
        </w:rPr>
        <w:t xml:space="preserve"> prescription</w:t>
      </w:r>
      <w:r w:rsidRPr="003F50BC">
        <w:rPr>
          <w:rFonts w:eastAsiaTheme="minorEastAsia" w:cstheme="minorHAnsi"/>
          <w:i/>
          <w:iCs/>
          <w:sz w:val="24"/>
          <w:szCs w:val="24"/>
          <w:lang w:val="en-GB" w:eastAsia="en-GB"/>
        </w:rPr>
        <w:t xml:space="preserve"> from being dispensed and documenting justifications for this, while in the PHCs, this privilege was not available to pharmacists</w:t>
      </w:r>
      <w:r>
        <w:rPr>
          <w:rFonts w:eastAsiaTheme="minorEastAsia" w:cstheme="minorHAnsi"/>
          <w:i/>
          <w:iCs/>
          <w:sz w:val="24"/>
          <w:szCs w:val="24"/>
          <w:lang w:val="en-GB" w:eastAsia="en-GB"/>
        </w:rPr>
        <w:t xml:space="preserve"> […in PHCs] t</w:t>
      </w:r>
      <w:r w:rsidRPr="003F50BC">
        <w:rPr>
          <w:rFonts w:eastAsiaTheme="minorEastAsia" w:cstheme="minorHAnsi"/>
          <w:i/>
          <w:iCs/>
          <w:sz w:val="24"/>
          <w:szCs w:val="24"/>
          <w:lang w:val="en-GB" w:eastAsia="en-GB"/>
        </w:rPr>
        <w:t xml:space="preserve">he doctor forces the pharmacist to dispense the </w:t>
      </w:r>
      <w:r>
        <w:rPr>
          <w:rFonts w:eastAsiaTheme="minorEastAsia" w:cstheme="minorHAnsi"/>
          <w:i/>
          <w:iCs/>
          <w:sz w:val="24"/>
          <w:szCs w:val="24"/>
          <w:lang w:val="en-GB" w:eastAsia="en-GB"/>
        </w:rPr>
        <w:t>prescription</w:t>
      </w:r>
      <w:r w:rsidRPr="003F50BC">
        <w:rPr>
          <w:rFonts w:eastAsiaTheme="minorEastAsia" w:cstheme="minorHAnsi"/>
          <w:i/>
          <w:iCs/>
          <w:sz w:val="24"/>
          <w:szCs w:val="24"/>
          <w:lang w:val="en-GB" w:eastAsia="en-GB"/>
        </w:rPr>
        <w:t xml:space="preserve"> even if there is a medication error. The pharmacist is, in this case, obliged to dispense the prescription to the patient waiting at the window and resolve any prescribing errors later if there is an opportunity to do so.</w:t>
      </w:r>
      <w:r>
        <w:rPr>
          <w:rFonts w:eastAsiaTheme="minorEastAsia" w:cstheme="minorHAnsi"/>
          <w:i/>
          <w:iCs/>
          <w:sz w:val="24"/>
          <w:szCs w:val="24"/>
          <w:lang w:val="en-GB" w:eastAsia="en-GB"/>
        </w:rPr>
        <w:t>’</w:t>
      </w:r>
      <w:r w:rsidRPr="003F50BC">
        <w:rPr>
          <w:rFonts w:eastAsiaTheme="minorEastAsia" w:cstheme="minorHAnsi"/>
          <w:i/>
          <w:iCs/>
          <w:sz w:val="24"/>
          <w:szCs w:val="24"/>
          <w:lang w:val="en-GB" w:eastAsia="en-GB"/>
        </w:rPr>
        <w:t xml:space="preserve"> Ph1</w:t>
      </w:r>
    </w:p>
    <w:p w14:paraId="73ACBA56"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360" w:lineRule="auto"/>
        <w:jc w:val="both"/>
        <w:rPr>
          <w:rFonts w:asciiTheme="minorBidi" w:hAnsiTheme="minorBidi"/>
          <w:sz w:val="24"/>
          <w:szCs w:val="24"/>
        </w:rPr>
      </w:pPr>
      <w:r w:rsidRPr="0097515E">
        <w:rPr>
          <w:rFonts w:asciiTheme="minorBidi" w:hAnsiTheme="minorBidi"/>
          <w:sz w:val="24"/>
          <w:szCs w:val="24"/>
        </w:rPr>
        <w:t xml:space="preserve">Participants emphasised the role of primary care pharmacists. Without a pharmacist, there will be a problem with teamwork, which is seen as necessary. Accordingly, a participant (consulting physician) made a suggestion to solve this problem, that there should be a law/rule requiring </w:t>
      </w:r>
      <w:r>
        <w:rPr>
          <w:rFonts w:asciiTheme="minorBidi" w:hAnsiTheme="minorBidi"/>
          <w:sz w:val="24"/>
          <w:szCs w:val="24"/>
        </w:rPr>
        <w:t xml:space="preserve">the presence </w:t>
      </w:r>
      <w:r w:rsidRPr="0097515E">
        <w:rPr>
          <w:rFonts w:asciiTheme="minorBidi" w:hAnsiTheme="minorBidi"/>
          <w:sz w:val="24"/>
          <w:szCs w:val="24"/>
        </w:rPr>
        <w:t xml:space="preserve">a pharmacist on the chronic disease care team, and without </w:t>
      </w:r>
      <w:r>
        <w:rPr>
          <w:rFonts w:asciiTheme="minorBidi" w:hAnsiTheme="minorBidi"/>
          <w:sz w:val="24"/>
          <w:szCs w:val="24"/>
        </w:rPr>
        <w:t xml:space="preserve">a </w:t>
      </w:r>
      <w:r w:rsidRPr="0097515E">
        <w:rPr>
          <w:rFonts w:asciiTheme="minorBidi" w:hAnsiTheme="minorBidi"/>
          <w:sz w:val="24"/>
          <w:szCs w:val="24"/>
        </w:rPr>
        <w:t xml:space="preserve">pharmacist on the team, the health institution </w:t>
      </w:r>
      <w:r>
        <w:rPr>
          <w:rFonts w:asciiTheme="minorBidi" w:hAnsiTheme="minorBidi"/>
          <w:sz w:val="24"/>
          <w:szCs w:val="24"/>
        </w:rPr>
        <w:t>sh</w:t>
      </w:r>
      <w:r w:rsidRPr="0097515E">
        <w:rPr>
          <w:rFonts w:asciiTheme="minorBidi" w:hAnsiTheme="minorBidi"/>
          <w:sz w:val="24"/>
          <w:szCs w:val="24"/>
        </w:rPr>
        <w:t xml:space="preserve">ould not be accredited by the accrediting body </w:t>
      </w:r>
      <w:r>
        <w:rPr>
          <w:rFonts w:asciiTheme="minorBidi" w:hAnsiTheme="minorBidi"/>
          <w:sz w:val="24"/>
          <w:szCs w:val="24"/>
        </w:rPr>
        <w:t>in SA</w:t>
      </w:r>
      <w:r w:rsidRPr="0097515E">
        <w:rPr>
          <w:rFonts w:asciiTheme="minorBidi" w:hAnsiTheme="minorBidi"/>
          <w:sz w:val="24"/>
          <w:szCs w:val="24"/>
        </w:rPr>
        <w:t>, and this was explained as follows</w:t>
      </w:r>
      <w:r>
        <w:rPr>
          <w:rFonts w:asciiTheme="minorBidi" w:hAnsiTheme="minorBidi"/>
          <w:sz w:val="24"/>
          <w:szCs w:val="24"/>
        </w:rPr>
        <w:t>:</w:t>
      </w:r>
    </w:p>
    <w:p w14:paraId="44757525" w14:textId="77777777" w:rsidR="00821B82" w:rsidRPr="00976CB0"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cstheme="minorHAnsi"/>
          <w:i/>
          <w:iCs/>
          <w:sz w:val="24"/>
          <w:szCs w:val="24"/>
        </w:rPr>
      </w:pPr>
      <w:r>
        <w:rPr>
          <w:rFonts w:cstheme="minorHAnsi"/>
          <w:i/>
          <w:iCs/>
          <w:sz w:val="24"/>
          <w:szCs w:val="24"/>
        </w:rPr>
        <w:t>‘</w:t>
      </w:r>
      <w:r w:rsidRPr="005A2F4F">
        <w:rPr>
          <w:rFonts w:cstheme="minorHAnsi"/>
          <w:i/>
          <w:iCs/>
          <w:sz w:val="24"/>
          <w:szCs w:val="24"/>
        </w:rPr>
        <w:t xml:space="preserve">CIBAHI is the accreditation body, they have a mandate to have a care plan for each chronic disease patient. They mandate to have </w:t>
      </w:r>
      <w:r>
        <w:rPr>
          <w:rFonts w:cstheme="minorHAnsi"/>
          <w:i/>
          <w:iCs/>
          <w:sz w:val="24"/>
          <w:szCs w:val="24"/>
        </w:rPr>
        <w:t>this</w:t>
      </w:r>
      <w:r w:rsidRPr="005A2F4F">
        <w:rPr>
          <w:rFonts w:cstheme="minorHAnsi"/>
          <w:i/>
          <w:iCs/>
          <w:sz w:val="24"/>
          <w:szCs w:val="24"/>
        </w:rPr>
        <w:t xml:space="preserve"> plan by team, team</w:t>
      </w:r>
      <w:r>
        <w:rPr>
          <w:rFonts w:cstheme="minorHAnsi"/>
          <w:i/>
          <w:iCs/>
          <w:sz w:val="24"/>
          <w:szCs w:val="24"/>
        </w:rPr>
        <w:t>s</w:t>
      </w:r>
      <w:r w:rsidRPr="005A2F4F">
        <w:rPr>
          <w:rFonts w:cstheme="minorHAnsi"/>
          <w:i/>
          <w:iCs/>
          <w:sz w:val="24"/>
          <w:szCs w:val="24"/>
        </w:rPr>
        <w:t xml:space="preserve"> should consist</w:t>
      </w:r>
      <w:r>
        <w:rPr>
          <w:rFonts w:cstheme="minorHAnsi"/>
          <w:i/>
          <w:iCs/>
          <w:sz w:val="24"/>
          <w:szCs w:val="24"/>
        </w:rPr>
        <w:t xml:space="preserve"> of</w:t>
      </w:r>
      <w:r w:rsidRPr="005A2F4F">
        <w:rPr>
          <w:rFonts w:cstheme="minorHAnsi"/>
          <w:i/>
          <w:iCs/>
          <w:sz w:val="24"/>
          <w:szCs w:val="24"/>
        </w:rPr>
        <w:t xml:space="preserve"> at least 2 (a nurse and physician). you can add a health educator, or you can add a dentist</w:t>
      </w:r>
      <w:r>
        <w:rPr>
          <w:rFonts w:cstheme="minorHAnsi"/>
          <w:i/>
          <w:iCs/>
          <w:sz w:val="24"/>
          <w:szCs w:val="24"/>
        </w:rPr>
        <w:t>,</w:t>
      </w:r>
      <w:r w:rsidRPr="005A2F4F">
        <w:rPr>
          <w:rFonts w:cstheme="minorHAnsi"/>
          <w:i/>
          <w:iCs/>
          <w:sz w:val="24"/>
          <w:szCs w:val="24"/>
        </w:rPr>
        <w:t xml:space="preserve"> what if there is a suggestion to add the pharmacist</w:t>
      </w:r>
      <w:r>
        <w:rPr>
          <w:rFonts w:cstheme="minorHAnsi"/>
          <w:i/>
          <w:iCs/>
          <w:sz w:val="24"/>
          <w:szCs w:val="24"/>
        </w:rPr>
        <w:t>,</w:t>
      </w:r>
      <w:r w:rsidRPr="005A2F4F">
        <w:rPr>
          <w:rFonts w:cstheme="minorHAnsi"/>
          <w:i/>
          <w:iCs/>
          <w:sz w:val="24"/>
          <w:szCs w:val="24"/>
        </w:rPr>
        <w:t xml:space="preserve"> what if the CIBAHI say the pharmacist part of the care plan is mandatory</w:t>
      </w:r>
      <w:r>
        <w:rPr>
          <w:rFonts w:cstheme="minorHAnsi"/>
          <w:i/>
          <w:iCs/>
          <w:sz w:val="24"/>
          <w:szCs w:val="24"/>
        </w:rPr>
        <w:t>,</w:t>
      </w:r>
      <w:r w:rsidRPr="005A2F4F">
        <w:rPr>
          <w:rFonts w:cstheme="minorHAnsi"/>
          <w:i/>
          <w:iCs/>
          <w:sz w:val="24"/>
          <w:szCs w:val="24"/>
        </w:rPr>
        <w:t xml:space="preserve"> if it is mandatory, it would be an essential safety requirement without it</w:t>
      </w:r>
      <w:r>
        <w:rPr>
          <w:rFonts w:cstheme="minorHAnsi"/>
          <w:i/>
          <w:iCs/>
          <w:sz w:val="24"/>
          <w:szCs w:val="24"/>
        </w:rPr>
        <w:t xml:space="preserve"> […] it </w:t>
      </w:r>
      <w:r w:rsidRPr="005A2F4F">
        <w:rPr>
          <w:rFonts w:cstheme="minorHAnsi"/>
          <w:i/>
          <w:iCs/>
          <w:sz w:val="24"/>
          <w:szCs w:val="24"/>
        </w:rPr>
        <w:t>will be a denial of accreditation so it would be enforced by the rule</w:t>
      </w:r>
      <w:r>
        <w:rPr>
          <w:rFonts w:cstheme="minorHAnsi"/>
          <w:i/>
          <w:iCs/>
          <w:sz w:val="24"/>
          <w:szCs w:val="24"/>
        </w:rPr>
        <w:t>.</w:t>
      </w:r>
      <w:r w:rsidRPr="005A2F4F">
        <w:rPr>
          <w:rFonts w:cstheme="minorHAnsi"/>
          <w:i/>
          <w:iCs/>
          <w:sz w:val="24"/>
          <w:szCs w:val="24"/>
        </w:rPr>
        <w:t xml:space="preserve"> I think as a suggestion to add a pharmacist to the care plan to put it as a mandatory to have the pharmacist role in the care plan of the chronic disease as  mandatory so the care plan wouldn't be fully scored by the accreditation body if the pharmacist </w:t>
      </w:r>
      <w:r>
        <w:rPr>
          <w:rFonts w:cstheme="minorHAnsi"/>
          <w:i/>
          <w:iCs/>
          <w:sz w:val="24"/>
          <w:szCs w:val="24"/>
        </w:rPr>
        <w:t xml:space="preserve">was </w:t>
      </w:r>
      <w:r w:rsidRPr="005A2F4F">
        <w:rPr>
          <w:rFonts w:cstheme="minorHAnsi"/>
          <w:i/>
          <w:iCs/>
          <w:sz w:val="24"/>
          <w:szCs w:val="24"/>
        </w:rPr>
        <w:t>not involve</w:t>
      </w:r>
      <w:r>
        <w:rPr>
          <w:rFonts w:cstheme="minorHAnsi"/>
          <w:i/>
          <w:iCs/>
          <w:sz w:val="24"/>
          <w:szCs w:val="24"/>
        </w:rPr>
        <w:t>d</w:t>
      </w:r>
      <w:r w:rsidRPr="005A2F4F">
        <w:rPr>
          <w:rFonts w:cstheme="minorHAnsi"/>
          <w:i/>
          <w:iCs/>
          <w:sz w:val="24"/>
          <w:szCs w:val="24"/>
        </w:rPr>
        <w:t xml:space="preserve"> in the care plan, this is one suggestion to overcome any barriers or something like that</w:t>
      </w:r>
      <w:r>
        <w:rPr>
          <w:rFonts w:cstheme="minorHAnsi"/>
          <w:i/>
          <w:iCs/>
          <w:sz w:val="24"/>
          <w:szCs w:val="24"/>
        </w:rPr>
        <w:t xml:space="preserve"> ‘D2</w:t>
      </w:r>
    </w:p>
    <w:p w14:paraId="691BE8AD" w14:textId="77777777" w:rsidR="00821B82" w:rsidRDefault="00821B82" w:rsidP="00821B82">
      <w:pPr>
        <w:spacing w:before="240" w:line="360" w:lineRule="auto"/>
        <w:jc w:val="both"/>
        <w:rPr>
          <w:rFonts w:asciiTheme="minorBidi" w:hAnsiTheme="minorBidi"/>
          <w:sz w:val="24"/>
          <w:szCs w:val="24"/>
        </w:rPr>
      </w:pPr>
      <w:r w:rsidRPr="00E97A7B">
        <w:rPr>
          <w:rFonts w:asciiTheme="minorBidi" w:hAnsiTheme="minorBidi"/>
          <w:sz w:val="24"/>
          <w:szCs w:val="24"/>
        </w:rPr>
        <w:t xml:space="preserve">The participants also called on policymakers to re-evaluate the decision of transferring pharmacists from PHCs </w:t>
      </w:r>
      <w:r>
        <w:rPr>
          <w:rFonts w:asciiTheme="minorBidi" w:hAnsiTheme="minorBidi"/>
          <w:sz w:val="24"/>
          <w:szCs w:val="24"/>
        </w:rPr>
        <w:t xml:space="preserve">in order </w:t>
      </w:r>
      <w:r w:rsidRPr="00E97A7B">
        <w:rPr>
          <w:rFonts w:asciiTheme="minorBidi" w:hAnsiTheme="minorBidi"/>
          <w:sz w:val="24"/>
          <w:szCs w:val="24"/>
        </w:rPr>
        <w:t>to know the advantages and disadvantages of this decision on health services provided in PHCs as well as on consumers/beneficiaries in the first place.</w:t>
      </w:r>
    </w:p>
    <w:p w14:paraId="6EBA25B0" w14:textId="77777777" w:rsidR="00821B82" w:rsidRDefault="00821B82" w:rsidP="00821B82">
      <w:pPr>
        <w:spacing w:line="240" w:lineRule="auto"/>
        <w:ind w:left="720"/>
        <w:jc w:val="both"/>
        <w:rPr>
          <w:rFonts w:eastAsiaTheme="minorEastAsia" w:cstheme="minorHAnsi"/>
          <w:i/>
          <w:iCs/>
          <w:sz w:val="24"/>
          <w:szCs w:val="24"/>
          <w:lang w:val="en-GB" w:eastAsia="en-GB"/>
        </w:rPr>
      </w:pPr>
      <w:r w:rsidRPr="00BA581D">
        <w:rPr>
          <w:rFonts w:eastAsiaTheme="minorEastAsia" w:cstheme="minorHAnsi"/>
          <w:i/>
          <w:iCs/>
          <w:sz w:val="24"/>
          <w:szCs w:val="24"/>
          <w:lang w:val="en-GB" w:eastAsia="en-GB"/>
        </w:rPr>
        <w:t>‘You know we are in the transformation stage. They are trying to make these changes now, but you know it is in its beginning, so the results are not clear now; we have to see the advantages and disadvantages of these changes and what to apply, and their benefits for this stage then test them’. Ph2</w:t>
      </w:r>
    </w:p>
    <w:p w14:paraId="7644BFE7" w14:textId="77777777" w:rsidR="00821B82" w:rsidRPr="00BA581D" w:rsidRDefault="00821B82" w:rsidP="00821B82">
      <w:pPr>
        <w:spacing w:line="240" w:lineRule="auto"/>
        <w:ind w:left="720"/>
        <w:jc w:val="both"/>
        <w:rPr>
          <w:rFonts w:eastAsiaTheme="minorEastAsia" w:cstheme="minorHAnsi"/>
          <w:i/>
          <w:iCs/>
          <w:sz w:val="24"/>
          <w:szCs w:val="24"/>
          <w:lang w:val="en-GB" w:eastAsia="en-GB"/>
        </w:rPr>
      </w:pPr>
    </w:p>
    <w:p w14:paraId="46830192" w14:textId="77777777" w:rsidR="00821B82" w:rsidRPr="004F7907" w:rsidRDefault="00821B82" w:rsidP="00821B82">
      <w:pPr>
        <w:pStyle w:val="Heading5"/>
        <w:spacing w:line="360" w:lineRule="auto"/>
        <w:rPr>
          <w:rFonts w:asciiTheme="minorBidi" w:hAnsiTheme="minorBidi" w:cstheme="minorBidi"/>
          <w:sz w:val="24"/>
          <w:szCs w:val="24"/>
        </w:rPr>
      </w:pPr>
      <w:r w:rsidRPr="004F7907">
        <w:rPr>
          <w:rFonts w:asciiTheme="minorBidi" w:hAnsiTheme="minorBidi" w:cstheme="minorBidi"/>
          <w:sz w:val="24"/>
          <w:szCs w:val="24"/>
        </w:rPr>
        <w:t>Shortage of qualified and trained pharmacists</w:t>
      </w:r>
    </w:p>
    <w:p w14:paraId="2AE0133C" w14:textId="77777777" w:rsidR="00821B82" w:rsidRDefault="00821B82" w:rsidP="00FC7A61">
      <w:pPr>
        <w:spacing w:before="240" w:line="360" w:lineRule="auto"/>
        <w:jc w:val="both"/>
        <w:rPr>
          <w:rFonts w:asciiTheme="minorBidi" w:hAnsiTheme="minorBidi"/>
          <w:sz w:val="24"/>
          <w:szCs w:val="24"/>
        </w:rPr>
      </w:pPr>
      <w:r w:rsidRPr="00AA5FB8">
        <w:rPr>
          <w:rFonts w:asciiTheme="minorBidi" w:hAnsiTheme="minorBidi"/>
          <w:sz w:val="24"/>
          <w:szCs w:val="24"/>
        </w:rPr>
        <w:t xml:space="preserve"> Participants suggested and expressed their hope </w:t>
      </w:r>
      <w:r>
        <w:rPr>
          <w:rFonts w:asciiTheme="minorBidi" w:hAnsiTheme="minorBidi"/>
          <w:sz w:val="24"/>
          <w:szCs w:val="24"/>
        </w:rPr>
        <w:t xml:space="preserve">that </w:t>
      </w:r>
      <w:r w:rsidRPr="00AA5FB8">
        <w:rPr>
          <w:rFonts w:asciiTheme="minorBidi" w:hAnsiTheme="minorBidi"/>
          <w:sz w:val="24"/>
          <w:szCs w:val="24"/>
        </w:rPr>
        <w:t xml:space="preserve">pharmacists </w:t>
      </w:r>
      <w:r>
        <w:rPr>
          <w:rFonts w:asciiTheme="minorBidi" w:hAnsiTheme="minorBidi"/>
          <w:sz w:val="24"/>
          <w:szCs w:val="24"/>
        </w:rPr>
        <w:t xml:space="preserve">would return </w:t>
      </w:r>
      <w:r w:rsidRPr="00AA5FB8">
        <w:rPr>
          <w:rFonts w:asciiTheme="minorBidi" w:hAnsiTheme="minorBidi"/>
          <w:sz w:val="24"/>
          <w:szCs w:val="24"/>
        </w:rPr>
        <w:t xml:space="preserve">to work with them in PHCs. </w:t>
      </w:r>
      <w:r w:rsidRPr="002776BE">
        <w:rPr>
          <w:rFonts w:asciiTheme="minorBidi" w:hAnsiTheme="minorBidi"/>
          <w:sz w:val="24"/>
          <w:szCs w:val="24"/>
        </w:rPr>
        <w:t>However, another challenge was revealed to be the lack of qualified and trained pharmacists who are able to provide advance clinical pharmacy services to patients of PHCs.</w:t>
      </w:r>
      <w:r w:rsidRPr="00AA5FB8">
        <w:rPr>
          <w:rFonts w:asciiTheme="minorBidi" w:hAnsiTheme="minorBidi"/>
          <w:sz w:val="24"/>
          <w:szCs w:val="24"/>
        </w:rPr>
        <w:t xml:space="preserve"> To solve this problem, participants suggested assigning a skilled pharmacist to serve a group of centres rather than assigning a pharmacist to each PHC.</w:t>
      </w:r>
    </w:p>
    <w:p w14:paraId="714EAC6D" w14:textId="77777777" w:rsidR="00821B82" w:rsidRPr="005C2534"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lang w:eastAsia="en-GB"/>
        </w:rPr>
        <w:t>‘</w:t>
      </w:r>
      <w:r w:rsidRPr="005C2534">
        <w:rPr>
          <w:rFonts w:eastAsiaTheme="minorEastAsia" w:cstheme="minorHAnsi"/>
          <w:i/>
          <w:iCs/>
          <w:sz w:val="24"/>
          <w:szCs w:val="24"/>
          <w:lang w:val="en-GB" w:eastAsia="en-GB"/>
        </w:rPr>
        <w:t>From my point of view now, with the closure of pharmacies in PHCs, each group of centres has at least one pharmacist to refer to. Currently, the healthcare sector is divided into zones: for example, our health sector is divided to the eastern, southern, northwestern, etc. We required at least one pharmacist in each zone to be consulted by primary healthcare providers; patients are referred to him, doctors and other health care providers refer to him.’N2</w:t>
      </w:r>
    </w:p>
    <w:p w14:paraId="7239C44F" w14:textId="77777777" w:rsidR="00821B82" w:rsidRDefault="00821B82" w:rsidP="00821B82">
      <w:pPr>
        <w:spacing w:before="240" w:line="360" w:lineRule="auto"/>
        <w:jc w:val="both"/>
        <w:rPr>
          <w:rFonts w:asciiTheme="minorBidi" w:hAnsiTheme="minorBidi"/>
          <w:sz w:val="24"/>
          <w:szCs w:val="24"/>
        </w:rPr>
      </w:pPr>
      <w:r w:rsidRPr="008E41FF">
        <w:rPr>
          <w:rFonts w:asciiTheme="minorBidi" w:hAnsiTheme="minorBidi"/>
          <w:sz w:val="24"/>
          <w:szCs w:val="24"/>
        </w:rPr>
        <w:t xml:space="preserve">Analysis of the interviews revealed to us another challenge, which is the reservation of some of the participants, especially the pharmacists, on the abilities of pharmacists with a bachelor’s degree in pharmacy to practice clinical roles, as this may </w:t>
      </w:r>
      <w:r>
        <w:rPr>
          <w:rFonts w:asciiTheme="minorBidi" w:hAnsiTheme="minorBidi"/>
          <w:sz w:val="24"/>
          <w:szCs w:val="24"/>
        </w:rPr>
        <w:t xml:space="preserve">involve </w:t>
      </w:r>
      <w:r w:rsidRPr="008E41FF">
        <w:rPr>
          <w:rFonts w:asciiTheme="minorBidi" w:hAnsiTheme="minorBidi"/>
          <w:sz w:val="24"/>
          <w:szCs w:val="24"/>
        </w:rPr>
        <w:t>specific requirements</w:t>
      </w:r>
      <w:r w:rsidRPr="00265829">
        <w:rPr>
          <w:rFonts w:asciiTheme="minorBidi" w:hAnsiTheme="minorBidi"/>
          <w:sz w:val="24"/>
          <w:szCs w:val="24"/>
        </w:rPr>
        <w:t xml:space="preserve"> </w:t>
      </w:r>
      <w:r>
        <w:rPr>
          <w:rFonts w:asciiTheme="minorBidi" w:hAnsiTheme="minorBidi"/>
          <w:sz w:val="24"/>
          <w:szCs w:val="24"/>
        </w:rPr>
        <w:t xml:space="preserve">for </w:t>
      </w:r>
      <w:r w:rsidRPr="008E41FF">
        <w:rPr>
          <w:rFonts w:asciiTheme="minorBidi" w:hAnsiTheme="minorBidi"/>
          <w:sz w:val="24"/>
          <w:szCs w:val="24"/>
        </w:rPr>
        <w:t>practi</w:t>
      </w:r>
      <w:r>
        <w:rPr>
          <w:rFonts w:asciiTheme="minorBidi" w:hAnsiTheme="minorBidi"/>
          <w:sz w:val="24"/>
          <w:szCs w:val="24"/>
        </w:rPr>
        <w:t>sing</w:t>
      </w:r>
      <w:r w:rsidRPr="008E41FF">
        <w:rPr>
          <w:rFonts w:asciiTheme="minorBidi" w:hAnsiTheme="minorBidi"/>
          <w:sz w:val="24"/>
          <w:szCs w:val="24"/>
        </w:rPr>
        <w:t xml:space="preserve"> clinical pharmacy, for example, that the pharmacist has a Saudi residency certificate or a master’s degree in advanc</w:t>
      </w:r>
      <w:r>
        <w:rPr>
          <w:rFonts w:asciiTheme="minorBidi" w:hAnsiTheme="minorBidi"/>
          <w:sz w:val="24"/>
          <w:szCs w:val="24"/>
        </w:rPr>
        <w:t>ed</w:t>
      </w:r>
      <w:r w:rsidRPr="008E41FF">
        <w:rPr>
          <w:rFonts w:asciiTheme="minorBidi" w:hAnsiTheme="minorBidi"/>
          <w:sz w:val="24"/>
          <w:szCs w:val="24"/>
        </w:rPr>
        <w:t xml:space="preserve"> clinical pharmacy with experience.</w:t>
      </w:r>
      <w:r>
        <w:rPr>
          <w:rFonts w:asciiTheme="minorBidi" w:hAnsiTheme="minorBidi"/>
          <w:sz w:val="24"/>
          <w:szCs w:val="24"/>
        </w:rPr>
        <w:t xml:space="preserve"> </w:t>
      </w:r>
      <w:r w:rsidRPr="00083A99">
        <w:rPr>
          <w:rFonts w:asciiTheme="minorBidi" w:hAnsiTheme="minorBidi"/>
          <w:sz w:val="24"/>
          <w:szCs w:val="24"/>
        </w:rPr>
        <w:t>However, it is clear from the results that essential pharmaceutical care services, such as medication review, medication consultation, and patient education</w:t>
      </w:r>
      <w:r>
        <w:rPr>
          <w:rFonts w:asciiTheme="minorBidi" w:hAnsiTheme="minorBidi"/>
          <w:sz w:val="24"/>
          <w:szCs w:val="24"/>
        </w:rPr>
        <w:t>,</w:t>
      </w:r>
      <w:r w:rsidRPr="00083A99">
        <w:rPr>
          <w:rFonts w:asciiTheme="minorBidi" w:hAnsiTheme="minorBidi"/>
          <w:sz w:val="24"/>
          <w:szCs w:val="24"/>
        </w:rPr>
        <w:t xml:space="preserve"> are urgently needed. </w:t>
      </w:r>
      <w:r>
        <w:rPr>
          <w:rFonts w:asciiTheme="minorBidi" w:hAnsiTheme="minorBidi"/>
          <w:sz w:val="24"/>
          <w:szCs w:val="24"/>
        </w:rPr>
        <w:t>Provision of t</w:t>
      </w:r>
      <w:r w:rsidRPr="00083A99">
        <w:rPr>
          <w:rFonts w:asciiTheme="minorBidi" w:hAnsiTheme="minorBidi"/>
          <w:sz w:val="24"/>
          <w:szCs w:val="24"/>
        </w:rPr>
        <w:t>hese services do</w:t>
      </w:r>
      <w:r>
        <w:rPr>
          <w:rFonts w:asciiTheme="minorBidi" w:hAnsiTheme="minorBidi"/>
          <w:sz w:val="24"/>
          <w:szCs w:val="24"/>
        </w:rPr>
        <w:t>es</w:t>
      </w:r>
      <w:r w:rsidRPr="00083A99">
        <w:rPr>
          <w:rFonts w:asciiTheme="minorBidi" w:hAnsiTheme="minorBidi"/>
          <w:sz w:val="24"/>
          <w:szCs w:val="24"/>
        </w:rPr>
        <w:t xml:space="preserve"> not require high academic degrees. Most pharmacists who have been working in PHCs have long experience</w:t>
      </w:r>
      <w:r>
        <w:rPr>
          <w:rFonts w:asciiTheme="minorBidi" w:hAnsiTheme="minorBidi"/>
          <w:sz w:val="24"/>
          <w:szCs w:val="24"/>
        </w:rPr>
        <w:t>, of</w:t>
      </w:r>
      <w:r w:rsidRPr="00083A99">
        <w:rPr>
          <w:rFonts w:asciiTheme="minorBidi" w:hAnsiTheme="minorBidi"/>
          <w:sz w:val="24"/>
          <w:szCs w:val="24"/>
        </w:rPr>
        <w:t xml:space="preserve"> more than ten years</w:t>
      </w:r>
      <w:r>
        <w:rPr>
          <w:rFonts w:asciiTheme="minorBidi" w:hAnsiTheme="minorBidi"/>
          <w:sz w:val="24"/>
          <w:szCs w:val="24"/>
        </w:rPr>
        <w:t>,</w:t>
      </w:r>
      <w:r w:rsidRPr="00083A99">
        <w:rPr>
          <w:rFonts w:asciiTheme="minorBidi" w:hAnsiTheme="minorBidi"/>
          <w:sz w:val="24"/>
          <w:szCs w:val="24"/>
        </w:rPr>
        <w:t xml:space="preserve"> in patient care practice. </w:t>
      </w:r>
      <w:r>
        <w:rPr>
          <w:rFonts w:asciiTheme="minorBidi" w:hAnsiTheme="minorBidi"/>
          <w:sz w:val="24"/>
          <w:szCs w:val="24"/>
        </w:rPr>
        <w:t xml:space="preserve">Thus, </w:t>
      </w:r>
      <w:r w:rsidRPr="00C8079D">
        <w:rPr>
          <w:rFonts w:asciiTheme="minorBidi" w:hAnsiTheme="minorBidi"/>
          <w:sz w:val="24"/>
          <w:szCs w:val="24"/>
        </w:rPr>
        <w:t xml:space="preserve">it would be </w:t>
      </w:r>
      <w:r w:rsidRPr="004F5866">
        <w:rPr>
          <w:rFonts w:asciiTheme="minorBidi" w:hAnsiTheme="minorBidi"/>
          <w:sz w:val="24"/>
          <w:szCs w:val="24"/>
        </w:rPr>
        <w:t xml:space="preserve">beneficial </w:t>
      </w:r>
      <w:r w:rsidRPr="00C8079D">
        <w:rPr>
          <w:rFonts w:asciiTheme="minorBidi" w:hAnsiTheme="minorBidi"/>
          <w:sz w:val="24"/>
          <w:szCs w:val="24"/>
        </w:rPr>
        <w:t>to have</w:t>
      </w:r>
      <w:r>
        <w:rPr>
          <w:rFonts w:asciiTheme="minorBidi" w:hAnsiTheme="minorBidi"/>
          <w:sz w:val="24"/>
          <w:szCs w:val="24"/>
        </w:rPr>
        <w:t xml:space="preserve"> clinical training</w:t>
      </w:r>
      <w:r w:rsidRPr="00C8079D">
        <w:rPr>
          <w:rFonts w:asciiTheme="minorBidi" w:hAnsiTheme="minorBidi"/>
          <w:sz w:val="24"/>
          <w:szCs w:val="24"/>
        </w:rPr>
        <w:t xml:space="preserve"> classes</w:t>
      </w:r>
      <w:r>
        <w:rPr>
          <w:rFonts w:asciiTheme="minorBidi" w:hAnsiTheme="minorBidi"/>
          <w:sz w:val="24"/>
          <w:szCs w:val="24"/>
        </w:rPr>
        <w:t xml:space="preserve">, courses </w:t>
      </w:r>
      <w:r w:rsidRPr="00C8079D">
        <w:rPr>
          <w:rFonts w:asciiTheme="minorBidi" w:hAnsiTheme="minorBidi"/>
          <w:sz w:val="24"/>
          <w:szCs w:val="24"/>
        </w:rPr>
        <w:t xml:space="preserve">open for </w:t>
      </w:r>
      <w:r>
        <w:rPr>
          <w:rFonts w:asciiTheme="minorBidi" w:hAnsiTheme="minorBidi"/>
          <w:sz w:val="24"/>
          <w:szCs w:val="24"/>
        </w:rPr>
        <w:t>pharmacists</w:t>
      </w:r>
      <w:r w:rsidRPr="00C8079D">
        <w:rPr>
          <w:rFonts w:asciiTheme="minorBidi" w:hAnsiTheme="minorBidi"/>
          <w:sz w:val="24"/>
          <w:szCs w:val="24"/>
        </w:rPr>
        <w:t xml:space="preserve"> to improve on their </w:t>
      </w:r>
      <w:r>
        <w:rPr>
          <w:rFonts w:asciiTheme="minorBidi" w:hAnsiTheme="minorBidi"/>
          <w:sz w:val="24"/>
          <w:szCs w:val="24"/>
        </w:rPr>
        <w:t>clinical</w:t>
      </w:r>
      <w:r w:rsidRPr="00C8079D">
        <w:rPr>
          <w:rFonts w:asciiTheme="minorBidi" w:hAnsiTheme="minorBidi"/>
          <w:sz w:val="24"/>
          <w:szCs w:val="24"/>
        </w:rPr>
        <w:t xml:space="preserve"> skills.</w:t>
      </w:r>
      <w:r>
        <w:rPr>
          <w:rFonts w:asciiTheme="minorBidi" w:hAnsiTheme="minorBidi"/>
          <w:sz w:val="24"/>
          <w:szCs w:val="24"/>
        </w:rPr>
        <w:t xml:space="preserve"> </w:t>
      </w:r>
      <w:r w:rsidRPr="00083A99">
        <w:rPr>
          <w:rFonts w:asciiTheme="minorBidi" w:hAnsiTheme="minorBidi"/>
          <w:sz w:val="24"/>
          <w:szCs w:val="24"/>
        </w:rPr>
        <w:t xml:space="preserve">They may </w:t>
      </w:r>
      <w:r>
        <w:rPr>
          <w:rFonts w:asciiTheme="minorBidi" w:hAnsiTheme="minorBidi"/>
          <w:sz w:val="24"/>
          <w:szCs w:val="24"/>
        </w:rPr>
        <w:t xml:space="preserve">therefore </w:t>
      </w:r>
      <w:r w:rsidRPr="00083A99">
        <w:rPr>
          <w:rFonts w:asciiTheme="minorBidi" w:hAnsiTheme="minorBidi"/>
          <w:sz w:val="24"/>
          <w:szCs w:val="24"/>
        </w:rPr>
        <w:t>require an intensive short course with clinical training to qualify them to offer such vital activities in treating patients in primary care settings, especially patients with chronic conditions, including those with diabetes. The following quotes refer to this topic.</w:t>
      </w:r>
    </w:p>
    <w:p w14:paraId="2D2D0E80" w14:textId="77777777" w:rsidR="00821B82" w:rsidRPr="006419CB" w:rsidRDefault="00821B82" w:rsidP="00821B82">
      <w:pPr>
        <w:spacing w:line="240" w:lineRule="auto"/>
        <w:ind w:left="720"/>
        <w:jc w:val="both"/>
        <w:rPr>
          <w:rFonts w:eastAsiaTheme="minorEastAsia" w:cstheme="minorHAnsi"/>
          <w:i/>
          <w:iCs/>
          <w:sz w:val="24"/>
          <w:szCs w:val="24"/>
          <w:lang w:val="en-GB" w:eastAsia="en-GB"/>
        </w:rPr>
      </w:pPr>
      <w:r w:rsidRPr="006419CB">
        <w:rPr>
          <w:rFonts w:eastAsiaTheme="minorEastAsia" w:cstheme="minorHAnsi"/>
          <w:i/>
          <w:iCs/>
          <w:sz w:val="24"/>
          <w:szCs w:val="24"/>
          <w:lang w:val="en-GB" w:eastAsia="en-GB"/>
        </w:rPr>
        <w:t>‘For the pharmacist’s role to be effective, they must undergo extensive training to be able to provide clinical services, for example, knowing how to read lab results and providing the best recommendations based on them. These things were not practised in the centres. A pharmacist needs intensive specialised training of at least 6 months to provide clinical services to patients.’</w:t>
      </w:r>
      <w:r>
        <w:rPr>
          <w:rFonts w:eastAsiaTheme="minorEastAsia" w:cstheme="minorHAnsi"/>
          <w:i/>
          <w:iCs/>
          <w:sz w:val="24"/>
          <w:szCs w:val="24"/>
          <w:lang w:val="en-GB" w:eastAsia="en-GB"/>
        </w:rPr>
        <w:t xml:space="preserve"> </w:t>
      </w:r>
      <w:r w:rsidRPr="006419CB">
        <w:rPr>
          <w:rFonts w:eastAsiaTheme="minorEastAsia" w:cstheme="minorHAnsi"/>
          <w:i/>
          <w:iCs/>
          <w:sz w:val="24"/>
          <w:szCs w:val="24"/>
          <w:lang w:val="en-GB" w:eastAsia="en-GB"/>
        </w:rPr>
        <w:t>Ph1</w:t>
      </w:r>
    </w:p>
    <w:p w14:paraId="34920B75" w14:textId="77777777" w:rsidR="00821B82" w:rsidRDefault="00821B82" w:rsidP="00821B82">
      <w:pPr>
        <w:spacing w:before="240" w:line="360" w:lineRule="auto"/>
        <w:jc w:val="both"/>
        <w:rPr>
          <w:rFonts w:asciiTheme="minorBidi" w:hAnsiTheme="minorBidi"/>
          <w:sz w:val="24"/>
          <w:szCs w:val="24"/>
        </w:rPr>
      </w:pPr>
      <w:r w:rsidRPr="00912202">
        <w:rPr>
          <w:rFonts w:asciiTheme="minorBidi" w:hAnsiTheme="minorBidi"/>
          <w:sz w:val="24"/>
          <w:szCs w:val="24"/>
        </w:rPr>
        <w:t>When another pharmacist was asked about the ability of pharmacists with a bachelor's degree to provide diabetes-related services in PHCs, the answer was</w:t>
      </w:r>
      <w:r>
        <w:rPr>
          <w:rFonts w:asciiTheme="minorBidi" w:hAnsiTheme="minorBidi"/>
          <w:sz w:val="24"/>
          <w:szCs w:val="24"/>
        </w:rPr>
        <w:t>:</w:t>
      </w:r>
    </w:p>
    <w:p w14:paraId="61CE61DE" w14:textId="77777777" w:rsidR="00821B82" w:rsidRPr="006419CB" w:rsidRDefault="00821B82" w:rsidP="00821B82">
      <w:pPr>
        <w:spacing w:line="360" w:lineRule="auto"/>
        <w:ind w:left="720"/>
        <w:jc w:val="both"/>
        <w:rPr>
          <w:rFonts w:eastAsiaTheme="minorEastAsia" w:cstheme="minorHAnsi"/>
          <w:i/>
          <w:iCs/>
          <w:sz w:val="24"/>
          <w:szCs w:val="24"/>
          <w:lang w:val="en-GB" w:eastAsia="en-GB"/>
        </w:rPr>
      </w:pPr>
      <w:r w:rsidRPr="006419CB">
        <w:rPr>
          <w:rFonts w:eastAsiaTheme="minorEastAsia" w:cstheme="minorHAnsi"/>
          <w:i/>
          <w:iCs/>
          <w:sz w:val="24"/>
          <w:szCs w:val="24"/>
          <w:lang w:val="en-GB" w:eastAsia="en-GB"/>
        </w:rPr>
        <w:t>‘They can</w:t>
      </w:r>
      <w:r>
        <w:rPr>
          <w:rFonts w:eastAsiaTheme="minorEastAsia" w:cstheme="minorHAnsi"/>
          <w:i/>
          <w:iCs/>
          <w:sz w:val="24"/>
          <w:szCs w:val="24"/>
          <w:lang w:val="en-GB" w:eastAsia="en-GB"/>
        </w:rPr>
        <w:t xml:space="preserve">. </w:t>
      </w:r>
      <w:r w:rsidRPr="006419CB">
        <w:rPr>
          <w:rFonts w:eastAsiaTheme="minorEastAsia" w:cstheme="minorHAnsi"/>
          <w:i/>
          <w:iCs/>
          <w:sz w:val="24"/>
          <w:szCs w:val="24"/>
          <w:lang w:val="en-GB" w:eastAsia="en-GB"/>
        </w:rPr>
        <w:t>Yes, at the level of PHCs, pharmacists can do this task.’ Ph3</w:t>
      </w:r>
    </w:p>
    <w:p w14:paraId="458D5DBC" w14:textId="77777777" w:rsidR="00821B82" w:rsidRPr="00FC7A61" w:rsidRDefault="00821B82" w:rsidP="00821B82">
      <w:pPr>
        <w:pStyle w:val="Heading5"/>
        <w:spacing w:line="360" w:lineRule="auto"/>
        <w:rPr>
          <w:rFonts w:asciiTheme="minorBidi" w:eastAsiaTheme="minorEastAsia" w:hAnsiTheme="minorBidi" w:cstheme="minorBidi"/>
          <w:sz w:val="24"/>
          <w:szCs w:val="24"/>
          <w:lang w:val="en-GB" w:eastAsia="en-GB"/>
        </w:rPr>
      </w:pPr>
      <w:r w:rsidRPr="00FC7A61">
        <w:rPr>
          <w:rFonts w:asciiTheme="minorBidi" w:eastAsiaTheme="minorEastAsia" w:hAnsiTheme="minorBidi" w:cstheme="minorBidi"/>
          <w:sz w:val="24"/>
          <w:szCs w:val="24"/>
          <w:lang w:val="en-GB" w:eastAsia="en-GB"/>
        </w:rPr>
        <w:t xml:space="preserve">Lack of a role model </w:t>
      </w:r>
    </w:p>
    <w:p w14:paraId="5B51D833" w14:textId="77777777" w:rsidR="00821B82" w:rsidRDefault="00821B82" w:rsidP="00FC7A61">
      <w:pPr>
        <w:spacing w:before="240" w:line="360" w:lineRule="auto"/>
        <w:jc w:val="both"/>
        <w:rPr>
          <w:rFonts w:asciiTheme="minorBidi" w:hAnsiTheme="minorBidi"/>
          <w:sz w:val="24"/>
          <w:szCs w:val="24"/>
        </w:rPr>
      </w:pPr>
      <w:r>
        <w:rPr>
          <w:rFonts w:asciiTheme="minorBidi" w:eastAsiaTheme="minorEastAsia" w:hAnsiTheme="minorBidi"/>
          <w:sz w:val="24"/>
          <w:szCs w:val="24"/>
          <w:lang w:val="en-GB" w:eastAsia="en-GB"/>
        </w:rPr>
        <w:t>The l</w:t>
      </w:r>
      <w:r w:rsidRPr="00DE5367">
        <w:rPr>
          <w:rFonts w:asciiTheme="minorBidi" w:eastAsiaTheme="minorEastAsia" w:hAnsiTheme="minorBidi"/>
          <w:sz w:val="24"/>
          <w:szCs w:val="24"/>
          <w:lang w:val="en-GB" w:eastAsia="en-GB"/>
        </w:rPr>
        <w:t xml:space="preserve">ack of a role model was another issue raised by a senior doctor. Regarding this issue, it was found that there is inequality in pharmacy practice across the regions of </w:t>
      </w:r>
      <w:r>
        <w:rPr>
          <w:rFonts w:asciiTheme="minorBidi" w:eastAsiaTheme="minorEastAsia" w:hAnsiTheme="minorBidi"/>
          <w:sz w:val="24"/>
          <w:szCs w:val="24"/>
          <w:lang w:val="en-GB" w:eastAsia="en-GB"/>
        </w:rPr>
        <w:t>SA, although,</w:t>
      </w:r>
      <w:r w:rsidRPr="00DE5367">
        <w:rPr>
          <w:rFonts w:asciiTheme="minorBidi" w:eastAsiaTheme="minorEastAsia" w:hAnsiTheme="minorBidi"/>
          <w:sz w:val="24"/>
          <w:szCs w:val="24"/>
          <w:lang w:val="en-GB" w:eastAsia="en-GB"/>
        </w:rPr>
        <w:t xml:space="preserve"> as participants mentioned, advanced pharmacy practice is well implemented in </w:t>
      </w:r>
      <w:r w:rsidRPr="00BE4413">
        <w:rPr>
          <w:rFonts w:asciiTheme="minorBidi" w:hAnsiTheme="minorBidi"/>
          <w:sz w:val="24"/>
          <w:szCs w:val="24"/>
        </w:rPr>
        <w:t>specialised health institutions such as tertiary hospitals</w:t>
      </w:r>
      <w:r>
        <w:rPr>
          <w:rFonts w:asciiTheme="minorBidi" w:hAnsiTheme="minorBidi"/>
          <w:sz w:val="24"/>
          <w:szCs w:val="24"/>
        </w:rPr>
        <w:t xml:space="preserve"> located in </w:t>
      </w:r>
      <w:r w:rsidRPr="00DE5367">
        <w:rPr>
          <w:rFonts w:asciiTheme="minorBidi" w:eastAsiaTheme="minorEastAsia" w:hAnsiTheme="minorBidi"/>
          <w:sz w:val="24"/>
          <w:szCs w:val="24"/>
          <w:lang w:val="en-GB" w:eastAsia="en-GB"/>
        </w:rPr>
        <w:t>the capital city, Riyadh, and other big cities such as Dharan</w:t>
      </w:r>
      <w:r>
        <w:rPr>
          <w:rFonts w:asciiTheme="minorBidi" w:eastAsiaTheme="minorEastAsia" w:hAnsiTheme="minorBidi"/>
          <w:sz w:val="24"/>
          <w:szCs w:val="24"/>
          <w:lang w:val="en-GB" w:eastAsia="en-GB"/>
        </w:rPr>
        <w:t>.</w:t>
      </w:r>
    </w:p>
    <w:p w14:paraId="6DE013BC"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720"/>
        <w:jc w:val="both"/>
        <w:rPr>
          <w:rFonts w:eastAsiaTheme="minorEastAsia" w:cstheme="minorHAnsi"/>
          <w:i/>
          <w:iCs/>
          <w:sz w:val="24"/>
          <w:szCs w:val="24"/>
          <w:lang w:val="en-GB" w:eastAsia="en-GB"/>
        </w:rPr>
      </w:pPr>
      <w:r w:rsidRPr="00426526">
        <w:rPr>
          <w:rFonts w:eastAsiaTheme="minorEastAsia" w:cstheme="minorHAnsi"/>
          <w:i/>
          <w:iCs/>
          <w:sz w:val="24"/>
          <w:szCs w:val="24"/>
          <w:lang w:val="en-GB" w:eastAsia="en-GB"/>
        </w:rPr>
        <w:t>‘I don't think it is only the legislation rather than the role model, we don't have a role</w:t>
      </w:r>
      <w:r w:rsidRPr="00426526">
        <w:rPr>
          <w:rFonts w:asciiTheme="minorBidi" w:eastAsiaTheme="minorEastAsia" w:hAnsiTheme="minorBidi"/>
          <w:sz w:val="28"/>
          <w:szCs w:val="28"/>
          <w:lang w:val="en-GB" w:eastAsia="en-GB"/>
        </w:rPr>
        <w:t xml:space="preserve"> </w:t>
      </w:r>
      <w:r w:rsidRPr="00426526">
        <w:rPr>
          <w:rFonts w:eastAsiaTheme="minorEastAsia" w:cstheme="minorHAnsi"/>
          <w:i/>
          <w:iCs/>
          <w:sz w:val="24"/>
          <w:szCs w:val="24"/>
          <w:lang w:val="en-GB" w:eastAsia="en-GB"/>
        </w:rPr>
        <w:t>model in the primary care, role of the clinical pharmacist we don't have role model…I have seen even in the tertiary hospitals the nurse is responsible for refill medication. and I'm wondering if this role should be directed to the pharmacist at least to have the pharmacist to do refill’ D1</w:t>
      </w:r>
    </w:p>
    <w:p w14:paraId="48621320" w14:textId="77777777" w:rsidR="00821B82" w:rsidRDefault="00821B82" w:rsidP="00821B82">
      <w:pPr>
        <w:shd w:val="clear" w:color="auto" w:fill="FFFFFF"/>
        <w:spacing w:after="0" w:line="240" w:lineRule="auto"/>
        <w:ind w:left="720"/>
        <w:jc w:val="both"/>
        <w:rPr>
          <w:rFonts w:eastAsiaTheme="minorEastAsia" w:cstheme="minorHAnsi"/>
          <w:i/>
          <w:iCs/>
          <w:sz w:val="24"/>
          <w:szCs w:val="24"/>
          <w:lang w:val="en-GB" w:eastAsia="en-GB"/>
        </w:rPr>
      </w:pPr>
      <w:r w:rsidRPr="00426526">
        <w:rPr>
          <w:rFonts w:eastAsiaTheme="minorEastAsia" w:cstheme="minorHAnsi"/>
          <w:i/>
          <w:iCs/>
          <w:sz w:val="24"/>
          <w:szCs w:val="24"/>
          <w:lang w:val="en-GB" w:eastAsia="en-GB"/>
        </w:rPr>
        <w:t>‘I didn't really see any clinics that are specialised for diabetic patients and foot care, I think they only have that in Saudi Aramco to my knowledge’. D2</w:t>
      </w:r>
    </w:p>
    <w:p w14:paraId="758487F7" w14:textId="77777777" w:rsidR="00821B82" w:rsidRPr="00426526" w:rsidRDefault="00821B82" w:rsidP="00821B82">
      <w:pPr>
        <w:shd w:val="clear" w:color="auto" w:fill="FFFFFF"/>
        <w:spacing w:after="0" w:line="240" w:lineRule="auto"/>
        <w:jc w:val="both"/>
        <w:rPr>
          <w:rFonts w:eastAsiaTheme="minorEastAsia" w:cstheme="minorHAnsi"/>
          <w:i/>
          <w:iCs/>
          <w:sz w:val="24"/>
          <w:szCs w:val="24"/>
          <w:lang w:val="en-GB" w:eastAsia="en-GB"/>
        </w:rPr>
      </w:pPr>
    </w:p>
    <w:p w14:paraId="78610AA9" w14:textId="77777777" w:rsidR="00821B82" w:rsidRPr="00996863" w:rsidRDefault="00821B82" w:rsidP="00821B82">
      <w:pPr>
        <w:spacing w:before="240" w:line="360" w:lineRule="auto"/>
        <w:jc w:val="both"/>
        <w:rPr>
          <w:rFonts w:asciiTheme="minorBidi" w:eastAsiaTheme="minorEastAsia" w:hAnsiTheme="minorBidi"/>
          <w:sz w:val="24"/>
          <w:szCs w:val="24"/>
          <w:lang w:val="en-GB" w:eastAsia="en-GB"/>
        </w:rPr>
      </w:pPr>
      <w:r w:rsidRPr="00996863">
        <w:rPr>
          <w:rFonts w:asciiTheme="minorBidi" w:eastAsiaTheme="minorEastAsia" w:hAnsiTheme="minorBidi"/>
          <w:sz w:val="24"/>
          <w:szCs w:val="24"/>
          <w:lang w:val="en-GB" w:eastAsia="en-GB"/>
        </w:rPr>
        <w:t xml:space="preserve">The findings in this theme suggest that several challenges to the involvement of pharmacists in diabetes primary care management should be addressed. Thus, the next chapter moves to discuss facilitators that could </w:t>
      </w:r>
      <w:r>
        <w:rPr>
          <w:rFonts w:asciiTheme="minorBidi" w:eastAsiaTheme="minorEastAsia" w:hAnsiTheme="minorBidi"/>
          <w:sz w:val="24"/>
          <w:szCs w:val="24"/>
          <w:lang w:val="en-GB" w:eastAsia="en-GB"/>
        </w:rPr>
        <w:t>enable</w:t>
      </w:r>
      <w:r w:rsidRPr="00996863">
        <w:rPr>
          <w:rFonts w:asciiTheme="minorBidi" w:eastAsiaTheme="minorEastAsia" w:hAnsiTheme="minorBidi"/>
          <w:sz w:val="24"/>
          <w:szCs w:val="24"/>
          <w:lang w:val="en-GB" w:eastAsia="en-GB"/>
        </w:rPr>
        <w:t xml:space="preserve"> pharmacists' participation in diabetes primary care management.</w:t>
      </w:r>
    </w:p>
    <w:p w14:paraId="3DE2E005" w14:textId="77777777" w:rsidR="00821B82" w:rsidRPr="00996863"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eastAsiaTheme="minorEastAsia" w:hAnsiTheme="minorBidi"/>
          <w:sz w:val="24"/>
          <w:szCs w:val="24"/>
          <w:lang w:val="en-GB" w:eastAsia="en-GB"/>
        </w:rPr>
      </w:pPr>
    </w:p>
    <w:p w14:paraId="43B8E593" w14:textId="77777777" w:rsidR="00821B82" w:rsidRPr="00996863" w:rsidRDefault="00821B82" w:rsidP="00821B82">
      <w:pPr>
        <w:jc w:val="both"/>
        <w:rPr>
          <w:rFonts w:asciiTheme="minorBidi" w:eastAsiaTheme="minorEastAsia" w:hAnsiTheme="minorBidi"/>
          <w:sz w:val="24"/>
          <w:szCs w:val="24"/>
          <w:lang w:val="en-GB" w:eastAsia="en-GB"/>
        </w:rPr>
      </w:pPr>
    </w:p>
    <w:p w14:paraId="274C165D" w14:textId="77777777" w:rsidR="00821B82" w:rsidRDefault="00821B82" w:rsidP="00821B82">
      <w:pPr>
        <w:jc w:val="both"/>
        <w:rPr>
          <w:rFonts w:asciiTheme="majorHAnsi" w:eastAsiaTheme="majorEastAsia" w:hAnsiTheme="majorHAnsi" w:cstheme="minorHAnsi"/>
          <w:color w:val="2F5496" w:themeColor="accent1" w:themeShade="BF"/>
          <w:sz w:val="26"/>
          <w:szCs w:val="26"/>
        </w:rPr>
      </w:pPr>
      <w:r>
        <w:rPr>
          <w:rFonts w:cstheme="minorHAnsi"/>
        </w:rPr>
        <w:br w:type="page"/>
      </w:r>
    </w:p>
    <w:p w14:paraId="2D02BF15" w14:textId="77777777" w:rsidR="00821B82" w:rsidRPr="000A080A" w:rsidRDefault="00821B82" w:rsidP="00821B82">
      <w:pPr>
        <w:pStyle w:val="Heading3"/>
        <w:numPr>
          <w:ilvl w:val="0"/>
          <w:numId w:val="0"/>
        </w:numPr>
        <w:spacing w:line="257" w:lineRule="auto"/>
      </w:pPr>
      <w:bookmarkStart w:id="260" w:name="_Toc122626441"/>
      <w:bookmarkStart w:id="261" w:name="_Toc153894206"/>
      <w:r w:rsidRPr="000247FD">
        <w:t>6.</w:t>
      </w:r>
      <w:r>
        <w:t>4</w:t>
      </w:r>
      <w:r w:rsidRPr="000247FD">
        <w:t>.</w:t>
      </w:r>
      <w:r>
        <w:t>6.</w:t>
      </w:r>
      <w:r w:rsidRPr="000247FD">
        <w:t xml:space="preserve"> Facilitators to pharmacists’ involvement in diabetes primary care management</w:t>
      </w:r>
      <w:bookmarkEnd w:id="260"/>
      <w:bookmarkEnd w:id="261"/>
    </w:p>
    <w:p w14:paraId="5D69658A" w14:textId="77777777" w:rsidR="00821B82" w:rsidRDefault="00821B82" w:rsidP="00821B82">
      <w:pPr>
        <w:spacing w:before="240" w:line="360" w:lineRule="auto"/>
        <w:jc w:val="both"/>
        <w:rPr>
          <w:rFonts w:asciiTheme="minorBidi" w:hAnsiTheme="minorBidi"/>
          <w:sz w:val="24"/>
          <w:szCs w:val="24"/>
        </w:rPr>
      </w:pPr>
      <w:r w:rsidRPr="009B3571">
        <w:rPr>
          <w:rFonts w:asciiTheme="minorBidi" w:hAnsiTheme="minorBidi"/>
          <w:sz w:val="24"/>
          <w:szCs w:val="24"/>
        </w:rPr>
        <w:t xml:space="preserve">A number of facilitators were identified, and the most dynamic factor was the Saudi Vision 2030. </w:t>
      </w:r>
      <w:r w:rsidRPr="00BE4413">
        <w:rPr>
          <w:rFonts w:asciiTheme="minorBidi" w:hAnsiTheme="minorBidi"/>
          <w:sz w:val="24"/>
          <w:szCs w:val="24"/>
        </w:rPr>
        <w:t>Now, with the 2030 vision, the goals of pharmaceutical care in primary healthcare settings have changed dramatically. The focus is not only on dispensing treatment to the patient but also on evaluating the treatments provided to the patient in terms of their suitability for each patient’s condition and their impact on him</w:t>
      </w:r>
      <w:r>
        <w:rPr>
          <w:rFonts w:asciiTheme="minorBidi" w:hAnsiTheme="minorBidi"/>
          <w:sz w:val="24"/>
          <w:szCs w:val="24"/>
        </w:rPr>
        <w:t>/her</w:t>
      </w:r>
      <w:r w:rsidRPr="00BE4413">
        <w:rPr>
          <w:rFonts w:asciiTheme="minorBidi" w:hAnsiTheme="minorBidi"/>
          <w:sz w:val="24"/>
          <w:szCs w:val="24"/>
        </w:rPr>
        <w:t xml:space="preserve"> and carefully monitoring the case to reach the desired treatment results. These goals are subject to pharmaceutical services. </w:t>
      </w:r>
      <w:r w:rsidRPr="009B3571">
        <w:rPr>
          <w:rFonts w:asciiTheme="minorBidi" w:hAnsiTheme="minorBidi"/>
          <w:sz w:val="24"/>
          <w:szCs w:val="24"/>
        </w:rPr>
        <w:t xml:space="preserve">The new transformation in the Saudi health care system gives opportunities to primary care pharmacists to provide public health services, including clinical services such as </w:t>
      </w:r>
      <w:r>
        <w:rPr>
          <w:rFonts w:asciiTheme="minorBidi" w:hAnsiTheme="minorBidi"/>
          <w:sz w:val="24"/>
          <w:szCs w:val="24"/>
        </w:rPr>
        <w:t>medication review (</w:t>
      </w:r>
      <w:r w:rsidRPr="009B3571">
        <w:rPr>
          <w:rFonts w:asciiTheme="minorBidi" w:hAnsiTheme="minorBidi"/>
          <w:sz w:val="24"/>
          <w:szCs w:val="24"/>
        </w:rPr>
        <w:t>MR</w:t>
      </w:r>
      <w:r>
        <w:rPr>
          <w:rFonts w:asciiTheme="minorBidi" w:hAnsiTheme="minorBidi"/>
          <w:sz w:val="24"/>
          <w:szCs w:val="24"/>
        </w:rPr>
        <w:t>)</w:t>
      </w:r>
      <w:r w:rsidRPr="009B3571">
        <w:rPr>
          <w:rFonts w:asciiTheme="minorBidi" w:hAnsiTheme="minorBidi"/>
          <w:sz w:val="24"/>
          <w:szCs w:val="24"/>
        </w:rPr>
        <w:t xml:space="preserve"> and MTM. </w:t>
      </w:r>
    </w:p>
    <w:p w14:paraId="2F6941F7" w14:textId="77777777" w:rsidR="00821B82" w:rsidRDefault="00821B82" w:rsidP="00821B82">
      <w:pPr>
        <w:spacing w:line="360" w:lineRule="auto"/>
        <w:ind w:left="720"/>
        <w:jc w:val="both"/>
        <w:rPr>
          <w:rFonts w:cstheme="minorHAnsi"/>
          <w:i/>
          <w:iCs/>
          <w:sz w:val="24"/>
          <w:szCs w:val="24"/>
        </w:rPr>
      </w:pPr>
      <w:r>
        <w:rPr>
          <w:rFonts w:cstheme="minorHAnsi"/>
          <w:i/>
          <w:iCs/>
          <w:sz w:val="24"/>
          <w:szCs w:val="24"/>
        </w:rPr>
        <w:t>‘</w:t>
      </w:r>
      <w:r w:rsidRPr="001F607C">
        <w:rPr>
          <w:rFonts w:cstheme="minorHAnsi"/>
          <w:i/>
          <w:iCs/>
          <w:sz w:val="24"/>
          <w:szCs w:val="24"/>
        </w:rPr>
        <w:t>I have heard that there is a trend to establish speciali</w:t>
      </w:r>
      <w:r>
        <w:rPr>
          <w:rFonts w:cstheme="minorHAnsi"/>
          <w:i/>
          <w:iCs/>
          <w:sz w:val="24"/>
          <w:szCs w:val="24"/>
        </w:rPr>
        <w:t>s</w:t>
      </w:r>
      <w:r w:rsidRPr="001F607C">
        <w:rPr>
          <w:rFonts w:cstheme="minorHAnsi"/>
          <w:i/>
          <w:iCs/>
          <w:sz w:val="24"/>
          <w:szCs w:val="24"/>
        </w:rPr>
        <w:t>ed pharmacy services in PHCs</w:t>
      </w:r>
      <w:r>
        <w:rPr>
          <w:rFonts w:cstheme="minorHAnsi"/>
          <w:i/>
          <w:iCs/>
          <w:sz w:val="24"/>
          <w:szCs w:val="24"/>
        </w:rPr>
        <w:t>’</w:t>
      </w:r>
      <w:r w:rsidRPr="001F607C">
        <w:rPr>
          <w:rFonts w:cstheme="minorHAnsi"/>
          <w:i/>
          <w:iCs/>
          <w:sz w:val="24"/>
          <w:szCs w:val="24"/>
        </w:rPr>
        <w:t xml:space="preserve"> Ph1</w:t>
      </w:r>
    </w:p>
    <w:p w14:paraId="7DA475A1" w14:textId="77777777" w:rsidR="0034770B" w:rsidRPr="009B4003" w:rsidRDefault="0034770B" w:rsidP="00821B82">
      <w:pPr>
        <w:spacing w:line="360" w:lineRule="auto"/>
        <w:ind w:left="720"/>
        <w:jc w:val="both"/>
        <w:rPr>
          <w:rFonts w:cstheme="minorHAnsi"/>
          <w:i/>
          <w:iCs/>
          <w:sz w:val="24"/>
          <w:szCs w:val="24"/>
        </w:rPr>
      </w:pPr>
    </w:p>
    <w:p w14:paraId="74146A9B" w14:textId="77777777" w:rsidR="00821B82" w:rsidRPr="0034770B" w:rsidRDefault="00821B82" w:rsidP="0034770B">
      <w:pPr>
        <w:pStyle w:val="Heading4"/>
        <w:spacing w:after="240" w:line="360" w:lineRule="auto"/>
        <w:rPr>
          <w:rFonts w:asciiTheme="minorBidi" w:hAnsiTheme="minorBidi" w:cstheme="minorBidi"/>
          <w:sz w:val="24"/>
          <w:szCs w:val="24"/>
        </w:rPr>
      </w:pPr>
      <w:r w:rsidRPr="0034770B">
        <w:rPr>
          <w:rFonts w:asciiTheme="minorBidi" w:hAnsiTheme="minorBidi" w:cstheme="minorBidi"/>
          <w:sz w:val="24"/>
          <w:szCs w:val="24"/>
        </w:rPr>
        <w:t xml:space="preserve">6.4.6.1. Prioritising pharmaceutical care services in primary care settings: Services needed in PHCs </w:t>
      </w:r>
    </w:p>
    <w:p w14:paraId="4E4AC042" w14:textId="77777777" w:rsidR="00821B82" w:rsidRPr="00BE4413" w:rsidRDefault="00821B82" w:rsidP="00821B82">
      <w:pPr>
        <w:spacing w:line="360" w:lineRule="auto"/>
        <w:jc w:val="both"/>
        <w:rPr>
          <w:rFonts w:asciiTheme="minorBidi" w:hAnsiTheme="minorBidi"/>
          <w:sz w:val="24"/>
          <w:szCs w:val="24"/>
        </w:rPr>
      </w:pPr>
      <w:r w:rsidRPr="00BE4413">
        <w:rPr>
          <w:rFonts w:asciiTheme="minorBidi" w:hAnsiTheme="minorBidi"/>
          <w:sz w:val="24"/>
          <w:szCs w:val="24"/>
        </w:rPr>
        <w:t xml:space="preserve">One of the interviewees argued that in the past, there was a need to employ pharmacists or pharmacy technicians in </w:t>
      </w:r>
      <w:r>
        <w:rPr>
          <w:rFonts w:asciiTheme="minorBidi" w:hAnsiTheme="minorBidi"/>
          <w:sz w:val="24"/>
          <w:szCs w:val="24"/>
        </w:rPr>
        <w:t>PHCs</w:t>
      </w:r>
      <w:r w:rsidRPr="00BE4413">
        <w:rPr>
          <w:rFonts w:asciiTheme="minorBidi" w:hAnsiTheme="minorBidi"/>
          <w:sz w:val="24"/>
          <w:szCs w:val="24"/>
        </w:rPr>
        <w:t xml:space="preserve"> in order to dispense medicines to patients. The prominent role of the health centre pharmacy was to deliver medication to the patient, as there was an urgent need at that time to provide this service to the community. </w:t>
      </w:r>
    </w:p>
    <w:p w14:paraId="24BE78DF"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DE4B75">
        <w:rPr>
          <w:rFonts w:eastAsiaTheme="minorEastAsia" w:cstheme="minorHAnsi"/>
          <w:i/>
          <w:iCs/>
          <w:sz w:val="24"/>
          <w:szCs w:val="24"/>
          <w:lang w:val="en-GB" w:eastAsia="en-GB"/>
        </w:rPr>
        <w:t>Limited qualified pharmacist</w:t>
      </w:r>
      <w:r>
        <w:rPr>
          <w:rFonts w:eastAsiaTheme="minorEastAsia" w:cstheme="minorHAnsi"/>
          <w:i/>
          <w:iCs/>
          <w:sz w:val="24"/>
          <w:szCs w:val="24"/>
          <w:lang w:val="en-GB" w:eastAsia="en-GB"/>
        </w:rPr>
        <w:t>,</w:t>
      </w:r>
      <w:r w:rsidRPr="00DE4B75">
        <w:rPr>
          <w:rFonts w:eastAsiaTheme="minorEastAsia" w:cstheme="minorHAnsi"/>
          <w:i/>
          <w:iCs/>
          <w:sz w:val="24"/>
          <w:szCs w:val="24"/>
          <w:lang w:val="en-GB" w:eastAsia="en-GB"/>
        </w:rPr>
        <w:t xml:space="preserve"> technician</w:t>
      </w:r>
      <w:r>
        <w:rPr>
          <w:rFonts w:eastAsiaTheme="minorEastAsia" w:cstheme="minorHAnsi"/>
          <w:i/>
          <w:iCs/>
          <w:sz w:val="24"/>
          <w:szCs w:val="24"/>
          <w:lang w:val="en-GB" w:eastAsia="en-GB"/>
        </w:rPr>
        <w:t>s</w:t>
      </w:r>
      <w:r w:rsidRPr="00DE4B75">
        <w:rPr>
          <w:rFonts w:eastAsiaTheme="minorEastAsia" w:cstheme="minorHAnsi"/>
          <w:i/>
          <w:iCs/>
          <w:sz w:val="24"/>
          <w:szCs w:val="24"/>
          <w:lang w:val="en-GB" w:eastAsia="en-GB"/>
        </w:rPr>
        <w:t xml:space="preserve"> wh</w:t>
      </w:r>
      <w:r>
        <w:rPr>
          <w:rFonts w:eastAsiaTheme="minorEastAsia" w:cstheme="minorHAnsi"/>
          <w:i/>
          <w:iCs/>
          <w:sz w:val="24"/>
          <w:szCs w:val="24"/>
          <w:lang w:val="en-GB" w:eastAsia="en-GB"/>
        </w:rPr>
        <w:t>o had</w:t>
      </w:r>
      <w:r w:rsidRPr="00DE4B75">
        <w:rPr>
          <w:rFonts w:eastAsiaTheme="minorEastAsia" w:cstheme="minorHAnsi"/>
          <w:i/>
          <w:iCs/>
          <w:sz w:val="24"/>
          <w:szCs w:val="24"/>
          <w:lang w:val="en-GB" w:eastAsia="en-GB"/>
        </w:rPr>
        <w:t xml:space="preserve"> graduated to fill the gaps of this dispending medication rather than</w:t>
      </w:r>
      <w:r>
        <w:rPr>
          <w:rFonts w:eastAsiaTheme="minorEastAsia" w:cstheme="minorHAnsi"/>
          <w:i/>
          <w:iCs/>
          <w:sz w:val="24"/>
          <w:szCs w:val="24"/>
          <w:lang w:val="en-GB" w:eastAsia="en-GB"/>
        </w:rPr>
        <w:t>,</w:t>
      </w:r>
      <w:r w:rsidRPr="00DE4B75">
        <w:rPr>
          <w:rFonts w:eastAsiaTheme="minorEastAsia" w:cstheme="minorHAnsi"/>
          <w:i/>
          <w:iCs/>
          <w:sz w:val="24"/>
          <w:szCs w:val="24"/>
          <w:lang w:val="en-GB" w:eastAsia="en-GB"/>
        </w:rPr>
        <w:t xml:space="preserve"> you know</w:t>
      </w:r>
      <w:r>
        <w:rPr>
          <w:rFonts w:eastAsiaTheme="minorEastAsia" w:cstheme="minorHAnsi"/>
          <w:i/>
          <w:iCs/>
          <w:sz w:val="24"/>
          <w:szCs w:val="24"/>
          <w:lang w:val="en-GB" w:eastAsia="en-GB"/>
        </w:rPr>
        <w:t>,</w:t>
      </w:r>
      <w:r w:rsidRPr="00DE4B75">
        <w:rPr>
          <w:rFonts w:eastAsiaTheme="minorEastAsia" w:cstheme="minorHAnsi"/>
          <w:i/>
          <w:iCs/>
          <w:sz w:val="24"/>
          <w:szCs w:val="24"/>
          <w:lang w:val="en-GB" w:eastAsia="en-GB"/>
        </w:rPr>
        <w:t xml:space="preserve"> covering the gaps of </w:t>
      </w:r>
      <w:r>
        <w:rPr>
          <w:rFonts w:eastAsiaTheme="minorEastAsia" w:cstheme="minorHAnsi"/>
          <w:i/>
          <w:iCs/>
          <w:sz w:val="24"/>
          <w:szCs w:val="24"/>
          <w:lang w:val="en-GB" w:eastAsia="en-GB"/>
        </w:rPr>
        <w:t>pharmaceutical care</w:t>
      </w:r>
      <w:r w:rsidRPr="00DE4B75">
        <w:rPr>
          <w:rFonts w:eastAsiaTheme="minorEastAsia" w:cstheme="minorHAnsi"/>
          <w:i/>
          <w:iCs/>
          <w:sz w:val="24"/>
          <w:szCs w:val="24"/>
          <w:lang w:val="en-GB" w:eastAsia="en-GB"/>
        </w:rPr>
        <w:t xml:space="preserve"> service</w:t>
      </w:r>
      <w:r>
        <w:rPr>
          <w:rFonts w:eastAsiaTheme="minorEastAsia" w:cstheme="minorHAnsi"/>
          <w:i/>
          <w:iCs/>
          <w:sz w:val="24"/>
          <w:szCs w:val="24"/>
          <w:lang w:val="en-GB" w:eastAsia="en-GB"/>
        </w:rPr>
        <w:t>s.</w:t>
      </w:r>
      <w:r w:rsidRPr="00DE4B75">
        <w:rPr>
          <w:rFonts w:eastAsiaTheme="minorEastAsia" w:cstheme="minorHAnsi"/>
          <w:i/>
          <w:iCs/>
          <w:sz w:val="24"/>
          <w:szCs w:val="24"/>
          <w:lang w:val="en-GB" w:eastAsia="en-GB"/>
        </w:rPr>
        <w:t xml:space="preserve"> </w:t>
      </w:r>
      <w:r>
        <w:rPr>
          <w:rFonts w:eastAsiaTheme="minorEastAsia" w:cstheme="minorHAnsi"/>
          <w:i/>
          <w:iCs/>
          <w:sz w:val="24"/>
          <w:szCs w:val="24"/>
          <w:lang w:val="en-GB" w:eastAsia="en-GB"/>
        </w:rPr>
        <w:t>M</w:t>
      </w:r>
      <w:r w:rsidRPr="00DE4B75">
        <w:rPr>
          <w:rFonts w:eastAsiaTheme="minorEastAsia" w:cstheme="minorHAnsi"/>
          <w:i/>
          <w:iCs/>
          <w:sz w:val="24"/>
          <w:szCs w:val="24"/>
          <w:lang w:val="en-GB" w:eastAsia="en-GB"/>
        </w:rPr>
        <w:t>aybe it was good and fair at that time because it needs an immediate action to fill the gaps but for the time being after maturation of our services and looking forward to the 2030 I think we have to think differently in order just to raise the level, change the attitude and have</w:t>
      </w:r>
      <w:r>
        <w:rPr>
          <w:rFonts w:eastAsiaTheme="minorEastAsia" w:cstheme="minorHAnsi"/>
          <w:i/>
          <w:iCs/>
          <w:sz w:val="24"/>
          <w:szCs w:val="24"/>
          <w:lang w:val="en-GB" w:eastAsia="en-GB"/>
        </w:rPr>
        <w:t xml:space="preserve"> a</w:t>
      </w:r>
      <w:r w:rsidRPr="00DE4B75">
        <w:rPr>
          <w:rFonts w:eastAsiaTheme="minorEastAsia" w:cstheme="minorHAnsi"/>
          <w:i/>
          <w:iCs/>
          <w:sz w:val="24"/>
          <w:szCs w:val="24"/>
          <w:lang w:val="en-GB" w:eastAsia="en-GB"/>
        </w:rPr>
        <w:t xml:space="preserve"> role in this</w:t>
      </w:r>
      <w:r>
        <w:rPr>
          <w:rFonts w:eastAsiaTheme="minorEastAsia" w:cstheme="minorHAnsi"/>
          <w:i/>
          <w:iCs/>
          <w:sz w:val="24"/>
          <w:szCs w:val="24"/>
          <w:lang w:val="en-GB" w:eastAsia="en-GB"/>
        </w:rPr>
        <w:t>.’ D2</w:t>
      </w:r>
    </w:p>
    <w:p w14:paraId="3A2FD522" w14:textId="77777777" w:rsidR="00821B82" w:rsidRDefault="00821B82" w:rsidP="00821B82">
      <w:pPr>
        <w:spacing w:before="240" w:line="360" w:lineRule="auto"/>
        <w:jc w:val="both"/>
        <w:rPr>
          <w:rFonts w:asciiTheme="minorBidi" w:hAnsiTheme="minorBidi"/>
          <w:sz w:val="24"/>
          <w:szCs w:val="24"/>
        </w:rPr>
      </w:pPr>
      <w:r w:rsidRPr="00BE4413">
        <w:rPr>
          <w:rFonts w:asciiTheme="minorBidi" w:hAnsiTheme="minorBidi"/>
          <w:sz w:val="24"/>
          <w:szCs w:val="24"/>
        </w:rPr>
        <w:t xml:space="preserve">Currently, with the health system transformation strategy, this service has been </w:t>
      </w:r>
      <w:r>
        <w:rPr>
          <w:rFonts w:asciiTheme="minorBidi" w:hAnsiTheme="minorBidi"/>
          <w:sz w:val="24"/>
          <w:szCs w:val="24"/>
        </w:rPr>
        <w:t>remov</w:t>
      </w:r>
      <w:r w:rsidRPr="00BE4413">
        <w:rPr>
          <w:rFonts w:asciiTheme="minorBidi" w:hAnsiTheme="minorBidi"/>
          <w:sz w:val="24"/>
          <w:szCs w:val="24"/>
        </w:rPr>
        <w:t xml:space="preserve">ed from </w:t>
      </w:r>
      <w:r>
        <w:rPr>
          <w:rFonts w:asciiTheme="minorBidi" w:hAnsiTheme="minorBidi"/>
          <w:sz w:val="24"/>
          <w:szCs w:val="24"/>
        </w:rPr>
        <w:t>PHCs</w:t>
      </w:r>
      <w:r w:rsidRPr="00BE4413">
        <w:rPr>
          <w:rFonts w:asciiTheme="minorBidi" w:hAnsiTheme="minorBidi"/>
          <w:sz w:val="24"/>
          <w:szCs w:val="24"/>
        </w:rPr>
        <w:t>, and patients have been referred to receive medicines from the</w:t>
      </w:r>
      <w:r>
        <w:rPr>
          <w:rFonts w:asciiTheme="minorBidi" w:hAnsiTheme="minorBidi"/>
          <w:sz w:val="24"/>
          <w:szCs w:val="24"/>
        </w:rPr>
        <w:t xml:space="preserve"> retail</w:t>
      </w:r>
      <w:r w:rsidRPr="00BE4413">
        <w:rPr>
          <w:rFonts w:asciiTheme="minorBidi" w:hAnsiTheme="minorBidi"/>
          <w:sz w:val="24"/>
          <w:szCs w:val="24"/>
        </w:rPr>
        <w:t xml:space="preserve"> community pharmacy. Accordingly, many pointed out the importance of </w:t>
      </w:r>
      <w:r>
        <w:rPr>
          <w:rFonts w:asciiTheme="minorBidi" w:hAnsiTheme="minorBidi"/>
          <w:sz w:val="24"/>
          <w:szCs w:val="24"/>
        </w:rPr>
        <w:t>initiating</w:t>
      </w:r>
      <w:r w:rsidRPr="00BE4413">
        <w:rPr>
          <w:rFonts w:asciiTheme="minorBidi" w:hAnsiTheme="minorBidi"/>
          <w:sz w:val="24"/>
          <w:szCs w:val="24"/>
        </w:rPr>
        <w:t xml:space="preserve"> the clinical role of the pharmacist</w:t>
      </w:r>
      <w:r>
        <w:rPr>
          <w:rFonts w:asciiTheme="minorBidi" w:hAnsiTheme="minorBidi"/>
          <w:sz w:val="24"/>
          <w:szCs w:val="24"/>
        </w:rPr>
        <w:t>. For example, p</w:t>
      </w:r>
      <w:r w:rsidRPr="00BE4413">
        <w:rPr>
          <w:rFonts w:asciiTheme="minorBidi" w:hAnsiTheme="minorBidi"/>
          <w:sz w:val="24"/>
          <w:szCs w:val="24"/>
        </w:rPr>
        <w:t>rovi</w:t>
      </w:r>
      <w:r>
        <w:rPr>
          <w:rFonts w:asciiTheme="minorBidi" w:hAnsiTheme="minorBidi"/>
          <w:sz w:val="24"/>
          <w:szCs w:val="24"/>
        </w:rPr>
        <w:t>sion of</w:t>
      </w:r>
      <w:r w:rsidRPr="00BE4413">
        <w:rPr>
          <w:rFonts w:asciiTheme="minorBidi" w:hAnsiTheme="minorBidi"/>
          <w:sz w:val="24"/>
          <w:szCs w:val="24"/>
        </w:rPr>
        <w:t xml:space="preserve"> pharmaceutical care services in PHCs, includ</w:t>
      </w:r>
      <w:r>
        <w:rPr>
          <w:rFonts w:asciiTheme="minorBidi" w:hAnsiTheme="minorBidi"/>
          <w:sz w:val="24"/>
          <w:szCs w:val="24"/>
        </w:rPr>
        <w:t>es</w:t>
      </w:r>
      <w:r w:rsidRPr="00BE4413">
        <w:rPr>
          <w:rFonts w:asciiTheme="minorBidi" w:hAnsiTheme="minorBidi"/>
          <w:sz w:val="24"/>
          <w:szCs w:val="24"/>
        </w:rPr>
        <w:t xml:space="preserve">, but </w:t>
      </w:r>
      <w:r>
        <w:rPr>
          <w:rFonts w:asciiTheme="minorBidi" w:hAnsiTheme="minorBidi"/>
          <w:sz w:val="24"/>
          <w:szCs w:val="24"/>
        </w:rPr>
        <w:t xml:space="preserve">is </w:t>
      </w:r>
      <w:r w:rsidRPr="00BE4413">
        <w:rPr>
          <w:rFonts w:asciiTheme="minorBidi" w:hAnsiTheme="minorBidi"/>
          <w:sz w:val="24"/>
          <w:szCs w:val="24"/>
        </w:rPr>
        <w:t>not limited to, medication review service, evaluation and monitoring of treatment plans, and participation in public health services.</w:t>
      </w:r>
    </w:p>
    <w:p w14:paraId="58105630"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D45934">
        <w:rPr>
          <w:rFonts w:eastAsiaTheme="minorEastAsia" w:cstheme="minorHAnsi"/>
          <w:i/>
          <w:iCs/>
          <w:sz w:val="24"/>
          <w:szCs w:val="24"/>
          <w:lang w:val="en-GB" w:eastAsia="en-GB"/>
        </w:rPr>
        <w:t>Dispensing service was a major obstacle to clinical service delivery. Stopping the dispensing of prescriptions from the PHCs may be beneficial for pharmacists to provide clinical services.</w:t>
      </w:r>
      <w:r>
        <w:rPr>
          <w:rFonts w:eastAsiaTheme="minorEastAsia" w:cstheme="minorHAnsi"/>
          <w:i/>
          <w:iCs/>
          <w:sz w:val="24"/>
          <w:szCs w:val="24"/>
          <w:lang w:val="en-GB" w:eastAsia="en-GB"/>
        </w:rPr>
        <w:t xml:space="preserve">’ </w:t>
      </w:r>
      <w:r w:rsidRPr="00D45934">
        <w:rPr>
          <w:rFonts w:eastAsiaTheme="minorEastAsia" w:cstheme="minorHAnsi"/>
          <w:i/>
          <w:iCs/>
          <w:sz w:val="24"/>
          <w:szCs w:val="24"/>
          <w:lang w:val="en-GB" w:eastAsia="en-GB"/>
        </w:rPr>
        <w:t>Ph3</w:t>
      </w:r>
    </w:p>
    <w:p w14:paraId="05C74B4E" w14:textId="77777777" w:rsidR="00821B82" w:rsidRPr="00654E1F" w:rsidRDefault="00821B82" w:rsidP="00821B82">
      <w:pPr>
        <w:spacing w:line="240" w:lineRule="auto"/>
        <w:ind w:left="720"/>
        <w:jc w:val="both"/>
        <w:rPr>
          <w:rFonts w:eastAsiaTheme="minorEastAsia" w:cstheme="minorHAnsi"/>
          <w:i/>
          <w:iCs/>
          <w:sz w:val="24"/>
          <w:szCs w:val="24"/>
          <w:lang w:val="en-GB" w:eastAsia="en-GB"/>
        </w:rPr>
      </w:pPr>
    </w:p>
    <w:p w14:paraId="49A096F9" w14:textId="77777777" w:rsidR="00821B82" w:rsidRDefault="00821B82" w:rsidP="00821B82">
      <w:pPr>
        <w:spacing w:line="360" w:lineRule="auto"/>
        <w:jc w:val="both"/>
        <w:rPr>
          <w:rFonts w:asciiTheme="minorBidi" w:eastAsiaTheme="minorEastAsia" w:hAnsiTheme="minorBidi"/>
          <w:sz w:val="24"/>
          <w:szCs w:val="24"/>
          <w:lang w:val="en-GB" w:eastAsia="en-GB"/>
        </w:rPr>
      </w:pPr>
      <w:r w:rsidRPr="007D1752">
        <w:rPr>
          <w:rFonts w:asciiTheme="minorBidi" w:eastAsiaTheme="minorEastAsia" w:hAnsiTheme="minorBidi"/>
          <w:sz w:val="24"/>
          <w:szCs w:val="24"/>
          <w:lang w:val="en-GB" w:eastAsia="en-GB"/>
        </w:rPr>
        <w:t>Enhancing clinical services related to primary care settings was a priority service for participants, particularly concerning the care of patients with chronic diseases and polypharmacy.</w:t>
      </w:r>
      <w:r>
        <w:rPr>
          <w:rFonts w:asciiTheme="minorBidi" w:eastAsiaTheme="minorEastAsia" w:hAnsiTheme="minorBidi"/>
          <w:sz w:val="24"/>
          <w:szCs w:val="24"/>
          <w:lang w:val="en-GB" w:eastAsia="en-GB"/>
        </w:rPr>
        <w:t xml:space="preserve"> </w:t>
      </w:r>
      <w:r w:rsidRPr="00B014A8">
        <w:rPr>
          <w:rFonts w:asciiTheme="minorBidi" w:eastAsiaTheme="minorEastAsia" w:hAnsiTheme="minorBidi"/>
          <w:sz w:val="24"/>
          <w:szCs w:val="24"/>
          <w:lang w:val="en-GB" w:eastAsia="en-GB"/>
        </w:rPr>
        <w:t xml:space="preserve">The participants emphasised that the role of pharmacists in </w:t>
      </w:r>
      <w:r>
        <w:rPr>
          <w:rFonts w:asciiTheme="minorBidi" w:eastAsiaTheme="minorEastAsia" w:hAnsiTheme="minorBidi"/>
          <w:sz w:val="24"/>
          <w:szCs w:val="24"/>
          <w:lang w:val="en-GB" w:eastAsia="en-GB"/>
        </w:rPr>
        <w:t xml:space="preserve">reviewing patients’ medications and </w:t>
      </w:r>
      <w:r w:rsidRPr="00B014A8">
        <w:rPr>
          <w:rFonts w:asciiTheme="minorBidi" w:eastAsiaTheme="minorEastAsia" w:hAnsiTheme="minorBidi"/>
          <w:sz w:val="24"/>
          <w:szCs w:val="24"/>
          <w:lang w:val="en-GB" w:eastAsia="en-GB"/>
        </w:rPr>
        <w:t>educating patients about their treatment is critical in providing safe and effective health care at the primary care level.</w:t>
      </w:r>
    </w:p>
    <w:p w14:paraId="30CCABAB"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1B0D22">
        <w:rPr>
          <w:rFonts w:eastAsiaTheme="minorEastAsia" w:cstheme="minorHAnsi"/>
          <w:i/>
          <w:iCs/>
          <w:sz w:val="24"/>
          <w:szCs w:val="24"/>
          <w:lang w:val="en-GB" w:eastAsia="en-GB"/>
        </w:rPr>
        <w:t>I think now th</w:t>
      </w:r>
      <w:r>
        <w:rPr>
          <w:rFonts w:eastAsiaTheme="minorEastAsia" w:cstheme="minorHAnsi"/>
          <w:i/>
          <w:iCs/>
          <w:sz w:val="24"/>
          <w:szCs w:val="24"/>
          <w:lang w:val="en-GB" w:eastAsia="en-GB"/>
        </w:rPr>
        <w:t>at</w:t>
      </w:r>
      <w:r w:rsidRPr="001B0D22">
        <w:rPr>
          <w:rFonts w:eastAsiaTheme="minorEastAsia" w:cstheme="minorHAnsi"/>
          <w:i/>
          <w:iCs/>
          <w:sz w:val="24"/>
          <w:szCs w:val="24"/>
          <w:lang w:val="en-GB" w:eastAsia="en-GB"/>
        </w:rPr>
        <w:t xml:space="preserve"> any kind of services that might improve the drug drug interaction or the issues of polypharmacy is very crucial</w:t>
      </w:r>
      <w:r>
        <w:rPr>
          <w:rFonts w:eastAsiaTheme="minorEastAsia" w:cstheme="minorHAnsi"/>
          <w:i/>
          <w:iCs/>
          <w:sz w:val="24"/>
          <w:szCs w:val="24"/>
          <w:lang w:val="en-GB" w:eastAsia="en-GB"/>
        </w:rPr>
        <w:t xml:space="preserve"> […] P</w:t>
      </w:r>
      <w:r w:rsidRPr="001B0D22">
        <w:rPr>
          <w:rFonts w:eastAsiaTheme="minorEastAsia" w:cstheme="minorHAnsi"/>
          <w:i/>
          <w:iCs/>
          <w:sz w:val="24"/>
          <w:szCs w:val="24"/>
          <w:lang w:val="en-GB" w:eastAsia="en-GB"/>
        </w:rPr>
        <w:t>olypharmacy is a complex one I think if there is any effort as I stated before in the chronic disease</w:t>
      </w:r>
      <w:r>
        <w:rPr>
          <w:rFonts w:eastAsiaTheme="minorEastAsia" w:cstheme="minorHAnsi"/>
          <w:i/>
          <w:iCs/>
          <w:sz w:val="24"/>
          <w:szCs w:val="24"/>
          <w:lang w:val="en-GB" w:eastAsia="en-GB"/>
        </w:rPr>
        <w:t>,</w:t>
      </w:r>
      <w:r w:rsidRPr="001B0D22">
        <w:rPr>
          <w:rFonts w:eastAsiaTheme="minorEastAsia" w:cstheme="minorHAnsi"/>
          <w:i/>
          <w:iCs/>
          <w:sz w:val="24"/>
          <w:szCs w:val="24"/>
          <w:lang w:val="en-GB" w:eastAsia="en-GB"/>
        </w:rPr>
        <w:t xml:space="preserve"> </w:t>
      </w:r>
      <w:r>
        <w:rPr>
          <w:rFonts w:eastAsiaTheme="minorEastAsia" w:cstheme="minorHAnsi"/>
          <w:i/>
          <w:iCs/>
          <w:sz w:val="24"/>
          <w:szCs w:val="24"/>
          <w:lang w:val="en-GB" w:eastAsia="en-GB"/>
        </w:rPr>
        <w:t>e</w:t>
      </w:r>
      <w:r w:rsidRPr="001B0D22">
        <w:rPr>
          <w:rFonts w:eastAsiaTheme="minorEastAsia" w:cstheme="minorHAnsi"/>
          <w:i/>
          <w:iCs/>
          <w:sz w:val="24"/>
          <w:szCs w:val="24"/>
          <w:lang w:val="en-GB" w:eastAsia="en-GB"/>
        </w:rPr>
        <w:t xml:space="preserve">specially their medication related issues to the polypharmacy </w:t>
      </w:r>
      <w:r>
        <w:rPr>
          <w:rFonts w:eastAsiaTheme="minorEastAsia" w:cstheme="minorHAnsi"/>
          <w:i/>
          <w:iCs/>
          <w:sz w:val="24"/>
          <w:szCs w:val="24"/>
          <w:lang w:val="en-GB" w:eastAsia="en-GB"/>
        </w:rPr>
        <w:t>[…]</w:t>
      </w:r>
      <w:r w:rsidRPr="001B0D22">
        <w:rPr>
          <w:rFonts w:eastAsiaTheme="minorEastAsia" w:cstheme="minorHAnsi"/>
          <w:i/>
          <w:iCs/>
          <w:sz w:val="24"/>
          <w:szCs w:val="24"/>
          <w:lang w:val="en-GB" w:eastAsia="en-GB"/>
        </w:rPr>
        <w:t xml:space="preserve"> I think it would have a huge impact on </w:t>
      </w:r>
      <w:r>
        <w:rPr>
          <w:rFonts w:eastAsiaTheme="minorEastAsia" w:cstheme="minorHAnsi"/>
          <w:i/>
          <w:iCs/>
          <w:sz w:val="24"/>
          <w:szCs w:val="24"/>
          <w:lang w:val="en-GB" w:eastAsia="en-GB"/>
        </w:rPr>
        <w:t xml:space="preserve">patient safety, </w:t>
      </w:r>
      <w:r w:rsidRPr="001B0D22">
        <w:rPr>
          <w:rFonts w:eastAsiaTheme="minorEastAsia" w:cstheme="minorHAnsi"/>
          <w:i/>
          <w:iCs/>
          <w:sz w:val="24"/>
          <w:szCs w:val="24"/>
          <w:lang w:val="en-GB" w:eastAsia="en-GB"/>
        </w:rPr>
        <w:t>even in the decreasing the admission you know sometimes drug drug interaction or over dose of the medication related to diabetic</w:t>
      </w:r>
      <w:r>
        <w:rPr>
          <w:rFonts w:eastAsiaTheme="minorEastAsia" w:cstheme="minorHAnsi"/>
          <w:i/>
          <w:iCs/>
          <w:sz w:val="24"/>
          <w:szCs w:val="24"/>
          <w:lang w:val="en-GB" w:eastAsia="en-GB"/>
        </w:rPr>
        <w:t>s</w:t>
      </w:r>
      <w:r w:rsidRPr="001B0D22">
        <w:rPr>
          <w:rFonts w:eastAsiaTheme="minorEastAsia" w:cstheme="minorHAnsi"/>
          <w:i/>
          <w:iCs/>
          <w:sz w:val="24"/>
          <w:szCs w:val="24"/>
          <w:lang w:val="en-GB" w:eastAsia="en-GB"/>
        </w:rPr>
        <w:t>, diabetes do</w:t>
      </w:r>
      <w:r>
        <w:rPr>
          <w:rFonts w:eastAsiaTheme="minorEastAsia" w:cstheme="minorHAnsi"/>
          <w:i/>
          <w:iCs/>
          <w:sz w:val="24"/>
          <w:szCs w:val="24"/>
          <w:lang w:val="en-GB" w:eastAsia="en-GB"/>
        </w:rPr>
        <w:t>es</w:t>
      </w:r>
      <w:r w:rsidRPr="001B0D22">
        <w:rPr>
          <w:rFonts w:eastAsiaTheme="minorEastAsia" w:cstheme="minorHAnsi"/>
          <w:i/>
          <w:iCs/>
          <w:sz w:val="24"/>
          <w:szCs w:val="24"/>
          <w:lang w:val="en-GB" w:eastAsia="en-GB"/>
        </w:rPr>
        <w:t xml:space="preserve"> not present itself alone, they are hypertensive at the same time dyslipidaemi</w:t>
      </w:r>
      <w:r>
        <w:rPr>
          <w:rFonts w:eastAsiaTheme="minorEastAsia" w:cstheme="minorHAnsi"/>
          <w:i/>
          <w:iCs/>
          <w:sz w:val="24"/>
          <w:szCs w:val="24"/>
          <w:lang w:val="en-GB" w:eastAsia="en-GB"/>
        </w:rPr>
        <w:t>c [..</w:t>
      </w:r>
      <w:r w:rsidRPr="001B0D22">
        <w:rPr>
          <w:rFonts w:eastAsiaTheme="minorEastAsia" w:cstheme="minorHAnsi"/>
          <w:i/>
          <w:iCs/>
          <w:sz w:val="24"/>
          <w:szCs w:val="24"/>
          <w:lang w:val="en-GB" w:eastAsia="en-GB"/>
        </w:rPr>
        <w:t>.</w:t>
      </w:r>
      <w:r>
        <w:rPr>
          <w:rFonts w:eastAsiaTheme="minorEastAsia" w:cstheme="minorHAnsi"/>
          <w:i/>
          <w:iCs/>
          <w:sz w:val="24"/>
          <w:szCs w:val="24"/>
          <w:lang w:val="en-GB" w:eastAsia="en-GB"/>
        </w:rPr>
        <w:t>]’</w:t>
      </w:r>
      <w:r w:rsidRPr="001B0D22">
        <w:rPr>
          <w:rFonts w:eastAsiaTheme="minorEastAsia" w:cstheme="minorHAnsi"/>
          <w:i/>
          <w:iCs/>
          <w:sz w:val="24"/>
          <w:szCs w:val="24"/>
          <w:lang w:val="en-GB" w:eastAsia="en-GB"/>
        </w:rPr>
        <w:t xml:space="preserve"> </w:t>
      </w:r>
      <w:r>
        <w:rPr>
          <w:rFonts w:eastAsiaTheme="minorEastAsia" w:cstheme="minorHAnsi"/>
          <w:i/>
          <w:iCs/>
          <w:sz w:val="24"/>
          <w:szCs w:val="24"/>
          <w:lang w:val="en-GB" w:eastAsia="en-GB"/>
        </w:rPr>
        <w:t>D2</w:t>
      </w:r>
    </w:p>
    <w:p w14:paraId="36E29776" w14:textId="77777777" w:rsidR="00821B82" w:rsidRDefault="00821B82" w:rsidP="00821B82">
      <w:pPr>
        <w:spacing w:before="240" w:line="360" w:lineRule="auto"/>
        <w:jc w:val="both"/>
        <w:rPr>
          <w:rFonts w:asciiTheme="minorBidi" w:eastAsiaTheme="minorEastAsia" w:hAnsiTheme="minorBidi"/>
          <w:sz w:val="24"/>
          <w:szCs w:val="24"/>
          <w:lang w:val="en-GB" w:eastAsia="en-GB"/>
        </w:rPr>
      </w:pPr>
      <w:r w:rsidRPr="00EF6319">
        <w:rPr>
          <w:rFonts w:asciiTheme="minorBidi" w:eastAsiaTheme="minorEastAsia" w:hAnsiTheme="minorBidi"/>
          <w:sz w:val="24"/>
          <w:szCs w:val="24"/>
          <w:lang w:val="en-GB" w:eastAsia="en-GB"/>
        </w:rPr>
        <w:t xml:space="preserve">The participants also pointed out the necessity of having a diabetes educator in </w:t>
      </w:r>
      <w:r>
        <w:rPr>
          <w:rFonts w:asciiTheme="minorBidi" w:eastAsiaTheme="minorEastAsia" w:hAnsiTheme="minorBidi"/>
          <w:sz w:val="24"/>
          <w:szCs w:val="24"/>
          <w:lang w:val="en-GB" w:eastAsia="en-GB"/>
        </w:rPr>
        <w:t>PHCs</w:t>
      </w:r>
      <w:r w:rsidRPr="00EF6319">
        <w:rPr>
          <w:rFonts w:asciiTheme="minorBidi" w:eastAsiaTheme="minorEastAsia" w:hAnsiTheme="minorBidi"/>
          <w:sz w:val="24"/>
          <w:szCs w:val="24"/>
          <w:lang w:val="en-GB" w:eastAsia="en-GB"/>
        </w:rPr>
        <w:t>, as the prevalence of diabetes in society is relatively high, in addition to the lack of community awareness of ways to prevent it and reduce its health complications for individuals.</w:t>
      </w:r>
    </w:p>
    <w:p w14:paraId="2DD969A1" w14:textId="77777777" w:rsidR="00821B82" w:rsidRDefault="00821B82" w:rsidP="00821B82">
      <w:pPr>
        <w:shd w:val="clear" w:color="auto" w:fill="FFFFFF"/>
        <w:spacing w:after="0"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B52E8B">
        <w:rPr>
          <w:rFonts w:eastAsiaTheme="minorEastAsia" w:cstheme="minorHAnsi"/>
          <w:i/>
          <w:iCs/>
          <w:sz w:val="24"/>
          <w:szCs w:val="24"/>
          <w:lang w:val="en-GB" w:eastAsia="en-GB"/>
        </w:rPr>
        <w:t xml:space="preserve">I am dreaming that there should be a pharmaceutical education programme that </w:t>
      </w:r>
      <w:r>
        <w:rPr>
          <w:rFonts w:eastAsiaTheme="minorEastAsia" w:cstheme="minorHAnsi"/>
          <w:i/>
          <w:iCs/>
          <w:sz w:val="24"/>
          <w:szCs w:val="24"/>
          <w:lang w:val="en-GB" w:eastAsia="en-GB"/>
        </w:rPr>
        <w:t xml:space="preserve">could </w:t>
      </w:r>
      <w:r w:rsidRPr="00B52E8B">
        <w:rPr>
          <w:rFonts w:eastAsiaTheme="minorEastAsia" w:cstheme="minorHAnsi"/>
          <w:i/>
          <w:iCs/>
          <w:sz w:val="24"/>
          <w:szCs w:val="24"/>
          <w:lang w:val="en-GB" w:eastAsia="en-GB"/>
        </w:rPr>
        <w:t>be a part of each chronic disease</w:t>
      </w:r>
      <w:r>
        <w:rPr>
          <w:rFonts w:eastAsiaTheme="minorEastAsia" w:cstheme="minorHAnsi"/>
          <w:i/>
          <w:iCs/>
          <w:sz w:val="24"/>
          <w:szCs w:val="24"/>
          <w:lang w:val="en-GB" w:eastAsia="en-GB"/>
        </w:rPr>
        <w:t xml:space="preserve"> that</w:t>
      </w:r>
      <w:r w:rsidRPr="00B52E8B">
        <w:rPr>
          <w:rFonts w:eastAsiaTheme="minorEastAsia" w:cstheme="minorHAnsi"/>
          <w:i/>
          <w:iCs/>
          <w:sz w:val="24"/>
          <w:szCs w:val="24"/>
          <w:lang w:val="en-GB" w:eastAsia="en-GB"/>
        </w:rPr>
        <w:t xml:space="preserve"> is not to encourage patient compliance to the medication or to the diet or exercise but also educate him about the proper use, timing even the timing before or after, this is you know a big issue</w:t>
      </w:r>
      <w:r>
        <w:rPr>
          <w:rFonts w:eastAsiaTheme="minorEastAsia" w:cstheme="minorHAnsi"/>
          <w:i/>
          <w:iCs/>
          <w:sz w:val="24"/>
          <w:szCs w:val="24"/>
          <w:lang w:val="en-GB" w:eastAsia="en-GB"/>
        </w:rPr>
        <w:t>.’</w:t>
      </w:r>
      <w:r w:rsidRPr="00B52E8B">
        <w:rPr>
          <w:rFonts w:eastAsiaTheme="minorEastAsia" w:cstheme="minorHAnsi"/>
          <w:i/>
          <w:iCs/>
          <w:sz w:val="24"/>
          <w:szCs w:val="24"/>
          <w:lang w:val="en-GB" w:eastAsia="en-GB"/>
        </w:rPr>
        <w:t xml:space="preserve"> D2</w:t>
      </w:r>
    </w:p>
    <w:p w14:paraId="08B5FE36" w14:textId="77777777" w:rsidR="00821B82" w:rsidRDefault="00821B82" w:rsidP="00821B82">
      <w:pPr>
        <w:shd w:val="clear" w:color="auto" w:fill="FFFFFF"/>
        <w:spacing w:after="0" w:line="240" w:lineRule="auto"/>
        <w:ind w:left="720"/>
        <w:jc w:val="both"/>
        <w:rPr>
          <w:rFonts w:eastAsiaTheme="minorEastAsia" w:cstheme="minorHAnsi"/>
          <w:i/>
          <w:iCs/>
          <w:sz w:val="24"/>
          <w:szCs w:val="24"/>
          <w:lang w:val="en-GB" w:eastAsia="en-GB"/>
        </w:rPr>
      </w:pPr>
    </w:p>
    <w:p w14:paraId="48E62459" w14:textId="77777777" w:rsidR="00821B82" w:rsidRPr="00755F41" w:rsidRDefault="00821B82" w:rsidP="00821B82">
      <w:pPr>
        <w:spacing w:line="240" w:lineRule="auto"/>
        <w:ind w:left="720"/>
        <w:jc w:val="both"/>
        <w:rPr>
          <w:rFonts w:cstheme="minorHAnsi"/>
          <w:i/>
          <w:iCs/>
          <w:sz w:val="24"/>
          <w:szCs w:val="24"/>
        </w:rPr>
      </w:pPr>
      <w:r>
        <w:rPr>
          <w:rFonts w:cstheme="minorHAnsi"/>
          <w:i/>
          <w:iCs/>
          <w:sz w:val="24"/>
          <w:szCs w:val="24"/>
        </w:rPr>
        <w:t>‘…</w:t>
      </w:r>
      <w:r w:rsidRPr="008F5640">
        <w:rPr>
          <w:rFonts w:cstheme="minorHAnsi"/>
          <w:i/>
          <w:iCs/>
          <w:sz w:val="24"/>
          <w:szCs w:val="24"/>
        </w:rPr>
        <w:t xml:space="preserve"> polypharmacy plus literacy, plus changing the brand, plus other issues might add to the risk of drug-drug interaction or other kinds of toxicity.</w:t>
      </w:r>
      <w:r>
        <w:rPr>
          <w:rFonts w:cstheme="minorHAnsi"/>
          <w:i/>
          <w:iCs/>
          <w:sz w:val="24"/>
          <w:szCs w:val="24"/>
        </w:rPr>
        <w:t xml:space="preserve"> </w:t>
      </w:r>
      <w:r w:rsidRPr="00415F9F">
        <w:rPr>
          <w:rFonts w:cstheme="minorHAnsi"/>
          <w:i/>
          <w:iCs/>
          <w:sz w:val="24"/>
          <w:szCs w:val="24"/>
        </w:rPr>
        <w:t>any kind of services that might improve the drug drug interaction or the issues of polypharmacy is very crucial</w:t>
      </w:r>
      <w:r w:rsidRPr="00AA5B48">
        <w:rPr>
          <w:rFonts w:asciiTheme="minorBidi" w:hAnsiTheme="minorBidi"/>
          <w:sz w:val="24"/>
          <w:szCs w:val="24"/>
          <w:lang w:val="en-GB"/>
        </w:rPr>
        <w:t>.</w:t>
      </w:r>
      <w:r>
        <w:rPr>
          <w:rFonts w:cstheme="minorHAnsi"/>
          <w:i/>
          <w:iCs/>
          <w:sz w:val="24"/>
          <w:szCs w:val="24"/>
        </w:rPr>
        <w:t>’</w:t>
      </w:r>
      <w:r w:rsidRPr="000D2D12">
        <w:rPr>
          <w:rFonts w:cstheme="minorHAnsi"/>
          <w:i/>
          <w:iCs/>
          <w:sz w:val="24"/>
          <w:szCs w:val="24"/>
        </w:rPr>
        <w:t xml:space="preserve"> D2</w:t>
      </w:r>
    </w:p>
    <w:p w14:paraId="400D5627" w14:textId="77777777" w:rsidR="00821B82" w:rsidRPr="00FE32C4" w:rsidRDefault="00821B82" w:rsidP="00821B82">
      <w:pPr>
        <w:spacing w:before="240" w:line="360" w:lineRule="auto"/>
        <w:jc w:val="both"/>
        <w:rPr>
          <w:rFonts w:asciiTheme="minorBidi" w:eastAsiaTheme="minorEastAsia" w:hAnsiTheme="minorBidi"/>
          <w:sz w:val="24"/>
          <w:szCs w:val="24"/>
          <w:lang w:eastAsia="en-GB"/>
        </w:rPr>
      </w:pPr>
      <w:r w:rsidRPr="00CF7EF5">
        <w:rPr>
          <w:rFonts w:asciiTheme="minorBidi" w:eastAsiaTheme="minorEastAsia" w:hAnsiTheme="minorBidi"/>
          <w:sz w:val="24"/>
          <w:szCs w:val="24"/>
          <w:lang w:val="en-GB" w:eastAsia="en-GB"/>
        </w:rPr>
        <w:t xml:space="preserve">The participants also highlighted the use of pharmacists to perform tasks related to their field of work (medication-related services), which take time and effort from the treating physician, such as the </w:t>
      </w:r>
      <w:r>
        <w:rPr>
          <w:rFonts w:asciiTheme="minorBidi" w:eastAsiaTheme="minorEastAsia" w:hAnsiTheme="minorBidi"/>
          <w:sz w:val="24"/>
          <w:szCs w:val="24"/>
          <w:lang w:val="en-GB" w:eastAsia="en-GB"/>
        </w:rPr>
        <w:t>MR</w:t>
      </w:r>
      <w:r w:rsidRPr="00CF7EF5">
        <w:rPr>
          <w:rFonts w:asciiTheme="minorBidi" w:eastAsiaTheme="minorEastAsia" w:hAnsiTheme="minorBidi"/>
          <w:sz w:val="24"/>
          <w:szCs w:val="24"/>
          <w:lang w:val="en-GB" w:eastAsia="en-GB"/>
        </w:rPr>
        <w:t xml:space="preserve"> service, re-dispensing prescriptions for patients with chronic diseases, and referring to the treating physician if necessary. They also </w:t>
      </w:r>
      <w:r w:rsidRPr="004E41BC">
        <w:rPr>
          <w:rFonts w:asciiTheme="minorBidi" w:hAnsiTheme="minorBidi"/>
          <w:sz w:val="24"/>
          <w:szCs w:val="24"/>
        </w:rPr>
        <w:t xml:space="preserve">advocated </w:t>
      </w:r>
      <w:r w:rsidRPr="00CF7EF5">
        <w:rPr>
          <w:rFonts w:asciiTheme="minorBidi" w:eastAsiaTheme="minorEastAsia" w:hAnsiTheme="minorBidi"/>
          <w:sz w:val="24"/>
          <w:szCs w:val="24"/>
          <w:lang w:val="en-GB" w:eastAsia="en-GB"/>
        </w:rPr>
        <w:t>that the pharmacist's practice be expanded further, as they suggested that the pharmacist treat some common or minor ailments to relieve the pressure on the doctors.</w:t>
      </w:r>
      <w:r>
        <w:rPr>
          <w:rFonts w:asciiTheme="minorBidi" w:eastAsiaTheme="minorEastAsia" w:hAnsiTheme="minorBidi"/>
          <w:sz w:val="24"/>
          <w:szCs w:val="24"/>
          <w:lang w:val="en-GB" w:eastAsia="en-GB"/>
        </w:rPr>
        <w:t xml:space="preserve"> </w:t>
      </w:r>
    </w:p>
    <w:p w14:paraId="5AAEFE9E" w14:textId="77777777" w:rsidR="00821B82" w:rsidRDefault="00821B82" w:rsidP="00821B82">
      <w:pPr>
        <w:shd w:val="clear" w:color="auto" w:fill="FFFFFF"/>
        <w:spacing w:after="0" w:line="360" w:lineRule="auto"/>
        <w:jc w:val="both"/>
        <w:rPr>
          <w:rFonts w:asciiTheme="minorBidi" w:eastAsiaTheme="minorEastAsia" w:hAnsiTheme="minorBidi"/>
          <w:sz w:val="24"/>
          <w:szCs w:val="24"/>
          <w:lang w:val="en-GB" w:eastAsia="en-GB"/>
        </w:rPr>
      </w:pPr>
      <w:r>
        <w:rPr>
          <w:rFonts w:asciiTheme="minorBidi" w:hAnsiTheme="minorBidi"/>
          <w:sz w:val="24"/>
          <w:szCs w:val="24"/>
        </w:rPr>
        <w:t>When we asked the participants about their perspective on pharmacists working in primary healthcare, several answers were obtained; the most interesting one was from one of the general practitioners:</w:t>
      </w:r>
    </w:p>
    <w:p w14:paraId="066AD52F" w14:textId="77777777" w:rsidR="00821B82" w:rsidRDefault="00821B82" w:rsidP="00821B82">
      <w:pPr>
        <w:shd w:val="clear" w:color="auto" w:fill="FFFFFF"/>
        <w:spacing w:after="0"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4B3D8B">
        <w:rPr>
          <w:rFonts w:eastAsiaTheme="minorEastAsia" w:cstheme="minorHAnsi"/>
          <w:i/>
          <w:iCs/>
          <w:sz w:val="24"/>
          <w:szCs w:val="24"/>
          <w:lang w:val="en-GB" w:eastAsia="en-GB"/>
        </w:rPr>
        <w:t>I think you know in this regard I think the role of the pharmacist is a crucial one</w:t>
      </w:r>
      <w:r>
        <w:rPr>
          <w:rFonts w:eastAsiaTheme="minorEastAsia" w:cstheme="minorHAnsi"/>
          <w:i/>
          <w:iCs/>
          <w:sz w:val="24"/>
          <w:szCs w:val="24"/>
          <w:lang w:val="en-GB" w:eastAsia="en-GB"/>
        </w:rPr>
        <w:t xml:space="preserve"> […] </w:t>
      </w:r>
      <w:r w:rsidRPr="0044722D">
        <w:rPr>
          <w:rFonts w:eastAsiaTheme="minorEastAsia" w:cstheme="minorHAnsi"/>
          <w:i/>
          <w:iCs/>
          <w:sz w:val="24"/>
          <w:szCs w:val="24"/>
          <w:lang w:val="en-GB" w:eastAsia="en-GB"/>
        </w:rPr>
        <w:t xml:space="preserve"> we get condition</w:t>
      </w:r>
      <w:r>
        <w:rPr>
          <w:rFonts w:eastAsiaTheme="minorEastAsia" w:cstheme="minorHAnsi"/>
          <w:i/>
          <w:iCs/>
          <w:sz w:val="24"/>
          <w:szCs w:val="24"/>
          <w:lang w:val="en-GB" w:eastAsia="en-GB"/>
        </w:rPr>
        <w:t>s</w:t>
      </w:r>
      <w:r w:rsidRPr="0044722D">
        <w:rPr>
          <w:rFonts w:eastAsiaTheme="minorEastAsia" w:cstheme="minorHAnsi"/>
          <w:i/>
          <w:iCs/>
          <w:sz w:val="24"/>
          <w:szCs w:val="24"/>
          <w:lang w:val="en-GB" w:eastAsia="en-GB"/>
        </w:rPr>
        <w:t xml:space="preserve"> like for example the UTI in female</w:t>
      </w:r>
      <w:r>
        <w:rPr>
          <w:rFonts w:eastAsiaTheme="minorEastAsia" w:cstheme="minorHAnsi"/>
          <w:i/>
          <w:iCs/>
          <w:sz w:val="24"/>
          <w:szCs w:val="24"/>
          <w:lang w:val="en-GB" w:eastAsia="en-GB"/>
        </w:rPr>
        <w:t>s</w:t>
      </w:r>
      <w:r w:rsidRPr="0044722D">
        <w:rPr>
          <w:rFonts w:eastAsiaTheme="minorEastAsia" w:cstheme="minorHAnsi"/>
          <w:i/>
          <w:iCs/>
          <w:sz w:val="24"/>
          <w:szCs w:val="24"/>
          <w:lang w:val="en-GB" w:eastAsia="en-GB"/>
        </w:rPr>
        <w:t xml:space="preserve"> so any symptomatic UTI could be prescribed antibiotics unless it is  contraindicated otherwise I don't have to confirm the diagnosis, this is also another role, another one for thyroid function</w:t>
      </w:r>
      <w:r>
        <w:rPr>
          <w:rFonts w:eastAsiaTheme="minorEastAsia" w:cstheme="minorHAnsi"/>
          <w:i/>
          <w:iCs/>
          <w:sz w:val="24"/>
          <w:szCs w:val="24"/>
          <w:lang w:val="en-GB" w:eastAsia="en-GB"/>
        </w:rPr>
        <w:t>,</w:t>
      </w:r>
      <w:r w:rsidRPr="0044722D">
        <w:rPr>
          <w:rFonts w:eastAsiaTheme="minorEastAsia" w:cstheme="minorHAnsi"/>
          <w:i/>
          <w:iCs/>
          <w:sz w:val="24"/>
          <w:szCs w:val="24"/>
          <w:lang w:val="en-GB" w:eastAsia="en-GB"/>
        </w:rPr>
        <w:t xml:space="preserve"> it is easy to adjust thyroid medication so if somebody who's already diagnosed </w:t>
      </w:r>
      <w:r>
        <w:rPr>
          <w:rFonts w:eastAsiaTheme="minorEastAsia" w:cstheme="minorHAnsi"/>
          <w:i/>
          <w:iCs/>
          <w:sz w:val="24"/>
          <w:szCs w:val="24"/>
          <w:lang w:val="en-GB" w:eastAsia="en-GB"/>
        </w:rPr>
        <w:t xml:space="preserve">[…] </w:t>
      </w:r>
      <w:r w:rsidRPr="0044722D">
        <w:rPr>
          <w:rFonts w:eastAsiaTheme="minorEastAsia" w:cstheme="minorHAnsi"/>
          <w:i/>
          <w:iCs/>
          <w:sz w:val="24"/>
          <w:szCs w:val="24"/>
          <w:lang w:val="en-GB" w:eastAsia="en-GB"/>
        </w:rPr>
        <w:t>I think they might have a very clear role in more than 10 maybe conditions that should be managed totally under supervision of minimal consultation with the G</w:t>
      </w:r>
      <w:r>
        <w:rPr>
          <w:rFonts w:eastAsiaTheme="minorEastAsia" w:cstheme="minorHAnsi"/>
          <w:i/>
          <w:iCs/>
          <w:sz w:val="24"/>
          <w:szCs w:val="24"/>
          <w:lang w:val="en-GB" w:eastAsia="en-GB"/>
        </w:rPr>
        <w:t>P</w:t>
      </w:r>
      <w:r w:rsidRPr="0044722D">
        <w:rPr>
          <w:rFonts w:eastAsiaTheme="minorEastAsia" w:cstheme="minorHAnsi"/>
          <w:i/>
          <w:iCs/>
          <w:sz w:val="24"/>
          <w:szCs w:val="24"/>
          <w:lang w:val="en-GB" w:eastAsia="en-GB"/>
        </w:rPr>
        <w:t xml:space="preserve"> o</w:t>
      </w:r>
      <w:r>
        <w:rPr>
          <w:rFonts w:eastAsiaTheme="minorEastAsia" w:cstheme="minorHAnsi"/>
          <w:i/>
          <w:iCs/>
          <w:sz w:val="24"/>
          <w:szCs w:val="24"/>
          <w:lang w:val="en-GB" w:eastAsia="en-GB"/>
        </w:rPr>
        <w:t>r</w:t>
      </w:r>
      <w:r w:rsidRPr="0044722D">
        <w:rPr>
          <w:rFonts w:eastAsiaTheme="minorEastAsia" w:cstheme="minorHAnsi"/>
          <w:i/>
          <w:iCs/>
          <w:sz w:val="24"/>
          <w:szCs w:val="24"/>
          <w:lang w:val="en-GB" w:eastAsia="en-GB"/>
        </w:rPr>
        <w:t xml:space="preserve"> family physician</w:t>
      </w:r>
      <w:r>
        <w:rPr>
          <w:rFonts w:eastAsiaTheme="minorEastAsia" w:cstheme="minorHAnsi"/>
          <w:i/>
          <w:iCs/>
          <w:sz w:val="24"/>
          <w:szCs w:val="24"/>
          <w:lang w:val="en-GB" w:eastAsia="en-GB"/>
        </w:rPr>
        <w:t>’ D2</w:t>
      </w:r>
    </w:p>
    <w:p w14:paraId="4B812120" w14:textId="77777777" w:rsidR="00821B82" w:rsidRDefault="00821B82" w:rsidP="00821B82">
      <w:pPr>
        <w:shd w:val="clear" w:color="auto" w:fill="FFFFFF"/>
        <w:spacing w:after="0" w:line="360" w:lineRule="auto"/>
        <w:jc w:val="both"/>
        <w:rPr>
          <w:rFonts w:eastAsiaTheme="minorEastAsia" w:cstheme="minorHAnsi"/>
          <w:i/>
          <w:iCs/>
          <w:sz w:val="24"/>
          <w:szCs w:val="24"/>
          <w:lang w:val="en-GB" w:eastAsia="en-GB"/>
        </w:rPr>
      </w:pPr>
    </w:p>
    <w:p w14:paraId="33E0932E" w14:textId="77777777" w:rsidR="00821B82" w:rsidRDefault="00821B82" w:rsidP="00821B82">
      <w:pPr>
        <w:spacing w:line="360" w:lineRule="auto"/>
        <w:jc w:val="both"/>
        <w:rPr>
          <w:rFonts w:asciiTheme="minorBidi" w:eastAsiaTheme="minorEastAsia" w:hAnsiTheme="minorBidi"/>
          <w:sz w:val="24"/>
          <w:szCs w:val="24"/>
          <w:lang w:val="en-GB" w:eastAsia="en-GB"/>
        </w:rPr>
      </w:pPr>
      <w:r>
        <w:rPr>
          <w:rFonts w:asciiTheme="minorBidi" w:eastAsiaTheme="minorEastAsia" w:hAnsiTheme="minorBidi"/>
          <w:sz w:val="24"/>
          <w:szCs w:val="24"/>
          <w:lang w:val="en-GB" w:eastAsia="en-GB"/>
        </w:rPr>
        <w:t>Another</w:t>
      </w:r>
      <w:r w:rsidRPr="00E464F1">
        <w:rPr>
          <w:rFonts w:asciiTheme="minorBidi" w:eastAsiaTheme="minorEastAsia" w:hAnsiTheme="minorBidi"/>
          <w:sz w:val="24"/>
          <w:szCs w:val="24"/>
          <w:lang w:val="en-GB" w:eastAsia="en-GB"/>
        </w:rPr>
        <w:t xml:space="preserve"> interesting finding is that the doctors and nurses interviewed indicated a strong need for a qualified pharmacist to be referred to in medication consultations. Therefore, providing the drug/medication information centre service should be among the priorities of primary care pharmacy services now, especially with the expansion of the list of drugs and therapeutic developments that the health practitioner may not be able to keep pace with.</w:t>
      </w:r>
    </w:p>
    <w:p w14:paraId="497B1B49"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26448D">
        <w:rPr>
          <w:rFonts w:eastAsiaTheme="minorEastAsia" w:cstheme="minorHAnsi"/>
          <w:i/>
          <w:iCs/>
          <w:sz w:val="24"/>
          <w:szCs w:val="24"/>
          <w:lang w:val="en-GB" w:eastAsia="en-GB"/>
        </w:rPr>
        <w:t xml:space="preserve"> Even we, as healthcare providers, the pharmacist used to help us. The doctors also referred to the pharmacist in medication-related issues such as medication side effects, </w:t>
      </w:r>
      <w:r>
        <w:rPr>
          <w:rFonts w:eastAsiaTheme="minorEastAsia" w:cstheme="minorHAnsi"/>
          <w:i/>
          <w:iCs/>
          <w:sz w:val="24"/>
          <w:szCs w:val="24"/>
          <w:lang w:val="en-GB" w:eastAsia="en-GB"/>
        </w:rPr>
        <w:t>and which</w:t>
      </w:r>
      <w:r w:rsidRPr="0026448D">
        <w:rPr>
          <w:rFonts w:eastAsiaTheme="minorEastAsia" w:cstheme="minorHAnsi"/>
          <w:i/>
          <w:iCs/>
          <w:sz w:val="24"/>
          <w:szCs w:val="24"/>
          <w:lang w:val="en-GB" w:eastAsia="en-GB"/>
        </w:rPr>
        <w:t xml:space="preserve"> medication work</w:t>
      </w:r>
      <w:r>
        <w:rPr>
          <w:rFonts w:eastAsiaTheme="minorEastAsia" w:cstheme="minorHAnsi"/>
          <w:i/>
          <w:iCs/>
          <w:sz w:val="24"/>
          <w:szCs w:val="24"/>
          <w:lang w:val="en-GB" w:eastAsia="en-GB"/>
        </w:rPr>
        <w:t>s</w:t>
      </w:r>
      <w:r w:rsidRPr="0026448D">
        <w:rPr>
          <w:rFonts w:eastAsiaTheme="minorEastAsia" w:cstheme="minorHAnsi"/>
          <w:i/>
          <w:iCs/>
          <w:sz w:val="24"/>
          <w:szCs w:val="24"/>
          <w:lang w:val="en-GB" w:eastAsia="en-GB"/>
        </w:rPr>
        <w:t xml:space="preserve"> better than another for a particular condition - all of these things frankly we used to turn to the pharmacist. Now we don't have any information on these matters. Now it depends on your personal effort to search for information. Thus the role of the pharmacist is very, very important to complete the team in </w:t>
      </w:r>
      <w:r>
        <w:rPr>
          <w:rFonts w:eastAsiaTheme="minorEastAsia" w:cstheme="minorHAnsi"/>
          <w:i/>
          <w:iCs/>
          <w:sz w:val="24"/>
          <w:szCs w:val="24"/>
          <w:lang w:val="en-GB" w:eastAsia="en-GB"/>
        </w:rPr>
        <w:t>PHCs</w:t>
      </w:r>
      <w:r w:rsidRPr="0026448D">
        <w:rPr>
          <w:rFonts w:eastAsiaTheme="minorEastAsia" w:cstheme="minorHAnsi"/>
          <w:i/>
          <w:iCs/>
          <w:sz w:val="24"/>
          <w:szCs w:val="24"/>
          <w:lang w:val="en-GB" w:eastAsia="en-GB"/>
        </w:rPr>
        <w:t>. I consider pharmacist's role equivalent to that of a doctor.</w:t>
      </w:r>
      <w:r>
        <w:rPr>
          <w:rFonts w:eastAsiaTheme="minorEastAsia" w:cstheme="minorHAnsi"/>
          <w:i/>
          <w:iCs/>
          <w:sz w:val="24"/>
          <w:szCs w:val="24"/>
          <w:lang w:val="en-GB" w:eastAsia="en-GB"/>
        </w:rPr>
        <w:t>’ N2</w:t>
      </w:r>
    </w:p>
    <w:p w14:paraId="12D2959D" w14:textId="77777777" w:rsidR="00821B82" w:rsidRPr="0026448D" w:rsidRDefault="00821B82" w:rsidP="00821B82">
      <w:pPr>
        <w:spacing w:line="240" w:lineRule="auto"/>
        <w:ind w:left="720"/>
        <w:jc w:val="both"/>
        <w:rPr>
          <w:rFonts w:eastAsiaTheme="minorEastAsia" w:cstheme="minorHAnsi"/>
          <w:i/>
          <w:iCs/>
          <w:sz w:val="24"/>
          <w:szCs w:val="24"/>
          <w:lang w:val="en-GB" w:eastAsia="en-GB"/>
        </w:rPr>
      </w:pPr>
    </w:p>
    <w:p w14:paraId="33C27690" w14:textId="77777777" w:rsidR="00821B82" w:rsidRPr="0034770B" w:rsidRDefault="00821B82" w:rsidP="0034770B">
      <w:pPr>
        <w:pStyle w:val="Heading4"/>
        <w:spacing w:after="240" w:line="360" w:lineRule="auto"/>
        <w:rPr>
          <w:rFonts w:asciiTheme="minorBidi" w:hAnsiTheme="minorBidi" w:cstheme="minorBidi"/>
          <w:sz w:val="24"/>
          <w:szCs w:val="24"/>
        </w:rPr>
      </w:pPr>
      <w:r w:rsidRPr="0034770B">
        <w:rPr>
          <w:rFonts w:asciiTheme="minorBidi" w:hAnsiTheme="minorBidi" w:cstheme="minorBidi"/>
          <w:sz w:val="24"/>
          <w:szCs w:val="24"/>
        </w:rPr>
        <w:t>6.4.6.2. A need for a multidisciplinary team to develop care plans for chronic patients</w:t>
      </w:r>
    </w:p>
    <w:p w14:paraId="464B3393" w14:textId="77777777" w:rsidR="00821B82"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hAnsiTheme="minorBidi"/>
          <w:sz w:val="24"/>
          <w:szCs w:val="24"/>
        </w:rPr>
      </w:pPr>
      <w:r>
        <w:rPr>
          <w:rFonts w:asciiTheme="minorBidi" w:hAnsiTheme="minorBidi"/>
          <w:sz w:val="24"/>
          <w:szCs w:val="24"/>
        </w:rPr>
        <w:t>M</w:t>
      </w:r>
      <w:r w:rsidRPr="0000028D">
        <w:rPr>
          <w:rFonts w:asciiTheme="minorBidi" w:hAnsiTheme="minorBidi"/>
          <w:sz w:val="24"/>
          <w:szCs w:val="24"/>
        </w:rPr>
        <w:t xml:space="preserve">ost participants were concerned that the meaning of multidisciplinary team-based practice had been lost by moving all pharmacists from </w:t>
      </w:r>
      <w:r>
        <w:rPr>
          <w:rFonts w:asciiTheme="minorBidi" w:hAnsiTheme="minorBidi"/>
          <w:sz w:val="24"/>
          <w:szCs w:val="24"/>
        </w:rPr>
        <w:t>PHCs</w:t>
      </w:r>
      <w:r w:rsidRPr="0000028D">
        <w:rPr>
          <w:rFonts w:asciiTheme="minorBidi" w:hAnsiTheme="minorBidi"/>
          <w:sz w:val="24"/>
          <w:szCs w:val="24"/>
        </w:rPr>
        <w:t xml:space="preserve">. They expressed their need for the reimplementation of the multidisciplinary concept particularly in </w:t>
      </w:r>
      <w:r w:rsidRPr="003318A9">
        <w:rPr>
          <w:rFonts w:asciiTheme="minorBidi" w:hAnsiTheme="minorBidi"/>
          <w:sz w:val="24"/>
          <w:szCs w:val="24"/>
        </w:rPr>
        <w:t xml:space="preserve">developing the plan of care </w:t>
      </w:r>
      <w:r w:rsidRPr="0000028D">
        <w:rPr>
          <w:rFonts w:asciiTheme="minorBidi" w:hAnsiTheme="minorBidi"/>
          <w:sz w:val="24"/>
          <w:szCs w:val="24"/>
        </w:rPr>
        <w:t>for chronic patients.</w:t>
      </w:r>
    </w:p>
    <w:p w14:paraId="4E067042"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asciiTheme="minorBidi" w:hAnsiTheme="minorBidi"/>
          <w:sz w:val="24"/>
          <w:szCs w:val="24"/>
        </w:rPr>
        <w:t>‘</w:t>
      </w:r>
      <w:r w:rsidRPr="00AA1AF8">
        <w:rPr>
          <w:rFonts w:eastAsiaTheme="minorEastAsia" w:cstheme="minorHAnsi"/>
          <w:i/>
          <w:iCs/>
          <w:sz w:val="24"/>
          <w:szCs w:val="24"/>
          <w:lang w:val="en-GB" w:eastAsia="en-GB"/>
        </w:rPr>
        <w:t>The current situation is different. There is no pharmacist currently working in PHCs, so the doctor cannot discuss a treatment plan with him. There is no room for discussion. The pharmacist works in a private pharmacy, so the discussion cannot take place. Assuming the pharmacist saw something about the treatment, he/she discussed the patient to return to the doctor, which can now be done. Sometimes doctor</w:t>
      </w:r>
      <w:r>
        <w:rPr>
          <w:rFonts w:eastAsiaTheme="minorEastAsia" w:cstheme="minorHAnsi"/>
          <w:i/>
          <w:iCs/>
          <w:sz w:val="24"/>
          <w:szCs w:val="24"/>
          <w:lang w:val="en-GB" w:eastAsia="en-GB"/>
        </w:rPr>
        <w:t>s</w:t>
      </w:r>
      <w:r w:rsidRPr="00AA1AF8">
        <w:rPr>
          <w:rFonts w:eastAsiaTheme="minorEastAsia" w:cstheme="minorHAnsi"/>
          <w:i/>
          <w:iCs/>
          <w:sz w:val="24"/>
          <w:szCs w:val="24"/>
          <w:lang w:val="en-GB" w:eastAsia="en-GB"/>
        </w:rPr>
        <w:t xml:space="preserve"> </w:t>
      </w:r>
      <w:r>
        <w:rPr>
          <w:rFonts w:eastAsiaTheme="minorEastAsia" w:cstheme="minorHAnsi"/>
          <w:i/>
          <w:iCs/>
          <w:sz w:val="24"/>
          <w:szCs w:val="24"/>
          <w:lang w:val="en-GB" w:eastAsia="en-GB"/>
        </w:rPr>
        <w:t>are</w:t>
      </w:r>
      <w:r w:rsidRPr="00AA1AF8">
        <w:rPr>
          <w:rFonts w:eastAsiaTheme="minorEastAsia" w:cstheme="minorHAnsi"/>
          <w:i/>
          <w:iCs/>
          <w:sz w:val="24"/>
          <w:szCs w:val="24"/>
          <w:lang w:val="en-GB" w:eastAsia="en-GB"/>
        </w:rPr>
        <w:t xml:space="preserve"> not convinced by patient</w:t>
      </w:r>
      <w:r>
        <w:rPr>
          <w:rFonts w:eastAsiaTheme="minorEastAsia" w:cstheme="minorHAnsi"/>
          <w:i/>
          <w:iCs/>
          <w:sz w:val="24"/>
          <w:szCs w:val="24"/>
          <w:lang w:val="en-GB" w:eastAsia="en-GB"/>
        </w:rPr>
        <w:t>s</w:t>
      </w:r>
      <w:r w:rsidRPr="00AA1AF8">
        <w:rPr>
          <w:rFonts w:eastAsiaTheme="minorEastAsia" w:cstheme="minorHAnsi"/>
          <w:i/>
          <w:iCs/>
          <w:sz w:val="24"/>
          <w:szCs w:val="24"/>
          <w:lang w:val="en-GB" w:eastAsia="en-GB"/>
        </w:rPr>
        <w:t>, unlike if a specialist discusses them. Patients cannot provide a pharmacist's viewpoint regarding their medication in the same way that a professional pharmacist would. Therefore, there is currently a missing link/part in the team's work. The pharmacist is now missing from the PHC team. The problem now is in the communication between doctors in the PHCs and pharmacists in the retail community.</w:t>
      </w:r>
      <w:r>
        <w:rPr>
          <w:rFonts w:eastAsiaTheme="minorEastAsia" w:cstheme="minorHAnsi"/>
          <w:i/>
          <w:iCs/>
          <w:sz w:val="24"/>
          <w:szCs w:val="24"/>
          <w:lang w:val="en-GB" w:eastAsia="en-GB"/>
        </w:rPr>
        <w:t>’ N4</w:t>
      </w:r>
    </w:p>
    <w:p w14:paraId="680D765B"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D14791">
        <w:rPr>
          <w:rFonts w:cstheme="minorHAnsi"/>
          <w:i/>
          <w:iCs/>
          <w:sz w:val="24"/>
          <w:szCs w:val="24"/>
        </w:rPr>
        <w:t xml:space="preserve">The role of the pharmacist is very, very important in </w:t>
      </w:r>
      <w:r>
        <w:rPr>
          <w:rFonts w:cstheme="minorHAnsi"/>
          <w:i/>
          <w:iCs/>
          <w:sz w:val="24"/>
          <w:szCs w:val="24"/>
        </w:rPr>
        <w:t>PHCs</w:t>
      </w:r>
      <w:r w:rsidRPr="00D14791">
        <w:rPr>
          <w:rFonts w:cstheme="minorHAnsi"/>
          <w:i/>
          <w:iCs/>
          <w:sz w:val="24"/>
          <w:szCs w:val="24"/>
        </w:rPr>
        <w:t>. Unfortunately, we missed it greatly.</w:t>
      </w:r>
      <w:r>
        <w:rPr>
          <w:rFonts w:cstheme="minorHAnsi"/>
          <w:i/>
          <w:iCs/>
          <w:sz w:val="24"/>
          <w:szCs w:val="24"/>
        </w:rPr>
        <w:t xml:space="preserve">’ N2 </w:t>
      </w:r>
    </w:p>
    <w:p w14:paraId="67826DDA" w14:textId="77777777" w:rsidR="00821B82" w:rsidRPr="005D661A" w:rsidRDefault="00821B82" w:rsidP="00821B82">
      <w:pPr>
        <w:spacing w:line="240" w:lineRule="auto"/>
        <w:ind w:left="720"/>
        <w:jc w:val="both"/>
        <w:rPr>
          <w:rFonts w:cstheme="minorHAnsi"/>
          <w:i/>
          <w:iCs/>
          <w:sz w:val="24"/>
          <w:szCs w:val="24"/>
        </w:rPr>
      </w:pPr>
    </w:p>
    <w:p w14:paraId="11BD3A83" w14:textId="77777777" w:rsidR="00821B82" w:rsidRPr="0034770B" w:rsidRDefault="00821B82" w:rsidP="0034770B">
      <w:pPr>
        <w:pStyle w:val="Heading4"/>
        <w:spacing w:after="240" w:line="360" w:lineRule="auto"/>
        <w:rPr>
          <w:rFonts w:asciiTheme="minorBidi" w:eastAsiaTheme="minorEastAsia" w:hAnsiTheme="minorBidi" w:cstheme="minorBidi"/>
          <w:sz w:val="24"/>
          <w:szCs w:val="24"/>
          <w:lang w:val="en-GB" w:eastAsia="en-GB"/>
        </w:rPr>
      </w:pPr>
      <w:r w:rsidRPr="0034770B">
        <w:rPr>
          <w:rFonts w:asciiTheme="minorBidi" w:eastAsiaTheme="minorEastAsia" w:hAnsiTheme="minorBidi" w:cstheme="minorBidi"/>
          <w:sz w:val="24"/>
          <w:szCs w:val="24"/>
          <w:lang w:val="en-GB" w:eastAsia="en-GB"/>
        </w:rPr>
        <w:t>6.4.6.3. Desire of primary healthcare providers to have a pharmacist on their team</w:t>
      </w:r>
    </w:p>
    <w:p w14:paraId="237A5FCD" w14:textId="77777777" w:rsidR="00821B82" w:rsidRPr="003F1310" w:rsidRDefault="00821B82" w:rsidP="00821B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Theme="minorBidi" w:hAnsiTheme="minorBidi"/>
          <w:sz w:val="24"/>
          <w:szCs w:val="24"/>
          <w:lang w:val="en-GB"/>
        </w:rPr>
      </w:pPr>
      <w:r>
        <w:rPr>
          <w:rFonts w:asciiTheme="minorBidi" w:hAnsiTheme="minorBidi"/>
          <w:sz w:val="24"/>
          <w:szCs w:val="24"/>
          <w:lang w:val="en-GB"/>
        </w:rPr>
        <w:t xml:space="preserve">Doctors and nurses interviewees expressed their need to an expert in the medication field to facilitate their work and help them on medication related issues. </w:t>
      </w:r>
      <w:r w:rsidRPr="009B2778">
        <w:rPr>
          <w:rFonts w:asciiTheme="minorBidi" w:hAnsiTheme="minorBidi"/>
          <w:sz w:val="24"/>
          <w:szCs w:val="24"/>
          <w:lang w:val="en-GB"/>
        </w:rPr>
        <w:t xml:space="preserve">Pharmacists are </w:t>
      </w:r>
      <w:r>
        <w:rPr>
          <w:rFonts w:asciiTheme="minorBidi" w:hAnsiTheme="minorBidi"/>
          <w:sz w:val="24"/>
          <w:szCs w:val="24"/>
          <w:lang w:val="en-GB"/>
        </w:rPr>
        <w:t>considered</w:t>
      </w:r>
      <w:r w:rsidRPr="009B2778">
        <w:rPr>
          <w:rFonts w:asciiTheme="minorBidi" w:hAnsiTheme="minorBidi"/>
          <w:sz w:val="24"/>
          <w:szCs w:val="24"/>
          <w:lang w:val="en-GB"/>
        </w:rPr>
        <w:t xml:space="preserve"> as critical integral members of the health care team in PHCs. </w:t>
      </w:r>
      <w:r w:rsidRPr="00083215">
        <w:rPr>
          <w:rFonts w:asciiTheme="minorBidi" w:hAnsiTheme="minorBidi"/>
          <w:sz w:val="24"/>
          <w:szCs w:val="24"/>
          <w:lang w:val="en-GB"/>
        </w:rPr>
        <w:t>They demand the return of pharmacists to work with them.</w:t>
      </w:r>
    </w:p>
    <w:p w14:paraId="28B9F565" w14:textId="77777777" w:rsidR="00821B82" w:rsidRPr="003413D8" w:rsidRDefault="00821B82" w:rsidP="00821B82">
      <w:pPr>
        <w:spacing w:line="240" w:lineRule="auto"/>
        <w:ind w:left="720"/>
        <w:jc w:val="both"/>
        <w:rPr>
          <w:rFonts w:cstheme="minorHAnsi"/>
          <w:i/>
          <w:iCs/>
          <w:sz w:val="24"/>
          <w:szCs w:val="24"/>
        </w:rPr>
      </w:pPr>
      <w:r>
        <w:rPr>
          <w:rFonts w:cstheme="minorHAnsi"/>
          <w:i/>
          <w:iCs/>
          <w:sz w:val="24"/>
          <w:szCs w:val="24"/>
        </w:rPr>
        <w:t>‘</w:t>
      </w:r>
      <w:r w:rsidRPr="003413D8">
        <w:rPr>
          <w:rFonts w:cstheme="minorHAnsi"/>
          <w:i/>
          <w:iCs/>
          <w:sz w:val="24"/>
          <w:szCs w:val="24"/>
        </w:rPr>
        <w:t>Pharmacists are great and important</w:t>
      </w:r>
      <w:r>
        <w:rPr>
          <w:rFonts w:cstheme="minorHAnsi"/>
          <w:i/>
          <w:iCs/>
          <w:sz w:val="24"/>
          <w:szCs w:val="24"/>
        </w:rPr>
        <w:t>,</w:t>
      </w:r>
      <w:r w:rsidRPr="003413D8">
        <w:rPr>
          <w:rFonts w:cstheme="minorHAnsi"/>
          <w:i/>
          <w:iCs/>
          <w:sz w:val="24"/>
          <w:szCs w:val="24"/>
        </w:rPr>
        <w:t xml:space="preserve"> they have important roles</w:t>
      </w:r>
      <w:r>
        <w:rPr>
          <w:rFonts w:cstheme="minorHAnsi"/>
          <w:i/>
          <w:iCs/>
          <w:sz w:val="24"/>
          <w:szCs w:val="24"/>
        </w:rPr>
        <w:t>,</w:t>
      </w:r>
      <w:r w:rsidRPr="003413D8">
        <w:rPr>
          <w:rFonts w:cstheme="minorHAnsi"/>
          <w:i/>
          <w:iCs/>
          <w:sz w:val="24"/>
          <w:szCs w:val="24"/>
        </w:rPr>
        <w:t xml:space="preserve"> they are important figures in the whole; the primary and secondary healthcare system</w:t>
      </w:r>
      <w:r>
        <w:rPr>
          <w:rFonts w:cstheme="minorHAnsi"/>
          <w:i/>
          <w:iCs/>
          <w:sz w:val="24"/>
          <w:szCs w:val="24"/>
        </w:rPr>
        <w:t xml:space="preserve"> [</w:t>
      </w:r>
      <w:r w:rsidRPr="003413D8">
        <w:rPr>
          <w:rFonts w:cstheme="minorHAnsi"/>
          <w:i/>
          <w:iCs/>
          <w:sz w:val="24"/>
          <w:szCs w:val="24"/>
        </w:rPr>
        <w:t>…</w:t>
      </w:r>
      <w:r>
        <w:rPr>
          <w:rFonts w:cstheme="minorHAnsi"/>
          <w:i/>
          <w:iCs/>
          <w:sz w:val="24"/>
          <w:szCs w:val="24"/>
        </w:rPr>
        <w:t>]</w:t>
      </w:r>
      <w:r w:rsidRPr="003413D8">
        <w:rPr>
          <w:rFonts w:cstheme="minorHAnsi"/>
          <w:i/>
          <w:iCs/>
          <w:sz w:val="24"/>
          <w:szCs w:val="24"/>
        </w:rPr>
        <w:t xml:space="preserve"> It was reassuring having somebody close by with more information about the drugs because pharmacists are superior to doctors in the knowledge of drugs, their components, their side effects, their medical use</w:t>
      </w:r>
      <w:r>
        <w:rPr>
          <w:rFonts w:cstheme="minorHAnsi"/>
          <w:i/>
          <w:iCs/>
          <w:sz w:val="24"/>
          <w:szCs w:val="24"/>
        </w:rPr>
        <w:t xml:space="preserve"> [</w:t>
      </w:r>
      <w:r w:rsidRPr="003413D8">
        <w:rPr>
          <w:rFonts w:cstheme="minorHAnsi"/>
          <w:i/>
          <w:iCs/>
          <w:sz w:val="24"/>
          <w:szCs w:val="24"/>
        </w:rPr>
        <w:t>…</w:t>
      </w:r>
      <w:r>
        <w:rPr>
          <w:rFonts w:cstheme="minorHAnsi"/>
          <w:i/>
          <w:iCs/>
          <w:sz w:val="24"/>
          <w:szCs w:val="24"/>
        </w:rPr>
        <w:t>]</w:t>
      </w:r>
      <w:r w:rsidRPr="003413D8">
        <w:rPr>
          <w:rFonts w:cstheme="minorHAnsi"/>
          <w:i/>
          <w:iCs/>
          <w:sz w:val="24"/>
          <w:szCs w:val="24"/>
        </w:rPr>
        <w:t xml:space="preserve"> I will feel reassured because pharmacists are close to the medications, they are up to date for the medications and vaccines, and anything involving drugs which is important</w:t>
      </w:r>
      <w:r>
        <w:rPr>
          <w:rFonts w:cstheme="minorHAnsi"/>
          <w:i/>
          <w:iCs/>
          <w:sz w:val="24"/>
          <w:szCs w:val="24"/>
        </w:rPr>
        <w:t xml:space="preserve"> [</w:t>
      </w:r>
      <w:r w:rsidRPr="003413D8">
        <w:rPr>
          <w:rFonts w:cstheme="minorHAnsi"/>
          <w:i/>
          <w:iCs/>
          <w:sz w:val="24"/>
          <w:szCs w:val="24"/>
        </w:rPr>
        <w:t>…</w:t>
      </w:r>
      <w:r>
        <w:rPr>
          <w:rFonts w:cstheme="minorHAnsi"/>
          <w:i/>
          <w:iCs/>
          <w:sz w:val="24"/>
          <w:szCs w:val="24"/>
        </w:rPr>
        <w:t>]</w:t>
      </w:r>
      <w:r w:rsidRPr="003413D8">
        <w:rPr>
          <w:rFonts w:cstheme="minorHAnsi"/>
          <w:i/>
          <w:iCs/>
          <w:sz w:val="24"/>
          <w:szCs w:val="24"/>
        </w:rPr>
        <w:t xml:space="preserve"> feel more safe after asking the pharmacist.</w:t>
      </w:r>
      <w:r>
        <w:rPr>
          <w:rFonts w:cstheme="minorHAnsi"/>
          <w:i/>
          <w:iCs/>
          <w:sz w:val="24"/>
          <w:szCs w:val="24"/>
        </w:rPr>
        <w:t>’</w:t>
      </w:r>
      <w:r w:rsidRPr="003413D8">
        <w:rPr>
          <w:rFonts w:cstheme="minorHAnsi"/>
          <w:i/>
          <w:iCs/>
          <w:sz w:val="24"/>
          <w:szCs w:val="24"/>
        </w:rPr>
        <w:t xml:space="preserve"> D1</w:t>
      </w:r>
    </w:p>
    <w:p w14:paraId="0107E6D5" w14:textId="77777777" w:rsidR="00821B82" w:rsidRDefault="00821B82" w:rsidP="00821B82">
      <w:pPr>
        <w:spacing w:line="240" w:lineRule="auto"/>
        <w:ind w:left="720"/>
        <w:jc w:val="both"/>
        <w:rPr>
          <w:rFonts w:cstheme="minorHAnsi"/>
          <w:i/>
          <w:iCs/>
          <w:sz w:val="24"/>
          <w:szCs w:val="24"/>
        </w:rPr>
      </w:pPr>
      <w:r>
        <w:rPr>
          <w:rFonts w:cstheme="minorHAnsi"/>
          <w:i/>
          <w:iCs/>
          <w:sz w:val="24"/>
          <w:szCs w:val="24"/>
        </w:rPr>
        <w:t>‘</w:t>
      </w:r>
      <w:r w:rsidRPr="003413D8">
        <w:rPr>
          <w:rFonts w:cstheme="minorHAnsi"/>
          <w:i/>
          <w:iCs/>
          <w:sz w:val="24"/>
          <w:szCs w:val="24"/>
        </w:rPr>
        <w:t>I go to the pharmacist for help, especially in urgent cases; we refer to the pharmacist more than the doctor.</w:t>
      </w:r>
      <w:r>
        <w:rPr>
          <w:rFonts w:cstheme="minorHAnsi"/>
          <w:i/>
          <w:iCs/>
          <w:sz w:val="24"/>
          <w:szCs w:val="24"/>
        </w:rPr>
        <w:t>’</w:t>
      </w:r>
      <w:r w:rsidRPr="003413D8">
        <w:rPr>
          <w:rFonts w:cstheme="minorHAnsi"/>
          <w:i/>
          <w:iCs/>
          <w:sz w:val="24"/>
          <w:szCs w:val="24"/>
        </w:rPr>
        <w:t>N3</w:t>
      </w:r>
    </w:p>
    <w:p w14:paraId="272F2344" w14:textId="77777777" w:rsidR="00821B82" w:rsidRDefault="00821B82" w:rsidP="00821B82">
      <w:pPr>
        <w:spacing w:before="240" w:line="360" w:lineRule="auto"/>
        <w:jc w:val="both"/>
        <w:rPr>
          <w:rFonts w:asciiTheme="minorBidi" w:hAnsiTheme="minorBidi"/>
          <w:color w:val="1F3864" w:themeColor="accent1" w:themeShade="80"/>
          <w:sz w:val="24"/>
          <w:szCs w:val="24"/>
        </w:rPr>
      </w:pPr>
      <w:r w:rsidRPr="00B83C9D">
        <w:rPr>
          <w:rFonts w:asciiTheme="minorBidi" w:hAnsiTheme="minorBidi"/>
          <w:sz w:val="24"/>
          <w:szCs w:val="24"/>
        </w:rPr>
        <w:t xml:space="preserve">All the nurses interviewed wished that pharmacists would return to work in </w:t>
      </w:r>
      <w:r>
        <w:rPr>
          <w:rFonts w:asciiTheme="minorBidi" w:hAnsiTheme="minorBidi"/>
          <w:sz w:val="24"/>
          <w:szCs w:val="24"/>
        </w:rPr>
        <w:t>PHCs</w:t>
      </w:r>
      <w:r w:rsidRPr="00B83C9D">
        <w:rPr>
          <w:rFonts w:asciiTheme="minorBidi" w:hAnsiTheme="minorBidi"/>
          <w:sz w:val="24"/>
          <w:szCs w:val="24"/>
        </w:rPr>
        <w:t xml:space="preserve"> because their role is vital in optimising healthcare delivery</w:t>
      </w:r>
      <w:r>
        <w:rPr>
          <w:rFonts w:asciiTheme="minorBidi" w:hAnsiTheme="minorBidi"/>
          <w:sz w:val="24"/>
          <w:szCs w:val="24"/>
        </w:rPr>
        <w:t xml:space="preserve"> as previously mentioned in </w:t>
      </w:r>
      <w:r w:rsidRPr="00994E27">
        <w:rPr>
          <w:rFonts w:asciiTheme="minorBidi" w:hAnsiTheme="minorBidi"/>
          <w:color w:val="1F3864" w:themeColor="accent1" w:themeShade="80"/>
          <w:sz w:val="24"/>
          <w:szCs w:val="24"/>
        </w:rPr>
        <w:fldChar w:fldCharType="begin"/>
      </w:r>
      <w:r w:rsidRPr="00994E27">
        <w:rPr>
          <w:rFonts w:asciiTheme="minorBidi" w:hAnsiTheme="minorBidi"/>
          <w:color w:val="1F3864" w:themeColor="accent1" w:themeShade="80"/>
          <w:sz w:val="24"/>
          <w:szCs w:val="24"/>
        </w:rPr>
        <w:instrText xml:space="preserve"> REF _Ref127753579 \n \h </w:instrText>
      </w:r>
      <w:r w:rsidRPr="00994E27">
        <w:rPr>
          <w:rFonts w:asciiTheme="minorBidi" w:hAnsiTheme="minorBidi"/>
          <w:color w:val="1F3864" w:themeColor="accent1" w:themeShade="80"/>
          <w:sz w:val="24"/>
          <w:szCs w:val="24"/>
        </w:rPr>
      </w:r>
      <w:r w:rsidRPr="00994E27">
        <w:rPr>
          <w:rFonts w:asciiTheme="minorBidi" w:hAnsiTheme="minorBidi"/>
          <w:color w:val="1F3864" w:themeColor="accent1" w:themeShade="80"/>
          <w:sz w:val="24"/>
          <w:szCs w:val="24"/>
        </w:rPr>
        <w:fldChar w:fldCharType="separate"/>
      </w:r>
      <w:r w:rsidRPr="00994E27">
        <w:rPr>
          <w:rFonts w:asciiTheme="minorBidi" w:hAnsiTheme="minorBidi"/>
          <w:color w:val="1F3864" w:themeColor="accent1" w:themeShade="80"/>
          <w:sz w:val="24"/>
          <w:szCs w:val="24"/>
          <w:cs/>
        </w:rPr>
        <w:t>‎</w:t>
      </w:r>
      <w:r w:rsidRPr="00994E27">
        <w:rPr>
          <w:rFonts w:asciiTheme="minorBidi" w:hAnsiTheme="minorBidi"/>
          <w:color w:val="1F3864" w:themeColor="accent1" w:themeShade="80"/>
          <w:sz w:val="24"/>
          <w:szCs w:val="24"/>
        </w:rPr>
        <w:t>6.4.4.3</w:t>
      </w:r>
      <w:r w:rsidRPr="00994E27">
        <w:rPr>
          <w:rFonts w:asciiTheme="minorBidi" w:hAnsiTheme="minorBidi"/>
          <w:color w:val="1F3864" w:themeColor="accent1" w:themeShade="80"/>
          <w:sz w:val="24"/>
          <w:szCs w:val="24"/>
        </w:rPr>
        <w:fldChar w:fldCharType="end"/>
      </w:r>
      <w:r>
        <w:rPr>
          <w:rFonts w:asciiTheme="minorBidi" w:hAnsiTheme="minorBidi"/>
          <w:color w:val="1F3864" w:themeColor="accent1" w:themeShade="80"/>
          <w:sz w:val="24"/>
          <w:szCs w:val="24"/>
        </w:rPr>
        <w:t>.</w:t>
      </w:r>
    </w:p>
    <w:p w14:paraId="421BFA28" w14:textId="77777777" w:rsidR="009F4E58" w:rsidRPr="00EF2AF0" w:rsidRDefault="009F4E58" w:rsidP="00821B82">
      <w:pPr>
        <w:spacing w:before="240" w:line="360" w:lineRule="auto"/>
        <w:jc w:val="both"/>
        <w:rPr>
          <w:rFonts w:asciiTheme="minorBidi" w:hAnsiTheme="minorBidi"/>
          <w:sz w:val="24"/>
          <w:szCs w:val="24"/>
        </w:rPr>
      </w:pPr>
    </w:p>
    <w:p w14:paraId="5668AFC9" w14:textId="77777777" w:rsidR="00821B82" w:rsidRPr="009F4E58" w:rsidRDefault="00821B82" w:rsidP="009F4E58">
      <w:pPr>
        <w:pStyle w:val="Heading4"/>
        <w:spacing w:after="240" w:line="360" w:lineRule="auto"/>
        <w:rPr>
          <w:rFonts w:asciiTheme="minorBidi" w:hAnsiTheme="minorBidi" w:cstheme="minorBidi"/>
          <w:sz w:val="24"/>
          <w:szCs w:val="24"/>
        </w:rPr>
      </w:pPr>
      <w:r w:rsidRPr="009F4E58">
        <w:rPr>
          <w:rFonts w:asciiTheme="minorBidi" w:hAnsiTheme="minorBidi" w:cstheme="minorBidi"/>
          <w:sz w:val="24"/>
          <w:szCs w:val="24"/>
        </w:rPr>
        <w:t>6.4.6.4. Pharmacists' willingness to take new roles and provide clinical services</w:t>
      </w:r>
    </w:p>
    <w:p w14:paraId="092C8D53" w14:textId="77777777" w:rsidR="00821B82" w:rsidRDefault="00821B82" w:rsidP="00821B82">
      <w:pPr>
        <w:spacing w:line="360" w:lineRule="auto"/>
        <w:jc w:val="both"/>
        <w:rPr>
          <w:rFonts w:asciiTheme="minorBidi" w:hAnsiTheme="minorBidi"/>
          <w:sz w:val="24"/>
          <w:szCs w:val="24"/>
        </w:rPr>
      </w:pPr>
      <w:r w:rsidRPr="00F5609E">
        <w:rPr>
          <w:rFonts w:asciiTheme="minorBidi" w:hAnsiTheme="minorBidi"/>
          <w:sz w:val="24"/>
          <w:szCs w:val="24"/>
        </w:rPr>
        <w:t xml:space="preserve">Pharmacists interviewed were satisfied with their work in PHCs despite the work pressures they faced due to the shortage of manpower. They did not have a technician or pharmacist assistant to help them with their work; the pharmacy was operated with only one employee. After the </w:t>
      </w:r>
      <w:r>
        <w:rPr>
          <w:rFonts w:asciiTheme="minorBidi" w:hAnsiTheme="minorBidi"/>
          <w:sz w:val="24"/>
          <w:szCs w:val="24"/>
        </w:rPr>
        <w:t xml:space="preserve">service for </w:t>
      </w:r>
      <w:r w:rsidRPr="00F5609E">
        <w:rPr>
          <w:rFonts w:asciiTheme="minorBidi" w:hAnsiTheme="minorBidi"/>
          <w:sz w:val="24"/>
          <w:szCs w:val="24"/>
        </w:rPr>
        <w:t>dispensing of prescription</w:t>
      </w:r>
      <w:r>
        <w:rPr>
          <w:rFonts w:asciiTheme="minorBidi" w:hAnsiTheme="minorBidi"/>
          <w:sz w:val="24"/>
          <w:szCs w:val="24"/>
        </w:rPr>
        <w:t>s</w:t>
      </w:r>
      <w:r w:rsidRPr="00F5609E">
        <w:rPr>
          <w:rFonts w:asciiTheme="minorBidi" w:hAnsiTheme="minorBidi"/>
          <w:sz w:val="24"/>
          <w:szCs w:val="24"/>
        </w:rPr>
        <w:t xml:space="preserve"> from</w:t>
      </w:r>
      <w:r>
        <w:rPr>
          <w:rFonts w:asciiTheme="minorBidi" w:hAnsiTheme="minorBidi"/>
          <w:sz w:val="24"/>
          <w:szCs w:val="24"/>
        </w:rPr>
        <w:t xml:space="preserve"> PHCs was stopped</w:t>
      </w:r>
      <w:r w:rsidRPr="00F5609E">
        <w:rPr>
          <w:rFonts w:asciiTheme="minorBidi" w:hAnsiTheme="minorBidi"/>
          <w:sz w:val="24"/>
          <w:szCs w:val="24"/>
        </w:rPr>
        <w:t xml:space="preserve">, they hoped to provide advanced pharmaceutical care services as long as they </w:t>
      </w:r>
      <w:r>
        <w:rPr>
          <w:rFonts w:asciiTheme="minorBidi" w:hAnsiTheme="minorBidi"/>
          <w:sz w:val="24"/>
          <w:szCs w:val="24"/>
        </w:rPr>
        <w:t xml:space="preserve">were </w:t>
      </w:r>
      <w:r w:rsidRPr="00F5609E">
        <w:rPr>
          <w:rFonts w:asciiTheme="minorBidi" w:hAnsiTheme="minorBidi"/>
          <w:sz w:val="24"/>
          <w:szCs w:val="24"/>
        </w:rPr>
        <w:t>expected to</w:t>
      </w:r>
      <w:r>
        <w:rPr>
          <w:rFonts w:asciiTheme="minorBidi" w:hAnsiTheme="minorBidi"/>
          <w:sz w:val="24"/>
          <w:szCs w:val="24"/>
        </w:rPr>
        <w:t xml:space="preserve"> do so</w:t>
      </w:r>
      <w:r w:rsidRPr="00F5609E">
        <w:rPr>
          <w:rFonts w:asciiTheme="minorBidi" w:hAnsiTheme="minorBidi"/>
          <w:sz w:val="24"/>
          <w:szCs w:val="24"/>
        </w:rPr>
        <w:t>, but the numerous obstacles we mentioned earlier</w:t>
      </w:r>
      <w:r>
        <w:rPr>
          <w:rFonts w:asciiTheme="minorBidi" w:hAnsiTheme="minorBidi"/>
          <w:sz w:val="24"/>
          <w:szCs w:val="24"/>
        </w:rPr>
        <w:t xml:space="preserve"> (</w:t>
      </w:r>
      <w:r>
        <w:rPr>
          <w:rFonts w:asciiTheme="minorBidi" w:hAnsiTheme="minorBidi"/>
          <w:sz w:val="24"/>
          <w:szCs w:val="24"/>
        </w:rPr>
        <w:fldChar w:fldCharType="begin"/>
      </w:r>
      <w:r>
        <w:rPr>
          <w:rFonts w:asciiTheme="minorBidi" w:hAnsiTheme="minorBidi"/>
          <w:sz w:val="24"/>
          <w:szCs w:val="24"/>
        </w:rPr>
        <w:instrText xml:space="preserve"> REF _Ref127754094 \n \h </w:instrText>
      </w:r>
      <w:r>
        <w:rPr>
          <w:rFonts w:asciiTheme="minorBidi" w:hAnsiTheme="minorBidi"/>
          <w:sz w:val="24"/>
          <w:szCs w:val="24"/>
        </w:rPr>
      </w:r>
      <w:r>
        <w:rPr>
          <w:rFonts w:asciiTheme="minorBidi" w:hAnsiTheme="minorBidi"/>
          <w:sz w:val="24"/>
          <w:szCs w:val="24"/>
        </w:rPr>
        <w:fldChar w:fldCharType="separate"/>
      </w:r>
      <w:r>
        <w:rPr>
          <w:rFonts w:asciiTheme="minorBidi" w:hAnsiTheme="minorBidi"/>
          <w:sz w:val="24"/>
          <w:szCs w:val="24"/>
          <w:cs/>
        </w:rPr>
        <w:t>‎</w:t>
      </w:r>
      <w:r w:rsidRPr="00563557">
        <w:rPr>
          <w:rFonts w:asciiTheme="minorBidi" w:hAnsiTheme="minorBidi"/>
          <w:color w:val="1F3864" w:themeColor="accent1" w:themeShade="80"/>
          <w:sz w:val="24"/>
          <w:szCs w:val="24"/>
        </w:rPr>
        <w:t>6.4.5</w:t>
      </w:r>
      <w:r>
        <w:rPr>
          <w:rFonts w:asciiTheme="minorBidi" w:hAnsiTheme="minorBidi"/>
          <w:sz w:val="24"/>
          <w:szCs w:val="24"/>
        </w:rPr>
        <w:fldChar w:fldCharType="end"/>
      </w:r>
      <w:r>
        <w:rPr>
          <w:rFonts w:asciiTheme="minorBidi" w:hAnsiTheme="minorBidi"/>
          <w:sz w:val="24"/>
          <w:szCs w:val="24"/>
        </w:rPr>
        <w:t xml:space="preserve">) </w:t>
      </w:r>
      <w:r w:rsidRPr="00F5609E">
        <w:rPr>
          <w:rFonts w:asciiTheme="minorBidi" w:hAnsiTheme="minorBidi"/>
          <w:sz w:val="24"/>
          <w:szCs w:val="24"/>
        </w:rPr>
        <w:t>prevented them from achieving their goals. They were hoping for more vital roles in the health organi</w:t>
      </w:r>
      <w:r>
        <w:rPr>
          <w:rFonts w:asciiTheme="minorBidi" w:hAnsiTheme="minorBidi"/>
          <w:sz w:val="24"/>
          <w:szCs w:val="24"/>
        </w:rPr>
        <w:t>s</w:t>
      </w:r>
      <w:r w:rsidRPr="00F5609E">
        <w:rPr>
          <w:rFonts w:asciiTheme="minorBidi" w:hAnsiTheme="minorBidi"/>
          <w:sz w:val="24"/>
          <w:szCs w:val="24"/>
        </w:rPr>
        <w:t>ation they had served for numer</w:t>
      </w:r>
      <w:r>
        <w:rPr>
          <w:rFonts w:asciiTheme="minorBidi" w:hAnsiTheme="minorBidi"/>
          <w:sz w:val="24"/>
          <w:szCs w:val="24"/>
        </w:rPr>
        <w:t>ous</w:t>
      </w:r>
      <w:r w:rsidRPr="00F5609E">
        <w:rPr>
          <w:rFonts w:asciiTheme="minorBidi" w:hAnsiTheme="minorBidi"/>
          <w:sz w:val="24"/>
          <w:szCs w:val="24"/>
        </w:rPr>
        <w:t xml:space="preserve"> years, as all of the pharmacists interviewed had experience working in </w:t>
      </w:r>
      <w:r>
        <w:rPr>
          <w:rFonts w:asciiTheme="minorBidi" w:hAnsiTheme="minorBidi"/>
          <w:sz w:val="24"/>
          <w:szCs w:val="24"/>
        </w:rPr>
        <w:t>PHCs</w:t>
      </w:r>
      <w:r w:rsidRPr="00F5609E">
        <w:rPr>
          <w:rFonts w:asciiTheme="minorBidi" w:hAnsiTheme="minorBidi"/>
          <w:sz w:val="24"/>
          <w:szCs w:val="24"/>
        </w:rPr>
        <w:t xml:space="preserve"> for more than ten years, which would benefit the primary health care system</w:t>
      </w:r>
      <w:r>
        <w:rPr>
          <w:rFonts w:asciiTheme="minorBidi" w:hAnsiTheme="minorBidi"/>
          <w:sz w:val="24"/>
          <w:szCs w:val="24"/>
        </w:rPr>
        <w:t>.</w:t>
      </w:r>
      <w:r w:rsidRPr="00F5609E">
        <w:rPr>
          <w:rFonts w:asciiTheme="minorBidi" w:hAnsiTheme="minorBidi"/>
          <w:sz w:val="24"/>
          <w:szCs w:val="24"/>
        </w:rPr>
        <w:t xml:space="preserve"> </w:t>
      </w:r>
    </w:p>
    <w:p w14:paraId="0D36561D" w14:textId="77777777" w:rsidR="00821B82" w:rsidRPr="00014106" w:rsidRDefault="00821B82" w:rsidP="00821B82">
      <w:pPr>
        <w:spacing w:line="360" w:lineRule="auto"/>
        <w:jc w:val="both"/>
        <w:rPr>
          <w:rFonts w:asciiTheme="minorBidi" w:eastAsiaTheme="minorEastAsia" w:hAnsiTheme="minorBidi"/>
          <w:sz w:val="24"/>
          <w:szCs w:val="24"/>
          <w:lang w:val="en-GB" w:eastAsia="en-GB"/>
        </w:rPr>
      </w:pPr>
      <w:r w:rsidRPr="00014106">
        <w:rPr>
          <w:rFonts w:asciiTheme="minorBidi" w:eastAsiaTheme="minorEastAsia" w:hAnsiTheme="minorBidi"/>
          <w:sz w:val="24"/>
          <w:szCs w:val="24"/>
          <w:lang w:val="en-GB" w:eastAsia="en-GB"/>
        </w:rPr>
        <w:t>From the analysis of the interviews, it was found that all pharmacists interviewed were willing to provide advanced pharmaceutical care services to patients, especially diabetic patients.</w:t>
      </w:r>
      <w:r w:rsidRPr="00014106">
        <w:rPr>
          <w:rFonts w:asciiTheme="minorBidi" w:eastAsiaTheme="minorEastAsia" w:hAnsiTheme="minorBidi"/>
          <w:sz w:val="24"/>
          <w:szCs w:val="24"/>
          <w:rtl/>
          <w:lang w:val="en-GB" w:eastAsia="en-GB"/>
        </w:rPr>
        <w:t xml:space="preserve"> </w:t>
      </w:r>
      <w:r w:rsidRPr="00014106">
        <w:rPr>
          <w:rFonts w:asciiTheme="minorBidi" w:eastAsiaTheme="minorEastAsia" w:hAnsiTheme="minorBidi"/>
          <w:sz w:val="24"/>
          <w:szCs w:val="24"/>
          <w:lang w:val="en-GB" w:eastAsia="en-GB"/>
        </w:rPr>
        <w:t xml:space="preserve">All pharmacists interviewed wanted to return to work in </w:t>
      </w:r>
      <w:r>
        <w:rPr>
          <w:rFonts w:asciiTheme="minorBidi" w:eastAsiaTheme="minorEastAsia" w:hAnsiTheme="minorBidi"/>
          <w:sz w:val="24"/>
          <w:szCs w:val="24"/>
          <w:lang w:val="en-GB" w:eastAsia="en-GB"/>
        </w:rPr>
        <w:t>PHCs</w:t>
      </w:r>
      <w:r w:rsidRPr="00014106">
        <w:rPr>
          <w:rFonts w:asciiTheme="minorBidi" w:eastAsiaTheme="minorEastAsia" w:hAnsiTheme="minorBidi"/>
          <w:sz w:val="24"/>
          <w:szCs w:val="24"/>
          <w:lang w:val="en-GB" w:eastAsia="en-GB"/>
        </w:rPr>
        <w:t xml:space="preserve"> to give their best to serve patients. They believe that their chances of participating in the management of patients with chronic diseases, including diabetes, are better than those in the hospital because the treatment and follow-up of this group of patients is in </w:t>
      </w:r>
      <w:r>
        <w:rPr>
          <w:rFonts w:asciiTheme="minorBidi" w:eastAsiaTheme="minorEastAsia" w:hAnsiTheme="minorBidi"/>
          <w:sz w:val="24"/>
          <w:szCs w:val="24"/>
          <w:lang w:val="en-GB" w:eastAsia="en-GB"/>
        </w:rPr>
        <w:t>PHCs</w:t>
      </w:r>
      <w:r w:rsidRPr="00014106">
        <w:rPr>
          <w:rFonts w:asciiTheme="minorBidi" w:eastAsiaTheme="minorEastAsia" w:hAnsiTheme="minorBidi"/>
          <w:sz w:val="24"/>
          <w:szCs w:val="24"/>
          <w:lang w:val="en-GB" w:eastAsia="en-GB"/>
        </w:rPr>
        <w:t xml:space="preserve">. Usually, patients referred to the hospital are in advanced stages </w:t>
      </w:r>
      <w:r>
        <w:rPr>
          <w:rFonts w:asciiTheme="minorBidi" w:eastAsiaTheme="minorEastAsia" w:hAnsiTheme="minorBidi"/>
          <w:sz w:val="24"/>
          <w:szCs w:val="24"/>
          <w:lang w:val="en-GB" w:eastAsia="en-GB"/>
        </w:rPr>
        <w:t xml:space="preserve">and </w:t>
      </w:r>
      <w:r w:rsidRPr="00014106">
        <w:rPr>
          <w:rFonts w:asciiTheme="minorBidi" w:eastAsiaTheme="minorEastAsia" w:hAnsiTheme="minorBidi"/>
          <w:sz w:val="24"/>
          <w:szCs w:val="24"/>
          <w:lang w:val="en-GB" w:eastAsia="en-GB"/>
        </w:rPr>
        <w:t xml:space="preserve">have experienced complications of the disease, so the intervention at this stage is considered late, </w:t>
      </w:r>
      <w:r>
        <w:rPr>
          <w:rFonts w:asciiTheme="minorBidi" w:eastAsiaTheme="minorEastAsia" w:hAnsiTheme="minorBidi"/>
          <w:sz w:val="24"/>
          <w:szCs w:val="24"/>
          <w:lang w:val="en-GB" w:eastAsia="en-GB"/>
        </w:rPr>
        <w:t>where</w:t>
      </w:r>
      <w:r w:rsidRPr="00014106">
        <w:rPr>
          <w:rFonts w:asciiTheme="minorBidi" w:eastAsiaTheme="minorEastAsia" w:hAnsiTheme="minorBidi"/>
          <w:sz w:val="24"/>
          <w:szCs w:val="24"/>
          <w:lang w:val="en-GB" w:eastAsia="en-GB"/>
        </w:rPr>
        <w:t>as the goal is to prevent or treat the disease in its early stages to reduce its complications on the patient’s health and daily activities.</w:t>
      </w:r>
    </w:p>
    <w:p w14:paraId="78924969"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‘PHCs</w:t>
      </w:r>
      <w:r w:rsidRPr="003861F3">
        <w:rPr>
          <w:rFonts w:eastAsiaTheme="minorEastAsia" w:cstheme="minorHAnsi"/>
          <w:i/>
          <w:iCs/>
          <w:sz w:val="24"/>
          <w:szCs w:val="24"/>
          <w:lang w:val="en-GB" w:eastAsia="en-GB"/>
        </w:rPr>
        <w:t xml:space="preserve"> are suitable places to provide clinical pharmacy services to patients, catch/capture new diagnostic patients, contribute to public health promotion and prevention, and help patients in controlling their disease in the early stage, in a primary care setting, which is the best practice, not too late when they need to be transferred to hospitals. Treating patients from the beginning will help them take control of their condition…I have been moved from the PHC, but I believe that pharmacists can play an important and active role in patient care in PHC</w:t>
      </w:r>
      <w:r>
        <w:rPr>
          <w:rFonts w:eastAsiaTheme="minorEastAsia" w:cstheme="minorHAnsi"/>
          <w:i/>
          <w:iCs/>
          <w:sz w:val="24"/>
          <w:szCs w:val="24"/>
          <w:lang w:val="en-GB" w:eastAsia="en-GB"/>
        </w:rPr>
        <w:t>’</w:t>
      </w:r>
      <w:r w:rsidRPr="003861F3">
        <w:rPr>
          <w:rFonts w:eastAsiaTheme="minorEastAsia" w:cstheme="minorHAnsi"/>
          <w:i/>
          <w:iCs/>
          <w:sz w:val="24"/>
          <w:szCs w:val="24"/>
          <w:lang w:val="en-GB" w:eastAsia="en-GB"/>
        </w:rPr>
        <w:t xml:space="preserve"> Ph2</w:t>
      </w:r>
    </w:p>
    <w:p w14:paraId="1F1727CC" w14:textId="77777777" w:rsidR="00821B82" w:rsidRPr="003861F3" w:rsidRDefault="00821B82" w:rsidP="00821B82">
      <w:pPr>
        <w:spacing w:line="240" w:lineRule="auto"/>
        <w:ind w:left="720"/>
        <w:jc w:val="both"/>
        <w:rPr>
          <w:rFonts w:eastAsiaTheme="minorEastAsia" w:cstheme="minorHAnsi"/>
          <w:i/>
          <w:iCs/>
          <w:sz w:val="24"/>
          <w:szCs w:val="24"/>
          <w:lang w:val="en-GB" w:eastAsia="en-GB"/>
        </w:rPr>
      </w:pPr>
    </w:p>
    <w:p w14:paraId="565E9141" w14:textId="77777777" w:rsidR="00821B82" w:rsidRPr="009F4E58" w:rsidRDefault="00821B82" w:rsidP="009F4E58">
      <w:pPr>
        <w:pStyle w:val="Heading4"/>
        <w:spacing w:after="240" w:line="360" w:lineRule="auto"/>
        <w:rPr>
          <w:rFonts w:asciiTheme="minorBidi" w:hAnsiTheme="minorBidi" w:cstheme="minorBidi"/>
          <w:sz w:val="24"/>
          <w:szCs w:val="24"/>
        </w:rPr>
      </w:pPr>
      <w:r w:rsidRPr="009F4E58">
        <w:rPr>
          <w:rFonts w:asciiTheme="minorBidi" w:hAnsiTheme="minorBidi" w:cstheme="minorBidi"/>
          <w:sz w:val="24"/>
          <w:szCs w:val="24"/>
        </w:rPr>
        <w:t>6.4.6.5. Simulation of advanced pharmacy practice applied in other regions of SA</w:t>
      </w:r>
    </w:p>
    <w:p w14:paraId="04F743C8" w14:textId="77777777" w:rsidR="00821B82" w:rsidRDefault="00821B82" w:rsidP="00821B82">
      <w:pPr>
        <w:spacing w:line="360" w:lineRule="auto"/>
        <w:jc w:val="both"/>
        <w:rPr>
          <w:rFonts w:asciiTheme="minorBidi" w:hAnsiTheme="minorBidi"/>
          <w:sz w:val="24"/>
          <w:szCs w:val="24"/>
        </w:rPr>
      </w:pPr>
      <w:r w:rsidRPr="005B3FFE">
        <w:rPr>
          <w:rFonts w:asciiTheme="minorBidi" w:hAnsiTheme="minorBidi"/>
          <w:sz w:val="24"/>
          <w:szCs w:val="24"/>
        </w:rPr>
        <w:t xml:space="preserve">The development and expansion of pharmaceutical services at the primary care level in the Eastern province are necessary to align with the development of pharmaceutical services in other regions of </w:t>
      </w:r>
      <w:r>
        <w:rPr>
          <w:rFonts w:asciiTheme="minorBidi" w:hAnsiTheme="minorBidi"/>
          <w:sz w:val="24"/>
          <w:szCs w:val="24"/>
        </w:rPr>
        <w:t>SA</w:t>
      </w:r>
      <w:r w:rsidRPr="005B3FFE">
        <w:rPr>
          <w:rFonts w:asciiTheme="minorBidi" w:hAnsiTheme="minorBidi"/>
          <w:sz w:val="24"/>
          <w:szCs w:val="24"/>
        </w:rPr>
        <w:t xml:space="preserve">. Inequality in pharmacy practice across the areas of </w:t>
      </w:r>
      <w:r>
        <w:rPr>
          <w:rFonts w:asciiTheme="minorBidi" w:hAnsiTheme="minorBidi"/>
          <w:sz w:val="24"/>
          <w:szCs w:val="24"/>
        </w:rPr>
        <w:t>SA</w:t>
      </w:r>
      <w:r w:rsidRPr="005B3FFE">
        <w:rPr>
          <w:rFonts w:asciiTheme="minorBidi" w:hAnsiTheme="minorBidi"/>
          <w:sz w:val="24"/>
          <w:szCs w:val="24"/>
        </w:rPr>
        <w:t xml:space="preserve"> was reported as illustrated by the following quote:</w:t>
      </w:r>
    </w:p>
    <w:p w14:paraId="1CF008FB" w14:textId="77777777" w:rsidR="00821B82" w:rsidRDefault="00821B82" w:rsidP="00821B82">
      <w:pPr>
        <w:spacing w:line="240" w:lineRule="auto"/>
        <w:ind w:left="720"/>
        <w:jc w:val="both"/>
        <w:rPr>
          <w:i/>
          <w:iCs/>
          <w:sz w:val="24"/>
          <w:szCs w:val="24"/>
          <w:lang w:val="en-GB"/>
        </w:rPr>
      </w:pPr>
      <w:r>
        <w:rPr>
          <w:i/>
          <w:iCs/>
          <w:sz w:val="24"/>
          <w:szCs w:val="24"/>
          <w:lang w:val="en-GB"/>
        </w:rPr>
        <w:t>‘</w:t>
      </w:r>
      <w:r w:rsidRPr="00531585">
        <w:rPr>
          <w:i/>
          <w:iCs/>
          <w:sz w:val="24"/>
          <w:szCs w:val="24"/>
          <w:lang w:val="en-GB"/>
        </w:rPr>
        <w:t xml:space="preserve">Some regions in Saudi Arabia have </w:t>
      </w:r>
      <w:r>
        <w:rPr>
          <w:i/>
          <w:iCs/>
          <w:sz w:val="24"/>
          <w:szCs w:val="24"/>
          <w:lang w:val="en-GB"/>
        </w:rPr>
        <w:t>clinical pharmacy</w:t>
      </w:r>
      <w:r w:rsidRPr="00531585">
        <w:rPr>
          <w:i/>
          <w:iCs/>
          <w:sz w:val="24"/>
          <w:szCs w:val="24"/>
          <w:lang w:val="en-GB"/>
        </w:rPr>
        <w:t xml:space="preserve"> programmes and provide clinical pharmacy services, but some regions are behind, and we hope that such programmes will be offered, and clinical pharmacy services will be implemented, in the near future in our region.</w:t>
      </w:r>
      <w:r>
        <w:rPr>
          <w:i/>
          <w:iCs/>
          <w:sz w:val="24"/>
          <w:szCs w:val="24"/>
          <w:lang w:val="en-GB"/>
        </w:rPr>
        <w:t>’</w:t>
      </w:r>
      <w:r w:rsidRPr="00531585">
        <w:rPr>
          <w:i/>
          <w:iCs/>
          <w:sz w:val="24"/>
          <w:szCs w:val="24"/>
          <w:lang w:val="en-GB"/>
        </w:rPr>
        <w:t xml:space="preserve"> Ph2</w:t>
      </w:r>
    </w:p>
    <w:p w14:paraId="3F9536F0" w14:textId="77777777" w:rsidR="00821B82" w:rsidRPr="009F4E58" w:rsidRDefault="00821B82" w:rsidP="009F4E58">
      <w:pPr>
        <w:pStyle w:val="Heading4"/>
        <w:spacing w:after="240" w:line="360" w:lineRule="auto"/>
        <w:rPr>
          <w:rFonts w:asciiTheme="minorBidi" w:hAnsiTheme="minorBidi" w:cstheme="minorBidi"/>
          <w:sz w:val="24"/>
          <w:szCs w:val="24"/>
        </w:rPr>
      </w:pPr>
      <w:r w:rsidRPr="009F4E58">
        <w:rPr>
          <w:rFonts w:asciiTheme="minorBidi" w:hAnsiTheme="minorBidi" w:cstheme="minorBidi"/>
          <w:sz w:val="24"/>
          <w:szCs w:val="24"/>
        </w:rPr>
        <w:t>6.4.6.6. Drug delivery initiative for chronic disease patients in the COVID-19 pandemic</w:t>
      </w:r>
    </w:p>
    <w:p w14:paraId="5A69600A" w14:textId="77777777" w:rsidR="00821B82" w:rsidRDefault="00821B82" w:rsidP="00821B82">
      <w:pPr>
        <w:spacing w:line="360" w:lineRule="auto"/>
        <w:jc w:val="both"/>
        <w:rPr>
          <w:rFonts w:asciiTheme="minorBidi" w:eastAsiaTheme="minorEastAsia" w:hAnsiTheme="minorBidi"/>
          <w:sz w:val="24"/>
          <w:szCs w:val="24"/>
          <w:lang w:val="en-GB" w:eastAsia="en-GB"/>
        </w:rPr>
      </w:pPr>
      <w:r w:rsidRPr="00525ABA">
        <w:rPr>
          <w:rFonts w:asciiTheme="minorBidi" w:eastAsiaTheme="minorEastAsia" w:hAnsiTheme="minorBidi"/>
          <w:sz w:val="24"/>
          <w:szCs w:val="24"/>
          <w:lang w:val="en-GB" w:eastAsia="en-GB"/>
        </w:rPr>
        <w:t>Participants found that such an initiative enabl</w:t>
      </w:r>
      <w:r w:rsidRPr="003A3834">
        <w:rPr>
          <w:rFonts w:asciiTheme="minorBidi" w:eastAsiaTheme="minorEastAsia" w:hAnsiTheme="minorBidi"/>
          <w:sz w:val="24"/>
          <w:szCs w:val="24"/>
          <w:lang w:val="en-GB" w:eastAsia="en-GB"/>
        </w:rPr>
        <w:t>ed pharmacists to contact patients personally, ask them about their concerns about medications, and ensure that they take their medication as prescribed.</w:t>
      </w:r>
      <w:r>
        <w:rPr>
          <w:rFonts w:asciiTheme="minorBidi" w:eastAsiaTheme="minorEastAsia" w:hAnsiTheme="minorBidi"/>
          <w:sz w:val="24"/>
          <w:szCs w:val="24"/>
          <w:lang w:val="en-GB" w:eastAsia="en-GB"/>
        </w:rPr>
        <w:t xml:space="preserve"> This can be seen in the quote;</w:t>
      </w:r>
    </w:p>
    <w:p w14:paraId="17964B15" w14:textId="77777777" w:rsidR="00821B82" w:rsidRDefault="00821B82" w:rsidP="00821B82">
      <w:pPr>
        <w:spacing w:line="240" w:lineRule="auto"/>
        <w:ind w:left="72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4B3E73">
        <w:rPr>
          <w:rFonts w:eastAsiaTheme="minorEastAsia" w:cstheme="minorHAnsi"/>
          <w:i/>
          <w:iCs/>
          <w:sz w:val="24"/>
          <w:szCs w:val="24"/>
          <w:lang w:val="en-GB" w:eastAsia="en-GB"/>
        </w:rPr>
        <w:t>One recently launched service is the drug delivery service for chronic disease patients. This is one of the services that the pharmacist can explain to the patient about medicines and how to use them. The service was launched during the COVID-19 pandemic, and patients benefited from it. Two people, one of whom is a pharmacist, go out to provide treatment to patients in their homes, explain and review their medications, and ask them how they are doing with the treatment. Are there any side effects of medications? This is one of the services that has really made it easy for patients to benefit.</w:t>
      </w:r>
      <w:r>
        <w:rPr>
          <w:rFonts w:eastAsiaTheme="minorEastAsia" w:cstheme="minorHAnsi"/>
          <w:i/>
          <w:iCs/>
          <w:sz w:val="24"/>
          <w:szCs w:val="24"/>
          <w:lang w:val="en-GB" w:eastAsia="en-GB"/>
        </w:rPr>
        <w:t>’ N4</w:t>
      </w:r>
    </w:p>
    <w:p w14:paraId="7BCB2A3C" w14:textId="77777777" w:rsidR="00821B82" w:rsidRDefault="00821B82" w:rsidP="00821B82">
      <w:pPr>
        <w:spacing w:before="240" w:line="360" w:lineRule="auto"/>
        <w:jc w:val="both"/>
        <w:rPr>
          <w:rFonts w:asciiTheme="minorBidi" w:eastAsiaTheme="minorEastAsia" w:hAnsiTheme="minorBidi"/>
          <w:sz w:val="24"/>
          <w:szCs w:val="24"/>
          <w:lang w:val="en-GB" w:eastAsia="en-GB"/>
        </w:rPr>
      </w:pPr>
      <w:r w:rsidRPr="00A57C34">
        <w:rPr>
          <w:rFonts w:asciiTheme="minorBidi" w:eastAsiaTheme="minorEastAsia" w:hAnsiTheme="minorBidi"/>
          <w:sz w:val="24"/>
          <w:szCs w:val="24"/>
          <w:lang w:val="en-GB" w:eastAsia="en-GB"/>
        </w:rPr>
        <w:t>However, when we asked about the continuity of this service, the answer appeared in the following quote</w:t>
      </w:r>
      <w:r>
        <w:rPr>
          <w:rFonts w:asciiTheme="minorBidi" w:eastAsiaTheme="minorEastAsia" w:hAnsiTheme="minorBidi"/>
          <w:sz w:val="24"/>
          <w:szCs w:val="24"/>
          <w:lang w:val="en-GB" w:eastAsia="en-GB"/>
        </w:rPr>
        <w:t>;</w:t>
      </w:r>
    </w:p>
    <w:p w14:paraId="3C20362F" w14:textId="77777777" w:rsidR="00821B82" w:rsidRDefault="00821B82" w:rsidP="00821B82">
      <w:pPr>
        <w:spacing w:line="240" w:lineRule="auto"/>
        <w:ind w:left="1440"/>
        <w:jc w:val="both"/>
        <w:rPr>
          <w:rFonts w:eastAsiaTheme="minorEastAsia" w:cstheme="minorHAnsi"/>
          <w:i/>
          <w:iCs/>
          <w:sz w:val="24"/>
          <w:szCs w:val="24"/>
          <w:lang w:val="en-GB" w:eastAsia="en-GB"/>
        </w:rPr>
      </w:pPr>
      <w:r>
        <w:rPr>
          <w:rFonts w:eastAsiaTheme="minorEastAsia" w:cstheme="minorHAnsi"/>
          <w:i/>
          <w:iCs/>
          <w:sz w:val="24"/>
          <w:szCs w:val="24"/>
          <w:lang w:val="en-GB" w:eastAsia="en-GB"/>
        </w:rPr>
        <w:t>‘</w:t>
      </w:r>
      <w:r w:rsidRPr="00DF34CA">
        <w:rPr>
          <w:rFonts w:eastAsiaTheme="minorEastAsia" w:cstheme="minorHAnsi"/>
          <w:i/>
          <w:iCs/>
          <w:sz w:val="24"/>
          <w:szCs w:val="24"/>
          <w:lang w:val="en-GB" w:eastAsia="en-GB"/>
        </w:rPr>
        <w:t>Currently, this service is only a delivery service. In the days of the pandemic, it was a delivery service with education by a pharmacist.</w:t>
      </w:r>
      <w:r>
        <w:rPr>
          <w:rFonts w:eastAsiaTheme="minorEastAsia" w:cstheme="minorHAnsi"/>
          <w:i/>
          <w:iCs/>
          <w:sz w:val="24"/>
          <w:szCs w:val="24"/>
          <w:lang w:val="en-GB" w:eastAsia="en-GB"/>
        </w:rPr>
        <w:t>’ N4</w:t>
      </w:r>
    </w:p>
    <w:p w14:paraId="3ACB829D" w14:textId="77777777" w:rsidR="00821B82" w:rsidRPr="00DF34CA" w:rsidRDefault="00821B82" w:rsidP="00821B82">
      <w:pPr>
        <w:spacing w:line="240" w:lineRule="auto"/>
        <w:ind w:left="1440"/>
        <w:jc w:val="both"/>
        <w:rPr>
          <w:rFonts w:eastAsiaTheme="minorEastAsia" w:cstheme="minorHAnsi"/>
          <w:i/>
          <w:iCs/>
          <w:sz w:val="24"/>
          <w:szCs w:val="24"/>
          <w:rtl/>
          <w:lang w:val="en-GB" w:eastAsia="en-GB"/>
        </w:rPr>
      </w:pPr>
    </w:p>
    <w:p w14:paraId="2C5E9D33" w14:textId="77777777" w:rsidR="00821B82" w:rsidRPr="001E6FED" w:rsidRDefault="00821B82" w:rsidP="001E6FED">
      <w:pPr>
        <w:pStyle w:val="Heading4"/>
        <w:spacing w:after="240" w:line="360" w:lineRule="auto"/>
        <w:rPr>
          <w:rFonts w:asciiTheme="minorBidi" w:hAnsiTheme="minorBidi" w:cstheme="minorBidi"/>
          <w:sz w:val="24"/>
          <w:szCs w:val="24"/>
        </w:rPr>
      </w:pPr>
      <w:r w:rsidRPr="001E6FED">
        <w:rPr>
          <w:rFonts w:asciiTheme="minorBidi" w:hAnsiTheme="minorBidi" w:cstheme="minorBidi"/>
          <w:sz w:val="24"/>
          <w:szCs w:val="24"/>
        </w:rPr>
        <w:t>6.4.6.7. Digitising the healthcare system</w:t>
      </w:r>
    </w:p>
    <w:p w14:paraId="44C1710A" w14:textId="77777777" w:rsidR="00821B82" w:rsidRDefault="00821B82" w:rsidP="00821B82">
      <w:pPr>
        <w:spacing w:line="360" w:lineRule="auto"/>
        <w:jc w:val="both"/>
        <w:rPr>
          <w:rFonts w:asciiTheme="minorBidi" w:eastAsiaTheme="minorEastAsia" w:hAnsiTheme="minorBidi"/>
          <w:sz w:val="24"/>
          <w:szCs w:val="24"/>
          <w:rtl/>
          <w:lang w:val="en-GB" w:eastAsia="en-GB"/>
        </w:rPr>
      </w:pPr>
      <w:r w:rsidRPr="00B6063E">
        <w:rPr>
          <w:rFonts w:asciiTheme="minorBidi" w:eastAsiaTheme="minorEastAsia" w:hAnsiTheme="minorBidi"/>
          <w:sz w:val="24"/>
          <w:szCs w:val="24"/>
          <w:lang w:val="en-GB" w:eastAsia="en-GB"/>
        </w:rPr>
        <w:t>As pharmacists pointed out earlier, the impact of introducing the electronic system into healthcare has helped facilitate their work to participate in patient care and safety actively.</w:t>
      </w:r>
    </w:p>
    <w:p w14:paraId="4C1A595C" w14:textId="77777777" w:rsidR="00821B82" w:rsidRPr="00452E43" w:rsidRDefault="00821B82" w:rsidP="00821B82">
      <w:pPr>
        <w:spacing w:line="240" w:lineRule="auto"/>
        <w:ind w:left="720"/>
        <w:jc w:val="both"/>
        <w:rPr>
          <w:rFonts w:eastAsiaTheme="minorEastAsia" w:cstheme="minorHAnsi"/>
          <w:i/>
          <w:iCs/>
          <w:sz w:val="24"/>
          <w:szCs w:val="24"/>
          <w:rtl/>
          <w:lang w:val="en-GB" w:eastAsia="en-GB"/>
        </w:rPr>
      </w:pPr>
      <w:r>
        <w:rPr>
          <w:rFonts w:eastAsiaTheme="minorEastAsia" w:cstheme="minorHAnsi"/>
          <w:i/>
          <w:iCs/>
          <w:sz w:val="24"/>
          <w:szCs w:val="24"/>
          <w:lang w:val="en-GB" w:eastAsia="en-GB"/>
        </w:rPr>
        <w:t xml:space="preserve">‘[…] </w:t>
      </w:r>
      <w:r w:rsidRPr="004F0895">
        <w:rPr>
          <w:rFonts w:eastAsiaTheme="minorEastAsia" w:cstheme="minorHAnsi"/>
          <w:i/>
          <w:iCs/>
          <w:sz w:val="24"/>
          <w:szCs w:val="24"/>
          <w:lang w:val="en-GB" w:eastAsia="en-GB"/>
        </w:rPr>
        <w:t>this was a problem in the PHCs, but now the electronic system has been entered to PHCs, but there is no pharmacist at the moment</w:t>
      </w:r>
      <w:r>
        <w:rPr>
          <w:rFonts w:eastAsiaTheme="minorEastAsia" w:cstheme="minorHAnsi"/>
          <w:i/>
          <w:iCs/>
          <w:sz w:val="24"/>
          <w:szCs w:val="24"/>
          <w:lang w:val="en-GB" w:eastAsia="en-GB"/>
        </w:rPr>
        <w:t>’ Ph1</w:t>
      </w:r>
    </w:p>
    <w:p w14:paraId="29E2F843" w14:textId="77777777" w:rsidR="00821B82" w:rsidRDefault="00821B82" w:rsidP="00821B82">
      <w:pPr>
        <w:spacing w:before="240" w:line="360" w:lineRule="auto"/>
        <w:jc w:val="both"/>
        <w:rPr>
          <w:rFonts w:asciiTheme="minorBidi" w:eastAsiaTheme="minorEastAsia" w:hAnsiTheme="minorBidi"/>
          <w:sz w:val="24"/>
          <w:szCs w:val="24"/>
          <w:lang w:val="en-GB" w:eastAsia="en-GB"/>
        </w:rPr>
      </w:pPr>
    </w:p>
    <w:p w14:paraId="035AF404" w14:textId="77777777" w:rsidR="00821B82" w:rsidRDefault="00821B82" w:rsidP="00821B82">
      <w:pPr>
        <w:spacing w:before="240" w:line="360" w:lineRule="auto"/>
        <w:jc w:val="both"/>
        <w:rPr>
          <w:rFonts w:asciiTheme="minorBidi" w:eastAsiaTheme="minorEastAsia" w:hAnsiTheme="minorBidi"/>
          <w:sz w:val="24"/>
          <w:szCs w:val="24"/>
          <w:lang w:val="en-GB" w:eastAsia="en-GB"/>
        </w:rPr>
      </w:pPr>
      <w:r w:rsidRPr="001E06A6">
        <w:rPr>
          <w:rFonts w:asciiTheme="minorBidi" w:eastAsiaTheme="minorEastAsia" w:hAnsiTheme="minorBidi"/>
          <w:sz w:val="24"/>
          <w:szCs w:val="24"/>
          <w:lang w:val="en-GB" w:eastAsia="en-GB"/>
        </w:rPr>
        <w:t>In summary, these results show that pharmaceutical care services should be expanded to provide more clinical services to fill the demand in this area. These services should be delivered smartly and effectively to meet the targets of the health transformation strategy.</w:t>
      </w:r>
      <w:r>
        <w:rPr>
          <w:rFonts w:asciiTheme="minorBidi" w:eastAsiaTheme="minorEastAsia" w:hAnsiTheme="minorBidi"/>
          <w:sz w:val="24"/>
          <w:szCs w:val="24"/>
          <w:lang w:val="en-GB" w:eastAsia="en-GB"/>
        </w:rPr>
        <w:t xml:space="preserve"> </w:t>
      </w:r>
    </w:p>
    <w:p w14:paraId="534FF07A" w14:textId="77777777" w:rsidR="00821B82" w:rsidRDefault="00821B82" w:rsidP="00821B82">
      <w:pPr>
        <w:jc w:val="both"/>
        <w:rPr>
          <w:rFonts w:asciiTheme="minorBidi" w:eastAsiaTheme="minorEastAsia" w:hAnsiTheme="minorBidi"/>
          <w:sz w:val="24"/>
          <w:szCs w:val="24"/>
          <w:lang w:val="en-GB" w:eastAsia="en-GB"/>
        </w:rPr>
      </w:pPr>
      <w:r>
        <w:rPr>
          <w:rFonts w:asciiTheme="minorBidi" w:eastAsiaTheme="minorEastAsia" w:hAnsiTheme="minorBidi"/>
          <w:sz w:val="24"/>
          <w:szCs w:val="24"/>
          <w:lang w:val="en-GB" w:eastAsia="en-GB"/>
        </w:rPr>
        <w:br w:type="page"/>
      </w:r>
    </w:p>
    <w:p w14:paraId="3CC96CE9" w14:textId="77777777" w:rsidR="00821B82" w:rsidRPr="00576BD1" w:rsidRDefault="00821B82" w:rsidP="00821B82">
      <w:pPr>
        <w:pStyle w:val="Heading3"/>
        <w:numPr>
          <w:ilvl w:val="2"/>
          <w:numId w:val="28"/>
        </w:numPr>
        <w:tabs>
          <w:tab w:val="left" w:pos="900"/>
        </w:tabs>
      </w:pPr>
      <w:bookmarkStart w:id="262" w:name="_Toc122626442"/>
      <w:bookmarkStart w:id="263" w:name="_Toc153894207"/>
      <w:r w:rsidRPr="00576BD1">
        <w:t>Conclusion</w:t>
      </w:r>
      <w:bookmarkEnd w:id="262"/>
      <w:bookmarkEnd w:id="263"/>
    </w:p>
    <w:p w14:paraId="1663F266" w14:textId="77777777" w:rsidR="00821B82" w:rsidRPr="00142BDE" w:rsidRDefault="00821B82" w:rsidP="00821B82">
      <w:pPr>
        <w:spacing w:before="240" w:line="360" w:lineRule="auto"/>
        <w:jc w:val="both"/>
        <w:rPr>
          <w:rFonts w:asciiTheme="minorBidi" w:hAnsiTheme="minorBidi"/>
          <w:sz w:val="24"/>
          <w:szCs w:val="24"/>
        </w:rPr>
      </w:pPr>
      <w:r w:rsidRPr="00F55EEF">
        <w:rPr>
          <w:rFonts w:asciiTheme="minorBidi" w:hAnsiTheme="minorBidi"/>
          <w:sz w:val="24"/>
          <w:szCs w:val="24"/>
        </w:rPr>
        <w:t xml:space="preserve">The results in this chapter indicate that the traditional pharmacy practice of </w:t>
      </w:r>
      <w:r w:rsidRPr="00142BDE">
        <w:rPr>
          <w:rFonts w:asciiTheme="minorBidi" w:hAnsiTheme="minorBidi"/>
          <w:sz w:val="24"/>
          <w:szCs w:val="24"/>
        </w:rPr>
        <w:t xml:space="preserve">dispensing medication’s prescription </w:t>
      </w:r>
      <w:r w:rsidRPr="00F55EEF">
        <w:rPr>
          <w:rFonts w:asciiTheme="minorBidi" w:hAnsiTheme="minorBidi"/>
          <w:sz w:val="24"/>
          <w:szCs w:val="24"/>
        </w:rPr>
        <w:t xml:space="preserve">is </w:t>
      </w:r>
      <w:r w:rsidRPr="002E51E0">
        <w:rPr>
          <w:rFonts w:asciiTheme="minorBidi" w:hAnsiTheme="minorBidi"/>
          <w:sz w:val="24"/>
          <w:szCs w:val="24"/>
        </w:rPr>
        <w:t>predominant</w:t>
      </w:r>
      <w:r>
        <w:rPr>
          <w:rFonts w:asciiTheme="minorBidi" w:hAnsiTheme="minorBidi"/>
          <w:sz w:val="24"/>
          <w:szCs w:val="24"/>
        </w:rPr>
        <w:t xml:space="preserve"> in </w:t>
      </w:r>
      <w:r w:rsidRPr="00F55EEF">
        <w:rPr>
          <w:rFonts w:asciiTheme="minorBidi" w:hAnsiTheme="minorBidi"/>
          <w:sz w:val="24"/>
          <w:szCs w:val="24"/>
        </w:rPr>
        <w:t xml:space="preserve">primary care settings. However, there were also passionate ongoing efforts to introduce advanced pharmacy services by some pharmacists in PHCs, </w:t>
      </w:r>
      <w:r>
        <w:rPr>
          <w:rFonts w:asciiTheme="minorBidi" w:hAnsiTheme="minorBidi"/>
          <w:sz w:val="24"/>
          <w:szCs w:val="24"/>
        </w:rPr>
        <w:t xml:space="preserve">but </w:t>
      </w:r>
      <w:r w:rsidRPr="00142BDE">
        <w:rPr>
          <w:rFonts w:asciiTheme="minorBidi" w:hAnsiTheme="minorBidi"/>
          <w:sz w:val="24"/>
          <w:szCs w:val="24"/>
        </w:rPr>
        <w:t xml:space="preserve">the decision to transfer pharmacists from PHCs after closing pharmacies in PHCs caused the </w:t>
      </w:r>
      <w:r>
        <w:rPr>
          <w:rFonts w:asciiTheme="minorBidi" w:hAnsiTheme="minorBidi"/>
          <w:sz w:val="24"/>
          <w:szCs w:val="24"/>
        </w:rPr>
        <w:t>HCPs</w:t>
      </w:r>
      <w:r w:rsidRPr="00142BDE">
        <w:rPr>
          <w:rFonts w:asciiTheme="minorBidi" w:hAnsiTheme="minorBidi"/>
          <w:sz w:val="24"/>
          <w:szCs w:val="24"/>
        </w:rPr>
        <w:t xml:space="preserve"> interviewed to be concerned especially in regard to patient safety due to the major changes experienced in primary healthcare. </w:t>
      </w:r>
    </w:p>
    <w:p w14:paraId="1356FF09" w14:textId="77777777" w:rsidR="00821B82" w:rsidRPr="00A91DCF" w:rsidRDefault="00821B82" w:rsidP="00821B82">
      <w:pPr>
        <w:shd w:val="clear" w:color="auto" w:fill="FFFFFF"/>
        <w:spacing w:before="100" w:beforeAutospacing="1" w:after="100" w:afterAutospacing="1" w:line="360" w:lineRule="auto"/>
        <w:jc w:val="both"/>
        <w:rPr>
          <w:rFonts w:asciiTheme="minorBidi" w:hAnsiTheme="minorBidi"/>
          <w:sz w:val="24"/>
          <w:szCs w:val="24"/>
        </w:rPr>
      </w:pPr>
      <w:r w:rsidRPr="00A91DCF">
        <w:rPr>
          <w:rFonts w:asciiTheme="minorBidi" w:hAnsiTheme="minorBidi"/>
          <w:sz w:val="24"/>
          <w:szCs w:val="24"/>
        </w:rPr>
        <w:t xml:space="preserve">In general, most of the participants believed that the pharmacists play important role in patient care, especially in diabetes management, and demanded the return of pharmacists’ role in PHCs due to its potential benefits in patient’s safety and care delivery. However, multiple challenges were mentioned, some related to the healthcare system and others related to the </w:t>
      </w:r>
      <w:r>
        <w:rPr>
          <w:rFonts w:asciiTheme="minorBidi" w:hAnsiTheme="minorBidi"/>
          <w:sz w:val="24"/>
          <w:szCs w:val="24"/>
        </w:rPr>
        <w:t>HCPs</w:t>
      </w:r>
      <w:r w:rsidRPr="00A91DCF">
        <w:rPr>
          <w:rFonts w:asciiTheme="minorBidi" w:hAnsiTheme="minorBidi"/>
          <w:sz w:val="24"/>
          <w:szCs w:val="24"/>
        </w:rPr>
        <w:t xml:space="preserve">. For example, preparing and training pharmacists to provide advanced pharmaceutical care, such as providing </w:t>
      </w:r>
      <w:r>
        <w:rPr>
          <w:rFonts w:asciiTheme="minorBidi" w:hAnsiTheme="minorBidi"/>
          <w:sz w:val="24"/>
          <w:szCs w:val="24"/>
        </w:rPr>
        <w:t>MR</w:t>
      </w:r>
      <w:r w:rsidRPr="00A91DCF">
        <w:rPr>
          <w:rFonts w:asciiTheme="minorBidi" w:hAnsiTheme="minorBidi"/>
          <w:sz w:val="24"/>
          <w:szCs w:val="24"/>
        </w:rPr>
        <w:t xml:space="preserve"> and </w:t>
      </w:r>
      <w:r>
        <w:rPr>
          <w:rFonts w:asciiTheme="minorBidi" w:hAnsiTheme="minorBidi"/>
          <w:sz w:val="24"/>
          <w:szCs w:val="24"/>
        </w:rPr>
        <w:t>MTM</w:t>
      </w:r>
      <w:r w:rsidRPr="00A91DCF">
        <w:rPr>
          <w:rFonts w:asciiTheme="minorBidi" w:hAnsiTheme="minorBidi"/>
          <w:sz w:val="24"/>
          <w:szCs w:val="24"/>
        </w:rPr>
        <w:t xml:space="preserve"> to patients with diabetes requires the support of officials and decision-makers at the highest levels. The 2030 Saudi Vision and the transformation of the health care system is one of the most </w:t>
      </w:r>
      <w:r>
        <w:rPr>
          <w:rFonts w:asciiTheme="minorBidi" w:hAnsiTheme="minorBidi"/>
          <w:sz w:val="24"/>
          <w:szCs w:val="24"/>
        </w:rPr>
        <w:t>facilitator</w:t>
      </w:r>
      <w:r w:rsidRPr="00A91DCF">
        <w:rPr>
          <w:rFonts w:asciiTheme="minorBidi" w:hAnsiTheme="minorBidi"/>
          <w:sz w:val="24"/>
          <w:szCs w:val="24"/>
        </w:rPr>
        <w:t xml:space="preserve"> factors for engaging pharmacists into the diabetes management as part of the primary care team. </w:t>
      </w:r>
      <w:r>
        <w:rPr>
          <w:rFonts w:asciiTheme="minorBidi" w:hAnsiTheme="minorBidi"/>
          <w:sz w:val="24"/>
          <w:szCs w:val="24"/>
        </w:rPr>
        <w:t xml:space="preserve">Because </w:t>
      </w:r>
      <w:r w:rsidRPr="00A91DCF">
        <w:rPr>
          <w:rFonts w:asciiTheme="minorBidi" w:hAnsiTheme="minorBidi"/>
          <w:sz w:val="24"/>
          <w:szCs w:val="24"/>
        </w:rPr>
        <w:t xml:space="preserve">one of the most important goals of the </w:t>
      </w:r>
      <w:r>
        <w:rPr>
          <w:rFonts w:asciiTheme="minorBidi" w:hAnsiTheme="minorBidi"/>
          <w:sz w:val="24"/>
          <w:szCs w:val="24"/>
        </w:rPr>
        <w:t>health transformation strategy is t</w:t>
      </w:r>
      <w:r w:rsidRPr="00A91DCF">
        <w:rPr>
          <w:rFonts w:asciiTheme="minorBidi" w:hAnsiTheme="minorBidi"/>
          <w:sz w:val="24"/>
          <w:szCs w:val="24"/>
        </w:rPr>
        <w:t>ransforming and developing the pharmaceutical care services in primary healthcare settings and expanding pharmacists' role to provide public health services.</w:t>
      </w:r>
    </w:p>
    <w:p w14:paraId="0B82B6CB" w14:textId="070435BE" w:rsidR="00747BE4" w:rsidRDefault="00821B82" w:rsidP="00821B82">
      <w:pPr>
        <w:spacing w:line="360" w:lineRule="auto"/>
        <w:jc w:val="both"/>
        <w:rPr>
          <w:rFonts w:asciiTheme="minorBidi" w:hAnsiTheme="minorBidi"/>
          <w:sz w:val="24"/>
          <w:szCs w:val="24"/>
        </w:rPr>
      </w:pPr>
      <w:r w:rsidRPr="007E0F7C">
        <w:rPr>
          <w:rFonts w:asciiTheme="minorBidi" w:hAnsiTheme="minorBidi"/>
          <w:sz w:val="24"/>
          <w:szCs w:val="24"/>
        </w:rPr>
        <w:t>The next chapter, therefore, moves on to discuss the quantitative and qualitative results and triangulate the results of these two methods.</w:t>
      </w:r>
    </w:p>
    <w:p w14:paraId="478E6243" w14:textId="77777777" w:rsidR="00747BE4" w:rsidRDefault="00747BE4">
      <w:pPr>
        <w:rPr>
          <w:rFonts w:asciiTheme="minorBidi" w:hAnsiTheme="minorBidi"/>
          <w:sz w:val="24"/>
          <w:szCs w:val="24"/>
        </w:rPr>
      </w:pPr>
      <w:r>
        <w:rPr>
          <w:rFonts w:asciiTheme="minorBidi" w:hAnsiTheme="minorBidi"/>
          <w:sz w:val="24"/>
          <w:szCs w:val="24"/>
        </w:rPr>
        <w:br w:type="page"/>
      </w:r>
    </w:p>
    <w:p w14:paraId="3C5C6C92" w14:textId="77777777" w:rsidR="00747BE4" w:rsidRPr="00463E30" w:rsidRDefault="00747BE4" w:rsidP="00747BE4">
      <w:pPr>
        <w:pStyle w:val="Heading1"/>
        <w:numPr>
          <w:ilvl w:val="0"/>
          <w:numId w:val="16"/>
        </w:numPr>
        <w:jc w:val="center"/>
      </w:pPr>
      <w:bookmarkStart w:id="264" w:name="_Toc122626443"/>
      <w:bookmarkStart w:id="265" w:name="_Toc153894208"/>
      <w:r w:rsidRPr="00463E30">
        <w:t>Chapter 7: Discussion and Integration</w:t>
      </w:r>
      <w:r>
        <w:t xml:space="preserve"> </w:t>
      </w:r>
      <w:r w:rsidRPr="00463E30">
        <w:t>of Finding</w:t>
      </w:r>
      <w:bookmarkEnd w:id="264"/>
      <w:bookmarkEnd w:id="265"/>
    </w:p>
    <w:p w14:paraId="40BDFAC6" w14:textId="77777777" w:rsidR="00747BE4" w:rsidRPr="00DC1061" w:rsidRDefault="00747BE4" w:rsidP="00747BE4"/>
    <w:p w14:paraId="534A60AF" w14:textId="77777777" w:rsidR="00747BE4" w:rsidRPr="0078353C" w:rsidRDefault="00747BE4" w:rsidP="00747BE4">
      <w:pPr>
        <w:pStyle w:val="Heading2"/>
        <w:numPr>
          <w:ilvl w:val="1"/>
          <w:numId w:val="16"/>
        </w:numPr>
        <w:spacing w:line="257" w:lineRule="auto"/>
        <w:ind w:left="0" w:firstLine="0"/>
      </w:pPr>
      <w:bookmarkStart w:id="266" w:name="_Toc153894209"/>
      <w:r>
        <w:t>Introduction</w:t>
      </w:r>
      <w:bookmarkEnd w:id="266"/>
    </w:p>
    <w:p w14:paraId="6EDEA9A3" w14:textId="178AC8F1" w:rsidR="00326342" w:rsidRDefault="00747BE4" w:rsidP="00257935">
      <w:pPr>
        <w:spacing w:line="360" w:lineRule="auto"/>
        <w:jc w:val="both"/>
        <w:rPr>
          <w:rFonts w:ascii="Arial" w:hAnsi="Arial" w:cs="Arial"/>
          <w:bCs/>
          <w:sz w:val="24"/>
          <w:szCs w:val="24"/>
        </w:rPr>
      </w:pPr>
      <w:r w:rsidRPr="002B01A7">
        <w:rPr>
          <w:rFonts w:ascii="Arial" w:hAnsi="Arial" w:cs="Arial"/>
          <w:bCs/>
          <w:sz w:val="24"/>
          <w:szCs w:val="24"/>
        </w:rPr>
        <w:t>This chapter presents a discussion and integration of the results of the quantitative and qualitative methods used in this study</w:t>
      </w:r>
      <w:r>
        <w:t xml:space="preserve"> </w:t>
      </w:r>
      <w:r w:rsidRPr="002B01A7">
        <w:rPr>
          <w:rFonts w:ascii="Arial" w:hAnsi="Arial" w:cs="Arial"/>
          <w:bCs/>
          <w:sz w:val="24"/>
          <w:szCs w:val="24"/>
        </w:rPr>
        <w:t xml:space="preserve">and will show how they have achieved and answered the research aims and questions respectively. Findings about </w:t>
      </w:r>
      <w:r w:rsidR="00405348" w:rsidRPr="001E6FED">
        <w:rPr>
          <w:rFonts w:ascii="Arial" w:hAnsi="Arial" w:cs="Arial"/>
          <w:bCs/>
          <w:sz w:val="24"/>
          <w:szCs w:val="24"/>
        </w:rPr>
        <w:t>the role and involvement of pharmacists in diabetes primary care mana</w:t>
      </w:r>
      <w:r w:rsidR="003C2669" w:rsidRPr="001E6FED">
        <w:rPr>
          <w:rFonts w:ascii="Arial" w:hAnsi="Arial" w:cs="Arial"/>
          <w:bCs/>
          <w:sz w:val="24"/>
          <w:szCs w:val="24"/>
        </w:rPr>
        <w:t>gement as well as</w:t>
      </w:r>
      <w:r w:rsidR="00405348" w:rsidRPr="001E6FED">
        <w:rPr>
          <w:rFonts w:ascii="Arial" w:hAnsi="Arial" w:cs="Arial"/>
          <w:bCs/>
          <w:sz w:val="24"/>
          <w:szCs w:val="24"/>
        </w:rPr>
        <w:t xml:space="preserve"> </w:t>
      </w:r>
      <w:r w:rsidRPr="002B01A7">
        <w:rPr>
          <w:rFonts w:ascii="Arial" w:hAnsi="Arial" w:cs="Arial"/>
          <w:bCs/>
          <w:sz w:val="24"/>
          <w:szCs w:val="24"/>
        </w:rPr>
        <w:t xml:space="preserve">the perceptions of </w:t>
      </w:r>
      <w:r>
        <w:rPr>
          <w:rFonts w:ascii="Arial" w:hAnsi="Arial" w:cs="Arial"/>
          <w:bCs/>
          <w:sz w:val="24"/>
          <w:szCs w:val="24"/>
        </w:rPr>
        <w:t>HCPs</w:t>
      </w:r>
      <w:r w:rsidRPr="002B01A7">
        <w:rPr>
          <w:rFonts w:ascii="Arial" w:hAnsi="Arial" w:cs="Arial"/>
          <w:bCs/>
          <w:sz w:val="24"/>
          <w:szCs w:val="24"/>
        </w:rPr>
        <w:t xml:space="preserve"> of the role of pharmacist involvement in diabetes primary care management in </w:t>
      </w:r>
      <w:r>
        <w:rPr>
          <w:rFonts w:ascii="Arial" w:hAnsi="Arial" w:cs="Arial"/>
          <w:bCs/>
          <w:sz w:val="24"/>
          <w:szCs w:val="24"/>
        </w:rPr>
        <w:t>SA</w:t>
      </w:r>
      <w:r w:rsidRPr="002B01A7">
        <w:rPr>
          <w:rFonts w:ascii="Arial" w:hAnsi="Arial" w:cs="Arial"/>
          <w:bCs/>
          <w:sz w:val="24"/>
          <w:szCs w:val="24"/>
        </w:rPr>
        <w:t xml:space="preserve"> and associated facilitators and barriers to adding the pharmacist into the diabetes care team will be summarised and discussed as well as compared to and referenced with the literature. The strengths and limitations of the thesis as a whole will then be presented. The implications of this research on the future provision of diabetes care </w:t>
      </w:r>
      <w:r>
        <w:rPr>
          <w:rFonts w:ascii="Arial" w:hAnsi="Arial" w:cs="Arial"/>
          <w:bCs/>
          <w:sz w:val="24"/>
          <w:szCs w:val="24"/>
        </w:rPr>
        <w:t>in SA</w:t>
      </w:r>
      <w:r w:rsidRPr="002B01A7">
        <w:rPr>
          <w:rFonts w:ascii="Arial" w:hAnsi="Arial" w:cs="Arial"/>
          <w:bCs/>
          <w:sz w:val="24"/>
          <w:szCs w:val="24"/>
        </w:rPr>
        <w:t xml:space="preserve"> will be discussed, followed by providing suggestions and recommendations for future research. Finally, this chapter concludes with important final remarks to summarise the findings and recommendations. </w:t>
      </w:r>
    </w:p>
    <w:p w14:paraId="713A5670" w14:textId="77777777" w:rsidR="00747BE4" w:rsidRDefault="00747BE4" w:rsidP="00747BE4">
      <w:pPr>
        <w:pStyle w:val="Heading2"/>
        <w:numPr>
          <w:ilvl w:val="1"/>
          <w:numId w:val="16"/>
        </w:numPr>
        <w:spacing w:line="257" w:lineRule="auto"/>
        <w:ind w:left="0" w:firstLine="0"/>
      </w:pPr>
      <w:bookmarkStart w:id="267" w:name="_Toc153894210"/>
      <w:r w:rsidRPr="004B4E1D">
        <w:t>Integration of quantitative and qualitative</w:t>
      </w:r>
      <w:r>
        <w:t xml:space="preserve"> findings</w:t>
      </w:r>
      <w:bookmarkEnd w:id="267"/>
      <w:r>
        <w:t xml:space="preserve"> </w:t>
      </w:r>
    </w:p>
    <w:p w14:paraId="6612FC3F" w14:textId="77777777" w:rsidR="00747BE4" w:rsidRDefault="00747BE4" w:rsidP="00747BE4">
      <w:pPr>
        <w:spacing w:line="360" w:lineRule="auto"/>
        <w:jc w:val="both"/>
        <w:rPr>
          <w:rFonts w:ascii="Arial" w:hAnsi="Arial" w:cs="Arial"/>
          <w:color w:val="000000"/>
          <w:sz w:val="24"/>
          <w:szCs w:val="24"/>
          <w:shd w:val="clear" w:color="auto" w:fill="FFFFFF"/>
          <w:lang w:val="en-GB"/>
        </w:rPr>
      </w:pPr>
      <w:r w:rsidRPr="00010A14">
        <w:rPr>
          <w:rFonts w:ascii="Arial" w:hAnsi="Arial" w:cs="Arial"/>
          <w:color w:val="000000"/>
          <w:sz w:val="24"/>
          <w:szCs w:val="24"/>
          <w:shd w:val="clear" w:color="auto" w:fill="FFFFFF"/>
          <w:lang w:val="en-GB"/>
        </w:rPr>
        <w:t xml:space="preserve">Triangulation in mixed methods research generally describes the process of studying a problem/phenomenon using different ways to gain richer detail, insight,  and a complete </w:t>
      </w:r>
      <w:r>
        <w:rPr>
          <w:rFonts w:ascii="Arial" w:hAnsi="Arial" w:cs="Arial"/>
          <w:color w:val="000000"/>
          <w:sz w:val="24"/>
          <w:szCs w:val="24"/>
          <w:shd w:val="clear" w:color="auto" w:fill="FFFFFF"/>
          <w:lang w:val="en-GB"/>
        </w:rPr>
        <w:t>overview</w:t>
      </w:r>
      <w:r w:rsidRPr="00010A14">
        <w:rPr>
          <w:rFonts w:ascii="Arial" w:hAnsi="Arial" w:cs="Arial"/>
          <w:color w:val="000000"/>
          <w:sz w:val="24"/>
          <w:szCs w:val="24"/>
          <w:shd w:val="clear" w:color="auto" w:fill="FFFFFF"/>
          <w:lang w:val="en-GB"/>
        </w:rPr>
        <w:t xml:space="preserve"> of the research topic </w:t>
      </w:r>
      <w:r w:rsidRPr="00010A14">
        <w:rPr>
          <w:rFonts w:ascii="Arial" w:hAnsi="Arial" w:cs="Arial"/>
          <w:color w:val="000000"/>
          <w:sz w:val="24"/>
          <w:szCs w:val="24"/>
          <w:shd w:val="clear" w:color="auto" w:fill="FFFFFF"/>
          <w:lang w:val="en-GB"/>
        </w:rPr>
        <w:fldChar w:fldCharType="begin" w:fldLock="1"/>
      </w:r>
      <w:r>
        <w:rPr>
          <w:rFonts w:ascii="Arial" w:hAnsi="Arial" w:cs="Arial"/>
          <w:color w:val="000000"/>
          <w:sz w:val="24"/>
          <w:szCs w:val="24"/>
          <w:shd w:val="clear" w:color="auto" w:fill="FFFFFF"/>
          <w:lang w:val="en-GB"/>
        </w:rPr>
        <w:instrText>ADDIN CSL_CITATION {"citationItems":[{"id":"ITEM-1","itemData":{"DOI":"10.1136/bmj.c4587","ISSN":"17561833","PMID":"20851841","author":[{"dropping-particle":"","family":"O'Cathain","given":"Alicia","non-dropping-particle":"","parse-names":false,"suffix":""},{"dropping-particle":"","family":"Murphy","given":"Elizabeth","non-dropping-particle":"","parse-names":false,"suffix":""},{"dropping-particle":"","family":"Nicholl","given":"Jon","non-dropping-particle":"","parse-names":false,"suffix":""}],"container-title":"BMJ (Online)","id":"ITEM-1","issue":"7783","issued":{"date-parts":[["2010"]]},"page":"1147-1150","title":"Three techniques for integrating data in mixed methods studies","type":"article-journal","volume":"341"},"uris":["http://www.mendeley.com/documents/?uuid=9e87ee20-f836-4743-9830-5176fa5428e7"]}],"mendeley":{"formattedCitation":"(O’Cathain, Murphy and Nicholl, 2010b)","manualFormatting":"(O’Cathain et al., 2010b)","plainTextFormattedCitation":"(O’Cathain, Murphy and Nicholl, 2010b)","previouslyFormattedCitation":"(O’Cathain, Murphy and Nicholl, 2010b)"},"properties":{"noteIndex":0},"schema":"https://github.com/citation-style-language/schema/raw/master/csl-citation.json"}</w:instrText>
      </w:r>
      <w:r w:rsidRPr="00010A14">
        <w:rPr>
          <w:rFonts w:ascii="Arial" w:hAnsi="Arial" w:cs="Arial"/>
          <w:color w:val="000000"/>
          <w:sz w:val="24"/>
          <w:szCs w:val="24"/>
          <w:shd w:val="clear" w:color="auto" w:fill="FFFFFF"/>
          <w:lang w:val="en-GB"/>
        </w:rPr>
        <w:fldChar w:fldCharType="separate"/>
      </w:r>
      <w:r w:rsidRPr="00010A14">
        <w:rPr>
          <w:rFonts w:ascii="Arial" w:hAnsi="Arial" w:cs="Arial"/>
          <w:noProof/>
          <w:color w:val="000000"/>
          <w:sz w:val="24"/>
          <w:szCs w:val="24"/>
          <w:shd w:val="clear" w:color="auto" w:fill="FFFFFF"/>
          <w:lang w:val="en-GB"/>
        </w:rPr>
        <w:t>(O’Cathain et al., 2010b)</w:t>
      </w:r>
      <w:r w:rsidRPr="00010A14">
        <w:rPr>
          <w:rFonts w:ascii="Arial" w:hAnsi="Arial" w:cs="Arial"/>
          <w:color w:val="000000"/>
          <w:sz w:val="24"/>
          <w:szCs w:val="24"/>
          <w:shd w:val="clear" w:color="auto" w:fill="FFFFFF"/>
          <w:lang w:val="en-GB"/>
        </w:rPr>
        <w:fldChar w:fldCharType="end"/>
      </w:r>
      <w:r w:rsidRPr="00010A14">
        <w:rPr>
          <w:rFonts w:ascii="Arial" w:hAnsi="Arial" w:cs="Arial"/>
          <w:color w:val="000000"/>
          <w:sz w:val="24"/>
          <w:szCs w:val="24"/>
          <w:shd w:val="clear" w:color="auto" w:fill="FFFFFF"/>
          <w:lang w:val="en-GB"/>
        </w:rPr>
        <w:t xml:space="preserve">. Triangulation can be incorporated at different levels of the research process, as discussed in </w:t>
      </w:r>
      <w:r w:rsidRPr="00010A14">
        <w:rPr>
          <w:rFonts w:ascii="Arial" w:hAnsi="Arial" w:cs="Arial"/>
          <w:color w:val="000000"/>
          <w:sz w:val="24"/>
          <w:szCs w:val="24"/>
          <w:shd w:val="clear" w:color="auto" w:fill="FFFFFF"/>
          <w:lang w:val="en-GB"/>
        </w:rPr>
        <w:fldChar w:fldCharType="begin"/>
      </w:r>
      <w:r w:rsidRPr="00010A14">
        <w:rPr>
          <w:rFonts w:ascii="Arial" w:hAnsi="Arial" w:cs="Arial"/>
          <w:color w:val="000000"/>
          <w:sz w:val="24"/>
          <w:szCs w:val="24"/>
          <w:shd w:val="clear" w:color="auto" w:fill="FFFFFF"/>
          <w:lang w:val="en-GB"/>
        </w:rPr>
        <w:instrText xml:space="preserve"> REF _Ref122709922 \r \h </w:instrText>
      </w:r>
      <w:r>
        <w:rPr>
          <w:rFonts w:ascii="Arial" w:hAnsi="Arial" w:cs="Arial"/>
          <w:color w:val="000000"/>
          <w:sz w:val="24"/>
          <w:szCs w:val="24"/>
          <w:shd w:val="clear" w:color="auto" w:fill="FFFFFF"/>
          <w:lang w:val="en-GB"/>
        </w:rPr>
        <w:instrText xml:space="preserve"> \* MERGEFORMAT </w:instrText>
      </w:r>
      <w:r w:rsidRPr="00010A14">
        <w:rPr>
          <w:rFonts w:ascii="Arial" w:hAnsi="Arial" w:cs="Arial"/>
          <w:color w:val="000000"/>
          <w:sz w:val="24"/>
          <w:szCs w:val="24"/>
          <w:shd w:val="clear" w:color="auto" w:fill="FFFFFF"/>
          <w:lang w:val="en-GB"/>
        </w:rPr>
      </w:r>
      <w:r w:rsidRPr="00010A14">
        <w:rPr>
          <w:rFonts w:ascii="Arial" w:hAnsi="Arial" w:cs="Arial"/>
          <w:color w:val="000000"/>
          <w:sz w:val="24"/>
          <w:szCs w:val="24"/>
          <w:shd w:val="clear" w:color="auto" w:fill="FFFFFF"/>
          <w:lang w:val="en-GB"/>
        </w:rPr>
        <w:fldChar w:fldCharType="separate"/>
      </w:r>
      <w:r>
        <w:rPr>
          <w:rFonts w:ascii="Arial" w:hAnsi="Arial" w:cs="Arial"/>
          <w:color w:val="000000"/>
          <w:sz w:val="24"/>
          <w:szCs w:val="24"/>
          <w:shd w:val="clear" w:color="auto" w:fill="FFFFFF"/>
          <w:cs/>
          <w:lang w:val="en-GB"/>
        </w:rPr>
        <w:t>‎</w:t>
      </w:r>
      <w:r w:rsidRPr="004E48AA">
        <w:rPr>
          <w:rFonts w:ascii="Arial" w:hAnsi="Arial" w:cs="Arial"/>
          <w:color w:val="1F3864" w:themeColor="accent1" w:themeShade="80"/>
          <w:sz w:val="24"/>
          <w:szCs w:val="24"/>
          <w:shd w:val="clear" w:color="auto" w:fill="FFFFFF"/>
          <w:lang w:val="en-GB"/>
        </w:rPr>
        <w:t>4.2.13</w:t>
      </w:r>
      <w:r w:rsidRPr="00010A14">
        <w:rPr>
          <w:rFonts w:ascii="Arial" w:hAnsi="Arial" w:cs="Arial"/>
          <w:color w:val="000000"/>
          <w:sz w:val="24"/>
          <w:szCs w:val="24"/>
          <w:shd w:val="clear" w:color="auto" w:fill="FFFFFF"/>
          <w:lang w:val="en-GB"/>
        </w:rPr>
        <w:fldChar w:fldCharType="end"/>
      </w:r>
      <w:r w:rsidRPr="00010A14">
        <w:rPr>
          <w:rFonts w:ascii="Arial" w:hAnsi="Arial" w:cs="Arial"/>
          <w:color w:val="000000"/>
          <w:sz w:val="24"/>
          <w:szCs w:val="24"/>
          <w:shd w:val="clear" w:color="auto" w:fill="FFFFFF"/>
          <w:lang w:val="en-GB"/>
        </w:rPr>
        <w:t>. This chapter presents the connection between the quantitative and qualitative phases by following a sequential integration approach (See</w:t>
      </w:r>
      <w:r w:rsidRPr="00010A14">
        <w:rPr>
          <w:rFonts w:ascii="Arial" w:hAnsi="Arial" w:cs="Arial"/>
          <w:color w:val="1F3864" w:themeColor="accent1" w:themeShade="80"/>
          <w:sz w:val="24"/>
          <w:szCs w:val="24"/>
          <w:shd w:val="clear" w:color="auto" w:fill="FFFFFF"/>
          <w:lang w:val="en-GB"/>
        </w:rPr>
        <w:t xml:space="preserve"> </w:t>
      </w:r>
      <w:r>
        <w:rPr>
          <w:rFonts w:ascii="Arial" w:hAnsi="Arial" w:cs="Arial"/>
          <w:color w:val="1F3864" w:themeColor="accent1" w:themeShade="80"/>
          <w:sz w:val="24"/>
          <w:szCs w:val="24"/>
          <w:shd w:val="clear" w:color="auto" w:fill="FFFFFF"/>
          <w:lang w:val="en-GB"/>
        </w:rPr>
        <w:fldChar w:fldCharType="begin"/>
      </w:r>
      <w:r>
        <w:rPr>
          <w:rFonts w:ascii="Arial" w:hAnsi="Arial" w:cs="Arial"/>
          <w:color w:val="1F3864" w:themeColor="accent1" w:themeShade="80"/>
          <w:sz w:val="24"/>
          <w:szCs w:val="24"/>
          <w:shd w:val="clear" w:color="auto" w:fill="FFFFFF"/>
          <w:lang w:val="en-GB"/>
        </w:rPr>
        <w:instrText xml:space="preserve"> REF _Ref122710724 \n \h </w:instrText>
      </w:r>
      <w:r>
        <w:rPr>
          <w:rFonts w:ascii="Arial" w:hAnsi="Arial" w:cs="Arial"/>
          <w:color w:val="1F3864" w:themeColor="accent1" w:themeShade="80"/>
          <w:sz w:val="24"/>
          <w:szCs w:val="24"/>
          <w:shd w:val="clear" w:color="auto" w:fill="FFFFFF"/>
          <w:lang w:val="en-GB"/>
        </w:rPr>
      </w:r>
      <w:r>
        <w:rPr>
          <w:rFonts w:ascii="Arial" w:hAnsi="Arial" w:cs="Arial"/>
          <w:color w:val="1F3864" w:themeColor="accent1" w:themeShade="80"/>
          <w:sz w:val="24"/>
          <w:szCs w:val="24"/>
          <w:shd w:val="clear" w:color="auto" w:fill="FFFFFF"/>
          <w:lang w:val="en-GB"/>
        </w:rPr>
        <w:fldChar w:fldCharType="separate"/>
      </w:r>
      <w:r>
        <w:rPr>
          <w:rFonts w:ascii="Arial" w:hAnsi="Arial" w:cs="Arial"/>
          <w:color w:val="1F3864" w:themeColor="accent1" w:themeShade="80"/>
          <w:sz w:val="24"/>
          <w:szCs w:val="24"/>
          <w:shd w:val="clear" w:color="auto" w:fill="FFFFFF"/>
          <w:cs/>
          <w:lang w:val="en-GB"/>
        </w:rPr>
        <w:t>‎</w:t>
      </w:r>
      <w:r>
        <w:rPr>
          <w:rFonts w:ascii="Arial" w:hAnsi="Arial" w:cs="Arial"/>
          <w:color w:val="1F3864" w:themeColor="accent1" w:themeShade="80"/>
          <w:sz w:val="24"/>
          <w:szCs w:val="24"/>
          <w:shd w:val="clear" w:color="auto" w:fill="FFFFFF"/>
          <w:lang w:val="en-GB"/>
        </w:rPr>
        <w:t>4.2.13.1</w:t>
      </w:r>
      <w:r>
        <w:rPr>
          <w:rFonts w:ascii="Arial" w:hAnsi="Arial" w:cs="Arial"/>
          <w:color w:val="1F3864" w:themeColor="accent1" w:themeShade="80"/>
          <w:sz w:val="24"/>
          <w:szCs w:val="24"/>
          <w:shd w:val="clear" w:color="auto" w:fill="FFFFFF"/>
          <w:lang w:val="en-GB"/>
        </w:rPr>
        <w:fldChar w:fldCharType="end"/>
      </w:r>
      <w:r>
        <w:rPr>
          <w:rFonts w:ascii="Arial" w:hAnsi="Arial" w:cs="Arial"/>
          <w:color w:val="1F3864" w:themeColor="accent1" w:themeShade="80"/>
          <w:sz w:val="24"/>
          <w:szCs w:val="24"/>
          <w:shd w:val="clear" w:color="auto" w:fill="FFFFFF"/>
          <w:lang w:val="en-GB"/>
        </w:rPr>
        <w:t>)</w:t>
      </w:r>
      <w:r>
        <w:rPr>
          <w:rFonts w:ascii="Arial" w:hAnsi="Arial" w:cs="Arial"/>
          <w:color w:val="000000"/>
          <w:sz w:val="24"/>
          <w:szCs w:val="24"/>
          <w:shd w:val="clear" w:color="auto" w:fill="FFFFFF"/>
          <w:lang w:val="en-GB"/>
        </w:rPr>
        <w:t>.</w:t>
      </w:r>
      <w:r w:rsidRPr="00EA3906">
        <w:rPr>
          <w:rFonts w:ascii="Arial" w:hAnsi="Arial" w:cs="Arial"/>
          <w:color w:val="000000"/>
          <w:sz w:val="24"/>
          <w:szCs w:val="24"/>
          <w:shd w:val="clear" w:color="auto" w:fill="FFFFFF"/>
          <w:lang w:val="en-GB"/>
        </w:rPr>
        <w:t xml:space="preserve"> The integration of findings is presented by each research questions; </w:t>
      </w:r>
      <w:r w:rsidRPr="00010A14">
        <w:rPr>
          <w:rFonts w:ascii="Arial" w:hAnsi="Arial" w:cs="Arial"/>
          <w:color w:val="000000"/>
          <w:sz w:val="24"/>
          <w:szCs w:val="24"/>
          <w:shd w:val="clear" w:color="auto" w:fill="FFFFFF"/>
          <w:lang w:val="en-GB"/>
        </w:rPr>
        <w:t xml:space="preserve">it brings together the statistical results from the quantitative methods and the findings of the qualitative interviews. This chapter aims to better understand the research topic, as integrating </w:t>
      </w:r>
      <w:r>
        <w:rPr>
          <w:rFonts w:ascii="Arial" w:hAnsi="Arial" w:cs="Arial"/>
          <w:color w:val="000000"/>
          <w:sz w:val="24"/>
          <w:szCs w:val="24"/>
          <w:shd w:val="clear" w:color="auto" w:fill="FFFFFF"/>
          <w:lang w:val="en-GB"/>
        </w:rPr>
        <w:t>perspectives</w:t>
      </w:r>
      <w:r w:rsidRPr="00010A14">
        <w:rPr>
          <w:rFonts w:ascii="Arial" w:hAnsi="Arial" w:cs="Arial"/>
          <w:color w:val="000000"/>
          <w:sz w:val="24"/>
          <w:szCs w:val="24"/>
          <w:shd w:val="clear" w:color="auto" w:fill="FFFFFF"/>
          <w:lang w:val="en-GB"/>
        </w:rPr>
        <w:t xml:space="preserve"> from different approaches could generate new findings </w:t>
      </w:r>
      <w:r w:rsidRPr="00010A14">
        <w:rPr>
          <w:rFonts w:ascii="Arial" w:hAnsi="Arial" w:cs="Arial"/>
          <w:color w:val="000000"/>
          <w:sz w:val="24"/>
          <w:szCs w:val="24"/>
          <w:shd w:val="clear" w:color="auto" w:fill="FFFFFF"/>
          <w:lang w:val="en-GB"/>
        </w:rPr>
        <w:fldChar w:fldCharType="begin" w:fldLock="1"/>
      </w:r>
      <w:r>
        <w:rPr>
          <w:rFonts w:ascii="Arial" w:hAnsi="Arial" w:cs="Arial"/>
          <w:color w:val="000000"/>
          <w:sz w:val="24"/>
          <w:szCs w:val="24"/>
          <w:shd w:val="clear" w:color="auto" w:fill="FFFFFF"/>
          <w:lang w:val="en-GB"/>
        </w:rPr>
        <w:instrText>ADDIN CSL_CITATION {"citationItems":[{"id":"ITEM-1","itemData":{"DOI":"10.1136/bmj.c4587","ISSN":"17561833","PMID":"20851841","author":[{"dropping-particle":"","family":"O'Cathain","given":"Alicia","non-dropping-particle":"","parse-names":false,"suffix":""},{"dropping-particle":"","family":"Murphy","given":"Elizabeth","non-dropping-particle":"","parse-names":false,"suffix":""},{"dropping-particle":"","family":"Nicholl","given":"Jon","non-dropping-particle":"","parse-names":false,"suffix":""}],"container-title":"BMJ (Online)","id":"ITEM-1","issue":"7783","issued":{"date-parts":[["2010"]]},"page":"1147-1150","title":"Three techniques for integrating data in mixed methods studies","type":"article-journal","volume":"341"},"uris":["http://www.mendeley.com/documents/?uuid=9e87ee20-f836-4743-9830-5176fa5428e7"]}],"mendeley":{"formattedCitation":"(O’Cathain, Murphy and Nicholl, 2010b)","manualFormatting":"(O’Cathain et al., 2010b)","plainTextFormattedCitation":"(O’Cathain, Murphy and Nicholl, 2010b)","previouslyFormattedCitation":"(O’Cathain, Murphy and Nicholl, 2010b)"},"properties":{"noteIndex":0},"schema":"https://github.com/citation-style-language/schema/raw/master/csl-citation.json"}</w:instrText>
      </w:r>
      <w:r w:rsidRPr="00010A14">
        <w:rPr>
          <w:rFonts w:ascii="Arial" w:hAnsi="Arial" w:cs="Arial"/>
          <w:color w:val="000000"/>
          <w:sz w:val="24"/>
          <w:szCs w:val="24"/>
          <w:shd w:val="clear" w:color="auto" w:fill="FFFFFF"/>
          <w:lang w:val="en-GB"/>
        </w:rPr>
        <w:fldChar w:fldCharType="separate"/>
      </w:r>
      <w:r w:rsidRPr="00010A14">
        <w:rPr>
          <w:rFonts w:ascii="Arial" w:hAnsi="Arial" w:cs="Arial"/>
          <w:noProof/>
          <w:color w:val="000000"/>
          <w:sz w:val="24"/>
          <w:szCs w:val="24"/>
          <w:shd w:val="clear" w:color="auto" w:fill="FFFFFF"/>
          <w:lang w:val="en-GB"/>
        </w:rPr>
        <w:t>(O’Cathain et al., 2010b)</w:t>
      </w:r>
      <w:r w:rsidRPr="00010A14">
        <w:rPr>
          <w:rFonts w:ascii="Arial" w:hAnsi="Arial" w:cs="Arial"/>
          <w:color w:val="000000"/>
          <w:sz w:val="24"/>
          <w:szCs w:val="24"/>
          <w:shd w:val="clear" w:color="auto" w:fill="FFFFFF"/>
          <w:lang w:val="en-GB"/>
        </w:rPr>
        <w:fldChar w:fldCharType="end"/>
      </w:r>
      <w:r w:rsidRPr="00010A14">
        <w:rPr>
          <w:rFonts w:ascii="Arial" w:hAnsi="Arial" w:cs="Arial"/>
          <w:color w:val="000000"/>
          <w:sz w:val="24"/>
          <w:szCs w:val="24"/>
          <w:shd w:val="clear" w:color="auto" w:fill="FFFFFF"/>
          <w:lang w:val="en-GB"/>
        </w:rPr>
        <w:t>.</w:t>
      </w:r>
      <w:r>
        <w:rPr>
          <w:rFonts w:ascii="Arial" w:hAnsi="Arial" w:cs="Arial"/>
          <w:color w:val="000000"/>
          <w:sz w:val="24"/>
          <w:szCs w:val="24"/>
          <w:shd w:val="clear" w:color="auto" w:fill="FFFFFF"/>
          <w:lang w:val="en-GB"/>
        </w:rPr>
        <w:t xml:space="preserve"> </w:t>
      </w:r>
    </w:p>
    <w:p w14:paraId="0163FCF1" w14:textId="77777777" w:rsidR="00747BE4" w:rsidRDefault="00747BE4" w:rsidP="00747BE4">
      <w:pPr>
        <w:spacing w:line="360" w:lineRule="auto"/>
        <w:jc w:val="both"/>
        <w:rPr>
          <w:rFonts w:asciiTheme="minorBidi" w:hAnsiTheme="minorBidi"/>
          <w:sz w:val="24"/>
          <w:szCs w:val="24"/>
          <w:lang w:val="en-GB"/>
        </w:rPr>
      </w:pPr>
      <w:r w:rsidRPr="00EA3906">
        <w:rPr>
          <w:rFonts w:ascii="Arial" w:hAnsi="Arial" w:cs="Arial"/>
          <w:color w:val="000000"/>
          <w:sz w:val="24"/>
          <w:szCs w:val="24"/>
          <w:shd w:val="clear" w:color="auto" w:fill="FFFFFF"/>
          <w:lang w:val="en-GB"/>
        </w:rPr>
        <w:t xml:space="preserve">The integration findings were reported using themes and subthemes. </w:t>
      </w:r>
      <w:r w:rsidRPr="00CF470F">
        <w:rPr>
          <w:rFonts w:ascii="Arial" w:hAnsi="Arial" w:cs="Arial"/>
          <w:color w:val="000000"/>
          <w:sz w:val="24"/>
          <w:szCs w:val="24"/>
          <w:shd w:val="clear" w:color="auto" w:fill="FFFFFF"/>
          <w:lang w:val="en-GB"/>
        </w:rPr>
        <w:t>The connection between the quantitative and qualitative phases was made via reporting the results that were similar, contradictory</w:t>
      </w:r>
      <w:r>
        <w:rPr>
          <w:rFonts w:ascii="Arial" w:hAnsi="Arial" w:cs="Arial"/>
          <w:color w:val="000000"/>
          <w:sz w:val="24"/>
          <w:szCs w:val="24"/>
          <w:shd w:val="clear" w:color="auto" w:fill="FFFFFF"/>
          <w:lang w:val="en-GB"/>
        </w:rPr>
        <w:t xml:space="preserve"> or </w:t>
      </w:r>
      <w:r w:rsidRPr="00CF470F">
        <w:rPr>
          <w:rFonts w:ascii="Arial" w:hAnsi="Arial" w:cs="Arial"/>
          <w:color w:val="000000"/>
          <w:sz w:val="24"/>
          <w:szCs w:val="24"/>
          <w:shd w:val="clear" w:color="auto" w:fill="FFFFFF"/>
          <w:lang w:val="en-GB"/>
        </w:rPr>
        <w:t>unusual, then providing the best explanation of those specific results</w:t>
      </w:r>
      <w:r>
        <w:rPr>
          <w:rFonts w:ascii="Arial" w:hAnsi="Arial" w:cs="Arial"/>
          <w:color w:val="000000"/>
          <w:sz w:val="24"/>
          <w:szCs w:val="24"/>
          <w:shd w:val="clear" w:color="auto" w:fill="FFFFFF"/>
          <w:lang w:val="en-GB"/>
        </w:rPr>
        <w:t xml:space="preserve">. </w:t>
      </w:r>
      <w:r>
        <w:rPr>
          <w:rFonts w:asciiTheme="minorBidi" w:hAnsiTheme="minorBidi"/>
          <w:color w:val="000000"/>
          <w:sz w:val="24"/>
          <w:szCs w:val="24"/>
          <w:shd w:val="clear" w:color="auto" w:fill="FFFFFF"/>
          <w:lang w:val="en-GB"/>
        </w:rPr>
        <w:t xml:space="preserve">The integration of the results </w:t>
      </w:r>
      <w:r>
        <w:rPr>
          <w:rFonts w:asciiTheme="minorBidi" w:hAnsiTheme="minorBidi"/>
          <w:sz w:val="24"/>
          <w:szCs w:val="24"/>
          <w:lang w:val="en-GB"/>
        </w:rPr>
        <w:t xml:space="preserve">enabled a better understanding of current practice, identification of </w:t>
      </w:r>
      <w:r>
        <w:rPr>
          <w:rFonts w:asciiTheme="minorBidi" w:hAnsiTheme="minorBidi"/>
          <w:sz w:val="24"/>
          <w:szCs w:val="24"/>
        </w:rPr>
        <w:t>the gap between the current practice and the practice needs in diabetes care</w:t>
      </w:r>
      <w:r>
        <w:rPr>
          <w:rFonts w:asciiTheme="minorBidi" w:hAnsiTheme="minorBidi"/>
          <w:sz w:val="24"/>
          <w:szCs w:val="24"/>
          <w:lang w:val="en-GB"/>
        </w:rPr>
        <w:t xml:space="preserve"> and what is required for optimal service and inter-professional collaboration.</w:t>
      </w:r>
    </w:p>
    <w:p w14:paraId="73EB6D48" w14:textId="77777777" w:rsidR="00747BE4" w:rsidRDefault="00747BE4" w:rsidP="00747BE4">
      <w:pPr>
        <w:spacing w:line="360" w:lineRule="auto"/>
        <w:jc w:val="both"/>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Four key themes constructed from the integration phase: the relevance of primary care pharmacy and diabetes care, supportive attitudes and views on pharmacists’ involvement in diabetes primary care management, challenges to pharmacists’ involvement in diabetes management and proposed solutions, and involving pharmacists in diabetes management in line with the transformation of the Saudi MoH. These themes will be presented and discussed below. </w:t>
      </w:r>
    </w:p>
    <w:p w14:paraId="29CC6B27" w14:textId="77777777" w:rsidR="00747BE4" w:rsidRPr="00926D9A" w:rsidRDefault="00747BE4" w:rsidP="00747BE4">
      <w:pPr>
        <w:spacing w:line="360" w:lineRule="auto"/>
        <w:jc w:val="both"/>
        <w:rPr>
          <w:rFonts w:ascii="Arial" w:hAnsi="Arial" w:cs="Arial"/>
          <w:color w:val="000000"/>
          <w:sz w:val="24"/>
          <w:szCs w:val="24"/>
          <w:shd w:val="clear" w:color="auto" w:fill="FFFFFF"/>
          <w:lang w:val="en-GB"/>
        </w:rPr>
      </w:pPr>
      <w:r>
        <w:rPr>
          <w:rFonts w:ascii="Arial" w:hAnsi="Arial" w:cs="Arial"/>
          <w:color w:val="000000"/>
          <w:sz w:val="24"/>
          <w:szCs w:val="24"/>
          <w:shd w:val="clear" w:color="auto" w:fill="FFFFFF"/>
          <w:lang w:val="en-GB"/>
        </w:rPr>
        <w:t xml:space="preserve"> </w:t>
      </w:r>
    </w:p>
    <w:p w14:paraId="22379043" w14:textId="77777777" w:rsidR="00747BE4" w:rsidRPr="00ED6B99" w:rsidRDefault="00747BE4" w:rsidP="00747BE4">
      <w:pPr>
        <w:pStyle w:val="Heading3"/>
        <w:numPr>
          <w:ilvl w:val="0"/>
          <w:numId w:val="0"/>
        </w:numPr>
        <w:tabs>
          <w:tab w:val="left" w:pos="900"/>
        </w:tabs>
        <w:spacing w:line="257" w:lineRule="auto"/>
      </w:pPr>
      <w:bookmarkStart w:id="268" w:name="_Toc153894211"/>
      <w:r>
        <w:t>7.2.1.</w:t>
      </w:r>
      <w:r w:rsidRPr="00ED6B99">
        <w:t xml:space="preserve"> The relevance of primary care pharmacy practice and diabetes care</w:t>
      </w:r>
      <w:bookmarkEnd w:id="268"/>
    </w:p>
    <w:p w14:paraId="48A60CB1" w14:textId="685ED6CB" w:rsidR="00747BE4" w:rsidRPr="00F022FC" w:rsidRDefault="00747BE4" w:rsidP="00747BE4">
      <w:pPr>
        <w:spacing w:line="360" w:lineRule="auto"/>
        <w:jc w:val="both"/>
        <w:rPr>
          <w:rFonts w:asciiTheme="minorBidi" w:hAnsiTheme="minorBidi"/>
          <w:sz w:val="24"/>
          <w:szCs w:val="24"/>
          <w:shd w:val="clear" w:color="auto" w:fill="FFFFFF"/>
        </w:rPr>
      </w:pPr>
      <w:r w:rsidRPr="00F022FC">
        <w:rPr>
          <w:rFonts w:asciiTheme="minorBidi" w:hAnsiTheme="minorBidi"/>
          <w:sz w:val="24"/>
          <w:szCs w:val="24"/>
          <w:shd w:val="clear" w:color="auto" w:fill="FFFFFF"/>
        </w:rPr>
        <w:t xml:space="preserve">With respect to the research question about the current activities primary care pharmacists in SA provide for patients with diabetes, it was found that pharmacists do not currently actively contribute to such patients’ care at the primary level. Pharmacists have been transferred from PHCs after closing PHC’s pharmacies. Now, patients receive their medication from retail community pharmacies (see </w:t>
      </w:r>
      <w:r w:rsidRPr="00F022FC">
        <w:rPr>
          <w:rFonts w:asciiTheme="minorBidi" w:hAnsiTheme="minorBidi"/>
          <w:color w:val="1F3864" w:themeColor="accent1" w:themeShade="80"/>
          <w:sz w:val="24"/>
          <w:szCs w:val="24"/>
          <w:shd w:val="clear" w:color="auto" w:fill="FFFFFF"/>
        </w:rPr>
        <w:fldChar w:fldCharType="begin"/>
      </w:r>
      <w:r w:rsidRPr="00F022FC">
        <w:rPr>
          <w:rFonts w:asciiTheme="minorBidi" w:hAnsiTheme="minorBidi"/>
          <w:color w:val="1F3864" w:themeColor="accent1" w:themeShade="80"/>
          <w:sz w:val="24"/>
          <w:szCs w:val="24"/>
          <w:shd w:val="clear" w:color="auto" w:fill="FFFFFF"/>
        </w:rPr>
        <w:instrText xml:space="preserve"> REF _Ref124816462 \h  \* MERGEFORMAT </w:instrText>
      </w:r>
      <w:r w:rsidRPr="00F022FC">
        <w:rPr>
          <w:rFonts w:asciiTheme="minorBidi" w:hAnsiTheme="minorBidi"/>
          <w:color w:val="1F3864" w:themeColor="accent1" w:themeShade="80"/>
          <w:sz w:val="24"/>
          <w:szCs w:val="24"/>
          <w:shd w:val="clear" w:color="auto" w:fill="FFFFFF"/>
        </w:rPr>
      </w:r>
      <w:r w:rsidRPr="00F022FC">
        <w:rPr>
          <w:rFonts w:asciiTheme="minorBidi" w:hAnsiTheme="minorBidi"/>
          <w:color w:val="1F3864" w:themeColor="accent1" w:themeShade="80"/>
          <w:sz w:val="24"/>
          <w:szCs w:val="24"/>
          <w:shd w:val="clear" w:color="auto" w:fill="FFFFFF"/>
        </w:rPr>
        <w:fldChar w:fldCharType="separate"/>
      </w:r>
      <w:r w:rsidR="00B734DA" w:rsidRPr="00B734DA">
        <w:rPr>
          <w:rFonts w:asciiTheme="minorBidi" w:hAnsiTheme="minorBidi"/>
          <w:color w:val="1F3864" w:themeColor="accent1" w:themeShade="80"/>
          <w:sz w:val="24"/>
          <w:szCs w:val="24"/>
          <w:shd w:val="clear" w:color="auto" w:fill="FFFFFF"/>
        </w:rPr>
        <w:t>Table 28</w:t>
      </w:r>
      <w:r w:rsidRPr="00F022FC">
        <w:rPr>
          <w:rFonts w:asciiTheme="minorBidi" w:hAnsiTheme="minorBidi"/>
          <w:color w:val="1F3864" w:themeColor="accent1" w:themeShade="80"/>
          <w:sz w:val="24"/>
          <w:szCs w:val="24"/>
          <w:shd w:val="clear" w:color="auto" w:fill="FFFFFF"/>
        </w:rPr>
        <w:fldChar w:fldCharType="end"/>
      </w:r>
      <w:r w:rsidRPr="00F022FC">
        <w:rPr>
          <w:rFonts w:asciiTheme="minorBidi" w:hAnsiTheme="minorBidi"/>
          <w:color w:val="1F3864" w:themeColor="accent1" w:themeShade="80"/>
          <w:sz w:val="24"/>
          <w:szCs w:val="24"/>
          <w:shd w:val="clear" w:color="auto" w:fill="FFFFFF"/>
        </w:rPr>
        <w:t>)</w:t>
      </w:r>
      <w:r w:rsidRPr="00F022FC">
        <w:rPr>
          <w:rFonts w:asciiTheme="minorBidi" w:hAnsiTheme="minorBidi"/>
          <w:sz w:val="24"/>
          <w:szCs w:val="24"/>
          <w:shd w:val="clear" w:color="auto" w:fill="FFFFFF"/>
        </w:rPr>
        <w:t xml:space="preserve">. </w:t>
      </w:r>
    </w:p>
    <w:p w14:paraId="2541BE8A" w14:textId="77777777" w:rsidR="00747BE4" w:rsidRDefault="00747BE4" w:rsidP="00747BE4">
      <w:pPr>
        <w:spacing w:line="360" w:lineRule="auto"/>
        <w:jc w:val="both"/>
        <w:rPr>
          <w:rFonts w:asciiTheme="minorBidi" w:hAnsiTheme="minorBidi"/>
          <w:sz w:val="24"/>
          <w:szCs w:val="24"/>
          <w:shd w:val="clear" w:color="auto" w:fill="FFFFFF"/>
        </w:rPr>
      </w:pPr>
      <w:r>
        <w:rPr>
          <w:rFonts w:asciiTheme="minorBidi" w:hAnsiTheme="minorBidi"/>
          <w:sz w:val="24"/>
          <w:szCs w:val="24"/>
          <w:shd w:val="clear" w:color="auto" w:fill="FFFFFF"/>
        </w:rPr>
        <w:t xml:space="preserve">A key emerging theme in this research was the primary care setting. In one sense this was already a focus but it was apparent that the overall focus on pharmacist’s role in diabetes care needed to be understood first in the context of the shifting situation in primary care. The research findings provide </w:t>
      </w:r>
      <w:r w:rsidRPr="00266550">
        <w:rPr>
          <w:rFonts w:asciiTheme="minorBidi" w:hAnsiTheme="minorBidi"/>
          <w:sz w:val="24"/>
          <w:szCs w:val="24"/>
          <w:shd w:val="clear" w:color="auto" w:fill="FFFFFF"/>
        </w:rPr>
        <w:t>important insights into current changes in the PHCs service.</w:t>
      </w:r>
      <w:r>
        <w:rPr>
          <w:rFonts w:asciiTheme="minorBidi" w:hAnsiTheme="minorBidi"/>
          <w:sz w:val="24"/>
          <w:szCs w:val="24"/>
          <w:shd w:val="clear" w:color="auto" w:fill="FFFFFF"/>
        </w:rPr>
        <w:t xml:space="preserve"> </w:t>
      </w:r>
      <w:r w:rsidRPr="003254CE">
        <w:rPr>
          <w:rFonts w:asciiTheme="minorBidi" w:hAnsiTheme="minorBidi"/>
          <w:sz w:val="24"/>
          <w:szCs w:val="24"/>
          <w:shd w:val="clear" w:color="auto" w:fill="FFFFFF"/>
        </w:rPr>
        <w:t xml:space="preserve">Recently, pharmacies in PHCs </w:t>
      </w:r>
      <w:r>
        <w:rPr>
          <w:rFonts w:asciiTheme="minorBidi" w:hAnsiTheme="minorBidi"/>
          <w:sz w:val="24"/>
          <w:szCs w:val="24"/>
          <w:shd w:val="clear" w:color="auto" w:fill="FFFFFF"/>
        </w:rPr>
        <w:t xml:space="preserve">in SA </w:t>
      </w:r>
      <w:r w:rsidRPr="003254CE">
        <w:rPr>
          <w:rFonts w:asciiTheme="minorBidi" w:hAnsiTheme="minorBidi"/>
          <w:sz w:val="24"/>
          <w:szCs w:val="24"/>
          <w:shd w:val="clear" w:color="auto" w:fill="FFFFFF"/>
        </w:rPr>
        <w:t>have been closed</w:t>
      </w:r>
      <w:r>
        <w:rPr>
          <w:rFonts w:asciiTheme="minorBidi" w:hAnsiTheme="minorBidi"/>
          <w:sz w:val="24"/>
          <w:szCs w:val="24"/>
          <w:shd w:val="clear" w:color="auto" w:fill="FFFFFF"/>
        </w:rPr>
        <w:t xml:space="preserve"> down</w:t>
      </w:r>
      <w:r w:rsidRPr="003254CE">
        <w:rPr>
          <w:rFonts w:asciiTheme="minorBidi" w:hAnsiTheme="minorBidi"/>
          <w:sz w:val="24"/>
          <w:szCs w:val="24"/>
          <w:shd w:val="clear" w:color="auto" w:fill="FFFFFF"/>
        </w:rPr>
        <w:t>, and pharmacists have been moved to other healthcare settings</w:t>
      </w:r>
      <w:r>
        <w:rPr>
          <w:rFonts w:asciiTheme="minorBidi" w:hAnsiTheme="minorBidi"/>
          <w:sz w:val="24"/>
          <w:szCs w:val="24"/>
          <w:shd w:val="clear" w:color="auto" w:fill="FFFFFF"/>
        </w:rPr>
        <w:t>, mostly hospitals</w:t>
      </w:r>
      <w:r w:rsidRPr="003254CE">
        <w:rPr>
          <w:rFonts w:asciiTheme="minorBidi" w:hAnsiTheme="minorBidi"/>
          <w:sz w:val="24"/>
          <w:szCs w:val="24"/>
          <w:shd w:val="clear" w:color="auto" w:fill="FFFFFF"/>
        </w:rPr>
        <w:t xml:space="preserve">; as a result, there are currently no pharmacists on the diabetes care team. </w:t>
      </w:r>
      <w:r w:rsidRPr="00266550">
        <w:rPr>
          <w:rFonts w:asciiTheme="minorBidi" w:hAnsiTheme="minorBidi"/>
          <w:sz w:val="24"/>
          <w:szCs w:val="24"/>
          <w:shd w:val="clear" w:color="auto" w:fill="FFFFFF"/>
        </w:rPr>
        <w:t xml:space="preserve">This finding is contrary of what </w:t>
      </w:r>
      <w:r>
        <w:rPr>
          <w:rFonts w:asciiTheme="minorBidi" w:hAnsiTheme="minorBidi"/>
          <w:sz w:val="24"/>
          <w:szCs w:val="24"/>
          <w:shd w:val="clear" w:color="auto" w:fill="FFFFFF"/>
        </w:rPr>
        <w:t xml:space="preserve">is </w:t>
      </w:r>
      <w:r w:rsidRPr="00266550">
        <w:rPr>
          <w:rFonts w:asciiTheme="minorBidi" w:hAnsiTheme="minorBidi"/>
          <w:sz w:val="24"/>
          <w:szCs w:val="24"/>
          <w:shd w:val="clear" w:color="auto" w:fill="FFFFFF"/>
        </w:rPr>
        <w:t xml:space="preserve">reported by </w:t>
      </w:r>
      <w:r w:rsidRPr="00266550">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{"citationItems":[{"id":"ITEM-1","itemData":{"DOI":"10.5530/jppcm.2017.3.40","author":[{"dropping-particle":"","family":"Alomi","given":"Yousef Ahmed","non-dropping-particle":"","parse-names":false,"suffix":""}],"container-title":"Journal of Pharmacy Practice and Community Medicine","id":"ITEM-1","issue":"3","issued":{"date-parts":[["2017"]]},"page":"194-196","title":"New Pharmacy Model for Vision 2030 in Saudi Arabia","type":"article-journal","volume":"3"},"uris":["http://www.mendeley.com/documents/?uuid=052cc1bf-6e7d-4fdc-a5cd-783b51865f08"]}],"mendeley":{"formattedCitation":"(Alomi, 2017)","manualFormatting":"Alomi, (2017)","plainTextFormattedCitation":"(Alomi, 2017)","previouslyFormattedCitation":"(Alomi, 2017)"},"properties":{"noteIndex":0},"schema":"https://github.com/citation-style-language/schema/raw/master/csl-citation.json"}</w:instrText>
      </w:r>
      <w:r w:rsidRPr="00266550">
        <w:rPr>
          <w:rFonts w:asciiTheme="minorBidi" w:hAnsiTheme="minorBidi"/>
          <w:sz w:val="24"/>
          <w:szCs w:val="24"/>
          <w:shd w:val="clear" w:color="auto" w:fill="FFFFFF"/>
        </w:rPr>
        <w:fldChar w:fldCharType="separate"/>
      </w:r>
      <w:r w:rsidRPr="00266550">
        <w:rPr>
          <w:rFonts w:asciiTheme="minorBidi" w:hAnsiTheme="minorBidi"/>
          <w:noProof/>
          <w:sz w:val="24"/>
          <w:szCs w:val="24"/>
          <w:shd w:val="clear" w:color="auto" w:fill="FFFFFF"/>
        </w:rPr>
        <w:t>Alomi, (2017)</w:t>
      </w:r>
      <w:r w:rsidRPr="00266550">
        <w:rPr>
          <w:rFonts w:asciiTheme="minorBidi" w:hAnsiTheme="minorBidi"/>
          <w:sz w:val="24"/>
          <w:szCs w:val="24"/>
          <w:shd w:val="clear" w:color="auto" w:fill="FFFFFF"/>
        </w:rPr>
        <w:fldChar w:fldCharType="end"/>
      </w:r>
      <w:r w:rsidRPr="00266550">
        <w:rPr>
          <w:rFonts w:asciiTheme="minorBidi" w:hAnsiTheme="minorBidi"/>
          <w:sz w:val="24"/>
          <w:szCs w:val="24"/>
          <w:shd w:val="clear" w:color="auto" w:fill="FFFFFF"/>
        </w:rPr>
        <w:t xml:space="preserve">, </w:t>
      </w:r>
    </w:p>
    <w:p w14:paraId="66377E9C" w14:textId="77777777" w:rsidR="00747BE4" w:rsidRDefault="00747BE4" w:rsidP="00747BE4">
      <w:pPr>
        <w:tabs>
          <w:tab w:val="left" w:pos="450"/>
        </w:tabs>
        <w:spacing w:line="276" w:lineRule="auto"/>
        <w:ind w:left="360"/>
        <w:jc w:val="both"/>
        <w:rPr>
          <w:rFonts w:asciiTheme="minorBidi" w:hAnsiTheme="minorBidi"/>
          <w:sz w:val="24"/>
          <w:szCs w:val="24"/>
          <w:shd w:val="clear" w:color="auto" w:fill="FFFFFF"/>
        </w:rPr>
      </w:pPr>
      <w:r w:rsidRPr="00266550">
        <w:rPr>
          <w:rFonts w:asciiTheme="minorBidi" w:hAnsiTheme="minorBidi"/>
          <w:sz w:val="24"/>
          <w:szCs w:val="24"/>
          <w:shd w:val="clear" w:color="auto" w:fill="FFFFFF"/>
        </w:rPr>
        <w:t>“</w:t>
      </w:r>
      <w:r w:rsidRPr="008E5845">
        <w:rPr>
          <w:rFonts w:asciiTheme="minorBidi" w:hAnsiTheme="minorBidi"/>
          <w:i/>
          <w:iCs/>
          <w:color w:val="333333"/>
          <w:sz w:val="24"/>
          <w:szCs w:val="24"/>
          <w:shd w:val="clear" w:color="auto" w:fill="FFFFFF"/>
        </w:rPr>
        <w:t>Most of the pharmaceutical care services will switch from inpatient pharmacy model to ambulatory care pharmacy model [...] All Ambulatory care pharmaceutical care service will be provided through community pharmacy or retail pharmacy</w:t>
      </w:r>
      <w:r w:rsidRPr="008E5845">
        <w:rPr>
          <w:rFonts w:asciiTheme="minorBidi" w:hAnsiTheme="minorBidi"/>
          <w:color w:val="333333"/>
          <w:sz w:val="24"/>
          <w:szCs w:val="24"/>
          <w:shd w:val="clear" w:color="auto" w:fill="FFFFFF"/>
        </w:rPr>
        <w:t>”</w:t>
      </w:r>
      <w:r>
        <w:rPr>
          <w:rFonts w:ascii="Open Sans" w:hAnsi="Open Sans" w:cs="Open Sans"/>
          <w:color w:val="333333"/>
          <w:sz w:val="21"/>
          <w:szCs w:val="21"/>
          <w:shd w:val="clear" w:color="auto" w:fill="FFFFFF"/>
        </w:rPr>
        <w:t xml:space="preserve">. </w:t>
      </w:r>
      <w:r w:rsidRPr="00AC5277">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{"citationItems":[{"id":"ITEM-1","itemData":{"DOI":"10.5530/jppcm.2017.3.40","author":[{"dropping-particle":"","family":"Alomi","given":"Yousef Ahmed","non-dropping-particle":"","parse-names":false,"suffix":""}],"container-title":"Journal of Pharmacy Practice and Community Medicine","id":"ITEM-1","issue":"3","issued":{"date-parts":[["2017"]]},"page":"194-196","title":"New Pharmacy Model for Vision 2030 in Saudi Arabia","type":"article-journal","volume":"3"},"uris":["http://www.mendeley.com/documents/?uuid=052cc1bf-6e7d-4fdc-a5cd-783b51865f08"]}],"mendeley":{"formattedCitation":"(Alomi, 2017)","manualFormatting":"(Alomi, 2017,p194)","plainTextFormattedCitation":"(Alomi, 2017)","previouslyFormattedCitation":"(Alomi, 2017)"},"properties":{"noteIndex":0},"schema":"https://github.com/citation-style-language/schema/raw/master/csl-citation.json"}</w:instrText>
      </w:r>
      <w:r w:rsidRPr="00AC5277">
        <w:rPr>
          <w:rFonts w:asciiTheme="minorBidi" w:hAnsiTheme="minorBidi"/>
          <w:sz w:val="24"/>
          <w:szCs w:val="24"/>
          <w:shd w:val="clear" w:color="auto" w:fill="FFFFFF"/>
        </w:rPr>
        <w:fldChar w:fldCharType="separate"/>
      </w:r>
      <w:r w:rsidRPr="00AC5277">
        <w:rPr>
          <w:rFonts w:asciiTheme="minorBidi" w:hAnsiTheme="minorBidi"/>
          <w:noProof/>
          <w:sz w:val="24"/>
          <w:szCs w:val="24"/>
          <w:shd w:val="clear" w:color="auto" w:fill="FFFFFF"/>
        </w:rPr>
        <w:t>(Alomi, 2017,p194)</w:t>
      </w:r>
      <w:r w:rsidRPr="00AC5277">
        <w:rPr>
          <w:rFonts w:asciiTheme="minorBidi" w:hAnsiTheme="minorBidi"/>
          <w:sz w:val="24"/>
          <w:szCs w:val="24"/>
          <w:shd w:val="clear" w:color="auto" w:fill="FFFFFF"/>
        </w:rPr>
        <w:fldChar w:fldCharType="end"/>
      </w:r>
    </w:p>
    <w:p w14:paraId="7A0115A3" w14:textId="77777777" w:rsidR="00747BE4" w:rsidRPr="00AC5277" w:rsidRDefault="00747BE4" w:rsidP="00747BE4">
      <w:pPr>
        <w:tabs>
          <w:tab w:val="left" w:pos="450"/>
        </w:tabs>
        <w:spacing w:line="276" w:lineRule="auto"/>
        <w:ind w:left="360"/>
        <w:jc w:val="both"/>
        <w:rPr>
          <w:rFonts w:asciiTheme="minorBidi" w:hAnsiTheme="minorBidi"/>
          <w:sz w:val="24"/>
          <w:szCs w:val="24"/>
          <w:shd w:val="clear" w:color="auto" w:fill="FFFFFF"/>
        </w:rPr>
      </w:pPr>
    </w:p>
    <w:p w14:paraId="16A80ECB" w14:textId="77777777" w:rsidR="00747BE4" w:rsidRDefault="00747BE4" w:rsidP="00747BE4">
      <w:pPr>
        <w:spacing w:line="360" w:lineRule="auto"/>
        <w:jc w:val="both"/>
        <w:rPr>
          <w:rFonts w:ascii="Arial" w:hAnsi="Arial" w:cs="Arial"/>
          <w:sz w:val="24"/>
          <w:szCs w:val="24"/>
        </w:rPr>
      </w:pPr>
      <w:r w:rsidRPr="00C12428">
        <w:rPr>
          <w:rFonts w:ascii="Arial" w:hAnsi="Arial" w:cs="Arial"/>
          <w:sz w:val="24"/>
          <w:szCs w:val="24"/>
        </w:rPr>
        <w:t>This study found pharmacists are involved in some traditional aspect</w:t>
      </w:r>
      <w:r>
        <w:rPr>
          <w:rFonts w:ascii="Arial" w:hAnsi="Arial" w:cs="Arial"/>
          <w:sz w:val="24"/>
          <w:szCs w:val="24"/>
        </w:rPr>
        <w:t>s</w:t>
      </w:r>
      <w:r w:rsidRPr="00C12428">
        <w:rPr>
          <w:rFonts w:ascii="Arial" w:hAnsi="Arial" w:cs="Arial"/>
          <w:sz w:val="24"/>
          <w:szCs w:val="24"/>
        </w:rPr>
        <w:t xml:space="preserve"> </w:t>
      </w:r>
      <w:r>
        <w:rPr>
          <w:rFonts w:ascii="Arial" w:hAnsi="Arial" w:cs="Arial"/>
          <w:sz w:val="24"/>
          <w:szCs w:val="24"/>
        </w:rPr>
        <w:t>of</w:t>
      </w:r>
      <w:r w:rsidRPr="00C12428">
        <w:rPr>
          <w:rFonts w:ascii="Arial" w:hAnsi="Arial" w:cs="Arial"/>
          <w:sz w:val="24"/>
          <w:szCs w:val="24"/>
        </w:rPr>
        <w:t xml:space="preserve"> diabetic care but there is arguably considerable scope for them to be involved more. </w:t>
      </w:r>
      <w:r>
        <w:rPr>
          <w:rFonts w:ascii="Arial" w:hAnsi="Arial" w:cs="Arial"/>
          <w:sz w:val="24"/>
          <w:szCs w:val="24"/>
        </w:rPr>
        <w:t>When p</w:t>
      </w:r>
      <w:r w:rsidRPr="009A7C39">
        <w:rPr>
          <w:rFonts w:ascii="Arial" w:hAnsi="Arial" w:cs="Arial"/>
          <w:sz w:val="24"/>
          <w:szCs w:val="24"/>
        </w:rPr>
        <w:t xml:space="preserve">harmacists </w:t>
      </w:r>
      <w:r>
        <w:rPr>
          <w:rFonts w:ascii="Arial" w:hAnsi="Arial" w:cs="Arial"/>
          <w:sz w:val="24"/>
          <w:szCs w:val="24"/>
        </w:rPr>
        <w:t xml:space="preserve">were working </w:t>
      </w:r>
      <w:r w:rsidRPr="009A7C39">
        <w:rPr>
          <w:rFonts w:ascii="Arial" w:hAnsi="Arial" w:cs="Arial"/>
          <w:sz w:val="24"/>
          <w:szCs w:val="24"/>
        </w:rPr>
        <w:t>in PHCs</w:t>
      </w:r>
      <w:r>
        <w:rPr>
          <w:rFonts w:ascii="Arial" w:hAnsi="Arial" w:cs="Arial"/>
          <w:sz w:val="24"/>
          <w:szCs w:val="24"/>
        </w:rPr>
        <w:t xml:space="preserve">, </w:t>
      </w:r>
      <w:r w:rsidRPr="003254CE">
        <w:rPr>
          <w:rFonts w:asciiTheme="minorBidi" w:hAnsiTheme="minorBidi"/>
          <w:sz w:val="24"/>
          <w:szCs w:val="24"/>
          <w:shd w:val="clear" w:color="auto" w:fill="FFFFFF"/>
        </w:rPr>
        <w:t>it was found that primary care pharmacy practice mainly focuses on the safe distribution of medication</w:t>
      </w:r>
      <w:r w:rsidRPr="005C5B4B">
        <w:rPr>
          <w:rFonts w:asciiTheme="minorBidi" w:hAnsiTheme="minorBidi"/>
          <w:sz w:val="24"/>
          <w:szCs w:val="24"/>
          <w:shd w:val="clear" w:color="auto" w:fill="FFFFFF"/>
        </w:rPr>
        <w:t>.</w:t>
      </w:r>
      <w:r>
        <w:rPr>
          <w:rFonts w:ascii="Open Sans" w:hAnsi="Open Sans" w:cs="Open Sans"/>
          <w:color w:val="333333"/>
          <w:sz w:val="21"/>
          <w:szCs w:val="21"/>
          <w:shd w:val="clear" w:color="auto" w:fill="FFFFFF"/>
        </w:rPr>
        <w:t xml:space="preserve"> </w:t>
      </w:r>
      <w:r>
        <w:rPr>
          <w:rFonts w:ascii="Arial" w:hAnsi="Arial" w:cs="Arial"/>
          <w:sz w:val="24"/>
          <w:szCs w:val="24"/>
        </w:rPr>
        <w:t>Both the survey and interviews indicated that p</w:t>
      </w:r>
      <w:r w:rsidRPr="009A7C39">
        <w:rPr>
          <w:rFonts w:ascii="Arial" w:hAnsi="Arial" w:cs="Arial"/>
          <w:sz w:val="24"/>
          <w:szCs w:val="24"/>
        </w:rPr>
        <w:t>harmacists</w:t>
      </w:r>
      <w:r>
        <w:rPr>
          <w:rFonts w:ascii="Arial" w:hAnsi="Arial" w:cs="Arial"/>
          <w:sz w:val="24"/>
          <w:szCs w:val="24"/>
        </w:rPr>
        <w:t xml:space="preserve"> working </w:t>
      </w:r>
      <w:r w:rsidRPr="009A7C39">
        <w:rPr>
          <w:rFonts w:ascii="Arial" w:hAnsi="Arial" w:cs="Arial"/>
          <w:sz w:val="24"/>
          <w:szCs w:val="24"/>
        </w:rPr>
        <w:t>in PHCs</w:t>
      </w:r>
      <w:r>
        <w:rPr>
          <w:rFonts w:ascii="Arial" w:hAnsi="Arial" w:cs="Arial"/>
          <w:sz w:val="24"/>
          <w:szCs w:val="24"/>
        </w:rPr>
        <w:t xml:space="preserve"> </w:t>
      </w:r>
      <w:r w:rsidRPr="009A7C39">
        <w:rPr>
          <w:rFonts w:ascii="Arial" w:hAnsi="Arial" w:cs="Arial"/>
          <w:sz w:val="24"/>
          <w:szCs w:val="24"/>
        </w:rPr>
        <w:t>provide</w:t>
      </w:r>
      <w:r>
        <w:rPr>
          <w:rFonts w:ascii="Arial" w:hAnsi="Arial" w:cs="Arial"/>
          <w:sz w:val="24"/>
          <w:szCs w:val="24"/>
        </w:rPr>
        <w:t>d</w:t>
      </w:r>
      <w:r w:rsidRPr="009A7C39">
        <w:rPr>
          <w:rFonts w:ascii="Arial" w:hAnsi="Arial" w:cs="Arial"/>
          <w:sz w:val="24"/>
          <w:szCs w:val="24"/>
        </w:rPr>
        <w:t xml:space="preserve"> basic services to diabetes patients</w:t>
      </w:r>
      <w:r>
        <w:rPr>
          <w:rFonts w:ascii="Arial" w:hAnsi="Arial" w:cs="Arial"/>
          <w:sz w:val="24"/>
          <w:szCs w:val="24"/>
        </w:rPr>
        <w:t>:</w:t>
      </w:r>
      <w:r w:rsidRPr="009A7C39">
        <w:rPr>
          <w:rFonts w:ascii="Arial" w:hAnsi="Arial" w:cs="Arial"/>
          <w:sz w:val="24"/>
          <w:szCs w:val="24"/>
        </w:rPr>
        <w:t xml:space="preserve"> verification and dispensing of prescriptions</w:t>
      </w:r>
      <w:r>
        <w:rPr>
          <w:rFonts w:ascii="Arial" w:hAnsi="Arial" w:cs="Arial"/>
          <w:sz w:val="24"/>
          <w:szCs w:val="24"/>
        </w:rPr>
        <w:t>;</w:t>
      </w:r>
      <w:r w:rsidRPr="009A7C39">
        <w:rPr>
          <w:rFonts w:ascii="Arial" w:hAnsi="Arial" w:cs="Arial"/>
          <w:sz w:val="24"/>
          <w:szCs w:val="24"/>
        </w:rPr>
        <w:t xml:space="preserve"> providing general education and consultation when dispensing patients</w:t>
      </w:r>
      <w:r>
        <w:rPr>
          <w:rFonts w:ascii="Arial" w:hAnsi="Arial" w:cs="Arial"/>
          <w:sz w:val="24"/>
          <w:szCs w:val="24"/>
        </w:rPr>
        <w:t>’</w:t>
      </w:r>
      <w:r w:rsidRPr="009A7C39">
        <w:rPr>
          <w:rFonts w:ascii="Arial" w:hAnsi="Arial" w:cs="Arial"/>
          <w:sz w:val="24"/>
          <w:szCs w:val="24"/>
        </w:rPr>
        <w:t xml:space="preserve"> medications</w:t>
      </w:r>
      <w:r>
        <w:rPr>
          <w:rFonts w:ascii="Arial" w:hAnsi="Arial" w:cs="Arial"/>
          <w:sz w:val="24"/>
          <w:szCs w:val="24"/>
        </w:rPr>
        <w:t>, concerning</w:t>
      </w:r>
      <w:r w:rsidRPr="009A7C39">
        <w:rPr>
          <w:rFonts w:ascii="Arial" w:hAnsi="Arial" w:cs="Arial"/>
          <w:sz w:val="24"/>
          <w:szCs w:val="24"/>
        </w:rPr>
        <w:t xml:space="preserve"> the appropriate time to administer medications</w:t>
      </w:r>
      <w:r>
        <w:rPr>
          <w:rFonts w:ascii="Arial" w:hAnsi="Arial" w:cs="Arial"/>
          <w:sz w:val="24"/>
          <w:szCs w:val="24"/>
        </w:rPr>
        <w:t>; they</w:t>
      </w:r>
      <w:r w:rsidRPr="009A7C39">
        <w:rPr>
          <w:rFonts w:ascii="Arial" w:hAnsi="Arial" w:cs="Arial"/>
          <w:sz w:val="24"/>
          <w:szCs w:val="24"/>
        </w:rPr>
        <w:t xml:space="preserve"> might also </w:t>
      </w:r>
      <w:r>
        <w:rPr>
          <w:rFonts w:ascii="Arial" w:hAnsi="Arial" w:cs="Arial"/>
          <w:sz w:val="24"/>
          <w:szCs w:val="24"/>
        </w:rPr>
        <w:t xml:space="preserve">have </w:t>
      </w:r>
      <w:r w:rsidRPr="009A7C39">
        <w:rPr>
          <w:rFonts w:ascii="Arial" w:hAnsi="Arial" w:cs="Arial"/>
          <w:sz w:val="24"/>
          <w:szCs w:val="24"/>
        </w:rPr>
        <w:t>check</w:t>
      </w:r>
      <w:r>
        <w:rPr>
          <w:rFonts w:ascii="Arial" w:hAnsi="Arial" w:cs="Arial"/>
          <w:sz w:val="24"/>
          <w:szCs w:val="24"/>
        </w:rPr>
        <w:t>ed</w:t>
      </w:r>
      <w:r w:rsidRPr="009A7C39">
        <w:rPr>
          <w:rFonts w:ascii="Arial" w:hAnsi="Arial" w:cs="Arial"/>
          <w:sz w:val="24"/>
          <w:szCs w:val="24"/>
        </w:rPr>
        <w:t xml:space="preserve"> patient adherence by reviewing the patient’s medication refill history</w:t>
      </w:r>
      <w:r>
        <w:rPr>
          <w:rFonts w:ascii="Arial" w:hAnsi="Arial" w:cs="Arial"/>
          <w:sz w:val="24"/>
          <w:szCs w:val="24"/>
        </w:rPr>
        <w:t>. T</w:t>
      </w:r>
      <w:r w:rsidRPr="00C527E3">
        <w:rPr>
          <w:rFonts w:ascii="Arial" w:hAnsi="Arial" w:cs="Arial"/>
          <w:sz w:val="24"/>
          <w:szCs w:val="24"/>
        </w:rPr>
        <w:t>his finding is consistent with</w:t>
      </w:r>
      <w:r>
        <w:rPr>
          <w:rFonts w:ascii="Arial" w:hAnsi="Arial" w:cs="Arial"/>
          <w:sz w:val="24"/>
          <w:szCs w:val="24"/>
        </w:rPr>
        <w:t xml:space="preserve"> other research</w:t>
      </w:r>
      <w:r w:rsidRPr="00C527E3">
        <w:rPr>
          <w:rFonts w:ascii="Arial" w:hAnsi="Arial" w:cs="Arial"/>
          <w:sz w:val="24"/>
          <w:szCs w:val="24"/>
        </w:rPr>
        <w:t xml:space="preserve"> </w:t>
      </w:r>
      <w:r w:rsidRPr="00C527E3">
        <w:rPr>
          <w:rFonts w:ascii="Arial" w:hAnsi="Arial" w:cs="Arial"/>
          <w:sz w:val="24"/>
          <w:szCs w:val="24"/>
        </w:rPr>
        <w:fldChar w:fldCharType="begin" w:fldLock="1"/>
      </w:r>
      <w:r>
        <w:rPr>
          <w:rFonts w:ascii="Arial" w:hAnsi="Arial" w:cs="Arial"/>
          <w:sz w:val="24"/>
          <w:szCs w:val="24"/>
        </w:rPr>
        <w:instrText>ADDIN CSL_CITATION {"citationItems":[{"id":"ITEM-1","itemData":{"ISSN":"0973-8398","abstract":"To explore opinions of pharmacist toward pharmaceutical care (PC) in Riyadh, the capital of Saudi Arabia. A descriptive, cross-sectional survey was conducted over a 3 months period (November 2012 to January 2013) in National Guard Primary Health Center, Riyadh the capital of Saudi Arabia. A 20-item questionnaire was adopted, validated and given to 100 pharmacists. The response rate was 80% where 100 respondents were approached, and 80 of them responded to our survey questionnaire. Overall Pharmacists expressed positive attitudes toward PC. A total of 73 (91%) respondents indicated that common situation regarding appropriateness of prescribing was receiving an error in prescription with incomplete information. A majority of the respondents (78.6%) disagreed or strongly disagree with the statement, that pharmacist of primary healthcare centers have insufficient knowledge/skills to provide PC. The finding of this study revealed that pharmacists have positive attitudes toward PC overall. More attention should be given to improve pharmacists' actual PC capabilities to extend their professional role. However, new development in Saudi hospitals would be recommended to improve health care systems.","author":[{"dropping-particle":"","family":"Al-Arifi","given":"Mohamed N.","non-dropping-particle":"","parse-names":false,"suffix":""},{"dropping-particle":"","family":"Dhawailie","given":"Abdulatif","non-dropping-particle":"Al","parse-names":false,"suffix":""},{"dropping-particle":"","family":"M.","given":"Aldohyan","non-dropping-particle":"","parse-names":false,"suffix":""},{"dropping-particle":"","family":"S.","given":"Wajid","non-dropping-particle":"","parse-names":false,"suffix":""},{"dropping-particle":"","family":"S.D.","given":"Babelgaith","non-dropping-particle":"","parse-names":false,"suffix":""},{"dropping-particle":"","family":"S.","given":"Rajab","non-dropping-particle":"","parse-names":false,"suffix":""}],"container-title":"Asian Journal of Pharmaceutics","id":"ITEM-1","issue":"4","issued":{"date-parts":[["2015"]]},"page":"277-282","title":"A survey on pharmacist opinion about pharmaceutical care in Saudi Arabia","type":"article-journal","volume":"9"},"uris":["http://www.mendeley.com/documents/?uuid=da5ac9a9-edf8-4c3f-ad94-903f8f5085f9"]}],"mendeley":{"formattedCitation":"(Al-Arifi, Al Dhawailie, &lt;i&gt;et al.&lt;/i&gt;, 2015)","plainTextFormattedCitation":"(Al-Arifi, Al Dhawailie, et al., 2015)","previouslyFormattedCitation":"(Al-Arifi, Al Dhawailie, &lt;i&gt;et al.&lt;/i&gt;, 2015)"},"properties":{"noteIndex":0},"schema":"https://github.com/citation-style-language/schema/raw/master/csl-citation.json"}</w:instrText>
      </w:r>
      <w:r w:rsidRPr="00C527E3">
        <w:rPr>
          <w:rFonts w:ascii="Arial" w:hAnsi="Arial" w:cs="Arial"/>
          <w:sz w:val="24"/>
          <w:szCs w:val="24"/>
        </w:rPr>
        <w:fldChar w:fldCharType="separate"/>
      </w:r>
      <w:r w:rsidRPr="00C527E3">
        <w:rPr>
          <w:rFonts w:ascii="Arial" w:hAnsi="Arial" w:cs="Arial"/>
          <w:noProof/>
          <w:sz w:val="24"/>
          <w:szCs w:val="24"/>
        </w:rPr>
        <w:t>(Al-Arifi, Al Dhawailie</w:t>
      </w:r>
      <w:r>
        <w:rPr>
          <w:rFonts w:ascii="Arial" w:hAnsi="Arial" w:cs="Arial"/>
          <w:noProof/>
          <w:sz w:val="24"/>
          <w:szCs w:val="24"/>
        </w:rPr>
        <w:t>,</w:t>
      </w:r>
      <w:r w:rsidRPr="00C527E3">
        <w:rPr>
          <w:rFonts w:ascii="Arial" w:hAnsi="Arial" w:cs="Arial"/>
          <w:noProof/>
          <w:sz w:val="24"/>
          <w:szCs w:val="24"/>
        </w:rPr>
        <w:t xml:space="preserve"> et al., 2015)</w:t>
      </w:r>
      <w:r w:rsidRPr="00C527E3">
        <w:rPr>
          <w:rFonts w:ascii="Arial" w:hAnsi="Arial" w:cs="Arial"/>
          <w:sz w:val="24"/>
          <w:szCs w:val="24"/>
        </w:rPr>
        <w:fldChar w:fldCharType="end"/>
      </w:r>
      <w:r w:rsidRPr="00C527E3">
        <w:rPr>
          <w:rFonts w:ascii="Arial" w:hAnsi="Arial" w:cs="Arial"/>
          <w:sz w:val="24"/>
          <w:szCs w:val="24"/>
        </w:rPr>
        <w:t xml:space="preserve">. </w:t>
      </w:r>
    </w:p>
    <w:p w14:paraId="484C4FE5" w14:textId="77777777" w:rsidR="00747BE4" w:rsidRDefault="00747BE4" w:rsidP="00747BE4">
      <w:pPr>
        <w:spacing w:line="360" w:lineRule="auto"/>
        <w:jc w:val="both"/>
        <w:rPr>
          <w:rFonts w:ascii="Arial" w:hAnsi="Arial" w:cs="Arial"/>
          <w:sz w:val="24"/>
          <w:szCs w:val="24"/>
        </w:rPr>
      </w:pPr>
      <w:r w:rsidRPr="00656AD9">
        <w:rPr>
          <w:rFonts w:asciiTheme="minorBidi" w:hAnsiTheme="minorBidi"/>
          <w:sz w:val="24"/>
          <w:szCs w:val="24"/>
        </w:rPr>
        <w:t xml:space="preserve">The most important relevant finding was </w:t>
      </w:r>
      <w:r w:rsidRPr="000970BF">
        <w:rPr>
          <w:rFonts w:asciiTheme="minorBidi" w:hAnsiTheme="minorBidi"/>
          <w:sz w:val="24"/>
          <w:szCs w:val="24"/>
        </w:rPr>
        <w:t xml:space="preserve">the role of pharmacists in PHCs that </w:t>
      </w:r>
      <w:r w:rsidRPr="00656AD9">
        <w:rPr>
          <w:rFonts w:asciiTheme="minorBidi" w:hAnsiTheme="minorBidi"/>
          <w:sz w:val="24"/>
          <w:szCs w:val="24"/>
        </w:rPr>
        <w:t>went</w:t>
      </w:r>
      <w:r w:rsidRPr="000970BF">
        <w:rPr>
          <w:rFonts w:asciiTheme="minorBidi" w:hAnsiTheme="minorBidi"/>
          <w:sz w:val="24"/>
          <w:szCs w:val="24"/>
        </w:rPr>
        <w:t xml:space="preserve"> beyond </w:t>
      </w:r>
      <w:r>
        <w:rPr>
          <w:rFonts w:asciiTheme="minorBidi" w:hAnsiTheme="minorBidi"/>
          <w:sz w:val="24"/>
          <w:szCs w:val="24"/>
        </w:rPr>
        <w:t xml:space="preserve">merely </w:t>
      </w:r>
      <w:r w:rsidRPr="000970BF">
        <w:rPr>
          <w:rFonts w:asciiTheme="minorBidi" w:hAnsiTheme="minorBidi"/>
          <w:sz w:val="24"/>
          <w:szCs w:val="24"/>
        </w:rPr>
        <w:t>dispensing</w:t>
      </w:r>
      <w:r w:rsidRPr="00656AD9">
        <w:rPr>
          <w:rFonts w:asciiTheme="minorBidi" w:hAnsiTheme="minorBidi"/>
          <w:sz w:val="24"/>
          <w:szCs w:val="24"/>
        </w:rPr>
        <w:t>.</w:t>
      </w:r>
      <w:r>
        <w:rPr>
          <w:rFonts w:ascii="Calibri" w:eastAsia="Times New Roman" w:hAnsi="Calibri" w:cs="Calibri"/>
          <w:color w:val="000000"/>
          <w:sz w:val="20"/>
          <w:szCs w:val="20"/>
        </w:rPr>
        <w:t xml:space="preserve"> </w:t>
      </w:r>
      <w:r>
        <w:rPr>
          <w:rFonts w:asciiTheme="minorBidi" w:hAnsiTheme="minorBidi"/>
          <w:sz w:val="24"/>
          <w:szCs w:val="24"/>
          <w:shd w:val="clear" w:color="auto" w:fill="FFFFFF"/>
        </w:rPr>
        <w:t>Surprisingly</w:t>
      </w:r>
      <w:r w:rsidRPr="0086463F">
        <w:rPr>
          <w:rFonts w:asciiTheme="minorBidi" w:hAnsiTheme="minorBidi"/>
          <w:sz w:val="24"/>
          <w:szCs w:val="24"/>
        </w:rPr>
        <w:t>, services related to clinical roles</w:t>
      </w:r>
      <w:r>
        <w:rPr>
          <w:rFonts w:asciiTheme="minorBidi" w:hAnsiTheme="minorBidi"/>
          <w:sz w:val="24"/>
          <w:szCs w:val="24"/>
        </w:rPr>
        <w:t>,</w:t>
      </w:r>
      <w:r w:rsidRPr="0086463F">
        <w:rPr>
          <w:rFonts w:asciiTheme="minorBidi" w:hAnsiTheme="minorBidi"/>
          <w:sz w:val="24"/>
          <w:szCs w:val="24"/>
        </w:rPr>
        <w:t xml:space="preserve"> such as </w:t>
      </w:r>
      <w:r w:rsidRPr="0086463F">
        <w:rPr>
          <w:rFonts w:asciiTheme="minorBidi" w:hAnsiTheme="minorBidi"/>
          <w:sz w:val="24"/>
          <w:szCs w:val="24"/>
          <w:shd w:val="clear" w:color="auto" w:fill="FFFFFF"/>
        </w:rPr>
        <w:t>medication therapy management, medication review, blood glucose monitoring, co-morbid disease education</w:t>
      </w:r>
      <w:r>
        <w:rPr>
          <w:rFonts w:asciiTheme="minorBidi" w:hAnsiTheme="minorBidi"/>
          <w:sz w:val="24"/>
          <w:szCs w:val="24"/>
          <w:shd w:val="clear" w:color="auto" w:fill="FFFFFF"/>
        </w:rPr>
        <w:t xml:space="preserve"> and </w:t>
      </w:r>
      <w:r w:rsidRPr="0086463F">
        <w:rPr>
          <w:rFonts w:asciiTheme="minorBidi" w:hAnsiTheme="minorBidi"/>
          <w:sz w:val="24"/>
          <w:szCs w:val="24"/>
          <w:shd w:val="clear" w:color="auto" w:fill="FFFFFF"/>
        </w:rPr>
        <w:t>management, healthy lifestyle education, and dependent prescribing of diabetes medication</w:t>
      </w:r>
      <w:r>
        <w:rPr>
          <w:rFonts w:asciiTheme="minorBidi" w:hAnsiTheme="minorBidi"/>
          <w:sz w:val="24"/>
          <w:szCs w:val="24"/>
          <w:shd w:val="clear" w:color="auto" w:fill="FFFFFF"/>
        </w:rPr>
        <w:t>,</w:t>
      </w:r>
      <w:r w:rsidRPr="0086463F">
        <w:rPr>
          <w:rFonts w:asciiTheme="minorBidi" w:hAnsiTheme="minorBidi"/>
          <w:sz w:val="24"/>
          <w:szCs w:val="24"/>
          <w:shd w:val="clear" w:color="auto" w:fill="FFFFFF"/>
        </w:rPr>
        <w:t xml:space="preserve"> were </w:t>
      </w:r>
      <w:r>
        <w:rPr>
          <w:rFonts w:asciiTheme="minorBidi" w:hAnsiTheme="minorBidi"/>
          <w:sz w:val="24"/>
          <w:szCs w:val="24"/>
          <w:shd w:val="clear" w:color="auto" w:fill="FFFFFF"/>
        </w:rPr>
        <w:t>also sometimes provided to patients</w:t>
      </w:r>
      <w:r w:rsidRPr="0086463F">
        <w:rPr>
          <w:rFonts w:asciiTheme="minorBidi" w:hAnsiTheme="minorBidi"/>
          <w:sz w:val="24"/>
          <w:szCs w:val="24"/>
          <w:shd w:val="clear" w:color="auto" w:fill="FFFFFF"/>
        </w:rPr>
        <w:t>.</w:t>
      </w:r>
      <w:r>
        <w:rPr>
          <w:rFonts w:asciiTheme="minorBidi" w:hAnsiTheme="minorBidi"/>
          <w:sz w:val="24"/>
          <w:szCs w:val="24"/>
          <w:shd w:val="clear" w:color="auto" w:fill="FFFFFF"/>
        </w:rPr>
        <w:t xml:space="preserve"> However, </w:t>
      </w:r>
      <w:r>
        <w:rPr>
          <w:rFonts w:ascii="Arial" w:hAnsi="Arial" w:cs="Arial"/>
          <w:sz w:val="24"/>
          <w:szCs w:val="24"/>
        </w:rPr>
        <w:t>n</w:t>
      </w:r>
      <w:r w:rsidRPr="0079627A">
        <w:rPr>
          <w:rFonts w:ascii="Arial" w:hAnsi="Arial" w:cs="Arial"/>
          <w:sz w:val="24"/>
          <w:szCs w:val="24"/>
        </w:rPr>
        <w:t xml:space="preserve">o evidence was found that pharmacists </w:t>
      </w:r>
      <w:r w:rsidRPr="005B701A">
        <w:rPr>
          <w:rFonts w:ascii="Arial" w:hAnsi="Arial" w:cs="Arial"/>
          <w:sz w:val="24"/>
          <w:szCs w:val="24"/>
        </w:rPr>
        <w:t>had the authority</w:t>
      </w:r>
      <w:r w:rsidRPr="0079627A">
        <w:rPr>
          <w:rFonts w:ascii="Arial" w:hAnsi="Arial" w:cs="Arial"/>
          <w:sz w:val="24"/>
          <w:szCs w:val="24"/>
        </w:rPr>
        <w:t xml:space="preserve"> to </w:t>
      </w:r>
      <w:r w:rsidRPr="0007409E">
        <w:rPr>
          <w:rFonts w:ascii="Arial" w:hAnsi="Arial" w:cs="Arial"/>
          <w:sz w:val="24"/>
          <w:szCs w:val="24"/>
        </w:rPr>
        <w:t>make notations</w:t>
      </w:r>
      <w:r>
        <w:rPr>
          <w:rFonts w:ascii="Arial" w:hAnsi="Arial" w:cs="Arial"/>
          <w:sz w:val="24"/>
          <w:szCs w:val="24"/>
        </w:rPr>
        <w:t xml:space="preserve"> </w:t>
      </w:r>
      <w:r w:rsidRPr="0079627A">
        <w:rPr>
          <w:rFonts w:ascii="Arial" w:hAnsi="Arial" w:cs="Arial"/>
          <w:sz w:val="24"/>
          <w:szCs w:val="24"/>
        </w:rPr>
        <w:t xml:space="preserve">in a patient's medical record to document their recommendations to </w:t>
      </w:r>
      <w:r>
        <w:rPr>
          <w:rFonts w:ascii="Arial" w:hAnsi="Arial" w:cs="Arial"/>
          <w:sz w:val="24"/>
          <w:szCs w:val="24"/>
        </w:rPr>
        <w:t>doctors</w:t>
      </w:r>
      <w:r w:rsidRPr="0079627A">
        <w:rPr>
          <w:rFonts w:ascii="Arial" w:hAnsi="Arial" w:cs="Arial"/>
          <w:sz w:val="24"/>
          <w:szCs w:val="24"/>
        </w:rPr>
        <w:t xml:space="preserve"> and their participation in patients' treatment plans.</w:t>
      </w:r>
      <w:r>
        <w:rPr>
          <w:rFonts w:ascii="Arial" w:hAnsi="Arial" w:cs="Arial"/>
          <w:sz w:val="24"/>
          <w:szCs w:val="24"/>
        </w:rPr>
        <w:t xml:space="preserve"> The p</w:t>
      </w:r>
      <w:r w:rsidRPr="009A7C39">
        <w:rPr>
          <w:rFonts w:ascii="Arial" w:hAnsi="Arial" w:cs="Arial"/>
          <w:sz w:val="24"/>
          <w:szCs w:val="24"/>
        </w:rPr>
        <w:t xml:space="preserve">harmacists could informally discuss with doctors about medication-related issues and suggest alternatives, and also </w:t>
      </w:r>
      <w:r>
        <w:rPr>
          <w:rFonts w:ascii="Arial" w:hAnsi="Arial" w:cs="Arial"/>
          <w:sz w:val="24"/>
          <w:szCs w:val="24"/>
        </w:rPr>
        <w:t xml:space="preserve">possibly </w:t>
      </w:r>
      <w:r w:rsidRPr="009A7C39">
        <w:rPr>
          <w:rFonts w:ascii="Arial" w:hAnsi="Arial" w:cs="Arial"/>
          <w:sz w:val="24"/>
          <w:szCs w:val="24"/>
        </w:rPr>
        <w:t>provide medication recommendations to the prescriber to enhance therapeutic management plan</w:t>
      </w:r>
      <w:r>
        <w:rPr>
          <w:rFonts w:ascii="Arial" w:hAnsi="Arial" w:cs="Arial"/>
          <w:sz w:val="24"/>
          <w:szCs w:val="24"/>
        </w:rPr>
        <w:t>ning and potentially</w:t>
      </w:r>
      <w:r w:rsidRPr="009A7C39">
        <w:rPr>
          <w:rFonts w:ascii="Arial" w:hAnsi="Arial" w:cs="Arial"/>
          <w:sz w:val="24"/>
          <w:szCs w:val="24"/>
        </w:rPr>
        <w:t xml:space="preserve"> help the patient to achieve blood glucose targets. </w:t>
      </w:r>
    </w:p>
    <w:p w14:paraId="32A1EF57" w14:textId="77777777" w:rsidR="00747BE4" w:rsidRPr="00951AF3" w:rsidRDefault="00747BE4" w:rsidP="00747BE4">
      <w:pPr>
        <w:spacing w:line="360" w:lineRule="auto"/>
        <w:jc w:val="both"/>
        <w:rPr>
          <w:rFonts w:asciiTheme="minorBidi" w:hAnsiTheme="minorBidi"/>
          <w:sz w:val="24"/>
          <w:szCs w:val="24"/>
          <w:shd w:val="clear" w:color="auto" w:fill="FFFFFF"/>
        </w:rPr>
      </w:pPr>
      <w:r w:rsidRPr="00FB183D">
        <w:rPr>
          <w:rFonts w:asciiTheme="minorBidi" w:hAnsiTheme="minorBidi"/>
          <w:sz w:val="24"/>
          <w:szCs w:val="24"/>
          <w:shd w:val="clear" w:color="auto" w:fill="FFFFFF"/>
        </w:rPr>
        <w:t xml:space="preserve">Although the questionnaire results showed that pharmacists occasionally provided clinical services beyond their traditional roles of preparing and dispensing medicines, and these results were also supported by some interviewees, most interviewees did not clearly mention that pharmacists provide such advanced clinical services; they were rather unaware of these services. </w:t>
      </w:r>
      <w:r w:rsidRPr="003276FD">
        <w:rPr>
          <w:rFonts w:asciiTheme="minorBidi" w:hAnsiTheme="minorBidi"/>
          <w:sz w:val="24"/>
          <w:szCs w:val="24"/>
          <w:shd w:val="clear" w:color="auto" w:fill="FFFFFF"/>
        </w:rPr>
        <w:t>They referred to activities related to the dispensing process, such as checking prescriptions for accuracy before dispensing them to patients.</w:t>
      </w:r>
      <w:r>
        <w:rPr>
          <w:rFonts w:asciiTheme="minorBidi" w:hAnsiTheme="minorBidi"/>
          <w:sz w:val="24"/>
          <w:szCs w:val="24"/>
          <w:shd w:val="clear" w:color="auto" w:fill="FFFFFF"/>
        </w:rPr>
        <w:t xml:space="preserve"> </w:t>
      </w:r>
      <w:r w:rsidRPr="00652A1B">
        <w:rPr>
          <w:rFonts w:asciiTheme="minorBidi" w:hAnsiTheme="minorBidi"/>
          <w:sz w:val="24"/>
          <w:szCs w:val="24"/>
          <w:shd w:val="clear" w:color="auto" w:fill="FFFFFF"/>
        </w:rPr>
        <w:t xml:space="preserve">This result is most likely related to the lack of an electronic system that </w:t>
      </w:r>
      <w:r>
        <w:rPr>
          <w:rFonts w:asciiTheme="minorBidi" w:hAnsiTheme="minorBidi"/>
          <w:sz w:val="24"/>
          <w:szCs w:val="24"/>
          <w:shd w:val="clear" w:color="auto" w:fill="FFFFFF"/>
        </w:rPr>
        <w:t xml:space="preserve">would </w:t>
      </w:r>
      <w:r w:rsidRPr="00652A1B">
        <w:rPr>
          <w:rFonts w:asciiTheme="minorBidi" w:hAnsiTheme="minorBidi"/>
          <w:sz w:val="24"/>
          <w:szCs w:val="24"/>
          <w:shd w:val="clear" w:color="auto" w:fill="FFFFFF"/>
        </w:rPr>
        <w:t xml:space="preserve">enable pharmacists to access patients' medical records to assess the treatment plan based on the patient's condition. </w:t>
      </w:r>
      <w:r w:rsidRPr="00BF60C9">
        <w:rPr>
          <w:rFonts w:asciiTheme="minorBidi" w:hAnsiTheme="minorBidi"/>
          <w:sz w:val="24"/>
          <w:szCs w:val="24"/>
          <w:shd w:val="clear" w:color="auto" w:fill="FFFFFF"/>
        </w:rPr>
        <w:t>Another possible explanation is that </w:t>
      </w:r>
      <w:r w:rsidRPr="00D85965">
        <w:rPr>
          <w:rFonts w:asciiTheme="minorBidi" w:hAnsiTheme="minorBidi"/>
          <w:sz w:val="24"/>
          <w:szCs w:val="24"/>
          <w:shd w:val="clear" w:color="auto" w:fill="FFFFFF"/>
        </w:rPr>
        <w:t xml:space="preserve">the interviewed sample was mostly </w:t>
      </w:r>
      <w:r>
        <w:rPr>
          <w:rFonts w:asciiTheme="minorBidi" w:hAnsiTheme="minorBidi"/>
          <w:sz w:val="24"/>
          <w:szCs w:val="24"/>
          <w:shd w:val="clear" w:color="auto" w:fill="FFFFFF"/>
        </w:rPr>
        <w:t xml:space="preserve">drawn </w:t>
      </w:r>
      <w:r w:rsidRPr="00D85965">
        <w:rPr>
          <w:rFonts w:asciiTheme="minorBidi" w:hAnsiTheme="minorBidi"/>
          <w:sz w:val="24"/>
          <w:szCs w:val="24"/>
          <w:shd w:val="clear" w:color="auto" w:fill="FFFFFF"/>
        </w:rPr>
        <w:t xml:space="preserve">from the same health sector (Qatif), thus the probability </w:t>
      </w:r>
      <w:r>
        <w:rPr>
          <w:rFonts w:asciiTheme="minorBidi" w:hAnsiTheme="minorBidi"/>
          <w:sz w:val="24"/>
          <w:szCs w:val="24"/>
          <w:shd w:val="clear" w:color="auto" w:fill="FFFFFF"/>
        </w:rPr>
        <w:t xml:space="preserve">was that </w:t>
      </w:r>
      <w:r w:rsidRPr="00D85965">
        <w:rPr>
          <w:rFonts w:asciiTheme="minorBidi" w:hAnsiTheme="minorBidi"/>
          <w:sz w:val="24"/>
          <w:szCs w:val="24"/>
          <w:shd w:val="clear" w:color="auto" w:fill="FFFFFF"/>
        </w:rPr>
        <w:t xml:space="preserve">advanced pharmacy </w:t>
      </w:r>
      <w:r>
        <w:rPr>
          <w:rFonts w:asciiTheme="minorBidi" w:hAnsiTheme="minorBidi"/>
          <w:sz w:val="24"/>
          <w:szCs w:val="24"/>
          <w:shd w:val="clear" w:color="auto" w:fill="FFFFFF"/>
        </w:rPr>
        <w:t xml:space="preserve">was not practised </w:t>
      </w:r>
      <w:r w:rsidRPr="00D85965">
        <w:rPr>
          <w:rFonts w:asciiTheme="minorBidi" w:hAnsiTheme="minorBidi"/>
          <w:sz w:val="24"/>
          <w:szCs w:val="24"/>
          <w:shd w:val="clear" w:color="auto" w:fill="FFFFFF"/>
        </w:rPr>
        <w:t>there.</w:t>
      </w:r>
      <w:r>
        <w:rPr>
          <w:rFonts w:asciiTheme="minorBidi" w:hAnsiTheme="minorBidi"/>
          <w:sz w:val="24"/>
          <w:szCs w:val="24"/>
          <w:shd w:val="clear" w:color="auto" w:fill="FFFFFF"/>
        </w:rPr>
        <w:t xml:space="preserve"> </w:t>
      </w:r>
      <w:r w:rsidRPr="00D720A3">
        <w:rPr>
          <w:rFonts w:asciiTheme="minorBidi" w:hAnsiTheme="minorBidi"/>
          <w:sz w:val="24"/>
          <w:szCs w:val="24"/>
          <w:shd w:val="clear" w:color="auto" w:fill="FFFFFF"/>
        </w:rPr>
        <w:t xml:space="preserve">This interpretation is supported by </w:t>
      </w:r>
      <w:r w:rsidRPr="00FF47A1">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uthor":[{"dropping-particle":"","family":"Al-Jedai","given":"Ahmed","non-dropping-particle":"","parse-names":false,"suffix":""},{"dropping-particle":"","family":"Qaisi","given":"Shrouq","non-dropping-particle":"","parse-names":false,"suffix":""},{"dropping-particle":"","family":"Al-Meman","given":"Ahmed","non-dropping-particle":"","parse-names":false,"suffix":""}],"id":"ITEM-1","issue":"3","issued":{"date-parts":[["2016"]]},"title":"INTERNATIONAL PERSPECTIVES ON PHARMACY PRACTICE Pharmacy Practice and the Health Care System in Saudi Arabia","type":"report","volume":"69"},"uris":["http://www.mendeley.com/documents/?uuid=6c28c996-40b3-372f-8ce1-970c28f78a5b"]}],"mendeley":{"formattedCitation":"(Al-Jedai, Qaisi and Al-Meman, 2016a)","manualFormatting":"Al-Jedai, et. al., (2016a)","plainTextFormattedCitation":"(Al-Jedai, Qaisi and Al-Meman, 2016a)","previouslyFormattedCitation":"(Al-Jedai, Qaisi and Al-Meman, 2016a)"},"properties":{"noteIndex":0},"schema":"https://github.com/citation-style-language/schema/raw/master/csl-citation.json"}</w:instrText>
      </w:r>
      <w:r w:rsidRPr="00FF47A1">
        <w:rPr>
          <w:rFonts w:ascii="Arial" w:hAnsi="Arial" w:cs="Arial"/>
          <w:sz w:val="24"/>
          <w:szCs w:val="24"/>
          <w:lang w:val="en-GB"/>
        </w:rPr>
        <w:fldChar w:fldCharType="separate"/>
      </w:r>
      <w:r w:rsidRPr="00FF47A1">
        <w:rPr>
          <w:rFonts w:ascii="Arial" w:hAnsi="Arial" w:cs="Arial"/>
          <w:noProof/>
          <w:sz w:val="24"/>
          <w:szCs w:val="24"/>
          <w:lang w:val="en-GB"/>
        </w:rPr>
        <w:t>Al-Jedai,</w:t>
      </w:r>
      <w:r>
        <w:rPr>
          <w:rFonts w:ascii="Arial" w:hAnsi="Arial" w:cs="Arial"/>
          <w:noProof/>
          <w:sz w:val="24"/>
          <w:szCs w:val="24"/>
          <w:lang w:val="en-GB"/>
        </w:rPr>
        <w:t xml:space="preserve"> et. al., (</w:t>
      </w:r>
      <w:r w:rsidRPr="00FF47A1">
        <w:rPr>
          <w:rFonts w:ascii="Arial" w:hAnsi="Arial" w:cs="Arial"/>
          <w:noProof/>
          <w:sz w:val="24"/>
          <w:szCs w:val="24"/>
          <w:lang w:val="en-GB"/>
        </w:rPr>
        <w:t>2016a)</w:t>
      </w:r>
      <w:r w:rsidRPr="00FF47A1">
        <w:rPr>
          <w:rFonts w:ascii="Arial" w:hAnsi="Arial" w:cs="Arial"/>
          <w:sz w:val="24"/>
          <w:szCs w:val="24"/>
          <w:lang w:val="en-GB"/>
        </w:rPr>
        <w:fldChar w:fldCharType="end"/>
      </w:r>
      <w:r w:rsidRPr="00FF47A1">
        <w:rPr>
          <w:rFonts w:asciiTheme="minorBidi" w:hAnsiTheme="minorBidi"/>
          <w:sz w:val="24"/>
          <w:szCs w:val="24"/>
          <w:shd w:val="clear" w:color="auto" w:fill="FFFFFF"/>
        </w:rPr>
        <w:t xml:space="preserve">, </w:t>
      </w:r>
      <w:r w:rsidRPr="002F089C">
        <w:rPr>
          <w:rFonts w:ascii="Arial" w:hAnsi="Arial" w:cs="Arial"/>
          <w:sz w:val="24"/>
          <w:szCs w:val="24"/>
          <w:lang w:val="en-GB"/>
        </w:rPr>
        <w:t>who report</w:t>
      </w:r>
      <w:r>
        <w:rPr>
          <w:rFonts w:ascii="Arial" w:hAnsi="Arial" w:cs="Arial"/>
          <w:sz w:val="24"/>
          <w:szCs w:val="24"/>
          <w:lang w:val="en-GB"/>
        </w:rPr>
        <w:t>s</w:t>
      </w:r>
      <w:r w:rsidRPr="002F089C">
        <w:rPr>
          <w:rFonts w:ascii="Arial" w:hAnsi="Arial" w:cs="Arial"/>
          <w:sz w:val="24"/>
          <w:szCs w:val="24"/>
          <w:lang w:val="en-GB"/>
        </w:rPr>
        <w:t xml:space="preserve"> that there is a significant gap in pharmacy practice between institutions affiliated with the </w:t>
      </w:r>
      <w:r>
        <w:rPr>
          <w:rFonts w:ascii="Arial" w:hAnsi="Arial" w:cs="Arial"/>
          <w:sz w:val="24"/>
          <w:szCs w:val="24"/>
        </w:rPr>
        <w:t>MoH</w:t>
      </w:r>
      <w:r w:rsidRPr="002F089C">
        <w:rPr>
          <w:rFonts w:ascii="Arial" w:hAnsi="Arial" w:cs="Arial"/>
          <w:sz w:val="24"/>
          <w:szCs w:val="24"/>
          <w:lang w:val="en-GB"/>
        </w:rPr>
        <w:t xml:space="preserve"> as well as across </w:t>
      </w:r>
      <w:r>
        <w:rPr>
          <w:rFonts w:ascii="Arial" w:hAnsi="Arial" w:cs="Arial"/>
          <w:sz w:val="24"/>
          <w:szCs w:val="24"/>
          <w:lang w:val="en-GB"/>
        </w:rPr>
        <w:t>SA</w:t>
      </w:r>
      <w:r w:rsidRPr="002F089C">
        <w:rPr>
          <w:rFonts w:ascii="Arial" w:hAnsi="Arial" w:cs="Arial"/>
          <w:sz w:val="24"/>
          <w:szCs w:val="24"/>
          <w:lang w:val="en-GB"/>
        </w:rPr>
        <w:t>, especially between the public and private sectors.</w:t>
      </w:r>
    </w:p>
    <w:p w14:paraId="0967ACB5" w14:textId="77777777" w:rsidR="00747BE4" w:rsidRPr="00E04EC6" w:rsidRDefault="00747BE4" w:rsidP="00747BE4">
      <w:pPr>
        <w:spacing w:line="360" w:lineRule="auto"/>
        <w:jc w:val="both"/>
        <w:rPr>
          <w:rFonts w:asciiTheme="minorBidi" w:hAnsiTheme="minorBidi"/>
          <w:sz w:val="24"/>
          <w:szCs w:val="24"/>
          <w:shd w:val="clear" w:color="auto" w:fill="FFFFFF"/>
        </w:rPr>
      </w:pPr>
      <w:r w:rsidRPr="00E04EC6">
        <w:rPr>
          <w:rFonts w:asciiTheme="minorBidi" w:hAnsiTheme="minorBidi"/>
          <w:sz w:val="24"/>
          <w:szCs w:val="24"/>
          <w:shd w:val="clear" w:color="auto" w:fill="FFFFFF"/>
        </w:rPr>
        <w:t xml:space="preserve">An interesting yet expecting finding was that the majority of pharmacies in PHCs were led by one pharmacy staff member, whether a pharmacist or a pharmacy technician, responsible for all pharmaceutical care services. Therefore, primary care pharmacists were challenged to keep a balance between providing conventional pharmacy dispensing services and providing clinical activities. Understandably, professional services require pharmacists to focus on patient health concerns, which could be challenging in such work conditions. Pharmacists have found themselves being challenged regarding workload, staffing, and administrative issues and their ability to provide advanced clinical services to their patients. Despite the pharmacists' role being centred on the procurement and safe distribution of medication, professional services were also maintained. </w:t>
      </w:r>
    </w:p>
    <w:p w14:paraId="695955E5" w14:textId="77777777" w:rsidR="00747BE4" w:rsidRPr="00DE2ACD" w:rsidRDefault="00747BE4" w:rsidP="00747BE4">
      <w:pPr>
        <w:spacing w:line="360" w:lineRule="auto"/>
        <w:jc w:val="both"/>
        <w:rPr>
          <w:rFonts w:ascii="Arial" w:hAnsi="Arial" w:cs="Arial"/>
          <w:sz w:val="24"/>
          <w:szCs w:val="24"/>
          <w:lang w:val="en-GB"/>
        </w:rPr>
      </w:pPr>
      <w:r>
        <w:rPr>
          <w:rFonts w:ascii="Arial" w:hAnsi="Arial" w:cs="Arial"/>
          <w:sz w:val="24"/>
          <w:szCs w:val="24"/>
          <w:lang w:val="en-GB"/>
        </w:rPr>
        <w:t>T</w:t>
      </w:r>
      <w:r w:rsidRPr="00845AF7">
        <w:rPr>
          <w:rFonts w:ascii="Arial" w:hAnsi="Arial" w:cs="Arial"/>
          <w:sz w:val="24"/>
          <w:szCs w:val="24"/>
          <w:lang w:val="en-GB"/>
        </w:rPr>
        <w:t>he workforce guidelines that were approved by the M</w:t>
      </w:r>
      <w:r>
        <w:rPr>
          <w:rFonts w:ascii="Arial" w:hAnsi="Arial" w:cs="Arial"/>
          <w:sz w:val="24"/>
          <w:szCs w:val="24"/>
          <w:lang w:val="en-GB"/>
        </w:rPr>
        <w:t>o</w:t>
      </w:r>
      <w:r w:rsidRPr="00845AF7">
        <w:rPr>
          <w:rFonts w:ascii="Arial" w:hAnsi="Arial" w:cs="Arial"/>
          <w:sz w:val="24"/>
          <w:szCs w:val="24"/>
          <w:lang w:val="en-GB"/>
        </w:rPr>
        <w:t xml:space="preserve">H in 2014 emphasised </w:t>
      </w:r>
      <w:r>
        <w:rPr>
          <w:rFonts w:ascii="Arial" w:hAnsi="Arial" w:cs="Arial"/>
          <w:sz w:val="24"/>
          <w:szCs w:val="24"/>
          <w:lang w:val="en-GB"/>
        </w:rPr>
        <w:t>the</w:t>
      </w:r>
      <w:r w:rsidRPr="00845AF7">
        <w:rPr>
          <w:rFonts w:ascii="Arial" w:hAnsi="Arial" w:cs="Arial"/>
          <w:sz w:val="24"/>
          <w:szCs w:val="24"/>
          <w:lang w:val="en-GB"/>
        </w:rPr>
        <w:t xml:space="preserve"> crucial need for a minimum of four pharmacy staff</w:t>
      </w:r>
      <w:r>
        <w:rPr>
          <w:rFonts w:ascii="Arial" w:hAnsi="Arial" w:cs="Arial"/>
          <w:sz w:val="24"/>
          <w:szCs w:val="24"/>
          <w:lang w:val="en-GB"/>
        </w:rPr>
        <w:t>:</w:t>
      </w:r>
      <w:r w:rsidRPr="00845AF7">
        <w:rPr>
          <w:rFonts w:ascii="Arial" w:hAnsi="Arial" w:cs="Arial"/>
          <w:sz w:val="24"/>
          <w:szCs w:val="24"/>
          <w:lang w:val="en-GB"/>
        </w:rPr>
        <w:t xml:space="preserve"> one pharmacy technician, two pharmacists and one general clinical pharmacist in each PHC centre that serves up to 12,000 people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{"citationItems":[{"id":"ITEM-1","itemData":{"DOI":"10.19080/jpcr.2016.01.555555","author":[{"dropping-particle":"","family":"Alomi","given":"Yousef Ahmed","non-dropping-particle":"","parse-names":false,"suffix":""}],"container-title":"Journal of pharmacology &amp; clinical research","id":"ITEM-1","issue":"1","issued":{"date-parts":[["2016"]]},"page":"10-13","title":"Primary Care Center Pharmacy Manpower New Guidelines in Saudi Arabia","type":"article-journal","volume":"1"},"uris":["http://www.mendeley.com/documents/?uuid=e07afb8e-8ad0-498d-8680-2b79acd71888"]}],"mendeley":{"formattedCitation":"(Alomi, 2016)","plainTextFormattedCitation":"(Alomi, 2016)","previouslyFormattedCitation":"(Alomi, 2016)"},"properties":{"noteIndex":0},"schema":"https://github.com/citation-style-language/schema/raw/master/csl-citation.json"}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(Alomi, 2016)</w:t>
      </w:r>
      <w:r w:rsidRPr="00845AF7">
        <w:rPr>
          <w:rFonts w:ascii="Arial" w:hAnsi="Arial" w:cs="Arial"/>
          <w:sz w:val="24"/>
          <w:szCs w:val="24"/>
          <w:lang w:val="en-GB"/>
        </w:rPr>
        <w:fldChar w:fldCharType="end"/>
      </w:r>
      <w:r w:rsidRPr="00845AF7">
        <w:rPr>
          <w:rFonts w:ascii="Arial" w:hAnsi="Arial" w:cs="Arial"/>
          <w:sz w:val="24"/>
          <w:szCs w:val="24"/>
          <w:lang w:val="en-GB"/>
        </w:rPr>
        <w:t xml:space="preserve">. </w:t>
      </w:r>
      <w:r>
        <w:rPr>
          <w:rFonts w:ascii="Arial" w:hAnsi="Arial" w:cs="Arial"/>
          <w:sz w:val="24"/>
          <w:szCs w:val="24"/>
          <w:lang w:val="en-GB"/>
        </w:rPr>
        <w:t>E</w:t>
      </w:r>
      <w:r w:rsidRPr="00845AF7">
        <w:rPr>
          <w:rFonts w:ascii="Arial" w:hAnsi="Arial" w:cs="Arial"/>
          <w:sz w:val="24"/>
          <w:szCs w:val="24"/>
          <w:lang w:val="en-GB"/>
        </w:rPr>
        <w:t xml:space="preserve">ach centre </w:t>
      </w:r>
      <w:r>
        <w:rPr>
          <w:rFonts w:ascii="Arial" w:hAnsi="Arial" w:cs="Arial"/>
          <w:sz w:val="24"/>
          <w:szCs w:val="24"/>
          <w:lang w:val="en-GB"/>
        </w:rPr>
        <w:t xml:space="preserve">affiliated with the Saudi MoH </w:t>
      </w:r>
      <w:r w:rsidRPr="00845AF7">
        <w:rPr>
          <w:rFonts w:ascii="Arial" w:hAnsi="Arial" w:cs="Arial"/>
          <w:sz w:val="24"/>
          <w:szCs w:val="24"/>
          <w:lang w:val="en-GB"/>
        </w:rPr>
        <w:t>provided healthcare services to around 13,455 people</w:t>
      </w:r>
      <w:r>
        <w:rPr>
          <w:rFonts w:ascii="Arial" w:hAnsi="Arial" w:cs="Arial"/>
          <w:sz w:val="24"/>
          <w:szCs w:val="24"/>
          <w:lang w:val="en-GB"/>
        </w:rPr>
        <w:t xml:space="preserve"> (</w:t>
      </w:r>
      <w:r w:rsidRPr="00845AF7">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{"citationItems":[{"id":"ITEM-1","itemData":{"DOI":"10.1080/20479700.2018.1433459","ISSN":"2047-9700","abstract":"With an anticipated population increase of 33% over the next three decades, the Saudi Arabian healthcare sector needs to cater to an every growing population and demand of healthcare services. The demand for healthcare is high as compared to the supply of healthcare services, a scenario recognized by the Saudi Arabian government, which has lately encouraged the private sector to match the shortfall and benefit from this potentially lucrative sector. This exploratory research thus assesses the development of healthcare services in the Kingdom of Saudi Arabia over the past nine decades and key elements impacting the Saudi Arabian healthcare sector and its future. The research indicates that automation would be a reality, training, and development of healthcare professional would gain a centre stage, and primary healthcare centres would be further developed. The research concludes that both public and private sector should address the issue of shortage of beds at the earliest, by utilizing the funding to develop new hospitals and also, by improving and growing the existing facilities. Furthermore, the government should restructure the funding of the healthcare sector so that it becomes self-reliant and less dependent on the government budget.","author":[{"dropping-particle":"","family":"Sajjad","given":"Rumaiya","non-dropping-particle":"","parse-names":false,"suffix":""},{"dropping-particle":"","family":"Qureshi","given":"Mohammed Owais","non-dropping-particle":"","parse-names":false,"suffix":""}],"container-title":"International Journal of Healthcare Management","id":"ITEM-1","issue":"0","issued":{"date-parts":[["2018"]]},"page":"1-9","publisher":"Taylor &amp; Francis","title":"An assessment of the healthcare services in the Kingdom of Saudi Arabia: An analysis of the old, current, and future systems","type":"article-journal","volume":"0"},"uris":["http://www.mendeley.com/documents/?uuid=ae0fa0c1-626d-44f6-9ba0-04544fca426b"]}],"mendeley":{"formattedCitation":"(Sajjad and Qureshi, 2018)","manualFormatting":"Sajjad and Qureshi, 2018)","plainTextFormattedCitation":"(Sajjad and Qureshi, 2018)","previouslyFormattedCitation":"(Sajjad and Qureshi, 2018)"},"properties":{"noteIndex":0},"schema":"https://github.com/citation-style-language/schema/raw/master/csl-citation.json"}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Sajjad and Qureshi, 2018)</w:t>
      </w:r>
      <w:r w:rsidRPr="00845AF7">
        <w:rPr>
          <w:rFonts w:ascii="Arial" w:hAnsi="Arial" w:cs="Arial"/>
          <w:sz w:val="24"/>
          <w:szCs w:val="24"/>
          <w:lang w:val="en-GB"/>
        </w:rPr>
        <w:fldChar w:fldCharType="end"/>
      </w:r>
      <w:r w:rsidRPr="00845AF7">
        <w:rPr>
          <w:rFonts w:ascii="Arial" w:hAnsi="Arial" w:cs="Arial"/>
          <w:sz w:val="24"/>
          <w:szCs w:val="24"/>
          <w:lang w:val="en-GB"/>
        </w:rPr>
        <w:t>. Therefore, a minimum four of pharmacy work</w:t>
      </w:r>
      <w:r>
        <w:rPr>
          <w:rFonts w:ascii="Arial" w:hAnsi="Arial" w:cs="Arial"/>
          <w:sz w:val="24"/>
          <w:szCs w:val="24"/>
          <w:lang w:val="en-GB"/>
        </w:rPr>
        <w:t>ers</w:t>
      </w:r>
      <w:r w:rsidRPr="00845AF7">
        <w:rPr>
          <w:rFonts w:ascii="Arial" w:hAnsi="Arial" w:cs="Arial"/>
          <w:sz w:val="24"/>
          <w:szCs w:val="24"/>
          <w:lang w:val="en-GB"/>
        </w:rPr>
        <w:t xml:space="preserve"> are needed in each centre</w:t>
      </w:r>
      <w:r>
        <w:rPr>
          <w:rFonts w:ascii="Arial" w:hAnsi="Arial" w:cs="Arial"/>
          <w:sz w:val="24"/>
          <w:szCs w:val="24"/>
          <w:lang w:val="en-GB"/>
        </w:rPr>
        <w:t>. T</w:t>
      </w:r>
      <w:r w:rsidRPr="00845AF7">
        <w:rPr>
          <w:rFonts w:ascii="Arial" w:hAnsi="Arial" w:cs="Arial"/>
          <w:sz w:val="24"/>
          <w:szCs w:val="24"/>
          <w:lang w:val="en-GB"/>
        </w:rPr>
        <w:t xml:space="preserve">his </w:t>
      </w:r>
      <w:r>
        <w:rPr>
          <w:rFonts w:ascii="Arial" w:hAnsi="Arial" w:cs="Arial"/>
          <w:sz w:val="24"/>
          <w:szCs w:val="24"/>
          <w:lang w:val="en-GB"/>
        </w:rPr>
        <w:t>wa</w:t>
      </w:r>
      <w:r w:rsidRPr="00845AF7">
        <w:rPr>
          <w:rFonts w:ascii="Arial" w:hAnsi="Arial" w:cs="Arial"/>
          <w:sz w:val="24"/>
          <w:szCs w:val="24"/>
          <w:lang w:val="en-GB"/>
        </w:rPr>
        <w:t>s not the situation as in 2018,</w:t>
      </w:r>
      <w:r>
        <w:rPr>
          <w:rFonts w:ascii="Arial" w:hAnsi="Arial" w:cs="Arial"/>
          <w:sz w:val="24"/>
          <w:szCs w:val="24"/>
          <w:lang w:val="en-GB"/>
        </w:rPr>
        <w:t xml:space="preserve"> when</w:t>
      </w:r>
      <w:r w:rsidRPr="00845AF7">
        <w:rPr>
          <w:rFonts w:ascii="Arial" w:hAnsi="Arial" w:cs="Arial"/>
          <w:sz w:val="24"/>
          <w:szCs w:val="24"/>
          <w:lang w:val="en-GB"/>
        </w:rPr>
        <w:t xml:space="preserve"> the number of PHCs in SA reached  2,390, and the total number of pharmacists in these centres was 536, with the rate of 0.16 pharmacists/10,000 population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{"citationItems":[{"id":"ITEM-1","itemData":{"author":[{"dropping-particle":"","family":"Saudi Ministry of Health","given":"","non-dropping-particle":"","parse-names":false,"suffix":""}],"id":"ITEM-1","issued":{"date-parts":[["2018"]]},"title":"Statistical Book for the year 2018","type":"report"},"uris":["http://www.mendeley.com/documents/?uuid=576b6b3a-8e14-3c3c-89c2-4778a4af3a31"]}],"mendeley":{"formattedCitation":"(Saudi Ministry of Health, 2018)","plainTextFormattedCitation":"(Saudi Ministry of Health, 2018)","previouslyFormattedCitation":"(Saudi Ministry of Health, 2018)"},"properties":{"noteIndex":0},"schema":"https://github.com/citation-style-language/schema/raw/master/csl-citation.json"}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(Saudi Ministry of Health, 2018)</w:t>
      </w:r>
      <w:r w:rsidRPr="00845AF7">
        <w:rPr>
          <w:rFonts w:ascii="Arial" w:hAnsi="Arial" w:cs="Arial"/>
          <w:sz w:val="24"/>
          <w:szCs w:val="24"/>
          <w:lang w:val="en-GB"/>
        </w:rPr>
        <w:fldChar w:fldCharType="end"/>
      </w:r>
      <w:r w:rsidRPr="00845AF7">
        <w:rPr>
          <w:rFonts w:ascii="Arial" w:hAnsi="Arial" w:cs="Arial"/>
          <w:sz w:val="24"/>
          <w:szCs w:val="24"/>
          <w:lang w:val="en-GB"/>
        </w:rPr>
        <w:t>. This figure indicate</w:t>
      </w:r>
      <w:r>
        <w:rPr>
          <w:rFonts w:ascii="Arial" w:hAnsi="Arial" w:cs="Arial"/>
          <w:sz w:val="24"/>
          <w:szCs w:val="24"/>
          <w:lang w:val="en-GB"/>
        </w:rPr>
        <w:t>d</w:t>
      </w:r>
      <w:r w:rsidRPr="00845AF7">
        <w:rPr>
          <w:rFonts w:ascii="Arial" w:hAnsi="Arial" w:cs="Arial"/>
          <w:sz w:val="24"/>
          <w:szCs w:val="24"/>
          <w:lang w:val="en-GB"/>
        </w:rPr>
        <w:t xml:space="preserve"> shortages in pharmacy staff who cover these centres</w:t>
      </w:r>
      <w:r>
        <w:rPr>
          <w:rFonts w:ascii="Arial" w:hAnsi="Arial" w:cs="Arial"/>
          <w:sz w:val="24"/>
          <w:szCs w:val="24"/>
          <w:lang w:val="en-GB"/>
        </w:rPr>
        <w:t xml:space="preserve">, and the results of this research provide further support of the pharmacy staff shortages, see </w:t>
      </w:r>
      <w:r>
        <w:rPr>
          <w:rFonts w:ascii="Arial" w:hAnsi="Arial" w:cs="Arial"/>
          <w:sz w:val="24"/>
          <w:szCs w:val="24"/>
          <w:lang w:val="en-GB"/>
        </w:rPr>
        <w:fldChar w:fldCharType="begin"/>
      </w:r>
      <w:r>
        <w:rPr>
          <w:rFonts w:ascii="Arial" w:hAnsi="Arial" w:cs="Arial"/>
          <w:sz w:val="24"/>
          <w:szCs w:val="24"/>
          <w:lang w:val="en-GB"/>
        </w:rPr>
        <w:instrText xml:space="preserve"> REF _Ref124816238 \n \h </w:instrText>
      </w:r>
      <w:r>
        <w:rPr>
          <w:rFonts w:ascii="Arial" w:hAnsi="Arial" w:cs="Arial"/>
          <w:sz w:val="24"/>
          <w:szCs w:val="24"/>
          <w:lang w:val="en-GB"/>
        </w:rPr>
      </w:r>
      <w:r>
        <w:rPr>
          <w:rFonts w:ascii="Arial" w:hAnsi="Arial" w:cs="Arial"/>
          <w:sz w:val="24"/>
          <w:szCs w:val="24"/>
          <w:lang w:val="en-GB"/>
        </w:rPr>
        <w:fldChar w:fldCharType="separate"/>
      </w:r>
      <w:r>
        <w:rPr>
          <w:rFonts w:ascii="Arial" w:hAnsi="Arial" w:cs="Arial"/>
          <w:sz w:val="24"/>
          <w:szCs w:val="24"/>
          <w:cs/>
          <w:lang w:val="en-GB"/>
        </w:rPr>
        <w:t>‎</w:t>
      </w:r>
      <w:r w:rsidRPr="00D707C3">
        <w:rPr>
          <w:rFonts w:ascii="Arial" w:hAnsi="Arial" w:cs="Arial"/>
          <w:color w:val="1F3864" w:themeColor="accent1" w:themeShade="80"/>
          <w:sz w:val="24"/>
          <w:szCs w:val="24"/>
          <w:lang w:val="en-GB"/>
        </w:rPr>
        <w:t>1.5.1</w:t>
      </w:r>
      <w:r>
        <w:rPr>
          <w:rFonts w:ascii="Arial" w:hAnsi="Arial" w:cs="Arial"/>
          <w:sz w:val="24"/>
          <w:szCs w:val="24"/>
          <w:lang w:val="en-GB"/>
        </w:rPr>
        <w:fldChar w:fldCharType="end"/>
      </w:r>
      <w:r>
        <w:rPr>
          <w:rFonts w:ascii="Arial" w:hAnsi="Arial" w:cs="Arial"/>
          <w:sz w:val="24"/>
          <w:szCs w:val="24"/>
          <w:lang w:val="en-GB"/>
        </w:rPr>
        <w:t>.</w:t>
      </w:r>
    </w:p>
    <w:p w14:paraId="23413099" w14:textId="77777777" w:rsidR="00747BE4" w:rsidRPr="00175068" w:rsidRDefault="00747BE4" w:rsidP="00747BE4">
      <w:pPr>
        <w:spacing w:line="360" w:lineRule="auto"/>
        <w:jc w:val="both"/>
        <w:rPr>
          <w:rFonts w:ascii="Arial" w:hAnsi="Arial" w:cs="Arial"/>
          <w:sz w:val="24"/>
          <w:szCs w:val="24"/>
        </w:rPr>
      </w:pPr>
      <w:r w:rsidRPr="00845AF7">
        <w:rPr>
          <w:rFonts w:ascii="Arial" w:hAnsi="Arial" w:cs="Arial"/>
          <w:sz w:val="24"/>
          <w:szCs w:val="24"/>
          <w:lang w:val="en-GB"/>
        </w:rPr>
        <w:t xml:space="preserve">However, the number of pharmacy staff that was recommended by the former general manager of </w:t>
      </w:r>
      <w:r>
        <w:rPr>
          <w:rFonts w:ascii="Arial" w:hAnsi="Arial" w:cs="Arial"/>
          <w:sz w:val="24"/>
          <w:szCs w:val="24"/>
          <w:lang w:val="en-GB"/>
        </w:rPr>
        <w:t xml:space="preserve">the </w:t>
      </w:r>
      <w:r w:rsidRPr="00845AF7">
        <w:rPr>
          <w:rFonts w:ascii="Arial" w:hAnsi="Arial" w:cs="Arial"/>
          <w:sz w:val="24"/>
          <w:szCs w:val="24"/>
          <w:lang w:val="en-GB"/>
        </w:rPr>
        <w:t xml:space="preserve">general administration of pharmaceutical care in the Saudi </w:t>
      </w:r>
      <w:r>
        <w:rPr>
          <w:rFonts w:ascii="Arial" w:hAnsi="Arial" w:cs="Arial"/>
          <w:sz w:val="24"/>
          <w:szCs w:val="24"/>
          <w:lang w:val="en-GB"/>
        </w:rPr>
        <w:t>MoH</w:t>
      </w:r>
      <w:r w:rsidRPr="00845AF7">
        <w:rPr>
          <w:rFonts w:ascii="Arial" w:hAnsi="Arial" w:cs="Arial"/>
          <w:sz w:val="24"/>
          <w:szCs w:val="24"/>
          <w:lang w:val="en-GB"/>
        </w:rPr>
        <w:t xml:space="preserve"> in 2014 might </w:t>
      </w:r>
      <w:r>
        <w:rPr>
          <w:rFonts w:ascii="Arial" w:hAnsi="Arial" w:cs="Arial"/>
          <w:sz w:val="24"/>
          <w:szCs w:val="24"/>
          <w:lang w:val="en-GB"/>
        </w:rPr>
        <w:t xml:space="preserve">have </w:t>
      </w:r>
      <w:r w:rsidRPr="00845AF7">
        <w:rPr>
          <w:rFonts w:ascii="Arial" w:hAnsi="Arial" w:cs="Arial"/>
          <w:sz w:val="24"/>
          <w:szCs w:val="24"/>
          <w:lang w:val="en-GB"/>
        </w:rPr>
        <w:t>change</w:t>
      </w:r>
      <w:r>
        <w:rPr>
          <w:rFonts w:ascii="Arial" w:hAnsi="Arial" w:cs="Arial"/>
          <w:sz w:val="24"/>
          <w:szCs w:val="24"/>
          <w:lang w:val="en-GB"/>
        </w:rPr>
        <w:t>d</w:t>
      </w:r>
      <w:r w:rsidRPr="00845AF7">
        <w:rPr>
          <w:rFonts w:ascii="Arial" w:hAnsi="Arial" w:cs="Arial"/>
          <w:sz w:val="24"/>
          <w:szCs w:val="24"/>
          <w:lang w:val="en-GB"/>
        </w:rPr>
        <w:t xml:space="preserve"> due to the closing of pharmacies at these centres, but several studies (</w:t>
      </w:r>
      <w:r w:rsidRPr="00845AF7">
        <w:rPr>
          <w:rFonts w:ascii="Arial" w:hAnsi="Arial" w:cs="Arial"/>
          <w:noProof/>
          <w:sz w:val="24"/>
          <w:szCs w:val="24"/>
          <w:lang w:val="en-GB"/>
        </w:rPr>
        <w:t xml:space="preserve">Tan </w:t>
      </w:r>
      <w:r w:rsidRPr="00845AF7">
        <w:rPr>
          <w:rFonts w:ascii="Arial" w:hAnsi="Arial" w:cs="Arial"/>
          <w:i/>
          <w:noProof/>
          <w:sz w:val="24"/>
          <w:szCs w:val="24"/>
          <w:lang w:val="en-GB"/>
        </w:rPr>
        <w:t>et al.</w:t>
      </w:r>
      <w:r w:rsidRPr="00845AF7">
        <w:rPr>
          <w:rFonts w:ascii="Arial" w:hAnsi="Arial" w:cs="Arial"/>
          <w:noProof/>
          <w:sz w:val="24"/>
          <w:szCs w:val="24"/>
          <w:lang w:val="en-GB"/>
        </w:rPr>
        <w:t xml:space="preserve">, 2014, Simpson </w:t>
      </w:r>
      <w:r w:rsidRPr="00845AF7">
        <w:rPr>
          <w:rFonts w:ascii="Arial" w:hAnsi="Arial" w:cs="Arial"/>
          <w:i/>
          <w:noProof/>
          <w:sz w:val="24"/>
          <w:szCs w:val="24"/>
          <w:lang w:val="en-GB"/>
        </w:rPr>
        <w:t>et al.</w:t>
      </w:r>
      <w:r w:rsidRPr="00845AF7">
        <w:rPr>
          <w:rFonts w:ascii="Arial" w:hAnsi="Arial" w:cs="Arial"/>
          <w:noProof/>
          <w:sz w:val="24"/>
          <w:szCs w:val="24"/>
          <w:lang w:val="en-GB"/>
        </w:rPr>
        <w:t xml:space="preserve">, 2015, </w:t>
      </w:r>
      <w:r w:rsidRPr="00845AF7">
        <w:rPr>
          <w:rFonts w:ascii="Arial" w:hAnsi="Arial" w:cs="Arial"/>
          <w:sz w:val="24"/>
          <w:szCs w:val="24"/>
          <w:lang w:val="en-GB"/>
        </w:rPr>
        <w:t xml:space="preserve"> </w:t>
      </w:r>
      <w:r w:rsidRPr="00845AF7">
        <w:rPr>
          <w:rFonts w:ascii="Arial" w:hAnsi="Arial" w:cs="Arial"/>
          <w:noProof/>
          <w:sz w:val="24"/>
          <w:szCs w:val="24"/>
          <w:lang w:val="en-GB"/>
        </w:rPr>
        <w:t xml:space="preserve">Moreno </w:t>
      </w:r>
      <w:r w:rsidRPr="00845AF7">
        <w:rPr>
          <w:rFonts w:ascii="Arial" w:hAnsi="Arial" w:cs="Arial"/>
          <w:i/>
          <w:noProof/>
          <w:sz w:val="24"/>
          <w:szCs w:val="24"/>
          <w:lang w:val="en-GB"/>
        </w:rPr>
        <w:t>et al.</w:t>
      </w:r>
      <w:r w:rsidRPr="00845AF7">
        <w:rPr>
          <w:rFonts w:ascii="Arial" w:hAnsi="Arial" w:cs="Arial"/>
          <w:noProof/>
          <w:sz w:val="24"/>
          <w:szCs w:val="24"/>
          <w:lang w:val="en-GB"/>
        </w:rPr>
        <w:t xml:space="preserve">, 2017, Blondal </w:t>
      </w:r>
      <w:r w:rsidRPr="00033021">
        <w:rPr>
          <w:rFonts w:ascii="Arial" w:hAnsi="Arial" w:cs="Arial"/>
          <w:i/>
          <w:noProof/>
          <w:sz w:val="24"/>
          <w:szCs w:val="24"/>
          <w:lang w:val="en-GB"/>
        </w:rPr>
        <w:t>et al.,</w:t>
      </w:r>
      <w:r w:rsidRPr="00845AF7">
        <w:rPr>
          <w:rFonts w:ascii="Arial" w:hAnsi="Arial" w:cs="Arial"/>
          <w:noProof/>
          <w:sz w:val="24"/>
          <w:szCs w:val="24"/>
          <w:lang w:val="en-GB"/>
        </w:rPr>
        <w:t xml:space="preserve"> 2017, </w:t>
      </w:r>
      <w:r>
        <w:rPr>
          <w:rFonts w:ascii="Arial" w:hAnsi="Arial" w:cs="Arial"/>
          <w:noProof/>
          <w:sz w:val="24"/>
          <w:szCs w:val="24"/>
          <w:lang w:val="en-GB"/>
        </w:rPr>
        <w:t xml:space="preserve">Alomi, 2017 </w:t>
      </w:r>
      <w:r w:rsidRPr="00845AF7">
        <w:rPr>
          <w:rFonts w:ascii="Arial" w:hAnsi="Arial" w:cs="Arial"/>
          <w:noProof/>
          <w:sz w:val="24"/>
          <w:szCs w:val="24"/>
          <w:lang w:val="en-GB"/>
        </w:rPr>
        <w:t xml:space="preserve">and Abdulrhim </w:t>
      </w:r>
      <w:r w:rsidRPr="00845AF7">
        <w:rPr>
          <w:rFonts w:ascii="Arial" w:hAnsi="Arial" w:cs="Arial"/>
          <w:i/>
          <w:noProof/>
          <w:sz w:val="24"/>
          <w:szCs w:val="24"/>
          <w:lang w:val="en-GB"/>
        </w:rPr>
        <w:t>et al.</w:t>
      </w:r>
      <w:r w:rsidRPr="00845AF7">
        <w:rPr>
          <w:rFonts w:ascii="Arial" w:hAnsi="Arial" w:cs="Arial"/>
          <w:noProof/>
          <w:sz w:val="24"/>
          <w:szCs w:val="24"/>
          <w:lang w:val="en-GB"/>
        </w:rPr>
        <w:t>, 2019</w:t>
      </w:r>
      <w:r>
        <w:rPr>
          <w:rFonts w:ascii="Arial" w:hAnsi="Arial" w:cs="Arial"/>
          <w:noProof/>
          <w:sz w:val="24"/>
          <w:szCs w:val="24"/>
          <w:lang w:val="en-GB"/>
        </w:rPr>
        <w:t>)</w:t>
      </w:r>
      <w:r w:rsidRPr="00845AF7">
        <w:rPr>
          <w:rFonts w:ascii="Arial" w:hAnsi="Arial" w:cs="Arial"/>
          <w:sz w:val="24"/>
          <w:szCs w:val="24"/>
          <w:lang w:val="en-GB"/>
        </w:rPr>
        <w:t xml:space="preserve">, recommend the need for a minimum </w:t>
      </w:r>
      <w:r>
        <w:rPr>
          <w:rFonts w:ascii="Arial" w:hAnsi="Arial" w:cs="Arial"/>
          <w:sz w:val="24"/>
          <w:szCs w:val="24"/>
          <w:lang w:val="en-GB"/>
        </w:rPr>
        <w:t xml:space="preserve">of a </w:t>
      </w:r>
      <w:r w:rsidRPr="00845AF7">
        <w:rPr>
          <w:rFonts w:ascii="Arial" w:hAnsi="Arial" w:cs="Arial"/>
          <w:sz w:val="24"/>
          <w:szCs w:val="24"/>
          <w:lang w:val="en-GB"/>
        </w:rPr>
        <w:t>general clinical pharmacist to provide pharmaceutical care for patients in primary care settings.</w:t>
      </w:r>
    </w:p>
    <w:p w14:paraId="16F22178" w14:textId="77777777" w:rsidR="00747BE4" w:rsidRDefault="00747BE4" w:rsidP="00747BE4">
      <w:pPr>
        <w:spacing w:line="360" w:lineRule="auto"/>
        <w:jc w:val="both"/>
        <w:rPr>
          <w:rFonts w:asciiTheme="minorBidi" w:hAnsiTheme="minorBidi"/>
          <w:sz w:val="24"/>
          <w:szCs w:val="24"/>
        </w:rPr>
      </w:pPr>
      <w:r>
        <w:rPr>
          <w:rFonts w:ascii="Arial" w:hAnsi="Arial" w:cs="Arial"/>
          <w:sz w:val="24"/>
          <w:szCs w:val="24"/>
          <w:lang w:val="en-GB"/>
        </w:rPr>
        <w:t xml:space="preserve">Due to </w:t>
      </w:r>
      <w:r w:rsidRPr="006B2FC7">
        <w:rPr>
          <w:rFonts w:ascii="Arial" w:hAnsi="Arial" w:cs="Arial"/>
          <w:sz w:val="24"/>
          <w:szCs w:val="24"/>
        </w:rPr>
        <w:t>shortages in the pharmacy workforce in PHCs in SA</w:t>
      </w:r>
      <w:r>
        <w:rPr>
          <w:rFonts w:ascii="Arial" w:hAnsi="Arial" w:cs="Arial"/>
          <w:sz w:val="24"/>
          <w:szCs w:val="24"/>
        </w:rPr>
        <w:t>,</w:t>
      </w:r>
      <w:r w:rsidRPr="006B2FC7">
        <w:rPr>
          <w:rFonts w:ascii="Arial" w:hAnsi="Arial" w:cs="Arial"/>
          <w:sz w:val="24"/>
          <w:szCs w:val="24"/>
        </w:rPr>
        <w:t xml:space="preserve"> </w:t>
      </w:r>
      <w:r>
        <w:rPr>
          <w:rFonts w:ascii="Arial" w:hAnsi="Arial" w:cs="Arial"/>
          <w:sz w:val="24"/>
          <w:szCs w:val="24"/>
        </w:rPr>
        <w:t>as shown by this research, pharmacists were</w:t>
      </w:r>
      <w:r w:rsidRPr="006B2FC7">
        <w:rPr>
          <w:rFonts w:ascii="Arial" w:hAnsi="Arial" w:cs="Arial"/>
          <w:sz w:val="24"/>
          <w:szCs w:val="24"/>
        </w:rPr>
        <w:t xml:space="preserve"> overwhelmed by all the pharmacy duties; from the management of medication storage and supplies medication, dispensing, medication inspection, reporting monthly/quarterly/and annual statistics of dispensing medications, provision of drug information to </w:t>
      </w:r>
      <w:r>
        <w:rPr>
          <w:rFonts w:ascii="Arial" w:hAnsi="Arial" w:cs="Arial"/>
          <w:sz w:val="24"/>
          <w:szCs w:val="24"/>
        </w:rPr>
        <w:t>HCPs</w:t>
      </w:r>
      <w:r w:rsidRPr="006B2FC7">
        <w:rPr>
          <w:rFonts w:ascii="Arial" w:hAnsi="Arial" w:cs="Arial"/>
          <w:sz w:val="24"/>
          <w:szCs w:val="24"/>
        </w:rPr>
        <w:t xml:space="preserve"> and patients. This burden of tasks limit</w:t>
      </w:r>
      <w:r>
        <w:rPr>
          <w:rFonts w:ascii="Arial" w:hAnsi="Arial" w:cs="Arial"/>
          <w:sz w:val="24"/>
          <w:szCs w:val="24"/>
        </w:rPr>
        <w:t>ed</w:t>
      </w:r>
      <w:r w:rsidRPr="006B2FC7">
        <w:rPr>
          <w:rFonts w:ascii="Arial" w:hAnsi="Arial" w:cs="Arial"/>
          <w:sz w:val="24"/>
          <w:szCs w:val="24"/>
        </w:rPr>
        <w:t xml:space="preserve"> </w:t>
      </w:r>
      <w:r>
        <w:rPr>
          <w:rFonts w:ascii="Arial" w:hAnsi="Arial" w:cs="Arial"/>
          <w:sz w:val="24"/>
          <w:szCs w:val="24"/>
        </w:rPr>
        <w:t>their</w:t>
      </w:r>
      <w:r w:rsidRPr="006B2FC7">
        <w:rPr>
          <w:rFonts w:ascii="Arial" w:hAnsi="Arial" w:cs="Arial"/>
          <w:sz w:val="24"/>
          <w:szCs w:val="24"/>
        </w:rPr>
        <w:t xml:space="preserve"> contributio</w:t>
      </w:r>
      <w:r>
        <w:rPr>
          <w:rFonts w:ascii="Arial" w:hAnsi="Arial" w:cs="Arial"/>
          <w:sz w:val="24"/>
          <w:szCs w:val="24"/>
        </w:rPr>
        <w:t>ns</w:t>
      </w:r>
      <w:r w:rsidRPr="006B2FC7">
        <w:rPr>
          <w:rFonts w:ascii="Arial" w:hAnsi="Arial" w:cs="Arial"/>
          <w:sz w:val="24"/>
          <w:szCs w:val="24"/>
        </w:rPr>
        <w:t xml:space="preserve"> to diabetes care and providing more clinical intervention to diabetes patients</w:t>
      </w:r>
      <w:r>
        <w:rPr>
          <w:rFonts w:ascii="Arial" w:hAnsi="Arial" w:cs="Arial"/>
          <w:sz w:val="24"/>
          <w:szCs w:val="24"/>
        </w:rPr>
        <w:t xml:space="preserve">, and </w:t>
      </w:r>
      <w:r w:rsidRPr="005844E0">
        <w:rPr>
          <w:rFonts w:ascii="Arial" w:hAnsi="Arial" w:cs="Arial"/>
          <w:sz w:val="24"/>
          <w:szCs w:val="24"/>
        </w:rPr>
        <w:t>this is perhaps underusing them</w:t>
      </w:r>
      <w:r w:rsidRPr="006B2FC7">
        <w:rPr>
          <w:rFonts w:ascii="Arial" w:hAnsi="Arial" w:cs="Arial"/>
          <w:sz w:val="24"/>
          <w:szCs w:val="24"/>
        </w:rPr>
        <w:t>.</w:t>
      </w:r>
      <w:r>
        <w:rPr>
          <w:rFonts w:ascii="Arial" w:hAnsi="Arial" w:cs="Arial"/>
          <w:sz w:val="24"/>
          <w:szCs w:val="24"/>
        </w:rPr>
        <w:t xml:space="preserve"> </w:t>
      </w:r>
      <w:r w:rsidRPr="000431E0">
        <w:rPr>
          <w:rFonts w:asciiTheme="minorBidi" w:hAnsiTheme="minorBidi"/>
          <w:sz w:val="24"/>
          <w:szCs w:val="24"/>
        </w:rPr>
        <w:t xml:space="preserve">There was hope among the participants, especially pharmacists, that stopping the service of dispensing prescriptions from </w:t>
      </w:r>
      <w:r>
        <w:rPr>
          <w:rFonts w:asciiTheme="minorBidi" w:hAnsiTheme="minorBidi"/>
          <w:sz w:val="24"/>
          <w:szCs w:val="24"/>
        </w:rPr>
        <w:t>PHCs</w:t>
      </w:r>
      <w:r w:rsidRPr="000431E0">
        <w:rPr>
          <w:rFonts w:asciiTheme="minorBidi" w:hAnsiTheme="minorBidi"/>
          <w:sz w:val="24"/>
          <w:szCs w:val="24"/>
        </w:rPr>
        <w:t xml:space="preserve"> would provide an opportunity to provide advanced pharmaceutical care services to patients, but their transfer from </w:t>
      </w:r>
      <w:r>
        <w:rPr>
          <w:rFonts w:asciiTheme="minorBidi" w:hAnsiTheme="minorBidi"/>
          <w:sz w:val="24"/>
          <w:szCs w:val="24"/>
        </w:rPr>
        <w:t>PHCs</w:t>
      </w:r>
      <w:r w:rsidRPr="000431E0">
        <w:rPr>
          <w:rFonts w:asciiTheme="minorBidi" w:hAnsiTheme="minorBidi"/>
          <w:sz w:val="24"/>
          <w:szCs w:val="24"/>
        </w:rPr>
        <w:t xml:space="preserve"> affected the level of primary care </w:t>
      </w:r>
      <w:r>
        <w:rPr>
          <w:rFonts w:asciiTheme="minorBidi" w:hAnsiTheme="minorBidi"/>
          <w:sz w:val="24"/>
          <w:szCs w:val="24"/>
        </w:rPr>
        <w:t>services</w:t>
      </w:r>
      <w:r w:rsidRPr="000431E0">
        <w:rPr>
          <w:rFonts w:asciiTheme="minorBidi" w:hAnsiTheme="minorBidi"/>
          <w:sz w:val="24"/>
          <w:szCs w:val="24"/>
        </w:rPr>
        <w:t xml:space="preserve">. </w:t>
      </w:r>
      <w:r w:rsidRPr="00AD32D6">
        <w:rPr>
          <w:rFonts w:asciiTheme="minorBidi" w:hAnsiTheme="minorBidi"/>
          <w:sz w:val="24"/>
          <w:szCs w:val="24"/>
        </w:rPr>
        <w:t xml:space="preserve">This research </w:t>
      </w:r>
      <w:r w:rsidRPr="009D16FD">
        <w:rPr>
          <w:rFonts w:asciiTheme="minorBidi" w:hAnsiTheme="minorBidi"/>
          <w:sz w:val="24"/>
          <w:szCs w:val="24"/>
        </w:rPr>
        <w:t>suggested</w:t>
      </w:r>
      <w:r>
        <w:rPr>
          <w:rFonts w:asciiTheme="minorBidi" w:hAnsiTheme="minorBidi"/>
          <w:sz w:val="24"/>
          <w:szCs w:val="24"/>
        </w:rPr>
        <w:t xml:space="preserve"> </w:t>
      </w:r>
      <w:r w:rsidRPr="00AD32D6">
        <w:rPr>
          <w:rFonts w:asciiTheme="minorBidi" w:hAnsiTheme="minorBidi"/>
          <w:sz w:val="24"/>
          <w:szCs w:val="24"/>
        </w:rPr>
        <w:t xml:space="preserve">a lack of essential pharmaceutical services at the primary care level, such as checking prescriptions and educating patients about their medications resulting from pharmacists moving out of </w:t>
      </w:r>
      <w:r>
        <w:rPr>
          <w:rFonts w:asciiTheme="minorBidi" w:hAnsiTheme="minorBidi"/>
          <w:sz w:val="24"/>
          <w:szCs w:val="24"/>
        </w:rPr>
        <w:t>PHCs</w:t>
      </w:r>
      <w:r w:rsidRPr="00AD32D6">
        <w:rPr>
          <w:rFonts w:asciiTheme="minorBidi" w:hAnsiTheme="minorBidi"/>
          <w:sz w:val="24"/>
          <w:szCs w:val="24"/>
        </w:rPr>
        <w:t xml:space="preserve">. </w:t>
      </w:r>
      <w:r>
        <w:rPr>
          <w:rFonts w:asciiTheme="minorBidi" w:hAnsiTheme="minorBidi"/>
          <w:sz w:val="24"/>
          <w:szCs w:val="24"/>
        </w:rPr>
        <w:t>PHCs</w:t>
      </w:r>
      <w:r w:rsidRPr="00AD32D6">
        <w:rPr>
          <w:rFonts w:asciiTheme="minorBidi" w:hAnsiTheme="minorBidi"/>
          <w:sz w:val="24"/>
          <w:szCs w:val="24"/>
        </w:rPr>
        <w:t xml:space="preserve"> also currently suffer from a lack of </w:t>
      </w:r>
      <w:r>
        <w:rPr>
          <w:rFonts w:asciiTheme="minorBidi" w:hAnsiTheme="minorBidi"/>
          <w:sz w:val="24"/>
          <w:szCs w:val="24"/>
        </w:rPr>
        <w:t xml:space="preserve">a </w:t>
      </w:r>
      <w:r w:rsidRPr="00AD32D6">
        <w:rPr>
          <w:rFonts w:asciiTheme="minorBidi" w:hAnsiTheme="minorBidi"/>
          <w:sz w:val="24"/>
          <w:szCs w:val="24"/>
        </w:rPr>
        <w:t xml:space="preserve">drug information centre service, where pharmacists run this centre. This </w:t>
      </w:r>
      <w:r>
        <w:rPr>
          <w:rFonts w:asciiTheme="minorBidi" w:hAnsiTheme="minorBidi"/>
          <w:sz w:val="24"/>
          <w:szCs w:val="24"/>
        </w:rPr>
        <w:t>prevented</w:t>
      </w:r>
      <w:r w:rsidRPr="00AD32D6">
        <w:rPr>
          <w:rFonts w:asciiTheme="minorBidi" w:hAnsiTheme="minorBidi"/>
          <w:sz w:val="24"/>
          <w:szCs w:val="24"/>
        </w:rPr>
        <w:t xml:space="preserve"> primary </w:t>
      </w:r>
      <w:r>
        <w:rPr>
          <w:rFonts w:asciiTheme="minorBidi" w:hAnsiTheme="minorBidi"/>
          <w:sz w:val="24"/>
          <w:szCs w:val="24"/>
        </w:rPr>
        <w:t>HCPs</w:t>
      </w:r>
      <w:r w:rsidRPr="00AD32D6">
        <w:rPr>
          <w:rFonts w:asciiTheme="minorBidi" w:hAnsiTheme="minorBidi"/>
          <w:sz w:val="24"/>
          <w:szCs w:val="24"/>
        </w:rPr>
        <w:t xml:space="preserve"> and patients from receiving information about medicines from experts in this field. In addition, a medication review service provided by a pharmacist was also </w:t>
      </w:r>
      <w:r>
        <w:rPr>
          <w:rFonts w:asciiTheme="minorBidi" w:hAnsiTheme="minorBidi"/>
          <w:sz w:val="24"/>
          <w:szCs w:val="24"/>
        </w:rPr>
        <w:t>highlighted</w:t>
      </w:r>
      <w:r w:rsidRPr="00AD32D6">
        <w:rPr>
          <w:rFonts w:asciiTheme="minorBidi" w:hAnsiTheme="minorBidi"/>
          <w:sz w:val="24"/>
          <w:szCs w:val="24"/>
        </w:rPr>
        <w:t xml:space="preserve"> as an urgent need to save doctors time and effort in carrying out this task</w:t>
      </w:r>
      <w:r>
        <w:rPr>
          <w:rFonts w:asciiTheme="minorBidi" w:hAnsiTheme="minorBidi"/>
          <w:sz w:val="24"/>
          <w:szCs w:val="24"/>
        </w:rPr>
        <w:t>,</w:t>
      </w:r>
      <w:r w:rsidRPr="00AD32D6">
        <w:rPr>
          <w:rFonts w:asciiTheme="minorBidi" w:hAnsiTheme="minorBidi"/>
          <w:sz w:val="24"/>
          <w:szCs w:val="24"/>
        </w:rPr>
        <w:t xml:space="preserve"> </w:t>
      </w:r>
      <w:r>
        <w:rPr>
          <w:rFonts w:asciiTheme="minorBidi" w:hAnsiTheme="minorBidi"/>
          <w:sz w:val="24"/>
          <w:szCs w:val="24"/>
        </w:rPr>
        <w:t xml:space="preserve">and to </w:t>
      </w:r>
      <w:r w:rsidRPr="00353206">
        <w:rPr>
          <w:rFonts w:asciiTheme="minorBidi" w:hAnsiTheme="minorBidi"/>
          <w:sz w:val="24"/>
          <w:szCs w:val="24"/>
        </w:rPr>
        <w:t>enhance patient safety.</w:t>
      </w:r>
    </w:p>
    <w:p w14:paraId="5F59E491" w14:textId="77777777" w:rsidR="00796BC2" w:rsidRDefault="00747BE4" w:rsidP="00747BE4">
      <w:pPr>
        <w:spacing w:line="360" w:lineRule="auto"/>
        <w:jc w:val="both"/>
        <w:rPr>
          <w:rFonts w:asciiTheme="minorBidi" w:hAnsiTheme="minorBidi"/>
          <w:sz w:val="24"/>
          <w:szCs w:val="24"/>
        </w:rPr>
      </w:pPr>
      <w:r w:rsidRPr="00FB50FE">
        <w:rPr>
          <w:rFonts w:asciiTheme="minorBidi" w:hAnsiTheme="minorBidi"/>
          <w:sz w:val="24"/>
          <w:szCs w:val="24"/>
        </w:rPr>
        <w:t>The combination of findings helped us understand the primary care pharmacy situation</w:t>
      </w:r>
      <w:r w:rsidRPr="00D23FB0">
        <w:rPr>
          <w:rFonts w:asciiTheme="minorBidi" w:hAnsiTheme="minorBidi"/>
          <w:sz w:val="24"/>
          <w:szCs w:val="24"/>
        </w:rPr>
        <w:t xml:space="preserve"> in depth and gave us a complete picture of pharmacy services in PHCs. Without the interviews, it would not </w:t>
      </w:r>
      <w:r>
        <w:rPr>
          <w:rFonts w:asciiTheme="minorBidi" w:hAnsiTheme="minorBidi"/>
          <w:sz w:val="24"/>
          <w:szCs w:val="24"/>
        </w:rPr>
        <w:t xml:space="preserve">have </w:t>
      </w:r>
      <w:r w:rsidRPr="00D23FB0">
        <w:rPr>
          <w:rFonts w:asciiTheme="minorBidi" w:hAnsiTheme="minorBidi"/>
          <w:sz w:val="24"/>
          <w:szCs w:val="24"/>
        </w:rPr>
        <w:t>be</w:t>
      </w:r>
      <w:r>
        <w:rPr>
          <w:rFonts w:asciiTheme="minorBidi" w:hAnsiTheme="minorBidi"/>
          <w:sz w:val="24"/>
          <w:szCs w:val="24"/>
        </w:rPr>
        <w:t>en</w:t>
      </w:r>
      <w:r w:rsidRPr="00D23FB0">
        <w:rPr>
          <w:rFonts w:asciiTheme="minorBidi" w:hAnsiTheme="minorBidi"/>
          <w:sz w:val="24"/>
          <w:szCs w:val="24"/>
        </w:rPr>
        <w:t xml:space="preserve"> </w:t>
      </w:r>
      <w:r>
        <w:rPr>
          <w:rFonts w:asciiTheme="minorBidi" w:hAnsiTheme="minorBidi"/>
          <w:sz w:val="24"/>
          <w:szCs w:val="24"/>
        </w:rPr>
        <w:t xml:space="preserve">apparent </w:t>
      </w:r>
      <w:r w:rsidRPr="00D23FB0">
        <w:rPr>
          <w:rFonts w:asciiTheme="minorBidi" w:hAnsiTheme="minorBidi"/>
          <w:sz w:val="24"/>
          <w:szCs w:val="24"/>
        </w:rPr>
        <w:t xml:space="preserve">that the pharmacists were no longer on the diabetes team. Thus, this combination answers the research question concerning the current activities </w:t>
      </w:r>
      <w:r>
        <w:rPr>
          <w:rFonts w:asciiTheme="minorBidi" w:hAnsiTheme="minorBidi"/>
          <w:sz w:val="24"/>
          <w:szCs w:val="24"/>
        </w:rPr>
        <w:t xml:space="preserve">that </w:t>
      </w:r>
      <w:r w:rsidRPr="00D23FB0">
        <w:rPr>
          <w:rFonts w:asciiTheme="minorBidi" w:hAnsiTheme="minorBidi"/>
          <w:sz w:val="24"/>
          <w:szCs w:val="24"/>
        </w:rPr>
        <w:t xml:space="preserve">pharmacists in </w:t>
      </w:r>
      <w:r>
        <w:rPr>
          <w:rFonts w:asciiTheme="minorBidi" w:hAnsiTheme="minorBidi"/>
          <w:sz w:val="24"/>
          <w:szCs w:val="24"/>
          <w:shd w:val="clear" w:color="auto" w:fill="FFFFFF"/>
          <w:lang w:val="en-GB"/>
        </w:rPr>
        <w:t>SA</w:t>
      </w:r>
      <w:r w:rsidRPr="00D23FB0">
        <w:rPr>
          <w:rFonts w:asciiTheme="minorBidi" w:hAnsiTheme="minorBidi"/>
          <w:sz w:val="24"/>
          <w:szCs w:val="24"/>
        </w:rPr>
        <w:t xml:space="preserve"> provide for patients with diabetes.</w:t>
      </w:r>
      <w:r>
        <w:rPr>
          <w:rFonts w:asciiTheme="minorBidi" w:hAnsiTheme="minorBidi"/>
          <w:sz w:val="24"/>
          <w:szCs w:val="24"/>
        </w:rPr>
        <w:t xml:space="preserve"> </w:t>
      </w:r>
      <w:r w:rsidRPr="00856A18">
        <w:rPr>
          <w:rFonts w:asciiTheme="minorBidi" w:hAnsiTheme="minorBidi"/>
          <w:sz w:val="24"/>
          <w:szCs w:val="24"/>
        </w:rPr>
        <w:t xml:space="preserve">The main finding </w:t>
      </w:r>
      <w:r>
        <w:rPr>
          <w:rFonts w:asciiTheme="minorBidi" w:hAnsiTheme="minorBidi"/>
          <w:sz w:val="24"/>
          <w:szCs w:val="24"/>
        </w:rPr>
        <w:t>of</w:t>
      </w:r>
      <w:r w:rsidRPr="00856A18">
        <w:rPr>
          <w:rFonts w:asciiTheme="minorBidi" w:hAnsiTheme="minorBidi"/>
          <w:sz w:val="24"/>
          <w:szCs w:val="24"/>
        </w:rPr>
        <w:t xml:space="preserve"> this question is that the pharmacist is not currently part of the diabetes primary care team. People with diabetes receive their medication from retail community pharmac</w:t>
      </w:r>
      <w:r>
        <w:rPr>
          <w:rFonts w:asciiTheme="minorBidi" w:hAnsiTheme="minorBidi"/>
          <w:sz w:val="24"/>
          <w:szCs w:val="24"/>
        </w:rPr>
        <w:t>ies</w:t>
      </w:r>
      <w:r w:rsidRPr="00856A18">
        <w:rPr>
          <w:rFonts w:asciiTheme="minorBidi" w:hAnsiTheme="minorBidi"/>
          <w:sz w:val="24"/>
          <w:szCs w:val="24"/>
        </w:rPr>
        <w:t>, where the current role of pharmacists is to prepare and dispense their prescriptions.  This research shows pharmacists should play vital roles in managing diabetes rather than being limited to the traditional prescription-filling role. It shows that a medication review and diabetes education service should be provided to patients with diabetes. The pharmacist should also offer advanced clinical roles such as medication therapy management and prescribing in the future.</w:t>
      </w:r>
      <w:r>
        <w:rPr>
          <w:rFonts w:asciiTheme="minorBidi" w:hAnsiTheme="minorBidi"/>
          <w:sz w:val="24"/>
          <w:szCs w:val="24"/>
        </w:rPr>
        <w:t xml:space="preserve"> </w:t>
      </w:r>
    </w:p>
    <w:p w14:paraId="61FAC1CC" w14:textId="105D28E3" w:rsidR="00747BE4" w:rsidRPr="00A86FFB" w:rsidRDefault="00CE625C" w:rsidP="00910C34">
      <w:pPr>
        <w:spacing w:after="0" w:line="360" w:lineRule="auto"/>
        <w:jc w:val="both"/>
        <w:rPr>
          <w:rFonts w:asciiTheme="minorBidi" w:hAnsiTheme="minorBidi"/>
          <w:sz w:val="24"/>
          <w:szCs w:val="24"/>
          <w:lang w:val="fr-FR"/>
        </w:rPr>
      </w:pPr>
      <w:r w:rsidRPr="00A86FFB">
        <w:rPr>
          <w:rFonts w:asciiTheme="minorBidi" w:hAnsiTheme="minorBidi"/>
          <w:sz w:val="24"/>
          <w:szCs w:val="24"/>
        </w:rPr>
        <w:t>The finding</w:t>
      </w:r>
      <w:r w:rsidR="00EE60AF" w:rsidRPr="00A86FFB">
        <w:rPr>
          <w:rFonts w:asciiTheme="minorBidi" w:hAnsiTheme="minorBidi"/>
          <w:sz w:val="24"/>
          <w:szCs w:val="24"/>
        </w:rPr>
        <w:t>s</w:t>
      </w:r>
      <w:r w:rsidRPr="00A86FFB">
        <w:rPr>
          <w:rFonts w:asciiTheme="minorBidi" w:hAnsiTheme="minorBidi"/>
          <w:sz w:val="24"/>
          <w:szCs w:val="24"/>
        </w:rPr>
        <w:t xml:space="preserve"> of this study broadly </w:t>
      </w:r>
      <w:r w:rsidR="0034434A" w:rsidRPr="00A86FFB">
        <w:rPr>
          <w:rFonts w:asciiTheme="minorBidi" w:hAnsiTheme="minorBidi"/>
          <w:sz w:val="24"/>
          <w:szCs w:val="24"/>
        </w:rPr>
        <w:t>support</w:t>
      </w:r>
      <w:r w:rsidRPr="00A86FFB">
        <w:rPr>
          <w:rFonts w:asciiTheme="minorBidi" w:hAnsiTheme="minorBidi"/>
          <w:sz w:val="24"/>
          <w:szCs w:val="24"/>
        </w:rPr>
        <w:t xml:space="preserve"> pharmacists' involvement in diabetes care and </w:t>
      </w:r>
      <w:r w:rsidR="00EE60AF" w:rsidRPr="00A86FFB">
        <w:rPr>
          <w:rFonts w:asciiTheme="minorBidi" w:hAnsiTheme="minorBidi"/>
          <w:sz w:val="24"/>
          <w:szCs w:val="24"/>
        </w:rPr>
        <w:t>are</w:t>
      </w:r>
      <w:r w:rsidRPr="00A86FFB">
        <w:rPr>
          <w:rFonts w:asciiTheme="minorBidi" w:hAnsiTheme="minorBidi"/>
          <w:sz w:val="24"/>
          <w:szCs w:val="24"/>
        </w:rPr>
        <w:t xml:space="preserve"> consistent with other studies</w:t>
      </w:r>
      <w:r w:rsidR="00EE60AF" w:rsidRPr="00A86FFB">
        <w:rPr>
          <w:rFonts w:asciiTheme="minorBidi" w:hAnsiTheme="minorBidi"/>
          <w:sz w:val="24"/>
          <w:szCs w:val="24"/>
        </w:rPr>
        <w:t xml:space="preserve"> identified in the chapter two literature review</w:t>
      </w:r>
      <w:r w:rsidRPr="00A86FFB">
        <w:rPr>
          <w:rFonts w:asciiTheme="minorBidi" w:hAnsiTheme="minorBidi"/>
          <w:sz w:val="24"/>
          <w:szCs w:val="24"/>
        </w:rPr>
        <w:t>.</w:t>
      </w:r>
      <w:r w:rsidR="004D2E3F" w:rsidRPr="00A86FFB">
        <w:rPr>
          <w:rFonts w:asciiTheme="minorBidi" w:hAnsiTheme="minorBidi"/>
          <w:sz w:val="24"/>
          <w:szCs w:val="24"/>
        </w:rPr>
        <w:t xml:space="preserve"> </w:t>
      </w:r>
      <w:r w:rsidR="00E47259" w:rsidRPr="00A86FFB">
        <w:rPr>
          <w:rFonts w:asciiTheme="minorBidi" w:hAnsiTheme="minorBidi"/>
          <w:sz w:val="24"/>
          <w:szCs w:val="24"/>
        </w:rPr>
        <w:t xml:space="preserve">Expanding the scope of pharmacy practice in primary care to provide diabetes-related services, including </w:t>
      </w:r>
      <w:r w:rsidR="001F26F8" w:rsidRPr="00A86FFB">
        <w:rPr>
          <w:rFonts w:asciiTheme="minorBidi" w:hAnsiTheme="minorBidi"/>
          <w:sz w:val="24"/>
          <w:szCs w:val="24"/>
        </w:rPr>
        <w:t>medication</w:t>
      </w:r>
      <w:r w:rsidR="00E47259" w:rsidRPr="00A86FFB">
        <w:rPr>
          <w:rFonts w:asciiTheme="minorBidi" w:hAnsiTheme="minorBidi"/>
          <w:sz w:val="24"/>
          <w:szCs w:val="24"/>
        </w:rPr>
        <w:t xml:space="preserve"> therapy management and other advanced clinical pharmacy services, such as services reported and described in previous studies by</w:t>
      </w:r>
      <w:r w:rsidR="00254CD2" w:rsidRPr="00A86FFB">
        <w:rPr>
          <w:rFonts w:asciiTheme="minorBidi" w:hAnsiTheme="minorBidi"/>
          <w:sz w:val="24"/>
          <w:szCs w:val="24"/>
        </w:rPr>
        <w:t xml:space="preserve"> Firkus et al (2023),</w:t>
      </w:r>
      <w:r w:rsidR="000B69CE" w:rsidRPr="00A86FFB">
        <w:rPr>
          <w:rFonts w:asciiTheme="minorBidi" w:hAnsiTheme="minorBidi"/>
          <w:sz w:val="24"/>
          <w:szCs w:val="24"/>
        </w:rPr>
        <w:t xml:space="preserve"> </w:t>
      </w:r>
      <w:r w:rsidR="00593D76" w:rsidRPr="00A86FFB">
        <w:rPr>
          <w:rFonts w:asciiTheme="minorBidi" w:hAnsiTheme="minorBidi"/>
          <w:sz w:val="24"/>
          <w:szCs w:val="24"/>
        </w:rPr>
        <w:t>Coutureau et al., (2022)</w:t>
      </w:r>
      <w:r w:rsidR="00D96EB1" w:rsidRPr="00A86FFB">
        <w:rPr>
          <w:rFonts w:asciiTheme="minorBidi" w:hAnsiTheme="minorBidi"/>
          <w:sz w:val="24"/>
          <w:szCs w:val="24"/>
        </w:rPr>
        <w:t xml:space="preserve">, </w:t>
      </w:r>
      <w:r w:rsidR="00D96EB1" w:rsidRPr="00A86FFB">
        <w:rPr>
          <w:rFonts w:asciiTheme="minorBidi" w:hAnsiTheme="minorBidi"/>
          <w:sz w:val="24"/>
          <w:szCs w:val="24"/>
        </w:rPr>
        <w:fldChar w:fldCharType="begin" w:fldLock="1"/>
      </w:r>
      <w:r w:rsidR="00310DAC" w:rsidRPr="00A86FFB">
        <w:rPr>
          <w:rFonts w:asciiTheme="minorBidi" w:hAnsiTheme="minorBidi"/>
          <w:sz w:val="24"/>
          <w:szCs w:val="24"/>
        </w:rPr>
        <w:instrText>ADDIN CSL_CITATION {"citationItems":[{"id":"ITEM-1","itemData":{"DOI":"10.3390/ijerph19106188","ISSN":"16604601","PMID":"35627724","abstract":"Type 2 diabetes mellitus has been assessed as a widespread disease globally. Unfortunately, this illness can occasionally go undetected and without symptoms until it reaches the emergency condition, and this can be notably true in patients who do not receive routine medical care. Pharmacists are the foremost accessible health care providers. They can help patients select the most appropriate hypoglycemic management strategy through their experiences. This review aimed to provide an overview of the literature published on community pharmacists’ interventions that are currently used and their usefulness in improving patient adherence and glycosylated hemoglobin (HbA1c) levels. Relevant studies were retrieved through a comprehensive search of three databases, PubMed/Medline, Web of Science, and CINAHL (2010 to 2020). In total, 8362 publications were identified. The final protocol was based on the “Preferred Reporting Items for Systematic Review and Meta-Analysis (PRISMA)”. After applying inclusion and exclusion measures, 21 articles were deemed relevant. In pharmacists’ interventions in diabetes care, patient education and counseling were the most common intervention methods. Essentially, this systematic review provides evidence and identifies the key features that may predict success in enhancing clinical outcomes and patient adherence to treatment. Based on our findings, we suggest further investigations of the root causes of non-adherence problems.","author":[{"dropping-particle":"","family":"Assaf","given":"Sarah","non-dropping-particle":"Al","parse-names":false,"suffix":""},{"dropping-particle":"","family":"Zelko","given":"Romana","non-dropping-particle":"","parse-names":false,"suffix":""},{"dropping-particle":"","family":"Hanko","given":"Balazs","non-dropping-particle":"","parse-names":false,"suffix":""}],"container-title":"International Journal of Environmental Research and Public Health","id":"ITEM-1","issue":"10","issued":{"date-parts":[["2022"]]},"title":"The Effect of Interventions Led by Community Pharmacists in Primary Care for Adults with Type 2 Diabetes Mellitus on Therapeutic Adherence and HbA1c Levels: A Systematic Review","type":"article-journal","volume":"19"},"uris":["http://www.mendeley.com/documents/?uuid=03eb66c1-df31-4fbe-8973-6fb41167a258"]}],"mendeley":{"formattedCitation":"(Al Assaf, Zelko and Hanko, 2022)","manualFormatting":"Al Assaf et al., (2022)","plainTextFormattedCitation":"(Al Assaf, Zelko and Hanko, 2022)","previouslyFormattedCitation":"(Al Assaf, Zelko and Hanko, 2022)"},"properties":{"noteIndex":0},"schema":"https://github.com/citation-style-language/schema/raw/master/csl-citation.json"}</w:instrText>
      </w:r>
      <w:r w:rsidR="00D96EB1" w:rsidRPr="00A86FFB">
        <w:rPr>
          <w:rFonts w:asciiTheme="minorBidi" w:hAnsiTheme="minorBidi"/>
          <w:sz w:val="24"/>
          <w:szCs w:val="24"/>
        </w:rPr>
        <w:fldChar w:fldCharType="separate"/>
      </w:r>
      <w:r w:rsidR="00D96EB1" w:rsidRPr="00A86FFB">
        <w:rPr>
          <w:rFonts w:asciiTheme="minorBidi" w:hAnsiTheme="minorBidi"/>
          <w:noProof/>
          <w:sz w:val="24"/>
          <w:szCs w:val="24"/>
          <w:lang w:val="nl-NL"/>
        </w:rPr>
        <w:t>Al Assaf et al., (2022)</w:t>
      </w:r>
      <w:r w:rsidR="00D96EB1" w:rsidRPr="00A86FFB">
        <w:rPr>
          <w:rFonts w:asciiTheme="minorBidi" w:hAnsiTheme="minorBidi"/>
          <w:sz w:val="24"/>
          <w:szCs w:val="24"/>
        </w:rPr>
        <w:fldChar w:fldCharType="end"/>
      </w:r>
      <w:r w:rsidR="00D96EB1" w:rsidRPr="00A86FFB">
        <w:rPr>
          <w:rFonts w:asciiTheme="minorBidi" w:hAnsiTheme="minorBidi"/>
          <w:sz w:val="24"/>
          <w:szCs w:val="24"/>
          <w:lang w:val="nl-NL"/>
        </w:rPr>
        <w:t xml:space="preserve">, </w:t>
      </w:r>
      <w:r w:rsidR="00D96EB1" w:rsidRPr="00A86FFB">
        <w:rPr>
          <w:rFonts w:asciiTheme="minorBidi" w:hAnsiTheme="minorBidi"/>
          <w:sz w:val="24"/>
          <w:szCs w:val="24"/>
        </w:rPr>
        <w:fldChar w:fldCharType="begin" w:fldLock="1"/>
      </w:r>
      <w:r w:rsidR="00310DAC" w:rsidRPr="00A86FFB">
        <w:rPr>
          <w:rFonts w:asciiTheme="minorBidi" w:hAnsiTheme="minorBidi"/>
          <w:sz w:val="24"/>
          <w:szCs w:val="24"/>
          <w:lang w:val="nl-NL"/>
        </w:rPr>
        <w:instrText>ADDIN CSL_CITATION {"citationItems":[{"id":"ITEM-1","itemData":{"DOI":"10.1016/j.japh.2021.12.015","ISSN":"15443450","PMID":"35027281","abstract":"Background: There is a growing shortage of primary care physicians. Pharmacists can fill the gap, and interdisciplinary teams are being evaluated as part of health care reform. Objective: This study aimed to determine whether adding a pharmacist to an interprofessional health team will improve diabetes outcomes. Methods: In this 2-phase pilot study, Medicaid-eligible patients with diabetes were randomized to receive standard of care (control arm) or standard of care plus the care of a pharmacist (intervention arm) for 12 months (phase 1). The primary outcome was change in glycated hemoglobin (A1C) from baseline. Secondary outcomes included identifying and correcting medication therapy problems (MTPs) for comorbid conditions, adherence to preventive care visits, health care utilization, self-rated health, and satisfaction surveys. After phase 1, patients in the control arm who did not achieve an A1C of &lt; 8% were eligible to enroll into phase 2 where they received treatment with a pharmacist for 6 months. Results: Of the 239 patients enrolled, 122 completed phase 1. At 12 months, intervention patients’ mean A1C was 1.85 percentage point (pp) below baseline versus 0.94 pp for control (between-group difference 0.91 pp; P = 0.0218). Most control patients (79%) who completed phase 1 and enrolled into phase 2 improved their A1C by more than 1 pp (P &lt; 0.01). The pharmacists completed 806 patient visits and identified 2638 MTPs. Intervention patients were more adherent to preventive care visits with nutrition (P = 0.043), ophthalmology (P = 0.002), and dentistry (P = 0.007). For intervention patients, 78% rated their experience with the pharmacist as excellent whereas, for control patients, 37% rated their experience with their provider as excellent. Conclusion: Pharmacist comanagement of patients with diabetes can significantly improve glucose control and patient satisfaction. Creative payment models were used to include pharmacists in the interprofessional patient care team.","author":[{"dropping-particle":"","family":"Wagner","given":"Mary L.","non-dropping-particle":"","parse-names":false,"suffix":""},{"dropping-particle":"","family":"McCarthy","given":"Caitlin","non-dropping-particle":"","parse-names":false,"suffix":""},{"dropping-particle":"","family":"Bateman","given":"M. Thomas","non-dropping-particle":"","parse-names":false,"suffix":""},{"dropping-particle":"","family":"Simmons","given":"Daniel","non-dropping-particle":"","parse-names":false,"suffix":""},{"dropping-particle":"","family":"Prioli","given":"Katherine M.","non-dropping-particle":"","parse-names":false,"suffix":""}],"container-title":"Journal of the American Pharmacists Association","id":"ITEM-1","issue":"3","issued":{"date-parts":[["2022"]]},"page":"775-782.e3","publisher":"American Pharmacists Association®","title":"Pharmacists improve diabetes outcomes: a randomized controlled trial","type":"article-journal","volume":"62"},"uris":["http://www.mendeley.com/documents/?uuid=34bb99b6-2c20-4cd3-9a92-b8ce9fbc53d5"]}],"mendeley":{"formattedCitation":"(Wagner &lt;i&gt;et al.&lt;/i&gt;, 2022)","manualFormatting":"Wagner et al., (2022)","plainTextFormattedCitation":"(Wagner et al., 2022)","previouslyFormattedCitation":"(Wagner &lt;i&gt;et al.&lt;/i&gt;, 2022)"},"properties":{"noteIndex":0},"schema":"https://github.com/citation-style-language/schema/raw/master/csl-citation.json"}</w:instrText>
      </w:r>
      <w:r w:rsidR="00D96EB1" w:rsidRPr="00A86FFB">
        <w:rPr>
          <w:rFonts w:asciiTheme="minorBidi" w:hAnsiTheme="minorBidi"/>
          <w:sz w:val="24"/>
          <w:szCs w:val="24"/>
        </w:rPr>
        <w:fldChar w:fldCharType="separate"/>
      </w:r>
      <w:r w:rsidR="00D96EB1" w:rsidRPr="00A86FFB">
        <w:rPr>
          <w:rFonts w:asciiTheme="minorBidi" w:hAnsiTheme="minorBidi"/>
          <w:noProof/>
          <w:sz w:val="24"/>
          <w:szCs w:val="24"/>
        </w:rPr>
        <w:t xml:space="preserve">Wagner et al., </w:t>
      </w:r>
      <w:r w:rsidR="00D9083B" w:rsidRPr="00A86FFB">
        <w:rPr>
          <w:rFonts w:asciiTheme="minorBidi" w:hAnsiTheme="minorBidi"/>
          <w:noProof/>
          <w:sz w:val="24"/>
          <w:szCs w:val="24"/>
        </w:rPr>
        <w:t>(</w:t>
      </w:r>
      <w:r w:rsidR="00D96EB1" w:rsidRPr="00A86FFB">
        <w:rPr>
          <w:rFonts w:asciiTheme="minorBidi" w:hAnsiTheme="minorBidi"/>
          <w:noProof/>
          <w:sz w:val="24"/>
          <w:szCs w:val="24"/>
        </w:rPr>
        <w:t>2022)</w:t>
      </w:r>
      <w:r w:rsidR="00D96EB1" w:rsidRPr="00A86FFB">
        <w:rPr>
          <w:rFonts w:asciiTheme="minorBidi" w:hAnsiTheme="minorBidi"/>
          <w:sz w:val="24"/>
          <w:szCs w:val="24"/>
        </w:rPr>
        <w:fldChar w:fldCharType="end"/>
      </w:r>
      <w:r w:rsidR="00D96EB1" w:rsidRPr="00A86FFB">
        <w:rPr>
          <w:rFonts w:asciiTheme="minorBidi" w:hAnsiTheme="minorBidi"/>
          <w:sz w:val="24"/>
          <w:szCs w:val="24"/>
        </w:rPr>
        <w:t>,</w:t>
      </w:r>
      <w:r w:rsidR="00187D4F" w:rsidRPr="00A86FFB">
        <w:rPr>
          <w:rFonts w:asciiTheme="minorBidi" w:hAnsiTheme="minorBidi"/>
          <w:sz w:val="24"/>
          <w:szCs w:val="24"/>
        </w:rPr>
        <w:t xml:space="preserve"> </w:t>
      </w:r>
      <w:r w:rsidR="00187D4F" w:rsidRPr="00A86FFB">
        <w:rPr>
          <w:rFonts w:asciiTheme="minorBidi" w:hAnsiTheme="minorBidi"/>
          <w:sz w:val="24"/>
          <w:szCs w:val="24"/>
        </w:rPr>
        <w:fldChar w:fldCharType="begin" w:fldLock="1"/>
      </w:r>
      <w:r w:rsidR="00310DAC" w:rsidRPr="00A86FFB">
        <w:rPr>
          <w:rFonts w:asciiTheme="minorBidi" w:hAnsiTheme="minorBidi"/>
          <w:sz w:val="24"/>
          <w:szCs w:val="24"/>
        </w:rPr>
        <w:instrText>ADDIN CSL_CITATION {"citationItems":[{"id":"ITEM-1","itemData":{"DOI":"10.1177/0897190020948678","ISSN":"15311937","PMID":"32783491","abstract":"Background/Objectives: Diabetes is a chronic disease that is associated with many other health problems, but studies have shown that patient education can improve outcomes. The purpose of this project was to determine if a pharmacist-led group diabetes education class led to improvement in hemoglobin A1c levels. Methods: Pharmacists in a family medicine clinic conduct a group diabetes education class for patients seen within the health system. The once monthly, 90-minute education class includes content regarding pathophysiology, complications, monitoring, dietary and exercise recommendations, and common antidiabetic medications. Data were collected via retrospective chart reviews and included 66 patients. The primary outcome was change in A1c from pre-class measurement to first, post-class measurement at least 3 months after pre-class measurement. Secondary outcomes included pre-class to post-class changes in weight, systolic blood pressure (SBP), and diastolic blood pressure (DBP). Outcome data were analyzed using a paired t-test and demographic data were presented with descriptive statistics. Results: The pharmacist-led diabetes education class was associated with statistically significant improvements on A1c lab values (mean decrease = 1.16%, p-value = 0.001) and weight (mean decrease = 1.8 kg, p-value = 0.03). However, SBP (mean decrease = 1.5 mmHg, p-value = 0.57) and DBP (mean decrease = 3.4 mmHg, p-value = 0.15) did not improve significantly. Implications: The results from this study support the idea that diabetes education classes are beneficial for the patient in learning how to properly manage this disease state. Pharmacists can play a vital role in diabetes management through counseling and patient education, which can improve patient outcomes.","author":[{"dropping-particle":"","family":"Lakey","given":"Hannah","non-dropping-particle":"","parse-names":false,"suffix":""},{"dropping-particle":"","family":"Boehmer","given":"Kaci","non-dropping-particle":"","parse-names":false,"suffix":""},{"dropping-particle":"","family":"Johnson","given":"Chris","non-dropping-particle":"","parse-names":false,"suffix":""}],"container-title":"Journal of Pharmacy Practice","id":"ITEM-1","issue":"1","issued":{"date-parts":[["2022"]]},"page":"54-56","title":"Impact of a Pharmacist-Led Group Diabetes Class","type":"article-journal","volume":"35"},"uris":["http://www.mendeley.com/documents/?uuid=b7c7357a-33bf-4943-94b5-ce4560835cdc"]}],"mendeley":{"formattedCitation":"(Lakey, Boehmer and Johnson, 2022)","manualFormatting":"Lakey et al., (2022)","plainTextFormattedCitation":"(Lakey, Boehmer and Johnson, 2022)","previouslyFormattedCitation":"(Lakey, Boehmer and Johnson, 2022)"},"properties":{"noteIndex":0},"schema":"https://github.com/citation-style-language/schema/raw/master/csl-citation.json"}</w:instrText>
      </w:r>
      <w:r w:rsidR="00187D4F" w:rsidRPr="00A86FFB">
        <w:rPr>
          <w:rFonts w:asciiTheme="minorBidi" w:hAnsiTheme="minorBidi"/>
          <w:sz w:val="24"/>
          <w:szCs w:val="24"/>
        </w:rPr>
        <w:fldChar w:fldCharType="separate"/>
      </w:r>
      <w:r w:rsidR="00187D4F" w:rsidRPr="00A86FFB">
        <w:rPr>
          <w:rFonts w:asciiTheme="minorBidi" w:hAnsiTheme="minorBidi"/>
          <w:noProof/>
          <w:sz w:val="24"/>
          <w:szCs w:val="24"/>
        </w:rPr>
        <w:t xml:space="preserve">Lakey </w:t>
      </w:r>
      <w:r w:rsidR="003B25F3" w:rsidRPr="00A86FFB">
        <w:rPr>
          <w:rFonts w:asciiTheme="minorBidi" w:hAnsiTheme="minorBidi"/>
          <w:noProof/>
          <w:sz w:val="24"/>
          <w:szCs w:val="24"/>
        </w:rPr>
        <w:t>et al.</w:t>
      </w:r>
      <w:r w:rsidR="00187D4F" w:rsidRPr="00A86FFB">
        <w:rPr>
          <w:rFonts w:asciiTheme="minorBidi" w:hAnsiTheme="minorBidi"/>
          <w:noProof/>
          <w:sz w:val="24"/>
          <w:szCs w:val="24"/>
        </w:rPr>
        <w:t xml:space="preserve">, </w:t>
      </w:r>
      <w:r w:rsidR="003B25F3" w:rsidRPr="00A86FFB">
        <w:rPr>
          <w:rFonts w:asciiTheme="minorBidi" w:hAnsiTheme="minorBidi"/>
          <w:noProof/>
          <w:sz w:val="24"/>
          <w:szCs w:val="24"/>
        </w:rPr>
        <w:t>(</w:t>
      </w:r>
      <w:r w:rsidR="00187D4F" w:rsidRPr="00A86FFB">
        <w:rPr>
          <w:rFonts w:asciiTheme="minorBidi" w:hAnsiTheme="minorBidi"/>
          <w:noProof/>
          <w:sz w:val="24"/>
          <w:szCs w:val="24"/>
        </w:rPr>
        <w:t>2022)</w:t>
      </w:r>
      <w:r w:rsidR="00187D4F" w:rsidRPr="00A86FFB">
        <w:rPr>
          <w:rFonts w:asciiTheme="minorBidi" w:hAnsiTheme="minorBidi"/>
          <w:sz w:val="24"/>
          <w:szCs w:val="24"/>
        </w:rPr>
        <w:fldChar w:fldCharType="end"/>
      </w:r>
      <w:r w:rsidR="00D96EB1" w:rsidRPr="00A86FFB">
        <w:rPr>
          <w:rFonts w:asciiTheme="minorBidi" w:hAnsiTheme="minorBidi"/>
          <w:sz w:val="24"/>
          <w:szCs w:val="24"/>
        </w:rPr>
        <w:t xml:space="preserve"> </w:t>
      </w:r>
      <w:r w:rsidR="00D96EB1" w:rsidRPr="00A86FFB">
        <w:rPr>
          <w:rFonts w:asciiTheme="minorBidi" w:hAnsiTheme="minorBidi"/>
          <w:sz w:val="24"/>
          <w:szCs w:val="24"/>
        </w:rPr>
        <w:fldChar w:fldCharType="begin" w:fldLock="1"/>
      </w:r>
      <w:r w:rsidR="00310DAC" w:rsidRPr="00A86FFB">
        <w:rPr>
          <w:rFonts w:asciiTheme="minorBidi" w:hAnsiTheme="minorBidi"/>
          <w:sz w:val="24"/>
          <w:szCs w:val="24"/>
        </w:rPr>
        <w:instrText>ADDIN CSL_CITATION {"citationItems":[{"id":"ITEM-1","itemData":{"DOI":"10.1177/08971900211064459","ISSN":"15311937","PMID":"35579209","abstract":"Objective: The aim of this systematic review and meta-analysis of randomised controlled trials is to evaluate the impact of pharmacist-led interventions on cardiovascular disease (CVD) risk factors among patients with type 2 diabetes. Method: A literature review was conducted according to PRISMA guidelines using 4 electronic databases: Embase, MEDLINE, CINHAL and the Cochrane Central Register of Controlled Trials. We searched for pharmacist interventions among adults with type 2 diabetes and cardiovascular disease in randomised controlled trials from inception to May 2021 in primary care, diabetes clinics and hospitals. The clinical outcomes measured glycosylated haemoglobin (HbA1c), blood pressure (BP) and lipid profile. The non-clinical outcomes included medication adherence, smoking, health-related quality of life and the cost of the intervention. For the meta-analysis, clinical outcomes were pooled with the random effect model in RevMan 5.3. The Cochrane risk-of-bias tool was used to assess the quality of the included studies. Results: We retrieved 223 studies,141 of which were included in the review. Ten published articles met the inclusion criteria and were included in the meta-analysis. The pharmacists delivered the interventions alone or collaboratively with other healthcare professionals in hospitals or similar settings. The overall result showed a significant reduction in HbA1c (n = 10; standard deviation in mean value [SDM]: −.53%, 95% CI: −.84, −.23) and systolic BP (n = 10; [SDM]: −.35 mmHg, 95% CI: −.51, −.20) in pharmacist intervention groups. For the non-clinical outcomes, the review revealed variable results from pharmacist intervention compared with thos</w:instrText>
      </w:r>
      <w:r w:rsidR="00310DAC" w:rsidRPr="00A86FFB">
        <w:rPr>
          <w:rFonts w:asciiTheme="minorBidi" w:hAnsiTheme="minorBidi"/>
          <w:sz w:val="24"/>
          <w:szCs w:val="24"/>
          <w:lang w:val="nl-NL"/>
        </w:rPr>
        <w:instrText>e standard care. Conclusion: Pharmacy interventions provide evidence for pharmacists’ decisive role in diabetes care management and reducing cardiovascular risk factors among adults with type 2 diabetes.","author":[{"dropping-particle":"","family":"Alabkal","given":"Rahma M.","non-dropping-particle":"","parse-names":false,"suffix":""},{"dropping-particle":"","family":"Medlinskiene","given":"Kristina","non-dropping-particle":"","parse-names":false,"suffix":""},{"dropping-particle":"","family":"Silcock","given":"Jonathan","non-dropping-particle":"","parse-names":false,"suffix":""},{"dropping-particle":"","family":"Graham","given":"Anne","non-dropping-particle":"","parse-names":false,"suffix":""}],"container-title":"Journal of Pharmacy Practice","id":"ITEM-1","issue":"4","issued":{"date-parts":[["2021"]]},"page":"888-899","title":"Impact of Pharmacist-Led Interventions to Improve Clinical Outcomes for Adults With Type 2 Diabetes at Risk of Developing Cardiovascular Disease: A Systematic Review and Meta-analysis","type":"article-journal","volume":"36"},"uris":["http://www.mendeley.com/documents/?uuid=10402f6b-b41b-41bf-8ff1-ce78c65da4f7"]}],"mendeley":{"formattedCitation":"(Alabkal &lt;i&gt;et al.&lt;/i&gt;, 2021)","manualFormatting":"Alabkal et al., (2021)","plainTextFormattedCitation":"(Alabkal et al., 2021)","previouslyFormattedCitation":"(Alabkal &lt;i&gt;et al.&lt;/i&gt;, 2021)"},"properties":{"noteIndex":0},"schema":"https://github.com/citation-style-language/schema/raw/master/csl-citation.json"}</w:instrText>
      </w:r>
      <w:r w:rsidR="00D96EB1" w:rsidRPr="00A86FFB">
        <w:rPr>
          <w:rFonts w:asciiTheme="minorBidi" w:hAnsiTheme="minorBidi"/>
          <w:sz w:val="24"/>
          <w:szCs w:val="24"/>
        </w:rPr>
        <w:fldChar w:fldCharType="separate"/>
      </w:r>
      <w:r w:rsidR="00D96EB1" w:rsidRPr="00A86FFB">
        <w:rPr>
          <w:rFonts w:asciiTheme="minorBidi" w:hAnsiTheme="minorBidi"/>
          <w:noProof/>
          <w:sz w:val="24"/>
          <w:szCs w:val="24"/>
          <w:lang w:val="nl-NL"/>
        </w:rPr>
        <w:t xml:space="preserve">Alabkal et al., </w:t>
      </w:r>
      <w:r w:rsidR="00D9083B" w:rsidRPr="00A86FFB">
        <w:rPr>
          <w:rFonts w:asciiTheme="minorBidi" w:hAnsiTheme="minorBidi"/>
          <w:noProof/>
          <w:sz w:val="24"/>
          <w:szCs w:val="24"/>
          <w:lang w:val="nl-NL"/>
        </w:rPr>
        <w:t>(</w:t>
      </w:r>
      <w:r w:rsidR="00D96EB1" w:rsidRPr="00A86FFB">
        <w:rPr>
          <w:rFonts w:asciiTheme="minorBidi" w:hAnsiTheme="minorBidi"/>
          <w:noProof/>
          <w:sz w:val="24"/>
          <w:szCs w:val="24"/>
          <w:lang w:val="nl-NL"/>
        </w:rPr>
        <w:t>2021)</w:t>
      </w:r>
      <w:r w:rsidR="00D96EB1" w:rsidRPr="00A86FFB">
        <w:rPr>
          <w:rFonts w:asciiTheme="minorBidi" w:hAnsiTheme="minorBidi"/>
          <w:sz w:val="24"/>
          <w:szCs w:val="24"/>
        </w:rPr>
        <w:fldChar w:fldCharType="end"/>
      </w:r>
      <w:r w:rsidR="00D96EB1" w:rsidRPr="00A86FFB">
        <w:rPr>
          <w:rFonts w:asciiTheme="minorBidi" w:hAnsiTheme="minorBidi"/>
          <w:sz w:val="24"/>
          <w:szCs w:val="24"/>
          <w:lang w:val="nl-NL"/>
        </w:rPr>
        <w:t xml:space="preserve">, </w:t>
      </w:r>
      <w:r w:rsidR="000E3F77" w:rsidRPr="00A86FFB">
        <w:rPr>
          <w:rFonts w:asciiTheme="minorBidi" w:hAnsiTheme="minorBidi"/>
          <w:sz w:val="24"/>
          <w:szCs w:val="24"/>
          <w:lang w:val="nl-NL"/>
        </w:rPr>
        <w:t xml:space="preserve">Khan et al., (2020), </w:t>
      </w:r>
      <w:r w:rsidR="00CA13CA" w:rsidRPr="00A86FFB">
        <w:rPr>
          <w:rFonts w:asciiTheme="minorBidi" w:hAnsiTheme="minorBidi"/>
          <w:sz w:val="24"/>
          <w:szCs w:val="24"/>
          <w:lang w:val="nl-NL"/>
        </w:rPr>
        <w:t xml:space="preserve">Emeka et al., (2020), </w:t>
      </w:r>
      <w:r w:rsidR="008C6A2B" w:rsidRPr="00A86FFB">
        <w:rPr>
          <w:rFonts w:asciiTheme="minorBidi" w:hAnsiTheme="minorBidi"/>
          <w:sz w:val="24"/>
          <w:szCs w:val="24"/>
          <w:lang w:val="nl-NL"/>
        </w:rPr>
        <w:t xml:space="preserve">Alsuwayni and Alhossan, </w:t>
      </w:r>
      <w:r w:rsidR="00F47691" w:rsidRPr="00A86FFB">
        <w:rPr>
          <w:rFonts w:asciiTheme="minorBidi" w:hAnsiTheme="minorBidi"/>
          <w:sz w:val="24"/>
          <w:szCs w:val="24"/>
          <w:lang w:val="nl-NL"/>
        </w:rPr>
        <w:t>(</w:t>
      </w:r>
      <w:r w:rsidR="008C6A2B" w:rsidRPr="00A86FFB">
        <w:rPr>
          <w:rFonts w:asciiTheme="minorBidi" w:hAnsiTheme="minorBidi"/>
          <w:sz w:val="24"/>
          <w:szCs w:val="24"/>
          <w:lang w:val="nl-NL"/>
        </w:rPr>
        <w:t xml:space="preserve">2020), </w:t>
      </w:r>
      <w:r w:rsidR="0035584C" w:rsidRPr="00A86FFB">
        <w:rPr>
          <w:rFonts w:asciiTheme="minorBidi" w:hAnsiTheme="minorBidi"/>
          <w:sz w:val="24"/>
          <w:szCs w:val="24"/>
          <w:lang w:val="nl-NL"/>
        </w:rPr>
        <w:t xml:space="preserve">Abdulrhim et al., (2019), Javaid et al., (2019), Presley et al., (2019), </w:t>
      </w:r>
      <w:r w:rsidR="00232C11" w:rsidRPr="00A86FFB">
        <w:rPr>
          <w:rFonts w:asciiTheme="minorBidi" w:hAnsiTheme="minorBidi"/>
          <w:sz w:val="24"/>
          <w:szCs w:val="24"/>
          <w:lang w:val="nl-NL"/>
        </w:rPr>
        <w:t xml:space="preserve">Boivin, (2019), Abdulrhim et al., (2019), </w:t>
      </w:r>
      <w:r w:rsidR="0035584C" w:rsidRPr="00A86FFB">
        <w:rPr>
          <w:rFonts w:asciiTheme="minorBidi" w:hAnsiTheme="minorBidi"/>
          <w:sz w:val="24"/>
          <w:szCs w:val="24"/>
          <w:lang w:val="nl-NL"/>
        </w:rPr>
        <w:t xml:space="preserve">Tourkmani et al., (2018), </w:t>
      </w:r>
      <w:r w:rsidR="00CF391B" w:rsidRPr="00A86FFB">
        <w:rPr>
          <w:rFonts w:asciiTheme="minorBidi" w:hAnsiTheme="minorBidi"/>
          <w:sz w:val="24"/>
          <w:szCs w:val="24"/>
          <w:lang w:val="nl-NL"/>
        </w:rPr>
        <w:t>Bush et al (2018),</w:t>
      </w:r>
      <w:r w:rsidR="00FB1D96" w:rsidRPr="00A86FFB">
        <w:rPr>
          <w:rFonts w:asciiTheme="minorBidi" w:hAnsiTheme="minorBidi"/>
          <w:sz w:val="24"/>
          <w:szCs w:val="24"/>
          <w:lang w:val="nl-NL"/>
        </w:rPr>
        <w:t xml:space="preserve"> </w:t>
      </w:r>
      <w:r w:rsidR="00CA13CA" w:rsidRPr="00A86FFB">
        <w:rPr>
          <w:rFonts w:asciiTheme="minorBidi" w:hAnsiTheme="minorBidi"/>
          <w:sz w:val="24"/>
          <w:szCs w:val="24"/>
          <w:lang w:val="nl-NL"/>
        </w:rPr>
        <w:t xml:space="preserve">Al-Arifi and Al-Omar, 2018, </w:t>
      </w:r>
      <w:r w:rsidR="002D4696" w:rsidRPr="00A86FFB">
        <w:rPr>
          <w:rFonts w:asciiTheme="minorBidi" w:hAnsiTheme="minorBidi"/>
          <w:sz w:val="24"/>
          <w:szCs w:val="24"/>
          <w:lang w:val="nl-NL"/>
        </w:rPr>
        <w:t xml:space="preserve">Peterson et al., (2018), </w:t>
      </w:r>
      <w:r w:rsidR="008C6A2B" w:rsidRPr="00A86FFB">
        <w:rPr>
          <w:rFonts w:asciiTheme="minorBidi" w:hAnsiTheme="minorBidi"/>
          <w:sz w:val="24"/>
          <w:szCs w:val="24"/>
          <w:lang w:val="nl-NL"/>
        </w:rPr>
        <w:t xml:space="preserve">Schultz et al., (2018), </w:t>
      </w:r>
      <w:r w:rsidR="0035584C" w:rsidRPr="00A86FFB">
        <w:rPr>
          <w:rFonts w:asciiTheme="minorBidi" w:hAnsiTheme="minorBidi"/>
          <w:sz w:val="24"/>
          <w:szCs w:val="24"/>
          <w:lang w:val="nl-NL"/>
        </w:rPr>
        <w:t xml:space="preserve">Gagnon et al., </w:t>
      </w:r>
      <w:r w:rsidR="00D65240" w:rsidRPr="00A86FFB">
        <w:rPr>
          <w:rFonts w:asciiTheme="minorBidi" w:hAnsiTheme="minorBidi"/>
          <w:sz w:val="24"/>
          <w:szCs w:val="24"/>
          <w:lang w:val="nl-NL"/>
        </w:rPr>
        <w:t>(</w:t>
      </w:r>
      <w:r w:rsidR="0035584C" w:rsidRPr="00A86FFB">
        <w:rPr>
          <w:rFonts w:asciiTheme="minorBidi" w:hAnsiTheme="minorBidi"/>
          <w:sz w:val="24"/>
          <w:szCs w:val="24"/>
          <w:lang w:val="nl-NL"/>
        </w:rPr>
        <w:t xml:space="preserve">2017), Fazel et al., </w:t>
      </w:r>
      <w:r w:rsidR="00D65240" w:rsidRPr="00A86FFB">
        <w:rPr>
          <w:rFonts w:asciiTheme="minorBidi" w:hAnsiTheme="minorBidi"/>
          <w:sz w:val="24"/>
          <w:szCs w:val="24"/>
          <w:lang w:val="nl-NL"/>
        </w:rPr>
        <w:t>(</w:t>
      </w:r>
      <w:r w:rsidR="0035584C" w:rsidRPr="00A86FFB">
        <w:rPr>
          <w:rFonts w:asciiTheme="minorBidi" w:hAnsiTheme="minorBidi"/>
          <w:sz w:val="24"/>
          <w:szCs w:val="24"/>
          <w:lang w:val="nl-NL"/>
        </w:rPr>
        <w:t xml:space="preserve">2017), </w:t>
      </w:r>
      <w:r w:rsidR="00742CC3" w:rsidRPr="00A86FFB">
        <w:rPr>
          <w:rFonts w:asciiTheme="minorBidi" w:hAnsiTheme="minorBidi"/>
          <w:sz w:val="24"/>
          <w:szCs w:val="24"/>
          <w:lang w:val="nl-NL"/>
        </w:rPr>
        <w:t xml:space="preserve">Yaghoubi et al., </w:t>
      </w:r>
      <w:r w:rsidR="008C6A2B" w:rsidRPr="00A86FFB">
        <w:rPr>
          <w:rFonts w:asciiTheme="minorBidi" w:hAnsiTheme="minorBidi"/>
          <w:sz w:val="24"/>
          <w:szCs w:val="24"/>
          <w:lang w:val="nl-NL"/>
        </w:rPr>
        <w:t>(</w:t>
      </w:r>
      <w:r w:rsidR="00742CC3" w:rsidRPr="00A86FFB">
        <w:rPr>
          <w:rFonts w:asciiTheme="minorBidi" w:hAnsiTheme="minorBidi"/>
          <w:sz w:val="24"/>
          <w:szCs w:val="24"/>
          <w:lang w:val="nl-NL"/>
        </w:rPr>
        <w:t xml:space="preserve">2017), </w:t>
      </w:r>
      <w:r w:rsidR="0035584C" w:rsidRPr="00A86FFB">
        <w:rPr>
          <w:rFonts w:asciiTheme="minorBidi" w:hAnsiTheme="minorBidi"/>
          <w:sz w:val="24"/>
          <w:szCs w:val="24"/>
          <w:lang w:val="nl-NL"/>
        </w:rPr>
        <w:t>Davis</w:t>
      </w:r>
      <w:r w:rsidR="00742CC3" w:rsidRPr="00A86FFB">
        <w:rPr>
          <w:rFonts w:asciiTheme="minorBidi" w:hAnsiTheme="minorBidi"/>
          <w:sz w:val="24"/>
          <w:szCs w:val="24"/>
          <w:lang w:val="nl-NL"/>
        </w:rPr>
        <w:t xml:space="preserve"> et al., (</w:t>
      </w:r>
      <w:r w:rsidR="0035584C" w:rsidRPr="00A86FFB">
        <w:rPr>
          <w:rFonts w:asciiTheme="minorBidi" w:hAnsiTheme="minorBidi"/>
          <w:sz w:val="24"/>
          <w:szCs w:val="24"/>
          <w:lang w:val="nl-NL"/>
        </w:rPr>
        <w:t xml:space="preserve">2017), Blondal et al., </w:t>
      </w:r>
      <w:r w:rsidR="00742CC3" w:rsidRPr="00A86FFB">
        <w:rPr>
          <w:rFonts w:asciiTheme="minorBidi" w:hAnsiTheme="minorBidi"/>
          <w:sz w:val="24"/>
          <w:szCs w:val="24"/>
          <w:lang w:val="nl-NL"/>
        </w:rPr>
        <w:t>(</w:t>
      </w:r>
      <w:r w:rsidR="0035584C" w:rsidRPr="00A86FFB">
        <w:rPr>
          <w:rFonts w:asciiTheme="minorBidi" w:hAnsiTheme="minorBidi"/>
          <w:sz w:val="24"/>
          <w:szCs w:val="24"/>
          <w:lang w:val="nl-NL"/>
        </w:rPr>
        <w:t xml:space="preserve">2017), Pousinho et al., </w:t>
      </w:r>
      <w:r w:rsidR="00742CC3" w:rsidRPr="00A86FFB">
        <w:rPr>
          <w:rFonts w:asciiTheme="minorBidi" w:hAnsiTheme="minorBidi"/>
          <w:sz w:val="24"/>
          <w:szCs w:val="24"/>
          <w:lang w:val="nl-NL"/>
        </w:rPr>
        <w:t>(</w:t>
      </w:r>
      <w:r w:rsidR="0035584C" w:rsidRPr="00A86FFB">
        <w:rPr>
          <w:rFonts w:asciiTheme="minorBidi" w:hAnsiTheme="minorBidi"/>
          <w:sz w:val="24"/>
          <w:szCs w:val="24"/>
          <w:lang w:val="nl-NL"/>
        </w:rPr>
        <w:t xml:space="preserve">2016), </w:t>
      </w:r>
      <w:r w:rsidR="00D96EB1" w:rsidRPr="00A86FFB">
        <w:rPr>
          <w:rFonts w:asciiTheme="minorBidi" w:hAnsiTheme="minorBidi"/>
          <w:sz w:val="24"/>
          <w:szCs w:val="24"/>
          <w:lang w:val="nl-NL"/>
        </w:rPr>
        <w:t xml:space="preserve">Simpson et al </w:t>
      </w:r>
      <w:r w:rsidR="00D9083B" w:rsidRPr="00A86FFB">
        <w:rPr>
          <w:rFonts w:asciiTheme="minorBidi" w:hAnsiTheme="minorBidi"/>
          <w:sz w:val="24"/>
          <w:szCs w:val="24"/>
          <w:lang w:val="nl-NL"/>
        </w:rPr>
        <w:t>(</w:t>
      </w:r>
      <w:r w:rsidR="00D96EB1" w:rsidRPr="00A86FFB">
        <w:rPr>
          <w:rFonts w:asciiTheme="minorBidi" w:hAnsiTheme="minorBidi"/>
          <w:sz w:val="24"/>
          <w:szCs w:val="24"/>
          <w:lang w:val="nl-NL"/>
        </w:rPr>
        <w:t>2015</w:t>
      </w:r>
      <w:r w:rsidR="00D9083B" w:rsidRPr="00A86FFB">
        <w:rPr>
          <w:rFonts w:asciiTheme="minorBidi" w:hAnsiTheme="minorBidi"/>
          <w:sz w:val="24"/>
          <w:szCs w:val="24"/>
          <w:lang w:val="nl-NL"/>
        </w:rPr>
        <w:t>)</w:t>
      </w:r>
      <w:r w:rsidR="00D96EB1" w:rsidRPr="00A86FFB">
        <w:rPr>
          <w:rFonts w:asciiTheme="minorBidi" w:hAnsiTheme="minorBidi"/>
          <w:sz w:val="24"/>
          <w:szCs w:val="24"/>
          <w:lang w:val="nl-NL"/>
        </w:rPr>
        <w:t xml:space="preserve">, Bush et al </w:t>
      </w:r>
      <w:r w:rsidR="00D9083B" w:rsidRPr="00A86FFB">
        <w:rPr>
          <w:rFonts w:asciiTheme="minorBidi" w:hAnsiTheme="minorBidi"/>
          <w:sz w:val="24"/>
          <w:szCs w:val="24"/>
          <w:lang w:val="nl-NL"/>
        </w:rPr>
        <w:t>(</w:t>
      </w:r>
      <w:r w:rsidR="00D96EB1" w:rsidRPr="00A86FFB">
        <w:rPr>
          <w:rFonts w:asciiTheme="minorBidi" w:hAnsiTheme="minorBidi"/>
          <w:sz w:val="24"/>
          <w:szCs w:val="24"/>
          <w:lang w:val="nl-NL"/>
        </w:rPr>
        <w:t>2018</w:t>
      </w:r>
      <w:r w:rsidR="00D9083B" w:rsidRPr="00A86FFB">
        <w:rPr>
          <w:rFonts w:asciiTheme="minorBidi" w:hAnsiTheme="minorBidi"/>
          <w:sz w:val="24"/>
          <w:szCs w:val="24"/>
          <w:lang w:val="nl-NL"/>
        </w:rPr>
        <w:t>)</w:t>
      </w:r>
      <w:r w:rsidR="00D96EB1" w:rsidRPr="00A86FFB">
        <w:rPr>
          <w:rFonts w:asciiTheme="minorBidi" w:hAnsiTheme="minorBidi"/>
          <w:sz w:val="24"/>
          <w:szCs w:val="24"/>
          <w:lang w:val="nl-NL"/>
        </w:rPr>
        <w:t xml:space="preserve">, Al-Arifi and Al-Omar, </w:t>
      </w:r>
      <w:r w:rsidR="00D9083B" w:rsidRPr="00A86FFB">
        <w:rPr>
          <w:rFonts w:asciiTheme="minorBidi" w:hAnsiTheme="minorBidi"/>
          <w:sz w:val="24"/>
          <w:szCs w:val="24"/>
          <w:lang w:val="nl-NL"/>
        </w:rPr>
        <w:t>(</w:t>
      </w:r>
      <w:r w:rsidR="00D96EB1" w:rsidRPr="00A86FFB">
        <w:rPr>
          <w:rFonts w:asciiTheme="minorBidi" w:hAnsiTheme="minorBidi"/>
          <w:sz w:val="24"/>
          <w:szCs w:val="24"/>
          <w:lang w:val="nl-NL"/>
        </w:rPr>
        <w:t>2018)</w:t>
      </w:r>
      <w:r w:rsidR="000046AB" w:rsidRPr="00A86FFB">
        <w:rPr>
          <w:rFonts w:asciiTheme="minorBidi" w:hAnsiTheme="minorBidi"/>
          <w:sz w:val="24"/>
          <w:szCs w:val="24"/>
          <w:lang w:val="nl-NL"/>
        </w:rPr>
        <w:t xml:space="preserve">, </w:t>
      </w:r>
      <w:r w:rsidR="00D96EB1" w:rsidRPr="00A86FFB">
        <w:rPr>
          <w:rFonts w:asciiTheme="minorBidi" w:hAnsiTheme="minorBidi"/>
          <w:sz w:val="24"/>
          <w:szCs w:val="24"/>
          <w:lang w:val="nl-NL"/>
        </w:rPr>
        <w:t xml:space="preserve">Tan et al., </w:t>
      </w:r>
      <w:r w:rsidR="000046AB" w:rsidRPr="00A86FFB">
        <w:rPr>
          <w:rFonts w:asciiTheme="minorBidi" w:hAnsiTheme="minorBidi"/>
          <w:sz w:val="24"/>
          <w:szCs w:val="24"/>
          <w:lang w:val="nl-NL"/>
        </w:rPr>
        <w:t>(</w:t>
      </w:r>
      <w:r w:rsidR="00D96EB1" w:rsidRPr="00A86FFB">
        <w:rPr>
          <w:rFonts w:asciiTheme="minorBidi" w:hAnsiTheme="minorBidi"/>
          <w:sz w:val="24"/>
          <w:szCs w:val="24"/>
          <w:lang w:val="nl-NL"/>
        </w:rPr>
        <w:t xml:space="preserve">2014), </w:t>
      </w:r>
      <w:r w:rsidR="008C6A2B" w:rsidRPr="00A86FFB">
        <w:rPr>
          <w:rFonts w:asciiTheme="minorBidi" w:hAnsiTheme="minorBidi"/>
          <w:sz w:val="24"/>
          <w:szCs w:val="24"/>
          <w:lang w:val="nl-NL"/>
        </w:rPr>
        <w:t xml:space="preserve">Gilani et al., </w:t>
      </w:r>
      <w:r w:rsidR="000046AB" w:rsidRPr="00A86FFB">
        <w:rPr>
          <w:rFonts w:asciiTheme="minorBidi" w:hAnsiTheme="minorBidi"/>
          <w:sz w:val="24"/>
          <w:szCs w:val="24"/>
          <w:lang w:val="nl-NL"/>
        </w:rPr>
        <w:t>(</w:t>
      </w:r>
      <w:r w:rsidR="008C6A2B" w:rsidRPr="00A86FFB">
        <w:rPr>
          <w:rFonts w:asciiTheme="minorBidi" w:hAnsiTheme="minorBidi"/>
          <w:sz w:val="24"/>
          <w:szCs w:val="24"/>
          <w:lang w:val="nl-NL"/>
        </w:rPr>
        <w:t xml:space="preserve">2013), Al Asmary et al., </w:t>
      </w:r>
      <w:r w:rsidR="000046AB" w:rsidRPr="00A86FFB">
        <w:rPr>
          <w:rFonts w:asciiTheme="minorBidi" w:hAnsiTheme="minorBidi"/>
          <w:sz w:val="24"/>
          <w:szCs w:val="24"/>
          <w:lang w:val="nl-NL"/>
        </w:rPr>
        <w:t>(</w:t>
      </w:r>
      <w:r w:rsidR="008C6A2B" w:rsidRPr="00A86FFB">
        <w:rPr>
          <w:rFonts w:asciiTheme="minorBidi" w:hAnsiTheme="minorBidi"/>
          <w:sz w:val="24"/>
          <w:szCs w:val="24"/>
          <w:lang w:val="nl-NL"/>
        </w:rPr>
        <w:t xml:space="preserve">2013), </w:t>
      </w:r>
      <w:r w:rsidR="00D96EB1" w:rsidRPr="00A86FFB">
        <w:rPr>
          <w:rFonts w:asciiTheme="minorBidi" w:hAnsiTheme="minorBidi"/>
          <w:sz w:val="24"/>
          <w:szCs w:val="24"/>
          <w:lang w:val="nl-NL"/>
        </w:rPr>
        <w:t xml:space="preserve">Jarab, </w:t>
      </w:r>
      <w:r w:rsidR="000046AB" w:rsidRPr="00A86FFB">
        <w:rPr>
          <w:rFonts w:asciiTheme="minorBidi" w:hAnsiTheme="minorBidi"/>
          <w:sz w:val="24"/>
          <w:szCs w:val="24"/>
          <w:lang w:val="nl-NL"/>
        </w:rPr>
        <w:t>(</w:t>
      </w:r>
      <w:r w:rsidR="00D96EB1" w:rsidRPr="00A86FFB">
        <w:rPr>
          <w:rFonts w:asciiTheme="minorBidi" w:hAnsiTheme="minorBidi"/>
          <w:sz w:val="24"/>
          <w:szCs w:val="24"/>
          <w:lang w:val="nl-NL"/>
        </w:rPr>
        <w:t>2012),</w:t>
      </w:r>
      <w:r w:rsidR="009B35A1" w:rsidRPr="00A86FFB">
        <w:rPr>
          <w:rFonts w:asciiTheme="minorBidi" w:hAnsiTheme="minorBidi"/>
          <w:sz w:val="24"/>
          <w:szCs w:val="24"/>
          <w:lang w:val="nl-NL"/>
        </w:rPr>
        <w:t xml:space="preserve"> </w:t>
      </w:r>
      <w:r w:rsidR="009B35A1" w:rsidRPr="00A86FFB">
        <w:rPr>
          <w:rFonts w:asciiTheme="minorBidi" w:hAnsiTheme="minorBidi"/>
          <w:sz w:val="24"/>
          <w:szCs w:val="24"/>
        </w:rPr>
        <w:fldChar w:fldCharType="begin" w:fldLock="1"/>
      </w:r>
      <w:r w:rsidR="00310DAC" w:rsidRPr="00A86FFB">
        <w:rPr>
          <w:rFonts w:asciiTheme="minorBidi" w:hAnsiTheme="minorBidi"/>
          <w:sz w:val="24"/>
          <w:szCs w:val="24"/>
          <w:lang w:val="nl-NL"/>
        </w:rPr>
        <w:instrText>ADDIN CSL_CITATION {"citationItems":[{"id":"ITEM-1","itemData":{"DOI":"10.2337/dc12-0369","ISSN":"01495992","PMID":"23173140","abstract":"OBJECTIVE - This systematic review and meta-analysis of randomized controlled trials (RCTs) assesses the effect of pharmacist care on cardiovascular disease (CVD) risk factors among outpatients with diabetes. RESEARCH DESIGN AND METHODS - MEDLINE, EMBASE, CINAHL, and the Cochrane Central Register of Controlled Trials were searched. Pharmacist interventions were classified, and a meta-analysis of mean changes of blood pressure (BP), total cholesterol (TC), LDL cholesterol, HDL cholesterol, and BMI was performed using random-effects models. RESULTS - The meta-analysis included 15 RCTs (9,111 outpatients) in which interventions were conducted exclusively by pharmacists in 8 studies and in collaboration with physicians, nurses, dietitians, or physical therapists in 7 studies. Pharmacist interventions included medication management, educational interventions, feedback to physicians, measurement of CVD risk factors, or patient-reminder systems. Compared with usual care, pharmacist care was associated with significant reductions for systolic BP (12 studies with 1,894 patients; -6.2 mmHg [95% CI -7.8 to -4.6]); diastolic BP (9 studies with 1,496 patients; -4.5 mmHg [-6.2 to -2.8]); TC (8 studies with 1,280 patients; -15.2 mg/dL [-24.7 to -5.7]); LDL cholesterol (9 studies with 8,084 patients; -11.7mg/dL [-15.8 to-7.6]); and BMI (5 studies with 751 patients; -0.9 kg/m2 [-1.7 to -0.1]). Pharmacist care was not associated with a significant change in HDL cholesterol (6 studies with 826 patients; 0.2 mg/dL [-1.9 to 2.4]). CONCLUSIONS - This meta-analysis supports pharmacist interventions - alone or in collaboration with other health care profes</w:instrText>
      </w:r>
      <w:r w:rsidR="00310DAC" w:rsidRPr="00A86FFB">
        <w:rPr>
          <w:rFonts w:asciiTheme="minorBidi" w:hAnsiTheme="minorBidi"/>
          <w:sz w:val="24"/>
          <w:szCs w:val="24"/>
          <w:lang w:val="fr-FR"/>
        </w:rPr>
        <w:instrText>sionals - to improve major CVD risk factors among outpatients with diabetes. © 2012 by the American Diabetes Association.","author":[{"dropping-particle":"","family":"Santschi","given":"Valérie","non-dropping-particle":"","parse-names":false,"suffix":""},{"dropping-particle":"","family":"Colosimo","given":"April L.","non-dropping-particle":"","parse-names":false,"suffix":""},{"dropping-particle":"","family":"Chiolero","given":"Arnaud","non-dropping-particle":"","parse-names":false,"suffix":""},{"dropping-particle":"","family":"Burnand","given":"Bernard","non-dropping-particle":"","parse-names":false,"suffix":""},{"dropping-particle":"","family":"Paradis","given":"Gilles","non-dropping-particle":"","parse-names":false,"suffix":""}],"container-title":"Diabetes Care","id":"ITEM-1","issue":"12","issued":{"date-parts":[["2012"]]},"page":"2706-2717","title":"Pharmacist interventions to improve cardiovascular disease risk factors in diabetes: A systematic review and meta-analysis of randomized controlled trials","type":"article-journal","volume":"35"},"uris":["http://www.mendeley.com/documents/?uuid=18e4bb6b-cf5b-4195-a39f-51ac6af47cf5"]}],"mendeley":{"formattedCitation":"(Santschi &lt;i&gt;et al.&lt;/i&gt;, 2012)","manualFormatting":"Santschi et al., (2012)","plainTextFormattedCitation":"(Santschi et al., 2012)","previouslyFormattedCitation":"(Santschi &lt;i&gt;et al.&lt;/i&gt;, 2012)"},"properties":{"noteIndex":0},"schema":"https://github.com/citation-style-language/schema/raw/master/csl-citation.json"}</w:instrText>
      </w:r>
      <w:r w:rsidR="009B35A1" w:rsidRPr="00A86FFB">
        <w:rPr>
          <w:rFonts w:asciiTheme="minorBidi" w:hAnsiTheme="minorBidi"/>
          <w:sz w:val="24"/>
          <w:szCs w:val="24"/>
        </w:rPr>
        <w:fldChar w:fldCharType="separate"/>
      </w:r>
      <w:r w:rsidR="009B35A1" w:rsidRPr="00A86FFB">
        <w:rPr>
          <w:rFonts w:asciiTheme="minorBidi" w:hAnsiTheme="minorBidi"/>
          <w:noProof/>
          <w:sz w:val="24"/>
          <w:szCs w:val="24"/>
          <w:lang w:val="fr-FR"/>
        </w:rPr>
        <w:t xml:space="preserve">Santschi et al., </w:t>
      </w:r>
      <w:r w:rsidR="000046AB" w:rsidRPr="00A86FFB">
        <w:rPr>
          <w:rFonts w:asciiTheme="minorBidi" w:hAnsiTheme="minorBidi"/>
          <w:noProof/>
          <w:sz w:val="24"/>
          <w:szCs w:val="24"/>
          <w:lang w:val="fr-FR"/>
        </w:rPr>
        <w:t>(</w:t>
      </w:r>
      <w:r w:rsidR="009B35A1" w:rsidRPr="00A86FFB">
        <w:rPr>
          <w:rFonts w:asciiTheme="minorBidi" w:hAnsiTheme="minorBidi"/>
          <w:noProof/>
          <w:sz w:val="24"/>
          <w:szCs w:val="24"/>
          <w:lang w:val="fr-FR"/>
        </w:rPr>
        <w:t>2012)</w:t>
      </w:r>
      <w:r w:rsidR="009B35A1" w:rsidRPr="00A86FFB">
        <w:rPr>
          <w:rFonts w:asciiTheme="minorBidi" w:hAnsiTheme="minorBidi"/>
          <w:sz w:val="24"/>
          <w:szCs w:val="24"/>
        </w:rPr>
        <w:fldChar w:fldCharType="end"/>
      </w:r>
      <w:r w:rsidR="009B35A1" w:rsidRPr="00A86FFB">
        <w:rPr>
          <w:rFonts w:asciiTheme="minorBidi" w:hAnsiTheme="minorBidi"/>
          <w:sz w:val="24"/>
          <w:szCs w:val="24"/>
          <w:lang w:val="fr-FR"/>
        </w:rPr>
        <w:t xml:space="preserve">, Willens et al., </w:t>
      </w:r>
      <w:r w:rsidR="000046AB" w:rsidRPr="00A86FFB">
        <w:rPr>
          <w:rFonts w:asciiTheme="minorBidi" w:hAnsiTheme="minorBidi"/>
          <w:sz w:val="24"/>
          <w:szCs w:val="24"/>
          <w:lang w:val="fr-FR"/>
        </w:rPr>
        <w:t>(</w:t>
      </w:r>
      <w:r w:rsidR="009B35A1" w:rsidRPr="00A86FFB">
        <w:rPr>
          <w:rFonts w:asciiTheme="minorBidi" w:hAnsiTheme="minorBidi"/>
          <w:sz w:val="24"/>
          <w:szCs w:val="24"/>
          <w:lang w:val="fr-FR"/>
        </w:rPr>
        <w:t xml:space="preserve">2011), LaMarr et al., </w:t>
      </w:r>
      <w:r w:rsidR="000046AB" w:rsidRPr="00A86FFB">
        <w:rPr>
          <w:rFonts w:asciiTheme="minorBidi" w:hAnsiTheme="minorBidi"/>
          <w:sz w:val="24"/>
          <w:szCs w:val="24"/>
          <w:lang w:val="fr-FR"/>
        </w:rPr>
        <w:t>(</w:t>
      </w:r>
      <w:r w:rsidR="009B35A1" w:rsidRPr="00A86FFB">
        <w:rPr>
          <w:rFonts w:asciiTheme="minorBidi" w:hAnsiTheme="minorBidi"/>
          <w:sz w:val="24"/>
          <w:szCs w:val="24"/>
          <w:lang w:val="fr-FR"/>
        </w:rPr>
        <w:t xml:space="preserve">2010), Armor et al., </w:t>
      </w:r>
      <w:r w:rsidR="000046AB" w:rsidRPr="00A86FFB">
        <w:rPr>
          <w:rFonts w:asciiTheme="minorBidi" w:hAnsiTheme="minorBidi"/>
          <w:sz w:val="24"/>
          <w:szCs w:val="24"/>
          <w:lang w:val="fr-FR"/>
        </w:rPr>
        <w:t>(</w:t>
      </w:r>
      <w:r w:rsidR="009B35A1" w:rsidRPr="00A86FFB">
        <w:rPr>
          <w:rFonts w:asciiTheme="minorBidi" w:hAnsiTheme="minorBidi"/>
          <w:sz w:val="24"/>
          <w:szCs w:val="24"/>
          <w:lang w:val="fr-FR"/>
        </w:rPr>
        <w:t xml:space="preserve">2010), Chisholm-burns et al., </w:t>
      </w:r>
      <w:r w:rsidR="000046AB" w:rsidRPr="00A86FFB">
        <w:rPr>
          <w:rFonts w:asciiTheme="minorBidi" w:hAnsiTheme="minorBidi"/>
          <w:sz w:val="24"/>
          <w:szCs w:val="24"/>
          <w:lang w:val="fr-FR"/>
        </w:rPr>
        <w:t>(</w:t>
      </w:r>
      <w:r w:rsidR="009B35A1" w:rsidRPr="00A86FFB">
        <w:rPr>
          <w:rFonts w:asciiTheme="minorBidi" w:hAnsiTheme="minorBidi"/>
          <w:sz w:val="24"/>
          <w:szCs w:val="24"/>
          <w:lang w:val="fr-FR"/>
        </w:rPr>
        <w:t>2010)</w:t>
      </w:r>
      <w:r w:rsidR="00910C34" w:rsidRPr="00A86FFB">
        <w:rPr>
          <w:rFonts w:asciiTheme="minorBidi" w:hAnsiTheme="minorBidi"/>
          <w:sz w:val="24"/>
          <w:szCs w:val="24"/>
          <w:lang w:val="fr-FR"/>
        </w:rPr>
        <w:t xml:space="preserve">. </w:t>
      </w:r>
    </w:p>
    <w:p w14:paraId="562BE642" w14:textId="77777777" w:rsidR="00130B06" w:rsidRPr="00A86FFB" w:rsidRDefault="00130B06" w:rsidP="00910C34">
      <w:pPr>
        <w:spacing w:after="0" w:line="360" w:lineRule="auto"/>
        <w:jc w:val="both"/>
        <w:rPr>
          <w:rFonts w:asciiTheme="minorBidi" w:hAnsiTheme="minorBidi"/>
          <w:color w:val="00B050"/>
          <w:sz w:val="24"/>
          <w:szCs w:val="24"/>
          <w:lang w:val="fr-FR"/>
        </w:rPr>
      </w:pPr>
    </w:p>
    <w:p w14:paraId="6BE99AB4" w14:textId="77777777" w:rsidR="00747BE4" w:rsidRPr="00A86FFB" w:rsidRDefault="00747BE4" w:rsidP="00747BE4">
      <w:pPr>
        <w:spacing w:line="360" w:lineRule="auto"/>
        <w:jc w:val="both"/>
        <w:rPr>
          <w:rFonts w:asciiTheme="minorBidi" w:hAnsiTheme="minorBidi"/>
          <w:sz w:val="24"/>
          <w:szCs w:val="24"/>
          <w:lang w:val="en-GB"/>
        </w:rPr>
      </w:pPr>
      <w:r w:rsidRPr="00A86FFB">
        <w:rPr>
          <w:rFonts w:asciiTheme="minorBidi" w:hAnsiTheme="minorBidi"/>
          <w:sz w:val="24"/>
          <w:szCs w:val="24"/>
          <w:lang w:val="en-GB"/>
        </w:rPr>
        <w:t xml:space="preserve">Turning now to answer the research question related to HCPs' attitudes towards pharmacists' roles in diabetes management. </w:t>
      </w:r>
    </w:p>
    <w:p w14:paraId="7BE0E54C" w14:textId="77777777" w:rsidR="00747BE4" w:rsidRPr="00A86FFB" w:rsidRDefault="00747BE4" w:rsidP="00747BE4">
      <w:pPr>
        <w:spacing w:line="360" w:lineRule="auto"/>
        <w:jc w:val="both"/>
        <w:rPr>
          <w:rFonts w:asciiTheme="minorBidi" w:hAnsiTheme="minorBidi"/>
          <w:sz w:val="24"/>
          <w:szCs w:val="24"/>
          <w:lang w:val="en-GB"/>
        </w:rPr>
      </w:pPr>
    </w:p>
    <w:p w14:paraId="074D14A4" w14:textId="77777777" w:rsidR="00B51025" w:rsidRPr="00A86FFB" w:rsidRDefault="00B51025" w:rsidP="00747BE4">
      <w:pPr>
        <w:spacing w:line="360" w:lineRule="auto"/>
        <w:jc w:val="both"/>
        <w:rPr>
          <w:rFonts w:asciiTheme="minorBidi" w:hAnsiTheme="minorBidi"/>
          <w:sz w:val="24"/>
          <w:szCs w:val="24"/>
          <w:lang w:val="en-GB"/>
        </w:rPr>
        <w:sectPr w:rsidR="00B51025" w:rsidRPr="00A86FFB">
          <w:pgSz w:w="12240" w:h="15840"/>
          <w:pgMar w:top="1440" w:right="1440" w:bottom="1440" w:left="1440" w:header="720" w:footer="720" w:gutter="0"/>
          <w:cols w:space="720"/>
          <w:docGrid w:linePitch="360"/>
        </w:sectPr>
      </w:pPr>
    </w:p>
    <w:p w14:paraId="6392073E" w14:textId="3E34565E" w:rsidR="00B47EEF" w:rsidRPr="00A86FFB" w:rsidRDefault="00B47EEF" w:rsidP="00B47EEF">
      <w:pPr>
        <w:pStyle w:val="Caption"/>
        <w:rPr>
          <w:lang w:val="en-GB"/>
        </w:rPr>
      </w:pPr>
      <w:bookmarkStart w:id="269" w:name="_Ref124816462"/>
      <w:bookmarkStart w:id="270" w:name="_Toc153894582"/>
      <w:r w:rsidRPr="00A86FFB">
        <w:rPr>
          <w:lang w:val="en-GB"/>
        </w:rPr>
        <w:t xml:space="preserve">Table </w:t>
      </w:r>
      <w:r>
        <w:fldChar w:fldCharType="begin"/>
      </w:r>
      <w:r w:rsidRPr="00876389">
        <w:rPr>
          <w:lang w:val="en-GB"/>
        </w:rPr>
        <w:instrText xml:space="preserve"> SEQ Table \* ARABIC </w:instrText>
      </w:r>
      <w:r>
        <w:fldChar w:fldCharType="separate"/>
      </w:r>
      <w:r w:rsidR="009B31EB" w:rsidRPr="00A86FFB">
        <w:rPr>
          <w:noProof/>
          <w:lang w:val="en-GB"/>
        </w:rPr>
        <w:t>28</w:t>
      </w:r>
      <w:r>
        <w:rPr>
          <w:noProof/>
        </w:rPr>
        <w:fldChar w:fldCharType="end"/>
      </w:r>
      <w:bookmarkEnd w:id="269"/>
      <w:r w:rsidRPr="00A86FFB">
        <w:rPr>
          <w:lang w:val="en-GB"/>
        </w:rPr>
        <w:t>: Integration of Pharmaceutical Care Services Provided to Patients with Diabetes</w:t>
      </w:r>
      <w:bookmarkEnd w:id="270"/>
    </w:p>
    <w:tbl>
      <w:tblPr>
        <w:tblW w:w="14156" w:type="dxa"/>
        <w:tblInd w:w="-275" w:type="dxa"/>
        <w:tblLook w:val="04A0" w:firstRow="1" w:lastRow="0" w:firstColumn="1" w:lastColumn="0" w:noHBand="0" w:noVBand="1"/>
      </w:tblPr>
      <w:tblGrid>
        <w:gridCol w:w="1800"/>
        <w:gridCol w:w="2610"/>
        <w:gridCol w:w="2070"/>
        <w:gridCol w:w="4590"/>
        <w:gridCol w:w="3086"/>
      </w:tblGrid>
      <w:tr w:rsidR="00B47EEF" w:rsidRPr="00CE625C" w14:paraId="48018C37" w14:textId="77777777" w:rsidTr="00282204">
        <w:trPr>
          <w:trHeight w:val="296"/>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742CC923" w14:textId="77777777" w:rsidR="00B47EEF" w:rsidRPr="00DC4BDE" w:rsidRDefault="00B47EEF" w:rsidP="00282204">
            <w:pPr>
              <w:spacing w:after="0" w:line="276" w:lineRule="auto"/>
              <w:rPr>
                <w:rFonts w:ascii="Calibri" w:eastAsia="Times New Roman" w:hAnsi="Calibri" w:cs="Calibri"/>
                <w:color w:val="000000"/>
                <w:sz w:val="20"/>
                <w:szCs w:val="20"/>
                <w:lang w:val="es-ES_tradnl"/>
              </w:rPr>
            </w:pPr>
            <w:r w:rsidRPr="00DC4BDE">
              <w:rPr>
                <w:rFonts w:ascii="Calibri" w:eastAsia="Times New Roman" w:hAnsi="Calibri" w:cs="Calibri"/>
                <w:color w:val="000000"/>
                <w:sz w:val="20"/>
                <w:szCs w:val="20"/>
                <w:lang w:val="es-ES_tradnl"/>
              </w:rPr>
              <w:t xml:space="preserve">Research questions </w:t>
            </w:r>
          </w:p>
        </w:tc>
        <w:tc>
          <w:tcPr>
            <w:tcW w:w="2610" w:type="dxa"/>
            <w:tcBorders>
              <w:top w:val="single" w:sz="4" w:space="0" w:color="auto"/>
              <w:left w:val="nil"/>
              <w:bottom w:val="single" w:sz="4" w:space="0" w:color="auto"/>
              <w:right w:val="single" w:sz="4" w:space="0" w:color="auto"/>
            </w:tcBorders>
            <w:shd w:val="clear" w:color="auto" w:fill="auto"/>
            <w:hideMark/>
          </w:tcPr>
          <w:p w14:paraId="752D27F7" w14:textId="77777777" w:rsidR="00B47EEF" w:rsidRPr="00DC4BDE" w:rsidRDefault="00B47EEF" w:rsidP="00282204">
            <w:pPr>
              <w:spacing w:after="0" w:line="276" w:lineRule="auto"/>
              <w:rPr>
                <w:rFonts w:ascii="Calibri" w:eastAsia="Times New Roman" w:hAnsi="Calibri" w:cs="Calibri"/>
                <w:color w:val="000000"/>
                <w:sz w:val="20"/>
                <w:szCs w:val="20"/>
                <w:lang w:val="es-ES_tradnl"/>
              </w:rPr>
            </w:pPr>
            <w:r w:rsidRPr="00DC4BDE">
              <w:rPr>
                <w:rFonts w:ascii="Calibri" w:eastAsia="Times New Roman" w:hAnsi="Calibri" w:cs="Calibri"/>
                <w:color w:val="000000"/>
                <w:sz w:val="20"/>
                <w:szCs w:val="20"/>
                <w:lang w:val="es-ES_tradnl"/>
              </w:rPr>
              <w:t>Activities</w:t>
            </w:r>
          </w:p>
        </w:tc>
        <w:tc>
          <w:tcPr>
            <w:tcW w:w="2070" w:type="dxa"/>
            <w:tcBorders>
              <w:top w:val="single" w:sz="4" w:space="0" w:color="auto"/>
              <w:left w:val="nil"/>
              <w:bottom w:val="single" w:sz="4" w:space="0" w:color="auto"/>
              <w:right w:val="single" w:sz="4" w:space="0" w:color="auto"/>
            </w:tcBorders>
            <w:shd w:val="clear" w:color="auto" w:fill="auto"/>
            <w:hideMark/>
          </w:tcPr>
          <w:p w14:paraId="6063306E" w14:textId="77777777" w:rsidR="00B47EEF" w:rsidRPr="00DC4BDE" w:rsidRDefault="00B47EEF" w:rsidP="00282204">
            <w:pPr>
              <w:spacing w:after="0" w:line="276" w:lineRule="auto"/>
              <w:rPr>
                <w:rFonts w:ascii="Calibri" w:eastAsia="Times New Roman" w:hAnsi="Calibri" w:cs="Calibri"/>
                <w:color w:val="000000"/>
                <w:sz w:val="20"/>
                <w:szCs w:val="20"/>
                <w:lang w:val="es-ES_tradnl"/>
              </w:rPr>
            </w:pPr>
            <w:r w:rsidRPr="00DC4BDE">
              <w:rPr>
                <w:rFonts w:ascii="Calibri" w:eastAsia="Times New Roman" w:hAnsi="Calibri" w:cs="Calibri"/>
                <w:color w:val="000000"/>
                <w:sz w:val="20"/>
                <w:szCs w:val="20"/>
                <w:lang w:val="es-ES_tradnl"/>
              </w:rPr>
              <w:t>Survey</w:t>
            </w:r>
          </w:p>
        </w:tc>
        <w:tc>
          <w:tcPr>
            <w:tcW w:w="4590" w:type="dxa"/>
            <w:tcBorders>
              <w:top w:val="single" w:sz="4" w:space="0" w:color="auto"/>
              <w:left w:val="nil"/>
              <w:bottom w:val="single" w:sz="4" w:space="0" w:color="auto"/>
              <w:right w:val="single" w:sz="4" w:space="0" w:color="auto"/>
            </w:tcBorders>
            <w:shd w:val="clear" w:color="auto" w:fill="auto"/>
            <w:hideMark/>
          </w:tcPr>
          <w:p w14:paraId="5845D5FC" w14:textId="77777777" w:rsidR="00B47EEF" w:rsidRPr="00DC4BDE" w:rsidRDefault="00B47EEF" w:rsidP="00282204">
            <w:pPr>
              <w:spacing w:after="0" w:line="276" w:lineRule="auto"/>
              <w:rPr>
                <w:rFonts w:ascii="Calibri" w:eastAsia="Times New Roman" w:hAnsi="Calibri" w:cs="Calibri"/>
                <w:color w:val="000000"/>
                <w:sz w:val="20"/>
                <w:szCs w:val="20"/>
                <w:lang w:val="es-ES_tradnl"/>
              </w:rPr>
            </w:pPr>
            <w:r w:rsidRPr="00DC4BDE">
              <w:rPr>
                <w:rFonts w:ascii="Calibri" w:eastAsia="Times New Roman" w:hAnsi="Calibri" w:cs="Calibri"/>
                <w:color w:val="000000"/>
                <w:sz w:val="20"/>
                <w:szCs w:val="20"/>
                <w:lang w:val="es-ES_tradnl"/>
              </w:rPr>
              <w:t>Interviews</w:t>
            </w:r>
          </w:p>
        </w:tc>
        <w:tc>
          <w:tcPr>
            <w:tcW w:w="3086" w:type="dxa"/>
            <w:tcBorders>
              <w:top w:val="single" w:sz="4" w:space="0" w:color="auto"/>
              <w:left w:val="nil"/>
              <w:bottom w:val="single" w:sz="4" w:space="0" w:color="auto"/>
              <w:right w:val="single" w:sz="4" w:space="0" w:color="auto"/>
            </w:tcBorders>
            <w:shd w:val="clear" w:color="auto" w:fill="auto"/>
            <w:hideMark/>
          </w:tcPr>
          <w:p w14:paraId="0A2EFF37" w14:textId="77777777" w:rsidR="00B47EEF" w:rsidRPr="00DC4BDE" w:rsidRDefault="00B47EEF" w:rsidP="00282204">
            <w:pPr>
              <w:spacing w:after="0" w:line="276" w:lineRule="auto"/>
              <w:rPr>
                <w:rFonts w:ascii="Calibri" w:eastAsia="Times New Roman" w:hAnsi="Calibri" w:cs="Calibri"/>
                <w:color w:val="000000"/>
                <w:sz w:val="20"/>
                <w:szCs w:val="20"/>
                <w:lang w:val="es-ES_tradnl"/>
              </w:rPr>
            </w:pPr>
            <w:r w:rsidRPr="00DC4BDE">
              <w:rPr>
                <w:rFonts w:ascii="Calibri" w:eastAsia="Times New Roman" w:hAnsi="Calibri" w:cs="Calibri"/>
                <w:color w:val="000000"/>
                <w:sz w:val="20"/>
                <w:szCs w:val="20"/>
                <w:lang w:val="es-ES_tradnl"/>
              </w:rPr>
              <w:t xml:space="preserve">Integration </w:t>
            </w:r>
          </w:p>
        </w:tc>
      </w:tr>
      <w:tr w:rsidR="00B47EEF" w:rsidRPr="000970BF" w14:paraId="241F78CD" w14:textId="77777777" w:rsidTr="00282204">
        <w:trPr>
          <w:trHeight w:val="710"/>
        </w:trPr>
        <w:tc>
          <w:tcPr>
            <w:tcW w:w="1800" w:type="dxa"/>
            <w:tcBorders>
              <w:top w:val="nil"/>
              <w:left w:val="single" w:sz="4" w:space="0" w:color="auto"/>
              <w:bottom w:val="single" w:sz="4" w:space="0" w:color="auto"/>
              <w:right w:val="single" w:sz="4" w:space="0" w:color="auto"/>
            </w:tcBorders>
            <w:shd w:val="clear" w:color="auto" w:fill="auto"/>
            <w:hideMark/>
          </w:tcPr>
          <w:p w14:paraId="7E6CEC66" w14:textId="77777777" w:rsidR="00B47EEF" w:rsidRPr="0043510B" w:rsidRDefault="00B47EEF" w:rsidP="00282204">
            <w:pPr>
              <w:spacing w:after="0" w:line="276" w:lineRule="auto"/>
              <w:rPr>
                <w:rFonts w:ascii="Calibri" w:eastAsia="Times New Roman" w:hAnsi="Calibri" w:cs="Calibri"/>
                <w:color w:val="000000"/>
                <w:sz w:val="20"/>
                <w:szCs w:val="20"/>
                <w:lang w:val="en-GB"/>
              </w:rPr>
            </w:pPr>
            <w:r w:rsidRPr="0043510B">
              <w:rPr>
                <w:rFonts w:ascii="Calibri" w:eastAsia="Times New Roman" w:hAnsi="Calibri" w:cs="Calibri"/>
                <w:color w:val="000000"/>
                <w:sz w:val="20"/>
                <w:szCs w:val="20"/>
                <w:lang w:val="en-GB"/>
              </w:rPr>
              <w:t>What current activities are pharmacists in PHCs in SA providing for diabetes care?</w:t>
            </w:r>
          </w:p>
        </w:tc>
        <w:tc>
          <w:tcPr>
            <w:tcW w:w="2610" w:type="dxa"/>
            <w:tcBorders>
              <w:top w:val="nil"/>
              <w:left w:val="nil"/>
              <w:bottom w:val="single" w:sz="4" w:space="0" w:color="auto"/>
              <w:right w:val="single" w:sz="4" w:space="0" w:color="auto"/>
            </w:tcBorders>
            <w:shd w:val="clear" w:color="auto" w:fill="auto"/>
            <w:hideMark/>
          </w:tcPr>
          <w:p w14:paraId="33B5FDC4" w14:textId="77777777" w:rsidR="00B47EEF" w:rsidRPr="0043510B" w:rsidRDefault="00B47EEF" w:rsidP="00282204">
            <w:pPr>
              <w:spacing w:after="0" w:line="240" w:lineRule="auto"/>
              <w:rPr>
                <w:rFonts w:ascii="Calibri" w:eastAsia="Times New Roman" w:hAnsi="Calibri" w:cs="Calibri"/>
                <w:color w:val="000000"/>
                <w:sz w:val="20"/>
                <w:szCs w:val="20"/>
                <w:lang w:val="en-GB"/>
              </w:rPr>
            </w:pPr>
            <w:r w:rsidRPr="0043510B">
              <w:rPr>
                <w:rFonts w:ascii="Calibri" w:eastAsia="Times New Roman" w:hAnsi="Calibri" w:cs="Calibri"/>
                <w:color w:val="1F3864" w:themeColor="accent1" w:themeShade="80"/>
                <w:sz w:val="20"/>
                <w:szCs w:val="20"/>
                <w:lang w:val="en-GB"/>
              </w:rPr>
              <w:t>Roles were suggested</w:t>
            </w:r>
            <w:r w:rsidRPr="0043510B">
              <w:rPr>
                <w:rFonts w:ascii="Calibri" w:eastAsia="Times New Roman" w:hAnsi="Calibri" w:cs="Calibri"/>
                <w:color w:val="000000"/>
                <w:sz w:val="20"/>
                <w:szCs w:val="20"/>
                <w:lang w:val="en-GB"/>
              </w:rPr>
              <w:t xml:space="preserve">: </w:t>
            </w:r>
          </w:p>
          <w:p w14:paraId="67D513A7" w14:textId="77777777" w:rsidR="00B47EEF" w:rsidRPr="0043510B" w:rsidRDefault="00B47EEF" w:rsidP="00282204">
            <w:pPr>
              <w:spacing w:after="0" w:line="240" w:lineRule="auto"/>
              <w:rPr>
                <w:rFonts w:ascii="Calibri" w:eastAsia="Times New Roman" w:hAnsi="Calibri" w:cs="Calibri"/>
                <w:color w:val="000000"/>
                <w:sz w:val="20"/>
                <w:szCs w:val="20"/>
                <w:lang w:val="en-GB"/>
              </w:rPr>
            </w:pPr>
          </w:p>
          <w:p w14:paraId="745FEA7F" w14:textId="77777777" w:rsidR="00B47EEF" w:rsidRDefault="00B47EEF" w:rsidP="00282204">
            <w:pPr>
              <w:spacing w:after="0" w:line="276" w:lineRule="auto"/>
              <w:rPr>
                <w:rFonts w:ascii="Calibri" w:eastAsia="Times New Roman" w:hAnsi="Calibri" w:cs="Calibri"/>
                <w:color w:val="000000"/>
                <w:sz w:val="20"/>
                <w:szCs w:val="20"/>
              </w:rPr>
            </w:pPr>
            <w:r w:rsidRPr="0043510B">
              <w:rPr>
                <w:rFonts w:ascii="Calibri" w:eastAsia="Times New Roman" w:hAnsi="Calibri" w:cs="Calibri"/>
                <w:color w:val="000000"/>
                <w:sz w:val="20"/>
                <w:szCs w:val="20"/>
                <w:lang w:val="en-GB"/>
              </w:rPr>
              <w:t xml:space="preserve">-Medication therapy management </w:t>
            </w:r>
            <w:r>
              <w:rPr>
                <w:rFonts w:ascii="Calibri" w:eastAsia="Times New Roman" w:hAnsi="Calibri" w:cs="Calibri"/>
                <w:color w:val="000000"/>
                <w:sz w:val="20"/>
                <w:szCs w:val="20"/>
              </w:rPr>
              <w:t>(MTM)</w:t>
            </w:r>
          </w:p>
          <w:p w14:paraId="1EB3FB81" w14:textId="77777777" w:rsidR="00B47EEF" w:rsidRDefault="00B47EE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-Medication review</w:t>
            </w:r>
            <w:r>
              <w:rPr>
                <w:rFonts w:ascii="Calibri" w:eastAsia="Times New Roman" w:hAnsi="Calibri" w:cs="Calibri"/>
                <w:color w:val="000000"/>
                <w:sz w:val="20"/>
                <w:szCs w:val="20"/>
              </w:rPr>
              <w:t xml:space="preserve"> (MR)</w:t>
            </w:r>
            <w:r w:rsidRPr="000970BF">
              <w:rPr>
                <w:rFonts w:ascii="Calibri" w:eastAsia="Times New Roman" w:hAnsi="Calibri" w:cs="Calibri"/>
                <w:color w:val="000000"/>
                <w:sz w:val="20"/>
                <w:szCs w:val="20"/>
              </w:rPr>
              <w:t xml:space="preserve"> </w:t>
            </w:r>
          </w:p>
          <w:p w14:paraId="79C456F5" w14:textId="77777777" w:rsidR="00B47EEF" w:rsidRDefault="00B47EE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 xml:space="preserve">-Co-morbid disease education </w:t>
            </w:r>
            <w:r>
              <w:rPr>
                <w:rFonts w:ascii="Calibri" w:eastAsia="Times New Roman" w:hAnsi="Calibri" w:cs="Calibri"/>
                <w:color w:val="000000"/>
                <w:sz w:val="20"/>
                <w:szCs w:val="20"/>
              </w:rPr>
              <w:t>(COMDE)</w:t>
            </w:r>
          </w:p>
          <w:p w14:paraId="7C48DFB3" w14:textId="77777777" w:rsidR="00B47EEF" w:rsidRDefault="00B47EE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-Co-morbid disease medication</w:t>
            </w:r>
            <w:r>
              <w:rPr>
                <w:rFonts w:ascii="Calibri" w:eastAsia="Times New Roman" w:hAnsi="Calibri" w:cs="Calibri"/>
                <w:color w:val="000000"/>
                <w:sz w:val="20"/>
                <w:szCs w:val="20"/>
              </w:rPr>
              <w:t xml:space="preserve"> </w:t>
            </w:r>
            <w:r w:rsidRPr="000970BF">
              <w:rPr>
                <w:rFonts w:ascii="Calibri" w:eastAsia="Times New Roman" w:hAnsi="Calibri" w:cs="Calibri"/>
                <w:color w:val="000000"/>
                <w:sz w:val="20"/>
                <w:szCs w:val="20"/>
              </w:rPr>
              <w:t>management</w:t>
            </w:r>
            <w:r>
              <w:rPr>
                <w:rFonts w:ascii="Calibri" w:eastAsia="Times New Roman" w:hAnsi="Calibri" w:cs="Calibri"/>
                <w:color w:val="000000"/>
                <w:sz w:val="20"/>
                <w:szCs w:val="20"/>
              </w:rPr>
              <w:t xml:space="preserve"> (COMDMM)</w:t>
            </w:r>
          </w:p>
          <w:p w14:paraId="12BAC90C" w14:textId="77777777" w:rsidR="00B47EEF" w:rsidRDefault="00B47EE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-Blood glucose monitoring</w:t>
            </w:r>
            <w:r>
              <w:rPr>
                <w:rFonts w:ascii="Calibri" w:eastAsia="Times New Roman" w:hAnsi="Calibri" w:cs="Calibri"/>
                <w:color w:val="000000"/>
                <w:sz w:val="20"/>
                <w:szCs w:val="20"/>
              </w:rPr>
              <w:t xml:space="preserve"> (BGM)</w:t>
            </w:r>
          </w:p>
          <w:p w14:paraId="22BF7DF2" w14:textId="77777777" w:rsidR="00B47EEF" w:rsidRDefault="00B47EE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-Hypoglycemia management</w:t>
            </w:r>
            <w:r>
              <w:rPr>
                <w:rFonts w:ascii="Calibri" w:eastAsia="Times New Roman" w:hAnsi="Calibri" w:cs="Calibri"/>
                <w:color w:val="000000"/>
                <w:sz w:val="20"/>
                <w:szCs w:val="20"/>
              </w:rPr>
              <w:t xml:space="preserve"> (HGM)</w:t>
            </w:r>
          </w:p>
          <w:p w14:paraId="274F6350" w14:textId="77777777" w:rsidR="00B47EEF" w:rsidRDefault="00B47EE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 xml:space="preserve"> -Verification of prescriptions</w:t>
            </w:r>
            <w:r>
              <w:rPr>
                <w:rFonts w:ascii="Calibri" w:eastAsia="Times New Roman" w:hAnsi="Calibri" w:cs="Calibri"/>
                <w:color w:val="000000"/>
                <w:sz w:val="20"/>
                <w:szCs w:val="20"/>
              </w:rPr>
              <w:t xml:space="preserve"> (VRx)</w:t>
            </w:r>
          </w:p>
          <w:p w14:paraId="2BA1C8F5" w14:textId="77777777" w:rsidR="00B47EEF" w:rsidRDefault="00B47EE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 xml:space="preserve">-Preparing and dispensing of prescriptions </w:t>
            </w:r>
            <w:r>
              <w:rPr>
                <w:rFonts w:ascii="Calibri" w:eastAsia="Times New Roman" w:hAnsi="Calibri" w:cs="Calibri"/>
                <w:color w:val="000000"/>
                <w:sz w:val="20"/>
                <w:szCs w:val="20"/>
              </w:rPr>
              <w:t>(P&amp;DRx)</w:t>
            </w:r>
          </w:p>
          <w:p w14:paraId="78A7311F" w14:textId="77777777" w:rsidR="00B47EEF" w:rsidRDefault="00B47EE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 xml:space="preserve">-Patient counselling and education </w:t>
            </w:r>
            <w:r>
              <w:rPr>
                <w:rFonts w:ascii="Calibri" w:eastAsia="Times New Roman" w:hAnsi="Calibri" w:cs="Calibri"/>
                <w:color w:val="000000"/>
                <w:sz w:val="20"/>
                <w:szCs w:val="20"/>
              </w:rPr>
              <w:t>(PC&amp;E)</w:t>
            </w:r>
          </w:p>
          <w:p w14:paraId="41147576" w14:textId="77777777" w:rsidR="00B47EEF" w:rsidRDefault="00B47EE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 xml:space="preserve">-Healthy lifestyle education </w:t>
            </w:r>
            <w:r>
              <w:rPr>
                <w:rFonts w:ascii="Calibri" w:eastAsia="Times New Roman" w:hAnsi="Calibri" w:cs="Calibri"/>
                <w:color w:val="000000"/>
                <w:sz w:val="20"/>
                <w:szCs w:val="20"/>
              </w:rPr>
              <w:t>(HLE)</w:t>
            </w:r>
          </w:p>
          <w:p w14:paraId="48EB0BCE" w14:textId="77777777" w:rsidR="00B47EEF" w:rsidRDefault="00B47EE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-Dependent prescribing of diabetes medications</w:t>
            </w:r>
            <w:r>
              <w:rPr>
                <w:rFonts w:ascii="Calibri" w:eastAsia="Times New Roman" w:hAnsi="Calibri" w:cs="Calibri"/>
                <w:color w:val="000000"/>
                <w:sz w:val="20"/>
                <w:szCs w:val="20"/>
              </w:rPr>
              <w:t xml:space="preserve"> (DP)</w:t>
            </w:r>
          </w:p>
          <w:p w14:paraId="7C30B2CD" w14:textId="77777777" w:rsidR="00B47EEF" w:rsidRPr="000970BF" w:rsidRDefault="00B47EE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-Independent prescribing of diabetes medications</w:t>
            </w:r>
            <w:r>
              <w:rPr>
                <w:rFonts w:ascii="Calibri" w:eastAsia="Times New Roman" w:hAnsi="Calibri" w:cs="Calibri"/>
                <w:color w:val="000000"/>
                <w:sz w:val="20"/>
                <w:szCs w:val="20"/>
              </w:rPr>
              <w:t xml:space="preserve"> (IP)</w:t>
            </w:r>
          </w:p>
        </w:tc>
        <w:tc>
          <w:tcPr>
            <w:tcW w:w="2070" w:type="dxa"/>
            <w:tcBorders>
              <w:top w:val="nil"/>
              <w:left w:val="nil"/>
              <w:bottom w:val="single" w:sz="4" w:space="0" w:color="auto"/>
              <w:right w:val="single" w:sz="4" w:space="0" w:color="auto"/>
            </w:tcBorders>
            <w:shd w:val="clear" w:color="auto" w:fill="auto"/>
            <w:hideMark/>
          </w:tcPr>
          <w:p w14:paraId="734861EC" w14:textId="77777777" w:rsidR="00B47EEF" w:rsidRDefault="00B47EEF" w:rsidP="00282204">
            <w:pPr>
              <w:spacing w:after="0" w:line="276" w:lineRule="auto"/>
              <w:rPr>
                <w:rFonts w:ascii="Calibri" w:eastAsia="Times New Roman" w:hAnsi="Calibri" w:cs="Calibri"/>
                <w:color w:val="1F3864" w:themeColor="accent1" w:themeShade="80"/>
                <w:sz w:val="20"/>
                <w:szCs w:val="20"/>
              </w:rPr>
            </w:pPr>
            <w:r w:rsidRPr="000970BF">
              <w:rPr>
                <w:rFonts w:ascii="Calibri" w:eastAsia="Times New Roman" w:hAnsi="Calibri" w:cs="Calibri"/>
                <w:color w:val="1F3864" w:themeColor="accent1" w:themeShade="80"/>
                <w:sz w:val="20"/>
                <w:szCs w:val="20"/>
              </w:rPr>
              <w:t xml:space="preserve">Most frequently undertaken activities </w:t>
            </w:r>
          </w:p>
          <w:p w14:paraId="3AE199E3" w14:textId="77777777" w:rsidR="00B47EEF" w:rsidRDefault="00B47EEF" w:rsidP="00282204">
            <w:pPr>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P&amp;DRx</w:t>
            </w:r>
          </w:p>
          <w:p w14:paraId="7BD97CBE" w14:textId="77777777" w:rsidR="00B47EEF" w:rsidRDefault="00B47EEF" w:rsidP="00282204">
            <w:pPr>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VRx</w:t>
            </w:r>
          </w:p>
          <w:p w14:paraId="619378B6" w14:textId="77777777" w:rsidR="00B47EEF" w:rsidRDefault="00B47EEF" w:rsidP="00282204">
            <w:pPr>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PC&amp;E</w:t>
            </w:r>
          </w:p>
          <w:p w14:paraId="718AC956" w14:textId="77777777" w:rsidR="00B47EEF" w:rsidRDefault="00B47EEF" w:rsidP="00282204">
            <w:pPr>
              <w:spacing w:after="0" w:line="276" w:lineRule="auto"/>
              <w:rPr>
                <w:rFonts w:ascii="Calibri" w:eastAsia="Times New Roman" w:hAnsi="Calibri" w:cs="Calibri"/>
                <w:color w:val="000000"/>
                <w:sz w:val="20"/>
                <w:szCs w:val="20"/>
              </w:rPr>
            </w:pPr>
          </w:p>
          <w:p w14:paraId="745AE5AB" w14:textId="77777777" w:rsidR="00B47EEF" w:rsidRDefault="00B47EEF" w:rsidP="00282204">
            <w:pPr>
              <w:spacing w:after="0" w:line="276" w:lineRule="auto"/>
              <w:rPr>
                <w:rFonts w:ascii="Calibri" w:eastAsia="Times New Roman" w:hAnsi="Calibri" w:cs="Calibri"/>
                <w:color w:val="1F3864" w:themeColor="accent1" w:themeShade="80"/>
                <w:sz w:val="20"/>
                <w:szCs w:val="20"/>
              </w:rPr>
            </w:pPr>
            <w:r w:rsidRPr="000970BF">
              <w:rPr>
                <w:rFonts w:ascii="Calibri" w:eastAsia="Times New Roman" w:hAnsi="Calibri" w:cs="Calibri"/>
                <w:color w:val="1F3864" w:themeColor="accent1" w:themeShade="80"/>
                <w:sz w:val="20"/>
                <w:szCs w:val="20"/>
              </w:rPr>
              <w:t xml:space="preserve">least reported activity </w:t>
            </w:r>
          </w:p>
          <w:p w14:paraId="5E29D405" w14:textId="77777777" w:rsidR="00B47EEF" w:rsidRDefault="00B47EEF" w:rsidP="00282204">
            <w:pPr>
              <w:spacing w:after="0" w:line="276" w:lineRule="auto"/>
              <w:rPr>
                <w:rFonts w:ascii="Calibri" w:eastAsia="Times New Roman" w:hAnsi="Calibri" w:cs="Calibri"/>
                <w:color w:val="000000"/>
                <w:sz w:val="20"/>
                <w:szCs w:val="20"/>
              </w:rPr>
            </w:pPr>
            <w:r w:rsidRPr="00A77A57">
              <w:rPr>
                <w:rFonts w:ascii="Calibri" w:eastAsia="Times New Roman" w:hAnsi="Calibri" w:cs="Calibri"/>
                <w:color w:val="000000"/>
                <w:sz w:val="20"/>
                <w:szCs w:val="20"/>
              </w:rPr>
              <w:t>-</w:t>
            </w:r>
            <w:r>
              <w:rPr>
                <w:rFonts w:ascii="Calibri" w:eastAsia="Times New Roman" w:hAnsi="Calibri" w:cs="Calibri"/>
                <w:color w:val="000000"/>
                <w:sz w:val="20"/>
                <w:szCs w:val="20"/>
              </w:rPr>
              <w:t>IP</w:t>
            </w:r>
          </w:p>
          <w:p w14:paraId="05B7AA3F" w14:textId="77777777" w:rsidR="00B47EEF" w:rsidRDefault="00B47EEF" w:rsidP="00282204">
            <w:pPr>
              <w:spacing w:after="0" w:line="276" w:lineRule="auto"/>
              <w:rPr>
                <w:rFonts w:ascii="Calibri" w:eastAsia="Times New Roman" w:hAnsi="Calibri" w:cs="Calibri"/>
                <w:color w:val="000000"/>
                <w:sz w:val="20"/>
                <w:szCs w:val="20"/>
              </w:rPr>
            </w:pPr>
          </w:p>
          <w:p w14:paraId="720AF1F9" w14:textId="77777777" w:rsidR="00B47EEF" w:rsidRDefault="00B47EEF" w:rsidP="00282204">
            <w:pPr>
              <w:spacing w:after="0" w:line="276" w:lineRule="auto"/>
              <w:rPr>
                <w:rFonts w:ascii="Calibri" w:eastAsia="Times New Roman" w:hAnsi="Calibri" w:cs="Calibri"/>
                <w:color w:val="1F3864" w:themeColor="accent1" w:themeShade="80"/>
                <w:sz w:val="20"/>
                <w:szCs w:val="20"/>
              </w:rPr>
            </w:pPr>
            <w:r>
              <w:rPr>
                <w:rFonts w:ascii="Calibri" w:eastAsia="Times New Roman" w:hAnsi="Calibri" w:cs="Calibri"/>
                <w:color w:val="1F3864" w:themeColor="accent1" w:themeShade="80"/>
                <w:sz w:val="20"/>
                <w:szCs w:val="20"/>
              </w:rPr>
              <w:t>Sometimes</w:t>
            </w:r>
            <w:r w:rsidRPr="000970BF">
              <w:rPr>
                <w:rFonts w:ascii="Calibri" w:eastAsia="Times New Roman" w:hAnsi="Calibri" w:cs="Calibri"/>
                <w:color w:val="000000"/>
                <w:sz w:val="20"/>
                <w:szCs w:val="20"/>
              </w:rPr>
              <w:t xml:space="preserve"> </w:t>
            </w:r>
            <w:r w:rsidRPr="000970BF">
              <w:rPr>
                <w:rFonts w:ascii="Calibri" w:eastAsia="Times New Roman" w:hAnsi="Calibri" w:cs="Calibri"/>
                <w:color w:val="1F3864" w:themeColor="accent1" w:themeShade="80"/>
                <w:sz w:val="20"/>
                <w:szCs w:val="20"/>
              </w:rPr>
              <w:t>provided</w:t>
            </w:r>
          </w:p>
          <w:p w14:paraId="28F1DB6A" w14:textId="77777777" w:rsidR="00B47EEF" w:rsidRDefault="00B47EEF" w:rsidP="00282204">
            <w:pPr>
              <w:spacing w:after="0" w:line="276" w:lineRule="auto"/>
              <w:rPr>
                <w:rFonts w:ascii="Calibri" w:eastAsia="Times New Roman" w:hAnsi="Calibri" w:cs="Calibri"/>
                <w:color w:val="000000"/>
                <w:sz w:val="20"/>
                <w:szCs w:val="20"/>
              </w:rPr>
            </w:pPr>
            <w:r>
              <w:rPr>
                <w:rFonts w:ascii="Calibri" w:eastAsia="Times New Roman" w:hAnsi="Calibri" w:cs="Calibri"/>
                <w:color w:val="1F3864" w:themeColor="accent1" w:themeShade="80"/>
                <w:sz w:val="20"/>
                <w:szCs w:val="20"/>
              </w:rPr>
              <w:t>-</w:t>
            </w:r>
            <w:r>
              <w:rPr>
                <w:rFonts w:ascii="Calibri" w:eastAsia="Times New Roman" w:hAnsi="Calibri" w:cs="Calibri"/>
                <w:color w:val="000000"/>
                <w:sz w:val="20"/>
                <w:szCs w:val="20"/>
              </w:rPr>
              <w:t xml:space="preserve"> HGM</w:t>
            </w:r>
          </w:p>
          <w:p w14:paraId="617B3205" w14:textId="77777777" w:rsidR="00B47EEF" w:rsidRDefault="00B47EEF" w:rsidP="00282204">
            <w:pPr>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-MTM</w:t>
            </w:r>
          </w:p>
          <w:p w14:paraId="4E3AD2B7" w14:textId="77777777" w:rsidR="00B47EEF" w:rsidRDefault="00B47EEF" w:rsidP="00282204">
            <w:pPr>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-MR</w:t>
            </w:r>
          </w:p>
          <w:p w14:paraId="41B29BB5" w14:textId="77777777" w:rsidR="00B47EEF" w:rsidRDefault="00B47EEF" w:rsidP="00282204">
            <w:pPr>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w:t>
            </w:r>
            <w:r w:rsidRPr="000970BF">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BGM</w:t>
            </w:r>
          </w:p>
          <w:p w14:paraId="7C0C57CD" w14:textId="77777777" w:rsidR="00B47EEF" w:rsidRDefault="00B47EEF" w:rsidP="00282204">
            <w:pPr>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-COMDE</w:t>
            </w:r>
          </w:p>
          <w:p w14:paraId="009146A4" w14:textId="77777777" w:rsidR="00B47EEF" w:rsidRDefault="00B47EEF" w:rsidP="00282204">
            <w:pPr>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-COMDMM</w:t>
            </w:r>
            <w:r w:rsidRPr="000970BF">
              <w:rPr>
                <w:rFonts w:ascii="Calibri" w:eastAsia="Times New Roman" w:hAnsi="Calibri" w:cs="Calibri"/>
                <w:color w:val="000000"/>
                <w:sz w:val="20"/>
                <w:szCs w:val="20"/>
              </w:rPr>
              <w:t xml:space="preserve"> </w:t>
            </w:r>
          </w:p>
          <w:p w14:paraId="604FBC18" w14:textId="77777777" w:rsidR="00B47EEF" w:rsidRDefault="00B47EEF" w:rsidP="00282204">
            <w:pPr>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 HLE</w:t>
            </w:r>
            <w:r w:rsidRPr="000970BF">
              <w:rPr>
                <w:rFonts w:ascii="Calibri" w:eastAsia="Times New Roman" w:hAnsi="Calibri" w:cs="Calibri"/>
                <w:color w:val="000000"/>
                <w:sz w:val="20"/>
                <w:szCs w:val="20"/>
              </w:rPr>
              <w:t xml:space="preserve"> </w:t>
            </w:r>
          </w:p>
          <w:p w14:paraId="6DEFDF9A" w14:textId="77777777" w:rsidR="00B47EEF" w:rsidRDefault="00B47EEF" w:rsidP="00282204">
            <w:pPr>
              <w:spacing w:after="0" w:line="276" w:lineRule="auto"/>
              <w:rPr>
                <w:rFonts w:ascii="Calibri" w:eastAsia="Times New Roman" w:hAnsi="Calibri" w:cs="Calibri"/>
                <w:color w:val="000000"/>
                <w:sz w:val="20"/>
                <w:szCs w:val="20"/>
              </w:rPr>
            </w:pPr>
            <w:r>
              <w:rPr>
                <w:rFonts w:ascii="Calibri" w:eastAsia="Times New Roman" w:hAnsi="Calibri" w:cs="Calibri"/>
                <w:color w:val="000000"/>
                <w:sz w:val="20"/>
                <w:szCs w:val="20"/>
              </w:rPr>
              <w:t>-DP</w:t>
            </w:r>
          </w:p>
          <w:p w14:paraId="2661F80E" w14:textId="77777777" w:rsidR="00B47EEF" w:rsidRPr="000970BF" w:rsidRDefault="00B47EEF" w:rsidP="00282204">
            <w:pPr>
              <w:spacing w:after="0" w:line="276" w:lineRule="auto"/>
              <w:rPr>
                <w:rFonts w:ascii="Calibri" w:eastAsia="Times New Roman" w:hAnsi="Calibri" w:cs="Calibri"/>
                <w:color w:val="1F3864" w:themeColor="accent1" w:themeShade="80"/>
                <w:sz w:val="20"/>
                <w:szCs w:val="20"/>
              </w:rPr>
            </w:pPr>
            <w:r w:rsidRPr="000970BF">
              <w:rPr>
                <w:rFonts w:ascii="Calibri" w:eastAsia="Times New Roman" w:hAnsi="Calibri" w:cs="Calibri"/>
                <w:color w:val="000000"/>
                <w:sz w:val="20"/>
                <w:szCs w:val="20"/>
              </w:rPr>
              <w:t xml:space="preserve"> </w:t>
            </w:r>
          </w:p>
        </w:tc>
        <w:tc>
          <w:tcPr>
            <w:tcW w:w="4590" w:type="dxa"/>
            <w:tcBorders>
              <w:top w:val="nil"/>
              <w:left w:val="nil"/>
              <w:bottom w:val="single" w:sz="4" w:space="0" w:color="auto"/>
              <w:right w:val="single" w:sz="4" w:space="0" w:color="auto"/>
            </w:tcBorders>
            <w:shd w:val="clear" w:color="auto" w:fill="auto"/>
            <w:hideMark/>
          </w:tcPr>
          <w:p w14:paraId="1775F426" w14:textId="77777777" w:rsidR="00B47EEF" w:rsidRDefault="00B47EEF" w:rsidP="00282204">
            <w:pPr>
              <w:spacing w:after="0" w:line="240" w:lineRule="auto"/>
              <w:rPr>
                <w:rFonts w:ascii="Calibri" w:eastAsia="Times New Roman" w:hAnsi="Calibri" w:cs="Calibri"/>
                <w:color w:val="000000"/>
                <w:sz w:val="20"/>
                <w:szCs w:val="20"/>
              </w:rPr>
            </w:pPr>
            <w:r w:rsidRPr="00512D73">
              <w:rPr>
                <w:rFonts w:ascii="Calibri" w:eastAsia="Times New Roman" w:hAnsi="Calibri" w:cs="Calibri"/>
                <w:color w:val="1F3864" w:themeColor="accent1" w:themeShade="80"/>
                <w:sz w:val="20"/>
                <w:szCs w:val="20"/>
              </w:rPr>
              <w:t>R</w:t>
            </w:r>
            <w:r w:rsidRPr="000970BF">
              <w:rPr>
                <w:rFonts w:ascii="Calibri" w:eastAsia="Times New Roman" w:hAnsi="Calibri" w:cs="Calibri"/>
                <w:color w:val="1F3864" w:themeColor="accent1" w:themeShade="80"/>
                <w:sz w:val="20"/>
                <w:szCs w:val="20"/>
              </w:rPr>
              <w:t>ecent changes in PHC services</w:t>
            </w:r>
            <w:r>
              <w:rPr>
                <w:rFonts w:ascii="Calibri" w:eastAsia="Times New Roman" w:hAnsi="Calibri" w:cs="Calibri"/>
                <w:color w:val="1F3864" w:themeColor="accent1" w:themeShade="80"/>
                <w:sz w:val="20"/>
                <w:szCs w:val="20"/>
              </w:rPr>
              <w:t>:</w:t>
            </w:r>
            <w:r w:rsidRPr="000970BF">
              <w:rPr>
                <w:rFonts w:ascii="Calibri" w:eastAsia="Times New Roman" w:hAnsi="Calibri" w:cs="Calibri"/>
                <w:color w:val="000000"/>
                <w:sz w:val="20"/>
                <w:szCs w:val="20"/>
              </w:rPr>
              <w:t xml:space="preserve"> </w:t>
            </w:r>
          </w:p>
          <w:p w14:paraId="23241F16" w14:textId="77777777" w:rsidR="00B47EEF" w:rsidRDefault="00B47EEF"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w:t>
            </w:r>
            <w:r w:rsidRPr="000970BF">
              <w:rPr>
                <w:rFonts w:ascii="Calibri" w:eastAsia="Times New Roman" w:hAnsi="Calibri" w:cs="Calibri"/>
                <w:color w:val="000000"/>
                <w:sz w:val="20"/>
                <w:szCs w:val="20"/>
              </w:rPr>
              <w:t xml:space="preserve">harmacies closed, and pharmacists transferred </w:t>
            </w:r>
            <w:r>
              <w:rPr>
                <w:rFonts w:ascii="Calibri" w:eastAsia="Times New Roman" w:hAnsi="Calibri" w:cs="Calibri"/>
                <w:color w:val="000000"/>
                <w:sz w:val="20"/>
                <w:szCs w:val="20"/>
              </w:rPr>
              <w:t>from PHCs</w:t>
            </w:r>
            <w:r w:rsidRPr="000970BF">
              <w:rPr>
                <w:rFonts w:ascii="Calibri" w:eastAsia="Times New Roman" w:hAnsi="Calibri" w:cs="Calibri"/>
                <w:color w:val="000000"/>
                <w:sz w:val="20"/>
                <w:szCs w:val="20"/>
              </w:rPr>
              <w:t xml:space="preserve"> (i.e., pharmacists are currently no longer working in PHCs). </w:t>
            </w:r>
          </w:p>
          <w:p w14:paraId="3BC95B32" w14:textId="77777777" w:rsidR="00B47EEF" w:rsidRDefault="00B47EEF" w:rsidP="00282204">
            <w:pPr>
              <w:spacing w:after="0" w:line="240" w:lineRule="auto"/>
              <w:rPr>
                <w:rFonts w:ascii="Calibri" w:eastAsia="Times New Roman" w:hAnsi="Calibri" w:cs="Calibri"/>
                <w:color w:val="000000"/>
                <w:sz w:val="20"/>
                <w:szCs w:val="20"/>
              </w:rPr>
            </w:pPr>
          </w:p>
          <w:p w14:paraId="36BC5C97" w14:textId="77777777" w:rsidR="00B47EEF" w:rsidRPr="007D2B02" w:rsidRDefault="00B47EEF"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1F3864" w:themeColor="accent1" w:themeShade="80"/>
                <w:sz w:val="20"/>
                <w:szCs w:val="20"/>
              </w:rPr>
              <w:t>Role responsibilities of</w:t>
            </w:r>
            <w:r w:rsidRPr="0058169D">
              <w:rPr>
                <w:rFonts w:ascii="Calibri" w:eastAsia="Times New Roman" w:hAnsi="Calibri" w:cs="Calibri"/>
                <w:color w:val="1F3864" w:themeColor="accent1" w:themeShade="80"/>
                <w:sz w:val="20"/>
                <w:szCs w:val="20"/>
              </w:rPr>
              <w:t xml:space="preserve"> pharmacists working in PHCs</w:t>
            </w:r>
            <w:r>
              <w:rPr>
                <w:rFonts w:ascii="Calibri" w:eastAsia="Times New Roman" w:hAnsi="Calibri" w:cs="Calibri"/>
                <w:color w:val="1F3864" w:themeColor="accent1" w:themeShade="80"/>
                <w:sz w:val="20"/>
                <w:szCs w:val="20"/>
              </w:rPr>
              <w:t xml:space="preserve">: </w:t>
            </w:r>
            <w:r w:rsidRPr="00845AF7">
              <w:rPr>
                <w:rFonts w:ascii="Arial" w:hAnsi="Arial" w:cs="Arial"/>
                <w:sz w:val="24"/>
                <w:szCs w:val="24"/>
                <w:lang w:val="en-GB"/>
              </w:rPr>
              <w:t xml:space="preserve"> </w:t>
            </w:r>
            <w:r w:rsidRPr="007D2B02">
              <w:rPr>
                <w:rFonts w:ascii="Calibri" w:eastAsia="Times New Roman" w:hAnsi="Calibri" w:cs="Calibri"/>
                <w:color w:val="000000"/>
                <w:sz w:val="20"/>
                <w:szCs w:val="20"/>
              </w:rPr>
              <w:t>Pharmacists have a range of functions, including administrative and clinical duties</w:t>
            </w:r>
            <w:r>
              <w:rPr>
                <w:rFonts w:ascii="Calibri" w:eastAsia="Times New Roman" w:hAnsi="Calibri" w:cs="Calibri"/>
                <w:color w:val="000000"/>
                <w:sz w:val="20"/>
                <w:szCs w:val="20"/>
              </w:rPr>
              <w:t xml:space="preserve">. For example: </w:t>
            </w:r>
          </w:p>
          <w:p w14:paraId="7338D502" w14:textId="77777777" w:rsidR="00B47EEF" w:rsidRDefault="00B47EEF" w:rsidP="00282204">
            <w:pPr>
              <w:spacing w:after="0" w:line="240" w:lineRule="auto"/>
              <w:rPr>
                <w:rFonts w:ascii="Calibri" w:eastAsia="Times New Roman" w:hAnsi="Calibri" w:cs="Calibri"/>
                <w:color w:val="000000"/>
                <w:sz w:val="20"/>
                <w:szCs w:val="20"/>
              </w:rPr>
            </w:pPr>
            <w:r>
              <w:rPr>
                <w:rFonts w:asciiTheme="minorBidi" w:hAnsiTheme="minorBidi"/>
                <w:sz w:val="24"/>
                <w:szCs w:val="24"/>
              </w:rPr>
              <w:t>-</w:t>
            </w:r>
            <w:r w:rsidRPr="00981071">
              <w:rPr>
                <w:rFonts w:ascii="Calibri" w:eastAsia="Times New Roman" w:hAnsi="Calibri" w:cs="Calibri"/>
                <w:color w:val="000000"/>
                <w:sz w:val="20"/>
                <w:szCs w:val="20"/>
              </w:rPr>
              <w:t xml:space="preserve">ordering medications </w:t>
            </w:r>
          </w:p>
          <w:p w14:paraId="6650AADB" w14:textId="77777777" w:rsidR="00B47EEF" w:rsidRPr="00981071" w:rsidRDefault="00B47EEF"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w:t>
            </w:r>
            <w:r w:rsidRPr="00981071">
              <w:rPr>
                <w:rFonts w:ascii="Calibri" w:eastAsia="Times New Roman" w:hAnsi="Calibri" w:cs="Calibri"/>
                <w:color w:val="000000"/>
                <w:sz w:val="20"/>
                <w:szCs w:val="20"/>
              </w:rPr>
              <w:t>reviewing prescription orders and intervening, when necessary</w:t>
            </w:r>
          </w:p>
          <w:p w14:paraId="3FB77A96" w14:textId="77777777" w:rsidR="00B47EEF" w:rsidRPr="00981071" w:rsidRDefault="00B47EEF" w:rsidP="00282204">
            <w:pPr>
              <w:spacing w:after="0" w:line="240" w:lineRule="auto"/>
              <w:rPr>
                <w:rFonts w:ascii="Calibri" w:eastAsia="Times New Roman" w:hAnsi="Calibri" w:cs="Calibri"/>
                <w:color w:val="000000"/>
                <w:sz w:val="20"/>
                <w:szCs w:val="20"/>
              </w:rPr>
            </w:pPr>
            <w:r w:rsidRPr="00981071">
              <w:rPr>
                <w:rFonts w:ascii="Calibri" w:eastAsia="Times New Roman" w:hAnsi="Calibri" w:cs="Calibri"/>
                <w:color w:val="000000"/>
                <w:sz w:val="20"/>
                <w:szCs w:val="20"/>
              </w:rPr>
              <w:t>-preparing and dispensing of prescriptions after verification to patients</w:t>
            </w:r>
          </w:p>
          <w:p w14:paraId="7CE69CF6" w14:textId="77777777" w:rsidR="00B47EEF" w:rsidRPr="00981071" w:rsidRDefault="00B47EEF" w:rsidP="00282204">
            <w:pPr>
              <w:spacing w:after="0" w:line="240" w:lineRule="auto"/>
              <w:rPr>
                <w:rFonts w:ascii="Calibri" w:eastAsia="Times New Roman" w:hAnsi="Calibri" w:cs="Calibri"/>
                <w:color w:val="000000"/>
                <w:sz w:val="20"/>
                <w:szCs w:val="20"/>
              </w:rPr>
            </w:pPr>
            <w:r w:rsidRPr="00981071">
              <w:rPr>
                <w:rFonts w:ascii="Calibri" w:eastAsia="Times New Roman" w:hAnsi="Calibri" w:cs="Calibri"/>
                <w:color w:val="000000"/>
                <w:sz w:val="20"/>
                <w:szCs w:val="20"/>
              </w:rPr>
              <w:t xml:space="preserve">- providing medication education </w:t>
            </w:r>
            <w:r>
              <w:rPr>
                <w:rFonts w:ascii="Calibri" w:eastAsia="Times New Roman" w:hAnsi="Calibri" w:cs="Calibri"/>
                <w:color w:val="000000"/>
                <w:sz w:val="20"/>
                <w:szCs w:val="20"/>
              </w:rPr>
              <w:t>to</w:t>
            </w:r>
            <w:r w:rsidRPr="00981071">
              <w:rPr>
                <w:rFonts w:ascii="Calibri" w:eastAsia="Times New Roman" w:hAnsi="Calibri" w:cs="Calibri"/>
                <w:color w:val="000000"/>
                <w:sz w:val="20"/>
                <w:szCs w:val="20"/>
              </w:rPr>
              <w:t xml:space="preserve"> patients </w:t>
            </w:r>
          </w:p>
          <w:p w14:paraId="36208CB8" w14:textId="77777777" w:rsidR="00B47EEF" w:rsidRPr="00981071" w:rsidRDefault="00B47EEF"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w:t>
            </w:r>
            <w:r w:rsidRPr="00981071">
              <w:rPr>
                <w:rFonts w:ascii="Calibri" w:eastAsia="Times New Roman" w:hAnsi="Calibri" w:cs="Calibri"/>
                <w:color w:val="000000"/>
                <w:sz w:val="20"/>
                <w:szCs w:val="20"/>
              </w:rPr>
              <w:t xml:space="preserve">reporting any adverse drug reactions, allergies, and medication errors </w:t>
            </w:r>
          </w:p>
          <w:p w14:paraId="19C3325B" w14:textId="77777777" w:rsidR="00B47EEF" w:rsidRPr="00981071" w:rsidRDefault="00B47EEF" w:rsidP="00282204">
            <w:pPr>
              <w:spacing w:after="0" w:line="240" w:lineRule="auto"/>
              <w:rPr>
                <w:rFonts w:ascii="Calibri" w:eastAsia="Times New Roman" w:hAnsi="Calibri" w:cs="Calibri"/>
                <w:color w:val="000000"/>
                <w:sz w:val="20"/>
                <w:szCs w:val="20"/>
              </w:rPr>
            </w:pPr>
            <w:r w:rsidRPr="00981071">
              <w:rPr>
                <w:rFonts w:ascii="Calibri" w:eastAsia="Times New Roman" w:hAnsi="Calibri" w:cs="Calibri"/>
                <w:color w:val="000000"/>
                <w:sz w:val="20"/>
                <w:szCs w:val="20"/>
              </w:rPr>
              <w:t>-performing monthly inspection of pharmacy and all medication storage areas for any expired or near to expire medications</w:t>
            </w:r>
          </w:p>
          <w:p w14:paraId="706F99C8" w14:textId="77777777" w:rsidR="00B47EEF" w:rsidRPr="00981071" w:rsidRDefault="00B47EEF" w:rsidP="00282204">
            <w:pPr>
              <w:spacing w:after="0" w:line="240" w:lineRule="auto"/>
              <w:rPr>
                <w:rFonts w:ascii="Calibri" w:eastAsia="Times New Roman" w:hAnsi="Calibri" w:cs="Calibri"/>
                <w:color w:val="000000"/>
                <w:sz w:val="20"/>
                <w:szCs w:val="20"/>
              </w:rPr>
            </w:pPr>
            <w:r w:rsidRPr="00981071">
              <w:rPr>
                <w:rFonts w:ascii="Calibri" w:eastAsia="Times New Roman" w:hAnsi="Calibri" w:cs="Calibri"/>
                <w:color w:val="000000"/>
                <w:sz w:val="20"/>
                <w:szCs w:val="20"/>
              </w:rPr>
              <w:t>-reporting drug shortages to doctors and recommending alternative solutions</w:t>
            </w:r>
          </w:p>
          <w:p w14:paraId="046B8DDD" w14:textId="77777777" w:rsidR="00B47EEF" w:rsidRPr="00981071" w:rsidRDefault="00B47EEF" w:rsidP="00282204">
            <w:pPr>
              <w:spacing w:after="0" w:line="240" w:lineRule="auto"/>
              <w:rPr>
                <w:rFonts w:ascii="Calibri" w:eastAsia="Times New Roman" w:hAnsi="Calibri" w:cs="Calibri"/>
                <w:color w:val="000000"/>
                <w:sz w:val="20"/>
                <w:szCs w:val="20"/>
              </w:rPr>
            </w:pPr>
            <w:r w:rsidRPr="00981071">
              <w:rPr>
                <w:rFonts w:ascii="Calibri" w:eastAsia="Times New Roman" w:hAnsi="Calibri" w:cs="Calibri"/>
                <w:color w:val="000000"/>
                <w:sz w:val="20"/>
                <w:szCs w:val="20"/>
              </w:rPr>
              <w:t>-recording monthly consumption statistics</w:t>
            </w:r>
          </w:p>
          <w:p w14:paraId="2D2E02AC" w14:textId="77777777" w:rsidR="00B47EEF" w:rsidRDefault="00B47EEF" w:rsidP="00282204">
            <w:pPr>
              <w:spacing w:after="0" w:line="240" w:lineRule="auto"/>
              <w:rPr>
                <w:rFonts w:ascii="Calibri" w:eastAsia="Times New Roman" w:hAnsi="Calibri" w:cs="Calibri"/>
                <w:color w:val="000000"/>
                <w:sz w:val="20"/>
                <w:szCs w:val="20"/>
              </w:rPr>
            </w:pPr>
            <w:r w:rsidRPr="00981071">
              <w:rPr>
                <w:rFonts w:ascii="Calibri" w:eastAsia="Times New Roman" w:hAnsi="Calibri" w:cs="Calibri"/>
                <w:color w:val="000000"/>
                <w:sz w:val="20"/>
                <w:szCs w:val="20"/>
              </w:rPr>
              <w:t xml:space="preserve">-providing educational presentations to pharmacy staff, other </w:t>
            </w:r>
            <w:r>
              <w:rPr>
                <w:rFonts w:ascii="Calibri" w:eastAsia="Times New Roman" w:hAnsi="Calibri" w:cs="Calibri"/>
                <w:color w:val="000000"/>
                <w:sz w:val="20"/>
                <w:szCs w:val="20"/>
              </w:rPr>
              <w:t>HCPs</w:t>
            </w:r>
            <w:r w:rsidRPr="00981071">
              <w:rPr>
                <w:rFonts w:ascii="Calibri" w:eastAsia="Times New Roman" w:hAnsi="Calibri" w:cs="Calibri"/>
                <w:color w:val="000000"/>
                <w:sz w:val="20"/>
                <w:szCs w:val="20"/>
              </w:rPr>
              <w:t>, and intern students</w:t>
            </w:r>
          </w:p>
          <w:p w14:paraId="59293A7A" w14:textId="77777777" w:rsidR="00B47EEF" w:rsidRDefault="00B47EEF" w:rsidP="00282204">
            <w:pPr>
              <w:spacing w:after="0" w:line="240" w:lineRule="auto"/>
              <w:rPr>
                <w:rFonts w:ascii="Calibri" w:eastAsia="Times New Roman" w:hAnsi="Calibri" w:cs="Calibri"/>
                <w:color w:val="000000"/>
                <w:sz w:val="20"/>
                <w:szCs w:val="20"/>
              </w:rPr>
            </w:pPr>
          </w:p>
          <w:p w14:paraId="1DB54ACA" w14:textId="77777777" w:rsidR="00B47EEF" w:rsidRPr="0091605F" w:rsidRDefault="00B47EEF" w:rsidP="00282204">
            <w:pPr>
              <w:spacing w:after="0" w:line="240" w:lineRule="auto"/>
              <w:rPr>
                <w:rFonts w:ascii="Calibri" w:eastAsia="Times New Roman" w:hAnsi="Calibri" w:cs="Calibri"/>
                <w:color w:val="1F3864" w:themeColor="accent1" w:themeShade="80"/>
                <w:sz w:val="20"/>
                <w:szCs w:val="20"/>
              </w:rPr>
            </w:pPr>
            <w:r w:rsidRPr="0091605F">
              <w:rPr>
                <w:rFonts w:ascii="Calibri" w:eastAsia="Times New Roman" w:hAnsi="Calibri" w:cs="Calibri"/>
                <w:color w:val="1F3864" w:themeColor="accent1" w:themeShade="80"/>
                <w:sz w:val="20"/>
                <w:szCs w:val="20"/>
              </w:rPr>
              <w:t xml:space="preserve">The most relevant findings </w:t>
            </w:r>
          </w:p>
          <w:p w14:paraId="4F02F382" w14:textId="77777777" w:rsidR="00B47EEF" w:rsidRDefault="00B47EEF" w:rsidP="00282204">
            <w:pPr>
              <w:spacing w:after="0" w:line="240"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 xml:space="preserve">-All interviewees mentioned that the primary role of pharmacists was dispensing prescriptions </w:t>
            </w:r>
          </w:p>
          <w:p w14:paraId="3F44B10C" w14:textId="77777777" w:rsidR="00B47EEF" w:rsidRDefault="00B47EEF" w:rsidP="00282204">
            <w:pPr>
              <w:spacing w:after="0" w:line="240"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 xml:space="preserve">-Some of interviewees mentioned that </w:t>
            </w:r>
            <w:r>
              <w:rPr>
                <w:rFonts w:ascii="Calibri" w:eastAsia="Times New Roman" w:hAnsi="Calibri" w:cs="Calibri"/>
                <w:color w:val="000000"/>
                <w:sz w:val="20"/>
                <w:szCs w:val="20"/>
              </w:rPr>
              <w:t xml:space="preserve">pharmacist’s </w:t>
            </w:r>
            <w:r w:rsidRPr="000970BF">
              <w:rPr>
                <w:rFonts w:ascii="Calibri" w:eastAsia="Times New Roman" w:hAnsi="Calibri" w:cs="Calibri"/>
                <w:color w:val="000000"/>
                <w:sz w:val="20"/>
                <w:szCs w:val="20"/>
              </w:rPr>
              <w:t>role went beyond dispensing prescriptions,</w:t>
            </w:r>
            <w:r>
              <w:rPr>
                <w:rFonts w:ascii="Calibri" w:eastAsia="Times New Roman" w:hAnsi="Calibri" w:cs="Calibri"/>
                <w:color w:val="000000"/>
                <w:sz w:val="20"/>
                <w:szCs w:val="20"/>
              </w:rPr>
              <w:t xml:space="preserve"> providing MR,</w:t>
            </w:r>
            <w:r w:rsidRPr="000970BF">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COMDMM</w:t>
            </w:r>
            <w:r w:rsidRPr="000970BF">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BGM</w:t>
            </w:r>
            <w:r w:rsidRPr="000970BF">
              <w:rPr>
                <w:rFonts w:ascii="Calibri" w:eastAsia="Times New Roman" w:hAnsi="Calibri" w:cs="Calibri"/>
                <w:color w:val="000000"/>
                <w:sz w:val="20"/>
                <w:szCs w:val="20"/>
              </w:rPr>
              <w:t xml:space="preserve">, and </w:t>
            </w:r>
            <w:r>
              <w:rPr>
                <w:rFonts w:ascii="Calibri" w:eastAsia="Times New Roman" w:hAnsi="Calibri" w:cs="Calibri"/>
                <w:color w:val="000000"/>
                <w:sz w:val="20"/>
                <w:szCs w:val="20"/>
              </w:rPr>
              <w:t>HLE to patients</w:t>
            </w:r>
          </w:p>
          <w:p w14:paraId="4948E5A3" w14:textId="77777777" w:rsidR="00B47EEF" w:rsidRDefault="00B47EEF"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w:t>
            </w:r>
            <w:r w:rsidRPr="000970BF">
              <w:rPr>
                <w:rFonts w:ascii="Calibri" w:eastAsia="Times New Roman" w:hAnsi="Calibri" w:cs="Calibri"/>
                <w:color w:val="000000"/>
                <w:sz w:val="20"/>
                <w:szCs w:val="20"/>
              </w:rPr>
              <w:t xml:space="preserve">Another active role for pharmacists </w:t>
            </w:r>
            <w:r>
              <w:rPr>
                <w:rFonts w:ascii="Calibri" w:eastAsia="Times New Roman" w:hAnsi="Calibri" w:cs="Calibri"/>
                <w:color w:val="000000"/>
                <w:sz w:val="20"/>
                <w:szCs w:val="20"/>
              </w:rPr>
              <w:t>was</w:t>
            </w:r>
            <w:r w:rsidRPr="000970BF">
              <w:rPr>
                <w:rFonts w:ascii="Calibri" w:eastAsia="Times New Roman" w:hAnsi="Calibri" w:cs="Calibri"/>
                <w:color w:val="000000"/>
                <w:sz w:val="20"/>
                <w:szCs w:val="20"/>
              </w:rPr>
              <w:t xml:space="preserve"> </w:t>
            </w:r>
            <w:r w:rsidRPr="00850001">
              <w:rPr>
                <w:rFonts w:ascii="Calibri" w:eastAsia="Times New Roman" w:hAnsi="Calibri" w:cs="Calibri"/>
                <w:color w:val="000000"/>
                <w:sz w:val="20"/>
                <w:szCs w:val="20"/>
              </w:rPr>
              <w:t>provid</w:t>
            </w:r>
            <w:r>
              <w:rPr>
                <w:rFonts w:ascii="Calibri" w:eastAsia="Times New Roman" w:hAnsi="Calibri" w:cs="Calibri"/>
                <w:color w:val="000000"/>
                <w:sz w:val="20"/>
                <w:szCs w:val="20"/>
              </w:rPr>
              <w:t>ing</w:t>
            </w:r>
            <w:r w:rsidRPr="00850001">
              <w:rPr>
                <w:rFonts w:ascii="Calibri" w:eastAsia="Times New Roman" w:hAnsi="Calibri" w:cs="Calibri"/>
                <w:color w:val="000000"/>
                <w:sz w:val="20"/>
                <w:szCs w:val="20"/>
              </w:rPr>
              <w:t xml:space="preserve"> drug information </w:t>
            </w:r>
            <w:r>
              <w:rPr>
                <w:rFonts w:ascii="Calibri" w:eastAsia="Times New Roman" w:hAnsi="Calibri" w:cs="Calibri"/>
                <w:color w:val="000000"/>
                <w:sz w:val="20"/>
                <w:szCs w:val="20"/>
              </w:rPr>
              <w:t xml:space="preserve">service </w:t>
            </w:r>
            <w:r w:rsidRPr="00850001">
              <w:rPr>
                <w:rFonts w:ascii="Calibri" w:eastAsia="Times New Roman" w:hAnsi="Calibri" w:cs="Calibri"/>
                <w:color w:val="000000"/>
                <w:sz w:val="20"/>
                <w:szCs w:val="20"/>
              </w:rPr>
              <w:t>to HCPs</w:t>
            </w:r>
          </w:p>
          <w:p w14:paraId="0C9E749C" w14:textId="77777777" w:rsidR="00B47EEF" w:rsidRDefault="00B47EEF"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w:t>
            </w:r>
            <w:r w:rsidRPr="000970BF">
              <w:rPr>
                <w:rFonts w:ascii="Calibri" w:eastAsia="Times New Roman" w:hAnsi="Calibri" w:cs="Calibri"/>
                <w:color w:val="000000"/>
                <w:sz w:val="20"/>
                <w:szCs w:val="20"/>
              </w:rPr>
              <w:t xml:space="preserve"> Pharmacists sometimes help nurses via </w:t>
            </w:r>
            <w:r>
              <w:rPr>
                <w:rFonts w:ascii="Calibri" w:eastAsia="Times New Roman" w:hAnsi="Calibri" w:cs="Calibri"/>
                <w:color w:val="000000"/>
                <w:sz w:val="20"/>
                <w:szCs w:val="20"/>
              </w:rPr>
              <w:t>administering</w:t>
            </w:r>
            <w:r w:rsidRPr="000970BF">
              <w:rPr>
                <w:rFonts w:ascii="Calibri" w:eastAsia="Times New Roman" w:hAnsi="Calibri" w:cs="Calibri"/>
                <w:color w:val="000000"/>
                <w:sz w:val="20"/>
                <w:szCs w:val="20"/>
              </w:rPr>
              <w:t xml:space="preserve"> injections to patients.</w:t>
            </w:r>
          </w:p>
          <w:p w14:paraId="35EC48B5" w14:textId="77777777" w:rsidR="00B47EEF" w:rsidRDefault="00B47EEF"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w:t>
            </w:r>
            <w:r w:rsidRPr="000970BF">
              <w:rPr>
                <w:rFonts w:ascii="Calibri" w:eastAsia="Times New Roman" w:hAnsi="Calibri" w:cs="Calibri"/>
                <w:color w:val="000000"/>
                <w:sz w:val="20"/>
                <w:szCs w:val="20"/>
              </w:rPr>
              <w:t xml:space="preserve">Other clinical activities such as </w:t>
            </w:r>
            <w:r>
              <w:rPr>
                <w:rFonts w:ascii="Calibri" w:eastAsia="Times New Roman" w:hAnsi="Calibri" w:cs="Calibri"/>
                <w:color w:val="000000"/>
                <w:sz w:val="20"/>
                <w:szCs w:val="20"/>
              </w:rPr>
              <w:t>HGM</w:t>
            </w:r>
            <w:r w:rsidRPr="000970BF">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MTM</w:t>
            </w:r>
            <w:r w:rsidRPr="000970BF">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and COMDE</w:t>
            </w:r>
            <w:r w:rsidRPr="000970BF">
              <w:rPr>
                <w:rFonts w:ascii="Calibri" w:eastAsia="Times New Roman" w:hAnsi="Calibri" w:cs="Calibri"/>
                <w:color w:val="000000"/>
                <w:sz w:val="20"/>
                <w:szCs w:val="20"/>
              </w:rPr>
              <w:t xml:space="preserve"> were not mentioned. </w:t>
            </w:r>
          </w:p>
          <w:p w14:paraId="44AE1EE5" w14:textId="77777777" w:rsidR="00B47EEF" w:rsidRDefault="00B47EEF"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w:t>
            </w:r>
            <w:r w:rsidRPr="000970BF">
              <w:rPr>
                <w:rFonts w:ascii="Calibri" w:eastAsia="Times New Roman" w:hAnsi="Calibri" w:cs="Calibri"/>
                <w:color w:val="000000"/>
                <w:sz w:val="20"/>
                <w:szCs w:val="20"/>
              </w:rPr>
              <w:t xml:space="preserve">The prescribing role, whether dependent or independent, was not allowed. </w:t>
            </w:r>
          </w:p>
          <w:p w14:paraId="66E41A8B" w14:textId="77777777" w:rsidR="00B47EEF" w:rsidRDefault="00B47EEF"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w:t>
            </w:r>
            <w:r w:rsidRPr="000970BF">
              <w:rPr>
                <w:rFonts w:ascii="Calibri" w:eastAsia="Times New Roman" w:hAnsi="Calibri" w:cs="Calibri"/>
                <w:color w:val="000000"/>
                <w:sz w:val="20"/>
                <w:szCs w:val="20"/>
              </w:rPr>
              <w:t>Pharmacists working in PHCs, for legal reasons, cannot dispense any medication, even those over-the-counter medications such as paracetamol, without a prescription.</w:t>
            </w:r>
          </w:p>
          <w:p w14:paraId="57DB4127" w14:textId="77777777" w:rsidR="00B47EEF" w:rsidRDefault="00B47EEF" w:rsidP="00282204">
            <w:pPr>
              <w:spacing w:after="0" w:line="240" w:lineRule="auto"/>
              <w:rPr>
                <w:rFonts w:ascii="Calibri" w:eastAsia="Times New Roman" w:hAnsi="Calibri" w:cs="Calibri"/>
                <w:color w:val="000000"/>
                <w:sz w:val="20"/>
                <w:szCs w:val="20"/>
              </w:rPr>
            </w:pPr>
          </w:p>
          <w:p w14:paraId="115F5C46" w14:textId="77777777" w:rsidR="00B47EEF" w:rsidRPr="000970BF" w:rsidRDefault="00B47EEF" w:rsidP="00282204">
            <w:pPr>
              <w:spacing w:after="0" w:line="240" w:lineRule="auto"/>
              <w:rPr>
                <w:rFonts w:ascii="Calibri" w:eastAsia="Times New Roman" w:hAnsi="Calibri" w:cs="Calibri"/>
                <w:color w:val="000000"/>
                <w:sz w:val="20"/>
                <w:szCs w:val="20"/>
              </w:rPr>
            </w:pPr>
          </w:p>
        </w:tc>
        <w:tc>
          <w:tcPr>
            <w:tcW w:w="3086" w:type="dxa"/>
            <w:tcBorders>
              <w:top w:val="nil"/>
              <w:left w:val="nil"/>
              <w:bottom w:val="single" w:sz="4" w:space="0" w:color="auto"/>
              <w:right w:val="single" w:sz="4" w:space="0" w:color="auto"/>
            </w:tcBorders>
            <w:shd w:val="clear" w:color="auto" w:fill="auto"/>
            <w:hideMark/>
          </w:tcPr>
          <w:p w14:paraId="12639A83" w14:textId="77777777" w:rsidR="00B47EEF" w:rsidRPr="008F5BBE" w:rsidRDefault="00B47EEF" w:rsidP="00282204">
            <w:pPr>
              <w:pStyle w:val="pf0"/>
              <w:rPr>
                <w:rFonts w:ascii="Calibri" w:hAnsi="Calibri" w:cs="Calibri"/>
                <w:color w:val="000000"/>
                <w:sz w:val="20"/>
                <w:szCs w:val="20"/>
              </w:rPr>
            </w:pPr>
            <w:r>
              <w:rPr>
                <w:rFonts w:ascii="Calibri" w:hAnsi="Calibri" w:cs="Calibri"/>
                <w:color w:val="000000"/>
                <w:sz w:val="20"/>
                <w:szCs w:val="20"/>
              </w:rPr>
              <w:t>-Partial agreement</w:t>
            </w:r>
            <w:r w:rsidRPr="008F5BBE">
              <w:rPr>
                <w:rFonts w:ascii="Calibri" w:hAnsi="Calibri" w:cs="Calibri"/>
                <w:color w:val="000000"/>
                <w:sz w:val="20"/>
                <w:szCs w:val="20"/>
              </w:rPr>
              <w:t xml:space="preserve"> on expressed views </w:t>
            </w:r>
            <w:r w:rsidRPr="000520B6">
              <w:rPr>
                <w:rFonts w:ascii="Calibri" w:hAnsi="Calibri" w:cs="Calibri"/>
                <w:color w:val="000000"/>
                <w:sz w:val="20"/>
                <w:szCs w:val="20"/>
              </w:rPr>
              <w:t xml:space="preserve">regarding </w:t>
            </w:r>
            <w:r w:rsidRPr="008F5BBE">
              <w:rPr>
                <w:rFonts w:ascii="Calibri" w:hAnsi="Calibri" w:cs="Calibri"/>
                <w:color w:val="000000"/>
                <w:sz w:val="20"/>
                <w:szCs w:val="20"/>
              </w:rPr>
              <w:t xml:space="preserve">pharmacist’s roles suggested by this research </w:t>
            </w:r>
          </w:p>
          <w:p w14:paraId="122B4618" w14:textId="77777777" w:rsidR="00B47EEF" w:rsidRDefault="00B47EEF"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w:t>
            </w:r>
            <w:r w:rsidRPr="000970BF">
              <w:rPr>
                <w:rFonts w:ascii="Calibri" w:eastAsia="Times New Roman" w:hAnsi="Calibri" w:cs="Calibri"/>
                <w:color w:val="000000"/>
                <w:sz w:val="20"/>
                <w:szCs w:val="20"/>
              </w:rPr>
              <w:t xml:space="preserve">Together, these findings provide important insights into the role of pharmacists in PHCs that go beyond dispensing. </w:t>
            </w:r>
          </w:p>
          <w:p w14:paraId="212CCA88" w14:textId="77777777" w:rsidR="00B47EEF" w:rsidRDefault="00B47EEF" w:rsidP="00282204">
            <w:pPr>
              <w:spacing w:after="0" w:line="276" w:lineRule="auto"/>
              <w:rPr>
                <w:rFonts w:ascii="Calibri" w:eastAsia="Times New Roman" w:hAnsi="Calibri" w:cs="Calibri"/>
                <w:color w:val="000000"/>
                <w:sz w:val="20"/>
                <w:szCs w:val="20"/>
              </w:rPr>
            </w:pPr>
          </w:p>
          <w:p w14:paraId="4E6285A4" w14:textId="77777777" w:rsidR="00B47EEF" w:rsidRDefault="00B47EEF" w:rsidP="00282204">
            <w:pPr>
              <w:spacing w:after="0" w:line="240"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 xml:space="preserve">-Despite the traditional pharmacy practice of dispensing medication’s prescription is predominant in primary care settings, there were also passionate ongoing efforts to introduce advanced pharmacy services. </w:t>
            </w:r>
          </w:p>
          <w:p w14:paraId="34ADD44C" w14:textId="77777777" w:rsidR="00B47EEF" w:rsidRDefault="00B47EEF" w:rsidP="00282204">
            <w:pPr>
              <w:spacing w:after="0" w:line="276" w:lineRule="auto"/>
              <w:rPr>
                <w:rFonts w:ascii="Calibri" w:eastAsia="Times New Roman" w:hAnsi="Calibri" w:cs="Calibri"/>
                <w:color w:val="000000"/>
                <w:sz w:val="20"/>
                <w:szCs w:val="20"/>
              </w:rPr>
            </w:pPr>
          </w:p>
          <w:p w14:paraId="0BB63AC9" w14:textId="77777777" w:rsidR="00B47EEF" w:rsidRDefault="00B47EEF" w:rsidP="00282204">
            <w:pPr>
              <w:spacing w:after="0" w:line="240"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-Pharmacists’ participation in diabetes primary care management has been affected significantly by transferring</w:t>
            </w:r>
            <w:r>
              <w:rPr>
                <w:rFonts w:ascii="Calibri" w:eastAsia="Times New Roman" w:hAnsi="Calibri" w:cs="Calibri"/>
                <w:color w:val="000000"/>
                <w:sz w:val="20"/>
                <w:szCs w:val="20"/>
              </w:rPr>
              <w:t xml:space="preserve"> </w:t>
            </w:r>
            <w:r w:rsidRPr="000970BF">
              <w:rPr>
                <w:rFonts w:ascii="Calibri" w:eastAsia="Times New Roman" w:hAnsi="Calibri" w:cs="Calibri"/>
                <w:color w:val="000000"/>
                <w:sz w:val="20"/>
                <w:szCs w:val="20"/>
              </w:rPr>
              <w:t>pharmacists from PHCs to work elsewhere.</w:t>
            </w:r>
          </w:p>
          <w:p w14:paraId="68F9D5F5" w14:textId="77777777" w:rsidR="00B47EEF" w:rsidRDefault="00B47EEF" w:rsidP="00282204">
            <w:pPr>
              <w:spacing w:after="0" w:line="276" w:lineRule="auto"/>
              <w:rPr>
                <w:rFonts w:ascii="Calibri" w:eastAsia="Times New Roman" w:hAnsi="Calibri" w:cs="Calibri"/>
                <w:color w:val="000000"/>
                <w:sz w:val="20"/>
                <w:szCs w:val="20"/>
              </w:rPr>
            </w:pPr>
          </w:p>
          <w:p w14:paraId="539206E6" w14:textId="77777777" w:rsidR="00B47EEF" w:rsidRPr="000970BF" w:rsidRDefault="00B47EEF" w:rsidP="00282204">
            <w:pPr>
              <w:spacing w:after="0" w:line="240"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 xml:space="preserve"> -With current transformation of primary care pharmacies, the current study revealed that pharmacists do not </w:t>
            </w:r>
            <w:r>
              <w:rPr>
                <w:rFonts w:ascii="Calibri" w:eastAsia="Times New Roman" w:hAnsi="Calibri" w:cs="Calibri"/>
                <w:color w:val="000000"/>
                <w:sz w:val="20"/>
                <w:szCs w:val="20"/>
              </w:rPr>
              <w:t xml:space="preserve">actively </w:t>
            </w:r>
            <w:r w:rsidRPr="000970BF">
              <w:rPr>
                <w:rFonts w:ascii="Calibri" w:eastAsia="Times New Roman" w:hAnsi="Calibri" w:cs="Calibri"/>
                <w:color w:val="000000"/>
                <w:sz w:val="20"/>
                <w:szCs w:val="20"/>
              </w:rPr>
              <w:t>contribute to patient care at the primary care level, as primary care pharmacy services are not currently implemented in PHCs of the Saudi MoH</w:t>
            </w:r>
          </w:p>
        </w:tc>
      </w:tr>
    </w:tbl>
    <w:p w14:paraId="666A22BE" w14:textId="77777777" w:rsidR="00B47EEF" w:rsidRDefault="00B47EEF" w:rsidP="00B47EEF">
      <w:pPr>
        <w:spacing w:line="360" w:lineRule="auto"/>
        <w:jc w:val="both"/>
        <w:rPr>
          <w:rFonts w:asciiTheme="minorBidi" w:hAnsiTheme="minorBidi"/>
          <w:sz w:val="24"/>
          <w:szCs w:val="24"/>
        </w:rPr>
      </w:pPr>
    </w:p>
    <w:p w14:paraId="331D8416" w14:textId="10C3BDCD" w:rsidR="00B51025" w:rsidRDefault="00B47EEF" w:rsidP="00B47EEF">
      <w:pPr>
        <w:spacing w:line="360" w:lineRule="auto"/>
        <w:jc w:val="both"/>
        <w:rPr>
          <w:rFonts w:asciiTheme="minorBidi" w:hAnsiTheme="minorBidi"/>
          <w:sz w:val="24"/>
          <w:szCs w:val="24"/>
        </w:rPr>
        <w:sectPr w:rsidR="00B51025" w:rsidSect="00B51025">
          <w:pgSz w:w="15840" w:h="12240" w:orient="landscape"/>
          <w:pgMar w:top="1440" w:right="1440" w:bottom="1440" w:left="1440" w:header="720" w:footer="720" w:gutter="0"/>
          <w:cols w:space="720"/>
          <w:docGrid w:linePitch="360"/>
        </w:sectPr>
      </w:pPr>
      <w:r>
        <w:rPr>
          <w:rFonts w:asciiTheme="minorBidi" w:hAnsiTheme="minorBidi"/>
          <w:sz w:val="24"/>
          <w:szCs w:val="24"/>
        </w:rPr>
        <w:br w:type="page"/>
      </w:r>
    </w:p>
    <w:p w14:paraId="735E9CB2" w14:textId="77777777" w:rsidR="00F04DC3" w:rsidRPr="005C484B" w:rsidRDefault="00F04DC3" w:rsidP="00225E03">
      <w:pPr>
        <w:pStyle w:val="Heading3"/>
        <w:numPr>
          <w:ilvl w:val="2"/>
          <w:numId w:val="30"/>
        </w:numPr>
        <w:tabs>
          <w:tab w:val="left" w:pos="270"/>
          <w:tab w:val="left" w:pos="360"/>
          <w:tab w:val="left" w:pos="450"/>
        </w:tabs>
        <w:spacing w:line="257" w:lineRule="auto"/>
        <w:ind w:left="187" w:hanging="187"/>
      </w:pPr>
      <w:bookmarkStart w:id="271" w:name="_Toc153894212"/>
      <w:r w:rsidRPr="00BA4C15">
        <w:t xml:space="preserve">Supportive attitudes and views </w:t>
      </w:r>
      <w:r>
        <w:t xml:space="preserve">on </w:t>
      </w:r>
      <w:r w:rsidRPr="00BA4C15">
        <w:t xml:space="preserve">pharmacists' </w:t>
      </w:r>
      <w:r w:rsidRPr="005C484B">
        <w:t>involvement in diabetes primary     care management</w:t>
      </w:r>
      <w:bookmarkEnd w:id="271"/>
    </w:p>
    <w:p w14:paraId="0FAE40AB" w14:textId="77777777" w:rsidR="00F04DC3" w:rsidRDefault="00F04DC3" w:rsidP="00F04DC3">
      <w:pPr>
        <w:spacing w:before="240" w:after="0" w:line="360" w:lineRule="auto"/>
        <w:jc w:val="both"/>
        <w:rPr>
          <w:rFonts w:ascii="Arial" w:hAnsi="Arial" w:cs="Arial"/>
          <w:bCs/>
          <w:sz w:val="24"/>
          <w:szCs w:val="24"/>
        </w:rPr>
      </w:pPr>
      <w:r w:rsidRPr="00D334E4">
        <w:rPr>
          <w:rFonts w:ascii="Arial" w:hAnsi="Arial" w:cs="Arial"/>
          <w:bCs/>
          <w:sz w:val="24"/>
          <w:szCs w:val="24"/>
        </w:rPr>
        <w:t xml:space="preserve">The initial objective of this research was to identify the views and experiences of HCPs (doctors, pharmacists and nurses) of the role of pharmacists in diabetes primary care management in SA. </w:t>
      </w:r>
      <w:r w:rsidRPr="00DA0FD4">
        <w:rPr>
          <w:rFonts w:ascii="Arial" w:hAnsi="Arial" w:cs="Arial"/>
          <w:bCs/>
          <w:sz w:val="24"/>
          <w:szCs w:val="24"/>
        </w:rPr>
        <w:t>The</w:t>
      </w:r>
      <w:r w:rsidRPr="00D334E4">
        <w:rPr>
          <w:rFonts w:ascii="Arial" w:hAnsi="Arial" w:cs="Arial"/>
          <w:bCs/>
          <w:sz w:val="24"/>
          <w:szCs w:val="24"/>
        </w:rPr>
        <w:t xml:space="preserve"> research question</w:t>
      </w:r>
      <w:r>
        <w:rPr>
          <w:rFonts w:ascii="Arial" w:hAnsi="Arial" w:cs="Arial"/>
          <w:bCs/>
          <w:sz w:val="24"/>
          <w:szCs w:val="24"/>
        </w:rPr>
        <w:t xml:space="preserve"> </w:t>
      </w:r>
      <w:r w:rsidRPr="00D334E4">
        <w:rPr>
          <w:rFonts w:ascii="Arial" w:hAnsi="Arial" w:cs="Arial"/>
          <w:bCs/>
          <w:sz w:val="24"/>
          <w:szCs w:val="24"/>
        </w:rPr>
        <w:t>explore</w:t>
      </w:r>
      <w:r>
        <w:rPr>
          <w:rFonts w:ascii="Arial" w:hAnsi="Arial" w:cs="Arial"/>
          <w:bCs/>
          <w:sz w:val="24"/>
          <w:szCs w:val="24"/>
        </w:rPr>
        <w:t>d</w:t>
      </w:r>
      <w:r w:rsidRPr="00D334E4">
        <w:rPr>
          <w:rFonts w:ascii="Arial" w:hAnsi="Arial" w:cs="Arial"/>
          <w:bCs/>
          <w:sz w:val="24"/>
          <w:szCs w:val="24"/>
        </w:rPr>
        <w:t xml:space="preserve"> </w:t>
      </w:r>
      <w:r>
        <w:rPr>
          <w:rFonts w:ascii="Arial" w:hAnsi="Arial" w:cs="Arial"/>
          <w:bCs/>
          <w:sz w:val="24"/>
          <w:szCs w:val="24"/>
        </w:rPr>
        <w:t xml:space="preserve">the </w:t>
      </w:r>
      <w:r w:rsidRPr="00D334E4">
        <w:rPr>
          <w:rFonts w:ascii="Arial" w:hAnsi="Arial" w:cs="Arial"/>
          <w:bCs/>
          <w:sz w:val="24"/>
          <w:szCs w:val="24"/>
        </w:rPr>
        <w:t xml:space="preserve">HCPs' attitudes toward pharmacists </w:t>
      </w:r>
      <w:r>
        <w:rPr>
          <w:rFonts w:ascii="Arial" w:hAnsi="Arial" w:cs="Arial"/>
          <w:bCs/>
          <w:sz w:val="24"/>
          <w:szCs w:val="24"/>
        </w:rPr>
        <w:t xml:space="preserve">role </w:t>
      </w:r>
      <w:r w:rsidRPr="00D334E4">
        <w:rPr>
          <w:rFonts w:ascii="Arial" w:hAnsi="Arial" w:cs="Arial"/>
          <w:bCs/>
          <w:sz w:val="24"/>
          <w:szCs w:val="24"/>
        </w:rPr>
        <w:t xml:space="preserve">in diabetes </w:t>
      </w:r>
      <w:r>
        <w:rPr>
          <w:rFonts w:ascii="Arial" w:hAnsi="Arial" w:cs="Arial"/>
          <w:bCs/>
          <w:sz w:val="24"/>
          <w:szCs w:val="24"/>
        </w:rPr>
        <w:t>care through two perspectives</w:t>
      </w:r>
      <w:r w:rsidRPr="00D334E4">
        <w:rPr>
          <w:rFonts w:ascii="Arial" w:hAnsi="Arial" w:cs="Arial"/>
          <w:bCs/>
          <w:sz w:val="24"/>
          <w:szCs w:val="24"/>
        </w:rPr>
        <w:t>: the first</w:t>
      </w:r>
      <w:r>
        <w:rPr>
          <w:rFonts w:ascii="Arial" w:hAnsi="Arial" w:cs="Arial"/>
          <w:bCs/>
          <w:sz w:val="24"/>
          <w:szCs w:val="24"/>
        </w:rPr>
        <w:t xml:space="preserve"> perspective</w:t>
      </w:r>
      <w:r w:rsidRPr="00D334E4">
        <w:rPr>
          <w:rFonts w:ascii="Arial" w:hAnsi="Arial" w:cs="Arial"/>
          <w:bCs/>
          <w:sz w:val="24"/>
          <w:szCs w:val="24"/>
        </w:rPr>
        <w:t xml:space="preserve"> explored </w:t>
      </w:r>
      <w:r>
        <w:rPr>
          <w:rFonts w:ascii="Arial" w:hAnsi="Arial" w:cs="Arial"/>
          <w:bCs/>
          <w:sz w:val="24"/>
          <w:szCs w:val="24"/>
        </w:rPr>
        <w:t xml:space="preserve">the </w:t>
      </w:r>
      <w:r w:rsidRPr="00D334E4">
        <w:rPr>
          <w:rFonts w:ascii="Arial" w:hAnsi="Arial" w:cs="Arial"/>
          <w:bCs/>
          <w:sz w:val="24"/>
          <w:szCs w:val="24"/>
        </w:rPr>
        <w:t xml:space="preserve">HCPs' views on the potential </w:t>
      </w:r>
      <w:r>
        <w:rPr>
          <w:rFonts w:ascii="Arial" w:hAnsi="Arial" w:cs="Arial"/>
          <w:bCs/>
          <w:sz w:val="24"/>
          <w:szCs w:val="24"/>
        </w:rPr>
        <w:t>(</w:t>
      </w:r>
      <w:r w:rsidRPr="00D334E4">
        <w:rPr>
          <w:rFonts w:ascii="Arial" w:hAnsi="Arial" w:cs="Arial"/>
          <w:bCs/>
          <w:sz w:val="24"/>
          <w:szCs w:val="24"/>
        </w:rPr>
        <w:t>current and future</w:t>
      </w:r>
      <w:r>
        <w:rPr>
          <w:rFonts w:ascii="Arial" w:hAnsi="Arial" w:cs="Arial"/>
          <w:bCs/>
          <w:sz w:val="24"/>
          <w:szCs w:val="24"/>
        </w:rPr>
        <w:t>)</w:t>
      </w:r>
      <w:r w:rsidRPr="00D334E4">
        <w:rPr>
          <w:rFonts w:ascii="Arial" w:hAnsi="Arial" w:cs="Arial"/>
          <w:bCs/>
          <w:sz w:val="24"/>
          <w:szCs w:val="24"/>
        </w:rPr>
        <w:t xml:space="preserve"> roles of primary care pharmacists in diabetes management, </w:t>
      </w:r>
      <w:r>
        <w:rPr>
          <w:rFonts w:ascii="Arial" w:hAnsi="Arial" w:cs="Arial"/>
          <w:bCs/>
          <w:sz w:val="24"/>
          <w:szCs w:val="24"/>
        </w:rPr>
        <w:t>while</w:t>
      </w:r>
      <w:r w:rsidRPr="00D334E4">
        <w:rPr>
          <w:rFonts w:ascii="Arial" w:hAnsi="Arial" w:cs="Arial"/>
          <w:bCs/>
          <w:sz w:val="24"/>
          <w:szCs w:val="24"/>
        </w:rPr>
        <w:t xml:space="preserve"> the second explored </w:t>
      </w:r>
      <w:r>
        <w:rPr>
          <w:rFonts w:ascii="Arial" w:hAnsi="Arial" w:cs="Arial"/>
          <w:bCs/>
          <w:sz w:val="24"/>
          <w:szCs w:val="24"/>
        </w:rPr>
        <w:t xml:space="preserve">the </w:t>
      </w:r>
      <w:r w:rsidRPr="00D334E4">
        <w:rPr>
          <w:rFonts w:ascii="Arial" w:hAnsi="Arial" w:cs="Arial"/>
          <w:bCs/>
          <w:sz w:val="24"/>
          <w:szCs w:val="24"/>
        </w:rPr>
        <w:t xml:space="preserve">HCPs' attitudes toward the potential impact of </w:t>
      </w:r>
      <w:r>
        <w:rPr>
          <w:rFonts w:ascii="Arial" w:hAnsi="Arial" w:cs="Arial"/>
          <w:bCs/>
          <w:sz w:val="24"/>
          <w:szCs w:val="24"/>
        </w:rPr>
        <w:t>including</w:t>
      </w:r>
      <w:r w:rsidRPr="00D334E4">
        <w:rPr>
          <w:rFonts w:ascii="Arial" w:hAnsi="Arial" w:cs="Arial"/>
          <w:bCs/>
          <w:sz w:val="24"/>
          <w:szCs w:val="24"/>
        </w:rPr>
        <w:t xml:space="preserve"> pharmacists to the diabetes care team. Th</w:t>
      </w:r>
      <w:r>
        <w:rPr>
          <w:rFonts w:ascii="Arial" w:hAnsi="Arial" w:cs="Arial"/>
          <w:bCs/>
          <w:sz w:val="24"/>
          <w:szCs w:val="24"/>
        </w:rPr>
        <w:t>e</w:t>
      </w:r>
      <w:r w:rsidRPr="00D334E4">
        <w:rPr>
          <w:rFonts w:ascii="Arial" w:hAnsi="Arial" w:cs="Arial"/>
          <w:bCs/>
          <w:sz w:val="24"/>
          <w:szCs w:val="24"/>
        </w:rPr>
        <w:t xml:space="preserve"> theme </w:t>
      </w:r>
      <w:r>
        <w:rPr>
          <w:rFonts w:ascii="Arial" w:hAnsi="Arial" w:cs="Arial"/>
          <w:bCs/>
          <w:sz w:val="24"/>
          <w:szCs w:val="24"/>
        </w:rPr>
        <w:t xml:space="preserve">of under this section </w:t>
      </w:r>
      <w:r w:rsidRPr="00D334E4">
        <w:rPr>
          <w:rFonts w:ascii="Arial" w:hAnsi="Arial" w:cs="Arial"/>
          <w:bCs/>
          <w:sz w:val="24"/>
          <w:szCs w:val="24"/>
        </w:rPr>
        <w:t>then</w:t>
      </w:r>
      <w:r>
        <w:rPr>
          <w:rFonts w:ascii="Arial" w:hAnsi="Arial" w:cs="Arial"/>
          <w:bCs/>
          <w:sz w:val="24"/>
          <w:szCs w:val="24"/>
        </w:rPr>
        <w:t xml:space="preserve"> </w:t>
      </w:r>
      <w:r w:rsidRPr="00D334E4">
        <w:rPr>
          <w:rFonts w:ascii="Arial" w:hAnsi="Arial" w:cs="Arial"/>
          <w:bCs/>
          <w:sz w:val="24"/>
          <w:szCs w:val="24"/>
        </w:rPr>
        <w:t xml:space="preserve">emerged from integrating the findings of these two </w:t>
      </w:r>
      <w:r>
        <w:rPr>
          <w:rFonts w:ascii="Arial" w:hAnsi="Arial" w:cs="Arial"/>
          <w:bCs/>
          <w:sz w:val="24"/>
          <w:szCs w:val="24"/>
        </w:rPr>
        <w:t>perspectives</w:t>
      </w:r>
      <w:r w:rsidRPr="00D334E4">
        <w:rPr>
          <w:rFonts w:ascii="Arial" w:hAnsi="Arial" w:cs="Arial"/>
          <w:bCs/>
          <w:sz w:val="24"/>
          <w:szCs w:val="24"/>
        </w:rPr>
        <w:t>.</w:t>
      </w:r>
    </w:p>
    <w:p w14:paraId="4159511B" w14:textId="233C6D93" w:rsidR="0051586D" w:rsidRPr="0043510B" w:rsidRDefault="00F04DC3" w:rsidP="00035508">
      <w:pPr>
        <w:spacing w:line="360" w:lineRule="auto"/>
        <w:jc w:val="both"/>
        <w:rPr>
          <w:rFonts w:ascii="Arial" w:hAnsi="Arial" w:cs="Arial"/>
          <w:bCs/>
          <w:sz w:val="24"/>
          <w:szCs w:val="24"/>
        </w:rPr>
      </w:pPr>
      <w:r>
        <w:rPr>
          <w:rFonts w:ascii="Arial" w:hAnsi="Arial" w:cs="Arial"/>
          <w:bCs/>
          <w:sz w:val="24"/>
          <w:szCs w:val="24"/>
        </w:rPr>
        <w:t>By i</w:t>
      </w:r>
      <w:r w:rsidRPr="00746221">
        <w:rPr>
          <w:rFonts w:ascii="Arial" w:hAnsi="Arial" w:cs="Arial"/>
          <w:bCs/>
          <w:sz w:val="24"/>
          <w:szCs w:val="24"/>
        </w:rPr>
        <w:t xml:space="preserve">ntegrating </w:t>
      </w:r>
      <w:r>
        <w:rPr>
          <w:rFonts w:ascii="Arial" w:hAnsi="Arial" w:cs="Arial"/>
          <w:bCs/>
          <w:sz w:val="24"/>
          <w:szCs w:val="24"/>
        </w:rPr>
        <w:t xml:space="preserve">the </w:t>
      </w:r>
      <w:r w:rsidRPr="00746221">
        <w:rPr>
          <w:rFonts w:ascii="Arial" w:hAnsi="Arial" w:cs="Arial"/>
          <w:bCs/>
          <w:sz w:val="24"/>
          <w:szCs w:val="24"/>
        </w:rPr>
        <w:t>results of</w:t>
      </w:r>
      <w:r>
        <w:rPr>
          <w:rFonts w:ascii="Arial" w:hAnsi="Arial" w:cs="Arial"/>
          <w:bCs/>
          <w:sz w:val="24"/>
          <w:szCs w:val="24"/>
        </w:rPr>
        <w:t xml:space="preserve"> the</w:t>
      </w:r>
      <w:r w:rsidRPr="00746221">
        <w:rPr>
          <w:rFonts w:ascii="Arial" w:hAnsi="Arial" w:cs="Arial"/>
          <w:bCs/>
          <w:sz w:val="24"/>
          <w:szCs w:val="24"/>
        </w:rPr>
        <w:t xml:space="preserve"> </w:t>
      </w:r>
      <w:r>
        <w:rPr>
          <w:rFonts w:ascii="Arial" w:hAnsi="Arial" w:cs="Arial"/>
          <w:bCs/>
          <w:sz w:val="24"/>
          <w:szCs w:val="24"/>
        </w:rPr>
        <w:t>HCP</w:t>
      </w:r>
      <w:r w:rsidRPr="00746221">
        <w:rPr>
          <w:rFonts w:ascii="Arial" w:hAnsi="Arial" w:cs="Arial"/>
          <w:bCs/>
          <w:sz w:val="24"/>
          <w:szCs w:val="24"/>
        </w:rPr>
        <w:t xml:space="preserve">s’ views on </w:t>
      </w:r>
      <w:r>
        <w:rPr>
          <w:rFonts w:ascii="Arial" w:hAnsi="Arial" w:cs="Arial"/>
          <w:bCs/>
          <w:sz w:val="24"/>
          <w:szCs w:val="24"/>
        </w:rPr>
        <w:t xml:space="preserve">the </w:t>
      </w:r>
      <w:r w:rsidRPr="00746221">
        <w:rPr>
          <w:rFonts w:ascii="Arial" w:hAnsi="Arial" w:cs="Arial"/>
          <w:bCs/>
          <w:sz w:val="24"/>
          <w:szCs w:val="24"/>
        </w:rPr>
        <w:t xml:space="preserve">potential </w:t>
      </w:r>
      <w:r w:rsidRPr="008F3DBA">
        <w:rPr>
          <w:rFonts w:ascii="Arial" w:hAnsi="Arial" w:cs="Arial"/>
          <w:sz w:val="24"/>
          <w:szCs w:val="24"/>
        </w:rPr>
        <w:t xml:space="preserve">current and future </w:t>
      </w:r>
      <w:r w:rsidRPr="00746221">
        <w:rPr>
          <w:rFonts w:ascii="Arial" w:hAnsi="Arial" w:cs="Arial"/>
          <w:bCs/>
          <w:sz w:val="24"/>
          <w:szCs w:val="24"/>
        </w:rPr>
        <w:t xml:space="preserve">roles </w:t>
      </w:r>
      <w:r w:rsidRPr="008F3DBA">
        <w:rPr>
          <w:rFonts w:ascii="Arial" w:hAnsi="Arial" w:cs="Arial"/>
          <w:sz w:val="24"/>
          <w:szCs w:val="24"/>
        </w:rPr>
        <w:t>of primary care pharmacists in diabetes management</w:t>
      </w:r>
      <w:r>
        <w:rPr>
          <w:rFonts w:ascii="Arial" w:hAnsi="Arial" w:cs="Arial"/>
          <w:sz w:val="24"/>
          <w:szCs w:val="24"/>
        </w:rPr>
        <w:t xml:space="preserve">, </w:t>
      </w:r>
      <w:r w:rsidRPr="008F3DBA">
        <w:rPr>
          <w:rFonts w:ascii="Arial" w:hAnsi="Arial" w:cs="Arial"/>
          <w:sz w:val="24"/>
          <w:szCs w:val="24"/>
        </w:rPr>
        <w:t>it was found that HCPs in both phases have positive attitudes toward pharmacist roles in diabetes management</w:t>
      </w:r>
      <w:r>
        <w:rPr>
          <w:rFonts w:ascii="Arial" w:hAnsi="Arial" w:cs="Arial"/>
          <w:sz w:val="24"/>
          <w:szCs w:val="24"/>
        </w:rPr>
        <w:t xml:space="preserve"> in current and future practice (s</w:t>
      </w:r>
      <w:r w:rsidRPr="008F3DBA">
        <w:rPr>
          <w:rFonts w:ascii="Arial" w:hAnsi="Arial" w:cs="Arial"/>
          <w:sz w:val="24"/>
          <w:szCs w:val="24"/>
        </w:rPr>
        <w:t>ee</w:t>
      </w:r>
      <w:r>
        <w:rPr>
          <w:rFonts w:ascii="Arial" w:hAnsi="Arial" w:cs="Arial"/>
          <w:sz w:val="24"/>
          <w:szCs w:val="24"/>
        </w:rPr>
        <w:t xml:space="preserve"> </w:t>
      </w:r>
      <w:r w:rsidRPr="00E6625A">
        <w:rPr>
          <w:rFonts w:ascii="Arial" w:hAnsi="Arial" w:cs="Arial"/>
          <w:color w:val="1F3864" w:themeColor="accent1" w:themeShade="80"/>
          <w:sz w:val="24"/>
          <w:szCs w:val="24"/>
        </w:rPr>
        <w:fldChar w:fldCharType="begin"/>
      </w:r>
      <w:r w:rsidRPr="00E6625A">
        <w:rPr>
          <w:rFonts w:ascii="Arial" w:hAnsi="Arial" w:cs="Arial"/>
          <w:color w:val="1F3864" w:themeColor="accent1" w:themeShade="80"/>
          <w:sz w:val="24"/>
          <w:szCs w:val="24"/>
        </w:rPr>
        <w:instrText xml:space="preserve"> REF _Ref123527659 \h  \* MERGEFORMAT </w:instrText>
      </w:r>
      <w:r w:rsidRPr="00E6625A">
        <w:rPr>
          <w:rFonts w:ascii="Arial" w:hAnsi="Arial" w:cs="Arial"/>
          <w:color w:val="1F3864" w:themeColor="accent1" w:themeShade="80"/>
          <w:sz w:val="24"/>
          <w:szCs w:val="24"/>
        </w:rPr>
      </w:r>
      <w:r w:rsidRPr="00E6625A">
        <w:rPr>
          <w:rFonts w:ascii="Arial" w:hAnsi="Arial" w:cs="Arial"/>
          <w:color w:val="1F3864" w:themeColor="accent1" w:themeShade="80"/>
          <w:sz w:val="24"/>
          <w:szCs w:val="24"/>
        </w:rPr>
        <w:fldChar w:fldCharType="separate"/>
      </w:r>
      <w:r w:rsidR="00A92782" w:rsidRPr="00A92782">
        <w:rPr>
          <w:rFonts w:ascii="Arial" w:hAnsi="Arial" w:cs="Arial"/>
          <w:color w:val="1F3864" w:themeColor="accent1" w:themeShade="80"/>
          <w:sz w:val="24"/>
          <w:szCs w:val="24"/>
        </w:rPr>
        <w:t>Table 29</w:t>
      </w:r>
      <w:r w:rsidRPr="00E6625A">
        <w:rPr>
          <w:rFonts w:ascii="Arial" w:hAnsi="Arial" w:cs="Arial"/>
          <w:color w:val="1F3864" w:themeColor="accent1" w:themeShade="80"/>
          <w:sz w:val="24"/>
          <w:szCs w:val="24"/>
        </w:rPr>
        <w:fldChar w:fldCharType="end"/>
      </w:r>
      <w:r w:rsidRPr="008F3DBA">
        <w:rPr>
          <w:rFonts w:ascii="Arial" w:hAnsi="Arial" w:cs="Arial"/>
          <w:sz w:val="24"/>
          <w:szCs w:val="24"/>
        </w:rPr>
        <w:t>.</w:t>
      </w:r>
      <w:r>
        <w:rPr>
          <w:rFonts w:ascii="Arial" w:hAnsi="Arial" w:cs="Arial"/>
          <w:sz w:val="24"/>
          <w:szCs w:val="24"/>
        </w:rPr>
        <w:t xml:space="preserve">). </w:t>
      </w:r>
      <w:r w:rsidR="0051586D" w:rsidRPr="0043510B">
        <w:rPr>
          <w:rFonts w:asciiTheme="minorBidi" w:hAnsiTheme="minorBidi"/>
          <w:sz w:val="24"/>
          <w:szCs w:val="24"/>
        </w:rPr>
        <w:t xml:space="preserve">There are similarities between the attitudes expressed by </w:t>
      </w:r>
      <w:r w:rsidR="00142C09" w:rsidRPr="0043510B">
        <w:rPr>
          <w:rFonts w:asciiTheme="minorBidi" w:hAnsiTheme="minorBidi"/>
          <w:sz w:val="24"/>
          <w:szCs w:val="24"/>
        </w:rPr>
        <w:t>participants</w:t>
      </w:r>
      <w:r w:rsidR="00F43CFF" w:rsidRPr="0043510B">
        <w:rPr>
          <w:rFonts w:asciiTheme="minorBidi" w:hAnsiTheme="minorBidi"/>
          <w:sz w:val="24"/>
          <w:szCs w:val="24"/>
        </w:rPr>
        <w:t xml:space="preserve"> </w:t>
      </w:r>
      <w:r w:rsidR="0051586D" w:rsidRPr="0043510B">
        <w:rPr>
          <w:rFonts w:asciiTheme="minorBidi" w:hAnsiTheme="minorBidi"/>
          <w:sz w:val="24"/>
          <w:szCs w:val="24"/>
        </w:rPr>
        <w:t>in this study and those described by</w:t>
      </w:r>
      <w:r w:rsidR="00F43CFF" w:rsidRPr="0043510B">
        <w:rPr>
          <w:rFonts w:asciiTheme="minorBidi" w:hAnsiTheme="minorBidi"/>
          <w:sz w:val="24"/>
          <w:szCs w:val="24"/>
        </w:rPr>
        <w:t xml:space="preserve"> Blondal et al.</w:t>
      </w:r>
      <w:r w:rsidR="00143A57" w:rsidRPr="0043510B">
        <w:rPr>
          <w:rFonts w:asciiTheme="minorBidi" w:hAnsiTheme="minorBidi"/>
          <w:sz w:val="24"/>
          <w:szCs w:val="24"/>
        </w:rPr>
        <w:t xml:space="preserve"> </w:t>
      </w:r>
      <w:r w:rsidR="00143A57" w:rsidRPr="0043510B">
        <w:rPr>
          <w:rFonts w:asciiTheme="minorBidi" w:hAnsiTheme="minorBidi"/>
          <w:sz w:val="24"/>
          <w:szCs w:val="24"/>
          <w:lang w:val="nl-NL"/>
        </w:rPr>
        <w:t>(2017)</w:t>
      </w:r>
      <w:r w:rsidR="00F43CFF" w:rsidRPr="0043510B">
        <w:rPr>
          <w:rFonts w:asciiTheme="minorBidi" w:hAnsiTheme="minorBidi"/>
          <w:sz w:val="24"/>
          <w:szCs w:val="24"/>
          <w:lang w:val="nl-NL"/>
        </w:rPr>
        <w:t>, Truong et al.</w:t>
      </w:r>
      <w:r w:rsidR="00143A57" w:rsidRPr="0043510B">
        <w:rPr>
          <w:rFonts w:asciiTheme="minorBidi" w:hAnsiTheme="minorBidi"/>
          <w:sz w:val="24"/>
          <w:szCs w:val="24"/>
          <w:lang w:val="nl-NL"/>
        </w:rPr>
        <w:t xml:space="preserve"> (2017), Moreno</w:t>
      </w:r>
      <w:r w:rsidR="00F43CFF" w:rsidRPr="0043510B">
        <w:rPr>
          <w:rFonts w:asciiTheme="minorBidi" w:hAnsiTheme="minorBidi"/>
          <w:sz w:val="24"/>
          <w:szCs w:val="24"/>
          <w:lang w:val="nl-NL"/>
        </w:rPr>
        <w:t xml:space="preserve"> et al. </w:t>
      </w:r>
      <w:r w:rsidR="00143A57" w:rsidRPr="0043510B">
        <w:rPr>
          <w:rFonts w:asciiTheme="minorBidi" w:hAnsiTheme="minorBidi"/>
          <w:sz w:val="24"/>
          <w:szCs w:val="24"/>
          <w:lang w:val="nl-NL"/>
        </w:rPr>
        <w:t>(</w:t>
      </w:r>
      <w:r w:rsidR="00F43CFF" w:rsidRPr="0043510B">
        <w:rPr>
          <w:rFonts w:asciiTheme="minorBidi" w:hAnsiTheme="minorBidi"/>
          <w:sz w:val="24"/>
          <w:szCs w:val="24"/>
          <w:lang w:val="nl-NL"/>
        </w:rPr>
        <w:t>2017</w:t>
      </w:r>
      <w:r w:rsidR="00143A57" w:rsidRPr="0043510B">
        <w:rPr>
          <w:rFonts w:asciiTheme="minorBidi" w:hAnsiTheme="minorBidi"/>
          <w:sz w:val="24"/>
          <w:szCs w:val="24"/>
          <w:lang w:val="nl-NL"/>
        </w:rPr>
        <w:t xml:space="preserve">), </w:t>
      </w:r>
      <w:r w:rsidR="00143A57" w:rsidRPr="0043510B">
        <w:rPr>
          <w:rFonts w:ascii="Arial" w:hAnsi="Arial" w:cs="Arial"/>
          <w:bCs/>
          <w:sz w:val="24"/>
          <w:szCs w:val="24"/>
          <w:lang w:val="nl-NL"/>
        </w:rPr>
        <w:t>a</w:t>
      </w:r>
      <w:r w:rsidR="00F43CFF" w:rsidRPr="0043510B">
        <w:rPr>
          <w:rFonts w:ascii="Arial" w:hAnsi="Arial" w:cs="Arial"/>
          <w:bCs/>
          <w:sz w:val="24"/>
          <w:szCs w:val="24"/>
          <w:lang w:val="nl-NL"/>
        </w:rPr>
        <w:t xml:space="preserve">nd </w:t>
      </w:r>
      <w:r w:rsidR="00F43CFF" w:rsidRPr="0043510B">
        <w:rPr>
          <w:rStyle w:val="lookup-resultcontent"/>
          <w:rFonts w:ascii="Arial" w:eastAsia="Times New Roman" w:hAnsi="Arial" w:cs="Arial"/>
          <w:sz w:val="24"/>
          <w:szCs w:val="24"/>
          <w:lang w:val="nl-NL"/>
        </w:rPr>
        <w:t xml:space="preserve">Duncan et al. </w:t>
      </w:r>
      <w:r w:rsidR="00F43CFF" w:rsidRPr="0043510B">
        <w:rPr>
          <w:rStyle w:val="lookup-resultcontent"/>
          <w:rFonts w:ascii="Arial" w:eastAsia="Times New Roman" w:hAnsi="Arial" w:cs="Arial"/>
          <w:sz w:val="24"/>
          <w:szCs w:val="24"/>
        </w:rPr>
        <w:t>(2020)</w:t>
      </w:r>
      <w:r w:rsidR="008C23D3" w:rsidRPr="0043510B">
        <w:rPr>
          <w:rStyle w:val="lookup-resultcontent"/>
          <w:rFonts w:ascii="Arial" w:eastAsia="Times New Roman" w:hAnsi="Arial" w:cs="Arial"/>
          <w:sz w:val="24"/>
          <w:szCs w:val="24"/>
        </w:rPr>
        <w:t xml:space="preserve">; </w:t>
      </w:r>
      <w:r w:rsidR="00035508" w:rsidRPr="0043510B">
        <w:rPr>
          <w:rFonts w:ascii="Arial" w:hAnsi="Arial" w:cs="Arial"/>
          <w:bCs/>
          <w:sz w:val="24"/>
          <w:szCs w:val="24"/>
        </w:rPr>
        <w:t>pharmacists can play an essential role in diabetes primary care management.</w:t>
      </w:r>
    </w:p>
    <w:p w14:paraId="2AF39818" w14:textId="425E4041" w:rsidR="00F04DC3" w:rsidRPr="008018C8" w:rsidRDefault="00F04DC3" w:rsidP="00F04DC3">
      <w:pPr>
        <w:spacing w:before="240" w:after="0" w:line="360" w:lineRule="auto"/>
        <w:jc w:val="both"/>
        <w:rPr>
          <w:rFonts w:asciiTheme="minorBidi" w:hAnsiTheme="minorBidi"/>
          <w:sz w:val="24"/>
          <w:szCs w:val="24"/>
        </w:rPr>
      </w:pPr>
      <w:r>
        <w:rPr>
          <w:rFonts w:asciiTheme="minorBidi" w:hAnsiTheme="minorBidi"/>
          <w:sz w:val="24"/>
          <w:szCs w:val="24"/>
        </w:rPr>
        <w:t>T</w:t>
      </w:r>
      <w:r w:rsidRPr="00DF0898">
        <w:rPr>
          <w:rFonts w:asciiTheme="minorBidi" w:hAnsiTheme="minorBidi"/>
          <w:sz w:val="24"/>
          <w:szCs w:val="24"/>
        </w:rPr>
        <w:t>h</w:t>
      </w:r>
      <w:r>
        <w:rPr>
          <w:rFonts w:asciiTheme="minorBidi" w:hAnsiTheme="minorBidi"/>
          <w:sz w:val="24"/>
          <w:szCs w:val="24"/>
        </w:rPr>
        <w:t>e survey</w:t>
      </w:r>
      <w:r w:rsidRPr="00DF0898">
        <w:rPr>
          <w:rFonts w:asciiTheme="minorBidi" w:hAnsiTheme="minorBidi"/>
          <w:sz w:val="24"/>
          <w:szCs w:val="24"/>
        </w:rPr>
        <w:t xml:space="preserve"> </w:t>
      </w:r>
      <w:r>
        <w:rPr>
          <w:rFonts w:asciiTheme="minorBidi" w:hAnsiTheme="minorBidi"/>
          <w:sz w:val="24"/>
          <w:szCs w:val="24"/>
        </w:rPr>
        <w:t xml:space="preserve">found a </w:t>
      </w:r>
      <w:r w:rsidRPr="00DF0898">
        <w:rPr>
          <w:rFonts w:asciiTheme="minorBidi" w:hAnsiTheme="minorBidi"/>
          <w:sz w:val="24"/>
          <w:szCs w:val="24"/>
        </w:rPr>
        <w:t xml:space="preserve">general </w:t>
      </w:r>
      <w:r>
        <w:rPr>
          <w:rFonts w:asciiTheme="minorBidi" w:hAnsiTheme="minorBidi"/>
          <w:sz w:val="24"/>
          <w:szCs w:val="24"/>
        </w:rPr>
        <w:t xml:space="preserve">feeling of </w:t>
      </w:r>
      <w:r w:rsidRPr="00DF0898">
        <w:rPr>
          <w:rFonts w:asciiTheme="minorBidi" w:hAnsiTheme="minorBidi"/>
          <w:sz w:val="24"/>
          <w:szCs w:val="24"/>
        </w:rPr>
        <w:t xml:space="preserve">positivity towards pharmacists being more involved in diabetes management, but this varied somewhat </w:t>
      </w:r>
      <w:r>
        <w:rPr>
          <w:rFonts w:asciiTheme="minorBidi" w:hAnsiTheme="minorBidi"/>
          <w:sz w:val="24"/>
          <w:szCs w:val="24"/>
        </w:rPr>
        <w:t xml:space="preserve">among the </w:t>
      </w:r>
      <w:r w:rsidRPr="00DF0898">
        <w:rPr>
          <w:rFonts w:asciiTheme="minorBidi" w:hAnsiTheme="minorBidi"/>
          <w:sz w:val="24"/>
          <w:szCs w:val="24"/>
        </w:rPr>
        <w:t>professional group</w:t>
      </w:r>
      <w:r>
        <w:rPr>
          <w:rFonts w:asciiTheme="minorBidi" w:hAnsiTheme="minorBidi"/>
          <w:sz w:val="24"/>
          <w:szCs w:val="24"/>
        </w:rPr>
        <w:t>s,</w:t>
      </w:r>
      <w:r w:rsidRPr="00DF0898">
        <w:rPr>
          <w:rFonts w:asciiTheme="minorBidi" w:hAnsiTheme="minorBidi"/>
          <w:sz w:val="24"/>
          <w:szCs w:val="24"/>
        </w:rPr>
        <w:t xml:space="preserve"> with pharmacists being most positive</w:t>
      </w:r>
      <w:r>
        <w:rPr>
          <w:rFonts w:asciiTheme="minorBidi" w:hAnsiTheme="minorBidi"/>
          <w:sz w:val="24"/>
          <w:szCs w:val="24"/>
        </w:rPr>
        <w:t xml:space="preserve">, and </w:t>
      </w:r>
      <w:r w:rsidRPr="00DC1E22">
        <w:rPr>
          <w:rFonts w:asciiTheme="minorBidi" w:hAnsiTheme="minorBidi"/>
          <w:sz w:val="24"/>
          <w:szCs w:val="24"/>
        </w:rPr>
        <w:t xml:space="preserve">doctors in particular </w:t>
      </w:r>
      <w:r>
        <w:rPr>
          <w:rFonts w:asciiTheme="minorBidi" w:hAnsiTheme="minorBidi"/>
          <w:sz w:val="24"/>
          <w:szCs w:val="24"/>
        </w:rPr>
        <w:t xml:space="preserve">being </w:t>
      </w:r>
      <w:r w:rsidRPr="00DC1E22">
        <w:rPr>
          <w:rFonts w:asciiTheme="minorBidi" w:hAnsiTheme="minorBidi"/>
          <w:sz w:val="24"/>
          <w:szCs w:val="24"/>
        </w:rPr>
        <w:t xml:space="preserve">more likely to </w:t>
      </w:r>
      <w:r>
        <w:rPr>
          <w:rFonts w:asciiTheme="minorBidi" w:hAnsiTheme="minorBidi"/>
          <w:sz w:val="24"/>
          <w:szCs w:val="24"/>
        </w:rPr>
        <w:t>be negative</w:t>
      </w:r>
      <w:r w:rsidRPr="00DC1E22">
        <w:rPr>
          <w:rFonts w:asciiTheme="minorBidi" w:hAnsiTheme="minorBidi"/>
          <w:sz w:val="24"/>
          <w:szCs w:val="24"/>
        </w:rPr>
        <w:t xml:space="preserve"> about some roles and across all professions</w:t>
      </w:r>
      <w:r>
        <w:rPr>
          <w:rFonts w:asciiTheme="minorBidi" w:hAnsiTheme="minorBidi"/>
          <w:sz w:val="24"/>
          <w:szCs w:val="24"/>
        </w:rPr>
        <w:t>, with i</w:t>
      </w:r>
      <w:r w:rsidRPr="00DF0898">
        <w:rPr>
          <w:rFonts w:asciiTheme="minorBidi" w:hAnsiTheme="minorBidi"/>
          <w:sz w:val="24"/>
          <w:szCs w:val="24"/>
        </w:rPr>
        <w:t xml:space="preserve">ndependent prescribing by pharmacists </w:t>
      </w:r>
      <w:r>
        <w:rPr>
          <w:rFonts w:asciiTheme="minorBidi" w:hAnsiTheme="minorBidi"/>
          <w:sz w:val="24"/>
          <w:szCs w:val="24"/>
        </w:rPr>
        <w:t xml:space="preserve">being </w:t>
      </w:r>
      <w:r w:rsidRPr="00DF0898">
        <w:rPr>
          <w:rFonts w:asciiTheme="minorBidi" w:hAnsiTheme="minorBidi"/>
          <w:sz w:val="24"/>
          <w:szCs w:val="24"/>
        </w:rPr>
        <w:t>the most negatively viewed activity.</w:t>
      </w:r>
      <w:r>
        <w:rPr>
          <w:rFonts w:asciiTheme="minorBidi" w:hAnsiTheme="minorBidi"/>
          <w:sz w:val="24"/>
          <w:szCs w:val="24"/>
        </w:rPr>
        <w:t xml:space="preserve"> </w:t>
      </w:r>
      <w:r w:rsidRPr="00DF0898">
        <w:rPr>
          <w:rFonts w:asciiTheme="minorBidi" w:hAnsiTheme="minorBidi"/>
          <w:sz w:val="24"/>
          <w:szCs w:val="24"/>
        </w:rPr>
        <w:t>Variation was also evident in terms of tim</w:t>
      </w:r>
      <w:r>
        <w:rPr>
          <w:rFonts w:asciiTheme="minorBidi" w:hAnsiTheme="minorBidi"/>
          <w:sz w:val="24"/>
          <w:szCs w:val="24"/>
        </w:rPr>
        <w:t>ing,</w:t>
      </w:r>
      <w:r w:rsidRPr="00DF0898">
        <w:rPr>
          <w:rFonts w:asciiTheme="minorBidi" w:hAnsiTheme="minorBidi"/>
          <w:sz w:val="24"/>
          <w:szCs w:val="24"/>
        </w:rPr>
        <w:t xml:space="preserve"> </w:t>
      </w:r>
      <w:r>
        <w:rPr>
          <w:rFonts w:asciiTheme="minorBidi" w:hAnsiTheme="minorBidi"/>
          <w:sz w:val="24"/>
          <w:szCs w:val="24"/>
        </w:rPr>
        <w:t>as it was</w:t>
      </w:r>
      <w:r w:rsidRPr="00DF0898">
        <w:rPr>
          <w:rFonts w:asciiTheme="minorBidi" w:hAnsiTheme="minorBidi"/>
          <w:sz w:val="24"/>
          <w:szCs w:val="24"/>
        </w:rPr>
        <w:t xml:space="preserve"> considered more appropriate </w:t>
      </w:r>
      <w:r>
        <w:rPr>
          <w:rFonts w:asciiTheme="minorBidi" w:hAnsiTheme="minorBidi"/>
          <w:sz w:val="24"/>
          <w:szCs w:val="24"/>
        </w:rPr>
        <w:t xml:space="preserve">to introduce certain roles </w:t>
      </w:r>
      <w:r w:rsidRPr="00DF0898">
        <w:rPr>
          <w:rFonts w:asciiTheme="minorBidi" w:hAnsiTheme="minorBidi"/>
          <w:sz w:val="24"/>
          <w:szCs w:val="24"/>
        </w:rPr>
        <w:t xml:space="preserve">in the future </w:t>
      </w:r>
      <w:r>
        <w:rPr>
          <w:rFonts w:asciiTheme="minorBidi" w:hAnsiTheme="minorBidi"/>
          <w:sz w:val="24"/>
          <w:szCs w:val="24"/>
        </w:rPr>
        <w:t xml:space="preserve">rather than </w:t>
      </w:r>
      <w:r w:rsidRPr="00DF0898">
        <w:rPr>
          <w:rFonts w:asciiTheme="minorBidi" w:hAnsiTheme="minorBidi"/>
          <w:sz w:val="24"/>
          <w:szCs w:val="24"/>
        </w:rPr>
        <w:t>currently</w:t>
      </w:r>
      <w:r>
        <w:rPr>
          <w:rFonts w:asciiTheme="minorBidi" w:hAnsiTheme="minorBidi"/>
          <w:sz w:val="24"/>
          <w:szCs w:val="24"/>
        </w:rPr>
        <w:t xml:space="preserve">. </w:t>
      </w:r>
      <w:r w:rsidRPr="00586AC5">
        <w:rPr>
          <w:rFonts w:asciiTheme="minorBidi" w:hAnsiTheme="minorBidi"/>
          <w:sz w:val="24"/>
          <w:szCs w:val="24"/>
        </w:rPr>
        <w:t>However, the findings of the interviews were somewhat inconsistent with the results of the survey, as it was found that the doctor interviewees were more positive than the pharmacist interviewees. As for the nurses' attitudes, no difference was found in their attitudes towards the pharmacist's role in both stages.</w:t>
      </w:r>
      <w:r>
        <w:rPr>
          <w:rFonts w:asciiTheme="minorBidi" w:hAnsiTheme="minorBidi"/>
          <w:sz w:val="24"/>
          <w:szCs w:val="24"/>
        </w:rPr>
        <w:t xml:space="preserve"> </w:t>
      </w:r>
      <w:r w:rsidRPr="00143AEB">
        <w:rPr>
          <w:rFonts w:asciiTheme="minorBidi" w:hAnsiTheme="minorBidi"/>
          <w:sz w:val="24"/>
          <w:szCs w:val="24"/>
        </w:rPr>
        <w:t xml:space="preserve">These </w:t>
      </w:r>
      <w:r>
        <w:rPr>
          <w:rFonts w:asciiTheme="minorBidi" w:hAnsiTheme="minorBidi"/>
          <w:sz w:val="24"/>
          <w:szCs w:val="24"/>
        </w:rPr>
        <w:t>findings</w:t>
      </w:r>
      <w:r w:rsidRPr="00143AEB">
        <w:rPr>
          <w:rFonts w:asciiTheme="minorBidi" w:hAnsiTheme="minorBidi"/>
          <w:sz w:val="24"/>
          <w:szCs w:val="24"/>
        </w:rPr>
        <w:t xml:space="preserve"> will be discussed later</w:t>
      </w:r>
      <w:r>
        <w:rPr>
          <w:rFonts w:asciiTheme="minorBidi" w:hAnsiTheme="minorBidi"/>
          <w:sz w:val="24"/>
          <w:szCs w:val="24"/>
        </w:rPr>
        <w:t>.</w:t>
      </w:r>
    </w:p>
    <w:p w14:paraId="5E1E9E7E" w14:textId="1CFAB0EE" w:rsidR="00F04DC3" w:rsidRDefault="00F04DC3" w:rsidP="00F04DC3">
      <w:pPr>
        <w:spacing w:before="240" w:after="0" w:line="360" w:lineRule="auto"/>
        <w:jc w:val="both"/>
        <w:rPr>
          <w:rFonts w:asciiTheme="minorBidi" w:hAnsiTheme="minorBidi"/>
          <w:sz w:val="24"/>
          <w:szCs w:val="24"/>
        </w:rPr>
      </w:pPr>
      <w:r>
        <w:rPr>
          <w:rFonts w:ascii="Arial" w:hAnsi="Arial" w:cs="Arial"/>
          <w:sz w:val="24"/>
          <w:szCs w:val="24"/>
        </w:rPr>
        <w:t xml:space="preserve">By </w:t>
      </w:r>
      <w:r w:rsidRPr="008F3DBA">
        <w:rPr>
          <w:rFonts w:ascii="Arial" w:hAnsi="Arial" w:cs="Arial"/>
          <w:sz w:val="24"/>
          <w:szCs w:val="24"/>
        </w:rPr>
        <w:t xml:space="preserve">integrating </w:t>
      </w:r>
      <w:r>
        <w:rPr>
          <w:rFonts w:ascii="Arial" w:hAnsi="Arial" w:cs="Arial"/>
          <w:sz w:val="24"/>
          <w:szCs w:val="24"/>
        </w:rPr>
        <w:t xml:space="preserve">the </w:t>
      </w:r>
      <w:r w:rsidRPr="008F3DBA">
        <w:rPr>
          <w:rFonts w:ascii="Arial" w:hAnsi="Arial" w:cs="Arial"/>
          <w:sz w:val="24"/>
          <w:szCs w:val="24"/>
        </w:rPr>
        <w:t xml:space="preserve">results of </w:t>
      </w:r>
      <w:r>
        <w:rPr>
          <w:rFonts w:ascii="Arial" w:hAnsi="Arial" w:cs="Arial"/>
          <w:sz w:val="24"/>
          <w:szCs w:val="24"/>
        </w:rPr>
        <w:t>the HCP</w:t>
      </w:r>
      <w:r w:rsidRPr="008F3DBA">
        <w:rPr>
          <w:rFonts w:ascii="Arial" w:hAnsi="Arial" w:cs="Arial"/>
          <w:sz w:val="24"/>
          <w:szCs w:val="24"/>
        </w:rPr>
        <w:t xml:space="preserve">s’ attitudes </w:t>
      </w:r>
      <w:r>
        <w:rPr>
          <w:rFonts w:ascii="Arial" w:hAnsi="Arial" w:cs="Arial"/>
          <w:sz w:val="24"/>
          <w:szCs w:val="24"/>
        </w:rPr>
        <w:t>toward</w:t>
      </w:r>
      <w:r w:rsidRPr="008F3DBA">
        <w:rPr>
          <w:rFonts w:ascii="Arial" w:hAnsi="Arial" w:cs="Arial"/>
          <w:sz w:val="24"/>
          <w:szCs w:val="24"/>
        </w:rPr>
        <w:t xml:space="preserve"> the potential impact of adding pharmacists to the diabetes care team</w:t>
      </w:r>
      <w:r>
        <w:rPr>
          <w:rFonts w:ascii="Arial" w:hAnsi="Arial" w:cs="Arial"/>
          <w:sz w:val="24"/>
          <w:szCs w:val="24"/>
        </w:rPr>
        <w:t xml:space="preserve">, </w:t>
      </w:r>
      <w:r>
        <w:rPr>
          <w:rFonts w:asciiTheme="minorBidi" w:hAnsiTheme="minorBidi"/>
          <w:sz w:val="24"/>
          <w:szCs w:val="24"/>
        </w:rPr>
        <w:t>a</w:t>
      </w:r>
      <w:r w:rsidRPr="003A7404">
        <w:rPr>
          <w:rFonts w:asciiTheme="minorBidi" w:hAnsiTheme="minorBidi"/>
          <w:sz w:val="24"/>
          <w:szCs w:val="24"/>
        </w:rPr>
        <w:t xml:space="preserve"> general agreement was found among participants in both phases that pharmacists</w:t>
      </w:r>
      <w:r>
        <w:rPr>
          <w:rFonts w:asciiTheme="minorBidi" w:hAnsiTheme="minorBidi"/>
          <w:sz w:val="24"/>
          <w:szCs w:val="24"/>
        </w:rPr>
        <w:t xml:space="preserve"> involvement is associated with greater</w:t>
      </w:r>
      <w:r w:rsidRPr="003A7404">
        <w:rPr>
          <w:rFonts w:asciiTheme="minorBidi" w:hAnsiTheme="minorBidi"/>
          <w:sz w:val="24"/>
          <w:szCs w:val="24"/>
        </w:rPr>
        <w:t xml:space="preserve"> benefits to the healthcare system</w:t>
      </w:r>
      <w:r>
        <w:rPr>
          <w:rFonts w:asciiTheme="minorBidi" w:hAnsiTheme="minorBidi"/>
          <w:sz w:val="24"/>
          <w:szCs w:val="24"/>
        </w:rPr>
        <w:t xml:space="preserve">, </w:t>
      </w:r>
      <w:r w:rsidRPr="003A7404">
        <w:rPr>
          <w:rFonts w:asciiTheme="minorBidi" w:hAnsiTheme="minorBidi"/>
          <w:sz w:val="24"/>
          <w:szCs w:val="24"/>
        </w:rPr>
        <w:t>patient outcomes and safety</w:t>
      </w:r>
      <w:r>
        <w:rPr>
          <w:rFonts w:asciiTheme="minorBidi" w:hAnsiTheme="minorBidi"/>
          <w:sz w:val="24"/>
          <w:szCs w:val="24"/>
        </w:rPr>
        <w:t xml:space="preserve"> (see </w:t>
      </w:r>
      <w:r w:rsidRPr="00DA3648">
        <w:rPr>
          <w:rFonts w:asciiTheme="minorBidi" w:hAnsiTheme="minorBidi"/>
          <w:color w:val="1F3864" w:themeColor="accent1" w:themeShade="80"/>
          <w:sz w:val="24"/>
          <w:szCs w:val="24"/>
        </w:rPr>
        <w:fldChar w:fldCharType="begin"/>
      </w:r>
      <w:r w:rsidRPr="00DA3648">
        <w:rPr>
          <w:rFonts w:asciiTheme="minorBidi" w:hAnsiTheme="minorBidi"/>
          <w:color w:val="1F3864" w:themeColor="accent1" w:themeShade="80"/>
          <w:sz w:val="24"/>
          <w:szCs w:val="24"/>
        </w:rPr>
        <w:instrText xml:space="preserve"> REF _Ref123528682 \h  \* MERGEFORMAT </w:instrText>
      </w:r>
      <w:r w:rsidRPr="00DA3648">
        <w:rPr>
          <w:rFonts w:asciiTheme="minorBidi" w:hAnsiTheme="minorBidi"/>
          <w:color w:val="1F3864" w:themeColor="accent1" w:themeShade="80"/>
          <w:sz w:val="24"/>
          <w:szCs w:val="24"/>
        </w:rPr>
      </w:r>
      <w:r w:rsidRPr="00DA3648">
        <w:rPr>
          <w:rFonts w:asciiTheme="minorBidi" w:hAnsiTheme="minorBidi"/>
          <w:color w:val="1F3864" w:themeColor="accent1" w:themeShade="80"/>
          <w:sz w:val="24"/>
          <w:szCs w:val="24"/>
        </w:rPr>
        <w:fldChar w:fldCharType="separate"/>
      </w:r>
      <w:r w:rsidR="00A92782" w:rsidRPr="00A92782">
        <w:rPr>
          <w:rFonts w:asciiTheme="minorBidi" w:hAnsiTheme="minorBidi"/>
          <w:color w:val="1F3864" w:themeColor="accent1" w:themeShade="80"/>
          <w:sz w:val="24"/>
          <w:szCs w:val="24"/>
        </w:rPr>
        <w:t>Table 30</w:t>
      </w:r>
      <w:r w:rsidRPr="00DA3648">
        <w:rPr>
          <w:rFonts w:asciiTheme="minorBidi" w:hAnsiTheme="minorBidi"/>
          <w:color w:val="1F3864" w:themeColor="accent1" w:themeShade="80"/>
          <w:sz w:val="24"/>
          <w:szCs w:val="24"/>
        </w:rPr>
        <w:fldChar w:fldCharType="end"/>
      </w:r>
      <w:r>
        <w:rPr>
          <w:rFonts w:asciiTheme="minorBidi" w:hAnsiTheme="minorBidi"/>
          <w:color w:val="1F3864" w:themeColor="accent1" w:themeShade="80"/>
          <w:sz w:val="24"/>
          <w:szCs w:val="24"/>
        </w:rPr>
        <w:t xml:space="preserve">). </w:t>
      </w:r>
      <w:r w:rsidRPr="008570C1">
        <w:rPr>
          <w:rFonts w:asciiTheme="minorBidi" w:hAnsiTheme="minorBidi"/>
          <w:sz w:val="24"/>
          <w:szCs w:val="24"/>
        </w:rPr>
        <w:t xml:space="preserve">These results indicate that </w:t>
      </w:r>
      <w:r>
        <w:rPr>
          <w:rFonts w:asciiTheme="minorBidi" w:hAnsiTheme="minorBidi"/>
          <w:sz w:val="24"/>
          <w:szCs w:val="24"/>
        </w:rPr>
        <w:t xml:space="preserve">the </w:t>
      </w:r>
      <w:r w:rsidRPr="008570C1">
        <w:rPr>
          <w:rFonts w:asciiTheme="minorBidi" w:hAnsiTheme="minorBidi"/>
          <w:sz w:val="24"/>
          <w:szCs w:val="24"/>
        </w:rPr>
        <w:t>HCPs support the addition of pharmacists to the diabetes care team in PHCs. They believe that pharmacists are critical integral members of the health care team in PHCs.</w:t>
      </w:r>
      <w:r>
        <w:rPr>
          <w:rFonts w:asciiTheme="minorBidi" w:hAnsiTheme="minorBidi"/>
          <w:sz w:val="24"/>
          <w:szCs w:val="24"/>
        </w:rPr>
        <w:t xml:space="preserve"> </w:t>
      </w:r>
      <w:r w:rsidRPr="00831517">
        <w:rPr>
          <w:rFonts w:asciiTheme="minorBidi" w:hAnsiTheme="minorBidi"/>
          <w:sz w:val="24"/>
          <w:szCs w:val="24"/>
        </w:rPr>
        <w:t>Therefore</w:t>
      </w:r>
      <w:r>
        <w:rPr>
          <w:rFonts w:asciiTheme="minorBidi" w:hAnsiTheme="minorBidi"/>
          <w:sz w:val="24"/>
          <w:szCs w:val="24"/>
        </w:rPr>
        <w:t xml:space="preserve">, this theme has emerged from the triangulation of views amongst participants of both phases on </w:t>
      </w:r>
      <w:r w:rsidRPr="008570C1">
        <w:rPr>
          <w:rFonts w:asciiTheme="minorBidi" w:hAnsiTheme="minorBidi"/>
          <w:sz w:val="24"/>
          <w:szCs w:val="24"/>
        </w:rPr>
        <w:t>pharmacists' involvement in diabetes primary care management</w:t>
      </w:r>
      <w:r>
        <w:rPr>
          <w:rFonts w:asciiTheme="minorBidi" w:hAnsiTheme="minorBidi"/>
          <w:sz w:val="24"/>
          <w:szCs w:val="24"/>
        </w:rPr>
        <w:t>.</w:t>
      </w:r>
    </w:p>
    <w:p w14:paraId="57B33671" w14:textId="77777777" w:rsidR="00F04DC3" w:rsidRPr="008018C8" w:rsidRDefault="00F04DC3" w:rsidP="00F04DC3">
      <w:pPr>
        <w:spacing w:before="240" w:after="0" w:line="360" w:lineRule="auto"/>
        <w:jc w:val="both"/>
        <w:rPr>
          <w:rFonts w:asciiTheme="minorBidi" w:hAnsiTheme="minorBidi"/>
          <w:sz w:val="24"/>
          <w:szCs w:val="24"/>
        </w:rPr>
      </w:pPr>
      <w:r w:rsidRPr="002B6B77">
        <w:rPr>
          <w:rFonts w:asciiTheme="minorBidi" w:hAnsiTheme="minorBidi"/>
          <w:sz w:val="24"/>
          <w:szCs w:val="24"/>
        </w:rPr>
        <w:t xml:space="preserve">Both phases of this research found positive attitudes toward pharmacist roles in diabetes management, both now and in the future. However, </w:t>
      </w:r>
      <w:r>
        <w:rPr>
          <w:rFonts w:asciiTheme="minorBidi" w:hAnsiTheme="minorBidi"/>
          <w:sz w:val="24"/>
          <w:szCs w:val="24"/>
        </w:rPr>
        <w:t>participa</w:t>
      </w:r>
      <w:r w:rsidRPr="002B6B77">
        <w:rPr>
          <w:rFonts w:asciiTheme="minorBidi" w:hAnsiTheme="minorBidi"/>
          <w:sz w:val="24"/>
          <w:szCs w:val="24"/>
        </w:rPr>
        <w:t>nts in the first stage agreed slightly more with pharmacists' future involvement compared to current involvement, in contrast to the second stage, where the interviewees appeared to be enthusiastic about the pharmacist's current involvement and demanded th</w:t>
      </w:r>
      <w:r>
        <w:rPr>
          <w:rFonts w:asciiTheme="minorBidi" w:hAnsiTheme="minorBidi"/>
          <w:sz w:val="24"/>
          <w:szCs w:val="24"/>
        </w:rPr>
        <w:t>at</w:t>
      </w:r>
      <w:r w:rsidRPr="002B6B77">
        <w:rPr>
          <w:rFonts w:asciiTheme="minorBidi" w:hAnsiTheme="minorBidi"/>
          <w:sz w:val="24"/>
          <w:szCs w:val="24"/>
        </w:rPr>
        <w:t xml:space="preserve"> pharmacists return to PHCs in order to work in a </w:t>
      </w:r>
      <w:r>
        <w:rPr>
          <w:rFonts w:asciiTheme="minorBidi" w:hAnsiTheme="minorBidi"/>
          <w:sz w:val="24"/>
          <w:szCs w:val="24"/>
        </w:rPr>
        <w:t>MDT</w:t>
      </w:r>
      <w:r w:rsidRPr="002B6B77">
        <w:rPr>
          <w:rFonts w:asciiTheme="minorBidi" w:hAnsiTheme="minorBidi"/>
          <w:sz w:val="24"/>
          <w:szCs w:val="24"/>
        </w:rPr>
        <w:t xml:space="preserve"> for diabetes care. This inconsistency may </w:t>
      </w:r>
      <w:r>
        <w:rPr>
          <w:rFonts w:asciiTheme="minorBidi" w:hAnsiTheme="minorBidi"/>
          <w:sz w:val="24"/>
          <w:szCs w:val="24"/>
        </w:rPr>
        <w:t xml:space="preserve">have </w:t>
      </w:r>
      <w:r w:rsidRPr="002B6B77">
        <w:rPr>
          <w:rFonts w:asciiTheme="minorBidi" w:hAnsiTheme="minorBidi"/>
          <w:sz w:val="24"/>
          <w:szCs w:val="24"/>
        </w:rPr>
        <w:t>several possible explanations</w:t>
      </w:r>
      <w:r>
        <w:rPr>
          <w:rFonts w:asciiTheme="minorBidi" w:hAnsiTheme="minorBidi"/>
          <w:sz w:val="24"/>
          <w:szCs w:val="24"/>
        </w:rPr>
        <w:t>, one</w:t>
      </w:r>
      <w:r w:rsidRPr="002B6B77">
        <w:rPr>
          <w:rFonts w:asciiTheme="minorBidi" w:hAnsiTheme="minorBidi"/>
          <w:sz w:val="24"/>
          <w:szCs w:val="24"/>
        </w:rPr>
        <w:t xml:space="preserve"> be</w:t>
      </w:r>
      <w:r>
        <w:rPr>
          <w:rFonts w:asciiTheme="minorBidi" w:hAnsiTheme="minorBidi"/>
          <w:sz w:val="24"/>
          <w:szCs w:val="24"/>
        </w:rPr>
        <w:t>ing</w:t>
      </w:r>
      <w:r w:rsidRPr="002B6B77">
        <w:rPr>
          <w:rFonts w:asciiTheme="minorBidi" w:hAnsiTheme="minorBidi"/>
          <w:sz w:val="24"/>
          <w:szCs w:val="24"/>
        </w:rPr>
        <w:t xml:space="preserve"> that pharmacies in PHCs </w:t>
      </w:r>
      <w:r>
        <w:rPr>
          <w:rFonts w:asciiTheme="minorBidi" w:hAnsiTheme="minorBidi"/>
          <w:sz w:val="24"/>
          <w:szCs w:val="24"/>
        </w:rPr>
        <w:t xml:space="preserve">had </w:t>
      </w:r>
      <w:r w:rsidRPr="002B6B77">
        <w:rPr>
          <w:rFonts w:asciiTheme="minorBidi" w:hAnsiTheme="minorBidi"/>
          <w:sz w:val="24"/>
          <w:szCs w:val="24"/>
        </w:rPr>
        <w:t xml:space="preserve">just </w:t>
      </w:r>
      <w:r>
        <w:rPr>
          <w:rFonts w:asciiTheme="minorBidi" w:hAnsiTheme="minorBidi"/>
          <w:sz w:val="24"/>
          <w:szCs w:val="24"/>
        </w:rPr>
        <w:t xml:space="preserve">been </w:t>
      </w:r>
      <w:r w:rsidRPr="002B6B77">
        <w:rPr>
          <w:rFonts w:asciiTheme="minorBidi" w:hAnsiTheme="minorBidi"/>
          <w:sz w:val="24"/>
          <w:szCs w:val="24"/>
        </w:rPr>
        <w:t>closed in the first phase</w:t>
      </w:r>
      <w:r>
        <w:rPr>
          <w:rFonts w:asciiTheme="minorBidi" w:hAnsiTheme="minorBidi"/>
          <w:sz w:val="24"/>
          <w:szCs w:val="24"/>
        </w:rPr>
        <w:t>,</w:t>
      </w:r>
      <w:r w:rsidRPr="002B6B77">
        <w:rPr>
          <w:rFonts w:asciiTheme="minorBidi" w:hAnsiTheme="minorBidi"/>
          <w:sz w:val="24"/>
          <w:szCs w:val="24"/>
        </w:rPr>
        <w:t xml:space="preserve"> after </w:t>
      </w:r>
      <w:r>
        <w:rPr>
          <w:rFonts w:asciiTheme="minorBidi" w:hAnsiTheme="minorBidi"/>
          <w:sz w:val="24"/>
          <w:szCs w:val="24"/>
        </w:rPr>
        <w:t xml:space="preserve">which </w:t>
      </w:r>
      <w:r w:rsidRPr="002B6B77">
        <w:rPr>
          <w:rFonts w:asciiTheme="minorBidi" w:hAnsiTheme="minorBidi"/>
          <w:sz w:val="24"/>
          <w:szCs w:val="24"/>
        </w:rPr>
        <w:t xml:space="preserve">the pharmacists were relocated. The possibility is that </w:t>
      </w:r>
      <w:r>
        <w:rPr>
          <w:rFonts w:asciiTheme="minorBidi" w:hAnsiTheme="minorBidi"/>
          <w:sz w:val="24"/>
          <w:szCs w:val="24"/>
        </w:rPr>
        <w:t xml:space="preserve">the survey </w:t>
      </w:r>
      <w:r w:rsidRPr="002B6B77">
        <w:rPr>
          <w:rFonts w:asciiTheme="minorBidi" w:hAnsiTheme="minorBidi"/>
          <w:sz w:val="24"/>
          <w:szCs w:val="24"/>
        </w:rPr>
        <w:t xml:space="preserve">respondents </w:t>
      </w:r>
      <w:r>
        <w:rPr>
          <w:rFonts w:asciiTheme="minorBidi" w:hAnsiTheme="minorBidi"/>
          <w:sz w:val="24"/>
          <w:szCs w:val="24"/>
        </w:rPr>
        <w:t xml:space="preserve">therefore </w:t>
      </w:r>
      <w:r w:rsidRPr="002B6B77">
        <w:rPr>
          <w:rFonts w:asciiTheme="minorBidi" w:hAnsiTheme="minorBidi"/>
          <w:sz w:val="24"/>
          <w:szCs w:val="24"/>
        </w:rPr>
        <w:t>had a positive perception of this shift in pharmacy service</w:t>
      </w:r>
      <w:r>
        <w:rPr>
          <w:rFonts w:asciiTheme="minorBidi" w:hAnsiTheme="minorBidi"/>
          <w:sz w:val="24"/>
          <w:szCs w:val="24"/>
        </w:rPr>
        <w:t>s</w:t>
      </w:r>
      <w:r w:rsidRPr="002B6B77">
        <w:rPr>
          <w:rFonts w:asciiTheme="minorBidi" w:hAnsiTheme="minorBidi"/>
          <w:sz w:val="24"/>
          <w:szCs w:val="24"/>
        </w:rPr>
        <w:t xml:space="preserve">, but </w:t>
      </w:r>
      <w:r>
        <w:rPr>
          <w:rFonts w:asciiTheme="minorBidi" w:hAnsiTheme="minorBidi"/>
          <w:sz w:val="24"/>
          <w:szCs w:val="24"/>
        </w:rPr>
        <w:t>dur</w:t>
      </w:r>
      <w:r w:rsidRPr="002B6B77">
        <w:rPr>
          <w:rFonts w:asciiTheme="minorBidi" w:hAnsiTheme="minorBidi"/>
          <w:sz w:val="24"/>
          <w:szCs w:val="24"/>
        </w:rPr>
        <w:t xml:space="preserve">ing the second phase, participants </w:t>
      </w:r>
      <w:r>
        <w:rPr>
          <w:rFonts w:asciiTheme="minorBidi" w:hAnsiTheme="minorBidi"/>
          <w:sz w:val="24"/>
          <w:szCs w:val="24"/>
        </w:rPr>
        <w:t xml:space="preserve">were </w:t>
      </w:r>
      <w:r w:rsidRPr="002B6B77">
        <w:rPr>
          <w:rFonts w:asciiTheme="minorBidi" w:hAnsiTheme="minorBidi"/>
          <w:sz w:val="24"/>
          <w:szCs w:val="24"/>
        </w:rPr>
        <w:t>experienc</w:t>
      </w:r>
      <w:r>
        <w:rPr>
          <w:rFonts w:asciiTheme="minorBidi" w:hAnsiTheme="minorBidi"/>
          <w:sz w:val="24"/>
          <w:szCs w:val="24"/>
        </w:rPr>
        <w:t>ing</w:t>
      </w:r>
      <w:r w:rsidRPr="002B6B77">
        <w:rPr>
          <w:rFonts w:asciiTheme="minorBidi" w:hAnsiTheme="minorBidi"/>
          <w:sz w:val="24"/>
          <w:szCs w:val="24"/>
        </w:rPr>
        <w:t xml:space="preserve"> the impact of this change and the gap left by pharmacists in their practices. For this</w:t>
      </w:r>
      <w:r>
        <w:rPr>
          <w:rFonts w:asciiTheme="minorBidi" w:hAnsiTheme="minorBidi"/>
          <w:sz w:val="24"/>
          <w:szCs w:val="24"/>
        </w:rPr>
        <w:t xml:space="preserve"> reason</w:t>
      </w:r>
      <w:r w:rsidRPr="002B6B77">
        <w:rPr>
          <w:rFonts w:asciiTheme="minorBidi" w:hAnsiTheme="minorBidi"/>
          <w:sz w:val="24"/>
          <w:szCs w:val="24"/>
        </w:rPr>
        <w:t xml:space="preserve">, they demanded the return of pharmacists to PHCs. Another possible explanation is that participants may </w:t>
      </w:r>
      <w:r>
        <w:rPr>
          <w:rFonts w:asciiTheme="minorBidi" w:hAnsiTheme="minorBidi"/>
          <w:sz w:val="24"/>
          <w:szCs w:val="24"/>
        </w:rPr>
        <w:t xml:space="preserve">have </w:t>
      </w:r>
      <w:r w:rsidRPr="002B6B77">
        <w:rPr>
          <w:rFonts w:asciiTheme="minorBidi" w:hAnsiTheme="minorBidi"/>
          <w:sz w:val="24"/>
          <w:szCs w:val="24"/>
        </w:rPr>
        <w:t>perceive</w:t>
      </w:r>
      <w:r>
        <w:rPr>
          <w:rFonts w:asciiTheme="minorBidi" w:hAnsiTheme="minorBidi"/>
          <w:sz w:val="24"/>
          <w:szCs w:val="24"/>
        </w:rPr>
        <w:t>d</w:t>
      </w:r>
      <w:r w:rsidRPr="002B6B77">
        <w:rPr>
          <w:rFonts w:asciiTheme="minorBidi" w:hAnsiTheme="minorBidi"/>
          <w:sz w:val="24"/>
          <w:szCs w:val="24"/>
        </w:rPr>
        <w:t xml:space="preserve"> pharmacists </w:t>
      </w:r>
      <w:r>
        <w:rPr>
          <w:rFonts w:asciiTheme="minorBidi" w:hAnsiTheme="minorBidi"/>
          <w:sz w:val="24"/>
          <w:szCs w:val="24"/>
        </w:rPr>
        <w:t xml:space="preserve">as </w:t>
      </w:r>
      <w:r w:rsidRPr="002B6B77">
        <w:rPr>
          <w:rFonts w:asciiTheme="minorBidi" w:hAnsiTheme="minorBidi"/>
          <w:sz w:val="24"/>
          <w:szCs w:val="24"/>
        </w:rPr>
        <w:t>needing more training to provide clinical services, as they are not accustomed to providing such advanced services. Training takes time, so participants agreed that pharmacists would be more involved in the future</w:t>
      </w:r>
      <w:r>
        <w:rPr>
          <w:rFonts w:asciiTheme="minorBidi" w:hAnsiTheme="minorBidi"/>
          <w:sz w:val="24"/>
          <w:szCs w:val="24"/>
        </w:rPr>
        <w:t>, when</w:t>
      </w:r>
      <w:r w:rsidRPr="002B6B77">
        <w:rPr>
          <w:rFonts w:asciiTheme="minorBidi" w:hAnsiTheme="minorBidi"/>
          <w:sz w:val="24"/>
          <w:szCs w:val="24"/>
        </w:rPr>
        <w:t xml:space="preserve"> they </w:t>
      </w:r>
      <w:r>
        <w:rPr>
          <w:rFonts w:asciiTheme="minorBidi" w:hAnsiTheme="minorBidi"/>
          <w:sz w:val="24"/>
          <w:szCs w:val="24"/>
        </w:rPr>
        <w:t xml:space="preserve">will </w:t>
      </w:r>
      <w:r w:rsidRPr="002B6B77">
        <w:rPr>
          <w:rFonts w:asciiTheme="minorBidi" w:hAnsiTheme="minorBidi"/>
          <w:sz w:val="24"/>
          <w:szCs w:val="24"/>
        </w:rPr>
        <w:t>ha</w:t>
      </w:r>
      <w:r>
        <w:rPr>
          <w:rFonts w:asciiTheme="minorBidi" w:hAnsiTheme="minorBidi"/>
          <w:sz w:val="24"/>
          <w:szCs w:val="24"/>
        </w:rPr>
        <w:t>ve</w:t>
      </w:r>
      <w:r w:rsidRPr="002B6B77">
        <w:rPr>
          <w:rFonts w:asciiTheme="minorBidi" w:hAnsiTheme="minorBidi"/>
          <w:sz w:val="24"/>
          <w:szCs w:val="24"/>
        </w:rPr>
        <w:t xml:space="preserve"> been prepared for the new roles.</w:t>
      </w:r>
      <w:r>
        <w:rPr>
          <w:rFonts w:asciiTheme="minorBidi" w:hAnsiTheme="minorBidi"/>
          <w:sz w:val="24"/>
          <w:szCs w:val="24"/>
        </w:rPr>
        <w:t xml:space="preserve"> </w:t>
      </w:r>
      <w:r w:rsidRPr="001D7E9D">
        <w:rPr>
          <w:rFonts w:asciiTheme="minorBidi" w:hAnsiTheme="minorBidi"/>
          <w:sz w:val="24"/>
          <w:szCs w:val="24"/>
        </w:rPr>
        <w:t xml:space="preserve">It is also important to keep in mind potential bias in the responses of those interviewees because they might </w:t>
      </w:r>
      <w:r>
        <w:rPr>
          <w:rFonts w:asciiTheme="minorBidi" w:hAnsiTheme="minorBidi"/>
          <w:sz w:val="24"/>
          <w:szCs w:val="24"/>
        </w:rPr>
        <w:t xml:space="preserve">have been trying to </w:t>
      </w:r>
      <w:r w:rsidRPr="001D7E9D">
        <w:rPr>
          <w:rFonts w:asciiTheme="minorBidi" w:hAnsiTheme="minorBidi"/>
          <w:sz w:val="24"/>
          <w:szCs w:val="24"/>
        </w:rPr>
        <w:t>provide desirable answers to the researcher</w:t>
      </w:r>
      <w:r>
        <w:rPr>
          <w:rFonts w:asciiTheme="minorBidi" w:hAnsiTheme="minorBidi"/>
          <w:sz w:val="24"/>
          <w:szCs w:val="24"/>
        </w:rPr>
        <w:t>.</w:t>
      </w:r>
    </w:p>
    <w:p w14:paraId="113C71C2" w14:textId="77777777" w:rsidR="00F04DC3" w:rsidRPr="003615A8" w:rsidRDefault="00F04DC3" w:rsidP="00F04DC3">
      <w:pPr>
        <w:spacing w:before="240" w:line="360" w:lineRule="auto"/>
        <w:jc w:val="both"/>
        <w:rPr>
          <w:rFonts w:asciiTheme="minorBidi" w:hAnsiTheme="minorBidi"/>
          <w:sz w:val="24"/>
          <w:szCs w:val="24"/>
        </w:rPr>
      </w:pPr>
      <w:r w:rsidRPr="003615A8">
        <w:rPr>
          <w:rFonts w:asciiTheme="minorBidi" w:hAnsiTheme="minorBidi"/>
          <w:sz w:val="24"/>
          <w:szCs w:val="24"/>
        </w:rPr>
        <w:t xml:space="preserve">The current study reveals that participants' demographics, such as professional role (practice qualification) and years of experience </w:t>
      </w:r>
      <w:r>
        <w:rPr>
          <w:rFonts w:asciiTheme="minorBidi" w:hAnsiTheme="minorBidi"/>
          <w:sz w:val="24"/>
          <w:szCs w:val="24"/>
        </w:rPr>
        <w:t xml:space="preserve">had an </w:t>
      </w:r>
      <w:r w:rsidRPr="003615A8">
        <w:rPr>
          <w:rFonts w:asciiTheme="minorBidi" w:hAnsiTheme="minorBidi"/>
          <w:sz w:val="24"/>
          <w:szCs w:val="24"/>
        </w:rPr>
        <w:t xml:space="preserve">effect on their perceptions and expectations of pharmacists' roles in diabetes management. </w:t>
      </w:r>
      <w:r>
        <w:rPr>
          <w:rFonts w:asciiTheme="minorBidi" w:hAnsiTheme="minorBidi"/>
          <w:sz w:val="24"/>
          <w:szCs w:val="24"/>
        </w:rPr>
        <w:t>HCPs</w:t>
      </w:r>
      <w:r w:rsidRPr="003615A8">
        <w:rPr>
          <w:rFonts w:asciiTheme="minorBidi" w:hAnsiTheme="minorBidi"/>
          <w:sz w:val="24"/>
          <w:szCs w:val="24"/>
        </w:rPr>
        <w:t xml:space="preserve"> with many years of experience working with pharmacists were more confident in the pharmacist's role in patient care than less experienced health professionals. This result indicates a lack of awareness of the pharmacist's role in patient management among junior professionals; therefore, there may be a need to revise the concept of interprofessional teamwork in the academic curricula of physicians and other health professional disciplines. However, these results must be interpreted with caution because approximately 65% of the survey respondents and 90% of interviewees had more than ten years of experience as primary healthcare providers.</w:t>
      </w:r>
    </w:p>
    <w:p w14:paraId="56E4D7BF" w14:textId="77777777" w:rsidR="00F04DC3" w:rsidRDefault="00F04DC3" w:rsidP="00F04DC3">
      <w:pPr>
        <w:spacing w:line="360" w:lineRule="auto"/>
        <w:jc w:val="both"/>
        <w:rPr>
          <w:rFonts w:asciiTheme="minorBidi" w:hAnsiTheme="minorBidi"/>
          <w:sz w:val="24"/>
          <w:szCs w:val="24"/>
        </w:rPr>
      </w:pPr>
      <w:r w:rsidRPr="009A3C7D">
        <w:rPr>
          <w:rFonts w:asciiTheme="minorBidi" w:hAnsiTheme="minorBidi"/>
          <w:sz w:val="24"/>
          <w:szCs w:val="24"/>
        </w:rPr>
        <w:t xml:space="preserve">In this study, </w:t>
      </w:r>
      <w:r>
        <w:rPr>
          <w:rFonts w:asciiTheme="minorBidi" w:hAnsiTheme="minorBidi"/>
          <w:sz w:val="24"/>
          <w:szCs w:val="24"/>
        </w:rPr>
        <w:t>HCPs</w:t>
      </w:r>
      <w:r w:rsidRPr="009A3C7D">
        <w:rPr>
          <w:rFonts w:asciiTheme="minorBidi" w:hAnsiTheme="minorBidi"/>
          <w:sz w:val="24"/>
          <w:szCs w:val="24"/>
        </w:rPr>
        <w:t xml:space="preserve"> were positive about the roles of pharmacists</w:t>
      </w:r>
      <w:r>
        <w:rPr>
          <w:rFonts w:asciiTheme="minorBidi" w:hAnsiTheme="minorBidi"/>
          <w:sz w:val="24"/>
          <w:szCs w:val="24"/>
        </w:rPr>
        <w:t xml:space="preserve"> in diabetes management</w:t>
      </w:r>
      <w:r w:rsidRPr="009A3C7D">
        <w:rPr>
          <w:rFonts w:asciiTheme="minorBidi" w:hAnsiTheme="minorBidi"/>
          <w:sz w:val="24"/>
          <w:szCs w:val="24"/>
        </w:rPr>
        <w:t xml:space="preserve">. The majority of participants agreed </w:t>
      </w:r>
      <w:r>
        <w:rPr>
          <w:rFonts w:asciiTheme="minorBidi" w:hAnsiTheme="minorBidi"/>
          <w:sz w:val="24"/>
          <w:szCs w:val="24"/>
        </w:rPr>
        <w:t>on all potential roles suggested in this research (</w:t>
      </w:r>
      <w:r w:rsidRPr="003C7243">
        <w:rPr>
          <w:rFonts w:asciiTheme="minorBidi" w:hAnsiTheme="minorBidi"/>
          <w:sz w:val="24"/>
          <w:szCs w:val="24"/>
        </w:rPr>
        <w:t>medication therapy management</w:t>
      </w:r>
      <w:r>
        <w:rPr>
          <w:rFonts w:asciiTheme="minorBidi" w:hAnsiTheme="minorBidi"/>
          <w:sz w:val="24"/>
          <w:szCs w:val="24"/>
        </w:rPr>
        <w:t xml:space="preserve">, medication review, </w:t>
      </w:r>
      <w:r w:rsidRPr="003C7243">
        <w:rPr>
          <w:rFonts w:asciiTheme="minorBidi" w:hAnsiTheme="minorBidi"/>
          <w:sz w:val="24"/>
          <w:szCs w:val="24"/>
        </w:rPr>
        <w:t>co-morbid disease education,</w:t>
      </w:r>
      <w:r>
        <w:rPr>
          <w:rFonts w:asciiTheme="minorBidi" w:hAnsiTheme="minorBidi"/>
          <w:sz w:val="24"/>
          <w:szCs w:val="24"/>
        </w:rPr>
        <w:t xml:space="preserve"> </w:t>
      </w:r>
      <w:r w:rsidRPr="003C7243">
        <w:rPr>
          <w:rFonts w:asciiTheme="minorBidi" w:hAnsiTheme="minorBidi"/>
          <w:sz w:val="24"/>
          <w:szCs w:val="24"/>
        </w:rPr>
        <w:t xml:space="preserve">co-morbid disease medication management, blood glucose monitoring, hypoglycemia management, verification of prescriptions, preparing and dispensing of prescriptions, patient counselling and education, healthy lifestyle education, and dependent prescribing of diabetes medications)  </w:t>
      </w:r>
      <w:r>
        <w:rPr>
          <w:rFonts w:asciiTheme="minorBidi" w:hAnsiTheme="minorBidi"/>
          <w:sz w:val="24"/>
          <w:szCs w:val="24"/>
        </w:rPr>
        <w:t xml:space="preserve">except that related to providing authority for independent prescribing of medication. </w:t>
      </w:r>
      <w:r w:rsidRPr="005B16DA">
        <w:rPr>
          <w:rFonts w:asciiTheme="minorBidi" w:hAnsiTheme="minorBidi"/>
          <w:sz w:val="24"/>
          <w:szCs w:val="24"/>
        </w:rPr>
        <w:t>This finding was also reported by</w:t>
      </w:r>
      <w:r w:rsidRPr="00E909B2">
        <w:rPr>
          <w:rFonts w:asciiTheme="minorBidi" w:hAnsiTheme="minorBidi"/>
          <w:sz w:val="24"/>
          <w:szCs w:val="24"/>
        </w:rPr>
        <w:t> </w:t>
      </w:r>
      <w:r w:rsidRPr="00E909B2">
        <w:rPr>
          <w:rFonts w:asciiTheme="minorBidi" w:hAnsiTheme="minorBidi"/>
          <w:sz w:val="24"/>
          <w:szCs w:val="24"/>
        </w:rPr>
        <w:fldChar w:fldCharType="begin" w:fldLock="1"/>
      </w:r>
      <w:r>
        <w:rPr>
          <w:rFonts w:asciiTheme="minorBidi" w:hAnsiTheme="minorBidi"/>
          <w:sz w:val="24"/>
          <w:szCs w:val="24"/>
        </w:rPr>
        <w:instrText>ADDIN CSL_CITATION {"citationItems":[{"id":"ITEM-1","itemData":{"DOI":"10.1002/jac5.1602","author":[{"dropping-particle":"","family":"Abdullah","given":"Meshal","non-dropping-particle":"","parse-names":false,"suffix":""},{"dropping-particle":"","family":"Pharm","given":"Alnais B S","non-dropping-particle":"","parse-names":false,"suffix":""},{"dropping-particle":"","family":"Faris","given":"Ali","non-dropping-particle":"","parse-names":false,"suffix":""},{"dropping-particle":"","family":"Pharm","given":"Altebainawi","non-dropping-particle":"","parse-names":false,"suffix":""}],"container-title":"Journal of the American College of Clinical Pharmacy","id":"ITEM-1","issue":"July 2021","issued":{"date-parts":[["2022"]]},"page":"509-515","title":"Implementation of the first pharmacist-led diabetes clinic at Ministry of Health Hospitals , Saudi Arabia","type":"article-journal"},"uris":["http://www.mendeley.com/documents/?uuid=592d6c66-e6f5-41c4-818f-386fbf7e2b9b"]}],"mendeley":{"formattedCitation":"(Abdullah &lt;i&gt;et al.&lt;/i&gt;, 2022)","manualFormatting":"Abdullah et al. (2022)","plainTextFormattedCitation":"(Abdullah et al., 2022)","previouslyFormattedCitation":"(Abdullah &lt;i&gt;et al.&lt;/i&gt;, 2022)"},"properties":{"noteIndex":0},"schema":"https://github.com/citation-style-language/schema/raw/master/csl-citation.json"}</w:instrText>
      </w:r>
      <w:r w:rsidRPr="00E909B2">
        <w:rPr>
          <w:rFonts w:asciiTheme="minorBidi" w:hAnsiTheme="minorBidi"/>
          <w:sz w:val="24"/>
          <w:szCs w:val="24"/>
        </w:rPr>
        <w:fldChar w:fldCharType="separate"/>
      </w:r>
      <w:r w:rsidRPr="00E909B2">
        <w:rPr>
          <w:rFonts w:asciiTheme="minorBidi" w:hAnsiTheme="minorBidi"/>
          <w:noProof/>
          <w:sz w:val="24"/>
          <w:szCs w:val="24"/>
        </w:rPr>
        <w:t xml:space="preserve">Abdullah et al. </w:t>
      </w:r>
      <w:r>
        <w:rPr>
          <w:rFonts w:asciiTheme="minorBidi" w:hAnsiTheme="minorBidi"/>
          <w:noProof/>
          <w:sz w:val="24"/>
          <w:szCs w:val="24"/>
        </w:rPr>
        <w:t>(</w:t>
      </w:r>
      <w:r w:rsidRPr="00E909B2">
        <w:rPr>
          <w:rFonts w:asciiTheme="minorBidi" w:hAnsiTheme="minorBidi"/>
          <w:noProof/>
          <w:sz w:val="24"/>
          <w:szCs w:val="24"/>
        </w:rPr>
        <w:t>2022)</w:t>
      </w:r>
      <w:r w:rsidRPr="00E909B2">
        <w:rPr>
          <w:rFonts w:asciiTheme="minorBidi" w:hAnsiTheme="minorBidi"/>
          <w:sz w:val="24"/>
          <w:szCs w:val="24"/>
        </w:rPr>
        <w:fldChar w:fldCharType="end"/>
      </w:r>
      <w:r w:rsidRPr="00E909B2">
        <w:rPr>
          <w:rFonts w:asciiTheme="minorBidi" w:hAnsiTheme="minorBidi"/>
          <w:sz w:val="24"/>
          <w:szCs w:val="24"/>
        </w:rPr>
        <w:t xml:space="preserve">. </w:t>
      </w:r>
    </w:p>
    <w:p w14:paraId="2435A40A" w14:textId="60E32AAD" w:rsidR="00F04DC3" w:rsidRPr="0043510B" w:rsidRDefault="00F04DC3" w:rsidP="00F04DC3">
      <w:pPr>
        <w:spacing w:after="0" w:line="360" w:lineRule="auto"/>
        <w:jc w:val="both"/>
        <w:rPr>
          <w:rFonts w:asciiTheme="minorBidi" w:hAnsiTheme="minorBidi"/>
          <w:sz w:val="24"/>
          <w:szCs w:val="24"/>
          <w:shd w:val="clear" w:color="auto" w:fill="FFFFFF"/>
        </w:rPr>
      </w:pPr>
      <w:r>
        <w:rPr>
          <w:rFonts w:asciiTheme="minorBidi" w:hAnsiTheme="minorBidi"/>
          <w:sz w:val="24"/>
          <w:szCs w:val="24"/>
          <w:shd w:val="clear" w:color="auto" w:fill="FFFFFF"/>
        </w:rPr>
        <w:t>C</w:t>
      </w:r>
      <w:r w:rsidRPr="005E49D6">
        <w:rPr>
          <w:rFonts w:asciiTheme="minorBidi" w:hAnsiTheme="minorBidi"/>
          <w:sz w:val="24"/>
          <w:szCs w:val="24"/>
          <w:shd w:val="clear" w:color="auto" w:fill="FFFFFF"/>
        </w:rPr>
        <w:t>oncerns regarding the prescribing role were more widespread among doctors</w:t>
      </w:r>
      <w:r>
        <w:rPr>
          <w:rFonts w:asciiTheme="minorBidi" w:hAnsiTheme="minorBidi"/>
          <w:sz w:val="24"/>
          <w:szCs w:val="24"/>
          <w:shd w:val="clear" w:color="auto" w:fill="FFFFFF"/>
        </w:rPr>
        <w:t>; a</w:t>
      </w:r>
      <w:r w:rsidRPr="005E49D6">
        <w:rPr>
          <w:rFonts w:asciiTheme="minorBidi" w:hAnsiTheme="minorBidi"/>
          <w:sz w:val="24"/>
          <w:szCs w:val="24"/>
          <w:shd w:val="clear" w:color="auto" w:fill="FFFFFF"/>
        </w:rPr>
        <w:t xml:space="preserve">bout 70% of doctors </w:t>
      </w:r>
      <w:r>
        <w:rPr>
          <w:rFonts w:asciiTheme="minorBidi" w:hAnsiTheme="minorBidi"/>
          <w:sz w:val="24"/>
          <w:szCs w:val="24"/>
          <w:shd w:val="clear" w:color="auto" w:fill="FFFFFF"/>
        </w:rPr>
        <w:t xml:space="preserve">in our sample </w:t>
      </w:r>
      <w:r w:rsidRPr="005E49D6">
        <w:rPr>
          <w:rFonts w:asciiTheme="minorBidi" w:hAnsiTheme="minorBidi"/>
          <w:sz w:val="24"/>
          <w:szCs w:val="24"/>
          <w:shd w:val="clear" w:color="auto" w:fill="FFFFFF"/>
        </w:rPr>
        <w:t>disagreed with pharmacists</w:t>
      </w:r>
      <w:r>
        <w:rPr>
          <w:rFonts w:asciiTheme="minorBidi" w:hAnsiTheme="minorBidi"/>
          <w:sz w:val="24"/>
          <w:szCs w:val="24"/>
          <w:shd w:val="clear" w:color="auto" w:fill="FFFFFF"/>
        </w:rPr>
        <w:t xml:space="preserve"> having an</w:t>
      </w:r>
      <w:r w:rsidRPr="005E49D6">
        <w:rPr>
          <w:rFonts w:asciiTheme="minorBidi" w:hAnsiTheme="minorBidi"/>
          <w:sz w:val="24"/>
          <w:szCs w:val="24"/>
          <w:shd w:val="clear" w:color="auto" w:fill="FFFFFF"/>
        </w:rPr>
        <w:t xml:space="preserve"> independent prescribing role, whether currently or in the future; in contrast, more than 70% of nurses agreed or strongly agreed. </w:t>
      </w:r>
      <w:r>
        <w:rPr>
          <w:rFonts w:asciiTheme="minorBidi" w:hAnsiTheme="minorBidi"/>
          <w:sz w:val="24"/>
          <w:szCs w:val="24"/>
          <w:shd w:val="clear" w:color="auto" w:fill="FFFFFF"/>
        </w:rPr>
        <w:t>Meanwhile, t</w:t>
      </w:r>
      <w:r w:rsidRPr="005E49D6">
        <w:rPr>
          <w:rFonts w:asciiTheme="minorBidi" w:hAnsiTheme="minorBidi"/>
          <w:sz w:val="24"/>
          <w:szCs w:val="24"/>
          <w:shd w:val="clear" w:color="auto" w:fill="FFFFFF"/>
        </w:rPr>
        <w:t xml:space="preserve">he level of agreement among pharmacists on this role was 50%. </w:t>
      </w:r>
      <w:r w:rsidRPr="004327C5">
        <w:rPr>
          <w:rFonts w:asciiTheme="minorBidi" w:hAnsiTheme="minorBidi"/>
          <w:sz w:val="24"/>
          <w:szCs w:val="24"/>
          <w:shd w:val="clear" w:color="auto" w:fill="FFFFFF"/>
        </w:rPr>
        <w:t>Previous studies have also reported doctors</w:t>
      </w:r>
      <w:r>
        <w:rPr>
          <w:rFonts w:asciiTheme="minorBidi" w:hAnsiTheme="minorBidi"/>
          <w:sz w:val="24"/>
          <w:szCs w:val="24"/>
          <w:shd w:val="clear" w:color="auto" w:fill="FFFFFF"/>
        </w:rPr>
        <w:t>’</w:t>
      </w:r>
      <w:r w:rsidRPr="004327C5">
        <w:rPr>
          <w:rFonts w:asciiTheme="minorBidi" w:hAnsiTheme="minorBidi"/>
          <w:sz w:val="24"/>
          <w:szCs w:val="24"/>
          <w:shd w:val="clear" w:color="auto" w:fill="FFFFFF"/>
        </w:rPr>
        <w:t xml:space="preserve"> reluctan</w:t>
      </w:r>
      <w:r>
        <w:rPr>
          <w:rFonts w:asciiTheme="minorBidi" w:hAnsiTheme="minorBidi"/>
          <w:sz w:val="24"/>
          <w:szCs w:val="24"/>
          <w:shd w:val="clear" w:color="auto" w:fill="FFFFFF"/>
        </w:rPr>
        <w:t>ce</w:t>
      </w:r>
      <w:r w:rsidRPr="004327C5">
        <w:rPr>
          <w:rFonts w:asciiTheme="minorBidi" w:hAnsiTheme="minorBidi"/>
          <w:sz w:val="24"/>
          <w:szCs w:val="24"/>
          <w:shd w:val="clear" w:color="auto" w:fill="FFFFFF"/>
        </w:rPr>
        <w:t xml:space="preserve"> to</w:t>
      </w:r>
      <w:r>
        <w:rPr>
          <w:rFonts w:asciiTheme="minorBidi" w:hAnsiTheme="minorBidi"/>
          <w:sz w:val="24"/>
          <w:szCs w:val="24"/>
          <w:shd w:val="clear" w:color="auto" w:fill="FFFFFF"/>
        </w:rPr>
        <w:t>ward</w:t>
      </w:r>
      <w:r w:rsidRPr="004327C5">
        <w:rPr>
          <w:rFonts w:asciiTheme="minorBidi" w:hAnsiTheme="minorBidi"/>
          <w:sz w:val="24"/>
          <w:szCs w:val="24"/>
          <w:shd w:val="clear" w:color="auto" w:fill="FFFFFF"/>
        </w:rPr>
        <w:t xml:space="preserve"> pharmacists</w:t>
      </w:r>
      <w:r>
        <w:rPr>
          <w:rFonts w:asciiTheme="minorBidi" w:hAnsiTheme="minorBidi"/>
          <w:sz w:val="24"/>
          <w:szCs w:val="24"/>
          <w:shd w:val="clear" w:color="auto" w:fill="FFFFFF"/>
        </w:rPr>
        <w:t xml:space="preserve"> having the</w:t>
      </w:r>
      <w:r w:rsidRPr="004327C5">
        <w:rPr>
          <w:rFonts w:asciiTheme="minorBidi" w:hAnsiTheme="minorBidi"/>
          <w:sz w:val="24"/>
          <w:szCs w:val="24"/>
          <w:shd w:val="clear" w:color="auto" w:fill="FFFFFF"/>
        </w:rPr>
        <w:t xml:space="preserve"> role </w:t>
      </w:r>
      <w:r>
        <w:rPr>
          <w:rFonts w:asciiTheme="minorBidi" w:hAnsiTheme="minorBidi"/>
          <w:sz w:val="24"/>
          <w:szCs w:val="24"/>
          <w:shd w:val="clear" w:color="auto" w:fill="FFFFFF"/>
        </w:rPr>
        <w:t>of</w:t>
      </w:r>
      <w:r w:rsidRPr="004327C5">
        <w:rPr>
          <w:rFonts w:asciiTheme="minorBidi" w:hAnsiTheme="minorBidi"/>
          <w:sz w:val="24"/>
          <w:szCs w:val="24"/>
          <w:shd w:val="clear" w:color="auto" w:fill="FFFFFF"/>
        </w:rPr>
        <w:t xml:space="preserve"> independent prescriber</w:t>
      </w:r>
      <w:r>
        <w:rPr>
          <w:rFonts w:asciiTheme="minorBidi" w:hAnsiTheme="minorBidi"/>
          <w:sz w:val="24"/>
          <w:szCs w:val="24"/>
          <w:shd w:val="clear" w:color="auto" w:fill="FFFFFF"/>
        </w:rPr>
        <w:t xml:space="preserve"> </w:t>
      </w:r>
      <w:r w:rsidRPr="0043510B">
        <w:rPr>
          <w:rFonts w:asciiTheme="minorBidi" w:hAnsiTheme="minorBidi"/>
          <w:sz w:val="24"/>
          <w:szCs w:val="24"/>
          <w:shd w:val="clear" w:color="auto" w:fill="FFFFFF"/>
        </w:rPr>
        <w:fldChar w:fldCharType="begin" w:fldLock="1"/>
      </w:r>
      <w:r w:rsidRPr="0043510B">
        <w:rPr>
          <w:rFonts w:asciiTheme="minorBidi" w:hAnsiTheme="minorBidi"/>
          <w:sz w:val="24"/>
          <w:szCs w:val="24"/>
          <w:shd w:val="clear" w:color="auto" w:fill="FFFFFF"/>
        </w:rPr>
        <w:instrText>ADDIN CSL_CITATION {"citationItems":[{"id":"ITEM-1","itemData":{"ISBN":"1596-5996\\r1596-9827","author":[{"dropping-particle":"","family":"Khan T.M.","given":"Shahzad C.M.","non-dropping-particle":"","parse-names":false,"suffix":""}],"container-title":"Tropical Journal of Pharmaceutical Research","id":"ITEM-1","issue":"September 2011","issued":{"date-parts":[["2012"]]},"page":"477-483","title":"Attitudes of emergency department staff towards the role of clinical","type":"article-journal","volume":"11"},"uris":["http://www.mendeley.com/documents/?uuid=111acf41-e6ba-419e-83a8-c3df8d2b5a1d"]}],"mendeley":{"formattedCitation":"(Khan T.M., 2012)","manualFormatting":"(Khan T.M., 2012","plainTextFormattedCitation":"(Khan T.M., 2012)","previouslyFormattedCitation":"(Khan T.M., 2012)"},"properties":{"noteIndex":0},"schema":"https://github.com/citation-style-language/schema/raw/master/csl-citation.json"}</w:instrText>
      </w:r>
      <w:r w:rsidRPr="0043510B">
        <w:rPr>
          <w:rFonts w:asciiTheme="minorBidi" w:hAnsiTheme="minorBidi"/>
          <w:sz w:val="24"/>
          <w:szCs w:val="24"/>
          <w:shd w:val="clear" w:color="auto" w:fill="FFFFFF"/>
        </w:rPr>
        <w:fldChar w:fldCharType="separate"/>
      </w:r>
      <w:r w:rsidRPr="0043510B">
        <w:rPr>
          <w:rFonts w:asciiTheme="minorBidi" w:hAnsiTheme="minorBidi"/>
          <w:noProof/>
          <w:sz w:val="24"/>
          <w:szCs w:val="24"/>
          <w:shd w:val="clear" w:color="auto" w:fill="FFFFFF"/>
        </w:rPr>
        <w:t>(Khan T.M., 2012</w:t>
      </w:r>
      <w:r w:rsidRPr="0043510B">
        <w:rPr>
          <w:rFonts w:asciiTheme="minorBidi" w:hAnsiTheme="minorBidi"/>
          <w:sz w:val="24"/>
          <w:szCs w:val="24"/>
          <w:shd w:val="clear" w:color="auto" w:fill="FFFFFF"/>
        </w:rPr>
        <w:fldChar w:fldCharType="end"/>
      </w:r>
      <w:r w:rsidRPr="0043510B">
        <w:rPr>
          <w:rFonts w:asciiTheme="minorBidi" w:hAnsiTheme="minorBidi"/>
          <w:sz w:val="24"/>
          <w:szCs w:val="24"/>
          <w:shd w:val="clear" w:color="auto" w:fill="FFFFFF"/>
        </w:rPr>
        <w:t xml:space="preserve">; </w:t>
      </w:r>
      <w:r w:rsidRPr="0043510B">
        <w:rPr>
          <w:rFonts w:asciiTheme="minorBidi" w:hAnsiTheme="minorBidi"/>
          <w:sz w:val="24"/>
          <w:szCs w:val="24"/>
          <w:shd w:val="clear" w:color="auto" w:fill="FFFFFF"/>
        </w:rPr>
        <w:fldChar w:fldCharType="begin" w:fldLock="1"/>
      </w:r>
      <w:r w:rsidRPr="0043510B">
        <w:rPr>
          <w:rFonts w:asciiTheme="minorBidi" w:hAnsiTheme="minorBidi"/>
          <w:sz w:val="24"/>
          <w:szCs w:val="24"/>
          <w:shd w:val="clear" w:color="auto" w:fill="FFFFFF"/>
        </w:rPr>
        <w:instrText>ADDIN CSL_CITATION {"citationItems":[{"id":"ITEM-1","itemData":{"DOI":"10.1136/bmjopen-2017-019237","author":[{"dropping-particle":"","family":"Alipour","given":"Fatemeh","non-dropping-particle":"","parse-names":false,"suffix":""},{"dropping-particle":"","family":"Peiravian","given":"Farzad","non-dropping-particle":"","parse-names":false,"suffix":""},{"dropping-particle":"","family":"Mehralian","given":"Gholamhossein","non-dropping-particle":"","parse-names":false,"suffix":""}],"id":"ITEM-1","issued":{"date-parts":[["2018"]]},"title":"Perceptions , experiences and expectations of physicians regarding the role of pharmacists in low-income and middle-income countries : the case of Tehran hospital settings","type":"article-journal"},"uris":["http://www.mendeley.com/documents/?uuid=68f5004c-0134-4b12-bcaf-5f0fcc4e1dc9"]}],"mendeley":{"formattedCitation":"(Alipour, Peiravian and Mehralian, 2018)","manualFormatting":"Alipour, Peiravian and Mehralian, 2018","plainTextFormattedCitation":"(Alipour, Peiravian and Mehralian, 2018)","previouslyFormattedCitation":"(Alipour, Peiravian and Mehralian, 2018)"},"properties":{"noteIndex":0},"schema":"https://github.com/citation-style-language/schema/raw/master/csl-citation.json"}</w:instrText>
      </w:r>
      <w:r w:rsidRPr="0043510B">
        <w:rPr>
          <w:rFonts w:asciiTheme="minorBidi" w:hAnsiTheme="minorBidi"/>
          <w:sz w:val="24"/>
          <w:szCs w:val="24"/>
          <w:shd w:val="clear" w:color="auto" w:fill="FFFFFF"/>
        </w:rPr>
        <w:fldChar w:fldCharType="separate"/>
      </w:r>
      <w:r w:rsidRPr="0043510B">
        <w:rPr>
          <w:rFonts w:asciiTheme="minorBidi" w:hAnsiTheme="minorBidi"/>
          <w:noProof/>
          <w:sz w:val="24"/>
          <w:szCs w:val="24"/>
          <w:shd w:val="clear" w:color="auto" w:fill="FFFFFF"/>
        </w:rPr>
        <w:t>Alipour, Peiravian and Mehralian, 2018</w:t>
      </w:r>
      <w:r w:rsidRPr="0043510B">
        <w:rPr>
          <w:rFonts w:asciiTheme="minorBidi" w:hAnsiTheme="minorBidi"/>
          <w:sz w:val="24"/>
          <w:szCs w:val="24"/>
          <w:shd w:val="clear" w:color="auto" w:fill="FFFFFF"/>
        </w:rPr>
        <w:fldChar w:fldCharType="end"/>
      </w:r>
      <w:r w:rsidRPr="0043510B">
        <w:rPr>
          <w:rFonts w:asciiTheme="minorBidi" w:hAnsiTheme="minorBidi"/>
          <w:sz w:val="24"/>
          <w:szCs w:val="24"/>
          <w:shd w:val="clear" w:color="auto" w:fill="FFFFFF"/>
        </w:rPr>
        <w:t xml:space="preserve">; </w:t>
      </w:r>
      <w:r w:rsidRPr="0043510B">
        <w:rPr>
          <w:rFonts w:asciiTheme="minorBidi" w:hAnsiTheme="minorBidi"/>
          <w:sz w:val="24"/>
          <w:szCs w:val="24"/>
          <w:shd w:val="clear" w:color="auto" w:fill="FFFFFF"/>
        </w:rPr>
        <w:fldChar w:fldCharType="begin" w:fldLock="1"/>
      </w:r>
      <w:r w:rsidR="00310DAC" w:rsidRPr="0043510B">
        <w:rPr>
          <w:rFonts w:asciiTheme="minorBidi" w:hAnsiTheme="minorBidi"/>
          <w:sz w:val="24"/>
          <w:szCs w:val="24"/>
          <w:shd w:val="clear" w:color="auto" w:fill="FFFFFF"/>
        </w:rPr>
        <w:instrText>ADDIN CSL_CITATION {"citationItems":[{"id":"ITEM-1","itemData":{"DOI":"10.3390/pharmacy8030160","ISSN":"2226-4787","abstract":"Pharmacist prescribing is being increasingly undertaken to better use their skills and reduce the workload of existing prescribers such as doctors, often using formal processes to legitimate these activities. In developing countries like Saudi Arabia, however, pharmacists’ prescribing remains informal with no legislation or formal training and there is a lack of research and understanding into such practices. Therefore, we aimed to describe current pharmacist prescribing practices in Saudi Arabia and explore pharmacists’ views about pharmacists’ prescribing. This is a cross-sectional survey study using an online questionnaire of hospital pharmacists in Saudi Arabia about pharmacists’ prescribing, and associated views about prescribing legislation and barriers to implementing pharmacist prescribing. Over a quarter (28.5%) of pharmacists reported themselves as prescribers, 49% were following a collaborative prescribing model, 18% independent prescribing, and 33% were doing both. Ninety percent of prescribers reported confidence in prescribing the appropriate treatment and 92.3% perceived they will benefit from more prescribing training. Healthcare practice culture and pharmacist’s competency were identified as barriers. There is an overall support for pharmacists’ prescribing in Saudi Arabia among this sample of hospital pharmacists, with limitations in resources and the absence of standardized prescribing training being perceived as key barriers to pharmacists’ prescribing.","author":[{"dropping-particle":"","family":"Ajabnoor","given":"Alyaa M.","non-dropping-particle":"","parse-names":false,"suffix":""},{"dropping-particle":"","family":"Cooper","given":"Richard J.","non-dropping-particle":"","parse-names":false,"suffix":""}],"container-title":"Pharmacy","id":"ITEM-1","issue":"3","issued":{"date-parts":[["2020"]]},"page":"160","title":"Pharmacists’ Prescribing in Saudi Arabia: Cross-Sectional Study Describing Current Practices and Future Perspectives","type":"article-journal","volume":"8"},"uris":["http://www.mendeley.com/documents/?uuid=1455d33e-13ab-4465-9fdd-c6c8972f123e"]}],"mendeley":{"formattedCitation":"(Ajabnoor and Cooper, 2020)","manualFormatting":"Ajabnoor and Cooper, 2020;","plainTextFormattedCitation":"(Ajabnoor and Cooper, 2020)","previouslyFormattedCitation":"(Ajabnoor and Cooper, 2020)"},"properties":{"noteIndex":0},"schema":"https://github.com/citation-style-language/schema/raw/master/csl-citation.json"}</w:instrText>
      </w:r>
      <w:r w:rsidRPr="0043510B">
        <w:rPr>
          <w:rFonts w:asciiTheme="minorBidi" w:hAnsiTheme="minorBidi"/>
          <w:sz w:val="24"/>
          <w:szCs w:val="24"/>
          <w:shd w:val="clear" w:color="auto" w:fill="FFFFFF"/>
        </w:rPr>
        <w:fldChar w:fldCharType="separate"/>
      </w:r>
      <w:r w:rsidRPr="0043510B">
        <w:rPr>
          <w:rFonts w:asciiTheme="minorBidi" w:hAnsiTheme="minorBidi"/>
          <w:noProof/>
          <w:sz w:val="24"/>
          <w:szCs w:val="24"/>
          <w:shd w:val="clear" w:color="auto" w:fill="FFFFFF"/>
        </w:rPr>
        <w:t>Ajabnoor and Cooper, 2020;</w:t>
      </w:r>
      <w:r w:rsidRPr="0043510B">
        <w:rPr>
          <w:rFonts w:asciiTheme="minorBidi" w:hAnsiTheme="minorBidi"/>
          <w:sz w:val="24"/>
          <w:szCs w:val="24"/>
          <w:shd w:val="clear" w:color="auto" w:fill="FFFFFF"/>
        </w:rPr>
        <w:fldChar w:fldCharType="end"/>
      </w:r>
      <w:r w:rsidR="003A315D" w:rsidRPr="0043510B">
        <w:rPr>
          <w:rFonts w:asciiTheme="minorBidi" w:hAnsiTheme="minorBidi"/>
          <w:sz w:val="24"/>
          <w:szCs w:val="24"/>
          <w:shd w:val="clear" w:color="auto" w:fill="FFFFFF"/>
        </w:rPr>
        <w:t xml:space="preserve"> </w:t>
      </w:r>
      <w:r w:rsidRPr="0043510B">
        <w:rPr>
          <w:rFonts w:asciiTheme="minorBidi" w:hAnsiTheme="minorBidi"/>
          <w:sz w:val="24"/>
          <w:szCs w:val="24"/>
          <w:shd w:val="clear" w:color="auto" w:fill="FFFFFF"/>
        </w:rPr>
        <w:fldChar w:fldCharType="begin" w:fldLock="1"/>
      </w:r>
      <w:r w:rsidR="00310DAC" w:rsidRPr="0043510B">
        <w:rPr>
          <w:rFonts w:asciiTheme="minorBidi" w:hAnsiTheme="minorBidi"/>
          <w:sz w:val="24"/>
          <w:szCs w:val="24"/>
          <w:shd w:val="clear" w:color="auto" w:fill="FFFFFF"/>
        </w:rPr>
        <w:instrText>ADDIN CSL_CITATION {"citationItems":[{"id":"ITEM-1","itemData":{"DOI":"10.3399/bjgp20X708197","ISSN":"14785242","PMID":"32041767","abstract":"Background Many UK GP practices now employ a practice pharmacist, but little is known about how GPs and pharmacists work together to optimise medications for complex patients with multimorbidity. Aim To explore GP and pharmacist perspectives on collaborative working within the context of optimising medications for patients with multimorbidity. Design and setting A qualitative analysis of semi-structured interviews with GPs and pharmacists working in the West of England, Northern England, and Scotland. Method Thirteen GPs and 10 pharmacists were sampled from practices enrolled in the 3D trial (a complex intervention for people with multimorbidity). Participants' views on collaborative working were explored with interviews that were audiorecorded, transcribed, and analysed thematically. Saturation of data was achieved with no new insights arising from later interviews. Results GPs from surgeries that employed a pharmacist tended to value their expertise more than GPs who had not worked with one. Three key themes were identified: resources and competing priorities; responsibility; and professional boundaries. GPs valued pharmacist recommendations that were perceived to improve patient safety, as opposed to those that were technical and unlikely to benefit the patient. Pharmacists who were not known to GPs felt undervalued and wanted feedback from the GPs about their recommendations, particularly those that were not actioned. Conclusion A good working relationship between the GP and pharmacist, where each profession understood the other's skills and expertise, was key. The importance of face-to-face meetings and feedback should be considered in future studies of interdisciplinary interventions, and by GP practices that employ pharmacists and other allied health professionals.","author":[{"dropping-particle":"","family":"Duncan","given":"Polly","non-dropping-particle":"","parse-names":false,"suffix":""},{"dropping-particle":"","family":"Ridd","given":"Matthew J.","non-dropping-particle":"","parse-names":false,"suffix":""},{"dropping-particle":"","family":"McCahon","given":"Deborah","non-dropping-particle":"","parse-names":false,"suffix":""},{"dropping-particle":"","family":"Cabral","given":"Christie","non-dropping-particle":"","parse-names":false,"suffix":""},{"dropping-particle":"","family":"Guthrie","given":"Bruce","non-dropping-particle":"","parse-names":false,"suffix":""}],"container-title":"British Journal of General Practice","id":"ITEM-1","issue":"692","issued":{"date-parts":[["2020"]]},"page":"E155-E163","title":"Barriers and enablers to collaborative working between GPs and pharmacists: A qualitative interview study","type":"article-journal","volume":"70"},"uris":["http://www.mendeley.com/documents/?uuid=95f5fbf7-a577-4beb-8988-b65ce95d2ac9"]}],"mendeley":{"formattedCitation":"(Duncan &lt;i&gt;et al.&lt;/i&gt;, 2020)","manualFormatting":"Duncan et al., 2020)","plainTextFormattedCitation":"(Duncan et al., 2020)","previouslyFormattedCitation":"(Duncan &lt;i&gt;et al.&lt;/i&gt;, 2020)"},"properties":{"noteIndex":0},"schema":"https://github.com/citation-style-language/schema/raw/master/csl-citation.json"}</w:instrText>
      </w:r>
      <w:r w:rsidRPr="0043510B">
        <w:rPr>
          <w:rFonts w:asciiTheme="minorBidi" w:hAnsiTheme="minorBidi"/>
          <w:sz w:val="24"/>
          <w:szCs w:val="24"/>
          <w:shd w:val="clear" w:color="auto" w:fill="FFFFFF"/>
        </w:rPr>
        <w:fldChar w:fldCharType="separate"/>
      </w:r>
      <w:r w:rsidRPr="0043510B">
        <w:rPr>
          <w:rFonts w:asciiTheme="minorBidi" w:hAnsiTheme="minorBidi"/>
          <w:noProof/>
          <w:sz w:val="24"/>
          <w:szCs w:val="24"/>
          <w:shd w:val="clear" w:color="auto" w:fill="FFFFFF"/>
        </w:rPr>
        <w:t xml:space="preserve">Duncan </w:t>
      </w:r>
      <w:r w:rsidRPr="0043510B">
        <w:rPr>
          <w:rFonts w:asciiTheme="minorBidi" w:hAnsiTheme="minorBidi"/>
          <w:i/>
          <w:noProof/>
          <w:sz w:val="24"/>
          <w:szCs w:val="24"/>
          <w:shd w:val="clear" w:color="auto" w:fill="FFFFFF"/>
        </w:rPr>
        <w:t>et al.</w:t>
      </w:r>
      <w:r w:rsidRPr="0043510B">
        <w:rPr>
          <w:rFonts w:asciiTheme="minorBidi" w:hAnsiTheme="minorBidi"/>
          <w:noProof/>
          <w:sz w:val="24"/>
          <w:szCs w:val="24"/>
          <w:shd w:val="clear" w:color="auto" w:fill="FFFFFF"/>
        </w:rPr>
        <w:t>, 2020)</w:t>
      </w:r>
      <w:r w:rsidRPr="0043510B">
        <w:rPr>
          <w:rFonts w:asciiTheme="minorBidi" w:hAnsiTheme="minorBidi"/>
          <w:sz w:val="24"/>
          <w:szCs w:val="24"/>
          <w:shd w:val="clear" w:color="auto" w:fill="FFFFFF"/>
        </w:rPr>
        <w:fldChar w:fldCharType="end"/>
      </w:r>
      <w:r w:rsidRPr="0043510B">
        <w:rPr>
          <w:rFonts w:asciiTheme="minorBidi" w:hAnsiTheme="minorBidi"/>
          <w:sz w:val="24"/>
          <w:szCs w:val="24"/>
          <w:shd w:val="clear" w:color="auto" w:fill="FFFFFF"/>
        </w:rPr>
        <w:t>. A possible explanation for this finding may be doctors' concern about giving prescribing privileges to other HCPs, which they see as an autonomous role for doctors</w:t>
      </w:r>
      <w:r w:rsidR="003B0B94" w:rsidRPr="0043510B">
        <w:rPr>
          <w:rFonts w:asciiTheme="minorBidi" w:hAnsiTheme="minorBidi"/>
          <w:sz w:val="24"/>
          <w:szCs w:val="24"/>
          <w:shd w:val="clear" w:color="auto" w:fill="FFFFFF"/>
        </w:rPr>
        <w:t xml:space="preserve"> (</w:t>
      </w:r>
      <w:r w:rsidRPr="0043510B">
        <w:rPr>
          <w:rFonts w:asciiTheme="minorBidi" w:hAnsiTheme="minorBidi"/>
          <w:noProof/>
          <w:sz w:val="24"/>
          <w:szCs w:val="24"/>
          <w:shd w:val="clear" w:color="auto" w:fill="FFFFFF"/>
        </w:rPr>
        <w:t xml:space="preserve">Duncan </w:t>
      </w:r>
      <w:r w:rsidRPr="0043510B">
        <w:rPr>
          <w:rFonts w:asciiTheme="minorBidi" w:hAnsiTheme="minorBidi"/>
          <w:i/>
          <w:noProof/>
          <w:sz w:val="24"/>
          <w:szCs w:val="24"/>
          <w:shd w:val="clear" w:color="auto" w:fill="FFFFFF"/>
        </w:rPr>
        <w:t>et al.</w:t>
      </w:r>
      <w:r w:rsidRPr="0043510B">
        <w:rPr>
          <w:rFonts w:asciiTheme="minorBidi" w:hAnsiTheme="minorBidi"/>
          <w:noProof/>
          <w:sz w:val="24"/>
          <w:szCs w:val="24"/>
          <w:shd w:val="clear" w:color="auto" w:fill="FFFFFF"/>
        </w:rPr>
        <w:t>, 2020)</w:t>
      </w:r>
    </w:p>
    <w:p w14:paraId="38E2CB75" w14:textId="77777777" w:rsidR="00F04DC3" w:rsidRDefault="00F04DC3" w:rsidP="00F04DC3">
      <w:pPr>
        <w:spacing w:before="240" w:line="360" w:lineRule="auto"/>
        <w:jc w:val="both"/>
        <w:rPr>
          <w:rFonts w:asciiTheme="minorBidi" w:hAnsiTheme="minorBidi"/>
          <w:sz w:val="24"/>
          <w:szCs w:val="24"/>
        </w:rPr>
      </w:pPr>
      <w:r w:rsidRPr="007F7B6F">
        <w:rPr>
          <w:rFonts w:asciiTheme="minorBidi" w:hAnsiTheme="minorBidi"/>
          <w:sz w:val="24"/>
          <w:szCs w:val="24"/>
        </w:rPr>
        <w:t>The conventional pharmacy practice</w:t>
      </w:r>
      <w:r>
        <w:rPr>
          <w:rFonts w:asciiTheme="minorBidi" w:hAnsiTheme="minorBidi"/>
          <w:sz w:val="24"/>
          <w:szCs w:val="24"/>
        </w:rPr>
        <w:t>s</w:t>
      </w:r>
      <w:r w:rsidRPr="007F7B6F">
        <w:rPr>
          <w:rFonts w:asciiTheme="minorBidi" w:hAnsiTheme="minorBidi"/>
          <w:sz w:val="24"/>
          <w:szCs w:val="24"/>
        </w:rPr>
        <w:t xml:space="preserve"> of verifying, preparing and dispensing prescriptions</w:t>
      </w:r>
      <w:r>
        <w:rPr>
          <w:rFonts w:asciiTheme="minorBidi" w:hAnsiTheme="minorBidi"/>
          <w:sz w:val="24"/>
          <w:szCs w:val="24"/>
        </w:rPr>
        <w:t xml:space="preserve"> and</w:t>
      </w:r>
      <w:r w:rsidRPr="007F7B6F">
        <w:rPr>
          <w:rFonts w:asciiTheme="minorBidi" w:hAnsiTheme="minorBidi"/>
          <w:sz w:val="24"/>
          <w:szCs w:val="24"/>
        </w:rPr>
        <w:t xml:space="preserve"> counselling and educating patients obtained the highest level of participants</w:t>
      </w:r>
      <w:r>
        <w:rPr>
          <w:rFonts w:asciiTheme="minorBidi" w:hAnsiTheme="minorBidi"/>
          <w:sz w:val="24"/>
          <w:szCs w:val="24"/>
        </w:rPr>
        <w:t>’</w:t>
      </w:r>
      <w:r w:rsidRPr="007F7B6F">
        <w:rPr>
          <w:rFonts w:asciiTheme="minorBidi" w:hAnsiTheme="minorBidi"/>
          <w:sz w:val="24"/>
          <w:szCs w:val="24"/>
        </w:rPr>
        <w:t xml:space="preserve"> agreement</w:t>
      </w:r>
      <w:r>
        <w:rPr>
          <w:rFonts w:asciiTheme="minorBidi" w:hAnsiTheme="minorBidi"/>
          <w:sz w:val="24"/>
          <w:szCs w:val="24"/>
        </w:rPr>
        <w:t xml:space="preserve"> </w:t>
      </w:r>
      <w:r w:rsidRPr="00165B62">
        <w:rPr>
          <w:rFonts w:asciiTheme="minorBidi" w:hAnsiTheme="minorBidi"/>
          <w:sz w:val="24"/>
          <w:szCs w:val="24"/>
        </w:rPr>
        <w:t>in the first phase. This traditional practice was also the norm in the interviewees' discourse.</w:t>
      </w:r>
      <w:r w:rsidRPr="007F7B6F">
        <w:rPr>
          <w:rFonts w:asciiTheme="minorBidi" w:hAnsiTheme="minorBidi"/>
          <w:sz w:val="24"/>
          <w:szCs w:val="24"/>
        </w:rPr>
        <w:t xml:space="preserve"> This finding suggests that the stereotype of the pharmacist's role as a dispenser is still very common among </w:t>
      </w:r>
      <w:r>
        <w:rPr>
          <w:rFonts w:asciiTheme="minorBidi" w:hAnsiTheme="minorBidi"/>
          <w:sz w:val="24"/>
          <w:szCs w:val="24"/>
        </w:rPr>
        <w:t>HCPs</w:t>
      </w:r>
      <w:r w:rsidRPr="007F7B6F">
        <w:rPr>
          <w:rFonts w:asciiTheme="minorBidi" w:hAnsiTheme="minorBidi"/>
          <w:sz w:val="24"/>
          <w:szCs w:val="24"/>
        </w:rPr>
        <w:t xml:space="preserve">. It can therefore be assumed that the general perception of primary </w:t>
      </w:r>
      <w:r>
        <w:rPr>
          <w:rFonts w:asciiTheme="minorBidi" w:hAnsiTheme="minorBidi"/>
          <w:sz w:val="24"/>
          <w:szCs w:val="24"/>
        </w:rPr>
        <w:t>HCPs</w:t>
      </w:r>
      <w:r w:rsidRPr="007F7B6F">
        <w:rPr>
          <w:rFonts w:asciiTheme="minorBidi" w:hAnsiTheme="minorBidi"/>
          <w:sz w:val="24"/>
          <w:szCs w:val="24"/>
        </w:rPr>
        <w:t xml:space="preserve"> about the role of pharmacists is limited to dispensing prescriptions and educating patients on their medications. </w:t>
      </w:r>
      <w:r w:rsidRPr="00E909B2">
        <w:rPr>
          <w:rFonts w:asciiTheme="minorBidi" w:hAnsiTheme="minorBidi"/>
          <w:sz w:val="24"/>
          <w:szCs w:val="24"/>
        </w:rPr>
        <w:t xml:space="preserve">Surprisingly, differences were found in doctors' attitudes towards pharmacists' clinical roles; </w:t>
      </w:r>
      <w:r>
        <w:rPr>
          <w:rFonts w:asciiTheme="minorBidi" w:hAnsiTheme="minorBidi"/>
          <w:sz w:val="24"/>
          <w:szCs w:val="24"/>
        </w:rPr>
        <w:t xml:space="preserve">a </w:t>
      </w:r>
      <w:r w:rsidRPr="00E909B2">
        <w:rPr>
          <w:rFonts w:asciiTheme="minorBidi" w:hAnsiTheme="minorBidi"/>
          <w:sz w:val="24"/>
          <w:szCs w:val="24"/>
        </w:rPr>
        <w:t>doctor</w:t>
      </w:r>
      <w:r>
        <w:rPr>
          <w:rFonts w:asciiTheme="minorBidi" w:hAnsiTheme="minorBidi"/>
          <w:sz w:val="24"/>
          <w:szCs w:val="24"/>
        </w:rPr>
        <w:t xml:space="preserve"> interviewed</w:t>
      </w:r>
      <w:r w:rsidRPr="00E909B2">
        <w:rPr>
          <w:rFonts w:asciiTheme="minorBidi" w:hAnsiTheme="minorBidi"/>
          <w:sz w:val="24"/>
          <w:szCs w:val="24"/>
        </w:rPr>
        <w:t xml:space="preserve"> expects pharmacists to perform medication reviews to save the</w:t>
      </w:r>
      <w:r>
        <w:rPr>
          <w:rFonts w:asciiTheme="minorBidi" w:hAnsiTheme="minorBidi"/>
          <w:sz w:val="24"/>
          <w:szCs w:val="24"/>
        </w:rPr>
        <w:t>m</w:t>
      </w:r>
      <w:r w:rsidRPr="00E909B2">
        <w:rPr>
          <w:rFonts w:asciiTheme="minorBidi" w:hAnsiTheme="minorBidi"/>
          <w:sz w:val="24"/>
          <w:szCs w:val="24"/>
        </w:rPr>
        <w:t xml:space="preserve"> time and efforts in addressing medication-related issues. Furthermore, and in contrast to earlier findings regarding an independent pharmacist prescribing role, a doctor suggested expanding the pharmacist's role to include pharmacist-led clinics to treat common diseases and manage minor illnesses such as urinary tract infections in women and also re-dispense the treatment for patients with stable chronic conditions. This evidence was detected in the second phase, where real-world evidence in health research was applied via interviews with participants. This data was spontaneous, not promoted by the interviewer's questions.</w:t>
      </w:r>
      <w:r>
        <w:rPr>
          <w:rFonts w:asciiTheme="minorBidi" w:hAnsiTheme="minorBidi"/>
          <w:sz w:val="24"/>
          <w:szCs w:val="24"/>
        </w:rPr>
        <w:t xml:space="preserve"> </w:t>
      </w:r>
      <w:r w:rsidRPr="005263B2">
        <w:rPr>
          <w:rFonts w:asciiTheme="minorBidi" w:hAnsiTheme="minorBidi"/>
          <w:sz w:val="24"/>
          <w:szCs w:val="24"/>
        </w:rPr>
        <w:t>This finding was also reported by </w:t>
      </w:r>
      <w:r w:rsidRPr="005263B2">
        <w:rPr>
          <w:rFonts w:asciiTheme="minorBidi" w:hAnsiTheme="minorBidi"/>
          <w:sz w:val="24"/>
          <w:szCs w:val="24"/>
        </w:rPr>
        <w:fldChar w:fldCharType="begin" w:fldLock="1"/>
      </w:r>
      <w:r>
        <w:rPr>
          <w:rFonts w:asciiTheme="minorBidi" w:hAnsiTheme="minorBidi"/>
          <w:sz w:val="24"/>
          <w:szCs w:val="24"/>
        </w:rPr>
        <w:instrText>ADDIN CSL_CITATION {"citationItems":[{"id":"ITEM-1","itemData":{"author":[{"dropping-particle":"","family":"Al-Jedai","given":"Ahmed","non-dropping-particle":"","parse-names":false,"suffix":""},{"dropping-particle":"","family":"Qaisi","given":"Shrouq","non-dropping-particle":"","parse-names":false,"suffix":""},{"dropping-particle":"","family":"Al-Meman","given":"Ahmed","non-dropping-particle":"","parse-names":false,"suffix":""}],"id":"ITEM-1","issue":"3","issued":{"date-parts":[["2016"]]},"title":"INTERNATIONAL PERSPECTIVES ON PHARMACY PRACTICE Pharmacy Practice and the Health Care System in Saudi Arabia","type":"report","volume":"69"},"uris":["http://www.mendeley.com/documents/?uuid=6c28c996-40b3-372f-8ce1-970c28f78a5b"]}],"mendeley":{"formattedCitation":"(Al-Jedai, Qaisi and Al-Meman, 2016a)","manualFormatting":"Al-Jedai, Qaisi and Al-Meman (2016a)","plainTextFormattedCitation":"(Al-Jedai, Qaisi and Al-Meman, 2016a)","previouslyFormattedCitation":"(Al-Jedai, Qaisi and Al-Meman, 2016a)"},"properties":{"noteIndex":0},"schema":"https://github.com/citation-style-language/schema/raw/master/csl-citation.json"}</w:instrText>
      </w:r>
      <w:r w:rsidRPr="005263B2">
        <w:rPr>
          <w:rFonts w:asciiTheme="minorBidi" w:hAnsiTheme="minorBidi"/>
          <w:sz w:val="24"/>
          <w:szCs w:val="24"/>
        </w:rPr>
        <w:fldChar w:fldCharType="separate"/>
      </w:r>
      <w:r w:rsidRPr="005263B2">
        <w:rPr>
          <w:rFonts w:asciiTheme="minorBidi" w:hAnsiTheme="minorBidi"/>
          <w:noProof/>
          <w:sz w:val="24"/>
          <w:szCs w:val="24"/>
        </w:rPr>
        <w:t xml:space="preserve">Al-Jedai, Qaisi and Al-Meman </w:t>
      </w:r>
      <w:r>
        <w:rPr>
          <w:rFonts w:asciiTheme="minorBidi" w:hAnsiTheme="minorBidi"/>
          <w:noProof/>
          <w:sz w:val="24"/>
          <w:szCs w:val="24"/>
        </w:rPr>
        <w:t>(</w:t>
      </w:r>
      <w:r w:rsidRPr="005263B2">
        <w:rPr>
          <w:rFonts w:asciiTheme="minorBidi" w:hAnsiTheme="minorBidi"/>
          <w:noProof/>
          <w:sz w:val="24"/>
          <w:szCs w:val="24"/>
        </w:rPr>
        <w:t>2016a)</w:t>
      </w:r>
      <w:r w:rsidRPr="005263B2">
        <w:rPr>
          <w:rFonts w:asciiTheme="minorBidi" w:hAnsiTheme="minorBidi"/>
          <w:sz w:val="24"/>
          <w:szCs w:val="24"/>
        </w:rPr>
        <w:fldChar w:fldCharType="end"/>
      </w:r>
      <w:r>
        <w:rPr>
          <w:rFonts w:asciiTheme="minorBidi" w:hAnsiTheme="minorBidi"/>
          <w:sz w:val="24"/>
          <w:szCs w:val="24"/>
        </w:rPr>
        <w:t>.</w:t>
      </w:r>
      <w:r w:rsidRPr="00E909B2">
        <w:rPr>
          <w:rFonts w:asciiTheme="minorBidi" w:hAnsiTheme="minorBidi"/>
          <w:sz w:val="24"/>
          <w:szCs w:val="24"/>
        </w:rPr>
        <w:t xml:space="preserve"> However, it could be argued that the positive results were due to participants' passion for the research</w:t>
      </w:r>
      <w:r>
        <w:rPr>
          <w:rFonts w:asciiTheme="minorBidi" w:hAnsiTheme="minorBidi"/>
          <w:sz w:val="24"/>
          <w:szCs w:val="24"/>
        </w:rPr>
        <w:t xml:space="preserve"> topic</w:t>
      </w:r>
      <w:r w:rsidRPr="00E909B2">
        <w:rPr>
          <w:rFonts w:asciiTheme="minorBidi" w:hAnsiTheme="minorBidi"/>
          <w:sz w:val="24"/>
          <w:szCs w:val="24"/>
        </w:rPr>
        <w:t xml:space="preserve">. </w:t>
      </w:r>
    </w:p>
    <w:p w14:paraId="6FA40757" w14:textId="64B0C5A5" w:rsidR="00F04DC3" w:rsidRPr="0043510B" w:rsidRDefault="00F04DC3" w:rsidP="00F04DC3">
      <w:pPr>
        <w:spacing w:before="240" w:line="360" w:lineRule="auto"/>
        <w:jc w:val="both"/>
        <w:rPr>
          <w:rFonts w:asciiTheme="minorBidi" w:hAnsiTheme="minorBidi"/>
          <w:sz w:val="24"/>
          <w:szCs w:val="24"/>
        </w:rPr>
      </w:pPr>
      <w:r w:rsidRPr="002962B2">
        <w:rPr>
          <w:rFonts w:asciiTheme="minorBidi" w:hAnsiTheme="minorBidi"/>
          <w:sz w:val="24"/>
          <w:szCs w:val="24"/>
        </w:rPr>
        <w:t>Another important finding from combi</w:t>
      </w:r>
      <w:r>
        <w:rPr>
          <w:rFonts w:asciiTheme="minorBidi" w:hAnsiTheme="minorBidi"/>
          <w:sz w:val="24"/>
          <w:szCs w:val="24"/>
        </w:rPr>
        <w:t>ni</w:t>
      </w:r>
      <w:r w:rsidRPr="002962B2">
        <w:rPr>
          <w:rFonts w:asciiTheme="minorBidi" w:hAnsiTheme="minorBidi"/>
          <w:sz w:val="24"/>
          <w:szCs w:val="24"/>
        </w:rPr>
        <w:t xml:space="preserve">ng the qualitative and quantitative results was that </w:t>
      </w:r>
      <w:r>
        <w:rPr>
          <w:rFonts w:asciiTheme="minorBidi" w:hAnsiTheme="minorBidi"/>
          <w:sz w:val="24"/>
          <w:szCs w:val="24"/>
        </w:rPr>
        <w:t>d</w:t>
      </w:r>
      <w:r w:rsidRPr="00F02B10">
        <w:rPr>
          <w:rFonts w:asciiTheme="minorBidi" w:hAnsiTheme="minorBidi"/>
          <w:sz w:val="24"/>
          <w:szCs w:val="24"/>
        </w:rPr>
        <w:t xml:space="preserve">ifferences in pharmacists' attitudes were also evident between the two phases. In the first phase, </w:t>
      </w:r>
      <w:r>
        <w:rPr>
          <w:rFonts w:asciiTheme="minorBidi" w:hAnsiTheme="minorBidi"/>
          <w:sz w:val="24"/>
          <w:szCs w:val="24"/>
        </w:rPr>
        <w:t>HCPs</w:t>
      </w:r>
      <w:r w:rsidRPr="00F02B10">
        <w:rPr>
          <w:rFonts w:asciiTheme="minorBidi" w:hAnsiTheme="minorBidi"/>
          <w:sz w:val="24"/>
          <w:szCs w:val="24"/>
        </w:rPr>
        <w:t xml:space="preserve">, including pharmacists, were asked to report their perceptions of the potential for different pharmacist roles in primary care management of diabetes and their opinion about pharmacist involvement currently or in the future. Pharmacists' agreement levels were higher for current involvement than other </w:t>
      </w:r>
      <w:r>
        <w:rPr>
          <w:rFonts w:asciiTheme="minorBidi" w:hAnsiTheme="minorBidi"/>
          <w:sz w:val="24"/>
          <w:szCs w:val="24"/>
        </w:rPr>
        <w:t>HCPs</w:t>
      </w:r>
      <w:r w:rsidRPr="00F02B10">
        <w:rPr>
          <w:rFonts w:asciiTheme="minorBidi" w:hAnsiTheme="minorBidi"/>
          <w:sz w:val="24"/>
          <w:szCs w:val="24"/>
        </w:rPr>
        <w:t>. However, at the interview stage, they seemed disappointed with the decision to transfer them from centres where they had worked for a long time. Their view of their current situation seemed negative. This decision sent a negative message to their colleagues and all healthcare workers that pharmacists have no role in public health services. Their role in these centres was limited to dispensing prescriptions, which are now dispensed from retail community pharmacies. Therefore, their dialogue included many negative expressions towards the health system, leaders, and decision-makers because such a decision proves the stereotype of the role of pharmacists in PHCs. However, it was also revealed through the interview with pharmacists that they have positive attitudes towards their roles, believe in their vital role in caring for patients, and are confident in changing the stereotype about the pharmacy profession and pharmacists' roles. They are willing to participate in the treatment of diabet</w:t>
      </w:r>
      <w:r>
        <w:rPr>
          <w:rFonts w:asciiTheme="minorBidi" w:hAnsiTheme="minorBidi"/>
          <w:sz w:val="24"/>
          <w:szCs w:val="24"/>
        </w:rPr>
        <w:t>e</w:t>
      </w:r>
      <w:r w:rsidRPr="00F02B10">
        <w:rPr>
          <w:rFonts w:asciiTheme="minorBidi" w:hAnsiTheme="minorBidi"/>
          <w:sz w:val="24"/>
          <w:szCs w:val="24"/>
        </w:rPr>
        <w:t>s and are excited to return to PHCs whenever they have the opportunity to do so</w:t>
      </w:r>
      <w:r>
        <w:rPr>
          <w:rFonts w:asciiTheme="minorBidi" w:hAnsiTheme="minorBidi"/>
          <w:sz w:val="24"/>
          <w:szCs w:val="24"/>
        </w:rPr>
        <w:t>.</w:t>
      </w:r>
      <w:r w:rsidR="008A0052">
        <w:rPr>
          <w:rFonts w:asciiTheme="minorBidi" w:hAnsiTheme="minorBidi"/>
          <w:sz w:val="24"/>
          <w:szCs w:val="24"/>
        </w:rPr>
        <w:t xml:space="preserve"> </w:t>
      </w:r>
      <w:r w:rsidR="00E25412" w:rsidRPr="0043510B">
        <w:rPr>
          <w:rFonts w:ascii="Arial" w:hAnsi="Arial" w:cs="Arial"/>
          <w:sz w:val="24"/>
          <w:szCs w:val="24"/>
          <w:lang w:val="en-GB"/>
        </w:rPr>
        <w:t xml:space="preserve">Pharmacists’ willingness to be involved in diabetes management, as found in </w:t>
      </w:r>
      <w:r w:rsidR="00975538" w:rsidRPr="0043510B">
        <w:rPr>
          <w:rFonts w:ascii="Arial" w:hAnsi="Arial" w:cs="Arial"/>
          <w:sz w:val="24"/>
          <w:szCs w:val="24"/>
          <w:lang w:val="en-GB"/>
        </w:rPr>
        <w:t>this study</w:t>
      </w:r>
      <w:r w:rsidR="000E324F" w:rsidRPr="0043510B">
        <w:rPr>
          <w:rFonts w:ascii="Arial" w:hAnsi="Arial" w:cs="Arial"/>
          <w:sz w:val="24"/>
          <w:szCs w:val="24"/>
          <w:lang w:val="en-GB"/>
        </w:rPr>
        <w:t>,</w:t>
      </w:r>
      <w:r w:rsidR="00975538" w:rsidRPr="0043510B">
        <w:rPr>
          <w:rFonts w:ascii="Arial" w:hAnsi="Arial" w:cs="Arial"/>
          <w:sz w:val="24"/>
          <w:szCs w:val="24"/>
          <w:lang w:val="en-GB"/>
        </w:rPr>
        <w:t xml:space="preserve"> is consistent with </w:t>
      </w:r>
      <w:r w:rsidR="000E324F" w:rsidRPr="0043510B">
        <w:rPr>
          <w:rFonts w:ascii="Arial" w:hAnsi="Arial" w:cs="Arial"/>
          <w:sz w:val="24"/>
          <w:szCs w:val="24"/>
          <w:lang w:val="en-GB"/>
        </w:rPr>
        <w:t xml:space="preserve">what was reported in </w:t>
      </w:r>
      <w:r w:rsidR="00E25412" w:rsidRPr="0043510B">
        <w:rPr>
          <w:rFonts w:ascii="Arial" w:hAnsi="Arial" w:cs="Arial"/>
          <w:sz w:val="24"/>
          <w:szCs w:val="24"/>
          <w:lang w:val="en-GB"/>
        </w:rPr>
        <w:t>both studies by Al-Taweel et al. (2014) and Al Haqan et al. (2017)</w:t>
      </w:r>
      <w:r w:rsidR="00907E60" w:rsidRPr="0043510B">
        <w:rPr>
          <w:rFonts w:ascii="Arial" w:hAnsi="Arial" w:cs="Arial"/>
          <w:sz w:val="24"/>
          <w:szCs w:val="24"/>
          <w:lang w:val="en-GB"/>
        </w:rPr>
        <w:t xml:space="preserve">. </w:t>
      </w:r>
    </w:p>
    <w:p w14:paraId="02BA8B85" w14:textId="6381BA77" w:rsidR="00F04DC3" w:rsidRPr="0043510B" w:rsidRDefault="00F04DC3" w:rsidP="00F04DC3">
      <w:pPr>
        <w:spacing w:after="0" w:line="360" w:lineRule="auto"/>
        <w:jc w:val="both"/>
        <w:rPr>
          <w:rFonts w:asciiTheme="minorBidi" w:hAnsiTheme="minorBidi"/>
          <w:sz w:val="24"/>
          <w:szCs w:val="24"/>
        </w:rPr>
      </w:pPr>
      <w:r w:rsidRPr="0043510B">
        <w:rPr>
          <w:rFonts w:asciiTheme="minorBidi" w:eastAsiaTheme="minorEastAsia" w:hAnsiTheme="minorBidi"/>
          <w:sz w:val="24"/>
          <w:szCs w:val="24"/>
          <w:lang w:eastAsia="en-GB"/>
        </w:rPr>
        <w:t xml:space="preserve">There was general agreement among HCPs (doctors, pharmacists, and nurses) that pharmacists are a reliable source of medication information. They demanded the establishment of a medication information centre run by pharmacists to improve the provision of primary care services. </w:t>
      </w:r>
      <w:r w:rsidR="00C56CC4" w:rsidRPr="0043510B">
        <w:rPr>
          <w:rFonts w:asciiTheme="minorBidi" w:eastAsiaTheme="minorEastAsia" w:hAnsiTheme="minorBidi"/>
          <w:sz w:val="24"/>
          <w:szCs w:val="24"/>
          <w:lang w:eastAsia="en-GB"/>
        </w:rPr>
        <w:t xml:space="preserve">This finding further supports the idea that pharmacists are experts in medication use and safety, as expressed by other researchers such as Tan et al., 2014; Duncan et al., 2020; and Patti et al., 2022. </w:t>
      </w:r>
      <w:r w:rsidRPr="0043510B">
        <w:rPr>
          <w:rFonts w:asciiTheme="minorBidi" w:hAnsiTheme="minorBidi"/>
          <w:sz w:val="24"/>
          <w:szCs w:val="24"/>
        </w:rPr>
        <w:t xml:space="preserve">Participants also perceived that patient education on their medication is an essential service that should be provided by a pharmacist. This is supported by studies </w:t>
      </w:r>
      <w:r w:rsidRPr="0043510B">
        <w:rPr>
          <w:rFonts w:asciiTheme="minorBidi" w:eastAsiaTheme="minorEastAsia" w:hAnsiTheme="minorBidi"/>
          <w:sz w:val="24"/>
          <w:szCs w:val="24"/>
          <w:lang w:eastAsia="en-GB"/>
        </w:rPr>
        <w:t xml:space="preserve">conducted by Khan et al. </w:t>
      </w:r>
      <w:r w:rsidRPr="0043510B">
        <w:rPr>
          <w:rFonts w:asciiTheme="minorBidi" w:eastAsiaTheme="minorEastAsia" w:hAnsiTheme="minorBidi"/>
          <w:sz w:val="24"/>
          <w:szCs w:val="24"/>
          <w:lang w:val="nl-NL" w:eastAsia="en-GB"/>
        </w:rPr>
        <w:t>(2020)</w:t>
      </w:r>
      <w:r w:rsidR="009E0FBA" w:rsidRPr="0043510B">
        <w:rPr>
          <w:rFonts w:asciiTheme="minorBidi" w:eastAsiaTheme="minorEastAsia" w:hAnsiTheme="minorBidi"/>
          <w:sz w:val="24"/>
          <w:szCs w:val="24"/>
          <w:lang w:val="nl-NL" w:eastAsia="en-GB"/>
        </w:rPr>
        <w:t>;</w:t>
      </w:r>
      <w:r w:rsidRPr="0043510B">
        <w:rPr>
          <w:rFonts w:asciiTheme="minorBidi" w:eastAsiaTheme="minorEastAsia" w:hAnsiTheme="minorBidi"/>
          <w:sz w:val="24"/>
          <w:szCs w:val="24"/>
          <w:lang w:val="nl-NL" w:eastAsia="en-GB"/>
        </w:rPr>
        <w:t xml:space="preserve"> Al-Arifi and Al-Omar (2018)</w:t>
      </w:r>
      <w:r w:rsidR="009E0FBA" w:rsidRPr="0043510B">
        <w:rPr>
          <w:rFonts w:asciiTheme="minorBidi" w:eastAsiaTheme="minorEastAsia" w:hAnsiTheme="minorBidi"/>
          <w:sz w:val="24"/>
          <w:szCs w:val="24"/>
          <w:lang w:val="nl-NL" w:eastAsia="en-GB"/>
        </w:rPr>
        <w:t>;</w:t>
      </w:r>
      <w:r w:rsidR="00B35486" w:rsidRPr="0043510B">
        <w:rPr>
          <w:rFonts w:asciiTheme="minorBidi" w:eastAsiaTheme="minorEastAsia" w:hAnsiTheme="minorBidi"/>
          <w:sz w:val="24"/>
          <w:szCs w:val="24"/>
          <w:lang w:val="nl-NL" w:eastAsia="en-GB"/>
        </w:rPr>
        <w:t xml:space="preserve"> </w:t>
      </w:r>
      <w:r w:rsidRPr="0043510B">
        <w:rPr>
          <w:rFonts w:asciiTheme="minorBidi" w:eastAsiaTheme="minorEastAsia" w:hAnsiTheme="minorBidi"/>
          <w:sz w:val="24"/>
          <w:szCs w:val="24"/>
          <w:lang w:val="nl-NL" w:eastAsia="en-GB"/>
        </w:rPr>
        <w:t>Emeka et al. (2020)</w:t>
      </w:r>
      <w:r w:rsidR="009E0FBA" w:rsidRPr="0043510B">
        <w:rPr>
          <w:rFonts w:asciiTheme="minorBidi" w:eastAsiaTheme="minorEastAsia" w:hAnsiTheme="minorBidi"/>
          <w:sz w:val="24"/>
          <w:szCs w:val="24"/>
          <w:lang w:val="nl-NL" w:eastAsia="en-GB"/>
        </w:rPr>
        <w:t>;</w:t>
      </w:r>
      <w:r w:rsidR="0021035A" w:rsidRPr="0043510B">
        <w:rPr>
          <w:rFonts w:asciiTheme="minorBidi" w:eastAsiaTheme="minorEastAsia" w:hAnsiTheme="minorBidi"/>
          <w:sz w:val="24"/>
          <w:szCs w:val="24"/>
          <w:lang w:val="nl-NL" w:eastAsia="en-GB"/>
        </w:rPr>
        <w:t xml:space="preserve"> Alabkal et al., (2021); Alosaimi et al., </w:t>
      </w:r>
      <w:r w:rsidR="00B35486" w:rsidRPr="0043510B">
        <w:rPr>
          <w:rFonts w:asciiTheme="minorBidi" w:eastAsiaTheme="minorEastAsia" w:hAnsiTheme="minorBidi"/>
          <w:sz w:val="24"/>
          <w:szCs w:val="24"/>
          <w:lang w:val="nl-NL" w:eastAsia="en-GB"/>
        </w:rPr>
        <w:t>(</w:t>
      </w:r>
      <w:r w:rsidR="0021035A" w:rsidRPr="0043510B">
        <w:rPr>
          <w:rFonts w:asciiTheme="minorBidi" w:eastAsiaTheme="minorEastAsia" w:hAnsiTheme="minorBidi"/>
          <w:sz w:val="24"/>
          <w:szCs w:val="24"/>
          <w:lang w:val="nl-NL" w:eastAsia="en-GB"/>
        </w:rPr>
        <w:t>2022), and Lakey et al., (2022).</w:t>
      </w:r>
      <w:r w:rsidRPr="0043510B">
        <w:rPr>
          <w:rFonts w:asciiTheme="minorBidi" w:eastAsiaTheme="minorEastAsia" w:hAnsiTheme="minorBidi"/>
          <w:sz w:val="24"/>
          <w:szCs w:val="24"/>
          <w:lang w:val="nl-NL" w:eastAsia="en-GB"/>
        </w:rPr>
        <w:t xml:space="preserve"> </w:t>
      </w:r>
      <w:r w:rsidRPr="0043510B">
        <w:rPr>
          <w:rFonts w:asciiTheme="minorBidi" w:eastAsiaTheme="minorEastAsia" w:hAnsiTheme="minorBidi"/>
          <w:sz w:val="24"/>
          <w:szCs w:val="24"/>
          <w:lang w:eastAsia="en-GB"/>
        </w:rPr>
        <w:t xml:space="preserve">A pharmacist can educate patients on lifestyle factors/ behaviours to improve their health, enhance patients’ knowledge about their illness and make them more involved and aware of their condition. Additionally, they provide information and counselling to patients on the importance of controlling BP in diabetes, diabetes foot care, regular screening for nephropathy, neuropathy and retinopathy. They also provide education to patients about prevention therapy, such as the importance of immunisation for influenza and pneumococcal pneumonia in diabetes, as well as basic information on diet and exercise as they relate to diabetes management. </w:t>
      </w:r>
    </w:p>
    <w:p w14:paraId="49872AFB" w14:textId="77777777" w:rsidR="00F04DC3" w:rsidRPr="000D6BA1" w:rsidRDefault="00F04DC3" w:rsidP="00F04DC3">
      <w:pPr>
        <w:spacing w:before="240" w:after="0" w:line="360" w:lineRule="auto"/>
        <w:jc w:val="both"/>
        <w:rPr>
          <w:rFonts w:asciiTheme="minorBidi" w:eastAsiaTheme="minorEastAsia" w:hAnsiTheme="minorBidi"/>
          <w:sz w:val="24"/>
          <w:szCs w:val="24"/>
          <w:lang w:eastAsia="en-GB"/>
        </w:rPr>
      </w:pPr>
      <w:r w:rsidRPr="007C14BB">
        <w:rPr>
          <w:rFonts w:asciiTheme="minorBidi" w:eastAsiaTheme="minorEastAsia" w:hAnsiTheme="minorBidi"/>
          <w:sz w:val="24"/>
          <w:szCs w:val="24"/>
          <w:lang w:eastAsia="en-GB"/>
        </w:rPr>
        <w:t xml:space="preserve">Interesting results were found in this research related to policymakers' and managers' attitudes towards pharmacists' roles in diabetes management. Doctors were less </w:t>
      </w:r>
      <w:r>
        <w:rPr>
          <w:rFonts w:asciiTheme="minorBidi" w:eastAsiaTheme="minorEastAsia" w:hAnsiTheme="minorBidi"/>
          <w:sz w:val="24"/>
          <w:szCs w:val="24"/>
          <w:lang w:eastAsia="en-GB"/>
        </w:rPr>
        <w:t xml:space="preserve">in </w:t>
      </w:r>
      <w:r w:rsidRPr="007C14BB">
        <w:rPr>
          <w:rFonts w:asciiTheme="minorBidi" w:eastAsiaTheme="minorEastAsia" w:hAnsiTheme="minorBidi"/>
          <w:sz w:val="24"/>
          <w:szCs w:val="24"/>
          <w:lang w:eastAsia="en-GB"/>
        </w:rPr>
        <w:t>agree</w:t>
      </w:r>
      <w:r>
        <w:rPr>
          <w:rFonts w:asciiTheme="minorBidi" w:eastAsiaTheme="minorEastAsia" w:hAnsiTheme="minorBidi"/>
          <w:sz w:val="24"/>
          <w:szCs w:val="24"/>
          <w:lang w:eastAsia="en-GB"/>
        </w:rPr>
        <w:t>ment</w:t>
      </w:r>
      <w:r w:rsidRPr="007C14BB">
        <w:rPr>
          <w:rFonts w:asciiTheme="minorBidi" w:eastAsiaTheme="minorEastAsia" w:hAnsiTheme="minorBidi"/>
          <w:sz w:val="24"/>
          <w:szCs w:val="24"/>
          <w:lang w:eastAsia="en-GB"/>
        </w:rPr>
        <w:t xml:space="preserve"> </w:t>
      </w:r>
      <w:r>
        <w:rPr>
          <w:rFonts w:asciiTheme="minorBidi" w:eastAsiaTheme="minorEastAsia" w:hAnsiTheme="minorBidi"/>
          <w:sz w:val="24"/>
          <w:szCs w:val="24"/>
          <w:lang w:eastAsia="en-GB"/>
        </w:rPr>
        <w:t>with</w:t>
      </w:r>
      <w:r w:rsidRPr="007C14BB">
        <w:rPr>
          <w:rFonts w:asciiTheme="minorBidi" w:eastAsiaTheme="minorEastAsia" w:hAnsiTheme="minorBidi"/>
          <w:sz w:val="24"/>
          <w:szCs w:val="24"/>
          <w:lang w:eastAsia="en-GB"/>
        </w:rPr>
        <w:t xml:space="preserve"> the statement 'Policy makers’/managers' attitudes toward pharmacist</w:t>
      </w:r>
      <w:r>
        <w:rPr>
          <w:rFonts w:asciiTheme="minorBidi" w:eastAsiaTheme="minorEastAsia" w:hAnsiTheme="minorBidi"/>
          <w:sz w:val="24"/>
          <w:szCs w:val="24"/>
          <w:lang w:eastAsia="en-GB"/>
        </w:rPr>
        <w:t>s</w:t>
      </w:r>
      <w:r w:rsidRPr="007C14BB">
        <w:rPr>
          <w:rFonts w:asciiTheme="minorBidi" w:eastAsiaTheme="minorEastAsia" w:hAnsiTheme="minorBidi"/>
          <w:sz w:val="24"/>
          <w:szCs w:val="24"/>
          <w:lang w:eastAsia="en-GB"/>
        </w:rPr>
        <w:t xml:space="preserve">' role represent a barrier to primary care pharmacists providing clinical services to patients with diabetes' compared to other professional groups. In addition, the barrier of </w:t>
      </w:r>
      <w:r>
        <w:rPr>
          <w:rFonts w:asciiTheme="minorBidi" w:eastAsiaTheme="minorEastAsia" w:hAnsiTheme="minorBidi"/>
          <w:sz w:val="24"/>
          <w:szCs w:val="24"/>
          <w:lang w:eastAsia="en-GB"/>
        </w:rPr>
        <w:t>l</w:t>
      </w:r>
      <w:r w:rsidRPr="007C14BB">
        <w:rPr>
          <w:rFonts w:asciiTheme="minorBidi" w:eastAsiaTheme="minorEastAsia" w:hAnsiTheme="minorBidi"/>
          <w:sz w:val="24"/>
          <w:szCs w:val="24"/>
          <w:lang w:eastAsia="en-GB"/>
        </w:rPr>
        <w:t xml:space="preserve">ack of </w:t>
      </w:r>
      <w:r>
        <w:rPr>
          <w:rFonts w:asciiTheme="minorBidi" w:eastAsiaTheme="minorEastAsia" w:hAnsiTheme="minorBidi"/>
          <w:sz w:val="24"/>
          <w:szCs w:val="24"/>
          <w:lang w:eastAsia="en-GB"/>
        </w:rPr>
        <w:t>HCP</w:t>
      </w:r>
      <w:r w:rsidRPr="007C14BB">
        <w:rPr>
          <w:rFonts w:asciiTheme="minorBidi" w:eastAsiaTheme="minorEastAsia" w:hAnsiTheme="minorBidi"/>
          <w:sz w:val="24"/>
          <w:szCs w:val="24"/>
          <w:lang w:eastAsia="en-GB"/>
        </w:rPr>
        <w:t xml:space="preserve">s' confidence in pharmacists' abilities also obtained a lower </w:t>
      </w:r>
      <w:r>
        <w:rPr>
          <w:rFonts w:asciiTheme="minorBidi" w:eastAsiaTheme="minorEastAsia" w:hAnsiTheme="minorBidi"/>
          <w:sz w:val="24"/>
          <w:szCs w:val="24"/>
          <w:lang w:eastAsia="en-GB"/>
        </w:rPr>
        <w:t xml:space="preserve">level of </w:t>
      </w:r>
      <w:r w:rsidRPr="007C14BB">
        <w:rPr>
          <w:rFonts w:asciiTheme="minorBidi" w:eastAsiaTheme="minorEastAsia" w:hAnsiTheme="minorBidi"/>
          <w:sz w:val="24"/>
          <w:szCs w:val="24"/>
          <w:lang w:eastAsia="en-GB"/>
        </w:rPr>
        <w:t xml:space="preserve">agreement </w:t>
      </w:r>
      <w:r>
        <w:rPr>
          <w:rFonts w:asciiTheme="minorBidi" w:eastAsiaTheme="minorEastAsia" w:hAnsiTheme="minorBidi"/>
          <w:sz w:val="24"/>
          <w:szCs w:val="24"/>
          <w:lang w:eastAsia="en-GB"/>
        </w:rPr>
        <w:t xml:space="preserve">among doctors </w:t>
      </w:r>
      <w:r w:rsidRPr="007C14BB">
        <w:rPr>
          <w:rFonts w:asciiTheme="minorBidi" w:eastAsiaTheme="minorEastAsia" w:hAnsiTheme="minorBidi"/>
          <w:sz w:val="24"/>
          <w:szCs w:val="24"/>
          <w:lang w:eastAsia="en-GB"/>
        </w:rPr>
        <w:t xml:space="preserve">than </w:t>
      </w:r>
      <w:r>
        <w:rPr>
          <w:rFonts w:asciiTheme="minorBidi" w:eastAsiaTheme="minorEastAsia" w:hAnsiTheme="minorBidi"/>
          <w:sz w:val="24"/>
          <w:szCs w:val="24"/>
          <w:lang w:eastAsia="en-GB"/>
        </w:rPr>
        <w:t xml:space="preserve">among </w:t>
      </w:r>
      <w:r w:rsidRPr="007C14BB">
        <w:rPr>
          <w:rFonts w:asciiTheme="minorBidi" w:eastAsiaTheme="minorEastAsia" w:hAnsiTheme="minorBidi"/>
          <w:sz w:val="24"/>
          <w:szCs w:val="24"/>
          <w:lang w:eastAsia="en-GB"/>
        </w:rPr>
        <w:t xml:space="preserve">pharmacists and nurses. </w:t>
      </w:r>
      <w:r w:rsidRPr="004862BC">
        <w:rPr>
          <w:rFonts w:asciiTheme="minorBidi" w:eastAsiaTheme="minorEastAsia" w:hAnsiTheme="minorBidi"/>
          <w:sz w:val="24"/>
          <w:szCs w:val="24"/>
          <w:lang w:eastAsia="en-GB"/>
        </w:rPr>
        <w:t>Of note,</w:t>
      </w:r>
      <w:r w:rsidRPr="008D315E">
        <w:rPr>
          <w:rFonts w:asciiTheme="minorBidi" w:eastAsiaTheme="minorEastAsia" w:hAnsiTheme="minorBidi"/>
          <w:sz w:val="24"/>
          <w:szCs w:val="24"/>
          <w:lang w:eastAsia="en-GB"/>
        </w:rPr>
        <w:t xml:space="preserve"> it is very </w:t>
      </w:r>
      <w:r>
        <w:rPr>
          <w:rFonts w:asciiTheme="minorBidi" w:eastAsiaTheme="minorEastAsia" w:hAnsiTheme="minorBidi"/>
          <w:sz w:val="24"/>
          <w:szCs w:val="24"/>
          <w:lang w:eastAsia="en-GB"/>
        </w:rPr>
        <w:t xml:space="preserve">well </w:t>
      </w:r>
      <w:r w:rsidRPr="008D315E">
        <w:rPr>
          <w:rFonts w:asciiTheme="minorBidi" w:eastAsiaTheme="minorEastAsia" w:hAnsiTheme="minorBidi"/>
          <w:sz w:val="24"/>
          <w:szCs w:val="24"/>
          <w:lang w:eastAsia="en-GB"/>
        </w:rPr>
        <w:t xml:space="preserve">known in the Saudi MoH that doctors hold the policymakers' and managers' positions, so identifying their attitudes in this regard could be an advantage </w:t>
      </w:r>
      <w:r>
        <w:rPr>
          <w:rFonts w:asciiTheme="minorBidi" w:eastAsiaTheme="minorEastAsia" w:hAnsiTheme="minorBidi"/>
          <w:sz w:val="24"/>
          <w:szCs w:val="24"/>
          <w:lang w:eastAsia="en-GB"/>
        </w:rPr>
        <w:t xml:space="preserve">in </w:t>
      </w:r>
      <w:r w:rsidRPr="008D315E">
        <w:rPr>
          <w:rFonts w:asciiTheme="minorBidi" w:eastAsiaTheme="minorEastAsia" w:hAnsiTheme="minorBidi"/>
          <w:sz w:val="24"/>
          <w:szCs w:val="24"/>
          <w:lang w:eastAsia="en-GB"/>
        </w:rPr>
        <w:t>help</w:t>
      </w:r>
      <w:r>
        <w:rPr>
          <w:rFonts w:asciiTheme="minorBidi" w:eastAsiaTheme="minorEastAsia" w:hAnsiTheme="minorBidi"/>
          <w:sz w:val="24"/>
          <w:szCs w:val="24"/>
          <w:lang w:eastAsia="en-GB"/>
        </w:rPr>
        <w:t>ing to</w:t>
      </w:r>
      <w:r w:rsidRPr="008D315E">
        <w:rPr>
          <w:rFonts w:asciiTheme="minorBidi" w:eastAsiaTheme="minorEastAsia" w:hAnsiTheme="minorBidi"/>
          <w:sz w:val="24"/>
          <w:szCs w:val="24"/>
          <w:lang w:eastAsia="en-GB"/>
        </w:rPr>
        <w:t xml:space="preserve"> </w:t>
      </w:r>
      <w:r>
        <w:rPr>
          <w:rFonts w:asciiTheme="minorBidi" w:eastAsiaTheme="minorEastAsia" w:hAnsiTheme="minorBidi"/>
          <w:sz w:val="24"/>
          <w:szCs w:val="24"/>
          <w:lang w:eastAsia="en-GB"/>
        </w:rPr>
        <w:t xml:space="preserve">promote </w:t>
      </w:r>
      <w:r w:rsidRPr="008D315E">
        <w:rPr>
          <w:rFonts w:asciiTheme="minorBidi" w:eastAsiaTheme="minorEastAsia" w:hAnsiTheme="minorBidi"/>
          <w:sz w:val="24"/>
          <w:szCs w:val="24"/>
          <w:lang w:eastAsia="en-GB"/>
        </w:rPr>
        <w:t xml:space="preserve">pharmacists' involvement in diabetes care. </w:t>
      </w:r>
      <w:r>
        <w:rPr>
          <w:rFonts w:asciiTheme="minorBidi" w:eastAsiaTheme="minorEastAsia" w:hAnsiTheme="minorBidi"/>
          <w:sz w:val="24"/>
          <w:szCs w:val="24"/>
          <w:lang w:eastAsia="en-GB"/>
        </w:rPr>
        <w:t>P</w:t>
      </w:r>
      <w:r w:rsidRPr="008D315E">
        <w:rPr>
          <w:rFonts w:asciiTheme="minorBidi" w:eastAsiaTheme="minorEastAsia" w:hAnsiTheme="minorBidi"/>
          <w:sz w:val="24"/>
          <w:szCs w:val="24"/>
          <w:lang w:eastAsia="en-GB"/>
        </w:rPr>
        <w:t xml:space="preserve">ositive attitudes towards the pharmacist's role in diabetes management </w:t>
      </w:r>
      <w:r>
        <w:rPr>
          <w:rFonts w:asciiTheme="minorBidi" w:eastAsiaTheme="minorEastAsia" w:hAnsiTheme="minorBidi"/>
          <w:sz w:val="24"/>
          <w:szCs w:val="24"/>
          <w:lang w:eastAsia="en-GB"/>
        </w:rPr>
        <w:t xml:space="preserve">among doctors </w:t>
      </w:r>
      <w:r w:rsidRPr="008D315E">
        <w:rPr>
          <w:rFonts w:asciiTheme="minorBidi" w:eastAsiaTheme="minorEastAsia" w:hAnsiTheme="minorBidi"/>
          <w:sz w:val="24"/>
          <w:szCs w:val="24"/>
          <w:lang w:eastAsia="en-GB"/>
        </w:rPr>
        <w:t xml:space="preserve">give hope </w:t>
      </w:r>
      <w:r>
        <w:rPr>
          <w:rFonts w:asciiTheme="minorBidi" w:eastAsiaTheme="minorEastAsia" w:hAnsiTheme="minorBidi"/>
          <w:sz w:val="24"/>
          <w:szCs w:val="24"/>
          <w:lang w:eastAsia="en-GB"/>
        </w:rPr>
        <w:t xml:space="preserve">of </w:t>
      </w:r>
      <w:r w:rsidRPr="008D315E">
        <w:rPr>
          <w:rFonts w:asciiTheme="minorBidi" w:eastAsiaTheme="minorEastAsia" w:hAnsiTheme="minorBidi"/>
          <w:sz w:val="24"/>
          <w:szCs w:val="24"/>
          <w:lang w:eastAsia="en-GB"/>
        </w:rPr>
        <w:t xml:space="preserve">expanding the scope of pharmacy practice to provide diabetes-related services.  </w:t>
      </w:r>
    </w:p>
    <w:p w14:paraId="6188CBD5" w14:textId="77777777" w:rsidR="00F04DC3" w:rsidRDefault="00F04DC3" w:rsidP="00F04DC3">
      <w:pPr>
        <w:spacing w:before="240" w:line="360" w:lineRule="auto"/>
        <w:jc w:val="both"/>
        <w:rPr>
          <w:rFonts w:ascii="Arial" w:hAnsi="Arial" w:cs="Arial"/>
          <w:sz w:val="24"/>
          <w:szCs w:val="24"/>
          <w:lang w:val="en-GB"/>
        </w:rPr>
      </w:pPr>
      <w:r w:rsidRPr="001056C0">
        <w:rPr>
          <w:rFonts w:ascii="Arial" w:hAnsi="Arial" w:cs="Arial"/>
          <w:sz w:val="24"/>
          <w:szCs w:val="24"/>
          <w:lang w:val="en-GB"/>
        </w:rPr>
        <w:t xml:space="preserve">Overall, positive attitudes and expectations </w:t>
      </w:r>
      <w:r>
        <w:rPr>
          <w:rFonts w:ascii="Arial" w:hAnsi="Arial" w:cs="Arial"/>
          <w:sz w:val="24"/>
          <w:szCs w:val="24"/>
          <w:lang w:val="en-GB"/>
        </w:rPr>
        <w:t>of</w:t>
      </w:r>
      <w:r w:rsidRPr="001056C0">
        <w:rPr>
          <w:rFonts w:ascii="Arial" w:hAnsi="Arial" w:cs="Arial"/>
          <w:sz w:val="24"/>
          <w:szCs w:val="24"/>
          <w:lang w:val="en-GB"/>
        </w:rPr>
        <w:t xml:space="preserve"> the clinical role of pharmacists w</w:t>
      </w:r>
      <w:r>
        <w:rPr>
          <w:rFonts w:ascii="Arial" w:hAnsi="Arial" w:cs="Arial"/>
          <w:sz w:val="24"/>
          <w:szCs w:val="24"/>
          <w:lang w:val="en-GB"/>
        </w:rPr>
        <w:t>ere</w:t>
      </w:r>
      <w:r w:rsidRPr="001056C0">
        <w:rPr>
          <w:rFonts w:ascii="Arial" w:hAnsi="Arial" w:cs="Arial"/>
          <w:sz w:val="24"/>
          <w:szCs w:val="24"/>
          <w:lang w:val="en-GB"/>
        </w:rPr>
        <w:t xml:space="preserve"> found among </w:t>
      </w:r>
      <w:r>
        <w:rPr>
          <w:rFonts w:ascii="Arial" w:hAnsi="Arial" w:cs="Arial"/>
          <w:sz w:val="24"/>
          <w:szCs w:val="24"/>
          <w:lang w:val="en-GB"/>
        </w:rPr>
        <w:t xml:space="preserve">HCPs, including </w:t>
      </w:r>
      <w:r w:rsidRPr="001056C0">
        <w:rPr>
          <w:rFonts w:ascii="Arial" w:hAnsi="Arial" w:cs="Arial"/>
          <w:sz w:val="24"/>
          <w:szCs w:val="24"/>
          <w:lang w:val="en-GB"/>
        </w:rPr>
        <w:t>doctors, pharmacists, and nurses</w:t>
      </w:r>
      <w:r>
        <w:rPr>
          <w:rFonts w:ascii="Arial" w:hAnsi="Arial" w:cs="Arial"/>
          <w:sz w:val="24"/>
          <w:szCs w:val="24"/>
          <w:lang w:val="en-GB"/>
        </w:rPr>
        <w:t>.</w:t>
      </w:r>
      <w:r w:rsidRPr="001056C0">
        <w:rPr>
          <w:rFonts w:ascii="Arial" w:hAnsi="Arial" w:cs="Arial"/>
          <w:sz w:val="24"/>
          <w:szCs w:val="24"/>
          <w:lang w:val="en-GB"/>
        </w:rPr>
        <w:t xml:space="preserve"> </w:t>
      </w:r>
      <w:r w:rsidRPr="009742E7">
        <w:rPr>
          <w:rFonts w:ascii="Arial" w:hAnsi="Arial" w:cs="Arial"/>
          <w:sz w:val="24"/>
          <w:szCs w:val="24"/>
          <w:lang w:val="en-GB"/>
        </w:rPr>
        <w:t xml:space="preserve">There are similarities between the attitudes expressed by participants in this study and those described </w:t>
      </w:r>
      <w:r>
        <w:rPr>
          <w:rFonts w:ascii="Arial" w:hAnsi="Arial" w:cs="Arial"/>
          <w:sz w:val="24"/>
          <w:szCs w:val="24"/>
          <w:lang w:val="en-GB"/>
        </w:rPr>
        <w:t>in other studies</w:t>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{"citationItems":[{"id":"ITEM-1","itemData":{"author":[{"dropping-particle":"","family":"Aldraimly","given":"Maha","non-dropping-particle":"","parse-names":false,"suffix":""},{"dropping-particle":"","family":"Suliman","given":"Sayed Azhar","non-dropping-particle":"","parse-names":false,"suffix":""},{"dropping-particle":"","family":"Alhabib","given":"Samia","non-dropping-particle":"","parse-names":false,"suffix":""},{"dropping-particle":"","family":"Almadani","given":"Wedad","non-dropping-particle":"","parse-names":false,"suffix":""},{"dropping-particle":"","family":"Nouri","given":"Ahmed Ibrahim","non-dropping-particle":"","parse-names":false,"suffix":""},{"dropping-particle":"","family":"Lamfon","given":"Nahid Ahmed","non-dropping-particle":"","parse-names":false,"suffix":""},{"dropping-particle":"","family":"Alanazi","given":"Reem Fahad","non-dropping-particle":"","parse-names":false,"suffix":""}],"container-title":"International Journal of Pharma Sciences and Scientific Research","id":"ITEM-1","issue":"6","issued":{"date-parts":[["2019"]]},"page":"75-80","title":"Knowledge , Attitude , and Practices of Physicians in Ambulatroy Care towards Clinical Pharmacist Educational Sessions of Diabetes Mellitus Management in Saudi Arabia","type":"article-journal","volume":"5"},"uris":["http://www.mendeley.com/documents/?uuid=60c150d1-601b-4273-adf4-1f406bd8e87f"]}],"mendeley":{"formattedCitation":"(Aldraimly &lt;i&gt;et al.&lt;/i&gt;, 2019)","manualFormatting":"(Aldraimly et al., 2019;","plainTextFormattedCitation":"(Aldraimly et al., 2019)","previouslyFormattedCitation":"(Aldraimly &lt;i&gt;et al.&lt;/i&gt;, 2019)"},"properties":{"noteIndex":0},"schema":"https://github.com/citation-style-language/schema/raw/master/csl-citation.json"}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(Aldraimly et al., 2019</w:t>
      </w:r>
      <w:r>
        <w:rPr>
          <w:rFonts w:ascii="Arial" w:hAnsi="Arial" w:cs="Arial"/>
          <w:noProof/>
          <w:sz w:val="24"/>
          <w:szCs w:val="24"/>
          <w:lang w:val="en-GB"/>
        </w:rPr>
        <w:t>;</w:t>
      </w:r>
      <w:r w:rsidRPr="001056C0">
        <w:rPr>
          <w:rFonts w:ascii="Arial" w:hAnsi="Arial" w:cs="Arial"/>
          <w:sz w:val="24"/>
          <w:szCs w:val="24"/>
          <w:lang w:val="en-GB"/>
        </w:rPr>
        <w:fldChar w:fldCharType="end"/>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{"citationItems":[{"id":"ITEM-1","itemData":{"DOI":"10.1177/2377960819889769","ISSN":"23779608","abstract":"Clinical pharmacists are responsible for guiding pharmacotherapy and ensuring medication safety along with other health-care providers. This study highlighted barriers that physicians and nurses encounter when interacting with clinical pharmacists. Twenty-seven physicians and nurses were randomly invited to participate in focus-group discussions. Five focus-group discussions were recorded and then transcribed, and the transcripts were reviewed and coded. Three major themes were identified, which were the role of clinical pharmacists, interprofessional communication, and competency. The greatest challenge reported in this study was lack of consistent understanding of the role of clinical pharmacists which to some extent caused communication deficiencies and affected the level of involvement with multidisciplinary teams. Despite that, majority of the participants perceived pharmacists as beneficial in optimizing pharmacotherapy and improving quality of care. Clinical pharmacy services are perceived positively in impacting quality of care as expressed by majority of the study participants. However, there is a lack of common understanding of the role of clinical pharmacists by other health-care providers.","author":[{"dropping-particle":"","family":"Alsuhebany","given":"Nada","non-dropping-particle":"","parse-names":false,"suffix":""},{"dropping-particle":"","family":"Alfehaid","given":"Lama","non-dropping-particle":"","parse-names":false,"suffix":""},{"dropping-particle":"","family":"Almodaimegh","given":"Hind","non-dropping-particle":"","parse-names":false,"suffix":""},{"dropping-particle":"","family":"Albekairy","given":"Abdulkareem","non-dropping-particle":"","parse-names":false,"suffix":""},{"dropping-particle":"","family":"Alharbi","given":"Shmeylan","non-dropping-particle":"","parse-names":false,"suffix":""}],"container-title":"SAGE Open Nursing","id":"ITEM-1","issued":{"date-parts":[["2019"]]},"title":"Attitude and Perception of Physicians and Nurses Toward the Role of Clinical Pharmacists in Riyadh, Saudi Arabia: A Qualitative Study","type":"article-journal","volume":"5"},"uris":["http://www.mendeley.com/documents/?uuid=85a9f96e-883b-424e-8019-689cd4c4142c"]}],"mendeley":{"formattedCitation":"(Alsuhebany &lt;i&gt;et al.&lt;/i&gt;, 2019)","manualFormatting":"Alsuhebany et al., 2019","plainTextFormattedCitation":"(Alsuhebany et al., 2019)","previouslyFormattedCitation":"(Alsuhebany &lt;i&gt;et al.&lt;/i&gt;, 2019)"},"properties":{"noteIndex":0},"schema":"https://github.com/citation-style-language/schema/raw/master/csl-citation.json"}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Alsuhebany et al., 2019</w:t>
      </w:r>
      <w:r w:rsidRPr="001056C0">
        <w:rPr>
          <w:rFonts w:ascii="Arial" w:hAnsi="Arial" w:cs="Arial"/>
          <w:sz w:val="24"/>
          <w:szCs w:val="24"/>
          <w:lang w:val="en-GB"/>
        </w:rPr>
        <w:fldChar w:fldCharType="end"/>
      </w:r>
      <w:r>
        <w:rPr>
          <w:rFonts w:ascii="Arial" w:hAnsi="Arial" w:cs="Arial"/>
          <w:sz w:val="24"/>
          <w:szCs w:val="24"/>
          <w:lang w:val="en-GB"/>
        </w:rPr>
        <w:t>;</w:t>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{"citationItems":[{"id":"ITEM-1","itemData":{"DOI":"10.1177/2377960819889769","ISSN":"23779608","abstract":"Clinical pharmacists are responsible for guiding pharmacotherapy and ensuring medication safety along with other health-care providers. This study highlighted barriers that physicians and nurses encounter when interacting with clinical pharmacists. Twenty-seven physicians and nurses were randomly invited to participate in focus-group discussions. Five focus-group discussions were recorded and then transcribed, and the transcripts were reviewed and coded. Three major themes were identified, which were the role of clinical pharmacists, interprofessional communication, and competency. The greatest challenge reported in this study was lack of consistent understanding of the role of clinical pharmacists which to some extent caused communication deficiencies and affected the level of involvement with multidisciplinary teams. Despite that, majority of the participants perceived pharmacists as beneficial in optimizing pharmacotherapy and improving quality of care. Clinical pharmacy services are perceived positively in impacting quality of care as expressed by majority of the study participants. However, there is a lack of common understanding of the role of clinical pharmacists by other health-care providers.","author":[{"dropping-particle":"","family":"Alsuhebany","given":"Nada","non-dropping-particle":"","parse-names":false,"suffix":""},{"dropping-particle":"","family":"Alfehaid","given":"Lama","non-dropping-particle":"","parse-names":false,"suffix":""},{"dropping-particle":"","family":"Almodaimegh","given":"Hind","non-dropping-particle":"","parse-names":false,"suffix":""},{"dropping-particle":"","family":"Albekairy","given":"Abdulkareem","non-dropping-particle":"","parse-names":false,"suffix":""},{"dropping-particle":"","family":"Alharbi","given":"Shmeylan","non-dropping-particle":"","parse-names":false,"suffix":""}],"container-title":"SAGE Open Nursing","id":"ITEM-1","issued":{"date-parts":[["2019"]]},"title":"Attitude and Perception of Physicians and Nurses Toward the Role of Clinical Pharmacists in Riyadh, Saudi Arabia: A Qualitative Study","type":"article-journal","volume":"5"},"uris":["http://www.mendeley.com/documents/?uuid=85a9f96e-883b-424e-8019-689cd4c4142c"]}],"mendeley":{"formattedCitation":"(Alsuhebany &lt;i&gt;et al.&lt;/i&gt;, 2019)","manualFormatting":"Alsuhebany et al., 2019","plainTextFormattedCitation":"(Alsuhebany et al., 2019)","previouslyFormattedCitation":"(Alsuhebany &lt;i&gt;et al.&lt;/i&gt;, 2019)"},"properties":{"noteIndex":0},"schema":"https://github.com/citation-style-language/schema/raw/master/csl-citation.json"}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Alsuhebany et al., 2019</w:t>
      </w:r>
      <w:r w:rsidRPr="001056C0">
        <w:rPr>
          <w:rFonts w:ascii="Arial" w:hAnsi="Arial" w:cs="Arial"/>
          <w:sz w:val="24"/>
          <w:szCs w:val="24"/>
          <w:lang w:val="en-GB"/>
        </w:rPr>
        <w:fldChar w:fldCharType="end"/>
      </w:r>
      <w:r>
        <w:rPr>
          <w:rFonts w:ascii="Arial" w:hAnsi="Arial" w:cs="Arial"/>
          <w:sz w:val="24"/>
          <w:szCs w:val="24"/>
          <w:lang w:val="en-GB"/>
        </w:rPr>
        <w:t>;</w:t>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{"citationItems":[{"id":"ITEM-1","itemData":{"DOI":"10.37268/mjphm/vol.17/no.3/art.220","ISSN":"1675-0306","abstract":"The objective of this study is to explore physician’s perception toward clinical pharmacy services and role of clinical pharmacists in governmental hospitals at Al-Qassim region. An observational cross-sectional survey was conducted. Results: 150 males and 39 females participated giving 75.5% (189 of 250) response rate. Physicians perceptions were found to be high (equal or more than 90% of frequency) in some clinical pharmacy services such as patients’ education and counselling, monitoring of patients’ responses to drug therapy including toxicity/side effects and provision of drug information to healthcare professionals. The physicians showed low perception (less than 76%) in the taking of patients’ medication history on admission, by clinical pharmacists. Conclusion: Physicians’ perception toward clinical pharmacy services and the role of clinical pharmacists was not found to be completely favourable. The reason of this mixed responses and to the accommodating feelings of clinical pharmacy services in clinical setting appear to relate to the state of infrastructure and environments of hospitals. The infrastructure and environments of hospitals need to be updated for an improved accommodation clinical pharmacy services.","author":[{"dropping-particle":"","family":"Ahmed","given":"Nahid Osman","non-dropping-particle":"","parse-names":false,"suffix":""},{"dropping-particle":"","family":"Mahfoudh A. M. Abdulghani","given":"","non-dropping-particle":"","parse-names":false,"suffix":""},{"dropping-particle":"","family":"Sarah Fahad Alrebdi","given":"","non-dropping-particle":"","parse-names":false,"suffix":""},{"dropping-particle":"","family":"Mohammed Faez Baobaid","given":"","non-dropping-particle":"","parse-names":false,"suffix":""}],"container-title":"Malaysian Journal of Public Health Medicine","id":"ITEM-1","issue":"3","issued":{"date-parts":[["2017"]]},"page":"109-116","title":"Perceptions of Physicians About Clinical Pharmacist’S Role in Al Qassim’S Hospitals in Saudi Arabia","type":"article-journal","volume":"17"},"uris":["http://www.mendeley.com/documents/?uuid=f12691f8-eeda-42e1-8cfa-40d94b1b4a9e"]}],"mendeley":{"formattedCitation":"(Ahmed &lt;i&gt;et al.&lt;/i&gt;, 2017)","manualFormatting":"Ahmed et al., 2017","plainTextFormattedCitation":"(Ahmed et al., 2017)","previouslyFormattedCitation":"(Ahmed &lt;i&gt;et al.&lt;/i&gt;, 2017)"},"properties":{"noteIndex":0},"schema":"https://github.com/citation-style-language/schema/raw/master/csl-citation.json"}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Ahmed et al., 2017</w:t>
      </w:r>
      <w:r w:rsidRPr="001056C0">
        <w:rPr>
          <w:rFonts w:ascii="Arial" w:hAnsi="Arial" w:cs="Arial"/>
          <w:sz w:val="24"/>
          <w:szCs w:val="24"/>
          <w:lang w:val="en-GB"/>
        </w:rPr>
        <w:fldChar w:fldCharType="end"/>
      </w:r>
      <w:r>
        <w:rPr>
          <w:rFonts w:ascii="Arial" w:hAnsi="Arial" w:cs="Arial"/>
          <w:sz w:val="24"/>
          <w:szCs w:val="24"/>
          <w:lang w:val="en-GB"/>
        </w:rPr>
        <w:t>;</w:t>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{"citationItems":[{"id":"ITEM-1","itemData":{"DOI":"10.4314/tjpr.v14i5.23","ISSN":"15969827","abstract":"Purpose: To evaluate the attitudes and perceptions of health care providers towards clinical pharmacy services at King Khalid University Hospital Riyadh Saudi Arabia Method: A cross-sectional survey of healthcare providers was conducted in King Khalid University Hospital, Riyadh, Saudi Arabia from September to November 2013. A self-administered questionnaire was delivered to health care professionals (HCPs) who included physicians, pharmacists and nurses. Results: The response rate was 78 % (457/600). The majority of the respondents (92.4 %) knew that the clinical pharmacist is an integral part of the medical team while 86.5 % of the participants expressed confidence in the ability of clinical pharmacists to improve the quality of patient care through their practice. Despite the relative lack of awareness of the increasing interest in clinical pharmacy practice (59.6 % were not aware of such a trend), pharmacists were less appreciative (p &lt; 0.05) of the positive role of clinical pharmacists in direct patient care compared to both physicians and nurses (67.4, 74.3 and 72.3 %, respectively). Conclusion: The findings of this study reveal that health care professionals HCPs have positive attitude towards the role of the clinical pharmacist in the health care setting studied. However, there is a need for Saudi hospitals to adopt full clinical pharmacy service including drug monitoring, drug information and pharmacotherapy for enhanced health care.","author":[{"dropping-particle":"","family":"Al-Arifi","given":"Mohamed N.","non-dropping-particle":"","parse-names":false,"suffix":""},{"dropping-particle":"","family":"Alghamdi","given":"B.","non-dropping-particle":"","parse-names":false,"suffix":""},{"dropping-particle":"","family":"Al-Saadi","given":"M.","non-dropping-particle":"","parse-names":false,"suffix":""},{"dropping-particle":"","family":"Idris","given":"A. E.","non-dropping-particle":"","parse-names":false,"suffix":""},{"dropping-particle":"","family":"Wajid","given":"Syed","non-dropping-particle":"","parse-names":false,"suffix":""},{"dropping-particle":"","family":"Said","given":"Ragab","non-dropping-particle":"","parse-names":false,"suffix":""},{"dropping-particle":"","family":"Babelghaith","given":"Salmeen D.","non-dropping-particle":"","parse-names":false,"suffix":""}],"container-title":"Tropical Journal of Pharmaceutical Research","id":"ITEM-1","issue":"5","issued":{"date-parts":[["2015"]]},"page":"913-918","title":"Attitudes and perceptions of healthcare providers towards clinical pharmacy services at a tertiary care hospital in Riyadh, Saudi Arabia","type":"article-journal","volume":"14"},"uris":["http://www.mendeley.com/documents/?uuid=bf6b27b5-5ea1-470f-9332-284c09dc15a2"]}],"mendeley":{"formattedCitation":"(Al-Arifi, Alghamdi, &lt;i&gt;et al.&lt;/i&gt;, 2015)","manualFormatting":"Al-Arifi et al., 2015","plainTextFormattedCitation":"(Al-Arifi, Alghamdi, et al., 2015)","previouslyFormattedCitation":"(Al-Arifi, Alghamdi, &lt;i&gt;et al.&lt;/i&gt;, 2015)"},"properties":{"noteIndex":0},"schema":"https://github.com/citation-style-language/schema/raw/master/csl-citation.json"}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Al-Arifi et al., 2015</w:t>
      </w:r>
      <w:r w:rsidRPr="001056C0">
        <w:rPr>
          <w:rFonts w:ascii="Arial" w:hAnsi="Arial" w:cs="Arial"/>
          <w:sz w:val="24"/>
          <w:szCs w:val="24"/>
          <w:lang w:val="en-GB"/>
        </w:rPr>
        <w:fldChar w:fldCharType="end"/>
      </w:r>
      <w:r>
        <w:rPr>
          <w:rFonts w:ascii="Arial" w:hAnsi="Arial" w:cs="Arial"/>
          <w:sz w:val="24"/>
          <w:szCs w:val="24"/>
          <w:lang w:val="en-GB"/>
        </w:rPr>
        <w:t>a</w:t>
      </w:r>
      <w:r>
        <w:rPr>
          <w:rStyle w:val="CommentReference"/>
        </w:rPr>
        <w:t>;</w:t>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{"citationItems":[{"id":"ITEM-1","itemData":{"DOI":"10.9734/jsrr/2015/11637","abstract":"The purpose of this study was to investigate physicians' perceptions and expectations regarding clinical pharmacists working in the healthcare team. In addition, to determining the barriers that impede clinical pharmacists' contributions to the team, from the physician's point. A self-administered questionnaire was delivered to randomly selected physicians in Riyadh hospitals. The survey was pilot-tested on a small group of physicians to improve clarity and limit response bias. A total of 135 physicians were enrolled in this study. In terms of working with clinical pharmacists, 28% and 39% indicated they either never or rarely worked with a clinical pharmacist, respectively, while only 4% and 9% worked with a clinical pharmacist quite often or very often. Respondents agreed that clinical pharmacists were an integral part of the medical team (mean 4.4±0.72) and found them to be helpful in managing drug interactions and side effects, selecting appropriate drug therapies during pregnancy and educating other healthcare workers. Most respondents agreed that the specific responsibilities of a clinical pharmacist were not clearly defined (mean 3.83±0.98). Physicians seemed to be unaware of the potential benefits of having a Clinical Practice Article Almazrou et al.; JSRR, 6(5): 404-415, 2015; Article no.JSRR.2015.165 405 clinical pharmacist on their teams, and some physicians had no prior experience working with clinical pharmacists. Physicians in Riyadh were receptive to most statements regarding perceptions and expectations of clinical pharmacists. They considered them an integral part of the medical team, with a major role in educating other healthcare workers. The most frequently identified barrier was lack of role definition of clinical pharmacists.","author":[{"dropping-particle":"","family":"Almazrou","given":"Saja","non-dropping-particle":"","parse-names":false,"suffix":""},{"dropping-particle":"","family":"Alnaim","given":"Lamya","non-dropping-particle":"","parse-names":false,"suffix":""},{"dropping-particle":"","family":"Al-Kofide","given":"Hadeel","non-dropping-particle":"","parse-names":false,"suffix":""}],"container-title":"Journal of Scientific Research and Reports","id":"ITEM-1","issue":"5","issued":{"date-parts":[["2015"]]},"page":"404-415","title":"Perceptions, Expectations and Barriers of Physicians towards Working with Clinical Pharmacists in Saudi Arabia","type":"article-journal","volume":"6"},"uris":["http://www.mendeley.com/documents/?uuid=502ce6cd-3f43-4975-bcb2-89579b049e7f"]}],"mendeley":{"formattedCitation":"(Almazrou, Alnaim and Al-Kofide, 2015)","manualFormatting":"Almazrou, Alnaim and Al-Kofide, 2015","plainTextFormattedCitation":"(Almazrou, Alnaim and Al-Kofide, 2015)","previouslyFormattedCitation":"(Almazrou, Alnaim and Al-Kofide, 2015)"},"properties":{"noteIndex":0},"schema":"https://github.com/citation-style-language/schema/raw/master/csl-citation.json"}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Almazrou, Alnaim and Al-Kofide, 2015</w:t>
      </w:r>
      <w:r w:rsidRPr="001056C0">
        <w:rPr>
          <w:rFonts w:ascii="Arial" w:hAnsi="Arial" w:cs="Arial"/>
          <w:sz w:val="24"/>
          <w:szCs w:val="24"/>
          <w:lang w:val="en-GB"/>
        </w:rPr>
        <w:fldChar w:fldCharType="end"/>
      </w:r>
      <w:r>
        <w:rPr>
          <w:rFonts w:ascii="Arial" w:hAnsi="Arial" w:cs="Arial"/>
          <w:sz w:val="24"/>
          <w:szCs w:val="24"/>
          <w:lang w:val="en-GB"/>
        </w:rPr>
        <w:t>;</w:t>
      </w:r>
      <w:r w:rsidRPr="001056C0">
        <w:rPr>
          <w:rFonts w:ascii="Arial" w:hAnsi="Arial" w:cs="Arial"/>
          <w:sz w:val="24"/>
          <w:szCs w:val="24"/>
          <w:lang w:val="en-GB"/>
        </w:rPr>
        <w:t xml:space="preserve">  </w:t>
      </w:r>
      <w:r w:rsidRPr="001056C0">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{"citationItems":[{"id":"ITEM-1","itemData":{"ISSN":"0973-8398","abstract":"To explore opinions of pharmacist toward pharmaceutical care (PC) in Riyadh, the capital of Saudi Arabia. A descriptive, cross-sectional survey was conducted over a 3 months period (November 2012 to January 2013) in National Guard Primary Health Center, Riyadh the capital of Saudi Arabia. A 20-item questionnaire was adopted, validated and given to 100 pharmacists. The response rate was 80% where 100 respondents were approached, and 80 of them responded to our survey questionnaire. Overall Pharmacists expressed positive attitudes toward PC. A total of 73 (91%) respondents indicated that common situation regarding appropriateness of prescribing was receiving an error in prescription with incomplete information. A majority of the respondents (78.6%) disagreed or strongly disagree with the statement, that pharmacist of primary healthcare centers have insufficient knowledge/skills to provide PC. The finding of this study revealed that pharmacists have positive attitudes toward PC overall. More attention should be given to improve pharmacists' actual PC capabilities to extend their professional role. However, new development in Saudi hospitals would be recommended to improve health care systems.","author":[{"dropping-particle":"","family":"Al-Arifi","given":"Mohamed N.","non-dropping-particle":"","parse-names":false,"suffix":""},{"dropping-particle":"","family":"Dhawailie","given":"Abdulatif","non-dropping-particle":"Al","parse-names":false,"suffix":""},{"dropping-particle":"","family":"M.","given":"Aldohyan","non-dropping-particle":"","parse-names":false,"suffix":""},{"dropping-particle":"","family":"S.","given":"Wajid","non-dropping-particle":"","parse-names":false,"suffix":""},{"dropping-particle":"","family":"S.D.","given":"Babelgaith","non-dropping-particle":"","parse-names":false,"suffix":""},{"dropping-particle":"","family":"S.","given":"Rajab","non-dropping-particle":"","parse-names":false,"suffix":""}],"container-title":"Asian Journal of Pharmaceutics","id":"ITEM-1","issue":"4","issued":{"date-parts":[["2015"]]},"page":"277-282","title":"A survey on pharmacist opinion about pharmaceutical care in Saudi Arabia","type":"article-journal","volume":"9"},"uris":["http://www.mendeley.com/documents/?uuid=da5ac9a9-edf8-4c3f-ad94-903f8f5085f9"]}],"mendeley":{"formattedCitation":"(Al-Arifi, Al Dhawailie, &lt;i&gt;et al.&lt;/i&gt;, 2015)","manualFormatting":"Al-Arifi et al., 2015b)","plainTextFormattedCitation":"(Al-Arifi, Al Dhawailie, et al., 2015)","previouslyFormattedCitation":"(Al-Arifi, Al Dhawailie, &lt;i&gt;et al.&lt;/i&gt;, 2015)"},"properties":{"noteIndex":0},"schema":"https://github.com/citation-style-language/schema/raw/master/csl-citation.json"}</w:instrText>
      </w:r>
      <w:r w:rsidRPr="001056C0">
        <w:rPr>
          <w:rFonts w:ascii="Arial" w:hAnsi="Arial" w:cs="Arial"/>
          <w:sz w:val="24"/>
          <w:szCs w:val="24"/>
          <w:lang w:val="en-GB"/>
        </w:rPr>
        <w:fldChar w:fldCharType="separate"/>
      </w:r>
      <w:r w:rsidRPr="001056C0">
        <w:rPr>
          <w:rFonts w:ascii="Arial" w:hAnsi="Arial" w:cs="Arial"/>
          <w:noProof/>
          <w:sz w:val="24"/>
          <w:szCs w:val="24"/>
          <w:lang w:val="en-GB"/>
        </w:rPr>
        <w:t>Al-Arifi et al., 2015</w:t>
      </w:r>
      <w:r>
        <w:rPr>
          <w:rFonts w:ascii="Arial" w:hAnsi="Arial" w:cs="Arial"/>
          <w:noProof/>
          <w:sz w:val="24"/>
          <w:szCs w:val="24"/>
          <w:lang w:val="en-GB"/>
        </w:rPr>
        <w:t>b</w:t>
      </w:r>
      <w:r w:rsidRPr="001056C0">
        <w:rPr>
          <w:rFonts w:ascii="Arial" w:hAnsi="Arial" w:cs="Arial"/>
          <w:noProof/>
          <w:sz w:val="24"/>
          <w:szCs w:val="24"/>
          <w:lang w:val="en-GB"/>
        </w:rPr>
        <w:t>)</w:t>
      </w:r>
      <w:r w:rsidRPr="001056C0">
        <w:rPr>
          <w:rFonts w:ascii="Arial" w:hAnsi="Arial" w:cs="Arial"/>
          <w:sz w:val="24"/>
          <w:szCs w:val="24"/>
          <w:lang w:val="en-GB"/>
        </w:rPr>
        <w:fldChar w:fldCharType="end"/>
      </w:r>
      <w:r w:rsidRPr="001056C0">
        <w:rPr>
          <w:rFonts w:ascii="Arial" w:hAnsi="Arial" w:cs="Arial"/>
          <w:sz w:val="24"/>
          <w:szCs w:val="24"/>
          <w:lang w:val="en-GB"/>
        </w:rPr>
        <w:t xml:space="preserve">. </w:t>
      </w:r>
    </w:p>
    <w:p w14:paraId="58008364" w14:textId="77777777" w:rsidR="00F04DC3" w:rsidRDefault="00F04DC3" w:rsidP="00F04DC3">
      <w:pPr>
        <w:spacing w:line="360" w:lineRule="auto"/>
        <w:jc w:val="both"/>
        <w:rPr>
          <w:rFonts w:asciiTheme="minorBidi" w:eastAsiaTheme="minorEastAsia" w:hAnsiTheme="minorBidi"/>
          <w:sz w:val="24"/>
          <w:szCs w:val="24"/>
          <w:lang w:eastAsia="en-GB"/>
        </w:rPr>
      </w:pPr>
      <w:r w:rsidRPr="009A7F17">
        <w:rPr>
          <w:rFonts w:asciiTheme="minorBidi" w:eastAsiaTheme="minorEastAsia" w:hAnsiTheme="minorBidi"/>
          <w:sz w:val="24"/>
          <w:szCs w:val="24"/>
          <w:lang w:eastAsia="en-GB"/>
        </w:rPr>
        <w:t xml:space="preserve">This combination of findings regarding the attitudes of </w:t>
      </w:r>
      <w:r>
        <w:rPr>
          <w:rFonts w:asciiTheme="minorBidi" w:eastAsiaTheme="minorEastAsia" w:hAnsiTheme="minorBidi"/>
          <w:sz w:val="24"/>
          <w:szCs w:val="24"/>
          <w:lang w:eastAsia="en-GB"/>
        </w:rPr>
        <w:t>HCPs</w:t>
      </w:r>
      <w:r w:rsidRPr="009A7F17">
        <w:rPr>
          <w:rFonts w:asciiTheme="minorBidi" w:eastAsiaTheme="minorEastAsia" w:hAnsiTheme="minorBidi"/>
          <w:sz w:val="24"/>
          <w:szCs w:val="24"/>
          <w:lang w:eastAsia="en-GB"/>
        </w:rPr>
        <w:t xml:space="preserve"> toward pharmacists' roles in diabetes management provides some support for expanding the role of primary care pharmacists to provide some clinical activities beyond their typical role of verifying and dispensing prescriptions</w:t>
      </w:r>
      <w:r>
        <w:rPr>
          <w:rFonts w:asciiTheme="minorBidi" w:eastAsiaTheme="minorEastAsia" w:hAnsiTheme="minorBidi"/>
          <w:sz w:val="24"/>
          <w:szCs w:val="24"/>
          <w:lang w:eastAsia="en-GB"/>
        </w:rPr>
        <w:t>,</w:t>
      </w:r>
      <w:r w:rsidRPr="009A7F17">
        <w:rPr>
          <w:rFonts w:asciiTheme="minorBidi" w:eastAsiaTheme="minorEastAsia" w:hAnsiTheme="minorBidi"/>
          <w:sz w:val="24"/>
          <w:szCs w:val="24"/>
          <w:lang w:eastAsia="en-GB"/>
        </w:rPr>
        <w:t xml:space="preserve"> but </w:t>
      </w:r>
      <w:r>
        <w:rPr>
          <w:rFonts w:asciiTheme="minorBidi" w:eastAsiaTheme="minorEastAsia" w:hAnsiTheme="minorBidi"/>
          <w:sz w:val="24"/>
          <w:szCs w:val="24"/>
          <w:lang w:eastAsia="en-GB"/>
        </w:rPr>
        <w:t xml:space="preserve">only when </w:t>
      </w:r>
      <w:r w:rsidRPr="009A7F17">
        <w:rPr>
          <w:rFonts w:asciiTheme="minorBidi" w:eastAsiaTheme="minorEastAsia" w:hAnsiTheme="minorBidi"/>
          <w:sz w:val="24"/>
          <w:szCs w:val="24"/>
          <w:lang w:eastAsia="en-GB"/>
        </w:rPr>
        <w:t>aligned with their qualifications and competencies.</w:t>
      </w:r>
      <w:r>
        <w:rPr>
          <w:rFonts w:asciiTheme="minorBidi" w:eastAsiaTheme="minorEastAsia" w:hAnsiTheme="minorBidi"/>
          <w:sz w:val="24"/>
          <w:szCs w:val="24"/>
          <w:lang w:eastAsia="en-GB"/>
        </w:rPr>
        <w:t xml:space="preserve"> </w:t>
      </w:r>
    </w:p>
    <w:p w14:paraId="26BD8B71" w14:textId="77777777" w:rsidR="00F04DC3" w:rsidRDefault="00F04DC3" w:rsidP="00F04DC3">
      <w:pPr>
        <w:spacing w:line="360" w:lineRule="auto"/>
        <w:jc w:val="both"/>
        <w:rPr>
          <w:rFonts w:asciiTheme="minorBidi" w:hAnsiTheme="minorBidi"/>
          <w:sz w:val="24"/>
          <w:szCs w:val="24"/>
          <w:shd w:val="clear" w:color="auto" w:fill="FFFFFF"/>
        </w:rPr>
      </w:pPr>
      <w:r w:rsidRPr="00655774">
        <w:rPr>
          <w:rFonts w:asciiTheme="minorBidi" w:hAnsiTheme="minorBidi"/>
          <w:sz w:val="24"/>
          <w:szCs w:val="24"/>
          <w:shd w:val="clear" w:color="auto" w:fill="FFFFFF"/>
        </w:rPr>
        <w:t xml:space="preserve">This study revealed the need for a pharmacist to be part of the diabetes primary care management team. </w:t>
      </w:r>
      <w:r>
        <w:rPr>
          <w:rFonts w:asciiTheme="minorBidi" w:hAnsiTheme="minorBidi"/>
          <w:sz w:val="24"/>
          <w:szCs w:val="24"/>
          <w:shd w:val="clear" w:color="auto" w:fill="FFFFFF"/>
        </w:rPr>
        <w:t>However, s</w:t>
      </w:r>
      <w:r w:rsidRPr="00655774">
        <w:rPr>
          <w:rFonts w:asciiTheme="minorBidi" w:hAnsiTheme="minorBidi"/>
          <w:sz w:val="24"/>
          <w:szCs w:val="24"/>
          <w:shd w:val="clear" w:color="auto" w:fill="FFFFFF"/>
        </w:rPr>
        <w:t>everal challenges to pharmacists' involvement in diabetes primary care management are also revealed and will be discussed in the next section.</w:t>
      </w:r>
    </w:p>
    <w:p w14:paraId="0DF80C49" w14:textId="77777777" w:rsidR="00747BE4" w:rsidRDefault="00747BE4" w:rsidP="00747BE4">
      <w:pPr>
        <w:spacing w:line="360" w:lineRule="auto"/>
        <w:jc w:val="both"/>
        <w:rPr>
          <w:rFonts w:asciiTheme="minorBidi" w:hAnsiTheme="minorBidi"/>
          <w:sz w:val="24"/>
          <w:szCs w:val="24"/>
        </w:rPr>
      </w:pPr>
    </w:p>
    <w:p w14:paraId="7FFC1340" w14:textId="77777777" w:rsidR="00225E03" w:rsidRDefault="00225E03" w:rsidP="00747BE4">
      <w:pPr>
        <w:spacing w:line="360" w:lineRule="auto"/>
        <w:jc w:val="both"/>
        <w:rPr>
          <w:rFonts w:asciiTheme="minorBidi" w:hAnsiTheme="minorBidi"/>
          <w:sz w:val="24"/>
          <w:szCs w:val="24"/>
        </w:rPr>
        <w:sectPr w:rsidR="00225E03">
          <w:pgSz w:w="12240" w:h="15840"/>
          <w:pgMar w:top="1440" w:right="1440" w:bottom="1440" w:left="1440" w:header="720" w:footer="720" w:gutter="0"/>
          <w:cols w:space="720"/>
          <w:docGrid w:linePitch="360"/>
        </w:sectPr>
      </w:pPr>
    </w:p>
    <w:p w14:paraId="18FE7379" w14:textId="22397910" w:rsidR="00337BBF" w:rsidRDefault="00337BBF" w:rsidP="00337BBF">
      <w:pPr>
        <w:pStyle w:val="Caption"/>
        <w:rPr>
          <w:rFonts w:ascii="Arial" w:hAnsi="Arial" w:cs="Arial"/>
          <w:bCs/>
          <w:sz w:val="24"/>
          <w:szCs w:val="24"/>
        </w:rPr>
      </w:pPr>
      <w:bookmarkStart w:id="272" w:name="_Ref123527659"/>
      <w:bookmarkStart w:id="273" w:name="_Toc153894583"/>
      <w:r w:rsidRPr="00D75075">
        <w:rPr>
          <w:sz w:val="20"/>
          <w:szCs w:val="20"/>
        </w:rPr>
        <w:t xml:space="preserve">Table </w:t>
      </w:r>
      <w:r w:rsidRPr="00D75075">
        <w:rPr>
          <w:sz w:val="20"/>
          <w:szCs w:val="20"/>
        </w:rPr>
        <w:fldChar w:fldCharType="begin"/>
      </w:r>
      <w:r w:rsidRPr="00D75075">
        <w:rPr>
          <w:sz w:val="20"/>
          <w:szCs w:val="20"/>
        </w:rPr>
        <w:instrText xml:space="preserve"> SEQ Table \* ARABIC </w:instrText>
      </w:r>
      <w:r w:rsidRPr="00D75075">
        <w:rPr>
          <w:sz w:val="20"/>
          <w:szCs w:val="20"/>
        </w:rPr>
        <w:fldChar w:fldCharType="separate"/>
      </w:r>
      <w:r w:rsidR="009B31EB">
        <w:rPr>
          <w:noProof/>
          <w:sz w:val="20"/>
          <w:szCs w:val="20"/>
        </w:rPr>
        <w:t>29</w:t>
      </w:r>
      <w:r w:rsidRPr="00D75075">
        <w:rPr>
          <w:noProof/>
          <w:sz w:val="20"/>
          <w:szCs w:val="20"/>
        </w:rPr>
        <w:fldChar w:fldCharType="end"/>
      </w:r>
      <w:bookmarkEnd w:id="272"/>
      <w:r w:rsidRPr="00D75075">
        <w:rPr>
          <w:sz w:val="20"/>
          <w:szCs w:val="20"/>
        </w:rPr>
        <w:t xml:space="preserve">: Integration of Healthcare Professionals' Views on Potential </w:t>
      </w:r>
      <w:r>
        <w:rPr>
          <w:sz w:val="20"/>
          <w:szCs w:val="20"/>
        </w:rPr>
        <w:t xml:space="preserve">Current and Future roles of </w:t>
      </w:r>
      <w:r w:rsidRPr="00D75075">
        <w:rPr>
          <w:sz w:val="20"/>
          <w:szCs w:val="20"/>
        </w:rPr>
        <w:t xml:space="preserve">Pharmacist in Diabetes </w:t>
      </w:r>
      <w:r>
        <w:rPr>
          <w:sz w:val="20"/>
          <w:szCs w:val="20"/>
        </w:rPr>
        <w:t>Management</w:t>
      </w:r>
      <w:bookmarkEnd w:id="273"/>
      <w:r w:rsidRPr="00121C71">
        <w:rPr>
          <w:rFonts w:ascii="Arial" w:hAnsi="Arial" w:cs="Arial"/>
          <w:bCs/>
          <w:sz w:val="24"/>
          <w:szCs w:val="24"/>
        </w:rPr>
        <w:t xml:space="preserve"> </w:t>
      </w:r>
    </w:p>
    <w:tbl>
      <w:tblPr>
        <w:tblW w:w="13585" w:type="dxa"/>
        <w:tblLook w:val="04A0" w:firstRow="1" w:lastRow="0" w:firstColumn="1" w:lastColumn="0" w:noHBand="0" w:noVBand="1"/>
      </w:tblPr>
      <w:tblGrid>
        <w:gridCol w:w="1733"/>
        <w:gridCol w:w="1232"/>
        <w:gridCol w:w="2880"/>
        <w:gridCol w:w="4860"/>
        <w:gridCol w:w="2880"/>
      </w:tblGrid>
      <w:tr w:rsidR="00337BBF" w:rsidRPr="000F140D" w14:paraId="01D7D9B9" w14:textId="77777777" w:rsidTr="00282204">
        <w:trPr>
          <w:trHeight w:val="377"/>
        </w:trPr>
        <w:tc>
          <w:tcPr>
            <w:tcW w:w="1733" w:type="dxa"/>
            <w:tcBorders>
              <w:top w:val="single" w:sz="4" w:space="0" w:color="auto"/>
              <w:left w:val="single" w:sz="4" w:space="0" w:color="auto"/>
              <w:bottom w:val="single" w:sz="4" w:space="0" w:color="auto"/>
              <w:right w:val="single" w:sz="4" w:space="0" w:color="auto"/>
            </w:tcBorders>
            <w:shd w:val="clear" w:color="auto" w:fill="auto"/>
            <w:hideMark/>
          </w:tcPr>
          <w:p w14:paraId="74A0B169" w14:textId="77777777" w:rsidR="00337BBF" w:rsidRPr="000F140D" w:rsidRDefault="00337BBF" w:rsidP="00282204">
            <w:pPr>
              <w:spacing w:after="0" w:line="276" w:lineRule="auto"/>
              <w:rPr>
                <w:rFonts w:ascii="Calibri" w:eastAsia="Times New Roman" w:hAnsi="Calibri" w:cs="Calibri"/>
                <w:color w:val="000000"/>
                <w:sz w:val="20"/>
                <w:szCs w:val="20"/>
              </w:rPr>
            </w:pPr>
            <w:r w:rsidRPr="000F140D">
              <w:rPr>
                <w:rFonts w:ascii="Calibri" w:eastAsia="Times New Roman" w:hAnsi="Calibri" w:cs="Calibri"/>
                <w:color w:val="000000"/>
                <w:sz w:val="20"/>
                <w:szCs w:val="20"/>
              </w:rPr>
              <w:t xml:space="preserve">Research question </w:t>
            </w:r>
          </w:p>
        </w:tc>
        <w:tc>
          <w:tcPr>
            <w:tcW w:w="1232" w:type="dxa"/>
            <w:tcBorders>
              <w:top w:val="single" w:sz="4" w:space="0" w:color="auto"/>
              <w:left w:val="nil"/>
              <w:bottom w:val="single" w:sz="4" w:space="0" w:color="auto"/>
              <w:right w:val="single" w:sz="4" w:space="0" w:color="auto"/>
            </w:tcBorders>
            <w:shd w:val="clear" w:color="auto" w:fill="auto"/>
            <w:hideMark/>
          </w:tcPr>
          <w:p w14:paraId="53C2FBC9" w14:textId="77777777" w:rsidR="00337BBF" w:rsidRPr="000F140D" w:rsidRDefault="00337BBF" w:rsidP="00282204">
            <w:pPr>
              <w:spacing w:after="0" w:line="276" w:lineRule="auto"/>
              <w:rPr>
                <w:rFonts w:ascii="Calibri" w:eastAsia="Times New Roman" w:hAnsi="Calibri" w:cs="Calibri"/>
                <w:color w:val="000000"/>
                <w:sz w:val="20"/>
                <w:szCs w:val="20"/>
              </w:rPr>
            </w:pPr>
            <w:r w:rsidRPr="000F140D">
              <w:rPr>
                <w:rFonts w:ascii="Calibri" w:eastAsia="Times New Roman" w:hAnsi="Calibri" w:cs="Calibri"/>
                <w:color w:val="000000"/>
                <w:sz w:val="20"/>
                <w:szCs w:val="20"/>
              </w:rPr>
              <w:t>Activities</w:t>
            </w:r>
          </w:p>
        </w:tc>
        <w:tc>
          <w:tcPr>
            <w:tcW w:w="2880" w:type="dxa"/>
            <w:tcBorders>
              <w:top w:val="single" w:sz="4" w:space="0" w:color="auto"/>
              <w:left w:val="nil"/>
              <w:bottom w:val="single" w:sz="4" w:space="0" w:color="auto"/>
              <w:right w:val="single" w:sz="4" w:space="0" w:color="auto"/>
            </w:tcBorders>
            <w:shd w:val="clear" w:color="auto" w:fill="auto"/>
            <w:hideMark/>
          </w:tcPr>
          <w:p w14:paraId="7A42248F" w14:textId="77777777" w:rsidR="00337BBF" w:rsidRPr="000F140D" w:rsidRDefault="00337BBF" w:rsidP="00282204">
            <w:pPr>
              <w:spacing w:after="0" w:line="276" w:lineRule="auto"/>
              <w:rPr>
                <w:rFonts w:ascii="Calibri" w:eastAsia="Times New Roman" w:hAnsi="Calibri" w:cs="Calibri"/>
                <w:color w:val="000000"/>
                <w:sz w:val="20"/>
                <w:szCs w:val="20"/>
              </w:rPr>
            </w:pPr>
            <w:r w:rsidRPr="000F140D">
              <w:rPr>
                <w:rFonts w:ascii="Calibri" w:eastAsia="Times New Roman" w:hAnsi="Calibri" w:cs="Calibri"/>
                <w:color w:val="000000"/>
                <w:sz w:val="20"/>
                <w:szCs w:val="20"/>
              </w:rPr>
              <w:t>Survey</w:t>
            </w:r>
          </w:p>
        </w:tc>
        <w:tc>
          <w:tcPr>
            <w:tcW w:w="4860" w:type="dxa"/>
            <w:tcBorders>
              <w:top w:val="single" w:sz="4" w:space="0" w:color="auto"/>
              <w:left w:val="nil"/>
              <w:bottom w:val="single" w:sz="4" w:space="0" w:color="auto"/>
              <w:right w:val="single" w:sz="4" w:space="0" w:color="auto"/>
            </w:tcBorders>
            <w:shd w:val="clear" w:color="auto" w:fill="auto"/>
            <w:hideMark/>
          </w:tcPr>
          <w:p w14:paraId="56817A48" w14:textId="77777777" w:rsidR="00337BBF" w:rsidRPr="000F140D" w:rsidRDefault="00337BBF" w:rsidP="00282204">
            <w:pPr>
              <w:spacing w:after="0" w:line="276" w:lineRule="auto"/>
              <w:rPr>
                <w:rFonts w:ascii="Calibri" w:eastAsia="Times New Roman" w:hAnsi="Calibri" w:cs="Calibri"/>
                <w:color w:val="000000"/>
                <w:sz w:val="20"/>
                <w:szCs w:val="20"/>
              </w:rPr>
            </w:pPr>
            <w:r w:rsidRPr="000F140D">
              <w:rPr>
                <w:rFonts w:ascii="Calibri" w:eastAsia="Times New Roman" w:hAnsi="Calibri" w:cs="Calibri"/>
                <w:color w:val="000000"/>
                <w:sz w:val="20"/>
                <w:szCs w:val="20"/>
              </w:rPr>
              <w:t>Interviews</w:t>
            </w:r>
          </w:p>
        </w:tc>
        <w:tc>
          <w:tcPr>
            <w:tcW w:w="2880" w:type="dxa"/>
            <w:tcBorders>
              <w:top w:val="single" w:sz="4" w:space="0" w:color="auto"/>
              <w:left w:val="nil"/>
              <w:bottom w:val="single" w:sz="4" w:space="0" w:color="auto"/>
              <w:right w:val="single" w:sz="4" w:space="0" w:color="auto"/>
            </w:tcBorders>
            <w:shd w:val="clear" w:color="auto" w:fill="auto"/>
            <w:hideMark/>
          </w:tcPr>
          <w:p w14:paraId="403D1192" w14:textId="77777777" w:rsidR="00337BBF" w:rsidRPr="000F140D" w:rsidRDefault="00337BBF" w:rsidP="00282204">
            <w:pPr>
              <w:spacing w:after="0" w:line="276" w:lineRule="auto"/>
              <w:rPr>
                <w:rFonts w:ascii="Calibri" w:eastAsia="Times New Roman" w:hAnsi="Calibri" w:cs="Calibri"/>
                <w:color w:val="000000"/>
                <w:sz w:val="20"/>
                <w:szCs w:val="20"/>
              </w:rPr>
            </w:pPr>
            <w:r w:rsidRPr="000F140D">
              <w:rPr>
                <w:rFonts w:ascii="Calibri" w:eastAsia="Times New Roman" w:hAnsi="Calibri" w:cs="Calibri"/>
                <w:color w:val="000000"/>
                <w:sz w:val="20"/>
                <w:szCs w:val="20"/>
              </w:rPr>
              <w:t>Integration findings</w:t>
            </w:r>
          </w:p>
        </w:tc>
      </w:tr>
      <w:tr w:rsidR="00337BBF" w:rsidRPr="000F140D" w14:paraId="4D2B7589" w14:textId="77777777" w:rsidTr="00282204">
        <w:trPr>
          <w:trHeight w:val="1880"/>
        </w:trPr>
        <w:tc>
          <w:tcPr>
            <w:tcW w:w="1733" w:type="dxa"/>
            <w:tcBorders>
              <w:top w:val="nil"/>
              <w:left w:val="single" w:sz="4" w:space="0" w:color="auto"/>
              <w:bottom w:val="single" w:sz="4" w:space="0" w:color="auto"/>
              <w:right w:val="single" w:sz="4" w:space="0" w:color="auto"/>
            </w:tcBorders>
            <w:shd w:val="clear" w:color="auto" w:fill="auto"/>
            <w:hideMark/>
          </w:tcPr>
          <w:p w14:paraId="50C82CDA" w14:textId="77777777" w:rsidR="00337BBF" w:rsidRPr="000F140D" w:rsidRDefault="00337BBF" w:rsidP="00282204">
            <w:pPr>
              <w:spacing w:after="0" w:line="276" w:lineRule="auto"/>
              <w:rPr>
                <w:rFonts w:ascii="Calibri" w:eastAsia="Times New Roman" w:hAnsi="Calibri" w:cs="Calibri"/>
                <w:color w:val="000000"/>
                <w:sz w:val="20"/>
                <w:szCs w:val="20"/>
              </w:rPr>
            </w:pPr>
            <w:r w:rsidRPr="000F140D">
              <w:rPr>
                <w:rFonts w:ascii="Calibri" w:eastAsia="Times New Roman" w:hAnsi="Calibri" w:cs="Calibri"/>
                <w:color w:val="000000"/>
                <w:sz w:val="20"/>
                <w:szCs w:val="20"/>
              </w:rPr>
              <w:t xml:space="preserve">What is the perception of </w:t>
            </w:r>
            <w:r>
              <w:rPr>
                <w:rFonts w:ascii="Calibri" w:eastAsia="Times New Roman" w:hAnsi="Calibri" w:cs="Calibri"/>
                <w:color w:val="000000"/>
                <w:sz w:val="20"/>
                <w:szCs w:val="20"/>
              </w:rPr>
              <w:t>HCPs</w:t>
            </w:r>
            <w:r w:rsidRPr="000F140D">
              <w:rPr>
                <w:rFonts w:ascii="Calibri" w:eastAsia="Times New Roman" w:hAnsi="Calibri" w:cs="Calibri"/>
                <w:color w:val="000000"/>
                <w:sz w:val="20"/>
                <w:szCs w:val="20"/>
              </w:rPr>
              <w:t xml:space="preserve"> about the role (current and future) of primary care pharmacists in diabetes management in </w:t>
            </w:r>
            <w:r>
              <w:rPr>
                <w:rFonts w:ascii="Calibri" w:eastAsia="Times New Roman" w:hAnsi="Calibri" w:cs="Calibri"/>
                <w:color w:val="000000"/>
                <w:sz w:val="20"/>
                <w:szCs w:val="20"/>
              </w:rPr>
              <w:t>SA</w:t>
            </w:r>
            <w:r w:rsidRPr="000F140D">
              <w:rPr>
                <w:rFonts w:ascii="Calibri" w:eastAsia="Times New Roman" w:hAnsi="Calibri" w:cs="Calibri"/>
                <w:color w:val="000000"/>
                <w:sz w:val="20"/>
                <w:szCs w:val="20"/>
              </w:rPr>
              <w:t>?</w:t>
            </w:r>
          </w:p>
        </w:tc>
        <w:tc>
          <w:tcPr>
            <w:tcW w:w="1232" w:type="dxa"/>
            <w:tcBorders>
              <w:top w:val="nil"/>
              <w:left w:val="nil"/>
              <w:bottom w:val="single" w:sz="4" w:space="0" w:color="auto"/>
              <w:right w:val="single" w:sz="4" w:space="0" w:color="auto"/>
            </w:tcBorders>
            <w:shd w:val="clear" w:color="auto" w:fill="auto"/>
            <w:hideMark/>
          </w:tcPr>
          <w:p w14:paraId="2A6D8C34" w14:textId="77777777" w:rsidR="00337BBF" w:rsidRDefault="00337BBF" w:rsidP="00282204">
            <w:pPr>
              <w:spacing w:after="0" w:line="240" w:lineRule="auto"/>
              <w:rPr>
                <w:rFonts w:ascii="Calibri" w:eastAsia="Times New Roman" w:hAnsi="Calibri" w:cs="Calibri"/>
                <w:color w:val="000000"/>
                <w:sz w:val="20"/>
                <w:szCs w:val="20"/>
              </w:rPr>
            </w:pPr>
            <w:r w:rsidRPr="00A97BDD">
              <w:rPr>
                <w:rFonts w:ascii="Calibri" w:eastAsia="Times New Roman" w:hAnsi="Calibri" w:cs="Calibri"/>
                <w:color w:val="1F3864" w:themeColor="accent1" w:themeShade="80"/>
                <w:sz w:val="20"/>
                <w:szCs w:val="20"/>
              </w:rPr>
              <w:t>Roles</w:t>
            </w:r>
            <w:r>
              <w:rPr>
                <w:rFonts w:ascii="Calibri" w:eastAsia="Times New Roman" w:hAnsi="Calibri" w:cs="Calibri"/>
                <w:color w:val="1F3864" w:themeColor="accent1" w:themeShade="80"/>
                <w:sz w:val="20"/>
                <w:szCs w:val="20"/>
              </w:rPr>
              <w:t xml:space="preserve"> </w:t>
            </w:r>
            <w:r w:rsidRPr="000970BF">
              <w:rPr>
                <w:rFonts w:ascii="Calibri" w:eastAsia="Times New Roman" w:hAnsi="Calibri" w:cs="Calibri"/>
                <w:color w:val="1F3864" w:themeColor="accent1" w:themeShade="80"/>
                <w:sz w:val="20"/>
                <w:szCs w:val="20"/>
              </w:rPr>
              <w:t>suggested</w:t>
            </w:r>
            <w:r w:rsidRPr="000970BF">
              <w:rPr>
                <w:rFonts w:ascii="Calibri" w:eastAsia="Times New Roman" w:hAnsi="Calibri" w:cs="Calibri"/>
                <w:color w:val="000000"/>
                <w:sz w:val="20"/>
                <w:szCs w:val="20"/>
              </w:rPr>
              <w:t xml:space="preserve">: </w:t>
            </w:r>
          </w:p>
          <w:p w14:paraId="47A86BAD" w14:textId="77777777" w:rsidR="00337BBF" w:rsidRDefault="00337BBF" w:rsidP="00282204">
            <w:pPr>
              <w:spacing w:after="0" w:line="240" w:lineRule="auto"/>
              <w:rPr>
                <w:rFonts w:ascii="Calibri" w:eastAsia="Times New Roman" w:hAnsi="Calibri" w:cs="Calibri"/>
                <w:color w:val="000000"/>
                <w:sz w:val="20"/>
                <w:szCs w:val="20"/>
              </w:rPr>
            </w:pPr>
          </w:p>
          <w:p w14:paraId="23379BF3" w14:textId="77777777" w:rsidR="00337BBF"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MTM</w:t>
            </w:r>
          </w:p>
          <w:p w14:paraId="2766736C" w14:textId="77777777" w:rsidR="00337BBF"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w:t>
            </w:r>
            <w:r>
              <w:rPr>
                <w:rFonts w:ascii="Calibri" w:eastAsia="Times New Roman" w:hAnsi="Calibri" w:cs="Calibri"/>
                <w:color w:val="000000"/>
                <w:sz w:val="20"/>
                <w:szCs w:val="20"/>
              </w:rPr>
              <w:t>MR</w:t>
            </w:r>
          </w:p>
          <w:p w14:paraId="2066CE47" w14:textId="77777777" w:rsidR="00337BBF"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COMDE</w:t>
            </w:r>
          </w:p>
          <w:p w14:paraId="23043DAE" w14:textId="77777777" w:rsidR="00337BBF"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w:t>
            </w:r>
            <w:r>
              <w:rPr>
                <w:rFonts w:ascii="Calibri" w:eastAsia="Times New Roman" w:hAnsi="Calibri" w:cs="Calibri"/>
                <w:color w:val="000000"/>
                <w:sz w:val="20"/>
                <w:szCs w:val="20"/>
              </w:rPr>
              <w:t>COMDMM</w:t>
            </w:r>
          </w:p>
          <w:p w14:paraId="74BF056A" w14:textId="77777777" w:rsidR="00337BBF"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BGM</w:t>
            </w:r>
          </w:p>
          <w:p w14:paraId="5F3F9F1A" w14:textId="77777777" w:rsidR="00337BBF"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HGM)</w:t>
            </w:r>
          </w:p>
          <w:p w14:paraId="26C7A25B" w14:textId="77777777" w:rsidR="00337BBF"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VRx</w:t>
            </w:r>
          </w:p>
          <w:p w14:paraId="53AC44D7" w14:textId="77777777" w:rsidR="00337BBF"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P&amp;DRx</w:t>
            </w:r>
          </w:p>
          <w:p w14:paraId="12D9C666" w14:textId="77777777" w:rsidR="00337BBF"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PC&amp;E</w:t>
            </w:r>
          </w:p>
          <w:p w14:paraId="479CE5CF" w14:textId="77777777" w:rsidR="00337BBF"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HLE</w:t>
            </w:r>
          </w:p>
          <w:p w14:paraId="69291D39" w14:textId="77777777" w:rsidR="00337BBF"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DP</w:t>
            </w:r>
          </w:p>
          <w:p w14:paraId="69530A8B" w14:textId="77777777" w:rsidR="00337BBF" w:rsidRPr="000F140D" w:rsidRDefault="00337BBF" w:rsidP="00282204">
            <w:pPr>
              <w:spacing w:after="0" w:line="276" w:lineRule="auto"/>
              <w:rPr>
                <w:rFonts w:ascii="Calibri" w:eastAsia="Times New Roman" w:hAnsi="Calibri" w:cs="Calibri"/>
                <w:color w:val="000000"/>
                <w:sz w:val="20"/>
                <w:szCs w:val="20"/>
              </w:rPr>
            </w:pPr>
            <w:r w:rsidRPr="000970BF">
              <w:rPr>
                <w:rFonts w:ascii="Calibri" w:eastAsia="Times New Roman" w:hAnsi="Calibri" w:cs="Calibri"/>
                <w:color w:val="000000"/>
                <w:sz w:val="20"/>
                <w:szCs w:val="20"/>
              </w:rPr>
              <w:t>-</w:t>
            </w:r>
            <w:r>
              <w:rPr>
                <w:rFonts w:ascii="Calibri" w:eastAsia="Times New Roman" w:hAnsi="Calibri" w:cs="Calibri"/>
                <w:color w:val="000000"/>
                <w:sz w:val="20"/>
                <w:szCs w:val="20"/>
              </w:rPr>
              <w:t xml:space="preserve"> IP</w:t>
            </w:r>
          </w:p>
        </w:tc>
        <w:tc>
          <w:tcPr>
            <w:tcW w:w="2880" w:type="dxa"/>
            <w:tcBorders>
              <w:top w:val="nil"/>
              <w:left w:val="nil"/>
              <w:bottom w:val="single" w:sz="4" w:space="0" w:color="auto"/>
              <w:right w:val="single" w:sz="4" w:space="0" w:color="auto"/>
            </w:tcBorders>
            <w:shd w:val="clear" w:color="auto" w:fill="auto"/>
            <w:hideMark/>
          </w:tcPr>
          <w:p w14:paraId="31C8537C"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-HCPs</w:t>
            </w:r>
            <w:r w:rsidRPr="000F140D">
              <w:rPr>
                <w:rFonts w:ascii="Calibri" w:eastAsia="Times New Roman" w:hAnsi="Calibri" w:cs="Calibri"/>
                <w:color w:val="000000"/>
                <w:sz w:val="20"/>
                <w:szCs w:val="20"/>
              </w:rPr>
              <w:t xml:space="preserve"> were positive about the roles of pharmacists. </w:t>
            </w:r>
          </w:p>
          <w:p w14:paraId="6D377F7B" w14:textId="77777777" w:rsidR="00337BBF" w:rsidRDefault="00337BBF" w:rsidP="00282204">
            <w:pPr>
              <w:spacing w:after="0" w:line="240" w:lineRule="auto"/>
              <w:jc w:val="both"/>
              <w:rPr>
                <w:rFonts w:ascii="Calibri" w:eastAsia="Times New Roman" w:hAnsi="Calibri" w:cs="Calibri"/>
                <w:color w:val="000000"/>
                <w:sz w:val="20"/>
                <w:szCs w:val="20"/>
              </w:rPr>
            </w:pPr>
          </w:p>
          <w:p w14:paraId="05227DCF" w14:textId="77777777" w:rsidR="00337BBF" w:rsidRDefault="00337BBF" w:rsidP="00282204">
            <w:pPr>
              <w:spacing w:after="0" w:line="240" w:lineRule="auto"/>
              <w:jc w:val="both"/>
              <w:rPr>
                <w:rFonts w:ascii="Calibri" w:eastAsia="Times New Roman" w:hAnsi="Calibri" w:cs="Calibri"/>
                <w:color w:val="000000"/>
                <w:sz w:val="20"/>
                <w:szCs w:val="20"/>
              </w:rPr>
            </w:pPr>
            <w:r w:rsidRPr="000F140D">
              <w:rPr>
                <w:rFonts w:ascii="Calibri" w:eastAsia="Times New Roman" w:hAnsi="Calibri" w:cs="Calibri"/>
                <w:color w:val="000000"/>
                <w:sz w:val="20"/>
                <w:szCs w:val="20"/>
              </w:rPr>
              <w:t xml:space="preserve">-Most of participants agreed on all potential roles suggested in this research except </w:t>
            </w:r>
            <w:r>
              <w:rPr>
                <w:rFonts w:ascii="Calibri" w:eastAsia="Times New Roman" w:hAnsi="Calibri" w:cs="Calibri"/>
                <w:color w:val="000000"/>
                <w:sz w:val="20"/>
                <w:szCs w:val="20"/>
              </w:rPr>
              <w:t>IP</w:t>
            </w:r>
            <w:r w:rsidRPr="000F140D">
              <w:rPr>
                <w:rFonts w:ascii="Calibri" w:eastAsia="Times New Roman" w:hAnsi="Calibri" w:cs="Calibri"/>
                <w:color w:val="000000"/>
                <w:sz w:val="20"/>
                <w:szCs w:val="20"/>
              </w:rPr>
              <w:t xml:space="preserve"> role was negatively viewed by doctors.</w:t>
            </w:r>
          </w:p>
          <w:p w14:paraId="174125E0" w14:textId="77777777" w:rsidR="00337BBF" w:rsidRDefault="00337BBF" w:rsidP="00282204">
            <w:pPr>
              <w:spacing w:after="0" w:line="240" w:lineRule="auto"/>
              <w:jc w:val="both"/>
              <w:rPr>
                <w:rFonts w:ascii="Calibri" w:eastAsia="Times New Roman" w:hAnsi="Calibri" w:cs="Calibri"/>
                <w:color w:val="000000"/>
                <w:sz w:val="20"/>
                <w:szCs w:val="20"/>
              </w:rPr>
            </w:pPr>
          </w:p>
          <w:p w14:paraId="3956B447" w14:textId="77777777" w:rsidR="00337BBF" w:rsidRDefault="00337BBF" w:rsidP="00282204">
            <w:pPr>
              <w:spacing w:after="0" w:line="240" w:lineRule="auto"/>
              <w:jc w:val="both"/>
              <w:rPr>
                <w:rFonts w:ascii="Calibri" w:eastAsia="Times New Roman" w:hAnsi="Calibri" w:cs="Calibri"/>
                <w:color w:val="000000"/>
                <w:sz w:val="20"/>
                <w:szCs w:val="20"/>
              </w:rPr>
            </w:pPr>
            <w:r w:rsidRPr="000F140D">
              <w:rPr>
                <w:rFonts w:ascii="Calibri" w:eastAsia="Times New Roman" w:hAnsi="Calibri" w:cs="Calibri"/>
                <w:color w:val="000000"/>
                <w:sz w:val="20"/>
                <w:szCs w:val="20"/>
              </w:rPr>
              <w:t xml:space="preserve">-Most participants had overall positive attitudes toward pharmacist roles in diabetes management, both currently and in the future. </w:t>
            </w:r>
          </w:p>
          <w:p w14:paraId="4E4EE095" w14:textId="77777777" w:rsidR="00337BBF" w:rsidRDefault="00337BBF" w:rsidP="00282204">
            <w:pPr>
              <w:spacing w:after="0" w:line="240" w:lineRule="auto"/>
              <w:jc w:val="both"/>
              <w:rPr>
                <w:rFonts w:ascii="Calibri" w:eastAsia="Times New Roman" w:hAnsi="Calibri" w:cs="Calibri"/>
                <w:color w:val="000000"/>
                <w:sz w:val="20"/>
                <w:szCs w:val="20"/>
              </w:rPr>
            </w:pPr>
          </w:p>
          <w:p w14:paraId="430A9756"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 xml:space="preserve">Most participants agreed slightly more with pharmacists' future involvement compared to current involvement. </w:t>
            </w:r>
          </w:p>
          <w:p w14:paraId="085C849B" w14:textId="77777777" w:rsidR="00337BBF" w:rsidRDefault="00337BBF" w:rsidP="00282204">
            <w:pPr>
              <w:spacing w:after="0" w:line="240" w:lineRule="auto"/>
              <w:jc w:val="both"/>
              <w:rPr>
                <w:rFonts w:ascii="Calibri" w:eastAsia="Times New Roman" w:hAnsi="Calibri" w:cs="Calibri"/>
                <w:color w:val="000000"/>
                <w:sz w:val="20"/>
                <w:szCs w:val="20"/>
              </w:rPr>
            </w:pPr>
          </w:p>
          <w:p w14:paraId="6057D0EC"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-P</w:t>
            </w:r>
            <w:r w:rsidRPr="00F930B9">
              <w:rPr>
                <w:rFonts w:ascii="Calibri" w:eastAsia="Times New Roman" w:hAnsi="Calibri" w:cs="Calibri"/>
                <w:color w:val="000000"/>
                <w:sz w:val="20"/>
                <w:szCs w:val="20"/>
              </w:rPr>
              <w:t xml:space="preserve">harmacists being most positive about most proposed roles in this research, particularly clinical ones, and doctors more likely to be negative about </w:t>
            </w:r>
            <w:r>
              <w:rPr>
                <w:rFonts w:ascii="Calibri" w:eastAsia="Times New Roman" w:hAnsi="Calibri" w:cs="Calibri"/>
                <w:color w:val="000000"/>
                <w:sz w:val="20"/>
                <w:szCs w:val="20"/>
              </w:rPr>
              <w:t>some of</w:t>
            </w:r>
            <w:r w:rsidRPr="00F930B9">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them</w:t>
            </w:r>
            <w:r w:rsidRPr="00F930B9">
              <w:rPr>
                <w:rFonts w:ascii="Calibri" w:eastAsia="Times New Roman" w:hAnsi="Calibri" w:cs="Calibri"/>
                <w:color w:val="000000"/>
                <w:sz w:val="20"/>
                <w:szCs w:val="20"/>
              </w:rPr>
              <w:t>.</w:t>
            </w:r>
          </w:p>
          <w:p w14:paraId="23F6EACB" w14:textId="77777777" w:rsidR="00337BBF" w:rsidRDefault="00337BBF" w:rsidP="00282204">
            <w:pPr>
              <w:spacing w:after="0" w:line="240" w:lineRule="auto"/>
              <w:jc w:val="both"/>
              <w:rPr>
                <w:rFonts w:ascii="Calibri" w:eastAsia="Times New Roman" w:hAnsi="Calibri" w:cs="Calibri"/>
                <w:color w:val="000000"/>
                <w:sz w:val="20"/>
                <w:szCs w:val="20"/>
              </w:rPr>
            </w:pPr>
          </w:p>
          <w:p w14:paraId="529A274A" w14:textId="77777777" w:rsidR="00337BBF" w:rsidRPr="000F140D" w:rsidRDefault="00337BBF" w:rsidP="00282204">
            <w:pPr>
              <w:spacing w:after="0" w:line="240" w:lineRule="auto"/>
              <w:jc w:val="both"/>
              <w:rPr>
                <w:rFonts w:ascii="Calibri" w:eastAsia="Times New Roman" w:hAnsi="Calibri" w:cs="Calibri"/>
                <w:color w:val="000000"/>
                <w:sz w:val="20"/>
                <w:szCs w:val="20"/>
              </w:rPr>
            </w:pPr>
            <w:r w:rsidRPr="000F140D">
              <w:rPr>
                <w:rFonts w:ascii="Calibri" w:eastAsia="Times New Roman" w:hAnsi="Calibri" w:cs="Calibri"/>
                <w:color w:val="000000"/>
                <w:sz w:val="20"/>
                <w:szCs w:val="20"/>
              </w:rPr>
              <w:t xml:space="preserve">-A positive association between the years of experience of </w:t>
            </w:r>
            <w:r>
              <w:rPr>
                <w:rFonts w:ascii="Calibri" w:eastAsia="Times New Roman" w:hAnsi="Calibri" w:cs="Calibri"/>
                <w:color w:val="000000"/>
                <w:sz w:val="20"/>
                <w:szCs w:val="20"/>
              </w:rPr>
              <w:t>HCPs</w:t>
            </w:r>
            <w:r w:rsidRPr="000F140D">
              <w:rPr>
                <w:rFonts w:ascii="Calibri" w:eastAsia="Times New Roman" w:hAnsi="Calibri" w:cs="Calibri"/>
                <w:color w:val="000000"/>
                <w:sz w:val="20"/>
                <w:szCs w:val="20"/>
              </w:rPr>
              <w:t xml:space="preserve"> and their attitudes towards the role of pharmacists in PHCs (i.e., those with less experience were less positive)</w:t>
            </w:r>
          </w:p>
        </w:tc>
        <w:tc>
          <w:tcPr>
            <w:tcW w:w="4860" w:type="dxa"/>
            <w:tcBorders>
              <w:top w:val="nil"/>
              <w:left w:val="nil"/>
              <w:bottom w:val="single" w:sz="4" w:space="0" w:color="auto"/>
              <w:right w:val="single" w:sz="4" w:space="0" w:color="auto"/>
            </w:tcBorders>
            <w:shd w:val="clear" w:color="auto" w:fill="auto"/>
            <w:hideMark/>
          </w:tcPr>
          <w:p w14:paraId="7EE22EE6"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 xml:space="preserve">Positive attitudes toward pharmacists' roles were found in </w:t>
            </w:r>
            <w:r>
              <w:rPr>
                <w:rFonts w:ascii="Calibri" w:eastAsia="Times New Roman" w:hAnsi="Calibri" w:cs="Calibri"/>
                <w:color w:val="000000"/>
                <w:sz w:val="20"/>
                <w:szCs w:val="20"/>
              </w:rPr>
              <w:t xml:space="preserve">all </w:t>
            </w:r>
            <w:r w:rsidRPr="000F140D">
              <w:rPr>
                <w:rFonts w:ascii="Calibri" w:eastAsia="Times New Roman" w:hAnsi="Calibri" w:cs="Calibri"/>
                <w:color w:val="000000"/>
                <w:sz w:val="20"/>
                <w:szCs w:val="20"/>
              </w:rPr>
              <w:t xml:space="preserve">three professional groups. </w:t>
            </w:r>
          </w:p>
          <w:p w14:paraId="462E38C5" w14:textId="77777777" w:rsidR="00337BBF" w:rsidRDefault="00337BBF" w:rsidP="00282204">
            <w:pPr>
              <w:spacing w:after="0" w:line="240" w:lineRule="auto"/>
              <w:jc w:val="both"/>
              <w:rPr>
                <w:rFonts w:ascii="Calibri" w:eastAsia="Times New Roman" w:hAnsi="Calibri" w:cs="Calibri"/>
                <w:color w:val="000000"/>
                <w:sz w:val="20"/>
                <w:szCs w:val="20"/>
              </w:rPr>
            </w:pPr>
          </w:p>
          <w:p w14:paraId="7644CA49"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-HCPs</w:t>
            </w:r>
            <w:r w:rsidRPr="000F140D">
              <w:rPr>
                <w:rFonts w:ascii="Calibri" w:eastAsia="Times New Roman" w:hAnsi="Calibri" w:cs="Calibri"/>
                <w:color w:val="000000"/>
                <w:sz w:val="20"/>
                <w:szCs w:val="20"/>
              </w:rPr>
              <w:t xml:space="preserve"> consider pharmacists are crucial members of healthcare teams and systems. </w:t>
            </w:r>
          </w:p>
          <w:p w14:paraId="481141DD" w14:textId="77777777" w:rsidR="00337BBF" w:rsidRDefault="00337BBF" w:rsidP="00282204">
            <w:pPr>
              <w:spacing w:after="0" w:line="240" w:lineRule="auto"/>
              <w:jc w:val="both"/>
              <w:rPr>
                <w:rFonts w:ascii="Calibri" w:eastAsia="Times New Roman" w:hAnsi="Calibri" w:cs="Calibri"/>
                <w:color w:val="000000"/>
                <w:sz w:val="20"/>
                <w:szCs w:val="20"/>
              </w:rPr>
            </w:pPr>
          </w:p>
          <w:p w14:paraId="59189220" w14:textId="77777777" w:rsidR="00337BBF" w:rsidRDefault="00337BBF" w:rsidP="00282204">
            <w:pPr>
              <w:spacing w:after="0" w:line="240" w:lineRule="auto"/>
              <w:jc w:val="both"/>
              <w:rPr>
                <w:rFonts w:ascii="Calibri" w:eastAsia="Times New Roman" w:hAnsi="Calibri" w:cs="Calibri"/>
                <w:color w:val="000000"/>
                <w:sz w:val="20"/>
                <w:szCs w:val="20"/>
              </w:rPr>
            </w:pPr>
            <w:r w:rsidRPr="000F140D">
              <w:rPr>
                <w:rFonts w:ascii="Calibri" w:eastAsia="Times New Roman" w:hAnsi="Calibri" w:cs="Calibri"/>
                <w:color w:val="000000"/>
                <w:sz w:val="20"/>
                <w:szCs w:val="20"/>
              </w:rPr>
              <w:t xml:space="preserve">-The findings indicate that the general perceptions of </w:t>
            </w:r>
            <w:r>
              <w:rPr>
                <w:rFonts w:ascii="Calibri" w:eastAsia="Times New Roman" w:hAnsi="Calibri" w:cs="Calibri"/>
                <w:color w:val="000000"/>
                <w:sz w:val="20"/>
                <w:szCs w:val="20"/>
              </w:rPr>
              <w:t>PHCs</w:t>
            </w:r>
            <w:r w:rsidRPr="000F140D">
              <w:rPr>
                <w:rFonts w:ascii="Calibri" w:eastAsia="Times New Roman" w:hAnsi="Calibri" w:cs="Calibri"/>
                <w:color w:val="000000"/>
                <w:sz w:val="20"/>
                <w:szCs w:val="20"/>
              </w:rPr>
              <w:t xml:space="preserve"> about pharmacists</w:t>
            </w:r>
            <w:r>
              <w:rPr>
                <w:rFonts w:ascii="Calibri" w:eastAsia="Times New Roman" w:hAnsi="Calibri" w:cs="Calibri"/>
                <w:color w:val="000000"/>
                <w:sz w:val="20"/>
                <w:szCs w:val="20"/>
              </w:rPr>
              <w:t xml:space="preserve">’ </w:t>
            </w:r>
            <w:r w:rsidRPr="000F140D">
              <w:rPr>
                <w:rFonts w:ascii="Calibri" w:eastAsia="Times New Roman" w:hAnsi="Calibri" w:cs="Calibri"/>
                <w:color w:val="000000"/>
                <w:sz w:val="20"/>
                <w:szCs w:val="20"/>
              </w:rPr>
              <w:t xml:space="preserve">role is limited to dispensing prescriptions and educating patients on their medications. </w:t>
            </w:r>
          </w:p>
          <w:p w14:paraId="1EAAC379" w14:textId="77777777" w:rsidR="00337BBF" w:rsidRDefault="00337BBF" w:rsidP="00282204">
            <w:pPr>
              <w:spacing w:after="0" w:line="240" w:lineRule="auto"/>
              <w:jc w:val="both"/>
              <w:rPr>
                <w:rFonts w:ascii="Calibri" w:eastAsia="Times New Roman" w:hAnsi="Calibri" w:cs="Calibri"/>
                <w:color w:val="000000"/>
                <w:sz w:val="20"/>
                <w:szCs w:val="20"/>
              </w:rPr>
            </w:pPr>
          </w:p>
          <w:p w14:paraId="1819B760" w14:textId="77777777" w:rsidR="00337BBF" w:rsidRDefault="00337BBF" w:rsidP="00282204">
            <w:pPr>
              <w:spacing w:after="0" w:line="240" w:lineRule="auto"/>
              <w:jc w:val="both"/>
              <w:rPr>
                <w:rFonts w:ascii="Calibri" w:eastAsia="Times New Roman" w:hAnsi="Calibri" w:cs="Calibri"/>
                <w:color w:val="000000"/>
                <w:sz w:val="20"/>
                <w:szCs w:val="20"/>
              </w:rPr>
            </w:pPr>
            <w:r w:rsidRPr="000F140D">
              <w:rPr>
                <w:rFonts w:ascii="Calibri" w:eastAsia="Times New Roman" w:hAnsi="Calibri" w:cs="Calibri"/>
                <w:color w:val="000000"/>
                <w:sz w:val="20"/>
                <w:szCs w:val="20"/>
              </w:rPr>
              <w:t xml:space="preserve">- lack of awareness among most </w:t>
            </w:r>
            <w:r>
              <w:rPr>
                <w:rFonts w:ascii="Calibri" w:eastAsia="Times New Roman" w:hAnsi="Calibri" w:cs="Calibri"/>
                <w:color w:val="000000"/>
                <w:sz w:val="20"/>
                <w:szCs w:val="20"/>
              </w:rPr>
              <w:t>HCPs interviewed</w:t>
            </w:r>
            <w:r w:rsidRPr="000F140D">
              <w:rPr>
                <w:rFonts w:ascii="Calibri" w:eastAsia="Times New Roman" w:hAnsi="Calibri" w:cs="Calibri"/>
                <w:color w:val="000000"/>
                <w:sz w:val="20"/>
                <w:szCs w:val="20"/>
              </w:rPr>
              <w:t xml:space="preserve"> towards the clinical roles of pharmacists. </w:t>
            </w:r>
          </w:p>
          <w:p w14:paraId="2D9C9D1E" w14:textId="77777777" w:rsidR="00337BBF" w:rsidRDefault="00337BBF" w:rsidP="00282204">
            <w:pPr>
              <w:spacing w:after="0" w:line="276" w:lineRule="auto"/>
              <w:jc w:val="both"/>
              <w:rPr>
                <w:rFonts w:ascii="Calibri" w:eastAsia="Times New Roman" w:hAnsi="Calibri" w:cs="Calibri"/>
                <w:color w:val="000000"/>
                <w:sz w:val="20"/>
                <w:szCs w:val="20"/>
              </w:rPr>
            </w:pPr>
          </w:p>
          <w:p w14:paraId="6C444710" w14:textId="77777777" w:rsidR="00337BBF" w:rsidRPr="003643D7" w:rsidRDefault="00337BBF" w:rsidP="00282204">
            <w:pPr>
              <w:spacing w:after="0" w:line="276" w:lineRule="auto"/>
              <w:jc w:val="both"/>
              <w:rPr>
                <w:rFonts w:ascii="Calibri" w:eastAsia="Times New Roman" w:hAnsi="Calibri" w:cs="Calibri"/>
                <w:b/>
                <w:bCs/>
                <w:sz w:val="20"/>
                <w:szCs w:val="20"/>
              </w:rPr>
            </w:pPr>
            <w:r w:rsidRPr="003643D7">
              <w:rPr>
                <w:rFonts w:ascii="Calibri" w:eastAsia="Times New Roman" w:hAnsi="Calibri" w:cs="Calibri"/>
                <w:b/>
                <w:bCs/>
                <w:sz w:val="20"/>
                <w:szCs w:val="20"/>
              </w:rPr>
              <w:t>Doctors’ attitude toward pharmacists’ role</w:t>
            </w:r>
          </w:p>
          <w:p w14:paraId="12670F60" w14:textId="77777777" w:rsidR="00337BBF" w:rsidRPr="000F140D" w:rsidRDefault="00337BBF" w:rsidP="00282204">
            <w:pPr>
              <w:spacing w:after="0" w:line="240" w:lineRule="auto"/>
              <w:jc w:val="both"/>
              <w:rPr>
                <w:rFonts w:ascii="Calibri" w:eastAsia="Times New Roman" w:hAnsi="Calibri" w:cs="Calibri"/>
                <w:color w:val="000000"/>
                <w:sz w:val="20"/>
                <w:szCs w:val="20"/>
              </w:rPr>
            </w:pPr>
            <w:r w:rsidRPr="000F140D">
              <w:rPr>
                <w:rFonts w:ascii="Calibri" w:eastAsia="Times New Roman" w:hAnsi="Calibri" w:cs="Calibri"/>
                <w:color w:val="000000"/>
                <w:sz w:val="20"/>
                <w:szCs w:val="20"/>
              </w:rPr>
              <w:t xml:space="preserve">-Doctors expect more active roles from pharmacists rather than the typical role. </w:t>
            </w:r>
          </w:p>
          <w:p w14:paraId="16C59258" w14:textId="77777777" w:rsidR="00337BBF" w:rsidRDefault="00337BBF" w:rsidP="00282204">
            <w:pPr>
              <w:spacing w:after="0" w:line="240" w:lineRule="auto"/>
              <w:jc w:val="both"/>
              <w:rPr>
                <w:rFonts w:ascii="Calibri" w:eastAsia="Times New Roman" w:hAnsi="Calibri" w:cs="Calibri"/>
                <w:color w:val="000000"/>
                <w:sz w:val="20"/>
                <w:szCs w:val="20"/>
              </w:rPr>
            </w:pPr>
            <w:r w:rsidRPr="000F140D">
              <w:rPr>
                <w:rFonts w:ascii="Calibri" w:eastAsia="Times New Roman" w:hAnsi="Calibri" w:cs="Calibri"/>
                <w:color w:val="000000"/>
                <w:sz w:val="20"/>
                <w:szCs w:val="20"/>
              </w:rPr>
              <w:t>-The analysis of the results of interviews with doctors indicates that holders of higher degrees as specialists and consultants have a positive attitude towards pharmacists</w:t>
            </w:r>
            <w:r>
              <w:rPr>
                <w:rFonts w:ascii="Calibri" w:eastAsia="Times New Roman" w:hAnsi="Calibri" w:cs="Calibri"/>
                <w:color w:val="000000"/>
                <w:sz w:val="20"/>
                <w:szCs w:val="20"/>
              </w:rPr>
              <w:t xml:space="preserve">’ </w:t>
            </w:r>
            <w:r w:rsidRPr="000F140D">
              <w:rPr>
                <w:rFonts w:ascii="Calibri" w:eastAsia="Times New Roman" w:hAnsi="Calibri" w:cs="Calibri"/>
                <w:color w:val="000000"/>
                <w:sz w:val="20"/>
                <w:szCs w:val="20"/>
              </w:rPr>
              <w:t>role and trust them more than juniors</w:t>
            </w:r>
            <w:r>
              <w:rPr>
                <w:rFonts w:ascii="Calibri" w:eastAsia="Times New Roman" w:hAnsi="Calibri" w:cs="Calibri"/>
                <w:color w:val="000000"/>
                <w:sz w:val="20"/>
                <w:szCs w:val="20"/>
              </w:rPr>
              <w:t xml:space="preserve">/ </w:t>
            </w:r>
            <w:r w:rsidRPr="000F140D">
              <w:rPr>
                <w:rFonts w:ascii="Calibri" w:eastAsia="Times New Roman" w:hAnsi="Calibri" w:cs="Calibri"/>
                <w:color w:val="000000"/>
                <w:sz w:val="20"/>
                <w:szCs w:val="20"/>
              </w:rPr>
              <w:t xml:space="preserve">residents </w:t>
            </w:r>
          </w:p>
          <w:p w14:paraId="348C03D9" w14:textId="77777777" w:rsidR="00337BBF" w:rsidRDefault="00337BBF" w:rsidP="00282204">
            <w:pPr>
              <w:spacing w:after="0" w:line="276" w:lineRule="auto"/>
              <w:jc w:val="both"/>
              <w:rPr>
                <w:rFonts w:ascii="Calibri" w:eastAsia="Times New Roman" w:hAnsi="Calibri" w:cs="Calibri"/>
                <w:color w:val="000000"/>
                <w:sz w:val="20"/>
                <w:szCs w:val="20"/>
              </w:rPr>
            </w:pPr>
          </w:p>
          <w:p w14:paraId="7A7C796A" w14:textId="77777777" w:rsidR="00337BBF" w:rsidRPr="003643D7" w:rsidRDefault="00337BBF" w:rsidP="00282204">
            <w:pPr>
              <w:spacing w:after="0" w:line="276" w:lineRule="auto"/>
              <w:jc w:val="both"/>
              <w:rPr>
                <w:rFonts w:ascii="Calibri" w:eastAsia="Times New Roman" w:hAnsi="Calibri" w:cs="Calibri"/>
                <w:b/>
                <w:bCs/>
                <w:sz w:val="20"/>
                <w:szCs w:val="20"/>
              </w:rPr>
            </w:pPr>
            <w:r w:rsidRPr="003643D7">
              <w:rPr>
                <w:rFonts w:ascii="Calibri" w:eastAsia="Times New Roman" w:hAnsi="Calibri" w:cs="Calibri"/>
                <w:b/>
                <w:bCs/>
                <w:sz w:val="20"/>
                <w:szCs w:val="20"/>
              </w:rPr>
              <w:t>Nurses’ attitude toward pharmacists’ role</w:t>
            </w:r>
          </w:p>
          <w:p w14:paraId="144AD2B1" w14:textId="77777777" w:rsidR="00337BBF" w:rsidRDefault="00337BBF" w:rsidP="00282204">
            <w:pPr>
              <w:spacing w:after="0" w:line="240" w:lineRule="auto"/>
              <w:jc w:val="both"/>
              <w:rPr>
                <w:rFonts w:ascii="Calibri" w:eastAsia="Times New Roman" w:hAnsi="Calibri" w:cs="Calibri"/>
                <w:color w:val="000000"/>
                <w:sz w:val="20"/>
                <w:szCs w:val="20"/>
              </w:rPr>
            </w:pPr>
            <w:r w:rsidRPr="000F140D">
              <w:rPr>
                <w:rFonts w:ascii="Calibri" w:eastAsia="Times New Roman" w:hAnsi="Calibri" w:cs="Calibri"/>
                <w:color w:val="000000"/>
                <w:sz w:val="20"/>
                <w:szCs w:val="20"/>
              </w:rPr>
              <w:t>-</w:t>
            </w:r>
            <w:r>
              <w:rPr>
                <w:rFonts w:ascii="Calibri" w:eastAsia="Times New Roman" w:hAnsi="Calibri" w:cs="Calibri"/>
                <w:color w:val="000000"/>
                <w:sz w:val="20"/>
                <w:szCs w:val="20"/>
              </w:rPr>
              <w:t>N</w:t>
            </w:r>
            <w:r w:rsidRPr="000F140D">
              <w:rPr>
                <w:rFonts w:ascii="Calibri" w:eastAsia="Times New Roman" w:hAnsi="Calibri" w:cs="Calibri"/>
                <w:color w:val="000000"/>
                <w:sz w:val="20"/>
                <w:szCs w:val="20"/>
              </w:rPr>
              <w:t>urses</w:t>
            </w:r>
            <w:r>
              <w:rPr>
                <w:rFonts w:ascii="Calibri" w:eastAsia="Times New Roman" w:hAnsi="Calibri" w:cs="Calibri"/>
                <w:color w:val="000000"/>
                <w:sz w:val="20"/>
                <w:szCs w:val="20"/>
              </w:rPr>
              <w:t xml:space="preserve"> had</w:t>
            </w:r>
            <w:r w:rsidRPr="000F140D">
              <w:rPr>
                <w:rFonts w:ascii="Calibri" w:eastAsia="Times New Roman" w:hAnsi="Calibri" w:cs="Calibri"/>
                <w:color w:val="000000"/>
                <w:sz w:val="20"/>
                <w:szCs w:val="20"/>
              </w:rPr>
              <w:t xml:space="preserve"> very positive</w:t>
            </w:r>
            <w:r>
              <w:rPr>
                <w:rFonts w:ascii="Calibri" w:eastAsia="Times New Roman" w:hAnsi="Calibri" w:cs="Calibri"/>
                <w:color w:val="000000"/>
                <w:sz w:val="20"/>
                <w:szCs w:val="20"/>
              </w:rPr>
              <w:t xml:space="preserve"> attitudes toward pharmacists’ role</w:t>
            </w:r>
          </w:p>
          <w:p w14:paraId="15819B75"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-M</w:t>
            </w:r>
            <w:r w:rsidRPr="000F140D">
              <w:rPr>
                <w:rFonts w:ascii="Calibri" w:eastAsia="Times New Roman" w:hAnsi="Calibri" w:cs="Calibri"/>
                <w:color w:val="000000"/>
                <w:sz w:val="20"/>
                <w:szCs w:val="20"/>
              </w:rPr>
              <w:t xml:space="preserve">ost </w:t>
            </w:r>
            <w:r>
              <w:rPr>
                <w:rFonts w:ascii="Calibri" w:eastAsia="Times New Roman" w:hAnsi="Calibri" w:cs="Calibri"/>
                <w:color w:val="000000"/>
                <w:sz w:val="20"/>
                <w:szCs w:val="20"/>
              </w:rPr>
              <w:t>nurses</w:t>
            </w:r>
            <w:r w:rsidRPr="000F140D">
              <w:rPr>
                <w:rFonts w:ascii="Calibri" w:eastAsia="Times New Roman" w:hAnsi="Calibri" w:cs="Calibri"/>
                <w:color w:val="000000"/>
                <w:sz w:val="20"/>
                <w:szCs w:val="20"/>
              </w:rPr>
              <w:t xml:space="preserve"> emphasised the patient's need and their need for </w:t>
            </w:r>
            <w:r>
              <w:rPr>
                <w:rFonts w:ascii="Calibri" w:eastAsia="Times New Roman" w:hAnsi="Calibri" w:cs="Calibri"/>
                <w:color w:val="000000"/>
                <w:sz w:val="20"/>
                <w:szCs w:val="20"/>
              </w:rPr>
              <w:t>a</w:t>
            </w:r>
            <w:r w:rsidRPr="000F140D">
              <w:rPr>
                <w:rFonts w:ascii="Calibri" w:eastAsia="Times New Roman" w:hAnsi="Calibri" w:cs="Calibri"/>
                <w:color w:val="000000"/>
                <w:sz w:val="20"/>
                <w:szCs w:val="20"/>
              </w:rPr>
              <w:t xml:space="preserve"> pharmacist in the primary care team.</w:t>
            </w:r>
          </w:p>
          <w:p w14:paraId="2835921A"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 xml:space="preserve">Most nurses </w:t>
            </w:r>
            <w:r>
              <w:rPr>
                <w:rFonts w:ascii="Calibri" w:eastAsia="Times New Roman" w:hAnsi="Calibri" w:cs="Calibri"/>
                <w:color w:val="000000"/>
                <w:sz w:val="20"/>
                <w:szCs w:val="20"/>
              </w:rPr>
              <w:t xml:space="preserve">highlighted </w:t>
            </w:r>
            <w:r w:rsidRPr="000F140D">
              <w:rPr>
                <w:rFonts w:ascii="Calibri" w:eastAsia="Times New Roman" w:hAnsi="Calibri" w:cs="Calibri"/>
                <w:color w:val="000000"/>
                <w:sz w:val="20"/>
                <w:szCs w:val="20"/>
              </w:rPr>
              <w:t xml:space="preserve">pharmacists' role in educating healthcare staff and patients on matters related to medication and medication safety. </w:t>
            </w:r>
          </w:p>
          <w:p w14:paraId="2A32A492"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 xml:space="preserve">-Nurses </w:t>
            </w:r>
            <w:r w:rsidRPr="000F140D">
              <w:rPr>
                <w:rFonts w:ascii="Calibri" w:eastAsia="Times New Roman" w:hAnsi="Calibri" w:cs="Calibri"/>
                <w:color w:val="000000"/>
                <w:sz w:val="20"/>
                <w:szCs w:val="20"/>
              </w:rPr>
              <w:t xml:space="preserve">believe that pharmacists are experts in medicines. </w:t>
            </w:r>
          </w:p>
          <w:p w14:paraId="73E0468F"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 xml:space="preserve">All the nurses interviewed wished that pharmacists would return to work in PHCs </w:t>
            </w:r>
            <w:r>
              <w:rPr>
                <w:rFonts w:ascii="Calibri" w:eastAsia="Times New Roman" w:hAnsi="Calibri" w:cs="Calibri"/>
                <w:color w:val="000000"/>
                <w:sz w:val="20"/>
                <w:szCs w:val="20"/>
              </w:rPr>
              <w:t>as</w:t>
            </w:r>
            <w:r w:rsidRPr="000F140D">
              <w:rPr>
                <w:rFonts w:ascii="Calibri" w:eastAsia="Times New Roman" w:hAnsi="Calibri" w:cs="Calibri"/>
                <w:color w:val="000000"/>
                <w:sz w:val="20"/>
                <w:szCs w:val="20"/>
              </w:rPr>
              <w:t xml:space="preserve"> their role is vital in </w:t>
            </w:r>
            <w:r w:rsidRPr="00A20030">
              <w:rPr>
                <w:rFonts w:ascii="Calibri" w:eastAsia="Times New Roman" w:hAnsi="Calibri" w:cs="Calibri"/>
                <w:color w:val="000000"/>
                <w:sz w:val="20"/>
                <w:szCs w:val="20"/>
                <w:lang w:val="en-GB"/>
              </w:rPr>
              <w:t>optimising</w:t>
            </w:r>
            <w:r w:rsidRPr="000F140D">
              <w:rPr>
                <w:rFonts w:ascii="Calibri" w:eastAsia="Times New Roman" w:hAnsi="Calibri" w:cs="Calibri"/>
                <w:color w:val="000000"/>
                <w:sz w:val="20"/>
                <w:szCs w:val="20"/>
              </w:rPr>
              <w:t xml:space="preserve"> healthcare delivery. </w:t>
            </w:r>
          </w:p>
          <w:p w14:paraId="7DFFCDC3" w14:textId="77777777" w:rsidR="00337BBF" w:rsidRDefault="00337BBF" w:rsidP="00282204">
            <w:pPr>
              <w:spacing w:after="0" w:line="240" w:lineRule="auto"/>
              <w:jc w:val="both"/>
              <w:rPr>
                <w:rFonts w:ascii="Calibri" w:eastAsia="Times New Roman" w:hAnsi="Calibri" w:cs="Calibri"/>
                <w:color w:val="000000"/>
                <w:sz w:val="20"/>
                <w:szCs w:val="20"/>
              </w:rPr>
            </w:pPr>
          </w:p>
          <w:p w14:paraId="5985AEBE" w14:textId="77777777" w:rsidR="00337BBF" w:rsidRPr="003643D7" w:rsidRDefault="00337BBF" w:rsidP="00282204">
            <w:pPr>
              <w:spacing w:after="0" w:line="276" w:lineRule="auto"/>
              <w:jc w:val="both"/>
              <w:rPr>
                <w:rFonts w:ascii="Calibri" w:eastAsia="Times New Roman" w:hAnsi="Calibri" w:cs="Calibri"/>
                <w:b/>
                <w:bCs/>
                <w:sz w:val="20"/>
                <w:szCs w:val="20"/>
              </w:rPr>
            </w:pPr>
            <w:r w:rsidRPr="003643D7">
              <w:rPr>
                <w:rFonts w:ascii="Calibri" w:eastAsia="Times New Roman" w:hAnsi="Calibri" w:cs="Calibri"/>
                <w:b/>
                <w:bCs/>
                <w:sz w:val="20"/>
                <w:szCs w:val="20"/>
              </w:rPr>
              <w:t>Pharmacists’ attitude toward pharmacists’ role</w:t>
            </w:r>
          </w:p>
          <w:p w14:paraId="788DA76E"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 xml:space="preserve">Pharmacists see themselves as overburdened in performing all pharmacy duties </w:t>
            </w:r>
            <w:r>
              <w:rPr>
                <w:rFonts w:ascii="Calibri" w:eastAsia="Times New Roman" w:hAnsi="Calibri" w:cs="Calibri"/>
                <w:color w:val="000000"/>
                <w:sz w:val="20"/>
                <w:szCs w:val="20"/>
              </w:rPr>
              <w:t>due to staff shortage.</w:t>
            </w:r>
            <w:r w:rsidRPr="000F140D">
              <w:rPr>
                <w:rFonts w:ascii="Calibri" w:eastAsia="Times New Roman" w:hAnsi="Calibri" w:cs="Calibri"/>
                <w:color w:val="000000"/>
                <w:sz w:val="20"/>
                <w:szCs w:val="20"/>
              </w:rPr>
              <w:t xml:space="preserve"> </w:t>
            </w:r>
          </w:p>
          <w:p w14:paraId="6D5D2331"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Pharmacists expect</w:t>
            </w:r>
            <w:r>
              <w:rPr>
                <w:rFonts w:ascii="Calibri" w:eastAsia="Times New Roman" w:hAnsi="Calibri" w:cs="Calibri"/>
                <w:color w:val="000000"/>
                <w:sz w:val="20"/>
                <w:szCs w:val="20"/>
              </w:rPr>
              <w:t>ed</w:t>
            </w:r>
            <w:r w:rsidRPr="000F140D">
              <w:rPr>
                <w:rFonts w:ascii="Calibri" w:eastAsia="Times New Roman" w:hAnsi="Calibri" w:cs="Calibri"/>
                <w:color w:val="000000"/>
                <w:sz w:val="20"/>
                <w:szCs w:val="20"/>
              </w:rPr>
              <w:t xml:space="preserve"> recognition and appreciation</w:t>
            </w:r>
            <w:r>
              <w:rPr>
                <w:rFonts w:ascii="Calibri" w:eastAsia="Times New Roman" w:hAnsi="Calibri" w:cs="Calibri"/>
                <w:color w:val="000000"/>
                <w:sz w:val="20"/>
                <w:szCs w:val="20"/>
              </w:rPr>
              <w:t>, b</w:t>
            </w:r>
            <w:r w:rsidRPr="000F140D">
              <w:rPr>
                <w:rFonts w:ascii="Calibri" w:eastAsia="Times New Roman" w:hAnsi="Calibri" w:cs="Calibri"/>
                <w:color w:val="000000"/>
                <w:sz w:val="20"/>
                <w:szCs w:val="20"/>
              </w:rPr>
              <w:t xml:space="preserve">ut transferring </w:t>
            </w:r>
            <w:r>
              <w:rPr>
                <w:rFonts w:ascii="Calibri" w:eastAsia="Times New Roman" w:hAnsi="Calibri" w:cs="Calibri"/>
                <w:color w:val="000000"/>
                <w:sz w:val="20"/>
                <w:szCs w:val="20"/>
              </w:rPr>
              <w:t>them</w:t>
            </w:r>
            <w:r w:rsidRPr="000F140D">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from PHCs</w:t>
            </w:r>
            <w:r w:rsidRPr="000F140D">
              <w:rPr>
                <w:rFonts w:ascii="Calibri" w:eastAsia="Times New Roman" w:hAnsi="Calibri" w:cs="Calibri"/>
                <w:color w:val="000000"/>
                <w:sz w:val="20"/>
                <w:szCs w:val="20"/>
              </w:rPr>
              <w:t xml:space="preserve"> sent a passive message to all </w:t>
            </w:r>
            <w:r>
              <w:rPr>
                <w:rFonts w:ascii="Calibri" w:eastAsia="Times New Roman" w:hAnsi="Calibri" w:cs="Calibri"/>
                <w:color w:val="000000"/>
                <w:sz w:val="20"/>
                <w:szCs w:val="20"/>
              </w:rPr>
              <w:t>stakeholders</w:t>
            </w:r>
            <w:r w:rsidRPr="000F140D">
              <w:rPr>
                <w:rFonts w:ascii="Calibri" w:eastAsia="Times New Roman" w:hAnsi="Calibri" w:cs="Calibri"/>
                <w:color w:val="000000"/>
                <w:sz w:val="20"/>
                <w:szCs w:val="20"/>
              </w:rPr>
              <w:t xml:space="preserve"> that there are no role</w:t>
            </w:r>
            <w:r>
              <w:rPr>
                <w:rFonts w:ascii="Calibri" w:eastAsia="Times New Roman" w:hAnsi="Calibri" w:cs="Calibri"/>
                <w:color w:val="000000"/>
                <w:sz w:val="20"/>
                <w:szCs w:val="20"/>
              </w:rPr>
              <w:t>s</w:t>
            </w:r>
            <w:r w:rsidRPr="000F140D">
              <w:rPr>
                <w:rFonts w:ascii="Calibri" w:eastAsia="Times New Roman" w:hAnsi="Calibri" w:cs="Calibri"/>
                <w:color w:val="000000"/>
                <w:sz w:val="20"/>
                <w:szCs w:val="20"/>
              </w:rPr>
              <w:t xml:space="preserve"> for pharmacists in providing public health services. </w:t>
            </w:r>
          </w:p>
          <w:p w14:paraId="291BEEEF"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 xml:space="preserve">Some pharmacists classify themselves as dispensers or technicians rather than professionals and how the culture of </w:t>
            </w:r>
            <w:r>
              <w:rPr>
                <w:rFonts w:ascii="Calibri" w:eastAsia="Times New Roman" w:hAnsi="Calibri" w:cs="Calibri"/>
                <w:color w:val="000000"/>
                <w:sz w:val="20"/>
                <w:szCs w:val="20"/>
              </w:rPr>
              <w:t>SA</w:t>
            </w:r>
            <w:r w:rsidRPr="000F140D">
              <w:rPr>
                <w:rFonts w:ascii="Calibri" w:eastAsia="Times New Roman" w:hAnsi="Calibri" w:cs="Calibri"/>
                <w:color w:val="000000"/>
                <w:sz w:val="20"/>
                <w:szCs w:val="20"/>
              </w:rPr>
              <w:t xml:space="preserve"> has shaped their roles. </w:t>
            </w:r>
          </w:p>
          <w:p w14:paraId="2FAA2276"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 xml:space="preserve">Pharmacists interviewed were frustrated about treatment of pharmacy professionals as less important than physicians </w:t>
            </w:r>
          </w:p>
          <w:p w14:paraId="2CF8E854"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-P</w:t>
            </w:r>
            <w:r w:rsidRPr="000F140D">
              <w:rPr>
                <w:rFonts w:ascii="Calibri" w:eastAsia="Times New Roman" w:hAnsi="Calibri" w:cs="Calibri"/>
                <w:color w:val="000000"/>
                <w:sz w:val="20"/>
                <w:szCs w:val="20"/>
              </w:rPr>
              <w:t xml:space="preserve">harmacists interviewed were disappointed with the hierarchical system in the health institutions of the MoH, where doctors are considered at the top of the hierarchy, and other specialties come after them. </w:t>
            </w:r>
          </w:p>
          <w:p w14:paraId="63F5A1B9"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-P</w:t>
            </w:r>
            <w:r w:rsidRPr="000F140D">
              <w:rPr>
                <w:rFonts w:ascii="Calibri" w:eastAsia="Times New Roman" w:hAnsi="Calibri" w:cs="Calibri"/>
                <w:color w:val="000000"/>
                <w:sz w:val="20"/>
                <w:szCs w:val="20"/>
              </w:rPr>
              <w:t xml:space="preserve">harmacists interviewed were upset about not being recognised as professionals. </w:t>
            </w:r>
          </w:p>
          <w:p w14:paraId="614A33C9"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Some pharmacists mentioned that some doctors have a negative attitude towards the</w:t>
            </w:r>
            <w:r>
              <w:rPr>
                <w:rFonts w:ascii="Calibri" w:eastAsia="Times New Roman" w:hAnsi="Calibri" w:cs="Calibri"/>
                <w:color w:val="000000"/>
                <w:sz w:val="20"/>
                <w:szCs w:val="20"/>
              </w:rPr>
              <w:t xml:space="preserve"> clinical</w:t>
            </w:r>
            <w:r w:rsidRPr="000F140D">
              <w:rPr>
                <w:rFonts w:ascii="Calibri" w:eastAsia="Times New Roman" w:hAnsi="Calibri" w:cs="Calibri"/>
                <w:color w:val="000000"/>
                <w:sz w:val="20"/>
                <w:szCs w:val="20"/>
              </w:rPr>
              <w:t xml:space="preserve"> role of pharmacist</w:t>
            </w:r>
            <w:r>
              <w:rPr>
                <w:rFonts w:ascii="Calibri" w:eastAsia="Times New Roman" w:hAnsi="Calibri" w:cs="Calibri"/>
                <w:color w:val="000000"/>
                <w:sz w:val="20"/>
                <w:szCs w:val="20"/>
              </w:rPr>
              <w:t>s</w:t>
            </w:r>
            <w:r w:rsidRPr="000F140D">
              <w:rPr>
                <w:rFonts w:ascii="Calibri" w:eastAsia="Times New Roman" w:hAnsi="Calibri" w:cs="Calibri"/>
                <w:color w:val="000000"/>
                <w:sz w:val="20"/>
                <w:szCs w:val="20"/>
              </w:rPr>
              <w:t xml:space="preserve"> as if pharmacists express their opinion on the doctor’s decision in the patient’s treatment plan</w:t>
            </w: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 xml:space="preserve"> </w:t>
            </w:r>
          </w:p>
          <w:p w14:paraId="76B19057"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d</w:t>
            </w:r>
            <w:r w:rsidRPr="000F140D">
              <w:rPr>
                <w:rFonts w:ascii="Calibri" w:eastAsia="Times New Roman" w:hAnsi="Calibri" w:cs="Calibri"/>
                <w:color w:val="000000"/>
                <w:sz w:val="20"/>
                <w:szCs w:val="20"/>
              </w:rPr>
              <w:t xml:space="preserve">octors may see the pharmacists as interfering with their work. </w:t>
            </w:r>
          </w:p>
          <w:p w14:paraId="14FB5025"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A pharmacist raised t</w:t>
            </w:r>
            <w:r>
              <w:rPr>
                <w:rFonts w:ascii="Calibri" w:eastAsia="Times New Roman" w:hAnsi="Calibri" w:cs="Calibri"/>
                <w:color w:val="000000"/>
                <w:sz w:val="20"/>
                <w:szCs w:val="20"/>
              </w:rPr>
              <w:t>he</w:t>
            </w:r>
            <w:r w:rsidRPr="000F140D">
              <w:rPr>
                <w:rFonts w:ascii="Calibri" w:eastAsia="Times New Roman" w:hAnsi="Calibri" w:cs="Calibri"/>
                <w:color w:val="000000"/>
                <w:sz w:val="20"/>
                <w:szCs w:val="20"/>
              </w:rPr>
              <w:t xml:space="preserve"> issue</w:t>
            </w:r>
            <w:r>
              <w:rPr>
                <w:rFonts w:ascii="Calibri" w:eastAsia="Times New Roman" w:hAnsi="Calibri" w:cs="Calibri"/>
                <w:color w:val="000000"/>
                <w:sz w:val="20"/>
                <w:szCs w:val="20"/>
              </w:rPr>
              <w:t xml:space="preserve"> of t</w:t>
            </w:r>
            <w:r w:rsidRPr="000F140D">
              <w:rPr>
                <w:rFonts w:ascii="Calibri" w:eastAsia="Times New Roman" w:hAnsi="Calibri" w:cs="Calibri"/>
                <w:color w:val="000000"/>
                <w:sz w:val="20"/>
                <w:szCs w:val="20"/>
              </w:rPr>
              <w:t xml:space="preserve">he stereotypical role of the pharmacist who works in a PHC is only to dispense prescriptions without intervening in the doctor’s orders. </w:t>
            </w:r>
          </w:p>
          <w:p w14:paraId="083E5CB5"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Pharmacists working in PHCs</w:t>
            </w:r>
            <w:r>
              <w:rPr>
                <w:rFonts w:ascii="Calibri" w:eastAsia="Times New Roman" w:hAnsi="Calibri" w:cs="Calibri"/>
                <w:color w:val="000000"/>
                <w:sz w:val="20"/>
                <w:szCs w:val="20"/>
              </w:rPr>
              <w:t xml:space="preserve"> </w:t>
            </w:r>
            <w:r w:rsidRPr="000F140D">
              <w:rPr>
                <w:rFonts w:ascii="Calibri" w:eastAsia="Times New Roman" w:hAnsi="Calibri" w:cs="Calibri"/>
                <w:color w:val="000000"/>
                <w:sz w:val="20"/>
                <w:szCs w:val="20"/>
              </w:rPr>
              <w:t>cannot dispense any medication</w:t>
            </w:r>
            <w:r>
              <w:rPr>
                <w:rFonts w:ascii="Calibri" w:eastAsia="Times New Roman" w:hAnsi="Calibri" w:cs="Calibri"/>
                <w:color w:val="000000"/>
                <w:sz w:val="20"/>
                <w:szCs w:val="20"/>
              </w:rPr>
              <w:t xml:space="preserve"> </w:t>
            </w:r>
            <w:r w:rsidRPr="000F140D">
              <w:rPr>
                <w:rFonts w:ascii="Calibri" w:eastAsia="Times New Roman" w:hAnsi="Calibri" w:cs="Calibri"/>
                <w:color w:val="000000"/>
                <w:sz w:val="20"/>
                <w:szCs w:val="20"/>
              </w:rPr>
              <w:t>without a prescription. This is why pharmacists working in PHCs are seen as dispensers.</w:t>
            </w:r>
          </w:p>
          <w:p w14:paraId="2D633C65" w14:textId="77777777" w:rsidR="00627987" w:rsidRDefault="00627987" w:rsidP="00282204">
            <w:pPr>
              <w:spacing w:after="0" w:line="240" w:lineRule="auto"/>
              <w:jc w:val="both"/>
              <w:rPr>
                <w:rFonts w:ascii="Calibri" w:eastAsia="Times New Roman" w:hAnsi="Calibri" w:cs="Calibri"/>
                <w:color w:val="000000"/>
                <w:sz w:val="20"/>
                <w:szCs w:val="20"/>
              </w:rPr>
            </w:pPr>
          </w:p>
          <w:p w14:paraId="5B77473F" w14:textId="77777777" w:rsidR="00337BBF" w:rsidRPr="000F140D" w:rsidRDefault="00337BBF" w:rsidP="00282204">
            <w:pPr>
              <w:spacing w:after="0" w:line="240" w:lineRule="auto"/>
              <w:jc w:val="both"/>
              <w:rPr>
                <w:rFonts w:ascii="Calibri" w:eastAsia="Times New Roman" w:hAnsi="Calibri" w:cs="Calibri"/>
                <w:color w:val="000000"/>
                <w:sz w:val="20"/>
                <w:szCs w:val="20"/>
              </w:rPr>
            </w:pPr>
          </w:p>
        </w:tc>
        <w:tc>
          <w:tcPr>
            <w:tcW w:w="2880" w:type="dxa"/>
            <w:tcBorders>
              <w:top w:val="nil"/>
              <w:left w:val="nil"/>
              <w:bottom w:val="single" w:sz="4" w:space="0" w:color="auto"/>
              <w:right w:val="single" w:sz="4" w:space="0" w:color="auto"/>
            </w:tcBorders>
            <w:shd w:val="clear" w:color="auto" w:fill="auto"/>
            <w:hideMark/>
          </w:tcPr>
          <w:p w14:paraId="09F51E45" w14:textId="77777777" w:rsidR="00337BBF" w:rsidRDefault="00337BB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0F140D">
              <w:rPr>
                <w:rFonts w:ascii="Calibri" w:eastAsia="Times New Roman" w:hAnsi="Calibri" w:cs="Calibri"/>
                <w:color w:val="000000"/>
                <w:sz w:val="20"/>
                <w:szCs w:val="20"/>
              </w:rPr>
              <w:t xml:space="preserve">Both phases of this research found positive attitudes toward pharmacist roles in diabetes management, both now and in the future.  </w:t>
            </w:r>
          </w:p>
          <w:p w14:paraId="1B970380" w14:textId="77777777" w:rsidR="00337BBF" w:rsidRDefault="00337BBF" w:rsidP="00282204">
            <w:pPr>
              <w:spacing w:after="0" w:line="276" w:lineRule="auto"/>
              <w:jc w:val="both"/>
              <w:rPr>
                <w:rFonts w:ascii="Calibri" w:eastAsia="Times New Roman" w:hAnsi="Calibri" w:cs="Calibri"/>
                <w:color w:val="000000"/>
                <w:sz w:val="20"/>
                <w:szCs w:val="20"/>
              </w:rPr>
            </w:pPr>
          </w:p>
          <w:p w14:paraId="0B6E1574" w14:textId="77777777" w:rsidR="00337BBF" w:rsidRDefault="00337BBF" w:rsidP="00282204">
            <w:pPr>
              <w:spacing w:after="0" w:line="240" w:lineRule="auto"/>
              <w:jc w:val="both"/>
              <w:rPr>
                <w:rFonts w:ascii="Calibri" w:eastAsia="Times New Roman" w:hAnsi="Calibri" w:cs="Calibri"/>
                <w:color w:val="000000"/>
                <w:sz w:val="20"/>
                <w:szCs w:val="20"/>
              </w:rPr>
            </w:pPr>
            <w:r w:rsidRPr="000F140D">
              <w:rPr>
                <w:rFonts w:ascii="Calibri" w:eastAsia="Times New Roman" w:hAnsi="Calibri" w:cs="Calibri"/>
                <w:color w:val="000000"/>
                <w:sz w:val="20"/>
                <w:szCs w:val="20"/>
              </w:rPr>
              <w:t>-</w:t>
            </w:r>
            <w:r>
              <w:rPr>
                <w:rFonts w:ascii="Calibri" w:eastAsia="Times New Roman" w:hAnsi="Calibri" w:cs="Calibri"/>
                <w:color w:val="000000"/>
                <w:sz w:val="20"/>
                <w:szCs w:val="20"/>
              </w:rPr>
              <w:t>R</w:t>
            </w:r>
            <w:r w:rsidRPr="000F140D">
              <w:rPr>
                <w:rFonts w:ascii="Calibri" w:eastAsia="Times New Roman" w:hAnsi="Calibri" w:cs="Calibri"/>
                <w:color w:val="000000"/>
                <w:sz w:val="20"/>
                <w:szCs w:val="20"/>
              </w:rPr>
              <w:t>espondents in the first stage agreed slightly more with pharmacists' future involvement compared to current involvement, in contrast to the second stage, where the interviewees appeared to be enthusiastic about the pharmacist's current involvement</w:t>
            </w:r>
            <w:r>
              <w:rPr>
                <w:rFonts w:ascii="Calibri" w:eastAsia="Times New Roman" w:hAnsi="Calibri" w:cs="Calibri"/>
                <w:color w:val="000000"/>
                <w:sz w:val="20"/>
                <w:szCs w:val="20"/>
              </w:rPr>
              <w:t xml:space="preserve"> and</w:t>
            </w:r>
            <w:r w:rsidRPr="000F140D">
              <w:rPr>
                <w:rFonts w:ascii="Calibri" w:eastAsia="Times New Roman" w:hAnsi="Calibri" w:cs="Calibri"/>
                <w:color w:val="000000"/>
                <w:sz w:val="20"/>
                <w:szCs w:val="20"/>
              </w:rPr>
              <w:t xml:space="preserve"> </w:t>
            </w:r>
            <w:r w:rsidRPr="006B08F6">
              <w:rPr>
                <w:rFonts w:ascii="Calibri" w:eastAsia="Times New Roman" w:hAnsi="Calibri" w:cs="Calibri"/>
                <w:color w:val="000000"/>
                <w:sz w:val="20"/>
                <w:szCs w:val="20"/>
              </w:rPr>
              <w:t>advocated for the pharmacist's participation in diabetes management and their restoration to PHCs</w:t>
            </w:r>
            <w:r w:rsidRPr="000F140D">
              <w:rPr>
                <w:rFonts w:ascii="Calibri" w:eastAsia="Times New Roman" w:hAnsi="Calibri" w:cs="Calibri"/>
                <w:color w:val="000000"/>
                <w:sz w:val="20"/>
                <w:szCs w:val="20"/>
              </w:rPr>
              <w:t xml:space="preserve"> in order to work in a </w:t>
            </w:r>
            <w:r>
              <w:rPr>
                <w:rFonts w:ascii="Calibri" w:eastAsia="Times New Roman" w:hAnsi="Calibri" w:cs="Calibri"/>
                <w:color w:val="000000"/>
                <w:sz w:val="20"/>
                <w:szCs w:val="20"/>
              </w:rPr>
              <w:t>MDT</w:t>
            </w:r>
            <w:r w:rsidRPr="000F140D">
              <w:rPr>
                <w:rFonts w:ascii="Calibri" w:eastAsia="Times New Roman" w:hAnsi="Calibri" w:cs="Calibri"/>
                <w:color w:val="000000"/>
                <w:sz w:val="20"/>
                <w:szCs w:val="20"/>
              </w:rPr>
              <w:t xml:space="preserve"> for diabetes care.  </w:t>
            </w:r>
          </w:p>
          <w:p w14:paraId="1939AF5A" w14:textId="77777777" w:rsidR="00337BBF" w:rsidRDefault="00337BBF" w:rsidP="00282204">
            <w:pPr>
              <w:spacing w:after="0" w:line="276" w:lineRule="auto"/>
              <w:jc w:val="both"/>
              <w:rPr>
                <w:rFonts w:ascii="Calibri" w:eastAsia="Times New Roman" w:hAnsi="Calibri" w:cs="Calibri"/>
                <w:color w:val="000000"/>
                <w:sz w:val="20"/>
                <w:szCs w:val="20"/>
              </w:rPr>
            </w:pPr>
          </w:p>
          <w:p w14:paraId="5508C99D" w14:textId="77777777" w:rsidR="00337BBF" w:rsidRPr="000F140D" w:rsidRDefault="00337BBF" w:rsidP="00282204">
            <w:pPr>
              <w:spacing w:after="0" w:line="240" w:lineRule="auto"/>
              <w:jc w:val="both"/>
              <w:rPr>
                <w:rFonts w:ascii="Calibri" w:eastAsia="Times New Roman" w:hAnsi="Calibri" w:cs="Calibri"/>
                <w:color w:val="000000"/>
                <w:sz w:val="20"/>
                <w:szCs w:val="20"/>
              </w:rPr>
            </w:pPr>
            <w:r w:rsidRPr="000F140D">
              <w:rPr>
                <w:rFonts w:ascii="Calibri" w:eastAsia="Times New Roman" w:hAnsi="Calibri" w:cs="Calibri"/>
                <w:color w:val="000000"/>
                <w:sz w:val="20"/>
                <w:szCs w:val="20"/>
              </w:rPr>
              <w:t xml:space="preserve">-Both phases indicate that doctors with more years of experience have positive attitudes toward expanding pharmacists’ role in patient care compared with the junior ones </w:t>
            </w:r>
          </w:p>
        </w:tc>
      </w:tr>
    </w:tbl>
    <w:p w14:paraId="01BB578C" w14:textId="77777777" w:rsidR="00186558" w:rsidRDefault="00186558" w:rsidP="00747BE4">
      <w:pPr>
        <w:spacing w:line="360" w:lineRule="auto"/>
        <w:jc w:val="both"/>
        <w:rPr>
          <w:rFonts w:asciiTheme="minorBidi" w:hAnsiTheme="minorBidi"/>
          <w:sz w:val="24"/>
          <w:szCs w:val="24"/>
        </w:rPr>
      </w:pPr>
    </w:p>
    <w:p w14:paraId="1840F249" w14:textId="77777777" w:rsidR="00F2388F" w:rsidRDefault="00F2388F" w:rsidP="00F2388F">
      <w:pPr>
        <w:rPr>
          <w:rFonts w:asciiTheme="minorBidi" w:hAnsiTheme="minorBidi"/>
          <w:sz w:val="24"/>
          <w:szCs w:val="24"/>
        </w:rPr>
      </w:pPr>
    </w:p>
    <w:p w14:paraId="0E9B90D9" w14:textId="30158220" w:rsidR="00F2388F" w:rsidRDefault="00F2388F" w:rsidP="00F2388F">
      <w:pPr>
        <w:rPr>
          <w:i/>
          <w:iCs/>
          <w:color w:val="44546A" w:themeColor="text2"/>
          <w:sz w:val="20"/>
          <w:szCs w:val="20"/>
        </w:rPr>
      </w:pPr>
      <w:bookmarkStart w:id="274" w:name="_Ref123528682"/>
      <w:bookmarkStart w:id="275" w:name="_Toc153894584"/>
      <w:r w:rsidRPr="00D75075">
        <w:rPr>
          <w:i/>
          <w:iCs/>
          <w:color w:val="44546A" w:themeColor="text2"/>
          <w:sz w:val="20"/>
          <w:szCs w:val="20"/>
        </w:rPr>
        <w:t xml:space="preserve">Table </w:t>
      </w:r>
      <w:r w:rsidRPr="00D75075">
        <w:rPr>
          <w:i/>
          <w:iCs/>
          <w:color w:val="44546A" w:themeColor="text2"/>
          <w:sz w:val="20"/>
          <w:szCs w:val="20"/>
        </w:rPr>
        <w:fldChar w:fldCharType="begin"/>
      </w:r>
      <w:r w:rsidRPr="00D75075">
        <w:rPr>
          <w:i/>
          <w:iCs/>
          <w:color w:val="44546A" w:themeColor="text2"/>
          <w:sz w:val="20"/>
          <w:szCs w:val="20"/>
        </w:rPr>
        <w:instrText xml:space="preserve"> SEQ Table \* ARABIC </w:instrText>
      </w:r>
      <w:r w:rsidRPr="00D75075">
        <w:rPr>
          <w:i/>
          <w:iCs/>
          <w:color w:val="44546A" w:themeColor="text2"/>
          <w:sz w:val="20"/>
          <w:szCs w:val="20"/>
        </w:rPr>
        <w:fldChar w:fldCharType="separate"/>
      </w:r>
      <w:r w:rsidR="009B31EB">
        <w:rPr>
          <w:i/>
          <w:iCs/>
          <w:noProof/>
          <w:color w:val="44546A" w:themeColor="text2"/>
          <w:sz w:val="20"/>
          <w:szCs w:val="20"/>
        </w:rPr>
        <w:t>30</w:t>
      </w:r>
      <w:r w:rsidRPr="00D75075">
        <w:rPr>
          <w:i/>
          <w:iCs/>
          <w:color w:val="44546A" w:themeColor="text2"/>
          <w:sz w:val="20"/>
          <w:szCs w:val="20"/>
        </w:rPr>
        <w:fldChar w:fldCharType="end"/>
      </w:r>
      <w:bookmarkEnd w:id="274"/>
      <w:r w:rsidRPr="00D75075">
        <w:rPr>
          <w:i/>
          <w:iCs/>
          <w:color w:val="44546A" w:themeColor="text2"/>
          <w:sz w:val="20"/>
          <w:szCs w:val="20"/>
        </w:rPr>
        <w:t>: Integrating of Healthcare Professionals’ Views on Potential Impact of Pharmacist Involvement in Diabetes Primary Care Management</w:t>
      </w:r>
      <w:bookmarkEnd w:id="275"/>
    </w:p>
    <w:tbl>
      <w:tblPr>
        <w:tblW w:w="14310" w:type="dxa"/>
        <w:tblInd w:w="-545" w:type="dxa"/>
        <w:tblLayout w:type="fixed"/>
        <w:tblLook w:val="04A0" w:firstRow="1" w:lastRow="0" w:firstColumn="1" w:lastColumn="0" w:noHBand="0" w:noVBand="1"/>
      </w:tblPr>
      <w:tblGrid>
        <w:gridCol w:w="1980"/>
        <w:gridCol w:w="2970"/>
        <w:gridCol w:w="2520"/>
        <w:gridCol w:w="4050"/>
        <w:gridCol w:w="2790"/>
      </w:tblGrid>
      <w:tr w:rsidR="00F2388F" w:rsidRPr="00FC0E22" w14:paraId="114E4F2F" w14:textId="77777777" w:rsidTr="00282204">
        <w:trPr>
          <w:trHeight w:val="827"/>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07C66" w14:textId="77777777" w:rsidR="00F2388F" w:rsidRPr="000D70F5" w:rsidRDefault="00F2388F" w:rsidP="00282204">
            <w:pPr>
              <w:spacing w:after="0" w:line="240" w:lineRule="auto"/>
              <w:jc w:val="center"/>
              <w:rPr>
                <w:rFonts w:ascii="Calibri" w:eastAsia="Times New Roman" w:hAnsi="Calibri" w:cs="Calibri"/>
                <w:color w:val="000000"/>
                <w:sz w:val="20"/>
                <w:szCs w:val="20"/>
              </w:rPr>
            </w:pPr>
            <w:r w:rsidRPr="000D70F5">
              <w:rPr>
                <w:rFonts w:ascii="Calibri" w:eastAsia="Times New Roman" w:hAnsi="Calibri" w:cs="Calibri"/>
                <w:color w:val="000000"/>
                <w:sz w:val="20"/>
                <w:szCs w:val="20"/>
                <w:lang w:val="en-GB"/>
              </w:rPr>
              <w:t>Research questions</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14:paraId="708104EE" w14:textId="77777777" w:rsidR="00F2388F" w:rsidRPr="000D70F5" w:rsidRDefault="00F2388F" w:rsidP="00282204">
            <w:pPr>
              <w:spacing w:after="0" w:line="240" w:lineRule="auto"/>
              <w:jc w:val="center"/>
              <w:rPr>
                <w:rFonts w:ascii="Calibri" w:eastAsia="Times New Roman" w:hAnsi="Calibri" w:cs="Calibri"/>
                <w:color w:val="000000"/>
                <w:sz w:val="20"/>
                <w:szCs w:val="20"/>
              </w:rPr>
            </w:pPr>
            <w:r w:rsidRPr="000D70F5">
              <w:rPr>
                <w:rFonts w:ascii="Calibri" w:eastAsia="Times New Roman" w:hAnsi="Calibri" w:cs="Calibri"/>
                <w:color w:val="000000"/>
                <w:sz w:val="20"/>
                <w:szCs w:val="20"/>
                <w:lang w:val="en-GB"/>
              </w:rPr>
              <w:t xml:space="preserve">Potential </w:t>
            </w:r>
            <w:r>
              <w:rPr>
                <w:rFonts w:ascii="Calibri" w:eastAsia="Times New Roman" w:hAnsi="Calibri" w:cs="Calibri"/>
                <w:color w:val="000000"/>
                <w:sz w:val="20"/>
                <w:szCs w:val="20"/>
                <w:lang w:val="en-GB"/>
              </w:rPr>
              <w:t>i</w:t>
            </w:r>
            <w:r w:rsidRPr="000D70F5">
              <w:rPr>
                <w:rFonts w:ascii="Calibri" w:eastAsia="Times New Roman" w:hAnsi="Calibri" w:cs="Calibri"/>
                <w:color w:val="000000"/>
                <w:sz w:val="20"/>
                <w:szCs w:val="20"/>
                <w:lang w:val="en-GB"/>
              </w:rPr>
              <w:t xml:space="preserve">mpact of </w:t>
            </w:r>
            <w:r>
              <w:rPr>
                <w:rFonts w:ascii="Calibri" w:eastAsia="Times New Roman" w:hAnsi="Calibri" w:cs="Calibri"/>
                <w:color w:val="000000"/>
                <w:sz w:val="20"/>
                <w:szCs w:val="20"/>
                <w:lang w:val="en-GB"/>
              </w:rPr>
              <w:t>p</w:t>
            </w:r>
            <w:r w:rsidRPr="000D70F5">
              <w:rPr>
                <w:rFonts w:ascii="Calibri" w:eastAsia="Times New Roman" w:hAnsi="Calibri" w:cs="Calibri"/>
                <w:color w:val="000000"/>
                <w:sz w:val="20"/>
                <w:szCs w:val="20"/>
                <w:lang w:val="en-GB"/>
              </w:rPr>
              <w:t xml:space="preserve">harmacist </w:t>
            </w:r>
            <w:r>
              <w:rPr>
                <w:rFonts w:ascii="Calibri" w:eastAsia="Times New Roman" w:hAnsi="Calibri" w:cs="Calibri"/>
                <w:color w:val="000000"/>
                <w:sz w:val="20"/>
                <w:szCs w:val="20"/>
                <w:lang w:val="en-GB"/>
              </w:rPr>
              <w:t>i</w:t>
            </w:r>
            <w:r w:rsidRPr="000D70F5">
              <w:rPr>
                <w:rFonts w:ascii="Calibri" w:eastAsia="Times New Roman" w:hAnsi="Calibri" w:cs="Calibri"/>
                <w:color w:val="000000"/>
                <w:sz w:val="20"/>
                <w:szCs w:val="20"/>
                <w:lang w:val="en-GB"/>
              </w:rPr>
              <w:t xml:space="preserve">nvolvement in </w:t>
            </w:r>
            <w:r>
              <w:rPr>
                <w:rFonts w:ascii="Calibri" w:eastAsia="Times New Roman" w:hAnsi="Calibri" w:cs="Calibri"/>
                <w:color w:val="000000"/>
                <w:sz w:val="20"/>
                <w:szCs w:val="20"/>
                <w:lang w:val="en-GB"/>
              </w:rPr>
              <w:t>d</w:t>
            </w:r>
            <w:r w:rsidRPr="000D70F5">
              <w:rPr>
                <w:rFonts w:ascii="Calibri" w:eastAsia="Times New Roman" w:hAnsi="Calibri" w:cs="Calibri"/>
                <w:color w:val="000000"/>
                <w:sz w:val="20"/>
                <w:szCs w:val="20"/>
                <w:lang w:val="en-GB"/>
              </w:rPr>
              <w:t xml:space="preserve">iabetes </w:t>
            </w:r>
            <w:r>
              <w:rPr>
                <w:rFonts w:ascii="Calibri" w:eastAsia="Times New Roman" w:hAnsi="Calibri" w:cs="Calibri"/>
                <w:color w:val="000000"/>
                <w:sz w:val="20"/>
                <w:szCs w:val="20"/>
                <w:lang w:val="en-GB"/>
              </w:rPr>
              <w:t>m</w:t>
            </w:r>
            <w:r w:rsidRPr="000D70F5">
              <w:rPr>
                <w:rFonts w:ascii="Calibri" w:eastAsia="Times New Roman" w:hAnsi="Calibri" w:cs="Calibri"/>
                <w:color w:val="000000"/>
                <w:sz w:val="20"/>
                <w:szCs w:val="20"/>
                <w:lang w:val="en-GB"/>
              </w:rPr>
              <w:t>anagement</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20A7214A" w14:textId="77777777" w:rsidR="00F2388F" w:rsidRPr="000D70F5" w:rsidRDefault="00F2388F" w:rsidP="00282204">
            <w:pPr>
              <w:spacing w:after="0" w:line="240" w:lineRule="auto"/>
              <w:jc w:val="center"/>
              <w:rPr>
                <w:rFonts w:ascii="Calibri" w:eastAsia="Times New Roman" w:hAnsi="Calibri" w:cs="Calibri"/>
                <w:color w:val="000000"/>
                <w:sz w:val="20"/>
                <w:szCs w:val="20"/>
              </w:rPr>
            </w:pPr>
            <w:r w:rsidRPr="000D70F5">
              <w:rPr>
                <w:rFonts w:ascii="Calibri" w:eastAsia="Times New Roman" w:hAnsi="Calibri" w:cs="Calibri"/>
                <w:color w:val="000000"/>
                <w:sz w:val="20"/>
                <w:szCs w:val="20"/>
                <w:lang w:val="en-GB"/>
              </w:rPr>
              <w:t>Survey</w:t>
            </w:r>
          </w:p>
        </w:tc>
        <w:tc>
          <w:tcPr>
            <w:tcW w:w="4050" w:type="dxa"/>
            <w:tcBorders>
              <w:top w:val="single" w:sz="4" w:space="0" w:color="auto"/>
              <w:left w:val="nil"/>
              <w:bottom w:val="single" w:sz="4" w:space="0" w:color="auto"/>
              <w:right w:val="single" w:sz="4" w:space="0" w:color="auto"/>
            </w:tcBorders>
            <w:shd w:val="clear" w:color="auto" w:fill="auto"/>
            <w:vAlign w:val="center"/>
            <w:hideMark/>
          </w:tcPr>
          <w:p w14:paraId="46B4D871" w14:textId="77777777" w:rsidR="00F2388F" w:rsidRPr="000D70F5" w:rsidRDefault="00F2388F" w:rsidP="00282204">
            <w:pPr>
              <w:spacing w:after="0" w:line="240" w:lineRule="auto"/>
              <w:jc w:val="center"/>
              <w:rPr>
                <w:rFonts w:ascii="Calibri" w:eastAsia="Times New Roman" w:hAnsi="Calibri" w:cs="Calibri"/>
                <w:color w:val="000000"/>
                <w:sz w:val="20"/>
                <w:szCs w:val="20"/>
              </w:rPr>
            </w:pPr>
            <w:r w:rsidRPr="000D70F5">
              <w:rPr>
                <w:rFonts w:ascii="Calibri" w:eastAsia="Times New Roman" w:hAnsi="Calibri" w:cs="Calibri"/>
                <w:color w:val="000000"/>
                <w:sz w:val="20"/>
                <w:szCs w:val="20"/>
                <w:lang w:val="en-GB"/>
              </w:rPr>
              <w:t>Interviews</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2E0489C" w14:textId="77777777" w:rsidR="00F2388F" w:rsidRPr="000D70F5" w:rsidRDefault="00F2388F" w:rsidP="00282204">
            <w:pPr>
              <w:spacing w:after="0" w:line="240" w:lineRule="auto"/>
              <w:jc w:val="center"/>
              <w:rPr>
                <w:rFonts w:ascii="Calibri" w:eastAsia="Times New Roman" w:hAnsi="Calibri" w:cs="Calibri"/>
                <w:color w:val="000000"/>
                <w:sz w:val="20"/>
                <w:szCs w:val="20"/>
              </w:rPr>
            </w:pPr>
            <w:r w:rsidRPr="000D70F5">
              <w:rPr>
                <w:rFonts w:ascii="Calibri" w:eastAsia="Times New Roman" w:hAnsi="Calibri" w:cs="Calibri"/>
                <w:color w:val="000000"/>
                <w:sz w:val="20"/>
                <w:szCs w:val="20"/>
                <w:lang w:val="en-GB"/>
              </w:rPr>
              <w:t>Integration</w:t>
            </w:r>
          </w:p>
        </w:tc>
      </w:tr>
      <w:tr w:rsidR="00F2388F" w:rsidRPr="00FC0E22" w14:paraId="7B36CAA7" w14:textId="77777777" w:rsidTr="00282204">
        <w:trPr>
          <w:trHeight w:val="2960"/>
        </w:trPr>
        <w:tc>
          <w:tcPr>
            <w:tcW w:w="1980" w:type="dxa"/>
            <w:tcBorders>
              <w:top w:val="nil"/>
              <w:left w:val="single" w:sz="4" w:space="0" w:color="auto"/>
              <w:bottom w:val="single" w:sz="4" w:space="0" w:color="auto"/>
              <w:right w:val="single" w:sz="4" w:space="0" w:color="auto"/>
            </w:tcBorders>
            <w:shd w:val="clear" w:color="auto" w:fill="auto"/>
            <w:hideMark/>
          </w:tcPr>
          <w:p w14:paraId="04406EA2" w14:textId="77777777" w:rsidR="00F2388F" w:rsidRPr="00FC0E22" w:rsidRDefault="00F2388F" w:rsidP="00282204">
            <w:pPr>
              <w:spacing w:after="0" w:line="240" w:lineRule="auto"/>
              <w:rPr>
                <w:rFonts w:ascii="Calibri" w:eastAsia="Times New Roman" w:hAnsi="Calibri" w:cs="Calibri"/>
                <w:color w:val="000000"/>
                <w:sz w:val="20"/>
                <w:szCs w:val="20"/>
                <w:lang w:val="en-GB"/>
              </w:rPr>
            </w:pPr>
            <w:r w:rsidRPr="000D70F5">
              <w:rPr>
                <w:rFonts w:ascii="Calibri" w:eastAsia="Times New Roman" w:hAnsi="Calibri" w:cs="Calibri"/>
                <w:color w:val="000000"/>
                <w:sz w:val="20"/>
                <w:szCs w:val="20"/>
                <w:lang w:val="en-GB"/>
              </w:rPr>
              <w:t xml:space="preserve">What </w:t>
            </w:r>
            <w:r w:rsidRPr="00FC0E22">
              <w:rPr>
                <w:rFonts w:ascii="Calibri" w:eastAsia="Times New Roman" w:hAnsi="Calibri" w:cs="Calibri"/>
                <w:color w:val="000000"/>
                <w:sz w:val="20"/>
                <w:szCs w:val="20"/>
                <w:lang w:val="en-GB"/>
              </w:rPr>
              <w:t>are</w:t>
            </w:r>
            <w:r w:rsidRPr="000D70F5">
              <w:rPr>
                <w:rFonts w:ascii="Calibri" w:eastAsia="Times New Roman" w:hAnsi="Calibri" w:cs="Calibri"/>
                <w:color w:val="000000"/>
                <w:sz w:val="20"/>
                <w:szCs w:val="20"/>
                <w:lang w:val="en-GB"/>
              </w:rPr>
              <w:t xml:space="preserve"> the views of </w:t>
            </w:r>
            <w:r>
              <w:rPr>
                <w:rFonts w:ascii="Calibri" w:eastAsia="Times New Roman" w:hAnsi="Calibri" w:cs="Calibri"/>
                <w:color w:val="000000"/>
                <w:sz w:val="20"/>
                <w:szCs w:val="20"/>
                <w:lang w:val="en-GB"/>
              </w:rPr>
              <w:t>HCPs</w:t>
            </w:r>
            <w:r w:rsidRPr="000D70F5">
              <w:rPr>
                <w:rFonts w:ascii="Calibri" w:eastAsia="Times New Roman" w:hAnsi="Calibri" w:cs="Calibri"/>
                <w:color w:val="000000"/>
                <w:sz w:val="20"/>
                <w:szCs w:val="20"/>
                <w:lang w:val="en-GB"/>
              </w:rPr>
              <w:t xml:space="preserve"> (pharmacists, nurses and doctors) on the potential impacts of adding pharmacists to the diabetes care team? </w:t>
            </w:r>
          </w:p>
          <w:p w14:paraId="36E0E4F0"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6CBBABD8"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76BC6371" w14:textId="77777777" w:rsidR="00F2388F" w:rsidRPr="000D70F5" w:rsidRDefault="00F2388F" w:rsidP="00282204">
            <w:pPr>
              <w:spacing w:after="0" w:line="240" w:lineRule="auto"/>
              <w:jc w:val="both"/>
              <w:rPr>
                <w:rFonts w:ascii="Calibri" w:eastAsia="Times New Roman" w:hAnsi="Calibri" w:cs="Calibri"/>
                <w:color w:val="000000"/>
                <w:sz w:val="20"/>
                <w:szCs w:val="20"/>
              </w:rPr>
            </w:pPr>
          </w:p>
        </w:tc>
        <w:tc>
          <w:tcPr>
            <w:tcW w:w="2970" w:type="dxa"/>
            <w:tcBorders>
              <w:top w:val="nil"/>
              <w:left w:val="nil"/>
              <w:bottom w:val="single" w:sz="4" w:space="0" w:color="auto"/>
              <w:right w:val="single" w:sz="4" w:space="0" w:color="auto"/>
            </w:tcBorders>
            <w:shd w:val="clear" w:color="auto" w:fill="auto"/>
            <w:hideMark/>
          </w:tcPr>
          <w:p w14:paraId="343FEE7F" w14:textId="77777777" w:rsidR="00F2388F" w:rsidRDefault="00F2388F" w:rsidP="00282204">
            <w:pPr>
              <w:spacing w:after="0" w:line="276"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-I</w:t>
            </w:r>
            <w:r w:rsidRPr="000D70F5">
              <w:rPr>
                <w:rFonts w:ascii="Calibri" w:eastAsia="Times New Roman" w:hAnsi="Calibri" w:cs="Calibri"/>
                <w:color w:val="000000"/>
                <w:sz w:val="20"/>
                <w:szCs w:val="20"/>
                <w:lang w:val="en-GB"/>
              </w:rPr>
              <w:t xml:space="preserve">ncrease the level of job satisfaction for pharmacists </w:t>
            </w:r>
          </w:p>
          <w:p w14:paraId="13AD4F23" w14:textId="77777777" w:rsidR="00F2388F" w:rsidRPr="00427242" w:rsidRDefault="00F2388F" w:rsidP="00282204">
            <w:pPr>
              <w:spacing w:after="0" w:line="276" w:lineRule="auto"/>
              <w:rPr>
                <w:rFonts w:ascii="Calibri" w:eastAsia="Times New Roman" w:hAnsi="Calibri" w:cs="Calibri"/>
                <w:b/>
                <w:bCs/>
                <w:color w:val="000000"/>
                <w:sz w:val="20"/>
                <w:szCs w:val="20"/>
                <w:lang w:val="en-GB"/>
              </w:rPr>
            </w:pPr>
            <w:r w:rsidRPr="00427242">
              <w:rPr>
                <w:rFonts w:ascii="Calibri" w:eastAsia="Times New Roman" w:hAnsi="Calibri" w:cs="Calibri"/>
                <w:b/>
                <w:bCs/>
                <w:color w:val="000000"/>
                <w:sz w:val="20"/>
                <w:szCs w:val="20"/>
                <w:lang w:val="en-GB"/>
              </w:rPr>
              <w:t xml:space="preserve">Pharmacists can: </w:t>
            </w:r>
          </w:p>
          <w:p w14:paraId="7AC1B2C0" w14:textId="77777777" w:rsidR="00F2388F" w:rsidRDefault="00F2388F" w:rsidP="00282204">
            <w:pPr>
              <w:spacing w:after="0" w:line="276" w:lineRule="auto"/>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r</w:t>
            </w:r>
            <w:r w:rsidRPr="000D70F5">
              <w:rPr>
                <w:rFonts w:ascii="Calibri" w:eastAsia="Times New Roman" w:hAnsi="Calibri" w:cs="Calibri"/>
                <w:color w:val="000000"/>
                <w:sz w:val="20"/>
                <w:szCs w:val="20"/>
                <w:lang w:val="en-GB"/>
              </w:rPr>
              <w:t xml:space="preserve">educe medication errors </w:t>
            </w:r>
          </w:p>
          <w:p w14:paraId="73F36310" w14:textId="77777777" w:rsidR="00F2388F" w:rsidRDefault="00F2388F" w:rsidP="00282204">
            <w:pPr>
              <w:spacing w:after="0" w:line="276" w:lineRule="auto"/>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h</w:t>
            </w:r>
            <w:r w:rsidRPr="000D70F5">
              <w:rPr>
                <w:rFonts w:ascii="Calibri" w:eastAsia="Times New Roman" w:hAnsi="Calibri" w:cs="Calibri"/>
                <w:color w:val="000000"/>
                <w:sz w:val="20"/>
                <w:szCs w:val="20"/>
                <w:lang w:val="en-GB"/>
              </w:rPr>
              <w:t>elp doctors to prescribe safely</w:t>
            </w:r>
          </w:p>
          <w:p w14:paraId="5B2C4BA1" w14:textId="77777777" w:rsidR="00F2388F" w:rsidRDefault="00F2388F" w:rsidP="00282204">
            <w:pPr>
              <w:spacing w:after="0" w:line="276"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-h</w:t>
            </w:r>
            <w:r w:rsidRPr="00FC0E22">
              <w:rPr>
                <w:rFonts w:ascii="Calibri" w:eastAsia="Times New Roman" w:hAnsi="Calibri" w:cs="Calibri"/>
                <w:color w:val="000000"/>
                <w:sz w:val="20"/>
                <w:szCs w:val="20"/>
                <w:lang w:val="en-GB"/>
              </w:rPr>
              <w:t>elp</w:t>
            </w:r>
            <w:r w:rsidRPr="000D70F5">
              <w:rPr>
                <w:rFonts w:ascii="Calibri" w:eastAsia="Times New Roman" w:hAnsi="Calibri" w:cs="Calibri"/>
                <w:color w:val="000000"/>
                <w:sz w:val="20"/>
                <w:szCs w:val="20"/>
                <w:lang w:val="en-GB"/>
              </w:rPr>
              <w:t xml:space="preserve"> doctors to prescribe cost-effectively</w:t>
            </w:r>
            <w:r w:rsidRPr="000D70F5">
              <w:rPr>
                <w:rFonts w:ascii="Calibri" w:eastAsia="Times New Roman" w:hAnsi="Calibri" w:cs="Calibri"/>
                <w:color w:val="000000"/>
                <w:sz w:val="20"/>
                <w:szCs w:val="20"/>
                <w:lang w:val="en-GB"/>
              </w:rPr>
              <w:br/>
            </w:r>
            <w:r w:rsidRPr="00FC0E2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i</w:t>
            </w:r>
            <w:r w:rsidRPr="000D70F5">
              <w:rPr>
                <w:rFonts w:ascii="Calibri" w:eastAsia="Times New Roman" w:hAnsi="Calibri" w:cs="Calibri"/>
                <w:color w:val="000000"/>
                <w:sz w:val="20"/>
                <w:szCs w:val="20"/>
                <w:lang w:val="en-GB"/>
              </w:rPr>
              <w:t xml:space="preserve">mprove prescribing practice </w:t>
            </w:r>
          </w:p>
          <w:p w14:paraId="4D5E5234" w14:textId="77777777" w:rsidR="00F2388F" w:rsidRDefault="00F2388F" w:rsidP="00282204">
            <w:pPr>
              <w:spacing w:after="0" w:line="276" w:lineRule="auto"/>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b</w:t>
            </w:r>
            <w:r w:rsidRPr="000D70F5">
              <w:rPr>
                <w:rFonts w:ascii="Calibri" w:eastAsia="Times New Roman" w:hAnsi="Calibri" w:cs="Calibri"/>
                <w:color w:val="000000"/>
                <w:sz w:val="20"/>
                <w:szCs w:val="20"/>
                <w:lang w:val="en-GB"/>
              </w:rPr>
              <w:t>e an important</w:t>
            </w:r>
            <w:r>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 xml:space="preserve">integral part of the diabetes </w:t>
            </w:r>
            <w:r>
              <w:rPr>
                <w:rFonts w:ascii="Calibri" w:eastAsia="Times New Roman" w:hAnsi="Calibri" w:cs="Calibri"/>
                <w:color w:val="000000"/>
                <w:sz w:val="20"/>
                <w:szCs w:val="20"/>
                <w:lang w:val="en-GB"/>
              </w:rPr>
              <w:t xml:space="preserve">care </w:t>
            </w:r>
            <w:r w:rsidRPr="000D70F5">
              <w:rPr>
                <w:rFonts w:ascii="Calibri" w:eastAsia="Times New Roman" w:hAnsi="Calibri" w:cs="Calibri"/>
                <w:color w:val="000000"/>
                <w:sz w:val="20"/>
                <w:szCs w:val="20"/>
                <w:lang w:val="en-GB"/>
              </w:rPr>
              <w:t xml:space="preserve">team </w:t>
            </w:r>
            <w:r w:rsidRPr="000D70F5">
              <w:rPr>
                <w:rFonts w:ascii="Calibri" w:eastAsia="Times New Roman" w:hAnsi="Calibri" w:cs="Calibri"/>
                <w:color w:val="000000"/>
                <w:sz w:val="20"/>
                <w:szCs w:val="20"/>
                <w:lang w:val="en-GB"/>
              </w:rPr>
              <w:br/>
            </w:r>
            <w:r w:rsidRPr="00FC0E2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p</w:t>
            </w:r>
            <w:r w:rsidRPr="000D70F5">
              <w:rPr>
                <w:rFonts w:ascii="Calibri" w:eastAsia="Times New Roman" w:hAnsi="Calibri" w:cs="Calibri"/>
                <w:color w:val="000000"/>
                <w:sz w:val="20"/>
                <w:szCs w:val="20"/>
                <w:lang w:val="en-GB"/>
              </w:rPr>
              <w:t xml:space="preserve">rovide drug information </w:t>
            </w:r>
            <w:r>
              <w:rPr>
                <w:rFonts w:ascii="Calibri" w:eastAsia="Times New Roman" w:hAnsi="Calibri" w:cs="Calibri"/>
                <w:color w:val="000000"/>
                <w:sz w:val="20"/>
                <w:szCs w:val="20"/>
                <w:lang w:val="en-GB"/>
              </w:rPr>
              <w:t>service</w:t>
            </w:r>
            <w:r w:rsidRPr="000D70F5">
              <w:rPr>
                <w:rFonts w:ascii="Calibri" w:eastAsia="Times New Roman" w:hAnsi="Calibri" w:cs="Calibri"/>
                <w:color w:val="000000"/>
                <w:sz w:val="20"/>
                <w:szCs w:val="20"/>
                <w:lang w:val="en-GB"/>
              </w:rPr>
              <w:br/>
            </w:r>
            <w:r w:rsidRPr="00FC0E22">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 xml:space="preserve"> improve the quality of healthcare services</w:t>
            </w:r>
            <w:r w:rsidRPr="000D70F5">
              <w:rPr>
                <w:rFonts w:ascii="Calibri" w:eastAsia="Times New Roman" w:hAnsi="Calibri" w:cs="Calibri"/>
                <w:color w:val="000000"/>
                <w:sz w:val="20"/>
                <w:szCs w:val="20"/>
                <w:lang w:val="en-GB"/>
              </w:rPr>
              <w:br/>
            </w:r>
            <w:r w:rsidRPr="00FC0E2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m</w:t>
            </w:r>
            <w:r w:rsidRPr="000D70F5">
              <w:rPr>
                <w:rFonts w:ascii="Calibri" w:eastAsia="Times New Roman" w:hAnsi="Calibri" w:cs="Calibri"/>
                <w:color w:val="000000"/>
                <w:sz w:val="20"/>
                <w:szCs w:val="20"/>
                <w:lang w:val="en-GB"/>
              </w:rPr>
              <w:t xml:space="preserve">ake doctors’ job easier </w:t>
            </w:r>
          </w:p>
          <w:p w14:paraId="36847241" w14:textId="77777777" w:rsidR="00F2388F" w:rsidRDefault="00F2388F" w:rsidP="00282204">
            <w:pPr>
              <w:spacing w:after="0" w:line="276" w:lineRule="auto"/>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m</w:t>
            </w:r>
            <w:r w:rsidRPr="000D70F5">
              <w:rPr>
                <w:rFonts w:ascii="Calibri" w:eastAsia="Times New Roman" w:hAnsi="Calibri" w:cs="Calibri"/>
                <w:color w:val="000000"/>
                <w:sz w:val="20"/>
                <w:szCs w:val="20"/>
                <w:lang w:val="en-GB"/>
              </w:rPr>
              <w:t xml:space="preserve">ake nurses’ job easier </w:t>
            </w:r>
          </w:p>
          <w:p w14:paraId="121FE788" w14:textId="77777777" w:rsidR="00F2388F" w:rsidRPr="005E43E6" w:rsidRDefault="00F2388F" w:rsidP="00282204">
            <w:pPr>
              <w:spacing w:after="0" w:line="276" w:lineRule="auto"/>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can improve patient outcomes</w:t>
            </w:r>
            <w:r w:rsidRPr="000D70F5">
              <w:rPr>
                <w:rFonts w:ascii="Calibri" w:eastAsia="Times New Roman" w:hAnsi="Calibri" w:cs="Calibri"/>
                <w:color w:val="000000"/>
                <w:sz w:val="20"/>
                <w:szCs w:val="20"/>
                <w:lang w:val="en-GB"/>
              </w:rPr>
              <w:br/>
            </w:r>
            <w:r w:rsidRPr="00FC0E2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m</w:t>
            </w:r>
            <w:r w:rsidRPr="000D70F5">
              <w:rPr>
                <w:rFonts w:ascii="Calibri" w:eastAsia="Times New Roman" w:hAnsi="Calibri" w:cs="Calibri"/>
                <w:color w:val="000000"/>
                <w:sz w:val="20"/>
                <w:szCs w:val="20"/>
                <w:lang w:val="en-GB"/>
              </w:rPr>
              <w:t>ake the management of patients’ medication more efficient</w:t>
            </w:r>
            <w:r w:rsidRPr="000D70F5">
              <w:rPr>
                <w:rFonts w:ascii="Calibri" w:eastAsia="Times New Roman" w:hAnsi="Calibri" w:cs="Calibri"/>
                <w:color w:val="000000"/>
                <w:sz w:val="20"/>
                <w:szCs w:val="20"/>
                <w:lang w:val="en-GB"/>
              </w:rPr>
              <w:br/>
            </w:r>
            <w:r w:rsidRPr="00FC0E2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h</w:t>
            </w:r>
            <w:r w:rsidRPr="00FC0E22">
              <w:rPr>
                <w:rFonts w:ascii="Calibri" w:eastAsia="Times New Roman" w:hAnsi="Calibri" w:cs="Calibri"/>
                <w:color w:val="000000"/>
                <w:sz w:val="20"/>
                <w:szCs w:val="20"/>
                <w:lang w:val="en-GB"/>
              </w:rPr>
              <w:t>elp</w:t>
            </w:r>
            <w:r w:rsidRPr="000D70F5">
              <w:rPr>
                <w:rFonts w:ascii="Calibri" w:eastAsia="Times New Roman" w:hAnsi="Calibri" w:cs="Calibri"/>
                <w:color w:val="000000"/>
                <w:sz w:val="20"/>
                <w:szCs w:val="20"/>
                <w:lang w:val="en-GB"/>
              </w:rPr>
              <w:t xml:space="preserve"> with co-management of complex patients</w:t>
            </w:r>
            <w:r w:rsidRPr="000D70F5">
              <w:rPr>
                <w:rFonts w:ascii="Calibri" w:eastAsia="Times New Roman" w:hAnsi="Calibri" w:cs="Calibri"/>
                <w:color w:val="000000"/>
                <w:sz w:val="20"/>
                <w:szCs w:val="20"/>
                <w:lang w:val="en-GB"/>
              </w:rPr>
              <w:br/>
            </w:r>
            <w:r w:rsidRPr="00FC0E2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a</w:t>
            </w:r>
            <w:r w:rsidRPr="000D70F5">
              <w:rPr>
                <w:rFonts w:ascii="Calibri" w:eastAsia="Times New Roman" w:hAnsi="Calibri" w:cs="Calibri"/>
                <w:color w:val="000000"/>
                <w:sz w:val="20"/>
                <w:szCs w:val="20"/>
                <w:lang w:val="en-GB"/>
              </w:rPr>
              <w:t>ssess patients’ clinical needs and perform a comprehensive medicines assessment</w:t>
            </w:r>
            <w:r w:rsidRPr="000D70F5">
              <w:rPr>
                <w:rFonts w:ascii="Calibri" w:eastAsia="Times New Roman" w:hAnsi="Calibri" w:cs="Calibri"/>
                <w:color w:val="000000"/>
                <w:sz w:val="20"/>
                <w:szCs w:val="20"/>
                <w:lang w:val="en-GB"/>
              </w:rPr>
              <w:br/>
            </w:r>
            <w:r w:rsidRPr="00FC0E22">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 xml:space="preserve"> independently prescribe cost-effectively</w:t>
            </w:r>
            <w:r w:rsidRPr="000D70F5">
              <w:rPr>
                <w:rFonts w:ascii="Calibri" w:eastAsia="Times New Roman" w:hAnsi="Calibri" w:cs="Calibri"/>
                <w:color w:val="000000"/>
                <w:sz w:val="20"/>
                <w:szCs w:val="20"/>
                <w:lang w:val="en-GB"/>
              </w:rPr>
              <w:br/>
            </w:r>
            <w:r w:rsidRPr="00FC0E22">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 xml:space="preserve"> independently prescribe safely</w:t>
            </w:r>
          </w:p>
        </w:tc>
        <w:tc>
          <w:tcPr>
            <w:tcW w:w="2520" w:type="dxa"/>
            <w:tcBorders>
              <w:top w:val="nil"/>
              <w:left w:val="nil"/>
              <w:bottom w:val="single" w:sz="4" w:space="0" w:color="auto"/>
              <w:right w:val="single" w:sz="4" w:space="0" w:color="auto"/>
            </w:tcBorders>
            <w:shd w:val="clear" w:color="auto" w:fill="auto"/>
            <w:hideMark/>
          </w:tcPr>
          <w:p w14:paraId="6D01FD8F" w14:textId="77777777" w:rsidR="00F2388F" w:rsidRDefault="00F2388F"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 xml:space="preserve">Approximately 90% of participants agreed or strongly agreed on most of the </w:t>
            </w:r>
            <w:r w:rsidRPr="00FC0E22">
              <w:rPr>
                <w:rFonts w:ascii="Calibri" w:eastAsia="Times New Roman" w:hAnsi="Calibri" w:cs="Calibri"/>
                <w:color w:val="000000"/>
                <w:sz w:val="20"/>
                <w:szCs w:val="20"/>
                <w:lang w:val="en-GB"/>
              </w:rPr>
              <w:t>statements mentioned in Colum two</w:t>
            </w:r>
            <w:r>
              <w:rPr>
                <w:rFonts w:ascii="Calibri" w:eastAsia="Times New Roman" w:hAnsi="Calibri" w:cs="Calibri"/>
                <w:color w:val="000000"/>
                <w:sz w:val="20"/>
                <w:szCs w:val="20"/>
                <w:lang w:val="en-GB"/>
              </w:rPr>
              <w:t xml:space="preserve"> (s</w:t>
            </w:r>
            <w:r w:rsidRPr="00FC0E22">
              <w:rPr>
                <w:rFonts w:ascii="Calibri" w:eastAsia="Times New Roman" w:hAnsi="Calibri" w:cs="Calibri"/>
                <w:color w:val="000000"/>
                <w:sz w:val="20"/>
                <w:szCs w:val="20"/>
                <w:lang w:val="en-GB"/>
              </w:rPr>
              <w:t>ee also</w:t>
            </w:r>
            <w:r>
              <w:rPr>
                <w:rFonts w:ascii="Calibri" w:eastAsia="Times New Roman" w:hAnsi="Calibri" w:cs="Calibri"/>
                <w:color w:val="000000"/>
                <w:sz w:val="20"/>
                <w:szCs w:val="20"/>
                <w:lang w:val="en-GB"/>
              </w:rPr>
              <w:t xml:space="preserve"> </w:t>
            </w:r>
            <w:r w:rsidRPr="003F397C">
              <w:rPr>
                <w:rFonts w:ascii="Calibri" w:eastAsia="Times New Roman" w:hAnsi="Calibri" w:cs="Calibri"/>
                <w:color w:val="1F3864" w:themeColor="accent1" w:themeShade="80"/>
                <w:sz w:val="20"/>
                <w:szCs w:val="20"/>
                <w:lang w:val="en-GB"/>
              </w:rPr>
              <w:fldChar w:fldCharType="begin"/>
            </w:r>
            <w:r w:rsidRPr="003F397C">
              <w:rPr>
                <w:rFonts w:ascii="Calibri" w:eastAsia="Times New Roman" w:hAnsi="Calibri" w:cs="Calibri"/>
                <w:color w:val="1F3864" w:themeColor="accent1" w:themeShade="80"/>
                <w:sz w:val="20"/>
                <w:szCs w:val="20"/>
                <w:lang w:val="en-GB"/>
              </w:rPr>
              <w:instrText xml:space="preserve"> REF _Ref127276167 \h  \* MERGEFORMAT </w:instrText>
            </w:r>
            <w:r w:rsidRPr="003F397C">
              <w:rPr>
                <w:rFonts w:ascii="Calibri" w:eastAsia="Times New Roman" w:hAnsi="Calibri" w:cs="Calibri"/>
                <w:color w:val="1F3864" w:themeColor="accent1" w:themeShade="80"/>
                <w:sz w:val="20"/>
                <w:szCs w:val="20"/>
                <w:lang w:val="en-GB"/>
              </w:rPr>
            </w:r>
            <w:r w:rsidRPr="003F397C">
              <w:rPr>
                <w:rFonts w:ascii="Calibri" w:eastAsia="Times New Roman" w:hAnsi="Calibri" w:cs="Calibri"/>
                <w:color w:val="1F3864" w:themeColor="accent1" w:themeShade="80"/>
                <w:sz w:val="20"/>
                <w:szCs w:val="20"/>
                <w:lang w:val="en-GB"/>
              </w:rPr>
              <w:fldChar w:fldCharType="separate"/>
            </w:r>
            <w:r w:rsidRPr="003F397C">
              <w:rPr>
                <w:rFonts w:ascii="Calibri" w:eastAsia="Times New Roman" w:hAnsi="Calibri" w:cs="Calibri"/>
                <w:color w:val="1F3864" w:themeColor="accent1" w:themeShade="80"/>
                <w:sz w:val="20"/>
                <w:szCs w:val="20"/>
                <w:lang w:val="en-GB"/>
              </w:rPr>
              <w:t>Figure 11</w:t>
            </w:r>
            <w:r w:rsidRPr="003F397C">
              <w:rPr>
                <w:rFonts w:ascii="Calibri" w:eastAsia="Times New Roman" w:hAnsi="Calibri" w:cs="Calibri"/>
                <w:color w:val="1F3864" w:themeColor="accent1" w:themeShade="80"/>
                <w:sz w:val="20"/>
                <w:szCs w:val="20"/>
                <w:lang w:val="en-GB"/>
              </w:rPr>
              <w:fldChar w:fldCharType="end"/>
            </w:r>
            <w:r>
              <w:rPr>
                <w:rFonts w:ascii="Calibri" w:eastAsia="Times New Roman" w:hAnsi="Calibri" w:cs="Calibri"/>
                <w:color w:val="000000"/>
                <w:sz w:val="20"/>
                <w:szCs w:val="20"/>
                <w:lang w:val="en-GB"/>
              </w:rPr>
              <w:t>)</w:t>
            </w:r>
          </w:p>
          <w:p w14:paraId="006936C9" w14:textId="77777777" w:rsidR="00F2388F" w:rsidRDefault="00F2388F" w:rsidP="00282204">
            <w:pPr>
              <w:spacing w:after="0" w:line="240" w:lineRule="auto"/>
              <w:rPr>
                <w:rFonts w:ascii="Calibri" w:eastAsia="Times New Roman" w:hAnsi="Calibri" w:cs="Calibri"/>
                <w:color w:val="000000"/>
                <w:sz w:val="20"/>
                <w:szCs w:val="20"/>
                <w:lang w:val="en-GB"/>
              </w:rPr>
            </w:pPr>
          </w:p>
          <w:p w14:paraId="5F677CC8" w14:textId="77777777" w:rsidR="00F2388F" w:rsidRDefault="00F2388F" w:rsidP="00282204">
            <w:pPr>
              <w:spacing w:after="0" w:line="276" w:lineRule="auto"/>
              <w:rPr>
                <w:rFonts w:ascii="Calibri" w:eastAsia="Times New Roman" w:hAnsi="Calibri" w:cs="Calibri"/>
                <w:color w:val="000000"/>
                <w:sz w:val="20"/>
                <w:szCs w:val="20"/>
                <w:lang w:val="en-GB"/>
              </w:rPr>
            </w:pPr>
          </w:p>
          <w:p w14:paraId="202AF49A" w14:textId="77777777" w:rsidR="00F2388F" w:rsidRDefault="00F2388F"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-T</w:t>
            </w:r>
            <w:r w:rsidRPr="000D70F5">
              <w:rPr>
                <w:rFonts w:ascii="Calibri" w:eastAsia="Times New Roman" w:hAnsi="Calibri" w:cs="Calibri"/>
                <w:color w:val="000000"/>
                <w:sz w:val="20"/>
                <w:szCs w:val="20"/>
                <w:lang w:val="en-GB"/>
              </w:rPr>
              <w:t xml:space="preserve">he ability of pharmacists to be independent prescribers was </w:t>
            </w:r>
            <w:r>
              <w:rPr>
                <w:rFonts w:ascii="Calibri" w:eastAsia="Times New Roman" w:hAnsi="Calibri" w:cs="Calibri"/>
                <w:color w:val="000000"/>
                <w:sz w:val="20"/>
                <w:szCs w:val="20"/>
                <w:lang w:val="en-GB"/>
              </w:rPr>
              <w:t xml:space="preserve">viewed </w:t>
            </w:r>
            <w:r w:rsidRPr="000D70F5">
              <w:rPr>
                <w:rFonts w:ascii="Calibri" w:eastAsia="Times New Roman" w:hAnsi="Calibri" w:cs="Calibri"/>
                <w:color w:val="000000"/>
                <w:sz w:val="20"/>
                <w:szCs w:val="20"/>
                <w:lang w:val="en-GB"/>
              </w:rPr>
              <w:t>less agree</w:t>
            </w:r>
            <w:r>
              <w:rPr>
                <w:rFonts w:ascii="Calibri" w:eastAsia="Times New Roman" w:hAnsi="Calibri" w:cs="Calibri"/>
                <w:color w:val="000000"/>
                <w:sz w:val="20"/>
                <w:szCs w:val="20"/>
                <w:lang w:val="en-GB"/>
              </w:rPr>
              <w:t>ably</w:t>
            </w:r>
            <w:r w:rsidRPr="000D70F5">
              <w:rPr>
                <w:rFonts w:ascii="Calibri" w:eastAsia="Times New Roman" w:hAnsi="Calibri" w:cs="Calibri"/>
                <w:color w:val="000000"/>
                <w:sz w:val="20"/>
                <w:szCs w:val="20"/>
                <w:lang w:val="en-GB"/>
              </w:rPr>
              <w:t xml:space="preserve"> by doctors than with other potential benefits of pharmacist involvement in diabetes primary care management.</w:t>
            </w:r>
          </w:p>
          <w:p w14:paraId="2AF6880C" w14:textId="77777777" w:rsidR="00F2388F" w:rsidRDefault="00F2388F" w:rsidP="00282204">
            <w:pPr>
              <w:spacing w:after="0" w:line="276" w:lineRule="auto"/>
              <w:rPr>
                <w:rFonts w:ascii="Calibri" w:eastAsia="Times New Roman" w:hAnsi="Calibri" w:cs="Calibri"/>
                <w:color w:val="000000"/>
                <w:sz w:val="20"/>
                <w:szCs w:val="20"/>
                <w:lang w:val="en-GB"/>
              </w:rPr>
            </w:pPr>
          </w:p>
          <w:p w14:paraId="4ECDEE81" w14:textId="77777777" w:rsidR="00F2388F" w:rsidRDefault="00F2388F" w:rsidP="00282204">
            <w:pPr>
              <w:spacing w:after="0" w:line="276" w:lineRule="auto"/>
              <w:rPr>
                <w:rFonts w:ascii="Calibri" w:eastAsia="Times New Roman" w:hAnsi="Calibri" w:cs="Calibri"/>
                <w:color w:val="000000"/>
                <w:sz w:val="20"/>
                <w:szCs w:val="20"/>
                <w:lang w:val="en-GB"/>
              </w:rPr>
            </w:pPr>
          </w:p>
          <w:p w14:paraId="4D43A2E7" w14:textId="77777777" w:rsidR="00F2388F" w:rsidRPr="000D70F5" w:rsidRDefault="00F2388F" w:rsidP="00282204">
            <w:pPr>
              <w:spacing w:after="0" w:line="276" w:lineRule="auto"/>
              <w:rPr>
                <w:rFonts w:ascii="Calibri" w:eastAsia="Times New Roman" w:hAnsi="Calibri" w:cs="Calibri"/>
                <w:color w:val="000000"/>
                <w:sz w:val="20"/>
                <w:szCs w:val="20"/>
              </w:rPr>
            </w:pPr>
            <w:r w:rsidRPr="000D70F5">
              <w:rPr>
                <w:rFonts w:ascii="Calibri" w:eastAsia="Times New Roman" w:hAnsi="Calibri" w:cs="Calibri"/>
                <w:color w:val="000000"/>
                <w:sz w:val="20"/>
                <w:szCs w:val="20"/>
                <w:lang w:val="en-GB"/>
              </w:rPr>
              <w:t xml:space="preserve"> </w:t>
            </w:r>
          </w:p>
        </w:tc>
        <w:tc>
          <w:tcPr>
            <w:tcW w:w="4050" w:type="dxa"/>
            <w:tcBorders>
              <w:top w:val="nil"/>
              <w:left w:val="nil"/>
              <w:bottom w:val="single" w:sz="4" w:space="0" w:color="auto"/>
              <w:right w:val="single" w:sz="4" w:space="0" w:color="auto"/>
            </w:tcBorders>
            <w:shd w:val="clear" w:color="auto" w:fill="auto"/>
            <w:hideMark/>
          </w:tcPr>
          <w:p w14:paraId="36CD622B"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 xml:space="preserve">All participants agreed that pharmacists have a critical role in diabetes care. </w:t>
            </w:r>
          </w:p>
          <w:p w14:paraId="003BD4D5"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12608E41" w14:textId="77777777" w:rsidR="00F2388F" w:rsidRDefault="00F2388F" w:rsidP="00282204">
            <w:pPr>
              <w:spacing w:after="0" w:line="240" w:lineRule="auto"/>
              <w:jc w:val="both"/>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-P</w:t>
            </w:r>
            <w:r w:rsidRPr="000D70F5">
              <w:rPr>
                <w:rFonts w:ascii="Calibri" w:eastAsia="Times New Roman" w:hAnsi="Calibri" w:cs="Calibri"/>
                <w:color w:val="000000"/>
                <w:sz w:val="20"/>
                <w:szCs w:val="20"/>
                <w:lang w:val="en-GB"/>
              </w:rPr>
              <w:t xml:space="preserve">articipants unanimously agreed that pharmacists' contributions positively impact the delivery of health care services. </w:t>
            </w:r>
          </w:p>
          <w:p w14:paraId="1D3E00CD"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6EB16841"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 Doctors and nurses interviewees expressed their need to an expert in the medication field to facilitate their work and help them on medication related issues.</w:t>
            </w:r>
          </w:p>
          <w:p w14:paraId="26F98957"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4E168EAB" w14:textId="77777777" w:rsidR="00F2388F" w:rsidRDefault="00F2388F" w:rsidP="00282204">
            <w:pPr>
              <w:spacing w:after="0" w:line="240" w:lineRule="auto"/>
              <w:jc w:val="both"/>
              <w:rPr>
                <w:rFonts w:ascii="Calibri" w:eastAsia="Times New Roman" w:hAnsi="Calibri" w:cs="Calibri"/>
                <w:color w:val="000000"/>
                <w:sz w:val="20"/>
                <w:szCs w:val="20"/>
                <w:lang w:val="en-GB"/>
              </w:rPr>
            </w:pPr>
            <w:r w:rsidRPr="00FC0E22">
              <w:rPr>
                <w:rFonts w:ascii="Calibri" w:eastAsia="Times New Roman" w:hAnsi="Calibri" w:cs="Calibri"/>
                <w:color w:val="1F3864" w:themeColor="accent1" w:themeShade="80"/>
                <w:sz w:val="20"/>
                <w:szCs w:val="20"/>
                <w:lang w:val="en-GB"/>
              </w:rPr>
              <w:t>Positive i</w:t>
            </w:r>
            <w:r w:rsidRPr="000D70F5">
              <w:rPr>
                <w:rFonts w:ascii="Calibri" w:eastAsia="Times New Roman" w:hAnsi="Calibri" w:cs="Calibri"/>
                <w:color w:val="1F3864" w:themeColor="accent1" w:themeShade="80"/>
                <w:sz w:val="20"/>
                <w:szCs w:val="20"/>
                <w:lang w:val="en-GB"/>
              </w:rPr>
              <w:t>mpact of integrating pharmacists into PHCs teams</w:t>
            </w:r>
            <w:r w:rsidRPr="00FC0E22">
              <w:rPr>
                <w:rFonts w:ascii="Calibri" w:eastAsia="Times New Roman" w:hAnsi="Calibri" w:cs="Calibri"/>
                <w:color w:val="1F3864" w:themeColor="accent1" w:themeShade="80"/>
                <w:sz w:val="20"/>
                <w:szCs w:val="20"/>
                <w:lang w:val="en-GB"/>
              </w:rPr>
              <w:t xml:space="preserve"> on the many aspects</w:t>
            </w:r>
            <w:r w:rsidRPr="00FC0E22">
              <w:rPr>
                <w:rFonts w:ascii="Calibri" w:eastAsia="Times New Roman" w:hAnsi="Calibri" w:cs="Calibri"/>
                <w:color w:val="000000"/>
                <w:sz w:val="20"/>
                <w:szCs w:val="20"/>
                <w:lang w:val="en-GB"/>
              </w:rPr>
              <w:t xml:space="preserve">. </w:t>
            </w:r>
            <w:r>
              <w:rPr>
                <w:rFonts w:ascii="Calibri" w:eastAsia="Times New Roman" w:hAnsi="Calibri" w:cs="Calibri"/>
                <w:color w:val="000000"/>
                <w:sz w:val="20"/>
                <w:szCs w:val="20"/>
                <w:lang w:val="en-GB"/>
              </w:rPr>
              <w:t>For example:</w:t>
            </w:r>
          </w:p>
          <w:p w14:paraId="526C1B93" w14:textId="77777777" w:rsidR="00F2388F" w:rsidRDefault="00F2388F" w:rsidP="00282204">
            <w:pPr>
              <w:spacing w:after="0" w:line="240" w:lineRule="auto"/>
              <w:jc w:val="both"/>
              <w:rPr>
                <w:rFonts w:ascii="Calibri" w:eastAsia="Times New Roman" w:hAnsi="Calibri" w:cs="Calibri"/>
                <w:color w:val="000000"/>
                <w:sz w:val="20"/>
                <w:szCs w:val="20"/>
                <w:lang w:val="en-GB"/>
              </w:rPr>
            </w:pPr>
          </w:p>
          <w:p w14:paraId="186AADFF" w14:textId="77777777" w:rsidR="00F2388F" w:rsidRDefault="00F2388F" w:rsidP="00282204">
            <w:pPr>
              <w:spacing w:after="0" w:line="240" w:lineRule="auto"/>
              <w:jc w:val="both"/>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Teamwork</w:t>
            </w:r>
            <w:r>
              <w:rPr>
                <w:rFonts w:ascii="Calibri" w:eastAsia="Times New Roman" w:hAnsi="Calibri" w:cs="Calibri"/>
                <w:color w:val="000000"/>
                <w:sz w:val="20"/>
                <w:szCs w:val="20"/>
                <w:lang w:val="en-GB"/>
              </w:rPr>
              <w:t xml:space="preserve"> and c</w:t>
            </w:r>
            <w:r w:rsidRPr="000D70F5">
              <w:rPr>
                <w:rFonts w:ascii="Calibri" w:eastAsia="Times New Roman" w:hAnsi="Calibri" w:cs="Calibri"/>
                <w:color w:val="000000"/>
                <w:sz w:val="20"/>
                <w:szCs w:val="20"/>
                <w:lang w:val="en-GB"/>
              </w:rPr>
              <w:t xml:space="preserve">ommunicating within teams: </w:t>
            </w:r>
            <w:r w:rsidRPr="00FC0E22">
              <w:rPr>
                <w:rFonts w:ascii="Calibri" w:eastAsia="Times New Roman" w:hAnsi="Calibri" w:cs="Calibri"/>
                <w:color w:val="000000"/>
                <w:sz w:val="20"/>
                <w:szCs w:val="20"/>
                <w:lang w:val="en-GB"/>
              </w:rPr>
              <w:t>p</w:t>
            </w:r>
            <w:r w:rsidRPr="000D70F5">
              <w:rPr>
                <w:rFonts w:ascii="Calibri" w:eastAsia="Times New Roman" w:hAnsi="Calibri" w:cs="Calibri"/>
                <w:color w:val="000000"/>
                <w:sz w:val="20"/>
                <w:szCs w:val="20"/>
                <w:lang w:val="en-GB"/>
              </w:rPr>
              <w:t xml:space="preserve">articipants found it easy to communicate with pharmacists when they worked in the same practice/site. </w:t>
            </w:r>
          </w:p>
          <w:p w14:paraId="4FA1D013"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0DB84AD6"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 xml:space="preserve">Delivery of care: Pharmacists working in PHCs can intervene in patients’ management via accessing patients’ records, assessing patients’ treatment plans, and communicating with treating doctors and other </w:t>
            </w:r>
            <w:r>
              <w:rPr>
                <w:rFonts w:ascii="Calibri" w:eastAsia="Times New Roman" w:hAnsi="Calibri" w:cs="Calibri"/>
                <w:color w:val="000000"/>
                <w:sz w:val="20"/>
                <w:szCs w:val="20"/>
                <w:lang w:val="en-GB"/>
              </w:rPr>
              <w:t>HCPs</w:t>
            </w:r>
            <w:r w:rsidRPr="000D70F5">
              <w:rPr>
                <w:rFonts w:ascii="Calibri" w:eastAsia="Times New Roman" w:hAnsi="Calibri" w:cs="Calibri"/>
                <w:color w:val="000000"/>
                <w:sz w:val="20"/>
                <w:szCs w:val="20"/>
                <w:lang w:val="en-GB"/>
              </w:rPr>
              <w:t xml:space="preserve"> when needed. </w:t>
            </w:r>
            <w:r>
              <w:rPr>
                <w:rFonts w:ascii="Calibri" w:eastAsia="Times New Roman" w:hAnsi="Calibri" w:cs="Calibri"/>
                <w:color w:val="000000"/>
                <w:sz w:val="20"/>
                <w:szCs w:val="20"/>
                <w:lang w:val="en-GB"/>
              </w:rPr>
              <w:t xml:space="preserve">Also, </w:t>
            </w:r>
            <w:r w:rsidRPr="000D70F5">
              <w:rPr>
                <w:rFonts w:ascii="Calibri" w:eastAsia="Times New Roman" w:hAnsi="Calibri" w:cs="Calibri"/>
                <w:color w:val="000000"/>
                <w:sz w:val="20"/>
                <w:szCs w:val="20"/>
                <w:lang w:val="en-GB"/>
              </w:rPr>
              <w:t xml:space="preserve">improve patient care delivery via improving workflow that could be achieved by delegating medication-related issues to be addressed by pharmacists. </w:t>
            </w:r>
          </w:p>
          <w:p w14:paraId="721BB6BA" w14:textId="77777777" w:rsidR="00F2388F" w:rsidRDefault="00F2388F" w:rsidP="00282204">
            <w:pPr>
              <w:spacing w:after="0" w:line="240" w:lineRule="auto"/>
              <w:jc w:val="both"/>
              <w:rPr>
                <w:rFonts w:ascii="Calibri" w:eastAsia="Times New Roman" w:hAnsi="Calibri" w:cs="Calibri"/>
                <w:color w:val="000000"/>
                <w:sz w:val="20"/>
                <w:szCs w:val="20"/>
                <w:lang w:val="en-GB"/>
              </w:rPr>
            </w:pPr>
          </w:p>
          <w:p w14:paraId="2C3DE63F" w14:textId="77777777" w:rsidR="00F2388F" w:rsidRDefault="00F2388F" w:rsidP="00282204">
            <w:pPr>
              <w:spacing w:after="0" w:line="240" w:lineRule="auto"/>
              <w:jc w:val="both"/>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w:t>
            </w:r>
            <w:r>
              <w:rPr>
                <w:rFonts w:ascii="Calibri" w:eastAsia="Times New Roman" w:hAnsi="Calibri" w:cs="Calibri"/>
                <w:color w:val="000000"/>
                <w:sz w:val="20"/>
                <w:szCs w:val="20"/>
                <w:lang w:val="en-GB"/>
              </w:rPr>
              <w:t>Job</w:t>
            </w:r>
            <w:r w:rsidRPr="000D70F5">
              <w:rPr>
                <w:rFonts w:ascii="Calibri" w:eastAsia="Times New Roman" w:hAnsi="Calibri" w:cs="Calibri"/>
                <w:color w:val="000000"/>
                <w:sz w:val="20"/>
                <w:szCs w:val="20"/>
                <w:lang w:val="en-GB"/>
              </w:rPr>
              <w:t xml:space="preserve"> Satisfaction</w:t>
            </w:r>
            <w:r>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 xml:space="preserve"> </w:t>
            </w:r>
            <w:r>
              <w:rPr>
                <w:rFonts w:ascii="Calibri" w:eastAsia="Times New Roman" w:hAnsi="Calibri" w:cs="Calibri"/>
                <w:color w:val="000000"/>
                <w:sz w:val="20"/>
                <w:szCs w:val="20"/>
                <w:lang w:val="en-GB"/>
              </w:rPr>
              <w:t>a</w:t>
            </w:r>
            <w:r w:rsidRPr="000D70F5">
              <w:rPr>
                <w:rFonts w:ascii="Calibri" w:eastAsia="Times New Roman" w:hAnsi="Calibri" w:cs="Calibri"/>
                <w:color w:val="000000"/>
                <w:sz w:val="20"/>
                <w:szCs w:val="20"/>
                <w:lang w:val="en-GB"/>
              </w:rPr>
              <w:t xml:space="preserve"> positive work experience was observed in all participants who worked with pharmacists in PHCs. </w:t>
            </w:r>
            <w:r>
              <w:rPr>
                <w:rFonts w:ascii="Calibri" w:eastAsia="Times New Roman" w:hAnsi="Calibri" w:cs="Calibri"/>
                <w:color w:val="000000"/>
                <w:sz w:val="20"/>
                <w:szCs w:val="20"/>
                <w:lang w:val="en-GB"/>
              </w:rPr>
              <w:t>P</w:t>
            </w:r>
            <w:r w:rsidRPr="000D70F5">
              <w:rPr>
                <w:rFonts w:ascii="Calibri" w:eastAsia="Times New Roman" w:hAnsi="Calibri" w:cs="Calibri"/>
                <w:color w:val="000000"/>
                <w:sz w:val="20"/>
                <w:szCs w:val="20"/>
                <w:lang w:val="en-GB"/>
              </w:rPr>
              <w:t xml:space="preserve">harmacists were </w:t>
            </w:r>
            <w:r>
              <w:rPr>
                <w:rFonts w:ascii="Calibri" w:eastAsia="Times New Roman" w:hAnsi="Calibri" w:cs="Calibri"/>
                <w:color w:val="000000"/>
                <w:sz w:val="20"/>
                <w:szCs w:val="20"/>
                <w:lang w:val="en-GB"/>
              </w:rPr>
              <w:t xml:space="preserve">also </w:t>
            </w:r>
            <w:r w:rsidRPr="000D70F5">
              <w:rPr>
                <w:rFonts w:ascii="Calibri" w:eastAsia="Times New Roman" w:hAnsi="Calibri" w:cs="Calibri"/>
                <w:color w:val="000000"/>
                <w:sz w:val="20"/>
                <w:szCs w:val="20"/>
                <w:lang w:val="en-GB"/>
              </w:rPr>
              <w:t xml:space="preserve">satisfied with and enjoyed working in PHCs and hope to return to work in the PHCs. </w:t>
            </w:r>
          </w:p>
          <w:p w14:paraId="5DB6CF49"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493AF989" w14:textId="77777777" w:rsidR="00F2388F" w:rsidRDefault="00F2388F" w:rsidP="00282204">
            <w:pPr>
              <w:spacing w:after="0" w:line="240" w:lineRule="auto"/>
              <w:jc w:val="both"/>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 xml:space="preserve">Patients’ outcomes and patients’ safety: </w:t>
            </w:r>
            <w:r>
              <w:rPr>
                <w:rFonts w:ascii="Calibri" w:eastAsia="Times New Roman" w:hAnsi="Calibri" w:cs="Calibri"/>
                <w:color w:val="000000"/>
                <w:sz w:val="20"/>
                <w:szCs w:val="20"/>
                <w:lang w:val="en-GB"/>
              </w:rPr>
              <w:t>pharmacists can improve</w:t>
            </w:r>
            <w:r w:rsidRPr="000D70F5">
              <w:rPr>
                <w:rFonts w:ascii="Calibri" w:eastAsia="Times New Roman" w:hAnsi="Calibri" w:cs="Calibri"/>
                <w:color w:val="000000"/>
                <w:sz w:val="20"/>
                <w:szCs w:val="20"/>
                <w:lang w:val="en-GB"/>
              </w:rPr>
              <w:t xml:space="preserve"> patient safety and contribute to avoiding preventable patient harm by detecting medication errors and medication-related problems. </w:t>
            </w:r>
          </w:p>
          <w:p w14:paraId="7683EAB0"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3DCF4DAF"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r w:rsidRPr="00FC0E22">
              <w:rPr>
                <w:rFonts w:ascii="Calibri" w:eastAsia="Times New Roman" w:hAnsi="Calibri" w:cs="Calibri"/>
                <w:color w:val="000000"/>
                <w:sz w:val="20"/>
                <w:szCs w:val="20"/>
                <w:lang w:val="en-GB"/>
              </w:rPr>
              <w:t>-</w:t>
            </w:r>
            <w:r w:rsidRPr="000D70F5">
              <w:rPr>
                <w:rFonts w:ascii="Calibri" w:eastAsia="Times New Roman" w:hAnsi="Calibri" w:cs="Calibri"/>
                <w:color w:val="000000"/>
                <w:sz w:val="20"/>
                <w:szCs w:val="20"/>
                <w:lang w:val="en-GB"/>
              </w:rPr>
              <w:t>Communicating with patients:</w:t>
            </w:r>
            <w:r>
              <w:rPr>
                <w:rFonts w:ascii="Calibri" w:eastAsia="Times New Roman" w:hAnsi="Calibri" w:cs="Calibri"/>
                <w:color w:val="000000"/>
                <w:sz w:val="20"/>
                <w:szCs w:val="20"/>
                <w:lang w:val="en-GB"/>
              </w:rPr>
              <w:t xml:space="preserve"> </w:t>
            </w:r>
            <w:r w:rsidRPr="000D70F5">
              <w:rPr>
                <w:rFonts w:ascii="Calibri" w:eastAsia="Times New Roman" w:hAnsi="Calibri" w:cs="Calibri"/>
                <w:color w:val="000000"/>
                <w:sz w:val="20"/>
                <w:szCs w:val="20"/>
                <w:lang w:val="en-GB"/>
              </w:rPr>
              <w:t>effective communication between pharmacists and patient</w:t>
            </w:r>
            <w:r>
              <w:rPr>
                <w:rFonts w:ascii="Calibri" w:eastAsia="Times New Roman" w:hAnsi="Calibri" w:cs="Calibri"/>
                <w:color w:val="000000"/>
                <w:sz w:val="20"/>
                <w:szCs w:val="20"/>
                <w:lang w:val="en-GB"/>
              </w:rPr>
              <w:t xml:space="preserve">s results in </w:t>
            </w:r>
            <w:r w:rsidRPr="000D70F5">
              <w:rPr>
                <w:rFonts w:ascii="Calibri" w:eastAsia="Times New Roman" w:hAnsi="Calibri" w:cs="Calibri"/>
                <w:color w:val="000000"/>
                <w:sz w:val="20"/>
                <w:szCs w:val="20"/>
                <w:lang w:val="en-GB"/>
              </w:rPr>
              <w:t xml:space="preserve">improving patient outcomes and patient safety through patient education, improving patient compliance and preventing medication-related problems. Participants reported </w:t>
            </w:r>
            <w:r>
              <w:rPr>
                <w:rFonts w:ascii="Calibri" w:eastAsia="Times New Roman" w:hAnsi="Calibri" w:cs="Calibri"/>
                <w:color w:val="000000"/>
                <w:sz w:val="20"/>
                <w:szCs w:val="20"/>
                <w:lang w:val="en-GB"/>
              </w:rPr>
              <w:t>this</w:t>
            </w:r>
            <w:r w:rsidRPr="000D70F5">
              <w:rPr>
                <w:rFonts w:ascii="Calibri" w:eastAsia="Times New Roman" w:hAnsi="Calibri" w:cs="Calibri"/>
                <w:color w:val="000000"/>
                <w:sz w:val="20"/>
                <w:szCs w:val="20"/>
                <w:lang w:val="en-GB"/>
              </w:rPr>
              <w:t xml:space="preserve"> </w:t>
            </w:r>
            <w:r>
              <w:rPr>
                <w:rFonts w:ascii="Calibri" w:eastAsia="Times New Roman" w:hAnsi="Calibri" w:cs="Calibri"/>
                <w:color w:val="000000"/>
                <w:sz w:val="20"/>
                <w:szCs w:val="20"/>
                <w:lang w:val="en-GB"/>
              </w:rPr>
              <w:t xml:space="preserve">communication </w:t>
            </w:r>
            <w:r w:rsidRPr="000D70F5">
              <w:rPr>
                <w:rFonts w:ascii="Calibri" w:eastAsia="Times New Roman" w:hAnsi="Calibri" w:cs="Calibri"/>
                <w:color w:val="000000"/>
                <w:sz w:val="20"/>
                <w:szCs w:val="20"/>
                <w:lang w:val="en-GB"/>
              </w:rPr>
              <w:t>was affected by the closure of pharmacies from PHCs</w:t>
            </w:r>
            <w:r>
              <w:rPr>
                <w:rFonts w:ascii="Calibri" w:eastAsia="Times New Roman" w:hAnsi="Calibri" w:cs="Calibri"/>
                <w:color w:val="000000"/>
                <w:sz w:val="20"/>
                <w:szCs w:val="20"/>
                <w:lang w:val="en-GB"/>
              </w:rPr>
              <w:t xml:space="preserve">. </w:t>
            </w:r>
            <w:r w:rsidRPr="000D70F5">
              <w:rPr>
                <w:rFonts w:ascii="Calibri" w:eastAsia="Times New Roman" w:hAnsi="Calibri" w:cs="Calibri"/>
                <w:color w:val="000000"/>
                <w:sz w:val="20"/>
                <w:szCs w:val="20"/>
                <w:lang w:val="en-GB"/>
              </w:rPr>
              <w:t xml:space="preserve"> </w:t>
            </w:r>
          </w:p>
          <w:p w14:paraId="54E41434" w14:textId="77777777" w:rsidR="00F2388F" w:rsidRPr="00AA33C4" w:rsidRDefault="00F2388F" w:rsidP="00282204">
            <w:pPr>
              <w:spacing w:after="0" w:line="240" w:lineRule="auto"/>
              <w:jc w:val="both"/>
              <w:rPr>
                <w:rFonts w:ascii="Calibri" w:eastAsia="Times New Roman" w:hAnsi="Calibri" w:cs="Calibri"/>
                <w:b/>
                <w:bCs/>
                <w:color w:val="000000"/>
                <w:sz w:val="20"/>
                <w:szCs w:val="20"/>
                <w:lang w:val="en-GB"/>
              </w:rPr>
            </w:pPr>
          </w:p>
          <w:p w14:paraId="4CE802BB" w14:textId="77777777" w:rsidR="00F2388F" w:rsidRDefault="00F2388F" w:rsidP="00282204">
            <w:pPr>
              <w:spacing w:after="0" w:line="240" w:lineRule="auto"/>
              <w:jc w:val="both"/>
              <w:rPr>
                <w:rFonts w:ascii="Calibri" w:eastAsia="Times New Roman" w:hAnsi="Calibri" w:cs="Calibri"/>
                <w:color w:val="1F3864" w:themeColor="accent1" w:themeShade="80"/>
                <w:sz w:val="20"/>
                <w:szCs w:val="20"/>
                <w:lang w:val="en-GB"/>
              </w:rPr>
            </w:pPr>
            <w:r w:rsidRPr="000D70F5">
              <w:rPr>
                <w:rFonts w:ascii="Calibri" w:eastAsia="Times New Roman" w:hAnsi="Calibri" w:cs="Calibri"/>
                <w:color w:val="1F3864" w:themeColor="accent1" w:themeShade="80"/>
                <w:sz w:val="20"/>
                <w:szCs w:val="20"/>
                <w:lang w:val="en-GB"/>
              </w:rPr>
              <w:t xml:space="preserve">Concerns over shifting of pharmacy services to the retail community pharmacies: </w:t>
            </w:r>
          </w:p>
          <w:p w14:paraId="7BBD92BA" w14:textId="77777777" w:rsidR="00F2388F" w:rsidRPr="00FC0E22" w:rsidRDefault="00F2388F" w:rsidP="00282204">
            <w:pPr>
              <w:spacing w:after="0" w:line="240" w:lineRule="auto"/>
              <w:jc w:val="both"/>
              <w:rPr>
                <w:rFonts w:ascii="Calibri" w:eastAsia="Times New Roman" w:hAnsi="Calibri" w:cs="Calibri"/>
                <w:color w:val="1F3864" w:themeColor="accent1" w:themeShade="80"/>
                <w:sz w:val="20"/>
                <w:szCs w:val="20"/>
                <w:lang w:val="en-GB"/>
              </w:rPr>
            </w:pPr>
          </w:p>
          <w:p w14:paraId="32B2DEC2" w14:textId="77777777" w:rsidR="00F2388F" w:rsidRDefault="00F2388F" w:rsidP="00282204">
            <w:pPr>
              <w:spacing w:after="0" w:line="240" w:lineRule="auto"/>
              <w:jc w:val="both"/>
              <w:rPr>
                <w:rFonts w:ascii="Calibri" w:eastAsia="Times New Roman" w:hAnsi="Calibri" w:cs="Calibri"/>
                <w:color w:val="000000"/>
                <w:sz w:val="20"/>
                <w:szCs w:val="20"/>
                <w:lang w:val="en-GB"/>
              </w:rPr>
            </w:pPr>
            <w:r w:rsidRPr="00FC0E22">
              <w:rPr>
                <w:rFonts w:ascii="Calibri" w:eastAsia="Times New Roman" w:hAnsi="Calibri" w:cs="Calibri"/>
                <w:color w:val="1F3864" w:themeColor="accent1" w:themeShade="80"/>
                <w:sz w:val="20"/>
                <w:szCs w:val="20"/>
                <w:lang w:val="en-GB"/>
              </w:rPr>
              <w:t>-</w:t>
            </w:r>
            <w:r w:rsidRPr="000D70F5">
              <w:rPr>
                <w:rFonts w:ascii="Calibri" w:eastAsia="Times New Roman" w:hAnsi="Calibri" w:cs="Calibri"/>
                <w:color w:val="000000"/>
                <w:sz w:val="20"/>
                <w:szCs w:val="20"/>
                <w:lang w:val="en-GB"/>
              </w:rPr>
              <w:t xml:space="preserve">Participants explicitly expressed concern about shifting pharmacy services to the retail community pharmacies. </w:t>
            </w:r>
          </w:p>
          <w:p w14:paraId="1318959E"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31307969" w14:textId="77777777" w:rsidR="00F2388F" w:rsidRDefault="00F2388F" w:rsidP="00282204">
            <w:pPr>
              <w:spacing w:after="0" w:line="240" w:lineRule="auto"/>
              <w:jc w:val="both"/>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FC0E22">
              <w:rPr>
                <w:rFonts w:ascii="Calibri" w:eastAsia="Times New Roman" w:hAnsi="Calibri" w:cs="Calibri"/>
                <w:color w:val="000000"/>
                <w:sz w:val="20"/>
                <w:szCs w:val="20"/>
                <w:lang w:val="en-GB"/>
              </w:rPr>
              <w:t>S</w:t>
            </w:r>
            <w:r w:rsidRPr="000D70F5">
              <w:rPr>
                <w:rFonts w:ascii="Calibri" w:eastAsia="Times New Roman" w:hAnsi="Calibri" w:cs="Calibri"/>
                <w:color w:val="000000"/>
                <w:sz w:val="20"/>
                <w:szCs w:val="20"/>
                <w:lang w:val="en-GB"/>
              </w:rPr>
              <w:t xml:space="preserve">everal issues </w:t>
            </w:r>
            <w:r w:rsidRPr="00FC0E22">
              <w:rPr>
                <w:rFonts w:ascii="Calibri" w:eastAsia="Times New Roman" w:hAnsi="Calibri" w:cs="Calibri"/>
                <w:color w:val="000000"/>
                <w:sz w:val="20"/>
                <w:szCs w:val="20"/>
                <w:lang w:val="en-GB"/>
              </w:rPr>
              <w:t xml:space="preserve">were </w:t>
            </w:r>
            <w:r w:rsidRPr="000D70F5">
              <w:rPr>
                <w:rFonts w:ascii="Calibri" w:eastAsia="Times New Roman" w:hAnsi="Calibri" w:cs="Calibri"/>
                <w:color w:val="000000"/>
                <w:sz w:val="20"/>
                <w:szCs w:val="20"/>
                <w:lang w:val="en-GB"/>
              </w:rPr>
              <w:t>raised</w:t>
            </w:r>
            <w:r w:rsidRPr="00FC0E22">
              <w:rPr>
                <w:rFonts w:ascii="Calibri" w:eastAsia="Times New Roman" w:hAnsi="Calibri" w:cs="Calibri"/>
                <w:color w:val="000000"/>
                <w:sz w:val="20"/>
                <w:szCs w:val="20"/>
                <w:lang w:val="en-GB"/>
              </w:rPr>
              <w:t xml:space="preserve"> </w:t>
            </w:r>
            <w:r w:rsidRPr="000D70F5">
              <w:rPr>
                <w:rFonts w:ascii="Calibri" w:eastAsia="Times New Roman" w:hAnsi="Calibri" w:cs="Calibri"/>
                <w:color w:val="000000"/>
                <w:sz w:val="20"/>
                <w:szCs w:val="20"/>
                <w:lang w:val="en-GB"/>
              </w:rPr>
              <w:t>related to</w:t>
            </w:r>
            <w:r>
              <w:rPr>
                <w:rFonts w:ascii="Calibri" w:eastAsia="Times New Roman" w:hAnsi="Calibri" w:cs="Calibri"/>
                <w:color w:val="000000"/>
                <w:sz w:val="20"/>
                <w:szCs w:val="20"/>
                <w:lang w:val="en-GB"/>
              </w:rPr>
              <w:t xml:space="preserve"> patient safety with</w:t>
            </w:r>
            <w:r w:rsidRPr="000D70F5">
              <w:rPr>
                <w:rFonts w:ascii="Calibri" w:eastAsia="Times New Roman" w:hAnsi="Calibri" w:cs="Calibri"/>
                <w:color w:val="000000"/>
                <w:sz w:val="20"/>
                <w:szCs w:val="20"/>
                <w:lang w:val="en-GB"/>
              </w:rPr>
              <w:t xml:space="preserve"> the current pharmacy practice in retail community pharmacies</w:t>
            </w:r>
            <w:r>
              <w:rPr>
                <w:rFonts w:ascii="Calibri" w:eastAsia="Times New Roman" w:hAnsi="Calibri" w:cs="Calibri"/>
                <w:color w:val="000000"/>
                <w:sz w:val="20"/>
                <w:szCs w:val="20"/>
                <w:lang w:val="en-GB"/>
              </w:rPr>
              <w:t xml:space="preserve"> such as </w:t>
            </w:r>
            <w:r w:rsidRPr="000D70F5">
              <w:rPr>
                <w:rFonts w:ascii="Calibri" w:eastAsia="Times New Roman" w:hAnsi="Calibri" w:cs="Calibri"/>
                <w:color w:val="000000"/>
                <w:sz w:val="20"/>
                <w:szCs w:val="20"/>
                <w:lang w:val="en-GB"/>
              </w:rPr>
              <w:t>lack of patient education, prescriptions verification, teamwork and communication between professionals</w:t>
            </w:r>
            <w:r w:rsidRPr="00FC0E22">
              <w:rPr>
                <w:rFonts w:ascii="Calibri" w:eastAsia="Times New Roman" w:hAnsi="Calibri" w:cs="Calibri"/>
                <w:color w:val="000000"/>
                <w:sz w:val="20"/>
                <w:szCs w:val="20"/>
                <w:lang w:val="en-GB"/>
              </w:rPr>
              <w:t xml:space="preserve"> and also </w:t>
            </w:r>
            <w:r w:rsidRPr="000D70F5">
              <w:rPr>
                <w:rFonts w:ascii="Calibri" w:eastAsia="Times New Roman" w:hAnsi="Calibri" w:cs="Calibri"/>
                <w:color w:val="000000"/>
                <w:sz w:val="20"/>
                <w:szCs w:val="20"/>
                <w:lang w:val="en-GB"/>
              </w:rPr>
              <w:t>with patient</w:t>
            </w:r>
          </w:p>
          <w:p w14:paraId="2BAE6EAA"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5DD8281A" w14:textId="77777777" w:rsidR="00F2388F" w:rsidRPr="000D70F5" w:rsidRDefault="00F2388F" w:rsidP="00282204">
            <w:pPr>
              <w:spacing w:after="0" w:line="240" w:lineRule="auto"/>
              <w:jc w:val="both"/>
              <w:rPr>
                <w:rFonts w:ascii="Calibri" w:eastAsia="Times New Roman" w:hAnsi="Calibri" w:cs="Calibri"/>
                <w:color w:val="000000"/>
                <w:sz w:val="20"/>
                <w:szCs w:val="20"/>
              </w:rPr>
            </w:pPr>
          </w:p>
        </w:tc>
        <w:tc>
          <w:tcPr>
            <w:tcW w:w="2790" w:type="dxa"/>
            <w:tcBorders>
              <w:top w:val="nil"/>
              <w:left w:val="nil"/>
              <w:bottom w:val="single" w:sz="4" w:space="0" w:color="auto"/>
              <w:right w:val="single" w:sz="4" w:space="0" w:color="auto"/>
            </w:tcBorders>
            <w:shd w:val="clear" w:color="auto" w:fill="auto"/>
            <w:hideMark/>
          </w:tcPr>
          <w:p w14:paraId="48875E10" w14:textId="77777777" w:rsidR="00F2388F" w:rsidRDefault="00F2388F"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lang w:val="en-GB"/>
              </w:rPr>
              <w:t>-</w:t>
            </w:r>
            <w:r w:rsidRPr="00FC0E22">
              <w:rPr>
                <w:rFonts w:ascii="Calibri" w:eastAsia="Times New Roman" w:hAnsi="Calibri" w:cs="Calibri"/>
                <w:color w:val="000000"/>
                <w:sz w:val="20"/>
                <w:szCs w:val="20"/>
              </w:rPr>
              <w:t>From the results of the two phases, it is clear that there is a demand to reintegrate the pharmacy into PHCs or to integrate pharmacists into the primary care team, whichever is applicable and in line with the goals of health transformation.</w:t>
            </w:r>
          </w:p>
          <w:p w14:paraId="0C3065E1"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37C128F4" w14:textId="77777777" w:rsidR="00F2388F" w:rsidRDefault="00F2388F" w:rsidP="00282204">
            <w:pPr>
              <w:spacing w:after="0" w:line="240" w:lineRule="auto"/>
              <w:jc w:val="both"/>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FC0E22">
              <w:rPr>
                <w:rFonts w:ascii="Calibri" w:eastAsia="Times New Roman" w:hAnsi="Calibri" w:cs="Calibri"/>
                <w:color w:val="000000"/>
                <w:sz w:val="20"/>
                <w:szCs w:val="20"/>
                <w:lang w:val="en-GB"/>
              </w:rPr>
              <w:t xml:space="preserve">General agreement among </w:t>
            </w:r>
            <w:r>
              <w:rPr>
                <w:rFonts w:ascii="Calibri" w:eastAsia="Times New Roman" w:hAnsi="Calibri" w:cs="Calibri"/>
                <w:color w:val="000000"/>
                <w:sz w:val="20"/>
                <w:szCs w:val="20"/>
                <w:lang w:val="en-GB"/>
              </w:rPr>
              <w:t>HCPs</w:t>
            </w:r>
            <w:r w:rsidRPr="00FC0E22">
              <w:rPr>
                <w:rFonts w:ascii="Calibri" w:eastAsia="Times New Roman" w:hAnsi="Calibri" w:cs="Calibri"/>
                <w:color w:val="000000"/>
                <w:sz w:val="20"/>
                <w:szCs w:val="20"/>
                <w:lang w:val="en-GB"/>
              </w:rPr>
              <w:t xml:space="preserve"> (doctors, pharmacists, and nurses) that involving pharmacists in</w:t>
            </w:r>
            <w:r>
              <w:rPr>
                <w:rFonts w:ascii="Calibri" w:eastAsia="Times New Roman" w:hAnsi="Calibri" w:cs="Calibri"/>
                <w:color w:val="000000"/>
                <w:sz w:val="20"/>
                <w:szCs w:val="20"/>
                <w:lang w:val="en-GB"/>
              </w:rPr>
              <w:t xml:space="preserve"> </w:t>
            </w:r>
            <w:r w:rsidRPr="00FC0E22">
              <w:rPr>
                <w:rFonts w:ascii="Calibri" w:eastAsia="Times New Roman" w:hAnsi="Calibri" w:cs="Calibri"/>
                <w:color w:val="000000"/>
                <w:sz w:val="20"/>
                <w:szCs w:val="20"/>
                <w:lang w:val="en-GB"/>
              </w:rPr>
              <w:t xml:space="preserve">diabetes management brings benefits to the healthcare system as well as to patient outcomes and safety. </w:t>
            </w:r>
          </w:p>
          <w:p w14:paraId="084CE5AC" w14:textId="77777777" w:rsidR="00F2388F" w:rsidRDefault="00F2388F" w:rsidP="00282204">
            <w:pPr>
              <w:spacing w:after="0" w:line="240" w:lineRule="auto"/>
              <w:jc w:val="both"/>
              <w:rPr>
                <w:rFonts w:ascii="Calibri" w:eastAsia="Times New Roman" w:hAnsi="Calibri" w:cs="Calibri"/>
                <w:color w:val="000000"/>
                <w:sz w:val="20"/>
                <w:szCs w:val="20"/>
                <w:lang w:val="en-GB"/>
              </w:rPr>
            </w:pPr>
          </w:p>
          <w:p w14:paraId="0913A079"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FC0E22">
              <w:rPr>
                <w:rFonts w:ascii="Calibri" w:eastAsia="Times New Roman" w:hAnsi="Calibri" w:cs="Calibri"/>
                <w:color w:val="000000"/>
                <w:sz w:val="20"/>
                <w:szCs w:val="20"/>
                <w:lang w:val="en-GB"/>
              </w:rPr>
              <w:t xml:space="preserve">A need for the team-based practice of a </w:t>
            </w:r>
            <w:r>
              <w:rPr>
                <w:rFonts w:ascii="Calibri" w:eastAsia="Times New Roman" w:hAnsi="Calibri" w:cs="Calibri"/>
                <w:color w:val="000000"/>
                <w:sz w:val="20"/>
                <w:szCs w:val="20"/>
                <w:lang w:val="en-GB"/>
              </w:rPr>
              <w:t>MDT to manage patients with diabetes</w:t>
            </w:r>
          </w:p>
          <w:p w14:paraId="51000325" w14:textId="77777777" w:rsidR="00F2388F" w:rsidRDefault="00F2388F" w:rsidP="00282204">
            <w:pPr>
              <w:spacing w:after="0" w:line="240" w:lineRule="auto"/>
              <w:jc w:val="both"/>
              <w:rPr>
                <w:rFonts w:ascii="Calibri" w:eastAsia="Times New Roman" w:hAnsi="Calibri" w:cs="Calibri"/>
                <w:color w:val="000000"/>
                <w:sz w:val="20"/>
                <w:szCs w:val="20"/>
                <w:lang w:val="en-GB"/>
              </w:rPr>
            </w:pPr>
          </w:p>
          <w:p w14:paraId="08857D55"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FC0E22">
              <w:rPr>
                <w:rFonts w:ascii="Calibri" w:eastAsia="Times New Roman" w:hAnsi="Calibri" w:cs="Calibri"/>
                <w:color w:val="000000"/>
                <w:sz w:val="20"/>
                <w:szCs w:val="20"/>
                <w:lang w:val="en-GB"/>
              </w:rPr>
              <w:t xml:space="preserve"> Pharmacists are considered as critical integral members of the health care team in PHCs.</w:t>
            </w:r>
          </w:p>
          <w:p w14:paraId="0425E606"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3CF613E0"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FC0E22">
              <w:rPr>
                <w:rFonts w:ascii="Calibri" w:eastAsia="Times New Roman" w:hAnsi="Calibri" w:cs="Calibri"/>
                <w:color w:val="000000"/>
                <w:sz w:val="20"/>
                <w:szCs w:val="20"/>
                <w:lang w:val="en-GB"/>
              </w:rPr>
              <w:t xml:space="preserve">General agreement among </w:t>
            </w:r>
            <w:r>
              <w:rPr>
                <w:rFonts w:ascii="Calibri" w:eastAsia="Times New Roman" w:hAnsi="Calibri" w:cs="Calibri"/>
                <w:color w:val="000000"/>
                <w:sz w:val="20"/>
                <w:szCs w:val="20"/>
                <w:lang w:val="en-GB"/>
              </w:rPr>
              <w:t>HCPs</w:t>
            </w:r>
            <w:r w:rsidRPr="00FC0E22">
              <w:rPr>
                <w:rFonts w:ascii="Calibri" w:eastAsia="Times New Roman" w:hAnsi="Calibri" w:cs="Calibri"/>
                <w:color w:val="000000"/>
                <w:sz w:val="20"/>
                <w:szCs w:val="20"/>
                <w:lang w:val="en-GB"/>
              </w:rPr>
              <w:t xml:space="preserve"> that pharmacists are a reliable source of medication information</w:t>
            </w:r>
            <w:r>
              <w:rPr>
                <w:rFonts w:ascii="Calibri" w:eastAsia="Times New Roman" w:hAnsi="Calibri" w:cs="Calibri"/>
                <w:color w:val="000000"/>
                <w:sz w:val="20"/>
                <w:szCs w:val="20"/>
                <w:lang w:val="en-GB"/>
              </w:rPr>
              <w:t xml:space="preserve"> and a</w:t>
            </w:r>
            <w:r w:rsidRPr="00FC0E22">
              <w:rPr>
                <w:rFonts w:ascii="Calibri" w:eastAsia="Times New Roman" w:hAnsi="Calibri" w:cs="Calibri"/>
                <w:color w:val="000000"/>
                <w:sz w:val="20"/>
                <w:szCs w:val="20"/>
                <w:lang w:val="en-GB"/>
              </w:rPr>
              <w:t xml:space="preserve"> strong need for a qualified pharmacist to be referred to in medication consultations.</w:t>
            </w:r>
          </w:p>
          <w:p w14:paraId="47654BD8" w14:textId="77777777" w:rsidR="00F2388F" w:rsidRDefault="00F2388F" w:rsidP="00282204">
            <w:pPr>
              <w:spacing w:after="0" w:line="240" w:lineRule="auto"/>
              <w:jc w:val="both"/>
              <w:rPr>
                <w:rFonts w:ascii="Calibri" w:eastAsia="Times New Roman" w:hAnsi="Calibri" w:cs="Calibri"/>
                <w:color w:val="000000"/>
                <w:sz w:val="20"/>
                <w:szCs w:val="20"/>
                <w:lang w:val="en-GB"/>
              </w:rPr>
            </w:pPr>
          </w:p>
          <w:p w14:paraId="141B84A6" w14:textId="77777777" w:rsidR="00F2388F" w:rsidRDefault="00F2388F" w:rsidP="00282204">
            <w:pPr>
              <w:spacing w:after="0" w:line="240" w:lineRule="auto"/>
              <w:jc w:val="both"/>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FC0E22">
              <w:rPr>
                <w:rFonts w:ascii="Calibri" w:eastAsia="Times New Roman" w:hAnsi="Calibri" w:cs="Calibri"/>
                <w:color w:val="000000"/>
                <w:sz w:val="20"/>
                <w:szCs w:val="20"/>
                <w:lang w:val="en-GB"/>
              </w:rPr>
              <w:t xml:space="preserve"> </w:t>
            </w:r>
            <w:r>
              <w:rPr>
                <w:rFonts w:ascii="Calibri" w:eastAsia="Times New Roman" w:hAnsi="Calibri" w:cs="Calibri"/>
                <w:color w:val="000000"/>
                <w:sz w:val="20"/>
                <w:szCs w:val="20"/>
                <w:lang w:val="en-GB"/>
              </w:rPr>
              <w:t xml:space="preserve">A </w:t>
            </w:r>
            <w:r w:rsidRPr="00FC0E22">
              <w:rPr>
                <w:rFonts w:ascii="Calibri" w:eastAsia="Times New Roman" w:hAnsi="Calibri" w:cs="Calibri"/>
                <w:color w:val="000000"/>
                <w:sz w:val="20"/>
                <w:szCs w:val="20"/>
                <w:lang w:val="en-GB"/>
              </w:rPr>
              <w:t xml:space="preserve">demanded </w:t>
            </w:r>
            <w:r>
              <w:rPr>
                <w:rFonts w:ascii="Calibri" w:eastAsia="Times New Roman" w:hAnsi="Calibri" w:cs="Calibri"/>
                <w:color w:val="000000"/>
                <w:sz w:val="20"/>
                <w:szCs w:val="20"/>
                <w:lang w:val="en-GB"/>
              </w:rPr>
              <w:t xml:space="preserve">for </w:t>
            </w:r>
            <w:r w:rsidRPr="00FC0E22">
              <w:rPr>
                <w:rFonts w:ascii="Calibri" w:eastAsia="Times New Roman" w:hAnsi="Calibri" w:cs="Calibri"/>
                <w:color w:val="000000"/>
                <w:sz w:val="20"/>
                <w:szCs w:val="20"/>
                <w:lang w:val="en-GB"/>
              </w:rPr>
              <w:t xml:space="preserve">establishing a medication information centre run by pharmacists to improve the provision </w:t>
            </w:r>
            <w:r>
              <w:rPr>
                <w:rFonts w:ascii="Calibri" w:eastAsia="Times New Roman" w:hAnsi="Calibri" w:cs="Calibri"/>
                <w:color w:val="000000"/>
                <w:sz w:val="20"/>
                <w:szCs w:val="20"/>
                <w:lang w:val="en-GB"/>
              </w:rPr>
              <w:t>of PHCs</w:t>
            </w:r>
            <w:r w:rsidRPr="00FC0E22">
              <w:rPr>
                <w:rFonts w:ascii="Calibri" w:eastAsia="Times New Roman" w:hAnsi="Calibri" w:cs="Calibri"/>
                <w:color w:val="000000"/>
                <w:sz w:val="20"/>
                <w:szCs w:val="20"/>
                <w:lang w:val="en-GB"/>
              </w:rPr>
              <w:t xml:space="preserve"> services.</w:t>
            </w:r>
          </w:p>
          <w:p w14:paraId="7EBC8C59" w14:textId="77777777" w:rsidR="00F2388F" w:rsidRDefault="00F2388F" w:rsidP="00282204">
            <w:pPr>
              <w:spacing w:after="0" w:line="240" w:lineRule="auto"/>
              <w:jc w:val="both"/>
              <w:rPr>
                <w:rFonts w:ascii="Calibri" w:eastAsia="Times New Roman" w:hAnsi="Calibri" w:cs="Calibri"/>
                <w:color w:val="000000"/>
                <w:sz w:val="20"/>
                <w:szCs w:val="20"/>
                <w:lang w:val="en-GB"/>
              </w:rPr>
            </w:pPr>
          </w:p>
          <w:p w14:paraId="22612D71" w14:textId="77777777" w:rsidR="00F2388F" w:rsidRDefault="00F2388F" w:rsidP="00282204">
            <w:pPr>
              <w:spacing w:after="0" w:line="240" w:lineRule="auto"/>
              <w:jc w:val="both"/>
              <w:rPr>
                <w:rFonts w:ascii="Calibri" w:eastAsia="Times New Roman" w:hAnsi="Calibri" w:cs="Calibri"/>
                <w:sz w:val="20"/>
                <w:szCs w:val="20"/>
              </w:rPr>
            </w:pPr>
            <w:r>
              <w:rPr>
                <w:rFonts w:ascii="Calibri" w:eastAsia="Times New Roman" w:hAnsi="Calibri" w:cs="Calibri"/>
                <w:sz w:val="20"/>
                <w:szCs w:val="20"/>
              </w:rPr>
              <w:t>-</w:t>
            </w:r>
            <w:r w:rsidRPr="00195D3C">
              <w:rPr>
                <w:rFonts w:ascii="Calibri" w:eastAsia="Times New Roman" w:hAnsi="Calibri" w:cs="Calibri"/>
                <w:sz w:val="20"/>
                <w:szCs w:val="20"/>
              </w:rPr>
              <w:t xml:space="preserve">Doctors are reluctant to an independent pharmacist prescribing role. </w:t>
            </w:r>
          </w:p>
          <w:p w14:paraId="05190C50" w14:textId="77777777" w:rsidR="00F2388F" w:rsidRPr="00010DDE" w:rsidRDefault="00F2388F" w:rsidP="00282204">
            <w:pPr>
              <w:spacing w:after="0" w:line="240" w:lineRule="auto"/>
              <w:jc w:val="both"/>
              <w:rPr>
                <w:rFonts w:ascii="Calibri" w:eastAsia="Times New Roman" w:hAnsi="Calibri" w:cs="Calibri"/>
                <w:color w:val="000000"/>
                <w:sz w:val="20"/>
                <w:szCs w:val="20"/>
              </w:rPr>
            </w:pPr>
          </w:p>
          <w:p w14:paraId="2CFA1EBF" w14:textId="77777777" w:rsidR="00F2388F" w:rsidRPr="00FC0E22" w:rsidRDefault="00F2388F" w:rsidP="00282204">
            <w:pPr>
              <w:spacing w:after="0" w:line="240" w:lineRule="auto"/>
              <w:jc w:val="both"/>
              <w:rPr>
                <w:rFonts w:ascii="Calibri" w:eastAsia="Times New Roman" w:hAnsi="Calibri" w:cs="Calibri"/>
                <w:color w:val="000000"/>
                <w:sz w:val="20"/>
                <w:szCs w:val="20"/>
                <w:lang w:val="en-GB"/>
              </w:rPr>
            </w:pPr>
          </w:p>
          <w:p w14:paraId="127A5C62" w14:textId="77777777" w:rsidR="00F2388F" w:rsidRPr="000D70F5" w:rsidRDefault="00F2388F" w:rsidP="00282204">
            <w:pPr>
              <w:spacing w:after="0" w:line="240" w:lineRule="auto"/>
              <w:jc w:val="both"/>
              <w:rPr>
                <w:rFonts w:ascii="Calibri" w:eastAsia="Times New Roman" w:hAnsi="Calibri" w:cs="Calibri"/>
                <w:color w:val="000000"/>
                <w:sz w:val="20"/>
                <w:szCs w:val="20"/>
                <w:lang w:val="en-GB"/>
              </w:rPr>
            </w:pPr>
          </w:p>
        </w:tc>
      </w:tr>
    </w:tbl>
    <w:p w14:paraId="38BA9347" w14:textId="77777777" w:rsidR="00F2388F" w:rsidRPr="00F2388F" w:rsidRDefault="00F2388F" w:rsidP="00F2388F">
      <w:pPr>
        <w:rPr>
          <w:rFonts w:asciiTheme="minorBidi" w:hAnsiTheme="minorBidi"/>
          <w:sz w:val="24"/>
          <w:szCs w:val="24"/>
        </w:rPr>
        <w:sectPr w:rsidR="00F2388F" w:rsidRPr="00F2388F" w:rsidSect="00186558">
          <w:pgSz w:w="15840" w:h="12240" w:orient="landscape"/>
          <w:pgMar w:top="1440" w:right="1440" w:bottom="1440" w:left="1440" w:header="720" w:footer="720" w:gutter="0"/>
          <w:cols w:space="720"/>
          <w:docGrid w:linePitch="360"/>
        </w:sectPr>
      </w:pPr>
    </w:p>
    <w:p w14:paraId="51E57FFA" w14:textId="77777777" w:rsidR="000B2F68" w:rsidRPr="000B6BB9" w:rsidRDefault="000B2F68" w:rsidP="000B2F68">
      <w:pPr>
        <w:pStyle w:val="Heading3"/>
        <w:numPr>
          <w:ilvl w:val="2"/>
          <w:numId w:val="30"/>
        </w:numPr>
        <w:spacing w:line="360" w:lineRule="auto"/>
        <w:ind w:left="0" w:firstLine="0"/>
        <w:rPr>
          <w:shd w:val="clear" w:color="auto" w:fill="FFFFFF"/>
        </w:rPr>
      </w:pPr>
      <w:bookmarkStart w:id="276" w:name="_Ref124870619"/>
      <w:bookmarkStart w:id="277" w:name="_Toc153894213"/>
      <w:r>
        <w:rPr>
          <w:shd w:val="clear" w:color="auto" w:fill="FFFFFF"/>
        </w:rPr>
        <w:t>C</w:t>
      </w:r>
      <w:r w:rsidRPr="000B6BB9">
        <w:rPr>
          <w:shd w:val="clear" w:color="auto" w:fill="FFFFFF"/>
        </w:rPr>
        <w:t xml:space="preserve">hallenges </w:t>
      </w:r>
      <w:r>
        <w:rPr>
          <w:shd w:val="clear" w:color="auto" w:fill="FFFFFF"/>
        </w:rPr>
        <w:t>to</w:t>
      </w:r>
      <w:r w:rsidRPr="000B6BB9">
        <w:rPr>
          <w:shd w:val="clear" w:color="auto" w:fill="FFFFFF"/>
        </w:rPr>
        <w:t xml:space="preserve"> pharmacists’ involvement in diabetes management</w:t>
      </w:r>
      <w:r>
        <w:rPr>
          <w:shd w:val="clear" w:color="auto" w:fill="FFFFFF"/>
        </w:rPr>
        <w:t xml:space="preserve"> and proposed solutions</w:t>
      </w:r>
      <w:bookmarkEnd w:id="276"/>
      <w:bookmarkEnd w:id="277"/>
      <w:r>
        <w:rPr>
          <w:shd w:val="clear" w:color="auto" w:fill="FFFFFF"/>
        </w:rPr>
        <w:t xml:space="preserve"> </w:t>
      </w:r>
    </w:p>
    <w:p w14:paraId="6C6B7920" w14:textId="1AD0CFE5" w:rsidR="000B2F68" w:rsidRDefault="000B2F68" w:rsidP="000B2F68">
      <w:pPr>
        <w:spacing w:line="360" w:lineRule="auto"/>
        <w:jc w:val="both"/>
        <w:rPr>
          <w:rFonts w:asciiTheme="minorBidi" w:eastAsia="Times New Roman" w:hAnsiTheme="minorBidi"/>
          <w:color w:val="32363A"/>
          <w:sz w:val="24"/>
          <w:szCs w:val="24"/>
          <w:shd w:val="clear" w:color="auto" w:fill="FFFFFF"/>
        </w:rPr>
      </w:pPr>
      <w:r w:rsidRPr="000036F2">
        <w:rPr>
          <w:rFonts w:asciiTheme="minorBidi" w:eastAsia="Times New Roman" w:hAnsiTheme="minorBidi"/>
          <w:sz w:val="24"/>
          <w:szCs w:val="24"/>
          <w:shd w:val="clear" w:color="auto" w:fill="FFFFFF"/>
        </w:rPr>
        <w:t xml:space="preserve">The second question in this study sought to determine factors that affect primary care pharmacists in providing clinical services to patients with diabetes. The findings’ integration is presented in </w:t>
      </w:r>
      <w:r w:rsidRPr="00771854">
        <w:rPr>
          <w:rFonts w:asciiTheme="minorBidi" w:eastAsia="Times New Roman" w:hAnsiTheme="minorBidi"/>
          <w:color w:val="1F3864" w:themeColor="accent1" w:themeShade="80"/>
          <w:sz w:val="24"/>
          <w:szCs w:val="24"/>
          <w:shd w:val="clear" w:color="auto" w:fill="FFFFFF"/>
        </w:rPr>
        <w:fldChar w:fldCharType="begin"/>
      </w:r>
      <w:r w:rsidRPr="00771854">
        <w:rPr>
          <w:rFonts w:asciiTheme="minorBidi" w:eastAsia="Times New Roman" w:hAnsiTheme="minorBidi"/>
          <w:color w:val="1F3864" w:themeColor="accent1" w:themeShade="80"/>
          <w:sz w:val="24"/>
          <w:szCs w:val="24"/>
          <w:shd w:val="clear" w:color="auto" w:fill="FFFFFF"/>
        </w:rPr>
        <w:instrText xml:space="preserve"> REF _Ref124817261 \h  \* MERGEFORMAT </w:instrText>
      </w:r>
      <w:r w:rsidRPr="00771854">
        <w:rPr>
          <w:rFonts w:asciiTheme="minorBidi" w:eastAsia="Times New Roman" w:hAnsiTheme="minorBidi"/>
          <w:color w:val="1F3864" w:themeColor="accent1" w:themeShade="80"/>
          <w:sz w:val="24"/>
          <w:szCs w:val="24"/>
          <w:shd w:val="clear" w:color="auto" w:fill="FFFFFF"/>
        </w:rPr>
      </w:r>
      <w:r w:rsidRPr="00771854">
        <w:rPr>
          <w:rFonts w:asciiTheme="minorBidi" w:eastAsia="Times New Roman" w:hAnsiTheme="minorBidi"/>
          <w:color w:val="1F3864" w:themeColor="accent1" w:themeShade="80"/>
          <w:sz w:val="24"/>
          <w:szCs w:val="24"/>
          <w:shd w:val="clear" w:color="auto" w:fill="FFFFFF"/>
        </w:rPr>
        <w:fldChar w:fldCharType="separate"/>
      </w:r>
      <w:r w:rsidR="00A92782" w:rsidRPr="00A92782">
        <w:rPr>
          <w:rFonts w:asciiTheme="minorBidi" w:eastAsia="Times New Roman" w:hAnsiTheme="minorBidi"/>
          <w:color w:val="1F3864" w:themeColor="accent1" w:themeShade="80"/>
          <w:sz w:val="24"/>
          <w:szCs w:val="24"/>
          <w:shd w:val="clear" w:color="auto" w:fill="FFFFFF"/>
        </w:rPr>
        <w:t>Table 31</w:t>
      </w:r>
      <w:r w:rsidRPr="00771854">
        <w:rPr>
          <w:rFonts w:asciiTheme="minorBidi" w:eastAsia="Times New Roman" w:hAnsiTheme="minorBidi"/>
          <w:color w:val="1F3864" w:themeColor="accent1" w:themeShade="80"/>
          <w:sz w:val="24"/>
          <w:szCs w:val="24"/>
          <w:shd w:val="clear" w:color="auto" w:fill="FFFFFF"/>
        </w:rPr>
        <w:fldChar w:fldCharType="end"/>
      </w:r>
      <w:r w:rsidRPr="00771854">
        <w:rPr>
          <w:rFonts w:asciiTheme="minorBidi" w:eastAsia="Times New Roman" w:hAnsiTheme="minorBidi"/>
          <w:color w:val="32363A"/>
          <w:sz w:val="24"/>
          <w:szCs w:val="24"/>
          <w:shd w:val="clear" w:color="auto" w:fill="FFFFFF"/>
        </w:rPr>
        <w:t xml:space="preserve"> and </w:t>
      </w:r>
      <w:r w:rsidRPr="00771854">
        <w:rPr>
          <w:rFonts w:asciiTheme="minorBidi" w:eastAsia="Times New Roman" w:hAnsiTheme="minorBidi"/>
          <w:color w:val="1F3864" w:themeColor="accent1" w:themeShade="80"/>
          <w:sz w:val="24"/>
          <w:szCs w:val="24"/>
          <w:shd w:val="clear" w:color="auto" w:fill="FFFFFF"/>
        </w:rPr>
        <w:fldChar w:fldCharType="begin"/>
      </w:r>
      <w:r w:rsidRPr="00771854">
        <w:rPr>
          <w:rFonts w:asciiTheme="minorBidi" w:eastAsia="Times New Roman" w:hAnsiTheme="minorBidi"/>
          <w:color w:val="1F3864" w:themeColor="accent1" w:themeShade="80"/>
          <w:sz w:val="24"/>
          <w:szCs w:val="24"/>
          <w:shd w:val="clear" w:color="auto" w:fill="FFFFFF"/>
        </w:rPr>
        <w:instrText xml:space="preserve"> REF _Ref124817264 \h  \* MERGEFORMAT </w:instrText>
      </w:r>
      <w:r w:rsidRPr="00771854">
        <w:rPr>
          <w:rFonts w:asciiTheme="minorBidi" w:eastAsia="Times New Roman" w:hAnsiTheme="minorBidi"/>
          <w:color w:val="1F3864" w:themeColor="accent1" w:themeShade="80"/>
          <w:sz w:val="24"/>
          <w:szCs w:val="24"/>
          <w:shd w:val="clear" w:color="auto" w:fill="FFFFFF"/>
        </w:rPr>
      </w:r>
      <w:r w:rsidRPr="00771854">
        <w:rPr>
          <w:rFonts w:asciiTheme="minorBidi" w:eastAsia="Times New Roman" w:hAnsiTheme="minorBidi"/>
          <w:color w:val="1F3864" w:themeColor="accent1" w:themeShade="80"/>
          <w:sz w:val="24"/>
          <w:szCs w:val="24"/>
          <w:shd w:val="clear" w:color="auto" w:fill="FFFFFF"/>
        </w:rPr>
        <w:fldChar w:fldCharType="separate"/>
      </w:r>
      <w:r w:rsidR="00A92782" w:rsidRPr="00A92782">
        <w:rPr>
          <w:rFonts w:asciiTheme="minorBidi" w:eastAsia="Times New Roman" w:hAnsiTheme="minorBidi"/>
          <w:color w:val="1F3864" w:themeColor="accent1" w:themeShade="80"/>
          <w:sz w:val="24"/>
          <w:szCs w:val="24"/>
          <w:shd w:val="clear" w:color="auto" w:fill="FFFFFF"/>
        </w:rPr>
        <w:t>Table 32</w:t>
      </w:r>
      <w:r w:rsidRPr="00771854">
        <w:rPr>
          <w:rFonts w:asciiTheme="minorBidi" w:eastAsia="Times New Roman" w:hAnsiTheme="minorBidi"/>
          <w:color w:val="1F3864" w:themeColor="accent1" w:themeShade="80"/>
          <w:sz w:val="24"/>
          <w:szCs w:val="24"/>
          <w:shd w:val="clear" w:color="auto" w:fill="FFFFFF"/>
        </w:rPr>
        <w:fldChar w:fldCharType="end"/>
      </w:r>
      <w:r w:rsidRPr="00771854">
        <w:rPr>
          <w:rFonts w:asciiTheme="minorBidi" w:eastAsia="Times New Roman" w:hAnsiTheme="minorBidi"/>
          <w:color w:val="32363A"/>
          <w:sz w:val="24"/>
          <w:szCs w:val="24"/>
          <w:shd w:val="clear" w:color="auto" w:fill="FFFFFF"/>
        </w:rPr>
        <w:t xml:space="preserve">. </w:t>
      </w:r>
      <w:r w:rsidRPr="000036F2">
        <w:rPr>
          <w:rFonts w:asciiTheme="minorBidi" w:eastAsia="Times New Roman" w:hAnsiTheme="minorBidi"/>
          <w:sz w:val="24"/>
          <w:szCs w:val="24"/>
          <w:shd w:val="clear" w:color="auto" w:fill="FFFFFF"/>
        </w:rPr>
        <w:t xml:space="preserve">Participants in the first stage of this research were asked via the questionnaire to express their agreement about barriers that may prevent primary care pharmacists from providing clinical services to patients with diabetes. The results showed that participants agreed on all barriers listed in this research </w:t>
      </w:r>
      <w:r w:rsidRPr="00771854">
        <w:rPr>
          <w:rFonts w:asciiTheme="minorBidi" w:eastAsia="Times New Roman" w:hAnsiTheme="minorBidi"/>
          <w:color w:val="1F3864" w:themeColor="accent1" w:themeShade="80"/>
          <w:sz w:val="24"/>
          <w:szCs w:val="24"/>
          <w:shd w:val="clear" w:color="auto" w:fill="FFFFFF"/>
        </w:rPr>
        <w:fldChar w:fldCharType="begin"/>
      </w:r>
      <w:r w:rsidRPr="00771854">
        <w:rPr>
          <w:rFonts w:asciiTheme="minorBidi" w:eastAsia="Times New Roman" w:hAnsiTheme="minorBidi"/>
          <w:color w:val="1F3864" w:themeColor="accent1" w:themeShade="80"/>
          <w:sz w:val="24"/>
          <w:szCs w:val="24"/>
          <w:shd w:val="clear" w:color="auto" w:fill="FFFFFF"/>
        </w:rPr>
        <w:instrText xml:space="preserve"> REF _Ref122825503 \h  \* MERGEFORMAT </w:instrText>
      </w:r>
      <w:r w:rsidRPr="00771854">
        <w:rPr>
          <w:rFonts w:asciiTheme="minorBidi" w:eastAsia="Times New Roman" w:hAnsiTheme="minorBidi"/>
          <w:color w:val="1F3864" w:themeColor="accent1" w:themeShade="80"/>
          <w:sz w:val="24"/>
          <w:szCs w:val="24"/>
          <w:shd w:val="clear" w:color="auto" w:fill="FFFFFF"/>
        </w:rPr>
      </w:r>
      <w:r w:rsidRPr="00771854">
        <w:rPr>
          <w:rFonts w:asciiTheme="minorBidi" w:eastAsia="Times New Roman" w:hAnsiTheme="minorBidi"/>
          <w:color w:val="1F3864" w:themeColor="accent1" w:themeShade="80"/>
          <w:sz w:val="24"/>
          <w:szCs w:val="24"/>
          <w:shd w:val="clear" w:color="auto" w:fill="FFFFFF"/>
        </w:rPr>
        <w:fldChar w:fldCharType="separate"/>
      </w:r>
      <w:r w:rsidRPr="001C445C">
        <w:rPr>
          <w:rFonts w:asciiTheme="minorBidi" w:eastAsia="Times New Roman" w:hAnsiTheme="minorBidi"/>
          <w:color w:val="1F3864" w:themeColor="accent1" w:themeShade="80"/>
          <w:sz w:val="24"/>
          <w:szCs w:val="24"/>
          <w:shd w:val="clear" w:color="auto" w:fill="FFFFFF"/>
        </w:rPr>
        <w:t>Figure 15</w:t>
      </w:r>
      <w:r w:rsidRPr="00771854">
        <w:rPr>
          <w:rFonts w:asciiTheme="minorBidi" w:eastAsia="Times New Roman" w:hAnsiTheme="minorBidi"/>
          <w:color w:val="1F3864" w:themeColor="accent1" w:themeShade="80"/>
          <w:sz w:val="24"/>
          <w:szCs w:val="24"/>
          <w:shd w:val="clear" w:color="auto" w:fill="FFFFFF"/>
        </w:rPr>
        <w:fldChar w:fldCharType="end"/>
      </w:r>
      <w:r w:rsidRPr="00771854">
        <w:rPr>
          <w:rFonts w:asciiTheme="minorBidi" w:eastAsia="Times New Roman" w:hAnsiTheme="minorBidi"/>
          <w:color w:val="1F3864" w:themeColor="accent1" w:themeShade="80"/>
          <w:sz w:val="24"/>
          <w:szCs w:val="24"/>
          <w:shd w:val="clear" w:color="auto" w:fill="FFFFFF"/>
        </w:rPr>
        <w:t xml:space="preserve">. </w:t>
      </w:r>
      <w:r w:rsidRPr="000036F2">
        <w:rPr>
          <w:rFonts w:asciiTheme="minorBidi" w:eastAsia="Times New Roman" w:hAnsiTheme="minorBidi"/>
          <w:sz w:val="24"/>
          <w:szCs w:val="24"/>
          <w:shd w:val="clear" w:color="auto" w:fill="FFFFFF"/>
        </w:rPr>
        <w:t xml:space="preserve">These findings were further elaborated upon by interviewees. Several barriers and facilitators were revealed in this research. The challenges to pharmacists </w:t>
      </w:r>
      <w:r>
        <w:rPr>
          <w:rFonts w:asciiTheme="minorBidi" w:eastAsia="Times New Roman" w:hAnsiTheme="minorBidi"/>
          <w:sz w:val="24"/>
          <w:szCs w:val="24"/>
          <w:shd w:val="clear" w:color="auto" w:fill="FFFFFF"/>
        </w:rPr>
        <w:t xml:space="preserve">involvement in diabetes management </w:t>
      </w:r>
      <w:r w:rsidRPr="000036F2">
        <w:rPr>
          <w:rFonts w:asciiTheme="minorBidi" w:eastAsia="Times New Roman" w:hAnsiTheme="minorBidi"/>
          <w:sz w:val="24"/>
          <w:szCs w:val="24"/>
          <w:shd w:val="clear" w:color="auto" w:fill="FFFFFF"/>
        </w:rPr>
        <w:t xml:space="preserve">will be presented and discussed in this </w:t>
      </w:r>
      <w:r>
        <w:rPr>
          <w:rFonts w:asciiTheme="minorBidi" w:eastAsia="Times New Roman" w:hAnsiTheme="minorBidi"/>
          <w:sz w:val="24"/>
          <w:szCs w:val="24"/>
          <w:shd w:val="clear" w:color="auto" w:fill="FFFFFF"/>
        </w:rPr>
        <w:t xml:space="preserve">section </w:t>
      </w:r>
      <w:r w:rsidRPr="00771854">
        <w:rPr>
          <w:rFonts w:asciiTheme="minorBidi" w:eastAsia="Times New Roman" w:hAnsiTheme="minorBidi"/>
          <w:color w:val="32363A"/>
          <w:sz w:val="24"/>
          <w:szCs w:val="24"/>
          <w:shd w:val="clear" w:color="auto" w:fill="FFFFFF"/>
        </w:rPr>
        <w:t xml:space="preserve">(see </w:t>
      </w:r>
      <w:r w:rsidRPr="00771854">
        <w:rPr>
          <w:rFonts w:asciiTheme="minorBidi" w:eastAsia="Times New Roman" w:hAnsiTheme="minorBidi"/>
          <w:color w:val="1F3864" w:themeColor="accent1" w:themeShade="80"/>
          <w:sz w:val="24"/>
          <w:szCs w:val="24"/>
          <w:shd w:val="clear" w:color="auto" w:fill="FFFFFF"/>
        </w:rPr>
        <w:fldChar w:fldCharType="begin"/>
      </w:r>
      <w:r w:rsidRPr="00771854">
        <w:rPr>
          <w:rFonts w:asciiTheme="minorBidi" w:eastAsia="Times New Roman" w:hAnsiTheme="minorBidi"/>
          <w:color w:val="1F3864" w:themeColor="accent1" w:themeShade="80"/>
          <w:sz w:val="24"/>
          <w:szCs w:val="24"/>
          <w:shd w:val="clear" w:color="auto" w:fill="FFFFFF"/>
        </w:rPr>
        <w:instrText xml:space="preserve"> REF _Ref124817261 \h  \* MERGEFORMAT </w:instrText>
      </w:r>
      <w:r w:rsidRPr="00771854">
        <w:rPr>
          <w:rFonts w:asciiTheme="minorBidi" w:eastAsia="Times New Roman" w:hAnsiTheme="minorBidi"/>
          <w:color w:val="1F3864" w:themeColor="accent1" w:themeShade="80"/>
          <w:sz w:val="24"/>
          <w:szCs w:val="24"/>
          <w:shd w:val="clear" w:color="auto" w:fill="FFFFFF"/>
        </w:rPr>
      </w:r>
      <w:r w:rsidRPr="00771854">
        <w:rPr>
          <w:rFonts w:asciiTheme="minorBidi" w:eastAsia="Times New Roman" w:hAnsiTheme="minorBidi"/>
          <w:color w:val="1F3864" w:themeColor="accent1" w:themeShade="80"/>
          <w:sz w:val="24"/>
          <w:szCs w:val="24"/>
          <w:shd w:val="clear" w:color="auto" w:fill="FFFFFF"/>
        </w:rPr>
        <w:fldChar w:fldCharType="separate"/>
      </w:r>
      <w:r w:rsidRPr="00425B9F">
        <w:rPr>
          <w:rFonts w:asciiTheme="minorBidi" w:eastAsia="Times New Roman" w:hAnsiTheme="minorBidi"/>
          <w:color w:val="1F3864" w:themeColor="accent1" w:themeShade="80"/>
          <w:sz w:val="24"/>
          <w:szCs w:val="24"/>
          <w:shd w:val="clear" w:color="auto" w:fill="FFFFFF"/>
        </w:rPr>
        <w:t>Table 33</w:t>
      </w:r>
      <w:r w:rsidRPr="00771854">
        <w:rPr>
          <w:rFonts w:asciiTheme="minorBidi" w:eastAsia="Times New Roman" w:hAnsiTheme="minorBidi"/>
          <w:color w:val="1F3864" w:themeColor="accent1" w:themeShade="80"/>
          <w:sz w:val="24"/>
          <w:szCs w:val="24"/>
          <w:shd w:val="clear" w:color="auto" w:fill="FFFFFF"/>
        </w:rPr>
        <w:fldChar w:fldCharType="end"/>
      </w:r>
      <w:r w:rsidRPr="00771854">
        <w:rPr>
          <w:rFonts w:asciiTheme="minorBidi" w:eastAsia="Times New Roman" w:hAnsiTheme="minorBidi"/>
          <w:color w:val="32363A"/>
          <w:sz w:val="24"/>
          <w:szCs w:val="24"/>
          <w:shd w:val="clear" w:color="auto" w:fill="FFFFFF"/>
        </w:rPr>
        <w:fldChar w:fldCharType="begin"/>
      </w:r>
      <w:r w:rsidRPr="00771854">
        <w:rPr>
          <w:rFonts w:asciiTheme="minorBidi" w:eastAsia="Times New Roman" w:hAnsiTheme="minorBidi"/>
          <w:color w:val="32363A"/>
          <w:sz w:val="24"/>
          <w:szCs w:val="24"/>
          <w:shd w:val="clear" w:color="auto" w:fill="FFFFFF"/>
        </w:rPr>
        <w:instrText xml:space="preserve"> REF _Ref123530984 \h </w:instrText>
      </w:r>
      <w:r w:rsidRPr="00771854">
        <w:rPr>
          <w:rFonts w:asciiTheme="minorBidi" w:eastAsia="Times New Roman" w:hAnsiTheme="minorBidi"/>
          <w:color w:val="32363A"/>
          <w:sz w:val="24"/>
          <w:szCs w:val="24"/>
          <w:shd w:val="clear" w:color="auto" w:fill="FFFFFF"/>
        </w:rPr>
      </w:r>
      <w:r w:rsidR="00000000">
        <w:rPr>
          <w:rFonts w:asciiTheme="minorBidi" w:eastAsia="Times New Roman" w:hAnsiTheme="minorBidi"/>
          <w:color w:val="32363A"/>
          <w:sz w:val="24"/>
          <w:szCs w:val="24"/>
          <w:shd w:val="clear" w:color="auto" w:fill="FFFFFF"/>
        </w:rPr>
        <w:fldChar w:fldCharType="separate"/>
      </w:r>
      <w:r w:rsidRPr="00771854">
        <w:rPr>
          <w:rFonts w:asciiTheme="minorBidi" w:eastAsia="Times New Roman" w:hAnsiTheme="minorBidi"/>
          <w:color w:val="32363A"/>
          <w:sz w:val="24"/>
          <w:szCs w:val="24"/>
          <w:shd w:val="clear" w:color="auto" w:fill="FFFFFF"/>
        </w:rPr>
        <w:fldChar w:fldCharType="end"/>
      </w:r>
      <w:r w:rsidRPr="00771854">
        <w:rPr>
          <w:rFonts w:asciiTheme="minorBidi" w:eastAsia="Times New Roman" w:hAnsiTheme="minorBidi"/>
          <w:color w:val="32363A"/>
          <w:sz w:val="24"/>
          <w:szCs w:val="24"/>
          <w:shd w:val="clear" w:color="auto" w:fill="FFFFFF"/>
        </w:rPr>
        <w:t>)</w:t>
      </w:r>
      <w:r>
        <w:rPr>
          <w:rFonts w:asciiTheme="minorBidi" w:eastAsia="Times New Roman" w:hAnsiTheme="minorBidi"/>
          <w:color w:val="32363A"/>
          <w:sz w:val="24"/>
          <w:szCs w:val="24"/>
          <w:shd w:val="clear" w:color="auto" w:fill="FFFFFF"/>
        </w:rPr>
        <w:t>.</w:t>
      </w:r>
    </w:p>
    <w:p w14:paraId="132A34D1" w14:textId="3B829796" w:rsidR="006A1195" w:rsidRPr="0043510B" w:rsidRDefault="006A1195" w:rsidP="000B2F68">
      <w:pPr>
        <w:spacing w:line="360" w:lineRule="auto"/>
        <w:jc w:val="both"/>
        <w:rPr>
          <w:rFonts w:asciiTheme="minorBidi" w:eastAsia="Times New Roman" w:hAnsiTheme="minorBidi"/>
          <w:sz w:val="24"/>
          <w:szCs w:val="24"/>
          <w:shd w:val="clear" w:color="auto" w:fill="FFFFFF"/>
        </w:rPr>
      </w:pPr>
      <w:r w:rsidRPr="0043510B">
        <w:rPr>
          <w:rFonts w:asciiTheme="minorBidi" w:eastAsia="Times New Roman" w:hAnsiTheme="minorBidi"/>
          <w:sz w:val="24"/>
          <w:szCs w:val="24"/>
          <w:shd w:val="clear" w:color="auto" w:fill="FFFFFF"/>
        </w:rPr>
        <w:t xml:space="preserve">This research identified several challenges to pharmacists involvement in diabetes management; these challenges were also reported by several authors such as  Choe et al. </w:t>
      </w:r>
      <w:r w:rsidRPr="0043510B">
        <w:rPr>
          <w:rFonts w:asciiTheme="minorBidi" w:eastAsia="Times New Roman" w:hAnsiTheme="minorBidi"/>
          <w:sz w:val="24"/>
          <w:szCs w:val="24"/>
          <w:shd w:val="clear" w:color="auto" w:fill="FFFFFF"/>
          <w:lang w:val="nl-NL"/>
        </w:rPr>
        <w:t xml:space="preserve">(2009); Khunti et al. (2013); Al-Taweel et al. (2014); Albekairy et al. (2015); Hassali et al. (2015); Moreno et al. (2017); Al Haqan et al. (2017);  Duncan et al. (2020);  Al Assaf et al. (2022); and Xiao et al. </w:t>
      </w:r>
      <w:r w:rsidRPr="0043510B">
        <w:rPr>
          <w:rFonts w:asciiTheme="minorBidi" w:eastAsia="Times New Roman" w:hAnsiTheme="minorBidi"/>
          <w:sz w:val="24"/>
          <w:szCs w:val="24"/>
          <w:shd w:val="clear" w:color="auto" w:fill="FFFFFF"/>
        </w:rPr>
        <w:t xml:space="preserve">(2023), see </w:t>
      </w:r>
      <w:r w:rsidR="00432E1F" w:rsidRPr="0043510B">
        <w:rPr>
          <w:rFonts w:asciiTheme="minorBidi" w:eastAsia="Times New Roman" w:hAnsiTheme="minorBidi"/>
          <w:sz w:val="24"/>
          <w:szCs w:val="24"/>
          <w:shd w:val="clear" w:color="auto" w:fill="FFFFFF"/>
        </w:rPr>
        <w:fldChar w:fldCharType="begin"/>
      </w:r>
      <w:r w:rsidR="00432E1F" w:rsidRPr="0043510B">
        <w:rPr>
          <w:rFonts w:asciiTheme="minorBidi" w:eastAsia="Times New Roman" w:hAnsiTheme="minorBidi"/>
          <w:sz w:val="24"/>
          <w:szCs w:val="24"/>
          <w:shd w:val="clear" w:color="auto" w:fill="FFFFFF"/>
        </w:rPr>
        <w:instrText xml:space="preserve"> REF _Ref41829006 \h </w:instrText>
      </w:r>
      <w:r w:rsidR="0043510B">
        <w:rPr>
          <w:rFonts w:asciiTheme="minorBidi" w:eastAsia="Times New Roman" w:hAnsiTheme="minorBidi"/>
          <w:sz w:val="24"/>
          <w:szCs w:val="24"/>
          <w:shd w:val="clear" w:color="auto" w:fill="FFFFFF"/>
        </w:rPr>
        <w:instrText xml:space="preserve"> \* MERGEFORMAT </w:instrText>
      </w:r>
      <w:r w:rsidR="00432E1F" w:rsidRPr="0043510B">
        <w:rPr>
          <w:rFonts w:asciiTheme="minorBidi" w:eastAsia="Times New Roman" w:hAnsiTheme="minorBidi"/>
          <w:sz w:val="24"/>
          <w:szCs w:val="24"/>
          <w:shd w:val="clear" w:color="auto" w:fill="FFFFFF"/>
        </w:rPr>
      </w:r>
      <w:r w:rsidR="00432E1F" w:rsidRPr="0043510B">
        <w:rPr>
          <w:rFonts w:asciiTheme="minorBidi" w:eastAsia="Times New Roman" w:hAnsiTheme="minorBidi"/>
          <w:sz w:val="24"/>
          <w:szCs w:val="24"/>
          <w:shd w:val="clear" w:color="auto" w:fill="FFFFFF"/>
        </w:rPr>
        <w:fldChar w:fldCharType="separate"/>
      </w:r>
      <w:r w:rsidR="00A0034D" w:rsidRPr="0043510B">
        <w:rPr>
          <w:rFonts w:asciiTheme="minorBidi" w:eastAsia="Times New Roman" w:hAnsiTheme="minorBidi"/>
          <w:sz w:val="24"/>
          <w:szCs w:val="24"/>
          <w:shd w:val="clear" w:color="auto" w:fill="FFFFFF"/>
        </w:rPr>
        <w:t>Table 6</w:t>
      </w:r>
      <w:r w:rsidR="00432E1F" w:rsidRPr="0043510B">
        <w:rPr>
          <w:rFonts w:asciiTheme="minorBidi" w:eastAsia="Times New Roman" w:hAnsiTheme="minorBidi"/>
          <w:sz w:val="24"/>
          <w:szCs w:val="24"/>
          <w:shd w:val="clear" w:color="auto" w:fill="FFFFFF"/>
        </w:rPr>
        <w:fldChar w:fldCharType="end"/>
      </w:r>
      <w:r w:rsidRPr="0043510B">
        <w:rPr>
          <w:rFonts w:asciiTheme="minorBidi" w:eastAsia="Times New Roman" w:hAnsiTheme="minorBidi"/>
          <w:sz w:val="24"/>
          <w:szCs w:val="24"/>
          <w:shd w:val="clear" w:color="auto" w:fill="FFFFFF"/>
        </w:rPr>
        <w:t>.</w:t>
      </w:r>
    </w:p>
    <w:p w14:paraId="7212C29F" w14:textId="77777777" w:rsidR="000B2F68" w:rsidRDefault="000B2F68" w:rsidP="000B2F68">
      <w:pPr>
        <w:spacing w:line="360" w:lineRule="auto"/>
        <w:jc w:val="both"/>
        <w:rPr>
          <w:rFonts w:asciiTheme="minorBidi" w:hAnsiTheme="minorBidi"/>
          <w:sz w:val="24"/>
          <w:szCs w:val="24"/>
          <w:shd w:val="clear" w:color="auto" w:fill="FFFFFF"/>
        </w:rPr>
      </w:pPr>
      <w:r w:rsidRPr="00196689">
        <w:rPr>
          <w:rFonts w:asciiTheme="minorBidi" w:hAnsiTheme="minorBidi"/>
          <w:sz w:val="24"/>
          <w:szCs w:val="24"/>
          <w:shd w:val="clear" w:color="auto" w:fill="FFFFFF"/>
        </w:rPr>
        <w:t xml:space="preserve">Several challenges to engaging pharmacists in diabetes primary care management were identified in this research. </w:t>
      </w:r>
      <w:r w:rsidRPr="001D40A1">
        <w:rPr>
          <w:rFonts w:asciiTheme="minorBidi" w:hAnsiTheme="minorBidi"/>
          <w:sz w:val="24"/>
          <w:szCs w:val="24"/>
          <w:shd w:val="clear" w:color="auto" w:fill="FFFFFF"/>
        </w:rPr>
        <w:t xml:space="preserve">Most are related to the healthcare system, such as </w:t>
      </w:r>
      <w:r>
        <w:rPr>
          <w:rFonts w:asciiTheme="minorBidi" w:hAnsiTheme="minorBidi"/>
          <w:sz w:val="24"/>
          <w:szCs w:val="24"/>
          <w:shd w:val="clear" w:color="auto" w:fill="FFFFFF"/>
        </w:rPr>
        <w:t xml:space="preserve">the current primary </w:t>
      </w:r>
      <w:r w:rsidRPr="001D40A1">
        <w:rPr>
          <w:rFonts w:asciiTheme="minorBidi" w:hAnsiTheme="minorBidi"/>
          <w:sz w:val="24"/>
          <w:szCs w:val="24"/>
          <w:shd w:val="clear" w:color="auto" w:fill="FFFFFF"/>
        </w:rPr>
        <w:t>healthcare structure and leadership support.</w:t>
      </w:r>
      <w:r>
        <w:rPr>
          <w:rFonts w:asciiTheme="minorBidi" w:hAnsiTheme="minorBidi"/>
          <w:sz w:val="24"/>
          <w:szCs w:val="24"/>
          <w:shd w:val="clear" w:color="auto" w:fill="FFFFFF"/>
        </w:rPr>
        <w:t xml:space="preserve"> </w:t>
      </w:r>
      <w:r w:rsidRPr="00196689">
        <w:rPr>
          <w:rFonts w:asciiTheme="minorBidi" w:hAnsiTheme="minorBidi"/>
          <w:sz w:val="24"/>
          <w:szCs w:val="24"/>
          <w:shd w:val="clear" w:color="auto" w:fill="FFFFFF"/>
        </w:rPr>
        <w:t xml:space="preserve">Currently, the biggest challenge is the structure of primary care. The separation of pharmaceutical care from </w:t>
      </w:r>
      <w:r>
        <w:rPr>
          <w:rFonts w:asciiTheme="minorBidi" w:hAnsiTheme="minorBidi"/>
          <w:sz w:val="24"/>
          <w:szCs w:val="24"/>
          <w:shd w:val="clear" w:color="auto" w:fill="FFFFFF"/>
        </w:rPr>
        <w:t>PHCs</w:t>
      </w:r>
      <w:r w:rsidRPr="00196689">
        <w:rPr>
          <w:rFonts w:asciiTheme="minorBidi" w:hAnsiTheme="minorBidi"/>
          <w:sz w:val="24"/>
          <w:szCs w:val="24"/>
          <w:shd w:val="clear" w:color="auto" w:fill="FFFFFF"/>
        </w:rPr>
        <w:t xml:space="preserve"> has led to a gap in providing optimal patient care. </w:t>
      </w:r>
      <w:r>
        <w:rPr>
          <w:rFonts w:asciiTheme="minorBidi" w:hAnsiTheme="minorBidi"/>
          <w:sz w:val="24"/>
          <w:szCs w:val="24"/>
          <w:shd w:val="clear" w:color="auto" w:fill="FFFFFF"/>
        </w:rPr>
        <w:t>Despite the potential benefits of closing pharmacies</w:t>
      </w:r>
      <w:r w:rsidRPr="00196689">
        <w:rPr>
          <w:rFonts w:asciiTheme="minorBidi" w:hAnsiTheme="minorBidi"/>
          <w:sz w:val="24"/>
          <w:szCs w:val="24"/>
          <w:shd w:val="clear" w:color="auto" w:fill="FFFFFF"/>
        </w:rPr>
        <w:t xml:space="preserve"> from PHCs</w:t>
      </w:r>
      <w:r>
        <w:rPr>
          <w:rFonts w:asciiTheme="minorBidi" w:hAnsiTheme="minorBidi"/>
          <w:sz w:val="24"/>
          <w:szCs w:val="24"/>
          <w:shd w:val="clear" w:color="auto" w:fill="FFFFFF"/>
        </w:rPr>
        <w:t xml:space="preserve"> and moving dispensing prescriptions to the retail community pharmacies, i</w:t>
      </w:r>
      <w:r w:rsidRPr="00794B01">
        <w:rPr>
          <w:rFonts w:asciiTheme="minorBidi" w:hAnsiTheme="minorBidi"/>
          <w:sz w:val="24"/>
          <w:szCs w:val="24"/>
          <w:shd w:val="clear" w:color="auto" w:fill="FFFFFF"/>
        </w:rPr>
        <w:t xml:space="preserve">ntegrating </w:t>
      </w:r>
      <w:r>
        <w:rPr>
          <w:rFonts w:asciiTheme="minorBidi" w:hAnsiTheme="minorBidi"/>
          <w:sz w:val="24"/>
          <w:szCs w:val="24"/>
          <w:shd w:val="clear" w:color="auto" w:fill="FFFFFF"/>
        </w:rPr>
        <w:t xml:space="preserve">them </w:t>
      </w:r>
      <w:r w:rsidRPr="00794B01">
        <w:rPr>
          <w:rFonts w:asciiTheme="minorBidi" w:hAnsiTheme="minorBidi"/>
          <w:sz w:val="24"/>
          <w:szCs w:val="24"/>
          <w:shd w:val="clear" w:color="auto" w:fill="FFFFFF"/>
        </w:rPr>
        <w:t xml:space="preserve">in diabetes primary care management may </w:t>
      </w:r>
      <w:r>
        <w:rPr>
          <w:rFonts w:asciiTheme="minorBidi" w:hAnsiTheme="minorBidi"/>
          <w:sz w:val="24"/>
          <w:szCs w:val="24"/>
          <w:shd w:val="clear" w:color="auto" w:fill="FFFFFF"/>
        </w:rPr>
        <w:t xml:space="preserve">currently </w:t>
      </w:r>
      <w:r w:rsidRPr="00794B01">
        <w:rPr>
          <w:rFonts w:asciiTheme="minorBidi" w:hAnsiTheme="minorBidi"/>
          <w:sz w:val="24"/>
          <w:szCs w:val="24"/>
          <w:shd w:val="clear" w:color="auto" w:fill="FFFFFF"/>
        </w:rPr>
        <w:t>be unattainable</w:t>
      </w:r>
      <w:r>
        <w:rPr>
          <w:rFonts w:asciiTheme="minorBidi" w:hAnsiTheme="minorBidi"/>
          <w:sz w:val="24"/>
          <w:szCs w:val="24"/>
          <w:shd w:val="clear" w:color="auto" w:fill="FFFFFF"/>
        </w:rPr>
        <w:t xml:space="preserve"> </w:t>
      </w:r>
      <w:r w:rsidRPr="00196689">
        <w:rPr>
          <w:rFonts w:asciiTheme="minorBidi" w:hAnsiTheme="minorBidi"/>
          <w:sz w:val="24"/>
          <w:szCs w:val="24"/>
          <w:shd w:val="clear" w:color="auto" w:fill="FFFFFF"/>
        </w:rPr>
        <w:t xml:space="preserve">for </w:t>
      </w:r>
      <w:r>
        <w:rPr>
          <w:rFonts w:asciiTheme="minorBidi" w:hAnsiTheme="minorBidi"/>
          <w:sz w:val="24"/>
          <w:szCs w:val="24"/>
          <w:shd w:val="clear" w:color="auto" w:fill="FFFFFF"/>
        </w:rPr>
        <w:t xml:space="preserve">the </w:t>
      </w:r>
      <w:r w:rsidRPr="00196689">
        <w:rPr>
          <w:rFonts w:asciiTheme="minorBidi" w:hAnsiTheme="minorBidi"/>
          <w:sz w:val="24"/>
          <w:szCs w:val="24"/>
          <w:shd w:val="clear" w:color="auto" w:fill="FFFFFF"/>
        </w:rPr>
        <w:t>reasons</w:t>
      </w:r>
      <w:r>
        <w:rPr>
          <w:rFonts w:asciiTheme="minorBidi" w:hAnsiTheme="minorBidi"/>
          <w:sz w:val="24"/>
          <w:szCs w:val="24"/>
          <w:shd w:val="clear" w:color="auto" w:fill="FFFFFF"/>
        </w:rPr>
        <w:t xml:space="preserve"> </w:t>
      </w:r>
      <w:r w:rsidRPr="00F973B8">
        <w:rPr>
          <w:rFonts w:asciiTheme="minorBidi" w:hAnsiTheme="minorBidi"/>
          <w:sz w:val="24"/>
          <w:szCs w:val="24"/>
          <w:shd w:val="clear" w:color="auto" w:fill="FFFFFF"/>
        </w:rPr>
        <w:t>expl</w:t>
      </w:r>
      <w:r>
        <w:rPr>
          <w:rFonts w:asciiTheme="minorBidi" w:hAnsiTheme="minorBidi"/>
          <w:sz w:val="24"/>
          <w:szCs w:val="24"/>
          <w:shd w:val="clear" w:color="auto" w:fill="FFFFFF"/>
        </w:rPr>
        <w:t>ain</w:t>
      </w:r>
      <w:r w:rsidRPr="00F973B8">
        <w:rPr>
          <w:rFonts w:asciiTheme="minorBidi" w:hAnsiTheme="minorBidi"/>
          <w:sz w:val="24"/>
          <w:szCs w:val="24"/>
          <w:shd w:val="clear" w:color="auto" w:fill="FFFFFF"/>
        </w:rPr>
        <w:t>ed below</w:t>
      </w:r>
      <w:r w:rsidRPr="00196689">
        <w:rPr>
          <w:rFonts w:asciiTheme="minorBidi" w:hAnsiTheme="minorBidi"/>
          <w:sz w:val="24"/>
          <w:szCs w:val="24"/>
          <w:shd w:val="clear" w:color="auto" w:fill="FFFFFF"/>
        </w:rPr>
        <w:t>.</w:t>
      </w:r>
      <w:r>
        <w:rPr>
          <w:rFonts w:asciiTheme="minorBidi" w:hAnsiTheme="minorBidi"/>
          <w:sz w:val="24"/>
          <w:szCs w:val="24"/>
          <w:shd w:val="clear" w:color="auto" w:fill="FFFFFF"/>
        </w:rPr>
        <w:t xml:space="preserve"> </w:t>
      </w:r>
    </w:p>
    <w:p w14:paraId="54C153A8" w14:textId="77777777" w:rsidR="000B2F68" w:rsidRDefault="000B2F68" w:rsidP="000B2F68">
      <w:pPr>
        <w:spacing w:line="360" w:lineRule="auto"/>
        <w:jc w:val="both"/>
        <w:rPr>
          <w:rFonts w:asciiTheme="minorBidi" w:hAnsiTheme="minorBidi"/>
          <w:sz w:val="24"/>
          <w:szCs w:val="24"/>
          <w:shd w:val="clear" w:color="auto" w:fill="FFFFFF"/>
        </w:rPr>
      </w:pPr>
      <w:r>
        <w:rPr>
          <w:rFonts w:asciiTheme="minorBidi" w:hAnsiTheme="minorBidi"/>
          <w:sz w:val="24"/>
          <w:szCs w:val="24"/>
          <w:shd w:val="clear" w:color="auto" w:fill="FFFFFF"/>
        </w:rPr>
        <w:t>These</w:t>
      </w:r>
      <w:r w:rsidRPr="00D55939">
        <w:rPr>
          <w:rFonts w:asciiTheme="minorBidi" w:hAnsiTheme="minorBidi"/>
          <w:sz w:val="24"/>
          <w:szCs w:val="24"/>
          <w:shd w:val="clear" w:color="auto" w:fill="FFFFFF"/>
        </w:rPr>
        <w:t xml:space="preserve"> research findings show that there are many </w:t>
      </w:r>
      <w:r>
        <w:rPr>
          <w:rFonts w:asciiTheme="minorBidi" w:hAnsiTheme="minorBidi"/>
          <w:sz w:val="24"/>
          <w:szCs w:val="24"/>
          <w:shd w:val="clear" w:color="auto" w:fill="FFFFFF"/>
        </w:rPr>
        <w:t>challenges</w:t>
      </w:r>
      <w:r w:rsidRPr="00D55939">
        <w:rPr>
          <w:rFonts w:asciiTheme="minorBidi" w:hAnsiTheme="minorBidi"/>
          <w:sz w:val="24"/>
          <w:szCs w:val="24"/>
          <w:shd w:val="clear" w:color="auto" w:fill="FFFFFF"/>
        </w:rPr>
        <w:t xml:space="preserve"> to providing effective pharmaceutical care in retail pharmacies. The most crucial </w:t>
      </w:r>
      <w:r>
        <w:rPr>
          <w:rFonts w:asciiTheme="minorBidi" w:hAnsiTheme="minorBidi"/>
          <w:sz w:val="24"/>
          <w:szCs w:val="24"/>
          <w:shd w:val="clear" w:color="auto" w:fill="FFFFFF"/>
        </w:rPr>
        <w:t>one</w:t>
      </w:r>
      <w:r w:rsidRPr="00D55939">
        <w:rPr>
          <w:rFonts w:asciiTheme="minorBidi" w:hAnsiTheme="minorBidi"/>
          <w:sz w:val="24"/>
          <w:szCs w:val="24"/>
          <w:shd w:val="clear" w:color="auto" w:fill="FFFFFF"/>
        </w:rPr>
        <w:t xml:space="preserve"> appears to be the inability of community pharmacists to access a patient's health record to ensure that treatment is appropriate to the patient's condition. This should be considered as it greatly influences pharmacists' contribution to patient care. This obstacle may be due to the limited IT infrastructure in the Saudi </w:t>
      </w:r>
      <w:r>
        <w:rPr>
          <w:rFonts w:asciiTheme="minorBidi" w:hAnsiTheme="minorBidi"/>
          <w:sz w:val="24"/>
          <w:szCs w:val="24"/>
          <w:shd w:val="clear" w:color="auto" w:fill="FFFFFF"/>
        </w:rPr>
        <w:t>MoH</w:t>
      </w:r>
      <w:r w:rsidRPr="00D55939">
        <w:rPr>
          <w:rFonts w:asciiTheme="minorBidi" w:hAnsiTheme="minorBidi"/>
          <w:sz w:val="24"/>
          <w:szCs w:val="24"/>
          <w:shd w:val="clear" w:color="auto" w:fill="FFFFFF"/>
        </w:rPr>
        <w:t xml:space="preserve">. Therefore, it is necessary to develop an IT infrastructure with a plan to link community pharmacies with </w:t>
      </w:r>
      <w:r>
        <w:rPr>
          <w:rFonts w:asciiTheme="minorBidi" w:hAnsiTheme="minorBidi"/>
          <w:sz w:val="24"/>
          <w:szCs w:val="24"/>
          <w:shd w:val="clear" w:color="auto" w:fill="FFFFFF"/>
        </w:rPr>
        <w:t>HCPs</w:t>
      </w:r>
      <w:r w:rsidRPr="00D55939">
        <w:rPr>
          <w:rFonts w:asciiTheme="minorBidi" w:hAnsiTheme="minorBidi"/>
          <w:sz w:val="24"/>
          <w:szCs w:val="24"/>
          <w:shd w:val="clear" w:color="auto" w:fill="FFFFFF"/>
        </w:rPr>
        <w:t xml:space="preserve"> in </w:t>
      </w:r>
      <w:r>
        <w:rPr>
          <w:rFonts w:asciiTheme="minorBidi" w:hAnsiTheme="minorBidi"/>
          <w:sz w:val="24"/>
          <w:szCs w:val="24"/>
          <w:shd w:val="clear" w:color="auto" w:fill="FFFFFF"/>
        </w:rPr>
        <w:t>PHCs</w:t>
      </w:r>
      <w:r w:rsidRPr="00D55939">
        <w:rPr>
          <w:rFonts w:asciiTheme="minorBidi" w:hAnsiTheme="minorBidi"/>
          <w:sz w:val="24"/>
          <w:szCs w:val="24"/>
          <w:shd w:val="clear" w:color="auto" w:fill="FFFFFF"/>
        </w:rPr>
        <w:t xml:space="preserve"> </w:t>
      </w:r>
      <w:r>
        <w:rPr>
          <w:rFonts w:asciiTheme="minorBidi" w:hAnsiTheme="minorBidi"/>
          <w:sz w:val="24"/>
          <w:szCs w:val="24"/>
          <w:shd w:val="clear" w:color="auto" w:fill="FFFFFF"/>
        </w:rPr>
        <w:t>and</w:t>
      </w:r>
      <w:r w:rsidRPr="00D55939">
        <w:rPr>
          <w:rFonts w:asciiTheme="minorBidi" w:hAnsiTheme="minorBidi"/>
          <w:sz w:val="24"/>
          <w:szCs w:val="24"/>
          <w:shd w:val="clear" w:color="auto" w:fill="FFFFFF"/>
        </w:rPr>
        <w:t xml:space="preserve"> </w:t>
      </w:r>
      <w:r>
        <w:rPr>
          <w:rFonts w:asciiTheme="minorBidi" w:hAnsiTheme="minorBidi"/>
          <w:sz w:val="24"/>
          <w:szCs w:val="24"/>
          <w:shd w:val="clear" w:color="auto" w:fill="FFFFFF"/>
        </w:rPr>
        <w:t xml:space="preserve">allow </w:t>
      </w:r>
      <w:r w:rsidRPr="00D55939">
        <w:rPr>
          <w:rFonts w:asciiTheme="minorBidi" w:hAnsiTheme="minorBidi"/>
          <w:sz w:val="24"/>
          <w:szCs w:val="24"/>
          <w:shd w:val="clear" w:color="auto" w:fill="FFFFFF"/>
        </w:rPr>
        <w:t xml:space="preserve">community pharmacists access </w:t>
      </w:r>
      <w:r>
        <w:rPr>
          <w:rFonts w:asciiTheme="minorBidi" w:hAnsiTheme="minorBidi"/>
          <w:sz w:val="24"/>
          <w:szCs w:val="24"/>
          <w:shd w:val="clear" w:color="auto" w:fill="FFFFFF"/>
        </w:rPr>
        <w:t xml:space="preserve">to </w:t>
      </w:r>
      <w:r w:rsidRPr="00D55939">
        <w:rPr>
          <w:rFonts w:asciiTheme="minorBidi" w:hAnsiTheme="minorBidi"/>
          <w:sz w:val="24"/>
          <w:szCs w:val="24"/>
          <w:shd w:val="clear" w:color="auto" w:fill="FFFFFF"/>
        </w:rPr>
        <w:t>patients' medical records.</w:t>
      </w:r>
      <w:r>
        <w:rPr>
          <w:rFonts w:asciiTheme="minorBidi" w:hAnsiTheme="minorBidi"/>
          <w:sz w:val="24"/>
          <w:szCs w:val="24"/>
          <w:shd w:val="clear" w:color="auto" w:fill="FFFFFF"/>
        </w:rPr>
        <w:t xml:space="preserve"> </w:t>
      </w:r>
      <w:r w:rsidRPr="00905C85">
        <w:rPr>
          <w:rFonts w:asciiTheme="minorBidi" w:hAnsiTheme="minorBidi"/>
          <w:sz w:val="24"/>
          <w:szCs w:val="24"/>
          <w:shd w:val="clear" w:color="auto" w:fill="FFFFFF"/>
        </w:rPr>
        <w:t>Adoption of technology and innovation can greatly enhance productivity</w:t>
      </w:r>
      <w:r>
        <w:rPr>
          <w:rFonts w:asciiTheme="minorBidi" w:hAnsiTheme="minorBidi"/>
          <w:sz w:val="24"/>
          <w:szCs w:val="24"/>
          <w:shd w:val="clear" w:color="auto" w:fill="FFFFFF"/>
        </w:rPr>
        <w:t>.</w:t>
      </w:r>
      <w:r w:rsidRPr="00905C85">
        <w:rPr>
          <w:rFonts w:asciiTheme="minorBidi" w:hAnsiTheme="minorBidi"/>
          <w:sz w:val="24"/>
          <w:szCs w:val="24"/>
          <w:shd w:val="clear" w:color="auto" w:fill="FFFFFF"/>
        </w:rPr>
        <w:t xml:space="preserve"> The research results indicate that the </w:t>
      </w:r>
      <w:r>
        <w:rPr>
          <w:rFonts w:asciiTheme="minorBidi" w:hAnsiTheme="minorBidi"/>
          <w:sz w:val="24"/>
          <w:szCs w:val="24"/>
          <w:shd w:val="clear" w:color="auto" w:fill="FFFFFF"/>
        </w:rPr>
        <w:t>MoH</w:t>
      </w:r>
      <w:r w:rsidRPr="00905C85">
        <w:rPr>
          <w:rFonts w:asciiTheme="minorBidi" w:hAnsiTheme="minorBidi"/>
          <w:sz w:val="24"/>
          <w:szCs w:val="24"/>
          <w:shd w:val="clear" w:color="auto" w:fill="FFFFFF"/>
        </w:rPr>
        <w:t xml:space="preserve"> has made a significant leap in digiti</w:t>
      </w:r>
      <w:r>
        <w:rPr>
          <w:rFonts w:asciiTheme="minorBidi" w:hAnsiTheme="minorBidi"/>
          <w:sz w:val="24"/>
          <w:szCs w:val="24"/>
          <w:shd w:val="clear" w:color="auto" w:fill="FFFFFF"/>
        </w:rPr>
        <w:t>s</w:t>
      </w:r>
      <w:r w:rsidRPr="00905C85">
        <w:rPr>
          <w:rFonts w:asciiTheme="minorBidi" w:hAnsiTheme="minorBidi"/>
          <w:sz w:val="24"/>
          <w:szCs w:val="24"/>
          <w:shd w:val="clear" w:color="auto" w:fill="FFFFFF"/>
        </w:rPr>
        <w:t>ing its system</w:t>
      </w:r>
      <w:r>
        <w:rPr>
          <w:rFonts w:asciiTheme="minorBidi" w:hAnsiTheme="minorBidi"/>
          <w:sz w:val="24"/>
          <w:szCs w:val="24"/>
          <w:shd w:val="clear" w:color="auto" w:fill="FFFFFF"/>
        </w:rPr>
        <w:t>s</w:t>
      </w:r>
      <w:r w:rsidRPr="00905C85">
        <w:rPr>
          <w:rFonts w:asciiTheme="minorBidi" w:hAnsiTheme="minorBidi"/>
          <w:sz w:val="24"/>
          <w:szCs w:val="24"/>
          <w:shd w:val="clear" w:color="auto" w:fill="FFFFFF"/>
        </w:rPr>
        <w:t xml:space="preserve">, but this improvement is limited to its internal system and does not include external partners, as mentioned </w:t>
      </w:r>
      <w:r>
        <w:rPr>
          <w:rFonts w:asciiTheme="minorBidi" w:hAnsiTheme="minorBidi"/>
          <w:sz w:val="24"/>
          <w:szCs w:val="24"/>
          <w:shd w:val="clear" w:color="auto" w:fill="FFFFFF"/>
        </w:rPr>
        <w:t>above</w:t>
      </w:r>
      <w:r w:rsidRPr="00905C85">
        <w:rPr>
          <w:rFonts w:asciiTheme="minorBidi" w:hAnsiTheme="minorBidi"/>
          <w:sz w:val="24"/>
          <w:szCs w:val="24"/>
          <w:shd w:val="clear" w:color="auto" w:fill="FFFFFF"/>
        </w:rPr>
        <w:t>.</w:t>
      </w:r>
    </w:p>
    <w:p w14:paraId="17B344A7" w14:textId="77777777" w:rsidR="000B2F68" w:rsidRPr="00AB4C90" w:rsidRDefault="000B2F68" w:rsidP="000B2F68">
      <w:pPr>
        <w:spacing w:line="360" w:lineRule="auto"/>
        <w:jc w:val="both"/>
        <w:rPr>
          <w:rFonts w:asciiTheme="minorBidi" w:eastAsiaTheme="minorEastAsia" w:hAnsiTheme="minorBidi"/>
          <w:sz w:val="24"/>
          <w:szCs w:val="24"/>
          <w:lang w:eastAsia="en-GB"/>
        </w:rPr>
      </w:pPr>
      <w:r>
        <w:rPr>
          <w:rFonts w:asciiTheme="minorBidi" w:hAnsiTheme="minorBidi"/>
          <w:sz w:val="24"/>
          <w:szCs w:val="24"/>
          <w:shd w:val="clear" w:color="auto" w:fill="FFFFFF"/>
        </w:rPr>
        <w:t xml:space="preserve">Another challenge raised by interviewees is </w:t>
      </w:r>
      <w:r w:rsidRPr="00814DE5">
        <w:rPr>
          <w:rFonts w:asciiTheme="minorBidi" w:eastAsiaTheme="minorEastAsia" w:hAnsiTheme="minorBidi"/>
          <w:sz w:val="24"/>
          <w:szCs w:val="24"/>
          <w:lang w:eastAsia="en-GB"/>
        </w:rPr>
        <w:t xml:space="preserve">that </w:t>
      </w:r>
      <w:r>
        <w:rPr>
          <w:rFonts w:asciiTheme="minorBidi" w:eastAsiaTheme="minorEastAsia" w:hAnsiTheme="minorBidi"/>
          <w:sz w:val="24"/>
          <w:szCs w:val="24"/>
          <w:lang w:eastAsia="en-GB"/>
        </w:rPr>
        <w:t>c</w:t>
      </w:r>
      <w:r w:rsidRPr="009420FD">
        <w:rPr>
          <w:rFonts w:asciiTheme="minorBidi" w:eastAsiaTheme="minorEastAsia" w:hAnsiTheme="minorBidi"/>
          <w:sz w:val="24"/>
          <w:szCs w:val="24"/>
          <w:lang w:eastAsia="en-GB"/>
        </w:rPr>
        <w:t>urrent practice in retail community pharmacies is more business-driven than patient-centred.</w:t>
      </w:r>
      <w:r>
        <w:rPr>
          <w:rFonts w:asciiTheme="minorBidi" w:eastAsiaTheme="minorEastAsia" w:hAnsiTheme="minorBidi"/>
          <w:sz w:val="24"/>
          <w:szCs w:val="24"/>
          <w:lang w:eastAsia="en-GB"/>
        </w:rPr>
        <w:t xml:space="preserve"> </w:t>
      </w:r>
      <w:r w:rsidRPr="00647C06">
        <w:rPr>
          <w:rFonts w:asciiTheme="minorBidi" w:eastAsiaTheme="minorEastAsia" w:hAnsiTheme="minorBidi"/>
          <w:sz w:val="24"/>
          <w:szCs w:val="24"/>
          <w:lang w:eastAsia="en-GB"/>
        </w:rPr>
        <w:t xml:space="preserve">Community pharmacists are usually overburdened with tasks other than dispensing prescriptions to patients. Diverting </w:t>
      </w:r>
      <w:r>
        <w:rPr>
          <w:rFonts w:asciiTheme="minorBidi" w:eastAsiaTheme="minorEastAsia" w:hAnsiTheme="minorBidi"/>
          <w:sz w:val="24"/>
          <w:szCs w:val="24"/>
          <w:lang w:eastAsia="en-GB"/>
        </w:rPr>
        <w:t>PHCs’</w:t>
      </w:r>
      <w:r w:rsidRPr="00647C06">
        <w:rPr>
          <w:rFonts w:asciiTheme="minorBidi" w:eastAsiaTheme="minorEastAsia" w:hAnsiTheme="minorBidi"/>
          <w:sz w:val="24"/>
          <w:szCs w:val="24"/>
          <w:lang w:eastAsia="en-GB"/>
        </w:rPr>
        <w:t xml:space="preserve"> patients to </w:t>
      </w:r>
      <w:r>
        <w:rPr>
          <w:rFonts w:asciiTheme="minorBidi" w:eastAsiaTheme="minorEastAsia" w:hAnsiTheme="minorBidi"/>
          <w:sz w:val="24"/>
          <w:szCs w:val="24"/>
          <w:lang w:eastAsia="en-GB"/>
        </w:rPr>
        <w:t>receive</w:t>
      </w:r>
      <w:r w:rsidRPr="00647C06">
        <w:rPr>
          <w:rFonts w:asciiTheme="minorBidi" w:eastAsiaTheme="minorEastAsia" w:hAnsiTheme="minorBidi"/>
          <w:sz w:val="24"/>
          <w:szCs w:val="24"/>
          <w:lang w:eastAsia="en-GB"/>
        </w:rPr>
        <w:t xml:space="preserve"> their medication from the</w:t>
      </w:r>
      <w:r>
        <w:rPr>
          <w:rFonts w:asciiTheme="minorBidi" w:eastAsiaTheme="minorEastAsia" w:hAnsiTheme="minorBidi"/>
          <w:sz w:val="24"/>
          <w:szCs w:val="24"/>
          <w:lang w:eastAsia="en-GB"/>
        </w:rPr>
        <w:t xml:space="preserve"> retail </w:t>
      </w:r>
      <w:r w:rsidRPr="00647C06">
        <w:rPr>
          <w:rFonts w:asciiTheme="minorBidi" w:eastAsiaTheme="minorEastAsia" w:hAnsiTheme="minorBidi"/>
          <w:sz w:val="24"/>
          <w:szCs w:val="24"/>
          <w:lang w:eastAsia="en-GB"/>
        </w:rPr>
        <w:t>community pharmacy could increase workload. Therefore, additional incentives may be needed to motivate them to provide care for th</w:t>
      </w:r>
      <w:r>
        <w:rPr>
          <w:rFonts w:asciiTheme="minorBidi" w:eastAsiaTheme="minorEastAsia" w:hAnsiTheme="minorBidi"/>
          <w:sz w:val="24"/>
          <w:szCs w:val="24"/>
          <w:lang w:eastAsia="en-GB"/>
        </w:rPr>
        <w:t>os</w:t>
      </w:r>
      <w:r w:rsidRPr="00647C06">
        <w:rPr>
          <w:rFonts w:asciiTheme="minorBidi" w:eastAsiaTheme="minorEastAsia" w:hAnsiTheme="minorBidi"/>
          <w:sz w:val="24"/>
          <w:szCs w:val="24"/>
          <w:lang w:eastAsia="en-GB"/>
        </w:rPr>
        <w:t>e patients, including at least contributing to educating patients about their medications. This research showed a lack or gap in this aspec</w:t>
      </w:r>
      <w:r>
        <w:rPr>
          <w:rFonts w:asciiTheme="minorBidi" w:eastAsiaTheme="minorEastAsia" w:hAnsiTheme="minorBidi"/>
          <w:sz w:val="24"/>
          <w:szCs w:val="24"/>
          <w:lang w:eastAsia="en-GB"/>
        </w:rPr>
        <w:t>t, with ‘poor patient counselling’ by</w:t>
      </w:r>
      <w:r w:rsidRPr="00647C06">
        <w:rPr>
          <w:rFonts w:asciiTheme="minorBidi" w:eastAsiaTheme="minorEastAsia" w:hAnsiTheme="minorBidi"/>
          <w:sz w:val="24"/>
          <w:szCs w:val="24"/>
          <w:lang w:eastAsia="en-GB"/>
        </w:rPr>
        <w:t xml:space="preserve"> community pharmacists performing this role.</w:t>
      </w:r>
      <w:r>
        <w:rPr>
          <w:rFonts w:asciiTheme="minorBidi" w:eastAsiaTheme="minorEastAsia" w:hAnsiTheme="minorBidi"/>
          <w:sz w:val="24"/>
          <w:szCs w:val="24"/>
          <w:lang w:eastAsia="en-GB"/>
        </w:rPr>
        <w:t xml:space="preserve"> </w:t>
      </w:r>
      <w:r w:rsidRPr="006B24BB">
        <w:rPr>
          <w:rFonts w:asciiTheme="minorBidi" w:eastAsiaTheme="minorEastAsia" w:hAnsiTheme="minorBidi"/>
          <w:sz w:val="24"/>
          <w:szCs w:val="24"/>
          <w:lang w:eastAsia="en-GB"/>
        </w:rPr>
        <w:t>These findings were also reported by</w:t>
      </w:r>
      <w:r w:rsidRPr="00AB4C90">
        <w:rPr>
          <w:rFonts w:asciiTheme="minorBidi" w:eastAsiaTheme="minorEastAsia" w:hAnsiTheme="minorBidi"/>
          <w:sz w:val="24"/>
          <w:szCs w:val="24"/>
          <w:lang w:eastAsia="en-GB"/>
        </w:rPr>
        <w:t xml:space="preserve"> </w:t>
      </w:r>
      <w:r w:rsidRPr="00AB4C90">
        <w:rPr>
          <w:rFonts w:asciiTheme="minorBidi" w:eastAsiaTheme="minorEastAsia" w:hAnsiTheme="minorBidi"/>
          <w:sz w:val="24"/>
          <w:szCs w:val="24"/>
          <w:lang w:eastAsia="en-GB"/>
        </w:rPr>
        <w:fldChar w:fldCharType="begin" w:fldLock="1"/>
      </w:r>
      <w:r>
        <w:rPr>
          <w:rFonts w:asciiTheme="minorBidi" w:eastAsiaTheme="minorEastAsia" w:hAnsiTheme="minorBidi"/>
          <w:sz w:val="24"/>
          <w:szCs w:val="24"/>
          <w:lang w:eastAsia="en-GB"/>
        </w:rPr>
        <w:instrText>ADDIN CSL_CITATION {"citationItems":[{"id":"ITEM-1","itemData":{"DOI":"10.4103/2045-080x.119069","ISSN":"2045-080X","abstract":"The authors comment on the state of the community pharmacy sector in Saudi Arabia. According to the authors, a study described Saudi community pharmacies as commercial in nature. They point out a need for authorities to implement measures aimed at enhancing the role of pharmacists in community practice. The authors add that these measures will also help improve therapeutic outcomes and address the lack of health- and drug-related awareness among patients.","author":[{"dropping-particle":"","family":"Haseeb","given":"Abdul","non-dropping-particle":"","parse-names":false,"suffix":""},{"dropping-particle":"","family":"Elrggal","given":"MahmoudE","non-dropping-particle":"","parse-names":false,"suffix":""}],"container-title":"Archives of Pharmacy Practice","id":"ITEM-1","issue":"3","issued":{"date-parts":[["2013"]]},"page":"138","title":"Recommendations for the role of the pharmacist in Saudi Arabia","type":"article-journal","volume":"4"},"uris":["http://www.mendeley.com/documents/?uuid=74b053f2-a7e3-4342-a20c-4f1a8727203f"]}],"mendeley":{"formattedCitation":"(Haseeb and Elrggal, 2013)","manualFormatting":"Haseeb and Elrggal (2013)","plainTextFormattedCitation":"(Haseeb and Elrggal, 2013)","previouslyFormattedCitation":"(Haseeb and Elrggal, 2013)"},"properties":{"noteIndex":0},"schema":"https://github.com/citation-style-language/schema/raw/master/csl-citation.json"}</w:instrText>
      </w:r>
      <w:r w:rsidRPr="00AB4C90">
        <w:rPr>
          <w:rFonts w:asciiTheme="minorBidi" w:eastAsiaTheme="minorEastAsia" w:hAnsiTheme="minorBidi"/>
          <w:sz w:val="24"/>
          <w:szCs w:val="24"/>
          <w:lang w:eastAsia="en-GB"/>
        </w:rPr>
        <w:fldChar w:fldCharType="separate"/>
      </w:r>
      <w:r w:rsidRPr="00AB4C90">
        <w:rPr>
          <w:rFonts w:asciiTheme="minorBidi" w:eastAsiaTheme="minorEastAsia" w:hAnsiTheme="minorBidi"/>
          <w:noProof/>
          <w:sz w:val="24"/>
          <w:szCs w:val="24"/>
          <w:lang w:eastAsia="en-GB"/>
        </w:rPr>
        <w:t xml:space="preserve">Haseeb and Elrggal </w:t>
      </w:r>
      <w:r>
        <w:rPr>
          <w:rFonts w:asciiTheme="minorBidi" w:eastAsiaTheme="minorEastAsia" w:hAnsiTheme="minorBidi"/>
          <w:noProof/>
          <w:sz w:val="24"/>
          <w:szCs w:val="24"/>
          <w:lang w:eastAsia="en-GB"/>
        </w:rPr>
        <w:t>(</w:t>
      </w:r>
      <w:r w:rsidRPr="00AB4C90">
        <w:rPr>
          <w:rFonts w:asciiTheme="minorBidi" w:eastAsiaTheme="minorEastAsia" w:hAnsiTheme="minorBidi"/>
          <w:noProof/>
          <w:sz w:val="24"/>
          <w:szCs w:val="24"/>
          <w:lang w:eastAsia="en-GB"/>
        </w:rPr>
        <w:t>2013)</w:t>
      </w:r>
      <w:r w:rsidRPr="00AB4C90">
        <w:rPr>
          <w:rFonts w:asciiTheme="minorBidi" w:eastAsiaTheme="minorEastAsia" w:hAnsiTheme="minorBidi"/>
          <w:sz w:val="24"/>
          <w:szCs w:val="24"/>
          <w:lang w:eastAsia="en-GB"/>
        </w:rPr>
        <w:fldChar w:fldCharType="end"/>
      </w:r>
      <w:r w:rsidRPr="00AB4C90">
        <w:rPr>
          <w:rFonts w:asciiTheme="minorBidi" w:eastAsiaTheme="minorEastAsia" w:hAnsiTheme="minorBidi"/>
          <w:sz w:val="24"/>
          <w:szCs w:val="24"/>
          <w:lang w:eastAsia="en-GB"/>
        </w:rPr>
        <w:t xml:space="preserve">, </w:t>
      </w:r>
      <w:r w:rsidRPr="00AB4C90">
        <w:rPr>
          <w:rFonts w:asciiTheme="minorBidi" w:eastAsiaTheme="minorEastAsia" w:hAnsiTheme="minorBidi"/>
          <w:sz w:val="24"/>
          <w:szCs w:val="24"/>
          <w:lang w:eastAsia="en-GB"/>
        </w:rPr>
        <w:fldChar w:fldCharType="begin" w:fldLock="1"/>
      </w:r>
      <w:r>
        <w:rPr>
          <w:rFonts w:asciiTheme="minorBidi" w:eastAsiaTheme="minorEastAsia" w:hAnsiTheme="minorBidi"/>
          <w:sz w:val="24"/>
          <w:szCs w:val="24"/>
          <w:lang w:eastAsia="en-GB"/>
        </w:rPr>
        <w:instrText>ADDIN CSL_CITATION {"citationItems":[{"id":"ITEM-1","itemData":{"DOI":"10.4236/pp.2019.104015","ISSN":"2157-9423","abstract":"Background: Patient counseling service is an integral component of pharmacy practice in the community pharmacy. Counseling services should be provided to patients regardless of whether the patient has the intention to buy a medication or not. Objective: The aim of this study is to investigate the effect of the conflict between ethics and business objectives in Saudi Arabian private community pharmacies on patient counseling. Methods: Eighty pharmacies were randomly selected in Madinah, Saudi Arabia, and visited by mysterious shoppers following a preplanned scenario. Clients requested information on the correct use of a dry powder inhaler for bronchial asthma. A survey form was filled in by the clients immediately after the visit. Results: seventy-five pharmacies were included in the study. Seventy-seven percent of the pharmacists gave a varying content of information although the client showed no intention to buy the medication. Only 5% of pharmacists gave the full instructions regarding the correct handling of the device and using it for taking the correct dose. Around 68% of the pharmacists focused only on how to take the dose. Four percent of the pharmacists provided insufficient information. Around 23% of the pharmacists refused to give any information and referred the shopper to other sources for obtaining the required information. Conclusions: Although most of the pharmacists provided free counseling, the amount and level of information provided were generally insufficient. This illustrates the need for introducing clear policies and guidelines for providing free professional counseling services to patients in the community pharmacy setting in Saudi Arabia.","author":[{"dropping-particle":"","family":"Khojah","given":"Hani M. J.","non-dropping-particle":"","parse-names":false,"suffix":""},{"dropping-particle":"","family":"Abdalla","given":"Ahmed M. E.","non-dropping-particle":"","parse-names":false,"suffix":""}],"container-title":"Pharmacology &amp;amp; Pharmacy","id":"ITEM-1","issue":"04","issued":{"date-parts":[["2019"]]},"page":"169-176","title":"Do Community Pharmacies in Saudi Arabia Provide Medication-Related Information to Nonbuyers? A Mysterious Shopper Survey","type":"article-journal","volume":"10"},"uris":["http://www.mendeley.com/documents/?uuid=e77df062-c143-4153-acf0-be0a2bcba85a"]}],"mendeley":{"formattedCitation":"(Khojah and Abdalla, 2019)","manualFormatting":"Khojah and Abdalla (2019)","plainTextFormattedCitation":"(Khojah and Abdalla, 2019)","previouslyFormattedCitation":"(Khojah and Abdalla, 2019)"},"properties":{"noteIndex":0},"schema":"https://github.com/citation-style-language/schema/raw/master/csl-citation.json"}</w:instrText>
      </w:r>
      <w:r w:rsidRPr="00AB4C90">
        <w:rPr>
          <w:rFonts w:asciiTheme="minorBidi" w:eastAsiaTheme="minorEastAsia" w:hAnsiTheme="minorBidi"/>
          <w:sz w:val="24"/>
          <w:szCs w:val="24"/>
          <w:lang w:eastAsia="en-GB"/>
        </w:rPr>
        <w:fldChar w:fldCharType="separate"/>
      </w:r>
      <w:r w:rsidRPr="00AB4C90">
        <w:rPr>
          <w:rFonts w:asciiTheme="minorBidi" w:eastAsiaTheme="minorEastAsia" w:hAnsiTheme="minorBidi"/>
          <w:noProof/>
          <w:sz w:val="24"/>
          <w:szCs w:val="24"/>
          <w:lang w:eastAsia="en-GB"/>
        </w:rPr>
        <w:t xml:space="preserve">Khojah and Abdalla </w:t>
      </w:r>
      <w:r>
        <w:rPr>
          <w:rFonts w:asciiTheme="minorBidi" w:eastAsiaTheme="minorEastAsia" w:hAnsiTheme="minorBidi"/>
          <w:noProof/>
          <w:sz w:val="24"/>
          <w:szCs w:val="24"/>
          <w:lang w:eastAsia="en-GB"/>
        </w:rPr>
        <w:t>(</w:t>
      </w:r>
      <w:r w:rsidRPr="00AB4C90">
        <w:rPr>
          <w:rFonts w:asciiTheme="minorBidi" w:eastAsiaTheme="minorEastAsia" w:hAnsiTheme="minorBidi"/>
          <w:noProof/>
          <w:sz w:val="24"/>
          <w:szCs w:val="24"/>
          <w:lang w:eastAsia="en-GB"/>
        </w:rPr>
        <w:t>2019)</w:t>
      </w:r>
      <w:r w:rsidRPr="00AB4C90">
        <w:rPr>
          <w:rFonts w:asciiTheme="minorBidi" w:eastAsiaTheme="minorEastAsia" w:hAnsiTheme="minorBidi"/>
          <w:sz w:val="24"/>
          <w:szCs w:val="24"/>
          <w:lang w:eastAsia="en-GB"/>
        </w:rPr>
        <w:fldChar w:fldCharType="end"/>
      </w:r>
      <w:r>
        <w:rPr>
          <w:rFonts w:asciiTheme="minorBidi" w:eastAsiaTheme="minorEastAsia" w:hAnsiTheme="minorBidi"/>
          <w:sz w:val="24"/>
          <w:szCs w:val="24"/>
          <w:lang w:eastAsia="en-GB"/>
        </w:rPr>
        <w:t>,</w:t>
      </w:r>
      <w:r w:rsidRPr="00AB4C90">
        <w:rPr>
          <w:rFonts w:asciiTheme="minorBidi" w:eastAsiaTheme="minorEastAsia" w:hAnsiTheme="minorBidi"/>
          <w:sz w:val="24"/>
          <w:szCs w:val="24"/>
          <w:lang w:eastAsia="en-GB"/>
        </w:rPr>
        <w:t xml:space="preserve"> </w:t>
      </w:r>
      <w:r>
        <w:rPr>
          <w:rFonts w:asciiTheme="minorBidi" w:eastAsiaTheme="minorEastAsia" w:hAnsiTheme="minorBidi"/>
          <w:sz w:val="24"/>
          <w:szCs w:val="24"/>
          <w:lang w:eastAsia="en-GB"/>
        </w:rPr>
        <w:t xml:space="preserve">and </w:t>
      </w:r>
      <w:r w:rsidRPr="00AB4C90">
        <w:rPr>
          <w:rFonts w:asciiTheme="minorBidi" w:eastAsiaTheme="minorEastAsia" w:hAnsiTheme="minorBidi"/>
          <w:sz w:val="24"/>
          <w:szCs w:val="24"/>
          <w:lang w:eastAsia="en-GB"/>
        </w:rPr>
        <w:t xml:space="preserve"> </w:t>
      </w:r>
      <w:r w:rsidRPr="00AB4C90">
        <w:rPr>
          <w:rFonts w:asciiTheme="minorBidi" w:eastAsiaTheme="minorEastAsia" w:hAnsiTheme="minorBidi"/>
          <w:sz w:val="24"/>
          <w:szCs w:val="24"/>
          <w:lang w:eastAsia="en-GB"/>
        </w:rPr>
        <w:fldChar w:fldCharType="begin" w:fldLock="1"/>
      </w:r>
      <w:r>
        <w:rPr>
          <w:rFonts w:asciiTheme="minorBidi" w:eastAsiaTheme="minorEastAsia" w:hAnsiTheme="minorBidi"/>
          <w:sz w:val="24"/>
          <w:szCs w:val="24"/>
          <w:lang w:eastAsia="en-GB"/>
        </w:rPr>
        <w:instrText>ADDIN CSL_CITATION {"citationItems":[{"id":"ITEM-1","itemData":{"author":[{"dropping-particle":"","family":"Rasheed","given":"Muhammad Kamran","non-dropping-particle":"","parse-names":false,"suffix":""},{"dropping-particle":"","family":"Alqasoumi","given":"Abdulmajeed","non-dropping-particle":"","parse-names":false,"suffix":""},{"dropping-particle":"","family":"Hasan","given":"Syed Shahzad","non-dropping-particle":"","parse-names":false,"suffix":""},{"dropping-particle":"","family":"Babar","given":"Zaheer-ud-din","non-dropping-particle":"","parse-names":false,"suffix":""}],"id":"ITEM-1","issued":{"date-parts":[["2020"]]},"page":"1-9","publisher":"Journal of Pharmaceutical Policy and Practice","title":"The community pharmacy practice change towards patient-centered care in Saudi Arabia : a qualitative perspective","type":"article-journal","volume":"7"},"uris":["http://www.mendeley.com/documents/?uuid=c6916272-5071-47b2-91bd-d87e3b0c571e"]}],"mendeley":{"formattedCitation":"(Rasheed &lt;i&gt;et al.&lt;/i&gt;, 2020)","manualFormatting":"Rasheed et al. (2020)","plainTextFormattedCitation":"(Rasheed et al., 2020)","previouslyFormattedCitation":"(Rasheed &lt;i&gt;et al.&lt;/i&gt;, 2020)"},"properties":{"noteIndex":0},"schema":"https://github.com/citation-style-language/schema/raw/master/csl-citation.json"}</w:instrText>
      </w:r>
      <w:r w:rsidRPr="00AB4C90">
        <w:rPr>
          <w:rFonts w:asciiTheme="minorBidi" w:eastAsiaTheme="minorEastAsia" w:hAnsiTheme="minorBidi"/>
          <w:sz w:val="24"/>
          <w:szCs w:val="24"/>
          <w:lang w:eastAsia="en-GB"/>
        </w:rPr>
        <w:fldChar w:fldCharType="separate"/>
      </w:r>
      <w:r w:rsidRPr="00AB4C90">
        <w:rPr>
          <w:rFonts w:asciiTheme="minorBidi" w:eastAsiaTheme="minorEastAsia" w:hAnsiTheme="minorBidi"/>
          <w:noProof/>
          <w:sz w:val="24"/>
          <w:szCs w:val="24"/>
          <w:lang w:eastAsia="en-GB"/>
        </w:rPr>
        <w:t>Rasheed et al. (2020)</w:t>
      </w:r>
      <w:r w:rsidRPr="00AB4C90">
        <w:rPr>
          <w:rFonts w:asciiTheme="minorBidi" w:eastAsiaTheme="minorEastAsia" w:hAnsiTheme="minorBidi"/>
          <w:sz w:val="24"/>
          <w:szCs w:val="24"/>
          <w:lang w:eastAsia="en-GB"/>
        </w:rPr>
        <w:fldChar w:fldCharType="end"/>
      </w:r>
      <w:r>
        <w:rPr>
          <w:rFonts w:asciiTheme="minorBidi" w:eastAsiaTheme="minorEastAsia" w:hAnsiTheme="minorBidi"/>
          <w:sz w:val="24"/>
          <w:szCs w:val="24"/>
          <w:lang w:eastAsia="en-GB"/>
        </w:rPr>
        <w:t>.</w:t>
      </w:r>
      <w:r w:rsidRPr="00AB4C90">
        <w:rPr>
          <w:rFonts w:asciiTheme="minorBidi" w:eastAsiaTheme="minorEastAsia" w:hAnsiTheme="minorBidi"/>
          <w:sz w:val="24"/>
          <w:szCs w:val="24"/>
          <w:lang w:eastAsia="en-GB"/>
        </w:rPr>
        <w:t xml:space="preserve"> </w:t>
      </w:r>
    </w:p>
    <w:p w14:paraId="535D6E5E" w14:textId="60AA50C2" w:rsidR="000B2F68" w:rsidRPr="00E33AFC" w:rsidRDefault="000B2F68" w:rsidP="00E33AFC">
      <w:pPr>
        <w:spacing w:line="360" w:lineRule="auto"/>
        <w:jc w:val="both"/>
        <w:rPr>
          <w:rFonts w:asciiTheme="minorBidi" w:hAnsiTheme="minorBidi"/>
          <w:sz w:val="24"/>
          <w:szCs w:val="24"/>
          <w:shd w:val="clear" w:color="auto" w:fill="FFFFFF"/>
        </w:rPr>
      </w:pPr>
      <w:r w:rsidRPr="001C7F2C">
        <w:rPr>
          <w:rFonts w:asciiTheme="minorBidi" w:eastAsiaTheme="minorEastAsia" w:hAnsiTheme="minorBidi"/>
          <w:sz w:val="24"/>
          <w:szCs w:val="24"/>
          <w:lang w:eastAsia="en-GB"/>
        </w:rPr>
        <w:t xml:space="preserve">Regulation and legislation issues </w:t>
      </w:r>
      <w:r>
        <w:rPr>
          <w:rFonts w:asciiTheme="minorBidi" w:eastAsiaTheme="minorEastAsia" w:hAnsiTheme="minorBidi"/>
          <w:sz w:val="24"/>
          <w:szCs w:val="24"/>
          <w:lang w:eastAsia="en-GB"/>
        </w:rPr>
        <w:t xml:space="preserve">are </w:t>
      </w:r>
      <w:r w:rsidRPr="00A1669C">
        <w:rPr>
          <w:rFonts w:asciiTheme="minorBidi" w:hAnsiTheme="minorBidi"/>
          <w:sz w:val="24"/>
          <w:szCs w:val="24"/>
          <w:shd w:val="clear" w:color="auto" w:fill="FFFFFF"/>
        </w:rPr>
        <w:t>considered one of the biggest challenges for engaging pharmacists in diabetes care.</w:t>
      </w:r>
      <w:r>
        <w:rPr>
          <w:rFonts w:asciiTheme="minorBidi" w:hAnsiTheme="minorBidi"/>
          <w:sz w:val="24"/>
          <w:szCs w:val="24"/>
          <w:shd w:val="clear" w:color="auto" w:fill="FFFFFF"/>
        </w:rPr>
        <w:t xml:space="preserve"> </w:t>
      </w:r>
      <w:r w:rsidRPr="00A1669C">
        <w:rPr>
          <w:rFonts w:asciiTheme="minorBidi" w:hAnsiTheme="minorBidi"/>
          <w:sz w:val="24"/>
          <w:szCs w:val="24"/>
          <w:shd w:val="clear" w:color="auto" w:fill="FFFFFF"/>
        </w:rPr>
        <w:t xml:space="preserve">There was an argument </w:t>
      </w:r>
      <w:r>
        <w:rPr>
          <w:rFonts w:asciiTheme="minorBidi" w:hAnsiTheme="minorBidi"/>
          <w:sz w:val="24"/>
          <w:szCs w:val="24"/>
          <w:shd w:val="clear" w:color="auto" w:fill="FFFFFF"/>
        </w:rPr>
        <w:t xml:space="preserve">by pharmacists’ interviewees </w:t>
      </w:r>
      <w:r w:rsidRPr="00A1669C">
        <w:rPr>
          <w:rFonts w:asciiTheme="minorBidi" w:hAnsiTheme="minorBidi"/>
          <w:sz w:val="24"/>
          <w:szCs w:val="24"/>
          <w:shd w:val="clear" w:color="auto" w:fill="FFFFFF"/>
        </w:rPr>
        <w:t xml:space="preserve">that providing primary care pharmacy services, known in </w:t>
      </w:r>
      <w:r>
        <w:rPr>
          <w:rFonts w:asciiTheme="minorBidi" w:hAnsiTheme="minorBidi"/>
          <w:sz w:val="24"/>
          <w:szCs w:val="24"/>
          <w:shd w:val="clear" w:color="auto" w:fill="FFFFFF"/>
        </w:rPr>
        <w:t>SA</w:t>
      </w:r>
      <w:r w:rsidRPr="00A1669C">
        <w:rPr>
          <w:rFonts w:asciiTheme="minorBidi" w:hAnsiTheme="minorBidi"/>
          <w:sz w:val="24"/>
          <w:szCs w:val="24"/>
          <w:shd w:val="clear" w:color="auto" w:fill="FFFFFF"/>
        </w:rPr>
        <w:t xml:space="preserve"> as ambulatory care pharmacy service</w:t>
      </w:r>
      <w:r>
        <w:rPr>
          <w:rFonts w:asciiTheme="minorBidi" w:hAnsiTheme="minorBidi"/>
          <w:sz w:val="24"/>
          <w:szCs w:val="24"/>
          <w:shd w:val="clear" w:color="auto" w:fill="FFFFFF"/>
        </w:rPr>
        <w:t>s</w:t>
      </w:r>
      <w:r w:rsidRPr="00A1669C">
        <w:rPr>
          <w:rFonts w:asciiTheme="minorBidi" w:hAnsiTheme="minorBidi"/>
          <w:sz w:val="24"/>
          <w:szCs w:val="24"/>
          <w:shd w:val="clear" w:color="auto" w:fill="FFFFFF"/>
        </w:rPr>
        <w:t xml:space="preserve">, needs a pharmacist to be a specialist in this field with a minimum postgraduate </w:t>
      </w:r>
      <w:r>
        <w:rPr>
          <w:rFonts w:asciiTheme="minorBidi" w:hAnsiTheme="minorBidi"/>
          <w:sz w:val="24"/>
          <w:szCs w:val="24"/>
          <w:shd w:val="clear" w:color="auto" w:fill="FFFFFF"/>
        </w:rPr>
        <w:t xml:space="preserve">qualification </w:t>
      </w:r>
      <w:r w:rsidRPr="00A1669C">
        <w:rPr>
          <w:rFonts w:asciiTheme="minorBidi" w:hAnsiTheme="minorBidi"/>
          <w:sz w:val="24"/>
          <w:szCs w:val="24"/>
          <w:shd w:val="clear" w:color="auto" w:fill="FFFFFF"/>
        </w:rPr>
        <w:t>in general clinical pharmacy</w:t>
      </w:r>
      <w:r>
        <w:rPr>
          <w:rFonts w:asciiTheme="minorBidi" w:hAnsiTheme="minorBidi"/>
          <w:sz w:val="24"/>
          <w:szCs w:val="24"/>
          <w:shd w:val="clear" w:color="auto" w:fill="FFFFFF"/>
        </w:rPr>
        <w:t>,</w:t>
      </w:r>
      <w:r w:rsidRPr="00A1669C">
        <w:rPr>
          <w:rFonts w:asciiTheme="minorBidi" w:hAnsiTheme="minorBidi"/>
          <w:sz w:val="24"/>
          <w:szCs w:val="24"/>
          <w:shd w:val="clear" w:color="auto" w:fill="FFFFFF"/>
        </w:rPr>
        <w:t xml:space="preserve"> obtain</w:t>
      </w:r>
      <w:r>
        <w:rPr>
          <w:rFonts w:asciiTheme="minorBidi" w:hAnsiTheme="minorBidi"/>
          <w:sz w:val="24"/>
          <w:szCs w:val="24"/>
          <w:shd w:val="clear" w:color="auto" w:fill="FFFFFF"/>
        </w:rPr>
        <w:t>ed</w:t>
      </w:r>
      <w:r w:rsidRPr="00A1669C">
        <w:rPr>
          <w:rFonts w:asciiTheme="minorBidi" w:hAnsiTheme="minorBidi"/>
          <w:sz w:val="24"/>
          <w:szCs w:val="24"/>
          <w:shd w:val="clear" w:color="auto" w:fill="FFFFFF"/>
        </w:rPr>
        <w:t xml:space="preserve"> through a residency programme </w:t>
      </w:r>
      <w:r>
        <w:rPr>
          <w:rFonts w:asciiTheme="minorBidi" w:hAnsiTheme="minorBidi"/>
          <w:sz w:val="24"/>
          <w:szCs w:val="24"/>
          <w:shd w:val="clear" w:color="auto" w:fill="FFFFFF"/>
        </w:rPr>
        <w:t xml:space="preserve">run </w:t>
      </w:r>
      <w:r w:rsidRPr="00A1669C">
        <w:rPr>
          <w:rFonts w:asciiTheme="minorBidi" w:hAnsiTheme="minorBidi"/>
          <w:sz w:val="24"/>
          <w:szCs w:val="24"/>
          <w:shd w:val="clear" w:color="auto" w:fill="FFFFFF"/>
        </w:rPr>
        <w:t xml:space="preserve">by </w:t>
      </w:r>
      <w:r>
        <w:rPr>
          <w:rFonts w:asciiTheme="minorBidi" w:hAnsiTheme="minorBidi"/>
          <w:sz w:val="24"/>
          <w:szCs w:val="24"/>
          <w:shd w:val="clear" w:color="auto" w:fill="FFFFFF"/>
        </w:rPr>
        <w:t xml:space="preserve">the </w:t>
      </w:r>
      <w:r w:rsidRPr="00A1669C">
        <w:rPr>
          <w:rFonts w:asciiTheme="minorBidi" w:hAnsiTheme="minorBidi"/>
          <w:sz w:val="24"/>
          <w:szCs w:val="24"/>
          <w:shd w:val="clear" w:color="auto" w:fill="FFFFFF"/>
        </w:rPr>
        <w:t xml:space="preserve">Saudi Commission for </w:t>
      </w:r>
      <w:r>
        <w:rPr>
          <w:rFonts w:asciiTheme="minorBidi" w:hAnsiTheme="minorBidi"/>
          <w:sz w:val="24"/>
          <w:szCs w:val="24"/>
          <w:shd w:val="clear" w:color="auto" w:fill="FFFFFF"/>
        </w:rPr>
        <w:t>H</w:t>
      </w:r>
      <w:r w:rsidRPr="00A1669C">
        <w:rPr>
          <w:rFonts w:asciiTheme="minorBidi" w:hAnsiTheme="minorBidi"/>
          <w:sz w:val="24"/>
          <w:szCs w:val="24"/>
          <w:shd w:val="clear" w:color="auto" w:fill="FFFFFF"/>
        </w:rPr>
        <w:t xml:space="preserve">ealth </w:t>
      </w:r>
      <w:r>
        <w:rPr>
          <w:rFonts w:asciiTheme="minorBidi" w:hAnsiTheme="minorBidi"/>
          <w:sz w:val="24"/>
          <w:szCs w:val="24"/>
          <w:shd w:val="clear" w:color="auto" w:fill="FFFFFF"/>
        </w:rPr>
        <w:t>S</w:t>
      </w:r>
      <w:r w:rsidRPr="00A1669C">
        <w:rPr>
          <w:rFonts w:asciiTheme="minorBidi" w:hAnsiTheme="minorBidi"/>
          <w:sz w:val="24"/>
          <w:szCs w:val="24"/>
          <w:shd w:val="clear" w:color="auto" w:fill="FFFFFF"/>
        </w:rPr>
        <w:t>pecialties.</w:t>
      </w:r>
      <w:r>
        <w:rPr>
          <w:rFonts w:asciiTheme="minorBidi" w:hAnsiTheme="minorBidi"/>
          <w:sz w:val="24"/>
          <w:szCs w:val="24"/>
          <w:shd w:val="clear" w:color="auto" w:fill="FFFFFF"/>
        </w:rPr>
        <w:t xml:space="preserve"> </w:t>
      </w:r>
      <w:r w:rsidRPr="008A5E3A">
        <w:rPr>
          <w:rFonts w:asciiTheme="minorBidi" w:hAnsiTheme="minorBidi"/>
          <w:sz w:val="24"/>
          <w:szCs w:val="24"/>
          <w:shd w:val="clear" w:color="auto" w:fill="FFFFFF"/>
        </w:rPr>
        <w:t>This argument is in accord with a recent review on the practice of ambulatory care pharmacy</w:t>
      </w:r>
      <w:r>
        <w:rPr>
          <w:rFonts w:asciiTheme="minorBidi" w:hAnsiTheme="minorBidi"/>
          <w:sz w:val="24"/>
          <w:szCs w:val="24"/>
          <w:shd w:val="clear" w:color="auto" w:fill="FFFFFF"/>
        </w:rPr>
        <w:t xml:space="preserve"> services</w:t>
      </w:r>
      <w:r w:rsidRPr="008A5E3A">
        <w:rPr>
          <w:rFonts w:asciiTheme="minorBidi" w:hAnsiTheme="minorBidi"/>
          <w:sz w:val="24"/>
          <w:szCs w:val="24"/>
          <w:shd w:val="clear" w:color="auto" w:fill="FFFFFF"/>
        </w:rPr>
        <w:t xml:space="preserve"> in </w:t>
      </w:r>
      <w:r>
        <w:rPr>
          <w:rFonts w:asciiTheme="minorBidi" w:hAnsiTheme="minorBidi"/>
          <w:sz w:val="24"/>
          <w:szCs w:val="24"/>
          <w:shd w:val="clear" w:color="auto" w:fill="FFFFFF"/>
        </w:rPr>
        <w:t>SA</w:t>
      </w:r>
      <w:r w:rsidRPr="008A5E3A">
        <w:rPr>
          <w:rFonts w:asciiTheme="minorBidi" w:hAnsiTheme="minorBidi"/>
          <w:sz w:val="24"/>
          <w:szCs w:val="24"/>
          <w:shd w:val="clear" w:color="auto" w:fill="FFFFFF"/>
        </w:rPr>
        <w:t xml:space="preserve"> by Alshaya et al. (2021). In this review, the minimum qualification requirements for pharmacists to provide ambulatory care pharmacy services were proposed by a group of Saudi Society of Clinical Pharmacy experts, including a Saudi diploma in general clinical pharmacy, a Saudi certificate in clinical pharmacy,  Pharm.D (doctor of pharmacy) or equivalent with at least 3 years of experience in ambulatory care pharmacy, or master's degree in clinical pharmacy with at least 12 months of clinical pharmacy training as part of the master's degree program</w:t>
      </w:r>
      <w:r>
        <w:rPr>
          <w:rFonts w:asciiTheme="minorBidi" w:hAnsiTheme="minorBidi"/>
          <w:sz w:val="24"/>
          <w:szCs w:val="24"/>
          <w:shd w:val="clear" w:color="auto" w:fill="FFFFFF"/>
        </w:rPr>
        <w:t>me</w:t>
      </w:r>
      <w:r w:rsidRPr="008A5E3A">
        <w:rPr>
          <w:rFonts w:asciiTheme="minorBidi" w:hAnsiTheme="minorBidi"/>
          <w:sz w:val="24"/>
          <w:szCs w:val="24"/>
          <w:shd w:val="clear" w:color="auto" w:fill="FFFFFF"/>
        </w:rPr>
        <w:t xml:space="preserve">. </w:t>
      </w:r>
      <w:r w:rsidRPr="002C38FB">
        <w:rPr>
          <w:rFonts w:asciiTheme="minorBidi" w:hAnsiTheme="minorBidi"/>
          <w:sz w:val="24"/>
          <w:szCs w:val="24"/>
          <w:shd w:val="clear" w:color="auto" w:fill="FFFFFF"/>
        </w:rPr>
        <w:t>Another</w:t>
      </w:r>
      <w:r>
        <w:rPr>
          <w:rFonts w:asciiTheme="minorBidi" w:hAnsiTheme="minorBidi"/>
          <w:sz w:val="24"/>
          <w:szCs w:val="24"/>
          <w:shd w:val="clear" w:color="auto" w:fill="FFFFFF"/>
        </w:rPr>
        <w:t xml:space="preserve"> recent report supported this finding </w:t>
      </w:r>
      <w:r>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{"citationItems":[{"id":"ITEM-1","itemData":{"DOI":"10.1002/jac5.1602","author":[{"dropping-particle":"","family":"Abdullah","given":"Meshal","non-dropping-particle":"","parse-names":false,"suffix":""},{"dropping-particle":"","family":"Pharm","given":"Alnais B S","non-dropping-particle":"","parse-names":false,"suffix":""},{"dropping-particle":"","family":"Faris","given":"Ali","non-dropping-particle":"","parse-names":false,"suffix":""},{"dropping-particle":"","family":"Pharm","given":"Altebainawi","non-dropping-particle":"","parse-names":false,"suffix":""}],"container-title":"Journal of the American College of Clinical Pharmacy","id":"ITEM-1","issue":"July 2021","issued":{"date-parts":[["2022"]]},"page":"509-515","title":"Implementation of the first pharmacist-led diabetes clinic at Ministry of Health Hospitals , Saudi Arabia","type":"article-journal"},"uris":["http://www.mendeley.com/documents/?uuid=592d6c66-e6f5-41c4-818f-386fbf7e2b9b"]}],"mendeley":{"formattedCitation":"(Abdullah &lt;i&gt;et al.&lt;/i&gt;, 2022)","plainTextFormattedCitation":"(Abdullah et al., 2022)","previouslyFormattedCitation":"(Abdullah &lt;i&gt;et al.&lt;/i&gt;, 2022)"},"properties":{"noteIndex":0},"schema":"https://github.com/citation-style-language/schema/raw/master/csl-citation.json"}</w:instrText>
      </w:r>
      <w:r>
        <w:rPr>
          <w:rFonts w:asciiTheme="minorBidi" w:hAnsiTheme="minorBidi"/>
          <w:sz w:val="24"/>
          <w:szCs w:val="24"/>
          <w:shd w:val="clear" w:color="auto" w:fill="FFFFFF"/>
        </w:rPr>
        <w:fldChar w:fldCharType="separate"/>
      </w:r>
      <w:r w:rsidRPr="00295ECF">
        <w:rPr>
          <w:rFonts w:asciiTheme="minorBidi" w:hAnsiTheme="minorBidi"/>
          <w:noProof/>
          <w:sz w:val="24"/>
          <w:szCs w:val="24"/>
          <w:shd w:val="clear" w:color="auto" w:fill="FFFFFF"/>
        </w:rPr>
        <w:t xml:space="preserve">(Abdullah </w:t>
      </w:r>
      <w:r w:rsidRPr="00E05F93">
        <w:rPr>
          <w:rFonts w:asciiTheme="minorBidi" w:hAnsiTheme="minorBidi"/>
          <w:iCs/>
          <w:noProof/>
          <w:sz w:val="24"/>
          <w:szCs w:val="24"/>
          <w:shd w:val="clear" w:color="auto" w:fill="FFFFFF"/>
        </w:rPr>
        <w:t>et al.</w:t>
      </w:r>
      <w:r w:rsidRPr="00370EAB">
        <w:rPr>
          <w:rFonts w:asciiTheme="minorBidi" w:hAnsiTheme="minorBidi"/>
          <w:iCs/>
          <w:noProof/>
          <w:sz w:val="24"/>
          <w:szCs w:val="24"/>
          <w:shd w:val="clear" w:color="auto" w:fill="FFFFFF"/>
        </w:rPr>
        <w:t xml:space="preserve">, </w:t>
      </w:r>
      <w:r w:rsidRPr="00295ECF">
        <w:rPr>
          <w:rFonts w:asciiTheme="minorBidi" w:hAnsiTheme="minorBidi"/>
          <w:noProof/>
          <w:sz w:val="24"/>
          <w:szCs w:val="24"/>
          <w:shd w:val="clear" w:color="auto" w:fill="FFFFFF"/>
        </w:rPr>
        <w:t>2022)</w:t>
      </w:r>
      <w:r>
        <w:rPr>
          <w:rFonts w:asciiTheme="minorBidi" w:hAnsiTheme="minorBidi"/>
          <w:sz w:val="24"/>
          <w:szCs w:val="24"/>
          <w:shd w:val="clear" w:color="auto" w:fill="FFFFFF"/>
        </w:rPr>
        <w:fldChar w:fldCharType="end"/>
      </w:r>
      <w:r>
        <w:rPr>
          <w:rFonts w:asciiTheme="minorBidi" w:hAnsiTheme="minorBidi"/>
          <w:sz w:val="24"/>
          <w:szCs w:val="24"/>
          <w:shd w:val="clear" w:color="auto" w:fill="FFFFFF"/>
        </w:rPr>
        <w:t xml:space="preserve"> and reflected the same emphasis that </w:t>
      </w:r>
      <w:r w:rsidRPr="00D03E55">
        <w:rPr>
          <w:rFonts w:asciiTheme="minorBidi" w:hAnsiTheme="minorBidi"/>
          <w:sz w:val="24"/>
          <w:szCs w:val="24"/>
          <w:shd w:val="clear" w:color="auto" w:fill="FFFFFF"/>
        </w:rPr>
        <w:t xml:space="preserve">participants in this research </w:t>
      </w:r>
      <w:r>
        <w:rPr>
          <w:rFonts w:asciiTheme="minorBidi" w:hAnsiTheme="minorBidi"/>
          <w:sz w:val="24"/>
          <w:szCs w:val="24"/>
          <w:shd w:val="clear" w:color="auto" w:fill="FFFFFF"/>
        </w:rPr>
        <w:t>demonstrated, namely</w:t>
      </w:r>
      <w:r w:rsidRPr="00D03E55">
        <w:rPr>
          <w:rFonts w:asciiTheme="minorBidi" w:hAnsiTheme="minorBidi"/>
          <w:sz w:val="24"/>
          <w:szCs w:val="24"/>
          <w:shd w:val="clear" w:color="auto" w:fill="FFFFFF"/>
        </w:rPr>
        <w:t xml:space="preserve"> on advanced clinical pharmacy practices such as medication therapy management rather than the essential services</w:t>
      </w:r>
      <w:r>
        <w:rPr>
          <w:rFonts w:asciiTheme="minorBidi" w:hAnsiTheme="minorBidi"/>
          <w:sz w:val="24"/>
          <w:szCs w:val="24"/>
          <w:shd w:val="clear" w:color="auto" w:fill="FFFFFF"/>
        </w:rPr>
        <w:t xml:space="preserve">, </w:t>
      </w:r>
      <w:r w:rsidRPr="00D03E55">
        <w:rPr>
          <w:rFonts w:asciiTheme="minorBidi" w:hAnsiTheme="minorBidi"/>
          <w:sz w:val="24"/>
          <w:szCs w:val="24"/>
          <w:shd w:val="clear" w:color="auto" w:fill="FFFFFF"/>
        </w:rPr>
        <w:t xml:space="preserve"> that a primary care pharmacy should provide, such as those mentioned earlier (medication review, medication consultation, and patient education)</w:t>
      </w:r>
      <w:r>
        <w:rPr>
          <w:rFonts w:asciiTheme="minorBidi" w:hAnsiTheme="minorBidi"/>
          <w:sz w:val="24"/>
          <w:szCs w:val="24"/>
          <w:shd w:val="clear" w:color="auto" w:fill="FFFFFF"/>
        </w:rPr>
        <w:t>,</w:t>
      </w:r>
      <w:r w:rsidRPr="00D03E55">
        <w:rPr>
          <w:rFonts w:asciiTheme="minorBidi" w:hAnsiTheme="minorBidi"/>
          <w:sz w:val="24"/>
          <w:szCs w:val="24"/>
          <w:shd w:val="clear" w:color="auto" w:fill="FFFFFF"/>
        </w:rPr>
        <w:t xml:space="preserve"> in </w:t>
      </w:r>
      <w:r>
        <w:rPr>
          <w:rFonts w:asciiTheme="minorBidi" w:hAnsiTheme="minorBidi"/>
          <w:sz w:val="24"/>
          <w:szCs w:val="24"/>
          <w:shd w:val="clear" w:color="auto" w:fill="FFFFFF"/>
        </w:rPr>
        <w:t xml:space="preserve">which </w:t>
      </w:r>
      <w:r w:rsidRPr="00D03E55">
        <w:rPr>
          <w:rFonts w:asciiTheme="minorBidi" w:hAnsiTheme="minorBidi"/>
          <w:sz w:val="24"/>
          <w:szCs w:val="24"/>
          <w:shd w:val="clear" w:color="auto" w:fill="FFFFFF"/>
        </w:rPr>
        <w:t>this research</w:t>
      </w:r>
      <w:r>
        <w:rPr>
          <w:rFonts w:asciiTheme="minorBidi" w:hAnsiTheme="minorBidi"/>
          <w:sz w:val="24"/>
          <w:szCs w:val="24"/>
          <w:shd w:val="clear" w:color="auto" w:fill="FFFFFF"/>
        </w:rPr>
        <w:t xml:space="preserve"> found</w:t>
      </w:r>
      <w:r w:rsidRPr="00D03E55">
        <w:rPr>
          <w:rFonts w:asciiTheme="minorBidi" w:hAnsiTheme="minorBidi"/>
          <w:sz w:val="24"/>
          <w:szCs w:val="24"/>
          <w:shd w:val="clear" w:color="auto" w:fill="FFFFFF"/>
        </w:rPr>
        <w:t xml:space="preserve"> that </w:t>
      </w:r>
      <w:r>
        <w:rPr>
          <w:rFonts w:asciiTheme="minorBidi" w:hAnsiTheme="minorBidi"/>
          <w:sz w:val="24"/>
          <w:szCs w:val="24"/>
          <w:shd w:val="clear" w:color="auto" w:fill="FFFFFF"/>
        </w:rPr>
        <w:t>PHCs</w:t>
      </w:r>
      <w:r w:rsidRPr="00D03E55">
        <w:rPr>
          <w:rFonts w:asciiTheme="minorBidi" w:hAnsiTheme="minorBidi"/>
          <w:sz w:val="24"/>
          <w:szCs w:val="24"/>
          <w:shd w:val="clear" w:color="auto" w:fill="FFFFFF"/>
        </w:rPr>
        <w:t xml:space="preserve"> ha</w:t>
      </w:r>
      <w:r>
        <w:rPr>
          <w:rFonts w:asciiTheme="minorBidi" w:hAnsiTheme="minorBidi"/>
          <w:sz w:val="24"/>
          <w:szCs w:val="24"/>
          <w:shd w:val="clear" w:color="auto" w:fill="FFFFFF"/>
        </w:rPr>
        <w:t>ve</w:t>
      </w:r>
      <w:r w:rsidRPr="00D03E55">
        <w:rPr>
          <w:rFonts w:asciiTheme="minorBidi" w:hAnsiTheme="minorBidi"/>
          <w:sz w:val="24"/>
          <w:szCs w:val="24"/>
          <w:shd w:val="clear" w:color="auto" w:fill="FFFFFF"/>
        </w:rPr>
        <w:t xml:space="preserve"> gap</w:t>
      </w:r>
      <w:r>
        <w:rPr>
          <w:rFonts w:asciiTheme="minorBidi" w:hAnsiTheme="minorBidi"/>
          <w:sz w:val="24"/>
          <w:szCs w:val="24"/>
          <w:shd w:val="clear" w:color="auto" w:fill="FFFFFF"/>
        </w:rPr>
        <w:t>s</w:t>
      </w:r>
      <w:r w:rsidRPr="00D03E55">
        <w:rPr>
          <w:rFonts w:asciiTheme="minorBidi" w:hAnsiTheme="minorBidi"/>
          <w:sz w:val="24"/>
          <w:szCs w:val="24"/>
          <w:shd w:val="clear" w:color="auto" w:fill="FFFFFF"/>
        </w:rPr>
        <w:t xml:space="preserve"> and deficiencies. Therefore, clinical pharmacy experts have suggested identifying unmet patient care needs that require the participation of primary care pharmacists, focusing on basic primary care pharmacy services and then moving to more specialised ambulatory care pharmacy services</w:t>
      </w:r>
      <w:r w:rsidR="00B57DD7">
        <w:rPr>
          <w:rFonts w:asciiTheme="minorBidi" w:hAnsiTheme="minorBidi"/>
          <w:sz w:val="24"/>
          <w:szCs w:val="24"/>
          <w:shd w:val="clear" w:color="auto" w:fill="FFFFFF"/>
        </w:rPr>
        <w:t xml:space="preserve"> </w:t>
      </w:r>
      <w:r w:rsidR="007275B3">
        <w:rPr>
          <w:rFonts w:asciiTheme="minorBidi" w:hAnsiTheme="minorBidi"/>
          <w:sz w:val="24"/>
          <w:szCs w:val="24"/>
          <w:shd w:val="clear" w:color="auto" w:fill="FFFFFF"/>
        </w:rPr>
        <w:fldChar w:fldCharType="begin" w:fldLock="1"/>
      </w:r>
      <w:r w:rsidR="007275B3">
        <w:rPr>
          <w:rFonts w:asciiTheme="minorBidi" w:hAnsiTheme="minorBidi"/>
          <w:sz w:val="24"/>
          <w:szCs w:val="24"/>
          <w:shd w:val="clear" w:color="auto" w:fill="FFFFFF"/>
        </w:rPr>
        <w:instrText>ADDIN CSL_CITATION {"citationItems":[{"id":"ITEM-1","itemData":{"DOI":"10.1002/jac5.1577","author":[{"dropping-particle":"","family":"Alshaya","given":"Omar A","non-dropping-particle":"","parse-names":false,"suffix":""},{"dropping-particle":"","family":"Osama","given":"Omaima","non-dropping-particle":"","parse-names":false,"suffix":""},{"dropping-particle":"","family":"Pharm","given":"Arab","non-dropping-particle":"","parse-names":false,"suffix":""},{"dropping-particle":"","family":"Alhifany","given":"Abdullah A","non-dropping-particle":"","parse-names":false,"suffix":""},{"dropping-particle":"","family":"Abdulaziz","given":"Pharm D","non-dropping-particle":"","parse-names":false,"suffix":""},{"dropping-particle":"","family":"Pharm","given":"Alhossan","non-dropping-particle":"","parse-names":false,"suffix":""},{"dropping-particle":"","family":"Alomar","given":"Mukhtar","non-dropping-particle":"","parse-names":false,"suffix":""},{"dropping-particle":"","family":"Abdulaziz","given":"Pharm D","non-dropping-particle":"","parse-names":false,"suffix":""},{"dropping-particle":"","family":"Pharm","given":"G Alqahtani","non-dropping-particle":"","parse-names":false,"suffix":""},{"dropping-particle":"","family":"Almolaiki","given":"Maha A","non-dropping-particle":"","parse-names":false,"suffix":""},{"dropping-particle":"","family":"Sultan","given":"Pharm D","non-dropping-particle":"","parse-names":false,"suffix":""},{"dropping-particle":"","family":"Bscpharm","given":"Mubarki","non-dropping-particle":"","parse-names":false,"suffix":""},{"dropping-particle":"","family":"Alruwaisan","given":"Rana","non-drop</w:instrText>
      </w:r>
      <w:r w:rsidR="007275B3" w:rsidRPr="00876389">
        <w:rPr>
          <w:rFonts w:asciiTheme="minorBidi" w:hAnsiTheme="minorBidi"/>
          <w:sz w:val="24"/>
          <w:szCs w:val="24"/>
          <w:shd w:val="clear" w:color="auto" w:fill="FFFFFF"/>
        </w:rPr>
        <w:instrText>ping-particle":"","parse-names":false,"suffix":""},{"dropping-particle":"","family":"Abdulrahman","given":"Pharm D","non-dropping-particle":"","parse-names":false,"suffix":""},{"dropping-particle":"","family":"Bscpharm","given":"Alturaiki","non-dropping-particle":"","parse-names":false,"suffix":""},{"dropping-particle":"","family":"Alzuman","given":"Sitah","non-dropping-particle":"","parse-names":false,"suffix":""},{"dropping-particle":"","family":"Ahmed","given":"Bscpharm","non-dropping-particle":"","parse-names":false,"suffix":""},{"dropping-particle":"","family":"Alsaqer","given":"Ibrahim","non-dropping-particle":"","parse-names":false,"suffix":""},{"dropping-particle":"","family":"D","given":"Ghazwa B Korayem Pharm","non-dropping-particle":"","parse-names":false,"suffix":""}],"container-title":"Journal of the American College of Clinical Pharmacy","id":"ITEM-1","issue":"October 2021","issued":{"date-parts":[["2021"]]},"page":"332-341","title":"Ambulatory care pharmacy in Saudi Arabia ; definition , history , present , future potentials , and expected challenges","type":"article-journal"},"uris":["http://www.mendeley.com/documents/?uuid=b56e313e-724e-49a9-96fd-ca50aa6b852e"]}],"mendeley":{"formattedCitation":"(Alshaya &lt;i&gt;et al.&lt;/i&gt;, 2021)","plainTextFormattedCitation":"(Alshaya et al., 2021)","previouslyFormattedCitation":"(Alshaya &lt;i&gt;et al.&lt;/i&gt;, 2021)"},"properties":{"noteIndex":0},"schema":"https://github.com/citation-style-language/schema/raw/master/csl-citation.json"}</w:instrText>
      </w:r>
      <w:r w:rsidR="007275B3">
        <w:rPr>
          <w:rFonts w:asciiTheme="minorBidi" w:hAnsiTheme="minorBidi"/>
          <w:sz w:val="24"/>
          <w:szCs w:val="24"/>
          <w:shd w:val="clear" w:color="auto" w:fill="FFFFFF"/>
        </w:rPr>
        <w:fldChar w:fldCharType="separate"/>
      </w:r>
      <w:r w:rsidR="007275B3" w:rsidRPr="00876389">
        <w:rPr>
          <w:rFonts w:asciiTheme="minorBidi" w:hAnsiTheme="minorBidi"/>
          <w:noProof/>
          <w:sz w:val="24"/>
          <w:szCs w:val="24"/>
          <w:shd w:val="clear" w:color="auto" w:fill="FFFFFF"/>
        </w:rPr>
        <w:t xml:space="preserve">(Alshaya </w:t>
      </w:r>
      <w:r w:rsidR="007275B3" w:rsidRPr="00876389">
        <w:rPr>
          <w:rFonts w:asciiTheme="minorBidi" w:hAnsiTheme="minorBidi"/>
          <w:i/>
          <w:noProof/>
          <w:sz w:val="24"/>
          <w:szCs w:val="24"/>
          <w:shd w:val="clear" w:color="auto" w:fill="FFFFFF"/>
        </w:rPr>
        <w:t>et al.</w:t>
      </w:r>
      <w:r w:rsidR="007275B3" w:rsidRPr="00876389">
        <w:rPr>
          <w:rFonts w:asciiTheme="minorBidi" w:hAnsiTheme="minorBidi"/>
          <w:noProof/>
          <w:sz w:val="24"/>
          <w:szCs w:val="24"/>
          <w:shd w:val="clear" w:color="auto" w:fill="FFFFFF"/>
        </w:rPr>
        <w:t>, 2021)</w:t>
      </w:r>
      <w:r w:rsidR="007275B3">
        <w:rPr>
          <w:rFonts w:asciiTheme="minorBidi" w:hAnsiTheme="minorBidi"/>
          <w:sz w:val="24"/>
          <w:szCs w:val="24"/>
          <w:shd w:val="clear" w:color="auto" w:fill="FFFFFF"/>
        </w:rPr>
        <w:fldChar w:fldCharType="end"/>
      </w:r>
      <w:r w:rsidR="007275B3" w:rsidRPr="00876389">
        <w:rPr>
          <w:rFonts w:asciiTheme="minorBidi" w:hAnsiTheme="minorBidi"/>
          <w:sz w:val="24"/>
          <w:szCs w:val="24"/>
          <w:shd w:val="clear" w:color="auto" w:fill="FFFFFF"/>
        </w:rPr>
        <w:t>.</w:t>
      </w:r>
      <w:r w:rsidR="00E33AFC">
        <w:rPr>
          <w:rFonts w:asciiTheme="minorBidi" w:hAnsiTheme="minorBidi"/>
          <w:sz w:val="24"/>
          <w:szCs w:val="24"/>
          <w:shd w:val="clear" w:color="auto" w:fill="FFFFFF"/>
        </w:rPr>
        <w:t xml:space="preserve"> </w:t>
      </w:r>
    </w:p>
    <w:p w14:paraId="75EF9698" w14:textId="4F30695C" w:rsidR="000B2F68" w:rsidRPr="0043510B" w:rsidRDefault="000B2F68" w:rsidP="0042722B">
      <w:pPr>
        <w:spacing w:line="360" w:lineRule="auto"/>
        <w:jc w:val="both"/>
        <w:rPr>
          <w:rFonts w:ascii="Arial" w:hAnsi="Arial" w:cs="Arial"/>
          <w:sz w:val="24"/>
          <w:szCs w:val="24"/>
          <w:lang w:val="en"/>
        </w:rPr>
      </w:pPr>
      <w:r w:rsidRPr="00DC38E0">
        <w:rPr>
          <w:rFonts w:asciiTheme="minorBidi" w:hAnsiTheme="minorBidi"/>
          <w:sz w:val="24"/>
          <w:szCs w:val="24"/>
          <w:shd w:val="clear" w:color="auto" w:fill="FFFFFF"/>
        </w:rPr>
        <w:t>Lack of education and training for pharmacists is another major challenge revealed, as this presents a barrier for pharmacists who wish to raise their qualifications in order to meet the requirements of providing primary/ambulatory pharmacy services.</w:t>
      </w:r>
      <w:r>
        <w:rPr>
          <w:rFonts w:asciiTheme="minorBidi" w:hAnsiTheme="minorBidi"/>
          <w:sz w:val="24"/>
          <w:szCs w:val="24"/>
          <w:shd w:val="clear" w:color="auto" w:fill="FFFFFF"/>
        </w:rPr>
        <w:t xml:space="preserve"> </w:t>
      </w:r>
      <w:r w:rsidRPr="005E25D9">
        <w:rPr>
          <w:rFonts w:asciiTheme="minorBidi" w:hAnsiTheme="minorBidi"/>
          <w:sz w:val="24"/>
          <w:szCs w:val="24"/>
          <w:shd w:val="clear" w:color="auto" w:fill="FFFFFF"/>
        </w:rPr>
        <w:t xml:space="preserve">These  findings are supported by </w:t>
      </w:r>
      <w:r w:rsidR="00E06855" w:rsidRPr="005E25D9">
        <w:rPr>
          <w:rFonts w:asciiTheme="minorBidi" w:hAnsiTheme="minorBidi"/>
          <w:sz w:val="24"/>
          <w:szCs w:val="24"/>
          <w:shd w:val="clear" w:color="auto" w:fill="FFFFFF"/>
        </w:rPr>
        <w:fldChar w:fldCharType="begin" w:fldLock="1"/>
      </w:r>
      <w:r w:rsidR="00E06855" w:rsidRPr="005E25D9">
        <w:rPr>
          <w:rFonts w:asciiTheme="minorBidi" w:hAnsiTheme="minorBidi"/>
          <w:sz w:val="24"/>
          <w:szCs w:val="24"/>
          <w:shd w:val="clear" w:color="auto" w:fill="FFFFFF"/>
        </w:rPr>
        <w:instrText>ADDIN CSL_CITATION {"citationItems":[{"id":"ITEM-1","itemData":{"DOI":"10.1177/2050312115594816","ISBN":"2050312115594","ISSN":"2050-3121","abstract":"OBJECTIVES: The shortage of clinical pharmacists in Saudi Arabia has limited the full implementation of pharmaceutical care in most of its hospitals. The National Guard Health Affairs hospitals. This work discussed the Department of Pharmaceutical Care, and the King Saud Bin Abdulaziz University for Health Sciences College of Pharmacy four initiatives that were planned in 2009-2010 to develop and recruit clinical pharmacists, practitioners, or faculty., METHODS: The combined initiatives were aimed at (1) instituting a 4-year clinical skills development career ladder, (2) expanding the National Guard Health Affairs postgraduate residency program, (3) offering scholarships to qualified pharmacy graduates to pursue the PharmD degree and a PGY-1 residency training in the United States, and (4) recruiting non-Saudi clinical pharmacists educated and trained in the United States to ameliorate the current shortage of practitioner., RESULTS: The current number of clinical pharmacists practicing at the National Guard Health Affairs at central region is 24, most of whom are Board Certified by the American Pharmacists Association Board of Pharmacy Specialties., CONCLUSIONS: The four initiatives, based on current trends, suggest that 60-65 positions will be added by 2017-2018, barring attrition. Saudi Arabia and many developing countries will continue to experience a shortage in clinical pharmacists due to the high demand for clinical pharmacy services. A multifaceted approach is recommended to address the problem.","author":[{"dropping-particle":"","family":"Albekairy","given":"Abdulkareem M","non-dropping-particle":"","parse-names":false,"suffix":""},{"dropping-particle":"","family":"Khalidi","given":"Nabil","non-dropping-particle":"","parse-names":false,"suffix":""},{"dropping-particle":"","family":"Alkatheri","given":"Abdulmalik M","non-dropping-particle":"","parse-names":false,"suffix":""},{"dropping-particle":"","family":"Althiab","given":"Khalifa","non-dropping-particle":"","parse-names":false,"suffix":""},{"dropping-particle":"","family":"Alharbi","given":"Shmeylan","non-dropping-particle":"","parse-names":false,"suffix":""},{"dropping-particle":"","family":"Aldekhael","given":"Saleh","non-dropping-particle":"","parse-names":false,"suffix":""},{"dropping-particle":"","family":"Qandil","given":"Amjad M","non-dropping-particle":"","parse-names":false,"suffix":""},{"dropping-particle":"","family":"Alknawy","given":"Bandar","non-dropping-particle":"","parse-names":false,"suffix":""}],"container-title":"SAGE Open Medicine","id":"ITEM-1","issued":{"date-parts":[["2015"]]},"page":"205031211559481","title":"Strategic initiatives to maintain pharmaceutical care and clinical pharmacists sufficiency in Saudi Arabia","type":"article-journal","volume":"3"},"uris":["http://www.mendeley.com/documents/?uuid=0e5c6ac0-4959-46d8-9272-a98ab1d155c1"]}],"mendeley":{"formattedCitation":"(Albekairy &lt;i&gt;et al.&lt;/i&gt;, 2015)","manualFormatting":"Albekairy et al., (2015","plainTextFormattedCitation":"(Albekairy et al., 2015)","previouslyFormattedCitation":"(Albekairy &lt;i&gt;et al.&lt;/i&gt;, 2015)"},"properties":{"noteIndex":0},"schema":"https://github.com/citation-style-language/schema/raw/master/csl-citation.json"}</w:instrText>
      </w:r>
      <w:r w:rsidR="00E06855" w:rsidRPr="005E25D9">
        <w:rPr>
          <w:rFonts w:asciiTheme="minorBidi" w:hAnsiTheme="minorBidi"/>
          <w:sz w:val="24"/>
          <w:szCs w:val="24"/>
          <w:shd w:val="clear" w:color="auto" w:fill="FFFFFF"/>
        </w:rPr>
        <w:fldChar w:fldCharType="separate"/>
      </w:r>
      <w:r w:rsidR="00E06855" w:rsidRPr="005E25D9">
        <w:rPr>
          <w:rFonts w:asciiTheme="minorBidi" w:hAnsiTheme="minorBidi"/>
          <w:noProof/>
          <w:sz w:val="24"/>
          <w:szCs w:val="24"/>
          <w:shd w:val="clear" w:color="auto" w:fill="FFFFFF"/>
        </w:rPr>
        <w:t>Albekairy et al., (2015</w:t>
      </w:r>
      <w:r w:rsidR="00E06855" w:rsidRPr="005E25D9">
        <w:rPr>
          <w:rFonts w:asciiTheme="minorBidi" w:hAnsiTheme="minorBidi"/>
          <w:sz w:val="24"/>
          <w:szCs w:val="24"/>
          <w:shd w:val="clear" w:color="auto" w:fill="FFFFFF"/>
        </w:rPr>
        <w:fldChar w:fldCharType="end"/>
      </w:r>
      <w:r w:rsidR="00E06855" w:rsidRPr="005E25D9">
        <w:rPr>
          <w:rFonts w:asciiTheme="minorBidi" w:hAnsiTheme="minorBidi"/>
          <w:sz w:val="24"/>
          <w:szCs w:val="24"/>
          <w:shd w:val="clear" w:color="auto" w:fill="FFFFFF"/>
        </w:rPr>
        <w:t>)</w:t>
      </w:r>
      <w:r w:rsidR="00E06855">
        <w:rPr>
          <w:rFonts w:asciiTheme="minorBidi" w:hAnsiTheme="minorBidi"/>
          <w:sz w:val="24"/>
          <w:szCs w:val="24"/>
          <w:shd w:val="clear" w:color="auto" w:fill="FFFFFF"/>
        </w:rPr>
        <w:t xml:space="preserve"> </w:t>
      </w:r>
      <w:r w:rsidRPr="005E25D9">
        <w:rPr>
          <w:rFonts w:asciiTheme="minorBidi" w:hAnsiTheme="minorBidi"/>
          <w:sz w:val="24"/>
          <w:szCs w:val="24"/>
          <w:shd w:val="clear" w:color="auto" w:fill="FFFFFF"/>
        </w:rPr>
        <w:t>who reported that SA has experienced a serious shortage of clinical pharmacists and this has affected the provision of full pharmaceutical care services. This shortages due to the presence of a small number of pharmacy colleges with limited clinical training, which resulted in these colleges being unable to produce sufficient clinical pharmacists who can carry on pharmaceutical care</w:t>
      </w:r>
      <w:r w:rsidRPr="00740166">
        <w:rPr>
          <w:rFonts w:ascii="Arial" w:hAnsi="Arial" w:cs="Arial"/>
          <w:color w:val="2F5496" w:themeColor="accent1" w:themeShade="BF"/>
          <w:sz w:val="24"/>
          <w:szCs w:val="24"/>
          <w:lang w:val="en-GB"/>
        </w:rPr>
        <w:t xml:space="preserve"> </w:t>
      </w:r>
      <w:r w:rsidRPr="0043510B">
        <w:rPr>
          <w:rFonts w:ascii="Arial" w:hAnsi="Arial" w:cs="Arial"/>
          <w:sz w:val="24"/>
          <w:szCs w:val="24"/>
          <w:lang w:val="en"/>
        </w:rPr>
        <w:fldChar w:fldCharType="begin" w:fldLock="1"/>
      </w:r>
      <w:r w:rsidRPr="0043510B">
        <w:rPr>
          <w:rFonts w:ascii="Arial" w:hAnsi="Arial" w:cs="Arial"/>
          <w:sz w:val="24"/>
          <w:szCs w:val="24"/>
          <w:lang w:val="en"/>
        </w:rPr>
        <w:instrText>ADDIN CSL_CITATION {"citationItems":[{"id":"ITEM-1","itemData":{"DOI":"10.1177/2050312115594816","ISBN":"2050312115594","ISSN":"2050-3121","abstract":"OBJECTIVES: The shortage of clinical pharmacists in Saudi Arabia has limited the full implementation of pharmaceutical care in most of its hospitals. The National Guard Health Affairs hospitals. This work discussed the Department of Pharmaceutical Care, and the King Saud Bin Abdulaziz University for Health Sciences College of Pharmacy four initiatives that were planned in 2009-2010 to develop and recruit clinical pharmacists, practitioners, or faculty., METHODS: The combined initiatives were aimed at (1) instituting a 4-year clinical skills development career ladder, (2) expanding the National Guard Health Affairs postgraduate residency program, (3) offering scholarships to qualified pharmacy graduates to pursue the PharmD degree and a PGY-1 residency training in the United States, and (4) recruiting non-Saudi clinical pharmacists educated and trained in the United States to ameliorate the current shortage of practitioner., RESULTS: The current number of clinical pharmacists practicing at the National Guard Health Affairs at central region is 24, most of whom are Board Certified by the American Pharmacists Association Board of Pharmacy Specialties., CONCLUSIONS: The four initiatives, based on current trends, suggest that 60-65 positions will be added by 2017-2018, barring attrition. Saudi Arabia and many developing countries will continue to experience a shortage in clinical pharmacists due to the high demand for clinical pharmacy services. A multifaceted approach is recommended to address the problem.","author":[{"dropping-particle":"","family":"Albekairy","given":"Abdulkareem M","non-dropping-particle":"","parse-names":false,"suffix":""},{"dropping-particle":"","family":"Khalidi","given":"Nabil","non-dropping-particle":"","parse-names":false,"suffix":""},{"dropping-particle":"","family":"Alkatheri","given":"Abdulmalik M","non-dropping-particle":"","parse-names":false,"suffix":""},{"dropping-particle":"","family":"Althiab","given":"Khalifa","non-dropping-particle":"","parse-names":false,"suffix":""},{"dropping-particle":"","family":"Alharbi","given":"Shmeylan","non-dropping-particle":"","parse-names":false,"suffix":""},{"dropping-particle":"","family":"Aldekhael","given":"Saleh","non-dropping-particle":"","parse-names":false,"suffix":""},{"dropping-particle":"","family":"Qandil","given":"Amjad M","non-dropping-particle":"","parse-names":false,"suffix":""},{"dropping-particle":"","family":"Alknawy","given":"Bandar","non-dropping-particle":"","parse-names":false,"suffix":""}],"container-title":"SAGE Open Medicine","id":"ITEM-1","issued":{"date-parts":[["2015"]]},"page":"205031211559481","title":"Strategic initiatives to maintain pharmaceutical care and clinical pharmacists sufficiency in Saudi Arabia","type":"article-journal","volume":"3"},"uris":["http://www.mendeley.com/documents/?uuid=0e5c6ac0-4959-46d8-9272-a98ab1d155c1"]}],"mendeley":{"formattedCitation":"(Albekairy &lt;i&gt;et al.&lt;/i&gt;, 2015)","plainTextFormattedCitation":"(Albekairy et al., 2015)","previouslyFormattedCitation":"(Albekairy &lt;i&gt;et al.&lt;/i&gt;, 2015)"},"properties":{"noteIndex":0},"schema":"https://github.com/citation-style-language/schema/raw/master/csl-citation.json"}</w:instrText>
      </w:r>
      <w:r w:rsidRPr="0043510B">
        <w:rPr>
          <w:rFonts w:ascii="Arial" w:hAnsi="Arial" w:cs="Arial"/>
          <w:sz w:val="24"/>
          <w:szCs w:val="24"/>
          <w:lang w:val="en"/>
        </w:rPr>
        <w:fldChar w:fldCharType="separate"/>
      </w:r>
      <w:r w:rsidRPr="0043510B">
        <w:rPr>
          <w:rFonts w:ascii="Arial" w:hAnsi="Arial" w:cs="Arial"/>
          <w:noProof/>
          <w:sz w:val="24"/>
          <w:szCs w:val="24"/>
          <w:lang w:val="en"/>
        </w:rPr>
        <w:t xml:space="preserve">(Albekairy </w:t>
      </w:r>
      <w:r w:rsidRPr="0043510B">
        <w:rPr>
          <w:rFonts w:ascii="Arial" w:hAnsi="Arial" w:cs="Arial"/>
          <w:i/>
          <w:noProof/>
          <w:sz w:val="24"/>
          <w:szCs w:val="24"/>
          <w:lang w:val="en"/>
        </w:rPr>
        <w:t>et al.</w:t>
      </w:r>
      <w:r w:rsidRPr="0043510B">
        <w:rPr>
          <w:rFonts w:ascii="Arial" w:hAnsi="Arial" w:cs="Arial"/>
          <w:noProof/>
          <w:sz w:val="24"/>
          <w:szCs w:val="24"/>
          <w:lang w:val="en"/>
        </w:rPr>
        <w:t>, 2015)</w:t>
      </w:r>
      <w:r w:rsidRPr="0043510B">
        <w:rPr>
          <w:rFonts w:ascii="Arial" w:hAnsi="Arial" w:cs="Arial"/>
          <w:sz w:val="24"/>
          <w:szCs w:val="24"/>
          <w:lang w:val="en"/>
        </w:rPr>
        <w:fldChar w:fldCharType="end"/>
      </w:r>
      <w:r w:rsidR="00122A97" w:rsidRPr="0043510B">
        <w:rPr>
          <w:rFonts w:ascii="Arial" w:hAnsi="Arial" w:cs="Arial"/>
          <w:sz w:val="24"/>
          <w:szCs w:val="24"/>
          <w:lang w:val="en"/>
        </w:rPr>
        <w:t xml:space="preserve">. Inadequate clinical experience as the main barrier to providing clinical pharmacy services was also reported by Xiao et al. (2023). Pharmacists' need for clinical training was also reported in both studies by Al-Taweel et al. (2014) and Al Haqan et al. (2017).  </w:t>
      </w:r>
    </w:p>
    <w:p w14:paraId="03713AEF" w14:textId="77777777" w:rsidR="000B2F68" w:rsidRPr="00E55009" w:rsidRDefault="000B2F68" w:rsidP="000B2F68">
      <w:pPr>
        <w:spacing w:line="360" w:lineRule="auto"/>
        <w:jc w:val="both"/>
        <w:rPr>
          <w:rFonts w:asciiTheme="minorBidi" w:hAnsiTheme="minorBidi"/>
          <w:sz w:val="24"/>
          <w:szCs w:val="24"/>
          <w:shd w:val="clear" w:color="auto" w:fill="FFFFFF"/>
        </w:rPr>
      </w:pPr>
      <w:r w:rsidRPr="00395EF4">
        <w:rPr>
          <w:rFonts w:asciiTheme="minorBidi" w:hAnsiTheme="minorBidi"/>
          <w:sz w:val="24"/>
          <w:szCs w:val="24"/>
          <w:shd w:val="clear" w:color="auto" w:fill="FFFFFF"/>
        </w:rPr>
        <w:t xml:space="preserve">It could be argued that performing the general clinical pharmacist's role as an educator for patients as well as for </w:t>
      </w:r>
      <w:r>
        <w:rPr>
          <w:rFonts w:asciiTheme="minorBidi" w:hAnsiTheme="minorBidi"/>
          <w:sz w:val="24"/>
          <w:szCs w:val="24"/>
          <w:shd w:val="clear" w:color="auto" w:fill="FFFFFF"/>
        </w:rPr>
        <w:t>HCPs</w:t>
      </w:r>
      <w:r w:rsidRPr="00395EF4">
        <w:rPr>
          <w:rFonts w:asciiTheme="minorBidi" w:hAnsiTheme="minorBidi"/>
          <w:sz w:val="24"/>
          <w:szCs w:val="24"/>
          <w:shd w:val="clear" w:color="auto" w:fill="FFFFFF"/>
        </w:rPr>
        <w:t xml:space="preserve"> and conducting medication reviews does not require </w:t>
      </w:r>
      <w:r>
        <w:rPr>
          <w:rFonts w:asciiTheme="minorBidi" w:hAnsiTheme="minorBidi"/>
          <w:sz w:val="24"/>
          <w:szCs w:val="24"/>
          <w:shd w:val="clear" w:color="auto" w:fill="FFFFFF"/>
        </w:rPr>
        <w:t xml:space="preserve">a </w:t>
      </w:r>
      <w:r w:rsidRPr="00395EF4">
        <w:rPr>
          <w:rFonts w:asciiTheme="minorBidi" w:hAnsiTheme="minorBidi"/>
          <w:sz w:val="24"/>
          <w:szCs w:val="24"/>
          <w:shd w:val="clear" w:color="auto" w:fill="FFFFFF"/>
        </w:rPr>
        <w:t>high</w:t>
      </w:r>
      <w:r>
        <w:rPr>
          <w:rFonts w:asciiTheme="minorBidi" w:hAnsiTheme="minorBidi"/>
          <w:sz w:val="24"/>
          <w:szCs w:val="24"/>
          <w:shd w:val="clear" w:color="auto" w:fill="FFFFFF"/>
        </w:rPr>
        <w:t>er</w:t>
      </w:r>
      <w:r w:rsidRPr="00395EF4">
        <w:rPr>
          <w:rFonts w:asciiTheme="minorBidi" w:hAnsiTheme="minorBidi"/>
          <w:sz w:val="24"/>
          <w:szCs w:val="24"/>
          <w:shd w:val="clear" w:color="auto" w:fill="FFFFFF"/>
        </w:rPr>
        <w:t xml:space="preserve"> academic degree. </w:t>
      </w:r>
      <w:r w:rsidRPr="008B3EFB">
        <w:rPr>
          <w:rFonts w:asciiTheme="minorBidi" w:hAnsiTheme="minorBidi"/>
          <w:sz w:val="24"/>
          <w:szCs w:val="24"/>
          <w:shd w:val="clear" w:color="auto" w:fill="FFFFFF"/>
        </w:rPr>
        <w:t xml:space="preserve">This was also supported by the </w:t>
      </w:r>
      <w:r>
        <w:rPr>
          <w:rFonts w:asciiTheme="minorBidi" w:hAnsiTheme="minorBidi"/>
          <w:sz w:val="24"/>
          <w:szCs w:val="24"/>
          <w:shd w:val="clear" w:color="auto" w:fill="FFFFFF"/>
        </w:rPr>
        <w:t xml:space="preserve">view expressed by HCPs in this research that </w:t>
      </w:r>
      <w:r w:rsidRPr="008B3EFB">
        <w:rPr>
          <w:rFonts w:asciiTheme="minorBidi" w:hAnsiTheme="minorBidi"/>
          <w:sz w:val="24"/>
          <w:szCs w:val="24"/>
          <w:shd w:val="clear" w:color="auto" w:fill="FFFFFF"/>
        </w:rPr>
        <w:t xml:space="preserve">any licensed pharmacist has the knowledge and competence to offer them. </w:t>
      </w:r>
      <w:r w:rsidRPr="00395EF4">
        <w:rPr>
          <w:rFonts w:asciiTheme="minorBidi" w:hAnsiTheme="minorBidi"/>
          <w:sz w:val="24"/>
          <w:szCs w:val="24"/>
          <w:shd w:val="clear" w:color="auto" w:fill="FFFFFF"/>
        </w:rPr>
        <w:t xml:space="preserve">A number of </w:t>
      </w:r>
      <w:r>
        <w:rPr>
          <w:rFonts w:asciiTheme="minorBidi" w:hAnsiTheme="minorBidi"/>
          <w:sz w:val="24"/>
          <w:szCs w:val="24"/>
          <w:shd w:val="clear" w:color="auto" w:fill="FFFFFF"/>
        </w:rPr>
        <w:t xml:space="preserve">the </w:t>
      </w:r>
      <w:r w:rsidRPr="00395EF4">
        <w:rPr>
          <w:rFonts w:asciiTheme="minorBidi" w:hAnsiTheme="minorBidi"/>
          <w:sz w:val="24"/>
          <w:szCs w:val="24"/>
          <w:shd w:val="clear" w:color="auto" w:fill="FFFFFF"/>
        </w:rPr>
        <w:t>pharmacists who have worked in PHCs have more than ten years of experience in patient care</w:t>
      </w:r>
      <w:r>
        <w:rPr>
          <w:rFonts w:asciiTheme="minorBidi" w:hAnsiTheme="minorBidi"/>
          <w:sz w:val="24"/>
          <w:szCs w:val="24"/>
          <w:shd w:val="clear" w:color="auto" w:fill="FFFFFF"/>
        </w:rPr>
        <w:t xml:space="preserve">; they </w:t>
      </w:r>
      <w:r w:rsidRPr="00395EF4">
        <w:rPr>
          <w:rFonts w:asciiTheme="minorBidi" w:hAnsiTheme="minorBidi"/>
          <w:sz w:val="24"/>
          <w:szCs w:val="24"/>
          <w:shd w:val="clear" w:color="auto" w:fill="FFFFFF"/>
        </w:rPr>
        <w:t xml:space="preserve">have the desire and enthusiasm to participate in diabetes care, as evidenced by the results of the two phases of this research. </w:t>
      </w:r>
      <w:r>
        <w:rPr>
          <w:rFonts w:asciiTheme="minorBidi" w:hAnsiTheme="minorBidi"/>
          <w:sz w:val="24"/>
          <w:szCs w:val="24"/>
          <w:shd w:val="clear" w:color="auto" w:fill="FFFFFF"/>
        </w:rPr>
        <w:t>In addition, t</w:t>
      </w:r>
      <w:r w:rsidRPr="00395EF4">
        <w:rPr>
          <w:rFonts w:asciiTheme="minorBidi" w:hAnsiTheme="minorBidi"/>
          <w:sz w:val="24"/>
          <w:szCs w:val="24"/>
          <w:shd w:val="clear" w:color="auto" w:fill="FFFFFF"/>
        </w:rPr>
        <w:t xml:space="preserve">hey are proactive in providing diabetes services even though there </w:t>
      </w:r>
      <w:r>
        <w:rPr>
          <w:rFonts w:asciiTheme="minorBidi" w:hAnsiTheme="minorBidi"/>
          <w:sz w:val="24"/>
          <w:szCs w:val="24"/>
          <w:shd w:val="clear" w:color="auto" w:fill="FFFFFF"/>
        </w:rPr>
        <w:t>i</w:t>
      </w:r>
      <w:r w:rsidRPr="00395EF4">
        <w:rPr>
          <w:rFonts w:asciiTheme="minorBidi" w:hAnsiTheme="minorBidi"/>
          <w:sz w:val="24"/>
          <w:szCs w:val="24"/>
          <w:shd w:val="clear" w:color="auto" w:fill="FFFFFF"/>
        </w:rPr>
        <w:t xml:space="preserve">s no clear policy obligating them to do so. </w:t>
      </w:r>
      <w:r>
        <w:rPr>
          <w:rFonts w:asciiTheme="minorBidi" w:hAnsiTheme="minorBidi"/>
          <w:sz w:val="24"/>
          <w:szCs w:val="24"/>
          <w:shd w:val="clear" w:color="auto" w:fill="FFFFFF"/>
        </w:rPr>
        <w:t>Furthermore,</w:t>
      </w:r>
      <w:r w:rsidRPr="00395EF4">
        <w:rPr>
          <w:rFonts w:asciiTheme="minorBidi" w:hAnsiTheme="minorBidi"/>
          <w:sz w:val="24"/>
          <w:szCs w:val="24"/>
          <w:shd w:val="clear" w:color="auto" w:fill="FFFFFF"/>
        </w:rPr>
        <w:t xml:space="preserve"> </w:t>
      </w:r>
      <w:r>
        <w:rPr>
          <w:rFonts w:asciiTheme="minorBidi" w:hAnsiTheme="minorBidi"/>
          <w:sz w:val="24"/>
          <w:szCs w:val="24"/>
          <w:shd w:val="clear" w:color="auto" w:fill="FFFFFF"/>
        </w:rPr>
        <w:t>they</w:t>
      </w:r>
      <w:r w:rsidRPr="00395EF4">
        <w:rPr>
          <w:rFonts w:asciiTheme="minorBidi" w:hAnsiTheme="minorBidi"/>
          <w:sz w:val="24"/>
          <w:szCs w:val="24"/>
          <w:shd w:val="clear" w:color="auto" w:fill="FFFFFF"/>
        </w:rPr>
        <w:t xml:space="preserve"> believe in themselves and their ability to participate in managing diabetes. They want to fully practi</w:t>
      </w:r>
      <w:r>
        <w:rPr>
          <w:rFonts w:asciiTheme="minorBidi" w:hAnsiTheme="minorBidi"/>
          <w:sz w:val="24"/>
          <w:szCs w:val="24"/>
          <w:shd w:val="clear" w:color="auto" w:fill="FFFFFF"/>
        </w:rPr>
        <w:t>s</w:t>
      </w:r>
      <w:r w:rsidRPr="00395EF4">
        <w:rPr>
          <w:rFonts w:asciiTheme="minorBidi" w:hAnsiTheme="minorBidi"/>
          <w:sz w:val="24"/>
          <w:szCs w:val="24"/>
          <w:shd w:val="clear" w:color="auto" w:fill="FFFFFF"/>
        </w:rPr>
        <w:t xml:space="preserve">e their roles of patient care. </w:t>
      </w:r>
      <w:r w:rsidRPr="00E56CD4">
        <w:rPr>
          <w:rFonts w:asciiTheme="minorBidi" w:hAnsiTheme="minorBidi"/>
          <w:sz w:val="24"/>
          <w:szCs w:val="24"/>
          <w:shd w:val="clear" w:color="auto" w:fill="FFFFFF"/>
        </w:rPr>
        <w:t xml:space="preserve">This finding is consistent with that of </w:t>
      </w:r>
      <w:r w:rsidRPr="00E56CD4">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{"citationItems":[{"id":"ITEM-1","itemData":{"ISSN":"0973-8398","abstract":"To explore opinions of pharmacist toward pharmaceutical care (PC) in Riyadh, the capital of Saudi Arabia. A descriptive, cross-sectional survey was conducted over a 3 months period (November 2012 to January 2013) in National Guard Primary Health Center, Riyadh the capital of Saudi Arabia. A 20-item questionnaire was adopted, validated and given to 100 pharmacists. The response rate was 80% where 100 respondents were approached, and 80 of them responded to our survey questionnaire. Overall Pharmacists expressed positive attitudes toward PC. A total of 73 (91%) respondents indicated that common situation regarding appropriateness of prescribing was receiving an error in prescription with incomplete information. A majority of the respondents (78.6%) disagreed or strongly disagree with the statement, that pharmacist of primary healthcare centers have insufficient knowledge/skills to provide PC. The finding of this study revealed that pharmacists have positive attitudes toward PC overall. More attention should be given to improve pharmacists' actual PC capabilities to extend their professional role. However, new development in Saudi hospitals would be recommended to improve health care systems.","author":[{"dropping-particle":"","family":"Al-Arifi","given":"Mohamed N.","non-dropping-particle":"","parse-names":false,"suffix":""},{"dropping-particle":"","family":"Dhawailie","given":"Abdulatif","non-dropping-particle":"Al","parse-names":false,"suffix":""},{"dropping-particle":"","family":"M.","given":"Aldohyan","non-dropping-particle":"","parse-names":false,"suffix":""},{"dropping-particle":"","family":"S.","given":"Wajid","non-dropping-particle":"","parse-names":false,"suffix":""},{"dropping-particle":"","family":"S.D.","given":"Babelgaith","non-dropping-particle":"","parse-names":false,"suffix":""},{"dropping-particle":"","family":"S.","given":"Rajab","non-dropping-particle":"","parse-names":false,"suffix":""}],"container-title":"Asian Journal of Pharmaceutics","id":"ITEM-1","issue":"4","issued":{"date-parts":[["2015"]]},"page":"277-282","title":"A survey on pharmacist opinion about pharmaceutical care in Saudi Arabia","type":"article-journal","volume":"9"},"uris":["http://www.mendeley.com/documents/?uuid=da5ac9a9-edf8-4c3f-ad94-903f8f5085f9"]}],"mendeley":{"formattedCitation":"(Al-Arifi, Al Dhawailie, &lt;i&gt;et al.&lt;/i&gt;, 2015)","manualFormatting":"Al-Arifi et al. (2015)","plainTextFormattedCitation":"(Al-Arifi, Al Dhawailie, et al., 2015)","previouslyFormattedCitation":"(Al-Arifi, Al Dhawailie, &lt;i&gt;et al.&lt;/i&gt;, 2015)"},"properties":{"noteIndex":0},"schema":"https://github.com/citation-style-language/schema/raw/master/csl-citation.json"}</w:instrText>
      </w:r>
      <w:r w:rsidRPr="00E56CD4">
        <w:rPr>
          <w:rFonts w:asciiTheme="minorBidi" w:hAnsiTheme="minorBidi"/>
          <w:sz w:val="24"/>
          <w:szCs w:val="24"/>
          <w:shd w:val="clear" w:color="auto" w:fill="FFFFFF"/>
        </w:rPr>
        <w:fldChar w:fldCharType="separate"/>
      </w:r>
      <w:r w:rsidRPr="00E56CD4">
        <w:rPr>
          <w:rFonts w:asciiTheme="minorBidi" w:hAnsiTheme="minorBidi"/>
          <w:noProof/>
          <w:sz w:val="24"/>
          <w:szCs w:val="24"/>
          <w:shd w:val="clear" w:color="auto" w:fill="FFFFFF"/>
        </w:rPr>
        <w:t>Al-Arifi et al. (2015)</w:t>
      </w:r>
      <w:r w:rsidRPr="00E56CD4">
        <w:rPr>
          <w:rFonts w:asciiTheme="minorBidi" w:hAnsiTheme="minorBidi"/>
          <w:sz w:val="24"/>
          <w:szCs w:val="24"/>
          <w:shd w:val="clear" w:color="auto" w:fill="FFFFFF"/>
        </w:rPr>
        <w:fldChar w:fldCharType="end"/>
      </w:r>
      <w:r w:rsidRPr="00E56CD4">
        <w:rPr>
          <w:rFonts w:asciiTheme="minorBidi" w:hAnsiTheme="minorBidi"/>
          <w:sz w:val="24"/>
          <w:szCs w:val="24"/>
          <w:shd w:val="clear" w:color="auto" w:fill="FFFFFF"/>
        </w:rPr>
        <w:t xml:space="preserve">  who found primary care pharmacists felt they have sufficient knowledge to provide pharmaceutical care service in PHCs. </w:t>
      </w:r>
      <w:r w:rsidRPr="00395EF4">
        <w:rPr>
          <w:rFonts w:asciiTheme="minorBidi" w:hAnsiTheme="minorBidi"/>
          <w:sz w:val="24"/>
          <w:szCs w:val="24"/>
          <w:shd w:val="clear" w:color="auto" w:fill="FFFFFF"/>
        </w:rPr>
        <w:t xml:space="preserve">However, working conditions at </w:t>
      </w:r>
      <w:r>
        <w:rPr>
          <w:rFonts w:asciiTheme="minorBidi" w:hAnsiTheme="minorBidi"/>
          <w:sz w:val="24"/>
          <w:szCs w:val="24"/>
          <w:shd w:val="clear" w:color="auto" w:fill="FFFFFF"/>
        </w:rPr>
        <w:t>that</w:t>
      </w:r>
      <w:r w:rsidRPr="00395EF4">
        <w:rPr>
          <w:rFonts w:asciiTheme="minorBidi" w:hAnsiTheme="minorBidi"/>
          <w:sz w:val="24"/>
          <w:szCs w:val="24"/>
          <w:shd w:val="clear" w:color="auto" w:fill="FFFFFF"/>
        </w:rPr>
        <w:t xml:space="preserve"> time were an obstacle for pharmacists to provide these services effectively.</w:t>
      </w:r>
    </w:p>
    <w:p w14:paraId="29EEA417" w14:textId="77777777" w:rsidR="000B2F68" w:rsidRDefault="000B2F68" w:rsidP="000B2F68">
      <w:pPr>
        <w:spacing w:line="360" w:lineRule="auto"/>
        <w:jc w:val="both"/>
        <w:rPr>
          <w:rFonts w:asciiTheme="minorBidi" w:hAnsiTheme="minorBidi"/>
          <w:sz w:val="24"/>
          <w:szCs w:val="24"/>
          <w:shd w:val="clear" w:color="auto" w:fill="FFFFFF"/>
        </w:rPr>
      </w:pPr>
      <w:r>
        <w:rPr>
          <w:rFonts w:asciiTheme="minorBidi" w:hAnsiTheme="minorBidi"/>
          <w:sz w:val="24"/>
          <w:szCs w:val="24"/>
          <w:shd w:val="clear" w:color="auto" w:fill="FFFFFF"/>
        </w:rPr>
        <w:t>Although i</w:t>
      </w:r>
      <w:r w:rsidRPr="00395EF4">
        <w:rPr>
          <w:rFonts w:asciiTheme="minorBidi" w:hAnsiTheme="minorBidi"/>
          <w:sz w:val="24"/>
          <w:szCs w:val="24"/>
          <w:shd w:val="clear" w:color="auto" w:fill="FFFFFF"/>
        </w:rPr>
        <w:t xml:space="preserve">t </w:t>
      </w:r>
      <w:r>
        <w:rPr>
          <w:rFonts w:asciiTheme="minorBidi" w:hAnsiTheme="minorBidi"/>
          <w:sz w:val="24"/>
          <w:szCs w:val="24"/>
          <w:shd w:val="clear" w:color="auto" w:fill="FFFFFF"/>
        </w:rPr>
        <w:t xml:space="preserve">is desirable </w:t>
      </w:r>
      <w:r w:rsidRPr="00395EF4">
        <w:rPr>
          <w:rFonts w:asciiTheme="minorBidi" w:hAnsiTheme="minorBidi"/>
          <w:sz w:val="24"/>
          <w:szCs w:val="24"/>
          <w:shd w:val="clear" w:color="auto" w:fill="FFFFFF"/>
        </w:rPr>
        <w:t xml:space="preserve">to </w:t>
      </w:r>
      <w:r>
        <w:rPr>
          <w:rFonts w:asciiTheme="minorBidi" w:hAnsiTheme="minorBidi"/>
          <w:sz w:val="24"/>
          <w:szCs w:val="24"/>
          <w:shd w:val="clear" w:color="auto" w:fill="FFFFFF"/>
        </w:rPr>
        <w:t xml:space="preserve">obtain more value from those available resources by </w:t>
      </w:r>
      <w:r w:rsidRPr="00395EF4">
        <w:rPr>
          <w:rFonts w:asciiTheme="minorBidi" w:hAnsiTheme="minorBidi"/>
          <w:sz w:val="24"/>
          <w:szCs w:val="24"/>
          <w:shd w:val="clear" w:color="auto" w:fill="FFFFFF"/>
        </w:rPr>
        <w:t>exploit</w:t>
      </w:r>
      <w:r>
        <w:rPr>
          <w:rFonts w:asciiTheme="minorBidi" w:hAnsiTheme="minorBidi"/>
          <w:sz w:val="24"/>
          <w:szCs w:val="24"/>
          <w:shd w:val="clear" w:color="auto" w:fill="FFFFFF"/>
        </w:rPr>
        <w:t>ing</w:t>
      </w:r>
      <w:r w:rsidRPr="00395EF4">
        <w:rPr>
          <w:rFonts w:asciiTheme="minorBidi" w:hAnsiTheme="minorBidi"/>
          <w:sz w:val="24"/>
          <w:szCs w:val="24"/>
          <w:shd w:val="clear" w:color="auto" w:fill="FFFFFF"/>
        </w:rPr>
        <w:t xml:space="preserve"> the energ</w:t>
      </w:r>
      <w:r>
        <w:rPr>
          <w:rFonts w:asciiTheme="minorBidi" w:hAnsiTheme="minorBidi"/>
          <w:sz w:val="24"/>
          <w:szCs w:val="24"/>
          <w:shd w:val="clear" w:color="auto" w:fill="FFFFFF"/>
        </w:rPr>
        <w:t>y</w:t>
      </w:r>
      <w:r w:rsidRPr="00395EF4">
        <w:rPr>
          <w:rFonts w:asciiTheme="minorBidi" w:hAnsiTheme="minorBidi"/>
          <w:sz w:val="24"/>
          <w:szCs w:val="24"/>
          <w:shd w:val="clear" w:color="auto" w:fill="FFFFFF"/>
        </w:rPr>
        <w:t xml:space="preserve"> and initiative </w:t>
      </w:r>
      <w:r>
        <w:rPr>
          <w:rFonts w:asciiTheme="minorBidi" w:hAnsiTheme="minorBidi"/>
          <w:sz w:val="24"/>
          <w:szCs w:val="24"/>
          <w:shd w:val="clear" w:color="auto" w:fill="FFFFFF"/>
        </w:rPr>
        <w:t>of</w:t>
      </w:r>
      <w:r w:rsidRPr="00395EF4">
        <w:rPr>
          <w:rFonts w:asciiTheme="minorBidi" w:hAnsiTheme="minorBidi"/>
          <w:sz w:val="24"/>
          <w:szCs w:val="24"/>
          <w:shd w:val="clear" w:color="auto" w:fill="FFFFFF"/>
        </w:rPr>
        <w:t xml:space="preserve"> these pharmacists to maximise diabetes care in PHCs</w:t>
      </w:r>
      <w:r>
        <w:rPr>
          <w:rFonts w:asciiTheme="minorBidi" w:hAnsiTheme="minorBidi"/>
          <w:sz w:val="24"/>
          <w:szCs w:val="24"/>
          <w:shd w:val="clear" w:color="auto" w:fill="FFFFFF"/>
        </w:rPr>
        <w:t xml:space="preserve">, the lack of clinical experience of pharmacists is found to be one of the major challenges to their involvement in diabetes management.  </w:t>
      </w:r>
      <w:r w:rsidRPr="00395EF4">
        <w:rPr>
          <w:rFonts w:asciiTheme="minorBidi" w:hAnsiTheme="minorBidi"/>
          <w:sz w:val="24"/>
          <w:szCs w:val="24"/>
          <w:shd w:val="clear" w:color="auto" w:fill="FFFFFF"/>
        </w:rPr>
        <w:t xml:space="preserve">Hence, clinical training classes and courses </w:t>
      </w:r>
      <w:r>
        <w:rPr>
          <w:rFonts w:asciiTheme="minorBidi" w:hAnsiTheme="minorBidi"/>
          <w:sz w:val="24"/>
          <w:szCs w:val="24"/>
          <w:shd w:val="clear" w:color="auto" w:fill="FFFFFF"/>
        </w:rPr>
        <w:t xml:space="preserve">should be available </w:t>
      </w:r>
      <w:r w:rsidRPr="00395EF4">
        <w:rPr>
          <w:rFonts w:asciiTheme="minorBidi" w:hAnsiTheme="minorBidi"/>
          <w:sz w:val="24"/>
          <w:szCs w:val="24"/>
          <w:shd w:val="clear" w:color="auto" w:fill="FFFFFF"/>
        </w:rPr>
        <w:t xml:space="preserve">for pharmacists to improve their clinical skills.  Engaging pharmacists in </w:t>
      </w:r>
      <w:r>
        <w:rPr>
          <w:rFonts w:asciiTheme="minorBidi" w:hAnsiTheme="minorBidi"/>
          <w:sz w:val="24"/>
          <w:szCs w:val="24"/>
          <w:shd w:val="clear" w:color="auto" w:fill="FFFFFF"/>
        </w:rPr>
        <w:t xml:space="preserve">reviewing medication and educating patients about their medications </w:t>
      </w:r>
      <w:r w:rsidRPr="00395EF4">
        <w:rPr>
          <w:rFonts w:asciiTheme="minorBidi" w:hAnsiTheme="minorBidi"/>
          <w:sz w:val="24"/>
          <w:szCs w:val="24"/>
          <w:shd w:val="clear" w:color="auto" w:fill="FFFFFF"/>
        </w:rPr>
        <w:t xml:space="preserve">in PHCs </w:t>
      </w:r>
      <w:r>
        <w:rPr>
          <w:rFonts w:asciiTheme="minorBidi" w:hAnsiTheme="minorBidi"/>
          <w:sz w:val="24"/>
          <w:szCs w:val="24"/>
          <w:shd w:val="clear" w:color="auto" w:fill="FFFFFF"/>
        </w:rPr>
        <w:t xml:space="preserve">could </w:t>
      </w:r>
      <w:r w:rsidRPr="00395EF4">
        <w:rPr>
          <w:rFonts w:asciiTheme="minorBidi" w:hAnsiTheme="minorBidi"/>
          <w:sz w:val="24"/>
          <w:szCs w:val="24"/>
          <w:shd w:val="clear" w:color="auto" w:fill="FFFFFF"/>
        </w:rPr>
        <w:t>significant</w:t>
      </w:r>
      <w:r>
        <w:rPr>
          <w:rFonts w:asciiTheme="minorBidi" w:hAnsiTheme="minorBidi"/>
          <w:sz w:val="24"/>
          <w:szCs w:val="24"/>
          <w:shd w:val="clear" w:color="auto" w:fill="FFFFFF"/>
        </w:rPr>
        <w:t>ly enhance</w:t>
      </w:r>
      <w:r w:rsidRPr="00395EF4">
        <w:rPr>
          <w:rFonts w:asciiTheme="minorBidi" w:hAnsiTheme="minorBidi"/>
          <w:sz w:val="24"/>
          <w:szCs w:val="24"/>
          <w:shd w:val="clear" w:color="auto" w:fill="FFFFFF"/>
        </w:rPr>
        <w:t xml:space="preserve"> manag</w:t>
      </w:r>
      <w:r>
        <w:rPr>
          <w:rFonts w:asciiTheme="minorBidi" w:hAnsiTheme="minorBidi"/>
          <w:sz w:val="24"/>
          <w:szCs w:val="24"/>
          <w:shd w:val="clear" w:color="auto" w:fill="FFFFFF"/>
        </w:rPr>
        <w:t>ement of</w:t>
      </w:r>
      <w:r w:rsidRPr="00395EF4">
        <w:rPr>
          <w:rFonts w:asciiTheme="minorBidi" w:hAnsiTheme="minorBidi"/>
          <w:sz w:val="24"/>
          <w:szCs w:val="24"/>
          <w:shd w:val="clear" w:color="auto" w:fill="FFFFFF"/>
        </w:rPr>
        <w:t xml:space="preserve"> patients with chronic diseases, including diabetes.</w:t>
      </w:r>
      <w:r>
        <w:rPr>
          <w:rFonts w:asciiTheme="minorBidi" w:hAnsiTheme="minorBidi"/>
          <w:sz w:val="24"/>
          <w:szCs w:val="24"/>
          <w:shd w:val="clear" w:color="auto" w:fill="FFFFFF"/>
        </w:rPr>
        <w:t xml:space="preserve"> </w:t>
      </w:r>
      <w:r w:rsidRPr="002B119D">
        <w:rPr>
          <w:rFonts w:asciiTheme="minorBidi" w:hAnsiTheme="minorBidi"/>
          <w:sz w:val="24"/>
          <w:szCs w:val="24"/>
          <w:shd w:val="clear" w:color="auto" w:fill="FFFFFF"/>
        </w:rPr>
        <w:t xml:space="preserve">Leaders </w:t>
      </w:r>
      <w:r>
        <w:rPr>
          <w:rFonts w:asciiTheme="minorBidi" w:hAnsiTheme="minorBidi"/>
          <w:sz w:val="24"/>
          <w:szCs w:val="24"/>
          <w:shd w:val="clear" w:color="auto" w:fill="FFFFFF"/>
        </w:rPr>
        <w:t xml:space="preserve">of pharmacies </w:t>
      </w:r>
      <w:r w:rsidRPr="002B119D">
        <w:rPr>
          <w:rFonts w:asciiTheme="minorBidi" w:hAnsiTheme="minorBidi"/>
          <w:sz w:val="24"/>
          <w:szCs w:val="24"/>
          <w:shd w:val="clear" w:color="auto" w:fill="FFFFFF"/>
        </w:rPr>
        <w:t xml:space="preserve">should support and encourage pharmacists who wish to participate in chronic </w:t>
      </w:r>
      <w:r>
        <w:rPr>
          <w:rFonts w:asciiTheme="minorBidi" w:hAnsiTheme="minorBidi"/>
          <w:sz w:val="24"/>
          <w:szCs w:val="24"/>
          <w:shd w:val="clear" w:color="auto" w:fill="FFFFFF"/>
        </w:rPr>
        <w:t>care</w:t>
      </w:r>
      <w:r w:rsidRPr="002B119D">
        <w:rPr>
          <w:rFonts w:asciiTheme="minorBidi" w:hAnsiTheme="minorBidi"/>
          <w:sz w:val="24"/>
          <w:szCs w:val="24"/>
          <w:shd w:val="clear" w:color="auto" w:fill="FFFFFF"/>
        </w:rPr>
        <w:t xml:space="preserve"> by providing them with clinical </w:t>
      </w:r>
      <w:r>
        <w:rPr>
          <w:rFonts w:asciiTheme="minorBidi" w:hAnsiTheme="minorBidi"/>
          <w:sz w:val="24"/>
          <w:szCs w:val="24"/>
          <w:shd w:val="clear" w:color="auto" w:fill="FFFFFF"/>
        </w:rPr>
        <w:t>training</w:t>
      </w:r>
      <w:r w:rsidRPr="002B119D">
        <w:rPr>
          <w:rFonts w:asciiTheme="minorBidi" w:hAnsiTheme="minorBidi"/>
          <w:sz w:val="24"/>
          <w:szCs w:val="24"/>
          <w:shd w:val="clear" w:color="auto" w:fill="FFFFFF"/>
        </w:rPr>
        <w:t xml:space="preserve"> courses and incentives.</w:t>
      </w:r>
    </w:p>
    <w:p w14:paraId="4319C1D9" w14:textId="77777777" w:rsidR="000B2F68" w:rsidRDefault="000B2F68" w:rsidP="000B2F68">
      <w:pPr>
        <w:spacing w:line="360" w:lineRule="auto"/>
        <w:jc w:val="both"/>
        <w:rPr>
          <w:rFonts w:asciiTheme="minorBidi" w:hAnsiTheme="minorBidi"/>
          <w:sz w:val="24"/>
          <w:szCs w:val="24"/>
          <w:shd w:val="clear" w:color="auto" w:fill="FFFFFF"/>
        </w:rPr>
      </w:pPr>
      <w:r>
        <w:rPr>
          <w:rFonts w:asciiTheme="minorBidi" w:hAnsiTheme="minorBidi"/>
          <w:sz w:val="24"/>
          <w:szCs w:val="24"/>
          <w:shd w:val="clear" w:color="auto" w:fill="FFFFFF"/>
        </w:rPr>
        <w:t xml:space="preserve">Meanwhile, </w:t>
      </w:r>
      <w:r w:rsidRPr="002B119D">
        <w:rPr>
          <w:rFonts w:asciiTheme="minorBidi" w:hAnsiTheme="minorBidi"/>
          <w:sz w:val="24"/>
          <w:szCs w:val="24"/>
          <w:shd w:val="clear" w:color="auto" w:fill="FFFFFF"/>
        </w:rPr>
        <w:t xml:space="preserve">the lack of leadership support is another major challenge </w:t>
      </w:r>
      <w:r>
        <w:rPr>
          <w:rFonts w:asciiTheme="minorBidi" w:hAnsiTheme="minorBidi"/>
          <w:sz w:val="24"/>
          <w:szCs w:val="24"/>
          <w:shd w:val="clear" w:color="auto" w:fill="FFFFFF"/>
        </w:rPr>
        <w:t>to</w:t>
      </w:r>
      <w:r w:rsidRPr="002B119D">
        <w:rPr>
          <w:rFonts w:asciiTheme="minorBidi" w:hAnsiTheme="minorBidi"/>
          <w:sz w:val="24"/>
          <w:szCs w:val="24"/>
          <w:shd w:val="clear" w:color="auto" w:fill="FFFFFF"/>
        </w:rPr>
        <w:t xml:space="preserve"> involving pharmacists in the diabetes care team. The lack of a well-defined pharmacist role in patient care has hindered pharmacists from providing diabetes-related services. Pharmacy leaders </w:t>
      </w:r>
      <w:r>
        <w:rPr>
          <w:rFonts w:asciiTheme="minorBidi" w:hAnsiTheme="minorBidi"/>
          <w:sz w:val="24"/>
          <w:szCs w:val="24"/>
          <w:shd w:val="clear" w:color="auto" w:fill="FFFFFF"/>
        </w:rPr>
        <w:t>should</w:t>
      </w:r>
      <w:r w:rsidRPr="002B119D">
        <w:rPr>
          <w:rFonts w:asciiTheme="minorBidi" w:hAnsiTheme="minorBidi"/>
          <w:sz w:val="24"/>
          <w:szCs w:val="24"/>
          <w:shd w:val="clear" w:color="auto" w:fill="FFFFFF"/>
        </w:rPr>
        <w:t xml:space="preserve"> formulate a clear job description for primary care pharmacists</w:t>
      </w:r>
      <w:r>
        <w:rPr>
          <w:rFonts w:asciiTheme="minorBidi" w:hAnsiTheme="minorBidi"/>
          <w:sz w:val="24"/>
          <w:szCs w:val="24"/>
          <w:shd w:val="clear" w:color="auto" w:fill="FFFFFF"/>
        </w:rPr>
        <w:t>, in which their</w:t>
      </w:r>
      <w:r w:rsidRPr="002B119D">
        <w:rPr>
          <w:rFonts w:asciiTheme="minorBidi" w:hAnsiTheme="minorBidi"/>
          <w:sz w:val="24"/>
          <w:szCs w:val="24"/>
          <w:shd w:val="clear" w:color="auto" w:fill="FFFFFF"/>
        </w:rPr>
        <w:t xml:space="preserve"> role and responsibilities in diabetes management </w:t>
      </w:r>
      <w:r>
        <w:rPr>
          <w:rFonts w:asciiTheme="minorBidi" w:hAnsiTheme="minorBidi"/>
          <w:sz w:val="24"/>
          <w:szCs w:val="24"/>
          <w:shd w:val="clear" w:color="auto" w:fill="FFFFFF"/>
        </w:rPr>
        <w:t>are clearly articulated.</w:t>
      </w:r>
    </w:p>
    <w:p w14:paraId="4E2E8436" w14:textId="77777777" w:rsidR="000B2F68" w:rsidRDefault="000B2F68" w:rsidP="000B2F68">
      <w:pPr>
        <w:spacing w:line="360" w:lineRule="auto"/>
        <w:jc w:val="both"/>
        <w:rPr>
          <w:rFonts w:asciiTheme="minorBidi" w:hAnsiTheme="minorBidi"/>
          <w:sz w:val="24"/>
          <w:szCs w:val="24"/>
          <w:shd w:val="clear" w:color="auto" w:fill="FFFFFF"/>
        </w:rPr>
      </w:pPr>
      <w:r w:rsidRPr="00A62C82">
        <w:rPr>
          <w:rFonts w:asciiTheme="minorBidi" w:hAnsiTheme="minorBidi"/>
          <w:sz w:val="24"/>
          <w:szCs w:val="24"/>
          <w:shd w:val="clear" w:color="auto" w:fill="FFFFFF"/>
        </w:rPr>
        <w:t xml:space="preserve">The lack of awareness of the clinical role of pharmacists is another major challenge in involving pharmacists in diabetes management. </w:t>
      </w:r>
      <w:r w:rsidRPr="002B119D">
        <w:rPr>
          <w:rFonts w:asciiTheme="minorBidi" w:hAnsiTheme="minorBidi"/>
          <w:sz w:val="24"/>
          <w:szCs w:val="24"/>
          <w:shd w:val="clear" w:color="auto" w:fill="FFFFFF"/>
        </w:rPr>
        <w:t>Pharmacy leaders should publici</w:t>
      </w:r>
      <w:r>
        <w:rPr>
          <w:rFonts w:asciiTheme="minorBidi" w:hAnsiTheme="minorBidi"/>
          <w:sz w:val="24"/>
          <w:szCs w:val="24"/>
          <w:shd w:val="clear" w:color="auto" w:fill="FFFFFF"/>
        </w:rPr>
        <w:t>s</w:t>
      </w:r>
      <w:r w:rsidRPr="002B119D">
        <w:rPr>
          <w:rFonts w:asciiTheme="minorBidi" w:hAnsiTheme="minorBidi"/>
          <w:sz w:val="24"/>
          <w:szCs w:val="24"/>
          <w:shd w:val="clear" w:color="auto" w:fill="FFFFFF"/>
        </w:rPr>
        <w:t xml:space="preserve">e the pharmacist's role </w:t>
      </w:r>
      <w:r>
        <w:rPr>
          <w:rFonts w:asciiTheme="minorBidi" w:hAnsiTheme="minorBidi"/>
          <w:sz w:val="24"/>
          <w:szCs w:val="24"/>
          <w:shd w:val="clear" w:color="auto" w:fill="FFFFFF"/>
        </w:rPr>
        <w:t xml:space="preserve">and responsibilities </w:t>
      </w:r>
      <w:r w:rsidRPr="002B119D">
        <w:rPr>
          <w:rFonts w:asciiTheme="minorBidi" w:hAnsiTheme="minorBidi"/>
          <w:sz w:val="24"/>
          <w:szCs w:val="24"/>
          <w:shd w:val="clear" w:color="auto" w:fill="FFFFFF"/>
        </w:rPr>
        <w:t xml:space="preserve">in primary care and </w:t>
      </w:r>
      <w:r>
        <w:rPr>
          <w:rFonts w:asciiTheme="minorBidi" w:hAnsiTheme="minorBidi"/>
          <w:sz w:val="24"/>
          <w:szCs w:val="24"/>
          <w:shd w:val="clear" w:color="auto" w:fill="FFFFFF"/>
        </w:rPr>
        <w:t xml:space="preserve">the </w:t>
      </w:r>
      <w:r w:rsidRPr="002B119D">
        <w:rPr>
          <w:rFonts w:asciiTheme="minorBidi" w:hAnsiTheme="minorBidi"/>
          <w:sz w:val="24"/>
          <w:szCs w:val="24"/>
          <w:shd w:val="clear" w:color="auto" w:fill="FFFFFF"/>
        </w:rPr>
        <w:t xml:space="preserve">pharmacy services </w:t>
      </w:r>
      <w:r>
        <w:rPr>
          <w:rFonts w:asciiTheme="minorBidi" w:hAnsiTheme="minorBidi"/>
          <w:sz w:val="24"/>
          <w:szCs w:val="24"/>
          <w:shd w:val="clear" w:color="auto" w:fill="FFFFFF"/>
        </w:rPr>
        <w:t xml:space="preserve">they could </w:t>
      </w:r>
      <w:r w:rsidRPr="002B119D">
        <w:rPr>
          <w:rFonts w:asciiTheme="minorBidi" w:hAnsiTheme="minorBidi"/>
          <w:sz w:val="24"/>
          <w:szCs w:val="24"/>
          <w:shd w:val="clear" w:color="auto" w:fill="FFFFFF"/>
        </w:rPr>
        <w:t xml:space="preserve">provide to primary care stakeholders, including policymakers, managers, primary </w:t>
      </w:r>
      <w:r>
        <w:rPr>
          <w:rFonts w:asciiTheme="minorBidi" w:hAnsiTheme="minorBidi"/>
          <w:sz w:val="24"/>
          <w:szCs w:val="24"/>
          <w:shd w:val="clear" w:color="auto" w:fill="FFFFFF"/>
        </w:rPr>
        <w:t>HCPs</w:t>
      </w:r>
      <w:r w:rsidRPr="002B119D">
        <w:rPr>
          <w:rFonts w:asciiTheme="minorBidi" w:hAnsiTheme="minorBidi"/>
          <w:sz w:val="24"/>
          <w:szCs w:val="24"/>
          <w:shd w:val="clear" w:color="auto" w:fill="FFFFFF"/>
        </w:rPr>
        <w:t xml:space="preserve"> such as doctors and nurses, and patients. This can be </w:t>
      </w:r>
      <w:r>
        <w:rPr>
          <w:rFonts w:asciiTheme="minorBidi" w:hAnsiTheme="minorBidi"/>
          <w:sz w:val="24"/>
          <w:szCs w:val="24"/>
          <w:shd w:val="clear" w:color="auto" w:fill="FFFFFF"/>
        </w:rPr>
        <w:t xml:space="preserve">done </w:t>
      </w:r>
      <w:r w:rsidRPr="002B119D">
        <w:rPr>
          <w:rFonts w:asciiTheme="minorBidi" w:hAnsiTheme="minorBidi"/>
          <w:sz w:val="24"/>
          <w:szCs w:val="24"/>
          <w:shd w:val="clear" w:color="auto" w:fill="FFFFFF"/>
        </w:rPr>
        <w:t xml:space="preserve">through disseminating results of research that show positive </w:t>
      </w:r>
      <w:r w:rsidRPr="003C6055">
        <w:rPr>
          <w:rFonts w:asciiTheme="minorBidi" w:hAnsiTheme="minorBidi"/>
          <w:sz w:val="24"/>
          <w:szCs w:val="24"/>
          <w:shd w:val="clear" w:color="auto" w:fill="FFFFFF"/>
        </w:rPr>
        <w:t>outcomes for pharmacists' involvement in patient management</w:t>
      </w:r>
      <w:r w:rsidRPr="002B119D">
        <w:rPr>
          <w:rFonts w:asciiTheme="minorBidi" w:hAnsiTheme="minorBidi"/>
          <w:sz w:val="24"/>
          <w:szCs w:val="24"/>
          <w:shd w:val="clear" w:color="auto" w:fill="FFFFFF"/>
        </w:rPr>
        <w:t>.</w:t>
      </w:r>
      <w:r>
        <w:rPr>
          <w:rFonts w:asciiTheme="minorBidi" w:hAnsiTheme="minorBidi"/>
          <w:sz w:val="24"/>
          <w:szCs w:val="24"/>
          <w:shd w:val="clear" w:color="auto" w:fill="FFFFFF"/>
        </w:rPr>
        <w:t xml:space="preserve"> This challenge was also reported by </w:t>
      </w:r>
      <w:r>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{"citationItems":[{"id":"ITEM-1","itemData":{"DOI":"10.1002/jac5.1602","author":[{"dropping-particle":"","family":"Abdullah","given":"Meshal","non-dropping-particle":"","parse-names":false,"suffix":""},{"dropping-particle":"","family":"Pharm","given":"Alnais B S","non-dropping-particle":"","parse-names":false,"suffix":""},{"dropping-particle":"","family":"Faris","given":"Ali","non-dropping-particle":"","parse-names":false,"suffix":""},{"dropping-particle":"","family":"Pharm","given":"Altebainawi","non-dropping-particle":"","parse-names":false,"suffix":""}],"container-title":"Journal of the American College of Clinical Pharmacy","id":"ITEM-1","issue":"July 2021","issued":{"date-parts":[["2022"]]},"page":"509-515","title":"Implementation of the first pharmacist-led diabetes clinic at Ministry of Health Hospitals , Saudi Arabia","type":"article-journal"},"uris":["http://www.mendeley.com/documents/?uuid=592d6c66-e6f5-41c4-818f-386fbf7e2b9b"]}],"mendeley":{"formattedCitation":"(Abdullah &lt;i&gt;et al.&lt;/i&gt;, 2022)","manualFormatting":"Abdullah et al. (2022)","plainTextFormattedCitation":"(Abdullah et al., 2022)","previouslyFormattedCitation":"(Abdullah &lt;i&gt;et al.&lt;/i&gt;, 2022)"},"properties":{"noteIndex":0},"schema":"https://github.com/citation-style-language/schema/raw/master/csl-citation.json"}</w:instrText>
      </w:r>
      <w:r>
        <w:rPr>
          <w:rFonts w:asciiTheme="minorBidi" w:hAnsiTheme="minorBidi"/>
          <w:sz w:val="24"/>
          <w:szCs w:val="24"/>
          <w:shd w:val="clear" w:color="auto" w:fill="FFFFFF"/>
        </w:rPr>
        <w:fldChar w:fldCharType="separate"/>
      </w:r>
      <w:r w:rsidRPr="00295ECF">
        <w:rPr>
          <w:rFonts w:asciiTheme="minorBidi" w:hAnsiTheme="minorBidi"/>
          <w:noProof/>
          <w:sz w:val="24"/>
          <w:szCs w:val="24"/>
          <w:shd w:val="clear" w:color="auto" w:fill="FFFFFF"/>
        </w:rPr>
        <w:t xml:space="preserve">Abdullah </w:t>
      </w:r>
      <w:r w:rsidRPr="00E05F93">
        <w:rPr>
          <w:rFonts w:asciiTheme="minorBidi" w:hAnsiTheme="minorBidi"/>
          <w:iCs/>
          <w:noProof/>
          <w:sz w:val="24"/>
          <w:szCs w:val="24"/>
          <w:shd w:val="clear" w:color="auto" w:fill="FFFFFF"/>
        </w:rPr>
        <w:t>et al.</w:t>
      </w:r>
      <w:r w:rsidRPr="00295ECF">
        <w:rPr>
          <w:rFonts w:asciiTheme="minorBidi" w:hAnsiTheme="minorBidi"/>
          <w:noProof/>
          <w:sz w:val="24"/>
          <w:szCs w:val="24"/>
          <w:shd w:val="clear" w:color="auto" w:fill="FFFFFF"/>
        </w:rPr>
        <w:t xml:space="preserve"> </w:t>
      </w:r>
      <w:r>
        <w:rPr>
          <w:rFonts w:asciiTheme="minorBidi" w:hAnsiTheme="minorBidi"/>
          <w:noProof/>
          <w:sz w:val="24"/>
          <w:szCs w:val="24"/>
          <w:shd w:val="clear" w:color="auto" w:fill="FFFFFF"/>
        </w:rPr>
        <w:t>(</w:t>
      </w:r>
      <w:r w:rsidRPr="00295ECF">
        <w:rPr>
          <w:rFonts w:asciiTheme="minorBidi" w:hAnsiTheme="minorBidi"/>
          <w:noProof/>
          <w:sz w:val="24"/>
          <w:szCs w:val="24"/>
          <w:shd w:val="clear" w:color="auto" w:fill="FFFFFF"/>
        </w:rPr>
        <w:t>2022)</w:t>
      </w:r>
      <w:r>
        <w:rPr>
          <w:rFonts w:asciiTheme="minorBidi" w:hAnsiTheme="minorBidi"/>
          <w:sz w:val="24"/>
          <w:szCs w:val="24"/>
          <w:shd w:val="clear" w:color="auto" w:fill="FFFFFF"/>
        </w:rPr>
        <w:fldChar w:fldCharType="end"/>
      </w:r>
      <w:r>
        <w:rPr>
          <w:rFonts w:asciiTheme="minorBidi" w:hAnsiTheme="minorBidi"/>
          <w:sz w:val="24"/>
          <w:szCs w:val="24"/>
          <w:shd w:val="clear" w:color="auto" w:fill="FFFFFF"/>
        </w:rPr>
        <w:t xml:space="preserve">. Convincing doctors and administrators of pharmacists’ important clinical role in such as  clinical investigations was the major challenge to initiation of the pharmacist led diabetes clinic in a MoH hospital, as that was a new concept for the hospital community to come to terms with </w:t>
      </w:r>
      <w:r>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{"citationItems":[{"id":"ITEM-1","itemData":{"DOI":"10.1002/jac5.1602","author":[{"dropping-particle":"","family":"Abdullah","given":"Meshal","non-dropping-particle":"","parse-names":false,"suffix":""},{"dropping-particle":"","family":"Pharm","given":"Alnais B S","non-dropping-particle":"","parse-names":false,"suffix":""},{"dropping-particle":"","family":"Faris","given":"Ali","non-dropping-particle":"","parse-names":false,"suffix":""},{"dropping-particle":"","family":"Pharm","given":"Altebainawi","non-dropping-particle":"","parse-names":false,"suffix":""}],"container-title":"Journal of the American College of Clinical Pharmacy","id":"ITEM-1","issue":"July 2021","issued":{"date-parts":[["2022"]]},"page":"509-515","title":"Implementation of the first pharmacist-led diabetes clinic at Ministry of Health Hospitals , Saudi Arabia","type":"article-journal"},"uris":["http://www.mendeley.com/documents/?uuid=592d6c66-e6f5-41c4-818f-386fbf7e2b9b"]}],"mendeley":{"formattedCitation":"(Abdullah &lt;i&gt;et al.&lt;/i&gt;, 2022)","plainTextFormattedCitation":"(Abdullah et al., 2022)","previouslyFormattedCitation":"(Abdullah &lt;i&gt;et al.&lt;/i&gt;, 2022)"},"properties":{"noteIndex":0},"schema":"https://github.com/citation-style-language/schema/raw/master/csl-citation.json"}</w:instrText>
      </w:r>
      <w:r>
        <w:rPr>
          <w:rFonts w:asciiTheme="minorBidi" w:hAnsiTheme="minorBidi"/>
          <w:sz w:val="24"/>
          <w:szCs w:val="24"/>
          <w:shd w:val="clear" w:color="auto" w:fill="FFFFFF"/>
        </w:rPr>
        <w:fldChar w:fldCharType="separate"/>
      </w:r>
      <w:r w:rsidRPr="00295ECF">
        <w:rPr>
          <w:rFonts w:asciiTheme="minorBidi" w:hAnsiTheme="minorBidi"/>
          <w:noProof/>
          <w:sz w:val="24"/>
          <w:szCs w:val="24"/>
          <w:shd w:val="clear" w:color="auto" w:fill="FFFFFF"/>
        </w:rPr>
        <w:t xml:space="preserve">(Abdullah </w:t>
      </w:r>
      <w:r w:rsidRPr="00E05F93">
        <w:rPr>
          <w:rFonts w:asciiTheme="minorBidi" w:hAnsiTheme="minorBidi"/>
          <w:iCs/>
          <w:noProof/>
          <w:sz w:val="24"/>
          <w:szCs w:val="24"/>
          <w:shd w:val="clear" w:color="auto" w:fill="FFFFFF"/>
        </w:rPr>
        <w:t>et al.</w:t>
      </w:r>
      <w:r w:rsidRPr="00384AD4">
        <w:rPr>
          <w:rFonts w:asciiTheme="minorBidi" w:hAnsiTheme="minorBidi"/>
          <w:iCs/>
          <w:noProof/>
          <w:sz w:val="24"/>
          <w:szCs w:val="24"/>
          <w:shd w:val="clear" w:color="auto" w:fill="FFFFFF"/>
        </w:rPr>
        <w:t>,</w:t>
      </w:r>
      <w:r w:rsidRPr="00295ECF">
        <w:rPr>
          <w:rFonts w:asciiTheme="minorBidi" w:hAnsiTheme="minorBidi"/>
          <w:noProof/>
          <w:sz w:val="24"/>
          <w:szCs w:val="24"/>
          <w:shd w:val="clear" w:color="auto" w:fill="FFFFFF"/>
        </w:rPr>
        <w:t xml:space="preserve"> 2022)</w:t>
      </w:r>
      <w:r>
        <w:rPr>
          <w:rFonts w:asciiTheme="minorBidi" w:hAnsiTheme="minorBidi"/>
          <w:sz w:val="24"/>
          <w:szCs w:val="24"/>
          <w:shd w:val="clear" w:color="auto" w:fill="FFFFFF"/>
        </w:rPr>
        <w:fldChar w:fldCharType="end"/>
      </w:r>
      <w:r>
        <w:rPr>
          <w:rFonts w:asciiTheme="minorBidi" w:hAnsiTheme="minorBidi"/>
          <w:sz w:val="24"/>
          <w:szCs w:val="24"/>
          <w:shd w:val="clear" w:color="auto" w:fill="FFFFFF"/>
        </w:rPr>
        <w:t xml:space="preserve">. </w:t>
      </w:r>
    </w:p>
    <w:p w14:paraId="6992F869" w14:textId="77777777" w:rsidR="000B2F68" w:rsidRDefault="000B2F68" w:rsidP="000B2F68">
      <w:pPr>
        <w:spacing w:line="360" w:lineRule="auto"/>
        <w:jc w:val="both"/>
        <w:rPr>
          <w:rFonts w:asciiTheme="minorBidi" w:hAnsiTheme="minorBidi"/>
          <w:sz w:val="24"/>
          <w:szCs w:val="24"/>
          <w:shd w:val="clear" w:color="auto" w:fill="FFFFFF"/>
        </w:rPr>
      </w:pPr>
      <w:r w:rsidRPr="002F370D">
        <w:rPr>
          <w:rFonts w:asciiTheme="minorBidi" w:hAnsiTheme="minorBidi"/>
          <w:sz w:val="24"/>
          <w:szCs w:val="24"/>
          <w:shd w:val="clear" w:color="auto" w:fill="FFFFFF"/>
        </w:rPr>
        <w:t>Another important finding was the underutilisation of the roles of pharmacists by policymakers and resistance to pharmacists' interventions among doctors due to trust issues. Doctors are typically high performers and may not collaborate with or listen to pharmacists</w:t>
      </w:r>
      <w:r>
        <w:rPr>
          <w:rFonts w:asciiTheme="minorBidi" w:hAnsiTheme="minorBidi"/>
          <w:sz w:val="24"/>
          <w:szCs w:val="24"/>
          <w:shd w:val="clear" w:color="auto" w:fill="FFFFFF"/>
        </w:rPr>
        <w:t>, which</w:t>
      </w:r>
      <w:r w:rsidRPr="002F370D">
        <w:rPr>
          <w:rFonts w:asciiTheme="minorBidi" w:hAnsiTheme="minorBidi"/>
          <w:sz w:val="24"/>
          <w:szCs w:val="24"/>
          <w:shd w:val="clear" w:color="auto" w:fill="FFFFFF"/>
        </w:rPr>
        <w:t xml:space="preserve"> may have been a major challenge for pharmacists </w:t>
      </w:r>
      <w:r>
        <w:rPr>
          <w:rFonts w:asciiTheme="minorBidi" w:hAnsiTheme="minorBidi"/>
          <w:sz w:val="24"/>
          <w:szCs w:val="24"/>
          <w:shd w:val="clear" w:color="auto" w:fill="FFFFFF"/>
        </w:rPr>
        <w:t>in</w:t>
      </w:r>
      <w:r w:rsidRPr="002F370D">
        <w:rPr>
          <w:rFonts w:asciiTheme="minorBidi" w:hAnsiTheme="minorBidi"/>
          <w:sz w:val="24"/>
          <w:szCs w:val="24"/>
          <w:shd w:val="clear" w:color="auto" w:fill="FFFFFF"/>
        </w:rPr>
        <w:t xml:space="preserve"> prov</w:t>
      </w:r>
      <w:r>
        <w:rPr>
          <w:rFonts w:asciiTheme="minorBidi" w:hAnsiTheme="minorBidi"/>
          <w:sz w:val="24"/>
          <w:szCs w:val="24"/>
          <w:shd w:val="clear" w:color="auto" w:fill="FFFFFF"/>
        </w:rPr>
        <w:t>ing</w:t>
      </w:r>
      <w:r w:rsidRPr="002F370D">
        <w:rPr>
          <w:rFonts w:asciiTheme="minorBidi" w:hAnsiTheme="minorBidi"/>
          <w:sz w:val="24"/>
          <w:szCs w:val="24"/>
          <w:shd w:val="clear" w:color="auto" w:fill="FFFFFF"/>
        </w:rPr>
        <w:t xml:space="preserve"> themselves as </w:t>
      </w:r>
      <w:r>
        <w:rPr>
          <w:rFonts w:asciiTheme="minorBidi" w:hAnsiTheme="minorBidi"/>
          <w:sz w:val="24"/>
          <w:szCs w:val="24"/>
          <w:shd w:val="clear" w:color="auto" w:fill="FFFFFF"/>
        </w:rPr>
        <w:t>HCPs</w:t>
      </w:r>
      <w:r w:rsidRPr="002F370D">
        <w:rPr>
          <w:rFonts w:asciiTheme="minorBidi" w:hAnsiTheme="minorBidi"/>
          <w:sz w:val="24"/>
          <w:szCs w:val="24"/>
          <w:shd w:val="clear" w:color="auto" w:fill="FFFFFF"/>
        </w:rPr>
        <w:t xml:space="preserve">. This finding was also reported by </w:t>
      </w:r>
      <w:r w:rsidRPr="004C011D">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{"citationItems":[{"id":"ITEM-1","itemData":{"DOI":"10.9734/jsrr/2015/11637","abstract":"The purpose of this study was to investigate physicians' perceptions and expectations regarding clinical pharmacists working in the healthcare team. In addition, to determining the barriers that impede clinical pharmacists' contributions to the team, from the physician's point. A self-administered questionnaire was delivered to randomly selected physicians in Riyadh hospitals. The survey was pilot-tested on a small group of physicians to improve clarity and limit response bias. A total of 135 physicians were enrolled in this study. In terms of working with clinical pharmacists, 28% and 39% indicated they either never or rarely worked with a clinical pharmacist, respectively, while only 4% and 9% worked with a clinical pharmacist quite often or very often. Respondents agreed that clinical pharmacists were an integral part of the medical team (mean 4.4±0.72) and found them to be helpful in managing drug interactions and side effects, selecting appropriate drug therapies during pregnancy and educating other healthcare workers. Most respondents agreed that the specific responsibilities of a clinical pharmacist were not clearly defined (mean 3.83±0.98). Physicians seemed to be unaware of the potential benefits of having a Clinical Practice Article Almazrou et al.; JSRR, 6(5): 404-415, 2015; Article no.JSRR.2015.165 405 clinical pharmacist on their teams, and some physicians had no prior experience working with clinical pharmacists. Physicians in Riyadh were receptive to most statements regarding perceptions and expectations of clinical pharmacists. They considered them an integral part of the medical team, with a major role in educating other healthcare workers. The most frequently identified barrier was lack of role definition of clinical pharmacists.","author":[{"dropping-particle":"","family":"Almazrou","given":"Saja","non-dropping-particle":"","parse-names":false,"suffix":""},{"dropping-particle":"","family":"Alnaim","given":"Lamya","non-dropping-particle":"","parse-names":false,"suffix":""},{"dropping-particle":"","family":"Al-Kofide","given":"Hadeel","non-dropping-particle":"","parse-names":false,"suffix":""}],"container-title":"Journal of Scientific Research and Reports","id":"ITEM-1","issue":"5","issued":{"date-parts":[["2015"]]},"page":"404-415","title":"Perceptions, Expectations and Barriers of Physicians towards Working with Clinical Pharmacists in Saudi Arabia","type":"article-journal","volume":"6"},"uris":["http://www.mendeley.com/documents/?uuid=502ce6cd-3f43-4975-bcb2-89579b049e7f"]}],"mendeley":{"formattedCitation":"(Almazrou, Alnaim and Al-Kofide, 2015)","manualFormatting":"Almazrou, Alnaim and Al-Kofide (2015)","plainTextFormattedCitation":"(Almazrou, Alnaim and Al-Kofide, 2015)","previouslyFormattedCitation":"(Almazrou, Alnaim and Al-Kofide, 2015)"},"properties":{"noteIndex":0},"schema":"https://github.com/citation-style-language/schema/raw/master/csl-citation.json"}</w:instrText>
      </w:r>
      <w:r w:rsidRPr="004C011D">
        <w:rPr>
          <w:rFonts w:asciiTheme="minorBidi" w:hAnsiTheme="minorBidi"/>
          <w:sz w:val="24"/>
          <w:szCs w:val="24"/>
          <w:shd w:val="clear" w:color="auto" w:fill="FFFFFF"/>
        </w:rPr>
        <w:fldChar w:fldCharType="separate"/>
      </w:r>
      <w:r w:rsidRPr="004C011D">
        <w:rPr>
          <w:rFonts w:asciiTheme="minorBidi" w:hAnsiTheme="minorBidi"/>
          <w:noProof/>
          <w:sz w:val="24"/>
          <w:szCs w:val="24"/>
          <w:shd w:val="clear" w:color="auto" w:fill="FFFFFF"/>
        </w:rPr>
        <w:t xml:space="preserve">Almazrou, Alnaim and Al-Kofide </w:t>
      </w:r>
      <w:r>
        <w:rPr>
          <w:rFonts w:asciiTheme="minorBidi" w:hAnsiTheme="minorBidi"/>
          <w:noProof/>
          <w:sz w:val="24"/>
          <w:szCs w:val="24"/>
          <w:shd w:val="clear" w:color="auto" w:fill="FFFFFF"/>
        </w:rPr>
        <w:t>(</w:t>
      </w:r>
      <w:r w:rsidRPr="004C011D">
        <w:rPr>
          <w:rFonts w:asciiTheme="minorBidi" w:hAnsiTheme="minorBidi"/>
          <w:noProof/>
          <w:sz w:val="24"/>
          <w:szCs w:val="24"/>
          <w:shd w:val="clear" w:color="auto" w:fill="FFFFFF"/>
        </w:rPr>
        <w:t>2015)</w:t>
      </w:r>
      <w:r w:rsidRPr="004C011D">
        <w:rPr>
          <w:rFonts w:asciiTheme="minorBidi" w:hAnsiTheme="minorBidi"/>
          <w:sz w:val="24"/>
          <w:szCs w:val="24"/>
          <w:shd w:val="clear" w:color="auto" w:fill="FFFFFF"/>
        </w:rPr>
        <w:fldChar w:fldCharType="end"/>
      </w:r>
      <w:r>
        <w:rPr>
          <w:rFonts w:asciiTheme="minorBidi" w:hAnsiTheme="minorBidi"/>
          <w:sz w:val="24"/>
          <w:szCs w:val="24"/>
          <w:shd w:val="clear" w:color="auto" w:fill="FFFFFF"/>
        </w:rPr>
        <w:t>.</w:t>
      </w:r>
      <w:r>
        <w:rPr>
          <w:rFonts w:asciiTheme="minorBidi" w:hAnsiTheme="minorBidi"/>
          <w:color w:val="FF0000"/>
          <w:sz w:val="24"/>
          <w:szCs w:val="24"/>
        </w:rPr>
        <w:t xml:space="preserve"> </w:t>
      </w:r>
      <w:r w:rsidRPr="002F370D">
        <w:rPr>
          <w:rFonts w:asciiTheme="minorBidi" w:hAnsiTheme="minorBidi"/>
          <w:sz w:val="24"/>
          <w:szCs w:val="24"/>
          <w:shd w:val="clear" w:color="auto" w:fill="FFFFFF"/>
        </w:rPr>
        <w:t>In addition, the decision to relocate all primary care pharmacists after clos</w:t>
      </w:r>
      <w:r>
        <w:rPr>
          <w:rFonts w:asciiTheme="minorBidi" w:hAnsiTheme="minorBidi"/>
          <w:sz w:val="24"/>
          <w:szCs w:val="24"/>
          <w:shd w:val="clear" w:color="auto" w:fill="FFFFFF"/>
        </w:rPr>
        <w:t>ure of</w:t>
      </w:r>
      <w:r w:rsidRPr="002F370D">
        <w:rPr>
          <w:rFonts w:asciiTheme="minorBidi" w:hAnsiTheme="minorBidi"/>
          <w:sz w:val="24"/>
          <w:szCs w:val="24"/>
          <w:shd w:val="clear" w:color="auto" w:fill="FFFFFF"/>
        </w:rPr>
        <w:t xml:space="preserve"> </w:t>
      </w:r>
      <w:r>
        <w:rPr>
          <w:rFonts w:asciiTheme="minorBidi" w:hAnsiTheme="minorBidi"/>
          <w:sz w:val="24"/>
          <w:szCs w:val="24"/>
          <w:shd w:val="clear" w:color="auto" w:fill="FFFFFF"/>
        </w:rPr>
        <w:t xml:space="preserve">the </w:t>
      </w:r>
      <w:r w:rsidRPr="002F370D">
        <w:rPr>
          <w:rFonts w:asciiTheme="minorBidi" w:hAnsiTheme="minorBidi"/>
          <w:sz w:val="24"/>
          <w:szCs w:val="24"/>
          <w:shd w:val="clear" w:color="auto" w:fill="FFFFFF"/>
        </w:rPr>
        <w:t xml:space="preserve">pharmacies </w:t>
      </w:r>
      <w:r>
        <w:rPr>
          <w:rFonts w:asciiTheme="minorBidi" w:hAnsiTheme="minorBidi"/>
          <w:sz w:val="24"/>
          <w:szCs w:val="24"/>
          <w:shd w:val="clear" w:color="auto" w:fill="FFFFFF"/>
        </w:rPr>
        <w:t>at</w:t>
      </w:r>
      <w:r w:rsidRPr="002F370D">
        <w:rPr>
          <w:rFonts w:asciiTheme="minorBidi" w:hAnsiTheme="minorBidi"/>
          <w:sz w:val="24"/>
          <w:szCs w:val="24"/>
          <w:shd w:val="clear" w:color="auto" w:fill="FFFFFF"/>
        </w:rPr>
        <w:t xml:space="preserve"> PHCs sent a passive message to stakeholders that pharmacists have no role in providing public health services</w:t>
      </w:r>
      <w:r>
        <w:rPr>
          <w:rFonts w:asciiTheme="minorBidi" w:hAnsiTheme="minorBidi"/>
          <w:sz w:val="24"/>
          <w:szCs w:val="24"/>
          <w:shd w:val="clear" w:color="auto" w:fill="FFFFFF"/>
        </w:rPr>
        <w:t>, which was a</w:t>
      </w:r>
      <w:r w:rsidRPr="002F370D">
        <w:rPr>
          <w:rFonts w:asciiTheme="minorBidi" w:hAnsiTheme="minorBidi"/>
          <w:sz w:val="24"/>
          <w:szCs w:val="24"/>
          <w:shd w:val="clear" w:color="auto" w:fill="FFFFFF"/>
        </w:rPr>
        <w:t xml:space="preserve"> </w:t>
      </w:r>
      <w:r>
        <w:rPr>
          <w:rFonts w:asciiTheme="minorBidi" w:hAnsiTheme="minorBidi"/>
          <w:sz w:val="24"/>
          <w:szCs w:val="24"/>
          <w:shd w:val="clear" w:color="auto" w:fill="FFFFFF"/>
        </w:rPr>
        <w:t xml:space="preserve">source of </w:t>
      </w:r>
      <w:r w:rsidRPr="002F370D">
        <w:rPr>
          <w:rFonts w:asciiTheme="minorBidi" w:hAnsiTheme="minorBidi"/>
          <w:sz w:val="24"/>
          <w:szCs w:val="24"/>
          <w:shd w:val="clear" w:color="auto" w:fill="FFFFFF"/>
        </w:rPr>
        <w:t>disappoint</w:t>
      </w:r>
      <w:r>
        <w:rPr>
          <w:rFonts w:asciiTheme="minorBidi" w:hAnsiTheme="minorBidi"/>
          <w:sz w:val="24"/>
          <w:szCs w:val="24"/>
          <w:shd w:val="clear" w:color="auto" w:fill="FFFFFF"/>
        </w:rPr>
        <w:t>ment</w:t>
      </w:r>
      <w:r w:rsidRPr="002F370D">
        <w:rPr>
          <w:rFonts w:asciiTheme="minorBidi" w:hAnsiTheme="minorBidi"/>
          <w:sz w:val="24"/>
          <w:szCs w:val="24"/>
          <w:shd w:val="clear" w:color="auto" w:fill="FFFFFF"/>
        </w:rPr>
        <w:t xml:space="preserve"> for pharmacists.</w:t>
      </w:r>
    </w:p>
    <w:p w14:paraId="4650CA75" w14:textId="77777777" w:rsidR="000B2F68" w:rsidRDefault="000B2F68" w:rsidP="000B2F68">
      <w:pPr>
        <w:spacing w:after="0" w:line="360" w:lineRule="auto"/>
        <w:jc w:val="both"/>
        <w:rPr>
          <w:rFonts w:asciiTheme="minorBidi" w:hAnsiTheme="minorBidi"/>
          <w:sz w:val="24"/>
          <w:szCs w:val="24"/>
        </w:rPr>
      </w:pPr>
      <w:r w:rsidRPr="00720AFB">
        <w:rPr>
          <w:rFonts w:asciiTheme="minorBidi" w:hAnsiTheme="minorBidi"/>
          <w:sz w:val="24"/>
          <w:szCs w:val="24"/>
        </w:rPr>
        <w:t xml:space="preserve">From the results of the two phases, it is clear that there is a demand to reintegrate the pharmacy into </w:t>
      </w:r>
      <w:r>
        <w:rPr>
          <w:rFonts w:asciiTheme="minorBidi" w:hAnsiTheme="minorBidi"/>
          <w:sz w:val="24"/>
          <w:szCs w:val="24"/>
        </w:rPr>
        <w:t>PHCs</w:t>
      </w:r>
      <w:r w:rsidRPr="00720AFB">
        <w:rPr>
          <w:rFonts w:asciiTheme="minorBidi" w:hAnsiTheme="minorBidi"/>
          <w:sz w:val="24"/>
          <w:szCs w:val="24"/>
        </w:rPr>
        <w:t xml:space="preserve"> or to integrate pharmacists into the primary care team, whichever is applicable and in line with the goals of health transformation.</w:t>
      </w:r>
    </w:p>
    <w:p w14:paraId="2473BD14" w14:textId="77777777" w:rsidR="000B2F68" w:rsidRDefault="000B2F68" w:rsidP="000B2F68">
      <w:pPr>
        <w:spacing w:before="240" w:after="0" w:line="360" w:lineRule="auto"/>
        <w:jc w:val="both"/>
        <w:rPr>
          <w:rFonts w:asciiTheme="minorBidi" w:eastAsia="Times New Roman" w:hAnsiTheme="minorBidi"/>
          <w:color w:val="1F3864" w:themeColor="accent1" w:themeShade="80"/>
          <w:sz w:val="24"/>
          <w:szCs w:val="24"/>
          <w:shd w:val="clear" w:color="auto" w:fill="FFFFFF"/>
        </w:rPr>
      </w:pPr>
      <w:r w:rsidRPr="008E0F66">
        <w:rPr>
          <w:rFonts w:asciiTheme="minorBidi" w:hAnsiTheme="minorBidi"/>
          <w:sz w:val="24"/>
          <w:szCs w:val="24"/>
        </w:rPr>
        <w:t>Therefore</w:t>
      </w:r>
      <w:r>
        <w:rPr>
          <w:rFonts w:asciiTheme="minorBidi" w:hAnsiTheme="minorBidi"/>
          <w:sz w:val="24"/>
          <w:szCs w:val="24"/>
        </w:rPr>
        <w:t xml:space="preserve">, </w:t>
      </w:r>
      <w:r w:rsidRPr="00023534">
        <w:rPr>
          <w:rFonts w:asciiTheme="minorBidi" w:hAnsiTheme="minorBidi"/>
          <w:sz w:val="24"/>
          <w:szCs w:val="24"/>
        </w:rPr>
        <w:t xml:space="preserve">the following </w:t>
      </w:r>
      <w:r>
        <w:rPr>
          <w:rFonts w:asciiTheme="minorBidi" w:hAnsiTheme="minorBidi"/>
          <w:sz w:val="24"/>
          <w:szCs w:val="24"/>
        </w:rPr>
        <w:t xml:space="preserve">section will present and discuss the facilitators of adding pharmacists to the diabetes team. It includes the </w:t>
      </w:r>
      <w:r w:rsidRPr="00023534">
        <w:rPr>
          <w:rFonts w:asciiTheme="minorBidi" w:hAnsiTheme="minorBidi"/>
          <w:sz w:val="24"/>
          <w:szCs w:val="24"/>
        </w:rPr>
        <w:t xml:space="preserve">theme and subthemes </w:t>
      </w:r>
      <w:r>
        <w:rPr>
          <w:rFonts w:asciiTheme="minorBidi" w:hAnsiTheme="minorBidi"/>
          <w:sz w:val="24"/>
          <w:szCs w:val="24"/>
        </w:rPr>
        <w:t xml:space="preserve">that </w:t>
      </w:r>
      <w:r w:rsidRPr="00023534">
        <w:rPr>
          <w:rFonts w:asciiTheme="minorBidi" w:hAnsiTheme="minorBidi"/>
          <w:sz w:val="24"/>
          <w:szCs w:val="24"/>
        </w:rPr>
        <w:t xml:space="preserve">emerged </w:t>
      </w:r>
      <w:r>
        <w:rPr>
          <w:rFonts w:asciiTheme="minorBidi" w:hAnsiTheme="minorBidi"/>
          <w:sz w:val="24"/>
          <w:szCs w:val="24"/>
        </w:rPr>
        <w:t>from</w:t>
      </w:r>
      <w:r w:rsidRPr="00023534">
        <w:rPr>
          <w:rFonts w:asciiTheme="minorBidi" w:hAnsiTheme="minorBidi"/>
          <w:sz w:val="24"/>
          <w:szCs w:val="24"/>
        </w:rPr>
        <w:t xml:space="preserve"> linking the quantitative and qualitative findings</w:t>
      </w:r>
      <w:r>
        <w:rPr>
          <w:rFonts w:asciiTheme="minorBidi" w:hAnsiTheme="minorBidi"/>
          <w:sz w:val="24"/>
          <w:szCs w:val="24"/>
        </w:rPr>
        <w:t xml:space="preserve">. </w:t>
      </w:r>
      <w:r w:rsidRPr="005C547D">
        <w:rPr>
          <w:rFonts w:asciiTheme="minorBidi" w:hAnsiTheme="minorBidi"/>
          <w:sz w:val="24"/>
          <w:szCs w:val="24"/>
        </w:rPr>
        <w:t>The theme also consists of the researcher's arguments about the research topic and linking them to the literature review</w:t>
      </w:r>
      <w:r>
        <w:rPr>
          <w:rFonts w:asciiTheme="minorBidi" w:hAnsiTheme="minorBidi"/>
          <w:sz w:val="24"/>
          <w:szCs w:val="24"/>
        </w:rPr>
        <w:t xml:space="preserve">. </w:t>
      </w:r>
    </w:p>
    <w:p w14:paraId="13C6CC97" w14:textId="77777777" w:rsidR="00225E03" w:rsidRDefault="00225E03" w:rsidP="00747BE4">
      <w:pPr>
        <w:spacing w:line="360" w:lineRule="auto"/>
        <w:jc w:val="both"/>
        <w:rPr>
          <w:rFonts w:asciiTheme="minorBidi" w:hAnsiTheme="minorBidi"/>
          <w:sz w:val="24"/>
          <w:szCs w:val="24"/>
        </w:rPr>
      </w:pPr>
    </w:p>
    <w:p w14:paraId="19AF748B" w14:textId="77777777" w:rsidR="00674C3E" w:rsidRDefault="00674C3E" w:rsidP="00747BE4">
      <w:pPr>
        <w:spacing w:line="360" w:lineRule="auto"/>
        <w:jc w:val="both"/>
        <w:rPr>
          <w:rFonts w:asciiTheme="minorBidi" w:hAnsiTheme="minorBidi"/>
          <w:sz w:val="24"/>
          <w:szCs w:val="24"/>
        </w:rPr>
        <w:sectPr w:rsidR="00674C3E">
          <w:pgSz w:w="12240" w:h="15840"/>
          <w:pgMar w:top="1440" w:right="1440" w:bottom="1440" w:left="1440" w:header="720" w:footer="720" w:gutter="0"/>
          <w:cols w:space="720"/>
          <w:docGrid w:linePitch="360"/>
        </w:sectPr>
      </w:pPr>
    </w:p>
    <w:p w14:paraId="7CDD98B0" w14:textId="29199F7D" w:rsidR="005A23C1" w:rsidRDefault="005A23C1" w:rsidP="005A23C1">
      <w:pPr>
        <w:pStyle w:val="Caption"/>
        <w:rPr>
          <w:sz w:val="20"/>
          <w:szCs w:val="20"/>
        </w:rPr>
      </w:pPr>
      <w:bookmarkStart w:id="278" w:name="_Ref124817261"/>
      <w:bookmarkStart w:id="279" w:name="_Toc153894585"/>
      <w:r w:rsidRPr="003A1F7E">
        <w:rPr>
          <w:sz w:val="20"/>
          <w:szCs w:val="20"/>
        </w:rPr>
        <w:t xml:space="preserve">Table </w:t>
      </w:r>
      <w:r w:rsidRPr="003A1F7E">
        <w:rPr>
          <w:sz w:val="20"/>
          <w:szCs w:val="20"/>
        </w:rPr>
        <w:fldChar w:fldCharType="begin"/>
      </w:r>
      <w:r w:rsidRPr="003A1F7E">
        <w:rPr>
          <w:sz w:val="20"/>
          <w:szCs w:val="20"/>
        </w:rPr>
        <w:instrText xml:space="preserve"> SEQ Table \* ARABIC </w:instrText>
      </w:r>
      <w:r w:rsidRPr="003A1F7E">
        <w:rPr>
          <w:sz w:val="20"/>
          <w:szCs w:val="20"/>
        </w:rPr>
        <w:fldChar w:fldCharType="separate"/>
      </w:r>
      <w:r w:rsidR="009B31EB">
        <w:rPr>
          <w:noProof/>
          <w:sz w:val="20"/>
          <w:szCs w:val="20"/>
        </w:rPr>
        <w:t>31</w:t>
      </w:r>
      <w:r w:rsidRPr="003A1F7E">
        <w:rPr>
          <w:sz w:val="20"/>
          <w:szCs w:val="20"/>
        </w:rPr>
        <w:fldChar w:fldCharType="end"/>
      </w:r>
      <w:bookmarkEnd w:id="278"/>
      <w:r w:rsidRPr="003A1F7E">
        <w:rPr>
          <w:sz w:val="20"/>
          <w:szCs w:val="20"/>
        </w:rPr>
        <w:t>: Integrating of Barriers to Pharmacist Involvement in Diabetes Primary Care Management</w:t>
      </w:r>
      <w:bookmarkEnd w:id="279"/>
    </w:p>
    <w:tbl>
      <w:tblPr>
        <w:tblW w:w="14310" w:type="dxa"/>
        <w:tblInd w:w="-455" w:type="dxa"/>
        <w:tblLook w:val="04A0" w:firstRow="1" w:lastRow="0" w:firstColumn="1" w:lastColumn="0" w:noHBand="0" w:noVBand="1"/>
      </w:tblPr>
      <w:tblGrid>
        <w:gridCol w:w="2610"/>
        <w:gridCol w:w="3960"/>
        <w:gridCol w:w="3960"/>
        <w:gridCol w:w="3780"/>
      </w:tblGrid>
      <w:tr w:rsidR="005A23C1" w:rsidRPr="00195D3C" w14:paraId="156470B3" w14:textId="77777777" w:rsidTr="00282204">
        <w:trPr>
          <w:trHeight w:val="520"/>
        </w:trPr>
        <w:tc>
          <w:tcPr>
            <w:tcW w:w="2610" w:type="dxa"/>
            <w:tcBorders>
              <w:top w:val="single" w:sz="4" w:space="0" w:color="auto"/>
              <w:left w:val="single" w:sz="4" w:space="0" w:color="auto"/>
              <w:bottom w:val="single" w:sz="4" w:space="0" w:color="auto"/>
              <w:right w:val="single" w:sz="4" w:space="0" w:color="auto"/>
            </w:tcBorders>
            <w:shd w:val="clear" w:color="auto" w:fill="auto"/>
            <w:hideMark/>
          </w:tcPr>
          <w:p w14:paraId="5C379631" w14:textId="77777777" w:rsidR="005A23C1" w:rsidRPr="00195D3C" w:rsidRDefault="005A23C1" w:rsidP="00282204">
            <w:pPr>
              <w:spacing w:after="0" w:line="240" w:lineRule="auto"/>
              <w:rPr>
                <w:rFonts w:ascii="Calibri" w:eastAsia="Times New Roman" w:hAnsi="Calibri" w:cs="Calibri"/>
                <w:sz w:val="20"/>
                <w:szCs w:val="20"/>
              </w:rPr>
            </w:pPr>
            <w:r w:rsidRPr="00195D3C">
              <w:rPr>
                <w:rFonts w:ascii="Calibri" w:eastAsia="Times New Roman" w:hAnsi="Calibri" w:cs="Calibri"/>
                <w:sz w:val="20"/>
                <w:szCs w:val="20"/>
                <w:lang w:val="en-GB"/>
              </w:rPr>
              <w:t>Research question</w:t>
            </w:r>
          </w:p>
        </w:tc>
        <w:tc>
          <w:tcPr>
            <w:tcW w:w="3960" w:type="dxa"/>
            <w:tcBorders>
              <w:top w:val="single" w:sz="4" w:space="0" w:color="auto"/>
              <w:left w:val="nil"/>
              <w:bottom w:val="single" w:sz="4" w:space="0" w:color="auto"/>
              <w:right w:val="single" w:sz="4" w:space="0" w:color="auto"/>
            </w:tcBorders>
            <w:shd w:val="clear" w:color="auto" w:fill="auto"/>
            <w:hideMark/>
          </w:tcPr>
          <w:p w14:paraId="5B89B230" w14:textId="77777777" w:rsidR="005A23C1" w:rsidRPr="00195D3C" w:rsidRDefault="005A23C1" w:rsidP="00282204">
            <w:pPr>
              <w:spacing w:after="0" w:line="240" w:lineRule="auto"/>
              <w:rPr>
                <w:rFonts w:ascii="Calibri" w:eastAsia="Times New Roman" w:hAnsi="Calibri" w:cs="Calibri"/>
                <w:sz w:val="20"/>
                <w:szCs w:val="20"/>
              </w:rPr>
            </w:pPr>
            <w:r w:rsidRPr="00195D3C">
              <w:rPr>
                <w:rFonts w:ascii="Calibri" w:eastAsia="Times New Roman" w:hAnsi="Calibri" w:cs="Calibri"/>
                <w:sz w:val="20"/>
                <w:szCs w:val="20"/>
                <w:lang w:val="en-GB"/>
              </w:rPr>
              <w:t>Survey</w:t>
            </w:r>
          </w:p>
        </w:tc>
        <w:tc>
          <w:tcPr>
            <w:tcW w:w="3960" w:type="dxa"/>
            <w:tcBorders>
              <w:top w:val="single" w:sz="4" w:space="0" w:color="auto"/>
              <w:left w:val="nil"/>
              <w:bottom w:val="single" w:sz="4" w:space="0" w:color="auto"/>
              <w:right w:val="single" w:sz="4" w:space="0" w:color="auto"/>
            </w:tcBorders>
            <w:shd w:val="clear" w:color="auto" w:fill="auto"/>
            <w:hideMark/>
          </w:tcPr>
          <w:p w14:paraId="4C85B3DA" w14:textId="77777777" w:rsidR="005A23C1" w:rsidRPr="00195D3C" w:rsidRDefault="005A23C1" w:rsidP="00282204">
            <w:pPr>
              <w:spacing w:after="0" w:line="240" w:lineRule="auto"/>
              <w:rPr>
                <w:rFonts w:ascii="Calibri" w:eastAsia="Times New Roman" w:hAnsi="Calibri" w:cs="Calibri"/>
                <w:sz w:val="20"/>
                <w:szCs w:val="20"/>
              </w:rPr>
            </w:pPr>
            <w:r w:rsidRPr="00195D3C">
              <w:rPr>
                <w:rFonts w:ascii="Calibri" w:eastAsia="Times New Roman" w:hAnsi="Calibri" w:cs="Calibri"/>
                <w:sz w:val="20"/>
                <w:szCs w:val="20"/>
                <w:lang w:val="en-GB"/>
              </w:rPr>
              <w:t>Interviews</w:t>
            </w:r>
          </w:p>
        </w:tc>
        <w:tc>
          <w:tcPr>
            <w:tcW w:w="3780" w:type="dxa"/>
            <w:tcBorders>
              <w:top w:val="single" w:sz="4" w:space="0" w:color="auto"/>
              <w:left w:val="nil"/>
              <w:bottom w:val="single" w:sz="4" w:space="0" w:color="auto"/>
              <w:right w:val="single" w:sz="4" w:space="0" w:color="auto"/>
            </w:tcBorders>
            <w:shd w:val="clear" w:color="auto" w:fill="auto"/>
            <w:hideMark/>
          </w:tcPr>
          <w:p w14:paraId="405198EC" w14:textId="77777777" w:rsidR="005A23C1" w:rsidRPr="00195D3C" w:rsidRDefault="005A23C1" w:rsidP="00282204">
            <w:pPr>
              <w:spacing w:after="0" w:line="240" w:lineRule="auto"/>
              <w:rPr>
                <w:rFonts w:ascii="Calibri" w:eastAsia="Times New Roman" w:hAnsi="Calibri" w:cs="Calibri"/>
                <w:sz w:val="20"/>
                <w:szCs w:val="20"/>
              </w:rPr>
            </w:pPr>
            <w:r w:rsidRPr="00195D3C">
              <w:rPr>
                <w:rFonts w:ascii="Calibri" w:eastAsia="Times New Roman" w:hAnsi="Calibri" w:cs="Calibri"/>
                <w:sz w:val="20"/>
                <w:szCs w:val="20"/>
                <w:lang w:val="en-GB"/>
              </w:rPr>
              <w:t xml:space="preserve">Integration </w:t>
            </w:r>
          </w:p>
        </w:tc>
      </w:tr>
      <w:tr w:rsidR="005A23C1" w:rsidRPr="00195D3C" w14:paraId="47AA987B" w14:textId="77777777" w:rsidTr="005A23C1">
        <w:trPr>
          <w:trHeight w:val="2600"/>
        </w:trPr>
        <w:tc>
          <w:tcPr>
            <w:tcW w:w="2610" w:type="dxa"/>
            <w:tcBorders>
              <w:top w:val="nil"/>
              <w:left w:val="single" w:sz="4" w:space="0" w:color="auto"/>
              <w:bottom w:val="single" w:sz="4" w:space="0" w:color="auto"/>
              <w:right w:val="single" w:sz="4" w:space="0" w:color="auto"/>
            </w:tcBorders>
            <w:shd w:val="clear" w:color="auto" w:fill="auto"/>
            <w:hideMark/>
          </w:tcPr>
          <w:p w14:paraId="49444A22"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bCs/>
                <w:sz w:val="20"/>
                <w:szCs w:val="20"/>
              </w:rPr>
              <w:t xml:space="preserve">What are the perceived barriers and facilitators to primary care pharmacists being involved in diabetes care in SA? </w:t>
            </w:r>
          </w:p>
        </w:tc>
        <w:tc>
          <w:tcPr>
            <w:tcW w:w="3960" w:type="dxa"/>
            <w:tcBorders>
              <w:top w:val="nil"/>
              <w:left w:val="nil"/>
              <w:bottom w:val="single" w:sz="4" w:space="0" w:color="auto"/>
              <w:right w:val="single" w:sz="4" w:space="0" w:color="auto"/>
            </w:tcBorders>
            <w:shd w:val="clear" w:color="auto" w:fill="auto"/>
            <w:hideMark/>
          </w:tcPr>
          <w:p w14:paraId="5BDCE2A6" w14:textId="77777777" w:rsidR="005A23C1" w:rsidRPr="00195D3C" w:rsidRDefault="005A23C1" w:rsidP="00282204">
            <w:pPr>
              <w:shd w:val="clear" w:color="auto" w:fill="FFFFFF"/>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-Participants agreed on all barriers listed in the questionnaire.</w:t>
            </w:r>
            <w:r w:rsidRPr="00195D3C">
              <w:rPr>
                <w:rFonts w:asciiTheme="minorBidi" w:eastAsia="Times New Roman" w:hAnsiTheme="minorBidi"/>
                <w:sz w:val="24"/>
                <w:szCs w:val="24"/>
                <w:shd w:val="clear" w:color="auto" w:fill="FFFFFF"/>
              </w:rPr>
              <w:t xml:space="preserve"> </w:t>
            </w:r>
            <w:r w:rsidRPr="00195D3C">
              <w:rPr>
                <w:rFonts w:ascii="Calibri" w:eastAsia="Times New Roman" w:hAnsi="Calibri" w:cs="Calibri"/>
                <w:sz w:val="20"/>
                <w:szCs w:val="20"/>
              </w:rPr>
              <w:t>See Table 26</w:t>
            </w:r>
          </w:p>
          <w:p w14:paraId="43EFF483" w14:textId="77777777" w:rsidR="005A23C1" w:rsidRPr="00195D3C" w:rsidRDefault="005A23C1" w:rsidP="00282204">
            <w:pPr>
              <w:shd w:val="clear" w:color="auto" w:fill="FFFFFF"/>
              <w:spacing w:after="0" w:line="240" w:lineRule="auto"/>
              <w:jc w:val="both"/>
              <w:rPr>
                <w:rFonts w:asciiTheme="minorBidi" w:eastAsia="Times New Roman" w:hAnsiTheme="minorBidi"/>
                <w:sz w:val="24"/>
                <w:szCs w:val="24"/>
                <w:shd w:val="clear" w:color="auto" w:fill="FFFFFF"/>
              </w:rPr>
            </w:pPr>
          </w:p>
          <w:p w14:paraId="6784293E"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-Several barriers to pharmacists providing clinical services to patients with diabetes identified at this stage, see Figure 14. </w:t>
            </w:r>
          </w:p>
          <w:p w14:paraId="542F1FB1" w14:textId="77777777" w:rsidR="005A23C1" w:rsidRPr="00195D3C" w:rsidRDefault="005A23C1" w:rsidP="00282204">
            <w:pPr>
              <w:spacing w:after="0" w:line="240" w:lineRule="auto"/>
              <w:jc w:val="both"/>
              <w:rPr>
                <w:rFonts w:ascii="Calibri" w:eastAsia="Times New Roman" w:hAnsi="Calibri" w:cs="Calibri"/>
                <w:sz w:val="20"/>
                <w:szCs w:val="20"/>
              </w:rPr>
            </w:pPr>
          </w:p>
          <w:p w14:paraId="2EDF9FEB" w14:textId="77777777" w:rsidR="005A23C1"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-The most common barriers were the lack of: well-defined pharmacist role; a private room to interview patients and advise them; awareness of the clinical role of pharmacist by HCPs; with clinical experience of pharmacists as the third highest barrier.</w:t>
            </w:r>
          </w:p>
          <w:p w14:paraId="5406D34F" w14:textId="77777777" w:rsidR="005A23C1" w:rsidRDefault="005A23C1" w:rsidP="00282204">
            <w:pPr>
              <w:spacing w:after="0" w:line="240" w:lineRule="auto"/>
              <w:jc w:val="both"/>
              <w:rPr>
                <w:rFonts w:ascii="Calibri" w:eastAsia="Times New Roman" w:hAnsi="Calibri" w:cs="Calibri"/>
                <w:sz w:val="20"/>
                <w:szCs w:val="20"/>
              </w:rPr>
            </w:pPr>
          </w:p>
          <w:p w14:paraId="24E56ED8"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-Doctors were much less likely to agree with the most stated barriers while pharmacists were more likely to agree with most of them. </w:t>
            </w:r>
          </w:p>
          <w:p w14:paraId="10DA1296" w14:textId="77777777" w:rsidR="005A23C1" w:rsidRPr="00195D3C" w:rsidRDefault="005A23C1" w:rsidP="00282204">
            <w:pPr>
              <w:spacing w:after="0" w:line="240" w:lineRule="auto"/>
              <w:jc w:val="both"/>
              <w:rPr>
                <w:rFonts w:ascii="Calibri" w:eastAsia="Times New Roman" w:hAnsi="Calibri" w:cs="Calibri"/>
                <w:sz w:val="20"/>
                <w:szCs w:val="20"/>
              </w:rPr>
            </w:pPr>
          </w:p>
          <w:p w14:paraId="1907CE39"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-The barrier of lack of confidence of pharmacists in themselves and their ability obtained a higher level of pharmacist' agreement than the level of agreement of other professional groups.</w:t>
            </w:r>
          </w:p>
          <w:p w14:paraId="5B7F305B" w14:textId="77777777" w:rsidR="005A23C1" w:rsidRPr="00195D3C" w:rsidRDefault="005A23C1" w:rsidP="00282204">
            <w:pPr>
              <w:spacing w:after="0" w:line="240" w:lineRule="auto"/>
              <w:jc w:val="both"/>
              <w:rPr>
                <w:rFonts w:ascii="Calibri" w:eastAsia="Times New Roman" w:hAnsi="Calibri" w:cs="Calibri"/>
                <w:sz w:val="20"/>
                <w:szCs w:val="20"/>
              </w:rPr>
            </w:pPr>
          </w:p>
          <w:p w14:paraId="396EF01F"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-Negative comments about the system were also reported by a pharmacist </w:t>
            </w:r>
          </w:p>
          <w:p w14:paraId="6FFE9FAA"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-“The system encourages pharmacists to purely carry out orders, and not question physicians” </w:t>
            </w:r>
          </w:p>
          <w:p w14:paraId="164024C3"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-Pharmacists who wanted to be more proactive are discouraged by such a system that hindered them from taking a more active role. </w:t>
            </w:r>
          </w:p>
          <w:p w14:paraId="35CF04D0" w14:textId="77777777" w:rsidR="005A23C1"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 “Many hospitals and centres are reluctant to develop pharmacist roles further”, which made pharmacists insufficiently equipped to enter into high-level discussions. </w:t>
            </w:r>
          </w:p>
          <w:p w14:paraId="61F86D56" w14:textId="77777777" w:rsidR="005A23C1" w:rsidRPr="00195D3C" w:rsidRDefault="005A23C1" w:rsidP="00282204">
            <w:pPr>
              <w:spacing w:after="0" w:line="240" w:lineRule="auto"/>
              <w:jc w:val="both"/>
              <w:rPr>
                <w:rFonts w:ascii="Calibri" w:eastAsia="Times New Roman" w:hAnsi="Calibri" w:cs="Calibri"/>
                <w:sz w:val="20"/>
                <w:szCs w:val="20"/>
              </w:rPr>
            </w:pPr>
          </w:p>
          <w:p w14:paraId="12876AEA"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-Medicolegal implications reported as another barrier that makes pharmacists worried about taking on advanced clinical roles beyond their traditional pharmacy practice.  </w:t>
            </w:r>
          </w:p>
          <w:p w14:paraId="701D5158" w14:textId="77777777" w:rsidR="005A23C1" w:rsidRPr="00195D3C" w:rsidRDefault="005A23C1" w:rsidP="00282204">
            <w:pPr>
              <w:spacing w:after="0" w:line="240" w:lineRule="auto"/>
              <w:jc w:val="both"/>
              <w:rPr>
                <w:rFonts w:ascii="Calibri" w:eastAsia="Times New Roman" w:hAnsi="Calibri" w:cs="Calibri"/>
                <w:sz w:val="20"/>
                <w:szCs w:val="20"/>
              </w:rPr>
            </w:pPr>
          </w:p>
          <w:p w14:paraId="2FC6A1F8" w14:textId="77777777" w:rsidR="005A23C1" w:rsidRPr="00195D3C" w:rsidRDefault="005A23C1" w:rsidP="00282204">
            <w:pPr>
              <w:spacing w:after="0" w:line="240" w:lineRule="auto"/>
              <w:jc w:val="both"/>
              <w:rPr>
                <w:rFonts w:ascii="Calibri" w:eastAsia="Times New Roman" w:hAnsi="Calibri" w:cs="Calibri"/>
                <w:sz w:val="20"/>
                <w:szCs w:val="20"/>
              </w:rPr>
            </w:pPr>
          </w:p>
        </w:tc>
        <w:tc>
          <w:tcPr>
            <w:tcW w:w="3960" w:type="dxa"/>
            <w:tcBorders>
              <w:top w:val="nil"/>
              <w:left w:val="nil"/>
              <w:bottom w:val="single" w:sz="4" w:space="0" w:color="auto"/>
              <w:right w:val="single" w:sz="4" w:space="0" w:color="auto"/>
            </w:tcBorders>
            <w:shd w:val="clear" w:color="auto" w:fill="auto"/>
            <w:hideMark/>
          </w:tcPr>
          <w:p w14:paraId="72406A74"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-Transferring pharmacists from PHCs impacts their contribution in patient care.</w:t>
            </w:r>
          </w:p>
          <w:p w14:paraId="2C40C94C" w14:textId="77777777" w:rsidR="005A23C1" w:rsidRPr="00195D3C" w:rsidRDefault="005A23C1" w:rsidP="00282204">
            <w:pPr>
              <w:spacing w:after="0" w:line="240" w:lineRule="auto"/>
              <w:jc w:val="both"/>
              <w:rPr>
                <w:rFonts w:ascii="Calibri" w:eastAsia="Times New Roman" w:hAnsi="Calibri" w:cs="Calibri"/>
                <w:sz w:val="20"/>
                <w:szCs w:val="20"/>
              </w:rPr>
            </w:pPr>
          </w:p>
          <w:p w14:paraId="4C77247A"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-Pharmacists faced many challenges to provide clinical services in PHCs.</w:t>
            </w:r>
            <w:r>
              <w:rPr>
                <w:rFonts w:ascii="Calibri" w:eastAsia="Times New Roman" w:hAnsi="Calibri" w:cs="Calibri"/>
                <w:sz w:val="20"/>
                <w:szCs w:val="20"/>
              </w:rPr>
              <w:t xml:space="preserve"> </w:t>
            </w:r>
            <w:r w:rsidRPr="00195D3C">
              <w:rPr>
                <w:rFonts w:ascii="Calibri" w:eastAsia="Times New Roman" w:hAnsi="Calibri" w:cs="Calibri"/>
                <w:sz w:val="20"/>
                <w:szCs w:val="20"/>
              </w:rPr>
              <w:t xml:space="preserve">Participants highlighted several elements in relation to the work environment, such as the health institution system; social behaviours; and leadership support. </w:t>
            </w:r>
          </w:p>
          <w:p w14:paraId="11BF3B2F" w14:textId="77777777" w:rsidR="005A23C1" w:rsidRDefault="005A23C1" w:rsidP="00282204">
            <w:pPr>
              <w:spacing w:after="0" w:line="240" w:lineRule="auto"/>
              <w:jc w:val="both"/>
              <w:rPr>
                <w:rFonts w:ascii="Calibri" w:eastAsia="Times New Roman" w:hAnsi="Calibri" w:cs="Calibri"/>
                <w:sz w:val="20"/>
                <w:szCs w:val="20"/>
              </w:rPr>
            </w:pPr>
          </w:p>
          <w:p w14:paraId="704E2BE6" w14:textId="77777777" w:rsidR="005A23C1" w:rsidRDefault="005A23C1" w:rsidP="00282204">
            <w:pPr>
              <w:spacing w:after="0" w:line="240" w:lineRule="auto"/>
              <w:jc w:val="both"/>
              <w:rPr>
                <w:rFonts w:ascii="Calibri" w:eastAsia="Times New Roman" w:hAnsi="Calibri" w:cs="Calibri"/>
                <w:b/>
                <w:bCs/>
                <w:sz w:val="20"/>
                <w:szCs w:val="20"/>
              </w:rPr>
            </w:pPr>
            <w:r w:rsidRPr="006D0A64">
              <w:rPr>
                <w:rFonts w:ascii="Calibri" w:eastAsia="Times New Roman" w:hAnsi="Calibri" w:cs="Calibri"/>
                <w:b/>
                <w:bCs/>
                <w:sz w:val="20"/>
                <w:szCs w:val="20"/>
              </w:rPr>
              <w:t>Issues related to the healthcare system</w:t>
            </w:r>
            <w:r>
              <w:rPr>
                <w:rFonts w:ascii="Calibri" w:eastAsia="Times New Roman" w:hAnsi="Calibri" w:cs="Calibri"/>
                <w:b/>
                <w:bCs/>
                <w:sz w:val="20"/>
                <w:szCs w:val="20"/>
              </w:rPr>
              <w:t xml:space="preserve"> and leadership support, </w:t>
            </w:r>
            <w:r w:rsidRPr="00D76273">
              <w:rPr>
                <w:rFonts w:ascii="Calibri" w:eastAsia="Times New Roman" w:hAnsi="Calibri" w:cs="Calibri"/>
                <w:sz w:val="20"/>
                <w:szCs w:val="20"/>
              </w:rPr>
              <w:t>for example:</w:t>
            </w:r>
          </w:p>
          <w:p w14:paraId="01F70EBE" w14:textId="77777777" w:rsidR="005A23C1" w:rsidRPr="006D0A64" w:rsidRDefault="005A23C1" w:rsidP="00282204">
            <w:pPr>
              <w:spacing w:after="0" w:line="240" w:lineRule="auto"/>
              <w:jc w:val="both"/>
              <w:rPr>
                <w:rFonts w:ascii="Calibri" w:eastAsia="Times New Roman" w:hAnsi="Calibri" w:cs="Calibri"/>
                <w:b/>
                <w:bCs/>
                <w:sz w:val="20"/>
                <w:szCs w:val="20"/>
              </w:rPr>
            </w:pPr>
          </w:p>
          <w:p w14:paraId="7DFD4FFC" w14:textId="77777777" w:rsidR="005A23C1" w:rsidRPr="00195D3C" w:rsidRDefault="005A23C1" w:rsidP="00282204">
            <w:pPr>
              <w:spacing w:after="0" w:line="240" w:lineRule="auto"/>
              <w:jc w:val="both"/>
              <w:rPr>
                <w:rFonts w:ascii="Calibri" w:eastAsia="Times New Roman" w:hAnsi="Calibri" w:cs="Calibri"/>
                <w:sz w:val="20"/>
                <w:szCs w:val="20"/>
              </w:rPr>
            </w:pPr>
            <w:r>
              <w:rPr>
                <w:rFonts w:ascii="Calibri" w:eastAsia="Times New Roman" w:hAnsi="Calibri" w:cs="Calibri"/>
                <w:sz w:val="20"/>
                <w:szCs w:val="20"/>
              </w:rPr>
              <w:t>-w</w:t>
            </w:r>
            <w:r w:rsidRPr="00195D3C">
              <w:rPr>
                <w:rFonts w:ascii="Calibri" w:eastAsia="Times New Roman" w:hAnsi="Calibri" w:cs="Calibri"/>
                <w:sz w:val="20"/>
                <w:szCs w:val="20"/>
              </w:rPr>
              <w:t xml:space="preserve">orking conditions; workload and shortage of pharmacy staff. </w:t>
            </w:r>
          </w:p>
          <w:p w14:paraId="79F262E4"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w:t>
            </w:r>
            <w:r>
              <w:rPr>
                <w:rFonts w:ascii="Calibri" w:eastAsia="Times New Roman" w:hAnsi="Calibri" w:cs="Calibri"/>
                <w:sz w:val="20"/>
                <w:szCs w:val="20"/>
              </w:rPr>
              <w:t>l</w:t>
            </w:r>
            <w:r w:rsidRPr="00195D3C">
              <w:rPr>
                <w:rFonts w:ascii="Calibri" w:eastAsia="Times New Roman" w:hAnsi="Calibri" w:cs="Calibri"/>
                <w:sz w:val="20"/>
                <w:szCs w:val="20"/>
              </w:rPr>
              <w:t xml:space="preserve">ack of education and training for pharmacists. </w:t>
            </w:r>
          </w:p>
          <w:p w14:paraId="62C8CEC5"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w:t>
            </w:r>
            <w:r>
              <w:rPr>
                <w:rFonts w:ascii="Calibri" w:eastAsia="Times New Roman" w:hAnsi="Calibri" w:cs="Calibri"/>
                <w:sz w:val="20"/>
                <w:szCs w:val="20"/>
              </w:rPr>
              <w:t>l</w:t>
            </w:r>
            <w:r w:rsidRPr="00195D3C">
              <w:rPr>
                <w:rFonts w:ascii="Calibri" w:eastAsia="Times New Roman" w:hAnsi="Calibri" w:cs="Calibri"/>
                <w:sz w:val="20"/>
                <w:szCs w:val="20"/>
              </w:rPr>
              <w:t>ack of facilities</w:t>
            </w:r>
            <w:r>
              <w:rPr>
                <w:rFonts w:ascii="Calibri" w:eastAsia="Times New Roman" w:hAnsi="Calibri" w:cs="Calibri"/>
                <w:sz w:val="20"/>
                <w:szCs w:val="20"/>
              </w:rPr>
              <w:t xml:space="preserve">: </w:t>
            </w:r>
            <w:r w:rsidRPr="00195D3C">
              <w:rPr>
                <w:rFonts w:ascii="Calibri" w:eastAsia="Times New Roman" w:hAnsi="Calibri" w:cs="Calibri"/>
                <w:sz w:val="20"/>
                <w:szCs w:val="20"/>
              </w:rPr>
              <w:t xml:space="preserve">lack of a private </w:t>
            </w:r>
            <w:r>
              <w:rPr>
                <w:rFonts w:ascii="Calibri" w:eastAsia="Times New Roman" w:hAnsi="Calibri" w:cs="Calibri"/>
                <w:sz w:val="20"/>
                <w:szCs w:val="20"/>
              </w:rPr>
              <w:t>for patient consultation</w:t>
            </w:r>
          </w:p>
          <w:p w14:paraId="4CB144D7"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w:t>
            </w:r>
            <w:r>
              <w:rPr>
                <w:rFonts w:ascii="Calibri" w:eastAsia="Times New Roman" w:hAnsi="Calibri" w:cs="Calibri"/>
                <w:sz w:val="20"/>
                <w:szCs w:val="20"/>
              </w:rPr>
              <w:t>r</w:t>
            </w:r>
            <w:r w:rsidRPr="00195D3C">
              <w:rPr>
                <w:rFonts w:ascii="Calibri" w:eastAsia="Times New Roman" w:hAnsi="Calibri" w:cs="Calibri"/>
                <w:sz w:val="20"/>
                <w:szCs w:val="20"/>
              </w:rPr>
              <w:t xml:space="preserve">egulation and </w:t>
            </w:r>
            <w:r>
              <w:rPr>
                <w:rFonts w:ascii="Calibri" w:eastAsia="Times New Roman" w:hAnsi="Calibri" w:cs="Calibri"/>
                <w:sz w:val="20"/>
                <w:szCs w:val="20"/>
              </w:rPr>
              <w:t>l</w:t>
            </w:r>
            <w:r w:rsidRPr="00195D3C">
              <w:rPr>
                <w:rFonts w:ascii="Calibri" w:eastAsia="Times New Roman" w:hAnsi="Calibri" w:cs="Calibri"/>
                <w:sz w:val="20"/>
                <w:szCs w:val="20"/>
              </w:rPr>
              <w:t>egislation issues: lack of a well-defined pharmacists’ role and eligibility to provide a primary care pharmacy service.</w:t>
            </w:r>
          </w:p>
          <w:p w14:paraId="47AACDD0"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w:t>
            </w:r>
            <w:r>
              <w:rPr>
                <w:rFonts w:ascii="Calibri" w:eastAsia="Times New Roman" w:hAnsi="Calibri" w:cs="Calibri"/>
                <w:sz w:val="20"/>
                <w:szCs w:val="20"/>
              </w:rPr>
              <w:t>p</w:t>
            </w:r>
            <w:r w:rsidRPr="00195D3C">
              <w:rPr>
                <w:rFonts w:ascii="Calibri" w:eastAsia="Times New Roman" w:hAnsi="Calibri" w:cs="Calibri"/>
                <w:sz w:val="20"/>
                <w:szCs w:val="20"/>
              </w:rPr>
              <w:t xml:space="preserve">olicy and procedures: clinical activities are not stipulated in PHCs. </w:t>
            </w:r>
          </w:p>
          <w:p w14:paraId="7EA67901"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w:t>
            </w:r>
            <w:r>
              <w:rPr>
                <w:rFonts w:ascii="Calibri" w:eastAsia="Times New Roman" w:hAnsi="Calibri" w:cs="Calibri"/>
                <w:sz w:val="20"/>
                <w:szCs w:val="20"/>
              </w:rPr>
              <w:t>l</w:t>
            </w:r>
            <w:r w:rsidRPr="00195D3C">
              <w:rPr>
                <w:rFonts w:ascii="Calibri" w:eastAsia="Times New Roman" w:hAnsi="Calibri" w:cs="Calibri"/>
                <w:sz w:val="20"/>
                <w:szCs w:val="20"/>
              </w:rPr>
              <w:t>ack of key performance indicators to improve patient care in pharmacy.</w:t>
            </w:r>
          </w:p>
          <w:p w14:paraId="537D1067"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w:t>
            </w:r>
            <w:r>
              <w:rPr>
                <w:rFonts w:ascii="Calibri" w:eastAsia="Times New Roman" w:hAnsi="Calibri" w:cs="Calibri"/>
                <w:sz w:val="20"/>
                <w:szCs w:val="20"/>
              </w:rPr>
              <w:t>l</w:t>
            </w:r>
            <w:r w:rsidRPr="00195D3C">
              <w:rPr>
                <w:rFonts w:ascii="Calibri" w:eastAsia="Times New Roman" w:hAnsi="Calibri" w:cs="Calibri"/>
                <w:sz w:val="20"/>
                <w:szCs w:val="20"/>
              </w:rPr>
              <w:t xml:space="preserve">ack of opportunities for pharmacists to actively contribute to patient care.  </w:t>
            </w:r>
          </w:p>
          <w:p w14:paraId="7FEB0EC3"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 lack of incentives</w:t>
            </w:r>
          </w:p>
          <w:p w14:paraId="77A25CC0" w14:textId="77777777" w:rsidR="005A23C1"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w:t>
            </w:r>
            <w:r>
              <w:rPr>
                <w:rFonts w:ascii="Calibri" w:eastAsia="Times New Roman" w:hAnsi="Calibri" w:cs="Calibri"/>
                <w:sz w:val="20"/>
                <w:szCs w:val="20"/>
              </w:rPr>
              <w:t>d</w:t>
            </w:r>
            <w:r w:rsidRPr="00195D3C">
              <w:rPr>
                <w:rFonts w:ascii="Calibri" w:eastAsia="Times New Roman" w:hAnsi="Calibri" w:cs="Calibri"/>
                <w:sz w:val="20"/>
                <w:szCs w:val="20"/>
              </w:rPr>
              <w:t>ifficulty accessing patient records</w:t>
            </w:r>
          </w:p>
          <w:p w14:paraId="2ACD3327" w14:textId="77777777" w:rsidR="005A23C1" w:rsidRPr="00195D3C" w:rsidRDefault="005A23C1" w:rsidP="00282204">
            <w:pPr>
              <w:spacing w:after="0" w:line="240" w:lineRule="auto"/>
              <w:jc w:val="both"/>
              <w:rPr>
                <w:rFonts w:ascii="Calibri" w:eastAsia="Times New Roman" w:hAnsi="Calibri" w:cs="Calibri"/>
                <w:sz w:val="20"/>
                <w:szCs w:val="20"/>
              </w:rPr>
            </w:pPr>
          </w:p>
          <w:p w14:paraId="1D302D52" w14:textId="77777777" w:rsidR="005A23C1" w:rsidRPr="00D76273" w:rsidRDefault="005A23C1" w:rsidP="00282204">
            <w:pPr>
              <w:spacing w:after="0" w:line="240" w:lineRule="auto"/>
              <w:jc w:val="both"/>
              <w:rPr>
                <w:rFonts w:ascii="Calibri" w:eastAsia="Times New Roman" w:hAnsi="Calibri" w:cs="Calibri"/>
                <w:sz w:val="20"/>
                <w:szCs w:val="20"/>
              </w:rPr>
            </w:pPr>
            <w:r w:rsidRPr="00390639">
              <w:rPr>
                <w:rFonts w:ascii="Calibri" w:eastAsia="Times New Roman" w:hAnsi="Calibri" w:cs="Calibri"/>
                <w:b/>
                <w:bCs/>
                <w:sz w:val="20"/>
                <w:szCs w:val="20"/>
              </w:rPr>
              <w:t>Issues related to healthcare professionals</w:t>
            </w:r>
            <w:r>
              <w:rPr>
                <w:rFonts w:ascii="Calibri" w:eastAsia="Times New Roman" w:hAnsi="Calibri" w:cs="Calibri"/>
                <w:b/>
                <w:bCs/>
                <w:sz w:val="20"/>
                <w:szCs w:val="20"/>
              </w:rPr>
              <w:t xml:space="preserve">, </w:t>
            </w:r>
            <w:r w:rsidRPr="00D76273">
              <w:rPr>
                <w:rFonts w:ascii="Calibri" w:eastAsia="Times New Roman" w:hAnsi="Calibri" w:cs="Calibri"/>
                <w:sz w:val="20"/>
                <w:szCs w:val="20"/>
              </w:rPr>
              <w:t>for example</w:t>
            </w:r>
            <w:r>
              <w:rPr>
                <w:rFonts w:ascii="Calibri" w:eastAsia="Times New Roman" w:hAnsi="Calibri" w:cs="Calibri"/>
                <w:sz w:val="20"/>
                <w:szCs w:val="20"/>
              </w:rPr>
              <w:t>:</w:t>
            </w:r>
          </w:p>
          <w:p w14:paraId="5C476792"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-Lack of awareness of pharmacists’ clinical roles -Attitudes towards pharmacists’ role</w:t>
            </w:r>
          </w:p>
          <w:p w14:paraId="3A5D4280" w14:textId="77777777" w:rsidR="005A23C1"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-Lack of qualified and trained pharmacists who can provide advanced clinical pharmacy services to patients of PHCs.</w:t>
            </w:r>
          </w:p>
          <w:p w14:paraId="26CD0902" w14:textId="77777777" w:rsidR="005A23C1" w:rsidRDefault="005A23C1" w:rsidP="00282204">
            <w:pPr>
              <w:spacing w:after="0" w:line="240" w:lineRule="auto"/>
              <w:jc w:val="both"/>
              <w:rPr>
                <w:rFonts w:ascii="Calibri" w:eastAsia="Times New Roman" w:hAnsi="Calibri" w:cs="Calibri"/>
                <w:sz w:val="20"/>
                <w:szCs w:val="20"/>
              </w:rPr>
            </w:pPr>
          </w:p>
          <w:p w14:paraId="22DF69C5"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-Inequality in pharmacy practice across the regions of SA, since advanced pharmacy practice is well implemented in the capital city, Riyadh, and other big cities such as Dharan.</w:t>
            </w:r>
          </w:p>
          <w:p w14:paraId="6FE96E73" w14:textId="77777777" w:rsidR="005A23C1" w:rsidRPr="00195D3C" w:rsidRDefault="005A23C1" w:rsidP="00282204">
            <w:pPr>
              <w:spacing w:after="0" w:line="240" w:lineRule="auto"/>
              <w:jc w:val="both"/>
              <w:rPr>
                <w:rFonts w:ascii="Calibri" w:eastAsia="Times New Roman" w:hAnsi="Calibri" w:cs="Calibri"/>
                <w:sz w:val="20"/>
                <w:szCs w:val="20"/>
              </w:rPr>
            </w:pPr>
          </w:p>
          <w:p w14:paraId="30912618" w14:textId="30349873" w:rsidR="005A23C1" w:rsidRPr="00195D3C" w:rsidRDefault="005A23C1" w:rsidP="005A23C1">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 </w:t>
            </w:r>
          </w:p>
        </w:tc>
        <w:tc>
          <w:tcPr>
            <w:tcW w:w="3780" w:type="dxa"/>
            <w:tcBorders>
              <w:top w:val="nil"/>
              <w:left w:val="nil"/>
              <w:bottom w:val="single" w:sz="4" w:space="0" w:color="auto"/>
              <w:right w:val="single" w:sz="4" w:space="0" w:color="auto"/>
            </w:tcBorders>
            <w:shd w:val="clear" w:color="auto" w:fill="auto"/>
            <w:hideMark/>
          </w:tcPr>
          <w:p w14:paraId="4B6F2A61" w14:textId="77777777" w:rsidR="005A23C1" w:rsidRPr="00195D3C" w:rsidRDefault="005A23C1" w:rsidP="00282204">
            <w:pPr>
              <w:spacing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Together, these findings provide important insights into the challenges of engaging pharmacists in diabetes primary care management. </w:t>
            </w:r>
          </w:p>
          <w:p w14:paraId="02B9A5E8" w14:textId="77777777" w:rsidR="005A23C1" w:rsidRPr="00195D3C" w:rsidRDefault="005A23C1" w:rsidP="00282204">
            <w:pPr>
              <w:spacing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General agreement on all barriers related to the healthcare system, such as the current primary healthcare structure and leadership support. </w:t>
            </w:r>
          </w:p>
          <w:p w14:paraId="271E6084" w14:textId="77777777" w:rsidR="005A23C1" w:rsidRPr="00195D3C" w:rsidRDefault="005A23C1" w:rsidP="00282204">
            <w:pPr>
              <w:spacing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Currently, the biggest challenge is the structure of primary care. The separation of pharmaceutical care from PHCs has led to a gap in providing optimal patient care. </w:t>
            </w:r>
          </w:p>
          <w:p w14:paraId="53697A60" w14:textId="77777777" w:rsidR="005A23C1" w:rsidRPr="00195D3C" w:rsidRDefault="005A23C1" w:rsidP="00282204">
            <w:pPr>
              <w:spacing w:line="240" w:lineRule="auto"/>
              <w:jc w:val="both"/>
              <w:rPr>
                <w:rFonts w:ascii="Calibri" w:eastAsia="Times New Roman" w:hAnsi="Calibri" w:cs="Calibri"/>
                <w:sz w:val="20"/>
                <w:szCs w:val="20"/>
              </w:rPr>
            </w:pPr>
            <w:r w:rsidRPr="00195D3C">
              <w:rPr>
                <w:rFonts w:ascii="Calibri" w:eastAsia="Times New Roman" w:hAnsi="Calibri" w:cs="Calibri"/>
                <w:sz w:val="20"/>
                <w:szCs w:val="20"/>
              </w:rPr>
              <w:t>Despite the potential benefits of closing pharmacies in PHCs and moving dispensing prescriptions to the retail community pharmacies, integrating them in diabetes primary care management may currently be unattainable</w:t>
            </w:r>
            <w:r>
              <w:rPr>
                <w:rFonts w:ascii="Calibri" w:eastAsia="Times New Roman" w:hAnsi="Calibri" w:cs="Calibri"/>
                <w:sz w:val="20"/>
                <w:szCs w:val="20"/>
              </w:rPr>
              <w:t>.</w:t>
            </w:r>
          </w:p>
          <w:p w14:paraId="10889E3A" w14:textId="77777777" w:rsidR="005A23C1" w:rsidRPr="00195D3C" w:rsidRDefault="005A23C1" w:rsidP="00282204">
            <w:pPr>
              <w:spacing w:after="0" w:line="240" w:lineRule="auto"/>
              <w:jc w:val="both"/>
              <w:rPr>
                <w:rFonts w:ascii="Calibri" w:eastAsia="Times New Roman" w:hAnsi="Calibri" w:cs="Calibri"/>
                <w:sz w:val="20"/>
                <w:szCs w:val="20"/>
              </w:rPr>
            </w:pPr>
            <w:r w:rsidRPr="00195D3C">
              <w:rPr>
                <w:rFonts w:ascii="Calibri" w:eastAsia="Times New Roman" w:hAnsi="Calibri" w:cs="Calibri"/>
                <w:sz w:val="20"/>
                <w:szCs w:val="20"/>
              </w:rPr>
              <w:t xml:space="preserve">Most of the participants believed that the pharmacists play an important role in patient care, especially in diabetes management; and they demanded the return of the pharmacists’ role in PHCs due to its potential benefits to patient’s safety and care delivery. However, multiple challenges were mentioned, some related to the healthcare system and others related to the healthcare providers. For example, preparing and training pharmacists to provide advanced pharmaceutical care, such as providing drug review and medication therapy management to patients with diabetes requires the support of officials and decision-makers at the highest levels. </w:t>
            </w:r>
          </w:p>
          <w:p w14:paraId="642AD961" w14:textId="77777777" w:rsidR="005A23C1" w:rsidRPr="00195D3C" w:rsidRDefault="005A23C1" w:rsidP="00282204">
            <w:pPr>
              <w:spacing w:after="0" w:line="240" w:lineRule="auto"/>
              <w:jc w:val="both"/>
              <w:rPr>
                <w:rFonts w:ascii="Calibri" w:eastAsia="Times New Roman" w:hAnsi="Calibri" w:cs="Calibri"/>
                <w:sz w:val="20"/>
                <w:szCs w:val="20"/>
              </w:rPr>
            </w:pPr>
          </w:p>
          <w:p w14:paraId="5AE254EC" w14:textId="77777777" w:rsidR="005A23C1" w:rsidRDefault="005A23C1" w:rsidP="00282204">
            <w:pPr>
              <w:spacing w:after="0" w:line="240" w:lineRule="auto"/>
              <w:jc w:val="both"/>
              <w:rPr>
                <w:rFonts w:ascii="Calibri" w:eastAsia="Times New Roman" w:hAnsi="Calibri" w:cs="Calibri"/>
                <w:sz w:val="20"/>
                <w:szCs w:val="20"/>
              </w:rPr>
            </w:pPr>
          </w:p>
          <w:p w14:paraId="37E0D726" w14:textId="77777777" w:rsidR="005A23C1" w:rsidRPr="00195D3C" w:rsidRDefault="005A23C1" w:rsidP="00282204">
            <w:pPr>
              <w:spacing w:after="0" w:line="240" w:lineRule="auto"/>
              <w:jc w:val="both"/>
              <w:rPr>
                <w:rFonts w:ascii="Calibri" w:eastAsia="Times New Roman" w:hAnsi="Calibri" w:cs="Calibri"/>
                <w:sz w:val="20"/>
                <w:szCs w:val="20"/>
              </w:rPr>
            </w:pPr>
          </w:p>
        </w:tc>
      </w:tr>
    </w:tbl>
    <w:p w14:paraId="326D271B" w14:textId="77777777" w:rsidR="00674C3E" w:rsidRDefault="00674C3E" w:rsidP="00747BE4">
      <w:pPr>
        <w:spacing w:line="360" w:lineRule="auto"/>
        <w:jc w:val="both"/>
        <w:rPr>
          <w:rFonts w:asciiTheme="minorBidi" w:hAnsiTheme="minorBidi"/>
          <w:sz w:val="24"/>
          <w:szCs w:val="24"/>
        </w:rPr>
        <w:sectPr w:rsidR="00674C3E" w:rsidSect="00674C3E">
          <w:pgSz w:w="15840" w:h="12240" w:orient="landscape"/>
          <w:pgMar w:top="1440" w:right="1440" w:bottom="1440" w:left="1440" w:header="720" w:footer="720" w:gutter="0"/>
          <w:cols w:space="720"/>
          <w:docGrid w:linePitch="360"/>
        </w:sectPr>
      </w:pPr>
    </w:p>
    <w:p w14:paraId="4C746BD8" w14:textId="77777777" w:rsidR="00A17CD2" w:rsidRDefault="00A17CD2" w:rsidP="00A17CD2">
      <w:pPr>
        <w:pStyle w:val="Heading3"/>
        <w:numPr>
          <w:ilvl w:val="2"/>
          <w:numId w:val="30"/>
        </w:numPr>
        <w:spacing w:line="257" w:lineRule="auto"/>
        <w:ind w:left="0" w:firstLine="0"/>
        <w:rPr>
          <w:shd w:val="clear" w:color="auto" w:fill="FFFFFF"/>
        </w:rPr>
      </w:pPr>
      <w:bookmarkStart w:id="280" w:name="_Toc153894214"/>
      <w:r w:rsidRPr="00437EC8">
        <w:rPr>
          <w:shd w:val="clear" w:color="auto" w:fill="FFFFFF"/>
        </w:rPr>
        <w:t>Involving pharmacists in diabetes management in line with the transformation of the Saudi Ministry of Health system</w:t>
      </w:r>
      <w:bookmarkEnd w:id="280"/>
    </w:p>
    <w:p w14:paraId="295A1DC1" w14:textId="5633A8E0" w:rsidR="00A17CD2" w:rsidRDefault="00A17CD2" w:rsidP="00A17CD2">
      <w:pPr>
        <w:spacing w:before="240" w:line="360" w:lineRule="auto"/>
        <w:jc w:val="both"/>
        <w:rPr>
          <w:rFonts w:asciiTheme="minorBidi" w:hAnsiTheme="minorBidi"/>
          <w:sz w:val="24"/>
          <w:szCs w:val="24"/>
          <w:shd w:val="clear" w:color="auto" w:fill="FFFFFF"/>
        </w:rPr>
      </w:pPr>
      <w:r w:rsidRPr="00B24F32">
        <w:rPr>
          <w:rFonts w:asciiTheme="minorBidi" w:hAnsiTheme="minorBidi"/>
          <w:sz w:val="24"/>
          <w:szCs w:val="24"/>
          <w:shd w:val="clear" w:color="auto" w:fill="FFFFFF"/>
        </w:rPr>
        <w:t xml:space="preserve">This final theme </w:t>
      </w:r>
      <w:r>
        <w:rPr>
          <w:rFonts w:asciiTheme="minorBidi" w:hAnsiTheme="minorBidi"/>
          <w:sz w:val="24"/>
          <w:szCs w:val="24"/>
          <w:shd w:val="clear" w:color="auto" w:fill="FFFFFF"/>
        </w:rPr>
        <w:t>emerged from</w:t>
      </w:r>
      <w:r w:rsidRPr="00B24F32">
        <w:rPr>
          <w:rFonts w:asciiTheme="minorBidi" w:hAnsiTheme="minorBidi"/>
          <w:sz w:val="24"/>
          <w:szCs w:val="24"/>
          <w:shd w:val="clear" w:color="auto" w:fill="FFFFFF"/>
        </w:rPr>
        <w:t xml:space="preserve"> discussions of factors that support and facilitate pharmacists involvement in diabetes primary care management. </w:t>
      </w:r>
      <w:r w:rsidRPr="002367CC">
        <w:rPr>
          <w:rFonts w:asciiTheme="minorBidi" w:hAnsiTheme="minorBidi"/>
          <w:sz w:val="24"/>
          <w:szCs w:val="24"/>
          <w:shd w:val="clear" w:color="auto" w:fill="FFFFFF"/>
        </w:rPr>
        <w:t xml:space="preserve">This theme was </w:t>
      </w:r>
      <w:r>
        <w:rPr>
          <w:rFonts w:asciiTheme="minorBidi" w:hAnsiTheme="minorBidi"/>
          <w:sz w:val="24"/>
          <w:szCs w:val="24"/>
          <w:shd w:val="clear" w:color="auto" w:fill="FFFFFF"/>
        </w:rPr>
        <w:t xml:space="preserve">created </w:t>
      </w:r>
      <w:r w:rsidRPr="002367CC">
        <w:rPr>
          <w:rFonts w:asciiTheme="minorBidi" w:hAnsiTheme="minorBidi"/>
          <w:sz w:val="24"/>
          <w:szCs w:val="24"/>
          <w:shd w:val="clear" w:color="auto" w:fill="FFFFFF"/>
        </w:rPr>
        <w:t>based on the findings of integrating the research phases</w:t>
      </w:r>
      <w:r w:rsidRPr="00B24F32">
        <w:rPr>
          <w:rFonts w:asciiTheme="minorBidi" w:hAnsiTheme="minorBidi"/>
          <w:sz w:val="24"/>
          <w:szCs w:val="24"/>
          <w:shd w:val="clear" w:color="auto" w:fill="FFFFFF"/>
        </w:rPr>
        <w:t xml:space="preserve">, as shown in </w:t>
      </w:r>
      <w:r w:rsidRPr="0029273D">
        <w:rPr>
          <w:rFonts w:asciiTheme="minorBidi" w:hAnsiTheme="minorBidi"/>
          <w:color w:val="1F3864" w:themeColor="accent1" w:themeShade="80"/>
          <w:sz w:val="24"/>
          <w:szCs w:val="24"/>
          <w:shd w:val="clear" w:color="auto" w:fill="FFFFFF"/>
        </w:rPr>
        <w:fldChar w:fldCharType="begin"/>
      </w:r>
      <w:r w:rsidRPr="0029273D">
        <w:rPr>
          <w:rFonts w:asciiTheme="minorBidi" w:hAnsiTheme="minorBidi"/>
          <w:color w:val="1F3864" w:themeColor="accent1" w:themeShade="80"/>
          <w:sz w:val="24"/>
          <w:szCs w:val="24"/>
          <w:shd w:val="clear" w:color="auto" w:fill="FFFFFF"/>
        </w:rPr>
        <w:instrText xml:space="preserve"> REF _Ref124817264 \h  \* MERGEFORMAT </w:instrText>
      </w:r>
      <w:r w:rsidRPr="0029273D">
        <w:rPr>
          <w:rFonts w:asciiTheme="minorBidi" w:hAnsiTheme="minorBidi"/>
          <w:color w:val="1F3864" w:themeColor="accent1" w:themeShade="80"/>
          <w:sz w:val="24"/>
          <w:szCs w:val="24"/>
          <w:shd w:val="clear" w:color="auto" w:fill="FFFFFF"/>
        </w:rPr>
      </w:r>
      <w:r w:rsidRPr="0029273D">
        <w:rPr>
          <w:rFonts w:asciiTheme="minorBidi" w:hAnsiTheme="minorBidi"/>
          <w:color w:val="1F3864" w:themeColor="accent1" w:themeShade="80"/>
          <w:sz w:val="24"/>
          <w:szCs w:val="24"/>
          <w:shd w:val="clear" w:color="auto" w:fill="FFFFFF"/>
        </w:rPr>
        <w:fldChar w:fldCharType="separate"/>
      </w:r>
      <w:r w:rsidR="00A0034D" w:rsidRPr="00A0034D">
        <w:rPr>
          <w:rFonts w:asciiTheme="minorBidi" w:hAnsiTheme="minorBidi"/>
          <w:color w:val="1F3864" w:themeColor="accent1" w:themeShade="80"/>
          <w:sz w:val="24"/>
          <w:szCs w:val="24"/>
          <w:shd w:val="clear" w:color="auto" w:fill="FFFFFF"/>
        </w:rPr>
        <w:t>Table 32</w:t>
      </w:r>
      <w:r w:rsidRPr="0029273D">
        <w:rPr>
          <w:rFonts w:asciiTheme="minorBidi" w:hAnsiTheme="minorBidi"/>
          <w:color w:val="1F3864" w:themeColor="accent1" w:themeShade="80"/>
          <w:sz w:val="24"/>
          <w:szCs w:val="24"/>
          <w:shd w:val="clear" w:color="auto" w:fill="FFFFFF"/>
        </w:rPr>
        <w:fldChar w:fldCharType="end"/>
      </w:r>
      <w:r>
        <w:rPr>
          <w:rFonts w:asciiTheme="minorBidi" w:hAnsiTheme="minorBidi"/>
          <w:color w:val="1F3864" w:themeColor="accent1" w:themeShade="80"/>
          <w:sz w:val="24"/>
          <w:szCs w:val="24"/>
          <w:shd w:val="clear" w:color="auto" w:fill="FFFFFF"/>
        </w:rPr>
        <w:t xml:space="preserve">. </w:t>
      </w:r>
      <w:r w:rsidRPr="00471906">
        <w:rPr>
          <w:rFonts w:asciiTheme="minorBidi" w:hAnsiTheme="minorBidi"/>
          <w:sz w:val="24"/>
          <w:szCs w:val="24"/>
          <w:shd w:val="clear" w:color="auto" w:fill="FFFFFF"/>
        </w:rPr>
        <w:t>It links the results to the literature review and includes the researcher's arguments.</w:t>
      </w:r>
    </w:p>
    <w:p w14:paraId="01343841" w14:textId="77777777" w:rsidR="00A17CD2" w:rsidRDefault="00A17CD2" w:rsidP="00A17CD2">
      <w:pPr>
        <w:spacing w:before="240" w:line="360" w:lineRule="auto"/>
        <w:jc w:val="both"/>
        <w:rPr>
          <w:rStyle w:val="lookup-resultcontent"/>
          <w:rFonts w:ascii="Arial" w:hAnsi="Arial" w:cs="Arial"/>
          <w:sz w:val="24"/>
          <w:szCs w:val="24"/>
          <w:lang w:val="en-GB"/>
        </w:rPr>
      </w:pPr>
      <w:r w:rsidRPr="000F2C49">
        <w:rPr>
          <w:rFonts w:asciiTheme="minorBidi" w:hAnsiTheme="minorBidi"/>
          <w:sz w:val="24"/>
          <w:szCs w:val="24"/>
          <w:shd w:val="clear" w:color="auto" w:fill="FFFFFF"/>
        </w:rPr>
        <w:t xml:space="preserve">In the context of the current transformation of primary care pharmacies, the current study revealed that pharmacists do not </w:t>
      </w:r>
      <w:r>
        <w:rPr>
          <w:rFonts w:asciiTheme="minorBidi" w:hAnsiTheme="minorBidi"/>
          <w:sz w:val="24"/>
          <w:szCs w:val="24"/>
          <w:shd w:val="clear" w:color="auto" w:fill="FFFFFF"/>
        </w:rPr>
        <w:t xml:space="preserve">actively </w:t>
      </w:r>
      <w:r w:rsidRPr="000F2C49">
        <w:rPr>
          <w:rFonts w:asciiTheme="minorBidi" w:hAnsiTheme="minorBidi"/>
          <w:sz w:val="24"/>
          <w:szCs w:val="24"/>
          <w:shd w:val="clear" w:color="auto" w:fill="FFFFFF"/>
        </w:rPr>
        <w:t>contribute to patient care at the primary care level, as primary</w:t>
      </w:r>
      <w:r>
        <w:rPr>
          <w:rFonts w:asciiTheme="minorBidi" w:hAnsiTheme="minorBidi"/>
          <w:sz w:val="24"/>
          <w:szCs w:val="24"/>
          <w:shd w:val="clear" w:color="auto" w:fill="FFFFFF"/>
        </w:rPr>
        <w:t>/</w:t>
      </w:r>
      <w:r w:rsidRPr="007861D9">
        <w:rPr>
          <w:rFonts w:asciiTheme="minorBidi" w:hAnsiTheme="minorBidi"/>
          <w:sz w:val="24"/>
          <w:szCs w:val="24"/>
          <w:shd w:val="clear" w:color="auto" w:fill="FFFFFF"/>
        </w:rPr>
        <w:t xml:space="preserve"> </w:t>
      </w:r>
      <w:r w:rsidRPr="000F2C49">
        <w:rPr>
          <w:rFonts w:asciiTheme="minorBidi" w:hAnsiTheme="minorBidi"/>
          <w:sz w:val="24"/>
          <w:szCs w:val="24"/>
          <w:shd w:val="clear" w:color="auto" w:fill="FFFFFF"/>
        </w:rPr>
        <w:t xml:space="preserve">ambulatory care pharmacy services are not currently implemented in </w:t>
      </w:r>
      <w:r>
        <w:rPr>
          <w:rFonts w:asciiTheme="minorBidi" w:hAnsiTheme="minorBidi"/>
          <w:sz w:val="24"/>
          <w:szCs w:val="24"/>
          <w:shd w:val="clear" w:color="auto" w:fill="FFFFFF"/>
        </w:rPr>
        <w:t>PHCs</w:t>
      </w:r>
      <w:r w:rsidRPr="000F2C49">
        <w:rPr>
          <w:rFonts w:asciiTheme="minorBidi" w:hAnsiTheme="minorBidi"/>
          <w:sz w:val="24"/>
          <w:szCs w:val="24"/>
          <w:shd w:val="clear" w:color="auto" w:fill="FFFFFF"/>
        </w:rPr>
        <w:t xml:space="preserve"> of the Saudi </w:t>
      </w:r>
      <w:r>
        <w:rPr>
          <w:rFonts w:asciiTheme="minorBidi" w:hAnsiTheme="minorBidi"/>
          <w:sz w:val="24"/>
          <w:szCs w:val="24"/>
          <w:shd w:val="clear" w:color="auto" w:fill="FFFFFF"/>
        </w:rPr>
        <w:t xml:space="preserve">MoH. This contrasts with </w:t>
      </w:r>
      <w:r w:rsidRPr="000F2C49">
        <w:rPr>
          <w:rFonts w:asciiTheme="minorBidi" w:hAnsiTheme="minorBidi"/>
          <w:sz w:val="24"/>
          <w:szCs w:val="24"/>
          <w:shd w:val="clear" w:color="auto" w:fill="FFFFFF"/>
        </w:rPr>
        <w:t xml:space="preserve">other </w:t>
      </w:r>
      <w:r w:rsidRPr="009B11CD">
        <w:rPr>
          <w:rFonts w:asciiTheme="minorBidi" w:hAnsiTheme="minorBidi"/>
          <w:sz w:val="24"/>
          <w:szCs w:val="24"/>
          <w:lang w:val="en-GB"/>
        </w:rPr>
        <w:t>governmental institutions</w:t>
      </w:r>
      <w:r w:rsidRPr="000F2C49">
        <w:rPr>
          <w:rFonts w:asciiTheme="minorBidi" w:hAnsiTheme="minorBidi"/>
          <w:sz w:val="24"/>
          <w:szCs w:val="24"/>
          <w:shd w:val="clear" w:color="auto" w:fill="FFFFFF"/>
        </w:rPr>
        <w:t xml:space="preserve"> such as PHCs of the Ministry of National Guard or the Ministry of Defense and Aviation</w:t>
      </w:r>
      <w:r>
        <w:rPr>
          <w:rFonts w:asciiTheme="minorBidi" w:hAnsiTheme="minorBidi"/>
          <w:sz w:val="24"/>
          <w:szCs w:val="24"/>
          <w:shd w:val="clear" w:color="auto" w:fill="FFFFFF"/>
        </w:rPr>
        <w:t>,</w:t>
      </w:r>
      <w:r w:rsidRPr="000F2C49">
        <w:rPr>
          <w:rFonts w:asciiTheme="minorBidi" w:hAnsiTheme="minorBidi"/>
          <w:sz w:val="24"/>
          <w:szCs w:val="24"/>
          <w:shd w:val="clear" w:color="auto" w:fill="FFFFFF"/>
        </w:rPr>
        <w:t xml:space="preserve"> where the role of pharmacists has expanded beyond medication dispensing to more clinically active involvement in patient care </w:t>
      </w:r>
      <w:r>
        <w:rPr>
          <w:rFonts w:asciiTheme="minorBidi" w:hAnsiTheme="minorBidi"/>
          <w:sz w:val="24"/>
          <w:szCs w:val="24"/>
          <w:shd w:val="clear" w:color="auto" w:fill="FFFFFF"/>
        </w:rPr>
        <w:t xml:space="preserve">and has been extensively studied and reported on </w:t>
      </w:r>
      <w:r w:rsidRPr="001056C0">
        <w:rPr>
          <w:rStyle w:val="lookup-resultcontent"/>
          <w:rFonts w:asciiTheme="minorBidi" w:eastAsia="Times New Roman" w:hAnsiTheme="minorBidi"/>
          <w:sz w:val="24"/>
          <w:szCs w:val="24"/>
          <w:lang w:val="en-GB"/>
        </w:rPr>
        <w:fldChar w:fldCharType="begin" w:fldLock="1"/>
      </w:r>
      <w:r>
        <w:rPr>
          <w:rStyle w:val="lookup-resultcontent"/>
          <w:rFonts w:asciiTheme="minorBidi" w:eastAsia="Times New Roman" w:hAnsiTheme="minorBidi"/>
          <w:sz w:val="24"/>
          <w:szCs w:val="24"/>
          <w:lang w:val="en-GB"/>
        </w:rPr>
        <w:instrText>ADDIN CSL_CITATION {"citationItems":[{"id":"ITEM-1","itemData":{"author":[{"dropping-particle":"","family":"Asmary","given":"S M","non-dropping-particle":"Al","parse-names":false,"suffix":""},{"dropping-particle":"","family":"Al-Harbi","given":"T","non-dropping-particle":"","parse-names":false,"suffix":""},{"dropping-particle":"","family":"Tourkmani","given":"A M","non-dropping-particle":"","parse-names":false,"suffix":""},{"dropping-particle":"","family":"Khashan","given":"H I","non-dropping-particle":"Al","parse-names":false,"suffix":""},{"dropping-particle":"","family":"Al-Qahtani","given":"H","non-dropping-particle":"","parse-names":false,"suffix":""},{"dropping-particle":"","family":"Mishriky","given":"Adel","non-dropping-particle":"","parse-names":false,"suffix":""},{"dropping-particle":"","family":"Bakhiet","given":"A","non-dropping-particle":"","parse-names":false,"suffix":""},{"dropping-particle":"","family":"Nowaiser","given":"N A","non-dropping-particle":"Al","parse-names":false,"suffix":""}],"container-title":"www.jcomjournal.com","id":"ITEM-1","issue":"8","issued":{"date-parts":[["2013"]]},"note":"From Duplicate 1 (Impact of Integrated Care Program on Glycemic Control and Cardiovascular Risk in Adult Patients with Type 2 Diabetes - Al Asmary, S M; Al-Harbi, T; Tourkmani, A M; Al Khashan, H I; Al-Qahtani, H; Mishriky, Adel; Bakhiet, A; Al Nowaiser, N A)\n\nFrom Duplicate 2 (Impact of integrated care program on glycemic control and cardiovascular risk in adult patients with type 2 diabetes - Al Asmary, S M; Al-Harbi, T; Tourkmani, A M; Al Khashan, H I; Al-Qahtani, H; Mishriky, A; Bakhiet, A; Al Nowaiser, N A)\n\nCited By :5\n\nExport Date: 6 September 2019\n\nFrom Duplicate 3 (Impact of integrated care program on glycemic control and cardiovascular risk in adult patients with type 2 diabetes - Al Asmary, S M; Al-Harbi, T; Tourkmani, A M; Al Khashan, H I; Al-Qahtani, H; Mishriky, A; Bakhiet, A; Al Nowaiser, N A)\n\nCited By :5\n\nExport Date: 6 September 2019","page":"356-363","title":"Impact of Integrated Care Program on Glycemic Control and Cardiovascular Risk in Adult Patients with Type 2 Diabetes","type":"article-journal","volume":"20"},"uris":["http://www.mendeley.com/documents/?uuid=851f3ec1-9b89-4cae-8f8f-728bbde59d64"]}],"mendeley":{"formattedCitation":"(Al Asmary &lt;i&gt;et al.&lt;/i&gt;, 2013)","manualFormatting":"(Al Asmary et al., 2013","plainTextFormattedCitation":"(Al Asmary et al., 2013)","previouslyFormattedCitation":"(Al Asmary &lt;i&gt;et al.&lt;/i&gt;, 2013)"},"properties":{"noteIndex":0},"schema":"https://github.com/citation-style-language/schema/raw/master/csl-citation.json"}</w:instrText>
      </w:r>
      <w:r w:rsidRPr="001056C0">
        <w:rPr>
          <w:rStyle w:val="lookup-resultcontent"/>
          <w:rFonts w:asciiTheme="minorBidi" w:eastAsia="Times New Roman" w:hAnsiTheme="minorBidi"/>
          <w:sz w:val="24"/>
          <w:szCs w:val="24"/>
          <w:lang w:val="en-GB"/>
        </w:rPr>
        <w:fldChar w:fldCharType="separate"/>
      </w:r>
      <w:r w:rsidRPr="001056C0">
        <w:rPr>
          <w:rStyle w:val="lookup-resultcontent"/>
          <w:rFonts w:asciiTheme="minorBidi" w:eastAsia="Times New Roman" w:hAnsiTheme="minorBidi"/>
          <w:noProof/>
          <w:sz w:val="24"/>
          <w:szCs w:val="24"/>
          <w:lang w:val="en-GB"/>
        </w:rPr>
        <w:t>(Al Asmary et al., 2013</w:t>
      </w:r>
      <w:r w:rsidRPr="001056C0">
        <w:rPr>
          <w:rStyle w:val="lookup-resultcontent"/>
          <w:rFonts w:asciiTheme="minorBidi" w:eastAsia="Times New Roman" w:hAnsiTheme="minorBidi"/>
          <w:sz w:val="24"/>
          <w:szCs w:val="24"/>
          <w:lang w:val="en-GB"/>
        </w:rPr>
        <w:fldChar w:fldCharType="end"/>
      </w:r>
      <w:r>
        <w:rPr>
          <w:rStyle w:val="lookup-resultcontent"/>
          <w:rFonts w:asciiTheme="minorBidi" w:eastAsia="Times New Roman" w:hAnsiTheme="minorBidi"/>
          <w:sz w:val="24"/>
          <w:szCs w:val="24"/>
          <w:lang w:val="en-GB"/>
        </w:rPr>
        <w:t>;</w:t>
      </w:r>
      <w:r w:rsidRPr="001056C0">
        <w:rPr>
          <w:rStyle w:val="lookup-resultcontent"/>
          <w:rFonts w:asciiTheme="minorBidi" w:eastAsia="Times New Roman" w:hAnsiTheme="minorBidi"/>
          <w:sz w:val="24"/>
          <w:szCs w:val="24"/>
          <w:lang w:val="en-GB"/>
        </w:rPr>
        <w:t xml:space="preserve"> </w:t>
      </w:r>
      <w:r w:rsidRPr="001056C0">
        <w:rPr>
          <w:rStyle w:val="lookup-resultcontent"/>
          <w:rFonts w:asciiTheme="minorBidi" w:eastAsia="Times New Roman" w:hAnsiTheme="minorBidi"/>
          <w:sz w:val="24"/>
          <w:szCs w:val="24"/>
          <w:lang w:val="en-GB"/>
        </w:rPr>
        <w:fldChar w:fldCharType="begin" w:fldLock="1"/>
      </w:r>
      <w:r>
        <w:rPr>
          <w:rStyle w:val="lookup-resultcontent"/>
          <w:rFonts w:asciiTheme="minorBidi" w:eastAsia="Times New Roman" w:hAnsiTheme="minorBidi"/>
          <w:sz w:val="24"/>
          <w:szCs w:val="24"/>
          <w:lang w:val="en-GB"/>
        </w:rPr>
        <w:instrText>ADDIN CSL_CITATION {"citationItems":[{"id":"ITEM-1","itemData":{"ISSN":"0973-8398","abstract":"To explore opinions of pharmacist toward pharmaceutical care (PC) in Riyadh, the capital of Saudi Arabia. A descriptive, cross-sectional survey was conducted over a 3 months period (November 2012 to January 2013) in National Guard Primary Health Center, Riyadh the capital of Saudi Arabia. A 20-item questionnaire was adopted, validated and given to 100 pharmacists. The response rate was 80% where 100 respondents were approached, and 80 of them responded to our survey questionnaire. Overall Pharmacists expressed positive attitudes toward PC. A total of 73 (91%) respondents indicated that common situation regarding appropriateness of prescribing was receiving an error in prescription with incomplete information. A majority of the respondents (78.6%) disagreed or strongly disagree with the statement, that pharmacist of primary healthcare centers have insufficient knowledge/skills to provide PC. The finding of this study revealed that pharmacists have positive attitudes toward PC overall. More attention should be given to improve pharmacists' actual PC capabilities to extend their professional role. However, new development in Saudi hospitals would be recommended to improve health care systems.","author":[{"dropping-particle":"","family":"Al-Arifi","given":"Mohamed N.","non-dropping-particle":"","parse-names":false,"suffix":""},{"dropping-particle":"","family":"Dhawailie","given":"Abdulatif","non-dropping-particle":"Al","parse-names":false,"suffix":""},{"dropping-particle":"","family":"M.","given":"Aldohyan","non-dropping-particle":"","parse-names":false,"suffix":""},{"dropping-particle":"","family":"S.","given":"Wajid","non-dropping-particle":"","parse-names":false,"suffix":""},{"dropping-particle":"","family":"S.D.","given":"Babelgaith","non-dropping-particle":"","parse-names":false,"suffix":""},{"dropping-particle":"","family":"S.","given":"Rajab","non-dropping-particle":"","parse-names":false,"suffix":""}],"container-title":"Asian Journal of Pharmaceutics","id":"ITEM-1","issue":"4","issued":{"date-parts":[["2015"]]},"page":"277-282","title":"A survey on pharmacist opinion about pharmaceutical care in Saudi Arabia","type":"article-journal","volume":"9"},"uris":["http://www.mendeley.com/documents/?uuid=da5ac9a9-edf8-4c3f-ad94-903f8f5085f9"]}],"mendeley":{"formattedCitation":"(Al-Arifi, Al Dhawailie, &lt;i&gt;et al.&lt;/i&gt;, 2015)","manualFormatting":"Al-Arifi, et al., 2015","plainTextFormattedCitation":"(Al-Arifi, Al Dhawailie, et al., 2015)","previouslyFormattedCitation":"(Al-Arifi, Al Dhawailie, &lt;i&gt;et al.&lt;/i&gt;, 2015)"},"properties":{"noteIndex":0},"schema":"https://github.com/citation-style-language/schema/raw/master/csl-citation.json"}</w:instrText>
      </w:r>
      <w:r w:rsidRPr="001056C0">
        <w:rPr>
          <w:rStyle w:val="lookup-resultcontent"/>
          <w:rFonts w:asciiTheme="minorBidi" w:eastAsia="Times New Roman" w:hAnsiTheme="minorBidi"/>
          <w:sz w:val="24"/>
          <w:szCs w:val="24"/>
          <w:lang w:val="en-GB"/>
        </w:rPr>
        <w:fldChar w:fldCharType="separate"/>
      </w:r>
      <w:r w:rsidRPr="001056C0">
        <w:rPr>
          <w:rStyle w:val="lookup-resultcontent"/>
          <w:rFonts w:asciiTheme="minorBidi" w:eastAsia="Times New Roman" w:hAnsiTheme="minorBidi"/>
          <w:noProof/>
          <w:sz w:val="24"/>
          <w:szCs w:val="24"/>
          <w:lang w:val="en-GB"/>
        </w:rPr>
        <w:t>Al-Arifi, et al., 2015</w:t>
      </w:r>
      <w:r w:rsidRPr="001056C0">
        <w:rPr>
          <w:rStyle w:val="lookup-resultcontent"/>
          <w:rFonts w:asciiTheme="minorBidi" w:eastAsia="Times New Roman" w:hAnsiTheme="minorBidi"/>
          <w:sz w:val="24"/>
          <w:szCs w:val="24"/>
          <w:lang w:val="en-GB"/>
        </w:rPr>
        <w:fldChar w:fldCharType="end"/>
      </w:r>
      <w:r>
        <w:rPr>
          <w:rStyle w:val="lookup-resultcontent"/>
          <w:rFonts w:asciiTheme="minorBidi" w:eastAsia="Times New Roman" w:hAnsiTheme="minorBidi"/>
          <w:sz w:val="24"/>
          <w:szCs w:val="24"/>
          <w:lang w:val="en-GB"/>
        </w:rPr>
        <w:t>;</w:t>
      </w:r>
      <w:r w:rsidRPr="001056C0">
        <w:rPr>
          <w:rStyle w:val="lookup-resultcontent"/>
          <w:rFonts w:asciiTheme="minorBidi" w:eastAsia="Times New Roman" w:hAnsiTheme="minorBidi"/>
          <w:sz w:val="24"/>
          <w:szCs w:val="24"/>
          <w:lang w:val="en-GB"/>
        </w:rPr>
        <w:t xml:space="preserve"> </w:t>
      </w:r>
      <w:r w:rsidRPr="00D53A6A">
        <w:rPr>
          <w:rStyle w:val="lookup-resultcontent"/>
          <w:rFonts w:asciiTheme="minorBidi" w:eastAsia="Times New Roman" w:hAnsiTheme="minorBidi"/>
          <w:noProof/>
          <w:sz w:val="24"/>
          <w:szCs w:val="24"/>
          <w:lang w:val="en-GB"/>
        </w:rPr>
        <w:fldChar w:fldCharType="begin" w:fldLock="1"/>
      </w:r>
      <w:r w:rsidRPr="00D53A6A">
        <w:rPr>
          <w:rStyle w:val="lookup-resultcontent"/>
          <w:rFonts w:asciiTheme="minorBidi" w:eastAsia="Times New Roman" w:hAnsiTheme="minorBidi"/>
          <w:noProof/>
          <w:sz w:val="24"/>
          <w:szCs w:val="24"/>
          <w:lang w:val="en-GB"/>
        </w:rPr>
        <w:instrText>ADDIN CSL_CITATION {"citationItems":[{"id":"ITEM-1","itemData":{"DOI":"10.2147/PPA.S113324","ISSN":"1177889X","abstract":"Background: Fasting during the month of Ramadan could lead to acute complications and increased hypoglycemic risk of patients with type 2 diabetes. Therefore, diabetes is one of the diseases that need careful observation and special considerations during Ramadan including patients’ education and counseling. Objectives: To evaluate the impact of Ramadan focused education program on acute complications and biomedical parameters. Methods: A prospective nonrandomized interventional controlled design was run on three phases: before, during, and after Ramadan on 262 type 2 diabetes patients. The intervention group (n=140) received focused individualized diabetic education sessions and antidiabetic medications adjustment before and after Ramadan, while the control group (n=122) received standard diabetic care. A validated hypoglycemia questionnaire was used in both groups to assess the change of the risk. Patients were advised to adjust the dosage and timing of antidiabetic agents according to the recommendations for management of diabetes during Ramadan. Primary outcomes were postintervention change of hypoglycemia score and HbA1c over 6-month follow-up. Data were presented as mean ± standard deviation. HbA1c was expressed in percentage. Results: The hypoglycemic scores before, during, and after Ramadan were 14.21±8.50, 6.36±6.17, and 5.44±5.55 in the intervention group, respectively (P&lt;0.001) and 14.01±5.10, 13.46±5.30, and 9.27±4.65 in the control group, respectively (P&lt;0.001). HbA1c levels were 9.79±1.89, 8.26±1.54, and 8.52±1.61 before, during, and after Ramadan in the intervention group, respectively (P&lt;0.001), and 10.04±1.47, 9.54±1.38, and 9.59±1.79 in the control group, respectively (P&lt;0.001). Post-Ramadan reductions of HbA1c and hypoglycemic scores were significantly higher in the intervention group (-13.0% vs-4.5%, P=0.004 for HbA1c and-61.7% vs-33.8%, P&lt;0.001 for hypoglycemic score). Low-density lipoprotein cholesterol improved in the intervention group from 2.41±0.91 mmol/L before Ramadan to 2.28±0.68 mmol/L after Ramadan (P&lt;0.001). No statistically significant effects were observed on blood pressure or body weight in the intervention group. Also, no change was observed in the control group. Conclusion: Ramadan educational program had a positive impact with reduction of hypoglycemic risk, HbA1c, and low-density lipoprotein cholesterol. Therefore, it could be recommended for patients with increased risk of hypoglycemia during Ramadan fasting.","author":[{"dropping-particle":"","family":"Tourkmani","given":"Ayla M.","non-dropping-particle":"","parse-names":false,"suffix":""},{"dropping-particle":"","family":"Azmi Hassali","given":"Mohamed","non-dropping-particle":"","parse-names":false,"suffix":""},{"dropping-particle":"","family":"Alharbi","given":"Turki J.","non-dropping-particle":"","parse-names":false,"suffix":""},{"dropping-particle":"","family":"Alkhashan","given":"Hesham I.","non-dropping-particle":"","parse-names":false,"suffix":""},{"dropping-particle":"","family":"Alobikan","given":"Aljoharah H.","non-dropping-particle":"","parse-names":false,"suffix":""},{"dropping-particle":"","family":"Bakhiet","given":"Ahmed H.","non-dropping-particle":"","parse-names":false,"suffix":""},{"dropping-particle":"","family":"Alqahtani","given":"Hala B.","non-dropping-particle":"","parse-names":false,"suffix":""},{"dropping-particle":"","family":"Alrasheedy","given":"Alian A.","non-dropping-particle":"","parse-names":false,"suffix":""},{"dropping-particle":"","family":"Alawwad","given":"Ahmed D.","non-dropping-particle":"","parse-names":false,"suffix":""},{"dropping-particle":"","family":"Mishriky","given":"Adel M.","non-dropping-particle":"","parse-names":false,"suffix":""},{"dropping-particle":"","family":"Aljadhey","given":"Hisham","non-dropping-particle":"","parse-names":false,"suffix":""}],"container-title":"Patient Preference and Adherence","id":"ITEM-1","issued":{"date-parts":[["2016"]]},"page":"1709-1717","title":"Impact of ramadan focused education program on hypoglycemic risk and metabolic control for patients with type 2 diabetes","type":"article-journal","volume":"10"},"uris":["http://www.mendeley.com/documents/?uuid=0f118a78-43be-4dd9-896d-9a09e5eec0f9"]}],"mendeley":{"formattedCitation":"(Tourkmani &lt;i&gt;et al.&lt;/i&gt;, 2016)","manualFormatting":"Tourkmani et al., 2016;","plainTextFormattedCitation":"(Tourkmani et al., 2016)","previouslyFormattedCitation":"(Tourkmani &lt;i&gt;et al.&lt;/i&gt;, 2016)"},"properties":{"noteIndex":0},"schema":"https://github.com/citation-style-language/schema/raw/master/csl-citation.json"}</w:instrText>
      </w:r>
      <w:r w:rsidRPr="00D53A6A">
        <w:rPr>
          <w:rStyle w:val="lookup-resultcontent"/>
          <w:rFonts w:asciiTheme="minorBidi" w:eastAsia="Times New Roman" w:hAnsiTheme="minorBidi"/>
          <w:noProof/>
          <w:sz w:val="24"/>
          <w:szCs w:val="24"/>
          <w:lang w:val="en-GB"/>
        </w:rPr>
        <w:fldChar w:fldCharType="separate"/>
      </w:r>
      <w:r w:rsidRPr="00D53A6A">
        <w:rPr>
          <w:rStyle w:val="lookup-resultcontent"/>
          <w:rFonts w:asciiTheme="minorBidi" w:eastAsia="Times New Roman" w:hAnsiTheme="minorBidi"/>
          <w:noProof/>
          <w:sz w:val="24"/>
          <w:szCs w:val="24"/>
          <w:lang w:val="en-GB"/>
        </w:rPr>
        <w:t>Tourkmani et al., 2016;</w:t>
      </w:r>
      <w:r w:rsidRPr="00D53A6A">
        <w:rPr>
          <w:rStyle w:val="lookup-resultcontent"/>
          <w:rFonts w:asciiTheme="minorBidi" w:eastAsia="Times New Roman" w:hAnsiTheme="minorBidi"/>
          <w:noProof/>
          <w:sz w:val="24"/>
          <w:szCs w:val="24"/>
          <w:lang w:val="en-GB"/>
        </w:rPr>
        <w:fldChar w:fldCharType="end"/>
      </w:r>
      <w:r w:rsidRPr="00D53A6A">
        <w:rPr>
          <w:rStyle w:val="lookup-resultcontent"/>
          <w:rFonts w:asciiTheme="minorBidi" w:eastAsia="Times New Roman" w:hAnsiTheme="minorBidi"/>
          <w:noProof/>
          <w:sz w:val="24"/>
          <w:szCs w:val="24"/>
          <w:lang w:val="en-GB"/>
        </w:rPr>
        <w:t xml:space="preserve"> </w:t>
      </w:r>
      <w:r w:rsidRPr="00D53A6A">
        <w:rPr>
          <w:rStyle w:val="lookup-resultcontent"/>
          <w:rFonts w:asciiTheme="minorBidi" w:eastAsia="Times New Roman" w:hAnsiTheme="minorBidi"/>
          <w:noProof/>
          <w:sz w:val="24"/>
          <w:szCs w:val="24"/>
          <w:lang w:val="en-GB"/>
        </w:rPr>
        <w:fldChar w:fldCharType="begin" w:fldLock="1"/>
      </w:r>
      <w:r>
        <w:rPr>
          <w:rStyle w:val="lookup-resultcontent"/>
          <w:rFonts w:asciiTheme="minorBidi" w:eastAsia="Times New Roman" w:hAnsiTheme="minorBidi"/>
          <w:noProof/>
          <w:sz w:val="24"/>
          <w:szCs w:val="24"/>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 Al-Arifi and Al-Omar, 2018; Alsuwayni and Alhossan, 2020; Aldraimly et al., 2021; Alsubaie et al., 2022)","plainTextFormattedCitation":"(Ayla M Tourkmani et al., 2018)","previouslyFormattedCitation":"(Ayla M Tourkmani &lt;i&gt;et al.&lt;/i&gt;, 2018)"},"properties":{"noteIndex":0},"schema":"https://github.com/citation-style-language/schema/raw/master/csl-citation.json"}</w:instrText>
      </w:r>
      <w:r w:rsidRPr="00D53A6A">
        <w:rPr>
          <w:rStyle w:val="lookup-resultcontent"/>
          <w:rFonts w:asciiTheme="minorBidi" w:eastAsia="Times New Roman" w:hAnsiTheme="minorBidi"/>
          <w:noProof/>
          <w:sz w:val="24"/>
          <w:szCs w:val="24"/>
          <w:lang w:val="en-GB"/>
        </w:rPr>
        <w:fldChar w:fldCharType="separate"/>
      </w:r>
      <w:r w:rsidRPr="00D53A6A">
        <w:rPr>
          <w:rStyle w:val="lookup-resultcontent"/>
          <w:rFonts w:asciiTheme="minorBidi" w:eastAsia="Times New Roman" w:hAnsiTheme="minorBidi"/>
          <w:noProof/>
          <w:sz w:val="24"/>
          <w:szCs w:val="24"/>
          <w:lang w:val="en-GB"/>
        </w:rPr>
        <w:t xml:space="preserve">Tourkmani et al., 2018; Al-Arifi and Al-Omar, 2018; Alsuwayni and Alhossan, 2020; </w:t>
      </w:r>
      <w:r w:rsidRPr="00D53A6A">
        <w:rPr>
          <w:rStyle w:val="lookup-resultcontent"/>
          <w:rFonts w:asciiTheme="minorBidi" w:eastAsia="Times New Roman" w:hAnsiTheme="minorBidi"/>
          <w:noProof/>
          <w:sz w:val="24"/>
          <w:szCs w:val="24"/>
          <w:lang w:val="en-GB"/>
        </w:rPr>
        <w:fldChar w:fldCharType="begin" w:fldLock="1"/>
      </w:r>
      <w:r w:rsidRPr="00D53A6A">
        <w:rPr>
          <w:rStyle w:val="lookup-resultcontent"/>
          <w:rFonts w:asciiTheme="minorBidi" w:eastAsia="Times New Roman" w:hAnsiTheme="minorBidi"/>
          <w:noProof/>
          <w:sz w:val="24"/>
          <w:szCs w:val="24"/>
          <w:lang w:val="en-GB"/>
        </w:rPr>
        <w:instrText>ADDIN CSL_CITATION {"citationItems":[{"id":"ITEM-1","itemData":{"author":[{"dropping-particle":"","family":"Aldraimly","given":"Maha","non-dropping-particle":"","parse-names":false,"suffix":""},{"dropping-particle":"","family":"Azhar","given":"Syed","non-dropping-particle":"","parse-names":false,"suffix":""},{"dropping-particle":"","family":"Syed","given":"Bin","non-dropping-particle":"","parse-names":false,"suffix":""},{"dropping-particle":"","family":"Nouri","given":"Ahmed Ibrahim","non-dropping-particle":"","parse-names":false,"suffix":""},{"dropping-particle":"","family":"Alanazi","given":"Salma Fahad","non-dropping-particle":"","parse-names":false,"suffix":""}],"id":"ITEM-1","issue":"4","issued":{"date-parts":[["2021"]]},"page":"2582-2594","title":"Impact of Clinical Pharmacist Interventions in Management of Diabetes in Primary Care in Saudi Arabia","type":"article-journal","volume":"12"},"uris":["http://www.mendeley.com/documents/?uuid=78361eef-f052-4acf-a8d9-b172ac78fc45"]}],"mendeley":{"formattedCitation":"(Aldraimly &lt;i&gt;et al.&lt;/i&gt;, 2021)","manualFormatting":"Aldraimly et al., 2021","plainTextFormattedCitation":"(Aldraimly et al., 2021)","previouslyFormattedCitation":"(Aldraimly &lt;i&gt;et al.&lt;/i&gt;, 2021)"},"properties":{"noteIndex":0},"schema":"https://github.com/citation-style-language/schema/raw/master/csl-citation.json"}</w:instrText>
      </w:r>
      <w:r w:rsidRPr="00D53A6A">
        <w:rPr>
          <w:rStyle w:val="lookup-resultcontent"/>
          <w:rFonts w:asciiTheme="minorBidi" w:eastAsia="Times New Roman" w:hAnsiTheme="minorBidi"/>
          <w:noProof/>
          <w:sz w:val="24"/>
          <w:szCs w:val="24"/>
          <w:lang w:val="en-GB"/>
        </w:rPr>
        <w:fldChar w:fldCharType="separate"/>
      </w:r>
      <w:r w:rsidRPr="00D53A6A">
        <w:rPr>
          <w:rStyle w:val="lookup-resultcontent"/>
          <w:rFonts w:asciiTheme="minorBidi" w:eastAsia="Times New Roman" w:hAnsiTheme="minorBidi"/>
          <w:noProof/>
          <w:sz w:val="24"/>
          <w:szCs w:val="24"/>
          <w:lang w:val="en-GB"/>
        </w:rPr>
        <w:t>Aldraimly et al., 2021</w:t>
      </w:r>
      <w:r w:rsidRPr="00D53A6A">
        <w:rPr>
          <w:rStyle w:val="lookup-resultcontent"/>
          <w:rFonts w:asciiTheme="minorBidi" w:eastAsia="Times New Roman" w:hAnsiTheme="minorBidi"/>
          <w:noProof/>
          <w:sz w:val="24"/>
          <w:szCs w:val="24"/>
          <w:lang w:val="en-GB"/>
        </w:rPr>
        <w:fldChar w:fldCharType="end"/>
      </w:r>
      <w:r w:rsidRPr="00D53A6A">
        <w:rPr>
          <w:rStyle w:val="lookup-resultcontent"/>
          <w:rFonts w:asciiTheme="minorBidi" w:eastAsia="Times New Roman" w:hAnsiTheme="minorBidi"/>
          <w:noProof/>
          <w:sz w:val="24"/>
          <w:szCs w:val="24"/>
          <w:lang w:val="en-GB"/>
        </w:rPr>
        <w:t xml:space="preserve">; </w:t>
      </w:r>
      <w:r w:rsidRPr="00D53A6A">
        <w:rPr>
          <w:rStyle w:val="lookup-resultcontent"/>
          <w:rFonts w:asciiTheme="minorBidi" w:eastAsia="Times New Roman" w:hAnsiTheme="minorBidi"/>
          <w:noProof/>
          <w:sz w:val="24"/>
          <w:szCs w:val="24"/>
          <w:lang w:val="en-GB"/>
        </w:rPr>
        <w:fldChar w:fldCharType="begin" w:fldLock="1"/>
      </w:r>
      <w:r w:rsidRPr="00D53A6A">
        <w:rPr>
          <w:rStyle w:val="lookup-resultcontent"/>
          <w:rFonts w:asciiTheme="minorBidi" w:eastAsia="Times New Roman" w:hAnsiTheme="minorBidi"/>
          <w:noProof/>
          <w:sz w:val="24"/>
          <w:szCs w:val="24"/>
          <w:lang w:val="en-GB"/>
        </w:rPr>
        <w:instrText>ADDIN CSL_CITATION {"citationItems":[{"id":"ITEM-1","itemData":{"author":[{"dropping-particle":"","family":"Alsubaie","given":"Nawal","non-dropping-particle":"","parse-names":false,"suffix":""},{"dropping-particle":"","family":"Alsallal","given":"Mohannad","non-dropping-particle":"","parse-names":false,"suffix":""},{"dropping-particle":"","family":"Altwaijri","given":"Sulaiman","non-dropping-particle":"","parse-names":false,"suffix":""},{"dropping-particle":"","family":"Alotaibi","given":"Ahmed","non-dropping-particle":"","parse-names":false,"suffix":""},{"dropping-particle":"","family":"Alharbi","given":"Bandar","non-dropping-particle":"","parse-names":false,"suffix":""},{"dropping-particle":"","family":"Aleissa","given":"Mohammad","non-dropping-particle":"","parse-names":false,"suffix":""}],"id":"ITEM-1","issued":{"date-parts":[["2022"]]},"page":"887-892","title":"Impact of Clinical Pharmacist Diabetes Clinic on the Improvement of Health Outcomes in Type 2 Diabetes Subjects","type":"article-journal","volume":"10"},"uris":["http://www.mendeley.com/documents/?uuid=f4bab006-c942-4961-9501-a0ea0c0f1f08"]}],"mendeley":{"formattedCitation":"(Alsubaie &lt;i&gt;et al.&lt;/i&gt;, 2022)","manualFormatting":"Alsubaie et al., 2022","plainTextFormattedCitation":"(Alsubaie et al., 2022)","previouslyFormattedCitation":"(Alsubaie &lt;i&gt;et al.&lt;/i&gt;, 2022)"},"properties":{"noteIndex":0},"schema":"https://github.com/citation-style-language/schema/raw/master/csl-citation.json"}</w:instrText>
      </w:r>
      <w:r w:rsidRPr="00D53A6A">
        <w:rPr>
          <w:rStyle w:val="lookup-resultcontent"/>
          <w:rFonts w:asciiTheme="minorBidi" w:eastAsia="Times New Roman" w:hAnsiTheme="minorBidi"/>
          <w:noProof/>
          <w:sz w:val="24"/>
          <w:szCs w:val="24"/>
          <w:lang w:val="en-GB"/>
        </w:rPr>
        <w:fldChar w:fldCharType="separate"/>
      </w:r>
      <w:r w:rsidRPr="00D53A6A">
        <w:rPr>
          <w:rStyle w:val="lookup-resultcontent"/>
          <w:rFonts w:asciiTheme="minorBidi" w:eastAsia="Times New Roman" w:hAnsiTheme="minorBidi"/>
          <w:noProof/>
          <w:sz w:val="24"/>
          <w:szCs w:val="24"/>
          <w:lang w:val="en-GB"/>
        </w:rPr>
        <w:t>Alsubaie et al., 2022</w:t>
      </w:r>
      <w:r w:rsidRPr="00D53A6A">
        <w:rPr>
          <w:rStyle w:val="lookup-resultcontent"/>
          <w:rFonts w:asciiTheme="minorBidi" w:eastAsia="Times New Roman" w:hAnsiTheme="minorBidi"/>
          <w:noProof/>
          <w:sz w:val="24"/>
          <w:szCs w:val="24"/>
          <w:lang w:val="en-GB"/>
        </w:rPr>
        <w:fldChar w:fldCharType="end"/>
      </w:r>
      <w:r w:rsidRPr="00D53A6A">
        <w:rPr>
          <w:rStyle w:val="lookup-resultcontent"/>
          <w:rFonts w:asciiTheme="minorBidi" w:eastAsia="Times New Roman" w:hAnsiTheme="minorBidi"/>
          <w:noProof/>
          <w:sz w:val="24"/>
          <w:szCs w:val="24"/>
          <w:lang w:val="en-GB"/>
        </w:rPr>
        <w:t>)</w:t>
      </w:r>
      <w:r w:rsidRPr="00D53A6A">
        <w:rPr>
          <w:rStyle w:val="lookup-resultcontent"/>
          <w:rFonts w:asciiTheme="minorBidi" w:eastAsia="Times New Roman" w:hAnsiTheme="minorBidi"/>
          <w:noProof/>
          <w:sz w:val="24"/>
          <w:szCs w:val="24"/>
          <w:lang w:val="en-GB"/>
        </w:rPr>
        <w:fldChar w:fldCharType="end"/>
      </w:r>
      <w:r w:rsidRPr="00D53A6A">
        <w:rPr>
          <w:rStyle w:val="lookup-resultcontent"/>
          <w:rFonts w:eastAsia="Times New Roman"/>
          <w:lang w:val="en-GB"/>
        </w:rPr>
        <w:t>.</w:t>
      </w:r>
      <w:r w:rsidRPr="00D53A6A">
        <w:rPr>
          <w:rStyle w:val="lookup-resultcontent"/>
          <w:rFonts w:eastAsia="Times New Roman"/>
          <w:noProof/>
          <w:lang w:val="en-GB"/>
        </w:rPr>
        <w:t xml:space="preserve"> I</w:t>
      </w:r>
      <w:r>
        <w:rPr>
          <w:rFonts w:asciiTheme="minorBidi" w:hAnsiTheme="minorBidi"/>
          <w:sz w:val="24"/>
          <w:szCs w:val="24"/>
          <w:shd w:val="clear" w:color="auto" w:fill="FFFFFF"/>
        </w:rPr>
        <w:t xml:space="preserve">n these settings, </w:t>
      </w:r>
      <w:r w:rsidRPr="001056C0">
        <w:rPr>
          <w:rStyle w:val="lookup-resultcontent"/>
          <w:rFonts w:asciiTheme="minorBidi" w:eastAsia="Times New Roman" w:hAnsiTheme="minorBidi"/>
          <w:sz w:val="24"/>
          <w:szCs w:val="24"/>
          <w:lang w:val="en-GB"/>
        </w:rPr>
        <w:t xml:space="preserve">advancing clinical pharmacy practice is well established. For instance, </w:t>
      </w:r>
      <w:r>
        <w:rPr>
          <w:rStyle w:val="lookup-resultcontent"/>
          <w:rFonts w:asciiTheme="minorBidi" w:eastAsia="Times New Roman" w:hAnsiTheme="minorBidi"/>
          <w:sz w:val="24"/>
          <w:szCs w:val="24"/>
          <w:lang w:val="en-GB"/>
        </w:rPr>
        <w:t>t</w:t>
      </w:r>
      <w:r w:rsidRPr="001056C0">
        <w:rPr>
          <w:rStyle w:val="lookup-resultcontent"/>
          <w:rFonts w:asciiTheme="minorBidi" w:eastAsia="Times New Roman" w:hAnsiTheme="minorBidi"/>
          <w:sz w:val="24"/>
          <w:szCs w:val="24"/>
          <w:lang w:val="en-GB"/>
        </w:rPr>
        <w:t xml:space="preserve">he pharmacy department at King Khalid University Hospital is </w:t>
      </w:r>
      <w:r>
        <w:rPr>
          <w:rStyle w:val="lookup-resultcontent"/>
          <w:rFonts w:asciiTheme="minorBidi" w:eastAsia="Times New Roman" w:hAnsiTheme="minorBidi"/>
          <w:sz w:val="24"/>
          <w:szCs w:val="24"/>
          <w:lang w:val="en-GB"/>
        </w:rPr>
        <w:t>an</w:t>
      </w:r>
      <w:r w:rsidRPr="001056C0">
        <w:rPr>
          <w:rStyle w:val="lookup-resultcontent"/>
          <w:rFonts w:asciiTheme="minorBidi" w:eastAsia="Times New Roman" w:hAnsiTheme="minorBidi"/>
          <w:sz w:val="24"/>
          <w:szCs w:val="24"/>
          <w:lang w:val="en-GB"/>
        </w:rPr>
        <w:t xml:space="preserve"> example of</w:t>
      </w:r>
      <w:r>
        <w:rPr>
          <w:rStyle w:val="lookup-resultcontent"/>
          <w:rFonts w:asciiTheme="minorBidi" w:eastAsia="Times New Roman" w:hAnsiTheme="minorBidi"/>
          <w:sz w:val="24"/>
          <w:szCs w:val="24"/>
          <w:lang w:val="en-GB"/>
        </w:rPr>
        <w:t xml:space="preserve"> a</w:t>
      </w:r>
      <w:r w:rsidRPr="001056C0">
        <w:rPr>
          <w:rStyle w:val="lookup-resultcontent"/>
          <w:rFonts w:asciiTheme="minorBidi" w:eastAsia="Times New Roman" w:hAnsiTheme="minorBidi"/>
          <w:sz w:val="24"/>
          <w:szCs w:val="24"/>
          <w:lang w:val="en-GB"/>
        </w:rPr>
        <w:t xml:space="preserve"> well-established clinical pharmacy service, as it</w:t>
      </w:r>
      <w:r>
        <w:rPr>
          <w:rStyle w:val="lookup-resultcontent"/>
          <w:rFonts w:asciiTheme="minorBidi" w:eastAsia="Times New Roman" w:hAnsiTheme="minorBidi"/>
          <w:sz w:val="24"/>
          <w:szCs w:val="24"/>
          <w:lang w:val="en-GB"/>
        </w:rPr>
        <w:t xml:space="preserve"> was</w:t>
      </w:r>
      <w:r w:rsidRPr="001056C0">
        <w:rPr>
          <w:rStyle w:val="lookup-resultcontent"/>
          <w:rFonts w:asciiTheme="minorBidi" w:eastAsia="Times New Roman" w:hAnsiTheme="minorBidi"/>
          <w:sz w:val="24"/>
          <w:szCs w:val="24"/>
          <w:lang w:val="en-GB"/>
        </w:rPr>
        <w:t xml:space="preserve"> </w:t>
      </w:r>
      <w:r>
        <w:rPr>
          <w:rStyle w:val="lookup-resultcontent"/>
          <w:rFonts w:asciiTheme="minorBidi" w:eastAsia="Times New Roman" w:hAnsiTheme="minorBidi"/>
          <w:sz w:val="24"/>
          <w:szCs w:val="24"/>
          <w:lang w:val="en-GB"/>
        </w:rPr>
        <w:t>founded</w:t>
      </w:r>
      <w:r w:rsidRPr="001056C0">
        <w:rPr>
          <w:rStyle w:val="lookup-resultcontent"/>
          <w:rFonts w:asciiTheme="minorBidi" w:eastAsia="Times New Roman" w:hAnsiTheme="minorBidi"/>
          <w:sz w:val="24"/>
          <w:szCs w:val="24"/>
          <w:lang w:val="en-GB"/>
        </w:rPr>
        <w:t xml:space="preserve"> in 1983  </w:t>
      </w:r>
      <w:r w:rsidRPr="001056C0">
        <w:rPr>
          <w:rStyle w:val="lookup-resultcontent"/>
          <w:rFonts w:asciiTheme="minorBidi" w:eastAsia="Times New Roman" w:hAnsiTheme="minorBidi"/>
          <w:sz w:val="24"/>
          <w:szCs w:val="24"/>
          <w:lang w:val="en-GB"/>
        </w:rPr>
        <w:fldChar w:fldCharType="begin" w:fldLock="1"/>
      </w:r>
      <w:r>
        <w:rPr>
          <w:rStyle w:val="lookup-resultcontent"/>
          <w:rFonts w:asciiTheme="minorBidi" w:eastAsia="Times New Roman" w:hAnsiTheme="minorBidi"/>
          <w:sz w:val="24"/>
          <w:szCs w:val="24"/>
          <w:lang w:val="en-GB"/>
        </w:rPr>
        <w:instrText>ADDIN CSL_CITATION {"citationItems":[{"id":"ITEM-1","itemData":{"DOI":"10.4314/tjpr.v14i5.23","ISSN":"15969827","abstract":"Purpose: To evaluate the attitudes and perceptions of health care providers towards clinical pharmacy services at King Khalid University Hospital Riyadh Saudi Arabia Method: A cross-sectional survey of healthcare providers was conducted in King Khalid University Hospital, Riyadh, Saudi Arabia from September to November 2013. A self-administered questionnaire was delivered to health care professionals (HCPs) who included physicians, pharmacists and nurses. Results: The response rate was 78 % (457/600). The majority of the respondents (92.4 %) knew that the clinical pharmacist is an integral part of the medical team while 86.5 % of the participants expressed confidence in the ability of clinical pharmacists to improve the quality of patient care through their practice. Despite the relative lack of awareness of the increasing interest in clinical pharmacy practice (59.6 % were not aware of such a trend), pharmacists were less appreciative (p &lt; 0.05) of the positive role of clinical pharmacists in direct patient care compared to both physicians and nurses (67.4, 74.3 and 72.3 %, respectively). Conclusion: The findings of this study reveal that health care professionals HCPs have positive attitude towards the role of the clinical pharmacist in the health care setting studied. However, there is a need for Saudi hospitals to adopt full clinical pharmacy service including drug monitoring, drug information and pharmacotherapy for enhanced health care.","author":[{"dropping-particle":"","family":"Al-Arifi","given":"Mohamed N.","non-dropping-particle":"","parse-names":false,"suffix":""},{"dropping-particle":"","family":"Alghamdi","given":"B.","non-dropping-particle":"","parse-names":false,"suffix":""},{"dropping-particle":"","family":"Al-Saadi","given":"M.","non-dropping-particle":"","parse-names":false,"suffix":""},{"dropping-particle":"","family":"Idris","given":"A. E.","non-dropping-particle":"","parse-names":false,"suffix":""},{"dropping-particle":"","family":"Wajid","given":"Syed","non-dropping-particle":"","parse-names":false,"suffix":""},{"dropping-particle":"","family":"Said","given":"Ragab","non-dropping-particle":"","parse-names":false,"suffix":""},{"dropping-particle":"","family":"Babelghaith","given":"Salmeen D.","non-dropping-particle":"","parse-names":false,"suffix":""}],"container-title":"Tropical Journal of Pharmaceutical Research","id":"ITEM-1","issue":"5","issued":{"date-parts":[["2015"]]},"page":"913-918","title":"Attitudes and perceptions of healthcare providers towards clinical pharmacy services at a tertiary care hospital in Riyadh, Saudi Arabia","type":"article-journal","volume":"14"},"uris":["http://www.mendeley.com/documents/?uuid=bf6b27b5-5ea1-470f-9332-284c09dc15a2"]}],"mendeley":{"formattedCitation":"(Al-Arifi, Alghamdi, &lt;i&gt;et al.&lt;/i&gt;, 2015)","manualFormatting":"(Al-Arifi et al., 2015)","plainTextFormattedCitation":"(Al-Arifi, Alghamdi, et al., 2015)","previouslyFormattedCitation":"(Al-Arifi, Alghamdi, &lt;i&gt;et al.&lt;/i&gt;, 2015)"},"properties":{"noteIndex":0},"schema":"https://github.com/citation-style-language/schema/raw/master/csl-citation.json"}</w:instrText>
      </w:r>
      <w:r w:rsidRPr="001056C0">
        <w:rPr>
          <w:rStyle w:val="lookup-resultcontent"/>
          <w:rFonts w:asciiTheme="minorBidi" w:eastAsia="Times New Roman" w:hAnsiTheme="minorBidi"/>
          <w:sz w:val="24"/>
          <w:szCs w:val="24"/>
          <w:lang w:val="en-GB"/>
        </w:rPr>
        <w:fldChar w:fldCharType="separate"/>
      </w:r>
      <w:r w:rsidRPr="001056C0">
        <w:rPr>
          <w:rStyle w:val="lookup-resultcontent"/>
          <w:rFonts w:asciiTheme="minorBidi" w:eastAsia="Times New Roman" w:hAnsiTheme="minorBidi"/>
          <w:noProof/>
          <w:sz w:val="24"/>
          <w:szCs w:val="24"/>
          <w:lang w:val="en-GB"/>
        </w:rPr>
        <w:t>(Al-Arifi et al., 2015)</w:t>
      </w:r>
      <w:r w:rsidRPr="001056C0">
        <w:rPr>
          <w:rStyle w:val="lookup-resultcontent"/>
          <w:rFonts w:asciiTheme="minorBidi" w:eastAsia="Times New Roman" w:hAnsiTheme="minorBidi"/>
          <w:sz w:val="24"/>
          <w:szCs w:val="24"/>
          <w:lang w:val="en-GB"/>
        </w:rPr>
        <w:fldChar w:fldCharType="end"/>
      </w:r>
      <w:r w:rsidRPr="001056C0">
        <w:rPr>
          <w:rStyle w:val="lookup-resultcontent"/>
          <w:rFonts w:asciiTheme="minorBidi" w:eastAsia="Times New Roman" w:hAnsiTheme="minorBidi"/>
          <w:sz w:val="24"/>
          <w:szCs w:val="24"/>
          <w:lang w:val="en-GB"/>
        </w:rPr>
        <w:t xml:space="preserve">. </w:t>
      </w:r>
      <w:r>
        <w:rPr>
          <w:rStyle w:val="lookup-resultcontent"/>
          <w:rFonts w:asciiTheme="minorBidi" w:eastAsia="Times New Roman" w:hAnsiTheme="minorBidi"/>
          <w:sz w:val="24"/>
          <w:szCs w:val="24"/>
          <w:lang w:val="en-GB"/>
        </w:rPr>
        <w:t>A</w:t>
      </w:r>
      <w:r w:rsidRPr="001056C0">
        <w:rPr>
          <w:rStyle w:val="lookup-resultcontent"/>
          <w:rFonts w:asciiTheme="minorBidi" w:eastAsia="Times New Roman" w:hAnsiTheme="minorBidi"/>
          <w:sz w:val="24"/>
          <w:szCs w:val="24"/>
          <w:lang w:val="en-GB"/>
        </w:rPr>
        <w:t xml:space="preserve"> pharmacy practice model in the PSMMC </w:t>
      </w:r>
      <w:r>
        <w:rPr>
          <w:rStyle w:val="lookup-resultcontent"/>
          <w:rFonts w:asciiTheme="minorBidi" w:eastAsia="Times New Roman" w:hAnsiTheme="minorBidi"/>
          <w:sz w:val="24"/>
          <w:szCs w:val="24"/>
          <w:lang w:val="en-GB"/>
        </w:rPr>
        <w:t xml:space="preserve">is another example of a well-established pharmacy practice and it </w:t>
      </w:r>
      <w:r w:rsidRPr="001056C0">
        <w:rPr>
          <w:rStyle w:val="lookup-resultcontent"/>
          <w:rFonts w:asciiTheme="minorBidi" w:eastAsia="Times New Roman" w:hAnsiTheme="minorBidi"/>
          <w:sz w:val="24"/>
          <w:szCs w:val="24"/>
          <w:lang w:val="en-GB"/>
        </w:rPr>
        <w:t>divides</w:t>
      </w:r>
      <w:r>
        <w:rPr>
          <w:rStyle w:val="lookup-resultcontent"/>
          <w:rFonts w:asciiTheme="minorBidi" w:eastAsia="Times New Roman" w:hAnsiTheme="minorBidi"/>
          <w:sz w:val="24"/>
          <w:szCs w:val="24"/>
          <w:lang w:val="en-GB"/>
        </w:rPr>
        <w:t xml:space="preserve"> </w:t>
      </w:r>
      <w:r w:rsidRPr="001056C0">
        <w:rPr>
          <w:rStyle w:val="lookup-resultcontent"/>
          <w:rFonts w:asciiTheme="minorBidi" w:eastAsia="Times New Roman" w:hAnsiTheme="minorBidi"/>
          <w:sz w:val="24"/>
          <w:szCs w:val="24"/>
          <w:lang w:val="en-GB"/>
        </w:rPr>
        <w:t xml:space="preserve">pharmacy staff into two groups: clinical and distribution. Distribution pharmacy staff are responsible </w:t>
      </w:r>
      <w:r>
        <w:rPr>
          <w:rStyle w:val="lookup-resultcontent"/>
          <w:rFonts w:asciiTheme="minorBidi" w:eastAsia="Times New Roman" w:hAnsiTheme="minorBidi"/>
          <w:sz w:val="24"/>
          <w:szCs w:val="24"/>
          <w:lang w:val="en-GB"/>
        </w:rPr>
        <w:t>f</w:t>
      </w:r>
      <w:r w:rsidRPr="001056C0">
        <w:rPr>
          <w:rStyle w:val="lookup-resultcontent"/>
          <w:rFonts w:asciiTheme="minorBidi" w:eastAsia="Times New Roman" w:hAnsiTheme="minorBidi"/>
          <w:sz w:val="24"/>
          <w:szCs w:val="24"/>
          <w:lang w:val="en-GB"/>
        </w:rPr>
        <w:t>o</w:t>
      </w:r>
      <w:r>
        <w:rPr>
          <w:rStyle w:val="lookup-resultcontent"/>
          <w:rFonts w:asciiTheme="minorBidi" w:eastAsia="Times New Roman" w:hAnsiTheme="minorBidi"/>
          <w:sz w:val="24"/>
          <w:szCs w:val="24"/>
          <w:lang w:val="en-GB"/>
        </w:rPr>
        <w:t>r</w:t>
      </w:r>
      <w:r w:rsidRPr="001056C0">
        <w:rPr>
          <w:rStyle w:val="lookup-resultcontent"/>
          <w:rFonts w:asciiTheme="minorBidi" w:eastAsia="Times New Roman" w:hAnsiTheme="minorBidi"/>
          <w:sz w:val="24"/>
          <w:szCs w:val="24"/>
          <w:lang w:val="en-GB"/>
        </w:rPr>
        <w:t xml:space="preserve"> dispensing medications to patients</w:t>
      </w:r>
      <w:r>
        <w:rPr>
          <w:rStyle w:val="lookup-resultcontent"/>
          <w:rFonts w:asciiTheme="minorBidi" w:eastAsia="Times New Roman" w:hAnsiTheme="minorBidi"/>
          <w:sz w:val="24"/>
          <w:szCs w:val="24"/>
          <w:lang w:val="en-GB"/>
        </w:rPr>
        <w:t>,</w:t>
      </w:r>
      <w:r w:rsidRPr="001056C0">
        <w:rPr>
          <w:rStyle w:val="lookup-resultcontent"/>
          <w:rFonts w:asciiTheme="minorBidi" w:eastAsia="Times New Roman" w:hAnsiTheme="minorBidi"/>
          <w:sz w:val="24"/>
          <w:szCs w:val="24"/>
          <w:lang w:val="en-GB"/>
        </w:rPr>
        <w:t xml:space="preserve"> while clinical pharmacy staff are responsible </w:t>
      </w:r>
      <w:r>
        <w:rPr>
          <w:rStyle w:val="lookup-resultcontent"/>
          <w:rFonts w:asciiTheme="minorBidi" w:eastAsia="Times New Roman" w:hAnsiTheme="minorBidi"/>
          <w:sz w:val="24"/>
          <w:szCs w:val="24"/>
          <w:lang w:val="en-GB"/>
        </w:rPr>
        <w:t>f</w:t>
      </w:r>
      <w:r w:rsidRPr="001056C0">
        <w:rPr>
          <w:rStyle w:val="lookup-resultcontent"/>
          <w:rFonts w:asciiTheme="minorBidi" w:eastAsia="Times New Roman" w:hAnsiTheme="minorBidi"/>
          <w:sz w:val="24"/>
          <w:szCs w:val="24"/>
          <w:lang w:val="en-GB"/>
        </w:rPr>
        <w:t>o</w:t>
      </w:r>
      <w:r>
        <w:rPr>
          <w:rStyle w:val="lookup-resultcontent"/>
          <w:rFonts w:asciiTheme="minorBidi" w:eastAsia="Times New Roman" w:hAnsiTheme="minorBidi"/>
          <w:sz w:val="24"/>
          <w:szCs w:val="24"/>
          <w:lang w:val="en-GB"/>
        </w:rPr>
        <w:t>r</w:t>
      </w:r>
      <w:r w:rsidRPr="001056C0">
        <w:rPr>
          <w:rStyle w:val="lookup-resultcontent"/>
          <w:rFonts w:asciiTheme="minorBidi" w:eastAsia="Times New Roman" w:hAnsiTheme="minorBidi"/>
          <w:sz w:val="24"/>
          <w:szCs w:val="24"/>
          <w:lang w:val="en-GB"/>
        </w:rPr>
        <w:t xml:space="preserve"> providing clinical services </w:t>
      </w:r>
      <w:r w:rsidRPr="001056C0">
        <w:rPr>
          <w:rStyle w:val="lookup-resultcontent"/>
          <w:rFonts w:asciiTheme="minorBidi" w:eastAsia="Times New Roman" w:hAnsiTheme="minorBidi"/>
          <w:sz w:val="24"/>
          <w:szCs w:val="24"/>
          <w:lang w:val="en-GB"/>
        </w:rPr>
        <w:fldChar w:fldCharType="begin" w:fldLock="1"/>
      </w:r>
      <w:r>
        <w:rPr>
          <w:rStyle w:val="lookup-resultcontent"/>
          <w:rFonts w:asciiTheme="minorBidi" w:eastAsia="Times New Roman" w:hAnsiTheme="minorBidi"/>
          <w:sz w:val="24"/>
          <w:szCs w:val="24"/>
          <w:lang w:val="en-GB"/>
        </w:rPr>
        <w:instrText>ADDIN CSL_CITATION {"citationItems":[{"id":"ITEM-1","itemData":{"DOI":"10.4314/tjpr.v19i2.24","ISSN":"15969827","abstract":"Purpose: To explore the perceptions and satisfaction of stakeholders (physicians, nurses, and pharmacists) regarding services provided by the patient care area pharmacist (PCAP) initiative. Methods: This was a cross-sectional study conducted at Prince Sultan Military Medical City (PSMMC). The questionnaire was hand-delivered to a random sample of stakeholder groups (including physicians, nurses, and pharmacists) in three different areas of the hospital: The neonatal intensive care unit (NICU), high dependency unit (HDU), and pediatric nephrology. The questionnaire consisted of three sections. The first section collected demographic information of the participants, and the other sections collected anonymous opinions regarding services provided by the PCAP. Results: Ninety-nine participants, comprising physicians (n = 27; 27.27 %), nurses (n = 55; 55.55%), inpatient pharmacists (n = 13; 13.13%), and PCAPs (n = 4; 4.04%), participated in the survey. A majority of the respondents (92.3 %) were satisfied with the PCAP services, and all respondents recommended expansion of the PCAP service to cover all wards. Conclusion: The findings show that all participants have a positive perception of the PCAP service; PCAPs were seen by the participants as drug experts, and their recommendations were perceived as clinically relevant. All stakeholders sought to continue working with the PCAP.","author":[{"dropping-particle":"","family":"Almzeiny","given":"Mohammed","non-dropping-particle":"","parse-names":false,"suffix":""},{"dropping-particle":"","family":"Khurshid","given":"Fowad M.","non-dropping-particle":"","parse-names":false,"suffix":""},{"dropping-particle":"","family":"Alaneazi","given":"Nadeen L.","non-dropping-particle":"","parse-names":false,"suffix":""},{"dropping-particle":"","family":"Alotaibi","given":"Suhoud S.","non-dropping-particle":"","parse-names":false,"suffix":""},{"dropping-particle":"","family":"Alharbi","given":"Sara N.","non-dropping-particle":"","parse-names":false,"suffix":""},{"dropping-particle":"","family":"Almitwazi","given":"Ali A.","non-dropping-particle":"","parse-names":false,"suffix":""},{"dropping-particle":"","family":"Alkhodair","given":"Ali M.","non-dropping-particle":"","parse-names":false,"suffix":""},{"dropping-particle":"","family":"AlKharji","given":"Fahad","non-dropping-particle":"","parse-names":false,"suffix":""},{"dropping-particle":"","family":"Alomar","given":"Hussain A.","non-dropping-particle":"","parse-names":false,"suffix":""},{"dropping-particle":"","family":"Alsultan","given":"Mohammed S.","non-dropping-particle":"","parse-names":false,"suffix":""}],"container-title":"Tropical Journal of Pharmaceutical Research","id":"ITEM-1","issue":"2","issued":{"date-parts":[["2020"]]},"page":"401-409","title":"Perception and satisfaction of stakeholders regarding the patient care area pharmacist initiative in a military hospital in Saudi Arabia","type":"article-journal","volume":"19"},"uris":["http://www.mendeley.com/documents/?uuid=52b577f6-df07-4fc0-9d96-abe2dd2bc518"]}],"mendeley":{"formattedCitation":"(Almzeiny &lt;i&gt;et al.&lt;/i&gt;, 2020)","plainTextFormattedCitation":"(Almzeiny et al., 2020)","previouslyFormattedCitation":"(Almzeiny &lt;i&gt;et al.&lt;/i&gt;, 2020)"},"properties":{"noteIndex":0},"schema":"https://github.com/citation-style-language/schema/raw/master/csl-citation.json"}</w:instrText>
      </w:r>
      <w:r w:rsidRPr="001056C0">
        <w:rPr>
          <w:rStyle w:val="lookup-resultcontent"/>
          <w:rFonts w:asciiTheme="minorBidi" w:eastAsia="Times New Roman" w:hAnsiTheme="minorBidi"/>
          <w:sz w:val="24"/>
          <w:szCs w:val="24"/>
          <w:lang w:val="en-GB"/>
        </w:rPr>
        <w:fldChar w:fldCharType="separate"/>
      </w:r>
      <w:r w:rsidRPr="001056C0">
        <w:rPr>
          <w:rStyle w:val="lookup-resultcontent"/>
          <w:rFonts w:asciiTheme="minorBidi" w:eastAsia="Times New Roman" w:hAnsiTheme="minorBidi"/>
          <w:noProof/>
          <w:sz w:val="24"/>
          <w:szCs w:val="24"/>
          <w:lang w:val="en-GB"/>
        </w:rPr>
        <w:t>(Almzeiny et al., 2020)</w:t>
      </w:r>
      <w:r w:rsidRPr="001056C0">
        <w:rPr>
          <w:rStyle w:val="lookup-resultcontent"/>
          <w:rFonts w:asciiTheme="minorBidi" w:eastAsia="Times New Roman" w:hAnsiTheme="minorBidi"/>
          <w:sz w:val="24"/>
          <w:szCs w:val="24"/>
          <w:lang w:val="en-GB"/>
        </w:rPr>
        <w:fldChar w:fldCharType="end"/>
      </w:r>
      <w:r w:rsidRPr="001056C0">
        <w:rPr>
          <w:rFonts w:ascii="Gill Sans MT" w:hAnsi="Gill Sans MT" w:cs="Times New Roman"/>
          <w:szCs w:val="28"/>
          <w:lang w:val="en-GB"/>
        </w:rPr>
        <w:t>.</w:t>
      </w:r>
      <w:r>
        <w:rPr>
          <w:rFonts w:ascii="Gill Sans MT" w:hAnsi="Gill Sans MT" w:cs="Times New Roman"/>
          <w:szCs w:val="28"/>
          <w:lang w:val="en-GB"/>
        </w:rPr>
        <w:t xml:space="preserve"> </w:t>
      </w:r>
      <w:r>
        <w:rPr>
          <w:rStyle w:val="lookup-resultcontent"/>
          <w:rFonts w:asciiTheme="minorBidi" w:eastAsia="Times New Roman" w:hAnsiTheme="minorBidi"/>
          <w:sz w:val="24"/>
          <w:szCs w:val="24"/>
          <w:lang w:val="en-GB"/>
        </w:rPr>
        <w:t xml:space="preserve"> In contrast, t</w:t>
      </w:r>
      <w:r w:rsidRPr="001056C0">
        <w:rPr>
          <w:rStyle w:val="lookup-resultcontent"/>
          <w:rFonts w:asciiTheme="minorBidi" w:eastAsia="Times New Roman" w:hAnsiTheme="minorBidi"/>
          <w:sz w:val="24"/>
          <w:szCs w:val="24"/>
          <w:lang w:val="en-GB"/>
        </w:rPr>
        <w:t xml:space="preserve">he pharmacy practice in the MoH focuses mainly on dispensing </w:t>
      </w:r>
      <w:r>
        <w:rPr>
          <w:rStyle w:val="lookup-resultcontent"/>
          <w:rFonts w:asciiTheme="minorBidi" w:eastAsia="Times New Roman" w:hAnsiTheme="minorBidi"/>
          <w:sz w:val="24"/>
          <w:szCs w:val="24"/>
          <w:lang w:val="en-GB"/>
        </w:rPr>
        <w:t>the prescriptions,</w:t>
      </w:r>
      <w:r w:rsidRPr="001056C0">
        <w:rPr>
          <w:rStyle w:val="lookup-resultcontent"/>
          <w:rFonts w:asciiTheme="minorBidi" w:eastAsia="Times New Roman" w:hAnsiTheme="minorBidi"/>
          <w:sz w:val="24"/>
          <w:szCs w:val="24"/>
          <w:lang w:val="en-GB"/>
        </w:rPr>
        <w:t xml:space="preserve"> with </w:t>
      </w:r>
      <w:r w:rsidRPr="001056C0">
        <w:rPr>
          <w:rFonts w:ascii="Arial" w:hAnsi="Arial" w:cs="Arial"/>
          <w:sz w:val="24"/>
          <w:szCs w:val="24"/>
          <w:lang w:val="en-GB"/>
        </w:rPr>
        <w:t>limited application of effective clinical pharmacy services</w:t>
      </w:r>
      <w:r>
        <w:rPr>
          <w:rFonts w:ascii="Arial" w:hAnsi="Arial" w:cs="Arial"/>
          <w:sz w:val="24"/>
          <w:szCs w:val="24"/>
          <w:lang w:val="en-GB"/>
        </w:rPr>
        <w:t xml:space="preserve"> as shown in this research. This </w:t>
      </w:r>
      <w:r>
        <w:rPr>
          <w:rFonts w:asciiTheme="minorBidi" w:hAnsiTheme="minorBidi"/>
          <w:sz w:val="24"/>
          <w:szCs w:val="24"/>
          <w:shd w:val="clear" w:color="auto" w:fill="FFFFFF"/>
        </w:rPr>
        <w:t>argument</w:t>
      </w:r>
      <w:r w:rsidRPr="00D720A3">
        <w:rPr>
          <w:rFonts w:asciiTheme="minorBidi" w:hAnsiTheme="minorBidi"/>
          <w:sz w:val="24"/>
          <w:szCs w:val="24"/>
          <w:shd w:val="clear" w:color="auto" w:fill="FFFFFF"/>
        </w:rPr>
        <w:t xml:space="preserve"> is supported by </w:t>
      </w:r>
      <w:r w:rsidRPr="00FF47A1">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author":[{"dropping-particle":"","family":"Al-Jedai","given":"Ahmed","non-dropping-particle":"","parse-names":false,"suffix":""},{"dropping-particle":"","family":"Qaisi","given":"Shrouq","non-dropping-particle":"","parse-names":false,"suffix":""},{"dropping-particle":"","family":"Al-Meman","given":"Ahmed","non-dropping-particle":"","parse-names":false,"suffix":""}],"id":"ITEM-1","issue":"3","issued":{"date-parts":[["2016"]]},"title":"INTERNATIONAL PERSPECTIVES ON PHARMACY PRACTICE Pharmacy Practice and the Health Care System in Saudi Arabia","type":"report","volume":"69"},"uris":["http://www.mendeley.com/documents/?uuid=6c28c996-40b3-372f-8ce1-970c28f78a5b"]}],"mendeley":{"formattedCitation":"(Al-Jedai, Qaisi and Al-Meman, 2016a)","manualFormatting":"Al-Jedai, Qaisi and Al-Meman (2016a)","plainTextFormattedCitation":"(Al-Jedai, Qaisi and Al-Meman, 2016a)","previouslyFormattedCitation":"(Al-Jedai, Qaisi and Al-Meman, 2016a)"},"properties":{"noteIndex":0},"schema":"https://github.com/citation-style-language/schema/raw/master/csl-citation.json"}</w:instrText>
      </w:r>
      <w:r w:rsidRPr="00FF47A1">
        <w:rPr>
          <w:rFonts w:ascii="Arial" w:hAnsi="Arial" w:cs="Arial"/>
          <w:sz w:val="24"/>
          <w:szCs w:val="24"/>
          <w:lang w:val="en-GB"/>
        </w:rPr>
        <w:fldChar w:fldCharType="separate"/>
      </w:r>
      <w:r w:rsidRPr="00FF47A1">
        <w:rPr>
          <w:rFonts w:ascii="Arial" w:hAnsi="Arial" w:cs="Arial"/>
          <w:noProof/>
          <w:sz w:val="24"/>
          <w:szCs w:val="24"/>
          <w:lang w:val="en-GB"/>
        </w:rPr>
        <w:t xml:space="preserve">Al-Jedai, Qaisi and Al-Meman </w:t>
      </w:r>
      <w:r>
        <w:rPr>
          <w:rFonts w:ascii="Arial" w:hAnsi="Arial" w:cs="Arial"/>
          <w:noProof/>
          <w:sz w:val="24"/>
          <w:szCs w:val="24"/>
          <w:lang w:val="en-GB"/>
        </w:rPr>
        <w:t>(</w:t>
      </w:r>
      <w:r w:rsidRPr="00FF47A1">
        <w:rPr>
          <w:rFonts w:ascii="Arial" w:hAnsi="Arial" w:cs="Arial"/>
          <w:noProof/>
          <w:sz w:val="24"/>
          <w:szCs w:val="24"/>
          <w:lang w:val="en-GB"/>
        </w:rPr>
        <w:t>2016a)</w:t>
      </w:r>
      <w:r w:rsidRPr="00FF47A1">
        <w:rPr>
          <w:rFonts w:ascii="Arial" w:hAnsi="Arial" w:cs="Arial"/>
          <w:sz w:val="24"/>
          <w:szCs w:val="24"/>
          <w:lang w:val="en-GB"/>
        </w:rPr>
        <w:fldChar w:fldCharType="end"/>
      </w:r>
      <w:r w:rsidRPr="00FF47A1">
        <w:rPr>
          <w:rFonts w:asciiTheme="minorBidi" w:hAnsiTheme="minorBidi"/>
          <w:sz w:val="24"/>
          <w:szCs w:val="24"/>
          <w:shd w:val="clear" w:color="auto" w:fill="FFFFFF"/>
        </w:rPr>
        <w:t xml:space="preserve">, </w:t>
      </w:r>
      <w:r w:rsidRPr="002F089C">
        <w:rPr>
          <w:rFonts w:ascii="Arial" w:hAnsi="Arial" w:cs="Arial"/>
          <w:sz w:val="24"/>
          <w:szCs w:val="24"/>
          <w:lang w:val="en-GB"/>
        </w:rPr>
        <w:t xml:space="preserve">who reported that there is a significant gap in pharmacy practice between institutions affiliated with the </w:t>
      </w:r>
      <w:r>
        <w:rPr>
          <w:rFonts w:ascii="Arial" w:hAnsi="Arial" w:cs="Arial"/>
          <w:sz w:val="24"/>
          <w:szCs w:val="24"/>
        </w:rPr>
        <w:t>MoH</w:t>
      </w:r>
      <w:r w:rsidRPr="002F089C">
        <w:rPr>
          <w:rFonts w:ascii="Arial" w:hAnsi="Arial" w:cs="Arial"/>
          <w:sz w:val="24"/>
          <w:szCs w:val="24"/>
          <w:lang w:val="en-GB"/>
        </w:rPr>
        <w:t xml:space="preserve"> as well as across the </w:t>
      </w:r>
      <w:r>
        <w:rPr>
          <w:rFonts w:ascii="Arial" w:hAnsi="Arial" w:cs="Arial"/>
          <w:sz w:val="24"/>
          <w:szCs w:val="24"/>
          <w:lang w:val="en-GB"/>
        </w:rPr>
        <w:t>KSA</w:t>
      </w:r>
      <w:r w:rsidRPr="002F089C">
        <w:rPr>
          <w:rFonts w:ascii="Arial" w:hAnsi="Arial" w:cs="Arial"/>
          <w:sz w:val="24"/>
          <w:szCs w:val="24"/>
          <w:lang w:val="en-GB"/>
        </w:rPr>
        <w:t>, especially between the public and private sectors.</w:t>
      </w:r>
    </w:p>
    <w:p w14:paraId="4B5EBF7F" w14:textId="77777777" w:rsidR="00A17CD2" w:rsidRPr="00A81763" w:rsidRDefault="00A17CD2" w:rsidP="00A17CD2">
      <w:pPr>
        <w:spacing w:line="360" w:lineRule="auto"/>
        <w:jc w:val="both"/>
        <w:rPr>
          <w:rFonts w:ascii="Arial" w:hAnsi="Arial" w:cs="Arial"/>
          <w:sz w:val="24"/>
          <w:szCs w:val="24"/>
          <w:lang w:val="en-GB"/>
        </w:rPr>
      </w:pPr>
      <w:r>
        <w:rPr>
          <w:rFonts w:ascii="Arial" w:hAnsi="Arial" w:cs="Arial"/>
          <w:sz w:val="24"/>
          <w:szCs w:val="24"/>
        </w:rPr>
        <w:t>O</w:t>
      </w:r>
      <w:r w:rsidRPr="00811F18">
        <w:rPr>
          <w:rFonts w:ascii="Arial" w:hAnsi="Arial" w:cs="Arial"/>
          <w:sz w:val="24"/>
          <w:szCs w:val="24"/>
        </w:rPr>
        <w:t>ne of the strategic objectives of the Saudi MoH to achieve Vision 2030</w:t>
      </w:r>
      <w:r>
        <w:rPr>
          <w:rFonts w:ascii="Arial" w:hAnsi="Arial" w:cs="Arial"/>
          <w:sz w:val="24"/>
          <w:szCs w:val="24"/>
        </w:rPr>
        <w:t xml:space="preserve"> is “</w:t>
      </w:r>
      <w:r w:rsidRPr="0050693E">
        <w:rPr>
          <w:rFonts w:ascii="Arial" w:hAnsi="Arial" w:cs="Arial"/>
          <w:i/>
          <w:iCs/>
          <w:sz w:val="24"/>
          <w:szCs w:val="24"/>
        </w:rPr>
        <w:t>Improve integration and continuity in service provision by developing the primary care</w:t>
      </w:r>
      <w:r>
        <w:rPr>
          <w:rFonts w:ascii="Arial" w:hAnsi="Arial" w:cs="Arial"/>
          <w:sz w:val="24"/>
          <w:szCs w:val="24"/>
        </w:rPr>
        <w:t>”</w:t>
      </w:r>
      <w:r>
        <w:rPr>
          <w:rFonts w:ascii="Arial" w:hAnsi="Arial" w:cs="Arial"/>
          <w:sz w:val="24"/>
          <w:szCs w:val="24"/>
        </w:rPr>
        <w:fldChar w:fldCharType="begin" w:fldLock="1"/>
      </w:r>
      <w:r>
        <w:rPr>
          <w:rFonts w:ascii="Arial" w:hAnsi="Arial" w:cs="Arial"/>
          <w:sz w:val="24"/>
          <w:szCs w:val="24"/>
        </w:rPr>
        <w:instrText>ADDIN CSL_CITATION {"citationItems":[{"id":"ITEM-1","itemData":{"abstract":"NTP 2020 is one of programs created to acheive Saudi Arabia’s Vision 2030","author":[{"dropping-particle":"","family":"Kingdom of Saudi Arabia","given":"","non-dropping-particle":"","parse-names":false,"suffix":""},{"dropping-particle":"","family":"Saudi Vision 2030","given":"","non-dropping-particle":"","parse-names":false,"suffix":""}],"container-title":"Saudi Vision 2030","id":"ITEM-1","issued":{"date-parts":[["2016"]]},"page":"1-57","title":"National transformation program 2020","type":"article-journal"},"uris":["http://www.mendeley.com/documents/?uuid=aa7efc00-61be-46e0-8e1f-c48dba94fdd6"]}],"mendeley":{"formattedCitation":"(Kingdom of Saudi Arabia and Saudi Vision 2030, 2016)","manualFormatting":"(Kingdom of Saudi Arabia and Saudi Vision 2030, 2016, p28)","plainTextFormattedCitation":"(Kingdom of Saudi Arabia and Saudi Vision 2030, 2016)","previouslyFormattedCitation":"(Kingdom of Saudi Arabia and Saudi Vision 2030, 2016)"},"properties":{"noteIndex":0},"schema":"https://github.com/citation-style-language/schema/raw/master/csl-citation.json"}</w:instrText>
      </w:r>
      <w:r>
        <w:rPr>
          <w:rFonts w:ascii="Arial" w:hAnsi="Arial" w:cs="Arial"/>
          <w:sz w:val="24"/>
          <w:szCs w:val="24"/>
        </w:rPr>
        <w:fldChar w:fldCharType="separate"/>
      </w:r>
      <w:r w:rsidRPr="008368A8">
        <w:rPr>
          <w:rFonts w:ascii="Arial" w:hAnsi="Arial" w:cs="Arial"/>
          <w:noProof/>
          <w:sz w:val="24"/>
          <w:szCs w:val="24"/>
        </w:rPr>
        <w:t>(Kingdom of Saudi Arabia and Saudi Vision 2030, 2016</w:t>
      </w:r>
      <w:r>
        <w:rPr>
          <w:rFonts w:ascii="Arial" w:hAnsi="Arial" w:cs="Arial"/>
          <w:noProof/>
          <w:sz w:val="24"/>
          <w:szCs w:val="24"/>
        </w:rPr>
        <w:t>, p28</w:t>
      </w:r>
      <w:r w:rsidRPr="008368A8">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r w:rsidRPr="00811F18">
        <w:rPr>
          <w:rFonts w:ascii="Arial" w:hAnsi="Arial" w:cs="Arial"/>
          <w:sz w:val="24"/>
          <w:szCs w:val="24"/>
        </w:rPr>
        <w:t xml:space="preserve"> The team-based practice of a </w:t>
      </w:r>
      <w:r>
        <w:rPr>
          <w:rFonts w:ascii="Arial" w:hAnsi="Arial" w:cs="Arial"/>
          <w:sz w:val="24"/>
          <w:szCs w:val="24"/>
        </w:rPr>
        <w:t>MDT</w:t>
      </w:r>
      <w:r w:rsidRPr="00811F18">
        <w:rPr>
          <w:rFonts w:ascii="Arial" w:hAnsi="Arial" w:cs="Arial"/>
          <w:sz w:val="24"/>
          <w:szCs w:val="24"/>
        </w:rPr>
        <w:t xml:space="preserve"> could be identified as a key element driving continuous improvements in integrated care to improve the provision of PHCs and bring positive clinical and economic outcomes to healthcare systems. </w:t>
      </w:r>
      <w:r w:rsidRPr="00287CA9">
        <w:rPr>
          <w:rFonts w:ascii="Arial" w:hAnsi="Arial" w:cs="Arial"/>
          <w:sz w:val="24"/>
          <w:szCs w:val="24"/>
          <w:lang w:val="en-GB"/>
        </w:rPr>
        <w:t xml:space="preserve">The </w:t>
      </w:r>
      <w:r>
        <w:rPr>
          <w:rFonts w:ascii="Arial" w:hAnsi="Arial" w:cs="Arial"/>
          <w:sz w:val="24"/>
          <w:szCs w:val="24"/>
          <w:lang w:val="en-GB"/>
        </w:rPr>
        <w:t>MDT</w:t>
      </w:r>
      <w:r w:rsidRPr="00287CA9">
        <w:rPr>
          <w:rFonts w:ascii="Arial" w:hAnsi="Arial" w:cs="Arial"/>
          <w:sz w:val="24"/>
          <w:szCs w:val="24"/>
          <w:lang w:val="en-GB"/>
        </w:rPr>
        <w:t xml:space="preserve"> in the </w:t>
      </w:r>
      <w:r>
        <w:rPr>
          <w:rFonts w:ascii="Arial" w:hAnsi="Arial" w:cs="Arial"/>
          <w:sz w:val="24"/>
          <w:szCs w:val="24"/>
          <w:lang w:val="en-GB"/>
        </w:rPr>
        <w:t xml:space="preserve">several </w:t>
      </w:r>
      <w:r w:rsidRPr="00287CA9">
        <w:rPr>
          <w:rFonts w:ascii="Arial" w:hAnsi="Arial" w:cs="Arial"/>
          <w:sz w:val="24"/>
          <w:szCs w:val="24"/>
          <w:lang w:val="en-GB"/>
        </w:rPr>
        <w:t>studies</w:t>
      </w:r>
      <w:r>
        <w:rPr>
          <w:rFonts w:ascii="Arial" w:hAnsi="Arial" w:cs="Arial"/>
          <w:sz w:val="24"/>
          <w:szCs w:val="24"/>
          <w:lang w:val="en-GB"/>
        </w:rPr>
        <w:t xml:space="preserve"> conducted in SA, such as those by </w:t>
      </w:r>
      <w:r w:rsidRPr="000F2C49">
        <w:rPr>
          <w:rFonts w:asciiTheme="minorBidi" w:hAnsiTheme="minorBidi"/>
          <w:sz w:val="24"/>
          <w:szCs w:val="24"/>
          <w:shd w:val="clear" w:color="auto" w:fill="FFFFFF"/>
        </w:rPr>
        <w:t>(Al Asmary et al., 2013</w:t>
      </w:r>
      <w:r>
        <w:rPr>
          <w:rFonts w:asciiTheme="minorBidi" w:hAnsiTheme="minorBidi"/>
          <w:sz w:val="24"/>
          <w:szCs w:val="24"/>
          <w:shd w:val="clear" w:color="auto" w:fill="FFFFFF"/>
        </w:rPr>
        <w:t>;</w:t>
      </w:r>
      <w:r w:rsidRPr="000F2C49">
        <w:rPr>
          <w:rFonts w:asciiTheme="minorBidi" w:hAnsiTheme="minorBidi"/>
          <w:sz w:val="24"/>
          <w:szCs w:val="24"/>
          <w:shd w:val="clear" w:color="auto" w:fill="FFFFFF"/>
        </w:rPr>
        <w:t xml:space="preserve"> Tourkmani et al., 2016</w:t>
      </w:r>
      <w:r>
        <w:rPr>
          <w:rFonts w:asciiTheme="minorBidi" w:hAnsiTheme="minorBidi"/>
          <w:sz w:val="24"/>
          <w:szCs w:val="24"/>
          <w:shd w:val="clear" w:color="auto" w:fill="FFFFFF"/>
        </w:rPr>
        <w:t>;</w:t>
      </w:r>
      <w:r w:rsidRPr="000F2C49">
        <w:rPr>
          <w:rFonts w:asciiTheme="minorBidi" w:hAnsiTheme="minorBidi"/>
          <w:sz w:val="24"/>
          <w:szCs w:val="24"/>
          <w:shd w:val="clear" w:color="auto" w:fill="FFFFFF"/>
        </w:rPr>
        <w:t xml:space="preserve"> Tourkmani et al., 2018</w:t>
      </w:r>
      <w:r>
        <w:rPr>
          <w:rFonts w:asciiTheme="minorBidi" w:hAnsiTheme="minorBidi"/>
          <w:sz w:val="24"/>
          <w:szCs w:val="24"/>
          <w:shd w:val="clear" w:color="auto" w:fill="FFFFFF"/>
        </w:rPr>
        <w:t>;;</w:t>
      </w:r>
      <w:r w:rsidRPr="000F2C49">
        <w:rPr>
          <w:rFonts w:asciiTheme="minorBidi" w:hAnsiTheme="minorBidi"/>
          <w:sz w:val="24"/>
          <w:szCs w:val="24"/>
          <w:shd w:val="clear" w:color="auto" w:fill="FFFFFF"/>
        </w:rPr>
        <w:t xml:space="preserve"> Al-Arifi and Al-Omar, 2018</w:t>
      </w:r>
      <w:r>
        <w:rPr>
          <w:rFonts w:asciiTheme="minorBidi" w:hAnsiTheme="minorBidi"/>
          <w:sz w:val="24"/>
          <w:szCs w:val="24"/>
          <w:shd w:val="clear" w:color="auto" w:fill="FFFFFF"/>
        </w:rPr>
        <w:t>;</w:t>
      </w:r>
      <w:r w:rsidRPr="000F2C49">
        <w:rPr>
          <w:rFonts w:asciiTheme="minorBidi" w:hAnsiTheme="minorBidi"/>
          <w:sz w:val="24"/>
          <w:szCs w:val="24"/>
          <w:shd w:val="clear" w:color="auto" w:fill="FFFFFF"/>
        </w:rPr>
        <w:t xml:space="preserve"> </w:t>
      </w:r>
      <w:r w:rsidRPr="00522A6C">
        <w:rPr>
          <w:rFonts w:asciiTheme="minorBidi" w:hAnsiTheme="minorBidi"/>
          <w:sz w:val="24"/>
          <w:szCs w:val="24"/>
          <w:shd w:val="clear" w:color="auto" w:fill="FFFFFF"/>
        </w:rPr>
        <w:fldChar w:fldCharType="begin" w:fldLock="1"/>
      </w:r>
      <w:r w:rsidRPr="00522A6C">
        <w:rPr>
          <w:rFonts w:asciiTheme="minorBidi" w:hAnsiTheme="minorBidi"/>
          <w:sz w:val="24"/>
          <w:szCs w:val="24"/>
          <w:shd w:val="clear" w:color="auto" w:fill="FFFFFF"/>
        </w:rPr>
        <w:instrText>ADDIN CSL_CITATION {"citationItems":[{"id":"ITEM-1","itemData":{"author":[{"dropping-particle":"","family":"Alsubaie","given":"Nawal","non-dropping-particle":"","parse-names":false,"suffix":""},{"dropping-particle":"","family":"Alsallal","given":"Mohannad","non-dropping-particle":"","parse-names":false,"suffix":""},{"dropping-particle":"","family":"Altwaijri","given":"Sulaiman","non-dropping-particle":"","parse-names":false,"suffix":""},{"dropping-particle":"","family":"Alotaibi","given":"Ahmed","non-dropping-particle":"","parse-names":false,"suffix":""},{"dropping-particle":"","family":"Alharbi","given":"Bandar","non-dropping-particle":"","parse-names":false,"suffix":""},{"dropping-particle":"","family":"Aleissa","given":"Mohammad","non-dropping-particle":"","parse-names":false,"suffix":""}],"id":"ITEM-1","issued":{"date-parts":[["2022"]]},"page":"887-892","title":"Impact of Clinical Pharmacist Diabetes Clinic on the Improvement of Health Outcomes in Type 2 Diabetes Subjects","type":"article-journal","volume":"10"},"uris":["http://www.mendeley.com/documents/?uuid=f4bab006-c942-4961-9501-a0ea0c0f1f08"]}],"mendeley":{"formattedCitation":"(Alsubaie &lt;i&gt;et al.&lt;/i&gt;, 2022)","plainTextFormattedCitation":"(Alsubaie et al., 2022)","previouslyFormattedCitation":"(Alsubaie &lt;i&gt;et al.&lt;/i&gt;, 2022)"},"properties":{"noteIndex":0},"schema":"https://github.com/citation-style-language/schema/raw/master/csl-citation.json"}</w:instrText>
      </w:r>
      <w:r w:rsidRPr="00522A6C">
        <w:rPr>
          <w:rFonts w:asciiTheme="minorBidi" w:hAnsiTheme="minorBidi"/>
          <w:sz w:val="24"/>
          <w:szCs w:val="24"/>
          <w:shd w:val="clear" w:color="auto" w:fill="FFFFFF"/>
        </w:rPr>
        <w:fldChar w:fldCharType="separate"/>
      </w:r>
      <w:r w:rsidRPr="00522A6C">
        <w:rPr>
          <w:rFonts w:asciiTheme="minorBidi" w:hAnsiTheme="minorBidi"/>
          <w:noProof/>
          <w:sz w:val="24"/>
          <w:szCs w:val="24"/>
          <w:shd w:val="clear" w:color="auto" w:fill="FFFFFF"/>
        </w:rPr>
        <w:t>(Alsubaie et al., 2022)</w:t>
      </w:r>
      <w:r w:rsidRPr="00522A6C">
        <w:rPr>
          <w:rFonts w:asciiTheme="minorBidi" w:hAnsiTheme="minorBidi"/>
          <w:sz w:val="24"/>
          <w:szCs w:val="24"/>
          <w:shd w:val="clear" w:color="auto" w:fill="FFFFFF"/>
        </w:rPr>
        <w:fldChar w:fldCharType="end"/>
      </w:r>
      <w:r w:rsidRPr="000F2C49">
        <w:rPr>
          <w:rFonts w:asciiTheme="minorBidi" w:hAnsiTheme="minorBidi"/>
          <w:sz w:val="24"/>
          <w:szCs w:val="24"/>
          <w:shd w:val="clear" w:color="auto" w:fill="FFFFFF"/>
        </w:rPr>
        <w:t>)</w:t>
      </w:r>
      <w:r>
        <w:rPr>
          <w:rFonts w:asciiTheme="minorBidi" w:hAnsiTheme="minorBidi"/>
          <w:sz w:val="24"/>
          <w:szCs w:val="24"/>
          <w:shd w:val="clear" w:color="auto" w:fill="FFFFFF"/>
        </w:rPr>
        <w:t>,</w:t>
      </w:r>
      <w:r w:rsidRPr="00287CA9">
        <w:rPr>
          <w:rFonts w:ascii="Arial" w:hAnsi="Arial" w:cs="Arial"/>
          <w:sz w:val="24"/>
          <w:szCs w:val="24"/>
          <w:lang w:val="en-GB"/>
        </w:rPr>
        <w:t xml:space="preserve"> included a clinical pharmacist on the diabetes care team. It is possible, therefore, that the presence of the pharmacist in PHCs provides a high quality of patient care and improves the delivery of healthcare services, as was found in this research </w:t>
      </w:r>
      <w:r>
        <w:rPr>
          <w:rFonts w:ascii="Arial" w:hAnsi="Arial" w:cs="Arial"/>
          <w:sz w:val="24"/>
          <w:szCs w:val="24"/>
          <w:lang w:val="en-GB"/>
        </w:rPr>
        <w:t xml:space="preserve">which is based on primary care professionals’ perception </w:t>
      </w:r>
      <w:r w:rsidRPr="00287CA9">
        <w:rPr>
          <w:rFonts w:ascii="Arial" w:hAnsi="Arial" w:cs="Arial"/>
          <w:sz w:val="24"/>
          <w:szCs w:val="24"/>
          <w:lang w:val="en-GB"/>
        </w:rPr>
        <w:t>that the pharmacists in PHCs had an impact on improved patient outcomes and patient safety.</w:t>
      </w:r>
      <w:r>
        <w:rPr>
          <w:rFonts w:ascii="Arial" w:hAnsi="Arial" w:cs="Arial"/>
          <w:sz w:val="24"/>
          <w:szCs w:val="24"/>
          <w:lang w:val="en-GB"/>
        </w:rPr>
        <w:t xml:space="preserve"> </w:t>
      </w:r>
      <w:r w:rsidRPr="00907687">
        <w:rPr>
          <w:rFonts w:ascii="Arial" w:hAnsi="Arial" w:cs="Arial"/>
          <w:sz w:val="24"/>
          <w:szCs w:val="24"/>
          <w:lang w:val="en-GB"/>
        </w:rPr>
        <w:t xml:space="preserve">This conclusion is supported by </w:t>
      </w:r>
      <w:r w:rsidRPr="00907687">
        <w:rPr>
          <w:rFonts w:asciiTheme="minorBidi" w:hAnsiTheme="minorBidi"/>
          <w:sz w:val="24"/>
          <w:szCs w:val="24"/>
          <w:shd w:val="clear" w:color="auto" w:fill="FFFFFF"/>
          <w:lang w:val="en-GB"/>
        </w:rPr>
        <w:fldChar w:fldCharType="begin" w:fldLock="1"/>
      </w:r>
      <w:r w:rsidRPr="00907687">
        <w:rPr>
          <w:rFonts w:asciiTheme="minorBidi" w:hAnsiTheme="minorBidi"/>
          <w:sz w:val="24"/>
          <w:szCs w:val="24"/>
          <w:shd w:val="clear" w:color="auto" w:fill="FFFFFF"/>
          <w:lang w:val="en-GB"/>
        </w:rPr>
        <w:instrText>ADDIN CSL_CITATION {"citationItems":[{"id":"ITEM-1","itemData":{"DOI":"10.3390/pharmacy5020023","ISSN":"2226-4787","abstract":"Even though pharmaceutical care is not a new concept in pharmacy, its introduction and development has proved to be challenging. In Iceland, general practitioners are not familiar with pharmaceutical care and additionally no such service is offered in pharmacies or primary care settings. Introducing pharmaceutical care in primary care in Iceland is making great efforts to follow other countries, which are bringing the pharmacist more into patient care. General practitioners are key stakeholders in this endeavor. The aim of this study was to introduce pharmacist-led pharmaceutical care into primary care clinics in Iceland in collaboration with general practitioners by presenting different setting structures. Action research provided the framework for this research. Data was collected from pharmaceutical care interventions, whereby the pharmaceutical care practitioner ensures that each of a patient’s medications is assessed to determine if it is appropriate, effective, safe, and that the patient can take medicine as expected. Sources of data included pharmaceutical care notes on patients, researcher’s notes, meetings, and interviews with general practitioners over the period of the study. The study ran from September 2013 to October 2015. Three separate semi-structured in-depth interviews were conducted with five general practitioners from one primary health care clinic in Iceland at different time points throughout the study. Pharmaceutical care was provided to elderly patients (n = 125) before and between general practitioners’ interviews. The study setting was a primary care clinic in the Reykjavik area and the patients’ homes. Results showed that the GPs’ knowledge about pharmacist competencies as healthcare providers and their potential in patient care increased. GPs would now like to have access to a pharmacist on a daily basis. Direct contact between the pharmacist and GPs is better when working in the same physical space. Pharmacist’s access to medical records is necessary for optimal service. Pharmacist-led clinical service was deemed most needed in dose dispensing polypharmacy patients. This research indicated that it was essential to introduce Icelandic GPs to the potential contribution of pharmacists in patient care and that action research was a useful methodology to promote and develop a relationship between those two health care providers in primary care in Iceland.","author":[{"dropping-particle":"","family":"Blondal","given":"Anna Bryndis","non-dropping-particle":"","parse-names":false,"suffix":""},{"dropping-particle":"","family":"Sporrong","given":"Sofia Kalvemark","non-dropping-particle":"","parse-names":false,"suffix":""},{"dropping-particle":"","family":"Almarsdottir","given":"Anna Birna","non-dropping-particle":"","parse-names":false,"suffix":""}],"container-title":"MDPI Pharmacy","id":"ITEM-1","issue":"4","issued":{"date-parts":[["2017"]]},"page":"23","title":"Introducing Pharmaceutical Care to Primary Care in Iceland—An Action Research Study","type":"article-journal","volume":"5"},"uris":["http://www.mendeley.com/documents/?uuid=ca02dac1-9348-428b-9acc-9176b46adc4e"]}],"mendeley":{"formattedCitation":"(Blondal, Sporrong and Almarsdottir, 2017)","manualFormatting":" Blondal et al., (2017)","plainTextFormattedCitation":"(Blondal, Sporrong and Almarsdottir, 2017)","previouslyFormattedCitation":"(Blondal, Sporrong and Almarsdottir, 2017)"},"properties":{"noteIndex":0},"schema":"https://github.com/citation-style-language/schema/raw/master/csl-citation.json"}</w:instrText>
      </w:r>
      <w:r w:rsidRPr="00907687">
        <w:rPr>
          <w:rFonts w:asciiTheme="minorBidi" w:hAnsiTheme="minorBidi"/>
          <w:sz w:val="24"/>
          <w:szCs w:val="24"/>
          <w:shd w:val="clear" w:color="auto" w:fill="FFFFFF"/>
          <w:lang w:val="en-GB"/>
        </w:rPr>
        <w:fldChar w:fldCharType="separate"/>
      </w:r>
      <w:r w:rsidRPr="00907687">
        <w:rPr>
          <w:rFonts w:asciiTheme="minorBidi" w:hAnsiTheme="minorBidi"/>
          <w:noProof/>
          <w:sz w:val="24"/>
          <w:szCs w:val="24"/>
          <w:shd w:val="clear" w:color="auto" w:fill="FFFFFF"/>
          <w:lang w:val="en-GB"/>
        </w:rPr>
        <w:t xml:space="preserve"> Blondal et al., (2017)</w:t>
      </w:r>
      <w:r w:rsidRPr="00907687">
        <w:rPr>
          <w:rFonts w:asciiTheme="minorBidi" w:hAnsiTheme="minorBidi"/>
          <w:sz w:val="24"/>
          <w:szCs w:val="24"/>
          <w:shd w:val="clear" w:color="auto" w:fill="FFFFFF"/>
          <w:lang w:val="en-GB"/>
        </w:rPr>
        <w:fldChar w:fldCharType="end"/>
      </w:r>
      <w:r w:rsidRPr="00907687">
        <w:rPr>
          <w:rFonts w:asciiTheme="minorBidi" w:hAnsiTheme="minorBidi"/>
          <w:sz w:val="24"/>
          <w:szCs w:val="24"/>
          <w:shd w:val="clear" w:color="auto" w:fill="FFFFFF"/>
          <w:lang w:val="en-GB"/>
        </w:rPr>
        <w:t xml:space="preserve"> who</w:t>
      </w:r>
      <w:r w:rsidRPr="00907687">
        <w:rPr>
          <w:rFonts w:ascii="Arial" w:hAnsi="Arial" w:cs="Arial"/>
          <w:sz w:val="24"/>
          <w:szCs w:val="24"/>
          <w:lang w:val="en-GB"/>
        </w:rPr>
        <w:t xml:space="preserve"> </w:t>
      </w:r>
      <w:r w:rsidRPr="00907687">
        <w:rPr>
          <w:rFonts w:asciiTheme="minorBidi" w:hAnsiTheme="minorBidi"/>
          <w:sz w:val="24"/>
          <w:szCs w:val="24"/>
          <w:shd w:val="clear" w:color="auto" w:fill="FFFFFF"/>
          <w:lang w:val="en-GB"/>
        </w:rPr>
        <w:t xml:space="preserve">found that the most efficient collaboration between pharmacists and GPs is when they work side by side at the primary care clinic because the relationship between those two HCPs can be established and developed - when they are working in the same clinic. </w:t>
      </w:r>
    </w:p>
    <w:p w14:paraId="0CE55996" w14:textId="77777777" w:rsidR="00A17CD2" w:rsidRPr="00D520CC" w:rsidRDefault="00A17CD2" w:rsidP="00A17CD2">
      <w:pPr>
        <w:spacing w:line="360" w:lineRule="auto"/>
        <w:jc w:val="both"/>
        <w:rPr>
          <w:rFonts w:asciiTheme="minorBidi" w:hAnsiTheme="minorBidi"/>
          <w:sz w:val="24"/>
          <w:szCs w:val="24"/>
          <w:shd w:val="clear" w:color="auto" w:fill="FFFFFF"/>
        </w:rPr>
      </w:pPr>
      <w:r>
        <w:rPr>
          <w:rFonts w:ascii="Arial" w:hAnsi="Arial" w:cs="Arial"/>
          <w:sz w:val="24"/>
          <w:szCs w:val="24"/>
          <w:lang w:val="en-GB"/>
        </w:rPr>
        <w:t xml:space="preserve">Other benefits of integrating pharmacists into PHC were found in this study, those are related to job satisfaction of HCPs, including enhanced knowledge of practitioners about medications, and potentially saving their time in addressing medication related issues. </w:t>
      </w:r>
      <w:r w:rsidRPr="00287CA9">
        <w:rPr>
          <w:rFonts w:ascii="Arial" w:hAnsi="Arial" w:cs="Arial"/>
          <w:sz w:val="24"/>
          <w:szCs w:val="24"/>
          <w:lang w:val="en-GB"/>
        </w:rPr>
        <w:t xml:space="preserve"> </w:t>
      </w:r>
    </w:p>
    <w:p w14:paraId="55AA8464" w14:textId="77777777" w:rsidR="00A17CD2" w:rsidRPr="005B758E" w:rsidRDefault="00A17CD2" w:rsidP="00A17CD2">
      <w:pPr>
        <w:spacing w:line="360" w:lineRule="auto"/>
        <w:jc w:val="both"/>
        <w:rPr>
          <w:rFonts w:asciiTheme="minorBidi" w:hAnsiTheme="minorBidi"/>
          <w:sz w:val="24"/>
          <w:szCs w:val="24"/>
          <w:shd w:val="clear" w:color="auto" w:fill="FFFFFF"/>
        </w:rPr>
      </w:pPr>
      <w:r w:rsidRPr="00F603CC">
        <w:rPr>
          <w:rFonts w:asciiTheme="minorBidi" w:hAnsiTheme="minorBidi"/>
          <w:sz w:val="24"/>
          <w:szCs w:val="24"/>
          <w:shd w:val="clear" w:color="auto" w:fill="FFFFFF"/>
        </w:rPr>
        <w:t xml:space="preserve">This research </w:t>
      </w:r>
      <w:r>
        <w:rPr>
          <w:rFonts w:asciiTheme="minorBidi" w:hAnsiTheme="minorBidi"/>
          <w:sz w:val="24"/>
          <w:szCs w:val="24"/>
          <w:shd w:val="clear" w:color="auto" w:fill="FFFFFF"/>
        </w:rPr>
        <w:t xml:space="preserve">has shown that HCPs believe </w:t>
      </w:r>
      <w:r w:rsidRPr="00F603CC">
        <w:rPr>
          <w:rFonts w:asciiTheme="minorBidi" w:hAnsiTheme="minorBidi"/>
          <w:sz w:val="24"/>
          <w:szCs w:val="24"/>
          <w:shd w:val="clear" w:color="auto" w:fill="FFFFFF"/>
        </w:rPr>
        <w:t>the scope of pharmacy practice in S</w:t>
      </w:r>
      <w:r>
        <w:rPr>
          <w:rFonts w:asciiTheme="minorBidi" w:hAnsiTheme="minorBidi"/>
          <w:sz w:val="24"/>
          <w:szCs w:val="24"/>
          <w:shd w:val="clear" w:color="auto" w:fill="FFFFFF"/>
        </w:rPr>
        <w:t xml:space="preserve">A </w:t>
      </w:r>
      <w:r w:rsidRPr="00F603CC">
        <w:rPr>
          <w:rFonts w:asciiTheme="minorBidi" w:hAnsiTheme="minorBidi"/>
          <w:sz w:val="24"/>
          <w:szCs w:val="24"/>
          <w:shd w:val="clear" w:color="auto" w:fill="FFFFFF"/>
        </w:rPr>
        <w:t>has expanded—</w:t>
      </w:r>
      <w:r>
        <w:rPr>
          <w:rFonts w:asciiTheme="minorBidi" w:hAnsiTheme="minorBidi"/>
          <w:sz w:val="24"/>
          <w:szCs w:val="24"/>
          <w:shd w:val="clear" w:color="auto" w:fill="FFFFFF"/>
        </w:rPr>
        <w:t xml:space="preserve">with </w:t>
      </w:r>
      <w:r w:rsidRPr="00F603CC">
        <w:rPr>
          <w:rFonts w:asciiTheme="minorBidi" w:hAnsiTheme="minorBidi"/>
          <w:sz w:val="24"/>
          <w:szCs w:val="24"/>
          <w:shd w:val="clear" w:color="auto" w:fill="FFFFFF"/>
        </w:rPr>
        <w:t>progression in pharmacy practice from product</w:t>
      </w:r>
      <w:r>
        <w:rPr>
          <w:rFonts w:asciiTheme="minorBidi" w:hAnsiTheme="minorBidi"/>
          <w:sz w:val="24"/>
          <w:szCs w:val="24"/>
          <w:shd w:val="clear" w:color="auto" w:fill="FFFFFF"/>
        </w:rPr>
        <w:t xml:space="preserve"> (dispensing medicines)</w:t>
      </w:r>
      <w:r w:rsidRPr="00F603CC">
        <w:rPr>
          <w:rFonts w:asciiTheme="minorBidi" w:hAnsiTheme="minorBidi"/>
          <w:sz w:val="24"/>
          <w:szCs w:val="24"/>
          <w:shd w:val="clear" w:color="auto" w:fill="FFFFFF"/>
        </w:rPr>
        <w:t xml:space="preserve"> to patient-centred practice—to meet the changing needs in the health care system</w:t>
      </w:r>
      <w:r>
        <w:rPr>
          <w:rFonts w:asciiTheme="minorBidi" w:hAnsiTheme="minorBidi"/>
          <w:sz w:val="24"/>
          <w:szCs w:val="24"/>
          <w:shd w:val="clear" w:color="auto" w:fill="FFFFFF"/>
        </w:rPr>
        <w:t>.</w:t>
      </w:r>
      <w:r w:rsidRPr="00F603CC">
        <w:rPr>
          <w:rFonts w:asciiTheme="minorBidi" w:hAnsiTheme="minorBidi"/>
          <w:sz w:val="24"/>
          <w:szCs w:val="24"/>
          <w:shd w:val="clear" w:color="auto" w:fill="FFFFFF"/>
        </w:rPr>
        <w:t xml:space="preserve"> </w:t>
      </w:r>
      <w:r>
        <w:rPr>
          <w:rFonts w:asciiTheme="minorBidi" w:hAnsiTheme="minorBidi"/>
          <w:sz w:val="24"/>
          <w:szCs w:val="24"/>
          <w:shd w:val="clear" w:color="auto" w:fill="FFFFFF"/>
        </w:rPr>
        <w:t xml:space="preserve">This is a similar finding to </w:t>
      </w:r>
      <w:r w:rsidRPr="00C527E3">
        <w:rPr>
          <w:rFonts w:asciiTheme="minorBidi" w:hAnsiTheme="minorBidi"/>
          <w:sz w:val="24"/>
          <w:szCs w:val="24"/>
          <w:shd w:val="clear" w:color="auto" w:fill="FFFFFF"/>
        </w:rPr>
        <w:t xml:space="preserve">other </w:t>
      </w:r>
      <w:r>
        <w:rPr>
          <w:rFonts w:asciiTheme="minorBidi" w:hAnsiTheme="minorBidi"/>
          <w:sz w:val="24"/>
          <w:szCs w:val="24"/>
          <w:shd w:val="clear" w:color="auto" w:fill="FFFFFF"/>
        </w:rPr>
        <w:t>several other studies</w:t>
      </w:r>
      <w:r w:rsidRPr="00C527E3">
        <w:rPr>
          <w:rFonts w:asciiTheme="minorBidi" w:hAnsiTheme="minorBidi"/>
          <w:sz w:val="24"/>
          <w:szCs w:val="24"/>
          <w:shd w:val="clear" w:color="auto" w:fill="FFFFFF"/>
        </w:rPr>
        <w:t xml:space="preserve"> </w:t>
      </w:r>
      <w:r>
        <w:rPr>
          <w:rFonts w:asciiTheme="minorBidi" w:hAnsiTheme="minorBidi"/>
          <w:sz w:val="24"/>
          <w:szCs w:val="24"/>
          <w:shd w:val="clear" w:color="auto" w:fill="FFFFFF"/>
        </w:rPr>
        <w:t>(</w:t>
      </w:r>
      <w:r w:rsidRPr="00C527E3">
        <w:rPr>
          <w:rFonts w:asciiTheme="minorBidi" w:hAnsiTheme="minorBidi"/>
          <w:sz w:val="24"/>
          <w:szCs w:val="24"/>
          <w:shd w:val="clear" w:color="auto" w:fill="FFFFFF"/>
        </w:rPr>
        <w:t xml:space="preserve">such as  </w:t>
      </w:r>
      <w:r w:rsidRPr="00C527E3">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author":[{"dropping-particle":"","family":"Al-Jedai","given":"Ahmed","non-dropping-particle":"","parse-names":false,"suffix":""},{"dropping-particle":"","family":"Qaisi","given":"Shrouq","non-dropping-particle":"","parse-names":false,"suffix":""},{"dropping-particle":"","family":"Al-Meman","given":"Ahmed","non-dropping-particle":"","parse-names":false,"suffix":""}],"id":"ITEM-1","issue":"3","issued":{"date-parts":[["2016"]]},"title":"INTERNATIONAL PERSPECTIVES ON PHARMACY PRACTICE Pharmacy Practice and the Health Care System in Saudi Arabia","type":"report","volume":"69"},"uris":["http://www.mendeley.com/documents/?uuid=6c28c996-40b3-372f-8ce1-970c28f78a5b"]}],"mendeley":{"formattedCitation":"(Al-Jedai, Qaisi and Al-Meman, 2016a)","manualFormatting":"Al-Jedai, Qaisi and Al-Meman, 2016a","plainTextFormattedCitation":"(Al-Jedai, Qaisi and Al-Meman, 2016a)","previouslyFormattedCitation":"(Al-Jedai, Qaisi and Al-Meman, 2016a)"},"properties":{"noteIndex":0},"schema":"https://github.com/citation-style-language/schema/raw/master/csl-citation.json"}</w:instrText>
      </w:r>
      <w:r w:rsidRPr="00C527E3">
        <w:rPr>
          <w:rFonts w:asciiTheme="minorBidi" w:hAnsiTheme="minorBidi"/>
          <w:sz w:val="24"/>
          <w:szCs w:val="24"/>
          <w:shd w:val="clear" w:color="auto" w:fill="FFFFFF"/>
        </w:rPr>
        <w:fldChar w:fldCharType="separate"/>
      </w:r>
      <w:r w:rsidRPr="00C527E3">
        <w:rPr>
          <w:rFonts w:asciiTheme="minorBidi" w:hAnsiTheme="minorBidi"/>
          <w:noProof/>
          <w:sz w:val="24"/>
          <w:szCs w:val="24"/>
          <w:shd w:val="clear" w:color="auto" w:fill="FFFFFF"/>
        </w:rPr>
        <w:t>Al-Jedai, Qaisi and Al-Meman, 2016a</w:t>
      </w:r>
      <w:r w:rsidRPr="00C527E3">
        <w:rPr>
          <w:rFonts w:asciiTheme="minorBidi" w:hAnsiTheme="minorBidi"/>
          <w:sz w:val="24"/>
          <w:szCs w:val="24"/>
          <w:shd w:val="clear" w:color="auto" w:fill="FFFFFF"/>
        </w:rPr>
        <w:fldChar w:fldCharType="end"/>
      </w:r>
      <w:r>
        <w:rPr>
          <w:rFonts w:asciiTheme="minorBidi" w:hAnsiTheme="minorBidi"/>
          <w:sz w:val="24"/>
          <w:szCs w:val="24"/>
          <w:shd w:val="clear" w:color="auto" w:fill="FFFFFF"/>
        </w:rPr>
        <w:t>;</w:t>
      </w:r>
      <w:r w:rsidRPr="00C527E3">
        <w:rPr>
          <w:rFonts w:asciiTheme="minorBidi" w:hAnsiTheme="minorBidi"/>
          <w:sz w:val="24"/>
          <w:szCs w:val="24"/>
          <w:shd w:val="clear" w:color="auto" w:fill="FFFFFF"/>
        </w:rPr>
        <w:t xml:space="preserve">  </w:t>
      </w:r>
      <w:r w:rsidRPr="00C527E3">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{"citationItems":[{"id":"ITEM-1","itemData":{"DOI":"10.4314/tjpr.v19i6.27","ISSN":"15969827","abstract":"Purpose: To analyze the strategic position of clinical pharmacy education in Saudi Arabia and ensure that it meets the needs of the current industry in the country. Methods: A comprehensive and structured analysis of strengths, weaknesses, opportunities, and threats (SWOT) was performed with more than 100 clinical pharmacists, academic staff, and students as participants. An internal factor evaluation (IFE), external factor evaluation (EFE), and SWOT matrix were conducted to compare the provisions of the current system with market needs. Results: The analysis involved more than 40 academic staff members, 35 clinical pharmacists, 50 students, and sev</w:instrText>
      </w:r>
      <w:r w:rsidRPr="00876389">
        <w:rPr>
          <w:rFonts w:asciiTheme="minorBidi" w:hAnsiTheme="minorBidi"/>
          <w:sz w:val="24"/>
          <w:szCs w:val="24"/>
          <w:shd w:val="clear" w:color="auto" w:fill="FFFFFF"/>
          <w:lang w:val="es-ES_tradnl"/>
        </w:rPr>
        <w:instrText>eral administrative staff members. The EFE and IFE were calculated as 2.06 and 2.2, respectively, and were lower than the accepted international standard. The internal and external analyses involved 37 and 20 items, respectively. Finally, a SWOT matrix was constructed to help for proposing the strategies. Several strategies were recommended to address eventual shortcomings. Conclusion: The great paradigm shifts in the pharmaceutical market warrant an equal paradigm shift in clinical pharmacy education. More strategic data are needed to further analyze the market in the next five to ten years. Adopting the current educational modality to best match the needs of the pharmaceutical market is also essential.","author":[{"dropping-particle":"","family":"Almeman","given":"Ahmad A.","non-dropping-particle":"","parse-names":false,"suffix":""}],"container-title":"Tropical Journal of Pharmaceutical Research","id":"ITEM-1","issue":"6","issued":{"date-parts":[["2020"]]},"page":"1303-1311","title":"Strategic analysis of clinical pharmacy education in Saudi Arabia","type":"article-journal","volume":"19"},"uris":["http://www.mendeley.com/documents/?uuid=0d091eea-7d22-4419-8d75-76caeaf101b4"]}],"mendeley":{"formattedCitation":"(Almeman, 2020)","manualFormatting":"Almeman, 2020;","plainTextFormattedCitation":"(Almeman, 2020)","previouslyFormattedCitation":"(Almeman, 2020)"},"properties":{"noteIndex":0},"schema":"https://github.com/citation-style-language/schema/raw/master/csl-citation.json"}</w:instrText>
      </w:r>
      <w:r w:rsidRPr="00C527E3">
        <w:rPr>
          <w:rFonts w:asciiTheme="minorBidi" w:hAnsiTheme="minorBidi"/>
          <w:sz w:val="24"/>
          <w:szCs w:val="24"/>
          <w:shd w:val="clear" w:color="auto" w:fill="FFFFFF"/>
        </w:rPr>
        <w:fldChar w:fldCharType="separate"/>
      </w:r>
      <w:r w:rsidRPr="00C21A72">
        <w:rPr>
          <w:rFonts w:asciiTheme="minorBidi" w:hAnsiTheme="minorBidi"/>
          <w:noProof/>
          <w:sz w:val="24"/>
          <w:szCs w:val="24"/>
          <w:shd w:val="clear" w:color="auto" w:fill="FFFFFF"/>
          <w:lang w:val="es-ES_tradnl"/>
        </w:rPr>
        <w:t>Almeman, 2020;</w:t>
      </w:r>
      <w:r w:rsidRPr="00C527E3">
        <w:rPr>
          <w:rFonts w:asciiTheme="minorBidi" w:hAnsiTheme="minorBidi"/>
          <w:sz w:val="24"/>
          <w:szCs w:val="24"/>
          <w:shd w:val="clear" w:color="auto" w:fill="FFFFFF"/>
        </w:rPr>
        <w:fldChar w:fldCharType="end"/>
      </w:r>
      <w:r w:rsidRPr="00876389">
        <w:rPr>
          <w:rFonts w:asciiTheme="minorBidi" w:hAnsiTheme="minorBidi"/>
          <w:sz w:val="24"/>
          <w:szCs w:val="24"/>
          <w:shd w:val="clear" w:color="auto" w:fill="FFFFFF"/>
          <w:lang w:val="es-ES_tradnl"/>
        </w:rPr>
        <w:t xml:space="preserve"> </w:t>
      </w:r>
      <w:r w:rsidRPr="00C527E3">
        <w:rPr>
          <w:rFonts w:asciiTheme="minorBidi" w:hAnsiTheme="minorBidi"/>
          <w:sz w:val="24"/>
          <w:szCs w:val="24"/>
          <w:shd w:val="clear" w:color="auto" w:fill="FFFFFF"/>
        </w:rPr>
        <w:fldChar w:fldCharType="begin" w:fldLock="1"/>
      </w:r>
      <w:r w:rsidRPr="00876389">
        <w:rPr>
          <w:rFonts w:asciiTheme="minorBidi" w:hAnsiTheme="minorBidi"/>
          <w:sz w:val="24"/>
          <w:szCs w:val="24"/>
          <w:shd w:val="clear" w:color="auto" w:fill="FFFFFF"/>
          <w:lang w:val="es-ES_tradnl"/>
        </w:rPr>
        <w:instrText>ADDIN CSL_CITATION {"citationItems":[{"id":"ITEM-1","itemData":{"DOI":"10.24218/vjpps.2016.16","abstract":"National Primary Care Pharmacy Competency System is the first founded by Ministry of Health in Saudi Arabia. The system is a part of the pharmacy strategic plan in Kingdom of Saudi Arabia. The system contained three sections, including a general core of primary care pharmacist and clinical pharmacist, primary care pharmacy administration commentaries, and primary care clinical pharmacy with different specialization. The system should do at least every year. It is difficult to find a study to examine the extent of primary care pharmacy competency. Most of the kind of literature discussed in single or one section of pharmacy practice. This system improves primary care pharmacy practice, with the emphasis on patients' medication education and counseling. Monitor drug therapy, and improve pharmacist communications skills with health care providers.","author":[{"dropping-particle":"","family":"Ahmed Alomi","given":"Yousef","non-dropping-particle":"","parse-names":false,"suffix":""}],"container-title":"Journal of Pharma &amp; Pharmaceutical Sciences","id":"ITEM-1","issue":"4","issued":{"date-parts":[["2016"]]},"page":"1-5","title":"National Primary Care Pharmacist Competency System at MOH in Saudi Arabia","type":"article-journal","volume":"1"},"uris":["http://www.mendeley.com/documents/?uuid=2887c675-4427-4e84-84a4-fffb2990717a"]}],"mendeley":{"formattedCitation":"(Ahmed Alomi, 2016)","manualFormatting":"Ahmed Alomi, 2016)","plainTextFormattedCitation":"(Ahmed Alomi, 2016)","previouslyFormattedCitation":"(Ahmed Alomi, 2016)"},"properties":{"noteIndex":0},"schema":"https://github.com/citation-style-language/schema/raw/master/csl-citation.json"}</w:instrText>
      </w:r>
      <w:r w:rsidRPr="00C527E3">
        <w:rPr>
          <w:rFonts w:asciiTheme="minorBidi" w:hAnsiTheme="minorBidi"/>
          <w:sz w:val="24"/>
          <w:szCs w:val="24"/>
          <w:shd w:val="clear" w:color="auto" w:fill="FFFFFF"/>
        </w:rPr>
        <w:fldChar w:fldCharType="separate"/>
      </w:r>
      <w:r w:rsidRPr="00876389">
        <w:rPr>
          <w:rFonts w:asciiTheme="minorBidi" w:hAnsiTheme="minorBidi"/>
          <w:noProof/>
          <w:sz w:val="24"/>
          <w:szCs w:val="24"/>
          <w:shd w:val="clear" w:color="auto" w:fill="FFFFFF"/>
          <w:lang w:val="es-ES_tradnl"/>
        </w:rPr>
        <w:t>Ahmed Alomi, 2016)</w:t>
      </w:r>
      <w:r w:rsidRPr="00C527E3">
        <w:rPr>
          <w:rFonts w:asciiTheme="minorBidi" w:hAnsiTheme="minorBidi"/>
          <w:sz w:val="24"/>
          <w:szCs w:val="24"/>
          <w:shd w:val="clear" w:color="auto" w:fill="FFFFFF"/>
        </w:rPr>
        <w:fldChar w:fldCharType="end"/>
      </w:r>
      <w:r w:rsidRPr="00876389">
        <w:rPr>
          <w:rFonts w:asciiTheme="minorBidi" w:hAnsiTheme="minorBidi"/>
          <w:sz w:val="24"/>
          <w:szCs w:val="24"/>
          <w:shd w:val="clear" w:color="auto" w:fill="FFFFFF"/>
          <w:lang w:val="es-ES_tradnl"/>
        </w:rPr>
        <w:t xml:space="preserve">; however, primary care pharmacists have not yet benefited from or capitalised on this key development in pharmacy practice.  </w:t>
      </w:r>
      <w:r w:rsidRPr="00EB2F4C">
        <w:rPr>
          <w:rFonts w:asciiTheme="minorBidi" w:hAnsiTheme="minorBidi"/>
          <w:sz w:val="24"/>
          <w:szCs w:val="24"/>
          <w:shd w:val="clear" w:color="auto" w:fill="FFFFFF"/>
        </w:rPr>
        <w:t xml:space="preserve">Primary care pharmacists were expected to be more involved in patient care </w:t>
      </w:r>
      <w:r>
        <w:rPr>
          <w:rFonts w:asciiTheme="minorBidi" w:hAnsiTheme="minorBidi"/>
          <w:sz w:val="24"/>
          <w:szCs w:val="24"/>
          <w:shd w:val="clear" w:color="auto" w:fill="FFFFFF"/>
        </w:rPr>
        <w:t xml:space="preserve">through </w:t>
      </w:r>
      <w:r w:rsidRPr="00EB2F4C">
        <w:rPr>
          <w:rFonts w:asciiTheme="minorBidi" w:hAnsiTheme="minorBidi"/>
          <w:sz w:val="24"/>
          <w:szCs w:val="24"/>
          <w:shd w:val="clear" w:color="auto" w:fill="FFFFFF"/>
        </w:rPr>
        <w:t xml:space="preserve">shifting </w:t>
      </w:r>
      <w:r>
        <w:rPr>
          <w:rFonts w:asciiTheme="minorBidi" w:hAnsiTheme="minorBidi"/>
          <w:sz w:val="24"/>
          <w:szCs w:val="24"/>
          <w:shd w:val="clear" w:color="auto" w:fill="FFFFFF"/>
        </w:rPr>
        <w:t xml:space="preserve">of </w:t>
      </w:r>
      <w:r w:rsidRPr="00EB2F4C">
        <w:rPr>
          <w:rFonts w:asciiTheme="minorBidi" w:hAnsiTheme="minorBidi"/>
          <w:sz w:val="24"/>
          <w:szCs w:val="24"/>
          <w:shd w:val="clear" w:color="auto" w:fill="FFFFFF"/>
        </w:rPr>
        <w:t>medication dispensing service</w:t>
      </w:r>
      <w:r>
        <w:rPr>
          <w:rFonts w:asciiTheme="minorBidi" w:hAnsiTheme="minorBidi"/>
          <w:sz w:val="24"/>
          <w:szCs w:val="24"/>
          <w:shd w:val="clear" w:color="auto" w:fill="FFFFFF"/>
        </w:rPr>
        <w:t>s</w:t>
      </w:r>
      <w:r w:rsidRPr="00EB2F4C">
        <w:rPr>
          <w:rFonts w:asciiTheme="minorBidi" w:hAnsiTheme="minorBidi"/>
          <w:sz w:val="24"/>
          <w:szCs w:val="24"/>
          <w:shd w:val="clear" w:color="auto" w:fill="FFFFFF"/>
        </w:rPr>
        <w:t xml:space="preserve"> to community </w:t>
      </w:r>
      <w:r>
        <w:rPr>
          <w:rFonts w:asciiTheme="minorBidi" w:hAnsiTheme="minorBidi"/>
          <w:sz w:val="24"/>
          <w:szCs w:val="24"/>
          <w:shd w:val="clear" w:color="auto" w:fill="FFFFFF"/>
        </w:rPr>
        <w:t xml:space="preserve">retail </w:t>
      </w:r>
      <w:r w:rsidRPr="00EB2F4C">
        <w:rPr>
          <w:rFonts w:asciiTheme="minorBidi" w:hAnsiTheme="minorBidi"/>
          <w:sz w:val="24"/>
          <w:szCs w:val="24"/>
          <w:shd w:val="clear" w:color="auto" w:fill="FFFFFF"/>
        </w:rPr>
        <w:t>pharmacies. The unexpected decision was to transfer pharmacists to work in hospitals</w:t>
      </w:r>
      <w:r>
        <w:rPr>
          <w:rFonts w:asciiTheme="minorBidi" w:hAnsiTheme="minorBidi"/>
          <w:sz w:val="24"/>
          <w:szCs w:val="24"/>
          <w:shd w:val="clear" w:color="auto" w:fill="FFFFFF"/>
        </w:rPr>
        <w:t>, which</w:t>
      </w:r>
      <w:r w:rsidRPr="00EB2F4C">
        <w:rPr>
          <w:rFonts w:asciiTheme="minorBidi" w:hAnsiTheme="minorBidi"/>
          <w:sz w:val="24"/>
          <w:szCs w:val="24"/>
          <w:shd w:val="clear" w:color="auto" w:fill="FFFFFF"/>
        </w:rPr>
        <w:t xml:space="preserve"> was rather disappointing for primary care professionals.</w:t>
      </w:r>
      <w:r>
        <w:rPr>
          <w:rFonts w:asciiTheme="minorBidi" w:hAnsiTheme="minorBidi"/>
          <w:sz w:val="24"/>
          <w:szCs w:val="24"/>
          <w:shd w:val="clear" w:color="auto" w:fill="FFFFFF"/>
        </w:rPr>
        <w:t xml:space="preserve"> </w:t>
      </w:r>
      <w:r w:rsidRPr="00834877">
        <w:rPr>
          <w:rFonts w:asciiTheme="minorBidi" w:hAnsiTheme="minorBidi"/>
          <w:sz w:val="24"/>
          <w:szCs w:val="24"/>
          <w:shd w:val="clear" w:color="auto" w:fill="FFFFFF"/>
        </w:rPr>
        <w:t xml:space="preserve">This result </w:t>
      </w:r>
      <w:r>
        <w:rPr>
          <w:rFonts w:asciiTheme="minorBidi" w:hAnsiTheme="minorBidi"/>
          <w:sz w:val="24"/>
          <w:szCs w:val="24"/>
          <w:shd w:val="clear" w:color="auto" w:fill="FFFFFF"/>
        </w:rPr>
        <w:t xml:space="preserve">also </w:t>
      </w:r>
      <w:r w:rsidRPr="00834877">
        <w:rPr>
          <w:rFonts w:asciiTheme="minorBidi" w:hAnsiTheme="minorBidi"/>
          <w:sz w:val="24"/>
          <w:szCs w:val="24"/>
          <w:shd w:val="clear" w:color="auto" w:fill="FFFFFF"/>
        </w:rPr>
        <w:t xml:space="preserve">may conflict with the goal of the </w:t>
      </w:r>
      <w:r>
        <w:rPr>
          <w:rFonts w:asciiTheme="minorBidi" w:hAnsiTheme="minorBidi"/>
          <w:sz w:val="24"/>
          <w:szCs w:val="24"/>
          <w:shd w:val="clear" w:color="auto" w:fill="FFFFFF"/>
        </w:rPr>
        <w:t>Saudi MoH</w:t>
      </w:r>
      <w:r w:rsidRPr="00834877">
        <w:rPr>
          <w:rFonts w:asciiTheme="minorBidi" w:hAnsiTheme="minorBidi"/>
          <w:sz w:val="24"/>
          <w:szCs w:val="24"/>
          <w:shd w:val="clear" w:color="auto" w:fill="FFFFFF"/>
        </w:rPr>
        <w:t xml:space="preserve"> transformation strategy mentioned above, </w:t>
      </w:r>
      <w:r>
        <w:rPr>
          <w:rFonts w:asciiTheme="minorBidi" w:hAnsiTheme="minorBidi"/>
          <w:sz w:val="24"/>
          <w:szCs w:val="24"/>
          <w:shd w:val="clear" w:color="auto" w:fill="FFFFFF"/>
        </w:rPr>
        <w:t xml:space="preserve">namely </w:t>
      </w:r>
      <w:r w:rsidRPr="00834877">
        <w:rPr>
          <w:rFonts w:asciiTheme="minorBidi" w:hAnsiTheme="minorBidi"/>
          <w:sz w:val="24"/>
          <w:szCs w:val="24"/>
          <w:shd w:val="clear" w:color="auto" w:fill="FFFFFF"/>
        </w:rPr>
        <w:t>continuity in service provision</w:t>
      </w:r>
      <w:r>
        <w:rPr>
          <w:rFonts w:asciiTheme="minorBidi" w:hAnsiTheme="minorBidi"/>
          <w:sz w:val="24"/>
          <w:szCs w:val="24"/>
          <w:shd w:val="clear" w:color="auto" w:fill="FFFFFF"/>
        </w:rPr>
        <w:t>, since</w:t>
      </w:r>
      <w:r w:rsidRPr="00834877">
        <w:rPr>
          <w:rFonts w:asciiTheme="minorBidi" w:hAnsiTheme="minorBidi"/>
          <w:sz w:val="24"/>
          <w:szCs w:val="24"/>
          <w:shd w:val="clear" w:color="auto" w:fill="FFFFFF"/>
        </w:rPr>
        <w:t xml:space="preserve"> relocation of pharmacists from PHCs has led to a gap in the health care service, and primary care currently lacks pharmaceutical care, as indicated </w:t>
      </w:r>
      <w:r w:rsidRPr="00E768D6">
        <w:rPr>
          <w:rFonts w:asciiTheme="minorBidi" w:hAnsiTheme="minorBidi"/>
          <w:sz w:val="24"/>
          <w:szCs w:val="24"/>
          <w:shd w:val="clear" w:color="auto" w:fill="FFFFFF"/>
        </w:rPr>
        <w:t xml:space="preserve">by the results of this research. </w:t>
      </w:r>
    </w:p>
    <w:p w14:paraId="09A5D350" w14:textId="77777777" w:rsidR="00A17CD2" w:rsidRDefault="00A17CD2" w:rsidP="00A17CD2">
      <w:pPr>
        <w:spacing w:line="360" w:lineRule="auto"/>
        <w:jc w:val="both"/>
        <w:rPr>
          <w:rFonts w:asciiTheme="minorBidi" w:hAnsiTheme="minorBidi"/>
          <w:sz w:val="24"/>
          <w:szCs w:val="24"/>
          <w:shd w:val="clear" w:color="auto" w:fill="FFFFFF"/>
        </w:rPr>
      </w:pPr>
      <w:r w:rsidRPr="003E7271">
        <w:rPr>
          <w:rFonts w:asciiTheme="minorBidi" w:hAnsiTheme="minorBidi"/>
          <w:sz w:val="24"/>
          <w:szCs w:val="24"/>
          <w:shd w:val="clear" w:color="auto" w:fill="FFFFFF"/>
        </w:rPr>
        <w:t xml:space="preserve">Pharmacists can take advantage of this situation to </w:t>
      </w:r>
      <w:r w:rsidRPr="003E7271">
        <w:rPr>
          <w:rFonts w:asciiTheme="minorBidi" w:hAnsiTheme="minorBidi"/>
          <w:sz w:val="24"/>
          <w:szCs w:val="24"/>
        </w:rPr>
        <w:t>bridge the gap between the current practice and practice needs</w:t>
      </w:r>
      <w:r w:rsidRPr="003E7271">
        <w:rPr>
          <w:rFonts w:asciiTheme="minorBidi" w:hAnsiTheme="minorBidi"/>
          <w:sz w:val="24"/>
          <w:szCs w:val="24"/>
          <w:shd w:val="clear" w:color="auto" w:fill="FFFFFF"/>
        </w:rPr>
        <w:t xml:space="preserve">. This study set out with the aim of exploring the opportunities for pharmacists to participate in diabetes care. The basics and beyond in the roles and practices of primary care pharmacists were identified. The most important relevant findings were that essential pharmaceutical care services, such as medication review, medication consultation, and patient education, are </w:t>
      </w:r>
      <w:r>
        <w:rPr>
          <w:rFonts w:asciiTheme="minorBidi" w:hAnsiTheme="minorBidi"/>
          <w:sz w:val="24"/>
          <w:szCs w:val="24"/>
          <w:shd w:val="clear" w:color="auto" w:fill="FFFFFF"/>
        </w:rPr>
        <w:t xml:space="preserve">perceived to be </w:t>
      </w:r>
      <w:r w:rsidRPr="003E7271">
        <w:rPr>
          <w:rFonts w:asciiTheme="minorBidi" w:hAnsiTheme="minorBidi"/>
          <w:sz w:val="24"/>
          <w:szCs w:val="24"/>
          <w:shd w:val="clear" w:color="auto" w:fill="FFFFFF"/>
        </w:rPr>
        <w:t xml:space="preserve">urgently needed in PHCs. These demands have appeared after </w:t>
      </w:r>
      <w:r>
        <w:rPr>
          <w:rFonts w:asciiTheme="minorBidi" w:hAnsiTheme="minorBidi"/>
          <w:sz w:val="24"/>
          <w:szCs w:val="24"/>
          <w:shd w:val="clear" w:color="auto" w:fill="FFFFFF"/>
        </w:rPr>
        <w:t xml:space="preserve">the </w:t>
      </w:r>
      <w:r w:rsidRPr="003E7271">
        <w:rPr>
          <w:rFonts w:asciiTheme="minorBidi" w:hAnsiTheme="minorBidi"/>
          <w:sz w:val="24"/>
          <w:szCs w:val="24"/>
          <w:shd w:val="clear" w:color="auto" w:fill="FFFFFF"/>
        </w:rPr>
        <w:t>clos</w:t>
      </w:r>
      <w:r>
        <w:rPr>
          <w:rFonts w:asciiTheme="minorBidi" w:hAnsiTheme="minorBidi"/>
          <w:sz w:val="24"/>
          <w:szCs w:val="24"/>
          <w:shd w:val="clear" w:color="auto" w:fill="FFFFFF"/>
        </w:rPr>
        <w:t>ure</w:t>
      </w:r>
      <w:r w:rsidRPr="003E7271">
        <w:rPr>
          <w:rFonts w:asciiTheme="minorBidi" w:hAnsiTheme="minorBidi"/>
          <w:sz w:val="24"/>
          <w:szCs w:val="24"/>
          <w:shd w:val="clear" w:color="auto" w:fill="FFFFFF"/>
        </w:rPr>
        <w:t xml:space="preserve"> </w:t>
      </w:r>
      <w:r>
        <w:rPr>
          <w:rFonts w:asciiTheme="minorBidi" w:hAnsiTheme="minorBidi"/>
          <w:sz w:val="24"/>
          <w:szCs w:val="24"/>
          <w:shd w:val="clear" w:color="auto" w:fill="FFFFFF"/>
        </w:rPr>
        <w:t xml:space="preserve">of </w:t>
      </w:r>
      <w:r w:rsidRPr="003E7271">
        <w:rPr>
          <w:rFonts w:asciiTheme="minorBidi" w:hAnsiTheme="minorBidi"/>
          <w:sz w:val="24"/>
          <w:szCs w:val="24"/>
          <w:shd w:val="clear" w:color="auto" w:fill="FFFFFF"/>
        </w:rPr>
        <w:t xml:space="preserve">pharmacies and </w:t>
      </w:r>
      <w:r>
        <w:rPr>
          <w:rFonts w:asciiTheme="minorBidi" w:hAnsiTheme="minorBidi"/>
          <w:sz w:val="24"/>
          <w:szCs w:val="24"/>
          <w:shd w:val="clear" w:color="auto" w:fill="FFFFFF"/>
        </w:rPr>
        <w:t>re</w:t>
      </w:r>
      <w:r w:rsidRPr="003E7271">
        <w:rPr>
          <w:rFonts w:asciiTheme="minorBidi" w:hAnsiTheme="minorBidi"/>
          <w:sz w:val="24"/>
          <w:szCs w:val="24"/>
          <w:shd w:val="clear" w:color="auto" w:fill="FFFFFF"/>
        </w:rPr>
        <w:t>mov</w:t>
      </w:r>
      <w:r>
        <w:rPr>
          <w:rFonts w:asciiTheme="minorBidi" w:hAnsiTheme="minorBidi"/>
          <w:sz w:val="24"/>
          <w:szCs w:val="24"/>
          <w:shd w:val="clear" w:color="auto" w:fill="FFFFFF"/>
        </w:rPr>
        <w:t>al of</w:t>
      </w:r>
      <w:r w:rsidRPr="003E7271">
        <w:rPr>
          <w:rFonts w:asciiTheme="minorBidi" w:hAnsiTheme="minorBidi"/>
          <w:sz w:val="24"/>
          <w:szCs w:val="24"/>
          <w:shd w:val="clear" w:color="auto" w:fill="FFFFFF"/>
        </w:rPr>
        <w:t xml:space="preserve"> pharmacists from PHCs. There were similarities between the attitudes expressed by participants about the current opportunities for pharmacists' involvement in diabetes primary care. These results are consistent with the claim that </w:t>
      </w:r>
    </w:p>
    <w:p w14:paraId="39A85584" w14:textId="77777777" w:rsidR="00A17CD2" w:rsidRDefault="00A17CD2" w:rsidP="00A17CD2">
      <w:pPr>
        <w:spacing w:line="360" w:lineRule="auto"/>
        <w:ind w:left="720"/>
        <w:jc w:val="both"/>
        <w:rPr>
          <w:rFonts w:ascii="Arial" w:hAnsi="Arial" w:cs="Arial"/>
          <w:sz w:val="24"/>
          <w:szCs w:val="24"/>
          <w:lang w:val="en-GB"/>
        </w:rPr>
      </w:pPr>
      <w:r>
        <w:rPr>
          <w:rFonts w:asciiTheme="minorBidi" w:hAnsiTheme="minorBidi"/>
          <w:sz w:val="24"/>
          <w:szCs w:val="24"/>
          <w:shd w:val="clear" w:color="auto" w:fill="FFFFFF"/>
        </w:rPr>
        <w:t>“</w:t>
      </w:r>
      <w:r>
        <w:rPr>
          <w:rFonts w:ascii="Arial" w:hAnsi="Arial" w:cs="Arial"/>
          <w:i/>
          <w:iCs/>
          <w:sz w:val="24"/>
          <w:szCs w:val="24"/>
          <w:lang w:val="en-GB"/>
        </w:rPr>
        <w:t>C</w:t>
      </w:r>
      <w:r w:rsidRPr="003E7271">
        <w:rPr>
          <w:rFonts w:ascii="Arial" w:hAnsi="Arial" w:cs="Arial"/>
          <w:i/>
          <w:iCs/>
          <w:sz w:val="24"/>
          <w:szCs w:val="24"/>
          <w:lang w:val="en-GB"/>
        </w:rPr>
        <w:t>linical pharmacists in diabetic clinics in Saudi Arabia – not just a perception but a need”</w:t>
      </w:r>
      <w:r w:rsidRPr="003E7271">
        <w:rPr>
          <w:rFonts w:ascii="Arial" w:hAnsi="Arial" w:cs="Arial"/>
          <w:sz w:val="24"/>
          <w:szCs w:val="24"/>
          <w:lang w:val="en-GB"/>
        </w:rPr>
        <w:t xml:space="preserve"> </w:t>
      </w:r>
      <w:r w:rsidRPr="003E7271">
        <w:rPr>
          <w:rFonts w:ascii="Arial" w:hAnsi="Arial" w:cs="Arial"/>
          <w:sz w:val="24"/>
          <w:szCs w:val="24"/>
          <w:lang w:val="en-GB"/>
        </w:rPr>
        <w:fldChar w:fldCharType="begin" w:fldLock="1"/>
      </w:r>
      <w:r w:rsidRPr="003E7271">
        <w:rPr>
          <w:rFonts w:ascii="Arial" w:hAnsi="Arial" w:cs="Arial"/>
          <w:sz w:val="24"/>
          <w:szCs w:val="24"/>
          <w:lang w:val="en-GB"/>
        </w:rPr>
        <w:instrText>ADDIN CSL_CITATION {"citationItems":[{"id":"ITEM-1","itemData":{"DOI":"10.1016/j.jsps.2017.01.003","ISSN":"13190164","author":[{"dropping-particle":"","family":"Makeen","given":"Hafiz A.","non-dropping-particle":"","parse-names":false,"suffix":""}],"container-title":"Saudi Pharmaceutical Journal","id":"ITEM-1","issue":"6","issued":{"date-parts":[["2017","9"]]},"page":"939-943","title":"Clinical pharmacists as medication therapy experts in diabetic clinics in Saudi Arabia – Not just a perception but a need","type":"article-journal","volume":"25"},"uris":["http://www.mendeley.com/documents/?uuid=4ef7f44f-34f9-35dc-9ba8-db52241e82e1"]}],"mendeley":{"formattedCitation":"(Makeen, 2017)","manualFormatting":"(Makeen, 2017, p1)","plainTextFormattedCitation":"(Makeen, 2017)","previouslyFormattedCitation":"(Makeen, 2017)"},"properties":{"noteIndex":0},"schema":"https://github.com/citation-style-language/schema/raw/master/csl-citation.json"}</w:instrText>
      </w:r>
      <w:r w:rsidRPr="003E7271">
        <w:rPr>
          <w:rFonts w:ascii="Arial" w:hAnsi="Arial" w:cs="Arial"/>
          <w:sz w:val="24"/>
          <w:szCs w:val="24"/>
          <w:lang w:val="en-GB"/>
        </w:rPr>
        <w:fldChar w:fldCharType="separate"/>
      </w:r>
      <w:r w:rsidRPr="003E7271">
        <w:rPr>
          <w:rFonts w:ascii="Arial" w:hAnsi="Arial" w:cs="Arial"/>
          <w:noProof/>
          <w:sz w:val="24"/>
          <w:szCs w:val="24"/>
          <w:lang w:val="en-GB"/>
        </w:rPr>
        <w:t>(Makeen, 2017, p1)</w:t>
      </w:r>
      <w:r w:rsidRPr="003E7271">
        <w:rPr>
          <w:rFonts w:ascii="Arial" w:hAnsi="Arial" w:cs="Arial"/>
          <w:sz w:val="24"/>
          <w:szCs w:val="24"/>
          <w:lang w:val="en-GB"/>
        </w:rPr>
        <w:fldChar w:fldCharType="end"/>
      </w:r>
    </w:p>
    <w:p w14:paraId="0E997EEC" w14:textId="77777777" w:rsidR="00C21A72" w:rsidRPr="003E7271" w:rsidRDefault="00C21A72" w:rsidP="00A17CD2">
      <w:pPr>
        <w:spacing w:line="360" w:lineRule="auto"/>
        <w:ind w:left="720"/>
        <w:jc w:val="both"/>
        <w:rPr>
          <w:sz w:val="24"/>
          <w:szCs w:val="24"/>
        </w:rPr>
      </w:pPr>
    </w:p>
    <w:p w14:paraId="09E57E4D" w14:textId="77777777" w:rsidR="00A17CD2" w:rsidRPr="00C21A72" w:rsidRDefault="00A17CD2" w:rsidP="00C21A72">
      <w:pPr>
        <w:pStyle w:val="Heading4"/>
        <w:numPr>
          <w:ilvl w:val="3"/>
          <w:numId w:val="30"/>
        </w:numPr>
        <w:tabs>
          <w:tab w:val="left" w:pos="810"/>
        </w:tabs>
        <w:spacing w:after="240" w:line="384" w:lineRule="auto"/>
        <w:ind w:left="0" w:firstLine="0"/>
        <w:rPr>
          <w:rFonts w:asciiTheme="minorBidi" w:hAnsiTheme="minorBidi" w:cstheme="minorBidi"/>
          <w:sz w:val="24"/>
          <w:szCs w:val="24"/>
          <w:shd w:val="clear" w:color="auto" w:fill="FFFFFF"/>
          <w:rtl/>
        </w:rPr>
      </w:pPr>
      <w:r w:rsidRPr="00C21A72">
        <w:rPr>
          <w:rFonts w:asciiTheme="minorBidi" w:hAnsiTheme="minorBidi" w:cstheme="minorBidi"/>
          <w:sz w:val="24"/>
          <w:szCs w:val="24"/>
          <w:shd w:val="clear" w:color="auto" w:fill="FFFFFF"/>
        </w:rPr>
        <w:t>Evidence for integrating pharmacists into the diabetes primary care team.</w:t>
      </w:r>
    </w:p>
    <w:p w14:paraId="442AFF2D" w14:textId="77777777" w:rsidR="00A17CD2" w:rsidRDefault="00A17CD2" w:rsidP="00A17CD2">
      <w:pPr>
        <w:spacing w:line="360" w:lineRule="auto"/>
        <w:jc w:val="both"/>
        <w:rPr>
          <w:rFonts w:asciiTheme="minorBidi" w:hAnsiTheme="minorBidi"/>
          <w:sz w:val="24"/>
          <w:szCs w:val="24"/>
          <w:shd w:val="clear" w:color="auto" w:fill="FFFFFF"/>
        </w:rPr>
      </w:pPr>
      <w:r>
        <w:rPr>
          <w:rFonts w:asciiTheme="minorBidi" w:hAnsiTheme="minorBidi"/>
          <w:sz w:val="24"/>
          <w:szCs w:val="24"/>
          <w:shd w:val="clear" w:color="auto" w:fill="FFFFFF"/>
        </w:rPr>
        <w:t xml:space="preserve">In </w:t>
      </w:r>
      <w:r w:rsidRPr="00DB0710">
        <w:rPr>
          <w:rFonts w:asciiTheme="minorBidi" w:hAnsiTheme="minorBidi"/>
          <w:sz w:val="24"/>
          <w:szCs w:val="24"/>
          <w:shd w:val="clear" w:color="auto" w:fill="FFFFFF"/>
        </w:rPr>
        <w:t>developed countries</w:t>
      </w:r>
      <w:r>
        <w:rPr>
          <w:rFonts w:asciiTheme="minorBidi" w:hAnsiTheme="minorBidi"/>
          <w:sz w:val="24"/>
          <w:szCs w:val="24"/>
          <w:shd w:val="clear" w:color="auto" w:fill="FFFFFF"/>
        </w:rPr>
        <w:t>,</w:t>
      </w:r>
      <w:r w:rsidRPr="00DB0710">
        <w:rPr>
          <w:rFonts w:asciiTheme="minorBidi" w:hAnsiTheme="minorBidi"/>
          <w:sz w:val="24"/>
          <w:szCs w:val="24"/>
          <w:shd w:val="clear" w:color="auto" w:fill="FFFFFF"/>
        </w:rPr>
        <w:t xml:space="preserve"> </w:t>
      </w:r>
      <w:r w:rsidRPr="00FB4607">
        <w:rPr>
          <w:rFonts w:asciiTheme="minorBidi" w:hAnsiTheme="minorBidi"/>
          <w:sz w:val="24"/>
          <w:szCs w:val="24"/>
          <w:shd w:val="clear" w:color="auto" w:fill="FFFFFF"/>
        </w:rPr>
        <w:t>such as the UK and USA</w:t>
      </w:r>
      <w:r>
        <w:rPr>
          <w:rFonts w:asciiTheme="minorBidi" w:hAnsiTheme="minorBidi"/>
          <w:sz w:val="24"/>
          <w:szCs w:val="24"/>
          <w:shd w:val="clear" w:color="auto" w:fill="FFFFFF"/>
        </w:rPr>
        <w:t>,</w:t>
      </w:r>
      <w:r w:rsidRPr="00DB0710">
        <w:rPr>
          <w:rFonts w:asciiTheme="minorBidi" w:hAnsiTheme="minorBidi"/>
          <w:sz w:val="24"/>
          <w:szCs w:val="24"/>
          <w:shd w:val="clear" w:color="auto" w:fill="FFFFFF"/>
        </w:rPr>
        <w:t xml:space="preserve"> pharmacists play a crucial role in </w:t>
      </w:r>
      <w:r>
        <w:rPr>
          <w:rFonts w:asciiTheme="minorBidi" w:hAnsiTheme="minorBidi"/>
          <w:sz w:val="24"/>
          <w:szCs w:val="24"/>
          <w:shd w:val="clear" w:color="auto" w:fill="FFFFFF"/>
        </w:rPr>
        <w:t xml:space="preserve">primary care </w:t>
      </w:r>
      <w:r w:rsidRPr="00DB0710">
        <w:rPr>
          <w:rFonts w:asciiTheme="minorBidi" w:hAnsiTheme="minorBidi"/>
          <w:sz w:val="24"/>
          <w:szCs w:val="24"/>
          <w:shd w:val="clear" w:color="auto" w:fill="FFFFFF"/>
        </w:rPr>
        <w:t>settings.</w:t>
      </w:r>
      <w:r>
        <w:rPr>
          <w:rFonts w:asciiTheme="minorBidi" w:hAnsiTheme="minorBidi"/>
          <w:sz w:val="24"/>
          <w:szCs w:val="24"/>
          <w:shd w:val="clear" w:color="auto" w:fill="FFFFFF"/>
        </w:rPr>
        <w:t xml:space="preserve"> </w:t>
      </w:r>
      <w:r w:rsidRPr="00FB4607">
        <w:rPr>
          <w:rFonts w:asciiTheme="minorBidi" w:hAnsiTheme="minorBidi"/>
          <w:sz w:val="24"/>
          <w:szCs w:val="24"/>
          <w:shd w:val="clear" w:color="auto" w:fill="FFFFFF"/>
        </w:rPr>
        <w:t xml:space="preserve">Pharmacists are integrated into patient care in collaboration with GPs in </w:t>
      </w:r>
      <w:r>
        <w:rPr>
          <w:rFonts w:asciiTheme="minorBidi" w:hAnsiTheme="minorBidi"/>
          <w:sz w:val="24"/>
          <w:szCs w:val="24"/>
          <w:shd w:val="clear" w:color="auto" w:fill="FFFFFF"/>
        </w:rPr>
        <w:t>these</w:t>
      </w:r>
      <w:r w:rsidRPr="00FB4607">
        <w:rPr>
          <w:rFonts w:asciiTheme="minorBidi" w:hAnsiTheme="minorBidi"/>
          <w:sz w:val="24"/>
          <w:szCs w:val="24"/>
          <w:shd w:val="clear" w:color="auto" w:fill="FFFFFF"/>
        </w:rPr>
        <w:t xml:space="preserve"> countries</w:t>
      </w:r>
      <w:r>
        <w:rPr>
          <w:rFonts w:asciiTheme="minorBidi" w:hAnsiTheme="minorBidi"/>
          <w:sz w:val="24"/>
          <w:szCs w:val="24"/>
          <w:shd w:val="clear" w:color="auto" w:fill="FFFFFF"/>
        </w:rPr>
        <w:t xml:space="preserve"> </w:t>
      </w:r>
      <w:r w:rsidRPr="00FB4607">
        <w:rPr>
          <w:rFonts w:asciiTheme="minorBidi" w:hAnsiTheme="minorBidi"/>
          <w:sz w:val="24"/>
          <w:szCs w:val="24"/>
          <w:shd w:val="clear" w:color="auto" w:fill="FFFFFF"/>
        </w:rPr>
        <w:t>to promote and develop primary healthcare services. Primary care pharmacists allocated to GP or primary care clinics had a significant impact on the clinical outcomes of patients with chronic conditions such as diabetes, improved the quality of prescribing medications, enhanced medication adherence</w:t>
      </w:r>
      <w:r>
        <w:rPr>
          <w:rFonts w:asciiTheme="minorBidi" w:hAnsiTheme="minorBidi"/>
          <w:sz w:val="24"/>
          <w:szCs w:val="24"/>
          <w:shd w:val="clear" w:color="auto" w:fill="FFFFFF"/>
        </w:rPr>
        <w:t>,</w:t>
      </w:r>
      <w:r w:rsidRPr="00FB4607">
        <w:rPr>
          <w:rFonts w:asciiTheme="minorBidi" w:hAnsiTheme="minorBidi"/>
          <w:sz w:val="24"/>
          <w:szCs w:val="24"/>
          <w:shd w:val="clear" w:color="auto" w:fill="FFFFFF"/>
        </w:rPr>
        <w:t xml:space="preserve"> and resolved medication-related problems </w:t>
      </w:r>
      <w:r>
        <w:rPr>
          <w:rFonts w:asciiTheme="minorBidi" w:hAnsiTheme="minorBidi"/>
          <w:sz w:val="24"/>
          <w:szCs w:val="24"/>
          <w:shd w:val="clear" w:color="auto" w:fill="FFFFFF"/>
        </w:rPr>
        <w:t>(</w:t>
      </w:r>
      <w:r w:rsidRPr="00FB4607">
        <w:rPr>
          <w:rFonts w:asciiTheme="minorBidi" w:hAnsiTheme="minorBidi"/>
          <w:sz w:val="24"/>
          <w:szCs w:val="24"/>
          <w:shd w:val="clear" w:color="auto" w:fill="FFFFFF"/>
        </w:rPr>
        <w:t>Tan et al.</w:t>
      </w:r>
      <w:r>
        <w:rPr>
          <w:rFonts w:asciiTheme="minorBidi" w:hAnsiTheme="minorBidi"/>
          <w:sz w:val="24"/>
          <w:szCs w:val="24"/>
          <w:shd w:val="clear" w:color="auto" w:fill="FFFFFF"/>
        </w:rPr>
        <w:t>,</w:t>
      </w:r>
      <w:r w:rsidRPr="00FB4607">
        <w:rPr>
          <w:rFonts w:asciiTheme="minorBidi" w:hAnsiTheme="minorBidi"/>
          <w:sz w:val="24"/>
          <w:szCs w:val="24"/>
          <w:shd w:val="clear" w:color="auto" w:fill="FFFFFF"/>
        </w:rPr>
        <w:t xml:space="preserve"> 2014</w:t>
      </w:r>
      <w:r>
        <w:rPr>
          <w:rFonts w:asciiTheme="minorBidi" w:hAnsiTheme="minorBidi"/>
          <w:sz w:val="24"/>
          <w:szCs w:val="24"/>
          <w:shd w:val="clear" w:color="auto" w:fill="FFFFFF"/>
        </w:rPr>
        <w:t>;</w:t>
      </w:r>
      <w:r w:rsidRPr="00FB4607">
        <w:rPr>
          <w:rFonts w:asciiTheme="minorBidi" w:hAnsiTheme="minorBidi"/>
          <w:sz w:val="24"/>
          <w:szCs w:val="24"/>
          <w:shd w:val="clear" w:color="auto" w:fill="FFFFFF"/>
        </w:rPr>
        <w:t xml:space="preserve"> Moreno et al.</w:t>
      </w:r>
      <w:r>
        <w:rPr>
          <w:rFonts w:asciiTheme="minorBidi" w:hAnsiTheme="minorBidi"/>
          <w:sz w:val="24"/>
          <w:szCs w:val="24"/>
          <w:shd w:val="clear" w:color="auto" w:fill="FFFFFF"/>
        </w:rPr>
        <w:t>,</w:t>
      </w:r>
      <w:r w:rsidRPr="00FB4607">
        <w:rPr>
          <w:rFonts w:asciiTheme="minorBidi" w:hAnsiTheme="minorBidi"/>
          <w:sz w:val="24"/>
          <w:szCs w:val="24"/>
          <w:shd w:val="clear" w:color="auto" w:fill="FFFFFF"/>
        </w:rPr>
        <w:t xml:space="preserve"> 2017</w:t>
      </w:r>
      <w:r>
        <w:rPr>
          <w:rFonts w:asciiTheme="minorBidi" w:hAnsiTheme="minorBidi"/>
          <w:sz w:val="24"/>
          <w:szCs w:val="24"/>
          <w:shd w:val="clear" w:color="auto" w:fill="FFFFFF"/>
        </w:rPr>
        <w:t>;</w:t>
      </w:r>
      <w:r w:rsidRPr="00FB4607">
        <w:rPr>
          <w:rFonts w:asciiTheme="minorBidi" w:hAnsiTheme="minorBidi"/>
          <w:sz w:val="24"/>
          <w:szCs w:val="24"/>
          <w:shd w:val="clear" w:color="auto" w:fill="FFFFFF"/>
        </w:rPr>
        <w:t xml:space="preserve"> Peterson et al., 2018). </w:t>
      </w:r>
      <w:r w:rsidRPr="008971E3">
        <w:rPr>
          <w:rFonts w:asciiTheme="minorBidi" w:hAnsiTheme="minorBidi"/>
          <w:sz w:val="24"/>
          <w:szCs w:val="24"/>
          <w:shd w:val="clear" w:color="auto" w:fill="FFFFFF"/>
        </w:rPr>
        <w:t xml:space="preserve">These results were similar to those </w:t>
      </w:r>
      <w:r>
        <w:rPr>
          <w:rFonts w:asciiTheme="minorBidi" w:hAnsiTheme="minorBidi"/>
          <w:sz w:val="24"/>
          <w:szCs w:val="24"/>
          <w:shd w:val="clear" w:color="auto" w:fill="FFFFFF"/>
        </w:rPr>
        <w:t xml:space="preserve">of studies </w:t>
      </w:r>
      <w:r w:rsidRPr="008971E3">
        <w:rPr>
          <w:rFonts w:asciiTheme="minorBidi" w:hAnsiTheme="minorBidi"/>
          <w:sz w:val="24"/>
          <w:szCs w:val="24"/>
          <w:shd w:val="clear" w:color="auto" w:fill="FFFFFF"/>
        </w:rPr>
        <w:t xml:space="preserve">conducted in </w:t>
      </w:r>
      <w:r>
        <w:rPr>
          <w:rFonts w:asciiTheme="minorBidi" w:hAnsiTheme="minorBidi"/>
          <w:sz w:val="24"/>
          <w:szCs w:val="24"/>
          <w:shd w:val="clear" w:color="auto" w:fill="FFFFFF"/>
        </w:rPr>
        <w:t>SA</w:t>
      </w:r>
      <w:r w:rsidRPr="008971E3">
        <w:rPr>
          <w:rFonts w:asciiTheme="minorBidi" w:hAnsiTheme="minorBidi"/>
          <w:sz w:val="24"/>
          <w:szCs w:val="24"/>
          <w:shd w:val="clear" w:color="auto" w:fill="FFFFFF"/>
        </w:rPr>
        <w:t xml:space="preserve"> at </w:t>
      </w:r>
      <w:r>
        <w:rPr>
          <w:rFonts w:asciiTheme="minorBidi" w:hAnsiTheme="minorBidi"/>
          <w:sz w:val="24"/>
          <w:szCs w:val="24"/>
          <w:shd w:val="clear" w:color="auto" w:fill="FFFFFF"/>
        </w:rPr>
        <w:t>PHCs</w:t>
      </w:r>
      <w:r w:rsidRPr="008971E3">
        <w:rPr>
          <w:rFonts w:asciiTheme="minorBidi" w:hAnsiTheme="minorBidi"/>
          <w:sz w:val="24"/>
          <w:szCs w:val="24"/>
          <w:shd w:val="clear" w:color="auto" w:fill="FFFFFF"/>
        </w:rPr>
        <w:t xml:space="preserve"> that examined the pharmacist's participation in diabetes management. However, these centres are not affiliated with the </w:t>
      </w:r>
      <w:r>
        <w:rPr>
          <w:rFonts w:asciiTheme="minorBidi" w:hAnsiTheme="minorBidi"/>
          <w:sz w:val="24"/>
          <w:szCs w:val="24"/>
          <w:shd w:val="clear" w:color="auto" w:fill="FFFFFF"/>
        </w:rPr>
        <w:t>MoH</w:t>
      </w:r>
      <w:r w:rsidRPr="008971E3">
        <w:rPr>
          <w:rFonts w:asciiTheme="minorBidi" w:hAnsiTheme="minorBidi"/>
          <w:sz w:val="24"/>
          <w:szCs w:val="24"/>
          <w:shd w:val="clear" w:color="auto" w:fill="FFFFFF"/>
        </w:rPr>
        <w:t xml:space="preserve"> but are government centres affiliated with other government ministries</w:t>
      </w:r>
      <w:r>
        <w:rPr>
          <w:rFonts w:asciiTheme="minorBidi" w:hAnsiTheme="minorBidi"/>
          <w:sz w:val="24"/>
          <w:szCs w:val="24"/>
          <w:shd w:val="clear" w:color="auto" w:fill="FFFFFF"/>
        </w:rPr>
        <w:t xml:space="preserve"> </w:t>
      </w:r>
      <w:r w:rsidRPr="000F2C49">
        <w:rPr>
          <w:rFonts w:asciiTheme="minorBidi" w:hAnsiTheme="minorBidi"/>
          <w:sz w:val="24"/>
          <w:szCs w:val="24"/>
          <w:shd w:val="clear" w:color="auto" w:fill="FFFFFF"/>
        </w:rPr>
        <w:t>(Al Asmary et al., 2013</w:t>
      </w:r>
      <w:r>
        <w:rPr>
          <w:rFonts w:asciiTheme="minorBidi" w:hAnsiTheme="minorBidi"/>
          <w:sz w:val="24"/>
          <w:szCs w:val="24"/>
          <w:shd w:val="clear" w:color="auto" w:fill="FFFFFF"/>
        </w:rPr>
        <w:t>;</w:t>
      </w:r>
      <w:r w:rsidRPr="000F2C49">
        <w:rPr>
          <w:rFonts w:asciiTheme="minorBidi" w:hAnsiTheme="minorBidi"/>
          <w:sz w:val="24"/>
          <w:szCs w:val="24"/>
          <w:shd w:val="clear" w:color="auto" w:fill="FFFFFF"/>
        </w:rPr>
        <w:t xml:space="preserve"> Tourkmani et al., 2016</w:t>
      </w:r>
      <w:r>
        <w:rPr>
          <w:rFonts w:asciiTheme="minorBidi" w:hAnsiTheme="minorBidi"/>
          <w:sz w:val="24"/>
          <w:szCs w:val="24"/>
          <w:shd w:val="clear" w:color="auto" w:fill="FFFFFF"/>
        </w:rPr>
        <w:t>;</w:t>
      </w:r>
      <w:r w:rsidRPr="000F2C49">
        <w:rPr>
          <w:rFonts w:asciiTheme="minorBidi" w:hAnsiTheme="minorBidi"/>
          <w:sz w:val="24"/>
          <w:szCs w:val="24"/>
          <w:shd w:val="clear" w:color="auto" w:fill="FFFFFF"/>
        </w:rPr>
        <w:t xml:space="preserve"> Tourkmani et al., 2018a</w:t>
      </w:r>
      <w:r>
        <w:rPr>
          <w:rFonts w:asciiTheme="minorBidi" w:hAnsiTheme="minorBidi"/>
          <w:sz w:val="24"/>
          <w:szCs w:val="24"/>
          <w:shd w:val="clear" w:color="auto" w:fill="FFFFFF"/>
        </w:rPr>
        <w:t>;</w:t>
      </w:r>
      <w:r w:rsidRPr="000F2C49">
        <w:rPr>
          <w:rFonts w:asciiTheme="minorBidi" w:hAnsiTheme="minorBidi"/>
          <w:sz w:val="24"/>
          <w:szCs w:val="24"/>
          <w:shd w:val="clear" w:color="auto" w:fill="FFFFFF"/>
        </w:rPr>
        <w:t xml:space="preserve"> Tourkmani et al., 2018b</w:t>
      </w:r>
      <w:r>
        <w:rPr>
          <w:rFonts w:asciiTheme="minorBidi" w:hAnsiTheme="minorBidi"/>
          <w:sz w:val="24"/>
          <w:szCs w:val="24"/>
          <w:shd w:val="clear" w:color="auto" w:fill="FFFFFF"/>
        </w:rPr>
        <w:t>;</w:t>
      </w:r>
      <w:r w:rsidRPr="000F2C49">
        <w:rPr>
          <w:rFonts w:asciiTheme="minorBidi" w:hAnsiTheme="minorBidi"/>
          <w:sz w:val="24"/>
          <w:szCs w:val="24"/>
          <w:shd w:val="clear" w:color="auto" w:fill="FFFFFF"/>
        </w:rPr>
        <w:t xml:space="preserve"> Al-Arifi and Al-Omar, 2018</w:t>
      </w:r>
      <w:r>
        <w:rPr>
          <w:rFonts w:asciiTheme="minorBidi" w:hAnsiTheme="minorBidi"/>
          <w:sz w:val="24"/>
          <w:szCs w:val="24"/>
          <w:shd w:val="clear" w:color="auto" w:fill="FFFFFF"/>
        </w:rPr>
        <w:t>;</w:t>
      </w:r>
      <w:r w:rsidRPr="000F2C49">
        <w:rPr>
          <w:rFonts w:asciiTheme="minorBidi" w:hAnsiTheme="minorBidi"/>
          <w:sz w:val="24"/>
          <w:szCs w:val="24"/>
          <w:shd w:val="clear" w:color="auto" w:fill="FFFFFF"/>
        </w:rPr>
        <w:t xml:space="preserve"> Alsuwayni and Alhossan, 2020). No literature has been found addressing </w:t>
      </w:r>
      <w:r>
        <w:rPr>
          <w:rFonts w:asciiTheme="minorBidi" w:hAnsiTheme="minorBidi"/>
          <w:sz w:val="24"/>
          <w:szCs w:val="24"/>
          <w:shd w:val="clear" w:color="auto" w:fill="FFFFFF"/>
        </w:rPr>
        <w:t>pharmaceutical care for patients with diabetes</w:t>
      </w:r>
      <w:r w:rsidRPr="000F2C49">
        <w:rPr>
          <w:rFonts w:asciiTheme="minorBidi" w:hAnsiTheme="minorBidi"/>
          <w:sz w:val="24"/>
          <w:szCs w:val="24"/>
          <w:shd w:val="clear" w:color="auto" w:fill="FFFFFF"/>
        </w:rPr>
        <w:t xml:space="preserve"> in the PHCs of the Saudi </w:t>
      </w:r>
      <w:r>
        <w:rPr>
          <w:rFonts w:asciiTheme="minorBidi" w:hAnsiTheme="minorBidi"/>
          <w:sz w:val="24"/>
          <w:szCs w:val="24"/>
          <w:shd w:val="clear" w:color="auto" w:fill="FFFFFF"/>
        </w:rPr>
        <w:t>MoH</w:t>
      </w:r>
      <w:r w:rsidRPr="000F2C49">
        <w:rPr>
          <w:rFonts w:asciiTheme="minorBidi" w:hAnsiTheme="minorBidi"/>
          <w:sz w:val="24"/>
          <w:szCs w:val="24"/>
          <w:shd w:val="clear" w:color="auto" w:fill="FFFFFF"/>
        </w:rPr>
        <w:t xml:space="preserve"> to compare </w:t>
      </w:r>
      <w:r>
        <w:rPr>
          <w:rFonts w:asciiTheme="minorBidi" w:hAnsiTheme="minorBidi"/>
          <w:sz w:val="24"/>
          <w:szCs w:val="24"/>
          <w:shd w:val="clear" w:color="auto" w:fill="FFFFFF"/>
        </w:rPr>
        <w:t xml:space="preserve">with </w:t>
      </w:r>
      <w:r w:rsidRPr="000F2C49">
        <w:rPr>
          <w:rFonts w:asciiTheme="minorBidi" w:hAnsiTheme="minorBidi"/>
          <w:sz w:val="24"/>
          <w:szCs w:val="24"/>
          <w:shd w:val="clear" w:color="auto" w:fill="FFFFFF"/>
        </w:rPr>
        <w:t>the results of this study.</w:t>
      </w:r>
      <w:r>
        <w:rPr>
          <w:rFonts w:asciiTheme="minorBidi" w:hAnsiTheme="minorBidi"/>
          <w:sz w:val="24"/>
          <w:szCs w:val="24"/>
          <w:shd w:val="clear" w:color="auto" w:fill="FFFFFF"/>
        </w:rPr>
        <w:t xml:space="preserve"> </w:t>
      </w:r>
      <w:r w:rsidRPr="004171E5">
        <w:rPr>
          <w:rFonts w:asciiTheme="minorBidi" w:hAnsiTheme="minorBidi"/>
          <w:sz w:val="24"/>
          <w:szCs w:val="24"/>
          <w:shd w:val="clear" w:color="auto" w:fill="FFFFFF"/>
        </w:rPr>
        <w:t xml:space="preserve">Empowering pharmacists in diabetes management is a new concept in the Saudi </w:t>
      </w:r>
      <w:r>
        <w:rPr>
          <w:rFonts w:asciiTheme="minorBidi" w:hAnsiTheme="minorBidi"/>
          <w:sz w:val="24"/>
          <w:szCs w:val="24"/>
          <w:shd w:val="clear" w:color="auto" w:fill="FFFFFF"/>
        </w:rPr>
        <w:t xml:space="preserve">MoH </w:t>
      </w:r>
      <w:r>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{"citationItems":[{"id":"ITEM-1","itemData":{"DOI":"10.1002/jac5.1602","author":[{"dropping-particle":"","family":"Abdullah","given":"Meshal","non-dropping-particle":"","parse-names":false,"suffix":""},{"dropping-particle":"","family":"Pharm","given":"Alnais B S","non-dropping-particle":"","parse-names":false,"suffix":""},{"dropping-particle":"","family":"Faris","given":"Ali","non-dropping-particle":"","parse-names":false,"suffix":""},{"dropping-particle":"","family":"Pharm","given":"Altebainawi","non-dropping-particle":"","parse-names":false,"suffix":""}],"container-title":"Journal of the American College of Clinical Pharmacy","id":"ITEM-1","issue":"July 2021","issued":{"date-parts":[["2022"]]},"page":"509-515","title":"Implementation of the first pharmacist-led diabetes clinic at Ministry of Health Hospitals , Saudi Arabia","type":"article-journal"},"uris":["http://www.mendeley.com/documents/?uuid=592d6c66-e6f5-41c4-818f-386fbf7e2b9b"]}],"mendeley":{"formattedCitation":"(Abdullah &lt;i&gt;et al.&lt;/i&gt;, 2022)","plainTextFormattedCitation":"(Abdullah et al., 2022)","previouslyFormattedCitation":"(Abdullah &lt;i&gt;et al.&lt;/i&gt;, 2022)"},"properties":{"noteIndex":0},"schema":"https://github.com/citation-style-language/schema/raw/master/csl-citation.json"}</w:instrText>
      </w:r>
      <w:r>
        <w:rPr>
          <w:rFonts w:asciiTheme="minorBidi" w:hAnsiTheme="minorBidi"/>
          <w:sz w:val="24"/>
          <w:szCs w:val="24"/>
          <w:shd w:val="clear" w:color="auto" w:fill="FFFFFF"/>
        </w:rPr>
        <w:fldChar w:fldCharType="separate"/>
      </w:r>
      <w:r w:rsidRPr="004171E5">
        <w:rPr>
          <w:rFonts w:asciiTheme="minorBidi" w:hAnsiTheme="minorBidi"/>
          <w:noProof/>
          <w:sz w:val="24"/>
          <w:szCs w:val="24"/>
          <w:shd w:val="clear" w:color="auto" w:fill="FFFFFF"/>
        </w:rPr>
        <w:t xml:space="preserve">(Abdullah </w:t>
      </w:r>
      <w:r w:rsidRPr="00E05F93">
        <w:rPr>
          <w:rFonts w:asciiTheme="minorBidi" w:hAnsiTheme="minorBidi"/>
          <w:iCs/>
          <w:noProof/>
          <w:sz w:val="24"/>
          <w:szCs w:val="24"/>
          <w:shd w:val="clear" w:color="auto" w:fill="FFFFFF"/>
        </w:rPr>
        <w:t>et al</w:t>
      </w:r>
      <w:r w:rsidRPr="004171E5">
        <w:rPr>
          <w:rFonts w:asciiTheme="minorBidi" w:hAnsiTheme="minorBidi"/>
          <w:i/>
          <w:noProof/>
          <w:sz w:val="24"/>
          <w:szCs w:val="24"/>
          <w:shd w:val="clear" w:color="auto" w:fill="FFFFFF"/>
        </w:rPr>
        <w:t>.</w:t>
      </w:r>
      <w:r w:rsidRPr="004171E5">
        <w:rPr>
          <w:rFonts w:asciiTheme="minorBidi" w:hAnsiTheme="minorBidi"/>
          <w:noProof/>
          <w:sz w:val="24"/>
          <w:szCs w:val="24"/>
          <w:shd w:val="clear" w:color="auto" w:fill="FFFFFF"/>
        </w:rPr>
        <w:t>, 2022)</w:t>
      </w:r>
      <w:r>
        <w:rPr>
          <w:rFonts w:asciiTheme="minorBidi" w:hAnsiTheme="minorBidi"/>
          <w:sz w:val="24"/>
          <w:szCs w:val="24"/>
          <w:shd w:val="clear" w:color="auto" w:fill="FFFFFF"/>
        </w:rPr>
        <w:fldChar w:fldCharType="end"/>
      </w:r>
      <w:r>
        <w:rPr>
          <w:rFonts w:asciiTheme="minorBidi" w:hAnsiTheme="minorBidi"/>
          <w:sz w:val="24"/>
          <w:szCs w:val="24"/>
          <w:shd w:val="clear" w:color="auto" w:fill="FFFFFF"/>
        </w:rPr>
        <w:t xml:space="preserve">. </w:t>
      </w:r>
    </w:p>
    <w:p w14:paraId="408C4BD2" w14:textId="77777777" w:rsidR="00A17CD2" w:rsidRDefault="00A17CD2" w:rsidP="00A17CD2">
      <w:pPr>
        <w:spacing w:line="360" w:lineRule="auto"/>
        <w:jc w:val="both"/>
        <w:rPr>
          <w:rFonts w:asciiTheme="minorBidi" w:hAnsiTheme="minorBidi"/>
          <w:sz w:val="24"/>
          <w:szCs w:val="24"/>
          <w:shd w:val="clear" w:color="auto" w:fill="FFFFFF"/>
        </w:rPr>
      </w:pPr>
      <w:r w:rsidRPr="00D2482C">
        <w:rPr>
          <w:rFonts w:asciiTheme="minorBidi" w:hAnsiTheme="minorBidi"/>
          <w:sz w:val="24"/>
          <w:szCs w:val="24"/>
          <w:shd w:val="clear" w:color="auto" w:fill="FFFFFF"/>
        </w:rPr>
        <w:t xml:space="preserve">However, a recent </w:t>
      </w:r>
      <w:r w:rsidRPr="001576B2">
        <w:rPr>
          <w:rFonts w:asciiTheme="minorBidi" w:hAnsiTheme="minorBidi"/>
          <w:sz w:val="24"/>
          <w:szCs w:val="24"/>
          <w:shd w:val="clear" w:color="auto" w:fill="FFFFFF"/>
        </w:rPr>
        <w:t xml:space="preserve">retrospective </w:t>
      </w:r>
      <w:r w:rsidRPr="00D2482C">
        <w:rPr>
          <w:rFonts w:asciiTheme="minorBidi" w:hAnsiTheme="minorBidi"/>
          <w:sz w:val="24"/>
          <w:szCs w:val="24"/>
          <w:shd w:val="clear" w:color="auto" w:fill="FFFFFF"/>
        </w:rPr>
        <w:t>study</w:t>
      </w:r>
      <w:r>
        <w:rPr>
          <w:rFonts w:asciiTheme="minorBidi" w:hAnsiTheme="minorBidi"/>
          <w:sz w:val="24"/>
          <w:szCs w:val="24"/>
          <w:shd w:val="clear" w:color="auto" w:fill="FFFFFF"/>
        </w:rPr>
        <w:t xml:space="preserve"> </w:t>
      </w:r>
      <w:r>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{"citationItems":[{"id":"ITEM-1","itemData":{"DOI":"10.7759/cureus.25923","author":[{"dropping-particle":"","family":"Alqifari","given":"Saleh F","non-dropping-particle":"","parse-names":false,"suffix":""},{"dropping-particle":"","family":"Almharwal","given":"Bader","non-dropping-particle":"","parse-names":false,"suffix":""},{"dropping-particle":"","family":"Aldawish","given":"Rahaf","non-dropping-particle":"","parse-names":false,"suffix":""},{"dropping-particle":"","family":"Almokhlef","given":"Salman A","non-dropping-particle":"","parse-names":false,"suffix":""}],"id":"ITEM-1","issue":"6","issued":{"date-parts":[["2022"]]},"page":"8-13","title":"Impact of Pharmacist-Led Clinics on Health Outcomes of Patients With Diabetes at a Ministry of Health Diabetes &amp; Endocrinology Center , Saudi Arabia : A Retrospective Study","type":"article-journal","volume":"14"},"uris":["http://www.mendeley.com/documents/?uuid=b4794254-e216-4fdf-bd51-7876d2c5e639"]}],"mendeley":{"formattedCitation":"(Alqifari &lt;i&gt;et al.&lt;/i&gt;, 2022)","plainTextFormattedCitation":"(Alqifari et al., 2022)","previouslyFormattedCitation":"(Alqifari &lt;i&gt;et al.&lt;/i&gt;, 2022)"},"properties":{"noteIndex":0},"schema":"https://github.com/citation-style-language/schema/raw/master/csl-citation.json"}</w:instrText>
      </w:r>
      <w:r>
        <w:rPr>
          <w:rFonts w:asciiTheme="minorBidi" w:hAnsiTheme="minorBidi"/>
          <w:sz w:val="24"/>
          <w:szCs w:val="24"/>
          <w:shd w:val="clear" w:color="auto" w:fill="FFFFFF"/>
        </w:rPr>
        <w:fldChar w:fldCharType="separate"/>
      </w:r>
      <w:r w:rsidRPr="00680F10">
        <w:rPr>
          <w:rFonts w:asciiTheme="minorBidi" w:hAnsiTheme="minorBidi"/>
          <w:noProof/>
          <w:sz w:val="24"/>
          <w:szCs w:val="24"/>
          <w:shd w:val="clear" w:color="auto" w:fill="FFFFFF"/>
        </w:rPr>
        <w:t xml:space="preserve">(Alqifari </w:t>
      </w:r>
      <w:r w:rsidRPr="00E05F93">
        <w:rPr>
          <w:rFonts w:asciiTheme="minorBidi" w:hAnsiTheme="minorBidi"/>
          <w:iCs/>
          <w:noProof/>
          <w:sz w:val="24"/>
          <w:szCs w:val="24"/>
          <w:shd w:val="clear" w:color="auto" w:fill="FFFFFF"/>
        </w:rPr>
        <w:t>et al</w:t>
      </w:r>
      <w:r w:rsidRPr="00680F10">
        <w:rPr>
          <w:rFonts w:asciiTheme="minorBidi" w:hAnsiTheme="minorBidi"/>
          <w:i/>
          <w:noProof/>
          <w:sz w:val="24"/>
          <w:szCs w:val="24"/>
          <w:shd w:val="clear" w:color="auto" w:fill="FFFFFF"/>
        </w:rPr>
        <w:t>.</w:t>
      </w:r>
      <w:r w:rsidRPr="00680F10">
        <w:rPr>
          <w:rFonts w:asciiTheme="minorBidi" w:hAnsiTheme="minorBidi"/>
          <w:noProof/>
          <w:sz w:val="24"/>
          <w:szCs w:val="24"/>
          <w:shd w:val="clear" w:color="auto" w:fill="FFFFFF"/>
        </w:rPr>
        <w:t>, 2022)</w:t>
      </w:r>
      <w:r>
        <w:rPr>
          <w:rFonts w:asciiTheme="minorBidi" w:hAnsiTheme="minorBidi"/>
          <w:sz w:val="24"/>
          <w:szCs w:val="24"/>
          <w:shd w:val="clear" w:color="auto" w:fill="FFFFFF"/>
        </w:rPr>
        <w:fldChar w:fldCharType="end"/>
      </w:r>
      <w:r>
        <w:rPr>
          <w:rFonts w:asciiTheme="minorBidi" w:hAnsiTheme="minorBidi"/>
          <w:sz w:val="24"/>
          <w:szCs w:val="24"/>
          <w:shd w:val="clear" w:color="auto" w:fill="FFFFFF"/>
        </w:rPr>
        <w:t xml:space="preserve"> which evaluated</w:t>
      </w:r>
      <w:r w:rsidRPr="00D2482C">
        <w:rPr>
          <w:rFonts w:asciiTheme="minorBidi" w:hAnsiTheme="minorBidi"/>
          <w:sz w:val="24"/>
          <w:szCs w:val="24"/>
          <w:shd w:val="clear" w:color="auto" w:fill="FFFFFF"/>
        </w:rPr>
        <w:t xml:space="preserve"> the impact of clinical pharmacist care on diabetes management compared to standard physician-based care, found promising results as involving pharmacists in diabetes management significantly reduced HbA1c within nine months, helped improve medication therapy and reduced the frequency of hypoglycemia</w:t>
      </w:r>
      <w:r>
        <w:rPr>
          <w:rFonts w:asciiTheme="minorBidi" w:hAnsiTheme="minorBidi"/>
          <w:sz w:val="24"/>
          <w:szCs w:val="24"/>
          <w:shd w:val="clear" w:color="auto" w:fill="FFFFFF"/>
        </w:rPr>
        <w:t xml:space="preserve">. Some caution is needed as this research was </w:t>
      </w:r>
      <w:r w:rsidRPr="001576B2">
        <w:rPr>
          <w:rFonts w:asciiTheme="minorBidi" w:hAnsiTheme="minorBidi"/>
          <w:sz w:val="24"/>
          <w:szCs w:val="24"/>
          <w:shd w:val="clear" w:color="auto" w:fill="FFFFFF"/>
        </w:rPr>
        <w:t xml:space="preserve">conducted in the Diabetes and Endocrinology Center of the </w:t>
      </w:r>
      <w:r>
        <w:rPr>
          <w:rFonts w:asciiTheme="minorBidi" w:hAnsiTheme="minorBidi"/>
          <w:sz w:val="24"/>
          <w:szCs w:val="24"/>
          <w:shd w:val="clear" w:color="auto" w:fill="FFFFFF"/>
        </w:rPr>
        <w:t>MoH</w:t>
      </w:r>
      <w:r w:rsidRPr="001576B2">
        <w:rPr>
          <w:rFonts w:asciiTheme="minorBidi" w:hAnsiTheme="minorBidi"/>
          <w:sz w:val="24"/>
          <w:szCs w:val="24"/>
          <w:shd w:val="clear" w:color="auto" w:fill="FFFFFF"/>
        </w:rPr>
        <w:t xml:space="preserve"> in </w:t>
      </w:r>
      <w:r>
        <w:rPr>
          <w:rFonts w:asciiTheme="minorBidi" w:hAnsiTheme="minorBidi"/>
          <w:sz w:val="24"/>
          <w:szCs w:val="24"/>
          <w:shd w:val="clear" w:color="auto" w:fill="FFFFFF"/>
        </w:rPr>
        <w:t>SA</w:t>
      </w:r>
      <w:r w:rsidRPr="001576B2">
        <w:rPr>
          <w:rFonts w:asciiTheme="minorBidi" w:hAnsiTheme="minorBidi"/>
          <w:sz w:val="24"/>
          <w:szCs w:val="24"/>
          <w:shd w:val="clear" w:color="auto" w:fill="FFFFFF"/>
        </w:rPr>
        <w:t xml:space="preserve">, located in </w:t>
      </w:r>
      <w:r w:rsidRPr="00C13F5A">
        <w:rPr>
          <w:rFonts w:asciiTheme="minorBidi" w:hAnsiTheme="minorBidi"/>
          <w:sz w:val="24"/>
          <w:szCs w:val="24"/>
          <w:shd w:val="clear" w:color="auto" w:fill="FFFFFF"/>
        </w:rPr>
        <w:t>Al-Qassim</w:t>
      </w:r>
      <w:r w:rsidRPr="001576B2">
        <w:rPr>
          <w:rFonts w:asciiTheme="minorBidi" w:hAnsiTheme="minorBidi"/>
          <w:sz w:val="24"/>
          <w:szCs w:val="24"/>
          <w:shd w:val="clear" w:color="auto" w:fill="FFFFFF"/>
        </w:rPr>
        <w:t>, and therefore the practices in this speciali</w:t>
      </w:r>
      <w:r>
        <w:rPr>
          <w:rFonts w:asciiTheme="minorBidi" w:hAnsiTheme="minorBidi"/>
          <w:sz w:val="24"/>
          <w:szCs w:val="24"/>
          <w:shd w:val="clear" w:color="auto" w:fill="FFFFFF"/>
        </w:rPr>
        <w:t>s</w:t>
      </w:r>
      <w:r w:rsidRPr="001576B2">
        <w:rPr>
          <w:rFonts w:asciiTheme="minorBidi" w:hAnsiTheme="minorBidi"/>
          <w:sz w:val="24"/>
          <w:szCs w:val="24"/>
          <w:shd w:val="clear" w:color="auto" w:fill="FFFFFF"/>
        </w:rPr>
        <w:t>ed diabetes care centre cannot be generali</w:t>
      </w:r>
      <w:r>
        <w:rPr>
          <w:rFonts w:asciiTheme="minorBidi" w:hAnsiTheme="minorBidi"/>
          <w:sz w:val="24"/>
          <w:szCs w:val="24"/>
          <w:shd w:val="clear" w:color="auto" w:fill="FFFFFF"/>
        </w:rPr>
        <w:t>s</w:t>
      </w:r>
      <w:r w:rsidRPr="001576B2">
        <w:rPr>
          <w:rFonts w:asciiTheme="minorBidi" w:hAnsiTheme="minorBidi"/>
          <w:sz w:val="24"/>
          <w:szCs w:val="24"/>
          <w:shd w:val="clear" w:color="auto" w:fill="FFFFFF"/>
        </w:rPr>
        <w:t xml:space="preserve">ed to </w:t>
      </w:r>
      <w:r>
        <w:rPr>
          <w:rFonts w:asciiTheme="minorBidi" w:hAnsiTheme="minorBidi"/>
          <w:sz w:val="24"/>
          <w:szCs w:val="24"/>
          <w:shd w:val="clear" w:color="auto" w:fill="FFFFFF"/>
        </w:rPr>
        <w:t>PHCs</w:t>
      </w:r>
      <w:r w:rsidRPr="001576B2">
        <w:rPr>
          <w:rFonts w:asciiTheme="minorBidi" w:hAnsiTheme="minorBidi"/>
          <w:sz w:val="24"/>
          <w:szCs w:val="24"/>
          <w:shd w:val="clear" w:color="auto" w:fill="FFFFFF"/>
        </w:rPr>
        <w:t xml:space="preserve"> across the country</w:t>
      </w:r>
      <w:r>
        <w:rPr>
          <w:rFonts w:asciiTheme="minorBidi" w:hAnsiTheme="minorBidi"/>
          <w:sz w:val="24"/>
          <w:szCs w:val="24"/>
          <w:shd w:val="clear" w:color="auto" w:fill="FFFFFF"/>
        </w:rPr>
        <w:t>,</w:t>
      </w:r>
      <w:r w:rsidRPr="001576B2">
        <w:rPr>
          <w:rFonts w:asciiTheme="minorBidi" w:hAnsiTheme="minorBidi"/>
          <w:sz w:val="24"/>
          <w:szCs w:val="24"/>
          <w:shd w:val="clear" w:color="auto" w:fill="FFFFFF"/>
        </w:rPr>
        <w:t xml:space="preserve"> which </w:t>
      </w:r>
      <w:r>
        <w:rPr>
          <w:rFonts w:asciiTheme="minorBidi" w:hAnsiTheme="minorBidi"/>
          <w:sz w:val="24"/>
          <w:szCs w:val="24"/>
          <w:shd w:val="clear" w:color="auto" w:fill="FFFFFF"/>
        </w:rPr>
        <w:t xml:space="preserve">have to </w:t>
      </w:r>
      <w:r w:rsidRPr="001576B2">
        <w:rPr>
          <w:rFonts w:asciiTheme="minorBidi" w:hAnsiTheme="minorBidi"/>
          <w:sz w:val="24"/>
          <w:szCs w:val="24"/>
          <w:shd w:val="clear" w:color="auto" w:fill="FFFFFF"/>
        </w:rPr>
        <w:t>provide all primary health care services to all citizens.</w:t>
      </w:r>
    </w:p>
    <w:p w14:paraId="4C3DC285" w14:textId="77777777" w:rsidR="00C21A72" w:rsidRDefault="00C21A72" w:rsidP="00A17CD2">
      <w:pPr>
        <w:spacing w:line="360" w:lineRule="auto"/>
        <w:jc w:val="both"/>
        <w:rPr>
          <w:rFonts w:asciiTheme="minorBidi" w:hAnsiTheme="minorBidi"/>
          <w:sz w:val="24"/>
          <w:szCs w:val="24"/>
          <w:shd w:val="clear" w:color="auto" w:fill="FFFFFF"/>
        </w:rPr>
      </w:pPr>
    </w:p>
    <w:p w14:paraId="61459566" w14:textId="77777777" w:rsidR="00A17CD2" w:rsidRPr="00C21A72" w:rsidRDefault="00A17CD2" w:rsidP="00C21A72">
      <w:pPr>
        <w:pStyle w:val="Heading4"/>
        <w:numPr>
          <w:ilvl w:val="3"/>
          <w:numId w:val="30"/>
        </w:numPr>
        <w:tabs>
          <w:tab w:val="left" w:pos="810"/>
        </w:tabs>
        <w:spacing w:after="240" w:line="384" w:lineRule="auto"/>
        <w:ind w:left="0" w:firstLine="0"/>
        <w:rPr>
          <w:rFonts w:asciiTheme="minorBidi" w:hAnsiTheme="minorBidi" w:cstheme="minorBidi"/>
          <w:sz w:val="24"/>
          <w:szCs w:val="24"/>
          <w:shd w:val="clear" w:color="auto" w:fill="FFFFFF"/>
        </w:rPr>
      </w:pPr>
      <w:r w:rsidRPr="00C21A72">
        <w:rPr>
          <w:rFonts w:asciiTheme="minorBidi" w:hAnsiTheme="minorBidi" w:cstheme="minorBidi"/>
          <w:sz w:val="24"/>
          <w:szCs w:val="24"/>
          <w:shd w:val="clear" w:color="auto" w:fill="FFFFFF"/>
        </w:rPr>
        <w:t xml:space="preserve">Optimising healthcare resources </w:t>
      </w:r>
    </w:p>
    <w:p w14:paraId="4581494A" w14:textId="77777777" w:rsidR="00A17CD2" w:rsidRDefault="00A17CD2" w:rsidP="00A17CD2">
      <w:pPr>
        <w:spacing w:line="360" w:lineRule="auto"/>
        <w:jc w:val="both"/>
        <w:rPr>
          <w:rFonts w:asciiTheme="minorBidi" w:hAnsiTheme="minorBidi"/>
          <w:sz w:val="24"/>
          <w:szCs w:val="24"/>
          <w:shd w:val="clear" w:color="auto" w:fill="FFFFFF"/>
        </w:rPr>
      </w:pPr>
      <w:r>
        <w:rPr>
          <w:rFonts w:asciiTheme="minorBidi" w:hAnsiTheme="minorBidi"/>
          <w:sz w:val="24"/>
          <w:szCs w:val="24"/>
          <w:shd w:val="clear" w:color="auto" w:fill="FFFFFF"/>
        </w:rPr>
        <w:t xml:space="preserve">It </w:t>
      </w:r>
      <w:r w:rsidRPr="00464931">
        <w:rPr>
          <w:rFonts w:asciiTheme="minorBidi" w:hAnsiTheme="minorBidi"/>
          <w:sz w:val="24"/>
          <w:szCs w:val="24"/>
          <w:shd w:val="clear" w:color="auto" w:fill="FFFFFF"/>
        </w:rPr>
        <w:t>is necessary</w:t>
      </w:r>
      <w:r>
        <w:rPr>
          <w:rFonts w:asciiTheme="minorBidi" w:hAnsiTheme="minorBidi"/>
          <w:sz w:val="24"/>
          <w:szCs w:val="24"/>
          <w:shd w:val="clear" w:color="auto" w:fill="FFFFFF"/>
        </w:rPr>
        <w:t xml:space="preserve">, therefore, </w:t>
      </w:r>
      <w:r w:rsidRPr="00464931">
        <w:rPr>
          <w:rFonts w:asciiTheme="minorBidi" w:hAnsiTheme="minorBidi"/>
          <w:sz w:val="24"/>
          <w:szCs w:val="24"/>
          <w:shd w:val="clear" w:color="auto" w:fill="FFFFFF"/>
        </w:rPr>
        <w:t xml:space="preserve"> to look at the concept of investing in the </w:t>
      </w:r>
      <w:r>
        <w:rPr>
          <w:rFonts w:asciiTheme="minorBidi" w:hAnsiTheme="minorBidi"/>
          <w:sz w:val="24"/>
          <w:szCs w:val="24"/>
          <w:shd w:val="clear" w:color="auto" w:fill="FFFFFF"/>
        </w:rPr>
        <w:t xml:space="preserve">pharmacy </w:t>
      </w:r>
      <w:r w:rsidRPr="00464931">
        <w:rPr>
          <w:rFonts w:asciiTheme="minorBidi" w:hAnsiTheme="minorBidi"/>
          <w:sz w:val="24"/>
          <w:szCs w:val="24"/>
          <w:shd w:val="clear" w:color="auto" w:fill="FFFFFF"/>
        </w:rPr>
        <w:t xml:space="preserve">resources available in PHCs. </w:t>
      </w:r>
      <w:r>
        <w:rPr>
          <w:rFonts w:asciiTheme="minorBidi" w:hAnsiTheme="minorBidi"/>
          <w:sz w:val="24"/>
          <w:szCs w:val="24"/>
          <w:shd w:val="clear" w:color="auto" w:fill="FFFFFF"/>
        </w:rPr>
        <w:t>This concept is in line with the objective of the MoH: “</w:t>
      </w:r>
      <w:r w:rsidRPr="004C75A9">
        <w:rPr>
          <w:rFonts w:asciiTheme="minorBidi" w:hAnsiTheme="minorBidi"/>
          <w:i/>
          <w:iCs/>
          <w:sz w:val="24"/>
          <w:szCs w:val="24"/>
          <w:shd w:val="clear" w:color="auto" w:fill="FFFFFF"/>
        </w:rPr>
        <w:t>increase the efficient utilization of available resources</w:t>
      </w:r>
      <w:r>
        <w:rPr>
          <w:rFonts w:asciiTheme="minorBidi" w:hAnsiTheme="minorBidi"/>
          <w:sz w:val="24"/>
          <w:szCs w:val="24"/>
          <w:shd w:val="clear" w:color="auto" w:fill="FFFFFF"/>
        </w:rPr>
        <w:t xml:space="preserve">” </w:t>
      </w:r>
      <w:r>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{"citationItems":[{"id":"ITEM-1","itemData":{"abstract":"NTP 2020 is one of programs created to acheive Saudi Arabia’s Vision 2030","author":[{"dropping-particle":"","family":"Kingdom of Saudi Arabia","given":"","non-dropping-particle":"","parse-names":false,"suffix":""},{"dropping-particle":"","family":"Saudi Vision 2030","given":"","non-dropping-particle":"","parse-names":false,"suffix":""}],"container-title":"Saudi Vision 2030","id":"ITEM-1","issued":{"date-parts":[["2016"]]},"page":"1-57","title":"National transformation program 2020","type":"article-journal"},"uris":["http://www.mendeley.com/documents/?uuid=aa7efc00-61be-46e0-8e1f-c48dba94fdd6"]}],"mendeley":{"formattedCitation":"(Kingdom of Saudi Arabia and Saudi Vision 2030, 2016)","manualFormatting":"(Kingdom of Saudi Arabia and Saudi Vision 2030, 2016, p28)","plainTextFormattedCitation":"(Kingdom of Saudi Arabia and Saudi Vision 2030, 2016)","previouslyFormattedCitation":"(Kingdom of Saudi Arabia and Saudi Vision 2030, 2016)"},"properties":{"noteIndex":0},"schema":"https://github.com/citation-style-language/schema/raw/master/csl-citation.json"}</w:instrText>
      </w:r>
      <w:r>
        <w:rPr>
          <w:rFonts w:asciiTheme="minorBidi" w:hAnsiTheme="minorBidi"/>
          <w:sz w:val="24"/>
          <w:szCs w:val="24"/>
          <w:shd w:val="clear" w:color="auto" w:fill="FFFFFF"/>
        </w:rPr>
        <w:fldChar w:fldCharType="separate"/>
      </w:r>
      <w:r w:rsidRPr="00D72BDA">
        <w:rPr>
          <w:rFonts w:asciiTheme="minorBidi" w:hAnsiTheme="minorBidi"/>
          <w:noProof/>
          <w:sz w:val="24"/>
          <w:szCs w:val="24"/>
          <w:shd w:val="clear" w:color="auto" w:fill="FFFFFF"/>
        </w:rPr>
        <w:t>(Kingdom of Saudi Arabia and Saudi Vision 2030, 2016</w:t>
      </w:r>
      <w:r>
        <w:rPr>
          <w:rFonts w:asciiTheme="minorBidi" w:hAnsiTheme="minorBidi"/>
          <w:noProof/>
          <w:sz w:val="24"/>
          <w:szCs w:val="24"/>
          <w:shd w:val="clear" w:color="auto" w:fill="FFFFFF"/>
        </w:rPr>
        <w:t>, p28</w:t>
      </w:r>
      <w:r w:rsidRPr="00D72BDA">
        <w:rPr>
          <w:rFonts w:asciiTheme="minorBidi" w:hAnsiTheme="minorBidi"/>
          <w:noProof/>
          <w:sz w:val="24"/>
          <w:szCs w:val="24"/>
          <w:shd w:val="clear" w:color="auto" w:fill="FFFFFF"/>
        </w:rPr>
        <w:t>)</w:t>
      </w:r>
      <w:r>
        <w:rPr>
          <w:rFonts w:asciiTheme="minorBidi" w:hAnsiTheme="minorBidi"/>
          <w:sz w:val="24"/>
          <w:szCs w:val="24"/>
          <w:shd w:val="clear" w:color="auto" w:fill="FFFFFF"/>
        </w:rPr>
        <w:fldChar w:fldCharType="end"/>
      </w:r>
      <w:r>
        <w:rPr>
          <w:rFonts w:asciiTheme="minorBidi" w:hAnsiTheme="minorBidi"/>
          <w:sz w:val="24"/>
          <w:szCs w:val="24"/>
          <w:shd w:val="clear" w:color="auto" w:fill="FFFFFF"/>
        </w:rPr>
        <w:t xml:space="preserve">. </w:t>
      </w:r>
      <w:r w:rsidRPr="00464931">
        <w:rPr>
          <w:rFonts w:asciiTheme="minorBidi" w:hAnsiTheme="minorBidi"/>
          <w:sz w:val="24"/>
          <w:szCs w:val="24"/>
          <w:shd w:val="clear" w:color="auto" w:fill="FFFFFF"/>
        </w:rPr>
        <w:t xml:space="preserve">There are expert pharmacists already integrated into PHCs; they are now free from the dispensary role and can focus more </w:t>
      </w:r>
      <w:r w:rsidRPr="00FB6E18">
        <w:rPr>
          <w:rFonts w:asciiTheme="minorBidi" w:hAnsiTheme="minorBidi"/>
          <w:sz w:val="24"/>
          <w:szCs w:val="24"/>
          <w:shd w:val="clear" w:color="auto" w:fill="FFFFFF"/>
        </w:rPr>
        <w:t>on</w:t>
      </w:r>
      <w:r w:rsidRPr="00464931">
        <w:rPr>
          <w:rFonts w:asciiTheme="minorBidi" w:hAnsiTheme="minorBidi"/>
          <w:sz w:val="24"/>
          <w:szCs w:val="24"/>
          <w:shd w:val="clear" w:color="auto" w:fill="FFFFFF"/>
        </w:rPr>
        <w:t xml:space="preserve"> patients' health concerns, provide professional pharmacy services, and address medication-related issues. Establishing clinical pharmacy services instead of traditional pharmacy practice in PHCs </w:t>
      </w:r>
      <w:r>
        <w:rPr>
          <w:rFonts w:asciiTheme="minorBidi" w:hAnsiTheme="minorBidi"/>
          <w:sz w:val="24"/>
          <w:szCs w:val="24"/>
          <w:shd w:val="clear" w:color="auto" w:fill="FFFFFF"/>
        </w:rPr>
        <w:t>could be</w:t>
      </w:r>
      <w:r w:rsidRPr="00464931">
        <w:rPr>
          <w:rFonts w:asciiTheme="minorBidi" w:hAnsiTheme="minorBidi"/>
          <w:sz w:val="24"/>
          <w:szCs w:val="24"/>
          <w:shd w:val="clear" w:color="auto" w:fill="FFFFFF"/>
        </w:rPr>
        <w:t xml:space="preserve"> an ideal </w:t>
      </w:r>
      <w:r>
        <w:rPr>
          <w:rFonts w:asciiTheme="minorBidi" w:hAnsiTheme="minorBidi"/>
          <w:sz w:val="24"/>
          <w:szCs w:val="24"/>
          <w:shd w:val="clear" w:color="auto" w:fill="FFFFFF"/>
        </w:rPr>
        <w:t xml:space="preserve">and achievable </w:t>
      </w:r>
      <w:r w:rsidRPr="00464931">
        <w:rPr>
          <w:rFonts w:asciiTheme="minorBidi" w:hAnsiTheme="minorBidi"/>
          <w:sz w:val="24"/>
          <w:szCs w:val="24"/>
          <w:shd w:val="clear" w:color="auto" w:fill="FFFFFF"/>
        </w:rPr>
        <w:t>goal to provide optimal patient-centred care, especially for diabetic patients</w:t>
      </w:r>
      <w:r>
        <w:rPr>
          <w:rFonts w:asciiTheme="minorBidi" w:hAnsiTheme="minorBidi"/>
          <w:sz w:val="24"/>
          <w:szCs w:val="24"/>
          <w:shd w:val="clear" w:color="auto" w:fill="FFFFFF"/>
        </w:rPr>
        <w:t xml:space="preserve"> </w:t>
      </w:r>
      <w:r>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{"citationItems":[{"id":"ITEM-1","itemData":{"DOI":"10.1002/jac5.1577","author":[{"dropping-particle":"","family":"Alshaya","given":"Omar A","non-dropping-particle":"","parse-names":false,"suffix":""},{"dropping-particle":"","family":"Osama","given":"Omaima","non-dropping-particle":"","parse-names":false,"suffix":""},{"dropping-particle":"","family":"Pharm","given":"Arab","non-dropping-particle":"","parse-names":false,"suffix":""},{"dropping-particle":"","family":"Alhifany","given":"Abdullah A","non-dropping-particle":"","parse-names":false,"suffix":""},{"dropping-particle":"","family":"Abdulaziz","given":"Pharm D","non-dropping-particle":"","parse-names":false,"suffix":""},{"dropping-particle":"","family":"Pharm","given":"Alhossan","non-dropping-particle":"","parse-names":false,"suffix":""},{"dropping-particle":"","family":"Alomar","given":"Mukhtar","non-dropping-particle":"","parse-names":false,"suffix":""},{"dropping-particle":"","family":"Abdulaziz","given":"Pharm D","non-dropping-particle":"","parse-names":false,"suffix":""},{"dropping-particle":"","family":"Pharm","given":"G Alqahtani","non-dropping-particle":"","parse-names":false,"suffix":""},{"dropping-particle":"","family":"Almolaiki","given":"Maha A","non-dropping-particle":"","parse-names":false,"suffix":""},{"dropping-particle":"","family":"Sultan","given":"Pharm D","non-dropping-particle":"","parse-names":false,"suffix":""},{"dropping-particle":"","family":"Bscpharm","given":"Mubarki","non-dropping-particle":"","parse-names":false,"suffix":""},{"dropping-particle":"","family":"Alruwaisan","given":"Rana","non-dropping-particle":"","parse-names":false,"suffix":""},{"dropping-particle":"","family":"Abdulrahman","given":"Pharm D","non-dropping-particle":"","parse-names":false,"suffix":""},{"dropping-particle":"","family":"Bscpharm","given":"Alturaiki","non-dropping-particle":"","parse-names":false,"suffix":""},{"dropping-particle":"","family":"Alzuman","given":"Sitah","non-dropping-particle":"","parse-names":false,"suffix":""},{"dropping-particle":"","family":"Ahmed","given":"Bscpharm","non-dropping-particle":"","parse-names":false,"suffix":""},{"dropping-particle":"","family":"Alsaqer","given":"Ibrahim","non-dropping-particle":"","parse-names":false,"suffix":""},{"dropping-particle":"","family":"D","given":"Ghazwa B Korayem Pharm","non-dropping-particle":"","parse-names":false,"suffix":""}],"container-title":"Journal of the American College of Clinical Pharmacy","id":"ITEM-1","issue":"October 2021","issued":{"date-parts":[["2021"]]},"page":"332-341","title":"Ambulatory care pharmacy in Saudi Arabia ; definition , history , present , future potentials , and expected challenges","type":"article-journal"},"uris":["http://www.mendeley.com/documents/?uuid=b56e313e-724e-49a9-96fd-ca50aa6b852e"]}],"mendeley":{"formattedCitation":"(Alshaya &lt;i&gt;et al.&lt;/i&gt;, 2021)","plainTextFormattedCitation":"(Alshaya et al., 2021)","previouslyFormattedCitation":"(Alshaya &lt;i&gt;et al.&lt;/i&gt;, 2021)"},"properties":{"noteIndex":0},"schema":"https://github.com/citation-style-language/schema/raw/master/csl-citation.json"}</w:instrText>
      </w:r>
      <w:r>
        <w:rPr>
          <w:rFonts w:asciiTheme="minorBidi" w:hAnsiTheme="minorBidi"/>
          <w:sz w:val="24"/>
          <w:szCs w:val="24"/>
          <w:shd w:val="clear" w:color="auto" w:fill="FFFFFF"/>
        </w:rPr>
        <w:fldChar w:fldCharType="separate"/>
      </w:r>
      <w:r w:rsidRPr="00266550">
        <w:rPr>
          <w:rFonts w:asciiTheme="minorBidi" w:hAnsiTheme="minorBidi"/>
          <w:noProof/>
          <w:sz w:val="24"/>
          <w:szCs w:val="24"/>
          <w:shd w:val="clear" w:color="auto" w:fill="FFFFFF"/>
        </w:rPr>
        <w:t xml:space="preserve">(Alshaya </w:t>
      </w:r>
      <w:r w:rsidRPr="00266550">
        <w:rPr>
          <w:rFonts w:asciiTheme="minorBidi" w:hAnsiTheme="minorBidi"/>
          <w:i/>
          <w:noProof/>
          <w:sz w:val="24"/>
          <w:szCs w:val="24"/>
          <w:shd w:val="clear" w:color="auto" w:fill="FFFFFF"/>
        </w:rPr>
        <w:t>et al.</w:t>
      </w:r>
      <w:r w:rsidRPr="00266550">
        <w:rPr>
          <w:rFonts w:asciiTheme="minorBidi" w:hAnsiTheme="minorBidi"/>
          <w:noProof/>
          <w:sz w:val="24"/>
          <w:szCs w:val="24"/>
          <w:shd w:val="clear" w:color="auto" w:fill="FFFFFF"/>
        </w:rPr>
        <w:t>, 2021)</w:t>
      </w:r>
      <w:r>
        <w:rPr>
          <w:rFonts w:asciiTheme="minorBidi" w:hAnsiTheme="minorBidi"/>
          <w:sz w:val="24"/>
          <w:szCs w:val="24"/>
          <w:shd w:val="clear" w:color="auto" w:fill="FFFFFF"/>
        </w:rPr>
        <w:fldChar w:fldCharType="end"/>
      </w:r>
      <w:r w:rsidRPr="00464931">
        <w:rPr>
          <w:rFonts w:asciiTheme="minorBidi" w:hAnsiTheme="minorBidi"/>
          <w:sz w:val="24"/>
          <w:szCs w:val="24"/>
          <w:shd w:val="clear" w:color="auto" w:fill="FFFFFF"/>
        </w:rPr>
        <w:t>.</w:t>
      </w:r>
      <w:r>
        <w:rPr>
          <w:rFonts w:asciiTheme="minorBidi" w:hAnsiTheme="minorBidi"/>
          <w:sz w:val="24"/>
          <w:szCs w:val="24"/>
          <w:shd w:val="clear" w:color="auto" w:fill="FFFFFF"/>
        </w:rPr>
        <w:t xml:space="preserve"> </w:t>
      </w:r>
    </w:p>
    <w:p w14:paraId="0BE5708E" w14:textId="77777777" w:rsidR="00A17CD2" w:rsidRDefault="00A17CD2" w:rsidP="00A17CD2">
      <w:pPr>
        <w:spacing w:line="360" w:lineRule="auto"/>
        <w:jc w:val="both"/>
        <w:rPr>
          <w:rFonts w:asciiTheme="minorBidi" w:hAnsiTheme="minorBidi"/>
          <w:sz w:val="24"/>
          <w:szCs w:val="24"/>
          <w:shd w:val="clear" w:color="auto" w:fill="FFFFFF"/>
        </w:rPr>
      </w:pPr>
      <w:r w:rsidRPr="00B452E1">
        <w:rPr>
          <w:rFonts w:asciiTheme="minorBidi" w:hAnsiTheme="minorBidi"/>
          <w:sz w:val="24"/>
          <w:szCs w:val="24"/>
          <w:shd w:val="clear" w:color="auto" w:fill="FFFFFF"/>
        </w:rPr>
        <w:t>To provide optimal diabetes care</w:t>
      </w:r>
      <w:r>
        <w:rPr>
          <w:rFonts w:asciiTheme="minorBidi" w:hAnsiTheme="minorBidi"/>
          <w:sz w:val="24"/>
          <w:szCs w:val="24"/>
          <w:shd w:val="clear" w:color="auto" w:fill="FFFFFF"/>
        </w:rPr>
        <w:t xml:space="preserve"> in SA and optimise resources use,</w:t>
      </w:r>
      <w:r w:rsidRPr="00B452E1">
        <w:rPr>
          <w:rFonts w:asciiTheme="minorBidi" w:hAnsiTheme="minorBidi"/>
          <w:sz w:val="24"/>
          <w:szCs w:val="24"/>
          <w:shd w:val="clear" w:color="auto" w:fill="FFFFFF"/>
        </w:rPr>
        <w:t xml:space="preserve"> opportunities for</w:t>
      </w:r>
      <w:r>
        <w:rPr>
          <w:rFonts w:asciiTheme="minorBidi" w:hAnsiTheme="minorBidi"/>
          <w:sz w:val="24"/>
          <w:szCs w:val="24"/>
          <w:shd w:val="clear" w:color="auto" w:fill="FFFFFF"/>
        </w:rPr>
        <w:t xml:space="preserve"> </w:t>
      </w:r>
      <w:r w:rsidRPr="00B452E1">
        <w:rPr>
          <w:rFonts w:asciiTheme="minorBidi" w:hAnsiTheme="minorBidi"/>
          <w:sz w:val="24"/>
          <w:szCs w:val="24"/>
          <w:shd w:val="clear" w:color="auto" w:fill="FFFFFF"/>
        </w:rPr>
        <w:t xml:space="preserve">pharmacists to participate in diabetes </w:t>
      </w:r>
      <w:r>
        <w:rPr>
          <w:rFonts w:asciiTheme="minorBidi" w:hAnsiTheme="minorBidi"/>
          <w:sz w:val="24"/>
          <w:szCs w:val="24"/>
          <w:shd w:val="clear" w:color="auto" w:fill="FFFFFF"/>
        </w:rPr>
        <w:t xml:space="preserve">primary care </w:t>
      </w:r>
      <w:r w:rsidRPr="00B452E1">
        <w:rPr>
          <w:rFonts w:asciiTheme="minorBidi" w:hAnsiTheme="minorBidi"/>
          <w:sz w:val="24"/>
          <w:szCs w:val="24"/>
          <w:shd w:val="clear" w:color="auto" w:fill="FFFFFF"/>
        </w:rPr>
        <w:t xml:space="preserve">management should be </w:t>
      </w:r>
      <w:r>
        <w:rPr>
          <w:rFonts w:asciiTheme="minorBidi" w:hAnsiTheme="minorBidi"/>
          <w:sz w:val="24"/>
          <w:szCs w:val="24"/>
          <w:shd w:val="clear" w:color="auto" w:fill="FFFFFF"/>
        </w:rPr>
        <w:t>considered</w:t>
      </w:r>
      <w:r w:rsidRPr="00B452E1">
        <w:rPr>
          <w:rFonts w:asciiTheme="minorBidi" w:hAnsiTheme="minorBidi"/>
          <w:sz w:val="24"/>
          <w:szCs w:val="24"/>
          <w:shd w:val="clear" w:color="auto" w:fill="FFFFFF"/>
        </w:rPr>
        <w:t>.</w:t>
      </w:r>
      <w:r w:rsidRPr="00721385">
        <w:rPr>
          <w:rFonts w:asciiTheme="minorBidi" w:hAnsiTheme="minorBidi"/>
          <w:sz w:val="24"/>
          <w:szCs w:val="24"/>
          <w:shd w:val="clear" w:color="auto" w:fill="FFFFFF"/>
        </w:rPr>
        <w:t xml:space="preserve"> </w:t>
      </w:r>
      <w:r w:rsidRPr="00CB0A51">
        <w:rPr>
          <w:rFonts w:asciiTheme="minorBidi" w:hAnsiTheme="minorBidi"/>
          <w:sz w:val="24"/>
          <w:szCs w:val="24"/>
          <w:shd w:val="clear" w:color="auto" w:fill="FFFFFF"/>
        </w:rPr>
        <w:t xml:space="preserve">Finding opportunities for pharmacist involvement in diabetes primary care management may be a way to develop the pharmacy profession in light of the Saudi </w:t>
      </w:r>
      <w:r>
        <w:rPr>
          <w:rFonts w:asciiTheme="minorBidi" w:hAnsiTheme="minorBidi"/>
          <w:sz w:val="24"/>
          <w:szCs w:val="24"/>
          <w:shd w:val="clear" w:color="auto" w:fill="FFFFFF"/>
        </w:rPr>
        <w:t>V</w:t>
      </w:r>
      <w:r w:rsidRPr="00CB0A51">
        <w:rPr>
          <w:rFonts w:asciiTheme="minorBidi" w:hAnsiTheme="minorBidi"/>
          <w:sz w:val="24"/>
          <w:szCs w:val="24"/>
          <w:shd w:val="clear" w:color="auto" w:fill="FFFFFF"/>
        </w:rPr>
        <w:t xml:space="preserve">ision 2030. </w:t>
      </w:r>
      <w:r w:rsidRPr="008850CE">
        <w:rPr>
          <w:rFonts w:asciiTheme="minorBidi" w:hAnsiTheme="minorBidi"/>
          <w:sz w:val="24"/>
          <w:szCs w:val="24"/>
          <w:shd w:val="clear" w:color="auto" w:fill="FFFFFF"/>
        </w:rPr>
        <w:t>Operating a pharmacy in every health centre might be impractical for higher authorities in term</w:t>
      </w:r>
      <w:r>
        <w:rPr>
          <w:rFonts w:asciiTheme="minorBidi" w:hAnsiTheme="minorBidi"/>
          <w:sz w:val="24"/>
          <w:szCs w:val="24"/>
          <w:shd w:val="clear" w:color="auto" w:fill="FFFFFF"/>
        </w:rPr>
        <w:t>s</w:t>
      </w:r>
      <w:r w:rsidRPr="008850CE">
        <w:rPr>
          <w:rFonts w:asciiTheme="minorBidi" w:hAnsiTheme="minorBidi"/>
          <w:sz w:val="24"/>
          <w:szCs w:val="24"/>
          <w:shd w:val="clear" w:color="auto" w:fill="FFFFFF"/>
        </w:rPr>
        <w:t xml:space="preserve"> of cost effectiveness because providing medicines to consumers</w:t>
      </w:r>
      <w:r>
        <w:rPr>
          <w:rFonts w:asciiTheme="minorBidi" w:hAnsiTheme="minorBidi"/>
          <w:sz w:val="24"/>
          <w:szCs w:val="24"/>
          <w:shd w:val="clear" w:color="auto" w:fill="FFFFFF"/>
        </w:rPr>
        <w:t xml:space="preserve"> require</w:t>
      </w:r>
      <w:r w:rsidRPr="008850CE">
        <w:rPr>
          <w:rFonts w:asciiTheme="minorBidi" w:hAnsiTheme="minorBidi"/>
          <w:sz w:val="24"/>
          <w:szCs w:val="24"/>
          <w:shd w:val="clear" w:color="auto" w:fill="FFFFFF"/>
        </w:rPr>
        <w:t>s many different resources a</w:t>
      </w:r>
      <w:r>
        <w:rPr>
          <w:rFonts w:asciiTheme="minorBidi" w:hAnsiTheme="minorBidi"/>
          <w:sz w:val="24"/>
          <w:szCs w:val="24"/>
          <w:shd w:val="clear" w:color="auto" w:fill="FFFFFF"/>
        </w:rPr>
        <w:t>nd</w:t>
      </w:r>
      <w:r w:rsidRPr="008850CE">
        <w:rPr>
          <w:rFonts w:asciiTheme="minorBidi" w:hAnsiTheme="minorBidi"/>
          <w:sz w:val="24"/>
          <w:szCs w:val="24"/>
          <w:shd w:val="clear" w:color="auto" w:fill="FFFFFF"/>
        </w:rPr>
        <w:t xml:space="preserve"> </w:t>
      </w:r>
      <w:r>
        <w:rPr>
          <w:rFonts w:asciiTheme="minorBidi" w:hAnsiTheme="minorBidi"/>
          <w:sz w:val="24"/>
          <w:szCs w:val="24"/>
          <w:shd w:val="clear" w:color="auto" w:fill="FFFFFF"/>
        </w:rPr>
        <w:t xml:space="preserve">entails </w:t>
      </w:r>
      <w:r w:rsidRPr="008850CE">
        <w:rPr>
          <w:rFonts w:asciiTheme="minorBidi" w:hAnsiTheme="minorBidi"/>
          <w:sz w:val="24"/>
          <w:szCs w:val="24"/>
          <w:shd w:val="clear" w:color="auto" w:fill="FFFFFF"/>
        </w:rPr>
        <w:t xml:space="preserve">a chain of processes. </w:t>
      </w:r>
      <w:r>
        <w:rPr>
          <w:rFonts w:asciiTheme="minorBidi" w:hAnsiTheme="minorBidi"/>
          <w:sz w:val="24"/>
          <w:szCs w:val="24"/>
          <w:shd w:val="clear" w:color="auto" w:fill="FFFFFF"/>
        </w:rPr>
        <w:t xml:space="preserve">As chapter two illustrated, </w:t>
      </w:r>
      <w:r w:rsidRPr="008850CE">
        <w:rPr>
          <w:rFonts w:asciiTheme="minorBidi" w:hAnsiTheme="minorBidi"/>
          <w:sz w:val="24"/>
          <w:szCs w:val="24"/>
          <w:shd w:val="clear" w:color="auto" w:fill="FFFFFF"/>
        </w:rPr>
        <w:t xml:space="preserve">literature </w:t>
      </w:r>
      <w:r>
        <w:rPr>
          <w:rFonts w:asciiTheme="minorBidi" w:hAnsiTheme="minorBidi"/>
          <w:sz w:val="24"/>
          <w:szCs w:val="24"/>
          <w:shd w:val="clear" w:color="auto" w:fill="FFFFFF"/>
        </w:rPr>
        <w:t xml:space="preserve">suggests </w:t>
      </w:r>
      <w:r w:rsidRPr="008850CE">
        <w:rPr>
          <w:rFonts w:asciiTheme="minorBidi" w:hAnsiTheme="minorBidi"/>
          <w:sz w:val="24"/>
          <w:szCs w:val="24"/>
          <w:shd w:val="clear" w:color="auto" w:fill="FFFFFF"/>
        </w:rPr>
        <w:t xml:space="preserve">that the Saudi </w:t>
      </w:r>
      <w:r>
        <w:rPr>
          <w:rFonts w:asciiTheme="minorBidi" w:hAnsiTheme="minorBidi"/>
          <w:sz w:val="24"/>
          <w:szCs w:val="24"/>
          <w:shd w:val="clear" w:color="auto" w:fill="FFFFFF"/>
        </w:rPr>
        <w:t>MoH</w:t>
      </w:r>
      <w:r w:rsidRPr="008850CE">
        <w:rPr>
          <w:rFonts w:asciiTheme="minorBidi" w:hAnsiTheme="minorBidi"/>
          <w:sz w:val="24"/>
          <w:szCs w:val="24"/>
          <w:shd w:val="clear" w:color="auto" w:fill="FFFFFF"/>
        </w:rPr>
        <w:t xml:space="preserve"> plans to privati</w:t>
      </w:r>
      <w:r>
        <w:rPr>
          <w:rFonts w:asciiTheme="minorBidi" w:hAnsiTheme="minorBidi"/>
          <w:sz w:val="24"/>
          <w:szCs w:val="24"/>
          <w:shd w:val="clear" w:color="auto" w:fill="FFFFFF"/>
        </w:rPr>
        <w:t>s</w:t>
      </w:r>
      <w:r w:rsidRPr="008850CE">
        <w:rPr>
          <w:rFonts w:asciiTheme="minorBidi" w:hAnsiTheme="minorBidi"/>
          <w:sz w:val="24"/>
          <w:szCs w:val="24"/>
          <w:shd w:val="clear" w:color="auto" w:fill="FFFFFF"/>
        </w:rPr>
        <w:t>e hospitals and health centres by 2030, with the stated aim of reducing government spending on health care services and enhancing the provision of these services (Sajjad and Qureshi, 2018</w:t>
      </w:r>
      <w:r>
        <w:rPr>
          <w:rFonts w:asciiTheme="minorBidi" w:hAnsiTheme="minorBidi"/>
          <w:sz w:val="24"/>
          <w:szCs w:val="24"/>
          <w:shd w:val="clear" w:color="auto" w:fill="FFFFFF"/>
        </w:rPr>
        <w:t xml:space="preserve">; </w:t>
      </w:r>
      <w:r>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{"citationItems":[{"id":"ITEM-1","itemData":{"abstract":"NTP 2020 is one of programs created to acheive Saudi Arabia’s Vision 2030","author":[{"dropping-particle":"","family":"Kingdom of Saudi Arabia","given":"","non-dropping-particle":"","parse-names":false,"suffix":""},{"dropping-particle":"","family":"Saudi Vision 2030","given":"","non-dropping-particle":"","parse-names":false,"suffix":""}],"container-title":"Saudi Vision 2030","id":"ITEM-1","issued":{"date-parts":[["2016"]]},"page":"1-57","title":"National transformation program 2020","type":"article-journal"},"uris":["http://www.mendeley.com/documents/?uuid=aa7efc00-61be-46e0-8e1f-c48dba94fdd6"]}],"mendeley":{"formattedCitation":"(Kingdom of Saudi Arabia and Saudi Vision 2030, 2016)","manualFormatting":"Kingdom of Saudi Arabia and Saudi Vision 2030, 2016)","plainTextFormattedCitation":"(Kingdom of Saudi Arabia and Saudi Vision 2030, 2016)","previouslyFormattedCitation":"(Kingdom of Saudi Arabia and Saudi Vision 2030, 2016)"},"properties":{"noteIndex":0},"schema":"https://github.com/citation-style-language/schema/raw/master/csl-citation.json"}</w:instrText>
      </w:r>
      <w:r>
        <w:rPr>
          <w:rFonts w:asciiTheme="minorBidi" w:hAnsiTheme="minorBidi"/>
          <w:sz w:val="24"/>
          <w:szCs w:val="24"/>
          <w:shd w:val="clear" w:color="auto" w:fill="FFFFFF"/>
        </w:rPr>
        <w:fldChar w:fldCharType="separate"/>
      </w:r>
      <w:r w:rsidRPr="003057AD">
        <w:rPr>
          <w:rFonts w:asciiTheme="minorBidi" w:hAnsiTheme="minorBidi"/>
          <w:noProof/>
          <w:sz w:val="24"/>
          <w:szCs w:val="24"/>
          <w:shd w:val="clear" w:color="auto" w:fill="FFFFFF"/>
        </w:rPr>
        <w:t>Kingdom of Saudi Arabia and Saudi Vision 2030, 2016)</w:t>
      </w:r>
      <w:r>
        <w:rPr>
          <w:rFonts w:asciiTheme="minorBidi" w:hAnsiTheme="minorBidi"/>
          <w:sz w:val="24"/>
          <w:szCs w:val="24"/>
          <w:shd w:val="clear" w:color="auto" w:fill="FFFFFF"/>
        </w:rPr>
        <w:fldChar w:fldCharType="end"/>
      </w:r>
      <w:r w:rsidRPr="008850CE">
        <w:rPr>
          <w:rFonts w:asciiTheme="minorBidi" w:hAnsiTheme="minorBidi"/>
          <w:sz w:val="24"/>
          <w:szCs w:val="24"/>
          <w:shd w:val="clear" w:color="auto" w:fill="FFFFFF"/>
        </w:rPr>
        <w:t>. The</w:t>
      </w:r>
      <w:r>
        <w:rPr>
          <w:rFonts w:asciiTheme="minorBidi" w:hAnsiTheme="minorBidi"/>
          <w:sz w:val="24"/>
          <w:szCs w:val="24"/>
          <w:shd w:val="clear" w:color="auto" w:fill="FFFFFF"/>
        </w:rPr>
        <w:t xml:space="preserve"> closure of </w:t>
      </w:r>
      <w:r w:rsidRPr="008850CE">
        <w:rPr>
          <w:rFonts w:asciiTheme="minorBidi" w:hAnsiTheme="minorBidi"/>
          <w:sz w:val="24"/>
          <w:szCs w:val="24"/>
          <w:shd w:val="clear" w:color="auto" w:fill="FFFFFF"/>
        </w:rPr>
        <w:t xml:space="preserve">pharmacies located in </w:t>
      </w:r>
      <w:r>
        <w:rPr>
          <w:rFonts w:asciiTheme="minorBidi" w:hAnsiTheme="minorBidi"/>
          <w:sz w:val="24"/>
          <w:szCs w:val="24"/>
          <w:shd w:val="clear" w:color="auto" w:fill="FFFFFF"/>
        </w:rPr>
        <w:t>PHCs</w:t>
      </w:r>
      <w:r w:rsidRPr="008850CE">
        <w:rPr>
          <w:rFonts w:asciiTheme="minorBidi" w:hAnsiTheme="minorBidi"/>
          <w:sz w:val="24"/>
          <w:szCs w:val="24"/>
          <w:shd w:val="clear" w:color="auto" w:fill="FFFFFF"/>
        </w:rPr>
        <w:t xml:space="preserve"> and forward</w:t>
      </w:r>
      <w:r>
        <w:rPr>
          <w:rFonts w:asciiTheme="minorBidi" w:hAnsiTheme="minorBidi"/>
          <w:sz w:val="24"/>
          <w:szCs w:val="24"/>
          <w:shd w:val="clear" w:color="auto" w:fill="FFFFFF"/>
        </w:rPr>
        <w:t>ing of</w:t>
      </w:r>
      <w:r w:rsidRPr="008850CE">
        <w:rPr>
          <w:rFonts w:asciiTheme="minorBidi" w:hAnsiTheme="minorBidi"/>
          <w:sz w:val="24"/>
          <w:szCs w:val="24"/>
          <w:shd w:val="clear" w:color="auto" w:fill="FFFFFF"/>
        </w:rPr>
        <w:t xml:space="preserve"> prescriptions to be dispensed through the retail community pharmacy </w:t>
      </w:r>
      <w:r>
        <w:rPr>
          <w:rFonts w:asciiTheme="minorBidi" w:hAnsiTheme="minorBidi"/>
          <w:sz w:val="24"/>
          <w:szCs w:val="24"/>
          <w:shd w:val="clear" w:color="auto" w:fill="FFFFFF"/>
        </w:rPr>
        <w:t>w</w:t>
      </w:r>
      <w:r w:rsidRPr="008850CE">
        <w:rPr>
          <w:rFonts w:asciiTheme="minorBidi" w:hAnsiTheme="minorBidi"/>
          <w:sz w:val="24"/>
          <w:szCs w:val="24"/>
          <w:shd w:val="clear" w:color="auto" w:fill="FFFFFF"/>
        </w:rPr>
        <w:t xml:space="preserve">as </w:t>
      </w:r>
      <w:r>
        <w:rPr>
          <w:rFonts w:asciiTheme="minorBidi" w:hAnsiTheme="minorBidi"/>
          <w:sz w:val="24"/>
          <w:szCs w:val="24"/>
          <w:shd w:val="clear" w:color="auto" w:fill="FFFFFF"/>
        </w:rPr>
        <w:t xml:space="preserve">part of a new and significant focus on </w:t>
      </w:r>
      <w:r w:rsidRPr="008850CE">
        <w:rPr>
          <w:rFonts w:asciiTheme="minorBidi" w:hAnsiTheme="minorBidi"/>
          <w:sz w:val="24"/>
          <w:szCs w:val="24"/>
          <w:shd w:val="clear" w:color="auto" w:fill="FFFFFF"/>
        </w:rPr>
        <w:t>private sector participation (Alomi, 2017</w:t>
      </w:r>
      <w:r>
        <w:rPr>
          <w:rFonts w:asciiTheme="minorBidi" w:hAnsiTheme="minorBidi"/>
          <w:sz w:val="24"/>
          <w:szCs w:val="24"/>
          <w:shd w:val="clear" w:color="auto" w:fill="FFFFFF"/>
        </w:rPr>
        <w:t xml:space="preserve"> and </w:t>
      </w:r>
      <w:r>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{"citationItems":[{"id":"ITEM-1","itemData":{"abstract":"NTP 2020 is one of programs created to acheive Saudi Arabia’s Vision 2030","author":[{"dropping-particle":"","family":"Kingdom of Saudi Arabia","given":"","non-dropping-particle":"","parse-names":false,"suffix":""},{"dropping-particle":"","family":"Saudi Vision 2030","given":"","non-dropping-particle":"","parse-names":false,"suffix":""}],"container-title":"Saudi Vision 2030","id":"ITEM-1","issued":{"date-parts":[["2016"]]},"page":"1-57","title":"National transformation program 2020","type":"article-journal"},"uris":["http://www.mendeley.com/documents/?uuid=aa7efc00-61be-46e0-8e1f-c48dba94fdd6"]}],"mendeley":{"formattedCitation":"(Kingdom of Saudi Arabia and Saudi Vision 2030, 2016)","manualFormatting":"Kingdom of Saudi Arabia and Saudi Vision 2030, 2016)","plainTextFormattedCitation":"(Kingdom of Saudi Arabia and Saudi Vision 2030, 2016)","previouslyFormattedCitation":"(Kingdom of Saudi Arabia and Saudi Vision 2030, 2016)"},"properties":{"noteIndex":0},"schema":"https://github.com/citation-style-language/schema/raw/master/csl-citation.json"}</w:instrText>
      </w:r>
      <w:r>
        <w:rPr>
          <w:rFonts w:asciiTheme="minorBidi" w:hAnsiTheme="minorBidi"/>
          <w:sz w:val="24"/>
          <w:szCs w:val="24"/>
          <w:shd w:val="clear" w:color="auto" w:fill="FFFFFF"/>
        </w:rPr>
        <w:fldChar w:fldCharType="separate"/>
      </w:r>
      <w:r w:rsidRPr="003057AD">
        <w:rPr>
          <w:rFonts w:asciiTheme="minorBidi" w:hAnsiTheme="minorBidi"/>
          <w:noProof/>
          <w:sz w:val="24"/>
          <w:szCs w:val="24"/>
          <w:shd w:val="clear" w:color="auto" w:fill="FFFFFF"/>
        </w:rPr>
        <w:t>Kingdom of Saudi Arabia and Saudi Vision 2030, 2016)</w:t>
      </w:r>
      <w:r>
        <w:rPr>
          <w:rFonts w:asciiTheme="minorBidi" w:hAnsiTheme="minorBidi"/>
          <w:sz w:val="24"/>
          <w:szCs w:val="24"/>
          <w:shd w:val="clear" w:color="auto" w:fill="FFFFFF"/>
        </w:rPr>
        <w:fldChar w:fldCharType="end"/>
      </w:r>
      <w:r w:rsidRPr="008850CE">
        <w:rPr>
          <w:rFonts w:asciiTheme="minorBidi" w:hAnsiTheme="minorBidi"/>
          <w:sz w:val="24"/>
          <w:szCs w:val="24"/>
          <w:shd w:val="clear" w:color="auto" w:fill="FFFFFF"/>
        </w:rPr>
        <w:t>.</w:t>
      </w:r>
      <w:r>
        <w:rPr>
          <w:rFonts w:asciiTheme="minorBidi" w:hAnsiTheme="minorBidi"/>
          <w:sz w:val="24"/>
          <w:szCs w:val="24"/>
          <w:shd w:val="clear" w:color="auto" w:fill="FFFFFF"/>
        </w:rPr>
        <w:t xml:space="preserve"> </w:t>
      </w:r>
    </w:p>
    <w:p w14:paraId="229C7C10" w14:textId="2925362E" w:rsidR="00F96DE6" w:rsidRPr="00C21A72" w:rsidRDefault="00A17CD2" w:rsidP="00F96DE6">
      <w:pPr>
        <w:spacing w:after="0" w:line="360" w:lineRule="auto"/>
        <w:jc w:val="both"/>
        <w:rPr>
          <w:rFonts w:asciiTheme="minorBidi" w:hAnsiTheme="minorBidi"/>
          <w:sz w:val="24"/>
          <w:szCs w:val="24"/>
          <w:shd w:val="clear" w:color="auto" w:fill="FFFFFF"/>
        </w:rPr>
      </w:pPr>
      <w:r w:rsidRPr="00E51ADF">
        <w:rPr>
          <w:rFonts w:asciiTheme="minorBidi" w:hAnsiTheme="minorBidi"/>
          <w:sz w:val="24"/>
          <w:szCs w:val="24"/>
          <w:shd w:val="clear" w:color="auto" w:fill="FFFFFF"/>
        </w:rPr>
        <w:t xml:space="preserve">In this case, there is a need </w:t>
      </w:r>
      <w:r>
        <w:rPr>
          <w:rFonts w:asciiTheme="minorBidi" w:hAnsiTheme="minorBidi"/>
          <w:sz w:val="24"/>
          <w:szCs w:val="24"/>
          <w:shd w:val="clear" w:color="auto" w:fill="FFFFFF"/>
        </w:rPr>
        <w:t xml:space="preserve">to consider </w:t>
      </w:r>
      <w:r w:rsidRPr="00E51ADF">
        <w:rPr>
          <w:rFonts w:asciiTheme="minorBidi" w:hAnsiTheme="minorBidi"/>
          <w:sz w:val="24"/>
          <w:szCs w:val="24"/>
          <w:shd w:val="clear" w:color="auto" w:fill="FFFFFF"/>
        </w:rPr>
        <w:t xml:space="preserve">value-based healthcare </w:t>
      </w:r>
      <w:r>
        <w:rPr>
          <w:rFonts w:asciiTheme="minorBidi" w:hAnsiTheme="minorBidi"/>
          <w:sz w:val="24"/>
          <w:szCs w:val="24"/>
          <w:shd w:val="clear" w:color="auto" w:fill="FFFFFF"/>
        </w:rPr>
        <w:t xml:space="preserve">that would </w:t>
      </w:r>
      <w:r w:rsidRPr="00E51ADF">
        <w:rPr>
          <w:rFonts w:asciiTheme="minorBidi" w:hAnsiTheme="minorBidi"/>
          <w:sz w:val="24"/>
          <w:szCs w:val="24"/>
          <w:shd w:val="clear" w:color="auto" w:fill="FFFFFF"/>
        </w:rPr>
        <w:t>optimise resource use and effectively reduce costs without affecting service quality and patient outcomes</w:t>
      </w:r>
      <w:r>
        <w:rPr>
          <w:rFonts w:asciiTheme="minorBidi" w:hAnsiTheme="minorBidi"/>
          <w:sz w:val="24"/>
          <w:szCs w:val="24"/>
          <w:shd w:val="clear" w:color="auto" w:fill="FFFFFF"/>
        </w:rPr>
        <w:t xml:space="preserve"> (</w:t>
      </w:r>
      <w:r w:rsidRPr="003B481D">
        <w:rPr>
          <w:rFonts w:asciiTheme="minorBidi" w:hAnsiTheme="minorBidi"/>
          <w:sz w:val="24"/>
          <w:szCs w:val="24"/>
          <w:shd w:val="clear" w:color="auto" w:fill="FFFFFF"/>
        </w:rPr>
        <w:t>CEBM, University of Oxford. April 2019)</w:t>
      </w:r>
      <w:r>
        <w:rPr>
          <w:rFonts w:asciiTheme="minorBidi" w:hAnsiTheme="minorBidi"/>
          <w:sz w:val="24"/>
          <w:szCs w:val="24"/>
          <w:shd w:val="clear" w:color="auto" w:fill="FFFFFF"/>
        </w:rPr>
        <w:t xml:space="preserve">. </w:t>
      </w:r>
      <w:r w:rsidRPr="00836EE9">
        <w:rPr>
          <w:rFonts w:asciiTheme="minorBidi" w:hAnsiTheme="minorBidi"/>
          <w:sz w:val="24"/>
          <w:szCs w:val="24"/>
          <w:shd w:val="clear" w:color="auto" w:fill="FFFFFF"/>
        </w:rPr>
        <w:t>The closure of pharmacies in PHCs suggests there may be under</w:t>
      </w:r>
      <w:r>
        <w:rPr>
          <w:rFonts w:asciiTheme="minorBidi" w:hAnsiTheme="minorBidi"/>
          <w:sz w:val="24"/>
          <w:szCs w:val="24"/>
          <w:shd w:val="clear" w:color="auto" w:fill="FFFFFF"/>
        </w:rPr>
        <w:t>-</w:t>
      </w:r>
      <w:r w:rsidRPr="00836EE9">
        <w:rPr>
          <w:rFonts w:asciiTheme="minorBidi" w:hAnsiTheme="minorBidi"/>
          <w:sz w:val="24"/>
          <w:szCs w:val="24"/>
          <w:shd w:val="clear" w:color="auto" w:fill="FFFFFF"/>
        </w:rPr>
        <w:t>utilised pharmacist</w:t>
      </w:r>
      <w:r>
        <w:rPr>
          <w:rFonts w:asciiTheme="minorBidi" w:hAnsiTheme="minorBidi"/>
          <w:sz w:val="24"/>
          <w:szCs w:val="24"/>
          <w:shd w:val="clear" w:color="auto" w:fill="FFFFFF"/>
        </w:rPr>
        <w:t>s</w:t>
      </w:r>
      <w:r w:rsidRPr="00836EE9">
        <w:rPr>
          <w:rFonts w:asciiTheme="minorBidi" w:hAnsiTheme="minorBidi"/>
          <w:sz w:val="24"/>
          <w:szCs w:val="24"/>
          <w:shd w:val="clear" w:color="auto" w:fill="FFFFFF"/>
        </w:rPr>
        <w:t xml:space="preserve"> available to undertake new roles. </w:t>
      </w:r>
      <w:r>
        <w:rPr>
          <w:rFonts w:asciiTheme="minorBidi" w:hAnsiTheme="minorBidi"/>
          <w:sz w:val="24"/>
          <w:szCs w:val="24"/>
          <w:shd w:val="clear" w:color="auto" w:fill="FFFFFF"/>
        </w:rPr>
        <w:t>Meanwhile, d</w:t>
      </w:r>
      <w:r w:rsidRPr="00836EE9">
        <w:rPr>
          <w:rFonts w:asciiTheme="minorBidi" w:hAnsiTheme="minorBidi"/>
          <w:sz w:val="24"/>
          <w:szCs w:val="24"/>
          <w:shd w:val="clear" w:color="auto" w:fill="FFFFFF"/>
        </w:rPr>
        <w:t xml:space="preserve">iabetes is one of the most </w:t>
      </w:r>
      <w:r>
        <w:rPr>
          <w:rFonts w:asciiTheme="minorBidi" w:hAnsiTheme="minorBidi"/>
          <w:sz w:val="24"/>
          <w:szCs w:val="24"/>
          <w:shd w:val="clear" w:color="auto" w:fill="FFFFFF"/>
        </w:rPr>
        <w:t>prevalent</w:t>
      </w:r>
      <w:r w:rsidRPr="00836EE9">
        <w:rPr>
          <w:rFonts w:asciiTheme="minorBidi" w:hAnsiTheme="minorBidi"/>
          <w:sz w:val="24"/>
          <w:szCs w:val="24"/>
          <w:shd w:val="clear" w:color="auto" w:fill="FFFFFF"/>
        </w:rPr>
        <w:t xml:space="preserve"> health issues and an economic burden</w:t>
      </w:r>
      <w:r>
        <w:rPr>
          <w:rFonts w:asciiTheme="minorBidi" w:hAnsiTheme="minorBidi"/>
          <w:sz w:val="24"/>
          <w:szCs w:val="24"/>
          <w:shd w:val="clear" w:color="auto" w:fill="FFFFFF"/>
        </w:rPr>
        <w:t xml:space="preserve"> i</w:t>
      </w:r>
      <w:r w:rsidRPr="00836EE9">
        <w:rPr>
          <w:rFonts w:asciiTheme="minorBidi" w:hAnsiTheme="minorBidi"/>
          <w:sz w:val="24"/>
          <w:szCs w:val="24"/>
          <w:shd w:val="clear" w:color="auto" w:fill="FFFFFF"/>
        </w:rPr>
        <w:t xml:space="preserve">n SA </w:t>
      </w:r>
      <w:r w:rsidRPr="00836EE9">
        <w:rPr>
          <w:rFonts w:asciiTheme="minorBidi" w:hAnsiTheme="minorBidi"/>
          <w:sz w:val="24"/>
          <w:szCs w:val="24"/>
          <w:shd w:val="clear" w:color="auto" w:fill="FFFFFF"/>
        </w:rPr>
        <w:fldChar w:fldCharType="begin" w:fldLock="1"/>
      </w:r>
      <w:r>
        <w:rPr>
          <w:rFonts w:asciiTheme="minorBidi" w:hAnsiTheme="minorBidi"/>
          <w:sz w:val="24"/>
          <w:szCs w:val="24"/>
          <w:shd w:val="clear" w:color="auto" w:fill="FFFFFF"/>
        </w:rPr>
        <w:instrText>ADDIN CSL_CITATION {"citationItems":[{"id":"ITEM-1","itemData":{"abstract":"The World Health Organization has ranked Saudi Arabia as having the second highest rate of diabetes in the Middle East (7 th highest in the world) with an estimated population of 7 million living with diabetes and more than 3 million with pre-diabetes. This presents a pressing public health problem. Several challenges in diabetes management need to be tackled in Saudi Arabia, including the growing prevalence (chiefly among children and young adults), micro-and macrovascular complications , lifestyle changes, late diagnosis, poor awareness and high treatment costs. Over the last two decades , the Saudi population saw an increase in the expenses in healthcare and treatment of diabetes by by more than 500%. In 2014, the health care budget was 180 billion (Saudi Riyal) of which 17 billion was spent on all Saudis, with an approximate 25 billion on the entire Saudi diabetic population. This implies that the direct expense of diabetes is costing Saudi Arabia around 13.9% of the total health expenditure. Therefore, unless a comprehensive epidemic control program/multidisciplinary approach is stringently enforced, the diabetes mellitus burden on Saudi Arabia will probably increase to very serious levels. It is crucial to implement improved health and health-related quality of life of to those with diabetes, thus minimizing the social and personal expenses for diabetes care in Saudi Arabia. In this study we discuss the significant and major threats posed by diabetes mellitus to the Saudi population and recommend essential possible solutions to delay/prevent this formidable issue.","author":[{"dropping-particle":"","family":"Robert","given":"Asirvatham Alwin","non-dropping-particle":"","parse-names":false,"suffix":""},{"dropping-particle":"","family":"Abdulaziz Al Dawish","given":"Mohamed","non-dropping-particle":"","parse-names":false,"suffix":""},{"dropping-particle":"","family":"Braham","given":"Rim","non-dropping-particle":"","parse-names":false,"suffix":""},{"dropping-particle":"","family":"Ali Musallam","given":"Maha","non-dropping-particle":"","parse-names":false,"suffix":""},{"dropping-particle":"","family":"Abdullah Al Hayek","given":"Ayman","non-dropping-particle":"","parse-names":false,"suffix":""},{"dropping-particle":"","family":"Hazza Al Kahtany","given":"Nasser","non-dropping-particle":"","parse-names":false,"suffix":""}],"container-title":"Bentham Science Publishers","id":"ITEM-1","issued":{"date-parts":[["2016"]]},"title":"Type 2 Diabetes Mellitus in Saudi Arabia: Major Challenges and Possible Solutions","type":"article-journal"},"uris":["http://www.mendeley.com/documents/?uuid=51ebfa95-993d-389e-8716-96403897a3c3"]}],"mendeley":{"formattedCitation":"(Robert &lt;i&gt;et al.&lt;/i&gt;, 2016)","plainTextFormattedCitation":"(Robert et al., 2016)","previouslyFormattedCitation":"(Robert &lt;i&gt;et al.&lt;/i&gt;, 2016)"},"properties":{"noteIndex":0},"schema":"https://github.com/citation-style-language/schema/raw/master/csl-citation.json"}</w:instrText>
      </w:r>
      <w:r w:rsidRPr="00836EE9">
        <w:rPr>
          <w:rFonts w:asciiTheme="minorBidi" w:hAnsiTheme="minorBidi"/>
          <w:sz w:val="24"/>
          <w:szCs w:val="24"/>
          <w:shd w:val="clear" w:color="auto" w:fill="FFFFFF"/>
        </w:rPr>
        <w:fldChar w:fldCharType="separate"/>
      </w:r>
      <w:r w:rsidRPr="00836EE9">
        <w:rPr>
          <w:rFonts w:asciiTheme="minorBidi" w:hAnsiTheme="minorBidi"/>
          <w:noProof/>
          <w:sz w:val="24"/>
          <w:szCs w:val="24"/>
          <w:shd w:val="clear" w:color="auto" w:fill="FFFFFF"/>
        </w:rPr>
        <w:t>(Robert et al., 2016)</w:t>
      </w:r>
      <w:r w:rsidRPr="00836EE9">
        <w:rPr>
          <w:rFonts w:asciiTheme="minorBidi" w:hAnsiTheme="minorBidi"/>
          <w:sz w:val="24"/>
          <w:szCs w:val="24"/>
          <w:shd w:val="clear" w:color="auto" w:fill="FFFFFF"/>
        </w:rPr>
        <w:fldChar w:fldCharType="end"/>
      </w:r>
      <w:r w:rsidRPr="00836EE9">
        <w:rPr>
          <w:rFonts w:asciiTheme="minorBidi" w:hAnsiTheme="minorBidi"/>
          <w:sz w:val="24"/>
          <w:szCs w:val="24"/>
          <w:shd w:val="clear" w:color="auto" w:fill="FFFFFF"/>
        </w:rPr>
        <w:t xml:space="preserve">. </w:t>
      </w:r>
      <w:r w:rsidRPr="00655774">
        <w:rPr>
          <w:rFonts w:asciiTheme="minorBidi" w:hAnsiTheme="minorBidi"/>
          <w:sz w:val="24"/>
          <w:szCs w:val="24"/>
          <w:shd w:val="clear" w:color="auto" w:fill="FFFFFF"/>
        </w:rPr>
        <w:t>This study revealed the need for a pharmacist to be part of the diabetes primary care management team.</w:t>
      </w:r>
      <w:r>
        <w:rPr>
          <w:rFonts w:asciiTheme="minorBidi" w:hAnsiTheme="minorBidi"/>
          <w:sz w:val="24"/>
          <w:szCs w:val="24"/>
          <w:shd w:val="clear" w:color="auto" w:fill="FFFFFF"/>
        </w:rPr>
        <w:t xml:space="preserve"> Therefore, </w:t>
      </w:r>
      <w:r w:rsidRPr="00532D89">
        <w:rPr>
          <w:rFonts w:asciiTheme="minorBidi" w:hAnsiTheme="minorBidi"/>
          <w:sz w:val="24"/>
          <w:szCs w:val="24"/>
          <w:shd w:val="clear" w:color="auto" w:fill="FFFFFF"/>
        </w:rPr>
        <w:t xml:space="preserve">investing in the pharmacy resources available in PHCs to optimise diabetes care should be considered, as the findings of this research </w:t>
      </w:r>
      <w:r>
        <w:rPr>
          <w:rFonts w:asciiTheme="minorBidi" w:hAnsiTheme="minorBidi"/>
          <w:sz w:val="24"/>
          <w:szCs w:val="24"/>
          <w:shd w:val="clear" w:color="auto" w:fill="FFFFFF"/>
        </w:rPr>
        <w:t>suggests</w:t>
      </w:r>
      <w:r w:rsidRPr="00532D89">
        <w:rPr>
          <w:rFonts w:asciiTheme="minorBidi" w:hAnsiTheme="minorBidi"/>
          <w:sz w:val="24"/>
          <w:szCs w:val="24"/>
          <w:shd w:val="clear" w:color="auto" w:fill="FFFFFF"/>
        </w:rPr>
        <w:t xml:space="preserve"> that pharmacists involved in diabetes care brought benefits to patients and HCPs when they were integrated into PHCs.</w:t>
      </w:r>
      <w:r w:rsidR="00F96DE6">
        <w:rPr>
          <w:rFonts w:asciiTheme="minorBidi" w:hAnsiTheme="minorBidi"/>
          <w:sz w:val="24"/>
          <w:szCs w:val="24"/>
          <w:shd w:val="clear" w:color="auto" w:fill="FFFFFF"/>
        </w:rPr>
        <w:t xml:space="preserve"> </w:t>
      </w:r>
      <w:r w:rsidR="00F96DE6" w:rsidRPr="00C21A72">
        <w:rPr>
          <w:rFonts w:asciiTheme="minorBidi" w:hAnsiTheme="minorBidi"/>
          <w:sz w:val="24"/>
          <w:szCs w:val="24"/>
          <w:shd w:val="clear" w:color="auto" w:fill="FFFFFF"/>
        </w:rPr>
        <w:t xml:space="preserve">However, to gain benefits from pharmacist interventions, their interventions should be effectively implemented in routine practice. Previous research has focused mainly on the effectiveness of clinical interventions and not on their implementation in practice. Therefore, a focus on implementation may be needed to bridge the gap between developing effective healthcare interventions and their integration into routine practice. This approach supports the ideas of Bawab et al. (2023), who stated, "Implementation science has been developed to reduce the gap between the development of effective health care interventions and their integration into routine practice." </w:t>
      </w:r>
      <w:r w:rsidR="00F96DE6" w:rsidRPr="00C21A72">
        <w:rPr>
          <w:rFonts w:asciiTheme="minorBidi" w:hAnsiTheme="minorBidi"/>
          <w:sz w:val="24"/>
          <w:szCs w:val="24"/>
          <w:shd w:val="clear" w:color="auto" w:fill="FFFFFF"/>
        </w:rPr>
        <w:fldChar w:fldCharType="begin" w:fldLock="1"/>
      </w:r>
      <w:r w:rsidR="00F96DE6" w:rsidRPr="00C21A72">
        <w:rPr>
          <w:rFonts w:asciiTheme="minorBidi" w:hAnsiTheme="minorBidi"/>
          <w:sz w:val="24"/>
          <w:szCs w:val="24"/>
          <w:shd w:val="clear" w:color="auto" w:fill="FFFFFF"/>
        </w:rPr>
        <w:instrText>ADDIN CSL_CITATION {"citationItems":[{"id":"ITEM-1","itemData":{"DOI":"10.1097/ceh.0000000000000466","ISBN":"0000000000000","ISSN":"0894-1912","PMID":"36877813","author":[{"dropping-particle":"","family":"Bawab","given":"Noura","non-dropping-particle":"","parse-names":false,"suffix":""},{"dropping-particle":"","family":"Moullin","given":"Joanna","non-dropping-particle":"","parse-names":false,"suffix":""},{"dropping-particle":"","family":"Jotterand","given":"Sébastien","non-dropping-particle":"","parse-names":false,"suffix":""},{"dropping-particle":"","family":"Rossier","given":"Christophe","non-dropping-particle":"","parse-names":false,"suffix":""},{"dropping-particle":"","family":"Schneider","given":"Marie-Paule","non-dropping-particle":"","parse-names":false,"suffix":""},{"dropping-particle":"","family":"Perraudin","given":"Clémence","non-dropping-particle":"","parse-names":false,"suffix":""}],"container-title":"Journal of Continuing Education in the Health Professions","id":"ITEM-1","issue":"2","issued":{"date-parts":[["2023"]]},"page":"77-86","title":"Building Interprofessional Collaborative Practices Through a Support Program for Patients With Type 2 Diabetes in Primary Care","type":"article-journal","volume":"Publish Ah"},"uris":["http://www.mendeley.com/documents/?uuid=ccf49918-2d21-41b6-b591-6e98ccaaefad"]}],"mendeley":{"formattedCitation":"(Bawab &lt;i&gt;et al.&lt;/i&gt;, 2023)","plainTextFormattedCitation":"(Bawab et al., 2023)","previouslyFormattedCitation":"(Bawab &lt;i&gt;et al.&lt;/i&gt;, 2023)"},"properties":{"noteIndex":0},"schema":"https://github.com/citation-style-language/schema/raw/master/csl-citation.json"}</w:instrText>
      </w:r>
      <w:r w:rsidR="00F96DE6" w:rsidRPr="00C21A72">
        <w:rPr>
          <w:rFonts w:asciiTheme="minorBidi" w:hAnsiTheme="minorBidi"/>
          <w:sz w:val="24"/>
          <w:szCs w:val="24"/>
          <w:shd w:val="clear" w:color="auto" w:fill="FFFFFF"/>
        </w:rPr>
        <w:fldChar w:fldCharType="separate"/>
      </w:r>
      <w:r w:rsidR="00F96DE6" w:rsidRPr="00C21A72">
        <w:rPr>
          <w:rFonts w:asciiTheme="minorBidi" w:hAnsiTheme="minorBidi"/>
          <w:noProof/>
          <w:sz w:val="24"/>
          <w:szCs w:val="24"/>
          <w:shd w:val="clear" w:color="auto" w:fill="FFFFFF"/>
        </w:rPr>
        <w:t xml:space="preserve">(Bawab </w:t>
      </w:r>
      <w:r w:rsidR="00F96DE6" w:rsidRPr="00C21A72">
        <w:rPr>
          <w:rFonts w:asciiTheme="minorBidi" w:hAnsiTheme="minorBidi"/>
          <w:i/>
          <w:noProof/>
          <w:sz w:val="24"/>
          <w:szCs w:val="24"/>
          <w:shd w:val="clear" w:color="auto" w:fill="FFFFFF"/>
        </w:rPr>
        <w:t>et al.</w:t>
      </w:r>
      <w:r w:rsidR="00F96DE6" w:rsidRPr="00C21A72">
        <w:rPr>
          <w:rFonts w:asciiTheme="minorBidi" w:hAnsiTheme="minorBidi"/>
          <w:noProof/>
          <w:sz w:val="24"/>
          <w:szCs w:val="24"/>
          <w:shd w:val="clear" w:color="auto" w:fill="FFFFFF"/>
        </w:rPr>
        <w:t>, 2023)</w:t>
      </w:r>
      <w:r w:rsidR="00F96DE6" w:rsidRPr="00C21A72">
        <w:rPr>
          <w:rFonts w:asciiTheme="minorBidi" w:hAnsiTheme="minorBidi"/>
          <w:sz w:val="24"/>
          <w:szCs w:val="24"/>
          <w:shd w:val="clear" w:color="auto" w:fill="FFFFFF"/>
        </w:rPr>
        <w:fldChar w:fldCharType="end"/>
      </w:r>
      <w:r w:rsidR="00F96DE6" w:rsidRPr="00C21A72">
        <w:rPr>
          <w:rFonts w:asciiTheme="minorBidi" w:hAnsiTheme="minorBidi"/>
          <w:sz w:val="24"/>
          <w:szCs w:val="24"/>
          <w:shd w:val="clear" w:color="auto" w:fill="FFFFFF"/>
        </w:rPr>
        <w:t>.</w:t>
      </w:r>
    </w:p>
    <w:p w14:paraId="2EE2ECCC" w14:textId="77777777" w:rsidR="00FF65A9" w:rsidRDefault="00FF65A9" w:rsidP="00A17CD2">
      <w:pPr>
        <w:spacing w:after="0" w:line="360" w:lineRule="auto"/>
        <w:jc w:val="both"/>
        <w:rPr>
          <w:rFonts w:asciiTheme="minorBidi" w:hAnsiTheme="minorBidi"/>
          <w:color w:val="70AD47" w:themeColor="accent6"/>
          <w:sz w:val="24"/>
          <w:szCs w:val="24"/>
          <w:shd w:val="clear" w:color="auto" w:fill="FFFFFF"/>
        </w:rPr>
        <w:sectPr w:rsidR="00FF65A9">
          <w:pgSz w:w="12240" w:h="15840"/>
          <w:pgMar w:top="1440" w:right="1440" w:bottom="1440" w:left="1440" w:header="720" w:footer="720" w:gutter="0"/>
          <w:cols w:space="720"/>
          <w:docGrid w:linePitch="360"/>
        </w:sectPr>
      </w:pPr>
    </w:p>
    <w:p w14:paraId="0666EFB5" w14:textId="2CE523DB" w:rsidR="006A179A" w:rsidRDefault="006A179A" w:rsidP="006A179A">
      <w:pPr>
        <w:pStyle w:val="Caption"/>
        <w:rPr>
          <w:sz w:val="20"/>
          <w:szCs w:val="20"/>
        </w:rPr>
      </w:pPr>
      <w:bookmarkStart w:id="281" w:name="_Ref124817264"/>
      <w:bookmarkStart w:id="282" w:name="_Toc153894586"/>
      <w:r w:rsidRPr="003A1F7E">
        <w:rPr>
          <w:sz w:val="20"/>
          <w:szCs w:val="20"/>
        </w:rPr>
        <w:t xml:space="preserve">Table </w:t>
      </w:r>
      <w:r w:rsidRPr="003A1F7E">
        <w:rPr>
          <w:sz w:val="20"/>
          <w:szCs w:val="20"/>
        </w:rPr>
        <w:fldChar w:fldCharType="begin"/>
      </w:r>
      <w:r w:rsidRPr="003A1F7E">
        <w:rPr>
          <w:sz w:val="20"/>
          <w:szCs w:val="20"/>
        </w:rPr>
        <w:instrText xml:space="preserve"> SEQ Table \* ARABIC </w:instrText>
      </w:r>
      <w:r w:rsidRPr="003A1F7E">
        <w:rPr>
          <w:sz w:val="20"/>
          <w:szCs w:val="20"/>
        </w:rPr>
        <w:fldChar w:fldCharType="separate"/>
      </w:r>
      <w:r w:rsidR="009B31EB">
        <w:rPr>
          <w:noProof/>
          <w:sz w:val="20"/>
          <w:szCs w:val="20"/>
        </w:rPr>
        <w:t>32</w:t>
      </w:r>
      <w:r w:rsidRPr="003A1F7E">
        <w:rPr>
          <w:noProof/>
          <w:sz w:val="20"/>
          <w:szCs w:val="20"/>
        </w:rPr>
        <w:fldChar w:fldCharType="end"/>
      </w:r>
      <w:bookmarkEnd w:id="281"/>
      <w:r w:rsidRPr="003A1F7E">
        <w:rPr>
          <w:sz w:val="20"/>
          <w:szCs w:val="20"/>
        </w:rPr>
        <w:t xml:space="preserve">: </w:t>
      </w:r>
      <w:r>
        <w:rPr>
          <w:sz w:val="20"/>
          <w:szCs w:val="20"/>
        </w:rPr>
        <w:t>Integrating of f</w:t>
      </w:r>
      <w:r w:rsidRPr="003A1F7E">
        <w:rPr>
          <w:sz w:val="20"/>
          <w:szCs w:val="20"/>
        </w:rPr>
        <w:t>acilitators to pharmacists’ involvement in diabetes primary care management</w:t>
      </w:r>
      <w:bookmarkEnd w:id="282"/>
    </w:p>
    <w:tbl>
      <w:tblPr>
        <w:tblW w:w="14310" w:type="dxa"/>
        <w:tblInd w:w="-815" w:type="dxa"/>
        <w:tblLook w:val="04A0" w:firstRow="1" w:lastRow="0" w:firstColumn="1" w:lastColumn="0" w:noHBand="0" w:noVBand="1"/>
      </w:tblPr>
      <w:tblGrid>
        <w:gridCol w:w="2070"/>
        <w:gridCol w:w="2790"/>
        <w:gridCol w:w="5220"/>
        <w:gridCol w:w="4230"/>
      </w:tblGrid>
      <w:tr w:rsidR="006A179A" w:rsidRPr="0043376E" w14:paraId="0B6C13A0" w14:textId="77777777" w:rsidTr="00282204">
        <w:trPr>
          <w:trHeight w:val="520"/>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3606AF86" w14:textId="77777777" w:rsidR="006A179A" w:rsidRPr="0043376E" w:rsidRDefault="006A179A" w:rsidP="00282204">
            <w:pPr>
              <w:spacing w:after="0" w:line="240" w:lineRule="auto"/>
              <w:rPr>
                <w:rFonts w:ascii="Calibri" w:eastAsia="Times New Roman" w:hAnsi="Calibri" w:cs="Calibri"/>
                <w:color w:val="000000"/>
                <w:sz w:val="20"/>
                <w:szCs w:val="20"/>
              </w:rPr>
            </w:pPr>
            <w:r w:rsidRPr="0043376E">
              <w:rPr>
                <w:rFonts w:ascii="Calibri" w:eastAsia="Times New Roman" w:hAnsi="Calibri" w:cs="Calibri"/>
                <w:color w:val="000000"/>
                <w:sz w:val="20"/>
                <w:szCs w:val="20"/>
                <w:lang w:val="en-GB"/>
              </w:rPr>
              <w:t>Research question</w:t>
            </w:r>
          </w:p>
        </w:tc>
        <w:tc>
          <w:tcPr>
            <w:tcW w:w="2790" w:type="dxa"/>
            <w:tcBorders>
              <w:top w:val="single" w:sz="4" w:space="0" w:color="auto"/>
              <w:left w:val="nil"/>
              <w:bottom w:val="single" w:sz="4" w:space="0" w:color="auto"/>
              <w:right w:val="single" w:sz="4" w:space="0" w:color="auto"/>
            </w:tcBorders>
            <w:shd w:val="clear" w:color="auto" w:fill="auto"/>
            <w:hideMark/>
          </w:tcPr>
          <w:p w14:paraId="39886712" w14:textId="77777777" w:rsidR="006A179A" w:rsidRPr="0043376E" w:rsidRDefault="006A179A" w:rsidP="00282204">
            <w:pPr>
              <w:spacing w:after="0" w:line="240" w:lineRule="auto"/>
              <w:rPr>
                <w:rFonts w:ascii="Calibri" w:eastAsia="Times New Roman" w:hAnsi="Calibri" w:cs="Calibri"/>
                <w:color w:val="000000"/>
                <w:sz w:val="20"/>
                <w:szCs w:val="20"/>
              </w:rPr>
            </w:pPr>
            <w:r w:rsidRPr="0043376E">
              <w:rPr>
                <w:rFonts w:ascii="Calibri" w:eastAsia="Times New Roman" w:hAnsi="Calibri" w:cs="Calibri"/>
                <w:color w:val="000000"/>
                <w:sz w:val="20"/>
                <w:szCs w:val="20"/>
                <w:lang w:val="en-GB"/>
              </w:rPr>
              <w:t>Survey</w:t>
            </w:r>
          </w:p>
        </w:tc>
        <w:tc>
          <w:tcPr>
            <w:tcW w:w="5220" w:type="dxa"/>
            <w:tcBorders>
              <w:top w:val="single" w:sz="4" w:space="0" w:color="auto"/>
              <w:left w:val="nil"/>
              <w:bottom w:val="single" w:sz="4" w:space="0" w:color="auto"/>
              <w:right w:val="single" w:sz="4" w:space="0" w:color="auto"/>
            </w:tcBorders>
            <w:shd w:val="clear" w:color="auto" w:fill="auto"/>
            <w:hideMark/>
          </w:tcPr>
          <w:p w14:paraId="40E6EAA4" w14:textId="77777777" w:rsidR="006A179A" w:rsidRPr="0043376E" w:rsidRDefault="006A179A" w:rsidP="00282204">
            <w:pPr>
              <w:spacing w:after="0" w:line="240" w:lineRule="auto"/>
              <w:rPr>
                <w:rFonts w:ascii="Calibri" w:eastAsia="Times New Roman" w:hAnsi="Calibri" w:cs="Calibri"/>
                <w:color w:val="000000"/>
                <w:sz w:val="20"/>
                <w:szCs w:val="20"/>
              </w:rPr>
            </w:pPr>
            <w:r w:rsidRPr="0043376E">
              <w:rPr>
                <w:rFonts w:ascii="Calibri" w:eastAsia="Times New Roman" w:hAnsi="Calibri" w:cs="Calibri"/>
                <w:color w:val="000000"/>
                <w:sz w:val="20"/>
                <w:szCs w:val="20"/>
                <w:lang w:val="en-GB"/>
              </w:rPr>
              <w:t>Interviews</w:t>
            </w:r>
          </w:p>
        </w:tc>
        <w:tc>
          <w:tcPr>
            <w:tcW w:w="4230" w:type="dxa"/>
            <w:tcBorders>
              <w:top w:val="single" w:sz="4" w:space="0" w:color="auto"/>
              <w:left w:val="nil"/>
              <w:bottom w:val="single" w:sz="4" w:space="0" w:color="auto"/>
              <w:right w:val="single" w:sz="4" w:space="0" w:color="auto"/>
            </w:tcBorders>
            <w:shd w:val="clear" w:color="auto" w:fill="auto"/>
            <w:hideMark/>
          </w:tcPr>
          <w:p w14:paraId="75C46BE4" w14:textId="77777777" w:rsidR="006A179A" w:rsidRPr="0043376E" w:rsidRDefault="006A179A" w:rsidP="00282204">
            <w:pPr>
              <w:spacing w:after="0" w:line="240" w:lineRule="auto"/>
              <w:rPr>
                <w:rFonts w:ascii="Calibri" w:eastAsia="Times New Roman" w:hAnsi="Calibri" w:cs="Calibri"/>
                <w:color w:val="000000"/>
                <w:sz w:val="20"/>
                <w:szCs w:val="20"/>
              </w:rPr>
            </w:pPr>
            <w:r w:rsidRPr="0043376E">
              <w:rPr>
                <w:rFonts w:ascii="Calibri" w:eastAsia="Times New Roman" w:hAnsi="Calibri" w:cs="Calibri"/>
                <w:color w:val="000000"/>
                <w:sz w:val="20"/>
                <w:szCs w:val="20"/>
                <w:lang w:val="en-GB"/>
              </w:rPr>
              <w:t xml:space="preserve">Integration </w:t>
            </w:r>
          </w:p>
        </w:tc>
      </w:tr>
      <w:tr w:rsidR="006A179A" w:rsidRPr="00337E42" w14:paraId="4838338A" w14:textId="77777777" w:rsidTr="00282204">
        <w:trPr>
          <w:trHeight w:val="3950"/>
        </w:trPr>
        <w:tc>
          <w:tcPr>
            <w:tcW w:w="2070" w:type="dxa"/>
            <w:tcBorders>
              <w:top w:val="nil"/>
              <w:left w:val="single" w:sz="4" w:space="0" w:color="auto"/>
              <w:bottom w:val="single" w:sz="4" w:space="0" w:color="auto"/>
              <w:right w:val="single" w:sz="4" w:space="0" w:color="auto"/>
            </w:tcBorders>
            <w:shd w:val="clear" w:color="auto" w:fill="auto"/>
            <w:hideMark/>
          </w:tcPr>
          <w:p w14:paraId="4C399619" w14:textId="77777777" w:rsidR="006A179A" w:rsidRPr="0043376E" w:rsidRDefault="006A179A" w:rsidP="00282204">
            <w:pPr>
              <w:spacing w:after="0" w:line="240" w:lineRule="auto"/>
              <w:rPr>
                <w:rFonts w:ascii="Calibri" w:eastAsia="Times New Roman" w:hAnsi="Calibri" w:cs="Calibri"/>
                <w:color w:val="000000"/>
                <w:sz w:val="20"/>
                <w:szCs w:val="20"/>
              </w:rPr>
            </w:pPr>
            <w:r w:rsidRPr="0043376E">
              <w:rPr>
                <w:rFonts w:ascii="Calibri" w:eastAsia="Times New Roman" w:hAnsi="Calibri" w:cs="Calibri"/>
                <w:color w:val="000000"/>
                <w:sz w:val="20"/>
                <w:szCs w:val="20"/>
              </w:rPr>
              <w:t xml:space="preserve">What are the perceived barriers and facilitators to primary care pharmacists being involved in diabetes care in Saudi Arabia? </w:t>
            </w:r>
          </w:p>
        </w:tc>
        <w:tc>
          <w:tcPr>
            <w:tcW w:w="2790" w:type="dxa"/>
            <w:tcBorders>
              <w:top w:val="nil"/>
              <w:left w:val="nil"/>
              <w:bottom w:val="single" w:sz="4" w:space="0" w:color="auto"/>
              <w:right w:val="single" w:sz="4" w:space="0" w:color="auto"/>
            </w:tcBorders>
            <w:shd w:val="clear" w:color="auto" w:fill="auto"/>
            <w:hideMark/>
          </w:tcPr>
          <w:p w14:paraId="58402708" w14:textId="77777777" w:rsidR="006A179A" w:rsidRPr="00E30498" w:rsidRDefault="006A179A" w:rsidP="00282204">
            <w:pPr>
              <w:spacing w:after="0" w:line="240" w:lineRule="auto"/>
              <w:rPr>
                <w:rFonts w:ascii="Calibri" w:eastAsia="Times New Roman" w:hAnsi="Calibri" w:cs="Calibri"/>
                <w:sz w:val="20"/>
                <w:szCs w:val="20"/>
              </w:rPr>
            </w:pPr>
            <w:r>
              <w:rPr>
                <w:rFonts w:ascii="Calibri" w:eastAsia="Times New Roman" w:hAnsi="Calibri" w:cs="Calibri"/>
                <w:sz w:val="20"/>
                <w:szCs w:val="20"/>
              </w:rPr>
              <w:t>-</w:t>
            </w:r>
            <w:r w:rsidRPr="00E30498">
              <w:rPr>
                <w:rFonts w:ascii="Calibri" w:eastAsia="Times New Roman" w:hAnsi="Calibri" w:cs="Calibri"/>
                <w:sz w:val="20"/>
                <w:szCs w:val="20"/>
              </w:rPr>
              <w:t xml:space="preserve">Barriers related to policymakers' and managers' attitudes towards pharmacists' roles in diabetes management were agreed </w:t>
            </w:r>
            <w:r>
              <w:rPr>
                <w:rFonts w:ascii="Calibri" w:eastAsia="Times New Roman" w:hAnsi="Calibri" w:cs="Calibri"/>
                <w:sz w:val="20"/>
                <w:szCs w:val="20"/>
              </w:rPr>
              <w:t xml:space="preserve">less </w:t>
            </w:r>
            <w:r w:rsidRPr="00E30498">
              <w:rPr>
                <w:rFonts w:ascii="Calibri" w:eastAsia="Times New Roman" w:hAnsi="Calibri" w:cs="Calibri"/>
                <w:sz w:val="20"/>
                <w:szCs w:val="20"/>
              </w:rPr>
              <w:t xml:space="preserve">upon by doctors compared to other professional groups. </w:t>
            </w:r>
          </w:p>
          <w:p w14:paraId="3026319A" w14:textId="77777777" w:rsidR="006A179A" w:rsidRDefault="006A179A" w:rsidP="00282204">
            <w:pPr>
              <w:spacing w:after="0" w:line="240" w:lineRule="auto"/>
              <w:rPr>
                <w:rFonts w:ascii="Calibri" w:eastAsia="Times New Roman" w:hAnsi="Calibri" w:cs="Calibri"/>
                <w:sz w:val="20"/>
                <w:szCs w:val="20"/>
              </w:rPr>
            </w:pPr>
            <w:r w:rsidRPr="00E30498">
              <w:rPr>
                <w:rFonts w:ascii="Calibri" w:eastAsia="Times New Roman" w:hAnsi="Calibri" w:cs="Calibri"/>
                <w:sz w:val="20"/>
                <w:szCs w:val="20"/>
              </w:rPr>
              <w:br/>
              <w:t xml:space="preserve">-The barrier of </w:t>
            </w:r>
            <w:r>
              <w:rPr>
                <w:rFonts w:ascii="Calibri" w:eastAsia="Times New Roman" w:hAnsi="Calibri" w:cs="Calibri"/>
                <w:sz w:val="20"/>
                <w:szCs w:val="20"/>
              </w:rPr>
              <w:t>l</w:t>
            </w:r>
            <w:r w:rsidRPr="00E30498">
              <w:rPr>
                <w:rFonts w:ascii="Calibri" w:eastAsia="Times New Roman" w:hAnsi="Calibri" w:cs="Calibri"/>
                <w:sz w:val="20"/>
                <w:szCs w:val="20"/>
              </w:rPr>
              <w:t xml:space="preserve">ack of </w:t>
            </w:r>
            <w:r>
              <w:rPr>
                <w:rFonts w:ascii="Calibri" w:eastAsia="Times New Roman" w:hAnsi="Calibri" w:cs="Calibri"/>
                <w:sz w:val="20"/>
                <w:szCs w:val="20"/>
              </w:rPr>
              <w:t>HCP</w:t>
            </w:r>
            <w:r w:rsidRPr="00E30498">
              <w:rPr>
                <w:rFonts w:ascii="Calibri" w:eastAsia="Times New Roman" w:hAnsi="Calibri" w:cs="Calibri"/>
                <w:sz w:val="20"/>
                <w:szCs w:val="20"/>
              </w:rPr>
              <w:t>s’ confidence in pharmacists’ abilities also obtained a lower doctors’ agreement than other groups.</w:t>
            </w:r>
          </w:p>
          <w:p w14:paraId="4449B6AA" w14:textId="77777777" w:rsidR="006A179A" w:rsidRDefault="006A179A" w:rsidP="00282204">
            <w:pPr>
              <w:spacing w:after="0" w:line="240" w:lineRule="auto"/>
              <w:rPr>
                <w:rFonts w:ascii="Calibri" w:eastAsia="Times New Roman" w:hAnsi="Calibri" w:cs="Calibri"/>
                <w:sz w:val="20"/>
                <w:szCs w:val="20"/>
              </w:rPr>
            </w:pPr>
          </w:p>
          <w:p w14:paraId="5AF169CE" w14:textId="77777777" w:rsidR="006A179A" w:rsidRPr="0043376E" w:rsidRDefault="006A179A" w:rsidP="00282204">
            <w:pPr>
              <w:spacing w:after="0" w:line="240" w:lineRule="auto"/>
              <w:rPr>
                <w:rFonts w:ascii="Calibri" w:eastAsia="Times New Roman" w:hAnsi="Calibri" w:cs="Calibri"/>
                <w:color w:val="32363A"/>
                <w:sz w:val="20"/>
                <w:szCs w:val="20"/>
              </w:rPr>
            </w:pPr>
            <w:r>
              <w:rPr>
                <w:rFonts w:ascii="Calibri" w:eastAsia="Times New Roman" w:hAnsi="Calibri" w:cs="Calibri"/>
                <w:sz w:val="20"/>
                <w:szCs w:val="20"/>
              </w:rPr>
              <w:t>-T</w:t>
            </w:r>
            <w:r w:rsidRPr="005C5AEB">
              <w:rPr>
                <w:rFonts w:ascii="Calibri" w:eastAsia="Times New Roman" w:hAnsi="Calibri" w:cs="Calibri"/>
                <w:sz w:val="20"/>
                <w:szCs w:val="20"/>
              </w:rPr>
              <w:t>he lowest level of agreement on the barrier related to patients' attitudes toward pharmacist’s role</w:t>
            </w:r>
            <w:r>
              <w:rPr>
                <w:rFonts w:ascii="Calibri" w:eastAsia="Times New Roman" w:hAnsi="Calibri" w:cs="Calibri"/>
                <w:sz w:val="20"/>
                <w:szCs w:val="20"/>
              </w:rPr>
              <w:t>.</w:t>
            </w:r>
            <w:r>
              <w:rPr>
                <w:rFonts w:asciiTheme="minorBidi" w:eastAsia="Times New Roman" w:hAnsiTheme="minorBidi"/>
                <w:color w:val="32363A"/>
                <w:sz w:val="24"/>
                <w:szCs w:val="24"/>
                <w:shd w:val="clear" w:color="auto" w:fill="FFFFFF"/>
              </w:rPr>
              <w:t xml:space="preserve"> </w:t>
            </w:r>
            <w:r w:rsidRPr="00CD3119">
              <w:rPr>
                <w:rFonts w:asciiTheme="minorBidi" w:eastAsia="Times New Roman" w:hAnsiTheme="minorBidi"/>
                <w:color w:val="32363A"/>
                <w:sz w:val="24"/>
                <w:szCs w:val="24"/>
                <w:shd w:val="clear" w:color="auto" w:fill="FFFFFF"/>
              </w:rPr>
              <w:t xml:space="preserve"> </w:t>
            </w:r>
          </w:p>
        </w:tc>
        <w:tc>
          <w:tcPr>
            <w:tcW w:w="5220" w:type="dxa"/>
            <w:tcBorders>
              <w:top w:val="nil"/>
              <w:left w:val="nil"/>
              <w:bottom w:val="single" w:sz="4" w:space="0" w:color="auto"/>
              <w:right w:val="single" w:sz="4" w:space="0" w:color="auto"/>
            </w:tcBorders>
            <w:shd w:val="clear" w:color="auto" w:fill="auto"/>
            <w:hideMark/>
          </w:tcPr>
          <w:p w14:paraId="7A74D9B3" w14:textId="77777777" w:rsidR="006A179A" w:rsidRDefault="006A179A" w:rsidP="00282204">
            <w:pPr>
              <w:spacing w:line="240" w:lineRule="auto"/>
              <w:rPr>
                <w:rFonts w:ascii="Calibri" w:eastAsia="Times New Roman" w:hAnsi="Calibri" w:cs="Calibri"/>
                <w:color w:val="1F3864" w:themeColor="accent1" w:themeShade="80"/>
                <w:sz w:val="20"/>
                <w:szCs w:val="20"/>
              </w:rPr>
            </w:pPr>
            <w:r w:rsidRPr="005D439D">
              <w:rPr>
                <w:rFonts w:ascii="Calibri" w:eastAsia="Times New Roman" w:hAnsi="Calibri" w:cs="Calibri"/>
                <w:color w:val="1F3864" w:themeColor="accent1" w:themeShade="80"/>
                <w:sz w:val="20"/>
                <w:szCs w:val="20"/>
              </w:rPr>
              <w:t>Saudi Vision 2030</w:t>
            </w:r>
          </w:p>
          <w:p w14:paraId="6FD0AE5F" w14:textId="77777777" w:rsidR="006A179A" w:rsidRDefault="006A179A" w:rsidP="00282204">
            <w:pPr>
              <w:spacing w:line="240" w:lineRule="auto"/>
              <w:jc w:val="both"/>
              <w:rPr>
                <w:rFonts w:ascii="Calibri" w:eastAsia="Times New Roman" w:hAnsi="Calibri" w:cs="Calibri"/>
                <w:sz w:val="20"/>
                <w:szCs w:val="20"/>
              </w:rPr>
            </w:pPr>
            <w:r>
              <w:rPr>
                <w:rFonts w:ascii="Calibri" w:eastAsia="Times New Roman" w:hAnsi="Calibri" w:cs="Calibri"/>
                <w:sz w:val="20"/>
                <w:szCs w:val="20"/>
              </w:rPr>
              <w:t>T</w:t>
            </w:r>
            <w:r w:rsidRPr="0055156A">
              <w:rPr>
                <w:rFonts w:ascii="Calibri" w:eastAsia="Times New Roman" w:hAnsi="Calibri" w:cs="Calibri"/>
                <w:sz w:val="20"/>
                <w:szCs w:val="20"/>
              </w:rPr>
              <w:t xml:space="preserve">he most dynamic factor </w:t>
            </w:r>
            <w:r>
              <w:rPr>
                <w:rFonts w:ascii="Calibri" w:eastAsia="Times New Roman" w:hAnsi="Calibri" w:cs="Calibri"/>
                <w:sz w:val="20"/>
                <w:szCs w:val="20"/>
              </w:rPr>
              <w:t xml:space="preserve">found was </w:t>
            </w:r>
            <w:r w:rsidRPr="0055156A">
              <w:rPr>
                <w:rFonts w:ascii="Calibri" w:eastAsia="Times New Roman" w:hAnsi="Calibri" w:cs="Calibri"/>
                <w:sz w:val="20"/>
                <w:szCs w:val="20"/>
              </w:rPr>
              <w:t>the Saudi Vision 2030.</w:t>
            </w:r>
            <w:r>
              <w:rPr>
                <w:rFonts w:ascii="Calibri" w:eastAsia="Times New Roman" w:hAnsi="Calibri" w:cs="Calibri"/>
                <w:sz w:val="20"/>
                <w:szCs w:val="20"/>
              </w:rPr>
              <w:t xml:space="preserve"> </w:t>
            </w:r>
            <w:r w:rsidRPr="0055156A">
              <w:rPr>
                <w:rFonts w:ascii="Calibri" w:eastAsia="Times New Roman" w:hAnsi="Calibri" w:cs="Calibri"/>
                <w:sz w:val="20"/>
                <w:szCs w:val="20"/>
              </w:rPr>
              <w:t xml:space="preserve">With </w:t>
            </w:r>
            <w:r>
              <w:rPr>
                <w:rFonts w:ascii="Calibri" w:eastAsia="Times New Roman" w:hAnsi="Calibri" w:cs="Calibri"/>
                <w:sz w:val="20"/>
                <w:szCs w:val="20"/>
              </w:rPr>
              <w:t>this</w:t>
            </w:r>
            <w:r w:rsidRPr="0055156A">
              <w:rPr>
                <w:rFonts w:ascii="Calibri" w:eastAsia="Times New Roman" w:hAnsi="Calibri" w:cs="Calibri"/>
                <w:sz w:val="20"/>
                <w:szCs w:val="20"/>
              </w:rPr>
              <w:t xml:space="preserve"> vision, the goals of pharmaceutical care in primary healthcare settings have changed dramatically</w:t>
            </w:r>
            <w:r>
              <w:rPr>
                <w:rFonts w:ascii="Calibri" w:eastAsia="Times New Roman" w:hAnsi="Calibri" w:cs="Calibri"/>
                <w:sz w:val="20"/>
                <w:szCs w:val="20"/>
              </w:rPr>
              <w:t xml:space="preserve"> from traditional (dispensing based) practice to patient centered practice. </w:t>
            </w:r>
          </w:p>
          <w:p w14:paraId="33BE6694" w14:textId="77777777" w:rsidR="006A179A" w:rsidRPr="00C17862" w:rsidRDefault="006A179A" w:rsidP="00282204">
            <w:pPr>
              <w:spacing w:line="240" w:lineRule="auto"/>
              <w:rPr>
                <w:color w:val="1F3864" w:themeColor="accent1" w:themeShade="80"/>
                <w:sz w:val="20"/>
                <w:szCs w:val="20"/>
              </w:rPr>
            </w:pPr>
            <w:r w:rsidRPr="00C17862">
              <w:rPr>
                <w:color w:val="1F3864" w:themeColor="accent1" w:themeShade="80"/>
                <w:sz w:val="20"/>
                <w:szCs w:val="20"/>
              </w:rPr>
              <w:t xml:space="preserve">Prioritising pharmaceutical care services in primary care settings: Services needed in PHCs </w:t>
            </w:r>
          </w:p>
          <w:p w14:paraId="2A71FD2E" w14:textId="77777777" w:rsidR="006A179A" w:rsidRPr="00C17862" w:rsidRDefault="006A179A" w:rsidP="00282204">
            <w:pPr>
              <w:spacing w:line="240" w:lineRule="auto"/>
              <w:rPr>
                <w:color w:val="1F3864" w:themeColor="accent1" w:themeShade="80"/>
              </w:rPr>
            </w:pPr>
            <w:r w:rsidRPr="0043376E">
              <w:rPr>
                <w:rFonts w:ascii="Calibri" w:eastAsia="Times New Roman" w:hAnsi="Calibri" w:cs="Calibri"/>
                <w:color w:val="000000"/>
                <w:sz w:val="20"/>
                <w:szCs w:val="20"/>
              </w:rPr>
              <w:t xml:space="preserve">Essential pharmaceutical care services, such as </w:t>
            </w:r>
            <w:r>
              <w:rPr>
                <w:rFonts w:ascii="Calibri" w:eastAsia="Times New Roman" w:hAnsi="Calibri" w:cs="Calibri"/>
                <w:color w:val="000000"/>
                <w:sz w:val="20"/>
                <w:szCs w:val="20"/>
              </w:rPr>
              <w:t>MR</w:t>
            </w:r>
            <w:r w:rsidRPr="0043376E">
              <w:rPr>
                <w:rFonts w:ascii="Calibri" w:eastAsia="Times New Roman" w:hAnsi="Calibri" w:cs="Calibri"/>
                <w:color w:val="000000"/>
                <w:sz w:val="20"/>
                <w:szCs w:val="20"/>
              </w:rPr>
              <w:t>, medication consultation, and patient education, are urgently needed</w:t>
            </w:r>
            <w:r>
              <w:rPr>
                <w:rFonts w:ascii="Calibri" w:eastAsia="Times New Roman" w:hAnsi="Calibri" w:cs="Calibri"/>
                <w:color w:val="000000"/>
                <w:sz w:val="20"/>
                <w:szCs w:val="20"/>
              </w:rPr>
              <w:t xml:space="preserve"> in PHC</w:t>
            </w:r>
            <w:r w:rsidRPr="0043376E">
              <w:rPr>
                <w:rFonts w:ascii="Calibri" w:eastAsia="Times New Roman" w:hAnsi="Calibri" w:cs="Calibri"/>
                <w:color w:val="000000"/>
                <w:sz w:val="20"/>
                <w:szCs w:val="20"/>
              </w:rPr>
              <w:t xml:space="preserve">. </w:t>
            </w:r>
          </w:p>
          <w:p w14:paraId="720A9723" w14:textId="77777777" w:rsidR="006A179A" w:rsidRDefault="006A179A" w:rsidP="00282204">
            <w:pPr>
              <w:spacing w:line="240" w:lineRule="auto"/>
              <w:rPr>
                <w:color w:val="1F3864" w:themeColor="accent1" w:themeShade="80"/>
                <w:sz w:val="20"/>
                <w:szCs w:val="20"/>
              </w:rPr>
            </w:pPr>
            <w:r w:rsidRPr="00BD09A4">
              <w:rPr>
                <w:color w:val="1F3864" w:themeColor="accent1" w:themeShade="80"/>
                <w:sz w:val="20"/>
                <w:szCs w:val="20"/>
              </w:rPr>
              <w:t xml:space="preserve">A need for a </w:t>
            </w:r>
            <w:r>
              <w:rPr>
                <w:color w:val="1F3864" w:themeColor="accent1" w:themeShade="80"/>
                <w:sz w:val="20"/>
                <w:szCs w:val="20"/>
              </w:rPr>
              <w:t>MDT</w:t>
            </w:r>
            <w:r w:rsidRPr="00BD09A4">
              <w:rPr>
                <w:color w:val="1F3864" w:themeColor="accent1" w:themeShade="80"/>
                <w:sz w:val="20"/>
                <w:szCs w:val="20"/>
              </w:rPr>
              <w:t xml:space="preserve"> to develop care plans for chronic patients</w:t>
            </w:r>
          </w:p>
          <w:p w14:paraId="1B551A38" w14:textId="77777777" w:rsidR="006A179A" w:rsidRPr="006C07EA" w:rsidRDefault="006A179A" w:rsidP="00282204">
            <w:pPr>
              <w:spacing w:line="240" w:lineRule="auto"/>
              <w:rPr>
                <w:color w:val="1F3864" w:themeColor="accent1" w:themeShade="80"/>
                <w:sz w:val="20"/>
                <w:szCs w:val="20"/>
              </w:rPr>
            </w:pPr>
            <w:r w:rsidRPr="0043376E">
              <w:rPr>
                <w:rFonts w:ascii="Calibri" w:eastAsia="Times New Roman" w:hAnsi="Calibri" w:cs="Calibri"/>
                <w:color w:val="000000"/>
                <w:sz w:val="20"/>
                <w:szCs w:val="20"/>
              </w:rPr>
              <w:t xml:space="preserve">Most participants were concerned that the meaning of </w:t>
            </w:r>
            <w:r>
              <w:rPr>
                <w:rFonts w:ascii="Calibri" w:eastAsia="Times New Roman" w:hAnsi="Calibri" w:cs="Calibri"/>
                <w:color w:val="000000"/>
                <w:sz w:val="20"/>
                <w:szCs w:val="20"/>
              </w:rPr>
              <w:t>MDT</w:t>
            </w:r>
            <w:r w:rsidRPr="0043376E">
              <w:rPr>
                <w:rFonts w:ascii="Calibri" w:eastAsia="Times New Roman" w:hAnsi="Calibri" w:cs="Calibri"/>
                <w:color w:val="000000"/>
                <w:sz w:val="20"/>
                <w:szCs w:val="20"/>
              </w:rPr>
              <w:t xml:space="preserve">-based practice had been lost by </w:t>
            </w:r>
            <w:r>
              <w:rPr>
                <w:rFonts w:ascii="Calibri" w:eastAsia="Times New Roman" w:hAnsi="Calibri" w:cs="Calibri"/>
                <w:color w:val="000000"/>
                <w:sz w:val="20"/>
                <w:szCs w:val="20"/>
              </w:rPr>
              <w:t>re</w:t>
            </w:r>
            <w:r w:rsidRPr="0043376E">
              <w:rPr>
                <w:rFonts w:ascii="Calibri" w:eastAsia="Times New Roman" w:hAnsi="Calibri" w:cs="Calibri"/>
                <w:color w:val="000000"/>
                <w:sz w:val="20"/>
                <w:szCs w:val="20"/>
              </w:rPr>
              <w:t xml:space="preserve">moving pharmacists from PHCs. </w:t>
            </w:r>
          </w:p>
          <w:p w14:paraId="2ADB9D9A" w14:textId="77777777" w:rsidR="006A179A" w:rsidRDefault="006A179A" w:rsidP="00282204">
            <w:pPr>
              <w:spacing w:line="240" w:lineRule="auto"/>
              <w:rPr>
                <w:color w:val="1F3864" w:themeColor="accent1" w:themeShade="80"/>
                <w:sz w:val="20"/>
                <w:szCs w:val="20"/>
                <w:lang w:val="en-GB" w:eastAsia="en-GB"/>
              </w:rPr>
            </w:pPr>
            <w:r w:rsidRPr="00DA6B65">
              <w:rPr>
                <w:color w:val="1F3864" w:themeColor="accent1" w:themeShade="80"/>
                <w:sz w:val="20"/>
                <w:szCs w:val="20"/>
                <w:lang w:val="en-GB" w:eastAsia="en-GB"/>
              </w:rPr>
              <w:t xml:space="preserve">Desire of primary </w:t>
            </w:r>
            <w:r>
              <w:rPr>
                <w:color w:val="1F3864" w:themeColor="accent1" w:themeShade="80"/>
                <w:sz w:val="20"/>
                <w:szCs w:val="20"/>
                <w:lang w:val="en-GB" w:eastAsia="en-GB"/>
              </w:rPr>
              <w:t>HCPs</w:t>
            </w:r>
            <w:r w:rsidRPr="00DA6B65">
              <w:rPr>
                <w:color w:val="1F3864" w:themeColor="accent1" w:themeShade="80"/>
                <w:sz w:val="20"/>
                <w:szCs w:val="20"/>
                <w:lang w:val="en-GB" w:eastAsia="en-GB"/>
              </w:rPr>
              <w:t xml:space="preserve"> to have a pharmacist on their team</w:t>
            </w:r>
            <w:r>
              <w:rPr>
                <w:color w:val="1F3864" w:themeColor="accent1" w:themeShade="80"/>
                <w:sz w:val="20"/>
                <w:szCs w:val="20"/>
                <w:lang w:val="en-GB" w:eastAsia="en-GB"/>
              </w:rPr>
              <w:t>.</w:t>
            </w:r>
          </w:p>
          <w:p w14:paraId="4639ECD2" w14:textId="77777777" w:rsidR="006A179A" w:rsidRPr="007B0620" w:rsidRDefault="006A179A" w:rsidP="00282204">
            <w:pPr>
              <w:spacing w:line="240" w:lineRule="auto"/>
              <w:rPr>
                <w:color w:val="1F3864" w:themeColor="accent1" w:themeShade="80"/>
                <w:sz w:val="20"/>
                <w:szCs w:val="20"/>
                <w:lang w:val="en-GB" w:eastAsia="en-GB"/>
              </w:rPr>
            </w:pPr>
            <w:r>
              <w:rPr>
                <w:rFonts w:ascii="Calibri" w:eastAsia="Times New Roman" w:hAnsi="Calibri" w:cs="Calibri"/>
                <w:color w:val="000000"/>
                <w:sz w:val="20"/>
                <w:szCs w:val="20"/>
              </w:rPr>
              <w:t>An interesting</w:t>
            </w:r>
            <w:r w:rsidRPr="0043376E">
              <w:rPr>
                <w:rFonts w:ascii="Calibri" w:eastAsia="Times New Roman" w:hAnsi="Calibri" w:cs="Calibri"/>
                <w:color w:val="000000"/>
                <w:sz w:val="20"/>
                <w:szCs w:val="20"/>
              </w:rPr>
              <w:t xml:space="preserve"> finding is that the doctors and nurses interviewed indicated a strong need for a qualified pharmacist to be referred to in medication consultations. </w:t>
            </w:r>
          </w:p>
          <w:p w14:paraId="373EFFE4" w14:textId="77777777" w:rsidR="006A179A" w:rsidRDefault="006A179A" w:rsidP="00282204">
            <w:pPr>
              <w:spacing w:line="240" w:lineRule="auto"/>
              <w:rPr>
                <w:color w:val="1F3864" w:themeColor="accent1" w:themeShade="80"/>
                <w:sz w:val="20"/>
                <w:szCs w:val="20"/>
              </w:rPr>
            </w:pPr>
            <w:r w:rsidRPr="00DA6B65">
              <w:rPr>
                <w:color w:val="1F3864" w:themeColor="accent1" w:themeShade="80"/>
                <w:sz w:val="20"/>
                <w:szCs w:val="20"/>
              </w:rPr>
              <w:t>Pharmacists' willingness to take new roles and provide clinical services</w:t>
            </w:r>
          </w:p>
          <w:p w14:paraId="06EBB23C" w14:textId="77777777" w:rsidR="006A179A" w:rsidRPr="00372F8E" w:rsidRDefault="006A179A" w:rsidP="00282204">
            <w:pPr>
              <w:spacing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w:t>
            </w:r>
            <w:r w:rsidRPr="0043376E">
              <w:rPr>
                <w:rFonts w:ascii="Calibri" w:eastAsia="Times New Roman" w:hAnsi="Calibri" w:cs="Calibri"/>
                <w:color w:val="000000"/>
                <w:sz w:val="20"/>
                <w:szCs w:val="20"/>
              </w:rPr>
              <w:t xml:space="preserve">All pharmacists interviewed </w:t>
            </w:r>
            <w:r w:rsidRPr="00D107E8">
              <w:rPr>
                <w:rFonts w:ascii="Calibri" w:eastAsia="Times New Roman" w:hAnsi="Calibri" w:cs="Calibri"/>
                <w:color w:val="000000"/>
                <w:sz w:val="20"/>
                <w:szCs w:val="20"/>
              </w:rPr>
              <w:t>were satisfied with their work in PHCs</w:t>
            </w:r>
            <w:r>
              <w:rPr>
                <w:rFonts w:ascii="Calibri" w:eastAsia="Times New Roman" w:hAnsi="Calibri" w:cs="Calibri"/>
                <w:color w:val="000000"/>
                <w:sz w:val="20"/>
                <w:szCs w:val="20"/>
              </w:rPr>
              <w:t xml:space="preserve">. </w:t>
            </w:r>
            <w:r w:rsidRPr="000B21E8">
              <w:rPr>
                <w:rFonts w:ascii="Calibri" w:eastAsia="Times New Roman" w:hAnsi="Calibri" w:cs="Calibri"/>
                <w:color w:val="000000"/>
                <w:sz w:val="20"/>
                <w:szCs w:val="20"/>
              </w:rPr>
              <w:t>After the service for dispensing of prescriptions from PHCs was stopped, advanced pharmaceutical care services</w:t>
            </w:r>
            <w:r>
              <w:rPr>
                <w:rFonts w:ascii="Calibri" w:eastAsia="Times New Roman" w:hAnsi="Calibri" w:cs="Calibri"/>
                <w:color w:val="000000"/>
                <w:sz w:val="20"/>
                <w:szCs w:val="20"/>
              </w:rPr>
              <w:t xml:space="preserve"> were expected to be provided.</w:t>
            </w:r>
          </w:p>
          <w:p w14:paraId="1B216A90" w14:textId="77777777" w:rsidR="006A179A" w:rsidRPr="00F407F6" w:rsidRDefault="006A179A" w:rsidP="00282204">
            <w:pPr>
              <w:spacing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w:t>
            </w:r>
            <w:r w:rsidRPr="0043376E">
              <w:rPr>
                <w:rFonts w:ascii="Calibri" w:eastAsia="Times New Roman" w:hAnsi="Calibri" w:cs="Calibri"/>
                <w:color w:val="000000"/>
                <w:sz w:val="20"/>
                <w:szCs w:val="20"/>
              </w:rPr>
              <w:t xml:space="preserve">harmacists believe that their chances of participating in the management of patients with chronic diseases, including diabetes, are better </w:t>
            </w:r>
            <w:r>
              <w:rPr>
                <w:rFonts w:ascii="Calibri" w:eastAsia="Times New Roman" w:hAnsi="Calibri" w:cs="Calibri"/>
                <w:color w:val="000000"/>
                <w:sz w:val="20"/>
                <w:szCs w:val="20"/>
              </w:rPr>
              <w:t xml:space="preserve">in PHCs </w:t>
            </w:r>
            <w:r w:rsidRPr="0043376E">
              <w:rPr>
                <w:rFonts w:ascii="Calibri" w:eastAsia="Times New Roman" w:hAnsi="Calibri" w:cs="Calibri"/>
                <w:color w:val="000000"/>
                <w:sz w:val="20"/>
                <w:szCs w:val="20"/>
              </w:rPr>
              <w:t>than those in the hospital</w:t>
            </w:r>
            <w:r>
              <w:rPr>
                <w:rFonts w:ascii="Calibri" w:eastAsia="Times New Roman" w:hAnsi="Calibri" w:cs="Calibri"/>
                <w:color w:val="000000"/>
                <w:sz w:val="20"/>
                <w:szCs w:val="20"/>
              </w:rPr>
              <w:t xml:space="preserve"> because PHCs target this population. </w:t>
            </w:r>
            <w:r w:rsidRPr="0043376E">
              <w:rPr>
                <w:rFonts w:ascii="Calibri" w:eastAsia="Times New Roman" w:hAnsi="Calibri" w:cs="Calibri"/>
                <w:color w:val="000000"/>
                <w:sz w:val="20"/>
                <w:szCs w:val="20"/>
              </w:rPr>
              <w:t xml:space="preserve"> </w:t>
            </w:r>
          </w:p>
          <w:p w14:paraId="6C01C3B7" w14:textId="77777777" w:rsidR="006A179A" w:rsidRDefault="006A179A" w:rsidP="00282204">
            <w:pPr>
              <w:spacing w:line="240" w:lineRule="auto"/>
              <w:rPr>
                <w:color w:val="1F3864" w:themeColor="accent1" w:themeShade="80"/>
                <w:sz w:val="20"/>
                <w:szCs w:val="20"/>
              </w:rPr>
            </w:pPr>
            <w:r w:rsidRPr="00EF2A4A">
              <w:rPr>
                <w:color w:val="1F3864" w:themeColor="accent1" w:themeShade="80"/>
                <w:sz w:val="20"/>
                <w:szCs w:val="20"/>
              </w:rPr>
              <w:t xml:space="preserve">Simulation of advanced pharmacy practice applied in other regions of </w:t>
            </w:r>
            <w:r>
              <w:rPr>
                <w:color w:val="1F3864" w:themeColor="accent1" w:themeShade="80"/>
                <w:sz w:val="20"/>
                <w:szCs w:val="20"/>
              </w:rPr>
              <w:t>SA</w:t>
            </w:r>
          </w:p>
          <w:p w14:paraId="1ABE4688" w14:textId="77777777" w:rsidR="006A179A" w:rsidRPr="00FF67CD" w:rsidRDefault="006A179A" w:rsidP="00282204">
            <w:pPr>
              <w:spacing w:line="240" w:lineRule="auto"/>
              <w:rPr>
                <w:rFonts w:ascii="Calibri" w:eastAsia="Times New Roman" w:hAnsi="Calibri" w:cs="Calibri"/>
                <w:color w:val="000000"/>
                <w:sz w:val="20"/>
                <w:szCs w:val="20"/>
              </w:rPr>
            </w:pPr>
            <w:r w:rsidRPr="00FF67CD">
              <w:rPr>
                <w:rFonts w:ascii="Calibri" w:eastAsia="Times New Roman" w:hAnsi="Calibri" w:cs="Calibri"/>
                <w:color w:val="000000"/>
                <w:sz w:val="20"/>
                <w:szCs w:val="20"/>
              </w:rPr>
              <w:t>The development and expansion of pharmaceutical services at the primary care level are necessary to align with the development of pharmaceutical services in specialised health institutions such as tertiary hospitals.</w:t>
            </w:r>
          </w:p>
          <w:p w14:paraId="10A49D69" w14:textId="77777777" w:rsidR="006A179A" w:rsidRPr="00C61C92" w:rsidRDefault="006A179A" w:rsidP="00282204">
            <w:pPr>
              <w:spacing w:line="240" w:lineRule="auto"/>
              <w:rPr>
                <w:color w:val="1F3864" w:themeColor="accent1" w:themeShade="80"/>
                <w:sz w:val="20"/>
                <w:szCs w:val="20"/>
              </w:rPr>
            </w:pPr>
            <w:r w:rsidRPr="00C61C92">
              <w:rPr>
                <w:color w:val="1F3864" w:themeColor="accent1" w:themeShade="80"/>
                <w:sz w:val="20"/>
                <w:szCs w:val="20"/>
              </w:rPr>
              <w:t xml:space="preserve">Digitising </w:t>
            </w:r>
            <w:r>
              <w:rPr>
                <w:color w:val="1F3864" w:themeColor="accent1" w:themeShade="80"/>
                <w:sz w:val="20"/>
                <w:szCs w:val="20"/>
              </w:rPr>
              <w:t>the h</w:t>
            </w:r>
            <w:r w:rsidRPr="00C61C92">
              <w:rPr>
                <w:color w:val="1F3864" w:themeColor="accent1" w:themeShade="80"/>
                <w:sz w:val="20"/>
                <w:szCs w:val="20"/>
              </w:rPr>
              <w:t xml:space="preserve">ealthcare </w:t>
            </w:r>
            <w:r>
              <w:rPr>
                <w:color w:val="1F3864" w:themeColor="accent1" w:themeShade="80"/>
                <w:sz w:val="20"/>
                <w:szCs w:val="20"/>
              </w:rPr>
              <w:t>s</w:t>
            </w:r>
            <w:r w:rsidRPr="00C61C92">
              <w:rPr>
                <w:color w:val="1F3864" w:themeColor="accent1" w:themeShade="80"/>
                <w:sz w:val="20"/>
                <w:szCs w:val="20"/>
              </w:rPr>
              <w:t>ystem</w:t>
            </w:r>
            <w:r>
              <w:rPr>
                <w:color w:val="1F3864" w:themeColor="accent1" w:themeShade="80"/>
                <w:sz w:val="20"/>
                <w:szCs w:val="20"/>
              </w:rPr>
              <w:t xml:space="preserve"> of the Saudi MoH </w:t>
            </w:r>
          </w:p>
          <w:p w14:paraId="16377BFF" w14:textId="77777777" w:rsidR="006A179A" w:rsidRPr="007B0620" w:rsidRDefault="006A179A" w:rsidP="00282204">
            <w:pPr>
              <w:spacing w:line="240" w:lineRule="auto"/>
              <w:rPr>
                <w:rFonts w:asciiTheme="minorBidi" w:eastAsiaTheme="minorEastAsia" w:hAnsiTheme="minorBidi"/>
                <w:sz w:val="24"/>
                <w:szCs w:val="24"/>
                <w:lang w:val="en-GB" w:eastAsia="en-GB"/>
              </w:rPr>
            </w:pPr>
            <w:r w:rsidRPr="0043376E">
              <w:rPr>
                <w:rFonts w:ascii="Calibri" w:eastAsia="Times New Roman" w:hAnsi="Calibri" w:cs="Calibri"/>
                <w:color w:val="000000"/>
                <w:sz w:val="20"/>
                <w:szCs w:val="20"/>
              </w:rPr>
              <w:t>The impact of the introduction of the electronic system on the health care system in facilitating pharmacists work to actively participate in patient care and safety.</w:t>
            </w:r>
          </w:p>
        </w:tc>
        <w:tc>
          <w:tcPr>
            <w:tcW w:w="4230" w:type="dxa"/>
            <w:tcBorders>
              <w:top w:val="nil"/>
              <w:left w:val="nil"/>
              <w:bottom w:val="single" w:sz="4" w:space="0" w:color="auto"/>
              <w:right w:val="single" w:sz="4" w:space="0" w:color="auto"/>
            </w:tcBorders>
            <w:shd w:val="clear" w:color="auto" w:fill="auto"/>
            <w:hideMark/>
          </w:tcPr>
          <w:p w14:paraId="699C979D" w14:textId="77777777" w:rsidR="006A179A" w:rsidRDefault="006A179A" w:rsidP="00282204">
            <w:pPr>
              <w:spacing w:line="240" w:lineRule="auto"/>
              <w:jc w:val="both"/>
              <w:rPr>
                <w:sz w:val="20"/>
                <w:szCs w:val="20"/>
                <w:shd w:val="clear" w:color="auto" w:fill="FFFFFF"/>
              </w:rPr>
            </w:pPr>
            <w:r>
              <w:rPr>
                <w:rFonts w:ascii="Calibri" w:eastAsia="Times New Roman" w:hAnsi="Calibri" w:cs="Calibri"/>
                <w:color w:val="000000"/>
                <w:sz w:val="20"/>
                <w:szCs w:val="20"/>
              </w:rPr>
              <w:t>-</w:t>
            </w:r>
            <w:r w:rsidRPr="00D234B3">
              <w:rPr>
                <w:sz w:val="20"/>
                <w:szCs w:val="20"/>
                <w:shd w:val="clear" w:color="auto" w:fill="FFFFFF"/>
              </w:rPr>
              <w:t xml:space="preserve">Involving pharmacists in diabetes management in line with the transformation of the Saudi </w:t>
            </w:r>
            <w:r>
              <w:rPr>
                <w:sz w:val="20"/>
                <w:szCs w:val="20"/>
                <w:shd w:val="clear" w:color="auto" w:fill="FFFFFF"/>
              </w:rPr>
              <w:t>MoH</w:t>
            </w:r>
            <w:r w:rsidRPr="00D234B3">
              <w:rPr>
                <w:sz w:val="20"/>
                <w:szCs w:val="20"/>
                <w:shd w:val="clear" w:color="auto" w:fill="FFFFFF"/>
              </w:rPr>
              <w:t xml:space="preserve"> system</w:t>
            </w:r>
            <w:r>
              <w:rPr>
                <w:sz w:val="20"/>
                <w:szCs w:val="20"/>
                <w:shd w:val="clear" w:color="auto" w:fill="FFFFFF"/>
              </w:rPr>
              <w:t>.</w:t>
            </w:r>
          </w:p>
          <w:p w14:paraId="377141CB" w14:textId="77777777" w:rsidR="006A179A" w:rsidRDefault="006A179A" w:rsidP="00282204">
            <w:pPr>
              <w:spacing w:after="0" w:line="240" w:lineRule="auto"/>
              <w:jc w:val="both"/>
              <w:rPr>
                <w:rFonts w:ascii="Calibri" w:eastAsia="Times New Roman" w:hAnsi="Calibri" w:cs="Calibri"/>
                <w:sz w:val="20"/>
                <w:szCs w:val="20"/>
              </w:rPr>
            </w:pPr>
            <w:r>
              <w:rPr>
                <w:rFonts w:ascii="Calibri" w:eastAsia="Times New Roman" w:hAnsi="Calibri" w:cs="Calibri"/>
                <w:sz w:val="20"/>
                <w:szCs w:val="20"/>
              </w:rPr>
              <w:t>-</w:t>
            </w:r>
            <w:r w:rsidRPr="00195D3C">
              <w:rPr>
                <w:rFonts w:ascii="Calibri" w:eastAsia="Times New Roman" w:hAnsi="Calibri" w:cs="Calibri"/>
                <w:sz w:val="20"/>
                <w:szCs w:val="20"/>
              </w:rPr>
              <w:t>The 2030 Saudi Vision and the transformation of the health care system is one of the most facilitating factors in engaging pharmacists into diabetes management as part of the primary care team. This is due to one of the most important goals of the health transformation strategy to transform and develop the pharmaceutical care services in primary healthcare settings and expand the pharmacists' role to provide public health services.</w:t>
            </w:r>
          </w:p>
          <w:p w14:paraId="0EF5E7D5" w14:textId="77777777" w:rsidR="006A179A" w:rsidRDefault="006A179A" w:rsidP="00282204">
            <w:pPr>
              <w:spacing w:after="0" w:line="240" w:lineRule="auto"/>
              <w:jc w:val="both"/>
              <w:rPr>
                <w:rFonts w:ascii="Calibri" w:eastAsia="Times New Roman" w:hAnsi="Calibri" w:cs="Calibri"/>
                <w:color w:val="000000"/>
                <w:sz w:val="20"/>
                <w:szCs w:val="20"/>
              </w:rPr>
            </w:pPr>
          </w:p>
          <w:p w14:paraId="0ACB9D1D" w14:textId="77777777" w:rsidR="006A179A" w:rsidRDefault="006A179A"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EE63B6">
              <w:rPr>
                <w:rFonts w:ascii="Calibri" w:eastAsia="Times New Roman" w:hAnsi="Calibri" w:cs="Calibri"/>
                <w:color w:val="000000"/>
                <w:sz w:val="20"/>
                <w:szCs w:val="20"/>
              </w:rPr>
              <w:t>The results of the two phases show that pharmaceutical care services should be expanded to provide more clinical services to fill the demand in this area, especially at the primary care level. These services should be delivered smartly and effectively to meet the targets of the health transformation strategy.</w:t>
            </w:r>
          </w:p>
          <w:p w14:paraId="405726FE" w14:textId="77777777" w:rsidR="006A179A" w:rsidRDefault="006A179A" w:rsidP="00282204">
            <w:pPr>
              <w:spacing w:after="0" w:line="240" w:lineRule="auto"/>
              <w:jc w:val="both"/>
              <w:rPr>
                <w:rFonts w:ascii="Calibri" w:eastAsia="Times New Roman" w:hAnsi="Calibri" w:cs="Calibri"/>
                <w:color w:val="000000"/>
                <w:sz w:val="20"/>
                <w:szCs w:val="20"/>
              </w:rPr>
            </w:pPr>
          </w:p>
          <w:p w14:paraId="6A7FC6B9" w14:textId="77777777" w:rsidR="006A179A" w:rsidRDefault="006A179A" w:rsidP="00282204">
            <w:pPr>
              <w:spacing w:line="240" w:lineRule="auto"/>
              <w:jc w:val="both"/>
              <w:rPr>
                <w:rFonts w:ascii="Calibri" w:eastAsia="Times New Roman" w:hAnsi="Calibri" w:cs="Calibri"/>
                <w:sz w:val="20"/>
                <w:szCs w:val="20"/>
              </w:rPr>
            </w:pPr>
            <w:r>
              <w:rPr>
                <w:shd w:val="clear" w:color="auto" w:fill="FFFFFF"/>
              </w:rPr>
              <w:t>-</w:t>
            </w:r>
            <w:r w:rsidRPr="0055156A">
              <w:rPr>
                <w:rFonts w:ascii="Calibri" w:eastAsia="Times New Roman" w:hAnsi="Calibri" w:cs="Calibri"/>
                <w:sz w:val="20"/>
                <w:szCs w:val="20"/>
              </w:rPr>
              <w:t xml:space="preserve"> The new transformation in the Saudi health care system gives opportunities to primary care pharmacists to provide public health services, including clinical services such as MR and MTM. </w:t>
            </w:r>
          </w:p>
          <w:p w14:paraId="42F788FD" w14:textId="77777777" w:rsidR="006A179A" w:rsidRPr="00910896" w:rsidRDefault="006A179A"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sz w:val="20"/>
                <w:szCs w:val="20"/>
              </w:rPr>
              <w:t>-</w:t>
            </w:r>
            <w:r w:rsidRPr="00F00380">
              <w:rPr>
                <w:rFonts w:ascii="Calibri" w:eastAsia="Times New Roman" w:hAnsi="Calibri" w:cs="Calibri"/>
                <w:color w:val="000000"/>
                <w:sz w:val="20"/>
                <w:szCs w:val="20"/>
              </w:rPr>
              <w:t xml:space="preserve"> Investing in the pharmacy resources available in PHCs to optimise diabetes care should be considered</w:t>
            </w:r>
            <w:r>
              <w:rPr>
                <w:rFonts w:ascii="Calibri" w:eastAsia="Times New Roman" w:hAnsi="Calibri" w:cs="Calibri"/>
                <w:color w:val="000000"/>
                <w:sz w:val="20"/>
                <w:szCs w:val="20"/>
              </w:rPr>
              <w:t>,</w:t>
            </w:r>
            <w:r w:rsidRPr="00F00380">
              <w:rPr>
                <w:rFonts w:ascii="Calibri" w:eastAsia="Times New Roman" w:hAnsi="Calibri" w:cs="Calibri"/>
                <w:color w:val="000000"/>
                <w:sz w:val="20"/>
                <w:szCs w:val="20"/>
              </w:rPr>
              <w:t xml:space="preserve"> as the findings of this research provide evidence that pharmacists involved in diabetes care brought benefits to patients and </w:t>
            </w:r>
            <w:r>
              <w:rPr>
                <w:rFonts w:ascii="Calibri" w:eastAsia="Times New Roman" w:hAnsi="Calibri" w:cs="Calibri"/>
                <w:color w:val="000000"/>
                <w:sz w:val="20"/>
                <w:szCs w:val="20"/>
              </w:rPr>
              <w:t>HCPs</w:t>
            </w:r>
            <w:r w:rsidRPr="00F00380">
              <w:rPr>
                <w:rFonts w:ascii="Calibri" w:eastAsia="Times New Roman" w:hAnsi="Calibri" w:cs="Calibri"/>
                <w:color w:val="000000"/>
                <w:sz w:val="20"/>
                <w:szCs w:val="20"/>
              </w:rPr>
              <w:t xml:space="preserve"> when they were integrated into PHC</w:t>
            </w:r>
            <w:r>
              <w:rPr>
                <w:rFonts w:ascii="Calibri" w:eastAsia="Times New Roman" w:hAnsi="Calibri" w:cs="Calibri"/>
                <w:color w:val="000000"/>
                <w:sz w:val="20"/>
                <w:szCs w:val="20"/>
              </w:rPr>
              <w:t>s</w:t>
            </w:r>
            <w:r w:rsidRPr="00F00380">
              <w:rPr>
                <w:rFonts w:ascii="Calibri" w:eastAsia="Times New Roman" w:hAnsi="Calibri" w:cs="Calibri"/>
                <w:color w:val="000000"/>
                <w:sz w:val="20"/>
                <w:szCs w:val="20"/>
              </w:rPr>
              <w:t>.</w:t>
            </w:r>
          </w:p>
          <w:p w14:paraId="2D4F2D53" w14:textId="77777777" w:rsidR="006A179A" w:rsidRDefault="006A179A" w:rsidP="00282204">
            <w:pPr>
              <w:spacing w:after="0" w:line="240" w:lineRule="auto"/>
              <w:jc w:val="both"/>
              <w:rPr>
                <w:rFonts w:ascii="Calibri" w:eastAsia="Times New Roman" w:hAnsi="Calibri" w:cs="Calibri"/>
                <w:color w:val="000000"/>
                <w:sz w:val="20"/>
                <w:szCs w:val="20"/>
              </w:rPr>
            </w:pPr>
            <w:r>
              <w:rPr>
                <w:rFonts w:ascii="Calibri" w:eastAsia="Times New Roman" w:hAnsi="Calibri" w:cs="Calibri"/>
                <w:color w:val="000000"/>
                <w:sz w:val="20"/>
                <w:szCs w:val="20"/>
              </w:rPr>
              <w:t>-</w:t>
            </w:r>
            <w:r w:rsidRPr="008069A0">
              <w:rPr>
                <w:rFonts w:ascii="Calibri" w:eastAsia="Times New Roman" w:hAnsi="Calibri" w:cs="Calibri"/>
                <w:color w:val="000000"/>
                <w:sz w:val="20"/>
                <w:szCs w:val="20"/>
              </w:rPr>
              <w:t xml:space="preserve">Doctors usually hold positions of policymakers and managers in the Saudi </w:t>
            </w:r>
            <w:r>
              <w:rPr>
                <w:rFonts w:ascii="Calibri" w:eastAsia="Times New Roman" w:hAnsi="Calibri" w:cs="Calibri"/>
                <w:color w:val="000000"/>
                <w:sz w:val="20"/>
                <w:szCs w:val="20"/>
              </w:rPr>
              <w:t>MoH</w:t>
            </w:r>
            <w:r w:rsidRPr="008069A0">
              <w:rPr>
                <w:rFonts w:ascii="Calibri" w:eastAsia="Times New Roman" w:hAnsi="Calibri" w:cs="Calibri"/>
                <w:color w:val="000000"/>
                <w:sz w:val="20"/>
                <w:szCs w:val="20"/>
              </w:rPr>
              <w:t xml:space="preserve">, so defining their attitudes towards pharmacists </w:t>
            </w:r>
            <w:r>
              <w:rPr>
                <w:rFonts w:ascii="Calibri" w:eastAsia="Times New Roman" w:hAnsi="Calibri" w:cs="Calibri"/>
                <w:color w:val="000000"/>
                <w:sz w:val="20"/>
                <w:szCs w:val="20"/>
              </w:rPr>
              <w:t>could</w:t>
            </w:r>
            <w:r w:rsidRPr="008069A0">
              <w:rPr>
                <w:rFonts w:ascii="Calibri" w:eastAsia="Times New Roman" w:hAnsi="Calibri" w:cs="Calibri"/>
                <w:color w:val="000000"/>
                <w:sz w:val="20"/>
                <w:szCs w:val="20"/>
              </w:rPr>
              <w:t xml:space="preserve"> be an advantage that can </w:t>
            </w:r>
            <w:r>
              <w:rPr>
                <w:rFonts w:ascii="Calibri" w:eastAsia="Times New Roman" w:hAnsi="Calibri" w:cs="Calibri"/>
                <w:color w:val="000000"/>
                <w:sz w:val="20"/>
                <w:szCs w:val="20"/>
              </w:rPr>
              <w:t>assist</w:t>
            </w:r>
            <w:r w:rsidRPr="008069A0">
              <w:rPr>
                <w:rFonts w:ascii="Calibri" w:eastAsia="Times New Roman" w:hAnsi="Calibri" w:cs="Calibri"/>
                <w:color w:val="000000"/>
                <w:sz w:val="20"/>
                <w:szCs w:val="20"/>
              </w:rPr>
              <w:t xml:space="preserve"> pharmacists' involvement in diabetes management.</w:t>
            </w:r>
          </w:p>
          <w:p w14:paraId="518A93B5" w14:textId="77777777" w:rsidR="006A179A" w:rsidRDefault="006A179A" w:rsidP="00282204">
            <w:pPr>
              <w:spacing w:after="0" w:line="240" w:lineRule="auto"/>
              <w:jc w:val="both"/>
              <w:rPr>
                <w:rFonts w:ascii="Calibri" w:eastAsia="Times New Roman" w:hAnsi="Calibri" w:cs="Calibri"/>
                <w:color w:val="000000"/>
                <w:sz w:val="20"/>
                <w:szCs w:val="20"/>
              </w:rPr>
            </w:pPr>
          </w:p>
          <w:p w14:paraId="4C515654" w14:textId="77777777" w:rsidR="006A179A" w:rsidRDefault="006A179A" w:rsidP="00282204">
            <w:pPr>
              <w:spacing w:after="0" w:line="240" w:lineRule="auto"/>
              <w:jc w:val="both"/>
              <w:rPr>
                <w:rFonts w:ascii="Calibri" w:eastAsia="Times New Roman" w:hAnsi="Calibri" w:cs="Calibri"/>
                <w:color w:val="000000"/>
                <w:sz w:val="20"/>
                <w:szCs w:val="20"/>
              </w:rPr>
            </w:pPr>
          </w:p>
          <w:p w14:paraId="6769AA9B" w14:textId="77777777" w:rsidR="006A179A" w:rsidRDefault="006A179A" w:rsidP="00282204">
            <w:pPr>
              <w:spacing w:after="0" w:line="240" w:lineRule="auto"/>
              <w:jc w:val="both"/>
              <w:rPr>
                <w:rFonts w:ascii="Calibri" w:eastAsia="Times New Roman" w:hAnsi="Calibri" w:cs="Calibri"/>
                <w:color w:val="000000"/>
                <w:sz w:val="20"/>
                <w:szCs w:val="20"/>
              </w:rPr>
            </w:pPr>
          </w:p>
          <w:p w14:paraId="5BC2F132" w14:textId="77777777" w:rsidR="006A179A" w:rsidRDefault="006A179A" w:rsidP="00282204">
            <w:pPr>
              <w:spacing w:after="0" w:line="240" w:lineRule="auto"/>
              <w:jc w:val="both"/>
              <w:rPr>
                <w:rFonts w:ascii="Calibri" w:eastAsia="Times New Roman" w:hAnsi="Calibri" w:cs="Calibri"/>
                <w:color w:val="000000"/>
                <w:sz w:val="20"/>
                <w:szCs w:val="20"/>
              </w:rPr>
            </w:pPr>
          </w:p>
          <w:p w14:paraId="60ABF2CA" w14:textId="77777777" w:rsidR="006A179A" w:rsidRDefault="006A179A" w:rsidP="00282204">
            <w:pPr>
              <w:rPr>
                <w:rFonts w:ascii="Calibri" w:eastAsia="Times New Roman" w:hAnsi="Calibri" w:cs="Calibri"/>
                <w:color w:val="000000"/>
                <w:sz w:val="20"/>
                <w:szCs w:val="20"/>
                <w:lang w:val="en-GB"/>
              </w:rPr>
            </w:pPr>
          </w:p>
          <w:p w14:paraId="3F8E113D" w14:textId="77777777" w:rsidR="006A179A" w:rsidRPr="00910896" w:rsidRDefault="006A179A" w:rsidP="00282204">
            <w:pPr>
              <w:rPr>
                <w:rFonts w:ascii="Calibri" w:eastAsia="Times New Roman" w:hAnsi="Calibri" w:cs="Calibri"/>
                <w:sz w:val="20"/>
                <w:szCs w:val="20"/>
                <w:lang w:val="en-GB"/>
              </w:rPr>
            </w:pPr>
          </w:p>
        </w:tc>
      </w:tr>
    </w:tbl>
    <w:p w14:paraId="52A30987" w14:textId="77777777" w:rsidR="00FF65A9" w:rsidRDefault="00FF65A9" w:rsidP="00A17CD2">
      <w:pPr>
        <w:spacing w:after="0" w:line="360" w:lineRule="auto"/>
        <w:jc w:val="both"/>
        <w:rPr>
          <w:rFonts w:asciiTheme="minorBidi" w:hAnsiTheme="minorBidi"/>
          <w:color w:val="70AD47" w:themeColor="accent6"/>
          <w:sz w:val="24"/>
          <w:szCs w:val="24"/>
          <w:shd w:val="clear" w:color="auto" w:fill="FFFFFF"/>
        </w:rPr>
        <w:sectPr w:rsidR="00FF65A9" w:rsidSect="006A179A">
          <w:pgSz w:w="15840" w:h="12240" w:orient="landscape"/>
          <w:pgMar w:top="1440" w:right="1440" w:bottom="1440" w:left="1440" w:header="720" w:footer="720" w:gutter="0"/>
          <w:cols w:space="720"/>
          <w:docGrid w:linePitch="360"/>
        </w:sectPr>
      </w:pPr>
    </w:p>
    <w:p w14:paraId="16EA2039" w14:textId="77777777" w:rsidR="00FF65A9" w:rsidRPr="00FF65A9" w:rsidRDefault="00FF65A9" w:rsidP="00A17CD2">
      <w:pPr>
        <w:spacing w:after="0" w:line="360" w:lineRule="auto"/>
        <w:jc w:val="both"/>
        <w:rPr>
          <w:rFonts w:asciiTheme="minorBidi" w:hAnsiTheme="minorBidi"/>
          <w:color w:val="70AD47" w:themeColor="accent6"/>
          <w:sz w:val="24"/>
          <w:szCs w:val="24"/>
          <w:shd w:val="clear" w:color="auto" w:fill="FFFFFF"/>
        </w:rPr>
      </w:pPr>
    </w:p>
    <w:p w14:paraId="564E279E" w14:textId="77777777" w:rsidR="00FA7940" w:rsidRDefault="00FA7940" w:rsidP="00FA7940">
      <w:pPr>
        <w:pStyle w:val="Heading2"/>
        <w:numPr>
          <w:ilvl w:val="1"/>
          <w:numId w:val="30"/>
        </w:numPr>
        <w:spacing w:line="257" w:lineRule="auto"/>
        <w:ind w:left="0" w:firstLine="0"/>
      </w:pPr>
      <w:bookmarkStart w:id="283" w:name="_Toc153894215"/>
      <w:r>
        <w:t>Strengths and limitations</w:t>
      </w:r>
      <w:bookmarkEnd w:id="283"/>
      <w:r>
        <w:t xml:space="preserve"> </w:t>
      </w:r>
    </w:p>
    <w:p w14:paraId="0F52B1CB" w14:textId="77777777" w:rsidR="00FA7940" w:rsidRPr="00E421A6" w:rsidRDefault="00FA7940" w:rsidP="00FA7940"/>
    <w:p w14:paraId="727B609B" w14:textId="77777777" w:rsidR="00FA7940" w:rsidRPr="008E3A54" w:rsidRDefault="00FA7940" w:rsidP="00FA7940">
      <w:pPr>
        <w:pStyle w:val="Heading3"/>
        <w:numPr>
          <w:ilvl w:val="2"/>
          <w:numId w:val="30"/>
        </w:numPr>
        <w:spacing w:line="257" w:lineRule="auto"/>
        <w:ind w:left="0" w:firstLine="0"/>
      </w:pPr>
      <w:bookmarkStart w:id="284" w:name="_Toc153894216"/>
      <w:r w:rsidRPr="002E0ED3">
        <w:t>Strengths</w:t>
      </w:r>
      <w:bookmarkEnd w:id="284"/>
    </w:p>
    <w:p w14:paraId="02360C6E" w14:textId="77777777" w:rsidR="00FA7940" w:rsidRPr="00DB258D" w:rsidRDefault="00FA7940" w:rsidP="00FA7940">
      <w:pPr>
        <w:spacing w:line="360" w:lineRule="auto"/>
        <w:jc w:val="both"/>
        <w:rPr>
          <w:rFonts w:asciiTheme="minorBidi" w:hAnsiTheme="minorBidi"/>
          <w:sz w:val="24"/>
          <w:szCs w:val="24"/>
        </w:rPr>
      </w:pPr>
      <w:r w:rsidRPr="009F3876">
        <w:rPr>
          <w:rFonts w:asciiTheme="minorBidi" w:hAnsiTheme="minorBidi"/>
          <w:sz w:val="24"/>
          <w:szCs w:val="24"/>
          <w:lang w:val="en-GB"/>
        </w:rPr>
        <w:t>To the best of the researcher's knowledge, this is the first research</w:t>
      </w:r>
      <w:r>
        <w:rPr>
          <w:rFonts w:asciiTheme="minorBidi" w:hAnsiTheme="minorBidi"/>
          <w:sz w:val="24"/>
          <w:szCs w:val="24"/>
          <w:lang w:val="en-GB"/>
        </w:rPr>
        <w:t xml:space="preserve"> to use mixed method approach (both quantitative and qualitative) to</w:t>
      </w:r>
      <w:r w:rsidRPr="009F3876">
        <w:rPr>
          <w:rFonts w:asciiTheme="minorBidi" w:hAnsiTheme="minorBidi"/>
          <w:sz w:val="24"/>
          <w:szCs w:val="24"/>
          <w:lang w:val="en-GB"/>
        </w:rPr>
        <w:t xml:space="preserve"> </w:t>
      </w:r>
      <w:r>
        <w:rPr>
          <w:rFonts w:asciiTheme="minorBidi" w:hAnsiTheme="minorBidi"/>
          <w:sz w:val="24"/>
          <w:szCs w:val="24"/>
          <w:lang w:val="en-GB"/>
        </w:rPr>
        <w:t>explore</w:t>
      </w:r>
      <w:r w:rsidRPr="009F3876">
        <w:rPr>
          <w:rFonts w:asciiTheme="minorBidi" w:hAnsiTheme="minorBidi"/>
          <w:sz w:val="24"/>
          <w:szCs w:val="24"/>
          <w:lang w:val="en-GB"/>
        </w:rPr>
        <w:t xml:space="preserve"> </w:t>
      </w:r>
      <w:r>
        <w:rPr>
          <w:rFonts w:asciiTheme="minorBidi" w:hAnsiTheme="minorBidi"/>
          <w:sz w:val="24"/>
          <w:szCs w:val="24"/>
          <w:lang w:val="en-GB"/>
        </w:rPr>
        <w:t>HCP</w:t>
      </w:r>
      <w:r w:rsidRPr="009F3876">
        <w:rPr>
          <w:rFonts w:asciiTheme="minorBidi" w:hAnsiTheme="minorBidi"/>
          <w:sz w:val="24"/>
          <w:szCs w:val="24"/>
          <w:lang w:val="en-GB"/>
        </w:rPr>
        <w:t xml:space="preserve">s' attitudes, perceptions and expectations towards pharmacists' role in diabetes primary care management </w:t>
      </w:r>
      <w:r>
        <w:rPr>
          <w:rFonts w:asciiTheme="minorBidi" w:hAnsiTheme="minorBidi"/>
          <w:sz w:val="24"/>
          <w:szCs w:val="24"/>
          <w:lang w:val="en-GB"/>
        </w:rPr>
        <w:t xml:space="preserve">in SA </w:t>
      </w:r>
      <w:r w:rsidRPr="009F3876">
        <w:rPr>
          <w:rFonts w:asciiTheme="minorBidi" w:hAnsiTheme="minorBidi"/>
          <w:sz w:val="24"/>
          <w:szCs w:val="24"/>
          <w:lang w:val="en-GB"/>
        </w:rPr>
        <w:t>and associated facilitators and barriers to adding the pharmacist to the diabetes care team.</w:t>
      </w:r>
      <w:r>
        <w:rPr>
          <w:rFonts w:asciiTheme="minorBidi" w:hAnsiTheme="minorBidi"/>
          <w:sz w:val="24"/>
          <w:szCs w:val="24"/>
          <w:lang w:val="en-GB"/>
        </w:rPr>
        <w:t xml:space="preserve"> </w:t>
      </w:r>
    </w:p>
    <w:p w14:paraId="6E877DA6" w14:textId="77777777" w:rsidR="00FA7940" w:rsidRDefault="00FA7940" w:rsidP="00FA7940">
      <w:pPr>
        <w:spacing w:line="360" w:lineRule="auto"/>
        <w:jc w:val="both"/>
        <w:rPr>
          <w:rFonts w:asciiTheme="minorBidi" w:hAnsiTheme="minorBidi"/>
          <w:sz w:val="24"/>
          <w:szCs w:val="24"/>
        </w:rPr>
      </w:pPr>
      <w:r w:rsidRPr="002875BB">
        <w:rPr>
          <w:rFonts w:asciiTheme="minorBidi" w:hAnsiTheme="minorBidi"/>
          <w:sz w:val="24"/>
          <w:szCs w:val="24"/>
        </w:rPr>
        <w:t xml:space="preserve">The </w:t>
      </w:r>
      <w:r>
        <w:rPr>
          <w:rFonts w:asciiTheme="minorBidi" w:hAnsiTheme="minorBidi"/>
          <w:sz w:val="24"/>
          <w:szCs w:val="24"/>
        </w:rPr>
        <w:t xml:space="preserve">use of </w:t>
      </w:r>
      <w:r w:rsidRPr="002875BB">
        <w:rPr>
          <w:rFonts w:asciiTheme="minorBidi" w:hAnsiTheme="minorBidi"/>
          <w:sz w:val="24"/>
          <w:szCs w:val="24"/>
        </w:rPr>
        <w:t>mixed method</w:t>
      </w:r>
      <w:r>
        <w:rPr>
          <w:rFonts w:asciiTheme="minorBidi" w:hAnsiTheme="minorBidi"/>
          <w:sz w:val="24"/>
          <w:szCs w:val="24"/>
        </w:rPr>
        <w:t>s</w:t>
      </w:r>
      <w:r w:rsidRPr="002875BB">
        <w:rPr>
          <w:rFonts w:asciiTheme="minorBidi" w:hAnsiTheme="minorBidi"/>
          <w:sz w:val="24"/>
          <w:szCs w:val="24"/>
        </w:rPr>
        <w:t xml:space="preserve"> in this research helped to understand and address the complexity of health care services and social pharmacy practice. It provided a more in-depth </w:t>
      </w:r>
      <w:r>
        <w:rPr>
          <w:rFonts w:asciiTheme="minorBidi" w:hAnsiTheme="minorBidi"/>
          <w:sz w:val="24"/>
          <w:szCs w:val="24"/>
        </w:rPr>
        <w:t>and</w:t>
      </w:r>
      <w:r w:rsidRPr="002875BB">
        <w:rPr>
          <w:rFonts w:asciiTheme="minorBidi" w:hAnsiTheme="minorBidi"/>
          <w:sz w:val="24"/>
          <w:szCs w:val="24"/>
        </w:rPr>
        <w:t xml:space="preserve"> comprehensive understanding of the research topic</w:t>
      </w:r>
      <w:r>
        <w:rPr>
          <w:rFonts w:asciiTheme="minorBidi" w:hAnsiTheme="minorBidi"/>
          <w:sz w:val="24"/>
          <w:szCs w:val="24"/>
        </w:rPr>
        <w:t>,</w:t>
      </w:r>
      <w:r w:rsidRPr="002875BB">
        <w:rPr>
          <w:rFonts w:asciiTheme="minorBidi" w:hAnsiTheme="minorBidi"/>
          <w:sz w:val="24"/>
          <w:szCs w:val="24"/>
        </w:rPr>
        <w:t xml:space="preserve"> as the qualitative data added meaning to the quantitative data. Furthermore, it offered a voice to participants and ensured the study findings were grounded in participants' experiences.</w:t>
      </w:r>
    </w:p>
    <w:p w14:paraId="5EEC3128" w14:textId="77777777" w:rsidR="00FA7940" w:rsidRDefault="00FA7940" w:rsidP="00FA7940">
      <w:pPr>
        <w:shd w:val="clear" w:color="auto" w:fill="FFFFFF"/>
        <w:spacing w:line="360" w:lineRule="auto"/>
        <w:jc w:val="both"/>
        <w:rPr>
          <w:rFonts w:asciiTheme="minorBidi" w:hAnsiTheme="minorBidi"/>
          <w:sz w:val="24"/>
          <w:szCs w:val="24"/>
        </w:rPr>
      </w:pPr>
      <w:r w:rsidRPr="00FE34C7">
        <w:rPr>
          <w:rFonts w:asciiTheme="minorBidi" w:hAnsiTheme="minorBidi"/>
          <w:sz w:val="24"/>
          <w:szCs w:val="24"/>
          <w:lang w:val="en-GB"/>
        </w:rPr>
        <w:t>Involvement of stakeholders in real practice is a crucial factor for success in healthcare transformation</w:t>
      </w:r>
      <w:r>
        <w:rPr>
          <w:rFonts w:asciiTheme="minorBidi" w:hAnsiTheme="minorBidi"/>
          <w:sz w:val="24"/>
          <w:szCs w:val="24"/>
          <w:lang w:val="en-GB"/>
        </w:rPr>
        <w:t>. E</w:t>
      </w:r>
      <w:r w:rsidRPr="009B11CD">
        <w:rPr>
          <w:rFonts w:asciiTheme="minorBidi" w:hAnsiTheme="minorBidi"/>
          <w:sz w:val="24"/>
          <w:szCs w:val="24"/>
          <w:lang w:val="en-GB"/>
        </w:rPr>
        <w:t>xplor</w:t>
      </w:r>
      <w:r>
        <w:rPr>
          <w:rFonts w:asciiTheme="minorBidi" w:hAnsiTheme="minorBidi"/>
          <w:sz w:val="24"/>
          <w:szCs w:val="24"/>
          <w:lang w:val="en-GB"/>
        </w:rPr>
        <w:t>ing</w:t>
      </w:r>
      <w:r w:rsidRPr="009B11CD">
        <w:rPr>
          <w:rFonts w:asciiTheme="minorBidi" w:hAnsiTheme="minorBidi"/>
          <w:sz w:val="24"/>
          <w:szCs w:val="24"/>
          <w:lang w:val="en-GB"/>
        </w:rPr>
        <w:t xml:space="preserve"> stakeholders' views before proposing any new project</w:t>
      </w:r>
      <w:r>
        <w:rPr>
          <w:rFonts w:asciiTheme="minorBidi" w:hAnsiTheme="minorBidi"/>
          <w:sz w:val="24"/>
          <w:szCs w:val="24"/>
          <w:lang w:val="en-GB"/>
        </w:rPr>
        <w:t>,</w:t>
      </w:r>
      <w:r w:rsidRPr="009B11CD">
        <w:rPr>
          <w:rFonts w:asciiTheme="minorBidi" w:hAnsiTheme="minorBidi"/>
          <w:sz w:val="24"/>
          <w:szCs w:val="24"/>
          <w:lang w:val="en-GB"/>
        </w:rPr>
        <w:t xml:space="preserve"> as intended by this research, </w:t>
      </w:r>
      <w:r>
        <w:rPr>
          <w:rFonts w:asciiTheme="minorBidi" w:hAnsiTheme="minorBidi"/>
          <w:sz w:val="24"/>
          <w:szCs w:val="24"/>
          <w:lang w:val="en-GB"/>
        </w:rPr>
        <w:t xml:space="preserve">exploring opportunities for </w:t>
      </w:r>
      <w:r w:rsidRPr="009B11CD">
        <w:rPr>
          <w:rFonts w:asciiTheme="minorBidi" w:hAnsiTheme="minorBidi"/>
          <w:sz w:val="24"/>
          <w:szCs w:val="24"/>
          <w:lang w:val="en-GB"/>
        </w:rPr>
        <w:t xml:space="preserve">pharmacists </w:t>
      </w:r>
      <w:r>
        <w:rPr>
          <w:rFonts w:asciiTheme="minorBidi" w:hAnsiTheme="minorBidi"/>
          <w:sz w:val="24"/>
          <w:szCs w:val="24"/>
          <w:lang w:val="en-GB"/>
        </w:rPr>
        <w:t xml:space="preserve">to be involved in diabetes primary care management, is considered </w:t>
      </w:r>
      <w:r w:rsidRPr="009B11CD">
        <w:rPr>
          <w:rFonts w:asciiTheme="minorBidi" w:hAnsiTheme="minorBidi"/>
          <w:sz w:val="24"/>
          <w:szCs w:val="24"/>
          <w:lang w:val="en-GB"/>
        </w:rPr>
        <w:t>good practice in the research world</w:t>
      </w:r>
      <w:r>
        <w:rPr>
          <w:rFonts w:asciiTheme="minorBidi" w:hAnsiTheme="minorBidi"/>
          <w:sz w:val="24"/>
          <w:szCs w:val="24"/>
          <w:lang w:val="en-GB"/>
        </w:rPr>
        <w:t>. This</w:t>
      </w:r>
      <w:r w:rsidRPr="009B11CD">
        <w:rPr>
          <w:rFonts w:asciiTheme="minorBidi" w:hAnsiTheme="minorBidi"/>
          <w:sz w:val="24"/>
          <w:szCs w:val="24"/>
          <w:lang w:val="en-GB"/>
        </w:rPr>
        <w:t xml:space="preserve"> research</w:t>
      </w:r>
      <w:r>
        <w:rPr>
          <w:rFonts w:asciiTheme="minorBidi" w:hAnsiTheme="minorBidi"/>
          <w:sz w:val="24"/>
          <w:szCs w:val="24"/>
          <w:lang w:val="en-GB"/>
        </w:rPr>
        <w:t xml:space="preserve"> </w:t>
      </w:r>
      <w:r w:rsidRPr="009B11CD">
        <w:rPr>
          <w:rFonts w:asciiTheme="minorBidi" w:hAnsiTheme="minorBidi"/>
          <w:sz w:val="24"/>
          <w:szCs w:val="24"/>
        </w:rPr>
        <w:t>include</w:t>
      </w:r>
      <w:r>
        <w:rPr>
          <w:rFonts w:asciiTheme="minorBidi" w:hAnsiTheme="minorBidi"/>
          <w:sz w:val="24"/>
          <w:szCs w:val="24"/>
        </w:rPr>
        <w:t>d the key</w:t>
      </w:r>
      <w:r w:rsidRPr="009B11CD">
        <w:rPr>
          <w:rFonts w:asciiTheme="minorBidi" w:hAnsiTheme="minorBidi"/>
          <w:sz w:val="24"/>
          <w:szCs w:val="24"/>
        </w:rPr>
        <w:t xml:space="preserve"> </w:t>
      </w:r>
      <w:r>
        <w:rPr>
          <w:rFonts w:asciiTheme="minorBidi" w:hAnsiTheme="minorBidi"/>
          <w:sz w:val="24"/>
          <w:szCs w:val="24"/>
        </w:rPr>
        <w:t>HCPs</w:t>
      </w:r>
      <w:r w:rsidRPr="009B11CD">
        <w:rPr>
          <w:rFonts w:asciiTheme="minorBidi" w:hAnsiTheme="minorBidi"/>
          <w:sz w:val="24"/>
          <w:szCs w:val="24"/>
        </w:rPr>
        <w:t xml:space="preserve"> (doctors, pharmacists, and nurses)</w:t>
      </w:r>
      <w:r>
        <w:rPr>
          <w:rFonts w:asciiTheme="minorBidi" w:hAnsiTheme="minorBidi"/>
          <w:sz w:val="24"/>
          <w:szCs w:val="24"/>
        </w:rPr>
        <w:t xml:space="preserve"> working in PHCs.</w:t>
      </w:r>
      <w:r w:rsidRPr="009B11CD">
        <w:rPr>
          <w:rFonts w:asciiTheme="minorBidi" w:hAnsiTheme="minorBidi"/>
          <w:sz w:val="24"/>
          <w:szCs w:val="24"/>
        </w:rPr>
        <w:t xml:space="preserve"> </w:t>
      </w:r>
      <w:r>
        <w:rPr>
          <w:rFonts w:asciiTheme="minorBidi" w:hAnsiTheme="minorBidi"/>
          <w:sz w:val="24"/>
          <w:szCs w:val="24"/>
        </w:rPr>
        <w:t xml:space="preserve">While </w:t>
      </w:r>
      <w:r w:rsidRPr="009B11CD">
        <w:rPr>
          <w:rFonts w:asciiTheme="minorBidi" w:hAnsiTheme="minorBidi"/>
          <w:sz w:val="24"/>
          <w:szCs w:val="24"/>
        </w:rPr>
        <w:t>acknowledging that an ideal study might also sample patients and other stakeholders, due to the scale and tim</w:t>
      </w:r>
      <w:r>
        <w:rPr>
          <w:rFonts w:asciiTheme="minorBidi" w:hAnsiTheme="minorBidi"/>
          <w:sz w:val="24"/>
          <w:szCs w:val="24"/>
        </w:rPr>
        <w:t>e limitations</w:t>
      </w:r>
      <w:r w:rsidRPr="009B11CD">
        <w:rPr>
          <w:rFonts w:asciiTheme="minorBidi" w:hAnsiTheme="minorBidi"/>
          <w:sz w:val="24"/>
          <w:szCs w:val="24"/>
        </w:rPr>
        <w:t xml:space="preserve"> o</w:t>
      </w:r>
      <w:r>
        <w:rPr>
          <w:rFonts w:asciiTheme="minorBidi" w:hAnsiTheme="minorBidi"/>
          <w:sz w:val="24"/>
          <w:szCs w:val="24"/>
        </w:rPr>
        <w:t>n</w:t>
      </w:r>
      <w:r w:rsidRPr="009B11CD">
        <w:rPr>
          <w:rFonts w:asciiTheme="minorBidi" w:hAnsiTheme="minorBidi"/>
          <w:sz w:val="24"/>
          <w:szCs w:val="24"/>
        </w:rPr>
        <w:t xml:space="preserve"> a PhD</w:t>
      </w:r>
      <w:r>
        <w:rPr>
          <w:rFonts w:asciiTheme="minorBidi" w:hAnsiTheme="minorBidi"/>
          <w:sz w:val="24"/>
          <w:szCs w:val="24"/>
        </w:rPr>
        <w:t xml:space="preserve"> study</w:t>
      </w:r>
      <w:r w:rsidRPr="009B11CD">
        <w:rPr>
          <w:rFonts w:asciiTheme="minorBidi" w:hAnsiTheme="minorBidi"/>
          <w:sz w:val="24"/>
          <w:szCs w:val="24"/>
        </w:rPr>
        <w:t xml:space="preserve">, the choice was made to cover these </w:t>
      </w:r>
      <w:r>
        <w:rPr>
          <w:rFonts w:asciiTheme="minorBidi" w:hAnsiTheme="minorBidi"/>
          <w:sz w:val="24"/>
          <w:szCs w:val="24"/>
        </w:rPr>
        <w:t>three</w:t>
      </w:r>
      <w:r w:rsidRPr="009B11CD">
        <w:rPr>
          <w:rFonts w:asciiTheme="minorBidi" w:hAnsiTheme="minorBidi"/>
          <w:sz w:val="24"/>
          <w:szCs w:val="24"/>
        </w:rPr>
        <w:t xml:space="preserve"> domains.</w:t>
      </w:r>
      <w:r>
        <w:rPr>
          <w:rFonts w:asciiTheme="minorBidi" w:hAnsiTheme="minorBidi"/>
          <w:sz w:val="24"/>
          <w:szCs w:val="24"/>
        </w:rPr>
        <w:t xml:space="preserve"> </w:t>
      </w:r>
      <w:r w:rsidRPr="00905972">
        <w:rPr>
          <w:rFonts w:asciiTheme="minorBidi" w:hAnsiTheme="minorBidi"/>
          <w:sz w:val="24"/>
          <w:szCs w:val="24"/>
        </w:rPr>
        <w:t>Exploring the perspectives of other stakeholders might be suggested for future research.</w:t>
      </w:r>
    </w:p>
    <w:p w14:paraId="2626B302" w14:textId="77777777" w:rsidR="00FA7940" w:rsidRPr="008776F5" w:rsidRDefault="00FA7940" w:rsidP="00FA7940">
      <w:pPr>
        <w:spacing w:line="360" w:lineRule="auto"/>
        <w:jc w:val="both"/>
        <w:rPr>
          <w:rFonts w:asciiTheme="minorBidi" w:hAnsiTheme="minorBidi"/>
          <w:sz w:val="24"/>
          <w:szCs w:val="24"/>
        </w:rPr>
      </w:pPr>
      <w:r>
        <w:rPr>
          <w:rFonts w:asciiTheme="minorBidi" w:hAnsiTheme="minorBidi"/>
          <w:sz w:val="24"/>
          <w:szCs w:val="24"/>
        </w:rPr>
        <w:t>However, t</w:t>
      </w:r>
      <w:r w:rsidRPr="008776F5">
        <w:rPr>
          <w:rFonts w:asciiTheme="minorBidi" w:hAnsiTheme="minorBidi"/>
          <w:sz w:val="24"/>
          <w:szCs w:val="24"/>
        </w:rPr>
        <w:t xml:space="preserve">he diverse range of the survey respondents in terms of age, education level, job category, years of experience, and worksite (PHCs locations) </w:t>
      </w:r>
      <w:r>
        <w:rPr>
          <w:rFonts w:asciiTheme="minorBidi" w:hAnsiTheme="minorBidi"/>
          <w:sz w:val="24"/>
          <w:szCs w:val="24"/>
        </w:rPr>
        <w:t xml:space="preserve">is a </w:t>
      </w:r>
      <w:r w:rsidRPr="008776F5">
        <w:rPr>
          <w:rFonts w:asciiTheme="minorBidi" w:hAnsiTheme="minorBidi"/>
          <w:sz w:val="24"/>
          <w:szCs w:val="24"/>
        </w:rPr>
        <w:t xml:space="preserve">strengthening factor. </w:t>
      </w:r>
    </w:p>
    <w:p w14:paraId="35AE27A6" w14:textId="77777777" w:rsidR="00FA7940" w:rsidRDefault="00FA7940" w:rsidP="00FA7940">
      <w:pPr>
        <w:shd w:val="clear" w:color="auto" w:fill="FFFFFF"/>
        <w:spacing w:line="360" w:lineRule="auto"/>
        <w:jc w:val="both"/>
        <w:rPr>
          <w:rFonts w:asciiTheme="minorBidi" w:hAnsiTheme="minorBidi"/>
          <w:sz w:val="24"/>
          <w:szCs w:val="24"/>
        </w:rPr>
      </w:pPr>
      <w:r w:rsidRPr="000A69FC">
        <w:rPr>
          <w:rFonts w:asciiTheme="minorBidi" w:hAnsiTheme="minorBidi"/>
          <w:sz w:val="24"/>
          <w:szCs w:val="24"/>
        </w:rPr>
        <w:t xml:space="preserve">The survey of this research </w:t>
      </w:r>
      <w:r>
        <w:rPr>
          <w:rFonts w:asciiTheme="minorBidi" w:hAnsiTheme="minorBidi"/>
          <w:sz w:val="24"/>
          <w:szCs w:val="24"/>
        </w:rPr>
        <w:t>wa</w:t>
      </w:r>
      <w:r w:rsidRPr="000A69FC">
        <w:rPr>
          <w:rFonts w:asciiTheme="minorBidi" w:hAnsiTheme="minorBidi"/>
          <w:sz w:val="24"/>
          <w:szCs w:val="24"/>
        </w:rPr>
        <w:t xml:space="preserve">s designed to be comprehensive and discover </w:t>
      </w:r>
      <w:r>
        <w:rPr>
          <w:rFonts w:asciiTheme="minorBidi" w:hAnsiTheme="minorBidi"/>
          <w:sz w:val="24"/>
          <w:szCs w:val="24"/>
        </w:rPr>
        <w:t xml:space="preserve">as </w:t>
      </w:r>
      <w:r w:rsidRPr="000A69FC">
        <w:rPr>
          <w:rFonts w:asciiTheme="minorBidi" w:hAnsiTheme="minorBidi"/>
          <w:sz w:val="24"/>
          <w:szCs w:val="24"/>
        </w:rPr>
        <w:t xml:space="preserve">many aspects </w:t>
      </w:r>
      <w:r>
        <w:rPr>
          <w:rFonts w:asciiTheme="minorBidi" w:hAnsiTheme="minorBidi"/>
          <w:sz w:val="24"/>
          <w:szCs w:val="24"/>
        </w:rPr>
        <w:t xml:space="preserve">as possible </w:t>
      </w:r>
      <w:r w:rsidRPr="000A69FC">
        <w:rPr>
          <w:rFonts w:asciiTheme="minorBidi" w:hAnsiTheme="minorBidi"/>
          <w:sz w:val="24"/>
          <w:szCs w:val="24"/>
        </w:rPr>
        <w:t>related to the research topic</w:t>
      </w:r>
      <w:r>
        <w:rPr>
          <w:rFonts w:asciiTheme="minorBidi" w:hAnsiTheme="minorBidi"/>
          <w:sz w:val="24"/>
          <w:szCs w:val="24"/>
        </w:rPr>
        <w:t>, including</w:t>
      </w:r>
      <w:r w:rsidRPr="000A69FC">
        <w:rPr>
          <w:rFonts w:asciiTheme="minorBidi" w:hAnsiTheme="minorBidi"/>
          <w:sz w:val="24"/>
          <w:szCs w:val="24"/>
        </w:rPr>
        <w:t xml:space="preserve"> current pharmacy practice, participants' perspectives on pharmacists' involvement in the management of diabetes and the potential implications of pharmacists' participation in diabetes care. Influencing factors (facilitators and barriers) for adding pharmacists to the diabetes care team were also identified by the survey.</w:t>
      </w:r>
      <w:r w:rsidRPr="00797B4D">
        <w:t xml:space="preserve"> </w:t>
      </w:r>
      <w:r w:rsidRPr="00797B4D">
        <w:rPr>
          <w:rFonts w:asciiTheme="minorBidi" w:hAnsiTheme="minorBidi"/>
          <w:sz w:val="24"/>
          <w:szCs w:val="24"/>
        </w:rPr>
        <w:t xml:space="preserve">In addition, respondents reported other issues through open-ended questions, and the </w:t>
      </w:r>
      <w:r>
        <w:rPr>
          <w:rFonts w:asciiTheme="minorBidi" w:hAnsiTheme="minorBidi"/>
          <w:sz w:val="24"/>
          <w:szCs w:val="24"/>
        </w:rPr>
        <w:t xml:space="preserve">topic </w:t>
      </w:r>
      <w:r w:rsidRPr="00797B4D">
        <w:rPr>
          <w:rFonts w:asciiTheme="minorBidi" w:hAnsiTheme="minorBidi"/>
          <w:sz w:val="24"/>
          <w:szCs w:val="24"/>
        </w:rPr>
        <w:t>most common</w:t>
      </w:r>
      <w:r>
        <w:rPr>
          <w:rFonts w:asciiTheme="minorBidi" w:hAnsiTheme="minorBidi"/>
          <w:sz w:val="24"/>
          <w:szCs w:val="24"/>
        </w:rPr>
        <w:t>ly</w:t>
      </w:r>
      <w:r w:rsidRPr="00797B4D">
        <w:rPr>
          <w:rFonts w:asciiTheme="minorBidi" w:hAnsiTheme="minorBidi"/>
          <w:sz w:val="24"/>
          <w:szCs w:val="24"/>
        </w:rPr>
        <w:t xml:space="preserve"> </w:t>
      </w:r>
      <w:r>
        <w:rPr>
          <w:rFonts w:asciiTheme="minorBidi" w:hAnsiTheme="minorBidi"/>
          <w:sz w:val="24"/>
          <w:szCs w:val="24"/>
        </w:rPr>
        <w:t xml:space="preserve">raised by interviewees </w:t>
      </w:r>
      <w:r w:rsidRPr="00797B4D">
        <w:rPr>
          <w:rFonts w:asciiTheme="minorBidi" w:hAnsiTheme="minorBidi"/>
          <w:sz w:val="24"/>
          <w:szCs w:val="24"/>
        </w:rPr>
        <w:t>was the</w:t>
      </w:r>
      <w:r>
        <w:rPr>
          <w:rFonts w:asciiTheme="minorBidi" w:hAnsiTheme="minorBidi"/>
          <w:sz w:val="24"/>
          <w:szCs w:val="24"/>
        </w:rPr>
        <w:t>ir</w:t>
      </w:r>
      <w:r w:rsidRPr="00797B4D">
        <w:rPr>
          <w:rFonts w:asciiTheme="minorBidi" w:hAnsiTheme="minorBidi"/>
          <w:sz w:val="24"/>
          <w:szCs w:val="24"/>
        </w:rPr>
        <w:t xml:space="preserve"> concern o</w:t>
      </w:r>
      <w:r>
        <w:rPr>
          <w:rFonts w:asciiTheme="minorBidi" w:hAnsiTheme="minorBidi"/>
          <w:sz w:val="24"/>
          <w:szCs w:val="24"/>
        </w:rPr>
        <w:t>ver the</w:t>
      </w:r>
      <w:r w:rsidRPr="00797B4D">
        <w:rPr>
          <w:rFonts w:asciiTheme="minorBidi" w:hAnsiTheme="minorBidi"/>
          <w:sz w:val="24"/>
          <w:szCs w:val="24"/>
        </w:rPr>
        <w:t xml:space="preserve"> shifting </w:t>
      </w:r>
      <w:r>
        <w:rPr>
          <w:rFonts w:asciiTheme="minorBidi" w:hAnsiTheme="minorBidi"/>
          <w:sz w:val="24"/>
          <w:szCs w:val="24"/>
        </w:rPr>
        <w:t xml:space="preserve">of </w:t>
      </w:r>
      <w:r w:rsidRPr="00797B4D">
        <w:rPr>
          <w:rFonts w:asciiTheme="minorBidi" w:hAnsiTheme="minorBidi"/>
          <w:sz w:val="24"/>
          <w:szCs w:val="24"/>
        </w:rPr>
        <w:t>pharmacy services to retail community pharmacies.</w:t>
      </w:r>
    </w:p>
    <w:p w14:paraId="7533CF90" w14:textId="77777777" w:rsidR="00FA7940" w:rsidRDefault="00FA7940" w:rsidP="00FA7940">
      <w:pPr>
        <w:spacing w:line="360" w:lineRule="auto"/>
        <w:jc w:val="both"/>
        <w:rPr>
          <w:rFonts w:asciiTheme="minorBidi" w:hAnsiTheme="minorBidi"/>
          <w:sz w:val="24"/>
          <w:szCs w:val="24"/>
        </w:rPr>
      </w:pPr>
      <w:r w:rsidRPr="008776F5">
        <w:rPr>
          <w:rFonts w:asciiTheme="minorBidi" w:hAnsiTheme="minorBidi"/>
          <w:sz w:val="24"/>
          <w:szCs w:val="24"/>
        </w:rPr>
        <w:t xml:space="preserve">All participants in the interviews </w:t>
      </w:r>
      <w:r>
        <w:rPr>
          <w:rFonts w:asciiTheme="minorBidi" w:hAnsiTheme="minorBidi"/>
          <w:sz w:val="24"/>
          <w:szCs w:val="24"/>
        </w:rPr>
        <w:t xml:space="preserve">were enthusiastic to contribute and this appeared to be linked to their interest in </w:t>
      </w:r>
      <w:r w:rsidRPr="008776F5">
        <w:rPr>
          <w:rFonts w:asciiTheme="minorBidi" w:hAnsiTheme="minorBidi"/>
          <w:sz w:val="24"/>
          <w:szCs w:val="24"/>
        </w:rPr>
        <w:t>the research topic</w:t>
      </w:r>
      <w:r>
        <w:rPr>
          <w:rFonts w:asciiTheme="minorBidi" w:hAnsiTheme="minorBidi"/>
          <w:sz w:val="24"/>
          <w:szCs w:val="24"/>
        </w:rPr>
        <w:t>; they</w:t>
      </w:r>
      <w:r w:rsidRPr="008776F5">
        <w:rPr>
          <w:rFonts w:asciiTheme="minorBidi" w:hAnsiTheme="minorBidi"/>
          <w:sz w:val="24"/>
          <w:szCs w:val="24"/>
        </w:rPr>
        <w:t xml:space="preserve"> talked openly about their experiences, and described the current situation </w:t>
      </w:r>
      <w:r>
        <w:rPr>
          <w:rFonts w:asciiTheme="minorBidi" w:hAnsiTheme="minorBidi"/>
          <w:sz w:val="24"/>
          <w:szCs w:val="24"/>
        </w:rPr>
        <w:t>candidly; they were confident in</w:t>
      </w:r>
      <w:r w:rsidRPr="008776F5">
        <w:rPr>
          <w:rFonts w:asciiTheme="minorBidi" w:hAnsiTheme="minorBidi"/>
          <w:sz w:val="24"/>
          <w:szCs w:val="24"/>
        </w:rPr>
        <w:t xml:space="preserve"> expressing</w:t>
      </w:r>
      <w:r>
        <w:rPr>
          <w:rFonts w:asciiTheme="minorBidi" w:hAnsiTheme="minorBidi"/>
          <w:sz w:val="24"/>
          <w:szCs w:val="24"/>
        </w:rPr>
        <w:t xml:space="preserve"> their</w:t>
      </w:r>
      <w:r w:rsidRPr="008776F5">
        <w:rPr>
          <w:rFonts w:asciiTheme="minorBidi" w:hAnsiTheme="minorBidi"/>
          <w:sz w:val="24"/>
          <w:szCs w:val="24"/>
        </w:rPr>
        <w:t xml:space="preserve"> feelings and views </w:t>
      </w:r>
      <w:r>
        <w:rPr>
          <w:rFonts w:asciiTheme="minorBidi" w:hAnsiTheme="minorBidi"/>
          <w:sz w:val="24"/>
          <w:szCs w:val="24"/>
        </w:rPr>
        <w:t>about</w:t>
      </w:r>
      <w:r w:rsidRPr="008776F5">
        <w:rPr>
          <w:rFonts w:asciiTheme="minorBidi" w:hAnsiTheme="minorBidi"/>
          <w:sz w:val="24"/>
          <w:szCs w:val="24"/>
        </w:rPr>
        <w:t xml:space="preserve"> pharmacist involvement in diabetes primary care management in </w:t>
      </w:r>
      <w:r>
        <w:rPr>
          <w:rFonts w:asciiTheme="minorBidi" w:hAnsiTheme="minorBidi"/>
          <w:sz w:val="24"/>
          <w:szCs w:val="24"/>
        </w:rPr>
        <w:t>SA</w:t>
      </w:r>
      <w:r w:rsidRPr="008776F5">
        <w:rPr>
          <w:rFonts w:asciiTheme="minorBidi" w:hAnsiTheme="minorBidi"/>
          <w:sz w:val="24"/>
          <w:szCs w:val="24"/>
        </w:rPr>
        <w:t xml:space="preserve"> and associated facilitators and barriers to adding the pharmacist into the diabetes care team. </w:t>
      </w:r>
    </w:p>
    <w:p w14:paraId="5FAEB35C" w14:textId="77777777" w:rsidR="00FA7940" w:rsidRPr="00473BC0" w:rsidRDefault="00FA7940" w:rsidP="00FA7940"/>
    <w:p w14:paraId="4C23A790" w14:textId="77777777" w:rsidR="00FA7940" w:rsidRPr="00473BC0" w:rsidRDefault="00FA7940" w:rsidP="00FA7940">
      <w:pPr>
        <w:pStyle w:val="Heading3"/>
        <w:numPr>
          <w:ilvl w:val="2"/>
          <w:numId w:val="30"/>
        </w:numPr>
        <w:spacing w:line="257" w:lineRule="auto"/>
        <w:ind w:left="0" w:firstLine="0"/>
      </w:pPr>
      <w:bookmarkStart w:id="285" w:name="_Toc153894217"/>
      <w:r>
        <w:t>Limitations</w:t>
      </w:r>
      <w:bookmarkEnd w:id="285"/>
      <w:r>
        <w:t xml:space="preserve"> </w:t>
      </w:r>
    </w:p>
    <w:p w14:paraId="0EE022AC" w14:textId="2E4DE9BA" w:rsidR="00FA7940" w:rsidRPr="00250CC3" w:rsidRDefault="00FA7940" w:rsidP="00FA7940">
      <w:pPr>
        <w:spacing w:after="0" w:line="360" w:lineRule="auto"/>
        <w:jc w:val="both"/>
        <w:rPr>
          <w:rFonts w:asciiTheme="minorBidi" w:hAnsiTheme="minorBidi"/>
          <w:sz w:val="24"/>
          <w:szCs w:val="24"/>
        </w:rPr>
      </w:pPr>
      <w:r w:rsidRPr="00B60347">
        <w:rPr>
          <w:rFonts w:asciiTheme="minorBidi" w:hAnsiTheme="minorBidi"/>
          <w:sz w:val="24"/>
          <w:szCs w:val="24"/>
        </w:rPr>
        <w:t xml:space="preserve">The population of this research was limited to </w:t>
      </w:r>
      <w:r>
        <w:rPr>
          <w:rFonts w:asciiTheme="minorBidi" w:hAnsiTheme="minorBidi"/>
          <w:sz w:val="24"/>
          <w:szCs w:val="24"/>
        </w:rPr>
        <w:t xml:space="preserve">workers in PHCs in </w:t>
      </w:r>
      <w:r w:rsidRPr="00B60347">
        <w:rPr>
          <w:rFonts w:asciiTheme="minorBidi" w:hAnsiTheme="minorBidi"/>
          <w:sz w:val="24"/>
          <w:szCs w:val="24"/>
        </w:rPr>
        <w:t xml:space="preserve">one geographic area of </w:t>
      </w:r>
      <w:r>
        <w:rPr>
          <w:rFonts w:asciiTheme="minorBidi" w:hAnsiTheme="minorBidi"/>
          <w:sz w:val="24"/>
          <w:szCs w:val="24"/>
        </w:rPr>
        <w:t>SA, namely</w:t>
      </w:r>
      <w:r w:rsidRPr="00B60347">
        <w:rPr>
          <w:rFonts w:asciiTheme="minorBidi" w:hAnsiTheme="minorBidi"/>
          <w:sz w:val="24"/>
          <w:szCs w:val="24"/>
        </w:rPr>
        <w:t xml:space="preserve"> the </w:t>
      </w:r>
      <w:r>
        <w:rPr>
          <w:rFonts w:asciiTheme="minorBidi" w:hAnsiTheme="minorBidi"/>
          <w:sz w:val="24"/>
          <w:szCs w:val="24"/>
        </w:rPr>
        <w:t>E</w:t>
      </w:r>
      <w:r w:rsidRPr="00B60347">
        <w:rPr>
          <w:rFonts w:asciiTheme="minorBidi" w:hAnsiTheme="minorBidi"/>
          <w:sz w:val="24"/>
          <w:szCs w:val="24"/>
        </w:rPr>
        <w:t xml:space="preserve">astern </w:t>
      </w:r>
      <w:r>
        <w:rPr>
          <w:rFonts w:asciiTheme="minorBidi" w:hAnsiTheme="minorBidi"/>
          <w:sz w:val="24"/>
          <w:szCs w:val="24"/>
        </w:rPr>
        <w:t>province</w:t>
      </w:r>
      <w:r w:rsidRPr="00B60347">
        <w:rPr>
          <w:rFonts w:asciiTheme="minorBidi" w:hAnsiTheme="minorBidi"/>
          <w:sz w:val="24"/>
          <w:szCs w:val="24"/>
        </w:rPr>
        <w:t xml:space="preserve">. This study included only key workers working in PHCs (doctors, pharmacists, and nurses), and the </w:t>
      </w:r>
      <w:r>
        <w:rPr>
          <w:rFonts w:asciiTheme="minorBidi" w:hAnsiTheme="minorBidi"/>
          <w:sz w:val="24"/>
          <w:szCs w:val="24"/>
        </w:rPr>
        <w:t xml:space="preserve">relatively small </w:t>
      </w:r>
      <w:r w:rsidRPr="00B60347">
        <w:rPr>
          <w:rFonts w:asciiTheme="minorBidi" w:hAnsiTheme="minorBidi"/>
          <w:sz w:val="24"/>
          <w:szCs w:val="24"/>
        </w:rPr>
        <w:t xml:space="preserve">number of respondents (106) could </w:t>
      </w:r>
      <w:r>
        <w:rPr>
          <w:rFonts w:asciiTheme="minorBidi" w:hAnsiTheme="minorBidi"/>
          <w:sz w:val="24"/>
          <w:szCs w:val="24"/>
        </w:rPr>
        <w:t xml:space="preserve">have </w:t>
      </w:r>
      <w:r w:rsidRPr="00B60347">
        <w:rPr>
          <w:rFonts w:asciiTheme="minorBidi" w:hAnsiTheme="minorBidi"/>
          <w:sz w:val="24"/>
          <w:szCs w:val="24"/>
        </w:rPr>
        <w:t>be</w:t>
      </w:r>
      <w:r>
        <w:rPr>
          <w:rFonts w:asciiTheme="minorBidi" w:hAnsiTheme="minorBidi"/>
          <w:sz w:val="24"/>
          <w:szCs w:val="24"/>
        </w:rPr>
        <w:t>en</w:t>
      </w:r>
      <w:r w:rsidRPr="00B60347">
        <w:rPr>
          <w:rFonts w:asciiTheme="minorBidi" w:hAnsiTheme="minorBidi"/>
          <w:sz w:val="24"/>
          <w:szCs w:val="24"/>
        </w:rPr>
        <w:t xml:space="preserve"> inadequate for such an exploratory study conducted via survey. Sampling in qualitative research, including one to one interviews methodology, </w:t>
      </w:r>
      <w:r>
        <w:rPr>
          <w:rFonts w:asciiTheme="minorBidi" w:hAnsiTheme="minorBidi"/>
          <w:sz w:val="24"/>
          <w:szCs w:val="24"/>
        </w:rPr>
        <w:t>can</w:t>
      </w:r>
      <w:r w:rsidRPr="00B60347">
        <w:rPr>
          <w:rFonts w:asciiTheme="minorBidi" w:hAnsiTheme="minorBidi"/>
          <w:sz w:val="24"/>
          <w:szCs w:val="24"/>
        </w:rPr>
        <w:t xml:space="preserve">not </w:t>
      </w:r>
      <w:r>
        <w:rPr>
          <w:rFonts w:asciiTheme="minorBidi" w:hAnsiTheme="minorBidi"/>
          <w:sz w:val="24"/>
          <w:szCs w:val="24"/>
        </w:rPr>
        <w:t xml:space="preserve">be </w:t>
      </w:r>
      <w:r w:rsidRPr="00B60347">
        <w:rPr>
          <w:rFonts w:asciiTheme="minorBidi" w:hAnsiTheme="minorBidi"/>
          <w:sz w:val="24"/>
          <w:szCs w:val="24"/>
        </w:rPr>
        <w:t>consider</w:t>
      </w:r>
      <w:r>
        <w:rPr>
          <w:rFonts w:asciiTheme="minorBidi" w:hAnsiTheme="minorBidi"/>
          <w:sz w:val="24"/>
          <w:szCs w:val="24"/>
        </w:rPr>
        <w:t>ed</w:t>
      </w:r>
      <w:r w:rsidRPr="00B60347">
        <w:rPr>
          <w:rFonts w:asciiTheme="minorBidi" w:hAnsiTheme="minorBidi"/>
          <w:sz w:val="24"/>
          <w:szCs w:val="24"/>
        </w:rPr>
        <w:t xml:space="preserve"> to be fully representative of the study population because the number of participants </w:t>
      </w:r>
      <w:r>
        <w:rPr>
          <w:rFonts w:asciiTheme="minorBidi" w:hAnsiTheme="minorBidi"/>
          <w:sz w:val="24"/>
          <w:szCs w:val="24"/>
        </w:rPr>
        <w:t>i</w:t>
      </w:r>
      <w:r w:rsidRPr="00B60347">
        <w:rPr>
          <w:rFonts w:asciiTheme="minorBidi" w:hAnsiTheme="minorBidi"/>
          <w:sz w:val="24"/>
          <w:szCs w:val="24"/>
        </w:rPr>
        <w:t>s also relatively small (9).</w:t>
      </w:r>
      <w:r w:rsidR="00F47F1C">
        <w:rPr>
          <w:rFonts w:asciiTheme="minorBidi" w:hAnsiTheme="minorBidi"/>
          <w:sz w:val="24"/>
          <w:szCs w:val="24"/>
        </w:rPr>
        <w:t xml:space="preserve"> </w:t>
      </w:r>
      <w:r w:rsidR="000C1C7E">
        <w:rPr>
          <w:rFonts w:asciiTheme="minorBidi" w:hAnsiTheme="minorBidi"/>
          <w:sz w:val="24"/>
          <w:szCs w:val="24"/>
        </w:rPr>
        <w:t>Relatedly</w:t>
      </w:r>
      <w:r w:rsidR="000C1C7E" w:rsidRPr="00250CC3">
        <w:rPr>
          <w:rFonts w:asciiTheme="minorBidi" w:hAnsiTheme="minorBidi"/>
          <w:sz w:val="24"/>
          <w:szCs w:val="24"/>
        </w:rPr>
        <w:t>, t</w:t>
      </w:r>
      <w:r w:rsidR="00F47F1C" w:rsidRPr="00250CC3">
        <w:rPr>
          <w:rFonts w:asciiTheme="minorBidi" w:hAnsiTheme="minorBidi"/>
          <w:sz w:val="24"/>
          <w:szCs w:val="24"/>
        </w:rPr>
        <w:t xml:space="preserve">he small </w:t>
      </w:r>
      <w:r w:rsidR="00EE60AF" w:rsidRPr="00250CC3">
        <w:rPr>
          <w:rFonts w:asciiTheme="minorBidi" w:hAnsiTheme="minorBidi"/>
          <w:sz w:val="24"/>
          <w:szCs w:val="24"/>
        </w:rPr>
        <w:t xml:space="preserve">survey </w:t>
      </w:r>
      <w:r w:rsidR="00F47F1C" w:rsidRPr="00250CC3">
        <w:rPr>
          <w:rFonts w:asciiTheme="minorBidi" w:hAnsiTheme="minorBidi"/>
          <w:sz w:val="24"/>
          <w:szCs w:val="24"/>
        </w:rPr>
        <w:t xml:space="preserve">sample size in this research </w:t>
      </w:r>
      <w:r w:rsidR="00EE60AF" w:rsidRPr="00250CC3">
        <w:rPr>
          <w:rFonts w:asciiTheme="minorBidi" w:hAnsiTheme="minorBidi"/>
          <w:sz w:val="24"/>
          <w:szCs w:val="24"/>
        </w:rPr>
        <w:t xml:space="preserve">limits the extent to which these </w:t>
      </w:r>
      <w:r w:rsidR="000C1C7E" w:rsidRPr="00250CC3">
        <w:rPr>
          <w:rFonts w:asciiTheme="minorBidi" w:hAnsiTheme="minorBidi"/>
          <w:sz w:val="24"/>
          <w:szCs w:val="24"/>
        </w:rPr>
        <w:t xml:space="preserve">quantitative </w:t>
      </w:r>
      <w:r w:rsidR="00EE60AF" w:rsidRPr="00250CC3">
        <w:rPr>
          <w:rFonts w:asciiTheme="minorBidi" w:hAnsiTheme="minorBidi"/>
          <w:sz w:val="24"/>
          <w:szCs w:val="24"/>
        </w:rPr>
        <w:t xml:space="preserve">results can be </w:t>
      </w:r>
      <w:r w:rsidR="00F47F1C" w:rsidRPr="00250CC3">
        <w:rPr>
          <w:rFonts w:asciiTheme="minorBidi" w:hAnsiTheme="minorBidi"/>
          <w:sz w:val="24"/>
          <w:szCs w:val="24"/>
        </w:rPr>
        <w:t>generalis</w:t>
      </w:r>
      <w:r w:rsidR="00EE60AF" w:rsidRPr="00250CC3">
        <w:rPr>
          <w:rFonts w:asciiTheme="minorBidi" w:hAnsiTheme="minorBidi"/>
          <w:sz w:val="24"/>
          <w:szCs w:val="24"/>
        </w:rPr>
        <w:t>ed</w:t>
      </w:r>
      <w:r w:rsidR="00F47F1C" w:rsidRPr="00250CC3">
        <w:rPr>
          <w:rFonts w:asciiTheme="minorBidi" w:hAnsiTheme="minorBidi"/>
          <w:sz w:val="24"/>
          <w:szCs w:val="24"/>
        </w:rPr>
        <w:t>.</w:t>
      </w:r>
      <w:r w:rsidR="000C1C7E" w:rsidRPr="00250CC3">
        <w:rPr>
          <w:rFonts w:asciiTheme="minorBidi" w:hAnsiTheme="minorBidi"/>
          <w:sz w:val="24"/>
          <w:szCs w:val="24"/>
        </w:rPr>
        <w:t xml:space="preserve"> However, as an exploratory study, these are still argued to be of value.</w:t>
      </w:r>
      <w:r w:rsidR="00E11AE9" w:rsidRPr="00250CC3">
        <w:rPr>
          <w:rFonts w:asciiTheme="minorBidi" w:hAnsiTheme="minorBidi"/>
          <w:sz w:val="24"/>
          <w:szCs w:val="24"/>
        </w:rPr>
        <w:t xml:space="preserve"> </w:t>
      </w:r>
      <w:r w:rsidRPr="00250CC3">
        <w:rPr>
          <w:rFonts w:asciiTheme="minorBidi" w:hAnsiTheme="minorBidi"/>
          <w:sz w:val="24"/>
          <w:szCs w:val="24"/>
        </w:rPr>
        <w:t xml:space="preserve">Future research should investigate the views of other stakeholders, such as policymakers, managers, and patients, to identify their opinions on pharmacists’ involvement in diabetes primary care management. </w:t>
      </w:r>
    </w:p>
    <w:p w14:paraId="6634FB1C" w14:textId="31DCD3DD" w:rsidR="00FA7940" w:rsidRPr="00250CC3" w:rsidRDefault="00FA7940" w:rsidP="00517328">
      <w:pPr>
        <w:spacing w:before="240" w:after="0" w:line="360" w:lineRule="auto"/>
        <w:jc w:val="both"/>
        <w:rPr>
          <w:rFonts w:asciiTheme="minorBidi" w:hAnsiTheme="minorBidi"/>
          <w:sz w:val="24"/>
          <w:szCs w:val="24"/>
        </w:rPr>
      </w:pPr>
      <w:r w:rsidRPr="00250CC3">
        <w:rPr>
          <w:rFonts w:asciiTheme="minorBidi" w:hAnsiTheme="minorBidi"/>
          <w:sz w:val="24"/>
          <w:szCs w:val="24"/>
        </w:rPr>
        <w:t>This study was also significantly impacted by the COVID pandemic</w:t>
      </w:r>
      <w:r w:rsidR="00517328" w:rsidRPr="00250CC3">
        <w:rPr>
          <w:rFonts w:asciiTheme="minorBidi" w:hAnsiTheme="minorBidi"/>
          <w:sz w:val="24"/>
          <w:szCs w:val="24"/>
        </w:rPr>
        <w:t xml:space="preserve"> (</w:t>
      </w:r>
      <w:r w:rsidR="008B537E" w:rsidRPr="00250CC3">
        <w:rPr>
          <w:rFonts w:asciiTheme="minorBidi" w:hAnsiTheme="minorBidi"/>
          <w:sz w:val="24"/>
          <w:szCs w:val="24"/>
        </w:rPr>
        <w:t xml:space="preserve">Covid impact form is attached in </w:t>
      </w:r>
      <w:r w:rsidR="00237727" w:rsidRPr="00250CC3">
        <w:rPr>
          <w:rFonts w:asciiTheme="minorBidi" w:hAnsiTheme="minorBidi"/>
          <w:sz w:val="24"/>
          <w:szCs w:val="24"/>
        </w:rPr>
        <w:fldChar w:fldCharType="begin"/>
      </w:r>
      <w:r w:rsidR="00237727" w:rsidRPr="00250CC3">
        <w:rPr>
          <w:rFonts w:asciiTheme="minorBidi" w:hAnsiTheme="minorBidi"/>
          <w:sz w:val="24"/>
          <w:szCs w:val="24"/>
        </w:rPr>
        <w:instrText xml:space="preserve"> REF _Ref149899427 \h </w:instrText>
      </w:r>
      <w:r w:rsidR="00F01240" w:rsidRPr="00250CC3">
        <w:rPr>
          <w:rFonts w:asciiTheme="minorBidi" w:hAnsiTheme="minorBidi"/>
          <w:sz w:val="24"/>
          <w:szCs w:val="24"/>
        </w:rPr>
        <w:instrText xml:space="preserve"> \* MERGEFORMAT </w:instrText>
      </w:r>
      <w:r w:rsidR="00237727" w:rsidRPr="00250CC3">
        <w:rPr>
          <w:rFonts w:asciiTheme="minorBidi" w:hAnsiTheme="minorBidi"/>
          <w:sz w:val="24"/>
          <w:szCs w:val="24"/>
        </w:rPr>
      </w:r>
      <w:r w:rsidR="00237727" w:rsidRPr="00250CC3">
        <w:rPr>
          <w:rFonts w:asciiTheme="minorBidi" w:hAnsiTheme="minorBidi"/>
          <w:sz w:val="24"/>
          <w:szCs w:val="24"/>
        </w:rPr>
        <w:fldChar w:fldCharType="separate"/>
      </w:r>
      <w:r w:rsidR="00237727" w:rsidRPr="00250CC3">
        <w:rPr>
          <w:rFonts w:asciiTheme="minorBidi" w:hAnsiTheme="minorBidi"/>
          <w:sz w:val="24"/>
          <w:szCs w:val="24"/>
        </w:rPr>
        <w:t>Appendix R</w:t>
      </w:r>
      <w:r w:rsidR="00237727" w:rsidRPr="00250CC3">
        <w:rPr>
          <w:rFonts w:asciiTheme="minorBidi" w:hAnsiTheme="minorBidi"/>
          <w:sz w:val="24"/>
          <w:szCs w:val="24"/>
        </w:rPr>
        <w:fldChar w:fldCharType="end"/>
      </w:r>
      <w:r w:rsidR="009C415F" w:rsidRPr="00250CC3">
        <w:rPr>
          <w:rFonts w:asciiTheme="minorBidi" w:hAnsiTheme="minorBidi"/>
          <w:sz w:val="24"/>
          <w:szCs w:val="24"/>
        </w:rPr>
        <w:t>).</w:t>
      </w:r>
      <w:r w:rsidRPr="00250CC3">
        <w:rPr>
          <w:rFonts w:asciiTheme="minorBidi" w:hAnsiTheme="minorBidi"/>
          <w:sz w:val="24"/>
          <w:szCs w:val="24"/>
        </w:rPr>
        <w:t xml:space="preserve"> It was slightly challenging to collect data, as the study mainly targeted primary healthcare providers in Saudi Arabia. Since the data collection period was at the peak of the pandemic, participants' engagement was minimal. Therefore, we needed to slightly adjust the methods to approach the target population.</w:t>
      </w:r>
      <w:r w:rsidR="000F421B" w:rsidRPr="00250CC3">
        <w:rPr>
          <w:rFonts w:asciiTheme="minorBidi" w:hAnsiTheme="minorBidi"/>
          <w:sz w:val="24"/>
          <w:szCs w:val="24"/>
        </w:rPr>
        <w:t xml:space="preserve"> An amendment form was submitted to the university and the Ministry of Health of Saudi Arabia, and obtaining their approvals took some time.</w:t>
      </w:r>
    </w:p>
    <w:p w14:paraId="19926067" w14:textId="77777777" w:rsidR="00FA7940" w:rsidRPr="00250CC3" w:rsidRDefault="00FA7940" w:rsidP="00FA7940">
      <w:pPr>
        <w:spacing w:before="240" w:after="0" w:line="360" w:lineRule="auto"/>
        <w:jc w:val="both"/>
        <w:rPr>
          <w:rFonts w:asciiTheme="minorBidi" w:hAnsiTheme="minorBidi"/>
          <w:sz w:val="24"/>
          <w:szCs w:val="24"/>
        </w:rPr>
      </w:pPr>
      <w:r w:rsidRPr="00250CC3">
        <w:rPr>
          <w:rFonts w:asciiTheme="minorBidi" w:hAnsiTheme="minorBidi"/>
          <w:sz w:val="24"/>
          <w:szCs w:val="24"/>
        </w:rPr>
        <w:t>Furthermore, the questionnaire used in this research was in English. Since Arabic is the official language of Saudi Arabia, the use of English might have constituted a barrier to the effectiveness of the study. However, English is the main language in the medical field, and it is widely spoken among HCPs.</w:t>
      </w:r>
    </w:p>
    <w:p w14:paraId="495C0FD7" w14:textId="0FE063A5" w:rsidR="00FA7940" w:rsidRPr="00250CC3" w:rsidRDefault="000C1C7E" w:rsidP="00013F50">
      <w:pPr>
        <w:spacing w:before="240" w:line="360" w:lineRule="auto"/>
        <w:jc w:val="both"/>
        <w:rPr>
          <w:rFonts w:asciiTheme="minorBidi" w:hAnsiTheme="minorBidi"/>
          <w:sz w:val="24"/>
          <w:szCs w:val="24"/>
        </w:rPr>
      </w:pPr>
      <w:r w:rsidRPr="00250CC3">
        <w:rPr>
          <w:rFonts w:asciiTheme="minorBidi" w:hAnsiTheme="minorBidi"/>
          <w:sz w:val="24"/>
          <w:szCs w:val="24"/>
        </w:rPr>
        <w:t xml:space="preserve">A further potential limitation related to the use of Google Meet online interview and in several cases, participants preferring audio only without video online interviews. The initial aim was to conduct qualitative interviews </w:t>
      </w:r>
      <w:r w:rsidR="00FA7940" w:rsidRPr="00250CC3">
        <w:rPr>
          <w:rFonts w:asciiTheme="minorBidi" w:hAnsiTheme="minorBidi"/>
          <w:sz w:val="24"/>
          <w:szCs w:val="24"/>
        </w:rPr>
        <w:t xml:space="preserve">face-to-face with participants </w:t>
      </w:r>
      <w:r w:rsidRPr="00250CC3">
        <w:rPr>
          <w:rFonts w:asciiTheme="minorBidi" w:hAnsiTheme="minorBidi"/>
          <w:sz w:val="24"/>
          <w:szCs w:val="24"/>
        </w:rPr>
        <w:t xml:space="preserve">in person </w:t>
      </w:r>
      <w:r w:rsidR="00FA7940" w:rsidRPr="00250CC3">
        <w:rPr>
          <w:rFonts w:asciiTheme="minorBidi" w:hAnsiTheme="minorBidi"/>
          <w:sz w:val="24"/>
          <w:szCs w:val="24"/>
        </w:rPr>
        <w:t>at their workplace</w:t>
      </w:r>
      <w:r w:rsidRPr="00250CC3">
        <w:rPr>
          <w:rFonts w:asciiTheme="minorBidi" w:hAnsiTheme="minorBidi"/>
          <w:sz w:val="24"/>
          <w:szCs w:val="24"/>
        </w:rPr>
        <w:t xml:space="preserve"> in Saudi Arabia. However, </w:t>
      </w:r>
      <w:r w:rsidR="00FA7940" w:rsidRPr="00250CC3">
        <w:rPr>
          <w:rFonts w:asciiTheme="minorBidi" w:hAnsiTheme="minorBidi"/>
          <w:sz w:val="24"/>
          <w:szCs w:val="24"/>
        </w:rPr>
        <w:t>due to the COVID-19 restrictions,</w:t>
      </w:r>
      <w:r w:rsidR="00CC3629" w:rsidRPr="00250CC3">
        <w:rPr>
          <w:rFonts w:asciiTheme="minorBidi" w:hAnsiTheme="minorBidi"/>
          <w:sz w:val="24"/>
          <w:szCs w:val="24"/>
        </w:rPr>
        <w:t xml:space="preserve"> </w:t>
      </w:r>
      <w:r w:rsidR="00FA7940" w:rsidRPr="00250CC3">
        <w:rPr>
          <w:rFonts w:asciiTheme="minorBidi" w:hAnsiTheme="minorBidi"/>
          <w:sz w:val="24"/>
          <w:szCs w:val="24"/>
        </w:rPr>
        <w:t xml:space="preserve">in-person interviews </w:t>
      </w:r>
      <w:r w:rsidRPr="00250CC3">
        <w:rPr>
          <w:rFonts w:asciiTheme="minorBidi" w:hAnsiTheme="minorBidi"/>
          <w:sz w:val="24"/>
          <w:szCs w:val="24"/>
        </w:rPr>
        <w:t>were</w:t>
      </w:r>
      <w:r w:rsidR="00D15909" w:rsidRPr="00250CC3">
        <w:rPr>
          <w:rFonts w:asciiTheme="minorBidi" w:hAnsiTheme="minorBidi"/>
          <w:sz w:val="24"/>
          <w:szCs w:val="24"/>
        </w:rPr>
        <w:t xml:space="preserve"> </w:t>
      </w:r>
      <w:r w:rsidRPr="00250CC3">
        <w:rPr>
          <w:rFonts w:asciiTheme="minorBidi" w:hAnsiTheme="minorBidi"/>
          <w:sz w:val="24"/>
          <w:szCs w:val="24"/>
        </w:rPr>
        <w:t>strictly prohibited for a long period of this research hence these and had to be</w:t>
      </w:r>
      <w:r w:rsidR="00FA7940" w:rsidRPr="00250CC3">
        <w:rPr>
          <w:rFonts w:asciiTheme="minorBidi" w:hAnsiTheme="minorBidi"/>
          <w:sz w:val="24"/>
          <w:szCs w:val="24"/>
        </w:rPr>
        <w:t xml:space="preserve"> conducted remotely via Google </w:t>
      </w:r>
      <w:r w:rsidRPr="00250CC3">
        <w:rPr>
          <w:rFonts w:asciiTheme="minorBidi" w:hAnsiTheme="minorBidi"/>
          <w:sz w:val="24"/>
          <w:szCs w:val="24"/>
        </w:rPr>
        <w:t>M</w:t>
      </w:r>
      <w:r w:rsidR="00FA7940" w:rsidRPr="00250CC3">
        <w:rPr>
          <w:rFonts w:asciiTheme="minorBidi" w:hAnsiTheme="minorBidi"/>
          <w:sz w:val="24"/>
          <w:szCs w:val="24"/>
        </w:rPr>
        <w:t>eet in accordance with the University of Sheffield policy.</w:t>
      </w:r>
      <w:r w:rsidRPr="00250CC3">
        <w:rPr>
          <w:rFonts w:asciiTheme="minorBidi" w:hAnsiTheme="minorBidi"/>
          <w:sz w:val="24"/>
          <w:szCs w:val="24"/>
        </w:rPr>
        <w:t xml:space="preserve"> It is recognised that this could have </w:t>
      </w:r>
      <w:r w:rsidR="00D15909" w:rsidRPr="00250CC3">
        <w:rPr>
          <w:rFonts w:asciiTheme="minorBidi" w:hAnsiTheme="minorBidi"/>
          <w:sz w:val="24"/>
          <w:szCs w:val="24"/>
        </w:rPr>
        <w:t xml:space="preserve">made it difficult to establish a rapport and appreciate the non-verbal communication perspective of the interview. Of note, however, was </w:t>
      </w:r>
      <w:r w:rsidR="00FA7940" w:rsidRPr="00250CC3">
        <w:rPr>
          <w:rFonts w:asciiTheme="minorBidi" w:hAnsiTheme="minorBidi"/>
          <w:sz w:val="24"/>
          <w:szCs w:val="24"/>
        </w:rPr>
        <w:t>that s</w:t>
      </w:r>
      <w:r w:rsidRPr="00250CC3">
        <w:rPr>
          <w:rFonts w:asciiTheme="minorBidi" w:hAnsiTheme="minorBidi"/>
          <w:sz w:val="24"/>
          <w:szCs w:val="24"/>
        </w:rPr>
        <w:t>everal</w:t>
      </w:r>
      <w:r w:rsidR="00FA7940" w:rsidRPr="00250CC3">
        <w:rPr>
          <w:rFonts w:asciiTheme="minorBidi" w:hAnsiTheme="minorBidi"/>
          <w:sz w:val="24"/>
          <w:szCs w:val="24"/>
        </w:rPr>
        <w:t xml:space="preserve"> participants </w:t>
      </w:r>
      <w:r w:rsidR="00D15909" w:rsidRPr="00250CC3">
        <w:rPr>
          <w:rFonts w:asciiTheme="minorBidi" w:hAnsiTheme="minorBidi"/>
          <w:sz w:val="24"/>
          <w:szCs w:val="24"/>
        </w:rPr>
        <w:t xml:space="preserve">did actually </w:t>
      </w:r>
      <w:r w:rsidR="00FA7940" w:rsidRPr="00250CC3">
        <w:rPr>
          <w:rFonts w:asciiTheme="minorBidi" w:hAnsiTheme="minorBidi"/>
          <w:sz w:val="24"/>
          <w:szCs w:val="24"/>
        </w:rPr>
        <w:t>prefer</w:t>
      </w:r>
      <w:r w:rsidR="00D15909" w:rsidRPr="00250CC3">
        <w:rPr>
          <w:rFonts w:asciiTheme="minorBidi" w:hAnsiTheme="minorBidi"/>
          <w:sz w:val="24"/>
          <w:szCs w:val="24"/>
        </w:rPr>
        <w:t xml:space="preserve"> </w:t>
      </w:r>
      <w:r w:rsidR="00FA7940" w:rsidRPr="00250CC3">
        <w:rPr>
          <w:rFonts w:asciiTheme="minorBidi" w:hAnsiTheme="minorBidi"/>
          <w:sz w:val="24"/>
          <w:szCs w:val="24"/>
        </w:rPr>
        <w:t xml:space="preserve">to attend interviews </w:t>
      </w:r>
      <w:r w:rsidR="00D15909" w:rsidRPr="00250CC3">
        <w:rPr>
          <w:rFonts w:asciiTheme="minorBidi" w:hAnsiTheme="minorBidi"/>
          <w:sz w:val="24"/>
          <w:szCs w:val="24"/>
        </w:rPr>
        <w:t xml:space="preserve">remotely </w:t>
      </w:r>
      <w:r w:rsidR="00FA7940" w:rsidRPr="00250CC3">
        <w:rPr>
          <w:rFonts w:asciiTheme="minorBidi" w:hAnsiTheme="minorBidi"/>
          <w:sz w:val="24"/>
          <w:szCs w:val="24"/>
        </w:rPr>
        <w:t>with their camera off</w:t>
      </w:r>
      <w:r w:rsidRPr="00250CC3">
        <w:rPr>
          <w:rFonts w:asciiTheme="minorBidi" w:hAnsiTheme="minorBidi"/>
          <w:sz w:val="24"/>
          <w:szCs w:val="24"/>
        </w:rPr>
        <w:t>; this was the case for several</w:t>
      </w:r>
      <w:r w:rsidR="00FA7940" w:rsidRPr="00250CC3">
        <w:rPr>
          <w:rFonts w:asciiTheme="minorBidi" w:hAnsiTheme="minorBidi"/>
          <w:sz w:val="24"/>
          <w:szCs w:val="24"/>
        </w:rPr>
        <w:t xml:space="preserve"> female participants </w:t>
      </w:r>
      <w:r w:rsidRPr="00250CC3">
        <w:rPr>
          <w:rFonts w:asciiTheme="minorBidi" w:hAnsiTheme="minorBidi"/>
          <w:sz w:val="24"/>
          <w:szCs w:val="24"/>
        </w:rPr>
        <w:t xml:space="preserve">and </w:t>
      </w:r>
      <w:r w:rsidR="00D15909" w:rsidRPr="00250CC3">
        <w:rPr>
          <w:rFonts w:asciiTheme="minorBidi" w:hAnsiTheme="minorBidi"/>
          <w:sz w:val="24"/>
          <w:szCs w:val="24"/>
        </w:rPr>
        <w:t xml:space="preserve">argued to be related to </w:t>
      </w:r>
      <w:r w:rsidR="00FA7940" w:rsidRPr="00250CC3">
        <w:rPr>
          <w:rFonts w:asciiTheme="minorBidi" w:hAnsiTheme="minorBidi"/>
          <w:sz w:val="24"/>
          <w:szCs w:val="24"/>
        </w:rPr>
        <w:t>Saudi society being conservative</w:t>
      </w:r>
      <w:r w:rsidR="00D15909" w:rsidRPr="00250CC3">
        <w:rPr>
          <w:rFonts w:asciiTheme="minorBidi" w:hAnsiTheme="minorBidi"/>
          <w:sz w:val="24"/>
          <w:szCs w:val="24"/>
        </w:rPr>
        <w:t xml:space="preserve"> in nature.</w:t>
      </w:r>
    </w:p>
    <w:p w14:paraId="2FA834AA" w14:textId="77777777" w:rsidR="00615C51" w:rsidRDefault="00615C51" w:rsidP="00FA7940">
      <w:pPr>
        <w:spacing w:before="240" w:after="0" w:line="360" w:lineRule="auto"/>
        <w:jc w:val="both"/>
        <w:rPr>
          <w:rFonts w:asciiTheme="minorBidi" w:hAnsiTheme="minorBidi"/>
          <w:sz w:val="24"/>
          <w:szCs w:val="24"/>
        </w:rPr>
      </w:pPr>
      <w:r w:rsidRPr="00615C51">
        <w:rPr>
          <w:rFonts w:asciiTheme="minorBidi" w:hAnsiTheme="minorBidi"/>
          <w:sz w:val="24"/>
          <w:szCs w:val="24"/>
        </w:rPr>
        <w:t>This research has other limitations. The research topic is broad, and the terms and databases used to search for relevant studies were wide. It was kept broadly to capture more studies related to the research topic, but there were also more non-relevant studies to sift through. Papers were assessed by a single researcher for inclusion, and reasons for exclusion were documented to reduce the risk of bias. Therefore, some studies might have been missed out of the review. In addition, the search was limited to studies published in English, and a single researcher extracted and analysed the data.</w:t>
      </w:r>
    </w:p>
    <w:p w14:paraId="710EC8AF" w14:textId="7495F963" w:rsidR="00FA7940" w:rsidRPr="00E11AE9" w:rsidRDefault="00FA7940" w:rsidP="00E11AE9">
      <w:pPr>
        <w:spacing w:before="240" w:after="0" w:line="360" w:lineRule="auto"/>
        <w:jc w:val="both"/>
        <w:rPr>
          <w:rFonts w:asciiTheme="minorBidi" w:hAnsiTheme="minorBidi"/>
          <w:sz w:val="24"/>
          <w:szCs w:val="24"/>
        </w:rPr>
      </w:pPr>
      <w:r w:rsidRPr="00B60347">
        <w:rPr>
          <w:rFonts w:asciiTheme="minorBidi" w:hAnsiTheme="minorBidi"/>
          <w:sz w:val="24"/>
          <w:szCs w:val="24"/>
        </w:rPr>
        <w:t xml:space="preserve">Another limitation was that </w:t>
      </w:r>
      <w:r>
        <w:rPr>
          <w:rFonts w:asciiTheme="minorBidi" w:hAnsiTheme="minorBidi"/>
          <w:sz w:val="24"/>
          <w:szCs w:val="24"/>
        </w:rPr>
        <w:t xml:space="preserve">the quantitative survey </w:t>
      </w:r>
      <w:r w:rsidRPr="00B60347">
        <w:rPr>
          <w:rFonts w:asciiTheme="minorBidi" w:hAnsiTheme="minorBidi"/>
          <w:sz w:val="24"/>
          <w:szCs w:val="24"/>
        </w:rPr>
        <w:t>part of this research was based on participant self-report</w:t>
      </w:r>
      <w:r>
        <w:rPr>
          <w:rFonts w:asciiTheme="minorBidi" w:hAnsiTheme="minorBidi"/>
          <w:sz w:val="24"/>
          <w:szCs w:val="24"/>
        </w:rPr>
        <w:t xml:space="preserve"> and whilst this is appropriate for capturing attitudes and beliefs, in terms of reporting experiences two issues may have arisen: the first relates to recall bias and participants inaccurately remembering when asked about activities undertaken some time ago for example, and the second relates to the possibility that participants may have intentionally under- or over-reported some activities with the aim of showing their practice in a more positive way. These are recognised as possible concerns but to address them would have required much more costly and time-consuming primary observation methods which were not appropriate for doctoral study. </w:t>
      </w:r>
      <w:r w:rsidRPr="003A1711">
        <w:rPr>
          <w:rFonts w:asciiTheme="minorBidi" w:hAnsiTheme="minorBidi"/>
          <w:color w:val="00B050"/>
          <w:sz w:val="24"/>
          <w:szCs w:val="24"/>
        </w:rPr>
        <w:t xml:space="preserve"> </w:t>
      </w:r>
    </w:p>
    <w:p w14:paraId="3134A044" w14:textId="6470A359" w:rsidR="00FA7940" w:rsidRPr="00250CC3" w:rsidRDefault="00FA7940" w:rsidP="0049658D">
      <w:pPr>
        <w:spacing w:before="240" w:after="0" w:line="360" w:lineRule="auto"/>
        <w:jc w:val="both"/>
        <w:rPr>
          <w:rFonts w:asciiTheme="minorBidi" w:hAnsiTheme="minorBidi"/>
          <w:sz w:val="24"/>
          <w:szCs w:val="24"/>
        </w:rPr>
      </w:pPr>
      <w:r w:rsidRPr="00250CC3">
        <w:rPr>
          <w:rFonts w:asciiTheme="minorBidi" w:hAnsiTheme="minorBidi"/>
          <w:sz w:val="24"/>
          <w:szCs w:val="24"/>
        </w:rPr>
        <w:t xml:space="preserve">One final limitation </w:t>
      </w:r>
      <w:r w:rsidR="00D15909" w:rsidRPr="00250CC3">
        <w:rPr>
          <w:rFonts w:asciiTheme="minorBidi" w:hAnsiTheme="minorBidi"/>
          <w:sz w:val="24"/>
          <w:szCs w:val="24"/>
        </w:rPr>
        <w:t xml:space="preserve">linked to reflexivity and considered initially in chapter one, </w:t>
      </w:r>
      <w:r w:rsidRPr="00250CC3">
        <w:rPr>
          <w:rFonts w:asciiTheme="minorBidi" w:hAnsiTheme="minorBidi"/>
          <w:sz w:val="24"/>
          <w:szCs w:val="24"/>
        </w:rPr>
        <w:t xml:space="preserve">is that the </w:t>
      </w:r>
      <w:r w:rsidR="00D15909" w:rsidRPr="00250CC3">
        <w:rPr>
          <w:rFonts w:asciiTheme="minorBidi" w:hAnsiTheme="minorBidi"/>
          <w:sz w:val="24"/>
          <w:szCs w:val="24"/>
        </w:rPr>
        <w:t xml:space="preserve">research and </w:t>
      </w:r>
      <w:r w:rsidRPr="00250CC3">
        <w:rPr>
          <w:rFonts w:asciiTheme="minorBidi" w:hAnsiTheme="minorBidi"/>
          <w:sz w:val="24"/>
          <w:szCs w:val="24"/>
        </w:rPr>
        <w:t xml:space="preserve">interviews </w:t>
      </w:r>
      <w:r w:rsidR="00D15909" w:rsidRPr="00250CC3">
        <w:rPr>
          <w:rFonts w:asciiTheme="minorBidi" w:hAnsiTheme="minorBidi"/>
          <w:sz w:val="24"/>
          <w:szCs w:val="24"/>
        </w:rPr>
        <w:t xml:space="preserve">in particular </w:t>
      </w:r>
      <w:r w:rsidRPr="00250CC3">
        <w:rPr>
          <w:rFonts w:asciiTheme="minorBidi" w:hAnsiTheme="minorBidi"/>
          <w:sz w:val="24"/>
          <w:szCs w:val="24"/>
        </w:rPr>
        <w:t xml:space="preserve">were conducted by </w:t>
      </w:r>
      <w:r w:rsidR="00D15909" w:rsidRPr="00250CC3">
        <w:rPr>
          <w:rFonts w:asciiTheme="minorBidi" w:hAnsiTheme="minorBidi"/>
          <w:sz w:val="24"/>
          <w:szCs w:val="24"/>
        </w:rPr>
        <w:t xml:space="preserve">me as </w:t>
      </w:r>
      <w:r w:rsidRPr="00250CC3">
        <w:rPr>
          <w:rFonts w:asciiTheme="minorBidi" w:hAnsiTheme="minorBidi"/>
          <w:sz w:val="24"/>
          <w:szCs w:val="24"/>
        </w:rPr>
        <w:t>a pharmacist,</w:t>
      </w:r>
      <w:r w:rsidR="00B86614" w:rsidRPr="00250CC3">
        <w:rPr>
          <w:rFonts w:asciiTheme="minorBidi" w:hAnsiTheme="minorBidi"/>
          <w:sz w:val="24"/>
          <w:szCs w:val="24"/>
        </w:rPr>
        <w:t xml:space="preserve"> </w:t>
      </w:r>
      <w:r w:rsidR="00D15909" w:rsidRPr="00250CC3">
        <w:rPr>
          <w:rFonts w:asciiTheme="minorBidi" w:hAnsiTheme="minorBidi"/>
          <w:sz w:val="24"/>
          <w:szCs w:val="24"/>
        </w:rPr>
        <w:t xml:space="preserve">with </w:t>
      </w:r>
      <w:r w:rsidR="00C448D5" w:rsidRPr="00250CC3">
        <w:rPr>
          <w:rFonts w:asciiTheme="minorBidi" w:hAnsiTheme="minorBidi"/>
          <w:sz w:val="24"/>
          <w:szCs w:val="24"/>
        </w:rPr>
        <w:t xml:space="preserve">experience practicing </w:t>
      </w:r>
      <w:r w:rsidR="007C1AEC" w:rsidRPr="00250CC3">
        <w:rPr>
          <w:rFonts w:asciiTheme="minorBidi" w:hAnsiTheme="minorBidi"/>
          <w:sz w:val="24"/>
          <w:szCs w:val="24"/>
        </w:rPr>
        <w:t>in the research setting</w:t>
      </w:r>
      <w:r w:rsidR="00EE64DE" w:rsidRPr="00250CC3">
        <w:rPr>
          <w:rFonts w:asciiTheme="minorBidi" w:hAnsiTheme="minorBidi"/>
          <w:sz w:val="24"/>
          <w:szCs w:val="24"/>
        </w:rPr>
        <w:t xml:space="preserve"> and within primary care teams</w:t>
      </w:r>
      <w:r w:rsidR="00D15909" w:rsidRPr="00250CC3">
        <w:rPr>
          <w:rFonts w:asciiTheme="minorBidi" w:hAnsiTheme="minorBidi"/>
          <w:sz w:val="24"/>
          <w:szCs w:val="24"/>
        </w:rPr>
        <w:t>;</w:t>
      </w:r>
      <w:r w:rsidRPr="00250CC3">
        <w:rPr>
          <w:rFonts w:asciiTheme="minorBidi" w:hAnsiTheme="minorBidi"/>
          <w:sz w:val="24"/>
          <w:szCs w:val="24"/>
        </w:rPr>
        <w:t xml:space="preserve"> this may have influenced how the interviewees responses, particularly in terms of being negative about pharmacy profession. </w:t>
      </w:r>
      <w:r w:rsidR="00FD2036" w:rsidRPr="00250CC3">
        <w:rPr>
          <w:rFonts w:asciiTheme="minorBidi" w:hAnsiTheme="minorBidi"/>
          <w:sz w:val="24"/>
          <w:szCs w:val="24"/>
        </w:rPr>
        <w:t xml:space="preserve">Thus, </w:t>
      </w:r>
      <w:r w:rsidR="00EB5FD9" w:rsidRPr="00250CC3">
        <w:rPr>
          <w:rFonts w:asciiTheme="minorBidi" w:hAnsiTheme="minorBidi"/>
          <w:sz w:val="24"/>
          <w:szCs w:val="24"/>
        </w:rPr>
        <w:t xml:space="preserve">a researcher bias is a potential limitation of his research. </w:t>
      </w:r>
    </w:p>
    <w:p w14:paraId="4AF51856" w14:textId="44436629" w:rsidR="00FA7940" w:rsidRPr="00250CC3" w:rsidRDefault="00FA7940" w:rsidP="00FA7940">
      <w:pPr>
        <w:spacing w:before="240" w:after="0" w:line="360" w:lineRule="auto"/>
        <w:jc w:val="both"/>
        <w:rPr>
          <w:rFonts w:asciiTheme="minorBidi" w:hAnsiTheme="minorBidi"/>
          <w:sz w:val="24"/>
          <w:szCs w:val="24"/>
        </w:rPr>
      </w:pPr>
      <w:r w:rsidRPr="00250CC3">
        <w:rPr>
          <w:rFonts w:asciiTheme="minorBidi" w:hAnsiTheme="minorBidi"/>
          <w:sz w:val="24"/>
          <w:szCs w:val="24"/>
        </w:rPr>
        <w:t xml:space="preserve">Despite all </w:t>
      </w:r>
      <w:r w:rsidR="00011F1A" w:rsidRPr="00250CC3">
        <w:rPr>
          <w:rFonts w:asciiTheme="minorBidi" w:hAnsiTheme="minorBidi"/>
          <w:sz w:val="24"/>
          <w:szCs w:val="24"/>
        </w:rPr>
        <w:t>these limitations</w:t>
      </w:r>
      <w:r w:rsidRPr="00250CC3">
        <w:rPr>
          <w:rFonts w:asciiTheme="minorBidi" w:hAnsiTheme="minorBidi"/>
          <w:sz w:val="24"/>
          <w:szCs w:val="24"/>
        </w:rPr>
        <w:t xml:space="preserve">, this study </w:t>
      </w:r>
      <w:r w:rsidR="00D15909" w:rsidRPr="00250CC3">
        <w:rPr>
          <w:rFonts w:asciiTheme="minorBidi" w:hAnsiTheme="minorBidi"/>
          <w:sz w:val="24"/>
          <w:szCs w:val="24"/>
        </w:rPr>
        <w:t xml:space="preserve">is argued </w:t>
      </w:r>
      <w:r w:rsidRPr="00250CC3">
        <w:rPr>
          <w:rFonts w:asciiTheme="minorBidi" w:hAnsiTheme="minorBidi"/>
          <w:sz w:val="24"/>
          <w:szCs w:val="24"/>
        </w:rPr>
        <w:t>to</w:t>
      </w:r>
      <w:r w:rsidR="00D15909" w:rsidRPr="00250CC3">
        <w:rPr>
          <w:rFonts w:asciiTheme="minorBidi" w:hAnsiTheme="minorBidi"/>
          <w:sz w:val="24"/>
          <w:szCs w:val="24"/>
        </w:rPr>
        <w:t xml:space="preserve"> make a contribution to</w:t>
      </w:r>
      <w:r w:rsidRPr="00250CC3">
        <w:rPr>
          <w:rFonts w:asciiTheme="minorBidi" w:hAnsiTheme="minorBidi"/>
          <w:sz w:val="24"/>
          <w:szCs w:val="24"/>
        </w:rPr>
        <w:t xml:space="preserve"> knowledge in the </w:t>
      </w:r>
      <w:r w:rsidR="00D15909" w:rsidRPr="00250CC3">
        <w:rPr>
          <w:rFonts w:asciiTheme="minorBidi" w:hAnsiTheme="minorBidi"/>
          <w:sz w:val="24"/>
          <w:szCs w:val="24"/>
        </w:rPr>
        <w:t xml:space="preserve">context </w:t>
      </w:r>
      <w:r w:rsidRPr="00250CC3">
        <w:rPr>
          <w:rFonts w:asciiTheme="minorBidi" w:hAnsiTheme="minorBidi"/>
          <w:sz w:val="24"/>
          <w:szCs w:val="24"/>
        </w:rPr>
        <w:t>pharmacy practice as in Saudi Arabia</w:t>
      </w:r>
      <w:r w:rsidR="00D15909" w:rsidRPr="00250CC3">
        <w:rPr>
          <w:rFonts w:asciiTheme="minorBidi" w:hAnsiTheme="minorBidi"/>
          <w:sz w:val="24"/>
          <w:szCs w:val="24"/>
        </w:rPr>
        <w:t xml:space="preserve"> and diabetes care</w:t>
      </w:r>
      <w:r w:rsidRPr="00250CC3">
        <w:rPr>
          <w:rFonts w:asciiTheme="minorBidi" w:hAnsiTheme="minorBidi"/>
          <w:sz w:val="24"/>
          <w:szCs w:val="24"/>
        </w:rPr>
        <w:t xml:space="preserve">, </w:t>
      </w:r>
      <w:r w:rsidR="00D15909" w:rsidRPr="00250CC3">
        <w:rPr>
          <w:rFonts w:asciiTheme="minorBidi" w:hAnsiTheme="minorBidi"/>
          <w:sz w:val="24"/>
          <w:szCs w:val="24"/>
        </w:rPr>
        <w:t xml:space="preserve">and has considerable value as relatively </w:t>
      </w:r>
      <w:r w:rsidR="007F7C41" w:rsidRPr="00250CC3">
        <w:rPr>
          <w:rFonts w:asciiTheme="minorBidi" w:hAnsiTheme="minorBidi"/>
          <w:sz w:val="24"/>
          <w:szCs w:val="24"/>
        </w:rPr>
        <w:t>little is</w:t>
      </w:r>
      <w:r w:rsidR="00D15909" w:rsidRPr="00250CC3">
        <w:rPr>
          <w:rFonts w:asciiTheme="minorBidi" w:hAnsiTheme="minorBidi"/>
          <w:sz w:val="24"/>
          <w:szCs w:val="24"/>
        </w:rPr>
        <w:t xml:space="preserve"> still known about this topic and setting.</w:t>
      </w:r>
      <w:r w:rsidRPr="00250CC3">
        <w:rPr>
          <w:rFonts w:asciiTheme="minorBidi" w:hAnsiTheme="minorBidi"/>
          <w:sz w:val="24"/>
          <w:szCs w:val="24"/>
        </w:rPr>
        <w:t xml:space="preserve">  </w:t>
      </w:r>
    </w:p>
    <w:p w14:paraId="37B36798" w14:textId="77777777" w:rsidR="00FA7940" w:rsidRPr="00250CC3" w:rsidRDefault="00FA7940" w:rsidP="00FA7940">
      <w:pPr>
        <w:rPr>
          <w:rFonts w:ascii="Arial" w:eastAsiaTheme="majorEastAsia" w:hAnsi="Arial" w:cstheme="majorBidi"/>
          <w:sz w:val="26"/>
          <w:szCs w:val="26"/>
        </w:rPr>
      </w:pPr>
      <w:r w:rsidRPr="00250CC3">
        <w:br w:type="page"/>
      </w:r>
    </w:p>
    <w:p w14:paraId="789A0F94" w14:textId="77777777" w:rsidR="00FA7940" w:rsidRDefault="00FA7940" w:rsidP="00FA7940">
      <w:pPr>
        <w:pStyle w:val="Heading2"/>
        <w:numPr>
          <w:ilvl w:val="1"/>
          <w:numId w:val="30"/>
        </w:numPr>
        <w:spacing w:line="257" w:lineRule="auto"/>
        <w:ind w:left="0" w:firstLine="0"/>
      </w:pPr>
      <w:bookmarkStart w:id="286" w:name="_Toc153894218"/>
      <w:r>
        <w:t>Implications for diabetes care in Saudi Arabia</w:t>
      </w:r>
      <w:bookmarkEnd w:id="286"/>
      <w:r>
        <w:t xml:space="preserve"> </w:t>
      </w:r>
    </w:p>
    <w:p w14:paraId="4954870B" w14:textId="77777777" w:rsidR="00FA7940" w:rsidRDefault="00FA7940" w:rsidP="00FA7940">
      <w:pPr>
        <w:rPr>
          <w:rFonts w:cstheme="minorHAnsi"/>
          <w:sz w:val="20"/>
          <w:szCs w:val="20"/>
        </w:rPr>
      </w:pPr>
    </w:p>
    <w:p w14:paraId="4ACD8896" w14:textId="77777777" w:rsidR="00FA7940" w:rsidRDefault="00FA7940" w:rsidP="00FA7940">
      <w:pPr>
        <w:pStyle w:val="Heading3"/>
        <w:numPr>
          <w:ilvl w:val="2"/>
          <w:numId w:val="30"/>
        </w:numPr>
        <w:spacing w:line="257" w:lineRule="auto"/>
        <w:ind w:left="0" w:firstLine="0"/>
      </w:pPr>
      <w:bookmarkStart w:id="287" w:name="_Toc153894219"/>
      <w:r>
        <w:t>Implications for practice</w:t>
      </w:r>
      <w:bookmarkEnd w:id="287"/>
    </w:p>
    <w:p w14:paraId="49FDC94B" w14:textId="77777777" w:rsidR="00FA7940" w:rsidRPr="000075F5" w:rsidRDefault="00FA7940" w:rsidP="00FA7940">
      <w:pPr>
        <w:spacing w:line="360" w:lineRule="auto"/>
        <w:jc w:val="both"/>
        <w:rPr>
          <w:rFonts w:ascii="Arial" w:hAnsi="Arial" w:cs="Arial"/>
          <w:sz w:val="24"/>
          <w:szCs w:val="24"/>
        </w:rPr>
      </w:pPr>
      <w:r w:rsidRPr="009C073A">
        <w:rPr>
          <w:rFonts w:ascii="Arial" w:hAnsi="Arial" w:cs="Arial"/>
          <w:sz w:val="24"/>
          <w:szCs w:val="24"/>
        </w:rPr>
        <w:t xml:space="preserve">This research </w:t>
      </w:r>
      <w:r>
        <w:rPr>
          <w:rFonts w:ascii="Arial" w:hAnsi="Arial" w:cs="Arial"/>
          <w:sz w:val="24"/>
          <w:szCs w:val="24"/>
        </w:rPr>
        <w:t xml:space="preserve">has </w:t>
      </w:r>
      <w:r w:rsidRPr="009C073A">
        <w:rPr>
          <w:rFonts w:ascii="Arial" w:hAnsi="Arial" w:cs="Arial"/>
          <w:sz w:val="24"/>
          <w:szCs w:val="24"/>
        </w:rPr>
        <w:t>add</w:t>
      </w:r>
      <w:r>
        <w:rPr>
          <w:rFonts w:ascii="Arial" w:hAnsi="Arial" w:cs="Arial"/>
          <w:sz w:val="24"/>
          <w:szCs w:val="24"/>
        </w:rPr>
        <w:t>ed</w:t>
      </w:r>
      <w:r w:rsidRPr="009C073A">
        <w:rPr>
          <w:rFonts w:ascii="Arial" w:hAnsi="Arial" w:cs="Arial"/>
          <w:sz w:val="24"/>
          <w:szCs w:val="24"/>
        </w:rPr>
        <w:t xml:space="preserve"> to existing knowledge about the involvement of pharmacists in diabetes management in primary care practice</w:t>
      </w:r>
      <w:r>
        <w:t xml:space="preserve">. </w:t>
      </w:r>
      <w:r w:rsidRPr="000075F5">
        <w:rPr>
          <w:rFonts w:ascii="Arial" w:hAnsi="Arial" w:cs="Arial"/>
          <w:sz w:val="24"/>
          <w:szCs w:val="24"/>
        </w:rPr>
        <w:t>The findings of this research enhance understanding of the current practice of diabetes care in PHCs</w:t>
      </w:r>
      <w:r>
        <w:rPr>
          <w:rFonts w:ascii="Arial" w:hAnsi="Arial" w:cs="Arial"/>
          <w:sz w:val="24"/>
          <w:szCs w:val="24"/>
        </w:rPr>
        <w:t xml:space="preserve"> in SA</w:t>
      </w:r>
      <w:r w:rsidRPr="000075F5">
        <w:rPr>
          <w:rFonts w:ascii="Arial" w:hAnsi="Arial" w:cs="Arial"/>
          <w:sz w:val="24"/>
          <w:szCs w:val="24"/>
        </w:rPr>
        <w:t xml:space="preserve">. It highlights the strengths and weaknesses of the current practice. The results of this research raise that the relocation of pharmacists from PHCs has led to a gap in the health care service, and primary care currently lacks pharmaceutical care; it found that essential pharmaceutical care services, such as medication review, medication consultation, and patient education, are urgently needed in PHCs. A need for pharmacists to be part of the diabetes primary care management team has been identified in this research. The study also suggests that pharmacists’ involvement in diabetes primary care management could enhance the quality of diabetes care in PHCs in </w:t>
      </w:r>
      <w:r>
        <w:rPr>
          <w:rFonts w:ascii="Arial" w:hAnsi="Arial" w:cs="Arial"/>
          <w:sz w:val="24"/>
          <w:szCs w:val="24"/>
        </w:rPr>
        <w:t>SA</w:t>
      </w:r>
      <w:r w:rsidRPr="000075F5">
        <w:rPr>
          <w:rFonts w:ascii="Arial" w:hAnsi="Arial" w:cs="Arial"/>
          <w:sz w:val="24"/>
          <w:szCs w:val="24"/>
        </w:rPr>
        <w:t xml:space="preserve">. This research found positive attitudes among </w:t>
      </w:r>
      <w:r>
        <w:rPr>
          <w:rFonts w:ascii="Arial" w:hAnsi="Arial" w:cs="Arial"/>
          <w:sz w:val="24"/>
          <w:szCs w:val="24"/>
        </w:rPr>
        <w:t>HCPs</w:t>
      </w:r>
      <w:r w:rsidRPr="000075F5">
        <w:rPr>
          <w:rFonts w:ascii="Arial" w:hAnsi="Arial" w:cs="Arial"/>
          <w:sz w:val="24"/>
          <w:szCs w:val="24"/>
        </w:rPr>
        <w:t xml:space="preserve"> (doctors, nurses, and pharmacists) toward the role of pharmacists in patient care in general and in diabetes care in particular, in addition to their important functions in the healthcare system. This finding would help to promote the introduction of pharmacists to the diabetes care team. This, in turn, would help to achieve the transformation strategy of Saudi M</w:t>
      </w:r>
      <w:r>
        <w:rPr>
          <w:rFonts w:ascii="Arial" w:hAnsi="Arial" w:cs="Arial"/>
          <w:sz w:val="24"/>
          <w:szCs w:val="24"/>
        </w:rPr>
        <w:t>o</w:t>
      </w:r>
      <w:r w:rsidRPr="000075F5">
        <w:rPr>
          <w:rFonts w:ascii="Arial" w:hAnsi="Arial" w:cs="Arial"/>
          <w:sz w:val="24"/>
          <w:szCs w:val="24"/>
        </w:rPr>
        <w:t xml:space="preserve">H, which has establishment of a </w:t>
      </w:r>
      <w:r>
        <w:rPr>
          <w:rFonts w:ascii="Arial" w:hAnsi="Arial" w:cs="Arial"/>
          <w:sz w:val="24"/>
          <w:szCs w:val="24"/>
        </w:rPr>
        <w:t>MDT</w:t>
      </w:r>
      <w:r w:rsidRPr="000075F5">
        <w:rPr>
          <w:rFonts w:ascii="Arial" w:hAnsi="Arial" w:cs="Arial"/>
          <w:sz w:val="24"/>
          <w:szCs w:val="24"/>
        </w:rPr>
        <w:t>-based approach as one of its objectives.</w:t>
      </w:r>
    </w:p>
    <w:p w14:paraId="2820242E" w14:textId="77777777" w:rsidR="00FA7940" w:rsidRDefault="00FA7940" w:rsidP="00FA7940">
      <w:pPr>
        <w:pStyle w:val="Heading3"/>
        <w:numPr>
          <w:ilvl w:val="2"/>
          <w:numId w:val="30"/>
        </w:numPr>
        <w:spacing w:line="257" w:lineRule="auto"/>
        <w:ind w:left="0" w:firstLine="0"/>
      </w:pPr>
      <w:bookmarkStart w:id="288" w:name="_Toc153894220"/>
      <w:r>
        <w:t>Recommendations for practice</w:t>
      </w:r>
      <w:bookmarkEnd w:id="288"/>
    </w:p>
    <w:p w14:paraId="7418BBB2" w14:textId="0F17FA4D" w:rsidR="00FA7940" w:rsidRPr="00250CC3" w:rsidRDefault="00FA7940" w:rsidP="002D1733">
      <w:pPr>
        <w:spacing w:line="360" w:lineRule="auto"/>
        <w:jc w:val="both"/>
        <w:rPr>
          <w:rFonts w:ascii="Arial" w:hAnsi="Arial" w:cs="Arial"/>
          <w:sz w:val="24"/>
          <w:szCs w:val="24"/>
        </w:rPr>
      </w:pPr>
      <w:r w:rsidRPr="007F64D5">
        <w:rPr>
          <w:rFonts w:ascii="Arial" w:hAnsi="Arial" w:cs="Arial"/>
          <w:sz w:val="24"/>
          <w:szCs w:val="24"/>
        </w:rPr>
        <w:t xml:space="preserve">In practice, qualified pharmacists who are not </w:t>
      </w:r>
      <w:r>
        <w:rPr>
          <w:rFonts w:ascii="Arial" w:hAnsi="Arial" w:cs="Arial"/>
          <w:sz w:val="24"/>
          <w:szCs w:val="24"/>
        </w:rPr>
        <w:t xml:space="preserve">fully </w:t>
      </w:r>
      <w:r w:rsidRPr="007F64D5">
        <w:rPr>
          <w:rFonts w:ascii="Arial" w:hAnsi="Arial" w:cs="Arial"/>
          <w:sz w:val="24"/>
          <w:szCs w:val="24"/>
        </w:rPr>
        <w:t xml:space="preserve">using their knowledge should actively look for gaps in service delivery and </w:t>
      </w:r>
      <w:r>
        <w:rPr>
          <w:rFonts w:ascii="Arial" w:hAnsi="Arial" w:cs="Arial"/>
          <w:sz w:val="24"/>
          <w:szCs w:val="24"/>
        </w:rPr>
        <w:t xml:space="preserve">seek to </w:t>
      </w:r>
      <w:r w:rsidRPr="007F64D5">
        <w:rPr>
          <w:rFonts w:ascii="Arial" w:hAnsi="Arial" w:cs="Arial"/>
          <w:sz w:val="24"/>
          <w:szCs w:val="24"/>
        </w:rPr>
        <w:t xml:space="preserve">expand their scope of practice into new areas of pharmaceutical care. </w:t>
      </w:r>
      <w:r>
        <w:rPr>
          <w:rFonts w:ascii="Arial" w:hAnsi="Arial" w:cs="Arial"/>
          <w:sz w:val="24"/>
          <w:szCs w:val="24"/>
        </w:rPr>
        <w:t>O</w:t>
      </w:r>
      <w:r w:rsidRPr="007F64D5">
        <w:rPr>
          <w:rFonts w:ascii="Arial" w:hAnsi="Arial" w:cs="Arial"/>
          <w:sz w:val="24"/>
          <w:szCs w:val="24"/>
        </w:rPr>
        <w:t xml:space="preserve">pportunities should be </w:t>
      </w:r>
      <w:r>
        <w:rPr>
          <w:rFonts w:ascii="Arial" w:hAnsi="Arial" w:cs="Arial"/>
          <w:sz w:val="24"/>
          <w:szCs w:val="24"/>
        </w:rPr>
        <w:t xml:space="preserve">sought </w:t>
      </w:r>
      <w:r w:rsidRPr="007F64D5">
        <w:rPr>
          <w:rFonts w:ascii="Arial" w:hAnsi="Arial" w:cs="Arial"/>
          <w:sz w:val="24"/>
          <w:szCs w:val="24"/>
        </w:rPr>
        <w:t xml:space="preserve">in places where the pharmacist's contribution is likely to be </w:t>
      </w:r>
      <w:r w:rsidRPr="00250CC3">
        <w:rPr>
          <w:rFonts w:ascii="Arial" w:hAnsi="Arial" w:cs="Arial"/>
          <w:sz w:val="24"/>
          <w:szCs w:val="24"/>
        </w:rPr>
        <w:t xml:space="preserve">valuable, such as in diabetes management in PHCs. </w:t>
      </w:r>
      <w:r w:rsidR="005156B8" w:rsidRPr="00250CC3">
        <w:rPr>
          <w:rFonts w:ascii="Arial" w:hAnsi="Arial" w:cs="Arial"/>
          <w:sz w:val="24"/>
          <w:szCs w:val="24"/>
        </w:rPr>
        <w:t>Therapeutic outcomes for patients with chronic diseases can be improved by implementing professional guidelines in routine pharmacy practice</w:t>
      </w:r>
      <w:r w:rsidR="002D1733" w:rsidRPr="00250CC3">
        <w:rPr>
          <w:rFonts w:ascii="Arial" w:hAnsi="Arial" w:cs="Arial"/>
          <w:sz w:val="24"/>
          <w:szCs w:val="24"/>
        </w:rPr>
        <w:t xml:space="preserve"> </w:t>
      </w:r>
      <w:r w:rsidR="002D1733" w:rsidRPr="00250CC3">
        <w:rPr>
          <w:rFonts w:ascii="Arial" w:hAnsi="Arial" w:cs="Arial"/>
          <w:sz w:val="24"/>
          <w:szCs w:val="24"/>
        </w:rPr>
        <w:fldChar w:fldCharType="begin" w:fldLock="1"/>
      </w:r>
      <w:r w:rsidR="002D1733" w:rsidRPr="00250CC3">
        <w:rPr>
          <w:rFonts w:ascii="Arial" w:hAnsi="Arial" w:cs="Arial"/>
          <w:sz w:val="24"/>
          <w:szCs w:val="24"/>
        </w:rPr>
        <w:instrText>ADDIN CSL_CITATION {"citationItems":[{"id":"ITEM-1","itemData":{"DOI":"10.3390/ijerph19106188","ISSN":"16604601","PMID":"35627724","abstract":"Type 2 diabetes mellitus has been assessed as a widespread disease globally. Unfortunately, this illness can occasionally go undetected and without symptoms until it reaches the emergency condition, and this can be notably true in patients who do not receive routine medical care. Pharmacists are the foremost accessible health care providers. They can help patients select the most appropriate hypoglycemic management strategy through their experiences. This review aimed to provide an overview of the literature published on community pharmacists’ interventions that are currently used and their usefulness in improving patient adherence and glycosylated hemoglobin (HbA1c) levels. Relevant studies were retrieved through a comprehensive search of three databases, PubMed/Medline, Web of Science, and CINAHL (2010 to 2020). In total, 8362 publications were identified. The final protocol was based on the “Preferred Reporting Items for Systematic Review and Meta-Analysis (PRISMA)”. After applying inclusion and exclusion measures, 21 articles were deemed relevant. In pharmacists’ interventions in diabetes care, patient education and counseling were the most common intervention methods. Essentially, this systematic review provides evidence and identifies the key features that may predict success in enhancing clinical outcomes and patient adherence to treatment. Based on our findings, we suggest further investigations of the root causes of non-adherence problems.","author":[{"dropping-particle":"","family":"Assaf","given":"Sarah","non-dropping-particle":"Al","parse-names":false,"suffix":""},{"dropping-particle":"","family":"Zelko","given":"Romana","non-dropping-particle":"","parse-names":false,"suffix":""},{"dropping-particle":"","family":"Hanko","given":"Balazs","non-dropping-particle":"","parse-names":false,"suffix":""}],"container-title":"International Journal of Environmental Research and Public Health","id":"ITEM-1","issue":"10","issued":{"date-parts":[["2022"]]},"title":"The Effect of Interventions Led by Community Pharmacists in Primary Care for Adults with Type 2 Diabetes Mellitus on Therapeutic Adherence and HbA1c Levels: A Systematic Review","type":"article-journal","volume":"19"},"uris":["http://www.mendeley.com/documents/?uuid=03eb66c1-df31-4fbe-8973-6fb41167a258"]}],"mendeley":{"formattedCitation":"(Al Assaf, Zelko and Hanko, 2022)","plainTextFormattedCitation":"(Al Assaf, Zelko and Hanko, 2022)","previouslyFormattedCitation":"(Al Assaf, Zelko and Hanko, 2022)"},"properties":{"noteIndex":0},"schema":"https://github.com/citation-style-language/schema/raw/master/csl-citation.json"}</w:instrText>
      </w:r>
      <w:r w:rsidR="002D1733" w:rsidRPr="00250CC3">
        <w:rPr>
          <w:rFonts w:ascii="Arial" w:hAnsi="Arial" w:cs="Arial"/>
          <w:sz w:val="24"/>
          <w:szCs w:val="24"/>
        </w:rPr>
        <w:fldChar w:fldCharType="separate"/>
      </w:r>
      <w:r w:rsidR="002D1733" w:rsidRPr="00250CC3">
        <w:rPr>
          <w:rFonts w:ascii="Arial" w:hAnsi="Arial" w:cs="Arial"/>
          <w:noProof/>
          <w:sz w:val="24"/>
          <w:szCs w:val="24"/>
        </w:rPr>
        <w:t>(Al Assaf, Zelko and Hanko, 2022)</w:t>
      </w:r>
      <w:r w:rsidR="002D1733" w:rsidRPr="00250CC3">
        <w:rPr>
          <w:rFonts w:ascii="Arial" w:hAnsi="Arial" w:cs="Arial"/>
          <w:sz w:val="24"/>
          <w:szCs w:val="24"/>
        </w:rPr>
        <w:fldChar w:fldCharType="end"/>
      </w:r>
      <w:r w:rsidR="002D1733" w:rsidRPr="00250CC3">
        <w:rPr>
          <w:rFonts w:ascii="Arial" w:hAnsi="Arial" w:cs="Arial"/>
          <w:sz w:val="24"/>
          <w:szCs w:val="24"/>
        </w:rPr>
        <w:t xml:space="preserve">. </w:t>
      </w:r>
      <w:r w:rsidR="00D7757D" w:rsidRPr="00250CC3">
        <w:rPr>
          <w:rFonts w:ascii="Arial" w:hAnsi="Arial" w:cs="Arial"/>
          <w:sz w:val="24"/>
          <w:szCs w:val="24"/>
        </w:rPr>
        <w:t xml:space="preserve">Furthermore, </w:t>
      </w:r>
      <w:r w:rsidR="00D7757D" w:rsidRPr="00250CC3">
        <w:rPr>
          <w:rFonts w:asciiTheme="minorBidi" w:eastAsiaTheme="minorEastAsia" w:hAnsiTheme="minorBidi"/>
          <w:sz w:val="24"/>
          <w:szCs w:val="24"/>
          <w:lang w:eastAsia="en-GB"/>
        </w:rPr>
        <w:t>p</w:t>
      </w:r>
      <w:r w:rsidR="00447C7B" w:rsidRPr="00250CC3">
        <w:rPr>
          <w:rFonts w:asciiTheme="minorBidi" w:eastAsiaTheme="minorEastAsia" w:hAnsiTheme="minorBidi"/>
          <w:sz w:val="24"/>
          <w:szCs w:val="24"/>
          <w:lang w:eastAsia="en-GB"/>
        </w:rPr>
        <w:t xml:space="preserve">harmacists should provide patients with basic and advanced education. Basic patient education consists of brief, concise, simple and direct information for patients. </w:t>
      </w:r>
      <w:r w:rsidR="000E1462" w:rsidRPr="00250CC3">
        <w:rPr>
          <w:rFonts w:asciiTheme="minorBidi" w:eastAsiaTheme="minorEastAsia" w:hAnsiTheme="minorBidi"/>
          <w:sz w:val="24"/>
          <w:szCs w:val="24"/>
          <w:lang w:eastAsia="en-GB"/>
        </w:rPr>
        <w:t>Advanced (</w:t>
      </w:r>
      <w:r w:rsidR="00A0676D" w:rsidRPr="00250CC3">
        <w:rPr>
          <w:rFonts w:asciiTheme="minorBidi" w:eastAsiaTheme="minorEastAsia" w:hAnsiTheme="minorBidi"/>
          <w:sz w:val="24"/>
          <w:szCs w:val="24"/>
          <w:lang w:eastAsia="en-GB"/>
        </w:rPr>
        <w:t>b</w:t>
      </w:r>
      <w:r w:rsidR="00447C7B" w:rsidRPr="00250CC3">
        <w:rPr>
          <w:rFonts w:asciiTheme="minorBidi" w:eastAsiaTheme="minorEastAsia" w:hAnsiTheme="minorBidi"/>
          <w:sz w:val="24"/>
          <w:szCs w:val="24"/>
          <w:lang w:eastAsia="en-GB"/>
        </w:rPr>
        <w:t>eyond basic</w:t>
      </w:r>
      <w:r w:rsidR="000E1462" w:rsidRPr="00250CC3">
        <w:rPr>
          <w:rFonts w:asciiTheme="minorBidi" w:eastAsiaTheme="minorEastAsia" w:hAnsiTheme="minorBidi"/>
          <w:sz w:val="24"/>
          <w:szCs w:val="24"/>
          <w:lang w:eastAsia="en-GB"/>
        </w:rPr>
        <w:t>)</w:t>
      </w:r>
      <w:r w:rsidR="00447C7B" w:rsidRPr="00250CC3">
        <w:rPr>
          <w:rFonts w:asciiTheme="minorBidi" w:eastAsiaTheme="minorEastAsia" w:hAnsiTheme="minorBidi"/>
          <w:sz w:val="24"/>
          <w:szCs w:val="24"/>
          <w:lang w:eastAsia="en-GB"/>
        </w:rPr>
        <w:t xml:space="preserve"> patient education includes more in-depth and advanced information tailored to the patient's condition. </w:t>
      </w:r>
    </w:p>
    <w:p w14:paraId="4712CE01" w14:textId="79900375" w:rsidR="00FA7940" w:rsidRPr="002D1733" w:rsidRDefault="00FA7940" w:rsidP="002D1733">
      <w:pPr>
        <w:spacing w:line="360" w:lineRule="auto"/>
        <w:jc w:val="both"/>
        <w:rPr>
          <w:rFonts w:ascii="Arial" w:hAnsi="Arial" w:cs="Arial"/>
          <w:sz w:val="24"/>
          <w:szCs w:val="24"/>
        </w:rPr>
      </w:pPr>
      <w:r w:rsidRPr="007F64D5">
        <w:rPr>
          <w:rFonts w:ascii="Arial" w:hAnsi="Arial" w:cs="Arial"/>
          <w:sz w:val="24"/>
          <w:szCs w:val="24"/>
        </w:rPr>
        <w:t xml:space="preserve">In addition, it appears from the research findings that there is somewhat poor documentation of pharmacy practice in </w:t>
      </w:r>
      <w:r>
        <w:rPr>
          <w:rFonts w:ascii="Arial" w:hAnsi="Arial" w:cs="Arial"/>
          <w:sz w:val="24"/>
          <w:szCs w:val="24"/>
        </w:rPr>
        <w:t>SA</w:t>
      </w:r>
      <w:r w:rsidRPr="007F64D5">
        <w:rPr>
          <w:rFonts w:ascii="Arial" w:hAnsi="Arial" w:cs="Arial"/>
          <w:sz w:val="24"/>
          <w:szCs w:val="24"/>
        </w:rPr>
        <w:t xml:space="preserve">. Pharmacists should document details of their contributions to their practice and patient management. Documentation is necessary to identify good practice as well as </w:t>
      </w:r>
      <w:r>
        <w:rPr>
          <w:rFonts w:ascii="Arial" w:hAnsi="Arial" w:cs="Arial"/>
          <w:sz w:val="24"/>
          <w:szCs w:val="24"/>
        </w:rPr>
        <w:t xml:space="preserve">role models and set standards </w:t>
      </w:r>
      <w:r w:rsidRPr="007F64D5">
        <w:rPr>
          <w:rFonts w:ascii="Arial" w:hAnsi="Arial" w:cs="Arial"/>
          <w:sz w:val="24"/>
          <w:szCs w:val="24"/>
        </w:rPr>
        <w:t xml:space="preserve">to </w:t>
      </w:r>
      <w:r>
        <w:rPr>
          <w:rFonts w:ascii="Arial" w:hAnsi="Arial" w:cs="Arial"/>
          <w:sz w:val="24"/>
          <w:szCs w:val="24"/>
        </w:rPr>
        <w:t xml:space="preserve">be used </w:t>
      </w:r>
      <w:r w:rsidRPr="007F64D5">
        <w:rPr>
          <w:rFonts w:ascii="Arial" w:hAnsi="Arial" w:cs="Arial"/>
          <w:sz w:val="24"/>
          <w:szCs w:val="24"/>
        </w:rPr>
        <w:t>in promoting the pharmacist's role in the health services system.</w:t>
      </w:r>
      <w:r>
        <w:rPr>
          <w:rFonts w:ascii="Arial" w:hAnsi="Arial" w:cs="Arial"/>
          <w:sz w:val="24"/>
          <w:szCs w:val="24"/>
        </w:rPr>
        <w:t xml:space="preserve"> </w:t>
      </w:r>
      <w:r w:rsidRPr="003B06DB">
        <w:rPr>
          <w:rFonts w:ascii="Arial" w:hAnsi="Arial" w:cs="Arial"/>
          <w:sz w:val="24"/>
          <w:szCs w:val="24"/>
        </w:rPr>
        <w:t>Therefore, the General Administration of Pharmaceutical Care of the Saudi MoH and the Saudi Society for Clinical Pharmacy (SSCP) should coordinate with the higher authorities in the Ministry to create a space for pharmacists to report their intervention in the electronic system used in the healthcare institution, and also encourage pharmacists to document their contribution in patient management because this would enhance pharmacy practice services as well as research-based practice. This would also allow pharmacists to demonstrate the value of their contribution to patient care in general and diabetes management in particular.</w:t>
      </w:r>
      <w:r w:rsidRPr="008074E4">
        <w:rPr>
          <w:rFonts w:ascii="Arial" w:hAnsi="Arial" w:cs="Arial"/>
          <w:color w:val="00B050"/>
          <w:sz w:val="24"/>
          <w:szCs w:val="24"/>
        </w:rPr>
        <w:t xml:space="preserve"> </w:t>
      </w:r>
    </w:p>
    <w:p w14:paraId="3775D275" w14:textId="77777777" w:rsidR="00FA7940" w:rsidRDefault="00FA7940" w:rsidP="00FA7940">
      <w:pPr>
        <w:spacing w:line="360" w:lineRule="auto"/>
        <w:jc w:val="both"/>
        <w:rPr>
          <w:rFonts w:ascii="Arial" w:hAnsi="Arial" w:cs="Arial"/>
          <w:sz w:val="24"/>
          <w:szCs w:val="24"/>
        </w:rPr>
      </w:pPr>
    </w:p>
    <w:p w14:paraId="3E17A107" w14:textId="77777777" w:rsidR="00FA7940" w:rsidRDefault="00FA7940" w:rsidP="00FA7940">
      <w:pPr>
        <w:pStyle w:val="Heading3"/>
        <w:numPr>
          <w:ilvl w:val="2"/>
          <w:numId w:val="30"/>
        </w:numPr>
        <w:spacing w:line="257" w:lineRule="auto"/>
        <w:ind w:left="0" w:firstLine="0"/>
      </w:pPr>
      <w:bookmarkStart w:id="289" w:name="_Toc153894221"/>
      <w:r>
        <w:t>Implication for policy</w:t>
      </w:r>
      <w:bookmarkEnd w:id="289"/>
    </w:p>
    <w:p w14:paraId="2B89712C" w14:textId="77777777" w:rsidR="00FA7940" w:rsidRPr="008B2D44" w:rsidRDefault="00FA7940" w:rsidP="00FA7940">
      <w:pPr>
        <w:spacing w:after="0" w:line="360" w:lineRule="auto"/>
        <w:jc w:val="both"/>
        <w:rPr>
          <w:sz w:val="24"/>
          <w:szCs w:val="24"/>
        </w:rPr>
      </w:pPr>
      <w:r w:rsidRPr="00653AF5">
        <w:rPr>
          <w:rFonts w:ascii="Arial" w:hAnsi="Arial" w:cs="Arial"/>
          <w:sz w:val="24"/>
          <w:szCs w:val="24"/>
        </w:rPr>
        <w:t>Diabetes is a medical and national priority and one of the most worrying health issues and an economic burden because it is a disease with a high prevalence and burden on SA (Robert et al., 2016). Evidence from the literature shows the effectiveness of adding pharmacists to diabetes care. In addition, the findings of this research provide some support for the conceptual premise that pharmacists improved diabetes care when integrated into the PHCs.</w:t>
      </w:r>
      <w:r>
        <w:rPr>
          <w:rFonts w:ascii="Arial" w:hAnsi="Arial" w:cs="Arial"/>
          <w:sz w:val="24"/>
          <w:szCs w:val="24"/>
        </w:rPr>
        <w:t xml:space="preserve"> This </w:t>
      </w:r>
      <w:r w:rsidRPr="001335CD">
        <w:rPr>
          <w:rFonts w:ascii="Arial" w:hAnsi="Arial" w:cs="Arial"/>
          <w:sz w:val="24"/>
          <w:szCs w:val="24"/>
        </w:rPr>
        <w:t>evidence c</w:t>
      </w:r>
      <w:r>
        <w:rPr>
          <w:rFonts w:ascii="Arial" w:hAnsi="Arial" w:cs="Arial"/>
          <w:sz w:val="24"/>
          <w:szCs w:val="24"/>
        </w:rPr>
        <w:t>ould</w:t>
      </w:r>
      <w:r w:rsidRPr="001335CD">
        <w:rPr>
          <w:rFonts w:ascii="Arial" w:hAnsi="Arial" w:cs="Arial"/>
          <w:sz w:val="24"/>
          <w:szCs w:val="24"/>
        </w:rPr>
        <w:t xml:space="preserve"> </w:t>
      </w:r>
      <w:r>
        <w:rPr>
          <w:rFonts w:ascii="Arial" w:hAnsi="Arial" w:cs="Arial"/>
          <w:sz w:val="24"/>
          <w:szCs w:val="24"/>
        </w:rPr>
        <w:t xml:space="preserve">be used to </w:t>
      </w:r>
      <w:r w:rsidRPr="001335CD">
        <w:rPr>
          <w:rFonts w:ascii="Arial" w:hAnsi="Arial" w:cs="Arial"/>
          <w:sz w:val="24"/>
          <w:szCs w:val="24"/>
        </w:rPr>
        <w:t xml:space="preserve">influence policy and decision making </w:t>
      </w:r>
      <w:r>
        <w:rPr>
          <w:rFonts w:ascii="Arial" w:hAnsi="Arial" w:cs="Arial"/>
          <w:sz w:val="24"/>
          <w:szCs w:val="24"/>
        </w:rPr>
        <w:t xml:space="preserve">in order to improve the current primary care services and relieve </w:t>
      </w:r>
      <w:r w:rsidRPr="001335CD">
        <w:rPr>
          <w:rFonts w:ascii="Arial" w:hAnsi="Arial" w:cs="Arial"/>
          <w:sz w:val="24"/>
          <w:szCs w:val="24"/>
        </w:rPr>
        <w:t xml:space="preserve">the </w:t>
      </w:r>
      <w:r>
        <w:rPr>
          <w:rFonts w:ascii="Arial" w:hAnsi="Arial" w:cs="Arial"/>
          <w:sz w:val="24"/>
          <w:szCs w:val="24"/>
        </w:rPr>
        <w:t xml:space="preserve">health and </w:t>
      </w:r>
      <w:r w:rsidRPr="001335CD">
        <w:rPr>
          <w:rFonts w:ascii="Arial" w:hAnsi="Arial" w:cs="Arial"/>
          <w:sz w:val="24"/>
          <w:szCs w:val="24"/>
        </w:rPr>
        <w:t xml:space="preserve">economic burden </w:t>
      </w:r>
      <w:r>
        <w:rPr>
          <w:rFonts w:ascii="Arial" w:hAnsi="Arial" w:cs="Arial"/>
          <w:sz w:val="24"/>
          <w:szCs w:val="24"/>
        </w:rPr>
        <w:t>caused by</w:t>
      </w:r>
      <w:r w:rsidRPr="001335CD">
        <w:rPr>
          <w:rFonts w:ascii="Arial" w:hAnsi="Arial" w:cs="Arial"/>
          <w:sz w:val="24"/>
          <w:szCs w:val="24"/>
        </w:rPr>
        <w:t xml:space="preserve"> diabetes. </w:t>
      </w:r>
      <w:r w:rsidRPr="00F20CFB">
        <w:rPr>
          <w:rFonts w:ascii="Arial" w:hAnsi="Arial" w:cs="Arial"/>
          <w:sz w:val="24"/>
          <w:szCs w:val="24"/>
        </w:rPr>
        <w:t xml:space="preserve">Adding pharmacists to the diabetes care team could bring benefits to health services in </w:t>
      </w:r>
      <w:r>
        <w:rPr>
          <w:rFonts w:ascii="Arial" w:hAnsi="Arial" w:cs="Arial"/>
          <w:sz w:val="24"/>
          <w:szCs w:val="24"/>
        </w:rPr>
        <w:t>the Saudi</w:t>
      </w:r>
      <w:r w:rsidRPr="00F20CFB">
        <w:rPr>
          <w:rFonts w:ascii="Arial" w:hAnsi="Arial" w:cs="Arial"/>
          <w:sz w:val="24"/>
          <w:szCs w:val="24"/>
        </w:rPr>
        <w:t>’s PHCs, especially during th</w:t>
      </w:r>
      <w:r>
        <w:rPr>
          <w:rFonts w:ascii="Arial" w:hAnsi="Arial" w:cs="Arial"/>
          <w:sz w:val="24"/>
          <w:szCs w:val="24"/>
        </w:rPr>
        <w:t>e current</w:t>
      </w:r>
      <w:r w:rsidRPr="00F20CFB">
        <w:rPr>
          <w:rFonts w:ascii="Arial" w:hAnsi="Arial" w:cs="Arial"/>
          <w:sz w:val="24"/>
          <w:szCs w:val="24"/>
        </w:rPr>
        <w:t xml:space="preserve"> time, </w:t>
      </w:r>
      <w:r>
        <w:rPr>
          <w:rFonts w:ascii="Arial" w:hAnsi="Arial" w:cs="Arial"/>
          <w:sz w:val="24"/>
          <w:szCs w:val="24"/>
        </w:rPr>
        <w:t xml:space="preserve">when </w:t>
      </w:r>
      <w:r w:rsidRPr="00F20CFB">
        <w:rPr>
          <w:rFonts w:ascii="Arial" w:hAnsi="Arial" w:cs="Arial"/>
          <w:sz w:val="24"/>
          <w:szCs w:val="24"/>
        </w:rPr>
        <w:t xml:space="preserve">a range of investments </w:t>
      </w:r>
      <w:r>
        <w:rPr>
          <w:rFonts w:ascii="Arial" w:hAnsi="Arial" w:cs="Arial"/>
          <w:sz w:val="24"/>
          <w:szCs w:val="24"/>
        </w:rPr>
        <w:t xml:space="preserve">are being made </w:t>
      </w:r>
      <w:r w:rsidRPr="00F20CFB">
        <w:rPr>
          <w:rFonts w:ascii="Arial" w:hAnsi="Arial" w:cs="Arial"/>
          <w:sz w:val="24"/>
          <w:szCs w:val="24"/>
        </w:rPr>
        <w:t xml:space="preserve">to improve the healthcare sectors. This could have a great impact </w:t>
      </w:r>
      <w:r>
        <w:rPr>
          <w:rFonts w:ascii="Arial" w:hAnsi="Arial" w:cs="Arial"/>
          <w:sz w:val="24"/>
          <w:szCs w:val="24"/>
        </w:rPr>
        <w:t>at</w:t>
      </w:r>
      <w:r w:rsidRPr="00F20CFB">
        <w:rPr>
          <w:rFonts w:ascii="Arial" w:hAnsi="Arial" w:cs="Arial"/>
          <w:sz w:val="24"/>
          <w:szCs w:val="24"/>
        </w:rPr>
        <w:t xml:space="preserve"> the national and regional levels.</w:t>
      </w:r>
    </w:p>
    <w:p w14:paraId="52C7607A" w14:textId="77777777" w:rsidR="00FA7940" w:rsidRDefault="00FA7940" w:rsidP="00FA7940">
      <w:pPr>
        <w:spacing w:before="240" w:line="360" w:lineRule="auto"/>
        <w:jc w:val="both"/>
        <w:rPr>
          <w:rFonts w:ascii="Arial" w:hAnsi="Arial" w:cs="Arial"/>
          <w:sz w:val="24"/>
          <w:szCs w:val="24"/>
        </w:rPr>
      </w:pPr>
      <w:r w:rsidRPr="000D5D62">
        <w:rPr>
          <w:rFonts w:ascii="Arial" w:hAnsi="Arial" w:cs="Arial"/>
          <w:sz w:val="24"/>
          <w:szCs w:val="24"/>
        </w:rPr>
        <w:t>This research highlight</w:t>
      </w:r>
      <w:r>
        <w:rPr>
          <w:rFonts w:ascii="Arial" w:hAnsi="Arial" w:cs="Arial"/>
          <w:sz w:val="24"/>
          <w:szCs w:val="24"/>
        </w:rPr>
        <w:t>ed</w:t>
      </w:r>
      <w:r w:rsidRPr="000D5D62">
        <w:rPr>
          <w:rFonts w:ascii="Arial" w:hAnsi="Arial" w:cs="Arial"/>
          <w:sz w:val="24"/>
          <w:szCs w:val="24"/>
        </w:rPr>
        <w:t xml:space="preserve"> and dr</w:t>
      </w:r>
      <w:r>
        <w:rPr>
          <w:rFonts w:ascii="Arial" w:hAnsi="Arial" w:cs="Arial"/>
          <w:sz w:val="24"/>
          <w:szCs w:val="24"/>
        </w:rPr>
        <w:t>e</w:t>
      </w:r>
      <w:r w:rsidRPr="000D5D62">
        <w:rPr>
          <w:rFonts w:ascii="Arial" w:hAnsi="Arial" w:cs="Arial"/>
          <w:sz w:val="24"/>
          <w:szCs w:val="24"/>
        </w:rPr>
        <w:t>w attention to the role of pharmacists in diabetes care in primary care</w:t>
      </w:r>
      <w:r>
        <w:rPr>
          <w:rFonts w:ascii="Arial" w:hAnsi="Arial" w:cs="Arial"/>
          <w:sz w:val="24"/>
          <w:szCs w:val="24"/>
        </w:rPr>
        <w:t>. Therefore, t</w:t>
      </w:r>
      <w:r w:rsidRPr="00C80E55">
        <w:rPr>
          <w:rFonts w:ascii="Arial" w:hAnsi="Arial" w:cs="Arial"/>
          <w:sz w:val="24"/>
          <w:szCs w:val="24"/>
        </w:rPr>
        <w:t xml:space="preserve">he following recommendations could </w:t>
      </w:r>
      <w:r>
        <w:rPr>
          <w:rFonts w:ascii="Arial" w:hAnsi="Arial" w:cs="Arial"/>
          <w:sz w:val="24"/>
          <w:szCs w:val="24"/>
        </w:rPr>
        <w:t>be considered</w:t>
      </w:r>
      <w:r w:rsidRPr="00C80E55">
        <w:rPr>
          <w:rFonts w:ascii="Arial" w:hAnsi="Arial" w:cs="Arial"/>
          <w:sz w:val="24"/>
          <w:szCs w:val="24"/>
        </w:rPr>
        <w:t xml:space="preserve"> in </w:t>
      </w:r>
      <w:r w:rsidRPr="00291558">
        <w:rPr>
          <w:rFonts w:ascii="Arial" w:hAnsi="Arial" w:cs="Arial"/>
          <w:sz w:val="24"/>
          <w:szCs w:val="24"/>
        </w:rPr>
        <w:t xml:space="preserve">the future provision of diabetes care in </w:t>
      </w:r>
      <w:r>
        <w:rPr>
          <w:rFonts w:ascii="Arial" w:hAnsi="Arial" w:cs="Arial"/>
          <w:sz w:val="24"/>
          <w:szCs w:val="24"/>
        </w:rPr>
        <w:t>SA</w:t>
      </w:r>
      <w:r>
        <w:rPr>
          <w:sz w:val="24"/>
          <w:szCs w:val="24"/>
        </w:rPr>
        <w:t xml:space="preserve">. </w:t>
      </w:r>
    </w:p>
    <w:p w14:paraId="45CD0AB3" w14:textId="77777777" w:rsidR="00FA7940" w:rsidRDefault="00FA7940" w:rsidP="00FA7940">
      <w:pPr>
        <w:pStyle w:val="Heading3"/>
        <w:numPr>
          <w:ilvl w:val="2"/>
          <w:numId w:val="30"/>
        </w:numPr>
        <w:spacing w:line="257" w:lineRule="auto"/>
        <w:ind w:left="0" w:firstLine="0"/>
      </w:pPr>
      <w:r>
        <w:t xml:space="preserve"> </w:t>
      </w:r>
      <w:bookmarkStart w:id="290" w:name="_Toc153894222"/>
      <w:r>
        <w:t>Recommendations for policy-makers</w:t>
      </w:r>
      <w:bookmarkEnd w:id="290"/>
    </w:p>
    <w:p w14:paraId="662061D2" w14:textId="77777777" w:rsidR="00FA7940" w:rsidRPr="00EA39F0" w:rsidRDefault="00FA7940" w:rsidP="00FA7940">
      <w:pPr>
        <w:spacing w:line="360" w:lineRule="auto"/>
        <w:jc w:val="both"/>
        <w:rPr>
          <w:rFonts w:ascii="Arial" w:hAnsi="Arial" w:cs="Arial"/>
          <w:sz w:val="24"/>
          <w:szCs w:val="24"/>
        </w:rPr>
      </w:pPr>
      <w:r w:rsidRPr="00C14C07">
        <w:rPr>
          <w:rFonts w:ascii="Arial" w:hAnsi="Arial" w:cs="Arial"/>
          <w:sz w:val="24"/>
          <w:szCs w:val="24"/>
        </w:rPr>
        <w:t>For policymakers in the Saudi MoH,</w:t>
      </w:r>
      <w:r w:rsidRPr="00EA39F0">
        <w:rPr>
          <w:rFonts w:ascii="Arial" w:hAnsi="Arial" w:cs="Arial"/>
          <w:sz w:val="24"/>
          <w:szCs w:val="24"/>
        </w:rPr>
        <w:t xml:space="preserve"> </w:t>
      </w:r>
      <w:r>
        <w:rPr>
          <w:rFonts w:ascii="Arial" w:hAnsi="Arial" w:cs="Arial"/>
          <w:sz w:val="24"/>
          <w:szCs w:val="24"/>
        </w:rPr>
        <w:t>it</w:t>
      </w:r>
      <w:r w:rsidRPr="00EA39F0">
        <w:rPr>
          <w:rFonts w:ascii="Arial" w:hAnsi="Arial" w:cs="Arial"/>
          <w:sz w:val="24"/>
          <w:szCs w:val="24"/>
        </w:rPr>
        <w:t xml:space="preserve"> is essential to critically review the role of pharmacists in diabetes management in primary care. It is </w:t>
      </w:r>
      <w:r>
        <w:rPr>
          <w:rFonts w:ascii="Arial" w:hAnsi="Arial" w:cs="Arial"/>
          <w:sz w:val="24"/>
          <w:szCs w:val="24"/>
        </w:rPr>
        <w:t xml:space="preserve">also </w:t>
      </w:r>
      <w:r w:rsidRPr="00EA39F0">
        <w:rPr>
          <w:rFonts w:ascii="Arial" w:hAnsi="Arial" w:cs="Arial"/>
          <w:sz w:val="24"/>
          <w:szCs w:val="24"/>
        </w:rPr>
        <w:t xml:space="preserve">necessary to initiate clinical pharmacy services in primary care settings. </w:t>
      </w:r>
      <w:r w:rsidRPr="00C200DE">
        <w:rPr>
          <w:rFonts w:ascii="Arial" w:hAnsi="Arial" w:cs="Arial"/>
          <w:sz w:val="24"/>
          <w:szCs w:val="24"/>
        </w:rPr>
        <w:t xml:space="preserve">This study has suggested broad positivity about the role of pharmacists in diabetes </w:t>
      </w:r>
      <w:r>
        <w:rPr>
          <w:rFonts w:ascii="Arial" w:hAnsi="Arial" w:cs="Arial"/>
          <w:sz w:val="24"/>
          <w:szCs w:val="24"/>
        </w:rPr>
        <w:t>care</w:t>
      </w:r>
      <w:r w:rsidRPr="00C200DE">
        <w:rPr>
          <w:rFonts w:ascii="Arial" w:hAnsi="Arial" w:cs="Arial"/>
          <w:sz w:val="24"/>
          <w:szCs w:val="24"/>
        </w:rPr>
        <w:t xml:space="preserve"> not only within the pharmacy profession but also other health professions such as medicine and nursing. A key policy implication is that this provides a positive workforce perspective which is based on actual practice and will be of value for policy-makers to consider when planning future diabetes management. More specifically, it gives suggestions about specific areas for future work and development such as commissioning of pharmacy-based services and prioritizing further integration of healthcare teams and workers. </w:t>
      </w:r>
      <w:r>
        <w:rPr>
          <w:rFonts w:ascii="Arial" w:hAnsi="Arial" w:cs="Arial"/>
          <w:sz w:val="24"/>
          <w:szCs w:val="24"/>
        </w:rPr>
        <w:t xml:space="preserve">This could take the form of </w:t>
      </w:r>
      <w:r w:rsidRPr="00EA39F0">
        <w:rPr>
          <w:rFonts w:ascii="Arial" w:hAnsi="Arial" w:cs="Arial"/>
          <w:sz w:val="24"/>
          <w:szCs w:val="24"/>
        </w:rPr>
        <w:t xml:space="preserve">planning an experimental strategy to </w:t>
      </w:r>
      <w:r>
        <w:rPr>
          <w:rFonts w:ascii="Arial" w:hAnsi="Arial" w:cs="Arial"/>
          <w:sz w:val="24"/>
          <w:szCs w:val="24"/>
        </w:rPr>
        <w:t xml:space="preserve">integrate </w:t>
      </w:r>
      <w:r w:rsidRPr="00EA39F0">
        <w:rPr>
          <w:rFonts w:ascii="Arial" w:hAnsi="Arial" w:cs="Arial"/>
          <w:sz w:val="24"/>
          <w:szCs w:val="24"/>
        </w:rPr>
        <w:t xml:space="preserve">clinical pharmacy services into PHCs and then evaluating the outcomes in terms of </w:t>
      </w:r>
      <w:r w:rsidRPr="007E2D81">
        <w:rPr>
          <w:rFonts w:ascii="Arial" w:hAnsi="Arial" w:cs="Arial"/>
          <w:sz w:val="24"/>
          <w:szCs w:val="24"/>
        </w:rPr>
        <w:t>value-based healthcare that takes into account improving health outcomes and optimi</w:t>
      </w:r>
      <w:r>
        <w:rPr>
          <w:rFonts w:ascii="Arial" w:hAnsi="Arial" w:cs="Arial"/>
          <w:sz w:val="24"/>
          <w:szCs w:val="24"/>
        </w:rPr>
        <w:t>s</w:t>
      </w:r>
      <w:r w:rsidRPr="007E2D81">
        <w:rPr>
          <w:rFonts w:ascii="Arial" w:hAnsi="Arial" w:cs="Arial"/>
          <w:sz w:val="24"/>
          <w:szCs w:val="24"/>
        </w:rPr>
        <w:t>ing resource use</w:t>
      </w:r>
      <w:r w:rsidRPr="00EA39F0">
        <w:rPr>
          <w:rFonts w:ascii="Arial" w:hAnsi="Arial" w:cs="Arial"/>
          <w:sz w:val="24"/>
          <w:szCs w:val="24"/>
        </w:rPr>
        <w:t>. Pharmacists c</w:t>
      </w:r>
      <w:r>
        <w:rPr>
          <w:rFonts w:ascii="Arial" w:hAnsi="Arial" w:cs="Arial"/>
          <w:sz w:val="24"/>
          <w:szCs w:val="24"/>
        </w:rPr>
        <w:t>ould easily</w:t>
      </w:r>
      <w:r w:rsidRPr="00EA39F0">
        <w:rPr>
          <w:rFonts w:ascii="Arial" w:hAnsi="Arial" w:cs="Arial"/>
          <w:sz w:val="24"/>
          <w:szCs w:val="24"/>
        </w:rPr>
        <w:t xml:space="preserve"> be reintegrated into PHCs because primary care pharmacists are </w:t>
      </w:r>
      <w:r>
        <w:rPr>
          <w:rFonts w:ascii="Arial" w:hAnsi="Arial" w:cs="Arial"/>
          <w:sz w:val="24"/>
          <w:szCs w:val="24"/>
        </w:rPr>
        <w:t xml:space="preserve">already </w:t>
      </w:r>
      <w:r w:rsidRPr="00EA39F0">
        <w:rPr>
          <w:rFonts w:ascii="Arial" w:hAnsi="Arial" w:cs="Arial"/>
          <w:sz w:val="24"/>
          <w:szCs w:val="24"/>
        </w:rPr>
        <w:t xml:space="preserve">available in the </w:t>
      </w:r>
      <w:r>
        <w:rPr>
          <w:rFonts w:ascii="Arial" w:hAnsi="Arial" w:cs="Arial"/>
          <w:sz w:val="24"/>
          <w:szCs w:val="24"/>
        </w:rPr>
        <w:t xml:space="preserve">MoH. </w:t>
      </w:r>
      <w:r w:rsidRPr="00EA39F0">
        <w:rPr>
          <w:rFonts w:ascii="Arial" w:hAnsi="Arial" w:cs="Arial"/>
          <w:sz w:val="24"/>
          <w:szCs w:val="24"/>
        </w:rPr>
        <w:t>Policymakers should take into account and adequately assess the needs of PHCs and the demands of pharmacists to participate</w:t>
      </w:r>
      <w:r>
        <w:rPr>
          <w:rFonts w:ascii="Arial" w:hAnsi="Arial" w:cs="Arial"/>
          <w:sz w:val="24"/>
          <w:szCs w:val="24"/>
        </w:rPr>
        <w:t xml:space="preserve"> actively</w:t>
      </w:r>
      <w:r w:rsidRPr="00EA39F0">
        <w:rPr>
          <w:rFonts w:ascii="Arial" w:hAnsi="Arial" w:cs="Arial"/>
          <w:sz w:val="24"/>
          <w:szCs w:val="24"/>
        </w:rPr>
        <w:t xml:space="preserve"> in patient care.</w:t>
      </w:r>
    </w:p>
    <w:p w14:paraId="0355AB9B" w14:textId="77777777" w:rsidR="00FA7940" w:rsidRDefault="00FA7940" w:rsidP="00FA7940">
      <w:pPr>
        <w:spacing w:line="360" w:lineRule="auto"/>
        <w:jc w:val="both"/>
        <w:rPr>
          <w:rFonts w:ascii="Arial" w:hAnsi="Arial" w:cs="Arial"/>
          <w:sz w:val="24"/>
          <w:szCs w:val="24"/>
        </w:rPr>
      </w:pPr>
      <w:r w:rsidRPr="00EA39F0">
        <w:rPr>
          <w:rFonts w:ascii="Arial" w:hAnsi="Arial" w:cs="Arial"/>
          <w:sz w:val="24"/>
          <w:szCs w:val="24"/>
        </w:rPr>
        <w:t xml:space="preserve">The Saudi MoH leaders and managers should also promote pharmacists' integration into PHCs and teamwork among health professionals to optimise the potential of all professionals. Pharmacists, for example, can be commissioned to undertake medication reviews for doctors to save time in addressing medical-related issues, and any medication-related matters </w:t>
      </w:r>
      <w:r>
        <w:rPr>
          <w:rFonts w:ascii="Arial" w:hAnsi="Arial" w:cs="Arial"/>
          <w:sz w:val="24"/>
          <w:szCs w:val="24"/>
        </w:rPr>
        <w:t xml:space="preserve">could be </w:t>
      </w:r>
      <w:r w:rsidRPr="00EA39F0">
        <w:rPr>
          <w:rFonts w:ascii="Arial" w:hAnsi="Arial" w:cs="Arial"/>
          <w:sz w:val="24"/>
          <w:szCs w:val="24"/>
        </w:rPr>
        <w:t>delegated to pharmacists. The relevant policies and procedures should be formulated</w:t>
      </w:r>
      <w:r>
        <w:rPr>
          <w:rFonts w:ascii="Arial" w:hAnsi="Arial" w:cs="Arial"/>
          <w:sz w:val="24"/>
          <w:szCs w:val="24"/>
        </w:rPr>
        <w:t>, based on</w:t>
      </w:r>
      <w:r w:rsidRPr="00EA39F0">
        <w:rPr>
          <w:rFonts w:ascii="Arial" w:hAnsi="Arial" w:cs="Arial"/>
          <w:sz w:val="24"/>
          <w:szCs w:val="24"/>
        </w:rPr>
        <w:t xml:space="preserve"> clear guidelines for pharmacy practice within primary care settings, especially in PHCs</w:t>
      </w:r>
      <w:r>
        <w:rPr>
          <w:rFonts w:ascii="Arial" w:hAnsi="Arial" w:cs="Arial"/>
          <w:sz w:val="24"/>
          <w:szCs w:val="24"/>
        </w:rPr>
        <w:t>,</w:t>
      </w:r>
      <w:r w:rsidRPr="00EA39F0">
        <w:rPr>
          <w:rFonts w:ascii="Arial" w:hAnsi="Arial" w:cs="Arial"/>
          <w:sz w:val="24"/>
          <w:szCs w:val="24"/>
        </w:rPr>
        <w:t xml:space="preserve"> and </w:t>
      </w:r>
      <w:r>
        <w:rPr>
          <w:rFonts w:ascii="Arial" w:hAnsi="Arial" w:cs="Arial"/>
          <w:sz w:val="24"/>
          <w:szCs w:val="24"/>
        </w:rPr>
        <w:t xml:space="preserve">including clear </w:t>
      </w:r>
      <w:r w:rsidRPr="00EA39F0">
        <w:rPr>
          <w:rFonts w:ascii="Arial" w:hAnsi="Arial" w:cs="Arial"/>
          <w:sz w:val="24"/>
          <w:szCs w:val="24"/>
        </w:rPr>
        <w:t xml:space="preserve">job descriptions for pharmacists. </w:t>
      </w:r>
    </w:p>
    <w:p w14:paraId="08A50585" w14:textId="77777777" w:rsidR="00FA7940" w:rsidRDefault="00FA7940" w:rsidP="00FA7940">
      <w:pPr>
        <w:spacing w:line="360" w:lineRule="auto"/>
        <w:jc w:val="both"/>
        <w:rPr>
          <w:rFonts w:ascii="Arial" w:hAnsi="Arial" w:cs="Arial"/>
          <w:sz w:val="24"/>
          <w:szCs w:val="24"/>
        </w:rPr>
      </w:pPr>
      <w:r w:rsidRPr="000D5D62">
        <w:rPr>
          <w:rFonts w:ascii="Arial" w:hAnsi="Arial" w:cs="Arial"/>
          <w:sz w:val="24"/>
          <w:szCs w:val="24"/>
        </w:rPr>
        <w:t xml:space="preserve">This study then is an initial step for future research in this field as it </w:t>
      </w:r>
      <w:r>
        <w:rPr>
          <w:rFonts w:ascii="Arial" w:hAnsi="Arial" w:cs="Arial"/>
          <w:sz w:val="24"/>
          <w:szCs w:val="24"/>
        </w:rPr>
        <w:t xml:space="preserve">presents </w:t>
      </w:r>
      <w:r w:rsidRPr="000D5D62">
        <w:rPr>
          <w:rFonts w:ascii="Arial" w:hAnsi="Arial" w:cs="Arial"/>
          <w:sz w:val="24"/>
          <w:szCs w:val="24"/>
        </w:rPr>
        <w:t xml:space="preserve">opportunities to assess the effectiveness of the addition of pharmacists to the diabetes care after </w:t>
      </w:r>
      <w:r>
        <w:rPr>
          <w:rFonts w:ascii="Arial" w:hAnsi="Arial" w:cs="Arial"/>
          <w:sz w:val="24"/>
          <w:szCs w:val="24"/>
        </w:rPr>
        <w:t>implementation</w:t>
      </w:r>
      <w:r w:rsidRPr="000D5D62">
        <w:rPr>
          <w:rFonts w:ascii="Arial" w:hAnsi="Arial" w:cs="Arial"/>
          <w:sz w:val="24"/>
          <w:szCs w:val="24"/>
        </w:rPr>
        <w:t>.</w:t>
      </w:r>
    </w:p>
    <w:p w14:paraId="3DD1793D" w14:textId="77777777" w:rsidR="00FA7940" w:rsidRDefault="00FA7940" w:rsidP="00FA7940">
      <w:pPr>
        <w:pStyle w:val="Heading3"/>
        <w:numPr>
          <w:ilvl w:val="2"/>
          <w:numId w:val="30"/>
        </w:numPr>
        <w:spacing w:line="257" w:lineRule="auto"/>
        <w:ind w:left="0" w:firstLine="0"/>
      </w:pPr>
      <w:bookmarkStart w:id="291" w:name="_Toc153894223"/>
      <w:r>
        <w:t>Future research</w:t>
      </w:r>
      <w:bookmarkEnd w:id="291"/>
      <w:r>
        <w:t xml:space="preserve"> </w:t>
      </w:r>
    </w:p>
    <w:p w14:paraId="2824DC4C" w14:textId="77777777" w:rsidR="00FA7940" w:rsidRPr="006122E6" w:rsidRDefault="00FA7940" w:rsidP="00FA7940">
      <w:pPr>
        <w:spacing w:line="360" w:lineRule="auto"/>
        <w:jc w:val="both"/>
        <w:rPr>
          <w:rFonts w:ascii="Arial" w:hAnsi="Arial" w:cs="Arial"/>
          <w:sz w:val="24"/>
          <w:szCs w:val="24"/>
        </w:rPr>
      </w:pPr>
      <w:r w:rsidRPr="006122E6">
        <w:rPr>
          <w:rFonts w:ascii="Arial" w:hAnsi="Arial" w:cs="Arial"/>
          <w:sz w:val="24"/>
          <w:szCs w:val="24"/>
        </w:rPr>
        <w:t xml:space="preserve">Since this research reflected the views and perceptions of doctors, pharmacists, and nurses only, it is necessary to include other stakeholders </w:t>
      </w:r>
      <w:r>
        <w:rPr>
          <w:rFonts w:ascii="Arial" w:hAnsi="Arial" w:cs="Arial"/>
          <w:sz w:val="24"/>
          <w:szCs w:val="24"/>
        </w:rPr>
        <w:t xml:space="preserve">in future research, </w:t>
      </w:r>
      <w:r w:rsidRPr="006122E6">
        <w:rPr>
          <w:rFonts w:ascii="Arial" w:hAnsi="Arial" w:cs="Arial"/>
          <w:sz w:val="24"/>
          <w:szCs w:val="24"/>
        </w:rPr>
        <w:t xml:space="preserve">such as leaders, policymakers, experts and managers in </w:t>
      </w:r>
      <w:r>
        <w:rPr>
          <w:rFonts w:ascii="Arial" w:hAnsi="Arial" w:cs="Arial"/>
          <w:sz w:val="24"/>
          <w:szCs w:val="24"/>
        </w:rPr>
        <w:t xml:space="preserve">the Saudi </w:t>
      </w:r>
      <w:r w:rsidRPr="006122E6">
        <w:rPr>
          <w:rFonts w:ascii="Arial" w:hAnsi="Arial" w:cs="Arial"/>
          <w:sz w:val="24"/>
          <w:szCs w:val="24"/>
        </w:rPr>
        <w:t>MoH, academics, and patients</w:t>
      </w:r>
      <w:r>
        <w:rPr>
          <w:rFonts w:ascii="Arial" w:hAnsi="Arial" w:cs="Arial"/>
          <w:sz w:val="24"/>
          <w:szCs w:val="24"/>
        </w:rPr>
        <w:t>,</w:t>
      </w:r>
      <w:r w:rsidRPr="006122E6">
        <w:rPr>
          <w:rFonts w:ascii="Arial" w:hAnsi="Arial" w:cs="Arial"/>
          <w:sz w:val="24"/>
          <w:szCs w:val="24"/>
        </w:rPr>
        <w:t xml:space="preserve"> to explore their views about pharmacists’ involvement in diabetes primary care management and adding a pharmacist to the diabetes care team.  </w:t>
      </w:r>
    </w:p>
    <w:p w14:paraId="29241FDC" w14:textId="77777777" w:rsidR="00FA7940" w:rsidRDefault="00FA7940" w:rsidP="00FA7940">
      <w:pPr>
        <w:spacing w:line="360" w:lineRule="auto"/>
        <w:jc w:val="both"/>
        <w:rPr>
          <w:rFonts w:ascii="Arial" w:hAnsi="Arial" w:cs="Arial"/>
          <w:sz w:val="24"/>
          <w:szCs w:val="24"/>
        </w:rPr>
      </w:pPr>
      <w:r w:rsidRPr="006122E6">
        <w:rPr>
          <w:rFonts w:ascii="Arial" w:hAnsi="Arial" w:cs="Arial"/>
          <w:sz w:val="24"/>
          <w:szCs w:val="24"/>
        </w:rPr>
        <w:t xml:space="preserve">The current study revealed the minimal application of clinical pharmacy services for diabetic patients in primary care settings, especially in PHCs of the </w:t>
      </w:r>
      <w:r>
        <w:rPr>
          <w:rFonts w:ascii="Arial" w:hAnsi="Arial" w:cs="Arial"/>
          <w:sz w:val="24"/>
          <w:szCs w:val="24"/>
        </w:rPr>
        <w:t>MoH</w:t>
      </w:r>
      <w:r w:rsidRPr="006122E6">
        <w:rPr>
          <w:rFonts w:ascii="Arial" w:hAnsi="Arial" w:cs="Arial"/>
          <w:sz w:val="24"/>
          <w:szCs w:val="24"/>
        </w:rPr>
        <w:t xml:space="preserve">, compared to other PHCs affiliated with other government institutions, such as the Ministry of </w:t>
      </w:r>
      <w:r>
        <w:rPr>
          <w:rFonts w:ascii="Arial" w:hAnsi="Arial" w:cs="Arial"/>
          <w:sz w:val="24"/>
          <w:szCs w:val="24"/>
        </w:rPr>
        <w:t xml:space="preserve">the </w:t>
      </w:r>
      <w:r w:rsidRPr="006122E6">
        <w:rPr>
          <w:rFonts w:ascii="Arial" w:hAnsi="Arial" w:cs="Arial"/>
          <w:sz w:val="24"/>
          <w:szCs w:val="24"/>
        </w:rPr>
        <w:t>National Guard and the Ministry of Defense. It is necessary to study in</w:t>
      </w:r>
      <w:r>
        <w:rPr>
          <w:rFonts w:ascii="Arial" w:hAnsi="Arial" w:cs="Arial"/>
          <w:sz w:val="24"/>
          <w:szCs w:val="24"/>
        </w:rPr>
        <w:t xml:space="preserve"> </w:t>
      </w:r>
      <w:r w:rsidRPr="006122E6">
        <w:rPr>
          <w:rFonts w:ascii="Arial" w:hAnsi="Arial" w:cs="Arial"/>
          <w:sz w:val="24"/>
          <w:szCs w:val="24"/>
        </w:rPr>
        <w:t xml:space="preserve">depth the structure and process adopted by those places in </w:t>
      </w:r>
      <w:r>
        <w:rPr>
          <w:rFonts w:ascii="Arial" w:hAnsi="Arial" w:cs="Arial"/>
          <w:sz w:val="24"/>
          <w:szCs w:val="24"/>
        </w:rPr>
        <w:t>SA</w:t>
      </w:r>
      <w:r w:rsidRPr="006122E6">
        <w:rPr>
          <w:rFonts w:ascii="Arial" w:hAnsi="Arial" w:cs="Arial"/>
          <w:sz w:val="24"/>
          <w:szCs w:val="24"/>
        </w:rPr>
        <w:t xml:space="preserve"> that have a well-established clinical pharmacy, despite the challenges identified in the current study. This could be </w:t>
      </w:r>
      <w:r>
        <w:rPr>
          <w:rFonts w:ascii="Arial" w:hAnsi="Arial" w:cs="Arial"/>
          <w:sz w:val="24"/>
          <w:szCs w:val="24"/>
        </w:rPr>
        <w:t xml:space="preserve">done by </w:t>
      </w:r>
      <w:r w:rsidRPr="006122E6">
        <w:rPr>
          <w:rFonts w:ascii="Arial" w:hAnsi="Arial" w:cs="Arial"/>
          <w:sz w:val="24"/>
          <w:szCs w:val="24"/>
        </w:rPr>
        <w:t>conduct</w:t>
      </w:r>
      <w:r>
        <w:rPr>
          <w:rFonts w:ascii="Arial" w:hAnsi="Arial" w:cs="Arial"/>
          <w:sz w:val="24"/>
          <w:szCs w:val="24"/>
        </w:rPr>
        <w:t>ing</w:t>
      </w:r>
      <w:r w:rsidRPr="006122E6">
        <w:rPr>
          <w:rFonts w:ascii="Arial" w:hAnsi="Arial" w:cs="Arial"/>
          <w:sz w:val="24"/>
          <w:szCs w:val="24"/>
        </w:rPr>
        <w:t xml:space="preserve"> in</w:t>
      </w:r>
      <w:r>
        <w:rPr>
          <w:rFonts w:ascii="Arial" w:hAnsi="Arial" w:cs="Arial"/>
          <w:sz w:val="24"/>
          <w:szCs w:val="24"/>
        </w:rPr>
        <w:t>-</w:t>
      </w:r>
      <w:r w:rsidRPr="006122E6">
        <w:rPr>
          <w:rFonts w:ascii="Arial" w:hAnsi="Arial" w:cs="Arial"/>
          <w:sz w:val="24"/>
          <w:szCs w:val="24"/>
        </w:rPr>
        <w:t>depth qualitative case studies</w:t>
      </w:r>
      <w:r>
        <w:rPr>
          <w:rFonts w:ascii="Arial" w:hAnsi="Arial" w:cs="Arial"/>
          <w:sz w:val="24"/>
          <w:szCs w:val="24"/>
        </w:rPr>
        <w:t>,</w:t>
      </w:r>
      <w:r w:rsidRPr="006122E6">
        <w:rPr>
          <w:rFonts w:ascii="Arial" w:hAnsi="Arial" w:cs="Arial"/>
          <w:sz w:val="24"/>
          <w:szCs w:val="24"/>
        </w:rPr>
        <w:t xml:space="preserve"> combining observation and interviews</w:t>
      </w:r>
      <w:r>
        <w:rPr>
          <w:rFonts w:ascii="Arial" w:hAnsi="Arial" w:cs="Arial"/>
          <w:sz w:val="24"/>
          <w:szCs w:val="24"/>
        </w:rPr>
        <w:t>,</w:t>
      </w:r>
      <w:r w:rsidRPr="006122E6">
        <w:rPr>
          <w:rFonts w:ascii="Arial" w:hAnsi="Arial" w:cs="Arial"/>
          <w:sz w:val="24"/>
          <w:szCs w:val="24"/>
        </w:rPr>
        <w:t xml:space="preserve"> in selected PHCs where pharmacists actively contribute to diabetes management. </w:t>
      </w:r>
    </w:p>
    <w:p w14:paraId="69E70300" w14:textId="77777777" w:rsidR="00FA7940" w:rsidRPr="006122E6" w:rsidRDefault="00FA7940" w:rsidP="00FA7940">
      <w:pPr>
        <w:spacing w:line="360" w:lineRule="auto"/>
        <w:jc w:val="both"/>
        <w:rPr>
          <w:rFonts w:ascii="Arial" w:hAnsi="Arial" w:cs="Arial"/>
          <w:sz w:val="24"/>
          <w:szCs w:val="24"/>
        </w:rPr>
      </w:pPr>
      <w:r>
        <w:rPr>
          <w:rFonts w:ascii="Arial" w:hAnsi="Arial" w:cs="Arial"/>
          <w:sz w:val="24"/>
          <w:szCs w:val="24"/>
        </w:rPr>
        <w:t xml:space="preserve">This research identified </w:t>
      </w:r>
      <w:r w:rsidRPr="000D5D62">
        <w:rPr>
          <w:rFonts w:ascii="Arial" w:hAnsi="Arial" w:cs="Arial"/>
          <w:sz w:val="24"/>
          <w:szCs w:val="24"/>
        </w:rPr>
        <w:t>negative attitude</w:t>
      </w:r>
      <w:r>
        <w:rPr>
          <w:rFonts w:ascii="Arial" w:hAnsi="Arial" w:cs="Arial"/>
          <w:sz w:val="24"/>
          <w:szCs w:val="24"/>
        </w:rPr>
        <w:t>s among</w:t>
      </w:r>
      <w:r w:rsidRPr="000D5D62">
        <w:rPr>
          <w:rFonts w:ascii="Arial" w:hAnsi="Arial" w:cs="Arial"/>
          <w:sz w:val="24"/>
          <w:szCs w:val="24"/>
        </w:rPr>
        <w:t xml:space="preserve"> </w:t>
      </w:r>
      <w:r>
        <w:rPr>
          <w:rFonts w:ascii="Arial" w:hAnsi="Arial" w:cs="Arial"/>
          <w:sz w:val="24"/>
          <w:szCs w:val="24"/>
        </w:rPr>
        <w:t>doctors</w:t>
      </w:r>
      <w:r w:rsidRPr="000D5D62">
        <w:rPr>
          <w:rFonts w:ascii="Arial" w:hAnsi="Arial" w:cs="Arial"/>
          <w:sz w:val="24"/>
          <w:szCs w:val="24"/>
        </w:rPr>
        <w:t xml:space="preserve"> to</w:t>
      </w:r>
      <w:r>
        <w:rPr>
          <w:rFonts w:ascii="Arial" w:hAnsi="Arial" w:cs="Arial"/>
          <w:sz w:val="24"/>
          <w:szCs w:val="24"/>
        </w:rPr>
        <w:t>ward</w:t>
      </w:r>
      <w:r w:rsidRPr="000D5D62">
        <w:rPr>
          <w:rFonts w:ascii="Arial" w:hAnsi="Arial" w:cs="Arial"/>
          <w:sz w:val="24"/>
          <w:szCs w:val="24"/>
        </w:rPr>
        <w:t xml:space="preserve"> </w:t>
      </w:r>
      <w:r>
        <w:rPr>
          <w:rFonts w:ascii="Arial" w:hAnsi="Arial" w:cs="Arial"/>
          <w:sz w:val="24"/>
          <w:szCs w:val="24"/>
        </w:rPr>
        <w:t>an independent prescribing role for</w:t>
      </w:r>
      <w:r w:rsidRPr="000D5D62">
        <w:rPr>
          <w:rFonts w:ascii="Arial" w:hAnsi="Arial" w:cs="Arial"/>
          <w:sz w:val="24"/>
          <w:szCs w:val="24"/>
        </w:rPr>
        <w:t xml:space="preserve"> pharmacists</w:t>
      </w:r>
      <w:r>
        <w:rPr>
          <w:rFonts w:ascii="Arial" w:hAnsi="Arial" w:cs="Arial"/>
          <w:sz w:val="24"/>
          <w:szCs w:val="24"/>
        </w:rPr>
        <w:t xml:space="preserve">, which require further investigation, as do </w:t>
      </w:r>
      <w:r w:rsidRPr="000D5D62">
        <w:rPr>
          <w:rFonts w:ascii="Arial" w:hAnsi="Arial" w:cs="Arial"/>
          <w:sz w:val="24"/>
          <w:szCs w:val="24"/>
        </w:rPr>
        <w:t xml:space="preserve">the </w:t>
      </w:r>
      <w:r>
        <w:rPr>
          <w:rFonts w:ascii="Arial" w:hAnsi="Arial" w:cs="Arial"/>
          <w:sz w:val="24"/>
          <w:szCs w:val="24"/>
        </w:rPr>
        <w:t xml:space="preserve">current </w:t>
      </w:r>
      <w:r w:rsidRPr="000D5D62">
        <w:rPr>
          <w:rFonts w:ascii="Arial" w:hAnsi="Arial" w:cs="Arial"/>
          <w:sz w:val="24"/>
          <w:szCs w:val="24"/>
        </w:rPr>
        <w:t>weakness</w:t>
      </w:r>
      <w:r>
        <w:rPr>
          <w:rFonts w:ascii="Arial" w:hAnsi="Arial" w:cs="Arial"/>
          <w:sz w:val="24"/>
          <w:szCs w:val="24"/>
        </w:rPr>
        <w:t>es</w:t>
      </w:r>
      <w:r w:rsidRPr="000D5D62">
        <w:rPr>
          <w:rFonts w:ascii="Arial" w:hAnsi="Arial" w:cs="Arial"/>
          <w:sz w:val="24"/>
          <w:szCs w:val="24"/>
        </w:rPr>
        <w:t xml:space="preserve"> </w:t>
      </w:r>
      <w:r>
        <w:rPr>
          <w:rFonts w:ascii="Arial" w:hAnsi="Arial" w:cs="Arial"/>
          <w:sz w:val="24"/>
          <w:szCs w:val="24"/>
        </w:rPr>
        <w:t xml:space="preserve">in </w:t>
      </w:r>
      <w:r w:rsidRPr="000D5D62">
        <w:rPr>
          <w:rFonts w:ascii="Arial" w:hAnsi="Arial" w:cs="Arial"/>
          <w:sz w:val="24"/>
          <w:szCs w:val="24"/>
        </w:rPr>
        <w:t>the pharmacy profession in SA.</w:t>
      </w:r>
      <w:r>
        <w:rPr>
          <w:rFonts w:ascii="Arial" w:hAnsi="Arial" w:cs="Arial"/>
          <w:sz w:val="24"/>
          <w:szCs w:val="24"/>
        </w:rPr>
        <w:t xml:space="preserve"> </w:t>
      </w:r>
    </w:p>
    <w:p w14:paraId="5E6B0D29" w14:textId="77777777" w:rsidR="00FA7940" w:rsidRPr="0080194D" w:rsidRDefault="00FA7940" w:rsidP="00FA7940">
      <w:pPr>
        <w:spacing w:line="360" w:lineRule="auto"/>
        <w:jc w:val="both"/>
        <w:rPr>
          <w:rFonts w:ascii="Arial" w:hAnsi="Arial" w:cs="Arial"/>
          <w:sz w:val="24"/>
          <w:szCs w:val="24"/>
        </w:rPr>
      </w:pPr>
      <w:r w:rsidRPr="006122E6">
        <w:rPr>
          <w:rFonts w:ascii="Arial" w:hAnsi="Arial" w:cs="Arial"/>
          <w:sz w:val="24"/>
          <w:szCs w:val="24"/>
        </w:rPr>
        <w:t xml:space="preserve">This research also raised concerns about current practices in retail pharmacies. Therefore, it is necessary to conduct an in-depth study to know the reality of current practice in retail community pharmacies and to identify the challenges faced by pharmacists in providing pharmacy services from the point of view of key workers in retail pharmacies. </w:t>
      </w:r>
      <w:r>
        <w:t xml:space="preserve"> </w:t>
      </w:r>
    </w:p>
    <w:p w14:paraId="4BE4C8E4" w14:textId="77777777" w:rsidR="00FA7940" w:rsidRPr="007F64D5" w:rsidRDefault="00FA7940" w:rsidP="00FA7940">
      <w:pPr>
        <w:spacing w:line="360" w:lineRule="auto"/>
        <w:jc w:val="both"/>
        <w:rPr>
          <w:rFonts w:ascii="Arial" w:hAnsi="Arial" w:cs="Arial"/>
          <w:sz w:val="24"/>
          <w:szCs w:val="24"/>
        </w:rPr>
      </w:pPr>
    </w:p>
    <w:p w14:paraId="22FBBB5B" w14:textId="77777777" w:rsidR="00FA7940" w:rsidRDefault="00FA7940" w:rsidP="00FA7940"/>
    <w:p w14:paraId="2E4F5472" w14:textId="77777777" w:rsidR="00FA7940" w:rsidRPr="0097483D" w:rsidRDefault="00FA7940" w:rsidP="00FA7940">
      <w:pPr>
        <w:rPr>
          <w:rFonts w:cstheme="minorHAnsi"/>
          <w:sz w:val="20"/>
          <w:szCs w:val="20"/>
        </w:rPr>
        <w:sectPr w:rsidR="00FA7940" w:rsidRPr="0097483D" w:rsidSect="00282204">
          <w:pgSz w:w="12240" w:h="15840"/>
          <w:pgMar w:top="1440" w:right="1440" w:bottom="1440" w:left="1440" w:header="720" w:footer="720" w:gutter="0"/>
          <w:cols w:space="720"/>
          <w:docGrid w:linePitch="360"/>
        </w:sectPr>
      </w:pPr>
    </w:p>
    <w:p w14:paraId="346770B5" w14:textId="77777777" w:rsidR="00FA7940" w:rsidRPr="0043376E" w:rsidRDefault="00FA7940" w:rsidP="00FA7940">
      <w:pPr>
        <w:pStyle w:val="Caption"/>
        <w:rPr>
          <w:rFonts w:asciiTheme="minorBidi" w:hAnsiTheme="minorBidi"/>
          <w:sz w:val="24"/>
          <w:szCs w:val="24"/>
        </w:rPr>
      </w:pPr>
    </w:p>
    <w:p w14:paraId="7F5B9AAE" w14:textId="77777777" w:rsidR="00FA7940" w:rsidRPr="003D1082" w:rsidRDefault="00FA7940" w:rsidP="00FA7940">
      <w:pPr>
        <w:pStyle w:val="Heading2"/>
        <w:numPr>
          <w:ilvl w:val="1"/>
          <w:numId w:val="30"/>
        </w:numPr>
        <w:spacing w:line="257" w:lineRule="auto"/>
        <w:ind w:left="0" w:firstLine="0"/>
      </w:pPr>
      <w:bookmarkStart w:id="292" w:name="_Toc153894224"/>
      <w:r w:rsidRPr="00A53AC9">
        <w:t>CONCLUSION</w:t>
      </w:r>
      <w:bookmarkEnd w:id="292"/>
    </w:p>
    <w:p w14:paraId="7849F7A0" w14:textId="77777777" w:rsidR="00FA7940" w:rsidRDefault="00FA7940" w:rsidP="00FA7940">
      <w:pPr>
        <w:spacing w:line="360" w:lineRule="auto"/>
        <w:jc w:val="both"/>
        <w:rPr>
          <w:rFonts w:ascii="Arial" w:hAnsi="Arial" w:cs="Arial"/>
          <w:sz w:val="24"/>
          <w:szCs w:val="24"/>
        </w:rPr>
      </w:pPr>
      <w:r w:rsidRPr="00D378E7">
        <w:rPr>
          <w:rFonts w:ascii="Arial" w:hAnsi="Arial" w:cs="Arial"/>
          <w:sz w:val="24"/>
          <w:szCs w:val="24"/>
        </w:rPr>
        <w:t xml:space="preserve">This research sought to explore </w:t>
      </w:r>
      <w:r>
        <w:rPr>
          <w:rFonts w:ascii="Arial" w:hAnsi="Arial" w:cs="Arial"/>
          <w:sz w:val="24"/>
          <w:szCs w:val="24"/>
        </w:rPr>
        <w:t xml:space="preserve">experiences and views </w:t>
      </w:r>
      <w:r w:rsidRPr="00AF5C50">
        <w:rPr>
          <w:rFonts w:ascii="Arial" w:hAnsi="Arial" w:cs="Arial"/>
          <w:sz w:val="24"/>
          <w:szCs w:val="24"/>
        </w:rPr>
        <w:t xml:space="preserve">related </w:t>
      </w:r>
      <w:r>
        <w:rPr>
          <w:rFonts w:ascii="Arial" w:hAnsi="Arial" w:cs="Arial"/>
          <w:color w:val="1F3864" w:themeColor="accent1" w:themeShade="80"/>
          <w:sz w:val="24"/>
          <w:szCs w:val="24"/>
        </w:rPr>
        <w:t>to</w:t>
      </w:r>
      <w:r>
        <w:rPr>
          <w:rFonts w:ascii="Arial" w:hAnsi="Arial" w:cs="Arial"/>
          <w:sz w:val="24"/>
          <w:szCs w:val="24"/>
        </w:rPr>
        <w:t xml:space="preserve"> </w:t>
      </w:r>
      <w:r w:rsidRPr="00D378E7">
        <w:rPr>
          <w:rFonts w:ascii="Arial" w:hAnsi="Arial" w:cs="Arial"/>
          <w:sz w:val="24"/>
          <w:szCs w:val="24"/>
        </w:rPr>
        <w:t xml:space="preserve">the role of primary care pharmacists in </w:t>
      </w:r>
      <w:r>
        <w:rPr>
          <w:rFonts w:ascii="Arial" w:hAnsi="Arial" w:cs="Arial"/>
          <w:sz w:val="24"/>
          <w:szCs w:val="24"/>
        </w:rPr>
        <w:t xml:space="preserve">diabetes management in Saudi Arabia (SA) from the perspective of different HCPs; it also sought to explore the perceived barriers and facilitators to the pharmacist’s role in diabetes management as well as report on current pharmacist activities. The research was undertaken against the backdrop of </w:t>
      </w:r>
      <w:r w:rsidRPr="00D378E7">
        <w:rPr>
          <w:rFonts w:ascii="Arial" w:hAnsi="Arial" w:cs="Arial"/>
          <w:sz w:val="24"/>
          <w:szCs w:val="24"/>
        </w:rPr>
        <w:t xml:space="preserve">significant changes in </w:t>
      </w:r>
      <w:r>
        <w:rPr>
          <w:rFonts w:ascii="Arial" w:hAnsi="Arial" w:cs="Arial"/>
          <w:sz w:val="24"/>
          <w:szCs w:val="24"/>
        </w:rPr>
        <w:t xml:space="preserve">the Saudi </w:t>
      </w:r>
      <w:r w:rsidRPr="00D378E7">
        <w:rPr>
          <w:rFonts w:ascii="Arial" w:hAnsi="Arial" w:cs="Arial"/>
          <w:sz w:val="24"/>
          <w:szCs w:val="24"/>
        </w:rPr>
        <w:t>health system</w:t>
      </w:r>
      <w:r>
        <w:rPr>
          <w:rFonts w:ascii="Arial" w:hAnsi="Arial" w:cs="Arial"/>
          <w:sz w:val="24"/>
          <w:szCs w:val="24"/>
        </w:rPr>
        <w:t xml:space="preserve"> and</w:t>
      </w:r>
      <w:r w:rsidRPr="00D378E7">
        <w:rPr>
          <w:rFonts w:ascii="Arial" w:hAnsi="Arial" w:cs="Arial"/>
          <w:sz w:val="24"/>
          <w:szCs w:val="24"/>
        </w:rPr>
        <w:t xml:space="preserve"> particularly in primary care</w:t>
      </w:r>
      <w:r>
        <w:rPr>
          <w:rFonts w:ascii="Arial" w:hAnsi="Arial" w:cs="Arial"/>
          <w:sz w:val="24"/>
          <w:szCs w:val="24"/>
        </w:rPr>
        <w:t xml:space="preserve"> and significant changes to pharmacist roles and involvement in diabetes management in </w:t>
      </w:r>
      <w:r w:rsidRPr="008106E5">
        <w:rPr>
          <w:rFonts w:ascii="Arial" w:hAnsi="Arial" w:cs="Arial"/>
          <w:sz w:val="24"/>
          <w:szCs w:val="24"/>
        </w:rPr>
        <w:t>specific</w:t>
      </w:r>
      <w:r>
        <w:rPr>
          <w:rFonts w:ascii="Arial" w:hAnsi="Arial" w:cs="Arial"/>
          <w:sz w:val="24"/>
          <w:szCs w:val="24"/>
        </w:rPr>
        <w:t xml:space="preserve">. These changes involved the </w:t>
      </w:r>
      <w:r w:rsidRPr="00D378E7">
        <w:rPr>
          <w:rFonts w:ascii="Arial" w:hAnsi="Arial" w:cs="Arial"/>
          <w:sz w:val="24"/>
          <w:szCs w:val="24"/>
        </w:rPr>
        <w:t>closure</w:t>
      </w:r>
      <w:r>
        <w:rPr>
          <w:rFonts w:ascii="Arial" w:hAnsi="Arial" w:cs="Arial"/>
          <w:sz w:val="24"/>
          <w:szCs w:val="24"/>
        </w:rPr>
        <w:t xml:space="preserve"> of</w:t>
      </w:r>
      <w:r w:rsidRPr="00D378E7">
        <w:rPr>
          <w:rFonts w:ascii="Arial" w:hAnsi="Arial" w:cs="Arial"/>
          <w:sz w:val="24"/>
          <w:szCs w:val="24"/>
        </w:rPr>
        <w:t xml:space="preserve"> pharmacies located in the PHCs, </w:t>
      </w:r>
      <w:r>
        <w:rPr>
          <w:rFonts w:ascii="Arial" w:hAnsi="Arial" w:cs="Arial"/>
          <w:sz w:val="24"/>
          <w:szCs w:val="24"/>
        </w:rPr>
        <w:t xml:space="preserve">in order </w:t>
      </w:r>
      <w:r w:rsidRPr="00D378E7">
        <w:rPr>
          <w:rFonts w:ascii="Arial" w:hAnsi="Arial" w:cs="Arial"/>
          <w:sz w:val="24"/>
          <w:szCs w:val="24"/>
        </w:rPr>
        <w:t>to shift the supply of medication to retail pharmacies.</w:t>
      </w:r>
      <w:r>
        <w:rPr>
          <w:rFonts w:ascii="Arial" w:hAnsi="Arial" w:cs="Arial"/>
          <w:sz w:val="24"/>
          <w:szCs w:val="24"/>
        </w:rPr>
        <w:t xml:space="preserve"> Focusing on d</w:t>
      </w:r>
      <w:r w:rsidRPr="00AD25AA">
        <w:rPr>
          <w:rFonts w:ascii="Arial" w:hAnsi="Arial" w:cs="Arial"/>
          <w:sz w:val="24"/>
          <w:szCs w:val="24"/>
        </w:rPr>
        <w:t xml:space="preserve">iabetes </w:t>
      </w:r>
      <w:r>
        <w:rPr>
          <w:rFonts w:ascii="Arial" w:hAnsi="Arial" w:cs="Arial"/>
          <w:sz w:val="24"/>
          <w:szCs w:val="24"/>
        </w:rPr>
        <w:t xml:space="preserve">was justified given the </w:t>
      </w:r>
      <w:r w:rsidRPr="00AD25AA">
        <w:rPr>
          <w:rFonts w:ascii="Arial" w:hAnsi="Arial" w:cs="Arial"/>
          <w:sz w:val="24"/>
          <w:szCs w:val="24"/>
        </w:rPr>
        <w:t xml:space="preserve">health </w:t>
      </w:r>
      <w:r>
        <w:rPr>
          <w:rFonts w:ascii="Arial" w:hAnsi="Arial" w:cs="Arial"/>
          <w:sz w:val="24"/>
          <w:szCs w:val="24"/>
        </w:rPr>
        <w:t xml:space="preserve">and </w:t>
      </w:r>
      <w:r w:rsidRPr="00AD25AA">
        <w:rPr>
          <w:rFonts w:ascii="Arial" w:hAnsi="Arial" w:cs="Arial"/>
          <w:sz w:val="24"/>
          <w:szCs w:val="24"/>
        </w:rPr>
        <w:t>economic burden</w:t>
      </w:r>
      <w:r>
        <w:rPr>
          <w:rFonts w:ascii="Arial" w:hAnsi="Arial" w:cs="Arial"/>
          <w:sz w:val="24"/>
          <w:szCs w:val="24"/>
        </w:rPr>
        <w:t xml:space="preserve"> it poses in SA.</w:t>
      </w:r>
      <w:r w:rsidRPr="00AD25AA">
        <w:rPr>
          <w:rFonts w:ascii="Arial" w:hAnsi="Arial" w:cs="Arial"/>
          <w:sz w:val="24"/>
          <w:szCs w:val="24"/>
        </w:rPr>
        <w:t xml:space="preserve"> </w:t>
      </w:r>
      <w:r>
        <w:rPr>
          <w:rFonts w:ascii="Arial" w:hAnsi="Arial" w:cs="Arial"/>
          <w:sz w:val="24"/>
          <w:szCs w:val="24"/>
        </w:rPr>
        <w:t xml:space="preserve">This makes </w:t>
      </w:r>
      <w:r w:rsidRPr="00AD25AA">
        <w:rPr>
          <w:rFonts w:ascii="Arial" w:hAnsi="Arial" w:cs="Arial"/>
          <w:sz w:val="24"/>
          <w:szCs w:val="24"/>
        </w:rPr>
        <w:t xml:space="preserve">exploring opportunities for </w:t>
      </w:r>
      <w:r w:rsidRPr="00124AB8">
        <w:rPr>
          <w:rFonts w:ascii="Arial" w:hAnsi="Arial" w:cs="Arial"/>
          <w:sz w:val="24"/>
          <w:szCs w:val="24"/>
        </w:rPr>
        <w:t xml:space="preserve">additional </w:t>
      </w:r>
      <w:r>
        <w:rPr>
          <w:rFonts w:ascii="Arial" w:hAnsi="Arial" w:cs="Arial"/>
          <w:sz w:val="24"/>
          <w:szCs w:val="24"/>
        </w:rPr>
        <w:t>HCPs</w:t>
      </w:r>
      <w:r w:rsidRPr="00AD25AA">
        <w:rPr>
          <w:rFonts w:ascii="Arial" w:hAnsi="Arial" w:cs="Arial"/>
          <w:sz w:val="24"/>
          <w:szCs w:val="24"/>
        </w:rPr>
        <w:t xml:space="preserve"> like pharmacists</w:t>
      </w:r>
      <w:r>
        <w:rPr>
          <w:rFonts w:ascii="Arial" w:hAnsi="Arial" w:cs="Arial"/>
          <w:sz w:val="24"/>
          <w:szCs w:val="24"/>
        </w:rPr>
        <w:t xml:space="preserve"> to be involved</w:t>
      </w:r>
      <w:r w:rsidRPr="00AD25AA">
        <w:rPr>
          <w:rFonts w:ascii="Arial" w:hAnsi="Arial" w:cs="Arial"/>
          <w:sz w:val="24"/>
          <w:szCs w:val="24"/>
        </w:rPr>
        <w:t xml:space="preserve"> in diabetes management </w:t>
      </w:r>
      <w:r>
        <w:rPr>
          <w:rFonts w:ascii="Arial" w:hAnsi="Arial" w:cs="Arial"/>
          <w:sz w:val="24"/>
          <w:szCs w:val="24"/>
        </w:rPr>
        <w:t>important to understand. The study aims were achieved using a</w:t>
      </w:r>
      <w:r w:rsidRPr="00177AC7">
        <w:rPr>
          <w:rFonts w:ascii="Arial" w:hAnsi="Arial" w:cs="Arial"/>
          <w:sz w:val="24"/>
          <w:szCs w:val="24"/>
        </w:rPr>
        <w:t xml:space="preserve">n explanatory mixed-method approach </w:t>
      </w:r>
      <w:r>
        <w:rPr>
          <w:rFonts w:ascii="Arial" w:hAnsi="Arial" w:cs="Arial"/>
          <w:sz w:val="24"/>
          <w:szCs w:val="24"/>
        </w:rPr>
        <w:t>comprising</w:t>
      </w:r>
      <w:r w:rsidRPr="00177AC7">
        <w:rPr>
          <w:rFonts w:ascii="Arial" w:hAnsi="Arial" w:cs="Arial"/>
          <w:sz w:val="24"/>
          <w:szCs w:val="24"/>
        </w:rPr>
        <w:t xml:space="preserve"> an online survey</w:t>
      </w:r>
      <w:r>
        <w:rPr>
          <w:rFonts w:ascii="Arial" w:hAnsi="Arial" w:cs="Arial"/>
          <w:sz w:val="24"/>
          <w:szCs w:val="24"/>
        </w:rPr>
        <w:t xml:space="preserve"> followed by </w:t>
      </w:r>
      <w:r w:rsidRPr="00177AC7">
        <w:rPr>
          <w:rFonts w:ascii="Arial" w:hAnsi="Arial" w:cs="Arial"/>
          <w:sz w:val="24"/>
          <w:szCs w:val="24"/>
        </w:rPr>
        <w:t>in-depth semi-structured interviews</w:t>
      </w:r>
      <w:r w:rsidRPr="009C3303">
        <w:rPr>
          <w:rFonts w:ascii="Arial" w:hAnsi="Arial" w:cs="Arial"/>
          <w:sz w:val="24"/>
          <w:szCs w:val="24"/>
        </w:rPr>
        <w:t xml:space="preserve"> </w:t>
      </w:r>
      <w:r w:rsidRPr="00177AC7">
        <w:rPr>
          <w:rFonts w:ascii="Arial" w:hAnsi="Arial" w:cs="Arial"/>
          <w:sz w:val="24"/>
          <w:szCs w:val="24"/>
        </w:rPr>
        <w:t xml:space="preserve">to gain insights into the experiences of </w:t>
      </w:r>
      <w:r>
        <w:rPr>
          <w:rFonts w:ascii="Arial" w:hAnsi="Arial" w:cs="Arial"/>
          <w:sz w:val="24"/>
          <w:szCs w:val="24"/>
        </w:rPr>
        <w:t>HCPs.</w:t>
      </w:r>
    </w:p>
    <w:p w14:paraId="48AD9D0D" w14:textId="77777777" w:rsidR="00FA7940" w:rsidRDefault="00FA7940" w:rsidP="00FA7940">
      <w:pPr>
        <w:spacing w:line="360" w:lineRule="auto"/>
        <w:jc w:val="both"/>
        <w:rPr>
          <w:rFonts w:ascii="Arial" w:hAnsi="Arial" w:cs="Arial"/>
          <w:sz w:val="24"/>
          <w:szCs w:val="24"/>
        </w:rPr>
      </w:pPr>
      <w:r>
        <w:rPr>
          <w:rFonts w:ascii="Arial" w:hAnsi="Arial" w:cs="Arial"/>
          <w:sz w:val="24"/>
          <w:szCs w:val="24"/>
        </w:rPr>
        <w:t>I</w:t>
      </w:r>
      <w:r w:rsidRPr="00177AC7">
        <w:rPr>
          <w:rFonts w:ascii="Arial" w:hAnsi="Arial" w:cs="Arial"/>
          <w:sz w:val="24"/>
          <w:szCs w:val="24"/>
        </w:rPr>
        <w:t xml:space="preserve">t was found that </w:t>
      </w:r>
      <w:r>
        <w:rPr>
          <w:rFonts w:ascii="Arial" w:hAnsi="Arial" w:cs="Arial"/>
          <w:sz w:val="24"/>
          <w:szCs w:val="24"/>
        </w:rPr>
        <w:t>HCPs</w:t>
      </w:r>
      <w:r w:rsidRPr="00177AC7">
        <w:rPr>
          <w:rFonts w:ascii="Arial" w:hAnsi="Arial" w:cs="Arial"/>
          <w:sz w:val="24"/>
          <w:szCs w:val="24"/>
        </w:rPr>
        <w:t xml:space="preserve"> have positive attitudes toward </w:t>
      </w:r>
      <w:r>
        <w:rPr>
          <w:rFonts w:ascii="Arial" w:hAnsi="Arial" w:cs="Arial"/>
          <w:sz w:val="24"/>
          <w:szCs w:val="24"/>
        </w:rPr>
        <w:t xml:space="preserve">the </w:t>
      </w:r>
      <w:r w:rsidRPr="00177AC7">
        <w:rPr>
          <w:rFonts w:ascii="Arial" w:hAnsi="Arial" w:cs="Arial"/>
          <w:sz w:val="24"/>
          <w:szCs w:val="24"/>
        </w:rPr>
        <w:t xml:space="preserve">pharmacist's role in diabetes management in PHC in SA. </w:t>
      </w:r>
      <w:r>
        <w:rPr>
          <w:rFonts w:ascii="Arial" w:hAnsi="Arial" w:cs="Arial"/>
          <w:sz w:val="24"/>
          <w:szCs w:val="24"/>
        </w:rPr>
        <w:t>Despite the overall positivity among HCPs, some variation and negativity were apparent. Several</w:t>
      </w:r>
      <w:r w:rsidRPr="00177AC7">
        <w:rPr>
          <w:rFonts w:ascii="Arial" w:hAnsi="Arial" w:cs="Arial"/>
          <w:sz w:val="24"/>
          <w:szCs w:val="24"/>
        </w:rPr>
        <w:t xml:space="preserve"> factors </w:t>
      </w:r>
      <w:r>
        <w:rPr>
          <w:rFonts w:ascii="Arial" w:hAnsi="Arial" w:cs="Arial"/>
          <w:sz w:val="24"/>
          <w:szCs w:val="24"/>
        </w:rPr>
        <w:t xml:space="preserve">were perceived to </w:t>
      </w:r>
      <w:r w:rsidRPr="00177AC7">
        <w:rPr>
          <w:rFonts w:ascii="Arial" w:hAnsi="Arial" w:cs="Arial"/>
          <w:sz w:val="24"/>
          <w:szCs w:val="24"/>
        </w:rPr>
        <w:t>influenc</w:t>
      </w:r>
      <w:r>
        <w:rPr>
          <w:rFonts w:ascii="Arial" w:hAnsi="Arial" w:cs="Arial"/>
          <w:sz w:val="24"/>
          <w:szCs w:val="24"/>
        </w:rPr>
        <w:t>e</w:t>
      </w:r>
      <w:r w:rsidRPr="00177AC7">
        <w:rPr>
          <w:rFonts w:ascii="Arial" w:hAnsi="Arial" w:cs="Arial"/>
          <w:sz w:val="24"/>
          <w:szCs w:val="24"/>
        </w:rPr>
        <w:t xml:space="preserve"> </w:t>
      </w:r>
      <w:r>
        <w:rPr>
          <w:rFonts w:ascii="Arial" w:hAnsi="Arial" w:cs="Arial"/>
          <w:sz w:val="24"/>
          <w:szCs w:val="24"/>
        </w:rPr>
        <w:t>HCPs’</w:t>
      </w:r>
      <w:r w:rsidRPr="00177AC7">
        <w:rPr>
          <w:rFonts w:ascii="Arial" w:hAnsi="Arial" w:cs="Arial"/>
          <w:sz w:val="24"/>
          <w:szCs w:val="24"/>
        </w:rPr>
        <w:t xml:space="preserve"> opinions about pharmacists' involvement</w:t>
      </w:r>
      <w:r>
        <w:rPr>
          <w:rFonts w:ascii="Arial" w:hAnsi="Arial" w:cs="Arial"/>
          <w:sz w:val="24"/>
          <w:szCs w:val="24"/>
        </w:rPr>
        <w:t xml:space="preserve"> including </w:t>
      </w:r>
      <w:r>
        <w:rPr>
          <w:rFonts w:asciiTheme="minorBidi" w:eastAsiaTheme="minorEastAsia" w:hAnsiTheme="minorBidi"/>
          <w:sz w:val="24"/>
          <w:szCs w:val="24"/>
          <w:lang w:eastAsia="en-GB"/>
        </w:rPr>
        <w:t xml:space="preserve">the </w:t>
      </w:r>
      <w:r w:rsidRPr="001545AB">
        <w:rPr>
          <w:rFonts w:ascii="Arial" w:hAnsi="Arial" w:cs="Arial"/>
          <w:sz w:val="24"/>
          <w:szCs w:val="24"/>
        </w:rPr>
        <w:t>society's culture which has a significant influence on the attitudes of the medical staff and people towards the pharmacist's role. The stereotypical role of the pharmacist who works in a PHC is to</w:t>
      </w:r>
      <w:r>
        <w:rPr>
          <w:rFonts w:ascii="Arial" w:hAnsi="Arial" w:cs="Arial"/>
          <w:sz w:val="24"/>
          <w:szCs w:val="24"/>
        </w:rPr>
        <w:t xml:space="preserve"> only</w:t>
      </w:r>
      <w:r w:rsidRPr="001545AB">
        <w:rPr>
          <w:rFonts w:ascii="Arial" w:hAnsi="Arial" w:cs="Arial"/>
          <w:sz w:val="24"/>
          <w:szCs w:val="24"/>
        </w:rPr>
        <w:t xml:space="preserve"> dispense prescriptions without intervening in the doctor’s </w:t>
      </w:r>
      <w:r>
        <w:rPr>
          <w:rFonts w:ascii="Arial" w:hAnsi="Arial" w:cs="Arial"/>
          <w:sz w:val="24"/>
          <w:szCs w:val="24"/>
        </w:rPr>
        <w:t>management plan</w:t>
      </w:r>
      <w:r w:rsidRPr="001545AB">
        <w:rPr>
          <w:rFonts w:ascii="Arial" w:hAnsi="Arial" w:cs="Arial"/>
          <w:sz w:val="24"/>
          <w:szCs w:val="24"/>
        </w:rPr>
        <w:t xml:space="preserve">. Other factors that </w:t>
      </w:r>
      <w:r>
        <w:rPr>
          <w:rFonts w:ascii="Arial" w:hAnsi="Arial" w:cs="Arial"/>
          <w:sz w:val="24"/>
          <w:szCs w:val="24"/>
        </w:rPr>
        <w:t xml:space="preserve">have </w:t>
      </w:r>
      <w:r w:rsidRPr="001545AB">
        <w:rPr>
          <w:rFonts w:ascii="Arial" w:hAnsi="Arial" w:cs="Arial"/>
          <w:sz w:val="24"/>
          <w:szCs w:val="24"/>
        </w:rPr>
        <w:t>influence</w:t>
      </w:r>
      <w:r>
        <w:rPr>
          <w:rFonts w:ascii="Arial" w:hAnsi="Arial" w:cs="Arial"/>
          <w:sz w:val="24"/>
          <w:szCs w:val="24"/>
        </w:rPr>
        <w:t>d the</w:t>
      </w:r>
      <w:r w:rsidRPr="001545AB">
        <w:rPr>
          <w:rFonts w:ascii="Arial" w:hAnsi="Arial" w:cs="Arial"/>
          <w:sz w:val="24"/>
          <w:szCs w:val="24"/>
        </w:rPr>
        <w:t xml:space="preserve"> participants' views were</w:t>
      </w:r>
      <w:r>
        <w:rPr>
          <w:rFonts w:ascii="Arial" w:hAnsi="Arial" w:cs="Arial"/>
          <w:sz w:val="24"/>
          <w:szCs w:val="24"/>
        </w:rPr>
        <w:t xml:space="preserve"> their</w:t>
      </w:r>
      <w:r w:rsidRPr="001545AB">
        <w:rPr>
          <w:rFonts w:ascii="Arial" w:hAnsi="Arial" w:cs="Arial"/>
          <w:sz w:val="24"/>
          <w:szCs w:val="24"/>
        </w:rPr>
        <w:t xml:space="preserve"> profession</w:t>
      </w:r>
      <w:r>
        <w:rPr>
          <w:rFonts w:ascii="Arial" w:hAnsi="Arial" w:cs="Arial"/>
          <w:sz w:val="24"/>
          <w:szCs w:val="24"/>
        </w:rPr>
        <w:t>al standing; some variable and more negative views were appreciated mostly from doctors relating to specifically proposed tasks, such as independent pharmacist prescribing. Y</w:t>
      </w:r>
      <w:r w:rsidRPr="00177AC7">
        <w:rPr>
          <w:rFonts w:ascii="Arial" w:hAnsi="Arial" w:cs="Arial"/>
          <w:sz w:val="24"/>
          <w:szCs w:val="24"/>
        </w:rPr>
        <w:t>ears of experience</w:t>
      </w:r>
      <w:r>
        <w:rPr>
          <w:rFonts w:ascii="Arial" w:hAnsi="Arial" w:cs="Arial"/>
          <w:sz w:val="24"/>
          <w:szCs w:val="24"/>
        </w:rPr>
        <w:t xml:space="preserve"> have</w:t>
      </w:r>
      <w:r w:rsidRPr="00177AC7">
        <w:rPr>
          <w:rFonts w:ascii="Arial" w:hAnsi="Arial" w:cs="Arial"/>
          <w:sz w:val="24"/>
          <w:szCs w:val="24"/>
        </w:rPr>
        <w:t xml:space="preserve"> also </w:t>
      </w:r>
      <w:r>
        <w:rPr>
          <w:rFonts w:ascii="Arial" w:hAnsi="Arial" w:cs="Arial"/>
          <w:sz w:val="24"/>
          <w:szCs w:val="24"/>
        </w:rPr>
        <w:t>a</w:t>
      </w:r>
      <w:r w:rsidRPr="00177AC7">
        <w:rPr>
          <w:rFonts w:ascii="Arial" w:hAnsi="Arial" w:cs="Arial"/>
          <w:sz w:val="24"/>
          <w:szCs w:val="24"/>
        </w:rPr>
        <w:t>ffect</w:t>
      </w:r>
      <w:r>
        <w:rPr>
          <w:rFonts w:ascii="Arial" w:hAnsi="Arial" w:cs="Arial"/>
          <w:sz w:val="24"/>
          <w:szCs w:val="24"/>
        </w:rPr>
        <w:t>ed</w:t>
      </w:r>
      <w:r w:rsidRPr="00177AC7">
        <w:rPr>
          <w:rFonts w:ascii="Arial" w:hAnsi="Arial" w:cs="Arial"/>
          <w:sz w:val="24"/>
          <w:szCs w:val="24"/>
        </w:rPr>
        <w:t xml:space="preserve"> participants' perceptions toward pharmacists' role in diabetes management</w:t>
      </w:r>
      <w:r>
        <w:rPr>
          <w:rFonts w:ascii="Arial" w:hAnsi="Arial" w:cs="Arial"/>
          <w:sz w:val="24"/>
          <w:szCs w:val="24"/>
        </w:rPr>
        <w:t>,</w:t>
      </w:r>
      <w:r w:rsidRPr="00DC49ED">
        <w:rPr>
          <w:rFonts w:ascii="Arial" w:hAnsi="Arial" w:cs="Arial"/>
          <w:sz w:val="24"/>
          <w:szCs w:val="24"/>
        </w:rPr>
        <w:t xml:space="preserve"> those with </w:t>
      </w:r>
      <w:r>
        <w:rPr>
          <w:rFonts w:ascii="Arial" w:hAnsi="Arial" w:cs="Arial"/>
          <w:sz w:val="24"/>
          <w:szCs w:val="24"/>
        </w:rPr>
        <w:t>fewer years of</w:t>
      </w:r>
      <w:r w:rsidRPr="00DC49ED">
        <w:rPr>
          <w:rFonts w:ascii="Arial" w:hAnsi="Arial" w:cs="Arial"/>
          <w:sz w:val="24"/>
          <w:szCs w:val="24"/>
        </w:rPr>
        <w:t xml:space="preserve"> experience </w:t>
      </w:r>
      <w:r>
        <w:rPr>
          <w:rFonts w:ascii="Arial" w:hAnsi="Arial" w:cs="Arial"/>
          <w:sz w:val="24"/>
          <w:szCs w:val="24"/>
        </w:rPr>
        <w:t>being less positive toward pharmacists’ roles in diabetes management.</w:t>
      </w:r>
    </w:p>
    <w:p w14:paraId="476ED32A" w14:textId="77777777" w:rsidR="00FA7940" w:rsidRPr="000B10C8" w:rsidRDefault="00FA7940" w:rsidP="00FA7940">
      <w:pPr>
        <w:spacing w:line="360" w:lineRule="auto"/>
        <w:jc w:val="both"/>
        <w:rPr>
          <w:rFonts w:asciiTheme="minorBidi" w:hAnsiTheme="minorBidi"/>
          <w:sz w:val="24"/>
          <w:szCs w:val="24"/>
        </w:rPr>
      </w:pPr>
      <w:r w:rsidRPr="008D790F">
        <w:rPr>
          <w:rFonts w:ascii="Arial" w:hAnsi="Arial" w:cs="Arial"/>
          <w:sz w:val="24"/>
          <w:szCs w:val="24"/>
        </w:rPr>
        <w:t xml:space="preserve">The </w:t>
      </w:r>
      <w:r>
        <w:rPr>
          <w:rFonts w:ascii="Arial" w:hAnsi="Arial" w:cs="Arial"/>
          <w:sz w:val="24"/>
          <w:szCs w:val="24"/>
        </w:rPr>
        <w:t xml:space="preserve">variation in HCPs’ views </w:t>
      </w:r>
      <w:r w:rsidRPr="008D790F">
        <w:rPr>
          <w:rFonts w:ascii="Arial" w:hAnsi="Arial" w:cs="Arial"/>
          <w:sz w:val="24"/>
          <w:szCs w:val="24"/>
        </w:rPr>
        <w:t xml:space="preserve">was also evident </w:t>
      </w:r>
      <w:r>
        <w:rPr>
          <w:rFonts w:ascii="Arial" w:hAnsi="Arial" w:cs="Arial"/>
          <w:sz w:val="24"/>
          <w:szCs w:val="24"/>
        </w:rPr>
        <w:t>regarding</w:t>
      </w:r>
      <w:r w:rsidRPr="008D790F">
        <w:rPr>
          <w:rFonts w:ascii="Arial" w:hAnsi="Arial" w:cs="Arial"/>
          <w:sz w:val="24"/>
          <w:szCs w:val="24"/>
        </w:rPr>
        <w:t xml:space="preserve"> the </w:t>
      </w:r>
      <w:r>
        <w:rPr>
          <w:rFonts w:ascii="Arial" w:hAnsi="Arial" w:cs="Arial"/>
          <w:sz w:val="24"/>
          <w:szCs w:val="24"/>
        </w:rPr>
        <w:t xml:space="preserve">timing of </w:t>
      </w:r>
      <w:r w:rsidRPr="008D790F">
        <w:rPr>
          <w:rFonts w:ascii="Arial" w:hAnsi="Arial" w:cs="Arial"/>
          <w:sz w:val="24"/>
          <w:szCs w:val="24"/>
        </w:rPr>
        <w:t>pharmacists</w:t>
      </w:r>
      <w:r>
        <w:rPr>
          <w:rFonts w:ascii="Arial" w:hAnsi="Arial" w:cs="Arial"/>
          <w:sz w:val="24"/>
          <w:szCs w:val="24"/>
        </w:rPr>
        <w:t>’ involvement</w:t>
      </w:r>
      <w:r w:rsidRPr="008D790F">
        <w:rPr>
          <w:rFonts w:ascii="Arial" w:hAnsi="Arial" w:cs="Arial"/>
          <w:sz w:val="24"/>
          <w:szCs w:val="24"/>
        </w:rPr>
        <w:t xml:space="preserve"> in diabetes management. </w:t>
      </w:r>
      <w:r w:rsidRPr="002C627F">
        <w:rPr>
          <w:rFonts w:ascii="Arial" w:hAnsi="Arial" w:cs="Arial"/>
          <w:sz w:val="24"/>
          <w:szCs w:val="24"/>
        </w:rPr>
        <w:t>In the first phase of this research, more positive</w:t>
      </w:r>
      <w:r>
        <w:rPr>
          <w:rFonts w:ascii="Arial" w:hAnsi="Arial" w:cs="Arial"/>
          <w:sz w:val="24"/>
          <w:szCs w:val="24"/>
        </w:rPr>
        <w:t xml:space="preserve"> views</w:t>
      </w:r>
      <w:r w:rsidRPr="002C627F">
        <w:rPr>
          <w:rFonts w:ascii="Arial" w:hAnsi="Arial" w:cs="Arial"/>
          <w:sz w:val="24"/>
          <w:szCs w:val="24"/>
        </w:rPr>
        <w:t xml:space="preserve"> </w:t>
      </w:r>
      <w:r>
        <w:rPr>
          <w:rFonts w:ascii="Arial" w:hAnsi="Arial" w:cs="Arial"/>
          <w:sz w:val="24"/>
          <w:szCs w:val="24"/>
        </w:rPr>
        <w:t>were</w:t>
      </w:r>
      <w:r w:rsidRPr="002C627F">
        <w:rPr>
          <w:rFonts w:ascii="Arial" w:hAnsi="Arial" w:cs="Arial"/>
          <w:sz w:val="24"/>
          <w:szCs w:val="24"/>
        </w:rPr>
        <w:t xml:space="preserve"> identified about pharmacists' </w:t>
      </w:r>
      <w:r>
        <w:rPr>
          <w:rFonts w:ascii="Arial" w:hAnsi="Arial" w:cs="Arial"/>
          <w:sz w:val="24"/>
          <w:szCs w:val="24"/>
        </w:rPr>
        <w:t>future</w:t>
      </w:r>
      <w:r w:rsidRPr="002C627F">
        <w:rPr>
          <w:rFonts w:ascii="Arial" w:hAnsi="Arial" w:cs="Arial"/>
          <w:sz w:val="24"/>
          <w:szCs w:val="24"/>
        </w:rPr>
        <w:t xml:space="preserve"> involvement</w:t>
      </w:r>
      <w:r>
        <w:rPr>
          <w:rFonts w:ascii="Arial" w:hAnsi="Arial" w:cs="Arial"/>
          <w:sz w:val="24"/>
          <w:szCs w:val="24"/>
        </w:rPr>
        <w:t xml:space="preserve"> than current </w:t>
      </w:r>
      <w:r w:rsidRPr="002C627F">
        <w:rPr>
          <w:rFonts w:ascii="Arial" w:hAnsi="Arial" w:cs="Arial"/>
          <w:sz w:val="24"/>
          <w:szCs w:val="24"/>
        </w:rPr>
        <w:t>involvement. In contrast, the interviewees advocated the involvement of pharmacists in patients</w:t>
      </w:r>
      <w:r>
        <w:rPr>
          <w:rFonts w:ascii="Arial" w:hAnsi="Arial" w:cs="Arial"/>
          <w:sz w:val="24"/>
          <w:szCs w:val="24"/>
        </w:rPr>
        <w:t xml:space="preserve"> management </w:t>
      </w:r>
      <w:r w:rsidRPr="002C627F">
        <w:rPr>
          <w:rFonts w:ascii="Arial" w:hAnsi="Arial" w:cs="Arial"/>
          <w:sz w:val="24"/>
          <w:szCs w:val="24"/>
        </w:rPr>
        <w:t>after the experience of transferring pharmacists from their practice and the challenge they face in communicating with pharmacists working in retail pharmacies</w:t>
      </w:r>
      <w:r>
        <w:rPr>
          <w:rFonts w:asciiTheme="minorBidi" w:hAnsiTheme="minorBidi"/>
          <w:sz w:val="24"/>
          <w:szCs w:val="24"/>
        </w:rPr>
        <w:t>. They also indicated that moving pharmacists away from their practice in PHCs has created gaps in services delivery. Essential pharmaceutical care services, such as medication review, medication consultation, and patient education services, were highlighted by interviewees as urgently needed services in primary care. Therefore, they advocated for the pharmacist's participation in diabetes management and their restoration to PHCs.</w:t>
      </w:r>
    </w:p>
    <w:p w14:paraId="01A7CB20" w14:textId="77777777" w:rsidR="00FA7940" w:rsidRDefault="00FA7940" w:rsidP="00FA7940">
      <w:pPr>
        <w:spacing w:line="360" w:lineRule="auto"/>
        <w:jc w:val="both"/>
        <w:rPr>
          <w:rFonts w:ascii="Arial" w:hAnsi="Arial" w:cs="Arial"/>
          <w:sz w:val="24"/>
          <w:szCs w:val="24"/>
        </w:rPr>
      </w:pPr>
      <w:r w:rsidRPr="00D8652B">
        <w:rPr>
          <w:rFonts w:ascii="Arial" w:hAnsi="Arial" w:cs="Arial"/>
          <w:sz w:val="24"/>
          <w:szCs w:val="24"/>
        </w:rPr>
        <w:t>Pharmacists were found willing to expand their scope of practice, play new roles, and participate in diabetes management</w:t>
      </w:r>
      <w:r>
        <w:rPr>
          <w:rFonts w:ascii="Arial" w:hAnsi="Arial" w:cs="Arial"/>
          <w:sz w:val="24"/>
          <w:szCs w:val="24"/>
        </w:rPr>
        <w:t>, h</w:t>
      </w:r>
      <w:r w:rsidRPr="00D8652B">
        <w:rPr>
          <w:rFonts w:ascii="Arial" w:hAnsi="Arial" w:cs="Arial"/>
          <w:sz w:val="24"/>
          <w:szCs w:val="24"/>
        </w:rPr>
        <w:t xml:space="preserve">owever, moving </w:t>
      </w:r>
      <w:r>
        <w:rPr>
          <w:rFonts w:ascii="Arial" w:hAnsi="Arial" w:cs="Arial"/>
          <w:sz w:val="24"/>
          <w:szCs w:val="24"/>
        </w:rPr>
        <w:t>them</w:t>
      </w:r>
      <w:r w:rsidRPr="00D8652B">
        <w:rPr>
          <w:rFonts w:ascii="Arial" w:hAnsi="Arial" w:cs="Arial"/>
          <w:sz w:val="24"/>
          <w:szCs w:val="24"/>
        </w:rPr>
        <w:t xml:space="preserve"> away from PHCs has created the biggest challenge for their contribution to diabetes primary care management. In addition, the regulation and legislation issues were also found to be one of the biggest challenges they faced</w:t>
      </w:r>
      <w:r>
        <w:rPr>
          <w:rFonts w:ascii="Arial" w:hAnsi="Arial" w:cs="Arial"/>
          <w:sz w:val="24"/>
          <w:szCs w:val="24"/>
        </w:rPr>
        <w:t xml:space="preserve">, as these issues </w:t>
      </w:r>
      <w:r w:rsidRPr="004C0FE0">
        <w:rPr>
          <w:rFonts w:ascii="Arial" w:hAnsi="Arial" w:cs="Arial"/>
          <w:sz w:val="24"/>
          <w:szCs w:val="24"/>
        </w:rPr>
        <w:t>make them struggle to use decision-making</w:t>
      </w:r>
      <w:r>
        <w:rPr>
          <w:rFonts w:ascii="Arial" w:hAnsi="Arial" w:cs="Arial"/>
          <w:sz w:val="24"/>
          <w:szCs w:val="24"/>
        </w:rPr>
        <w:t xml:space="preserve">, </w:t>
      </w:r>
      <w:r w:rsidRPr="00D8652B">
        <w:rPr>
          <w:rFonts w:ascii="Arial" w:hAnsi="Arial" w:cs="Arial"/>
          <w:sz w:val="24"/>
          <w:szCs w:val="24"/>
        </w:rPr>
        <w:t>participate in diabetes management</w:t>
      </w:r>
      <w:r>
        <w:rPr>
          <w:rFonts w:ascii="Arial" w:hAnsi="Arial" w:cs="Arial"/>
          <w:sz w:val="24"/>
          <w:szCs w:val="24"/>
        </w:rPr>
        <w:t>,</w:t>
      </w:r>
      <w:r w:rsidRPr="00D8652B">
        <w:rPr>
          <w:rFonts w:ascii="Arial" w:hAnsi="Arial" w:cs="Arial"/>
          <w:sz w:val="24"/>
          <w:szCs w:val="24"/>
        </w:rPr>
        <w:t xml:space="preserve"> and provide clinical services to patients</w:t>
      </w:r>
      <w:r>
        <w:rPr>
          <w:rFonts w:ascii="Arial" w:hAnsi="Arial" w:cs="Arial"/>
          <w:sz w:val="24"/>
          <w:szCs w:val="24"/>
        </w:rPr>
        <w:t>.</w:t>
      </w:r>
      <w:r w:rsidRPr="00D8652B">
        <w:rPr>
          <w:rFonts w:ascii="Arial" w:hAnsi="Arial" w:cs="Arial"/>
          <w:sz w:val="24"/>
          <w:szCs w:val="24"/>
        </w:rPr>
        <w:t xml:space="preserve"> </w:t>
      </w:r>
      <w:r>
        <w:rPr>
          <w:rFonts w:ascii="Arial" w:hAnsi="Arial" w:cs="Arial"/>
          <w:sz w:val="24"/>
          <w:szCs w:val="24"/>
        </w:rPr>
        <w:t>I</w:t>
      </w:r>
      <w:r w:rsidRPr="00D8652B">
        <w:rPr>
          <w:rFonts w:ascii="Arial" w:hAnsi="Arial" w:cs="Arial"/>
          <w:sz w:val="24"/>
          <w:szCs w:val="24"/>
        </w:rPr>
        <w:t xml:space="preserve">n fact, it was found that clinical activities were not within the scope of their practice in the PHCs of the MoH. Many other barriers also contribute to pharmacists' involvement in diabetes management, such as the influence of other professions who inhibit them making good ethical decisions. </w:t>
      </w:r>
    </w:p>
    <w:p w14:paraId="1D284E70" w14:textId="77777777" w:rsidR="00FA7940" w:rsidRDefault="00FA7940" w:rsidP="00FA7940">
      <w:pPr>
        <w:spacing w:line="360" w:lineRule="auto"/>
        <w:jc w:val="both"/>
        <w:rPr>
          <w:rFonts w:ascii="Arial" w:hAnsi="Arial" w:cs="Arial"/>
          <w:sz w:val="24"/>
          <w:szCs w:val="24"/>
        </w:rPr>
      </w:pPr>
      <w:r w:rsidRPr="00177AC7">
        <w:rPr>
          <w:rFonts w:ascii="Arial" w:hAnsi="Arial" w:cs="Arial"/>
          <w:sz w:val="24"/>
          <w:szCs w:val="24"/>
        </w:rPr>
        <w:t xml:space="preserve">This research revealed that there is currently no active role for the pharmacist in diabetes management because pharmaceutical services have been transferred to retail community pharmacies, and their role is limited to dispensing the prescription to the patient. </w:t>
      </w:r>
      <w:r>
        <w:rPr>
          <w:rFonts w:ascii="Arial" w:hAnsi="Arial" w:cs="Arial"/>
          <w:sz w:val="24"/>
          <w:szCs w:val="24"/>
        </w:rPr>
        <w:t>This research also identified a</w:t>
      </w:r>
      <w:r w:rsidRPr="00177AC7">
        <w:rPr>
          <w:rFonts w:ascii="Arial" w:hAnsi="Arial" w:cs="Arial"/>
          <w:sz w:val="24"/>
          <w:szCs w:val="24"/>
        </w:rPr>
        <w:t xml:space="preserve"> need for pharmacist</w:t>
      </w:r>
      <w:r>
        <w:rPr>
          <w:rFonts w:ascii="Arial" w:hAnsi="Arial" w:cs="Arial"/>
          <w:sz w:val="24"/>
          <w:szCs w:val="24"/>
        </w:rPr>
        <w:t>s</w:t>
      </w:r>
      <w:r w:rsidRPr="00177AC7">
        <w:rPr>
          <w:rFonts w:ascii="Arial" w:hAnsi="Arial" w:cs="Arial"/>
          <w:sz w:val="24"/>
          <w:szCs w:val="24"/>
        </w:rPr>
        <w:t xml:space="preserve"> to be part of the diabetes primary care management team. Separating pharmaceutical care services from </w:t>
      </w:r>
      <w:r>
        <w:rPr>
          <w:rFonts w:ascii="Arial" w:hAnsi="Arial" w:cs="Arial"/>
          <w:sz w:val="24"/>
          <w:szCs w:val="24"/>
        </w:rPr>
        <w:t>PHCs</w:t>
      </w:r>
      <w:r w:rsidRPr="00177AC7">
        <w:rPr>
          <w:rFonts w:ascii="Arial" w:hAnsi="Arial" w:cs="Arial"/>
          <w:sz w:val="24"/>
          <w:szCs w:val="24"/>
        </w:rPr>
        <w:t xml:space="preserve"> </w:t>
      </w:r>
      <w:r>
        <w:rPr>
          <w:rFonts w:ascii="Arial" w:hAnsi="Arial" w:cs="Arial"/>
          <w:sz w:val="24"/>
          <w:szCs w:val="24"/>
        </w:rPr>
        <w:t xml:space="preserve">has a </w:t>
      </w:r>
      <w:r w:rsidRPr="00177AC7">
        <w:rPr>
          <w:rFonts w:ascii="Arial" w:hAnsi="Arial" w:cs="Arial"/>
          <w:sz w:val="24"/>
          <w:szCs w:val="24"/>
        </w:rPr>
        <w:t>great impact</w:t>
      </w:r>
      <w:r>
        <w:rPr>
          <w:rFonts w:ascii="Arial" w:hAnsi="Arial" w:cs="Arial"/>
          <w:sz w:val="24"/>
          <w:szCs w:val="24"/>
        </w:rPr>
        <w:t xml:space="preserve"> on</w:t>
      </w:r>
      <w:r w:rsidRPr="00177AC7">
        <w:rPr>
          <w:rFonts w:ascii="Arial" w:hAnsi="Arial" w:cs="Arial"/>
          <w:sz w:val="24"/>
          <w:szCs w:val="24"/>
        </w:rPr>
        <w:t xml:space="preserve"> </w:t>
      </w:r>
      <w:r>
        <w:rPr>
          <w:rFonts w:ascii="Arial" w:hAnsi="Arial" w:cs="Arial"/>
          <w:sz w:val="24"/>
          <w:szCs w:val="24"/>
        </w:rPr>
        <w:t>HCP</w:t>
      </w:r>
      <w:r w:rsidRPr="00177AC7">
        <w:rPr>
          <w:rFonts w:ascii="Arial" w:hAnsi="Arial" w:cs="Arial"/>
          <w:sz w:val="24"/>
          <w:szCs w:val="24"/>
        </w:rPr>
        <w:t xml:space="preserve">s and patients satisfaction. The lack of communication between pharmacists and primary </w:t>
      </w:r>
      <w:r>
        <w:rPr>
          <w:rFonts w:ascii="Arial" w:hAnsi="Arial" w:cs="Arial"/>
          <w:sz w:val="24"/>
          <w:szCs w:val="24"/>
        </w:rPr>
        <w:t>HCPs</w:t>
      </w:r>
      <w:r w:rsidRPr="00177AC7">
        <w:rPr>
          <w:rFonts w:ascii="Arial" w:hAnsi="Arial" w:cs="Arial"/>
          <w:sz w:val="24"/>
          <w:szCs w:val="24"/>
        </w:rPr>
        <w:t xml:space="preserve"> could damage the </w:t>
      </w:r>
      <w:r>
        <w:rPr>
          <w:rFonts w:ascii="Arial" w:hAnsi="Arial" w:cs="Arial"/>
          <w:sz w:val="24"/>
          <w:szCs w:val="24"/>
        </w:rPr>
        <w:t>HCPs</w:t>
      </w:r>
      <w:r w:rsidRPr="00177AC7">
        <w:rPr>
          <w:rFonts w:ascii="Arial" w:hAnsi="Arial" w:cs="Arial"/>
          <w:sz w:val="24"/>
          <w:szCs w:val="24"/>
        </w:rPr>
        <w:t xml:space="preserve">–patients relationships as well as </w:t>
      </w:r>
      <w:r>
        <w:rPr>
          <w:rFonts w:ascii="Arial" w:hAnsi="Arial" w:cs="Arial"/>
          <w:sz w:val="24"/>
          <w:szCs w:val="24"/>
        </w:rPr>
        <w:t xml:space="preserve">relationships </w:t>
      </w:r>
      <w:r w:rsidRPr="00177AC7">
        <w:rPr>
          <w:rFonts w:ascii="Arial" w:hAnsi="Arial" w:cs="Arial"/>
          <w:sz w:val="24"/>
          <w:szCs w:val="24"/>
        </w:rPr>
        <w:t xml:space="preserve">among the </w:t>
      </w:r>
      <w:r>
        <w:rPr>
          <w:rFonts w:ascii="Arial" w:hAnsi="Arial" w:cs="Arial"/>
          <w:sz w:val="24"/>
          <w:szCs w:val="24"/>
        </w:rPr>
        <w:t>HCPs</w:t>
      </w:r>
      <w:r w:rsidRPr="00177AC7">
        <w:rPr>
          <w:rFonts w:ascii="Arial" w:hAnsi="Arial" w:cs="Arial"/>
          <w:sz w:val="24"/>
          <w:szCs w:val="24"/>
        </w:rPr>
        <w:t>.</w:t>
      </w:r>
    </w:p>
    <w:p w14:paraId="2E55E0ED" w14:textId="77777777" w:rsidR="00FA7940" w:rsidRDefault="00FA7940" w:rsidP="00FA7940">
      <w:pPr>
        <w:spacing w:after="0" w:line="360" w:lineRule="auto"/>
        <w:jc w:val="both"/>
        <w:rPr>
          <w:rFonts w:ascii="Arial" w:hAnsi="Arial" w:cs="Arial"/>
          <w:sz w:val="24"/>
          <w:szCs w:val="24"/>
        </w:rPr>
      </w:pPr>
      <w:r>
        <w:rPr>
          <w:rFonts w:ascii="Arial" w:hAnsi="Arial" w:cs="Arial"/>
          <w:sz w:val="24"/>
          <w:szCs w:val="24"/>
        </w:rPr>
        <w:t>Finally,</w:t>
      </w:r>
      <w:r>
        <w:rPr>
          <w:lang w:val="en-GB"/>
        </w:rPr>
        <w:t xml:space="preserve"> </w:t>
      </w:r>
      <w:r>
        <w:rPr>
          <w:rFonts w:ascii="Arial" w:hAnsi="Arial" w:cs="Arial"/>
          <w:sz w:val="24"/>
          <w:szCs w:val="24"/>
          <w:lang w:val="en-GB"/>
        </w:rPr>
        <w:t>t</w:t>
      </w:r>
      <w:r>
        <w:rPr>
          <w:rFonts w:ascii="Arial" w:hAnsi="Arial" w:cs="Arial"/>
          <w:sz w:val="24"/>
          <w:szCs w:val="24"/>
        </w:rPr>
        <w:t xml:space="preserve">his research provides some insights into the involvement of pharmacists in diabetes primary care management from the point of view of HCPs. Although the research findings showed general positivity towards pharmacists' role in diabetes management, pharmacists roles remain underutilised in primary care provision. The consequences of the decision to transfer the pharmacists away from PHCs has significantly affected the level of pharmacists' contribution to diabetes management. The findings reported in this research </w:t>
      </w:r>
      <w:r w:rsidRPr="00344364">
        <w:rPr>
          <w:rFonts w:ascii="Arial" w:hAnsi="Arial" w:cs="Arial"/>
          <w:sz w:val="24"/>
          <w:szCs w:val="24"/>
        </w:rPr>
        <w:t xml:space="preserve">shed light on the clinical roles of pharmacists, which </w:t>
      </w:r>
      <w:r>
        <w:rPr>
          <w:rFonts w:ascii="Arial" w:hAnsi="Arial" w:cs="Arial"/>
          <w:sz w:val="24"/>
          <w:szCs w:val="24"/>
        </w:rPr>
        <w:t xml:space="preserve">could support expanding the scope of pharmacists practice in primary care settings that are aligned with their competencies. Therefore, policymakers need to consider reviewing the role of pharmacists in diabetes management in primary care and promote their engagement. It is also necessary to consider establishing clinical pharmacy services in primary care settings. </w:t>
      </w:r>
      <w:r w:rsidRPr="00C71AB6">
        <w:rPr>
          <w:rFonts w:ascii="Arial" w:hAnsi="Arial" w:cs="Arial"/>
          <w:sz w:val="24"/>
          <w:szCs w:val="24"/>
        </w:rPr>
        <w:t xml:space="preserve">The recommendation to add pharmacists to the diabetes care team at </w:t>
      </w:r>
      <w:r>
        <w:rPr>
          <w:rFonts w:ascii="Arial" w:hAnsi="Arial" w:cs="Arial"/>
          <w:sz w:val="24"/>
          <w:szCs w:val="24"/>
        </w:rPr>
        <w:t>PHCs</w:t>
      </w:r>
      <w:r w:rsidRPr="00C71AB6">
        <w:rPr>
          <w:rFonts w:ascii="Arial" w:hAnsi="Arial" w:cs="Arial"/>
          <w:sz w:val="24"/>
          <w:szCs w:val="24"/>
        </w:rPr>
        <w:t xml:space="preserve"> proposed here is based on an interpretation of research findings in light of current and relevant literature. This recommendation could improve current primary care services if implemented. The implementation of this recommendation (pharmacists’ involvement in diabetes primary care management in SA) should then be evaluated regularly to ensure the maximum benefit to patients with diabetes.</w:t>
      </w:r>
    </w:p>
    <w:p w14:paraId="24578698" w14:textId="77777777" w:rsidR="00160C40" w:rsidRDefault="00160C40" w:rsidP="00747BE4">
      <w:pPr>
        <w:spacing w:line="360" w:lineRule="auto"/>
        <w:jc w:val="both"/>
        <w:rPr>
          <w:rFonts w:asciiTheme="minorBidi" w:hAnsiTheme="minorBidi"/>
          <w:sz w:val="24"/>
          <w:szCs w:val="24"/>
        </w:rPr>
      </w:pPr>
    </w:p>
    <w:p w14:paraId="7DC982D3" w14:textId="4CD33701" w:rsidR="000E6E3F" w:rsidRDefault="000E6E3F">
      <w:pPr>
        <w:rPr>
          <w:rFonts w:asciiTheme="minorBidi" w:hAnsiTheme="minorBidi"/>
          <w:sz w:val="24"/>
          <w:szCs w:val="24"/>
        </w:rPr>
      </w:pPr>
      <w:r>
        <w:rPr>
          <w:rFonts w:asciiTheme="minorBidi" w:hAnsiTheme="minorBidi"/>
          <w:sz w:val="24"/>
          <w:szCs w:val="24"/>
        </w:rPr>
        <w:br w:type="page"/>
      </w:r>
    </w:p>
    <w:p w14:paraId="359B7010" w14:textId="77777777" w:rsidR="006E056C" w:rsidRDefault="006E056C" w:rsidP="006E056C">
      <w:pPr>
        <w:pStyle w:val="Heading1"/>
      </w:pPr>
      <w:bookmarkStart w:id="293" w:name="_Toc153894225"/>
      <w:r w:rsidRPr="00454D4F">
        <w:t>References</w:t>
      </w:r>
      <w:bookmarkEnd w:id="293"/>
    </w:p>
    <w:p w14:paraId="7AACB522" w14:textId="6EBF1E71" w:rsidR="003E4A88" w:rsidRPr="003E4A88" w:rsidRDefault="007371BF" w:rsidP="003E4A88">
      <w:pPr>
        <w:widowControl w:val="0"/>
        <w:autoSpaceDE w:val="0"/>
        <w:autoSpaceDN w:val="0"/>
        <w:adjustRightInd w:val="0"/>
        <w:spacing w:line="240" w:lineRule="auto"/>
        <w:rPr>
          <w:rFonts w:ascii="Arial" w:hAnsi="Arial" w:cs="Arial"/>
          <w:noProof/>
          <w:sz w:val="24"/>
          <w:szCs w:val="24"/>
        </w:rPr>
      </w:pPr>
      <w:r>
        <w:rPr>
          <w:rFonts w:asciiTheme="minorBidi" w:hAnsiTheme="minorBidi"/>
          <w:sz w:val="24"/>
          <w:szCs w:val="24"/>
        </w:rPr>
        <w:fldChar w:fldCharType="begin" w:fldLock="1"/>
      </w:r>
      <w:r>
        <w:rPr>
          <w:rFonts w:asciiTheme="minorBidi" w:hAnsiTheme="minorBidi"/>
          <w:sz w:val="24"/>
          <w:szCs w:val="24"/>
        </w:rPr>
        <w:instrText xml:space="preserve">ADDIN Mendeley Bibliography CSL_BIBLIOGRAPHY </w:instrText>
      </w:r>
      <w:r>
        <w:rPr>
          <w:rFonts w:asciiTheme="minorBidi" w:hAnsiTheme="minorBidi"/>
          <w:sz w:val="24"/>
          <w:szCs w:val="24"/>
        </w:rPr>
        <w:fldChar w:fldCharType="separate"/>
      </w:r>
      <w:r w:rsidR="003E4A88" w:rsidRPr="003E4A88">
        <w:rPr>
          <w:rFonts w:ascii="Arial" w:hAnsi="Arial" w:cs="Arial"/>
          <w:i/>
          <w:iCs/>
          <w:noProof/>
          <w:sz w:val="24"/>
          <w:szCs w:val="24"/>
        </w:rPr>
        <w:t>2nd International Conference on Family Medicine (ICFM 2020)</w:t>
      </w:r>
      <w:r w:rsidR="003E4A88" w:rsidRPr="003E4A88">
        <w:rPr>
          <w:rFonts w:ascii="Arial" w:hAnsi="Arial" w:cs="Arial"/>
          <w:noProof/>
          <w:sz w:val="24"/>
          <w:szCs w:val="24"/>
        </w:rPr>
        <w:t xml:space="preserve"> (no date). Available at: https://icfmconference.com/about (Accessed: 26 July 2020).</w:t>
      </w:r>
    </w:p>
    <w:p w14:paraId="4EADE5E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Abdullah, M. </w:t>
      </w:r>
      <w:r w:rsidRPr="003E4A88">
        <w:rPr>
          <w:rFonts w:ascii="Arial" w:hAnsi="Arial" w:cs="Arial"/>
          <w:i/>
          <w:iCs/>
          <w:noProof/>
          <w:sz w:val="24"/>
          <w:szCs w:val="24"/>
        </w:rPr>
        <w:t>et al.</w:t>
      </w:r>
      <w:r w:rsidRPr="003E4A88">
        <w:rPr>
          <w:rFonts w:ascii="Arial" w:hAnsi="Arial" w:cs="Arial"/>
          <w:noProof/>
          <w:sz w:val="24"/>
          <w:szCs w:val="24"/>
        </w:rPr>
        <w:t xml:space="preserve"> (2022) ‘Implementation of the first pharmacist-led diabetes clinic at Ministry of Health Hospitals , Saudi Arabia’, </w:t>
      </w:r>
      <w:r w:rsidRPr="003E4A88">
        <w:rPr>
          <w:rFonts w:ascii="Arial" w:hAnsi="Arial" w:cs="Arial"/>
          <w:i/>
          <w:iCs/>
          <w:noProof/>
          <w:sz w:val="24"/>
          <w:szCs w:val="24"/>
        </w:rPr>
        <w:t>Journal of the American College of Clinical Pharmacy</w:t>
      </w:r>
      <w:r w:rsidRPr="003E4A88">
        <w:rPr>
          <w:rFonts w:ascii="Arial" w:hAnsi="Arial" w:cs="Arial"/>
          <w:noProof/>
          <w:sz w:val="24"/>
          <w:szCs w:val="24"/>
        </w:rPr>
        <w:t>, (July 2021), pp. 509–515. doi: 10.1002/jac5.1602.</w:t>
      </w:r>
    </w:p>
    <w:p w14:paraId="005A38E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Abdulrhim, S. </w:t>
      </w:r>
      <w:r w:rsidRPr="003E4A88">
        <w:rPr>
          <w:rFonts w:ascii="Arial" w:hAnsi="Arial" w:cs="Arial"/>
          <w:i/>
          <w:iCs/>
          <w:noProof/>
          <w:sz w:val="24"/>
          <w:szCs w:val="24"/>
        </w:rPr>
        <w:t>et al.</w:t>
      </w:r>
      <w:r w:rsidRPr="003E4A88">
        <w:rPr>
          <w:rFonts w:ascii="Arial" w:hAnsi="Arial" w:cs="Arial"/>
          <w:noProof/>
          <w:sz w:val="24"/>
          <w:szCs w:val="24"/>
        </w:rPr>
        <w:t xml:space="preserve"> (2020) ‘The impact of pharmacist care on diabetes outcomes in primary care settings: An umbrella review of published systematic reviews’, </w:t>
      </w:r>
      <w:r w:rsidRPr="003E4A88">
        <w:rPr>
          <w:rFonts w:ascii="Arial" w:hAnsi="Arial" w:cs="Arial"/>
          <w:i/>
          <w:iCs/>
          <w:noProof/>
          <w:sz w:val="24"/>
          <w:szCs w:val="24"/>
        </w:rPr>
        <w:t>Primary Care Diabetes</w:t>
      </w:r>
      <w:r w:rsidRPr="003E4A88">
        <w:rPr>
          <w:rFonts w:ascii="Arial" w:hAnsi="Arial" w:cs="Arial"/>
          <w:noProof/>
          <w:sz w:val="24"/>
          <w:szCs w:val="24"/>
        </w:rPr>
        <w:t>. Primary Care Diabetes Europe, 14(5), pp. 393–400. doi: 10.1016/j.pcd.2019.12.007.</w:t>
      </w:r>
    </w:p>
    <w:p w14:paraId="2046735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Abdulrhim, S. </w:t>
      </w:r>
      <w:r w:rsidRPr="003E4A88">
        <w:rPr>
          <w:rFonts w:ascii="Arial" w:hAnsi="Arial" w:cs="Arial"/>
          <w:i/>
          <w:iCs/>
          <w:noProof/>
          <w:sz w:val="24"/>
          <w:szCs w:val="24"/>
        </w:rPr>
        <w:t>et al.</w:t>
      </w:r>
      <w:r w:rsidRPr="003E4A88">
        <w:rPr>
          <w:rFonts w:ascii="Arial" w:hAnsi="Arial" w:cs="Arial"/>
          <w:noProof/>
          <w:sz w:val="24"/>
          <w:szCs w:val="24"/>
        </w:rPr>
        <w:t xml:space="preserve"> (2022) ‘Impact of pharmacist-involved collaborative care on diabetes management in a primary healthcare setting using real-world data’, </w:t>
      </w:r>
      <w:r w:rsidRPr="003E4A88">
        <w:rPr>
          <w:rFonts w:ascii="Arial" w:hAnsi="Arial" w:cs="Arial"/>
          <w:i/>
          <w:iCs/>
          <w:noProof/>
          <w:sz w:val="24"/>
          <w:szCs w:val="24"/>
        </w:rPr>
        <w:t>International Journal of Clinical Pharmacy</w:t>
      </w:r>
      <w:r w:rsidRPr="003E4A88">
        <w:rPr>
          <w:rFonts w:ascii="Arial" w:hAnsi="Arial" w:cs="Arial"/>
          <w:noProof/>
          <w:sz w:val="24"/>
          <w:szCs w:val="24"/>
        </w:rPr>
        <w:t>. Springer International Publishing, 44(1), pp. 153–162. doi: 10.1007/s11096-021-01327-x.</w:t>
      </w:r>
    </w:p>
    <w:p w14:paraId="49C31CD5"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Abdulrhim, S. H. </w:t>
      </w:r>
      <w:r w:rsidRPr="003E4A88">
        <w:rPr>
          <w:rFonts w:ascii="Arial" w:hAnsi="Arial" w:cs="Arial"/>
          <w:i/>
          <w:iCs/>
          <w:noProof/>
          <w:sz w:val="24"/>
          <w:szCs w:val="24"/>
        </w:rPr>
        <w:t>et al.</w:t>
      </w:r>
      <w:r w:rsidRPr="003E4A88">
        <w:rPr>
          <w:rFonts w:ascii="Arial" w:hAnsi="Arial" w:cs="Arial"/>
          <w:noProof/>
          <w:sz w:val="24"/>
          <w:szCs w:val="24"/>
        </w:rPr>
        <w:t xml:space="preserve"> (2019) ‘Impact of a Collaborative Pharmaceutical Care Service Among Patients With Diabetes in an Ambulatory Care Setting in Qatar: A Multiple Time Series Study’. doi: 10.1016/j.vhri.2018.12.002.</w:t>
      </w:r>
    </w:p>
    <w:p w14:paraId="5D35EBE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i/>
          <w:iCs/>
          <w:noProof/>
          <w:sz w:val="24"/>
          <w:szCs w:val="24"/>
        </w:rPr>
        <w:t>About the Eastern Region</w:t>
      </w:r>
      <w:r w:rsidRPr="003E4A88">
        <w:rPr>
          <w:rFonts w:ascii="Arial" w:hAnsi="Arial" w:cs="Arial"/>
          <w:noProof/>
          <w:sz w:val="24"/>
          <w:szCs w:val="24"/>
        </w:rPr>
        <w:t xml:space="preserve"> (no date). Available at: https://www.chamber.org.sa/sites/English/AboutKingdom/AbouttheEasternRegion (Accessed: 31 May 2020).</w:t>
      </w:r>
    </w:p>
    <w:p w14:paraId="78A7AC3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Ahmed Alomi, Y. (2016) ‘National Primary Care Pharmacist Competency System at MOH in Saudi Arabia’, </w:t>
      </w:r>
      <w:r w:rsidRPr="003E4A88">
        <w:rPr>
          <w:rFonts w:ascii="Arial" w:hAnsi="Arial" w:cs="Arial"/>
          <w:i/>
          <w:iCs/>
          <w:noProof/>
          <w:sz w:val="24"/>
          <w:szCs w:val="24"/>
        </w:rPr>
        <w:t>Journal of Pharma &amp; Pharmaceutical Sciences</w:t>
      </w:r>
      <w:r w:rsidRPr="003E4A88">
        <w:rPr>
          <w:rFonts w:ascii="Arial" w:hAnsi="Arial" w:cs="Arial"/>
          <w:noProof/>
          <w:sz w:val="24"/>
          <w:szCs w:val="24"/>
        </w:rPr>
        <w:t>, 1(4), pp. 1–5. doi: 10.24218/vjpps.2016.16.</w:t>
      </w:r>
    </w:p>
    <w:p w14:paraId="5385EB9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Ahmed, N. O.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(2017) ‘Perceptions of Physicians About Clinical Pharmacist’S Role in Al Qassim’S Hospitals in Saudi Arabia’, </w:t>
      </w:r>
      <w:r w:rsidRPr="003E4A88">
        <w:rPr>
          <w:rFonts w:ascii="Arial" w:hAnsi="Arial" w:cs="Arial"/>
          <w:i/>
          <w:iCs/>
          <w:noProof/>
          <w:sz w:val="24"/>
          <w:szCs w:val="24"/>
        </w:rPr>
        <w:t>Malaysian Journal of Public Health Medicine</w:t>
      </w:r>
      <w:r w:rsidRPr="003E4A88">
        <w:rPr>
          <w:rFonts w:ascii="Arial" w:hAnsi="Arial" w:cs="Arial"/>
          <w:noProof/>
          <w:sz w:val="24"/>
          <w:szCs w:val="24"/>
        </w:rPr>
        <w:t>, 17(3), pp. 109–116. doi: 10.37268/mjphm/vol.17/no.3/art.220.</w:t>
      </w:r>
    </w:p>
    <w:p w14:paraId="53AC737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Ajabnoor, A. M. and Cooper, R. J. (2020) ‘Pharmacists’ Prescribing in Saudi Arabia: Cross-Sectional Study Describing Current Practices and Future Perspectives’, </w:t>
      </w:r>
      <w:r w:rsidRPr="003E4A88">
        <w:rPr>
          <w:rFonts w:ascii="Arial" w:hAnsi="Arial" w:cs="Arial"/>
          <w:i/>
          <w:iCs/>
          <w:noProof/>
          <w:sz w:val="24"/>
          <w:szCs w:val="24"/>
        </w:rPr>
        <w:t>Pharmacy</w:t>
      </w:r>
      <w:r w:rsidRPr="003E4A88">
        <w:rPr>
          <w:rFonts w:ascii="Arial" w:hAnsi="Arial" w:cs="Arial"/>
          <w:noProof/>
          <w:sz w:val="24"/>
          <w:szCs w:val="24"/>
        </w:rPr>
        <w:t>, 8(3), p. 160. doi: 10.3390/pharmacy8030160.</w:t>
      </w:r>
    </w:p>
    <w:p w14:paraId="19D5C9F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Al-Arifi, M. N., Al Dhawailie, A.,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(2015) ‘A survey on pharmacist opinion about pharmaceutical care in Saudi Arabia’, </w:t>
      </w:r>
      <w:r w:rsidRPr="003E4A88">
        <w:rPr>
          <w:rFonts w:ascii="Arial" w:hAnsi="Arial" w:cs="Arial"/>
          <w:i/>
          <w:iCs/>
          <w:noProof/>
          <w:sz w:val="24"/>
          <w:szCs w:val="24"/>
        </w:rPr>
        <w:t>Asian Journal of Pharmaceutics</w:t>
      </w:r>
      <w:r w:rsidRPr="003E4A88">
        <w:rPr>
          <w:rFonts w:ascii="Arial" w:hAnsi="Arial" w:cs="Arial"/>
          <w:noProof/>
          <w:sz w:val="24"/>
          <w:szCs w:val="24"/>
        </w:rPr>
        <w:t>, 9(4), pp. 277–282.</w:t>
      </w:r>
    </w:p>
    <w:p w14:paraId="39B1AB4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Al-Arifi, M. N., Alghamdi, B.,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(2015) ‘Attitudes and perceptions of healthcare providers towards clinical pharmacy services at a tertiary care hospital in Riyadh, Saudi Arabia’, </w:t>
      </w:r>
      <w:r w:rsidRPr="003E4A88">
        <w:rPr>
          <w:rFonts w:ascii="Arial" w:hAnsi="Arial" w:cs="Arial"/>
          <w:i/>
          <w:iCs/>
          <w:noProof/>
          <w:sz w:val="24"/>
          <w:szCs w:val="24"/>
        </w:rPr>
        <w:t>Tropical Journal of Pharmaceutical Research</w:t>
      </w:r>
      <w:r w:rsidRPr="003E4A88">
        <w:rPr>
          <w:rFonts w:ascii="Arial" w:hAnsi="Arial" w:cs="Arial"/>
          <w:noProof/>
          <w:sz w:val="24"/>
          <w:szCs w:val="24"/>
        </w:rPr>
        <w:t>, 14(5), pp. 913–918. doi: 10.4314/tjpr.v14i5.23.</w:t>
      </w:r>
    </w:p>
    <w:p w14:paraId="70046C27"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Al-Arifi, M. N. and Al-Omar, H. A. (2018) ‘Impact of a multidisciplinary intensive education program on type 2 diabetes mellitus patients’ glycemic control and cardiovascular risk factors’, </w:t>
      </w:r>
      <w:r w:rsidRPr="003E4A88">
        <w:rPr>
          <w:rFonts w:ascii="Arial" w:hAnsi="Arial" w:cs="Arial"/>
          <w:i/>
          <w:iCs/>
          <w:noProof/>
          <w:sz w:val="24"/>
          <w:szCs w:val="24"/>
        </w:rPr>
        <w:t>Saudi Medical Journal</w:t>
      </w:r>
      <w:r w:rsidRPr="003E4A88">
        <w:rPr>
          <w:rFonts w:ascii="Arial" w:hAnsi="Arial" w:cs="Arial"/>
          <w:noProof/>
          <w:sz w:val="24"/>
          <w:szCs w:val="24"/>
        </w:rPr>
        <w:t>. Saudi Arabian Armed Forces Hospital, 39(7), pp. 705–710. doi: 10.15537/smj.2018.7.22194.</w:t>
      </w:r>
    </w:p>
    <w:p w14:paraId="74B5F83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Al-Jedai, A., Qaisi, S. and Al-Meman, A. (2016a) </w:t>
      </w:r>
      <w:r w:rsidRPr="003E4A88">
        <w:rPr>
          <w:rFonts w:ascii="Arial" w:hAnsi="Arial" w:cs="Arial"/>
          <w:i/>
          <w:iCs/>
          <w:noProof/>
          <w:sz w:val="24"/>
          <w:szCs w:val="24"/>
        </w:rPr>
        <w:t>INTERNATIONAL PERSPECTIVES ON PHARMACY PRACTICE Pharmacy Practice and the Health Care System in Saudi Arabia</w:t>
      </w:r>
      <w:r w:rsidRPr="003E4A88">
        <w:rPr>
          <w:rFonts w:ascii="Arial" w:hAnsi="Arial" w:cs="Arial"/>
          <w:noProof/>
          <w:sz w:val="24"/>
          <w:szCs w:val="24"/>
        </w:rPr>
        <w:t>. Available at: https://www.ncbi.nlm.nih.gov/pmc/articles/PMC4924944/pdf/cjhp-69-231.pdf (Accessed: 2 September 2019).</w:t>
      </w:r>
    </w:p>
    <w:p w14:paraId="03FF82E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Al-Jedai, A., Qaisi, S. and Al-Meman, A. (2016b) ‘Pharmacy practice and the health care system in Saudi Arabia’, </w:t>
      </w:r>
      <w:r w:rsidRPr="003E4A88">
        <w:rPr>
          <w:rFonts w:ascii="Arial" w:hAnsi="Arial" w:cs="Arial"/>
          <w:i/>
          <w:iCs/>
          <w:noProof/>
          <w:sz w:val="24"/>
          <w:szCs w:val="24"/>
        </w:rPr>
        <w:t>Canadian Journal of Hospital Pharmacy</w:t>
      </w:r>
      <w:r w:rsidRPr="003E4A88">
        <w:rPr>
          <w:rFonts w:ascii="Arial" w:hAnsi="Arial" w:cs="Arial"/>
          <w:noProof/>
          <w:sz w:val="24"/>
          <w:szCs w:val="24"/>
        </w:rPr>
        <w:t>, 69(3), pp. 231–237. doi: 10.4212/cjhp.v69i3.1561.</w:t>
      </w:r>
    </w:p>
    <w:p w14:paraId="7C4D0784" w14:textId="77777777" w:rsidR="003E4A88" w:rsidRPr="00BD7856" w:rsidRDefault="003E4A88" w:rsidP="003E4A88">
      <w:pPr>
        <w:widowControl w:val="0"/>
        <w:autoSpaceDE w:val="0"/>
        <w:autoSpaceDN w:val="0"/>
        <w:adjustRightInd w:val="0"/>
        <w:spacing w:line="240" w:lineRule="auto"/>
        <w:rPr>
          <w:rFonts w:ascii="Arial" w:hAnsi="Arial" w:cs="Arial"/>
          <w:noProof/>
          <w:sz w:val="24"/>
          <w:szCs w:val="24"/>
          <w:lang w:val="nl-NL"/>
        </w:rPr>
      </w:pPr>
      <w:r w:rsidRPr="003E4A88">
        <w:rPr>
          <w:rFonts w:ascii="Arial" w:hAnsi="Arial" w:cs="Arial"/>
          <w:noProof/>
          <w:sz w:val="24"/>
          <w:szCs w:val="24"/>
        </w:rPr>
        <w:t xml:space="preserve">Al-Taweel, D. M., Awad, A. I. and Johnson, B. J. (2014) ‘Pharmacists’ contributions to the delivery of pharmaceutical care to patients with type 2 diabetes in Kuwait’, </w:t>
      </w:r>
      <w:r w:rsidRPr="003E4A88">
        <w:rPr>
          <w:rFonts w:ascii="Arial" w:hAnsi="Arial" w:cs="Arial"/>
          <w:i/>
          <w:iCs/>
          <w:noProof/>
          <w:sz w:val="24"/>
          <w:szCs w:val="24"/>
        </w:rPr>
        <w:t>International Journal of Diabetes in Developing Countries</w:t>
      </w:r>
      <w:r w:rsidRPr="003E4A88">
        <w:rPr>
          <w:rFonts w:ascii="Arial" w:hAnsi="Arial" w:cs="Arial"/>
          <w:noProof/>
          <w:sz w:val="24"/>
          <w:szCs w:val="24"/>
        </w:rPr>
        <w:t xml:space="preserve">. </w:t>
      </w:r>
      <w:r w:rsidRPr="00BD7856">
        <w:rPr>
          <w:rFonts w:ascii="Arial" w:hAnsi="Arial" w:cs="Arial"/>
          <w:noProof/>
          <w:sz w:val="24"/>
          <w:szCs w:val="24"/>
          <w:lang w:val="nl-NL"/>
        </w:rPr>
        <w:t>Springer India, 34(2), pp. 108–115. doi: 10.1007/s13410-013-0169-4.</w:t>
      </w:r>
    </w:p>
    <w:p w14:paraId="322656F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Alabkal, R. M.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(2021) ‘Impact of Pharmacist-Led Interventions to Improve Clinical Outcomes for Adults With Type 2 Diabetes at Risk of Developing Cardiovascular Disease: A Systematic Review and Meta-analysis’, </w:t>
      </w:r>
      <w:r w:rsidRPr="003E4A88">
        <w:rPr>
          <w:rFonts w:ascii="Arial" w:hAnsi="Arial" w:cs="Arial"/>
          <w:i/>
          <w:iCs/>
          <w:noProof/>
          <w:sz w:val="24"/>
          <w:szCs w:val="24"/>
        </w:rPr>
        <w:t>Journal of Pharmacy Practice</w:t>
      </w:r>
      <w:r w:rsidRPr="003E4A88">
        <w:rPr>
          <w:rFonts w:ascii="Arial" w:hAnsi="Arial" w:cs="Arial"/>
          <w:noProof/>
          <w:sz w:val="24"/>
          <w:szCs w:val="24"/>
        </w:rPr>
        <w:t>, 36(4), pp. 888–899. doi: 10.1177/08971900211064459.</w:t>
      </w:r>
    </w:p>
    <w:p w14:paraId="03E390C3"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Albekairy, A. M.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(2015) ‘Strategic initiatives to maintain pharmaceutical care and clinical pharmacists sufficiency in Saudi Arabia’, </w:t>
      </w:r>
      <w:r w:rsidRPr="003E4A88">
        <w:rPr>
          <w:rFonts w:ascii="Arial" w:hAnsi="Arial" w:cs="Arial"/>
          <w:i/>
          <w:iCs/>
          <w:noProof/>
          <w:sz w:val="24"/>
          <w:szCs w:val="24"/>
        </w:rPr>
        <w:t>SAGE Open Medicine</w:t>
      </w:r>
      <w:r w:rsidRPr="003E4A88">
        <w:rPr>
          <w:rFonts w:ascii="Arial" w:hAnsi="Arial" w:cs="Arial"/>
          <w:noProof/>
          <w:sz w:val="24"/>
          <w:szCs w:val="24"/>
        </w:rPr>
        <w:t>, 3, p. 205031211559481. doi: 10.1177/2050312115594816.</w:t>
      </w:r>
    </w:p>
    <w:p w14:paraId="4C35377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Aldraimly, M. </w:t>
      </w:r>
      <w:r w:rsidRPr="003E4A88">
        <w:rPr>
          <w:rFonts w:ascii="Arial" w:hAnsi="Arial" w:cs="Arial"/>
          <w:i/>
          <w:iCs/>
          <w:noProof/>
          <w:sz w:val="24"/>
          <w:szCs w:val="24"/>
        </w:rPr>
        <w:t>et al.</w:t>
      </w:r>
      <w:r w:rsidRPr="003E4A88">
        <w:rPr>
          <w:rFonts w:ascii="Arial" w:hAnsi="Arial" w:cs="Arial"/>
          <w:noProof/>
          <w:sz w:val="24"/>
          <w:szCs w:val="24"/>
        </w:rPr>
        <w:t xml:space="preserve"> (2019) ‘Knowledge , Attitude , and Practices of Physicians in Ambulatroy Care towards Clinical Pharmacist Educational Sessions of Diabetes Mellitus Management in Saudi Arabia’, </w:t>
      </w:r>
      <w:r w:rsidRPr="003E4A88">
        <w:rPr>
          <w:rFonts w:ascii="Arial" w:hAnsi="Arial" w:cs="Arial"/>
          <w:i/>
          <w:iCs/>
          <w:noProof/>
          <w:sz w:val="24"/>
          <w:szCs w:val="24"/>
        </w:rPr>
        <w:t>International Journal of Pharma Sciences and Scientific Research</w:t>
      </w:r>
      <w:r w:rsidRPr="003E4A88">
        <w:rPr>
          <w:rFonts w:ascii="Arial" w:hAnsi="Arial" w:cs="Arial"/>
          <w:noProof/>
          <w:sz w:val="24"/>
          <w:szCs w:val="24"/>
        </w:rPr>
        <w:t>, 5(6), pp. 75–80.</w:t>
      </w:r>
    </w:p>
    <w:p w14:paraId="309CE98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Aldraimly, M. </w:t>
      </w:r>
      <w:r w:rsidRPr="003E4A88">
        <w:rPr>
          <w:rFonts w:ascii="Arial" w:hAnsi="Arial" w:cs="Arial"/>
          <w:i/>
          <w:iCs/>
          <w:noProof/>
          <w:sz w:val="24"/>
          <w:szCs w:val="24"/>
        </w:rPr>
        <w:t>et al.</w:t>
      </w:r>
      <w:r w:rsidRPr="003E4A88">
        <w:rPr>
          <w:rFonts w:ascii="Arial" w:hAnsi="Arial" w:cs="Arial"/>
          <w:noProof/>
          <w:sz w:val="24"/>
          <w:szCs w:val="24"/>
        </w:rPr>
        <w:t xml:space="preserve"> (2021) ‘Impact of Clinical Pharmacist Interventions in Management of Diabetes in Primary Care in Saudi Arabia’, 12(4), pp. 2582–2594.</w:t>
      </w:r>
    </w:p>
    <w:p w14:paraId="0EB6D295"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Alghadeer, S. M.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(2022) ‘Glycemic Control and Management in Pharmacist-Led Diabetic Clinic vs . Physician-Led Diabetic Clinic’, pp. 1–9.</w:t>
      </w:r>
    </w:p>
    <w:p w14:paraId="16B9540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Alhabib, S., Aldraimly, M. and Alfarhan, A. (2016a) ‘An evolving role of clinical pharmacists in managing diabetes: Evidence from the literature’, </w:t>
      </w:r>
      <w:r w:rsidRPr="003E4A88">
        <w:rPr>
          <w:rFonts w:ascii="Arial" w:hAnsi="Arial" w:cs="Arial"/>
          <w:i/>
          <w:iCs/>
          <w:noProof/>
          <w:sz w:val="24"/>
          <w:szCs w:val="24"/>
        </w:rPr>
        <w:t>Saudi Pharmaceutical Journal</w:t>
      </w:r>
      <w:r w:rsidRPr="003E4A88">
        <w:rPr>
          <w:rFonts w:ascii="Arial" w:hAnsi="Arial" w:cs="Arial"/>
          <w:noProof/>
          <w:sz w:val="24"/>
          <w:szCs w:val="24"/>
        </w:rPr>
        <w:t>. doi: 10.1016/j.jsps.2014.07.008.</w:t>
      </w:r>
    </w:p>
    <w:p w14:paraId="5ED874D7"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Alhabib, S., Aldraimly, M. and Alfarhan, A. (2016b) ‘An evolving role of clinical pharmacists in managing diabetes: Evidence from the literature’, </w:t>
      </w:r>
      <w:r w:rsidRPr="003E4A88">
        <w:rPr>
          <w:rFonts w:ascii="Arial" w:hAnsi="Arial" w:cs="Arial"/>
          <w:i/>
          <w:iCs/>
          <w:noProof/>
          <w:sz w:val="24"/>
          <w:szCs w:val="24"/>
        </w:rPr>
        <w:t>Saudi Pharmaceutical Journal</w:t>
      </w:r>
      <w:r w:rsidRPr="003E4A88">
        <w:rPr>
          <w:rFonts w:ascii="Arial" w:hAnsi="Arial" w:cs="Arial"/>
          <w:noProof/>
          <w:sz w:val="24"/>
          <w:szCs w:val="24"/>
        </w:rPr>
        <w:t>. King Saud University, 24(4), pp. 441–446. doi: 10.1016/j.jsps.2014.07.008.</w:t>
      </w:r>
    </w:p>
    <w:p w14:paraId="31074B13"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Alhamoudi, A. and Alnattah, A. (2018) ‘Pharmacy education in Saudi Arabia: The past, the present, and the future’, </w:t>
      </w:r>
      <w:r w:rsidRPr="003E4A88">
        <w:rPr>
          <w:rFonts w:ascii="Arial" w:hAnsi="Arial" w:cs="Arial"/>
          <w:i/>
          <w:iCs/>
          <w:noProof/>
          <w:sz w:val="24"/>
          <w:szCs w:val="24"/>
        </w:rPr>
        <w:t>Currents in Pharmacy Teaching and Learning</w:t>
      </w:r>
      <w:r w:rsidRPr="003E4A88">
        <w:rPr>
          <w:rFonts w:ascii="Arial" w:hAnsi="Arial" w:cs="Arial"/>
          <w:noProof/>
          <w:sz w:val="24"/>
          <w:szCs w:val="24"/>
        </w:rPr>
        <w:t>. Elsevier, 10(1), pp. 54–60. doi: 10.1016/j.cptl.2017.09.014.</w:t>
      </w:r>
    </w:p>
    <w:p w14:paraId="7FD7F21D"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Alharbi, M. (2018) ‘An overview of the Reality of Healthcare Reform in Saudi Arabia with Emphasis on Public Hospitals: A Critical Appraisal’, </w:t>
      </w:r>
      <w:r w:rsidRPr="003E4A88">
        <w:rPr>
          <w:rFonts w:ascii="Arial" w:hAnsi="Arial" w:cs="Arial"/>
          <w:i/>
          <w:iCs/>
          <w:noProof/>
          <w:sz w:val="24"/>
          <w:szCs w:val="24"/>
        </w:rPr>
        <w:t>Medwell journals</w:t>
      </w:r>
      <w:r w:rsidRPr="003E4A88">
        <w:rPr>
          <w:rFonts w:ascii="Arial" w:hAnsi="Arial" w:cs="Arial"/>
          <w:noProof/>
          <w:sz w:val="24"/>
          <w:szCs w:val="24"/>
        </w:rPr>
        <w:t>, 12(1), pp. 12–25.</w:t>
      </w:r>
    </w:p>
    <w:p w14:paraId="1A70370D"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Alharbi, N. S.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(2014) ‘Trends in the prevalence of type 2 diabetes mellitus and obesity in the Arabian Gulf States: Systematic review and meta-analysis’, </w:t>
      </w:r>
      <w:r w:rsidRPr="003E4A88">
        <w:rPr>
          <w:rFonts w:ascii="Arial" w:hAnsi="Arial" w:cs="Arial"/>
          <w:i/>
          <w:iCs/>
          <w:noProof/>
          <w:sz w:val="24"/>
          <w:szCs w:val="24"/>
        </w:rPr>
        <w:t>Diabetes research and clinical practice</w:t>
      </w:r>
      <w:r w:rsidRPr="003E4A88">
        <w:rPr>
          <w:rFonts w:ascii="Arial" w:hAnsi="Arial" w:cs="Arial"/>
          <w:noProof/>
          <w:sz w:val="24"/>
          <w:szCs w:val="24"/>
        </w:rPr>
        <w:t>. doi: 10.1016/j.diabres.2014.08.019.</w:t>
      </w:r>
    </w:p>
    <w:p w14:paraId="5DFCB295"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Alipour, F., Peiravian, F. and Mehralian, G. (2018) ‘Perceptions , experiences and expectations of physicians regarding the role of pharmacists in low-income and middle-income countries : the case of Tehran hospital settings’. doi: 10.1136/bmjopen-2017-019237.</w:t>
      </w:r>
    </w:p>
    <w:p w14:paraId="425BD53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Almalki, M., Fitzgerald, G. and Clark, M. (2011) ‘Health care system in Saudi Arabia: an overview’, </w:t>
      </w:r>
      <w:r w:rsidRPr="003E4A88">
        <w:rPr>
          <w:rFonts w:ascii="Arial" w:hAnsi="Arial" w:cs="Arial"/>
          <w:i/>
          <w:iCs/>
          <w:noProof/>
          <w:sz w:val="24"/>
          <w:szCs w:val="24"/>
        </w:rPr>
        <w:t>International Nursing Review</w:t>
      </w:r>
      <w:r w:rsidRPr="003E4A88">
        <w:rPr>
          <w:rFonts w:ascii="Arial" w:hAnsi="Arial" w:cs="Arial"/>
          <w:noProof/>
          <w:sz w:val="24"/>
          <w:szCs w:val="24"/>
        </w:rPr>
        <w:t>, 58(3), pp. 304–311. doi: 10.1111/j.1466-7657.2011.00890.x.</w:t>
      </w:r>
    </w:p>
    <w:p w14:paraId="580EBB8D"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Almazrou, S., Alnaim, L. and Al-Kofide, H. (2015) ‘Perceptions, Expectations and Barriers of Physicians towards Working with Clinical Pharmacists in Saudi Arabia’, </w:t>
      </w:r>
      <w:r w:rsidRPr="003E4A88">
        <w:rPr>
          <w:rFonts w:ascii="Arial" w:hAnsi="Arial" w:cs="Arial"/>
          <w:i/>
          <w:iCs/>
          <w:noProof/>
          <w:sz w:val="24"/>
          <w:szCs w:val="24"/>
        </w:rPr>
        <w:t>Journal of Scientific Research and Reports</w:t>
      </w:r>
      <w:r w:rsidRPr="003E4A88">
        <w:rPr>
          <w:rFonts w:ascii="Arial" w:hAnsi="Arial" w:cs="Arial"/>
          <w:noProof/>
          <w:sz w:val="24"/>
          <w:szCs w:val="24"/>
        </w:rPr>
        <w:t>, 6(5), pp. 404–415. doi: 10.9734/jsrr/2015/11637.</w:t>
      </w:r>
    </w:p>
    <w:p w14:paraId="483DE8A3"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Almeman, A. A. (2020) ‘Strategic analysis of clinical pharmacy education in Saudi Arabia’, </w:t>
      </w:r>
      <w:r w:rsidRPr="003E4A88">
        <w:rPr>
          <w:rFonts w:ascii="Arial" w:hAnsi="Arial" w:cs="Arial"/>
          <w:i/>
          <w:iCs/>
          <w:noProof/>
          <w:sz w:val="24"/>
          <w:szCs w:val="24"/>
        </w:rPr>
        <w:t>Tropical Journal of Pharmaceutical Research</w:t>
      </w:r>
      <w:r w:rsidRPr="003E4A88">
        <w:rPr>
          <w:rFonts w:ascii="Arial" w:hAnsi="Arial" w:cs="Arial"/>
          <w:noProof/>
          <w:sz w:val="24"/>
          <w:szCs w:val="24"/>
        </w:rPr>
        <w:t>, 19(6), pp. 1303–1311. doi: 10.4314/tjpr.v19i6.27.</w:t>
      </w:r>
    </w:p>
    <w:p w14:paraId="0A129BF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Almzeiny, M. </w:t>
      </w:r>
      <w:r w:rsidRPr="003E4A88">
        <w:rPr>
          <w:rFonts w:ascii="Arial" w:hAnsi="Arial" w:cs="Arial"/>
          <w:i/>
          <w:iCs/>
          <w:noProof/>
          <w:sz w:val="24"/>
          <w:szCs w:val="24"/>
        </w:rPr>
        <w:t>et al.</w:t>
      </w:r>
      <w:r w:rsidRPr="003E4A88">
        <w:rPr>
          <w:rFonts w:ascii="Arial" w:hAnsi="Arial" w:cs="Arial"/>
          <w:noProof/>
          <w:sz w:val="24"/>
          <w:szCs w:val="24"/>
        </w:rPr>
        <w:t xml:space="preserve"> (2020) ‘Perception and satisfaction of stakeholders regarding the patient care area pharmacist initiative in a military hospital in Saudi Arabia’, </w:t>
      </w:r>
      <w:r w:rsidRPr="003E4A88">
        <w:rPr>
          <w:rFonts w:ascii="Arial" w:hAnsi="Arial" w:cs="Arial"/>
          <w:i/>
          <w:iCs/>
          <w:noProof/>
          <w:sz w:val="24"/>
          <w:szCs w:val="24"/>
        </w:rPr>
        <w:t>Tropical Journal of Pharmaceutical Research</w:t>
      </w:r>
      <w:r w:rsidRPr="003E4A88">
        <w:rPr>
          <w:rFonts w:ascii="Arial" w:hAnsi="Arial" w:cs="Arial"/>
          <w:noProof/>
          <w:sz w:val="24"/>
          <w:szCs w:val="24"/>
        </w:rPr>
        <w:t>, 19(2), pp. 401–409. doi: 10.4314/tjpr.v19i2.24.</w:t>
      </w:r>
    </w:p>
    <w:p w14:paraId="06F5478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Alomi, Y. (2015) ‘Strategic Plan of General Administration of Pharmaceutical Care at Ministry of Health in Saudi Arabia 2012 – 2022’, </w:t>
      </w:r>
      <w:r w:rsidRPr="003E4A88">
        <w:rPr>
          <w:rFonts w:ascii="Arial" w:hAnsi="Arial" w:cs="Arial"/>
          <w:i/>
          <w:iCs/>
          <w:noProof/>
          <w:sz w:val="24"/>
          <w:szCs w:val="24"/>
        </w:rPr>
        <w:t>Journal of Pharma &amp; Pharmaceutical Sciences</w:t>
      </w:r>
      <w:r w:rsidRPr="003E4A88">
        <w:rPr>
          <w:rFonts w:ascii="Arial" w:hAnsi="Arial" w:cs="Arial"/>
          <w:noProof/>
          <w:sz w:val="24"/>
          <w:szCs w:val="24"/>
        </w:rPr>
        <w:t>, 1(3), pp. 1–8. doi: 10.24218/vjpps.2015.11.</w:t>
      </w:r>
    </w:p>
    <w:p w14:paraId="0AC55A1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Alomi, Y. A. (2016) ‘Primary Care Center Pharmacy Manpower New Guidelines in Saudi Arabia’, </w:t>
      </w:r>
      <w:r w:rsidRPr="003E4A88">
        <w:rPr>
          <w:rFonts w:ascii="Arial" w:hAnsi="Arial" w:cs="Arial"/>
          <w:i/>
          <w:iCs/>
          <w:noProof/>
          <w:sz w:val="24"/>
          <w:szCs w:val="24"/>
        </w:rPr>
        <w:t>Journal of pharmacology &amp; clinical research</w:t>
      </w:r>
      <w:r w:rsidRPr="003E4A88">
        <w:rPr>
          <w:rFonts w:ascii="Arial" w:hAnsi="Arial" w:cs="Arial"/>
          <w:noProof/>
          <w:sz w:val="24"/>
          <w:szCs w:val="24"/>
        </w:rPr>
        <w:t>, 1(1), pp. 10–13. doi: 10.19080/jpcr.2016.01.555555.</w:t>
      </w:r>
    </w:p>
    <w:p w14:paraId="501CD9C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Alomi, Y. A. (2017) ‘New Pharmacy Model for Vision 2030 in Saudi Arabia’, </w:t>
      </w:r>
      <w:r w:rsidRPr="003E4A88">
        <w:rPr>
          <w:rFonts w:ascii="Arial" w:hAnsi="Arial" w:cs="Arial"/>
          <w:i/>
          <w:iCs/>
          <w:noProof/>
          <w:sz w:val="24"/>
          <w:szCs w:val="24"/>
        </w:rPr>
        <w:t>Journal of Pharmacy Practice and Community Medicine</w:t>
      </w:r>
      <w:r w:rsidRPr="003E4A88">
        <w:rPr>
          <w:rFonts w:ascii="Arial" w:hAnsi="Arial" w:cs="Arial"/>
          <w:noProof/>
          <w:sz w:val="24"/>
          <w:szCs w:val="24"/>
        </w:rPr>
        <w:t>, 3(3), pp. 194–196. doi: 10.5530/jppcm.2017.3.40.</w:t>
      </w:r>
    </w:p>
    <w:p w14:paraId="7DDA6E97"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Alomi, Y. A., Aldosary, B. A., </w:t>
      </w:r>
      <w:r w:rsidRPr="003E4A88">
        <w:rPr>
          <w:rFonts w:ascii="Arial" w:hAnsi="Arial" w:cs="Arial"/>
          <w:i/>
          <w:iCs/>
          <w:noProof/>
          <w:sz w:val="24"/>
          <w:szCs w:val="24"/>
        </w:rPr>
        <w:t>et al.</w:t>
      </w:r>
      <w:r w:rsidRPr="003E4A88">
        <w:rPr>
          <w:rFonts w:ascii="Arial" w:hAnsi="Arial" w:cs="Arial"/>
          <w:noProof/>
          <w:sz w:val="24"/>
          <w:szCs w:val="24"/>
        </w:rPr>
        <w:t xml:space="preserve"> (2019) ‘Attitudes and Perceptions of Healthcare Professionals towards Pharmaceutical Care Services in Kingdom of Saudi Arabia’, </w:t>
      </w:r>
      <w:r w:rsidRPr="003E4A88">
        <w:rPr>
          <w:rFonts w:ascii="Arial" w:hAnsi="Arial" w:cs="Arial"/>
          <w:i/>
          <w:iCs/>
          <w:noProof/>
          <w:sz w:val="24"/>
          <w:szCs w:val="24"/>
        </w:rPr>
        <w:t>International Journal of Pharmacology and Clinical Sciences</w:t>
      </w:r>
      <w:r w:rsidRPr="003E4A88">
        <w:rPr>
          <w:rFonts w:ascii="Arial" w:hAnsi="Arial" w:cs="Arial"/>
          <w:noProof/>
          <w:sz w:val="24"/>
          <w:szCs w:val="24"/>
        </w:rPr>
        <w:t>, 8(2), pp. 110–115. doi: 10.5530/ijpcs.2019.8.19.</w:t>
      </w:r>
    </w:p>
    <w:p w14:paraId="3FD1A0E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Alomi, Y. A., Al-Hathlool, S. A.,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(2019) ‘Patient’s General Perception and Attitude toward Pharmacists in Saudi Arabia’, </w:t>
      </w:r>
      <w:r w:rsidRPr="003E4A88">
        <w:rPr>
          <w:rFonts w:ascii="Arial" w:hAnsi="Arial" w:cs="Arial"/>
          <w:i/>
          <w:iCs/>
          <w:noProof/>
          <w:sz w:val="24"/>
          <w:szCs w:val="24"/>
        </w:rPr>
        <w:t>International Journal of Pharmacology and Clinical Sciences</w:t>
      </w:r>
      <w:r w:rsidRPr="003E4A88">
        <w:rPr>
          <w:rFonts w:ascii="Arial" w:hAnsi="Arial" w:cs="Arial"/>
          <w:noProof/>
          <w:sz w:val="24"/>
          <w:szCs w:val="24"/>
        </w:rPr>
        <w:t>, 7(4), pp. 31–37. doi: 10.5530/ijpcs.2018.7.7.</w:t>
      </w:r>
    </w:p>
    <w:p w14:paraId="68157B5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Alosaimi, K. </w:t>
      </w:r>
      <w:r w:rsidRPr="003E4A88">
        <w:rPr>
          <w:rFonts w:ascii="Arial" w:hAnsi="Arial" w:cs="Arial"/>
          <w:i/>
          <w:iCs/>
          <w:noProof/>
          <w:sz w:val="24"/>
          <w:szCs w:val="24"/>
        </w:rPr>
        <w:t>et al.</w:t>
      </w:r>
      <w:r w:rsidRPr="003E4A88">
        <w:rPr>
          <w:rFonts w:ascii="Arial" w:hAnsi="Arial" w:cs="Arial"/>
          <w:noProof/>
          <w:sz w:val="24"/>
          <w:szCs w:val="24"/>
        </w:rPr>
        <w:t xml:space="preserve"> (2022) ‘Medication Adherence among Patients with Chronic Diseases in Saudi Arabia’, </w:t>
      </w:r>
      <w:r w:rsidRPr="003E4A88">
        <w:rPr>
          <w:rFonts w:ascii="Arial" w:hAnsi="Arial" w:cs="Arial"/>
          <w:i/>
          <w:iCs/>
          <w:noProof/>
          <w:sz w:val="24"/>
          <w:szCs w:val="24"/>
        </w:rPr>
        <w:t>International Journal of Environmental Research and Public Health</w:t>
      </w:r>
      <w:r w:rsidRPr="003E4A88">
        <w:rPr>
          <w:rFonts w:ascii="Arial" w:hAnsi="Arial" w:cs="Arial"/>
          <w:noProof/>
          <w:sz w:val="24"/>
          <w:szCs w:val="24"/>
        </w:rPr>
        <w:t>, 19(16), pp. 1–9. doi: 10.3390/ijerph191610053.</w:t>
      </w:r>
    </w:p>
    <w:p w14:paraId="1B292A1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Alotaibi, A. </w:t>
      </w:r>
      <w:r w:rsidRPr="003E4A88">
        <w:rPr>
          <w:rFonts w:ascii="Arial" w:hAnsi="Arial" w:cs="Arial"/>
          <w:i/>
          <w:iCs/>
          <w:noProof/>
          <w:sz w:val="24"/>
          <w:szCs w:val="24"/>
        </w:rPr>
        <w:t>et al.</w:t>
      </w:r>
      <w:r w:rsidRPr="003E4A88">
        <w:rPr>
          <w:rFonts w:ascii="Arial" w:hAnsi="Arial" w:cs="Arial"/>
          <w:noProof/>
          <w:sz w:val="24"/>
          <w:szCs w:val="24"/>
        </w:rPr>
        <w:t xml:space="preserve"> (2017) ‘Incidence and prevalence rates of diabetes mellitus in Saudi Arabia: An overview’. doi: 10.1016/j.jegh.2017.10.001.</w:t>
      </w:r>
    </w:p>
    <w:p w14:paraId="153FC53D"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Alqifari, S. F.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(2022) ‘Impact of Pharmacist-Led Clinics on Health Outcomes of Patients With Diabetes at a Ministry of Health Diabetes &amp; Endocrinology Center , Saudi Arabia : A Retrospective Study’, 14(6), pp. 8–13. doi: 10.7759/cureus.25923.</w:t>
      </w:r>
    </w:p>
    <w:p w14:paraId="4A7E80B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Alshaya, O. A.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(2021) ‘Ambulatory care pharmacy in Saudi Arabia ; definition , history , present , future potentials , and expected challenges’, </w:t>
      </w:r>
      <w:r w:rsidRPr="003E4A88">
        <w:rPr>
          <w:rFonts w:ascii="Arial" w:hAnsi="Arial" w:cs="Arial"/>
          <w:i/>
          <w:iCs/>
          <w:noProof/>
          <w:sz w:val="24"/>
          <w:szCs w:val="24"/>
        </w:rPr>
        <w:t>Journal of the American College of Clinical Pharmacy</w:t>
      </w:r>
      <w:r w:rsidRPr="003E4A88">
        <w:rPr>
          <w:rFonts w:ascii="Arial" w:hAnsi="Arial" w:cs="Arial"/>
          <w:noProof/>
          <w:sz w:val="24"/>
          <w:szCs w:val="24"/>
        </w:rPr>
        <w:t>, (October 2021), pp. 332–341. doi: 10.1002/jac5.1577.</w:t>
      </w:r>
    </w:p>
    <w:p w14:paraId="721BBD5F"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Alsubaie, N. </w:t>
      </w:r>
      <w:r w:rsidRPr="003E4A88">
        <w:rPr>
          <w:rFonts w:ascii="Arial" w:hAnsi="Arial" w:cs="Arial"/>
          <w:i/>
          <w:iCs/>
          <w:noProof/>
          <w:sz w:val="24"/>
          <w:szCs w:val="24"/>
        </w:rPr>
        <w:t>et al.</w:t>
      </w:r>
      <w:r w:rsidRPr="003E4A88">
        <w:rPr>
          <w:rFonts w:ascii="Arial" w:hAnsi="Arial" w:cs="Arial"/>
          <w:noProof/>
          <w:sz w:val="24"/>
          <w:szCs w:val="24"/>
        </w:rPr>
        <w:t xml:space="preserve"> (2022) ‘Impact of Clinical Pharmacist Diabetes Clinic on the Improvement of Health Outcomes in Type 2 Diabetes Subjects’, 10, pp. 887–892.</w:t>
      </w:r>
    </w:p>
    <w:p w14:paraId="2D3CD2C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Alsuhebany, N. </w:t>
      </w:r>
      <w:r w:rsidRPr="003E4A88">
        <w:rPr>
          <w:rFonts w:ascii="Arial" w:hAnsi="Arial" w:cs="Arial"/>
          <w:i/>
          <w:iCs/>
          <w:noProof/>
          <w:sz w:val="24"/>
          <w:szCs w:val="24"/>
        </w:rPr>
        <w:t>et al.</w:t>
      </w:r>
      <w:r w:rsidRPr="003E4A88">
        <w:rPr>
          <w:rFonts w:ascii="Arial" w:hAnsi="Arial" w:cs="Arial"/>
          <w:noProof/>
          <w:sz w:val="24"/>
          <w:szCs w:val="24"/>
        </w:rPr>
        <w:t xml:space="preserve"> (2019) ‘Attitude and Perception of Physicians and Nurses Toward the Role of Clinical Pharmacists in Riyadh, Saudi Arabia: A Qualitative Study’, </w:t>
      </w:r>
      <w:r w:rsidRPr="003E4A88">
        <w:rPr>
          <w:rFonts w:ascii="Arial" w:hAnsi="Arial" w:cs="Arial"/>
          <w:i/>
          <w:iCs/>
          <w:noProof/>
          <w:sz w:val="24"/>
          <w:szCs w:val="24"/>
        </w:rPr>
        <w:t>SAGE Open Nursing</w:t>
      </w:r>
      <w:r w:rsidRPr="003E4A88">
        <w:rPr>
          <w:rFonts w:ascii="Arial" w:hAnsi="Arial" w:cs="Arial"/>
          <w:noProof/>
          <w:sz w:val="24"/>
          <w:szCs w:val="24"/>
        </w:rPr>
        <w:t>, 5. doi: 10.1177/2377960819889769.</w:t>
      </w:r>
    </w:p>
    <w:p w14:paraId="116E300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Alsuwayni, B. and Alhossan, A. (2020) ‘Impact of clinical pharmacist-led diabetes management clinic on health outcomes at an academic hospital in Riyadh, Saudi Arabia: A prospective cohort study’, </w:t>
      </w:r>
      <w:r w:rsidRPr="003E4A88">
        <w:rPr>
          <w:rFonts w:ascii="Arial" w:hAnsi="Arial" w:cs="Arial"/>
          <w:i/>
          <w:iCs/>
          <w:noProof/>
          <w:sz w:val="24"/>
          <w:szCs w:val="24"/>
        </w:rPr>
        <w:t>Saudi Pharmaceutical Journal</w:t>
      </w:r>
      <w:r w:rsidRPr="003E4A88">
        <w:rPr>
          <w:rFonts w:ascii="Arial" w:hAnsi="Arial" w:cs="Arial"/>
          <w:noProof/>
          <w:sz w:val="24"/>
          <w:szCs w:val="24"/>
        </w:rPr>
        <w:t>. King Saud University, 28(12), pp. 1756–1759. doi: 10.1016/j.jsps.2020.11.002.</w:t>
      </w:r>
    </w:p>
    <w:p w14:paraId="4B351DF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Alzaheb, R. A. and Altemani, A. H. (2018) ‘The prevalence and determinants of poor glycemic control among adults with type 2 diabetes mellitus in Saudi Arabia’, </w:t>
      </w:r>
      <w:r w:rsidRPr="003E4A88">
        <w:rPr>
          <w:rFonts w:ascii="Arial" w:hAnsi="Arial" w:cs="Arial"/>
          <w:i/>
          <w:iCs/>
          <w:noProof/>
          <w:sz w:val="24"/>
          <w:szCs w:val="24"/>
        </w:rPr>
        <w:t>Diabetes, Metabolic Syndrome and Obesity: Targets and Therapy</w:t>
      </w:r>
      <w:r w:rsidRPr="003E4A88">
        <w:rPr>
          <w:rFonts w:ascii="Arial" w:hAnsi="Arial" w:cs="Arial"/>
          <w:noProof/>
          <w:sz w:val="24"/>
          <w:szCs w:val="24"/>
        </w:rPr>
        <w:t>, 11, pp. 15–21. doi: 10.2147/DMSO.S156214.</w:t>
      </w:r>
    </w:p>
    <w:p w14:paraId="4FCB40A8"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Alzaid, A. (2012) ‘Diabetes: A tale of two cultures’, </w:t>
      </w:r>
      <w:r w:rsidRPr="003E4A88">
        <w:rPr>
          <w:rFonts w:ascii="Arial" w:hAnsi="Arial" w:cs="Arial"/>
          <w:i/>
          <w:iCs/>
          <w:noProof/>
          <w:sz w:val="24"/>
          <w:szCs w:val="24"/>
        </w:rPr>
        <w:t>British Journal of Diabetes and Vascular Disease</w:t>
      </w:r>
      <w:r w:rsidRPr="003E4A88">
        <w:rPr>
          <w:rFonts w:ascii="Arial" w:hAnsi="Arial" w:cs="Arial"/>
          <w:noProof/>
          <w:sz w:val="24"/>
          <w:szCs w:val="24"/>
        </w:rPr>
        <w:t>, 12(2), pp. 57–59. doi: 10.1177/1474651412444143.</w:t>
      </w:r>
    </w:p>
    <w:p w14:paraId="437C422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Aparasu, R. R. (2011) </w:t>
      </w:r>
      <w:r w:rsidRPr="003E4A88">
        <w:rPr>
          <w:rFonts w:ascii="Arial" w:hAnsi="Arial" w:cs="Arial"/>
          <w:i/>
          <w:iCs/>
          <w:noProof/>
          <w:sz w:val="24"/>
          <w:szCs w:val="24"/>
        </w:rPr>
        <w:t>Research Methods for Pharmaceutical Practice and Policy</w:t>
      </w:r>
      <w:r w:rsidRPr="003E4A88">
        <w:rPr>
          <w:rFonts w:ascii="Arial" w:hAnsi="Arial" w:cs="Arial"/>
          <w:noProof/>
          <w:sz w:val="24"/>
          <w:szCs w:val="24"/>
        </w:rPr>
        <w:t>. London: Pharmaceutical Press.</w:t>
      </w:r>
    </w:p>
    <w:p w14:paraId="110292D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Armor, B. L. </w:t>
      </w:r>
      <w:r w:rsidRPr="003E4A88">
        <w:rPr>
          <w:rFonts w:ascii="Arial" w:hAnsi="Arial" w:cs="Arial"/>
          <w:i/>
          <w:iCs/>
          <w:noProof/>
          <w:sz w:val="24"/>
          <w:szCs w:val="24"/>
        </w:rPr>
        <w:t>et al.</w:t>
      </w:r>
      <w:r w:rsidRPr="003E4A88">
        <w:rPr>
          <w:rFonts w:ascii="Arial" w:hAnsi="Arial" w:cs="Arial"/>
          <w:noProof/>
          <w:sz w:val="24"/>
          <w:szCs w:val="24"/>
        </w:rPr>
        <w:t xml:space="preserve"> (2010) ‘A Review of Pharmacist Contributions to Diabetes Care in the United States’, </w:t>
      </w:r>
      <w:r w:rsidRPr="003E4A88">
        <w:rPr>
          <w:rFonts w:ascii="Arial" w:hAnsi="Arial" w:cs="Arial"/>
          <w:i/>
          <w:iCs/>
          <w:noProof/>
          <w:sz w:val="24"/>
          <w:szCs w:val="24"/>
        </w:rPr>
        <w:t>Journal of pharmacy practice</w:t>
      </w:r>
      <w:r w:rsidRPr="003E4A88">
        <w:rPr>
          <w:rFonts w:ascii="Arial" w:hAnsi="Arial" w:cs="Arial"/>
          <w:noProof/>
          <w:sz w:val="24"/>
          <w:szCs w:val="24"/>
        </w:rPr>
        <w:t>, 23(3), pp. 250–64. doi: 10.1177/0897190009336668.</w:t>
      </w:r>
    </w:p>
    <w:p w14:paraId="2AC7C5D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Al Asmary, S. M.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(2013) ‘Impact of Integrated Care Program on Glycemic Control and Cardiovascular Risk in Adult Patients with Type 2 Diabetes’, </w:t>
      </w:r>
      <w:r w:rsidRPr="003E4A88">
        <w:rPr>
          <w:rFonts w:ascii="Arial" w:hAnsi="Arial" w:cs="Arial"/>
          <w:i/>
          <w:iCs/>
          <w:noProof/>
          <w:sz w:val="24"/>
          <w:szCs w:val="24"/>
        </w:rPr>
        <w:t>www.jcomjournal.com</w:t>
      </w:r>
      <w:r w:rsidRPr="003E4A88">
        <w:rPr>
          <w:rFonts w:ascii="Arial" w:hAnsi="Arial" w:cs="Arial"/>
          <w:noProof/>
          <w:sz w:val="24"/>
          <w:szCs w:val="24"/>
        </w:rPr>
        <w:t>, 20(8), pp. 356–363. Available at: https://www.researchgate.net/publication/280234376 (Accessed: 25 July 2019).</w:t>
      </w:r>
    </w:p>
    <w:p w14:paraId="4CFE192E"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Al Assaf, S., Zelko, R. and Hanko, B. (2022) ‘The Effect of Interventions Led by Community Pharmacists in Primary Care for Adults with Type 2 Diabetes Mellitus on Therapeutic Adherence and HbA1c Levels: A Systematic Review’, </w:t>
      </w:r>
      <w:r w:rsidRPr="003E4A88">
        <w:rPr>
          <w:rFonts w:ascii="Arial" w:hAnsi="Arial" w:cs="Arial"/>
          <w:i/>
          <w:iCs/>
          <w:noProof/>
          <w:sz w:val="24"/>
          <w:szCs w:val="24"/>
        </w:rPr>
        <w:t>International Journal of Environmental Research and Public Health</w:t>
      </w:r>
      <w:r w:rsidRPr="003E4A88">
        <w:rPr>
          <w:rFonts w:ascii="Arial" w:hAnsi="Arial" w:cs="Arial"/>
          <w:noProof/>
          <w:sz w:val="24"/>
          <w:szCs w:val="24"/>
        </w:rPr>
        <w:t>, 19(10). doi: 10.3390/ijerph19106188.</w:t>
      </w:r>
    </w:p>
    <w:p w14:paraId="4B18E38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Baker, S. E. and Edwards, R. (2012) ‘How many qualitative interviews is enough ?’, </w:t>
      </w:r>
      <w:r w:rsidRPr="003E4A88">
        <w:rPr>
          <w:rFonts w:ascii="Arial" w:hAnsi="Arial" w:cs="Arial"/>
          <w:i/>
          <w:iCs/>
          <w:noProof/>
          <w:sz w:val="24"/>
          <w:szCs w:val="24"/>
        </w:rPr>
        <w:t>National Centre for Research Methods Review Paper</w:t>
      </w:r>
      <w:r w:rsidRPr="003E4A88">
        <w:rPr>
          <w:rFonts w:ascii="Arial" w:hAnsi="Arial" w:cs="Arial"/>
          <w:noProof/>
          <w:sz w:val="24"/>
          <w:szCs w:val="24"/>
        </w:rPr>
        <w:t>, pp. 1–42. doi: 10.1177/1525822X05279903.</w:t>
      </w:r>
    </w:p>
    <w:p w14:paraId="14DCDE5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Bates, I. </w:t>
      </w:r>
      <w:r w:rsidRPr="003E4A88">
        <w:rPr>
          <w:rFonts w:ascii="Arial" w:hAnsi="Arial" w:cs="Arial"/>
          <w:i/>
          <w:iCs/>
          <w:noProof/>
          <w:sz w:val="24"/>
          <w:szCs w:val="24"/>
        </w:rPr>
        <w:t>et al.</w:t>
      </w:r>
      <w:r w:rsidRPr="003E4A88">
        <w:rPr>
          <w:rFonts w:ascii="Arial" w:hAnsi="Arial" w:cs="Arial"/>
          <w:noProof/>
          <w:sz w:val="24"/>
          <w:szCs w:val="24"/>
        </w:rPr>
        <w:t xml:space="preserve"> (2018) </w:t>
      </w:r>
      <w:r w:rsidRPr="003E4A88">
        <w:rPr>
          <w:rFonts w:ascii="Arial" w:hAnsi="Arial" w:cs="Arial"/>
          <w:i/>
          <w:iCs/>
          <w:noProof/>
          <w:sz w:val="24"/>
          <w:szCs w:val="24"/>
        </w:rPr>
        <w:t>Pharmacy Workforce Intelligence: Global Trends Report 2018</w:t>
      </w:r>
      <w:r w:rsidRPr="003E4A88">
        <w:rPr>
          <w:rFonts w:ascii="Arial" w:hAnsi="Arial" w:cs="Arial"/>
          <w:noProof/>
          <w:sz w:val="24"/>
          <w:szCs w:val="24"/>
        </w:rPr>
        <w:t>. Available at: www.fip.org-fip@fip.org.</w:t>
      </w:r>
    </w:p>
    <w:p w14:paraId="784ADA4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Bawab, N. </w:t>
      </w:r>
      <w:r w:rsidRPr="003E4A88">
        <w:rPr>
          <w:rFonts w:ascii="Arial" w:hAnsi="Arial" w:cs="Arial"/>
          <w:i/>
          <w:iCs/>
          <w:noProof/>
          <w:sz w:val="24"/>
          <w:szCs w:val="24"/>
        </w:rPr>
        <w:t>et al.</w:t>
      </w:r>
      <w:r w:rsidRPr="003E4A88">
        <w:rPr>
          <w:rFonts w:ascii="Arial" w:hAnsi="Arial" w:cs="Arial"/>
          <w:noProof/>
          <w:sz w:val="24"/>
          <w:szCs w:val="24"/>
        </w:rPr>
        <w:t xml:space="preserve"> (2023) ‘Building Interprofessional Collaborative Practices Through a Support Program for Patients With Type 2 Diabetes in Primary Care’, </w:t>
      </w:r>
      <w:r w:rsidRPr="003E4A88">
        <w:rPr>
          <w:rFonts w:ascii="Arial" w:hAnsi="Arial" w:cs="Arial"/>
          <w:i/>
          <w:iCs/>
          <w:noProof/>
          <w:sz w:val="24"/>
          <w:szCs w:val="24"/>
        </w:rPr>
        <w:t>Journal of Continuing Education in the Health Professions</w:t>
      </w:r>
      <w:r w:rsidRPr="003E4A88">
        <w:rPr>
          <w:rFonts w:ascii="Arial" w:hAnsi="Arial" w:cs="Arial"/>
          <w:noProof/>
          <w:sz w:val="24"/>
          <w:szCs w:val="24"/>
        </w:rPr>
        <w:t>, Publish Ah(2), pp. 77–86. doi: 10.1097/ceh.0000000000000466.</w:t>
      </w:r>
    </w:p>
    <w:p w14:paraId="6AA5408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Benson, H. </w:t>
      </w:r>
      <w:r w:rsidRPr="003E4A88">
        <w:rPr>
          <w:rFonts w:ascii="Arial" w:hAnsi="Arial" w:cs="Arial"/>
          <w:i/>
          <w:iCs/>
          <w:noProof/>
          <w:sz w:val="24"/>
          <w:szCs w:val="24"/>
        </w:rPr>
        <w:t>et al.</w:t>
      </w:r>
      <w:r w:rsidRPr="003E4A88">
        <w:rPr>
          <w:rFonts w:ascii="Arial" w:hAnsi="Arial" w:cs="Arial"/>
          <w:noProof/>
          <w:sz w:val="24"/>
          <w:szCs w:val="24"/>
        </w:rPr>
        <w:t xml:space="preserve"> (2018) ‘Pharmacists in general practice: a focus on drug-related problems’, </w:t>
      </w:r>
      <w:r w:rsidRPr="003E4A88">
        <w:rPr>
          <w:rFonts w:ascii="Arial" w:hAnsi="Arial" w:cs="Arial"/>
          <w:i/>
          <w:iCs/>
          <w:noProof/>
          <w:sz w:val="24"/>
          <w:szCs w:val="24"/>
        </w:rPr>
        <w:t>International Journal of Clinical Pharmacy</w:t>
      </w:r>
      <w:r w:rsidRPr="003E4A88">
        <w:rPr>
          <w:rFonts w:ascii="Arial" w:hAnsi="Arial" w:cs="Arial"/>
          <w:noProof/>
          <w:sz w:val="24"/>
          <w:szCs w:val="24"/>
        </w:rPr>
        <w:t>. Strathclyde Institute of Pharmacy and Biomedical Science, University of Strathclyde, Glasgow, UK.: Springer Nature, 40(1), pp. 566–572. doi: 10.1007/s11096-018-0617-9.</w:t>
      </w:r>
    </w:p>
    <w:p w14:paraId="60A9F17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Blondal, A. B., Sporrong, S. K. and Almarsdottir, A. B. (2017) ‘Introducing Pharmaceutical Care to Primary Care in Iceland—An Action Research Study’, </w:t>
      </w:r>
      <w:r w:rsidRPr="003E4A88">
        <w:rPr>
          <w:rFonts w:ascii="Arial" w:hAnsi="Arial" w:cs="Arial"/>
          <w:i/>
          <w:iCs/>
          <w:noProof/>
          <w:sz w:val="24"/>
          <w:szCs w:val="24"/>
        </w:rPr>
        <w:t>MDPI Pharmacy</w:t>
      </w:r>
      <w:r w:rsidRPr="003E4A88">
        <w:rPr>
          <w:rFonts w:ascii="Arial" w:hAnsi="Arial" w:cs="Arial"/>
          <w:noProof/>
          <w:sz w:val="24"/>
          <w:szCs w:val="24"/>
        </w:rPr>
        <w:t>, 5(4), p. 23. doi: 10.3390/pharmacy5020023.</w:t>
      </w:r>
    </w:p>
    <w:p w14:paraId="72A1E57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Bodenheimer, T. S. and Willard-Grace, R. (2022) ‘Care Management For Patients With Type 2 Diabetes: The Roles Of Nurses, Pharmacists, And Social Workers’, </w:t>
      </w:r>
      <w:r w:rsidRPr="003E4A88">
        <w:rPr>
          <w:rFonts w:ascii="Arial" w:hAnsi="Arial" w:cs="Arial"/>
          <w:i/>
          <w:iCs/>
          <w:noProof/>
          <w:sz w:val="24"/>
          <w:szCs w:val="24"/>
        </w:rPr>
        <w:t>Health affairs (Project Hope)</w:t>
      </w:r>
      <w:r w:rsidRPr="003E4A88">
        <w:rPr>
          <w:rFonts w:ascii="Arial" w:hAnsi="Arial" w:cs="Arial"/>
          <w:noProof/>
          <w:sz w:val="24"/>
          <w:szCs w:val="24"/>
        </w:rPr>
        <w:t>, 41(7), pp. 947–954. doi: 10.1377/hlthaff.2022.00227.</w:t>
      </w:r>
    </w:p>
    <w:p w14:paraId="47ED8BCE"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Boivin, M. (2019) ‘Role of the Pharmacist Certified Diabetes Educator Along the Type 2 Diabetes Care Continuum’, </w:t>
      </w:r>
      <w:r w:rsidRPr="003E4A88">
        <w:rPr>
          <w:rFonts w:ascii="Arial" w:hAnsi="Arial" w:cs="Arial"/>
          <w:i/>
          <w:iCs/>
          <w:noProof/>
          <w:sz w:val="24"/>
          <w:szCs w:val="24"/>
        </w:rPr>
        <w:t>Canadian Journal of Diabetes</w:t>
      </w:r>
      <w:r w:rsidRPr="003E4A88">
        <w:rPr>
          <w:rFonts w:ascii="Arial" w:hAnsi="Arial" w:cs="Arial"/>
          <w:noProof/>
          <w:sz w:val="24"/>
          <w:szCs w:val="24"/>
        </w:rPr>
        <w:t>. Canadian Diabetes Association, 43(6), pp. 429–432. doi: 10.1016/j.jcjd.2019.04.017.</w:t>
      </w:r>
    </w:p>
    <w:p w14:paraId="7F193BDE"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Bowling, A. (2014) </w:t>
      </w:r>
      <w:r w:rsidRPr="003E4A88">
        <w:rPr>
          <w:rFonts w:ascii="Arial" w:hAnsi="Arial" w:cs="Arial"/>
          <w:i/>
          <w:iCs/>
          <w:noProof/>
          <w:sz w:val="24"/>
          <w:szCs w:val="24"/>
        </w:rPr>
        <w:t>Read: Research Methods In Health: Investigating Health And Health Services</w:t>
      </w:r>
      <w:r w:rsidRPr="003E4A88">
        <w:rPr>
          <w:rFonts w:ascii="Arial" w:hAnsi="Arial" w:cs="Arial"/>
          <w:noProof/>
          <w:sz w:val="24"/>
          <w:szCs w:val="24"/>
        </w:rPr>
        <w:t>. Available at: https://www.dawsonera.com/readonline/9780335262755 (Accessed: 14 January 2020).</w:t>
      </w:r>
    </w:p>
    <w:p w14:paraId="061AB248"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Braun, V. and Clarke, V. (2006) ‘Using thematic analysis in psychology’, </w:t>
      </w:r>
      <w:r w:rsidRPr="003E4A88">
        <w:rPr>
          <w:rFonts w:ascii="Arial" w:hAnsi="Arial" w:cs="Arial"/>
          <w:i/>
          <w:iCs/>
          <w:noProof/>
          <w:sz w:val="24"/>
          <w:szCs w:val="24"/>
        </w:rPr>
        <w:t>Qualitative research in psychology</w:t>
      </w:r>
      <w:r w:rsidRPr="003E4A88">
        <w:rPr>
          <w:rFonts w:ascii="Arial" w:hAnsi="Arial" w:cs="Arial"/>
          <w:noProof/>
          <w:sz w:val="24"/>
          <w:szCs w:val="24"/>
        </w:rPr>
        <w:t>, 3(2), pp. 77–101. doi: 10.1017/CBO9781107415324.004.</w:t>
      </w:r>
    </w:p>
    <w:p w14:paraId="493626B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Brierley, J. A. (2017) ‘The role of a pragmatist paradigm when adopting mixed methods in behavioural accounting research’, </w:t>
      </w:r>
      <w:r w:rsidRPr="003E4A88">
        <w:rPr>
          <w:rFonts w:ascii="Arial" w:hAnsi="Arial" w:cs="Arial"/>
          <w:i/>
          <w:iCs/>
          <w:noProof/>
          <w:sz w:val="24"/>
          <w:szCs w:val="24"/>
        </w:rPr>
        <w:t>International Journal of Behavioural Accounting and Finance</w:t>
      </w:r>
      <w:r w:rsidRPr="003E4A88">
        <w:rPr>
          <w:rFonts w:ascii="Arial" w:hAnsi="Arial" w:cs="Arial"/>
          <w:noProof/>
          <w:sz w:val="24"/>
          <w:szCs w:val="24"/>
        </w:rPr>
        <w:t>, 6(2), p. 140. doi: 10.1504/ijbaf.2017.10007499.</w:t>
      </w:r>
    </w:p>
    <w:p w14:paraId="3D78C513"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Bryman, A. (2007) ‘Barriers to Integrating Quantitative and Qualitative Research’, </w:t>
      </w:r>
      <w:r w:rsidRPr="003E4A88">
        <w:rPr>
          <w:rFonts w:ascii="Arial" w:hAnsi="Arial" w:cs="Arial"/>
          <w:i/>
          <w:iCs/>
          <w:noProof/>
          <w:sz w:val="24"/>
          <w:szCs w:val="24"/>
        </w:rPr>
        <w:t>Journal of Mixed Methods Research</w:t>
      </w:r>
      <w:r w:rsidRPr="003E4A88">
        <w:rPr>
          <w:rFonts w:ascii="Arial" w:hAnsi="Arial" w:cs="Arial"/>
          <w:noProof/>
          <w:sz w:val="24"/>
          <w:szCs w:val="24"/>
        </w:rPr>
        <w:t>, 1(1), pp. 8–22. doi: 10.1177/2345678906290531.</w:t>
      </w:r>
    </w:p>
    <w:p w14:paraId="5D2D4E6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Bryman, A. and Bella, E. (2011) </w:t>
      </w:r>
      <w:r w:rsidRPr="003E4A88">
        <w:rPr>
          <w:rFonts w:ascii="Arial" w:hAnsi="Arial" w:cs="Arial"/>
          <w:i/>
          <w:iCs/>
          <w:noProof/>
          <w:sz w:val="24"/>
          <w:szCs w:val="24"/>
        </w:rPr>
        <w:t>Business Research Methods</w:t>
      </w:r>
      <w:r w:rsidRPr="003E4A88">
        <w:rPr>
          <w:rFonts w:ascii="Arial" w:hAnsi="Arial" w:cs="Arial"/>
          <w:noProof/>
          <w:sz w:val="24"/>
          <w:szCs w:val="24"/>
        </w:rPr>
        <w:t>. 3rd edn. Oxford: Oxford University Press / USA.</w:t>
      </w:r>
    </w:p>
    <w:p w14:paraId="2E24CF55"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Bush, J. </w:t>
      </w:r>
      <w:r w:rsidRPr="003E4A88">
        <w:rPr>
          <w:rFonts w:ascii="Arial" w:hAnsi="Arial" w:cs="Arial"/>
          <w:i/>
          <w:iCs/>
          <w:noProof/>
          <w:sz w:val="24"/>
          <w:szCs w:val="24"/>
        </w:rPr>
        <w:t>et al.</w:t>
      </w:r>
      <w:r w:rsidRPr="003E4A88">
        <w:rPr>
          <w:rFonts w:ascii="Arial" w:hAnsi="Arial" w:cs="Arial"/>
          <w:noProof/>
          <w:sz w:val="24"/>
          <w:szCs w:val="24"/>
        </w:rPr>
        <w:t xml:space="preserve"> (2018) ‘Clinical pharmacists in general practice: an initial evaluation of activity in one English primary care organisation’, </w:t>
      </w:r>
      <w:r w:rsidRPr="003E4A88">
        <w:rPr>
          <w:rFonts w:ascii="Arial" w:hAnsi="Arial" w:cs="Arial"/>
          <w:i/>
          <w:iCs/>
          <w:noProof/>
          <w:sz w:val="24"/>
          <w:szCs w:val="24"/>
        </w:rPr>
        <w:t>International Journal of Pharmacy Practice</w:t>
      </w:r>
      <w:r w:rsidRPr="003E4A88">
        <w:rPr>
          <w:rFonts w:ascii="Arial" w:hAnsi="Arial" w:cs="Arial"/>
          <w:noProof/>
          <w:sz w:val="24"/>
          <w:szCs w:val="24"/>
        </w:rPr>
        <w:t>, 26(6), pp. 501–506. doi: 10.1111/ijpp.12426.</w:t>
      </w:r>
    </w:p>
    <w:p w14:paraId="5532BF87"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Butt, M. </w:t>
      </w:r>
      <w:r w:rsidRPr="003E4A88">
        <w:rPr>
          <w:rFonts w:ascii="Arial" w:hAnsi="Arial" w:cs="Arial"/>
          <w:i/>
          <w:iCs/>
          <w:noProof/>
          <w:sz w:val="24"/>
          <w:szCs w:val="24"/>
        </w:rPr>
        <w:t>et al.</w:t>
      </w:r>
      <w:r w:rsidRPr="003E4A88">
        <w:rPr>
          <w:rFonts w:ascii="Arial" w:hAnsi="Arial" w:cs="Arial"/>
          <w:noProof/>
          <w:sz w:val="24"/>
          <w:szCs w:val="24"/>
        </w:rPr>
        <w:t xml:space="preserve"> (2016) ‘Impact of a pharmacist led diabetes mellitus intervention on HbA1c, medication adherence and quality of life: A randomised controlled study’, </w:t>
      </w:r>
      <w:r w:rsidRPr="003E4A88">
        <w:rPr>
          <w:rFonts w:ascii="Arial" w:hAnsi="Arial" w:cs="Arial"/>
          <w:i/>
          <w:iCs/>
          <w:noProof/>
          <w:sz w:val="24"/>
          <w:szCs w:val="24"/>
        </w:rPr>
        <w:t>Saudi Pharmaceutical Journal</w:t>
      </w:r>
      <w:r w:rsidRPr="003E4A88">
        <w:rPr>
          <w:rFonts w:ascii="Arial" w:hAnsi="Arial" w:cs="Arial"/>
          <w:noProof/>
          <w:sz w:val="24"/>
          <w:szCs w:val="24"/>
        </w:rPr>
        <w:t>. King Saud University, 24(1), pp. 40–48. doi: 10.1016/j.jsps.2015.02.023.</w:t>
      </w:r>
    </w:p>
    <w:p w14:paraId="16EA7B1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Cathain, A. O., Murphy, E. and Nicholl, J. (2008) ‘The quality of mixed methods studies in health services research’, 13(2), pp. 92–98.</w:t>
      </w:r>
    </w:p>
    <w:p w14:paraId="3C818537"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i/>
          <w:iCs/>
          <w:noProof/>
          <w:sz w:val="24"/>
          <w:szCs w:val="24"/>
        </w:rPr>
        <w:t>CBAHI Standards | CBAHI</w:t>
      </w:r>
      <w:r w:rsidRPr="003E4A88">
        <w:rPr>
          <w:rFonts w:ascii="Arial" w:hAnsi="Arial" w:cs="Arial"/>
          <w:noProof/>
          <w:sz w:val="24"/>
          <w:szCs w:val="24"/>
        </w:rPr>
        <w:t xml:space="preserve"> (2020). Available at: https://portal.cbahi.gov.sa/english/cbahi-standards (Accessed: 31 May 2020).</w:t>
      </w:r>
    </w:p>
    <w:p w14:paraId="4FE0509E"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Chaudhri, K. </w:t>
      </w:r>
      <w:r w:rsidRPr="003E4A88">
        <w:rPr>
          <w:rFonts w:ascii="Arial" w:hAnsi="Arial" w:cs="Arial"/>
          <w:i/>
          <w:iCs/>
          <w:noProof/>
          <w:sz w:val="24"/>
          <w:szCs w:val="24"/>
        </w:rPr>
        <w:t>et al.</w:t>
      </w:r>
      <w:r w:rsidRPr="003E4A88">
        <w:rPr>
          <w:rFonts w:ascii="Arial" w:hAnsi="Arial" w:cs="Arial"/>
          <w:noProof/>
          <w:sz w:val="24"/>
          <w:szCs w:val="24"/>
        </w:rPr>
        <w:t xml:space="preserve"> (2023) ‘Does Collaboration between General Practitioners and Pharmacists Improve Risk Factors for Cardiovascular Disease and Diabetes? A Systematic Review and Meta-Analysis’, </w:t>
      </w:r>
      <w:r w:rsidRPr="003E4A88">
        <w:rPr>
          <w:rFonts w:ascii="Arial" w:hAnsi="Arial" w:cs="Arial"/>
          <w:i/>
          <w:iCs/>
          <w:noProof/>
          <w:sz w:val="24"/>
          <w:szCs w:val="24"/>
        </w:rPr>
        <w:t>Global Heart</w:t>
      </w:r>
      <w:r w:rsidRPr="003E4A88">
        <w:rPr>
          <w:rFonts w:ascii="Arial" w:hAnsi="Arial" w:cs="Arial"/>
          <w:noProof/>
          <w:sz w:val="24"/>
          <w:szCs w:val="24"/>
        </w:rPr>
        <w:t>, 18(1). doi: 10.5334/gh.1184.</w:t>
      </w:r>
    </w:p>
    <w:p w14:paraId="6B819BB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Chisholm-burns, A. M. A. </w:t>
      </w:r>
      <w:r w:rsidRPr="003E4A88">
        <w:rPr>
          <w:rFonts w:ascii="Arial" w:hAnsi="Arial" w:cs="Arial"/>
          <w:i/>
          <w:iCs/>
          <w:noProof/>
          <w:sz w:val="24"/>
          <w:szCs w:val="24"/>
        </w:rPr>
        <w:t>et al.</w:t>
      </w:r>
      <w:r w:rsidRPr="003E4A88">
        <w:rPr>
          <w:rFonts w:ascii="Arial" w:hAnsi="Arial" w:cs="Arial"/>
          <w:noProof/>
          <w:sz w:val="24"/>
          <w:szCs w:val="24"/>
        </w:rPr>
        <w:t xml:space="preserve"> (2010) ‘US Pharmacists ’ Effect as Team Members on Patient Care Systematic Review and Meta-Analyses’, </w:t>
      </w:r>
      <w:r w:rsidRPr="003E4A88">
        <w:rPr>
          <w:rFonts w:ascii="Arial" w:hAnsi="Arial" w:cs="Arial"/>
          <w:i/>
          <w:iCs/>
          <w:noProof/>
          <w:sz w:val="24"/>
          <w:szCs w:val="24"/>
        </w:rPr>
        <w:t>Medical Care</w:t>
      </w:r>
      <w:r w:rsidRPr="003E4A88">
        <w:rPr>
          <w:rFonts w:ascii="Arial" w:hAnsi="Arial" w:cs="Arial"/>
          <w:noProof/>
          <w:sz w:val="24"/>
          <w:szCs w:val="24"/>
        </w:rPr>
        <w:t>, 48(10), pp. 923–933.</w:t>
      </w:r>
    </w:p>
    <w:p w14:paraId="6640491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Choe, H. M.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(2009) ‘Pharmacist leads primary care team to improve diabetes care’, </w:t>
      </w:r>
      <w:r w:rsidRPr="003E4A88">
        <w:rPr>
          <w:rFonts w:ascii="Arial" w:hAnsi="Arial" w:cs="Arial"/>
          <w:i/>
          <w:iCs/>
          <w:noProof/>
          <w:sz w:val="24"/>
          <w:szCs w:val="24"/>
        </w:rPr>
        <w:t>American Journal of Health-System Pharmacy</w:t>
      </w:r>
      <w:r w:rsidRPr="003E4A88">
        <w:rPr>
          <w:rFonts w:ascii="Arial" w:hAnsi="Arial" w:cs="Arial"/>
          <w:noProof/>
          <w:sz w:val="24"/>
          <w:szCs w:val="24"/>
        </w:rPr>
        <w:t>, 66(7), pp. 622–624. doi: 10.2146/ajhp080139.</w:t>
      </w:r>
    </w:p>
    <w:p w14:paraId="4B40265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Costley, C., Elliott, G. and Gibbs, P. (2010) ‘Key Concepts for the Insider-Researcher In: Doing Work Based Research: Approaches to Enquiry for Insider-Researchers’, </w:t>
      </w:r>
      <w:r w:rsidRPr="003E4A88">
        <w:rPr>
          <w:rFonts w:ascii="Arial" w:hAnsi="Arial" w:cs="Arial"/>
          <w:i/>
          <w:iCs/>
          <w:noProof/>
          <w:sz w:val="24"/>
          <w:szCs w:val="24"/>
        </w:rPr>
        <w:t>SAGE</w:t>
      </w:r>
      <w:r w:rsidRPr="003E4A88">
        <w:rPr>
          <w:rFonts w:ascii="Arial" w:hAnsi="Arial" w:cs="Arial"/>
          <w:noProof/>
          <w:sz w:val="24"/>
          <w:szCs w:val="24"/>
        </w:rPr>
        <w:t>. doi: 10.4135/9781446287880.</w:t>
      </w:r>
    </w:p>
    <w:p w14:paraId="770C63B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Coutureau, C. </w:t>
      </w:r>
      <w:r w:rsidRPr="003E4A88">
        <w:rPr>
          <w:rFonts w:ascii="Arial" w:hAnsi="Arial" w:cs="Arial"/>
          <w:i/>
          <w:iCs/>
          <w:noProof/>
          <w:sz w:val="24"/>
          <w:szCs w:val="24"/>
        </w:rPr>
        <w:t>et al.</w:t>
      </w:r>
      <w:r w:rsidRPr="003E4A88">
        <w:rPr>
          <w:rFonts w:ascii="Arial" w:hAnsi="Arial" w:cs="Arial"/>
          <w:noProof/>
          <w:sz w:val="24"/>
          <w:szCs w:val="24"/>
        </w:rPr>
        <w:t xml:space="preserve"> (2022) ‘Impact of Pharmacists-Led Interventions in Primary Care for Adults with Type 2 Diabetes on HbA1c Levels: A Systematic Review and Meta-Analysis’, </w:t>
      </w:r>
      <w:r w:rsidRPr="003E4A88">
        <w:rPr>
          <w:rFonts w:ascii="Arial" w:hAnsi="Arial" w:cs="Arial"/>
          <w:i/>
          <w:iCs/>
          <w:noProof/>
          <w:sz w:val="24"/>
          <w:szCs w:val="24"/>
        </w:rPr>
        <w:t>International Journal of Environmental Research and Public Health</w:t>
      </w:r>
      <w:r w:rsidRPr="003E4A88">
        <w:rPr>
          <w:rFonts w:ascii="Arial" w:hAnsi="Arial" w:cs="Arial"/>
          <w:noProof/>
          <w:sz w:val="24"/>
          <w:szCs w:val="24"/>
        </w:rPr>
        <w:t>, 19(1). doi: 10.1186/s13643-022-02117-w.</w:t>
      </w:r>
    </w:p>
    <w:p w14:paraId="3159A06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Cowart, K. </w:t>
      </w:r>
      <w:r w:rsidRPr="003E4A88">
        <w:rPr>
          <w:rFonts w:ascii="Arial" w:hAnsi="Arial" w:cs="Arial"/>
          <w:i/>
          <w:iCs/>
          <w:noProof/>
          <w:sz w:val="24"/>
          <w:szCs w:val="24"/>
        </w:rPr>
        <w:t>et al.</w:t>
      </w:r>
      <w:r w:rsidRPr="003E4A88">
        <w:rPr>
          <w:rFonts w:ascii="Arial" w:hAnsi="Arial" w:cs="Arial"/>
          <w:noProof/>
          <w:sz w:val="24"/>
          <w:szCs w:val="24"/>
        </w:rPr>
        <w:t xml:space="preserve"> (2022) ‘Measurement of Pharmacist-Physician Collaborative Care on Therapeutic Inertia in Patients With Type 2 Diabetes’, </w:t>
      </w:r>
      <w:r w:rsidRPr="003E4A88">
        <w:rPr>
          <w:rFonts w:ascii="Arial" w:hAnsi="Arial" w:cs="Arial"/>
          <w:i/>
          <w:iCs/>
          <w:noProof/>
          <w:sz w:val="24"/>
          <w:szCs w:val="24"/>
        </w:rPr>
        <w:t>Annals of Pharmacotherapy</w:t>
      </w:r>
      <w:r w:rsidRPr="003E4A88">
        <w:rPr>
          <w:rFonts w:ascii="Arial" w:hAnsi="Arial" w:cs="Arial"/>
          <w:noProof/>
          <w:sz w:val="24"/>
          <w:szCs w:val="24"/>
        </w:rPr>
        <w:t>, 56(2), pp. 155–161. doi: 10.1177/10600280211023492.</w:t>
      </w:r>
    </w:p>
    <w:p w14:paraId="566C1358"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Creamer, E. (2018) ‘9- Designing and reporting a fully integrated mixed methods’, </w:t>
      </w:r>
      <w:r w:rsidRPr="003E4A88">
        <w:rPr>
          <w:rFonts w:ascii="Arial" w:hAnsi="Arial" w:cs="Arial"/>
          <w:i/>
          <w:iCs/>
          <w:noProof/>
          <w:sz w:val="24"/>
          <w:szCs w:val="24"/>
        </w:rPr>
        <w:t>Mixed Methods Research Proposal or Doctoral Dissertation</w:t>
      </w:r>
      <w:r w:rsidRPr="003E4A88">
        <w:rPr>
          <w:rFonts w:ascii="Arial" w:hAnsi="Arial" w:cs="Arial"/>
          <w:noProof/>
          <w:sz w:val="24"/>
          <w:szCs w:val="24"/>
        </w:rPr>
        <w:t>.</w:t>
      </w:r>
    </w:p>
    <w:p w14:paraId="0B2EF515"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Creswell, J. W. (2003) </w:t>
      </w:r>
      <w:r w:rsidRPr="003E4A88">
        <w:rPr>
          <w:rFonts w:ascii="Arial" w:hAnsi="Arial" w:cs="Arial"/>
          <w:i/>
          <w:iCs/>
          <w:noProof/>
          <w:sz w:val="24"/>
          <w:szCs w:val="24"/>
        </w:rPr>
        <w:t>Research design : qualitative, quantitative, and mixed methods approaches</w:t>
      </w:r>
      <w:r w:rsidRPr="003E4A88">
        <w:rPr>
          <w:rFonts w:ascii="Arial" w:hAnsi="Arial" w:cs="Arial"/>
          <w:noProof/>
          <w:sz w:val="24"/>
          <w:szCs w:val="24"/>
        </w:rPr>
        <w:t>. 2nd ed. London: SAGE PublicationsSage UK: London, England.</w:t>
      </w:r>
    </w:p>
    <w:p w14:paraId="237CDF8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Creswell, J. W. (2014) </w:t>
      </w:r>
      <w:r w:rsidRPr="003E4A88">
        <w:rPr>
          <w:rFonts w:ascii="Arial" w:hAnsi="Arial" w:cs="Arial"/>
          <w:i/>
          <w:iCs/>
          <w:noProof/>
          <w:sz w:val="24"/>
          <w:szCs w:val="24"/>
        </w:rPr>
        <w:t>Research Design</w:t>
      </w:r>
      <w:r w:rsidRPr="003E4A88">
        <w:rPr>
          <w:rFonts w:ascii="Arial" w:hAnsi="Arial" w:cs="Arial"/>
          <w:noProof/>
          <w:sz w:val="24"/>
          <w:szCs w:val="24"/>
        </w:rPr>
        <w:t>. Fourth. Sage Publications Inc.</w:t>
      </w:r>
    </w:p>
    <w:p w14:paraId="0897062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Creswell, J.W. (2015) </w:t>
      </w:r>
      <w:r w:rsidRPr="003E4A88">
        <w:rPr>
          <w:rFonts w:ascii="Arial" w:hAnsi="Arial" w:cs="Arial"/>
          <w:i/>
          <w:iCs/>
          <w:noProof/>
          <w:sz w:val="24"/>
          <w:szCs w:val="24"/>
        </w:rPr>
        <w:t>A concise introduction to mixed methods research</w:t>
      </w:r>
      <w:r w:rsidRPr="003E4A88">
        <w:rPr>
          <w:rFonts w:ascii="Arial" w:hAnsi="Arial" w:cs="Arial"/>
          <w:noProof/>
          <w:sz w:val="24"/>
          <w:szCs w:val="24"/>
        </w:rPr>
        <w:t>. Available at: https://books.google.co.uk/books?hl=en&amp;lr=&amp;id=51UXBAAAQBAJ&amp;oi=fnd&amp;pg=PR1&amp;dq=A+concise+Introduction+to+Mixed+Methods+Research&amp;ots=69KwL6UsOy&amp;sig=tmFhD5Urxlz4iVV5cDHUBbex0jM (Accessed: 11 May 2020).</w:t>
      </w:r>
    </w:p>
    <w:p w14:paraId="24D4833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Creswell, John W. (2015) ‘A concise introduction to mixed methods research’.</w:t>
      </w:r>
    </w:p>
    <w:p w14:paraId="07BA24B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Creswell, J. W. and Clark, V. L. P. (2017) </w:t>
      </w:r>
      <w:r w:rsidRPr="003E4A88">
        <w:rPr>
          <w:rFonts w:ascii="Arial" w:hAnsi="Arial" w:cs="Arial"/>
          <w:i/>
          <w:iCs/>
          <w:noProof/>
          <w:sz w:val="24"/>
          <w:szCs w:val="24"/>
        </w:rPr>
        <w:t>Designing and Conducting Mixed Methods Research Third Edition</w:t>
      </w:r>
      <w:r w:rsidRPr="003E4A88">
        <w:rPr>
          <w:rFonts w:ascii="Arial" w:hAnsi="Arial" w:cs="Arial"/>
          <w:noProof/>
          <w:sz w:val="24"/>
          <w:szCs w:val="24"/>
        </w:rPr>
        <w:t>.</w:t>
      </w:r>
    </w:p>
    <w:p w14:paraId="0B1FCE5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Davis, C. S., Ross, L. A. R. and Bloodworth, L. S. (2017) ‘The Impact of Clinical Pharmacist Integration on a Collaborative Interdisciplinary Diabetes Management Team’, </w:t>
      </w:r>
      <w:r w:rsidRPr="003E4A88">
        <w:rPr>
          <w:rFonts w:ascii="Arial" w:hAnsi="Arial" w:cs="Arial"/>
          <w:i/>
          <w:iCs/>
          <w:noProof/>
          <w:sz w:val="24"/>
          <w:szCs w:val="24"/>
        </w:rPr>
        <w:t>Journal of Pharmacy Practice</w:t>
      </w:r>
      <w:r w:rsidRPr="003E4A88">
        <w:rPr>
          <w:rFonts w:ascii="Arial" w:hAnsi="Arial" w:cs="Arial"/>
          <w:noProof/>
          <w:sz w:val="24"/>
          <w:szCs w:val="24"/>
        </w:rPr>
        <w:t>, 30(3), pp. 286–290. doi: 10.1177/0897190016631894.</w:t>
      </w:r>
    </w:p>
    <w:p w14:paraId="5E3A8543"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Dietrich, E. S. (2006) ‘The division of labour in healthcare - The role of the pharmacist’, </w:t>
      </w:r>
      <w:r w:rsidRPr="003E4A88">
        <w:rPr>
          <w:rFonts w:ascii="Arial" w:hAnsi="Arial" w:cs="Arial"/>
          <w:i/>
          <w:iCs/>
          <w:noProof/>
          <w:sz w:val="24"/>
          <w:szCs w:val="24"/>
        </w:rPr>
        <w:t>Pharmacy Education</w:t>
      </w:r>
      <w:r w:rsidRPr="003E4A88">
        <w:rPr>
          <w:rFonts w:ascii="Arial" w:hAnsi="Arial" w:cs="Arial"/>
          <w:noProof/>
          <w:sz w:val="24"/>
          <w:szCs w:val="24"/>
        </w:rPr>
        <w:t>, 6(2), pp. 149–153. doi: 10.1080/15602210600636273.</w:t>
      </w:r>
    </w:p>
    <w:p w14:paraId="0617500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Duncan, P. </w:t>
      </w:r>
      <w:r w:rsidRPr="003E4A88">
        <w:rPr>
          <w:rFonts w:ascii="Arial" w:hAnsi="Arial" w:cs="Arial"/>
          <w:i/>
          <w:iCs/>
          <w:noProof/>
          <w:sz w:val="24"/>
          <w:szCs w:val="24"/>
        </w:rPr>
        <w:t>et al.</w:t>
      </w:r>
      <w:r w:rsidRPr="003E4A88">
        <w:rPr>
          <w:rFonts w:ascii="Arial" w:hAnsi="Arial" w:cs="Arial"/>
          <w:noProof/>
          <w:sz w:val="24"/>
          <w:szCs w:val="24"/>
        </w:rPr>
        <w:t xml:space="preserve"> (2020) ‘Barriers and enablers to collaborative working between GPs and pharmacists: A qualitative interview study’, </w:t>
      </w:r>
      <w:r w:rsidRPr="003E4A88">
        <w:rPr>
          <w:rFonts w:ascii="Arial" w:hAnsi="Arial" w:cs="Arial"/>
          <w:i/>
          <w:iCs/>
          <w:noProof/>
          <w:sz w:val="24"/>
          <w:szCs w:val="24"/>
        </w:rPr>
        <w:t>British Journal of General Practice</w:t>
      </w:r>
      <w:r w:rsidRPr="003E4A88">
        <w:rPr>
          <w:rFonts w:ascii="Arial" w:hAnsi="Arial" w:cs="Arial"/>
          <w:noProof/>
          <w:sz w:val="24"/>
          <w:szCs w:val="24"/>
        </w:rPr>
        <w:t>, 70(692), pp. E155–E163. doi: 10.3399/bjgp20X708197.</w:t>
      </w:r>
    </w:p>
    <w:p w14:paraId="4765091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i/>
          <w:iCs/>
          <w:noProof/>
          <w:sz w:val="24"/>
          <w:szCs w:val="24"/>
        </w:rPr>
        <w:t>Eastern Province, Saudi Arabia - Wikipedia</w:t>
      </w:r>
      <w:r w:rsidRPr="003E4A88">
        <w:rPr>
          <w:rFonts w:ascii="Arial" w:hAnsi="Arial" w:cs="Arial"/>
          <w:noProof/>
          <w:sz w:val="24"/>
          <w:szCs w:val="24"/>
        </w:rPr>
        <w:t xml:space="preserve"> (no date). Available at: https://en.wikipedia.org/wiki/Eastern_Province,_Saudi_Arabia#cite_note-:0-2 (Accessed: 31 May 2020).</w:t>
      </w:r>
    </w:p>
    <w:p w14:paraId="0A1A58D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Emeka, P. M.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(2020) ‘Evaluation of Counseling Practices and Patient’s Satisfaction Offered by Pharmacists for Diabetics Attending Outpatient Pharmacies in Al Ahsa’, </w:t>
      </w:r>
      <w:r w:rsidRPr="003E4A88">
        <w:rPr>
          <w:rFonts w:ascii="Arial" w:hAnsi="Arial" w:cs="Arial"/>
          <w:i/>
          <w:iCs/>
          <w:noProof/>
          <w:sz w:val="24"/>
          <w:szCs w:val="24"/>
        </w:rPr>
        <w:t>Journal of Patient Experience</w:t>
      </w:r>
      <w:r w:rsidRPr="003E4A88">
        <w:rPr>
          <w:rFonts w:ascii="Arial" w:hAnsi="Arial" w:cs="Arial"/>
          <w:noProof/>
          <w:sz w:val="24"/>
          <w:szCs w:val="24"/>
        </w:rPr>
        <w:t>, 7(3), pp. 338–345. doi: 10.1177/2374373519846945.</w:t>
      </w:r>
    </w:p>
    <w:p w14:paraId="2FCF5E17"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Fajriansyah </w:t>
      </w:r>
      <w:r w:rsidRPr="003E4A88">
        <w:rPr>
          <w:rFonts w:ascii="Arial" w:hAnsi="Arial" w:cs="Arial"/>
          <w:i/>
          <w:iCs/>
          <w:noProof/>
          <w:sz w:val="24"/>
          <w:szCs w:val="24"/>
        </w:rPr>
        <w:t>et al.</w:t>
      </w:r>
      <w:r w:rsidRPr="003E4A88">
        <w:rPr>
          <w:rFonts w:ascii="Arial" w:hAnsi="Arial" w:cs="Arial"/>
          <w:noProof/>
          <w:sz w:val="24"/>
          <w:szCs w:val="24"/>
        </w:rPr>
        <w:t xml:space="preserve"> (2020) ‘Impact of pharmacist counseling on health-related quality of life of patients with type 2 diabetes mellitus: a cluster randomized controlled study’, </w:t>
      </w:r>
      <w:r w:rsidRPr="003E4A88">
        <w:rPr>
          <w:rFonts w:ascii="Arial" w:hAnsi="Arial" w:cs="Arial"/>
          <w:i/>
          <w:iCs/>
          <w:noProof/>
          <w:sz w:val="24"/>
          <w:szCs w:val="24"/>
        </w:rPr>
        <w:t>Journal of Diabetes and Metabolic Disorders</w:t>
      </w:r>
      <w:r w:rsidRPr="003E4A88">
        <w:rPr>
          <w:rFonts w:ascii="Arial" w:hAnsi="Arial" w:cs="Arial"/>
          <w:noProof/>
          <w:sz w:val="24"/>
          <w:szCs w:val="24"/>
        </w:rPr>
        <w:t>. Journal of Diabetes &amp; Metabolic Disorders, 19(2), pp. 675–682. doi: 10.1007/s40200-020-00528-x.</w:t>
      </w:r>
    </w:p>
    <w:p w14:paraId="4159695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Fazel, M. T. </w:t>
      </w:r>
      <w:r w:rsidRPr="003E4A88">
        <w:rPr>
          <w:rFonts w:ascii="Arial" w:hAnsi="Arial" w:cs="Arial"/>
          <w:i/>
          <w:iCs/>
          <w:noProof/>
          <w:sz w:val="24"/>
          <w:szCs w:val="24"/>
        </w:rPr>
        <w:t>et al.</w:t>
      </w:r>
      <w:r w:rsidRPr="003E4A88">
        <w:rPr>
          <w:rFonts w:ascii="Arial" w:hAnsi="Arial" w:cs="Arial"/>
          <w:noProof/>
          <w:sz w:val="24"/>
          <w:szCs w:val="24"/>
        </w:rPr>
        <w:t xml:space="preserve"> (2017) ‘Impact of Diabetes Care by Pharmacists as Part of Health Care Team in Ambulatory Settings: A Systematic Review and Meta-analysis’, </w:t>
      </w:r>
      <w:r w:rsidRPr="003E4A88">
        <w:rPr>
          <w:rFonts w:ascii="Arial" w:hAnsi="Arial" w:cs="Arial"/>
          <w:i/>
          <w:iCs/>
          <w:noProof/>
          <w:sz w:val="24"/>
          <w:szCs w:val="24"/>
        </w:rPr>
        <w:t>Annals of Pharmacotherapy</w:t>
      </w:r>
      <w:r w:rsidRPr="003E4A88">
        <w:rPr>
          <w:rFonts w:ascii="Arial" w:hAnsi="Arial" w:cs="Arial"/>
          <w:noProof/>
          <w:sz w:val="24"/>
          <w:szCs w:val="24"/>
        </w:rPr>
        <w:t>. The University of Arizona, Tucson, AZ, United States: SAGE Publications Inc., 51(10), pp. 890–907. doi: 10.1177/1060028017711454.</w:t>
      </w:r>
    </w:p>
    <w:p w14:paraId="1E2B8919"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Firkus, D. </w:t>
      </w:r>
      <w:r w:rsidRPr="003E4A88">
        <w:rPr>
          <w:rFonts w:ascii="Arial" w:hAnsi="Arial" w:cs="Arial"/>
          <w:i/>
          <w:iCs/>
          <w:noProof/>
          <w:sz w:val="24"/>
          <w:szCs w:val="24"/>
        </w:rPr>
        <w:t>et al.</w:t>
      </w:r>
      <w:r w:rsidRPr="003E4A88">
        <w:rPr>
          <w:rFonts w:ascii="Arial" w:hAnsi="Arial" w:cs="Arial"/>
          <w:noProof/>
          <w:sz w:val="24"/>
          <w:szCs w:val="24"/>
        </w:rPr>
        <w:t xml:space="preserve"> (2023) ‘Evaluation of pharmacist consults within a collaborative enhanced primary care team model to improve diabetes care’, </w:t>
      </w:r>
      <w:r w:rsidRPr="003E4A88">
        <w:rPr>
          <w:rFonts w:ascii="Arial" w:hAnsi="Arial" w:cs="Arial"/>
          <w:i/>
          <w:iCs/>
          <w:noProof/>
          <w:sz w:val="24"/>
          <w:szCs w:val="24"/>
        </w:rPr>
        <w:t>PLoS ONE</w:t>
      </w:r>
      <w:r w:rsidRPr="003E4A88">
        <w:rPr>
          <w:rFonts w:ascii="Arial" w:hAnsi="Arial" w:cs="Arial"/>
          <w:noProof/>
          <w:sz w:val="24"/>
          <w:szCs w:val="24"/>
        </w:rPr>
        <w:t>, 18(1 January), pp. 1–11. doi: 10.1371/journal.pone.0280654.</w:t>
      </w:r>
    </w:p>
    <w:p w14:paraId="0737510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Gagnon, A. </w:t>
      </w:r>
      <w:r w:rsidRPr="003E4A88">
        <w:rPr>
          <w:rFonts w:ascii="Arial" w:hAnsi="Arial" w:cs="Arial"/>
          <w:i/>
          <w:iCs/>
          <w:noProof/>
          <w:sz w:val="24"/>
          <w:szCs w:val="24"/>
        </w:rPr>
        <w:t>et al.</w:t>
      </w:r>
      <w:r w:rsidRPr="003E4A88">
        <w:rPr>
          <w:rFonts w:ascii="Arial" w:hAnsi="Arial" w:cs="Arial"/>
          <w:noProof/>
          <w:sz w:val="24"/>
          <w:szCs w:val="24"/>
        </w:rPr>
        <w:t xml:space="preserve"> (2017) ‘Pharmacists Managing People with Diabetes in Primary Care: 10 Years of Experience at the Hamilton Family Health Team’, </w:t>
      </w:r>
      <w:r w:rsidRPr="003E4A88">
        <w:rPr>
          <w:rFonts w:ascii="Arial" w:hAnsi="Arial" w:cs="Arial"/>
          <w:i/>
          <w:iCs/>
          <w:noProof/>
          <w:sz w:val="24"/>
          <w:szCs w:val="24"/>
        </w:rPr>
        <w:t>Canadian Journal of Diabetes</w:t>
      </w:r>
      <w:r w:rsidRPr="003E4A88">
        <w:rPr>
          <w:rFonts w:ascii="Arial" w:hAnsi="Arial" w:cs="Arial"/>
          <w:noProof/>
          <w:sz w:val="24"/>
          <w:szCs w:val="24"/>
        </w:rPr>
        <w:t>. Elsevier Inc., 41(6), pp. 576–579. doi: 10.1016/j.jcjd.2017.08.240.</w:t>
      </w:r>
    </w:p>
    <w:p w14:paraId="702C8EA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George, J. and Zairina, E. (2016) ‘The potential role of pharmacists in chronic disease screening’, </w:t>
      </w:r>
      <w:r w:rsidRPr="003E4A88">
        <w:rPr>
          <w:rFonts w:ascii="Arial" w:hAnsi="Arial" w:cs="Arial"/>
          <w:i/>
          <w:iCs/>
          <w:noProof/>
          <w:sz w:val="24"/>
          <w:szCs w:val="24"/>
        </w:rPr>
        <w:t>International Journal of Pharmacy Practice</w:t>
      </w:r>
      <w:r w:rsidRPr="003E4A88">
        <w:rPr>
          <w:rFonts w:ascii="Arial" w:hAnsi="Arial" w:cs="Arial"/>
          <w:noProof/>
          <w:sz w:val="24"/>
          <w:szCs w:val="24"/>
        </w:rPr>
        <w:t>, 24(1), pp. 3–5. doi: 10.1111/ijpp.12246.</w:t>
      </w:r>
    </w:p>
    <w:p w14:paraId="786961F9"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Gilani, F. </w:t>
      </w:r>
      <w:r w:rsidRPr="003E4A88">
        <w:rPr>
          <w:rFonts w:ascii="Arial" w:hAnsi="Arial" w:cs="Arial"/>
          <w:i/>
          <w:iCs/>
          <w:noProof/>
          <w:sz w:val="24"/>
          <w:szCs w:val="24"/>
        </w:rPr>
        <w:t>et al.</w:t>
      </w:r>
      <w:r w:rsidRPr="003E4A88">
        <w:rPr>
          <w:rFonts w:ascii="Arial" w:hAnsi="Arial" w:cs="Arial"/>
          <w:noProof/>
          <w:sz w:val="24"/>
          <w:szCs w:val="24"/>
        </w:rPr>
        <w:t xml:space="preserve"> (2013) ‘Adding pharmacists to primary care teams increases guideline-concordant antiplatelet use in patients with type 2 diabetes: results from a randomized trial.’, </w:t>
      </w:r>
      <w:r w:rsidRPr="003E4A88">
        <w:rPr>
          <w:rFonts w:ascii="Arial" w:hAnsi="Arial" w:cs="Arial"/>
          <w:i/>
          <w:iCs/>
          <w:noProof/>
          <w:sz w:val="24"/>
          <w:szCs w:val="24"/>
        </w:rPr>
        <w:t>The Annals of pharmacotherapy</w:t>
      </w:r>
      <w:r w:rsidRPr="003E4A88">
        <w:rPr>
          <w:rFonts w:ascii="Arial" w:hAnsi="Arial" w:cs="Arial"/>
          <w:noProof/>
          <w:sz w:val="24"/>
          <w:szCs w:val="24"/>
        </w:rPr>
        <w:t>. United States, 47(1), pp. 43–48. doi: https://dx.doi.org/10.1345/aph.1R552.</w:t>
      </w:r>
    </w:p>
    <w:p w14:paraId="7DE08E68"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i/>
          <w:iCs/>
          <w:noProof/>
          <w:sz w:val="24"/>
          <w:szCs w:val="24"/>
        </w:rPr>
        <w:t>Global diabetes data report 2010 — 2045</w:t>
      </w:r>
      <w:r w:rsidRPr="003E4A88">
        <w:rPr>
          <w:rFonts w:ascii="Arial" w:hAnsi="Arial" w:cs="Arial"/>
          <w:noProof/>
          <w:sz w:val="24"/>
          <w:szCs w:val="24"/>
        </w:rPr>
        <w:t xml:space="preserve"> (no date). Available at: https://diabetesatlas.org/data/en/world/ (Accessed: 7 February 2021).</w:t>
      </w:r>
    </w:p>
    <w:p w14:paraId="2AC41CD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Guest, G., MacQueen, K. and Namey, E. (2014) ‘Introduction to Applied Thematic Analysis’, </w:t>
      </w:r>
      <w:r w:rsidRPr="003E4A88">
        <w:rPr>
          <w:rFonts w:ascii="Arial" w:hAnsi="Arial" w:cs="Arial"/>
          <w:i/>
          <w:iCs/>
          <w:noProof/>
          <w:sz w:val="24"/>
          <w:szCs w:val="24"/>
        </w:rPr>
        <w:t>Applied Thematic Analysis</w:t>
      </w:r>
      <w:r w:rsidRPr="003E4A88">
        <w:rPr>
          <w:rFonts w:ascii="Arial" w:hAnsi="Arial" w:cs="Arial"/>
          <w:noProof/>
          <w:sz w:val="24"/>
          <w:szCs w:val="24"/>
        </w:rPr>
        <w:t>, pp. 3–20. doi: 10.4135/9781483384436.n1.</w:t>
      </w:r>
    </w:p>
    <w:p w14:paraId="40938E6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Hammond, R. W.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(2003) ‘Collaborative drug therapy management by pharmacists - 2003’, </w:t>
      </w:r>
      <w:r w:rsidRPr="003E4A88">
        <w:rPr>
          <w:rFonts w:ascii="Arial" w:hAnsi="Arial" w:cs="Arial"/>
          <w:i/>
          <w:iCs/>
          <w:noProof/>
          <w:sz w:val="24"/>
          <w:szCs w:val="24"/>
        </w:rPr>
        <w:t>Pharmacotherapy</w:t>
      </w:r>
      <w:r w:rsidRPr="003E4A88">
        <w:rPr>
          <w:rFonts w:ascii="Arial" w:hAnsi="Arial" w:cs="Arial"/>
          <w:noProof/>
          <w:sz w:val="24"/>
          <w:szCs w:val="24"/>
        </w:rPr>
        <w:t>. Pharmacotherapy Publications Inc., pp. 1210–1225. doi: 10.1592/phco.23.10.1210.32752.</w:t>
      </w:r>
    </w:p>
    <w:p w14:paraId="77CB73B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Hanson, W. E. </w:t>
      </w:r>
      <w:r w:rsidRPr="003E4A88">
        <w:rPr>
          <w:rFonts w:ascii="Arial" w:hAnsi="Arial" w:cs="Arial"/>
          <w:i/>
          <w:iCs/>
          <w:noProof/>
          <w:sz w:val="24"/>
          <w:szCs w:val="24"/>
        </w:rPr>
        <w:t>et al.</w:t>
      </w:r>
      <w:r w:rsidRPr="003E4A88">
        <w:rPr>
          <w:rFonts w:ascii="Arial" w:hAnsi="Arial" w:cs="Arial"/>
          <w:noProof/>
          <w:sz w:val="24"/>
          <w:szCs w:val="24"/>
        </w:rPr>
        <w:t xml:space="preserve"> (2005) ‘Mixed methods research designs in counseling psychology’, </w:t>
      </w:r>
      <w:r w:rsidRPr="003E4A88">
        <w:rPr>
          <w:rFonts w:ascii="Arial" w:hAnsi="Arial" w:cs="Arial"/>
          <w:i/>
          <w:iCs/>
          <w:noProof/>
          <w:sz w:val="24"/>
          <w:szCs w:val="24"/>
        </w:rPr>
        <w:t>Journal of Counseling Psychology</w:t>
      </w:r>
      <w:r w:rsidRPr="003E4A88">
        <w:rPr>
          <w:rFonts w:ascii="Arial" w:hAnsi="Arial" w:cs="Arial"/>
          <w:noProof/>
          <w:sz w:val="24"/>
          <w:szCs w:val="24"/>
        </w:rPr>
        <w:t>, 52(2), pp. 224–235. doi: 10.1037/0022-0167.52.2.224.</w:t>
      </w:r>
    </w:p>
    <w:p w14:paraId="5322187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Al Haqan, A. A.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(2017) ‘Pharmacists’ Attitudes and Role in Diabetes Management in Kuwait’, </w:t>
      </w:r>
      <w:r w:rsidRPr="003E4A88">
        <w:rPr>
          <w:rFonts w:ascii="Arial" w:hAnsi="Arial" w:cs="Arial"/>
          <w:i/>
          <w:iCs/>
          <w:noProof/>
          <w:sz w:val="24"/>
          <w:szCs w:val="24"/>
        </w:rPr>
        <w:t>Medical Principles and Practice</w:t>
      </w:r>
      <w:r w:rsidRPr="003E4A88">
        <w:rPr>
          <w:rFonts w:ascii="Arial" w:hAnsi="Arial" w:cs="Arial"/>
          <w:noProof/>
          <w:sz w:val="24"/>
          <w:szCs w:val="24"/>
        </w:rPr>
        <w:t>. S. Karger AG, 26(3), pp. 273–279. doi: 10.1159/000456088.</w:t>
      </w:r>
    </w:p>
    <w:p w14:paraId="5E10FB2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Haseeb, A. and Elrggal, M. (2013) ‘Recommendations for the role of the pharmacist in Saudi Arabia’, </w:t>
      </w:r>
      <w:r w:rsidRPr="003E4A88">
        <w:rPr>
          <w:rFonts w:ascii="Arial" w:hAnsi="Arial" w:cs="Arial"/>
          <w:i/>
          <w:iCs/>
          <w:noProof/>
          <w:sz w:val="24"/>
          <w:szCs w:val="24"/>
        </w:rPr>
        <w:t>Archives of Pharmacy Practice</w:t>
      </w:r>
      <w:r w:rsidRPr="003E4A88">
        <w:rPr>
          <w:rFonts w:ascii="Arial" w:hAnsi="Arial" w:cs="Arial"/>
          <w:noProof/>
          <w:sz w:val="24"/>
          <w:szCs w:val="24"/>
        </w:rPr>
        <w:t>, 4(3), p. 138. doi: 10.4103/2045-080x.119069.</w:t>
      </w:r>
    </w:p>
    <w:p w14:paraId="4C80A97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Hassali, M. A.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(2015) ‘Literature review: Pharmacists’ interventions to improve control and management in type 2 diabetes mellitus’, </w:t>
      </w:r>
      <w:r w:rsidRPr="003E4A88">
        <w:rPr>
          <w:rFonts w:ascii="Arial" w:hAnsi="Arial" w:cs="Arial"/>
          <w:i/>
          <w:iCs/>
          <w:noProof/>
          <w:sz w:val="24"/>
          <w:szCs w:val="24"/>
        </w:rPr>
        <w:t>Alternative Therapies in Health and Medicine</w:t>
      </w:r>
      <w:r w:rsidRPr="003E4A88">
        <w:rPr>
          <w:rFonts w:ascii="Arial" w:hAnsi="Arial" w:cs="Arial"/>
          <w:noProof/>
          <w:sz w:val="24"/>
          <w:szCs w:val="24"/>
        </w:rPr>
        <w:t>, 21(1), pp. 28–35. Available at: https://www.scopus.com/inward/record.uri?eid=2-s2.0-84926126909&amp;partnerID=40&amp;md5=c588a2cc19e37538cfaaa0fa85ff3953.</w:t>
      </w:r>
    </w:p>
    <w:p w14:paraId="7EF12173"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Hayhoe, B. </w:t>
      </w:r>
      <w:r w:rsidRPr="003E4A88">
        <w:rPr>
          <w:rFonts w:ascii="Arial" w:hAnsi="Arial" w:cs="Arial"/>
          <w:i/>
          <w:iCs/>
          <w:noProof/>
          <w:sz w:val="24"/>
          <w:szCs w:val="24"/>
        </w:rPr>
        <w:t>et al.</w:t>
      </w:r>
      <w:r w:rsidRPr="003E4A88">
        <w:rPr>
          <w:rFonts w:ascii="Arial" w:hAnsi="Arial" w:cs="Arial"/>
          <w:noProof/>
          <w:sz w:val="24"/>
          <w:szCs w:val="24"/>
        </w:rPr>
        <w:t xml:space="preserve"> (2019) ‘Impact of integrating pharmacists into primary care teams on health systems indicators’: doi: 10.3399/bjgp19X705461.</w:t>
      </w:r>
    </w:p>
    <w:p w14:paraId="039D2AF9"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Heale, R. and Twycross, A. (2015) ‘Validity and reliability in quantitative studies’, </w:t>
      </w:r>
      <w:r w:rsidRPr="003E4A88">
        <w:rPr>
          <w:rFonts w:ascii="Arial" w:hAnsi="Arial" w:cs="Arial"/>
          <w:i/>
          <w:iCs/>
          <w:noProof/>
          <w:sz w:val="24"/>
          <w:szCs w:val="24"/>
        </w:rPr>
        <w:t>Evidence-Based Nursing</w:t>
      </w:r>
      <w:r w:rsidRPr="003E4A88">
        <w:rPr>
          <w:rFonts w:ascii="Arial" w:hAnsi="Arial" w:cs="Arial"/>
          <w:noProof/>
          <w:sz w:val="24"/>
          <w:szCs w:val="24"/>
        </w:rPr>
        <w:t>, 18(3), pp. 66–67. doi: 10.1136/eb-2015-102129.</w:t>
      </w:r>
    </w:p>
    <w:p w14:paraId="3F863F0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Hindi, A. M. K., Schafheutle, E. I. and Jacobs, S. (2019) ‘Community pharmacy integration within the primary care pathway for people with long-term conditions: a focus group study of patients’ , pharmacists’ and GPs’ experiences and expectations’, </w:t>
      </w:r>
      <w:r w:rsidRPr="003E4A88">
        <w:rPr>
          <w:rFonts w:ascii="Arial" w:hAnsi="Arial" w:cs="Arial"/>
          <w:i/>
          <w:iCs/>
          <w:noProof/>
          <w:sz w:val="24"/>
          <w:szCs w:val="24"/>
        </w:rPr>
        <w:t>BMC Family Practice</w:t>
      </w:r>
      <w:r w:rsidRPr="003E4A88">
        <w:rPr>
          <w:rFonts w:ascii="Arial" w:hAnsi="Arial" w:cs="Arial"/>
          <w:noProof/>
          <w:sz w:val="24"/>
          <w:szCs w:val="24"/>
        </w:rPr>
        <w:t>, 20(26). doi: 10.1186/s12875-019-0912-0.</w:t>
      </w:r>
    </w:p>
    <w:p w14:paraId="1C2D3F6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Hughes, J. </w:t>
      </w:r>
      <w:r w:rsidRPr="003E4A88">
        <w:rPr>
          <w:rFonts w:ascii="Arial" w:hAnsi="Arial" w:cs="Arial"/>
          <w:i/>
          <w:iCs/>
          <w:noProof/>
          <w:sz w:val="24"/>
          <w:szCs w:val="24"/>
        </w:rPr>
        <w:t>et al.</w:t>
      </w:r>
      <w:r w:rsidRPr="003E4A88">
        <w:rPr>
          <w:rFonts w:ascii="Arial" w:hAnsi="Arial" w:cs="Arial"/>
          <w:noProof/>
          <w:sz w:val="24"/>
          <w:szCs w:val="24"/>
        </w:rPr>
        <w:t xml:space="preserve"> (2017) ‘The role of the pharmacist in the management of type 2 diabetes: current insights and future directions’, </w:t>
      </w:r>
      <w:r w:rsidRPr="003E4A88">
        <w:rPr>
          <w:rFonts w:ascii="Arial" w:hAnsi="Arial" w:cs="Arial"/>
          <w:i/>
          <w:iCs/>
          <w:noProof/>
          <w:sz w:val="24"/>
          <w:szCs w:val="24"/>
        </w:rPr>
        <w:t>Integrated Pharmacy Research and Practice</w:t>
      </w:r>
      <w:r w:rsidRPr="003E4A88">
        <w:rPr>
          <w:rFonts w:ascii="Arial" w:hAnsi="Arial" w:cs="Arial"/>
          <w:noProof/>
          <w:sz w:val="24"/>
          <w:szCs w:val="24"/>
        </w:rPr>
        <w:t>, Volume 6, pp. 15–27. doi: 10.2147/iprp.s103783.</w:t>
      </w:r>
    </w:p>
    <w:p w14:paraId="0EE5DA97"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IDF Diabetes Atlas (2023) </w:t>
      </w:r>
      <w:r w:rsidRPr="003E4A88">
        <w:rPr>
          <w:rFonts w:ascii="Arial" w:hAnsi="Arial" w:cs="Arial"/>
          <w:i/>
          <w:iCs/>
          <w:noProof/>
          <w:sz w:val="24"/>
          <w:szCs w:val="24"/>
        </w:rPr>
        <w:t>Saudi Arabia Diabetes report 2000 — 2045</w:t>
      </w:r>
      <w:r w:rsidRPr="003E4A88">
        <w:rPr>
          <w:rFonts w:ascii="Arial" w:hAnsi="Arial" w:cs="Arial"/>
          <w:noProof/>
          <w:sz w:val="24"/>
          <w:szCs w:val="24"/>
        </w:rPr>
        <w:t xml:space="preserve">, </w:t>
      </w:r>
      <w:r w:rsidRPr="003E4A88">
        <w:rPr>
          <w:rFonts w:ascii="Arial" w:hAnsi="Arial" w:cs="Arial"/>
          <w:i/>
          <w:iCs/>
          <w:noProof/>
          <w:sz w:val="24"/>
          <w:szCs w:val="24"/>
        </w:rPr>
        <w:t>2021</w:t>
      </w:r>
      <w:r w:rsidRPr="003E4A88">
        <w:rPr>
          <w:rFonts w:ascii="Arial" w:hAnsi="Arial" w:cs="Arial"/>
          <w:noProof/>
          <w:sz w:val="24"/>
          <w:szCs w:val="24"/>
        </w:rPr>
        <w:t>. Available at: https://diabetesatlas.org/data/en/country/174/sa.html.</w:t>
      </w:r>
    </w:p>
    <w:p w14:paraId="22FF7E9E"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Internation Diabetes Federation (2015) </w:t>
      </w:r>
      <w:r w:rsidRPr="003E4A88">
        <w:rPr>
          <w:rFonts w:ascii="Arial" w:hAnsi="Arial" w:cs="Arial"/>
          <w:i/>
          <w:iCs/>
          <w:noProof/>
          <w:sz w:val="24"/>
          <w:szCs w:val="24"/>
        </w:rPr>
        <w:t>IDF Diabetes Atlas Seventh</w:t>
      </w:r>
      <w:r w:rsidRPr="003E4A88">
        <w:rPr>
          <w:rFonts w:ascii="Arial" w:hAnsi="Arial" w:cs="Arial"/>
          <w:noProof/>
          <w:sz w:val="24"/>
          <w:szCs w:val="24"/>
        </w:rPr>
        <w:t xml:space="preserve">, </w:t>
      </w:r>
      <w:r w:rsidRPr="003E4A88">
        <w:rPr>
          <w:rFonts w:ascii="Arial" w:hAnsi="Arial" w:cs="Arial"/>
          <w:i/>
          <w:iCs/>
          <w:noProof/>
          <w:sz w:val="24"/>
          <w:szCs w:val="24"/>
        </w:rPr>
        <w:t>Dunia : IDF</w:t>
      </w:r>
      <w:r w:rsidRPr="003E4A88">
        <w:rPr>
          <w:rFonts w:ascii="Arial" w:hAnsi="Arial" w:cs="Arial"/>
          <w:noProof/>
          <w:sz w:val="24"/>
          <w:szCs w:val="24"/>
        </w:rPr>
        <w:t>.</w:t>
      </w:r>
    </w:p>
    <w:p w14:paraId="3EA929DF"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Ip, E. J. </w:t>
      </w:r>
      <w:r w:rsidRPr="003E4A88">
        <w:rPr>
          <w:rFonts w:ascii="Arial" w:hAnsi="Arial" w:cs="Arial"/>
          <w:i/>
          <w:iCs/>
          <w:noProof/>
          <w:sz w:val="24"/>
          <w:szCs w:val="24"/>
        </w:rPr>
        <w:t>et al.</w:t>
      </w:r>
      <w:r w:rsidRPr="003E4A88">
        <w:rPr>
          <w:rFonts w:ascii="Arial" w:hAnsi="Arial" w:cs="Arial"/>
          <w:noProof/>
          <w:sz w:val="24"/>
          <w:szCs w:val="24"/>
        </w:rPr>
        <w:t xml:space="preserve"> (2013) ‘Enhancing diabetes care by adding a pharmacist to the primary care team.’, </w:t>
      </w:r>
      <w:r w:rsidRPr="003E4A88">
        <w:rPr>
          <w:rFonts w:ascii="Arial" w:hAnsi="Arial" w:cs="Arial"/>
          <w:i/>
          <w:iCs/>
          <w:noProof/>
          <w:sz w:val="24"/>
          <w:szCs w:val="24"/>
        </w:rPr>
        <w:t>American journal of health-system pharmacy : AJHP : official journal of the American Society of Health-System Pharmacists</w:t>
      </w:r>
      <w:r w:rsidRPr="003E4A88">
        <w:rPr>
          <w:rFonts w:ascii="Arial" w:hAnsi="Arial" w:cs="Arial"/>
          <w:noProof/>
          <w:sz w:val="24"/>
          <w:szCs w:val="24"/>
        </w:rPr>
        <w:t>, 70(10), pp. 877–886. doi: 10.2146/ajhp120238.</w:t>
      </w:r>
    </w:p>
    <w:p w14:paraId="7AB82BDF"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Jarab, A. S. (2012) ‘Randomized Controlled Trial of Clinical Pharmacy’, 18(7).</w:t>
      </w:r>
    </w:p>
    <w:p w14:paraId="0677FE6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Javaid, Z. </w:t>
      </w:r>
      <w:r w:rsidRPr="003E4A88">
        <w:rPr>
          <w:rFonts w:ascii="Arial" w:hAnsi="Arial" w:cs="Arial"/>
          <w:i/>
          <w:iCs/>
          <w:noProof/>
          <w:sz w:val="24"/>
          <w:szCs w:val="24"/>
        </w:rPr>
        <w:t>et al.</w:t>
      </w:r>
      <w:r w:rsidRPr="003E4A88">
        <w:rPr>
          <w:rFonts w:ascii="Arial" w:hAnsi="Arial" w:cs="Arial"/>
          <w:noProof/>
          <w:sz w:val="24"/>
          <w:szCs w:val="24"/>
        </w:rPr>
        <w:t xml:space="preserve"> (2019) ‘A randomized control trial of primary care- based management of type 2 diabetes by a pharmacist in Pakistan’, </w:t>
      </w:r>
      <w:r w:rsidRPr="003E4A88">
        <w:rPr>
          <w:rFonts w:ascii="Arial" w:hAnsi="Arial" w:cs="Arial"/>
          <w:i/>
          <w:iCs/>
          <w:noProof/>
          <w:sz w:val="24"/>
          <w:szCs w:val="24"/>
        </w:rPr>
        <w:t>BMC health services research</w:t>
      </w:r>
      <w:r w:rsidRPr="003E4A88">
        <w:rPr>
          <w:rFonts w:ascii="Arial" w:hAnsi="Arial" w:cs="Arial"/>
          <w:noProof/>
          <w:sz w:val="24"/>
          <w:szCs w:val="24"/>
        </w:rPr>
        <w:t>, 19(1), p. 409. Available at: https://doi.org/10.1186/ISRCTN22657497 (Accessed: 6 August 2019).</w:t>
      </w:r>
    </w:p>
    <w:p w14:paraId="44668629"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Jones, K. (2012) ‘Trustworthiness *’, 123(October), pp. 61–85.</w:t>
      </w:r>
    </w:p>
    <w:p w14:paraId="2C35B23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Jorgenson, D. </w:t>
      </w:r>
      <w:r w:rsidRPr="003E4A88">
        <w:rPr>
          <w:rFonts w:ascii="Arial" w:hAnsi="Arial" w:cs="Arial"/>
          <w:i/>
          <w:iCs/>
          <w:noProof/>
          <w:sz w:val="24"/>
          <w:szCs w:val="24"/>
        </w:rPr>
        <w:t>et al.</w:t>
      </w:r>
      <w:r w:rsidRPr="003E4A88">
        <w:rPr>
          <w:rFonts w:ascii="Arial" w:hAnsi="Arial" w:cs="Arial"/>
          <w:noProof/>
          <w:sz w:val="24"/>
          <w:szCs w:val="24"/>
        </w:rPr>
        <w:t xml:space="preserve"> (2014) ‘Integrating pharmacists into primary care teams: Barriers and facilitators’, </w:t>
      </w:r>
      <w:r w:rsidRPr="003E4A88">
        <w:rPr>
          <w:rFonts w:ascii="Arial" w:hAnsi="Arial" w:cs="Arial"/>
          <w:i/>
          <w:iCs/>
          <w:noProof/>
          <w:sz w:val="24"/>
          <w:szCs w:val="24"/>
        </w:rPr>
        <w:t>International Journal of Pharmacy Practice</w:t>
      </w:r>
      <w:r w:rsidRPr="003E4A88">
        <w:rPr>
          <w:rFonts w:ascii="Arial" w:hAnsi="Arial" w:cs="Arial"/>
          <w:noProof/>
          <w:sz w:val="24"/>
          <w:szCs w:val="24"/>
        </w:rPr>
        <w:t>, 22(4), pp. 292–299. doi: 10.1111/ijpp.12080.</w:t>
      </w:r>
    </w:p>
    <w:p w14:paraId="23025088"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Khaliq, A. A. (2012) ‘The Saudi health care system: a view from the minaret.’, </w:t>
      </w:r>
      <w:r w:rsidRPr="003E4A88">
        <w:rPr>
          <w:rFonts w:ascii="Arial" w:hAnsi="Arial" w:cs="Arial"/>
          <w:i/>
          <w:iCs/>
          <w:noProof/>
          <w:sz w:val="24"/>
          <w:szCs w:val="24"/>
        </w:rPr>
        <w:t>World health &amp; population</w:t>
      </w:r>
      <w:r w:rsidRPr="003E4A88">
        <w:rPr>
          <w:rFonts w:ascii="Arial" w:hAnsi="Arial" w:cs="Arial"/>
          <w:noProof/>
          <w:sz w:val="24"/>
          <w:szCs w:val="24"/>
        </w:rPr>
        <w:t>.</w:t>
      </w:r>
    </w:p>
    <w:p w14:paraId="2AD82A8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Khan T.M., S. C. M. (2012) ‘Attitudes of emergency department staff towards the role of clinical’, </w:t>
      </w:r>
      <w:r w:rsidRPr="003E4A88">
        <w:rPr>
          <w:rFonts w:ascii="Arial" w:hAnsi="Arial" w:cs="Arial"/>
          <w:i/>
          <w:iCs/>
          <w:noProof/>
          <w:sz w:val="24"/>
          <w:szCs w:val="24"/>
        </w:rPr>
        <w:t>Tropical Journal of Pharmaceutical Research</w:t>
      </w:r>
      <w:r w:rsidRPr="003E4A88">
        <w:rPr>
          <w:rFonts w:ascii="Arial" w:hAnsi="Arial" w:cs="Arial"/>
          <w:noProof/>
          <w:sz w:val="24"/>
          <w:szCs w:val="24"/>
        </w:rPr>
        <w:t>, 11(September 2011), pp. 477–483.</w:t>
      </w:r>
    </w:p>
    <w:p w14:paraId="41E35A13"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Khan, Y. </w:t>
      </w:r>
      <w:r w:rsidRPr="003E4A88">
        <w:rPr>
          <w:rFonts w:ascii="Arial" w:hAnsi="Arial" w:cs="Arial"/>
          <w:i/>
          <w:iCs/>
          <w:noProof/>
          <w:sz w:val="24"/>
          <w:szCs w:val="24"/>
        </w:rPr>
        <w:t>et al.</w:t>
      </w:r>
      <w:r w:rsidRPr="003E4A88">
        <w:rPr>
          <w:rFonts w:ascii="Arial" w:hAnsi="Arial" w:cs="Arial"/>
          <w:noProof/>
          <w:sz w:val="24"/>
          <w:szCs w:val="24"/>
        </w:rPr>
        <w:t xml:space="preserve"> (2019) ‘A program utilizing community pharmacists to improve diabetes education in the Kingdom of Saudi Arabia.’, </w:t>
      </w:r>
      <w:r w:rsidRPr="003E4A88">
        <w:rPr>
          <w:rFonts w:ascii="Arial" w:hAnsi="Arial" w:cs="Arial"/>
          <w:i/>
          <w:iCs/>
          <w:noProof/>
          <w:sz w:val="24"/>
          <w:szCs w:val="24"/>
        </w:rPr>
        <w:t>The International journal of pharmacy practice</w:t>
      </w:r>
      <w:r w:rsidRPr="003E4A88">
        <w:rPr>
          <w:rFonts w:ascii="Arial" w:hAnsi="Arial" w:cs="Arial"/>
          <w:noProof/>
          <w:sz w:val="24"/>
          <w:szCs w:val="24"/>
        </w:rPr>
        <w:t>. England. doi: https://dx.doi.org/10.1111/ijpp.12572.</w:t>
      </w:r>
    </w:p>
    <w:p w14:paraId="4A03621E"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Khan, Y. </w:t>
      </w:r>
      <w:r w:rsidRPr="003E4A88">
        <w:rPr>
          <w:rFonts w:ascii="Arial" w:hAnsi="Arial" w:cs="Arial"/>
          <w:i/>
          <w:iCs/>
          <w:noProof/>
          <w:sz w:val="24"/>
          <w:szCs w:val="24"/>
        </w:rPr>
        <w:t>et al.</w:t>
      </w:r>
      <w:r w:rsidRPr="003E4A88">
        <w:rPr>
          <w:rFonts w:ascii="Arial" w:hAnsi="Arial" w:cs="Arial"/>
          <w:noProof/>
          <w:sz w:val="24"/>
          <w:szCs w:val="24"/>
        </w:rPr>
        <w:t xml:space="preserve"> (2020) ‘A program utilizing community pharmacists to improve diabetes education in the Kingdom of Saudi Arabia’, </w:t>
      </w:r>
      <w:r w:rsidRPr="003E4A88">
        <w:rPr>
          <w:rFonts w:ascii="Arial" w:hAnsi="Arial" w:cs="Arial"/>
          <w:i/>
          <w:iCs/>
          <w:noProof/>
          <w:sz w:val="24"/>
          <w:szCs w:val="24"/>
        </w:rPr>
        <w:t>International Journal of Pharmacy Practice</w:t>
      </w:r>
      <w:r w:rsidRPr="003E4A88">
        <w:rPr>
          <w:rFonts w:ascii="Arial" w:hAnsi="Arial" w:cs="Arial"/>
          <w:noProof/>
          <w:sz w:val="24"/>
          <w:szCs w:val="24"/>
        </w:rPr>
        <w:t>. Wiley-Blackwell Publishing Ltd, 28(1), pp. 49–55. doi: 10.1111/ijpp.12572.</w:t>
      </w:r>
    </w:p>
    <w:p w14:paraId="7ED80338"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Khattab, E. </w:t>
      </w:r>
      <w:r w:rsidRPr="003E4A88">
        <w:rPr>
          <w:rFonts w:ascii="Arial" w:hAnsi="Arial" w:cs="Arial"/>
          <w:i/>
          <w:iCs/>
          <w:noProof/>
          <w:sz w:val="24"/>
          <w:szCs w:val="24"/>
        </w:rPr>
        <w:t>et al.</w:t>
      </w:r>
      <w:r w:rsidRPr="003E4A88">
        <w:rPr>
          <w:rFonts w:ascii="Arial" w:hAnsi="Arial" w:cs="Arial"/>
          <w:noProof/>
          <w:sz w:val="24"/>
          <w:szCs w:val="24"/>
        </w:rPr>
        <w:t xml:space="preserve"> (2019) ‘Emergency medicine in Saudi Arabia : a century of progress and a bright vision for the future’. International Journal of Emergency Medicine, 0.</w:t>
      </w:r>
    </w:p>
    <w:p w14:paraId="400071E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Khojah, H. M. J. and Abdalla, A. M. E. (2019) ‘Do Community Pharmacies in Saudi Arabia Provide Medication-Related Information to Nonbuyers? A Mysterious Shopper Survey’, </w:t>
      </w:r>
      <w:r w:rsidRPr="003E4A88">
        <w:rPr>
          <w:rFonts w:ascii="Arial" w:hAnsi="Arial" w:cs="Arial"/>
          <w:i/>
          <w:iCs/>
          <w:noProof/>
          <w:sz w:val="24"/>
          <w:szCs w:val="24"/>
        </w:rPr>
        <w:t>Pharmacology &amp;amp; Pharmacy</w:t>
      </w:r>
      <w:r w:rsidRPr="003E4A88">
        <w:rPr>
          <w:rFonts w:ascii="Arial" w:hAnsi="Arial" w:cs="Arial"/>
          <w:noProof/>
          <w:sz w:val="24"/>
          <w:szCs w:val="24"/>
        </w:rPr>
        <w:t>, 10(04), pp. 169–176. doi: 10.4236/pp.2019.104015.</w:t>
      </w:r>
    </w:p>
    <w:p w14:paraId="6C1DAC5D"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Khunti, N. </w:t>
      </w:r>
      <w:r w:rsidRPr="003E4A88">
        <w:rPr>
          <w:rFonts w:ascii="Arial" w:hAnsi="Arial" w:cs="Arial"/>
          <w:i/>
          <w:iCs/>
          <w:noProof/>
          <w:sz w:val="24"/>
          <w:szCs w:val="24"/>
        </w:rPr>
        <w:t>et al.</w:t>
      </w:r>
      <w:r w:rsidRPr="003E4A88">
        <w:rPr>
          <w:rFonts w:ascii="Arial" w:hAnsi="Arial" w:cs="Arial"/>
          <w:noProof/>
          <w:sz w:val="24"/>
          <w:szCs w:val="24"/>
        </w:rPr>
        <w:t xml:space="preserve"> (2013) ‘The role of pharmacists in the management of type 2 diabetes: A literature review’, </w:t>
      </w:r>
      <w:r w:rsidRPr="003E4A88">
        <w:rPr>
          <w:rFonts w:ascii="Arial" w:hAnsi="Arial" w:cs="Arial"/>
          <w:i/>
          <w:iCs/>
          <w:noProof/>
          <w:sz w:val="24"/>
          <w:szCs w:val="24"/>
        </w:rPr>
        <w:t>Diabetes and Primary Care</w:t>
      </w:r>
      <w:r w:rsidRPr="003E4A88">
        <w:rPr>
          <w:rFonts w:ascii="Arial" w:hAnsi="Arial" w:cs="Arial"/>
          <w:noProof/>
          <w:sz w:val="24"/>
          <w:szCs w:val="24"/>
        </w:rPr>
        <w:t>, 15(3), pp. 131–140.</w:t>
      </w:r>
    </w:p>
    <w:p w14:paraId="496A4DA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Kingdom of Saudi Arabia (2016) ‘National transformation program 2020’, </w:t>
      </w:r>
      <w:r w:rsidRPr="003E4A88">
        <w:rPr>
          <w:rFonts w:ascii="Arial" w:hAnsi="Arial" w:cs="Arial"/>
          <w:i/>
          <w:iCs/>
          <w:noProof/>
          <w:sz w:val="24"/>
          <w:szCs w:val="24"/>
        </w:rPr>
        <w:t>Saudi Vision 2030</w:t>
      </w:r>
      <w:r w:rsidRPr="003E4A88">
        <w:rPr>
          <w:rFonts w:ascii="Arial" w:hAnsi="Arial" w:cs="Arial"/>
          <w:noProof/>
          <w:sz w:val="24"/>
          <w:szCs w:val="24"/>
        </w:rPr>
        <w:t>, pp. 1–57. Available at: http://vision2030.gov.sa/sites/default/files/NTP_En.pdf%0Awww.vision2030.gov.sa.</w:t>
      </w:r>
    </w:p>
    <w:p w14:paraId="0E316F1D"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Kingdom of Saudi Arabia and Saudi Vision 2030 (2016) ‘National transformation program 2020’, </w:t>
      </w:r>
      <w:r w:rsidRPr="003E4A88">
        <w:rPr>
          <w:rFonts w:ascii="Arial" w:hAnsi="Arial" w:cs="Arial"/>
          <w:i/>
          <w:iCs/>
          <w:noProof/>
          <w:sz w:val="24"/>
          <w:szCs w:val="24"/>
        </w:rPr>
        <w:t>Saudi Vision 2030</w:t>
      </w:r>
      <w:r w:rsidRPr="003E4A88">
        <w:rPr>
          <w:rFonts w:ascii="Arial" w:hAnsi="Arial" w:cs="Arial"/>
          <w:noProof/>
          <w:sz w:val="24"/>
          <w:szCs w:val="24"/>
        </w:rPr>
        <w:t>, pp. 1–57. Available at: http://vision2030.gov.sa/sites/default/files/NTP_En.pdf%0Awww.vision2030.gov.sa.</w:t>
      </w:r>
    </w:p>
    <w:p w14:paraId="1980598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Lakey, H., Boehmer, K. and Johnson, C. (2022) ‘Impact of a Pharmacist-Led Group Diabetes Class’, </w:t>
      </w:r>
      <w:r w:rsidRPr="003E4A88">
        <w:rPr>
          <w:rFonts w:ascii="Arial" w:hAnsi="Arial" w:cs="Arial"/>
          <w:i/>
          <w:iCs/>
          <w:noProof/>
          <w:sz w:val="24"/>
          <w:szCs w:val="24"/>
        </w:rPr>
        <w:t>Journal of Pharmacy Practice</w:t>
      </w:r>
      <w:r w:rsidRPr="003E4A88">
        <w:rPr>
          <w:rFonts w:ascii="Arial" w:hAnsi="Arial" w:cs="Arial"/>
          <w:noProof/>
          <w:sz w:val="24"/>
          <w:szCs w:val="24"/>
        </w:rPr>
        <w:t>, 35(1), pp. 54–56. doi: 10.1177/0897190020948678.</w:t>
      </w:r>
    </w:p>
    <w:p w14:paraId="6BF7F133"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LaMarr, B. </w:t>
      </w:r>
      <w:r w:rsidRPr="003E4A88">
        <w:rPr>
          <w:rFonts w:ascii="Arial" w:hAnsi="Arial" w:cs="Arial"/>
          <w:i/>
          <w:iCs/>
          <w:noProof/>
          <w:sz w:val="24"/>
          <w:szCs w:val="24"/>
        </w:rPr>
        <w:t>et al.</w:t>
      </w:r>
      <w:r w:rsidRPr="003E4A88">
        <w:rPr>
          <w:rFonts w:ascii="Arial" w:hAnsi="Arial" w:cs="Arial"/>
          <w:noProof/>
          <w:sz w:val="24"/>
          <w:szCs w:val="24"/>
        </w:rPr>
        <w:t xml:space="preserve"> (2010) ‘Influence of pharmacist intervention on prescribing of angiotensin- converting-enzyme inhibitors, angiotensin II-receptor blockers, and aspirin for diabetic patients’, </w:t>
      </w:r>
      <w:r w:rsidRPr="003E4A88">
        <w:rPr>
          <w:rFonts w:ascii="Arial" w:hAnsi="Arial" w:cs="Arial"/>
          <w:i/>
          <w:iCs/>
          <w:noProof/>
          <w:sz w:val="24"/>
          <w:szCs w:val="24"/>
        </w:rPr>
        <w:t>American Journal of Health-System Pharmacy</w:t>
      </w:r>
      <w:r w:rsidRPr="003E4A88">
        <w:rPr>
          <w:rFonts w:ascii="Arial" w:hAnsi="Arial" w:cs="Arial"/>
          <w:noProof/>
          <w:sz w:val="24"/>
          <w:szCs w:val="24"/>
        </w:rPr>
        <w:t>, 67(4), pp. 290–294. doi: 10.2146/ajhp090009.</w:t>
      </w:r>
    </w:p>
    <w:p w14:paraId="21ED2B37"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Lincoln, Y. S. and Guba, E. G. (1985) </w:t>
      </w:r>
      <w:r w:rsidRPr="003E4A88">
        <w:rPr>
          <w:rFonts w:ascii="Arial" w:hAnsi="Arial" w:cs="Arial"/>
          <w:i/>
          <w:iCs/>
          <w:noProof/>
          <w:sz w:val="24"/>
          <w:szCs w:val="24"/>
        </w:rPr>
        <w:t>Naturalistic inquiry</w:t>
      </w:r>
      <w:r w:rsidRPr="003E4A88">
        <w:rPr>
          <w:rFonts w:ascii="Arial" w:hAnsi="Arial" w:cs="Arial"/>
          <w:noProof/>
          <w:sz w:val="24"/>
          <w:szCs w:val="24"/>
        </w:rPr>
        <w:t>. Edited by E. G. Guba. Beverly Hills, Calif. : Beverly Hills, Calif. .</w:t>
      </w:r>
    </w:p>
    <w:p w14:paraId="229F8FD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Lingawi, S. </w:t>
      </w:r>
      <w:r w:rsidRPr="003E4A88">
        <w:rPr>
          <w:rFonts w:ascii="Arial" w:hAnsi="Arial" w:cs="Arial"/>
          <w:i/>
          <w:iCs/>
          <w:noProof/>
          <w:sz w:val="24"/>
          <w:szCs w:val="24"/>
        </w:rPr>
        <w:t>et al.</w:t>
      </w:r>
      <w:r w:rsidRPr="003E4A88">
        <w:rPr>
          <w:rFonts w:ascii="Arial" w:hAnsi="Arial" w:cs="Arial"/>
          <w:noProof/>
          <w:sz w:val="24"/>
          <w:szCs w:val="24"/>
        </w:rPr>
        <w:t xml:space="preserve"> (2014) </w:t>
      </w:r>
      <w:r w:rsidRPr="003E4A88">
        <w:rPr>
          <w:rFonts w:ascii="Arial" w:hAnsi="Arial" w:cs="Arial"/>
          <w:i/>
          <w:iCs/>
          <w:noProof/>
          <w:sz w:val="24"/>
          <w:szCs w:val="24"/>
        </w:rPr>
        <w:t>Healthcare in Saudi Arabia Increasing capacity, improving quality?</w:t>
      </w:r>
      <w:r w:rsidRPr="003E4A88">
        <w:rPr>
          <w:rFonts w:ascii="Arial" w:hAnsi="Arial" w:cs="Arial"/>
          <w:noProof/>
          <w:sz w:val="24"/>
          <w:szCs w:val="24"/>
        </w:rPr>
        <w:t xml:space="preserve">, </w:t>
      </w:r>
      <w:r w:rsidRPr="003E4A88">
        <w:rPr>
          <w:rFonts w:ascii="Arial" w:hAnsi="Arial" w:cs="Arial"/>
          <w:i/>
          <w:iCs/>
          <w:noProof/>
          <w:sz w:val="24"/>
          <w:szCs w:val="24"/>
        </w:rPr>
        <w:t>The economist</w:t>
      </w:r>
      <w:r w:rsidRPr="003E4A88">
        <w:rPr>
          <w:rFonts w:ascii="Arial" w:hAnsi="Arial" w:cs="Arial"/>
          <w:noProof/>
          <w:sz w:val="24"/>
          <w:szCs w:val="24"/>
        </w:rPr>
        <w:t>. doi: 10.1017/CBO9781107415324.004.</w:t>
      </w:r>
    </w:p>
    <w:p w14:paraId="5E5EAB35"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Litten, K. </w:t>
      </w:r>
      <w:r w:rsidRPr="003E4A88">
        <w:rPr>
          <w:rFonts w:ascii="Arial" w:hAnsi="Arial" w:cs="Arial"/>
          <w:i/>
          <w:iCs/>
          <w:noProof/>
          <w:sz w:val="24"/>
          <w:szCs w:val="24"/>
        </w:rPr>
        <w:t>et al.</w:t>
      </w:r>
      <w:r w:rsidRPr="003E4A88">
        <w:rPr>
          <w:rFonts w:ascii="Arial" w:hAnsi="Arial" w:cs="Arial"/>
          <w:noProof/>
          <w:sz w:val="24"/>
          <w:szCs w:val="24"/>
        </w:rPr>
        <w:t xml:space="preserve"> (2023) ‘Part 2: Assessment of a virtual vs. onsite interview experience from the interviewer perspective’, </w:t>
      </w:r>
      <w:r w:rsidRPr="003E4A88">
        <w:rPr>
          <w:rFonts w:ascii="Arial" w:hAnsi="Arial" w:cs="Arial"/>
          <w:i/>
          <w:iCs/>
          <w:noProof/>
          <w:sz w:val="24"/>
          <w:szCs w:val="24"/>
        </w:rPr>
        <w:t>Currents in Pharmacy Teaching and Learning</w:t>
      </w:r>
      <w:r w:rsidRPr="003E4A88">
        <w:rPr>
          <w:rFonts w:ascii="Arial" w:hAnsi="Arial" w:cs="Arial"/>
          <w:noProof/>
          <w:sz w:val="24"/>
          <w:szCs w:val="24"/>
        </w:rPr>
        <w:t>. Elsevier Inc., 15(1), pp. 26–33. doi: 10.1016/j.cptl.2023.02.004.</w:t>
      </w:r>
    </w:p>
    <w:p w14:paraId="70DB0A9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Long, K. M., McDermott, F. and Meadows, G. N. (2018) ‘Being pragmatic about healthcare complexity: Our experiences applying complexity theory and pragmatism to health services research’, </w:t>
      </w:r>
      <w:r w:rsidRPr="003E4A88">
        <w:rPr>
          <w:rFonts w:ascii="Arial" w:hAnsi="Arial" w:cs="Arial"/>
          <w:i/>
          <w:iCs/>
          <w:noProof/>
          <w:sz w:val="24"/>
          <w:szCs w:val="24"/>
        </w:rPr>
        <w:t>BMC Medicine</w:t>
      </w:r>
      <w:r w:rsidRPr="003E4A88">
        <w:rPr>
          <w:rFonts w:ascii="Arial" w:hAnsi="Arial" w:cs="Arial"/>
          <w:noProof/>
          <w:sz w:val="24"/>
          <w:szCs w:val="24"/>
        </w:rPr>
        <w:t>. BMC Medicine, 16(1), pp. 1–9. doi: 10.1186/s12916-018-1087-6.</w:t>
      </w:r>
    </w:p>
    <w:p w14:paraId="1E32F44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Losada-Camacho, M. </w:t>
      </w:r>
      <w:r w:rsidRPr="003E4A88">
        <w:rPr>
          <w:rFonts w:ascii="Arial" w:hAnsi="Arial" w:cs="Arial"/>
          <w:i/>
          <w:iCs/>
          <w:noProof/>
          <w:sz w:val="24"/>
          <w:szCs w:val="24"/>
        </w:rPr>
        <w:t>et al.</w:t>
      </w:r>
      <w:r w:rsidRPr="003E4A88">
        <w:rPr>
          <w:rFonts w:ascii="Arial" w:hAnsi="Arial" w:cs="Arial"/>
          <w:noProof/>
          <w:sz w:val="24"/>
          <w:szCs w:val="24"/>
        </w:rPr>
        <w:t xml:space="preserve"> (2014) ‘Impact of a pharmaceutical care programme on health-related quality of life among women with epilepsy: A randomised controlled trial (IPHIWWE study)’, </w:t>
      </w:r>
      <w:r w:rsidRPr="003E4A88">
        <w:rPr>
          <w:rFonts w:ascii="Arial" w:hAnsi="Arial" w:cs="Arial"/>
          <w:i/>
          <w:iCs/>
          <w:noProof/>
          <w:sz w:val="24"/>
          <w:szCs w:val="24"/>
        </w:rPr>
        <w:t>Health and Quality of Life Outcomes</w:t>
      </w:r>
      <w:r w:rsidRPr="003E4A88">
        <w:rPr>
          <w:rFonts w:ascii="Arial" w:hAnsi="Arial" w:cs="Arial"/>
          <w:noProof/>
          <w:sz w:val="24"/>
          <w:szCs w:val="24"/>
        </w:rPr>
        <w:t>. doi: 10.1186/s12955-014-0162-8.</w:t>
      </w:r>
    </w:p>
    <w:p w14:paraId="23D1964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Mackenzie, N. and Knipe, S. (2006) ‘Research dilemmas: Paradigms, methods and methodology’, </w:t>
      </w:r>
      <w:r w:rsidRPr="003E4A88">
        <w:rPr>
          <w:rFonts w:ascii="Arial" w:hAnsi="Arial" w:cs="Arial"/>
          <w:i/>
          <w:iCs/>
          <w:noProof/>
          <w:sz w:val="24"/>
          <w:szCs w:val="24"/>
        </w:rPr>
        <w:t>Issues in Educational Research</w:t>
      </w:r>
      <w:r w:rsidRPr="003E4A88">
        <w:rPr>
          <w:rFonts w:ascii="Arial" w:hAnsi="Arial" w:cs="Arial"/>
          <w:noProof/>
          <w:sz w:val="24"/>
          <w:szCs w:val="24"/>
        </w:rPr>
        <w:t>, 16(2), pp. 1–13.</w:t>
      </w:r>
    </w:p>
    <w:p w14:paraId="3A7E8612" w14:textId="77777777" w:rsidR="003E4A88" w:rsidRPr="00BD7856" w:rsidRDefault="003E4A88" w:rsidP="003E4A88">
      <w:pPr>
        <w:widowControl w:val="0"/>
        <w:autoSpaceDE w:val="0"/>
        <w:autoSpaceDN w:val="0"/>
        <w:adjustRightInd w:val="0"/>
        <w:spacing w:line="240" w:lineRule="auto"/>
        <w:rPr>
          <w:rFonts w:ascii="Arial" w:hAnsi="Arial" w:cs="Arial"/>
          <w:noProof/>
          <w:sz w:val="24"/>
          <w:szCs w:val="24"/>
          <w:lang w:val="nl-NL"/>
        </w:rPr>
      </w:pPr>
      <w:r w:rsidRPr="00BD7856">
        <w:rPr>
          <w:rFonts w:ascii="Arial" w:hAnsi="Arial" w:cs="Arial"/>
          <w:noProof/>
          <w:sz w:val="24"/>
          <w:szCs w:val="24"/>
          <w:lang w:val="nl-NL"/>
        </w:rPr>
        <w:t xml:space="preserve">Mahalli, A. A. El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(2012) ‘WHO/INRUD patient care and facility-specific drug use indicators at primary health care centres in Eastern province, Saudi Arabia </w:t>
      </w:r>
      <w:dir w:val="rtl">
        <w:r w:rsidRPr="003E4A88">
          <w:rPr>
            <w:rFonts w:ascii="Arial" w:hAnsi="Arial" w:cs="Arial"/>
            <w:noProof/>
            <w:sz w:val="24"/>
            <w:szCs w:val="24"/>
            <w:rtl/>
          </w:rPr>
          <w:t>يف</w:t>
        </w:r>
        <w:r w:rsidRPr="003E4A88">
          <w:rPr>
            <w:rFonts w:ascii="Arial" w:hAnsi="Arial" w:cs="Arial"/>
            <w:noProof/>
            <w:sz w:val="24"/>
            <w:szCs w:val="24"/>
            <w:rtl/>
          </w:rPr>
          <w:t xml:space="preserve">‬ </w:t>
        </w:r>
        <w:dir w:val="rtl">
          <w:r w:rsidRPr="003E4A88">
            <w:rPr>
              <w:rFonts w:ascii="Arial" w:hAnsi="Arial" w:cs="Arial"/>
              <w:noProof/>
              <w:sz w:val="24"/>
              <w:szCs w:val="24"/>
              <w:rtl/>
            </w:rPr>
            <w:t>املرىض</w:t>
          </w:r>
          <w:r w:rsidRPr="003E4A88">
            <w:rPr>
              <w:rFonts w:ascii="Arial" w:hAnsi="Arial" w:cs="Arial"/>
              <w:noProof/>
              <w:sz w:val="24"/>
              <w:szCs w:val="24"/>
              <w:rtl/>
            </w:rPr>
            <w:t xml:space="preserve">‬ </w:t>
          </w:r>
          <w:dir w:val="rtl">
            <w:r w:rsidRPr="003E4A88">
              <w:rPr>
                <w:rFonts w:ascii="Arial" w:hAnsi="Arial" w:cs="Arial"/>
                <w:noProof/>
                <w:sz w:val="24"/>
                <w:szCs w:val="24"/>
                <w:rtl/>
              </w:rPr>
              <w:t>رعاية</w:t>
            </w:r>
            <w:r w:rsidRPr="003E4A88">
              <w:rPr>
                <w:rFonts w:ascii="Arial" w:hAnsi="Arial" w:cs="Arial"/>
                <w:noProof/>
                <w:sz w:val="24"/>
                <w:szCs w:val="24"/>
                <w:rtl/>
              </w:rPr>
              <w:t xml:space="preserve">‬ </w:t>
            </w:r>
            <w:dir w:val="rtl">
              <w:r w:rsidRPr="003E4A88">
                <w:rPr>
                  <w:rFonts w:ascii="Arial" w:hAnsi="Arial" w:cs="Arial"/>
                  <w:noProof/>
                  <w:sz w:val="24"/>
                  <w:szCs w:val="24"/>
                  <w:rtl/>
                </w:rPr>
                <w:t>أجل</w:t>
              </w:r>
              <w:r w:rsidRPr="003E4A88">
                <w:rPr>
                  <w:rFonts w:ascii="Arial" w:hAnsi="Arial" w:cs="Arial"/>
                  <w:noProof/>
                  <w:sz w:val="24"/>
                  <w:szCs w:val="24"/>
                  <w:rtl/>
                </w:rPr>
                <w:t xml:space="preserve">‬ </w:t>
              </w:r>
              <w:dir w:val="rtl">
                <w:r w:rsidRPr="003E4A88">
                  <w:rPr>
                    <w:rFonts w:ascii="Arial" w:hAnsi="Arial" w:cs="Arial"/>
                    <w:noProof/>
                    <w:sz w:val="24"/>
                    <w:szCs w:val="24"/>
                    <w:rtl/>
                  </w:rPr>
                  <w:t>من</w:t>
                </w:r>
                <w:r w:rsidRPr="003E4A88">
                  <w:rPr>
                    <w:rFonts w:ascii="Arial" w:hAnsi="Arial" w:cs="Arial"/>
                    <w:noProof/>
                    <w:sz w:val="24"/>
                    <w:szCs w:val="24"/>
                    <w:rtl/>
                  </w:rPr>
                  <w:t xml:space="preserve">‬ </w:t>
                </w:r>
                <w:dir w:val="rtl">
                  <w:r w:rsidRPr="003E4A88">
                    <w:rPr>
                      <w:rFonts w:ascii="Arial" w:hAnsi="Arial" w:cs="Arial"/>
                      <w:noProof/>
                      <w:sz w:val="24"/>
                      <w:szCs w:val="24"/>
                      <w:rtl/>
                    </w:rPr>
                    <w:t>العاملية</w:t>
                  </w:r>
                  <w:r w:rsidRPr="003E4A88">
                    <w:rPr>
                      <w:rFonts w:ascii="Arial" w:hAnsi="Arial" w:cs="Arial"/>
                      <w:noProof/>
                      <w:sz w:val="24"/>
                      <w:szCs w:val="24"/>
                      <w:rtl/>
                    </w:rPr>
                    <w:t xml:space="preserve">‬ </w:t>
                  </w:r>
                  <w:dir w:val="rtl">
                    <w:r w:rsidRPr="003E4A88">
                      <w:rPr>
                        <w:rFonts w:ascii="Arial" w:hAnsi="Arial" w:cs="Arial"/>
                        <w:noProof/>
                        <w:sz w:val="24"/>
                        <w:szCs w:val="24"/>
                        <w:rtl/>
                      </w:rPr>
                      <w:t>الصحة</w:t>
                    </w:r>
                    <w:r w:rsidRPr="003E4A88">
                      <w:rPr>
                        <w:rFonts w:ascii="Arial" w:hAnsi="Arial" w:cs="Arial"/>
                        <w:noProof/>
                        <w:sz w:val="24"/>
                        <w:szCs w:val="24"/>
                        <w:rtl/>
                      </w:rPr>
                      <w:t xml:space="preserve">‬ </w:t>
                    </w:r>
                    <w:dir w:val="rtl">
                      <w:r w:rsidRPr="003E4A88">
                        <w:rPr>
                          <w:rFonts w:ascii="Arial" w:hAnsi="Arial" w:cs="Arial"/>
                          <w:noProof/>
                          <w:sz w:val="24"/>
                          <w:szCs w:val="24"/>
                          <w:rtl/>
                        </w:rPr>
                        <w:t>لألدوية/منظمة</w:t>
                      </w:r>
                      <w:r w:rsidRPr="003E4A88">
                        <w:rPr>
                          <w:rFonts w:ascii="Arial" w:hAnsi="Arial" w:cs="Arial"/>
                          <w:noProof/>
                          <w:sz w:val="24"/>
                          <w:szCs w:val="24"/>
                          <w:rtl/>
                        </w:rPr>
                        <w:t xml:space="preserve">‬ </w:t>
                      </w:r>
                      <w:dir w:val="rtl">
                        <w:r w:rsidRPr="003E4A88">
                          <w:rPr>
                            <w:rFonts w:ascii="Arial" w:hAnsi="Arial" w:cs="Arial"/>
                            <w:noProof/>
                            <w:sz w:val="24"/>
                            <w:szCs w:val="24"/>
                            <w:rtl/>
                          </w:rPr>
                          <w:t>الرشيد</w:t>
                        </w:r>
                        <w:r w:rsidRPr="003E4A88">
                          <w:rPr>
                            <w:rFonts w:ascii="Arial" w:hAnsi="Arial" w:cs="Arial"/>
                            <w:noProof/>
                            <w:sz w:val="24"/>
                            <w:szCs w:val="24"/>
                            <w:rtl/>
                          </w:rPr>
                          <w:t xml:space="preserve">‬ </w:t>
                        </w:r>
                        <w:dir w:val="rtl">
                          <w:r w:rsidRPr="003E4A88">
                            <w:rPr>
                              <w:rFonts w:ascii="Arial" w:hAnsi="Arial" w:cs="Arial"/>
                              <w:noProof/>
                              <w:sz w:val="24"/>
                              <w:szCs w:val="24"/>
                              <w:rtl/>
                            </w:rPr>
                            <w:t>لالستخدام</w:t>
                          </w:r>
                          <w:r w:rsidRPr="003E4A88">
                            <w:rPr>
                              <w:rFonts w:ascii="Arial" w:hAnsi="Arial" w:cs="Arial"/>
                              <w:noProof/>
                              <w:sz w:val="24"/>
                              <w:szCs w:val="24"/>
                              <w:rtl/>
                            </w:rPr>
                            <w:t xml:space="preserve">‬ </w:t>
                          </w:r>
                          <w:dir w:val="rtl">
                            <w:r w:rsidRPr="003E4A88">
                              <w:rPr>
                                <w:rFonts w:ascii="Arial" w:hAnsi="Arial" w:cs="Arial"/>
                                <w:noProof/>
                                <w:sz w:val="24"/>
                                <w:szCs w:val="24"/>
                                <w:rtl/>
                              </w:rPr>
                              <w:t>الدولية</w:t>
                            </w:r>
                            <w:r w:rsidRPr="003E4A88">
                              <w:rPr>
                                <w:rFonts w:ascii="Arial" w:hAnsi="Arial" w:cs="Arial"/>
                                <w:noProof/>
                                <w:sz w:val="24"/>
                                <w:szCs w:val="24"/>
                                <w:rtl/>
                              </w:rPr>
                              <w:t xml:space="preserve">‬ </w:t>
                            </w:r>
                            <w:dir w:val="rtl">
                              <w:r w:rsidRPr="003E4A88">
                                <w:rPr>
                                  <w:rFonts w:ascii="Arial" w:hAnsi="Arial" w:cs="Arial"/>
                                  <w:noProof/>
                                  <w:sz w:val="24"/>
                                  <w:szCs w:val="24"/>
                                  <w:rtl/>
                                </w:rPr>
                                <w:t>الشبكة</w:t>
                              </w:r>
                              <w:r w:rsidRPr="003E4A88">
                                <w:rPr>
                                  <w:rFonts w:ascii="Arial" w:hAnsi="Arial" w:cs="Arial"/>
                                  <w:noProof/>
                                  <w:sz w:val="24"/>
                                  <w:szCs w:val="24"/>
                                  <w:rtl/>
                                </w:rPr>
                                <w:t xml:space="preserve">‬ </w:t>
                              </w:r>
                              <w:dir w:val="rtl">
                                <w:r w:rsidRPr="003E4A88">
                                  <w:rPr>
                                    <w:rFonts w:ascii="Arial" w:hAnsi="Arial" w:cs="Arial"/>
                                    <w:noProof/>
                                    <w:sz w:val="24"/>
                                    <w:szCs w:val="24"/>
                                    <w:rtl/>
                                  </w:rPr>
                                  <w:t>ملؤرشات</w:t>
                                </w:r>
                                <w:r w:rsidRPr="003E4A88">
                                  <w:rPr>
                                    <w:rFonts w:ascii="Arial" w:hAnsi="Arial" w:cs="Arial"/>
                                    <w:noProof/>
                                    <w:sz w:val="24"/>
                                    <w:szCs w:val="24"/>
                                    <w:rtl/>
                                  </w:rPr>
                                  <w:t xml:space="preserve">‬ ً </w:t>
                                </w:r>
                                <w:dir w:val="rtl">
                                  <w:r w:rsidRPr="003E4A88">
                                    <w:rPr>
                                      <w:rFonts w:ascii="Arial" w:hAnsi="Arial" w:cs="Arial"/>
                                      <w:noProof/>
                                      <w:sz w:val="24"/>
                                      <w:szCs w:val="24"/>
                                      <w:rtl/>
                                    </w:rPr>
                                    <w:t>وفقا’, 18(11).</w:t>
                                  </w:r>
                                  <w:r w:rsidRPr="00BD7856">
                                    <w:rPr>
                                      <w:lang w:val="nl-NL"/>
                                    </w:rPr>
                                    <w:t>‬</w:t>
                                  </w:r>
                                  <w:r w:rsidRPr="00BD7856">
                                    <w:rPr>
                                      <w:lang w:val="nl-NL"/>
                                    </w:rPr>
                                    <w:t>‬</w:t>
                                  </w:r>
                                  <w:r w:rsidRPr="00BD7856">
                                    <w:rPr>
                                      <w:lang w:val="nl-NL"/>
                                    </w:rPr>
                                    <w:t>‬</w:t>
                                  </w:r>
                                  <w:r w:rsidRPr="00BD7856">
                                    <w:rPr>
                                      <w:lang w:val="nl-NL"/>
                                    </w:rPr>
                                    <w:t>‬</w:t>
                                  </w:r>
                                  <w:r w:rsidRPr="00BD7856">
                                    <w:rPr>
                                      <w:lang w:val="nl-NL"/>
                                    </w:rPr>
                                    <w:t>‬</w:t>
                                  </w:r>
                                  <w:r w:rsidRPr="00BD7856">
                                    <w:rPr>
                                      <w:lang w:val="nl-NL"/>
                                    </w:rPr>
                                    <w:t>‬</w:t>
                                  </w:r>
                                  <w:r w:rsidRPr="00BD7856">
                                    <w:rPr>
                                      <w:lang w:val="nl-NL"/>
                                    </w:rPr>
                                    <w:t>‬</w:t>
                                  </w:r>
                                  <w:r w:rsidRPr="00BD7856">
                                    <w:rPr>
                                      <w:lang w:val="nl-NL"/>
                                    </w:rPr>
                                    <w:t>‬</w:t>
                                  </w:r>
                                  <w:r w:rsidRPr="00BD7856">
                                    <w:rPr>
                                      <w:lang w:val="nl-NL"/>
                                    </w:rPr>
                                    <w:t>‬</w:t>
                                  </w:r>
                                  <w:r w:rsidRPr="00BD7856">
                                    <w:rPr>
                                      <w:lang w:val="nl-NL"/>
                                    </w:rPr>
                                    <w:t>‬</w:t>
                                  </w:r>
                                  <w:r w:rsidRPr="00BD7856">
                                    <w:rPr>
                                      <w:lang w:val="nl-NL"/>
                                    </w:rPr>
                                    <w:t>‬</w:t>
                                  </w:r>
                                  <w:r w:rsidRPr="00BD7856">
                                    <w:rPr>
                                      <w:lang w:val="nl-NL"/>
                                    </w:rPr>
                                    <w:t>‬</w:t>
                                  </w:r>
                                  <w:r w:rsidRPr="00BD7856">
                                    <w:rPr>
                                      <w:lang w:val="nl-NL"/>
                                    </w:rPr>
                                    <w:t>‬</w:t>
                                  </w:r>
                                  <w:r w:rsidRPr="00BD7856">
                                    <w:rPr>
                                      <w:lang w:val="nl-NL"/>
                                    </w:rPr>
                                    <w:t>‬</w:t>
                                  </w:r>
                                  <w:r w:rsidR="00000000" w:rsidRPr="00BD7856">
                                    <w:rPr>
                                      <w:lang w:val="nl-NL"/>
                                    </w:rPr>
                                    <w:t>‬</w:t>
                                  </w:r>
                                  <w:r w:rsidR="00000000" w:rsidRPr="00BD7856">
                                    <w:rPr>
                                      <w:lang w:val="nl-NL"/>
                                    </w:rPr>
                                    <w:t>‬</w:t>
                                  </w:r>
                                  <w:r w:rsidR="00000000" w:rsidRPr="00BD7856">
                                    <w:rPr>
                                      <w:lang w:val="nl-NL"/>
                                    </w:rPr>
                                    <w:t>‬</w:t>
                                  </w:r>
                                  <w:r w:rsidR="00000000" w:rsidRPr="00BD7856">
                                    <w:rPr>
                                      <w:lang w:val="nl-NL"/>
                                    </w:rPr>
                                    <w:t>‬</w:t>
                                  </w:r>
                                  <w:r w:rsidR="00000000" w:rsidRPr="00BD7856">
                                    <w:rPr>
                                      <w:lang w:val="nl-NL"/>
                                    </w:rPr>
                                    <w:t>‬</w:t>
                                  </w:r>
                                  <w:r w:rsidR="00000000" w:rsidRPr="00BD7856">
                                    <w:rPr>
                                      <w:lang w:val="nl-NL"/>
                                    </w:rPr>
                                    <w:t>‬</w:t>
                                  </w:r>
                                  <w:r w:rsidR="00000000" w:rsidRPr="00BD7856">
                                    <w:rPr>
                                      <w:lang w:val="nl-NL"/>
                                    </w:rPr>
                                    <w:t>‬</w:t>
                                  </w:r>
                                  <w:r w:rsidR="00000000" w:rsidRPr="00BD7856">
                                    <w:rPr>
                                      <w:lang w:val="nl-NL"/>
                                    </w:rPr>
                                    <w:t>‬</w:t>
                                  </w:r>
                                  <w:r w:rsidR="00000000" w:rsidRPr="00BD7856">
                                    <w:rPr>
                                      <w:lang w:val="nl-NL"/>
                                    </w:rPr>
                                    <w:t>‬</w:t>
                                  </w:r>
                                  <w:r w:rsidR="00000000" w:rsidRPr="00BD7856">
                                    <w:rPr>
                                      <w:lang w:val="nl-NL"/>
                                    </w:rPr>
                                    <w:t>‬</w:t>
                                  </w:r>
                                  <w:r w:rsidR="00000000" w:rsidRPr="00BD7856">
                                    <w:rPr>
                                      <w:lang w:val="nl-NL"/>
                                    </w:rPr>
                                    <w:t>‬</w:t>
                                  </w:r>
                                  <w:r w:rsidR="00000000" w:rsidRPr="00BD7856">
                                    <w:rPr>
                                      <w:lang w:val="nl-NL"/>
                                    </w:rPr>
                                    <w:t>‬</w:t>
                                  </w:r>
                                  <w:r w:rsidR="00000000" w:rsidRPr="00BD7856">
                                    <w:rPr>
                                      <w:lang w:val="nl-NL"/>
                                    </w:rPr>
                                    <w:t>‬</w:t>
                                  </w:r>
                                  <w:r w:rsidR="00000000" w:rsidRPr="00BD7856">
                                    <w:rPr>
                                      <w:lang w:val="nl-NL"/>
                                    </w:rPr>
                                    <w:t>‬</w:t>
                                  </w:r>
                                </w:dir>
                              </w:dir>
                            </w:dir>
                          </w:dir>
                        </w:dir>
                      </w:dir>
                    </w:dir>
                  </w:dir>
                </w:dir>
              </w:dir>
            </w:dir>
          </w:dir>
        </w:dir>
      </w:dir>
    </w:p>
    <w:p w14:paraId="22EA327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Makeen, H. A. (2017) ‘Clinical pharmacists as medication therapy experts in diabetic clinics in Saudi Arabia – Not just a perception but a need’, </w:t>
      </w:r>
      <w:r w:rsidRPr="003E4A88">
        <w:rPr>
          <w:rFonts w:ascii="Arial" w:hAnsi="Arial" w:cs="Arial"/>
          <w:i/>
          <w:iCs/>
          <w:noProof/>
          <w:sz w:val="24"/>
          <w:szCs w:val="24"/>
        </w:rPr>
        <w:t>Saudi Pharmaceutical Journal</w:t>
      </w:r>
      <w:r w:rsidRPr="003E4A88">
        <w:rPr>
          <w:rFonts w:ascii="Arial" w:hAnsi="Arial" w:cs="Arial"/>
          <w:noProof/>
          <w:sz w:val="24"/>
          <w:szCs w:val="24"/>
        </w:rPr>
        <w:t>, 25(6), pp. 939–943. doi: 10.1016/j.jsps.2017.01.003.</w:t>
      </w:r>
    </w:p>
    <w:p w14:paraId="0D9DBA9F"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Melo Aguiar, P.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(2016) ‘Investigating sources of heterogeneity in randomized controlled trials of the effects of pharmacist interventions on glycemic control in type 2 diabetic patients: A systematic review and meta-analysis’, </w:t>
      </w:r>
      <w:r w:rsidRPr="003E4A88">
        <w:rPr>
          <w:rFonts w:ascii="Arial" w:hAnsi="Arial" w:cs="Arial"/>
          <w:i/>
          <w:iCs/>
          <w:noProof/>
          <w:sz w:val="24"/>
          <w:szCs w:val="24"/>
        </w:rPr>
        <w:t>PLoS ONE</w:t>
      </w:r>
      <w:r w:rsidRPr="003E4A88">
        <w:rPr>
          <w:rFonts w:ascii="Arial" w:hAnsi="Arial" w:cs="Arial"/>
          <w:noProof/>
          <w:sz w:val="24"/>
          <w:szCs w:val="24"/>
        </w:rPr>
        <w:t>, 11(3), p. 150999. doi: 10.1371/journal.pone.0150999.</w:t>
      </w:r>
    </w:p>
    <w:p w14:paraId="770D279F"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i/>
          <w:iCs/>
          <w:noProof/>
          <w:sz w:val="24"/>
          <w:szCs w:val="24"/>
        </w:rPr>
        <w:t>Methods of sampling from a population | Health Knowledge</w:t>
      </w:r>
      <w:r w:rsidRPr="003E4A88">
        <w:rPr>
          <w:rFonts w:ascii="Arial" w:hAnsi="Arial" w:cs="Arial"/>
          <w:noProof/>
          <w:sz w:val="24"/>
          <w:szCs w:val="24"/>
        </w:rPr>
        <w:t xml:space="preserve"> (no date). Available at: https://www.healthknowledge.org.uk/public-health-textbook/research-methods/1a-epidemiology/methods-of-sampling-population (Accessed: 29 April 2020).</w:t>
      </w:r>
    </w:p>
    <w:p w14:paraId="4EB5F20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Ministry of Health-Saudi Arabia (2020) </w:t>
      </w:r>
      <w:r w:rsidRPr="003E4A88">
        <w:rPr>
          <w:rFonts w:ascii="Arial" w:hAnsi="Arial" w:cs="Arial"/>
          <w:i/>
          <w:iCs/>
          <w:noProof/>
          <w:sz w:val="24"/>
          <w:szCs w:val="24"/>
        </w:rPr>
        <w:t>MOH Publications - Media Report on the MOH Efforts of Educating on Diabetes</w:t>
      </w:r>
      <w:r w:rsidRPr="003E4A88">
        <w:rPr>
          <w:rFonts w:ascii="Arial" w:hAnsi="Arial" w:cs="Arial"/>
          <w:noProof/>
          <w:sz w:val="24"/>
          <w:szCs w:val="24"/>
        </w:rPr>
        <w:t>. Available at: https://www.moh.gov.sa/en/Ministry/MediaCenter/Publications/Pages/Publications-2013-11-12-001.aspx (Accessed: 15 July 2020).</w:t>
      </w:r>
    </w:p>
    <w:p w14:paraId="3511D1ED"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Moreno, G. </w:t>
      </w:r>
      <w:r w:rsidRPr="003E4A88">
        <w:rPr>
          <w:rFonts w:ascii="Arial" w:hAnsi="Arial" w:cs="Arial"/>
          <w:i/>
          <w:iCs/>
          <w:noProof/>
          <w:sz w:val="24"/>
          <w:szCs w:val="24"/>
        </w:rPr>
        <w:t>et al.</w:t>
      </w:r>
      <w:r w:rsidRPr="003E4A88">
        <w:rPr>
          <w:rFonts w:ascii="Arial" w:hAnsi="Arial" w:cs="Arial"/>
          <w:noProof/>
          <w:sz w:val="24"/>
          <w:szCs w:val="24"/>
        </w:rPr>
        <w:t xml:space="preserve"> (2017) ‘Physician experiences with clinical pharmacists in primary care teams’, </w:t>
      </w:r>
      <w:r w:rsidRPr="003E4A88">
        <w:rPr>
          <w:rFonts w:ascii="Arial" w:hAnsi="Arial" w:cs="Arial"/>
          <w:i/>
          <w:iCs/>
          <w:noProof/>
          <w:sz w:val="24"/>
          <w:szCs w:val="24"/>
        </w:rPr>
        <w:t>Journal of the American Pharmacists Association</w:t>
      </w:r>
      <w:r w:rsidRPr="003E4A88">
        <w:rPr>
          <w:rFonts w:ascii="Arial" w:hAnsi="Arial" w:cs="Arial"/>
          <w:noProof/>
          <w:sz w:val="24"/>
          <w:szCs w:val="24"/>
        </w:rPr>
        <w:t>. American Pharmacists Association®, 57(6), pp. 686–691. doi: 10.1016/j.japh.2017.06.018.</w:t>
      </w:r>
    </w:p>
    <w:p w14:paraId="07AF4878"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Moreno, G. </w:t>
      </w:r>
      <w:r w:rsidRPr="003E4A88">
        <w:rPr>
          <w:rFonts w:ascii="Arial" w:hAnsi="Arial" w:cs="Arial"/>
          <w:i/>
          <w:iCs/>
          <w:noProof/>
          <w:sz w:val="24"/>
          <w:szCs w:val="24"/>
        </w:rPr>
        <w:t>et al.</w:t>
      </w:r>
      <w:r w:rsidRPr="003E4A88">
        <w:rPr>
          <w:rFonts w:ascii="Arial" w:hAnsi="Arial" w:cs="Arial"/>
          <w:noProof/>
          <w:sz w:val="24"/>
          <w:szCs w:val="24"/>
        </w:rPr>
        <w:t xml:space="preserve"> (2021) ‘Reducing Emergency Department Visits among Patients with Diabetes by Embedding Clinical Pharmacists in the Primary Care Teams’, </w:t>
      </w:r>
      <w:r w:rsidRPr="003E4A88">
        <w:rPr>
          <w:rFonts w:ascii="Arial" w:hAnsi="Arial" w:cs="Arial"/>
          <w:i/>
          <w:iCs/>
          <w:noProof/>
          <w:sz w:val="24"/>
          <w:szCs w:val="24"/>
        </w:rPr>
        <w:t>Medical Care</w:t>
      </w:r>
      <w:r w:rsidRPr="003E4A88">
        <w:rPr>
          <w:rFonts w:ascii="Arial" w:hAnsi="Arial" w:cs="Arial"/>
          <w:noProof/>
          <w:sz w:val="24"/>
          <w:szCs w:val="24"/>
        </w:rPr>
        <w:t>, 59(4), pp. 348–353. doi: 10.1097/MLR.0000000000001501.</w:t>
      </w:r>
    </w:p>
    <w:p w14:paraId="6A7BCF2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Morgan, D. L. (2007) ‘Paradigms Lost and Pragmatism Regained: Methodological Implications of Combining Qualitative and Quantitative Methods’, </w:t>
      </w:r>
      <w:r w:rsidRPr="003E4A88">
        <w:rPr>
          <w:rFonts w:ascii="Arial" w:hAnsi="Arial" w:cs="Arial"/>
          <w:i/>
          <w:iCs/>
          <w:noProof/>
          <w:sz w:val="24"/>
          <w:szCs w:val="24"/>
        </w:rPr>
        <w:t>Journal of Mixed Methods Research</w:t>
      </w:r>
      <w:r w:rsidRPr="003E4A88">
        <w:rPr>
          <w:rFonts w:ascii="Arial" w:hAnsi="Arial" w:cs="Arial"/>
          <w:noProof/>
          <w:sz w:val="24"/>
          <w:szCs w:val="24"/>
        </w:rPr>
        <w:t>, 1(1), pp. 48–76. doi: 10.1177/2345678906292462.</w:t>
      </w:r>
    </w:p>
    <w:p w14:paraId="2AC5ECE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Nancarrow, S. A. and Borthwick, A. M. (2005) ‘Dynamic professional boundaries in the healthcare workforce’, </w:t>
      </w:r>
      <w:r w:rsidRPr="003E4A88">
        <w:rPr>
          <w:rFonts w:ascii="Arial" w:hAnsi="Arial" w:cs="Arial"/>
          <w:i/>
          <w:iCs/>
          <w:noProof/>
          <w:sz w:val="24"/>
          <w:szCs w:val="24"/>
        </w:rPr>
        <w:t>Sociology of Health and Illness</w:t>
      </w:r>
      <w:r w:rsidRPr="003E4A88">
        <w:rPr>
          <w:rFonts w:ascii="Arial" w:hAnsi="Arial" w:cs="Arial"/>
          <w:noProof/>
          <w:sz w:val="24"/>
          <w:szCs w:val="24"/>
        </w:rPr>
        <w:t>, 27(7), pp. 897–919. doi: 10.1111/j.1467-9566.2005.00463.x.</w:t>
      </w:r>
    </w:p>
    <w:p w14:paraId="061EDB9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Nancarrow, S. A., Borthwick, A M and Borthwick, Alan M (2005) ‘Dynamic professional boundaries in the healthcare workforce’, </w:t>
      </w:r>
      <w:r w:rsidRPr="003E4A88">
        <w:rPr>
          <w:rFonts w:ascii="Arial" w:hAnsi="Arial" w:cs="Arial"/>
          <w:i/>
          <w:iCs/>
          <w:noProof/>
          <w:sz w:val="24"/>
          <w:szCs w:val="24"/>
        </w:rPr>
        <w:t>Sociology of Health &amp; Illness</w:t>
      </w:r>
      <w:r w:rsidRPr="003E4A88">
        <w:rPr>
          <w:rFonts w:ascii="Arial" w:hAnsi="Arial" w:cs="Arial"/>
          <w:noProof/>
          <w:sz w:val="24"/>
          <w:szCs w:val="24"/>
        </w:rPr>
        <w:t>, pp. 897–919. doi: 10.1111/j.1467-9566.2005.00463.x.</w:t>
      </w:r>
    </w:p>
    <w:p w14:paraId="68DB4975"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Narain, K. D. C.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(2022) ‘An Effectiveness Study of a Primary Care-embedded Clinical Pharmacist-Led Intervention Among Patients With Diabetes and Medicaid Coverage’, </w:t>
      </w:r>
      <w:r w:rsidRPr="003E4A88">
        <w:rPr>
          <w:rFonts w:ascii="Arial" w:hAnsi="Arial" w:cs="Arial"/>
          <w:i/>
          <w:iCs/>
          <w:noProof/>
          <w:sz w:val="24"/>
          <w:szCs w:val="24"/>
        </w:rPr>
        <w:t>Journal of Pharmacy Practice</w:t>
      </w:r>
      <w:r w:rsidRPr="003E4A88">
        <w:rPr>
          <w:rFonts w:ascii="Arial" w:hAnsi="Arial" w:cs="Arial"/>
          <w:noProof/>
          <w:sz w:val="24"/>
          <w:szCs w:val="24"/>
        </w:rPr>
        <w:t>, 0(0), pp. 1–8. doi: 10.1177/08971900221125008.</w:t>
      </w:r>
    </w:p>
    <w:p w14:paraId="3F9DF548"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NHS England (2017) ‘Building greater insight through qualitative research’, </w:t>
      </w:r>
      <w:r w:rsidRPr="003E4A88">
        <w:rPr>
          <w:rFonts w:ascii="Arial" w:hAnsi="Arial" w:cs="Arial"/>
          <w:i/>
          <w:iCs/>
          <w:noProof/>
          <w:sz w:val="24"/>
          <w:szCs w:val="24"/>
        </w:rPr>
        <w:t>Publications Gateway</w:t>
      </w:r>
      <w:r w:rsidRPr="003E4A88">
        <w:rPr>
          <w:rFonts w:ascii="Arial" w:hAnsi="Arial" w:cs="Arial"/>
          <w:noProof/>
          <w:sz w:val="24"/>
          <w:szCs w:val="24"/>
        </w:rPr>
        <w:t>, (5). Available at: https://www.england.nhs.uk/wp-content/uploads/2017/04/bitesize-guide-qualitative-research.pdf.</w:t>
      </w:r>
    </w:p>
    <w:p w14:paraId="29D7949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Niznik, J. D., He, H. and Kane-Gill, S. L. (2018) ‘Impact of clinical pharmacist services delivered via telemedicine in the outpatient or ambulatory care setting: A systematic review’, </w:t>
      </w:r>
      <w:r w:rsidRPr="003E4A88">
        <w:rPr>
          <w:rFonts w:ascii="Arial" w:hAnsi="Arial" w:cs="Arial"/>
          <w:i/>
          <w:iCs/>
          <w:noProof/>
          <w:sz w:val="24"/>
          <w:szCs w:val="24"/>
        </w:rPr>
        <w:t>Research in Social and Administrative Pharmacy</w:t>
      </w:r>
      <w:r w:rsidRPr="003E4A88">
        <w:rPr>
          <w:rFonts w:ascii="Arial" w:hAnsi="Arial" w:cs="Arial"/>
          <w:noProof/>
          <w:sz w:val="24"/>
          <w:szCs w:val="24"/>
        </w:rPr>
        <w:t>. Elsevier, 14(8), pp. 707–717. doi: 10.1016/j.sapharm.2017.10.011.</w:t>
      </w:r>
    </w:p>
    <w:p w14:paraId="4E6C18A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Norris, J. M. </w:t>
      </w:r>
      <w:r w:rsidRPr="003E4A88">
        <w:rPr>
          <w:rFonts w:ascii="Arial" w:hAnsi="Arial" w:cs="Arial"/>
          <w:i/>
          <w:iCs/>
          <w:noProof/>
          <w:sz w:val="24"/>
          <w:szCs w:val="24"/>
        </w:rPr>
        <w:t>et al.</w:t>
      </w:r>
      <w:r w:rsidRPr="003E4A88">
        <w:rPr>
          <w:rFonts w:ascii="Arial" w:hAnsi="Arial" w:cs="Arial"/>
          <w:noProof/>
          <w:sz w:val="24"/>
          <w:szCs w:val="24"/>
        </w:rPr>
        <w:t xml:space="preserve"> (2017) ‘How do stakeholders from multiple hierarchical levels of a large provincial health system define engagement ? A qualitative study’. Implementation Science, pp. 1–13. doi: 10.1186/s13012-017-0625-5.</w:t>
      </w:r>
    </w:p>
    <w:p w14:paraId="23F9C609"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O’Cathain, A., Murphy, E. and Nicholl, J. (2007) ‘Why, and how, mixed methods research is undertaken in health services research in England: A mixed methods study’, </w:t>
      </w:r>
      <w:r w:rsidRPr="003E4A88">
        <w:rPr>
          <w:rFonts w:ascii="Arial" w:hAnsi="Arial" w:cs="Arial"/>
          <w:i/>
          <w:iCs/>
          <w:noProof/>
          <w:sz w:val="24"/>
          <w:szCs w:val="24"/>
        </w:rPr>
        <w:t>BMC Health Services Research</w:t>
      </w:r>
      <w:r w:rsidRPr="003E4A88">
        <w:rPr>
          <w:rFonts w:ascii="Arial" w:hAnsi="Arial" w:cs="Arial"/>
          <w:noProof/>
          <w:sz w:val="24"/>
          <w:szCs w:val="24"/>
        </w:rPr>
        <w:t>, 7, pp. 1–11. doi: 10.1186/1472-6963-7-85.</w:t>
      </w:r>
    </w:p>
    <w:p w14:paraId="402F102D"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O’Cathain, A., Murphy, E. and Nicholl, J. (2010a) ‘Three techniques for integrating data in mixed methods studies’, </w:t>
      </w:r>
      <w:r w:rsidRPr="003E4A88">
        <w:rPr>
          <w:rFonts w:ascii="Arial" w:hAnsi="Arial" w:cs="Arial"/>
          <w:i/>
          <w:iCs/>
          <w:noProof/>
          <w:sz w:val="24"/>
          <w:szCs w:val="24"/>
        </w:rPr>
        <w:t>BMJ (Online)</w:t>
      </w:r>
      <w:r w:rsidRPr="003E4A88">
        <w:rPr>
          <w:rFonts w:ascii="Arial" w:hAnsi="Arial" w:cs="Arial"/>
          <w:noProof/>
          <w:sz w:val="24"/>
          <w:szCs w:val="24"/>
        </w:rPr>
        <w:t>. British Medical Journal Publishing Group, 341(7783), pp. 1147–1150. doi: 10.1136/bmj.c4587.</w:t>
      </w:r>
    </w:p>
    <w:p w14:paraId="688C5E1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O’Cathain, A., Murphy, E. and Nicholl, J. (2010b) ‘Three techniques for integrating data in mixed methods studies’, </w:t>
      </w:r>
      <w:r w:rsidRPr="003E4A88">
        <w:rPr>
          <w:rFonts w:ascii="Arial" w:hAnsi="Arial" w:cs="Arial"/>
          <w:i/>
          <w:iCs/>
          <w:noProof/>
          <w:sz w:val="24"/>
          <w:szCs w:val="24"/>
        </w:rPr>
        <w:t>BMJ (Online)</w:t>
      </w:r>
      <w:r w:rsidRPr="003E4A88">
        <w:rPr>
          <w:rFonts w:ascii="Arial" w:hAnsi="Arial" w:cs="Arial"/>
          <w:noProof/>
          <w:sz w:val="24"/>
          <w:szCs w:val="24"/>
        </w:rPr>
        <w:t>, 341(7783), pp. 1147–1150. doi: 10.1136/bmj.c4587.</w:t>
      </w:r>
    </w:p>
    <w:p w14:paraId="6C01BC9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Oppenheim, A. N. (1992) </w:t>
      </w:r>
      <w:r w:rsidRPr="003E4A88">
        <w:rPr>
          <w:rFonts w:ascii="Arial" w:hAnsi="Arial" w:cs="Arial"/>
          <w:i/>
          <w:iCs/>
          <w:noProof/>
          <w:sz w:val="24"/>
          <w:szCs w:val="24"/>
        </w:rPr>
        <w:t>Questionnaire Design, Interviewing and Attitude Measurement</w:t>
      </w:r>
      <w:r w:rsidRPr="003E4A88">
        <w:rPr>
          <w:rFonts w:ascii="Arial" w:hAnsi="Arial" w:cs="Arial"/>
          <w:noProof/>
          <w:sz w:val="24"/>
          <w:szCs w:val="24"/>
        </w:rPr>
        <w:t>. Available at: https://scholar.google.co.uk/scholar?q=Oppenheim,+A.N.+(1992),+Questionnaire+Design,+Interviewing+and+Attitude+Measurement,+2nd+ed.,+Continuum,+London&amp;hl=en&amp;as_sdt=0&amp;as_vis=1&amp;oi=scholart (Accessed: 11 May 2020).</w:t>
      </w:r>
    </w:p>
    <w:p w14:paraId="19ABF353"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Page, A. T. and Somers, G. T. (2015) ‘The pharmacist in a primary healthcare setting’, </w:t>
      </w:r>
      <w:r w:rsidRPr="003E4A88">
        <w:rPr>
          <w:rFonts w:ascii="Arial" w:hAnsi="Arial" w:cs="Arial"/>
          <w:i/>
          <w:iCs/>
          <w:noProof/>
          <w:sz w:val="24"/>
          <w:szCs w:val="24"/>
        </w:rPr>
        <w:t>Journal of Pharmacy Practice and Research</w:t>
      </w:r>
      <w:r w:rsidRPr="003E4A88">
        <w:rPr>
          <w:rFonts w:ascii="Arial" w:hAnsi="Arial" w:cs="Arial"/>
          <w:noProof/>
          <w:sz w:val="24"/>
          <w:szCs w:val="24"/>
        </w:rPr>
        <w:t>, 45(3), pp. 257–258. doi: 10.1002/jppr.1136.</w:t>
      </w:r>
    </w:p>
    <w:p w14:paraId="74A2795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Patti, M. </w:t>
      </w:r>
      <w:r w:rsidRPr="003E4A88">
        <w:rPr>
          <w:rFonts w:ascii="Arial" w:hAnsi="Arial" w:cs="Arial"/>
          <w:i/>
          <w:iCs/>
          <w:noProof/>
          <w:sz w:val="24"/>
          <w:szCs w:val="24"/>
        </w:rPr>
        <w:t>et al.</w:t>
      </w:r>
      <w:r w:rsidRPr="003E4A88">
        <w:rPr>
          <w:rFonts w:ascii="Arial" w:hAnsi="Arial" w:cs="Arial"/>
          <w:noProof/>
          <w:sz w:val="24"/>
          <w:szCs w:val="24"/>
        </w:rPr>
        <w:t xml:space="preserve"> (2022) ‘Impact of pharmacist participation in the patient care team on value-based health measures’, </w:t>
      </w:r>
      <w:r w:rsidRPr="003E4A88">
        <w:rPr>
          <w:rFonts w:ascii="Arial" w:hAnsi="Arial" w:cs="Arial"/>
          <w:i/>
          <w:iCs/>
          <w:noProof/>
          <w:sz w:val="24"/>
          <w:szCs w:val="24"/>
        </w:rPr>
        <w:t>American Journal of Health-System Pharmacy</w:t>
      </w:r>
      <w:r w:rsidRPr="003E4A88">
        <w:rPr>
          <w:rFonts w:ascii="Arial" w:hAnsi="Arial" w:cs="Arial"/>
          <w:noProof/>
          <w:sz w:val="24"/>
          <w:szCs w:val="24"/>
        </w:rPr>
        <w:t>, 79(19), pp. 1645–1651. doi: 10.1093/ajhp/zxac175.</w:t>
      </w:r>
    </w:p>
    <w:p w14:paraId="1814DAD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Peterson, J. </w:t>
      </w:r>
      <w:r w:rsidRPr="003E4A88">
        <w:rPr>
          <w:rFonts w:ascii="Arial" w:hAnsi="Arial" w:cs="Arial"/>
          <w:i/>
          <w:iCs/>
          <w:noProof/>
          <w:sz w:val="24"/>
          <w:szCs w:val="24"/>
        </w:rPr>
        <w:t>et al.</w:t>
      </w:r>
      <w:r w:rsidRPr="003E4A88">
        <w:rPr>
          <w:rFonts w:ascii="Arial" w:hAnsi="Arial" w:cs="Arial"/>
          <w:noProof/>
          <w:sz w:val="24"/>
          <w:szCs w:val="24"/>
        </w:rPr>
        <w:t xml:space="preserve"> (2018) ‘Impact of Physician–Pharmacist Covisits at a Primary Care Clinic in Patients With Uncontrolled Diabetes’, </w:t>
      </w:r>
      <w:r w:rsidRPr="003E4A88">
        <w:rPr>
          <w:rFonts w:ascii="Arial" w:hAnsi="Arial" w:cs="Arial"/>
          <w:i/>
          <w:iCs/>
          <w:noProof/>
          <w:sz w:val="24"/>
          <w:szCs w:val="24"/>
        </w:rPr>
        <w:t>Journal of Pharmacy Practice</w:t>
      </w:r>
      <w:r w:rsidRPr="003E4A88">
        <w:rPr>
          <w:rFonts w:ascii="Arial" w:hAnsi="Arial" w:cs="Arial"/>
          <w:noProof/>
          <w:sz w:val="24"/>
          <w:szCs w:val="24"/>
        </w:rPr>
        <w:t>. doi: 10.1177/0897190018807374.</w:t>
      </w:r>
    </w:p>
    <w:p w14:paraId="731B350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Pousinho, S. </w:t>
      </w:r>
      <w:r w:rsidRPr="003E4A88">
        <w:rPr>
          <w:rFonts w:ascii="Arial" w:hAnsi="Arial" w:cs="Arial"/>
          <w:i/>
          <w:iCs/>
          <w:noProof/>
          <w:sz w:val="24"/>
          <w:szCs w:val="24"/>
        </w:rPr>
        <w:t>et al.</w:t>
      </w:r>
      <w:r w:rsidRPr="003E4A88">
        <w:rPr>
          <w:rFonts w:ascii="Arial" w:hAnsi="Arial" w:cs="Arial"/>
          <w:noProof/>
          <w:sz w:val="24"/>
          <w:szCs w:val="24"/>
        </w:rPr>
        <w:t xml:space="preserve"> (2016) ‘Pharmacist Interventions in the Management of Type 2 Diabetes Mellitus: A Systematic Review of Randomized Controlled Trials.’, </w:t>
      </w:r>
      <w:r w:rsidRPr="003E4A88">
        <w:rPr>
          <w:rFonts w:ascii="Arial" w:hAnsi="Arial" w:cs="Arial"/>
          <w:i/>
          <w:iCs/>
          <w:noProof/>
          <w:sz w:val="24"/>
          <w:szCs w:val="24"/>
        </w:rPr>
        <w:t>Journal of managed care &amp; specialty pharmacy</w:t>
      </w:r>
      <w:r w:rsidRPr="003E4A88">
        <w:rPr>
          <w:rFonts w:ascii="Arial" w:hAnsi="Arial" w:cs="Arial"/>
          <w:noProof/>
          <w:sz w:val="24"/>
          <w:szCs w:val="24"/>
        </w:rPr>
        <w:t>. United States: Academy of Managed Care Pharmacy (AMCP), 22(5), pp. 493–515. doi: https://dx.doi.org/10.18553/jmcp.2016.22.5.493.</w:t>
      </w:r>
    </w:p>
    <w:p w14:paraId="75CD403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Presley, B., Groot, W. and Pavlova, M. (2019) ‘Pharmacy-led interventions to improve medication adherence among adults with diabetes: A systematic review and meta-analysis’, </w:t>
      </w:r>
      <w:r w:rsidRPr="003E4A88">
        <w:rPr>
          <w:rFonts w:ascii="Arial" w:hAnsi="Arial" w:cs="Arial"/>
          <w:i/>
          <w:iCs/>
          <w:noProof/>
          <w:sz w:val="24"/>
          <w:szCs w:val="24"/>
        </w:rPr>
        <w:t>Research in Social and Administrative Pharmacy</w:t>
      </w:r>
      <w:r w:rsidRPr="003E4A88">
        <w:rPr>
          <w:rFonts w:ascii="Arial" w:hAnsi="Arial" w:cs="Arial"/>
          <w:noProof/>
          <w:sz w:val="24"/>
          <w:szCs w:val="24"/>
        </w:rPr>
        <w:t>, 15(9), pp. 1057–1067. doi: 10.1016/j.sapharm.2018.09.021.</w:t>
      </w:r>
    </w:p>
    <w:p w14:paraId="5E25DB6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Rahman, R. and Alsharqi, O. Z. (2019) ‘What drove the health system reforms in the Kingdom of Saudi Arabia ? An analysis’, (April 2018), pp. 100–110. doi: 10.1002/hpm.2584.</w:t>
      </w:r>
    </w:p>
    <w:p w14:paraId="6D5E81F0"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Rasheed, M. K. </w:t>
      </w:r>
      <w:r w:rsidRPr="003E4A88">
        <w:rPr>
          <w:rFonts w:ascii="Arial" w:hAnsi="Arial" w:cs="Arial"/>
          <w:i/>
          <w:iCs/>
          <w:noProof/>
          <w:sz w:val="24"/>
          <w:szCs w:val="24"/>
        </w:rPr>
        <w:t>et al.</w:t>
      </w:r>
      <w:r w:rsidRPr="003E4A88">
        <w:rPr>
          <w:rFonts w:ascii="Arial" w:hAnsi="Arial" w:cs="Arial"/>
          <w:noProof/>
          <w:sz w:val="24"/>
          <w:szCs w:val="24"/>
        </w:rPr>
        <w:t xml:space="preserve"> (2020) ‘The community pharmacy practice change towards patient-centered care in Saudi Arabia : a qualitative perspective’. Journal of Pharmaceutical Policy and Practice, 7, pp. 1–9.</w:t>
      </w:r>
    </w:p>
    <w:p w14:paraId="5DABC2A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Riggs, D. W. (2015) ‘Qualitative Research in Clinical and Health Psychology’, </w:t>
      </w:r>
      <w:r w:rsidRPr="003E4A88">
        <w:rPr>
          <w:rFonts w:ascii="Arial" w:hAnsi="Arial" w:cs="Arial"/>
          <w:i/>
          <w:iCs/>
          <w:noProof/>
          <w:sz w:val="24"/>
          <w:szCs w:val="24"/>
        </w:rPr>
        <w:t>Qualitative Research in Clinical and Health Psychology</w:t>
      </w:r>
      <w:r w:rsidRPr="003E4A88">
        <w:rPr>
          <w:rFonts w:ascii="Arial" w:hAnsi="Arial" w:cs="Arial"/>
          <w:noProof/>
          <w:sz w:val="24"/>
          <w:szCs w:val="24"/>
        </w:rPr>
        <w:t>, (March). doi: 10.1007/978-1-137-29105-9.</w:t>
      </w:r>
    </w:p>
    <w:p w14:paraId="215690CD"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Robert, A. A.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(2016) ‘Type 2 Diabetes Mellitus in Saudi Arabia: Major Challenges and Possible Solutions’, </w:t>
      </w:r>
      <w:r w:rsidRPr="003E4A88">
        <w:rPr>
          <w:rFonts w:ascii="Arial" w:hAnsi="Arial" w:cs="Arial"/>
          <w:i/>
          <w:iCs/>
          <w:noProof/>
          <w:sz w:val="24"/>
          <w:szCs w:val="24"/>
        </w:rPr>
        <w:t>Bentham Science Publishers</w:t>
      </w:r>
      <w:r w:rsidRPr="003E4A88">
        <w:rPr>
          <w:rFonts w:ascii="Arial" w:hAnsi="Arial" w:cs="Arial"/>
          <w:noProof/>
          <w:sz w:val="24"/>
          <w:szCs w:val="24"/>
        </w:rPr>
        <w:t>. Available at: https://www.researchgate.net/profile/Asirvatham_Alwin_Robert2/publication/291833683_Type_2_Diabetes_Mellitus_in_Saudi_Arabia_Major_Challenges_and_Possible_Solutions/links/590721590f7e9bc0d591f1d6/Type-2-Diabetes-Mellitus-in-Saudi-Arabia-Major-Challenges-a (Accessed: 19 August 2019).</w:t>
      </w:r>
    </w:p>
    <w:p w14:paraId="10FDDB0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Roberts, N. (2014) </w:t>
      </w:r>
      <w:r w:rsidRPr="003E4A88">
        <w:rPr>
          <w:rFonts w:ascii="Arial" w:hAnsi="Arial" w:cs="Arial"/>
          <w:i/>
          <w:iCs/>
          <w:noProof/>
          <w:sz w:val="24"/>
          <w:szCs w:val="24"/>
        </w:rPr>
        <w:t>Better use of pharmacy could ease GP workload crisis | GPonline</w:t>
      </w:r>
      <w:r w:rsidRPr="003E4A88">
        <w:rPr>
          <w:rFonts w:ascii="Arial" w:hAnsi="Arial" w:cs="Arial"/>
          <w:noProof/>
          <w:sz w:val="24"/>
          <w:szCs w:val="24"/>
        </w:rPr>
        <w:t>. Available at: https://www.gponline.com/better-use-pharmacy-ease-gp-workload-crisis/article/1326300 (Accessed: 31 May 2020).</w:t>
      </w:r>
    </w:p>
    <w:p w14:paraId="75C91547"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Roughead, E. E. </w:t>
      </w:r>
      <w:r w:rsidRPr="003E4A88">
        <w:rPr>
          <w:rFonts w:ascii="Arial" w:hAnsi="Arial" w:cs="Arial"/>
          <w:i/>
          <w:iCs/>
          <w:noProof/>
          <w:sz w:val="24"/>
          <w:szCs w:val="24"/>
        </w:rPr>
        <w:t>et al.</w:t>
      </w:r>
      <w:r w:rsidRPr="003E4A88">
        <w:rPr>
          <w:rFonts w:ascii="Arial" w:hAnsi="Arial" w:cs="Arial"/>
          <w:noProof/>
          <w:sz w:val="24"/>
          <w:szCs w:val="24"/>
        </w:rPr>
        <w:t xml:space="preserve"> (2005) ‘Pharmaceutical care services: a systematic review of published studies, 1990 to 2003, examining effectiveness in improving patient outcomes’, </w:t>
      </w:r>
      <w:r w:rsidRPr="003E4A88">
        <w:rPr>
          <w:rFonts w:ascii="Arial" w:hAnsi="Arial" w:cs="Arial"/>
          <w:i/>
          <w:iCs/>
          <w:noProof/>
          <w:sz w:val="24"/>
          <w:szCs w:val="24"/>
        </w:rPr>
        <w:t>IJPP</w:t>
      </w:r>
      <w:r w:rsidRPr="003E4A88">
        <w:rPr>
          <w:rFonts w:ascii="Arial" w:hAnsi="Arial" w:cs="Arial"/>
          <w:noProof/>
          <w:sz w:val="24"/>
          <w:szCs w:val="24"/>
        </w:rPr>
        <w:t>, 13, pp. 53–70. doi: 10.1211/0022357055551.</w:t>
      </w:r>
    </w:p>
    <w:p w14:paraId="3E422E4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Rowley, J. (2014) ‘Designing and using research questionnaires’, </w:t>
      </w:r>
      <w:r w:rsidRPr="003E4A88">
        <w:rPr>
          <w:rFonts w:ascii="Arial" w:hAnsi="Arial" w:cs="Arial"/>
          <w:i/>
          <w:iCs/>
          <w:noProof/>
          <w:sz w:val="24"/>
          <w:szCs w:val="24"/>
        </w:rPr>
        <w:t>Management Research Review</w:t>
      </w:r>
      <w:r w:rsidRPr="003E4A88">
        <w:rPr>
          <w:rFonts w:ascii="Arial" w:hAnsi="Arial" w:cs="Arial"/>
          <w:noProof/>
          <w:sz w:val="24"/>
          <w:szCs w:val="24"/>
        </w:rPr>
        <w:t>, 37(3), pp. 308–330. doi: 10.1108/MRR-02-2013-0027.</w:t>
      </w:r>
    </w:p>
    <w:p w14:paraId="0BF6C37F"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Saidin, K. and Yaacob, A. (2016) ‘INSIDER RESEARCHERS : CHALLENGES &amp; OPPORTUNITIES’, 1, pp. 849–854.</w:t>
      </w:r>
    </w:p>
    <w:p w14:paraId="14B6A739"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Sajjad, R. and Qureshi, M. O. (2018) ‘An assessment of the healthcare services in the Kingdom of Saudi Arabia: An analysis of the old, current, and future systems’, </w:t>
      </w:r>
      <w:r w:rsidRPr="003E4A88">
        <w:rPr>
          <w:rFonts w:ascii="Arial" w:hAnsi="Arial" w:cs="Arial"/>
          <w:i/>
          <w:iCs/>
          <w:noProof/>
          <w:sz w:val="24"/>
          <w:szCs w:val="24"/>
        </w:rPr>
        <w:t>International Journal of Healthcare Management</w:t>
      </w:r>
      <w:r w:rsidRPr="003E4A88">
        <w:rPr>
          <w:rFonts w:ascii="Arial" w:hAnsi="Arial" w:cs="Arial"/>
          <w:noProof/>
          <w:sz w:val="24"/>
          <w:szCs w:val="24"/>
        </w:rPr>
        <w:t>. Taylor &amp; Francis, 0(0), pp. 1–9. doi: 10.1080/20479700.2018.1433459.</w:t>
      </w:r>
    </w:p>
    <w:p w14:paraId="3E39DF25"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Sampson, J. P. (2017) ‘A guide to quantitative and qualitative dissertation research’, </w:t>
      </w:r>
      <w:r w:rsidRPr="003E4A88">
        <w:rPr>
          <w:rFonts w:ascii="Arial" w:hAnsi="Arial" w:cs="Arial"/>
          <w:i/>
          <w:iCs/>
          <w:noProof/>
          <w:sz w:val="24"/>
          <w:szCs w:val="24"/>
        </w:rPr>
        <w:t>Educational Psychology and Learning Sytems Faculty Publications</w:t>
      </w:r>
      <w:r w:rsidRPr="003E4A88">
        <w:rPr>
          <w:rFonts w:ascii="Arial" w:hAnsi="Arial" w:cs="Arial"/>
          <w:noProof/>
          <w:sz w:val="24"/>
          <w:szCs w:val="24"/>
        </w:rPr>
        <w:t>, pp. 1–93. Available at: http://diginole.lib.fsu.edu/edpsy_faculty_publicatons/1.</w:t>
      </w:r>
    </w:p>
    <w:p w14:paraId="4D325313"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Santschi, V. </w:t>
      </w:r>
      <w:r w:rsidRPr="003E4A88">
        <w:rPr>
          <w:rFonts w:ascii="Arial" w:hAnsi="Arial" w:cs="Arial"/>
          <w:i/>
          <w:iCs/>
          <w:noProof/>
          <w:sz w:val="24"/>
          <w:szCs w:val="24"/>
        </w:rPr>
        <w:t>et al.</w:t>
      </w:r>
      <w:r w:rsidRPr="003E4A88">
        <w:rPr>
          <w:rFonts w:ascii="Arial" w:hAnsi="Arial" w:cs="Arial"/>
          <w:noProof/>
          <w:sz w:val="24"/>
          <w:szCs w:val="24"/>
        </w:rPr>
        <w:t xml:space="preserve"> (2012) ‘Pharmacist interventions to improve cardiovascular disease risk factors in diabetes: A systematic review and meta-analysis of randomized controlled trials’, </w:t>
      </w:r>
      <w:r w:rsidRPr="003E4A88">
        <w:rPr>
          <w:rFonts w:ascii="Arial" w:hAnsi="Arial" w:cs="Arial"/>
          <w:i/>
          <w:iCs/>
          <w:noProof/>
          <w:sz w:val="24"/>
          <w:szCs w:val="24"/>
        </w:rPr>
        <w:t>Diabetes Care</w:t>
      </w:r>
      <w:r w:rsidRPr="003E4A88">
        <w:rPr>
          <w:rFonts w:ascii="Arial" w:hAnsi="Arial" w:cs="Arial"/>
          <w:noProof/>
          <w:sz w:val="24"/>
          <w:szCs w:val="24"/>
        </w:rPr>
        <w:t>, 35(12), pp. 2706–2717. doi: 10.2337/dc12-0369.</w:t>
      </w:r>
    </w:p>
    <w:p w14:paraId="1EA9E86E"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Saudi Ministry of Health (2018) </w:t>
      </w:r>
      <w:r w:rsidRPr="003E4A88">
        <w:rPr>
          <w:rFonts w:ascii="Arial" w:hAnsi="Arial" w:cs="Arial"/>
          <w:i/>
          <w:iCs/>
          <w:noProof/>
          <w:sz w:val="24"/>
          <w:szCs w:val="24"/>
        </w:rPr>
        <w:t>Statistical Book for the year 2018</w:t>
      </w:r>
      <w:r w:rsidRPr="003E4A88">
        <w:rPr>
          <w:rFonts w:ascii="Arial" w:hAnsi="Arial" w:cs="Arial"/>
          <w:noProof/>
          <w:sz w:val="24"/>
          <w:szCs w:val="24"/>
        </w:rPr>
        <w:t>. Available at: www.moh.gov.sa (Accessed: 1 February 2020).</w:t>
      </w:r>
    </w:p>
    <w:p w14:paraId="77468658"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i/>
          <w:iCs/>
          <w:noProof/>
          <w:sz w:val="24"/>
          <w:szCs w:val="24"/>
        </w:rPr>
        <w:t>Saudi Vision2030</w:t>
      </w:r>
      <w:r w:rsidRPr="003E4A88">
        <w:rPr>
          <w:rFonts w:ascii="Arial" w:hAnsi="Arial" w:cs="Arial"/>
          <w:noProof/>
          <w:sz w:val="24"/>
          <w:szCs w:val="24"/>
        </w:rPr>
        <w:t xml:space="preserve"> (no date). doi: 10.1017/CBO9781107415324.004.</w:t>
      </w:r>
    </w:p>
    <w:p w14:paraId="679CDB9F"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Saunders, M. N. (2016) ‘Understanding research philosophies and approaches’, (January 2009).</w:t>
      </w:r>
    </w:p>
    <w:p w14:paraId="07A25422"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Schultz, J. L.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(2018) ‘Comparing Clinical Outcomes of a Pharmacist-Managed Diabetes Clinic to Usual Physician-Based Care’, </w:t>
      </w:r>
      <w:r w:rsidRPr="003E4A88">
        <w:rPr>
          <w:rFonts w:ascii="Arial" w:hAnsi="Arial" w:cs="Arial"/>
          <w:i/>
          <w:iCs/>
          <w:noProof/>
          <w:sz w:val="24"/>
          <w:szCs w:val="24"/>
        </w:rPr>
        <w:t>Journal of Pharmacy Practice</w:t>
      </w:r>
      <w:r w:rsidRPr="003E4A88">
        <w:rPr>
          <w:rFonts w:ascii="Arial" w:hAnsi="Arial" w:cs="Arial"/>
          <w:noProof/>
          <w:sz w:val="24"/>
          <w:szCs w:val="24"/>
        </w:rPr>
        <w:t>. United States, 31(3), pp. 268–271. doi: 10.1177/0897190017710522.</w:t>
      </w:r>
    </w:p>
    <w:p w14:paraId="7982490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Shenton, A. K. (2004) ‘Strategies for ensuring trustworthiness in qualitative research projects’, </w:t>
      </w:r>
      <w:r w:rsidRPr="003E4A88">
        <w:rPr>
          <w:rFonts w:ascii="Arial" w:hAnsi="Arial" w:cs="Arial"/>
          <w:i/>
          <w:iCs/>
          <w:noProof/>
          <w:sz w:val="24"/>
          <w:szCs w:val="24"/>
        </w:rPr>
        <w:t>Education for Information</w:t>
      </w:r>
      <w:r w:rsidRPr="003E4A88">
        <w:rPr>
          <w:rFonts w:ascii="Arial" w:hAnsi="Arial" w:cs="Arial"/>
          <w:noProof/>
          <w:sz w:val="24"/>
          <w:szCs w:val="24"/>
        </w:rPr>
        <w:t>, 22(2), pp. 63–75. doi: 10.3233/EFI-2004-22201.</w:t>
      </w:r>
    </w:p>
    <w:p w14:paraId="1637B57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Simpson, S. H.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(2015) ‘Cost-effectiveness analysis of adding pharmacists to primary care teams to reduce cardiovascular risk in patients with Type 2 diabetes: results from a randomized controlled trial.’, </w:t>
      </w:r>
      <w:r w:rsidRPr="003E4A88">
        <w:rPr>
          <w:rFonts w:ascii="Arial" w:hAnsi="Arial" w:cs="Arial"/>
          <w:i/>
          <w:iCs/>
          <w:noProof/>
          <w:sz w:val="24"/>
          <w:szCs w:val="24"/>
        </w:rPr>
        <w:t>Diabetic medicine : a journal of the British Diabetic Association</w:t>
      </w:r>
      <w:r w:rsidRPr="003E4A88">
        <w:rPr>
          <w:rFonts w:ascii="Arial" w:hAnsi="Arial" w:cs="Arial"/>
          <w:noProof/>
          <w:sz w:val="24"/>
          <w:szCs w:val="24"/>
        </w:rPr>
        <w:t>. England, 32(7), pp. 899–906. doi: https://dx.doi.org/10.1111/dme.12692.</w:t>
      </w:r>
    </w:p>
    <w:p w14:paraId="72391A59"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Simpson, S. H., MacCallum, L. and Mansell, K. (2017) ‘Pharmacy Practice and Diabetes Care.’, </w:t>
      </w:r>
      <w:r w:rsidRPr="003E4A88">
        <w:rPr>
          <w:rFonts w:ascii="Arial" w:hAnsi="Arial" w:cs="Arial"/>
          <w:i/>
          <w:iCs/>
          <w:noProof/>
          <w:sz w:val="24"/>
          <w:szCs w:val="24"/>
        </w:rPr>
        <w:t>Canadian journal of diabetes</w:t>
      </w:r>
      <w:r w:rsidRPr="003E4A88">
        <w:rPr>
          <w:rFonts w:ascii="Arial" w:hAnsi="Arial" w:cs="Arial"/>
          <w:noProof/>
          <w:sz w:val="24"/>
          <w:szCs w:val="24"/>
        </w:rPr>
        <w:t>. Canada, 41(6), pp. 549–550. doi: https://dx.doi.org/10.1016/j.jcjd.2017.09.005.</w:t>
      </w:r>
    </w:p>
    <w:p w14:paraId="13B4C82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Smith, M. (2009a) ‘Pharmacists’ role in improving diabetes medication management.’, </w:t>
      </w:r>
      <w:r w:rsidRPr="003E4A88">
        <w:rPr>
          <w:rFonts w:ascii="Arial" w:hAnsi="Arial" w:cs="Arial"/>
          <w:i/>
          <w:iCs/>
          <w:noProof/>
          <w:sz w:val="24"/>
          <w:szCs w:val="24"/>
        </w:rPr>
        <w:t>Journal of diabetes science and technology</w:t>
      </w:r>
      <w:r w:rsidRPr="003E4A88">
        <w:rPr>
          <w:rFonts w:ascii="Arial" w:hAnsi="Arial" w:cs="Arial"/>
          <w:noProof/>
          <w:sz w:val="24"/>
          <w:szCs w:val="24"/>
        </w:rPr>
        <w:t>. United States, 3(1), pp. 175–179. doi: 10.1177/193229680900300120.</w:t>
      </w:r>
    </w:p>
    <w:p w14:paraId="196FA23E"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Smith, M. (2009b) ‘Pharmacists’ role in improving diabetes medication management’, </w:t>
      </w:r>
      <w:r w:rsidRPr="003E4A88">
        <w:rPr>
          <w:rFonts w:ascii="Arial" w:hAnsi="Arial" w:cs="Arial"/>
          <w:i/>
          <w:iCs/>
          <w:noProof/>
          <w:sz w:val="24"/>
          <w:szCs w:val="24"/>
        </w:rPr>
        <w:t>Journal of Diabetes Science and Technology</w:t>
      </w:r>
      <w:r w:rsidRPr="003E4A88">
        <w:rPr>
          <w:rFonts w:ascii="Arial" w:hAnsi="Arial" w:cs="Arial"/>
          <w:noProof/>
          <w:sz w:val="24"/>
          <w:szCs w:val="24"/>
        </w:rPr>
        <w:t>. doi: 10.1177/193229680900300120.</w:t>
      </w:r>
    </w:p>
    <w:p w14:paraId="6AAFD3B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Tan, E. C. K.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(no date) ‘Pharmacist services provided in general practice clinics: A systematic review and meta-analysis’. doi: 10.1016/j.sapharm.2013.08.006.</w:t>
      </w:r>
    </w:p>
    <w:p w14:paraId="765A710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Tan, E. C. K. K.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(2014) ‘Pharmacist services provided in general practice clinics: A systematic review and meta-analysis’, </w:t>
      </w:r>
      <w:r w:rsidRPr="003E4A88">
        <w:rPr>
          <w:rFonts w:ascii="Arial" w:hAnsi="Arial" w:cs="Arial"/>
          <w:i/>
          <w:iCs/>
          <w:noProof/>
          <w:sz w:val="24"/>
          <w:szCs w:val="24"/>
        </w:rPr>
        <w:t>Research in Social and Administrative Pharmacy</w:t>
      </w:r>
      <w:r w:rsidRPr="003E4A88">
        <w:rPr>
          <w:rFonts w:ascii="Arial" w:hAnsi="Arial" w:cs="Arial"/>
          <w:noProof/>
          <w:sz w:val="24"/>
          <w:szCs w:val="24"/>
        </w:rPr>
        <w:t>. Elsevier Inc, 10(4), pp. 608–622. doi: 10.1016/j.sapharm.2013.08.006.</w:t>
      </w:r>
    </w:p>
    <w:p w14:paraId="06AF911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Tourkmani, A. M. </w:t>
      </w:r>
      <w:r w:rsidRPr="003E4A88">
        <w:rPr>
          <w:rFonts w:ascii="Arial" w:hAnsi="Arial" w:cs="Arial"/>
          <w:i/>
          <w:iCs/>
          <w:noProof/>
          <w:sz w:val="24"/>
          <w:szCs w:val="24"/>
        </w:rPr>
        <w:t>et al.</w:t>
      </w:r>
      <w:r w:rsidRPr="003E4A88">
        <w:rPr>
          <w:rFonts w:ascii="Arial" w:hAnsi="Arial" w:cs="Arial"/>
          <w:noProof/>
          <w:sz w:val="24"/>
          <w:szCs w:val="24"/>
        </w:rPr>
        <w:t xml:space="preserve"> (2016) ‘Impact of ramadan focused education program on hypoglycemic risk and metabolic control for patients with type 2 diabetes’, </w:t>
      </w:r>
      <w:r w:rsidRPr="003E4A88">
        <w:rPr>
          <w:rFonts w:ascii="Arial" w:hAnsi="Arial" w:cs="Arial"/>
          <w:i/>
          <w:iCs/>
          <w:noProof/>
          <w:sz w:val="24"/>
          <w:szCs w:val="24"/>
        </w:rPr>
        <w:t>Patient Preference and Adherence</w:t>
      </w:r>
      <w:r w:rsidRPr="003E4A88">
        <w:rPr>
          <w:rFonts w:ascii="Arial" w:hAnsi="Arial" w:cs="Arial"/>
          <w:noProof/>
          <w:sz w:val="24"/>
          <w:szCs w:val="24"/>
        </w:rPr>
        <w:t>, 10, pp. 1709–1717. doi: 10.2147/PPA.S113324.</w:t>
      </w:r>
    </w:p>
    <w:p w14:paraId="185E980C"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Tourkmani, Ayla M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(2018) ‘Impact of an integrated care program on glycemic control and cardiovascular risk factors in patients with type 2 diabetes in Saudi Arabia: an interventional parallel-group controlled study’, </w:t>
      </w:r>
      <w:r w:rsidRPr="003E4A88">
        <w:rPr>
          <w:rFonts w:ascii="Arial" w:hAnsi="Arial" w:cs="Arial"/>
          <w:i/>
          <w:iCs/>
          <w:noProof/>
          <w:sz w:val="24"/>
          <w:szCs w:val="24"/>
        </w:rPr>
        <w:t>BMC Family Practice</w:t>
      </w:r>
      <w:r w:rsidRPr="003E4A88">
        <w:rPr>
          <w:rFonts w:ascii="Arial" w:hAnsi="Arial" w:cs="Arial"/>
          <w:noProof/>
          <w:sz w:val="24"/>
          <w:szCs w:val="24"/>
        </w:rPr>
        <w:t>, 19(1). doi: 10.1186/s12875-017-0677-2.</w:t>
      </w:r>
    </w:p>
    <w:p w14:paraId="7FFBB2A9"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Tourkmani, Ayla M.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(2018) ‘Impact of Ramadan Focused Education Program on medications adjustment for patients with type 2 diabetes in a primary health care institution in Saudi Arabia’, </w:t>
      </w:r>
      <w:r w:rsidRPr="003E4A88">
        <w:rPr>
          <w:rFonts w:ascii="Arial" w:hAnsi="Arial" w:cs="Arial"/>
          <w:i/>
          <w:iCs/>
          <w:noProof/>
          <w:sz w:val="24"/>
          <w:szCs w:val="24"/>
        </w:rPr>
        <w:t>Diabetes and Metabolic Syndrome: Clinical Research and Reviews</w:t>
      </w:r>
      <w:r w:rsidRPr="003E4A88">
        <w:rPr>
          <w:rFonts w:ascii="Arial" w:hAnsi="Arial" w:cs="Arial"/>
          <w:noProof/>
          <w:sz w:val="24"/>
          <w:szCs w:val="24"/>
        </w:rPr>
        <w:t>. Elsevier Ltd, 13(1), pp. 161–165. doi: 10.1016/j.dsx.2018.07.012.</w:t>
      </w:r>
    </w:p>
    <w:p w14:paraId="76020756"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Truong, H. </w:t>
      </w:r>
      <w:r w:rsidRPr="003E4A88">
        <w:rPr>
          <w:rFonts w:ascii="Arial" w:hAnsi="Arial" w:cs="Arial"/>
          <w:i/>
          <w:iCs/>
          <w:noProof/>
          <w:sz w:val="24"/>
          <w:szCs w:val="24"/>
        </w:rPr>
        <w:t>et al.</w:t>
      </w:r>
      <w:r w:rsidRPr="003E4A88">
        <w:rPr>
          <w:rFonts w:ascii="Arial" w:hAnsi="Arial" w:cs="Arial"/>
          <w:noProof/>
          <w:sz w:val="24"/>
          <w:szCs w:val="24"/>
        </w:rPr>
        <w:t xml:space="preserve"> (2017) ‘Clinical pharmacists in primary care: Provider satisfaction and perceived impact on quality of care provided’, </w:t>
      </w:r>
      <w:r w:rsidRPr="003E4A88">
        <w:rPr>
          <w:rFonts w:ascii="Arial" w:hAnsi="Arial" w:cs="Arial"/>
          <w:i/>
          <w:iCs/>
          <w:noProof/>
          <w:sz w:val="24"/>
          <w:szCs w:val="24"/>
        </w:rPr>
        <w:t>SAGE Open Medicine</w:t>
      </w:r>
      <w:r w:rsidRPr="003E4A88">
        <w:rPr>
          <w:rFonts w:ascii="Arial" w:hAnsi="Arial" w:cs="Arial"/>
          <w:noProof/>
          <w:sz w:val="24"/>
          <w:szCs w:val="24"/>
        </w:rPr>
        <w:t>. England, 5, p. 205031211771391. doi: 10.1177/2050312117713911.</w:t>
      </w:r>
    </w:p>
    <w:p w14:paraId="46E05784"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Ud-Din Baber, Z. (2015) </w:t>
      </w:r>
      <w:r w:rsidRPr="003E4A88">
        <w:rPr>
          <w:rFonts w:ascii="Arial" w:hAnsi="Arial" w:cs="Arial"/>
          <w:i/>
          <w:iCs/>
          <w:noProof/>
          <w:sz w:val="24"/>
          <w:szCs w:val="24"/>
        </w:rPr>
        <w:t>Pharmacy Practice Research Methods</w:t>
      </w:r>
      <w:r w:rsidRPr="003E4A88">
        <w:rPr>
          <w:rFonts w:ascii="Arial" w:hAnsi="Arial" w:cs="Arial"/>
          <w:noProof/>
          <w:sz w:val="24"/>
          <w:szCs w:val="24"/>
        </w:rPr>
        <w:t>.</w:t>
      </w:r>
    </w:p>
    <w:p w14:paraId="278A44BD"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Vankar, P. (2023) </w:t>
      </w:r>
      <w:r w:rsidRPr="003E4A88">
        <w:rPr>
          <w:rFonts w:ascii="Arial" w:hAnsi="Arial" w:cs="Arial"/>
          <w:i/>
          <w:iCs/>
          <w:noProof/>
          <w:sz w:val="24"/>
          <w:szCs w:val="24"/>
        </w:rPr>
        <w:t>Health and health systems ranking of countries worldwide in 2023</w:t>
      </w:r>
      <w:r w:rsidRPr="003E4A88">
        <w:rPr>
          <w:rFonts w:ascii="Arial" w:hAnsi="Arial" w:cs="Arial"/>
          <w:noProof/>
          <w:sz w:val="24"/>
          <w:szCs w:val="24"/>
        </w:rPr>
        <w:t xml:space="preserve">, </w:t>
      </w:r>
      <w:r w:rsidRPr="003E4A88">
        <w:rPr>
          <w:rFonts w:ascii="Arial" w:hAnsi="Arial" w:cs="Arial"/>
          <w:i/>
          <w:iCs/>
          <w:noProof/>
          <w:sz w:val="24"/>
          <w:szCs w:val="24"/>
        </w:rPr>
        <w:t>Statista.com</w:t>
      </w:r>
      <w:r w:rsidRPr="003E4A88">
        <w:rPr>
          <w:rFonts w:ascii="Arial" w:hAnsi="Arial" w:cs="Arial"/>
          <w:noProof/>
          <w:sz w:val="24"/>
          <w:szCs w:val="24"/>
        </w:rPr>
        <w:t>. Available at: https://www.statista.com/statistics/1376359/health-and-health-system-ranking-of-countries-worldwide/.</w:t>
      </w:r>
    </w:p>
    <w:p w14:paraId="7E7BBBB5"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BD7856">
        <w:rPr>
          <w:rFonts w:ascii="Arial" w:hAnsi="Arial" w:cs="Arial"/>
          <w:noProof/>
          <w:sz w:val="24"/>
          <w:szCs w:val="24"/>
          <w:lang w:val="nl-NL"/>
        </w:rPr>
        <w:t xml:space="preserve">Wagner, M. L. </w:t>
      </w:r>
      <w:r w:rsidRPr="00BD7856">
        <w:rPr>
          <w:rFonts w:ascii="Arial" w:hAnsi="Arial" w:cs="Arial"/>
          <w:i/>
          <w:iCs/>
          <w:noProof/>
          <w:sz w:val="24"/>
          <w:szCs w:val="24"/>
          <w:lang w:val="nl-NL"/>
        </w:rPr>
        <w:t>et al.</w:t>
      </w:r>
      <w:r w:rsidRPr="00BD7856">
        <w:rPr>
          <w:rFonts w:ascii="Arial" w:hAnsi="Arial" w:cs="Arial"/>
          <w:noProof/>
          <w:sz w:val="24"/>
          <w:szCs w:val="24"/>
          <w:lang w:val="nl-NL"/>
        </w:rPr>
        <w:t xml:space="preserve"> </w:t>
      </w:r>
      <w:r w:rsidRPr="003E4A88">
        <w:rPr>
          <w:rFonts w:ascii="Arial" w:hAnsi="Arial" w:cs="Arial"/>
          <w:noProof/>
          <w:sz w:val="24"/>
          <w:szCs w:val="24"/>
        </w:rPr>
        <w:t xml:space="preserve">(2022) ‘Pharmacists improve diabetes outcomes: a randomized controlled trial’, </w:t>
      </w:r>
      <w:r w:rsidRPr="003E4A88">
        <w:rPr>
          <w:rFonts w:ascii="Arial" w:hAnsi="Arial" w:cs="Arial"/>
          <w:i/>
          <w:iCs/>
          <w:noProof/>
          <w:sz w:val="24"/>
          <w:szCs w:val="24"/>
        </w:rPr>
        <w:t>Journal of the American Pharmacists Association</w:t>
      </w:r>
      <w:r w:rsidRPr="003E4A88">
        <w:rPr>
          <w:rFonts w:ascii="Arial" w:hAnsi="Arial" w:cs="Arial"/>
          <w:noProof/>
          <w:sz w:val="24"/>
          <w:szCs w:val="24"/>
        </w:rPr>
        <w:t>. American Pharmacists Association®, 62(3), pp. 775-782.e3. doi: 10.1016/j.japh.2021.12.015.</w:t>
      </w:r>
    </w:p>
    <w:p w14:paraId="6BDCFFA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Wang, Y., Yeo, Q. Q. and Ko, Y. (2016) ‘Economic evaluations of pharmacist-managed services in people with diabetes mellitus: a systematic review.’, </w:t>
      </w:r>
      <w:r w:rsidRPr="003E4A88">
        <w:rPr>
          <w:rFonts w:ascii="Arial" w:hAnsi="Arial" w:cs="Arial"/>
          <w:i/>
          <w:iCs/>
          <w:noProof/>
          <w:sz w:val="24"/>
          <w:szCs w:val="24"/>
        </w:rPr>
        <w:t>Diabetic medicine : a journal of the British Diabetic Association</w:t>
      </w:r>
      <w:r w:rsidRPr="003E4A88">
        <w:rPr>
          <w:rFonts w:ascii="Arial" w:hAnsi="Arial" w:cs="Arial"/>
          <w:noProof/>
          <w:sz w:val="24"/>
          <w:szCs w:val="24"/>
        </w:rPr>
        <w:t>. England, 33(4), pp. 421–427. doi: https://dx.doi.org/10.1111/dme.12976.</w:t>
      </w:r>
    </w:p>
    <w:p w14:paraId="18493923"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i/>
          <w:iCs/>
          <w:noProof/>
          <w:sz w:val="24"/>
          <w:szCs w:val="24"/>
        </w:rPr>
        <w:t>Wasfaty</w:t>
      </w:r>
      <w:r w:rsidRPr="003E4A88">
        <w:rPr>
          <w:rFonts w:ascii="Arial" w:hAnsi="Arial" w:cs="Arial"/>
          <w:noProof/>
          <w:sz w:val="24"/>
          <w:szCs w:val="24"/>
        </w:rPr>
        <w:t xml:space="preserve"> (no date). Available at: https://wasfaty.sa/ (Accessed: 31 July 2019).</w:t>
      </w:r>
    </w:p>
    <w:p w14:paraId="4C21AA7D"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WHO (2000) </w:t>
      </w:r>
      <w:r w:rsidRPr="003E4A88">
        <w:rPr>
          <w:rFonts w:ascii="Arial" w:hAnsi="Arial" w:cs="Arial"/>
          <w:i/>
          <w:iCs/>
          <w:noProof/>
          <w:sz w:val="24"/>
          <w:szCs w:val="24"/>
        </w:rPr>
        <w:t>WHO | World Health Organization Assesses the World’s Health Systems</w:t>
      </w:r>
      <w:r w:rsidRPr="003E4A88">
        <w:rPr>
          <w:rFonts w:ascii="Arial" w:hAnsi="Arial" w:cs="Arial"/>
          <w:noProof/>
          <w:sz w:val="24"/>
          <w:szCs w:val="24"/>
        </w:rPr>
        <w:t>. Available at: https://www.who.int/whr/2000/media_centre/press_release/en/ (Accessed: 31 May 2020).</w:t>
      </w:r>
    </w:p>
    <w:p w14:paraId="42964EC8"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WHO (2016) ‘Saudi Arabia’, </w:t>
      </w:r>
      <w:r w:rsidRPr="003E4A88">
        <w:rPr>
          <w:rFonts w:ascii="Arial" w:hAnsi="Arial" w:cs="Arial"/>
          <w:i/>
          <w:iCs/>
          <w:noProof/>
          <w:sz w:val="24"/>
          <w:szCs w:val="24"/>
        </w:rPr>
        <w:t>Nature</w:t>
      </w:r>
      <w:r w:rsidRPr="003E4A88">
        <w:rPr>
          <w:rFonts w:ascii="Arial" w:hAnsi="Arial" w:cs="Arial"/>
          <w:noProof/>
          <w:sz w:val="24"/>
          <w:szCs w:val="24"/>
        </w:rPr>
        <w:t>, 532(7600), p. S1. doi: 10.1038/532S1a.</w:t>
      </w:r>
    </w:p>
    <w:p w14:paraId="1B59328A"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Willens, D. </w:t>
      </w:r>
      <w:r w:rsidRPr="003E4A88">
        <w:rPr>
          <w:rFonts w:ascii="Arial" w:hAnsi="Arial" w:cs="Arial"/>
          <w:i/>
          <w:iCs/>
          <w:noProof/>
          <w:sz w:val="24"/>
          <w:szCs w:val="24"/>
        </w:rPr>
        <w:t>et al.</w:t>
      </w:r>
      <w:r w:rsidRPr="003E4A88">
        <w:rPr>
          <w:rFonts w:ascii="Arial" w:hAnsi="Arial" w:cs="Arial"/>
          <w:noProof/>
          <w:sz w:val="24"/>
          <w:szCs w:val="24"/>
        </w:rPr>
        <w:t xml:space="preserve"> (2011) ‘Interdisciplinary Team Care for Diabetic Patients by Primary Care Physicians, Advanced Practice Nurses, and Clinical Pharmacists’, </w:t>
      </w:r>
      <w:r w:rsidRPr="003E4A88">
        <w:rPr>
          <w:rFonts w:ascii="Arial" w:hAnsi="Arial" w:cs="Arial"/>
          <w:i/>
          <w:iCs/>
          <w:noProof/>
          <w:sz w:val="24"/>
          <w:szCs w:val="24"/>
        </w:rPr>
        <w:t>Clinical Diabetes</w:t>
      </w:r>
      <w:r w:rsidRPr="003E4A88">
        <w:rPr>
          <w:rFonts w:ascii="Arial" w:hAnsi="Arial" w:cs="Arial"/>
          <w:noProof/>
          <w:sz w:val="24"/>
          <w:szCs w:val="24"/>
        </w:rPr>
        <w:t>, 29(2). Available at: https://pdfs.semanticscholar.org/6f99/50fd6247d19d0b54b826b25b47e63ab657d3.pdf (Accessed: 19 August 2019).</w:t>
      </w:r>
    </w:p>
    <w:p w14:paraId="47F4907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World Population Review organization (2023) </w:t>
      </w:r>
      <w:r w:rsidRPr="003E4A88">
        <w:rPr>
          <w:rFonts w:ascii="Arial" w:hAnsi="Arial" w:cs="Arial"/>
          <w:i/>
          <w:iCs/>
          <w:noProof/>
          <w:sz w:val="24"/>
          <w:szCs w:val="24"/>
        </w:rPr>
        <w:t>Diabetes Rates by Country</w:t>
      </w:r>
      <w:r w:rsidRPr="003E4A88">
        <w:rPr>
          <w:rFonts w:ascii="Arial" w:hAnsi="Arial" w:cs="Arial"/>
          <w:noProof/>
          <w:sz w:val="24"/>
          <w:szCs w:val="24"/>
        </w:rPr>
        <w:t>. Available at: https://worldpopulationreview.com/country-rankings/diabetes-rates-by-country.</w:t>
      </w:r>
    </w:p>
    <w:p w14:paraId="0C5788F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Wu, W.-C. </w:t>
      </w:r>
      <w:r w:rsidRPr="003E4A88">
        <w:rPr>
          <w:rFonts w:ascii="Arial" w:hAnsi="Arial" w:cs="Arial"/>
          <w:i/>
          <w:iCs/>
          <w:noProof/>
          <w:sz w:val="24"/>
          <w:szCs w:val="24"/>
        </w:rPr>
        <w:t>et al.</w:t>
      </w:r>
      <w:r w:rsidRPr="003E4A88">
        <w:rPr>
          <w:rFonts w:ascii="Arial" w:hAnsi="Arial" w:cs="Arial"/>
          <w:noProof/>
          <w:sz w:val="24"/>
          <w:szCs w:val="24"/>
        </w:rPr>
        <w:t xml:space="preserve"> (2018) ‘Costs and effectiveness of pharmacist-led group medical visits for type-2 diabetes: A multi-center randomized controlled trial.’, </w:t>
      </w:r>
      <w:r w:rsidRPr="003E4A88">
        <w:rPr>
          <w:rFonts w:ascii="Arial" w:hAnsi="Arial" w:cs="Arial"/>
          <w:i/>
          <w:iCs/>
          <w:noProof/>
          <w:sz w:val="24"/>
          <w:szCs w:val="24"/>
        </w:rPr>
        <w:t>PloS one</w:t>
      </w:r>
      <w:r w:rsidRPr="003E4A88">
        <w:rPr>
          <w:rFonts w:ascii="Arial" w:hAnsi="Arial" w:cs="Arial"/>
          <w:noProof/>
          <w:sz w:val="24"/>
          <w:szCs w:val="24"/>
        </w:rPr>
        <w:t>. Edited by J. P. van Wouwe. United States, 13(4), p. e0195898. doi: https://dx.doi.org/10.1371/journal.pone.0195898.</w:t>
      </w:r>
    </w:p>
    <w:p w14:paraId="152D3941"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Xiao, J. </w:t>
      </w:r>
      <w:r w:rsidRPr="003E4A88">
        <w:rPr>
          <w:rFonts w:ascii="Arial" w:hAnsi="Arial" w:cs="Arial"/>
          <w:i/>
          <w:iCs/>
          <w:noProof/>
          <w:sz w:val="24"/>
          <w:szCs w:val="24"/>
        </w:rPr>
        <w:t>et al.</w:t>
      </w:r>
      <w:r w:rsidRPr="003E4A88">
        <w:rPr>
          <w:rFonts w:ascii="Arial" w:hAnsi="Arial" w:cs="Arial"/>
          <w:noProof/>
          <w:sz w:val="24"/>
          <w:szCs w:val="24"/>
        </w:rPr>
        <w:t xml:space="preserve"> (2023) ‘Analysis of patient medication compliance and quality of life of physician-pharmacist collaborative clinics for T2DM management in primary healthcare in China: A mixed-methods study’, </w:t>
      </w:r>
      <w:r w:rsidRPr="003E4A88">
        <w:rPr>
          <w:rFonts w:ascii="Arial" w:hAnsi="Arial" w:cs="Arial"/>
          <w:i/>
          <w:iCs/>
          <w:noProof/>
          <w:sz w:val="24"/>
          <w:szCs w:val="24"/>
        </w:rPr>
        <w:t>Frontiers in Pharmacology</w:t>
      </w:r>
      <w:r w:rsidRPr="003E4A88">
        <w:rPr>
          <w:rFonts w:ascii="Arial" w:hAnsi="Arial" w:cs="Arial"/>
          <w:noProof/>
          <w:sz w:val="24"/>
          <w:szCs w:val="24"/>
        </w:rPr>
        <w:t>, 14(March), pp. 1–15. doi: 10.3389/fphar.2023.1098207.</w:t>
      </w:r>
    </w:p>
    <w:p w14:paraId="02FA32D5"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Yaghoubi, M. </w:t>
      </w:r>
      <w:r w:rsidRPr="003E4A88">
        <w:rPr>
          <w:rFonts w:ascii="Arial" w:hAnsi="Arial" w:cs="Arial"/>
          <w:i/>
          <w:iCs/>
          <w:noProof/>
          <w:sz w:val="24"/>
          <w:szCs w:val="24"/>
        </w:rPr>
        <w:t>et al.</w:t>
      </w:r>
      <w:r w:rsidRPr="003E4A88">
        <w:rPr>
          <w:rFonts w:ascii="Arial" w:hAnsi="Arial" w:cs="Arial"/>
          <w:noProof/>
          <w:sz w:val="24"/>
          <w:szCs w:val="24"/>
        </w:rPr>
        <w:t xml:space="preserve"> (2017) ‘Effects of Pharmacy-Based Interventions on the Control and Management of Diabetes in Adults: A Systematic Review and Meta-Analysis.’, </w:t>
      </w:r>
      <w:r w:rsidRPr="003E4A88">
        <w:rPr>
          <w:rFonts w:ascii="Arial" w:hAnsi="Arial" w:cs="Arial"/>
          <w:i/>
          <w:iCs/>
          <w:noProof/>
          <w:sz w:val="24"/>
          <w:szCs w:val="24"/>
        </w:rPr>
        <w:t>Canadian journal of diabetes</w:t>
      </w:r>
      <w:r w:rsidRPr="003E4A88">
        <w:rPr>
          <w:rFonts w:ascii="Arial" w:hAnsi="Arial" w:cs="Arial"/>
          <w:noProof/>
          <w:sz w:val="24"/>
          <w:szCs w:val="24"/>
        </w:rPr>
        <w:t>. Canada, 41(6), pp. 628–641. doi: https://dx.doi.org/10.1016/j.jcjd.2017.09.014.</w:t>
      </w:r>
    </w:p>
    <w:p w14:paraId="537CBC0B" w14:textId="77777777" w:rsidR="003E4A88" w:rsidRPr="003E4A88" w:rsidRDefault="003E4A88" w:rsidP="003E4A88">
      <w:pPr>
        <w:widowControl w:val="0"/>
        <w:autoSpaceDE w:val="0"/>
        <w:autoSpaceDN w:val="0"/>
        <w:adjustRightInd w:val="0"/>
        <w:spacing w:line="240" w:lineRule="auto"/>
        <w:rPr>
          <w:rFonts w:ascii="Arial" w:hAnsi="Arial" w:cs="Arial"/>
          <w:noProof/>
          <w:sz w:val="24"/>
          <w:szCs w:val="24"/>
        </w:rPr>
      </w:pPr>
      <w:r w:rsidRPr="003E4A88">
        <w:rPr>
          <w:rFonts w:ascii="Arial" w:hAnsi="Arial" w:cs="Arial"/>
          <w:noProof/>
          <w:sz w:val="24"/>
          <w:szCs w:val="24"/>
        </w:rPr>
        <w:t xml:space="preserve">Yee Lee Siaw, M., Heng Toh, J. and Yu-Chia Lee, J. (2018) ‘Patients’ perceptions of pharmacist-managed diabetes services in the ambulatory care and community settings within Singapore’, </w:t>
      </w:r>
      <w:r w:rsidRPr="003E4A88">
        <w:rPr>
          <w:rFonts w:ascii="Arial" w:hAnsi="Arial" w:cs="Arial"/>
          <w:i/>
          <w:iCs/>
          <w:noProof/>
          <w:sz w:val="24"/>
          <w:szCs w:val="24"/>
        </w:rPr>
        <w:t>International Journal of Clinical Pharmacy</w:t>
      </w:r>
      <w:r w:rsidRPr="003E4A88">
        <w:rPr>
          <w:rFonts w:ascii="Arial" w:hAnsi="Arial" w:cs="Arial"/>
          <w:noProof/>
          <w:sz w:val="24"/>
          <w:szCs w:val="24"/>
        </w:rPr>
        <w:t>, 40(3), pp. 403–411. doi: 10.1007/s11096-018-0591-2.</w:t>
      </w:r>
    </w:p>
    <w:p w14:paraId="7346C158" w14:textId="77777777" w:rsidR="003E4A88" w:rsidRPr="003E4A88" w:rsidRDefault="003E4A88" w:rsidP="003E4A88">
      <w:pPr>
        <w:widowControl w:val="0"/>
        <w:autoSpaceDE w:val="0"/>
        <w:autoSpaceDN w:val="0"/>
        <w:adjustRightInd w:val="0"/>
        <w:spacing w:line="240" w:lineRule="auto"/>
        <w:rPr>
          <w:rFonts w:ascii="Arial" w:hAnsi="Arial" w:cs="Arial"/>
          <w:noProof/>
          <w:sz w:val="24"/>
        </w:rPr>
      </w:pPr>
      <w:r w:rsidRPr="003E4A88">
        <w:rPr>
          <w:rFonts w:ascii="Arial" w:hAnsi="Arial" w:cs="Arial"/>
          <w:noProof/>
          <w:sz w:val="24"/>
          <w:szCs w:val="24"/>
        </w:rPr>
        <w:t xml:space="preserve">Zachariah, S. </w:t>
      </w:r>
      <w:r w:rsidRPr="003E4A88">
        <w:rPr>
          <w:rFonts w:ascii="Arial" w:hAnsi="Arial" w:cs="Arial"/>
          <w:i/>
          <w:iCs/>
          <w:noProof/>
          <w:sz w:val="24"/>
          <w:szCs w:val="24"/>
        </w:rPr>
        <w:t>et al.</w:t>
      </w:r>
      <w:r w:rsidRPr="003E4A88">
        <w:rPr>
          <w:rFonts w:ascii="Arial" w:hAnsi="Arial" w:cs="Arial"/>
          <w:noProof/>
          <w:sz w:val="24"/>
          <w:szCs w:val="24"/>
        </w:rPr>
        <w:t xml:space="preserve"> (2019) ‘Rational Drug Use, Formulary Management, Pharmaceutical Care/Medication Therapy Management/Pharmacists’ Patient Care Process’, </w:t>
      </w:r>
      <w:r w:rsidRPr="003E4A88">
        <w:rPr>
          <w:rFonts w:ascii="Arial" w:hAnsi="Arial" w:cs="Arial"/>
          <w:i/>
          <w:iCs/>
          <w:noProof/>
          <w:sz w:val="24"/>
          <w:szCs w:val="24"/>
        </w:rPr>
        <w:t>Clinical Pharmacy Education, Practice and Research</w:t>
      </w:r>
      <w:r w:rsidRPr="003E4A88">
        <w:rPr>
          <w:rFonts w:ascii="Arial" w:hAnsi="Arial" w:cs="Arial"/>
          <w:noProof/>
          <w:sz w:val="24"/>
          <w:szCs w:val="24"/>
        </w:rPr>
        <w:t>. Elsevier, pp. 59–77. doi: 10.1016/B978-0-12-814276-9.00005-2.</w:t>
      </w:r>
    </w:p>
    <w:p w14:paraId="0B5257E6" w14:textId="66465136" w:rsidR="006E056C" w:rsidRDefault="007371BF">
      <w:pPr>
        <w:rPr>
          <w:rFonts w:asciiTheme="minorBidi" w:hAnsiTheme="minorBidi"/>
          <w:sz w:val="24"/>
          <w:szCs w:val="24"/>
        </w:rPr>
      </w:pPr>
      <w:r>
        <w:rPr>
          <w:rFonts w:asciiTheme="minorBidi" w:hAnsiTheme="minorBidi"/>
          <w:sz w:val="24"/>
          <w:szCs w:val="24"/>
        </w:rPr>
        <w:fldChar w:fldCharType="end"/>
      </w:r>
      <w:r w:rsidR="006E056C">
        <w:rPr>
          <w:rFonts w:asciiTheme="minorBidi" w:hAnsiTheme="minorBidi"/>
          <w:sz w:val="24"/>
          <w:szCs w:val="24"/>
        </w:rPr>
        <w:br w:type="page"/>
      </w:r>
    </w:p>
    <w:p w14:paraId="54C8804E" w14:textId="77777777" w:rsidR="00FF323F" w:rsidRDefault="00FF323F" w:rsidP="00FF323F">
      <w:pPr>
        <w:pStyle w:val="Heading1"/>
      </w:pPr>
      <w:bookmarkStart w:id="294" w:name="_Toc153894226"/>
      <w:r>
        <w:t>Appendices</w:t>
      </w:r>
      <w:bookmarkEnd w:id="294"/>
      <w:r>
        <w:t xml:space="preserve"> </w:t>
      </w:r>
    </w:p>
    <w:p w14:paraId="2AEF09F4" w14:textId="4D535A9D" w:rsidR="00FF323F" w:rsidRDefault="00FF323F" w:rsidP="00C74363">
      <w:pPr>
        <w:pStyle w:val="Heading1"/>
        <w:rPr>
          <w:sz w:val="24"/>
          <w:szCs w:val="24"/>
          <w:lang w:val="en-GB"/>
        </w:rPr>
      </w:pPr>
      <w:bookmarkStart w:id="295" w:name="_Ref148511421"/>
      <w:bookmarkStart w:id="296" w:name="_Toc148518761"/>
      <w:bookmarkStart w:id="297" w:name="_Toc150609770"/>
      <w:bookmarkStart w:id="298" w:name="_Toc153894227"/>
      <w:bookmarkStart w:id="299" w:name="_Toc122626467"/>
      <w:bookmarkStart w:id="300" w:name="_Ref124373133"/>
      <w:bookmarkStart w:id="301" w:name="_Ref124373165"/>
      <w:bookmarkStart w:id="302" w:name="_Ref124373178"/>
      <w:bookmarkStart w:id="303" w:name="_Ref124373299"/>
      <w:bookmarkStart w:id="304" w:name="_Toc124889201"/>
      <w:bookmarkStart w:id="305" w:name="_Toc124890438"/>
      <w:bookmarkStart w:id="306" w:name="_Toc126069982"/>
      <w:bookmarkStart w:id="307" w:name="_Toc127835988"/>
      <w:bookmarkStart w:id="308" w:name="_Toc128061918"/>
      <w:r w:rsidRPr="00C7459E">
        <w:rPr>
          <w:sz w:val="24"/>
          <w:szCs w:val="24"/>
          <w:lang w:val="en-GB"/>
        </w:rPr>
        <w:t xml:space="preserve">Appendix A: </w:t>
      </w:r>
      <w:r w:rsidR="00935868" w:rsidRPr="00C7459E">
        <w:rPr>
          <w:sz w:val="24"/>
          <w:szCs w:val="24"/>
          <w:lang w:val="en-GB"/>
        </w:rPr>
        <w:t>Job description of pharmacists in the PHC in KSA</w:t>
      </w:r>
      <w:bookmarkEnd w:id="295"/>
      <w:bookmarkEnd w:id="296"/>
      <w:bookmarkEnd w:id="297"/>
      <w:bookmarkEnd w:id="298"/>
      <w:r w:rsidR="00935868" w:rsidRPr="00C7459E">
        <w:rPr>
          <w:sz w:val="24"/>
          <w:szCs w:val="24"/>
          <w:lang w:val="en-GB"/>
        </w:rPr>
        <w:t xml:space="preserve"> </w:t>
      </w:r>
      <w:bookmarkEnd w:id="299"/>
      <w:bookmarkEnd w:id="300"/>
      <w:bookmarkEnd w:id="301"/>
      <w:bookmarkEnd w:id="302"/>
      <w:bookmarkEnd w:id="303"/>
      <w:bookmarkEnd w:id="304"/>
      <w:bookmarkEnd w:id="305"/>
      <w:bookmarkEnd w:id="306"/>
      <w:bookmarkEnd w:id="307"/>
      <w:bookmarkEnd w:id="308"/>
    </w:p>
    <w:p w14:paraId="2F5D9269" w14:textId="5F12A6CE" w:rsidR="00FF323F" w:rsidRDefault="00C74363" w:rsidP="00705EAE">
      <w:pPr>
        <w:rPr>
          <w:lang w:val="en-GB"/>
        </w:rPr>
      </w:pPr>
      <w:r w:rsidRPr="006B2FC7">
        <w:rPr>
          <w:rFonts w:ascii="Arial" w:hAnsi="Arial" w:cs="Arial"/>
          <w:noProof/>
        </w:rPr>
        <w:drawing>
          <wp:inline distT="0" distB="0" distL="0" distR="0" wp14:anchorId="571895DD" wp14:editId="653A2808">
            <wp:extent cx="5247249" cy="6905152"/>
            <wp:effectExtent l="0" t="0" r="0" b="0"/>
            <wp:docPr id="41" name="Picture 4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Word&#10;&#10;Description automatically generated"/>
                    <pic:cNvPicPr/>
                  </pic:nvPicPr>
                  <pic:blipFill rotWithShape="1">
                    <a:blip r:embed="rId31"/>
                    <a:srcRect l="33967" t="21256" r="35727" b="7845"/>
                    <a:stretch/>
                  </pic:blipFill>
                  <pic:spPr bwMode="auto">
                    <a:xfrm>
                      <a:off x="0" y="0"/>
                      <a:ext cx="5264675" cy="6928084"/>
                    </a:xfrm>
                    <a:prstGeom prst="rect">
                      <a:avLst/>
                    </a:prstGeom>
                    <a:ln>
                      <a:noFill/>
                    </a:ln>
                    <a:extLst>
                      <a:ext uri="{53640926-AAD7-44D8-BBD7-CCE9431645EC}">
                        <a14:shadowObscured xmlns:a14="http://schemas.microsoft.com/office/drawing/2010/main"/>
                      </a:ext>
                    </a:extLst>
                  </pic:spPr>
                </pic:pic>
              </a:graphicData>
            </a:graphic>
          </wp:inline>
        </w:drawing>
      </w:r>
    </w:p>
    <w:p w14:paraId="33C68589" w14:textId="77777777" w:rsidR="00FF323F" w:rsidRDefault="00FF323F" w:rsidP="00FF323F">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3B402FE2" w14:textId="2879C28D" w:rsidR="00705EAE" w:rsidRDefault="00705EAE" w:rsidP="00FF323F">
      <w:pPr>
        <w:rPr>
          <w:rFonts w:ascii="Arial" w:hAnsi="Arial" w:cs="Arial"/>
          <w:i/>
          <w:iCs/>
          <w:color w:val="44546A" w:themeColor="text2"/>
          <w:sz w:val="18"/>
          <w:szCs w:val="18"/>
          <w:lang w:val="en-GB"/>
        </w:rPr>
      </w:pPr>
      <w:r w:rsidRPr="006B2FC7">
        <w:rPr>
          <w:rFonts w:ascii="Arial" w:hAnsi="Arial" w:cs="Arial"/>
          <w:noProof/>
        </w:rPr>
        <w:drawing>
          <wp:inline distT="0" distB="0" distL="0" distR="0" wp14:anchorId="62295FB5" wp14:editId="68497D57">
            <wp:extent cx="5303520" cy="6772423"/>
            <wp:effectExtent l="0" t="0" r="0" b="9525"/>
            <wp:docPr id="42" name="Picture 4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Word&#10;&#10;Description automatically generated"/>
                    <pic:cNvPicPr/>
                  </pic:nvPicPr>
                  <pic:blipFill rotWithShape="1">
                    <a:blip r:embed="rId32"/>
                    <a:srcRect l="34443" t="23151" r="35251" b="8048"/>
                    <a:stretch/>
                  </pic:blipFill>
                  <pic:spPr bwMode="auto">
                    <a:xfrm>
                      <a:off x="0" y="0"/>
                      <a:ext cx="5321976" cy="6795991"/>
                    </a:xfrm>
                    <a:prstGeom prst="rect">
                      <a:avLst/>
                    </a:prstGeom>
                    <a:ln>
                      <a:noFill/>
                    </a:ln>
                    <a:extLst>
                      <a:ext uri="{53640926-AAD7-44D8-BBD7-CCE9431645EC}">
                        <a14:shadowObscured xmlns:a14="http://schemas.microsoft.com/office/drawing/2010/main"/>
                      </a:ext>
                    </a:extLst>
                  </pic:spPr>
                </pic:pic>
              </a:graphicData>
            </a:graphic>
          </wp:inline>
        </w:drawing>
      </w:r>
    </w:p>
    <w:p w14:paraId="28070F2F" w14:textId="77777777" w:rsidR="00705EAE" w:rsidRDefault="00705EAE" w:rsidP="00705EAE">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41DFEADC" w14:textId="13AABFD7" w:rsidR="00B50C57" w:rsidRPr="005F387D" w:rsidRDefault="00B50C57" w:rsidP="00705EAE">
      <w:pPr>
        <w:rPr>
          <w:rFonts w:ascii="Arial" w:hAnsi="Arial" w:cs="Arial"/>
          <w:i/>
          <w:iCs/>
          <w:color w:val="44546A" w:themeColor="text2"/>
          <w:sz w:val="18"/>
          <w:szCs w:val="18"/>
          <w:lang w:val="en-GB"/>
        </w:rPr>
      </w:pPr>
      <w:r w:rsidRPr="006B2FC7">
        <w:rPr>
          <w:rFonts w:ascii="Arial" w:hAnsi="Arial" w:cs="Arial"/>
          <w:noProof/>
        </w:rPr>
        <w:drawing>
          <wp:inline distT="0" distB="0" distL="0" distR="0" wp14:anchorId="188E62F7" wp14:editId="297758A0">
            <wp:extent cx="5695950" cy="2203450"/>
            <wp:effectExtent l="0" t="0" r="0" b="6350"/>
            <wp:docPr id="43" name="Picture 4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 Word&#10;&#10;Description automatically generated"/>
                    <pic:cNvPicPr/>
                  </pic:nvPicPr>
                  <pic:blipFill rotWithShape="1">
                    <a:blip r:embed="rId33"/>
                    <a:srcRect l="33966" t="22742" r="34898" b="55847"/>
                    <a:stretch/>
                  </pic:blipFill>
                  <pic:spPr bwMode="auto">
                    <a:xfrm>
                      <a:off x="0" y="0"/>
                      <a:ext cx="5709996" cy="2208884"/>
                    </a:xfrm>
                    <a:prstGeom prst="rect">
                      <a:avLst/>
                    </a:prstGeom>
                    <a:ln>
                      <a:noFill/>
                    </a:ln>
                    <a:extLst>
                      <a:ext uri="{53640926-AAD7-44D8-BBD7-CCE9431645EC}">
                        <a14:shadowObscured xmlns:a14="http://schemas.microsoft.com/office/drawing/2010/main"/>
                      </a:ext>
                    </a:extLst>
                  </pic:spPr>
                </pic:pic>
              </a:graphicData>
            </a:graphic>
          </wp:inline>
        </w:drawing>
      </w:r>
    </w:p>
    <w:p w14:paraId="40F36CBE" w14:textId="77777777" w:rsidR="00B50C57" w:rsidRPr="005F387D" w:rsidRDefault="00B50C57" w:rsidP="00B50C57">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3A0334A2" w14:textId="15E21E43" w:rsidR="00705EAE" w:rsidRDefault="009B666C" w:rsidP="00FF323F">
      <w:pPr>
        <w:rPr>
          <w:rFonts w:ascii="Arial" w:hAnsi="Arial" w:cs="Arial"/>
          <w:i/>
          <w:iCs/>
          <w:color w:val="44546A" w:themeColor="text2"/>
          <w:sz w:val="18"/>
          <w:szCs w:val="18"/>
          <w:lang w:val="en-GB"/>
        </w:rPr>
      </w:pPr>
      <w:r w:rsidRPr="006B2FC7">
        <w:rPr>
          <w:rFonts w:ascii="Arial" w:hAnsi="Arial" w:cs="Arial"/>
          <w:noProof/>
        </w:rPr>
        <w:drawing>
          <wp:inline distT="0" distB="0" distL="0" distR="0" wp14:anchorId="1EAFB055" wp14:editId="550C6500">
            <wp:extent cx="4914900" cy="7093298"/>
            <wp:effectExtent l="0" t="0" r="0" b="0"/>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pic:nvPicPr>
                  <pic:blipFill rotWithShape="1">
                    <a:blip r:embed="rId34"/>
                    <a:srcRect l="26175" t="14245" r="44658" b="10921"/>
                    <a:stretch/>
                  </pic:blipFill>
                  <pic:spPr bwMode="auto">
                    <a:xfrm>
                      <a:off x="0" y="0"/>
                      <a:ext cx="4930071" cy="7115193"/>
                    </a:xfrm>
                    <a:prstGeom prst="rect">
                      <a:avLst/>
                    </a:prstGeom>
                    <a:ln>
                      <a:noFill/>
                    </a:ln>
                    <a:extLst>
                      <a:ext uri="{53640926-AAD7-44D8-BBD7-CCE9431645EC}">
                        <a14:shadowObscured xmlns:a14="http://schemas.microsoft.com/office/drawing/2010/main"/>
                      </a:ext>
                    </a:extLst>
                  </pic:spPr>
                </pic:pic>
              </a:graphicData>
            </a:graphic>
          </wp:inline>
        </w:drawing>
      </w:r>
    </w:p>
    <w:p w14:paraId="7694C759" w14:textId="77777777" w:rsidR="009B666C" w:rsidRDefault="009B666C" w:rsidP="009B666C">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07C249DD" w14:textId="1C98D765" w:rsidR="009B666C" w:rsidRPr="005F387D" w:rsidRDefault="009B666C" w:rsidP="009B666C">
      <w:pPr>
        <w:rPr>
          <w:rFonts w:ascii="Arial" w:hAnsi="Arial" w:cs="Arial"/>
          <w:i/>
          <w:iCs/>
          <w:color w:val="44546A" w:themeColor="text2"/>
          <w:sz w:val="18"/>
          <w:szCs w:val="18"/>
          <w:lang w:val="en-GB"/>
        </w:rPr>
      </w:pPr>
      <w:r w:rsidRPr="006B2FC7">
        <w:rPr>
          <w:rFonts w:ascii="Arial" w:hAnsi="Arial" w:cs="Arial"/>
          <w:noProof/>
        </w:rPr>
        <w:drawing>
          <wp:inline distT="0" distB="0" distL="0" distR="0" wp14:anchorId="2E8C0BD8" wp14:editId="4DAF2241">
            <wp:extent cx="4874455" cy="7385538"/>
            <wp:effectExtent l="0" t="0" r="2540" b="635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35"/>
                    <a:srcRect l="28098" t="21083" r="47045" b="11965"/>
                    <a:stretch/>
                  </pic:blipFill>
                  <pic:spPr bwMode="auto">
                    <a:xfrm>
                      <a:off x="0" y="0"/>
                      <a:ext cx="4883111" cy="7398654"/>
                    </a:xfrm>
                    <a:prstGeom prst="rect">
                      <a:avLst/>
                    </a:prstGeom>
                    <a:ln>
                      <a:noFill/>
                    </a:ln>
                    <a:extLst>
                      <a:ext uri="{53640926-AAD7-44D8-BBD7-CCE9431645EC}">
                        <a14:shadowObscured xmlns:a14="http://schemas.microsoft.com/office/drawing/2010/main"/>
                      </a:ext>
                    </a:extLst>
                  </pic:spPr>
                </pic:pic>
              </a:graphicData>
            </a:graphic>
          </wp:inline>
        </w:drawing>
      </w:r>
    </w:p>
    <w:p w14:paraId="0E00DF55" w14:textId="77E9ECC5" w:rsidR="00FF323F" w:rsidRPr="004A7618" w:rsidRDefault="00B70059" w:rsidP="004A7618">
      <w:pPr>
        <w:rPr>
          <w:rFonts w:ascii="Arial" w:hAnsi="Arial" w:cs="Arial"/>
          <w:i/>
          <w:iCs/>
          <w:color w:val="44546A" w:themeColor="text2"/>
          <w:sz w:val="18"/>
          <w:szCs w:val="18"/>
          <w:lang w:val="en-GB"/>
        </w:rPr>
        <w:sectPr w:rsidR="00FF323F" w:rsidRPr="004A7618" w:rsidSect="00282204">
          <w:pgSz w:w="12240" w:h="15840"/>
          <w:pgMar w:top="1440" w:right="1440" w:bottom="1440" w:left="1440" w:header="720" w:footer="720" w:gutter="0"/>
          <w:cols w:space="720"/>
          <w:docGrid w:linePitch="360"/>
        </w:sect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National Primary Healthcare Standards, 2015, Saudi Central Board for Accreditation of Healthcare Institutions (CBAH</w:t>
      </w:r>
    </w:p>
    <w:p w14:paraId="571398FE" w14:textId="0384C5F9" w:rsidR="00FF323F" w:rsidRDefault="00FF323F" w:rsidP="00FF323F">
      <w:pPr>
        <w:rPr>
          <w:lang w:val="en-GB"/>
        </w:rPr>
      </w:pPr>
    </w:p>
    <w:p w14:paraId="25E13CF0" w14:textId="3F13193E" w:rsidR="00FF323F" w:rsidRDefault="00FF323F" w:rsidP="00705EAE">
      <w:pPr>
        <w:pStyle w:val="Heading1"/>
        <w:rPr>
          <w:sz w:val="24"/>
          <w:szCs w:val="24"/>
          <w:lang w:val="en-GB"/>
        </w:rPr>
      </w:pPr>
      <w:bookmarkStart w:id="309" w:name="_Ref148511450"/>
      <w:bookmarkStart w:id="310" w:name="_Toc148518762"/>
      <w:bookmarkStart w:id="311" w:name="_Toc150609771"/>
      <w:bookmarkStart w:id="312" w:name="_Toc153894228"/>
      <w:bookmarkStart w:id="313" w:name="_Toc122626468"/>
      <w:bookmarkStart w:id="314" w:name="_Ref124373428"/>
      <w:bookmarkStart w:id="315" w:name="_Toc124889202"/>
      <w:bookmarkStart w:id="316" w:name="_Toc124890439"/>
      <w:bookmarkStart w:id="317" w:name="_Toc126069983"/>
      <w:bookmarkStart w:id="318" w:name="_Toc127835989"/>
      <w:bookmarkStart w:id="319" w:name="_Toc128061919"/>
      <w:r w:rsidRPr="00C7459E">
        <w:rPr>
          <w:sz w:val="24"/>
          <w:szCs w:val="24"/>
          <w:lang w:val="en-GB"/>
        </w:rPr>
        <w:t>Appendix B:</w:t>
      </w:r>
      <w:r w:rsidR="00705EAE">
        <w:rPr>
          <w:sz w:val="24"/>
          <w:szCs w:val="24"/>
          <w:lang w:val="en-GB"/>
        </w:rPr>
        <w:t xml:space="preserve"> </w:t>
      </w:r>
      <w:r w:rsidR="00705EAE" w:rsidRPr="00C7459E">
        <w:rPr>
          <w:sz w:val="24"/>
          <w:szCs w:val="24"/>
          <w:lang w:val="en-GB"/>
        </w:rPr>
        <w:t>Job description of pharmacy technician in PHC in KSA</w:t>
      </w:r>
      <w:bookmarkEnd w:id="309"/>
      <w:bookmarkEnd w:id="310"/>
      <w:bookmarkEnd w:id="311"/>
      <w:bookmarkEnd w:id="312"/>
      <w:r w:rsidRPr="00C7459E">
        <w:rPr>
          <w:sz w:val="24"/>
          <w:szCs w:val="24"/>
          <w:lang w:val="en-GB"/>
        </w:rPr>
        <w:t xml:space="preserve"> </w:t>
      </w:r>
      <w:bookmarkEnd w:id="313"/>
      <w:bookmarkEnd w:id="314"/>
      <w:bookmarkEnd w:id="315"/>
      <w:bookmarkEnd w:id="316"/>
      <w:bookmarkEnd w:id="317"/>
      <w:bookmarkEnd w:id="318"/>
      <w:bookmarkEnd w:id="319"/>
    </w:p>
    <w:p w14:paraId="0A14FFDB" w14:textId="62A824D0" w:rsidR="007361CE" w:rsidRDefault="007361CE" w:rsidP="007361CE">
      <w:pPr>
        <w:rPr>
          <w:lang w:val="en-GB"/>
        </w:rPr>
      </w:pPr>
      <w:r w:rsidRPr="006B2FC7">
        <w:rPr>
          <w:rFonts w:ascii="Arial" w:hAnsi="Arial" w:cs="Arial"/>
          <w:noProof/>
        </w:rPr>
        <w:drawing>
          <wp:inline distT="0" distB="0" distL="0" distR="0" wp14:anchorId="67991880" wp14:editId="774DD7A3">
            <wp:extent cx="4559300" cy="6271300"/>
            <wp:effectExtent l="0" t="0" r="0" b="0"/>
            <wp:docPr id="44" name="Picture 4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 Word&#10;&#10;Description automatically generated"/>
                    <pic:cNvPicPr/>
                  </pic:nvPicPr>
                  <pic:blipFill rotWithShape="1">
                    <a:blip r:embed="rId36"/>
                    <a:srcRect l="33965" t="9682" r="35148" b="14790"/>
                    <a:stretch/>
                  </pic:blipFill>
                  <pic:spPr bwMode="auto">
                    <a:xfrm>
                      <a:off x="0" y="0"/>
                      <a:ext cx="4577820" cy="6296774"/>
                    </a:xfrm>
                    <a:prstGeom prst="rect">
                      <a:avLst/>
                    </a:prstGeom>
                    <a:ln>
                      <a:noFill/>
                    </a:ln>
                    <a:extLst>
                      <a:ext uri="{53640926-AAD7-44D8-BBD7-CCE9431645EC}">
                        <a14:shadowObscured xmlns:a14="http://schemas.microsoft.com/office/drawing/2010/main"/>
                      </a:ext>
                    </a:extLst>
                  </pic:spPr>
                </pic:pic>
              </a:graphicData>
            </a:graphic>
          </wp:inline>
        </w:drawing>
      </w:r>
    </w:p>
    <w:p w14:paraId="2BB75B23" w14:textId="77777777" w:rsidR="00655275" w:rsidRPr="005F387D" w:rsidRDefault="00655275" w:rsidP="00655275">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35B995DF" w14:textId="5527C485" w:rsidR="00655275" w:rsidRDefault="00655275" w:rsidP="007361CE">
      <w:pPr>
        <w:rPr>
          <w:lang w:val="en-GB"/>
        </w:rPr>
      </w:pPr>
      <w:r w:rsidRPr="006B2FC7">
        <w:rPr>
          <w:rFonts w:ascii="Arial" w:hAnsi="Arial" w:cs="Arial"/>
          <w:noProof/>
        </w:rPr>
        <w:drawing>
          <wp:inline distT="0" distB="0" distL="0" distR="0" wp14:anchorId="71AB1627" wp14:editId="4B7DCF54">
            <wp:extent cx="5155809" cy="7022960"/>
            <wp:effectExtent l="0" t="0" r="6985" b="6985"/>
            <wp:docPr id="45" name="Picture 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Word&#10;&#10;Description automatically generated"/>
                    <pic:cNvPicPr/>
                  </pic:nvPicPr>
                  <pic:blipFill rotWithShape="1">
                    <a:blip r:embed="rId37"/>
                    <a:srcRect l="34083" t="9050" r="34901" b="15844"/>
                    <a:stretch/>
                  </pic:blipFill>
                  <pic:spPr bwMode="auto">
                    <a:xfrm>
                      <a:off x="0" y="0"/>
                      <a:ext cx="5168023" cy="7039597"/>
                    </a:xfrm>
                    <a:prstGeom prst="rect">
                      <a:avLst/>
                    </a:prstGeom>
                    <a:ln>
                      <a:noFill/>
                    </a:ln>
                    <a:extLst>
                      <a:ext uri="{53640926-AAD7-44D8-BBD7-CCE9431645EC}">
                        <a14:shadowObscured xmlns:a14="http://schemas.microsoft.com/office/drawing/2010/main"/>
                      </a:ext>
                    </a:extLst>
                  </pic:spPr>
                </pic:pic>
              </a:graphicData>
            </a:graphic>
          </wp:inline>
        </w:drawing>
      </w:r>
    </w:p>
    <w:p w14:paraId="63CDE677" w14:textId="77777777" w:rsidR="00683238" w:rsidRPr="005F387D" w:rsidRDefault="00683238" w:rsidP="00683238">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6D0F59B1" w14:textId="77777777" w:rsidR="00683238" w:rsidRPr="006B2FC7" w:rsidRDefault="00683238" w:rsidP="00683238">
      <w:pPr>
        <w:rPr>
          <w:rFonts w:ascii="Arial" w:hAnsi="Arial" w:cs="Arial"/>
          <w:lang w:val="en-GB"/>
        </w:rPr>
      </w:pPr>
    </w:p>
    <w:p w14:paraId="32B84F7B" w14:textId="77777777" w:rsidR="00683238" w:rsidRDefault="00683238" w:rsidP="007361CE">
      <w:pPr>
        <w:rPr>
          <w:lang w:val="en-GB"/>
        </w:rPr>
      </w:pPr>
    </w:p>
    <w:p w14:paraId="4B1A9D80" w14:textId="5172B57A" w:rsidR="00683238" w:rsidRDefault="00683238" w:rsidP="007361CE">
      <w:pPr>
        <w:rPr>
          <w:lang w:val="en-GB"/>
        </w:rPr>
      </w:pPr>
      <w:r w:rsidRPr="006B2FC7">
        <w:rPr>
          <w:rFonts w:ascii="Arial" w:hAnsi="Arial" w:cs="Arial"/>
          <w:noProof/>
        </w:rPr>
        <w:drawing>
          <wp:inline distT="0" distB="0" distL="0" distR="0" wp14:anchorId="38A8F60B" wp14:editId="44F3CCFA">
            <wp:extent cx="5264150" cy="4737100"/>
            <wp:effectExtent l="0" t="0" r="0" b="6350"/>
            <wp:docPr id="46" name="Picture 4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ord&#10;&#10;Description automatically generated"/>
                    <pic:cNvPicPr/>
                  </pic:nvPicPr>
                  <pic:blipFill rotWithShape="1">
                    <a:blip r:embed="rId38"/>
                    <a:srcRect l="34445" t="11365" r="34642" b="39180"/>
                    <a:stretch/>
                  </pic:blipFill>
                  <pic:spPr bwMode="auto">
                    <a:xfrm>
                      <a:off x="0" y="0"/>
                      <a:ext cx="5291695" cy="4761887"/>
                    </a:xfrm>
                    <a:prstGeom prst="rect">
                      <a:avLst/>
                    </a:prstGeom>
                    <a:ln>
                      <a:noFill/>
                    </a:ln>
                    <a:extLst>
                      <a:ext uri="{53640926-AAD7-44D8-BBD7-CCE9431645EC}">
                        <a14:shadowObscured xmlns:a14="http://schemas.microsoft.com/office/drawing/2010/main"/>
                      </a:ext>
                    </a:extLst>
                  </pic:spPr>
                </pic:pic>
              </a:graphicData>
            </a:graphic>
          </wp:inline>
        </w:drawing>
      </w:r>
    </w:p>
    <w:p w14:paraId="1AE937F4" w14:textId="38B19A27" w:rsidR="0006707F" w:rsidRPr="002D114E" w:rsidRDefault="00683238" w:rsidP="002D114E">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National Primary Healthcare Standards, 2015, Saudi Central Board for Accreditation of Healthcare Institutions (CBAHI)</w:t>
      </w:r>
    </w:p>
    <w:p w14:paraId="7AECDB6A" w14:textId="77777777" w:rsidR="00B66194" w:rsidRDefault="00B66194">
      <w:pPr>
        <w:rPr>
          <w:rFonts w:asciiTheme="majorHAnsi" w:eastAsiaTheme="majorEastAsia" w:hAnsiTheme="majorHAnsi" w:cstheme="majorBidi"/>
          <w:color w:val="2F5496" w:themeColor="accent1" w:themeShade="BF"/>
          <w:sz w:val="24"/>
          <w:szCs w:val="24"/>
          <w:lang w:val="en-GB"/>
        </w:rPr>
      </w:pPr>
      <w:bookmarkStart w:id="320" w:name="_Toc122626469"/>
      <w:bookmarkStart w:id="321" w:name="_Ref124373549"/>
      <w:bookmarkStart w:id="322" w:name="_Toc124889203"/>
      <w:bookmarkStart w:id="323" w:name="_Toc124890440"/>
      <w:bookmarkStart w:id="324" w:name="_Toc126069984"/>
      <w:bookmarkStart w:id="325" w:name="_Toc127835990"/>
      <w:bookmarkStart w:id="326" w:name="_Toc128061920"/>
      <w:bookmarkStart w:id="327" w:name="_Ref148511565"/>
      <w:bookmarkStart w:id="328" w:name="_Toc148518763"/>
      <w:bookmarkStart w:id="329" w:name="_Toc150609772"/>
      <w:bookmarkStart w:id="330" w:name="_Toc153894229"/>
      <w:r>
        <w:rPr>
          <w:sz w:val="24"/>
          <w:szCs w:val="24"/>
          <w:lang w:val="en-GB"/>
        </w:rPr>
        <w:br w:type="page"/>
      </w:r>
    </w:p>
    <w:p w14:paraId="676247ED" w14:textId="6A27164A" w:rsidR="00FF323F" w:rsidRPr="00027968" w:rsidRDefault="00FF323F" w:rsidP="00027968">
      <w:pPr>
        <w:pStyle w:val="Heading1"/>
        <w:spacing w:after="240"/>
        <w:rPr>
          <w:rFonts w:ascii="Arial" w:hAnsi="Arial" w:cs="Arial"/>
          <w:noProof/>
        </w:rPr>
      </w:pPr>
      <w:r w:rsidRPr="00C7459E">
        <w:rPr>
          <w:sz w:val="24"/>
          <w:szCs w:val="24"/>
          <w:lang w:val="en-GB"/>
        </w:rPr>
        <w:t xml:space="preserve">Appendix C: </w:t>
      </w:r>
      <w:bookmarkEnd w:id="320"/>
      <w:bookmarkEnd w:id="321"/>
      <w:bookmarkEnd w:id="322"/>
      <w:bookmarkEnd w:id="323"/>
      <w:bookmarkEnd w:id="324"/>
      <w:bookmarkEnd w:id="325"/>
      <w:bookmarkEnd w:id="326"/>
      <w:r w:rsidR="00C74363" w:rsidRPr="00C7459E">
        <w:rPr>
          <w:sz w:val="24"/>
          <w:szCs w:val="24"/>
          <w:lang w:val="en-GB"/>
        </w:rPr>
        <w:t>Job description of doctor working in non-communicable disease clinic</w:t>
      </w:r>
      <w:bookmarkEnd w:id="327"/>
      <w:bookmarkEnd w:id="328"/>
      <w:bookmarkEnd w:id="329"/>
      <w:bookmarkEnd w:id="330"/>
      <w:r w:rsidR="00C74363" w:rsidRPr="00C7459E">
        <w:rPr>
          <w:sz w:val="24"/>
          <w:szCs w:val="24"/>
          <w:lang w:val="en-GB"/>
        </w:rPr>
        <w:t xml:space="preserve"> </w:t>
      </w:r>
      <w:bookmarkStart w:id="331" w:name="_Toc148518764"/>
      <w:bookmarkStart w:id="332" w:name="_Toc150609773"/>
      <w:bookmarkStart w:id="333" w:name="_Toc153894230"/>
      <w:r w:rsidR="0006707F" w:rsidRPr="006B2FC7">
        <w:rPr>
          <w:rFonts w:ascii="Arial" w:hAnsi="Arial" w:cs="Arial"/>
          <w:noProof/>
        </w:rPr>
        <w:drawing>
          <wp:inline distT="0" distB="0" distL="0" distR="0" wp14:anchorId="6F1D698A" wp14:editId="7AECD364">
            <wp:extent cx="5652289" cy="7188451"/>
            <wp:effectExtent l="0" t="0" r="5715" b="0"/>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rotWithShape="1">
                    <a:blip r:embed="rId39"/>
                    <a:srcRect l="33868" t="21842" r="35470" b="8832"/>
                    <a:stretch/>
                  </pic:blipFill>
                  <pic:spPr bwMode="auto">
                    <a:xfrm>
                      <a:off x="0" y="0"/>
                      <a:ext cx="5657082" cy="7194546"/>
                    </a:xfrm>
                    <a:prstGeom prst="rect">
                      <a:avLst/>
                    </a:prstGeom>
                    <a:ln>
                      <a:noFill/>
                    </a:ln>
                    <a:extLst>
                      <a:ext uri="{53640926-AAD7-44D8-BBD7-CCE9431645EC}">
                        <a14:shadowObscured xmlns:a14="http://schemas.microsoft.com/office/drawing/2010/main"/>
                      </a:ext>
                    </a:extLst>
                  </pic:spPr>
                </pic:pic>
              </a:graphicData>
            </a:graphic>
          </wp:inline>
        </w:drawing>
      </w:r>
      <w:bookmarkEnd w:id="331"/>
      <w:bookmarkEnd w:id="332"/>
      <w:bookmarkEnd w:id="333"/>
      <w:r w:rsidR="00C74363" w:rsidRPr="00C7459E">
        <w:rPr>
          <w:sz w:val="24"/>
          <w:szCs w:val="24"/>
          <w:lang w:val="en-GB"/>
        </w:rPr>
        <w:t xml:space="preserve"> </w:t>
      </w:r>
    </w:p>
    <w:p w14:paraId="406E5020" w14:textId="77777777" w:rsidR="00FF323F" w:rsidRPr="005F387D" w:rsidRDefault="00FF323F" w:rsidP="00FF323F">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6304B8AF" w14:textId="29EDCD07" w:rsidR="00FF323F" w:rsidRPr="006B2FC7" w:rsidRDefault="003C6624" w:rsidP="00FF323F">
      <w:pPr>
        <w:rPr>
          <w:rFonts w:ascii="Arial" w:hAnsi="Arial" w:cs="Arial"/>
          <w:lang w:val="en-GB"/>
        </w:rPr>
      </w:pPr>
      <w:r w:rsidRPr="006B2FC7">
        <w:rPr>
          <w:rFonts w:ascii="Arial" w:hAnsi="Arial" w:cs="Arial"/>
          <w:noProof/>
        </w:rPr>
        <w:drawing>
          <wp:inline distT="0" distB="0" distL="0" distR="0" wp14:anchorId="22DF50D9" wp14:editId="6C2D5D5C">
            <wp:extent cx="5556250" cy="7236966"/>
            <wp:effectExtent l="0" t="0" r="6350" b="254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rotWithShape="1">
                    <a:blip r:embed="rId40"/>
                    <a:srcRect l="34402" t="21652" r="35577" b="8832"/>
                    <a:stretch/>
                  </pic:blipFill>
                  <pic:spPr bwMode="auto">
                    <a:xfrm>
                      <a:off x="0" y="0"/>
                      <a:ext cx="5564337" cy="7247499"/>
                    </a:xfrm>
                    <a:prstGeom prst="rect">
                      <a:avLst/>
                    </a:prstGeom>
                    <a:ln>
                      <a:noFill/>
                    </a:ln>
                    <a:extLst>
                      <a:ext uri="{53640926-AAD7-44D8-BBD7-CCE9431645EC}">
                        <a14:shadowObscured xmlns:a14="http://schemas.microsoft.com/office/drawing/2010/main"/>
                      </a:ext>
                    </a:extLst>
                  </pic:spPr>
                </pic:pic>
              </a:graphicData>
            </a:graphic>
          </wp:inline>
        </w:drawing>
      </w:r>
    </w:p>
    <w:p w14:paraId="203789BD" w14:textId="77777777" w:rsidR="009B666C" w:rsidRDefault="009B666C" w:rsidP="009B666C">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Sourcec</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08943333" w14:textId="203FA787" w:rsidR="009B666C" w:rsidRPr="005F387D" w:rsidRDefault="009B666C" w:rsidP="009B666C">
      <w:pPr>
        <w:rPr>
          <w:rFonts w:ascii="Arial" w:hAnsi="Arial" w:cs="Arial"/>
          <w:i/>
          <w:iCs/>
          <w:color w:val="44546A" w:themeColor="text2"/>
          <w:sz w:val="18"/>
          <w:szCs w:val="18"/>
          <w:lang w:val="en-GB"/>
        </w:rPr>
      </w:pPr>
      <w:r w:rsidRPr="006B2FC7">
        <w:rPr>
          <w:rFonts w:ascii="Arial" w:hAnsi="Arial" w:cs="Arial"/>
          <w:noProof/>
        </w:rPr>
        <w:drawing>
          <wp:inline distT="0" distB="0" distL="0" distR="0" wp14:anchorId="450AB611" wp14:editId="46F783B7">
            <wp:extent cx="5499100" cy="6096000"/>
            <wp:effectExtent l="0" t="0" r="6350" b="0"/>
            <wp:docPr id="32" name="Picture 3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Word&#10;&#10;Description automatically generated"/>
                    <pic:cNvPicPr/>
                  </pic:nvPicPr>
                  <pic:blipFill rotWithShape="1">
                    <a:blip r:embed="rId41"/>
                    <a:srcRect l="34296" t="22032" r="35738" b="18909"/>
                    <a:stretch/>
                  </pic:blipFill>
                  <pic:spPr bwMode="auto">
                    <a:xfrm>
                      <a:off x="0" y="0"/>
                      <a:ext cx="5535175" cy="6135991"/>
                    </a:xfrm>
                    <a:prstGeom prst="rect">
                      <a:avLst/>
                    </a:prstGeom>
                    <a:ln>
                      <a:noFill/>
                    </a:ln>
                    <a:extLst>
                      <a:ext uri="{53640926-AAD7-44D8-BBD7-CCE9431645EC}">
                        <a14:shadowObscured xmlns:a14="http://schemas.microsoft.com/office/drawing/2010/main"/>
                      </a:ext>
                    </a:extLst>
                  </pic:spPr>
                </pic:pic>
              </a:graphicData>
            </a:graphic>
          </wp:inline>
        </w:drawing>
      </w:r>
    </w:p>
    <w:p w14:paraId="58E9DAE0" w14:textId="77777777" w:rsidR="00B70059" w:rsidRPr="00F71BDD" w:rsidRDefault="00B70059" w:rsidP="00B70059">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5374D4DC" w14:textId="17859DCF" w:rsidR="00FF323F" w:rsidRPr="005F387D" w:rsidRDefault="00B70059" w:rsidP="00FF323F">
      <w:pPr>
        <w:tabs>
          <w:tab w:val="left" w:pos="2590"/>
        </w:tabs>
        <w:rPr>
          <w:rFonts w:ascii="Arial" w:hAnsi="Arial" w:cs="Arial"/>
          <w:lang w:val="en-GB"/>
        </w:rPr>
      </w:pPr>
      <w:r w:rsidRPr="006B2FC7">
        <w:rPr>
          <w:rFonts w:ascii="Arial" w:hAnsi="Arial" w:cs="Arial"/>
          <w:noProof/>
        </w:rPr>
        <w:drawing>
          <wp:inline distT="0" distB="0" distL="0" distR="0" wp14:anchorId="7C03C6D7" wp14:editId="37F03299">
            <wp:extent cx="5715000" cy="3816350"/>
            <wp:effectExtent l="0" t="0" r="0" b="0"/>
            <wp:docPr id="36" name="Picture 3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Word&#10;&#10;Description automatically generated"/>
                    <pic:cNvPicPr/>
                  </pic:nvPicPr>
                  <pic:blipFill rotWithShape="1">
                    <a:blip r:embed="rId42"/>
                    <a:srcRect l="34295" t="22981" r="35847" b="41573"/>
                    <a:stretch/>
                  </pic:blipFill>
                  <pic:spPr bwMode="auto">
                    <a:xfrm>
                      <a:off x="0" y="0"/>
                      <a:ext cx="5734574" cy="3829421"/>
                    </a:xfrm>
                    <a:prstGeom prst="rect">
                      <a:avLst/>
                    </a:prstGeom>
                    <a:ln>
                      <a:noFill/>
                    </a:ln>
                    <a:extLst>
                      <a:ext uri="{53640926-AAD7-44D8-BBD7-CCE9431645EC}">
                        <a14:shadowObscured xmlns:a14="http://schemas.microsoft.com/office/drawing/2010/main"/>
                      </a:ext>
                    </a:extLst>
                  </pic:spPr>
                </pic:pic>
              </a:graphicData>
            </a:graphic>
          </wp:inline>
        </w:drawing>
      </w:r>
    </w:p>
    <w:p w14:paraId="49E92554" w14:textId="77777777" w:rsidR="00385271" w:rsidRDefault="004A7618" w:rsidP="001606B7">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bookmarkStart w:id="334" w:name="_Toc122626470"/>
      <w:bookmarkStart w:id="335" w:name="_Ref124373555"/>
      <w:bookmarkStart w:id="336" w:name="_Toc124889204"/>
      <w:bookmarkStart w:id="337" w:name="_Toc124890441"/>
      <w:bookmarkStart w:id="338" w:name="_Toc126069985"/>
      <w:bookmarkStart w:id="339" w:name="_Toc127835991"/>
      <w:bookmarkStart w:id="340" w:name="_Toc128061921"/>
    </w:p>
    <w:p w14:paraId="7D4032C3" w14:textId="68B5174B" w:rsidR="00385271" w:rsidRDefault="00385271">
      <w:pPr>
        <w:rPr>
          <w:rFonts w:ascii="Arial" w:hAnsi="Arial" w:cs="Arial"/>
          <w:i/>
          <w:iCs/>
          <w:color w:val="44546A" w:themeColor="text2"/>
          <w:sz w:val="18"/>
          <w:szCs w:val="18"/>
          <w:lang w:val="en-GB"/>
        </w:rPr>
      </w:pPr>
    </w:p>
    <w:p w14:paraId="3F3A7909" w14:textId="1049E0C2" w:rsidR="00FF323F" w:rsidRPr="00385271" w:rsidRDefault="00FF323F" w:rsidP="00385271">
      <w:pPr>
        <w:pStyle w:val="Heading1"/>
        <w:rPr>
          <w:rFonts w:ascii="Arial" w:hAnsi="Arial" w:cs="Arial"/>
          <w:i/>
          <w:iCs/>
          <w:color w:val="44546A" w:themeColor="text2"/>
          <w:sz w:val="14"/>
          <w:szCs w:val="14"/>
          <w:lang w:val="en-GB"/>
        </w:rPr>
      </w:pPr>
      <w:bookmarkStart w:id="341" w:name="_Ref148511648"/>
      <w:bookmarkStart w:id="342" w:name="_Toc148518765"/>
      <w:bookmarkStart w:id="343" w:name="_Toc150609774"/>
      <w:bookmarkStart w:id="344" w:name="_Toc153894231"/>
      <w:r w:rsidRPr="00385271">
        <w:rPr>
          <w:sz w:val="24"/>
          <w:szCs w:val="24"/>
          <w:lang w:val="en-GB"/>
        </w:rPr>
        <w:t xml:space="preserve">Appendix D: </w:t>
      </w:r>
      <w:bookmarkEnd w:id="334"/>
      <w:bookmarkEnd w:id="335"/>
      <w:bookmarkEnd w:id="336"/>
      <w:bookmarkEnd w:id="337"/>
      <w:bookmarkEnd w:id="338"/>
      <w:bookmarkEnd w:id="339"/>
      <w:bookmarkEnd w:id="340"/>
      <w:r w:rsidR="00705EAE" w:rsidRPr="00385271">
        <w:rPr>
          <w:sz w:val="24"/>
          <w:szCs w:val="24"/>
          <w:lang w:val="en-GB"/>
        </w:rPr>
        <w:t>Job description of a nurse working in non-communicable disease clinic</w:t>
      </w:r>
      <w:bookmarkEnd w:id="341"/>
      <w:bookmarkEnd w:id="342"/>
      <w:bookmarkEnd w:id="343"/>
      <w:bookmarkEnd w:id="344"/>
    </w:p>
    <w:p w14:paraId="4142172D" w14:textId="7764BB6C" w:rsidR="00FF323F" w:rsidRDefault="00491CCD" w:rsidP="00FF323F">
      <w:pPr>
        <w:rPr>
          <w:rFonts w:ascii="Arial" w:hAnsi="Arial" w:cs="Arial"/>
          <w:lang w:val="en-GB"/>
        </w:rPr>
      </w:pPr>
      <w:r w:rsidRPr="006B2FC7">
        <w:rPr>
          <w:rFonts w:ascii="Arial" w:hAnsi="Arial" w:cs="Arial"/>
          <w:noProof/>
        </w:rPr>
        <w:drawing>
          <wp:inline distT="0" distB="0" distL="0" distR="0" wp14:anchorId="6E770D47" wp14:editId="68453E1F">
            <wp:extent cx="4972050" cy="6598933"/>
            <wp:effectExtent l="0" t="0" r="0" b="0"/>
            <wp:docPr id="37" name="Picture 3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Word&#10;&#10;Description automatically generated"/>
                    <pic:cNvPicPr/>
                  </pic:nvPicPr>
                  <pic:blipFill rotWithShape="1">
                    <a:blip r:embed="rId43"/>
                    <a:srcRect l="34723" t="22793" r="36218" b="8640"/>
                    <a:stretch/>
                  </pic:blipFill>
                  <pic:spPr bwMode="auto">
                    <a:xfrm>
                      <a:off x="0" y="0"/>
                      <a:ext cx="4991833" cy="6625189"/>
                    </a:xfrm>
                    <a:prstGeom prst="rect">
                      <a:avLst/>
                    </a:prstGeom>
                    <a:ln>
                      <a:noFill/>
                    </a:ln>
                    <a:extLst>
                      <a:ext uri="{53640926-AAD7-44D8-BBD7-CCE9431645EC}">
                        <a14:shadowObscured xmlns:a14="http://schemas.microsoft.com/office/drawing/2010/main"/>
                      </a:ext>
                    </a:extLst>
                  </pic:spPr>
                </pic:pic>
              </a:graphicData>
            </a:graphic>
          </wp:inline>
        </w:drawing>
      </w:r>
    </w:p>
    <w:p w14:paraId="53ADF329" w14:textId="77777777" w:rsidR="00491CCD" w:rsidRDefault="00491CCD" w:rsidP="00491CCD">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0F8A7280" w14:textId="1B98566C" w:rsidR="000D6701" w:rsidRDefault="000D6701" w:rsidP="00491CCD">
      <w:pPr>
        <w:rPr>
          <w:rFonts w:ascii="Arial" w:hAnsi="Arial" w:cs="Arial"/>
          <w:i/>
          <w:iCs/>
          <w:color w:val="44546A" w:themeColor="text2"/>
          <w:sz w:val="18"/>
          <w:szCs w:val="18"/>
          <w:lang w:val="en-GB"/>
        </w:rPr>
      </w:pPr>
      <w:r w:rsidRPr="006B2FC7">
        <w:rPr>
          <w:rFonts w:ascii="Arial" w:hAnsi="Arial" w:cs="Arial"/>
          <w:noProof/>
        </w:rPr>
        <w:drawing>
          <wp:inline distT="0" distB="0" distL="0" distR="0" wp14:anchorId="3E3824AF" wp14:editId="0AE410F0">
            <wp:extent cx="5511800" cy="7315293"/>
            <wp:effectExtent l="0" t="0" r="0" b="0"/>
            <wp:docPr id="38" name="Picture 3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 Word&#10;&#10;Description automatically generated"/>
                    <pic:cNvPicPr/>
                  </pic:nvPicPr>
                  <pic:blipFill rotWithShape="1">
                    <a:blip r:embed="rId44"/>
                    <a:srcRect l="34936" t="21652" r="36004" b="9781"/>
                    <a:stretch/>
                  </pic:blipFill>
                  <pic:spPr bwMode="auto">
                    <a:xfrm>
                      <a:off x="0" y="0"/>
                      <a:ext cx="5515699" cy="7320468"/>
                    </a:xfrm>
                    <a:prstGeom prst="rect">
                      <a:avLst/>
                    </a:prstGeom>
                    <a:ln>
                      <a:noFill/>
                    </a:ln>
                    <a:extLst>
                      <a:ext uri="{53640926-AAD7-44D8-BBD7-CCE9431645EC}">
                        <a14:shadowObscured xmlns:a14="http://schemas.microsoft.com/office/drawing/2010/main"/>
                      </a:ext>
                    </a:extLst>
                  </pic:spPr>
                </pic:pic>
              </a:graphicData>
            </a:graphic>
          </wp:inline>
        </w:drawing>
      </w:r>
    </w:p>
    <w:p w14:paraId="239C3B16" w14:textId="77777777" w:rsidR="00537ACF" w:rsidRDefault="00537ACF" w:rsidP="00537ACF">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56FA6303" w14:textId="2A294864" w:rsidR="00537ACF" w:rsidRDefault="00537ACF" w:rsidP="00537ACF">
      <w:pPr>
        <w:rPr>
          <w:rFonts w:ascii="Arial" w:hAnsi="Arial" w:cs="Arial"/>
          <w:i/>
          <w:iCs/>
          <w:color w:val="44546A" w:themeColor="text2"/>
          <w:sz w:val="18"/>
          <w:szCs w:val="18"/>
          <w:lang w:val="en-GB"/>
        </w:rPr>
      </w:pPr>
      <w:r w:rsidRPr="006B2FC7">
        <w:rPr>
          <w:rFonts w:ascii="Arial" w:hAnsi="Arial" w:cs="Arial"/>
          <w:noProof/>
        </w:rPr>
        <w:drawing>
          <wp:inline distT="0" distB="0" distL="0" distR="0" wp14:anchorId="0CCB0045" wp14:editId="62D605AC">
            <wp:extent cx="5346700" cy="6752684"/>
            <wp:effectExtent l="0" t="0" r="6350" b="0"/>
            <wp:docPr id="39" name="Picture 3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Word&#10;&#10;Description automatically generated"/>
                    <pic:cNvPicPr/>
                  </pic:nvPicPr>
                  <pic:blipFill rotWithShape="1">
                    <a:blip r:embed="rId45"/>
                    <a:srcRect l="34830" t="23552" r="36325" b="11681"/>
                    <a:stretch/>
                  </pic:blipFill>
                  <pic:spPr bwMode="auto">
                    <a:xfrm>
                      <a:off x="0" y="0"/>
                      <a:ext cx="5351248" cy="6758428"/>
                    </a:xfrm>
                    <a:prstGeom prst="rect">
                      <a:avLst/>
                    </a:prstGeom>
                    <a:ln>
                      <a:noFill/>
                    </a:ln>
                    <a:extLst>
                      <a:ext uri="{53640926-AAD7-44D8-BBD7-CCE9431645EC}">
                        <a14:shadowObscured xmlns:a14="http://schemas.microsoft.com/office/drawing/2010/main"/>
                      </a:ext>
                    </a:extLst>
                  </pic:spPr>
                </pic:pic>
              </a:graphicData>
            </a:graphic>
          </wp:inline>
        </w:drawing>
      </w:r>
    </w:p>
    <w:p w14:paraId="3B4E17CC" w14:textId="77777777" w:rsidR="00537ACF" w:rsidRDefault="00537ACF" w:rsidP="00537ACF">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356606E8" w14:textId="373026B5" w:rsidR="00FF323F" w:rsidRDefault="00FF323F" w:rsidP="00FF323F">
      <w:pPr>
        <w:rPr>
          <w:rFonts w:ascii="Arial" w:hAnsi="Arial" w:cs="Arial"/>
          <w:noProof/>
        </w:rPr>
      </w:pPr>
    </w:p>
    <w:p w14:paraId="4460A9B2" w14:textId="77777777" w:rsidR="00FF323F" w:rsidRPr="005F387D" w:rsidRDefault="00FF323F" w:rsidP="00FF323F">
      <w:pPr>
        <w:rPr>
          <w:rFonts w:ascii="Arial" w:hAnsi="Arial" w:cs="Arial"/>
          <w:i/>
          <w:iCs/>
          <w:color w:val="44546A" w:themeColor="text2"/>
          <w:sz w:val="18"/>
          <w:szCs w:val="18"/>
          <w:lang w:val="en-GB"/>
        </w:rPr>
      </w:pPr>
    </w:p>
    <w:p w14:paraId="4B5AE775" w14:textId="77777777" w:rsidR="00FF323F" w:rsidRPr="006B2FC7" w:rsidRDefault="00FF323F" w:rsidP="00FF323F">
      <w:pPr>
        <w:rPr>
          <w:rFonts w:ascii="Arial" w:hAnsi="Arial" w:cs="Arial"/>
          <w:lang w:val="en-GB"/>
        </w:rPr>
      </w:pPr>
    </w:p>
    <w:p w14:paraId="796E4C84" w14:textId="77777777" w:rsidR="00FF323F" w:rsidRPr="006B2FC7" w:rsidRDefault="00FF323F" w:rsidP="00FF323F">
      <w:pPr>
        <w:rPr>
          <w:rFonts w:ascii="Arial" w:hAnsi="Arial" w:cs="Arial"/>
          <w:lang w:val="en-GB"/>
        </w:rPr>
      </w:pPr>
      <w:r w:rsidRPr="006B2FC7">
        <w:rPr>
          <w:rFonts w:ascii="Arial" w:hAnsi="Arial" w:cs="Arial"/>
          <w:noProof/>
        </w:rPr>
        <w:drawing>
          <wp:inline distT="0" distB="0" distL="0" distR="0" wp14:anchorId="269CB198" wp14:editId="6455D2DB">
            <wp:extent cx="5651500" cy="3340100"/>
            <wp:effectExtent l="0" t="0" r="6350" b="0"/>
            <wp:docPr id="40" name="Picture 4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Word&#10;&#10;Description automatically generated"/>
                    <pic:cNvPicPr/>
                  </pic:nvPicPr>
                  <pic:blipFill rotWithShape="1">
                    <a:blip r:embed="rId46"/>
                    <a:srcRect l="34403" t="23361" r="35281" b="44786"/>
                    <a:stretch/>
                  </pic:blipFill>
                  <pic:spPr bwMode="auto">
                    <a:xfrm>
                      <a:off x="0" y="0"/>
                      <a:ext cx="5667073" cy="3349304"/>
                    </a:xfrm>
                    <a:prstGeom prst="rect">
                      <a:avLst/>
                    </a:prstGeom>
                    <a:ln>
                      <a:noFill/>
                    </a:ln>
                    <a:extLst>
                      <a:ext uri="{53640926-AAD7-44D8-BBD7-CCE9431645EC}">
                        <a14:shadowObscured xmlns:a14="http://schemas.microsoft.com/office/drawing/2010/main"/>
                      </a:ext>
                    </a:extLst>
                  </pic:spPr>
                </pic:pic>
              </a:graphicData>
            </a:graphic>
          </wp:inline>
        </w:drawing>
      </w:r>
    </w:p>
    <w:p w14:paraId="177A5C11" w14:textId="77777777" w:rsidR="00FF323F" w:rsidRPr="005F387D" w:rsidRDefault="00FF323F" w:rsidP="00FF323F">
      <w:pPr>
        <w:rPr>
          <w:rFonts w:ascii="Arial" w:hAnsi="Arial" w:cs="Arial"/>
          <w:i/>
          <w:iCs/>
          <w:color w:val="44546A" w:themeColor="text2"/>
          <w:sz w:val="18"/>
          <w:szCs w:val="18"/>
          <w:lang w:val="en-GB"/>
        </w:rPr>
      </w:pPr>
      <w:r>
        <w:rPr>
          <w:rFonts w:ascii="Arial" w:hAnsi="Arial" w:cs="Arial"/>
          <w:i/>
          <w:iCs/>
          <w:color w:val="44546A" w:themeColor="text2"/>
          <w:sz w:val="18"/>
          <w:szCs w:val="18"/>
          <w:lang w:val="en-GB"/>
        </w:rPr>
        <w:t>Source</w:t>
      </w:r>
      <w:r w:rsidRPr="005F387D">
        <w:rPr>
          <w:rFonts w:ascii="Arial" w:hAnsi="Arial" w:cs="Arial"/>
          <w:i/>
          <w:iCs/>
          <w:color w:val="44546A" w:themeColor="text2"/>
          <w:sz w:val="18"/>
          <w:szCs w:val="18"/>
          <w:lang w:val="en-GB"/>
        </w:rPr>
        <w:t xml:space="preserve">: National Primary Healthcare Standards, 2015, Saudi Central Board for Accreditation of Healthcare Institutions (CBAHI) </w:t>
      </w:r>
    </w:p>
    <w:p w14:paraId="4C2AB23F" w14:textId="77777777" w:rsidR="00FF323F" w:rsidRPr="006B2FC7" w:rsidRDefault="00FF323F" w:rsidP="00FF323F">
      <w:pPr>
        <w:rPr>
          <w:rFonts w:ascii="Arial" w:hAnsi="Arial" w:cs="Arial"/>
          <w:lang w:val="en-GB"/>
        </w:rPr>
      </w:pPr>
    </w:p>
    <w:p w14:paraId="1D04EBF6" w14:textId="77777777" w:rsidR="00FF323F" w:rsidRDefault="00FF323F" w:rsidP="00FF323F">
      <w:pPr>
        <w:rPr>
          <w:rFonts w:ascii="Arial" w:hAnsi="Arial" w:cs="Arial"/>
          <w:lang w:val="en-GB"/>
        </w:rPr>
      </w:pPr>
    </w:p>
    <w:p w14:paraId="3A6772D5" w14:textId="77777777" w:rsidR="005619EA" w:rsidRDefault="005619EA">
      <w:pPr>
        <w:rPr>
          <w:rFonts w:asciiTheme="minorBidi" w:hAnsiTheme="minorBidi"/>
          <w:sz w:val="24"/>
          <w:szCs w:val="24"/>
        </w:rPr>
      </w:pPr>
      <w:r>
        <w:rPr>
          <w:rFonts w:asciiTheme="minorBidi" w:hAnsiTheme="minorBidi"/>
          <w:sz w:val="24"/>
          <w:szCs w:val="24"/>
        </w:rPr>
        <w:br w:type="page"/>
      </w:r>
    </w:p>
    <w:p w14:paraId="2DAD2FAB" w14:textId="77777777" w:rsidR="005619EA" w:rsidRDefault="005619EA" w:rsidP="005619EA">
      <w:pPr>
        <w:pStyle w:val="Heading1"/>
        <w:rPr>
          <w:lang w:val="en-GB"/>
        </w:rPr>
      </w:pPr>
      <w:bookmarkStart w:id="345" w:name="_Ref148512570"/>
      <w:bookmarkStart w:id="346" w:name="_Toc148518766"/>
      <w:bookmarkStart w:id="347" w:name="_Toc150609775"/>
      <w:bookmarkStart w:id="348" w:name="_Toc153894232"/>
      <w:r>
        <w:rPr>
          <w:lang w:val="en-GB"/>
        </w:rPr>
        <w:t>Appendix E: E</w:t>
      </w:r>
      <w:r w:rsidRPr="006B2FC7">
        <w:rPr>
          <w:lang w:val="en-GB"/>
        </w:rPr>
        <w:t xml:space="preserve">lectronic database searches </w:t>
      </w:r>
      <w:r>
        <w:rPr>
          <w:lang w:val="en-GB"/>
        </w:rPr>
        <w:t>results</w:t>
      </w:r>
      <w:bookmarkEnd w:id="345"/>
      <w:bookmarkEnd w:id="346"/>
      <w:bookmarkEnd w:id="347"/>
      <w:bookmarkEnd w:id="348"/>
    </w:p>
    <w:p w14:paraId="680A883D" w14:textId="77777777" w:rsidR="005619EA" w:rsidRDefault="005619EA" w:rsidP="005619EA">
      <w:pPr>
        <w:spacing w:after="0" w:line="276" w:lineRule="auto"/>
        <w:rPr>
          <w:rFonts w:ascii="Arial" w:eastAsia="Times New Roman" w:hAnsi="Arial" w:cs="Arial"/>
          <w:b/>
          <w:bCs/>
          <w:sz w:val="28"/>
          <w:szCs w:val="28"/>
        </w:rPr>
      </w:pPr>
      <w:r w:rsidRPr="00CE016C">
        <w:rPr>
          <w:rFonts w:ascii="Arial" w:eastAsia="Times New Roman" w:hAnsi="Arial" w:cs="Arial"/>
          <w:b/>
          <w:bCs/>
          <w:sz w:val="28"/>
          <w:szCs w:val="28"/>
        </w:rPr>
        <w:t>Ovid MEDLINE</w:t>
      </w:r>
    </w:p>
    <w:tbl>
      <w:tblPr>
        <w:tblStyle w:val="TableGrid"/>
        <w:tblW w:w="9625" w:type="dxa"/>
        <w:tblLook w:val="04A0" w:firstRow="1" w:lastRow="0" w:firstColumn="1" w:lastColumn="0" w:noHBand="0" w:noVBand="1"/>
      </w:tblPr>
      <w:tblGrid>
        <w:gridCol w:w="1075"/>
        <w:gridCol w:w="7380"/>
        <w:gridCol w:w="1170"/>
      </w:tblGrid>
      <w:tr w:rsidR="005619EA" w14:paraId="57D91D07" w14:textId="77777777" w:rsidTr="00282204">
        <w:tc>
          <w:tcPr>
            <w:tcW w:w="1075" w:type="dxa"/>
          </w:tcPr>
          <w:p w14:paraId="7719732F" w14:textId="77777777" w:rsidR="005619EA" w:rsidRPr="00C60F50" w:rsidRDefault="005619EA" w:rsidP="00282204">
            <w:pPr>
              <w:spacing w:line="276" w:lineRule="auto"/>
              <w:rPr>
                <w:rFonts w:ascii="Arial" w:eastAsia="Times New Roman" w:hAnsi="Arial" w:cs="Arial"/>
                <w:sz w:val="24"/>
                <w:szCs w:val="24"/>
              </w:rPr>
            </w:pPr>
          </w:p>
        </w:tc>
        <w:tc>
          <w:tcPr>
            <w:tcW w:w="7380" w:type="dxa"/>
          </w:tcPr>
          <w:p w14:paraId="2664C8EA" w14:textId="77777777" w:rsidR="005619EA" w:rsidRPr="00C60F50" w:rsidRDefault="005619EA" w:rsidP="00282204">
            <w:pPr>
              <w:spacing w:line="276" w:lineRule="auto"/>
              <w:rPr>
                <w:rFonts w:ascii="Arial" w:eastAsia="Times New Roman" w:hAnsi="Arial" w:cs="Arial"/>
                <w:sz w:val="24"/>
                <w:szCs w:val="24"/>
              </w:rPr>
            </w:pPr>
            <w:r>
              <w:rPr>
                <w:rFonts w:ascii="Arial" w:eastAsia="Times New Roman" w:hAnsi="Arial" w:cs="Arial"/>
                <w:sz w:val="24"/>
                <w:szCs w:val="24"/>
              </w:rPr>
              <w:t xml:space="preserve">Keywords/phrases </w:t>
            </w:r>
          </w:p>
        </w:tc>
        <w:tc>
          <w:tcPr>
            <w:tcW w:w="1170" w:type="dxa"/>
          </w:tcPr>
          <w:p w14:paraId="037C6FC9" w14:textId="77777777" w:rsidR="005619EA" w:rsidRPr="00C60F50" w:rsidRDefault="005619EA" w:rsidP="00282204">
            <w:pPr>
              <w:spacing w:line="276" w:lineRule="auto"/>
              <w:rPr>
                <w:rFonts w:ascii="Arial" w:eastAsia="Times New Roman" w:hAnsi="Arial" w:cs="Arial"/>
                <w:sz w:val="24"/>
                <w:szCs w:val="24"/>
              </w:rPr>
            </w:pPr>
            <w:r>
              <w:rPr>
                <w:rFonts w:ascii="Arial" w:eastAsia="Times New Roman" w:hAnsi="Arial" w:cs="Arial"/>
                <w:sz w:val="24"/>
                <w:szCs w:val="24"/>
              </w:rPr>
              <w:t xml:space="preserve">Results </w:t>
            </w:r>
          </w:p>
        </w:tc>
      </w:tr>
      <w:tr w:rsidR="005619EA" w14:paraId="2112F3B0" w14:textId="77777777" w:rsidTr="00282204">
        <w:tc>
          <w:tcPr>
            <w:tcW w:w="1075" w:type="dxa"/>
          </w:tcPr>
          <w:p w14:paraId="3F3B796C" w14:textId="77777777" w:rsidR="005619EA" w:rsidRDefault="005619EA" w:rsidP="00282204">
            <w:pPr>
              <w:spacing w:line="276" w:lineRule="auto"/>
              <w:rPr>
                <w:rFonts w:ascii="Arial" w:eastAsia="Times New Roman" w:hAnsi="Arial" w:cs="Arial"/>
                <w:sz w:val="24"/>
                <w:szCs w:val="24"/>
              </w:rPr>
            </w:pPr>
            <w:r w:rsidRPr="00C60F50">
              <w:rPr>
                <w:rFonts w:ascii="Arial" w:eastAsia="Times New Roman" w:hAnsi="Arial" w:cs="Arial"/>
                <w:sz w:val="24"/>
                <w:szCs w:val="24"/>
              </w:rPr>
              <w:t>1</w:t>
            </w:r>
          </w:p>
        </w:tc>
        <w:tc>
          <w:tcPr>
            <w:tcW w:w="7380" w:type="dxa"/>
          </w:tcPr>
          <w:p w14:paraId="67AE02F1" w14:textId="77777777" w:rsidR="005619EA" w:rsidRDefault="005619EA" w:rsidP="00282204">
            <w:pPr>
              <w:spacing w:line="276" w:lineRule="auto"/>
              <w:rPr>
                <w:rFonts w:ascii="Arial" w:eastAsia="Times New Roman" w:hAnsi="Arial" w:cs="Arial"/>
                <w:sz w:val="24"/>
                <w:szCs w:val="24"/>
              </w:rPr>
            </w:pPr>
            <w:r w:rsidRPr="00C60F50">
              <w:rPr>
                <w:rFonts w:ascii="Arial" w:eastAsia="Times New Roman" w:hAnsi="Arial" w:cs="Arial"/>
                <w:sz w:val="24"/>
                <w:szCs w:val="24"/>
              </w:rPr>
              <w:t>Pharmacists/ or Practice Patterns, Pharmacists'/ or Community Pharmacy Services/ or Professional Role/ or "Attitude of Health Personnel"/</w:t>
            </w:r>
          </w:p>
        </w:tc>
        <w:tc>
          <w:tcPr>
            <w:tcW w:w="1170" w:type="dxa"/>
          </w:tcPr>
          <w:p w14:paraId="19B3C82C" w14:textId="77777777" w:rsidR="005619EA" w:rsidRDefault="005619EA" w:rsidP="00282204">
            <w:pPr>
              <w:spacing w:line="276" w:lineRule="auto"/>
              <w:rPr>
                <w:rFonts w:ascii="Arial" w:eastAsia="Times New Roman" w:hAnsi="Arial" w:cs="Arial"/>
                <w:sz w:val="24"/>
                <w:szCs w:val="24"/>
              </w:rPr>
            </w:pPr>
            <w:r w:rsidRPr="00C60F50">
              <w:rPr>
                <w:rFonts w:ascii="Arial" w:eastAsia="Times New Roman" w:hAnsi="Arial" w:cs="Arial"/>
                <w:sz w:val="24"/>
                <w:szCs w:val="24"/>
              </w:rPr>
              <w:t>163320</w:t>
            </w:r>
          </w:p>
        </w:tc>
      </w:tr>
      <w:tr w:rsidR="005619EA" w14:paraId="0E641225" w14:textId="77777777" w:rsidTr="00282204">
        <w:tc>
          <w:tcPr>
            <w:tcW w:w="1075" w:type="dxa"/>
          </w:tcPr>
          <w:p w14:paraId="6F1B6726" w14:textId="77777777" w:rsidR="005619EA" w:rsidRDefault="005619EA" w:rsidP="00282204">
            <w:pPr>
              <w:spacing w:line="276" w:lineRule="auto"/>
              <w:rPr>
                <w:rFonts w:ascii="Arial" w:eastAsia="Times New Roman" w:hAnsi="Arial" w:cs="Arial"/>
                <w:sz w:val="24"/>
                <w:szCs w:val="24"/>
              </w:rPr>
            </w:pPr>
            <w:r w:rsidRPr="004C6BE3">
              <w:rPr>
                <w:rFonts w:ascii="Arial" w:eastAsia="Times New Roman" w:hAnsi="Arial" w:cs="Arial"/>
                <w:sz w:val="24"/>
                <w:szCs w:val="24"/>
              </w:rPr>
              <w:t>2</w:t>
            </w:r>
          </w:p>
        </w:tc>
        <w:tc>
          <w:tcPr>
            <w:tcW w:w="7380" w:type="dxa"/>
          </w:tcPr>
          <w:p w14:paraId="09511033" w14:textId="77777777" w:rsidR="005619EA" w:rsidRDefault="005619EA" w:rsidP="00282204">
            <w:pPr>
              <w:spacing w:line="276" w:lineRule="auto"/>
              <w:rPr>
                <w:rFonts w:ascii="Arial" w:eastAsia="Times New Roman" w:hAnsi="Arial" w:cs="Arial"/>
                <w:sz w:val="24"/>
                <w:szCs w:val="24"/>
              </w:rPr>
            </w:pPr>
            <w:r w:rsidRPr="004C6BE3">
              <w:rPr>
                <w:rFonts w:ascii="Arial" w:eastAsia="Times New Roman" w:hAnsi="Arial" w:cs="Arial"/>
                <w:sz w:val="24"/>
                <w:szCs w:val="24"/>
              </w:rPr>
              <w:t>Clinical pharmacist.mp. or Pharmacists/</w:t>
            </w:r>
          </w:p>
        </w:tc>
        <w:tc>
          <w:tcPr>
            <w:tcW w:w="1170" w:type="dxa"/>
          </w:tcPr>
          <w:p w14:paraId="05E71D84" w14:textId="77777777" w:rsidR="005619EA" w:rsidRDefault="005619EA" w:rsidP="00282204">
            <w:pPr>
              <w:spacing w:line="276" w:lineRule="auto"/>
              <w:rPr>
                <w:rFonts w:ascii="Arial" w:eastAsia="Times New Roman" w:hAnsi="Arial" w:cs="Arial"/>
                <w:sz w:val="24"/>
                <w:szCs w:val="24"/>
              </w:rPr>
            </w:pPr>
            <w:r w:rsidRPr="004C6BE3">
              <w:rPr>
                <w:rFonts w:ascii="Arial" w:eastAsia="Times New Roman" w:hAnsi="Arial" w:cs="Arial"/>
                <w:sz w:val="24"/>
                <w:szCs w:val="24"/>
              </w:rPr>
              <w:t>22859</w:t>
            </w:r>
          </w:p>
        </w:tc>
      </w:tr>
      <w:tr w:rsidR="005619EA" w14:paraId="6F7E2307" w14:textId="77777777" w:rsidTr="00282204">
        <w:tc>
          <w:tcPr>
            <w:tcW w:w="1075" w:type="dxa"/>
          </w:tcPr>
          <w:p w14:paraId="3018C9F8" w14:textId="77777777" w:rsidR="005619EA" w:rsidRDefault="005619EA" w:rsidP="00282204">
            <w:pPr>
              <w:spacing w:line="276" w:lineRule="auto"/>
              <w:rPr>
                <w:rFonts w:ascii="Arial" w:eastAsia="Times New Roman" w:hAnsi="Arial" w:cs="Arial"/>
                <w:sz w:val="24"/>
                <w:szCs w:val="24"/>
              </w:rPr>
            </w:pPr>
            <w:r w:rsidRPr="008A5D30">
              <w:rPr>
                <w:rFonts w:ascii="Arial" w:eastAsia="Times New Roman" w:hAnsi="Arial" w:cs="Arial"/>
                <w:sz w:val="24"/>
                <w:szCs w:val="24"/>
              </w:rPr>
              <w:t>3</w:t>
            </w:r>
          </w:p>
        </w:tc>
        <w:tc>
          <w:tcPr>
            <w:tcW w:w="7380" w:type="dxa"/>
          </w:tcPr>
          <w:p w14:paraId="4208EF3C" w14:textId="77777777" w:rsidR="005619EA" w:rsidRDefault="005619EA" w:rsidP="00282204">
            <w:pPr>
              <w:spacing w:line="276" w:lineRule="auto"/>
              <w:rPr>
                <w:rFonts w:ascii="Arial" w:eastAsia="Times New Roman" w:hAnsi="Arial" w:cs="Arial"/>
                <w:sz w:val="24"/>
                <w:szCs w:val="24"/>
              </w:rPr>
            </w:pPr>
            <w:r w:rsidRPr="008A5D30">
              <w:rPr>
                <w:rFonts w:ascii="Arial" w:eastAsia="Times New Roman" w:hAnsi="Arial" w:cs="Arial"/>
                <w:sz w:val="24"/>
                <w:szCs w:val="24"/>
              </w:rPr>
              <w:t>exp *Medication Therapy Management/</w:t>
            </w:r>
          </w:p>
        </w:tc>
        <w:tc>
          <w:tcPr>
            <w:tcW w:w="1170" w:type="dxa"/>
          </w:tcPr>
          <w:p w14:paraId="6BCE96DA" w14:textId="77777777" w:rsidR="005619EA" w:rsidRDefault="005619EA" w:rsidP="00282204">
            <w:pPr>
              <w:spacing w:line="276" w:lineRule="auto"/>
              <w:rPr>
                <w:rFonts w:ascii="Arial" w:eastAsia="Times New Roman" w:hAnsi="Arial" w:cs="Arial"/>
                <w:sz w:val="24"/>
                <w:szCs w:val="24"/>
              </w:rPr>
            </w:pPr>
            <w:r w:rsidRPr="008A5D30">
              <w:rPr>
                <w:rFonts w:ascii="Arial" w:eastAsia="Times New Roman" w:hAnsi="Arial" w:cs="Arial"/>
                <w:sz w:val="24"/>
                <w:szCs w:val="24"/>
              </w:rPr>
              <w:t>1682</w:t>
            </w:r>
          </w:p>
        </w:tc>
      </w:tr>
      <w:tr w:rsidR="005619EA" w14:paraId="1A33ACE8" w14:textId="77777777" w:rsidTr="00282204">
        <w:tc>
          <w:tcPr>
            <w:tcW w:w="1075" w:type="dxa"/>
          </w:tcPr>
          <w:p w14:paraId="5512AADE" w14:textId="77777777" w:rsidR="005619EA" w:rsidRDefault="005619EA" w:rsidP="00282204">
            <w:pPr>
              <w:spacing w:line="276" w:lineRule="auto"/>
              <w:rPr>
                <w:rFonts w:ascii="Arial" w:eastAsia="Times New Roman" w:hAnsi="Arial" w:cs="Arial"/>
                <w:sz w:val="24"/>
                <w:szCs w:val="24"/>
              </w:rPr>
            </w:pPr>
            <w:r w:rsidRPr="00517978">
              <w:rPr>
                <w:rFonts w:ascii="Arial" w:eastAsia="Times New Roman" w:hAnsi="Arial" w:cs="Arial"/>
                <w:sz w:val="24"/>
                <w:szCs w:val="24"/>
              </w:rPr>
              <w:t>4</w:t>
            </w:r>
          </w:p>
        </w:tc>
        <w:tc>
          <w:tcPr>
            <w:tcW w:w="7380" w:type="dxa"/>
          </w:tcPr>
          <w:p w14:paraId="4831F312" w14:textId="77777777" w:rsidR="005619EA" w:rsidRDefault="005619EA" w:rsidP="00282204">
            <w:pPr>
              <w:spacing w:line="276" w:lineRule="auto"/>
              <w:rPr>
                <w:rFonts w:ascii="Arial" w:eastAsia="Times New Roman" w:hAnsi="Arial" w:cs="Arial"/>
                <w:sz w:val="24"/>
                <w:szCs w:val="24"/>
              </w:rPr>
            </w:pPr>
            <w:r w:rsidRPr="00517978">
              <w:rPr>
                <w:rFonts w:ascii="Arial" w:eastAsia="Times New Roman" w:hAnsi="Arial" w:cs="Arial"/>
                <w:sz w:val="24"/>
                <w:szCs w:val="24"/>
              </w:rPr>
              <w:t>Pharmaceutical Services.mp. or exp *Pharmaceutical Services/</w:t>
            </w:r>
          </w:p>
        </w:tc>
        <w:tc>
          <w:tcPr>
            <w:tcW w:w="1170" w:type="dxa"/>
          </w:tcPr>
          <w:p w14:paraId="3F46CD02" w14:textId="77777777" w:rsidR="005619EA" w:rsidRDefault="005619EA" w:rsidP="00282204">
            <w:pPr>
              <w:spacing w:line="276" w:lineRule="auto"/>
              <w:rPr>
                <w:rFonts w:ascii="Arial" w:eastAsia="Times New Roman" w:hAnsi="Arial" w:cs="Arial"/>
                <w:sz w:val="24"/>
                <w:szCs w:val="24"/>
              </w:rPr>
            </w:pPr>
            <w:r w:rsidRPr="00517978">
              <w:rPr>
                <w:rFonts w:ascii="Arial" w:eastAsia="Times New Roman" w:hAnsi="Arial" w:cs="Arial"/>
                <w:sz w:val="24"/>
                <w:szCs w:val="24"/>
              </w:rPr>
              <w:t>57100</w:t>
            </w:r>
          </w:p>
        </w:tc>
      </w:tr>
      <w:tr w:rsidR="005619EA" w14:paraId="3822AAC2" w14:textId="77777777" w:rsidTr="00282204">
        <w:tc>
          <w:tcPr>
            <w:tcW w:w="1075" w:type="dxa"/>
          </w:tcPr>
          <w:p w14:paraId="4B7CF854" w14:textId="77777777" w:rsidR="005619EA" w:rsidRDefault="005619EA" w:rsidP="00282204">
            <w:pPr>
              <w:spacing w:line="276" w:lineRule="auto"/>
              <w:rPr>
                <w:rFonts w:ascii="Arial" w:eastAsia="Times New Roman" w:hAnsi="Arial" w:cs="Arial"/>
                <w:sz w:val="24"/>
                <w:szCs w:val="24"/>
              </w:rPr>
            </w:pPr>
            <w:r w:rsidRPr="00C16875">
              <w:rPr>
                <w:rFonts w:ascii="Arial" w:eastAsia="Times New Roman" w:hAnsi="Arial" w:cs="Arial"/>
                <w:sz w:val="24"/>
                <w:szCs w:val="24"/>
              </w:rPr>
              <w:t>5</w:t>
            </w:r>
          </w:p>
        </w:tc>
        <w:tc>
          <w:tcPr>
            <w:tcW w:w="7380" w:type="dxa"/>
          </w:tcPr>
          <w:p w14:paraId="144F8343" w14:textId="77777777" w:rsidR="005619EA" w:rsidRDefault="005619EA" w:rsidP="00282204">
            <w:pPr>
              <w:spacing w:line="276" w:lineRule="auto"/>
              <w:rPr>
                <w:rFonts w:ascii="Arial" w:eastAsia="Times New Roman" w:hAnsi="Arial" w:cs="Arial"/>
                <w:sz w:val="24"/>
                <w:szCs w:val="24"/>
              </w:rPr>
            </w:pPr>
            <w:r w:rsidRPr="00C16875">
              <w:rPr>
                <w:rFonts w:ascii="Arial" w:eastAsia="Times New Roman" w:hAnsi="Arial" w:cs="Arial"/>
                <w:sz w:val="24"/>
                <w:szCs w:val="24"/>
              </w:rPr>
              <w:t>exp *Pharmacy/</w:t>
            </w:r>
          </w:p>
        </w:tc>
        <w:tc>
          <w:tcPr>
            <w:tcW w:w="1170" w:type="dxa"/>
          </w:tcPr>
          <w:p w14:paraId="496B6586" w14:textId="77777777" w:rsidR="005619EA" w:rsidRDefault="005619EA" w:rsidP="00282204">
            <w:pPr>
              <w:spacing w:line="276" w:lineRule="auto"/>
              <w:rPr>
                <w:rFonts w:ascii="Arial" w:eastAsia="Times New Roman" w:hAnsi="Arial" w:cs="Arial"/>
                <w:sz w:val="24"/>
                <w:szCs w:val="24"/>
              </w:rPr>
            </w:pPr>
            <w:r w:rsidRPr="00C16875">
              <w:rPr>
                <w:rFonts w:ascii="Arial" w:eastAsia="Times New Roman" w:hAnsi="Arial" w:cs="Arial"/>
                <w:sz w:val="24"/>
                <w:szCs w:val="24"/>
              </w:rPr>
              <w:t>9273</w:t>
            </w:r>
          </w:p>
        </w:tc>
      </w:tr>
      <w:tr w:rsidR="005619EA" w14:paraId="70253EA0" w14:textId="77777777" w:rsidTr="00282204">
        <w:tc>
          <w:tcPr>
            <w:tcW w:w="1075" w:type="dxa"/>
          </w:tcPr>
          <w:p w14:paraId="24FDAF97" w14:textId="77777777" w:rsidR="005619EA" w:rsidRDefault="005619EA" w:rsidP="00282204">
            <w:pPr>
              <w:spacing w:line="276" w:lineRule="auto"/>
              <w:rPr>
                <w:rFonts w:ascii="Arial" w:eastAsia="Times New Roman" w:hAnsi="Arial" w:cs="Arial"/>
                <w:sz w:val="24"/>
                <w:szCs w:val="24"/>
              </w:rPr>
            </w:pPr>
            <w:r w:rsidRPr="00DA5B4F">
              <w:rPr>
                <w:rFonts w:ascii="Arial" w:eastAsia="Times New Roman" w:hAnsi="Arial" w:cs="Arial"/>
                <w:sz w:val="24"/>
                <w:szCs w:val="24"/>
              </w:rPr>
              <w:t>6</w:t>
            </w:r>
          </w:p>
        </w:tc>
        <w:tc>
          <w:tcPr>
            <w:tcW w:w="7380" w:type="dxa"/>
          </w:tcPr>
          <w:p w14:paraId="334608E6" w14:textId="77777777" w:rsidR="005619EA" w:rsidRDefault="005619EA" w:rsidP="00282204">
            <w:pPr>
              <w:spacing w:line="276" w:lineRule="auto"/>
              <w:rPr>
                <w:rFonts w:ascii="Arial" w:eastAsia="Times New Roman" w:hAnsi="Arial" w:cs="Arial"/>
                <w:sz w:val="24"/>
                <w:szCs w:val="24"/>
              </w:rPr>
            </w:pPr>
            <w:r w:rsidRPr="00DA5B4F">
              <w:rPr>
                <w:rFonts w:ascii="Arial" w:eastAsia="Times New Roman" w:hAnsi="Arial" w:cs="Arial"/>
                <w:sz w:val="24"/>
                <w:szCs w:val="24"/>
              </w:rPr>
              <w:t>Pharmaceutical care.mp. or exp *Pharmaceutical Services/</w:t>
            </w:r>
          </w:p>
        </w:tc>
        <w:tc>
          <w:tcPr>
            <w:tcW w:w="1170" w:type="dxa"/>
          </w:tcPr>
          <w:p w14:paraId="20D03F9D" w14:textId="77777777" w:rsidR="005619EA" w:rsidRDefault="005619EA" w:rsidP="00282204">
            <w:pPr>
              <w:spacing w:line="276" w:lineRule="auto"/>
              <w:rPr>
                <w:rFonts w:ascii="Arial" w:eastAsia="Times New Roman" w:hAnsi="Arial" w:cs="Arial"/>
                <w:sz w:val="24"/>
                <w:szCs w:val="24"/>
              </w:rPr>
            </w:pPr>
            <w:r w:rsidRPr="00DA5B4F">
              <w:rPr>
                <w:rFonts w:ascii="Arial" w:eastAsia="Times New Roman" w:hAnsi="Arial" w:cs="Arial"/>
                <w:sz w:val="24"/>
                <w:szCs w:val="24"/>
              </w:rPr>
              <w:t>53253</w:t>
            </w:r>
          </w:p>
        </w:tc>
      </w:tr>
      <w:tr w:rsidR="005619EA" w14:paraId="4914F4BE" w14:textId="77777777" w:rsidTr="00282204">
        <w:tc>
          <w:tcPr>
            <w:tcW w:w="1075" w:type="dxa"/>
          </w:tcPr>
          <w:p w14:paraId="5FE08319" w14:textId="77777777" w:rsidR="005619EA" w:rsidRDefault="005619EA" w:rsidP="00282204">
            <w:pPr>
              <w:spacing w:line="276" w:lineRule="auto"/>
              <w:rPr>
                <w:rFonts w:ascii="Arial" w:eastAsia="Times New Roman" w:hAnsi="Arial" w:cs="Arial"/>
                <w:sz w:val="24"/>
                <w:szCs w:val="24"/>
              </w:rPr>
            </w:pPr>
            <w:r w:rsidRPr="00297245">
              <w:rPr>
                <w:rFonts w:ascii="Arial" w:eastAsia="Times New Roman" w:hAnsi="Arial" w:cs="Arial"/>
                <w:sz w:val="24"/>
                <w:szCs w:val="24"/>
              </w:rPr>
              <w:t>7</w:t>
            </w:r>
          </w:p>
        </w:tc>
        <w:tc>
          <w:tcPr>
            <w:tcW w:w="7380" w:type="dxa"/>
          </w:tcPr>
          <w:p w14:paraId="43124367" w14:textId="77777777" w:rsidR="005619EA" w:rsidRDefault="005619EA" w:rsidP="00282204">
            <w:pPr>
              <w:spacing w:line="276" w:lineRule="auto"/>
              <w:rPr>
                <w:rFonts w:ascii="Arial" w:eastAsia="Times New Roman" w:hAnsi="Arial" w:cs="Arial"/>
                <w:sz w:val="24"/>
                <w:szCs w:val="24"/>
              </w:rPr>
            </w:pPr>
            <w:r w:rsidRPr="00297245">
              <w:rPr>
                <w:rFonts w:ascii="Arial" w:eastAsia="Times New Roman" w:hAnsi="Arial" w:cs="Arial"/>
                <w:sz w:val="24"/>
                <w:szCs w:val="24"/>
              </w:rPr>
              <w:t>community pharmacist.mp. or exp *Pharmacists/</w:t>
            </w:r>
          </w:p>
        </w:tc>
        <w:tc>
          <w:tcPr>
            <w:tcW w:w="1170" w:type="dxa"/>
          </w:tcPr>
          <w:p w14:paraId="2EB0A0C8" w14:textId="77777777" w:rsidR="005619EA" w:rsidRDefault="005619EA" w:rsidP="00282204">
            <w:pPr>
              <w:spacing w:line="276" w:lineRule="auto"/>
              <w:rPr>
                <w:rFonts w:ascii="Arial" w:eastAsia="Times New Roman" w:hAnsi="Arial" w:cs="Arial"/>
                <w:sz w:val="24"/>
                <w:szCs w:val="24"/>
              </w:rPr>
            </w:pPr>
            <w:r w:rsidRPr="00297245">
              <w:rPr>
                <w:rFonts w:ascii="Arial" w:eastAsia="Times New Roman" w:hAnsi="Arial" w:cs="Arial"/>
                <w:sz w:val="24"/>
                <w:szCs w:val="24"/>
              </w:rPr>
              <w:t>14235</w:t>
            </w:r>
          </w:p>
        </w:tc>
      </w:tr>
      <w:tr w:rsidR="005619EA" w14:paraId="76389E73" w14:textId="77777777" w:rsidTr="00282204">
        <w:tc>
          <w:tcPr>
            <w:tcW w:w="1075" w:type="dxa"/>
          </w:tcPr>
          <w:p w14:paraId="43FDFFEE" w14:textId="77777777" w:rsidR="005619EA" w:rsidRDefault="005619EA" w:rsidP="00282204">
            <w:pPr>
              <w:spacing w:line="276" w:lineRule="auto"/>
              <w:rPr>
                <w:rFonts w:ascii="Arial" w:eastAsia="Times New Roman" w:hAnsi="Arial" w:cs="Arial"/>
                <w:sz w:val="24"/>
                <w:szCs w:val="24"/>
              </w:rPr>
            </w:pPr>
            <w:r w:rsidRPr="00297245">
              <w:rPr>
                <w:rFonts w:ascii="Arial" w:eastAsia="Times New Roman" w:hAnsi="Arial" w:cs="Arial"/>
                <w:sz w:val="24"/>
                <w:szCs w:val="24"/>
              </w:rPr>
              <w:t>8</w:t>
            </w:r>
          </w:p>
        </w:tc>
        <w:tc>
          <w:tcPr>
            <w:tcW w:w="7380" w:type="dxa"/>
          </w:tcPr>
          <w:p w14:paraId="02501E50" w14:textId="77777777" w:rsidR="005619EA" w:rsidRDefault="005619EA" w:rsidP="00282204">
            <w:pPr>
              <w:spacing w:line="276" w:lineRule="auto"/>
              <w:rPr>
                <w:rFonts w:ascii="Arial" w:eastAsia="Times New Roman" w:hAnsi="Arial" w:cs="Arial"/>
                <w:sz w:val="24"/>
                <w:szCs w:val="24"/>
              </w:rPr>
            </w:pPr>
            <w:r w:rsidRPr="00297245">
              <w:rPr>
                <w:rFonts w:ascii="Arial" w:eastAsia="Times New Roman" w:hAnsi="Arial" w:cs="Arial"/>
                <w:sz w:val="24"/>
                <w:szCs w:val="24"/>
              </w:rPr>
              <w:t>exp *Primary Health Care/ or Primary healthcare.mp.</w:t>
            </w:r>
          </w:p>
        </w:tc>
        <w:tc>
          <w:tcPr>
            <w:tcW w:w="1170" w:type="dxa"/>
          </w:tcPr>
          <w:p w14:paraId="56A7962A" w14:textId="77777777" w:rsidR="005619EA" w:rsidRDefault="005619EA" w:rsidP="00282204">
            <w:pPr>
              <w:spacing w:line="276" w:lineRule="auto"/>
              <w:rPr>
                <w:rFonts w:ascii="Arial" w:eastAsia="Times New Roman" w:hAnsi="Arial" w:cs="Arial"/>
                <w:sz w:val="24"/>
                <w:szCs w:val="24"/>
              </w:rPr>
            </w:pPr>
            <w:r w:rsidRPr="00297245">
              <w:rPr>
                <w:rFonts w:ascii="Arial" w:eastAsia="Times New Roman" w:hAnsi="Arial" w:cs="Arial"/>
                <w:sz w:val="24"/>
                <w:szCs w:val="24"/>
              </w:rPr>
              <w:t>116431</w:t>
            </w:r>
          </w:p>
        </w:tc>
      </w:tr>
      <w:tr w:rsidR="005619EA" w14:paraId="7DA9D450" w14:textId="77777777" w:rsidTr="00282204">
        <w:tc>
          <w:tcPr>
            <w:tcW w:w="1075" w:type="dxa"/>
          </w:tcPr>
          <w:p w14:paraId="7523A6C6"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9</w:t>
            </w:r>
          </w:p>
        </w:tc>
        <w:tc>
          <w:tcPr>
            <w:tcW w:w="7380" w:type="dxa"/>
          </w:tcPr>
          <w:p w14:paraId="73C1E3A7"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Primary care.mp. or *Primary Health Care/</w:t>
            </w:r>
          </w:p>
        </w:tc>
        <w:tc>
          <w:tcPr>
            <w:tcW w:w="1170" w:type="dxa"/>
          </w:tcPr>
          <w:p w14:paraId="704762E5"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164684</w:t>
            </w:r>
          </w:p>
        </w:tc>
      </w:tr>
      <w:tr w:rsidR="005619EA" w14:paraId="24F59B78" w14:textId="77777777" w:rsidTr="00282204">
        <w:tc>
          <w:tcPr>
            <w:tcW w:w="1075" w:type="dxa"/>
          </w:tcPr>
          <w:p w14:paraId="7742FB44"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10</w:t>
            </w:r>
          </w:p>
        </w:tc>
        <w:tc>
          <w:tcPr>
            <w:tcW w:w="7380" w:type="dxa"/>
          </w:tcPr>
          <w:p w14:paraId="5FAE69CB"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Ambulatory Care.mp. or exp *Ambulatory Care/</w:t>
            </w:r>
          </w:p>
        </w:tc>
        <w:tc>
          <w:tcPr>
            <w:tcW w:w="1170" w:type="dxa"/>
          </w:tcPr>
          <w:p w14:paraId="411D87F5"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82490</w:t>
            </w:r>
          </w:p>
        </w:tc>
      </w:tr>
      <w:tr w:rsidR="005619EA" w14:paraId="24683D33" w14:textId="77777777" w:rsidTr="00282204">
        <w:tc>
          <w:tcPr>
            <w:tcW w:w="1075" w:type="dxa"/>
          </w:tcPr>
          <w:p w14:paraId="7D5A1FC9"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11</w:t>
            </w:r>
          </w:p>
        </w:tc>
        <w:tc>
          <w:tcPr>
            <w:tcW w:w="7380" w:type="dxa"/>
          </w:tcPr>
          <w:p w14:paraId="05825005"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Family Practice.mp. or exp *Family Practice/</w:t>
            </w:r>
          </w:p>
        </w:tc>
        <w:tc>
          <w:tcPr>
            <w:tcW w:w="1170" w:type="dxa"/>
          </w:tcPr>
          <w:p w14:paraId="734475CD"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70550</w:t>
            </w:r>
          </w:p>
        </w:tc>
      </w:tr>
      <w:tr w:rsidR="005619EA" w14:paraId="4AE02AAF" w14:textId="77777777" w:rsidTr="00282204">
        <w:tc>
          <w:tcPr>
            <w:tcW w:w="1075" w:type="dxa"/>
          </w:tcPr>
          <w:p w14:paraId="4E008D97"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12</w:t>
            </w:r>
          </w:p>
        </w:tc>
        <w:tc>
          <w:tcPr>
            <w:tcW w:w="7380" w:type="dxa"/>
          </w:tcPr>
          <w:p w14:paraId="0644BF50"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Family medicine practice.mp.</w:t>
            </w:r>
          </w:p>
        </w:tc>
        <w:tc>
          <w:tcPr>
            <w:tcW w:w="1170" w:type="dxa"/>
          </w:tcPr>
          <w:p w14:paraId="166C114B"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281</w:t>
            </w:r>
          </w:p>
        </w:tc>
      </w:tr>
      <w:tr w:rsidR="005619EA" w14:paraId="53938C91" w14:textId="77777777" w:rsidTr="00282204">
        <w:tc>
          <w:tcPr>
            <w:tcW w:w="1075" w:type="dxa"/>
          </w:tcPr>
          <w:p w14:paraId="14D25D82"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13</w:t>
            </w:r>
          </w:p>
        </w:tc>
        <w:tc>
          <w:tcPr>
            <w:tcW w:w="7380" w:type="dxa"/>
          </w:tcPr>
          <w:p w14:paraId="655A0736"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General Practice.mp. or exp *General Practice/ or exp *Family Practice/</w:t>
            </w:r>
          </w:p>
        </w:tc>
        <w:tc>
          <w:tcPr>
            <w:tcW w:w="1170" w:type="dxa"/>
          </w:tcPr>
          <w:p w14:paraId="49D38B4B"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83156</w:t>
            </w:r>
          </w:p>
        </w:tc>
      </w:tr>
      <w:tr w:rsidR="005619EA" w14:paraId="5129D8CC" w14:textId="77777777" w:rsidTr="00282204">
        <w:tc>
          <w:tcPr>
            <w:tcW w:w="1075" w:type="dxa"/>
          </w:tcPr>
          <w:p w14:paraId="5E848C16"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14</w:t>
            </w:r>
          </w:p>
        </w:tc>
        <w:tc>
          <w:tcPr>
            <w:tcW w:w="7380" w:type="dxa"/>
          </w:tcPr>
          <w:p w14:paraId="1DFF1A09" w14:textId="77777777" w:rsidR="005619EA" w:rsidRPr="00876389" w:rsidRDefault="005619EA" w:rsidP="00282204">
            <w:pPr>
              <w:spacing w:line="276" w:lineRule="auto"/>
              <w:rPr>
                <w:rFonts w:ascii="Arial" w:eastAsia="Times New Roman" w:hAnsi="Arial" w:cs="Arial"/>
                <w:sz w:val="24"/>
                <w:szCs w:val="24"/>
                <w:lang w:val="pt-PT"/>
              </w:rPr>
            </w:pPr>
            <w:r w:rsidRPr="00876389">
              <w:rPr>
                <w:rFonts w:ascii="Arial" w:eastAsia="Times New Roman" w:hAnsi="Arial" w:cs="Arial"/>
                <w:sz w:val="24"/>
                <w:szCs w:val="24"/>
                <w:lang w:val="pt-PT"/>
              </w:rPr>
              <w:t>exp *Diabetes Mellitus/ or Diabetes.mp.</w:t>
            </w:r>
          </w:p>
        </w:tc>
        <w:tc>
          <w:tcPr>
            <w:tcW w:w="1170" w:type="dxa"/>
          </w:tcPr>
          <w:p w14:paraId="5E969047"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780926</w:t>
            </w:r>
          </w:p>
        </w:tc>
      </w:tr>
      <w:tr w:rsidR="005619EA" w14:paraId="460EB7F0" w14:textId="77777777" w:rsidTr="00282204">
        <w:tc>
          <w:tcPr>
            <w:tcW w:w="1075" w:type="dxa"/>
          </w:tcPr>
          <w:p w14:paraId="4D6EDE41"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15</w:t>
            </w:r>
          </w:p>
        </w:tc>
        <w:tc>
          <w:tcPr>
            <w:tcW w:w="7380" w:type="dxa"/>
          </w:tcPr>
          <w:p w14:paraId="31513CC7"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Diabetic.mp.</w:t>
            </w:r>
          </w:p>
        </w:tc>
        <w:tc>
          <w:tcPr>
            <w:tcW w:w="1170" w:type="dxa"/>
          </w:tcPr>
          <w:p w14:paraId="14957DFB"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306716</w:t>
            </w:r>
          </w:p>
        </w:tc>
      </w:tr>
      <w:tr w:rsidR="005619EA" w14:paraId="08398730" w14:textId="77777777" w:rsidTr="00282204">
        <w:tc>
          <w:tcPr>
            <w:tcW w:w="1075" w:type="dxa"/>
          </w:tcPr>
          <w:p w14:paraId="3DB33D0B"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16</w:t>
            </w:r>
          </w:p>
        </w:tc>
        <w:tc>
          <w:tcPr>
            <w:tcW w:w="7380" w:type="dxa"/>
          </w:tcPr>
          <w:p w14:paraId="20399415"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pharmacists contribution*.mp.</w:t>
            </w:r>
          </w:p>
        </w:tc>
        <w:tc>
          <w:tcPr>
            <w:tcW w:w="1170" w:type="dxa"/>
          </w:tcPr>
          <w:p w14:paraId="5BF2AF3C"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100</w:t>
            </w:r>
          </w:p>
        </w:tc>
      </w:tr>
      <w:tr w:rsidR="005619EA" w14:paraId="3C5C7A5C" w14:textId="77777777" w:rsidTr="00282204">
        <w:tc>
          <w:tcPr>
            <w:tcW w:w="1075" w:type="dxa"/>
          </w:tcPr>
          <w:p w14:paraId="2203EF9E"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17</w:t>
            </w:r>
          </w:p>
        </w:tc>
        <w:tc>
          <w:tcPr>
            <w:tcW w:w="7380" w:type="dxa"/>
          </w:tcPr>
          <w:p w14:paraId="0C0C3633"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pharmacists responsibilities*.mp.</w:t>
            </w:r>
          </w:p>
        </w:tc>
        <w:tc>
          <w:tcPr>
            <w:tcW w:w="1170" w:type="dxa"/>
          </w:tcPr>
          <w:p w14:paraId="4B88060A"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37</w:t>
            </w:r>
          </w:p>
        </w:tc>
      </w:tr>
      <w:tr w:rsidR="005619EA" w14:paraId="1E0D5DE9" w14:textId="77777777" w:rsidTr="00282204">
        <w:tc>
          <w:tcPr>
            <w:tcW w:w="1075" w:type="dxa"/>
          </w:tcPr>
          <w:p w14:paraId="42CEF543"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18</w:t>
            </w:r>
          </w:p>
        </w:tc>
        <w:tc>
          <w:tcPr>
            <w:tcW w:w="7380" w:type="dxa"/>
          </w:tcPr>
          <w:p w14:paraId="18A3DD04"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pharmacists practice*.mp.</w:t>
            </w:r>
          </w:p>
        </w:tc>
        <w:tc>
          <w:tcPr>
            <w:tcW w:w="1170" w:type="dxa"/>
          </w:tcPr>
          <w:p w14:paraId="6162957A"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171</w:t>
            </w:r>
          </w:p>
        </w:tc>
      </w:tr>
      <w:tr w:rsidR="005619EA" w14:paraId="0F1A0FE9" w14:textId="77777777" w:rsidTr="00282204">
        <w:tc>
          <w:tcPr>
            <w:tcW w:w="1075" w:type="dxa"/>
          </w:tcPr>
          <w:p w14:paraId="01D87F67"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19</w:t>
            </w:r>
          </w:p>
        </w:tc>
        <w:tc>
          <w:tcPr>
            <w:tcW w:w="7380" w:type="dxa"/>
          </w:tcPr>
          <w:p w14:paraId="699C3808"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pharmacist intervention*.mp.</w:t>
            </w:r>
          </w:p>
        </w:tc>
        <w:tc>
          <w:tcPr>
            <w:tcW w:w="1170" w:type="dxa"/>
          </w:tcPr>
          <w:p w14:paraId="291E6BCB"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1483</w:t>
            </w:r>
          </w:p>
        </w:tc>
      </w:tr>
      <w:tr w:rsidR="005619EA" w14:paraId="41BF3530" w14:textId="77777777" w:rsidTr="00282204">
        <w:tc>
          <w:tcPr>
            <w:tcW w:w="1075" w:type="dxa"/>
          </w:tcPr>
          <w:p w14:paraId="75E103DB"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20</w:t>
            </w:r>
          </w:p>
        </w:tc>
        <w:tc>
          <w:tcPr>
            <w:tcW w:w="7380" w:type="dxa"/>
          </w:tcPr>
          <w:p w14:paraId="545DDAD3"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pharmacists education*.mp.</w:t>
            </w:r>
          </w:p>
        </w:tc>
        <w:tc>
          <w:tcPr>
            <w:tcW w:w="1170" w:type="dxa"/>
          </w:tcPr>
          <w:p w14:paraId="2FA0AAA4"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63</w:t>
            </w:r>
          </w:p>
        </w:tc>
      </w:tr>
      <w:tr w:rsidR="005619EA" w14:paraId="62BED977" w14:textId="77777777" w:rsidTr="00282204">
        <w:tc>
          <w:tcPr>
            <w:tcW w:w="1075" w:type="dxa"/>
          </w:tcPr>
          <w:p w14:paraId="5F684395"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21</w:t>
            </w:r>
          </w:p>
        </w:tc>
        <w:tc>
          <w:tcPr>
            <w:tcW w:w="7380" w:type="dxa"/>
          </w:tcPr>
          <w:p w14:paraId="3DF5A078"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 or 2 or 3 or 4 or 5 or 6 or 7 or 16 or 17 or 18 or 19 or 20</w:t>
            </w:r>
          </w:p>
        </w:tc>
        <w:tc>
          <w:tcPr>
            <w:tcW w:w="1170" w:type="dxa"/>
          </w:tcPr>
          <w:p w14:paraId="1319E04E"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215860</w:t>
            </w:r>
          </w:p>
        </w:tc>
      </w:tr>
      <w:tr w:rsidR="005619EA" w14:paraId="5C6DFD26" w14:textId="77777777" w:rsidTr="00282204">
        <w:tc>
          <w:tcPr>
            <w:tcW w:w="1075" w:type="dxa"/>
          </w:tcPr>
          <w:p w14:paraId="4EA98EDC"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22</w:t>
            </w:r>
          </w:p>
        </w:tc>
        <w:tc>
          <w:tcPr>
            <w:tcW w:w="7380" w:type="dxa"/>
          </w:tcPr>
          <w:p w14:paraId="59DA6596"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8 or 9 or 10 or 11 or 12 or 13</w:t>
            </w:r>
          </w:p>
        </w:tc>
        <w:tc>
          <w:tcPr>
            <w:tcW w:w="1170" w:type="dxa"/>
          </w:tcPr>
          <w:p w14:paraId="2A781944"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378536</w:t>
            </w:r>
          </w:p>
        </w:tc>
      </w:tr>
      <w:tr w:rsidR="005619EA" w14:paraId="416AECD0" w14:textId="77777777" w:rsidTr="00282204">
        <w:tc>
          <w:tcPr>
            <w:tcW w:w="1075" w:type="dxa"/>
          </w:tcPr>
          <w:p w14:paraId="02958488"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23</w:t>
            </w:r>
          </w:p>
        </w:tc>
        <w:tc>
          <w:tcPr>
            <w:tcW w:w="7380" w:type="dxa"/>
          </w:tcPr>
          <w:p w14:paraId="3D0A1432"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14 or 15</w:t>
            </w:r>
          </w:p>
        </w:tc>
        <w:tc>
          <w:tcPr>
            <w:tcW w:w="1170" w:type="dxa"/>
          </w:tcPr>
          <w:p w14:paraId="46B5A43F"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834996</w:t>
            </w:r>
          </w:p>
        </w:tc>
      </w:tr>
      <w:tr w:rsidR="005619EA" w14:paraId="0A8F23ED" w14:textId="77777777" w:rsidTr="00282204">
        <w:tc>
          <w:tcPr>
            <w:tcW w:w="1075" w:type="dxa"/>
          </w:tcPr>
          <w:p w14:paraId="3E0BBEEE"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24</w:t>
            </w:r>
          </w:p>
        </w:tc>
        <w:tc>
          <w:tcPr>
            <w:tcW w:w="7380" w:type="dxa"/>
          </w:tcPr>
          <w:p w14:paraId="63A8825B"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21 and 22 and 23</w:t>
            </w:r>
          </w:p>
        </w:tc>
        <w:tc>
          <w:tcPr>
            <w:tcW w:w="1170" w:type="dxa"/>
          </w:tcPr>
          <w:p w14:paraId="529DCB5A"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1165</w:t>
            </w:r>
          </w:p>
        </w:tc>
      </w:tr>
      <w:tr w:rsidR="005619EA" w14:paraId="17108965" w14:textId="77777777" w:rsidTr="00282204">
        <w:tc>
          <w:tcPr>
            <w:tcW w:w="1075" w:type="dxa"/>
          </w:tcPr>
          <w:p w14:paraId="3061E19D"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25</w:t>
            </w:r>
          </w:p>
        </w:tc>
        <w:tc>
          <w:tcPr>
            <w:tcW w:w="7380" w:type="dxa"/>
          </w:tcPr>
          <w:p w14:paraId="36190573"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14 or 15</w:t>
            </w:r>
          </w:p>
        </w:tc>
        <w:tc>
          <w:tcPr>
            <w:tcW w:w="1170" w:type="dxa"/>
          </w:tcPr>
          <w:p w14:paraId="78F2D634"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834996</w:t>
            </w:r>
          </w:p>
        </w:tc>
      </w:tr>
      <w:tr w:rsidR="005619EA" w14:paraId="28D250B7" w14:textId="77777777" w:rsidTr="00282204">
        <w:tc>
          <w:tcPr>
            <w:tcW w:w="1075" w:type="dxa"/>
          </w:tcPr>
          <w:p w14:paraId="7073AEF2"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26</w:t>
            </w:r>
          </w:p>
        </w:tc>
        <w:tc>
          <w:tcPr>
            <w:tcW w:w="7380" w:type="dxa"/>
          </w:tcPr>
          <w:p w14:paraId="210B7027"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21 and 22 and 23</w:t>
            </w:r>
          </w:p>
        </w:tc>
        <w:tc>
          <w:tcPr>
            <w:tcW w:w="1170" w:type="dxa"/>
          </w:tcPr>
          <w:p w14:paraId="4EDA53EB" w14:textId="77777777" w:rsidR="005619EA" w:rsidRPr="00297245" w:rsidRDefault="005619EA" w:rsidP="00282204">
            <w:pPr>
              <w:spacing w:line="276" w:lineRule="auto"/>
              <w:rPr>
                <w:rFonts w:ascii="Arial" w:eastAsia="Times New Roman" w:hAnsi="Arial" w:cs="Arial"/>
                <w:sz w:val="24"/>
                <w:szCs w:val="24"/>
              </w:rPr>
            </w:pPr>
            <w:r w:rsidRPr="00674844">
              <w:rPr>
                <w:rFonts w:ascii="Arial" w:eastAsia="Times New Roman" w:hAnsi="Arial" w:cs="Arial"/>
                <w:sz w:val="24"/>
                <w:szCs w:val="24"/>
              </w:rPr>
              <w:t>1165</w:t>
            </w:r>
          </w:p>
        </w:tc>
      </w:tr>
      <w:tr w:rsidR="005619EA" w14:paraId="31C50685" w14:textId="77777777" w:rsidTr="00282204">
        <w:tc>
          <w:tcPr>
            <w:tcW w:w="1075" w:type="dxa"/>
          </w:tcPr>
          <w:p w14:paraId="276F3700" w14:textId="77777777" w:rsidR="005619EA" w:rsidRPr="00674844" w:rsidRDefault="005619EA" w:rsidP="00282204">
            <w:pPr>
              <w:spacing w:line="276" w:lineRule="auto"/>
              <w:rPr>
                <w:rFonts w:ascii="Arial" w:eastAsia="Times New Roman" w:hAnsi="Arial" w:cs="Arial"/>
                <w:sz w:val="24"/>
                <w:szCs w:val="24"/>
              </w:rPr>
            </w:pPr>
            <w:r w:rsidRPr="00D9391C">
              <w:rPr>
                <w:rFonts w:ascii="Arial" w:eastAsia="Times New Roman" w:hAnsi="Arial" w:cs="Arial"/>
                <w:sz w:val="24"/>
                <w:szCs w:val="24"/>
              </w:rPr>
              <w:t>27</w:t>
            </w:r>
          </w:p>
        </w:tc>
        <w:tc>
          <w:tcPr>
            <w:tcW w:w="7380" w:type="dxa"/>
          </w:tcPr>
          <w:p w14:paraId="709DCF84" w14:textId="77777777" w:rsidR="005619EA" w:rsidRPr="00674844" w:rsidRDefault="005619EA" w:rsidP="00282204">
            <w:pPr>
              <w:spacing w:line="276" w:lineRule="auto"/>
              <w:rPr>
                <w:rFonts w:ascii="Arial" w:eastAsia="Times New Roman" w:hAnsi="Arial" w:cs="Arial"/>
                <w:sz w:val="24"/>
                <w:szCs w:val="24"/>
              </w:rPr>
            </w:pPr>
            <w:r w:rsidRPr="00D9391C">
              <w:rPr>
                <w:rFonts w:ascii="Arial" w:eastAsia="Times New Roman" w:hAnsi="Arial" w:cs="Arial"/>
                <w:sz w:val="24"/>
                <w:szCs w:val="24"/>
              </w:rPr>
              <w:t>limit 26 to (english language and yr="2009 -Current")</w:t>
            </w:r>
          </w:p>
        </w:tc>
        <w:tc>
          <w:tcPr>
            <w:tcW w:w="1170" w:type="dxa"/>
          </w:tcPr>
          <w:p w14:paraId="712EF6F5" w14:textId="77777777" w:rsidR="005619EA" w:rsidRPr="00674844" w:rsidRDefault="005619EA" w:rsidP="00282204">
            <w:pPr>
              <w:spacing w:line="276" w:lineRule="auto"/>
              <w:rPr>
                <w:rFonts w:ascii="Arial" w:eastAsia="Times New Roman" w:hAnsi="Arial" w:cs="Arial"/>
                <w:sz w:val="24"/>
                <w:szCs w:val="24"/>
              </w:rPr>
            </w:pPr>
            <w:r w:rsidRPr="00F01BB0">
              <w:rPr>
                <w:rFonts w:ascii="Arial" w:eastAsia="Times New Roman" w:hAnsi="Arial" w:cs="Arial"/>
                <w:sz w:val="24"/>
                <w:szCs w:val="24"/>
                <w:highlight w:val="yellow"/>
              </w:rPr>
              <w:t>831</w:t>
            </w:r>
          </w:p>
        </w:tc>
      </w:tr>
    </w:tbl>
    <w:p w14:paraId="6E97FD59" w14:textId="77777777" w:rsidR="005619EA" w:rsidRDefault="005619EA" w:rsidP="005619EA">
      <w:pPr>
        <w:rPr>
          <w:sz w:val="24"/>
          <w:szCs w:val="24"/>
          <w:lang w:val="en-GB"/>
        </w:rPr>
      </w:pPr>
    </w:p>
    <w:p w14:paraId="57DF21C9" w14:textId="77777777" w:rsidR="005619EA" w:rsidRPr="004C005C" w:rsidRDefault="005619EA" w:rsidP="005619EA">
      <w:pPr>
        <w:spacing w:line="276" w:lineRule="auto"/>
        <w:rPr>
          <w:rFonts w:ascii="Arial" w:hAnsi="Arial" w:cs="Arial"/>
          <w:sz w:val="24"/>
          <w:szCs w:val="24"/>
        </w:rPr>
      </w:pPr>
      <w:r w:rsidRPr="004C005C">
        <w:rPr>
          <w:rFonts w:ascii="Arial" w:hAnsi="Arial" w:cs="Arial"/>
          <w:sz w:val="24"/>
          <w:szCs w:val="24"/>
        </w:rPr>
        <w:t xml:space="preserve">SCOPUS </w:t>
      </w:r>
    </w:p>
    <w:p w14:paraId="26200FEF" w14:textId="77777777" w:rsidR="005619EA" w:rsidRDefault="005619EA" w:rsidP="005619EA">
      <w:pPr>
        <w:rPr>
          <w:rFonts w:ascii="Arial" w:eastAsia="Times New Roman" w:hAnsi="Arial" w:cs="Arial"/>
          <w:kern w:val="36"/>
          <w:sz w:val="24"/>
          <w:szCs w:val="24"/>
        </w:rPr>
      </w:pPr>
      <w:r w:rsidRPr="00EA281C">
        <w:rPr>
          <w:rFonts w:ascii="Arial" w:eastAsia="Times New Roman" w:hAnsi="Arial" w:cs="Arial"/>
          <w:kern w:val="36"/>
          <w:sz w:val="24"/>
          <w:szCs w:val="24"/>
          <w:highlight w:val="yellow"/>
        </w:rPr>
        <w:t>910</w:t>
      </w:r>
      <w:r w:rsidRPr="00EA281C">
        <w:rPr>
          <w:rFonts w:ascii="Arial" w:eastAsia="Times New Roman" w:hAnsi="Arial" w:cs="Arial"/>
          <w:kern w:val="36"/>
          <w:sz w:val="24"/>
          <w:szCs w:val="24"/>
        </w:rPr>
        <w:t xml:space="preserve"> documents resulted from using the following keywords and phrases; the search was limited to the period from 2009 to 2023 and the English language. </w:t>
      </w:r>
    </w:p>
    <w:p w14:paraId="37101D97" w14:textId="77777777" w:rsidR="005619EA" w:rsidRPr="00A27B1D" w:rsidRDefault="005619EA" w:rsidP="005619EA">
      <w:pPr>
        <w:rPr>
          <w:rFonts w:asciiTheme="minorBidi" w:hAnsiTheme="minorBidi"/>
          <w:sz w:val="24"/>
          <w:szCs w:val="24"/>
        </w:rPr>
      </w:pPr>
      <w:r w:rsidRPr="00A27B1D">
        <w:rPr>
          <w:rFonts w:asciiTheme="minorBidi" w:hAnsiTheme="minorBidi"/>
          <w:sz w:val="24"/>
          <w:szCs w:val="24"/>
        </w:rPr>
        <w:t>( TITLE-ABS-KEY ( </w:t>
      </w:r>
      <w:r w:rsidRPr="00A27B1D">
        <w:rPr>
          <w:rFonts w:asciiTheme="minorBidi" w:hAnsiTheme="minorBidi"/>
          <w:color w:val="000000"/>
          <w:sz w:val="24"/>
          <w:szCs w:val="24"/>
        </w:rPr>
        <w:t>pharmacists</w:t>
      </w:r>
      <w:r w:rsidRPr="00A27B1D">
        <w:rPr>
          <w:rFonts w:asciiTheme="minorBidi" w:hAnsiTheme="minorBidi"/>
          <w:sz w:val="24"/>
          <w:szCs w:val="24"/>
        </w:rPr>
        <w:t> )  OR  TITLE-ABS-KEY ( </w:t>
      </w:r>
      <w:r w:rsidRPr="00A27B1D">
        <w:rPr>
          <w:rFonts w:asciiTheme="minorBidi" w:hAnsiTheme="minorBidi"/>
          <w:color w:val="000000"/>
          <w:sz w:val="24"/>
          <w:szCs w:val="24"/>
        </w:rPr>
        <w:t>pharmacist</w:t>
      </w:r>
      <w:r w:rsidRPr="00A27B1D">
        <w:rPr>
          <w:rFonts w:asciiTheme="minorBidi" w:hAnsiTheme="minorBidi"/>
          <w:sz w:val="24"/>
          <w:szCs w:val="24"/>
        </w:rPr>
        <w:t> )  OR  TITLE-ABS-KEY ( </w:t>
      </w:r>
      <w:r w:rsidRPr="00A27B1D">
        <w:rPr>
          <w:rFonts w:asciiTheme="minorBidi" w:hAnsiTheme="minorBidi"/>
          <w:color w:val="000000"/>
          <w:sz w:val="24"/>
          <w:szCs w:val="24"/>
        </w:rPr>
        <w:t>"pharmacy service"</w:t>
      </w:r>
      <w:r w:rsidRPr="00A27B1D">
        <w:rPr>
          <w:rFonts w:asciiTheme="minorBidi" w:hAnsiTheme="minorBidi"/>
          <w:sz w:val="24"/>
          <w:szCs w:val="24"/>
        </w:rPr>
        <w:t> )  OR  TITLE-ABS-KEY ( </w:t>
      </w:r>
      <w:r w:rsidRPr="00A27B1D">
        <w:rPr>
          <w:rFonts w:asciiTheme="minorBidi" w:hAnsiTheme="minorBidi"/>
          <w:color w:val="000000"/>
          <w:sz w:val="24"/>
          <w:szCs w:val="24"/>
        </w:rPr>
        <w:t>"pharmaceutical care"</w:t>
      </w:r>
      <w:r w:rsidRPr="00A27B1D">
        <w:rPr>
          <w:rFonts w:asciiTheme="minorBidi" w:hAnsiTheme="minorBidi"/>
          <w:sz w:val="24"/>
          <w:szCs w:val="24"/>
        </w:rPr>
        <w:t> )  OR  TITLE-ABS-KEY ( </w:t>
      </w:r>
      <w:r w:rsidRPr="00A27B1D">
        <w:rPr>
          <w:rFonts w:asciiTheme="minorBidi" w:hAnsiTheme="minorBidi"/>
          <w:color w:val="000000"/>
          <w:sz w:val="24"/>
          <w:szCs w:val="24"/>
        </w:rPr>
        <w:t>"clinical pharmacists"</w:t>
      </w:r>
      <w:r w:rsidRPr="00A27B1D">
        <w:rPr>
          <w:rFonts w:asciiTheme="minorBidi" w:hAnsiTheme="minorBidi"/>
          <w:sz w:val="24"/>
          <w:szCs w:val="24"/>
        </w:rPr>
        <w:t> )  OR  TITLE-ABS-KEY ( </w:t>
      </w:r>
      <w:r w:rsidRPr="00A27B1D">
        <w:rPr>
          <w:rFonts w:asciiTheme="minorBidi" w:hAnsiTheme="minorBidi"/>
          <w:color w:val="000000"/>
          <w:sz w:val="24"/>
          <w:szCs w:val="24"/>
        </w:rPr>
        <w:t>"clinical pharmacist"</w:t>
      </w:r>
      <w:r w:rsidRPr="00A27B1D">
        <w:rPr>
          <w:rFonts w:asciiTheme="minorBidi" w:hAnsiTheme="minorBidi"/>
          <w:sz w:val="24"/>
          <w:szCs w:val="24"/>
        </w:rPr>
        <w:t> )  OR  TITLE-ABS-KEY ( </w:t>
      </w:r>
      <w:r w:rsidRPr="00A27B1D">
        <w:rPr>
          <w:rFonts w:asciiTheme="minorBidi" w:hAnsiTheme="minorBidi"/>
          <w:color w:val="000000"/>
          <w:sz w:val="24"/>
          <w:szCs w:val="24"/>
        </w:rPr>
        <w:t>"medication therapy management"</w:t>
      </w:r>
      <w:r w:rsidRPr="00A27B1D">
        <w:rPr>
          <w:rFonts w:asciiTheme="minorBidi" w:hAnsiTheme="minorBidi"/>
          <w:sz w:val="24"/>
          <w:szCs w:val="24"/>
        </w:rPr>
        <w:t> )  OR  TITLE-ABS-KEY ( </w:t>
      </w:r>
      <w:r w:rsidRPr="00A27B1D">
        <w:rPr>
          <w:rFonts w:asciiTheme="minorBidi" w:hAnsiTheme="minorBidi"/>
          <w:color w:val="000000"/>
          <w:sz w:val="24"/>
          <w:szCs w:val="24"/>
        </w:rPr>
        <w:t>"Community pharmacists"</w:t>
      </w:r>
      <w:r w:rsidRPr="00A27B1D">
        <w:rPr>
          <w:rFonts w:asciiTheme="minorBidi" w:hAnsiTheme="minorBidi"/>
          <w:sz w:val="24"/>
          <w:szCs w:val="24"/>
        </w:rPr>
        <w:t> )  OR  TITLE-ABS-KEY ( </w:t>
      </w:r>
      <w:r w:rsidRPr="00A27B1D">
        <w:rPr>
          <w:rFonts w:asciiTheme="minorBidi" w:hAnsiTheme="minorBidi"/>
          <w:color w:val="000000"/>
          <w:sz w:val="24"/>
          <w:szCs w:val="24"/>
        </w:rPr>
        <w:t>"Community pharmacist"</w:t>
      </w:r>
      <w:r w:rsidRPr="00A27B1D">
        <w:rPr>
          <w:rFonts w:asciiTheme="minorBidi" w:hAnsiTheme="minorBidi"/>
          <w:sz w:val="24"/>
          <w:szCs w:val="24"/>
        </w:rPr>
        <w:t> )  OR  TITLE-ABS-KEY ( </w:t>
      </w:r>
      <w:r w:rsidRPr="00A27B1D">
        <w:rPr>
          <w:rFonts w:asciiTheme="minorBidi" w:hAnsiTheme="minorBidi"/>
          <w:color w:val="000000"/>
          <w:sz w:val="24"/>
          <w:szCs w:val="24"/>
        </w:rPr>
        <w:t>"pharmacists’ responsibilities"</w:t>
      </w:r>
      <w:r w:rsidRPr="00A27B1D">
        <w:rPr>
          <w:rFonts w:asciiTheme="minorBidi" w:hAnsiTheme="minorBidi"/>
          <w:sz w:val="24"/>
          <w:szCs w:val="24"/>
        </w:rPr>
        <w:t> )  OR  TITLE-ABS-KEY ( </w:t>
      </w:r>
      <w:r w:rsidRPr="00A27B1D">
        <w:rPr>
          <w:rFonts w:asciiTheme="minorBidi" w:hAnsiTheme="minorBidi"/>
          <w:color w:val="000000"/>
          <w:sz w:val="24"/>
          <w:szCs w:val="24"/>
        </w:rPr>
        <w:t>"pharmacists’ contribution"</w:t>
      </w:r>
      <w:r w:rsidRPr="00A27B1D">
        <w:rPr>
          <w:rFonts w:asciiTheme="minorBidi" w:hAnsiTheme="minorBidi"/>
          <w:sz w:val="24"/>
          <w:szCs w:val="24"/>
        </w:rPr>
        <w:t> )  OR  TITLE-ABS-KEY ( </w:t>
      </w:r>
      <w:r w:rsidRPr="00A27B1D">
        <w:rPr>
          <w:rFonts w:asciiTheme="minorBidi" w:hAnsiTheme="minorBidi"/>
          <w:color w:val="000000"/>
          <w:sz w:val="24"/>
          <w:szCs w:val="24"/>
        </w:rPr>
        <w:t>"pharmacists practice"</w:t>
      </w:r>
      <w:r w:rsidRPr="00A27B1D">
        <w:rPr>
          <w:rFonts w:asciiTheme="minorBidi" w:hAnsiTheme="minorBidi"/>
          <w:sz w:val="24"/>
          <w:szCs w:val="24"/>
        </w:rPr>
        <w:t> )  OR  TITLE-ABS-KEY ( </w:t>
      </w:r>
      <w:r w:rsidRPr="00A27B1D">
        <w:rPr>
          <w:rFonts w:asciiTheme="minorBidi" w:hAnsiTheme="minorBidi"/>
          <w:color w:val="000000"/>
          <w:sz w:val="24"/>
          <w:szCs w:val="24"/>
        </w:rPr>
        <w:t>"pharmacist intervention"</w:t>
      </w:r>
      <w:r w:rsidRPr="00A27B1D">
        <w:rPr>
          <w:rFonts w:asciiTheme="minorBidi" w:hAnsiTheme="minorBidi"/>
          <w:sz w:val="24"/>
          <w:szCs w:val="24"/>
        </w:rPr>
        <w:t> )  OR  TITLE-ABS-KEY ( </w:t>
      </w:r>
      <w:r w:rsidRPr="00A27B1D">
        <w:rPr>
          <w:rFonts w:asciiTheme="minorBidi" w:hAnsiTheme="minorBidi"/>
          <w:color w:val="000000"/>
          <w:sz w:val="24"/>
          <w:szCs w:val="24"/>
        </w:rPr>
        <w:t>"pharmacists’ education"</w:t>
      </w:r>
      <w:r w:rsidRPr="00A27B1D">
        <w:rPr>
          <w:rFonts w:asciiTheme="minorBidi" w:hAnsiTheme="minorBidi"/>
          <w:sz w:val="24"/>
          <w:szCs w:val="24"/>
        </w:rPr>
        <w:t> )  AND  TITLE-ABS-KEY ( </w:t>
      </w:r>
      <w:r w:rsidRPr="00A27B1D">
        <w:rPr>
          <w:rFonts w:asciiTheme="minorBidi" w:hAnsiTheme="minorBidi"/>
          <w:color w:val="000000"/>
          <w:sz w:val="24"/>
          <w:szCs w:val="24"/>
        </w:rPr>
        <w:t>"primary health care"</w:t>
      </w:r>
      <w:r w:rsidRPr="00A27B1D">
        <w:rPr>
          <w:rFonts w:asciiTheme="minorBidi" w:hAnsiTheme="minorBidi"/>
          <w:sz w:val="24"/>
          <w:szCs w:val="24"/>
        </w:rPr>
        <w:t> )  OR  TITLE-ABS-KEY ( </w:t>
      </w:r>
      <w:r w:rsidRPr="00A27B1D">
        <w:rPr>
          <w:rFonts w:asciiTheme="minorBidi" w:hAnsiTheme="minorBidi"/>
          <w:color w:val="000000"/>
          <w:sz w:val="24"/>
          <w:szCs w:val="24"/>
        </w:rPr>
        <w:t>"primary healthcare"</w:t>
      </w:r>
      <w:r w:rsidRPr="00A27B1D">
        <w:rPr>
          <w:rFonts w:asciiTheme="minorBidi" w:hAnsiTheme="minorBidi"/>
          <w:sz w:val="24"/>
          <w:szCs w:val="24"/>
        </w:rPr>
        <w:t> )  OR  TITLE-ABS-KEY ( </w:t>
      </w:r>
      <w:r w:rsidRPr="00A27B1D">
        <w:rPr>
          <w:rFonts w:asciiTheme="minorBidi" w:hAnsiTheme="minorBidi"/>
          <w:color w:val="000000"/>
          <w:sz w:val="24"/>
          <w:szCs w:val="24"/>
        </w:rPr>
        <w:t>"primary care"</w:t>
      </w:r>
      <w:r w:rsidRPr="00A27B1D">
        <w:rPr>
          <w:rFonts w:asciiTheme="minorBidi" w:hAnsiTheme="minorBidi"/>
          <w:sz w:val="24"/>
          <w:szCs w:val="24"/>
        </w:rPr>
        <w:t> )  OR  TITLE-ABS-KEY ( </w:t>
      </w:r>
      <w:r w:rsidRPr="00A27B1D">
        <w:rPr>
          <w:rFonts w:asciiTheme="minorBidi" w:hAnsiTheme="minorBidi"/>
          <w:color w:val="000000"/>
          <w:sz w:val="24"/>
          <w:szCs w:val="24"/>
        </w:rPr>
        <w:t>"ambulatory care"</w:t>
      </w:r>
      <w:r w:rsidRPr="00A27B1D">
        <w:rPr>
          <w:rFonts w:asciiTheme="minorBidi" w:hAnsiTheme="minorBidi"/>
          <w:sz w:val="24"/>
          <w:szCs w:val="24"/>
        </w:rPr>
        <w:t> )  OR  TITLE-ABS-KEY ( </w:t>
      </w:r>
      <w:r w:rsidRPr="00A27B1D">
        <w:rPr>
          <w:rFonts w:asciiTheme="minorBidi" w:hAnsiTheme="minorBidi"/>
          <w:color w:val="000000"/>
          <w:sz w:val="24"/>
          <w:szCs w:val="24"/>
        </w:rPr>
        <w:t>"general practice"</w:t>
      </w:r>
      <w:r w:rsidRPr="00A27B1D">
        <w:rPr>
          <w:rFonts w:asciiTheme="minorBidi" w:hAnsiTheme="minorBidi"/>
          <w:sz w:val="24"/>
          <w:szCs w:val="24"/>
        </w:rPr>
        <w:t> )  OR  TITLE-ABS-KEY ( </w:t>
      </w:r>
      <w:r w:rsidRPr="00A27B1D">
        <w:rPr>
          <w:rFonts w:asciiTheme="minorBidi" w:hAnsiTheme="minorBidi"/>
          <w:color w:val="000000"/>
          <w:sz w:val="24"/>
          <w:szCs w:val="24"/>
        </w:rPr>
        <w:t>"family practice"</w:t>
      </w:r>
      <w:r w:rsidRPr="00A27B1D">
        <w:rPr>
          <w:rFonts w:asciiTheme="minorBidi" w:hAnsiTheme="minorBidi"/>
          <w:sz w:val="24"/>
          <w:szCs w:val="24"/>
        </w:rPr>
        <w:t> )  AND  TITLE-ABS-KEY ( </w:t>
      </w:r>
      <w:r w:rsidRPr="00A27B1D">
        <w:rPr>
          <w:rFonts w:asciiTheme="minorBidi" w:hAnsiTheme="minorBidi"/>
          <w:color w:val="000000"/>
          <w:sz w:val="24"/>
          <w:szCs w:val="24"/>
        </w:rPr>
        <w:t>"diabetes mellitus"</w:t>
      </w:r>
      <w:r w:rsidRPr="00A27B1D">
        <w:rPr>
          <w:rFonts w:asciiTheme="minorBidi" w:hAnsiTheme="minorBidi"/>
          <w:sz w:val="24"/>
          <w:szCs w:val="24"/>
        </w:rPr>
        <w:t> )  OR  TITLE-ABS-KEY ( </w:t>
      </w:r>
      <w:r w:rsidRPr="00A27B1D">
        <w:rPr>
          <w:rFonts w:asciiTheme="minorBidi" w:hAnsiTheme="minorBidi"/>
          <w:color w:val="000000"/>
          <w:sz w:val="24"/>
          <w:szCs w:val="24"/>
        </w:rPr>
        <w:t>diabetes</w:t>
      </w:r>
      <w:r w:rsidRPr="00A27B1D">
        <w:rPr>
          <w:rFonts w:asciiTheme="minorBidi" w:hAnsiTheme="minorBidi"/>
          <w:sz w:val="24"/>
          <w:szCs w:val="24"/>
        </w:rPr>
        <w:t> )  OR  TITLE-ABS-KEY ( </w:t>
      </w:r>
      <w:r w:rsidRPr="00A27B1D">
        <w:rPr>
          <w:rFonts w:asciiTheme="minorBidi" w:hAnsiTheme="minorBidi"/>
          <w:color w:val="000000"/>
          <w:sz w:val="24"/>
          <w:szCs w:val="24"/>
        </w:rPr>
        <w:t>diabetic</w:t>
      </w:r>
      <w:r w:rsidRPr="00A27B1D">
        <w:rPr>
          <w:rFonts w:asciiTheme="minorBidi" w:hAnsiTheme="minorBidi"/>
          <w:sz w:val="24"/>
          <w:szCs w:val="24"/>
        </w:rPr>
        <w:t> ) )  AND  ( LIMIT-TO ( PUBYEAR ,  </w:t>
      </w:r>
      <w:r w:rsidRPr="00A27B1D">
        <w:rPr>
          <w:rFonts w:asciiTheme="minorBidi" w:hAnsiTheme="minorBidi"/>
          <w:color w:val="000000"/>
          <w:sz w:val="24"/>
          <w:szCs w:val="24"/>
        </w:rPr>
        <w:t>2023</w:t>
      </w:r>
      <w:r w:rsidRPr="00A27B1D">
        <w:rPr>
          <w:rFonts w:asciiTheme="minorBidi" w:hAnsiTheme="minorBidi"/>
          <w:sz w:val="24"/>
          <w:szCs w:val="24"/>
        </w:rPr>
        <w:t> )  OR  LIMIT-TO ( PUBYEAR ,  </w:t>
      </w:r>
      <w:r w:rsidRPr="00A27B1D">
        <w:rPr>
          <w:rFonts w:asciiTheme="minorBidi" w:hAnsiTheme="minorBidi"/>
          <w:color w:val="000000"/>
          <w:sz w:val="24"/>
          <w:szCs w:val="24"/>
        </w:rPr>
        <w:t>2022</w:t>
      </w:r>
      <w:r w:rsidRPr="00A27B1D">
        <w:rPr>
          <w:rFonts w:asciiTheme="minorBidi" w:hAnsiTheme="minorBidi"/>
          <w:sz w:val="24"/>
          <w:szCs w:val="24"/>
        </w:rPr>
        <w:t> )  OR  LIMIT-TO ( PUBYEAR ,  </w:t>
      </w:r>
      <w:r w:rsidRPr="00A27B1D">
        <w:rPr>
          <w:rFonts w:asciiTheme="minorBidi" w:hAnsiTheme="minorBidi"/>
          <w:color w:val="000000"/>
          <w:sz w:val="24"/>
          <w:szCs w:val="24"/>
        </w:rPr>
        <w:t>2021</w:t>
      </w:r>
      <w:r w:rsidRPr="00A27B1D">
        <w:rPr>
          <w:rFonts w:asciiTheme="minorBidi" w:hAnsiTheme="minorBidi"/>
          <w:sz w:val="24"/>
          <w:szCs w:val="24"/>
        </w:rPr>
        <w:t> )  OR  LIMIT-TO ( PUBYEAR ,  </w:t>
      </w:r>
      <w:r w:rsidRPr="00A27B1D">
        <w:rPr>
          <w:rFonts w:asciiTheme="minorBidi" w:hAnsiTheme="minorBidi"/>
          <w:color w:val="000000"/>
          <w:sz w:val="24"/>
          <w:szCs w:val="24"/>
        </w:rPr>
        <w:t>2020</w:t>
      </w:r>
      <w:r w:rsidRPr="00A27B1D">
        <w:rPr>
          <w:rFonts w:asciiTheme="minorBidi" w:hAnsiTheme="minorBidi"/>
          <w:sz w:val="24"/>
          <w:szCs w:val="24"/>
        </w:rPr>
        <w:t> )  OR  LIMIT-TO ( PUBYEAR ,  </w:t>
      </w:r>
      <w:r w:rsidRPr="00A27B1D">
        <w:rPr>
          <w:rFonts w:asciiTheme="minorBidi" w:hAnsiTheme="minorBidi"/>
          <w:color w:val="000000"/>
          <w:sz w:val="24"/>
          <w:szCs w:val="24"/>
        </w:rPr>
        <w:t>2019</w:t>
      </w:r>
      <w:r w:rsidRPr="00A27B1D">
        <w:rPr>
          <w:rFonts w:asciiTheme="minorBidi" w:hAnsiTheme="minorBidi"/>
          <w:sz w:val="24"/>
          <w:szCs w:val="24"/>
        </w:rPr>
        <w:t> )  OR  LIMIT-TO ( PUBYEAR ,  </w:t>
      </w:r>
      <w:r w:rsidRPr="00A27B1D">
        <w:rPr>
          <w:rFonts w:asciiTheme="minorBidi" w:hAnsiTheme="minorBidi"/>
          <w:color w:val="000000"/>
          <w:sz w:val="24"/>
          <w:szCs w:val="24"/>
        </w:rPr>
        <w:t>2018</w:t>
      </w:r>
      <w:r w:rsidRPr="00A27B1D">
        <w:rPr>
          <w:rFonts w:asciiTheme="minorBidi" w:hAnsiTheme="minorBidi"/>
          <w:sz w:val="24"/>
          <w:szCs w:val="24"/>
        </w:rPr>
        <w:t> )  OR  LIMIT-TO ( PUBYEAR ,  </w:t>
      </w:r>
      <w:r w:rsidRPr="00A27B1D">
        <w:rPr>
          <w:rFonts w:asciiTheme="minorBidi" w:hAnsiTheme="minorBidi"/>
          <w:color w:val="000000"/>
          <w:sz w:val="24"/>
          <w:szCs w:val="24"/>
        </w:rPr>
        <w:t>2017</w:t>
      </w:r>
      <w:r w:rsidRPr="00A27B1D">
        <w:rPr>
          <w:rFonts w:asciiTheme="minorBidi" w:hAnsiTheme="minorBidi"/>
          <w:sz w:val="24"/>
          <w:szCs w:val="24"/>
        </w:rPr>
        <w:t> )  OR  LIMIT-TO ( PUBYEAR ,  </w:t>
      </w:r>
      <w:r w:rsidRPr="00A27B1D">
        <w:rPr>
          <w:rFonts w:asciiTheme="minorBidi" w:hAnsiTheme="minorBidi"/>
          <w:color w:val="000000"/>
          <w:sz w:val="24"/>
          <w:szCs w:val="24"/>
        </w:rPr>
        <w:t>2016</w:t>
      </w:r>
      <w:r w:rsidRPr="00A27B1D">
        <w:rPr>
          <w:rFonts w:asciiTheme="minorBidi" w:hAnsiTheme="minorBidi"/>
          <w:sz w:val="24"/>
          <w:szCs w:val="24"/>
        </w:rPr>
        <w:t> )  OR  LIMIT-TO ( PUBYEAR ,  </w:t>
      </w:r>
      <w:r w:rsidRPr="00A27B1D">
        <w:rPr>
          <w:rFonts w:asciiTheme="minorBidi" w:hAnsiTheme="minorBidi"/>
          <w:color w:val="000000"/>
          <w:sz w:val="24"/>
          <w:szCs w:val="24"/>
        </w:rPr>
        <w:t>2015</w:t>
      </w:r>
      <w:r w:rsidRPr="00A27B1D">
        <w:rPr>
          <w:rFonts w:asciiTheme="minorBidi" w:hAnsiTheme="minorBidi"/>
          <w:sz w:val="24"/>
          <w:szCs w:val="24"/>
        </w:rPr>
        <w:t> )  OR  LIMIT-TO ( PUBYEAR ,  </w:t>
      </w:r>
      <w:r w:rsidRPr="00A27B1D">
        <w:rPr>
          <w:rFonts w:asciiTheme="minorBidi" w:hAnsiTheme="minorBidi"/>
          <w:color w:val="000000"/>
          <w:sz w:val="24"/>
          <w:szCs w:val="24"/>
        </w:rPr>
        <w:t>2014</w:t>
      </w:r>
      <w:r w:rsidRPr="00A27B1D">
        <w:rPr>
          <w:rFonts w:asciiTheme="minorBidi" w:hAnsiTheme="minorBidi"/>
          <w:sz w:val="24"/>
          <w:szCs w:val="24"/>
        </w:rPr>
        <w:t> )  OR  LIMIT-TO ( PUBYEAR ,  </w:t>
      </w:r>
      <w:r w:rsidRPr="00A27B1D">
        <w:rPr>
          <w:rFonts w:asciiTheme="minorBidi" w:hAnsiTheme="minorBidi"/>
          <w:color w:val="000000"/>
          <w:sz w:val="24"/>
          <w:szCs w:val="24"/>
        </w:rPr>
        <w:t>2013</w:t>
      </w:r>
      <w:r w:rsidRPr="00A27B1D">
        <w:rPr>
          <w:rFonts w:asciiTheme="minorBidi" w:hAnsiTheme="minorBidi"/>
          <w:sz w:val="24"/>
          <w:szCs w:val="24"/>
        </w:rPr>
        <w:t> )  OR  LIMIT-TO ( PUBYEAR ,  </w:t>
      </w:r>
      <w:r w:rsidRPr="00A27B1D">
        <w:rPr>
          <w:rFonts w:asciiTheme="minorBidi" w:hAnsiTheme="minorBidi"/>
          <w:color w:val="000000"/>
          <w:sz w:val="24"/>
          <w:szCs w:val="24"/>
        </w:rPr>
        <w:t>2012</w:t>
      </w:r>
      <w:r w:rsidRPr="00A27B1D">
        <w:rPr>
          <w:rFonts w:asciiTheme="minorBidi" w:hAnsiTheme="minorBidi"/>
          <w:sz w:val="24"/>
          <w:szCs w:val="24"/>
        </w:rPr>
        <w:t> )  OR  LIMIT-TO ( PUBYEAR ,  </w:t>
      </w:r>
      <w:r w:rsidRPr="00A27B1D">
        <w:rPr>
          <w:rFonts w:asciiTheme="minorBidi" w:hAnsiTheme="minorBidi"/>
          <w:color w:val="000000"/>
          <w:sz w:val="24"/>
          <w:szCs w:val="24"/>
        </w:rPr>
        <w:t>2011</w:t>
      </w:r>
      <w:r w:rsidRPr="00A27B1D">
        <w:rPr>
          <w:rFonts w:asciiTheme="minorBidi" w:hAnsiTheme="minorBidi"/>
          <w:sz w:val="24"/>
          <w:szCs w:val="24"/>
        </w:rPr>
        <w:t> )  OR  LIMIT-TO ( PUBYEAR ,  </w:t>
      </w:r>
      <w:r w:rsidRPr="00A27B1D">
        <w:rPr>
          <w:rFonts w:asciiTheme="minorBidi" w:hAnsiTheme="minorBidi"/>
          <w:color w:val="000000"/>
          <w:sz w:val="24"/>
          <w:szCs w:val="24"/>
        </w:rPr>
        <w:t>2010</w:t>
      </w:r>
      <w:r w:rsidRPr="00A27B1D">
        <w:rPr>
          <w:rFonts w:asciiTheme="minorBidi" w:hAnsiTheme="minorBidi"/>
          <w:sz w:val="24"/>
          <w:szCs w:val="24"/>
        </w:rPr>
        <w:t> )  OR  LIMIT-TO ( PUBYEAR ,  </w:t>
      </w:r>
      <w:r w:rsidRPr="00A27B1D">
        <w:rPr>
          <w:rFonts w:asciiTheme="minorBidi" w:hAnsiTheme="minorBidi"/>
          <w:color w:val="000000"/>
          <w:sz w:val="24"/>
          <w:szCs w:val="24"/>
        </w:rPr>
        <w:t>2009</w:t>
      </w:r>
      <w:r w:rsidRPr="00A27B1D">
        <w:rPr>
          <w:rFonts w:asciiTheme="minorBidi" w:hAnsiTheme="minorBidi"/>
          <w:sz w:val="24"/>
          <w:szCs w:val="24"/>
        </w:rPr>
        <w:t> ) )  AND  ( LIMIT-TO ( LANGUAGE ,  </w:t>
      </w:r>
      <w:r w:rsidRPr="00A27B1D">
        <w:rPr>
          <w:rFonts w:asciiTheme="minorBidi" w:hAnsiTheme="minorBidi"/>
          <w:color w:val="000000"/>
          <w:sz w:val="24"/>
          <w:szCs w:val="24"/>
        </w:rPr>
        <w:t>"English"</w:t>
      </w:r>
      <w:r w:rsidRPr="00A27B1D">
        <w:rPr>
          <w:rFonts w:asciiTheme="minorBidi" w:hAnsiTheme="minorBidi"/>
          <w:sz w:val="24"/>
          <w:szCs w:val="24"/>
        </w:rPr>
        <w:t> ) ) </w:t>
      </w:r>
      <w:r w:rsidRPr="00A27B1D">
        <w:rPr>
          <w:rFonts w:asciiTheme="minorBidi" w:hAnsiTheme="minorBidi"/>
          <w:sz w:val="24"/>
          <w:szCs w:val="24"/>
          <w:shd w:val="clear" w:color="auto" w:fill="FFFFFF"/>
        </w:rPr>
        <w:t>View less </w:t>
      </w:r>
    </w:p>
    <w:p w14:paraId="004BF490" w14:textId="77777777" w:rsidR="005619EA" w:rsidRDefault="005619EA" w:rsidP="005619EA">
      <w:pPr>
        <w:rPr>
          <w:rFonts w:ascii="Arial" w:eastAsia="Times New Roman" w:hAnsi="Arial" w:cs="Arial"/>
          <w:kern w:val="36"/>
          <w:sz w:val="24"/>
          <w:szCs w:val="24"/>
        </w:rPr>
      </w:pPr>
    </w:p>
    <w:p w14:paraId="263A0FAD" w14:textId="5877D3C3" w:rsidR="00E80B95" w:rsidRDefault="00E80B95" w:rsidP="005619EA">
      <w:pPr>
        <w:rPr>
          <w:rFonts w:ascii="Arial" w:eastAsia="Times New Roman" w:hAnsi="Arial" w:cs="Arial"/>
          <w:kern w:val="36"/>
          <w:sz w:val="24"/>
          <w:szCs w:val="24"/>
        </w:rPr>
      </w:pPr>
      <w:r>
        <w:rPr>
          <w:rFonts w:ascii="Arial" w:eastAsia="Times New Roman" w:hAnsi="Arial" w:cs="Arial"/>
          <w:kern w:val="36"/>
          <w:sz w:val="24"/>
          <w:szCs w:val="24"/>
        </w:rPr>
        <w:t>Google Scholar search terms:</w:t>
      </w:r>
    </w:p>
    <w:p w14:paraId="1A7A0DF0" w14:textId="712C5997" w:rsidR="00753124" w:rsidRDefault="00E80B95" w:rsidP="00E80B95">
      <w:pPr>
        <w:rPr>
          <w:sz w:val="24"/>
          <w:szCs w:val="24"/>
          <w:lang w:val="en-GB"/>
        </w:rPr>
      </w:pPr>
      <w:r w:rsidRPr="00E80B95">
        <w:rPr>
          <w:rFonts w:ascii="Arial" w:eastAsia="Times New Roman" w:hAnsi="Arial" w:cs="Arial"/>
          <w:kern w:val="36"/>
          <w:sz w:val="24"/>
          <w:szCs w:val="24"/>
        </w:rPr>
        <w:t>pharmacists AND diabetes AND ambulatory care OR primary care AND Saudi Arabia</w:t>
      </w:r>
    </w:p>
    <w:p w14:paraId="71515E44" w14:textId="5D89F38D" w:rsidR="00E80B95" w:rsidRDefault="00E80B95" w:rsidP="005619EA">
      <w:pPr>
        <w:rPr>
          <w:sz w:val="24"/>
          <w:szCs w:val="24"/>
          <w:lang w:val="en-GB"/>
        </w:rPr>
        <w:sectPr w:rsidR="00E80B95">
          <w:pgSz w:w="12240" w:h="15840"/>
          <w:pgMar w:top="1440" w:right="1440" w:bottom="1440" w:left="1440" w:header="720" w:footer="720" w:gutter="0"/>
          <w:cols w:space="720"/>
          <w:docGrid w:linePitch="360"/>
        </w:sectPr>
      </w:pPr>
      <w:r>
        <w:rPr>
          <w:noProof/>
        </w:rPr>
        <w:drawing>
          <wp:inline distT="0" distB="0" distL="0" distR="0" wp14:anchorId="10515279" wp14:editId="0476C08F">
            <wp:extent cx="6656602" cy="2928026"/>
            <wp:effectExtent l="0" t="0" r="0" b="5715"/>
            <wp:docPr id="303801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01113" name=""/>
                    <pic:cNvPicPr/>
                  </pic:nvPicPr>
                  <pic:blipFill rotWithShape="1">
                    <a:blip r:embed="rId47"/>
                    <a:srcRect t="15421" r="653" b="6891"/>
                    <a:stretch/>
                  </pic:blipFill>
                  <pic:spPr bwMode="auto">
                    <a:xfrm>
                      <a:off x="0" y="0"/>
                      <a:ext cx="6718787" cy="2955379"/>
                    </a:xfrm>
                    <a:prstGeom prst="rect">
                      <a:avLst/>
                    </a:prstGeom>
                    <a:ln>
                      <a:noFill/>
                    </a:ln>
                    <a:extLst>
                      <a:ext uri="{53640926-AAD7-44D8-BBD7-CCE9431645EC}">
                        <a14:shadowObscured xmlns:a14="http://schemas.microsoft.com/office/drawing/2010/main"/>
                      </a:ext>
                    </a:extLst>
                  </pic:spPr>
                </pic:pic>
              </a:graphicData>
            </a:graphic>
          </wp:inline>
        </w:drawing>
      </w:r>
    </w:p>
    <w:p w14:paraId="68948254" w14:textId="77777777" w:rsidR="009D2B25" w:rsidRPr="00124A39" w:rsidRDefault="009D2B25" w:rsidP="009D2B25">
      <w:pPr>
        <w:pStyle w:val="Heading1"/>
        <w:rPr>
          <w:sz w:val="24"/>
          <w:szCs w:val="24"/>
          <w:lang w:val="en-GB"/>
        </w:rPr>
      </w:pPr>
      <w:bookmarkStart w:id="349" w:name="_Toc148518767"/>
      <w:bookmarkStart w:id="350" w:name="_Toc150609776"/>
      <w:bookmarkStart w:id="351" w:name="_Toc153894233"/>
      <w:r w:rsidRPr="003662BC">
        <w:rPr>
          <w:sz w:val="24"/>
          <w:szCs w:val="24"/>
          <w:lang w:val="en-GB"/>
        </w:rPr>
        <w:t>Appendix F</w:t>
      </w:r>
      <w:r>
        <w:rPr>
          <w:sz w:val="24"/>
          <w:szCs w:val="24"/>
          <w:lang w:val="en-GB"/>
        </w:rPr>
        <w:t xml:space="preserve">: </w:t>
      </w:r>
      <w:r w:rsidRPr="00124A39">
        <w:rPr>
          <w:sz w:val="24"/>
          <w:szCs w:val="24"/>
          <w:lang w:val="en-GB"/>
        </w:rPr>
        <w:t>Role of the pharmacist in primary healthcare settings</w:t>
      </w:r>
      <w:bookmarkEnd w:id="349"/>
      <w:bookmarkEnd w:id="350"/>
      <w:bookmarkEnd w:id="351"/>
    </w:p>
    <w:p w14:paraId="2458B825" w14:textId="77777777" w:rsidR="009D2B25" w:rsidRPr="006B2FC7" w:rsidRDefault="009D2B25" w:rsidP="009D2B25">
      <w:pPr>
        <w:shd w:val="clear" w:color="auto" w:fill="FFFFFF"/>
        <w:spacing w:line="360" w:lineRule="auto"/>
        <w:rPr>
          <w:rFonts w:ascii="Arial" w:hAnsi="Arial" w:cs="Arial"/>
          <w:sz w:val="24"/>
          <w:szCs w:val="24"/>
          <w:lang w:val="en"/>
        </w:rPr>
      </w:pPr>
      <w:r w:rsidRPr="006B2FC7">
        <w:rPr>
          <w:rFonts w:ascii="Arial" w:hAnsi="Arial" w:cs="Arial"/>
          <w:sz w:val="24"/>
          <w:szCs w:val="24"/>
          <w:lang w:val="en-GB"/>
        </w:rPr>
        <w:t xml:space="preserve">Pharmacy practice has been expanded from conventional product-focused practice (dispensing) to patient-focused practice </w:t>
      </w:r>
      <w:r w:rsidRPr="006B2FC7">
        <w:rPr>
          <w:rFonts w:ascii="Arial" w:hAnsi="Arial" w:cs="Arial"/>
          <w:sz w:val="24"/>
          <w:szCs w:val="24"/>
          <w:lang w:val="en-GB"/>
        </w:rPr>
        <w:fldChar w:fldCharType="begin" w:fldLock="1"/>
      </w:r>
      <w:r w:rsidRPr="006B2FC7">
        <w:rPr>
          <w:rFonts w:ascii="Arial" w:hAnsi="Arial" w:cs="Arial"/>
          <w:sz w:val="24"/>
          <w:szCs w:val="24"/>
          <w:lang w:val="en-GB"/>
        </w:rPr>
        <w:instrText>ADDIN CSL_CITATION {"citationItems":[{"id":"ITEM-1","itemData":{"DOI":"10.1016/j.jcjd.2017.08.240","ISSN":"23523840","author":[{"dropping-particle":"","family":"Gagnon","given":"Antony","non-dropping-particle":"","parse-names":false,"suffix":""},{"dropping-particle":"","family":"Jin","given":"Margaret","non-dropping-particle":"","parse-names":false,"suffix":""},{"dropping-particle":"","family":"Malak","given":"Mark","non-dropping-particle":"","parse-names":false,"suffix":""},{"dropping-particle":"","family":"Bednarowski","given":"Katalin","non-dropping-particle":"","parse-names":false,"suffix":""},{"dropping-particle":"","family":"Feng","given":"Lucy","non-dropping-particle":"","parse-names":false,"suffix":""},{"dropping-particle":"","family":"Francis-Pringle","given":"Sophia","non-dropping-particle":"","parse-names":false,"suffix":""},{"dropping-particle":"","family":"Lu","given":"Sandy","non-dropping-particle":"","parse-names":false,"suffix":""},{"dropping-particle":"","family":"Mallin","given":"Anne","non-dropping-particle":"","parse-names":false,"suffix":""},{"dropping-particle":"","family":"Skokovic-Sunjic","given":"Dragana","non-dropping-particle":"","parse-names":false,"suffix":""},{"dropping-particle":"","family":"Vedelago","given":"Annette","non-dropping-particle":"","parse-names":false,"suffix":""}],"container-title":"Canadian Journal of Diabetes","id":"ITEM-1","issue":"6","issued":{"date-parts":[["2017"]]},"page":"576-579","publisher":"Elsevier Inc.","title":"Pharmacists Managing People with Diabetes in Primary Care: 10 Years of Experience at the Hamilton Family Health Team","type":"article-journal","volume":"41"},"uris":["http://www.mendeley.com/documents/?uuid=9e28f21f-6300-478b-afe2-6ef620de5cce"]}],"mendeley":{"formattedCitation":"(Gagnon &lt;i&gt;et al.&lt;/i&gt;, 2017)","plainTextFormattedCitation":"(Gagnon et al., 2017)","previouslyFormattedCitation":"(Gagnon &lt;i&gt;et al.&lt;/i&gt;, 2017)"},"properties":{"noteIndex":0},"schema":"https://github.com/citation-style-language/schema/raw/master/csl-citation.json"}</w:instrText>
      </w:r>
      <w:r w:rsidRPr="006B2FC7">
        <w:rPr>
          <w:rFonts w:ascii="Arial" w:hAnsi="Arial" w:cs="Arial"/>
          <w:sz w:val="24"/>
          <w:szCs w:val="24"/>
          <w:lang w:val="en-GB"/>
        </w:rPr>
        <w:fldChar w:fldCharType="separate"/>
      </w:r>
      <w:r w:rsidRPr="006B2FC7">
        <w:rPr>
          <w:rFonts w:ascii="Arial" w:hAnsi="Arial" w:cs="Arial"/>
          <w:noProof/>
          <w:sz w:val="24"/>
          <w:szCs w:val="24"/>
          <w:lang w:val="en-GB"/>
        </w:rPr>
        <w:t>(Gagnon et al., 2017)</w:t>
      </w:r>
      <w:r w:rsidRPr="006B2FC7">
        <w:rPr>
          <w:rFonts w:ascii="Arial" w:hAnsi="Arial" w:cs="Arial"/>
          <w:sz w:val="24"/>
          <w:szCs w:val="24"/>
          <w:lang w:val="en-GB"/>
        </w:rPr>
        <w:fldChar w:fldCharType="end"/>
      </w:r>
      <w:r w:rsidRPr="006B2FC7">
        <w:rPr>
          <w:rFonts w:ascii="Arial" w:hAnsi="Arial" w:cs="Arial"/>
          <w:sz w:val="24"/>
          <w:szCs w:val="24"/>
          <w:lang w:val="en-GB"/>
        </w:rPr>
        <w:t>. Pharmacists are more than just experts in the medication field; they are healthcare professionals with a broad knowledge of healthcare. This has been seen in the new roles of pharmacists such as prescribing pharmacists and clinical practitioners</w:t>
      </w:r>
      <w:r w:rsidRPr="006B2FC7">
        <w:rPr>
          <w:rStyle w:val="CommentReference"/>
          <w:rFonts w:cs="Arial"/>
        </w:rPr>
        <w:t>.</w:t>
      </w:r>
      <w:r>
        <w:rPr>
          <w:rStyle w:val="CommentReference"/>
          <w:rFonts w:cs="Arial"/>
        </w:rPr>
        <w:t xml:space="preserve"> </w:t>
      </w:r>
    </w:p>
    <w:p w14:paraId="7A9D1EEE" w14:textId="77777777" w:rsidR="009D2B25" w:rsidRPr="006B2FC7" w:rsidRDefault="009D2B25" w:rsidP="009D2B25">
      <w:pPr>
        <w:shd w:val="clear" w:color="auto" w:fill="FFFFFF"/>
        <w:spacing w:line="360" w:lineRule="auto"/>
        <w:rPr>
          <w:rFonts w:ascii="Arial" w:hAnsi="Arial" w:cs="Arial"/>
          <w:sz w:val="24"/>
          <w:szCs w:val="24"/>
          <w:lang w:val="en"/>
        </w:rPr>
      </w:pPr>
      <w:r w:rsidRPr="006B2FC7">
        <w:rPr>
          <w:rFonts w:ascii="Arial" w:hAnsi="Arial" w:cs="Arial"/>
          <w:sz w:val="24"/>
          <w:szCs w:val="24"/>
          <w:lang w:val="en"/>
        </w:rPr>
        <w:t xml:space="preserve">Pharmacists have been providing services in the primary care setting for many years. A range of different activities has been identified, including enhancing medication safety programmes, providing medicines information as well as medication audit,  managing refill (repeat) prescriptions, treating minor illnesses and </w:t>
      </w:r>
      <w:r w:rsidRPr="006B2FC7">
        <w:rPr>
          <w:rFonts w:ascii="Arial" w:hAnsi="Arial" w:cs="Arial"/>
          <w:sz w:val="24"/>
          <w:szCs w:val="24"/>
          <w:lang w:val="en-GB"/>
        </w:rPr>
        <w:t xml:space="preserve">running chronic disease clinics </w:t>
      </w:r>
      <w:r w:rsidRPr="006B2FC7">
        <w:rPr>
          <w:rFonts w:ascii="Arial" w:hAnsi="Arial" w:cs="Arial"/>
          <w:sz w:val="24"/>
          <w:szCs w:val="24"/>
          <w:lang w:val="en"/>
        </w:rPr>
        <w:fldChar w:fldCharType="begin" w:fldLock="1"/>
      </w:r>
      <w:r w:rsidRPr="006B2FC7">
        <w:rPr>
          <w:rFonts w:ascii="Arial" w:hAnsi="Arial" w:cs="Arial"/>
          <w:sz w:val="24"/>
          <w:szCs w:val="24"/>
          <w:lang w:val="en"/>
        </w:rPr>
        <w:instrText>ADDIN CSL_CITATION {"citationItems":[{"id":"ITEM-1","itemData":{"DOI":"10.3399/bjgp19X705461","author":[{"dropping-particle":"","family":"Hayhoe","given":"Benedict","non-dropping-particle":"","parse-names":false,"suffix":""},{"dropping-particle":"","family":"Cespedes","given":"Jose Acuyo","non-dropping-particle":"","parse-names":false,"suffix":""},{"dropping-particle":"","family":"Foley","given":"Kimberley","non-dropping-particle":"","parse-names":false,"suffix":""},{"dropping-particle":"","family":"Majeed","given":"Azeem","non-dropping-particle":"","parse-names":false,"suffix":""},{"dropping-particle":"","family":"Greenfield","given":"Geva","non-dropping-particle":"","parse-names":false,"suffix":""}],"id":"ITEM-1","issued":{"date-parts":[["2019"]]},"title":"Impact of integrating pharmacists into primary care teams on health systems indicators:","type":"article-journal"},"uris":["http://www.mendeley.com/documents/?uuid=1e2a8780-2488-3f8b-b141-224567891090"]}],"mendeley":{"formattedCitation":"(Hayhoe &lt;i&gt;et al.&lt;/i&gt;, 2019)","plainTextFormattedCitation":"(Hayhoe et al., 2019)","previouslyFormattedCitation":"(Hayhoe &lt;i&gt;et al.&lt;/i&gt;, 2019)"},"properties":{"noteIndex":0},"schema":"https://github.com/citation-style-language/schema/raw/master/csl-citation.json"}</w:instrText>
      </w:r>
      <w:r w:rsidRPr="006B2FC7">
        <w:rPr>
          <w:rFonts w:ascii="Arial" w:hAnsi="Arial" w:cs="Arial"/>
          <w:sz w:val="24"/>
          <w:szCs w:val="24"/>
          <w:lang w:val="en"/>
        </w:rPr>
        <w:fldChar w:fldCharType="separate"/>
      </w:r>
      <w:r w:rsidRPr="006B2FC7">
        <w:rPr>
          <w:rFonts w:ascii="Arial" w:hAnsi="Arial" w:cs="Arial"/>
          <w:noProof/>
          <w:sz w:val="24"/>
          <w:szCs w:val="24"/>
          <w:lang w:val="en"/>
        </w:rPr>
        <w:t>(Hayhoe et al., 2019)</w:t>
      </w:r>
      <w:r w:rsidRPr="006B2FC7">
        <w:rPr>
          <w:rFonts w:ascii="Arial" w:hAnsi="Arial" w:cs="Arial"/>
          <w:sz w:val="24"/>
          <w:szCs w:val="24"/>
          <w:lang w:val="en"/>
        </w:rPr>
        <w:fldChar w:fldCharType="end"/>
      </w:r>
      <w:r w:rsidRPr="006B2FC7">
        <w:rPr>
          <w:rFonts w:ascii="Arial" w:hAnsi="Arial" w:cs="Arial"/>
          <w:sz w:val="24"/>
          <w:szCs w:val="24"/>
          <w:lang w:val="en"/>
        </w:rPr>
        <w:t xml:space="preserve">. These have been associated with positive outcomes related to improving clinical outcomes, increasing patient satisfaction by facilitating access to the medical care, enhance physicians satisfaction by decreasing the workload and letting them focus on more complicated cases that are medically necessary, rather than drug reviews and refill issues (Hayhoe et al., 2019, and </w:t>
      </w:r>
      <w:r w:rsidRPr="006B2FC7">
        <w:rPr>
          <w:rFonts w:ascii="Arial" w:hAnsi="Arial" w:cs="Arial"/>
          <w:sz w:val="24"/>
          <w:szCs w:val="24"/>
          <w:lang w:val="en"/>
        </w:rPr>
        <w:fldChar w:fldCharType="begin" w:fldLock="1"/>
      </w:r>
      <w:r w:rsidRPr="006B2FC7">
        <w:rPr>
          <w:rFonts w:ascii="Arial" w:hAnsi="Arial" w:cs="Arial"/>
          <w:sz w:val="24"/>
          <w:szCs w:val="24"/>
          <w:lang w:val="en"/>
        </w:rPr>
        <w:instrText>ADDIN CSL_CITATION {"citationItems":[{"id":"ITEM-1","itemData":{"DOI":"10.1186/s12875-019-0912-0","abstract":"Background: This study aimed to use marketing theory to examine the views of patients, pharmacists and general practitioners (GPs) on how community pharmacies are currently used and to identify how community pharmacy services may be better integrated within the primary care pathway for people with long-term conditions (LTCs). Methods: A qualitative research design was used. Two focus groups were conducted with respiratory patients (n = 6, 5) and two with type 2 diabetes patients (both n = 5). Two focus groups were held with pharmacists (n = 7, 5) and two with GPs (both n = 5). The \"7Ps marketing mix\" (\"product\", \"price\", \"place\", \"promotion\", \"people\", \"process\", \"physical evidence\") was used to frame data collection and analysis. Data was analysed using thematic analysis.","author":[{"dropping-particle":"","family":"Hindi","given":"Ali M K","non-dropping-particle":"","parse-names":false,"suffix":""},{"dropping-particle":"","family":"Schafheutle","given":"Ellen I","non-dropping-particle":"","parse-names":false,"suffix":""},{"dropping-particle":"","family":"Jacobs","given":"Sally","non-dropping-particle":"","parse-names":false,"suffix":""}],"container-title":"BMC Family Practice","id":"ITEM-1","issue":"26","issued":{"date-parts":[["2019"]]},"title":"Community pharmacy integration within the primary care pathway for people with long-term conditions: a focus group study of patients' , pharmacists' and GPs' experiences and expectations","type":"article-journal","volume":"20"},"uris":["http://www.mendeley.com/documents/?uuid=83ef7b7f-d44f-38fa-b442-3a8ad34c99db"]}],"mendeley":{"formattedCitation":"(Hindi, Schafheutle and Jacobs, 2019)","manualFormatting":"Hindi et al., 2019)","plainTextFormattedCitation":"(Hindi, Schafheutle and Jacobs, 2019)","previouslyFormattedCitation":"(Hindi, Schafheutle and Jacobs, 2019)"},"properties":{"noteIndex":0},"schema":"https://github.com/citation-style-language/schema/raw/master/csl-citation.json"}</w:instrText>
      </w:r>
      <w:r w:rsidRPr="006B2FC7">
        <w:rPr>
          <w:rFonts w:ascii="Arial" w:hAnsi="Arial" w:cs="Arial"/>
          <w:sz w:val="24"/>
          <w:szCs w:val="24"/>
          <w:lang w:val="en"/>
        </w:rPr>
        <w:fldChar w:fldCharType="separate"/>
      </w:r>
      <w:r w:rsidRPr="006B2FC7">
        <w:rPr>
          <w:rFonts w:ascii="Arial" w:hAnsi="Arial" w:cs="Arial"/>
          <w:noProof/>
          <w:sz w:val="24"/>
          <w:szCs w:val="24"/>
          <w:lang w:val="en"/>
        </w:rPr>
        <w:t>Hindi et al., 2019)</w:t>
      </w:r>
      <w:r w:rsidRPr="006B2FC7">
        <w:rPr>
          <w:rFonts w:ascii="Arial" w:hAnsi="Arial" w:cs="Arial"/>
          <w:sz w:val="24"/>
          <w:szCs w:val="24"/>
          <w:lang w:val="en"/>
        </w:rPr>
        <w:fldChar w:fldCharType="end"/>
      </w:r>
      <w:r w:rsidRPr="006B2FC7">
        <w:rPr>
          <w:rFonts w:ascii="Arial" w:hAnsi="Arial" w:cs="Arial"/>
          <w:sz w:val="24"/>
          <w:szCs w:val="24"/>
          <w:lang w:val="en"/>
        </w:rPr>
        <w:t xml:space="preserve">. </w:t>
      </w:r>
      <w:r w:rsidRPr="006B2FC7">
        <w:rPr>
          <w:rFonts w:ascii="Arial" w:hAnsi="Arial" w:cs="Arial"/>
          <w:sz w:val="24"/>
          <w:szCs w:val="24"/>
          <w:lang w:val="en"/>
        </w:rPr>
        <w:fldChar w:fldCharType="begin" w:fldLock="1"/>
      </w:r>
      <w:r w:rsidRPr="006B2FC7">
        <w:rPr>
          <w:rFonts w:ascii="Arial" w:hAnsi="Arial" w:cs="Arial"/>
          <w:sz w:val="24"/>
          <w:szCs w:val="24"/>
          <w:lang w:val="en"/>
        </w:rPr>
        <w:instrText>ADDIN CSL_CITATION {"citationItems":[{"id":"ITEM-1","itemData":{"DOI":"10.1016/j.japh.2017.06.018","ISSN":"15443450","abstract":"Background Improving medication management is an important component of comprehensive care coordination for health systems. The Managing Your Medication for Education and Daily Support (MyMeds) medication management program at the University of California Los Angeles addresses medication management issues by embedding trained clinical pharmacists in primary care practice teams. Objectives The aim of this work was to examine and explore physician opinions about the clinical pharmacist program and identify common themes among physician experiences as well as barriers to integration of clinical pharmacists into primary care practice teams. Methods We conducted a mixed quantitative–qualitative methods study consisting of a cross-sectional physician survey (n = 69) as well as semistructured one-on-one physician interviews (n = 13). Descriptive statistics were used to summarize survey responses, and standard qualitative content-analysis methods were used to identify major themes from the interviews. Results The survey response rate was 61%; 13 interviews were conducted. Ninety percent of survey respondents agreed or strongly agreed that having the pharmacist in the office makes management of the patient's medication more efficient, 93% agreed or strongly agreed that pharmacist recommendations are clinically helpful, 71% agreed or strongly agreed that having access to a pharmacist has increased their knowledge about medications they prescribe, and 75% agreed or strongly agreed that having a pharmacist as part of the primary care team has made their job easier. Qualitative interviews corroborated survey findings, and physicians highlighted the value of the clinical pharmacist's communication, team care and expanded roles, and medication management. Conclusion Primary care physicians valued the integrated pharmacy program highly, particularly its features of strong communication, expanded roles, and medication management. Pharmacists were viewed as integral members of the health care team.","author":[{"dropping-particle":"","family":"Moreno","given":"Gerardo","non-dropping-particle":"","parse-names":false,"suffix":""},{"dropping-particle":"","family":"Lonowski","given":"Sarah","non-dropping-particle":"","parse-names":false,"suffix":""},{"dropping-particle":"","family":"Fu","given":"Jeffrey","non-dropping-particle":"","parse-names":false,"suffix":""},{"dropping-particle":"","family":"Chon","given":"Janet S.","non-dropping-particle":"","parse-names":false,"suffix":""},{"dropping-particle":"","family":"Whitmire","given":"Natalie","non-dropping-particle":"","parse-names":false,"suffix":""},{"dropping-particle":"","family":"Vasquez","given":"Carolina","non-dropping-particle":"","parse-names":false,"suffix":""},{"dropping-particle":"","family":"Skootsky","given":"Samuel A.","non-dropping-particle":"","parse-names":false,"suffix":""},{"dropping-particle":"","family":"Bell","given":"Douglas S.","non-dropping-particle":"","parse-names":false,"suffix":""},{"dropping-particle":"","family":"Maranon","given":"Richard","non-dropping-particle":"","parse-names":false,"suffix":""},{"dropping-particle":"","family":"Mangione","given":"Carol M.","non-dropping-particle":"","parse-names":false,"suffix":""}],"container-title":"Journal of the American Pharmacists Association","id":"ITEM-1","issue":"6","issued":{"date-parts":[["2017"]]},"page":"686-691","publisher":"American Pharmacists Association®","title":"Physician experiences with clinical pharmacists in primary care teams","type":"article-journal","volume":"57"},"uris":["http://www.mendeley.com/documents/?uuid=c616567c-4385-4a1a-ba6a-5b1dac03d077"]}],"mendeley":{"formattedCitation":"(Moreno &lt;i&gt;et al.&lt;/i&gt;, 2017)","manualFormatting":"Moreno et al. (2017","plainTextFormattedCitation":"(Moreno et al., 2017)","previouslyFormattedCitation":"(Moreno &lt;i&gt;et al.&lt;/i&gt;, 2017)"},"properties":{"noteIndex":0},"schema":"https://github.com/citation-style-language/schema/raw/master/csl-citation.json"}</w:instrText>
      </w:r>
      <w:r w:rsidRPr="006B2FC7">
        <w:rPr>
          <w:rFonts w:ascii="Arial" w:hAnsi="Arial" w:cs="Arial"/>
          <w:sz w:val="24"/>
          <w:szCs w:val="24"/>
          <w:lang w:val="en"/>
        </w:rPr>
        <w:fldChar w:fldCharType="separate"/>
      </w:r>
      <w:r w:rsidRPr="006B2FC7">
        <w:rPr>
          <w:rFonts w:ascii="Arial" w:hAnsi="Arial" w:cs="Arial"/>
          <w:noProof/>
          <w:sz w:val="24"/>
          <w:szCs w:val="24"/>
          <w:lang w:val="en"/>
        </w:rPr>
        <w:t>Moreno et al. (2017</w:t>
      </w:r>
      <w:r w:rsidRPr="006B2FC7">
        <w:rPr>
          <w:rFonts w:ascii="Arial" w:hAnsi="Arial" w:cs="Arial"/>
          <w:sz w:val="24"/>
          <w:szCs w:val="24"/>
          <w:lang w:val="en"/>
        </w:rPr>
        <w:fldChar w:fldCharType="end"/>
      </w:r>
      <w:r w:rsidRPr="006B2FC7">
        <w:rPr>
          <w:rFonts w:ascii="Arial" w:hAnsi="Arial" w:cs="Arial"/>
          <w:sz w:val="24"/>
          <w:szCs w:val="24"/>
          <w:lang w:val="en"/>
        </w:rPr>
        <w:t xml:space="preserve">) also found that physicians within a primary care office are highly satisfied with the integration of pharmacists into team-based care in the primary healthcare setting.  </w:t>
      </w:r>
      <w:r w:rsidRPr="006B2FC7">
        <w:rPr>
          <w:rFonts w:ascii="Arial" w:hAnsi="Arial" w:cs="Arial"/>
          <w:sz w:val="24"/>
          <w:szCs w:val="24"/>
          <w:lang w:val="en"/>
        </w:rPr>
        <w:fldChar w:fldCharType="begin" w:fldLock="1"/>
      </w:r>
      <w:r w:rsidRPr="006B2FC7">
        <w:rPr>
          <w:rFonts w:ascii="Arial" w:hAnsi="Arial" w:cs="Arial"/>
          <w:sz w:val="24"/>
          <w:szCs w:val="24"/>
          <w:lang w:val="en"/>
        </w:rPr>
        <w:instrText>ADDIN CSL_CITATION {"citationItems":[{"id":"ITEM-1","itemData":{"DOI":"10.1016/j.japh.2017.06.018","ISSN":"15443450","abstract":"Background Improving medication management is an important component of comprehensive care coordination for health systems. The Managing Your Medication for Education and Daily Support (MyMeds) medication management program at the University of California Los Angeles addresses medication management issues by embedding trained clinical pharmacists in primary care practice teams. Objectives The aim of this work was to examine and explore physician opinions about the clinical pharmacist program and identify common themes among physician experiences as well as barriers to integration of clinical pharmacists into primary care practice teams. Methods We conducted a mixed quantitative–qualitative methods study consisting of a cross-sectional physician survey (n = 69) as well as semistructured one-on-one physician interviews (n = 13). Descriptive statistics were used to summarize survey responses, and standard qualitative content-analysis methods were used to identify major themes from the interviews. Results The survey response rate was 61%; 13 interviews were conducted. Ninety percent of survey respondents agreed or strongly agreed that having the pharmacist in the office makes management of the patient's medication more efficient, 93% agreed or strongly agreed that pharmacist recommendations are clinically helpful, 71% agreed or strongly agreed that having access to a pharmacist has increased their knowledge about medications they prescribe, and 75% agreed or strongly agreed that having a pharmacist as part of the primary care team has made their job easier. Qualitative interviews corroborated survey findings, and physicians highlighted the value of the clinical pharmacist's communication, team care and expanded roles, and medication management. Conclusion Primary care physicians valued the integrated pharmacy program highly, particularly its features of strong communication, expanded roles, and medication management. Pharmacists were viewed as integral members of the health care team.","author":[{"dropping-particle":"","family":"Moreno","given":"Gerardo","non-dropping-particle":"","parse-names":false,"suffix":""},{"dropping-particle":"","family":"Lonowski","given":"Sarah","non-dropping-particle":"","parse-names":false,"suffix":""},{"dropping-particle":"","family":"Fu","given":"Jeffrey","non-dropping-particle":"","parse-names":false,"suffix":""},{"dropping-particle":"","family":"Chon","given":"Janet S.","non-dropping-particle":"","parse-names":false,"suffix":""},{"dropping-particle":"","family":"Whitmire","given":"Natalie","non-dropping-particle":"","parse-names":false,"suffix":""},{"dropping-particle":"","family":"Vasquez","given":"Carolina","non-dropping-particle":"","parse-names":false,"suffix":""},{"dropping-particle":"","family":"Skootsky","given":"Samuel A.","non-dropping-particle":"","parse-names":false,"suffix":""},{"dropping-particle":"","family":"Bell","given":"Douglas S.","non-dropping-particle":"","parse-names":false,"suffix":""},{"dropping-particle":"","family":"Maranon","given":"Richard","non-dropping-particle":"","parse-names":false,"suffix":""},{"dropping-particle":"","family":"Mangione","given":"Carol M.","non-dropping-particle":"","parse-names":false,"suffix":""}],"container-title":"Journal of the American Pharmacists Association","id":"ITEM-1","issue":"6","issued":{"date-parts":[["2017"]]},"page":"686-691","publisher":"American Pharmacists Association®","title":"Physician experiences with clinical pharmacists in primary care teams","type":"article-journal","volume":"57"},"uris":["http://www.mendeley.com/documents/?uuid=c616567c-4385-4a1a-ba6a-5b1dac03d077"]}],"mendeley":{"formattedCitation":"(Moreno &lt;i&gt;et al.&lt;/i&gt;, 2017)","manualFormatting":"Moreno et al. (2017","plainTextFormattedCitation":"(Moreno et al., 2017)","previouslyFormattedCitation":"(Moreno &lt;i&gt;et al.&lt;/i&gt;, 2017)"},"properties":{"noteIndex":0},"schema":"https://github.com/citation-style-language/schema/raw/master/csl-citation.json"}</w:instrText>
      </w:r>
      <w:r w:rsidRPr="006B2FC7">
        <w:rPr>
          <w:rFonts w:ascii="Arial" w:hAnsi="Arial" w:cs="Arial"/>
          <w:sz w:val="24"/>
          <w:szCs w:val="24"/>
          <w:lang w:val="en"/>
        </w:rPr>
        <w:fldChar w:fldCharType="separate"/>
      </w:r>
      <w:r w:rsidRPr="006B2FC7">
        <w:rPr>
          <w:rFonts w:ascii="Arial" w:hAnsi="Arial" w:cs="Arial"/>
          <w:noProof/>
          <w:sz w:val="24"/>
          <w:szCs w:val="24"/>
          <w:lang w:val="en"/>
        </w:rPr>
        <w:t>Moreno et al. (2017</w:t>
      </w:r>
      <w:r w:rsidRPr="006B2FC7">
        <w:rPr>
          <w:rFonts w:ascii="Arial" w:hAnsi="Arial" w:cs="Arial"/>
          <w:sz w:val="24"/>
          <w:szCs w:val="24"/>
          <w:lang w:val="en"/>
        </w:rPr>
        <w:fldChar w:fldCharType="end"/>
      </w:r>
      <w:r w:rsidRPr="006B2FC7">
        <w:rPr>
          <w:rFonts w:ascii="Arial" w:hAnsi="Arial" w:cs="Arial"/>
          <w:sz w:val="24"/>
          <w:szCs w:val="24"/>
          <w:lang w:val="en"/>
        </w:rPr>
        <w:t xml:space="preserve">), </w:t>
      </w:r>
      <w:r w:rsidRPr="006B2FC7">
        <w:rPr>
          <w:rFonts w:ascii="Arial" w:hAnsi="Arial" w:cs="Arial"/>
          <w:sz w:val="24"/>
          <w:szCs w:val="24"/>
          <w:lang w:val="en-GB"/>
        </w:rPr>
        <w:t xml:space="preserve">therefore, suggested it might be suitable for pharmacists to lead routine medication reviews that may </w:t>
      </w:r>
      <w:r w:rsidRPr="006B2FC7">
        <w:rPr>
          <w:rFonts w:ascii="Arial" w:hAnsi="Arial" w:cs="Arial"/>
          <w:sz w:val="24"/>
          <w:szCs w:val="24"/>
          <w:lang w:val="en"/>
        </w:rPr>
        <w:t>help to alleviate the workload for</w:t>
      </w:r>
      <w:r w:rsidRPr="006B2FC7">
        <w:rPr>
          <w:rFonts w:ascii="Arial" w:hAnsi="Arial" w:cs="Arial"/>
          <w:sz w:val="24"/>
          <w:szCs w:val="24"/>
          <w:lang w:val="en-GB"/>
        </w:rPr>
        <w:t xml:space="preserve"> GPs </w:t>
      </w:r>
      <w:r w:rsidRPr="006B2FC7">
        <w:rPr>
          <w:rFonts w:ascii="Arial" w:hAnsi="Arial" w:cs="Arial"/>
          <w:sz w:val="24"/>
          <w:szCs w:val="24"/>
          <w:lang w:val="en"/>
        </w:rPr>
        <w:t>to allow for more time for patient care activities</w:t>
      </w:r>
      <w:r w:rsidRPr="006B2FC7">
        <w:rPr>
          <w:rFonts w:ascii="Arial" w:hAnsi="Arial" w:cs="Arial"/>
          <w:sz w:val="24"/>
          <w:szCs w:val="24"/>
          <w:lang w:val="en-GB"/>
        </w:rPr>
        <w:t xml:space="preserve"> and to deal with acute cases.</w:t>
      </w:r>
    </w:p>
    <w:p w14:paraId="78B89934" w14:textId="77777777" w:rsidR="009D2B25" w:rsidRPr="006B2FC7" w:rsidRDefault="009D2B25" w:rsidP="009D2B25">
      <w:pPr>
        <w:shd w:val="clear" w:color="auto" w:fill="FFFFFF"/>
        <w:spacing w:line="360" w:lineRule="auto"/>
        <w:rPr>
          <w:rFonts w:ascii="Arial" w:hAnsi="Arial" w:cs="Arial"/>
          <w:lang w:val="en"/>
        </w:rPr>
      </w:pPr>
      <w:r w:rsidRPr="006B2FC7">
        <w:rPr>
          <w:rFonts w:ascii="Arial" w:hAnsi="Arial" w:cs="Arial"/>
          <w:sz w:val="24"/>
          <w:szCs w:val="24"/>
          <w:lang w:val="en"/>
        </w:rPr>
        <w:t>Saving in overall expenditure on both primary and secondary health care is another crucial outcome has been identified of integration pharmacists into primary care (Hayhoe et al., 2019 and Moreno et al., 2017). A reduced overall cost by optimising prescribing and saving the wastages of medications by improving patients’ adherence to medications, as shown by Moreno et al., 2017, and cost reductions based on decreases in emergency department use as found by Hayhoe et al., 2019.</w:t>
      </w:r>
    </w:p>
    <w:p w14:paraId="5CDA4CC3" w14:textId="77777777" w:rsidR="009D2B25" w:rsidRPr="004C46CC" w:rsidRDefault="009D2B25" w:rsidP="009D2B25">
      <w:pPr>
        <w:spacing w:line="360" w:lineRule="auto"/>
        <w:rPr>
          <w:rFonts w:ascii="Arial" w:hAnsi="Arial" w:cs="Arial"/>
          <w:sz w:val="24"/>
          <w:szCs w:val="24"/>
          <w:shd w:val="clear" w:color="auto" w:fill="FFFFFF"/>
        </w:rPr>
      </w:pPr>
      <w:r w:rsidRPr="006B2FC7">
        <w:rPr>
          <w:rFonts w:ascii="Arial" w:hAnsi="Arial" w:cs="Arial"/>
          <w:sz w:val="24"/>
          <w:szCs w:val="24"/>
          <w:lang w:val="en"/>
        </w:rPr>
        <w:t xml:space="preserve">Many other published studies describe the role of the pharmacist and the impacts of their interventions in primary healthcare settings. For instance, the ‘medication reviews’ was the most common type of intervention in Bush et al., 2018 study, who conducted a retrospective study to evaluate the activity of clinical pharmacists in general practice in Dudley Clinical Commissioning Group (CCG), a UK primary care organisation. Bush et al., 2018 found that using clinical pharmacists in general practice was saving the CCG over £1 million within nine months, with an annual financial saving of approximately £1.5 million. Moreover, clinical pharmacists saved GPs' time by reducing the number of GPs' appointments plus hours that GPs dedicate to medication reviews and management of refill prescribing/prescriptions </w:t>
      </w:r>
      <w:r w:rsidRPr="006B2FC7">
        <w:rPr>
          <w:rFonts w:ascii="Arial" w:hAnsi="Arial" w:cs="Arial"/>
          <w:sz w:val="24"/>
          <w:szCs w:val="24"/>
          <w:lang w:val="en"/>
        </w:rPr>
        <w:fldChar w:fldCharType="begin" w:fldLock="1"/>
      </w:r>
      <w:r w:rsidRPr="006B2FC7">
        <w:rPr>
          <w:rFonts w:ascii="Arial" w:hAnsi="Arial" w:cs="Arial"/>
          <w:sz w:val="24"/>
          <w:szCs w:val="24"/>
          <w:lang w:val="en"/>
        </w:rPr>
        <w:instrText>ADDIN CSL_CITATION {"citationItems":[{"id":"ITEM-1","itemData":{"DOI":"10.1111/ijpp.12426","ISSN":"20427174","abstract":"We investigated whether aging affects several components of how people select items for study during multitrial learning. Younger and older adults studied paired-associate items and then made delayed judgments of learning (JOLs). Immediately after making a JOL for an item, some participants decided whether to restudy the item on sub sequent trials; for other participants, the computer selected for restudy the items that had been judged as least- well learned. Next, paired-associate recall occurred, which was followed by restudy-test trials. As expected, age differences occurred in recall on the first trial, and this difference was propagated across trials. In contrast to the hypothesis that older adults would be more conservative in selecting items, both age groups selected to restudy (a) the items that they had rated as least-well learned and (b) the majority of items that would not be recalled on the first trial. Comparisons between participants who self- selected items vs the groups in which the computer controlled selection also converged on the conclusion of age equivalence in processes underlying item selection.","author":[{"dropping-particle":"","family":"Bush","given":"Joseph","non-dropping-particle":"","parse-names":false,"suffix":""},{"dropping-particle":"","family":"Langley","given":"Christopher A.","non-dropping-particle":"","parse-names":false,"suffix":""},{"dropping-particle":"","family":"Jenkins","given":"Duncan","non-dropping-particle":"","parse-names":false,"suffix":""},{"dropping-particle":"","family":"Johal","given":"Jaspal","non-dropping-particle":"","parse-names":false,"suffix":""},{"dropping-particle":"","family":"Huckerby","given":"Clair","non-dropping-particle":"","parse-names":false,"suffix":""}],"container-title":"International Journal of Pharmacy Practice","id":"ITEM-1","issue":"6","issued":{"date-parts":[["2018"]]},"note":"From Duplicate 1 (Clinical pharmacists in general practice: an initial evaluation of activity in one English primary care organisation - Bush, Joseph; Langley, Christopher A.; Jenkins, Duncan; Johal, Jaspal; Huckerby, Clair)\n\nFrom Duplicate 1 (Clinical pharmacists in general practice: an initial evaluation of activity in one English primary care organisation - Bush, J; Langley, C A; Jenkins, D; Johal, J; Huckerby, C)\n\nCited By :3\n\nExport Date: 19 June 2019","page":"501-506","title":"Clinical pharmacists in general practice: an initial evaluation of activity in one English primary care organisation","type":"article-journal","volume":"26"},"uris":["http://www.mendeley.com/documents/?uuid=e61afa17-48be-4967-9ac8-ff68f721cf38"]}],"mendeley":{"formattedCitation":"(Bush &lt;i&gt;et al.&lt;/i&gt;, 2018)","plainTextFormattedCitation":"(Bush et al., 2018)","previouslyFormattedCitation":"(Bush &lt;i&gt;et al.&lt;/i&gt;, 2018)"},"properties":{"noteIndex":0},"schema":"https://github.com/citation-style-language/schema/raw/master/csl-citation.json"}</w:instrText>
      </w:r>
      <w:r w:rsidRPr="006B2FC7">
        <w:rPr>
          <w:rFonts w:ascii="Arial" w:hAnsi="Arial" w:cs="Arial"/>
          <w:sz w:val="24"/>
          <w:szCs w:val="24"/>
          <w:lang w:val="en"/>
        </w:rPr>
        <w:fldChar w:fldCharType="separate"/>
      </w:r>
      <w:r w:rsidRPr="006B2FC7">
        <w:rPr>
          <w:rFonts w:ascii="Arial" w:hAnsi="Arial" w:cs="Arial"/>
          <w:noProof/>
          <w:sz w:val="24"/>
          <w:szCs w:val="24"/>
          <w:lang w:val="en"/>
        </w:rPr>
        <w:t xml:space="preserve">(Bush </w:t>
      </w:r>
      <w:r w:rsidRPr="006B2FC7">
        <w:rPr>
          <w:rFonts w:ascii="Arial" w:hAnsi="Arial" w:cs="Arial"/>
          <w:i/>
          <w:noProof/>
          <w:sz w:val="24"/>
          <w:szCs w:val="24"/>
          <w:lang w:val="en"/>
        </w:rPr>
        <w:t>et al.</w:t>
      </w:r>
      <w:r w:rsidRPr="006B2FC7">
        <w:rPr>
          <w:rFonts w:ascii="Arial" w:hAnsi="Arial" w:cs="Arial"/>
          <w:noProof/>
          <w:sz w:val="24"/>
          <w:szCs w:val="24"/>
          <w:lang w:val="en"/>
        </w:rPr>
        <w:t>, 2018)</w:t>
      </w:r>
      <w:r w:rsidRPr="006B2FC7">
        <w:rPr>
          <w:rFonts w:ascii="Arial" w:hAnsi="Arial" w:cs="Arial"/>
          <w:sz w:val="24"/>
          <w:szCs w:val="24"/>
          <w:lang w:val="en"/>
        </w:rPr>
        <w:fldChar w:fldCharType="end"/>
      </w:r>
      <w:r w:rsidRPr="006B2FC7">
        <w:rPr>
          <w:rFonts w:ascii="Arial" w:hAnsi="Arial" w:cs="Arial"/>
          <w:sz w:val="24"/>
          <w:szCs w:val="24"/>
          <w:lang w:val="en"/>
        </w:rPr>
        <w:t xml:space="preserve">. </w:t>
      </w:r>
      <w:r w:rsidRPr="00845AF7">
        <w:rPr>
          <w:rFonts w:ascii="Arial" w:hAnsi="Arial" w:cs="Arial"/>
          <w:color w:val="000000"/>
          <w:sz w:val="24"/>
          <w:szCs w:val="24"/>
          <w:shd w:val="clear" w:color="auto" w:fill="FFFFFF"/>
          <w:lang w:val="en-GB"/>
        </w:rPr>
        <w:fldChar w:fldCharType="begin" w:fldLock="1"/>
      </w:r>
      <w:r>
        <w:rPr>
          <w:rFonts w:ascii="Arial" w:hAnsi="Arial" w:cs="Arial"/>
          <w:color w:val="000000"/>
          <w:sz w:val="24"/>
          <w:szCs w:val="24"/>
          <w:shd w:val="clear" w:color="auto" w:fill="FFFFFF"/>
          <w:lang w:val="en-GB"/>
        </w:rPr>
        <w:instrText>ADDIN CSL_CITATION {"citationItems":[{"id":"ITEM-1","itemData":{"DOI":"10.3390/pharmacy5020023","ISSN":"2226-4787","abstract":"Even though pharmaceutical care is not a new concept in pharmacy, its introduction and development has proved to be challenging. In Iceland, general practitioners are not familiar with pharmaceutical care and additionally no such service is offered in pharmacies or primary care settings. Introducing pharmaceutical care in primary care in Iceland is making great efforts to follow other countries, which are bringing the pharmacist more into patient care. General practitioners are key stakeholders in this endeavor. The aim of this study was to introduce pharmacist-led pharmaceutical care into primary care clinics in Iceland in collaboration with general practitioners by presenting different setting structures. Action research provided the framework for this research. Data was collected from pharmaceutical care interventions, whereby the pharmaceutical care practitioner ensures that each of a patient’s medications is assessed to determine if it is appropriate, effective, safe, and that the patient can take medicine as expected. Sources of data included pharmaceutical care notes on patients, researcher’s notes, meetings, and interviews with general practitioners over the period of the study. The study ran from September 2013 to October 2015. Three separate semi-structured in-depth interviews were conducted with five general practitioners from one primary health care clinic in Iceland at different time points throughout the study. Pharmaceutical care was provided to elderly patients (n = 125) before and between general practitioners’ interviews. The study setting was a primary care clinic in the Reykjavik area and the patients’ homes. Results showed that the GPs’ knowledge about pharmacist competencies as healthcare providers and their potential in patient care increased. GPs would now like to have access to a pharmacist on a daily basis. Direct contact between the pharmacist and GPs is better when working in the same physical space. Pharmacist’s access to medical records is necessary for optimal service. Pharmacist-led clinical service was deemed most needed in dose dispensing polypharmacy patients. This research indicated that it was essential to introduce Icelandic GPs to the potential contribution of pharmacists in patient care and that action research was a useful methodology to promote and develop a relationship between those two health care providers in primary care in Iceland.","author":[{"dropping-particle":"","family":"Blondal","given":"Anna Bryndis","non-dropping-particle":"","parse-names":false,"suffix":""},{"dropping-particle":"","family":"Sporrong","given":"Sofia Kalvemark","non-dropping-particle":"","parse-names":false,"suffix":""},{"dropping-particle":"","family":"Almarsdottir","given":"Anna Birna","non-dropping-particle":"","parse-names":false,"suffix":""}],"container-title":"MDPI Pharmacy","id":"ITEM-1","issue":"4","issued":{"date-parts":[["2017"]]},"page":"23","title":"Introducing Pharmaceutical Care to Primary Care in Iceland—An Action Research Study","type":"article-journal","volume":"5"},"uris":["http://www.mendeley.com/documents/?uuid=ca02dac1-9348-428b-9acc-9176b46adc4e"]}],"mendeley":{"formattedCitation":"(Blondal, Sporrong and Almarsdottir, 2017)","manualFormatting":"Blondal et al., (2017)","plainTextFormattedCitation":"(Blondal, Sporrong and Almarsdottir, 2017)","previouslyFormattedCitation":"(Blondal, Sporrong and Almarsdottir, 2017)"},"properties":{"noteIndex":0},"schema":"https://github.com/citation-style-language/schema/raw/master/csl-citation.json"}</w:instrText>
      </w:r>
      <w:r w:rsidRPr="00845AF7">
        <w:rPr>
          <w:rFonts w:ascii="Arial" w:hAnsi="Arial" w:cs="Arial"/>
          <w:color w:val="000000"/>
          <w:sz w:val="24"/>
          <w:szCs w:val="24"/>
          <w:shd w:val="clear" w:color="auto" w:fill="FFFFFF"/>
          <w:lang w:val="en-GB"/>
        </w:rPr>
        <w:fldChar w:fldCharType="separate"/>
      </w:r>
      <w:r w:rsidRPr="00845AF7">
        <w:rPr>
          <w:rFonts w:ascii="Arial" w:hAnsi="Arial" w:cs="Arial"/>
          <w:noProof/>
          <w:color w:val="000000"/>
          <w:sz w:val="24"/>
          <w:szCs w:val="24"/>
          <w:shd w:val="clear" w:color="auto" w:fill="FFFFFF"/>
          <w:lang w:val="en-GB"/>
        </w:rPr>
        <w:t>Blondal et al., (2017)</w:t>
      </w:r>
      <w:r w:rsidRPr="00845AF7">
        <w:rPr>
          <w:rFonts w:ascii="Arial" w:hAnsi="Arial" w:cs="Arial"/>
          <w:color w:val="000000"/>
          <w:sz w:val="24"/>
          <w:szCs w:val="24"/>
          <w:shd w:val="clear" w:color="auto" w:fill="FFFFFF"/>
          <w:lang w:val="en-GB"/>
        </w:rPr>
        <w:fldChar w:fldCharType="end"/>
      </w:r>
      <w:r w:rsidRPr="00845AF7">
        <w:rPr>
          <w:rFonts w:ascii="Arial" w:hAnsi="Arial" w:cs="Arial"/>
          <w:color w:val="000000"/>
          <w:sz w:val="24"/>
          <w:szCs w:val="24"/>
          <w:shd w:val="clear" w:color="auto" w:fill="FFFFFF"/>
          <w:lang w:val="en-GB"/>
        </w:rPr>
        <w:t xml:space="preserve"> highlighted that </w:t>
      </w:r>
      <w:r w:rsidRPr="00845AF7">
        <w:rPr>
          <w:rFonts w:ascii="Arial" w:hAnsi="Arial" w:cs="Arial"/>
          <w:sz w:val="24"/>
          <w:szCs w:val="24"/>
          <w:shd w:val="clear" w:color="auto" w:fill="FFFFFF"/>
          <w:lang w:val="en-GB"/>
        </w:rPr>
        <w:t xml:space="preserve">the main challenge in countries lacking a pharmacist-led pharmaceutical care services in their primary care clinics is that there is little communication between community pharmacists and general practitioners (GPs) on clinical and medication issues. The action research study in Iceland found that the most efficient collaboration between pharmacists </w:t>
      </w:r>
      <w:r w:rsidRPr="00260978">
        <w:rPr>
          <w:rFonts w:ascii="Arial" w:hAnsi="Arial" w:cs="Arial"/>
          <w:sz w:val="24"/>
          <w:szCs w:val="24"/>
          <w:shd w:val="clear" w:color="auto" w:fill="FFFFFF"/>
          <w:lang w:val="en-GB"/>
        </w:rPr>
        <w:t xml:space="preserve">and GPs is when they work side by side at the primary care clinic because the relationship between those two health care professionals can be established and developed - when they are working in the same clinic </w:t>
      </w:r>
      <w:r w:rsidRPr="004C2EBD">
        <w:rPr>
          <w:rFonts w:ascii="Arial" w:hAnsi="Arial" w:cs="Arial"/>
          <w:sz w:val="24"/>
          <w:szCs w:val="24"/>
          <w:shd w:val="clear" w:color="auto" w:fill="FFFFFF"/>
          <w:lang w:val="en-GB"/>
        </w:rPr>
        <w:fldChar w:fldCharType="begin" w:fldLock="1"/>
      </w:r>
      <w:r>
        <w:rPr>
          <w:rFonts w:ascii="Arial" w:hAnsi="Arial" w:cs="Arial"/>
          <w:sz w:val="24"/>
          <w:szCs w:val="24"/>
          <w:shd w:val="clear" w:color="auto" w:fill="FFFFFF"/>
          <w:lang w:val="en-GB"/>
        </w:rPr>
        <w:instrText>ADDIN CSL_CITATION {"citationItems":[{"id":"ITEM-1","itemData":{"DOI":"10.3390/pharmacy5020023","ISSN":"2226-4787","abstract":"Even though pharmaceutical care is not a new concept in pharmacy, its introduction and development has proved to be challenging. In Iceland, general practitioners are not familiar with pharmaceutical care and additionally no such service is offered in pharmacies or primary care settings. Introducing pharmaceutical care in primary care in Iceland is making great efforts to follow other countries, which are bringing the pharmacist more into patient care. General practitioners are key stakeholders in this endeavor. The aim of this study was to introduce pharmacist-led pharmaceutical care into primary care clinics in Iceland in collaboration with general practitioners by presenting different setting structures. Action research provided the framework for this research. Data was collected from pharmaceutical care interventions, whereby the pharmaceutical care practitioner ensures that each of a patient’s medications is assessed to determine if it is appropriate, effective, safe, and that the patient can take medicine as expected. Sources of data included pharmaceutical care notes on patients, researcher’s notes, meetings, and interviews with general practitioners over the period of the study. The study ran from September 2013 to October 2015. Three separate semi-structured in-depth interviews were conducted with five general practitioners from one primary health care clinic in Iceland at different time points throughout the study. Pharmaceutical care was provided to elderly patients (n = 125) before and between general practitioners’ interviews. The study setting was a primary care clinic in the Reykjavik area and the patients’ homes. Results showed that the GPs’ knowledge about pharmacist competencies as healthcare providers and their potential in patient care increased. GPs would now like to have access to a pharmacist on a daily basis. Direct contact between the pharmacist and GPs is better when working in the same physical space. Pharmacist’s access to medical records is necessary for optimal service. Pharmacist-led clinical service was deemed most needed in dose dispensing polypharmacy patients. This research indicated that it was essential to introduce Icelandic GPs to the potential contribution of pharmacists in patient care and that action research was a useful methodology to promote and develop a relationship between those two health care providers in primary care in Iceland.","author":[{"dropping-particle":"","family":"Blondal","given":"Anna Bryndis","non-dropping-particle":"","parse-names":false,"suffix":""},{"dropping-particle":"","family":"Sporrong","given":"Sofia Kalvemark","non-dropping-particle":"","parse-names":false,"suffix":""},{"dropping-particle":"","family":"Almarsdottir","given":"Anna Birna","non-dropping-particle":"","parse-names":false,"suffix":""}],"container-title":"MDPI Pharmacy","id":"ITEM-1","issue":"4","issued":{"date-parts":[["2017"]]},"page":"23","title":"Introducing Pharmaceutical Care to Primary Care in Iceland—An Action Research Study","type":"article-journal","volume":"5"},"uris":["http://www.mendeley.com/documents/?uuid=ca02dac1-9348-428b-9acc-9176b46adc4e"]}],"mendeley":{"formattedCitation":"(Blondal, Sporrong and Almarsdottir, 2017)","manualFormatting":"( Blondal et al., 2017)","plainTextFormattedCitation":"(Blondal, Sporrong and Almarsdottir, 2017)","previouslyFormattedCitation":"(Blondal, Sporrong and Almarsdottir, 2017)"},"properties":{"noteIndex":0},"schema":"https://github.com/citation-style-language/schema/raw/master/csl-citation.json"}</w:instrText>
      </w:r>
      <w:r w:rsidRPr="004C2EBD">
        <w:rPr>
          <w:rFonts w:ascii="Arial" w:hAnsi="Arial" w:cs="Arial"/>
          <w:sz w:val="24"/>
          <w:szCs w:val="24"/>
          <w:shd w:val="clear" w:color="auto" w:fill="FFFFFF"/>
          <w:lang w:val="en-GB"/>
        </w:rPr>
        <w:fldChar w:fldCharType="separate"/>
      </w:r>
      <w:r w:rsidRPr="00260978">
        <w:rPr>
          <w:rFonts w:ascii="Arial" w:hAnsi="Arial" w:cs="Arial"/>
          <w:noProof/>
          <w:sz w:val="24"/>
          <w:szCs w:val="24"/>
          <w:shd w:val="clear" w:color="auto" w:fill="FFFFFF"/>
          <w:lang w:val="en-GB"/>
        </w:rPr>
        <w:t>(</w:t>
      </w:r>
      <w:r w:rsidRPr="00260978">
        <w:rPr>
          <w:rFonts w:ascii="Arial" w:hAnsi="Arial" w:cs="Arial"/>
          <w:noProof/>
          <w:color w:val="000000"/>
          <w:sz w:val="24"/>
          <w:szCs w:val="24"/>
          <w:shd w:val="clear" w:color="auto" w:fill="FFFFFF"/>
          <w:lang w:val="en-GB"/>
        </w:rPr>
        <w:t xml:space="preserve"> Blondal et al.</w:t>
      </w:r>
      <w:r w:rsidRPr="00260978">
        <w:rPr>
          <w:rFonts w:ascii="Arial" w:hAnsi="Arial" w:cs="Arial"/>
          <w:noProof/>
          <w:sz w:val="24"/>
          <w:szCs w:val="24"/>
          <w:shd w:val="clear" w:color="auto" w:fill="FFFFFF"/>
          <w:lang w:val="en-GB"/>
        </w:rPr>
        <w:t>, 2017)</w:t>
      </w:r>
      <w:r w:rsidRPr="004C2EBD">
        <w:rPr>
          <w:rFonts w:ascii="Arial" w:hAnsi="Arial" w:cs="Arial"/>
          <w:sz w:val="24"/>
          <w:szCs w:val="24"/>
          <w:shd w:val="clear" w:color="auto" w:fill="FFFFFF"/>
          <w:lang w:val="en-GB"/>
        </w:rPr>
        <w:fldChar w:fldCharType="end"/>
      </w:r>
      <w:r w:rsidRPr="00260978">
        <w:rPr>
          <w:rFonts w:ascii="Arial" w:hAnsi="Arial" w:cs="Arial"/>
          <w:sz w:val="24"/>
          <w:szCs w:val="24"/>
          <w:lang w:val="en"/>
        </w:rPr>
        <w:t xml:space="preserve"> It has also been shown that pharmacists can enhance medication safety programmes ; </w:t>
      </w:r>
      <w:r>
        <w:rPr>
          <w:rFonts w:ascii="Arial" w:hAnsi="Arial" w:cs="Arial"/>
          <w:sz w:val="24"/>
          <w:szCs w:val="24"/>
          <w:lang w:val="en"/>
        </w:rPr>
        <w:t>u</w:t>
      </w:r>
      <w:r w:rsidRPr="00260978">
        <w:rPr>
          <w:rFonts w:ascii="Arial" w:hAnsi="Arial" w:cs="Arial"/>
          <w:sz w:val="24"/>
          <w:szCs w:val="24"/>
          <w:lang w:val="en"/>
        </w:rPr>
        <w:t>sing a multi-centre prospective observational design in 15 general practice primary care offices in Australia Benson et al. (2018) found that integration pharmacists identified over a thousand drug related problems in the study period.</w:t>
      </w:r>
      <w:r>
        <w:rPr>
          <w:rFonts w:ascii="Arial" w:hAnsi="Arial" w:cs="Arial"/>
          <w:sz w:val="24"/>
          <w:szCs w:val="24"/>
          <w:lang w:val="en"/>
        </w:rPr>
        <w:t xml:space="preserve"> This and the other studies briefly referred to </w:t>
      </w:r>
      <w:r w:rsidRPr="006B2FC7">
        <w:rPr>
          <w:rFonts w:ascii="Arial" w:hAnsi="Arial" w:cs="Arial"/>
          <w:sz w:val="24"/>
          <w:szCs w:val="24"/>
          <w:shd w:val="clear" w:color="auto" w:fill="FFFFFF"/>
        </w:rPr>
        <w:t xml:space="preserve">suggest that pharmacists have a role in </w:t>
      </w:r>
      <w:r>
        <w:rPr>
          <w:rFonts w:ascii="Arial" w:hAnsi="Arial" w:cs="Arial"/>
          <w:sz w:val="24"/>
          <w:szCs w:val="24"/>
          <w:shd w:val="clear" w:color="auto" w:fill="FFFFFF"/>
        </w:rPr>
        <w:t xml:space="preserve">broader </w:t>
      </w:r>
      <w:r w:rsidRPr="006B2FC7">
        <w:rPr>
          <w:rFonts w:ascii="Arial" w:hAnsi="Arial" w:cs="Arial"/>
          <w:sz w:val="24"/>
          <w:szCs w:val="24"/>
          <w:shd w:val="clear" w:color="auto" w:fill="FFFFFF"/>
        </w:rPr>
        <w:t xml:space="preserve">patient care as well as </w:t>
      </w:r>
      <w:r>
        <w:rPr>
          <w:rFonts w:ascii="Arial" w:hAnsi="Arial" w:cs="Arial"/>
          <w:sz w:val="24"/>
          <w:szCs w:val="24"/>
          <w:shd w:val="clear" w:color="auto" w:fill="FFFFFF"/>
        </w:rPr>
        <w:t xml:space="preserve">more tradition </w:t>
      </w:r>
      <w:r w:rsidRPr="006B2FC7">
        <w:rPr>
          <w:rFonts w:ascii="Arial" w:hAnsi="Arial" w:cs="Arial"/>
          <w:sz w:val="24"/>
          <w:szCs w:val="24"/>
          <w:shd w:val="clear" w:color="auto" w:fill="FFFFFF"/>
        </w:rPr>
        <w:t xml:space="preserve">patient safety. </w:t>
      </w:r>
    </w:p>
    <w:p w14:paraId="3DBFABD5" w14:textId="77777777" w:rsidR="009D2B25" w:rsidRPr="00845AF7" w:rsidRDefault="009D2B25" w:rsidP="009D2B25">
      <w:pPr>
        <w:autoSpaceDE w:val="0"/>
        <w:autoSpaceDN w:val="0"/>
        <w:adjustRightInd w:val="0"/>
        <w:spacing w:line="360" w:lineRule="auto"/>
        <w:rPr>
          <w:rFonts w:ascii="Arial" w:hAnsi="Arial" w:cs="Arial"/>
          <w:sz w:val="24"/>
          <w:szCs w:val="24"/>
          <w:lang w:val="en-GB"/>
        </w:rPr>
      </w:pPr>
      <w:r w:rsidRPr="00845AF7">
        <w:rPr>
          <w:rFonts w:ascii="Arial" w:hAnsi="Arial" w:cs="Arial"/>
          <w:sz w:val="24"/>
          <w:szCs w:val="24"/>
          <w:lang w:val="en-GB"/>
        </w:rPr>
        <w:t>Pharmaceutical care is a core element of the healthcare system. The concept of pharmaceutical care was originally defined by Hepler and Strand in 1990 as follows, “</w:t>
      </w:r>
      <w:r w:rsidRPr="00845AF7">
        <w:rPr>
          <w:rFonts w:ascii="Arial" w:hAnsi="Arial" w:cs="Arial"/>
          <w:i/>
          <w:iCs/>
          <w:sz w:val="24"/>
          <w:szCs w:val="24"/>
          <w:lang w:val="en-GB"/>
        </w:rPr>
        <w:t>the responsible provision of drug therapy for the purpose of achieving definite outcomes that improve a patient’s quality of life</w:t>
      </w:r>
      <w:r w:rsidRPr="00845AF7">
        <w:rPr>
          <w:rFonts w:ascii="Arial" w:hAnsi="Arial" w:cs="Arial"/>
          <w:sz w:val="24"/>
          <w:szCs w:val="24"/>
          <w:lang w:val="en-GB"/>
        </w:rPr>
        <w:t xml:space="preserve">”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{"citationItems":[{"id":"ITEM-1","itemData":{"DOI":"10.1211/0022357055551","ISSN":"0961-7671","abstract":"Objective To systematically review the evidence for the effect of pharmaceutical care practice on patient outcomes. Setting Community and outpatient setting. Method Randomised controlled trials (RCTs) published in English between 1990 and 2003 were identified through a systematic literature search. To be included, studies had to assess the effect of a pharmaceutical care intervention, defined as a one-to-one consultation between each patient and a pharmacist with a focus on managing health or resolving drug-related problems, development of a care plan and follow-up. Key findings Twenty-two RCTs met the review criteria. Studies targeted general patient populations at risk of drug-related problems, disease-specific target groups or patients with risk factors including hypertension and raised cholesterol. While a number of trials have been undertaken, the variability in the application of endpoints utilised means the evidence for effectiveness of single endpoints apart from quality of life is generally limited to one or two controlled trial results. Collectively, the studies provide evidence that the service improves signs and symptoms for people with asthma, surrogate endpoints such as blood pressure, cholesterol levels and glycosylated hae-moglobin and medication use, but do not provide evidence supporting improved health-related quality of life. One study showed an improvement in combined all-cause mortality and non-fatal heart failure-related events in patients with heart failure. Conclusion Pharmaceutical care services are effective in improving medication use and surrogate endpoints, but improvement in other outcomes is less conclusive. Given that the focus of the service is to resolve medication-related problems, consideration should be given to the use of adverse drug events and resolution of medication-related problems as an outcome measure in future studies.","author":[{"dropping-particle":"","family":"Roughead","given":"E E","non-dropping-particle":"","parse-names":false,"suffix":""},{"dropping-particle":"","family":"Pharm","given":"B","non-dropping-particle":"","parse-names":false,"suffix":""},{"dropping-particle":"","family":"Semple","given":"Susan","non-dropping-particle":"","parse-names":false,"suffix":""},{"dropping-particle":"","family":"Semple","given":"S J","non-dropping-particle":"","parse-names":false,"suffix":""},{"dropping-particle":"","family":"Vitry","given":"A I","non-dropping-particle":"","parse-names":false,"suffix":""}],"container-title":"IJPP","id":"ITEM-1","issued":{"date-parts":[["2005"]]},"page":"53-70","title":"Pharmaceutical care services: a systematic review of published studies, 1990 to 2003, examining effectiveness in improving patient outcomes","type":"article-journal","volume":"13"},"uris":["http://www.mendeley.com/documents/?uuid=453b7a37-4d0f-3e3a-bb51-f70209a1f7ad"]}],"mendeley":{"formattedCitation":"(Roughead &lt;i&gt;et al.&lt;/i&gt;, 2005)","plainTextFormattedCitation":"(Roughead et al., 2005)","previouslyFormattedCitation":"(Roughead &lt;i&gt;et al.&lt;/i&gt;, 2005)"},"properties":{"noteIndex":0},"schema":"https://github.com/citation-style-language/schema/raw/master/csl-citation.json"}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 xml:space="preserve">(Roughead </w:t>
      </w:r>
      <w:r w:rsidRPr="00845AF7">
        <w:rPr>
          <w:rFonts w:ascii="Arial" w:hAnsi="Arial" w:cs="Arial"/>
          <w:i/>
          <w:noProof/>
          <w:sz w:val="24"/>
          <w:szCs w:val="24"/>
          <w:lang w:val="en-GB"/>
        </w:rPr>
        <w:t>et al.</w:t>
      </w:r>
      <w:r w:rsidRPr="00845AF7">
        <w:rPr>
          <w:rFonts w:ascii="Arial" w:hAnsi="Arial" w:cs="Arial"/>
          <w:noProof/>
          <w:sz w:val="24"/>
          <w:szCs w:val="24"/>
          <w:lang w:val="en-GB"/>
        </w:rPr>
        <w:t>, 2005)</w:t>
      </w:r>
      <w:r w:rsidRPr="00845AF7">
        <w:rPr>
          <w:rFonts w:ascii="Arial" w:hAnsi="Arial" w:cs="Arial"/>
          <w:sz w:val="24"/>
          <w:szCs w:val="24"/>
          <w:lang w:val="en-GB"/>
        </w:rPr>
        <w:fldChar w:fldCharType="end"/>
      </w:r>
      <w:r w:rsidRPr="00845AF7">
        <w:rPr>
          <w:rFonts w:ascii="Arial" w:hAnsi="Arial" w:cs="Arial"/>
          <w:sz w:val="24"/>
          <w:szCs w:val="24"/>
          <w:lang w:val="en-GB"/>
        </w:rPr>
        <w:t xml:space="preserve">. This concept was introduced to describe how the pharmacy practice changed from being a products and dispensing focused practice to a patient focused practice that ensures the best medication therapy and patient medication safety is provided to patients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{"citationItems":[{"id":"ITEM-1","itemData":{"DOI":"10.1177/193229680900300120","ISSN":"1932-2968","abstract":"Today there are significant gaps between reaching the goal of \"optimal medication therapy\" and the current state of medication use in the United States. Pharmacists are highly accessible and well-trained--yet often underutilized--key health care professionals who can move us closer toward achieving better medication therapy outcomes for patients. Diabetes medication management programs led by pharmacists are described. This is consistent with the \"medical home\" concept of care that promotes primary care providers working collaboratively to coordinate patient-centered care. Pharmacists utilize their clinical expertise in monitoring and managing diabetes medication plans to positively impact health outcomes and empower patients to actively manage their health. In addition, pharmacists can serve as a resource to other health care providers and payers to assure safe, appropriate, cost-effective diabetes medication use. Copyright © Diabetes Technology Society","author":[{"dropping-particle":"","family":"Smith","given":"Marie","non-dropping-particle":"","parse-names":false,"suffix":""}],"container-title":"Journal of diabetes science and technology","id":"ITEM-1","issue":"1","issued":{"date-parts":[["2009"]]},"page":"175-179","publisher-place":"United States","title":"Pharmacists' role in improving diabetes medication management.","type":"article-journal","volume":"3"},"uris":["http://www.mendeley.com/documents/?uuid=c2cb55be-1358-4fc7-b6e1-19582e66b4ce"]}],"mendeley":{"formattedCitation":"(Smith, 2009a)","manualFormatting":"(Smith, 2009)","plainTextFormattedCitation":"(Smith, 2009a)","previouslyFormattedCitation":"(Smith, 2009a)"},"properties":{"noteIndex":0},"schema":"https://github.com/citation-style-language/schema/raw/master/csl-citation.json"}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(Smith, 2009)</w:t>
      </w:r>
      <w:r w:rsidRPr="00845AF7">
        <w:rPr>
          <w:rFonts w:ascii="Arial" w:hAnsi="Arial" w:cs="Arial"/>
          <w:sz w:val="24"/>
          <w:szCs w:val="24"/>
          <w:lang w:val="en-GB"/>
        </w:rPr>
        <w:fldChar w:fldCharType="end"/>
      </w:r>
      <w:r w:rsidRPr="00845AF7">
        <w:rPr>
          <w:rFonts w:ascii="Arial" w:hAnsi="Arial" w:cs="Arial"/>
          <w:sz w:val="24"/>
          <w:szCs w:val="24"/>
          <w:lang w:val="en-GB"/>
        </w:rPr>
        <w:t xml:space="preserve">. </w:t>
      </w:r>
    </w:p>
    <w:p w14:paraId="7D2FDFCB" w14:textId="77777777" w:rsidR="009D2B25" w:rsidRPr="00845AF7" w:rsidRDefault="009D2B25" w:rsidP="009D2B25">
      <w:pPr>
        <w:autoSpaceDE w:val="0"/>
        <w:autoSpaceDN w:val="0"/>
        <w:adjustRightInd w:val="0"/>
        <w:spacing w:line="360" w:lineRule="auto"/>
        <w:rPr>
          <w:rFonts w:ascii="Arial" w:hAnsi="Arial" w:cs="Arial"/>
          <w:sz w:val="24"/>
          <w:szCs w:val="24"/>
          <w:lang w:val="en-GB"/>
        </w:rPr>
      </w:pPr>
      <w:r w:rsidRPr="00845AF7">
        <w:rPr>
          <w:rFonts w:ascii="Arial" w:hAnsi="Arial" w:cs="Arial"/>
          <w:noProof/>
          <w:sz w:val="24"/>
          <w:szCs w:val="24"/>
          <w:lang w:val="en-GB"/>
        </w:rPr>
        <w:t xml:space="preserve">Accordingly, pharmaceutical care is a practice that enhances pharmaceutical medicines by adding to a change in health-related personal satisfaction </w:t>
      </w:r>
      <w:r w:rsidRPr="00845AF7">
        <w:rPr>
          <w:rFonts w:ascii="Arial" w:hAnsi="Arial" w:cs="Arial"/>
          <w:noProof/>
          <w:sz w:val="24"/>
          <w:szCs w:val="24"/>
          <w:lang w:val="en-GB"/>
        </w:rPr>
        <w:fldChar w:fldCharType="begin" w:fldLock="1"/>
      </w:r>
      <w:r w:rsidRPr="00845AF7">
        <w:rPr>
          <w:rFonts w:ascii="Arial" w:hAnsi="Arial" w:cs="Arial"/>
          <w:noProof/>
          <w:sz w:val="24"/>
          <w:szCs w:val="24"/>
          <w:lang w:val="en-GB"/>
        </w:rPr>
        <w:instrText>ADDIN CSL_CITATION {"citationItems":[{"id":"ITEM-1","itemData":{"DOI":"10.1186/s12955-014-0162-8","ISSN":"14777525","abstract":"BACKGROUND: Epilepsy is a complex chronic disorder which affects health-related quality of life (HRQOL), especially in women. METHODS: This study is a pragmatic randomised controlled trial involving women with epilepsy (WWE) over 18 years of age. RESULTS: One hundred eighty-two WWE entered the study and 144 (79.1%) completed it. The t-test for comparing the final QOLIE-31 scores between groups yielded a t = -2.166 and confidence interval (CI) (95%): -10.125; -0.4625, p-value =0.0319. The change (Delta) in the QOLIE-31 score for the IG was 12.45 points (p-value &lt;0.001) and for the control group it was 2.61 (p-value =0.072). With 10.7 as the minimally important change we found a relative risk of 2.17 (CI: 1.37; 3.43) and a number needed to treat (NNT) of 3.5. CONCLUSIONS: The study demonstrated that the application of a pharmaceutical care programme significantly improves HRQOL in WWE. The NNT we found allows a recommendation to implement the PC programme for the additional benefit that would be obtained in patients' HRQOL. TRIAL REGISTRATION: Current Controlled Trials ISRCTN46864306 IPHIWWE study.","author":[{"dropping-particle":"","family":"Losada-Camacho","given":"Martha","non-dropping-particle":"","parse-names":false,"suffix":""},{"dropping-particle":"","family":"Guerrero-Pabon","given":"Mario F.","non-dropping-particle":"","parse-names":false,"suffix":""},{"dropping-particle":"","family":"Garcia-Delgado","given":"Pilar","non-dropping-particle":"","parse-names":false,"suffix":""},{"dropping-particle":"","family":"Martínez-Martinez","given":"Fernando","non-dropping-particle":"","parse-names":false,"suffix":""}],"container-title":"Health and Quality of Life Outcomes","id":"ITEM-1","issued":{"date-parts":[["2014"]]},"title":"Impact of a pharmaceutical care programme on health-related quality of life among women with epilepsy: A randomised controlled trial (IPHIWWE study)","type":"article-journal"},"uris":["http://www.mendeley.com/documents/?uuid=9bedf980-71bc-468b-9a7e-7414a0984669"]}],"mendeley":{"formattedCitation":"(Losada-Camacho &lt;i&gt;et al.&lt;/i&gt;, 2014)","plainTextFormattedCitation":"(Losada-Camacho et al., 2014)","previouslyFormattedCitation":"(Losada-Camacho &lt;i&gt;et al.&lt;/i&gt;, 2014)"},"properties":{"noteIndex":0},"schema":"https://github.com/citation-style-language/schema/raw/master/csl-citation.json"}</w:instrText>
      </w:r>
      <w:r w:rsidRPr="00845AF7">
        <w:rPr>
          <w:rFonts w:ascii="Arial" w:hAnsi="Arial" w:cs="Arial"/>
          <w:noProof/>
          <w:sz w:val="24"/>
          <w:szCs w:val="24"/>
          <w:lang w:val="en-GB"/>
        </w:rPr>
        <w:fldChar w:fldCharType="separate"/>
      </w:r>
      <w:r w:rsidRPr="00845AF7">
        <w:rPr>
          <w:rFonts w:ascii="Arial" w:hAnsi="Arial" w:cs="Arial"/>
          <w:noProof/>
          <w:sz w:val="24"/>
          <w:szCs w:val="24"/>
          <w:lang w:val="en-GB"/>
        </w:rPr>
        <w:t xml:space="preserve">(Losada-Camacho </w:t>
      </w:r>
      <w:r w:rsidRPr="00845AF7">
        <w:rPr>
          <w:rFonts w:ascii="Arial" w:hAnsi="Arial" w:cs="Arial"/>
          <w:i/>
          <w:noProof/>
          <w:sz w:val="24"/>
          <w:szCs w:val="24"/>
          <w:lang w:val="en-GB"/>
        </w:rPr>
        <w:t>et al.</w:t>
      </w:r>
      <w:r w:rsidRPr="00845AF7">
        <w:rPr>
          <w:rFonts w:ascii="Arial" w:hAnsi="Arial" w:cs="Arial"/>
          <w:noProof/>
          <w:sz w:val="24"/>
          <w:szCs w:val="24"/>
          <w:lang w:val="en-GB"/>
        </w:rPr>
        <w:t>, 2014)</w:t>
      </w:r>
      <w:r w:rsidRPr="00845AF7">
        <w:rPr>
          <w:rFonts w:ascii="Arial" w:hAnsi="Arial" w:cs="Arial"/>
          <w:noProof/>
          <w:sz w:val="24"/>
          <w:szCs w:val="24"/>
          <w:lang w:val="en-GB"/>
        </w:rPr>
        <w:fldChar w:fldCharType="end"/>
      </w:r>
      <w:r w:rsidRPr="00845AF7">
        <w:rPr>
          <w:rFonts w:ascii="Arial" w:hAnsi="Arial" w:cs="Arial"/>
          <w:noProof/>
          <w:sz w:val="24"/>
          <w:szCs w:val="24"/>
          <w:lang w:val="en-GB"/>
        </w:rPr>
        <w:t xml:space="preserve">. </w:t>
      </w:r>
      <w:r w:rsidRPr="00845AF7">
        <w:rPr>
          <w:rFonts w:ascii="Arial" w:hAnsi="Arial" w:cs="Arial"/>
          <w:sz w:val="24"/>
          <w:szCs w:val="24"/>
          <w:lang w:val="en-GB"/>
        </w:rPr>
        <w:fldChar w:fldCharType="begin" w:fldLock="1"/>
      </w:r>
      <w:r>
        <w:rPr>
          <w:rFonts w:ascii="Arial" w:hAnsi="Arial" w:cs="Arial"/>
          <w:sz w:val="24"/>
          <w:szCs w:val="24"/>
          <w:lang w:val="en-GB"/>
        </w:rPr>
        <w:instrText>ADDIN CSL_CITATION {"citationItems":[{"id":"ITEM-1","itemData":{"DOI":"10.3390/pharmacy5020023","ISSN":"2226-4787","abstract":"Even though pharmaceutical care is not a new concept in pharmacy, its introduction and development has proved to be challenging. In Iceland, general practitioners are not familiar with pharmaceutical care and additionally no such service is offered in pharmacies or primary care settings. Introducing pharmaceutical care in primary care in Iceland is making great efforts to follow other countries, which are bringing the pharmacist more into patient care. General practitioners are key stakeholders in this endeavor. The aim of this study was to introduce pharmacist-led pharmaceutical care into primary care clinics in Iceland in collaboration with general practitioners by presenting different setting structures. Action research provided the framework for this research. Data was collected from pharmaceutical care interventions, whereby the pharmaceutical care practitioner ensures that each of a patient’s medications is assessed to determine if it is appropriate, effective, safe, and that the patient can take medicine as expected. Sources of data included pharmaceutical care notes on patients, researcher’s notes, meetings, and interviews with general practitioners over the period of the study. The study ran from September 2013 to October 2015. Three separate semi-structured in-depth interviews were conducted with five general practitioners from one primary health care clinic in Iceland at different time points throughout the study. Pharmaceutical care was provided to elderly patients (n = 125) before and between general practitioners’ interviews. The study setting was a primary care clinic in the Reykjavik area and the patients’ homes. Results showed that the GPs’ knowledge about pharmacist competencies as healthcare providers and their potential in patient care increased. GPs would now like to have access to a pharmacist on a daily basis. Direct contact between the pharmacist and GPs is better when working in the same physical space. Pharmacist’s access to medical records is necessary for optimal service. Pharmacist-led clinical service was deemed most needed in dose dispensing polypharmacy patients. This research indicated that it was essential to introduce Icelandic GPs to the potential contribution of pharmacists in patient care and that action research was a useful methodology to promote and develop a relationship between those two health care providers in primary care in Iceland.","author":[{"dropping-particle":"","family":"Blondal","given":"Anna Bryndis","non-dropping-particle":"","parse-names":false,"suffix":""},{"dropping-particle":"","family":"Sporrong","given":"Sofia Kalvemark","non-dropping-particle":"","parse-names":false,"suffix":""},{"dropping-particle":"","family":"Almarsdottir","given":"Anna Birna","non-dropping-particle":"","parse-names":false,"suffix":""}],"container-title":"MDPI Pharmacy","id":"ITEM-1","issue":"4","issued":{"date-parts":[["2017"]]},"page":"23","title":"Introducing Pharmaceutical Care to Primary Care in Iceland—An Action Research Study","type":"article-journal","volume":"5"},"uris":["http://www.mendeley.com/documents/?uuid=ca02dac1-9348-428b-9acc-9176b46adc4e"]}],"mendeley":{"formattedCitation":"(Blondal, Sporrong and Almarsdottir, 2017)","manualFormatting":"Blondal et al., (2017) state that ","plainTextFormattedCitation":"(Blondal, Sporrong and Almarsdottir, 2017)","previouslyFormattedCitation":"(Blondal, Sporrong and Almarsdottir, 2017)"},"properties":{"noteIndex":0},"schema":"https://github.com/citation-style-language/schema/raw/master/csl-citation.json"}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 xml:space="preserve">Blondal et al., (2017) state that </w:t>
      </w:r>
      <w:r w:rsidRPr="00845AF7">
        <w:rPr>
          <w:rFonts w:ascii="Arial" w:hAnsi="Arial" w:cs="Arial"/>
          <w:sz w:val="24"/>
          <w:szCs w:val="24"/>
          <w:lang w:val="en-GB"/>
        </w:rPr>
        <w:fldChar w:fldCharType="end"/>
      </w:r>
      <w:r w:rsidRPr="00845AF7">
        <w:rPr>
          <w:rFonts w:ascii="Arial" w:hAnsi="Arial" w:cs="Arial"/>
          <w:sz w:val="24"/>
          <w:szCs w:val="24"/>
          <w:lang w:val="en-GB"/>
        </w:rPr>
        <w:t>the pharmaceutical care provider focusses on the patient’s medications, which are either prescription, non-prescription or herbal, and assesses their appropriateness, effectiveness, and safety, and whether the patient is able to take the medication as expected.</w:t>
      </w:r>
    </w:p>
    <w:p w14:paraId="30A971A6" w14:textId="77777777" w:rsidR="009D2B25" w:rsidRPr="00845AF7" w:rsidRDefault="009D2B25" w:rsidP="009D2B25">
      <w:pPr>
        <w:shd w:val="clear" w:color="auto" w:fill="FFFFFF"/>
        <w:spacing w:line="360" w:lineRule="auto"/>
        <w:rPr>
          <w:rFonts w:ascii="Arial" w:hAnsi="Arial" w:cs="Arial"/>
          <w:noProof/>
          <w:sz w:val="24"/>
          <w:szCs w:val="24"/>
          <w:lang w:val="en-GB"/>
        </w:rPr>
      </w:pPr>
      <w:r w:rsidRPr="00845AF7">
        <w:rPr>
          <w:rFonts w:ascii="Arial" w:hAnsi="Arial" w:cs="Arial"/>
          <w:noProof/>
          <w:sz w:val="24"/>
          <w:szCs w:val="24"/>
          <w:lang w:val="en-GB"/>
        </w:rPr>
        <w:t xml:space="preserve">The term ‘pharmaceutical care’ is used in various countries but less so in the USA, where it is termed mostly as ‘medication therapy management’ (MTM). In Australia, the related term is Quality Use of Medicines (QUM), and in the UK, the term often used is ‘medication therapy management services’. </w:t>
      </w:r>
      <w:r w:rsidRPr="00845AF7">
        <w:rPr>
          <w:rFonts w:ascii="Arial" w:hAnsi="Arial" w:cs="Arial"/>
          <w:noProof/>
          <w:sz w:val="24"/>
          <w:szCs w:val="24"/>
          <w:lang w:val="en-GB"/>
        </w:rPr>
        <w:fldChar w:fldCharType="begin" w:fldLock="1"/>
      </w:r>
      <w:r w:rsidRPr="00845AF7">
        <w:rPr>
          <w:rFonts w:ascii="Arial" w:hAnsi="Arial" w:cs="Arial"/>
          <w:noProof/>
          <w:sz w:val="24"/>
          <w:szCs w:val="24"/>
          <w:lang w:val="en-GB"/>
        </w:rPr>
        <w:instrText>ADDIN CSL_CITATION {"citationItems":[{"id":"ITEM-1","itemData":{"DOI":"10.1016/B978-0-12-814276-9.00005-2","ISBN":"9780128142769","abstract":"Drugs/medicines are part of most common clinical interventions. The terms drug and medicines are synonymously used in this chapter. Promoting the rational use of drugs is a priority for pharmacists. This is done not only by proper dispensing but pharmacists also participate in prescribing and drug administration processes with other healthcare professionals and consumers. These involvements are at both clinical and administrative levels. Being part of the drug and therapeutics committee, a pharmacist develops, implements, and monitors formulary systems. Drug use evaluation and other practice research methods support such clinical decision-making processes. Standards of practice and education evolve with frameworks such as pharmaceutical care, medication therapy management, Center for the Advancement of Pharmacy Education (CAPE) Educational Outcomes, pharmacists' patient care process, and entrustable professional activities.","author":[{"dropping-particle":"","family":"Zachariah","given":"Seeba","non-dropping-particle":"","parse-names":false,"suffix":""},{"dropping-particle":"","family":"Hill","given":"Angela","non-dropping-particle":"","parse-names":false,"suffix":""},{"dropping-particle":"","family":"Ahdab","given":"Ola Ghaleb","non-dropping-particle":"Al","parse-names":false,"suffix":""},{"dropping-particle":"","family":"Buffington","given":"Daniel","non-dropping-particle":"","parse-names":false,"suffix":""}],"container-title":"Clinical Pharmacy Education, Practice and Research","id":"ITEM-1","issued":{"date-parts":[["2019","1","1"]]},"page":"59-77","publisher":"Elsevier","title":"Rational Drug Use, Formulary Management, Pharmaceutical Care/Medication Therapy Management/Pharmacists’ Patient Care Process","type":"article-journal"},"uris":["http://www.mendeley.com/documents/?uuid=780f73ea-814e-3a59-95f3-6bc347f68573"]}],"mendeley":{"formattedCitation":"(Zachariah &lt;i&gt;et al.&lt;/i&gt;, 2019)","plainTextFormattedCitation":"(Zachariah et al., 2019)","previouslyFormattedCitation":"(Zachariah &lt;i&gt;et al.&lt;/i&gt;, 2019)"},"properties":{"noteIndex":0},"schema":"https://github.com/citation-style-language/schema/raw/master/csl-citation.json"}</w:instrText>
      </w:r>
      <w:r w:rsidRPr="00845AF7">
        <w:rPr>
          <w:rFonts w:ascii="Arial" w:hAnsi="Arial" w:cs="Arial"/>
          <w:noProof/>
          <w:sz w:val="24"/>
          <w:szCs w:val="24"/>
          <w:lang w:val="en-GB"/>
        </w:rPr>
        <w:fldChar w:fldCharType="separate"/>
      </w:r>
      <w:r w:rsidRPr="00845AF7">
        <w:rPr>
          <w:rFonts w:ascii="Arial" w:hAnsi="Arial" w:cs="Arial"/>
          <w:noProof/>
          <w:sz w:val="24"/>
          <w:szCs w:val="24"/>
          <w:lang w:val="en-GB"/>
        </w:rPr>
        <w:t>(Zachariah et al., 2019)</w:t>
      </w:r>
      <w:r w:rsidRPr="00845AF7">
        <w:rPr>
          <w:rFonts w:ascii="Arial" w:hAnsi="Arial" w:cs="Arial"/>
          <w:noProof/>
          <w:sz w:val="24"/>
          <w:szCs w:val="24"/>
          <w:lang w:val="en-GB"/>
        </w:rPr>
        <w:fldChar w:fldCharType="end"/>
      </w:r>
    </w:p>
    <w:p w14:paraId="6F79AD5E" w14:textId="77777777" w:rsidR="009D2B25" w:rsidRPr="00845AF7" w:rsidRDefault="009D2B25" w:rsidP="009D2B25">
      <w:pPr>
        <w:autoSpaceDE w:val="0"/>
        <w:autoSpaceDN w:val="0"/>
        <w:adjustRightInd w:val="0"/>
        <w:spacing w:line="360" w:lineRule="auto"/>
        <w:rPr>
          <w:rFonts w:ascii="Arial" w:hAnsi="Arial" w:cs="Arial"/>
          <w:sz w:val="24"/>
          <w:szCs w:val="24"/>
          <w:lang w:val="en-GB"/>
        </w:rPr>
      </w:pPr>
      <w:r w:rsidRPr="00845AF7">
        <w:rPr>
          <w:rFonts w:ascii="Arial" w:hAnsi="Arial" w:cs="Arial"/>
          <w:sz w:val="24"/>
          <w:szCs w:val="24"/>
          <w:lang w:val="en-GB"/>
        </w:rPr>
        <w:t xml:space="preserve">Primary care pharmacists in KSA have a range of functions, including administrative and clinical duties that are related to medication use and safety. The role of the pharmacist in PHCs is to apply the pharmaceutical care services standards by following processes: ordering medicines, and implementing medication safety strategies by: ensuring medication security and safety, medication labelling, dispensing, storage, emergency medications, monitoring medication effects, medication error identification and reporting, adverse drug events identification, as well as reporting, responding, retrieving and managing recalled medications, controlled drugs management, and checking and reviewing the prescription before dispensing. Pharmacists in PHCs also participate in the continued educational programmes by providing presentations to healthcare providers and internship students, as well as drug information, education and the counselling of the patient and their families regarding prescribed medications. (Appendix C&amp;D) </w:t>
      </w:r>
    </w:p>
    <w:p w14:paraId="29FCD49A" w14:textId="77777777" w:rsidR="009D2B25" w:rsidRPr="00845AF7" w:rsidRDefault="009D2B25" w:rsidP="009D2B25">
      <w:pPr>
        <w:spacing w:line="360" w:lineRule="auto"/>
        <w:rPr>
          <w:rFonts w:ascii="Arial" w:hAnsi="Arial" w:cs="Arial"/>
          <w:sz w:val="24"/>
          <w:szCs w:val="24"/>
          <w:lang w:val="en-GB"/>
        </w:rPr>
      </w:pPr>
      <w:r w:rsidRPr="00845AF7">
        <w:rPr>
          <w:rFonts w:ascii="Arial" w:hAnsi="Arial" w:cs="Arial"/>
          <w:sz w:val="24"/>
          <w:szCs w:val="24"/>
          <w:lang w:val="en-GB"/>
        </w:rPr>
        <w:t xml:space="preserve">Pharmaceutical care services in PHCs are often delivered by a single pharmacist or pharmacy technician, but the pharmacy is sometimes run by two employees, one pharmacist and one technician, depending on the size of the centre and the population served. Despite this, the workforce guidelines that were approved by the MOH in 2014 emphasised a crucial need for a minimum of four pharmacy staff (one pharmacy technician, two pharmacists and one general clinical pharmacist) in each PHC centre that serves up to 12,000 people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{"citationItems":[{"id":"ITEM-1","itemData":{"DOI":"10.19080/jpcr.2016.01.555555","author":[{"dropping-particle":"","family":"Alomi","given":"Yousef Ahmed","non-dropping-particle":"","parse-names":false,"suffix":""}],"container-title":"Journal of pharmacology &amp; clinical research","id":"ITEM-1","issue":"1","issued":{"date-parts":[["2016"]]},"page":"10-13","title":"Primary Care Center Pharmacy Manpower New Guidelines in Saudi Arabia","type":"article-journal","volume":"1"},"uris":["http://www.mendeley.com/documents/?uuid=e07afb8e-8ad0-498d-8680-2b79acd71888"]}],"mendeley":{"formattedCitation":"(Alomi, 2016)","plainTextFormattedCitation":"(Alomi, 2016)","previouslyFormattedCitation":"(Alomi, 2016)"},"properties":{"noteIndex":0},"schema":"https://github.com/citation-style-language/schema/raw/master/csl-citation.json"}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(Alomi, 2016)</w:t>
      </w:r>
      <w:r w:rsidRPr="00845AF7">
        <w:rPr>
          <w:rFonts w:ascii="Arial" w:hAnsi="Arial" w:cs="Arial"/>
          <w:sz w:val="24"/>
          <w:szCs w:val="24"/>
          <w:lang w:val="en-GB"/>
        </w:rPr>
        <w:fldChar w:fldCharType="end"/>
      </w:r>
      <w:r w:rsidRPr="00845AF7">
        <w:rPr>
          <w:rFonts w:ascii="Arial" w:hAnsi="Arial" w:cs="Arial"/>
          <w:sz w:val="24"/>
          <w:szCs w:val="24"/>
          <w:lang w:val="en-GB"/>
        </w:rPr>
        <w:t xml:space="preserve">. Based on the MOH statistical yearbook, each centre provided healthcare services to around 13,455 people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{"citationItems":[{"id":"ITEM-1","itemData":{"DOI":"10.1080/20479700.2018.1433459","ISSN":"2047-9700","abstract":"With an anticipated population increase of 33% over the next three decades, the Saudi Arabian healthcare sector needs to cater to an every growing population and demand of healthcare services. The demand for healthcare is high as compared to the supply of healthcare services, a scenario recognized by the Saudi Arabian government, which has lately encouraged the private sector to match the shortfall and benefit from this potentially lucrative sector. This exploratory research thus assesses the development of healthcare services in the Kingdom of Saudi Arabia over the past nine decades and key elements impacting the Saudi Arabian healthcare sector and its future. The research indicates that automation would be a reality, training, and development of healthcare professional would gain a centre stage, and primary healthcare centres would be further developed. The research concludes that both public and private sector should address the issue of shortage of beds at the earliest, by utilizing the funding to develop new hospitals and also, by improving and growing the existing facilities. Furthermore, the government should restructure the funding of the healthcare sector so that it becomes self-reliant and less dependent on the government budget.","author":[{"dropping-particle":"","family":"Sajjad","given":"Rumaiya","non-dropping-particle":"","parse-names":false,"suffix":""},{"dropping-particle":"","family":"Qureshi","given":"Mohammed Owais","non-dropping-particle":"","parse-names":false,"suffix":""}],"container-title":"International Journal of Healthcare Management","id":"ITEM-1","issue":"0","issued":{"date-parts":[["2018"]]},"page":"1-9","publisher":"Taylor &amp; Francis","title":"An assessment of the healthcare services in the Kingdom of Saudi Arabia: An analysis of the old, current, and future systems","type":"article-journal","volume":"0"},"uris":["http://www.mendeley.com/documents/?uuid=ae0fa0c1-626d-44f6-9ba0-04544fca426b"]}],"mendeley":{"formattedCitation":"(Sajjad and Qureshi, 2018)","plainTextFormattedCitation":"(Sajjad and Qureshi, 2018)","previouslyFormattedCitation":"(Sajjad and Qureshi, 2018)"},"properties":{"noteIndex":0},"schema":"https://github.com/citation-style-language/schema/raw/master/csl-citation.json"}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(Sajjad and Qureshi, 2018)</w:t>
      </w:r>
      <w:r w:rsidRPr="00845AF7">
        <w:rPr>
          <w:rFonts w:ascii="Arial" w:hAnsi="Arial" w:cs="Arial"/>
          <w:sz w:val="24"/>
          <w:szCs w:val="24"/>
          <w:lang w:val="en-GB"/>
        </w:rPr>
        <w:fldChar w:fldCharType="end"/>
      </w:r>
      <w:r w:rsidRPr="00845AF7">
        <w:rPr>
          <w:rFonts w:ascii="Arial" w:hAnsi="Arial" w:cs="Arial"/>
          <w:sz w:val="24"/>
          <w:szCs w:val="24"/>
          <w:lang w:val="en-GB"/>
        </w:rPr>
        <w:t xml:space="preserve">. Therefore, a minimum four of pharmacy workforce are needed in each centre but this is not the situation as in 2018, the number of PHCs in KSA reached  2,390, and the total number of pharmacists in these centres was 536, with the rate of 0.16 pharmacists/10,000 population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{"citationItems":[{"id":"ITEM-1","itemData":{"author":[{"dropping-particle":"","family":"Saudi Ministry of Health","given":"","non-dropping-particle":"","parse-names":false,"suffix":""}],"id":"ITEM-1","issued":{"date-parts":[["2018"]]},"title":"Statistical Book for the year 2018","type":"report"},"uris":["http://www.mendeley.com/documents/?uuid=576b6b3a-8e14-3c3c-89c2-4778a4af3a31"]}],"mendeley":{"formattedCitation":"(Saudi Ministry of Health, 2018)","plainTextFormattedCitation":"(Saudi Ministry of Health, 2018)","previouslyFormattedCitation":"(Saudi Ministry of Health, 2018)"},"properties":{"noteIndex":0},"schema":"https://github.com/citation-style-language/schema/raw/master/csl-citation.json"}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(Saudi Ministry of Health, 2018)</w:t>
      </w:r>
      <w:r w:rsidRPr="00845AF7">
        <w:rPr>
          <w:rFonts w:ascii="Arial" w:hAnsi="Arial" w:cs="Arial"/>
          <w:sz w:val="24"/>
          <w:szCs w:val="24"/>
          <w:lang w:val="en-GB"/>
        </w:rPr>
        <w:fldChar w:fldCharType="end"/>
      </w:r>
      <w:r w:rsidRPr="00845AF7">
        <w:rPr>
          <w:rFonts w:ascii="Arial" w:hAnsi="Arial" w:cs="Arial"/>
          <w:sz w:val="24"/>
          <w:szCs w:val="24"/>
          <w:lang w:val="en-GB"/>
        </w:rPr>
        <w:t>. This figure indicates the shortages in pharmacy staff who cover these centres. However, the number of pharmacy staff that was recommended by the former general manager of general administration of pharmaceutical care in the Saudi Ministry of Health in 2014 might change due to the closing of pharmacies at these centres, but several studies (</w:t>
      </w:r>
      <w:r w:rsidRPr="00845AF7">
        <w:rPr>
          <w:rFonts w:ascii="Arial" w:hAnsi="Arial" w:cs="Arial"/>
          <w:noProof/>
          <w:sz w:val="24"/>
          <w:szCs w:val="24"/>
          <w:lang w:val="en-GB"/>
        </w:rPr>
        <w:t xml:space="preserve">Tan </w:t>
      </w:r>
      <w:r w:rsidRPr="00845AF7">
        <w:rPr>
          <w:rFonts w:ascii="Arial" w:hAnsi="Arial" w:cs="Arial"/>
          <w:i/>
          <w:noProof/>
          <w:sz w:val="24"/>
          <w:szCs w:val="24"/>
          <w:lang w:val="en-GB"/>
        </w:rPr>
        <w:t>et al.</w:t>
      </w:r>
      <w:r w:rsidRPr="00845AF7">
        <w:rPr>
          <w:rFonts w:ascii="Arial" w:hAnsi="Arial" w:cs="Arial"/>
          <w:noProof/>
          <w:sz w:val="24"/>
          <w:szCs w:val="24"/>
          <w:lang w:val="en-GB"/>
        </w:rPr>
        <w:t xml:space="preserve">, (2014), Simpson </w:t>
      </w:r>
      <w:r w:rsidRPr="00845AF7">
        <w:rPr>
          <w:rFonts w:ascii="Arial" w:hAnsi="Arial" w:cs="Arial"/>
          <w:i/>
          <w:noProof/>
          <w:sz w:val="24"/>
          <w:szCs w:val="24"/>
          <w:lang w:val="en-GB"/>
        </w:rPr>
        <w:t>et al.</w:t>
      </w:r>
      <w:r w:rsidRPr="00845AF7">
        <w:rPr>
          <w:rFonts w:ascii="Arial" w:hAnsi="Arial" w:cs="Arial"/>
          <w:noProof/>
          <w:sz w:val="24"/>
          <w:szCs w:val="24"/>
          <w:lang w:val="en-GB"/>
        </w:rPr>
        <w:t xml:space="preserve">, (2015), </w:t>
      </w:r>
      <w:r w:rsidRPr="00845AF7">
        <w:rPr>
          <w:rFonts w:ascii="Arial" w:hAnsi="Arial" w:cs="Arial"/>
          <w:sz w:val="24"/>
          <w:szCs w:val="24"/>
          <w:lang w:val="en-GB"/>
        </w:rPr>
        <w:t xml:space="preserve"> </w:t>
      </w:r>
      <w:r w:rsidRPr="00845AF7">
        <w:rPr>
          <w:rFonts w:ascii="Arial" w:hAnsi="Arial" w:cs="Arial"/>
          <w:noProof/>
          <w:sz w:val="24"/>
          <w:szCs w:val="24"/>
          <w:lang w:val="en-GB"/>
        </w:rPr>
        <w:t xml:space="preserve">Moreno </w:t>
      </w:r>
      <w:r w:rsidRPr="00845AF7">
        <w:rPr>
          <w:rFonts w:ascii="Arial" w:hAnsi="Arial" w:cs="Arial"/>
          <w:i/>
          <w:noProof/>
          <w:sz w:val="24"/>
          <w:szCs w:val="24"/>
          <w:lang w:val="en-GB"/>
        </w:rPr>
        <w:t>et al.</w:t>
      </w:r>
      <w:r w:rsidRPr="00845AF7">
        <w:rPr>
          <w:rFonts w:ascii="Arial" w:hAnsi="Arial" w:cs="Arial"/>
          <w:noProof/>
          <w:sz w:val="24"/>
          <w:szCs w:val="24"/>
          <w:lang w:val="en-GB"/>
        </w:rPr>
        <w:t xml:space="preserve">, (2017), Blondal et al., (2017), and Abdulrhim </w:t>
      </w:r>
      <w:r w:rsidRPr="00845AF7">
        <w:rPr>
          <w:rFonts w:ascii="Arial" w:hAnsi="Arial" w:cs="Arial"/>
          <w:i/>
          <w:noProof/>
          <w:sz w:val="24"/>
          <w:szCs w:val="24"/>
          <w:lang w:val="en-GB"/>
        </w:rPr>
        <w:t>et al.</w:t>
      </w:r>
      <w:r w:rsidRPr="00845AF7">
        <w:rPr>
          <w:rFonts w:ascii="Arial" w:hAnsi="Arial" w:cs="Arial"/>
          <w:noProof/>
          <w:sz w:val="24"/>
          <w:szCs w:val="24"/>
          <w:lang w:val="en-GB"/>
        </w:rPr>
        <w:t>, (2019)</w:t>
      </w:r>
      <w:r w:rsidRPr="00845AF7">
        <w:rPr>
          <w:rFonts w:ascii="Arial" w:hAnsi="Arial" w:cs="Arial"/>
          <w:sz w:val="24"/>
          <w:szCs w:val="24"/>
          <w:lang w:val="en-GB"/>
        </w:rPr>
        <w:t>, recommend the need for a minimum general clinical pharmacist to provide pharmaceutical care for patients in primary care settings.</w:t>
      </w:r>
    </w:p>
    <w:p w14:paraId="6374EFAF" w14:textId="77777777" w:rsidR="009D2B25" w:rsidRPr="00845AF7" w:rsidRDefault="009D2B25" w:rsidP="009D2B25">
      <w:pPr>
        <w:spacing w:line="360" w:lineRule="auto"/>
        <w:rPr>
          <w:rFonts w:ascii="Arial" w:hAnsi="Arial" w:cs="Arial"/>
          <w:sz w:val="24"/>
          <w:szCs w:val="24"/>
          <w:lang w:val="en-GB"/>
        </w:rPr>
      </w:pP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{"citationItems":[{"id":"ITEM-1","itemData":{"DOI":"10.1177/2050312115594816","ISBN":"2050312115594","ISSN":"2050-3121","abstract":"OBJECTIVES: The shortage of clinical pharmacists in Saudi Arabia has limited the full implementation of pharmaceutical care in most of its hospitals. The National Guard Health Affairs hospitals. This work discussed the Department of Pharmaceutical Care, and the King Saud Bin Abdulaziz University for Health Sciences College of Pharmacy four initiatives that were planned in 2009-2010 to develop and recruit clinical pharmacists, practitioners, or faculty., METHODS: The combined initiatives were aimed at (1) instituting a 4-year clinical skills development career ladder, (2) expanding the National Guard Health Affairs postgraduate residency program, (3) offering scholarships to qualified pharmacy graduates to pursue the PharmD degree and a PGY-1 residency training in the United States, and (4) recruiting non-Saudi clinical pharmacists educated and trained in the United States to ameliorate the current shortage of practitioner., RESULTS: The current number of clinical pharmacists practicing at the National Guard Health Affairs at central region is 24, most of whom are Board Certified by the American Pharmacists Association Board of Pharmacy Specialties., CONCLUSIONS: The four initiatives, based on current trends, suggest that 60-65 positions will be added by 2017-2018, barring attrition. Saudi Arabia and many developing countries will continue to experience a shortage in clinical pharmacists due to the high demand for clinical pharmacy services. A multifaceted approach is recommended to address the problem.","author":[{"dropping-particle":"","family":"Albekairy","given":"Abdulkareem M","non-dropping-particle":"","parse-names":false,"suffix":""},{"dropping-particle":"","family":"Khalidi","given":"Nabil","non-dropping-particle":"","parse-names":false,"suffix":""},{"dropping-particle":"","family":"Alkatheri","given":"Abdulmalik M","non-dropping-particle":"","parse-names":false,"suffix":""},{"dropping-particle":"","family":"Althiab","given":"Khalifa","non-dropping-particle":"","parse-names":false,"suffix":""},{"dropping-particle":"","family":"Alharbi","given":"Shmeylan","non-dropping-particle":"","parse-names":false,"suffix":""},{"dropping-particle":"","family":"Aldekhael","given":"Saleh","non-dropping-particle":"","parse-names":false,"suffix":""},{"dropping-particle":"","family":"Qandil","given":"Amjad M","non-dropping-particle":"","parse-names":false,"suffix":""},{"dropping-particle":"","family":"Alknawy","given":"Bandar","non-dropping-particle":"","parse-names":false,"suffix":""}],"container-title":"SAGE Open Medicine","id":"ITEM-1","issued":{"date-parts":[["2015"]]},"page":"205031211559481","title":"Strategic initiatives to maintain pharmaceutical care and clinical pharmacists sufficiency in Saudi Arabia","type":"article-journal","volume":"3"},"uris":["http://www.mendeley.com/documents/?uuid=0e5c6ac0-4959-46d8-9272-a98ab1d155c1"]}],"mendeley":{"formattedCitation":"(Albekairy &lt;i&gt;et al.&lt;/i&gt;, 2015)","manualFormatting":"Albekairy et al., 2015","plainTextFormattedCitation":"(Albekairy et al., 2015)","previouslyFormattedCitation":"(Albekairy &lt;i&gt;et al.&lt;/i&gt;, 2015)"},"properties":{"noteIndex":0},"schema":"https://github.com/citation-style-language/schema/raw/master/csl-citation.json"}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Albekairy et al., 2015</w:t>
      </w:r>
      <w:r w:rsidRPr="00845AF7">
        <w:rPr>
          <w:rFonts w:ascii="Arial" w:hAnsi="Arial" w:cs="Arial"/>
          <w:sz w:val="24"/>
          <w:szCs w:val="24"/>
          <w:lang w:val="en-GB"/>
        </w:rPr>
        <w:fldChar w:fldCharType="end"/>
      </w:r>
      <w:r w:rsidRPr="00845AF7">
        <w:rPr>
          <w:rFonts w:ascii="Arial" w:hAnsi="Arial" w:cs="Arial"/>
          <w:sz w:val="24"/>
          <w:szCs w:val="24"/>
          <w:lang w:val="en-GB"/>
        </w:rPr>
        <w:t xml:space="preserve"> state that KSA has a shortage of clinical pharmacists and this has had an effect on the provision of full pharmaceutical care services. KSA has experienced a serious shortage of clinical pharmacists due to the presence of a small number of pharmacy colleges with both limited clinical training and a limited clinical faculty. This has resulted in these colleges being unable to produce sufficient clinical pharmacists who can carry on pharmaceutical care </w:t>
      </w:r>
      <w:r w:rsidRPr="00845AF7">
        <w:rPr>
          <w:rFonts w:ascii="Arial" w:hAnsi="Arial" w:cs="Arial"/>
          <w:sz w:val="24"/>
          <w:szCs w:val="24"/>
          <w:lang w:val="en"/>
        </w:rPr>
        <w:fldChar w:fldCharType="begin" w:fldLock="1"/>
      </w:r>
      <w:r w:rsidRPr="00845AF7">
        <w:rPr>
          <w:rFonts w:ascii="Arial" w:hAnsi="Arial" w:cs="Arial"/>
          <w:sz w:val="24"/>
          <w:szCs w:val="24"/>
          <w:lang w:val="en"/>
        </w:rPr>
        <w:instrText>ADDIN CSL_CITATION {"citationItems":[{"id":"ITEM-1","itemData":{"DOI":"10.1177/2050312115594816","ISBN":"2050312115594","ISSN":"2050-3121","abstract":"OBJECTIVES: The shortage of clinical pharmacists in Saudi Arabia has limited the full implementation of pharmaceutical care in most of its hospitals. The National Guard Health Affairs hospitals. This work discussed the Department of Pharmaceutical Care, and the King Saud Bin Abdulaziz University for Health Sciences College of Pharmacy four initiatives that were planned in 2009-2010 to develop and recruit clinical pharmacists, practitioners, or faculty., METHODS: The combined initiatives were aimed at (1) instituting a 4-year clinical skills development career ladder, (2) expanding the National Guard Health Affairs postgraduate residency program, (3) offering scholarships to qualified pharmacy graduates to pursue the PharmD degree and a PGY-1 residency training in the United States, and (4) recruiting non-Saudi clinical pharmacists educated and trained in the United States to ameliorate the current shortage of practitioner., RESULTS: The current number of clinical pharmacists practicing at the National Guard Health Affairs at central region is 24, most of whom are Board Certified by the American Pharmacists Association Board of Pharmacy Specialties., CONCLUSIONS: The four initiatives, based on current trends, suggest that 60-65 positions will be added by 2017-2018, barring attrition. Saudi Arabia and many developing countries will continue to experience a shortage in clinical pharmacists due to the high demand for clinical pharmacy services. A multifaceted approach is recommended to address the problem.","author":[{"dropping-particle":"","family":"Albekairy","given":"Abdulkareem M","non-dropping-particle":"","parse-names":false,"suffix":""},{"dropping-particle":"","family":"Khalidi","given":"Nabil","non-dropping-particle":"","parse-names":false,"suffix":""},{"dropping-particle":"","family":"Alkatheri","given":"Abdulmalik M","non-dropping-particle":"","parse-names":false,"suffix":""},{"dropping-particle":"","family":"Althiab","given":"Khalifa","non-dropping-particle":"","parse-names":false,"suffix":""},{"dropping-particle":"","family":"Alharbi","given":"Shmeylan","non-dropping-particle":"","parse-names":false,"suffix":""},{"dropping-particle":"","family":"Aldekhael","given":"Saleh","non-dropping-particle":"","parse-names":false,"suffix":""},{"dropping-particle":"","family":"Qandil","given":"Amjad M","non-dropping-particle":"","parse-names":false,"suffix":""},{"dropping-particle":"","family":"Alknawy","given":"Bandar","non-dropping-particle":"","parse-names":false,"suffix":""}],"container-title":"SAGE Open Medicine","id":"ITEM-1","issued":{"date-parts":[["2015"]]},"page":"205031211559481","title":"Strategic initiatives to maintain pharmaceutical care and clinical pharmacists sufficiency in Saudi Arabia","type":"article-journal","volume":"3"},"uris":["http://www.mendeley.com/documents/?uuid=0e5c6ac0-4959-46d8-9272-a98ab1d155c1"]}],"mendeley":{"formattedCitation":"(Albekairy &lt;i&gt;et al.&lt;/i&gt;, 2015)","plainTextFormattedCitation":"(Albekairy et al., 2015)","previouslyFormattedCitation":"(Albekairy &lt;i&gt;et al.&lt;/i&gt;, 2015)"},"properties":{"noteIndex":0},"schema":"https://github.com/citation-style-language/schema/raw/master/csl-citation.json"}</w:instrText>
      </w:r>
      <w:r w:rsidRPr="00845AF7">
        <w:rPr>
          <w:rFonts w:ascii="Arial" w:hAnsi="Arial" w:cs="Arial"/>
          <w:sz w:val="24"/>
          <w:szCs w:val="24"/>
          <w:lang w:val="en"/>
        </w:rPr>
        <w:fldChar w:fldCharType="separate"/>
      </w:r>
      <w:r w:rsidRPr="00845AF7">
        <w:rPr>
          <w:rFonts w:ascii="Arial" w:hAnsi="Arial" w:cs="Arial"/>
          <w:noProof/>
          <w:sz w:val="24"/>
          <w:szCs w:val="24"/>
          <w:lang w:val="en"/>
        </w:rPr>
        <w:t xml:space="preserve">(Albekairy </w:t>
      </w:r>
      <w:r w:rsidRPr="00845AF7">
        <w:rPr>
          <w:rFonts w:ascii="Arial" w:hAnsi="Arial" w:cs="Arial"/>
          <w:i/>
          <w:noProof/>
          <w:sz w:val="24"/>
          <w:szCs w:val="24"/>
          <w:lang w:val="en"/>
        </w:rPr>
        <w:t>et al.</w:t>
      </w:r>
      <w:r w:rsidRPr="00845AF7">
        <w:rPr>
          <w:rFonts w:ascii="Arial" w:hAnsi="Arial" w:cs="Arial"/>
          <w:noProof/>
          <w:sz w:val="24"/>
          <w:szCs w:val="24"/>
          <w:lang w:val="en"/>
        </w:rPr>
        <w:t>, 2015)</w:t>
      </w:r>
      <w:r w:rsidRPr="00845AF7">
        <w:rPr>
          <w:rFonts w:ascii="Arial" w:hAnsi="Arial" w:cs="Arial"/>
          <w:sz w:val="24"/>
          <w:szCs w:val="24"/>
          <w:lang w:val="en"/>
        </w:rPr>
        <w:fldChar w:fldCharType="end"/>
      </w:r>
      <w:r w:rsidRPr="00845AF7">
        <w:rPr>
          <w:rFonts w:ascii="Arial" w:hAnsi="Arial" w:cs="Arial"/>
          <w:sz w:val="24"/>
          <w:szCs w:val="24"/>
          <w:lang w:val="en"/>
        </w:rPr>
        <w:t xml:space="preserve">. </w:t>
      </w:r>
      <w:r w:rsidRPr="00845AF7">
        <w:rPr>
          <w:rFonts w:ascii="Arial" w:hAnsi="Arial" w:cs="Arial"/>
          <w:sz w:val="24"/>
          <w:szCs w:val="24"/>
          <w:lang w:val="en-GB"/>
        </w:rPr>
        <w:t xml:space="preserve">As a result, there is a need to address the workforce shortages of clinical pharmacists for these settings in order to deliver an efficient and sufficient healthcare service. </w:t>
      </w:r>
    </w:p>
    <w:p w14:paraId="181C0151" w14:textId="77777777" w:rsidR="009D2B25" w:rsidRPr="00845AF7" w:rsidRDefault="009D2B25" w:rsidP="009D2B25">
      <w:pPr>
        <w:spacing w:line="360" w:lineRule="auto"/>
        <w:rPr>
          <w:rFonts w:ascii="Arial" w:hAnsi="Arial" w:cs="Arial"/>
          <w:sz w:val="24"/>
          <w:szCs w:val="24"/>
          <w:lang w:val="en-GB"/>
        </w:rPr>
      </w:pPr>
      <w:r w:rsidRPr="00845AF7">
        <w:rPr>
          <w:rFonts w:ascii="Arial" w:hAnsi="Arial" w:cs="Arial"/>
          <w:sz w:val="24"/>
          <w:szCs w:val="24"/>
          <w:lang w:val="en-GB"/>
        </w:rPr>
        <w:t xml:space="preserve">In contrast, a report by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ISBN":"9780902936447","author":[{"dropping-particle":"","family":"Bates","given":"Ian","non-dropping-particle":"","parse-names":false,"suffix":""},{"dropping-particle":"","family":"Meilianyi","given":"Sherly","non-dropping-particle":"","parse-names":false,"suffix":""},{"dropping-particle":"","family":"John","given":"Christopher","non-dropping-particle":"","parse-names":false,"suffix":""},{"dropping-particle":"","family":"Bader","given":"Lina R.","non-dropping-particle":"","parse-names":false,"suffix":""}],"id":"ITEM-1","issued":{"date-parts":[["2018"]]},"title":"Pharmacy Workforce Intelligence: Global Trends Report 2018","type":"book"},"uris":["http://www.mendeley.com/documents/?uuid=4a54e41f-357e-4a46-9056-ad429f60f563"]}],"mendeley":{"formattedCitation":"(Bates &lt;i&gt;et al.&lt;/i&gt;, 2018)","manualFormatting":"Bates et al., (2018)","plainTextFormattedCitation":"(Bates et al., 2018)","previouslyFormattedCitation":"(Bates &lt;i&gt;et al.&lt;/i&gt;, 2018)"},"properties":{"noteIndex":0},"schema":"https://github.com/citation-style-language/schema/raw/master/csl-citation.json"}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 xml:space="preserve">Bates </w:t>
      </w:r>
      <w:r w:rsidRPr="00845AF7">
        <w:rPr>
          <w:rFonts w:ascii="Arial" w:hAnsi="Arial" w:cs="Arial"/>
          <w:i/>
          <w:noProof/>
          <w:sz w:val="24"/>
          <w:szCs w:val="24"/>
          <w:lang w:val="en-GB"/>
        </w:rPr>
        <w:t>et al.</w:t>
      </w:r>
      <w:r w:rsidRPr="00845AF7">
        <w:rPr>
          <w:rFonts w:ascii="Arial" w:hAnsi="Arial" w:cs="Arial"/>
          <w:noProof/>
          <w:sz w:val="24"/>
          <w:szCs w:val="24"/>
          <w:lang w:val="en-GB"/>
        </w:rPr>
        <w:t>, (2018)</w:t>
      </w:r>
      <w:r w:rsidRPr="00845AF7">
        <w:rPr>
          <w:rFonts w:ascii="Arial" w:hAnsi="Arial" w:cs="Arial"/>
          <w:sz w:val="24"/>
          <w:szCs w:val="24"/>
          <w:lang w:val="en-GB"/>
        </w:rPr>
        <w:fldChar w:fldCharType="end"/>
      </w:r>
      <w:r w:rsidRPr="00845AF7">
        <w:rPr>
          <w:rFonts w:ascii="Arial" w:hAnsi="Arial" w:cs="Arial"/>
          <w:sz w:val="24"/>
          <w:szCs w:val="24"/>
          <w:lang w:val="en-GB"/>
        </w:rPr>
        <w:t xml:space="preserve"> indicates that the density of pharmacists per 10,000 population in KSA in 2016 was 9.16; by comparing this figure with other high-income countries such as the UK (8.21), US (9.19), Canada (11.74) and Australia (12.59), it seems the status of pharmacy workforce in KSA is in line with these advanced countries. However,  the rate of pharmacists/10,000 population in this report  refers to all pharmacy related workforce (e.g. pharmacist practitioners, pharmaceutical scientists, pharmacy technicians and other pharmacy assistance, and preservice students/trainees) working in a diversity of settings (e.g. community pharmacy, hospital, research and development, academia, industry, military, regulatory and other sectors)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ISBN":"9780902936447","author":[{"dropping-particle":"","family":"Bates","given":"Ian","non-dropping-particle":"","parse-names":false,"suffix":""},{"dropping-particle":"","family":"Meilianyi","given":"Sherly","non-dropping-particle":"","parse-names":false,"suffix":""},{"dropping-particle":"","family":"John","given":"Christopher","non-dropping-particle":"","parse-names":false,"suffix":""},{"dropping-particle":"","family":"Bader","given":"Lina R.","non-dropping-particle":"","parse-names":false,"suffix":""}],"id":"ITEM-1","issued":{"date-parts":[["2018"]]},"title":"Pharmacy Workforce Intelligence: Global Trends Report 2018","type":"book"},"uris":["http://www.mendeley.com/documents/?uuid=4a54e41f-357e-4a46-9056-ad429f60f563"]}],"mendeley":{"formattedCitation":"(Bates &lt;i&gt;et al.&lt;/i&gt;, 2018)","plainTextFormattedCitation":"(Bates et al., 2018)","previouslyFormattedCitation":"(Bates &lt;i&gt;et al.&lt;/i&gt;, 2018)"},"properties":{"noteIndex":0},"schema":"https://github.com/citation-style-language/schema/raw/master/csl-citation.json"}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 xml:space="preserve">(Bates </w:t>
      </w:r>
      <w:r w:rsidRPr="00845AF7">
        <w:rPr>
          <w:rFonts w:ascii="Arial" w:hAnsi="Arial" w:cs="Arial"/>
          <w:i/>
          <w:noProof/>
          <w:sz w:val="24"/>
          <w:szCs w:val="24"/>
          <w:lang w:val="en-GB"/>
        </w:rPr>
        <w:t>et al.</w:t>
      </w:r>
      <w:r w:rsidRPr="00845AF7">
        <w:rPr>
          <w:rFonts w:ascii="Arial" w:hAnsi="Arial" w:cs="Arial"/>
          <w:noProof/>
          <w:sz w:val="24"/>
          <w:szCs w:val="24"/>
          <w:lang w:val="en-GB"/>
        </w:rPr>
        <w:t>, 2018)</w:t>
      </w:r>
      <w:r w:rsidRPr="00845AF7">
        <w:rPr>
          <w:rFonts w:ascii="Arial" w:hAnsi="Arial" w:cs="Arial"/>
          <w:sz w:val="24"/>
          <w:szCs w:val="24"/>
          <w:lang w:val="en-GB"/>
        </w:rPr>
        <w:fldChar w:fldCharType="end"/>
      </w:r>
      <w:r w:rsidRPr="00845AF7">
        <w:rPr>
          <w:rFonts w:ascii="Arial" w:hAnsi="Arial" w:cs="Arial"/>
          <w:sz w:val="24"/>
          <w:szCs w:val="24"/>
          <w:lang w:val="en-GB"/>
        </w:rPr>
        <w:t xml:space="preserve">. </w:t>
      </w:r>
    </w:p>
    <w:p w14:paraId="056B33C1" w14:textId="77777777" w:rsidR="009D2B25" w:rsidRPr="00845AF7" w:rsidRDefault="009D2B25" w:rsidP="009D2B25">
      <w:pPr>
        <w:autoSpaceDE w:val="0"/>
        <w:autoSpaceDN w:val="0"/>
        <w:adjustRightInd w:val="0"/>
        <w:spacing w:after="0" w:line="360" w:lineRule="auto"/>
        <w:rPr>
          <w:rFonts w:ascii="Arial" w:hAnsi="Arial" w:cs="Arial"/>
          <w:i/>
          <w:sz w:val="24"/>
          <w:szCs w:val="24"/>
          <w:shd w:val="clear" w:color="auto" w:fill="FFFFFF"/>
          <w:lang w:val="en-GB"/>
        </w:rPr>
      </w:pPr>
      <w:r w:rsidRPr="00845AF7">
        <w:rPr>
          <w:rFonts w:ascii="Arial" w:hAnsi="Arial" w:cs="Arial"/>
          <w:sz w:val="24"/>
          <w:szCs w:val="24"/>
          <w:lang w:val="en-GB"/>
        </w:rPr>
        <w:t>Shifting the pharmaceutical services in the PHCs in KSA from dispensing services to non-dispensing services is a significant contributory factor in the strategic transformation plan of Saudi MOH. Alomi (2017) claims that:</w:t>
      </w:r>
      <w:r w:rsidRPr="00845AF7">
        <w:rPr>
          <w:rFonts w:ascii="Arial" w:hAnsi="Arial" w:cs="Arial"/>
          <w:i/>
          <w:sz w:val="24"/>
          <w:szCs w:val="24"/>
          <w:lang w:val="en-GB"/>
        </w:rPr>
        <w:t xml:space="preserve"> </w:t>
      </w:r>
      <w:r w:rsidRPr="00845AF7">
        <w:rPr>
          <w:rFonts w:ascii="Arial" w:hAnsi="Arial" w:cs="Arial"/>
          <w:i/>
          <w:sz w:val="24"/>
          <w:szCs w:val="24"/>
          <w:shd w:val="clear" w:color="auto" w:fill="FFFFFF"/>
          <w:lang w:val="en-GB"/>
        </w:rPr>
        <w:t>‘Most of the pharmaceutical care services will switch from an inpatient pharmacy model to ambulatory care pharmacy model and all ambulatory care pharmaceutical care service will be provided through community pharmacy or retail pharmacy’</w:t>
      </w:r>
      <w:r w:rsidRPr="00845AF7">
        <w:rPr>
          <w:rFonts w:ascii="Arial" w:hAnsi="Arial" w:cs="Arial"/>
          <w:sz w:val="24"/>
          <w:szCs w:val="24"/>
          <w:lang w:val="en-GB"/>
        </w:rPr>
        <w:t xml:space="preserve">. Therefore, implementing new pharmaceutical care services in PHC in KSA is necessary to maintain the existence of pharmaceutical professionals in these settings. This was supported by the former general manager of general administration of pharmaceutical care in the Saudi Ministry of Health and the head of the Saudi Clinical Pharmacy Forum and Pharmacy Research and Development (R &amp; D) Administration in SA, who states that the proposed new pharmacy model in the Saudi MOH will let pharmacists provide pharmaceutical care with more clinical roles (a change that has come about because of the growth in the chronic disease population and to accomplish the Saudi vision 2030), and a more significant focus on the primary health care setting to manage these targeted populations </w:t>
      </w:r>
      <w:r w:rsidRPr="00845AF7">
        <w:rPr>
          <w:rFonts w:ascii="Arial" w:hAnsi="Arial" w:cs="Arial"/>
          <w:sz w:val="24"/>
          <w:szCs w:val="24"/>
          <w:lang w:val="en-GB"/>
        </w:rPr>
        <w:fldChar w:fldCharType="begin" w:fldLock="1"/>
      </w:r>
      <w:r w:rsidRPr="00845AF7">
        <w:rPr>
          <w:rFonts w:ascii="Arial" w:hAnsi="Arial" w:cs="Arial"/>
          <w:sz w:val="24"/>
          <w:szCs w:val="24"/>
          <w:lang w:val="en-GB"/>
        </w:rPr>
        <w:instrText>ADDIN CSL_CITATION {"citationItems":[{"id":"ITEM-1","itemData":{"DOI":"10.5530/jppcm.2017.3.40","author":[{"dropping-particle":"","family":"Alomi","given":"Yousef Ahmed","non-dropping-particle":"","parse-names":false,"suffix":""}],"container-title":"Journal of Pharmacy Practice and Community Medicine","id":"ITEM-1","issue":"3","issued":{"date-parts":[["2017"]]},"page":"194-196","title":"New Pharmacy Model for Vision 2030 in Saudi Arabia","type":"article-journal","volume":"3"},"uris":["http://www.mendeley.com/documents/?uuid=052cc1bf-6e7d-4fdc-a5cd-783b51865f08"]}],"mendeley":{"formattedCitation":"(Alomi, 2017)","plainTextFormattedCitation":"(Alomi, 2017)","previouslyFormattedCitation":"(Alomi, 2017)"},"properties":{"noteIndex":0},"schema":"https://github.com/citation-style-language/schema/raw/master/csl-citation.json"}</w:instrText>
      </w:r>
      <w:r w:rsidRPr="00845AF7">
        <w:rPr>
          <w:rFonts w:ascii="Arial" w:hAnsi="Arial" w:cs="Arial"/>
          <w:sz w:val="24"/>
          <w:szCs w:val="24"/>
          <w:lang w:val="en-GB"/>
        </w:rPr>
        <w:fldChar w:fldCharType="separate"/>
      </w:r>
      <w:r w:rsidRPr="00845AF7">
        <w:rPr>
          <w:rFonts w:ascii="Arial" w:hAnsi="Arial" w:cs="Arial"/>
          <w:noProof/>
          <w:sz w:val="24"/>
          <w:szCs w:val="24"/>
          <w:lang w:val="en-GB"/>
        </w:rPr>
        <w:t>(Alomi, 2017)</w:t>
      </w:r>
      <w:r w:rsidRPr="00845AF7">
        <w:rPr>
          <w:rFonts w:ascii="Arial" w:hAnsi="Arial" w:cs="Arial"/>
          <w:sz w:val="24"/>
          <w:szCs w:val="24"/>
          <w:lang w:val="en-GB"/>
        </w:rPr>
        <w:fldChar w:fldCharType="end"/>
      </w:r>
      <w:r w:rsidRPr="00845AF7">
        <w:rPr>
          <w:rFonts w:ascii="Arial" w:hAnsi="Arial" w:cs="Arial"/>
          <w:sz w:val="24"/>
          <w:szCs w:val="24"/>
          <w:lang w:val="en-GB"/>
        </w:rPr>
        <w:t xml:space="preserve">. </w:t>
      </w:r>
    </w:p>
    <w:p w14:paraId="7CAD36D8" w14:textId="77777777" w:rsidR="009D2B25" w:rsidRDefault="009D2B25" w:rsidP="009D2B25">
      <w:pPr>
        <w:autoSpaceDE w:val="0"/>
        <w:autoSpaceDN w:val="0"/>
        <w:adjustRightInd w:val="0"/>
        <w:spacing w:after="0" w:line="360" w:lineRule="auto"/>
        <w:rPr>
          <w:rFonts w:ascii="Arial" w:hAnsi="Arial" w:cs="Arial"/>
          <w:sz w:val="24"/>
          <w:szCs w:val="24"/>
          <w:lang w:val="en-GB"/>
        </w:rPr>
      </w:pPr>
      <w:r w:rsidRPr="00845AF7">
        <w:rPr>
          <w:rFonts w:ascii="Arial" w:hAnsi="Arial" w:cs="Arial"/>
          <w:sz w:val="24"/>
          <w:szCs w:val="24"/>
          <w:lang w:val="en-GB"/>
        </w:rPr>
        <w:t xml:space="preserve">Pharmacists in advanced countries, such as the USA, the UK and Canada, </w:t>
      </w:r>
      <w:r w:rsidRPr="00845AF7">
        <w:rPr>
          <w:rFonts w:ascii="Arial" w:hAnsi="Arial" w:cs="Arial"/>
          <w:color w:val="000000" w:themeColor="text1"/>
          <w:sz w:val="24"/>
          <w:szCs w:val="24"/>
          <w:lang w:val="en-GB"/>
        </w:rPr>
        <w:t xml:space="preserve">have roles in several healthcare services such as carrying out </w:t>
      </w:r>
      <w:r w:rsidRPr="00845AF7">
        <w:rPr>
          <w:rFonts w:ascii="Arial" w:hAnsi="Arial" w:cs="Arial"/>
          <w:sz w:val="24"/>
          <w:szCs w:val="24"/>
          <w:lang w:val="en-GB"/>
        </w:rPr>
        <w:t>medication reviews, running disease management clinics, medication information resource, health promotion and education and counselling. Pharmacists are in a position to provide these services effectively because they are experts in medication use and safety</w:t>
      </w:r>
      <w:r w:rsidRPr="00845AF7">
        <w:rPr>
          <w:rFonts w:ascii="Arial" w:hAnsi="Arial" w:cs="Arial"/>
          <w:sz w:val="24"/>
          <w:szCs w:val="24"/>
        </w:rPr>
        <w:t xml:space="preserve"> </w:t>
      </w:r>
      <w:r w:rsidRPr="00845AF7">
        <w:rPr>
          <w:rFonts w:ascii="Arial" w:hAnsi="Arial" w:cs="Arial"/>
          <w:sz w:val="24"/>
          <w:szCs w:val="24"/>
        </w:rPr>
        <w:fldChar w:fldCharType="begin" w:fldLock="1"/>
      </w:r>
      <w:r w:rsidRPr="00845AF7">
        <w:rPr>
          <w:rFonts w:ascii="Arial" w:hAnsi="Arial" w:cs="Arial"/>
          <w:sz w:val="24"/>
          <w:szCs w:val="24"/>
        </w:rPr>
        <w:instrText>ADDIN CSL_CITATION {"citationItems":[{"id":"ITEM-1","itemData":{"DOI":"10.1016/j.sapharm.2013.08.006","abstract":"Background: Integration of pharmacists into primary care general practice clinics has the potential to improve interdisciplinary teamwork and patient care; however this practice is not widespread. Objective: The aim of this study was to review the effectiveness of clinical pharmacist services delivered in primary care general practice clinics. Methods: A systematic review of English language randomized controlled trials cited in the Cochrane Central Register of Controlled Trials, MEDLINE, EMBASE and International Pharmaceutical Abstracts was conducted. Studies were included if pharmacists had a regular and ongoing relationship with the clinic; delivered an intervention aimed at optimizing prescribing for, and/or medication use by, clinic patients; and were physically present within the clinic for all or part of the intervention, or for communication with staff. The search generated 1484 articles. After removal of duplicates and screening of titles and abstracts against inclusion criteria, 131 articles remained. A total of 38 studies were included in the review and assessed for quality. Seventeen studies had common endpoints (blood pressure, glycosylated hemoglobin, cholesterol and/or Framingham risk score) and were included in meta-analyses. Results: Twenty-nine of the 38 studies recruited patients with specific medical conditions, most commonly cardiovascular disease (15 studies) and/or diabetes (9 studies). The remaining 9 studies recruited patients at general risk of medication misadventure. Pharmacist interventions usually involved medication review (86.8%), with or without other activities delivered collaboratively with the general practitioner (family physician). Positive effects on primary outcomes related to medication use or clinical outcomes were reported in 19 studies, mixed effects in six studies, and no effect in 13 studies. The results of meta-analyses favored the pharmacist intervention, with significant improvements in blood pressure, glycosylated hemoglobin, cholesterol and Framingham risk score in intervention patients compared to control patients. Conclusions: Pharmacists co-located in general practice clinics delivered a range of interventions, with favorable results in various areas of chronic disease management and quality use of medicines.","author":[{"dropping-particle":"","family":"Tan","given":"Edwin C K","non-dropping-particle":"","parse-names":false,"suffix":""},{"dropping-particle":"","family":"Stewart","given":"Kay","non-dropping-particle":"","parse-names":false,"suffix":""},{"dropping-particle":"","family":"Elliott","given":"Rohan A","non-dropping-particle":"","parse-names":false,"suffix":""},{"dropping-particle":"","family":"Clin","given":"M Pharm","non-dropping-particle":"","parse-names":false,"suffix":""},{"dropping-particle":"","family":"George","given":"Johnson","non-dropping-particle":"","parse-names":false,"suffix":""}],"id":"ITEM-1","issued":{"date-parts":[["0"]]},"title":"Pharmacist services provided in general practice clinics: A systematic review and meta-analysis","type":"article-journal"},"uris":["http://www.mendeley.com/documents/?uuid=b70f418c-5171-3ac7-8bc7-8a75712412f7"]}],"mendeley":{"formattedCitation":"(Tan &lt;i&gt;et al.&lt;/i&gt;, no date)","manualFormatting":"(Tan et al., 2014)","plainTextFormattedCitation":"(Tan et al., no date)","previouslyFormattedCitation":"(Tan &lt;i&gt;et al.&lt;/i&gt;, no date)"},"properties":{"noteIndex":0},"schema":"https://github.com/citation-style-language/schema/raw/master/csl-citation.json"}</w:instrText>
      </w:r>
      <w:r w:rsidRPr="00845AF7">
        <w:rPr>
          <w:rFonts w:ascii="Arial" w:hAnsi="Arial" w:cs="Arial"/>
          <w:sz w:val="24"/>
          <w:szCs w:val="24"/>
        </w:rPr>
        <w:fldChar w:fldCharType="separate"/>
      </w:r>
      <w:r w:rsidRPr="00845AF7">
        <w:rPr>
          <w:rFonts w:ascii="Arial" w:hAnsi="Arial" w:cs="Arial"/>
          <w:noProof/>
          <w:sz w:val="24"/>
          <w:szCs w:val="24"/>
        </w:rPr>
        <w:t xml:space="preserve">(Tan </w:t>
      </w:r>
      <w:r w:rsidRPr="00845AF7">
        <w:rPr>
          <w:rFonts w:ascii="Arial" w:hAnsi="Arial" w:cs="Arial"/>
          <w:iCs/>
          <w:noProof/>
          <w:sz w:val="24"/>
          <w:szCs w:val="24"/>
        </w:rPr>
        <w:t xml:space="preserve">et al., </w:t>
      </w:r>
      <w:r w:rsidRPr="00845AF7">
        <w:rPr>
          <w:rFonts w:ascii="Arial" w:hAnsi="Arial" w:cs="Arial"/>
          <w:noProof/>
          <w:sz w:val="24"/>
          <w:szCs w:val="24"/>
        </w:rPr>
        <w:t>2014)</w:t>
      </w:r>
      <w:r w:rsidRPr="00845AF7">
        <w:rPr>
          <w:rFonts w:ascii="Arial" w:hAnsi="Arial" w:cs="Arial"/>
          <w:sz w:val="24"/>
          <w:szCs w:val="24"/>
        </w:rPr>
        <w:fldChar w:fldCharType="end"/>
      </w:r>
      <w:r w:rsidRPr="00845AF7">
        <w:rPr>
          <w:rFonts w:ascii="Arial" w:hAnsi="Arial" w:cs="Arial"/>
          <w:sz w:val="24"/>
          <w:szCs w:val="24"/>
        </w:rPr>
        <w:t xml:space="preserve">. </w:t>
      </w:r>
      <w:r w:rsidRPr="00845AF7">
        <w:rPr>
          <w:rFonts w:ascii="Arial" w:hAnsi="Arial" w:cs="Arial"/>
          <w:sz w:val="24"/>
          <w:szCs w:val="24"/>
          <w:lang w:val="en-GB"/>
        </w:rPr>
        <w:t xml:space="preserve">Therefore, practice pharmacists in PHCs in KSA could perform a range of functions, including clinical and administrative duties based on their expertise. </w:t>
      </w:r>
    </w:p>
    <w:p w14:paraId="1C1E0477" w14:textId="77777777" w:rsidR="009D2B25" w:rsidRDefault="009D2B25" w:rsidP="009D2B25">
      <w:pPr>
        <w:rPr>
          <w:rFonts w:ascii="Arial" w:hAnsi="Arial" w:cs="Arial"/>
          <w:lang w:val="en-GB"/>
        </w:rPr>
        <w:sectPr w:rsidR="009D2B25">
          <w:pgSz w:w="12240" w:h="15840"/>
          <w:pgMar w:top="1440" w:right="1440" w:bottom="1440" w:left="1440" w:header="720" w:footer="720" w:gutter="0"/>
          <w:cols w:space="720"/>
          <w:docGrid w:linePitch="360"/>
        </w:sectPr>
      </w:pPr>
    </w:p>
    <w:p w14:paraId="469E16C8" w14:textId="77777777" w:rsidR="009D2B25" w:rsidRPr="00FB595A" w:rsidRDefault="009D2B25" w:rsidP="009D2B25">
      <w:pPr>
        <w:pStyle w:val="Heading1"/>
        <w:rPr>
          <w:sz w:val="24"/>
          <w:szCs w:val="24"/>
        </w:rPr>
      </w:pPr>
      <w:bookmarkStart w:id="352" w:name="_Ref122736791"/>
      <w:bookmarkStart w:id="353" w:name="_Ref127377433"/>
      <w:bookmarkStart w:id="354" w:name="_Toc127835994"/>
      <w:bookmarkStart w:id="355" w:name="_Toc128061924"/>
      <w:bookmarkStart w:id="356" w:name="_Toc148518768"/>
      <w:bookmarkStart w:id="357" w:name="_Toc150609777"/>
      <w:bookmarkStart w:id="358" w:name="_Toc153894234"/>
      <w:r w:rsidRPr="00FB595A">
        <w:rPr>
          <w:sz w:val="24"/>
          <w:szCs w:val="24"/>
        </w:rPr>
        <w:t xml:space="preserve">Appendix G: </w:t>
      </w:r>
      <w:bookmarkEnd w:id="352"/>
      <w:r w:rsidRPr="00FB595A">
        <w:rPr>
          <w:sz w:val="24"/>
          <w:szCs w:val="24"/>
        </w:rPr>
        <w:t>Diabetes-Related Services that can be provided by pharmacists</w:t>
      </w:r>
      <w:bookmarkEnd w:id="353"/>
      <w:bookmarkEnd w:id="354"/>
      <w:bookmarkEnd w:id="355"/>
      <w:bookmarkEnd w:id="356"/>
      <w:bookmarkEnd w:id="357"/>
      <w:bookmarkEnd w:id="358"/>
      <w:r w:rsidRPr="00FB595A">
        <w:rPr>
          <w:sz w:val="24"/>
          <w:szCs w:val="24"/>
        </w:rPr>
        <w:t xml:space="preserve"> </w:t>
      </w:r>
    </w:p>
    <w:tbl>
      <w:tblPr>
        <w:tblpPr w:leftFromText="180" w:rightFromText="180" w:vertAnchor="page" w:horzAnchor="margin" w:tblpXSpec="center" w:tblpY="1965"/>
        <w:tblW w:w="14562" w:type="dxa"/>
        <w:tblLook w:val="04A0" w:firstRow="1" w:lastRow="0" w:firstColumn="1" w:lastColumn="0" w:noHBand="0" w:noVBand="1"/>
      </w:tblPr>
      <w:tblGrid>
        <w:gridCol w:w="2576"/>
        <w:gridCol w:w="3128"/>
        <w:gridCol w:w="8858"/>
      </w:tblGrid>
      <w:tr w:rsidR="009D2B25" w:rsidRPr="00A0580E" w14:paraId="43C135E1" w14:textId="77777777" w:rsidTr="00282204">
        <w:trPr>
          <w:trHeight w:val="180"/>
          <w:tblHeader/>
        </w:trPr>
        <w:tc>
          <w:tcPr>
            <w:tcW w:w="2576" w:type="dxa"/>
            <w:tcBorders>
              <w:bottom w:val="single" w:sz="4" w:space="0" w:color="auto"/>
            </w:tcBorders>
            <w:shd w:val="clear" w:color="auto" w:fill="auto"/>
            <w:noWrap/>
            <w:hideMark/>
          </w:tcPr>
          <w:p w14:paraId="39DCD06C" w14:textId="77777777" w:rsidR="009D2B25" w:rsidRPr="00A0580E" w:rsidRDefault="009D2B25" w:rsidP="00282204">
            <w:pPr>
              <w:spacing w:after="0" w:line="240" w:lineRule="auto"/>
              <w:rPr>
                <w:rFonts w:eastAsia="Times New Roman" w:cstheme="minorHAnsi"/>
                <w:color w:val="000000"/>
                <w:sz w:val="18"/>
                <w:szCs w:val="18"/>
              </w:rPr>
            </w:pPr>
            <w:r w:rsidRPr="00A0580E">
              <w:rPr>
                <w:rFonts w:eastAsia="Times New Roman" w:cstheme="minorHAnsi"/>
                <w:color w:val="000000"/>
                <w:sz w:val="18"/>
                <w:szCs w:val="18"/>
              </w:rPr>
              <w:t>Diabetes related services</w:t>
            </w:r>
          </w:p>
        </w:tc>
        <w:tc>
          <w:tcPr>
            <w:tcW w:w="3128" w:type="dxa"/>
            <w:tcBorders>
              <w:bottom w:val="single" w:sz="4" w:space="0" w:color="auto"/>
            </w:tcBorders>
            <w:shd w:val="clear" w:color="auto" w:fill="auto"/>
            <w:noWrap/>
            <w:hideMark/>
          </w:tcPr>
          <w:p w14:paraId="673489F0" w14:textId="77777777" w:rsidR="009D2B25" w:rsidRPr="00A0580E" w:rsidRDefault="009D2B25" w:rsidP="00282204">
            <w:pPr>
              <w:spacing w:after="0" w:line="240" w:lineRule="auto"/>
              <w:rPr>
                <w:rFonts w:eastAsia="Times New Roman" w:cstheme="minorHAnsi"/>
                <w:color w:val="000000"/>
                <w:sz w:val="18"/>
                <w:szCs w:val="18"/>
              </w:rPr>
            </w:pPr>
            <w:r w:rsidRPr="00A0580E">
              <w:rPr>
                <w:rFonts w:eastAsia="Times New Roman" w:cstheme="minorHAnsi"/>
                <w:color w:val="000000"/>
                <w:sz w:val="18"/>
                <w:szCs w:val="18"/>
              </w:rPr>
              <w:t>Aim</w:t>
            </w:r>
          </w:p>
        </w:tc>
        <w:tc>
          <w:tcPr>
            <w:tcW w:w="8858" w:type="dxa"/>
            <w:tcBorders>
              <w:bottom w:val="single" w:sz="4" w:space="0" w:color="auto"/>
            </w:tcBorders>
            <w:shd w:val="clear" w:color="auto" w:fill="auto"/>
            <w:noWrap/>
            <w:hideMark/>
          </w:tcPr>
          <w:p w14:paraId="659C99B2" w14:textId="77777777" w:rsidR="009D2B25" w:rsidRPr="00A0580E" w:rsidRDefault="009D2B25" w:rsidP="00282204">
            <w:pPr>
              <w:spacing w:after="0" w:line="240" w:lineRule="auto"/>
              <w:rPr>
                <w:rFonts w:eastAsia="Times New Roman" w:cstheme="minorHAnsi"/>
                <w:color w:val="000000"/>
                <w:sz w:val="18"/>
                <w:szCs w:val="18"/>
              </w:rPr>
            </w:pPr>
            <w:r w:rsidRPr="00A0580E">
              <w:rPr>
                <w:rFonts w:eastAsia="Times New Roman" w:cstheme="minorHAnsi"/>
                <w:color w:val="000000"/>
                <w:sz w:val="18"/>
                <w:szCs w:val="18"/>
              </w:rPr>
              <w:t>Includes</w:t>
            </w:r>
          </w:p>
        </w:tc>
      </w:tr>
      <w:tr w:rsidR="009D2B25" w:rsidRPr="003F2B86" w14:paraId="1B73315F" w14:textId="77777777" w:rsidTr="00282204">
        <w:trPr>
          <w:trHeight w:val="1445"/>
        </w:trPr>
        <w:tc>
          <w:tcPr>
            <w:tcW w:w="2576" w:type="dxa"/>
            <w:tcBorders>
              <w:top w:val="single" w:sz="4" w:space="0" w:color="auto"/>
              <w:bottom w:val="single" w:sz="4" w:space="0" w:color="auto"/>
            </w:tcBorders>
            <w:shd w:val="clear" w:color="auto" w:fill="auto"/>
            <w:noWrap/>
            <w:hideMark/>
          </w:tcPr>
          <w:p w14:paraId="663CC803"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“Blood glucose monitoring”</w:t>
            </w:r>
          </w:p>
          <w:p w14:paraId="44D1FBAC" w14:textId="77777777" w:rsidR="009D2B25" w:rsidRPr="003F2B86" w:rsidRDefault="009D2B25" w:rsidP="00282204">
            <w:pPr>
              <w:spacing w:after="0" w:line="240" w:lineRule="auto"/>
              <w:rPr>
                <w:rFonts w:eastAsia="Times New Roman" w:cstheme="minorHAnsi"/>
                <w:i/>
                <w:iCs/>
                <w:color w:val="000000"/>
                <w:sz w:val="16"/>
                <w:szCs w:val="16"/>
              </w:rPr>
            </w:pPr>
          </w:p>
          <w:p w14:paraId="46B0D47E" w14:textId="77777777" w:rsidR="009D2B25" w:rsidRPr="003F2B86" w:rsidRDefault="009D2B25" w:rsidP="00282204">
            <w:pPr>
              <w:spacing w:after="0" w:line="240" w:lineRule="auto"/>
              <w:rPr>
                <w:rFonts w:eastAsia="Times New Roman" w:cstheme="minorHAnsi"/>
                <w:i/>
                <w:iCs/>
                <w:color w:val="000000"/>
                <w:sz w:val="16"/>
                <w:szCs w:val="16"/>
              </w:rPr>
            </w:pPr>
          </w:p>
          <w:p w14:paraId="08D4CBE8" w14:textId="77777777" w:rsidR="009D2B25" w:rsidRPr="003F2B86" w:rsidRDefault="009D2B25" w:rsidP="00282204">
            <w:pPr>
              <w:spacing w:after="0" w:line="240" w:lineRule="auto"/>
              <w:rPr>
                <w:rFonts w:eastAsia="Times New Roman" w:cstheme="minorHAnsi"/>
                <w:i/>
                <w:iCs/>
                <w:color w:val="000000"/>
                <w:sz w:val="16"/>
                <w:szCs w:val="16"/>
              </w:rPr>
            </w:pPr>
          </w:p>
        </w:tc>
        <w:tc>
          <w:tcPr>
            <w:tcW w:w="3128" w:type="dxa"/>
            <w:tcBorders>
              <w:top w:val="single" w:sz="4" w:space="0" w:color="auto"/>
              <w:bottom w:val="single" w:sz="4" w:space="0" w:color="auto"/>
            </w:tcBorders>
            <w:shd w:val="clear" w:color="auto" w:fill="auto"/>
            <w:noWrap/>
            <w:hideMark/>
          </w:tcPr>
          <w:p w14:paraId="669F267F" w14:textId="77777777" w:rsidR="009D2B25" w:rsidRPr="003F2B86"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To monitor blood glucose levels to check if blood glucose control is affected by any new medications, diabetes treatment changes, lifestyle changes, or over the counter or herbal products</w:t>
            </w:r>
          </w:p>
          <w:p w14:paraId="0294BE37" w14:textId="77777777" w:rsidR="009D2B25" w:rsidRPr="003F2B86" w:rsidRDefault="009D2B25" w:rsidP="00282204">
            <w:pPr>
              <w:spacing w:after="0" w:line="240" w:lineRule="auto"/>
              <w:rPr>
                <w:rFonts w:eastAsia="Times New Roman" w:cstheme="minorHAnsi"/>
                <w:color w:val="000000"/>
                <w:sz w:val="16"/>
                <w:szCs w:val="16"/>
              </w:rPr>
            </w:pPr>
          </w:p>
          <w:p w14:paraId="1F5202EC" w14:textId="77777777" w:rsidR="009D2B25" w:rsidRPr="003F2B86" w:rsidRDefault="009D2B25" w:rsidP="00282204">
            <w:pPr>
              <w:spacing w:after="0" w:line="240" w:lineRule="auto"/>
              <w:rPr>
                <w:rFonts w:eastAsia="Times New Roman" w:cstheme="minorHAnsi"/>
                <w:color w:val="000000"/>
                <w:sz w:val="16"/>
                <w:szCs w:val="16"/>
              </w:rPr>
            </w:pPr>
          </w:p>
        </w:tc>
        <w:tc>
          <w:tcPr>
            <w:tcW w:w="8858" w:type="dxa"/>
            <w:tcBorders>
              <w:top w:val="single" w:sz="4" w:space="0" w:color="auto"/>
              <w:bottom w:val="single" w:sz="4" w:space="0" w:color="auto"/>
            </w:tcBorders>
            <w:shd w:val="clear" w:color="auto" w:fill="auto"/>
            <w:noWrap/>
            <w:hideMark/>
          </w:tcPr>
          <w:p w14:paraId="2846E165"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color w:val="000000"/>
                <w:sz w:val="16"/>
                <w:szCs w:val="16"/>
              </w:rPr>
              <w:t>“</w:t>
            </w:r>
            <w:r w:rsidRPr="003F2B86">
              <w:rPr>
                <w:rFonts w:eastAsia="Times New Roman" w:cstheme="minorHAnsi"/>
                <w:i/>
                <w:iCs/>
                <w:color w:val="000000"/>
                <w:sz w:val="16"/>
                <w:szCs w:val="16"/>
              </w:rPr>
              <w:t>Counsel on the use of a blood glucose meter”</w:t>
            </w:r>
          </w:p>
          <w:p w14:paraId="42419903"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“Counsel on the use of a blood glucose meter”</w:t>
            </w:r>
          </w:p>
          <w:p w14:paraId="6997E034"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“Counsel on the appropriate times to check blood glucose”</w:t>
            </w:r>
          </w:p>
          <w:p w14:paraId="02811C1D"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“Counsel on the current treatment targets for blood glucose”</w:t>
            </w:r>
          </w:p>
          <w:p w14:paraId="2E202342"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“Counsel on the interpretation of A1C results”</w:t>
            </w:r>
          </w:p>
          <w:p w14:paraId="21F56097"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“Provide drug therapy recommendations to the physician to help the patient reach blood glucose targets”</w:t>
            </w:r>
          </w:p>
          <w:p w14:paraId="5D874184" w14:textId="77777777" w:rsidR="009D2B25" w:rsidRPr="003F2B86"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Ordering laboratory tests and referring to the physician as necessary</w:t>
            </w:r>
          </w:p>
          <w:p w14:paraId="28E95BCB" w14:textId="77777777" w:rsidR="009D2B25" w:rsidRPr="003F2B86" w:rsidRDefault="009D2B25" w:rsidP="00282204">
            <w:pPr>
              <w:spacing w:after="0" w:line="240" w:lineRule="auto"/>
              <w:rPr>
                <w:rFonts w:eastAsia="Times New Roman" w:cstheme="minorHAnsi"/>
                <w:color w:val="000000"/>
                <w:sz w:val="16"/>
                <w:szCs w:val="16"/>
              </w:rPr>
            </w:pPr>
          </w:p>
        </w:tc>
      </w:tr>
      <w:tr w:rsidR="009D2B25" w:rsidRPr="003F2B86" w14:paraId="3974DC7D" w14:textId="77777777" w:rsidTr="00282204">
        <w:trPr>
          <w:trHeight w:val="438"/>
        </w:trPr>
        <w:tc>
          <w:tcPr>
            <w:tcW w:w="2576" w:type="dxa"/>
            <w:tcBorders>
              <w:top w:val="single" w:sz="4" w:space="0" w:color="auto"/>
              <w:bottom w:val="single" w:sz="4" w:space="0" w:color="auto"/>
            </w:tcBorders>
            <w:shd w:val="clear" w:color="auto" w:fill="auto"/>
            <w:noWrap/>
            <w:hideMark/>
          </w:tcPr>
          <w:p w14:paraId="2D39CCF3"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“Pharmacotherapy”</w:t>
            </w:r>
          </w:p>
          <w:p w14:paraId="1D784C0A" w14:textId="77777777" w:rsidR="009D2B25" w:rsidRPr="003F2B86" w:rsidRDefault="009D2B25" w:rsidP="00282204">
            <w:pPr>
              <w:spacing w:after="0" w:line="240" w:lineRule="auto"/>
              <w:rPr>
                <w:rFonts w:eastAsia="Times New Roman" w:cstheme="minorHAnsi"/>
                <w:i/>
                <w:iCs/>
                <w:color w:val="000000"/>
                <w:sz w:val="16"/>
                <w:szCs w:val="16"/>
              </w:rPr>
            </w:pPr>
          </w:p>
          <w:p w14:paraId="2B09D33B" w14:textId="77777777" w:rsidR="009D2B25" w:rsidRPr="003F2B86" w:rsidRDefault="009D2B25" w:rsidP="00282204">
            <w:pPr>
              <w:spacing w:after="0" w:line="240" w:lineRule="auto"/>
              <w:rPr>
                <w:rFonts w:eastAsia="Times New Roman" w:cstheme="minorHAnsi"/>
                <w:i/>
                <w:iCs/>
                <w:color w:val="000000"/>
                <w:sz w:val="16"/>
                <w:szCs w:val="16"/>
              </w:rPr>
            </w:pPr>
          </w:p>
          <w:p w14:paraId="32F94FBB" w14:textId="77777777" w:rsidR="009D2B25" w:rsidRPr="003F2B86" w:rsidRDefault="009D2B25" w:rsidP="00282204">
            <w:pPr>
              <w:spacing w:after="0" w:line="240" w:lineRule="auto"/>
              <w:rPr>
                <w:rFonts w:eastAsia="Times New Roman" w:cstheme="minorHAnsi"/>
                <w:i/>
                <w:iCs/>
                <w:color w:val="000000"/>
                <w:sz w:val="16"/>
                <w:szCs w:val="16"/>
              </w:rPr>
            </w:pPr>
          </w:p>
          <w:p w14:paraId="217495D9" w14:textId="77777777" w:rsidR="009D2B25" w:rsidRPr="003F2B86" w:rsidRDefault="009D2B25" w:rsidP="00282204">
            <w:pPr>
              <w:spacing w:after="0" w:line="240" w:lineRule="auto"/>
              <w:rPr>
                <w:rFonts w:eastAsia="Times New Roman" w:cstheme="minorHAnsi"/>
                <w:i/>
                <w:iCs/>
                <w:color w:val="000000"/>
                <w:sz w:val="16"/>
                <w:szCs w:val="16"/>
              </w:rPr>
            </w:pPr>
          </w:p>
          <w:p w14:paraId="10A5624D" w14:textId="77777777" w:rsidR="009D2B25" w:rsidRPr="003F2B86" w:rsidRDefault="009D2B25" w:rsidP="00282204">
            <w:pPr>
              <w:spacing w:after="0" w:line="240" w:lineRule="auto"/>
              <w:rPr>
                <w:rFonts w:eastAsia="Times New Roman" w:cstheme="minorHAnsi"/>
                <w:i/>
                <w:iCs/>
                <w:color w:val="000000"/>
                <w:sz w:val="16"/>
                <w:szCs w:val="16"/>
              </w:rPr>
            </w:pPr>
          </w:p>
          <w:p w14:paraId="33B8EDDA" w14:textId="77777777" w:rsidR="009D2B25" w:rsidRPr="003F2B86" w:rsidRDefault="009D2B25" w:rsidP="00282204">
            <w:pPr>
              <w:spacing w:after="0" w:line="240" w:lineRule="auto"/>
              <w:rPr>
                <w:rFonts w:eastAsia="Times New Roman" w:cstheme="minorHAnsi"/>
                <w:i/>
                <w:iCs/>
                <w:color w:val="000000"/>
                <w:sz w:val="16"/>
                <w:szCs w:val="16"/>
              </w:rPr>
            </w:pPr>
          </w:p>
          <w:p w14:paraId="5889A1C8" w14:textId="77777777" w:rsidR="009D2B25" w:rsidRPr="003F2B86" w:rsidRDefault="009D2B25" w:rsidP="00282204">
            <w:pPr>
              <w:spacing w:after="0" w:line="240" w:lineRule="auto"/>
              <w:rPr>
                <w:rFonts w:eastAsia="Times New Roman" w:cstheme="minorHAnsi"/>
                <w:i/>
                <w:iCs/>
                <w:color w:val="000000"/>
                <w:sz w:val="16"/>
                <w:szCs w:val="16"/>
              </w:rPr>
            </w:pPr>
          </w:p>
          <w:p w14:paraId="33104A7A" w14:textId="77777777" w:rsidR="009D2B25" w:rsidRPr="003F2B86" w:rsidRDefault="009D2B25" w:rsidP="00282204">
            <w:pPr>
              <w:spacing w:after="0" w:line="240" w:lineRule="auto"/>
              <w:rPr>
                <w:rFonts w:eastAsia="Times New Roman" w:cstheme="minorHAnsi"/>
                <w:i/>
                <w:iCs/>
                <w:color w:val="000000"/>
                <w:sz w:val="16"/>
                <w:szCs w:val="16"/>
              </w:rPr>
            </w:pPr>
          </w:p>
          <w:p w14:paraId="1305F57A" w14:textId="77777777" w:rsidR="009D2B25" w:rsidRPr="003F2B86" w:rsidRDefault="009D2B25" w:rsidP="00282204">
            <w:pPr>
              <w:spacing w:after="0" w:line="240" w:lineRule="auto"/>
              <w:rPr>
                <w:rFonts w:eastAsia="Times New Roman" w:cstheme="minorHAnsi"/>
                <w:i/>
                <w:iCs/>
                <w:color w:val="000000"/>
                <w:sz w:val="16"/>
                <w:szCs w:val="16"/>
              </w:rPr>
            </w:pPr>
          </w:p>
        </w:tc>
        <w:tc>
          <w:tcPr>
            <w:tcW w:w="3128" w:type="dxa"/>
            <w:tcBorders>
              <w:top w:val="single" w:sz="4" w:space="0" w:color="auto"/>
              <w:bottom w:val="single" w:sz="4" w:space="0" w:color="auto"/>
            </w:tcBorders>
            <w:shd w:val="clear" w:color="auto" w:fill="auto"/>
            <w:noWrap/>
            <w:hideMark/>
          </w:tcPr>
          <w:p w14:paraId="66A703EA" w14:textId="77777777" w:rsidR="009D2B25" w:rsidRPr="003F2B86"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To design a personalised diabetes management plan to optimise medication-therapy regimens</w:t>
            </w:r>
          </w:p>
          <w:p w14:paraId="304E037F" w14:textId="77777777" w:rsidR="009D2B25" w:rsidRPr="003F2B86" w:rsidRDefault="009D2B25" w:rsidP="00282204">
            <w:pPr>
              <w:spacing w:after="0" w:line="240" w:lineRule="auto"/>
              <w:rPr>
                <w:rFonts w:eastAsia="Times New Roman" w:cstheme="minorHAnsi"/>
                <w:color w:val="000000"/>
                <w:sz w:val="16"/>
                <w:szCs w:val="16"/>
              </w:rPr>
            </w:pPr>
          </w:p>
          <w:p w14:paraId="3BE8F0A9" w14:textId="77777777" w:rsidR="009D2B25" w:rsidRPr="003F2B86" w:rsidRDefault="009D2B25" w:rsidP="00282204">
            <w:pPr>
              <w:spacing w:after="0" w:line="240" w:lineRule="auto"/>
              <w:rPr>
                <w:rFonts w:eastAsia="Times New Roman" w:cstheme="minorHAnsi"/>
                <w:color w:val="000000"/>
                <w:sz w:val="16"/>
                <w:szCs w:val="16"/>
              </w:rPr>
            </w:pPr>
          </w:p>
          <w:p w14:paraId="72654ED8" w14:textId="77777777" w:rsidR="009D2B25" w:rsidRPr="003F2B86" w:rsidRDefault="009D2B25" w:rsidP="00282204">
            <w:pPr>
              <w:spacing w:after="0" w:line="240" w:lineRule="auto"/>
              <w:rPr>
                <w:rFonts w:eastAsia="Times New Roman" w:cstheme="minorHAnsi"/>
                <w:color w:val="000000"/>
                <w:sz w:val="16"/>
                <w:szCs w:val="16"/>
              </w:rPr>
            </w:pPr>
          </w:p>
          <w:p w14:paraId="338EB14D" w14:textId="77777777" w:rsidR="009D2B25" w:rsidRPr="003F2B86" w:rsidRDefault="009D2B25" w:rsidP="00282204">
            <w:pPr>
              <w:spacing w:after="0" w:line="240" w:lineRule="auto"/>
              <w:rPr>
                <w:rFonts w:eastAsia="Times New Roman" w:cstheme="minorHAnsi"/>
                <w:color w:val="000000"/>
                <w:sz w:val="16"/>
                <w:szCs w:val="16"/>
              </w:rPr>
            </w:pPr>
          </w:p>
          <w:p w14:paraId="0434A221" w14:textId="77777777" w:rsidR="009D2B25" w:rsidRPr="003F2B86" w:rsidRDefault="009D2B25" w:rsidP="00282204">
            <w:pPr>
              <w:spacing w:after="0" w:line="240" w:lineRule="auto"/>
              <w:rPr>
                <w:rFonts w:eastAsia="Times New Roman" w:cstheme="minorHAnsi"/>
                <w:color w:val="000000"/>
                <w:sz w:val="16"/>
                <w:szCs w:val="16"/>
              </w:rPr>
            </w:pPr>
          </w:p>
          <w:p w14:paraId="723C8694" w14:textId="77777777" w:rsidR="009D2B25" w:rsidRPr="003F2B86" w:rsidRDefault="009D2B25" w:rsidP="00282204">
            <w:pPr>
              <w:spacing w:after="0" w:line="240" w:lineRule="auto"/>
              <w:rPr>
                <w:rFonts w:eastAsia="Times New Roman" w:cstheme="minorHAnsi"/>
                <w:color w:val="000000"/>
                <w:sz w:val="16"/>
                <w:szCs w:val="16"/>
              </w:rPr>
            </w:pPr>
          </w:p>
          <w:p w14:paraId="1703DD9F" w14:textId="77777777" w:rsidR="009D2B25" w:rsidRPr="003F2B86" w:rsidRDefault="009D2B25" w:rsidP="00282204">
            <w:pPr>
              <w:spacing w:after="0" w:line="240" w:lineRule="auto"/>
              <w:rPr>
                <w:rFonts w:eastAsia="Times New Roman" w:cstheme="minorHAnsi"/>
                <w:color w:val="000000"/>
                <w:sz w:val="16"/>
                <w:szCs w:val="16"/>
              </w:rPr>
            </w:pPr>
          </w:p>
        </w:tc>
        <w:tc>
          <w:tcPr>
            <w:tcW w:w="8858" w:type="dxa"/>
            <w:tcBorders>
              <w:top w:val="single" w:sz="4" w:space="0" w:color="auto"/>
              <w:bottom w:val="single" w:sz="4" w:space="0" w:color="auto"/>
            </w:tcBorders>
            <w:shd w:val="clear" w:color="auto" w:fill="auto"/>
            <w:noWrap/>
            <w:hideMark/>
          </w:tcPr>
          <w:p w14:paraId="0A59C800" w14:textId="77777777" w:rsidR="009D2B25" w:rsidRPr="003F2B86"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 xml:space="preserve">Taking patients' medication history, including prescription medications, over-the-counter products, herbal and natural products. </w:t>
            </w:r>
          </w:p>
          <w:p w14:paraId="315A540F" w14:textId="77777777" w:rsidR="009D2B25" w:rsidRPr="003F2B86"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 xml:space="preserve">Review the patient’s drug refill history to monitor patient adherence. </w:t>
            </w:r>
          </w:p>
          <w:p w14:paraId="715795CB"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color w:val="000000"/>
                <w:sz w:val="16"/>
                <w:szCs w:val="16"/>
              </w:rPr>
              <w:t>“</w:t>
            </w:r>
            <w:r w:rsidRPr="003F2B86">
              <w:rPr>
                <w:rFonts w:eastAsia="Times New Roman" w:cstheme="minorHAnsi"/>
                <w:i/>
                <w:iCs/>
                <w:color w:val="000000"/>
                <w:sz w:val="16"/>
                <w:szCs w:val="16"/>
              </w:rPr>
              <w:t xml:space="preserve">Counsel on the appropriate use of syringes and needles (e.g., sharp disposal)”. “Counsel on the appropriate use of insulin pens”, </w:t>
            </w:r>
          </w:p>
          <w:p w14:paraId="481A7E7D"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“Counsel on the appropriate storage of insulin”</w:t>
            </w:r>
          </w:p>
          <w:p w14:paraId="3B73510F"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“Counsel on appropriate insulin administration (mixing insulin, injection technique, timing of injection, rotation of sites)”</w:t>
            </w:r>
          </w:p>
          <w:p w14:paraId="51F98982"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“Describe the appropriate time to administer each oral antidiabetic drug”</w:t>
            </w:r>
          </w:p>
          <w:p w14:paraId="6D1D30FE"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“Describe potential adverse effects of each oral antidiabetic drug”</w:t>
            </w:r>
          </w:p>
          <w:p w14:paraId="13ED6847" w14:textId="77777777" w:rsidR="009D2B25" w:rsidRPr="003F2B86"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Providing medication review and adjustment of oral antihyperglycemic agents and insulins</w:t>
            </w:r>
          </w:p>
          <w:p w14:paraId="15C623C4" w14:textId="77777777" w:rsidR="009D2B25" w:rsidRPr="003F2B86" w:rsidRDefault="009D2B25" w:rsidP="00282204">
            <w:pPr>
              <w:spacing w:after="0" w:line="240" w:lineRule="auto"/>
              <w:rPr>
                <w:rFonts w:eastAsia="Times New Roman" w:cstheme="minorHAnsi"/>
                <w:color w:val="000000"/>
                <w:sz w:val="16"/>
                <w:szCs w:val="16"/>
              </w:rPr>
            </w:pPr>
          </w:p>
          <w:p w14:paraId="6D56E3FA" w14:textId="77777777" w:rsidR="009D2B25" w:rsidRPr="003F2B86" w:rsidRDefault="009D2B25" w:rsidP="00282204">
            <w:pPr>
              <w:spacing w:after="0" w:line="240" w:lineRule="auto"/>
              <w:rPr>
                <w:rFonts w:eastAsia="Times New Roman" w:cstheme="minorHAnsi"/>
                <w:color w:val="000000"/>
                <w:sz w:val="16"/>
                <w:szCs w:val="16"/>
              </w:rPr>
            </w:pPr>
          </w:p>
        </w:tc>
      </w:tr>
      <w:tr w:rsidR="009D2B25" w:rsidRPr="003F2B86" w14:paraId="75E09650" w14:textId="77777777" w:rsidTr="00282204">
        <w:trPr>
          <w:trHeight w:val="438"/>
        </w:trPr>
        <w:tc>
          <w:tcPr>
            <w:tcW w:w="2576" w:type="dxa"/>
            <w:tcBorders>
              <w:top w:val="single" w:sz="4" w:space="0" w:color="auto"/>
              <w:bottom w:val="single" w:sz="4" w:space="0" w:color="auto"/>
            </w:tcBorders>
            <w:shd w:val="clear" w:color="auto" w:fill="auto"/>
            <w:noWrap/>
            <w:hideMark/>
          </w:tcPr>
          <w:p w14:paraId="533B8C30" w14:textId="77777777" w:rsidR="009D2B25" w:rsidRPr="003F2B86" w:rsidRDefault="009D2B25" w:rsidP="00282204">
            <w:pPr>
              <w:spacing w:after="0" w:line="240" w:lineRule="auto"/>
              <w:rPr>
                <w:rFonts w:eastAsia="Times New Roman" w:cstheme="minorHAnsi"/>
                <w:i/>
                <w:iCs/>
                <w:color w:val="000000"/>
                <w:sz w:val="16"/>
                <w:szCs w:val="16"/>
                <w:lang w:val="en"/>
              </w:rPr>
            </w:pPr>
            <w:r w:rsidRPr="003F2B86">
              <w:rPr>
                <w:rFonts w:eastAsia="Times New Roman" w:cstheme="minorHAnsi"/>
                <w:i/>
                <w:iCs/>
                <w:color w:val="000000"/>
                <w:sz w:val="16"/>
                <w:szCs w:val="16"/>
                <w:lang w:val="en"/>
              </w:rPr>
              <w:t>“Comorbid disease management”</w:t>
            </w:r>
          </w:p>
          <w:p w14:paraId="2E7DF30B" w14:textId="77777777" w:rsidR="009D2B25" w:rsidRPr="003F2B86" w:rsidRDefault="009D2B25" w:rsidP="00282204">
            <w:pPr>
              <w:spacing w:after="0" w:line="240" w:lineRule="auto"/>
              <w:rPr>
                <w:rFonts w:eastAsia="Times New Roman" w:cstheme="minorHAnsi"/>
                <w:i/>
                <w:iCs/>
                <w:color w:val="000000"/>
                <w:sz w:val="16"/>
                <w:szCs w:val="16"/>
                <w:lang w:val="en"/>
              </w:rPr>
            </w:pPr>
          </w:p>
          <w:p w14:paraId="30E1AC29" w14:textId="77777777" w:rsidR="009D2B25" w:rsidRPr="003F2B86" w:rsidRDefault="009D2B25" w:rsidP="00282204">
            <w:pPr>
              <w:spacing w:after="0" w:line="240" w:lineRule="auto"/>
              <w:rPr>
                <w:rFonts w:eastAsia="Times New Roman" w:cstheme="minorHAnsi"/>
                <w:i/>
                <w:iCs/>
                <w:color w:val="000000"/>
                <w:sz w:val="16"/>
                <w:szCs w:val="16"/>
                <w:lang w:val="en"/>
              </w:rPr>
            </w:pPr>
          </w:p>
          <w:p w14:paraId="5C967F74" w14:textId="77777777" w:rsidR="009D2B25" w:rsidRPr="003F2B86" w:rsidRDefault="009D2B25" w:rsidP="00282204">
            <w:pPr>
              <w:spacing w:after="0" w:line="240" w:lineRule="auto"/>
              <w:rPr>
                <w:rFonts w:eastAsia="Times New Roman" w:cstheme="minorHAnsi"/>
                <w:i/>
                <w:iCs/>
                <w:color w:val="000000"/>
                <w:sz w:val="16"/>
                <w:szCs w:val="16"/>
                <w:lang w:val="en"/>
              </w:rPr>
            </w:pPr>
          </w:p>
          <w:p w14:paraId="14A467D3" w14:textId="77777777" w:rsidR="009D2B25" w:rsidRPr="003F2B86" w:rsidRDefault="009D2B25" w:rsidP="00282204">
            <w:pPr>
              <w:spacing w:after="0" w:line="240" w:lineRule="auto"/>
              <w:rPr>
                <w:rFonts w:eastAsia="Times New Roman" w:cstheme="minorHAnsi"/>
                <w:i/>
                <w:iCs/>
                <w:color w:val="000000"/>
                <w:sz w:val="16"/>
                <w:szCs w:val="16"/>
                <w:lang w:val="en"/>
              </w:rPr>
            </w:pPr>
          </w:p>
          <w:p w14:paraId="022FC599" w14:textId="77777777" w:rsidR="009D2B25" w:rsidRPr="003F2B86" w:rsidRDefault="009D2B25" w:rsidP="00282204">
            <w:pPr>
              <w:spacing w:after="0" w:line="240" w:lineRule="auto"/>
              <w:rPr>
                <w:rFonts w:eastAsia="Times New Roman" w:cstheme="minorHAnsi"/>
                <w:i/>
                <w:iCs/>
                <w:color w:val="000000"/>
                <w:sz w:val="16"/>
                <w:szCs w:val="16"/>
                <w:lang w:val="en"/>
              </w:rPr>
            </w:pPr>
          </w:p>
          <w:p w14:paraId="7DBC3E0B" w14:textId="77777777" w:rsidR="009D2B25" w:rsidRPr="003F2B86" w:rsidRDefault="009D2B25" w:rsidP="00282204">
            <w:pPr>
              <w:spacing w:after="0" w:line="240" w:lineRule="auto"/>
              <w:rPr>
                <w:rFonts w:eastAsia="Times New Roman" w:cstheme="minorHAnsi"/>
                <w:i/>
                <w:iCs/>
                <w:color w:val="000000"/>
                <w:sz w:val="16"/>
                <w:szCs w:val="16"/>
                <w:lang w:val="en"/>
              </w:rPr>
            </w:pPr>
          </w:p>
          <w:p w14:paraId="39A5266F" w14:textId="77777777" w:rsidR="009D2B25" w:rsidRPr="003F2B86" w:rsidRDefault="009D2B25" w:rsidP="00282204">
            <w:pPr>
              <w:spacing w:after="0" w:line="240" w:lineRule="auto"/>
              <w:rPr>
                <w:rFonts w:eastAsia="Times New Roman" w:cstheme="minorHAnsi"/>
                <w:i/>
                <w:iCs/>
                <w:color w:val="000000"/>
                <w:sz w:val="16"/>
                <w:szCs w:val="16"/>
                <w:lang w:val="en"/>
              </w:rPr>
            </w:pPr>
          </w:p>
          <w:p w14:paraId="0FC0333D" w14:textId="77777777" w:rsidR="009D2B25" w:rsidRPr="003F2B86" w:rsidRDefault="009D2B25" w:rsidP="00282204">
            <w:pPr>
              <w:spacing w:after="0" w:line="240" w:lineRule="auto"/>
              <w:rPr>
                <w:rFonts w:eastAsia="Times New Roman" w:cstheme="minorHAnsi"/>
                <w:i/>
                <w:iCs/>
                <w:color w:val="000000"/>
                <w:sz w:val="16"/>
                <w:szCs w:val="16"/>
                <w:lang w:val="en"/>
              </w:rPr>
            </w:pPr>
          </w:p>
          <w:p w14:paraId="5B7A6681" w14:textId="77777777" w:rsidR="009D2B25" w:rsidRPr="003F2B86" w:rsidRDefault="009D2B25" w:rsidP="00282204">
            <w:pPr>
              <w:spacing w:after="0" w:line="240" w:lineRule="auto"/>
              <w:rPr>
                <w:rFonts w:eastAsia="Times New Roman" w:cstheme="minorHAnsi"/>
                <w:i/>
                <w:iCs/>
                <w:color w:val="000000"/>
                <w:sz w:val="16"/>
                <w:szCs w:val="16"/>
              </w:rPr>
            </w:pPr>
          </w:p>
        </w:tc>
        <w:tc>
          <w:tcPr>
            <w:tcW w:w="3128" w:type="dxa"/>
            <w:tcBorders>
              <w:top w:val="single" w:sz="4" w:space="0" w:color="auto"/>
              <w:bottom w:val="single" w:sz="4" w:space="0" w:color="auto"/>
            </w:tcBorders>
            <w:shd w:val="clear" w:color="auto" w:fill="auto"/>
            <w:noWrap/>
            <w:hideMark/>
          </w:tcPr>
          <w:p w14:paraId="01BB3750" w14:textId="77777777" w:rsidR="009D2B25" w:rsidRPr="003F2B86"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 xml:space="preserve">To reduce morbidity and mortality rate that result from diabetes related problems </w:t>
            </w:r>
          </w:p>
          <w:p w14:paraId="0645A061" w14:textId="77777777" w:rsidR="009D2B25" w:rsidRPr="003F2B86" w:rsidRDefault="009D2B25" w:rsidP="00282204">
            <w:pPr>
              <w:spacing w:after="0" w:line="240" w:lineRule="auto"/>
              <w:rPr>
                <w:rFonts w:eastAsia="Times New Roman" w:cstheme="minorHAnsi"/>
                <w:color w:val="000000"/>
                <w:sz w:val="16"/>
                <w:szCs w:val="16"/>
              </w:rPr>
            </w:pPr>
          </w:p>
          <w:p w14:paraId="38265214" w14:textId="77777777" w:rsidR="009D2B25" w:rsidRPr="003F2B86" w:rsidRDefault="009D2B25" w:rsidP="00282204">
            <w:pPr>
              <w:spacing w:after="0" w:line="240" w:lineRule="auto"/>
              <w:rPr>
                <w:rFonts w:eastAsia="Times New Roman" w:cstheme="minorHAnsi"/>
                <w:color w:val="000000"/>
                <w:sz w:val="16"/>
                <w:szCs w:val="16"/>
              </w:rPr>
            </w:pPr>
          </w:p>
          <w:p w14:paraId="31279383" w14:textId="77777777" w:rsidR="009D2B25" w:rsidRPr="003F2B86" w:rsidRDefault="009D2B25" w:rsidP="00282204">
            <w:pPr>
              <w:spacing w:after="0" w:line="240" w:lineRule="auto"/>
              <w:rPr>
                <w:rFonts w:eastAsia="Times New Roman" w:cstheme="minorHAnsi"/>
                <w:color w:val="000000"/>
                <w:sz w:val="16"/>
                <w:szCs w:val="16"/>
              </w:rPr>
            </w:pPr>
          </w:p>
          <w:p w14:paraId="5652D35E" w14:textId="77777777" w:rsidR="009D2B25" w:rsidRPr="003F2B86" w:rsidRDefault="009D2B25" w:rsidP="00282204">
            <w:pPr>
              <w:spacing w:after="0" w:line="240" w:lineRule="auto"/>
              <w:rPr>
                <w:rFonts w:eastAsia="Times New Roman" w:cstheme="minorHAnsi"/>
                <w:color w:val="000000"/>
                <w:sz w:val="16"/>
                <w:szCs w:val="16"/>
              </w:rPr>
            </w:pPr>
          </w:p>
          <w:p w14:paraId="4283A1A1" w14:textId="77777777" w:rsidR="009D2B25" w:rsidRPr="003F2B86" w:rsidRDefault="009D2B25" w:rsidP="00282204">
            <w:pPr>
              <w:spacing w:after="0" w:line="240" w:lineRule="auto"/>
              <w:rPr>
                <w:rFonts w:eastAsia="Times New Roman" w:cstheme="minorHAnsi"/>
                <w:color w:val="000000"/>
                <w:sz w:val="16"/>
                <w:szCs w:val="16"/>
              </w:rPr>
            </w:pPr>
          </w:p>
          <w:p w14:paraId="4EDC6738" w14:textId="77777777" w:rsidR="009D2B25" w:rsidRPr="003F2B86" w:rsidRDefault="009D2B25" w:rsidP="00282204">
            <w:pPr>
              <w:spacing w:after="0" w:line="240" w:lineRule="auto"/>
              <w:rPr>
                <w:rFonts w:eastAsia="Times New Roman" w:cstheme="minorHAnsi"/>
                <w:color w:val="000000"/>
                <w:sz w:val="16"/>
                <w:szCs w:val="16"/>
              </w:rPr>
            </w:pPr>
          </w:p>
          <w:p w14:paraId="78709EFD" w14:textId="77777777" w:rsidR="009D2B25" w:rsidRPr="003F2B86" w:rsidRDefault="009D2B25" w:rsidP="00282204">
            <w:pPr>
              <w:spacing w:after="0" w:line="240" w:lineRule="auto"/>
              <w:rPr>
                <w:rFonts w:eastAsia="Times New Roman" w:cstheme="minorHAnsi"/>
                <w:color w:val="000000"/>
                <w:sz w:val="16"/>
                <w:szCs w:val="16"/>
              </w:rPr>
            </w:pPr>
          </w:p>
          <w:p w14:paraId="13905356" w14:textId="77777777" w:rsidR="009D2B25" w:rsidRPr="003F2B86" w:rsidRDefault="009D2B25" w:rsidP="00282204">
            <w:pPr>
              <w:spacing w:after="0" w:line="240" w:lineRule="auto"/>
              <w:rPr>
                <w:rFonts w:eastAsia="Times New Roman" w:cstheme="minorHAnsi"/>
                <w:color w:val="000000"/>
                <w:sz w:val="16"/>
                <w:szCs w:val="16"/>
              </w:rPr>
            </w:pPr>
          </w:p>
          <w:p w14:paraId="22D9D4CC" w14:textId="77777777" w:rsidR="009D2B25" w:rsidRPr="003F2B86" w:rsidRDefault="009D2B25" w:rsidP="00282204">
            <w:pPr>
              <w:spacing w:after="0" w:line="240" w:lineRule="auto"/>
              <w:rPr>
                <w:rFonts w:eastAsia="Times New Roman" w:cstheme="minorHAnsi"/>
                <w:color w:val="000000"/>
                <w:sz w:val="16"/>
                <w:szCs w:val="16"/>
              </w:rPr>
            </w:pPr>
          </w:p>
        </w:tc>
        <w:tc>
          <w:tcPr>
            <w:tcW w:w="8858" w:type="dxa"/>
            <w:tcBorders>
              <w:top w:val="single" w:sz="4" w:space="0" w:color="auto"/>
              <w:bottom w:val="single" w:sz="4" w:space="0" w:color="auto"/>
            </w:tcBorders>
            <w:shd w:val="clear" w:color="auto" w:fill="auto"/>
            <w:noWrap/>
            <w:hideMark/>
          </w:tcPr>
          <w:p w14:paraId="19C565B0" w14:textId="77777777" w:rsidR="009D2B25" w:rsidRPr="003F2B86"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Performing a physical assessment of patients’ feet, BP, and weight</w:t>
            </w:r>
          </w:p>
          <w:p w14:paraId="44DAC0AB"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“Recommend antiplatelet therapy to the patient’s physician”</w:t>
            </w:r>
          </w:p>
          <w:p w14:paraId="171E2EA6"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“Provide education on the importance of controlling BP in diabetes”</w:t>
            </w:r>
          </w:p>
          <w:p w14:paraId="7BF05790"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“Provide drug therapy recommendations to the physician to help the patient reach BP targets”</w:t>
            </w:r>
          </w:p>
          <w:p w14:paraId="4E5C3788"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“Provide education on the importance of regular screening of nephropathy (e.g., type of test, where to get the test, how often to test)”</w:t>
            </w:r>
          </w:p>
          <w:p w14:paraId="42CB3EF0"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“Review the patient’s drug profile to identify drugs that are renally cleared” “Provide education on the importance of regular screening for neuropathic pain” “Provide education on the importance of regular screening for retinopathy” “Counsel on good foot care techniques”</w:t>
            </w:r>
          </w:p>
          <w:p w14:paraId="0A3A518F"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“Provide education on the importance of diabetes foot care”</w:t>
            </w:r>
          </w:p>
          <w:p w14:paraId="7A57A2A7" w14:textId="77777777" w:rsidR="009D2B25" w:rsidRPr="003F2B86"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Provide education on the importance of controlling lipids in diabetes</w:t>
            </w:r>
          </w:p>
          <w:p w14:paraId="0F07DA5B" w14:textId="77777777" w:rsidR="009D2B25"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 xml:space="preserve">Ordering laboratory tests, referrals to healthcare providers as needed and patient follow-ups. </w:t>
            </w:r>
          </w:p>
          <w:p w14:paraId="3B5087EF" w14:textId="77777777" w:rsidR="009D2B25" w:rsidRPr="003F2B86" w:rsidRDefault="009D2B25" w:rsidP="00282204">
            <w:pPr>
              <w:spacing w:after="0" w:line="240" w:lineRule="auto"/>
              <w:rPr>
                <w:rFonts w:eastAsia="Times New Roman" w:cstheme="minorHAnsi"/>
                <w:color w:val="000000"/>
                <w:sz w:val="16"/>
                <w:szCs w:val="16"/>
              </w:rPr>
            </w:pPr>
          </w:p>
          <w:p w14:paraId="1B7BC27B" w14:textId="77777777" w:rsidR="009D2B25" w:rsidRPr="003F2B86" w:rsidRDefault="009D2B25" w:rsidP="00282204">
            <w:pPr>
              <w:spacing w:after="0" w:line="240" w:lineRule="auto"/>
              <w:rPr>
                <w:rFonts w:eastAsia="Times New Roman" w:cstheme="minorHAnsi"/>
                <w:color w:val="000000"/>
                <w:sz w:val="16"/>
                <w:szCs w:val="16"/>
              </w:rPr>
            </w:pPr>
          </w:p>
        </w:tc>
      </w:tr>
      <w:tr w:rsidR="009D2B25" w:rsidRPr="003F2B86" w14:paraId="6688AA9D" w14:textId="77777777" w:rsidTr="00282204">
        <w:trPr>
          <w:trHeight w:val="438"/>
        </w:trPr>
        <w:tc>
          <w:tcPr>
            <w:tcW w:w="2576" w:type="dxa"/>
            <w:tcBorders>
              <w:top w:val="single" w:sz="4" w:space="0" w:color="auto"/>
              <w:bottom w:val="single" w:sz="4" w:space="0" w:color="auto"/>
            </w:tcBorders>
            <w:shd w:val="clear" w:color="auto" w:fill="auto"/>
            <w:noWrap/>
            <w:hideMark/>
          </w:tcPr>
          <w:p w14:paraId="43F36CA7" w14:textId="77777777" w:rsidR="009D2B25" w:rsidRPr="003F2B86" w:rsidRDefault="009D2B25" w:rsidP="00282204">
            <w:pPr>
              <w:spacing w:after="0" w:line="240" w:lineRule="auto"/>
              <w:rPr>
                <w:rFonts w:eastAsia="Times New Roman" w:cstheme="minorHAnsi"/>
                <w:i/>
                <w:iCs/>
                <w:color w:val="000000"/>
                <w:sz w:val="16"/>
                <w:szCs w:val="16"/>
                <w:lang w:val="en"/>
              </w:rPr>
            </w:pPr>
            <w:r w:rsidRPr="003F2B86">
              <w:rPr>
                <w:rFonts w:eastAsia="Times New Roman" w:cstheme="minorHAnsi"/>
                <w:i/>
                <w:iCs/>
                <w:color w:val="000000"/>
                <w:sz w:val="16"/>
                <w:szCs w:val="16"/>
                <w:lang w:val="en"/>
              </w:rPr>
              <w:t>“Hypoglycemia management”</w:t>
            </w:r>
          </w:p>
          <w:p w14:paraId="6C9C2A97" w14:textId="77777777" w:rsidR="009D2B25" w:rsidRPr="003F2B86" w:rsidRDefault="009D2B25" w:rsidP="00282204">
            <w:pPr>
              <w:spacing w:after="0" w:line="240" w:lineRule="auto"/>
              <w:rPr>
                <w:rFonts w:eastAsia="Times New Roman" w:cstheme="minorHAnsi"/>
                <w:i/>
                <w:iCs/>
                <w:color w:val="000000"/>
                <w:sz w:val="16"/>
                <w:szCs w:val="16"/>
              </w:rPr>
            </w:pPr>
          </w:p>
        </w:tc>
        <w:tc>
          <w:tcPr>
            <w:tcW w:w="3128" w:type="dxa"/>
            <w:tcBorders>
              <w:top w:val="single" w:sz="4" w:space="0" w:color="auto"/>
              <w:bottom w:val="single" w:sz="4" w:space="0" w:color="auto"/>
            </w:tcBorders>
            <w:shd w:val="clear" w:color="auto" w:fill="auto"/>
            <w:noWrap/>
            <w:hideMark/>
          </w:tcPr>
          <w:p w14:paraId="3E1AE096" w14:textId="77777777" w:rsidR="009D2B25" w:rsidRPr="003F2B86"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To avoid serious adverse drug events</w:t>
            </w:r>
          </w:p>
          <w:p w14:paraId="2826AC8A" w14:textId="77777777" w:rsidR="009D2B25" w:rsidRPr="003F2B86" w:rsidRDefault="009D2B25" w:rsidP="00282204">
            <w:pPr>
              <w:spacing w:after="0" w:line="240" w:lineRule="auto"/>
              <w:rPr>
                <w:rFonts w:eastAsia="Times New Roman" w:cstheme="minorHAnsi"/>
                <w:color w:val="000000"/>
                <w:sz w:val="16"/>
                <w:szCs w:val="16"/>
              </w:rPr>
            </w:pPr>
          </w:p>
          <w:p w14:paraId="6EB60000" w14:textId="77777777" w:rsidR="009D2B25" w:rsidRPr="003F2B86" w:rsidRDefault="009D2B25" w:rsidP="00282204">
            <w:pPr>
              <w:spacing w:after="0" w:line="240" w:lineRule="auto"/>
              <w:rPr>
                <w:rFonts w:eastAsia="Times New Roman" w:cstheme="minorHAnsi"/>
                <w:color w:val="000000"/>
                <w:sz w:val="16"/>
                <w:szCs w:val="16"/>
              </w:rPr>
            </w:pPr>
          </w:p>
        </w:tc>
        <w:tc>
          <w:tcPr>
            <w:tcW w:w="8858" w:type="dxa"/>
            <w:tcBorders>
              <w:top w:val="single" w:sz="4" w:space="0" w:color="auto"/>
              <w:bottom w:val="single" w:sz="4" w:space="0" w:color="auto"/>
            </w:tcBorders>
            <w:shd w:val="clear" w:color="auto" w:fill="auto"/>
            <w:noWrap/>
            <w:hideMark/>
          </w:tcPr>
          <w:p w14:paraId="572ADFFB"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color w:val="000000"/>
                <w:sz w:val="16"/>
                <w:szCs w:val="16"/>
              </w:rPr>
              <w:t>“</w:t>
            </w:r>
            <w:r w:rsidRPr="003F2B86">
              <w:rPr>
                <w:rFonts w:eastAsia="Times New Roman" w:cstheme="minorHAnsi"/>
                <w:i/>
                <w:iCs/>
                <w:color w:val="000000"/>
                <w:sz w:val="16"/>
                <w:szCs w:val="16"/>
              </w:rPr>
              <w:t>Counsel on signs and symptoms of hypoglycaemia”</w:t>
            </w:r>
          </w:p>
          <w:p w14:paraId="22DF9440"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“Identify possible causes of hypoglycaemia”</w:t>
            </w:r>
          </w:p>
          <w:p w14:paraId="76471C96" w14:textId="77777777" w:rsidR="009D2B25" w:rsidRDefault="009D2B25" w:rsidP="00282204">
            <w:pPr>
              <w:spacing w:after="0" w:line="240" w:lineRule="auto"/>
              <w:rPr>
                <w:rFonts w:eastAsia="Times New Roman" w:cstheme="minorHAnsi"/>
                <w:color w:val="000000"/>
                <w:sz w:val="16"/>
                <w:szCs w:val="16"/>
              </w:rPr>
            </w:pPr>
            <w:r w:rsidRPr="003F2B86">
              <w:rPr>
                <w:rFonts w:eastAsia="Times New Roman" w:cstheme="minorHAnsi"/>
                <w:i/>
                <w:iCs/>
                <w:color w:val="000000"/>
                <w:sz w:val="16"/>
                <w:szCs w:val="16"/>
              </w:rPr>
              <w:t>“Provide recommendations for treatment of hypoglycaemia to the patient”.</w:t>
            </w:r>
            <w:r w:rsidRPr="003F2B86">
              <w:rPr>
                <w:rFonts w:eastAsia="Times New Roman" w:cstheme="minorHAnsi"/>
                <w:color w:val="000000"/>
                <w:sz w:val="16"/>
                <w:szCs w:val="16"/>
              </w:rPr>
              <w:t xml:space="preserve"> </w:t>
            </w:r>
          </w:p>
          <w:p w14:paraId="21208F52" w14:textId="77777777" w:rsidR="009D2B25" w:rsidRDefault="009D2B25" w:rsidP="00282204">
            <w:pPr>
              <w:spacing w:after="0" w:line="240" w:lineRule="auto"/>
              <w:rPr>
                <w:rFonts w:eastAsia="Times New Roman" w:cstheme="minorHAnsi"/>
                <w:color w:val="000000"/>
                <w:sz w:val="16"/>
                <w:szCs w:val="16"/>
              </w:rPr>
            </w:pPr>
          </w:p>
          <w:p w14:paraId="7926F4C2" w14:textId="77777777" w:rsidR="009D2B25" w:rsidRPr="003F2B86" w:rsidRDefault="009D2B25" w:rsidP="00282204">
            <w:pPr>
              <w:spacing w:after="0" w:line="240" w:lineRule="auto"/>
              <w:rPr>
                <w:rFonts w:eastAsia="Times New Roman" w:cstheme="minorHAnsi"/>
                <w:color w:val="000000"/>
                <w:sz w:val="16"/>
                <w:szCs w:val="16"/>
              </w:rPr>
            </w:pPr>
          </w:p>
        </w:tc>
      </w:tr>
      <w:tr w:rsidR="009D2B25" w:rsidRPr="003F2B86" w14:paraId="0A4D9694" w14:textId="77777777" w:rsidTr="00282204">
        <w:trPr>
          <w:trHeight w:val="438"/>
        </w:trPr>
        <w:tc>
          <w:tcPr>
            <w:tcW w:w="2576" w:type="dxa"/>
            <w:tcBorders>
              <w:top w:val="single" w:sz="4" w:space="0" w:color="auto"/>
              <w:bottom w:val="single" w:sz="4" w:space="0" w:color="auto"/>
            </w:tcBorders>
            <w:shd w:val="clear" w:color="auto" w:fill="auto"/>
            <w:noWrap/>
            <w:hideMark/>
          </w:tcPr>
          <w:p w14:paraId="240637DB"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“Healthy living choices”</w:t>
            </w:r>
          </w:p>
          <w:p w14:paraId="1D9998D7" w14:textId="77777777" w:rsidR="009D2B25" w:rsidRPr="003F2B86" w:rsidRDefault="009D2B25" w:rsidP="00282204">
            <w:pPr>
              <w:spacing w:after="0" w:line="240" w:lineRule="auto"/>
              <w:rPr>
                <w:rFonts w:eastAsia="Times New Roman" w:cstheme="minorHAnsi"/>
                <w:i/>
                <w:iCs/>
                <w:color w:val="000000"/>
                <w:sz w:val="16"/>
                <w:szCs w:val="16"/>
              </w:rPr>
            </w:pPr>
          </w:p>
          <w:p w14:paraId="28892023" w14:textId="77777777" w:rsidR="009D2B25" w:rsidRPr="003F2B86" w:rsidRDefault="009D2B25" w:rsidP="00282204">
            <w:pPr>
              <w:spacing w:after="0" w:line="240" w:lineRule="auto"/>
              <w:rPr>
                <w:rFonts w:eastAsia="Times New Roman" w:cstheme="minorHAnsi"/>
                <w:i/>
                <w:iCs/>
                <w:color w:val="000000"/>
                <w:sz w:val="16"/>
                <w:szCs w:val="16"/>
              </w:rPr>
            </w:pPr>
          </w:p>
        </w:tc>
        <w:tc>
          <w:tcPr>
            <w:tcW w:w="3128" w:type="dxa"/>
            <w:tcBorders>
              <w:top w:val="single" w:sz="4" w:space="0" w:color="auto"/>
              <w:bottom w:val="single" w:sz="4" w:space="0" w:color="auto"/>
            </w:tcBorders>
            <w:shd w:val="clear" w:color="auto" w:fill="auto"/>
            <w:noWrap/>
            <w:hideMark/>
          </w:tcPr>
          <w:p w14:paraId="2FA2A2C0" w14:textId="77777777" w:rsidR="009D2B25" w:rsidRPr="003F2B86" w:rsidRDefault="009D2B25" w:rsidP="00282204">
            <w:pPr>
              <w:spacing w:after="0" w:line="240" w:lineRule="auto"/>
              <w:rPr>
                <w:rFonts w:eastAsia="Times New Roman" w:cstheme="minorHAnsi"/>
                <w:color w:val="000000"/>
                <w:sz w:val="16"/>
                <w:szCs w:val="16"/>
                <w:lang w:val="en-GB"/>
              </w:rPr>
            </w:pPr>
            <w:r w:rsidRPr="003F2B86">
              <w:rPr>
                <w:rFonts w:eastAsia="Times New Roman" w:cstheme="minorHAnsi"/>
                <w:color w:val="000000"/>
                <w:sz w:val="16"/>
                <w:szCs w:val="16"/>
                <w:lang w:val="en-GB"/>
              </w:rPr>
              <w:t>To improve the patient’s quality of life (QoL)</w:t>
            </w:r>
          </w:p>
          <w:p w14:paraId="0D4A76E5" w14:textId="77777777" w:rsidR="009D2B25" w:rsidRPr="003F2B86" w:rsidRDefault="009D2B25" w:rsidP="00282204">
            <w:pPr>
              <w:spacing w:after="0" w:line="240" w:lineRule="auto"/>
              <w:rPr>
                <w:rFonts w:eastAsia="Times New Roman" w:cstheme="minorHAnsi"/>
                <w:color w:val="000000"/>
                <w:sz w:val="16"/>
                <w:szCs w:val="16"/>
                <w:lang w:val="en-GB"/>
              </w:rPr>
            </w:pPr>
          </w:p>
          <w:p w14:paraId="7CBFEC2E" w14:textId="77777777" w:rsidR="009D2B25" w:rsidRPr="003F2B86" w:rsidRDefault="009D2B25" w:rsidP="00282204">
            <w:pPr>
              <w:spacing w:after="0" w:line="240" w:lineRule="auto"/>
              <w:rPr>
                <w:rFonts w:eastAsia="Times New Roman" w:cstheme="minorHAnsi"/>
                <w:color w:val="000000"/>
                <w:sz w:val="16"/>
                <w:szCs w:val="16"/>
              </w:rPr>
            </w:pPr>
          </w:p>
        </w:tc>
        <w:tc>
          <w:tcPr>
            <w:tcW w:w="8858" w:type="dxa"/>
            <w:tcBorders>
              <w:top w:val="single" w:sz="4" w:space="0" w:color="auto"/>
              <w:bottom w:val="single" w:sz="4" w:space="0" w:color="auto"/>
            </w:tcBorders>
            <w:shd w:val="clear" w:color="auto" w:fill="auto"/>
            <w:noWrap/>
            <w:hideMark/>
          </w:tcPr>
          <w:p w14:paraId="69D49B5E"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color w:val="000000"/>
                <w:sz w:val="16"/>
                <w:szCs w:val="16"/>
              </w:rPr>
              <w:t>“</w:t>
            </w:r>
            <w:r w:rsidRPr="003F2B86">
              <w:rPr>
                <w:rFonts w:eastAsia="Times New Roman" w:cstheme="minorHAnsi"/>
                <w:i/>
                <w:iCs/>
                <w:color w:val="000000"/>
                <w:sz w:val="16"/>
                <w:szCs w:val="16"/>
              </w:rPr>
              <w:t>Provide patient education about the importance of immunization for influenza and pneumococcal pneumonia in diabetes”</w:t>
            </w:r>
          </w:p>
          <w:p w14:paraId="1C594C54"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“Provide basic information on diet as it relates to diabetes management”</w:t>
            </w:r>
          </w:p>
          <w:p w14:paraId="28D1EA90" w14:textId="77777777" w:rsidR="009D2B25" w:rsidRPr="003F2B86" w:rsidRDefault="009D2B25" w:rsidP="00282204">
            <w:pPr>
              <w:spacing w:after="0" w:line="240" w:lineRule="auto"/>
              <w:rPr>
                <w:rFonts w:eastAsia="Times New Roman" w:cstheme="minorHAnsi"/>
                <w:i/>
                <w:iCs/>
                <w:color w:val="000000"/>
                <w:sz w:val="16"/>
                <w:szCs w:val="16"/>
              </w:rPr>
            </w:pPr>
            <w:r w:rsidRPr="003F2B86">
              <w:rPr>
                <w:rFonts w:eastAsia="Times New Roman" w:cstheme="minorHAnsi"/>
                <w:i/>
                <w:iCs/>
                <w:color w:val="000000"/>
                <w:sz w:val="16"/>
                <w:szCs w:val="16"/>
              </w:rPr>
              <w:t xml:space="preserve">“Provide basic information on exercise as it relates to diabetes management”. </w:t>
            </w:r>
          </w:p>
          <w:p w14:paraId="18206B0F" w14:textId="77777777" w:rsidR="009D2B25" w:rsidRDefault="009D2B25" w:rsidP="00282204">
            <w:pPr>
              <w:spacing w:after="0" w:line="240" w:lineRule="auto"/>
              <w:rPr>
                <w:rFonts w:eastAsia="Times New Roman" w:cstheme="minorHAnsi"/>
                <w:color w:val="000000"/>
                <w:sz w:val="16"/>
                <w:szCs w:val="16"/>
              </w:rPr>
            </w:pPr>
            <w:r w:rsidRPr="003F2B86">
              <w:rPr>
                <w:rFonts w:eastAsia="Times New Roman" w:cstheme="minorHAnsi"/>
                <w:color w:val="000000"/>
                <w:sz w:val="16"/>
                <w:szCs w:val="16"/>
              </w:rPr>
              <w:t>Providing vaccinations and smoking cessation medications.</w:t>
            </w:r>
          </w:p>
          <w:p w14:paraId="2EB7E2A3" w14:textId="77777777" w:rsidR="009D2B25" w:rsidRDefault="009D2B25" w:rsidP="00282204">
            <w:pPr>
              <w:spacing w:after="0" w:line="240" w:lineRule="auto"/>
              <w:rPr>
                <w:rFonts w:eastAsia="Times New Roman" w:cstheme="minorHAnsi"/>
                <w:color w:val="000000"/>
                <w:sz w:val="16"/>
                <w:szCs w:val="16"/>
              </w:rPr>
            </w:pPr>
          </w:p>
          <w:p w14:paraId="5F7E45EE" w14:textId="77777777" w:rsidR="009D2B25" w:rsidRPr="003F2B86" w:rsidRDefault="009D2B25" w:rsidP="00282204">
            <w:pPr>
              <w:spacing w:after="0" w:line="240" w:lineRule="auto"/>
              <w:rPr>
                <w:rFonts w:eastAsia="Times New Roman" w:cstheme="minorHAnsi"/>
                <w:color w:val="000000"/>
                <w:sz w:val="16"/>
                <w:szCs w:val="16"/>
              </w:rPr>
            </w:pPr>
          </w:p>
        </w:tc>
      </w:tr>
    </w:tbl>
    <w:p w14:paraId="5D965A72" w14:textId="77777777" w:rsidR="009D2B25" w:rsidRPr="00A27B1D" w:rsidRDefault="009D2B25" w:rsidP="009D2B25">
      <w:pPr>
        <w:shd w:val="clear" w:color="auto" w:fill="FFFFFF"/>
        <w:spacing w:line="360" w:lineRule="auto"/>
        <w:rPr>
          <w:rFonts w:ascii="Arial" w:hAnsi="Arial" w:cs="Arial"/>
          <w:i/>
          <w:iCs/>
          <w:color w:val="44546A" w:themeColor="text2"/>
          <w:sz w:val="18"/>
          <w:szCs w:val="18"/>
          <w:lang w:val="nl-NL"/>
        </w:rPr>
      </w:pPr>
      <w:r w:rsidRPr="000954A0">
        <w:rPr>
          <w:rFonts w:ascii="Arial" w:hAnsi="Arial" w:cs="Arial"/>
          <w:i/>
          <w:iCs/>
          <w:color w:val="44546A" w:themeColor="text2"/>
          <w:sz w:val="18"/>
          <w:szCs w:val="18"/>
          <w:lang w:val="en-GB"/>
        </w:rPr>
        <w:t xml:space="preserve">Reference: </w:t>
      </w:r>
      <w:r w:rsidRPr="000954A0">
        <w:rPr>
          <w:rFonts w:ascii="Arial" w:hAnsi="Arial" w:cs="Arial"/>
          <w:i/>
          <w:iCs/>
          <w:color w:val="44546A" w:themeColor="text2"/>
          <w:sz w:val="18"/>
          <w:szCs w:val="18"/>
          <w:lang w:val="en-GB"/>
        </w:rPr>
        <w:fldChar w:fldCharType="begin" w:fldLock="1"/>
      </w:r>
      <w:r>
        <w:rPr>
          <w:rFonts w:ascii="Arial" w:hAnsi="Arial" w:cs="Arial"/>
          <w:i/>
          <w:iCs/>
          <w:color w:val="44546A" w:themeColor="text2"/>
          <w:sz w:val="18"/>
          <w:szCs w:val="18"/>
          <w:lang w:val="en-GB"/>
        </w:rPr>
        <w:instrText>ADDIN CSL_CITATION {"citationItems":[{"id":"ITEM-1","itemData":{"DOI":"10.1177/193229680900300120","ISSN":"1932-2968","abstract":"Today there are significant gaps between reaching the goal of \"optimal medication therapy\" and the current state of medication use in the United States. Pharmacists are highly accessible and well-trained--yet often underutilized--key health care professionals who can move us closer toward achieving better medication therapy outcomes for patients. Diabetes medication management programs led by pharmacists are described. This is consistent with the \"medical home\" concept of care that promotes primary care providers working collaboratively to coordinate patient-centered care. Pharmacists utilize their clinical expertise in monitoring and managing diabetes medication plans to positively impact health outcomes and empower patients to actively manage their health. In addition, pharmacists can serve as a resource to other health care providers and payers to assure safe, appropriate, cost-effective diabetes medication use. Copyright © Diabetes Technology Society","author":[{"dropping-particle":"","family":"Smith","given":"Marie","non-dropping-particle":"","parse-names":false,"suffix":""}],"container-title":"Journal of diabetes science and technology","id":"ITEM-1","issue":"1","issued":{"date-parts":[["2009"]]},"page":"175-179","publisher-place":"United States","title":"Pharmacists' role in improving diabetes medication management.","type":"article-journal","volume":"3"},"uris":["http://www.mendeley.com/documents/?uuid=c2cb55be-1358-4fc7-b6e1-19582e66b4ce"]}],"mendeley":{"formattedCitation":"(Smith, 2009a)","manualFormatting":"(Smith, 2009)","plainTextFormattedCitation":"(Smith, 2009a)","previouslyFormattedCitation":"(Smith, 2009a)"},"properties":{"noteIndex":0},"schema":"https://github.com/citation-style-language/schema/raw/master/csl-citation.json"}</w:instrText>
      </w:r>
      <w:r w:rsidRPr="000954A0">
        <w:rPr>
          <w:rFonts w:ascii="Arial" w:hAnsi="Arial" w:cs="Arial"/>
          <w:i/>
          <w:iCs/>
          <w:color w:val="44546A" w:themeColor="text2"/>
          <w:sz w:val="18"/>
          <w:szCs w:val="18"/>
          <w:lang w:val="en-GB"/>
        </w:rPr>
        <w:fldChar w:fldCharType="separate"/>
      </w:r>
      <w:r w:rsidRPr="000954A0">
        <w:rPr>
          <w:rFonts w:ascii="Arial" w:hAnsi="Arial" w:cs="Arial"/>
          <w:i/>
          <w:iCs/>
          <w:noProof/>
          <w:color w:val="44546A" w:themeColor="text2"/>
          <w:sz w:val="18"/>
          <w:szCs w:val="18"/>
          <w:lang w:val="en-GB"/>
        </w:rPr>
        <w:t>(Smith, 2009)</w:t>
      </w:r>
      <w:r w:rsidRPr="000954A0">
        <w:rPr>
          <w:rFonts w:ascii="Arial" w:hAnsi="Arial" w:cs="Arial"/>
          <w:i/>
          <w:iCs/>
          <w:color w:val="44546A" w:themeColor="text2"/>
          <w:sz w:val="18"/>
          <w:szCs w:val="18"/>
          <w:lang w:val="en-GB"/>
        </w:rPr>
        <w:fldChar w:fldCharType="end"/>
      </w:r>
      <w:r w:rsidRPr="000954A0">
        <w:rPr>
          <w:rFonts w:ascii="Arial" w:hAnsi="Arial" w:cs="Arial"/>
          <w:i/>
          <w:iCs/>
          <w:color w:val="44546A" w:themeColor="text2"/>
          <w:sz w:val="18"/>
          <w:szCs w:val="18"/>
          <w:lang w:val="en-GB"/>
        </w:rPr>
        <w:t xml:space="preserve">, </w:t>
      </w:r>
      <w:r w:rsidRPr="000954A0">
        <w:rPr>
          <w:rFonts w:ascii="Arial" w:hAnsi="Arial" w:cs="Arial"/>
          <w:i/>
          <w:iCs/>
          <w:color w:val="44546A" w:themeColor="text2"/>
          <w:sz w:val="18"/>
          <w:szCs w:val="18"/>
          <w:lang w:val="en-GB"/>
        </w:rPr>
        <w:fldChar w:fldCharType="begin" w:fldLock="1"/>
      </w:r>
      <w:r w:rsidRPr="000954A0">
        <w:rPr>
          <w:rFonts w:ascii="Arial" w:hAnsi="Arial" w:cs="Arial"/>
          <w:i/>
          <w:iCs/>
          <w:color w:val="44546A" w:themeColor="text2"/>
          <w:sz w:val="18"/>
          <w:szCs w:val="18"/>
          <w:lang w:val="en-GB"/>
        </w:rPr>
        <w:instrText>ADDIN CSL_CITATION {"citationItems":[{"id":"ITEM-1","itemData":{"DOI":"10.1177/0897190009336668","ISSN":"1531-1937","PMID":"21507822","author":[{"dropping-particle":"","family":"Armor","given":"Becky L","non-dropping-particle":"","parse-names":false,"suffix":""},{"dropping-particle":"","family":"Britton","given":"Mark L","non-dropping-particle":"","parse-names":false,"suffix":""},{"dropping-particle":"","family":"Dennis","given":"Vincent C","non-dropping-particle":"","parse-names":false,"suffix":""},{"dropping-particle":"","family":"Letassy","given":"Nancy A","non-dropping-particle":"","parse-names":false,"suffix":""}],"container-title":"Journal of pharmacy practice","id":"ITEM-1","issue":"3","issued":{"date-parts":[["2010","6","28"]]},"page":"250-64","title":"A Review of Pharmacist Contributions to Diabetes Care in the United States","type":"article-journal","volume":"23"},"uris":["http://www.mendeley.com/documents/?uuid=0916d5c9-b2f1-47a4-bc07-8c5f7043846b"]}],"mendeley":{"formattedCitation":"(Armor &lt;i&gt;et al.&lt;/i&gt;, 2010)","plainTextFormattedCitation":"(Armor et al., 2010)","previouslyFormattedCitation":"(Armor &lt;i&gt;et al.&lt;/i&gt;, 2010)"},"properties":{"noteIndex":0},"schema":"https://github.com/citation-style-language/schema/raw/master/csl-citation.json"}</w:instrText>
      </w:r>
      <w:r w:rsidRPr="000954A0">
        <w:rPr>
          <w:rFonts w:ascii="Arial" w:hAnsi="Arial" w:cs="Arial"/>
          <w:i/>
          <w:iCs/>
          <w:color w:val="44546A" w:themeColor="text2"/>
          <w:sz w:val="18"/>
          <w:szCs w:val="18"/>
          <w:lang w:val="en-GB"/>
        </w:rPr>
        <w:fldChar w:fldCharType="separate"/>
      </w:r>
      <w:r w:rsidRPr="000954A0">
        <w:rPr>
          <w:rFonts w:ascii="Arial" w:hAnsi="Arial" w:cs="Arial"/>
          <w:i/>
          <w:iCs/>
          <w:noProof/>
          <w:color w:val="44546A" w:themeColor="text2"/>
          <w:sz w:val="18"/>
          <w:szCs w:val="18"/>
          <w:lang w:val="en-GB"/>
        </w:rPr>
        <w:t>(Armor et al., 2010)</w:t>
      </w:r>
      <w:r w:rsidRPr="000954A0">
        <w:rPr>
          <w:rFonts w:ascii="Arial" w:hAnsi="Arial" w:cs="Arial"/>
          <w:i/>
          <w:iCs/>
          <w:color w:val="44546A" w:themeColor="text2"/>
          <w:sz w:val="18"/>
          <w:szCs w:val="18"/>
          <w:lang w:val="en-GB"/>
        </w:rPr>
        <w:fldChar w:fldCharType="end"/>
      </w:r>
      <w:r w:rsidRPr="000954A0">
        <w:rPr>
          <w:rFonts w:ascii="Arial" w:hAnsi="Arial" w:cs="Arial"/>
          <w:i/>
          <w:iCs/>
          <w:color w:val="44546A" w:themeColor="text2"/>
          <w:sz w:val="18"/>
          <w:szCs w:val="18"/>
          <w:lang w:val="en-GB"/>
        </w:rPr>
        <w:t>, (</w:t>
      </w:r>
      <w:r w:rsidRPr="000954A0">
        <w:rPr>
          <w:rFonts w:ascii="Arial" w:hAnsi="Arial" w:cs="Arial"/>
          <w:i/>
          <w:iCs/>
          <w:color w:val="44546A" w:themeColor="text2"/>
          <w:sz w:val="18"/>
          <w:szCs w:val="18"/>
          <w:lang w:val="en-GB"/>
        </w:rPr>
        <w:fldChar w:fldCharType="begin" w:fldLock="1"/>
      </w:r>
      <w:r w:rsidRPr="000954A0">
        <w:rPr>
          <w:rFonts w:ascii="Arial" w:hAnsi="Arial" w:cs="Arial"/>
          <w:i/>
          <w:iCs/>
          <w:color w:val="44546A" w:themeColor="text2"/>
          <w:sz w:val="18"/>
          <w:szCs w:val="18"/>
          <w:lang w:val="en-GB"/>
        </w:rPr>
        <w:instrText>ADDIN CSL_CITATION {"citationItems":[{"id":"ITEM-1","itemData":{"DOI":"10.1007/s13410-013-0169-4","ISSN":"19983832","abstract":"This study was designed to identify pharmacists' potential contributions to the delivery of pharmaceutical care to patients with type 2 diabetes in Kuwait, and to identify and explore barriers that were preventing them from providing care to this specific group. A pretested self-administered questionnaire was distributed to all pharmacists registered in the Kuwait Pharmaceutical Association's email registry (N=250). Invitations to a focus group interview were then sent to all pharmacists (N=50) who had responded to the questionnaire. Seven pharmacists accepted the invitation and participated in the focus group interview. Of the 50 respondents to the questionnaire, 31 (62.0 %; 95 % CI: 47.2-75.4) indicated that they were \"comfortable\" and \"extremely comfortable\" in discussing patient's blood pressure target and annual screening with physicians rather than discussing smoking cessation advice or specific medication-related care issues. More than 75 % of the respondents were \"comfortable\" and \"extremely comfortable\" in sharing and verifying the patient's drug history, blood pressure, cholesterol and stability of blood glucose with the healthcare team, and to maintain a pharmaceutical care plan for patients with diabetes. Overall, pharmacists indicated that they were more comfortable in undertaking clinical activities than discussing care issues with physicians. The focus group interview identified issues related to pharmacist-physician interaction, pharmacists' confidence, pharmacists' image by patients and physicians and barriers to implementing pharmaceutical care. This study shows that pharmacists in Kuwait perceive that their contribution to the delivery of pharmaceutical care could develop further with increased partnership between pharmacists and physicians and provision of further education, training and continuing professional development support. © 2013 Research Society for Study of Diabetes in India.","author":[{"dropping-particle":"","family":"Al-Taweel","given":"Dalal M.","non-dropping-particle":"","parse-names":false,"suffix":""},{"dropping-particle":"","family":"Awad","given":"Abdelmoneim I.","non-dropping-particle":"","parse-names":false,"suffix":""},{"dropping-particle":"","family":"Johnson","given":"B. Julienne","non-dropping-particle":"","parse-names":false,"suffix":""}],"container-title":"International Journal of Diabetes in Developing Countries","id":"ITEM-1","issue":"2","issued":{"date-parts":[["2014"]]},"page":"108-115","publisher":"Springer India","title":"Pharmacists' contributions to the delivery of pharmaceutical care to patients with type 2 diabetes in Kuwait","type":"article-journal","volume":"34"},"uris":["http://www.mendeley.com/documents/?uuid=bd19c075-3bc4-3268-a9d0-17c4077b3996"]}],"mendeley":{"formattedCitation":"(Al-Taweel, Awad and Johnson, 2014)","manualFormatting":"Al-Taweel et al., 2014)","plainTextFormattedCitation":"(Al-Taweel, Awad and Johnson, 2014)","previouslyFormattedCitation":"(Al-Taweel, Awad and Johnson, 2014)"},"properties":{"noteIndex":0},"schema":"https://github.com/citation-style-language/schema/raw/master/csl-citation.json"}</w:instrText>
      </w:r>
      <w:r w:rsidRPr="000954A0">
        <w:rPr>
          <w:rFonts w:ascii="Arial" w:hAnsi="Arial" w:cs="Arial"/>
          <w:i/>
          <w:iCs/>
          <w:color w:val="44546A" w:themeColor="text2"/>
          <w:sz w:val="18"/>
          <w:szCs w:val="18"/>
          <w:lang w:val="en-GB"/>
        </w:rPr>
        <w:fldChar w:fldCharType="separate"/>
      </w:r>
      <w:r w:rsidRPr="000954A0">
        <w:rPr>
          <w:rFonts w:ascii="Arial" w:hAnsi="Arial" w:cs="Arial"/>
          <w:i/>
          <w:iCs/>
          <w:noProof/>
          <w:color w:val="44546A" w:themeColor="text2"/>
          <w:sz w:val="18"/>
          <w:szCs w:val="18"/>
          <w:lang w:val="en-GB"/>
        </w:rPr>
        <w:t>Al-Taweel et al., 2014)</w:t>
      </w:r>
      <w:r w:rsidRPr="000954A0">
        <w:rPr>
          <w:rFonts w:ascii="Arial" w:hAnsi="Arial" w:cs="Arial"/>
          <w:i/>
          <w:iCs/>
          <w:color w:val="44546A" w:themeColor="text2"/>
          <w:sz w:val="18"/>
          <w:szCs w:val="18"/>
          <w:lang w:val="en-GB"/>
        </w:rPr>
        <w:fldChar w:fldCharType="end"/>
      </w:r>
      <w:r w:rsidRPr="000954A0">
        <w:rPr>
          <w:rFonts w:ascii="Arial" w:hAnsi="Arial" w:cs="Arial"/>
          <w:i/>
          <w:iCs/>
          <w:color w:val="44546A" w:themeColor="text2"/>
          <w:sz w:val="18"/>
          <w:szCs w:val="18"/>
          <w:lang w:val="en-GB"/>
        </w:rPr>
        <w:t xml:space="preserve">, </w:t>
      </w:r>
      <w:r w:rsidRPr="000954A0">
        <w:rPr>
          <w:rFonts w:ascii="Arial" w:hAnsi="Arial" w:cs="Arial"/>
          <w:i/>
          <w:iCs/>
          <w:color w:val="44546A" w:themeColor="text2"/>
          <w:sz w:val="18"/>
          <w:szCs w:val="18"/>
          <w:lang w:val="en-GB"/>
        </w:rPr>
        <w:fldChar w:fldCharType="begin" w:fldLock="1"/>
      </w:r>
      <w:r w:rsidRPr="000954A0">
        <w:rPr>
          <w:rFonts w:ascii="Arial" w:hAnsi="Arial" w:cs="Arial"/>
          <w:i/>
          <w:iCs/>
          <w:color w:val="44546A" w:themeColor="text2"/>
          <w:sz w:val="18"/>
          <w:szCs w:val="18"/>
          <w:lang w:val="en-GB"/>
        </w:rPr>
        <w:instrText>ADDIN CSL_CITATION {"citationItems":[{"id":"ITEM-1","itemData":{"DOI":"https://dx.doi.org/10.18553/jmcp.2016.22.5.493","ISSN":"2376-1032","PMID":"27123912","abstract":"BACKGROUND: Diabetes mellitus is a major health problem that is growing rapidly worldwide. A collaborative and integrated team approach in which pharmacists can play a pivotal role should be sought when managing patients with diabetes., OBJECTIVE: To identify and summarize the main outcomes of pharmacist interventions in the management of type 2 diabetes., METHODS: PubMed, Cochrane Central Register of Controlled Trials, and Web of Science were searched for randomized controlled trials evaluating the effectiveness of any pharmacist intervention directed at patients with type 2 diabetes in comparison with usual care. Outcome measures of interest included glycosylated hemoglobin (Alc), blood glucose, blood pressure, lipid profile, body mass index (BMI), 10-year coronary heart disease (CHD) risk, medication adherence, health-related quality of life (HRQoL), and economic outcomes. The risk of bias in included studies was assessed using the Cochrane risk of bias tool., RESULTS: Thirty-six studies were included in this systematic review, involving 5,761 participants. The studies evaluated the effects of several pharmacist interventions carried out in various countries and in different health care facilities, such as community pharmacies, primary care clinics, and hospitals. The number of studies reporting each outcome of interest varied. Alc was evaluated in 26 studies, of which 24 reported a greater reduction in this outcome in the intervention group compared with the control group, with the difference in change between groups ranging from -0.18% to -2.1%. Eighteen studies assessed change in systolic blood pressure, of which 17 studies reported a greater improvement in this outcome in the intervention group, with the difference in change between groups varying between -3.3 mmHg and -23.05 mmHg. For diastolic blood pressure, a greater effect was also observed in the intervention group in 14 out of 15 studies, with the difference in change between groups varying between -0.21 mmHg and -9.1 mmHg. Thirteen studies described total cholesterol as an outcome measure, of which 10 reported a greater improvement in this outcome in the intervention group, with the difference in change between groups ranging from +18.95 mg dL(-1) to -32.48 mg dL(-1). With regard to low-density lipoprotein cholesterol, a greater reduction in this parameter in the intervention group was documented in 12 out of 15 studies, with the difference in change between groups varying between +7.35 m…","author":[{"dropping-particle":"","family":"Pousinho","given":"Sarah","non-dropping-particle":"","parse-names":false,"suffix":""},{"dropping-particle":"","family":"Morgado","given":"Manuel","non-dropping-particle":"","parse-names":false,"suffix":""},{"dropping-particle":"","family":"Falcão","given":"Amílcar","non-dropping-particle":"","parse-names":false,"suffix":""},{"dropping-particle":"","family":"Alves","given":"Gilberto","non-dropping-particle":"","parse-names":false,"suffix":""},{"dropping-particle":"","family":"Falcao","given":"Amilcar","non-dropping-particle":"","parse-names":false,"suffix":""},{"dropping-particle":"","family":"Alves","given":"Gilberto","non-dropping-particle":"","parse-names":false,"suffix":""}],"container-title":"Journal of managed care &amp; specialty pharmacy","id":"ITEM-1","issue":"5","issued":{"date-parts":[["2016","5","1"]]},"page":"493-515","publisher":"Academy of Managed Care Pharmacy (AMCP)","publisher-place":"United States","title":"Pharmacist Interventions in the Management of Type 2 Diabetes Mellitus: A Systematic Review of Randomized Controlled Trials.","type":"article-journal","volume":"22"},"uris":["http://www.mendeley.com/documents/?uuid=5ba65295-ecb5-4236-9c6c-4d2012560a2c"]}],"mendeley":{"formattedCitation":"(Pousinho &lt;i&gt;et al.&lt;/i&gt;, 2016)","plainTextFormattedCitation":"(Pousinho et al., 2016)","previouslyFormattedCitation":"(Pousinho &lt;i&gt;et al.&lt;/i&gt;, 2016)"},"properties":{"noteIndex":0},"schema":"https://github.com/citation-style-language/schema/raw/master/csl-citation.json"}</w:instrText>
      </w:r>
      <w:r w:rsidRPr="000954A0">
        <w:rPr>
          <w:rFonts w:ascii="Arial" w:hAnsi="Arial" w:cs="Arial"/>
          <w:i/>
          <w:iCs/>
          <w:color w:val="44546A" w:themeColor="text2"/>
          <w:sz w:val="18"/>
          <w:szCs w:val="18"/>
          <w:lang w:val="en-GB"/>
        </w:rPr>
        <w:fldChar w:fldCharType="separate"/>
      </w:r>
      <w:r w:rsidRPr="000954A0">
        <w:rPr>
          <w:rFonts w:ascii="Arial" w:hAnsi="Arial" w:cs="Arial"/>
          <w:i/>
          <w:iCs/>
          <w:noProof/>
          <w:color w:val="44546A" w:themeColor="text2"/>
          <w:sz w:val="18"/>
          <w:szCs w:val="18"/>
          <w:lang w:val="en-GB"/>
        </w:rPr>
        <w:t>(Pousinho et al., 2016)</w:t>
      </w:r>
      <w:r w:rsidRPr="000954A0">
        <w:rPr>
          <w:rFonts w:ascii="Arial" w:hAnsi="Arial" w:cs="Arial"/>
          <w:i/>
          <w:iCs/>
          <w:color w:val="44546A" w:themeColor="text2"/>
          <w:sz w:val="18"/>
          <w:szCs w:val="18"/>
          <w:lang w:val="en-GB"/>
        </w:rPr>
        <w:fldChar w:fldCharType="end"/>
      </w:r>
      <w:r w:rsidRPr="000954A0">
        <w:rPr>
          <w:rFonts w:ascii="Arial" w:hAnsi="Arial" w:cs="Arial"/>
          <w:i/>
          <w:iCs/>
          <w:color w:val="44546A" w:themeColor="text2"/>
          <w:sz w:val="18"/>
          <w:szCs w:val="18"/>
          <w:lang w:val="en-GB"/>
        </w:rPr>
        <w:t>.</w:t>
      </w:r>
      <w:r w:rsidRPr="000954A0">
        <w:rPr>
          <w:rFonts w:ascii="Arial" w:hAnsi="Arial" w:cs="Arial"/>
          <w:i/>
          <w:iCs/>
          <w:color w:val="44546A" w:themeColor="text2"/>
          <w:sz w:val="18"/>
          <w:szCs w:val="18"/>
          <w:lang w:val="en-GB"/>
        </w:rPr>
        <w:fldChar w:fldCharType="begin" w:fldLock="1"/>
      </w:r>
      <w:r w:rsidRPr="000954A0">
        <w:rPr>
          <w:rFonts w:ascii="Arial" w:hAnsi="Arial" w:cs="Arial"/>
          <w:i/>
          <w:iCs/>
          <w:color w:val="44546A" w:themeColor="text2"/>
          <w:sz w:val="18"/>
          <w:szCs w:val="18"/>
          <w:lang w:val="en-GB"/>
        </w:rPr>
        <w:instrText>ADDIN CSL_CITATION {"citationItems":[{"id":"ITEM-1","itemData":{"DOI":"10.1159/000456088","ISSN":"14230151","abstract":"Objectives: The objectives of this study were to measure pharmacists' attitudes toward management of diabetes, identify current levels of pharmacy service provided to patients with diabetes, and identify barriers for further provision of diabetes-related services. Subjects and Methods: A descriptive, cross-sectional study was conducted on a sample of 198 pharmacists working in primary and secondary health care settings in one health region of Kuwait using a pretested self-administered questionnaire. Descriptive statistics, correlations, and comparative analysis were performed. Results: The response rate was 84.4% (n = 168). Respondents had overall positive attitudes toward management of diabetes. Pharmacists regularly provided their patients with counseling on the appropriate time to administer their medications; however, services related to hypoglycemia and management of comorbid diseases were rarely provided. A negative correlation was found between the positive overall diabetes-related attitudes and pharmacists' involvement in providing the following diabetes-related services: glucose monitoring (r = -0.25, p = 0.001), comorbid disease management (r = -0.243, p = 0.001), and healthy living choices (r = -0.237, p = 0.002). The perception that some physicians and patients have of pharmacists as dispensers only was identified as the most import</w:instrText>
      </w:r>
      <w:r w:rsidRPr="000D0E69">
        <w:rPr>
          <w:rFonts w:ascii="Arial" w:hAnsi="Arial" w:cs="Arial"/>
          <w:i/>
          <w:iCs/>
          <w:color w:val="44546A" w:themeColor="text2"/>
          <w:sz w:val="18"/>
          <w:szCs w:val="18"/>
          <w:lang w:val="nl-NL"/>
        </w:rPr>
        <w:instrText>ant barrier to providing diabetes-related services. Conclusion: Pharmacists have positive diabetes-related attitudes; however, they provide limited diabetes-related services to their patients. Barriers to provision of pharmacy services to patients with diabetes should be addressed to enable optimum patient care delivery.","author":[{"dropping-particle":"","family":"Haqan","given":"Asmaa A.","non-dropping-particle":"Al","parse-names":false,"suffix":""},{"dropping-particle":"","family":"Al-Taweel","given":"Dalal M.","non-dropping-particle":"","parse-names":false,"suffix":""},{"dropping-particle":"","family":"Awad","given":"Abdelmoneim","non-dropping-particle":"","parse-names":false,"suffix":""},{"dropping-particle":"","family":"Wake","given":"Deborah Jane","non-dropping-particle":"","parse-names":false,"suffix":""}],"container-title":"Medical Principles and Practice","id":"ITEM-1","issue":"3","issued":{"date-parts":[["2017","5","1"]]},"page":"273-279","publisher":"S. Karger AG","title":"Pharmacists' Attitudes and Role in Diabetes Management in Kuwait","type":"article-journal","volume":"26"},"uris":["http://www.mendeley.com/documents/?uuid=6cc31e18-9dc2-3473-bf05-43a9df581f33"]}],"mendeley":{"formattedCitation":"(Al Haqan &lt;i&gt;et al.&lt;/i&gt;, 2017)","plainTextFormattedCitation":"(Al Haqan et al., 2017)","previouslyFormattedCitation":"(Al Haqan &lt;i&gt;et al.&lt;/i&gt;, 2017)"},"properties":{"noteIndex":0},"schema":"https://github.com/citation-style-language/schema/raw/master/csl-citation.json"}</w:instrText>
      </w:r>
      <w:r w:rsidRPr="000954A0">
        <w:rPr>
          <w:rFonts w:ascii="Arial" w:hAnsi="Arial" w:cs="Arial"/>
          <w:i/>
          <w:iCs/>
          <w:color w:val="44546A" w:themeColor="text2"/>
          <w:sz w:val="18"/>
          <w:szCs w:val="18"/>
          <w:lang w:val="en-GB"/>
        </w:rPr>
        <w:fldChar w:fldCharType="separate"/>
      </w:r>
      <w:r w:rsidRPr="000D0E69">
        <w:rPr>
          <w:rFonts w:ascii="Arial" w:hAnsi="Arial" w:cs="Arial"/>
          <w:i/>
          <w:iCs/>
          <w:noProof/>
          <w:color w:val="44546A" w:themeColor="text2"/>
          <w:sz w:val="18"/>
          <w:szCs w:val="18"/>
          <w:lang w:val="nl-NL"/>
        </w:rPr>
        <w:t>(Al Haqan et al., 2017)</w:t>
      </w:r>
      <w:r w:rsidRPr="000954A0">
        <w:rPr>
          <w:rFonts w:ascii="Arial" w:hAnsi="Arial" w:cs="Arial"/>
          <w:i/>
          <w:iCs/>
          <w:color w:val="44546A" w:themeColor="text2"/>
          <w:sz w:val="18"/>
          <w:szCs w:val="18"/>
          <w:lang w:val="en-GB"/>
        </w:rPr>
        <w:fldChar w:fldCharType="end"/>
      </w:r>
      <w:r w:rsidRPr="000D0E69">
        <w:rPr>
          <w:rFonts w:ascii="Arial" w:hAnsi="Arial" w:cs="Arial"/>
          <w:i/>
          <w:iCs/>
          <w:color w:val="44546A" w:themeColor="text2"/>
          <w:sz w:val="18"/>
          <w:szCs w:val="18"/>
          <w:lang w:val="nl-NL"/>
        </w:rPr>
        <w:t xml:space="preserve">, </w:t>
      </w:r>
      <w:r>
        <w:rPr>
          <w:rFonts w:ascii="Arial" w:hAnsi="Arial" w:cs="Arial"/>
          <w:i/>
          <w:iCs/>
          <w:color w:val="44546A" w:themeColor="text2"/>
          <w:sz w:val="18"/>
          <w:szCs w:val="18"/>
          <w:lang w:val="en-GB"/>
        </w:rPr>
        <w:fldChar w:fldCharType="begin" w:fldLock="1"/>
      </w:r>
      <w:r w:rsidRPr="000D0E69">
        <w:rPr>
          <w:rFonts w:ascii="Arial" w:hAnsi="Arial" w:cs="Arial"/>
          <w:i/>
          <w:iCs/>
          <w:color w:val="44546A" w:themeColor="text2"/>
          <w:sz w:val="18"/>
          <w:szCs w:val="18"/>
          <w:lang w:val="nl-NL"/>
        </w:rPr>
        <w:instrText>ADDIN CSL_CITATION {"citationItems":[{"id":"ITEM-1","itemData":{"DOI":"10.1016/j.jcjd.2017.08.240","ISSN":"23523840","author":[{"dropping-particle":"","family":"Gagnon","given":"Antony","non-dropping-particle":"","parse-names":false,"suffix":""},{"dropping-particle":"","family":"Jin","given":"Margaret","non-dropping-particle":"","parse-names":false,"suffix":""},{"dropping-particle":"","family":"Malak","given":"Mark","non-dropping-particle":"","parse-names":false,"suffix":""},{"dropping-particle":"","family":"Bednarowski","given":"Katalin","non-dropping-particle":"","parse-names":false,"suffix":""},{"dropping-particle":"","family":"Feng","given":"Lucy","non-dropping-particle":"","parse-names":false,"suffix":""},{"dropping-particle":"","family":"Francis-Pringle","given":"Sophia","non-dropping-particle":"","parse-names":false,"suffix":""},{"dropping-particle":"","family":"Lu","given":"Sandy","non-dropping-particle":"","parse-names":false,"suffix":""},{"dropping-particle":"","family":"Mallin","given":"Anne","non-dropping-particle":"","parse-names":false,"suffix":""},{"dropping-particle":"","family":"Skokovic-Sunjic","given":"Dragana","non-dropping-particle":"","parse-names":false,"suffix":""},{"dropping-particle":"","family":"Vedelago","given":"Annette","non-dropping-particle":"","parse-names":false,"suffix":""}],"container-title":"Canadian Journal of Diabetes","id":"ITEM-1","issue":"6","issued":{"date-parts":[["2017"]]},"page":"576-579","publisher":"Elsevier Inc.","title":"Pharmacists Managing People with Diabetes in Primary Care: 10 Years of Experience at the Hamilton Family Health Team","type":"article-journal","volume":"41"},"uris":["http://www.mendeley.com/documents/?uuid=9e28f21f-6300-478b-afe2-6ef620de5cce"]}],"mendeley":{"formattedCitation":"(Gagnon &lt;i&gt;et al.&lt;/i&gt;, 2017)","plainTextFormattedCitation":"(Gagnon et al., 2017)","previouslyFormattedCitation":"(Gagnon &lt;i&gt;et al.&lt;/i&gt;, 2017)"},"properties":{"noteIndex":0},"schema":"https://github.com/citation-style-language/schema/raw/master/csl-citation.json"}</w:instrText>
      </w:r>
      <w:r>
        <w:rPr>
          <w:rFonts w:ascii="Arial" w:hAnsi="Arial" w:cs="Arial"/>
          <w:i/>
          <w:iCs/>
          <w:color w:val="44546A" w:themeColor="text2"/>
          <w:sz w:val="18"/>
          <w:szCs w:val="18"/>
          <w:lang w:val="en-GB"/>
        </w:rPr>
        <w:fldChar w:fldCharType="separate"/>
      </w:r>
      <w:r w:rsidRPr="000D0E69">
        <w:rPr>
          <w:rFonts w:ascii="Arial" w:hAnsi="Arial" w:cs="Arial"/>
          <w:iCs/>
          <w:noProof/>
          <w:color w:val="44546A" w:themeColor="text2"/>
          <w:sz w:val="18"/>
          <w:szCs w:val="18"/>
          <w:lang w:val="nl-NL"/>
        </w:rPr>
        <w:t xml:space="preserve">(Gagnon </w:t>
      </w:r>
      <w:r w:rsidRPr="000D0E69">
        <w:rPr>
          <w:rFonts w:ascii="Arial" w:hAnsi="Arial" w:cs="Arial"/>
          <w:i/>
          <w:iCs/>
          <w:noProof/>
          <w:color w:val="44546A" w:themeColor="text2"/>
          <w:sz w:val="18"/>
          <w:szCs w:val="18"/>
          <w:lang w:val="nl-NL"/>
        </w:rPr>
        <w:t>et al.</w:t>
      </w:r>
      <w:r w:rsidRPr="000D0E69">
        <w:rPr>
          <w:rFonts w:ascii="Arial" w:hAnsi="Arial" w:cs="Arial"/>
          <w:iCs/>
          <w:noProof/>
          <w:color w:val="44546A" w:themeColor="text2"/>
          <w:sz w:val="18"/>
          <w:szCs w:val="18"/>
          <w:lang w:val="nl-NL"/>
        </w:rPr>
        <w:t>, 2017)</w:t>
      </w:r>
      <w:r>
        <w:rPr>
          <w:rFonts w:ascii="Arial" w:hAnsi="Arial" w:cs="Arial"/>
          <w:i/>
          <w:iCs/>
          <w:color w:val="44546A" w:themeColor="text2"/>
          <w:sz w:val="18"/>
          <w:szCs w:val="18"/>
          <w:lang w:val="en-GB"/>
        </w:rPr>
        <w:fldChar w:fldCharType="end"/>
      </w:r>
    </w:p>
    <w:p w14:paraId="6C18A778" w14:textId="77777777" w:rsidR="009D2B25" w:rsidRPr="00A27B1D" w:rsidRDefault="009D2B25" w:rsidP="009D2B25">
      <w:pPr>
        <w:shd w:val="clear" w:color="auto" w:fill="FFFFFF"/>
        <w:spacing w:line="360" w:lineRule="auto"/>
        <w:rPr>
          <w:rFonts w:ascii="Arial" w:hAnsi="Arial" w:cs="Arial"/>
          <w:i/>
          <w:iCs/>
          <w:color w:val="44546A" w:themeColor="text2"/>
          <w:sz w:val="18"/>
          <w:szCs w:val="18"/>
          <w:lang w:val="nl-NL"/>
        </w:rPr>
      </w:pPr>
    </w:p>
    <w:p w14:paraId="08DDA18E" w14:textId="77777777" w:rsidR="009D2B25" w:rsidRPr="00BD7856" w:rsidRDefault="009D2B25" w:rsidP="009D2B25">
      <w:pPr>
        <w:pStyle w:val="Heading1"/>
        <w:rPr>
          <w:rFonts w:asciiTheme="minorBidi" w:hAnsiTheme="minorBidi" w:cstheme="minorBidi"/>
          <w:i/>
          <w:iCs/>
          <w:color w:val="44546A" w:themeColor="text2"/>
          <w:sz w:val="24"/>
          <w:szCs w:val="24"/>
          <w:lang w:val="nl-NL"/>
        </w:rPr>
      </w:pPr>
      <w:bookmarkStart w:id="359" w:name="_Ref148515738"/>
      <w:bookmarkStart w:id="360" w:name="_Toc148518769"/>
      <w:bookmarkStart w:id="361" w:name="_Toc150609778"/>
      <w:bookmarkStart w:id="362" w:name="_Toc153894235"/>
      <w:r w:rsidRPr="00BD7856">
        <w:rPr>
          <w:rFonts w:asciiTheme="minorBidi" w:hAnsiTheme="minorBidi" w:cstheme="minorBidi"/>
          <w:i/>
          <w:iCs/>
          <w:color w:val="44546A" w:themeColor="text2"/>
          <w:sz w:val="24"/>
          <w:szCs w:val="24"/>
          <w:lang w:val="nl-NL"/>
        </w:rPr>
        <w:t xml:space="preserve">Appendix H: </w:t>
      </w:r>
      <w:r w:rsidRPr="00BD7856">
        <w:rPr>
          <w:rFonts w:asciiTheme="minorBidi" w:hAnsiTheme="minorBidi" w:cstheme="minorBidi"/>
          <w:sz w:val="24"/>
          <w:szCs w:val="24"/>
          <w:lang w:val="nl-NL"/>
        </w:rPr>
        <w:t>Study characteristics and key findings of the Saudi included studies</w:t>
      </w:r>
      <w:bookmarkEnd w:id="359"/>
      <w:bookmarkEnd w:id="360"/>
      <w:bookmarkEnd w:id="361"/>
      <w:bookmarkEnd w:id="362"/>
    </w:p>
    <w:p w14:paraId="398B7AE9" w14:textId="77777777" w:rsidR="009D2B25" w:rsidRPr="00BD7856" w:rsidRDefault="009D2B25" w:rsidP="009D2B25">
      <w:pPr>
        <w:shd w:val="clear" w:color="auto" w:fill="FFFFFF"/>
        <w:spacing w:line="360" w:lineRule="auto"/>
        <w:rPr>
          <w:rFonts w:ascii="Arial" w:hAnsi="Arial" w:cs="Arial"/>
          <w:i/>
          <w:iCs/>
          <w:color w:val="44546A" w:themeColor="text2"/>
          <w:sz w:val="18"/>
          <w:szCs w:val="18"/>
          <w:lang w:val="nl-NL"/>
        </w:rPr>
      </w:pPr>
    </w:p>
    <w:p w14:paraId="36F70A92" w14:textId="30C21AEE" w:rsidR="009D2B25" w:rsidRPr="00876389" w:rsidRDefault="009D2B25" w:rsidP="009D2B25">
      <w:pPr>
        <w:pStyle w:val="Caption"/>
        <w:rPr>
          <w:rFonts w:cstheme="minorHAnsi"/>
          <w:i w:val="0"/>
          <w:iCs w:val="0"/>
          <w:sz w:val="22"/>
          <w:szCs w:val="22"/>
        </w:rPr>
      </w:pPr>
      <w:bookmarkStart w:id="363" w:name="_Toc148514445"/>
      <w:r w:rsidRPr="00BD7856">
        <w:rPr>
          <w:rFonts w:cstheme="minorHAnsi"/>
          <w:sz w:val="22"/>
          <w:szCs w:val="22"/>
          <w:lang w:val="nl-NL"/>
        </w:rPr>
        <w:t>Table: Presents an overview of the study characteristics and key findi</w:t>
      </w:r>
      <w:r w:rsidRPr="00876389">
        <w:rPr>
          <w:rFonts w:cstheme="minorHAnsi"/>
          <w:sz w:val="22"/>
          <w:szCs w:val="22"/>
        </w:rPr>
        <w:t>ngs for pharmacist-led interventions of the included studies.</w:t>
      </w:r>
      <w:bookmarkEnd w:id="363"/>
    </w:p>
    <w:tbl>
      <w:tblPr>
        <w:tblW w:w="15017" w:type="dxa"/>
        <w:tblInd w:w="-815" w:type="dxa"/>
        <w:tblLayout w:type="fixed"/>
        <w:tblLook w:val="04A0" w:firstRow="1" w:lastRow="0" w:firstColumn="1" w:lastColumn="0" w:noHBand="0" w:noVBand="1"/>
      </w:tblPr>
      <w:tblGrid>
        <w:gridCol w:w="540"/>
        <w:gridCol w:w="990"/>
        <w:gridCol w:w="1620"/>
        <w:gridCol w:w="1530"/>
        <w:gridCol w:w="1980"/>
        <w:gridCol w:w="1440"/>
        <w:gridCol w:w="3510"/>
        <w:gridCol w:w="3407"/>
      </w:tblGrid>
      <w:tr w:rsidR="009D2B25" w:rsidRPr="00CE056C" w14:paraId="69F20C0C" w14:textId="77777777" w:rsidTr="00282204">
        <w:trPr>
          <w:trHeight w:val="503"/>
          <w:tblHead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D5948" w14:textId="77777777" w:rsidR="009D2B25" w:rsidRPr="001A3CE6" w:rsidRDefault="009D2B25" w:rsidP="00282204">
            <w:pPr>
              <w:spacing w:after="0" w:line="240" w:lineRule="auto"/>
              <w:rPr>
                <w:rFonts w:ascii="Calibri" w:eastAsia="Times New Roman" w:hAnsi="Calibri" w:cs="Calibri"/>
                <w:color w:val="2A2A2A"/>
                <w:sz w:val="20"/>
                <w:szCs w:val="20"/>
              </w:rPr>
            </w:pPr>
            <w:r w:rsidRPr="001A3CE6">
              <w:rPr>
                <w:rFonts w:ascii="Calibri" w:eastAsia="Times New Roman" w:hAnsi="Calibri" w:cs="Calibri"/>
                <w:color w:val="2A2A2A"/>
                <w:sz w:val="20"/>
                <w:szCs w:val="20"/>
                <w:lang w:val="en-GB"/>
              </w:rPr>
              <w:t>No.</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1E36FB9F" w14:textId="77777777" w:rsidR="009D2B25" w:rsidRPr="001A3CE6" w:rsidRDefault="009D2B25" w:rsidP="00282204">
            <w:pPr>
              <w:spacing w:after="0" w:line="240" w:lineRule="auto"/>
              <w:rPr>
                <w:rFonts w:ascii="Calibri" w:eastAsia="Times New Roman" w:hAnsi="Calibri" w:cs="Calibri"/>
                <w:color w:val="000000"/>
                <w:sz w:val="20"/>
                <w:szCs w:val="20"/>
              </w:rPr>
            </w:pPr>
            <w:r w:rsidRPr="001A3CE6">
              <w:rPr>
                <w:rFonts w:ascii="Calibri" w:eastAsia="Times New Roman" w:hAnsi="Calibri" w:cs="Calibri"/>
                <w:color w:val="000000"/>
                <w:sz w:val="20"/>
                <w:szCs w:val="20"/>
                <w:lang w:val="en-GB"/>
              </w:rPr>
              <w:t xml:space="preserve">Citation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3E5FBBC8" w14:textId="77777777" w:rsidR="009D2B25" w:rsidRPr="001A3CE6" w:rsidRDefault="009D2B25" w:rsidP="00282204">
            <w:pPr>
              <w:spacing w:after="0" w:line="240" w:lineRule="auto"/>
              <w:rPr>
                <w:rFonts w:ascii="Calibri" w:eastAsia="Times New Roman" w:hAnsi="Calibri" w:cs="Calibri"/>
                <w:color w:val="000000"/>
                <w:sz w:val="20"/>
                <w:szCs w:val="20"/>
              </w:rPr>
            </w:pPr>
            <w:r w:rsidRPr="001A3CE6">
              <w:rPr>
                <w:rFonts w:ascii="Calibri" w:eastAsia="Times New Roman" w:hAnsi="Calibri" w:cs="Calibri"/>
                <w:color w:val="000000"/>
                <w:sz w:val="20"/>
                <w:szCs w:val="20"/>
                <w:lang w:val="en-GB"/>
              </w:rPr>
              <w:t>Title/aim</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79B3CA42" w14:textId="77777777" w:rsidR="009D2B25" w:rsidRPr="001A3CE6" w:rsidRDefault="009D2B25" w:rsidP="00282204">
            <w:pPr>
              <w:spacing w:after="0" w:line="240" w:lineRule="auto"/>
              <w:rPr>
                <w:rFonts w:ascii="Calibri" w:eastAsia="Times New Roman" w:hAnsi="Calibri" w:cs="Calibri"/>
                <w:color w:val="000000"/>
                <w:sz w:val="20"/>
                <w:szCs w:val="20"/>
              </w:rPr>
            </w:pPr>
            <w:r w:rsidRPr="001A3CE6">
              <w:rPr>
                <w:rFonts w:ascii="Calibri" w:eastAsia="Times New Roman" w:hAnsi="Calibri" w:cs="Calibri"/>
                <w:color w:val="000000"/>
                <w:sz w:val="20"/>
                <w:szCs w:val="20"/>
                <w:lang w:val="en-GB"/>
              </w:rPr>
              <w:t>Setting/location</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16347AE" w14:textId="77777777" w:rsidR="009D2B25" w:rsidRPr="0039235A" w:rsidRDefault="009D2B25" w:rsidP="00282204">
            <w:pPr>
              <w:spacing w:after="0" w:line="240" w:lineRule="auto"/>
              <w:rPr>
                <w:rFonts w:ascii="Calibri" w:eastAsia="Times New Roman" w:hAnsi="Calibri" w:cs="Calibri"/>
                <w:color w:val="000000"/>
                <w:sz w:val="20"/>
                <w:szCs w:val="20"/>
                <w:lang w:val="en-GB"/>
              </w:rPr>
            </w:pPr>
            <w:r w:rsidRPr="001A3CE6">
              <w:rPr>
                <w:rFonts w:ascii="Calibri" w:eastAsia="Times New Roman" w:hAnsi="Calibri" w:cs="Calibri"/>
                <w:color w:val="000000"/>
                <w:sz w:val="20"/>
                <w:szCs w:val="20"/>
                <w:lang w:val="en-GB"/>
              </w:rPr>
              <w:t>Size</w:t>
            </w:r>
            <w:r>
              <w:rPr>
                <w:rFonts w:ascii="Calibri" w:eastAsia="Times New Roman" w:hAnsi="Calibri" w:cs="Calibri"/>
                <w:color w:val="000000"/>
                <w:sz w:val="20"/>
                <w:szCs w:val="20"/>
                <w:lang w:val="en-GB"/>
              </w:rPr>
              <w:t>/</w:t>
            </w:r>
            <w:r w:rsidRPr="001A3CE6">
              <w:rPr>
                <w:rFonts w:ascii="Calibri" w:eastAsia="Times New Roman" w:hAnsi="Calibri" w:cs="Calibri"/>
                <w:color w:val="000000"/>
                <w:sz w:val="20"/>
                <w:szCs w:val="20"/>
                <w:lang w:val="en-GB"/>
              </w:rPr>
              <w:t>Population</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8C1A1DF" w14:textId="77777777" w:rsidR="009D2B25" w:rsidRPr="001A3CE6" w:rsidRDefault="009D2B25" w:rsidP="00282204">
            <w:pPr>
              <w:spacing w:after="0" w:line="240" w:lineRule="auto"/>
              <w:rPr>
                <w:rFonts w:ascii="Calibri" w:eastAsia="Times New Roman" w:hAnsi="Calibri" w:cs="Calibri"/>
                <w:color w:val="000000"/>
                <w:sz w:val="20"/>
                <w:szCs w:val="20"/>
              </w:rPr>
            </w:pPr>
            <w:r w:rsidRPr="001A3CE6">
              <w:rPr>
                <w:rFonts w:ascii="Calibri" w:eastAsia="Times New Roman" w:hAnsi="Calibri" w:cs="Calibri"/>
                <w:color w:val="000000"/>
                <w:sz w:val="20"/>
                <w:szCs w:val="20"/>
                <w:lang w:val="en-GB"/>
              </w:rPr>
              <w:t xml:space="preserve">Type </w:t>
            </w:r>
          </w:p>
        </w:tc>
        <w:tc>
          <w:tcPr>
            <w:tcW w:w="3510" w:type="dxa"/>
            <w:tcBorders>
              <w:top w:val="single" w:sz="4" w:space="0" w:color="auto"/>
              <w:left w:val="nil"/>
              <w:bottom w:val="single" w:sz="4" w:space="0" w:color="auto"/>
              <w:right w:val="single" w:sz="4" w:space="0" w:color="auto"/>
            </w:tcBorders>
            <w:shd w:val="clear" w:color="auto" w:fill="auto"/>
            <w:vAlign w:val="center"/>
            <w:hideMark/>
          </w:tcPr>
          <w:p w14:paraId="176BC2AE" w14:textId="77777777" w:rsidR="009D2B25" w:rsidRPr="001A3CE6" w:rsidRDefault="009D2B25" w:rsidP="00282204">
            <w:pPr>
              <w:spacing w:after="0" w:line="240" w:lineRule="auto"/>
              <w:rPr>
                <w:rFonts w:ascii="Calibri" w:eastAsia="Times New Roman" w:hAnsi="Calibri" w:cs="Calibri"/>
                <w:color w:val="000000"/>
                <w:sz w:val="20"/>
                <w:szCs w:val="20"/>
              </w:rPr>
            </w:pPr>
            <w:r w:rsidRPr="001A3CE6">
              <w:rPr>
                <w:rFonts w:ascii="Calibri" w:eastAsia="Times New Roman" w:hAnsi="Calibri" w:cs="Calibri"/>
                <w:color w:val="000000"/>
                <w:sz w:val="20"/>
                <w:szCs w:val="20"/>
                <w:lang w:val="en-GB"/>
              </w:rPr>
              <w:t xml:space="preserve">Intervention </w:t>
            </w:r>
          </w:p>
        </w:tc>
        <w:tc>
          <w:tcPr>
            <w:tcW w:w="3407" w:type="dxa"/>
            <w:tcBorders>
              <w:top w:val="single" w:sz="4" w:space="0" w:color="auto"/>
              <w:left w:val="nil"/>
              <w:bottom w:val="single" w:sz="4" w:space="0" w:color="auto"/>
              <w:right w:val="single" w:sz="4" w:space="0" w:color="auto"/>
            </w:tcBorders>
            <w:shd w:val="clear" w:color="auto" w:fill="auto"/>
            <w:vAlign w:val="center"/>
            <w:hideMark/>
          </w:tcPr>
          <w:p w14:paraId="1C1843E9" w14:textId="77777777" w:rsidR="009D2B25" w:rsidRPr="001A3CE6" w:rsidRDefault="009D2B25" w:rsidP="00282204">
            <w:pPr>
              <w:spacing w:after="0" w:line="240" w:lineRule="auto"/>
              <w:rPr>
                <w:rFonts w:ascii="Calibri" w:eastAsia="Times New Roman" w:hAnsi="Calibri" w:cs="Calibri"/>
                <w:color w:val="000000"/>
                <w:sz w:val="20"/>
                <w:szCs w:val="20"/>
              </w:rPr>
            </w:pPr>
            <w:r w:rsidRPr="001A3CE6">
              <w:rPr>
                <w:rFonts w:ascii="Calibri" w:eastAsia="Times New Roman" w:hAnsi="Calibri" w:cs="Calibri"/>
                <w:color w:val="000000"/>
                <w:sz w:val="20"/>
                <w:szCs w:val="20"/>
                <w:lang w:val="en-GB"/>
              </w:rPr>
              <w:t xml:space="preserve">Outcomes </w:t>
            </w:r>
          </w:p>
        </w:tc>
      </w:tr>
      <w:tr w:rsidR="009D2B25" w:rsidRPr="00CE056C" w14:paraId="741177C1" w14:textId="77777777" w:rsidTr="00282204">
        <w:trPr>
          <w:trHeight w:val="292"/>
        </w:trPr>
        <w:tc>
          <w:tcPr>
            <w:tcW w:w="15017" w:type="dxa"/>
            <w:gridSpan w:val="8"/>
            <w:tcBorders>
              <w:top w:val="nil"/>
              <w:left w:val="single" w:sz="4" w:space="0" w:color="auto"/>
              <w:bottom w:val="single" w:sz="4" w:space="0" w:color="auto"/>
              <w:right w:val="single" w:sz="4" w:space="0" w:color="auto"/>
            </w:tcBorders>
            <w:shd w:val="clear" w:color="000000" w:fill="D9D9D9"/>
            <w:vAlign w:val="center"/>
            <w:hideMark/>
          </w:tcPr>
          <w:p w14:paraId="05C5105D" w14:textId="77777777" w:rsidR="009D2B25" w:rsidRPr="00C15F65" w:rsidRDefault="009D2B25" w:rsidP="00282204">
            <w:pPr>
              <w:spacing w:after="0" w:line="240" w:lineRule="auto"/>
              <w:rPr>
                <w:rFonts w:ascii="Calibri" w:eastAsia="Times New Roman" w:hAnsi="Calibri" w:cs="Calibri"/>
                <w:b/>
                <w:bCs/>
                <w:color w:val="000000"/>
              </w:rPr>
            </w:pPr>
            <w:r w:rsidRPr="00C15F65">
              <w:rPr>
                <w:rFonts w:ascii="Calibri" w:eastAsia="Times New Roman" w:hAnsi="Calibri" w:cs="Calibri"/>
                <w:b/>
                <w:bCs/>
                <w:lang w:val="en-GB"/>
              </w:rPr>
              <w:t>Pharmacist-Collaborative Care</w:t>
            </w:r>
          </w:p>
        </w:tc>
      </w:tr>
      <w:tr w:rsidR="009D2B25" w:rsidRPr="00CE056C" w14:paraId="760F91EA" w14:textId="77777777" w:rsidTr="00282204">
        <w:trPr>
          <w:trHeight w:val="3014"/>
        </w:trPr>
        <w:tc>
          <w:tcPr>
            <w:tcW w:w="540" w:type="dxa"/>
            <w:tcBorders>
              <w:top w:val="nil"/>
              <w:left w:val="single" w:sz="4" w:space="0" w:color="auto"/>
              <w:bottom w:val="single" w:sz="4" w:space="0" w:color="auto"/>
              <w:right w:val="single" w:sz="4" w:space="0" w:color="auto"/>
            </w:tcBorders>
            <w:shd w:val="clear" w:color="auto" w:fill="auto"/>
          </w:tcPr>
          <w:p w14:paraId="5D2C1B40"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1</w:t>
            </w:r>
          </w:p>
        </w:tc>
        <w:tc>
          <w:tcPr>
            <w:tcW w:w="990" w:type="dxa"/>
            <w:tcBorders>
              <w:top w:val="nil"/>
              <w:left w:val="nil"/>
              <w:bottom w:val="single" w:sz="4" w:space="0" w:color="auto"/>
              <w:right w:val="single" w:sz="4" w:space="0" w:color="auto"/>
            </w:tcBorders>
            <w:shd w:val="clear" w:color="auto" w:fill="auto"/>
          </w:tcPr>
          <w:p w14:paraId="001E5513" w14:textId="77777777" w:rsidR="009D2B25" w:rsidRPr="001A3CE6" w:rsidRDefault="009D2B25" w:rsidP="00282204">
            <w:pPr>
              <w:spacing w:after="0" w:line="240" w:lineRule="auto"/>
              <w:rPr>
                <w:rFonts w:ascii="Calibri" w:eastAsia="Times New Roman" w:hAnsi="Calibri" w:cstheme="minorHAnsi"/>
                <w:noProof/>
                <w:color w:val="000000"/>
                <w:sz w:val="20"/>
                <w:szCs w:val="20"/>
                <w:lang w:val="en-GB"/>
              </w:rPr>
            </w:pPr>
            <w:r>
              <w:rPr>
                <w:rFonts w:ascii="Calibri" w:eastAsia="Times New Roman" w:hAnsi="Calibri" w:cstheme="minorHAnsi"/>
                <w:noProof/>
                <w:color w:val="000000"/>
                <w:sz w:val="20"/>
                <w:szCs w:val="20"/>
                <w:lang w:val="en-GB"/>
              </w:rPr>
              <w:fldChar w:fldCharType="begin" w:fldLock="1"/>
            </w:r>
            <w:r>
              <w:rPr>
                <w:rFonts w:ascii="Calibri" w:eastAsia="Times New Roman" w:hAnsi="Calibri" w:cstheme="minorHAnsi"/>
                <w:noProof/>
                <w:color w:val="000000"/>
                <w:sz w:val="20"/>
                <w:szCs w:val="20"/>
                <w:lang w:val="en-GB"/>
              </w:rPr>
              <w:instrText>ADDIN CSL_CITATION {"citationItems":[{"id":"ITEM-1","itemData":{"author":[{"dropping-particle":"","family":"Aldraimly","given":"Maha","non-dropping-particle":"","parse-names":false,"suffix":""},{"dropping-particle":"","family":"Azhar","given":"Syed","non-dropping-particle":"","parse-names":false,"suffix":""},{"dropping-particle":"","family":"Syed","given":"Bin","non-dropping-particle":"","parse-names":false,"suffix":""},{"dropping-particle":"","family":"Nouri","given":"Ahmed Ibrahim","non-dropping-particle":"","parse-names":false,"suffix":""},{"dropping-particle":"","family":"Alanazi","given":"Salma Fahad","non-dropping-particle":"","parse-names":false,"suffix":""}],"id":"ITEM-1","issue":"4","issued":{"date-parts":[["2021"]]},"page":"2582-2594","title":"Impact of Clinical Pharmacist Interventions in Management of Diabetes in Primary Care in Saudi Arabia","type":"article-journal","volume":"12"},"uris":["http://www.mendeley.com/documents/?uuid=78361eef-f052-4acf-a8d9-b172ac78fc45"]}],"mendeley":{"formattedCitation":"(Aldraimly &lt;i&gt;et al.&lt;/i&gt;, 2021)","plainTextFormattedCitation":"(Aldraimly et al., 2021)","previouslyFormattedCitation":"(Aldraimly &lt;i&gt;et al.&lt;/i&gt;, 2021)"},"properties":{"noteIndex":0},"schema":"https://github.com/citation-style-language/schema/raw/master/csl-citation.json"}</w:instrText>
            </w:r>
            <w:r>
              <w:rPr>
                <w:rFonts w:ascii="Calibri" w:eastAsia="Times New Roman" w:hAnsi="Calibri" w:cstheme="minorHAnsi"/>
                <w:noProof/>
                <w:color w:val="000000"/>
                <w:sz w:val="20"/>
                <w:szCs w:val="20"/>
                <w:lang w:val="en-GB"/>
              </w:rPr>
              <w:fldChar w:fldCharType="separate"/>
            </w:r>
            <w:r w:rsidRPr="00C7262A">
              <w:rPr>
                <w:rFonts w:ascii="Calibri" w:eastAsia="Times New Roman" w:hAnsi="Calibri" w:cstheme="minorHAnsi"/>
                <w:noProof/>
                <w:color w:val="000000"/>
                <w:sz w:val="20"/>
                <w:szCs w:val="20"/>
                <w:lang w:val="en-GB"/>
              </w:rPr>
              <w:t xml:space="preserve">(Aldraimly </w:t>
            </w:r>
            <w:r w:rsidRPr="00C7262A">
              <w:rPr>
                <w:rFonts w:ascii="Calibri" w:eastAsia="Times New Roman" w:hAnsi="Calibri" w:cstheme="minorHAnsi"/>
                <w:i/>
                <w:noProof/>
                <w:color w:val="000000"/>
                <w:sz w:val="20"/>
                <w:szCs w:val="20"/>
                <w:lang w:val="en-GB"/>
              </w:rPr>
              <w:t>et al.</w:t>
            </w:r>
            <w:r w:rsidRPr="00C7262A">
              <w:rPr>
                <w:rFonts w:ascii="Calibri" w:eastAsia="Times New Roman" w:hAnsi="Calibri" w:cstheme="minorHAnsi"/>
                <w:noProof/>
                <w:color w:val="000000"/>
                <w:sz w:val="20"/>
                <w:szCs w:val="20"/>
                <w:lang w:val="en-GB"/>
              </w:rPr>
              <w:t>, 2021)</w:t>
            </w:r>
            <w:r>
              <w:rPr>
                <w:rFonts w:ascii="Calibri" w:eastAsia="Times New Roman" w:hAnsi="Calibri" w:cstheme="minorHAnsi"/>
                <w:noProof/>
                <w:color w:val="000000"/>
                <w:sz w:val="20"/>
                <w:szCs w:val="20"/>
                <w:lang w:val="en-GB"/>
              </w:rPr>
              <w:fldChar w:fldCharType="end"/>
            </w:r>
          </w:p>
        </w:tc>
        <w:tc>
          <w:tcPr>
            <w:tcW w:w="1620" w:type="dxa"/>
            <w:tcBorders>
              <w:top w:val="nil"/>
              <w:left w:val="nil"/>
              <w:bottom w:val="single" w:sz="4" w:space="0" w:color="auto"/>
              <w:right w:val="single" w:sz="4" w:space="0" w:color="auto"/>
            </w:tcBorders>
            <w:shd w:val="clear" w:color="auto" w:fill="auto"/>
          </w:tcPr>
          <w:p w14:paraId="26B25FD1"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sidRPr="00282569">
              <w:rPr>
                <w:rFonts w:ascii="Calibri" w:eastAsia="Times New Roman" w:hAnsi="Calibri" w:cstheme="minorHAnsi"/>
                <w:color w:val="000000"/>
                <w:sz w:val="20"/>
                <w:szCs w:val="20"/>
                <w:lang w:val="en-GB"/>
              </w:rPr>
              <w:t xml:space="preserve">Impact of Clinical Pharmacist Interventions in Management of Diabetes in Primary Care in </w:t>
            </w:r>
            <w:r>
              <w:rPr>
                <w:rFonts w:ascii="Calibri" w:eastAsia="Times New Roman" w:hAnsi="Calibri" w:cstheme="minorHAnsi"/>
                <w:color w:val="000000"/>
                <w:sz w:val="20"/>
                <w:szCs w:val="20"/>
                <w:lang w:val="en-GB"/>
              </w:rPr>
              <w:t>SA</w:t>
            </w:r>
            <w:r w:rsidRPr="00E95A40">
              <w:rPr>
                <w:rFonts w:ascii="Calibri" w:eastAsia="Times New Roman" w:hAnsi="Calibri" w:cstheme="minorHAnsi"/>
                <w:color w:val="000000"/>
                <w:sz w:val="20"/>
                <w:szCs w:val="20"/>
                <w:lang w:val="en-GB"/>
              </w:rPr>
              <w:t>.</w:t>
            </w:r>
          </w:p>
        </w:tc>
        <w:tc>
          <w:tcPr>
            <w:tcW w:w="1530" w:type="dxa"/>
            <w:tcBorders>
              <w:top w:val="nil"/>
              <w:left w:val="nil"/>
              <w:bottom w:val="single" w:sz="4" w:space="0" w:color="auto"/>
              <w:right w:val="single" w:sz="4" w:space="0" w:color="auto"/>
            </w:tcBorders>
            <w:shd w:val="clear" w:color="auto" w:fill="auto"/>
          </w:tcPr>
          <w:p w14:paraId="2412AB52"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 xml:space="preserve">3 </w:t>
            </w:r>
            <w:r w:rsidRPr="00E95A40">
              <w:rPr>
                <w:rFonts w:ascii="Calibri" w:eastAsia="Times New Roman" w:hAnsi="Calibri" w:cstheme="minorHAnsi"/>
                <w:color w:val="000000"/>
                <w:sz w:val="20"/>
                <w:szCs w:val="20"/>
                <w:lang w:val="en-GB"/>
              </w:rPr>
              <w:t xml:space="preserve">outpatient centers of National Guard hospitals in Riyadh, </w:t>
            </w:r>
            <w:r>
              <w:rPr>
                <w:rFonts w:ascii="Calibri" w:eastAsia="Times New Roman" w:hAnsi="Calibri" w:cstheme="minorHAnsi"/>
                <w:color w:val="000000"/>
                <w:sz w:val="20"/>
                <w:szCs w:val="20"/>
                <w:lang w:val="en-GB"/>
              </w:rPr>
              <w:t>SA</w:t>
            </w:r>
          </w:p>
        </w:tc>
        <w:tc>
          <w:tcPr>
            <w:tcW w:w="1980" w:type="dxa"/>
            <w:tcBorders>
              <w:top w:val="nil"/>
              <w:left w:val="nil"/>
              <w:bottom w:val="single" w:sz="4" w:space="0" w:color="auto"/>
              <w:right w:val="single" w:sz="4" w:space="0" w:color="auto"/>
            </w:tcBorders>
            <w:shd w:val="clear" w:color="auto" w:fill="auto"/>
          </w:tcPr>
          <w:p w14:paraId="7B433B35"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8E4880">
              <w:rPr>
                <w:rFonts w:ascii="Calibri" w:eastAsia="Times New Roman" w:hAnsi="Calibri" w:cstheme="minorHAnsi"/>
                <w:color w:val="000000"/>
                <w:sz w:val="20"/>
                <w:szCs w:val="20"/>
                <w:lang w:val="en-GB"/>
              </w:rPr>
              <w:t>301</w:t>
            </w:r>
            <w:r>
              <w:rPr>
                <w:rFonts w:ascii="Calibri" w:eastAsia="Times New Roman" w:hAnsi="Calibri" w:cstheme="minorHAnsi"/>
                <w:color w:val="000000"/>
                <w:sz w:val="20"/>
                <w:szCs w:val="20"/>
                <w:lang w:val="en-GB"/>
              </w:rPr>
              <w:t xml:space="preserve"> uncontrolled </w:t>
            </w:r>
            <w:r>
              <w:rPr>
                <w:rFonts w:ascii="Calibri" w:eastAsia="Times New Roman" w:hAnsi="Calibri" w:cs="Calibri"/>
                <w:color w:val="000000"/>
                <w:sz w:val="20"/>
                <w:szCs w:val="20"/>
                <w:lang w:val="en-GB"/>
              </w:rPr>
              <w:t>T2D</w:t>
            </w:r>
            <w:r>
              <w:rPr>
                <w:rFonts w:ascii="Calibri" w:eastAsia="Times New Roman" w:hAnsi="Calibri" w:cstheme="minorHAnsi"/>
                <w:color w:val="000000"/>
                <w:sz w:val="20"/>
                <w:szCs w:val="20"/>
                <w:lang w:val="en-GB"/>
              </w:rPr>
              <w:t xml:space="preserve"> patients.</w:t>
            </w:r>
          </w:p>
          <w:p w14:paraId="5D4358F6"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792D07">
              <w:rPr>
                <w:rFonts w:ascii="Calibri" w:eastAsia="Times New Roman" w:hAnsi="Calibri" w:cstheme="minorHAnsi"/>
                <w:color w:val="000000"/>
                <w:sz w:val="20"/>
                <w:szCs w:val="20"/>
                <w:lang w:val="en-GB"/>
              </w:rPr>
              <w:t>Intervention group</w:t>
            </w:r>
            <w:r>
              <w:rPr>
                <w:rFonts w:ascii="Calibri" w:eastAsia="Times New Roman" w:hAnsi="Calibri" w:cstheme="minorHAnsi"/>
                <w:color w:val="000000"/>
                <w:sz w:val="20"/>
                <w:szCs w:val="20"/>
                <w:lang w:val="en-GB"/>
              </w:rPr>
              <w:t xml:space="preserve">= </w:t>
            </w:r>
            <w:r w:rsidRPr="00792D07">
              <w:rPr>
                <w:rFonts w:ascii="Calibri" w:eastAsia="Times New Roman" w:hAnsi="Calibri" w:cstheme="minorHAnsi"/>
                <w:color w:val="000000"/>
                <w:sz w:val="20"/>
                <w:szCs w:val="20"/>
                <w:lang w:val="en-GB"/>
              </w:rPr>
              <w:t>150</w:t>
            </w:r>
            <w:r>
              <w:rPr>
                <w:rFonts w:ascii="Calibri" w:eastAsia="Times New Roman" w:hAnsi="Calibri" w:cstheme="minorHAnsi"/>
                <w:color w:val="000000"/>
                <w:sz w:val="20"/>
                <w:szCs w:val="20"/>
                <w:lang w:val="en-GB"/>
              </w:rPr>
              <w:t xml:space="preserve"> patients received clinical pharmacist care.</w:t>
            </w:r>
          </w:p>
          <w:p w14:paraId="7BB8C72E"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sidRPr="00792D07">
              <w:rPr>
                <w:rFonts w:ascii="Calibri" w:eastAsia="Times New Roman" w:hAnsi="Calibri" w:cstheme="minorHAnsi"/>
                <w:color w:val="000000"/>
                <w:sz w:val="20"/>
                <w:szCs w:val="20"/>
                <w:lang w:val="en-GB"/>
              </w:rPr>
              <w:t>Control group</w:t>
            </w:r>
            <w:r>
              <w:rPr>
                <w:rFonts w:ascii="Calibri" w:eastAsia="Times New Roman" w:hAnsi="Calibri" w:cstheme="minorHAnsi"/>
                <w:color w:val="000000"/>
                <w:sz w:val="20"/>
                <w:szCs w:val="20"/>
                <w:lang w:val="en-GB"/>
              </w:rPr>
              <w:t xml:space="preserve">= </w:t>
            </w:r>
            <w:r w:rsidRPr="00792D07">
              <w:rPr>
                <w:rFonts w:ascii="Calibri" w:eastAsia="Times New Roman" w:hAnsi="Calibri" w:cstheme="minorHAnsi"/>
                <w:color w:val="000000"/>
                <w:sz w:val="20"/>
                <w:szCs w:val="20"/>
                <w:lang w:val="en-GB"/>
              </w:rPr>
              <w:t>151</w:t>
            </w:r>
            <w:r>
              <w:rPr>
                <w:rFonts w:ascii="Calibri" w:eastAsia="Times New Roman" w:hAnsi="Calibri" w:cstheme="minorHAnsi"/>
                <w:color w:val="000000"/>
                <w:sz w:val="20"/>
                <w:szCs w:val="20"/>
                <w:lang w:val="en-GB"/>
              </w:rPr>
              <w:t xml:space="preserve"> </w:t>
            </w:r>
            <w:r w:rsidRPr="00426FAF">
              <w:rPr>
                <w:rFonts w:ascii="Calibri" w:eastAsia="Times New Roman" w:hAnsi="Calibri" w:cstheme="minorHAnsi"/>
                <w:color w:val="000000"/>
                <w:sz w:val="20"/>
                <w:szCs w:val="20"/>
                <w:lang w:val="en-GB"/>
              </w:rPr>
              <w:t>patients at an outpatient clinic that does not have clinical pharmacy service</w:t>
            </w:r>
          </w:p>
        </w:tc>
        <w:tc>
          <w:tcPr>
            <w:tcW w:w="1440" w:type="dxa"/>
            <w:tcBorders>
              <w:top w:val="nil"/>
              <w:left w:val="nil"/>
              <w:bottom w:val="single" w:sz="4" w:space="0" w:color="auto"/>
              <w:right w:val="single" w:sz="4" w:space="0" w:color="auto"/>
            </w:tcBorders>
            <w:shd w:val="clear" w:color="auto" w:fill="auto"/>
          </w:tcPr>
          <w:p w14:paraId="7ABE2C8A"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D41287">
              <w:rPr>
                <w:rFonts w:ascii="Calibri" w:eastAsia="Times New Roman" w:hAnsi="Calibri" w:cstheme="minorHAnsi"/>
                <w:color w:val="000000"/>
                <w:sz w:val="20"/>
                <w:szCs w:val="20"/>
                <w:lang w:val="en-GB"/>
              </w:rPr>
              <w:t xml:space="preserve">A longitudinal </w:t>
            </w:r>
            <w:r w:rsidRPr="001C5631">
              <w:rPr>
                <w:rFonts w:ascii="Calibri" w:eastAsia="Times New Roman" w:hAnsi="Calibri" w:cstheme="minorHAnsi"/>
                <w:color w:val="000000"/>
                <w:sz w:val="20"/>
                <w:szCs w:val="20"/>
                <w:lang w:val="en-GB"/>
              </w:rPr>
              <w:t>prospective interventional study</w:t>
            </w:r>
            <w:r>
              <w:rPr>
                <w:rFonts w:ascii="Calibri" w:eastAsia="Times New Roman" w:hAnsi="Calibri" w:cstheme="minorHAnsi"/>
                <w:color w:val="000000"/>
                <w:sz w:val="20"/>
                <w:szCs w:val="20"/>
                <w:lang w:val="en-GB"/>
              </w:rPr>
              <w:t xml:space="preserve">. </w:t>
            </w:r>
          </w:p>
          <w:p w14:paraId="6CBF9BA6"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sidRPr="00600040">
              <w:rPr>
                <w:rFonts w:ascii="Calibri" w:eastAsia="Times New Roman" w:hAnsi="Calibri" w:cstheme="minorHAnsi"/>
                <w:color w:val="000000"/>
                <w:sz w:val="20"/>
                <w:szCs w:val="20"/>
                <w:lang w:val="en-GB"/>
              </w:rPr>
              <w:t xml:space="preserve">Patients were followed up for </w:t>
            </w:r>
            <w:r>
              <w:rPr>
                <w:rFonts w:ascii="Calibri" w:eastAsia="Times New Roman" w:hAnsi="Calibri" w:cstheme="minorHAnsi"/>
                <w:color w:val="000000"/>
                <w:sz w:val="20"/>
                <w:szCs w:val="20"/>
                <w:lang w:val="en-GB"/>
              </w:rPr>
              <w:t>1</w:t>
            </w:r>
            <w:r w:rsidRPr="00600040">
              <w:rPr>
                <w:rFonts w:ascii="Calibri" w:eastAsia="Times New Roman" w:hAnsi="Calibri" w:cstheme="minorHAnsi"/>
                <w:color w:val="000000"/>
                <w:sz w:val="20"/>
                <w:szCs w:val="20"/>
                <w:lang w:val="en-GB"/>
              </w:rPr>
              <w:t xml:space="preserve"> year</w:t>
            </w:r>
            <w:r>
              <w:rPr>
                <w:rFonts w:ascii="Calibri" w:eastAsia="Times New Roman" w:hAnsi="Calibri" w:cstheme="minorHAnsi"/>
                <w:color w:val="000000"/>
                <w:sz w:val="20"/>
                <w:szCs w:val="20"/>
                <w:lang w:val="en-GB"/>
              </w:rPr>
              <w:t xml:space="preserve"> (</w:t>
            </w:r>
            <w:r w:rsidRPr="00600040">
              <w:rPr>
                <w:rFonts w:ascii="Calibri" w:eastAsia="Times New Roman" w:hAnsi="Calibri" w:cstheme="minorHAnsi"/>
                <w:color w:val="000000"/>
                <w:sz w:val="20"/>
                <w:szCs w:val="20"/>
                <w:lang w:val="en-GB"/>
              </w:rPr>
              <w:t xml:space="preserve">seen </w:t>
            </w:r>
            <w:r>
              <w:rPr>
                <w:rFonts w:ascii="Calibri" w:eastAsia="Times New Roman" w:hAnsi="Calibri" w:cstheme="minorHAnsi"/>
                <w:color w:val="000000"/>
                <w:sz w:val="20"/>
                <w:szCs w:val="20"/>
                <w:lang w:val="en-GB"/>
              </w:rPr>
              <w:t>4</w:t>
            </w:r>
            <w:r w:rsidRPr="00600040">
              <w:rPr>
                <w:rFonts w:ascii="Calibri" w:eastAsia="Times New Roman" w:hAnsi="Calibri" w:cstheme="minorHAnsi"/>
                <w:color w:val="000000"/>
                <w:sz w:val="20"/>
                <w:szCs w:val="20"/>
                <w:lang w:val="en-GB"/>
              </w:rPr>
              <w:t xml:space="preserve"> times, </w:t>
            </w:r>
            <w:r>
              <w:rPr>
                <w:rFonts w:ascii="Calibri" w:eastAsia="Times New Roman" w:hAnsi="Calibri" w:cstheme="minorHAnsi"/>
                <w:color w:val="000000"/>
                <w:sz w:val="20"/>
                <w:szCs w:val="20"/>
                <w:lang w:val="en-GB"/>
              </w:rPr>
              <w:t>3</w:t>
            </w:r>
            <w:r w:rsidRPr="00600040">
              <w:rPr>
                <w:rFonts w:ascii="Calibri" w:eastAsia="Times New Roman" w:hAnsi="Calibri" w:cstheme="minorHAnsi"/>
                <w:color w:val="000000"/>
                <w:sz w:val="20"/>
                <w:szCs w:val="20"/>
                <w:lang w:val="en-GB"/>
              </w:rPr>
              <w:t xml:space="preserve"> months between each visit</w:t>
            </w:r>
            <w:r>
              <w:rPr>
                <w:rFonts w:ascii="Calibri" w:eastAsia="Times New Roman" w:hAnsi="Calibri" w:cstheme="minorHAnsi"/>
                <w:color w:val="000000"/>
                <w:sz w:val="20"/>
                <w:szCs w:val="20"/>
                <w:lang w:val="en-GB"/>
              </w:rPr>
              <w:t xml:space="preserve">). </w:t>
            </w:r>
          </w:p>
        </w:tc>
        <w:tc>
          <w:tcPr>
            <w:tcW w:w="3510" w:type="dxa"/>
            <w:tcBorders>
              <w:top w:val="nil"/>
              <w:left w:val="nil"/>
              <w:bottom w:val="single" w:sz="4" w:space="0" w:color="auto"/>
              <w:right w:val="single" w:sz="4" w:space="0" w:color="auto"/>
            </w:tcBorders>
            <w:shd w:val="clear" w:color="auto" w:fill="auto"/>
          </w:tcPr>
          <w:p w14:paraId="0DC31057"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C</w:t>
            </w:r>
            <w:r w:rsidRPr="00126F29">
              <w:rPr>
                <w:rFonts w:ascii="Calibri" w:eastAsia="Times New Roman" w:hAnsi="Calibri" w:cstheme="minorHAnsi"/>
                <w:color w:val="000000"/>
                <w:sz w:val="20"/>
                <w:szCs w:val="20"/>
                <w:lang w:val="en-GB"/>
              </w:rPr>
              <w:t>linical pharmacist</w:t>
            </w:r>
            <w:r>
              <w:rPr>
                <w:rFonts w:ascii="Calibri" w:eastAsia="Times New Roman" w:hAnsi="Calibri" w:cstheme="minorHAnsi"/>
                <w:color w:val="000000"/>
                <w:sz w:val="20"/>
                <w:szCs w:val="20"/>
                <w:lang w:val="en-GB"/>
              </w:rPr>
              <w:t>:</w:t>
            </w:r>
          </w:p>
          <w:p w14:paraId="0F5695C7"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26F29">
              <w:rPr>
                <w:rFonts w:ascii="Calibri" w:eastAsia="Times New Roman" w:hAnsi="Calibri" w:cstheme="minorHAnsi"/>
                <w:color w:val="000000"/>
                <w:sz w:val="20"/>
                <w:szCs w:val="20"/>
                <w:lang w:val="en-GB"/>
              </w:rPr>
              <w:t>review</w:t>
            </w:r>
            <w:r>
              <w:rPr>
                <w:rFonts w:ascii="Calibri" w:eastAsia="Times New Roman" w:hAnsi="Calibri" w:cstheme="minorHAnsi"/>
                <w:color w:val="000000"/>
                <w:sz w:val="20"/>
                <w:szCs w:val="20"/>
                <w:lang w:val="en-GB"/>
              </w:rPr>
              <w:t>s</w:t>
            </w:r>
            <w:r w:rsidRPr="00126F29">
              <w:rPr>
                <w:rFonts w:ascii="Calibri" w:eastAsia="Times New Roman" w:hAnsi="Calibri" w:cstheme="minorHAnsi"/>
                <w:color w:val="000000"/>
                <w:sz w:val="20"/>
                <w:szCs w:val="20"/>
                <w:lang w:val="en-GB"/>
              </w:rPr>
              <w:t xml:space="preserve"> medications</w:t>
            </w:r>
          </w:p>
          <w:p w14:paraId="07BCA14D"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 xml:space="preserve">-takes </w:t>
            </w:r>
            <w:r w:rsidRPr="00126F29">
              <w:rPr>
                <w:rFonts w:ascii="Calibri" w:eastAsia="Times New Roman" w:hAnsi="Calibri" w:cstheme="minorHAnsi"/>
                <w:color w:val="000000"/>
                <w:sz w:val="20"/>
                <w:szCs w:val="20"/>
                <w:lang w:val="en-GB"/>
              </w:rPr>
              <w:t>patient history</w:t>
            </w:r>
          </w:p>
          <w:p w14:paraId="6A84CEAD"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-checks</w:t>
            </w:r>
            <w:r w:rsidRPr="00126F29">
              <w:rPr>
                <w:rFonts w:ascii="Calibri" w:eastAsia="Times New Roman" w:hAnsi="Calibri" w:cstheme="minorHAnsi"/>
                <w:color w:val="000000"/>
                <w:sz w:val="20"/>
                <w:szCs w:val="20"/>
                <w:lang w:val="en-GB"/>
              </w:rPr>
              <w:t xml:space="preserve"> laboratory tests</w:t>
            </w:r>
          </w:p>
          <w:p w14:paraId="03F9BC89"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-performs</w:t>
            </w:r>
            <w:r w:rsidRPr="00126F29">
              <w:rPr>
                <w:rFonts w:ascii="Calibri" w:eastAsia="Times New Roman" w:hAnsi="Calibri" w:cstheme="minorHAnsi"/>
                <w:color w:val="000000"/>
                <w:sz w:val="20"/>
                <w:szCs w:val="20"/>
                <w:lang w:val="en-GB"/>
              </w:rPr>
              <w:t xml:space="preserve"> overall assessment</w:t>
            </w:r>
          </w:p>
          <w:p w14:paraId="1EC286A6"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26F29">
              <w:rPr>
                <w:rFonts w:ascii="Calibri" w:eastAsia="Times New Roman" w:hAnsi="Calibri" w:cstheme="minorHAnsi"/>
                <w:color w:val="000000"/>
                <w:sz w:val="20"/>
                <w:szCs w:val="20"/>
                <w:lang w:val="en-GB"/>
              </w:rPr>
              <w:t>develop</w:t>
            </w:r>
            <w:r>
              <w:rPr>
                <w:rFonts w:ascii="Calibri" w:eastAsia="Times New Roman" w:hAnsi="Calibri" w:cstheme="minorHAnsi"/>
                <w:color w:val="000000"/>
                <w:sz w:val="20"/>
                <w:szCs w:val="20"/>
                <w:lang w:val="en-GB"/>
              </w:rPr>
              <w:t>s</w:t>
            </w:r>
            <w:r w:rsidRPr="00126F29">
              <w:rPr>
                <w:rFonts w:ascii="Calibri" w:eastAsia="Times New Roman" w:hAnsi="Calibri" w:cstheme="minorHAnsi"/>
                <w:color w:val="000000"/>
                <w:sz w:val="20"/>
                <w:szCs w:val="20"/>
                <w:lang w:val="en-GB"/>
              </w:rPr>
              <w:t xml:space="preserve"> a </w:t>
            </w:r>
            <w:r>
              <w:rPr>
                <w:rFonts w:ascii="Calibri" w:eastAsia="Times New Roman" w:hAnsi="Calibri" w:cstheme="minorHAnsi"/>
                <w:color w:val="000000"/>
                <w:sz w:val="20"/>
                <w:szCs w:val="20"/>
                <w:lang w:val="en-GB"/>
              </w:rPr>
              <w:t xml:space="preserve">MTM </w:t>
            </w:r>
            <w:r w:rsidRPr="00126F29">
              <w:rPr>
                <w:rFonts w:ascii="Calibri" w:eastAsia="Times New Roman" w:hAnsi="Calibri" w:cstheme="minorHAnsi"/>
                <w:color w:val="000000"/>
                <w:sz w:val="20"/>
                <w:szCs w:val="20"/>
                <w:lang w:val="en-GB"/>
              </w:rPr>
              <w:t xml:space="preserve">plan </w:t>
            </w:r>
            <w:r>
              <w:rPr>
                <w:rFonts w:ascii="Calibri" w:eastAsia="Times New Roman" w:hAnsi="Calibri" w:cstheme="minorHAnsi"/>
                <w:color w:val="000000"/>
                <w:sz w:val="20"/>
                <w:szCs w:val="20"/>
                <w:lang w:val="en-GB"/>
              </w:rPr>
              <w:t>then</w:t>
            </w:r>
            <w:r w:rsidRPr="00126F29">
              <w:rPr>
                <w:rFonts w:ascii="Calibri" w:eastAsia="Times New Roman" w:hAnsi="Calibri" w:cstheme="minorHAnsi"/>
                <w:color w:val="000000"/>
                <w:sz w:val="20"/>
                <w:szCs w:val="20"/>
                <w:lang w:val="en-GB"/>
              </w:rPr>
              <w:t xml:space="preserve"> discuss</w:t>
            </w:r>
            <w:r>
              <w:rPr>
                <w:rFonts w:ascii="Calibri" w:eastAsia="Times New Roman" w:hAnsi="Calibri" w:cstheme="minorHAnsi"/>
                <w:color w:val="000000"/>
                <w:sz w:val="20"/>
                <w:szCs w:val="20"/>
                <w:lang w:val="en-GB"/>
              </w:rPr>
              <w:t xml:space="preserve"> it with doctor</w:t>
            </w:r>
            <w:r w:rsidRPr="00126F29">
              <w:rPr>
                <w:rFonts w:ascii="Calibri" w:eastAsia="Times New Roman" w:hAnsi="Calibri" w:cstheme="minorHAnsi"/>
                <w:color w:val="000000"/>
                <w:sz w:val="20"/>
                <w:szCs w:val="20"/>
                <w:lang w:val="en-GB"/>
              </w:rPr>
              <w:t xml:space="preserve"> </w:t>
            </w:r>
          </w:p>
          <w:p w14:paraId="27B44E98"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 xml:space="preserve">After obtaining the agreement on the plan, pharmacist will: </w:t>
            </w:r>
          </w:p>
          <w:p w14:paraId="4B37F137"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 xml:space="preserve">-provide </w:t>
            </w:r>
            <w:r w:rsidRPr="00126F29">
              <w:rPr>
                <w:rFonts w:ascii="Calibri" w:eastAsia="Times New Roman" w:hAnsi="Calibri" w:cstheme="minorHAnsi"/>
                <w:color w:val="000000"/>
                <w:sz w:val="20"/>
                <w:szCs w:val="20"/>
                <w:lang w:val="en-GB"/>
              </w:rPr>
              <w:t>patient education</w:t>
            </w:r>
          </w:p>
          <w:p w14:paraId="3C2D9636"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26F29">
              <w:rPr>
                <w:rFonts w:ascii="Calibri" w:eastAsia="Times New Roman" w:hAnsi="Calibri" w:cstheme="minorHAnsi"/>
                <w:color w:val="000000"/>
                <w:sz w:val="20"/>
                <w:szCs w:val="20"/>
                <w:lang w:val="en-GB"/>
              </w:rPr>
              <w:t>follow up patients’ adherence</w:t>
            </w:r>
          </w:p>
          <w:p w14:paraId="3BE8572E"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26F29">
              <w:rPr>
                <w:rFonts w:ascii="Calibri" w:eastAsia="Times New Roman" w:hAnsi="Calibri" w:cstheme="minorHAnsi"/>
                <w:color w:val="000000"/>
                <w:sz w:val="20"/>
                <w:szCs w:val="20"/>
                <w:lang w:val="en-GB"/>
              </w:rPr>
              <w:t xml:space="preserve">report </w:t>
            </w:r>
            <w:r>
              <w:rPr>
                <w:rFonts w:ascii="Calibri" w:eastAsia="Times New Roman" w:hAnsi="Calibri" w:cstheme="minorHAnsi"/>
                <w:color w:val="000000"/>
                <w:sz w:val="20"/>
                <w:szCs w:val="20"/>
                <w:lang w:val="en-GB"/>
              </w:rPr>
              <w:t>any</w:t>
            </w:r>
            <w:r w:rsidRPr="00126F29">
              <w:rPr>
                <w:rFonts w:ascii="Calibri" w:eastAsia="Times New Roman" w:hAnsi="Calibri" w:cstheme="minorHAnsi"/>
                <w:color w:val="000000"/>
                <w:sz w:val="20"/>
                <w:szCs w:val="20"/>
                <w:lang w:val="en-GB"/>
              </w:rPr>
              <w:t xml:space="preserve"> </w:t>
            </w:r>
            <w:r>
              <w:rPr>
                <w:rFonts w:ascii="Calibri" w:eastAsia="Times New Roman" w:hAnsi="Calibri" w:cstheme="minorHAnsi"/>
                <w:color w:val="000000"/>
                <w:sz w:val="20"/>
                <w:szCs w:val="20"/>
                <w:lang w:val="en-GB"/>
              </w:rPr>
              <w:t xml:space="preserve">medication related problem </w:t>
            </w:r>
          </w:p>
        </w:tc>
        <w:tc>
          <w:tcPr>
            <w:tcW w:w="3407" w:type="dxa"/>
            <w:tcBorders>
              <w:top w:val="nil"/>
              <w:left w:val="nil"/>
              <w:bottom w:val="single" w:sz="4" w:space="0" w:color="auto"/>
              <w:right w:val="single" w:sz="4" w:space="0" w:color="auto"/>
            </w:tcBorders>
            <w:shd w:val="clear" w:color="auto" w:fill="auto"/>
          </w:tcPr>
          <w:p w14:paraId="5B655713"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B74930">
              <w:rPr>
                <w:rFonts w:ascii="Calibri" w:eastAsia="Times New Roman" w:hAnsi="Calibri" w:cstheme="minorHAnsi"/>
                <w:color w:val="000000"/>
                <w:sz w:val="20"/>
                <w:szCs w:val="20"/>
                <w:lang w:val="en-GB"/>
              </w:rPr>
              <w:t>Pharmacist’s intervention improved clinical outcomes such as HbA1c and lipid profile.</w:t>
            </w:r>
          </w:p>
          <w:p w14:paraId="59CA6C29" w14:textId="77777777" w:rsidR="009D2B25" w:rsidRPr="00B74930" w:rsidRDefault="009D2B25" w:rsidP="00282204">
            <w:pPr>
              <w:spacing w:after="0" w:line="240" w:lineRule="auto"/>
              <w:rPr>
                <w:rFonts w:ascii="Calibri" w:eastAsia="Times New Roman" w:hAnsi="Calibri" w:cstheme="minorHAnsi"/>
                <w:color w:val="000000"/>
                <w:sz w:val="20"/>
                <w:szCs w:val="20"/>
                <w:lang w:val="en-GB"/>
              </w:rPr>
            </w:pPr>
          </w:p>
          <w:p w14:paraId="45A44F30" w14:textId="77777777" w:rsidR="009D2B25" w:rsidRPr="00B74930"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B74930">
              <w:rPr>
                <w:rFonts w:ascii="Calibri" w:eastAsia="Times New Roman" w:hAnsi="Calibri" w:cstheme="minorHAnsi"/>
                <w:color w:val="000000"/>
                <w:sz w:val="20"/>
                <w:szCs w:val="20"/>
                <w:lang w:val="en-GB"/>
              </w:rPr>
              <w:t>QoL of patients having diabetes also improved and this seen in many aspects such as general health, physical aspects, pain</w:t>
            </w:r>
            <w:r>
              <w:rPr>
                <w:rFonts w:ascii="Calibri" w:eastAsia="Times New Roman" w:hAnsi="Calibri" w:cstheme="minorHAnsi"/>
                <w:color w:val="000000"/>
                <w:sz w:val="20"/>
                <w:szCs w:val="20"/>
                <w:lang w:val="en-GB"/>
              </w:rPr>
              <w:t xml:space="preserve"> </w:t>
            </w:r>
            <w:r w:rsidRPr="00B74930">
              <w:rPr>
                <w:rFonts w:ascii="Calibri" w:eastAsia="Times New Roman" w:hAnsi="Calibri" w:cstheme="minorHAnsi"/>
                <w:color w:val="000000"/>
                <w:sz w:val="20"/>
                <w:szCs w:val="20"/>
                <w:lang w:val="en-GB"/>
              </w:rPr>
              <w:t>and mental health.</w:t>
            </w:r>
          </w:p>
          <w:p w14:paraId="4B7ECCAA" w14:textId="77777777" w:rsidR="009D2B25" w:rsidRDefault="009D2B25" w:rsidP="00282204">
            <w:pPr>
              <w:spacing w:after="0" w:line="240" w:lineRule="auto"/>
              <w:rPr>
                <w:rFonts w:ascii="Calibri" w:eastAsia="Times New Roman" w:hAnsi="Calibri" w:cstheme="minorHAnsi"/>
                <w:b/>
                <w:bCs/>
                <w:color w:val="000000"/>
                <w:sz w:val="20"/>
                <w:szCs w:val="20"/>
                <w:lang w:val="en-GB"/>
              </w:rPr>
            </w:pPr>
          </w:p>
          <w:p w14:paraId="5A7E62A2" w14:textId="77777777" w:rsidR="009D2B25" w:rsidRDefault="009D2B25" w:rsidP="00282204">
            <w:pPr>
              <w:spacing w:after="0" w:line="240" w:lineRule="auto"/>
              <w:rPr>
                <w:rFonts w:ascii="Calibri" w:eastAsia="Times New Roman" w:hAnsi="Calibri" w:cstheme="minorHAnsi"/>
                <w:b/>
                <w:bCs/>
                <w:color w:val="000000"/>
                <w:sz w:val="20"/>
                <w:szCs w:val="20"/>
                <w:lang w:val="en-GB"/>
              </w:rPr>
            </w:pPr>
          </w:p>
          <w:p w14:paraId="3D9AC8A1" w14:textId="77777777" w:rsidR="009D2B25" w:rsidRPr="000F2A9B" w:rsidRDefault="009D2B25" w:rsidP="00282204">
            <w:pPr>
              <w:spacing w:after="0" w:line="240" w:lineRule="auto"/>
              <w:rPr>
                <w:rFonts w:ascii="Calibri" w:eastAsia="Times New Roman" w:hAnsi="Calibri" w:cstheme="minorHAnsi"/>
                <w:b/>
                <w:bCs/>
                <w:color w:val="000000"/>
                <w:sz w:val="20"/>
                <w:szCs w:val="20"/>
                <w:lang w:val="en-GB"/>
              </w:rPr>
            </w:pPr>
          </w:p>
        </w:tc>
      </w:tr>
      <w:tr w:rsidR="009D2B25" w:rsidRPr="00CE056C" w14:paraId="1E1C8F9C" w14:textId="77777777" w:rsidTr="00282204">
        <w:trPr>
          <w:trHeight w:val="3014"/>
        </w:trPr>
        <w:tc>
          <w:tcPr>
            <w:tcW w:w="540" w:type="dxa"/>
            <w:tcBorders>
              <w:top w:val="nil"/>
              <w:left w:val="single" w:sz="4" w:space="0" w:color="auto"/>
              <w:bottom w:val="single" w:sz="4" w:space="0" w:color="auto"/>
              <w:right w:val="single" w:sz="4" w:space="0" w:color="auto"/>
            </w:tcBorders>
            <w:shd w:val="clear" w:color="auto" w:fill="auto"/>
          </w:tcPr>
          <w:p w14:paraId="4E5DBE82"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2</w:t>
            </w:r>
          </w:p>
          <w:p w14:paraId="7D626ED8" w14:textId="77777777" w:rsidR="009D2B25" w:rsidRDefault="009D2B25" w:rsidP="00282204">
            <w:pPr>
              <w:spacing w:after="0" w:line="240" w:lineRule="auto"/>
              <w:rPr>
                <w:rFonts w:ascii="Calibri" w:eastAsia="Times New Roman" w:hAnsi="Calibri" w:cstheme="minorHAnsi"/>
                <w:color w:val="000000"/>
                <w:sz w:val="20"/>
                <w:szCs w:val="20"/>
                <w:lang w:val="en-GB"/>
              </w:rPr>
            </w:pPr>
          </w:p>
        </w:tc>
        <w:tc>
          <w:tcPr>
            <w:tcW w:w="990" w:type="dxa"/>
            <w:tcBorders>
              <w:top w:val="nil"/>
              <w:left w:val="nil"/>
              <w:bottom w:val="single" w:sz="4" w:space="0" w:color="auto"/>
              <w:right w:val="single" w:sz="4" w:space="0" w:color="auto"/>
            </w:tcBorders>
            <w:shd w:val="clear" w:color="auto" w:fill="auto"/>
          </w:tcPr>
          <w:p w14:paraId="44434AB5" w14:textId="77777777" w:rsidR="009D2B25" w:rsidRPr="00876389" w:rsidRDefault="009D2B25" w:rsidP="00282204">
            <w:pPr>
              <w:spacing w:after="0" w:line="240" w:lineRule="auto"/>
              <w:rPr>
                <w:rFonts w:ascii="Calibri" w:eastAsia="Times New Roman" w:hAnsi="Calibri" w:cstheme="minorHAnsi"/>
                <w:noProof/>
                <w:color w:val="000000"/>
                <w:sz w:val="20"/>
                <w:szCs w:val="20"/>
                <w:lang w:val="es-ES_tradnl"/>
              </w:rPr>
            </w:pPr>
            <w:r>
              <w:rPr>
                <w:rFonts w:ascii="Calibri" w:eastAsia="Times New Roman" w:hAnsi="Calibri" w:cstheme="minorHAnsi"/>
                <w:noProof/>
                <w:color w:val="000000"/>
                <w:sz w:val="20"/>
                <w:szCs w:val="20"/>
                <w:lang w:val="en-GB"/>
              </w:rPr>
              <w:fldChar w:fldCharType="begin" w:fldLock="1"/>
            </w:r>
            <w:r w:rsidRPr="00876389">
              <w:rPr>
                <w:rFonts w:ascii="Calibri" w:eastAsia="Times New Roman" w:hAnsi="Calibri" w:cstheme="minorHAnsi"/>
                <w:noProof/>
                <w:color w:val="000000"/>
                <w:sz w:val="20"/>
                <w:szCs w:val="20"/>
                <w:lang w:val="es-ES_tradnl"/>
              </w:rPr>
              <w:instrText>ADDIN CSL_CITATION {"citationItems":[{"id":"ITEM-1","itemData":{"DOI":"10.15537/smj.2018.7.22194","ISSN":"16583175","PMID":"29968894","abstract":"Objectives: To evaluate the impact of a multidisciplinary intensive education program (MIEP) on type 2 diabetes mellitus (T2DM) patients’ outcomes. Methods: A retrospective study was used to evaluate the impact of MIEP on T2DM patients’ outcomes for between May 2016 and May 2017. Data were collected from the diabetes education clinic in King Saud University Medical City (KSUMC), Riyadh, Saudi Arabia where patients were referred from diabetes outpatient clinics to the diabetes education clinic to receive MIEP. In terms of measuring the clinical outcomes of the T2DM patients, glycemic control, blood pressure, weight, and lipid profiles were assessed before MIEP at 3, 6, and 12 months. Results: A total of 174 patients with T2DM fulfilled study inclusion criteria. The results indicate improved glycemic control where patients’ HbA1c and blood sugar levels were significantly reduced 3, 6, and 12 months after MIEP compared to the baseline (p&lt;0.005). Moreover, blood pressure improved after education; a significant improvement was observed in the mean systolic blood pressure (SBP) from baseline to 12 months (p=0.036), and in the mean diastolic blood pressure (DBP) after 12 months (p=0.016). Additionally, the study found significant differences in total cholesterol and low-density lipoprotein (LDL) cholesterol 6 months after the intervention (p=0.014, p=0.02, respectively). Conclusion: Implementing an MIEP for T2DM patients can improve their clinical outcomes, which consequently may delay the disease’s long-term complications.","author":[{"dropping-particle":"","family":"Al-Arifi","given":"Mohamed N.","non-dropping-particle":"","parse-names":false,"suffix":""},{"dropping-particle":"","family":"Al-Omar","given":"Hussain A.","non-dropping-particle":"","parse-names":false,"suffix":""}],"container-title":"Saudi Medical Journal","id":"ITEM-1","issue":"7","issued":{"date-parts":[["2018","7","1"]]},"note":"From Duplicate 2 (Impact of a multidisciplinary intensive education program on type 2 diabetes mellitus patients’ glycemic control and cardiovascular risk factors - Al-Arifi, M N; Al-Omar, H A)\n\nCited By :3\n\nExport Date: 14 July 2020","page":"705-710","publisher":"Saudi Arabian Armed Forces Hospital","title":"Impact of a multidisciplinary intensive education program on type 2 diabetes mellitus patients’ glycemic control and cardiovascular risk factors","type":"article-journal","volume":"39"},"uris":["http://www.mendeley.com/documents/?uuid=689e4e48-89ab-4d68-b9b8-473a128e596e"]}],"mendeley":{"formattedCitation":"(Al-Arifi and Al-Omar, 2018)","plainTextFormattedCitation":"(Al-Arifi and Al-Omar, 2018)","previouslyFormattedCitation":"(Al-Arifi and Al-Omar, 2018)"},"properties":{"noteIndex":0},"schema":"https://github.com/citation-style-language/schema/raw/master/csl-citation.json"}</w:instrText>
            </w:r>
            <w:r>
              <w:rPr>
                <w:rFonts w:ascii="Calibri" w:eastAsia="Times New Roman" w:hAnsi="Calibri" w:cstheme="minorHAnsi"/>
                <w:noProof/>
                <w:color w:val="000000"/>
                <w:sz w:val="20"/>
                <w:szCs w:val="20"/>
                <w:lang w:val="en-GB"/>
              </w:rPr>
              <w:fldChar w:fldCharType="separate"/>
            </w:r>
            <w:r w:rsidRPr="00876389">
              <w:rPr>
                <w:rFonts w:ascii="Calibri" w:eastAsia="Times New Roman" w:hAnsi="Calibri" w:cstheme="minorHAnsi"/>
                <w:noProof/>
                <w:color w:val="000000"/>
                <w:sz w:val="20"/>
                <w:szCs w:val="20"/>
                <w:lang w:val="es-ES_tradnl"/>
              </w:rPr>
              <w:t>(Al-Arifi and Al-Omar, 2018)</w:t>
            </w:r>
            <w:r>
              <w:rPr>
                <w:rFonts w:ascii="Calibri" w:eastAsia="Times New Roman" w:hAnsi="Calibri" w:cstheme="minorHAnsi"/>
                <w:noProof/>
                <w:color w:val="000000"/>
                <w:sz w:val="20"/>
                <w:szCs w:val="20"/>
                <w:lang w:val="en-GB"/>
              </w:rPr>
              <w:fldChar w:fldCharType="end"/>
            </w:r>
          </w:p>
        </w:tc>
        <w:tc>
          <w:tcPr>
            <w:tcW w:w="1620" w:type="dxa"/>
            <w:tcBorders>
              <w:top w:val="nil"/>
              <w:left w:val="nil"/>
              <w:bottom w:val="single" w:sz="4" w:space="0" w:color="auto"/>
              <w:right w:val="single" w:sz="4" w:space="0" w:color="auto"/>
            </w:tcBorders>
            <w:shd w:val="clear" w:color="auto" w:fill="auto"/>
          </w:tcPr>
          <w:p w14:paraId="6495CD81" w14:textId="77777777" w:rsidR="009D2B25" w:rsidRPr="00282569" w:rsidRDefault="009D2B25" w:rsidP="00282204">
            <w:pPr>
              <w:spacing w:after="0" w:line="240" w:lineRule="auto"/>
              <w:rPr>
                <w:rFonts w:ascii="Calibri" w:eastAsia="Times New Roman" w:hAnsi="Calibri" w:cstheme="minorHAnsi"/>
                <w:color w:val="000000"/>
                <w:sz w:val="20"/>
                <w:szCs w:val="20"/>
                <w:lang w:val="en-GB"/>
              </w:rPr>
            </w:pPr>
            <w:r w:rsidRPr="00BD58A2">
              <w:rPr>
                <w:rFonts w:ascii="Calibri" w:eastAsia="Times New Roman" w:hAnsi="Calibri" w:cs="Calibri"/>
                <w:color w:val="000000"/>
                <w:sz w:val="20"/>
                <w:szCs w:val="20"/>
                <w:lang w:val="en-GB"/>
              </w:rPr>
              <w:t xml:space="preserve">Impact of a multidisciplinary intensive education program on </w:t>
            </w:r>
            <w:r>
              <w:rPr>
                <w:rFonts w:ascii="Calibri" w:eastAsia="Times New Roman" w:hAnsi="Calibri" w:cs="Calibri"/>
                <w:color w:val="000000"/>
                <w:sz w:val="20"/>
                <w:szCs w:val="20"/>
                <w:lang w:val="en-GB"/>
              </w:rPr>
              <w:t xml:space="preserve">T2D </w:t>
            </w:r>
            <w:r w:rsidRPr="00BD58A2">
              <w:rPr>
                <w:rFonts w:ascii="Calibri" w:eastAsia="Times New Roman" w:hAnsi="Calibri" w:cs="Calibri"/>
                <w:color w:val="000000"/>
                <w:sz w:val="20"/>
                <w:szCs w:val="20"/>
                <w:lang w:val="en-GB"/>
              </w:rPr>
              <w:t xml:space="preserve">mellitus patients’ glycaemic control and </w:t>
            </w:r>
            <w:r>
              <w:rPr>
                <w:rFonts w:ascii="Calibri" w:eastAsia="Times New Roman" w:hAnsi="Calibri" w:cs="Calibri"/>
                <w:color w:val="000000"/>
                <w:sz w:val="20"/>
                <w:szCs w:val="20"/>
                <w:lang w:val="en-GB"/>
              </w:rPr>
              <w:t>CV</w:t>
            </w:r>
            <w:r w:rsidRPr="00BD58A2">
              <w:rPr>
                <w:rFonts w:ascii="Calibri" w:eastAsia="Times New Roman" w:hAnsi="Calibri" w:cs="Calibri"/>
                <w:color w:val="000000"/>
                <w:sz w:val="20"/>
                <w:szCs w:val="20"/>
                <w:lang w:val="en-GB"/>
              </w:rPr>
              <w:t xml:space="preserve"> risk factors.</w:t>
            </w:r>
          </w:p>
        </w:tc>
        <w:tc>
          <w:tcPr>
            <w:tcW w:w="1530" w:type="dxa"/>
            <w:tcBorders>
              <w:top w:val="nil"/>
              <w:left w:val="nil"/>
              <w:bottom w:val="single" w:sz="4" w:space="0" w:color="auto"/>
              <w:right w:val="single" w:sz="4" w:space="0" w:color="auto"/>
            </w:tcBorders>
            <w:shd w:val="clear" w:color="auto" w:fill="auto"/>
          </w:tcPr>
          <w:p w14:paraId="61F9C034"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Calibri"/>
                <w:color w:val="000000"/>
                <w:sz w:val="20"/>
                <w:szCs w:val="20"/>
                <w:lang w:val="en-GB"/>
              </w:rPr>
              <w:t>D</w:t>
            </w:r>
            <w:r w:rsidRPr="003C08C0">
              <w:rPr>
                <w:rFonts w:ascii="Calibri" w:eastAsia="Times New Roman" w:hAnsi="Calibri" w:cs="Calibri"/>
                <w:color w:val="000000"/>
                <w:sz w:val="20"/>
                <w:szCs w:val="20"/>
                <w:lang w:val="en-GB"/>
              </w:rPr>
              <w:t>iabetes education clinic</w:t>
            </w:r>
            <w:r>
              <w:rPr>
                <w:rFonts w:ascii="Calibri" w:eastAsia="Times New Roman" w:hAnsi="Calibri" w:cs="Calibri"/>
                <w:color w:val="000000"/>
                <w:sz w:val="20"/>
                <w:szCs w:val="20"/>
                <w:lang w:val="en-GB"/>
              </w:rPr>
              <w:t xml:space="preserve"> in </w:t>
            </w:r>
            <w:r w:rsidRPr="00BD58A2">
              <w:rPr>
                <w:rFonts w:ascii="Calibri" w:eastAsia="Times New Roman" w:hAnsi="Calibri" w:cs="Calibri"/>
                <w:color w:val="000000"/>
                <w:sz w:val="20"/>
                <w:szCs w:val="20"/>
                <w:lang w:val="en-GB"/>
              </w:rPr>
              <w:t xml:space="preserve">King Saud University Medical City, a tertiary teaching hospital in Riyadh, </w:t>
            </w:r>
            <w:r>
              <w:rPr>
                <w:rFonts w:ascii="Calibri" w:eastAsia="Times New Roman" w:hAnsi="Calibri" w:cs="Calibri"/>
                <w:color w:val="000000"/>
                <w:sz w:val="20"/>
                <w:szCs w:val="20"/>
                <w:lang w:val="en-GB"/>
              </w:rPr>
              <w:t>SA</w:t>
            </w:r>
          </w:p>
        </w:tc>
        <w:tc>
          <w:tcPr>
            <w:tcW w:w="1980" w:type="dxa"/>
            <w:tcBorders>
              <w:top w:val="nil"/>
              <w:left w:val="nil"/>
              <w:bottom w:val="single" w:sz="4" w:space="0" w:color="auto"/>
              <w:right w:val="single" w:sz="4" w:space="0" w:color="auto"/>
            </w:tcBorders>
            <w:shd w:val="clear" w:color="auto" w:fill="auto"/>
          </w:tcPr>
          <w:p w14:paraId="454F6BC6" w14:textId="77777777" w:rsidR="009D2B25"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174 patients with </w:t>
            </w:r>
            <w:r>
              <w:rPr>
                <w:rFonts w:ascii="Calibri" w:eastAsia="Times New Roman" w:hAnsi="Calibri" w:cs="Calibri"/>
                <w:color w:val="000000"/>
                <w:sz w:val="20"/>
                <w:szCs w:val="20"/>
                <w:lang w:val="en-GB"/>
              </w:rPr>
              <w:t xml:space="preserve">T2D enrolled to </w:t>
            </w:r>
            <w:r w:rsidRPr="00425415">
              <w:rPr>
                <w:rFonts w:ascii="Calibri" w:eastAsia="Times New Roman" w:hAnsi="Calibri" w:cs="Calibri"/>
                <w:color w:val="000000"/>
                <w:sz w:val="20"/>
                <w:szCs w:val="20"/>
                <w:lang w:val="en-GB"/>
              </w:rPr>
              <w:t xml:space="preserve">a multidisciplinary intensive education program (MIEP) </w:t>
            </w:r>
          </w:p>
          <w:p w14:paraId="12E65F74" w14:textId="77777777" w:rsidR="009D2B25" w:rsidRDefault="009D2B25" w:rsidP="00282204">
            <w:pPr>
              <w:rPr>
                <w:rFonts w:ascii="Calibri" w:eastAsia="Times New Roman" w:hAnsi="Calibri" w:cstheme="minorHAnsi"/>
                <w:sz w:val="20"/>
                <w:szCs w:val="20"/>
                <w:lang w:val="en-GB"/>
              </w:rPr>
            </w:pPr>
          </w:p>
          <w:p w14:paraId="2AE8946C" w14:textId="77777777" w:rsidR="009D2B25" w:rsidRPr="008E4880" w:rsidRDefault="009D2B25" w:rsidP="00282204">
            <w:pPr>
              <w:spacing w:after="0" w:line="240" w:lineRule="auto"/>
              <w:rPr>
                <w:rFonts w:ascii="Calibri" w:eastAsia="Times New Roman" w:hAnsi="Calibri" w:cstheme="minorHAnsi"/>
                <w:color w:val="000000"/>
                <w:sz w:val="20"/>
                <w:szCs w:val="20"/>
                <w:lang w:val="en-GB"/>
              </w:rPr>
            </w:pPr>
          </w:p>
        </w:tc>
        <w:tc>
          <w:tcPr>
            <w:tcW w:w="1440" w:type="dxa"/>
            <w:tcBorders>
              <w:top w:val="nil"/>
              <w:left w:val="nil"/>
              <w:bottom w:val="single" w:sz="4" w:space="0" w:color="auto"/>
              <w:right w:val="single" w:sz="4" w:space="0" w:color="auto"/>
            </w:tcBorders>
            <w:shd w:val="clear" w:color="auto" w:fill="auto"/>
          </w:tcPr>
          <w:p w14:paraId="3792BE50" w14:textId="77777777" w:rsidR="009D2B25" w:rsidRPr="00D41287" w:rsidRDefault="009D2B25" w:rsidP="00282204">
            <w:pPr>
              <w:spacing w:after="0" w:line="240" w:lineRule="auto"/>
              <w:rPr>
                <w:rFonts w:ascii="Calibri" w:eastAsia="Times New Roman" w:hAnsi="Calibri" w:cstheme="minorHAnsi"/>
                <w:color w:val="000000"/>
                <w:sz w:val="20"/>
                <w:szCs w:val="20"/>
                <w:lang w:val="en-GB"/>
              </w:rPr>
            </w:pPr>
            <w:r w:rsidRPr="00BD58A2">
              <w:rPr>
                <w:rFonts w:ascii="Calibri" w:eastAsia="Times New Roman" w:hAnsi="Calibri" w:cs="Calibri"/>
                <w:color w:val="000000"/>
                <w:sz w:val="20"/>
                <w:szCs w:val="20"/>
                <w:lang w:val="en-GB"/>
              </w:rPr>
              <w:t>Retrospective cohort study</w:t>
            </w:r>
            <w:r>
              <w:rPr>
                <w:rFonts w:ascii="Calibri" w:eastAsia="Times New Roman" w:hAnsi="Calibri" w:cs="Calibri"/>
                <w:color w:val="000000"/>
                <w:sz w:val="20"/>
                <w:szCs w:val="20"/>
                <w:lang w:val="en-GB"/>
              </w:rPr>
              <w:t xml:space="preserve"> carried for 1 year</w:t>
            </w:r>
            <w:r w:rsidRPr="001A6E80">
              <w:rPr>
                <w:rFonts w:ascii="Calibri" w:eastAsia="Times New Roman" w:hAnsi="Calibri" w:cs="Calibri"/>
                <w:color w:val="000000"/>
                <w:sz w:val="20"/>
                <w:szCs w:val="20"/>
                <w:lang w:val="en-GB"/>
              </w:rPr>
              <w:t xml:space="preserve"> to determine the impact of </w:t>
            </w:r>
            <w:r>
              <w:rPr>
                <w:rFonts w:ascii="Calibri" w:eastAsia="Times New Roman" w:hAnsi="Calibri" w:cs="Calibri"/>
                <w:color w:val="000000"/>
                <w:sz w:val="20"/>
                <w:szCs w:val="20"/>
                <w:lang w:val="en-GB"/>
              </w:rPr>
              <w:t xml:space="preserve">the </w:t>
            </w:r>
            <w:r w:rsidRPr="001A6E80">
              <w:rPr>
                <w:rFonts w:ascii="Calibri" w:eastAsia="Times New Roman" w:hAnsi="Calibri" w:cs="Calibri"/>
                <w:color w:val="000000"/>
                <w:sz w:val="20"/>
                <w:szCs w:val="20"/>
                <w:lang w:val="en-GB"/>
              </w:rPr>
              <w:t xml:space="preserve">MIEP on diabetic patients’ glycemic control and </w:t>
            </w:r>
            <w:r>
              <w:rPr>
                <w:rFonts w:ascii="Calibri" w:eastAsia="Times New Roman" w:hAnsi="Calibri" w:cs="Calibri"/>
                <w:color w:val="000000"/>
                <w:sz w:val="20"/>
                <w:szCs w:val="20"/>
                <w:lang w:val="en-GB"/>
              </w:rPr>
              <w:t xml:space="preserve">CV risk </w:t>
            </w:r>
            <w:r w:rsidRPr="001A6E80">
              <w:rPr>
                <w:rFonts w:ascii="Calibri" w:eastAsia="Times New Roman" w:hAnsi="Calibri" w:cs="Calibri"/>
                <w:color w:val="000000"/>
                <w:sz w:val="20"/>
                <w:szCs w:val="20"/>
                <w:lang w:val="en-GB"/>
              </w:rPr>
              <w:t>factors</w:t>
            </w:r>
          </w:p>
        </w:tc>
        <w:tc>
          <w:tcPr>
            <w:tcW w:w="3510" w:type="dxa"/>
            <w:tcBorders>
              <w:top w:val="nil"/>
              <w:left w:val="nil"/>
              <w:bottom w:val="single" w:sz="4" w:space="0" w:color="auto"/>
              <w:right w:val="single" w:sz="4" w:space="0" w:color="auto"/>
            </w:tcBorders>
            <w:shd w:val="clear" w:color="auto" w:fill="auto"/>
          </w:tcPr>
          <w:p w14:paraId="139BDD0E"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-A pharmacist contacts patients to remind them about an appointment, request them to do their laboratory tests prior the appointment and complete blood glucose readings. </w:t>
            </w:r>
          </w:p>
          <w:p w14:paraId="5D7C1B54"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-Pharmacists provide medication reconciliation and education, including insulin/liraglutide administration instructions.</w:t>
            </w:r>
          </w:p>
          <w:p w14:paraId="7D315D06"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BD58A2">
              <w:rPr>
                <w:rFonts w:ascii="Calibri" w:eastAsia="Times New Roman" w:hAnsi="Calibri" w:cs="Calibri"/>
                <w:color w:val="000000"/>
                <w:sz w:val="20"/>
                <w:szCs w:val="20"/>
                <w:lang w:val="en-GB"/>
              </w:rPr>
              <w:t>- Pharmacist follow-up patients</w:t>
            </w:r>
            <w:r>
              <w:rPr>
                <w:rFonts w:ascii="Calibri" w:eastAsia="Times New Roman" w:hAnsi="Calibri" w:cs="Calibri"/>
                <w:color w:val="000000"/>
                <w:sz w:val="20"/>
                <w:szCs w:val="20"/>
                <w:lang w:val="en-GB"/>
              </w:rPr>
              <w:t xml:space="preserve">, </w:t>
            </w:r>
            <w:r w:rsidRPr="00BD58A2">
              <w:rPr>
                <w:rFonts w:ascii="Calibri" w:eastAsia="Times New Roman" w:hAnsi="Calibri" w:cs="Calibri"/>
                <w:color w:val="000000"/>
                <w:sz w:val="20"/>
                <w:szCs w:val="20"/>
                <w:lang w:val="en-GB"/>
              </w:rPr>
              <w:t>monitors blood glucose levels</w:t>
            </w:r>
            <w:r>
              <w:rPr>
                <w:rFonts w:ascii="Calibri" w:eastAsia="Times New Roman" w:hAnsi="Calibri" w:cs="Calibri"/>
                <w:color w:val="000000"/>
                <w:sz w:val="20"/>
                <w:szCs w:val="20"/>
                <w:lang w:val="en-GB"/>
              </w:rPr>
              <w:t>,</w:t>
            </w:r>
            <w:r w:rsidRPr="00BD58A2">
              <w:rPr>
                <w:rFonts w:ascii="Calibri" w:eastAsia="Times New Roman" w:hAnsi="Calibri" w:cs="Calibri"/>
                <w:color w:val="000000"/>
                <w:sz w:val="20"/>
                <w:szCs w:val="20"/>
                <w:lang w:val="en-GB"/>
              </w:rPr>
              <w:t xml:space="preserve"> and adjusts the patient’s medication regimen as necessary</w:t>
            </w:r>
            <w:r>
              <w:rPr>
                <w:rFonts w:ascii="Calibri" w:eastAsia="Times New Roman" w:hAnsi="Calibri" w:cs="Calibri"/>
                <w:color w:val="000000"/>
                <w:sz w:val="20"/>
                <w:szCs w:val="20"/>
                <w:lang w:val="en-GB"/>
              </w:rPr>
              <w:t>.</w:t>
            </w:r>
          </w:p>
        </w:tc>
        <w:tc>
          <w:tcPr>
            <w:tcW w:w="3407" w:type="dxa"/>
            <w:tcBorders>
              <w:top w:val="nil"/>
              <w:left w:val="nil"/>
              <w:bottom w:val="single" w:sz="4" w:space="0" w:color="auto"/>
              <w:right w:val="single" w:sz="4" w:space="0" w:color="auto"/>
            </w:tcBorders>
            <w:shd w:val="clear" w:color="auto" w:fill="auto"/>
          </w:tcPr>
          <w:p w14:paraId="69CAA484" w14:textId="77777777" w:rsidR="009D2B25" w:rsidRPr="00863AF2" w:rsidRDefault="009D2B25" w:rsidP="00282204">
            <w:pPr>
              <w:spacing w:after="0" w:line="240" w:lineRule="auto"/>
              <w:rPr>
                <w:rFonts w:ascii="Calibri" w:eastAsia="Times New Roman" w:hAnsi="Calibri" w:cs="Calibri"/>
                <w:color w:val="000000"/>
                <w:sz w:val="20"/>
                <w:szCs w:val="20"/>
                <w:lang w:val="en-GB"/>
              </w:rPr>
            </w:pPr>
            <w:r w:rsidRPr="00863AF2">
              <w:rPr>
                <w:rFonts w:ascii="Calibri" w:eastAsia="Times New Roman" w:hAnsi="Calibri" w:cs="Calibri"/>
                <w:color w:val="000000"/>
                <w:sz w:val="20"/>
                <w:szCs w:val="20"/>
                <w:lang w:val="en-GB"/>
              </w:rPr>
              <w:t xml:space="preserve">-HbA1c and blood sugar levels were significantly reduced compared to the baseline. </w:t>
            </w:r>
          </w:p>
          <w:p w14:paraId="1E16472E" w14:textId="77777777" w:rsidR="009D2B25" w:rsidRDefault="009D2B25" w:rsidP="00282204">
            <w:pPr>
              <w:spacing w:after="0" w:line="240" w:lineRule="auto"/>
              <w:rPr>
                <w:rFonts w:ascii="Calibri" w:eastAsia="Times New Roman" w:hAnsi="Calibri" w:cs="Calibri"/>
                <w:color w:val="000000"/>
                <w:sz w:val="20"/>
                <w:szCs w:val="20"/>
                <w:lang w:val="en-GB"/>
              </w:rPr>
            </w:pPr>
            <w:r w:rsidRPr="00863AF2">
              <w:rPr>
                <w:rFonts w:ascii="Calibri" w:eastAsia="Times New Roman" w:hAnsi="Calibri" w:cs="Calibri"/>
                <w:color w:val="000000"/>
                <w:sz w:val="20"/>
                <w:szCs w:val="20"/>
                <w:lang w:val="en-GB"/>
              </w:rPr>
              <w:t>-BP, total cholesterol and LDL-cholesterol were significantly improved relative to the baseline.</w:t>
            </w:r>
          </w:p>
          <w:p w14:paraId="57B5606A" w14:textId="77777777" w:rsidR="009D2B25" w:rsidRDefault="009D2B25" w:rsidP="00282204">
            <w:pPr>
              <w:spacing w:after="0" w:line="240" w:lineRule="auto"/>
              <w:rPr>
                <w:rFonts w:ascii="Calibri" w:eastAsia="Times New Roman" w:hAnsi="Calibri" w:cs="Calibri"/>
                <w:color w:val="000000"/>
                <w:sz w:val="20"/>
                <w:szCs w:val="20"/>
                <w:lang w:val="en-GB"/>
              </w:rPr>
            </w:pPr>
            <w:r w:rsidRPr="00863AF2">
              <w:rPr>
                <w:rFonts w:ascii="Calibri" w:eastAsia="Times New Roman" w:hAnsi="Calibri" w:cs="Calibri"/>
                <w:color w:val="000000"/>
                <w:sz w:val="20"/>
                <w:szCs w:val="20"/>
                <w:lang w:val="en-GB"/>
              </w:rPr>
              <w:t xml:space="preserve"> -No significant changes were observed in body weight compared to the baseline.</w:t>
            </w:r>
          </w:p>
          <w:p w14:paraId="64409EE4" w14:textId="77777777" w:rsidR="009D2B25" w:rsidRDefault="009D2B25" w:rsidP="00282204">
            <w:pPr>
              <w:spacing w:after="0" w:line="240" w:lineRule="auto"/>
              <w:rPr>
                <w:rFonts w:ascii="Calibri" w:eastAsia="Times New Roman" w:hAnsi="Calibri" w:cstheme="minorHAnsi"/>
                <w:color w:val="000000"/>
                <w:sz w:val="20"/>
                <w:szCs w:val="20"/>
                <w:lang w:val="en-GB"/>
              </w:rPr>
            </w:pPr>
          </w:p>
        </w:tc>
      </w:tr>
      <w:tr w:rsidR="009D2B25" w:rsidRPr="00CE056C" w14:paraId="4140DDA6" w14:textId="77777777" w:rsidTr="00282204">
        <w:trPr>
          <w:trHeight w:val="2357"/>
        </w:trPr>
        <w:tc>
          <w:tcPr>
            <w:tcW w:w="540" w:type="dxa"/>
            <w:tcBorders>
              <w:top w:val="nil"/>
              <w:left w:val="single" w:sz="4" w:space="0" w:color="auto"/>
              <w:bottom w:val="single" w:sz="4" w:space="0" w:color="auto"/>
              <w:right w:val="single" w:sz="4" w:space="0" w:color="auto"/>
            </w:tcBorders>
            <w:shd w:val="clear" w:color="auto" w:fill="auto"/>
          </w:tcPr>
          <w:p w14:paraId="48BE1409"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3</w:t>
            </w:r>
          </w:p>
        </w:tc>
        <w:tc>
          <w:tcPr>
            <w:tcW w:w="990" w:type="dxa"/>
            <w:tcBorders>
              <w:top w:val="nil"/>
              <w:left w:val="nil"/>
              <w:bottom w:val="single" w:sz="4" w:space="0" w:color="auto"/>
              <w:right w:val="single" w:sz="4" w:space="0" w:color="auto"/>
            </w:tcBorders>
            <w:shd w:val="clear" w:color="auto" w:fill="auto"/>
          </w:tcPr>
          <w:p w14:paraId="3F13783C" w14:textId="77777777" w:rsidR="009D2B25" w:rsidRDefault="009D2B25" w:rsidP="00282204">
            <w:pPr>
              <w:spacing w:after="0" w:line="240" w:lineRule="auto"/>
              <w:rPr>
                <w:rFonts w:ascii="Calibri" w:eastAsia="Times New Roman" w:hAnsi="Calibri" w:cs="Calibri"/>
                <w:noProof/>
                <w:color w:val="000000"/>
                <w:sz w:val="20"/>
                <w:szCs w:val="20"/>
                <w:lang w:val="en-GB"/>
              </w:rPr>
            </w:pPr>
            <w:r>
              <w:rPr>
                <w:rFonts w:ascii="Calibri" w:eastAsia="Times New Roman" w:hAnsi="Calibri" w:cs="Calibri"/>
                <w:noProof/>
                <w:color w:val="000000"/>
                <w:sz w:val="20"/>
                <w:szCs w:val="20"/>
                <w:lang w:val="en-GB"/>
              </w:rPr>
              <w:fldChar w:fldCharType="begin" w:fldLock="1"/>
            </w:r>
            <w:r>
              <w:rPr>
                <w:rFonts w:ascii="Calibri" w:eastAsia="Times New Roman" w:hAnsi="Calibri" w:cs="Calibri"/>
                <w:noProof/>
                <w:color w:val="000000"/>
                <w:sz w:val="20"/>
                <w:szCs w:val="20"/>
                <w:lang w:val="en-GB"/>
              </w:rPr>
              <w:instrText>ADDIN CSL_CITATION {"citationItems":[{"id":"ITEM-1","itemData":{"DOI":"10.1186/s12875-017-0677-2","abstract":"Background: Long intervals between patient visits and limited time with patients can result in clinical inertia and suboptimal achievement of treatment goals. These obstacles can be improved with a multidisciplinary care program. The present study aimed to assess the impact of such a program on glycemic control and cardiovascular risk factors. Methods: In a randomized, parallel-group trial, we assigned 263 patients with poorly controlled type 2 diabetes mellitus (T2DM) to either a control group, standard care program, or a multidisciplinary care program involving a senior family physician, clinical pharmacy specialist, dietician, diabetic educator, health educator, and social worker. The participants were followed for a median of 10 months, between September 2013 and September 2014. Glycated hemoglobin (HbA1c), fasting blood glucose (FBG), lipid profiles, and blood pressure (BP) were measured. The assignment was blinded for the assessors of the study outcomes. The study registry number is. Results: In the intervention group, there were statistically significant (p &lt; 0.05) post-intervention (relative) reductions in the levels of HbA1c (−27.1%, 95% CI = −28.9%, −25.3%), FBG (−17.10%, 95% CI = −23.3%, −10.9%), total cholesterol (−9.93%, 95% CI = −12.7%, −7.9%), LDL cholesterol (−11.4%, 95% CI = −19.4%, −3.5%), systolic BP (−1.5%, 95% CI = −2.9%, −0.03%), and diastolic BP (−3.4%, 95% CI = −5.2%, −1.7%). There was a significant decrease in the number of patients with a HbA1c ≥10 (86 mmol/mol) from 167 patients at enrollment to 11 patients after intervention (p &lt; 0.001). However, the intervention group experienced a statistically significant increase in body weight (3.7%, 95% CI = 2.9%, 4.5%). In the control group, no statistically significant changes were noticed in different outcomes with the exception of total cholesterol (−4.10%, p = 0.07). In the linear regression model, the intervention and the total number of clinic visits predicted HbA1c improvement.","author":[{"dropping-particle":"","family":"Tourkmani","given":"Ayla M","non-dropping-particle":"","parse-names":false,"suffix":""},{"dropping-particle":"","family":"Abdelhay","given":"Osama","non-dropping-particle":"","parse-names":false,"suffix":""},{"dropping-particle":"","family":"Alkhashan","given":"Hesham I","non-dropping-particle":"","parse-names":false,"suffix":""},{"dropping-particle":"","family":"Alaboud","given":"Aboud F","non-dropping-particle":"","parse-names":false,"suffix":""},{"dropping-particle":"","family":"Bakhit","given":"Ahmed","non-dropping-particle":"","parse-names":false,"suffix":""},{"dropping-particle":"","family":"Elsaid","given":"Tarek","non-dropping-particle":"","parse-names":false,"suffix":""},{"dropping-particle":"","family":"Alawad","given":"Ahmed","non-dropping-particle":"","parse-names":false,"suffix":""},{"dropping-particle":"","family":"Alobaikan","given":"Aljohara","non-dropping-particle":"","parse-names":false,"suffix":""},{"dropping-particle":"","family":"Alqahtani","given":"Hala","non-dropping-particle":"","parse-names":false,"suffix":""},{"dropping-particle":"","family":"Alqahtani","given":"Abdulaziz","non-dropping-particle":"","parse-names":false,"suffix":""},{"dropping-particle":"","family":"Mishriky","given":"Adel","non-dropping-particle":"","parse-names":false,"suffix":""},{"dropping-particle":"","family":"Alharbi","given":"Turki J","non-dropping-particle":"","parse-names":false,"suffix":""}],"container-title":"BMC Family Practice","id":"ITEM-1","issue":"1","issued":{"date-parts":[["2018"]]},"title":"Impact of an integrated care program on glycemic control and cardiovascular risk factors in patients with type 2 diabetes in Saudi Arabia: an interventional parallel-group controlled study","type":"article-journal","volume":"19"},"uris":["http://www.mendeley.com/documents/?uuid=fd7e9307-803e-38c8-ae4e-d57e7e67b437"]}],"mendeley":{"formattedCitation":"(Ayla M Tourkmani &lt;i&gt;et al.&lt;/i&gt;, 2018)","manualFormatting":"(Tourkmani et al., 2018a)","plainTextFormattedCitation":"(Ayla M Tourkmani et al., 2018)","previouslyFormattedCitation":"(Ayla M Tourkmani &lt;i&gt;et al.&lt;/i&gt;, 2018)"},"properties":{"noteIndex":0},"schema":"https://github.com/citation-style-language/schema/raw/master/csl-citation.json"}</w:instrText>
            </w:r>
            <w:r>
              <w:rPr>
                <w:rFonts w:ascii="Calibri" w:eastAsia="Times New Roman" w:hAnsi="Calibri" w:cs="Calibri"/>
                <w:noProof/>
                <w:color w:val="000000"/>
                <w:sz w:val="20"/>
                <w:szCs w:val="20"/>
                <w:lang w:val="en-GB"/>
              </w:rPr>
              <w:fldChar w:fldCharType="separate"/>
            </w:r>
            <w:r w:rsidRPr="00481423">
              <w:rPr>
                <w:rFonts w:ascii="Calibri" w:eastAsia="Times New Roman" w:hAnsi="Calibri" w:cs="Calibri"/>
                <w:noProof/>
                <w:color w:val="000000"/>
                <w:sz w:val="20"/>
                <w:szCs w:val="20"/>
                <w:lang w:val="en-GB"/>
              </w:rPr>
              <w:t xml:space="preserve">(Tourkmani </w:t>
            </w:r>
            <w:r w:rsidRPr="00481423">
              <w:rPr>
                <w:rFonts w:ascii="Calibri" w:eastAsia="Times New Roman" w:hAnsi="Calibri" w:cs="Calibri"/>
                <w:i/>
                <w:noProof/>
                <w:color w:val="000000"/>
                <w:sz w:val="20"/>
                <w:szCs w:val="20"/>
                <w:lang w:val="en-GB"/>
              </w:rPr>
              <w:t>et al.</w:t>
            </w:r>
            <w:r w:rsidRPr="00481423">
              <w:rPr>
                <w:rFonts w:ascii="Calibri" w:eastAsia="Times New Roman" w:hAnsi="Calibri" w:cs="Calibri"/>
                <w:noProof/>
                <w:color w:val="000000"/>
                <w:sz w:val="20"/>
                <w:szCs w:val="20"/>
                <w:lang w:val="en-GB"/>
              </w:rPr>
              <w:t>, 2018</w:t>
            </w:r>
            <w:r>
              <w:rPr>
                <w:rFonts w:ascii="Calibri" w:eastAsia="Times New Roman" w:hAnsi="Calibri" w:cs="Calibri"/>
                <w:noProof/>
                <w:color w:val="000000"/>
                <w:sz w:val="20"/>
                <w:szCs w:val="20"/>
                <w:lang w:val="en-GB"/>
              </w:rPr>
              <w:t>a</w:t>
            </w:r>
            <w:r w:rsidRPr="00481423">
              <w:rPr>
                <w:rFonts w:ascii="Calibri" w:eastAsia="Times New Roman" w:hAnsi="Calibri" w:cs="Calibri"/>
                <w:noProof/>
                <w:color w:val="000000"/>
                <w:sz w:val="20"/>
                <w:szCs w:val="20"/>
                <w:lang w:val="en-GB"/>
              </w:rPr>
              <w:t>)</w:t>
            </w:r>
            <w:r>
              <w:rPr>
                <w:rFonts w:ascii="Calibri" w:eastAsia="Times New Roman" w:hAnsi="Calibri" w:cs="Calibri"/>
                <w:noProof/>
                <w:color w:val="000000"/>
                <w:sz w:val="20"/>
                <w:szCs w:val="20"/>
                <w:lang w:val="en-GB"/>
              </w:rPr>
              <w:fldChar w:fldCharType="end"/>
            </w:r>
          </w:p>
          <w:p w14:paraId="68F85CE7"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tc>
        <w:tc>
          <w:tcPr>
            <w:tcW w:w="1620" w:type="dxa"/>
            <w:tcBorders>
              <w:top w:val="nil"/>
              <w:left w:val="nil"/>
              <w:bottom w:val="single" w:sz="4" w:space="0" w:color="auto"/>
              <w:right w:val="single" w:sz="4" w:space="0" w:color="auto"/>
            </w:tcBorders>
            <w:shd w:val="clear" w:color="auto" w:fill="auto"/>
          </w:tcPr>
          <w:p w14:paraId="1B10F239"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 xml:space="preserve">Impact of an integrated care programme on glycemic control and </w:t>
            </w:r>
            <w:r>
              <w:rPr>
                <w:rFonts w:ascii="Calibri" w:eastAsia="Times New Roman" w:hAnsi="Calibri" w:cstheme="minorHAnsi"/>
                <w:color w:val="000000"/>
                <w:sz w:val="20"/>
                <w:szCs w:val="20"/>
                <w:lang w:val="en-GB"/>
              </w:rPr>
              <w:t>CV</w:t>
            </w:r>
            <w:r w:rsidRPr="001A3CE6">
              <w:rPr>
                <w:rFonts w:ascii="Calibri" w:eastAsia="Times New Roman" w:hAnsi="Calibri" w:cstheme="minorHAnsi"/>
                <w:color w:val="000000"/>
                <w:sz w:val="20"/>
                <w:szCs w:val="20"/>
                <w:lang w:val="en-GB"/>
              </w:rPr>
              <w:t xml:space="preserve"> risk factors in patients with </w:t>
            </w:r>
            <w:r>
              <w:rPr>
                <w:rFonts w:ascii="Calibri" w:eastAsia="Times New Roman" w:hAnsi="Calibri" w:cstheme="minorHAnsi"/>
                <w:color w:val="000000"/>
                <w:sz w:val="20"/>
                <w:szCs w:val="20"/>
                <w:lang w:val="en-GB"/>
              </w:rPr>
              <w:t>T2D</w:t>
            </w:r>
            <w:r w:rsidRPr="001A3CE6">
              <w:rPr>
                <w:rFonts w:ascii="Calibri" w:eastAsia="Times New Roman" w:hAnsi="Calibri" w:cstheme="minorHAnsi"/>
                <w:color w:val="000000"/>
                <w:sz w:val="20"/>
                <w:szCs w:val="20"/>
                <w:lang w:val="en-GB"/>
              </w:rPr>
              <w:t xml:space="preserve"> in </w:t>
            </w:r>
            <w:r>
              <w:rPr>
                <w:rFonts w:ascii="Calibri" w:eastAsia="Times New Roman" w:hAnsi="Calibri" w:cstheme="minorHAnsi"/>
                <w:color w:val="000000"/>
                <w:sz w:val="20"/>
                <w:szCs w:val="20"/>
                <w:lang w:val="en-GB"/>
              </w:rPr>
              <w:t>SA</w:t>
            </w:r>
            <w:r w:rsidRPr="001A3CE6">
              <w:rPr>
                <w:rFonts w:ascii="Calibri" w:eastAsia="Times New Roman" w:hAnsi="Calibri" w:cstheme="minorHAnsi"/>
                <w:color w:val="000000"/>
                <w:sz w:val="20"/>
                <w:szCs w:val="20"/>
                <w:lang w:val="en-GB"/>
              </w:rPr>
              <w:t xml:space="preserve"> </w:t>
            </w:r>
          </w:p>
        </w:tc>
        <w:tc>
          <w:tcPr>
            <w:tcW w:w="1530" w:type="dxa"/>
            <w:tcBorders>
              <w:top w:val="nil"/>
              <w:left w:val="nil"/>
              <w:bottom w:val="single" w:sz="4" w:space="0" w:color="auto"/>
              <w:right w:val="single" w:sz="4" w:space="0" w:color="auto"/>
            </w:tcBorders>
            <w:shd w:val="clear" w:color="auto" w:fill="auto"/>
          </w:tcPr>
          <w:p w14:paraId="74292230" w14:textId="77777777" w:rsidR="009D2B25" w:rsidRDefault="009D2B25" w:rsidP="00282204">
            <w:pPr>
              <w:spacing w:after="0" w:line="240" w:lineRule="auto"/>
            </w:pPr>
            <w:r w:rsidRPr="001A3CE6">
              <w:rPr>
                <w:rFonts w:ascii="Calibri" w:eastAsia="Times New Roman" w:hAnsi="Calibri" w:cstheme="minorHAnsi"/>
                <w:color w:val="000000"/>
                <w:sz w:val="20"/>
                <w:szCs w:val="20"/>
                <w:lang w:val="en-GB"/>
              </w:rPr>
              <w:t xml:space="preserve">Al-Wazarat Chronic Diseases Center, a Family Medicine Center in Riyadh, </w:t>
            </w:r>
            <w:r>
              <w:rPr>
                <w:rFonts w:ascii="Calibri" w:eastAsia="Times New Roman" w:hAnsi="Calibri" w:cstheme="minorHAnsi"/>
                <w:color w:val="000000"/>
                <w:sz w:val="20"/>
                <w:szCs w:val="20"/>
                <w:lang w:val="en-GB"/>
              </w:rPr>
              <w:t>SA.</w:t>
            </w:r>
          </w:p>
        </w:tc>
        <w:tc>
          <w:tcPr>
            <w:tcW w:w="1980" w:type="dxa"/>
            <w:tcBorders>
              <w:top w:val="nil"/>
              <w:left w:val="nil"/>
              <w:bottom w:val="single" w:sz="4" w:space="0" w:color="auto"/>
              <w:right w:val="single" w:sz="4" w:space="0" w:color="auto"/>
            </w:tcBorders>
            <w:shd w:val="clear" w:color="auto" w:fill="auto"/>
          </w:tcPr>
          <w:p w14:paraId="69116F17"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 xml:space="preserve">263 patients with poorly controlled </w:t>
            </w:r>
            <w:r>
              <w:rPr>
                <w:rFonts w:ascii="Calibri" w:eastAsia="Times New Roman" w:hAnsi="Calibri" w:cs="Calibri"/>
                <w:color w:val="000000"/>
                <w:sz w:val="20"/>
                <w:szCs w:val="20"/>
                <w:lang w:val="en-GB"/>
              </w:rPr>
              <w:t>T2D</w:t>
            </w:r>
            <w:r>
              <w:rPr>
                <w:rFonts w:ascii="Calibri" w:eastAsia="Times New Roman" w:hAnsi="Calibri" w:cstheme="minorHAnsi"/>
                <w:color w:val="000000"/>
                <w:sz w:val="20"/>
                <w:szCs w:val="20"/>
                <w:lang w:val="en-GB"/>
              </w:rPr>
              <w:t xml:space="preserve"> </w:t>
            </w:r>
          </w:p>
          <w:p w14:paraId="5CDFB5AC"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0D496C0B"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Intervention=195</w:t>
            </w:r>
          </w:p>
          <w:p w14:paraId="54C28C54" w14:textId="77777777" w:rsidR="009D2B25" w:rsidRPr="008E4880"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Control=68</w:t>
            </w:r>
          </w:p>
        </w:tc>
        <w:tc>
          <w:tcPr>
            <w:tcW w:w="1440" w:type="dxa"/>
            <w:tcBorders>
              <w:top w:val="nil"/>
              <w:left w:val="nil"/>
              <w:bottom w:val="single" w:sz="4" w:space="0" w:color="auto"/>
              <w:right w:val="single" w:sz="4" w:space="0" w:color="auto"/>
            </w:tcBorders>
            <w:shd w:val="clear" w:color="auto" w:fill="auto"/>
          </w:tcPr>
          <w:p w14:paraId="468E6468" w14:textId="77777777" w:rsidR="009D2B25" w:rsidRPr="00D41287"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An interventional</w:t>
            </w:r>
            <w:r>
              <w:rPr>
                <w:rFonts w:ascii="Calibri" w:eastAsia="Times New Roman" w:hAnsi="Calibri" w:cstheme="minorHAnsi"/>
                <w:color w:val="000000"/>
                <w:sz w:val="20"/>
                <w:szCs w:val="20"/>
                <w:lang w:val="en-GB"/>
              </w:rPr>
              <w:t xml:space="preserve">, </w:t>
            </w:r>
            <w:r w:rsidRPr="001A3CE6">
              <w:rPr>
                <w:rFonts w:ascii="Calibri" w:eastAsia="Times New Roman" w:hAnsi="Calibri" w:cstheme="minorHAnsi"/>
                <w:color w:val="000000"/>
                <w:sz w:val="20"/>
                <w:szCs w:val="20"/>
                <w:lang w:val="en-GB"/>
              </w:rPr>
              <w:t>randomized parallel group-controlled study</w:t>
            </w:r>
            <w:r>
              <w:rPr>
                <w:rFonts w:ascii="Calibri" w:eastAsia="Times New Roman" w:hAnsi="Calibri" w:cstheme="minorHAnsi"/>
                <w:color w:val="000000"/>
                <w:sz w:val="20"/>
                <w:szCs w:val="20"/>
                <w:lang w:val="en-GB"/>
              </w:rPr>
              <w:t xml:space="preserve"> </w:t>
            </w:r>
            <w:r w:rsidRPr="008A3597">
              <w:rPr>
                <w:rFonts w:ascii="Calibri" w:eastAsia="Times New Roman" w:hAnsi="Calibri" w:cstheme="minorHAnsi"/>
                <w:color w:val="000000"/>
                <w:sz w:val="20"/>
                <w:szCs w:val="20"/>
                <w:lang w:val="en-GB"/>
              </w:rPr>
              <w:t xml:space="preserve">conducted over </w:t>
            </w:r>
            <w:r>
              <w:rPr>
                <w:rFonts w:ascii="Calibri" w:eastAsia="Times New Roman" w:hAnsi="Calibri" w:cstheme="minorHAnsi"/>
                <w:color w:val="000000"/>
                <w:sz w:val="20"/>
                <w:szCs w:val="20"/>
                <w:lang w:val="en-GB"/>
              </w:rPr>
              <w:t>1</w:t>
            </w:r>
            <w:r w:rsidRPr="008A3597">
              <w:rPr>
                <w:rFonts w:ascii="Calibri" w:eastAsia="Times New Roman" w:hAnsi="Calibri" w:cstheme="minorHAnsi"/>
                <w:color w:val="000000"/>
                <w:sz w:val="20"/>
                <w:szCs w:val="20"/>
                <w:lang w:val="en-GB"/>
              </w:rPr>
              <w:t xml:space="preserve"> year</w:t>
            </w:r>
          </w:p>
        </w:tc>
        <w:tc>
          <w:tcPr>
            <w:tcW w:w="3510" w:type="dxa"/>
            <w:tcBorders>
              <w:top w:val="nil"/>
              <w:left w:val="nil"/>
              <w:bottom w:val="single" w:sz="4" w:space="0" w:color="auto"/>
              <w:right w:val="single" w:sz="4" w:space="0" w:color="auto"/>
            </w:tcBorders>
            <w:shd w:val="clear" w:color="auto" w:fill="auto"/>
          </w:tcPr>
          <w:p w14:paraId="5FAEC737"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 xml:space="preserve">The pharmacist was a member of the </w:t>
            </w:r>
            <w:r>
              <w:rPr>
                <w:rFonts w:ascii="Calibri" w:eastAsia="Times New Roman" w:hAnsi="Calibri" w:cstheme="minorHAnsi"/>
                <w:color w:val="000000"/>
                <w:sz w:val="20"/>
                <w:szCs w:val="20"/>
                <w:lang w:val="en-GB"/>
              </w:rPr>
              <w:t>MDT</w:t>
            </w:r>
            <w:r w:rsidRPr="001A3CE6">
              <w:rPr>
                <w:rFonts w:ascii="Calibri" w:eastAsia="Times New Roman" w:hAnsi="Calibri" w:cstheme="minorHAnsi"/>
                <w:color w:val="000000"/>
                <w:sz w:val="20"/>
                <w:szCs w:val="20"/>
                <w:lang w:val="en-GB"/>
              </w:rPr>
              <w:t xml:space="preserve"> and acted as the case manager, responsible for monitoring the patient’s compliance and adverse effects of the new agreed care plan. </w:t>
            </w:r>
          </w:p>
          <w:p w14:paraId="4F1D763A"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Seeing patients regularly (weekly) and arranging appointments with other specialties as per the care plan</w:t>
            </w:r>
          </w:p>
        </w:tc>
        <w:tc>
          <w:tcPr>
            <w:tcW w:w="3407" w:type="dxa"/>
            <w:tcBorders>
              <w:top w:val="nil"/>
              <w:left w:val="nil"/>
              <w:bottom w:val="single" w:sz="4" w:space="0" w:color="auto"/>
              <w:right w:val="single" w:sz="4" w:space="0" w:color="auto"/>
            </w:tcBorders>
            <w:shd w:val="clear" w:color="auto" w:fill="auto"/>
          </w:tcPr>
          <w:p w14:paraId="384D6277" w14:textId="77777777" w:rsidR="009D2B25" w:rsidRDefault="009D2B25" w:rsidP="00282204">
            <w:pPr>
              <w:spacing w:after="0" w:line="240" w:lineRule="auto"/>
              <w:rPr>
                <w:rFonts w:ascii="Calibri" w:eastAsia="Times New Roman" w:hAnsi="Calibri" w:cs="Calibri"/>
                <w:color w:val="000000"/>
                <w:sz w:val="20"/>
                <w:szCs w:val="20"/>
                <w:lang w:val="en-GB"/>
              </w:rPr>
            </w:pPr>
            <w:r w:rsidRPr="001A3CE6">
              <w:rPr>
                <w:rFonts w:ascii="Calibri" w:eastAsia="Times New Roman" w:hAnsi="Calibri" w:cstheme="minorHAnsi"/>
                <w:b/>
                <w:bCs/>
                <w:color w:val="000000"/>
                <w:sz w:val="20"/>
                <w:szCs w:val="20"/>
                <w:lang w:val="en-GB"/>
              </w:rPr>
              <w:t>In the intervention group</w:t>
            </w:r>
            <w:r w:rsidRPr="001A3CE6">
              <w:rPr>
                <w:rFonts w:ascii="Calibri" w:eastAsia="Times New Roman" w:hAnsi="Calibri" w:cstheme="minorHAnsi"/>
                <w:color w:val="000000"/>
                <w:sz w:val="20"/>
                <w:szCs w:val="20"/>
                <w:lang w:val="en-GB"/>
              </w:rPr>
              <w:t xml:space="preserve"> (</w:t>
            </w:r>
            <w:r>
              <w:rPr>
                <w:rFonts w:ascii="Calibri" w:eastAsia="Times New Roman" w:hAnsi="Calibri" w:cs="Calibri"/>
                <w:color w:val="000000"/>
                <w:sz w:val="20"/>
                <w:szCs w:val="20"/>
                <w:lang w:val="en-GB"/>
              </w:rPr>
              <w:t>MDT</w:t>
            </w:r>
            <w:r w:rsidRPr="001A3CE6">
              <w:rPr>
                <w:rFonts w:ascii="Calibri" w:eastAsia="Times New Roman" w:hAnsi="Calibri" w:cs="Calibri"/>
                <w:color w:val="000000"/>
                <w:sz w:val="20"/>
                <w:szCs w:val="20"/>
                <w:lang w:val="en-GB"/>
              </w:rPr>
              <w:t xml:space="preserve">): </w:t>
            </w:r>
          </w:p>
          <w:p w14:paraId="0BC74F71"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 xml:space="preserve">- </w:t>
            </w:r>
            <w:r w:rsidRPr="001A3CE6">
              <w:rPr>
                <w:rFonts w:ascii="Calibri" w:eastAsia="Times New Roman" w:hAnsi="Calibri" w:cs="Calibri"/>
                <w:color w:val="000000"/>
                <w:sz w:val="20"/>
                <w:szCs w:val="20"/>
                <w:lang w:val="en-GB"/>
              </w:rPr>
              <w:t xml:space="preserve">HbA1c, FBG, total cholesterol, LDL cholesterol and PB were significantly reduced. </w:t>
            </w:r>
          </w:p>
          <w:p w14:paraId="783F5E37"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1A3CE6">
              <w:rPr>
                <w:rFonts w:ascii="Calibri" w:eastAsia="Times New Roman" w:hAnsi="Calibri" w:cs="Calibri"/>
                <w:color w:val="000000"/>
                <w:sz w:val="20"/>
                <w:szCs w:val="20"/>
                <w:lang w:val="en-GB"/>
              </w:rPr>
              <w:t>Body weight significantly increased.</w:t>
            </w:r>
          </w:p>
          <w:p w14:paraId="320E5EB7" w14:textId="77777777" w:rsidR="009D2B25" w:rsidRDefault="009D2B25" w:rsidP="00282204">
            <w:pPr>
              <w:spacing w:after="0" w:line="240" w:lineRule="auto"/>
              <w:rPr>
                <w:rFonts w:ascii="Calibri" w:eastAsia="Times New Roman" w:hAnsi="Calibri" w:cs="Calibri"/>
                <w:color w:val="000000"/>
                <w:sz w:val="20"/>
                <w:szCs w:val="20"/>
                <w:lang w:val="en-GB"/>
              </w:rPr>
            </w:pPr>
          </w:p>
          <w:p w14:paraId="6C545A56" w14:textId="77777777" w:rsidR="009D2B25" w:rsidRDefault="009D2B25" w:rsidP="00282204">
            <w:pPr>
              <w:spacing w:after="0" w:line="240" w:lineRule="auto"/>
              <w:rPr>
                <w:rFonts w:ascii="Calibri" w:eastAsia="Times New Roman" w:hAnsi="Calibri" w:cs="Calibri"/>
                <w:color w:val="000000"/>
                <w:sz w:val="20"/>
                <w:szCs w:val="20"/>
                <w:lang w:val="en-GB"/>
              </w:rPr>
            </w:pPr>
            <w:r w:rsidRPr="001A3CE6">
              <w:rPr>
                <w:rFonts w:ascii="Calibri" w:eastAsia="Times New Roman" w:hAnsi="Calibri" w:cs="Calibri"/>
                <w:color w:val="000000"/>
                <w:sz w:val="20"/>
                <w:szCs w:val="20"/>
                <w:lang w:val="en-GB"/>
              </w:rPr>
              <w:t xml:space="preserve"> </w:t>
            </w:r>
            <w:r w:rsidRPr="001A3CE6">
              <w:rPr>
                <w:rFonts w:ascii="Calibri" w:eastAsia="Times New Roman" w:hAnsi="Calibri" w:cs="Calibri"/>
                <w:b/>
                <w:bCs/>
                <w:color w:val="000000"/>
                <w:sz w:val="20"/>
                <w:szCs w:val="20"/>
                <w:lang w:val="en-GB"/>
              </w:rPr>
              <w:t>In the control group:</w:t>
            </w:r>
            <w:r w:rsidRPr="001A3CE6">
              <w:rPr>
                <w:rFonts w:ascii="Calibri" w:eastAsia="Times New Roman" w:hAnsi="Calibri" w:cs="Calibri"/>
                <w:color w:val="000000"/>
                <w:sz w:val="20"/>
                <w:szCs w:val="20"/>
                <w:lang w:val="en-GB"/>
              </w:rPr>
              <w:t xml:space="preserve"> </w:t>
            </w:r>
          </w:p>
          <w:p w14:paraId="7B1A767F" w14:textId="77777777" w:rsidR="009D2B25" w:rsidRPr="00CD0163" w:rsidRDefault="009D2B25" w:rsidP="00282204">
            <w:pPr>
              <w:spacing w:after="0" w:line="240" w:lineRule="auto"/>
              <w:rPr>
                <w:rFonts w:ascii="Calibri" w:eastAsia="Times New Roman" w:hAnsi="Calibri" w:cs="Calibri"/>
                <w:color w:val="000000"/>
                <w:sz w:val="20"/>
                <w:szCs w:val="20"/>
                <w:lang w:val="en-GB"/>
              </w:rPr>
            </w:pPr>
            <w:r w:rsidRPr="001A3CE6">
              <w:rPr>
                <w:rFonts w:ascii="Calibri" w:eastAsia="Times New Roman" w:hAnsi="Calibri" w:cs="Calibri"/>
                <w:color w:val="000000"/>
                <w:sz w:val="20"/>
                <w:szCs w:val="20"/>
                <w:lang w:val="en-GB"/>
              </w:rPr>
              <w:t>No statistically significant changes were found in different outcomes.</w:t>
            </w:r>
          </w:p>
        </w:tc>
      </w:tr>
      <w:tr w:rsidR="009D2B25" w:rsidRPr="00CE056C" w14:paraId="58142267" w14:textId="77777777" w:rsidTr="00282204">
        <w:trPr>
          <w:trHeight w:val="3752"/>
        </w:trPr>
        <w:tc>
          <w:tcPr>
            <w:tcW w:w="540" w:type="dxa"/>
            <w:tcBorders>
              <w:top w:val="nil"/>
              <w:left w:val="single" w:sz="4" w:space="0" w:color="auto"/>
              <w:bottom w:val="single" w:sz="4" w:space="0" w:color="auto"/>
              <w:right w:val="single" w:sz="4" w:space="0" w:color="auto"/>
            </w:tcBorders>
            <w:shd w:val="clear" w:color="auto" w:fill="auto"/>
          </w:tcPr>
          <w:p w14:paraId="7083F85A"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4</w:t>
            </w:r>
          </w:p>
        </w:tc>
        <w:tc>
          <w:tcPr>
            <w:tcW w:w="990" w:type="dxa"/>
            <w:tcBorders>
              <w:top w:val="nil"/>
              <w:left w:val="nil"/>
              <w:bottom w:val="single" w:sz="4" w:space="0" w:color="auto"/>
              <w:right w:val="single" w:sz="4" w:space="0" w:color="auto"/>
            </w:tcBorders>
            <w:shd w:val="clear" w:color="auto" w:fill="auto"/>
          </w:tcPr>
          <w:p w14:paraId="11DB86BD" w14:textId="77777777" w:rsidR="009D2B25" w:rsidRPr="00C422A6"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w:t>
            </w:r>
            <w:r>
              <w:rPr>
                <w:rFonts w:ascii="Calibri" w:eastAsia="Times New Roman" w:hAnsi="Calibri" w:cstheme="minorHAnsi"/>
                <w:noProof/>
                <w:color w:val="000000"/>
                <w:sz w:val="20"/>
                <w:szCs w:val="20"/>
                <w:lang w:val="en-GB"/>
              </w:rPr>
              <w:fldChar w:fldCharType="begin" w:fldLock="1"/>
            </w:r>
            <w:r>
              <w:rPr>
                <w:rFonts w:ascii="Calibri" w:eastAsia="Times New Roman" w:hAnsi="Calibri" w:cstheme="minorHAnsi"/>
                <w:noProof/>
                <w:color w:val="000000"/>
                <w:sz w:val="20"/>
                <w:szCs w:val="20"/>
                <w:lang w:val="en-GB"/>
              </w:rPr>
              <w:instrText>ADDIN CSL_CITATION {"citationItems":[{"id":"ITEM-1","itemData":{"DOI":"10.1016/j.dsx.2018.07.012","ISSN":"18780334","abstract":"Aims: To examine the impact of Ramadan Focused Education Program (RFEP) on medications adjustment in type 2 diabetes patients in Ramadan. Methods: This is a controlled, intervention based study. It was run on three phases: before, during, and after Ramadan on 262 type 2 diabetes patients. The intervention group (n ¼ 140) received RFEP on medications doses &amp; timing adjustment before and after Ramadan, while the control group (n ¼ 122) received standard care. Results: The dose of insulin glargine was reduced from 42.51 ± 22.16 at the baseline to 40.11 ± 18.51-units during Ramadan (p ¼ 0.002) in the intervention group while it remained the same in the control group before Ramadan and during Ramadan (38.51 ± 18.63 and 38.14 ± 18.46, P ¼ 0.428, respectively). The hypoglycemia score was 14.2 ± (8.5) pre-Ramadan in the intervention and reduced to 6.36 ± 6.17 during Ramadan (p &lt; 0.001) while in the control group, no significant changes were noted before and during Ramadan (14.01 ± 5.10 versus 13.46 ± 5.30). Conclusions: Ramadan Focused Education Program done at a primary healthcare setting had a positive impact on medication adjustment for dose and timing during fasting in Ramadan in diabetic patients, and it can be a useful tool to achieve better outcomes; less hypoglycemia and safe fasting among T2D patients during Ramadan.","author":[{"dropping-particle":"","family":"Tourkmani","given":"Ayla M.","non-dropping-particle":"","parse-names":false,"suffix":""},{"dropping-particle":"","family":"Alharbi","given":"Turki J.","non-dropping-particle":"","parse-names":false,"suffix":""},{"dropping-particle":"","family":"Rsheed","given":"Abdulaziz M.","non-dropping-particle":"Bin","parse-names":false,"suffix":""},{"dropping-particle":"","family":"Alrasheed","given":"Abdulrhamn N.","non-dropping-particle":"","parse-names":false,"suffix":""},{"dropping-particle":"","family":"AlBattal","given":"Saad M.","non-dropping-particle":"","parse-names":false,"suffix":""},{"dropping-particle":"","family":"Abdelhay","given":"Osama","non-dropping-particle":"","parse-names":false,"suffix":""},{"dropping-particle":"","family":"Hassali","given":"Mohamed A.","non-dropping-particle":"","parse-names":false,"suffix":""},{"dropping-particle":"","family":"Faya","given":"I","non-dropping-particle":"","parse-names":false,"suffix":""},{"dropping-particle":"","family":"Assiri","given":"Ebrahim S.","non-dropping-particle":"","parse-names":false,"suffix":""},{"dropping-particle":"","family":"Ghishiayan","given":"Khalid I.","non-dropping-particle":"Al","parse-names":false,"suffix":""},{"dropping-particle":"","family":"Alrasheedy","given":"Alian A.","non-dropping-particle":"","parse-names":false,"suffix":""},{"dropping-particle":"","family":"Abbas","given":"Mostafa AF","non-dropping-particle":"","parse-names":false,"suffix":""},{"dropping-particle":"","family":"Faya","given":"Sultan I.","non-dropping-particle":"","parse-names":false,"suffix":""},{"dropping-particle":"","family":"Assiri","given":"Ebrahim S.","non-dropping-particle":"","parse-names":false,"suffix":""},{"dropping-particle":"","family":"Ghishiayan","given":"Khalid I.","non-dropping-particle":"Al","parse-names":false,"suffix":""},{"dropping-particle":"","family":"Alrasheedy","given":"Alian A.","non-dropping-particle":"","parse-names":false,"suffix":""},{"dropping-particle":"","family":"Abbas","given":"Mostafa AF","non-dropping-particle":"","parse-names":false,"suffix":""}],"container-title":"Diabetes and Metabolic Syndrome: Clinical Research and Reviews","id":"ITEM-1","issue":"1","issued":{"date-parts":[["2018","1","1"]]},"page":"161-165","publisher":"Elsevier Ltd","title":"Impact of Ramadan Focused Education Program on medications adjustment for patients with type 2 diabetes in a primary health care institution in Saudi Arabia","type":"article-journal","volume":"13"},"uris":["http://www.mendeley.com/documents/?uuid=bb2e125e-614f-4ef3-9005-a67300dc3d2c"]}],"mendeley":{"formattedCitation":"(Ayla M. Tourkmani &lt;i&gt;et al.&lt;/i&gt;, 2018)","manualFormatting":"Tourkmani et al., 2018b)","plainTextFormattedCitation":"(Ayla M. Tourkmani et al., 2018)","previouslyFormattedCitation":"(Ayla M. Tourkmani &lt;i&gt;et al.&lt;/i&gt;, 2018)"},"properties":{"noteIndex":0},"schema":"https://github.com/citation-style-language/schema/raw/master/csl-citation.json"}</w:instrText>
            </w:r>
            <w:r>
              <w:rPr>
                <w:rFonts w:ascii="Calibri" w:eastAsia="Times New Roman" w:hAnsi="Calibri" w:cstheme="minorHAnsi"/>
                <w:noProof/>
                <w:color w:val="000000"/>
                <w:sz w:val="20"/>
                <w:szCs w:val="20"/>
                <w:lang w:val="en-GB"/>
              </w:rPr>
              <w:fldChar w:fldCharType="separate"/>
            </w:r>
            <w:r w:rsidRPr="003C3207">
              <w:rPr>
                <w:rFonts w:ascii="Calibri" w:eastAsia="Times New Roman" w:hAnsi="Calibri" w:cstheme="minorHAnsi"/>
                <w:noProof/>
                <w:color w:val="000000"/>
                <w:sz w:val="20"/>
                <w:szCs w:val="20"/>
                <w:lang w:val="en-GB"/>
              </w:rPr>
              <w:t xml:space="preserve">Tourkmani </w:t>
            </w:r>
            <w:r w:rsidRPr="003C3207">
              <w:rPr>
                <w:rFonts w:ascii="Calibri" w:eastAsia="Times New Roman" w:hAnsi="Calibri" w:cstheme="minorHAnsi"/>
                <w:i/>
                <w:noProof/>
                <w:color w:val="000000"/>
                <w:sz w:val="20"/>
                <w:szCs w:val="20"/>
                <w:lang w:val="en-GB"/>
              </w:rPr>
              <w:t>et al.</w:t>
            </w:r>
            <w:r w:rsidRPr="003C3207">
              <w:rPr>
                <w:rFonts w:ascii="Calibri" w:eastAsia="Times New Roman" w:hAnsi="Calibri" w:cstheme="minorHAnsi"/>
                <w:noProof/>
                <w:color w:val="000000"/>
                <w:sz w:val="20"/>
                <w:szCs w:val="20"/>
                <w:lang w:val="en-GB"/>
              </w:rPr>
              <w:t>, 2018</w:t>
            </w:r>
            <w:r>
              <w:rPr>
                <w:rFonts w:ascii="Calibri" w:eastAsia="Times New Roman" w:hAnsi="Calibri" w:cstheme="minorHAnsi"/>
                <w:noProof/>
                <w:color w:val="000000"/>
                <w:sz w:val="20"/>
                <w:szCs w:val="20"/>
                <w:lang w:val="en-GB"/>
              </w:rPr>
              <w:t>b</w:t>
            </w:r>
            <w:r w:rsidRPr="003C3207">
              <w:rPr>
                <w:rFonts w:ascii="Calibri" w:eastAsia="Times New Roman" w:hAnsi="Calibri" w:cstheme="minorHAnsi"/>
                <w:noProof/>
                <w:color w:val="000000"/>
                <w:sz w:val="20"/>
                <w:szCs w:val="20"/>
                <w:lang w:val="en-GB"/>
              </w:rPr>
              <w:t>)</w:t>
            </w:r>
            <w:r>
              <w:rPr>
                <w:rFonts w:ascii="Calibri" w:eastAsia="Times New Roman" w:hAnsi="Calibri" w:cstheme="minorHAnsi"/>
                <w:noProof/>
                <w:color w:val="000000"/>
                <w:sz w:val="20"/>
                <w:szCs w:val="20"/>
                <w:lang w:val="en-GB"/>
              </w:rPr>
              <w:fldChar w:fldCharType="end"/>
            </w:r>
          </w:p>
        </w:tc>
        <w:tc>
          <w:tcPr>
            <w:tcW w:w="1620" w:type="dxa"/>
            <w:tcBorders>
              <w:top w:val="nil"/>
              <w:left w:val="nil"/>
              <w:bottom w:val="single" w:sz="4" w:space="0" w:color="auto"/>
              <w:right w:val="single" w:sz="4" w:space="0" w:color="auto"/>
            </w:tcBorders>
            <w:shd w:val="clear" w:color="auto" w:fill="auto"/>
          </w:tcPr>
          <w:p w14:paraId="2DCCC5D2"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BD58A2">
              <w:rPr>
                <w:rFonts w:ascii="Calibri" w:eastAsia="Times New Roman" w:hAnsi="Calibri" w:cs="Calibri"/>
                <w:color w:val="000000"/>
                <w:sz w:val="20"/>
                <w:szCs w:val="20"/>
                <w:lang w:val="en-GB"/>
              </w:rPr>
              <w:t>Impact of Ramadan Focused Education Program</w:t>
            </w:r>
            <w:r>
              <w:rPr>
                <w:rFonts w:ascii="Calibri" w:eastAsia="Times New Roman" w:hAnsi="Calibri" w:cs="Calibri"/>
                <w:color w:val="000000"/>
                <w:sz w:val="20"/>
                <w:szCs w:val="20"/>
                <w:lang w:val="en-GB"/>
              </w:rPr>
              <w:t xml:space="preserve"> (</w:t>
            </w:r>
            <w:r w:rsidRPr="001720FF">
              <w:rPr>
                <w:rFonts w:ascii="Calibri" w:eastAsia="Times New Roman" w:hAnsi="Calibri" w:cstheme="minorHAnsi"/>
                <w:color w:val="000000"/>
                <w:sz w:val="20"/>
                <w:szCs w:val="20"/>
                <w:lang w:val="en-GB"/>
              </w:rPr>
              <w:t>RFEP</w:t>
            </w:r>
            <w:r>
              <w:rPr>
                <w:rFonts w:ascii="Calibri" w:eastAsia="Times New Roman" w:hAnsi="Calibri" w:cstheme="minorHAnsi"/>
                <w:color w:val="000000"/>
                <w:sz w:val="20"/>
                <w:szCs w:val="20"/>
                <w:lang w:val="en-GB"/>
              </w:rPr>
              <w:t>)</w:t>
            </w:r>
            <w:r w:rsidRPr="00BD58A2">
              <w:rPr>
                <w:rFonts w:ascii="Calibri" w:eastAsia="Times New Roman" w:hAnsi="Calibri" w:cs="Calibri"/>
                <w:color w:val="000000"/>
                <w:sz w:val="20"/>
                <w:szCs w:val="20"/>
                <w:lang w:val="en-GB"/>
              </w:rPr>
              <w:t xml:space="preserve"> on medications adjustment for patients with </w:t>
            </w:r>
            <w:r>
              <w:rPr>
                <w:rFonts w:ascii="Calibri" w:eastAsia="Times New Roman" w:hAnsi="Calibri" w:cs="Calibri"/>
                <w:color w:val="000000"/>
                <w:sz w:val="20"/>
                <w:szCs w:val="20"/>
                <w:lang w:val="en-GB"/>
              </w:rPr>
              <w:t>T2D</w:t>
            </w:r>
            <w:r w:rsidRPr="00BD58A2">
              <w:rPr>
                <w:rFonts w:ascii="Calibri" w:eastAsia="Times New Roman" w:hAnsi="Calibri" w:cs="Calibri"/>
                <w:color w:val="000000"/>
                <w:sz w:val="20"/>
                <w:szCs w:val="20"/>
                <w:lang w:val="en-GB"/>
              </w:rPr>
              <w:t xml:space="preserve"> in a </w:t>
            </w:r>
            <w:r>
              <w:rPr>
                <w:rFonts w:ascii="Calibri" w:eastAsia="Times New Roman" w:hAnsi="Calibri" w:cs="Calibri"/>
                <w:color w:val="000000"/>
                <w:sz w:val="20"/>
                <w:szCs w:val="20"/>
                <w:lang w:val="en-GB"/>
              </w:rPr>
              <w:t>PHC</w:t>
            </w:r>
            <w:r w:rsidRPr="00BD58A2">
              <w:rPr>
                <w:rFonts w:ascii="Calibri" w:eastAsia="Times New Roman" w:hAnsi="Calibri" w:cs="Calibri"/>
                <w:color w:val="000000"/>
                <w:sz w:val="20"/>
                <w:szCs w:val="20"/>
                <w:lang w:val="en-GB"/>
              </w:rPr>
              <w:t xml:space="preserve"> institution in </w:t>
            </w:r>
            <w:r>
              <w:rPr>
                <w:rFonts w:ascii="Calibri" w:eastAsia="Times New Roman" w:hAnsi="Calibri" w:cs="Calibri"/>
                <w:color w:val="000000"/>
                <w:sz w:val="20"/>
                <w:szCs w:val="20"/>
                <w:lang w:val="en-GB"/>
              </w:rPr>
              <w:t>SA</w:t>
            </w:r>
            <w:r w:rsidRPr="00BD58A2">
              <w:rPr>
                <w:rFonts w:ascii="Calibri" w:eastAsia="Times New Roman" w:hAnsi="Calibri" w:cs="Calibri"/>
                <w:color w:val="000000"/>
                <w:sz w:val="20"/>
                <w:szCs w:val="20"/>
                <w:lang w:val="en-GB"/>
              </w:rPr>
              <w:t>.</w:t>
            </w:r>
          </w:p>
        </w:tc>
        <w:tc>
          <w:tcPr>
            <w:tcW w:w="1530" w:type="dxa"/>
            <w:tcBorders>
              <w:top w:val="nil"/>
              <w:left w:val="nil"/>
              <w:bottom w:val="single" w:sz="4" w:space="0" w:color="auto"/>
              <w:right w:val="single" w:sz="4" w:space="0" w:color="auto"/>
            </w:tcBorders>
            <w:shd w:val="clear" w:color="auto" w:fill="auto"/>
          </w:tcPr>
          <w:p w14:paraId="23CDD5DE" w14:textId="77777777" w:rsidR="009D2B25"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Al-Wazarat Healthcare Center. A large family medicine center in Riyadh, </w:t>
            </w:r>
            <w:r>
              <w:rPr>
                <w:rFonts w:ascii="Calibri" w:eastAsia="Times New Roman" w:hAnsi="Calibri" w:cs="Calibri"/>
                <w:color w:val="000000"/>
                <w:sz w:val="20"/>
                <w:szCs w:val="20"/>
                <w:lang w:val="en-GB"/>
              </w:rPr>
              <w:t xml:space="preserve">SA. </w:t>
            </w:r>
          </w:p>
          <w:p w14:paraId="2A92718D" w14:textId="77777777" w:rsidR="009D2B25" w:rsidRPr="00704A3C" w:rsidRDefault="009D2B25" w:rsidP="00282204">
            <w:pPr>
              <w:spacing w:after="0" w:line="240" w:lineRule="auto"/>
              <w:rPr>
                <w:lang w:val="en-GB"/>
              </w:rPr>
            </w:pPr>
          </w:p>
        </w:tc>
        <w:tc>
          <w:tcPr>
            <w:tcW w:w="1980" w:type="dxa"/>
            <w:tcBorders>
              <w:top w:val="nil"/>
              <w:left w:val="nil"/>
              <w:bottom w:val="single" w:sz="4" w:space="0" w:color="auto"/>
              <w:right w:val="single" w:sz="4" w:space="0" w:color="auto"/>
            </w:tcBorders>
            <w:shd w:val="clear" w:color="auto" w:fill="auto"/>
          </w:tcPr>
          <w:p w14:paraId="4F1B0823" w14:textId="77777777" w:rsidR="009D2B25"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262 patients with</w:t>
            </w:r>
            <w:r>
              <w:rPr>
                <w:rFonts w:ascii="Calibri" w:eastAsia="Times New Roman" w:hAnsi="Calibri" w:cs="Calibri"/>
                <w:color w:val="000000"/>
                <w:sz w:val="20"/>
                <w:szCs w:val="20"/>
                <w:lang w:val="en-GB"/>
              </w:rPr>
              <w:t xml:space="preserve"> T2D</w:t>
            </w:r>
            <w:r w:rsidRPr="00BD58A2">
              <w:rPr>
                <w:rFonts w:ascii="Calibri" w:eastAsia="Times New Roman" w:hAnsi="Calibri" w:cs="Calibri"/>
                <w:color w:val="000000"/>
                <w:sz w:val="20"/>
                <w:szCs w:val="20"/>
                <w:lang w:val="en-GB"/>
              </w:rPr>
              <w:t xml:space="preserve">. </w:t>
            </w:r>
          </w:p>
          <w:p w14:paraId="5B13FF5B" w14:textId="77777777" w:rsidR="009D2B25" w:rsidRDefault="009D2B25" w:rsidP="00282204">
            <w:pPr>
              <w:spacing w:after="0" w:line="240" w:lineRule="auto"/>
              <w:rPr>
                <w:rFonts w:ascii="Calibri" w:eastAsia="Times New Roman" w:hAnsi="Calibri" w:cs="Calibri"/>
                <w:color w:val="000000"/>
                <w:sz w:val="20"/>
                <w:szCs w:val="20"/>
                <w:lang w:val="en-GB"/>
              </w:rPr>
            </w:pPr>
          </w:p>
          <w:p w14:paraId="29381B54"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I</w:t>
            </w:r>
            <w:r w:rsidRPr="001720FF">
              <w:rPr>
                <w:rFonts w:ascii="Calibri" w:eastAsia="Times New Roman" w:hAnsi="Calibri" w:cstheme="minorHAnsi"/>
                <w:color w:val="000000"/>
                <w:sz w:val="20"/>
                <w:szCs w:val="20"/>
                <w:lang w:val="en-GB"/>
              </w:rPr>
              <w:t>ntervention group</w:t>
            </w:r>
            <w:r>
              <w:rPr>
                <w:rFonts w:ascii="Calibri" w:eastAsia="Times New Roman" w:hAnsi="Calibri" w:cstheme="minorHAnsi"/>
                <w:color w:val="000000"/>
                <w:sz w:val="20"/>
                <w:szCs w:val="20"/>
                <w:lang w:val="en-GB"/>
              </w:rPr>
              <w:t>=</w:t>
            </w:r>
            <w:r w:rsidRPr="001720FF">
              <w:rPr>
                <w:rFonts w:ascii="Calibri" w:eastAsia="Times New Roman" w:hAnsi="Calibri" w:cstheme="minorHAnsi"/>
                <w:color w:val="000000"/>
                <w:sz w:val="20"/>
                <w:szCs w:val="20"/>
                <w:lang w:val="en-GB"/>
              </w:rPr>
              <w:t xml:space="preserve"> 140</w:t>
            </w:r>
            <w:r>
              <w:rPr>
                <w:rFonts w:ascii="Calibri" w:eastAsia="Times New Roman" w:hAnsi="Calibri" w:cstheme="minorHAnsi"/>
                <w:color w:val="000000"/>
                <w:sz w:val="20"/>
                <w:szCs w:val="20"/>
                <w:lang w:val="en-GB"/>
              </w:rPr>
              <w:t xml:space="preserve"> </w:t>
            </w:r>
            <w:r w:rsidRPr="001720FF">
              <w:rPr>
                <w:rFonts w:ascii="Calibri" w:eastAsia="Times New Roman" w:hAnsi="Calibri" w:cstheme="minorHAnsi"/>
                <w:color w:val="000000"/>
                <w:sz w:val="20"/>
                <w:szCs w:val="20"/>
                <w:lang w:val="en-GB"/>
              </w:rPr>
              <w:t>received RFEP</w:t>
            </w:r>
            <w:r>
              <w:rPr>
                <w:rFonts w:ascii="Calibri" w:eastAsia="Times New Roman" w:hAnsi="Calibri" w:cstheme="minorHAnsi"/>
                <w:color w:val="000000"/>
                <w:sz w:val="20"/>
                <w:szCs w:val="20"/>
                <w:lang w:val="en-GB"/>
              </w:rPr>
              <w:t xml:space="preserve">, </w:t>
            </w:r>
          </w:p>
          <w:p w14:paraId="687D341D"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26452B22" w14:textId="77777777" w:rsidR="009D2B25" w:rsidRPr="008E4880"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C</w:t>
            </w:r>
            <w:r w:rsidRPr="00AB5BDB">
              <w:rPr>
                <w:rFonts w:ascii="Calibri" w:eastAsia="Times New Roman" w:hAnsi="Calibri" w:cstheme="minorHAnsi"/>
                <w:color w:val="000000"/>
                <w:sz w:val="20"/>
                <w:szCs w:val="20"/>
                <w:lang w:val="en-GB"/>
              </w:rPr>
              <w:t>ontrol group</w:t>
            </w:r>
            <w:r>
              <w:rPr>
                <w:rFonts w:ascii="Calibri" w:eastAsia="Times New Roman" w:hAnsi="Calibri" w:cstheme="minorHAnsi"/>
                <w:color w:val="000000"/>
                <w:sz w:val="20"/>
                <w:szCs w:val="20"/>
                <w:lang w:val="en-GB"/>
              </w:rPr>
              <w:t>=</w:t>
            </w:r>
            <w:r w:rsidRPr="00AB5BDB">
              <w:rPr>
                <w:rFonts w:ascii="Calibri" w:eastAsia="Times New Roman" w:hAnsi="Calibri" w:cstheme="minorHAnsi"/>
                <w:color w:val="000000"/>
                <w:sz w:val="20"/>
                <w:szCs w:val="20"/>
                <w:lang w:val="en-GB"/>
              </w:rPr>
              <w:t xml:space="preserve"> 122</w:t>
            </w:r>
            <w:r>
              <w:rPr>
                <w:rFonts w:ascii="Calibri" w:eastAsia="Times New Roman" w:hAnsi="Calibri" w:cstheme="minorHAnsi"/>
                <w:color w:val="000000"/>
                <w:sz w:val="20"/>
                <w:szCs w:val="20"/>
                <w:lang w:val="en-GB"/>
              </w:rPr>
              <w:t xml:space="preserve"> </w:t>
            </w:r>
            <w:r w:rsidRPr="00AB5BDB">
              <w:rPr>
                <w:rFonts w:ascii="Calibri" w:eastAsia="Times New Roman" w:hAnsi="Calibri" w:cstheme="minorHAnsi"/>
                <w:color w:val="000000"/>
                <w:sz w:val="20"/>
                <w:szCs w:val="20"/>
                <w:lang w:val="en-GB"/>
              </w:rPr>
              <w:t>received standard care</w:t>
            </w:r>
          </w:p>
        </w:tc>
        <w:tc>
          <w:tcPr>
            <w:tcW w:w="1440" w:type="dxa"/>
            <w:tcBorders>
              <w:top w:val="nil"/>
              <w:left w:val="nil"/>
              <w:bottom w:val="single" w:sz="4" w:space="0" w:color="auto"/>
              <w:right w:val="single" w:sz="4" w:space="0" w:color="auto"/>
            </w:tcBorders>
            <w:shd w:val="clear" w:color="auto" w:fill="auto"/>
          </w:tcPr>
          <w:p w14:paraId="46946EB9" w14:textId="77777777" w:rsidR="009D2B25" w:rsidRPr="00D41287" w:rsidRDefault="009D2B25" w:rsidP="00282204">
            <w:pPr>
              <w:spacing w:after="0" w:line="240" w:lineRule="auto"/>
              <w:rPr>
                <w:rFonts w:ascii="Calibri" w:eastAsia="Times New Roman" w:hAnsi="Calibri" w:cstheme="minorHAnsi"/>
                <w:color w:val="000000"/>
                <w:sz w:val="20"/>
                <w:szCs w:val="20"/>
                <w:lang w:val="en-GB"/>
              </w:rPr>
            </w:pPr>
            <w:r w:rsidRPr="00BD58A2">
              <w:rPr>
                <w:rFonts w:ascii="Calibri" w:eastAsia="Times New Roman" w:hAnsi="Calibri" w:cs="Calibri"/>
                <w:color w:val="000000"/>
                <w:sz w:val="20"/>
                <w:szCs w:val="20"/>
                <w:lang w:val="en-GB"/>
              </w:rPr>
              <w:t>A controlled interventional study completed in three phases: before</w:t>
            </w:r>
            <w:r>
              <w:rPr>
                <w:rFonts w:ascii="Calibri" w:eastAsia="Times New Roman" w:hAnsi="Calibri" w:cs="Calibri"/>
                <w:color w:val="000000"/>
                <w:sz w:val="20"/>
                <w:szCs w:val="20"/>
                <w:lang w:val="en-GB"/>
              </w:rPr>
              <w:t xml:space="preserve">, </w:t>
            </w:r>
            <w:r w:rsidRPr="00BD58A2">
              <w:rPr>
                <w:rFonts w:ascii="Calibri" w:eastAsia="Times New Roman" w:hAnsi="Calibri" w:cs="Calibri"/>
                <w:color w:val="000000"/>
                <w:sz w:val="20"/>
                <w:szCs w:val="20"/>
                <w:lang w:val="en-GB"/>
              </w:rPr>
              <w:t>during and after Ramadan.</w:t>
            </w:r>
          </w:p>
        </w:tc>
        <w:tc>
          <w:tcPr>
            <w:tcW w:w="3510" w:type="dxa"/>
            <w:tcBorders>
              <w:top w:val="nil"/>
              <w:left w:val="nil"/>
              <w:bottom w:val="single" w:sz="4" w:space="0" w:color="auto"/>
              <w:right w:val="single" w:sz="4" w:space="0" w:color="auto"/>
            </w:tcBorders>
            <w:shd w:val="clear" w:color="auto" w:fill="auto"/>
          </w:tcPr>
          <w:p w14:paraId="476891F6"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BD58A2">
              <w:rPr>
                <w:rFonts w:ascii="Calibri" w:eastAsia="Times New Roman" w:hAnsi="Calibri" w:cs="Calibri"/>
                <w:color w:val="000000"/>
                <w:sz w:val="20"/>
                <w:szCs w:val="20"/>
                <w:lang w:val="en-GB"/>
              </w:rPr>
              <w:t xml:space="preserve">The intervention group received a </w:t>
            </w:r>
            <w:r w:rsidRPr="001720FF">
              <w:rPr>
                <w:rFonts w:ascii="Calibri" w:eastAsia="Times New Roman" w:hAnsi="Calibri" w:cstheme="minorHAnsi"/>
                <w:color w:val="000000"/>
                <w:sz w:val="20"/>
                <w:szCs w:val="20"/>
                <w:lang w:val="en-GB"/>
              </w:rPr>
              <w:t>RFEP</w:t>
            </w:r>
            <w:r w:rsidRPr="00BD58A2">
              <w:rPr>
                <w:rFonts w:ascii="Calibri" w:eastAsia="Times New Roman" w:hAnsi="Calibri" w:cs="Calibri"/>
                <w:color w:val="000000"/>
                <w:sz w:val="20"/>
                <w:szCs w:val="20"/>
                <w:lang w:val="en-GB"/>
              </w:rPr>
              <w:t xml:space="preserve"> on medication doses and timed adjustments before and after Ramadan. It is unclear who delivered this programme.  There is no mention of the pharmacist’s intervention in this study. However, this study is part of a previous study by the same author (Tourkmani et al., 2016) in which the pharmacist was a part of the educational team targeting diabetes patients. </w:t>
            </w:r>
          </w:p>
        </w:tc>
        <w:tc>
          <w:tcPr>
            <w:tcW w:w="3407" w:type="dxa"/>
            <w:tcBorders>
              <w:top w:val="nil"/>
              <w:left w:val="nil"/>
              <w:bottom w:val="single" w:sz="4" w:space="0" w:color="auto"/>
              <w:right w:val="single" w:sz="4" w:space="0" w:color="auto"/>
            </w:tcBorders>
            <w:shd w:val="clear" w:color="auto" w:fill="auto"/>
          </w:tcPr>
          <w:p w14:paraId="11B473A5" w14:textId="77777777" w:rsidR="009D2B25" w:rsidRPr="00863AF2" w:rsidRDefault="009D2B25" w:rsidP="00282204">
            <w:pPr>
              <w:spacing w:after="0" w:line="240" w:lineRule="auto"/>
              <w:rPr>
                <w:rFonts w:ascii="Calibri" w:eastAsia="Times New Roman" w:hAnsi="Calibri" w:cs="Calibri"/>
                <w:color w:val="000000"/>
                <w:sz w:val="20"/>
                <w:szCs w:val="20"/>
                <w:lang w:val="en-GB"/>
              </w:rPr>
            </w:pPr>
            <w:r w:rsidRPr="00863AF2">
              <w:rPr>
                <w:rFonts w:ascii="Calibri" w:eastAsia="Times New Roman" w:hAnsi="Calibri" w:cs="Calibri"/>
                <w:color w:val="000000"/>
                <w:sz w:val="20"/>
                <w:szCs w:val="20"/>
                <w:lang w:val="en-GB"/>
              </w:rPr>
              <w:t xml:space="preserve">-The dose of short/rapid acting insulin reduced in </w:t>
            </w:r>
            <w:r>
              <w:rPr>
                <w:rFonts w:ascii="Calibri" w:eastAsia="Times New Roman" w:hAnsi="Calibri" w:cs="Calibri"/>
                <w:color w:val="000000"/>
                <w:sz w:val="20"/>
                <w:szCs w:val="20"/>
                <w:lang w:val="en-GB"/>
              </w:rPr>
              <w:t xml:space="preserve">the </w:t>
            </w:r>
            <w:r w:rsidRPr="00863AF2">
              <w:rPr>
                <w:rFonts w:ascii="Calibri" w:eastAsia="Times New Roman" w:hAnsi="Calibri" w:cs="Calibri"/>
                <w:color w:val="000000"/>
                <w:sz w:val="20"/>
                <w:szCs w:val="20"/>
                <w:lang w:val="en-GB"/>
              </w:rPr>
              <w:t xml:space="preserve">control group during and compared before Ramadan. While in the intervention group, no significant changes were noted before and during Ramadan. </w:t>
            </w:r>
          </w:p>
          <w:p w14:paraId="52C53C49" w14:textId="77777777" w:rsidR="009D2B25" w:rsidRPr="00863AF2" w:rsidRDefault="009D2B25" w:rsidP="00282204">
            <w:pPr>
              <w:spacing w:after="0" w:line="240" w:lineRule="auto"/>
              <w:rPr>
                <w:rFonts w:ascii="Calibri" w:eastAsia="Times New Roman" w:hAnsi="Calibri" w:cs="Calibri"/>
                <w:color w:val="000000"/>
                <w:sz w:val="20"/>
                <w:szCs w:val="20"/>
                <w:lang w:val="en-GB"/>
              </w:rPr>
            </w:pPr>
            <w:r w:rsidRPr="00863AF2">
              <w:rPr>
                <w:rFonts w:ascii="Calibri" w:eastAsia="Times New Roman" w:hAnsi="Calibri" w:cs="Calibri"/>
                <w:color w:val="000000"/>
                <w:sz w:val="20"/>
                <w:szCs w:val="20"/>
                <w:lang w:val="en-GB"/>
              </w:rPr>
              <w:t xml:space="preserve">-The doses of long-acting insulin and mixed insulin reduced in the intervention group during Ramadan compared to before Ramadan. While in the control group, no significant changes were noted before and during Ramadan. </w:t>
            </w:r>
          </w:p>
          <w:p w14:paraId="73A690F6" w14:textId="77777777" w:rsidR="009D2B25" w:rsidRDefault="009D2B25" w:rsidP="00282204">
            <w:pPr>
              <w:spacing w:after="0" w:line="240" w:lineRule="auto"/>
              <w:rPr>
                <w:rFonts w:ascii="Calibri" w:eastAsia="Times New Roman" w:hAnsi="Calibri" w:cstheme="minorHAnsi"/>
                <w:b/>
                <w:bCs/>
                <w:color w:val="000000"/>
                <w:sz w:val="20"/>
                <w:szCs w:val="20"/>
                <w:lang w:val="en-GB"/>
              </w:rPr>
            </w:pPr>
            <w:r w:rsidRPr="00863AF2">
              <w:rPr>
                <w:rFonts w:ascii="Calibri" w:eastAsia="Times New Roman" w:hAnsi="Calibri" w:cs="Calibri"/>
                <w:color w:val="000000"/>
                <w:sz w:val="20"/>
                <w:szCs w:val="20"/>
                <w:lang w:val="en-GB"/>
              </w:rPr>
              <w:t>-The hypoglycemia score was significantly reduced in the intervention group during Ramadan compared to before Ramadan. However, in the control group, no significant changes were noted before and during Ramadan.</w:t>
            </w:r>
          </w:p>
        </w:tc>
      </w:tr>
      <w:tr w:rsidR="009D2B25" w:rsidRPr="00CE056C" w14:paraId="52496B89" w14:textId="77777777" w:rsidTr="00282204">
        <w:trPr>
          <w:trHeight w:val="3752"/>
        </w:trPr>
        <w:tc>
          <w:tcPr>
            <w:tcW w:w="540" w:type="dxa"/>
            <w:tcBorders>
              <w:top w:val="nil"/>
              <w:left w:val="single" w:sz="4" w:space="0" w:color="auto"/>
              <w:bottom w:val="single" w:sz="4" w:space="0" w:color="auto"/>
              <w:right w:val="single" w:sz="4" w:space="0" w:color="auto"/>
            </w:tcBorders>
            <w:shd w:val="clear" w:color="auto" w:fill="auto"/>
          </w:tcPr>
          <w:p w14:paraId="1778BF22"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5</w:t>
            </w:r>
          </w:p>
        </w:tc>
        <w:tc>
          <w:tcPr>
            <w:tcW w:w="990" w:type="dxa"/>
            <w:tcBorders>
              <w:top w:val="nil"/>
              <w:left w:val="nil"/>
              <w:bottom w:val="single" w:sz="4" w:space="0" w:color="auto"/>
              <w:right w:val="single" w:sz="4" w:space="0" w:color="auto"/>
            </w:tcBorders>
            <w:shd w:val="clear" w:color="auto" w:fill="auto"/>
          </w:tcPr>
          <w:p w14:paraId="0E493C8B" w14:textId="77777777" w:rsidR="009D2B25" w:rsidRPr="001A3CE6" w:rsidRDefault="009D2B25" w:rsidP="00282204">
            <w:pPr>
              <w:spacing w:after="0" w:line="240" w:lineRule="auto"/>
              <w:rPr>
                <w:rFonts w:ascii="Calibri" w:eastAsia="Times New Roman" w:hAnsi="Calibri" w:cstheme="minorHAnsi"/>
                <w:noProof/>
                <w:color w:val="000000"/>
                <w:sz w:val="20"/>
                <w:szCs w:val="20"/>
                <w:lang w:val="en-GB"/>
              </w:rPr>
            </w:pPr>
            <w:r w:rsidRPr="00BD58A2">
              <w:rPr>
                <w:rFonts w:ascii="Calibri" w:eastAsia="Times New Roman" w:hAnsi="Calibri" w:cs="Calibri"/>
                <w:color w:val="000000"/>
                <w:sz w:val="20"/>
                <w:szCs w:val="20"/>
                <w:lang w:val="en-GB"/>
              </w:rPr>
              <w:t>(Tourkmani et al., 2016)</w:t>
            </w:r>
          </w:p>
        </w:tc>
        <w:tc>
          <w:tcPr>
            <w:tcW w:w="1620" w:type="dxa"/>
            <w:tcBorders>
              <w:top w:val="nil"/>
              <w:left w:val="nil"/>
              <w:bottom w:val="single" w:sz="4" w:space="0" w:color="auto"/>
              <w:right w:val="single" w:sz="4" w:space="0" w:color="auto"/>
            </w:tcBorders>
            <w:shd w:val="clear" w:color="auto" w:fill="auto"/>
          </w:tcPr>
          <w:p w14:paraId="2AA45506"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sidRPr="00BD58A2">
              <w:rPr>
                <w:rFonts w:ascii="Calibri" w:eastAsia="Times New Roman" w:hAnsi="Calibri" w:cs="Calibri"/>
                <w:color w:val="000000"/>
                <w:sz w:val="20"/>
                <w:szCs w:val="20"/>
                <w:lang w:val="en-GB"/>
              </w:rPr>
              <w:t xml:space="preserve">Impact of Ramadan focused education program on hypoglycemic risk and metabolic control for patients with </w:t>
            </w:r>
            <w:r>
              <w:rPr>
                <w:rFonts w:ascii="Calibri" w:eastAsia="Times New Roman" w:hAnsi="Calibri" w:cs="Calibri"/>
                <w:color w:val="000000"/>
                <w:sz w:val="20"/>
                <w:szCs w:val="20"/>
                <w:lang w:val="en-GB"/>
              </w:rPr>
              <w:t>T2D</w:t>
            </w:r>
            <w:r w:rsidRPr="00BD58A2">
              <w:rPr>
                <w:rFonts w:ascii="Calibri" w:eastAsia="Times New Roman" w:hAnsi="Calibri" w:cs="Calibri"/>
                <w:color w:val="000000"/>
                <w:sz w:val="20"/>
                <w:szCs w:val="20"/>
                <w:lang w:val="en-GB"/>
              </w:rPr>
              <w:t>.</w:t>
            </w:r>
          </w:p>
        </w:tc>
        <w:tc>
          <w:tcPr>
            <w:tcW w:w="1530" w:type="dxa"/>
            <w:tcBorders>
              <w:top w:val="nil"/>
              <w:left w:val="nil"/>
              <w:bottom w:val="single" w:sz="4" w:space="0" w:color="auto"/>
              <w:right w:val="single" w:sz="4" w:space="0" w:color="auto"/>
            </w:tcBorders>
            <w:shd w:val="clear" w:color="auto" w:fill="auto"/>
          </w:tcPr>
          <w:p w14:paraId="7D5E8751" w14:textId="77777777" w:rsidR="009D2B25"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Al-Wazarat Healthcare Center. A large family medicine center located in Riyadh, </w:t>
            </w:r>
            <w:r>
              <w:rPr>
                <w:rFonts w:ascii="Calibri" w:eastAsia="Times New Roman" w:hAnsi="Calibri" w:cs="Calibri"/>
                <w:color w:val="000000"/>
                <w:sz w:val="20"/>
                <w:szCs w:val="20"/>
                <w:lang w:val="en-GB"/>
              </w:rPr>
              <w:t>SA.</w:t>
            </w:r>
          </w:p>
          <w:p w14:paraId="2E7A1AD9"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p>
        </w:tc>
        <w:tc>
          <w:tcPr>
            <w:tcW w:w="1980" w:type="dxa"/>
            <w:tcBorders>
              <w:top w:val="nil"/>
              <w:left w:val="nil"/>
              <w:bottom w:val="single" w:sz="4" w:space="0" w:color="auto"/>
              <w:right w:val="single" w:sz="4" w:space="0" w:color="auto"/>
            </w:tcBorders>
            <w:shd w:val="clear" w:color="auto" w:fill="auto"/>
          </w:tcPr>
          <w:p w14:paraId="1D64CA61" w14:textId="77777777" w:rsidR="009D2B25"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262 patients with </w:t>
            </w:r>
            <w:r>
              <w:rPr>
                <w:rFonts w:ascii="Calibri" w:eastAsia="Times New Roman" w:hAnsi="Calibri" w:cs="Calibri"/>
                <w:color w:val="000000"/>
                <w:sz w:val="20"/>
                <w:szCs w:val="20"/>
                <w:lang w:val="en-GB"/>
              </w:rPr>
              <w:t>T2D</w:t>
            </w:r>
            <w:r w:rsidRPr="00BD58A2">
              <w:rPr>
                <w:rFonts w:ascii="Calibri" w:eastAsia="Times New Roman" w:hAnsi="Calibri" w:cs="Calibri"/>
                <w:color w:val="000000"/>
                <w:sz w:val="20"/>
                <w:szCs w:val="20"/>
                <w:lang w:val="en-GB"/>
              </w:rPr>
              <w:t xml:space="preserve">. </w:t>
            </w:r>
          </w:p>
          <w:p w14:paraId="3EB4B305" w14:textId="77777777" w:rsidR="009D2B25" w:rsidRDefault="009D2B25" w:rsidP="00282204">
            <w:pPr>
              <w:spacing w:after="0" w:line="240" w:lineRule="auto"/>
              <w:rPr>
                <w:rFonts w:ascii="Calibri" w:eastAsia="Times New Roman" w:hAnsi="Calibri" w:cs="Calibri"/>
                <w:color w:val="000000"/>
                <w:sz w:val="20"/>
                <w:szCs w:val="20"/>
                <w:lang w:val="en-GB"/>
              </w:rPr>
            </w:pPr>
          </w:p>
          <w:p w14:paraId="3544A11B"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I</w:t>
            </w:r>
            <w:r w:rsidRPr="001720FF">
              <w:rPr>
                <w:rFonts w:ascii="Calibri" w:eastAsia="Times New Roman" w:hAnsi="Calibri" w:cstheme="minorHAnsi"/>
                <w:color w:val="000000"/>
                <w:sz w:val="20"/>
                <w:szCs w:val="20"/>
                <w:lang w:val="en-GB"/>
              </w:rPr>
              <w:t>ntervention group</w:t>
            </w:r>
            <w:r>
              <w:rPr>
                <w:rFonts w:ascii="Calibri" w:eastAsia="Times New Roman" w:hAnsi="Calibri" w:cstheme="minorHAnsi"/>
                <w:color w:val="000000"/>
                <w:sz w:val="20"/>
                <w:szCs w:val="20"/>
                <w:lang w:val="en-GB"/>
              </w:rPr>
              <w:t>=</w:t>
            </w:r>
            <w:r w:rsidRPr="001720FF">
              <w:rPr>
                <w:rFonts w:ascii="Calibri" w:eastAsia="Times New Roman" w:hAnsi="Calibri" w:cstheme="minorHAnsi"/>
                <w:color w:val="000000"/>
                <w:sz w:val="20"/>
                <w:szCs w:val="20"/>
                <w:lang w:val="en-GB"/>
              </w:rPr>
              <w:t xml:space="preserve"> 140</w:t>
            </w:r>
            <w:r>
              <w:rPr>
                <w:rFonts w:ascii="Calibri" w:eastAsia="Times New Roman" w:hAnsi="Calibri" w:cstheme="minorHAnsi"/>
                <w:color w:val="000000"/>
                <w:sz w:val="20"/>
                <w:szCs w:val="20"/>
                <w:lang w:val="en-GB"/>
              </w:rPr>
              <w:t xml:space="preserve"> </w:t>
            </w:r>
            <w:r w:rsidRPr="001720FF">
              <w:rPr>
                <w:rFonts w:ascii="Calibri" w:eastAsia="Times New Roman" w:hAnsi="Calibri" w:cstheme="minorHAnsi"/>
                <w:color w:val="000000"/>
                <w:sz w:val="20"/>
                <w:szCs w:val="20"/>
                <w:lang w:val="en-GB"/>
              </w:rPr>
              <w:t>received RFEP</w:t>
            </w:r>
            <w:r>
              <w:rPr>
                <w:rFonts w:ascii="Calibri" w:eastAsia="Times New Roman" w:hAnsi="Calibri" w:cstheme="minorHAnsi"/>
                <w:color w:val="000000"/>
                <w:sz w:val="20"/>
                <w:szCs w:val="20"/>
                <w:lang w:val="en-GB"/>
              </w:rPr>
              <w:t xml:space="preserve">, </w:t>
            </w:r>
          </w:p>
          <w:p w14:paraId="24E55DEE"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0E513421"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C</w:t>
            </w:r>
            <w:r w:rsidRPr="00AB5BDB">
              <w:rPr>
                <w:rFonts w:ascii="Calibri" w:eastAsia="Times New Roman" w:hAnsi="Calibri" w:cstheme="minorHAnsi"/>
                <w:color w:val="000000"/>
                <w:sz w:val="20"/>
                <w:szCs w:val="20"/>
                <w:lang w:val="en-GB"/>
              </w:rPr>
              <w:t>ontrol group</w:t>
            </w:r>
            <w:r>
              <w:rPr>
                <w:rFonts w:ascii="Calibri" w:eastAsia="Times New Roman" w:hAnsi="Calibri" w:cstheme="minorHAnsi"/>
                <w:color w:val="000000"/>
                <w:sz w:val="20"/>
                <w:szCs w:val="20"/>
                <w:lang w:val="en-GB"/>
              </w:rPr>
              <w:t>=</w:t>
            </w:r>
            <w:r w:rsidRPr="00AB5BDB">
              <w:rPr>
                <w:rFonts w:ascii="Calibri" w:eastAsia="Times New Roman" w:hAnsi="Calibri" w:cstheme="minorHAnsi"/>
                <w:color w:val="000000"/>
                <w:sz w:val="20"/>
                <w:szCs w:val="20"/>
                <w:lang w:val="en-GB"/>
              </w:rPr>
              <w:t xml:space="preserve"> 122</w:t>
            </w:r>
            <w:r>
              <w:rPr>
                <w:rFonts w:ascii="Calibri" w:eastAsia="Times New Roman" w:hAnsi="Calibri" w:cstheme="minorHAnsi"/>
                <w:color w:val="000000"/>
                <w:sz w:val="20"/>
                <w:szCs w:val="20"/>
                <w:lang w:val="en-GB"/>
              </w:rPr>
              <w:t xml:space="preserve"> </w:t>
            </w:r>
            <w:r w:rsidRPr="00AB5BDB">
              <w:rPr>
                <w:rFonts w:ascii="Calibri" w:eastAsia="Times New Roman" w:hAnsi="Calibri" w:cstheme="minorHAnsi"/>
                <w:color w:val="000000"/>
                <w:sz w:val="20"/>
                <w:szCs w:val="20"/>
                <w:lang w:val="en-GB"/>
              </w:rPr>
              <w:t>received standard care</w:t>
            </w:r>
          </w:p>
          <w:p w14:paraId="5C498019" w14:textId="77777777" w:rsidR="009D2B25" w:rsidRPr="00313379" w:rsidRDefault="009D2B25" w:rsidP="00282204">
            <w:pPr>
              <w:spacing w:after="0" w:line="240" w:lineRule="auto"/>
              <w:rPr>
                <w:rFonts w:ascii="Calibri" w:eastAsia="Times New Roman" w:hAnsi="Calibri" w:cstheme="minorHAnsi"/>
                <w:b/>
                <w:bCs/>
                <w:color w:val="000000"/>
                <w:sz w:val="20"/>
                <w:szCs w:val="20"/>
                <w:lang w:val="en-GB"/>
              </w:rPr>
            </w:pPr>
          </w:p>
        </w:tc>
        <w:tc>
          <w:tcPr>
            <w:tcW w:w="1440" w:type="dxa"/>
            <w:tcBorders>
              <w:top w:val="nil"/>
              <w:left w:val="nil"/>
              <w:bottom w:val="single" w:sz="4" w:space="0" w:color="auto"/>
              <w:right w:val="single" w:sz="4" w:space="0" w:color="auto"/>
            </w:tcBorders>
            <w:shd w:val="clear" w:color="auto" w:fill="auto"/>
          </w:tcPr>
          <w:p w14:paraId="0AC41C12" w14:textId="77777777" w:rsidR="009D2B25" w:rsidRPr="0047407F"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A prospective non-randomised interventional controlled design was run </w:t>
            </w:r>
            <w:r w:rsidRPr="0047407F">
              <w:rPr>
                <w:rFonts w:ascii="Calibri" w:eastAsia="Times New Roman" w:hAnsi="Calibri" w:cs="Calibri"/>
                <w:color w:val="000000"/>
                <w:sz w:val="20"/>
                <w:szCs w:val="20"/>
                <w:lang w:val="en-GB"/>
              </w:rPr>
              <w:t xml:space="preserve">between June 2013 and February 2014 </w:t>
            </w:r>
            <w:r w:rsidRPr="00BD58A2">
              <w:rPr>
                <w:rFonts w:ascii="Calibri" w:eastAsia="Times New Roman" w:hAnsi="Calibri" w:cs="Calibri"/>
                <w:color w:val="000000"/>
                <w:sz w:val="20"/>
                <w:szCs w:val="20"/>
                <w:lang w:val="en-GB"/>
              </w:rPr>
              <w:t>in three phases: before, during and after Ramadan.</w:t>
            </w:r>
          </w:p>
        </w:tc>
        <w:tc>
          <w:tcPr>
            <w:tcW w:w="3510" w:type="dxa"/>
            <w:tcBorders>
              <w:top w:val="nil"/>
              <w:left w:val="nil"/>
              <w:bottom w:val="single" w:sz="4" w:space="0" w:color="auto"/>
              <w:right w:val="single" w:sz="4" w:space="0" w:color="auto"/>
            </w:tcBorders>
            <w:shd w:val="clear" w:color="auto" w:fill="auto"/>
          </w:tcPr>
          <w:p w14:paraId="2075A1FA"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The intervention </w:t>
            </w:r>
            <w:r>
              <w:rPr>
                <w:rFonts w:ascii="Calibri" w:eastAsia="Times New Roman" w:hAnsi="Calibri" w:cs="Calibri"/>
                <w:color w:val="000000"/>
                <w:sz w:val="20"/>
                <w:szCs w:val="20"/>
                <w:lang w:val="en-GB"/>
              </w:rPr>
              <w:t xml:space="preserve">group </w:t>
            </w:r>
            <w:r w:rsidRPr="00BD58A2">
              <w:rPr>
                <w:rFonts w:ascii="Calibri" w:eastAsia="Times New Roman" w:hAnsi="Calibri" w:cs="Calibri"/>
                <w:color w:val="000000"/>
                <w:sz w:val="20"/>
                <w:szCs w:val="20"/>
                <w:lang w:val="en-GB"/>
              </w:rPr>
              <w:t xml:space="preserve">received focused individualised diabetic education sessions carried out by </w:t>
            </w:r>
            <w:r>
              <w:rPr>
                <w:rFonts w:ascii="Calibri" w:eastAsia="Times New Roman" w:hAnsi="Calibri" w:cs="Calibri"/>
                <w:color w:val="000000"/>
                <w:sz w:val="20"/>
                <w:szCs w:val="20"/>
                <w:lang w:val="en-GB"/>
              </w:rPr>
              <w:t>a</w:t>
            </w:r>
            <w:r w:rsidRPr="00BD58A2">
              <w:rPr>
                <w:rFonts w:ascii="Calibri" w:eastAsia="Times New Roman" w:hAnsi="Calibri" w:cs="Calibri"/>
                <w:color w:val="000000"/>
                <w:sz w:val="20"/>
                <w:szCs w:val="20"/>
                <w:lang w:val="en-GB"/>
              </w:rPr>
              <w:t xml:space="preserve"> clinical pharmacist, primary care physician, and dietician. Antidiabetic medication adjustments were made before and after Ramadan, while the control group received standard diabetic care. </w:t>
            </w:r>
          </w:p>
          <w:p w14:paraId="5BD3B994" w14:textId="77777777" w:rsidR="009D2B25"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The educational intervention focuses on self-management of diabetes care, including the signs and symptoms of hyper</w:t>
            </w:r>
            <w:r>
              <w:rPr>
                <w:rFonts w:ascii="Calibri" w:eastAsia="Times New Roman" w:hAnsi="Calibri" w:cs="Calibri"/>
                <w:color w:val="000000"/>
                <w:sz w:val="20"/>
                <w:szCs w:val="20"/>
                <w:lang w:val="en-GB"/>
              </w:rPr>
              <w:t>/</w:t>
            </w:r>
            <w:r w:rsidRPr="00BD58A2">
              <w:rPr>
                <w:rFonts w:ascii="Calibri" w:eastAsia="Times New Roman" w:hAnsi="Calibri" w:cs="Calibri"/>
                <w:color w:val="000000"/>
                <w:sz w:val="20"/>
                <w:szCs w:val="20"/>
                <w:lang w:val="en-GB"/>
              </w:rPr>
              <w:t>hypoglycemia, self-monitoring of blood glucose, physical activity, care of the diabetic foot, and management of acute complications.</w:t>
            </w:r>
          </w:p>
          <w:p w14:paraId="648340B9"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p>
        </w:tc>
        <w:tc>
          <w:tcPr>
            <w:tcW w:w="3407" w:type="dxa"/>
            <w:tcBorders>
              <w:top w:val="nil"/>
              <w:left w:val="nil"/>
              <w:bottom w:val="single" w:sz="4" w:space="0" w:color="auto"/>
              <w:right w:val="single" w:sz="4" w:space="0" w:color="auto"/>
            </w:tcBorders>
            <w:shd w:val="clear" w:color="auto" w:fill="auto"/>
          </w:tcPr>
          <w:p w14:paraId="1A56F0DF" w14:textId="77777777" w:rsidR="009D2B25" w:rsidRDefault="009D2B25" w:rsidP="00282204">
            <w:pPr>
              <w:spacing w:after="0" w:line="240" w:lineRule="auto"/>
              <w:rPr>
                <w:rFonts w:ascii="Calibri" w:eastAsia="Times New Roman" w:hAnsi="Calibri" w:cs="Calibri"/>
                <w:color w:val="000000"/>
                <w:sz w:val="20"/>
                <w:szCs w:val="20"/>
                <w:lang w:val="en-GB"/>
              </w:rPr>
            </w:pPr>
            <w:r w:rsidRPr="00684079">
              <w:rPr>
                <w:rFonts w:asciiTheme="minorBidi" w:eastAsia="Times New Roman" w:hAnsiTheme="minorBidi"/>
                <w:color w:val="000000"/>
                <w:sz w:val="18"/>
                <w:szCs w:val="18"/>
                <w:lang w:val="en-GB"/>
              </w:rPr>
              <w:t>-</w:t>
            </w:r>
            <w:r w:rsidRPr="00A468A7">
              <w:rPr>
                <w:rFonts w:ascii="Calibri" w:eastAsia="Times New Roman" w:hAnsi="Calibri" w:cs="Calibri"/>
                <w:color w:val="000000"/>
                <w:sz w:val="20"/>
                <w:szCs w:val="20"/>
                <w:lang w:val="en-GB"/>
              </w:rPr>
              <w:t xml:space="preserve">The intervention group showed a positive impact with reduction of hypoglycemic risk, HbA1c and LDL-cholesterol. </w:t>
            </w:r>
          </w:p>
          <w:p w14:paraId="14635190" w14:textId="77777777" w:rsidR="009D2B25" w:rsidRPr="00A468A7" w:rsidRDefault="009D2B25" w:rsidP="00282204">
            <w:pPr>
              <w:spacing w:after="0" w:line="240" w:lineRule="auto"/>
              <w:rPr>
                <w:rFonts w:ascii="Calibri" w:eastAsia="Times New Roman" w:hAnsi="Calibri" w:cs="Calibri"/>
                <w:color w:val="000000"/>
                <w:sz w:val="20"/>
                <w:szCs w:val="20"/>
                <w:lang w:val="en-GB"/>
              </w:rPr>
            </w:pPr>
          </w:p>
          <w:p w14:paraId="413CBDC8" w14:textId="77777777" w:rsidR="009D2B25" w:rsidRPr="000F2A9B" w:rsidRDefault="009D2B25" w:rsidP="00282204">
            <w:pPr>
              <w:spacing w:after="0" w:line="240" w:lineRule="auto"/>
              <w:rPr>
                <w:rFonts w:ascii="Calibri" w:eastAsia="Times New Roman" w:hAnsi="Calibri" w:cstheme="minorHAnsi"/>
                <w:b/>
                <w:bCs/>
                <w:color w:val="000000"/>
                <w:sz w:val="20"/>
                <w:szCs w:val="20"/>
                <w:lang w:val="en-GB"/>
              </w:rPr>
            </w:pPr>
            <w:r w:rsidRPr="00A468A7">
              <w:rPr>
                <w:rFonts w:ascii="Calibri" w:eastAsia="Times New Roman" w:hAnsi="Calibri" w:cs="Calibri"/>
                <w:color w:val="000000"/>
                <w:sz w:val="20"/>
                <w:szCs w:val="20"/>
                <w:lang w:val="en-GB"/>
              </w:rPr>
              <w:t>-No statistically significant effects were observed in BP or BMI in the intervention or control groups.</w:t>
            </w:r>
          </w:p>
        </w:tc>
      </w:tr>
      <w:tr w:rsidR="009D2B25" w:rsidRPr="00CE056C" w14:paraId="22A4510E" w14:textId="77777777" w:rsidTr="00282204">
        <w:trPr>
          <w:trHeight w:val="1727"/>
        </w:trPr>
        <w:tc>
          <w:tcPr>
            <w:tcW w:w="540" w:type="dxa"/>
            <w:tcBorders>
              <w:top w:val="nil"/>
              <w:left w:val="single" w:sz="4" w:space="0" w:color="auto"/>
              <w:bottom w:val="single" w:sz="4" w:space="0" w:color="auto"/>
              <w:right w:val="single" w:sz="4" w:space="0" w:color="auto"/>
            </w:tcBorders>
            <w:shd w:val="clear" w:color="auto" w:fill="auto"/>
            <w:hideMark/>
          </w:tcPr>
          <w:p w14:paraId="65AF445A" w14:textId="77777777" w:rsidR="009D2B25" w:rsidRPr="001A3CE6" w:rsidRDefault="009D2B25" w:rsidP="00282204">
            <w:pPr>
              <w:spacing w:after="0" w:line="240" w:lineRule="auto"/>
              <w:rPr>
                <w:rFonts w:ascii="Calibri" w:eastAsia="Times New Roman" w:hAnsi="Calibri" w:cs="Calibri"/>
                <w:color w:val="000000"/>
                <w:sz w:val="20"/>
                <w:szCs w:val="20"/>
              </w:rPr>
            </w:pPr>
            <w:r>
              <w:rPr>
                <w:rFonts w:ascii="Calibri" w:eastAsia="Times New Roman" w:hAnsi="Calibri" w:cstheme="minorHAnsi"/>
                <w:color w:val="000000"/>
                <w:sz w:val="20"/>
                <w:szCs w:val="20"/>
                <w:lang w:val="en-GB"/>
              </w:rPr>
              <w:t>6</w:t>
            </w:r>
          </w:p>
        </w:tc>
        <w:tc>
          <w:tcPr>
            <w:tcW w:w="990" w:type="dxa"/>
            <w:tcBorders>
              <w:top w:val="nil"/>
              <w:left w:val="nil"/>
              <w:bottom w:val="single" w:sz="4" w:space="0" w:color="auto"/>
              <w:right w:val="single" w:sz="4" w:space="0" w:color="auto"/>
            </w:tcBorders>
            <w:shd w:val="clear" w:color="auto" w:fill="auto"/>
            <w:hideMark/>
          </w:tcPr>
          <w:p w14:paraId="0FDE2BE1" w14:textId="77777777" w:rsidR="009D2B25" w:rsidRDefault="009D2B25" w:rsidP="00282204">
            <w:pPr>
              <w:spacing w:after="0" w:line="240" w:lineRule="auto"/>
              <w:rPr>
                <w:rFonts w:ascii="Calibri" w:eastAsia="Times New Roman" w:hAnsi="Calibri" w:cstheme="minorHAnsi"/>
                <w:noProof/>
                <w:color w:val="000000"/>
                <w:sz w:val="20"/>
                <w:szCs w:val="20"/>
                <w:lang w:val="en-GB"/>
              </w:rPr>
            </w:pPr>
            <w:r w:rsidRPr="001A3CE6">
              <w:rPr>
                <w:rFonts w:ascii="Calibri" w:eastAsia="Times New Roman" w:hAnsi="Calibri" w:cstheme="minorHAnsi"/>
                <w:noProof/>
                <w:color w:val="000000"/>
                <w:sz w:val="20"/>
                <w:szCs w:val="20"/>
                <w:lang w:val="en-GB"/>
              </w:rPr>
              <w:t>(Al Asmary et al., 2013)</w:t>
            </w:r>
          </w:p>
          <w:p w14:paraId="594621E4"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p w14:paraId="728F08C8"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p w14:paraId="7450E281"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p w14:paraId="5E0E66D2"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p w14:paraId="698B7F25"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p w14:paraId="2799AE1F"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p w14:paraId="4DB9A285"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p w14:paraId="659C9830"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p w14:paraId="43875B67"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p w14:paraId="3ACA62D3"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p w14:paraId="013DFB6B" w14:textId="77777777" w:rsidR="009D2B25" w:rsidRDefault="009D2B25" w:rsidP="00282204">
            <w:pPr>
              <w:spacing w:after="0" w:line="240" w:lineRule="auto"/>
              <w:rPr>
                <w:rFonts w:ascii="Calibri" w:eastAsia="Times New Roman" w:hAnsi="Calibri" w:cstheme="minorHAnsi"/>
                <w:noProof/>
                <w:color w:val="000000"/>
                <w:sz w:val="20"/>
                <w:szCs w:val="20"/>
                <w:lang w:val="en-GB"/>
              </w:rPr>
            </w:pPr>
          </w:p>
          <w:p w14:paraId="41E2E547" w14:textId="77777777" w:rsidR="009D2B25" w:rsidRPr="001A3CE6" w:rsidRDefault="009D2B25" w:rsidP="00282204">
            <w:pPr>
              <w:spacing w:after="0" w:line="240" w:lineRule="auto"/>
              <w:rPr>
                <w:rFonts w:ascii="Calibri" w:eastAsia="Times New Roman" w:hAnsi="Calibri" w:cs="Calibri"/>
                <w:color w:val="000000"/>
                <w:sz w:val="20"/>
                <w:szCs w:val="20"/>
              </w:rPr>
            </w:pPr>
          </w:p>
        </w:tc>
        <w:tc>
          <w:tcPr>
            <w:tcW w:w="1620" w:type="dxa"/>
            <w:tcBorders>
              <w:top w:val="nil"/>
              <w:left w:val="nil"/>
              <w:bottom w:val="single" w:sz="4" w:space="0" w:color="auto"/>
              <w:right w:val="single" w:sz="4" w:space="0" w:color="auto"/>
            </w:tcBorders>
            <w:shd w:val="clear" w:color="auto" w:fill="auto"/>
            <w:hideMark/>
          </w:tcPr>
          <w:p w14:paraId="3882B17B"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 xml:space="preserve">Impact of integrated care programmes on glycemic control and </w:t>
            </w:r>
            <w:r>
              <w:rPr>
                <w:rFonts w:ascii="Calibri" w:eastAsia="Times New Roman" w:hAnsi="Calibri" w:cstheme="minorHAnsi"/>
                <w:color w:val="000000"/>
                <w:sz w:val="20"/>
                <w:szCs w:val="20"/>
                <w:lang w:val="en-GB"/>
              </w:rPr>
              <w:t>CV</w:t>
            </w:r>
            <w:r w:rsidRPr="001A3CE6">
              <w:rPr>
                <w:rFonts w:ascii="Calibri" w:eastAsia="Times New Roman" w:hAnsi="Calibri" w:cstheme="minorHAnsi"/>
                <w:color w:val="000000"/>
                <w:sz w:val="20"/>
                <w:szCs w:val="20"/>
                <w:lang w:val="en-GB"/>
              </w:rPr>
              <w:t xml:space="preserve"> risk in adult patients with </w:t>
            </w:r>
            <w:r>
              <w:rPr>
                <w:rFonts w:ascii="Calibri" w:eastAsia="Times New Roman" w:hAnsi="Calibri" w:cstheme="minorHAnsi"/>
                <w:color w:val="000000"/>
                <w:sz w:val="20"/>
                <w:szCs w:val="20"/>
                <w:lang w:val="en-GB"/>
              </w:rPr>
              <w:t>T2D</w:t>
            </w:r>
            <w:r w:rsidRPr="001A3CE6">
              <w:rPr>
                <w:rFonts w:ascii="Calibri" w:eastAsia="Times New Roman" w:hAnsi="Calibri" w:cstheme="minorHAnsi"/>
                <w:color w:val="000000"/>
                <w:sz w:val="20"/>
                <w:szCs w:val="20"/>
                <w:lang w:val="en-GB"/>
              </w:rPr>
              <w:t>.</w:t>
            </w:r>
          </w:p>
          <w:p w14:paraId="08DF9514"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 xml:space="preserve"> </w:t>
            </w:r>
          </w:p>
          <w:p w14:paraId="0466C822"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761865BD"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2103F601"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30013F09"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3ADBF85D"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23D3D530"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10A65E45" w14:textId="77777777" w:rsidR="009D2B25" w:rsidRPr="001A3CE6" w:rsidRDefault="009D2B25" w:rsidP="00282204">
            <w:pPr>
              <w:spacing w:after="0" w:line="240" w:lineRule="auto"/>
              <w:rPr>
                <w:rFonts w:ascii="Calibri" w:eastAsia="Times New Roman" w:hAnsi="Calibri" w:cs="Calibri"/>
                <w:color w:val="000000"/>
                <w:sz w:val="20"/>
                <w:szCs w:val="20"/>
              </w:rPr>
            </w:pPr>
          </w:p>
        </w:tc>
        <w:tc>
          <w:tcPr>
            <w:tcW w:w="1530" w:type="dxa"/>
            <w:tcBorders>
              <w:top w:val="nil"/>
              <w:left w:val="nil"/>
              <w:bottom w:val="single" w:sz="4" w:space="0" w:color="auto"/>
              <w:right w:val="single" w:sz="4" w:space="0" w:color="auto"/>
            </w:tcBorders>
            <w:shd w:val="clear" w:color="auto" w:fill="auto"/>
            <w:hideMark/>
          </w:tcPr>
          <w:p w14:paraId="597B29A6"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 xml:space="preserve">Al-Wazarat Chronic Diseases Center, a Family Medicine Center in Riyadh, </w:t>
            </w:r>
            <w:r>
              <w:rPr>
                <w:rFonts w:ascii="Calibri" w:eastAsia="Times New Roman" w:hAnsi="Calibri" w:cstheme="minorHAnsi"/>
                <w:color w:val="000000"/>
                <w:sz w:val="20"/>
                <w:szCs w:val="20"/>
                <w:lang w:val="en-GB"/>
              </w:rPr>
              <w:t xml:space="preserve">SA. </w:t>
            </w:r>
          </w:p>
          <w:p w14:paraId="64F9A210"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57CB3B12"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2AA5F3A9"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3B81773B"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70C7EE4B"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410DA79C"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43E3E8F5"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196CDE51"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p>
        </w:tc>
        <w:tc>
          <w:tcPr>
            <w:tcW w:w="1980" w:type="dxa"/>
            <w:tcBorders>
              <w:top w:val="nil"/>
              <w:left w:val="nil"/>
              <w:bottom w:val="single" w:sz="4" w:space="0" w:color="auto"/>
              <w:right w:val="single" w:sz="4" w:space="0" w:color="auto"/>
            </w:tcBorders>
            <w:shd w:val="clear" w:color="auto" w:fill="auto"/>
            <w:hideMark/>
          </w:tcPr>
          <w:p w14:paraId="00997EB4"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 xml:space="preserve">47 patients with </w:t>
            </w:r>
            <w:r>
              <w:rPr>
                <w:rFonts w:ascii="Calibri" w:eastAsia="Times New Roman" w:hAnsi="Calibri" w:cs="Calibri"/>
                <w:color w:val="000000"/>
                <w:sz w:val="20"/>
                <w:szCs w:val="20"/>
                <w:lang w:val="en-GB"/>
              </w:rPr>
              <w:t>T2D</w:t>
            </w:r>
            <w:r>
              <w:rPr>
                <w:rFonts w:ascii="Calibri" w:eastAsia="Times New Roman" w:hAnsi="Calibri" w:cstheme="minorHAnsi"/>
                <w:color w:val="000000"/>
                <w:sz w:val="20"/>
                <w:szCs w:val="20"/>
                <w:lang w:val="en-GB"/>
              </w:rPr>
              <w:t xml:space="preserve"> enrolled to </w:t>
            </w:r>
            <w:r w:rsidRPr="00BA775E">
              <w:rPr>
                <w:rFonts w:ascii="Calibri" w:eastAsia="Times New Roman" w:hAnsi="Calibri" w:cstheme="minorHAnsi"/>
                <w:color w:val="000000"/>
                <w:sz w:val="20"/>
                <w:szCs w:val="20"/>
                <w:lang w:val="en-GB"/>
              </w:rPr>
              <w:t>the integrated care program</w:t>
            </w:r>
          </w:p>
          <w:p w14:paraId="1B9E787D"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298116A0"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584DB47B"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3811A54B"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17FEFEDF"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2C847593"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709F4398"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28F10B17"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42434859"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2A3B53C0"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4108C949"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091EDBE0"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7FE5D87E" w14:textId="77777777" w:rsidR="009D2B25" w:rsidRPr="001A3CE6" w:rsidRDefault="009D2B25" w:rsidP="00282204">
            <w:pPr>
              <w:spacing w:after="0" w:line="240" w:lineRule="auto"/>
              <w:rPr>
                <w:rFonts w:ascii="Calibri" w:eastAsia="Times New Roman" w:hAnsi="Calibri" w:cs="Calibri"/>
                <w:color w:val="000000"/>
                <w:sz w:val="20"/>
                <w:szCs w:val="20"/>
              </w:rPr>
            </w:pPr>
          </w:p>
        </w:tc>
        <w:tc>
          <w:tcPr>
            <w:tcW w:w="1440" w:type="dxa"/>
            <w:tcBorders>
              <w:top w:val="nil"/>
              <w:left w:val="nil"/>
              <w:bottom w:val="single" w:sz="4" w:space="0" w:color="auto"/>
              <w:right w:val="single" w:sz="4" w:space="0" w:color="auto"/>
            </w:tcBorders>
            <w:shd w:val="clear" w:color="auto" w:fill="auto"/>
            <w:hideMark/>
          </w:tcPr>
          <w:p w14:paraId="2FAF5BDA"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Uncontrolled quasi-experimental intervention study with pre–post assessment.</w:t>
            </w:r>
          </w:p>
          <w:p w14:paraId="75637A42"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04561B6F"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766722B3"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6DAB21C3"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593B360A"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4F9515BE"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256FFA62"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53E54BB4"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1E962AE2" w14:textId="77777777" w:rsidR="009D2B25" w:rsidRPr="001A3CE6" w:rsidRDefault="009D2B25" w:rsidP="00282204">
            <w:pPr>
              <w:spacing w:after="0" w:line="240" w:lineRule="auto"/>
              <w:rPr>
                <w:rFonts w:ascii="Calibri" w:eastAsia="Times New Roman" w:hAnsi="Calibri" w:cs="Calibri"/>
                <w:color w:val="000000"/>
                <w:sz w:val="20"/>
                <w:szCs w:val="20"/>
              </w:rPr>
            </w:pPr>
          </w:p>
        </w:tc>
        <w:tc>
          <w:tcPr>
            <w:tcW w:w="3510" w:type="dxa"/>
            <w:tcBorders>
              <w:top w:val="nil"/>
              <w:left w:val="nil"/>
              <w:bottom w:val="single" w:sz="4" w:space="0" w:color="auto"/>
              <w:right w:val="single" w:sz="4" w:space="0" w:color="auto"/>
            </w:tcBorders>
            <w:shd w:val="clear" w:color="auto" w:fill="auto"/>
            <w:hideMark/>
          </w:tcPr>
          <w:p w14:paraId="01F7E890"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rPr>
              <w:t>-</w:t>
            </w:r>
            <w:r>
              <w:rPr>
                <w:rFonts w:ascii="Calibri" w:eastAsia="Times New Roman" w:hAnsi="Calibri" w:cstheme="minorHAnsi"/>
                <w:color w:val="000000"/>
                <w:sz w:val="20"/>
                <w:szCs w:val="20"/>
                <w:lang w:val="en-GB"/>
              </w:rPr>
              <w:t>Patient</w:t>
            </w:r>
            <w:r w:rsidRPr="007A735C">
              <w:rPr>
                <w:rFonts w:ascii="Calibri" w:eastAsia="Times New Roman" w:hAnsi="Calibri" w:cstheme="minorHAnsi"/>
                <w:color w:val="000000"/>
                <w:sz w:val="20"/>
                <w:szCs w:val="20"/>
                <w:lang w:val="en-GB"/>
              </w:rPr>
              <w:t xml:space="preserve"> join</w:t>
            </w:r>
            <w:r>
              <w:rPr>
                <w:rFonts w:ascii="Calibri" w:eastAsia="Times New Roman" w:hAnsi="Calibri" w:cstheme="minorHAnsi"/>
                <w:color w:val="000000"/>
                <w:sz w:val="20"/>
                <w:szCs w:val="20"/>
                <w:lang w:val="en-GB"/>
              </w:rPr>
              <w:t>ed</w:t>
            </w:r>
            <w:r w:rsidRPr="007A735C">
              <w:rPr>
                <w:rFonts w:ascii="Calibri" w:eastAsia="Times New Roman" w:hAnsi="Calibri" w:cstheme="minorHAnsi"/>
                <w:color w:val="000000"/>
                <w:sz w:val="20"/>
                <w:szCs w:val="20"/>
                <w:lang w:val="en-GB"/>
              </w:rPr>
              <w:t xml:space="preserve"> the integrated care program</w:t>
            </w:r>
            <w:r>
              <w:rPr>
                <w:rFonts w:ascii="Calibri" w:eastAsia="Times New Roman" w:hAnsi="Calibri" w:cstheme="minorHAnsi"/>
                <w:color w:val="000000"/>
                <w:sz w:val="20"/>
                <w:szCs w:val="20"/>
                <w:lang w:val="en-GB"/>
              </w:rPr>
              <w:t xml:space="preserve">, </w:t>
            </w:r>
            <w:r w:rsidRPr="007A735C">
              <w:rPr>
                <w:rFonts w:ascii="Calibri" w:eastAsia="Times New Roman" w:hAnsi="Calibri" w:cstheme="minorHAnsi"/>
                <w:color w:val="000000"/>
                <w:sz w:val="20"/>
                <w:szCs w:val="20"/>
                <w:lang w:val="en-GB"/>
              </w:rPr>
              <w:t>for a maximum 6 months</w:t>
            </w:r>
            <w:r>
              <w:rPr>
                <w:rFonts w:ascii="Calibri" w:eastAsia="Times New Roman" w:hAnsi="Calibri" w:cstheme="minorHAnsi"/>
                <w:color w:val="000000"/>
                <w:sz w:val="20"/>
                <w:szCs w:val="20"/>
                <w:lang w:val="en-GB"/>
              </w:rPr>
              <w:t>. This programme</w:t>
            </w:r>
            <w:r w:rsidRPr="00E24427">
              <w:rPr>
                <w:rFonts w:ascii="Calibri" w:eastAsia="Times New Roman" w:hAnsi="Calibri" w:cstheme="minorHAnsi"/>
                <w:color w:val="000000"/>
                <w:sz w:val="20"/>
                <w:szCs w:val="20"/>
                <w:lang w:val="en-GB"/>
              </w:rPr>
              <w:t xml:space="preserve"> utilizes a </w:t>
            </w:r>
            <w:r>
              <w:rPr>
                <w:rFonts w:ascii="Calibri" w:eastAsia="Times New Roman" w:hAnsi="Calibri" w:cstheme="minorHAnsi"/>
                <w:color w:val="000000"/>
                <w:sz w:val="20"/>
                <w:szCs w:val="20"/>
                <w:lang w:val="en-GB"/>
              </w:rPr>
              <w:t>MDT</w:t>
            </w:r>
            <w:r w:rsidRPr="00E24427">
              <w:rPr>
                <w:rFonts w:ascii="Calibri" w:eastAsia="Times New Roman" w:hAnsi="Calibri" w:cstheme="minorHAnsi"/>
                <w:color w:val="000000"/>
                <w:sz w:val="20"/>
                <w:szCs w:val="20"/>
                <w:lang w:val="en-GB"/>
              </w:rPr>
              <w:t xml:space="preserve"> approach for </w:t>
            </w:r>
            <w:r>
              <w:rPr>
                <w:rFonts w:ascii="Calibri" w:eastAsia="Times New Roman" w:hAnsi="Calibri" w:cstheme="minorHAnsi"/>
                <w:color w:val="000000"/>
                <w:sz w:val="20"/>
                <w:szCs w:val="20"/>
                <w:lang w:val="en-GB"/>
              </w:rPr>
              <w:t>managing</w:t>
            </w:r>
            <w:r w:rsidRPr="00E24427">
              <w:rPr>
                <w:rFonts w:ascii="Calibri" w:eastAsia="Times New Roman" w:hAnsi="Calibri" w:cstheme="minorHAnsi"/>
                <w:color w:val="000000"/>
                <w:sz w:val="20"/>
                <w:szCs w:val="20"/>
                <w:lang w:val="en-GB"/>
              </w:rPr>
              <w:t xml:space="preserve"> patients with uncontrolled T2D </w:t>
            </w:r>
            <w:r>
              <w:rPr>
                <w:rFonts w:ascii="Calibri" w:eastAsia="Times New Roman" w:hAnsi="Calibri" w:cs="Calibri"/>
                <w:color w:val="000000"/>
                <w:sz w:val="20"/>
                <w:szCs w:val="20"/>
                <w:lang w:val="en-GB"/>
              </w:rPr>
              <w:t>±</w:t>
            </w:r>
            <w:r>
              <w:rPr>
                <w:rFonts w:ascii="Calibri" w:eastAsia="Times New Roman" w:hAnsi="Calibri" w:cstheme="minorHAnsi"/>
                <w:color w:val="000000"/>
                <w:sz w:val="20"/>
                <w:szCs w:val="20"/>
                <w:lang w:val="en-GB"/>
              </w:rPr>
              <w:t xml:space="preserve"> </w:t>
            </w:r>
            <w:r w:rsidRPr="00E24427">
              <w:rPr>
                <w:rFonts w:ascii="Calibri" w:eastAsia="Times New Roman" w:hAnsi="Calibri" w:cstheme="minorHAnsi"/>
                <w:color w:val="000000"/>
                <w:sz w:val="20"/>
                <w:szCs w:val="20"/>
                <w:lang w:val="en-GB"/>
              </w:rPr>
              <w:t>comorbidity.</w:t>
            </w:r>
          </w:p>
          <w:p w14:paraId="1EA1823B"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E24427">
              <w:rPr>
                <w:rFonts w:ascii="Calibri" w:eastAsia="Times New Roman" w:hAnsi="Calibri" w:cstheme="minorHAnsi"/>
                <w:color w:val="000000"/>
                <w:sz w:val="20"/>
                <w:szCs w:val="20"/>
                <w:lang w:val="en-GB"/>
              </w:rPr>
              <w:t xml:space="preserve">The team includes </w:t>
            </w:r>
            <w:r>
              <w:rPr>
                <w:rFonts w:ascii="Calibri" w:eastAsia="Times New Roman" w:hAnsi="Calibri" w:cstheme="minorHAnsi"/>
                <w:color w:val="000000"/>
                <w:sz w:val="20"/>
                <w:szCs w:val="20"/>
                <w:lang w:val="en-GB"/>
              </w:rPr>
              <w:t>“</w:t>
            </w:r>
            <w:r w:rsidRPr="00E24427">
              <w:rPr>
                <w:rFonts w:ascii="Calibri" w:eastAsia="Times New Roman" w:hAnsi="Calibri" w:cstheme="minorHAnsi"/>
                <w:color w:val="000000"/>
                <w:sz w:val="20"/>
                <w:szCs w:val="20"/>
                <w:lang w:val="en-GB"/>
              </w:rPr>
              <w:t>a senior family physician, nurse, clinical pharmacist specialist, dietician, diabetic educator, health educator and social worker.</w:t>
            </w:r>
            <w:r>
              <w:rPr>
                <w:rFonts w:ascii="Calibri" w:eastAsia="Times New Roman" w:hAnsi="Calibri" w:cstheme="minorHAnsi"/>
                <w:color w:val="000000"/>
                <w:sz w:val="20"/>
                <w:szCs w:val="20"/>
                <w:lang w:val="en-GB"/>
              </w:rPr>
              <w:t>”</w:t>
            </w:r>
            <w:r w:rsidRPr="00E24427">
              <w:rPr>
                <w:rFonts w:ascii="Calibri" w:eastAsia="Times New Roman" w:hAnsi="Calibri" w:cstheme="minorHAnsi"/>
                <w:color w:val="000000"/>
                <w:sz w:val="20"/>
                <w:szCs w:val="20"/>
                <w:lang w:val="en-GB"/>
              </w:rPr>
              <w:t xml:space="preserve"> </w:t>
            </w:r>
          </w:p>
          <w:p w14:paraId="350DC177" w14:textId="77777777" w:rsidR="009D2B25" w:rsidRPr="008D40EA" w:rsidRDefault="009D2B25" w:rsidP="00282204">
            <w:pPr>
              <w:spacing w:after="0" w:line="240" w:lineRule="auto"/>
              <w:rPr>
                <w:rFonts w:ascii="Calibri" w:eastAsia="Times New Roman" w:hAnsi="Calibri" w:cstheme="minorHAnsi"/>
                <w:color w:val="000000"/>
                <w:sz w:val="20"/>
                <w:szCs w:val="20"/>
                <w:vertAlign w:val="superscript"/>
                <w:lang w:val="en-GB"/>
              </w:rPr>
            </w:pPr>
            <w:r>
              <w:rPr>
                <w:rFonts w:ascii="Calibri" w:eastAsia="Times New Roman" w:hAnsi="Calibri" w:cstheme="minorHAnsi"/>
                <w:color w:val="000000"/>
                <w:sz w:val="20"/>
                <w:szCs w:val="20"/>
                <w:lang w:val="en-GB"/>
              </w:rPr>
              <w:t>-The</w:t>
            </w:r>
            <w:r w:rsidRPr="001A3CE6">
              <w:rPr>
                <w:rFonts w:ascii="Calibri" w:eastAsia="Times New Roman" w:hAnsi="Calibri" w:cstheme="minorHAnsi"/>
                <w:color w:val="000000"/>
                <w:sz w:val="20"/>
                <w:szCs w:val="20"/>
                <w:lang w:val="en-GB"/>
              </w:rPr>
              <w:t xml:space="preserve"> pharmacist acts as the case manager, responsible for implementing the plan of the patient’s treatment</w:t>
            </w:r>
            <w:r>
              <w:rPr>
                <w:rFonts w:ascii="Calibri" w:eastAsia="Times New Roman" w:hAnsi="Calibri" w:cstheme="minorHAnsi"/>
                <w:color w:val="000000"/>
                <w:sz w:val="20"/>
                <w:szCs w:val="20"/>
                <w:lang w:val="en-GB"/>
              </w:rPr>
              <w:t xml:space="preserve">, </w:t>
            </w:r>
            <w:r w:rsidRPr="001A3CE6">
              <w:rPr>
                <w:rFonts w:ascii="Calibri" w:eastAsia="Times New Roman" w:hAnsi="Calibri" w:cstheme="minorHAnsi"/>
                <w:color w:val="000000"/>
                <w:sz w:val="20"/>
                <w:szCs w:val="20"/>
                <w:lang w:val="en-GB"/>
              </w:rPr>
              <w:t>solving any issues that can affect the implementation of the plan</w:t>
            </w: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 xml:space="preserve"> and providing various clinical activities such as: </w:t>
            </w:r>
          </w:p>
          <w:p w14:paraId="6BC3CD44"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 xml:space="preserve">- </w:t>
            </w:r>
            <w:r w:rsidRPr="001A3CE6">
              <w:rPr>
                <w:rFonts w:ascii="Calibri" w:eastAsia="Times New Roman" w:hAnsi="Calibri" w:cstheme="minorHAnsi"/>
                <w:color w:val="000000"/>
                <w:sz w:val="20"/>
                <w:szCs w:val="20"/>
                <w:lang w:val="en-GB"/>
              </w:rPr>
              <w:t xml:space="preserve"> Review patient’s medications and changes of medications, if necessary, in collaboration with doctors</w:t>
            </w:r>
          </w:p>
          <w:p w14:paraId="51A69E24"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 xml:space="preserve"> - Monitor patient’s adherence and drug side effects </w:t>
            </w:r>
          </w:p>
          <w:p w14:paraId="000DAF69"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 xml:space="preserve">- Involved in managing hypoglycaemia. </w:t>
            </w:r>
          </w:p>
          <w:p w14:paraId="280F0AF0"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 xml:space="preserve">- Ordering liver and renal function tests. </w:t>
            </w:r>
          </w:p>
          <w:p w14:paraId="64237114"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 xml:space="preserve">- Referring the patient to other </w:t>
            </w:r>
            <w:r>
              <w:rPr>
                <w:rFonts w:ascii="Calibri" w:eastAsia="Times New Roman" w:hAnsi="Calibri" w:cstheme="minorHAnsi"/>
                <w:color w:val="000000"/>
                <w:sz w:val="20"/>
                <w:szCs w:val="20"/>
                <w:lang w:val="en-GB"/>
              </w:rPr>
              <w:t>HCPs</w:t>
            </w:r>
            <w:r w:rsidRPr="001A3CE6">
              <w:rPr>
                <w:rFonts w:ascii="Calibri" w:eastAsia="Times New Roman" w:hAnsi="Calibri" w:cstheme="minorHAnsi"/>
                <w:color w:val="000000"/>
                <w:sz w:val="20"/>
                <w:szCs w:val="20"/>
                <w:lang w:val="en-GB"/>
              </w:rPr>
              <w:t xml:space="preserve"> when needed.</w:t>
            </w:r>
          </w:p>
          <w:p w14:paraId="3EB5F637" w14:textId="77777777" w:rsidR="009D2B25" w:rsidRPr="001A3CE6" w:rsidRDefault="009D2B25" w:rsidP="00282204">
            <w:pPr>
              <w:spacing w:after="0" w:line="240" w:lineRule="auto"/>
              <w:rPr>
                <w:rFonts w:ascii="Calibri" w:eastAsia="Times New Roman" w:hAnsi="Calibri" w:cs="Calibri"/>
                <w:color w:val="000000"/>
                <w:sz w:val="20"/>
                <w:szCs w:val="20"/>
              </w:rPr>
            </w:pPr>
          </w:p>
        </w:tc>
        <w:tc>
          <w:tcPr>
            <w:tcW w:w="3407" w:type="dxa"/>
            <w:tcBorders>
              <w:top w:val="nil"/>
              <w:left w:val="nil"/>
              <w:bottom w:val="single" w:sz="4" w:space="0" w:color="auto"/>
              <w:right w:val="single" w:sz="4" w:space="0" w:color="auto"/>
            </w:tcBorders>
            <w:shd w:val="clear" w:color="auto" w:fill="auto"/>
            <w:hideMark/>
          </w:tcPr>
          <w:p w14:paraId="65B36FAC"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0F2A9B">
              <w:rPr>
                <w:rFonts w:ascii="Calibri" w:eastAsia="Times New Roman" w:hAnsi="Calibri" w:cstheme="minorHAnsi"/>
                <w:b/>
                <w:bCs/>
                <w:color w:val="000000"/>
                <w:sz w:val="20"/>
                <w:szCs w:val="20"/>
                <w:lang w:val="en-GB"/>
              </w:rPr>
              <w:t>In the post-intervention stage</w:t>
            </w:r>
            <w:r w:rsidRPr="001A3CE6">
              <w:rPr>
                <w:rFonts w:ascii="Calibri" w:eastAsia="Times New Roman" w:hAnsi="Calibri" w:cstheme="minorHAnsi"/>
                <w:color w:val="000000"/>
                <w:sz w:val="20"/>
                <w:szCs w:val="20"/>
                <w:lang w:val="en-GB"/>
              </w:rPr>
              <w:t xml:space="preserve">: </w:t>
            </w:r>
          </w:p>
          <w:p w14:paraId="2FD01591"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 xml:space="preserve">HbA1c, FBG, TG and TC were significantly reduced. </w:t>
            </w:r>
          </w:p>
          <w:p w14:paraId="5CD82DB9"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 xml:space="preserve">LDL cholesterol was also reduced but not significantly. </w:t>
            </w:r>
          </w:p>
          <w:p w14:paraId="6C5EE813"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HDL cholesterol and BP did not show any significant changes.</w:t>
            </w:r>
          </w:p>
          <w:p w14:paraId="0FFA00E4"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0500D22B"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0B8B7CF6"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0145ABD5"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68DDC246"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1E72E49B"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38B8BFD6" w14:textId="77777777" w:rsidR="009D2B25" w:rsidRPr="00D76CE2" w:rsidRDefault="009D2B25" w:rsidP="00282204">
            <w:pPr>
              <w:rPr>
                <w:rFonts w:ascii="Calibri" w:eastAsia="Times New Roman" w:hAnsi="Calibri" w:cs="Calibri"/>
                <w:sz w:val="20"/>
                <w:szCs w:val="20"/>
              </w:rPr>
            </w:pPr>
          </w:p>
        </w:tc>
      </w:tr>
      <w:tr w:rsidR="009D2B25" w:rsidRPr="00CE056C" w14:paraId="1818E742" w14:textId="77777777" w:rsidTr="00282204">
        <w:trPr>
          <w:trHeight w:val="292"/>
        </w:trPr>
        <w:tc>
          <w:tcPr>
            <w:tcW w:w="15017" w:type="dxa"/>
            <w:gridSpan w:val="8"/>
            <w:tcBorders>
              <w:top w:val="nil"/>
              <w:left w:val="single" w:sz="4" w:space="0" w:color="auto"/>
              <w:bottom w:val="single" w:sz="4" w:space="0" w:color="auto"/>
              <w:right w:val="single" w:sz="4" w:space="0" w:color="auto"/>
            </w:tcBorders>
            <w:shd w:val="clear" w:color="000000" w:fill="D9D9D9"/>
            <w:vAlign w:val="center"/>
            <w:hideMark/>
          </w:tcPr>
          <w:p w14:paraId="14C65789" w14:textId="77777777" w:rsidR="009D2B25" w:rsidRPr="00C15F65" w:rsidRDefault="009D2B25" w:rsidP="00282204">
            <w:pPr>
              <w:spacing w:after="0" w:line="240" w:lineRule="auto"/>
              <w:rPr>
                <w:rFonts w:ascii="Calibri" w:eastAsia="Times New Roman" w:hAnsi="Calibri" w:cs="Calibri"/>
                <w:b/>
                <w:bCs/>
                <w:color w:val="000000"/>
                <w:lang w:val="en-GB"/>
              </w:rPr>
            </w:pPr>
            <w:r w:rsidRPr="00C15F65">
              <w:rPr>
                <w:rFonts w:ascii="Calibri" w:eastAsia="Times New Roman" w:hAnsi="Calibri" w:cs="Calibri"/>
                <w:b/>
                <w:bCs/>
                <w:color w:val="000000"/>
                <w:lang w:val="en-GB"/>
              </w:rPr>
              <w:t>Pharmacist-Directed Care/Pharmacist Led Clinic</w:t>
            </w:r>
          </w:p>
        </w:tc>
      </w:tr>
      <w:tr w:rsidR="009D2B25" w:rsidRPr="00CE056C" w14:paraId="27C1CB15" w14:textId="77777777" w:rsidTr="00282204">
        <w:trPr>
          <w:trHeight w:val="1457"/>
        </w:trPr>
        <w:tc>
          <w:tcPr>
            <w:tcW w:w="540" w:type="dxa"/>
            <w:tcBorders>
              <w:top w:val="nil"/>
              <w:left w:val="single" w:sz="4" w:space="0" w:color="auto"/>
              <w:bottom w:val="single" w:sz="4" w:space="0" w:color="auto"/>
              <w:right w:val="single" w:sz="4" w:space="0" w:color="auto"/>
            </w:tcBorders>
            <w:shd w:val="clear" w:color="auto" w:fill="auto"/>
          </w:tcPr>
          <w:p w14:paraId="0E6C8334"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7</w:t>
            </w:r>
          </w:p>
        </w:tc>
        <w:tc>
          <w:tcPr>
            <w:tcW w:w="990" w:type="dxa"/>
            <w:tcBorders>
              <w:top w:val="nil"/>
              <w:left w:val="nil"/>
              <w:bottom w:val="single" w:sz="4" w:space="0" w:color="auto"/>
              <w:right w:val="single" w:sz="4" w:space="0" w:color="auto"/>
            </w:tcBorders>
            <w:shd w:val="clear" w:color="auto" w:fill="auto"/>
          </w:tcPr>
          <w:p w14:paraId="73F22C84"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370009">
              <w:rPr>
                <w:sz w:val="20"/>
                <w:szCs w:val="20"/>
                <w:lang w:val="en-GB"/>
              </w:rPr>
              <w:fldChar w:fldCharType="begin" w:fldLock="1"/>
            </w:r>
            <w:r w:rsidRPr="00370009">
              <w:rPr>
                <w:sz w:val="20"/>
                <w:szCs w:val="20"/>
                <w:lang w:val="en-GB"/>
              </w:rPr>
              <w:instrText>ADDIN CSL_CITATION {"citationItems":[{"id":"ITEM-1","itemData":{"author":[{"dropping-particle":"","family":"Alsubaie","given":"Nawal","non-dropping-particle":"","parse-names":false,"suffix":""},{"dropping-particle":"","family":"Alsallal","given":"Mohannad","non-dropping-particle":"","parse-names":false,"suffix":""},{"dropping-particle":"","family":"Altwaijri","given":"Sulaiman","non-dropping-particle":"","parse-names":false,"suffix":""},{"dropping-particle":"","family":"Alotaibi","given":"Ahmed","non-dropping-particle":"","parse-names":false,"suffix":""},{"dropping-particle":"","family":"Alharbi","given":"Bandar","non-dropping-particle":"","parse-names":false,"suffix":""},{"dropping-particle":"","family":"Aleissa","given":"Mohammad","non-dropping-particle":"","parse-names":false,"suffix":""}],"id":"ITEM-1","issued":{"date-parts":[["2022"]]},"page":"887-892","title":"Impact of Clinical Pharmacist Diabetes Clinic on the Improvement of Health Outcomes in Type 2 Diabetes Subjects","type":"article-journal","volume":"10"},"uris":["http://www.mendeley.com/documents/?uuid=f4bab006-c942-4961-9501-a0ea0c0f1f08"]}],"mendeley":{"formattedCitation":"(Alsubaie &lt;i&gt;et al.&lt;/i&gt;, 2022)","plainTextFormattedCitation":"(Alsubaie et al., 2022)","previouslyFormattedCitation":"(Alsubaie &lt;i&gt;et al.&lt;/i&gt;, 2022)"},"properties":{"noteIndex":0},"schema":"https://github.com/citation-style-language/schema/raw/master/csl-citation.json"}</w:instrText>
            </w:r>
            <w:r w:rsidRPr="00370009">
              <w:rPr>
                <w:sz w:val="20"/>
                <w:szCs w:val="20"/>
                <w:lang w:val="en-GB"/>
              </w:rPr>
              <w:fldChar w:fldCharType="separate"/>
            </w:r>
            <w:r w:rsidRPr="00370009">
              <w:rPr>
                <w:noProof/>
                <w:sz w:val="20"/>
                <w:szCs w:val="20"/>
                <w:lang w:val="en-GB"/>
              </w:rPr>
              <w:t xml:space="preserve">(Alsubaie </w:t>
            </w:r>
            <w:r w:rsidRPr="00370009">
              <w:rPr>
                <w:i/>
                <w:noProof/>
                <w:sz w:val="20"/>
                <w:szCs w:val="20"/>
                <w:lang w:val="en-GB"/>
              </w:rPr>
              <w:t>et al.</w:t>
            </w:r>
            <w:r w:rsidRPr="00370009">
              <w:rPr>
                <w:noProof/>
                <w:sz w:val="20"/>
                <w:szCs w:val="20"/>
                <w:lang w:val="en-GB"/>
              </w:rPr>
              <w:t>, 2022)</w:t>
            </w:r>
            <w:r w:rsidRPr="00370009">
              <w:rPr>
                <w:sz w:val="20"/>
                <w:szCs w:val="20"/>
                <w:lang w:val="en-GB"/>
              </w:rPr>
              <w:fldChar w:fldCharType="end"/>
            </w:r>
          </w:p>
        </w:tc>
        <w:tc>
          <w:tcPr>
            <w:tcW w:w="1620" w:type="dxa"/>
            <w:tcBorders>
              <w:top w:val="nil"/>
              <w:left w:val="nil"/>
              <w:bottom w:val="single" w:sz="4" w:space="0" w:color="auto"/>
              <w:right w:val="single" w:sz="4" w:space="0" w:color="auto"/>
            </w:tcBorders>
            <w:shd w:val="clear" w:color="auto" w:fill="auto"/>
          </w:tcPr>
          <w:p w14:paraId="2CA2C0DC"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370009">
              <w:rPr>
                <w:sz w:val="20"/>
                <w:szCs w:val="20"/>
              </w:rPr>
              <w:t xml:space="preserve">Impact of Clinical Pharmacist Diabetes Clinic on the Improvement of Health Outcomes in </w:t>
            </w:r>
            <w:r>
              <w:rPr>
                <w:sz w:val="20"/>
                <w:szCs w:val="20"/>
              </w:rPr>
              <w:t>T2D</w:t>
            </w:r>
            <w:r w:rsidRPr="00370009">
              <w:rPr>
                <w:sz w:val="20"/>
                <w:szCs w:val="20"/>
              </w:rPr>
              <w:t xml:space="preserve"> Subjects</w:t>
            </w:r>
          </w:p>
        </w:tc>
        <w:tc>
          <w:tcPr>
            <w:tcW w:w="1530" w:type="dxa"/>
            <w:tcBorders>
              <w:top w:val="nil"/>
              <w:left w:val="nil"/>
              <w:bottom w:val="single" w:sz="4" w:space="0" w:color="auto"/>
              <w:right w:val="single" w:sz="4" w:space="0" w:color="auto"/>
            </w:tcBorders>
            <w:shd w:val="clear" w:color="auto" w:fill="auto"/>
          </w:tcPr>
          <w:p w14:paraId="7ACD89F7" w14:textId="77777777" w:rsidR="009D2B25" w:rsidRPr="00370009" w:rsidRDefault="009D2B25" w:rsidP="00282204">
            <w:pPr>
              <w:spacing w:after="0" w:line="240" w:lineRule="auto"/>
              <w:rPr>
                <w:sz w:val="20"/>
                <w:szCs w:val="20"/>
                <w:lang w:val="en-GB"/>
              </w:rPr>
            </w:pPr>
            <w:r w:rsidRPr="00370009">
              <w:rPr>
                <w:sz w:val="20"/>
                <w:szCs w:val="20"/>
                <w:lang w:val="en-GB"/>
              </w:rPr>
              <w:t>Alwazarat</w:t>
            </w:r>
          </w:p>
          <w:p w14:paraId="3A32C4F6" w14:textId="77777777" w:rsidR="009D2B25" w:rsidRDefault="009D2B25" w:rsidP="00282204">
            <w:pPr>
              <w:spacing w:after="0" w:line="240" w:lineRule="auto"/>
              <w:rPr>
                <w:sz w:val="20"/>
                <w:szCs w:val="20"/>
                <w:lang w:val="en-GB"/>
              </w:rPr>
            </w:pPr>
            <w:r w:rsidRPr="00370009">
              <w:rPr>
                <w:sz w:val="20"/>
                <w:szCs w:val="20"/>
                <w:lang w:val="en-GB"/>
              </w:rPr>
              <w:t xml:space="preserve">primary care centre in Riyadh, </w:t>
            </w:r>
            <w:r>
              <w:rPr>
                <w:sz w:val="20"/>
                <w:szCs w:val="20"/>
                <w:lang w:val="en-GB"/>
              </w:rPr>
              <w:t xml:space="preserve">SA. </w:t>
            </w:r>
          </w:p>
          <w:p w14:paraId="48BAF180" w14:textId="77777777" w:rsidR="009D2B25" w:rsidRPr="00BD58A2" w:rsidRDefault="009D2B25" w:rsidP="00282204">
            <w:pPr>
              <w:spacing w:after="0" w:line="240" w:lineRule="auto"/>
              <w:rPr>
                <w:rFonts w:ascii="Calibri" w:eastAsia="Times New Roman" w:hAnsi="Calibri" w:cs="Calibri"/>
                <w:color w:val="000000"/>
                <w:sz w:val="20"/>
                <w:szCs w:val="20"/>
                <w:lang w:val="en-GB"/>
              </w:rPr>
            </w:pPr>
          </w:p>
        </w:tc>
        <w:tc>
          <w:tcPr>
            <w:tcW w:w="1980" w:type="dxa"/>
            <w:tcBorders>
              <w:top w:val="nil"/>
              <w:left w:val="nil"/>
              <w:bottom w:val="single" w:sz="4" w:space="0" w:color="auto"/>
              <w:right w:val="single" w:sz="4" w:space="0" w:color="auto"/>
            </w:tcBorders>
            <w:shd w:val="clear" w:color="auto" w:fill="auto"/>
          </w:tcPr>
          <w:p w14:paraId="46CF9710"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0868B7">
              <w:rPr>
                <w:rFonts w:ascii="Calibri" w:eastAsia="Times New Roman" w:hAnsi="Calibri" w:cs="Calibri"/>
                <w:color w:val="000000"/>
                <w:sz w:val="20"/>
                <w:szCs w:val="20"/>
                <w:lang w:val="en-GB"/>
              </w:rPr>
              <w:t>419 patients included in the study</w:t>
            </w:r>
            <w:r>
              <w:rPr>
                <w:rFonts w:ascii="Calibri" w:eastAsia="Times New Roman" w:hAnsi="Calibri" w:cs="Calibri"/>
                <w:color w:val="000000"/>
                <w:sz w:val="20"/>
                <w:szCs w:val="20"/>
                <w:lang w:val="en-GB"/>
              </w:rPr>
              <w:t xml:space="preserve"> who referred by doctors </w:t>
            </w:r>
            <w:r w:rsidRPr="00FD0DDF">
              <w:rPr>
                <w:rFonts w:ascii="Calibri" w:eastAsia="Times New Roman" w:hAnsi="Calibri" w:cs="Calibri"/>
                <w:color w:val="000000"/>
                <w:sz w:val="20"/>
                <w:szCs w:val="20"/>
                <w:lang w:val="en-GB"/>
              </w:rPr>
              <w:t xml:space="preserve">to </w:t>
            </w:r>
            <w:r>
              <w:rPr>
                <w:rFonts w:ascii="Calibri" w:eastAsia="Times New Roman" w:hAnsi="Calibri" w:cs="Calibri"/>
                <w:color w:val="000000"/>
                <w:sz w:val="20"/>
                <w:szCs w:val="20"/>
                <w:lang w:val="en-GB"/>
              </w:rPr>
              <w:t>a</w:t>
            </w:r>
            <w:r w:rsidRPr="00FD0DDF">
              <w:rPr>
                <w:rFonts w:ascii="Calibri" w:eastAsia="Times New Roman" w:hAnsi="Calibri" w:cs="Calibri"/>
                <w:color w:val="000000"/>
                <w:sz w:val="20"/>
                <w:szCs w:val="20"/>
                <w:lang w:val="en-GB"/>
              </w:rPr>
              <w:t xml:space="preserve"> clinical pharmacist for additional care</w:t>
            </w:r>
          </w:p>
        </w:tc>
        <w:tc>
          <w:tcPr>
            <w:tcW w:w="1440" w:type="dxa"/>
            <w:tcBorders>
              <w:top w:val="nil"/>
              <w:left w:val="nil"/>
              <w:bottom w:val="single" w:sz="4" w:space="0" w:color="auto"/>
              <w:right w:val="single" w:sz="4" w:space="0" w:color="auto"/>
            </w:tcBorders>
            <w:shd w:val="clear" w:color="auto" w:fill="auto"/>
          </w:tcPr>
          <w:p w14:paraId="24E3194E" w14:textId="77777777" w:rsidR="009D2B25" w:rsidRDefault="009D2B25" w:rsidP="00282204">
            <w:pPr>
              <w:spacing w:after="0" w:line="240" w:lineRule="auto"/>
              <w:rPr>
                <w:sz w:val="20"/>
                <w:szCs w:val="20"/>
                <w:lang w:val="en-GB"/>
              </w:rPr>
            </w:pPr>
            <w:r w:rsidRPr="00370009">
              <w:rPr>
                <w:sz w:val="20"/>
                <w:szCs w:val="20"/>
                <w:lang w:val="en-GB"/>
              </w:rPr>
              <w:t>A retrospective study</w:t>
            </w:r>
            <w:r>
              <w:rPr>
                <w:sz w:val="20"/>
                <w:szCs w:val="20"/>
                <w:lang w:val="en-GB"/>
              </w:rPr>
              <w:t>.</w:t>
            </w:r>
          </w:p>
          <w:p w14:paraId="374E8CAB"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48005B">
              <w:rPr>
                <w:rFonts w:ascii="Calibri" w:eastAsia="Times New Roman" w:hAnsi="Calibri" w:cs="Calibri"/>
                <w:color w:val="000000"/>
                <w:sz w:val="20"/>
                <w:szCs w:val="20"/>
                <w:lang w:val="en-GB"/>
              </w:rPr>
              <w:t>Data collected between December 2020 and July 2021</w:t>
            </w:r>
            <w:r>
              <w:rPr>
                <w:rFonts w:ascii="Calibri" w:eastAsia="Times New Roman" w:hAnsi="Calibri" w:cs="Calibri"/>
                <w:color w:val="000000"/>
                <w:sz w:val="20"/>
                <w:szCs w:val="20"/>
                <w:lang w:val="en-GB"/>
              </w:rPr>
              <w:t xml:space="preserve"> (≈6 months)</w:t>
            </w:r>
          </w:p>
        </w:tc>
        <w:tc>
          <w:tcPr>
            <w:tcW w:w="3510" w:type="dxa"/>
            <w:tcBorders>
              <w:top w:val="nil"/>
              <w:left w:val="nil"/>
              <w:bottom w:val="single" w:sz="4" w:space="0" w:color="auto"/>
              <w:right w:val="single" w:sz="4" w:space="0" w:color="auto"/>
            </w:tcBorders>
            <w:shd w:val="clear" w:color="auto" w:fill="auto"/>
          </w:tcPr>
          <w:p w14:paraId="5B7752F6" w14:textId="77777777" w:rsidR="009D2B25" w:rsidRDefault="009D2B25" w:rsidP="00282204">
            <w:pPr>
              <w:spacing w:after="0" w:line="240" w:lineRule="auto"/>
              <w:rPr>
                <w:rFonts w:ascii="Calibri" w:eastAsia="Times New Roman" w:hAnsi="Calibri" w:cs="Calibri"/>
                <w:color w:val="000000"/>
                <w:sz w:val="20"/>
                <w:szCs w:val="20"/>
                <w:lang w:val="en-GB"/>
              </w:rPr>
            </w:pPr>
            <w:r w:rsidRPr="0097441A">
              <w:rPr>
                <w:rFonts w:ascii="Calibri" w:eastAsia="Times New Roman" w:hAnsi="Calibri" w:cs="Calibri"/>
                <w:color w:val="000000"/>
                <w:sz w:val="20"/>
                <w:szCs w:val="20"/>
                <w:lang w:val="en-GB"/>
              </w:rPr>
              <w:t>The clinical pharmacist</w:t>
            </w:r>
            <w:r>
              <w:rPr>
                <w:rFonts w:ascii="Calibri" w:eastAsia="Times New Roman" w:hAnsi="Calibri" w:cs="Calibri"/>
                <w:color w:val="000000"/>
                <w:sz w:val="20"/>
                <w:szCs w:val="20"/>
                <w:lang w:val="en-GB"/>
              </w:rPr>
              <w:t xml:space="preserve"> is a part of </w:t>
            </w:r>
            <w:r w:rsidRPr="006A1250">
              <w:rPr>
                <w:rFonts w:ascii="Calibri" w:eastAsia="Times New Roman" w:hAnsi="Calibri" w:cs="Calibri"/>
                <w:color w:val="000000"/>
                <w:sz w:val="20"/>
                <w:szCs w:val="20"/>
                <w:lang w:val="en-GB"/>
              </w:rPr>
              <w:t xml:space="preserve">the </w:t>
            </w:r>
            <w:r>
              <w:rPr>
                <w:rFonts w:ascii="Calibri" w:eastAsia="Times New Roman" w:hAnsi="Calibri" w:cs="Calibri"/>
                <w:color w:val="000000"/>
                <w:sz w:val="20"/>
                <w:szCs w:val="20"/>
                <w:lang w:val="en-GB"/>
              </w:rPr>
              <w:t xml:space="preserve">MDT who responsible on </w:t>
            </w:r>
            <w:r w:rsidRPr="00067B06">
              <w:rPr>
                <w:rFonts w:ascii="Calibri" w:eastAsia="Times New Roman" w:hAnsi="Calibri" w:cs="Calibri"/>
                <w:color w:val="000000"/>
                <w:sz w:val="20"/>
                <w:szCs w:val="20"/>
                <w:lang w:val="en-GB"/>
              </w:rPr>
              <w:t xml:space="preserve">monitoring patients’ improvement after the referral to the </w:t>
            </w:r>
            <w:r>
              <w:rPr>
                <w:rFonts w:ascii="Calibri" w:eastAsia="Times New Roman" w:hAnsi="Calibri" w:cs="Calibri"/>
                <w:color w:val="000000"/>
                <w:sz w:val="20"/>
                <w:szCs w:val="20"/>
                <w:lang w:val="en-GB"/>
              </w:rPr>
              <w:t xml:space="preserve">pharmacist diabetes </w:t>
            </w:r>
            <w:r w:rsidRPr="00067B06">
              <w:rPr>
                <w:rFonts w:ascii="Calibri" w:eastAsia="Times New Roman" w:hAnsi="Calibri" w:cs="Calibri"/>
                <w:color w:val="000000"/>
                <w:sz w:val="20"/>
                <w:szCs w:val="20"/>
                <w:lang w:val="en-GB"/>
              </w:rPr>
              <w:t>clinic</w:t>
            </w:r>
            <w:r>
              <w:rPr>
                <w:rFonts w:ascii="Calibri" w:eastAsia="Times New Roman" w:hAnsi="Calibri" w:cs="Calibri"/>
                <w:color w:val="000000"/>
                <w:sz w:val="20"/>
                <w:szCs w:val="20"/>
                <w:lang w:val="en-GB"/>
              </w:rPr>
              <w:t>.</w:t>
            </w:r>
          </w:p>
          <w:p w14:paraId="0BB69537"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 xml:space="preserve">Pharmacist roles are: </w:t>
            </w:r>
          </w:p>
          <w:p w14:paraId="76871D65"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97441A">
              <w:rPr>
                <w:rFonts w:ascii="Calibri" w:eastAsia="Times New Roman" w:hAnsi="Calibri" w:cs="Calibri"/>
                <w:color w:val="000000"/>
                <w:sz w:val="20"/>
                <w:szCs w:val="20"/>
                <w:lang w:val="en-GB"/>
              </w:rPr>
              <w:t xml:space="preserve"> review</w:t>
            </w:r>
            <w:r>
              <w:rPr>
                <w:rFonts w:ascii="Calibri" w:eastAsia="Times New Roman" w:hAnsi="Calibri" w:cs="Calibri"/>
                <w:color w:val="000000"/>
                <w:sz w:val="20"/>
                <w:szCs w:val="20"/>
                <w:lang w:val="en-GB"/>
              </w:rPr>
              <w:t>s</w:t>
            </w:r>
            <w:r w:rsidRPr="0097441A">
              <w:rPr>
                <w:rFonts w:ascii="Calibri" w:eastAsia="Times New Roman" w:hAnsi="Calibri" w:cs="Calibri"/>
                <w:color w:val="000000"/>
                <w:sz w:val="20"/>
                <w:szCs w:val="20"/>
                <w:lang w:val="en-GB"/>
              </w:rPr>
              <w:t xml:space="preserve"> medication</w:t>
            </w:r>
            <w:r>
              <w:rPr>
                <w:rFonts w:ascii="Calibri" w:eastAsia="Times New Roman" w:hAnsi="Calibri" w:cs="Calibri"/>
                <w:color w:val="000000"/>
                <w:sz w:val="20"/>
                <w:szCs w:val="20"/>
                <w:lang w:val="en-GB"/>
              </w:rPr>
              <w:t>s</w:t>
            </w:r>
            <w:r w:rsidRPr="0097441A">
              <w:rPr>
                <w:rFonts w:ascii="Calibri" w:eastAsia="Times New Roman" w:hAnsi="Calibri" w:cs="Calibri"/>
                <w:color w:val="000000"/>
                <w:sz w:val="20"/>
                <w:szCs w:val="20"/>
                <w:lang w:val="en-GB"/>
              </w:rPr>
              <w:t xml:space="preserve"> </w:t>
            </w:r>
            <w:r>
              <w:rPr>
                <w:rFonts w:ascii="Calibri" w:eastAsia="Times New Roman" w:hAnsi="Calibri" w:cs="Calibri"/>
                <w:color w:val="000000"/>
                <w:sz w:val="20"/>
                <w:szCs w:val="20"/>
                <w:lang w:val="en-GB"/>
              </w:rPr>
              <w:t xml:space="preserve">and </w:t>
            </w:r>
            <w:r w:rsidRPr="0097441A">
              <w:rPr>
                <w:rFonts w:ascii="Calibri" w:eastAsia="Times New Roman" w:hAnsi="Calibri" w:cs="Calibri"/>
                <w:color w:val="000000"/>
                <w:sz w:val="20"/>
                <w:szCs w:val="20"/>
                <w:lang w:val="en-GB"/>
              </w:rPr>
              <w:t>adjust</w:t>
            </w:r>
            <w:r>
              <w:rPr>
                <w:rFonts w:ascii="Calibri" w:eastAsia="Times New Roman" w:hAnsi="Calibri" w:cs="Calibri"/>
                <w:color w:val="000000"/>
                <w:sz w:val="20"/>
                <w:szCs w:val="20"/>
                <w:lang w:val="en-GB"/>
              </w:rPr>
              <w:t>s</w:t>
            </w:r>
            <w:r w:rsidRPr="0097441A">
              <w:rPr>
                <w:rFonts w:ascii="Calibri" w:eastAsia="Times New Roman" w:hAnsi="Calibri" w:cs="Calibri"/>
                <w:color w:val="000000"/>
                <w:sz w:val="20"/>
                <w:szCs w:val="20"/>
                <w:lang w:val="en-GB"/>
              </w:rPr>
              <w:t xml:space="preserve"> </w:t>
            </w:r>
            <w:r>
              <w:rPr>
                <w:rFonts w:ascii="Calibri" w:eastAsia="Times New Roman" w:hAnsi="Calibri" w:cs="Calibri"/>
                <w:color w:val="000000"/>
                <w:sz w:val="20"/>
                <w:szCs w:val="20"/>
                <w:lang w:val="en-GB"/>
              </w:rPr>
              <w:t>medications</w:t>
            </w:r>
            <w:r w:rsidRPr="0097441A">
              <w:rPr>
                <w:rFonts w:ascii="Calibri" w:eastAsia="Times New Roman" w:hAnsi="Calibri" w:cs="Calibri"/>
                <w:color w:val="000000"/>
                <w:sz w:val="20"/>
                <w:szCs w:val="20"/>
                <w:lang w:val="en-GB"/>
              </w:rPr>
              <w:t xml:space="preserve"> regimens as needed after taking the </w:t>
            </w:r>
            <w:r>
              <w:rPr>
                <w:rFonts w:ascii="Calibri" w:eastAsia="Times New Roman" w:hAnsi="Calibri" w:cs="Calibri"/>
                <w:color w:val="000000"/>
                <w:sz w:val="20"/>
                <w:szCs w:val="20"/>
                <w:lang w:val="en-GB"/>
              </w:rPr>
              <w:t>treating</w:t>
            </w:r>
            <w:r w:rsidRPr="0097441A">
              <w:rPr>
                <w:rFonts w:ascii="Calibri" w:eastAsia="Times New Roman" w:hAnsi="Calibri" w:cs="Calibri"/>
                <w:color w:val="000000"/>
                <w:sz w:val="20"/>
                <w:szCs w:val="20"/>
                <w:lang w:val="en-GB"/>
              </w:rPr>
              <w:t xml:space="preserve"> </w:t>
            </w:r>
            <w:r>
              <w:rPr>
                <w:rFonts w:ascii="Calibri" w:eastAsia="Times New Roman" w:hAnsi="Calibri" w:cs="Calibri"/>
                <w:color w:val="000000"/>
                <w:sz w:val="20"/>
                <w:szCs w:val="20"/>
                <w:lang w:val="en-GB"/>
              </w:rPr>
              <w:t>doctor</w:t>
            </w:r>
            <w:r w:rsidRPr="0097441A">
              <w:rPr>
                <w:rFonts w:ascii="Calibri" w:eastAsia="Times New Roman" w:hAnsi="Calibri" w:cs="Calibri"/>
                <w:color w:val="000000"/>
                <w:sz w:val="20"/>
                <w:szCs w:val="20"/>
                <w:lang w:val="en-GB"/>
              </w:rPr>
              <w:t xml:space="preserve"> agreement.</w:t>
            </w:r>
          </w:p>
          <w:p w14:paraId="387F914C"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97441A">
              <w:rPr>
                <w:rFonts w:ascii="Calibri" w:eastAsia="Times New Roman" w:hAnsi="Calibri" w:cs="Calibri"/>
                <w:color w:val="000000"/>
                <w:sz w:val="20"/>
                <w:szCs w:val="20"/>
                <w:lang w:val="en-GB"/>
              </w:rPr>
              <w:t>educate</w:t>
            </w:r>
            <w:r>
              <w:rPr>
                <w:rFonts w:ascii="Calibri" w:eastAsia="Times New Roman" w:hAnsi="Calibri" w:cs="Calibri"/>
                <w:color w:val="000000"/>
                <w:sz w:val="20"/>
                <w:szCs w:val="20"/>
                <w:lang w:val="en-GB"/>
              </w:rPr>
              <w:t>s</w:t>
            </w:r>
            <w:r w:rsidRPr="0097441A">
              <w:rPr>
                <w:rFonts w:ascii="Calibri" w:eastAsia="Times New Roman" w:hAnsi="Calibri" w:cs="Calibri"/>
                <w:color w:val="000000"/>
                <w:sz w:val="20"/>
                <w:szCs w:val="20"/>
                <w:lang w:val="en-GB"/>
              </w:rPr>
              <w:t xml:space="preserve"> patients</w:t>
            </w:r>
          </w:p>
          <w:p w14:paraId="10F5CFC7"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97441A">
              <w:rPr>
                <w:rFonts w:ascii="Calibri" w:eastAsia="Times New Roman" w:hAnsi="Calibri" w:cs="Calibri"/>
                <w:color w:val="000000"/>
                <w:sz w:val="20"/>
                <w:szCs w:val="20"/>
                <w:lang w:val="en-GB"/>
              </w:rPr>
              <w:t xml:space="preserve"> set</w:t>
            </w:r>
            <w:r>
              <w:rPr>
                <w:rFonts w:ascii="Calibri" w:eastAsia="Times New Roman" w:hAnsi="Calibri" w:cs="Calibri"/>
                <w:color w:val="000000"/>
                <w:sz w:val="20"/>
                <w:szCs w:val="20"/>
                <w:lang w:val="en-GB"/>
              </w:rPr>
              <w:t>s</w:t>
            </w:r>
            <w:r w:rsidRPr="0097441A">
              <w:rPr>
                <w:rFonts w:ascii="Calibri" w:eastAsia="Times New Roman" w:hAnsi="Calibri" w:cs="Calibri"/>
                <w:color w:val="000000"/>
                <w:sz w:val="20"/>
                <w:szCs w:val="20"/>
                <w:lang w:val="en-GB"/>
              </w:rPr>
              <w:t xml:space="preserve"> goals with clear outcomes and timeline</w:t>
            </w:r>
          </w:p>
          <w:p w14:paraId="4130BD7D"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97441A">
              <w:rPr>
                <w:rFonts w:ascii="Calibri" w:eastAsia="Times New Roman" w:hAnsi="Calibri" w:cs="Calibri"/>
                <w:color w:val="000000"/>
                <w:sz w:val="20"/>
                <w:szCs w:val="20"/>
                <w:lang w:val="en-GB"/>
              </w:rPr>
              <w:t xml:space="preserve"> orders laboratory tests </w:t>
            </w:r>
          </w:p>
          <w:p w14:paraId="05E24718"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97441A">
              <w:rPr>
                <w:rFonts w:ascii="Calibri" w:eastAsia="Times New Roman" w:hAnsi="Calibri" w:cs="Calibri"/>
                <w:color w:val="000000"/>
                <w:sz w:val="20"/>
                <w:szCs w:val="20"/>
                <w:lang w:val="en-GB"/>
              </w:rPr>
              <w:t>provide</w:t>
            </w:r>
            <w:r>
              <w:rPr>
                <w:rFonts w:ascii="Calibri" w:eastAsia="Times New Roman" w:hAnsi="Calibri" w:cs="Calibri"/>
                <w:color w:val="000000"/>
                <w:sz w:val="20"/>
                <w:szCs w:val="20"/>
                <w:lang w:val="en-GB"/>
              </w:rPr>
              <w:t>s</w:t>
            </w:r>
            <w:r w:rsidRPr="0097441A">
              <w:rPr>
                <w:rFonts w:ascii="Calibri" w:eastAsia="Times New Roman" w:hAnsi="Calibri" w:cs="Calibri"/>
                <w:color w:val="000000"/>
                <w:sz w:val="20"/>
                <w:szCs w:val="20"/>
                <w:lang w:val="en-GB"/>
              </w:rPr>
              <w:t xml:space="preserve"> a glucometer if patients do not have one. </w:t>
            </w:r>
          </w:p>
        </w:tc>
        <w:tc>
          <w:tcPr>
            <w:tcW w:w="3407" w:type="dxa"/>
            <w:tcBorders>
              <w:top w:val="nil"/>
              <w:left w:val="nil"/>
              <w:bottom w:val="single" w:sz="4" w:space="0" w:color="auto"/>
              <w:right w:val="single" w:sz="4" w:space="0" w:color="auto"/>
            </w:tcBorders>
            <w:shd w:val="clear" w:color="auto" w:fill="auto"/>
          </w:tcPr>
          <w:p w14:paraId="54CE1FA9"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62B2">
              <w:rPr>
                <w:rFonts w:ascii="Calibri" w:eastAsia="Times New Roman" w:hAnsi="Calibri" w:cstheme="minorHAnsi"/>
                <w:color w:val="000000"/>
                <w:sz w:val="20"/>
                <w:szCs w:val="20"/>
                <w:lang w:val="en-GB"/>
              </w:rPr>
              <w:t>HbA1C</w:t>
            </w:r>
            <w:r>
              <w:rPr>
                <w:rFonts w:ascii="Calibri" w:eastAsia="Times New Roman" w:hAnsi="Calibri" w:cstheme="minorHAnsi"/>
                <w:color w:val="000000"/>
                <w:sz w:val="20"/>
                <w:szCs w:val="20"/>
                <w:lang w:val="en-GB"/>
              </w:rPr>
              <w:t xml:space="preserve">, </w:t>
            </w:r>
            <w:r w:rsidRPr="00FE5631">
              <w:rPr>
                <w:rFonts w:ascii="Calibri" w:eastAsia="Times New Roman" w:hAnsi="Calibri" w:cstheme="minorHAnsi"/>
                <w:color w:val="000000"/>
                <w:sz w:val="20"/>
                <w:szCs w:val="20"/>
                <w:lang w:val="en-GB"/>
              </w:rPr>
              <w:t>LDL</w:t>
            </w:r>
            <w:r>
              <w:rPr>
                <w:rFonts w:ascii="Calibri" w:eastAsia="Times New Roman" w:hAnsi="Calibri" w:cstheme="minorHAnsi"/>
                <w:color w:val="000000"/>
                <w:sz w:val="20"/>
                <w:szCs w:val="20"/>
                <w:lang w:val="en-GB"/>
              </w:rPr>
              <w:t xml:space="preserve">, and SBP were </w:t>
            </w:r>
            <w:r w:rsidRPr="006B4088">
              <w:rPr>
                <w:rFonts w:ascii="Calibri" w:eastAsia="Times New Roman" w:hAnsi="Calibri" w:cstheme="minorHAnsi"/>
                <w:color w:val="000000"/>
                <w:sz w:val="20"/>
                <w:szCs w:val="20"/>
                <w:lang w:val="en-GB"/>
              </w:rPr>
              <w:t xml:space="preserve">statistically significant </w:t>
            </w:r>
            <w:r>
              <w:rPr>
                <w:rFonts w:ascii="Calibri" w:eastAsia="Times New Roman" w:hAnsi="Calibri" w:cstheme="minorHAnsi"/>
                <w:color w:val="000000"/>
                <w:sz w:val="20"/>
                <w:szCs w:val="20"/>
                <w:lang w:val="en-GB"/>
              </w:rPr>
              <w:t>improved</w:t>
            </w:r>
            <w:r w:rsidRPr="006B4088">
              <w:rPr>
                <w:rFonts w:ascii="Calibri" w:eastAsia="Times New Roman" w:hAnsi="Calibri" w:cstheme="minorHAnsi"/>
                <w:color w:val="000000"/>
                <w:sz w:val="20"/>
                <w:szCs w:val="20"/>
                <w:lang w:val="en-GB"/>
              </w:rPr>
              <w:t xml:space="preserve"> by reduction </w:t>
            </w:r>
            <w:r>
              <w:rPr>
                <w:rFonts w:ascii="Calibri" w:eastAsia="Times New Roman" w:hAnsi="Calibri" w:cstheme="minorHAnsi"/>
                <w:color w:val="000000"/>
                <w:sz w:val="20"/>
                <w:szCs w:val="20"/>
                <w:lang w:val="en-GB"/>
              </w:rPr>
              <w:t xml:space="preserve">after 3 and 6 months of pharmacists flow up compared to base line. </w:t>
            </w:r>
          </w:p>
          <w:p w14:paraId="02A17C3A"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08276AC8"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 xml:space="preserve">Wight, BMI, and TG were also </w:t>
            </w:r>
            <w:r w:rsidRPr="006B4088">
              <w:rPr>
                <w:rFonts w:ascii="Calibri" w:eastAsia="Times New Roman" w:hAnsi="Calibri" w:cstheme="minorHAnsi"/>
                <w:color w:val="000000"/>
                <w:sz w:val="20"/>
                <w:szCs w:val="20"/>
                <w:lang w:val="en-GB"/>
              </w:rPr>
              <w:t xml:space="preserve">statistically </w:t>
            </w:r>
            <w:r>
              <w:rPr>
                <w:rFonts w:ascii="Calibri" w:eastAsia="Times New Roman" w:hAnsi="Calibri" w:cstheme="minorHAnsi"/>
                <w:color w:val="000000"/>
                <w:sz w:val="20"/>
                <w:szCs w:val="20"/>
                <w:lang w:val="en-GB"/>
              </w:rPr>
              <w:t xml:space="preserve">significant improved after 3 months of pharmacists follow up. </w:t>
            </w:r>
          </w:p>
          <w:p w14:paraId="6B38267D"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64298435"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 xml:space="preserve">No change in DBP was shown. </w:t>
            </w:r>
          </w:p>
        </w:tc>
      </w:tr>
      <w:tr w:rsidR="009D2B25" w:rsidRPr="00CE056C" w14:paraId="202C9352" w14:textId="77777777" w:rsidTr="00282204">
        <w:trPr>
          <w:trHeight w:val="917"/>
        </w:trPr>
        <w:tc>
          <w:tcPr>
            <w:tcW w:w="540" w:type="dxa"/>
            <w:tcBorders>
              <w:top w:val="nil"/>
              <w:left w:val="single" w:sz="4" w:space="0" w:color="auto"/>
              <w:bottom w:val="single" w:sz="4" w:space="0" w:color="auto"/>
              <w:right w:val="single" w:sz="4" w:space="0" w:color="auto"/>
            </w:tcBorders>
            <w:shd w:val="clear" w:color="auto" w:fill="auto"/>
          </w:tcPr>
          <w:p w14:paraId="5098B8B3"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8</w:t>
            </w:r>
          </w:p>
        </w:tc>
        <w:tc>
          <w:tcPr>
            <w:tcW w:w="990" w:type="dxa"/>
            <w:tcBorders>
              <w:top w:val="nil"/>
              <w:left w:val="nil"/>
              <w:bottom w:val="single" w:sz="4" w:space="0" w:color="auto"/>
              <w:right w:val="single" w:sz="4" w:space="0" w:color="auto"/>
            </w:tcBorders>
            <w:shd w:val="clear" w:color="auto" w:fill="auto"/>
          </w:tcPr>
          <w:p w14:paraId="0DF27D3A"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370009">
              <w:rPr>
                <w:sz w:val="20"/>
                <w:szCs w:val="20"/>
                <w:lang w:val="en-GB"/>
              </w:rPr>
              <w:fldChar w:fldCharType="begin" w:fldLock="1"/>
            </w:r>
            <w:r w:rsidRPr="00370009">
              <w:rPr>
                <w:sz w:val="20"/>
                <w:szCs w:val="20"/>
                <w:lang w:val="en-GB"/>
              </w:rPr>
              <w:instrText>ADDIN CSL_CITATION {"citationItems":[{"id":"ITEM-1","itemData":{"author":[{"dropping-particle":"","family":"Alghadeer","given":"Sultan M","non-dropping-particle":"","parse-names":false,"suffix":""},{"dropping-particle":"","family":"Alsuwayni","given":"Bashayr","non-dropping-particle":"","parse-names":false,"suffix":""},{"dropping-particle":"","family":"Almuwayjid","given":"Abdulmohsen K","non-dropping-particle":"","parse-names":false,"suffix":""},{"dropping-particle":"","family":"Almadi","given":"Mohammed S","non-dropping-particle":"","parse-names":false,"suffix":""},{"dropping-particle":"","family":"Mubarak","given":"Abdullah M","non-dropping-particle":"","parse-names":false,"suffix":""},{"dropping-particle":"","family":"Khunayn","given":"Rawan M","non-dropping-particle":"","parse-names":false,"suffix":""},{"dropping-particle":"","family":"Al-arifi","given":"Mohamed N","non-dropping-particle":"","parse-names":false,"suffix":""}],"id":"ITEM-1","issued":{"date-parts":[["2022"]]},"page":"1-9","title":"Glycemic Control and Management in Pharmacist-Led Diabetic Clinic vs . Physician-Led Diabetic Clinic","type":"article-journal"},"uris":["http://www.mendeley.com/documents/?uuid=0aae8201-f410-4f68-ae0c-7d27a405e309"]}],"mendeley":{"formattedCitation":"(Alghadeer &lt;i&gt;et al.&lt;/i&gt;, 2022)","plainTextFormattedCitation":"(Alghadeer et al., 2022)","previouslyFormattedCitation":"(Alghadeer &lt;i&gt;et al.&lt;/i&gt;, 2022)"},"properties":{"noteIndex":0},"schema":"https://github.com/citation-style-language/schema/raw/master/csl-citation.json"}</w:instrText>
            </w:r>
            <w:r w:rsidRPr="00370009">
              <w:rPr>
                <w:sz w:val="20"/>
                <w:szCs w:val="20"/>
                <w:lang w:val="en-GB"/>
              </w:rPr>
              <w:fldChar w:fldCharType="separate"/>
            </w:r>
            <w:r w:rsidRPr="00370009">
              <w:rPr>
                <w:noProof/>
                <w:sz w:val="20"/>
                <w:szCs w:val="20"/>
                <w:lang w:val="en-GB"/>
              </w:rPr>
              <w:t xml:space="preserve">(Alghadeer </w:t>
            </w:r>
            <w:r w:rsidRPr="00370009">
              <w:rPr>
                <w:i/>
                <w:noProof/>
                <w:sz w:val="20"/>
                <w:szCs w:val="20"/>
                <w:lang w:val="en-GB"/>
              </w:rPr>
              <w:t>et al.</w:t>
            </w:r>
            <w:r w:rsidRPr="00370009">
              <w:rPr>
                <w:noProof/>
                <w:sz w:val="20"/>
                <w:szCs w:val="20"/>
                <w:lang w:val="en-GB"/>
              </w:rPr>
              <w:t>, 2022)</w:t>
            </w:r>
            <w:r w:rsidRPr="00370009">
              <w:rPr>
                <w:sz w:val="20"/>
                <w:szCs w:val="20"/>
                <w:lang w:val="en-GB"/>
              </w:rPr>
              <w:fldChar w:fldCharType="end"/>
            </w:r>
          </w:p>
        </w:tc>
        <w:tc>
          <w:tcPr>
            <w:tcW w:w="1620" w:type="dxa"/>
            <w:tcBorders>
              <w:top w:val="nil"/>
              <w:left w:val="nil"/>
              <w:bottom w:val="single" w:sz="4" w:space="0" w:color="auto"/>
              <w:right w:val="single" w:sz="4" w:space="0" w:color="auto"/>
            </w:tcBorders>
            <w:shd w:val="clear" w:color="auto" w:fill="auto"/>
          </w:tcPr>
          <w:p w14:paraId="2ABAD783" w14:textId="77777777" w:rsidR="009D2B25" w:rsidRDefault="009D2B25" w:rsidP="00282204">
            <w:pPr>
              <w:spacing w:after="0" w:line="240" w:lineRule="auto"/>
              <w:rPr>
                <w:sz w:val="20"/>
                <w:szCs w:val="20"/>
              </w:rPr>
            </w:pPr>
            <w:r w:rsidRPr="00370009">
              <w:rPr>
                <w:sz w:val="20"/>
                <w:szCs w:val="20"/>
              </w:rPr>
              <w:t>Glycemic Control and Management in Pharmacist-Led Diabetic Clinic vs. Physician-Led Diabetic Clinic</w:t>
            </w:r>
          </w:p>
          <w:p w14:paraId="5CEA9454" w14:textId="77777777" w:rsidR="009D2B25" w:rsidRPr="00E26461" w:rsidRDefault="009D2B25" w:rsidP="00282204">
            <w:pPr>
              <w:spacing w:after="0" w:line="240" w:lineRule="auto"/>
              <w:rPr>
                <w:rFonts w:ascii="Calibri" w:eastAsia="Times New Roman" w:hAnsi="Calibri" w:cs="Calibri"/>
                <w:color w:val="000000"/>
                <w:sz w:val="20"/>
                <w:szCs w:val="20"/>
              </w:rPr>
            </w:pPr>
          </w:p>
        </w:tc>
        <w:tc>
          <w:tcPr>
            <w:tcW w:w="1530" w:type="dxa"/>
            <w:tcBorders>
              <w:top w:val="nil"/>
              <w:left w:val="nil"/>
              <w:bottom w:val="single" w:sz="4" w:space="0" w:color="auto"/>
              <w:right w:val="single" w:sz="4" w:space="0" w:color="auto"/>
            </w:tcBorders>
            <w:shd w:val="clear" w:color="auto" w:fill="auto"/>
          </w:tcPr>
          <w:p w14:paraId="2E494F41" w14:textId="77777777" w:rsidR="009D2B25" w:rsidRPr="00055142" w:rsidRDefault="009D2B25" w:rsidP="00282204">
            <w:pPr>
              <w:spacing w:after="0" w:line="240" w:lineRule="auto"/>
              <w:rPr>
                <w:sz w:val="20"/>
                <w:szCs w:val="20"/>
                <w:lang w:val="en-GB"/>
              </w:rPr>
            </w:pPr>
            <w:r w:rsidRPr="00370009">
              <w:rPr>
                <w:sz w:val="20"/>
                <w:szCs w:val="20"/>
                <w:lang w:val="en-GB"/>
              </w:rPr>
              <w:t xml:space="preserve">Diabetes clinic at </w:t>
            </w:r>
            <w:r w:rsidRPr="00055142">
              <w:rPr>
                <w:sz w:val="20"/>
                <w:szCs w:val="20"/>
                <w:lang w:val="en-GB"/>
              </w:rPr>
              <w:t>King</w:t>
            </w:r>
          </w:p>
          <w:p w14:paraId="4D724A4D"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055142">
              <w:rPr>
                <w:sz w:val="20"/>
                <w:szCs w:val="20"/>
                <w:lang w:val="en-GB"/>
              </w:rPr>
              <w:t>Khaled University Hospital</w:t>
            </w:r>
            <w:r>
              <w:rPr>
                <w:sz w:val="20"/>
                <w:szCs w:val="20"/>
                <w:lang w:val="en-GB"/>
              </w:rPr>
              <w:t xml:space="preserve"> (</w:t>
            </w:r>
            <w:r w:rsidRPr="00371DA9">
              <w:rPr>
                <w:sz w:val="20"/>
                <w:szCs w:val="20"/>
                <w:lang w:val="en-GB"/>
              </w:rPr>
              <w:t>one of the three hospitals in</w:t>
            </w:r>
            <w:r w:rsidRPr="00055142">
              <w:rPr>
                <w:sz w:val="20"/>
                <w:szCs w:val="20"/>
                <w:lang w:val="en-GB"/>
              </w:rPr>
              <w:t xml:space="preserve"> </w:t>
            </w:r>
            <w:r w:rsidRPr="00370009">
              <w:rPr>
                <w:sz w:val="20"/>
                <w:szCs w:val="20"/>
                <w:lang w:val="en-GB"/>
              </w:rPr>
              <w:t>King Saud University Medical City</w:t>
            </w:r>
            <w:r>
              <w:rPr>
                <w:sz w:val="20"/>
                <w:szCs w:val="20"/>
                <w:lang w:val="en-GB"/>
              </w:rPr>
              <w:t xml:space="preserve">) </w:t>
            </w:r>
            <w:r w:rsidRPr="00370009">
              <w:rPr>
                <w:sz w:val="20"/>
                <w:szCs w:val="20"/>
                <w:lang w:val="en-GB"/>
              </w:rPr>
              <w:t xml:space="preserve">Riyadh, </w:t>
            </w:r>
            <w:r>
              <w:rPr>
                <w:sz w:val="20"/>
                <w:szCs w:val="20"/>
                <w:lang w:val="en-GB"/>
              </w:rPr>
              <w:t>SA.</w:t>
            </w:r>
          </w:p>
        </w:tc>
        <w:tc>
          <w:tcPr>
            <w:tcW w:w="1980" w:type="dxa"/>
            <w:tcBorders>
              <w:top w:val="nil"/>
              <w:left w:val="nil"/>
              <w:bottom w:val="single" w:sz="4" w:space="0" w:color="auto"/>
              <w:right w:val="single" w:sz="4" w:space="0" w:color="auto"/>
            </w:tcBorders>
            <w:shd w:val="clear" w:color="auto" w:fill="auto"/>
          </w:tcPr>
          <w:p w14:paraId="34995612"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5A5747">
              <w:rPr>
                <w:rFonts w:ascii="Calibri" w:eastAsia="Times New Roman" w:hAnsi="Calibri" w:cs="Calibri"/>
                <w:color w:val="000000"/>
                <w:sz w:val="20"/>
                <w:szCs w:val="20"/>
                <w:lang w:val="en-GB"/>
              </w:rPr>
              <w:t xml:space="preserve">52 patients </w:t>
            </w:r>
            <w:r>
              <w:rPr>
                <w:rFonts w:ascii="Calibri" w:eastAsia="Times New Roman" w:hAnsi="Calibri" w:cs="Calibri"/>
                <w:color w:val="000000"/>
                <w:sz w:val="20"/>
                <w:szCs w:val="20"/>
                <w:lang w:val="en-GB"/>
              </w:rPr>
              <w:t>(</w:t>
            </w:r>
            <w:r w:rsidRPr="005A5747">
              <w:rPr>
                <w:rFonts w:ascii="Calibri" w:eastAsia="Times New Roman" w:hAnsi="Calibri" w:cs="Calibri"/>
                <w:color w:val="000000"/>
                <w:sz w:val="20"/>
                <w:szCs w:val="20"/>
                <w:lang w:val="en-GB"/>
              </w:rPr>
              <w:t>24 patients followed by pharmacist-led diabetic clinics,</w:t>
            </w:r>
            <w:r>
              <w:rPr>
                <w:rFonts w:ascii="Calibri" w:eastAsia="Times New Roman" w:hAnsi="Calibri" w:cs="Calibri"/>
                <w:color w:val="000000"/>
                <w:sz w:val="20"/>
                <w:szCs w:val="20"/>
                <w:lang w:val="en-GB"/>
              </w:rPr>
              <w:t xml:space="preserve"> </w:t>
            </w:r>
            <w:r w:rsidRPr="005A5747">
              <w:rPr>
                <w:rFonts w:ascii="Calibri" w:eastAsia="Times New Roman" w:hAnsi="Calibri" w:cs="Calibri"/>
                <w:color w:val="000000"/>
                <w:sz w:val="20"/>
                <w:szCs w:val="20"/>
                <w:lang w:val="en-GB"/>
              </w:rPr>
              <w:t>28 followed by physician- led diabetic clinics.</w:t>
            </w:r>
          </w:p>
        </w:tc>
        <w:tc>
          <w:tcPr>
            <w:tcW w:w="1440" w:type="dxa"/>
            <w:tcBorders>
              <w:top w:val="nil"/>
              <w:left w:val="nil"/>
              <w:bottom w:val="single" w:sz="4" w:space="0" w:color="auto"/>
              <w:right w:val="single" w:sz="4" w:space="0" w:color="auto"/>
            </w:tcBorders>
            <w:shd w:val="clear" w:color="auto" w:fill="auto"/>
          </w:tcPr>
          <w:p w14:paraId="7987D22B"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370009">
              <w:rPr>
                <w:sz w:val="20"/>
                <w:szCs w:val="20"/>
                <w:lang w:val="en-GB"/>
              </w:rPr>
              <w:t>A retrospective chart review study</w:t>
            </w:r>
            <w:r>
              <w:rPr>
                <w:sz w:val="20"/>
                <w:szCs w:val="20"/>
                <w:lang w:val="en-GB"/>
              </w:rPr>
              <w:t xml:space="preserve"> </w:t>
            </w:r>
            <w:r w:rsidRPr="006014EB">
              <w:rPr>
                <w:sz w:val="20"/>
                <w:szCs w:val="20"/>
                <w:lang w:val="en-GB"/>
              </w:rPr>
              <w:t>with 12-month follow-up</w:t>
            </w:r>
          </w:p>
        </w:tc>
        <w:tc>
          <w:tcPr>
            <w:tcW w:w="3510" w:type="dxa"/>
            <w:tcBorders>
              <w:top w:val="nil"/>
              <w:left w:val="nil"/>
              <w:bottom w:val="single" w:sz="4" w:space="0" w:color="auto"/>
              <w:right w:val="single" w:sz="4" w:space="0" w:color="auto"/>
            </w:tcBorders>
            <w:shd w:val="clear" w:color="auto" w:fill="auto"/>
          </w:tcPr>
          <w:p w14:paraId="6A96AF75"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Pharmacist a</w:t>
            </w:r>
            <w:r w:rsidRPr="003A08F9">
              <w:rPr>
                <w:rFonts w:ascii="Calibri" w:eastAsia="Times New Roman" w:hAnsi="Calibri" w:cs="Calibri"/>
                <w:color w:val="000000"/>
                <w:sz w:val="20"/>
                <w:szCs w:val="20"/>
                <w:lang w:val="en-GB"/>
              </w:rPr>
              <w:t xml:space="preserve">ssess: </w:t>
            </w:r>
          </w:p>
          <w:p w14:paraId="31D614D0"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3A08F9">
              <w:rPr>
                <w:rFonts w:ascii="Calibri" w:eastAsia="Times New Roman" w:hAnsi="Calibri" w:cs="Calibri"/>
                <w:color w:val="000000"/>
                <w:sz w:val="20"/>
                <w:szCs w:val="20"/>
                <w:lang w:val="en-GB"/>
              </w:rPr>
              <w:t xml:space="preserve"> level of patient’s condition</w:t>
            </w:r>
          </w:p>
          <w:p w14:paraId="7CE94C52"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-a</w:t>
            </w:r>
            <w:r w:rsidRPr="003A08F9">
              <w:rPr>
                <w:rFonts w:ascii="Calibri" w:eastAsia="Times New Roman" w:hAnsi="Calibri" w:cs="Calibri"/>
                <w:color w:val="000000"/>
                <w:sz w:val="20"/>
                <w:szCs w:val="20"/>
                <w:lang w:val="en-GB"/>
              </w:rPr>
              <w:t>dherence with the therapy</w:t>
            </w:r>
          </w:p>
          <w:p w14:paraId="1D21E10C"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3A08F9">
              <w:rPr>
                <w:rFonts w:ascii="Calibri" w:eastAsia="Times New Roman" w:hAnsi="Calibri" w:cs="Calibri"/>
                <w:color w:val="000000"/>
                <w:sz w:val="20"/>
                <w:szCs w:val="20"/>
                <w:lang w:val="en-GB"/>
              </w:rPr>
              <w:t>presence of complications</w:t>
            </w:r>
            <w:r>
              <w:rPr>
                <w:rFonts w:ascii="Calibri" w:eastAsia="Times New Roman" w:hAnsi="Calibri" w:cs="Calibri"/>
                <w:color w:val="000000"/>
                <w:sz w:val="20"/>
                <w:szCs w:val="20"/>
                <w:lang w:val="en-GB"/>
              </w:rPr>
              <w:t>/</w:t>
            </w:r>
            <w:r w:rsidRPr="003A08F9">
              <w:rPr>
                <w:rFonts w:ascii="Calibri" w:eastAsia="Times New Roman" w:hAnsi="Calibri" w:cs="Calibri"/>
                <w:color w:val="000000"/>
                <w:sz w:val="20"/>
                <w:szCs w:val="20"/>
                <w:lang w:val="en-GB"/>
              </w:rPr>
              <w:t>hospital admission due to condition</w:t>
            </w:r>
            <w:r>
              <w:rPr>
                <w:rFonts w:ascii="Calibri" w:eastAsia="Times New Roman" w:hAnsi="Calibri" w:cs="Calibri"/>
                <w:color w:val="000000"/>
                <w:sz w:val="20"/>
                <w:szCs w:val="20"/>
                <w:lang w:val="en-GB"/>
              </w:rPr>
              <w:t>/</w:t>
            </w:r>
            <w:r w:rsidRPr="003A08F9">
              <w:rPr>
                <w:rFonts w:ascii="Calibri" w:eastAsia="Times New Roman" w:hAnsi="Calibri" w:cs="Calibri"/>
                <w:color w:val="000000"/>
                <w:sz w:val="20"/>
                <w:szCs w:val="20"/>
                <w:lang w:val="en-GB"/>
              </w:rPr>
              <w:t>medication therapy</w:t>
            </w:r>
          </w:p>
          <w:p w14:paraId="37C35B8E"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3A08F9">
              <w:rPr>
                <w:rFonts w:ascii="Calibri" w:eastAsia="Times New Roman" w:hAnsi="Calibri" w:cs="Calibri"/>
                <w:color w:val="000000"/>
                <w:sz w:val="20"/>
                <w:szCs w:val="20"/>
                <w:lang w:val="en-GB"/>
              </w:rPr>
              <w:t xml:space="preserve"> need for additional monitoring, prevention services, and nutritional or weight loss support</w:t>
            </w:r>
          </w:p>
          <w:p w14:paraId="5C9C3A64" w14:textId="77777777" w:rsidR="009D2B25" w:rsidRDefault="009D2B25" w:rsidP="00282204">
            <w:pPr>
              <w:spacing w:after="0" w:line="240" w:lineRule="auto"/>
              <w:rPr>
                <w:rFonts w:ascii="Calibri" w:eastAsia="Times New Roman" w:hAnsi="Calibri" w:cs="Calibri"/>
                <w:color w:val="000000"/>
                <w:sz w:val="20"/>
                <w:szCs w:val="20"/>
                <w:lang w:val="en-GB"/>
              </w:rPr>
            </w:pPr>
            <w:r w:rsidRPr="008B41AC">
              <w:rPr>
                <w:rFonts w:ascii="Calibri" w:eastAsia="Times New Roman" w:hAnsi="Calibri" w:cs="Calibri"/>
                <w:color w:val="000000"/>
                <w:sz w:val="20"/>
                <w:szCs w:val="20"/>
                <w:lang w:val="en-GB"/>
              </w:rPr>
              <w:t xml:space="preserve">Based on findings, </w:t>
            </w:r>
            <w:r>
              <w:rPr>
                <w:rFonts w:ascii="Calibri" w:eastAsia="Times New Roman" w:hAnsi="Calibri" w:cs="Calibri"/>
                <w:color w:val="000000"/>
                <w:sz w:val="20"/>
                <w:szCs w:val="20"/>
                <w:lang w:val="en-GB"/>
              </w:rPr>
              <w:t xml:space="preserve">a pharmacist </w:t>
            </w:r>
            <w:r w:rsidRPr="008B41AC">
              <w:rPr>
                <w:rFonts w:ascii="Calibri" w:eastAsia="Times New Roman" w:hAnsi="Calibri" w:cs="Calibri"/>
                <w:color w:val="000000"/>
                <w:sz w:val="20"/>
                <w:szCs w:val="20"/>
                <w:lang w:val="en-GB"/>
              </w:rPr>
              <w:t xml:space="preserve">will: </w:t>
            </w:r>
          </w:p>
          <w:p w14:paraId="7078E611"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8B41AC">
              <w:rPr>
                <w:rFonts w:ascii="Calibri" w:eastAsia="Times New Roman" w:hAnsi="Calibri" w:cs="Calibri"/>
                <w:color w:val="000000"/>
                <w:sz w:val="20"/>
                <w:szCs w:val="20"/>
                <w:lang w:val="en-GB"/>
              </w:rPr>
              <w:t>order appropriate laboratory tests</w:t>
            </w:r>
          </w:p>
          <w:p w14:paraId="691F0EE9"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8B41AC">
              <w:rPr>
                <w:rFonts w:ascii="Calibri" w:eastAsia="Times New Roman" w:hAnsi="Calibri" w:cs="Calibri"/>
                <w:color w:val="000000"/>
                <w:sz w:val="20"/>
                <w:szCs w:val="20"/>
                <w:lang w:val="en-GB"/>
              </w:rPr>
              <w:t xml:space="preserve">recommend/modify existing </w:t>
            </w:r>
            <w:r>
              <w:rPr>
                <w:rFonts w:ascii="Calibri" w:eastAsia="Times New Roman" w:hAnsi="Calibri" w:cs="Calibri"/>
                <w:color w:val="000000"/>
                <w:sz w:val="20"/>
                <w:szCs w:val="20"/>
                <w:lang w:val="en-GB"/>
              </w:rPr>
              <w:t>medication</w:t>
            </w:r>
            <w:r w:rsidRPr="008B41AC">
              <w:rPr>
                <w:rFonts w:ascii="Calibri" w:eastAsia="Times New Roman" w:hAnsi="Calibri" w:cs="Calibri"/>
                <w:color w:val="000000"/>
                <w:sz w:val="20"/>
                <w:szCs w:val="20"/>
                <w:lang w:val="en-GB"/>
              </w:rPr>
              <w:t xml:space="preserve"> regimen for management of patient’s condition (s)</w:t>
            </w:r>
          </w:p>
          <w:p w14:paraId="678C00D8"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352BF6">
              <w:rPr>
                <w:rFonts w:ascii="Calibri" w:eastAsia="Times New Roman" w:hAnsi="Calibri" w:cs="Calibri"/>
                <w:color w:val="000000"/>
                <w:sz w:val="20"/>
                <w:szCs w:val="20"/>
                <w:lang w:val="en-GB"/>
              </w:rPr>
              <w:t xml:space="preserve"> educate patients on self-management of their condition including the effective use of medication therapy</w:t>
            </w:r>
          </w:p>
          <w:p w14:paraId="01095682"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352BF6">
              <w:rPr>
                <w:rFonts w:ascii="Calibri" w:eastAsia="Times New Roman" w:hAnsi="Calibri" w:cs="Calibri"/>
                <w:color w:val="000000"/>
                <w:sz w:val="20"/>
                <w:szCs w:val="20"/>
                <w:lang w:val="en-GB"/>
              </w:rPr>
              <w:t xml:space="preserve">refer the patient to </w:t>
            </w:r>
            <w:r>
              <w:rPr>
                <w:rFonts w:ascii="Calibri" w:eastAsia="Times New Roman" w:hAnsi="Calibri" w:cs="Calibri"/>
                <w:color w:val="000000"/>
                <w:sz w:val="20"/>
                <w:szCs w:val="20"/>
                <w:lang w:val="en-GB"/>
              </w:rPr>
              <w:t>other HCPs</w:t>
            </w:r>
            <w:r w:rsidRPr="00352BF6">
              <w:rPr>
                <w:rFonts w:ascii="Calibri" w:eastAsia="Times New Roman" w:hAnsi="Calibri" w:cs="Calibri"/>
                <w:color w:val="000000"/>
                <w:sz w:val="20"/>
                <w:szCs w:val="20"/>
                <w:lang w:val="en-GB"/>
              </w:rPr>
              <w:t xml:space="preserve"> when needed</w:t>
            </w:r>
          </w:p>
          <w:p w14:paraId="5E486C40"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352BF6">
              <w:rPr>
                <w:rFonts w:ascii="Calibri" w:eastAsia="Times New Roman" w:hAnsi="Calibri" w:cs="Calibri"/>
                <w:color w:val="000000"/>
                <w:sz w:val="20"/>
                <w:szCs w:val="20"/>
                <w:lang w:val="en-GB"/>
              </w:rPr>
              <w:t>schedule a follow-up appointment.</w:t>
            </w:r>
          </w:p>
        </w:tc>
        <w:tc>
          <w:tcPr>
            <w:tcW w:w="3407" w:type="dxa"/>
            <w:tcBorders>
              <w:top w:val="nil"/>
              <w:left w:val="nil"/>
              <w:bottom w:val="single" w:sz="4" w:space="0" w:color="auto"/>
              <w:right w:val="single" w:sz="4" w:space="0" w:color="auto"/>
            </w:tcBorders>
            <w:shd w:val="clear" w:color="auto" w:fill="auto"/>
          </w:tcPr>
          <w:p w14:paraId="1B6DC7D8" w14:textId="77777777" w:rsidR="009D2B25" w:rsidRPr="005141FC"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 xml:space="preserve">-No </w:t>
            </w:r>
            <w:r w:rsidRPr="005141FC">
              <w:rPr>
                <w:rFonts w:ascii="Calibri" w:eastAsia="Times New Roman" w:hAnsi="Calibri" w:cstheme="minorHAnsi"/>
                <w:color w:val="000000"/>
                <w:sz w:val="20"/>
                <w:szCs w:val="20"/>
                <w:lang w:val="en-GB"/>
              </w:rPr>
              <w:t>difference in the average HbA1c between pharmacist-</w:t>
            </w:r>
          </w:p>
          <w:p w14:paraId="5D985A52"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5141FC">
              <w:rPr>
                <w:rFonts w:ascii="Calibri" w:eastAsia="Times New Roman" w:hAnsi="Calibri" w:cstheme="minorHAnsi"/>
                <w:color w:val="000000"/>
                <w:sz w:val="20"/>
                <w:szCs w:val="20"/>
                <w:lang w:val="en-GB"/>
              </w:rPr>
              <w:t>led clinic vs. physician-led clinic</w:t>
            </w:r>
          </w:p>
          <w:p w14:paraId="38CDE61D"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t xml:space="preserve"> The </w:t>
            </w:r>
            <w:r w:rsidRPr="007A7F71">
              <w:rPr>
                <w:rFonts w:ascii="Calibri" w:eastAsia="Times New Roman" w:hAnsi="Calibri" w:cstheme="minorHAnsi"/>
                <w:color w:val="000000"/>
                <w:sz w:val="20"/>
                <w:szCs w:val="20"/>
                <w:lang w:val="en-GB"/>
              </w:rPr>
              <w:t xml:space="preserve">median HbA1c change from baseline </w:t>
            </w:r>
            <w:r>
              <w:rPr>
                <w:rFonts w:ascii="Calibri" w:eastAsia="Times New Roman" w:hAnsi="Calibri" w:cstheme="minorHAnsi"/>
                <w:color w:val="000000"/>
                <w:sz w:val="20"/>
                <w:szCs w:val="20"/>
                <w:lang w:val="en-GB"/>
              </w:rPr>
              <w:t xml:space="preserve">was </w:t>
            </w:r>
            <w:r w:rsidRPr="007A7F71">
              <w:rPr>
                <w:rFonts w:ascii="Calibri" w:eastAsia="Times New Roman" w:hAnsi="Calibri" w:cstheme="minorHAnsi"/>
                <w:color w:val="000000"/>
                <w:sz w:val="20"/>
                <w:szCs w:val="20"/>
                <w:lang w:val="en-GB"/>
              </w:rPr>
              <w:t xml:space="preserve">significantly </w:t>
            </w:r>
            <w:r>
              <w:rPr>
                <w:rFonts w:ascii="Calibri" w:eastAsia="Times New Roman" w:hAnsi="Calibri" w:cstheme="minorHAnsi"/>
                <w:color w:val="000000"/>
                <w:sz w:val="20"/>
                <w:szCs w:val="20"/>
                <w:lang w:val="en-GB"/>
              </w:rPr>
              <w:t>higher (</w:t>
            </w:r>
            <w:r w:rsidRPr="007A7F71">
              <w:rPr>
                <w:rFonts w:ascii="Calibri" w:eastAsia="Times New Roman" w:hAnsi="Calibri" w:cstheme="minorHAnsi"/>
                <w:color w:val="000000"/>
                <w:sz w:val="20"/>
                <w:szCs w:val="20"/>
                <w:lang w:val="en-GB"/>
              </w:rPr>
              <w:t>favoured</w:t>
            </w:r>
            <w:r>
              <w:rPr>
                <w:rFonts w:ascii="Calibri" w:eastAsia="Times New Roman" w:hAnsi="Calibri" w:cstheme="minorHAnsi"/>
                <w:color w:val="000000"/>
                <w:sz w:val="20"/>
                <w:szCs w:val="20"/>
                <w:lang w:val="en-GB"/>
              </w:rPr>
              <w:t>) in</w:t>
            </w:r>
            <w:r w:rsidRPr="007A7F71">
              <w:rPr>
                <w:rFonts w:ascii="Calibri" w:eastAsia="Times New Roman" w:hAnsi="Calibri" w:cstheme="minorHAnsi"/>
                <w:color w:val="000000"/>
                <w:sz w:val="20"/>
                <w:szCs w:val="20"/>
                <w:lang w:val="en-GB"/>
              </w:rPr>
              <w:t xml:space="preserve"> </w:t>
            </w:r>
            <w:r>
              <w:rPr>
                <w:rFonts w:ascii="Calibri" w:eastAsia="Times New Roman" w:hAnsi="Calibri" w:cstheme="minorHAnsi"/>
                <w:color w:val="000000"/>
                <w:sz w:val="20"/>
                <w:szCs w:val="20"/>
                <w:lang w:val="en-GB"/>
              </w:rPr>
              <w:t xml:space="preserve">patients followed </w:t>
            </w:r>
            <w:r w:rsidRPr="007A7F71">
              <w:rPr>
                <w:rFonts w:ascii="Calibri" w:eastAsia="Times New Roman" w:hAnsi="Calibri" w:cstheme="minorHAnsi"/>
                <w:color w:val="000000"/>
                <w:sz w:val="20"/>
                <w:szCs w:val="20"/>
                <w:lang w:val="en-GB"/>
              </w:rPr>
              <w:t>pharmacist-led clinic</w:t>
            </w:r>
            <w:r w:rsidRPr="005141FC">
              <w:rPr>
                <w:rFonts w:ascii="Calibri" w:eastAsia="Times New Roman" w:hAnsi="Calibri" w:cstheme="minorHAnsi"/>
                <w:color w:val="000000"/>
                <w:sz w:val="20"/>
                <w:szCs w:val="20"/>
                <w:lang w:val="en-GB"/>
              </w:rPr>
              <w:t xml:space="preserve"> </w:t>
            </w:r>
          </w:p>
          <w:p w14:paraId="4E01B6B5"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t xml:space="preserve"> </w:t>
            </w:r>
            <w:r>
              <w:rPr>
                <w:rFonts w:ascii="Calibri" w:eastAsia="Times New Roman" w:hAnsi="Calibri" w:cstheme="minorHAnsi"/>
                <w:color w:val="000000"/>
                <w:sz w:val="20"/>
                <w:szCs w:val="20"/>
                <w:lang w:val="en-GB"/>
              </w:rPr>
              <w:t>N</w:t>
            </w:r>
            <w:r w:rsidRPr="006C0DBA">
              <w:rPr>
                <w:rFonts w:ascii="Calibri" w:eastAsia="Times New Roman" w:hAnsi="Calibri" w:cstheme="minorHAnsi"/>
                <w:color w:val="000000"/>
                <w:sz w:val="20"/>
                <w:szCs w:val="20"/>
                <w:lang w:val="en-GB"/>
              </w:rPr>
              <w:t xml:space="preserve">o difference in the glucose profile, lipid </w:t>
            </w:r>
            <w:r>
              <w:rPr>
                <w:rFonts w:ascii="Calibri" w:eastAsia="Times New Roman" w:hAnsi="Calibri" w:cstheme="minorHAnsi"/>
                <w:color w:val="000000"/>
                <w:sz w:val="20"/>
                <w:szCs w:val="20"/>
                <w:lang w:val="en-GB"/>
              </w:rPr>
              <w:t>profile</w:t>
            </w:r>
            <w:r w:rsidRPr="006C0DBA">
              <w:rPr>
                <w:rFonts w:ascii="Calibri" w:eastAsia="Times New Roman" w:hAnsi="Calibri" w:cstheme="minorHAnsi"/>
                <w:color w:val="000000"/>
                <w:sz w:val="20"/>
                <w:szCs w:val="20"/>
                <w:lang w:val="en-GB"/>
              </w:rPr>
              <w:t xml:space="preserve">, and </w:t>
            </w:r>
            <w:r>
              <w:rPr>
                <w:rFonts w:ascii="Calibri" w:eastAsia="Times New Roman" w:hAnsi="Calibri" w:cstheme="minorHAnsi"/>
                <w:color w:val="000000"/>
                <w:sz w:val="20"/>
                <w:szCs w:val="20"/>
                <w:lang w:val="en-GB"/>
              </w:rPr>
              <w:t>BP</w:t>
            </w:r>
            <w:r w:rsidRPr="006C0DBA">
              <w:rPr>
                <w:rFonts w:ascii="Calibri" w:eastAsia="Times New Roman" w:hAnsi="Calibri" w:cstheme="minorHAnsi"/>
                <w:color w:val="000000"/>
                <w:sz w:val="20"/>
                <w:szCs w:val="20"/>
                <w:lang w:val="en-GB"/>
              </w:rPr>
              <w:t xml:space="preserve"> between two groups.</w:t>
            </w:r>
          </w:p>
          <w:p w14:paraId="32CB253B"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t xml:space="preserve"> </w:t>
            </w:r>
            <w:r w:rsidRPr="00EE445F">
              <w:rPr>
                <w:rFonts w:ascii="Calibri" w:eastAsia="Times New Roman" w:hAnsi="Calibri" w:cstheme="minorHAnsi"/>
                <w:color w:val="000000"/>
                <w:sz w:val="20"/>
                <w:szCs w:val="20"/>
                <w:lang w:val="en-GB"/>
              </w:rPr>
              <w:t xml:space="preserve">The average of responses in aspects of diet, exercise, blood sugar testing, and foot care was higher among patients in pharmacist-led diabetic </w:t>
            </w:r>
            <w:r>
              <w:rPr>
                <w:rFonts w:ascii="Calibri" w:eastAsia="Times New Roman" w:hAnsi="Calibri" w:cstheme="minorHAnsi"/>
                <w:color w:val="000000"/>
                <w:sz w:val="20"/>
                <w:szCs w:val="20"/>
                <w:lang w:val="en-GB"/>
              </w:rPr>
              <w:t xml:space="preserve">clinic. But there was no </w:t>
            </w:r>
            <w:r w:rsidRPr="002000AF">
              <w:rPr>
                <w:rFonts w:ascii="Calibri" w:eastAsia="Times New Roman" w:hAnsi="Calibri" w:cstheme="minorHAnsi"/>
                <w:color w:val="000000"/>
                <w:sz w:val="20"/>
                <w:szCs w:val="20"/>
                <w:lang w:val="en-GB"/>
              </w:rPr>
              <w:t>a significant difference between the two groups</w:t>
            </w:r>
            <w:r>
              <w:rPr>
                <w:rFonts w:ascii="Calibri" w:eastAsia="Times New Roman" w:hAnsi="Calibri" w:cstheme="minorHAnsi"/>
                <w:color w:val="000000"/>
                <w:sz w:val="20"/>
                <w:szCs w:val="20"/>
                <w:lang w:val="en-GB"/>
              </w:rPr>
              <w:t xml:space="preserve">. </w:t>
            </w:r>
          </w:p>
          <w:p w14:paraId="36601C5B" w14:textId="77777777" w:rsidR="009D2B25" w:rsidRPr="001A3CE6" w:rsidRDefault="009D2B25" w:rsidP="00282204">
            <w:pPr>
              <w:spacing w:after="0" w:line="240" w:lineRule="auto"/>
              <w:rPr>
                <w:rFonts w:ascii="Calibri" w:eastAsia="Times New Roman" w:hAnsi="Calibri" w:cstheme="minorHAnsi"/>
                <w:color w:val="000000"/>
                <w:sz w:val="20"/>
                <w:szCs w:val="20"/>
                <w:lang w:val="en-GB"/>
              </w:rPr>
            </w:pPr>
          </w:p>
        </w:tc>
      </w:tr>
      <w:tr w:rsidR="009D2B25" w:rsidRPr="00CE056C" w14:paraId="0FDB9742" w14:textId="77777777" w:rsidTr="00282204">
        <w:trPr>
          <w:trHeight w:val="1737"/>
        </w:trPr>
        <w:tc>
          <w:tcPr>
            <w:tcW w:w="540" w:type="dxa"/>
            <w:tcBorders>
              <w:top w:val="nil"/>
              <w:left w:val="single" w:sz="4" w:space="0" w:color="auto"/>
              <w:bottom w:val="single" w:sz="4" w:space="0" w:color="auto"/>
              <w:right w:val="single" w:sz="4" w:space="0" w:color="auto"/>
            </w:tcBorders>
            <w:shd w:val="clear" w:color="auto" w:fill="auto"/>
          </w:tcPr>
          <w:p w14:paraId="691C7678"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Pr>
                <w:sz w:val="20"/>
                <w:szCs w:val="20"/>
                <w:lang w:val="en-GB"/>
              </w:rPr>
              <w:t>9</w:t>
            </w:r>
          </w:p>
        </w:tc>
        <w:tc>
          <w:tcPr>
            <w:tcW w:w="990" w:type="dxa"/>
            <w:tcBorders>
              <w:top w:val="nil"/>
              <w:left w:val="nil"/>
              <w:bottom w:val="single" w:sz="4" w:space="0" w:color="auto"/>
              <w:right w:val="single" w:sz="4" w:space="0" w:color="auto"/>
            </w:tcBorders>
            <w:shd w:val="clear" w:color="auto" w:fill="auto"/>
          </w:tcPr>
          <w:p w14:paraId="03F9D6F4" w14:textId="77777777" w:rsidR="009D2B25" w:rsidRPr="00370009" w:rsidRDefault="009D2B25" w:rsidP="00282204">
            <w:pPr>
              <w:spacing w:after="0" w:line="240" w:lineRule="auto"/>
              <w:rPr>
                <w:sz w:val="20"/>
                <w:szCs w:val="20"/>
                <w:lang w:val="en-GB"/>
              </w:rPr>
            </w:pPr>
            <w:r w:rsidRPr="00370009">
              <w:rPr>
                <w:sz w:val="20"/>
                <w:szCs w:val="20"/>
                <w:lang w:val="en-GB"/>
              </w:rPr>
              <w:fldChar w:fldCharType="begin" w:fldLock="1"/>
            </w:r>
            <w:r w:rsidRPr="00370009">
              <w:rPr>
                <w:sz w:val="20"/>
                <w:szCs w:val="20"/>
                <w:lang w:val="en-GB"/>
              </w:rPr>
              <w:instrText>ADDIN CSL_CITATION {"citationItems":[{"id":"ITEM-1","itemData":{"DOI":"10.7759/cureus.25923","author":[{"dropping-particle":"","family":"Alqifari","given":"Saleh F","non-dropping-particle":"","parse-names":false,"suffix":""},{"dropping-particle":"","family":"Almharwal","given":"Bader","non-dropping-particle":"","parse-names":false,"suffix":""},{"dropping-particle":"","family":"Aldawish","given":"Rahaf","non-dropping-particle":"","parse-names":false,"suffix":""},{"dropping-particle":"","family":"Almokhlef","given":"Salman A","non-dropping-particle":"","parse-names":false,"suffix":""}],"id":"ITEM-1","issue":"6","issued":{"date-parts":[["2022"]]},"page":"8-13","title":"Impact of Pharmacist-Led Clinics on Health Outcomes of Patients With Diabetes at a Ministry of Health Diabetes &amp; Endocrinology Center , Saudi Arabia : A Retrospective Study","type":"article-journal","volume":"14"},"uris":["http://www.mendeley.com/documents/?uuid=b4794254-e216-4fdf-bd51-7876d2c5e639"]}],"mendeley":{"formattedCitation":"(Alqifari &lt;i&gt;et al.&lt;/i&gt;, 2022)","plainTextFormattedCitation":"(Alqifari et al., 2022)","previouslyFormattedCitation":"(Alqifari &lt;i&gt;et al.&lt;/i&gt;, 2022)"},"properties":{"noteIndex":0},"schema":"https://github.com/citation-style-language/schema/raw/master/csl-citation.json"}</w:instrText>
            </w:r>
            <w:r w:rsidRPr="00370009">
              <w:rPr>
                <w:sz w:val="20"/>
                <w:szCs w:val="20"/>
                <w:lang w:val="en-GB"/>
              </w:rPr>
              <w:fldChar w:fldCharType="separate"/>
            </w:r>
            <w:r w:rsidRPr="00370009">
              <w:rPr>
                <w:noProof/>
                <w:sz w:val="20"/>
                <w:szCs w:val="20"/>
                <w:lang w:val="en-GB"/>
              </w:rPr>
              <w:t xml:space="preserve">(Alqifari </w:t>
            </w:r>
            <w:r w:rsidRPr="00370009">
              <w:rPr>
                <w:i/>
                <w:noProof/>
                <w:sz w:val="20"/>
                <w:szCs w:val="20"/>
                <w:lang w:val="en-GB"/>
              </w:rPr>
              <w:t>et al.</w:t>
            </w:r>
            <w:r w:rsidRPr="00370009">
              <w:rPr>
                <w:noProof/>
                <w:sz w:val="20"/>
                <w:szCs w:val="20"/>
                <w:lang w:val="en-GB"/>
              </w:rPr>
              <w:t>, 2022)</w:t>
            </w:r>
            <w:r w:rsidRPr="00370009">
              <w:rPr>
                <w:sz w:val="20"/>
                <w:szCs w:val="20"/>
                <w:lang w:val="en-GB"/>
              </w:rPr>
              <w:fldChar w:fldCharType="end"/>
            </w:r>
          </w:p>
        </w:tc>
        <w:tc>
          <w:tcPr>
            <w:tcW w:w="1620" w:type="dxa"/>
            <w:tcBorders>
              <w:top w:val="nil"/>
              <w:left w:val="nil"/>
              <w:bottom w:val="single" w:sz="4" w:space="0" w:color="auto"/>
              <w:right w:val="single" w:sz="4" w:space="0" w:color="auto"/>
            </w:tcBorders>
            <w:shd w:val="clear" w:color="auto" w:fill="auto"/>
          </w:tcPr>
          <w:p w14:paraId="22B7FDB3" w14:textId="77777777" w:rsidR="009D2B25" w:rsidRPr="00370009" w:rsidRDefault="009D2B25" w:rsidP="00282204">
            <w:pPr>
              <w:spacing w:after="0" w:line="240" w:lineRule="auto"/>
              <w:rPr>
                <w:sz w:val="20"/>
                <w:szCs w:val="20"/>
                <w:lang w:val="en-GB"/>
              </w:rPr>
            </w:pPr>
            <w:r w:rsidRPr="00370009">
              <w:rPr>
                <w:sz w:val="20"/>
                <w:szCs w:val="20"/>
              </w:rPr>
              <w:t xml:space="preserve">Impact of Pharmacist-Led Clinics on Health Outcomes of Patients with Diabetes at a </w:t>
            </w:r>
            <w:r>
              <w:rPr>
                <w:sz w:val="20"/>
                <w:szCs w:val="20"/>
              </w:rPr>
              <w:t>MoH</w:t>
            </w:r>
            <w:r w:rsidRPr="00370009">
              <w:rPr>
                <w:sz w:val="20"/>
                <w:szCs w:val="20"/>
              </w:rPr>
              <w:t xml:space="preserve"> Diabetes &amp; Endocrinology Center, </w:t>
            </w:r>
            <w:r>
              <w:rPr>
                <w:sz w:val="20"/>
                <w:szCs w:val="20"/>
              </w:rPr>
              <w:t>SA</w:t>
            </w:r>
            <w:r w:rsidRPr="00370009">
              <w:rPr>
                <w:sz w:val="20"/>
                <w:szCs w:val="20"/>
              </w:rPr>
              <w:t>: A Retrospective Study</w:t>
            </w:r>
          </w:p>
        </w:tc>
        <w:tc>
          <w:tcPr>
            <w:tcW w:w="1530" w:type="dxa"/>
            <w:tcBorders>
              <w:top w:val="nil"/>
              <w:left w:val="nil"/>
              <w:bottom w:val="single" w:sz="4" w:space="0" w:color="auto"/>
              <w:right w:val="single" w:sz="4" w:space="0" w:color="auto"/>
            </w:tcBorders>
            <w:shd w:val="clear" w:color="auto" w:fill="auto"/>
          </w:tcPr>
          <w:p w14:paraId="078C7234" w14:textId="77777777" w:rsidR="009D2B25" w:rsidRPr="00370009" w:rsidRDefault="009D2B25" w:rsidP="00282204">
            <w:pPr>
              <w:spacing w:after="0" w:line="240" w:lineRule="auto"/>
              <w:rPr>
                <w:sz w:val="20"/>
                <w:szCs w:val="20"/>
              </w:rPr>
            </w:pPr>
            <w:r w:rsidRPr="00370009">
              <w:rPr>
                <w:sz w:val="20"/>
                <w:szCs w:val="20"/>
                <w:lang w:val="en-GB"/>
              </w:rPr>
              <w:t xml:space="preserve">The Diabetes &amp; Endocrinology Center, King Fahad Specialist Hospital located in Buraydah, </w:t>
            </w:r>
            <w:r>
              <w:rPr>
                <w:sz w:val="20"/>
                <w:szCs w:val="20"/>
                <w:lang w:val="en-GB"/>
              </w:rPr>
              <w:t>SA.</w:t>
            </w:r>
          </w:p>
        </w:tc>
        <w:tc>
          <w:tcPr>
            <w:tcW w:w="1980" w:type="dxa"/>
            <w:tcBorders>
              <w:top w:val="nil"/>
              <w:left w:val="nil"/>
              <w:bottom w:val="single" w:sz="4" w:space="0" w:color="auto"/>
              <w:right w:val="single" w:sz="4" w:space="0" w:color="auto"/>
            </w:tcBorders>
            <w:shd w:val="clear" w:color="auto" w:fill="auto"/>
          </w:tcPr>
          <w:p w14:paraId="3205F4E1" w14:textId="77777777" w:rsidR="009D2B25" w:rsidRDefault="009D2B25" w:rsidP="00282204">
            <w:pPr>
              <w:spacing w:after="0" w:line="240" w:lineRule="auto"/>
              <w:rPr>
                <w:rFonts w:ascii="Calibri" w:eastAsia="Times New Roman" w:hAnsi="Calibri" w:cs="Calibri"/>
                <w:color w:val="000000"/>
                <w:sz w:val="20"/>
                <w:szCs w:val="20"/>
                <w:lang w:val="en-GB"/>
              </w:rPr>
            </w:pPr>
            <w:r w:rsidRPr="008C6F66">
              <w:rPr>
                <w:rFonts w:ascii="Calibri" w:eastAsia="Times New Roman" w:hAnsi="Calibri" w:cs="Calibri"/>
                <w:color w:val="000000"/>
                <w:sz w:val="20"/>
                <w:szCs w:val="20"/>
                <w:lang w:val="en-GB"/>
              </w:rPr>
              <w:t xml:space="preserve">32 </w:t>
            </w:r>
            <w:r>
              <w:rPr>
                <w:rFonts w:ascii="Calibri" w:eastAsia="Times New Roman" w:hAnsi="Calibri" w:cs="Calibri"/>
                <w:color w:val="000000"/>
                <w:sz w:val="20"/>
                <w:szCs w:val="20"/>
                <w:lang w:val="en-GB"/>
              </w:rPr>
              <w:t xml:space="preserve">uncontrolled T2D </w:t>
            </w:r>
            <w:r w:rsidRPr="008C6F66">
              <w:rPr>
                <w:rFonts w:ascii="Calibri" w:eastAsia="Times New Roman" w:hAnsi="Calibri" w:cs="Calibri"/>
                <w:color w:val="000000"/>
                <w:sz w:val="20"/>
                <w:szCs w:val="20"/>
                <w:lang w:val="en-GB"/>
              </w:rPr>
              <w:t>patients</w:t>
            </w:r>
            <w:r>
              <w:rPr>
                <w:rFonts w:ascii="Calibri" w:eastAsia="Times New Roman" w:hAnsi="Calibri" w:cs="Calibri"/>
                <w:color w:val="000000"/>
                <w:sz w:val="20"/>
                <w:szCs w:val="20"/>
                <w:lang w:val="en-GB"/>
              </w:rPr>
              <w:t xml:space="preserve"> was seen by a clinical pharmacist </w:t>
            </w:r>
            <w:r w:rsidRPr="009F700F">
              <w:rPr>
                <w:rFonts w:ascii="Calibri" w:eastAsia="Times New Roman" w:hAnsi="Calibri" w:cs="Calibri"/>
                <w:color w:val="000000"/>
                <w:sz w:val="20"/>
                <w:szCs w:val="20"/>
                <w:lang w:val="en-GB"/>
              </w:rPr>
              <w:t xml:space="preserve">for at least one visit within the </w:t>
            </w:r>
            <w:r>
              <w:rPr>
                <w:rFonts w:ascii="Calibri" w:eastAsia="Times New Roman" w:hAnsi="Calibri" w:cs="Calibri"/>
                <w:color w:val="000000"/>
                <w:sz w:val="20"/>
                <w:szCs w:val="20"/>
                <w:lang w:val="en-GB"/>
              </w:rPr>
              <w:t>9</w:t>
            </w:r>
            <w:r w:rsidRPr="009F700F">
              <w:rPr>
                <w:rFonts w:ascii="Calibri" w:eastAsia="Times New Roman" w:hAnsi="Calibri" w:cs="Calibri"/>
                <w:color w:val="000000"/>
                <w:sz w:val="20"/>
                <w:szCs w:val="20"/>
                <w:lang w:val="en-GB"/>
              </w:rPr>
              <w:t xml:space="preserve">-month study </w:t>
            </w:r>
            <w:r>
              <w:rPr>
                <w:rFonts w:ascii="Calibri" w:eastAsia="Times New Roman" w:hAnsi="Calibri" w:cs="Calibri"/>
                <w:color w:val="000000"/>
                <w:sz w:val="20"/>
                <w:szCs w:val="20"/>
                <w:lang w:val="en-GB"/>
              </w:rPr>
              <w:t xml:space="preserve">period. </w:t>
            </w:r>
          </w:p>
          <w:p w14:paraId="29903A39" w14:textId="77777777" w:rsidR="009D2B25" w:rsidRDefault="009D2B25" w:rsidP="00282204">
            <w:pPr>
              <w:spacing w:after="0" w:line="240" w:lineRule="auto"/>
              <w:rPr>
                <w:rFonts w:ascii="Calibri" w:eastAsia="Times New Roman" w:hAnsi="Calibri" w:cs="Calibri"/>
                <w:color w:val="000000"/>
                <w:sz w:val="20"/>
                <w:szCs w:val="20"/>
                <w:lang w:val="en-GB"/>
              </w:rPr>
            </w:pPr>
          </w:p>
          <w:p w14:paraId="1D16786C" w14:textId="77777777" w:rsidR="009D2B25" w:rsidRPr="005A5747" w:rsidRDefault="009D2B25" w:rsidP="00282204">
            <w:pPr>
              <w:spacing w:after="0" w:line="240" w:lineRule="auto"/>
              <w:rPr>
                <w:rFonts w:ascii="Calibri" w:eastAsia="Times New Roman" w:hAnsi="Calibri" w:cs="Calibri"/>
                <w:color w:val="000000"/>
                <w:sz w:val="20"/>
                <w:szCs w:val="20"/>
                <w:lang w:val="en-GB"/>
              </w:rPr>
            </w:pPr>
          </w:p>
        </w:tc>
        <w:tc>
          <w:tcPr>
            <w:tcW w:w="1440" w:type="dxa"/>
            <w:tcBorders>
              <w:top w:val="nil"/>
              <w:left w:val="nil"/>
              <w:bottom w:val="single" w:sz="4" w:space="0" w:color="auto"/>
              <w:right w:val="single" w:sz="4" w:space="0" w:color="auto"/>
            </w:tcBorders>
            <w:shd w:val="clear" w:color="auto" w:fill="auto"/>
          </w:tcPr>
          <w:p w14:paraId="0216874D" w14:textId="77777777" w:rsidR="009D2B25" w:rsidRPr="00370009" w:rsidRDefault="009D2B25" w:rsidP="00282204">
            <w:pPr>
              <w:spacing w:after="0" w:line="240" w:lineRule="auto"/>
              <w:rPr>
                <w:sz w:val="20"/>
                <w:szCs w:val="20"/>
                <w:lang w:val="en-GB"/>
              </w:rPr>
            </w:pPr>
            <w:r w:rsidRPr="00370009">
              <w:rPr>
                <w:sz w:val="20"/>
                <w:szCs w:val="20"/>
                <w:lang w:val="en-GB"/>
              </w:rPr>
              <w:t>A retrospective chart review study</w:t>
            </w:r>
            <w:r>
              <w:rPr>
                <w:sz w:val="20"/>
                <w:szCs w:val="20"/>
                <w:lang w:val="en-GB"/>
              </w:rPr>
              <w:t xml:space="preserve"> </w:t>
            </w:r>
            <w:r w:rsidRPr="007D448E">
              <w:rPr>
                <w:sz w:val="20"/>
                <w:szCs w:val="20"/>
                <w:lang w:val="en-GB"/>
              </w:rPr>
              <w:t>conducted between September 2019 to June 2020</w:t>
            </w:r>
          </w:p>
        </w:tc>
        <w:tc>
          <w:tcPr>
            <w:tcW w:w="3510" w:type="dxa"/>
            <w:tcBorders>
              <w:top w:val="nil"/>
              <w:left w:val="nil"/>
              <w:bottom w:val="single" w:sz="4" w:space="0" w:color="auto"/>
              <w:right w:val="single" w:sz="4" w:space="0" w:color="auto"/>
            </w:tcBorders>
            <w:shd w:val="clear" w:color="auto" w:fill="auto"/>
          </w:tcPr>
          <w:p w14:paraId="35515410"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The pharmacist interventions were not clearly mentioned.</w:t>
            </w:r>
          </w:p>
          <w:p w14:paraId="0C12C169" w14:textId="77777777" w:rsidR="009D2B25" w:rsidRDefault="009D2B25" w:rsidP="00282204">
            <w:pPr>
              <w:spacing w:after="0" w:line="240" w:lineRule="auto"/>
              <w:rPr>
                <w:rFonts w:ascii="Calibri" w:eastAsia="Times New Roman" w:hAnsi="Calibri" w:cs="Calibri"/>
                <w:color w:val="000000"/>
                <w:sz w:val="20"/>
                <w:szCs w:val="20"/>
                <w:lang w:val="en-GB"/>
              </w:rPr>
            </w:pPr>
          </w:p>
          <w:p w14:paraId="46928A39" w14:textId="77777777" w:rsidR="009D2B25" w:rsidRDefault="009D2B25" w:rsidP="00282204">
            <w:pPr>
              <w:spacing w:after="0" w:line="240" w:lineRule="auto"/>
              <w:rPr>
                <w:rFonts w:ascii="Calibri" w:eastAsia="Times New Roman" w:hAnsi="Calibri" w:cs="Calibri"/>
                <w:color w:val="000000"/>
                <w:sz w:val="20"/>
                <w:szCs w:val="20"/>
                <w:lang w:val="en-GB"/>
              </w:rPr>
            </w:pPr>
            <w:r w:rsidRPr="006A6554">
              <w:rPr>
                <w:rFonts w:ascii="Calibri" w:eastAsia="Times New Roman" w:hAnsi="Calibri" w:cs="Calibri"/>
                <w:color w:val="000000"/>
                <w:sz w:val="20"/>
                <w:szCs w:val="20"/>
                <w:lang w:val="en-GB"/>
              </w:rPr>
              <w:t xml:space="preserve">A collaborative practice agreement between </w:t>
            </w:r>
            <w:r>
              <w:rPr>
                <w:rFonts w:ascii="Calibri" w:eastAsia="Times New Roman" w:hAnsi="Calibri" w:cs="Calibri"/>
                <w:color w:val="000000"/>
                <w:sz w:val="20"/>
                <w:szCs w:val="20"/>
                <w:lang w:val="en-GB"/>
              </w:rPr>
              <w:t xml:space="preserve">a </w:t>
            </w:r>
            <w:r w:rsidRPr="006A6554">
              <w:rPr>
                <w:rFonts w:ascii="Calibri" w:eastAsia="Times New Roman" w:hAnsi="Calibri" w:cs="Calibri"/>
                <w:color w:val="000000"/>
                <w:sz w:val="20"/>
                <w:szCs w:val="20"/>
                <w:lang w:val="en-GB"/>
              </w:rPr>
              <w:t xml:space="preserve">pharmacist and </w:t>
            </w:r>
            <w:r>
              <w:rPr>
                <w:rFonts w:ascii="Calibri" w:eastAsia="Times New Roman" w:hAnsi="Calibri" w:cs="Calibri"/>
                <w:color w:val="000000"/>
                <w:sz w:val="20"/>
                <w:szCs w:val="20"/>
                <w:lang w:val="en-GB"/>
              </w:rPr>
              <w:t>doctors</w:t>
            </w:r>
            <w:r w:rsidRPr="006A6554">
              <w:rPr>
                <w:rFonts w:ascii="Calibri" w:eastAsia="Times New Roman" w:hAnsi="Calibri" w:cs="Calibri"/>
                <w:color w:val="000000"/>
                <w:sz w:val="20"/>
                <w:szCs w:val="20"/>
                <w:lang w:val="en-GB"/>
              </w:rPr>
              <w:t xml:space="preserve"> </w:t>
            </w:r>
            <w:r>
              <w:rPr>
                <w:rFonts w:ascii="Calibri" w:eastAsia="Times New Roman" w:hAnsi="Calibri" w:cs="Calibri"/>
                <w:color w:val="000000"/>
                <w:sz w:val="20"/>
                <w:szCs w:val="20"/>
                <w:lang w:val="en-GB"/>
              </w:rPr>
              <w:t xml:space="preserve">that </w:t>
            </w:r>
            <w:r w:rsidRPr="006A6554">
              <w:rPr>
                <w:rFonts w:ascii="Calibri" w:eastAsia="Times New Roman" w:hAnsi="Calibri" w:cs="Calibri"/>
                <w:color w:val="000000"/>
                <w:sz w:val="20"/>
                <w:szCs w:val="20"/>
                <w:lang w:val="en-GB"/>
              </w:rPr>
              <w:t xml:space="preserve">allowed </w:t>
            </w:r>
            <w:r>
              <w:rPr>
                <w:rFonts w:ascii="Calibri" w:eastAsia="Times New Roman" w:hAnsi="Calibri" w:cs="Calibri"/>
                <w:color w:val="000000"/>
                <w:sz w:val="20"/>
                <w:szCs w:val="20"/>
                <w:lang w:val="en-GB"/>
              </w:rPr>
              <w:t xml:space="preserve">the pharmacist to make </w:t>
            </w:r>
            <w:r w:rsidRPr="006A6554">
              <w:rPr>
                <w:rFonts w:ascii="Calibri" w:eastAsia="Times New Roman" w:hAnsi="Calibri" w:cs="Calibri"/>
                <w:color w:val="000000"/>
                <w:sz w:val="20"/>
                <w:szCs w:val="20"/>
                <w:lang w:val="en-GB"/>
              </w:rPr>
              <w:t xml:space="preserve">modifications of the therapy plan after a shared decision </w:t>
            </w:r>
            <w:r>
              <w:rPr>
                <w:rFonts w:ascii="Calibri" w:eastAsia="Times New Roman" w:hAnsi="Calibri" w:cs="Calibri"/>
                <w:color w:val="000000"/>
                <w:sz w:val="20"/>
                <w:szCs w:val="20"/>
                <w:lang w:val="en-GB"/>
              </w:rPr>
              <w:t>with</w:t>
            </w:r>
            <w:r w:rsidRPr="006A6554">
              <w:rPr>
                <w:rFonts w:ascii="Calibri" w:eastAsia="Times New Roman" w:hAnsi="Calibri" w:cs="Calibri"/>
                <w:color w:val="000000"/>
                <w:sz w:val="20"/>
                <w:szCs w:val="20"/>
                <w:lang w:val="en-GB"/>
              </w:rPr>
              <w:t xml:space="preserve"> the patient</w:t>
            </w:r>
            <w:r>
              <w:rPr>
                <w:rFonts w:ascii="Calibri" w:eastAsia="Times New Roman" w:hAnsi="Calibri" w:cs="Calibri"/>
                <w:color w:val="000000"/>
                <w:sz w:val="20"/>
                <w:szCs w:val="20"/>
                <w:lang w:val="en-GB"/>
              </w:rPr>
              <w:t xml:space="preserve">. </w:t>
            </w:r>
          </w:p>
          <w:p w14:paraId="7ECD8592" w14:textId="77777777" w:rsidR="009D2B25" w:rsidRDefault="009D2B25" w:rsidP="00282204">
            <w:pPr>
              <w:spacing w:after="0" w:line="240" w:lineRule="auto"/>
              <w:rPr>
                <w:rFonts w:ascii="Calibri" w:eastAsia="Times New Roman" w:hAnsi="Calibri" w:cs="Calibri"/>
                <w:color w:val="000000"/>
                <w:sz w:val="20"/>
                <w:szCs w:val="20"/>
                <w:lang w:val="en-GB"/>
              </w:rPr>
            </w:pPr>
          </w:p>
          <w:p w14:paraId="2D8A1C37" w14:textId="77777777" w:rsidR="009D2B25" w:rsidRDefault="009D2B25" w:rsidP="00282204">
            <w:pPr>
              <w:spacing w:after="0" w:line="240" w:lineRule="auto"/>
              <w:rPr>
                <w:rFonts w:ascii="Calibri" w:eastAsia="Times New Roman" w:hAnsi="Calibri" w:cs="Calibri"/>
                <w:color w:val="000000"/>
                <w:sz w:val="20"/>
                <w:szCs w:val="20"/>
                <w:lang w:val="en-GB"/>
              </w:rPr>
            </w:pPr>
          </w:p>
        </w:tc>
        <w:tc>
          <w:tcPr>
            <w:tcW w:w="3407" w:type="dxa"/>
            <w:tcBorders>
              <w:top w:val="nil"/>
              <w:left w:val="nil"/>
              <w:bottom w:val="single" w:sz="4" w:space="0" w:color="auto"/>
              <w:right w:val="single" w:sz="4" w:space="0" w:color="auto"/>
            </w:tcBorders>
            <w:shd w:val="clear" w:color="auto" w:fill="auto"/>
          </w:tcPr>
          <w:p w14:paraId="26692C4B"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246BFB">
              <w:rPr>
                <w:rFonts w:ascii="Calibri" w:eastAsia="Times New Roman" w:hAnsi="Calibri" w:cstheme="minorHAnsi"/>
                <w:color w:val="000000"/>
                <w:sz w:val="20"/>
                <w:szCs w:val="20"/>
                <w:lang w:val="en-GB"/>
              </w:rPr>
              <w:t>HbA1c</w:t>
            </w:r>
            <w:r>
              <w:rPr>
                <w:rFonts w:ascii="Calibri" w:eastAsia="Times New Roman" w:hAnsi="Calibri" w:cstheme="minorHAnsi"/>
                <w:color w:val="000000"/>
                <w:sz w:val="20"/>
                <w:szCs w:val="20"/>
                <w:lang w:val="en-GB"/>
              </w:rPr>
              <w:t xml:space="preserve"> </w:t>
            </w:r>
            <w:r w:rsidRPr="00246BFB">
              <w:rPr>
                <w:rFonts w:ascii="Calibri" w:eastAsia="Times New Roman" w:hAnsi="Calibri" w:cstheme="minorHAnsi"/>
                <w:color w:val="000000"/>
                <w:sz w:val="20"/>
                <w:szCs w:val="20"/>
                <w:lang w:val="en-GB"/>
              </w:rPr>
              <w:t xml:space="preserve">was significantly decreased within nine months </w:t>
            </w:r>
            <w:r>
              <w:rPr>
                <w:rFonts w:ascii="Calibri" w:eastAsia="Times New Roman" w:hAnsi="Calibri" w:cstheme="minorHAnsi"/>
                <w:color w:val="000000"/>
                <w:sz w:val="20"/>
                <w:szCs w:val="20"/>
                <w:lang w:val="en-GB"/>
              </w:rPr>
              <w:t>(c</w:t>
            </w:r>
            <w:r w:rsidRPr="002A230C">
              <w:rPr>
                <w:rFonts w:ascii="Calibri" w:eastAsia="Times New Roman" w:hAnsi="Calibri" w:cstheme="minorHAnsi"/>
                <w:color w:val="000000"/>
                <w:sz w:val="20"/>
                <w:szCs w:val="20"/>
                <w:lang w:val="en-GB"/>
              </w:rPr>
              <w:t>linical pharmacist-c</w:t>
            </w:r>
            <w:r>
              <w:rPr>
                <w:rFonts w:ascii="Calibri" w:eastAsia="Times New Roman" w:hAnsi="Calibri" w:cstheme="minorHAnsi"/>
                <w:color w:val="000000"/>
                <w:sz w:val="20"/>
                <w:szCs w:val="20"/>
                <w:lang w:val="en-GB"/>
              </w:rPr>
              <w:t>e</w:t>
            </w:r>
            <w:r w:rsidRPr="002A230C">
              <w:rPr>
                <w:rFonts w:ascii="Calibri" w:eastAsia="Times New Roman" w:hAnsi="Calibri" w:cstheme="minorHAnsi"/>
                <w:color w:val="000000"/>
                <w:sz w:val="20"/>
                <w:szCs w:val="20"/>
                <w:lang w:val="en-GB"/>
              </w:rPr>
              <w:t xml:space="preserve">ntered) </w:t>
            </w:r>
            <w:r w:rsidRPr="00246BFB">
              <w:rPr>
                <w:rFonts w:ascii="Calibri" w:eastAsia="Times New Roman" w:hAnsi="Calibri" w:cstheme="minorHAnsi"/>
                <w:color w:val="000000"/>
                <w:sz w:val="20"/>
                <w:szCs w:val="20"/>
                <w:lang w:val="en-GB"/>
              </w:rPr>
              <w:t xml:space="preserve">compared to baseline </w:t>
            </w:r>
            <w:r>
              <w:rPr>
                <w:rFonts w:ascii="Calibri" w:eastAsia="Times New Roman" w:hAnsi="Calibri" w:cstheme="minorHAnsi"/>
                <w:color w:val="000000"/>
                <w:sz w:val="20"/>
                <w:szCs w:val="20"/>
                <w:lang w:val="en-GB"/>
              </w:rPr>
              <w:t>(</w:t>
            </w:r>
            <w:r w:rsidRPr="00B37C1C">
              <w:rPr>
                <w:rFonts w:ascii="Calibri" w:eastAsia="Times New Roman" w:hAnsi="Calibri" w:cstheme="minorHAnsi"/>
                <w:color w:val="000000"/>
                <w:sz w:val="20"/>
                <w:szCs w:val="20"/>
                <w:lang w:val="en-GB"/>
              </w:rPr>
              <w:t>(physician-centered)</w:t>
            </w:r>
          </w:p>
          <w:p w14:paraId="2BD50992"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26DCF517"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A87D54">
              <w:rPr>
                <w:rFonts w:ascii="Calibri" w:eastAsia="Times New Roman" w:hAnsi="Calibri" w:cstheme="minorHAnsi"/>
                <w:color w:val="000000"/>
                <w:sz w:val="20"/>
                <w:szCs w:val="20"/>
                <w:lang w:val="en-GB"/>
              </w:rPr>
              <w:t xml:space="preserve"> Average hypoglycemia frequency </w:t>
            </w:r>
            <w:r>
              <w:rPr>
                <w:rFonts w:ascii="Calibri" w:eastAsia="Times New Roman" w:hAnsi="Calibri" w:cstheme="minorHAnsi"/>
                <w:color w:val="000000"/>
                <w:sz w:val="20"/>
                <w:szCs w:val="20"/>
                <w:lang w:val="en-GB"/>
              </w:rPr>
              <w:t xml:space="preserve">also </w:t>
            </w:r>
            <w:r w:rsidRPr="00A87D54">
              <w:rPr>
                <w:rFonts w:ascii="Calibri" w:eastAsia="Times New Roman" w:hAnsi="Calibri" w:cstheme="minorHAnsi"/>
                <w:color w:val="000000"/>
                <w:sz w:val="20"/>
                <w:szCs w:val="20"/>
                <w:lang w:val="en-GB"/>
              </w:rPr>
              <w:t>decreased</w:t>
            </w:r>
            <w:r>
              <w:rPr>
                <w:rFonts w:ascii="Calibri" w:eastAsia="Times New Roman" w:hAnsi="Calibri" w:cstheme="minorHAnsi"/>
                <w:color w:val="000000"/>
                <w:sz w:val="20"/>
                <w:szCs w:val="20"/>
                <w:lang w:val="en-GB"/>
              </w:rPr>
              <w:t xml:space="preserve"> among patients saw by a pharmacist compared to baseline</w:t>
            </w:r>
          </w:p>
          <w:p w14:paraId="05B33F09"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48860147"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t xml:space="preserve"> </w:t>
            </w:r>
            <w:r>
              <w:rPr>
                <w:rFonts w:ascii="Calibri" w:eastAsia="Times New Roman" w:hAnsi="Calibri" w:cstheme="minorHAnsi"/>
                <w:color w:val="000000"/>
                <w:sz w:val="20"/>
                <w:szCs w:val="20"/>
                <w:lang w:val="en-GB"/>
              </w:rPr>
              <w:t>P</w:t>
            </w:r>
            <w:r w:rsidRPr="00281C42">
              <w:rPr>
                <w:rFonts w:ascii="Calibri" w:eastAsia="Times New Roman" w:hAnsi="Calibri" w:cstheme="minorHAnsi"/>
                <w:color w:val="000000"/>
                <w:sz w:val="20"/>
                <w:szCs w:val="20"/>
                <w:lang w:val="en-GB"/>
              </w:rPr>
              <w:t>harmacist</w:t>
            </w:r>
            <w:r>
              <w:rPr>
                <w:rFonts w:ascii="Calibri" w:eastAsia="Times New Roman" w:hAnsi="Calibri" w:cstheme="minorHAnsi"/>
                <w:color w:val="000000"/>
                <w:sz w:val="20"/>
                <w:szCs w:val="20"/>
                <w:lang w:val="en-GB"/>
              </w:rPr>
              <w:t xml:space="preserve"> led diabetes clinic </w:t>
            </w:r>
            <w:r w:rsidRPr="00281C42">
              <w:rPr>
                <w:rFonts w:ascii="Calibri" w:eastAsia="Times New Roman" w:hAnsi="Calibri" w:cstheme="minorHAnsi"/>
                <w:color w:val="000000"/>
                <w:sz w:val="20"/>
                <w:szCs w:val="20"/>
                <w:lang w:val="en-GB"/>
              </w:rPr>
              <w:t>helped optimi</w:t>
            </w:r>
            <w:r>
              <w:rPr>
                <w:rFonts w:ascii="Calibri" w:eastAsia="Times New Roman" w:hAnsi="Calibri" w:cstheme="minorHAnsi"/>
                <w:color w:val="000000"/>
                <w:sz w:val="20"/>
                <w:szCs w:val="20"/>
                <w:lang w:val="en-GB"/>
              </w:rPr>
              <w:t>s</w:t>
            </w:r>
            <w:r w:rsidRPr="00281C42">
              <w:rPr>
                <w:rFonts w:ascii="Calibri" w:eastAsia="Times New Roman" w:hAnsi="Calibri" w:cstheme="minorHAnsi"/>
                <w:color w:val="000000"/>
                <w:sz w:val="20"/>
                <w:szCs w:val="20"/>
                <w:lang w:val="en-GB"/>
              </w:rPr>
              <w:t>e therapeutic outcomes</w:t>
            </w:r>
          </w:p>
          <w:p w14:paraId="57EBE5CC" w14:textId="77777777" w:rsidR="009D2B25" w:rsidRDefault="009D2B25" w:rsidP="00282204">
            <w:pPr>
              <w:spacing w:after="0" w:line="240" w:lineRule="auto"/>
              <w:rPr>
                <w:rFonts w:ascii="Calibri" w:eastAsia="Times New Roman" w:hAnsi="Calibri" w:cstheme="minorHAnsi"/>
                <w:color w:val="000000"/>
                <w:sz w:val="20"/>
                <w:szCs w:val="20"/>
                <w:lang w:val="en-GB"/>
              </w:rPr>
            </w:pPr>
          </w:p>
        </w:tc>
      </w:tr>
      <w:tr w:rsidR="009D2B25" w:rsidRPr="00CE056C" w14:paraId="569B1D28" w14:textId="77777777" w:rsidTr="00282204">
        <w:trPr>
          <w:trHeight w:val="1737"/>
        </w:trPr>
        <w:tc>
          <w:tcPr>
            <w:tcW w:w="540" w:type="dxa"/>
            <w:tcBorders>
              <w:top w:val="nil"/>
              <w:left w:val="single" w:sz="4" w:space="0" w:color="auto"/>
              <w:bottom w:val="single" w:sz="4" w:space="0" w:color="auto"/>
              <w:right w:val="single" w:sz="4" w:space="0" w:color="auto"/>
            </w:tcBorders>
            <w:shd w:val="clear" w:color="auto" w:fill="auto"/>
          </w:tcPr>
          <w:p w14:paraId="764671C6" w14:textId="77777777" w:rsidR="009D2B25" w:rsidRPr="00370009" w:rsidRDefault="009D2B25" w:rsidP="00282204">
            <w:pPr>
              <w:spacing w:after="0" w:line="240" w:lineRule="auto"/>
              <w:rPr>
                <w:sz w:val="20"/>
                <w:szCs w:val="20"/>
                <w:lang w:val="en-GB"/>
              </w:rPr>
            </w:pPr>
            <w:r>
              <w:rPr>
                <w:sz w:val="20"/>
                <w:szCs w:val="20"/>
                <w:lang w:val="en-GB"/>
              </w:rPr>
              <w:t>10</w:t>
            </w:r>
          </w:p>
        </w:tc>
        <w:tc>
          <w:tcPr>
            <w:tcW w:w="990" w:type="dxa"/>
            <w:tcBorders>
              <w:top w:val="nil"/>
              <w:left w:val="nil"/>
              <w:bottom w:val="single" w:sz="4" w:space="0" w:color="auto"/>
              <w:right w:val="single" w:sz="4" w:space="0" w:color="auto"/>
            </w:tcBorders>
            <w:shd w:val="clear" w:color="auto" w:fill="auto"/>
          </w:tcPr>
          <w:p w14:paraId="0787BEFB" w14:textId="77777777" w:rsidR="009D2B25" w:rsidRPr="00370009" w:rsidRDefault="009D2B25" w:rsidP="00282204">
            <w:pPr>
              <w:spacing w:after="0" w:line="240" w:lineRule="auto"/>
              <w:rPr>
                <w:sz w:val="20"/>
                <w:szCs w:val="20"/>
                <w:lang w:val="en-GB"/>
              </w:rPr>
            </w:pPr>
            <w:r w:rsidRPr="00370009">
              <w:rPr>
                <w:sz w:val="20"/>
                <w:szCs w:val="20"/>
                <w:lang w:val="en-GB"/>
              </w:rPr>
              <w:fldChar w:fldCharType="begin" w:fldLock="1"/>
            </w:r>
            <w:r w:rsidRPr="00370009">
              <w:rPr>
                <w:sz w:val="20"/>
                <w:szCs w:val="20"/>
                <w:lang w:val="en-GB"/>
              </w:rPr>
              <w:instrText>ADDIN CSL_CITATION {"citationItems":[{"id":"ITEM-1","itemData":{"DOI":"10.1002/jac5.1602","author":[{"dropping-particle":"","family":"Abdullah","given":"Meshal","non-dropping-particle":"","parse-names":false,"suffix":""},{"dropping-particle":"","family":"Pharm","given":"Alnais B S","non-dropping-particle":"","parse-names":false,"suffix":""},{"dropping-particle":"","family":"Faris","given":"Ali","non-dropping-particle":"","parse-names":false,"suffix":""},{"dropping-particle":"","family":"Pharm","given":"Altebainawi","non-dropping-particle":"","parse-names":false,"suffix":""}],"container-title":"Journal of the American College of Clinical Pharmacy","id":"ITEM-1","issue":"July 2021","issued":{"date-parts":[["2022"]]},"page":"509-515","title":"Implementation of the first pharmacist-led diabetes clinic at Ministry of Health Hospitals , Saudi Arabia","type":"article-journal"},"uris":["http://www.mendeley.com/documents/?uuid=592d6c66-e6f5-41c4-818f-386fbf7e2b9b"]}],"mendeley":{"formattedCitation":"(Abdullah &lt;i&gt;et al.&lt;/i&gt;, 2022)","plainTextFormattedCitation":"(Abdullah et al., 2022)","previouslyFormattedCitation":"(Abdullah &lt;i&gt;et al.&lt;/i&gt;, 2022)"},"properties":{"noteIndex":0},"schema":"https://github.com/citation-style-language/schema/raw/master/csl-citation.json"}</w:instrText>
            </w:r>
            <w:r w:rsidRPr="00370009">
              <w:rPr>
                <w:sz w:val="20"/>
                <w:szCs w:val="20"/>
                <w:lang w:val="en-GB"/>
              </w:rPr>
              <w:fldChar w:fldCharType="separate"/>
            </w:r>
            <w:r w:rsidRPr="00370009">
              <w:rPr>
                <w:noProof/>
                <w:sz w:val="20"/>
                <w:szCs w:val="20"/>
                <w:lang w:val="en-GB"/>
              </w:rPr>
              <w:t xml:space="preserve">(Abdullah </w:t>
            </w:r>
            <w:r w:rsidRPr="00370009">
              <w:rPr>
                <w:i/>
                <w:noProof/>
                <w:sz w:val="20"/>
                <w:szCs w:val="20"/>
                <w:lang w:val="en-GB"/>
              </w:rPr>
              <w:t>et al.</w:t>
            </w:r>
            <w:r w:rsidRPr="00370009">
              <w:rPr>
                <w:noProof/>
                <w:sz w:val="20"/>
                <w:szCs w:val="20"/>
                <w:lang w:val="en-GB"/>
              </w:rPr>
              <w:t>, 2022)</w:t>
            </w:r>
            <w:r w:rsidRPr="00370009">
              <w:rPr>
                <w:sz w:val="20"/>
                <w:szCs w:val="20"/>
                <w:lang w:val="en-GB"/>
              </w:rPr>
              <w:fldChar w:fldCharType="end"/>
            </w:r>
          </w:p>
        </w:tc>
        <w:tc>
          <w:tcPr>
            <w:tcW w:w="1620" w:type="dxa"/>
            <w:tcBorders>
              <w:top w:val="nil"/>
              <w:left w:val="nil"/>
              <w:bottom w:val="single" w:sz="4" w:space="0" w:color="auto"/>
              <w:right w:val="single" w:sz="4" w:space="0" w:color="auto"/>
            </w:tcBorders>
            <w:shd w:val="clear" w:color="auto" w:fill="auto"/>
          </w:tcPr>
          <w:p w14:paraId="7DB65502" w14:textId="77777777" w:rsidR="009D2B25" w:rsidRPr="00370009" w:rsidRDefault="009D2B25" w:rsidP="00282204">
            <w:pPr>
              <w:spacing w:after="0" w:line="240" w:lineRule="auto"/>
              <w:rPr>
                <w:sz w:val="20"/>
                <w:szCs w:val="20"/>
                <w:lang w:val="en-GB"/>
              </w:rPr>
            </w:pPr>
            <w:r w:rsidRPr="00370009">
              <w:rPr>
                <w:sz w:val="20"/>
                <w:szCs w:val="20"/>
              </w:rPr>
              <w:t xml:space="preserve">Implementation of the first pharmacist-led diabetes clinic at </w:t>
            </w:r>
            <w:r>
              <w:rPr>
                <w:sz w:val="20"/>
                <w:szCs w:val="20"/>
              </w:rPr>
              <w:t>MoH</w:t>
            </w:r>
            <w:r w:rsidRPr="00370009">
              <w:rPr>
                <w:sz w:val="20"/>
                <w:szCs w:val="20"/>
              </w:rPr>
              <w:t xml:space="preserve"> Hospitals, </w:t>
            </w:r>
            <w:r>
              <w:rPr>
                <w:sz w:val="20"/>
                <w:szCs w:val="20"/>
              </w:rPr>
              <w:t>SA.</w:t>
            </w:r>
          </w:p>
        </w:tc>
        <w:tc>
          <w:tcPr>
            <w:tcW w:w="1530" w:type="dxa"/>
            <w:tcBorders>
              <w:top w:val="nil"/>
              <w:left w:val="nil"/>
              <w:bottom w:val="single" w:sz="4" w:space="0" w:color="auto"/>
              <w:right w:val="single" w:sz="4" w:space="0" w:color="auto"/>
            </w:tcBorders>
            <w:shd w:val="clear" w:color="auto" w:fill="auto"/>
          </w:tcPr>
          <w:p w14:paraId="56E825E9" w14:textId="77777777" w:rsidR="009D2B25" w:rsidRDefault="009D2B25" w:rsidP="00282204">
            <w:pPr>
              <w:spacing w:after="0" w:line="240" w:lineRule="auto"/>
              <w:rPr>
                <w:sz w:val="20"/>
                <w:szCs w:val="20"/>
              </w:rPr>
            </w:pPr>
            <w:r w:rsidRPr="00370009">
              <w:rPr>
                <w:sz w:val="20"/>
                <w:szCs w:val="20"/>
                <w:lang w:val="en-GB"/>
              </w:rPr>
              <w:t>King Salman Specialist Hospital in Hail Region</w:t>
            </w:r>
            <w:r>
              <w:rPr>
                <w:sz w:val="20"/>
                <w:szCs w:val="20"/>
              </w:rPr>
              <w:t>, SA.</w:t>
            </w:r>
          </w:p>
          <w:p w14:paraId="230342F9" w14:textId="77777777" w:rsidR="009D2B25" w:rsidRPr="000D530C" w:rsidRDefault="009D2B25" w:rsidP="00282204">
            <w:pPr>
              <w:spacing w:after="0" w:line="240" w:lineRule="auto"/>
              <w:rPr>
                <w:sz w:val="20"/>
                <w:szCs w:val="20"/>
              </w:rPr>
            </w:pPr>
          </w:p>
        </w:tc>
        <w:tc>
          <w:tcPr>
            <w:tcW w:w="1980" w:type="dxa"/>
            <w:tcBorders>
              <w:top w:val="nil"/>
              <w:left w:val="nil"/>
              <w:bottom w:val="single" w:sz="4" w:space="0" w:color="auto"/>
              <w:right w:val="single" w:sz="4" w:space="0" w:color="auto"/>
            </w:tcBorders>
            <w:shd w:val="clear" w:color="auto" w:fill="auto"/>
          </w:tcPr>
          <w:p w14:paraId="4F2D1071" w14:textId="77777777" w:rsidR="009D2B25" w:rsidRPr="008C6F66"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T</w:t>
            </w:r>
            <w:r w:rsidRPr="0094632E">
              <w:rPr>
                <w:rFonts w:ascii="Calibri" w:eastAsia="Times New Roman" w:hAnsi="Calibri" w:cs="Calibri"/>
                <w:color w:val="000000"/>
                <w:sz w:val="20"/>
                <w:szCs w:val="20"/>
                <w:lang w:val="en-GB"/>
              </w:rPr>
              <w:t xml:space="preserve">he clinic was </w:t>
            </w:r>
            <w:r>
              <w:rPr>
                <w:rFonts w:ascii="Calibri" w:eastAsia="Times New Roman" w:hAnsi="Calibri" w:cs="Calibri"/>
                <w:color w:val="000000"/>
                <w:sz w:val="20"/>
                <w:szCs w:val="20"/>
                <w:lang w:val="en-GB"/>
              </w:rPr>
              <w:t>launched</w:t>
            </w:r>
            <w:r w:rsidRPr="0094632E">
              <w:rPr>
                <w:rFonts w:ascii="Calibri" w:eastAsia="Times New Roman" w:hAnsi="Calibri" w:cs="Calibri"/>
                <w:color w:val="000000"/>
                <w:sz w:val="20"/>
                <w:szCs w:val="20"/>
                <w:lang w:val="en-GB"/>
              </w:rPr>
              <w:t xml:space="preserve"> in January 2019. </w:t>
            </w:r>
          </w:p>
        </w:tc>
        <w:tc>
          <w:tcPr>
            <w:tcW w:w="1440" w:type="dxa"/>
            <w:tcBorders>
              <w:top w:val="nil"/>
              <w:left w:val="nil"/>
              <w:bottom w:val="single" w:sz="4" w:space="0" w:color="auto"/>
              <w:right w:val="single" w:sz="4" w:space="0" w:color="auto"/>
            </w:tcBorders>
            <w:shd w:val="clear" w:color="auto" w:fill="auto"/>
          </w:tcPr>
          <w:p w14:paraId="0EDC8B8E" w14:textId="77777777" w:rsidR="009D2B25" w:rsidRPr="00370009" w:rsidRDefault="009D2B25" w:rsidP="00282204">
            <w:pPr>
              <w:spacing w:after="0" w:line="240" w:lineRule="auto"/>
              <w:rPr>
                <w:sz w:val="20"/>
                <w:szCs w:val="20"/>
                <w:lang w:val="en-GB"/>
              </w:rPr>
            </w:pPr>
            <w:r w:rsidRPr="003F41A3">
              <w:rPr>
                <w:sz w:val="20"/>
                <w:szCs w:val="20"/>
                <w:lang w:val="en-GB"/>
              </w:rPr>
              <w:t>A report on the establishment of a diabetes clinic led by a clinic</w:t>
            </w:r>
            <w:r>
              <w:rPr>
                <w:sz w:val="20"/>
                <w:szCs w:val="20"/>
                <w:lang w:val="en-GB"/>
              </w:rPr>
              <w:t xml:space="preserve">al </w:t>
            </w:r>
            <w:r w:rsidRPr="003F41A3">
              <w:rPr>
                <w:sz w:val="20"/>
                <w:szCs w:val="20"/>
                <w:lang w:val="en-GB"/>
              </w:rPr>
              <w:t>pharmacist as the first clinic in the Saudi MoH</w:t>
            </w:r>
          </w:p>
        </w:tc>
        <w:tc>
          <w:tcPr>
            <w:tcW w:w="3510" w:type="dxa"/>
            <w:tcBorders>
              <w:top w:val="nil"/>
              <w:left w:val="nil"/>
              <w:bottom w:val="single" w:sz="4" w:space="0" w:color="auto"/>
              <w:right w:val="single" w:sz="4" w:space="0" w:color="auto"/>
            </w:tcBorders>
            <w:shd w:val="clear" w:color="auto" w:fill="auto"/>
          </w:tcPr>
          <w:p w14:paraId="3DE28B85" w14:textId="77777777" w:rsidR="009D2B25" w:rsidRDefault="009D2B25" w:rsidP="00282204">
            <w:pPr>
              <w:spacing w:after="0" w:line="240" w:lineRule="auto"/>
              <w:rPr>
                <w:sz w:val="20"/>
                <w:szCs w:val="20"/>
                <w:lang w:val="en-GB"/>
              </w:rPr>
            </w:pPr>
            <w:r>
              <w:rPr>
                <w:sz w:val="20"/>
                <w:szCs w:val="20"/>
                <w:lang w:val="en-GB"/>
              </w:rPr>
              <w:t>A</w:t>
            </w:r>
            <w:r w:rsidRPr="0028245D">
              <w:rPr>
                <w:sz w:val="20"/>
                <w:szCs w:val="20"/>
                <w:lang w:val="en-GB"/>
              </w:rPr>
              <w:t xml:space="preserve"> collaborative practice agreement</w:t>
            </w:r>
            <w:r>
              <w:rPr>
                <w:sz w:val="20"/>
                <w:szCs w:val="20"/>
                <w:lang w:val="en-GB"/>
              </w:rPr>
              <w:t xml:space="preserve"> between </w:t>
            </w:r>
            <w:r w:rsidRPr="00B975AF">
              <w:rPr>
                <w:sz w:val="20"/>
                <w:szCs w:val="20"/>
                <w:lang w:val="en-GB"/>
              </w:rPr>
              <w:t xml:space="preserve">pharmacists and other healthcare practitioners </w:t>
            </w:r>
            <w:r>
              <w:rPr>
                <w:sz w:val="20"/>
                <w:szCs w:val="20"/>
                <w:lang w:val="en-GB"/>
              </w:rPr>
              <w:t xml:space="preserve">that </w:t>
            </w:r>
            <w:r w:rsidRPr="0028245D">
              <w:rPr>
                <w:sz w:val="20"/>
                <w:szCs w:val="20"/>
                <w:lang w:val="en-GB"/>
              </w:rPr>
              <w:t xml:space="preserve">allows </w:t>
            </w:r>
            <w:r>
              <w:rPr>
                <w:sz w:val="20"/>
                <w:szCs w:val="20"/>
                <w:lang w:val="en-GB"/>
              </w:rPr>
              <w:t>a</w:t>
            </w:r>
            <w:r w:rsidRPr="0028245D">
              <w:rPr>
                <w:sz w:val="20"/>
                <w:szCs w:val="20"/>
                <w:lang w:val="en-GB"/>
              </w:rPr>
              <w:t xml:space="preserve"> clinical pharmacist to educate</w:t>
            </w:r>
            <w:r>
              <w:rPr>
                <w:sz w:val="20"/>
                <w:szCs w:val="20"/>
                <w:lang w:val="en-GB"/>
              </w:rPr>
              <w:t xml:space="preserve"> patients</w:t>
            </w:r>
            <w:r w:rsidRPr="0028245D">
              <w:rPr>
                <w:sz w:val="20"/>
                <w:szCs w:val="20"/>
                <w:lang w:val="en-GB"/>
              </w:rPr>
              <w:t>, assess</w:t>
            </w:r>
            <w:r>
              <w:rPr>
                <w:sz w:val="20"/>
                <w:szCs w:val="20"/>
                <w:lang w:val="en-GB"/>
              </w:rPr>
              <w:t xml:space="preserve"> medication management plan</w:t>
            </w:r>
            <w:r w:rsidRPr="0028245D">
              <w:rPr>
                <w:sz w:val="20"/>
                <w:szCs w:val="20"/>
                <w:lang w:val="en-GB"/>
              </w:rPr>
              <w:t>, monitor</w:t>
            </w:r>
            <w:r>
              <w:rPr>
                <w:sz w:val="20"/>
                <w:szCs w:val="20"/>
                <w:lang w:val="en-GB"/>
              </w:rPr>
              <w:t>/follow up patients</w:t>
            </w:r>
            <w:r w:rsidRPr="0028245D">
              <w:rPr>
                <w:sz w:val="20"/>
                <w:szCs w:val="20"/>
                <w:lang w:val="en-GB"/>
              </w:rPr>
              <w:t>, order related laboratory tests, prescribe</w:t>
            </w:r>
            <w:r>
              <w:rPr>
                <w:sz w:val="20"/>
                <w:szCs w:val="20"/>
                <w:lang w:val="en-GB"/>
              </w:rPr>
              <w:t>&amp;</w:t>
            </w:r>
            <w:r w:rsidRPr="0028245D">
              <w:rPr>
                <w:sz w:val="20"/>
                <w:szCs w:val="20"/>
                <w:lang w:val="en-GB"/>
              </w:rPr>
              <w:t xml:space="preserve">modify medications within </w:t>
            </w:r>
            <w:r>
              <w:rPr>
                <w:sz w:val="20"/>
                <w:szCs w:val="20"/>
                <w:lang w:val="en-GB"/>
              </w:rPr>
              <w:t>their scope of practice</w:t>
            </w:r>
            <w:r w:rsidRPr="0028245D">
              <w:rPr>
                <w:sz w:val="20"/>
                <w:szCs w:val="20"/>
                <w:lang w:val="en-GB"/>
              </w:rPr>
              <w:t>.</w:t>
            </w:r>
          </w:p>
          <w:p w14:paraId="370F4B5A" w14:textId="77777777" w:rsidR="009D2B25" w:rsidRDefault="009D2B25" w:rsidP="00282204">
            <w:pPr>
              <w:spacing w:after="0" w:line="240" w:lineRule="auto"/>
              <w:rPr>
                <w:rFonts w:ascii="Calibri" w:eastAsia="Times New Roman" w:hAnsi="Calibri" w:cs="Calibri"/>
                <w:color w:val="000000"/>
                <w:sz w:val="20"/>
                <w:szCs w:val="20"/>
                <w:lang w:val="en-GB"/>
              </w:rPr>
            </w:pPr>
            <w:r>
              <w:rPr>
                <w:sz w:val="20"/>
                <w:szCs w:val="20"/>
              </w:rPr>
              <w:t xml:space="preserve"> </w:t>
            </w:r>
          </w:p>
        </w:tc>
        <w:tc>
          <w:tcPr>
            <w:tcW w:w="3407" w:type="dxa"/>
            <w:tcBorders>
              <w:top w:val="nil"/>
              <w:left w:val="nil"/>
              <w:bottom w:val="single" w:sz="4" w:space="0" w:color="auto"/>
              <w:right w:val="single" w:sz="4" w:space="0" w:color="auto"/>
            </w:tcBorders>
            <w:shd w:val="clear" w:color="auto" w:fill="auto"/>
          </w:tcPr>
          <w:p w14:paraId="60CA93F6"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AF5C08">
              <w:rPr>
                <w:rFonts w:ascii="Calibri" w:eastAsia="Times New Roman" w:hAnsi="Calibri" w:cstheme="minorHAnsi"/>
                <w:color w:val="000000"/>
                <w:sz w:val="20"/>
                <w:szCs w:val="20"/>
                <w:lang w:val="en-GB"/>
              </w:rPr>
              <w:t xml:space="preserve">Reporting on the first initiative to establish a diabetes clinic led by a clinical pharmacist at a hospital affiliated with the Saudi </w:t>
            </w:r>
            <w:r>
              <w:rPr>
                <w:rFonts w:ascii="Calibri" w:eastAsia="Times New Roman" w:hAnsi="Calibri" w:cstheme="minorHAnsi"/>
                <w:color w:val="000000"/>
                <w:sz w:val="20"/>
                <w:szCs w:val="20"/>
                <w:lang w:val="en-GB"/>
              </w:rPr>
              <w:t>MoH</w:t>
            </w:r>
            <w:r w:rsidRPr="00AF5C08">
              <w:rPr>
                <w:rFonts w:ascii="Calibri" w:eastAsia="Times New Roman" w:hAnsi="Calibri" w:cstheme="minorHAnsi"/>
                <w:color w:val="000000"/>
                <w:sz w:val="20"/>
                <w:szCs w:val="20"/>
                <w:lang w:val="en-GB"/>
              </w:rPr>
              <w:t xml:space="preserve"> could encourage other healthcare settings affiliated with the same ministry to replicate this in their practices.</w:t>
            </w:r>
          </w:p>
        </w:tc>
      </w:tr>
      <w:tr w:rsidR="009D2B25" w:rsidRPr="00CE056C" w14:paraId="31D4F8F1" w14:textId="77777777" w:rsidTr="00282204">
        <w:trPr>
          <w:trHeight w:val="2357"/>
        </w:trPr>
        <w:tc>
          <w:tcPr>
            <w:tcW w:w="540" w:type="dxa"/>
            <w:tcBorders>
              <w:top w:val="nil"/>
              <w:left w:val="single" w:sz="4" w:space="0" w:color="auto"/>
              <w:bottom w:val="single" w:sz="4" w:space="0" w:color="auto"/>
              <w:right w:val="single" w:sz="4" w:space="0" w:color="auto"/>
            </w:tcBorders>
            <w:shd w:val="clear" w:color="auto" w:fill="auto"/>
          </w:tcPr>
          <w:p w14:paraId="17BA6ABD"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11</w:t>
            </w:r>
          </w:p>
        </w:tc>
        <w:tc>
          <w:tcPr>
            <w:tcW w:w="990" w:type="dxa"/>
            <w:tcBorders>
              <w:top w:val="nil"/>
              <w:left w:val="nil"/>
              <w:bottom w:val="single" w:sz="4" w:space="0" w:color="auto"/>
              <w:right w:val="single" w:sz="4" w:space="0" w:color="auto"/>
            </w:tcBorders>
            <w:shd w:val="clear" w:color="auto" w:fill="auto"/>
          </w:tcPr>
          <w:p w14:paraId="659D9B04"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(Alsuwayni and Alhossan, 2020)</w:t>
            </w:r>
          </w:p>
        </w:tc>
        <w:tc>
          <w:tcPr>
            <w:tcW w:w="1620" w:type="dxa"/>
            <w:tcBorders>
              <w:top w:val="nil"/>
              <w:left w:val="nil"/>
              <w:bottom w:val="single" w:sz="4" w:space="0" w:color="auto"/>
              <w:right w:val="single" w:sz="4" w:space="0" w:color="auto"/>
            </w:tcBorders>
            <w:shd w:val="clear" w:color="auto" w:fill="auto"/>
          </w:tcPr>
          <w:p w14:paraId="6A50D7CB"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Impact of clinical pharmacist-led diabetes management clinic on health outcomes at an academic hospital in Riyadh, </w:t>
            </w:r>
            <w:r>
              <w:rPr>
                <w:rFonts w:ascii="Calibri" w:eastAsia="Times New Roman" w:hAnsi="Calibri" w:cs="Calibri"/>
                <w:color w:val="000000"/>
                <w:sz w:val="20"/>
                <w:szCs w:val="20"/>
                <w:lang w:val="en-GB"/>
              </w:rPr>
              <w:t>SA</w:t>
            </w:r>
            <w:r w:rsidRPr="00BD58A2">
              <w:rPr>
                <w:rFonts w:ascii="Calibri" w:eastAsia="Times New Roman" w:hAnsi="Calibri" w:cs="Calibri"/>
                <w:color w:val="000000"/>
                <w:sz w:val="20"/>
                <w:szCs w:val="20"/>
                <w:lang w:val="en-GB"/>
              </w:rPr>
              <w:t>: A prospective cohort study.</w:t>
            </w:r>
          </w:p>
        </w:tc>
        <w:tc>
          <w:tcPr>
            <w:tcW w:w="1530" w:type="dxa"/>
            <w:tcBorders>
              <w:top w:val="nil"/>
              <w:left w:val="nil"/>
              <w:bottom w:val="single" w:sz="4" w:space="0" w:color="auto"/>
              <w:right w:val="single" w:sz="4" w:space="0" w:color="auto"/>
            </w:tcBorders>
            <w:shd w:val="clear" w:color="auto" w:fill="auto"/>
          </w:tcPr>
          <w:p w14:paraId="3A7383CD" w14:textId="77777777" w:rsidR="009D2B25"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Ambulatory care clinic (outpatient) in an academic hospital in Riyadh, </w:t>
            </w:r>
            <w:r>
              <w:rPr>
                <w:rFonts w:ascii="Calibri" w:eastAsia="Times New Roman" w:hAnsi="Calibri" w:cs="Calibri"/>
                <w:color w:val="000000"/>
                <w:sz w:val="20"/>
                <w:szCs w:val="20"/>
                <w:lang w:val="en-GB"/>
              </w:rPr>
              <w:t>SA.</w:t>
            </w:r>
          </w:p>
          <w:p w14:paraId="7C942F61" w14:textId="77777777" w:rsidR="009D2B25" w:rsidRPr="00BD58A2" w:rsidRDefault="009D2B25" w:rsidP="00282204">
            <w:pPr>
              <w:spacing w:after="0" w:line="240" w:lineRule="auto"/>
              <w:rPr>
                <w:rFonts w:ascii="Calibri" w:eastAsia="Times New Roman" w:hAnsi="Calibri" w:cs="Calibri"/>
                <w:color w:val="000000"/>
                <w:sz w:val="20"/>
                <w:szCs w:val="20"/>
                <w:lang w:val="en-GB"/>
              </w:rPr>
            </w:pPr>
          </w:p>
        </w:tc>
        <w:tc>
          <w:tcPr>
            <w:tcW w:w="1980" w:type="dxa"/>
            <w:tcBorders>
              <w:top w:val="nil"/>
              <w:left w:val="nil"/>
              <w:bottom w:val="single" w:sz="4" w:space="0" w:color="auto"/>
              <w:right w:val="single" w:sz="4" w:space="0" w:color="auto"/>
            </w:tcBorders>
            <w:shd w:val="clear" w:color="auto" w:fill="auto"/>
          </w:tcPr>
          <w:p w14:paraId="5BEA8942"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34 patients with </w:t>
            </w:r>
            <w:r>
              <w:rPr>
                <w:rFonts w:ascii="Calibri" w:eastAsia="Times New Roman" w:hAnsi="Calibri" w:cs="Calibri"/>
                <w:color w:val="000000"/>
                <w:sz w:val="20"/>
                <w:szCs w:val="20"/>
                <w:lang w:val="en-GB"/>
              </w:rPr>
              <w:t xml:space="preserve">T2D </w:t>
            </w:r>
            <w:r w:rsidRPr="007E76FB">
              <w:rPr>
                <w:rFonts w:ascii="Calibri" w:eastAsia="Times New Roman" w:hAnsi="Calibri" w:cs="Calibri"/>
                <w:color w:val="000000"/>
                <w:sz w:val="20"/>
                <w:szCs w:val="20"/>
                <w:lang w:val="en-GB"/>
              </w:rPr>
              <w:t>referred to the clinical pharmacist clinic for diabetes management</w:t>
            </w:r>
            <w:r>
              <w:rPr>
                <w:rFonts w:ascii="Calibri" w:eastAsia="Times New Roman" w:hAnsi="Calibri" w:cs="Calibri"/>
                <w:color w:val="000000"/>
                <w:sz w:val="20"/>
                <w:szCs w:val="20"/>
                <w:lang w:val="en-GB"/>
              </w:rPr>
              <w:t>.</w:t>
            </w:r>
          </w:p>
        </w:tc>
        <w:tc>
          <w:tcPr>
            <w:tcW w:w="1440" w:type="dxa"/>
            <w:tcBorders>
              <w:top w:val="nil"/>
              <w:left w:val="nil"/>
              <w:bottom w:val="single" w:sz="4" w:space="0" w:color="auto"/>
              <w:right w:val="single" w:sz="4" w:space="0" w:color="auto"/>
            </w:tcBorders>
            <w:shd w:val="clear" w:color="auto" w:fill="auto"/>
          </w:tcPr>
          <w:p w14:paraId="4FA08DE8"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A prospective cohort study</w:t>
            </w:r>
            <w:r>
              <w:rPr>
                <w:rFonts w:ascii="Calibri" w:eastAsia="Times New Roman" w:hAnsi="Calibri" w:cs="Calibri"/>
                <w:color w:val="000000"/>
                <w:sz w:val="20"/>
                <w:szCs w:val="20"/>
                <w:lang w:val="en-GB"/>
              </w:rPr>
              <w:t xml:space="preserve"> </w:t>
            </w:r>
            <w:r w:rsidRPr="00E20003">
              <w:rPr>
                <w:rFonts w:ascii="Calibri" w:eastAsia="Times New Roman" w:hAnsi="Calibri" w:cs="Calibri"/>
                <w:color w:val="000000"/>
                <w:sz w:val="20"/>
                <w:szCs w:val="20"/>
                <w:lang w:val="en-GB"/>
              </w:rPr>
              <w:t>conducted</w:t>
            </w:r>
            <w:r>
              <w:rPr>
                <w:rFonts w:ascii="Calibri" w:eastAsia="Times New Roman" w:hAnsi="Calibri" w:cs="Calibri"/>
                <w:color w:val="000000"/>
                <w:sz w:val="20"/>
                <w:szCs w:val="20"/>
                <w:lang w:val="en-GB"/>
              </w:rPr>
              <w:t xml:space="preserve"> </w:t>
            </w:r>
            <w:r w:rsidRPr="00E20003">
              <w:rPr>
                <w:rFonts w:ascii="Calibri" w:eastAsia="Times New Roman" w:hAnsi="Calibri" w:cs="Calibri"/>
                <w:color w:val="000000"/>
                <w:sz w:val="20"/>
                <w:szCs w:val="20"/>
                <w:lang w:val="en-GB"/>
              </w:rPr>
              <w:t>over an 11-month period</w:t>
            </w:r>
          </w:p>
        </w:tc>
        <w:tc>
          <w:tcPr>
            <w:tcW w:w="3510" w:type="dxa"/>
            <w:tcBorders>
              <w:top w:val="nil"/>
              <w:left w:val="nil"/>
              <w:bottom w:val="single" w:sz="4" w:space="0" w:color="auto"/>
              <w:right w:val="single" w:sz="4" w:space="0" w:color="auto"/>
            </w:tcBorders>
            <w:shd w:val="clear" w:color="auto" w:fill="auto"/>
          </w:tcPr>
          <w:p w14:paraId="5D70CA75"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Pharmacists provide specific medical services under a collaborative agreement. These services include: </w:t>
            </w:r>
          </w:p>
          <w:p w14:paraId="4B13C7CA"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-Performing routine diabetic care screening, including HgbA1C level, BP, lipid profile and thyroid function screening. </w:t>
            </w:r>
          </w:p>
          <w:p w14:paraId="50E46FB1"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-Performing assessment for nephropathy, neuropathy, retinopathy. </w:t>
            </w:r>
          </w:p>
          <w:p w14:paraId="669DB4F0"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-Performing foot examinations and eye referrals. </w:t>
            </w:r>
          </w:p>
          <w:p w14:paraId="4B333AA5"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-Provid</w:t>
            </w:r>
            <w:r>
              <w:rPr>
                <w:rFonts w:ascii="Calibri" w:eastAsia="Times New Roman" w:hAnsi="Calibri" w:cs="Calibri"/>
                <w:color w:val="000000"/>
                <w:sz w:val="20"/>
                <w:szCs w:val="20"/>
                <w:lang w:val="en-GB"/>
              </w:rPr>
              <w:t>ing</w:t>
            </w:r>
            <w:r w:rsidRPr="00BD58A2">
              <w:rPr>
                <w:rFonts w:ascii="Calibri" w:eastAsia="Times New Roman" w:hAnsi="Calibri" w:cs="Calibri"/>
                <w:color w:val="000000"/>
                <w:sz w:val="20"/>
                <w:szCs w:val="20"/>
                <w:lang w:val="en-GB"/>
              </w:rPr>
              <w:t xml:space="preserve"> </w:t>
            </w:r>
            <w:r>
              <w:rPr>
                <w:rFonts w:ascii="Calibri" w:eastAsia="Times New Roman" w:hAnsi="Calibri" w:cs="Calibri"/>
                <w:color w:val="000000"/>
                <w:sz w:val="20"/>
                <w:szCs w:val="20"/>
                <w:lang w:val="en-GB"/>
              </w:rPr>
              <w:t>MTM</w:t>
            </w:r>
            <w:r w:rsidRPr="00BD58A2">
              <w:rPr>
                <w:rFonts w:ascii="Calibri" w:eastAsia="Times New Roman" w:hAnsi="Calibri" w:cs="Calibri"/>
                <w:color w:val="000000"/>
                <w:sz w:val="20"/>
                <w:szCs w:val="20"/>
                <w:lang w:val="en-GB"/>
              </w:rPr>
              <w:t xml:space="preserve"> including recommendations for diabetes medication dosage or frequency adjustments, medication addition or alteration, as well as prescribing appropriate primary prevention of statin and/or aspirin therapy. </w:t>
            </w:r>
          </w:p>
          <w:p w14:paraId="075DB585"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-Providing preventive measurement, including depression screening and administration of guidelines-recommended vaccinations.</w:t>
            </w:r>
          </w:p>
          <w:p w14:paraId="3109602C"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-Provide patient education on the importance and impact of lifestyle modifications (diet and exercise) along with adherence to prescribed medications.</w:t>
            </w:r>
          </w:p>
        </w:tc>
        <w:tc>
          <w:tcPr>
            <w:tcW w:w="3407" w:type="dxa"/>
            <w:tcBorders>
              <w:top w:val="nil"/>
              <w:left w:val="nil"/>
              <w:bottom w:val="single" w:sz="4" w:space="0" w:color="auto"/>
              <w:right w:val="single" w:sz="4" w:space="0" w:color="auto"/>
            </w:tcBorders>
            <w:shd w:val="clear" w:color="auto" w:fill="auto"/>
          </w:tcPr>
          <w:p w14:paraId="4FBB3BF2"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1A3CE6">
              <w:rPr>
                <w:rFonts w:ascii="Calibri" w:eastAsia="Times New Roman" w:hAnsi="Calibri" w:cstheme="minorHAnsi"/>
                <w:color w:val="000000"/>
                <w:sz w:val="20"/>
                <w:szCs w:val="20"/>
                <w:lang w:val="en-GB"/>
              </w:rPr>
              <w:t xml:space="preserve">At the end of the study: </w:t>
            </w:r>
          </w:p>
          <w:p w14:paraId="5CF78316"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 xml:space="preserve">HbA1C had significantly improved compared to the baseline. </w:t>
            </w:r>
          </w:p>
          <w:p w14:paraId="1E6CCA78"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 xml:space="preserve">BP improved, and DBP showed a significant reduction, but the mean difference in BP was not statistically different compared to the baseline. </w:t>
            </w:r>
          </w:p>
          <w:p w14:paraId="4EA03183"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 xml:space="preserve">BMI </w:t>
            </w:r>
            <w:r w:rsidRPr="00A34E6F">
              <w:rPr>
                <w:rFonts w:ascii="Calibri" w:eastAsia="Times New Roman" w:hAnsi="Calibri" w:cstheme="minorHAnsi"/>
                <w:color w:val="000000"/>
                <w:sz w:val="20"/>
                <w:szCs w:val="20"/>
                <w:lang w:val="en-GB"/>
              </w:rPr>
              <w:t>decreased but</w:t>
            </w:r>
            <w:r w:rsidRPr="001A3CE6">
              <w:rPr>
                <w:rFonts w:ascii="Calibri" w:eastAsia="Times New Roman" w:hAnsi="Calibri" w:cstheme="minorHAnsi"/>
                <w:color w:val="000000"/>
                <w:sz w:val="20"/>
                <w:szCs w:val="20"/>
                <w:lang w:val="en-GB"/>
              </w:rPr>
              <w:t xml:space="preserve"> was not statistically significant. </w:t>
            </w:r>
          </w:p>
          <w:p w14:paraId="72985936"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 xml:space="preserve">For preventive measures, there were statistically significant differences in statin therapy, albuminuria screening, thyroid panel test, eye and foot examination, depression screening and vaccination favourable to the pharmacist’s intervention. </w:t>
            </w:r>
          </w:p>
          <w:p w14:paraId="59A358AA"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 xml:space="preserve">All patients were assessed for albuminuria and managed accordingly. </w:t>
            </w:r>
          </w:p>
          <w:p w14:paraId="6A8D48E6"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 xml:space="preserve">All patients were assessed for peripheral neuropathy. </w:t>
            </w:r>
          </w:p>
          <w:p w14:paraId="493282E9"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Statin was prescribed for all eligible patients.</w:t>
            </w:r>
          </w:p>
        </w:tc>
      </w:tr>
      <w:tr w:rsidR="009D2B25" w:rsidRPr="00CE056C" w14:paraId="3B0EC51C" w14:textId="77777777" w:rsidTr="00282204">
        <w:trPr>
          <w:trHeight w:val="2357"/>
        </w:trPr>
        <w:tc>
          <w:tcPr>
            <w:tcW w:w="540" w:type="dxa"/>
            <w:tcBorders>
              <w:top w:val="nil"/>
              <w:left w:val="single" w:sz="4" w:space="0" w:color="auto"/>
              <w:bottom w:val="single" w:sz="4" w:space="0" w:color="auto"/>
              <w:right w:val="single" w:sz="4" w:space="0" w:color="auto"/>
            </w:tcBorders>
            <w:shd w:val="clear" w:color="auto" w:fill="auto"/>
            <w:hideMark/>
          </w:tcPr>
          <w:p w14:paraId="525EF64A"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12</w:t>
            </w:r>
          </w:p>
        </w:tc>
        <w:tc>
          <w:tcPr>
            <w:tcW w:w="990" w:type="dxa"/>
            <w:tcBorders>
              <w:top w:val="nil"/>
              <w:left w:val="nil"/>
              <w:bottom w:val="single" w:sz="4" w:space="0" w:color="auto"/>
              <w:right w:val="single" w:sz="4" w:space="0" w:color="auto"/>
            </w:tcBorders>
            <w:shd w:val="clear" w:color="auto" w:fill="auto"/>
            <w:hideMark/>
          </w:tcPr>
          <w:p w14:paraId="201B4C54" w14:textId="77777777" w:rsidR="009D2B25"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(Khan et al., 2020)</w:t>
            </w:r>
          </w:p>
          <w:p w14:paraId="524BE504" w14:textId="77777777" w:rsidR="009D2B25" w:rsidRPr="00BD58A2" w:rsidRDefault="009D2B25" w:rsidP="00282204">
            <w:pPr>
              <w:spacing w:after="0" w:line="240" w:lineRule="auto"/>
              <w:rPr>
                <w:rFonts w:ascii="Calibri" w:eastAsia="Times New Roman" w:hAnsi="Calibri" w:cs="Calibri"/>
                <w:color w:val="000000"/>
                <w:sz w:val="20"/>
                <w:szCs w:val="20"/>
                <w:lang w:val="en-GB"/>
              </w:rPr>
            </w:pPr>
          </w:p>
        </w:tc>
        <w:tc>
          <w:tcPr>
            <w:tcW w:w="1620" w:type="dxa"/>
            <w:tcBorders>
              <w:top w:val="nil"/>
              <w:left w:val="nil"/>
              <w:bottom w:val="single" w:sz="4" w:space="0" w:color="auto"/>
              <w:right w:val="single" w:sz="4" w:space="0" w:color="auto"/>
            </w:tcBorders>
            <w:shd w:val="clear" w:color="auto" w:fill="auto"/>
            <w:hideMark/>
          </w:tcPr>
          <w:p w14:paraId="449DB4A0"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 xml:space="preserve">A program utilizing community pharmacists to improve diabetes education in the </w:t>
            </w:r>
            <w:r>
              <w:rPr>
                <w:rFonts w:ascii="Calibri" w:eastAsia="Times New Roman" w:hAnsi="Calibri" w:cs="Calibri"/>
                <w:color w:val="000000"/>
                <w:sz w:val="20"/>
                <w:szCs w:val="20"/>
                <w:lang w:val="en-GB"/>
              </w:rPr>
              <w:t>KSA.</w:t>
            </w:r>
          </w:p>
        </w:tc>
        <w:tc>
          <w:tcPr>
            <w:tcW w:w="1530" w:type="dxa"/>
            <w:tcBorders>
              <w:top w:val="nil"/>
              <w:left w:val="nil"/>
              <w:bottom w:val="single" w:sz="4" w:space="0" w:color="auto"/>
              <w:right w:val="single" w:sz="4" w:space="0" w:color="auto"/>
            </w:tcBorders>
            <w:shd w:val="clear" w:color="auto" w:fill="auto"/>
            <w:hideMark/>
          </w:tcPr>
          <w:p w14:paraId="712746B9"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The program was launched in 11 Nahdi retail pharmacies in 7 cities across SA: Jeddah, Riyadh, Dammam, Hafof, Maddinah, Taouk and Abha.</w:t>
            </w:r>
          </w:p>
        </w:tc>
        <w:tc>
          <w:tcPr>
            <w:tcW w:w="1980" w:type="dxa"/>
            <w:tcBorders>
              <w:top w:val="nil"/>
              <w:left w:val="nil"/>
              <w:bottom w:val="single" w:sz="4" w:space="0" w:color="auto"/>
              <w:right w:val="single" w:sz="4" w:space="0" w:color="auto"/>
            </w:tcBorders>
            <w:shd w:val="clear" w:color="auto" w:fill="auto"/>
            <w:hideMark/>
          </w:tcPr>
          <w:p w14:paraId="0AD116EE"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2639 individual customers enrolled into the program.</w:t>
            </w:r>
          </w:p>
        </w:tc>
        <w:tc>
          <w:tcPr>
            <w:tcW w:w="1440" w:type="dxa"/>
            <w:tcBorders>
              <w:top w:val="nil"/>
              <w:left w:val="nil"/>
              <w:bottom w:val="single" w:sz="4" w:space="0" w:color="auto"/>
              <w:right w:val="single" w:sz="4" w:space="0" w:color="auto"/>
            </w:tcBorders>
            <w:shd w:val="clear" w:color="auto" w:fill="auto"/>
            <w:hideMark/>
          </w:tcPr>
          <w:p w14:paraId="12695559"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A program evaluation and was not conducted as an investigative study.</w:t>
            </w:r>
          </w:p>
        </w:tc>
        <w:tc>
          <w:tcPr>
            <w:tcW w:w="3510" w:type="dxa"/>
            <w:tcBorders>
              <w:top w:val="nil"/>
              <w:left w:val="nil"/>
              <w:bottom w:val="single" w:sz="4" w:space="0" w:color="auto"/>
              <w:right w:val="single" w:sz="4" w:space="0" w:color="auto"/>
            </w:tcBorders>
            <w:shd w:val="clear" w:color="auto" w:fill="auto"/>
            <w:hideMark/>
          </w:tcPr>
          <w:p w14:paraId="6DFBE33D" w14:textId="77777777" w:rsidR="009D2B25" w:rsidRPr="00BD58A2" w:rsidRDefault="009D2B25" w:rsidP="00282204">
            <w:pPr>
              <w:spacing w:after="0" w:line="240" w:lineRule="auto"/>
              <w:rPr>
                <w:rFonts w:ascii="Calibri" w:eastAsia="Times New Roman" w:hAnsi="Calibri" w:cs="Calibri"/>
                <w:color w:val="000000"/>
                <w:sz w:val="20"/>
                <w:szCs w:val="20"/>
                <w:lang w:val="en-GB"/>
              </w:rPr>
            </w:pPr>
            <w:r w:rsidRPr="00BD58A2">
              <w:rPr>
                <w:rFonts w:ascii="Calibri" w:eastAsia="Times New Roman" w:hAnsi="Calibri" w:cs="Calibri"/>
                <w:color w:val="000000"/>
                <w:sz w:val="20"/>
                <w:szCs w:val="20"/>
                <w:lang w:val="en-GB"/>
              </w:rPr>
              <w:t>The programme consists of four 1:1 counselling sessions with a community pharmacist. These sessions lasted 20 minutes and were scheduled over a 2–4-month period, which focused on medications, lab results, glucose monitoring and doctor visits.</w:t>
            </w:r>
          </w:p>
        </w:tc>
        <w:tc>
          <w:tcPr>
            <w:tcW w:w="3407" w:type="dxa"/>
            <w:tcBorders>
              <w:top w:val="nil"/>
              <w:left w:val="nil"/>
              <w:bottom w:val="single" w:sz="4" w:space="0" w:color="auto"/>
              <w:right w:val="single" w:sz="4" w:space="0" w:color="auto"/>
            </w:tcBorders>
            <w:shd w:val="clear" w:color="auto" w:fill="auto"/>
            <w:hideMark/>
          </w:tcPr>
          <w:p w14:paraId="734985EE" w14:textId="77777777" w:rsidR="009D2B25" w:rsidRDefault="009D2B25" w:rsidP="00282204">
            <w:pPr>
              <w:spacing w:after="0" w:line="240" w:lineRule="auto"/>
              <w:rPr>
                <w:rFonts w:ascii="Calibri" w:eastAsia="Times New Roman" w:hAnsi="Calibri" w:cstheme="minorHAnsi"/>
                <w:color w:val="000000"/>
                <w:sz w:val="20"/>
                <w:szCs w:val="20"/>
                <w:lang w:val="en-GB"/>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 xml:space="preserve">HbA1c was significantly reduced. </w:t>
            </w:r>
          </w:p>
          <w:p w14:paraId="66A3F584" w14:textId="77777777" w:rsidR="009D2B25" w:rsidRPr="001A3CE6" w:rsidRDefault="009D2B25" w:rsidP="00282204">
            <w:pPr>
              <w:spacing w:after="0" w:line="240" w:lineRule="auto"/>
              <w:rPr>
                <w:rFonts w:ascii="Calibri" w:eastAsia="Times New Roman" w:hAnsi="Calibri" w:cs="Calibri"/>
                <w:color w:val="000000"/>
                <w:sz w:val="20"/>
                <w:szCs w:val="20"/>
              </w:rPr>
            </w:pPr>
            <w:r>
              <w:rPr>
                <w:rFonts w:ascii="Calibri" w:eastAsia="Times New Roman" w:hAnsi="Calibri" w:cstheme="minorHAnsi"/>
                <w:color w:val="000000"/>
                <w:sz w:val="20"/>
                <w:szCs w:val="20"/>
                <w:lang w:val="en-GB"/>
              </w:rPr>
              <w:t>-</w:t>
            </w:r>
            <w:r w:rsidRPr="001A3CE6">
              <w:rPr>
                <w:rFonts w:ascii="Calibri" w:eastAsia="Times New Roman" w:hAnsi="Calibri" w:cstheme="minorHAnsi"/>
                <w:color w:val="000000"/>
                <w:sz w:val="20"/>
                <w:szCs w:val="20"/>
                <w:lang w:val="en-GB"/>
              </w:rPr>
              <w:t xml:space="preserve">Medication adherence and diabetes awareness improved. </w:t>
            </w:r>
          </w:p>
        </w:tc>
      </w:tr>
    </w:tbl>
    <w:p w14:paraId="40AC9C30" w14:textId="77777777" w:rsidR="009D2B25" w:rsidRDefault="009D2B25" w:rsidP="009D2B25">
      <w:pPr>
        <w:shd w:val="clear" w:color="auto" w:fill="FFFFFF"/>
        <w:spacing w:line="360" w:lineRule="auto"/>
        <w:rPr>
          <w:rFonts w:eastAsia="Times New Roman" w:cstheme="minorHAnsi"/>
          <w:lang w:val="en-GB"/>
        </w:rPr>
      </w:pPr>
      <w:r w:rsidRPr="001E0F6C">
        <w:rPr>
          <w:rFonts w:eastAsia="Times New Roman" w:cstheme="minorHAnsi"/>
          <w:highlight w:val="lightGray"/>
          <w:lang w:val="en-GB"/>
        </w:rPr>
        <w:br w:type="page"/>
      </w:r>
    </w:p>
    <w:p w14:paraId="38F0AF2F" w14:textId="218FD6D5" w:rsidR="009D2B25" w:rsidRPr="006B54B6" w:rsidRDefault="009D2B25" w:rsidP="009D2B25">
      <w:pPr>
        <w:pStyle w:val="Caption"/>
        <w:rPr>
          <w:rFonts w:cstheme="minorHAnsi"/>
          <w:sz w:val="22"/>
          <w:szCs w:val="22"/>
          <w:lang w:val="en-GB"/>
        </w:rPr>
      </w:pPr>
      <w:bookmarkStart w:id="364" w:name="_Toc148514446"/>
      <w:r w:rsidRPr="006B54B6">
        <w:rPr>
          <w:rFonts w:cstheme="minorHAnsi"/>
          <w:sz w:val="22"/>
          <w:szCs w:val="22"/>
        </w:rPr>
        <w:t xml:space="preserve">Table: </w:t>
      </w:r>
      <w:r w:rsidRPr="006B54B6">
        <w:rPr>
          <w:rStyle w:val="cf01"/>
          <w:rFonts w:asciiTheme="minorHAnsi" w:hAnsiTheme="minorHAnsi" w:cstheme="minorHAnsi"/>
          <w:sz w:val="22"/>
          <w:szCs w:val="22"/>
        </w:rPr>
        <w:t xml:space="preserve">Study characteristics and key findings for the </w:t>
      </w:r>
      <w:r w:rsidRPr="006B54B6">
        <w:rPr>
          <w:rFonts w:cstheme="minorHAnsi"/>
          <w:sz w:val="22"/>
          <w:szCs w:val="22"/>
          <w:lang w:val="en-GB"/>
        </w:rPr>
        <w:t>attitudes and perceptions of stakeholders towards pharmacists’ roles in patient care in SA</w:t>
      </w:r>
      <w:bookmarkEnd w:id="364"/>
      <w:r w:rsidRPr="006B54B6">
        <w:rPr>
          <w:rFonts w:cstheme="minorHAnsi"/>
          <w:sz w:val="22"/>
          <w:szCs w:val="22"/>
          <w:lang w:val="en-GB"/>
        </w:rPr>
        <w:t xml:space="preserve"> </w:t>
      </w:r>
    </w:p>
    <w:tbl>
      <w:tblPr>
        <w:tblW w:w="14130" w:type="dxa"/>
        <w:tblInd w:w="-95" w:type="dxa"/>
        <w:tblLayout w:type="fixed"/>
        <w:tblLook w:val="04A0" w:firstRow="1" w:lastRow="0" w:firstColumn="1" w:lastColumn="0" w:noHBand="0" w:noVBand="1"/>
      </w:tblPr>
      <w:tblGrid>
        <w:gridCol w:w="450"/>
        <w:gridCol w:w="1080"/>
        <w:gridCol w:w="1620"/>
        <w:gridCol w:w="1350"/>
        <w:gridCol w:w="1800"/>
        <w:gridCol w:w="2340"/>
        <w:gridCol w:w="2700"/>
        <w:gridCol w:w="2790"/>
      </w:tblGrid>
      <w:tr w:rsidR="009D2B25" w:rsidRPr="00624CC8" w14:paraId="64A8A605" w14:textId="77777777" w:rsidTr="00282204">
        <w:trPr>
          <w:trHeight w:val="494"/>
          <w:tblHeader/>
        </w:trPr>
        <w:tc>
          <w:tcPr>
            <w:tcW w:w="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7D7E70" w14:textId="77777777" w:rsidR="009D2B25" w:rsidRPr="00992340" w:rsidRDefault="009D2B25" w:rsidP="00282204">
            <w:pPr>
              <w:spacing w:after="0" w:line="240" w:lineRule="auto"/>
              <w:rPr>
                <w:rFonts w:ascii="Calibri" w:eastAsia="Times New Roman" w:hAnsi="Calibri"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hideMark/>
          </w:tcPr>
          <w:p w14:paraId="5D68326D"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Study</w:t>
            </w:r>
          </w:p>
        </w:tc>
        <w:tc>
          <w:tcPr>
            <w:tcW w:w="1620" w:type="dxa"/>
            <w:tcBorders>
              <w:top w:val="single" w:sz="4" w:space="0" w:color="auto"/>
              <w:left w:val="nil"/>
              <w:bottom w:val="single" w:sz="4" w:space="0" w:color="auto"/>
              <w:right w:val="single" w:sz="4" w:space="0" w:color="auto"/>
            </w:tcBorders>
            <w:shd w:val="clear" w:color="auto" w:fill="F2F2F2" w:themeFill="background1" w:themeFillShade="F2"/>
            <w:hideMark/>
          </w:tcPr>
          <w:p w14:paraId="01637218"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Title</w:t>
            </w:r>
          </w:p>
        </w:tc>
        <w:tc>
          <w:tcPr>
            <w:tcW w:w="1350" w:type="dxa"/>
            <w:tcBorders>
              <w:top w:val="single" w:sz="4" w:space="0" w:color="auto"/>
              <w:left w:val="nil"/>
              <w:bottom w:val="single" w:sz="4" w:space="0" w:color="auto"/>
              <w:right w:val="single" w:sz="4" w:space="0" w:color="auto"/>
            </w:tcBorders>
            <w:shd w:val="clear" w:color="auto" w:fill="F2F2F2" w:themeFill="background1" w:themeFillShade="F2"/>
            <w:hideMark/>
          </w:tcPr>
          <w:p w14:paraId="5F1CA4CF"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Setting</w:t>
            </w:r>
          </w:p>
        </w:tc>
        <w:tc>
          <w:tcPr>
            <w:tcW w:w="1800" w:type="dxa"/>
            <w:tcBorders>
              <w:top w:val="single" w:sz="4" w:space="0" w:color="auto"/>
              <w:left w:val="nil"/>
              <w:bottom w:val="single" w:sz="4" w:space="0" w:color="auto"/>
              <w:right w:val="single" w:sz="4" w:space="0" w:color="auto"/>
            </w:tcBorders>
            <w:shd w:val="clear" w:color="auto" w:fill="F2F2F2" w:themeFill="background1" w:themeFillShade="F2"/>
            <w:hideMark/>
          </w:tcPr>
          <w:p w14:paraId="68EB8BD7"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Study type</w:t>
            </w: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hideMark/>
          </w:tcPr>
          <w:p w14:paraId="2F6098F7"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Pharmacists’</w:t>
            </w:r>
            <w:r>
              <w:rPr>
                <w:rFonts w:ascii="Calibri" w:eastAsia="Times New Roman" w:hAnsi="Calibri" w:cs="Calibri"/>
                <w:color w:val="000000"/>
                <w:sz w:val="20"/>
                <w:szCs w:val="20"/>
                <w:lang w:val="en-GB"/>
              </w:rPr>
              <w:t xml:space="preserve"> </w:t>
            </w:r>
            <w:r w:rsidRPr="00684079">
              <w:rPr>
                <w:rFonts w:ascii="Calibri" w:eastAsia="Times New Roman" w:hAnsi="Calibri" w:cs="Calibri"/>
                <w:color w:val="000000"/>
                <w:sz w:val="20"/>
                <w:szCs w:val="20"/>
                <w:lang w:val="en-GB"/>
              </w:rPr>
              <w:t>intervention</w:t>
            </w:r>
          </w:p>
        </w:tc>
        <w:tc>
          <w:tcPr>
            <w:tcW w:w="2700" w:type="dxa"/>
            <w:tcBorders>
              <w:top w:val="single" w:sz="4" w:space="0" w:color="auto"/>
              <w:left w:val="nil"/>
              <w:bottom w:val="single" w:sz="4" w:space="0" w:color="auto"/>
              <w:right w:val="single" w:sz="4" w:space="0" w:color="auto"/>
            </w:tcBorders>
            <w:shd w:val="clear" w:color="auto" w:fill="F2F2F2" w:themeFill="background1" w:themeFillShade="F2"/>
            <w:hideMark/>
          </w:tcPr>
          <w:p w14:paraId="27D8F7C0" w14:textId="77777777" w:rsidR="009D2B25" w:rsidRPr="00684079" w:rsidRDefault="009D2B25"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lang w:val="en-GB"/>
              </w:rPr>
              <w:t>HCP’s</w:t>
            </w:r>
            <w:r w:rsidRPr="00684079">
              <w:rPr>
                <w:rFonts w:ascii="Calibri" w:eastAsia="Times New Roman" w:hAnsi="Calibri" w:cs="Calibri"/>
                <w:color w:val="000000"/>
                <w:sz w:val="20"/>
                <w:szCs w:val="20"/>
                <w:lang w:val="en-GB"/>
              </w:rPr>
              <w:t xml:space="preserve"> views (</w:t>
            </w:r>
            <w:r w:rsidRPr="00F47604">
              <w:rPr>
                <w:rFonts w:ascii="Calibri" w:eastAsia="Times New Roman" w:hAnsi="Calibri" w:cs="Calibri"/>
                <w:color w:val="000000"/>
                <w:sz w:val="18"/>
                <w:szCs w:val="18"/>
                <w:lang w:val="en-GB"/>
              </w:rPr>
              <w:t>doctor</w:t>
            </w:r>
            <w:r>
              <w:rPr>
                <w:rFonts w:ascii="Calibri" w:eastAsia="Times New Roman" w:hAnsi="Calibri" w:cs="Calibri"/>
                <w:color w:val="000000"/>
                <w:sz w:val="18"/>
                <w:szCs w:val="18"/>
                <w:lang w:val="en-GB"/>
              </w:rPr>
              <w:t>s</w:t>
            </w:r>
            <w:r w:rsidRPr="00F47604">
              <w:rPr>
                <w:rFonts w:ascii="Calibri" w:eastAsia="Times New Roman" w:hAnsi="Calibri" w:cs="Calibri"/>
                <w:color w:val="000000"/>
                <w:sz w:val="18"/>
                <w:szCs w:val="18"/>
                <w:lang w:val="en-GB"/>
              </w:rPr>
              <w:t>, pharmacists or nurses</w:t>
            </w:r>
            <w:r w:rsidRPr="00684079">
              <w:rPr>
                <w:rFonts w:ascii="Calibri" w:eastAsia="Times New Roman" w:hAnsi="Calibri" w:cs="Calibri"/>
                <w:color w:val="000000"/>
                <w:sz w:val="20"/>
                <w:szCs w:val="20"/>
                <w:lang w:val="en-GB"/>
              </w:rPr>
              <w:t>)</w:t>
            </w:r>
          </w:p>
        </w:tc>
        <w:tc>
          <w:tcPr>
            <w:tcW w:w="2790" w:type="dxa"/>
            <w:tcBorders>
              <w:top w:val="single" w:sz="4" w:space="0" w:color="auto"/>
              <w:left w:val="nil"/>
              <w:bottom w:val="single" w:sz="4" w:space="0" w:color="auto"/>
              <w:right w:val="single" w:sz="4" w:space="0" w:color="auto"/>
            </w:tcBorders>
            <w:shd w:val="clear" w:color="auto" w:fill="F2F2F2" w:themeFill="background1" w:themeFillShade="F2"/>
            <w:hideMark/>
          </w:tcPr>
          <w:p w14:paraId="49A5472F"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Patients’ views</w:t>
            </w:r>
          </w:p>
        </w:tc>
      </w:tr>
      <w:tr w:rsidR="009D2B25" w:rsidRPr="00624CC8" w14:paraId="4D3ECE01" w14:textId="77777777" w:rsidTr="00282204">
        <w:trPr>
          <w:trHeight w:val="1090"/>
        </w:trPr>
        <w:tc>
          <w:tcPr>
            <w:tcW w:w="450" w:type="dxa"/>
            <w:tcBorders>
              <w:top w:val="nil"/>
              <w:left w:val="single" w:sz="4" w:space="0" w:color="auto"/>
              <w:bottom w:val="single" w:sz="4" w:space="0" w:color="auto"/>
              <w:right w:val="single" w:sz="4" w:space="0" w:color="auto"/>
            </w:tcBorders>
            <w:shd w:val="clear" w:color="auto" w:fill="auto"/>
            <w:hideMark/>
          </w:tcPr>
          <w:p w14:paraId="34F606C0" w14:textId="77777777" w:rsidR="009D2B25" w:rsidRPr="00992340" w:rsidRDefault="009D2B25" w:rsidP="00282204">
            <w:pPr>
              <w:spacing w:after="0" w:line="240" w:lineRule="auto"/>
              <w:rPr>
                <w:rFonts w:ascii="Calibri" w:eastAsia="Times New Roman" w:hAnsi="Calibri" w:cs="Calibri"/>
                <w:color w:val="000000"/>
                <w:sz w:val="18"/>
                <w:szCs w:val="18"/>
              </w:rPr>
            </w:pPr>
            <w:r w:rsidRPr="00992340">
              <w:rPr>
                <w:rFonts w:ascii="Calibri" w:eastAsia="Times New Roman" w:hAnsi="Calibri" w:cs="Calibri"/>
                <w:color w:val="000000"/>
                <w:sz w:val="18"/>
                <w:szCs w:val="18"/>
                <w:lang w:val="en-GB"/>
              </w:rPr>
              <w:t>1</w:t>
            </w:r>
          </w:p>
        </w:tc>
        <w:tc>
          <w:tcPr>
            <w:tcW w:w="1080" w:type="dxa"/>
            <w:tcBorders>
              <w:top w:val="nil"/>
              <w:left w:val="nil"/>
              <w:bottom w:val="single" w:sz="4" w:space="0" w:color="auto"/>
              <w:right w:val="single" w:sz="4" w:space="0" w:color="auto"/>
            </w:tcBorders>
            <w:shd w:val="clear" w:color="auto" w:fill="auto"/>
            <w:hideMark/>
          </w:tcPr>
          <w:p w14:paraId="5D6DD408"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noProof/>
                <w:color w:val="000000"/>
                <w:sz w:val="20"/>
                <w:szCs w:val="20"/>
                <w:lang w:val="en-GB"/>
              </w:rPr>
              <w:t>(Khan et al., 2020)</w:t>
            </w:r>
          </w:p>
        </w:tc>
        <w:tc>
          <w:tcPr>
            <w:tcW w:w="1620" w:type="dxa"/>
            <w:tcBorders>
              <w:top w:val="nil"/>
              <w:left w:val="nil"/>
              <w:bottom w:val="single" w:sz="4" w:space="0" w:color="auto"/>
              <w:right w:val="single" w:sz="4" w:space="0" w:color="auto"/>
            </w:tcBorders>
            <w:shd w:val="clear" w:color="auto" w:fill="auto"/>
            <w:hideMark/>
          </w:tcPr>
          <w:p w14:paraId="596C2067"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A program utilizing community pharmacists to improve diabetes education in the </w:t>
            </w:r>
            <w:r>
              <w:rPr>
                <w:rFonts w:ascii="Calibri" w:eastAsia="Times New Roman" w:hAnsi="Calibri" w:cs="Calibri"/>
                <w:color w:val="000000"/>
                <w:sz w:val="20"/>
                <w:szCs w:val="20"/>
                <w:lang w:val="en-GB"/>
              </w:rPr>
              <w:t>KSA</w:t>
            </w:r>
            <w:r w:rsidRPr="00684079">
              <w:rPr>
                <w:rFonts w:ascii="Calibri" w:eastAsia="Times New Roman" w:hAnsi="Calibri" w:cs="Calibri"/>
                <w:color w:val="000000"/>
                <w:sz w:val="20"/>
                <w:szCs w:val="20"/>
                <w:lang w:val="en-GB"/>
              </w:rPr>
              <w:t>.</w:t>
            </w:r>
          </w:p>
        </w:tc>
        <w:tc>
          <w:tcPr>
            <w:tcW w:w="1350" w:type="dxa"/>
            <w:tcBorders>
              <w:top w:val="nil"/>
              <w:left w:val="nil"/>
              <w:bottom w:val="single" w:sz="4" w:space="0" w:color="auto"/>
              <w:right w:val="single" w:sz="4" w:space="0" w:color="auto"/>
            </w:tcBorders>
            <w:shd w:val="clear" w:color="auto" w:fill="auto"/>
            <w:hideMark/>
          </w:tcPr>
          <w:p w14:paraId="24240608"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11 Nahdi retail pharmacies in seven cities across</w:t>
            </w:r>
            <w:r>
              <w:rPr>
                <w:rFonts w:ascii="Calibri" w:eastAsia="Times New Roman" w:hAnsi="Calibri" w:cs="Calibri"/>
                <w:color w:val="000000"/>
                <w:sz w:val="20"/>
                <w:szCs w:val="20"/>
                <w:lang w:val="en-GB"/>
              </w:rPr>
              <w:t xml:space="preserve"> </w:t>
            </w:r>
            <w:r w:rsidRPr="00684079">
              <w:rPr>
                <w:rFonts w:ascii="Calibri" w:eastAsia="Times New Roman" w:hAnsi="Calibri" w:cs="Calibri"/>
                <w:color w:val="000000"/>
                <w:sz w:val="20"/>
                <w:szCs w:val="20"/>
                <w:lang w:val="en-GB"/>
              </w:rPr>
              <w:t xml:space="preserve">SA: Jeddah, Riyadh, Dammam, Hafof, Maddinah, </w:t>
            </w:r>
            <w:r w:rsidRPr="00FB17C6">
              <w:rPr>
                <w:rFonts w:ascii="Calibri" w:eastAsia="Times New Roman" w:hAnsi="Calibri" w:cs="Calibri"/>
                <w:color w:val="000000"/>
                <w:sz w:val="20"/>
                <w:szCs w:val="20"/>
                <w:lang w:val="en-GB"/>
              </w:rPr>
              <w:t>Tabuk</w:t>
            </w:r>
            <w:r w:rsidRPr="00684079">
              <w:rPr>
                <w:rFonts w:ascii="Calibri" w:eastAsia="Times New Roman" w:hAnsi="Calibri" w:cs="Calibri"/>
                <w:color w:val="000000"/>
                <w:sz w:val="20"/>
                <w:szCs w:val="20"/>
                <w:lang w:val="en-GB"/>
              </w:rPr>
              <w:t xml:space="preserve"> and Abha.</w:t>
            </w:r>
          </w:p>
        </w:tc>
        <w:tc>
          <w:tcPr>
            <w:tcW w:w="1800" w:type="dxa"/>
            <w:tcBorders>
              <w:top w:val="nil"/>
              <w:left w:val="nil"/>
              <w:bottom w:val="single" w:sz="4" w:space="0" w:color="auto"/>
              <w:right w:val="single" w:sz="4" w:space="0" w:color="auto"/>
            </w:tcBorders>
            <w:shd w:val="clear" w:color="auto" w:fill="auto"/>
            <w:hideMark/>
          </w:tcPr>
          <w:p w14:paraId="150828FD" w14:textId="77777777" w:rsidR="009D2B25" w:rsidRDefault="009D2B25" w:rsidP="00282204">
            <w:pPr>
              <w:spacing w:after="0" w:line="240" w:lineRule="auto"/>
              <w:rPr>
                <w:rFonts w:ascii="Calibri" w:eastAsia="Times New Roman" w:hAnsi="Calibri" w:cstheme="minorHAnsi"/>
                <w:color w:val="000000"/>
                <w:sz w:val="20"/>
                <w:szCs w:val="20"/>
                <w:lang w:val="en-GB"/>
              </w:rPr>
            </w:pPr>
            <w:r w:rsidRPr="00684079">
              <w:rPr>
                <w:rFonts w:ascii="Calibri" w:eastAsia="Times New Roman" w:hAnsi="Calibri" w:cstheme="minorHAnsi"/>
                <w:color w:val="000000"/>
                <w:sz w:val="20"/>
                <w:szCs w:val="20"/>
                <w:lang w:val="en-GB"/>
              </w:rPr>
              <w:t xml:space="preserve">A programme evaluation study. </w:t>
            </w:r>
          </w:p>
          <w:p w14:paraId="751941B5" w14:textId="77777777" w:rsidR="009D2B25" w:rsidRDefault="009D2B25" w:rsidP="00282204">
            <w:pPr>
              <w:spacing w:after="0" w:line="240" w:lineRule="auto"/>
              <w:rPr>
                <w:rFonts w:ascii="Calibri" w:eastAsia="Times New Roman" w:hAnsi="Calibri" w:cstheme="minorHAnsi"/>
                <w:color w:val="000000"/>
                <w:sz w:val="20"/>
                <w:szCs w:val="20"/>
                <w:lang w:val="en-GB"/>
              </w:rPr>
            </w:pPr>
          </w:p>
          <w:p w14:paraId="64FAA7C0"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theme="minorHAnsi"/>
                <w:color w:val="000000"/>
                <w:sz w:val="20"/>
                <w:szCs w:val="20"/>
                <w:lang w:val="en-GB"/>
              </w:rPr>
              <w:t>Data was collected from participants</w:t>
            </w:r>
            <w:r>
              <w:rPr>
                <w:rFonts w:ascii="Calibri" w:eastAsia="Times New Roman" w:hAnsi="Calibri" w:cstheme="minorHAnsi"/>
                <w:color w:val="000000"/>
                <w:sz w:val="20"/>
                <w:szCs w:val="20"/>
                <w:lang w:val="en-GB"/>
              </w:rPr>
              <w:t xml:space="preserve"> (type1&amp;2 adults’ patients) </w:t>
            </w:r>
            <w:r w:rsidRPr="00684079">
              <w:rPr>
                <w:rFonts w:ascii="Calibri" w:eastAsia="Times New Roman" w:hAnsi="Calibri" w:cstheme="minorHAnsi"/>
                <w:color w:val="000000"/>
                <w:sz w:val="20"/>
                <w:szCs w:val="20"/>
                <w:lang w:val="en-GB"/>
              </w:rPr>
              <w:t xml:space="preserve">using in-store surveys at the </w:t>
            </w:r>
            <w:r>
              <w:rPr>
                <w:rFonts w:ascii="Calibri" w:eastAsia="Times New Roman" w:hAnsi="Calibri" w:cstheme="minorHAnsi"/>
                <w:color w:val="000000"/>
                <w:sz w:val="20"/>
                <w:szCs w:val="20"/>
                <w:lang w:val="en-GB"/>
              </w:rPr>
              <w:t>1</w:t>
            </w:r>
            <w:r>
              <w:rPr>
                <w:rFonts w:ascii="Calibri" w:eastAsia="Times New Roman" w:hAnsi="Calibri" w:cstheme="minorHAnsi"/>
                <w:color w:val="000000"/>
                <w:sz w:val="20"/>
                <w:szCs w:val="20"/>
                <w:vertAlign w:val="superscript"/>
                <w:lang w:val="en-GB"/>
              </w:rPr>
              <w:t>st</w:t>
            </w:r>
            <w:r w:rsidRPr="00684079">
              <w:rPr>
                <w:rFonts w:ascii="Calibri" w:eastAsia="Times New Roman" w:hAnsi="Calibri" w:cstheme="minorHAnsi"/>
                <w:color w:val="000000"/>
                <w:sz w:val="20"/>
                <w:szCs w:val="20"/>
                <w:lang w:val="en-GB"/>
              </w:rPr>
              <w:t xml:space="preserve"> visit and at </w:t>
            </w:r>
            <w:r>
              <w:rPr>
                <w:rFonts w:ascii="Calibri" w:eastAsia="Times New Roman" w:hAnsi="Calibri" w:cstheme="minorHAnsi"/>
                <w:color w:val="000000"/>
                <w:sz w:val="20"/>
                <w:szCs w:val="20"/>
                <w:lang w:val="en-GB"/>
              </w:rPr>
              <w:t>4</w:t>
            </w:r>
            <w:r>
              <w:rPr>
                <w:rFonts w:ascii="Calibri" w:eastAsia="Times New Roman" w:hAnsi="Calibri" w:cstheme="minorHAnsi"/>
                <w:color w:val="000000"/>
                <w:sz w:val="20"/>
                <w:szCs w:val="20"/>
                <w:vertAlign w:val="superscript"/>
                <w:lang w:val="en-GB"/>
              </w:rPr>
              <w:t>th</w:t>
            </w:r>
            <w:r w:rsidRPr="00684079">
              <w:rPr>
                <w:rFonts w:ascii="Calibri" w:eastAsia="Times New Roman" w:hAnsi="Calibri" w:cstheme="minorHAnsi"/>
                <w:color w:val="000000"/>
                <w:sz w:val="20"/>
                <w:szCs w:val="20"/>
                <w:lang w:val="en-GB"/>
              </w:rPr>
              <w:t xml:space="preserve"> follow-up visit. Then,</w:t>
            </w:r>
            <w:r>
              <w:rPr>
                <w:rFonts w:ascii="Calibri" w:eastAsia="Times New Roman" w:hAnsi="Calibri" w:cstheme="minorHAnsi"/>
                <w:color w:val="000000"/>
                <w:sz w:val="20"/>
                <w:szCs w:val="20"/>
                <w:lang w:val="en-GB"/>
              </w:rPr>
              <w:t xml:space="preserve"> </w:t>
            </w:r>
            <w:r w:rsidRPr="00684079">
              <w:rPr>
                <w:rFonts w:ascii="Calibri" w:eastAsia="Times New Roman" w:hAnsi="Calibri" w:cstheme="minorHAnsi"/>
                <w:color w:val="000000"/>
                <w:sz w:val="20"/>
                <w:szCs w:val="20"/>
                <w:lang w:val="en-GB"/>
              </w:rPr>
              <w:t>participants were interviewed.</w:t>
            </w:r>
          </w:p>
        </w:tc>
        <w:tc>
          <w:tcPr>
            <w:tcW w:w="2340" w:type="dxa"/>
            <w:tcBorders>
              <w:top w:val="nil"/>
              <w:left w:val="nil"/>
              <w:bottom w:val="single" w:sz="4" w:space="0" w:color="auto"/>
              <w:right w:val="single" w:sz="4" w:space="0" w:color="auto"/>
            </w:tcBorders>
            <w:shd w:val="clear" w:color="auto" w:fill="auto"/>
            <w:hideMark/>
          </w:tcPr>
          <w:p w14:paraId="7F025945" w14:textId="77777777" w:rsidR="009D2B25"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Patient education</w:t>
            </w:r>
            <w:r>
              <w:rPr>
                <w:rFonts w:ascii="Calibri" w:eastAsia="Times New Roman" w:hAnsi="Calibri" w:cs="Calibri"/>
                <w:color w:val="000000"/>
                <w:sz w:val="20"/>
                <w:szCs w:val="20"/>
                <w:lang w:val="en-GB"/>
              </w:rPr>
              <w:t xml:space="preserve"> </w:t>
            </w:r>
            <w:r w:rsidRPr="00496B7B">
              <w:rPr>
                <w:rFonts w:ascii="Calibri" w:eastAsia="Times New Roman" w:hAnsi="Calibri" w:cs="Calibri"/>
                <w:color w:val="000000"/>
                <w:sz w:val="20"/>
                <w:szCs w:val="20"/>
              </w:rPr>
              <w:t>only</w:t>
            </w:r>
            <w:r>
              <w:rPr>
                <w:rFonts w:ascii="Calibri" w:eastAsia="Times New Roman" w:hAnsi="Calibri" w:cs="Calibri"/>
                <w:color w:val="000000"/>
                <w:sz w:val="20"/>
                <w:szCs w:val="20"/>
              </w:rPr>
              <w:t xml:space="preserve"> </w:t>
            </w:r>
            <w:r w:rsidRPr="00BD3460">
              <w:rPr>
                <w:rFonts w:ascii="Calibri" w:eastAsia="Times New Roman" w:hAnsi="Calibri" w:cs="Calibri"/>
                <w:color w:val="000000"/>
                <w:sz w:val="20"/>
                <w:szCs w:val="20"/>
              </w:rPr>
              <w:t>to enhance patient-pharmacist-</w:t>
            </w:r>
            <w:r>
              <w:rPr>
                <w:rFonts w:ascii="Calibri" w:eastAsia="Times New Roman" w:hAnsi="Calibri" w:cs="Calibri"/>
                <w:color w:val="000000"/>
                <w:sz w:val="20"/>
                <w:szCs w:val="20"/>
              </w:rPr>
              <w:t>doctor</w:t>
            </w:r>
            <w:r w:rsidRPr="00BD3460">
              <w:rPr>
                <w:rFonts w:ascii="Calibri" w:eastAsia="Times New Roman" w:hAnsi="Calibri" w:cs="Calibri"/>
                <w:color w:val="000000"/>
                <w:sz w:val="20"/>
                <w:szCs w:val="20"/>
              </w:rPr>
              <w:t xml:space="preserve"> trust and communication</w:t>
            </w:r>
            <w:r>
              <w:rPr>
                <w:rFonts w:ascii="Calibri" w:eastAsia="Times New Roman" w:hAnsi="Calibri" w:cs="Calibri"/>
                <w:color w:val="000000"/>
                <w:sz w:val="20"/>
                <w:szCs w:val="20"/>
              </w:rPr>
              <w:t xml:space="preserve">, </w:t>
            </w:r>
            <w:r w:rsidRPr="00496B7B">
              <w:rPr>
                <w:rFonts w:ascii="Calibri" w:eastAsia="Times New Roman" w:hAnsi="Calibri" w:cs="Calibri"/>
                <w:color w:val="000000"/>
                <w:sz w:val="20"/>
                <w:szCs w:val="20"/>
              </w:rPr>
              <w:t>with</w:t>
            </w:r>
            <w:r>
              <w:rPr>
                <w:rFonts w:ascii="Calibri" w:eastAsia="Times New Roman" w:hAnsi="Calibri" w:cs="Calibri"/>
                <w:color w:val="000000"/>
                <w:sz w:val="20"/>
                <w:szCs w:val="20"/>
              </w:rPr>
              <w:t>out</w:t>
            </w:r>
            <w:r w:rsidRPr="00496B7B">
              <w:rPr>
                <w:rFonts w:ascii="Calibri" w:eastAsia="Times New Roman" w:hAnsi="Calibri" w:cs="Calibri"/>
                <w:color w:val="000000"/>
                <w:sz w:val="20"/>
                <w:szCs w:val="20"/>
              </w:rPr>
              <w:t xml:space="preserve"> changing or adjusting of </w:t>
            </w:r>
            <w:r>
              <w:rPr>
                <w:rFonts w:ascii="Calibri" w:eastAsia="Times New Roman" w:hAnsi="Calibri" w:cs="Calibri"/>
                <w:color w:val="000000"/>
                <w:sz w:val="20"/>
                <w:szCs w:val="20"/>
              </w:rPr>
              <w:t xml:space="preserve">patients’ </w:t>
            </w:r>
            <w:r w:rsidRPr="00496B7B">
              <w:rPr>
                <w:rFonts w:ascii="Calibri" w:eastAsia="Times New Roman" w:hAnsi="Calibri" w:cs="Calibri"/>
                <w:color w:val="000000"/>
                <w:sz w:val="20"/>
                <w:szCs w:val="20"/>
              </w:rPr>
              <w:t>medications</w:t>
            </w:r>
            <w:r>
              <w:rPr>
                <w:rFonts w:ascii="Calibri" w:eastAsia="Times New Roman" w:hAnsi="Calibri" w:cs="Calibri"/>
                <w:color w:val="000000"/>
                <w:sz w:val="20"/>
                <w:szCs w:val="20"/>
              </w:rPr>
              <w:t>.</w:t>
            </w:r>
          </w:p>
          <w:p w14:paraId="1827BB2F" w14:textId="77777777" w:rsidR="009D2B25" w:rsidRPr="00E16F42" w:rsidRDefault="009D2B25" w:rsidP="00282204">
            <w:pPr>
              <w:spacing w:after="0" w:line="240" w:lineRule="auto"/>
              <w:rPr>
                <w:rFonts w:ascii="Calibri" w:eastAsia="Times New Roman" w:hAnsi="Calibri" w:cs="Calibri"/>
                <w:color w:val="000000"/>
                <w:sz w:val="20"/>
                <w:szCs w:val="20"/>
                <w:lang w:val="en-GB"/>
              </w:rPr>
            </w:pPr>
          </w:p>
        </w:tc>
        <w:tc>
          <w:tcPr>
            <w:tcW w:w="2700" w:type="dxa"/>
            <w:tcBorders>
              <w:top w:val="nil"/>
              <w:left w:val="nil"/>
              <w:bottom w:val="single" w:sz="4" w:space="0" w:color="auto"/>
              <w:right w:val="single" w:sz="4" w:space="0" w:color="auto"/>
            </w:tcBorders>
            <w:shd w:val="clear" w:color="auto" w:fill="auto"/>
            <w:hideMark/>
          </w:tcPr>
          <w:p w14:paraId="4744AB27" w14:textId="77777777" w:rsidR="009D2B25" w:rsidRPr="00684079" w:rsidRDefault="009D2B25" w:rsidP="00282204">
            <w:pPr>
              <w:spacing w:after="0" w:line="240" w:lineRule="auto"/>
              <w:rPr>
                <w:rFonts w:ascii="Calibri" w:eastAsia="Times New Roman" w:hAnsi="Calibri" w:cs="Calibri"/>
                <w:color w:val="000000"/>
                <w:sz w:val="20"/>
                <w:szCs w:val="20"/>
              </w:rPr>
            </w:pPr>
          </w:p>
        </w:tc>
        <w:tc>
          <w:tcPr>
            <w:tcW w:w="2790" w:type="dxa"/>
            <w:tcBorders>
              <w:top w:val="nil"/>
              <w:left w:val="nil"/>
              <w:bottom w:val="single" w:sz="4" w:space="0" w:color="auto"/>
              <w:right w:val="single" w:sz="4" w:space="0" w:color="auto"/>
            </w:tcBorders>
            <w:shd w:val="clear" w:color="auto" w:fill="auto"/>
            <w:hideMark/>
          </w:tcPr>
          <w:p w14:paraId="3066D009"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684079">
              <w:rPr>
                <w:rFonts w:ascii="Calibri" w:eastAsia="Times New Roman" w:hAnsi="Calibri" w:cs="Calibri"/>
                <w:color w:val="000000"/>
                <w:sz w:val="20"/>
                <w:szCs w:val="20"/>
                <w:lang w:val="en-GB"/>
              </w:rPr>
              <w:t xml:space="preserve">People with diabetes showed receptivity to receiving diabetes education from pharmacists. </w:t>
            </w:r>
          </w:p>
          <w:p w14:paraId="7347AD14"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684079">
              <w:rPr>
                <w:rFonts w:ascii="Calibri" w:eastAsia="Times New Roman" w:hAnsi="Calibri" w:cs="Calibri"/>
                <w:color w:val="000000"/>
                <w:sz w:val="20"/>
                <w:szCs w:val="20"/>
                <w:lang w:val="en-GB"/>
              </w:rPr>
              <w:t xml:space="preserve">Enhancing patients' knowledge about their medications and disease status led to positive changes in behaviours and attitudes related to diabetes. </w:t>
            </w:r>
          </w:p>
          <w:p w14:paraId="1FC7C0DE" w14:textId="77777777" w:rsidR="009D2B25" w:rsidRPr="00684079" w:rsidRDefault="009D2B25"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lang w:val="en-GB"/>
              </w:rPr>
              <w:t>-</w:t>
            </w:r>
            <w:r w:rsidRPr="00684079">
              <w:rPr>
                <w:rFonts w:ascii="Calibri" w:eastAsia="Times New Roman" w:hAnsi="Calibri" w:cs="Calibri"/>
                <w:color w:val="000000"/>
                <w:sz w:val="20"/>
                <w:szCs w:val="20"/>
                <w:lang w:val="en-GB"/>
              </w:rPr>
              <w:t>Diabetes patients reported that their confidence in pharmacists as a source of reliable information increased.</w:t>
            </w:r>
          </w:p>
        </w:tc>
      </w:tr>
      <w:tr w:rsidR="009D2B25" w:rsidRPr="00624CC8" w14:paraId="263B3747" w14:textId="77777777" w:rsidTr="00282204">
        <w:trPr>
          <w:trHeight w:val="1090"/>
        </w:trPr>
        <w:tc>
          <w:tcPr>
            <w:tcW w:w="450" w:type="dxa"/>
            <w:tcBorders>
              <w:top w:val="nil"/>
              <w:left w:val="single" w:sz="4" w:space="0" w:color="auto"/>
              <w:bottom w:val="single" w:sz="4" w:space="0" w:color="auto"/>
              <w:right w:val="single" w:sz="4" w:space="0" w:color="auto"/>
            </w:tcBorders>
            <w:shd w:val="clear" w:color="auto" w:fill="auto"/>
            <w:hideMark/>
          </w:tcPr>
          <w:p w14:paraId="7D71CF88" w14:textId="77777777" w:rsidR="009D2B25" w:rsidRPr="00992340" w:rsidRDefault="009D2B25" w:rsidP="00282204">
            <w:pPr>
              <w:spacing w:after="0" w:line="240" w:lineRule="auto"/>
              <w:rPr>
                <w:rFonts w:ascii="Calibri" w:eastAsia="Times New Roman" w:hAnsi="Calibri" w:cs="Calibri"/>
                <w:color w:val="000000"/>
                <w:sz w:val="18"/>
                <w:szCs w:val="18"/>
              </w:rPr>
            </w:pPr>
            <w:r w:rsidRPr="00992340">
              <w:rPr>
                <w:rFonts w:ascii="Calibri" w:eastAsia="Times New Roman" w:hAnsi="Calibri" w:cs="Calibri"/>
                <w:color w:val="000000"/>
                <w:sz w:val="18"/>
                <w:szCs w:val="18"/>
                <w:lang w:val="en-GB"/>
              </w:rPr>
              <w:t>2</w:t>
            </w:r>
          </w:p>
        </w:tc>
        <w:tc>
          <w:tcPr>
            <w:tcW w:w="1080" w:type="dxa"/>
            <w:tcBorders>
              <w:top w:val="nil"/>
              <w:left w:val="nil"/>
              <w:bottom w:val="single" w:sz="4" w:space="0" w:color="auto"/>
              <w:right w:val="single" w:sz="4" w:space="0" w:color="auto"/>
            </w:tcBorders>
            <w:shd w:val="clear" w:color="auto" w:fill="auto"/>
            <w:hideMark/>
          </w:tcPr>
          <w:p w14:paraId="12338613"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noProof/>
                <w:color w:val="000000"/>
                <w:sz w:val="20"/>
                <w:szCs w:val="20"/>
                <w:lang w:val="en-GB"/>
              </w:rPr>
              <w:t>(Emeka et al., 2020)</w:t>
            </w:r>
          </w:p>
        </w:tc>
        <w:tc>
          <w:tcPr>
            <w:tcW w:w="1620" w:type="dxa"/>
            <w:tcBorders>
              <w:top w:val="nil"/>
              <w:left w:val="nil"/>
              <w:bottom w:val="single" w:sz="4" w:space="0" w:color="auto"/>
              <w:right w:val="single" w:sz="4" w:space="0" w:color="auto"/>
            </w:tcBorders>
            <w:shd w:val="clear" w:color="auto" w:fill="auto"/>
            <w:hideMark/>
          </w:tcPr>
          <w:p w14:paraId="5DAB4F82"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Evaluation of Counselling Practices and Patient’s Satisfaction Offered by Pharmacists for Diabetics Attending Outpatient Pharmacies in Al Ahsa.</w:t>
            </w:r>
          </w:p>
        </w:tc>
        <w:tc>
          <w:tcPr>
            <w:tcW w:w="1350" w:type="dxa"/>
            <w:tcBorders>
              <w:top w:val="nil"/>
              <w:left w:val="nil"/>
              <w:bottom w:val="single" w:sz="4" w:space="0" w:color="auto"/>
              <w:right w:val="single" w:sz="4" w:space="0" w:color="auto"/>
            </w:tcBorders>
            <w:shd w:val="clear" w:color="auto" w:fill="auto"/>
            <w:hideMark/>
          </w:tcPr>
          <w:p w14:paraId="10160872"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Outpatient hospital pharmacies located in Al Ahsa, </w:t>
            </w:r>
            <w:r>
              <w:rPr>
                <w:rFonts w:ascii="Calibri" w:eastAsia="Times New Roman" w:hAnsi="Calibri" w:cs="Calibri"/>
                <w:color w:val="000000"/>
                <w:sz w:val="20"/>
                <w:szCs w:val="20"/>
                <w:lang w:val="en-GB"/>
              </w:rPr>
              <w:t>SA.</w:t>
            </w:r>
          </w:p>
        </w:tc>
        <w:tc>
          <w:tcPr>
            <w:tcW w:w="1800" w:type="dxa"/>
            <w:tcBorders>
              <w:top w:val="nil"/>
              <w:left w:val="nil"/>
              <w:bottom w:val="single" w:sz="4" w:space="0" w:color="auto"/>
              <w:right w:val="single" w:sz="4" w:space="0" w:color="auto"/>
            </w:tcBorders>
            <w:shd w:val="clear" w:color="auto" w:fill="auto"/>
            <w:hideMark/>
          </w:tcPr>
          <w:p w14:paraId="384EA534"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A cross-sectional study was carried out using a semi-structured interview questionnaire</w:t>
            </w:r>
          </w:p>
        </w:tc>
        <w:tc>
          <w:tcPr>
            <w:tcW w:w="2340" w:type="dxa"/>
            <w:tcBorders>
              <w:top w:val="nil"/>
              <w:left w:val="nil"/>
              <w:bottom w:val="single" w:sz="4" w:space="0" w:color="auto"/>
              <w:right w:val="single" w:sz="4" w:space="0" w:color="auto"/>
            </w:tcBorders>
            <w:shd w:val="clear" w:color="auto" w:fill="auto"/>
            <w:hideMark/>
          </w:tcPr>
          <w:p w14:paraId="3C2480AD"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Patients counselling during prescription filling</w:t>
            </w:r>
          </w:p>
        </w:tc>
        <w:tc>
          <w:tcPr>
            <w:tcW w:w="2700" w:type="dxa"/>
            <w:tcBorders>
              <w:top w:val="nil"/>
              <w:left w:val="nil"/>
              <w:bottom w:val="single" w:sz="4" w:space="0" w:color="auto"/>
              <w:right w:val="single" w:sz="4" w:space="0" w:color="auto"/>
            </w:tcBorders>
            <w:shd w:val="clear" w:color="auto" w:fill="auto"/>
            <w:hideMark/>
          </w:tcPr>
          <w:p w14:paraId="5F693CF2" w14:textId="77777777" w:rsidR="009D2B25" w:rsidRPr="00684079" w:rsidRDefault="009D2B25" w:rsidP="00282204">
            <w:pPr>
              <w:spacing w:after="0" w:line="240" w:lineRule="auto"/>
              <w:rPr>
                <w:rFonts w:ascii="Calibri" w:eastAsia="Times New Roman" w:hAnsi="Calibri" w:cs="Calibri"/>
                <w:color w:val="000000"/>
                <w:sz w:val="20"/>
                <w:szCs w:val="20"/>
              </w:rPr>
            </w:pPr>
          </w:p>
        </w:tc>
        <w:tc>
          <w:tcPr>
            <w:tcW w:w="2790" w:type="dxa"/>
            <w:tcBorders>
              <w:top w:val="nil"/>
              <w:left w:val="nil"/>
              <w:bottom w:val="single" w:sz="4" w:space="0" w:color="auto"/>
              <w:right w:val="single" w:sz="4" w:space="0" w:color="auto"/>
            </w:tcBorders>
            <w:shd w:val="clear" w:color="auto" w:fill="auto"/>
            <w:hideMark/>
          </w:tcPr>
          <w:p w14:paraId="6353F06B"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Low satisfaction levels (11.1%) in services provided by pharmacists to patients with diabetes.</w:t>
            </w:r>
          </w:p>
        </w:tc>
      </w:tr>
      <w:tr w:rsidR="009D2B25" w:rsidRPr="00624CC8" w14:paraId="2D4F771E" w14:textId="77777777" w:rsidTr="00282204">
        <w:trPr>
          <w:trHeight w:val="836"/>
        </w:trPr>
        <w:tc>
          <w:tcPr>
            <w:tcW w:w="450" w:type="dxa"/>
            <w:tcBorders>
              <w:top w:val="nil"/>
              <w:left w:val="single" w:sz="4" w:space="0" w:color="auto"/>
              <w:bottom w:val="single" w:sz="4" w:space="0" w:color="auto"/>
              <w:right w:val="single" w:sz="4" w:space="0" w:color="auto"/>
            </w:tcBorders>
            <w:shd w:val="clear" w:color="auto" w:fill="auto"/>
            <w:hideMark/>
          </w:tcPr>
          <w:p w14:paraId="48C462AE" w14:textId="77777777" w:rsidR="009D2B25" w:rsidRPr="00992340" w:rsidRDefault="009D2B25" w:rsidP="00282204">
            <w:pPr>
              <w:spacing w:after="0" w:line="240" w:lineRule="auto"/>
              <w:rPr>
                <w:rFonts w:ascii="Calibri" w:eastAsia="Times New Roman" w:hAnsi="Calibri" w:cs="Calibri"/>
                <w:color w:val="000000"/>
                <w:sz w:val="18"/>
                <w:szCs w:val="18"/>
              </w:rPr>
            </w:pPr>
            <w:r w:rsidRPr="00992340">
              <w:rPr>
                <w:rFonts w:ascii="Calibri" w:eastAsia="Times New Roman" w:hAnsi="Calibri" w:cs="Calibri"/>
                <w:color w:val="000000"/>
                <w:sz w:val="18"/>
                <w:szCs w:val="18"/>
                <w:lang w:val="en-GB"/>
              </w:rPr>
              <w:t>3</w:t>
            </w:r>
          </w:p>
        </w:tc>
        <w:tc>
          <w:tcPr>
            <w:tcW w:w="1080" w:type="dxa"/>
            <w:tcBorders>
              <w:top w:val="nil"/>
              <w:left w:val="nil"/>
              <w:bottom w:val="single" w:sz="4" w:space="0" w:color="auto"/>
              <w:right w:val="single" w:sz="4" w:space="0" w:color="auto"/>
            </w:tcBorders>
            <w:shd w:val="clear" w:color="auto" w:fill="auto"/>
            <w:hideMark/>
          </w:tcPr>
          <w:p w14:paraId="310A766B"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noProof/>
                <w:color w:val="000000"/>
                <w:sz w:val="20"/>
                <w:szCs w:val="20"/>
                <w:lang w:val="en-GB"/>
              </w:rPr>
              <w:t>(Aldraimly et al., 2019)</w:t>
            </w:r>
          </w:p>
        </w:tc>
        <w:tc>
          <w:tcPr>
            <w:tcW w:w="1620" w:type="dxa"/>
            <w:tcBorders>
              <w:top w:val="nil"/>
              <w:left w:val="nil"/>
              <w:bottom w:val="single" w:sz="4" w:space="0" w:color="auto"/>
              <w:right w:val="single" w:sz="4" w:space="0" w:color="auto"/>
            </w:tcBorders>
            <w:shd w:val="clear" w:color="auto" w:fill="auto"/>
            <w:hideMark/>
          </w:tcPr>
          <w:p w14:paraId="796DAC1A"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Knowledge, Attitude, and Practices of Physicians in Ambulatory Care towards Clinical Pharmacist Educational Sessions of </w:t>
            </w:r>
            <w:r>
              <w:rPr>
                <w:rFonts w:ascii="Calibri" w:eastAsia="Times New Roman" w:hAnsi="Calibri" w:cs="Calibri"/>
                <w:color w:val="000000"/>
                <w:sz w:val="20"/>
                <w:szCs w:val="20"/>
                <w:lang w:val="en-GB"/>
              </w:rPr>
              <w:t>DM</w:t>
            </w:r>
            <w:r w:rsidRPr="00684079">
              <w:rPr>
                <w:rFonts w:ascii="Calibri" w:eastAsia="Times New Roman" w:hAnsi="Calibri" w:cs="Calibri"/>
                <w:color w:val="000000"/>
                <w:sz w:val="20"/>
                <w:szCs w:val="20"/>
                <w:lang w:val="en-GB"/>
              </w:rPr>
              <w:t xml:space="preserve"> Management in </w:t>
            </w:r>
            <w:r>
              <w:rPr>
                <w:rFonts w:ascii="Calibri" w:eastAsia="Times New Roman" w:hAnsi="Calibri" w:cs="Calibri"/>
                <w:color w:val="000000"/>
                <w:sz w:val="20"/>
                <w:szCs w:val="20"/>
                <w:lang w:val="en-GB"/>
              </w:rPr>
              <w:t>SA</w:t>
            </w:r>
          </w:p>
        </w:tc>
        <w:tc>
          <w:tcPr>
            <w:tcW w:w="1350" w:type="dxa"/>
            <w:tcBorders>
              <w:top w:val="nil"/>
              <w:left w:val="nil"/>
              <w:bottom w:val="single" w:sz="4" w:space="0" w:color="auto"/>
              <w:right w:val="single" w:sz="4" w:space="0" w:color="auto"/>
            </w:tcBorders>
            <w:shd w:val="clear" w:color="auto" w:fill="auto"/>
            <w:hideMark/>
          </w:tcPr>
          <w:p w14:paraId="7F705B5A"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Ambulatory Care Departments, outpatient clinics of King Abdul Aziz Medical City (KAMC), in Riyadh, </w:t>
            </w:r>
            <w:r>
              <w:rPr>
                <w:rFonts w:ascii="Calibri" w:eastAsia="Times New Roman" w:hAnsi="Calibri" w:cs="Calibri"/>
                <w:color w:val="000000"/>
                <w:sz w:val="20"/>
                <w:szCs w:val="20"/>
                <w:lang w:val="en-GB"/>
              </w:rPr>
              <w:t xml:space="preserve">SA. </w:t>
            </w:r>
          </w:p>
        </w:tc>
        <w:tc>
          <w:tcPr>
            <w:tcW w:w="1800" w:type="dxa"/>
            <w:tcBorders>
              <w:top w:val="nil"/>
              <w:left w:val="nil"/>
              <w:bottom w:val="single" w:sz="4" w:space="0" w:color="auto"/>
              <w:right w:val="single" w:sz="4" w:space="0" w:color="auto"/>
            </w:tcBorders>
            <w:shd w:val="clear" w:color="auto" w:fill="auto"/>
            <w:hideMark/>
          </w:tcPr>
          <w:p w14:paraId="146D79EB"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A longitudinal survey (questionnaire) and interventional quasi uncontrolled trial.</w:t>
            </w:r>
          </w:p>
        </w:tc>
        <w:tc>
          <w:tcPr>
            <w:tcW w:w="2340" w:type="dxa"/>
            <w:tcBorders>
              <w:top w:val="nil"/>
              <w:left w:val="nil"/>
              <w:bottom w:val="single" w:sz="4" w:space="0" w:color="auto"/>
              <w:right w:val="single" w:sz="4" w:space="0" w:color="auto"/>
            </w:tcBorders>
            <w:shd w:val="clear" w:color="auto" w:fill="auto"/>
            <w:hideMark/>
          </w:tcPr>
          <w:p w14:paraId="46EAE757"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Educational sessions provided to doctors and pharmacists.</w:t>
            </w:r>
          </w:p>
        </w:tc>
        <w:tc>
          <w:tcPr>
            <w:tcW w:w="2700" w:type="dxa"/>
            <w:tcBorders>
              <w:top w:val="nil"/>
              <w:left w:val="nil"/>
              <w:bottom w:val="single" w:sz="4" w:space="0" w:color="auto"/>
              <w:right w:val="single" w:sz="4" w:space="0" w:color="auto"/>
            </w:tcBorders>
            <w:shd w:val="clear" w:color="auto" w:fill="auto"/>
            <w:hideMark/>
          </w:tcPr>
          <w:p w14:paraId="3CB9CC92"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A significant improvement in pharmacists’ and physicians’ knowledge, attitude and practices in the management of diabetes following educational sessions provided by a clinical pharmacist in the ambulatory care settings.</w:t>
            </w:r>
          </w:p>
        </w:tc>
        <w:tc>
          <w:tcPr>
            <w:tcW w:w="2790" w:type="dxa"/>
            <w:tcBorders>
              <w:top w:val="nil"/>
              <w:left w:val="nil"/>
              <w:bottom w:val="single" w:sz="4" w:space="0" w:color="auto"/>
              <w:right w:val="single" w:sz="4" w:space="0" w:color="auto"/>
            </w:tcBorders>
            <w:shd w:val="clear" w:color="auto" w:fill="auto"/>
            <w:hideMark/>
          </w:tcPr>
          <w:p w14:paraId="3EE9E052" w14:textId="77777777" w:rsidR="009D2B25" w:rsidRPr="00684079" w:rsidRDefault="009D2B25" w:rsidP="00282204">
            <w:pPr>
              <w:spacing w:after="0" w:line="240" w:lineRule="auto"/>
              <w:rPr>
                <w:rFonts w:ascii="Calibri" w:eastAsia="Times New Roman" w:hAnsi="Calibri" w:cs="Calibri"/>
                <w:color w:val="000000"/>
                <w:sz w:val="20"/>
                <w:szCs w:val="20"/>
              </w:rPr>
            </w:pPr>
          </w:p>
        </w:tc>
      </w:tr>
      <w:tr w:rsidR="009D2B25" w:rsidRPr="00624CC8" w14:paraId="11EBF0A4" w14:textId="77777777" w:rsidTr="00282204">
        <w:trPr>
          <w:trHeight w:val="1100"/>
        </w:trPr>
        <w:tc>
          <w:tcPr>
            <w:tcW w:w="450" w:type="dxa"/>
            <w:tcBorders>
              <w:top w:val="nil"/>
              <w:left w:val="single" w:sz="4" w:space="0" w:color="auto"/>
              <w:bottom w:val="single" w:sz="4" w:space="0" w:color="auto"/>
              <w:right w:val="single" w:sz="4" w:space="0" w:color="auto"/>
            </w:tcBorders>
            <w:shd w:val="clear" w:color="auto" w:fill="auto"/>
            <w:hideMark/>
          </w:tcPr>
          <w:p w14:paraId="5C997EC2" w14:textId="77777777" w:rsidR="009D2B25" w:rsidRPr="00992340" w:rsidRDefault="009D2B25" w:rsidP="00282204">
            <w:pPr>
              <w:spacing w:after="0" w:line="240" w:lineRule="auto"/>
              <w:rPr>
                <w:rFonts w:ascii="Calibri" w:eastAsia="Times New Roman" w:hAnsi="Calibri" w:cs="Calibri"/>
                <w:color w:val="000000"/>
                <w:sz w:val="18"/>
                <w:szCs w:val="18"/>
              </w:rPr>
            </w:pPr>
            <w:r w:rsidRPr="00992340">
              <w:rPr>
                <w:rFonts w:ascii="Calibri" w:eastAsia="Times New Roman" w:hAnsi="Calibri" w:cs="Calibri"/>
                <w:color w:val="000000"/>
                <w:sz w:val="18"/>
                <w:szCs w:val="18"/>
                <w:lang w:val="en-GB"/>
              </w:rPr>
              <w:t>4</w:t>
            </w:r>
          </w:p>
        </w:tc>
        <w:tc>
          <w:tcPr>
            <w:tcW w:w="1080" w:type="dxa"/>
            <w:tcBorders>
              <w:top w:val="nil"/>
              <w:left w:val="nil"/>
              <w:bottom w:val="single" w:sz="4" w:space="0" w:color="auto"/>
              <w:right w:val="single" w:sz="4" w:space="0" w:color="auto"/>
            </w:tcBorders>
            <w:shd w:val="clear" w:color="auto" w:fill="auto"/>
            <w:hideMark/>
          </w:tcPr>
          <w:p w14:paraId="07A0AF8C"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noProof/>
                <w:color w:val="000000"/>
                <w:sz w:val="20"/>
                <w:szCs w:val="20"/>
                <w:lang w:val="en-GB"/>
              </w:rPr>
              <w:t>(Alsuhebany et al., 2019)</w:t>
            </w:r>
          </w:p>
        </w:tc>
        <w:tc>
          <w:tcPr>
            <w:tcW w:w="1620" w:type="dxa"/>
            <w:tcBorders>
              <w:top w:val="nil"/>
              <w:left w:val="nil"/>
              <w:bottom w:val="single" w:sz="4" w:space="0" w:color="auto"/>
              <w:right w:val="single" w:sz="4" w:space="0" w:color="auto"/>
            </w:tcBorders>
            <w:shd w:val="clear" w:color="auto" w:fill="auto"/>
            <w:hideMark/>
          </w:tcPr>
          <w:p w14:paraId="3A7B43E2"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Attitude and Perception of Physicians and Nurses Toward the Role of Clinical Pharmacists in Riyadh, </w:t>
            </w:r>
            <w:r>
              <w:rPr>
                <w:rFonts w:ascii="Calibri" w:eastAsia="Times New Roman" w:hAnsi="Calibri" w:cs="Calibri"/>
                <w:color w:val="000000"/>
                <w:sz w:val="20"/>
                <w:szCs w:val="20"/>
                <w:lang w:val="en-GB"/>
              </w:rPr>
              <w:t>SA</w:t>
            </w:r>
            <w:r w:rsidRPr="00684079">
              <w:rPr>
                <w:rFonts w:ascii="Calibri" w:eastAsia="Times New Roman" w:hAnsi="Calibri" w:cs="Calibri"/>
                <w:color w:val="000000"/>
                <w:sz w:val="20"/>
                <w:szCs w:val="20"/>
                <w:lang w:val="en-GB"/>
              </w:rPr>
              <w:t>: A Qualitative Study</w:t>
            </w:r>
          </w:p>
        </w:tc>
        <w:tc>
          <w:tcPr>
            <w:tcW w:w="1350" w:type="dxa"/>
            <w:tcBorders>
              <w:top w:val="nil"/>
              <w:left w:val="nil"/>
              <w:bottom w:val="single" w:sz="4" w:space="0" w:color="auto"/>
              <w:right w:val="single" w:sz="4" w:space="0" w:color="auto"/>
            </w:tcBorders>
            <w:shd w:val="clear" w:color="auto" w:fill="auto"/>
            <w:hideMark/>
          </w:tcPr>
          <w:p w14:paraId="25E80D85"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King Abdullah International Medical Research Center, in Riyadh, </w:t>
            </w:r>
            <w:r>
              <w:rPr>
                <w:rFonts w:ascii="Calibri" w:eastAsia="Times New Roman" w:hAnsi="Calibri" w:cs="Calibri"/>
                <w:color w:val="000000"/>
                <w:sz w:val="20"/>
                <w:szCs w:val="20"/>
                <w:lang w:val="en-GB"/>
              </w:rPr>
              <w:t>SA.</w:t>
            </w:r>
          </w:p>
        </w:tc>
        <w:tc>
          <w:tcPr>
            <w:tcW w:w="1800" w:type="dxa"/>
            <w:tcBorders>
              <w:top w:val="nil"/>
              <w:left w:val="nil"/>
              <w:bottom w:val="single" w:sz="4" w:space="0" w:color="auto"/>
              <w:right w:val="single" w:sz="4" w:space="0" w:color="auto"/>
            </w:tcBorders>
            <w:shd w:val="clear" w:color="auto" w:fill="auto"/>
            <w:hideMark/>
          </w:tcPr>
          <w:p w14:paraId="525B67AE" w14:textId="77777777" w:rsidR="009D2B25" w:rsidRPr="001659CB" w:rsidRDefault="009D2B25" w:rsidP="00282204">
            <w:pPr>
              <w:spacing w:after="0" w:line="240" w:lineRule="auto"/>
              <w:rPr>
                <w:rFonts w:ascii="Calibri" w:eastAsia="Times New Roman" w:hAnsi="Calibri" w:cs="Calibri"/>
                <w:color w:val="000000"/>
                <w:sz w:val="20"/>
                <w:szCs w:val="20"/>
                <w:lang w:val="en-GB"/>
              </w:rPr>
            </w:pPr>
            <w:r w:rsidRPr="00F84EC8">
              <w:rPr>
                <w:rFonts w:ascii="Calibri" w:eastAsia="Times New Roman" w:hAnsi="Calibri" w:cs="Calibri"/>
                <w:color w:val="000000"/>
                <w:sz w:val="20"/>
                <w:szCs w:val="20"/>
                <w:lang w:val="en-GB"/>
              </w:rPr>
              <w:t>Focus- group discussion</w:t>
            </w:r>
            <w:r>
              <w:rPr>
                <w:rFonts w:ascii="Calibri" w:eastAsia="Times New Roman" w:hAnsi="Calibri" w:cs="Calibri"/>
                <w:color w:val="000000"/>
                <w:sz w:val="20"/>
                <w:szCs w:val="20"/>
                <w:lang w:val="en-GB"/>
              </w:rPr>
              <w:t xml:space="preserve"> with </w:t>
            </w:r>
            <w:r w:rsidRPr="00494CB6">
              <w:rPr>
                <w:rFonts w:ascii="Calibri" w:eastAsia="Times New Roman" w:hAnsi="Calibri" w:cs="Calibri"/>
                <w:color w:val="000000"/>
                <w:sz w:val="20"/>
                <w:szCs w:val="20"/>
              </w:rPr>
              <w:t xml:space="preserve">consultant </w:t>
            </w:r>
            <w:r>
              <w:rPr>
                <w:rFonts w:ascii="Calibri" w:eastAsia="Times New Roman" w:hAnsi="Calibri" w:cs="Calibri"/>
                <w:color w:val="000000"/>
                <w:sz w:val="20"/>
                <w:szCs w:val="20"/>
              </w:rPr>
              <w:t>doctors</w:t>
            </w:r>
            <w:r w:rsidRPr="00494CB6">
              <w:rPr>
                <w:rFonts w:ascii="Calibri" w:eastAsia="Times New Roman" w:hAnsi="Calibri" w:cs="Calibri"/>
                <w:color w:val="000000"/>
                <w:sz w:val="20"/>
                <w:szCs w:val="20"/>
              </w:rPr>
              <w:t xml:space="preserve">, assistant consul- tant </w:t>
            </w:r>
            <w:r>
              <w:rPr>
                <w:rFonts w:ascii="Calibri" w:eastAsia="Times New Roman" w:hAnsi="Calibri" w:cs="Calibri"/>
                <w:color w:val="000000"/>
                <w:sz w:val="20"/>
                <w:szCs w:val="20"/>
              </w:rPr>
              <w:t>doctors</w:t>
            </w:r>
            <w:r w:rsidRPr="00494CB6">
              <w:rPr>
                <w:rFonts w:ascii="Calibri" w:eastAsia="Times New Roman" w:hAnsi="Calibri" w:cs="Calibri"/>
                <w:color w:val="000000"/>
                <w:sz w:val="20"/>
                <w:szCs w:val="20"/>
              </w:rPr>
              <w:t>, medical residents, and nurses</w:t>
            </w:r>
          </w:p>
        </w:tc>
        <w:tc>
          <w:tcPr>
            <w:tcW w:w="2340" w:type="dxa"/>
            <w:tcBorders>
              <w:top w:val="nil"/>
              <w:left w:val="nil"/>
              <w:bottom w:val="single" w:sz="4" w:space="0" w:color="auto"/>
              <w:right w:val="single" w:sz="4" w:space="0" w:color="auto"/>
            </w:tcBorders>
            <w:shd w:val="clear" w:color="auto" w:fill="auto"/>
            <w:hideMark/>
          </w:tcPr>
          <w:p w14:paraId="17A5592D"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684079">
              <w:rPr>
                <w:rFonts w:ascii="Calibri" w:eastAsia="Times New Roman" w:hAnsi="Calibri" w:cs="Calibri"/>
                <w:color w:val="000000"/>
                <w:sz w:val="20"/>
                <w:szCs w:val="20"/>
                <w:lang w:val="en-GB"/>
              </w:rPr>
              <w:t>Preventing drug–drug interactions</w:t>
            </w:r>
          </w:p>
          <w:p w14:paraId="3D5ADA75"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-C</w:t>
            </w:r>
            <w:r w:rsidRPr="00684079">
              <w:rPr>
                <w:rFonts w:ascii="Calibri" w:eastAsia="Times New Roman" w:hAnsi="Calibri" w:cs="Calibri"/>
                <w:color w:val="000000"/>
                <w:sz w:val="20"/>
                <w:szCs w:val="20"/>
                <w:lang w:val="en-GB"/>
              </w:rPr>
              <w:t>hecking for adverse effect</w:t>
            </w:r>
            <w:r>
              <w:rPr>
                <w:rFonts w:ascii="Calibri" w:eastAsia="Times New Roman" w:hAnsi="Calibri" w:cs="Calibri"/>
                <w:color w:val="000000"/>
                <w:sz w:val="20"/>
                <w:szCs w:val="20"/>
                <w:lang w:val="en-GB"/>
              </w:rPr>
              <w:t>s</w:t>
            </w:r>
          </w:p>
          <w:p w14:paraId="617B7C70" w14:textId="77777777" w:rsidR="009D2B25" w:rsidRPr="00684079" w:rsidRDefault="009D2B25"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lang w:val="en-GB"/>
              </w:rPr>
              <w:t>-R</w:t>
            </w:r>
            <w:r w:rsidRPr="00684079">
              <w:rPr>
                <w:rFonts w:ascii="Calibri" w:eastAsia="Times New Roman" w:hAnsi="Calibri" w:cs="Calibri"/>
                <w:color w:val="000000"/>
                <w:sz w:val="20"/>
                <w:szCs w:val="20"/>
                <w:lang w:val="en-GB"/>
              </w:rPr>
              <w:t>educing polypharmacy and adjusting doses</w:t>
            </w:r>
          </w:p>
        </w:tc>
        <w:tc>
          <w:tcPr>
            <w:tcW w:w="2700" w:type="dxa"/>
            <w:tcBorders>
              <w:top w:val="nil"/>
              <w:left w:val="nil"/>
              <w:bottom w:val="single" w:sz="4" w:space="0" w:color="auto"/>
              <w:right w:val="single" w:sz="4" w:space="0" w:color="auto"/>
            </w:tcBorders>
            <w:shd w:val="clear" w:color="auto" w:fill="auto"/>
            <w:hideMark/>
          </w:tcPr>
          <w:p w14:paraId="5961CEE5"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The majority of the participants (doctors and nurses) perceived pharmacists as beneficial in optimising drug therapy and improving the safety and quality of patient care.</w:t>
            </w:r>
          </w:p>
        </w:tc>
        <w:tc>
          <w:tcPr>
            <w:tcW w:w="2790" w:type="dxa"/>
            <w:tcBorders>
              <w:top w:val="nil"/>
              <w:left w:val="nil"/>
              <w:bottom w:val="single" w:sz="4" w:space="0" w:color="auto"/>
              <w:right w:val="single" w:sz="4" w:space="0" w:color="auto"/>
            </w:tcBorders>
            <w:shd w:val="clear" w:color="auto" w:fill="auto"/>
            <w:hideMark/>
          </w:tcPr>
          <w:p w14:paraId="184B0AD9" w14:textId="77777777" w:rsidR="009D2B25" w:rsidRPr="00684079" w:rsidRDefault="009D2B25" w:rsidP="00282204">
            <w:pPr>
              <w:spacing w:after="0" w:line="240" w:lineRule="auto"/>
              <w:rPr>
                <w:rFonts w:ascii="Calibri" w:eastAsia="Times New Roman" w:hAnsi="Calibri" w:cs="Calibri"/>
                <w:color w:val="000000"/>
                <w:sz w:val="20"/>
                <w:szCs w:val="20"/>
              </w:rPr>
            </w:pPr>
          </w:p>
        </w:tc>
      </w:tr>
      <w:tr w:rsidR="009D2B25" w:rsidRPr="00624CC8" w14:paraId="7008B24A" w14:textId="77777777" w:rsidTr="00282204">
        <w:trPr>
          <w:trHeight w:val="1090"/>
        </w:trPr>
        <w:tc>
          <w:tcPr>
            <w:tcW w:w="450" w:type="dxa"/>
            <w:tcBorders>
              <w:top w:val="nil"/>
              <w:left w:val="single" w:sz="4" w:space="0" w:color="auto"/>
              <w:bottom w:val="single" w:sz="4" w:space="0" w:color="auto"/>
              <w:right w:val="single" w:sz="4" w:space="0" w:color="auto"/>
            </w:tcBorders>
            <w:shd w:val="clear" w:color="auto" w:fill="auto"/>
            <w:hideMark/>
          </w:tcPr>
          <w:p w14:paraId="237B73D6" w14:textId="77777777" w:rsidR="009D2B25" w:rsidRPr="00992340" w:rsidRDefault="009D2B25" w:rsidP="00282204">
            <w:pPr>
              <w:spacing w:after="0" w:line="240" w:lineRule="auto"/>
              <w:rPr>
                <w:rFonts w:ascii="Calibri" w:eastAsia="Times New Roman" w:hAnsi="Calibri" w:cs="Calibri"/>
                <w:color w:val="000000"/>
                <w:sz w:val="18"/>
                <w:szCs w:val="18"/>
              </w:rPr>
            </w:pPr>
            <w:r w:rsidRPr="00992340">
              <w:rPr>
                <w:rFonts w:ascii="Calibri" w:eastAsia="Times New Roman" w:hAnsi="Calibri" w:cs="Calibri"/>
                <w:color w:val="000000"/>
                <w:sz w:val="18"/>
                <w:szCs w:val="18"/>
                <w:lang w:val="en-GB"/>
              </w:rPr>
              <w:t>5</w:t>
            </w:r>
          </w:p>
        </w:tc>
        <w:tc>
          <w:tcPr>
            <w:tcW w:w="1080" w:type="dxa"/>
            <w:tcBorders>
              <w:top w:val="nil"/>
              <w:left w:val="nil"/>
              <w:bottom w:val="single" w:sz="4" w:space="0" w:color="auto"/>
              <w:right w:val="single" w:sz="4" w:space="0" w:color="auto"/>
            </w:tcBorders>
            <w:shd w:val="clear" w:color="auto" w:fill="auto"/>
            <w:hideMark/>
          </w:tcPr>
          <w:p w14:paraId="52178B51"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noProof/>
                <w:color w:val="000000"/>
                <w:sz w:val="20"/>
                <w:szCs w:val="20"/>
                <w:lang w:val="en-GB"/>
              </w:rPr>
              <w:t>(Alomi et al., 2019)</w:t>
            </w:r>
          </w:p>
        </w:tc>
        <w:tc>
          <w:tcPr>
            <w:tcW w:w="1620" w:type="dxa"/>
            <w:tcBorders>
              <w:top w:val="nil"/>
              <w:left w:val="nil"/>
              <w:bottom w:val="single" w:sz="4" w:space="0" w:color="auto"/>
              <w:right w:val="single" w:sz="4" w:space="0" w:color="auto"/>
            </w:tcBorders>
            <w:shd w:val="clear" w:color="auto" w:fill="auto"/>
            <w:hideMark/>
          </w:tcPr>
          <w:p w14:paraId="6C489391"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Attitudes and Perceptions of </w:t>
            </w:r>
            <w:r>
              <w:rPr>
                <w:rFonts w:ascii="Calibri" w:eastAsia="Times New Roman" w:hAnsi="Calibri" w:cs="Calibri"/>
                <w:color w:val="000000"/>
                <w:sz w:val="20"/>
                <w:szCs w:val="20"/>
                <w:lang w:val="en-GB"/>
              </w:rPr>
              <w:t xml:space="preserve">HCPs </w:t>
            </w:r>
            <w:r w:rsidRPr="00684079">
              <w:rPr>
                <w:rFonts w:ascii="Calibri" w:eastAsia="Times New Roman" w:hAnsi="Calibri" w:cs="Calibri"/>
                <w:color w:val="000000"/>
                <w:sz w:val="20"/>
                <w:szCs w:val="20"/>
                <w:lang w:val="en-GB"/>
              </w:rPr>
              <w:t xml:space="preserve">towards Pharmaceutical Care Services in </w:t>
            </w:r>
            <w:r>
              <w:rPr>
                <w:rFonts w:ascii="Calibri" w:eastAsia="Times New Roman" w:hAnsi="Calibri" w:cs="Calibri"/>
                <w:color w:val="000000"/>
                <w:sz w:val="20"/>
                <w:szCs w:val="20"/>
                <w:lang w:val="en-GB"/>
              </w:rPr>
              <w:t>KSA</w:t>
            </w:r>
          </w:p>
        </w:tc>
        <w:tc>
          <w:tcPr>
            <w:tcW w:w="1350" w:type="dxa"/>
            <w:tcBorders>
              <w:top w:val="nil"/>
              <w:left w:val="nil"/>
              <w:bottom w:val="single" w:sz="4" w:space="0" w:color="auto"/>
              <w:right w:val="single" w:sz="4" w:space="0" w:color="auto"/>
            </w:tcBorders>
            <w:shd w:val="clear" w:color="auto" w:fill="auto"/>
            <w:hideMark/>
          </w:tcPr>
          <w:p w14:paraId="37520628" w14:textId="77777777" w:rsidR="009D2B25" w:rsidRPr="00684079" w:rsidRDefault="009D2B25"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lang w:val="en-GB"/>
              </w:rPr>
              <w:t>A</w:t>
            </w:r>
            <w:r w:rsidRPr="00684079">
              <w:rPr>
                <w:rFonts w:ascii="Calibri" w:eastAsia="Times New Roman" w:hAnsi="Calibri" w:cs="Calibri"/>
                <w:color w:val="000000"/>
                <w:sz w:val="20"/>
                <w:szCs w:val="20"/>
                <w:lang w:val="en-GB"/>
              </w:rPr>
              <w:t xml:space="preserve"> survey distributed on social media using WhatsApp to more than a </w:t>
            </w:r>
            <w:r>
              <w:rPr>
                <w:rFonts w:ascii="Calibri" w:eastAsia="Times New Roman" w:hAnsi="Calibri" w:cs="Calibri"/>
                <w:color w:val="000000"/>
                <w:sz w:val="20"/>
                <w:szCs w:val="20"/>
                <w:lang w:val="en-GB"/>
              </w:rPr>
              <w:t>1000</w:t>
            </w:r>
            <w:r w:rsidRPr="00684079">
              <w:rPr>
                <w:rFonts w:ascii="Calibri" w:eastAsia="Times New Roman" w:hAnsi="Calibri" w:cs="Calibri"/>
                <w:color w:val="000000"/>
                <w:sz w:val="20"/>
                <w:szCs w:val="20"/>
                <w:lang w:val="en-GB"/>
              </w:rPr>
              <w:t xml:space="preserve"> </w:t>
            </w:r>
            <w:r>
              <w:rPr>
                <w:rFonts w:ascii="Calibri" w:eastAsia="Times New Roman" w:hAnsi="Calibri" w:cs="Calibri"/>
                <w:color w:val="000000"/>
                <w:sz w:val="20"/>
                <w:szCs w:val="20"/>
                <w:lang w:val="en-GB"/>
              </w:rPr>
              <w:t>HCPs</w:t>
            </w:r>
            <w:r w:rsidRPr="00684079">
              <w:rPr>
                <w:rFonts w:ascii="Calibri" w:eastAsia="Times New Roman" w:hAnsi="Calibri" w:cs="Calibri"/>
                <w:color w:val="000000"/>
                <w:sz w:val="20"/>
                <w:szCs w:val="20"/>
                <w:lang w:val="en-GB"/>
              </w:rPr>
              <w:t xml:space="preserve"> across </w:t>
            </w:r>
            <w:r>
              <w:rPr>
                <w:rFonts w:ascii="Calibri" w:eastAsia="Times New Roman" w:hAnsi="Calibri" w:cs="Calibri"/>
                <w:color w:val="000000"/>
                <w:sz w:val="20"/>
                <w:szCs w:val="20"/>
                <w:lang w:val="en-GB"/>
              </w:rPr>
              <w:t>SA</w:t>
            </w:r>
            <w:r w:rsidRPr="00684079">
              <w:rPr>
                <w:rFonts w:ascii="Calibri" w:eastAsia="Times New Roman" w:hAnsi="Calibri" w:cs="Calibri"/>
                <w:color w:val="000000"/>
                <w:sz w:val="20"/>
                <w:szCs w:val="20"/>
                <w:lang w:val="en-GB"/>
              </w:rPr>
              <w:t>.</w:t>
            </w:r>
          </w:p>
        </w:tc>
        <w:tc>
          <w:tcPr>
            <w:tcW w:w="1800" w:type="dxa"/>
            <w:tcBorders>
              <w:top w:val="nil"/>
              <w:left w:val="nil"/>
              <w:bottom w:val="single" w:sz="4" w:space="0" w:color="auto"/>
              <w:right w:val="single" w:sz="4" w:space="0" w:color="auto"/>
            </w:tcBorders>
            <w:shd w:val="clear" w:color="auto" w:fill="auto"/>
            <w:hideMark/>
          </w:tcPr>
          <w:p w14:paraId="60C2F655"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A cross-sectional survey of </w:t>
            </w:r>
            <w:r>
              <w:rPr>
                <w:rFonts w:ascii="Calibri" w:eastAsia="Times New Roman" w:hAnsi="Calibri" w:cs="Calibri"/>
                <w:color w:val="000000"/>
                <w:sz w:val="20"/>
                <w:szCs w:val="20"/>
                <w:lang w:val="en-GB"/>
              </w:rPr>
              <w:t>HCPs</w:t>
            </w:r>
          </w:p>
        </w:tc>
        <w:tc>
          <w:tcPr>
            <w:tcW w:w="2340" w:type="dxa"/>
            <w:tcBorders>
              <w:top w:val="nil"/>
              <w:left w:val="nil"/>
              <w:bottom w:val="single" w:sz="4" w:space="0" w:color="auto"/>
              <w:right w:val="single" w:sz="4" w:space="0" w:color="auto"/>
            </w:tcBorders>
            <w:shd w:val="clear" w:color="auto" w:fill="auto"/>
            <w:hideMark/>
          </w:tcPr>
          <w:p w14:paraId="327117DC"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Primarily dispensing prescriptions, medication consultation and dispensing of over-the-counter medications and non-medication supplements.</w:t>
            </w:r>
          </w:p>
        </w:tc>
        <w:tc>
          <w:tcPr>
            <w:tcW w:w="2700" w:type="dxa"/>
            <w:tcBorders>
              <w:top w:val="nil"/>
              <w:left w:val="nil"/>
              <w:bottom w:val="single" w:sz="4" w:space="0" w:color="auto"/>
              <w:right w:val="single" w:sz="4" w:space="0" w:color="auto"/>
            </w:tcBorders>
            <w:shd w:val="clear" w:color="auto" w:fill="auto"/>
            <w:hideMark/>
          </w:tcPr>
          <w:p w14:paraId="37AD2BDD"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The study results reflect the barriers and facilitators that limit pharmaceutical care delivery more than </w:t>
            </w:r>
            <w:r>
              <w:rPr>
                <w:rFonts w:ascii="Calibri" w:eastAsia="Times New Roman" w:hAnsi="Calibri" w:cs="Calibri"/>
                <w:color w:val="000000"/>
                <w:sz w:val="20"/>
                <w:szCs w:val="20"/>
                <w:lang w:val="en-GB"/>
              </w:rPr>
              <w:t xml:space="preserve">HCPs’ </w:t>
            </w:r>
            <w:r w:rsidRPr="00684079">
              <w:rPr>
                <w:rFonts w:ascii="Calibri" w:eastAsia="Times New Roman" w:hAnsi="Calibri" w:cs="Calibri"/>
                <w:color w:val="000000"/>
                <w:sz w:val="20"/>
                <w:szCs w:val="20"/>
                <w:lang w:val="en-GB"/>
              </w:rPr>
              <w:t>attitudes and perceptions towards pharmaceutical care services.</w:t>
            </w:r>
          </w:p>
        </w:tc>
        <w:tc>
          <w:tcPr>
            <w:tcW w:w="2790" w:type="dxa"/>
            <w:tcBorders>
              <w:top w:val="nil"/>
              <w:left w:val="nil"/>
              <w:bottom w:val="single" w:sz="4" w:space="0" w:color="auto"/>
              <w:right w:val="single" w:sz="4" w:space="0" w:color="auto"/>
            </w:tcBorders>
            <w:shd w:val="clear" w:color="auto" w:fill="auto"/>
            <w:hideMark/>
          </w:tcPr>
          <w:p w14:paraId="09788811" w14:textId="77777777" w:rsidR="009D2B25" w:rsidRPr="00684079" w:rsidRDefault="009D2B25" w:rsidP="00282204">
            <w:pPr>
              <w:spacing w:after="0" w:line="240" w:lineRule="auto"/>
              <w:rPr>
                <w:rFonts w:ascii="Calibri" w:eastAsia="Times New Roman" w:hAnsi="Calibri" w:cs="Calibri"/>
                <w:color w:val="000000"/>
                <w:sz w:val="20"/>
                <w:szCs w:val="20"/>
              </w:rPr>
            </w:pPr>
          </w:p>
        </w:tc>
      </w:tr>
      <w:tr w:rsidR="009D2B25" w:rsidRPr="00624CC8" w14:paraId="35490226" w14:textId="77777777" w:rsidTr="00282204">
        <w:trPr>
          <w:trHeight w:val="1090"/>
        </w:trPr>
        <w:tc>
          <w:tcPr>
            <w:tcW w:w="450" w:type="dxa"/>
            <w:tcBorders>
              <w:top w:val="nil"/>
              <w:left w:val="single" w:sz="4" w:space="0" w:color="auto"/>
              <w:bottom w:val="single" w:sz="4" w:space="0" w:color="auto"/>
              <w:right w:val="single" w:sz="4" w:space="0" w:color="auto"/>
            </w:tcBorders>
            <w:shd w:val="clear" w:color="auto" w:fill="auto"/>
            <w:hideMark/>
          </w:tcPr>
          <w:p w14:paraId="18ACB0FA" w14:textId="77777777" w:rsidR="009D2B25" w:rsidRPr="00992340" w:rsidRDefault="009D2B25" w:rsidP="00282204">
            <w:pPr>
              <w:spacing w:after="0" w:line="240" w:lineRule="auto"/>
              <w:rPr>
                <w:rFonts w:ascii="Calibri" w:eastAsia="Times New Roman" w:hAnsi="Calibri" w:cs="Calibri"/>
                <w:color w:val="000000"/>
                <w:sz w:val="18"/>
                <w:szCs w:val="18"/>
              </w:rPr>
            </w:pPr>
            <w:r w:rsidRPr="00992340">
              <w:rPr>
                <w:rFonts w:ascii="Calibri" w:eastAsia="Times New Roman" w:hAnsi="Calibri" w:cs="Calibri"/>
                <w:color w:val="000000"/>
                <w:sz w:val="18"/>
                <w:szCs w:val="18"/>
                <w:lang w:val="en-GB"/>
              </w:rPr>
              <w:t>6</w:t>
            </w:r>
          </w:p>
        </w:tc>
        <w:tc>
          <w:tcPr>
            <w:tcW w:w="1080" w:type="dxa"/>
            <w:tcBorders>
              <w:top w:val="nil"/>
              <w:left w:val="nil"/>
              <w:bottom w:val="single" w:sz="4" w:space="0" w:color="auto"/>
              <w:right w:val="single" w:sz="4" w:space="0" w:color="auto"/>
            </w:tcBorders>
            <w:shd w:val="clear" w:color="auto" w:fill="auto"/>
            <w:hideMark/>
          </w:tcPr>
          <w:p w14:paraId="340E3678"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noProof/>
                <w:color w:val="000000"/>
                <w:sz w:val="20"/>
                <w:szCs w:val="20"/>
                <w:lang w:val="en-GB"/>
              </w:rPr>
              <w:t>(Alomi et al., 2019)</w:t>
            </w:r>
          </w:p>
        </w:tc>
        <w:tc>
          <w:tcPr>
            <w:tcW w:w="1620" w:type="dxa"/>
            <w:tcBorders>
              <w:top w:val="nil"/>
              <w:left w:val="nil"/>
              <w:bottom w:val="single" w:sz="4" w:space="0" w:color="auto"/>
              <w:right w:val="single" w:sz="4" w:space="0" w:color="auto"/>
            </w:tcBorders>
            <w:shd w:val="clear" w:color="auto" w:fill="auto"/>
            <w:hideMark/>
          </w:tcPr>
          <w:p w14:paraId="204C76A8"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Patient's General Perception and Attitude toward Pharmacists in </w:t>
            </w:r>
            <w:r>
              <w:rPr>
                <w:rFonts w:ascii="Calibri" w:eastAsia="Times New Roman" w:hAnsi="Calibri" w:cs="Calibri"/>
                <w:color w:val="000000"/>
                <w:sz w:val="20"/>
                <w:szCs w:val="20"/>
                <w:lang w:val="en-GB"/>
              </w:rPr>
              <w:t>SA</w:t>
            </w:r>
          </w:p>
        </w:tc>
        <w:tc>
          <w:tcPr>
            <w:tcW w:w="1350" w:type="dxa"/>
            <w:tcBorders>
              <w:top w:val="nil"/>
              <w:left w:val="nil"/>
              <w:bottom w:val="single" w:sz="4" w:space="0" w:color="auto"/>
              <w:right w:val="single" w:sz="4" w:space="0" w:color="auto"/>
            </w:tcBorders>
            <w:shd w:val="clear" w:color="auto" w:fill="auto"/>
            <w:hideMark/>
          </w:tcPr>
          <w:p w14:paraId="3070D570"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A general hospital in the Alhassa region, an ambulatory care pharmacy.</w:t>
            </w:r>
          </w:p>
        </w:tc>
        <w:tc>
          <w:tcPr>
            <w:tcW w:w="1800" w:type="dxa"/>
            <w:tcBorders>
              <w:top w:val="nil"/>
              <w:left w:val="nil"/>
              <w:bottom w:val="single" w:sz="4" w:space="0" w:color="auto"/>
              <w:right w:val="single" w:sz="4" w:space="0" w:color="auto"/>
            </w:tcBorders>
            <w:shd w:val="clear" w:color="auto" w:fill="auto"/>
            <w:hideMark/>
          </w:tcPr>
          <w:p w14:paraId="73B8EB52"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A cross-sectional survey of patient perception of pharmacists.</w:t>
            </w:r>
          </w:p>
        </w:tc>
        <w:tc>
          <w:tcPr>
            <w:tcW w:w="2340" w:type="dxa"/>
            <w:tcBorders>
              <w:top w:val="nil"/>
              <w:left w:val="nil"/>
              <w:bottom w:val="single" w:sz="4" w:space="0" w:color="auto"/>
              <w:right w:val="single" w:sz="4" w:space="0" w:color="auto"/>
            </w:tcBorders>
            <w:shd w:val="clear" w:color="auto" w:fill="auto"/>
            <w:hideMark/>
          </w:tcPr>
          <w:p w14:paraId="1828AD7D"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 xml:space="preserve">Not clearly mentioned. </w:t>
            </w:r>
          </w:p>
          <w:p w14:paraId="6B946242" w14:textId="77777777" w:rsidR="009D2B25" w:rsidRPr="00684079" w:rsidRDefault="009D2B25"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lang w:val="en-GB"/>
              </w:rPr>
              <w:t>T</w:t>
            </w:r>
            <w:r>
              <w:rPr>
                <w:rFonts w:ascii="Calibri" w:eastAsia="Times New Roman" w:hAnsi="Calibri" w:cs="Calibri"/>
                <w:color w:val="000000"/>
                <w:sz w:val="20"/>
                <w:szCs w:val="20"/>
              </w:rPr>
              <w:t>ables included in the article showed general ideas about pharmacists’ role and their participation in public education</w:t>
            </w:r>
          </w:p>
        </w:tc>
        <w:tc>
          <w:tcPr>
            <w:tcW w:w="2700" w:type="dxa"/>
            <w:tcBorders>
              <w:top w:val="nil"/>
              <w:left w:val="nil"/>
              <w:bottom w:val="single" w:sz="4" w:space="0" w:color="auto"/>
              <w:right w:val="single" w:sz="4" w:space="0" w:color="auto"/>
            </w:tcBorders>
            <w:shd w:val="clear" w:color="auto" w:fill="auto"/>
            <w:hideMark/>
          </w:tcPr>
          <w:p w14:paraId="368A739D" w14:textId="77777777" w:rsidR="009D2B25" w:rsidRPr="00684079" w:rsidRDefault="009D2B25" w:rsidP="00282204">
            <w:pPr>
              <w:spacing w:after="0" w:line="240" w:lineRule="auto"/>
              <w:rPr>
                <w:rFonts w:ascii="Calibri" w:eastAsia="Times New Roman" w:hAnsi="Calibri" w:cs="Calibri"/>
                <w:color w:val="000000"/>
                <w:sz w:val="20"/>
                <w:szCs w:val="20"/>
              </w:rPr>
            </w:pPr>
          </w:p>
        </w:tc>
        <w:tc>
          <w:tcPr>
            <w:tcW w:w="2790" w:type="dxa"/>
            <w:tcBorders>
              <w:top w:val="nil"/>
              <w:left w:val="nil"/>
              <w:bottom w:val="single" w:sz="4" w:space="0" w:color="auto"/>
              <w:right w:val="single" w:sz="4" w:space="0" w:color="auto"/>
            </w:tcBorders>
            <w:shd w:val="clear" w:color="auto" w:fill="auto"/>
            <w:hideMark/>
          </w:tcPr>
          <w:p w14:paraId="78822EC4"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The majority of the patients had a good perception about pharmacists and their roles with patients and the society.</w:t>
            </w:r>
          </w:p>
        </w:tc>
      </w:tr>
      <w:tr w:rsidR="009D2B25" w:rsidRPr="00624CC8" w14:paraId="327350C8" w14:textId="77777777" w:rsidTr="00282204">
        <w:trPr>
          <w:trHeight w:val="566"/>
        </w:trPr>
        <w:tc>
          <w:tcPr>
            <w:tcW w:w="450" w:type="dxa"/>
            <w:tcBorders>
              <w:top w:val="nil"/>
              <w:left w:val="single" w:sz="4" w:space="0" w:color="auto"/>
              <w:bottom w:val="single" w:sz="4" w:space="0" w:color="auto"/>
              <w:right w:val="single" w:sz="4" w:space="0" w:color="auto"/>
            </w:tcBorders>
            <w:shd w:val="clear" w:color="auto" w:fill="auto"/>
            <w:hideMark/>
          </w:tcPr>
          <w:p w14:paraId="4CE449D7" w14:textId="77777777" w:rsidR="009D2B25" w:rsidRPr="00992340" w:rsidRDefault="009D2B25" w:rsidP="00282204">
            <w:pPr>
              <w:spacing w:after="0" w:line="240" w:lineRule="auto"/>
              <w:rPr>
                <w:rFonts w:ascii="Calibri" w:eastAsia="Times New Roman" w:hAnsi="Calibri" w:cs="Calibri"/>
                <w:color w:val="000000"/>
                <w:sz w:val="18"/>
                <w:szCs w:val="18"/>
              </w:rPr>
            </w:pPr>
            <w:r w:rsidRPr="00992340">
              <w:rPr>
                <w:rFonts w:ascii="Calibri" w:eastAsia="Times New Roman" w:hAnsi="Calibri" w:cs="Calibri"/>
                <w:color w:val="000000"/>
                <w:sz w:val="18"/>
                <w:szCs w:val="18"/>
                <w:lang w:val="en-GB"/>
              </w:rPr>
              <w:t>7</w:t>
            </w:r>
          </w:p>
        </w:tc>
        <w:tc>
          <w:tcPr>
            <w:tcW w:w="1080" w:type="dxa"/>
            <w:tcBorders>
              <w:top w:val="nil"/>
              <w:left w:val="nil"/>
              <w:bottom w:val="single" w:sz="4" w:space="0" w:color="auto"/>
              <w:right w:val="single" w:sz="4" w:space="0" w:color="auto"/>
            </w:tcBorders>
            <w:shd w:val="clear" w:color="auto" w:fill="auto"/>
            <w:hideMark/>
          </w:tcPr>
          <w:p w14:paraId="6CF1955E"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noProof/>
                <w:color w:val="000000"/>
                <w:sz w:val="20"/>
                <w:szCs w:val="20"/>
                <w:lang w:val="en-GB"/>
              </w:rPr>
              <w:t>(Alomi et al., 2018)</w:t>
            </w:r>
          </w:p>
        </w:tc>
        <w:tc>
          <w:tcPr>
            <w:tcW w:w="1620" w:type="dxa"/>
            <w:tcBorders>
              <w:top w:val="nil"/>
              <w:left w:val="nil"/>
              <w:bottom w:val="single" w:sz="4" w:space="0" w:color="auto"/>
              <w:right w:val="single" w:sz="4" w:space="0" w:color="auto"/>
            </w:tcBorders>
            <w:shd w:val="clear" w:color="auto" w:fill="auto"/>
            <w:hideMark/>
          </w:tcPr>
          <w:p w14:paraId="0AFC364E" w14:textId="77777777" w:rsidR="009D2B25" w:rsidRPr="00684079" w:rsidRDefault="009D2B25"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lang w:val="en-GB"/>
              </w:rPr>
              <w:t xml:space="preserve">HCP’s </w:t>
            </w:r>
            <w:r w:rsidRPr="00684079">
              <w:rPr>
                <w:rFonts w:ascii="Calibri" w:eastAsia="Times New Roman" w:hAnsi="Calibri" w:cs="Calibri"/>
                <w:color w:val="000000"/>
                <w:sz w:val="20"/>
                <w:szCs w:val="20"/>
                <w:lang w:val="en-GB"/>
              </w:rPr>
              <w:t xml:space="preserve">Perception of Pharmacist’s Relationship and Counselling Skills in </w:t>
            </w:r>
            <w:r>
              <w:rPr>
                <w:rFonts w:ascii="Calibri" w:eastAsia="Times New Roman" w:hAnsi="Calibri" w:cs="Calibri"/>
                <w:color w:val="000000"/>
                <w:sz w:val="20"/>
                <w:szCs w:val="20"/>
                <w:lang w:val="en-GB"/>
              </w:rPr>
              <w:t>SA.</w:t>
            </w:r>
          </w:p>
        </w:tc>
        <w:tc>
          <w:tcPr>
            <w:tcW w:w="1350" w:type="dxa"/>
            <w:tcBorders>
              <w:top w:val="nil"/>
              <w:left w:val="nil"/>
              <w:bottom w:val="single" w:sz="4" w:space="0" w:color="auto"/>
              <w:right w:val="single" w:sz="4" w:space="0" w:color="auto"/>
            </w:tcBorders>
            <w:shd w:val="clear" w:color="auto" w:fill="auto"/>
            <w:hideMark/>
          </w:tcPr>
          <w:p w14:paraId="08BC0B42"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Across the KSA.</w:t>
            </w:r>
          </w:p>
        </w:tc>
        <w:tc>
          <w:tcPr>
            <w:tcW w:w="1800" w:type="dxa"/>
            <w:tcBorders>
              <w:top w:val="nil"/>
              <w:left w:val="nil"/>
              <w:bottom w:val="single" w:sz="4" w:space="0" w:color="auto"/>
              <w:right w:val="single" w:sz="4" w:space="0" w:color="auto"/>
            </w:tcBorders>
            <w:shd w:val="clear" w:color="auto" w:fill="auto"/>
            <w:hideMark/>
          </w:tcPr>
          <w:p w14:paraId="310889F1"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A cross-sectional survey of the </w:t>
            </w:r>
            <w:r>
              <w:rPr>
                <w:rFonts w:ascii="Calibri" w:eastAsia="Times New Roman" w:hAnsi="Calibri" w:cs="Calibri"/>
                <w:color w:val="000000"/>
                <w:sz w:val="20"/>
                <w:szCs w:val="20"/>
                <w:lang w:val="en-GB"/>
              </w:rPr>
              <w:t>HCP</w:t>
            </w:r>
            <w:r w:rsidRPr="00684079">
              <w:rPr>
                <w:rFonts w:ascii="Calibri" w:eastAsia="Times New Roman" w:hAnsi="Calibri" w:cs="Calibri"/>
                <w:color w:val="000000"/>
                <w:sz w:val="20"/>
                <w:szCs w:val="20"/>
                <w:lang w:val="en-GB"/>
              </w:rPr>
              <w:t>’s perception of the pharmacist.</w:t>
            </w:r>
          </w:p>
        </w:tc>
        <w:tc>
          <w:tcPr>
            <w:tcW w:w="2340" w:type="dxa"/>
            <w:tcBorders>
              <w:top w:val="nil"/>
              <w:left w:val="nil"/>
              <w:bottom w:val="single" w:sz="4" w:space="0" w:color="auto"/>
              <w:right w:val="single" w:sz="4" w:space="0" w:color="auto"/>
            </w:tcBorders>
            <w:shd w:val="clear" w:color="auto" w:fill="auto"/>
            <w:hideMark/>
          </w:tcPr>
          <w:p w14:paraId="2FA0A769"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Mainly providing patient counselling, and operating drug information centres.</w:t>
            </w:r>
          </w:p>
        </w:tc>
        <w:tc>
          <w:tcPr>
            <w:tcW w:w="2700" w:type="dxa"/>
            <w:tcBorders>
              <w:top w:val="nil"/>
              <w:left w:val="nil"/>
              <w:bottom w:val="single" w:sz="4" w:space="0" w:color="auto"/>
              <w:right w:val="single" w:sz="4" w:space="0" w:color="auto"/>
            </w:tcBorders>
            <w:shd w:val="clear" w:color="auto" w:fill="auto"/>
            <w:hideMark/>
          </w:tcPr>
          <w:p w14:paraId="41433E36" w14:textId="77777777" w:rsidR="009D2B25" w:rsidRPr="00684079" w:rsidRDefault="009D2B25"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lang w:val="en-GB"/>
              </w:rPr>
              <w:t>HCPs</w:t>
            </w:r>
            <w:r w:rsidRPr="00684079">
              <w:rPr>
                <w:rFonts w:ascii="Calibri" w:eastAsia="Times New Roman" w:hAnsi="Calibri" w:cs="Calibri"/>
                <w:color w:val="000000"/>
                <w:sz w:val="20"/>
                <w:szCs w:val="20"/>
                <w:lang w:val="en-GB"/>
              </w:rPr>
              <w:t xml:space="preserve"> had a fairly acceptable perception of the pharmacist regarding communication skills and patient counselling, with a lower acceptance rate for services related to the drug information centre. Although nearly half of the respondents were pharmacists.</w:t>
            </w:r>
          </w:p>
        </w:tc>
        <w:tc>
          <w:tcPr>
            <w:tcW w:w="2790" w:type="dxa"/>
            <w:tcBorders>
              <w:top w:val="nil"/>
              <w:left w:val="nil"/>
              <w:bottom w:val="single" w:sz="4" w:space="0" w:color="auto"/>
              <w:right w:val="single" w:sz="4" w:space="0" w:color="auto"/>
            </w:tcBorders>
            <w:shd w:val="clear" w:color="auto" w:fill="auto"/>
            <w:hideMark/>
          </w:tcPr>
          <w:p w14:paraId="4BB67A01" w14:textId="77777777" w:rsidR="009D2B25" w:rsidRPr="00684079" w:rsidRDefault="009D2B25" w:rsidP="00282204">
            <w:pPr>
              <w:spacing w:after="0" w:line="240" w:lineRule="auto"/>
              <w:rPr>
                <w:rFonts w:ascii="Calibri" w:eastAsia="Times New Roman" w:hAnsi="Calibri" w:cs="Calibri"/>
                <w:color w:val="000000"/>
                <w:sz w:val="20"/>
                <w:szCs w:val="20"/>
              </w:rPr>
            </w:pPr>
          </w:p>
        </w:tc>
      </w:tr>
      <w:tr w:rsidR="009D2B25" w:rsidRPr="00624CC8" w14:paraId="4B6955C4" w14:textId="77777777" w:rsidTr="00282204">
        <w:trPr>
          <w:trHeight w:val="1100"/>
        </w:trPr>
        <w:tc>
          <w:tcPr>
            <w:tcW w:w="450" w:type="dxa"/>
            <w:tcBorders>
              <w:top w:val="nil"/>
              <w:left w:val="single" w:sz="4" w:space="0" w:color="auto"/>
              <w:bottom w:val="single" w:sz="4" w:space="0" w:color="auto"/>
              <w:right w:val="single" w:sz="4" w:space="0" w:color="auto"/>
            </w:tcBorders>
            <w:shd w:val="clear" w:color="auto" w:fill="auto"/>
            <w:hideMark/>
          </w:tcPr>
          <w:p w14:paraId="0CEEC906" w14:textId="77777777" w:rsidR="009D2B25" w:rsidRPr="00992340" w:rsidRDefault="009D2B25" w:rsidP="00282204">
            <w:pPr>
              <w:spacing w:after="0" w:line="240" w:lineRule="auto"/>
              <w:rPr>
                <w:rFonts w:ascii="Calibri" w:eastAsia="Times New Roman" w:hAnsi="Calibri" w:cs="Calibri"/>
                <w:color w:val="000000"/>
                <w:sz w:val="18"/>
                <w:szCs w:val="18"/>
              </w:rPr>
            </w:pPr>
            <w:r w:rsidRPr="00992340">
              <w:rPr>
                <w:rFonts w:ascii="Calibri" w:eastAsia="Times New Roman" w:hAnsi="Calibri" w:cs="Calibri"/>
                <w:color w:val="000000"/>
                <w:sz w:val="18"/>
                <w:szCs w:val="18"/>
                <w:lang w:val="en-GB"/>
              </w:rPr>
              <w:t>8</w:t>
            </w:r>
          </w:p>
        </w:tc>
        <w:tc>
          <w:tcPr>
            <w:tcW w:w="1080" w:type="dxa"/>
            <w:tcBorders>
              <w:top w:val="nil"/>
              <w:left w:val="nil"/>
              <w:bottom w:val="single" w:sz="4" w:space="0" w:color="auto"/>
              <w:right w:val="single" w:sz="4" w:space="0" w:color="auto"/>
            </w:tcBorders>
            <w:shd w:val="clear" w:color="auto" w:fill="auto"/>
            <w:hideMark/>
          </w:tcPr>
          <w:p w14:paraId="3FA29FC8"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noProof/>
                <w:color w:val="000000"/>
                <w:sz w:val="20"/>
                <w:szCs w:val="20"/>
                <w:lang w:val="en-GB"/>
              </w:rPr>
              <w:t>(Ahmed et al., 2017)</w:t>
            </w:r>
          </w:p>
        </w:tc>
        <w:tc>
          <w:tcPr>
            <w:tcW w:w="1620" w:type="dxa"/>
            <w:tcBorders>
              <w:top w:val="nil"/>
              <w:left w:val="nil"/>
              <w:bottom w:val="single" w:sz="4" w:space="0" w:color="auto"/>
              <w:right w:val="single" w:sz="4" w:space="0" w:color="auto"/>
            </w:tcBorders>
            <w:shd w:val="clear" w:color="auto" w:fill="auto"/>
            <w:hideMark/>
          </w:tcPr>
          <w:p w14:paraId="5CD882C3"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Perceptions of Physicians About Clinical Pharmacist’s Role in Al Qassim’s Hospitals in </w:t>
            </w:r>
            <w:r>
              <w:rPr>
                <w:rFonts w:ascii="Calibri" w:eastAsia="Times New Roman" w:hAnsi="Calibri" w:cs="Calibri"/>
                <w:color w:val="000000"/>
                <w:sz w:val="20"/>
                <w:szCs w:val="20"/>
                <w:lang w:val="en-GB"/>
              </w:rPr>
              <w:t>SA.</w:t>
            </w:r>
          </w:p>
        </w:tc>
        <w:tc>
          <w:tcPr>
            <w:tcW w:w="1350" w:type="dxa"/>
            <w:tcBorders>
              <w:top w:val="nil"/>
              <w:left w:val="nil"/>
              <w:bottom w:val="single" w:sz="4" w:space="0" w:color="auto"/>
              <w:right w:val="single" w:sz="4" w:space="0" w:color="auto"/>
            </w:tcBorders>
            <w:shd w:val="clear" w:color="auto" w:fill="auto"/>
            <w:hideMark/>
          </w:tcPr>
          <w:p w14:paraId="791D5B23"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Three governmental hospitals in Qassim.</w:t>
            </w:r>
          </w:p>
        </w:tc>
        <w:tc>
          <w:tcPr>
            <w:tcW w:w="1800" w:type="dxa"/>
            <w:tcBorders>
              <w:top w:val="nil"/>
              <w:left w:val="nil"/>
              <w:bottom w:val="single" w:sz="4" w:space="0" w:color="auto"/>
              <w:right w:val="single" w:sz="4" w:space="0" w:color="auto"/>
            </w:tcBorders>
            <w:shd w:val="clear" w:color="auto" w:fill="auto"/>
            <w:hideMark/>
          </w:tcPr>
          <w:p w14:paraId="763E47EB" w14:textId="77777777" w:rsidR="009D2B25" w:rsidRDefault="009D2B25" w:rsidP="00282204">
            <w:pPr>
              <w:spacing w:after="0" w:line="240" w:lineRule="auto"/>
              <w:rPr>
                <w:rFonts w:ascii="Calibri" w:eastAsia="Times New Roman" w:hAnsi="Calibri" w:cs="Calibri"/>
                <w:color w:val="000000"/>
                <w:sz w:val="20"/>
                <w:szCs w:val="20"/>
                <w:lang w:val="en-GB"/>
              </w:rPr>
            </w:pPr>
            <w:r w:rsidRPr="00684079">
              <w:rPr>
                <w:rFonts w:ascii="Calibri" w:eastAsia="Times New Roman" w:hAnsi="Calibri" w:cs="Calibri"/>
                <w:color w:val="000000"/>
                <w:sz w:val="20"/>
                <w:szCs w:val="20"/>
                <w:lang w:val="en-GB"/>
              </w:rPr>
              <w:t xml:space="preserve">An observational cross-sectional survey. </w:t>
            </w:r>
          </w:p>
          <w:p w14:paraId="4E5A0C77"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Data was collected by direct face-to-face interviews using a structured questionnaire.</w:t>
            </w:r>
          </w:p>
        </w:tc>
        <w:tc>
          <w:tcPr>
            <w:tcW w:w="2340" w:type="dxa"/>
            <w:tcBorders>
              <w:top w:val="nil"/>
              <w:left w:val="nil"/>
              <w:bottom w:val="single" w:sz="4" w:space="0" w:color="auto"/>
              <w:right w:val="single" w:sz="4" w:space="0" w:color="auto"/>
            </w:tcBorders>
            <w:shd w:val="clear" w:color="auto" w:fill="auto"/>
            <w:hideMark/>
          </w:tcPr>
          <w:p w14:paraId="6F9D0213" w14:textId="77777777" w:rsidR="009D2B25" w:rsidRPr="00684079" w:rsidRDefault="009D2B25" w:rsidP="00282204">
            <w:pPr>
              <w:spacing w:after="0" w:line="240" w:lineRule="auto"/>
              <w:rPr>
                <w:rFonts w:ascii="Calibri" w:eastAsia="Times New Roman" w:hAnsi="Calibri" w:cs="Calibri"/>
                <w:color w:val="000000"/>
                <w:sz w:val="20"/>
                <w:szCs w:val="20"/>
              </w:rPr>
            </w:pPr>
          </w:p>
        </w:tc>
        <w:tc>
          <w:tcPr>
            <w:tcW w:w="2700" w:type="dxa"/>
            <w:tcBorders>
              <w:top w:val="nil"/>
              <w:left w:val="nil"/>
              <w:bottom w:val="single" w:sz="4" w:space="0" w:color="auto"/>
              <w:right w:val="single" w:sz="4" w:space="0" w:color="auto"/>
            </w:tcBorders>
            <w:shd w:val="clear" w:color="auto" w:fill="auto"/>
            <w:hideMark/>
          </w:tcPr>
          <w:p w14:paraId="756592BA" w14:textId="77777777" w:rsidR="009D2B25" w:rsidRDefault="009D2B25" w:rsidP="00282204">
            <w:pPr>
              <w:spacing w:after="0" w:line="240" w:lineRule="auto"/>
              <w:rPr>
                <w:rFonts w:ascii="Calibri" w:eastAsia="Times New Roman" w:hAnsi="Calibri" w:cs="Calibri"/>
                <w:color w:val="000000"/>
                <w:sz w:val="20"/>
                <w:szCs w:val="20"/>
                <w:lang w:val="en-GB"/>
              </w:rPr>
            </w:pPr>
            <w:r w:rsidRPr="00684079">
              <w:rPr>
                <w:rFonts w:ascii="Calibri" w:eastAsia="Times New Roman" w:hAnsi="Calibri" w:cs="Calibri"/>
                <w:color w:val="000000"/>
                <w:sz w:val="20"/>
                <w:szCs w:val="20"/>
                <w:lang w:val="en-GB"/>
              </w:rPr>
              <w:t>Overall, doctors’ perception toward clinical pharmacy services and the role of clinical pharmacists was positive. However, the degree of approval of the statement ‘</w:t>
            </w:r>
            <w:r w:rsidRPr="00744867">
              <w:rPr>
                <w:rFonts w:ascii="Calibri" w:eastAsia="Times New Roman" w:hAnsi="Calibri" w:cs="Calibri"/>
                <w:i/>
                <w:iCs/>
                <w:color w:val="000000"/>
                <w:sz w:val="20"/>
                <w:szCs w:val="20"/>
                <w:lang w:val="en-GB"/>
              </w:rPr>
              <w:t>Clinical pharmacist should care about drug products and leave patient care to doctors and nurses’</w:t>
            </w:r>
            <w:r w:rsidRPr="00684079">
              <w:rPr>
                <w:rFonts w:ascii="Calibri" w:eastAsia="Times New Roman" w:hAnsi="Calibri" w:cs="Calibri"/>
                <w:color w:val="000000"/>
                <w:sz w:val="20"/>
                <w:szCs w:val="20"/>
                <w:lang w:val="en-GB"/>
              </w:rPr>
              <w:t xml:space="preserve"> was 75.7%. This mixed response indicates that doctors’ perceptions of the clinical role of pharmacists were not completely favourable.</w:t>
            </w:r>
          </w:p>
          <w:p w14:paraId="54BAE547" w14:textId="77777777" w:rsidR="009D2B25" w:rsidRPr="00684079" w:rsidRDefault="009D2B25" w:rsidP="00282204">
            <w:pPr>
              <w:spacing w:after="0" w:line="240" w:lineRule="auto"/>
              <w:rPr>
                <w:rFonts w:ascii="Calibri" w:eastAsia="Times New Roman" w:hAnsi="Calibri" w:cs="Calibri"/>
                <w:color w:val="000000"/>
                <w:sz w:val="20"/>
                <w:szCs w:val="20"/>
              </w:rPr>
            </w:pPr>
          </w:p>
        </w:tc>
        <w:tc>
          <w:tcPr>
            <w:tcW w:w="2790" w:type="dxa"/>
            <w:tcBorders>
              <w:top w:val="nil"/>
              <w:left w:val="nil"/>
              <w:bottom w:val="single" w:sz="4" w:space="0" w:color="auto"/>
              <w:right w:val="single" w:sz="4" w:space="0" w:color="auto"/>
            </w:tcBorders>
            <w:shd w:val="clear" w:color="auto" w:fill="auto"/>
            <w:hideMark/>
          </w:tcPr>
          <w:p w14:paraId="20FAAA70" w14:textId="77777777" w:rsidR="009D2B25" w:rsidRPr="00684079" w:rsidRDefault="009D2B25" w:rsidP="00282204">
            <w:pPr>
              <w:spacing w:after="0" w:line="240" w:lineRule="auto"/>
              <w:rPr>
                <w:rFonts w:ascii="Calibri" w:eastAsia="Times New Roman" w:hAnsi="Calibri" w:cs="Calibri"/>
                <w:color w:val="000000"/>
                <w:sz w:val="20"/>
                <w:szCs w:val="20"/>
              </w:rPr>
            </w:pPr>
          </w:p>
        </w:tc>
      </w:tr>
      <w:tr w:rsidR="009D2B25" w:rsidRPr="00624CC8" w14:paraId="65DB5491" w14:textId="77777777" w:rsidTr="00282204">
        <w:trPr>
          <w:trHeight w:val="845"/>
        </w:trPr>
        <w:tc>
          <w:tcPr>
            <w:tcW w:w="450" w:type="dxa"/>
            <w:tcBorders>
              <w:top w:val="nil"/>
              <w:left w:val="single" w:sz="4" w:space="0" w:color="auto"/>
              <w:bottom w:val="single" w:sz="4" w:space="0" w:color="auto"/>
              <w:right w:val="single" w:sz="4" w:space="0" w:color="auto"/>
            </w:tcBorders>
            <w:shd w:val="clear" w:color="auto" w:fill="auto"/>
            <w:hideMark/>
          </w:tcPr>
          <w:p w14:paraId="230C1A32" w14:textId="77777777" w:rsidR="009D2B25" w:rsidRPr="00992340" w:rsidRDefault="009D2B25" w:rsidP="00282204">
            <w:pPr>
              <w:spacing w:after="0" w:line="240" w:lineRule="auto"/>
              <w:rPr>
                <w:rFonts w:ascii="Calibri" w:eastAsia="Times New Roman" w:hAnsi="Calibri" w:cs="Calibri"/>
                <w:color w:val="000000"/>
                <w:sz w:val="18"/>
                <w:szCs w:val="18"/>
              </w:rPr>
            </w:pPr>
            <w:r w:rsidRPr="00992340">
              <w:rPr>
                <w:rFonts w:ascii="Calibri" w:eastAsia="Times New Roman" w:hAnsi="Calibri" w:cs="Calibri"/>
                <w:color w:val="000000"/>
                <w:sz w:val="18"/>
                <w:szCs w:val="18"/>
                <w:lang w:val="en-GB"/>
              </w:rPr>
              <w:t>9</w:t>
            </w:r>
          </w:p>
        </w:tc>
        <w:tc>
          <w:tcPr>
            <w:tcW w:w="1080" w:type="dxa"/>
            <w:tcBorders>
              <w:top w:val="nil"/>
              <w:left w:val="nil"/>
              <w:bottom w:val="single" w:sz="4" w:space="0" w:color="auto"/>
              <w:right w:val="single" w:sz="4" w:space="0" w:color="auto"/>
            </w:tcBorders>
            <w:shd w:val="clear" w:color="auto" w:fill="auto"/>
            <w:hideMark/>
          </w:tcPr>
          <w:p w14:paraId="2255A969"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noProof/>
                <w:color w:val="000000"/>
                <w:sz w:val="20"/>
                <w:szCs w:val="20"/>
                <w:lang w:val="en-GB"/>
              </w:rPr>
              <w:t>(Al-Arifi, et al., 2015)</w:t>
            </w:r>
          </w:p>
        </w:tc>
        <w:tc>
          <w:tcPr>
            <w:tcW w:w="1620" w:type="dxa"/>
            <w:tcBorders>
              <w:top w:val="nil"/>
              <w:left w:val="nil"/>
              <w:bottom w:val="single" w:sz="4" w:space="0" w:color="auto"/>
              <w:right w:val="single" w:sz="4" w:space="0" w:color="auto"/>
            </w:tcBorders>
            <w:shd w:val="clear" w:color="auto" w:fill="auto"/>
            <w:hideMark/>
          </w:tcPr>
          <w:p w14:paraId="4B50F24B"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Attitudes and perceptions of </w:t>
            </w:r>
            <w:r>
              <w:rPr>
                <w:rFonts w:ascii="Calibri" w:eastAsia="Times New Roman" w:hAnsi="Calibri" w:cs="Calibri"/>
                <w:color w:val="000000"/>
                <w:sz w:val="20"/>
                <w:szCs w:val="20"/>
                <w:lang w:val="en-GB"/>
              </w:rPr>
              <w:t>HCPs</w:t>
            </w:r>
            <w:r w:rsidRPr="00684079">
              <w:rPr>
                <w:rFonts w:ascii="Calibri" w:eastAsia="Times New Roman" w:hAnsi="Calibri" w:cs="Calibri"/>
                <w:color w:val="000000"/>
                <w:sz w:val="20"/>
                <w:szCs w:val="20"/>
                <w:lang w:val="en-GB"/>
              </w:rPr>
              <w:t xml:space="preserve"> towards clinical pharmacy services at a tertiary care hospital in Riyadh, </w:t>
            </w:r>
            <w:r>
              <w:rPr>
                <w:rFonts w:ascii="Calibri" w:eastAsia="Times New Roman" w:hAnsi="Calibri" w:cs="Calibri"/>
                <w:color w:val="000000"/>
                <w:sz w:val="20"/>
                <w:szCs w:val="20"/>
                <w:lang w:val="en-GB"/>
              </w:rPr>
              <w:t>SA.</w:t>
            </w:r>
          </w:p>
        </w:tc>
        <w:tc>
          <w:tcPr>
            <w:tcW w:w="1350" w:type="dxa"/>
            <w:tcBorders>
              <w:top w:val="nil"/>
              <w:left w:val="nil"/>
              <w:bottom w:val="single" w:sz="4" w:space="0" w:color="auto"/>
              <w:right w:val="single" w:sz="4" w:space="0" w:color="auto"/>
            </w:tcBorders>
            <w:shd w:val="clear" w:color="auto" w:fill="auto"/>
            <w:hideMark/>
          </w:tcPr>
          <w:p w14:paraId="7B6BF638"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King Khalid University Hospital, a tertiary care hospital in Riyadh, </w:t>
            </w:r>
            <w:r>
              <w:rPr>
                <w:rFonts w:ascii="Calibri" w:eastAsia="Times New Roman" w:hAnsi="Calibri" w:cs="Calibri"/>
                <w:color w:val="000000"/>
                <w:sz w:val="20"/>
                <w:szCs w:val="20"/>
                <w:lang w:val="en-GB"/>
              </w:rPr>
              <w:t>SA.</w:t>
            </w:r>
          </w:p>
        </w:tc>
        <w:tc>
          <w:tcPr>
            <w:tcW w:w="1800" w:type="dxa"/>
            <w:tcBorders>
              <w:top w:val="nil"/>
              <w:left w:val="nil"/>
              <w:bottom w:val="single" w:sz="4" w:space="0" w:color="auto"/>
              <w:right w:val="single" w:sz="4" w:space="0" w:color="auto"/>
            </w:tcBorders>
            <w:shd w:val="clear" w:color="auto" w:fill="auto"/>
            <w:hideMark/>
          </w:tcPr>
          <w:p w14:paraId="77D1AD6A"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A cross-sectional survey of </w:t>
            </w:r>
            <w:r>
              <w:rPr>
                <w:rFonts w:ascii="Calibri" w:eastAsia="Times New Roman" w:hAnsi="Calibri" w:cs="Calibri"/>
                <w:color w:val="000000"/>
                <w:sz w:val="20"/>
                <w:szCs w:val="20"/>
                <w:lang w:val="en-GB"/>
              </w:rPr>
              <w:t>HCPs</w:t>
            </w:r>
            <w:r w:rsidRPr="00684079">
              <w:rPr>
                <w:rFonts w:ascii="Calibri" w:eastAsia="Times New Roman" w:hAnsi="Calibri" w:cs="Calibri"/>
                <w:color w:val="000000"/>
                <w:sz w:val="20"/>
                <w:szCs w:val="20"/>
                <w:lang w:val="en-GB"/>
              </w:rPr>
              <w:t>.</w:t>
            </w:r>
          </w:p>
        </w:tc>
        <w:tc>
          <w:tcPr>
            <w:tcW w:w="2340" w:type="dxa"/>
            <w:tcBorders>
              <w:top w:val="nil"/>
              <w:left w:val="nil"/>
              <w:bottom w:val="single" w:sz="4" w:space="0" w:color="auto"/>
              <w:right w:val="single" w:sz="4" w:space="0" w:color="auto"/>
            </w:tcBorders>
            <w:shd w:val="clear" w:color="auto" w:fill="auto"/>
            <w:hideMark/>
          </w:tcPr>
          <w:p w14:paraId="41F6AB14" w14:textId="77777777" w:rsidR="009D2B25" w:rsidRDefault="009D2B25" w:rsidP="00282204">
            <w:pPr>
              <w:spacing w:after="0" w:line="240" w:lineRule="auto"/>
              <w:rPr>
                <w:rFonts w:ascii="Calibri" w:eastAsia="Times New Roman" w:hAnsi="Calibri" w:cs="Calibri"/>
                <w:color w:val="000000"/>
                <w:sz w:val="20"/>
                <w:szCs w:val="20"/>
                <w:lang w:val="en-GB"/>
              </w:rPr>
            </w:pPr>
            <w:r w:rsidRPr="00684079">
              <w:rPr>
                <w:rFonts w:ascii="Calibri" w:eastAsia="Times New Roman" w:hAnsi="Calibri" w:cs="Calibri"/>
                <w:color w:val="000000"/>
                <w:sz w:val="20"/>
                <w:szCs w:val="20"/>
                <w:lang w:val="en-GB"/>
              </w:rPr>
              <w:t>Providing the typical role of clinical pharmacists, including medication review services, monitoring patients’ adherence and responses, providing patients education and counselling.  Also, they provide drug information services, and maximise the cost-effectiveness of drug therapy.</w:t>
            </w:r>
          </w:p>
          <w:p w14:paraId="2F0DE393" w14:textId="77777777" w:rsidR="009D2B25" w:rsidRPr="00684079" w:rsidRDefault="009D2B25" w:rsidP="00282204">
            <w:pPr>
              <w:spacing w:after="0" w:line="240" w:lineRule="auto"/>
              <w:rPr>
                <w:rFonts w:ascii="Calibri" w:eastAsia="Times New Roman" w:hAnsi="Calibri" w:cs="Calibri"/>
                <w:color w:val="000000"/>
                <w:sz w:val="20"/>
                <w:szCs w:val="20"/>
              </w:rPr>
            </w:pPr>
          </w:p>
        </w:tc>
        <w:tc>
          <w:tcPr>
            <w:tcW w:w="2700" w:type="dxa"/>
            <w:tcBorders>
              <w:top w:val="nil"/>
              <w:left w:val="nil"/>
              <w:bottom w:val="single" w:sz="4" w:space="0" w:color="auto"/>
              <w:right w:val="single" w:sz="4" w:space="0" w:color="auto"/>
            </w:tcBorders>
            <w:shd w:val="clear" w:color="auto" w:fill="auto"/>
            <w:hideMark/>
          </w:tcPr>
          <w:p w14:paraId="42E058EA"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HCPs have a positive attitude towards the role of the clinical pharmacist in patient care and the health care team. The majority of respondents were non-Saudis (79.6%) and obtained their qualifications from either North America, Europe or other countries.</w:t>
            </w:r>
          </w:p>
        </w:tc>
        <w:tc>
          <w:tcPr>
            <w:tcW w:w="2790" w:type="dxa"/>
            <w:tcBorders>
              <w:top w:val="nil"/>
              <w:left w:val="nil"/>
              <w:bottom w:val="single" w:sz="4" w:space="0" w:color="auto"/>
              <w:right w:val="single" w:sz="4" w:space="0" w:color="auto"/>
            </w:tcBorders>
            <w:shd w:val="clear" w:color="auto" w:fill="auto"/>
            <w:hideMark/>
          </w:tcPr>
          <w:p w14:paraId="33BFF308" w14:textId="77777777" w:rsidR="009D2B25" w:rsidRPr="00684079" w:rsidRDefault="009D2B25" w:rsidP="00282204">
            <w:pPr>
              <w:spacing w:after="0" w:line="240" w:lineRule="auto"/>
              <w:rPr>
                <w:rFonts w:ascii="Calibri" w:eastAsia="Times New Roman" w:hAnsi="Calibri" w:cs="Calibri"/>
                <w:color w:val="000000"/>
                <w:sz w:val="20"/>
                <w:szCs w:val="20"/>
              </w:rPr>
            </w:pPr>
          </w:p>
        </w:tc>
      </w:tr>
      <w:tr w:rsidR="009D2B25" w:rsidRPr="00624CC8" w14:paraId="45B3C43E" w14:textId="77777777" w:rsidTr="00282204">
        <w:trPr>
          <w:trHeight w:val="1090"/>
        </w:trPr>
        <w:tc>
          <w:tcPr>
            <w:tcW w:w="450" w:type="dxa"/>
            <w:tcBorders>
              <w:top w:val="nil"/>
              <w:left w:val="single" w:sz="4" w:space="0" w:color="auto"/>
              <w:bottom w:val="single" w:sz="4" w:space="0" w:color="auto"/>
              <w:right w:val="single" w:sz="4" w:space="0" w:color="auto"/>
            </w:tcBorders>
            <w:shd w:val="clear" w:color="auto" w:fill="auto"/>
            <w:hideMark/>
          </w:tcPr>
          <w:p w14:paraId="2A4836A3" w14:textId="77777777" w:rsidR="009D2B25" w:rsidRPr="00992340" w:rsidRDefault="009D2B25" w:rsidP="00282204">
            <w:pPr>
              <w:spacing w:after="0" w:line="240" w:lineRule="auto"/>
              <w:rPr>
                <w:rFonts w:ascii="Calibri" w:eastAsia="Times New Roman" w:hAnsi="Calibri" w:cs="Calibri"/>
                <w:color w:val="000000"/>
                <w:sz w:val="18"/>
                <w:szCs w:val="18"/>
              </w:rPr>
            </w:pPr>
            <w:r w:rsidRPr="00992340">
              <w:rPr>
                <w:rFonts w:ascii="Calibri" w:eastAsia="Times New Roman" w:hAnsi="Calibri" w:cs="Calibri"/>
                <w:color w:val="000000"/>
                <w:sz w:val="18"/>
                <w:szCs w:val="18"/>
                <w:lang w:val="en-GB"/>
              </w:rPr>
              <w:t>10</w:t>
            </w:r>
          </w:p>
        </w:tc>
        <w:tc>
          <w:tcPr>
            <w:tcW w:w="1080" w:type="dxa"/>
            <w:tcBorders>
              <w:top w:val="nil"/>
              <w:left w:val="nil"/>
              <w:bottom w:val="single" w:sz="4" w:space="0" w:color="auto"/>
              <w:right w:val="single" w:sz="4" w:space="0" w:color="auto"/>
            </w:tcBorders>
            <w:shd w:val="clear" w:color="auto" w:fill="auto"/>
            <w:hideMark/>
          </w:tcPr>
          <w:p w14:paraId="2F64DDA3"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noProof/>
                <w:color w:val="000000"/>
                <w:sz w:val="20"/>
                <w:szCs w:val="20"/>
                <w:lang w:val="en-GB"/>
              </w:rPr>
              <w:t>(Almazrou, Alnaim and Al-Kofide, 2015)</w:t>
            </w:r>
          </w:p>
        </w:tc>
        <w:tc>
          <w:tcPr>
            <w:tcW w:w="1620" w:type="dxa"/>
            <w:tcBorders>
              <w:top w:val="nil"/>
              <w:left w:val="nil"/>
              <w:bottom w:val="single" w:sz="4" w:space="0" w:color="auto"/>
              <w:right w:val="single" w:sz="4" w:space="0" w:color="auto"/>
            </w:tcBorders>
            <w:shd w:val="clear" w:color="auto" w:fill="auto"/>
            <w:hideMark/>
          </w:tcPr>
          <w:p w14:paraId="4B978890" w14:textId="77777777" w:rsidR="009D2B25" w:rsidRDefault="009D2B25" w:rsidP="00282204">
            <w:pPr>
              <w:spacing w:after="0" w:line="240" w:lineRule="auto"/>
              <w:rPr>
                <w:rFonts w:ascii="Calibri" w:eastAsia="Times New Roman" w:hAnsi="Calibri" w:cs="Calibri"/>
                <w:color w:val="000000"/>
                <w:sz w:val="20"/>
                <w:szCs w:val="20"/>
                <w:lang w:val="en-GB"/>
              </w:rPr>
            </w:pPr>
            <w:r w:rsidRPr="00684079">
              <w:rPr>
                <w:rFonts w:ascii="Calibri" w:eastAsia="Times New Roman" w:hAnsi="Calibri" w:cs="Calibri"/>
                <w:color w:val="000000"/>
                <w:sz w:val="20"/>
                <w:szCs w:val="20"/>
                <w:lang w:val="en-GB"/>
              </w:rPr>
              <w:t xml:space="preserve">Perceptions, Expectations and Barriers of Physicians towards Working with Clinical Pharmacists in </w:t>
            </w:r>
            <w:r>
              <w:rPr>
                <w:rFonts w:ascii="Calibri" w:eastAsia="Times New Roman" w:hAnsi="Calibri" w:cs="Calibri"/>
                <w:color w:val="000000"/>
                <w:sz w:val="20"/>
                <w:szCs w:val="20"/>
                <w:lang w:val="en-GB"/>
              </w:rPr>
              <w:t>SA.</w:t>
            </w:r>
          </w:p>
          <w:p w14:paraId="0F5EC7B2" w14:textId="77777777" w:rsidR="009D2B25" w:rsidRPr="00684079" w:rsidRDefault="009D2B25" w:rsidP="00282204">
            <w:pPr>
              <w:spacing w:after="0" w:line="240" w:lineRule="auto"/>
              <w:rPr>
                <w:rFonts w:ascii="Calibri" w:eastAsia="Times New Roman" w:hAnsi="Calibri" w:cs="Calibri"/>
                <w:color w:val="000000"/>
                <w:sz w:val="20"/>
                <w:szCs w:val="20"/>
              </w:rPr>
            </w:pPr>
          </w:p>
        </w:tc>
        <w:tc>
          <w:tcPr>
            <w:tcW w:w="1350" w:type="dxa"/>
            <w:tcBorders>
              <w:top w:val="nil"/>
              <w:left w:val="nil"/>
              <w:bottom w:val="single" w:sz="4" w:space="0" w:color="auto"/>
              <w:right w:val="single" w:sz="4" w:space="0" w:color="auto"/>
            </w:tcBorders>
            <w:shd w:val="clear" w:color="auto" w:fill="auto"/>
            <w:hideMark/>
          </w:tcPr>
          <w:p w14:paraId="421FA0CD"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Conducted in several tertiary hospitals in Riyadh, </w:t>
            </w:r>
            <w:r>
              <w:rPr>
                <w:rFonts w:ascii="Calibri" w:eastAsia="Times New Roman" w:hAnsi="Calibri" w:cs="Calibri"/>
                <w:color w:val="000000"/>
                <w:sz w:val="20"/>
                <w:szCs w:val="20"/>
                <w:lang w:val="en-GB"/>
              </w:rPr>
              <w:t xml:space="preserve">SA. </w:t>
            </w:r>
          </w:p>
        </w:tc>
        <w:tc>
          <w:tcPr>
            <w:tcW w:w="1800" w:type="dxa"/>
            <w:tcBorders>
              <w:top w:val="nil"/>
              <w:left w:val="nil"/>
              <w:bottom w:val="single" w:sz="4" w:space="0" w:color="auto"/>
              <w:right w:val="single" w:sz="4" w:space="0" w:color="auto"/>
            </w:tcBorders>
            <w:shd w:val="clear" w:color="auto" w:fill="auto"/>
            <w:hideMark/>
          </w:tcPr>
          <w:p w14:paraId="5268A799" w14:textId="77777777" w:rsidR="009D2B25" w:rsidRPr="00684079" w:rsidRDefault="009D2B25" w:rsidP="00282204">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A </w:t>
            </w:r>
            <w:r w:rsidRPr="00302793">
              <w:rPr>
                <w:rFonts w:ascii="Calibri" w:eastAsia="Times New Roman" w:hAnsi="Calibri" w:cs="Calibri"/>
                <w:color w:val="000000"/>
                <w:sz w:val="20"/>
                <w:szCs w:val="20"/>
              </w:rPr>
              <w:t>descriptive cross-sectional study</w:t>
            </w:r>
          </w:p>
        </w:tc>
        <w:tc>
          <w:tcPr>
            <w:tcW w:w="2340" w:type="dxa"/>
            <w:tcBorders>
              <w:top w:val="nil"/>
              <w:left w:val="nil"/>
              <w:bottom w:val="single" w:sz="4" w:space="0" w:color="auto"/>
              <w:right w:val="single" w:sz="4" w:space="0" w:color="auto"/>
            </w:tcBorders>
            <w:shd w:val="clear" w:color="auto" w:fill="auto"/>
            <w:hideMark/>
          </w:tcPr>
          <w:p w14:paraId="13F26B3B"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Physicians’ expectations of pharmacists were: Providing medication therapy management and educating patients as well as </w:t>
            </w:r>
            <w:r>
              <w:rPr>
                <w:rFonts w:ascii="Calibri" w:eastAsia="Times New Roman" w:hAnsi="Calibri" w:cs="Calibri"/>
                <w:color w:val="000000"/>
                <w:sz w:val="20"/>
                <w:szCs w:val="20"/>
                <w:lang w:val="en-GB"/>
              </w:rPr>
              <w:t>HCPs</w:t>
            </w:r>
            <w:r w:rsidRPr="00684079">
              <w:rPr>
                <w:rFonts w:ascii="Calibri" w:eastAsia="Times New Roman" w:hAnsi="Calibri" w:cs="Calibri"/>
                <w:color w:val="000000"/>
                <w:sz w:val="20"/>
                <w:szCs w:val="20"/>
                <w:lang w:val="en-GB"/>
              </w:rPr>
              <w:t>.</w:t>
            </w:r>
          </w:p>
        </w:tc>
        <w:tc>
          <w:tcPr>
            <w:tcW w:w="2700" w:type="dxa"/>
            <w:tcBorders>
              <w:top w:val="nil"/>
              <w:left w:val="nil"/>
              <w:bottom w:val="single" w:sz="4" w:space="0" w:color="auto"/>
              <w:right w:val="single" w:sz="4" w:space="0" w:color="auto"/>
            </w:tcBorders>
            <w:shd w:val="clear" w:color="auto" w:fill="auto"/>
            <w:hideMark/>
          </w:tcPr>
          <w:p w14:paraId="56087752"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Doctors' perceptions of clinical pharmacists' role in improving patients care were positive and optimistic, and they agreed that pharmacists are an integral part of the medical team.</w:t>
            </w:r>
          </w:p>
        </w:tc>
        <w:tc>
          <w:tcPr>
            <w:tcW w:w="2790" w:type="dxa"/>
            <w:tcBorders>
              <w:top w:val="nil"/>
              <w:left w:val="nil"/>
              <w:bottom w:val="single" w:sz="4" w:space="0" w:color="auto"/>
              <w:right w:val="single" w:sz="4" w:space="0" w:color="auto"/>
            </w:tcBorders>
            <w:shd w:val="clear" w:color="auto" w:fill="auto"/>
            <w:hideMark/>
          </w:tcPr>
          <w:p w14:paraId="1DD66A2B" w14:textId="77777777" w:rsidR="009D2B25" w:rsidRPr="00684079" w:rsidRDefault="009D2B25" w:rsidP="00282204">
            <w:pPr>
              <w:spacing w:after="0" w:line="240" w:lineRule="auto"/>
              <w:rPr>
                <w:rFonts w:ascii="Calibri" w:eastAsia="Times New Roman" w:hAnsi="Calibri" w:cs="Calibri"/>
                <w:color w:val="000000"/>
                <w:sz w:val="20"/>
                <w:szCs w:val="20"/>
              </w:rPr>
            </w:pPr>
          </w:p>
        </w:tc>
      </w:tr>
      <w:tr w:rsidR="009D2B25" w:rsidRPr="00624CC8" w14:paraId="5E88ADB2" w14:textId="77777777" w:rsidTr="00282204">
        <w:trPr>
          <w:trHeight w:val="1090"/>
        </w:trPr>
        <w:tc>
          <w:tcPr>
            <w:tcW w:w="450" w:type="dxa"/>
            <w:tcBorders>
              <w:top w:val="nil"/>
              <w:left w:val="single" w:sz="4" w:space="0" w:color="auto"/>
              <w:bottom w:val="single" w:sz="4" w:space="0" w:color="auto"/>
              <w:right w:val="single" w:sz="4" w:space="0" w:color="auto"/>
            </w:tcBorders>
            <w:shd w:val="clear" w:color="auto" w:fill="auto"/>
            <w:hideMark/>
          </w:tcPr>
          <w:p w14:paraId="1C7C6973" w14:textId="77777777" w:rsidR="009D2B25" w:rsidRPr="00992340" w:rsidRDefault="009D2B25" w:rsidP="00282204">
            <w:pPr>
              <w:spacing w:after="0" w:line="240" w:lineRule="auto"/>
              <w:rPr>
                <w:rFonts w:ascii="Calibri" w:eastAsia="Times New Roman" w:hAnsi="Calibri" w:cs="Calibri"/>
                <w:color w:val="000000"/>
                <w:sz w:val="18"/>
                <w:szCs w:val="18"/>
              </w:rPr>
            </w:pPr>
            <w:r w:rsidRPr="00992340">
              <w:rPr>
                <w:rFonts w:ascii="Calibri" w:eastAsia="Times New Roman" w:hAnsi="Calibri" w:cs="Calibri"/>
                <w:color w:val="000000"/>
                <w:sz w:val="18"/>
                <w:szCs w:val="18"/>
                <w:lang w:val="en-GB"/>
              </w:rPr>
              <w:t>11</w:t>
            </w:r>
          </w:p>
        </w:tc>
        <w:tc>
          <w:tcPr>
            <w:tcW w:w="1080" w:type="dxa"/>
            <w:tcBorders>
              <w:top w:val="nil"/>
              <w:left w:val="nil"/>
              <w:bottom w:val="single" w:sz="4" w:space="0" w:color="auto"/>
              <w:right w:val="single" w:sz="4" w:space="0" w:color="auto"/>
            </w:tcBorders>
            <w:shd w:val="clear" w:color="auto" w:fill="auto"/>
            <w:hideMark/>
          </w:tcPr>
          <w:p w14:paraId="6BE61BF8"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noProof/>
                <w:color w:val="000000"/>
                <w:sz w:val="20"/>
                <w:szCs w:val="20"/>
                <w:lang w:val="en-GB"/>
              </w:rPr>
              <w:t>(Al-Arifi et al., 2015)</w:t>
            </w:r>
          </w:p>
        </w:tc>
        <w:tc>
          <w:tcPr>
            <w:tcW w:w="1620" w:type="dxa"/>
            <w:tcBorders>
              <w:top w:val="nil"/>
              <w:left w:val="nil"/>
              <w:bottom w:val="single" w:sz="4" w:space="0" w:color="auto"/>
              <w:right w:val="single" w:sz="4" w:space="0" w:color="auto"/>
            </w:tcBorders>
            <w:shd w:val="clear" w:color="auto" w:fill="auto"/>
            <w:hideMark/>
          </w:tcPr>
          <w:p w14:paraId="75CBE5F6"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A survey on pharmacist opinion about pharmaceutical care in </w:t>
            </w:r>
            <w:r>
              <w:rPr>
                <w:rFonts w:ascii="Calibri" w:eastAsia="Times New Roman" w:hAnsi="Calibri" w:cs="Calibri"/>
                <w:color w:val="000000"/>
                <w:sz w:val="20"/>
                <w:szCs w:val="20"/>
                <w:lang w:val="en-GB"/>
              </w:rPr>
              <w:t>SA.</w:t>
            </w:r>
          </w:p>
        </w:tc>
        <w:tc>
          <w:tcPr>
            <w:tcW w:w="1350" w:type="dxa"/>
            <w:tcBorders>
              <w:top w:val="nil"/>
              <w:left w:val="nil"/>
              <w:bottom w:val="single" w:sz="4" w:space="0" w:color="auto"/>
              <w:right w:val="single" w:sz="4" w:space="0" w:color="auto"/>
            </w:tcBorders>
            <w:shd w:val="clear" w:color="auto" w:fill="auto"/>
            <w:hideMark/>
          </w:tcPr>
          <w:p w14:paraId="2A420BB9"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 xml:space="preserve">At the National Guard PHC in Riyadh, </w:t>
            </w:r>
            <w:r>
              <w:rPr>
                <w:rFonts w:ascii="Calibri" w:eastAsia="Times New Roman" w:hAnsi="Calibri" w:cs="Calibri"/>
                <w:color w:val="000000"/>
                <w:sz w:val="20"/>
                <w:szCs w:val="20"/>
                <w:lang w:val="en-GB"/>
              </w:rPr>
              <w:t xml:space="preserve">SA. </w:t>
            </w:r>
          </w:p>
        </w:tc>
        <w:tc>
          <w:tcPr>
            <w:tcW w:w="1800" w:type="dxa"/>
            <w:tcBorders>
              <w:top w:val="nil"/>
              <w:left w:val="nil"/>
              <w:bottom w:val="single" w:sz="4" w:space="0" w:color="auto"/>
              <w:right w:val="single" w:sz="4" w:space="0" w:color="auto"/>
            </w:tcBorders>
            <w:shd w:val="clear" w:color="auto" w:fill="auto"/>
            <w:hideMark/>
          </w:tcPr>
          <w:p w14:paraId="42C88DB3" w14:textId="77777777" w:rsidR="009D2B25" w:rsidRPr="00684079" w:rsidRDefault="009D2B25" w:rsidP="00282204">
            <w:pPr>
              <w:spacing w:after="0" w:line="240" w:lineRule="auto"/>
              <w:rPr>
                <w:rFonts w:ascii="Calibri" w:eastAsia="Times New Roman" w:hAnsi="Calibri" w:cs="Calibri"/>
                <w:color w:val="000000"/>
                <w:sz w:val="20"/>
                <w:szCs w:val="20"/>
              </w:rPr>
            </w:pPr>
            <w:r w:rsidRPr="00684079">
              <w:rPr>
                <w:rFonts w:ascii="Calibri" w:eastAsia="Times New Roman" w:hAnsi="Calibri" w:cs="Calibri"/>
                <w:color w:val="000000"/>
                <w:sz w:val="20"/>
                <w:szCs w:val="20"/>
                <w:lang w:val="en-GB"/>
              </w:rPr>
              <w:t>A descriptive, cross-sectional study using a questionnaire</w:t>
            </w:r>
            <w:r>
              <w:rPr>
                <w:rFonts w:ascii="Calibri" w:eastAsia="Times New Roman" w:hAnsi="Calibri" w:cs="Calibri"/>
                <w:color w:val="000000"/>
                <w:sz w:val="20"/>
                <w:szCs w:val="20"/>
                <w:lang w:val="en-GB"/>
              </w:rPr>
              <w:t xml:space="preserve"> </w:t>
            </w:r>
            <w:r w:rsidRPr="00684079">
              <w:rPr>
                <w:rFonts w:ascii="Calibri" w:eastAsia="Times New Roman" w:hAnsi="Calibri" w:cs="Calibri"/>
                <w:color w:val="000000"/>
                <w:sz w:val="20"/>
                <w:szCs w:val="20"/>
                <w:lang w:val="en-GB"/>
              </w:rPr>
              <w:t>targeted pharmacist</w:t>
            </w:r>
            <w:r>
              <w:rPr>
                <w:rFonts w:ascii="Calibri" w:eastAsia="Times New Roman" w:hAnsi="Calibri" w:cs="Calibri"/>
                <w:color w:val="000000"/>
                <w:sz w:val="20"/>
                <w:szCs w:val="20"/>
                <w:lang w:val="en-GB"/>
              </w:rPr>
              <w:t>s</w:t>
            </w:r>
            <w:r w:rsidRPr="00684079">
              <w:rPr>
                <w:rFonts w:ascii="Calibri" w:eastAsia="Times New Roman" w:hAnsi="Calibri" w:cs="Calibri"/>
                <w:color w:val="000000"/>
                <w:sz w:val="20"/>
                <w:szCs w:val="20"/>
                <w:lang w:val="en-GB"/>
              </w:rPr>
              <w:t>.</w:t>
            </w:r>
          </w:p>
        </w:tc>
        <w:tc>
          <w:tcPr>
            <w:tcW w:w="2340" w:type="dxa"/>
            <w:tcBorders>
              <w:top w:val="nil"/>
              <w:left w:val="nil"/>
              <w:bottom w:val="single" w:sz="4" w:space="0" w:color="auto"/>
              <w:right w:val="single" w:sz="4" w:space="0" w:color="auto"/>
            </w:tcBorders>
            <w:shd w:val="clear" w:color="auto" w:fill="auto"/>
            <w:hideMark/>
          </w:tcPr>
          <w:p w14:paraId="22F0EF89" w14:textId="77777777" w:rsidR="009D2B25" w:rsidRDefault="009D2B25" w:rsidP="00282204">
            <w:pPr>
              <w:spacing w:after="0" w:line="240" w:lineRule="auto"/>
              <w:rPr>
                <w:rFonts w:ascii="Calibri" w:eastAsia="Times New Roman" w:hAnsi="Calibri" w:cs="Calibri"/>
                <w:color w:val="000000"/>
                <w:sz w:val="20"/>
                <w:szCs w:val="20"/>
                <w:lang w:val="en-GB"/>
              </w:rPr>
            </w:pPr>
            <w:r w:rsidRPr="00684079">
              <w:rPr>
                <w:rFonts w:ascii="Calibri" w:eastAsia="Times New Roman" w:hAnsi="Calibri" w:cs="Calibri"/>
                <w:color w:val="000000"/>
                <w:sz w:val="20"/>
                <w:szCs w:val="20"/>
                <w:lang w:val="en-GB"/>
              </w:rPr>
              <w:t xml:space="preserve">Pharmacists providing: </w:t>
            </w:r>
          </w:p>
          <w:p w14:paraId="102216A4"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684079">
              <w:rPr>
                <w:rFonts w:ascii="Calibri" w:eastAsia="Times New Roman" w:hAnsi="Calibri" w:cs="Calibri"/>
                <w:color w:val="000000"/>
                <w:sz w:val="20"/>
                <w:szCs w:val="20"/>
                <w:lang w:val="en-GB"/>
              </w:rPr>
              <w:t xml:space="preserve">Patient education and </w:t>
            </w:r>
            <w:r w:rsidRPr="00F96F09">
              <w:rPr>
                <w:rFonts w:ascii="Calibri" w:eastAsia="Times New Roman" w:hAnsi="Calibri" w:cs="Calibri"/>
                <w:color w:val="000000"/>
                <w:sz w:val="20"/>
                <w:szCs w:val="20"/>
                <w:lang w:val="en-GB"/>
              </w:rPr>
              <w:t>counselling</w:t>
            </w:r>
          </w:p>
          <w:p w14:paraId="06CB4A14" w14:textId="77777777" w:rsidR="009D2B25" w:rsidRPr="00684079"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684079">
              <w:rPr>
                <w:rFonts w:ascii="Calibri" w:eastAsia="Times New Roman" w:hAnsi="Calibri" w:cs="Calibri"/>
                <w:color w:val="000000"/>
                <w:sz w:val="20"/>
                <w:szCs w:val="20"/>
                <w:lang w:val="en-GB"/>
              </w:rPr>
              <w:t>Monitor patients’ compliance and medication adverse reactions.</w:t>
            </w:r>
          </w:p>
        </w:tc>
        <w:tc>
          <w:tcPr>
            <w:tcW w:w="2700" w:type="dxa"/>
            <w:tcBorders>
              <w:top w:val="nil"/>
              <w:left w:val="nil"/>
              <w:bottom w:val="single" w:sz="4" w:space="0" w:color="auto"/>
              <w:right w:val="single" w:sz="4" w:space="0" w:color="auto"/>
            </w:tcBorders>
            <w:shd w:val="clear" w:color="auto" w:fill="auto"/>
            <w:hideMark/>
          </w:tcPr>
          <w:p w14:paraId="3FE59318"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684079">
              <w:rPr>
                <w:rFonts w:ascii="Calibri" w:eastAsia="Times New Roman" w:hAnsi="Calibri" w:cs="Calibri"/>
                <w:color w:val="000000"/>
                <w:sz w:val="20"/>
                <w:szCs w:val="20"/>
                <w:lang w:val="en-GB"/>
              </w:rPr>
              <w:t xml:space="preserve">Pharmacists expressed positive attitudes toward pharmaceutical care in </w:t>
            </w:r>
            <w:r>
              <w:rPr>
                <w:rFonts w:ascii="Calibri" w:eastAsia="Times New Roman" w:hAnsi="Calibri" w:cs="Calibri"/>
                <w:color w:val="000000"/>
                <w:sz w:val="20"/>
                <w:szCs w:val="20"/>
                <w:lang w:val="en-GB"/>
              </w:rPr>
              <w:t>SA.</w:t>
            </w:r>
            <w:r w:rsidRPr="00684079">
              <w:rPr>
                <w:rFonts w:ascii="Calibri" w:eastAsia="Times New Roman" w:hAnsi="Calibri" w:cs="Calibri"/>
                <w:color w:val="000000"/>
                <w:sz w:val="20"/>
                <w:szCs w:val="20"/>
                <w:lang w:val="en-GB"/>
              </w:rPr>
              <w:t xml:space="preserve"> </w:t>
            </w:r>
          </w:p>
          <w:p w14:paraId="6548D18A" w14:textId="77777777" w:rsidR="009D2B25" w:rsidRDefault="009D2B25" w:rsidP="00282204">
            <w:pPr>
              <w:spacing w:after="0" w:line="240" w:lineRule="auto"/>
              <w:rPr>
                <w:rFonts w:ascii="Calibri" w:eastAsia="Times New Roman" w:hAnsi="Calibri" w:cs="Calibri"/>
                <w:color w:val="000000"/>
                <w:sz w:val="20"/>
                <w:szCs w:val="20"/>
                <w:lang w:val="en-GB"/>
              </w:rPr>
            </w:pPr>
            <w:r>
              <w:rPr>
                <w:rFonts w:ascii="Calibri" w:eastAsia="Times New Roman" w:hAnsi="Calibri" w:cs="Calibri"/>
                <w:color w:val="000000"/>
                <w:sz w:val="20"/>
                <w:szCs w:val="20"/>
                <w:lang w:val="en-GB"/>
              </w:rPr>
              <w:t>-</w:t>
            </w:r>
            <w:r w:rsidRPr="00684079">
              <w:rPr>
                <w:rFonts w:ascii="Calibri" w:eastAsia="Times New Roman" w:hAnsi="Calibri" w:cs="Calibri"/>
                <w:color w:val="000000"/>
                <w:sz w:val="20"/>
                <w:szCs w:val="20"/>
                <w:lang w:val="en-GB"/>
              </w:rPr>
              <w:t>Primary care pharmacists</w:t>
            </w:r>
            <w:r>
              <w:rPr>
                <w:rFonts w:ascii="Calibri" w:eastAsia="Times New Roman" w:hAnsi="Calibri" w:cs="Calibri"/>
                <w:color w:val="000000"/>
                <w:sz w:val="20"/>
                <w:szCs w:val="20"/>
                <w:lang w:val="en-GB"/>
              </w:rPr>
              <w:t xml:space="preserve"> </w:t>
            </w:r>
            <w:r w:rsidRPr="00684079">
              <w:rPr>
                <w:rFonts w:ascii="Calibri" w:eastAsia="Times New Roman" w:hAnsi="Calibri" w:cs="Calibri"/>
                <w:color w:val="000000"/>
                <w:sz w:val="20"/>
                <w:szCs w:val="20"/>
                <w:lang w:val="en-GB"/>
              </w:rPr>
              <w:t>job satisfaction was enhanced by providing pharmaceutical care services, such as addressing drug-related problems.</w:t>
            </w:r>
          </w:p>
          <w:p w14:paraId="359B8276" w14:textId="77777777" w:rsidR="009D2B25" w:rsidRPr="00684079" w:rsidRDefault="009D2B25" w:rsidP="00282204">
            <w:pPr>
              <w:spacing w:after="0" w:line="240" w:lineRule="auto"/>
              <w:rPr>
                <w:rFonts w:ascii="Calibri" w:eastAsia="Times New Roman" w:hAnsi="Calibri" w:cs="Calibri"/>
                <w:color w:val="000000"/>
                <w:sz w:val="20"/>
                <w:szCs w:val="20"/>
              </w:rPr>
            </w:pPr>
          </w:p>
        </w:tc>
        <w:tc>
          <w:tcPr>
            <w:tcW w:w="2790" w:type="dxa"/>
            <w:tcBorders>
              <w:top w:val="nil"/>
              <w:left w:val="nil"/>
              <w:bottom w:val="single" w:sz="4" w:space="0" w:color="auto"/>
              <w:right w:val="single" w:sz="4" w:space="0" w:color="auto"/>
            </w:tcBorders>
            <w:shd w:val="clear" w:color="auto" w:fill="auto"/>
            <w:hideMark/>
          </w:tcPr>
          <w:p w14:paraId="29E8AEDA" w14:textId="77777777" w:rsidR="009D2B25" w:rsidRPr="00684079" w:rsidRDefault="009D2B25" w:rsidP="00282204">
            <w:pPr>
              <w:spacing w:after="0" w:line="240" w:lineRule="auto"/>
              <w:rPr>
                <w:rFonts w:ascii="Calibri" w:eastAsia="Times New Roman" w:hAnsi="Calibri" w:cs="Calibri"/>
                <w:color w:val="000000"/>
                <w:sz w:val="20"/>
                <w:szCs w:val="20"/>
              </w:rPr>
            </w:pPr>
          </w:p>
        </w:tc>
      </w:tr>
    </w:tbl>
    <w:p w14:paraId="3C7C70F6" w14:textId="77777777" w:rsidR="009D2B25" w:rsidRDefault="009D2B25" w:rsidP="009D2B25">
      <w:pPr>
        <w:pStyle w:val="msonormal0"/>
        <w:spacing w:before="0" w:beforeAutospacing="0" w:after="160" w:afterAutospacing="0" w:line="360" w:lineRule="auto"/>
        <w:rPr>
          <w:rFonts w:asciiTheme="minorBidi" w:hAnsiTheme="minorBidi"/>
          <w:lang w:val="en-GB"/>
        </w:rPr>
      </w:pPr>
      <w:r w:rsidRPr="001E0F6C">
        <w:rPr>
          <w:rFonts w:cs="Arial"/>
          <w:highlight w:val="lightGray"/>
          <w:lang w:val="en-GB"/>
        </w:rPr>
        <w:br w:type="page"/>
      </w:r>
    </w:p>
    <w:p w14:paraId="599A3B55" w14:textId="77777777" w:rsidR="00753124" w:rsidRDefault="00753124" w:rsidP="005619EA">
      <w:pPr>
        <w:rPr>
          <w:rFonts w:asciiTheme="majorHAnsi" w:eastAsiaTheme="majorEastAsia" w:hAnsiTheme="majorHAnsi" w:cstheme="majorBidi"/>
          <w:color w:val="2F5496" w:themeColor="accent1" w:themeShade="BF"/>
          <w:sz w:val="24"/>
          <w:szCs w:val="24"/>
          <w:lang w:val="en-GB"/>
        </w:rPr>
        <w:sectPr w:rsidR="00753124" w:rsidSect="009D2B25">
          <w:pgSz w:w="15840" w:h="12240" w:orient="landscape"/>
          <w:pgMar w:top="1440" w:right="1440" w:bottom="1440" w:left="1440" w:header="720" w:footer="720" w:gutter="0"/>
          <w:cols w:space="720"/>
          <w:docGrid w:linePitch="360"/>
        </w:sectPr>
      </w:pPr>
    </w:p>
    <w:p w14:paraId="1007D208" w14:textId="2F4228A1" w:rsidR="00D4326C" w:rsidRPr="00A27B1D" w:rsidRDefault="00D4326C" w:rsidP="00D4326C">
      <w:pPr>
        <w:pStyle w:val="Heading1"/>
      </w:pPr>
      <w:bookmarkStart w:id="365" w:name="_Toc122626476"/>
      <w:bookmarkStart w:id="366" w:name="_Ref124722085"/>
      <w:bookmarkStart w:id="367" w:name="_Toc124889209"/>
      <w:bookmarkStart w:id="368" w:name="_Toc124890446"/>
      <w:bookmarkStart w:id="369" w:name="_Toc126069990"/>
      <w:bookmarkStart w:id="370" w:name="_Toc127835995"/>
      <w:bookmarkStart w:id="371" w:name="_Toc128061925"/>
      <w:bookmarkStart w:id="372" w:name="_Toc148518770"/>
      <w:bookmarkStart w:id="373" w:name="_Toc150609779"/>
      <w:bookmarkStart w:id="374" w:name="_Toc153894236"/>
      <w:r w:rsidRPr="00A27B1D">
        <w:t xml:space="preserve">Appendix </w:t>
      </w:r>
      <w:r w:rsidR="008D2DED">
        <w:t>I</w:t>
      </w:r>
      <w:r w:rsidRPr="00A27B1D">
        <w:t>: Questionnaire Form</w:t>
      </w:r>
      <w:bookmarkEnd w:id="365"/>
      <w:bookmarkEnd w:id="366"/>
      <w:bookmarkEnd w:id="367"/>
      <w:bookmarkEnd w:id="368"/>
      <w:bookmarkEnd w:id="369"/>
      <w:bookmarkEnd w:id="370"/>
      <w:bookmarkEnd w:id="371"/>
      <w:bookmarkEnd w:id="372"/>
      <w:bookmarkEnd w:id="373"/>
      <w:bookmarkEnd w:id="374"/>
    </w:p>
    <w:p w14:paraId="17112D9D" w14:textId="77777777" w:rsidR="00D4326C" w:rsidRPr="00A27B1D" w:rsidRDefault="00D4326C" w:rsidP="00D4326C">
      <w:pPr>
        <w:pStyle w:val="H2"/>
        <w:rPr>
          <w:sz w:val="24"/>
          <w:szCs w:val="24"/>
        </w:rPr>
      </w:pPr>
      <w:r w:rsidRPr="00A27B1D">
        <w:rPr>
          <w:sz w:val="24"/>
          <w:szCs w:val="24"/>
        </w:rPr>
        <w:t>Pharmacist Involvement in Diabetes Primary Care Management in Saudi Arabia</w:t>
      </w:r>
    </w:p>
    <w:p w14:paraId="090F9610" w14:textId="77777777" w:rsidR="00D4326C" w:rsidRPr="00A27B1D" w:rsidRDefault="00D4326C" w:rsidP="00D4326C">
      <w:pPr>
        <w:rPr>
          <w:sz w:val="10"/>
          <w:szCs w:val="10"/>
        </w:rPr>
      </w:pPr>
    </w:p>
    <w:p w14:paraId="35FC95DE" w14:textId="77777777" w:rsidR="00D4326C" w:rsidRPr="00A27B1D" w:rsidRDefault="00D4326C" w:rsidP="00D4326C">
      <w:pPr>
        <w:pStyle w:val="H2"/>
        <w:rPr>
          <w:sz w:val="24"/>
          <w:szCs w:val="24"/>
        </w:rPr>
      </w:pPr>
      <w:r w:rsidRPr="00A27B1D">
        <w:rPr>
          <w:sz w:val="24"/>
          <w:szCs w:val="24"/>
        </w:rPr>
        <w:t>Survey Flow</w:t>
      </w:r>
    </w:p>
    <w:p w14:paraId="360E2603" w14:textId="77777777" w:rsidR="00D4326C" w:rsidRPr="00876389" w:rsidRDefault="00D4326C" w:rsidP="00D4326C">
      <w:pPr>
        <w:pStyle w:val="SFGray"/>
        <w:keepNext/>
        <w:rPr>
          <w:lang w:val="fr-FR"/>
        </w:rPr>
      </w:pPr>
      <w:r w:rsidRPr="00876389">
        <w:rPr>
          <w:lang w:val="fr-FR"/>
        </w:rPr>
        <w:t>Block: Participant Information Sheet (3 Questions)</w:t>
      </w:r>
    </w:p>
    <w:p w14:paraId="57D51C0D" w14:textId="77777777" w:rsidR="00D4326C" w:rsidRDefault="00D4326C" w:rsidP="00D4326C">
      <w:pPr>
        <w:pStyle w:val="SFGray"/>
        <w:keepNext/>
      </w:pPr>
      <w:r>
        <w:t>Standard: Demographic Characteristics (14 Questions)</w:t>
      </w:r>
    </w:p>
    <w:p w14:paraId="25A20C32" w14:textId="77777777" w:rsidR="00D4326C" w:rsidRDefault="00D4326C" w:rsidP="00D4326C">
      <w:pPr>
        <w:pStyle w:val="SFGray"/>
        <w:keepNext/>
      </w:pPr>
      <w:r>
        <w:t>Standard: Pharmaceutical Care Services Provided to Patients with Diabetes (14 Questions)</w:t>
      </w:r>
    </w:p>
    <w:p w14:paraId="54BA9C1A" w14:textId="77777777" w:rsidR="00D4326C" w:rsidRDefault="00D4326C" w:rsidP="00D4326C">
      <w:pPr>
        <w:pStyle w:val="SFGray"/>
        <w:keepNext/>
      </w:pPr>
      <w:r>
        <w:t>Standard: Views on Potential Pharmacist Involvement in Diabetes Care (15 Questions)</w:t>
      </w:r>
    </w:p>
    <w:p w14:paraId="1603654B" w14:textId="77777777" w:rsidR="00D4326C" w:rsidRDefault="00D4326C" w:rsidP="00D4326C">
      <w:pPr>
        <w:pStyle w:val="SFGray"/>
        <w:keepNext/>
      </w:pPr>
      <w:r>
        <w:t>Standard: Potential impact of Pharmacist Involvement in Diabetes Primary Care Management (2 Questions)</w:t>
      </w:r>
    </w:p>
    <w:p w14:paraId="1B51AB8A" w14:textId="77777777" w:rsidR="00D4326C" w:rsidRDefault="00D4326C" w:rsidP="00D4326C">
      <w:pPr>
        <w:pStyle w:val="SFGray"/>
        <w:keepNext/>
      </w:pPr>
      <w:r>
        <w:t>Standard: Factors Influencing Pharmacist Involvement in Diabetes Primary Care Management (8 Questions)</w:t>
      </w:r>
    </w:p>
    <w:p w14:paraId="272E96F0" w14:textId="77777777" w:rsidR="00D4326C" w:rsidRDefault="00D4326C" w:rsidP="00D4326C">
      <w:pPr>
        <w:pStyle w:val="SFGray"/>
        <w:keepNext/>
      </w:pPr>
      <w:r>
        <w:t>Standard: Block 10 (2 Questions)</w:t>
      </w:r>
    </w:p>
    <w:tbl>
      <w:tblPr>
        <w:tblW w:w="0" w:type="auto"/>
        <w:tblInd w:w="10" w:type="dxa"/>
        <w:tblCellMar>
          <w:left w:w="10" w:type="dxa"/>
          <w:right w:w="10" w:type="dxa"/>
        </w:tblCellMar>
        <w:tblLook w:val="04A0" w:firstRow="1" w:lastRow="0" w:firstColumn="1" w:lastColumn="0" w:noHBand="0" w:noVBand="1"/>
      </w:tblPr>
      <w:tblGrid>
        <w:gridCol w:w="1347"/>
        <w:gridCol w:w="8003"/>
      </w:tblGrid>
      <w:tr w:rsidR="00D4326C" w14:paraId="15F8FB13" w14:textId="77777777" w:rsidTr="00282204">
        <w:trPr>
          <w:trHeight w:val="300"/>
        </w:trPr>
        <w:tc>
          <w:tcPr>
            <w:tcW w:w="1368" w:type="dxa"/>
            <w:tcBorders>
              <w:top w:val="nil"/>
              <w:left w:val="nil"/>
              <w:bottom w:val="nil"/>
              <w:right w:val="nil"/>
            </w:tcBorders>
          </w:tcPr>
          <w:p w14:paraId="41614BCE" w14:textId="77777777" w:rsidR="00D4326C" w:rsidRDefault="00D4326C" w:rsidP="00282204">
            <w:pPr>
              <w:rPr>
                <w:color w:val="CCCCCC"/>
              </w:rPr>
            </w:pPr>
            <w:r>
              <w:rPr>
                <w:color w:val="CCCCCC"/>
              </w:rPr>
              <w:t>Page Break</w:t>
            </w:r>
          </w:p>
        </w:tc>
        <w:tc>
          <w:tcPr>
            <w:tcW w:w="8208" w:type="dxa"/>
            <w:tcBorders>
              <w:top w:val="nil"/>
              <w:left w:val="nil"/>
              <w:bottom w:val="nil"/>
              <w:right w:val="nil"/>
            </w:tcBorders>
          </w:tcPr>
          <w:p w14:paraId="4CA5F6C6" w14:textId="77777777" w:rsidR="00D4326C" w:rsidRDefault="00D4326C" w:rsidP="00282204">
            <w:pPr>
              <w:pBdr>
                <w:top w:val="single" w:sz="8" w:space="0" w:color="CCCCCC"/>
              </w:pBdr>
              <w:spacing w:before="120" w:after="120" w:line="120" w:lineRule="auto"/>
              <w:jc w:val="center"/>
              <w:rPr>
                <w:color w:val="CCCCCC"/>
              </w:rPr>
            </w:pPr>
          </w:p>
        </w:tc>
      </w:tr>
    </w:tbl>
    <w:p w14:paraId="0BC4C605" w14:textId="77777777" w:rsidR="00D4326C" w:rsidRDefault="00D4326C" w:rsidP="00D4326C">
      <w:r>
        <w:br w:type="page"/>
      </w:r>
    </w:p>
    <w:p w14:paraId="16ED778C" w14:textId="77777777" w:rsidR="00D4326C" w:rsidRDefault="00D4326C" w:rsidP="00D4326C">
      <w:pPr>
        <w:pStyle w:val="BlockSeparator"/>
      </w:pPr>
    </w:p>
    <w:p w14:paraId="2F100582" w14:textId="77777777" w:rsidR="00D4326C" w:rsidRDefault="00D4326C" w:rsidP="00D4326C">
      <w:pPr>
        <w:pStyle w:val="BlockStartLabel"/>
      </w:pPr>
      <w:r>
        <w:t>Start of Block: Participant Information Sheet</w:t>
      </w:r>
    </w:p>
    <w:p w14:paraId="14B0294A" w14:textId="77777777" w:rsidR="00D4326C" w:rsidRDefault="00D4326C" w:rsidP="00D4326C"/>
    <w:p w14:paraId="452CC649" w14:textId="77777777" w:rsidR="00D4326C" w:rsidRDefault="00D4326C" w:rsidP="00D4326C">
      <w:pPr>
        <w:keepNext/>
      </w:pPr>
      <w:r>
        <w:t>PIS Please click on the </w:t>
      </w:r>
      <w:hyperlink r:id="rId48">
        <w:r>
          <w:rPr>
            <w:color w:val="007AC0"/>
            <w:u w:val="single"/>
          </w:rPr>
          <w:t>Participant Information Sheet</w:t>
        </w:r>
      </w:hyperlink>
      <w:r>
        <w:t xml:space="preserve"> to read the information regarding this research.   </w:t>
      </w:r>
    </w:p>
    <w:p w14:paraId="61BFC685" w14:textId="77777777" w:rsidR="00D4326C" w:rsidRDefault="00D4326C" w:rsidP="00D4326C"/>
    <w:p w14:paraId="152FBAA7" w14:textId="77777777" w:rsidR="00D4326C" w:rsidRDefault="00D4326C" w:rsidP="00D4326C">
      <w:pPr>
        <w:pStyle w:val="QuestionSeparator"/>
      </w:pPr>
    </w:p>
    <w:p w14:paraId="63186671" w14:textId="77777777" w:rsidR="00D4326C" w:rsidRDefault="00D4326C" w:rsidP="00D4326C"/>
    <w:p w14:paraId="3A1EEBB8" w14:textId="77777777" w:rsidR="00D4326C" w:rsidRDefault="00D4326C" w:rsidP="00D4326C">
      <w:pPr>
        <w:keepNext/>
      </w:pPr>
      <w:r>
        <w:t xml:space="preserve">INTRO Diabetes is a global challenge. It is a progressive disease and, if not appropriately managed, could lead to severe health complications. This research explores healthcare professionals’ perceptions of the role pf pharmacist involvement in diabetes primary care management in Saudi Arabia and associated facilitators and barriers to adding the pharmacist into the diabetes care team.   </w:t>
      </w:r>
      <w:r>
        <w:br/>
        <w:t xml:space="preserve">  </w:t>
      </w:r>
    </w:p>
    <w:p w14:paraId="4F45D68C" w14:textId="77777777" w:rsidR="00D4326C" w:rsidRDefault="00D4326C" w:rsidP="00D4326C"/>
    <w:p w14:paraId="4544977E" w14:textId="77777777" w:rsidR="00D4326C" w:rsidRDefault="00D4326C" w:rsidP="00D4326C">
      <w:pPr>
        <w:pStyle w:val="QuestionSeparator"/>
      </w:pPr>
    </w:p>
    <w:p w14:paraId="7374A66B" w14:textId="77777777" w:rsidR="00D4326C" w:rsidRDefault="00D4326C" w:rsidP="00D4326C"/>
    <w:p w14:paraId="5D215B6B" w14:textId="77777777" w:rsidR="00D4326C" w:rsidRDefault="00D4326C" w:rsidP="00D4326C">
      <w:pPr>
        <w:keepNext/>
      </w:pPr>
      <w:r>
        <w:t>Q1 Do you consent to take part in this research?</w:t>
      </w:r>
    </w:p>
    <w:p w14:paraId="63BCFE25" w14:textId="77777777" w:rsidR="00D4326C" w:rsidRDefault="00D4326C" w:rsidP="00D4326C">
      <w:pPr>
        <w:pStyle w:val="ListParagraph"/>
        <w:keepNext/>
        <w:numPr>
          <w:ilvl w:val="0"/>
          <w:numId w:val="18"/>
        </w:numPr>
        <w:contextualSpacing w:val="0"/>
      </w:pPr>
      <w:r>
        <w:t xml:space="preserve">Yes </w:t>
      </w:r>
    </w:p>
    <w:p w14:paraId="646ECF52" w14:textId="77777777" w:rsidR="00D4326C" w:rsidRDefault="00D4326C" w:rsidP="00D4326C">
      <w:pPr>
        <w:pStyle w:val="ListParagraph"/>
        <w:keepNext/>
        <w:numPr>
          <w:ilvl w:val="0"/>
          <w:numId w:val="18"/>
        </w:numPr>
        <w:contextualSpacing w:val="0"/>
      </w:pPr>
      <w:r>
        <w:t xml:space="preserve">No </w:t>
      </w:r>
    </w:p>
    <w:p w14:paraId="0A145CA0" w14:textId="77777777" w:rsidR="00D4326C" w:rsidRDefault="00D4326C" w:rsidP="00D4326C"/>
    <w:p w14:paraId="4A3225D0" w14:textId="77777777" w:rsidR="00D4326C" w:rsidRDefault="00D4326C" w:rsidP="00D4326C">
      <w:pPr>
        <w:pStyle w:val="QSkipLogic"/>
      </w:pPr>
      <w:r>
        <w:t>Skip To: End of Survey If Do you consent to take part in this research? = No</w:t>
      </w:r>
    </w:p>
    <w:p w14:paraId="00E1858B" w14:textId="77777777" w:rsidR="00D4326C" w:rsidRDefault="00D4326C" w:rsidP="00D4326C">
      <w:pPr>
        <w:pStyle w:val="QuestionSeparator"/>
      </w:pPr>
    </w:p>
    <w:tbl>
      <w:tblPr>
        <w:tblW w:w="0" w:type="auto"/>
        <w:tblInd w:w="10" w:type="dxa"/>
        <w:tblCellMar>
          <w:left w:w="10" w:type="dxa"/>
          <w:right w:w="10" w:type="dxa"/>
        </w:tblCellMar>
        <w:tblLook w:val="04A0" w:firstRow="1" w:lastRow="0" w:firstColumn="1" w:lastColumn="0" w:noHBand="0" w:noVBand="1"/>
      </w:tblPr>
      <w:tblGrid>
        <w:gridCol w:w="1347"/>
        <w:gridCol w:w="8003"/>
      </w:tblGrid>
      <w:tr w:rsidR="00D4326C" w14:paraId="0431580A" w14:textId="77777777" w:rsidTr="00282204">
        <w:trPr>
          <w:trHeight w:val="300"/>
        </w:trPr>
        <w:tc>
          <w:tcPr>
            <w:tcW w:w="1368" w:type="dxa"/>
            <w:tcBorders>
              <w:top w:val="nil"/>
              <w:left w:val="nil"/>
              <w:bottom w:val="nil"/>
              <w:right w:val="nil"/>
            </w:tcBorders>
          </w:tcPr>
          <w:p w14:paraId="66CCC4F7" w14:textId="77777777" w:rsidR="00D4326C" w:rsidRDefault="00D4326C" w:rsidP="00282204">
            <w:pPr>
              <w:rPr>
                <w:color w:val="CCCCCC"/>
              </w:rPr>
            </w:pPr>
            <w:r>
              <w:rPr>
                <w:color w:val="CCCCCC"/>
              </w:rPr>
              <w:t>Page Break</w:t>
            </w:r>
          </w:p>
        </w:tc>
        <w:tc>
          <w:tcPr>
            <w:tcW w:w="8208" w:type="dxa"/>
            <w:tcBorders>
              <w:top w:val="nil"/>
              <w:left w:val="nil"/>
              <w:bottom w:val="nil"/>
              <w:right w:val="nil"/>
            </w:tcBorders>
          </w:tcPr>
          <w:p w14:paraId="58AD1CA9" w14:textId="77777777" w:rsidR="00D4326C" w:rsidRDefault="00D4326C" w:rsidP="00282204">
            <w:pPr>
              <w:pBdr>
                <w:top w:val="single" w:sz="8" w:space="0" w:color="CCCCCC"/>
              </w:pBdr>
              <w:spacing w:before="120" w:after="120" w:line="120" w:lineRule="auto"/>
              <w:jc w:val="center"/>
              <w:rPr>
                <w:color w:val="CCCCCC"/>
              </w:rPr>
            </w:pPr>
          </w:p>
        </w:tc>
      </w:tr>
    </w:tbl>
    <w:p w14:paraId="740B2689" w14:textId="77777777" w:rsidR="00D4326C" w:rsidRDefault="00D4326C" w:rsidP="00D4326C">
      <w:r>
        <w:br w:type="page"/>
      </w:r>
    </w:p>
    <w:p w14:paraId="6AD24ABB" w14:textId="77777777" w:rsidR="00D4326C" w:rsidRDefault="00D4326C" w:rsidP="00D4326C">
      <w:pPr>
        <w:pStyle w:val="BlockEndLabel"/>
      </w:pPr>
      <w:r>
        <w:t>End of Block: Participant Information Sheet</w:t>
      </w:r>
    </w:p>
    <w:p w14:paraId="2089D69B" w14:textId="77777777" w:rsidR="00D4326C" w:rsidRDefault="00D4326C" w:rsidP="00D4326C">
      <w:pPr>
        <w:pStyle w:val="BlockSeparator"/>
      </w:pPr>
    </w:p>
    <w:p w14:paraId="62FAB6B9" w14:textId="77777777" w:rsidR="00D4326C" w:rsidRDefault="00D4326C" w:rsidP="00D4326C">
      <w:pPr>
        <w:pStyle w:val="BlockStartLabel"/>
      </w:pPr>
      <w:r>
        <w:t>Start of Block: Demographic Characteristics</w:t>
      </w:r>
    </w:p>
    <w:p w14:paraId="4740BCCF" w14:textId="77777777" w:rsidR="00D4326C" w:rsidRDefault="00D4326C" w:rsidP="00D4326C"/>
    <w:p w14:paraId="199836BB" w14:textId="77777777" w:rsidR="00D4326C" w:rsidRDefault="00D4326C" w:rsidP="00D4326C">
      <w:pPr>
        <w:keepNext/>
      </w:pPr>
      <w:r>
        <w:t>Age What is your age group?</w:t>
      </w:r>
    </w:p>
    <w:p w14:paraId="7F785C20" w14:textId="77777777" w:rsidR="00D4326C" w:rsidRDefault="00D4326C" w:rsidP="00D4326C">
      <w:pPr>
        <w:pStyle w:val="ListParagraph"/>
        <w:keepNext/>
        <w:numPr>
          <w:ilvl w:val="0"/>
          <w:numId w:val="18"/>
        </w:numPr>
        <w:contextualSpacing w:val="0"/>
      </w:pPr>
      <w:r>
        <w:t xml:space="preserve">20-29 </w:t>
      </w:r>
    </w:p>
    <w:p w14:paraId="477340AB" w14:textId="77777777" w:rsidR="00D4326C" w:rsidRDefault="00D4326C" w:rsidP="00D4326C">
      <w:pPr>
        <w:pStyle w:val="ListParagraph"/>
        <w:keepNext/>
        <w:numPr>
          <w:ilvl w:val="0"/>
          <w:numId w:val="18"/>
        </w:numPr>
        <w:contextualSpacing w:val="0"/>
      </w:pPr>
      <w:r>
        <w:t xml:space="preserve">30-39 </w:t>
      </w:r>
    </w:p>
    <w:p w14:paraId="2B84C281" w14:textId="77777777" w:rsidR="00D4326C" w:rsidRDefault="00D4326C" w:rsidP="00D4326C">
      <w:pPr>
        <w:pStyle w:val="ListParagraph"/>
        <w:keepNext/>
        <w:numPr>
          <w:ilvl w:val="0"/>
          <w:numId w:val="18"/>
        </w:numPr>
        <w:contextualSpacing w:val="0"/>
      </w:pPr>
      <w:r>
        <w:t xml:space="preserve">40-55 </w:t>
      </w:r>
    </w:p>
    <w:p w14:paraId="1F26954C" w14:textId="77777777" w:rsidR="00D4326C" w:rsidRDefault="00D4326C" w:rsidP="00D4326C">
      <w:pPr>
        <w:pStyle w:val="ListParagraph"/>
        <w:keepNext/>
        <w:numPr>
          <w:ilvl w:val="0"/>
          <w:numId w:val="18"/>
        </w:numPr>
        <w:contextualSpacing w:val="0"/>
      </w:pPr>
      <w:r>
        <w:t xml:space="preserve">56-74 </w:t>
      </w:r>
    </w:p>
    <w:p w14:paraId="263A548F" w14:textId="77777777" w:rsidR="00D4326C" w:rsidRDefault="00D4326C" w:rsidP="00D4326C"/>
    <w:p w14:paraId="26CAC486" w14:textId="77777777" w:rsidR="00D4326C" w:rsidRDefault="00D4326C" w:rsidP="00D4326C">
      <w:pPr>
        <w:pStyle w:val="QuestionSeparator"/>
      </w:pPr>
    </w:p>
    <w:p w14:paraId="4BE20299" w14:textId="77777777" w:rsidR="00D4326C" w:rsidRDefault="00D4326C" w:rsidP="00D4326C"/>
    <w:p w14:paraId="388A9115" w14:textId="77777777" w:rsidR="00D4326C" w:rsidRDefault="00D4326C" w:rsidP="00D4326C">
      <w:pPr>
        <w:keepNext/>
      </w:pPr>
      <w:r>
        <w:t xml:space="preserve">Gender </w:t>
      </w:r>
      <w:r>
        <w:br/>
        <w:t>What is your gender? </w:t>
      </w:r>
    </w:p>
    <w:p w14:paraId="36ECA2E1" w14:textId="77777777" w:rsidR="00D4326C" w:rsidRDefault="00D4326C" w:rsidP="00D4326C">
      <w:pPr>
        <w:pStyle w:val="ListParagraph"/>
        <w:keepNext/>
        <w:numPr>
          <w:ilvl w:val="0"/>
          <w:numId w:val="18"/>
        </w:numPr>
        <w:contextualSpacing w:val="0"/>
      </w:pPr>
      <w:r>
        <w:t xml:space="preserve">Male </w:t>
      </w:r>
    </w:p>
    <w:p w14:paraId="2F3159D2" w14:textId="77777777" w:rsidR="00D4326C" w:rsidRDefault="00D4326C" w:rsidP="00D4326C">
      <w:pPr>
        <w:pStyle w:val="ListParagraph"/>
        <w:keepNext/>
        <w:numPr>
          <w:ilvl w:val="0"/>
          <w:numId w:val="18"/>
        </w:numPr>
        <w:contextualSpacing w:val="0"/>
      </w:pPr>
      <w:r>
        <w:t xml:space="preserve">Female </w:t>
      </w:r>
    </w:p>
    <w:p w14:paraId="134F9D17" w14:textId="77777777" w:rsidR="00D4326C" w:rsidRDefault="00D4326C" w:rsidP="00D4326C">
      <w:pPr>
        <w:pStyle w:val="ListParagraph"/>
        <w:keepNext/>
        <w:numPr>
          <w:ilvl w:val="0"/>
          <w:numId w:val="18"/>
        </w:numPr>
        <w:contextualSpacing w:val="0"/>
      </w:pPr>
      <w:r>
        <w:t xml:space="preserve">Prefer not to say </w:t>
      </w:r>
    </w:p>
    <w:p w14:paraId="704A3FFD" w14:textId="77777777" w:rsidR="00D4326C" w:rsidRDefault="00D4326C" w:rsidP="00D4326C"/>
    <w:p w14:paraId="6B85B56F" w14:textId="77777777" w:rsidR="00D4326C" w:rsidRDefault="00D4326C" w:rsidP="00D4326C">
      <w:pPr>
        <w:pStyle w:val="QuestionSeparator"/>
      </w:pPr>
    </w:p>
    <w:p w14:paraId="038E4C27" w14:textId="77777777" w:rsidR="00D4326C" w:rsidRDefault="00D4326C" w:rsidP="00D4326C"/>
    <w:p w14:paraId="050C2C25" w14:textId="77777777" w:rsidR="00D4326C" w:rsidRDefault="00D4326C" w:rsidP="00D4326C">
      <w:pPr>
        <w:keepNext/>
      </w:pPr>
      <w:r>
        <w:t xml:space="preserve">Nationality </w:t>
      </w:r>
      <w:r>
        <w:br/>
        <w:t>What is your nationality? </w:t>
      </w:r>
    </w:p>
    <w:p w14:paraId="3F062EDB" w14:textId="77777777" w:rsidR="00D4326C" w:rsidRDefault="00D4326C" w:rsidP="00D4326C">
      <w:pPr>
        <w:pStyle w:val="ListParagraph"/>
        <w:keepNext/>
        <w:numPr>
          <w:ilvl w:val="0"/>
          <w:numId w:val="18"/>
        </w:numPr>
        <w:contextualSpacing w:val="0"/>
      </w:pPr>
      <w:r>
        <w:t xml:space="preserve">Saudi </w:t>
      </w:r>
    </w:p>
    <w:p w14:paraId="6B404FDD" w14:textId="77777777" w:rsidR="00D4326C" w:rsidRDefault="00D4326C" w:rsidP="00D4326C">
      <w:pPr>
        <w:pStyle w:val="ListParagraph"/>
        <w:keepNext/>
        <w:numPr>
          <w:ilvl w:val="0"/>
          <w:numId w:val="18"/>
        </w:numPr>
        <w:contextualSpacing w:val="0"/>
      </w:pPr>
      <w:r>
        <w:t xml:space="preserve">Non-Saudi </w:t>
      </w:r>
    </w:p>
    <w:p w14:paraId="1D44B5FE" w14:textId="77777777" w:rsidR="00D4326C" w:rsidRDefault="00D4326C" w:rsidP="00D4326C"/>
    <w:p w14:paraId="7006898B" w14:textId="77777777" w:rsidR="00D4326C" w:rsidRDefault="00D4326C" w:rsidP="00D4326C">
      <w:pPr>
        <w:pStyle w:val="QuestionSeparator"/>
      </w:pPr>
    </w:p>
    <w:p w14:paraId="45D78325" w14:textId="77777777" w:rsidR="00D4326C" w:rsidRDefault="00D4326C" w:rsidP="00D4326C"/>
    <w:p w14:paraId="77CF00C6" w14:textId="77777777" w:rsidR="00D4326C" w:rsidRDefault="00D4326C" w:rsidP="00D4326C">
      <w:pPr>
        <w:keepNext/>
      </w:pPr>
      <w:r>
        <w:t>Job What is your practice qualification?</w:t>
      </w:r>
    </w:p>
    <w:p w14:paraId="5B5DA011" w14:textId="77777777" w:rsidR="00D4326C" w:rsidRDefault="00D4326C" w:rsidP="00D4326C">
      <w:pPr>
        <w:pStyle w:val="ListParagraph"/>
        <w:keepNext/>
        <w:numPr>
          <w:ilvl w:val="0"/>
          <w:numId w:val="18"/>
        </w:numPr>
        <w:contextualSpacing w:val="0"/>
      </w:pPr>
      <w:r>
        <w:t xml:space="preserve">Doctor </w:t>
      </w:r>
    </w:p>
    <w:p w14:paraId="31D29AFF" w14:textId="77777777" w:rsidR="00D4326C" w:rsidRDefault="00D4326C" w:rsidP="00D4326C">
      <w:pPr>
        <w:pStyle w:val="ListParagraph"/>
        <w:keepNext/>
        <w:numPr>
          <w:ilvl w:val="0"/>
          <w:numId w:val="18"/>
        </w:numPr>
        <w:contextualSpacing w:val="0"/>
      </w:pPr>
      <w:r>
        <w:t xml:space="preserve">Pharmacist </w:t>
      </w:r>
    </w:p>
    <w:p w14:paraId="7790F4E9" w14:textId="77777777" w:rsidR="00D4326C" w:rsidRDefault="00D4326C" w:rsidP="00D4326C">
      <w:pPr>
        <w:pStyle w:val="ListParagraph"/>
        <w:keepNext/>
        <w:numPr>
          <w:ilvl w:val="0"/>
          <w:numId w:val="18"/>
        </w:numPr>
        <w:contextualSpacing w:val="0"/>
      </w:pPr>
      <w:r>
        <w:t xml:space="preserve">Nurse </w:t>
      </w:r>
    </w:p>
    <w:p w14:paraId="0F108B67" w14:textId="77777777" w:rsidR="00D4326C" w:rsidRDefault="00D4326C" w:rsidP="00D4326C"/>
    <w:p w14:paraId="08C0B288" w14:textId="77777777" w:rsidR="00D4326C" w:rsidRDefault="00D4326C" w:rsidP="00D4326C">
      <w:pPr>
        <w:pStyle w:val="QuestionSeparator"/>
      </w:pPr>
    </w:p>
    <w:p w14:paraId="638DC327" w14:textId="77777777" w:rsidR="00D4326C" w:rsidRDefault="00D4326C" w:rsidP="00D4326C"/>
    <w:p w14:paraId="50848E67" w14:textId="77777777" w:rsidR="00D4326C" w:rsidRDefault="00D4326C" w:rsidP="00D4326C">
      <w:pPr>
        <w:keepNext/>
      </w:pPr>
      <w:r>
        <w:t>Edu. level What is the highest education level you have received?</w:t>
      </w:r>
    </w:p>
    <w:p w14:paraId="0857DA17" w14:textId="77777777" w:rsidR="00D4326C" w:rsidRDefault="00D4326C" w:rsidP="00D4326C">
      <w:pPr>
        <w:pStyle w:val="ListParagraph"/>
        <w:keepNext/>
        <w:numPr>
          <w:ilvl w:val="0"/>
          <w:numId w:val="18"/>
        </w:numPr>
        <w:contextualSpacing w:val="0"/>
      </w:pPr>
      <w:r>
        <w:t xml:space="preserve">Diploma  </w:t>
      </w:r>
    </w:p>
    <w:p w14:paraId="2D566193" w14:textId="77777777" w:rsidR="00D4326C" w:rsidRDefault="00D4326C" w:rsidP="00D4326C">
      <w:pPr>
        <w:pStyle w:val="ListParagraph"/>
        <w:keepNext/>
        <w:numPr>
          <w:ilvl w:val="0"/>
          <w:numId w:val="18"/>
        </w:numPr>
        <w:contextualSpacing w:val="0"/>
      </w:pPr>
      <w:r>
        <w:t xml:space="preserve">Bachelor’s degree </w:t>
      </w:r>
    </w:p>
    <w:p w14:paraId="65EA073D" w14:textId="77777777" w:rsidR="00D4326C" w:rsidRDefault="00D4326C" w:rsidP="00D4326C">
      <w:pPr>
        <w:pStyle w:val="ListParagraph"/>
        <w:keepNext/>
        <w:numPr>
          <w:ilvl w:val="0"/>
          <w:numId w:val="18"/>
        </w:numPr>
        <w:contextualSpacing w:val="0"/>
      </w:pPr>
      <w:r>
        <w:t xml:space="preserve">Master degree </w:t>
      </w:r>
    </w:p>
    <w:p w14:paraId="5E2489E6" w14:textId="77777777" w:rsidR="00D4326C" w:rsidRDefault="00D4326C" w:rsidP="00D4326C">
      <w:pPr>
        <w:pStyle w:val="ListParagraph"/>
        <w:keepNext/>
        <w:numPr>
          <w:ilvl w:val="0"/>
          <w:numId w:val="18"/>
        </w:numPr>
        <w:contextualSpacing w:val="0"/>
      </w:pPr>
      <w:r>
        <w:t xml:space="preserve">Doctoral degree (e.g MD, PhD) </w:t>
      </w:r>
    </w:p>
    <w:p w14:paraId="3ACB151F" w14:textId="77777777" w:rsidR="00D4326C" w:rsidRDefault="00D4326C" w:rsidP="00D4326C">
      <w:pPr>
        <w:pStyle w:val="ListParagraph"/>
        <w:keepNext/>
        <w:numPr>
          <w:ilvl w:val="0"/>
          <w:numId w:val="18"/>
        </w:numPr>
        <w:contextualSpacing w:val="0"/>
      </w:pPr>
      <w:r>
        <w:t xml:space="preserve">Postgraduate specialty </w:t>
      </w:r>
    </w:p>
    <w:p w14:paraId="1BF61490" w14:textId="77777777" w:rsidR="00D4326C" w:rsidRDefault="00D4326C" w:rsidP="00D4326C">
      <w:pPr>
        <w:pStyle w:val="ListParagraph"/>
        <w:keepNext/>
        <w:numPr>
          <w:ilvl w:val="0"/>
          <w:numId w:val="18"/>
        </w:numPr>
        <w:contextualSpacing w:val="0"/>
      </w:pPr>
      <w:r>
        <w:t>Other, please specify ________________________________________________</w:t>
      </w:r>
    </w:p>
    <w:p w14:paraId="4A7FAB08" w14:textId="77777777" w:rsidR="00D4326C" w:rsidRDefault="00D4326C" w:rsidP="00D4326C"/>
    <w:p w14:paraId="1ED14021" w14:textId="77777777" w:rsidR="00D4326C" w:rsidRDefault="00D4326C" w:rsidP="00D4326C">
      <w:pPr>
        <w:pStyle w:val="QuestionSeparator"/>
      </w:pPr>
    </w:p>
    <w:tbl>
      <w:tblPr>
        <w:tblStyle w:val="QQuestionIconTable"/>
        <w:tblW w:w="50" w:type="auto"/>
        <w:tblLook w:val="07E0" w:firstRow="1" w:lastRow="1" w:firstColumn="1" w:lastColumn="1" w:noHBand="1" w:noVBand="1"/>
      </w:tblPr>
      <w:tblGrid>
        <w:gridCol w:w="380"/>
      </w:tblGrid>
      <w:tr w:rsidR="00D4326C" w14:paraId="7EAD6B18" w14:textId="77777777" w:rsidTr="00282204">
        <w:tc>
          <w:tcPr>
            <w:tcW w:w="50" w:type="dxa"/>
          </w:tcPr>
          <w:p w14:paraId="5C95ECE1" w14:textId="77777777" w:rsidR="00D4326C" w:rsidRDefault="00D4326C" w:rsidP="00282204">
            <w:pPr>
              <w:keepNext/>
            </w:pPr>
            <w:r>
              <w:rPr>
                <w:noProof/>
              </w:rPr>
              <w:drawing>
                <wp:inline distT="0" distB="0" distL="0" distR="0" wp14:anchorId="09F2884D" wp14:editId="3863ACF1">
                  <wp:extent cx="228600" cy="228600"/>
                  <wp:effectExtent l="0" t="0" r="0" b="0"/>
                  <wp:docPr id="5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QuestionRecodeOptions.png"/>
                          <pic:cNvPicPr/>
                        </pic:nvPicPr>
                        <pic:blipFill>
                          <a:blip r:embed="rId49"/>
                          <a:stretch>
                            <a:fillRect/>
                          </a:stretch>
                        </pic:blipFill>
                        <pic:spPr>
                          <a:xfrm>
                            <a:off x="0" y="0"/>
                            <a:ext cx="228600" cy="228600"/>
                          </a:xfrm>
                          <a:prstGeom prst="rect">
                            <a:avLst/>
                          </a:prstGeom>
                        </pic:spPr>
                      </pic:pic>
                    </a:graphicData>
                  </a:graphic>
                </wp:inline>
              </w:drawing>
            </w:r>
          </w:p>
        </w:tc>
      </w:tr>
    </w:tbl>
    <w:p w14:paraId="5DF2857B" w14:textId="77777777" w:rsidR="00D4326C" w:rsidRDefault="00D4326C" w:rsidP="00D4326C"/>
    <w:p w14:paraId="3BF7B300" w14:textId="77777777" w:rsidR="00D4326C" w:rsidRDefault="00D4326C" w:rsidP="00D4326C">
      <w:pPr>
        <w:keepNext/>
      </w:pPr>
      <w:r>
        <w:t>Degree issuer What is the country you have obtained your last qualification? </w:t>
      </w:r>
    </w:p>
    <w:p w14:paraId="289ACF62" w14:textId="77777777" w:rsidR="00D4326C" w:rsidRDefault="00D4326C" w:rsidP="00D4326C">
      <w:pPr>
        <w:pStyle w:val="ListParagraph"/>
        <w:keepNext/>
        <w:numPr>
          <w:ilvl w:val="0"/>
          <w:numId w:val="18"/>
        </w:numPr>
        <w:contextualSpacing w:val="0"/>
      </w:pPr>
      <w:r>
        <w:t xml:space="preserve">Saudi Arabia </w:t>
      </w:r>
    </w:p>
    <w:p w14:paraId="5612A7E9" w14:textId="77777777" w:rsidR="00D4326C" w:rsidRDefault="00D4326C" w:rsidP="00D4326C">
      <w:pPr>
        <w:pStyle w:val="ListParagraph"/>
        <w:keepNext/>
        <w:numPr>
          <w:ilvl w:val="0"/>
          <w:numId w:val="18"/>
        </w:numPr>
        <w:contextualSpacing w:val="0"/>
      </w:pPr>
      <w:r>
        <w:t>Other, specify country ________________________________________________</w:t>
      </w:r>
    </w:p>
    <w:p w14:paraId="24C07029" w14:textId="77777777" w:rsidR="00D4326C" w:rsidRDefault="00D4326C" w:rsidP="00D4326C"/>
    <w:p w14:paraId="059B988F" w14:textId="77777777" w:rsidR="00D4326C" w:rsidRDefault="00D4326C" w:rsidP="00D4326C">
      <w:pPr>
        <w:pStyle w:val="QuestionSeparator"/>
      </w:pPr>
    </w:p>
    <w:p w14:paraId="3D385A40" w14:textId="77777777" w:rsidR="00D4326C" w:rsidRDefault="00D4326C" w:rsidP="00D4326C"/>
    <w:p w14:paraId="35EB1AD9" w14:textId="77777777" w:rsidR="00D4326C" w:rsidRDefault="00D4326C" w:rsidP="00D4326C">
      <w:pPr>
        <w:keepNext/>
      </w:pPr>
      <w:r>
        <w:t>Q57 What is your job category?</w:t>
      </w:r>
      <w:r>
        <w:br/>
        <w:t xml:space="preserve">  </w:t>
      </w:r>
    </w:p>
    <w:p w14:paraId="1771C942" w14:textId="77777777" w:rsidR="00D4326C" w:rsidRDefault="00D4326C" w:rsidP="00D4326C">
      <w:pPr>
        <w:pStyle w:val="ListParagraph"/>
        <w:keepNext/>
        <w:numPr>
          <w:ilvl w:val="0"/>
          <w:numId w:val="18"/>
        </w:numPr>
        <w:contextualSpacing w:val="0"/>
      </w:pPr>
      <w:r>
        <w:t xml:space="preserve">Consultant physician </w:t>
      </w:r>
    </w:p>
    <w:p w14:paraId="034294F7" w14:textId="77777777" w:rsidR="00D4326C" w:rsidRDefault="00D4326C" w:rsidP="00D4326C">
      <w:pPr>
        <w:pStyle w:val="ListParagraph"/>
        <w:keepNext/>
        <w:numPr>
          <w:ilvl w:val="0"/>
          <w:numId w:val="18"/>
        </w:numPr>
        <w:contextualSpacing w:val="0"/>
      </w:pPr>
      <w:r>
        <w:t xml:space="preserve">Specialist physician </w:t>
      </w:r>
    </w:p>
    <w:p w14:paraId="2C596CBF" w14:textId="77777777" w:rsidR="00D4326C" w:rsidRDefault="00D4326C" w:rsidP="00D4326C">
      <w:pPr>
        <w:pStyle w:val="ListParagraph"/>
        <w:keepNext/>
        <w:numPr>
          <w:ilvl w:val="0"/>
          <w:numId w:val="18"/>
        </w:numPr>
        <w:contextualSpacing w:val="0"/>
      </w:pPr>
      <w:r>
        <w:t xml:space="preserve">Resident Physician </w:t>
      </w:r>
    </w:p>
    <w:p w14:paraId="7DADAAE2" w14:textId="77777777" w:rsidR="00D4326C" w:rsidRDefault="00D4326C" w:rsidP="00D4326C">
      <w:pPr>
        <w:pStyle w:val="ListParagraph"/>
        <w:keepNext/>
        <w:numPr>
          <w:ilvl w:val="0"/>
          <w:numId w:val="18"/>
        </w:numPr>
        <w:contextualSpacing w:val="0"/>
      </w:pPr>
      <w:r>
        <w:t xml:space="preserve">Consultant pharmacist </w:t>
      </w:r>
    </w:p>
    <w:p w14:paraId="0A81AC98" w14:textId="77777777" w:rsidR="00D4326C" w:rsidRDefault="00D4326C" w:rsidP="00D4326C">
      <w:pPr>
        <w:pStyle w:val="ListParagraph"/>
        <w:keepNext/>
        <w:numPr>
          <w:ilvl w:val="0"/>
          <w:numId w:val="18"/>
        </w:numPr>
        <w:contextualSpacing w:val="0"/>
      </w:pPr>
      <w:r>
        <w:t xml:space="preserve">Specialist pharmacist (holds a master's degree or a postgraduate specialisation) </w:t>
      </w:r>
    </w:p>
    <w:p w14:paraId="2BC70CE0" w14:textId="77777777" w:rsidR="00D4326C" w:rsidRDefault="00D4326C" w:rsidP="00D4326C">
      <w:pPr>
        <w:pStyle w:val="ListParagraph"/>
        <w:keepNext/>
        <w:numPr>
          <w:ilvl w:val="0"/>
          <w:numId w:val="18"/>
        </w:numPr>
        <w:contextualSpacing w:val="0"/>
      </w:pPr>
      <w:r>
        <w:t xml:space="preserve">Pharmacist (holds a bachelor's degree or Pharm D) </w:t>
      </w:r>
    </w:p>
    <w:p w14:paraId="0E45B60F" w14:textId="77777777" w:rsidR="00D4326C" w:rsidRDefault="00D4326C" w:rsidP="00D4326C">
      <w:pPr>
        <w:pStyle w:val="ListParagraph"/>
        <w:keepNext/>
        <w:numPr>
          <w:ilvl w:val="0"/>
          <w:numId w:val="18"/>
        </w:numPr>
        <w:contextualSpacing w:val="0"/>
      </w:pPr>
      <w:r>
        <w:t xml:space="preserve">Nurse (holds a bachelor's degree) </w:t>
      </w:r>
    </w:p>
    <w:p w14:paraId="23661845" w14:textId="77777777" w:rsidR="00D4326C" w:rsidRDefault="00D4326C" w:rsidP="00D4326C">
      <w:pPr>
        <w:pStyle w:val="ListParagraph"/>
        <w:keepNext/>
        <w:numPr>
          <w:ilvl w:val="0"/>
          <w:numId w:val="18"/>
        </w:numPr>
        <w:contextualSpacing w:val="0"/>
      </w:pPr>
      <w:r>
        <w:t xml:space="preserve">Nurse technician (holds a diploma in nursing) </w:t>
      </w:r>
    </w:p>
    <w:p w14:paraId="1EBDD919" w14:textId="77777777" w:rsidR="00D4326C" w:rsidRDefault="00D4326C" w:rsidP="00D4326C">
      <w:pPr>
        <w:pStyle w:val="ListParagraph"/>
        <w:keepNext/>
        <w:numPr>
          <w:ilvl w:val="0"/>
          <w:numId w:val="18"/>
        </w:numPr>
        <w:contextualSpacing w:val="0"/>
      </w:pPr>
      <w:r>
        <w:t xml:space="preserve">Nurse assistant </w:t>
      </w:r>
    </w:p>
    <w:p w14:paraId="743E593D" w14:textId="77777777" w:rsidR="00D4326C" w:rsidRDefault="00D4326C" w:rsidP="00D4326C">
      <w:pPr>
        <w:pStyle w:val="ListParagraph"/>
        <w:keepNext/>
        <w:numPr>
          <w:ilvl w:val="0"/>
          <w:numId w:val="18"/>
        </w:numPr>
        <w:contextualSpacing w:val="0"/>
      </w:pPr>
      <w:r>
        <w:t>Other, please specify ________________________________________________</w:t>
      </w:r>
    </w:p>
    <w:p w14:paraId="16F26C1A" w14:textId="77777777" w:rsidR="00D4326C" w:rsidRDefault="00D4326C" w:rsidP="00D4326C"/>
    <w:p w14:paraId="6D29ED7F" w14:textId="77777777" w:rsidR="00D4326C" w:rsidRDefault="00D4326C" w:rsidP="00D4326C">
      <w:pPr>
        <w:pStyle w:val="QuestionSeparator"/>
      </w:pPr>
    </w:p>
    <w:p w14:paraId="7C8908FC" w14:textId="77777777" w:rsidR="00D4326C" w:rsidRDefault="00D4326C" w:rsidP="00D4326C"/>
    <w:p w14:paraId="302AA276" w14:textId="77777777" w:rsidR="00D4326C" w:rsidRDefault="00D4326C" w:rsidP="00D4326C">
      <w:pPr>
        <w:keepNext/>
      </w:pPr>
      <w:r>
        <w:t>Experience years How many years of experience do you have as a healthcare professional?</w:t>
      </w:r>
    </w:p>
    <w:p w14:paraId="6EA74688" w14:textId="77777777" w:rsidR="00D4326C" w:rsidRDefault="00D4326C" w:rsidP="00D4326C">
      <w:pPr>
        <w:pStyle w:val="ListParagraph"/>
        <w:keepNext/>
        <w:numPr>
          <w:ilvl w:val="0"/>
          <w:numId w:val="18"/>
        </w:numPr>
        <w:contextualSpacing w:val="0"/>
      </w:pPr>
      <w:r>
        <w:t xml:space="preserve">0-5 </w:t>
      </w:r>
    </w:p>
    <w:p w14:paraId="2249BC0E" w14:textId="77777777" w:rsidR="00D4326C" w:rsidRDefault="00D4326C" w:rsidP="00D4326C">
      <w:pPr>
        <w:pStyle w:val="ListParagraph"/>
        <w:keepNext/>
        <w:numPr>
          <w:ilvl w:val="0"/>
          <w:numId w:val="18"/>
        </w:numPr>
        <w:contextualSpacing w:val="0"/>
      </w:pPr>
      <w:r>
        <w:t xml:space="preserve">&gt;5-10 </w:t>
      </w:r>
    </w:p>
    <w:p w14:paraId="01C02740" w14:textId="77777777" w:rsidR="00D4326C" w:rsidRDefault="00D4326C" w:rsidP="00D4326C">
      <w:pPr>
        <w:pStyle w:val="ListParagraph"/>
        <w:keepNext/>
        <w:numPr>
          <w:ilvl w:val="0"/>
          <w:numId w:val="18"/>
        </w:numPr>
        <w:contextualSpacing w:val="0"/>
      </w:pPr>
      <w:r>
        <w:t xml:space="preserve">&gt;10  </w:t>
      </w:r>
    </w:p>
    <w:p w14:paraId="43AE84A3" w14:textId="77777777" w:rsidR="00D4326C" w:rsidRDefault="00D4326C" w:rsidP="00D4326C"/>
    <w:p w14:paraId="19233883" w14:textId="77777777" w:rsidR="00D4326C" w:rsidRDefault="00D4326C" w:rsidP="00D4326C">
      <w:pPr>
        <w:pStyle w:val="QuestionSeparator"/>
      </w:pPr>
    </w:p>
    <w:p w14:paraId="773BB528" w14:textId="77777777" w:rsidR="00D4326C" w:rsidRDefault="00D4326C" w:rsidP="00D4326C"/>
    <w:p w14:paraId="48A1A8E1" w14:textId="77777777" w:rsidR="00D4326C" w:rsidRDefault="00D4326C" w:rsidP="00D4326C">
      <w:pPr>
        <w:keepNext/>
      </w:pPr>
      <w:r>
        <w:t>Work site Where do you work?</w:t>
      </w:r>
    </w:p>
    <w:p w14:paraId="7CD8A88F" w14:textId="77777777" w:rsidR="00D4326C" w:rsidRDefault="00D4326C" w:rsidP="00D4326C">
      <w:pPr>
        <w:pStyle w:val="ListParagraph"/>
        <w:keepNext/>
        <w:numPr>
          <w:ilvl w:val="0"/>
          <w:numId w:val="18"/>
        </w:numPr>
        <w:contextualSpacing w:val="0"/>
      </w:pPr>
      <w:r>
        <w:t xml:space="preserve">Dammam </w:t>
      </w:r>
    </w:p>
    <w:p w14:paraId="1EC77A93" w14:textId="77777777" w:rsidR="00D4326C" w:rsidRDefault="00D4326C" w:rsidP="00D4326C">
      <w:pPr>
        <w:pStyle w:val="ListParagraph"/>
        <w:keepNext/>
        <w:numPr>
          <w:ilvl w:val="0"/>
          <w:numId w:val="18"/>
        </w:numPr>
        <w:contextualSpacing w:val="0"/>
      </w:pPr>
      <w:r>
        <w:t xml:space="preserve">Khobar </w:t>
      </w:r>
    </w:p>
    <w:p w14:paraId="65B6205C" w14:textId="77777777" w:rsidR="00D4326C" w:rsidRDefault="00D4326C" w:rsidP="00D4326C">
      <w:pPr>
        <w:pStyle w:val="ListParagraph"/>
        <w:keepNext/>
        <w:numPr>
          <w:ilvl w:val="0"/>
          <w:numId w:val="18"/>
        </w:numPr>
        <w:contextualSpacing w:val="0"/>
      </w:pPr>
      <w:r>
        <w:t xml:space="preserve">Qatif </w:t>
      </w:r>
    </w:p>
    <w:p w14:paraId="170443CA" w14:textId="77777777" w:rsidR="00D4326C" w:rsidRDefault="00D4326C" w:rsidP="00D4326C">
      <w:pPr>
        <w:pStyle w:val="ListParagraph"/>
        <w:keepNext/>
        <w:numPr>
          <w:ilvl w:val="0"/>
          <w:numId w:val="18"/>
        </w:numPr>
        <w:contextualSpacing w:val="0"/>
      </w:pPr>
      <w:r>
        <w:t xml:space="preserve">Ras Tanura </w:t>
      </w:r>
    </w:p>
    <w:p w14:paraId="19A9521C" w14:textId="77777777" w:rsidR="00D4326C" w:rsidRDefault="00D4326C" w:rsidP="00D4326C">
      <w:pPr>
        <w:pStyle w:val="ListParagraph"/>
        <w:keepNext/>
        <w:numPr>
          <w:ilvl w:val="0"/>
          <w:numId w:val="18"/>
        </w:numPr>
        <w:contextualSpacing w:val="0"/>
      </w:pPr>
      <w:r>
        <w:t xml:space="preserve">Buqayaq </w:t>
      </w:r>
    </w:p>
    <w:p w14:paraId="0FBFB8B8" w14:textId="77777777" w:rsidR="00D4326C" w:rsidRDefault="00D4326C" w:rsidP="00D4326C">
      <w:pPr>
        <w:pStyle w:val="ListParagraph"/>
        <w:keepNext/>
        <w:numPr>
          <w:ilvl w:val="0"/>
          <w:numId w:val="18"/>
        </w:numPr>
        <w:contextualSpacing w:val="0"/>
      </w:pPr>
      <w:r>
        <w:t xml:space="preserve">Safwa </w:t>
      </w:r>
    </w:p>
    <w:p w14:paraId="491E1554" w14:textId="77777777" w:rsidR="00D4326C" w:rsidRDefault="00D4326C" w:rsidP="00D4326C">
      <w:pPr>
        <w:pStyle w:val="ListParagraph"/>
        <w:keepNext/>
        <w:numPr>
          <w:ilvl w:val="0"/>
          <w:numId w:val="18"/>
        </w:numPr>
        <w:contextualSpacing w:val="0"/>
      </w:pPr>
      <w:r>
        <w:t xml:space="preserve">Jubail </w:t>
      </w:r>
    </w:p>
    <w:p w14:paraId="222510FB" w14:textId="77777777" w:rsidR="00D4326C" w:rsidRDefault="00D4326C" w:rsidP="00D4326C">
      <w:pPr>
        <w:pStyle w:val="ListParagraph"/>
        <w:keepNext/>
        <w:numPr>
          <w:ilvl w:val="0"/>
          <w:numId w:val="18"/>
        </w:numPr>
        <w:contextualSpacing w:val="0"/>
      </w:pPr>
      <w:r>
        <w:t xml:space="preserve">Anayriyah </w:t>
      </w:r>
    </w:p>
    <w:p w14:paraId="03094262" w14:textId="77777777" w:rsidR="00D4326C" w:rsidRDefault="00D4326C" w:rsidP="00D4326C">
      <w:pPr>
        <w:pStyle w:val="ListParagraph"/>
        <w:keepNext/>
        <w:numPr>
          <w:ilvl w:val="0"/>
          <w:numId w:val="18"/>
        </w:numPr>
        <w:contextualSpacing w:val="0"/>
      </w:pPr>
      <w:r>
        <w:t>Other, please specify ________________________________________________</w:t>
      </w:r>
    </w:p>
    <w:p w14:paraId="15444ADF" w14:textId="77777777" w:rsidR="00D4326C" w:rsidRDefault="00D4326C" w:rsidP="00D4326C"/>
    <w:p w14:paraId="77F9195D" w14:textId="77777777" w:rsidR="00D4326C" w:rsidRDefault="00D4326C" w:rsidP="00D4326C">
      <w:pPr>
        <w:pStyle w:val="QuestionSeparator"/>
      </w:pPr>
    </w:p>
    <w:p w14:paraId="2A4EF927" w14:textId="77777777" w:rsidR="00D4326C" w:rsidRDefault="00D4326C" w:rsidP="00D4326C"/>
    <w:p w14:paraId="32B90417" w14:textId="77777777" w:rsidR="00D4326C" w:rsidRDefault="00D4326C" w:rsidP="00D4326C">
      <w:pPr>
        <w:keepNext/>
      </w:pPr>
      <w:r>
        <w:t>Centre type What type of centre do/did you work in?</w:t>
      </w:r>
    </w:p>
    <w:p w14:paraId="7EDEC5A9" w14:textId="77777777" w:rsidR="00D4326C" w:rsidRDefault="00D4326C" w:rsidP="00D4326C">
      <w:pPr>
        <w:pStyle w:val="ListParagraph"/>
        <w:keepNext/>
        <w:numPr>
          <w:ilvl w:val="0"/>
          <w:numId w:val="18"/>
        </w:numPr>
        <w:contextualSpacing w:val="0"/>
      </w:pPr>
      <w:r>
        <w:t xml:space="preserve">Specialist Centre (includes specialised polyclinic such as family medicine, general internal medicine, psychiatry, general paediatrics, obstetrics and gynaecology (OB/GYN), etc. ) </w:t>
      </w:r>
    </w:p>
    <w:p w14:paraId="4351E665" w14:textId="77777777" w:rsidR="00D4326C" w:rsidRDefault="00D4326C" w:rsidP="00D4326C">
      <w:pPr>
        <w:pStyle w:val="ListParagraph"/>
        <w:keepNext/>
        <w:numPr>
          <w:ilvl w:val="0"/>
          <w:numId w:val="18"/>
        </w:numPr>
        <w:contextualSpacing w:val="0"/>
      </w:pPr>
      <w:r>
        <w:t xml:space="preserve">Non-Specialist Centre (includes general practitioners/physicians) </w:t>
      </w:r>
    </w:p>
    <w:p w14:paraId="3800903A" w14:textId="77777777" w:rsidR="00D4326C" w:rsidRDefault="00D4326C" w:rsidP="00D4326C">
      <w:pPr>
        <w:pStyle w:val="ListParagraph"/>
        <w:keepNext/>
        <w:numPr>
          <w:ilvl w:val="0"/>
          <w:numId w:val="18"/>
        </w:numPr>
        <w:contextualSpacing w:val="0"/>
      </w:pPr>
      <w:r>
        <w:t>Other, (Please specify) ________________________________________________</w:t>
      </w:r>
    </w:p>
    <w:p w14:paraId="08A9CB41" w14:textId="77777777" w:rsidR="00D4326C" w:rsidRDefault="00D4326C" w:rsidP="00D4326C"/>
    <w:p w14:paraId="74E72958" w14:textId="77777777" w:rsidR="00D4326C" w:rsidRDefault="00D4326C" w:rsidP="00D4326C">
      <w:pPr>
        <w:pStyle w:val="QuestionSeparator"/>
      </w:pPr>
    </w:p>
    <w:p w14:paraId="6329FFAA" w14:textId="77777777" w:rsidR="00D4326C" w:rsidRDefault="00D4326C" w:rsidP="00D4326C"/>
    <w:p w14:paraId="5D420FC5" w14:textId="77777777" w:rsidR="00D4326C" w:rsidRDefault="00D4326C" w:rsidP="00D4326C">
      <w:pPr>
        <w:keepNext/>
      </w:pPr>
      <w:r>
        <w:t>Patient. No What is the average daily number of patients with diabetes you treat or provide care for?</w:t>
      </w:r>
    </w:p>
    <w:p w14:paraId="4A63F1CD" w14:textId="77777777" w:rsidR="00D4326C" w:rsidRDefault="00D4326C" w:rsidP="00D4326C">
      <w:pPr>
        <w:pStyle w:val="ListParagraph"/>
        <w:keepNext/>
        <w:numPr>
          <w:ilvl w:val="0"/>
          <w:numId w:val="18"/>
        </w:numPr>
        <w:contextualSpacing w:val="0"/>
      </w:pPr>
      <w:r>
        <w:t>Per day ________________________________________________</w:t>
      </w:r>
    </w:p>
    <w:p w14:paraId="77401B43" w14:textId="77777777" w:rsidR="00D4326C" w:rsidRDefault="00D4326C" w:rsidP="00D4326C">
      <w:pPr>
        <w:pStyle w:val="ListParagraph"/>
        <w:keepNext/>
        <w:numPr>
          <w:ilvl w:val="0"/>
          <w:numId w:val="18"/>
        </w:numPr>
        <w:contextualSpacing w:val="0"/>
      </w:pPr>
      <w:r>
        <w:t xml:space="preserve">Unsure </w:t>
      </w:r>
    </w:p>
    <w:p w14:paraId="7162D8B7" w14:textId="77777777" w:rsidR="00D4326C" w:rsidRDefault="00D4326C" w:rsidP="00D4326C"/>
    <w:p w14:paraId="7820DC96" w14:textId="77777777" w:rsidR="00D4326C" w:rsidRDefault="00D4326C" w:rsidP="00D4326C">
      <w:pPr>
        <w:pStyle w:val="QuestionSeparator"/>
      </w:pPr>
    </w:p>
    <w:p w14:paraId="1FBB6D4A" w14:textId="77777777" w:rsidR="00D4326C" w:rsidRDefault="00D4326C" w:rsidP="00D4326C">
      <w:pPr>
        <w:pStyle w:val="QDisplayLogic"/>
        <w:keepNext/>
      </w:pPr>
      <w:r>
        <w:t>Display This Question:</w:t>
      </w:r>
    </w:p>
    <w:p w14:paraId="745C8107" w14:textId="77777777" w:rsidR="00D4326C" w:rsidRDefault="00D4326C" w:rsidP="00D4326C">
      <w:pPr>
        <w:pStyle w:val="QDisplayLogic"/>
        <w:keepNext/>
        <w:ind w:firstLine="400"/>
      </w:pPr>
      <w:r>
        <w:t>If What is the average daily number of patients with diabetes you treat or provide care for? = Per day</w:t>
      </w:r>
    </w:p>
    <w:p w14:paraId="1BCEDEE2" w14:textId="77777777" w:rsidR="00D4326C" w:rsidRDefault="00D4326C" w:rsidP="00D4326C"/>
    <w:p w14:paraId="6A4948F5" w14:textId="77777777" w:rsidR="00D4326C" w:rsidRDefault="00D4326C" w:rsidP="00D4326C">
      <w:pPr>
        <w:keepNext/>
      </w:pPr>
      <w:r>
        <w:t xml:space="preserve">Spend. time </w:t>
      </w:r>
      <w:r>
        <w:br/>
        <w:t>What is the average duration of time you spend with a patient with diabetes?</w:t>
      </w:r>
    </w:p>
    <w:p w14:paraId="1880DC70" w14:textId="77777777" w:rsidR="00D4326C" w:rsidRDefault="00D4326C" w:rsidP="00D4326C">
      <w:pPr>
        <w:pStyle w:val="ListParagraph"/>
        <w:keepNext/>
        <w:numPr>
          <w:ilvl w:val="0"/>
          <w:numId w:val="18"/>
        </w:numPr>
        <w:contextualSpacing w:val="0"/>
      </w:pPr>
      <w:r>
        <w:t>mins ________________________________________________</w:t>
      </w:r>
    </w:p>
    <w:p w14:paraId="22956AB7" w14:textId="77777777" w:rsidR="00D4326C" w:rsidRDefault="00D4326C" w:rsidP="00D4326C">
      <w:pPr>
        <w:pStyle w:val="ListParagraph"/>
        <w:keepNext/>
        <w:numPr>
          <w:ilvl w:val="0"/>
          <w:numId w:val="18"/>
        </w:numPr>
        <w:contextualSpacing w:val="0"/>
      </w:pPr>
      <w:r>
        <w:t xml:space="preserve">Unsure </w:t>
      </w:r>
    </w:p>
    <w:p w14:paraId="592BA088" w14:textId="77777777" w:rsidR="00D4326C" w:rsidRDefault="00D4326C" w:rsidP="00D4326C"/>
    <w:p w14:paraId="79BA6821" w14:textId="77777777" w:rsidR="00D4326C" w:rsidRDefault="00D4326C" w:rsidP="00D4326C">
      <w:pPr>
        <w:pStyle w:val="QuestionSeparator"/>
      </w:pPr>
    </w:p>
    <w:p w14:paraId="7F39BB50" w14:textId="77777777" w:rsidR="00D4326C" w:rsidRDefault="00D4326C" w:rsidP="00D4326C">
      <w:pPr>
        <w:pStyle w:val="QDisplayLogic"/>
        <w:keepNext/>
      </w:pPr>
      <w:r>
        <w:t>Display This Question:</w:t>
      </w:r>
    </w:p>
    <w:p w14:paraId="64D3D9AE" w14:textId="77777777" w:rsidR="00D4326C" w:rsidRDefault="00D4326C" w:rsidP="00D4326C">
      <w:pPr>
        <w:pStyle w:val="QDisplayLogic"/>
        <w:keepNext/>
        <w:ind w:firstLine="400"/>
      </w:pPr>
      <w:r>
        <w:t>If What is your practice qualification? = Pharmacist</w:t>
      </w:r>
    </w:p>
    <w:p w14:paraId="2E52DE86" w14:textId="77777777" w:rsidR="00D4326C" w:rsidRDefault="00D4326C" w:rsidP="00D4326C">
      <w:pPr>
        <w:pStyle w:val="QDisplayLogic"/>
        <w:keepNext/>
        <w:ind w:firstLine="400"/>
      </w:pPr>
      <w:r>
        <w:t>Or What is your practice qualification? = Nurse</w:t>
      </w:r>
    </w:p>
    <w:p w14:paraId="3C2F8D40" w14:textId="77777777" w:rsidR="00D4326C" w:rsidRDefault="00D4326C" w:rsidP="00D4326C"/>
    <w:p w14:paraId="074AB089" w14:textId="77777777" w:rsidR="00D4326C" w:rsidRDefault="00D4326C" w:rsidP="00D4326C">
      <w:pPr>
        <w:keepNext/>
      </w:pPr>
      <w:r>
        <w:t>Q58 Have you had any training in diabetes management? </w:t>
      </w:r>
    </w:p>
    <w:p w14:paraId="57633AE7" w14:textId="77777777" w:rsidR="00D4326C" w:rsidRDefault="00D4326C" w:rsidP="00D4326C">
      <w:pPr>
        <w:pStyle w:val="ListParagraph"/>
        <w:keepNext/>
        <w:numPr>
          <w:ilvl w:val="0"/>
          <w:numId w:val="18"/>
        </w:numPr>
        <w:contextualSpacing w:val="0"/>
      </w:pPr>
      <w:r>
        <w:t xml:space="preserve">Yes </w:t>
      </w:r>
    </w:p>
    <w:p w14:paraId="14D7A688" w14:textId="77777777" w:rsidR="00D4326C" w:rsidRDefault="00D4326C" w:rsidP="00D4326C">
      <w:pPr>
        <w:pStyle w:val="ListParagraph"/>
        <w:keepNext/>
        <w:numPr>
          <w:ilvl w:val="0"/>
          <w:numId w:val="18"/>
        </w:numPr>
        <w:contextualSpacing w:val="0"/>
      </w:pPr>
      <w:r>
        <w:t xml:space="preserve">No </w:t>
      </w:r>
    </w:p>
    <w:p w14:paraId="301C777D" w14:textId="77777777" w:rsidR="00D4326C" w:rsidRDefault="00D4326C" w:rsidP="00D4326C"/>
    <w:p w14:paraId="4F20C635" w14:textId="77777777" w:rsidR="00D4326C" w:rsidRDefault="00D4326C" w:rsidP="00D4326C">
      <w:pPr>
        <w:pStyle w:val="QuestionSeparator"/>
      </w:pPr>
    </w:p>
    <w:p w14:paraId="3760CA41" w14:textId="77777777" w:rsidR="00D4326C" w:rsidRDefault="00D4326C" w:rsidP="00D4326C">
      <w:pPr>
        <w:pStyle w:val="QDisplayLogic"/>
        <w:keepNext/>
      </w:pPr>
      <w:r>
        <w:t>Display This Question:</w:t>
      </w:r>
    </w:p>
    <w:p w14:paraId="173BE1C7" w14:textId="77777777" w:rsidR="00D4326C" w:rsidRDefault="00D4326C" w:rsidP="00D4326C">
      <w:pPr>
        <w:pStyle w:val="QDisplayLogic"/>
        <w:keepNext/>
        <w:ind w:firstLine="400"/>
      </w:pPr>
      <w:r>
        <w:t>If What is your practice qualification? = Pharmacist</w:t>
      </w:r>
    </w:p>
    <w:p w14:paraId="6F5151AD" w14:textId="77777777" w:rsidR="00D4326C" w:rsidRDefault="00D4326C" w:rsidP="00D4326C">
      <w:pPr>
        <w:pStyle w:val="QDisplayLogic"/>
        <w:keepNext/>
        <w:ind w:firstLine="400"/>
      </w:pPr>
      <w:r>
        <w:t>Or What is your practice qualification? = Nurse</w:t>
      </w:r>
    </w:p>
    <w:p w14:paraId="1DB75781" w14:textId="77777777" w:rsidR="00D4326C" w:rsidRDefault="00D4326C" w:rsidP="00D4326C"/>
    <w:p w14:paraId="1DA4BADE" w14:textId="77777777" w:rsidR="00D4326C" w:rsidRDefault="00D4326C" w:rsidP="00D4326C">
      <w:pPr>
        <w:keepNext/>
      </w:pPr>
      <w:r>
        <w:t xml:space="preserve">Q60 </w:t>
      </w:r>
      <w:r>
        <w:br/>
        <w:t>What kind of training have you had? </w:t>
      </w:r>
    </w:p>
    <w:p w14:paraId="53A1A9AB" w14:textId="77777777" w:rsidR="00D4326C" w:rsidRDefault="00D4326C" w:rsidP="00D4326C">
      <w:pPr>
        <w:pStyle w:val="ListParagraph"/>
        <w:keepNext/>
        <w:numPr>
          <w:ilvl w:val="0"/>
          <w:numId w:val="18"/>
        </w:numPr>
        <w:contextualSpacing w:val="0"/>
      </w:pPr>
      <w:r>
        <w:t xml:space="preserve">Postgraduate qualification </w:t>
      </w:r>
    </w:p>
    <w:p w14:paraId="7BF6E8D9" w14:textId="77777777" w:rsidR="00D4326C" w:rsidRDefault="00D4326C" w:rsidP="00D4326C">
      <w:pPr>
        <w:pStyle w:val="ListParagraph"/>
        <w:keepNext/>
        <w:numPr>
          <w:ilvl w:val="0"/>
          <w:numId w:val="18"/>
        </w:numPr>
        <w:contextualSpacing w:val="0"/>
      </w:pPr>
      <w:r>
        <w:t xml:space="preserve">Continuing Professional Development (CPD) training (for example, short courses, online learning/E learning, CME hours) </w:t>
      </w:r>
    </w:p>
    <w:p w14:paraId="4A4FC3F8" w14:textId="77777777" w:rsidR="00D4326C" w:rsidRDefault="00D4326C" w:rsidP="00D4326C">
      <w:pPr>
        <w:pStyle w:val="ListParagraph"/>
        <w:keepNext/>
        <w:numPr>
          <w:ilvl w:val="0"/>
          <w:numId w:val="18"/>
        </w:numPr>
        <w:contextualSpacing w:val="0"/>
      </w:pPr>
      <w:r>
        <w:t>Other, please specify ________________________________________________</w:t>
      </w:r>
    </w:p>
    <w:p w14:paraId="711DD3BD" w14:textId="77777777" w:rsidR="00D4326C" w:rsidRDefault="00D4326C" w:rsidP="00D4326C"/>
    <w:p w14:paraId="2050E0EA" w14:textId="77777777" w:rsidR="00D4326C" w:rsidRDefault="00D4326C" w:rsidP="00D4326C">
      <w:pPr>
        <w:pStyle w:val="QuestionSeparator"/>
      </w:pPr>
    </w:p>
    <w:tbl>
      <w:tblPr>
        <w:tblW w:w="0" w:type="auto"/>
        <w:tblInd w:w="10" w:type="dxa"/>
        <w:tblCellMar>
          <w:left w:w="10" w:type="dxa"/>
          <w:right w:w="10" w:type="dxa"/>
        </w:tblCellMar>
        <w:tblLook w:val="04A0" w:firstRow="1" w:lastRow="0" w:firstColumn="1" w:lastColumn="0" w:noHBand="0" w:noVBand="1"/>
      </w:tblPr>
      <w:tblGrid>
        <w:gridCol w:w="1347"/>
        <w:gridCol w:w="8003"/>
      </w:tblGrid>
      <w:tr w:rsidR="00D4326C" w14:paraId="1A66452E" w14:textId="77777777" w:rsidTr="00282204">
        <w:trPr>
          <w:trHeight w:val="300"/>
        </w:trPr>
        <w:tc>
          <w:tcPr>
            <w:tcW w:w="1368" w:type="dxa"/>
            <w:tcBorders>
              <w:top w:val="nil"/>
              <w:left w:val="nil"/>
              <w:bottom w:val="nil"/>
              <w:right w:val="nil"/>
            </w:tcBorders>
          </w:tcPr>
          <w:p w14:paraId="59D1302C" w14:textId="77777777" w:rsidR="00D4326C" w:rsidRDefault="00D4326C" w:rsidP="00282204">
            <w:pPr>
              <w:rPr>
                <w:color w:val="CCCCCC"/>
              </w:rPr>
            </w:pPr>
            <w:r>
              <w:rPr>
                <w:color w:val="CCCCCC"/>
              </w:rPr>
              <w:t>Page Break</w:t>
            </w:r>
          </w:p>
        </w:tc>
        <w:tc>
          <w:tcPr>
            <w:tcW w:w="8208" w:type="dxa"/>
            <w:tcBorders>
              <w:top w:val="nil"/>
              <w:left w:val="nil"/>
              <w:bottom w:val="nil"/>
              <w:right w:val="nil"/>
            </w:tcBorders>
          </w:tcPr>
          <w:p w14:paraId="4931E68B" w14:textId="77777777" w:rsidR="00D4326C" w:rsidRDefault="00D4326C" w:rsidP="00282204">
            <w:pPr>
              <w:pBdr>
                <w:top w:val="single" w:sz="8" w:space="0" w:color="CCCCCC"/>
              </w:pBdr>
              <w:spacing w:before="120" w:after="120" w:line="120" w:lineRule="auto"/>
              <w:jc w:val="center"/>
              <w:rPr>
                <w:color w:val="CCCCCC"/>
              </w:rPr>
            </w:pPr>
          </w:p>
        </w:tc>
      </w:tr>
    </w:tbl>
    <w:p w14:paraId="6078B1A7" w14:textId="77777777" w:rsidR="00D4326C" w:rsidRDefault="00D4326C" w:rsidP="00D4326C">
      <w:r>
        <w:br w:type="page"/>
      </w:r>
    </w:p>
    <w:p w14:paraId="11443980" w14:textId="77777777" w:rsidR="00D4326C" w:rsidRDefault="00D4326C" w:rsidP="00D4326C">
      <w:pPr>
        <w:pStyle w:val="BlockEndLabel"/>
      </w:pPr>
      <w:r>
        <w:t>End of Block: Demographic Characteristics</w:t>
      </w:r>
    </w:p>
    <w:p w14:paraId="015E9136" w14:textId="77777777" w:rsidR="00D4326C" w:rsidRDefault="00D4326C" w:rsidP="00D4326C">
      <w:pPr>
        <w:pStyle w:val="BlockSeparator"/>
      </w:pPr>
    </w:p>
    <w:p w14:paraId="23F57074" w14:textId="77777777" w:rsidR="00D4326C" w:rsidRDefault="00D4326C" w:rsidP="00D4326C">
      <w:pPr>
        <w:pStyle w:val="BlockStartLabel"/>
      </w:pPr>
      <w:r>
        <w:t>Start of Block: Pharmaceutical Care Services Provided to Patients with Diabetes</w:t>
      </w:r>
    </w:p>
    <w:p w14:paraId="19E7CF96" w14:textId="77777777" w:rsidR="00D4326C" w:rsidRDefault="00D4326C" w:rsidP="00D4326C">
      <w:pPr>
        <w:pStyle w:val="QDisplayLogic"/>
        <w:keepNext/>
      </w:pPr>
      <w:r>
        <w:t>Display This Question:</w:t>
      </w:r>
    </w:p>
    <w:p w14:paraId="6D136A5E" w14:textId="77777777" w:rsidR="00D4326C" w:rsidRDefault="00D4326C" w:rsidP="00D4326C">
      <w:pPr>
        <w:pStyle w:val="QDisplayLogic"/>
        <w:keepNext/>
        <w:ind w:firstLine="400"/>
      </w:pPr>
      <w:r>
        <w:t>If What is your practice qualification? = Pharmacist</w:t>
      </w:r>
    </w:p>
    <w:p w14:paraId="1CE49B8A" w14:textId="77777777" w:rsidR="00D4326C" w:rsidRDefault="00D4326C" w:rsidP="00D4326C"/>
    <w:p w14:paraId="092FB0E9" w14:textId="77777777" w:rsidR="00D4326C" w:rsidRDefault="00D4326C" w:rsidP="00D4326C">
      <w:pPr>
        <w:keepNext/>
      </w:pPr>
      <w:r>
        <w:t xml:space="preserve">PharmaCare    </w:t>
      </w:r>
      <w:r>
        <w:rPr>
          <w:b/>
        </w:rPr>
        <w:t>Pharmaceutical Care Services Provided to Patients with Diabetes</w:t>
      </w:r>
      <w:r>
        <w:t xml:space="preserve">  </w:t>
      </w:r>
      <w:r>
        <w:br/>
        <w:t xml:space="preserve"> This section will help us to understand the services provided by primary care pharmacists in Saudi Arabia.  </w:t>
      </w:r>
      <w:r>
        <w:br/>
        <w:t xml:space="preserve"> It is important to answer every question to know whether you have ever provided the following types of service to patients with diabetes in your practice. This could be current or past practice. Descriptions of specific activities are provided to illustrate the types.   </w:t>
      </w:r>
    </w:p>
    <w:p w14:paraId="05A2A1D5" w14:textId="77777777" w:rsidR="00D4326C" w:rsidRDefault="00D4326C" w:rsidP="00D4326C"/>
    <w:p w14:paraId="4B270AEC" w14:textId="77777777" w:rsidR="00D4326C" w:rsidRDefault="00D4326C" w:rsidP="00D4326C">
      <w:pPr>
        <w:pStyle w:val="QuestionSeparator"/>
      </w:pPr>
    </w:p>
    <w:p w14:paraId="33DACF76" w14:textId="77777777" w:rsidR="00D4326C" w:rsidRDefault="00D4326C" w:rsidP="00D4326C">
      <w:pPr>
        <w:pStyle w:val="QDisplayLogic"/>
        <w:keepNext/>
      </w:pPr>
      <w:r>
        <w:t>Display This Question:</w:t>
      </w:r>
    </w:p>
    <w:p w14:paraId="6C559F88" w14:textId="77777777" w:rsidR="00D4326C" w:rsidRDefault="00D4326C" w:rsidP="00D4326C">
      <w:pPr>
        <w:pStyle w:val="QDisplayLogic"/>
        <w:keepNext/>
        <w:ind w:firstLine="400"/>
      </w:pPr>
      <w:r>
        <w:t>If What is your practice qualification? = Pharmacist</w:t>
      </w:r>
    </w:p>
    <w:p w14:paraId="2BD6110E" w14:textId="77777777" w:rsidR="00D4326C" w:rsidRDefault="00D4326C" w:rsidP="00D4326C"/>
    <w:p w14:paraId="4E59083F" w14:textId="77777777" w:rsidR="00D4326C" w:rsidRDefault="00D4326C" w:rsidP="00D4326C">
      <w:pPr>
        <w:keepNext/>
      </w:pPr>
      <w:r>
        <w:t xml:space="preserve">Q1 </w:t>
      </w:r>
      <w:r>
        <w:rPr>
          <w:b/>
        </w:rPr>
        <w:t xml:space="preserve">Medication Therapy Management </w:t>
      </w:r>
      <w:r>
        <w:br/>
        <w:t xml:space="preserve"> (for example, managing patients’ treatment, including diabetes medication dose or frequency adjustments, medication addition or alteration, ordering laboratory tests, seeing patients regularly)</w:t>
      </w:r>
    </w:p>
    <w:p w14:paraId="489E41A3" w14:textId="77777777" w:rsidR="00D4326C" w:rsidRDefault="00D4326C" w:rsidP="00D4326C">
      <w:pPr>
        <w:pStyle w:val="ListParagraph"/>
        <w:keepNext/>
        <w:numPr>
          <w:ilvl w:val="0"/>
          <w:numId w:val="18"/>
        </w:numPr>
        <w:contextualSpacing w:val="0"/>
      </w:pPr>
      <w:r>
        <w:t xml:space="preserve">Never </w:t>
      </w:r>
    </w:p>
    <w:p w14:paraId="7A48E181" w14:textId="77777777" w:rsidR="00D4326C" w:rsidRDefault="00D4326C" w:rsidP="00D4326C">
      <w:pPr>
        <w:pStyle w:val="ListParagraph"/>
        <w:keepNext/>
        <w:numPr>
          <w:ilvl w:val="0"/>
          <w:numId w:val="18"/>
        </w:numPr>
        <w:contextualSpacing w:val="0"/>
      </w:pPr>
      <w:r>
        <w:t xml:space="preserve">Rarely </w:t>
      </w:r>
    </w:p>
    <w:p w14:paraId="59000327" w14:textId="77777777" w:rsidR="00D4326C" w:rsidRDefault="00D4326C" w:rsidP="00D4326C">
      <w:pPr>
        <w:pStyle w:val="ListParagraph"/>
        <w:keepNext/>
        <w:numPr>
          <w:ilvl w:val="0"/>
          <w:numId w:val="18"/>
        </w:numPr>
        <w:contextualSpacing w:val="0"/>
      </w:pPr>
      <w:r>
        <w:t xml:space="preserve">Sometimes </w:t>
      </w:r>
    </w:p>
    <w:p w14:paraId="7085E195" w14:textId="77777777" w:rsidR="00D4326C" w:rsidRDefault="00D4326C" w:rsidP="00D4326C">
      <w:pPr>
        <w:pStyle w:val="ListParagraph"/>
        <w:keepNext/>
        <w:numPr>
          <w:ilvl w:val="0"/>
          <w:numId w:val="18"/>
        </w:numPr>
        <w:contextualSpacing w:val="0"/>
      </w:pPr>
      <w:r>
        <w:t xml:space="preserve">Often </w:t>
      </w:r>
    </w:p>
    <w:p w14:paraId="5B2BF8FA" w14:textId="77777777" w:rsidR="00D4326C" w:rsidRDefault="00D4326C" w:rsidP="00D4326C">
      <w:pPr>
        <w:pStyle w:val="ListParagraph"/>
        <w:keepNext/>
        <w:numPr>
          <w:ilvl w:val="0"/>
          <w:numId w:val="18"/>
        </w:numPr>
        <w:contextualSpacing w:val="0"/>
      </w:pPr>
      <w:r>
        <w:t xml:space="preserve">Always </w:t>
      </w:r>
    </w:p>
    <w:p w14:paraId="40FB85BB" w14:textId="77777777" w:rsidR="00D4326C" w:rsidRDefault="00D4326C" w:rsidP="00D4326C"/>
    <w:p w14:paraId="0C463AE4" w14:textId="77777777" w:rsidR="00D4326C" w:rsidRDefault="00D4326C" w:rsidP="00D4326C">
      <w:pPr>
        <w:pStyle w:val="QuestionSeparator"/>
      </w:pPr>
    </w:p>
    <w:p w14:paraId="7D4DFC24" w14:textId="77777777" w:rsidR="00D4326C" w:rsidRDefault="00D4326C" w:rsidP="00D4326C">
      <w:pPr>
        <w:pStyle w:val="QDisplayLogic"/>
        <w:keepNext/>
      </w:pPr>
      <w:r>
        <w:t>Display This Question:</w:t>
      </w:r>
    </w:p>
    <w:p w14:paraId="33CEDD93" w14:textId="77777777" w:rsidR="00D4326C" w:rsidRDefault="00D4326C" w:rsidP="00D4326C">
      <w:pPr>
        <w:pStyle w:val="QDisplayLogic"/>
        <w:keepNext/>
        <w:ind w:firstLine="400"/>
      </w:pPr>
      <w:r>
        <w:t>If What is your practice qualification? = Pharmacist</w:t>
      </w:r>
    </w:p>
    <w:p w14:paraId="22172AD8" w14:textId="77777777" w:rsidR="00D4326C" w:rsidRDefault="00D4326C" w:rsidP="00D4326C"/>
    <w:p w14:paraId="6DD35D28" w14:textId="77777777" w:rsidR="00D4326C" w:rsidRDefault="00D4326C" w:rsidP="00D4326C">
      <w:pPr>
        <w:keepNext/>
      </w:pPr>
      <w:r>
        <w:t xml:space="preserve">Q2 </w:t>
      </w:r>
      <w:r>
        <w:rPr>
          <w:b/>
        </w:rPr>
        <w:t>Medication Review</w:t>
      </w:r>
      <w:r>
        <w:br/>
        <w:t xml:space="preserve"> (for example, conducting a drug history, monitoring patient’s adherence, reviewing patient’s medications and offering suggestions to physicians to help the patient reach management plan targets) </w:t>
      </w:r>
    </w:p>
    <w:p w14:paraId="60A9CCAD" w14:textId="77777777" w:rsidR="00D4326C" w:rsidRDefault="00D4326C" w:rsidP="00D4326C">
      <w:pPr>
        <w:pStyle w:val="ListParagraph"/>
        <w:keepNext/>
        <w:numPr>
          <w:ilvl w:val="0"/>
          <w:numId w:val="18"/>
        </w:numPr>
        <w:contextualSpacing w:val="0"/>
      </w:pPr>
      <w:r>
        <w:t xml:space="preserve">Never </w:t>
      </w:r>
    </w:p>
    <w:p w14:paraId="6D1E0081" w14:textId="77777777" w:rsidR="00D4326C" w:rsidRDefault="00D4326C" w:rsidP="00D4326C">
      <w:pPr>
        <w:pStyle w:val="ListParagraph"/>
        <w:keepNext/>
        <w:numPr>
          <w:ilvl w:val="0"/>
          <w:numId w:val="18"/>
        </w:numPr>
        <w:contextualSpacing w:val="0"/>
      </w:pPr>
      <w:r>
        <w:t xml:space="preserve">Rarely </w:t>
      </w:r>
    </w:p>
    <w:p w14:paraId="33065824" w14:textId="77777777" w:rsidR="00D4326C" w:rsidRDefault="00D4326C" w:rsidP="00D4326C">
      <w:pPr>
        <w:pStyle w:val="ListParagraph"/>
        <w:keepNext/>
        <w:numPr>
          <w:ilvl w:val="0"/>
          <w:numId w:val="18"/>
        </w:numPr>
        <w:contextualSpacing w:val="0"/>
      </w:pPr>
      <w:r>
        <w:t xml:space="preserve">Sometimes </w:t>
      </w:r>
    </w:p>
    <w:p w14:paraId="1570198C" w14:textId="77777777" w:rsidR="00D4326C" w:rsidRDefault="00D4326C" w:rsidP="00D4326C">
      <w:pPr>
        <w:pStyle w:val="ListParagraph"/>
        <w:keepNext/>
        <w:numPr>
          <w:ilvl w:val="0"/>
          <w:numId w:val="18"/>
        </w:numPr>
        <w:contextualSpacing w:val="0"/>
      </w:pPr>
      <w:r>
        <w:t xml:space="preserve">Often </w:t>
      </w:r>
    </w:p>
    <w:p w14:paraId="0890D9BE" w14:textId="77777777" w:rsidR="00D4326C" w:rsidRDefault="00D4326C" w:rsidP="00D4326C">
      <w:pPr>
        <w:pStyle w:val="ListParagraph"/>
        <w:keepNext/>
        <w:numPr>
          <w:ilvl w:val="0"/>
          <w:numId w:val="18"/>
        </w:numPr>
        <w:contextualSpacing w:val="0"/>
      </w:pPr>
      <w:r>
        <w:t xml:space="preserve">Always </w:t>
      </w:r>
    </w:p>
    <w:p w14:paraId="37FE053F" w14:textId="77777777" w:rsidR="00D4326C" w:rsidRDefault="00D4326C" w:rsidP="00D4326C"/>
    <w:p w14:paraId="271C16B5" w14:textId="77777777" w:rsidR="00D4326C" w:rsidRDefault="00D4326C" w:rsidP="00D4326C">
      <w:pPr>
        <w:pStyle w:val="QuestionSeparator"/>
      </w:pPr>
    </w:p>
    <w:p w14:paraId="7B9FE8E7" w14:textId="77777777" w:rsidR="00D4326C" w:rsidRDefault="00D4326C" w:rsidP="00D4326C">
      <w:pPr>
        <w:pStyle w:val="QDisplayLogic"/>
        <w:keepNext/>
      </w:pPr>
      <w:r>
        <w:t>Display This Question:</w:t>
      </w:r>
    </w:p>
    <w:p w14:paraId="40B6ED3D" w14:textId="77777777" w:rsidR="00D4326C" w:rsidRDefault="00D4326C" w:rsidP="00D4326C">
      <w:pPr>
        <w:pStyle w:val="QDisplayLogic"/>
        <w:keepNext/>
        <w:ind w:firstLine="400"/>
      </w:pPr>
      <w:r>
        <w:t>If What is your practice qualification? = Pharmacist</w:t>
      </w:r>
    </w:p>
    <w:p w14:paraId="44B818CC" w14:textId="77777777" w:rsidR="00D4326C" w:rsidRDefault="00D4326C" w:rsidP="00D4326C"/>
    <w:p w14:paraId="659C2991" w14:textId="77777777" w:rsidR="00D4326C" w:rsidRDefault="00D4326C" w:rsidP="00D4326C">
      <w:pPr>
        <w:keepNext/>
      </w:pPr>
      <w:r>
        <w:t xml:space="preserve">Q3 </w:t>
      </w:r>
      <w:r>
        <w:rPr>
          <w:b/>
        </w:rPr>
        <w:t>Co-Morbid Disease Education</w:t>
      </w:r>
      <w:r>
        <w:t>   (for example, providing information and counselling to patients on the importance of controlling blood pressure in diabetes, diabetes foot care, regular screening for nephropathy, neuropathy and retinopathy)</w:t>
      </w:r>
    </w:p>
    <w:p w14:paraId="32F38940" w14:textId="77777777" w:rsidR="00D4326C" w:rsidRDefault="00D4326C" w:rsidP="00D4326C">
      <w:pPr>
        <w:pStyle w:val="ListParagraph"/>
        <w:keepNext/>
        <w:numPr>
          <w:ilvl w:val="0"/>
          <w:numId w:val="18"/>
        </w:numPr>
        <w:contextualSpacing w:val="0"/>
      </w:pPr>
      <w:r>
        <w:t xml:space="preserve">Never </w:t>
      </w:r>
    </w:p>
    <w:p w14:paraId="43E53377" w14:textId="77777777" w:rsidR="00D4326C" w:rsidRDefault="00D4326C" w:rsidP="00D4326C">
      <w:pPr>
        <w:pStyle w:val="ListParagraph"/>
        <w:keepNext/>
        <w:numPr>
          <w:ilvl w:val="0"/>
          <w:numId w:val="18"/>
        </w:numPr>
        <w:contextualSpacing w:val="0"/>
      </w:pPr>
      <w:r>
        <w:t xml:space="preserve">Rarely </w:t>
      </w:r>
    </w:p>
    <w:p w14:paraId="4AF4468E" w14:textId="77777777" w:rsidR="00D4326C" w:rsidRDefault="00D4326C" w:rsidP="00D4326C">
      <w:pPr>
        <w:pStyle w:val="ListParagraph"/>
        <w:keepNext/>
        <w:numPr>
          <w:ilvl w:val="0"/>
          <w:numId w:val="18"/>
        </w:numPr>
        <w:contextualSpacing w:val="0"/>
      </w:pPr>
      <w:r>
        <w:t xml:space="preserve">Sometimes  </w:t>
      </w:r>
    </w:p>
    <w:p w14:paraId="184385C3" w14:textId="77777777" w:rsidR="00D4326C" w:rsidRDefault="00D4326C" w:rsidP="00D4326C">
      <w:pPr>
        <w:pStyle w:val="ListParagraph"/>
        <w:keepNext/>
        <w:numPr>
          <w:ilvl w:val="0"/>
          <w:numId w:val="18"/>
        </w:numPr>
        <w:contextualSpacing w:val="0"/>
      </w:pPr>
      <w:r>
        <w:t xml:space="preserve">Often </w:t>
      </w:r>
    </w:p>
    <w:p w14:paraId="716F4AF3" w14:textId="77777777" w:rsidR="00D4326C" w:rsidRDefault="00D4326C" w:rsidP="00D4326C">
      <w:pPr>
        <w:pStyle w:val="ListParagraph"/>
        <w:keepNext/>
        <w:numPr>
          <w:ilvl w:val="0"/>
          <w:numId w:val="18"/>
        </w:numPr>
        <w:contextualSpacing w:val="0"/>
      </w:pPr>
      <w:r>
        <w:t xml:space="preserve">Always  </w:t>
      </w:r>
    </w:p>
    <w:p w14:paraId="559B468F" w14:textId="77777777" w:rsidR="00D4326C" w:rsidRDefault="00D4326C" w:rsidP="00D4326C"/>
    <w:p w14:paraId="40EEC693" w14:textId="77777777" w:rsidR="00D4326C" w:rsidRDefault="00D4326C" w:rsidP="00D4326C">
      <w:pPr>
        <w:pStyle w:val="QuestionSeparator"/>
      </w:pPr>
    </w:p>
    <w:p w14:paraId="2344BB16" w14:textId="77777777" w:rsidR="00D4326C" w:rsidRDefault="00D4326C" w:rsidP="00D4326C">
      <w:pPr>
        <w:pStyle w:val="QDisplayLogic"/>
        <w:keepNext/>
      </w:pPr>
      <w:r>
        <w:t>Display This Question:</w:t>
      </w:r>
    </w:p>
    <w:p w14:paraId="1ECA11FC" w14:textId="77777777" w:rsidR="00D4326C" w:rsidRDefault="00D4326C" w:rsidP="00D4326C">
      <w:pPr>
        <w:pStyle w:val="QDisplayLogic"/>
        <w:keepNext/>
        <w:ind w:firstLine="400"/>
      </w:pPr>
      <w:r>
        <w:t>If What is your practice qualification? = Pharmacist</w:t>
      </w:r>
    </w:p>
    <w:p w14:paraId="4920C5F7" w14:textId="77777777" w:rsidR="00D4326C" w:rsidRDefault="00D4326C" w:rsidP="00D4326C"/>
    <w:p w14:paraId="09577145" w14:textId="77777777" w:rsidR="00D4326C" w:rsidRDefault="00D4326C" w:rsidP="00D4326C">
      <w:pPr>
        <w:keepNext/>
      </w:pPr>
      <w:r>
        <w:t xml:space="preserve">Q4 </w:t>
      </w:r>
      <w:r>
        <w:rPr>
          <w:b/>
        </w:rPr>
        <w:t>Co-Morbid Disease Medication Management</w:t>
      </w:r>
      <w:r>
        <w:br/>
        <w:t xml:space="preserve"> (for example, analysing patient’s treatment, considering treatment in the context of the patient’s underlying condition and symptoms and providing recommendations for changes to treatment to the treating physician when necessary)</w:t>
      </w:r>
    </w:p>
    <w:p w14:paraId="7AA1240D" w14:textId="77777777" w:rsidR="00D4326C" w:rsidRDefault="00D4326C" w:rsidP="00D4326C">
      <w:pPr>
        <w:pStyle w:val="ListParagraph"/>
        <w:keepNext/>
        <w:numPr>
          <w:ilvl w:val="0"/>
          <w:numId w:val="18"/>
        </w:numPr>
        <w:contextualSpacing w:val="0"/>
      </w:pPr>
      <w:r>
        <w:t xml:space="preserve">Never </w:t>
      </w:r>
    </w:p>
    <w:p w14:paraId="12F10B93" w14:textId="77777777" w:rsidR="00D4326C" w:rsidRDefault="00D4326C" w:rsidP="00D4326C">
      <w:pPr>
        <w:pStyle w:val="ListParagraph"/>
        <w:keepNext/>
        <w:numPr>
          <w:ilvl w:val="0"/>
          <w:numId w:val="18"/>
        </w:numPr>
        <w:contextualSpacing w:val="0"/>
      </w:pPr>
      <w:r>
        <w:t xml:space="preserve">Rarely </w:t>
      </w:r>
    </w:p>
    <w:p w14:paraId="4455BBD4" w14:textId="77777777" w:rsidR="00D4326C" w:rsidRDefault="00D4326C" w:rsidP="00D4326C">
      <w:pPr>
        <w:pStyle w:val="ListParagraph"/>
        <w:keepNext/>
        <w:numPr>
          <w:ilvl w:val="0"/>
          <w:numId w:val="18"/>
        </w:numPr>
        <w:contextualSpacing w:val="0"/>
      </w:pPr>
      <w:r>
        <w:t xml:space="preserve">Sometimes  </w:t>
      </w:r>
    </w:p>
    <w:p w14:paraId="28137B0D" w14:textId="77777777" w:rsidR="00D4326C" w:rsidRDefault="00D4326C" w:rsidP="00D4326C">
      <w:pPr>
        <w:pStyle w:val="ListParagraph"/>
        <w:keepNext/>
        <w:numPr>
          <w:ilvl w:val="0"/>
          <w:numId w:val="18"/>
        </w:numPr>
        <w:contextualSpacing w:val="0"/>
      </w:pPr>
      <w:r>
        <w:t xml:space="preserve">Often </w:t>
      </w:r>
    </w:p>
    <w:p w14:paraId="0E645CB2" w14:textId="77777777" w:rsidR="00D4326C" w:rsidRDefault="00D4326C" w:rsidP="00D4326C">
      <w:pPr>
        <w:pStyle w:val="ListParagraph"/>
        <w:keepNext/>
        <w:numPr>
          <w:ilvl w:val="0"/>
          <w:numId w:val="18"/>
        </w:numPr>
        <w:contextualSpacing w:val="0"/>
      </w:pPr>
      <w:r>
        <w:t xml:space="preserve">Always  </w:t>
      </w:r>
    </w:p>
    <w:p w14:paraId="3B44CA44" w14:textId="77777777" w:rsidR="00D4326C" w:rsidRDefault="00D4326C" w:rsidP="00D4326C"/>
    <w:p w14:paraId="591075FB" w14:textId="77777777" w:rsidR="00D4326C" w:rsidRDefault="00D4326C" w:rsidP="00D4326C">
      <w:pPr>
        <w:pStyle w:val="QuestionSeparator"/>
      </w:pPr>
    </w:p>
    <w:p w14:paraId="678B11DF" w14:textId="77777777" w:rsidR="00D4326C" w:rsidRDefault="00D4326C" w:rsidP="00D4326C">
      <w:pPr>
        <w:pStyle w:val="QDisplayLogic"/>
        <w:keepNext/>
      </w:pPr>
      <w:r>
        <w:t>Display This Question:</w:t>
      </w:r>
    </w:p>
    <w:p w14:paraId="5D39833C" w14:textId="77777777" w:rsidR="00D4326C" w:rsidRDefault="00D4326C" w:rsidP="00D4326C">
      <w:pPr>
        <w:pStyle w:val="QDisplayLogic"/>
        <w:keepNext/>
        <w:ind w:firstLine="400"/>
      </w:pPr>
      <w:r>
        <w:t>If What is your practice qualification? = Pharmacist</w:t>
      </w:r>
    </w:p>
    <w:p w14:paraId="026C6BDE" w14:textId="77777777" w:rsidR="00D4326C" w:rsidRDefault="00D4326C" w:rsidP="00D4326C"/>
    <w:p w14:paraId="1472D9AD" w14:textId="77777777" w:rsidR="00D4326C" w:rsidRDefault="00D4326C" w:rsidP="00D4326C">
      <w:pPr>
        <w:keepNext/>
      </w:pPr>
      <w:r>
        <w:t xml:space="preserve">Q5 </w:t>
      </w:r>
      <w:r>
        <w:rPr>
          <w:b/>
        </w:rPr>
        <w:t xml:space="preserve">Blood Glucose Monitoring </w:t>
      </w:r>
      <w:r>
        <w:br/>
        <w:t xml:space="preserve"> (for example,</w:t>
      </w:r>
      <w:r>
        <w:rPr>
          <w:b/>
        </w:rPr>
        <w:t xml:space="preserve"> </w:t>
      </w:r>
      <w:r>
        <w:t xml:space="preserve">counselling on the use of a blood glucose meter, the appropriate times to check blood glucose, the current treatment targets for blood glucose and the interpretation of HbA1c results) </w:t>
      </w:r>
    </w:p>
    <w:p w14:paraId="151573E8" w14:textId="77777777" w:rsidR="00D4326C" w:rsidRDefault="00D4326C" w:rsidP="00D4326C">
      <w:pPr>
        <w:pStyle w:val="ListParagraph"/>
        <w:keepNext/>
        <w:numPr>
          <w:ilvl w:val="0"/>
          <w:numId w:val="18"/>
        </w:numPr>
        <w:contextualSpacing w:val="0"/>
      </w:pPr>
      <w:r>
        <w:t xml:space="preserve">Never </w:t>
      </w:r>
    </w:p>
    <w:p w14:paraId="730C3C48" w14:textId="77777777" w:rsidR="00D4326C" w:rsidRDefault="00D4326C" w:rsidP="00D4326C">
      <w:pPr>
        <w:pStyle w:val="ListParagraph"/>
        <w:keepNext/>
        <w:numPr>
          <w:ilvl w:val="0"/>
          <w:numId w:val="18"/>
        </w:numPr>
        <w:contextualSpacing w:val="0"/>
      </w:pPr>
      <w:r>
        <w:t xml:space="preserve">Rarely </w:t>
      </w:r>
    </w:p>
    <w:p w14:paraId="37718E6B" w14:textId="77777777" w:rsidR="00D4326C" w:rsidRDefault="00D4326C" w:rsidP="00D4326C">
      <w:pPr>
        <w:pStyle w:val="ListParagraph"/>
        <w:keepNext/>
        <w:numPr>
          <w:ilvl w:val="0"/>
          <w:numId w:val="18"/>
        </w:numPr>
        <w:contextualSpacing w:val="0"/>
      </w:pPr>
      <w:r>
        <w:t xml:space="preserve">Sometimes  </w:t>
      </w:r>
    </w:p>
    <w:p w14:paraId="1A7166E1" w14:textId="77777777" w:rsidR="00D4326C" w:rsidRDefault="00D4326C" w:rsidP="00D4326C">
      <w:pPr>
        <w:pStyle w:val="ListParagraph"/>
        <w:keepNext/>
        <w:numPr>
          <w:ilvl w:val="0"/>
          <w:numId w:val="18"/>
        </w:numPr>
        <w:contextualSpacing w:val="0"/>
      </w:pPr>
      <w:r>
        <w:t xml:space="preserve">Often </w:t>
      </w:r>
    </w:p>
    <w:p w14:paraId="0B848E92" w14:textId="77777777" w:rsidR="00D4326C" w:rsidRDefault="00D4326C" w:rsidP="00D4326C">
      <w:pPr>
        <w:pStyle w:val="ListParagraph"/>
        <w:keepNext/>
        <w:numPr>
          <w:ilvl w:val="0"/>
          <w:numId w:val="18"/>
        </w:numPr>
        <w:contextualSpacing w:val="0"/>
      </w:pPr>
      <w:r>
        <w:t xml:space="preserve">Always  </w:t>
      </w:r>
    </w:p>
    <w:p w14:paraId="775E3FCB" w14:textId="77777777" w:rsidR="00D4326C" w:rsidRDefault="00D4326C" w:rsidP="00D4326C"/>
    <w:p w14:paraId="75C236E5" w14:textId="77777777" w:rsidR="00D4326C" w:rsidRDefault="00D4326C" w:rsidP="00D4326C">
      <w:pPr>
        <w:pStyle w:val="QuestionSeparator"/>
      </w:pPr>
    </w:p>
    <w:p w14:paraId="36C0DB9D" w14:textId="77777777" w:rsidR="00D4326C" w:rsidRDefault="00D4326C" w:rsidP="00D4326C">
      <w:pPr>
        <w:pStyle w:val="QDisplayLogic"/>
        <w:keepNext/>
      </w:pPr>
      <w:r>
        <w:t>Display This Question:</w:t>
      </w:r>
    </w:p>
    <w:p w14:paraId="1FB5E995" w14:textId="77777777" w:rsidR="00D4326C" w:rsidRDefault="00D4326C" w:rsidP="00D4326C">
      <w:pPr>
        <w:pStyle w:val="QDisplayLogic"/>
        <w:keepNext/>
        <w:ind w:firstLine="400"/>
      </w:pPr>
      <w:r>
        <w:t>If What is your practice qualification? = Pharmacist</w:t>
      </w:r>
    </w:p>
    <w:p w14:paraId="20CEC0EA" w14:textId="77777777" w:rsidR="00D4326C" w:rsidRDefault="00D4326C" w:rsidP="00D4326C"/>
    <w:p w14:paraId="36CB84EF" w14:textId="77777777" w:rsidR="00D4326C" w:rsidRDefault="00D4326C" w:rsidP="00D4326C">
      <w:pPr>
        <w:keepNext/>
      </w:pPr>
      <w:r>
        <w:t xml:space="preserve">Q6 </w:t>
      </w:r>
      <w:r>
        <w:rPr>
          <w:b/>
        </w:rPr>
        <w:t xml:space="preserve">Hypoglycemia Management </w:t>
      </w:r>
      <w:r>
        <w:br/>
        <w:t xml:space="preserve"> (for example,</w:t>
      </w:r>
      <w:r>
        <w:rPr>
          <w:b/>
        </w:rPr>
        <w:t xml:space="preserve"> </w:t>
      </w:r>
      <w:r>
        <w:t>counselling on signs and symptoms of hypoglycemia, identifying possible causes of hypoglycemia and providing recommendations for treatment of hypoglycemia to the patient)</w:t>
      </w:r>
    </w:p>
    <w:p w14:paraId="38B799F2" w14:textId="77777777" w:rsidR="00D4326C" w:rsidRDefault="00D4326C" w:rsidP="00D4326C">
      <w:pPr>
        <w:pStyle w:val="ListParagraph"/>
        <w:keepNext/>
        <w:numPr>
          <w:ilvl w:val="0"/>
          <w:numId w:val="18"/>
        </w:numPr>
        <w:contextualSpacing w:val="0"/>
      </w:pPr>
      <w:r>
        <w:t xml:space="preserve">Never </w:t>
      </w:r>
    </w:p>
    <w:p w14:paraId="76999993" w14:textId="77777777" w:rsidR="00D4326C" w:rsidRDefault="00D4326C" w:rsidP="00D4326C">
      <w:pPr>
        <w:pStyle w:val="ListParagraph"/>
        <w:keepNext/>
        <w:numPr>
          <w:ilvl w:val="0"/>
          <w:numId w:val="18"/>
        </w:numPr>
        <w:contextualSpacing w:val="0"/>
      </w:pPr>
      <w:r>
        <w:t xml:space="preserve">Rarely </w:t>
      </w:r>
    </w:p>
    <w:p w14:paraId="7DA5933C" w14:textId="77777777" w:rsidR="00D4326C" w:rsidRDefault="00D4326C" w:rsidP="00D4326C">
      <w:pPr>
        <w:pStyle w:val="ListParagraph"/>
        <w:keepNext/>
        <w:numPr>
          <w:ilvl w:val="0"/>
          <w:numId w:val="18"/>
        </w:numPr>
        <w:contextualSpacing w:val="0"/>
      </w:pPr>
      <w:r>
        <w:t xml:space="preserve">Sometimes  </w:t>
      </w:r>
    </w:p>
    <w:p w14:paraId="540E684C" w14:textId="77777777" w:rsidR="00D4326C" w:rsidRDefault="00D4326C" w:rsidP="00D4326C">
      <w:pPr>
        <w:pStyle w:val="ListParagraph"/>
        <w:keepNext/>
        <w:numPr>
          <w:ilvl w:val="0"/>
          <w:numId w:val="18"/>
        </w:numPr>
        <w:contextualSpacing w:val="0"/>
      </w:pPr>
      <w:r>
        <w:t xml:space="preserve">Often </w:t>
      </w:r>
    </w:p>
    <w:p w14:paraId="47C3FD0E" w14:textId="77777777" w:rsidR="00D4326C" w:rsidRDefault="00D4326C" w:rsidP="00D4326C">
      <w:pPr>
        <w:pStyle w:val="ListParagraph"/>
        <w:keepNext/>
        <w:numPr>
          <w:ilvl w:val="0"/>
          <w:numId w:val="18"/>
        </w:numPr>
        <w:contextualSpacing w:val="0"/>
      </w:pPr>
      <w:r>
        <w:t xml:space="preserve">Always  </w:t>
      </w:r>
    </w:p>
    <w:p w14:paraId="44CFECEF" w14:textId="77777777" w:rsidR="00D4326C" w:rsidRDefault="00D4326C" w:rsidP="00D4326C"/>
    <w:p w14:paraId="77C16769" w14:textId="77777777" w:rsidR="00D4326C" w:rsidRDefault="00D4326C" w:rsidP="00D4326C">
      <w:pPr>
        <w:pStyle w:val="QuestionSeparator"/>
      </w:pPr>
    </w:p>
    <w:p w14:paraId="51A91823" w14:textId="77777777" w:rsidR="00D4326C" w:rsidRDefault="00D4326C" w:rsidP="00D4326C">
      <w:pPr>
        <w:pStyle w:val="QDisplayLogic"/>
        <w:keepNext/>
      </w:pPr>
      <w:r>
        <w:t>Display This Question:</w:t>
      </w:r>
    </w:p>
    <w:p w14:paraId="5F0FCD41" w14:textId="77777777" w:rsidR="00D4326C" w:rsidRDefault="00D4326C" w:rsidP="00D4326C">
      <w:pPr>
        <w:pStyle w:val="QDisplayLogic"/>
        <w:keepNext/>
        <w:ind w:firstLine="400"/>
      </w:pPr>
      <w:r>
        <w:t>If What is your practice qualification? = Pharmacist</w:t>
      </w:r>
    </w:p>
    <w:p w14:paraId="7C422EF2" w14:textId="77777777" w:rsidR="00D4326C" w:rsidRDefault="00D4326C" w:rsidP="00D4326C"/>
    <w:p w14:paraId="120FEF2E" w14:textId="77777777" w:rsidR="00D4326C" w:rsidRDefault="00D4326C" w:rsidP="00D4326C">
      <w:pPr>
        <w:keepNext/>
      </w:pPr>
      <w:r>
        <w:t xml:space="preserve">Q7 </w:t>
      </w:r>
      <w:r>
        <w:rPr>
          <w:b/>
        </w:rPr>
        <w:t>Verification of Prescriptions</w:t>
      </w:r>
      <w:r>
        <w:br/>
        <w:t xml:space="preserve"> (for example, reviewing prescriptions before dispensing for appropriateness of indication, dosage, route, interval, schedule, and duration of prescribed medications, and also, detecting and reporting prescribing errors and keeping up to date with safety reports)</w:t>
      </w:r>
    </w:p>
    <w:p w14:paraId="08577588" w14:textId="77777777" w:rsidR="00D4326C" w:rsidRDefault="00D4326C" w:rsidP="00D4326C">
      <w:pPr>
        <w:pStyle w:val="ListParagraph"/>
        <w:keepNext/>
        <w:numPr>
          <w:ilvl w:val="0"/>
          <w:numId w:val="18"/>
        </w:numPr>
        <w:contextualSpacing w:val="0"/>
      </w:pPr>
      <w:r>
        <w:t xml:space="preserve">Never </w:t>
      </w:r>
    </w:p>
    <w:p w14:paraId="1E449044" w14:textId="77777777" w:rsidR="00D4326C" w:rsidRDefault="00D4326C" w:rsidP="00D4326C">
      <w:pPr>
        <w:pStyle w:val="ListParagraph"/>
        <w:keepNext/>
        <w:numPr>
          <w:ilvl w:val="0"/>
          <w:numId w:val="18"/>
        </w:numPr>
        <w:contextualSpacing w:val="0"/>
      </w:pPr>
      <w:r>
        <w:t xml:space="preserve">Rarely </w:t>
      </w:r>
    </w:p>
    <w:p w14:paraId="475F3A79" w14:textId="77777777" w:rsidR="00D4326C" w:rsidRDefault="00D4326C" w:rsidP="00D4326C">
      <w:pPr>
        <w:pStyle w:val="ListParagraph"/>
        <w:keepNext/>
        <w:numPr>
          <w:ilvl w:val="0"/>
          <w:numId w:val="18"/>
        </w:numPr>
        <w:contextualSpacing w:val="0"/>
      </w:pPr>
      <w:r>
        <w:t xml:space="preserve">Sometimes  </w:t>
      </w:r>
    </w:p>
    <w:p w14:paraId="2B530F85" w14:textId="77777777" w:rsidR="00D4326C" w:rsidRDefault="00D4326C" w:rsidP="00D4326C">
      <w:pPr>
        <w:pStyle w:val="ListParagraph"/>
        <w:keepNext/>
        <w:numPr>
          <w:ilvl w:val="0"/>
          <w:numId w:val="18"/>
        </w:numPr>
        <w:contextualSpacing w:val="0"/>
      </w:pPr>
      <w:r>
        <w:t xml:space="preserve">Often </w:t>
      </w:r>
    </w:p>
    <w:p w14:paraId="2C8739CF" w14:textId="77777777" w:rsidR="00D4326C" w:rsidRDefault="00D4326C" w:rsidP="00D4326C">
      <w:pPr>
        <w:pStyle w:val="ListParagraph"/>
        <w:keepNext/>
        <w:numPr>
          <w:ilvl w:val="0"/>
          <w:numId w:val="18"/>
        </w:numPr>
        <w:contextualSpacing w:val="0"/>
      </w:pPr>
      <w:r>
        <w:t xml:space="preserve">Always  </w:t>
      </w:r>
    </w:p>
    <w:p w14:paraId="5AC18188" w14:textId="77777777" w:rsidR="00D4326C" w:rsidRDefault="00D4326C" w:rsidP="00D4326C"/>
    <w:p w14:paraId="4C93153F" w14:textId="77777777" w:rsidR="00D4326C" w:rsidRDefault="00D4326C" w:rsidP="00D4326C">
      <w:pPr>
        <w:pStyle w:val="QuestionSeparator"/>
      </w:pPr>
    </w:p>
    <w:p w14:paraId="41A2FFBB" w14:textId="77777777" w:rsidR="00D4326C" w:rsidRDefault="00D4326C" w:rsidP="00D4326C">
      <w:pPr>
        <w:pStyle w:val="QDisplayLogic"/>
        <w:keepNext/>
      </w:pPr>
      <w:r>
        <w:t>Display This Question:</w:t>
      </w:r>
    </w:p>
    <w:p w14:paraId="25398DB7" w14:textId="77777777" w:rsidR="00D4326C" w:rsidRDefault="00D4326C" w:rsidP="00D4326C">
      <w:pPr>
        <w:pStyle w:val="QDisplayLogic"/>
        <w:keepNext/>
        <w:ind w:firstLine="400"/>
      </w:pPr>
      <w:r>
        <w:t>If What is your practice qualification? = Pharmacist</w:t>
      </w:r>
    </w:p>
    <w:p w14:paraId="2BFE64B9" w14:textId="77777777" w:rsidR="00D4326C" w:rsidRDefault="00D4326C" w:rsidP="00D4326C"/>
    <w:p w14:paraId="596ACC5F" w14:textId="77777777" w:rsidR="00D4326C" w:rsidRDefault="00D4326C" w:rsidP="00D4326C">
      <w:pPr>
        <w:keepNext/>
      </w:pPr>
      <w:r>
        <w:t xml:space="preserve">Q8 </w:t>
      </w:r>
      <w:r>
        <w:rPr>
          <w:b/>
        </w:rPr>
        <w:t>Preparing and Dispensing of Prescriptions</w:t>
      </w:r>
      <w:r>
        <w:br/>
        <w:t xml:space="preserve"> (Providing general education when dispensing patient’s medications about the appropriate time to administer medications, storage, and describing potential side effects) </w:t>
      </w:r>
    </w:p>
    <w:p w14:paraId="712F3712" w14:textId="77777777" w:rsidR="00D4326C" w:rsidRDefault="00D4326C" w:rsidP="00D4326C">
      <w:pPr>
        <w:pStyle w:val="ListParagraph"/>
        <w:keepNext/>
        <w:numPr>
          <w:ilvl w:val="0"/>
          <w:numId w:val="18"/>
        </w:numPr>
        <w:contextualSpacing w:val="0"/>
      </w:pPr>
      <w:r>
        <w:t xml:space="preserve">Never </w:t>
      </w:r>
    </w:p>
    <w:p w14:paraId="3B609038" w14:textId="77777777" w:rsidR="00D4326C" w:rsidRDefault="00D4326C" w:rsidP="00D4326C">
      <w:pPr>
        <w:pStyle w:val="ListParagraph"/>
        <w:keepNext/>
        <w:numPr>
          <w:ilvl w:val="0"/>
          <w:numId w:val="18"/>
        </w:numPr>
        <w:contextualSpacing w:val="0"/>
      </w:pPr>
      <w:r>
        <w:t xml:space="preserve">Rarely </w:t>
      </w:r>
    </w:p>
    <w:p w14:paraId="028996BB" w14:textId="77777777" w:rsidR="00D4326C" w:rsidRDefault="00D4326C" w:rsidP="00D4326C">
      <w:pPr>
        <w:pStyle w:val="ListParagraph"/>
        <w:keepNext/>
        <w:numPr>
          <w:ilvl w:val="0"/>
          <w:numId w:val="18"/>
        </w:numPr>
        <w:contextualSpacing w:val="0"/>
      </w:pPr>
      <w:r>
        <w:t xml:space="preserve">Sometimes  </w:t>
      </w:r>
    </w:p>
    <w:p w14:paraId="73682400" w14:textId="77777777" w:rsidR="00D4326C" w:rsidRDefault="00D4326C" w:rsidP="00D4326C">
      <w:pPr>
        <w:pStyle w:val="ListParagraph"/>
        <w:keepNext/>
        <w:numPr>
          <w:ilvl w:val="0"/>
          <w:numId w:val="18"/>
        </w:numPr>
        <w:contextualSpacing w:val="0"/>
      </w:pPr>
      <w:r>
        <w:t xml:space="preserve">Often </w:t>
      </w:r>
    </w:p>
    <w:p w14:paraId="7D3A0A50" w14:textId="77777777" w:rsidR="00D4326C" w:rsidRDefault="00D4326C" w:rsidP="00D4326C">
      <w:pPr>
        <w:pStyle w:val="ListParagraph"/>
        <w:keepNext/>
        <w:numPr>
          <w:ilvl w:val="0"/>
          <w:numId w:val="18"/>
        </w:numPr>
        <w:contextualSpacing w:val="0"/>
      </w:pPr>
      <w:r>
        <w:t xml:space="preserve">Always  </w:t>
      </w:r>
    </w:p>
    <w:p w14:paraId="36AA88A3" w14:textId="77777777" w:rsidR="00D4326C" w:rsidRDefault="00D4326C" w:rsidP="00D4326C"/>
    <w:p w14:paraId="4748AC82" w14:textId="77777777" w:rsidR="00D4326C" w:rsidRDefault="00D4326C" w:rsidP="00D4326C">
      <w:pPr>
        <w:pStyle w:val="QuestionSeparator"/>
      </w:pPr>
    </w:p>
    <w:p w14:paraId="4A0EC228" w14:textId="77777777" w:rsidR="00D4326C" w:rsidRDefault="00D4326C" w:rsidP="00D4326C">
      <w:pPr>
        <w:pStyle w:val="QDisplayLogic"/>
        <w:keepNext/>
      </w:pPr>
      <w:r>
        <w:t>Display This Question:</w:t>
      </w:r>
    </w:p>
    <w:p w14:paraId="333B4496" w14:textId="77777777" w:rsidR="00D4326C" w:rsidRDefault="00D4326C" w:rsidP="00D4326C">
      <w:pPr>
        <w:pStyle w:val="QDisplayLogic"/>
        <w:keepNext/>
        <w:ind w:firstLine="400"/>
      </w:pPr>
      <w:r>
        <w:t>If What is your practice qualification? = Pharmacist</w:t>
      </w:r>
    </w:p>
    <w:p w14:paraId="03C2EFFC" w14:textId="77777777" w:rsidR="00D4326C" w:rsidRDefault="00D4326C" w:rsidP="00D4326C"/>
    <w:p w14:paraId="687D4094" w14:textId="77777777" w:rsidR="00D4326C" w:rsidRDefault="00D4326C" w:rsidP="00D4326C">
      <w:pPr>
        <w:keepNext/>
      </w:pPr>
      <w:r>
        <w:t xml:space="preserve">Q9 </w:t>
      </w:r>
      <w:r>
        <w:rPr>
          <w:b/>
        </w:rPr>
        <w:t xml:space="preserve">Patient Counselling and Education </w:t>
      </w:r>
      <w:r>
        <w:br/>
        <w:t xml:space="preserve"> (for example, providing education and consultation about medications to patients; the appropriate time to administer medications, storage, and describing potential side effects, drug-drug interactions, drug- food/supplements interactions, drug -herbal interactions and drug-disease interactions)</w:t>
      </w:r>
    </w:p>
    <w:p w14:paraId="28236A26" w14:textId="77777777" w:rsidR="00D4326C" w:rsidRDefault="00D4326C" w:rsidP="00D4326C">
      <w:pPr>
        <w:pStyle w:val="ListParagraph"/>
        <w:keepNext/>
        <w:numPr>
          <w:ilvl w:val="0"/>
          <w:numId w:val="18"/>
        </w:numPr>
        <w:contextualSpacing w:val="0"/>
      </w:pPr>
      <w:r>
        <w:t xml:space="preserve">Never </w:t>
      </w:r>
    </w:p>
    <w:p w14:paraId="71ABFB5C" w14:textId="77777777" w:rsidR="00D4326C" w:rsidRDefault="00D4326C" w:rsidP="00D4326C">
      <w:pPr>
        <w:pStyle w:val="ListParagraph"/>
        <w:keepNext/>
        <w:numPr>
          <w:ilvl w:val="0"/>
          <w:numId w:val="18"/>
        </w:numPr>
        <w:contextualSpacing w:val="0"/>
      </w:pPr>
      <w:r>
        <w:t xml:space="preserve">Rarely </w:t>
      </w:r>
    </w:p>
    <w:p w14:paraId="6DD6E42B" w14:textId="77777777" w:rsidR="00D4326C" w:rsidRDefault="00D4326C" w:rsidP="00D4326C">
      <w:pPr>
        <w:pStyle w:val="ListParagraph"/>
        <w:keepNext/>
        <w:numPr>
          <w:ilvl w:val="0"/>
          <w:numId w:val="18"/>
        </w:numPr>
        <w:contextualSpacing w:val="0"/>
      </w:pPr>
      <w:r>
        <w:t xml:space="preserve">Sometimes  </w:t>
      </w:r>
    </w:p>
    <w:p w14:paraId="67FC2740" w14:textId="77777777" w:rsidR="00D4326C" w:rsidRDefault="00D4326C" w:rsidP="00D4326C">
      <w:pPr>
        <w:pStyle w:val="ListParagraph"/>
        <w:keepNext/>
        <w:numPr>
          <w:ilvl w:val="0"/>
          <w:numId w:val="18"/>
        </w:numPr>
        <w:contextualSpacing w:val="0"/>
      </w:pPr>
      <w:r>
        <w:t xml:space="preserve">Often </w:t>
      </w:r>
    </w:p>
    <w:p w14:paraId="4F7AB62A" w14:textId="77777777" w:rsidR="00D4326C" w:rsidRDefault="00D4326C" w:rsidP="00D4326C">
      <w:pPr>
        <w:pStyle w:val="ListParagraph"/>
        <w:keepNext/>
        <w:numPr>
          <w:ilvl w:val="0"/>
          <w:numId w:val="18"/>
        </w:numPr>
        <w:contextualSpacing w:val="0"/>
      </w:pPr>
      <w:r>
        <w:t xml:space="preserve">Always  </w:t>
      </w:r>
    </w:p>
    <w:p w14:paraId="31AB4306" w14:textId="77777777" w:rsidR="00D4326C" w:rsidRDefault="00D4326C" w:rsidP="00D4326C"/>
    <w:p w14:paraId="123707E3" w14:textId="77777777" w:rsidR="00D4326C" w:rsidRDefault="00D4326C" w:rsidP="00D4326C">
      <w:pPr>
        <w:pStyle w:val="QuestionSeparator"/>
      </w:pPr>
    </w:p>
    <w:p w14:paraId="6436469C" w14:textId="77777777" w:rsidR="00D4326C" w:rsidRDefault="00D4326C" w:rsidP="00D4326C">
      <w:pPr>
        <w:pStyle w:val="QDisplayLogic"/>
        <w:keepNext/>
      </w:pPr>
      <w:r>
        <w:t>Display This Question:</w:t>
      </w:r>
    </w:p>
    <w:p w14:paraId="113FC2E4" w14:textId="77777777" w:rsidR="00D4326C" w:rsidRDefault="00D4326C" w:rsidP="00D4326C">
      <w:pPr>
        <w:pStyle w:val="QDisplayLogic"/>
        <w:keepNext/>
        <w:ind w:firstLine="400"/>
      </w:pPr>
      <w:r>
        <w:t>If What is your practice qualification? = Pharmacist</w:t>
      </w:r>
    </w:p>
    <w:p w14:paraId="56244DBD" w14:textId="77777777" w:rsidR="00D4326C" w:rsidRDefault="00D4326C" w:rsidP="00D4326C"/>
    <w:p w14:paraId="49C72C3E" w14:textId="77777777" w:rsidR="00D4326C" w:rsidRDefault="00D4326C" w:rsidP="00D4326C">
      <w:pPr>
        <w:keepNext/>
      </w:pPr>
      <w:r>
        <w:t xml:space="preserve">Q10 </w:t>
      </w:r>
      <w:r>
        <w:rPr>
          <w:b/>
        </w:rPr>
        <w:t xml:space="preserve">Healthy lifestyle Education </w:t>
      </w:r>
      <w:r>
        <w:br/>
        <w:t xml:space="preserve"> (for example, providing education to patients about the importance of immunization for influenza and pneumococcal pneumonia in diabetes, providing basic information on diet and exercise as they relate to diabetes management)</w:t>
      </w:r>
    </w:p>
    <w:p w14:paraId="78F92588" w14:textId="77777777" w:rsidR="00D4326C" w:rsidRDefault="00D4326C" w:rsidP="00D4326C">
      <w:pPr>
        <w:pStyle w:val="ListParagraph"/>
        <w:keepNext/>
        <w:numPr>
          <w:ilvl w:val="0"/>
          <w:numId w:val="18"/>
        </w:numPr>
        <w:contextualSpacing w:val="0"/>
      </w:pPr>
      <w:r>
        <w:t xml:space="preserve">Never </w:t>
      </w:r>
    </w:p>
    <w:p w14:paraId="0921B88A" w14:textId="77777777" w:rsidR="00D4326C" w:rsidRDefault="00D4326C" w:rsidP="00D4326C">
      <w:pPr>
        <w:pStyle w:val="ListParagraph"/>
        <w:keepNext/>
        <w:numPr>
          <w:ilvl w:val="0"/>
          <w:numId w:val="18"/>
        </w:numPr>
        <w:contextualSpacing w:val="0"/>
      </w:pPr>
      <w:r>
        <w:t xml:space="preserve">Rarely </w:t>
      </w:r>
    </w:p>
    <w:p w14:paraId="6DB1296C" w14:textId="77777777" w:rsidR="00D4326C" w:rsidRDefault="00D4326C" w:rsidP="00D4326C">
      <w:pPr>
        <w:pStyle w:val="ListParagraph"/>
        <w:keepNext/>
        <w:numPr>
          <w:ilvl w:val="0"/>
          <w:numId w:val="18"/>
        </w:numPr>
        <w:contextualSpacing w:val="0"/>
      </w:pPr>
      <w:r>
        <w:t xml:space="preserve">Sometimes  </w:t>
      </w:r>
    </w:p>
    <w:p w14:paraId="408F0347" w14:textId="77777777" w:rsidR="00D4326C" w:rsidRDefault="00D4326C" w:rsidP="00D4326C">
      <w:pPr>
        <w:pStyle w:val="ListParagraph"/>
        <w:keepNext/>
        <w:numPr>
          <w:ilvl w:val="0"/>
          <w:numId w:val="18"/>
        </w:numPr>
        <w:contextualSpacing w:val="0"/>
      </w:pPr>
      <w:r>
        <w:t xml:space="preserve">Often </w:t>
      </w:r>
    </w:p>
    <w:p w14:paraId="497D9C20" w14:textId="77777777" w:rsidR="00D4326C" w:rsidRDefault="00D4326C" w:rsidP="00D4326C">
      <w:pPr>
        <w:pStyle w:val="ListParagraph"/>
        <w:keepNext/>
        <w:numPr>
          <w:ilvl w:val="0"/>
          <w:numId w:val="18"/>
        </w:numPr>
        <w:contextualSpacing w:val="0"/>
      </w:pPr>
      <w:r>
        <w:t xml:space="preserve">Always  </w:t>
      </w:r>
    </w:p>
    <w:p w14:paraId="72DB4F97" w14:textId="77777777" w:rsidR="00D4326C" w:rsidRDefault="00D4326C" w:rsidP="00D4326C"/>
    <w:p w14:paraId="62893722" w14:textId="77777777" w:rsidR="00D4326C" w:rsidRDefault="00D4326C" w:rsidP="00D4326C">
      <w:pPr>
        <w:pStyle w:val="QuestionSeparator"/>
      </w:pPr>
    </w:p>
    <w:p w14:paraId="4515071E" w14:textId="77777777" w:rsidR="00D4326C" w:rsidRDefault="00D4326C" w:rsidP="00D4326C">
      <w:pPr>
        <w:pStyle w:val="QDisplayLogic"/>
        <w:keepNext/>
      </w:pPr>
      <w:r>
        <w:t>Display This Question:</w:t>
      </w:r>
    </w:p>
    <w:p w14:paraId="52BED5BA" w14:textId="77777777" w:rsidR="00D4326C" w:rsidRDefault="00D4326C" w:rsidP="00D4326C">
      <w:pPr>
        <w:pStyle w:val="QDisplayLogic"/>
        <w:keepNext/>
        <w:ind w:firstLine="400"/>
      </w:pPr>
      <w:r>
        <w:t>If What is your practice qualification? = Pharmacist</w:t>
      </w:r>
    </w:p>
    <w:p w14:paraId="7E1A1383" w14:textId="77777777" w:rsidR="00D4326C" w:rsidRDefault="00D4326C" w:rsidP="00D4326C"/>
    <w:p w14:paraId="496B8BB7" w14:textId="77777777" w:rsidR="00D4326C" w:rsidRDefault="00D4326C" w:rsidP="00D4326C">
      <w:pPr>
        <w:keepNext/>
      </w:pPr>
      <w:r>
        <w:t xml:space="preserve">Q11 </w:t>
      </w:r>
      <w:r>
        <w:rPr>
          <w:b/>
        </w:rPr>
        <w:t>Independent Prescribing of Diabetes Medications </w:t>
      </w:r>
      <w:r>
        <w:t>(prescribe independently without supervision of another prescriber)  </w:t>
      </w:r>
    </w:p>
    <w:p w14:paraId="3DDBC086" w14:textId="77777777" w:rsidR="00D4326C" w:rsidRDefault="00D4326C" w:rsidP="00D4326C">
      <w:pPr>
        <w:pStyle w:val="ListParagraph"/>
        <w:keepNext/>
        <w:numPr>
          <w:ilvl w:val="0"/>
          <w:numId w:val="18"/>
        </w:numPr>
        <w:contextualSpacing w:val="0"/>
      </w:pPr>
      <w:r>
        <w:t xml:space="preserve">Never </w:t>
      </w:r>
    </w:p>
    <w:p w14:paraId="3275B4BD" w14:textId="77777777" w:rsidR="00D4326C" w:rsidRDefault="00D4326C" w:rsidP="00D4326C">
      <w:pPr>
        <w:pStyle w:val="ListParagraph"/>
        <w:keepNext/>
        <w:numPr>
          <w:ilvl w:val="0"/>
          <w:numId w:val="18"/>
        </w:numPr>
        <w:contextualSpacing w:val="0"/>
      </w:pPr>
      <w:r>
        <w:t xml:space="preserve">Rarely </w:t>
      </w:r>
    </w:p>
    <w:p w14:paraId="68A38B41" w14:textId="77777777" w:rsidR="00D4326C" w:rsidRDefault="00D4326C" w:rsidP="00D4326C">
      <w:pPr>
        <w:pStyle w:val="ListParagraph"/>
        <w:keepNext/>
        <w:numPr>
          <w:ilvl w:val="0"/>
          <w:numId w:val="18"/>
        </w:numPr>
        <w:contextualSpacing w:val="0"/>
      </w:pPr>
      <w:r>
        <w:t xml:space="preserve">Sometimes  </w:t>
      </w:r>
    </w:p>
    <w:p w14:paraId="65221939" w14:textId="77777777" w:rsidR="00D4326C" w:rsidRDefault="00D4326C" w:rsidP="00D4326C">
      <w:pPr>
        <w:pStyle w:val="ListParagraph"/>
        <w:keepNext/>
        <w:numPr>
          <w:ilvl w:val="0"/>
          <w:numId w:val="18"/>
        </w:numPr>
        <w:contextualSpacing w:val="0"/>
      </w:pPr>
      <w:r>
        <w:t xml:space="preserve">Often </w:t>
      </w:r>
    </w:p>
    <w:p w14:paraId="682E8D06" w14:textId="77777777" w:rsidR="00D4326C" w:rsidRDefault="00D4326C" w:rsidP="00D4326C">
      <w:pPr>
        <w:pStyle w:val="ListParagraph"/>
        <w:keepNext/>
        <w:numPr>
          <w:ilvl w:val="0"/>
          <w:numId w:val="18"/>
        </w:numPr>
        <w:contextualSpacing w:val="0"/>
      </w:pPr>
      <w:r>
        <w:t xml:space="preserve">Always  </w:t>
      </w:r>
    </w:p>
    <w:p w14:paraId="5CE51FE8" w14:textId="77777777" w:rsidR="00D4326C" w:rsidRDefault="00D4326C" w:rsidP="00D4326C"/>
    <w:p w14:paraId="5D05E35E" w14:textId="77777777" w:rsidR="00D4326C" w:rsidRDefault="00D4326C" w:rsidP="00D4326C">
      <w:pPr>
        <w:pStyle w:val="QuestionSeparator"/>
      </w:pPr>
    </w:p>
    <w:p w14:paraId="45F0700E" w14:textId="77777777" w:rsidR="00D4326C" w:rsidRDefault="00D4326C" w:rsidP="00D4326C">
      <w:pPr>
        <w:pStyle w:val="QDisplayLogic"/>
        <w:keepNext/>
      </w:pPr>
      <w:r>
        <w:t>Display This Question:</w:t>
      </w:r>
    </w:p>
    <w:p w14:paraId="340799EF" w14:textId="77777777" w:rsidR="00D4326C" w:rsidRDefault="00D4326C" w:rsidP="00D4326C">
      <w:pPr>
        <w:pStyle w:val="QDisplayLogic"/>
        <w:keepNext/>
        <w:ind w:firstLine="400"/>
      </w:pPr>
      <w:r>
        <w:t>If What is your practice qualification? = Pharmacist</w:t>
      </w:r>
    </w:p>
    <w:p w14:paraId="22A93F4A" w14:textId="77777777" w:rsidR="00D4326C" w:rsidRDefault="00D4326C" w:rsidP="00D4326C"/>
    <w:p w14:paraId="51EDCF13" w14:textId="77777777" w:rsidR="00D4326C" w:rsidRDefault="00D4326C" w:rsidP="00D4326C">
      <w:pPr>
        <w:keepNext/>
      </w:pPr>
      <w:r>
        <w:t xml:space="preserve">Q12 </w:t>
      </w:r>
      <w:r>
        <w:rPr>
          <w:b/>
        </w:rPr>
        <w:t xml:space="preserve">Dependent Prescribing </w:t>
      </w:r>
      <w:r>
        <w:t>(supplementary or collaborative prescribing of diabetes medications with doctors)</w:t>
      </w:r>
    </w:p>
    <w:p w14:paraId="2B2DF9E6" w14:textId="77777777" w:rsidR="00D4326C" w:rsidRDefault="00D4326C" w:rsidP="00D4326C">
      <w:pPr>
        <w:pStyle w:val="ListParagraph"/>
        <w:keepNext/>
        <w:numPr>
          <w:ilvl w:val="0"/>
          <w:numId w:val="18"/>
        </w:numPr>
        <w:contextualSpacing w:val="0"/>
      </w:pPr>
      <w:r>
        <w:t xml:space="preserve">Never </w:t>
      </w:r>
    </w:p>
    <w:p w14:paraId="1DD8B8E9" w14:textId="77777777" w:rsidR="00D4326C" w:rsidRDefault="00D4326C" w:rsidP="00D4326C">
      <w:pPr>
        <w:pStyle w:val="ListParagraph"/>
        <w:keepNext/>
        <w:numPr>
          <w:ilvl w:val="0"/>
          <w:numId w:val="18"/>
        </w:numPr>
        <w:contextualSpacing w:val="0"/>
      </w:pPr>
      <w:r>
        <w:t xml:space="preserve">Rarely </w:t>
      </w:r>
    </w:p>
    <w:p w14:paraId="1E3A79A5" w14:textId="77777777" w:rsidR="00D4326C" w:rsidRDefault="00D4326C" w:rsidP="00D4326C">
      <w:pPr>
        <w:pStyle w:val="ListParagraph"/>
        <w:keepNext/>
        <w:numPr>
          <w:ilvl w:val="0"/>
          <w:numId w:val="18"/>
        </w:numPr>
        <w:contextualSpacing w:val="0"/>
      </w:pPr>
      <w:r>
        <w:t xml:space="preserve">Sometimes  </w:t>
      </w:r>
    </w:p>
    <w:p w14:paraId="44596EDB" w14:textId="77777777" w:rsidR="00D4326C" w:rsidRDefault="00D4326C" w:rsidP="00D4326C">
      <w:pPr>
        <w:pStyle w:val="ListParagraph"/>
        <w:keepNext/>
        <w:numPr>
          <w:ilvl w:val="0"/>
          <w:numId w:val="18"/>
        </w:numPr>
        <w:contextualSpacing w:val="0"/>
      </w:pPr>
      <w:r>
        <w:t xml:space="preserve">Often </w:t>
      </w:r>
    </w:p>
    <w:p w14:paraId="35FE9F13" w14:textId="77777777" w:rsidR="00D4326C" w:rsidRDefault="00D4326C" w:rsidP="00D4326C">
      <w:pPr>
        <w:pStyle w:val="ListParagraph"/>
        <w:keepNext/>
        <w:numPr>
          <w:ilvl w:val="0"/>
          <w:numId w:val="18"/>
        </w:numPr>
        <w:contextualSpacing w:val="0"/>
      </w:pPr>
      <w:r>
        <w:t xml:space="preserve">Always  </w:t>
      </w:r>
    </w:p>
    <w:p w14:paraId="04297BBD" w14:textId="77777777" w:rsidR="00D4326C" w:rsidRDefault="00D4326C" w:rsidP="00D4326C"/>
    <w:p w14:paraId="467CC159" w14:textId="77777777" w:rsidR="00D4326C" w:rsidRDefault="00D4326C" w:rsidP="00D4326C">
      <w:pPr>
        <w:pStyle w:val="QuestionSeparator"/>
      </w:pPr>
    </w:p>
    <w:p w14:paraId="3B125C4F" w14:textId="77777777" w:rsidR="00D4326C" w:rsidRDefault="00D4326C" w:rsidP="00D4326C">
      <w:pPr>
        <w:pStyle w:val="QDisplayLogic"/>
        <w:keepNext/>
      </w:pPr>
      <w:r>
        <w:t>Display This Question:</w:t>
      </w:r>
    </w:p>
    <w:p w14:paraId="4A6C0888" w14:textId="77777777" w:rsidR="00D4326C" w:rsidRDefault="00D4326C" w:rsidP="00D4326C">
      <w:pPr>
        <w:pStyle w:val="QDisplayLogic"/>
        <w:keepNext/>
        <w:ind w:firstLine="400"/>
      </w:pPr>
      <w:r>
        <w:t>If What is your practice qualification? = Pharmacist</w:t>
      </w:r>
    </w:p>
    <w:p w14:paraId="2D902E56" w14:textId="77777777" w:rsidR="00D4326C" w:rsidRDefault="00D4326C" w:rsidP="00D4326C"/>
    <w:p w14:paraId="0F4E666C" w14:textId="77777777" w:rsidR="00D4326C" w:rsidRDefault="00D4326C" w:rsidP="00D4326C">
      <w:pPr>
        <w:keepNext/>
      </w:pPr>
      <w:r>
        <w:t>PharmaCare1 Are there any other diabetes care services (not represented in the above) that you provide/d to diabetes patients currently or previously? If so, please state what these are:  </w:t>
      </w:r>
    </w:p>
    <w:p w14:paraId="4DBBF428" w14:textId="77777777" w:rsidR="00D4326C" w:rsidRDefault="00D4326C" w:rsidP="00D4326C">
      <w:pPr>
        <w:pStyle w:val="TextEntryLine"/>
        <w:ind w:firstLine="400"/>
      </w:pPr>
      <w:r>
        <w:t>________________________________________________________________</w:t>
      </w:r>
    </w:p>
    <w:p w14:paraId="3E9281D7" w14:textId="77777777" w:rsidR="00D4326C" w:rsidRDefault="00D4326C" w:rsidP="00D4326C"/>
    <w:p w14:paraId="158BF0BF" w14:textId="77777777" w:rsidR="00D4326C" w:rsidRDefault="00D4326C" w:rsidP="00D4326C">
      <w:pPr>
        <w:pStyle w:val="QuestionSeparator"/>
      </w:pPr>
    </w:p>
    <w:tbl>
      <w:tblPr>
        <w:tblW w:w="0" w:type="auto"/>
        <w:tblInd w:w="10" w:type="dxa"/>
        <w:tblCellMar>
          <w:left w:w="10" w:type="dxa"/>
          <w:right w:w="10" w:type="dxa"/>
        </w:tblCellMar>
        <w:tblLook w:val="04A0" w:firstRow="1" w:lastRow="0" w:firstColumn="1" w:lastColumn="0" w:noHBand="0" w:noVBand="1"/>
      </w:tblPr>
      <w:tblGrid>
        <w:gridCol w:w="1347"/>
        <w:gridCol w:w="8003"/>
      </w:tblGrid>
      <w:tr w:rsidR="00D4326C" w14:paraId="2D337B32" w14:textId="77777777" w:rsidTr="00282204">
        <w:trPr>
          <w:trHeight w:val="300"/>
        </w:trPr>
        <w:tc>
          <w:tcPr>
            <w:tcW w:w="1368" w:type="dxa"/>
            <w:tcBorders>
              <w:top w:val="nil"/>
              <w:left w:val="nil"/>
              <w:bottom w:val="nil"/>
              <w:right w:val="nil"/>
            </w:tcBorders>
          </w:tcPr>
          <w:p w14:paraId="349F887C" w14:textId="77777777" w:rsidR="00D4326C" w:rsidRDefault="00D4326C" w:rsidP="00282204">
            <w:pPr>
              <w:rPr>
                <w:color w:val="CCCCCC"/>
              </w:rPr>
            </w:pPr>
            <w:r>
              <w:rPr>
                <w:color w:val="CCCCCC"/>
              </w:rPr>
              <w:t>Page Break</w:t>
            </w:r>
          </w:p>
        </w:tc>
        <w:tc>
          <w:tcPr>
            <w:tcW w:w="8208" w:type="dxa"/>
            <w:tcBorders>
              <w:top w:val="nil"/>
              <w:left w:val="nil"/>
              <w:bottom w:val="nil"/>
              <w:right w:val="nil"/>
            </w:tcBorders>
          </w:tcPr>
          <w:p w14:paraId="6743C041" w14:textId="77777777" w:rsidR="00D4326C" w:rsidRDefault="00D4326C" w:rsidP="00282204">
            <w:pPr>
              <w:pBdr>
                <w:top w:val="single" w:sz="8" w:space="0" w:color="CCCCCC"/>
              </w:pBdr>
              <w:spacing w:before="120" w:after="120" w:line="120" w:lineRule="auto"/>
              <w:jc w:val="center"/>
              <w:rPr>
                <w:color w:val="CCCCCC"/>
              </w:rPr>
            </w:pPr>
          </w:p>
        </w:tc>
      </w:tr>
    </w:tbl>
    <w:p w14:paraId="2B09F120" w14:textId="77777777" w:rsidR="00D4326C" w:rsidRDefault="00D4326C" w:rsidP="00D4326C">
      <w:r>
        <w:br w:type="page"/>
      </w:r>
    </w:p>
    <w:p w14:paraId="377428CD" w14:textId="77777777" w:rsidR="00D4326C" w:rsidRDefault="00D4326C" w:rsidP="00D4326C">
      <w:pPr>
        <w:pStyle w:val="BlockEndLabel"/>
      </w:pPr>
      <w:r>
        <w:t>End of Block: Pharmaceutical Care Services Provided to Patients with Diabetes</w:t>
      </w:r>
    </w:p>
    <w:p w14:paraId="7E4E0195" w14:textId="77777777" w:rsidR="00D4326C" w:rsidRDefault="00D4326C" w:rsidP="00D4326C">
      <w:pPr>
        <w:pStyle w:val="BlockSeparator"/>
      </w:pPr>
    </w:p>
    <w:p w14:paraId="119FAB6A" w14:textId="77777777" w:rsidR="00D4326C" w:rsidRDefault="00D4326C" w:rsidP="00D4326C">
      <w:pPr>
        <w:pStyle w:val="BlockStartLabel"/>
      </w:pPr>
      <w:r>
        <w:t>Start of Block: Views on Potential Pharmacist Involvement in Diabetes Care</w:t>
      </w:r>
    </w:p>
    <w:p w14:paraId="357FC5C5" w14:textId="77777777" w:rsidR="00D4326C" w:rsidRDefault="00D4326C" w:rsidP="00D4326C"/>
    <w:p w14:paraId="01D2DC41" w14:textId="77777777" w:rsidR="00D4326C" w:rsidRDefault="00D4326C" w:rsidP="00D4326C">
      <w:pPr>
        <w:keepNext/>
      </w:pPr>
      <w:r>
        <w:t xml:space="preserve">Pharmacist Involved </w:t>
      </w:r>
      <w:r>
        <w:rPr>
          <w:b/>
        </w:rPr>
        <w:t>Views on Potential Pharmacist Involvement in Diabetes Care</w:t>
      </w:r>
      <w:r>
        <w:t xml:space="preserve">     This section will help us to understand healthcare professionals’ perceptions of the potential for different pharmacist roles in diabetes primary care management in Saudi Arabia. It also will help us to understand healthcare professionals’ expectations of pharmacists’ professional role. </w:t>
      </w:r>
      <w:r>
        <w:br/>
        <w:t xml:space="preserve"> </w:t>
      </w:r>
      <w:r>
        <w:br/>
        <w:t xml:space="preserve"> Please select one response for each of the following statements which corresponds to your view about whether pharmacists should be involved in that type of service to diabetic patients currently and in the future.</w:t>
      </w:r>
    </w:p>
    <w:p w14:paraId="11585A3F" w14:textId="77777777" w:rsidR="00D4326C" w:rsidRDefault="00D4326C" w:rsidP="00D4326C"/>
    <w:p w14:paraId="058AD1F3" w14:textId="77777777" w:rsidR="00D4326C" w:rsidRDefault="00D4326C" w:rsidP="00D4326C">
      <w:pPr>
        <w:pStyle w:val="QuestionSeparator"/>
      </w:pPr>
    </w:p>
    <w:p w14:paraId="39A4FE17" w14:textId="77777777" w:rsidR="00D4326C" w:rsidRDefault="00D4326C" w:rsidP="00D4326C"/>
    <w:p w14:paraId="09B495A5" w14:textId="77777777" w:rsidR="00D4326C" w:rsidRDefault="00D4326C" w:rsidP="00D4326C">
      <w:pPr>
        <w:keepNext/>
      </w:pPr>
      <w:r>
        <w:t xml:space="preserve">Q1 Pharmacists should be involved in </w:t>
      </w:r>
      <w:r>
        <w:rPr>
          <w:b/>
        </w:rPr>
        <w:t>Medication Therapy Management</w:t>
      </w:r>
      <w:r>
        <w:br/>
        <w:t xml:space="preserve"> (for example, managing patients’ treatment, including diabetes medication dose or frequency adjustments, medication addition or alteration, ordering laboratory tests, seeing patients regularly, and, prescribing medication)</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7D526348"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6FDD93E2" w14:textId="77777777" w:rsidR="00D4326C" w:rsidRDefault="00D4326C" w:rsidP="00282204">
            <w:pPr>
              <w:keepNext/>
            </w:pPr>
          </w:p>
        </w:tc>
        <w:tc>
          <w:tcPr>
            <w:tcW w:w="1596" w:type="dxa"/>
          </w:tcPr>
          <w:p w14:paraId="227F471B"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07D78FFC"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73BB5A5C"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758674E1"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423EC683"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5A3661BC"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5CB7BD3C" w14:textId="77777777" w:rsidR="00D4326C" w:rsidRDefault="00D4326C" w:rsidP="00282204">
            <w:pPr>
              <w:keepNext/>
            </w:pPr>
            <w:r>
              <w:t xml:space="preserve">Currently </w:t>
            </w:r>
          </w:p>
        </w:tc>
        <w:tc>
          <w:tcPr>
            <w:tcW w:w="1596" w:type="dxa"/>
          </w:tcPr>
          <w:p w14:paraId="0FE39F36"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A5F8A20"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E42A73F"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E16E983"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0092752"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60C86EE0"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7350472E" w14:textId="77777777" w:rsidR="00D4326C" w:rsidRDefault="00D4326C" w:rsidP="00282204">
            <w:pPr>
              <w:keepNext/>
            </w:pPr>
            <w:r>
              <w:t xml:space="preserve">In the future </w:t>
            </w:r>
          </w:p>
        </w:tc>
        <w:tc>
          <w:tcPr>
            <w:tcW w:w="1596" w:type="dxa"/>
          </w:tcPr>
          <w:p w14:paraId="69C7A067"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A617074"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723CE3B"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3ABA133"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A53ED6E"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04526005" w14:textId="77777777" w:rsidR="00D4326C" w:rsidRDefault="00D4326C" w:rsidP="00D4326C"/>
    <w:p w14:paraId="673A4EB8" w14:textId="77777777" w:rsidR="00D4326C" w:rsidRDefault="00D4326C" w:rsidP="00D4326C"/>
    <w:p w14:paraId="42EADDCF" w14:textId="77777777" w:rsidR="00D4326C" w:rsidRDefault="00D4326C" w:rsidP="00D4326C">
      <w:pPr>
        <w:pStyle w:val="QuestionSeparator"/>
      </w:pPr>
    </w:p>
    <w:p w14:paraId="474C166E" w14:textId="77777777" w:rsidR="00D4326C" w:rsidRDefault="00D4326C" w:rsidP="00D4326C"/>
    <w:p w14:paraId="4D0557B2" w14:textId="77777777" w:rsidR="00D4326C" w:rsidRDefault="00D4326C" w:rsidP="00D4326C">
      <w:pPr>
        <w:keepNext/>
      </w:pPr>
      <w:r>
        <w:t xml:space="preserve">Q2 Pharmacists should be involved in </w:t>
      </w:r>
      <w:r>
        <w:rPr>
          <w:b/>
        </w:rPr>
        <w:t>Medication Review</w:t>
      </w:r>
      <w:r>
        <w:t xml:space="preserve">  </w:t>
      </w:r>
      <w:r>
        <w:br/>
        <w:t>(for example, conducting a drug history, monitoring patient’s adherence, reviewing patient’s medications and offering suggestions to physicians to help the patient reach management plan targets)  </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4AEB7039"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61022A6B" w14:textId="77777777" w:rsidR="00D4326C" w:rsidRDefault="00D4326C" w:rsidP="00282204">
            <w:pPr>
              <w:keepNext/>
            </w:pPr>
          </w:p>
        </w:tc>
        <w:tc>
          <w:tcPr>
            <w:tcW w:w="1596" w:type="dxa"/>
          </w:tcPr>
          <w:p w14:paraId="2B223426"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5A375126"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1730F340"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4BF0ACED"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6B26CF4B"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6A44E888"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453D1DD6" w14:textId="77777777" w:rsidR="00D4326C" w:rsidRDefault="00D4326C" w:rsidP="00282204">
            <w:pPr>
              <w:keepNext/>
            </w:pPr>
            <w:r>
              <w:t xml:space="preserve">Currently </w:t>
            </w:r>
          </w:p>
        </w:tc>
        <w:tc>
          <w:tcPr>
            <w:tcW w:w="1596" w:type="dxa"/>
          </w:tcPr>
          <w:p w14:paraId="54AE807E"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584553D"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0C6DB7B"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7DEBAC0"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6AF3303"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05D5A3A8"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70999F91" w14:textId="77777777" w:rsidR="00D4326C" w:rsidRDefault="00D4326C" w:rsidP="00282204">
            <w:pPr>
              <w:keepNext/>
            </w:pPr>
            <w:r>
              <w:t xml:space="preserve">In the future </w:t>
            </w:r>
          </w:p>
        </w:tc>
        <w:tc>
          <w:tcPr>
            <w:tcW w:w="1596" w:type="dxa"/>
          </w:tcPr>
          <w:p w14:paraId="508B68AC"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F3B7703"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7517079"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A54CF9E"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2AD8509"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6FF42165" w14:textId="77777777" w:rsidR="00D4326C" w:rsidRDefault="00D4326C" w:rsidP="00D4326C"/>
    <w:p w14:paraId="03B216D5" w14:textId="77777777" w:rsidR="00D4326C" w:rsidRDefault="00D4326C" w:rsidP="00D4326C"/>
    <w:p w14:paraId="622295A9" w14:textId="77777777" w:rsidR="00D4326C" w:rsidRDefault="00D4326C" w:rsidP="00D4326C">
      <w:pPr>
        <w:pStyle w:val="QuestionSeparator"/>
      </w:pPr>
    </w:p>
    <w:p w14:paraId="63D45BA5" w14:textId="77777777" w:rsidR="00D4326C" w:rsidRDefault="00D4326C" w:rsidP="00D4326C"/>
    <w:p w14:paraId="64CCAE51" w14:textId="77777777" w:rsidR="00D4326C" w:rsidRDefault="00D4326C" w:rsidP="00D4326C">
      <w:pPr>
        <w:keepNext/>
      </w:pPr>
      <w:r>
        <w:t>Q3 Pharmacists should be involved in </w:t>
      </w:r>
      <w:r>
        <w:rPr>
          <w:b/>
        </w:rPr>
        <w:t>Co-Morbid Disease Education</w:t>
      </w:r>
      <w:r>
        <w:br/>
        <w:t xml:space="preserve"> (for example, providing education to the patients on the importance of controlling blood pressure in diabetes, diabetes foot care, regular screening for nephropathy, neuropathy and retinopathy)</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5863460B"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B48506A" w14:textId="77777777" w:rsidR="00D4326C" w:rsidRDefault="00D4326C" w:rsidP="00282204">
            <w:pPr>
              <w:keepNext/>
            </w:pPr>
          </w:p>
        </w:tc>
        <w:tc>
          <w:tcPr>
            <w:tcW w:w="1596" w:type="dxa"/>
          </w:tcPr>
          <w:p w14:paraId="4041B711"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3418E8BC"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3AA53ACE"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6FCDC7C0"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44750590"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0D5460E7"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738300F0" w14:textId="77777777" w:rsidR="00D4326C" w:rsidRDefault="00D4326C" w:rsidP="00282204">
            <w:pPr>
              <w:keepNext/>
            </w:pPr>
            <w:r>
              <w:t xml:space="preserve">Currently </w:t>
            </w:r>
          </w:p>
        </w:tc>
        <w:tc>
          <w:tcPr>
            <w:tcW w:w="1596" w:type="dxa"/>
          </w:tcPr>
          <w:p w14:paraId="03C7FB71"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A05C218"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9F3D45B"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A268564"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12D84178"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69FA98DF"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79163C41" w14:textId="77777777" w:rsidR="00D4326C" w:rsidRDefault="00D4326C" w:rsidP="00282204">
            <w:pPr>
              <w:keepNext/>
            </w:pPr>
            <w:r>
              <w:t xml:space="preserve">In the future </w:t>
            </w:r>
          </w:p>
        </w:tc>
        <w:tc>
          <w:tcPr>
            <w:tcW w:w="1596" w:type="dxa"/>
          </w:tcPr>
          <w:p w14:paraId="65128E9C"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13F5E066"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AAE67D8"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FD2AB8C"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00C1126"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4DC79A73" w14:textId="77777777" w:rsidR="00D4326C" w:rsidRDefault="00D4326C" w:rsidP="00D4326C"/>
    <w:p w14:paraId="7D7D036B" w14:textId="77777777" w:rsidR="00D4326C" w:rsidRDefault="00D4326C" w:rsidP="00D4326C"/>
    <w:p w14:paraId="3FF91150" w14:textId="77777777" w:rsidR="00D4326C" w:rsidRDefault="00D4326C" w:rsidP="00D4326C">
      <w:pPr>
        <w:pStyle w:val="QuestionSeparator"/>
      </w:pPr>
    </w:p>
    <w:p w14:paraId="511A0433" w14:textId="77777777" w:rsidR="00D4326C" w:rsidRDefault="00D4326C" w:rsidP="00D4326C"/>
    <w:p w14:paraId="6E200612" w14:textId="77777777" w:rsidR="00D4326C" w:rsidRDefault="00D4326C" w:rsidP="00D4326C">
      <w:pPr>
        <w:keepNext/>
      </w:pPr>
      <w:r>
        <w:t>Q4 Pharmacists should be involved in </w:t>
      </w:r>
      <w:r>
        <w:rPr>
          <w:b/>
        </w:rPr>
        <w:t>Co-Morbid Disease Medication Management</w:t>
      </w:r>
      <w:r>
        <w:t xml:space="preserve">  </w:t>
      </w:r>
      <w:r>
        <w:br/>
        <w:t xml:space="preserve">(for example,  analysing patient’s treatment, considering treatment in the context of the patient’s underlying condition and symptoms and providing recommendations for changes to treatment to the treating physician when necessary)  </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6295A6E2"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5D95CFCE" w14:textId="77777777" w:rsidR="00D4326C" w:rsidRDefault="00D4326C" w:rsidP="00282204">
            <w:pPr>
              <w:keepNext/>
            </w:pPr>
          </w:p>
        </w:tc>
        <w:tc>
          <w:tcPr>
            <w:tcW w:w="1596" w:type="dxa"/>
          </w:tcPr>
          <w:p w14:paraId="575207FF"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0109ACA3"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6B30AB60"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452B6AA0"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2DA65EF5"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3399F481"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223009B0" w14:textId="77777777" w:rsidR="00D4326C" w:rsidRDefault="00D4326C" w:rsidP="00282204">
            <w:pPr>
              <w:keepNext/>
            </w:pPr>
            <w:r>
              <w:t xml:space="preserve">Currently </w:t>
            </w:r>
          </w:p>
        </w:tc>
        <w:tc>
          <w:tcPr>
            <w:tcW w:w="1596" w:type="dxa"/>
          </w:tcPr>
          <w:p w14:paraId="27F079C2"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F7BD2A1"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C4C4B72"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5F72FE6"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6F58271"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46BAD49D"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3445CF55" w14:textId="77777777" w:rsidR="00D4326C" w:rsidRDefault="00D4326C" w:rsidP="00282204">
            <w:pPr>
              <w:keepNext/>
            </w:pPr>
            <w:r>
              <w:t xml:space="preserve">In the future </w:t>
            </w:r>
          </w:p>
        </w:tc>
        <w:tc>
          <w:tcPr>
            <w:tcW w:w="1596" w:type="dxa"/>
          </w:tcPr>
          <w:p w14:paraId="752FBAE1"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321431F"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E18DFFD"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B55E40C"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91A7302"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087B706B" w14:textId="77777777" w:rsidR="00D4326C" w:rsidRDefault="00D4326C" w:rsidP="00D4326C"/>
    <w:p w14:paraId="02946322" w14:textId="77777777" w:rsidR="00D4326C" w:rsidRDefault="00D4326C" w:rsidP="00D4326C"/>
    <w:p w14:paraId="11ABD3EA" w14:textId="77777777" w:rsidR="00D4326C" w:rsidRDefault="00D4326C" w:rsidP="00D4326C">
      <w:pPr>
        <w:pStyle w:val="QuestionSeparator"/>
      </w:pPr>
    </w:p>
    <w:p w14:paraId="07ED7335" w14:textId="77777777" w:rsidR="00D4326C" w:rsidRDefault="00D4326C" w:rsidP="00D4326C"/>
    <w:p w14:paraId="3B696F67" w14:textId="77777777" w:rsidR="00D4326C" w:rsidRDefault="00D4326C" w:rsidP="00D4326C">
      <w:pPr>
        <w:keepNext/>
      </w:pPr>
      <w:r>
        <w:t>Q5 Pharmacists should be involved in </w:t>
      </w:r>
      <w:r>
        <w:rPr>
          <w:b/>
        </w:rPr>
        <w:t>Blood Glucose Monitoring</w:t>
      </w:r>
      <w:r>
        <w:br/>
        <w:t xml:space="preserve"> (for example, counselling on the use of a blood glucose meter, the appropriate times to check blood glucose, the current treatment targets for blood glucose and the interpretation of HbA1c results) </w:t>
      </w:r>
      <w:r>
        <w:br/>
        <w:t xml:space="preserve">  </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73A1222D"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56E39044" w14:textId="77777777" w:rsidR="00D4326C" w:rsidRDefault="00D4326C" w:rsidP="00282204">
            <w:pPr>
              <w:keepNext/>
            </w:pPr>
          </w:p>
        </w:tc>
        <w:tc>
          <w:tcPr>
            <w:tcW w:w="1596" w:type="dxa"/>
          </w:tcPr>
          <w:p w14:paraId="73227656"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0C22C831"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2D66B886"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58C1B369"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1A0CAEF8"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19CE3B30"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07A9207F" w14:textId="77777777" w:rsidR="00D4326C" w:rsidRDefault="00D4326C" w:rsidP="00282204">
            <w:pPr>
              <w:keepNext/>
            </w:pPr>
            <w:r>
              <w:t xml:space="preserve">Currently </w:t>
            </w:r>
          </w:p>
        </w:tc>
        <w:tc>
          <w:tcPr>
            <w:tcW w:w="1596" w:type="dxa"/>
          </w:tcPr>
          <w:p w14:paraId="7E505D42"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C16A4DC"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BBF7DBD"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C479234"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0C0A6DD"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0727CFAB"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17C15E2E" w14:textId="77777777" w:rsidR="00D4326C" w:rsidRDefault="00D4326C" w:rsidP="00282204">
            <w:pPr>
              <w:keepNext/>
            </w:pPr>
            <w:r>
              <w:t xml:space="preserve">In the future </w:t>
            </w:r>
          </w:p>
        </w:tc>
        <w:tc>
          <w:tcPr>
            <w:tcW w:w="1596" w:type="dxa"/>
          </w:tcPr>
          <w:p w14:paraId="7046D7F6"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8D7DC9E"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C379B1A"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C45F808"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3491E99"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1D567ECF" w14:textId="77777777" w:rsidR="00D4326C" w:rsidRDefault="00D4326C" w:rsidP="00D4326C"/>
    <w:p w14:paraId="1A4B7AB5" w14:textId="77777777" w:rsidR="00D4326C" w:rsidRDefault="00D4326C" w:rsidP="00D4326C"/>
    <w:p w14:paraId="5CAF2B5F" w14:textId="77777777" w:rsidR="00D4326C" w:rsidRDefault="00D4326C" w:rsidP="00D4326C">
      <w:pPr>
        <w:pStyle w:val="QuestionSeparator"/>
      </w:pPr>
    </w:p>
    <w:p w14:paraId="471FCF80" w14:textId="77777777" w:rsidR="00D4326C" w:rsidRDefault="00D4326C" w:rsidP="00D4326C"/>
    <w:p w14:paraId="2A68423C" w14:textId="77777777" w:rsidR="00D4326C" w:rsidRDefault="00D4326C" w:rsidP="00D4326C">
      <w:pPr>
        <w:keepNext/>
      </w:pPr>
      <w:r>
        <w:t>Q6 Pharmacists should be involved in </w:t>
      </w:r>
      <w:r>
        <w:rPr>
          <w:b/>
        </w:rPr>
        <w:t>Hypoglycemia Management</w:t>
      </w:r>
      <w:r>
        <w:br/>
        <w:t xml:space="preserve"> (for example, counselling on signs and symptoms of hypoglycemia, identifying possible causes of hypoglycemia and providing recommendations for treatment of hypoglycemia to the patient) </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198FE0D7"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7CC1BE60" w14:textId="77777777" w:rsidR="00D4326C" w:rsidRDefault="00D4326C" w:rsidP="00282204">
            <w:pPr>
              <w:keepNext/>
            </w:pPr>
          </w:p>
        </w:tc>
        <w:tc>
          <w:tcPr>
            <w:tcW w:w="1596" w:type="dxa"/>
          </w:tcPr>
          <w:p w14:paraId="2FB16D20"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44B42F07"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4F7D078B"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0A973DD6"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672BE227"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16FCBA16"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3FB15672" w14:textId="77777777" w:rsidR="00D4326C" w:rsidRDefault="00D4326C" w:rsidP="00282204">
            <w:pPr>
              <w:keepNext/>
            </w:pPr>
            <w:r>
              <w:t xml:space="preserve">Currently </w:t>
            </w:r>
          </w:p>
        </w:tc>
        <w:tc>
          <w:tcPr>
            <w:tcW w:w="1596" w:type="dxa"/>
          </w:tcPr>
          <w:p w14:paraId="114E320D"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FE2E001"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DB88AE9"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BB5F2EB"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E351F40"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6E44ED82"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787B9DAE" w14:textId="77777777" w:rsidR="00D4326C" w:rsidRDefault="00D4326C" w:rsidP="00282204">
            <w:pPr>
              <w:keepNext/>
            </w:pPr>
            <w:r>
              <w:t xml:space="preserve">In the future </w:t>
            </w:r>
          </w:p>
        </w:tc>
        <w:tc>
          <w:tcPr>
            <w:tcW w:w="1596" w:type="dxa"/>
          </w:tcPr>
          <w:p w14:paraId="395D0530"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09CC859"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9BEC3DD"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66CE4B5"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1A8EAB0E"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6558819F" w14:textId="77777777" w:rsidR="00D4326C" w:rsidRDefault="00D4326C" w:rsidP="00D4326C"/>
    <w:p w14:paraId="0F719219" w14:textId="77777777" w:rsidR="00D4326C" w:rsidRDefault="00D4326C" w:rsidP="00D4326C"/>
    <w:p w14:paraId="12FE7AB0" w14:textId="77777777" w:rsidR="00D4326C" w:rsidRDefault="00D4326C" w:rsidP="00D4326C">
      <w:pPr>
        <w:pStyle w:val="QuestionSeparator"/>
      </w:pPr>
    </w:p>
    <w:p w14:paraId="47B56EDB" w14:textId="77777777" w:rsidR="00D4326C" w:rsidRDefault="00D4326C" w:rsidP="00D4326C"/>
    <w:p w14:paraId="166A94E3" w14:textId="77777777" w:rsidR="00D4326C" w:rsidRDefault="00D4326C" w:rsidP="00D4326C">
      <w:pPr>
        <w:keepNext/>
      </w:pPr>
      <w:r>
        <w:t>Q7 Pharmacists should be involved in </w:t>
      </w:r>
      <w:r>
        <w:rPr>
          <w:b/>
        </w:rPr>
        <w:t>Verification of Prescriptions</w:t>
      </w:r>
      <w:r>
        <w:br/>
        <w:t xml:space="preserve"> (for example, reviewing prescriptions orders for appropriateness of indication, dosage, route, interval, schedule, and duration of prescribed medications, and also, detecting</w:t>
      </w:r>
      <w:r>
        <w:rPr>
          <w:b/>
        </w:rPr>
        <w:t xml:space="preserve"> </w:t>
      </w:r>
      <w:r>
        <w:t xml:space="preserve">and reporting prescribing errors and keep up to date with safety reports) </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2A46F67D"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11DE8D54" w14:textId="77777777" w:rsidR="00D4326C" w:rsidRDefault="00D4326C" w:rsidP="00282204">
            <w:pPr>
              <w:keepNext/>
            </w:pPr>
          </w:p>
        </w:tc>
        <w:tc>
          <w:tcPr>
            <w:tcW w:w="1596" w:type="dxa"/>
          </w:tcPr>
          <w:p w14:paraId="21E08039"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3CA3C0BB"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71259E59"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4B38A30F"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56D4517C"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6F64E382"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7F6AD739" w14:textId="77777777" w:rsidR="00D4326C" w:rsidRDefault="00D4326C" w:rsidP="00282204">
            <w:pPr>
              <w:keepNext/>
            </w:pPr>
            <w:r>
              <w:t xml:space="preserve">Currently </w:t>
            </w:r>
          </w:p>
        </w:tc>
        <w:tc>
          <w:tcPr>
            <w:tcW w:w="1596" w:type="dxa"/>
          </w:tcPr>
          <w:p w14:paraId="40CFA04A"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8451703"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D90D005"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7890219"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E2227FD"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47B5B0B1"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0C78E0D3" w14:textId="77777777" w:rsidR="00D4326C" w:rsidRDefault="00D4326C" w:rsidP="00282204">
            <w:pPr>
              <w:keepNext/>
            </w:pPr>
            <w:r>
              <w:t xml:space="preserve">In the future </w:t>
            </w:r>
          </w:p>
        </w:tc>
        <w:tc>
          <w:tcPr>
            <w:tcW w:w="1596" w:type="dxa"/>
          </w:tcPr>
          <w:p w14:paraId="1455B607"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734E6F0"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38C481A"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7B6C8CA"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A41C1D3"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204845A7" w14:textId="77777777" w:rsidR="00D4326C" w:rsidRDefault="00D4326C" w:rsidP="00D4326C"/>
    <w:p w14:paraId="0FA4D8DC" w14:textId="77777777" w:rsidR="00D4326C" w:rsidRDefault="00D4326C" w:rsidP="00D4326C"/>
    <w:p w14:paraId="42202472" w14:textId="77777777" w:rsidR="00D4326C" w:rsidRDefault="00D4326C" w:rsidP="00D4326C">
      <w:pPr>
        <w:pStyle w:val="QuestionSeparator"/>
      </w:pPr>
    </w:p>
    <w:p w14:paraId="66230FEA" w14:textId="77777777" w:rsidR="00D4326C" w:rsidRDefault="00D4326C" w:rsidP="00D4326C"/>
    <w:p w14:paraId="6A26706D" w14:textId="77777777" w:rsidR="00D4326C" w:rsidRDefault="00D4326C" w:rsidP="00D4326C">
      <w:pPr>
        <w:keepNext/>
      </w:pPr>
      <w:r>
        <w:t>Q8 Pharmacists should be involved in </w:t>
      </w:r>
      <w:r>
        <w:rPr>
          <w:b/>
        </w:rPr>
        <w:t>Preparing and Dispensing of Prescriptions</w:t>
      </w:r>
      <w:r>
        <w:br/>
        <w:t xml:space="preserve"> (Providing general education when dispensing patient’s medications about the appropriate time to administer medications, storage, and describing potential side effects) </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4ABB5C23"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5FB3FF6E" w14:textId="77777777" w:rsidR="00D4326C" w:rsidRDefault="00D4326C" w:rsidP="00282204">
            <w:pPr>
              <w:keepNext/>
            </w:pPr>
          </w:p>
        </w:tc>
        <w:tc>
          <w:tcPr>
            <w:tcW w:w="1596" w:type="dxa"/>
          </w:tcPr>
          <w:p w14:paraId="175B0624"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1A074B21"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24D9DF5F"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555B03B2"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1FA9A8BF"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1BE6301A"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10CA7FC3" w14:textId="77777777" w:rsidR="00D4326C" w:rsidRDefault="00D4326C" w:rsidP="00282204">
            <w:pPr>
              <w:keepNext/>
            </w:pPr>
            <w:r>
              <w:t xml:space="preserve">Currently </w:t>
            </w:r>
          </w:p>
        </w:tc>
        <w:tc>
          <w:tcPr>
            <w:tcW w:w="1596" w:type="dxa"/>
          </w:tcPr>
          <w:p w14:paraId="43941589"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30AFD5E"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7A6B565"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189D103"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F243A88"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5D59317C"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68D00DDD" w14:textId="77777777" w:rsidR="00D4326C" w:rsidRDefault="00D4326C" w:rsidP="00282204">
            <w:pPr>
              <w:keepNext/>
            </w:pPr>
            <w:r>
              <w:t xml:space="preserve">In the future </w:t>
            </w:r>
          </w:p>
        </w:tc>
        <w:tc>
          <w:tcPr>
            <w:tcW w:w="1596" w:type="dxa"/>
          </w:tcPr>
          <w:p w14:paraId="10B0CEE0"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9FD16F4"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D667598"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EBA11B9"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346C750"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41CC51B1" w14:textId="77777777" w:rsidR="00D4326C" w:rsidRDefault="00D4326C" w:rsidP="00D4326C"/>
    <w:p w14:paraId="5666BF80" w14:textId="77777777" w:rsidR="00D4326C" w:rsidRDefault="00D4326C" w:rsidP="00D4326C"/>
    <w:p w14:paraId="3ECD874A" w14:textId="77777777" w:rsidR="00D4326C" w:rsidRDefault="00D4326C" w:rsidP="00D4326C">
      <w:pPr>
        <w:pStyle w:val="QuestionSeparator"/>
      </w:pPr>
    </w:p>
    <w:p w14:paraId="6DCBEA09" w14:textId="77777777" w:rsidR="00D4326C" w:rsidRDefault="00D4326C" w:rsidP="00D4326C"/>
    <w:p w14:paraId="42DE5866" w14:textId="77777777" w:rsidR="00D4326C" w:rsidRDefault="00D4326C" w:rsidP="00D4326C">
      <w:pPr>
        <w:keepNext/>
      </w:pPr>
      <w:r>
        <w:t>Q9 Pharmacists should be involved in </w:t>
      </w:r>
      <w:r>
        <w:rPr>
          <w:b/>
        </w:rPr>
        <w:t>Patient Counselling and Education</w:t>
      </w:r>
      <w:r>
        <w:br/>
        <w:t xml:space="preserve"> (for example, providing education and consultation about medications to patients; the appropriate time to administer medications, storage, and describing potential side effects, drug-drug interactions, drug- food/supplements interactions, drug -herbal interactions and drug-disease interactions) </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05DB2400"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66F22814" w14:textId="77777777" w:rsidR="00D4326C" w:rsidRDefault="00D4326C" w:rsidP="00282204">
            <w:pPr>
              <w:keepNext/>
            </w:pPr>
          </w:p>
        </w:tc>
        <w:tc>
          <w:tcPr>
            <w:tcW w:w="1596" w:type="dxa"/>
          </w:tcPr>
          <w:p w14:paraId="72F87E19"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420A886E"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2920CDD6"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6A855777"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1879706F"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50DF223B"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4300C707" w14:textId="77777777" w:rsidR="00D4326C" w:rsidRDefault="00D4326C" w:rsidP="00282204">
            <w:pPr>
              <w:keepNext/>
            </w:pPr>
            <w:r>
              <w:t xml:space="preserve">Currently </w:t>
            </w:r>
          </w:p>
        </w:tc>
        <w:tc>
          <w:tcPr>
            <w:tcW w:w="1596" w:type="dxa"/>
          </w:tcPr>
          <w:p w14:paraId="0FE025C5"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515C252"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ECC8FC4"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18B43317"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418A783"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42AC72BC"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1B3122E1" w14:textId="77777777" w:rsidR="00D4326C" w:rsidRDefault="00D4326C" w:rsidP="00282204">
            <w:pPr>
              <w:keepNext/>
            </w:pPr>
            <w:r>
              <w:t xml:space="preserve">In the future </w:t>
            </w:r>
          </w:p>
        </w:tc>
        <w:tc>
          <w:tcPr>
            <w:tcW w:w="1596" w:type="dxa"/>
          </w:tcPr>
          <w:p w14:paraId="4713C55D"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C876064"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089D3D7"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290AE14"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13732057"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6CBA7AEC" w14:textId="77777777" w:rsidR="00D4326C" w:rsidRDefault="00D4326C" w:rsidP="00D4326C"/>
    <w:p w14:paraId="490AADC3" w14:textId="77777777" w:rsidR="00D4326C" w:rsidRDefault="00D4326C" w:rsidP="00D4326C"/>
    <w:p w14:paraId="39B8FFC3" w14:textId="77777777" w:rsidR="00D4326C" w:rsidRDefault="00D4326C" w:rsidP="00D4326C">
      <w:pPr>
        <w:pStyle w:val="QuestionSeparator"/>
      </w:pPr>
    </w:p>
    <w:p w14:paraId="0938A13A" w14:textId="77777777" w:rsidR="00D4326C" w:rsidRDefault="00D4326C" w:rsidP="00D4326C"/>
    <w:p w14:paraId="5C8DE930" w14:textId="77777777" w:rsidR="00D4326C" w:rsidRDefault="00D4326C" w:rsidP="00D4326C">
      <w:pPr>
        <w:keepNext/>
      </w:pPr>
      <w:r>
        <w:t>Q10 Pharmacists should be involved in </w:t>
      </w:r>
      <w:r>
        <w:rPr>
          <w:b/>
        </w:rPr>
        <w:t>Healthy lifestyle Education</w:t>
      </w:r>
      <w:r>
        <w:br/>
        <w:t xml:space="preserve"> (for example, providing education to patients about the importance of immunization for influenza and pneumococcal pneumonia in diabetes, providing basic information on diet and exercise as they relate to diabetes management)</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546CD3A9"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4B37BC57" w14:textId="77777777" w:rsidR="00D4326C" w:rsidRDefault="00D4326C" w:rsidP="00282204">
            <w:pPr>
              <w:keepNext/>
            </w:pPr>
          </w:p>
        </w:tc>
        <w:tc>
          <w:tcPr>
            <w:tcW w:w="1596" w:type="dxa"/>
          </w:tcPr>
          <w:p w14:paraId="344130A5"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43F3F804"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017E95A3"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703F3C11"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44F05EAC"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041722E6"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6E00D8CD" w14:textId="77777777" w:rsidR="00D4326C" w:rsidRDefault="00D4326C" w:rsidP="00282204">
            <w:pPr>
              <w:keepNext/>
            </w:pPr>
            <w:r>
              <w:t xml:space="preserve">Currently </w:t>
            </w:r>
          </w:p>
        </w:tc>
        <w:tc>
          <w:tcPr>
            <w:tcW w:w="1596" w:type="dxa"/>
          </w:tcPr>
          <w:p w14:paraId="318A2B95"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1CB6B764"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8A63D03"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C7F7316"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106EC20D"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2579DFD3"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06A2918C" w14:textId="77777777" w:rsidR="00D4326C" w:rsidRDefault="00D4326C" w:rsidP="00282204">
            <w:pPr>
              <w:keepNext/>
            </w:pPr>
            <w:r>
              <w:t xml:space="preserve">In the future </w:t>
            </w:r>
          </w:p>
        </w:tc>
        <w:tc>
          <w:tcPr>
            <w:tcW w:w="1596" w:type="dxa"/>
          </w:tcPr>
          <w:p w14:paraId="25B65FFC"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08CFBE5"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1BA8669F"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675A0DA"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9A8A2CA"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4F8C5D38" w14:textId="77777777" w:rsidR="00D4326C" w:rsidRDefault="00D4326C" w:rsidP="00D4326C"/>
    <w:p w14:paraId="56E116B1" w14:textId="77777777" w:rsidR="00D4326C" w:rsidRDefault="00D4326C" w:rsidP="00D4326C"/>
    <w:p w14:paraId="14306CFB" w14:textId="77777777" w:rsidR="00D4326C" w:rsidRDefault="00D4326C" w:rsidP="00D4326C">
      <w:pPr>
        <w:pStyle w:val="QuestionSeparator"/>
      </w:pPr>
    </w:p>
    <w:p w14:paraId="20D18325" w14:textId="77777777" w:rsidR="00D4326C" w:rsidRDefault="00D4326C" w:rsidP="00D4326C"/>
    <w:p w14:paraId="20A0F17E" w14:textId="77777777" w:rsidR="00D4326C" w:rsidRDefault="00D4326C" w:rsidP="00D4326C">
      <w:pPr>
        <w:keepNext/>
      </w:pPr>
      <w:r>
        <w:t>Q11 Pharmacists should be involved in Independent Prescribing of Diabetes Medications  (prescribe independently without supervision of another prescriber)  </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282DD263"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595D3A73" w14:textId="77777777" w:rsidR="00D4326C" w:rsidRDefault="00D4326C" w:rsidP="00282204">
            <w:pPr>
              <w:keepNext/>
            </w:pPr>
          </w:p>
        </w:tc>
        <w:tc>
          <w:tcPr>
            <w:tcW w:w="1596" w:type="dxa"/>
          </w:tcPr>
          <w:p w14:paraId="68983926"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32D54BCF"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3BCA1858"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5314C122"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5E421509"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18E35078"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00ECEAD3" w14:textId="77777777" w:rsidR="00D4326C" w:rsidRDefault="00D4326C" w:rsidP="00282204">
            <w:pPr>
              <w:keepNext/>
            </w:pPr>
            <w:r>
              <w:t xml:space="preserve">Currently </w:t>
            </w:r>
          </w:p>
        </w:tc>
        <w:tc>
          <w:tcPr>
            <w:tcW w:w="1596" w:type="dxa"/>
          </w:tcPr>
          <w:p w14:paraId="1BF93F60"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4010B7C"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7226F92"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F1F1C30"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78949DB"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09C2E354"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6392D360" w14:textId="77777777" w:rsidR="00D4326C" w:rsidRDefault="00D4326C" w:rsidP="00282204">
            <w:pPr>
              <w:keepNext/>
            </w:pPr>
            <w:r>
              <w:t xml:space="preserve">In the future </w:t>
            </w:r>
          </w:p>
        </w:tc>
        <w:tc>
          <w:tcPr>
            <w:tcW w:w="1596" w:type="dxa"/>
          </w:tcPr>
          <w:p w14:paraId="12C3E42B"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014F461"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EEFEDE7"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15868765"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504F1F3"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1497BE26" w14:textId="77777777" w:rsidR="00D4326C" w:rsidRDefault="00D4326C" w:rsidP="00D4326C"/>
    <w:p w14:paraId="1C6666DD" w14:textId="77777777" w:rsidR="00D4326C" w:rsidRDefault="00D4326C" w:rsidP="00D4326C"/>
    <w:p w14:paraId="1F84E276" w14:textId="77777777" w:rsidR="00D4326C" w:rsidRDefault="00D4326C" w:rsidP="00D4326C">
      <w:pPr>
        <w:pStyle w:val="QuestionSeparator"/>
      </w:pPr>
    </w:p>
    <w:p w14:paraId="47F088DB" w14:textId="77777777" w:rsidR="00D4326C" w:rsidRDefault="00D4326C" w:rsidP="00D4326C"/>
    <w:p w14:paraId="71BF180A" w14:textId="77777777" w:rsidR="00D4326C" w:rsidRDefault="00D4326C" w:rsidP="00D4326C">
      <w:pPr>
        <w:keepNext/>
      </w:pPr>
      <w:r>
        <w:t>Q12 Pharmacists should be involved in</w:t>
      </w:r>
      <w:r>
        <w:rPr>
          <w:b/>
        </w:rPr>
        <w:t> </w:t>
      </w:r>
      <w:r>
        <w:t>Dependent Prescribing (supplementary or collaborative prescribing of diabetes medications with doctors)</w:t>
      </w:r>
    </w:p>
    <w:tbl>
      <w:tblPr>
        <w:tblStyle w:val="QQuestionTable"/>
        <w:tblW w:w="9576" w:type="auto"/>
        <w:tblLook w:val="07E0" w:firstRow="1" w:lastRow="1" w:firstColumn="1" w:lastColumn="1" w:noHBand="1" w:noVBand="1"/>
      </w:tblPr>
      <w:tblGrid>
        <w:gridCol w:w="1566"/>
        <w:gridCol w:w="1561"/>
        <w:gridCol w:w="1562"/>
        <w:gridCol w:w="1561"/>
        <w:gridCol w:w="1550"/>
        <w:gridCol w:w="1560"/>
      </w:tblGrid>
      <w:tr w:rsidR="00D4326C" w14:paraId="5C652001" w14:textId="77777777" w:rsidTr="00282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4B0A39B5" w14:textId="77777777" w:rsidR="00D4326C" w:rsidRDefault="00D4326C" w:rsidP="00282204">
            <w:pPr>
              <w:keepNext/>
            </w:pPr>
          </w:p>
        </w:tc>
        <w:tc>
          <w:tcPr>
            <w:tcW w:w="1596" w:type="dxa"/>
          </w:tcPr>
          <w:p w14:paraId="6254BB2E"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disagree</w:t>
            </w:r>
          </w:p>
        </w:tc>
        <w:tc>
          <w:tcPr>
            <w:tcW w:w="1596" w:type="dxa"/>
          </w:tcPr>
          <w:p w14:paraId="679DB929"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Disagree</w:t>
            </w:r>
          </w:p>
        </w:tc>
        <w:tc>
          <w:tcPr>
            <w:tcW w:w="1596" w:type="dxa"/>
          </w:tcPr>
          <w:p w14:paraId="28D557DA"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Neither agree nor disagree</w:t>
            </w:r>
          </w:p>
        </w:tc>
        <w:tc>
          <w:tcPr>
            <w:tcW w:w="1596" w:type="dxa"/>
          </w:tcPr>
          <w:p w14:paraId="1B9806A3"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Agree</w:t>
            </w:r>
          </w:p>
        </w:tc>
        <w:tc>
          <w:tcPr>
            <w:tcW w:w="1596" w:type="dxa"/>
          </w:tcPr>
          <w:p w14:paraId="324356C9" w14:textId="77777777" w:rsidR="00D4326C" w:rsidRDefault="00D4326C" w:rsidP="00282204">
            <w:pPr>
              <w:cnfStyle w:val="100000000000" w:firstRow="1" w:lastRow="0" w:firstColumn="0" w:lastColumn="0" w:oddVBand="0" w:evenVBand="0" w:oddHBand="0" w:evenHBand="0" w:firstRowFirstColumn="0" w:firstRowLastColumn="0" w:lastRowFirstColumn="0" w:lastRowLastColumn="0"/>
            </w:pPr>
            <w:r>
              <w:t>Strongly agree</w:t>
            </w:r>
          </w:p>
        </w:tc>
      </w:tr>
      <w:tr w:rsidR="00D4326C" w14:paraId="69CADC1B"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2E89AF0A" w14:textId="77777777" w:rsidR="00D4326C" w:rsidRDefault="00D4326C" w:rsidP="00282204">
            <w:pPr>
              <w:keepNext/>
            </w:pPr>
            <w:r>
              <w:t xml:space="preserve">Currently </w:t>
            </w:r>
          </w:p>
        </w:tc>
        <w:tc>
          <w:tcPr>
            <w:tcW w:w="1596" w:type="dxa"/>
          </w:tcPr>
          <w:p w14:paraId="730CE2F4"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06BA00D"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BE804D7"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1F0E7816"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9219E84"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r w:rsidR="00D4326C" w14:paraId="186241DB" w14:textId="77777777" w:rsidTr="00282204">
        <w:tc>
          <w:tcPr>
            <w:cnfStyle w:val="001000000000" w:firstRow="0" w:lastRow="0" w:firstColumn="1" w:lastColumn="0" w:oddVBand="0" w:evenVBand="0" w:oddHBand="0" w:evenHBand="0" w:firstRowFirstColumn="0" w:firstRowLastColumn="0" w:lastRowFirstColumn="0" w:lastRowLastColumn="0"/>
            <w:tcW w:w="1596" w:type="dxa"/>
          </w:tcPr>
          <w:p w14:paraId="266AF3D1" w14:textId="77777777" w:rsidR="00D4326C" w:rsidRDefault="00D4326C" w:rsidP="00282204">
            <w:pPr>
              <w:keepNext/>
            </w:pPr>
            <w:r>
              <w:t xml:space="preserve">In the future </w:t>
            </w:r>
          </w:p>
        </w:tc>
        <w:tc>
          <w:tcPr>
            <w:tcW w:w="1596" w:type="dxa"/>
          </w:tcPr>
          <w:p w14:paraId="70186400"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2C15459"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DCDE060"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5E25C16D"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97A6ADB" w14:textId="77777777" w:rsidR="00D4326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pPr>
          </w:p>
        </w:tc>
      </w:tr>
    </w:tbl>
    <w:p w14:paraId="0C85306D" w14:textId="77777777" w:rsidR="00D4326C" w:rsidRDefault="00D4326C" w:rsidP="00D4326C"/>
    <w:p w14:paraId="6C9F6C1C" w14:textId="77777777" w:rsidR="00D4326C" w:rsidRDefault="00D4326C" w:rsidP="00D4326C"/>
    <w:p w14:paraId="3B0355F3" w14:textId="77777777" w:rsidR="00D4326C" w:rsidRDefault="00D4326C" w:rsidP="00D4326C">
      <w:pPr>
        <w:pStyle w:val="QuestionSeparator"/>
      </w:pPr>
    </w:p>
    <w:p w14:paraId="0A0514C9" w14:textId="77777777" w:rsidR="00D4326C" w:rsidRDefault="00D4326C" w:rsidP="00D4326C"/>
    <w:p w14:paraId="7FFB1DC2" w14:textId="77777777" w:rsidR="00D4326C" w:rsidRDefault="00D4326C" w:rsidP="00D4326C">
      <w:pPr>
        <w:keepNext/>
      </w:pPr>
      <w:r>
        <w:t xml:space="preserve">Views2 Are there any other diabetes care services (not represented in the above) that you think pharmacists should be involved in </w:t>
      </w:r>
      <w:r>
        <w:rPr>
          <w:b/>
        </w:rPr>
        <w:t>currently</w:t>
      </w:r>
      <w:r>
        <w:t>? If so, please state what these are: </w:t>
      </w:r>
    </w:p>
    <w:p w14:paraId="5FB1AB43" w14:textId="77777777" w:rsidR="00D4326C" w:rsidRDefault="00D4326C" w:rsidP="00D4326C">
      <w:pPr>
        <w:pStyle w:val="TextEntryLine"/>
        <w:ind w:firstLine="400"/>
      </w:pPr>
      <w:r>
        <w:t>________________________________________________________________</w:t>
      </w:r>
    </w:p>
    <w:p w14:paraId="3E04190F" w14:textId="77777777" w:rsidR="00D4326C" w:rsidRDefault="00D4326C" w:rsidP="00D4326C"/>
    <w:p w14:paraId="3E42279F" w14:textId="77777777" w:rsidR="00D4326C" w:rsidRDefault="00D4326C" w:rsidP="00D4326C">
      <w:pPr>
        <w:pStyle w:val="QuestionSeparator"/>
      </w:pPr>
    </w:p>
    <w:p w14:paraId="0AF6CA11" w14:textId="77777777" w:rsidR="00D4326C" w:rsidRDefault="00D4326C" w:rsidP="00D4326C"/>
    <w:p w14:paraId="38B2B6B5" w14:textId="77777777" w:rsidR="00D4326C" w:rsidRDefault="00D4326C" w:rsidP="00D4326C">
      <w:pPr>
        <w:keepNext/>
      </w:pPr>
      <w:r>
        <w:t>Views3 Are there any other diabetes care services (not represented in the above) that you think pharmacists should be involved in</w:t>
      </w:r>
      <w:r>
        <w:rPr>
          <w:b/>
        </w:rPr>
        <w:t xml:space="preserve"> the future</w:t>
      </w:r>
      <w:r>
        <w:t>? If so, please state what these are: </w:t>
      </w:r>
    </w:p>
    <w:p w14:paraId="3B181100" w14:textId="77777777" w:rsidR="00D4326C" w:rsidRDefault="00D4326C" w:rsidP="00D4326C">
      <w:pPr>
        <w:pStyle w:val="TextEntryLine"/>
        <w:ind w:firstLine="400"/>
      </w:pPr>
      <w:r>
        <w:t>________________________________________________________________</w:t>
      </w:r>
    </w:p>
    <w:p w14:paraId="2550FF46" w14:textId="77777777" w:rsidR="00D4326C" w:rsidRDefault="00D4326C" w:rsidP="00D4326C"/>
    <w:p w14:paraId="2F5DE4D7" w14:textId="77777777" w:rsidR="00D4326C" w:rsidRDefault="00D4326C" w:rsidP="00D4326C">
      <w:pPr>
        <w:pStyle w:val="QuestionSeparator"/>
      </w:pPr>
    </w:p>
    <w:tbl>
      <w:tblPr>
        <w:tblW w:w="0" w:type="auto"/>
        <w:tblInd w:w="10" w:type="dxa"/>
        <w:tblCellMar>
          <w:left w:w="10" w:type="dxa"/>
          <w:right w:w="10" w:type="dxa"/>
        </w:tblCellMar>
        <w:tblLook w:val="04A0" w:firstRow="1" w:lastRow="0" w:firstColumn="1" w:lastColumn="0" w:noHBand="0" w:noVBand="1"/>
      </w:tblPr>
      <w:tblGrid>
        <w:gridCol w:w="1347"/>
        <w:gridCol w:w="8003"/>
      </w:tblGrid>
      <w:tr w:rsidR="00D4326C" w14:paraId="02266CF6" w14:textId="77777777" w:rsidTr="00282204">
        <w:trPr>
          <w:trHeight w:val="300"/>
        </w:trPr>
        <w:tc>
          <w:tcPr>
            <w:tcW w:w="1368" w:type="dxa"/>
            <w:tcBorders>
              <w:top w:val="nil"/>
              <w:left w:val="nil"/>
              <w:bottom w:val="nil"/>
              <w:right w:val="nil"/>
            </w:tcBorders>
          </w:tcPr>
          <w:p w14:paraId="4020DFBA" w14:textId="77777777" w:rsidR="00D4326C" w:rsidRDefault="00D4326C" w:rsidP="00282204">
            <w:pPr>
              <w:rPr>
                <w:color w:val="CCCCCC"/>
              </w:rPr>
            </w:pPr>
            <w:r>
              <w:rPr>
                <w:color w:val="CCCCCC"/>
              </w:rPr>
              <w:t>Page Break</w:t>
            </w:r>
          </w:p>
        </w:tc>
        <w:tc>
          <w:tcPr>
            <w:tcW w:w="8208" w:type="dxa"/>
            <w:tcBorders>
              <w:top w:val="nil"/>
              <w:left w:val="nil"/>
              <w:bottom w:val="nil"/>
              <w:right w:val="nil"/>
            </w:tcBorders>
          </w:tcPr>
          <w:p w14:paraId="4833B152" w14:textId="77777777" w:rsidR="00D4326C" w:rsidRDefault="00D4326C" w:rsidP="00282204">
            <w:pPr>
              <w:pBdr>
                <w:top w:val="single" w:sz="8" w:space="0" w:color="CCCCCC"/>
              </w:pBdr>
              <w:spacing w:before="120" w:after="120" w:line="120" w:lineRule="auto"/>
              <w:jc w:val="center"/>
              <w:rPr>
                <w:color w:val="CCCCCC"/>
              </w:rPr>
            </w:pPr>
          </w:p>
        </w:tc>
      </w:tr>
    </w:tbl>
    <w:p w14:paraId="172EC880" w14:textId="77777777" w:rsidR="00D4326C" w:rsidRDefault="00D4326C" w:rsidP="00D4326C">
      <w:r>
        <w:br w:type="page"/>
      </w:r>
    </w:p>
    <w:p w14:paraId="78CE93A4" w14:textId="77777777" w:rsidR="00D4326C" w:rsidRDefault="00D4326C" w:rsidP="00D4326C">
      <w:pPr>
        <w:pStyle w:val="BlockEndLabel"/>
      </w:pPr>
      <w:r>
        <w:t>End of Block: Views on Potential Pharmacist Involvement in Diabetes Care</w:t>
      </w:r>
    </w:p>
    <w:p w14:paraId="2802F3D0" w14:textId="77777777" w:rsidR="00D4326C" w:rsidRDefault="00D4326C" w:rsidP="00D4326C">
      <w:pPr>
        <w:pStyle w:val="BlockSeparator"/>
      </w:pPr>
    </w:p>
    <w:p w14:paraId="14504882" w14:textId="77777777" w:rsidR="00D4326C" w:rsidRDefault="00D4326C" w:rsidP="00D4326C">
      <w:pPr>
        <w:pStyle w:val="BlockStartLabel"/>
      </w:pPr>
      <w:r>
        <w:t>Start of Block: Potential impact of Pharmacist Involvement in Diabetes Primary Care Management</w:t>
      </w:r>
    </w:p>
    <w:tbl>
      <w:tblPr>
        <w:tblStyle w:val="QQuestionIconTable"/>
        <w:tblW w:w="50" w:type="auto"/>
        <w:tblLook w:val="07E0" w:firstRow="1" w:lastRow="1" w:firstColumn="1" w:lastColumn="1" w:noHBand="1" w:noVBand="1"/>
      </w:tblPr>
      <w:tblGrid>
        <w:gridCol w:w="380"/>
      </w:tblGrid>
      <w:tr w:rsidR="00D4326C" w14:paraId="2ED4126F" w14:textId="77777777" w:rsidTr="00282204">
        <w:tc>
          <w:tcPr>
            <w:tcW w:w="50" w:type="dxa"/>
          </w:tcPr>
          <w:p w14:paraId="66FA63D0" w14:textId="77777777" w:rsidR="00D4326C" w:rsidRDefault="00D4326C" w:rsidP="00282204">
            <w:pPr>
              <w:keepNext/>
            </w:pPr>
            <w:r>
              <w:rPr>
                <w:noProof/>
              </w:rPr>
              <w:drawing>
                <wp:inline distT="0" distB="0" distL="0" distR="0" wp14:anchorId="62EE7184" wp14:editId="7085B83B">
                  <wp:extent cx="228600" cy="228600"/>
                  <wp:effectExtent l="0" t="0" r="0" b="0"/>
                  <wp:docPr id="5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QuestionRecodeOptions.png"/>
                          <pic:cNvPicPr/>
                        </pic:nvPicPr>
                        <pic:blipFill>
                          <a:blip r:embed="rId49"/>
                          <a:stretch>
                            <a:fillRect/>
                          </a:stretch>
                        </pic:blipFill>
                        <pic:spPr>
                          <a:xfrm>
                            <a:off x="0" y="0"/>
                            <a:ext cx="228600" cy="228600"/>
                          </a:xfrm>
                          <a:prstGeom prst="rect">
                            <a:avLst/>
                          </a:prstGeom>
                        </pic:spPr>
                      </pic:pic>
                    </a:graphicData>
                  </a:graphic>
                </wp:inline>
              </w:drawing>
            </w:r>
          </w:p>
        </w:tc>
      </w:tr>
    </w:tbl>
    <w:p w14:paraId="18D3E712" w14:textId="77777777" w:rsidR="00D4326C" w:rsidRDefault="00D4326C" w:rsidP="00D4326C"/>
    <w:p w14:paraId="1454609A" w14:textId="77777777" w:rsidR="00D4326C" w:rsidRDefault="00D4326C" w:rsidP="00D4326C">
      <w:pPr>
        <w:keepNext/>
      </w:pPr>
      <w:r>
        <w:t xml:space="preserve">Potential Impacts1 </w:t>
      </w:r>
      <w:r>
        <w:br/>
        <w:t xml:space="preserve">   </w:t>
      </w:r>
      <w:r>
        <w:br/>
      </w:r>
      <w:r>
        <w:rPr>
          <w:b/>
        </w:rPr>
        <w:t>Potential Impact of Pharmacist Involvement in Diabetes Primary Care Management</w:t>
      </w:r>
      <w:r>
        <w:t xml:space="preserve"> </w:t>
      </w:r>
      <w:r>
        <w:br/>
        <w:t xml:space="preserve"> This section will help us to understand the opinion of healthcare professionals about the perceived or potential impact of pharmacist involvement in diabetes care in primary healthcare centres in Saudi Arabia. </w:t>
      </w:r>
      <w:r>
        <w:br/>
        <w:t xml:space="preserve">  </w:t>
      </w:r>
      <w:r>
        <w:br/>
        <w:t xml:space="preserve"> For each statement below, please select the response that best describes how you feel about the statement related to the role of pharmacists working in primary healthcare centres. This may be both current impact and potential impact.   </w:t>
      </w:r>
    </w:p>
    <w:tbl>
      <w:tblPr>
        <w:tblStyle w:val="QQuestionTable"/>
        <w:tblW w:w="10368" w:type="dxa"/>
        <w:tblLook w:val="07E0" w:firstRow="1" w:lastRow="1" w:firstColumn="1" w:lastColumn="1" w:noHBand="1" w:noVBand="1"/>
      </w:tblPr>
      <w:tblGrid>
        <w:gridCol w:w="2949"/>
        <w:gridCol w:w="916"/>
        <w:gridCol w:w="1642"/>
        <w:gridCol w:w="1636"/>
        <w:gridCol w:w="1595"/>
        <w:gridCol w:w="1630"/>
      </w:tblGrid>
      <w:tr w:rsidR="00D4326C" w:rsidRPr="00530FAC" w14:paraId="2C978EBE" w14:textId="77777777" w:rsidTr="00282204">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949" w:type="dxa"/>
          </w:tcPr>
          <w:p w14:paraId="040ABD3B" w14:textId="77777777" w:rsidR="00D4326C" w:rsidRPr="00496520" w:rsidRDefault="00D4326C" w:rsidP="00282204">
            <w:pPr>
              <w:keepNext/>
              <w:jc w:val="left"/>
            </w:pPr>
          </w:p>
        </w:tc>
        <w:tc>
          <w:tcPr>
            <w:tcW w:w="916" w:type="dxa"/>
          </w:tcPr>
          <w:p w14:paraId="2B0A2646" w14:textId="77777777" w:rsidR="00D4326C" w:rsidRPr="00530FAC"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530FAC">
              <w:rPr>
                <w:sz w:val="18"/>
                <w:szCs w:val="18"/>
              </w:rPr>
              <w:t>Strongly disagree</w:t>
            </w:r>
          </w:p>
        </w:tc>
        <w:tc>
          <w:tcPr>
            <w:tcW w:w="1642" w:type="dxa"/>
          </w:tcPr>
          <w:p w14:paraId="3F6B1ADB" w14:textId="77777777" w:rsidR="00D4326C" w:rsidRPr="00530FAC"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530FAC">
              <w:rPr>
                <w:sz w:val="18"/>
                <w:szCs w:val="18"/>
              </w:rPr>
              <w:t>Disagree</w:t>
            </w:r>
          </w:p>
        </w:tc>
        <w:tc>
          <w:tcPr>
            <w:tcW w:w="1636" w:type="dxa"/>
          </w:tcPr>
          <w:p w14:paraId="0AF20BB8" w14:textId="77777777" w:rsidR="00D4326C" w:rsidRPr="00530FAC"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530FAC">
              <w:rPr>
                <w:sz w:val="18"/>
                <w:szCs w:val="18"/>
              </w:rPr>
              <w:t>Neither agree nor disagree</w:t>
            </w:r>
          </w:p>
        </w:tc>
        <w:tc>
          <w:tcPr>
            <w:tcW w:w="1595" w:type="dxa"/>
          </w:tcPr>
          <w:p w14:paraId="02B84240" w14:textId="77777777" w:rsidR="00D4326C" w:rsidRPr="00530FAC"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530FAC">
              <w:rPr>
                <w:sz w:val="18"/>
                <w:szCs w:val="18"/>
              </w:rPr>
              <w:t>Agree</w:t>
            </w:r>
          </w:p>
        </w:tc>
        <w:tc>
          <w:tcPr>
            <w:tcW w:w="1630" w:type="dxa"/>
          </w:tcPr>
          <w:p w14:paraId="71D251C3" w14:textId="77777777" w:rsidR="00D4326C" w:rsidRPr="00530FAC"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530FAC">
              <w:rPr>
                <w:sz w:val="18"/>
                <w:szCs w:val="18"/>
              </w:rPr>
              <w:t>Strongly agree</w:t>
            </w:r>
          </w:p>
        </w:tc>
      </w:tr>
      <w:tr w:rsidR="00D4326C" w:rsidRPr="00530FAC" w14:paraId="7F569DFF" w14:textId="77777777" w:rsidTr="00282204">
        <w:trPr>
          <w:trHeight w:val="918"/>
        </w:trPr>
        <w:tc>
          <w:tcPr>
            <w:cnfStyle w:val="001000000000" w:firstRow="0" w:lastRow="0" w:firstColumn="1" w:lastColumn="0" w:oddVBand="0" w:evenVBand="0" w:oddHBand="0" w:evenHBand="0" w:firstRowFirstColumn="0" w:firstRowLastColumn="0" w:lastRowFirstColumn="0" w:lastRowLastColumn="0"/>
            <w:tcW w:w="2949" w:type="dxa"/>
          </w:tcPr>
          <w:p w14:paraId="4D4BE4F7" w14:textId="77777777" w:rsidR="00D4326C" w:rsidRPr="00496520" w:rsidRDefault="00D4326C" w:rsidP="00282204">
            <w:pPr>
              <w:keepNext/>
              <w:jc w:val="left"/>
            </w:pPr>
            <w:r w:rsidRPr="00496520">
              <w:t xml:space="preserve">Pharmacists can be an important and integral part of the medical team for diabetes management </w:t>
            </w:r>
          </w:p>
        </w:tc>
        <w:tc>
          <w:tcPr>
            <w:tcW w:w="916" w:type="dxa"/>
          </w:tcPr>
          <w:p w14:paraId="739BBEAE"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38EF0914"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453C2573"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2F7576CF"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485BA85C"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49F59A6B" w14:textId="77777777" w:rsidTr="00282204">
        <w:trPr>
          <w:trHeight w:val="1148"/>
        </w:trPr>
        <w:tc>
          <w:tcPr>
            <w:cnfStyle w:val="001000000000" w:firstRow="0" w:lastRow="0" w:firstColumn="1" w:lastColumn="0" w:oddVBand="0" w:evenVBand="0" w:oddHBand="0" w:evenHBand="0" w:firstRowFirstColumn="0" w:firstRowLastColumn="0" w:lastRowFirstColumn="0" w:lastRowLastColumn="0"/>
            <w:tcW w:w="2949" w:type="dxa"/>
          </w:tcPr>
          <w:p w14:paraId="38F831E7" w14:textId="77777777" w:rsidR="00D4326C" w:rsidRPr="00496520" w:rsidRDefault="00D4326C" w:rsidP="00282204">
            <w:pPr>
              <w:keepNext/>
              <w:jc w:val="left"/>
            </w:pPr>
            <w:r w:rsidRPr="00496520">
              <w:t xml:space="preserve">Pharmacists as medication therapy experts can make the management of patients’ medication more efficient </w:t>
            </w:r>
          </w:p>
        </w:tc>
        <w:tc>
          <w:tcPr>
            <w:tcW w:w="916" w:type="dxa"/>
          </w:tcPr>
          <w:p w14:paraId="249F44E9"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0D2357E5"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1FEF96FA"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457FC3CB"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51872DD1"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1B8D46C8" w14:textId="77777777" w:rsidTr="00282204">
        <w:trPr>
          <w:trHeight w:val="1607"/>
        </w:trPr>
        <w:tc>
          <w:tcPr>
            <w:cnfStyle w:val="001000000000" w:firstRow="0" w:lastRow="0" w:firstColumn="1" w:lastColumn="0" w:oddVBand="0" w:evenVBand="0" w:oddHBand="0" w:evenHBand="0" w:firstRowFirstColumn="0" w:firstRowLastColumn="0" w:lastRowFirstColumn="0" w:lastRowLastColumn="0"/>
            <w:tcW w:w="2949" w:type="dxa"/>
          </w:tcPr>
          <w:p w14:paraId="6E31DF7F" w14:textId="77777777" w:rsidR="00D4326C" w:rsidRPr="00496520" w:rsidRDefault="00D4326C" w:rsidP="00282204">
            <w:pPr>
              <w:keepNext/>
              <w:jc w:val="left"/>
            </w:pPr>
            <w:r w:rsidRPr="00496520">
              <w:t xml:space="preserve">Pharmacists can provide drug information to physicians to help in decision-making regarding medicines to treat the patient’s condition </w:t>
            </w:r>
          </w:p>
        </w:tc>
        <w:tc>
          <w:tcPr>
            <w:tcW w:w="916" w:type="dxa"/>
          </w:tcPr>
          <w:p w14:paraId="0A58092B"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6E647E2D"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20497019"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3C5E2A5A"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038B8C2D"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62E88E16" w14:textId="77777777" w:rsidTr="00282204">
        <w:trPr>
          <w:trHeight w:val="678"/>
        </w:trPr>
        <w:tc>
          <w:tcPr>
            <w:cnfStyle w:val="001000000000" w:firstRow="0" w:lastRow="0" w:firstColumn="1" w:lastColumn="0" w:oddVBand="0" w:evenVBand="0" w:oddHBand="0" w:evenHBand="0" w:firstRowFirstColumn="0" w:firstRowLastColumn="0" w:lastRowFirstColumn="0" w:lastRowLastColumn="0"/>
            <w:tcW w:w="2949" w:type="dxa"/>
          </w:tcPr>
          <w:p w14:paraId="15E1357C" w14:textId="77777777" w:rsidR="00D4326C" w:rsidRPr="00496520" w:rsidRDefault="00D4326C" w:rsidP="00282204">
            <w:pPr>
              <w:keepNext/>
              <w:jc w:val="left"/>
            </w:pPr>
            <w:r w:rsidRPr="00496520">
              <w:t xml:space="preserve">Pharmacists can help with co-management of complex patients </w:t>
            </w:r>
          </w:p>
        </w:tc>
        <w:tc>
          <w:tcPr>
            <w:tcW w:w="916" w:type="dxa"/>
          </w:tcPr>
          <w:p w14:paraId="7BCD8CD1"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17A025AA"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75D1A86C"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073723E2"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69685743"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60FE0DA8" w14:textId="77777777" w:rsidTr="00282204">
        <w:trPr>
          <w:trHeight w:val="589"/>
        </w:trPr>
        <w:tc>
          <w:tcPr>
            <w:cnfStyle w:val="001000000000" w:firstRow="0" w:lastRow="0" w:firstColumn="1" w:lastColumn="0" w:oddVBand="0" w:evenVBand="0" w:oddHBand="0" w:evenHBand="0" w:firstRowFirstColumn="0" w:firstRowLastColumn="0" w:lastRowFirstColumn="0" w:lastRowLastColumn="0"/>
            <w:tcW w:w="2949" w:type="dxa"/>
          </w:tcPr>
          <w:p w14:paraId="0E9FDFA6" w14:textId="77777777" w:rsidR="00D4326C" w:rsidRPr="00496520" w:rsidRDefault="00D4326C" w:rsidP="00282204">
            <w:pPr>
              <w:keepNext/>
              <w:jc w:val="left"/>
            </w:pPr>
            <w:r w:rsidRPr="00496520">
              <w:t xml:space="preserve">Pharmacists can help doctors to prescribe safely </w:t>
            </w:r>
          </w:p>
        </w:tc>
        <w:tc>
          <w:tcPr>
            <w:tcW w:w="916" w:type="dxa"/>
          </w:tcPr>
          <w:p w14:paraId="2653AE3C"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734FFFD9"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5F170FAE"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12C17D20"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23E9F238"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1002DB90" w14:textId="77777777" w:rsidTr="00282204">
        <w:trPr>
          <w:trHeight w:val="688"/>
        </w:trPr>
        <w:tc>
          <w:tcPr>
            <w:cnfStyle w:val="001000000000" w:firstRow="0" w:lastRow="0" w:firstColumn="1" w:lastColumn="0" w:oddVBand="0" w:evenVBand="0" w:oddHBand="0" w:evenHBand="0" w:firstRowFirstColumn="0" w:firstRowLastColumn="0" w:lastRowFirstColumn="0" w:lastRowLastColumn="0"/>
            <w:tcW w:w="2949" w:type="dxa"/>
          </w:tcPr>
          <w:p w14:paraId="0D5ED288" w14:textId="77777777" w:rsidR="00D4326C" w:rsidRPr="00496520" w:rsidRDefault="00D4326C" w:rsidP="00282204">
            <w:pPr>
              <w:keepNext/>
              <w:jc w:val="left"/>
            </w:pPr>
            <w:r w:rsidRPr="00496520">
              <w:t xml:space="preserve">Pharmacists can reduce medication errors in practice </w:t>
            </w:r>
          </w:p>
        </w:tc>
        <w:tc>
          <w:tcPr>
            <w:tcW w:w="916" w:type="dxa"/>
          </w:tcPr>
          <w:p w14:paraId="09BF5F7C"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0DBED4BE"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6CF43571"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6FB327A2"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47046E28"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09214EAB" w14:textId="77777777" w:rsidTr="00282204">
        <w:trPr>
          <w:trHeight w:val="688"/>
        </w:trPr>
        <w:tc>
          <w:tcPr>
            <w:cnfStyle w:val="001000000000" w:firstRow="0" w:lastRow="0" w:firstColumn="1" w:lastColumn="0" w:oddVBand="0" w:evenVBand="0" w:oddHBand="0" w:evenHBand="0" w:firstRowFirstColumn="0" w:firstRowLastColumn="0" w:lastRowFirstColumn="0" w:lastRowLastColumn="0"/>
            <w:tcW w:w="2949" w:type="dxa"/>
          </w:tcPr>
          <w:p w14:paraId="58ADCD6C" w14:textId="77777777" w:rsidR="00D4326C" w:rsidRPr="00496520" w:rsidRDefault="00D4326C" w:rsidP="00282204">
            <w:pPr>
              <w:keepNext/>
              <w:jc w:val="left"/>
            </w:pPr>
            <w:r w:rsidRPr="00496520">
              <w:t xml:space="preserve">Pharmacists can help doctors to prescribe cost-effectively </w:t>
            </w:r>
          </w:p>
        </w:tc>
        <w:tc>
          <w:tcPr>
            <w:tcW w:w="916" w:type="dxa"/>
          </w:tcPr>
          <w:p w14:paraId="1EAE8539"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28399F25"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459B1433"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6962C67C"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0D657AB6"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0981FABA" w14:textId="77777777" w:rsidTr="00282204">
        <w:trPr>
          <w:trHeight w:val="2066"/>
        </w:trPr>
        <w:tc>
          <w:tcPr>
            <w:cnfStyle w:val="001000000000" w:firstRow="0" w:lastRow="0" w:firstColumn="1" w:lastColumn="0" w:oddVBand="0" w:evenVBand="0" w:oddHBand="0" w:evenHBand="0" w:firstRowFirstColumn="0" w:firstRowLastColumn="0" w:lastRowFirstColumn="0" w:lastRowLastColumn="0"/>
            <w:tcW w:w="2949" w:type="dxa"/>
          </w:tcPr>
          <w:p w14:paraId="5DD3B296" w14:textId="77777777" w:rsidR="00D4326C" w:rsidRPr="00496520" w:rsidRDefault="00D4326C" w:rsidP="00282204">
            <w:pPr>
              <w:keepNext/>
              <w:jc w:val="left"/>
            </w:pPr>
            <w:r w:rsidRPr="00496520">
              <w:t xml:space="preserve">Pharmacists can improve prescribing practice (for example, effective communication with other healthcare professionals via discussions and/or providing education sessions to improve prescribing) </w:t>
            </w:r>
          </w:p>
        </w:tc>
        <w:tc>
          <w:tcPr>
            <w:tcW w:w="916" w:type="dxa"/>
          </w:tcPr>
          <w:p w14:paraId="1D7714BD"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7C634DE1"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08AFABED"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566347E3"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39C9B06C"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4BE7F5C1" w14:textId="77777777" w:rsidTr="00282204">
        <w:trPr>
          <w:trHeight w:val="1827"/>
        </w:trPr>
        <w:tc>
          <w:tcPr>
            <w:cnfStyle w:val="001000000000" w:firstRow="0" w:lastRow="0" w:firstColumn="1" w:lastColumn="0" w:oddVBand="0" w:evenVBand="0" w:oddHBand="0" w:evenHBand="0" w:firstRowFirstColumn="0" w:firstRowLastColumn="0" w:lastRowFirstColumn="0" w:lastRowLastColumn="0"/>
            <w:tcW w:w="2949" w:type="dxa"/>
          </w:tcPr>
          <w:p w14:paraId="5A7C5CBA" w14:textId="77777777" w:rsidR="00D4326C" w:rsidRPr="00496520" w:rsidRDefault="00D4326C" w:rsidP="00282204">
            <w:pPr>
              <w:keepNext/>
              <w:jc w:val="left"/>
            </w:pPr>
            <w:r w:rsidRPr="00496520">
              <w:t xml:space="preserve">Pharmacists working in the primary care team can make doctors’ job easier by reducing their workload and decreasing amount of time spent addressing medication-related problems </w:t>
            </w:r>
          </w:p>
        </w:tc>
        <w:tc>
          <w:tcPr>
            <w:tcW w:w="916" w:type="dxa"/>
          </w:tcPr>
          <w:p w14:paraId="6FFE3D62"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0785D570"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3459CE7A"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7452FF46"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2F182248"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2F63D0AD" w14:textId="77777777" w:rsidTr="00282204">
        <w:trPr>
          <w:trHeight w:val="1837"/>
        </w:trPr>
        <w:tc>
          <w:tcPr>
            <w:cnfStyle w:val="001000000000" w:firstRow="0" w:lastRow="0" w:firstColumn="1" w:lastColumn="0" w:oddVBand="0" w:evenVBand="0" w:oddHBand="0" w:evenHBand="0" w:firstRowFirstColumn="0" w:firstRowLastColumn="0" w:lastRowFirstColumn="0" w:lastRowLastColumn="0"/>
            <w:tcW w:w="2949" w:type="dxa"/>
          </w:tcPr>
          <w:p w14:paraId="1CCBBF89" w14:textId="77777777" w:rsidR="00D4326C" w:rsidRPr="00496520" w:rsidRDefault="00D4326C" w:rsidP="00282204">
            <w:pPr>
              <w:keepNext/>
              <w:jc w:val="left"/>
            </w:pPr>
            <w:r w:rsidRPr="00496520">
              <w:t xml:space="preserve">Pharmacists working in the primary care team can make nurses’ job easier by reducing their workload and decreasing amount of time spent addressing medication-related problems </w:t>
            </w:r>
          </w:p>
        </w:tc>
        <w:tc>
          <w:tcPr>
            <w:tcW w:w="916" w:type="dxa"/>
          </w:tcPr>
          <w:p w14:paraId="4F7FBD1D"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7286F346"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3E2FBA4B"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480A9E72"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5A6D5507"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464448BA" w14:textId="77777777" w:rsidTr="00282204">
        <w:trPr>
          <w:trHeight w:val="1607"/>
        </w:trPr>
        <w:tc>
          <w:tcPr>
            <w:cnfStyle w:val="001000000000" w:firstRow="0" w:lastRow="0" w:firstColumn="1" w:lastColumn="0" w:oddVBand="0" w:evenVBand="0" w:oddHBand="0" w:evenHBand="0" w:firstRowFirstColumn="0" w:firstRowLastColumn="0" w:lastRowFirstColumn="0" w:lastRowLastColumn="0"/>
            <w:tcW w:w="2949" w:type="dxa"/>
          </w:tcPr>
          <w:p w14:paraId="23493C3D" w14:textId="77777777" w:rsidR="00D4326C" w:rsidRPr="00496520" w:rsidRDefault="00D4326C" w:rsidP="00282204">
            <w:pPr>
              <w:keepNext/>
              <w:jc w:val="left"/>
            </w:pPr>
            <w:r w:rsidRPr="00496520">
              <w:t xml:space="preserve">Involvement of pharmacists in multidisciplinary care team can help to increase the level of job satisfaction for pharmacists </w:t>
            </w:r>
          </w:p>
        </w:tc>
        <w:tc>
          <w:tcPr>
            <w:tcW w:w="916" w:type="dxa"/>
          </w:tcPr>
          <w:p w14:paraId="4B98BD43"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3DA189A8"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792AD575"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7B4BEB20"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2A88341F"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3B4B5BD2" w14:textId="77777777" w:rsidTr="00282204">
        <w:trPr>
          <w:trHeight w:val="2056"/>
        </w:trPr>
        <w:tc>
          <w:tcPr>
            <w:cnfStyle w:val="001000000000" w:firstRow="0" w:lastRow="0" w:firstColumn="1" w:lastColumn="0" w:oddVBand="0" w:evenVBand="0" w:oddHBand="0" w:evenHBand="0" w:firstRowFirstColumn="0" w:firstRowLastColumn="0" w:lastRowFirstColumn="0" w:lastRowLastColumn="0"/>
            <w:tcW w:w="2949" w:type="dxa"/>
          </w:tcPr>
          <w:p w14:paraId="44A6DBA4" w14:textId="77777777" w:rsidR="00D4326C" w:rsidRPr="00496520" w:rsidRDefault="00D4326C" w:rsidP="00282204">
            <w:pPr>
              <w:keepNext/>
              <w:jc w:val="left"/>
            </w:pPr>
            <w:r w:rsidRPr="00496520">
              <w:t xml:space="preserve">Collaborative work of pharmacists with other healthcare professionals such as doctors and nurses in the management of diabetes patients can improve the quality of healthcare services </w:t>
            </w:r>
          </w:p>
        </w:tc>
        <w:tc>
          <w:tcPr>
            <w:tcW w:w="916" w:type="dxa"/>
          </w:tcPr>
          <w:p w14:paraId="5044F4C6"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006F33BD"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45208B0A"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0C82CD03"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10FFAAE2"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34A50217" w14:textId="77777777" w:rsidTr="00282204">
        <w:trPr>
          <w:trHeight w:val="1837"/>
        </w:trPr>
        <w:tc>
          <w:tcPr>
            <w:cnfStyle w:val="001000000000" w:firstRow="0" w:lastRow="0" w:firstColumn="1" w:lastColumn="0" w:oddVBand="0" w:evenVBand="0" w:oddHBand="0" w:evenHBand="0" w:firstRowFirstColumn="0" w:firstRowLastColumn="0" w:lastRowFirstColumn="0" w:lastRowLastColumn="0"/>
            <w:tcW w:w="2949" w:type="dxa"/>
          </w:tcPr>
          <w:p w14:paraId="550E5836" w14:textId="77777777" w:rsidR="00D4326C" w:rsidRPr="00496520" w:rsidRDefault="00D4326C" w:rsidP="00282204">
            <w:pPr>
              <w:keepNext/>
              <w:jc w:val="left"/>
            </w:pPr>
            <w:r w:rsidRPr="00496520">
              <w:t xml:space="preserve">Use of pharmacist’s skills and knowledge in diabetes primary care management can improve patient outcomes (for example, choosing the optimal drug therapy for a patient’s diagnosis) </w:t>
            </w:r>
          </w:p>
        </w:tc>
        <w:tc>
          <w:tcPr>
            <w:tcW w:w="916" w:type="dxa"/>
          </w:tcPr>
          <w:p w14:paraId="225AF00D"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15B7F3CC"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4D10A11D"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1201C4BB"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68E502B0"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477A3415" w14:textId="77777777" w:rsidTr="00282204">
        <w:trPr>
          <w:trHeight w:val="1148"/>
        </w:trPr>
        <w:tc>
          <w:tcPr>
            <w:cnfStyle w:val="001000000000" w:firstRow="0" w:lastRow="0" w:firstColumn="1" w:lastColumn="0" w:oddVBand="0" w:evenVBand="0" w:oddHBand="0" w:evenHBand="0" w:firstRowFirstColumn="0" w:firstRowLastColumn="0" w:lastRowFirstColumn="0" w:lastRowLastColumn="0"/>
            <w:tcW w:w="2949" w:type="dxa"/>
          </w:tcPr>
          <w:p w14:paraId="394DF244" w14:textId="77777777" w:rsidR="00D4326C" w:rsidRPr="00496520" w:rsidRDefault="00D4326C" w:rsidP="00282204">
            <w:pPr>
              <w:keepNext/>
              <w:jc w:val="left"/>
            </w:pPr>
            <w:r w:rsidRPr="00496520">
              <w:t xml:space="preserve">Pharmacists can assess patients’ clinical needs and perform a comprehensive medicines assessment </w:t>
            </w:r>
          </w:p>
        </w:tc>
        <w:tc>
          <w:tcPr>
            <w:tcW w:w="916" w:type="dxa"/>
          </w:tcPr>
          <w:p w14:paraId="7E53E03C"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72CE4D36"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6F7514B7"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79A8934F"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53282E04"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4B04FA7C" w14:textId="77777777" w:rsidTr="00282204">
        <w:trPr>
          <w:trHeight w:val="688"/>
        </w:trPr>
        <w:tc>
          <w:tcPr>
            <w:cnfStyle w:val="001000000000" w:firstRow="0" w:lastRow="0" w:firstColumn="1" w:lastColumn="0" w:oddVBand="0" w:evenVBand="0" w:oddHBand="0" w:evenHBand="0" w:firstRowFirstColumn="0" w:firstRowLastColumn="0" w:lastRowFirstColumn="0" w:lastRowLastColumn="0"/>
            <w:tcW w:w="2949" w:type="dxa"/>
          </w:tcPr>
          <w:p w14:paraId="362CE14C" w14:textId="77777777" w:rsidR="00D4326C" w:rsidRPr="00496520" w:rsidRDefault="00D4326C" w:rsidP="00282204">
            <w:pPr>
              <w:keepNext/>
              <w:jc w:val="left"/>
            </w:pPr>
            <w:r w:rsidRPr="00496520">
              <w:t xml:space="preserve">Pharmacists are able to independently prescribe safely </w:t>
            </w:r>
          </w:p>
        </w:tc>
        <w:tc>
          <w:tcPr>
            <w:tcW w:w="916" w:type="dxa"/>
          </w:tcPr>
          <w:p w14:paraId="72CBE803"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1390BF44"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33065711"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1546E5F8"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5BF116CF"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530FAC" w14:paraId="5B9CDC01" w14:textId="77777777" w:rsidTr="00282204">
        <w:trPr>
          <w:trHeight w:val="688"/>
        </w:trPr>
        <w:tc>
          <w:tcPr>
            <w:cnfStyle w:val="001000000000" w:firstRow="0" w:lastRow="0" w:firstColumn="1" w:lastColumn="0" w:oddVBand="0" w:evenVBand="0" w:oddHBand="0" w:evenHBand="0" w:firstRowFirstColumn="0" w:firstRowLastColumn="0" w:lastRowFirstColumn="0" w:lastRowLastColumn="0"/>
            <w:tcW w:w="2949" w:type="dxa"/>
          </w:tcPr>
          <w:p w14:paraId="190A477B" w14:textId="77777777" w:rsidR="00D4326C" w:rsidRPr="00496520" w:rsidRDefault="00D4326C" w:rsidP="00282204">
            <w:pPr>
              <w:keepNext/>
              <w:jc w:val="left"/>
            </w:pPr>
            <w:r w:rsidRPr="00496520">
              <w:t xml:space="preserve">Pharmacists are able to independently prescribe cost-effectively </w:t>
            </w:r>
          </w:p>
        </w:tc>
        <w:tc>
          <w:tcPr>
            <w:tcW w:w="916" w:type="dxa"/>
          </w:tcPr>
          <w:p w14:paraId="3A650AC2"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42" w:type="dxa"/>
          </w:tcPr>
          <w:p w14:paraId="515A7C7B"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6" w:type="dxa"/>
          </w:tcPr>
          <w:p w14:paraId="176669E1"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595" w:type="dxa"/>
          </w:tcPr>
          <w:p w14:paraId="4EF8A57E"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0" w:type="dxa"/>
          </w:tcPr>
          <w:p w14:paraId="33F1BAED" w14:textId="77777777" w:rsidR="00D4326C" w:rsidRPr="00530FAC"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bl>
    <w:p w14:paraId="2BB0FE43" w14:textId="77777777" w:rsidR="00D4326C" w:rsidRDefault="00D4326C" w:rsidP="00D4326C"/>
    <w:p w14:paraId="40171965" w14:textId="77777777" w:rsidR="00D4326C" w:rsidRDefault="00D4326C" w:rsidP="00D4326C"/>
    <w:p w14:paraId="5136155A" w14:textId="77777777" w:rsidR="00D4326C" w:rsidRDefault="00D4326C" w:rsidP="00D4326C">
      <w:pPr>
        <w:pStyle w:val="QuestionSeparator"/>
      </w:pPr>
    </w:p>
    <w:p w14:paraId="22DDF97C" w14:textId="77777777" w:rsidR="00D4326C" w:rsidRDefault="00D4326C" w:rsidP="00D4326C"/>
    <w:p w14:paraId="38B8D114" w14:textId="77777777" w:rsidR="00D4326C" w:rsidRDefault="00D4326C" w:rsidP="00D4326C">
      <w:pPr>
        <w:keepNext/>
      </w:pPr>
      <w:r>
        <w:t>Potential Impacts2 Are there any other ways in which pharmacists could impact on diabetes care services (not represented in the above)? If so, please state what these are:</w:t>
      </w:r>
    </w:p>
    <w:p w14:paraId="2539CD99" w14:textId="77777777" w:rsidR="00D4326C" w:rsidRDefault="00D4326C" w:rsidP="00D4326C">
      <w:pPr>
        <w:pStyle w:val="TextEntryLine"/>
        <w:ind w:firstLine="400"/>
      </w:pPr>
      <w:r>
        <w:t>________________________________________________________________</w:t>
      </w:r>
    </w:p>
    <w:p w14:paraId="35913E8C" w14:textId="77777777" w:rsidR="00D4326C" w:rsidRDefault="00D4326C" w:rsidP="00D4326C"/>
    <w:p w14:paraId="20196424" w14:textId="77777777" w:rsidR="00D4326C" w:rsidRDefault="00D4326C" w:rsidP="00D4326C">
      <w:pPr>
        <w:pStyle w:val="QuestionSeparator"/>
      </w:pPr>
    </w:p>
    <w:tbl>
      <w:tblPr>
        <w:tblW w:w="0" w:type="auto"/>
        <w:tblInd w:w="10" w:type="dxa"/>
        <w:tblCellMar>
          <w:left w:w="10" w:type="dxa"/>
          <w:right w:w="10" w:type="dxa"/>
        </w:tblCellMar>
        <w:tblLook w:val="04A0" w:firstRow="1" w:lastRow="0" w:firstColumn="1" w:lastColumn="0" w:noHBand="0" w:noVBand="1"/>
      </w:tblPr>
      <w:tblGrid>
        <w:gridCol w:w="1347"/>
        <w:gridCol w:w="8003"/>
      </w:tblGrid>
      <w:tr w:rsidR="00D4326C" w14:paraId="0AA052A6" w14:textId="77777777" w:rsidTr="00282204">
        <w:trPr>
          <w:trHeight w:val="300"/>
        </w:trPr>
        <w:tc>
          <w:tcPr>
            <w:tcW w:w="1368" w:type="dxa"/>
            <w:tcBorders>
              <w:top w:val="nil"/>
              <w:left w:val="nil"/>
              <w:bottom w:val="nil"/>
              <w:right w:val="nil"/>
            </w:tcBorders>
          </w:tcPr>
          <w:p w14:paraId="09238668" w14:textId="77777777" w:rsidR="00D4326C" w:rsidRDefault="00D4326C" w:rsidP="00282204">
            <w:pPr>
              <w:rPr>
                <w:color w:val="CCCCCC"/>
              </w:rPr>
            </w:pPr>
            <w:r>
              <w:rPr>
                <w:color w:val="CCCCCC"/>
              </w:rPr>
              <w:t>Page Break</w:t>
            </w:r>
          </w:p>
        </w:tc>
        <w:tc>
          <w:tcPr>
            <w:tcW w:w="8208" w:type="dxa"/>
            <w:tcBorders>
              <w:top w:val="nil"/>
              <w:left w:val="nil"/>
              <w:bottom w:val="nil"/>
              <w:right w:val="nil"/>
            </w:tcBorders>
          </w:tcPr>
          <w:p w14:paraId="32E808A4" w14:textId="77777777" w:rsidR="00D4326C" w:rsidRDefault="00D4326C" w:rsidP="00282204">
            <w:pPr>
              <w:pBdr>
                <w:top w:val="single" w:sz="8" w:space="0" w:color="CCCCCC"/>
              </w:pBdr>
              <w:spacing w:before="120" w:after="120" w:line="120" w:lineRule="auto"/>
              <w:jc w:val="center"/>
              <w:rPr>
                <w:color w:val="CCCCCC"/>
              </w:rPr>
            </w:pPr>
          </w:p>
        </w:tc>
      </w:tr>
    </w:tbl>
    <w:p w14:paraId="438F6054" w14:textId="77777777" w:rsidR="00D4326C" w:rsidRDefault="00D4326C" w:rsidP="00D4326C">
      <w:r>
        <w:br w:type="page"/>
      </w:r>
    </w:p>
    <w:p w14:paraId="6E6F4EEE" w14:textId="77777777" w:rsidR="00D4326C" w:rsidRDefault="00D4326C" w:rsidP="00D4326C">
      <w:pPr>
        <w:pStyle w:val="BlockEndLabel"/>
      </w:pPr>
      <w:r>
        <w:t>End of Block: Potential impact of Pharmacist Involvement in Diabetes Primary Care Management</w:t>
      </w:r>
    </w:p>
    <w:p w14:paraId="3F33E730" w14:textId="77777777" w:rsidR="00D4326C" w:rsidRDefault="00D4326C" w:rsidP="00D4326C">
      <w:pPr>
        <w:pStyle w:val="BlockSeparator"/>
      </w:pPr>
    </w:p>
    <w:p w14:paraId="4538F77A" w14:textId="77777777" w:rsidR="00D4326C" w:rsidRDefault="00D4326C" w:rsidP="00D4326C">
      <w:pPr>
        <w:pStyle w:val="BlockStartLabel"/>
      </w:pPr>
      <w:r>
        <w:t>Start of Block: Factors Influencing Pharmacist Involvement in Diabetes Primary Care Management</w:t>
      </w:r>
    </w:p>
    <w:p w14:paraId="357AD166" w14:textId="77777777" w:rsidR="00D4326C" w:rsidRDefault="00D4326C" w:rsidP="00D4326C"/>
    <w:p w14:paraId="43BFF3DF" w14:textId="77777777" w:rsidR="00D4326C" w:rsidRDefault="00D4326C" w:rsidP="00D4326C">
      <w:pPr>
        <w:keepNext/>
      </w:pPr>
      <w:r>
        <w:t xml:space="preserve">Q56 </w:t>
      </w:r>
      <w:r>
        <w:br/>
      </w:r>
      <w:r>
        <w:rPr>
          <w:b/>
        </w:rPr>
        <w:t>Factors Influencing Pharmacist Involvement in Diabetes Primary Care Management</w:t>
      </w:r>
      <w:r>
        <w:t xml:space="preserve"> </w:t>
      </w:r>
      <w:r>
        <w:br/>
        <w:t xml:space="preserve"> This section will help us to identify barriers and facilitators that influence primary care pharmacists in providing clinical services to patients with diabetes.</w:t>
      </w:r>
      <w:r>
        <w:br/>
        <w:t xml:space="preserve"> </w:t>
      </w:r>
      <w:r>
        <w:br/>
        <w:t xml:space="preserve"> Please select the response that best describes your agreement for each statement below about factors relating to primary care pharmacists providing clinical services to patients with diabetes. </w:t>
      </w:r>
    </w:p>
    <w:p w14:paraId="35FB863B" w14:textId="77777777" w:rsidR="00D4326C" w:rsidRDefault="00D4326C" w:rsidP="00D4326C"/>
    <w:p w14:paraId="0D596592" w14:textId="77777777" w:rsidR="00D4326C" w:rsidRDefault="00D4326C" w:rsidP="00D4326C">
      <w:pPr>
        <w:pStyle w:val="QuestionSeparator"/>
      </w:pPr>
    </w:p>
    <w:tbl>
      <w:tblPr>
        <w:tblStyle w:val="QQuestionIconTable"/>
        <w:tblW w:w="50" w:type="auto"/>
        <w:tblLook w:val="07E0" w:firstRow="1" w:lastRow="1" w:firstColumn="1" w:lastColumn="1" w:noHBand="1" w:noVBand="1"/>
      </w:tblPr>
      <w:tblGrid>
        <w:gridCol w:w="380"/>
      </w:tblGrid>
      <w:tr w:rsidR="00D4326C" w14:paraId="6EABC7A6" w14:textId="77777777" w:rsidTr="00282204">
        <w:tc>
          <w:tcPr>
            <w:tcW w:w="50" w:type="dxa"/>
          </w:tcPr>
          <w:p w14:paraId="399A473D" w14:textId="77777777" w:rsidR="00D4326C" w:rsidRDefault="00D4326C" w:rsidP="00282204">
            <w:pPr>
              <w:keepNext/>
            </w:pPr>
            <w:r>
              <w:rPr>
                <w:noProof/>
              </w:rPr>
              <w:drawing>
                <wp:inline distT="0" distB="0" distL="0" distR="0" wp14:anchorId="54F9A31F" wp14:editId="07F3C77D">
                  <wp:extent cx="228600" cy="228600"/>
                  <wp:effectExtent l="0" t="0" r="0" b="0"/>
                  <wp:docPr id="5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QuestionRecodeOptions.png"/>
                          <pic:cNvPicPr/>
                        </pic:nvPicPr>
                        <pic:blipFill>
                          <a:blip r:embed="rId49"/>
                          <a:stretch>
                            <a:fillRect/>
                          </a:stretch>
                        </pic:blipFill>
                        <pic:spPr>
                          <a:xfrm>
                            <a:off x="0" y="0"/>
                            <a:ext cx="228600" cy="228600"/>
                          </a:xfrm>
                          <a:prstGeom prst="rect">
                            <a:avLst/>
                          </a:prstGeom>
                        </pic:spPr>
                      </pic:pic>
                    </a:graphicData>
                  </a:graphic>
                </wp:inline>
              </w:drawing>
            </w:r>
          </w:p>
        </w:tc>
      </w:tr>
    </w:tbl>
    <w:p w14:paraId="4F171900" w14:textId="77777777" w:rsidR="00D4326C" w:rsidRDefault="00D4326C" w:rsidP="00D4326C"/>
    <w:p w14:paraId="4426EBD8" w14:textId="77777777" w:rsidR="00D4326C" w:rsidRDefault="00D4326C" w:rsidP="00D4326C">
      <w:pPr>
        <w:keepNext/>
      </w:pPr>
      <w:r>
        <w:t>Barrier&amp;Facilitator1 General Issues </w:t>
      </w:r>
    </w:p>
    <w:tbl>
      <w:tblPr>
        <w:tblStyle w:val="QQuestionTable"/>
        <w:tblW w:w="10107" w:type="dxa"/>
        <w:tblLook w:val="07E0" w:firstRow="1" w:lastRow="1" w:firstColumn="1" w:lastColumn="1" w:noHBand="1" w:noVBand="1"/>
      </w:tblPr>
      <w:tblGrid>
        <w:gridCol w:w="3238"/>
        <w:gridCol w:w="994"/>
        <w:gridCol w:w="1499"/>
        <w:gridCol w:w="1489"/>
        <w:gridCol w:w="1410"/>
        <w:gridCol w:w="1477"/>
      </w:tblGrid>
      <w:tr w:rsidR="00D4326C" w:rsidRPr="00622DEE" w14:paraId="169AE556" w14:textId="77777777" w:rsidTr="00282204">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238" w:type="dxa"/>
          </w:tcPr>
          <w:p w14:paraId="243284F4" w14:textId="77777777" w:rsidR="00D4326C" w:rsidRPr="00622DEE" w:rsidRDefault="00D4326C" w:rsidP="00282204">
            <w:pPr>
              <w:keepNext/>
              <w:jc w:val="left"/>
              <w:rPr>
                <w:sz w:val="18"/>
                <w:szCs w:val="18"/>
              </w:rPr>
            </w:pPr>
          </w:p>
        </w:tc>
        <w:tc>
          <w:tcPr>
            <w:tcW w:w="994" w:type="dxa"/>
          </w:tcPr>
          <w:p w14:paraId="4123430E" w14:textId="77777777" w:rsidR="00D4326C" w:rsidRPr="00622DEE"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622DEE">
              <w:rPr>
                <w:sz w:val="18"/>
                <w:szCs w:val="18"/>
              </w:rPr>
              <w:t>Strongly disagree</w:t>
            </w:r>
          </w:p>
        </w:tc>
        <w:tc>
          <w:tcPr>
            <w:tcW w:w="1499" w:type="dxa"/>
          </w:tcPr>
          <w:p w14:paraId="00D055B1" w14:textId="77777777" w:rsidR="00D4326C" w:rsidRPr="00622DEE"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622DEE">
              <w:rPr>
                <w:sz w:val="18"/>
                <w:szCs w:val="18"/>
              </w:rPr>
              <w:t>Disagree</w:t>
            </w:r>
          </w:p>
        </w:tc>
        <w:tc>
          <w:tcPr>
            <w:tcW w:w="1489" w:type="dxa"/>
          </w:tcPr>
          <w:p w14:paraId="53742677" w14:textId="77777777" w:rsidR="00D4326C" w:rsidRPr="00622DEE"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622DEE">
              <w:rPr>
                <w:sz w:val="18"/>
                <w:szCs w:val="18"/>
              </w:rPr>
              <w:t>Neither agree nor disagree</w:t>
            </w:r>
          </w:p>
        </w:tc>
        <w:tc>
          <w:tcPr>
            <w:tcW w:w="1410" w:type="dxa"/>
          </w:tcPr>
          <w:p w14:paraId="29F481CB" w14:textId="77777777" w:rsidR="00D4326C" w:rsidRPr="00622DEE"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622DEE">
              <w:rPr>
                <w:sz w:val="18"/>
                <w:szCs w:val="18"/>
              </w:rPr>
              <w:t>Agree</w:t>
            </w:r>
          </w:p>
        </w:tc>
        <w:tc>
          <w:tcPr>
            <w:tcW w:w="1477" w:type="dxa"/>
          </w:tcPr>
          <w:p w14:paraId="24241088" w14:textId="77777777" w:rsidR="00D4326C" w:rsidRPr="00622DEE"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622DEE">
              <w:rPr>
                <w:sz w:val="18"/>
                <w:szCs w:val="18"/>
              </w:rPr>
              <w:t>Strongly agree</w:t>
            </w:r>
          </w:p>
        </w:tc>
      </w:tr>
      <w:tr w:rsidR="00D4326C" w:rsidRPr="00622DEE" w14:paraId="66A4BF7B" w14:textId="77777777" w:rsidTr="00282204">
        <w:trPr>
          <w:trHeight w:val="827"/>
        </w:trPr>
        <w:tc>
          <w:tcPr>
            <w:cnfStyle w:val="001000000000" w:firstRow="0" w:lastRow="0" w:firstColumn="1" w:lastColumn="0" w:oddVBand="0" w:evenVBand="0" w:oddHBand="0" w:evenHBand="0" w:firstRowFirstColumn="0" w:firstRowLastColumn="0" w:lastRowFirstColumn="0" w:lastRowLastColumn="0"/>
            <w:tcW w:w="3238" w:type="dxa"/>
          </w:tcPr>
          <w:p w14:paraId="4F5CC2FF" w14:textId="77777777" w:rsidR="00D4326C" w:rsidRPr="00622DEE" w:rsidRDefault="00D4326C" w:rsidP="00282204">
            <w:pPr>
              <w:keepNext/>
              <w:jc w:val="left"/>
              <w:rPr>
                <w:sz w:val="18"/>
                <w:szCs w:val="18"/>
              </w:rPr>
            </w:pPr>
            <w:r w:rsidRPr="00622DEE">
              <w:rPr>
                <w:b/>
                <w:sz w:val="18"/>
                <w:szCs w:val="18"/>
              </w:rPr>
              <w:t xml:space="preserve">The current </w:t>
            </w:r>
            <w:r w:rsidRPr="00622DEE">
              <w:rPr>
                <w:sz w:val="18"/>
                <w:szCs w:val="18"/>
              </w:rPr>
              <w:t xml:space="preserve">primary care centre infrastructure represents a </w:t>
            </w:r>
            <w:r w:rsidRPr="00622DEE">
              <w:rPr>
                <w:b/>
                <w:sz w:val="18"/>
                <w:szCs w:val="18"/>
              </w:rPr>
              <w:t>barrier</w:t>
            </w:r>
            <w:r w:rsidRPr="00622DEE">
              <w:rPr>
                <w:sz w:val="18"/>
                <w:szCs w:val="18"/>
              </w:rPr>
              <w:t xml:space="preserve"> to pharmacists providing clinical services to patients with diabetes </w:t>
            </w:r>
          </w:p>
        </w:tc>
        <w:tc>
          <w:tcPr>
            <w:tcW w:w="994" w:type="dxa"/>
          </w:tcPr>
          <w:p w14:paraId="34B197AA"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99" w:type="dxa"/>
          </w:tcPr>
          <w:p w14:paraId="1C14253C"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89" w:type="dxa"/>
          </w:tcPr>
          <w:p w14:paraId="4BE5256B"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10" w:type="dxa"/>
          </w:tcPr>
          <w:p w14:paraId="30D963AC"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77" w:type="dxa"/>
          </w:tcPr>
          <w:p w14:paraId="1ED1833F"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622DEE" w14:paraId="4F2645AD" w14:textId="77777777" w:rsidTr="00282204">
        <w:trPr>
          <w:trHeight w:val="1237"/>
        </w:trPr>
        <w:tc>
          <w:tcPr>
            <w:cnfStyle w:val="001000000000" w:firstRow="0" w:lastRow="0" w:firstColumn="1" w:lastColumn="0" w:oddVBand="0" w:evenVBand="0" w:oddHBand="0" w:evenHBand="0" w:firstRowFirstColumn="0" w:firstRowLastColumn="0" w:lastRowFirstColumn="0" w:lastRowLastColumn="0"/>
            <w:tcW w:w="3238" w:type="dxa"/>
          </w:tcPr>
          <w:p w14:paraId="5952C958" w14:textId="77777777" w:rsidR="00D4326C" w:rsidRPr="00622DEE" w:rsidRDefault="00D4326C" w:rsidP="00282204">
            <w:pPr>
              <w:keepNext/>
              <w:jc w:val="left"/>
              <w:rPr>
                <w:sz w:val="18"/>
                <w:szCs w:val="18"/>
              </w:rPr>
            </w:pPr>
            <w:r w:rsidRPr="00622DEE">
              <w:rPr>
                <w:b/>
                <w:sz w:val="18"/>
                <w:szCs w:val="18"/>
              </w:rPr>
              <w:t>Inadequate teamwork</w:t>
            </w:r>
            <w:r w:rsidRPr="00622DEE">
              <w:rPr>
                <w:sz w:val="18"/>
                <w:szCs w:val="18"/>
              </w:rPr>
              <w:t xml:space="preserve"> among healthcare professionals in the primary healthcare centres represents a </w:t>
            </w:r>
            <w:r w:rsidRPr="00622DEE">
              <w:rPr>
                <w:b/>
                <w:sz w:val="18"/>
                <w:szCs w:val="18"/>
              </w:rPr>
              <w:t>barrier</w:t>
            </w:r>
            <w:r w:rsidRPr="00622DEE">
              <w:rPr>
                <w:sz w:val="18"/>
                <w:szCs w:val="18"/>
              </w:rPr>
              <w:t xml:space="preserve"> to pharmacists providing clinical services to patients with diabetes </w:t>
            </w:r>
          </w:p>
        </w:tc>
        <w:tc>
          <w:tcPr>
            <w:tcW w:w="994" w:type="dxa"/>
          </w:tcPr>
          <w:p w14:paraId="580311E1"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99" w:type="dxa"/>
          </w:tcPr>
          <w:p w14:paraId="08D1C793"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89" w:type="dxa"/>
          </w:tcPr>
          <w:p w14:paraId="72E1F5EA"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10" w:type="dxa"/>
          </w:tcPr>
          <w:p w14:paraId="61A415F4"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77" w:type="dxa"/>
          </w:tcPr>
          <w:p w14:paraId="6EEB2CE5"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622DEE" w14:paraId="57DFEAD3" w14:textId="77777777" w:rsidTr="00282204">
        <w:trPr>
          <w:trHeight w:val="1027"/>
        </w:trPr>
        <w:tc>
          <w:tcPr>
            <w:cnfStyle w:val="001000000000" w:firstRow="0" w:lastRow="0" w:firstColumn="1" w:lastColumn="0" w:oddVBand="0" w:evenVBand="0" w:oddHBand="0" w:evenHBand="0" w:firstRowFirstColumn="0" w:firstRowLastColumn="0" w:lastRowFirstColumn="0" w:lastRowLastColumn="0"/>
            <w:tcW w:w="3238" w:type="dxa"/>
          </w:tcPr>
          <w:p w14:paraId="0A4BDAB0" w14:textId="77777777" w:rsidR="00D4326C" w:rsidRPr="00622DEE" w:rsidRDefault="00D4326C" w:rsidP="00282204">
            <w:pPr>
              <w:keepNext/>
              <w:jc w:val="left"/>
              <w:rPr>
                <w:sz w:val="18"/>
                <w:szCs w:val="18"/>
              </w:rPr>
            </w:pPr>
            <w:r w:rsidRPr="00622DEE">
              <w:rPr>
                <w:b/>
                <w:sz w:val="18"/>
                <w:szCs w:val="18"/>
              </w:rPr>
              <w:t>Resistance to change</w:t>
            </w:r>
            <w:r w:rsidRPr="00622DEE">
              <w:rPr>
                <w:sz w:val="18"/>
                <w:szCs w:val="18"/>
              </w:rPr>
              <w:t xml:space="preserve"> among healthcare providers represents a </w:t>
            </w:r>
            <w:r w:rsidRPr="00622DEE">
              <w:rPr>
                <w:b/>
                <w:sz w:val="18"/>
                <w:szCs w:val="18"/>
              </w:rPr>
              <w:t xml:space="preserve">barrier </w:t>
            </w:r>
            <w:r w:rsidRPr="00622DEE">
              <w:rPr>
                <w:sz w:val="18"/>
                <w:szCs w:val="18"/>
              </w:rPr>
              <w:t xml:space="preserve">to primary care pharmacists providing clinical services to patients with diabetes </w:t>
            </w:r>
          </w:p>
        </w:tc>
        <w:tc>
          <w:tcPr>
            <w:tcW w:w="994" w:type="dxa"/>
          </w:tcPr>
          <w:p w14:paraId="1B114770"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99" w:type="dxa"/>
          </w:tcPr>
          <w:p w14:paraId="00EE61B1"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89" w:type="dxa"/>
          </w:tcPr>
          <w:p w14:paraId="54267A26"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10" w:type="dxa"/>
          </w:tcPr>
          <w:p w14:paraId="6328DC25"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77" w:type="dxa"/>
          </w:tcPr>
          <w:p w14:paraId="319262AA" w14:textId="77777777" w:rsidR="00D4326C" w:rsidRPr="00622DEE"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bl>
    <w:p w14:paraId="44407D0A" w14:textId="77777777" w:rsidR="00D4326C" w:rsidRDefault="00D4326C" w:rsidP="00D4326C"/>
    <w:p w14:paraId="7909C10C" w14:textId="77777777" w:rsidR="00D4326C" w:rsidRDefault="00D4326C" w:rsidP="00D4326C"/>
    <w:p w14:paraId="063FD017" w14:textId="77777777" w:rsidR="00D4326C" w:rsidRDefault="00D4326C" w:rsidP="00D4326C">
      <w:pPr>
        <w:pStyle w:val="QuestionSeparator"/>
      </w:pPr>
    </w:p>
    <w:p w14:paraId="591EB707" w14:textId="77777777" w:rsidR="00D4326C" w:rsidRDefault="00D4326C" w:rsidP="00D4326C"/>
    <w:p w14:paraId="0A607BFC" w14:textId="77777777" w:rsidR="00D4326C" w:rsidRDefault="00D4326C" w:rsidP="00D4326C">
      <w:pPr>
        <w:keepNext/>
      </w:pPr>
      <w:r>
        <w:t>Barrier&amp;Facilitator2 Attitudes towards Pharmacists</w:t>
      </w:r>
    </w:p>
    <w:tbl>
      <w:tblPr>
        <w:tblStyle w:val="QQuestionTable"/>
        <w:tblW w:w="10076" w:type="dxa"/>
        <w:tblLook w:val="07E0" w:firstRow="1" w:lastRow="1" w:firstColumn="1" w:lastColumn="1" w:noHBand="1" w:noVBand="1"/>
      </w:tblPr>
      <w:tblGrid>
        <w:gridCol w:w="3776"/>
        <w:gridCol w:w="1405"/>
        <w:gridCol w:w="1141"/>
        <w:gridCol w:w="1317"/>
        <w:gridCol w:w="1229"/>
        <w:gridCol w:w="1208"/>
      </w:tblGrid>
      <w:tr w:rsidR="00D4326C" w:rsidRPr="00F53D8A" w14:paraId="6BA23425" w14:textId="77777777" w:rsidTr="00282204">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776" w:type="dxa"/>
          </w:tcPr>
          <w:p w14:paraId="3281305D" w14:textId="77777777" w:rsidR="00D4326C" w:rsidRPr="00A17B8B" w:rsidRDefault="00D4326C" w:rsidP="00282204">
            <w:pPr>
              <w:keepNext/>
              <w:jc w:val="left"/>
            </w:pPr>
          </w:p>
        </w:tc>
        <w:tc>
          <w:tcPr>
            <w:tcW w:w="1405" w:type="dxa"/>
          </w:tcPr>
          <w:p w14:paraId="21293402" w14:textId="77777777" w:rsidR="00D4326C" w:rsidRPr="00F53D8A"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F53D8A">
              <w:rPr>
                <w:sz w:val="18"/>
                <w:szCs w:val="18"/>
              </w:rPr>
              <w:t>Strongly disagree</w:t>
            </w:r>
          </w:p>
        </w:tc>
        <w:tc>
          <w:tcPr>
            <w:tcW w:w="1141" w:type="dxa"/>
          </w:tcPr>
          <w:p w14:paraId="44BCEA7F" w14:textId="77777777" w:rsidR="00D4326C" w:rsidRPr="00F53D8A"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F53D8A">
              <w:rPr>
                <w:sz w:val="18"/>
                <w:szCs w:val="18"/>
              </w:rPr>
              <w:t>Disagree</w:t>
            </w:r>
          </w:p>
        </w:tc>
        <w:tc>
          <w:tcPr>
            <w:tcW w:w="1317" w:type="dxa"/>
          </w:tcPr>
          <w:p w14:paraId="1E7CE5B4" w14:textId="77777777" w:rsidR="00D4326C" w:rsidRPr="00F53D8A"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F53D8A">
              <w:rPr>
                <w:sz w:val="18"/>
                <w:szCs w:val="18"/>
              </w:rPr>
              <w:t>Neither agree nor disagree</w:t>
            </w:r>
          </w:p>
        </w:tc>
        <w:tc>
          <w:tcPr>
            <w:tcW w:w="1229" w:type="dxa"/>
          </w:tcPr>
          <w:p w14:paraId="3884DC85" w14:textId="77777777" w:rsidR="00D4326C" w:rsidRPr="00F53D8A"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F53D8A">
              <w:rPr>
                <w:sz w:val="18"/>
                <w:szCs w:val="18"/>
              </w:rPr>
              <w:t>Agree</w:t>
            </w:r>
          </w:p>
        </w:tc>
        <w:tc>
          <w:tcPr>
            <w:tcW w:w="1208" w:type="dxa"/>
          </w:tcPr>
          <w:p w14:paraId="5C0CA1A6" w14:textId="77777777" w:rsidR="00D4326C" w:rsidRPr="00F53D8A"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F53D8A">
              <w:rPr>
                <w:sz w:val="18"/>
                <w:szCs w:val="18"/>
              </w:rPr>
              <w:t>Strongly agree</w:t>
            </w:r>
          </w:p>
        </w:tc>
      </w:tr>
      <w:tr w:rsidR="00D4326C" w:rsidRPr="00F53D8A" w14:paraId="131C9F55" w14:textId="77777777" w:rsidTr="00282204">
        <w:trPr>
          <w:trHeight w:val="910"/>
        </w:trPr>
        <w:tc>
          <w:tcPr>
            <w:cnfStyle w:val="001000000000" w:firstRow="0" w:lastRow="0" w:firstColumn="1" w:lastColumn="0" w:oddVBand="0" w:evenVBand="0" w:oddHBand="0" w:evenHBand="0" w:firstRowFirstColumn="0" w:firstRowLastColumn="0" w:lastRowFirstColumn="0" w:lastRowLastColumn="0"/>
            <w:tcW w:w="3776" w:type="dxa"/>
          </w:tcPr>
          <w:p w14:paraId="48B75D49" w14:textId="77777777" w:rsidR="00D4326C" w:rsidRPr="00A17B8B" w:rsidRDefault="00D4326C" w:rsidP="00282204">
            <w:pPr>
              <w:keepNext/>
              <w:jc w:val="left"/>
            </w:pPr>
            <w:r w:rsidRPr="00A17B8B">
              <w:rPr>
                <w:b/>
              </w:rPr>
              <w:t xml:space="preserve">Policymakers’ attitudes </w:t>
            </w:r>
            <w:r w:rsidRPr="00A17B8B">
              <w:t xml:space="preserve">toward pharmacists’ role represent a </w:t>
            </w:r>
            <w:r w:rsidRPr="00A17B8B">
              <w:rPr>
                <w:b/>
              </w:rPr>
              <w:t>barrier</w:t>
            </w:r>
            <w:r w:rsidRPr="00A17B8B">
              <w:t xml:space="preserve"> to primary care pharmacists providing clinical services to patients with diabetes </w:t>
            </w:r>
          </w:p>
        </w:tc>
        <w:tc>
          <w:tcPr>
            <w:tcW w:w="1405" w:type="dxa"/>
          </w:tcPr>
          <w:p w14:paraId="3D829E73"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41" w:type="dxa"/>
          </w:tcPr>
          <w:p w14:paraId="57056EF4"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17" w:type="dxa"/>
          </w:tcPr>
          <w:p w14:paraId="067E63EE"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229" w:type="dxa"/>
          </w:tcPr>
          <w:p w14:paraId="39CC5A68"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208" w:type="dxa"/>
          </w:tcPr>
          <w:p w14:paraId="6FB5236A"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F53D8A" w14:paraId="684887E2" w14:textId="77777777" w:rsidTr="00282204">
        <w:trPr>
          <w:trHeight w:val="776"/>
        </w:trPr>
        <w:tc>
          <w:tcPr>
            <w:cnfStyle w:val="001000000000" w:firstRow="0" w:lastRow="0" w:firstColumn="1" w:lastColumn="0" w:oddVBand="0" w:evenVBand="0" w:oddHBand="0" w:evenHBand="0" w:firstRowFirstColumn="0" w:firstRowLastColumn="0" w:lastRowFirstColumn="0" w:lastRowLastColumn="0"/>
            <w:tcW w:w="3776" w:type="dxa"/>
          </w:tcPr>
          <w:p w14:paraId="4C19433D" w14:textId="77777777" w:rsidR="00D4326C" w:rsidRPr="00A17B8B" w:rsidRDefault="00D4326C" w:rsidP="00282204">
            <w:pPr>
              <w:keepNext/>
              <w:jc w:val="left"/>
            </w:pPr>
            <w:r w:rsidRPr="00A17B8B">
              <w:rPr>
                <w:b/>
              </w:rPr>
              <w:t>Managers’ attitudes</w:t>
            </w:r>
            <w:r w:rsidRPr="00A17B8B">
              <w:t xml:space="preserve"> toward pharmacists’ role represent a </w:t>
            </w:r>
            <w:r w:rsidRPr="00A17B8B">
              <w:rPr>
                <w:b/>
              </w:rPr>
              <w:t>barrier</w:t>
            </w:r>
            <w:r w:rsidRPr="00A17B8B">
              <w:t xml:space="preserve"> to primary care pharmacists providing clinical services to patients with diabetes </w:t>
            </w:r>
          </w:p>
        </w:tc>
        <w:tc>
          <w:tcPr>
            <w:tcW w:w="1405" w:type="dxa"/>
          </w:tcPr>
          <w:p w14:paraId="00356051"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41" w:type="dxa"/>
          </w:tcPr>
          <w:p w14:paraId="1ABCBF25"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17" w:type="dxa"/>
          </w:tcPr>
          <w:p w14:paraId="55FDBF5D"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229" w:type="dxa"/>
          </w:tcPr>
          <w:p w14:paraId="02A3419C"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208" w:type="dxa"/>
          </w:tcPr>
          <w:p w14:paraId="4C18A396"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F53D8A" w14:paraId="2F743356" w14:textId="77777777" w:rsidTr="00282204">
        <w:trPr>
          <w:trHeight w:val="884"/>
        </w:trPr>
        <w:tc>
          <w:tcPr>
            <w:cnfStyle w:val="001000000000" w:firstRow="0" w:lastRow="0" w:firstColumn="1" w:lastColumn="0" w:oddVBand="0" w:evenVBand="0" w:oddHBand="0" w:evenHBand="0" w:firstRowFirstColumn="0" w:firstRowLastColumn="0" w:lastRowFirstColumn="0" w:lastRowLastColumn="0"/>
            <w:tcW w:w="3776" w:type="dxa"/>
          </w:tcPr>
          <w:p w14:paraId="4191EA81" w14:textId="77777777" w:rsidR="00D4326C" w:rsidRPr="00A17B8B" w:rsidRDefault="00D4326C" w:rsidP="00282204">
            <w:pPr>
              <w:keepNext/>
              <w:jc w:val="left"/>
            </w:pPr>
            <w:r w:rsidRPr="00A17B8B">
              <w:rPr>
                <w:b/>
              </w:rPr>
              <w:t xml:space="preserve">Patients' attitudes </w:t>
            </w:r>
            <w:r w:rsidRPr="00A17B8B">
              <w:t xml:space="preserve">toward pharmacists’ role represent a </w:t>
            </w:r>
            <w:r w:rsidRPr="00A17B8B">
              <w:rPr>
                <w:b/>
              </w:rPr>
              <w:t xml:space="preserve">barrier </w:t>
            </w:r>
            <w:r w:rsidRPr="00A17B8B">
              <w:t xml:space="preserve">to primary care pharmacists providing clinical services to patients with diabetes </w:t>
            </w:r>
          </w:p>
        </w:tc>
        <w:tc>
          <w:tcPr>
            <w:tcW w:w="1405" w:type="dxa"/>
          </w:tcPr>
          <w:p w14:paraId="15DE24F1"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41" w:type="dxa"/>
          </w:tcPr>
          <w:p w14:paraId="063BEF5F"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17" w:type="dxa"/>
          </w:tcPr>
          <w:p w14:paraId="445ABD5E"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229" w:type="dxa"/>
          </w:tcPr>
          <w:p w14:paraId="681F9F48"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208" w:type="dxa"/>
          </w:tcPr>
          <w:p w14:paraId="202E68B9"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F53D8A" w14:paraId="2069A1E9" w14:textId="77777777" w:rsidTr="00282204">
        <w:trPr>
          <w:trHeight w:val="1649"/>
        </w:trPr>
        <w:tc>
          <w:tcPr>
            <w:cnfStyle w:val="001000000000" w:firstRow="0" w:lastRow="0" w:firstColumn="1" w:lastColumn="0" w:oddVBand="0" w:evenVBand="0" w:oddHBand="0" w:evenHBand="0" w:firstRowFirstColumn="0" w:firstRowLastColumn="0" w:lastRowFirstColumn="0" w:lastRowLastColumn="0"/>
            <w:tcW w:w="3776" w:type="dxa"/>
          </w:tcPr>
          <w:p w14:paraId="17E23194" w14:textId="77777777" w:rsidR="00D4326C" w:rsidRPr="00A17B8B" w:rsidRDefault="00D4326C" w:rsidP="00282204">
            <w:pPr>
              <w:keepNext/>
              <w:jc w:val="left"/>
            </w:pPr>
            <w:r w:rsidRPr="00A17B8B">
              <w:rPr>
                <w:b/>
              </w:rPr>
              <w:t>Lack of healthcare professionals’ confidence</w:t>
            </w:r>
            <w:r w:rsidRPr="00A17B8B">
              <w:t xml:space="preserve"> in pharmacists’ abilities represents a </w:t>
            </w:r>
            <w:r w:rsidRPr="00A17B8B">
              <w:rPr>
                <w:b/>
              </w:rPr>
              <w:t>barrier</w:t>
            </w:r>
            <w:r w:rsidRPr="00A17B8B">
              <w:t xml:space="preserve"> to primary care pharmacists providing clinical services to patients with diabetes </w:t>
            </w:r>
          </w:p>
        </w:tc>
        <w:tc>
          <w:tcPr>
            <w:tcW w:w="1405" w:type="dxa"/>
          </w:tcPr>
          <w:p w14:paraId="5B94AB3E"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41" w:type="dxa"/>
          </w:tcPr>
          <w:p w14:paraId="717A575E"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17" w:type="dxa"/>
          </w:tcPr>
          <w:p w14:paraId="7D7695EC"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229" w:type="dxa"/>
          </w:tcPr>
          <w:p w14:paraId="49628AC6"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208" w:type="dxa"/>
          </w:tcPr>
          <w:p w14:paraId="6472BA80" w14:textId="77777777" w:rsidR="00D4326C" w:rsidRPr="00F53D8A"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bl>
    <w:p w14:paraId="0F752038" w14:textId="77777777" w:rsidR="00D4326C" w:rsidRDefault="00D4326C" w:rsidP="00D4326C"/>
    <w:p w14:paraId="1B61BD24" w14:textId="77777777" w:rsidR="00D4326C" w:rsidRDefault="00D4326C" w:rsidP="00D4326C"/>
    <w:p w14:paraId="0FA1DBC8" w14:textId="77777777" w:rsidR="00D4326C" w:rsidRDefault="00D4326C" w:rsidP="00D4326C">
      <w:pPr>
        <w:pStyle w:val="QuestionSeparator"/>
      </w:pPr>
    </w:p>
    <w:p w14:paraId="4F7948FE" w14:textId="77777777" w:rsidR="00D4326C" w:rsidRDefault="00D4326C" w:rsidP="00D4326C"/>
    <w:p w14:paraId="7AF22118" w14:textId="77777777" w:rsidR="00D4326C" w:rsidRDefault="00D4326C" w:rsidP="00D4326C">
      <w:pPr>
        <w:keepNext/>
      </w:pPr>
      <w:r>
        <w:t xml:space="preserve">Barrier&amp;Facilitator3 </w:t>
      </w:r>
      <w:r>
        <w:rPr>
          <w:b/>
        </w:rPr>
        <w:t>Pharmacist Attributes</w:t>
      </w:r>
      <w:r>
        <w:t xml:space="preserve">  </w:t>
      </w:r>
      <w:r>
        <w:br/>
        <w:t>1. Skill/Knowledge-based </w:t>
      </w:r>
    </w:p>
    <w:tbl>
      <w:tblPr>
        <w:tblStyle w:val="QQuestionTable"/>
        <w:tblW w:w="10284" w:type="dxa"/>
        <w:tblLook w:val="07E0" w:firstRow="1" w:lastRow="1" w:firstColumn="1" w:lastColumn="1" w:noHBand="1" w:noVBand="1"/>
      </w:tblPr>
      <w:tblGrid>
        <w:gridCol w:w="4050"/>
        <w:gridCol w:w="1350"/>
        <w:gridCol w:w="1350"/>
        <w:gridCol w:w="1350"/>
        <w:gridCol w:w="990"/>
        <w:gridCol w:w="1194"/>
      </w:tblGrid>
      <w:tr w:rsidR="00D4326C" w:rsidRPr="00AC6A22" w14:paraId="0BEE3B39" w14:textId="77777777" w:rsidTr="00282204">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050" w:type="dxa"/>
          </w:tcPr>
          <w:p w14:paraId="35EC9A58" w14:textId="77777777" w:rsidR="00D4326C" w:rsidRPr="00CA7737" w:rsidRDefault="00D4326C" w:rsidP="00282204">
            <w:pPr>
              <w:keepNext/>
              <w:jc w:val="left"/>
            </w:pPr>
          </w:p>
        </w:tc>
        <w:tc>
          <w:tcPr>
            <w:tcW w:w="1350" w:type="dxa"/>
          </w:tcPr>
          <w:p w14:paraId="50E9E8ED" w14:textId="77777777" w:rsidR="00D4326C" w:rsidRPr="00AC6A22"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AC6A22">
              <w:rPr>
                <w:sz w:val="18"/>
                <w:szCs w:val="18"/>
              </w:rPr>
              <w:t>Strongly disagree</w:t>
            </w:r>
          </w:p>
        </w:tc>
        <w:tc>
          <w:tcPr>
            <w:tcW w:w="1350" w:type="dxa"/>
          </w:tcPr>
          <w:p w14:paraId="3899A676" w14:textId="77777777" w:rsidR="00D4326C" w:rsidRPr="00AC6A22"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AC6A22">
              <w:rPr>
                <w:sz w:val="18"/>
                <w:szCs w:val="18"/>
              </w:rPr>
              <w:t>Disagree</w:t>
            </w:r>
          </w:p>
        </w:tc>
        <w:tc>
          <w:tcPr>
            <w:tcW w:w="1350" w:type="dxa"/>
          </w:tcPr>
          <w:p w14:paraId="7993D8F3" w14:textId="77777777" w:rsidR="00D4326C" w:rsidRPr="00AC6A22"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AC6A22">
              <w:rPr>
                <w:sz w:val="18"/>
                <w:szCs w:val="18"/>
              </w:rPr>
              <w:t>Neither agree nor disagree</w:t>
            </w:r>
          </w:p>
        </w:tc>
        <w:tc>
          <w:tcPr>
            <w:tcW w:w="990" w:type="dxa"/>
          </w:tcPr>
          <w:p w14:paraId="37F6EB8C" w14:textId="77777777" w:rsidR="00D4326C" w:rsidRPr="00AC6A22"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AC6A22">
              <w:rPr>
                <w:sz w:val="18"/>
                <w:szCs w:val="18"/>
              </w:rPr>
              <w:t>Agree</w:t>
            </w:r>
          </w:p>
        </w:tc>
        <w:tc>
          <w:tcPr>
            <w:tcW w:w="1194" w:type="dxa"/>
          </w:tcPr>
          <w:p w14:paraId="16B72AB6" w14:textId="77777777" w:rsidR="00D4326C" w:rsidRPr="00AC6A22"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AC6A22">
              <w:rPr>
                <w:sz w:val="18"/>
                <w:szCs w:val="18"/>
              </w:rPr>
              <w:t>Strongly agree</w:t>
            </w:r>
          </w:p>
        </w:tc>
      </w:tr>
      <w:tr w:rsidR="00D4326C" w:rsidRPr="00AC6A22" w14:paraId="05909843" w14:textId="77777777" w:rsidTr="00282204">
        <w:trPr>
          <w:trHeight w:val="1235"/>
        </w:trPr>
        <w:tc>
          <w:tcPr>
            <w:cnfStyle w:val="001000000000" w:firstRow="0" w:lastRow="0" w:firstColumn="1" w:lastColumn="0" w:oddVBand="0" w:evenVBand="0" w:oddHBand="0" w:evenHBand="0" w:firstRowFirstColumn="0" w:firstRowLastColumn="0" w:lastRowFirstColumn="0" w:lastRowLastColumn="0"/>
            <w:tcW w:w="4050" w:type="dxa"/>
          </w:tcPr>
          <w:p w14:paraId="4D62A889" w14:textId="77777777" w:rsidR="00D4326C" w:rsidRPr="00CA7737" w:rsidRDefault="00D4326C" w:rsidP="00282204">
            <w:pPr>
              <w:keepNext/>
              <w:jc w:val="left"/>
            </w:pPr>
            <w:r w:rsidRPr="00CA7737">
              <w:rPr>
                <w:b/>
              </w:rPr>
              <w:t>Lack of clinical education</w:t>
            </w:r>
            <w:r w:rsidRPr="00CA7737">
              <w:t xml:space="preserve"> of pharmacists represents a </w:t>
            </w:r>
            <w:r w:rsidRPr="00CA7737">
              <w:rPr>
                <w:b/>
              </w:rPr>
              <w:t xml:space="preserve">barrier </w:t>
            </w:r>
            <w:r w:rsidRPr="00CA7737">
              <w:t xml:space="preserve">to primary care pharmacists providing clinical services to patients with diabetes </w:t>
            </w:r>
          </w:p>
        </w:tc>
        <w:tc>
          <w:tcPr>
            <w:tcW w:w="1350" w:type="dxa"/>
          </w:tcPr>
          <w:p w14:paraId="5CE87DC3"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Pr>
          <w:p w14:paraId="5E2D948E"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Pr>
          <w:p w14:paraId="15A8E8F3"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990" w:type="dxa"/>
          </w:tcPr>
          <w:p w14:paraId="0BFD7232"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94" w:type="dxa"/>
          </w:tcPr>
          <w:p w14:paraId="15129952"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AC6A22" w14:paraId="66D532E8" w14:textId="77777777" w:rsidTr="00282204">
        <w:trPr>
          <w:trHeight w:val="1109"/>
        </w:trPr>
        <w:tc>
          <w:tcPr>
            <w:cnfStyle w:val="001000000000" w:firstRow="0" w:lastRow="0" w:firstColumn="1" w:lastColumn="0" w:oddVBand="0" w:evenVBand="0" w:oddHBand="0" w:evenHBand="0" w:firstRowFirstColumn="0" w:firstRowLastColumn="0" w:lastRowFirstColumn="0" w:lastRowLastColumn="0"/>
            <w:tcW w:w="4050" w:type="dxa"/>
          </w:tcPr>
          <w:p w14:paraId="172E0208" w14:textId="77777777" w:rsidR="00D4326C" w:rsidRPr="00CA7737" w:rsidRDefault="00D4326C" w:rsidP="00282204">
            <w:pPr>
              <w:keepNext/>
              <w:jc w:val="left"/>
            </w:pPr>
            <w:r w:rsidRPr="00CA7737">
              <w:rPr>
                <w:b/>
              </w:rPr>
              <w:t xml:space="preserve">Lack of clinical experience </w:t>
            </w:r>
            <w:r w:rsidRPr="00CA7737">
              <w:t xml:space="preserve">of pharmacists represents a </w:t>
            </w:r>
            <w:r w:rsidRPr="00CA7737">
              <w:rPr>
                <w:b/>
              </w:rPr>
              <w:t>barrier</w:t>
            </w:r>
            <w:r w:rsidRPr="00CA7737">
              <w:t xml:space="preserve"> to primary care pharmacists providing clinical services to patients with diabetes </w:t>
            </w:r>
          </w:p>
        </w:tc>
        <w:tc>
          <w:tcPr>
            <w:tcW w:w="1350" w:type="dxa"/>
          </w:tcPr>
          <w:p w14:paraId="5B10AF84"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Pr>
          <w:p w14:paraId="2A2A4727"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Pr>
          <w:p w14:paraId="32F861BC"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990" w:type="dxa"/>
          </w:tcPr>
          <w:p w14:paraId="7DCA3678"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94" w:type="dxa"/>
          </w:tcPr>
          <w:p w14:paraId="51989D3E"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AC6A22" w14:paraId="5F0D35D3" w14:textId="77777777" w:rsidTr="00282204">
        <w:trPr>
          <w:trHeight w:val="1280"/>
        </w:trPr>
        <w:tc>
          <w:tcPr>
            <w:cnfStyle w:val="001000000000" w:firstRow="0" w:lastRow="0" w:firstColumn="1" w:lastColumn="0" w:oddVBand="0" w:evenVBand="0" w:oddHBand="0" w:evenHBand="0" w:firstRowFirstColumn="0" w:firstRowLastColumn="0" w:lastRowFirstColumn="0" w:lastRowLastColumn="0"/>
            <w:tcW w:w="4050" w:type="dxa"/>
          </w:tcPr>
          <w:p w14:paraId="1C0ED0E4" w14:textId="77777777" w:rsidR="00D4326C" w:rsidRPr="00CA7737" w:rsidRDefault="00D4326C" w:rsidP="00282204">
            <w:pPr>
              <w:keepNext/>
              <w:jc w:val="left"/>
            </w:pPr>
            <w:r w:rsidRPr="00CA7737">
              <w:rPr>
                <w:b/>
              </w:rPr>
              <w:t>Lack of communication skills</w:t>
            </w:r>
            <w:r w:rsidRPr="00CA7737">
              <w:t xml:space="preserve"> of pharmacists represents a </w:t>
            </w:r>
            <w:r w:rsidRPr="00CA7737">
              <w:rPr>
                <w:b/>
              </w:rPr>
              <w:t>barrier</w:t>
            </w:r>
            <w:r w:rsidRPr="00CA7737">
              <w:t xml:space="preserve"> to primary care pharmacists providing clinical services to patients with diabetes </w:t>
            </w:r>
          </w:p>
        </w:tc>
        <w:tc>
          <w:tcPr>
            <w:tcW w:w="1350" w:type="dxa"/>
          </w:tcPr>
          <w:p w14:paraId="7F706FCD"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Pr>
          <w:p w14:paraId="177DF56D"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Pr>
          <w:p w14:paraId="563D0414"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990" w:type="dxa"/>
          </w:tcPr>
          <w:p w14:paraId="7DD256EB"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94" w:type="dxa"/>
          </w:tcPr>
          <w:p w14:paraId="095D658B"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AC6A22" w14:paraId="66BF6057" w14:textId="77777777" w:rsidTr="00282204">
        <w:trPr>
          <w:trHeight w:val="1100"/>
        </w:trPr>
        <w:tc>
          <w:tcPr>
            <w:cnfStyle w:val="001000000000" w:firstRow="0" w:lastRow="0" w:firstColumn="1" w:lastColumn="0" w:oddVBand="0" w:evenVBand="0" w:oddHBand="0" w:evenHBand="0" w:firstRowFirstColumn="0" w:firstRowLastColumn="0" w:lastRowFirstColumn="0" w:lastRowLastColumn="0"/>
            <w:tcW w:w="4050" w:type="dxa"/>
          </w:tcPr>
          <w:p w14:paraId="18D6BF90" w14:textId="77777777" w:rsidR="00D4326C" w:rsidRPr="00CA7737" w:rsidRDefault="00D4326C" w:rsidP="00282204">
            <w:pPr>
              <w:keepNext/>
              <w:jc w:val="left"/>
            </w:pPr>
            <w:r w:rsidRPr="00CA7737">
              <w:rPr>
                <w:b/>
              </w:rPr>
              <w:t>Lack of confidence</w:t>
            </w:r>
            <w:r w:rsidRPr="00CA7737">
              <w:t xml:space="preserve"> of pharmacists in themselves and their ability represents a </w:t>
            </w:r>
            <w:r w:rsidRPr="00CA7737">
              <w:rPr>
                <w:b/>
              </w:rPr>
              <w:t>barrier</w:t>
            </w:r>
            <w:r w:rsidRPr="00CA7737">
              <w:t xml:space="preserve"> to providing clinical services to patients with diabetes </w:t>
            </w:r>
          </w:p>
        </w:tc>
        <w:tc>
          <w:tcPr>
            <w:tcW w:w="1350" w:type="dxa"/>
          </w:tcPr>
          <w:p w14:paraId="017FBDF9"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Pr>
          <w:p w14:paraId="1CA7B7F3"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Pr>
          <w:p w14:paraId="6948AB7C"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990" w:type="dxa"/>
          </w:tcPr>
          <w:p w14:paraId="23E7A0F5"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94" w:type="dxa"/>
          </w:tcPr>
          <w:p w14:paraId="08169E31"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AC6A22" w14:paraId="1A42B89C" w14:textId="77777777" w:rsidTr="00282204">
        <w:trPr>
          <w:trHeight w:val="1910"/>
        </w:trPr>
        <w:tc>
          <w:tcPr>
            <w:cnfStyle w:val="001000000000" w:firstRow="0" w:lastRow="0" w:firstColumn="1" w:lastColumn="0" w:oddVBand="0" w:evenVBand="0" w:oddHBand="0" w:evenHBand="0" w:firstRowFirstColumn="0" w:firstRowLastColumn="0" w:lastRowFirstColumn="0" w:lastRowLastColumn="0"/>
            <w:tcW w:w="4050" w:type="dxa"/>
          </w:tcPr>
          <w:p w14:paraId="56DFDFB1" w14:textId="77777777" w:rsidR="00D4326C" w:rsidRPr="00CA7737" w:rsidRDefault="00D4326C" w:rsidP="00282204">
            <w:pPr>
              <w:keepNext/>
              <w:jc w:val="left"/>
            </w:pPr>
            <w:r w:rsidRPr="00CA7737">
              <w:rPr>
                <w:b/>
              </w:rPr>
              <w:t>Pharmacist willingness</w:t>
            </w:r>
            <w:r w:rsidRPr="00CA7737">
              <w:t xml:space="preserve"> to take on new roles represent a </w:t>
            </w:r>
            <w:r w:rsidRPr="00CA7737">
              <w:rPr>
                <w:b/>
              </w:rPr>
              <w:t>barrier</w:t>
            </w:r>
            <w:r w:rsidRPr="00CA7737">
              <w:t xml:space="preserve"> to primary care pharmacists providing clinical services to patients with diabetes </w:t>
            </w:r>
          </w:p>
        </w:tc>
        <w:tc>
          <w:tcPr>
            <w:tcW w:w="1350" w:type="dxa"/>
          </w:tcPr>
          <w:p w14:paraId="65956D54"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Pr>
          <w:p w14:paraId="30901C2A"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50" w:type="dxa"/>
          </w:tcPr>
          <w:p w14:paraId="23953946"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990" w:type="dxa"/>
          </w:tcPr>
          <w:p w14:paraId="2EC2E6E2"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94" w:type="dxa"/>
          </w:tcPr>
          <w:p w14:paraId="06202547" w14:textId="77777777" w:rsidR="00D4326C" w:rsidRPr="00AC6A2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bl>
    <w:p w14:paraId="0CB10BC5" w14:textId="77777777" w:rsidR="00D4326C" w:rsidRPr="00AC6A22" w:rsidRDefault="00D4326C" w:rsidP="00D4326C">
      <w:pPr>
        <w:rPr>
          <w:sz w:val="18"/>
          <w:szCs w:val="18"/>
        </w:rPr>
      </w:pPr>
    </w:p>
    <w:p w14:paraId="7F1D48E6" w14:textId="77777777" w:rsidR="00D4326C" w:rsidRDefault="00D4326C" w:rsidP="00D4326C"/>
    <w:p w14:paraId="21829292" w14:textId="77777777" w:rsidR="00D4326C" w:rsidRDefault="00D4326C" w:rsidP="00D4326C">
      <w:pPr>
        <w:pStyle w:val="QuestionSeparator"/>
        <w:pBdr>
          <w:top w:val="dashed" w:sz="8" w:space="31" w:color="CCCCCC"/>
        </w:pBdr>
      </w:pPr>
    </w:p>
    <w:p w14:paraId="293DBDFD" w14:textId="77777777" w:rsidR="00D4326C" w:rsidRDefault="00D4326C" w:rsidP="00D4326C"/>
    <w:p w14:paraId="40AE494F" w14:textId="77777777" w:rsidR="00D4326C" w:rsidRDefault="00D4326C" w:rsidP="00D4326C">
      <w:pPr>
        <w:keepNext/>
      </w:pPr>
      <w:r>
        <w:t xml:space="preserve">Barrier&amp;Facilitator4 </w:t>
      </w:r>
      <w:r>
        <w:rPr>
          <w:b/>
        </w:rPr>
        <w:t>Pharmacist Attributes</w:t>
      </w:r>
      <w:r>
        <w:t xml:space="preserve"> 2. Workforce based</w:t>
      </w:r>
    </w:p>
    <w:tbl>
      <w:tblPr>
        <w:tblStyle w:val="QQuestionTable"/>
        <w:tblW w:w="10431" w:type="dxa"/>
        <w:tblLook w:val="07E0" w:firstRow="1" w:lastRow="1" w:firstColumn="1" w:lastColumn="1" w:noHBand="1" w:noVBand="1"/>
      </w:tblPr>
      <w:tblGrid>
        <w:gridCol w:w="4049"/>
        <w:gridCol w:w="1224"/>
        <w:gridCol w:w="1318"/>
        <w:gridCol w:w="1412"/>
        <w:gridCol w:w="1435"/>
        <w:gridCol w:w="993"/>
      </w:tblGrid>
      <w:tr w:rsidR="00D4326C" w:rsidRPr="00CA7737" w14:paraId="6BD7D887" w14:textId="77777777" w:rsidTr="00282204">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4049" w:type="dxa"/>
          </w:tcPr>
          <w:p w14:paraId="793F3097" w14:textId="77777777" w:rsidR="00D4326C" w:rsidRPr="00CA7737" w:rsidRDefault="00D4326C" w:rsidP="00282204">
            <w:pPr>
              <w:keepNext/>
              <w:jc w:val="left"/>
              <w:rPr>
                <w:sz w:val="18"/>
                <w:szCs w:val="18"/>
              </w:rPr>
            </w:pPr>
          </w:p>
        </w:tc>
        <w:tc>
          <w:tcPr>
            <w:tcW w:w="1224" w:type="dxa"/>
          </w:tcPr>
          <w:p w14:paraId="08380958" w14:textId="77777777" w:rsidR="00D4326C" w:rsidRPr="00CA7737"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CA7737">
              <w:rPr>
                <w:sz w:val="18"/>
                <w:szCs w:val="18"/>
              </w:rPr>
              <w:t>Strongly disagree</w:t>
            </w:r>
          </w:p>
        </w:tc>
        <w:tc>
          <w:tcPr>
            <w:tcW w:w="1318" w:type="dxa"/>
          </w:tcPr>
          <w:p w14:paraId="68CB2B71" w14:textId="77777777" w:rsidR="00D4326C" w:rsidRPr="00CA7737"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CA7737">
              <w:rPr>
                <w:sz w:val="18"/>
                <w:szCs w:val="18"/>
              </w:rPr>
              <w:t>Disagree</w:t>
            </w:r>
          </w:p>
        </w:tc>
        <w:tc>
          <w:tcPr>
            <w:tcW w:w="1412" w:type="dxa"/>
          </w:tcPr>
          <w:p w14:paraId="554E69E9" w14:textId="77777777" w:rsidR="00D4326C" w:rsidRPr="00CA7737"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CA7737">
              <w:rPr>
                <w:sz w:val="18"/>
                <w:szCs w:val="18"/>
              </w:rPr>
              <w:t>Neither agree nor disagree</w:t>
            </w:r>
          </w:p>
        </w:tc>
        <w:tc>
          <w:tcPr>
            <w:tcW w:w="1435" w:type="dxa"/>
          </w:tcPr>
          <w:p w14:paraId="3C420402" w14:textId="77777777" w:rsidR="00D4326C" w:rsidRPr="00CA7737"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CA7737">
              <w:rPr>
                <w:sz w:val="18"/>
                <w:szCs w:val="18"/>
              </w:rPr>
              <w:t>Agree</w:t>
            </w:r>
          </w:p>
        </w:tc>
        <w:tc>
          <w:tcPr>
            <w:tcW w:w="993" w:type="dxa"/>
          </w:tcPr>
          <w:p w14:paraId="4BA09DF0" w14:textId="77777777" w:rsidR="00D4326C" w:rsidRPr="00CA7737"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CA7737">
              <w:rPr>
                <w:sz w:val="18"/>
                <w:szCs w:val="18"/>
              </w:rPr>
              <w:t>Strongly agree</w:t>
            </w:r>
          </w:p>
        </w:tc>
      </w:tr>
      <w:tr w:rsidR="00D4326C" w:rsidRPr="00CA7737" w14:paraId="25003C55" w14:textId="77777777" w:rsidTr="00282204">
        <w:trPr>
          <w:trHeight w:val="1367"/>
        </w:trPr>
        <w:tc>
          <w:tcPr>
            <w:cnfStyle w:val="001000000000" w:firstRow="0" w:lastRow="0" w:firstColumn="1" w:lastColumn="0" w:oddVBand="0" w:evenVBand="0" w:oddHBand="0" w:evenHBand="0" w:firstRowFirstColumn="0" w:firstRowLastColumn="0" w:lastRowFirstColumn="0" w:lastRowLastColumn="0"/>
            <w:tcW w:w="4049" w:type="dxa"/>
          </w:tcPr>
          <w:p w14:paraId="529A92CD" w14:textId="77777777" w:rsidR="00D4326C" w:rsidRPr="00CA7737" w:rsidRDefault="00D4326C" w:rsidP="00282204">
            <w:pPr>
              <w:keepNext/>
              <w:jc w:val="left"/>
            </w:pPr>
            <w:r w:rsidRPr="00CA7737">
              <w:rPr>
                <w:b/>
              </w:rPr>
              <w:t xml:space="preserve">Lack of qualified pharmacy staff </w:t>
            </w:r>
            <w:r w:rsidRPr="00CA7737">
              <w:t xml:space="preserve">working at primary healthcare centres represents a </w:t>
            </w:r>
            <w:r w:rsidRPr="00CA7737">
              <w:rPr>
                <w:b/>
              </w:rPr>
              <w:t>barrier</w:t>
            </w:r>
            <w:r w:rsidRPr="00CA7737">
              <w:t xml:space="preserve"> to providing pharmaceutical care to patients with diabetes </w:t>
            </w:r>
          </w:p>
        </w:tc>
        <w:tc>
          <w:tcPr>
            <w:tcW w:w="1224" w:type="dxa"/>
          </w:tcPr>
          <w:p w14:paraId="0EFEA1B6"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18" w:type="dxa"/>
          </w:tcPr>
          <w:p w14:paraId="598E716C"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12" w:type="dxa"/>
          </w:tcPr>
          <w:p w14:paraId="48A21FD0"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35" w:type="dxa"/>
          </w:tcPr>
          <w:p w14:paraId="0EAB57C4"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5E52AE94"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CA7737" w14:paraId="1A6D946E" w14:textId="77777777" w:rsidTr="00282204">
        <w:trPr>
          <w:trHeight w:val="1159"/>
        </w:trPr>
        <w:tc>
          <w:tcPr>
            <w:cnfStyle w:val="001000000000" w:firstRow="0" w:lastRow="0" w:firstColumn="1" w:lastColumn="0" w:oddVBand="0" w:evenVBand="0" w:oddHBand="0" w:evenHBand="0" w:firstRowFirstColumn="0" w:firstRowLastColumn="0" w:lastRowFirstColumn="0" w:lastRowLastColumn="0"/>
            <w:tcW w:w="4049" w:type="dxa"/>
          </w:tcPr>
          <w:p w14:paraId="1517572F" w14:textId="77777777" w:rsidR="00D4326C" w:rsidRPr="00CA7737" w:rsidRDefault="00D4326C" w:rsidP="00282204">
            <w:pPr>
              <w:keepNext/>
              <w:jc w:val="left"/>
            </w:pPr>
            <w:r w:rsidRPr="00CA7737">
              <w:rPr>
                <w:b/>
              </w:rPr>
              <w:t>Lack of time</w:t>
            </w:r>
            <w:r w:rsidRPr="00CA7737">
              <w:t xml:space="preserve"> represents a </w:t>
            </w:r>
            <w:r w:rsidRPr="00CA7737">
              <w:rPr>
                <w:b/>
              </w:rPr>
              <w:t>barrier</w:t>
            </w:r>
            <w:r w:rsidRPr="00CA7737">
              <w:t xml:space="preserve"> to primary care pharmacists providing clinical services to patients with diabetes </w:t>
            </w:r>
          </w:p>
        </w:tc>
        <w:tc>
          <w:tcPr>
            <w:tcW w:w="1224" w:type="dxa"/>
          </w:tcPr>
          <w:p w14:paraId="3B78526F"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18" w:type="dxa"/>
          </w:tcPr>
          <w:p w14:paraId="11FF342F"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12" w:type="dxa"/>
          </w:tcPr>
          <w:p w14:paraId="0681A9F9"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435" w:type="dxa"/>
          </w:tcPr>
          <w:p w14:paraId="37626018"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540D39C1"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bl>
    <w:p w14:paraId="78E40857" w14:textId="77777777" w:rsidR="00D4326C" w:rsidRDefault="00D4326C" w:rsidP="00D4326C"/>
    <w:p w14:paraId="5F20DD47" w14:textId="77777777" w:rsidR="00D4326C" w:rsidRDefault="00D4326C" w:rsidP="00D4326C"/>
    <w:p w14:paraId="0AD5C763" w14:textId="77777777" w:rsidR="00D4326C" w:rsidRDefault="00D4326C" w:rsidP="00D4326C">
      <w:pPr>
        <w:pStyle w:val="QuestionSeparator"/>
      </w:pPr>
    </w:p>
    <w:p w14:paraId="464EC53B" w14:textId="77777777" w:rsidR="00D4326C" w:rsidRDefault="00D4326C" w:rsidP="00D4326C"/>
    <w:p w14:paraId="56F13EFA" w14:textId="77777777" w:rsidR="00D4326C" w:rsidRDefault="00D4326C" w:rsidP="00D4326C">
      <w:pPr>
        <w:keepNext/>
      </w:pPr>
      <w:r>
        <w:t>Barrier&amp;Facilitator5 Pharmacist Attributes 3. Procedural/ Legal  </w:t>
      </w:r>
    </w:p>
    <w:tbl>
      <w:tblPr>
        <w:tblStyle w:val="QQuestionTable"/>
        <w:tblW w:w="10429" w:type="dxa"/>
        <w:tblLook w:val="07E0" w:firstRow="1" w:lastRow="1" w:firstColumn="1" w:lastColumn="1" w:noHBand="1" w:noVBand="1"/>
      </w:tblPr>
      <w:tblGrid>
        <w:gridCol w:w="3465"/>
        <w:gridCol w:w="1094"/>
        <w:gridCol w:w="1367"/>
        <w:gridCol w:w="1258"/>
        <w:gridCol w:w="565"/>
        <w:gridCol w:w="1042"/>
        <w:gridCol w:w="234"/>
        <w:gridCol w:w="1404"/>
      </w:tblGrid>
      <w:tr w:rsidR="00D4326C" w:rsidRPr="00CA7737" w14:paraId="3EFEFD03" w14:textId="77777777" w:rsidTr="00282204">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465" w:type="dxa"/>
          </w:tcPr>
          <w:p w14:paraId="0009CECC" w14:textId="77777777" w:rsidR="00D4326C" w:rsidRPr="00C16B48" w:rsidRDefault="00D4326C" w:rsidP="00282204">
            <w:pPr>
              <w:keepNext/>
              <w:jc w:val="left"/>
            </w:pPr>
          </w:p>
        </w:tc>
        <w:tc>
          <w:tcPr>
            <w:tcW w:w="1094" w:type="dxa"/>
          </w:tcPr>
          <w:p w14:paraId="134F10A6" w14:textId="77777777" w:rsidR="00D4326C" w:rsidRPr="00CA7737"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CA7737">
              <w:rPr>
                <w:sz w:val="18"/>
                <w:szCs w:val="18"/>
              </w:rPr>
              <w:t>Strongly disagree</w:t>
            </w:r>
          </w:p>
        </w:tc>
        <w:tc>
          <w:tcPr>
            <w:tcW w:w="1367" w:type="dxa"/>
          </w:tcPr>
          <w:p w14:paraId="5B3E6E0C" w14:textId="77777777" w:rsidR="00D4326C" w:rsidRPr="00CA7737"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CA7737">
              <w:rPr>
                <w:sz w:val="18"/>
                <w:szCs w:val="18"/>
              </w:rPr>
              <w:t>Disagree</w:t>
            </w:r>
          </w:p>
        </w:tc>
        <w:tc>
          <w:tcPr>
            <w:tcW w:w="1823" w:type="dxa"/>
            <w:gridSpan w:val="2"/>
          </w:tcPr>
          <w:p w14:paraId="05109D45" w14:textId="77777777" w:rsidR="00D4326C" w:rsidRPr="00CA7737"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CA7737">
              <w:rPr>
                <w:sz w:val="18"/>
                <w:szCs w:val="18"/>
              </w:rPr>
              <w:t>Neither agree nor disagree</w:t>
            </w:r>
          </w:p>
        </w:tc>
        <w:tc>
          <w:tcPr>
            <w:tcW w:w="1276" w:type="dxa"/>
            <w:gridSpan w:val="2"/>
          </w:tcPr>
          <w:p w14:paraId="696E1856" w14:textId="77777777" w:rsidR="00D4326C" w:rsidRPr="00CA7737"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CA7737">
              <w:rPr>
                <w:sz w:val="18"/>
                <w:szCs w:val="18"/>
              </w:rPr>
              <w:t>Agree</w:t>
            </w:r>
          </w:p>
        </w:tc>
        <w:tc>
          <w:tcPr>
            <w:tcW w:w="1404" w:type="dxa"/>
          </w:tcPr>
          <w:p w14:paraId="3FA884E4" w14:textId="77777777" w:rsidR="00D4326C" w:rsidRPr="00CA7737"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CA7737">
              <w:rPr>
                <w:sz w:val="18"/>
                <w:szCs w:val="18"/>
              </w:rPr>
              <w:t>Strongly agree</w:t>
            </w:r>
          </w:p>
        </w:tc>
      </w:tr>
      <w:tr w:rsidR="00D4326C" w:rsidRPr="00CA7737" w14:paraId="5BEAEFDD" w14:textId="77777777" w:rsidTr="00282204">
        <w:trPr>
          <w:trHeight w:val="1536"/>
        </w:trPr>
        <w:tc>
          <w:tcPr>
            <w:cnfStyle w:val="001000000000" w:firstRow="0" w:lastRow="0" w:firstColumn="1" w:lastColumn="0" w:oddVBand="0" w:evenVBand="0" w:oddHBand="0" w:evenHBand="0" w:firstRowFirstColumn="0" w:firstRowLastColumn="0" w:lastRowFirstColumn="0" w:lastRowLastColumn="0"/>
            <w:tcW w:w="3465" w:type="dxa"/>
          </w:tcPr>
          <w:p w14:paraId="573D424A" w14:textId="77777777" w:rsidR="00D4326C" w:rsidRPr="00C16B48" w:rsidRDefault="00D4326C" w:rsidP="00282204">
            <w:pPr>
              <w:keepNext/>
              <w:jc w:val="left"/>
            </w:pPr>
            <w:r w:rsidRPr="00C16B48">
              <w:rPr>
                <w:b/>
              </w:rPr>
              <w:t>Lack of prescribing authority</w:t>
            </w:r>
            <w:r w:rsidRPr="00C16B48">
              <w:t xml:space="preserve"> for pharmacists represents a </w:t>
            </w:r>
            <w:r w:rsidRPr="00C16B48">
              <w:rPr>
                <w:b/>
              </w:rPr>
              <w:t>barrier</w:t>
            </w:r>
            <w:r w:rsidRPr="00C16B48">
              <w:t xml:space="preserve"> to primary care pharmacists providing clinical services to patients with diabetes </w:t>
            </w:r>
          </w:p>
        </w:tc>
        <w:tc>
          <w:tcPr>
            <w:tcW w:w="1094" w:type="dxa"/>
          </w:tcPr>
          <w:p w14:paraId="642507CB"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Pr>
          <w:p w14:paraId="7BA8DAB2"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258" w:type="dxa"/>
          </w:tcPr>
          <w:p w14:paraId="17DAEAB5"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07" w:type="dxa"/>
            <w:gridSpan w:val="2"/>
          </w:tcPr>
          <w:p w14:paraId="446AE7F6"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gridSpan w:val="2"/>
          </w:tcPr>
          <w:p w14:paraId="5451A9C6"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CA7737" w14:paraId="42522956" w14:textId="77777777" w:rsidTr="00282204">
        <w:trPr>
          <w:trHeight w:val="1660"/>
        </w:trPr>
        <w:tc>
          <w:tcPr>
            <w:cnfStyle w:val="001000000000" w:firstRow="0" w:lastRow="0" w:firstColumn="1" w:lastColumn="0" w:oddVBand="0" w:evenVBand="0" w:oddHBand="0" w:evenHBand="0" w:firstRowFirstColumn="0" w:firstRowLastColumn="0" w:lastRowFirstColumn="0" w:lastRowLastColumn="0"/>
            <w:tcW w:w="3465" w:type="dxa"/>
          </w:tcPr>
          <w:p w14:paraId="5F00D071" w14:textId="77777777" w:rsidR="00D4326C" w:rsidRPr="00C16B48" w:rsidRDefault="00D4326C" w:rsidP="00282204">
            <w:pPr>
              <w:keepNext/>
              <w:jc w:val="left"/>
            </w:pPr>
            <w:r w:rsidRPr="00C16B48">
              <w:rPr>
                <w:b/>
              </w:rPr>
              <w:t>Lack of access to patients' medical records</w:t>
            </w:r>
            <w:r w:rsidRPr="00C16B48">
              <w:t xml:space="preserve"> for pharmacists represents a </w:t>
            </w:r>
            <w:r w:rsidRPr="00C16B48">
              <w:rPr>
                <w:b/>
              </w:rPr>
              <w:t>barrier</w:t>
            </w:r>
            <w:r w:rsidRPr="00C16B48">
              <w:t xml:space="preserve"> to primary care pharmacists providing clinical services to patients with diabetes </w:t>
            </w:r>
          </w:p>
        </w:tc>
        <w:tc>
          <w:tcPr>
            <w:tcW w:w="1094" w:type="dxa"/>
          </w:tcPr>
          <w:p w14:paraId="3D49731D"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Pr>
          <w:p w14:paraId="45D2073C"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258" w:type="dxa"/>
          </w:tcPr>
          <w:p w14:paraId="256C71A0"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07" w:type="dxa"/>
            <w:gridSpan w:val="2"/>
          </w:tcPr>
          <w:p w14:paraId="4C4FBF05"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gridSpan w:val="2"/>
          </w:tcPr>
          <w:p w14:paraId="2A600FFD"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CA7737" w14:paraId="4DA0E1DE" w14:textId="77777777" w:rsidTr="00282204">
        <w:trPr>
          <w:trHeight w:val="1668"/>
        </w:trPr>
        <w:tc>
          <w:tcPr>
            <w:cnfStyle w:val="001000000000" w:firstRow="0" w:lastRow="0" w:firstColumn="1" w:lastColumn="0" w:oddVBand="0" w:evenVBand="0" w:oddHBand="0" w:evenHBand="0" w:firstRowFirstColumn="0" w:firstRowLastColumn="0" w:lastRowFirstColumn="0" w:lastRowLastColumn="0"/>
            <w:tcW w:w="3465" w:type="dxa"/>
          </w:tcPr>
          <w:p w14:paraId="6508AC92" w14:textId="77777777" w:rsidR="00D4326C" w:rsidRPr="00C16B48" w:rsidRDefault="00D4326C" w:rsidP="00282204">
            <w:pPr>
              <w:keepNext/>
              <w:jc w:val="left"/>
            </w:pPr>
            <w:r w:rsidRPr="00C16B48">
              <w:rPr>
                <w:b/>
              </w:rPr>
              <w:t>Lack of a private room</w:t>
            </w:r>
            <w:r w:rsidRPr="00C16B48">
              <w:t xml:space="preserve"> to interview patients and advise them represents a </w:t>
            </w:r>
            <w:r w:rsidRPr="00C16B48">
              <w:rPr>
                <w:b/>
              </w:rPr>
              <w:t>barrier</w:t>
            </w:r>
            <w:r w:rsidRPr="00C16B48">
              <w:t xml:space="preserve"> to primary care pharmacists providing clinical services to patients with diabetes </w:t>
            </w:r>
          </w:p>
        </w:tc>
        <w:tc>
          <w:tcPr>
            <w:tcW w:w="1094" w:type="dxa"/>
          </w:tcPr>
          <w:p w14:paraId="18D13F33"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Pr>
          <w:p w14:paraId="2E72390E"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258" w:type="dxa"/>
          </w:tcPr>
          <w:p w14:paraId="6F03AA65"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07" w:type="dxa"/>
            <w:gridSpan w:val="2"/>
          </w:tcPr>
          <w:p w14:paraId="7AACDC80"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gridSpan w:val="2"/>
          </w:tcPr>
          <w:p w14:paraId="5494056C" w14:textId="77777777" w:rsidR="00D4326C" w:rsidRPr="00CA7737"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bl>
    <w:p w14:paraId="3005CF20" w14:textId="77777777" w:rsidR="00D4326C" w:rsidRDefault="00D4326C" w:rsidP="00D4326C"/>
    <w:p w14:paraId="69E7D16B" w14:textId="77777777" w:rsidR="00D4326C" w:rsidRDefault="00D4326C" w:rsidP="00D4326C"/>
    <w:p w14:paraId="7D59EB0E" w14:textId="77777777" w:rsidR="00D4326C" w:rsidRDefault="00D4326C" w:rsidP="00D4326C">
      <w:pPr>
        <w:pStyle w:val="QuestionSeparator"/>
      </w:pPr>
    </w:p>
    <w:p w14:paraId="7D9B7B95" w14:textId="77777777" w:rsidR="00D4326C" w:rsidRDefault="00D4326C" w:rsidP="00D4326C"/>
    <w:p w14:paraId="50E0FAF0" w14:textId="77777777" w:rsidR="00D4326C" w:rsidRPr="00876389" w:rsidRDefault="00D4326C" w:rsidP="00D4326C">
      <w:pPr>
        <w:keepNext/>
        <w:rPr>
          <w:lang w:val="fr-FR"/>
        </w:rPr>
      </w:pPr>
      <w:r w:rsidRPr="00876389">
        <w:rPr>
          <w:lang w:val="fr-FR"/>
        </w:rPr>
        <w:t>Barrier&amp;Facilitator6 Pharmacist Attributes 4. Pharmacist Roles</w:t>
      </w:r>
    </w:p>
    <w:tbl>
      <w:tblPr>
        <w:tblStyle w:val="QQuestionTable"/>
        <w:tblW w:w="10317" w:type="dxa"/>
        <w:tblLook w:val="07E0" w:firstRow="1" w:lastRow="1" w:firstColumn="1" w:lastColumn="1" w:noHBand="1" w:noVBand="1"/>
      </w:tblPr>
      <w:tblGrid>
        <w:gridCol w:w="3258"/>
        <w:gridCol w:w="1497"/>
        <w:gridCol w:w="1321"/>
        <w:gridCol w:w="1761"/>
        <w:gridCol w:w="1144"/>
        <w:gridCol w:w="1336"/>
      </w:tblGrid>
      <w:tr w:rsidR="00D4326C" w:rsidRPr="00A87BF2" w14:paraId="5825C725" w14:textId="77777777" w:rsidTr="00282204">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258" w:type="dxa"/>
          </w:tcPr>
          <w:p w14:paraId="6207B41C" w14:textId="77777777" w:rsidR="00D4326C" w:rsidRPr="00876389" w:rsidRDefault="00D4326C" w:rsidP="00282204">
            <w:pPr>
              <w:keepNext/>
              <w:jc w:val="left"/>
              <w:rPr>
                <w:lang w:val="fr-FR"/>
              </w:rPr>
            </w:pPr>
          </w:p>
        </w:tc>
        <w:tc>
          <w:tcPr>
            <w:tcW w:w="1497" w:type="dxa"/>
          </w:tcPr>
          <w:p w14:paraId="5C9577BA" w14:textId="77777777" w:rsidR="00D4326C" w:rsidRPr="00A87BF2"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A87BF2">
              <w:rPr>
                <w:sz w:val="18"/>
                <w:szCs w:val="18"/>
              </w:rPr>
              <w:t>Strongly disagree</w:t>
            </w:r>
          </w:p>
        </w:tc>
        <w:tc>
          <w:tcPr>
            <w:tcW w:w="1321" w:type="dxa"/>
          </w:tcPr>
          <w:p w14:paraId="6D1F0770" w14:textId="77777777" w:rsidR="00D4326C" w:rsidRPr="00A87BF2"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A87BF2">
              <w:rPr>
                <w:sz w:val="18"/>
                <w:szCs w:val="18"/>
              </w:rPr>
              <w:t>Disagree</w:t>
            </w:r>
          </w:p>
        </w:tc>
        <w:tc>
          <w:tcPr>
            <w:tcW w:w="1761" w:type="dxa"/>
          </w:tcPr>
          <w:p w14:paraId="5A6D50F7" w14:textId="77777777" w:rsidR="00D4326C" w:rsidRPr="00A87BF2"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A87BF2">
              <w:rPr>
                <w:sz w:val="18"/>
                <w:szCs w:val="18"/>
              </w:rPr>
              <w:t>Neither agree nor disagree</w:t>
            </w:r>
          </w:p>
        </w:tc>
        <w:tc>
          <w:tcPr>
            <w:tcW w:w="1144" w:type="dxa"/>
          </w:tcPr>
          <w:p w14:paraId="2EC8088C" w14:textId="77777777" w:rsidR="00D4326C" w:rsidRPr="00A87BF2"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A87BF2">
              <w:rPr>
                <w:sz w:val="18"/>
                <w:szCs w:val="18"/>
              </w:rPr>
              <w:t>Agree</w:t>
            </w:r>
          </w:p>
        </w:tc>
        <w:tc>
          <w:tcPr>
            <w:tcW w:w="1336" w:type="dxa"/>
          </w:tcPr>
          <w:p w14:paraId="4AFC9D27" w14:textId="77777777" w:rsidR="00D4326C" w:rsidRPr="00A87BF2" w:rsidRDefault="00D4326C" w:rsidP="00282204">
            <w:pPr>
              <w:cnfStyle w:val="100000000000" w:firstRow="1" w:lastRow="0" w:firstColumn="0" w:lastColumn="0" w:oddVBand="0" w:evenVBand="0" w:oddHBand="0" w:evenHBand="0" w:firstRowFirstColumn="0" w:firstRowLastColumn="0" w:lastRowFirstColumn="0" w:lastRowLastColumn="0"/>
              <w:rPr>
                <w:sz w:val="18"/>
                <w:szCs w:val="18"/>
              </w:rPr>
            </w:pPr>
            <w:r w:rsidRPr="00A87BF2">
              <w:rPr>
                <w:sz w:val="18"/>
                <w:szCs w:val="18"/>
              </w:rPr>
              <w:t>Strongly agree</w:t>
            </w:r>
          </w:p>
        </w:tc>
      </w:tr>
      <w:tr w:rsidR="00D4326C" w:rsidRPr="00A87BF2" w14:paraId="0CA9901E" w14:textId="77777777" w:rsidTr="00282204">
        <w:trPr>
          <w:trHeight w:val="1222"/>
        </w:trPr>
        <w:tc>
          <w:tcPr>
            <w:cnfStyle w:val="001000000000" w:firstRow="0" w:lastRow="0" w:firstColumn="1" w:lastColumn="0" w:oddVBand="0" w:evenVBand="0" w:oddHBand="0" w:evenHBand="0" w:firstRowFirstColumn="0" w:firstRowLastColumn="0" w:lastRowFirstColumn="0" w:lastRowLastColumn="0"/>
            <w:tcW w:w="3258" w:type="dxa"/>
          </w:tcPr>
          <w:p w14:paraId="3C55B873" w14:textId="77777777" w:rsidR="00D4326C" w:rsidRPr="00573E98" w:rsidRDefault="00D4326C" w:rsidP="00282204">
            <w:pPr>
              <w:keepNext/>
              <w:jc w:val="left"/>
            </w:pPr>
            <w:r w:rsidRPr="00573E98">
              <w:rPr>
                <w:b/>
              </w:rPr>
              <w:t>Lack of well-defined pharmacist role</w:t>
            </w:r>
            <w:r w:rsidRPr="00573E98">
              <w:t xml:space="preserve"> represents a </w:t>
            </w:r>
            <w:r w:rsidRPr="00573E98">
              <w:rPr>
                <w:b/>
              </w:rPr>
              <w:t>barrier</w:t>
            </w:r>
            <w:r w:rsidRPr="00573E98">
              <w:t xml:space="preserve"> to primary care pharmacists providing clinical services to patients with diabetes </w:t>
            </w:r>
          </w:p>
        </w:tc>
        <w:tc>
          <w:tcPr>
            <w:tcW w:w="1497" w:type="dxa"/>
          </w:tcPr>
          <w:p w14:paraId="3F91DDBB"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21" w:type="dxa"/>
          </w:tcPr>
          <w:p w14:paraId="59F4337C"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761" w:type="dxa"/>
          </w:tcPr>
          <w:p w14:paraId="0868131D"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44" w:type="dxa"/>
          </w:tcPr>
          <w:p w14:paraId="1BB1E4B4"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36" w:type="dxa"/>
          </w:tcPr>
          <w:p w14:paraId="129F8477"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A87BF2" w14:paraId="79AF3656" w14:textId="77777777" w:rsidTr="00282204">
        <w:trPr>
          <w:trHeight w:val="1573"/>
        </w:trPr>
        <w:tc>
          <w:tcPr>
            <w:cnfStyle w:val="001000000000" w:firstRow="0" w:lastRow="0" w:firstColumn="1" w:lastColumn="0" w:oddVBand="0" w:evenVBand="0" w:oddHBand="0" w:evenHBand="0" w:firstRowFirstColumn="0" w:firstRowLastColumn="0" w:lastRowFirstColumn="0" w:lastRowLastColumn="0"/>
            <w:tcW w:w="3258" w:type="dxa"/>
          </w:tcPr>
          <w:p w14:paraId="600A7BEE" w14:textId="77777777" w:rsidR="00D4326C" w:rsidRPr="00573E98" w:rsidRDefault="00D4326C" w:rsidP="00282204">
            <w:pPr>
              <w:keepNext/>
              <w:jc w:val="left"/>
            </w:pPr>
            <w:r w:rsidRPr="00573E98">
              <w:rPr>
                <w:b/>
              </w:rPr>
              <w:t xml:space="preserve">Lack of awareness of the clinical role of pharmacist </w:t>
            </w:r>
            <w:r w:rsidRPr="00573E98">
              <w:t xml:space="preserve">by healthcare providers represents a </w:t>
            </w:r>
            <w:r w:rsidRPr="00573E98">
              <w:rPr>
                <w:b/>
              </w:rPr>
              <w:t>barrier</w:t>
            </w:r>
            <w:r w:rsidRPr="00573E98">
              <w:t xml:space="preserve"> to primary care pharmacists providing clinical services to patients with diabetes </w:t>
            </w:r>
          </w:p>
        </w:tc>
        <w:tc>
          <w:tcPr>
            <w:tcW w:w="1497" w:type="dxa"/>
          </w:tcPr>
          <w:p w14:paraId="0D4139AC"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21" w:type="dxa"/>
          </w:tcPr>
          <w:p w14:paraId="1A4E37A8"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761" w:type="dxa"/>
          </w:tcPr>
          <w:p w14:paraId="45B9D60A"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44" w:type="dxa"/>
          </w:tcPr>
          <w:p w14:paraId="05550558"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36" w:type="dxa"/>
          </w:tcPr>
          <w:p w14:paraId="29BAADED"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A87BF2" w14:paraId="0E313DAC" w14:textId="77777777" w:rsidTr="00282204">
        <w:trPr>
          <w:trHeight w:val="1573"/>
        </w:trPr>
        <w:tc>
          <w:tcPr>
            <w:cnfStyle w:val="001000000000" w:firstRow="0" w:lastRow="0" w:firstColumn="1" w:lastColumn="0" w:oddVBand="0" w:evenVBand="0" w:oddHBand="0" w:evenHBand="0" w:firstRowFirstColumn="0" w:firstRowLastColumn="0" w:lastRowFirstColumn="0" w:lastRowLastColumn="0"/>
            <w:tcW w:w="3258" w:type="dxa"/>
          </w:tcPr>
          <w:p w14:paraId="51C467E5" w14:textId="77777777" w:rsidR="00D4326C" w:rsidRPr="00573E98" w:rsidRDefault="00D4326C" w:rsidP="00282204">
            <w:pPr>
              <w:keepNext/>
              <w:jc w:val="left"/>
            </w:pPr>
            <w:r w:rsidRPr="00573E98">
              <w:rPr>
                <w:b/>
              </w:rPr>
              <w:t xml:space="preserve">Resistance to the clinical role of pharmacists </w:t>
            </w:r>
            <w:r w:rsidRPr="00573E98">
              <w:t xml:space="preserve">by healthcare providers represents a </w:t>
            </w:r>
            <w:r w:rsidRPr="00573E98">
              <w:rPr>
                <w:b/>
              </w:rPr>
              <w:t>barrier</w:t>
            </w:r>
            <w:r w:rsidRPr="00573E98">
              <w:t xml:space="preserve"> to primary care pharmacists providing clinical services to patients with diabetes </w:t>
            </w:r>
          </w:p>
        </w:tc>
        <w:tc>
          <w:tcPr>
            <w:tcW w:w="1497" w:type="dxa"/>
          </w:tcPr>
          <w:p w14:paraId="76D29055"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21" w:type="dxa"/>
          </w:tcPr>
          <w:p w14:paraId="06F80C69"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761" w:type="dxa"/>
          </w:tcPr>
          <w:p w14:paraId="7500D19D"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44" w:type="dxa"/>
          </w:tcPr>
          <w:p w14:paraId="3B765A17"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36" w:type="dxa"/>
          </w:tcPr>
          <w:p w14:paraId="466AE71E"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A87BF2" w14:paraId="1B6F3803" w14:textId="77777777" w:rsidTr="00282204">
        <w:trPr>
          <w:trHeight w:val="1222"/>
        </w:trPr>
        <w:tc>
          <w:tcPr>
            <w:cnfStyle w:val="001000000000" w:firstRow="0" w:lastRow="0" w:firstColumn="1" w:lastColumn="0" w:oddVBand="0" w:evenVBand="0" w:oddHBand="0" w:evenHBand="0" w:firstRowFirstColumn="0" w:firstRowLastColumn="0" w:lastRowFirstColumn="0" w:lastRowLastColumn="0"/>
            <w:tcW w:w="3258" w:type="dxa"/>
          </w:tcPr>
          <w:p w14:paraId="1217A5CF" w14:textId="77777777" w:rsidR="00D4326C" w:rsidRPr="00573E98" w:rsidRDefault="00D4326C" w:rsidP="00282204">
            <w:pPr>
              <w:keepNext/>
              <w:jc w:val="left"/>
            </w:pPr>
            <w:r w:rsidRPr="00573E98">
              <w:rPr>
                <w:b/>
              </w:rPr>
              <w:t>Administrations duties</w:t>
            </w:r>
            <w:r w:rsidRPr="00573E98">
              <w:t xml:space="preserve"> of pharmacists represent a </w:t>
            </w:r>
            <w:r w:rsidRPr="00573E98">
              <w:rPr>
                <w:b/>
              </w:rPr>
              <w:t>barrier</w:t>
            </w:r>
            <w:r w:rsidRPr="00573E98">
              <w:t xml:space="preserve"> to primary care pharmacists providing clinical services to patients with diabetes </w:t>
            </w:r>
          </w:p>
        </w:tc>
        <w:tc>
          <w:tcPr>
            <w:tcW w:w="1497" w:type="dxa"/>
          </w:tcPr>
          <w:p w14:paraId="3040C420"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21" w:type="dxa"/>
          </w:tcPr>
          <w:p w14:paraId="3FB0D5DE"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761" w:type="dxa"/>
          </w:tcPr>
          <w:p w14:paraId="7E09821B"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44" w:type="dxa"/>
          </w:tcPr>
          <w:p w14:paraId="4DD14B8E"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36" w:type="dxa"/>
          </w:tcPr>
          <w:p w14:paraId="714C6944"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r w:rsidR="00D4326C" w:rsidRPr="00A87BF2" w14:paraId="14292D11" w14:textId="77777777" w:rsidTr="00282204">
        <w:trPr>
          <w:trHeight w:val="1393"/>
        </w:trPr>
        <w:tc>
          <w:tcPr>
            <w:cnfStyle w:val="001000000000" w:firstRow="0" w:lastRow="0" w:firstColumn="1" w:lastColumn="0" w:oddVBand="0" w:evenVBand="0" w:oddHBand="0" w:evenHBand="0" w:firstRowFirstColumn="0" w:firstRowLastColumn="0" w:lastRowFirstColumn="0" w:lastRowLastColumn="0"/>
            <w:tcW w:w="3258" w:type="dxa"/>
          </w:tcPr>
          <w:p w14:paraId="14C48A8F" w14:textId="77777777" w:rsidR="00D4326C" w:rsidRPr="00573E98" w:rsidRDefault="00D4326C" w:rsidP="00282204">
            <w:pPr>
              <w:keepNext/>
              <w:jc w:val="left"/>
            </w:pPr>
            <w:r w:rsidRPr="00573E98">
              <w:rPr>
                <w:b/>
              </w:rPr>
              <w:t>Under-utilisation of pharmacist roles</w:t>
            </w:r>
            <w:r w:rsidRPr="00573E98">
              <w:t xml:space="preserve"> in primary healthcare centres represent a </w:t>
            </w:r>
            <w:r w:rsidRPr="00573E98">
              <w:rPr>
                <w:b/>
              </w:rPr>
              <w:t>barrier</w:t>
            </w:r>
            <w:r w:rsidRPr="00573E98">
              <w:t xml:space="preserve"> to pharmacists providing clinical services to patients with diabetes </w:t>
            </w:r>
          </w:p>
        </w:tc>
        <w:tc>
          <w:tcPr>
            <w:tcW w:w="1497" w:type="dxa"/>
          </w:tcPr>
          <w:p w14:paraId="53043DA8"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21" w:type="dxa"/>
          </w:tcPr>
          <w:p w14:paraId="64BE283A"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761" w:type="dxa"/>
          </w:tcPr>
          <w:p w14:paraId="6E1A1CDF"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144" w:type="dxa"/>
          </w:tcPr>
          <w:p w14:paraId="7AD2951D"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1336" w:type="dxa"/>
          </w:tcPr>
          <w:p w14:paraId="7BAF6E58" w14:textId="77777777" w:rsidR="00D4326C" w:rsidRPr="00A87BF2" w:rsidRDefault="00D4326C" w:rsidP="00282204">
            <w:pPr>
              <w:pStyle w:val="ListParagraph"/>
              <w:keepNext/>
              <w:numPr>
                <w:ilvl w:val="0"/>
                <w:numId w:val="18"/>
              </w:numPr>
              <w:contextualSpacing w:val="0"/>
              <w:cnfStyle w:val="000000000000" w:firstRow="0" w:lastRow="0" w:firstColumn="0" w:lastColumn="0" w:oddVBand="0" w:evenVBand="0" w:oddHBand="0" w:evenHBand="0" w:firstRowFirstColumn="0" w:firstRowLastColumn="0" w:lastRowFirstColumn="0" w:lastRowLastColumn="0"/>
              <w:rPr>
                <w:sz w:val="18"/>
                <w:szCs w:val="18"/>
              </w:rPr>
            </w:pPr>
          </w:p>
        </w:tc>
      </w:tr>
    </w:tbl>
    <w:p w14:paraId="0AB2ABD6" w14:textId="77777777" w:rsidR="00D4326C" w:rsidRDefault="00D4326C" w:rsidP="00D4326C"/>
    <w:p w14:paraId="0376EF3D" w14:textId="77777777" w:rsidR="00D4326C" w:rsidRDefault="00D4326C" w:rsidP="00D4326C"/>
    <w:p w14:paraId="04C49702" w14:textId="77777777" w:rsidR="00D4326C" w:rsidRDefault="00D4326C" w:rsidP="00D4326C">
      <w:pPr>
        <w:pStyle w:val="QuestionSeparator"/>
      </w:pPr>
    </w:p>
    <w:p w14:paraId="04E1E2C6" w14:textId="77777777" w:rsidR="00D4326C" w:rsidRDefault="00D4326C" w:rsidP="00D4326C"/>
    <w:p w14:paraId="68C57E80" w14:textId="77777777" w:rsidR="00D4326C" w:rsidRDefault="00D4326C" w:rsidP="00D4326C">
      <w:pPr>
        <w:keepNext/>
      </w:pPr>
      <w:r>
        <w:t>Barrier&amp;Facilitator7 Are there any other influencing factors related to primary care pharmacists providing clinical services to patients with diabetes? If yes, please state them here</w:t>
      </w:r>
    </w:p>
    <w:p w14:paraId="7B92D3A8" w14:textId="77777777" w:rsidR="00D4326C" w:rsidRDefault="00D4326C" w:rsidP="00D4326C">
      <w:pPr>
        <w:pStyle w:val="TextEntryLine"/>
        <w:ind w:firstLine="400"/>
      </w:pPr>
      <w:r>
        <w:t>________________________________________________________________</w:t>
      </w:r>
    </w:p>
    <w:p w14:paraId="4ACEC818" w14:textId="77777777" w:rsidR="00D4326C" w:rsidRDefault="00D4326C" w:rsidP="00D4326C"/>
    <w:p w14:paraId="79DF287E" w14:textId="77777777" w:rsidR="00D4326C" w:rsidRDefault="00D4326C" w:rsidP="00D4326C">
      <w:pPr>
        <w:pStyle w:val="BlockEndLabel"/>
      </w:pPr>
      <w:r>
        <w:t>End of Block: Factors Influencing Pharmacist Involvement in Diabetes Primary Care Management</w:t>
      </w:r>
    </w:p>
    <w:p w14:paraId="01215992" w14:textId="77777777" w:rsidR="00D4326C" w:rsidRDefault="00D4326C" w:rsidP="00D4326C">
      <w:pPr>
        <w:pStyle w:val="BlockSeparator"/>
      </w:pPr>
    </w:p>
    <w:p w14:paraId="7775E9D0" w14:textId="77777777" w:rsidR="00D4326C" w:rsidRDefault="00D4326C" w:rsidP="00D4326C">
      <w:pPr>
        <w:pStyle w:val="BlockStartLabel"/>
      </w:pPr>
      <w:r>
        <w:t>Start of Block: Block 10</w:t>
      </w:r>
    </w:p>
    <w:p w14:paraId="0197BE1D" w14:textId="77777777" w:rsidR="00D4326C" w:rsidRDefault="00D4326C" w:rsidP="00D4326C"/>
    <w:p w14:paraId="35650C9E" w14:textId="77777777" w:rsidR="00D4326C" w:rsidRDefault="00D4326C" w:rsidP="00D4326C">
      <w:pPr>
        <w:keepNext/>
      </w:pPr>
      <w:r>
        <w:t>Q55 Do you have any other comments/suggestions?</w:t>
      </w:r>
    </w:p>
    <w:p w14:paraId="00A1D814" w14:textId="77777777" w:rsidR="00D4326C" w:rsidRDefault="00D4326C" w:rsidP="00D4326C">
      <w:pPr>
        <w:pStyle w:val="TextEntryLine"/>
        <w:ind w:firstLine="400"/>
      </w:pPr>
      <w:r>
        <w:t>________________________________________________________________</w:t>
      </w:r>
    </w:p>
    <w:p w14:paraId="5BEB2B90" w14:textId="77777777" w:rsidR="00D4326C" w:rsidRDefault="00D4326C" w:rsidP="00D4326C"/>
    <w:p w14:paraId="67F32B46" w14:textId="77777777" w:rsidR="00D4326C" w:rsidRDefault="00D4326C" w:rsidP="00D4326C">
      <w:pPr>
        <w:pStyle w:val="QuestionSeparator"/>
      </w:pPr>
    </w:p>
    <w:tbl>
      <w:tblPr>
        <w:tblW w:w="0" w:type="auto"/>
        <w:tblInd w:w="10" w:type="dxa"/>
        <w:tblCellMar>
          <w:left w:w="10" w:type="dxa"/>
          <w:right w:w="10" w:type="dxa"/>
        </w:tblCellMar>
        <w:tblLook w:val="04A0" w:firstRow="1" w:lastRow="0" w:firstColumn="1" w:lastColumn="0" w:noHBand="0" w:noVBand="1"/>
      </w:tblPr>
      <w:tblGrid>
        <w:gridCol w:w="1347"/>
        <w:gridCol w:w="8003"/>
      </w:tblGrid>
      <w:tr w:rsidR="00D4326C" w14:paraId="01433026" w14:textId="77777777" w:rsidTr="00282204">
        <w:trPr>
          <w:trHeight w:val="300"/>
        </w:trPr>
        <w:tc>
          <w:tcPr>
            <w:tcW w:w="1368" w:type="dxa"/>
            <w:tcBorders>
              <w:top w:val="nil"/>
              <w:left w:val="nil"/>
              <w:bottom w:val="nil"/>
              <w:right w:val="nil"/>
            </w:tcBorders>
          </w:tcPr>
          <w:p w14:paraId="76CFFA50" w14:textId="77777777" w:rsidR="00D4326C" w:rsidRDefault="00D4326C" w:rsidP="00282204">
            <w:pPr>
              <w:rPr>
                <w:color w:val="CCCCCC"/>
              </w:rPr>
            </w:pPr>
            <w:r>
              <w:rPr>
                <w:color w:val="CCCCCC"/>
              </w:rPr>
              <w:t>Page Break</w:t>
            </w:r>
          </w:p>
        </w:tc>
        <w:tc>
          <w:tcPr>
            <w:tcW w:w="8208" w:type="dxa"/>
            <w:tcBorders>
              <w:top w:val="nil"/>
              <w:left w:val="nil"/>
              <w:bottom w:val="nil"/>
              <w:right w:val="nil"/>
            </w:tcBorders>
          </w:tcPr>
          <w:p w14:paraId="23C2BFC2" w14:textId="77777777" w:rsidR="00D4326C" w:rsidRDefault="00D4326C" w:rsidP="00282204">
            <w:pPr>
              <w:pBdr>
                <w:top w:val="single" w:sz="8" w:space="0" w:color="CCCCCC"/>
              </w:pBdr>
              <w:spacing w:before="120" w:after="120" w:line="120" w:lineRule="auto"/>
              <w:jc w:val="center"/>
              <w:rPr>
                <w:color w:val="CCCCCC"/>
              </w:rPr>
            </w:pPr>
          </w:p>
        </w:tc>
      </w:tr>
    </w:tbl>
    <w:p w14:paraId="099ADDE7" w14:textId="77777777" w:rsidR="00D4326C" w:rsidRDefault="00D4326C" w:rsidP="00D4326C">
      <w:r>
        <w:br w:type="page"/>
      </w:r>
      <w:r>
        <w:br w:type="page"/>
      </w:r>
    </w:p>
    <w:p w14:paraId="153F8DF6" w14:textId="77777777" w:rsidR="00D4326C" w:rsidRDefault="00D4326C" w:rsidP="00D4326C"/>
    <w:p w14:paraId="4235C755" w14:textId="77777777" w:rsidR="00D4326C" w:rsidRDefault="00D4326C" w:rsidP="00D4326C">
      <w:pPr>
        <w:keepNext/>
      </w:pPr>
      <w:r>
        <w:t>Q58 This is the end of the survey. Thank you for taking part in this research. Please submit your response. </w:t>
      </w:r>
      <w:r>
        <w:br/>
      </w:r>
      <w:r>
        <w:br/>
      </w:r>
    </w:p>
    <w:p w14:paraId="242CE97A" w14:textId="77777777" w:rsidR="00D4326C" w:rsidRDefault="00D4326C" w:rsidP="00D4326C">
      <w:pPr>
        <w:pStyle w:val="ListParagraph"/>
        <w:keepNext/>
        <w:numPr>
          <w:ilvl w:val="0"/>
          <w:numId w:val="18"/>
        </w:numPr>
        <w:contextualSpacing w:val="0"/>
      </w:pPr>
      <w:r>
        <w:t xml:space="preserve">SUBMIT </w:t>
      </w:r>
    </w:p>
    <w:p w14:paraId="6A05A42A" w14:textId="77777777" w:rsidR="00D4326C" w:rsidRDefault="00D4326C" w:rsidP="00D4326C"/>
    <w:p w14:paraId="7577DDF5" w14:textId="77777777" w:rsidR="00D4326C" w:rsidRDefault="00D4326C" w:rsidP="00D4326C">
      <w:pPr>
        <w:pStyle w:val="BlockEndLabel"/>
      </w:pPr>
      <w:r>
        <w:t>End of Block: Block 10</w:t>
      </w:r>
    </w:p>
    <w:p w14:paraId="128B0621" w14:textId="77777777" w:rsidR="00D4326C" w:rsidRDefault="00D4326C" w:rsidP="00D4326C">
      <w:pPr>
        <w:pStyle w:val="BlockSeparator"/>
      </w:pPr>
    </w:p>
    <w:p w14:paraId="7A76D8DB" w14:textId="77777777" w:rsidR="00D4326C" w:rsidRDefault="00D4326C" w:rsidP="00D4326C"/>
    <w:p w14:paraId="3C6A4497" w14:textId="77777777" w:rsidR="00D4326C" w:rsidRDefault="00D4326C" w:rsidP="00D4326C">
      <w:pPr>
        <w:pStyle w:val="Heading4"/>
        <w:rPr>
          <w:lang w:val="en-GB"/>
        </w:rPr>
      </w:pPr>
      <w:r>
        <w:rPr>
          <w:lang w:val="en-GB"/>
        </w:rPr>
        <w:br w:type="page"/>
      </w:r>
    </w:p>
    <w:p w14:paraId="53D63896" w14:textId="77777777" w:rsidR="00D4326C" w:rsidRDefault="00D4326C" w:rsidP="00D4326C">
      <w:pPr>
        <w:pStyle w:val="Heading1"/>
      </w:pPr>
      <w:bookmarkStart w:id="375" w:name="_Toc122626477"/>
      <w:bookmarkStart w:id="376" w:name="_Ref124724085"/>
      <w:bookmarkStart w:id="377" w:name="_Toc124889210"/>
      <w:bookmarkStart w:id="378" w:name="_Toc124890447"/>
      <w:bookmarkStart w:id="379" w:name="_Toc126069991"/>
      <w:bookmarkStart w:id="380" w:name="_Toc127835996"/>
      <w:bookmarkStart w:id="381" w:name="_Toc128061926"/>
      <w:bookmarkStart w:id="382" w:name="_Toc148518771"/>
      <w:bookmarkStart w:id="383" w:name="_Toc150609780"/>
      <w:bookmarkStart w:id="384" w:name="_Toc153894237"/>
      <w:r>
        <w:t>Appendix J: Interview Guide</w:t>
      </w:r>
      <w:bookmarkEnd w:id="375"/>
      <w:bookmarkEnd w:id="376"/>
      <w:bookmarkEnd w:id="377"/>
      <w:bookmarkEnd w:id="378"/>
      <w:bookmarkEnd w:id="379"/>
      <w:bookmarkEnd w:id="380"/>
      <w:bookmarkEnd w:id="381"/>
      <w:bookmarkEnd w:id="382"/>
      <w:bookmarkEnd w:id="383"/>
      <w:bookmarkEnd w:id="384"/>
      <w:r>
        <w:t xml:space="preserve"> </w:t>
      </w:r>
    </w:p>
    <w:p w14:paraId="296AC209" w14:textId="77777777" w:rsidR="006D418B" w:rsidRPr="006D418B" w:rsidRDefault="006D418B" w:rsidP="006D418B"/>
    <w:p w14:paraId="6DDB56F8" w14:textId="2E52D3CA" w:rsidR="006D418B" w:rsidRPr="00B97F24" w:rsidRDefault="006D418B" w:rsidP="006D418B">
      <w:pPr>
        <w:bidi/>
        <w:spacing w:line="360" w:lineRule="auto"/>
        <w:ind w:left="720" w:hanging="360"/>
        <w:jc w:val="center"/>
        <w:rPr>
          <w:rFonts w:cstheme="minorHAnsi"/>
          <w:b/>
          <w:bCs/>
          <w:sz w:val="24"/>
          <w:szCs w:val="24"/>
        </w:rPr>
      </w:pPr>
      <w:r w:rsidRPr="00220E87">
        <w:rPr>
          <w:rFonts w:cstheme="minorHAnsi"/>
          <w:b/>
          <w:bCs/>
          <w:sz w:val="24"/>
          <w:szCs w:val="24"/>
        </w:rPr>
        <w:t xml:space="preserve">Interview Guide for </w:t>
      </w:r>
      <w:r>
        <w:rPr>
          <w:rFonts w:cstheme="minorHAnsi"/>
          <w:b/>
          <w:bCs/>
          <w:sz w:val="24"/>
          <w:szCs w:val="24"/>
        </w:rPr>
        <w:t>Doctors and Nurs</w:t>
      </w:r>
      <w:r w:rsidR="00B97F24">
        <w:rPr>
          <w:rFonts w:cstheme="minorHAnsi"/>
          <w:b/>
          <w:bCs/>
          <w:sz w:val="24"/>
          <w:szCs w:val="24"/>
        </w:rPr>
        <w:t xml:space="preserve">es </w:t>
      </w:r>
      <w:r w:rsidRPr="00220E87">
        <w:rPr>
          <w:rFonts w:cstheme="minorHAnsi"/>
          <w:b/>
          <w:bCs/>
          <w:sz w:val="24"/>
          <w:szCs w:val="24"/>
        </w:rPr>
        <w:t xml:space="preserve"> </w:t>
      </w:r>
    </w:p>
    <w:p w14:paraId="5C45A343" w14:textId="77777777" w:rsidR="00D4326C" w:rsidRDefault="00D4326C" w:rsidP="00D4326C">
      <w:pPr>
        <w:bidi/>
        <w:ind w:left="720" w:hanging="360"/>
        <w:jc w:val="center"/>
      </w:pPr>
    </w:p>
    <w:p w14:paraId="76953A32" w14:textId="77777777" w:rsidR="00D4326C" w:rsidRPr="00AC1BA3" w:rsidRDefault="00D4326C" w:rsidP="00D4326C">
      <w:pPr>
        <w:pStyle w:val="ListParagraph"/>
        <w:numPr>
          <w:ilvl w:val="0"/>
          <w:numId w:val="19"/>
        </w:numPr>
        <w:bidi/>
        <w:rPr>
          <w:rFonts w:cstheme="minorHAnsi"/>
          <w:sz w:val="24"/>
          <w:szCs w:val="24"/>
          <w:lang w:val="en-GB"/>
        </w:rPr>
      </w:pPr>
      <w:r w:rsidRPr="00D170A9">
        <w:rPr>
          <w:rFonts w:cstheme="minorHAnsi" w:hint="cs"/>
          <w:sz w:val="24"/>
          <w:szCs w:val="24"/>
          <w:rtl/>
          <w:lang w:val="en-GB"/>
        </w:rPr>
        <w:t xml:space="preserve">نبدأ بالحديث عن تجربتك سواء كانت تجربة سابقة ام حاليا في العمل مع </w:t>
      </w:r>
      <w:r>
        <w:rPr>
          <w:rFonts w:cstheme="minorHAnsi" w:hint="cs"/>
          <w:sz w:val="24"/>
          <w:szCs w:val="24"/>
          <w:rtl/>
          <w:lang w:val="en-GB"/>
        </w:rPr>
        <w:t>الصيادلة</w:t>
      </w:r>
      <w:r w:rsidRPr="00D170A9">
        <w:rPr>
          <w:rFonts w:cstheme="minorHAnsi" w:hint="cs"/>
          <w:sz w:val="24"/>
          <w:szCs w:val="24"/>
          <w:rtl/>
          <w:lang w:val="en-GB"/>
        </w:rPr>
        <w:t xml:space="preserve">؟ </w:t>
      </w:r>
    </w:p>
    <w:p w14:paraId="55E68FD7" w14:textId="77777777" w:rsidR="00D4326C" w:rsidRDefault="00D4326C" w:rsidP="00D4326C">
      <w:pPr>
        <w:spacing w:line="360" w:lineRule="auto"/>
        <w:rPr>
          <w:rFonts w:ascii="Gill Sans MT" w:eastAsiaTheme="minorEastAsia" w:hAnsi="Gill Sans MT"/>
          <w:sz w:val="24"/>
          <w:szCs w:val="24"/>
          <w:lang w:val="en-GB" w:eastAsia="en-GB"/>
        </w:rPr>
      </w:pPr>
      <w:r w:rsidRPr="00EC165F">
        <w:rPr>
          <w:rFonts w:ascii="Gill Sans MT" w:eastAsiaTheme="minorEastAsia" w:hAnsi="Gill Sans MT"/>
          <w:sz w:val="24"/>
          <w:szCs w:val="24"/>
          <w:lang w:val="en-GB" w:eastAsia="en-GB"/>
        </w:rPr>
        <w:t>What are your past and current experiences of working with pharmacists</w:t>
      </w:r>
      <w:r>
        <w:rPr>
          <w:rFonts w:ascii="Gill Sans MT" w:eastAsiaTheme="minorEastAsia" w:hAnsi="Gill Sans MT"/>
          <w:sz w:val="24"/>
          <w:szCs w:val="24"/>
          <w:lang w:val="en-GB" w:eastAsia="en-GB"/>
        </w:rPr>
        <w:t>?</w:t>
      </w:r>
    </w:p>
    <w:p w14:paraId="092918BB" w14:textId="77777777" w:rsidR="00D4326C" w:rsidRDefault="00D4326C" w:rsidP="00D4326C">
      <w:pPr>
        <w:spacing w:line="360" w:lineRule="auto"/>
        <w:ind w:left="360"/>
        <w:rPr>
          <w:rFonts w:ascii="Gill Sans MT" w:eastAsiaTheme="minorEastAsia" w:hAnsi="Gill Sans MT"/>
          <w:sz w:val="24"/>
          <w:szCs w:val="24"/>
          <w:lang w:val="en-GB" w:eastAsia="en-GB"/>
        </w:rPr>
      </w:pPr>
    </w:p>
    <w:p w14:paraId="08A66773" w14:textId="77777777" w:rsidR="00D4326C" w:rsidRPr="00E72266" w:rsidRDefault="00D4326C" w:rsidP="00D4326C">
      <w:pPr>
        <w:pStyle w:val="ListParagraph"/>
        <w:numPr>
          <w:ilvl w:val="0"/>
          <w:numId w:val="19"/>
        </w:numPr>
        <w:bidi/>
        <w:spacing w:line="360" w:lineRule="auto"/>
        <w:rPr>
          <w:rFonts w:ascii="Gill Sans MT" w:eastAsiaTheme="minorEastAsia" w:hAnsi="Gill Sans MT"/>
          <w:sz w:val="24"/>
          <w:szCs w:val="24"/>
          <w:rtl/>
          <w:lang w:val="en-GB" w:eastAsia="en-GB"/>
        </w:rPr>
      </w:pPr>
      <w:r w:rsidRPr="00E72266">
        <w:rPr>
          <w:rFonts w:ascii="Gill Sans MT" w:eastAsiaTheme="minorEastAsia" w:hAnsi="Gill Sans MT"/>
          <w:sz w:val="24"/>
          <w:szCs w:val="24"/>
          <w:lang w:val="en-GB" w:eastAsia="en-GB"/>
        </w:rPr>
        <w:t xml:space="preserve"> </w:t>
      </w:r>
      <w:r w:rsidRPr="00E72266">
        <w:rPr>
          <w:rFonts w:cstheme="minorHAnsi" w:hint="cs"/>
          <w:sz w:val="24"/>
          <w:szCs w:val="24"/>
          <w:rtl/>
          <w:lang w:val="en-GB"/>
        </w:rPr>
        <w:t>ما هو دور الصيدلي في علاج مرضى السكر في مراكز الرعاية الصحية</w:t>
      </w:r>
      <w:r w:rsidRPr="00E72266">
        <w:rPr>
          <w:rFonts w:ascii="Gill Sans MT" w:eastAsiaTheme="minorEastAsia" w:hAnsi="Gill Sans MT" w:hint="cs"/>
          <w:sz w:val="24"/>
          <w:szCs w:val="24"/>
          <w:rtl/>
          <w:lang w:val="en-GB" w:eastAsia="en-GB"/>
        </w:rPr>
        <w:t>؟</w:t>
      </w:r>
    </w:p>
    <w:p w14:paraId="72DB4C04" w14:textId="77777777" w:rsidR="00D4326C" w:rsidRDefault="00D4326C" w:rsidP="00D4326C">
      <w:pPr>
        <w:spacing w:line="360" w:lineRule="auto"/>
        <w:rPr>
          <w:rFonts w:ascii="Gill Sans MT" w:eastAsiaTheme="minorEastAsia" w:hAnsi="Gill Sans MT"/>
          <w:sz w:val="24"/>
          <w:szCs w:val="24"/>
          <w:lang w:val="en-GB" w:eastAsia="en-GB"/>
        </w:rPr>
      </w:pPr>
      <w:r w:rsidRPr="00FB7B93">
        <w:rPr>
          <w:rFonts w:ascii="Gill Sans MT" w:eastAsiaTheme="minorEastAsia" w:hAnsi="Gill Sans MT"/>
          <w:sz w:val="24"/>
          <w:szCs w:val="24"/>
          <w:lang w:val="en-GB" w:eastAsia="en-GB"/>
        </w:rPr>
        <w:t xml:space="preserve">What was/is </w:t>
      </w:r>
      <w:r>
        <w:rPr>
          <w:rFonts w:ascii="Gill Sans MT" w:eastAsiaTheme="minorEastAsia" w:hAnsi="Gill Sans MT"/>
          <w:sz w:val="24"/>
          <w:szCs w:val="24"/>
          <w:lang w:val="en-GB" w:eastAsia="en-GB"/>
        </w:rPr>
        <w:t>the</w:t>
      </w:r>
      <w:r w:rsidRPr="00FB7B93">
        <w:rPr>
          <w:rFonts w:ascii="Gill Sans MT" w:eastAsiaTheme="minorEastAsia" w:hAnsi="Gill Sans MT"/>
          <w:sz w:val="24"/>
          <w:szCs w:val="24"/>
          <w:lang w:val="en-GB" w:eastAsia="en-GB"/>
        </w:rPr>
        <w:t xml:space="preserve"> role </w:t>
      </w:r>
      <w:r>
        <w:rPr>
          <w:rFonts w:ascii="Gill Sans MT" w:eastAsiaTheme="minorEastAsia" w:hAnsi="Gill Sans MT"/>
          <w:sz w:val="24"/>
          <w:szCs w:val="24"/>
          <w:lang w:val="en-GB" w:eastAsia="en-GB"/>
        </w:rPr>
        <w:t>of</w:t>
      </w:r>
      <w:r w:rsidRPr="00FB7B93">
        <w:rPr>
          <w:rFonts w:ascii="Gill Sans MT" w:eastAsiaTheme="minorEastAsia" w:hAnsi="Gill Sans MT"/>
          <w:sz w:val="24"/>
          <w:szCs w:val="24"/>
          <w:lang w:val="en-GB" w:eastAsia="en-GB"/>
        </w:rPr>
        <w:t xml:space="preserve"> pharmacist</w:t>
      </w:r>
      <w:r>
        <w:rPr>
          <w:rFonts w:ascii="Gill Sans MT" w:eastAsiaTheme="minorEastAsia" w:hAnsi="Gill Sans MT"/>
          <w:sz w:val="24"/>
          <w:szCs w:val="24"/>
          <w:lang w:val="en-GB" w:eastAsia="en-GB"/>
        </w:rPr>
        <w:t>s</w:t>
      </w:r>
      <w:r w:rsidRPr="00FB7B93">
        <w:rPr>
          <w:rFonts w:ascii="Gill Sans MT" w:eastAsiaTheme="minorEastAsia" w:hAnsi="Gill Sans MT"/>
          <w:sz w:val="24"/>
          <w:szCs w:val="24"/>
          <w:lang w:val="en-GB" w:eastAsia="en-GB"/>
        </w:rPr>
        <w:t xml:space="preserve"> in diabetes management in primary </w:t>
      </w:r>
      <w:r>
        <w:rPr>
          <w:rFonts w:ascii="Gill Sans MT" w:eastAsiaTheme="minorEastAsia" w:hAnsi="Gill Sans MT"/>
          <w:sz w:val="24"/>
          <w:szCs w:val="24"/>
          <w:lang w:val="en-GB" w:eastAsia="en-GB"/>
        </w:rPr>
        <w:t>health</w:t>
      </w:r>
      <w:r w:rsidRPr="00FB7B93">
        <w:rPr>
          <w:rFonts w:ascii="Gill Sans MT" w:eastAsiaTheme="minorEastAsia" w:hAnsi="Gill Sans MT"/>
          <w:sz w:val="24"/>
          <w:szCs w:val="24"/>
          <w:lang w:val="en-GB" w:eastAsia="en-GB"/>
        </w:rPr>
        <w:t>care</w:t>
      </w:r>
      <w:r>
        <w:rPr>
          <w:rFonts w:ascii="Gill Sans MT" w:eastAsiaTheme="minorEastAsia" w:hAnsi="Gill Sans MT"/>
          <w:sz w:val="24"/>
          <w:szCs w:val="24"/>
          <w:lang w:val="en-GB" w:eastAsia="en-GB"/>
        </w:rPr>
        <w:t xml:space="preserve"> centres (PHCs)</w:t>
      </w:r>
      <w:r w:rsidRPr="00FB7B93">
        <w:rPr>
          <w:rFonts w:ascii="Gill Sans MT" w:eastAsiaTheme="minorEastAsia" w:hAnsi="Gill Sans MT"/>
          <w:sz w:val="24"/>
          <w:szCs w:val="24"/>
          <w:lang w:val="en-GB" w:eastAsia="en-GB"/>
        </w:rPr>
        <w:t>?</w:t>
      </w:r>
    </w:p>
    <w:p w14:paraId="620019DB" w14:textId="77777777" w:rsidR="00D4326C" w:rsidRPr="00D729A9" w:rsidRDefault="00D4326C" w:rsidP="00D4326C">
      <w:pPr>
        <w:pStyle w:val="ListParagraph"/>
        <w:numPr>
          <w:ilvl w:val="0"/>
          <w:numId w:val="19"/>
        </w:numPr>
        <w:shd w:val="clear" w:color="auto" w:fill="FFFFFF"/>
        <w:bidi/>
        <w:spacing w:after="0" w:line="360" w:lineRule="auto"/>
        <w:jc w:val="both"/>
        <w:rPr>
          <w:rFonts w:ascii="Gill Sans MT" w:eastAsiaTheme="minorEastAsia" w:hAnsi="Gill Sans MT"/>
          <w:sz w:val="24"/>
          <w:szCs w:val="24"/>
          <w:lang w:val="en-GB" w:eastAsia="en-GB"/>
        </w:rPr>
      </w:pPr>
      <w:r w:rsidRPr="00D729A9">
        <w:rPr>
          <w:rFonts w:cstheme="minorHAnsi" w:hint="cs"/>
          <w:sz w:val="24"/>
          <w:szCs w:val="24"/>
          <w:rtl/>
          <w:lang w:val="en-GB"/>
        </w:rPr>
        <w:t>ماهو الدور أو الأدوار التي تعتقد أنها للصيادلة فيما يتعلق بعلاج مرضى السكري في المركز الصحي</w:t>
      </w:r>
      <w:r w:rsidRPr="00D729A9">
        <w:rPr>
          <w:rFonts w:ascii="Gill Sans MT" w:eastAsiaTheme="minorEastAsia" w:hAnsi="Gill Sans MT" w:hint="cs"/>
          <w:sz w:val="24"/>
          <w:szCs w:val="24"/>
          <w:rtl/>
          <w:lang w:val="en-GB" w:eastAsia="en-GB"/>
        </w:rPr>
        <w:t xml:space="preserve">؟  </w:t>
      </w:r>
    </w:p>
    <w:p w14:paraId="38ECCFAF" w14:textId="77777777" w:rsidR="00D4326C" w:rsidRDefault="00D4326C" w:rsidP="00D4326C">
      <w:pPr>
        <w:shd w:val="clear" w:color="auto" w:fill="FFFFFF"/>
        <w:bidi/>
        <w:spacing w:after="0" w:line="360" w:lineRule="auto"/>
        <w:jc w:val="right"/>
        <w:rPr>
          <w:rFonts w:ascii="Gill Sans MT" w:eastAsiaTheme="minorEastAsia" w:hAnsi="Gill Sans MT"/>
          <w:sz w:val="24"/>
          <w:szCs w:val="24"/>
          <w:rtl/>
          <w:lang w:val="en-GB" w:eastAsia="en-GB"/>
        </w:rPr>
      </w:pPr>
      <w:r w:rsidRPr="00226653">
        <w:rPr>
          <w:rFonts w:ascii="Gill Sans MT" w:eastAsiaTheme="minorEastAsia" w:hAnsi="Gill Sans MT" w:hint="cs"/>
          <w:sz w:val="24"/>
          <w:szCs w:val="24"/>
          <w:rtl/>
          <w:lang w:val="en-GB" w:eastAsia="en-GB"/>
        </w:rPr>
        <w:t xml:space="preserve">     </w:t>
      </w:r>
      <w:r w:rsidRPr="00226653">
        <w:rPr>
          <w:rFonts w:ascii="Gill Sans MT" w:eastAsiaTheme="minorEastAsia" w:hAnsi="Gill Sans MT"/>
          <w:sz w:val="24"/>
          <w:szCs w:val="24"/>
          <w:lang w:val="en-GB" w:eastAsia="en-GB"/>
        </w:rPr>
        <w:t>What role or roles do you think pharmacists have in relation to diabetes care in KSA?</w:t>
      </w:r>
    </w:p>
    <w:p w14:paraId="6FE84057" w14:textId="77777777" w:rsidR="00D4326C" w:rsidRDefault="00D4326C" w:rsidP="00D4326C">
      <w:pPr>
        <w:shd w:val="clear" w:color="auto" w:fill="FFFFFF"/>
        <w:bidi/>
        <w:spacing w:after="0" w:line="360" w:lineRule="auto"/>
        <w:jc w:val="both"/>
        <w:rPr>
          <w:rFonts w:ascii="Gill Sans MT" w:eastAsiaTheme="minorEastAsia" w:hAnsi="Gill Sans MT"/>
          <w:sz w:val="24"/>
          <w:szCs w:val="24"/>
          <w:rtl/>
          <w:lang w:val="en-GB" w:eastAsia="en-GB"/>
        </w:rPr>
      </w:pPr>
    </w:p>
    <w:p w14:paraId="3BF94CA8" w14:textId="77777777" w:rsidR="00D4326C" w:rsidRPr="008F7030" w:rsidRDefault="00D4326C" w:rsidP="00D4326C">
      <w:pPr>
        <w:pStyle w:val="ListParagraph"/>
        <w:numPr>
          <w:ilvl w:val="0"/>
          <w:numId w:val="19"/>
        </w:numPr>
        <w:shd w:val="clear" w:color="auto" w:fill="FFFFFF"/>
        <w:bidi/>
        <w:spacing w:after="0" w:line="360" w:lineRule="auto"/>
        <w:jc w:val="both"/>
        <w:rPr>
          <w:rFonts w:ascii="Gill Sans MT" w:eastAsiaTheme="minorEastAsia" w:hAnsi="Gill Sans MT"/>
          <w:sz w:val="24"/>
          <w:szCs w:val="24"/>
          <w:lang w:val="en-GB" w:eastAsia="en-GB"/>
        </w:rPr>
      </w:pPr>
      <w:r w:rsidRPr="008F7030">
        <w:rPr>
          <w:rFonts w:cstheme="minorHAnsi"/>
          <w:sz w:val="24"/>
          <w:szCs w:val="24"/>
          <w:rtl/>
          <w:lang w:val="en-GB"/>
        </w:rPr>
        <w:t xml:space="preserve">هل سبق أن ناقش الصيدلي معك </w:t>
      </w:r>
      <w:r w:rsidRPr="008F7030">
        <w:rPr>
          <w:rFonts w:cstheme="minorHAnsi" w:hint="cs"/>
          <w:sz w:val="24"/>
          <w:szCs w:val="24"/>
          <w:rtl/>
          <w:lang w:val="en-GB"/>
        </w:rPr>
        <w:t>ال</w:t>
      </w:r>
      <w:r w:rsidRPr="008F7030">
        <w:rPr>
          <w:rFonts w:cstheme="minorHAnsi"/>
          <w:sz w:val="24"/>
          <w:szCs w:val="24"/>
          <w:rtl/>
          <w:lang w:val="en-GB"/>
        </w:rPr>
        <w:t xml:space="preserve">خطة </w:t>
      </w:r>
      <w:r w:rsidRPr="008F7030">
        <w:rPr>
          <w:rFonts w:cstheme="minorHAnsi" w:hint="cs"/>
          <w:sz w:val="24"/>
          <w:szCs w:val="24"/>
          <w:rtl/>
          <w:lang w:val="en-GB"/>
        </w:rPr>
        <w:t>العلاجية</w:t>
      </w:r>
      <w:r w:rsidRPr="008F7030">
        <w:rPr>
          <w:rFonts w:cstheme="minorHAnsi"/>
          <w:sz w:val="24"/>
          <w:szCs w:val="24"/>
          <w:rtl/>
          <w:lang w:val="en-GB"/>
        </w:rPr>
        <w:t xml:space="preserve"> لمرضى السكر</w:t>
      </w:r>
      <w:r w:rsidRPr="008F7030">
        <w:rPr>
          <w:rFonts w:cstheme="minorHAnsi" w:hint="cs"/>
          <w:sz w:val="24"/>
          <w:szCs w:val="24"/>
          <w:rtl/>
          <w:lang w:val="en-GB"/>
        </w:rPr>
        <w:t>ي</w:t>
      </w:r>
      <w:r w:rsidRPr="008F7030">
        <w:rPr>
          <w:rFonts w:cstheme="minorHAnsi"/>
          <w:sz w:val="24"/>
          <w:szCs w:val="24"/>
          <w:rtl/>
          <w:lang w:val="en-GB"/>
        </w:rPr>
        <w:t xml:space="preserve">؟ </w:t>
      </w:r>
    </w:p>
    <w:p w14:paraId="65FE9708" w14:textId="77777777" w:rsidR="00D4326C" w:rsidRDefault="00D4326C" w:rsidP="00D4326C">
      <w:pPr>
        <w:spacing w:line="360" w:lineRule="auto"/>
        <w:jc w:val="both"/>
        <w:rPr>
          <w:rFonts w:ascii="Gill Sans MT" w:eastAsiaTheme="minorEastAsia" w:hAnsi="Gill Sans MT"/>
          <w:sz w:val="24"/>
          <w:szCs w:val="24"/>
          <w:rtl/>
          <w:lang w:val="en-GB" w:eastAsia="en-GB"/>
        </w:rPr>
      </w:pPr>
      <w:r w:rsidRPr="000514C1">
        <w:rPr>
          <w:rFonts w:ascii="Gill Sans MT" w:eastAsiaTheme="minorEastAsia" w:hAnsi="Gill Sans MT"/>
          <w:sz w:val="24"/>
          <w:szCs w:val="24"/>
          <w:lang w:val="en-GB" w:eastAsia="en-GB"/>
        </w:rPr>
        <w:t xml:space="preserve"> Has the pharmacist ever discussed with </w:t>
      </w:r>
      <w:r>
        <w:rPr>
          <w:rFonts w:ascii="Gill Sans MT" w:eastAsiaTheme="minorEastAsia" w:hAnsi="Gill Sans MT"/>
          <w:sz w:val="24"/>
          <w:szCs w:val="24"/>
          <w:lang w:val="en-GB" w:eastAsia="en-GB"/>
        </w:rPr>
        <w:t xml:space="preserve">you </w:t>
      </w:r>
      <w:r w:rsidRPr="000514C1">
        <w:rPr>
          <w:rFonts w:ascii="Gill Sans MT" w:eastAsiaTheme="minorEastAsia" w:hAnsi="Gill Sans MT"/>
          <w:sz w:val="24"/>
          <w:szCs w:val="24"/>
          <w:lang w:val="en-GB" w:eastAsia="en-GB"/>
        </w:rPr>
        <w:t xml:space="preserve">the medication management plan for </w:t>
      </w:r>
      <w:r>
        <w:rPr>
          <w:rFonts w:ascii="Gill Sans MT" w:eastAsiaTheme="minorEastAsia" w:hAnsi="Gill Sans MT"/>
          <w:sz w:val="24"/>
          <w:szCs w:val="24"/>
          <w:lang w:val="en-GB" w:eastAsia="en-GB"/>
        </w:rPr>
        <w:t>patients with</w:t>
      </w:r>
      <w:r w:rsidRPr="000514C1">
        <w:rPr>
          <w:rFonts w:ascii="Gill Sans MT" w:eastAsiaTheme="minorEastAsia" w:hAnsi="Gill Sans MT"/>
          <w:sz w:val="24"/>
          <w:szCs w:val="24"/>
          <w:lang w:val="en-GB" w:eastAsia="en-GB"/>
        </w:rPr>
        <w:t xml:space="preserve"> diabetes?</w:t>
      </w:r>
      <w:r>
        <w:rPr>
          <w:rFonts w:ascii="Gill Sans MT" w:eastAsiaTheme="minorEastAsia" w:hAnsi="Gill Sans MT"/>
          <w:sz w:val="24"/>
          <w:szCs w:val="24"/>
          <w:lang w:val="en-GB" w:eastAsia="en-GB"/>
        </w:rPr>
        <w:t xml:space="preserve"> </w:t>
      </w:r>
    </w:p>
    <w:p w14:paraId="72F4EB1D" w14:textId="77777777" w:rsidR="00D4326C" w:rsidRDefault="00D4326C" w:rsidP="00D4326C">
      <w:pPr>
        <w:spacing w:line="360" w:lineRule="auto"/>
        <w:jc w:val="both"/>
        <w:rPr>
          <w:rFonts w:ascii="Gill Sans MT" w:eastAsiaTheme="minorEastAsia" w:hAnsi="Gill Sans MT"/>
          <w:sz w:val="24"/>
          <w:szCs w:val="24"/>
          <w:rtl/>
          <w:lang w:val="en-GB" w:eastAsia="en-GB"/>
        </w:rPr>
      </w:pPr>
    </w:p>
    <w:p w14:paraId="38ECB63D" w14:textId="77777777" w:rsidR="00D4326C" w:rsidRPr="00E72266" w:rsidRDefault="00D4326C" w:rsidP="00D4326C">
      <w:pPr>
        <w:pStyle w:val="ListParagraph"/>
        <w:numPr>
          <w:ilvl w:val="0"/>
          <w:numId w:val="19"/>
        </w:numPr>
        <w:bidi/>
        <w:spacing w:line="360" w:lineRule="auto"/>
        <w:jc w:val="both"/>
        <w:rPr>
          <w:rFonts w:ascii="Gill Sans MT" w:eastAsiaTheme="minorEastAsia" w:hAnsi="Gill Sans MT"/>
          <w:sz w:val="24"/>
          <w:szCs w:val="24"/>
          <w:lang w:val="en-GB" w:eastAsia="en-GB"/>
        </w:rPr>
      </w:pPr>
      <w:r w:rsidRPr="00E72266">
        <w:rPr>
          <w:rFonts w:cstheme="minorHAnsi"/>
          <w:sz w:val="24"/>
          <w:szCs w:val="24"/>
          <w:rtl/>
          <w:lang w:val="en-GB"/>
        </w:rPr>
        <w:t>ما هو شعورك عندما يناقش الصيدلي معك</w:t>
      </w:r>
      <w:r w:rsidRPr="00E72266">
        <w:rPr>
          <w:rFonts w:cstheme="minorHAnsi" w:hint="cs"/>
          <w:sz w:val="24"/>
          <w:szCs w:val="24"/>
          <w:rtl/>
          <w:lang w:val="en-GB"/>
        </w:rPr>
        <w:t xml:space="preserve"> الخطة</w:t>
      </w:r>
      <w:r w:rsidRPr="00E72266">
        <w:rPr>
          <w:rFonts w:cstheme="minorHAnsi"/>
          <w:sz w:val="24"/>
          <w:szCs w:val="24"/>
          <w:rtl/>
          <w:lang w:val="en-GB"/>
        </w:rPr>
        <w:t xml:space="preserve"> </w:t>
      </w:r>
      <w:r w:rsidRPr="00E72266">
        <w:rPr>
          <w:rFonts w:cstheme="minorHAnsi" w:hint="cs"/>
          <w:sz w:val="24"/>
          <w:szCs w:val="24"/>
          <w:rtl/>
          <w:lang w:val="en-GB"/>
        </w:rPr>
        <w:t>العلاجية</w:t>
      </w:r>
      <w:r w:rsidRPr="00E72266">
        <w:rPr>
          <w:rFonts w:cstheme="minorHAnsi"/>
          <w:sz w:val="24"/>
          <w:szCs w:val="24"/>
          <w:rtl/>
          <w:lang w:val="en-GB"/>
        </w:rPr>
        <w:t xml:space="preserve"> لمرضى السكر</w:t>
      </w:r>
      <w:r w:rsidRPr="00E72266">
        <w:rPr>
          <w:rFonts w:cstheme="minorHAnsi" w:hint="cs"/>
          <w:sz w:val="24"/>
          <w:szCs w:val="24"/>
          <w:rtl/>
          <w:lang w:val="en-GB"/>
        </w:rPr>
        <w:t>ي</w:t>
      </w:r>
      <w:r w:rsidRPr="00E72266">
        <w:rPr>
          <w:rFonts w:cstheme="minorHAnsi"/>
          <w:sz w:val="24"/>
          <w:szCs w:val="24"/>
          <w:rtl/>
          <w:lang w:val="en-GB"/>
        </w:rPr>
        <w:t xml:space="preserve">؟ و لماذا؟ </w:t>
      </w:r>
    </w:p>
    <w:p w14:paraId="6C1821FE" w14:textId="77777777" w:rsidR="00D4326C" w:rsidRPr="00E72266" w:rsidRDefault="00D4326C" w:rsidP="00D4326C">
      <w:pPr>
        <w:pStyle w:val="ListParagraph"/>
        <w:bidi/>
        <w:spacing w:line="360" w:lineRule="auto"/>
        <w:jc w:val="both"/>
        <w:rPr>
          <w:rFonts w:ascii="Gill Sans MT" w:eastAsiaTheme="minorEastAsia" w:hAnsi="Gill Sans MT"/>
          <w:sz w:val="24"/>
          <w:szCs w:val="24"/>
          <w:rtl/>
          <w:lang w:val="en-GB" w:eastAsia="en-GB"/>
        </w:rPr>
      </w:pPr>
      <w:r w:rsidRPr="00E72266">
        <w:rPr>
          <w:rFonts w:ascii="Gill Sans MT" w:eastAsiaTheme="minorEastAsia" w:hAnsi="Gill Sans MT"/>
          <w:sz w:val="24"/>
          <w:szCs w:val="24"/>
          <w:lang w:val="en-GB" w:eastAsia="en-GB"/>
        </w:rPr>
        <w:t xml:space="preserve">How do you feel when the pharmacist discusses with you the medication management plan for diabetic patients? And why? </w:t>
      </w:r>
    </w:p>
    <w:p w14:paraId="74DCF353" w14:textId="77777777" w:rsidR="00D4326C" w:rsidRDefault="00D4326C" w:rsidP="00D4326C">
      <w:pPr>
        <w:spacing w:line="360" w:lineRule="auto"/>
        <w:jc w:val="both"/>
        <w:rPr>
          <w:rFonts w:ascii="Gill Sans MT" w:eastAsiaTheme="minorEastAsia" w:hAnsi="Gill Sans MT"/>
          <w:sz w:val="24"/>
          <w:szCs w:val="24"/>
          <w:rtl/>
          <w:lang w:val="en-GB" w:eastAsia="en-GB"/>
        </w:rPr>
      </w:pPr>
    </w:p>
    <w:p w14:paraId="5B6FA047" w14:textId="77777777" w:rsidR="00D4326C" w:rsidRPr="00E3298B" w:rsidRDefault="00D4326C" w:rsidP="00D4326C">
      <w:pPr>
        <w:pStyle w:val="ListParagraph"/>
        <w:numPr>
          <w:ilvl w:val="0"/>
          <w:numId w:val="19"/>
        </w:numPr>
        <w:bidi/>
        <w:spacing w:line="360" w:lineRule="auto"/>
        <w:jc w:val="both"/>
        <w:rPr>
          <w:rFonts w:ascii="Gill Sans MT" w:eastAsiaTheme="minorEastAsia" w:hAnsi="Gill Sans MT"/>
          <w:sz w:val="24"/>
          <w:szCs w:val="24"/>
          <w:rtl/>
          <w:lang w:val="en-GB" w:eastAsia="en-GB"/>
        </w:rPr>
      </w:pPr>
      <w:r w:rsidRPr="00E3298B">
        <w:rPr>
          <w:rFonts w:cstheme="minorHAnsi"/>
          <w:sz w:val="24"/>
          <w:szCs w:val="24"/>
          <w:rtl/>
          <w:lang w:val="en-GB"/>
        </w:rPr>
        <w:t xml:space="preserve">هل سبق أن ناقش الصيدلي معك أي مشاكل تتعلق بالأدوية التي تواجه مرضى السكري؟ </w:t>
      </w:r>
    </w:p>
    <w:p w14:paraId="646497A3" w14:textId="77777777" w:rsidR="00D4326C" w:rsidRDefault="00D4326C" w:rsidP="00D4326C">
      <w:pPr>
        <w:spacing w:line="360" w:lineRule="auto"/>
        <w:jc w:val="both"/>
        <w:rPr>
          <w:rFonts w:ascii="Gill Sans MT" w:eastAsiaTheme="minorEastAsia" w:hAnsi="Gill Sans MT"/>
          <w:sz w:val="24"/>
          <w:szCs w:val="24"/>
          <w:rtl/>
          <w:lang w:val="en-GB" w:eastAsia="en-GB"/>
        </w:rPr>
      </w:pPr>
      <w:r w:rsidRPr="000514C1">
        <w:rPr>
          <w:rFonts w:ascii="Gill Sans MT" w:eastAsiaTheme="minorEastAsia" w:hAnsi="Gill Sans MT"/>
          <w:sz w:val="24"/>
          <w:szCs w:val="24"/>
          <w:lang w:val="en-GB" w:eastAsia="en-GB"/>
        </w:rPr>
        <w:t xml:space="preserve">Has the pharmacist ever discussed </w:t>
      </w:r>
      <w:r>
        <w:rPr>
          <w:rFonts w:ascii="Gill Sans MT" w:eastAsiaTheme="minorEastAsia" w:hAnsi="Gill Sans MT"/>
          <w:sz w:val="24"/>
          <w:szCs w:val="24"/>
          <w:lang w:val="en-GB" w:eastAsia="en-GB"/>
        </w:rPr>
        <w:t>with you any</w:t>
      </w:r>
      <w:r w:rsidRPr="000514C1">
        <w:rPr>
          <w:rFonts w:ascii="Gill Sans MT" w:eastAsiaTheme="minorEastAsia" w:hAnsi="Gill Sans MT"/>
          <w:sz w:val="24"/>
          <w:szCs w:val="24"/>
          <w:lang w:val="en-GB" w:eastAsia="en-GB"/>
        </w:rPr>
        <w:t xml:space="preserve"> problems related to medication faced diabetes patients?</w:t>
      </w:r>
      <w:r w:rsidRPr="007B1E9C">
        <w:rPr>
          <w:rFonts w:ascii="Gill Sans MT" w:eastAsiaTheme="minorEastAsia" w:hAnsi="Gill Sans MT"/>
          <w:sz w:val="24"/>
          <w:szCs w:val="24"/>
          <w:lang w:val="en-GB" w:eastAsia="en-GB"/>
        </w:rPr>
        <w:t xml:space="preserve"> </w:t>
      </w:r>
    </w:p>
    <w:p w14:paraId="021A2BE0" w14:textId="77777777" w:rsidR="00D4326C" w:rsidRDefault="00D4326C" w:rsidP="00D4326C">
      <w:pPr>
        <w:spacing w:line="360" w:lineRule="auto"/>
        <w:jc w:val="both"/>
        <w:rPr>
          <w:rFonts w:ascii="Gill Sans MT" w:eastAsiaTheme="minorEastAsia" w:hAnsi="Gill Sans MT"/>
          <w:sz w:val="24"/>
          <w:szCs w:val="24"/>
          <w:lang w:val="en-GB" w:eastAsia="en-GB"/>
        </w:rPr>
      </w:pPr>
    </w:p>
    <w:p w14:paraId="4111D3D1" w14:textId="77777777" w:rsidR="00D4326C" w:rsidRPr="003B7733" w:rsidRDefault="00D4326C" w:rsidP="00D4326C">
      <w:pPr>
        <w:pStyle w:val="ListParagraph"/>
        <w:numPr>
          <w:ilvl w:val="0"/>
          <w:numId w:val="19"/>
        </w:numPr>
        <w:bidi/>
        <w:spacing w:line="360" w:lineRule="auto"/>
        <w:rPr>
          <w:rFonts w:cstheme="minorHAnsi"/>
          <w:sz w:val="24"/>
          <w:szCs w:val="24"/>
          <w:rtl/>
          <w:lang w:val="en-GB"/>
        </w:rPr>
      </w:pPr>
      <w:r w:rsidRPr="003B7733">
        <w:rPr>
          <w:rFonts w:cstheme="minorHAnsi"/>
          <w:sz w:val="24"/>
          <w:szCs w:val="24"/>
          <w:rtl/>
          <w:lang w:val="en-GB"/>
        </w:rPr>
        <w:t xml:space="preserve">ما هو شعورك عندما يناقش الصيدلي معك هذه </w:t>
      </w:r>
      <w:r>
        <w:rPr>
          <w:rFonts w:cstheme="minorHAnsi" w:hint="cs"/>
          <w:sz w:val="24"/>
          <w:szCs w:val="24"/>
          <w:rtl/>
          <w:lang w:val="en-GB"/>
        </w:rPr>
        <w:t>المواضيع</w:t>
      </w:r>
      <w:r w:rsidRPr="003B7733">
        <w:rPr>
          <w:rFonts w:cstheme="minorHAnsi"/>
          <w:sz w:val="24"/>
          <w:szCs w:val="24"/>
          <w:rtl/>
          <w:lang w:val="en-GB"/>
        </w:rPr>
        <w:t xml:space="preserve">؟ و لماذا؟ </w:t>
      </w:r>
    </w:p>
    <w:p w14:paraId="63F7CF8B" w14:textId="77777777" w:rsidR="00D4326C" w:rsidRDefault="00D4326C" w:rsidP="00D4326C">
      <w:pPr>
        <w:spacing w:line="360" w:lineRule="auto"/>
        <w:jc w:val="both"/>
        <w:rPr>
          <w:rFonts w:ascii="Gill Sans MT" w:eastAsiaTheme="minorEastAsia" w:hAnsi="Gill Sans MT"/>
          <w:sz w:val="24"/>
          <w:szCs w:val="24"/>
          <w:lang w:val="en-GB" w:eastAsia="en-GB"/>
        </w:rPr>
      </w:pPr>
      <w:r w:rsidRPr="00CC275B">
        <w:rPr>
          <w:rFonts w:ascii="Gill Sans MT" w:eastAsiaTheme="minorEastAsia" w:hAnsi="Gill Sans MT"/>
          <w:sz w:val="24"/>
          <w:szCs w:val="24"/>
          <w:lang w:val="en-GB" w:eastAsia="en-GB"/>
        </w:rPr>
        <w:t>How do you feel when the pharmacist discusses with you these issues? And why?</w:t>
      </w:r>
      <w:r w:rsidRPr="007B1E9C">
        <w:rPr>
          <w:rFonts w:ascii="Gill Sans MT" w:eastAsiaTheme="minorEastAsia" w:hAnsi="Gill Sans MT"/>
          <w:sz w:val="24"/>
          <w:szCs w:val="24"/>
          <w:lang w:val="en-GB" w:eastAsia="en-GB"/>
        </w:rPr>
        <w:t xml:space="preserve"> </w:t>
      </w:r>
    </w:p>
    <w:p w14:paraId="34E1F771" w14:textId="77777777" w:rsidR="00D4326C" w:rsidRPr="00E72266" w:rsidRDefault="00D4326C" w:rsidP="00D4326C">
      <w:pPr>
        <w:pStyle w:val="ListParagraph"/>
        <w:numPr>
          <w:ilvl w:val="0"/>
          <w:numId w:val="19"/>
        </w:numPr>
        <w:bidi/>
        <w:spacing w:line="360" w:lineRule="auto"/>
        <w:jc w:val="both"/>
        <w:rPr>
          <w:rFonts w:ascii="Gill Sans MT" w:eastAsiaTheme="minorEastAsia" w:hAnsi="Gill Sans MT"/>
          <w:sz w:val="24"/>
          <w:szCs w:val="24"/>
          <w:rtl/>
          <w:lang w:val="en-GB" w:eastAsia="en-GB"/>
        </w:rPr>
      </w:pPr>
      <w:r w:rsidRPr="00E72266">
        <w:rPr>
          <w:rFonts w:cstheme="minorHAnsi" w:hint="cs"/>
          <w:sz w:val="24"/>
          <w:szCs w:val="24"/>
          <w:rtl/>
          <w:lang w:val="en-GB"/>
        </w:rPr>
        <w:t xml:space="preserve">ما </w:t>
      </w:r>
      <w:r w:rsidRPr="00E72266">
        <w:rPr>
          <w:rFonts w:cstheme="minorHAnsi"/>
          <w:sz w:val="24"/>
          <w:szCs w:val="24"/>
          <w:rtl/>
          <w:lang w:val="en-GB"/>
        </w:rPr>
        <w:t>هي العوائق</w:t>
      </w:r>
      <w:r w:rsidRPr="00E72266">
        <w:rPr>
          <w:rFonts w:cstheme="minorHAnsi" w:hint="cs"/>
          <w:sz w:val="24"/>
          <w:szCs w:val="24"/>
          <w:rtl/>
          <w:lang w:val="en-GB"/>
        </w:rPr>
        <w:t>/المعوقات</w:t>
      </w:r>
      <w:r w:rsidRPr="00E72266">
        <w:rPr>
          <w:rFonts w:cstheme="minorHAnsi"/>
          <w:sz w:val="24"/>
          <w:szCs w:val="24"/>
          <w:rtl/>
          <w:lang w:val="en-GB"/>
        </w:rPr>
        <w:t xml:space="preserve"> التي تحول دون مشاركة </w:t>
      </w:r>
      <w:r w:rsidRPr="00E72266">
        <w:rPr>
          <w:rFonts w:cstheme="minorHAnsi" w:hint="cs"/>
          <w:sz w:val="24"/>
          <w:szCs w:val="24"/>
          <w:rtl/>
          <w:lang w:val="en-GB"/>
        </w:rPr>
        <w:t>الصيدلي</w:t>
      </w:r>
      <w:r w:rsidRPr="00E72266">
        <w:rPr>
          <w:rFonts w:cstheme="minorHAnsi"/>
          <w:sz w:val="24"/>
          <w:szCs w:val="24"/>
          <w:rtl/>
          <w:lang w:val="en-GB"/>
        </w:rPr>
        <w:t xml:space="preserve"> في رعاية مرضى السكري في </w:t>
      </w:r>
      <w:r w:rsidRPr="00E72266">
        <w:rPr>
          <w:rFonts w:cstheme="minorHAnsi" w:hint="cs"/>
          <w:sz w:val="24"/>
          <w:szCs w:val="24"/>
          <w:rtl/>
          <w:lang w:val="en-GB"/>
        </w:rPr>
        <w:t>المراكز الصحية ب</w:t>
      </w:r>
      <w:r w:rsidRPr="00E72266">
        <w:rPr>
          <w:rFonts w:cstheme="minorHAnsi"/>
          <w:sz w:val="24"/>
          <w:szCs w:val="24"/>
          <w:rtl/>
          <w:lang w:val="en-GB"/>
        </w:rPr>
        <w:t>المملكة العربية السعودية</w:t>
      </w:r>
      <w:r w:rsidRPr="00E72266">
        <w:rPr>
          <w:rFonts w:cstheme="minorHAnsi" w:hint="cs"/>
          <w:sz w:val="24"/>
          <w:szCs w:val="24"/>
          <w:rtl/>
          <w:lang w:val="en-GB"/>
        </w:rPr>
        <w:t>,</w:t>
      </w:r>
      <w:r w:rsidRPr="00E72266">
        <w:rPr>
          <w:rFonts w:cstheme="minorHAnsi"/>
          <w:sz w:val="24"/>
          <w:szCs w:val="24"/>
          <w:rtl/>
          <w:lang w:val="en-GB"/>
        </w:rPr>
        <w:t xml:space="preserve"> برأيك</w:t>
      </w:r>
      <w:r w:rsidRPr="00E72266">
        <w:rPr>
          <w:rFonts w:ascii="Gill Sans MT" w:eastAsiaTheme="minorEastAsia" w:hAnsi="Gill Sans MT" w:cs="Arial"/>
          <w:sz w:val="24"/>
          <w:szCs w:val="24"/>
          <w:rtl/>
          <w:lang w:val="en-GB" w:eastAsia="en-GB"/>
        </w:rPr>
        <w:t>؟</w:t>
      </w:r>
    </w:p>
    <w:p w14:paraId="5BDE6BC3" w14:textId="77777777" w:rsidR="00D4326C" w:rsidRPr="001C5F47" w:rsidRDefault="00D4326C" w:rsidP="00D4326C">
      <w:pPr>
        <w:spacing w:line="360" w:lineRule="auto"/>
        <w:jc w:val="both"/>
        <w:rPr>
          <w:rFonts w:ascii="Gill Sans MT" w:eastAsiaTheme="minorEastAsia" w:hAnsi="Gill Sans MT"/>
          <w:sz w:val="24"/>
          <w:szCs w:val="24"/>
          <w:rtl/>
          <w:lang w:val="en-GB" w:eastAsia="en-GB"/>
        </w:rPr>
      </w:pPr>
      <w:r>
        <w:rPr>
          <w:rFonts w:ascii="Gill Sans MT" w:eastAsiaTheme="minorEastAsia" w:hAnsi="Gill Sans MT"/>
          <w:sz w:val="24"/>
          <w:szCs w:val="24"/>
          <w:lang w:val="en-GB" w:eastAsia="en-GB"/>
        </w:rPr>
        <w:t>W</w:t>
      </w:r>
      <w:r w:rsidRPr="000514C1">
        <w:rPr>
          <w:rFonts w:ascii="Gill Sans MT" w:eastAsiaTheme="minorEastAsia" w:hAnsi="Gill Sans MT"/>
          <w:sz w:val="24"/>
          <w:szCs w:val="24"/>
          <w:lang w:val="en-GB" w:eastAsia="en-GB"/>
        </w:rPr>
        <w:t>hat do you perceive to be the barriers to pharmacist involvement in diabetes care in KSA?</w:t>
      </w:r>
    </w:p>
    <w:p w14:paraId="7ED8FD24" w14:textId="77777777" w:rsidR="00D4326C" w:rsidRDefault="00D4326C" w:rsidP="00D4326C">
      <w:pPr>
        <w:shd w:val="clear" w:color="auto" w:fill="FFFFFF"/>
        <w:bidi/>
        <w:spacing w:after="0" w:line="360" w:lineRule="auto"/>
        <w:jc w:val="both"/>
        <w:rPr>
          <w:rFonts w:cstheme="minorHAnsi"/>
          <w:sz w:val="24"/>
          <w:szCs w:val="24"/>
          <w:rtl/>
          <w:lang w:val="en-GB"/>
        </w:rPr>
      </w:pPr>
    </w:p>
    <w:p w14:paraId="65743E18" w14:textId="77777777" w:rsidR="00D4326C" w:rsidRPr="007C475E" w:rsidRDefault="00D4326C" w:rsidP="00D4326C">
      <w:pPr>
        <w:pStyle w:val="ListParagraph"/>
        <w:numPr>
          <w:ilvl w:val="0"/>
          <w:numId w:val="19"/>
        </w:numPr>
        <w:shd w:val="clear" w:color="auto" w:fill="FFFFFF"/>
        <w:bidi/>
        <w:spacing w:after="0" w:line="360" w:lineRule="auto"/>
        <w:jc w:val="both"/>
        <w:rPr>
          <w:rFonts w:cstheme="minorHAnsi"/>
          <w:sz w:val="24"/>
          <w:szCs w:val="24"/>
          <w:rtl/>
          <w:lang w:val="en-GB"/>
        </w:rPr>
      </w:pPr>
      <w:r w:rsidRPr="007C475E">
        <w:rPr>
          <w:rFonts w:cstheme="minorHAnsi"/>
          <w:sz w:val="24"/>
          <w:szCs w:val="24"/>
          <w:rtl/>
          <w:lang w:val="en-GB"/>
        </w:rPr>
        <w:t xml:space="preserve">ما هي الميسرات التي تسهل مشاركة </w:t>
      </w:r>
      <w:r w:rsidRPr="007C475E">
        <w:rPr>
          <w:rFonts w:cstheme="minorHAnsi" w:hint="cs"/>
          <w:sz w:val="24"/>
          <w:szCs w:val="24"/>
          <w:rtl/>
          <w:lang w:val="en-GB"/>
        </w:rPr>
        <w:t>الصيدلي</w:t>
      </w:r>
      <w:r w:rsidRPr="007C475E">
        <w:rPr>
          <w:rFonts w:cstheme="minorHAnsi"/>
          <w:sz w:val="24"/>
          <w:szCs w:val="24"/>
          <w:rtl/>
          <w:lang w:val="en-GB"/>
        </w:rPr>
        <w:t xml:space="preserve"> في رعاية مرضى السكري في المراكز الصحية بالمملكة العربية السعودية</w:t>
      </w:r>
      <w:r w:rsidRPr="007C475E">
        <w:rPr>
          <w:rFonts w:cstheme="minorHAnsi" w:hint="cs"/>
          <w:sz w:val="24"/>
          <w:szCs w:val="24"/>
          <w:rtl/>
          <w:lang w:val="en-GB"/>
        </w:rPr>
        <w:t>,</w:t>
      </w:r>
      <w:r w:rsidRPr="007C475E">
        <w:rPr>
          <w:rFonts w:cstheme="minorHAnsi"/>
          <w:sz w:val="24"/>
          <w:szCs w:val="24"/>
          <w:rtl/>
          <w:lang w:val="en-GB"/>
        </w:rPr>
        <w:t xml:space="preserve"> برأيك؟</w:t>
      </w:r>
    </w:p>
    <w:p w14:paraId="377F0DD7" w14:textId="77777777" w:rsidR="00D4326C" w:rsidRDefault="00D4326C" w:rsidP="00D4326C">
      <w:pPr>
        <w:shd w:val="clear" w:color="auto" w:fill="FFFFFF"/>
        <w:spacing w:after="0" w:line="360" w:lineRule="auto"/>
        <w:jc w:val="both"/>
        <w:rPr>
          <w:rFonts w:ascii="Gill Sans MT" w:eastAsiaTheme="minorEastAsia" w:hAnsi="Gill Sans MT"/>
          <w:sz w:val="24"/>
          <w:szCs w:val="24"/>
          <w:rtl/>
          <w:lang w:val="en-GB" w:eastAsia="en-GB"/>
        </w:rPr>
      </w:pPr>
      <w:r w:rsidRPr="00FE51B1">
        <w:rPr>
          <w:rFonts w:ascii="Gill Sans MT" w:eastAsiaTheme="minorEastAsia" w:hAnsi="Gill Sans MT"/>
          <w:sz w:val="24"/>
          <w:szCs w:val="24"/>
          <w:lang w:val="en-GB" w:eastAsia="en-GB"/>
        </w:rPr>
        <w:t>What do you perceive to be the facilitators to pharmacist involvement in diabetes care in KSA?</w:t>
      </w:r>
    </w:p>
    <w:p w14:paraId="2042B2E5" w14:textId="77777777" w:rsidR="00D4326C" w:rsidRDefault="00D4326C" w:rsidP="00D4326C">
      <w:pPr>
        <w:shd w:val="clear" w:color="auto" w:fill="FFFFFF"/>
        <w:spacing w:after="0" w:line="360" w:lineRule="auto"/>
        <w:ind w:left="360"/>
        <w:jc w:val="both"/>
        <w:rPr>
          <w:rFonts w:ascii="Gill Sans MT" w:eastAsiaTheme="minorEastAsia" w:hAnsi="Gill Sans MT"/>
          <w:sz w:val="24"/>
          <w:szCs w:val="24"/>
          <w:rtl/>
          <w:lang w:val="en-GB" w:eastAsia="en-GB"/>
        </w:rPr>
      </w:pPr>
    </w:p>
    <w:p w14:paraId="39D5C11A" w14:textId="77777777" w:rsidR="00D4326C" w:rsidRPr="001C5F47" w:rsidRDefault="00D4326C" w:rsidP="00D4326C">
      <w:pPr>
        <w:pStyle w:val="ListParagraph"/>
        <w:numPr>
          <w:ilvl w:val="0"/>
          <w:numId w:val="19"/>
        </w:numPr>
        <w:shd w:val="clear" w:color="auto" w:fill="FFFFFF"/>
        <w:bidi/>
        <w:spacing w:after="0" w:line="360" w:lineRule="auto"/>
        <w:jc w:val="both"/>
        <w:rPr>
          <w:rFonts w:ascii="Gill Sans MT" w:eastAsiaTheme="minorEastAsia" w:hAnsi="Gill Sans MT"/>
          <w:sz w:val="24"/>
          <w:szCs w:val="24"/>
          <w:rtl/>
          <w:lang w:val="en-GB" w:eastAsia="en-GB"/>
        </w:rPr>
      </w:pPr>
      <w:r w:rsidRPr="001C5F47">
        <w:rPr>
          <w:rFonts w:cstheme="minorHAnsi" w:hint="cs"/>
          <w:sz w:val="24"/>
          <w:szCs w:val="24"/>
          <w:rtl/>
          <w:lang w:val="en-GB"/>
        </w:rPr>
        <w:t xml:space="preserve"> </w:t>
      </w:r>
      <w:r w:rsidRPr="001C5F47">
        <w:rPr>
          <w:rFonts w:cstheme="minorHAnsi"/>
          <w:sz w:val="24"/>
          <w:szCs w:val="24"/>
          <w:rtl/>
          <w:lang w:val="en-GB"/>
        </w:rPr>
        <w:t xml:space="preserve">هل هناك </w:t>
      </w:r>
      <w:r w:rsidRPr="001C5F47">
        <w:rPr>
          <w:rFonts w:cstheme="minorHAnsi" w:hint="cs"/>
          <w:sz w:val="24"/>
          <w:szCs w:val="24"/>
          <w:rtl/>
          <w:lang w:val="en-GB"/>
        </w:rPr>
        <w:t xml:space="preserve">مواضيع </w:t>
      </w:r>
      <w:r w:rsidRPr="001C5F47">
        <w:rPr>
          <w:rFonts w:cstheme="minorHAnsi"/>
          <w:sz w:val="24"/>
          <w:szCs w:val="24"/>
          <w:rtl/>
          <w:lang w:val="en-GB"/>
        </w:rPr>
        <w:t xml:space="preserve">أو جوانب أخرى </w:t>
      </w:r>
      <w:r w:rsidRPr="001C5F47">
        <w:rPr>
          <w:rFonts w:cstheme="minorHAnsi" w:hint="cs"/>
          <w:sz w:val="24"/>
          <w:szCs w:val="24"/>
          <w:rtl/>
          <w:lang w:val="en-GB"/>
        </w:rPr>
        <w:t>فيما يتعلق ب</w:t>
      </w:r>
      <w:r w:rsidRPr="001C5F47">
        <w:rPr>
          <w:rFonts w:cstheme="minorHAnsi"/>
          <w:sz w:val="24"/>
          <w:szCs w:val="24"/>
          <w:rtl/>
          <w:lang w:val="en-GB"/>
        </w:rPr>
        <w:t xml:space="preserve">مشاركة </w:t>
      </w:r>
      <w:r w:rsidRPr="001C5F47">
        <w:rPr>
          <w:rFonts w:cstheme="minorHAnsi" w:hint="cs"/>
          <w:sz w:val="24"/>
          <w:szCs w:val="24"/>
          <w:rtl/>
          <w:lang w:val="en-GB"/>
        </w:rPr>
        <w:t>الصيدلي</w:t>
      </w:r>
      <w:r w:rsidRPr="001C5F47">
        <w:rPr>
          <w:rFonts w:cstheme="minorHAnsi"/>
          <w:sz w:val="24"/>
          <w:szCs w:val="24"/>
          <w:rtl/>
          <w:lang w:val="en-GB"/>
        </w:rPr>
        <w:t xml:space="preserve"> في رعاية مرض السكري في </w:t>
      </w:r>
      <w:r w:rsidRPr="001C5F47">
        <w:rPr>
          <w:rFonts w:cstheme="minorHAnsi" w:hint="cs"/>
          <w:sz w:val="24"/>
          <w:szCs w:val="24"/>
          <w:rtl/>
          <w:lang w:val="en-GB"/>
        </w:rPr>
        <w:t>مراكز الرعاية الأولية ب</w:t>
      </w:r>
      <w:r w:rsidRPr="001C5F47">
        <w:rPr>
          <w:rFonts w:cstheme="minorHAnsi"/>
          <w:sz w:val="24"/>
          <w:szCs w:val="24"/>
          <w:rtl/>
          <w:lang w:val="en-GB"/>
        </w:rPr>
        <w:t xml:space="preserve">المملكة العربية السعودية تود مناقشتها؟ إذا كان </w:t>
      </w:r>
      <w:r w:rsidRPr="001C5F47">
        <w:rPr>
          <w:rFonts w:cstheme="minorHAnsi" w:hint="cs"/>
          <w:sz w:val="24"/>
          <w:szCs w:val="24"/>
          <w:rtl/>
          <w:lang w:val="en-GB"/>
        </w:rPr>
        <w:t>يوجد, تفضل</w:t>
      </w:r>
      <w:r w:rsidRPr="001C5F47">
        <w:rPr>
          <w:rFonts w:cstheme="minorHAnsi"/>
          <w:sz w:val="24"/>
          <w:szCs w:val="24"/>
          <w:rtl/>
          <w:lang w:val="en-GB"/>
        </w:rPr>
        <w:t>.</w:t>
      </w:r>
    </w:p>
    <w:p w14:paraId="585DC7FA" w14:textId="77777777" w:rsidR="00D4326C" w:rsidRDefault="00D4326C" w:rsidP="00D4326C">
      <w:pPr>
        <w:shd w:val="clear" w:color="auto" w:fill="FFFFFF"/>
        <w:spacing w:after="0" w:line="360" w:lineRule="auto"/>
        <w:jc w:val="both"/>
        <w:rPr>
          <w:rFonts w:ascii="Gill Sans MT" w:eastAsiaTheme="minorEastAsia" w:hAnsi="Gill Sans MT"/>
          <w:sz w:val="24"/>
          <w:szCs w:val="24"/>
          <w:rtl/>
          <w:lang w:val="en-GB" w:eastAsia="en-GB"/>
        </w:rPr>
      </w:pPr>
      <w:r>
        <w:rPr>
          <w:rFonts w:ascii="Gill Sans MT" w:eastAsiaTheme="minorEastAsia" w:hAnsi="Gill Sans MT"/>
          <w:sz w:val="24"/>
          <w:szCs w:val="24"/>
          <w:lang w:val="en-GB" w:eastAsia="en-GB"/>
        </w:rPr>
        <w:t>A</w:t>
      </w:r>
      <w:r w:rsidRPr="000514C1">
        <w:rPr>
          <w:rFonts w:ascii="Gill Sans MT" w:eastAsiaTheme="minorEastAsia" w:hAnsi="Gill Sans MT"/>
          <w:sz w:val="24"/>
          <w:szCs w:val="24"/>
          <w:lang w:val="en-GB" w:eastAsia="en-GB"/>
        </w:rPr>
        <w:t>re there any other issues or aspects to pharmacist involvement in diabetes care in KSA that you would like to discuss? If so, please state.</w:t>
      </w:r>
    </w:p>
    <w:p w14:paraId="20CDB13E" w14:textId="77777777" w:rsidR="00D4326C" w:rsidRPr="000514C1" w:rsidRDefault="00D4326C" w:rsidP="00D4326C">
      <w:pPr>
        <w:shd w:val="clear" w:color="auto" w:fill="FFFFFF"/>
        <w:spacing w:after="0" w:line="360" w:lineRule="auto"/>
        <w:jc w:val="both"/>
        <w:rPr>
          <w:rFonts w:ascii="Gill Sans MT" w:eastAsiaTheme="minorEastAsia" w:hAnsi="Gill Sans MT"/>
          <w:sz w:val="24"/>
          <w:szCs w:val="24"/>
          <w:lang w:val="en-GB" w:eastAsia="en-GB"/>
        </w:rPr>
      </w:pPr>
    </w:p>
    <w:p w14:paraId="0E154ED3" w14:textId="77777777" w:rsidR="00D4326C" w:rsidRPr="001C5F47" w:rsidRDefault="00D4326C" w:rsidP="00D4326C">
      <w:pPr>
        <w:pStyle w:val="ListParagraph"/>
        <w:numPr>
          <w:ilvl w:val="0"/>
          <w:numId w:val="19"/>
        </w:numPr>
        <w:bidi/>
        <w:spacing w:line="360" w:lineRule="auto"/>
        <w:rPr>
          <w:rFonts w:cstheme="minorHAnsi"/>
          <w:sz w:val="24"/>
          <w:szCs w:val="24"/>
          <w:rtl/>
          <w:lang w:val="en-GB"/>
        </w:rPr>
      </w:pPr>
      <w:r w:rsidRPr="001C5F47">
        <w:rPr>
          <w:rFonts w:cstheme="minorHAnsi"/>
          <w:sz w:val="24"/>
          <w:szCs w:val="24"/>
          <w:rtl/>
          <w:lang w:val="en-GB"/>
        </w:rPr>
        <w:t>هل تعتقد أن المهن المختلفة (أطباء ، ممرضات ، إلخ) تنظر إلى دور الصيادلة بشكل مختلف؟</w:t>
      </w:r>
      <w:r w:rsidRPr="001C5F47">
        <w:rPr>
          <w:rFonts w:cstheme="minorHAnsi" w:hint="cs"/>
          <w:sz w:val="24"/>
          <w:szCs w:val="24"/>
          <w:rtl/>
          <w:lang w:val="en-GB"/>
        </w:rPr>
        <w:t>بمعنى</w:t>
      </w:r>
      <w:r w:rsidRPr="001C5F47">
        <w:rPr>
          <w:rFonts w:cstheme="minorHAnsi"/>
          <w:sz w:val="24"/>
          <w:szCs w:val="24"/>
          <w:rtl/>
          <w:lang w:val="en-GB"/>
        </w:rPr>
        <w:t xml:space="preserve"> هل تعتقد أن </w:t>
      </w:r>
      <w:r w:rsidRPr="001C5F47">
        <w:rPr>
          <w:rFonts w:cstheme="minorHAnsi" w:hint="cs"/>
          <w:sz w:val="24"/>
          <w:szCs w:val="24"/>
          <w:rtl/>
          <w:lang w:val="en-GB"/>
        </w:rPr>
        <w:t>نظرة/موقف</w:t>
      </w:r>
      <w:r w:rsidRPr="001C5F47">
        <w:rPr>
          <w:rFonts w:cstheme="minorHAnsi"/>
          <w:sz w:val="24"/>
          <w:szCs w:val="24"/>
          <w:rtl/>
          <w:lang w:val="en-GB"/>
        </w:rPr>
        <w:t xml:space="preserve"> الأطباء </w:t>
      </w:r>
      <w:r w:rsidRPr="001C5F47">
        <w:rPr>
          <w:rFonts w:cstheme="minorHAnsi" w:hint="cs"/>
          <w:sz w:val="24"/>
          <w:szCs w:val="24"/>
          <w:rtl/>
          <w:lang w:val="en-GB"/>
        </w:rPr>
        <w:t>ي</w:t>
      </w:r>
      <w:r w:rsidRPr="001C5F47">
        <w:rPr>
          <w:rFonts w:cstheme="minorHAnsi"/>
          <w:sz w:val="24"/>
          <w:szCs w:val="24"/>
          <w:rtl/>
          <w:lang w:val="en-GB"/>
        </w:rPr>
        <w:t xml:space="preserve">ختلف عن </w:t>
      </w:r>
      <w:r w:rsidRPr="001C5F47">
        <w:rPr>
          <w:rFonts w:cstheme="minorHAnsi" w:hint="cs"/>
          <w:sz w:val="24"/>
          <w:szCs w:val="24"/>
          <w:rtl/>
          <w:lang w:val="en-GB"/>
        </w:rPr>
        <w:t>نظرة/موقف</w:t>
      </w:r>
      <w:r w:rsidRPr="001C5F47">
        <w:rPr>
          <w:rFonts w:cstheme="minorHAnsi"/>
          <w:sz w:val="24"/>
          <w:szCs w:val="24"/>
          <w:rtl/>
          <w:lang w:val="en-GB"/>
        </w:rPr>
        <w:t xml:space="preserve"> </w:t>
      </w:r>
      <w:r w:rsidRPr="001C5F47">
        <w:rPr>
          <w:rFonts w:cstheme="minorHAnsi" w:hint="cs"/>
          <w:sz w:val="24"/>
          <w:szCs w:val="24"/>
          <w:rtl/>
          <w:lang w:val="en-GB"/>
        </w:rPr>
        <w:t>التمريض</w:t>
      </w:r>
      <w:r w:rsidRPr="001C5F47">
        <w:rPr>
          <w:rFonts w:cstheme="minorHAnsi"/>
          <w:sz w:val="24"/>
          <w:szCs w:val="24"/>
          <w:rtl/>
          <w:lang w:val="en-GB"/>
        </w:rPr>
        <w:t xml:space="preserve"> تجاه دور الصيادلة في رعاية المرضى؟</w:t>
      </w:r>
      <w:r w:rsidRPr="001C5F47">
        <w:rPr>
          <w:rFonts w:cstheme="minorHAnsi" w:hint="cs"/>
          <w:sz w:val="24"/>
          <w:szCs w:val="24"/>
          <w:rtl/>
          <w:lang w:val="en-GB"/>
        </w:rPr>
        <w:t xml:space="preserve"> و لماذا؟</w:t>
      </w:r>
    </w:p>
    <w:p w14:paraId="627DAA13" w14:textId="38CBF52B" w:rsidR="00240138" w:rsidRDefault="00D4326C" w:rsidP="00D4326C">
      <w:pPr>
        <w:spacing w:line="360" w:lineRule="auto"/>
        <w:rPr>
          <w:rFonts w:ascii="Gill Sans MT" w:eastAsiaTheme="minorEastAsia" w:hAnsi="Gill Sans MT"/>
          <w:sz w:val="24"/>
          <w:szCs w:val="24"/>
          <w:lang w:val="en-GB" w:eastAsia="en-GB"/>
        </w:rPr>
      </w:pPr>
      <w:r w:rsidRPr="00FB1597">
        <w:rPr>
          <w:rFonts w:ascii="Gill Sans MT" w:eastAsiaTheme="minorEastAsia" w:hAnsi="Gill Sans MT"/>
          <w:sz w:val="24"/>
          <w:szCs w:val="24"/>
          <w:lang w:val="en-GB" w:eastAsia="en-GB"/>
        </w:rPr>
        <w:t xml:space="preserve">Do you think that different professions (doctors, nurses, etc.) look/view the role of pharmacists differently? Or let's say it in a different way. Do you think doctors' attitudes differ from the nurses' attitudes toward pharmacists’ roles in patient care? </w:t>
      </w:r>
    </w:p>
    <w:p w14:paraId="03893E01" w14:textId="77777777" w:rsidR="00240138" w:rsidRDefault="00240138">
      <w:pPr>
        <w:rPr>
          <w:rFonts w:ascii="Gill Sans MT" w:eastAsiaTheme="minorEastAsia" w:hAnsi="Gill Sans MT"/>
          <w:sz w:val="24"/>
          <w:szCs w:val="24"/>
          <w:lang w:val="en-GB" w:eastAsia="en-GB"/>
        </w:rPr>
      </w:pPr>
      <w:r>
        <w:rPr>
          <w:rFonts w:ascii="Gill Sans MT" w:eastAsiaTheme="minorEastAsia" w:hAnsi="Gill Sans MT"/>
          <w:sz w:val="24"/>
          <w:szCs w:val="24"/>
          <w:lang w:val="en-GB" w:eastAsia="en-GB"/>
        </w:rPr>
        <w:br w:type="page"/>
      </w:r>
    </w:p>
    <w:p w14:paraId="790B30AE" w14:textId="22379A4E" w:rsidR="00220E87" w:rsidRPr="00220E87" w:rsidRDefault="00220E87" w:rsidP="00220E87">
      <w:pPr>
        <w:bidi/>
        <w:spacing w:line="360" w:lineRule="auto"/>
        <w:ind w:left="720" w:hanging="360"/>
        <w:jc w:val="center"/>
        <w:rPr>
          <w:rFonts w:cstheme="minorHAnsi"/>
          <w:b/>
          <w:bCs/>
          <w:sz w:val="24"/>
          <w:szCs w:val="24"/>
        </w:rPr>
      </w:pPr>
      <w:r w:rsidRPr="00220E87">
        <w:rPr>
          <w:rFonts w:cstheme="minorHAnsi"/>
          <w:b/>
          <w:bCs/>
          <w:sz w:val="24"/>
          <w:szCs w:val="24"/>
        </w:rPr>
        <w:t xml:space="preserve">Interview Guide for Pharmacists </w:t>
      </w:r>
    </w:p>
    <w:p w14:paraId="3D576B49" w14:textId="77777777" w:rsidR="00220E87" w:rsidRPr="001A662F" w:rsidRDefault="00220E87" w:rsidP="00220E87">
      <w:pPr>
        <w:pStyle w:val="ListParagraph"/>
        <w:numPr>
          <w:ilvl w:val="0"/>
          <w:numId w:val="34"/>
        </w:numPr>
        <w:spacing w:line="360" w:lineRule="auto"/>
        <w:rPr>
          <w:rFonts w:eastAsiaTheme="minorEastAsia" w:cstheme="minorHAnsi"/>
          <w:sz w:val="24"/>
          <w:szCs w:val="24"/>
          <w:lang w:val="en-GB" w:eastAsia="en-GB"/>
        </w:rPr>
      </w:pPr>
      <w:r w:rsidRPr="001A662F">
        <w:rPr>
          <w:rFonts w:eastAsiaTheme="minorEastAsia" w:cstheme="minorHAnsi"/>
          <w:sz w:val="24"/>
          <w:szCs w:val="24"/>
          <w:lang w:val="en-GB" w:eastAsia="en-GB"/>
        </w:rPr>
        <w:t>Let’s start with your experience as a pharmacist working in primary care, can you tell me about it, whether it was a previous experience or currently working as a pharmacist in PHCs</w:t>
      </w:r>
      <w:r>
        <w:rPr>
          <w:rFonts w:eastAsiaTheme="minorEastAsia" w:cstheme="minorHAnsi"/>
          <w:sz w:val="24"/>
          <w:szCs w:val="24"/>
          <w:lang w:val="en-GB" w:eastAsia="en-GB"/>
        </w:rPr>
        <w:t>?</w:t>
      </w:r>
    </w:p>
    <w:p w14:paraId="5DBBB4E5" w14:textId="77777777" w:rsidR="00220E87" w:rsidRPr="001A662F" w:rsidRDefault="00220E87" w:rsidP="00220E87">
      <w:pPr>
        <w:pStyle w:val="ListParagraph"/>
        <w:numPr>
          <w:ilvl w:val="0"/>
          <w:numId w:val="34"/>
        </w:numPr>
        <w:spacing w:line="360" w:lineRule="auto"/>
        <w:rPr>
          <w:rFonts w:eastAsiaTheme="minorEastAsia" w:cstheme="minorHAnsi"/>
          <w:sz w:val="24"/>
          <w:szCs w:val="24"/>
          <w:lang w:val="en-GB" w:eastAsia="en-GB"/>
        </w:rPr>
      </w:pPr>
      <w:r w:rsidRPr="001A662F">
        <w:rPr>
          <w:rFonts w:eastAsiaTheme="minorEastAsia" w:cstheme="minorHAnsi"/>
          <w:sz w:val="24"/>
          <w:szCs w:val="24"/>
          <w:lang w:val="en-GB" w:eastAsia="en-GB"/>
        </w:rPr>
        <w:t>What was your role or roles as a pharmacist in patient care and particularly in diabetes management in primary care?</w:t>
      </w:r>
    </w:p>
    <w:p w14:paraId="0517AC2E" w14:textId="77777777" w:rsidR="00220E87" w:rsidRPr="001A662F" w:rsidRDefault="00220E87" w:rsidP="00220E87">
      <w:pPr>
        <w:pStyle w:val="ListParagraph"/>
        <w:numPr>
          <w:ilvl w:val="0"/>
          <w:numId w:val="34"/>
        </w:numPr>
        <w:shd w:val="clear" w:color="auto" w:fill="FFFFFF"/>
        <w:spacing w:after="0" w:line="360" w:lineRule="auto"/>
        <w:jc w:val="both"/>
        <w:rPr>
          <w:rFonts w:eastAsiaTheme="minorEastAsia" w:cstheme="minorHAnsi"/>
          <w:sz w:val="24"/>
          <w:szCs w:val="24"/>
          <w:rtl/>
          <w:lang w:val="en-GB" w:eastAsia="en-GB"/>
        </w:rPr>
      </w:pPr>
      <w:r w:rsidRPr="001A662F">
        <w:rPr>
          <w:rFonts w:eastAsiaTheme="minorEastAsia" w:cstheme="minorHAnsi"/>
          <w:sz w:val="24"/>
          <w:szCs w:val="24"/>
          <w:lang w:val="en-GB" w:eastAsia="en-GB"/>
        </w:rPr>
        <w:t>What role or roles do you think pharmacists have in relation to diabetes care in PHC</w:t>
      </w:r>
    </w:p>
    <w:p w14:paraId="78352544" w14:textId="77777777" w:rsidR="00220E87" w:rsidRPr="001A662F" w:rsidRDefault="00220E87" w:rsidP="00220E87">
      <w:pPr>
        <w:pStyle w:val="ListParagraph"/>
        <w:numPr>
          <w:ilvl w:val="0"/>
          <w:numId w:val="34"/>
        </w:numPr>
        <w:spacing w:line="360" w:lineRule="auto"/>
        <w:jc w:val="both"/>
        <w:rPr>
          <w:rFonts w:eastAsiaTheme="minorEastAsia" w:cstheme="minorHAnsi"/>
          <w:sz w:val="24"/>
          <w:szCs w:val="24"/>
          <w:lang w:val="en-GB" w:eastAsia="en-GB"/>
        </w:rPr>
      </w:pPr>
      <w:r w:rsidRPr="001A662F">
        <w:rPr>
          <w:rFonts w:eastAsiaTheme="minorEastAsia" w:cstheme="minorHAnsi"/>
          <w:sz w:val="24"/>
          <w:szCs w:val="24"/>
          <w:lang w:val="en-GB" w:eastAsia="en-GB"/>
        </w:rPr>
        <w:t xml:space="preserve">Have you ever discussed with doctors/nurses the medication management plan for patients with diabetes? </w:t>
      </w:r>
    </w:p>
    <w:p w14:paraId="29E3A9A0" w14:textId="77777777" w:rsidR="00220E87" w:rsidRPr="001A662F" w:rsidRDefault="00220E87" w:rsidP="00220E87">
      <w:pPr>
        <w:pStyle w:val="ListParagraph"/>
        <w:numPr>
          <w:ilvl w:val="0"/>
          <w:numId w:val="34"/>
        </w:numPr>
        <w:spacing w:line="360" w:lineRule="auto"/>
        <w:jc w:val="both"/>
        <w:rPr>
          <w:rFonts w:eastAsiaTheme="minorEastAsia" w:cstheme="minorHAnsi"/>
          <w:sz w:val="24"/>
          <w:szCs w:val="24"/>
          <w:rtl/>
          <w:lang w:val="en-GB" w:eastAsia="en-GB"/>
        </w:rPr>
      </w:pPr>
      <w:r w:rsidRPr="001A662F">
        <w:rPr>
          <w:rFonts w:eastAsiaTheme="minorEastAsia" w:cstheme="minorHAnsi"/>
          <w:sz w:val="24"/>
          <w:szCs w:val="24"/>
          <w:lang w:val="en-GB" w:eastAsia="en-GB"/>
        </w:rPr>
        <w:t xml:space="preserve">How do you feel when you discuss with doctors/nurses the medication management plan for diabetic patients? And why? </w:t>
      </w:r>
    </w:p>
    <w:p w14:paraId="1DEF25C9" w14:textId="77777777" w:rsidR="00220E87" w:rsidRPr="001A662F" w:rsidRDefault="00220E87" w:rsidP="00220E87">
      <w:pPr>
        <w:pStyle w:val="ListParagraph"/>
        <w:numPr>
          <w:ilvl w:val="0"/>
          <w:numId w:val="34"/>
        </w:numPr>
        <w:spacing w:line="360" w:lineRule="auto"/>
        <w:rPr>
          <w:rFonts w:eastAsiaTheme="minorEastAsia" w:cstheme="minorHAnsi"/>
          <w:sz w:val="24"/>
          <w:szCs w:val="24"/>
          <w:rtl/>
          <w:lang w:val="en-GB" w:eastAsia="en-GB"/>
        </w:rPr>
      </w:pPr>
      <w:r w:rsidRPr="001A662F">
        <w:rPr>
          <w:rFonts w:eastAsiaTheme="minorEastAsia" w:cstheme="minorHAnsi"/>
          <w:sz w:val="24"/>
          <w:szCs w:val="24"/>
          <w:lang w:val="en-GB" w:eastAsia="en-GB"/>
        </w:rPr>
        <w:t xml:space="preserve">Have you ever made a pharmaceutical care plan or been involved in making it for diabetic patients? </w:t>
      </w:r>
    </w:p>
    <w:p w14:paraId="7A894E82" w14:textId="77777777" w:rsidR="00220E87" w:rsidRPr="001A662F" w:rsidRDefault="00220E87" w:rsidP="00220E87">
      <w:pPr>
        <w:pStyle w:val="ListParagraph"/>
        <w:numPr>
          <w:ilvl w:val="0"/>
          <w:numId w:val="34"/>
        </w:numPr>
        <w:spacing w:line="360" w:lineRule="auto"/>
        <w:jc w:val="both"/>
        <w:rPr>
          <w:rFonts w:eastAsiaTheme="minorEastAsia" w:cstheme="minorHAnsi"/>
          <w:sz w:val="24"/>
          <w:szCs w:val="24"/>
          <w:rtl/>
          <w:lang w:val="en-GB" w:eastAsia="en-GB"/>
        </w:rPr>
      </w:pPr>
      <w:r w:rsidRPr="001A662F">
        <w:rPr>
          <w:rFonts w:eastAsiaTheme="minorEastAsia" w:cstheme="minorHAnsi"/>
          <w:sz w:val="24"/>
          <w:szCs w:val="24"/>
          <w:lang w:val="en-GB" w:eastAsia="en-GB"/>
        </w:rPr>
        <w:t xml:space="preserve">Have you ever discussed with doctors/nurses any problems related to medication faced diabetes patients? </w:t>
      </w:r>
    </w:p>
    <w:p w14:paraId="0095BDCD" w14:textId="77777777" w:rsidR="00220E87" w:rsidRPr="001A662F" w:rsidRDefault="00220E87" w:rsidP="00220E87">
      <w:pPr>
        <w:pStyle w:val="ListParagraph"/>
        <w:numPr>
          <w:ilvl w:val="0"/>
          <w:numId w:val="34"/>
        </w:numPr>
        <w:spacing w:line="360" w:lineRule="auto"/>
        <w:jc w:val="both"/>
        <w:rPr>
          <w:rFonts w:eastAsiaTheme="minorEastAsia" w:cstheme="minorHAnsi"/>
          <w:sz w:val="24"/>
          <w:szCs w:val="24"/>
          <w:lang w:val="en-GB" w:eastAsia="en-GB"/>
        </w:rPr>
      </w:pPr>
      <w:r w:rsidRPr="001A662F">
        <w:rPr>
          <w:rFonts w:eastAsiaTheme="minorEastAsia" w:cstheme="minorHAnsi"/>
          <w:sz w:val="24"/>
          <w:szCs w:val="24"/>
          <w:lang w:val="en-GB" w:eastAsia="en-GB"/>
        </w:rPr>
        <w:t xml:space="preserve">How do you feel when you discuss with doctors/nurses these issues? And why? </w:t>
      </w:r>
    </w:p>
    <w:p w14:paraId="0B9F1C98" w14:textId="77777777" w:rsidR="00220E87" w:rsidRPr="001A662F" w:rsidRDefault="00220E87" w:rsidP="00220E87">
      <w:pPr>
        <w:pStyle w:val="ListParagraph"/>
        <w:numPr>
          <w:ilvl w:val="0"/>
          <w:numId w:val="34"/>
        </w:numPr>
        <w:spacing w:line="360" w:lineRule="auto"/>
        <w:jc w:val="both"/>
        <w:rPr>
          <w:rFonts w:eastAsiaTheme="minorEastAsia" w:cstheme="minorHAnsi"/>
          <w:sz w:val="24"/>
          <w:szCs w:val="24"/>
          <w:rtl/>
          <w:lang w:val="en-GB" w:eastAsia="en-GB"/>
        </w:rPr>
      </w:pPr>
      <w:r w:rsidRPr="001A662F">
        <w:rPr>
          <w:rFonts w:eastAsiaTheme="minorEastAsia" w:cstheme="minorHAnsi"/>
          <w:sz w:val="24"/>
          <w:szCs w:val="24"/>
          <w:lang w:val="en-GB" w:eastAsia="en-GB"/>
        </w:rPr>
        <w:t>What do you perceive to be the barriers to pharmacist involvement in diabetes care in KSA?</w:t>
      </w:r>
    </w:p>
    <w:p w14:paraId="7218B2C2" w14:textId="77777777" w:rsidR="00220E87" w:rsidRPr="001A662F" w:rsidRDefault="00220E87" w:rsidP="00220E87">
      <w:pPr>
        <w:pStyle w:val="ListParagraph"/>
        <w:numPr>
          <w:ilvl w:val="0"/>
          <w:numId w:val="34"/>
        </w:numPr>
        <w:shd w:val="clear" w:color="auto" w:fill="FFFFFF"/>
        <w:spacing w:after="0" w:line="360" w:lineRule="auto"/>
        <w:jc w:val="both"/>
        <w:rPr>
          <w:rFonts w:eastAsiaTheme="minorEastAsia" w:cstheme="minorHAnsi"/>
          <w:sz w:val="24"/>
          <w:szCs w:val="24"/>
          <w:rtl/>
          <w:lang w:val="en-GB" w:eastAsia="en-GB"/>
        </w:rPr>
      </w:pPr>
      <w:r w:rsidRPr="001A662F">
        <w:rPr>
          <w:rFonts w:eastAsiaTheme="minorEastAsia" w:cstheme="minorHAnsi"/>
          <w:sz w:val="24"/>
          <w:szCs w:val="24"/>
          <w:lang w:val="en-GB" w:eastAsia="en-GB"/>
        </w:rPr>
        <w:t>What do you perceive to be the facilitators to pharmacist involvement in diabetes care in KSA?</w:t>
      </w:r>
    </w:p>
    <w:p w14:paraId="388EA304" w14:textId="77777777" w:rsidR="00220E87" w:rsidRPr="001A662F" w:rsidRDefault="00220E87" w:rsidP="00220E87">
      <w:pPr>
        <w:pStyle w:val="ListParagraph"/>
        <w:numPr>
          <w:ilvl w:val="0"/>
          <w:numId w:val="34"/>
        </w:numPr>
        <w:shd w:val="clear" w:color="auto" w:fill="FFFFFF"/>
        <w:spacing w:after="0" w:line="360" w:lineRule="auto"/>
        <w:jc w:val="both"/>
        <w:rPr>
          <w:rFonts w:eastAsiaTheme="minorEastAsia" w:cstheme="minorHAnsi"/>
          <w:sz w:val="24"/>
          <w:szCs w:val="24"/>
          <w:rtl/>
          <w:lang w:val="en-GB" w:eastAsia="en-GB"/>
        </w:rPr>
      </w:pPr>
      <w:r w:rsidRPr="001A662F">
        <w:rPr>
          <w:rFonts w:eastAsiaTheme="minorEastAsia" w:cstheme="minorHAnsi"/>
          <w:sz w:val="24"/>
          <w:szCs w:val="24"/>
          <w:lang w:val="en-GB" w:eastAsia="en-GB"/>
        </w:rPr>
        <w:t>Are there any other issues or aspects to pharmacist involvement in diabetes care in KSA that you would like to discuss? If so, please state.</w:t>
      </w:r>
    </w:p>
    <w:p w14:paraId="5310AD4A" w14:textId="77777777" w:rsidR="00220E87" w:rsidRPr="001A662F" w:rsidRDefault="00220E87" w:rsidP="00220E87">
      <w:pPr>
        <w:pStyle w:val="ListParagraph"/>
        <w:numPr>
          <w:ilvl w:val="0"/>
          <w:numId w:val="34"/>
        </w:numPr>
        <w:spacing w:line="360" w:lineRule="auto"/>
        <w:rPr>
          <w:rFonts w:eastAsiaTheme="minorEastAsia" w:cstheme="minorHAnsi"/>
          <w:sz w:val="24"/>
          <w:szCs w:val="24"/>
          <w:lang w:val="en-GB" w:eastAsia="en-GB"/>
        </w:rPr>
      </w:pPr>
      <w:r w:rsidRPr="001A662F">
        <w:rPr>
          <w:rFonts w:eastAsiaTheme="minorEastAsia" w:cstheme="minorHAnsi"/>
          <w:sz w:val="24"/>
          <w:szCs w:val="24"/>
          <w:lang w:val="en-GB" w:eastAsia="en-GB"/>
        </w:rPr>
        <w:t xml:space="preserve">Do you think that different professions (doctors, nurses, etc.) look/view the role of pharmacists differently? Or let's say it in a different way. Do you think doctors' attitudes differ from the nurses' attitudes toward pharmacists’ roles in patient care? </w:t>
      </w:r>
    </w:p>
    <w:p w14:paraId="29C336AC" w14:textId="77777777" w:rsidR="00DE3D5F" w:rsidRDefault="00DE3D5F" w:rsidP="00220E87">
      <w:pPr>
        <w:spacing w:line="360" w:lineRule="auto"/>
        <w:rPr>
          <w:rFonts w:cstheme="minorHAnsi"/>
          <w:sz w:val="24"/>
          <w:szCs w:val="24"/>
          <w:lang w:val="en-GB"/>
        </w:rPr>
        <w:sectPr w:rsidR="00DE3D5F">
          <w:pgSz w:w="12240" w:h="15840"/>
          <w:pgMar w:top="1440" w:right="1440" w:bottom="1440" w:left="1440" w:header="720" w:footer="720" w:gutter="0"/>
          <w:cols w:space="720"/>
          <w:docGrid w:linePitch="360"/>
        </w:sectPr>
      </w:pPr>
    </w:p>
    <w:p w14:paraId="4FC15337" w14:textId="77777777" w:rsidR="00DE3D5F" w:rsidRPr="005D57E4" w:rsidRDefault="00DE3D5F" w:rsidP="00DE3D5F">
      <w:pPr>
        <w:pStyle w:val="Heading1"/>
        <w:rPr>
          <w:sz w:val="24"/>
          <w:szCs w:val="24"/>
          <w:lang w:val="en-GB" w:eastAsia="en-GB"/>
        </w:rPr>
      </w:pPr>
      <w:bookmarkStart w:id="385" w:name="_Toc122626478"/>
      <w:bookmarkStart w:id="386" w:name="_Ref124722845"/>
      <w:bookmarkStart w:id="387" w:name="_Toc124889211"/>
      <w:bookmarkStart w:id="388" w:name="_Toc124890448"/>
      <w:bookmarkStart w:id="389" w:name="_Toc126069992"/>
      <w:bookmarkStart w:id="390" w:name="_Toc127835997"/>
      <w:bookmarkStart w:id="391" w:name="_Toc128061927"/>
      <w:bookmarkStart w:id="392" w:name="_Toc148518772"/>
      <w:bookmarkStart w:id="393" w:name="_Toc150609781"/>
      <w:bookmarkStart w:id="394" w:name="_Toc153894238"/>
      <w:r w:rsidRPr="005D57E4">
        <w:rPr>
          <w:sz w:val="24"/>
          <w:szCs w:val="24"/>
          <w:lang w:val="en-GB" w:eastAsia="en-GB"/>
        </w:rPr>
        <w:t>Appendix</w:t>
      </w:r>
      <w:r>
        <w:rPr>
          <w:sz w:val="24"/>
          <w:szCs w:val="24"/>
          <w:lang w:val="en-GB" w:eastAsia="en-GB"/>
        </w:rPr>
        <w:t xml:space="preserve"> K</w:t>
      </w:r>
      <w:r w:rsidRPr="005D57E4">
        <w:rPr>
          <w:sz w:val="24"/>
          <w:szCs w:val="24"/>
          <w:lang w:val="en-GB" w:eastAsia="en-GB"/>
        </w:rPr>
        <w:t>: Feedback on the pilot survey</w:t>
      </w:r>
      <w:bookmarkEnd w:id="385"/>
      <w:bookmarkEnd w:id="386"/>
      <w:bookmarkEnd w:id="387"/>
      <w:bookmarkEnd w:id="388"/>
      <w:bookmarkEnd w:id="389"/>
      <w:bookmarkEnd w:id="390"/>
      <w:bookmarkEnd w:id="391"/>
      <w:bookmarkEnd w:id="392"/>
      <w:bookmarkEnd w:id="393"/>
      <w:bookmarkEnd w:id="394"/>
    </w:p>
    <w:p w14:paraId="46A24796" w14:textId="77777777" w:rsidR="00DE3D5F" w:rsidRPr="001707A4" w:rsidRDefault="00DE3D5F" w:rsidP="00DE3D5F">
      <w:pPr>
        <w:shd w:val="clear" w:color="auto" w:fill="FFFFFF"/>
        <w:spacing w:after="150" w:line="360" w:lineRule="auto"/>
        <w:jc w:val="center"/>
        <w:rPr>
          <w:rFonts w:asciiTheme="minorBidi" w:eastAsia="Times New Roman" w:hAnsiTheme="minorBidi"/>
          <w:b/>
          <w:bCs/>
          <w:color w:val="333333"/>
          <w:sz w:val="24"/>
          <w:szCs w:val="24"/>
        </w:rPr>
      </w:pPr>
      <w:r w:rsidRPr="001707A4">
        <w:rPr>
          <w:rFonts w:asciiTheme="minorBidi" w:eastAsia="Times New Roman" w:hAnsiTheme="minorBidi"/>
          <w:b/>
          <w:bCs/>
          <w:color w:val="333333"/>
          <w:sz w:val="24"/>
          <w:szCs w:val="24"/>
        </w:rPr>
        <w:t>General notes on the pilot survey</w:t>
      </w:r>
    </w:p>
    <w:tbl>
      <w:tblPr>
        <w:tblW w:w="13982" w:type="dxa"/>
        <w:tblLook w:val="04A0" w:firstRow="1" w:lastRow="0" w:firstColumn="1" w:lastColumn="0" w:noHBand="0" w:noVBand="1"/>
      </w:tblPr>
      <w:tblGrid>
        <w:gridCol w:w="1753"/>
        <w:gridCol w:w="3887"/>
        <w:gridCol w:w="3887"/>
        <w:gridCol w:w="4455"/>
      </w:tblGrid>
      <w:tr w:rsidR="00DE3D5F" w:rsidRPr="00231D6C" w14:paraId="032DC959" w14:textId="77777777" w:rsidTr="00282204">
        <w:trPr>
          <w:trHeight w:val="287"/>
          <w:tblHeader/>
        </w:trPr>
        <w:tc>
          <w:tcPr>
            <w:tcW w:w="1753" w:type="dxa"/>
            <w:tcBorders>
              <w:top w:val="single" w:sz="4" w:space="0" w:color="auto"/>
              <w:left w:val="single" w:sz="4" w:space="0" w:color="auto"/>
              <w:bottom w:val="single" w:sz="4" w:space="0" w:color="auto"/>
              <w:right w:val="single" w:sz="4" w:space="0" w:color="auto"/>
            </w:tcBorders>
            <w:shd w:val="clear" w:color="auto" w:fill="auto"/>
            <w:hideMark/>
          </w:tcPr>
          <w:p w14:paraId="5AA120D4"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Topic</w:t>
            </w:r>
          </w:p>
        </w:tc>
        <w:tc>
          <w:tcPr>
            <w:tcW w:w="3887" w:type="dxa"/>
            <w:tcBorders>
              <w:top w:val="single" w:sz="4" w:space="0" w:color="auto"/>
              <w:left w:val="nil"/>
              <w:bottom w:val="single" w:sz="4" w:space="0" w:color="auto"/>
              <w:right w:val="single" w:sz="4" w:space="0" w:color="auto"/>
            </w:tcBorders>
            <w:shd w:val="clear" w:color="auto" w:fill="auto"/>
            <w:hideMark/>
          </w:tcPr>
          <w:p w14:paraId="72754EF6"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Note</w:t>
            </w:r>
          </w:p>
        </w:tc>
        <w:tc>
          <w:tcPr>
            <w:tcW w:w="3887" w:type="dxa"/>
            <w:tcBorders>
              <w:top w:val="single" w:sz="4" w:space="0" w:color="auto"/>
              <w:left w:val="nil"/>
              <w:bottom w:val="single" w:sz="4" w:space="0" w:color="auto"/>
              <w:right w:val="single" w:sz="4" w:space="0" w:color="auto"/>
            </w:tcBorders>
            <w:shd w:val="clear" w:color="auto" w:fill="auto"/>
            <w:hideMark/>
          </w:tcPr>
          <w:p w14:paraId="19632D6E"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Action was taken</w:t>
            </w:r>
          </w:p>
        </w:tc>
        <w:tc>
          <w:tcPr>
            <w:tcW w:w="4455" w:type="dxa"/>
            <w:tcBorders>
              <w:top w:val="single" w:sz="4" w:space="0" w:color="auto"/>
              <w:left w:val="nil"/>
              <w:bottom w:val="single" w:sz="4" w:space="0" w:color="auto"/>
              <w:right w:val="single" w:sz="4" w:space="0" w:color="auto"/>
            </w:tcBorders>
            <w:shd w:val="clear" w:color="auto" w:fill="auto"/>
            <w:hideMark/>
          </w:tcPr>
          <w:p w14:paraId="0CD28465"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Action is considering to be taken</w:t>
            </w:r>
          </w:p>
        </w:tc>
      </w:tr>
      <w:tr w:rsidR="00DE3D5F" w:rsidRPr="00231D6C" w14:paraId="5A864BE6" w14:textId="77777777" w:rsidTr="00282204">
        <w:trPr>
          <w:trHeight w:val="1942"/>
        </w:trPr>
        <w:tc>
          <w:tcPr>
            <w:tcW w:w="1753" w:type="dxa"/>
            <w:tcBorders>
              <w:top w:val="single" w:sz="4" w:space="0" w:color="auto"/>
              <w:left w:val="single" w:sz="4" w:space="0" w:color="auto"/>
              <w:bottom w:val="single" w:sz="4" w:space="0" w:color="auto"/>
              <w:right w:val="single" w:sz="4" w:space="0" w:color="auto"/>
            </w:tcBorders>
            <w:shd w:val="clear" w:color="auto" w:fill="auto"/>
            <w:hideMark/>
          </w:tcPr>
          <w:p w14:paraId="0E9206B8"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Response Rate</w:t>
            </w:r>
          </w:p>
        </w:tc>
        <w:tc>
          <w:tcPr>
            <w:tcW w:w="3887" w:type="dxa"/>
            <w:tcBorders>
              <w:top w:val="single" w:sz="4" w:space="0" w:color="auto"/>
              <w:left w:val="nil"/>
              <w:bottom w:val="single" w:sz="4" w:space="0" w:color="auto"/>
              <w:right w:val="single" w:sz="4" w:space="0" w:color="auto"/>
            </w:tcBorders>
            <w:shd w:val="clear" w:color="auto" w:fill="auto"/>
            <w:hideMark/>
          </w:tcPr>
          <w:p w14:paraId="13187AD8" w14:textId="77777777" w:rsidR="00DE3D5F" w:rsidRPr="00231D6C"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The response rate was not encouraging; although I sent the survey as a personal email, the response rate was below my expectation. I sent the pilot survey to 21 people from the same targeted population (10 doctors, 6 pharmacists, and 5 nurses). I also sent this survey to 3 peers (who are pharmacists studying PhD in the at different universities; Birmingham, Reading and Hertfordshire).</w:t>
            </w:r>
          </w:p>
          <w:p w14:paraId="2D2D6B37" w14:textId="77777777" w:rsidR="00DE3D5F" w:rsidRPr="00231D6C" w:rsidRDefault="00DE3D5F" w:rsidP="00282204">
            <w:pPr>
              <w:rPr>
                <w:rFonts w:eastAsia="Times New Roman" w:cstheme="minorHAnsi"/>
                <w:color w:val="333333"/>
                <w:sz w:val="20"/>
                <w:szCs w:val="20"/>
              </w:rPr>
            </w:pPr>
          </w:p>
          <w:p w14:paraId="4276E00B" w14:textId="77777777" w:rsidR="00DE3D5F" w:rsidRPr="00231D6C" w:rsidRDefault="00DE3D5F" w:rsidP="00282204">
            <w:pPr>
              <w:rPr>
                <w:rFonts w:eastAsia="Times New Roman" w:cstheme="minorHAnsi"/>
                <w:color w:val="333333"/>
                <w:sz w:val="20"/>
                <w:szCs w:val="20"/>
              </w:rPr>
            </w:pPr>
            <w:r w:rsidRPr="00A51923">
              <w:rPr>
                <w:rFonts w:eastAsia="Times New Roman" w:cstheme="minorHAnsi"/>
                <w:color w:val="333333"/>
                <w:sz w:val="20"/>
                <w:szCs w:val="20"/>
              </w:rPr>
              <w:t>The total number of surveys sent to the participants is 24. I have received 16 responses out of 24 (5 doctors, 6 pharmacists, and 5 nurses) so far. However, one response from a pharmacist was incomplete. The number of the completed survey is 15.</w:t>
            </w:r>
          </w:p>
          <w:p w14:paraId="657DCF46" w14:textId="77777777" w:rsidR="00DE3D5F" w:rsidRPr="00A51923" w:rsidRDefault="00DE3D5F" w:rsidP="00282204">
            <w:pPr>
              <w:rPr>
                <w:rFonts w:eastAsia="Times New Roman" w:cstheme="minorHAnsi"/>
                <w:sz w:val="20"/>
                <w:szCs w:val="20"/>
              </w:rPr>
            </w:pPr>
          </w:p>
        </w:tc>
        <w:tc>
          <w:tcPr>
            <w:tcW w:w="3887" w:type="dxa"/>
            <w:tcBorders>
              <w:top w:val="single" w:sz="4" w:space="0" w:color="auto"/>
              <w:left w:val="nil"/>
              <w:bottom w:val="single" w:sz="4" w:space="0" w:color="auto"/>
              <w:right w:val="single" w:sz="4" w:space="0" w:color="auto"/>
            </w:tcBorders>
            <w:shd w:val="clear" w:color="auto" w:fill="auto"/>
            <w:hideMark/>
          </w:tcPr>
          <w:p w14:paraId="2685A2FF"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To enhance the response rate; I sent WhatsApp messages to some participants (3 doctors, 4 pharmacists, 4 nurses from different sectors) to check whether they received my email and increase the response rate.</w:t>
            </w:r>
          </w:p>
        </w:tc>
        <w:tc>
          <w:tcPr>
            <w:tcW w:w="4455" w:type="dxa"/>
            <w:tcBorders>
              <w:top w:val="single" w:sz="4" w:space="0" w:color="auto"/>
              <w:left w:val="nil"/>
              <w:bottom w:val="single" w:sz="4" w:space="0" w:color="auto"/>
              <w:right w:val="single" w:sz="4" w:space="0" w:color="auto"/>
            </w:tcBorders>
            <w:shd w:val="clear" w:color="auto" w:fill="auto"/>
            <w:hideMark/>
          </w:tcPr>
          <w:p w14:paraId="6FCAE00F" w14:textId="77777777" w:rsidR="00DE3D5F" w:rsidRPr="00231D6C"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Design an effective plan to improve response rate, such as automatic email reminders sent out to the participants every week for 4 weeks. Using social media platforms to distribute the questionnaire to the target population?!</w:t>
            </w:r>
          </w:p>
          <w:p w14:paraId="55028DF8" w14:textId="77777777" w:rsidR="00DE3D5F" w:rsidRPr="00231D6C" w:rsidRDefault="00DE3D5F" w:rsidP="00282204">
            <w:pPr>
              <w:rPr>
                <w:rFonts w:eastAsia="Times New Roman" w:cstheme="minorHAnsi"/>
                <w:sz w:val="20"/>
                <w:szCs w:val="20"/>
              </w:rPr>
            </w:pPr>
          </w:p>
          <w:p w14:paraId="5E0D39EF" w14:textId="77777777" w:rsidR="00DE3D5F" w:rsidRPr="00231D6C" w:rsidRDefault="00DE3D5F" w:rsidP="00282204">
            <w:pPr>
              <w:rPr>
                <w:rFonts w:eastAsia="Times New Roman" w:cstheme="minorHAnsi"/>
                <w:color w:val="333333"/>
                <w:sz w:val="20"/>
                <w:szCs w:val="20"/>
              </w:rPr>
            </w:pPr>
          </w:p>
          <w:p w14:paraId="3C7473AB" w14:textId="77777777" w:rsidR="00DE3D5F" w:rsidRPr="00A51923" w:rsidRDefault="00DE3D5F" w:rsidP="00282204">
            <w:pPr>
              <w:rPr>
                <w:rFonts w:eastAsia="Times New Roman" w:cstheme="minorHAnsi"/>
                <w:sz w:val="20"/>
                <w:szCs w:val="20"/>
              </w:rPr>
            </w:pPr>
          </w:p>
        </w:tc>
      </w:tr>
      <w:tr w:rsidR="00DE3D5F" w:rsidRPr="00231D6C" w14:paraId="19275321" w14:textId="77777777" w:rsidTr="00282204">
        <w:trPr>
          <w:trHeight w:val="1685"/>
        </w:trPr>
        <w:tc>
          <w:tcPr>
            <w:tcW w:w="1753" w:type="dxa"/>
            <w:tcBorders>
              <w:top w:val="nil"/>
              <w:left w:val="single" w:sz="4" w:space="0" w:color="auto"/>
              <w:bottom w:val="single" w:sz="4" w:space="0" w:color="auto"/>
              <w:right w:val="single" w:sz="4" w:space="0" w:color="auto"/>
            </w:tcBorders>
            <w:shd w:val="clear" w:color="auto" w:fill="auto"/>
            <w:hideMark/>
          </w:tcPr>
          <w:p w14:paraId="6D1A9C28"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Feedback </w:t>
            </w:r>
          </w:p>
        </w:tc>
        <w:tc>
          <w:tcPr>
            <w:tcW w:w="3887" w:type="dxa"/>
            <w:tcBorders>
              <w:top w:val="nil"/>
              <w:left w:val="nil"/>
              <w:bottom w:val="single" w:sz="4" w:space="0" w:color="auto"/>
              <w:right w:val="single" w:sz="4" w:space="0" w:color="auto"/>
            </w:tcBorders>
            <w:shd w:val="clear" w:color="auto" w:fill="auto"/>
            <w:hideMark/>
          </w:tcPr>
          <w:p w14:paraId="30E5900F"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I have received only 3 emails with feedback (copies of emails attached). The other feedback I found was an answer to the last question of the survey. A consultant physician answered it. The feedback was “the questionnaire is very informative and organized but quite lengthy.” No comments received from some participants could be considered a positive thing?! Because, some of the participants told me that the survey was clear; therefore, they did not send any comments.</w:t>
            </w:r>
          </w:p>
        </w:tc>
        <w:tc>
          <w:tcPr>
            <w:tcW w:w="3887" w:type="dxa"/>
            <w:tcBorders>
              <w:top w:val="nil"/>
              <w:left w:val="nil"/>
              <w:bottom w:val="single" w:sz="4" w:space="0" w:color="auto"/>
              <w:right w:val="single" w:sz="4" w:space="0" w:color="auto"/>
            </w:tcBorders>
            <w:shd w:val="clear" w:color="auto" w:fill="auto"/>
            <w:hideMark/>
          </w:tcPr>
          <w:p w14:paraId="71D46E15"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The low level of feedback from respondents prompted me to reach out to some of them to find out their general opinions about the survey and the time it took to complete it —responses regarding the spending time to complete the survey was varied. Nurses and doctors said it took about 5 to 15 mint. Pharmacists said that was about 15 to 20 mint.</w:t>
            </w:r>
          </w:p>
        </w:tc>
        <w:tc>
          <w:tcPr>
            <w:tcW w:w="4455" w:type="dxa"/>
            <w:tcBorders>
              <w:top w:val="nil"/>
              <w:left w:val="nil"/>
              <w:bottom w:val="single" w:sz="4" w:space="0" w:color="auto"/>
              <w:right w:val="single" w:sz="4" w:space="0" w:color="auto"/>
            </w:tcBorders>
            <w:shd w:val="clear" w:color="auto" w:fill="auto"/>
            <w:hideMark/>
          </w:tcPr>
          <w:p w14:paraId="7D900546"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w:t>
            </w:r>
          </w:p>
        </w:tc>
      </w:tr>
      <w:tr w:rsidR="00DE3D5F" w:rsidRPr="00231D6C" w14:paraId="17333EBD" w14:textId="77777777" w:rsidTr="00282204">
        <w:trPr>
          <w:trHeight w:val="3273"/>
        </w:trPr>
        <w:tc>
          <w:tcPr>
            <w:tcW w:w="1753" w:type="dxa"/>
            <w:tcBorders>
              <w:top w:val="nil"/>
              <w:left w:val="single" w:sz="4" w:space="0" w:color="auto"/>
              <w:bottom w:val="single" w:sz="4" w:space="0" w:color="auto"/>
              <w:right w:val="single" w:sz="4" w:space="0" w:color="auto"/>
            </w:tcBorders>
            <w:shd w:val="clear" w:color="auto" w:fill="auto"/>
            <w:hideMark/>
          </w:tcPr>
          <w:p w14:paraId="14ACE6D7"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Survey Distribution Tool</w:t>
            </w:r>
          </w:p>
        </w:tc>
        <w:tc>
          <w:tcPr>
            <w:tcW w:w="3887" w:type="dxa"/>
            <w:tcBorders>
              <w:top w:val="nil"/>
              <w:left w:val="nil"/>
              <w:bottom w:val="single" w:sz="4" w:space="0" w:color="auto"/>
              <w:right w:val="single" w:sz="4" w:space="0" w:color="auto"/>
            </w:tcBorders>
            <w:shd w:val="clear" w:color="auto" w:fill="auto"/>
            <w:hideMark/>
          </w:tcPr>
          <w:p w14:paraId="48209561"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I found that some employees don't check work email frequently, as they told me. Some asked me to send the survey via unofficial emails instead of work emails, and I did it for them.</w:t>
            </w:r>
          </w:p>
        </w:tc>
        <w:tc>
          <w:tcPr>
            <w:tcW w:w="3887" w:type="dxa"/>
            <w:tcBorders>
              <w:top w:val="nil"/>
              <w:left w:val="nil"/>
              <w:bottom w:val="single" w:sz="4" w:space="0" w:color="auto"/>
              <w:right w:val="single" w:sz="4" w:space="0" w:color="auto"/>
            </w:tcBorders>
            <w:shd w:val="clear" w:color="auto" w:fill="auto"/>
            <w:hideMark/>
          </w:tcPr>
          <w:p w14:paraId="250F8AD3"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The pilot survey was sent to personal emails such as Gmail or Yahoo.</w:t>
            </w:r>
          </w:p>
        </w:tc>
        <w:tc>
          <w:tcPr>
            <w:tcW w:w="4455" w:type="dxa"/>
            <w:tcBorders>
              <w:top w:val="nil"/>
              <w:left w:val="nil"/>
              <w:bottom w:val="single" w:sz="4" w:space="0" w:color="auto"/>
              <w:right w:val="single" w:sz="4" w:space="0" w:color="auto"/>
            </w:tcBorders>
            <w:shd w:val="clear" w:color="auto" w:fill="auto"/>
            <w:hideMark/>
          </w:tcPr>
          <w:p w14:paraId="604D794C"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Expand distribution tools, not limiting the distribution to only the Saudi MoH webmail, without affecting your existing ethical approval status. To clarify this point, the researcher will send the survey to the gatekeepers via the e-mail of MoH, and the gatekeepers could distribute it to the participants via several methods (emails and social media applications/platforms). In other words, giving the gatekeepers the flexibility to distribute this survey. For example, when I send the survey to the gatekeepers, I will email it via MoH email, and may ask them to distribute the survey link to the employees in their department in the way they see it as the most effective to communicate or reach people like social media "WhatsApp" work group ?!</w:t>
            </w:r>
          </w:p>
        </w:tc>
      </w:tr>
      <w:tr w:rsidR="00DE3D5F" w:rsidRPr="00231D6C" w14:paraId="4F7AFA20" w14:textId="77777777" w:rsidTr="00282204">
        <w:trPr>
          <w:trHeight w:val="2386"/>
        </w:trPr>
        <w:tc>
          <w:tcPr>
            <w:tcW w:w="1753" w:type="dxa"/>
            <w:tcBorders>
              <w:top w:val="nil"/>
              <w:left w:val="single" w:sz="4" w:space="0" w:color="auto"/>
              <w:bottom w:val="single" w:sz="4" w:space="0" w:color="auto"/>
              <w:right w:val="single" w:sz="4" w:space="0" w:color="auto"/>
            </w:tcBorders>
            <w:shd w:val="clear" w:color="auto" w:fill="auto"/>
            <w:hideMark/>
          </w:tcPr>
          <w:p w14:paraId="23FAA23E"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Invitation e-mail format </w:t>
            </w:r>
          </w:p>
        </w:tc>
        <w:tc>
          <w:tcPr>
            <w:tcW w:w="3887" w:type="dxa"/>
            <w:tcBorders>
              <w:top w:val="nil"/>
              <w:left w:val="nil"/>
              <w:bottom w:val="single" w:sz="4" w:space="0" w:color="auto"/>
              <w:right w:val="single" w:sz="4" w:space="0" w:color="auto"/>
            </w:tcBorders>
            <w:shd w:val="clear" w:color="auto" w:fill="auto"/>
            <w:hideMark/>
          </w:tcPr>
          <w:p w14:paraId="612EE63C"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I noticed the emails that I sent via Qualitric to the Saudi MoH webmail appears unorganised; for example, the message is read from right to left as in Arabic. Also, the university's logo is not visible. Moreover, the email is titled "spam"!</w:t>
            </w:r>
          </w:p>
        </w:tc>
        <w:tc>
          <w:tcPr>
            <w:tcW w:w="3887" w:type="dxa"/>
            <w:tcBorders>
              <w:top w:val="nil"/>
              <w:left w:val="nil"/>
              <w:bottom w:val="single" w:sz="4" w:space="0" w:color="auto"/>
              <w:right w:val="single" w:sz="4" w:space="0" w:color="auto"/>
            </w:tcBorders>
            <w:shd w:val="clear" w:color="auto" w:fill="auto"/>
            <w:hideMark/>
          </w:tcPr>
          <w:p w14:paraId="5F437119"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To solve these issues, I sent the pilot survey invitation via my work email to be able to control the email format. The server will also recognise my email, so no spam alert will appear to the recipients when I send the survey invitation. However, the disadvantage of this solution is that it takes some time because personal emails have to be sent individually, not like with Qualtric; with one click, you can send the survey to all contact list.</w:t>
            </w:r>
          </w:p>
        </w:tc>
        <w:tc>
          <w:tcPr>
            <w:tcW w:w="4455" w:type="dxa"/>
            <w:tcBorders>
              <w:top w:val="nil"/>
              <w:left w:val="nil"/>
              <w:bottom w:val="single" w:sz="4" w:space="0" w:color="auto"/>
              <w:right w:val="single" w:sz="4" w:space="0" w:color="auto"/>
            </w:tcBorders>
            <w:shd w:val="clear" w:color="auto" w:fill="auto"/>
            <w:hideMark/>
          </w:tcPr>
          <w:p w14:paraId="3956BC1A"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w:t>
            </w:r>
          </w:p>
        </w:tc>
      </w:tr>
      <w:tr w:rsidR="00DE3D5F" w:rsidRPr="00231D6C" w14:paraId="0800D1E1" w14:textId="77777777" w:rsidTr="00282204">
        <w:trPr>
          <w:trHeight w:val="1774"/>
        </w:trPr>
        <w:tc>
          <w:tcPr>
            <w:tcW w:w="1753" w:type="dxa"/>
            <w:tcBorders>
              <w:top w:val="nil"/>
              <w:left w:val="single" w:sz="4" w:space="0" w:color="auto"/>
              <w:bottom w:val="single" w:sz="4" w:space="0" w:color="auto"/>
              <w:right w:val="single" w:sz="4" w:space="0" w:color="auto"/>
            </w:tcBorders>
            <w:shd w:val="clear" w:color="auto" w:fill="auto"/>
            <w:hideMark/>
          </w:tcPr>
          <w:p w14:paraId="3BDA7ECF"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PIS</w:t>
            </w:r>
          </w:p>
        </w:tc>
        <w:tc>
          <w:tcPr>
            <w:tcW w:w="3887" w:type="dxa"/>
            <w:tcBorders>
              <w:top w:val="nil"/>
              <w:left w:val="nil"/>
              <w:bottom w:val="single" w:sz="4" w:space="0" w:color="auto"/>
              <w:right w:val="single" w:sz="4" w:space="0" w:color="auto"/>
            </w:tcBorders>
            <w:shd w:val="clear" w:color="auto" w:fill="auto"/>
            <w:hideMark/>
          </w:tcPr>
          <w:p w14:paraId="483F953A"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I noticed some inconsistencies in the respondent's answers. This led me to consider adding another criterion for the participants (understanding the English language).</w:t>
            </w:r>
          </w:p>
        </w:tc>
        <w:tc>
          <w:tcPr>
            <w:tcW w:w="3887" w:type="dxa"/>
            <w:tcBorders>
              <w:top w:val="nil"/>
              <w:left w:val="nil"/>
              <w:bottom w:val="single" w:sz="4" w:space="0" w:color="auto"/>
              <w:right w:val="single" w:sz="4" w:space="0" w:color="auto"/>
            </w:tcBorders>
            <w:shd w:val="clear" w:color="auto" w:fill="auto"/>
            <w:hideMark/>
          </w:tcPr>
          <w:p w14:paraId="4A4CBD98"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w:t>
            </w:r>
          </w:p>
        </w:tc>
        <w:tc>
          <w:tcPr>
            <w:tcW w:w="4455" w:type="dxa"/>
            <w:tcBorders>
              <w:top w:val="nil"/>
              <w:left w:val="nil"/>
              <w:bottom w:val="single" w:sz="4" w:space="0" w:color="auto"/>
              <w:right w:val="single" w:sz="4" w:space="0" w:color="auto"/>
            </w:tcBorders>
            <w:shd w:val="clear" w:color="auto" w:fill="auto"/>
            <w:hideMark/>
          </w:tcPr>
          <w:p w14:paraId="7D123CCB"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Adding a question at the beginning to ensure that the participant understands the English language. For example: Before you begin, please make sure you meet the study criteria: </w:t>
            </w:r>
          </w:p>
          <w:p w14:paraId="3FB32A03"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You are doctors, pharmacists or nurses having an experience of working in the primary healthcare centres in the KSA.  </w:t>
            </w:r>
          </w:p>
          <w:p w14:paraId="575F8F14"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Ability to understand English</w:t>
            </w:r>
          </w:p>
        </w:tc>
      </w:tr>
      <w:tr w:rsidR="00DE3D5F" w:rsidRPr="00231D6C" w14:paraId="3818DDCC" w14:textId="77777777" w:rsidTr="00282204">
        <w:trPr>
          <w:trHeight w:val="1830"/>
        </w:trPr>
        <w:tc>
          <w:tcPr>
            <w:tcW w:w="1753" w:type="dxa"/>
            <w:tcBorders>
              <w:top w:val="nil"/>
              <w:left w:val="single" w:sz="4" w:space="0" w:color="auto"/>
              <w:bottom w:val="single" w:sz="4" w:space="0" w:color="auto"/>
              <w:right w:val="single" w:sz="4" w:space="0" w:color="auto"/>
            </w:tcBorders>
            <w:shd w:val="clear" w:color="auto" w:fill="auto"/>
            <w:hideMark/>
          </w:tcPr>
          <w:p w14:paraId="22804F86"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Questions </w:t>
            </w:r>
          </w:p>
        </w:tc>
        <w:tc>
          <w:tcPr>
            <w:tcW w:w="3887" w:type="dxa"/>
            <w:tcBorders>
              <w:top w:val="nil"/>
              <w:left w:val="nil"/>
              <w:bottom w:val="single" w:sz="4" w:space="0" w:color="auto"/>
              <w:right w:val="single" w:sz="4" w:space="0" w:color="auto"/>
            </w:tcBorders>
            <w:shd w:val="clear" w:color="auto" w:fill="auto"/>
            <w:hideMark/>
          </w:tcPr>
          <w:p w14:paraId="2F7796A8"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I noticed the question “What type of centre do/did you work in?” confuse the participants and I received feedback about it. The feedback was “I did not understand what you meant by "Specialized Polyclinic" and "Non-Specialized Polyclinic". I see patients in a walk-in as well as in family medicine (specialized) clinics”. </w:t>
            </w:r>
          </w:p>
        </w:tc>
        <w:tc>
          <w:tcPr>
            <w:tcW w:w="3887" w:type="dxa"/>
            <w:tcBorders>
              <w:top w:val="nil"/>
              <w:left w:val="nil"/>
              <w:bottom w:val="single" w:sz="4" w:space="0" w:color="auto"/>
              <w:right w:val="single" w:sz="4" w:space="0" w:color="auto"/>
            </w:tcBorders>
            <w:shd w:val="clear" w:color="auto" w:fill="auto"/>
            <w:hideMark/>
          </w:tcPr>
          <w:p w14:paraId="19DB6FBE"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w:t>
            </w:r>
          </w:p>
        </w:tc>
        <w:tc>
          <w:tcPr>
            <w:tcW w:w="4455" w:type="dxa"/>
            <w:tcBorders>
              <w:top w:val="nil"/>
              <w:left w:val="nil"/>
              <w:bottom w:val="single" w:sz="4" w:space="0" w:color="auto"/>
              <w:right w:val="single" w:sz="4" w:space="0" w:color="auto"/>
            </w:tcBorders>
            <w:shd w:val="clear" w:color="auto" w:fill="auto"/>
            <w:hideMark/>
          </w:tcPr>
          <w:p w14:paraId="125A9528"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This question needs to be clarified or deleted</w:t>
            </w:r>
          </w:p>
        </w:tc>
      </w:tr>
      <w:tr w:rsidR="00DE3D5F" w:rsidRPr="00231D6C" w14:paraId="4CF20ECD" w14:textId="77777777" w:rsidTr="00282204">
        <w:trPr>
          <w:trHeight w:val="2120"/>
        </w:trPr>
        <w:tc>
          <w:tcPr>
            <w:tcW w:w="1753" w:type="dxa"/>
            <w:tcBorders>
              <w:top w:val="nil"/>
              <w:left w:val="single" w:sz="4" w:space="0" w:color="auto"/>
              <w:bottom w:val="single" w:sz="4" w:space="0" w:color="auto"/>
              <w:right w:val="single" w:sz="4" w:space="0" w:color="auto"/>
            </w:tcBorders>
            <w:shd w:val="clear" w:color="auto" w:fill="auto"/>
            <w:hideMark/>
          </w:tcPr>
          <w:p w14:paraId="2D01B2C7"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Section 1: Demographic information </w:t>
            </w:r>
          </w:p>
        </w:tc>
        <w:tc>
          <w:tcPr>
            <w:tcW w:w="3887" w:type="dxa"/>
            <w:tcBorders>
              <w:top w:val="nil"/>
              <w:left w:val="nil"/>
              <w:bottom w:val="single" w:sz="4" w:space="0" w:color="auto"/>
              <w:right w:val="single" w:sz="4" w:space="0" w:color="auto"/>
            </w:tcBorders>
            <w:shd w:val="clear" w:color="auto" w:fill="auto"/>
            <w:hideMark/>
          </w:tcPr>
          <w:p w14:paraId="353443B3"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The following question may need minor changes: “Which country and institution did you obtain your professional qualification from? </w:t>
            </w:r>
          </w:p>
          <w:p w14:paraId="311607D7"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 Saudi Arabia university </w:t>
            </w:r>
          </w:p>
          <w:p w14:paraId="35378678"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Other, specify country and institution </w:t>
            </w:r>
          </w:p>
          <w:p w14:paraId="2E2E6863" w14:textId="77777777" w:rsidR="00DE3D5F" w:rsidRDefault="00DE3D5F" w:rsidP="00282204">
            <w:pPr>
              <w:spacing w:after="0" w:line="240" w:lineRule="auto"/>
              <w:rPr>
                <w:rFonts w:eastAsia="Times New Roman" w:cstheme="minorHAnsi"/>
                <w:color w:val="333333"/>
                <w:sz w:val="20"/>
                <w:szCs w:val="20"/>
              </w:rPr>
            </w:pPr>
          </w:p>
          <w:p w14:paraId="456759AF" w14:textId="77777777" w:rsidR="00DE3D5F" w:rsidRPr="00231D6C"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To my knowledge, the majority of nurses working in the PHCs hold a diploma from the Saudi Nursing School or another nursing institution, and this is not considered a university!</w:t>
            </w:r>
          </w:p>
          <w:p w14:paraId="28E85F80" w14:textId="77777777" w:rsidR="00DE3D5F" w:rsidRPr="00231D6C" w:rsidRDefault="00DE3D5F" w:rsidP="00282204">
            <w:pPr>
              <w:spacing w:after="0" w:line="240" w:lineRule="auto"/>
              <w:rPr>
                <w:rFonts w:eastAsia="Times New Roman" w:cstheme="minorHAnsi"/>
                <w:color w:val="333333"/>
                <w:sz w:val="20"/>
                <w:szCs w:val="20"/>
              </w:rPr>
            </w:pPr>
          </w:p>
          <w:p w14:paraId="75A46B91"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I noticed that the attitude of the consultant physicians towards the clinical role of pharmacists was slightly different from that of the resident physicians and was completely different from that of nurses. Therefore, I am thinking to add (job category) in the demographic information section.</w:t>
            </w:r>
          </w:p>
          <w:p w14:paraId="3FBF911D"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Or do you think the question “What is the highest education level you have received”, would give us a prediction about the job category?!</w:t>
            </w:r>
          </w:p>
        </w:tc>
        <w:tc>
          <w:tcPr>
            <w:tcW w:w="3887" w:type="dxa"/>
            <w:tcBorders>
              <w:top w:val="nil"/>
              <w:left w:val="nil"/>
              <w:bottom w:val="single" w:sz="4" w:space="0" w:color="auto"/>
              <w:right w:val="single" w:sz="4" w:space="0" w:color="auto"/>
            </w:tcBorders>
            <w:shd w:val="clear" w:color="auto" w:fill="auto"/>
            <w:hideMark/>
          </w:tcPr>
          <w:p w14:paraId="332ECDB1"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w:t>
            </w:r>
          </w:p>
        </w:tc>
        <w:tc>
          <w:tcPr>
            <w:tcW w:w="4455" w:type="dxa"/>
            <w:tcBorders>
              <w:top w:val="nil"/>
              <w:left w:val="nil"/>
              <w:bottom w:val="single" w:sz="4" w:space="0" w:color="auto"/>
              <w:right w:val="single" w:sz="4" w:space="0" w:color="auto"/>
            </w:tcBorders>
            <w:shd w:val="clear" w:color="auto" w:fill="auto"/>
            <w:hideMark/>
          </w:tcPr>
          <w:p w14:paraId="2595D612"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The suggestion is: What is the country you have obtained your latest qualification?</w:t>
            </w:r>
          </w:p>
          <w:p w14:paraId="0042310E"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Saudi Arabia </w:t>
            </w:r>
          </w:p>
          <w:p w14:paraId="0660A8A0" w14:textId="77777777" w:rsidR="00DE3D5F" w:rsidRPr="00231D6C"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Other, please specify the country and the institution </w:t>
            </w:r>
          </w:p>
          <w:p w14:paraId="4531C0FE" w14:textId="77777777" w:rsidR="00DE3D5F" w:rsidRPr="00231D6C" w:rsidRDefault="00DE3D5F" w:rsidP="00282204">
            <w:pPr>
              <w:spacing w:after="0" w:line="240" w:lineRule="auto"/>
              <w:rPr>
                <w:rFonts w:eastAsia="Times New Roman" w:cstheme="minorHAnsi"/>
                <w:color w:val="333333"/>
                <w:sz w:val="20"/>
                <w:szCs w:val="20"/>
              </w:rPr>
            </w:pPr>
          </w:p>
          <w:p w14:paraId="20C5A156" w14:textId="77777777" w:rsidR="00DE3D5F" w:rsidRDefault="00DE3D5F" w:rsidP="00282204">
            <w:pPr>
              <w:spacing w:after="0" w:line="240" w:lineRule="auto"/>
              <w:rPr>
                <w:rFonts w:eastAsia="Times New Roman" w:cstheme="minorHAnsi"/>
                <w:color w:val="333333"/>
                <w:sz w:val="20"/>
                <w:szCs w:val="20"/>
              </w:rPr>
            </w:pPr>
          </w:p>
          <w:p w14:paraId="58CB1165" w14:textId="77777777" w:rsidR="00DE3D5F" w:rsidRDefault="00DE3D5F" w:rsidP="00282204">
            <w:pPr>
              <w:spacing w:after="0" w:line="240" w:lineRule="auto"/>
              <w:rPr>
                <w:rFonts w:eastAsia="Times New Roman" w:cstheme="minorHAnsi"/>
                <w:color w:val="333333"/>
                <w:sz w:val="20"/>
                <w:szCs w:val="20"/>
              </w:rPr>
            </w:pPr>
          </w:p>
          <w:p w14:paraId="01672F87" w14:textId="77777777" w:rsidR="00DE3D5F" w:rsidRDefault="00DE3D5F" w:rsidP="00282204">
            <w:pPr>
              <w:spacing w:after="0" w:line="240" w:lineRule="auto"/>
              <w:rPr>
                <w:rFonts w:eastAsia="Times New Roman" w:cstheme="minorHAnsi"/>
                <w:color w:val="333333"/>
                <w:sz w:val="20"/>
                <w:szCs w:val="20"/>
              </w:rPr>
            </w:pPr>
          </w:p>
          <w:p w14:paraId="6E970DBB" w14:textId="77777777" w:rsidR="00DE3D5F" w:rsidRDefault="00DE3D5F" w:rsidP="00282204">
            <w:pPr>
              <w:spacing w:after="0" w:line="240" w:lineRule="auto"/>
              <w:rPr>
                <w:rFonts w:eastAsia="Times New Roman" w:cstheme="minorHAnsi"/>
                <w:color w:val="333333"/>
                <w:sz w:val="20"/>
                <w:szCs w:val="20"/>
              </w:rPr>
            </w:pPr>
          </w:p>
          <w:p w14:paraId="33F6A7E9" w14:textId="77777777" w:rsidR="00DE3D5F" w:rsidRDefault="00DE3D5F" w:rsidP="00282204">
            <w:pPr>
              <w:spacing w:after="0" w:line="240" w:lineRule="auto"/>
              <w:rPr>
                <w:rFonts w:eastAsia="Times New Roman" w:cstheme="minorHAnsi"/>
                <w:color w:val="333333"/>
                <w:sz w:val="20"/>
                <w:szCs w:val="20"/>
              </w:rPr>
            </w:pPr>
          </w:p>
          <w:p w14:paraId="18946718" w14:textId="77777777" w:rsidR="00DE3D5F" w:rsidRDefault="00DE3D5F" w:rsidP="00282204">
            <w:pPr>
              <w:spacing w:after="0" w:line="240" w:lineRule="auto"/>
              <w:rPr>
                <w:rFonts w:eastAsia="Times New Roman" w:cstheme="minorHAnsi"/>
                <w:color w:val="333333"/>
                <w:sz w:val="20"/>
                <w:szCs w:val="20"/>
              </w:rPr>
            </w:pPr>
          </w:p>
          <w:p w14:paraId="1043C835" w14:textId="77777777" w:rsidR="00DE3D5F" w:rsidRDefault="00DE3D5F" w:rsidP="00282204">
            <w:pPr>
              <w:spacing w:after="0" w:line="240" w:lineRule="auto"/>
              <w:rPr>
                <w:rFonts w:eastAsia="Times New Roman" w:cstheme="minorHAnsi"/>
                <w:color w:val="333333"/>
                <w:sz w:val="20"/>
                <w:szCs w:val="20"/>
              </w:rPr>
            </w:pPr>
          </w:p>
          <w:p w14:paraId="13644D7B"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What is your job category? </w:t>
            </w:r>
          </w:p>
          <w:p w14:paraId="09FD3251"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Consultant physician, </w:t>
            </w:r>
          </w:p>
          <w:p w14:paraId="517FFD9B"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Specialist physician, </w:t>
            </w:r>
          </w:p>
          <w:p w14:paraId="3630F548"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Resident Physician, </w:t>
            </w:r>
          </w:p>
          <w:p w14:paraId="0F3E9A0F"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Consultant pharmacist,  </w:t>
            </w:r>
          </w:p>
          <w:p w14:paraId="6FA8EF30"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Specialist pharmacist (holds a master's degree or a postgraduate specialisation), </w:t>
            </w:r>
          </w:p>
          <w:p w14:paraId="3EECF80D"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Pharmacist, </w:t>
            </w:r>
          </w:p>
          <w:p w14:paraId="23F4EF0E"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Nurse, </w:t>
            </w:r>
          </w:p>
          <w:p w14:paraId="0683A7E2"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Nurse technician, </w:t>
            </w:r>
          </w:p>
          <w:p w14:paraId="03CC3AA2"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Nurse assistant</w:t>
            </w:r>
          </w:p>
        </w:tc>
      </w:tr>
      <w:tr w:rsidR="00DE3D5F" w:rsidRPr="00231D6C" w14:paraId="41528E01" w14:textId="77777777" w:rsidTr="00282204">
        <w:trPr>
          <w:trHeight w:val="1072"/>
        </w:trPr>
        <w:tc>
          <w:tcPr>
            <w:tcW w:w="1753" w:type="dxa"/>
            <w:tcBorders>
              <w:top w:val="nil"/>
              <w:left w:val="single" w:sz="4" w:space="0" w:color="auto"/>
              <w:bottom w:val="single" w:sz="4" w:space="0" w:color="auto"/>
              <w:right w:val="single" w:sz="4" w:space="0" w:color="auto"/>
            </w:tcBorders>
            <w:shd w:val="clear" w:color="auto" w:fill="auto"/>
            <w:hideMark/>
          </w:tcPr>
          <w:p w14:paraId="7D2E9FEB"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Questions </w:t>
            </w:r>
          </w:p>
        </w:tc>
        <w:tc>
          <w:tcPr>
            <w:tcW w:w="3887" w:type="dxa"/>
            <w:tcBorders>
              <w:top w:val="nil"/>
              <w:left w:val="nil"/>
              <w:bottom w:val="single" w:sz="4" w:space="0" w:color="auto"/>
              <w:right w:val="single" w:sz="4" w:space="0" w:color="auto"/>
            </w:tcBorders>
            <w:shd w:val="clear" w:color="auto" w:fill="auto"/>
            <w:hideMark/>
          </w:tcPr>
          <w:p w14:paraId="00B9E539"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I am thinking to add a question (Have you done any training in diabetes management?) to section 2; To see if there are pharmacists who are trained and ready to participate in diabetes management.</w:t>
            </w:r>
          </w:p>
        </w:tc>
        <w:tc>
          <w:tcPr>
            <w:tcW w:w="3887" w:type="dxa"/>
            <w:tcBorders>
              <w:top w:val="nil"/>
              <w:left w:val="nil"/>
              <w:bottom w:val="single" w:sz="4" w:space="0" w:color="auto"/>
              <w:right w:val="single" w:sz="4" w:space="0" w:color="auto"/>
            </w:tcBorders>
            <w:shd w:val="clear" w:color="auto" w:fill="auto"/>
            <w:hideMark/>
          </w:tcPr>
          <w:p w14:paraId="769B7014"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w:t>
            </w:r>
          </w:p>
        </w:tc>
        <w:tc>
          <w:tcPr>
            <w:tcW w:w="4455" w:type="dxa"/>
            <w:tcBorders>
              <w:top w:val="nil"/>
              <w:left w:val="nil"/>
              <w:bottom w:val="single" w:sz="4" w:space="0" w:color="auto"/>
              <w:right w:val="single" w:sz="4" w:space="0" w:color="auto"/>
            </w:tcBorders>
            <w:shd w:val="clear" w:color="auto" w:fill="auto"/>
            <w:hideMark/>
          </w:tcPr>
          <w:p w14:paraId="4427AE32"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looking for your advice on this addition!</w:t>
            </w:r>
          </w:p>
        </w:tc>
      </w:tr>
      <w:tr w:rsidR="00DE3D5F" w:rsidRPr="00231D6C" w14:paraId="3CC027EE" w14:textId="77777777" w:rsidTr="00282204">
        <w:trPr>
          <w:trHeight w:val="1121"/>
        </w:trPr>
        <w:tc>
          <w:tcPr>
            <w:tcW w:w="1753" w:type="dxa"/>
            <w:tcBorders>
              <w:top w:val="nil"/>
              <w:left w:val="single" w:sz="4" w:space="0" w:color="auto"/>
              <w:bottom w:val="single" w:sz="4" w:space="0" w:color="auto"/>
              <w:right w:val="single" w:sz="4" w:space="0" w:color="auto"/>
            </w:tcBorders>
            <w:shd w:val="clear" w:color="auto" w:fill="auto"/>
            <w:hideMark/>
          </w:tcPr>
          <w:p w14:paraId="171E8E0A"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Section 2: Diabetes Pharmaceutical Care Services</w:t>
            </w:r>
          </w:p>
        </w:tc>
        <w:tc>
          <w:tcPr>
            <w:tcW w:w="3887" w:type="dxa"/>
            <w:tcBorders>
              <w:top w:val="nil"/>
              <w:left w:val="nil"/>
              <w:bottom w:val="single" w:sz="4" w:space="0" w:color="auto"/>
              <w:right w:val="single" w:sz="4" w:space="0" w:color="auto"/>
            </w:tcBorders>
            <w:shd w:val="clear" w:color="auto" w:fill="auto"/>
            <w:hideMark/>
          </w:tcPr>
          <w:p w14:paraId="0A3BC8AA"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w:t>
            </w:r>
          </w:p>
        </w:tc>
        <w:tc>
          <w:tcPr>
            <w:tcW w:w="3887" w:type="dxa"/>
            <w:tcBorders>
              <w:top w:val="nil"/>
              <w:left w:val="nil"/>
              <w:bottom w:val="single" w:sz="4" w:space="0" w:color="auto"/>
              <w:right w:val="single" w:sz="4" w:space="0" w:color="auto"/>
            </w:tcBorders>
            <w:shd w:val="clear" w:color="auto" w:fill="auto"/>
            <w:hideMark/>
          </w:tcPr>
          <w:p w14:paraId="328DC99F"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w:t>
            </w:r>
          </w:p>
        </w:tc>
        <w:tc>
          <w:tcPr>
            <w:tcW w:w="4455" w:type="dxa"/>
            <w:tcBorders>
              <w:top w:val="nil"/>
              <w:left w:val="nil"/>
              <w:bottom w:val="single" w:sz="4" w:space="0" w:color="auto"/>
              <w:right w:val="single" w:sz="4" w:space="0" w:color="auto"/>
            </w:tcBorders>
            <w:shd w:val="clear" w:color="auto" w:fill="auto"/>
            <w:hideMark/>
          </w:tcPr>
          <w:p w14:paraId="047CA485"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w:t>
            </w:r>
          </w:p>
        </w:tc>
      </w:tr>
      <w:tr w:rsidR="00DE3D5F" w:rsidRPr="00231D6C" w14:paraId="507D2527" w14:textId="77777777" w:rsidTr="00282204">
        <w:trPr>
          <w:trHeight w:val="1259"/>
        </w:trPr>
        <w:tc>
          <w:tcPr>
            <w:tcW w:w="1753" w:type="dxa"/>
            <w:tcBorders>
              <w:top w:val="nil"/>
              <w:left w:val="single" w:sz="4" w:space="0" w:color="auto"/>
              <w:bottom w:val="single" w:sz="4" w:space="0" w:color="auto"/>
              <w:right w:val="single" w:sz="4" w:space="0" w:color="auto"/>
            </w:tcBorders>
            <w:shd w:val="clear" w:color="auto" w:fill="auto"/>
            <w:hideMark/>
          </w:tcPr>
          <w:p w14:paraId="32C8B658"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Participants in the pilot survey</w:t>
            </w:r>
          </w:p>
        </w:tc>
        <w:tc>
          <w:tcPr>
            <w:tcW w:w="3887" w:type="dxa"/>
            <w:tcBorders>
              <w:top w:val="nil"/>
              <w:left w:val="nil"/>
              <w:bottom w:val="single" w:sz="4" w:space="0" w:color="auto"/>
              <w:right w:val="single" w:sz="4" w:space="0" w:color="auto"/>
            </w:tcBorders>
            <w:shd w:val="clear" w:color="auto" w:fill="auto"/>
            <w:hideMark/>
          </w:tcPr>
          <w:p w14:paraId="5908227D"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In the survey protection bar, I found an option that states, "Prevent Ballot Box Stuffing; Keep people from taking this survey more than once". I am not sure if this would exclude the participants from the pilot phase!</w:t>
            </w:r>
          </w:p>
        </w:tc>
        <w:tc>
          <w:tcPr>
            <w:tcW w:w="3887" w:type="dxa"/>
            <w:tcBorders>
              <w:top w:val="nil"/>
              <w:left w:val="nil"/>
              <w:bottom w:val="single" w:sz="4" w:space="0" w:color="auto"/>
              <w:right w:val="single" w:sz="4" w:space="0" w:color="auto"/>
            </w:tcBorders>
            <w:shd w:val="clear" w:color="auto" w:fill="auto"/>
            <w:hideMark/>
          </w:tcPr>
          <w:p w14:paraId="281FEB0E"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w:t>
            </w:r>
          </w:p>
        </w:tc>
        <w:tc>
          <w:tcPr>
            <w:tcW w:w="4455" w:type="dxa"/>
            <w:tcBorders>
              <w:top w:val="nil"/>
              <w:left w:val="nil"/>
              <w:bottom w:val="single" w:sz="4" w:space="0" w:color="auto"/>
              <w:right w:val="single" w:sz="4" w:space="0" w:color="auto"/>
            </w:tcBorders>
            <w:shd w:val="clear" w:color="auto" w:fill="auto"/>
            <w:hideMark/>
          </w:tcPr>
          <w:p w14:paraId="6B894329"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We may ask the following question at the beginning/end of the survey to exclude the participants from the pilot phase! Have you filled out this survey before? </w:t>
            </w:r>
          </w:p>
          <w:p w14:paraId="0BE27C40" w14:textId="77777777" w:rsidR="00DE3D5F"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Yes, will exit survey, </w:t>
            </w:r>
          </w:p>
          <w:p w14:paraId="0AC55C93" w14:textId="77777777" w:rsidR="00DE3D5F" w:rsidRPr="00A51923" w:rsidRDefault="00DE3D5F" w:rsidP="00282204">
            <w:pPr>
              <w:spacing w:after="0" w:line="240" w:lineRule="auto"/>
              <w:rPr>
                <w:rFonts w:eastAsia="Times New Roman" w:cstheme="minorHAnsi"/>
                <w:color w:val="333333"/>
                <w:sz w:val="20"/>
                <w:szCs w:val="20"/>
              </w:rPr>
            </w:pPr>
            <w:r w:rsidRPr="00A51923">
              <w:rPr>
                <w:rFonts w:eastAsia="Times New Roman" w:cstheme="minorHAnsi"/>
                <w:color w:val="333333"/>
                <w:sz w:val="20"/>
                <w:szCs w:val="20"/>
              </w:rPr>
              <w:t xml:space="preserve">No, will continue </w:t>
            </w:r>
          </w:p>
        </w:tc>
      </w:tr>
    </w:tbl>
    <w:p w14:paraId="6C073A62" w14:textId="77777777" w:rsidR="00DE3D5F" w:rsidRDefault="00DE3D5F" w:rsidP="00DE3D5F">
      <w:pPr>
        <w:shd w:val="clear" w:color="auto" w:fill="FFFFFF"/>
        <w:spacing w:after="150" w:line="360" w:lineRule="auto"/>
        <w:rPr>
          <w:rFonts w:ascii="Segoe UI" w:eastAsia="Times New Roman" w:hAnsi="Segoe UI" w:cs="Segoe UI"/>
          <w:color w:val="333333"/>
          <w:sz w:val="32"/>
          <w:szCs w:val="32"/>
        </w:rPr>
      </w:pPr>
    </w:p>
    <w:p w14:paraId="6C57AD0C" w14:textId="77777777" w:rsidR="00DE3D5F" w:rsidRPr="00226A57" w:rsidRDefault="00DE3D5F" w:rsidP="00DE3D5F">
      <w:pPr>
        <w:shd w:val="clear" w:color="auto" w:fill="FFFFFF"/>
        <w:spacing w:after="0" w:line="240" w:lineRule="auto"/>
        <w:textAlignment w:val="top"/>
        <w:rPr>
          <w:rFonts w:asciiTheme="minorBidi" w:eastAsia="Times New Roman" w:hAnsiTheme="minorBidi"/>
          <w:color w:val="000000"/>
          <w:sz w:val="28"/>
          <w:szCs w:val="28"/>
        </w:rPr>
      </w:pPr>
      <w:r w:rsidRPr="00226A57">
        <w:rPr>
          <w:rFonts w:asciiTheme="minorBidi" w:eastAsia="Times New Roman" w:hAnsiTheme="minorBidi"/>
          <w:color w:val="000000"/>
          <w:sz w:val="28"/>
          <w:szCs w:val="28"/>
        </w:rPr>
        <w:t xml:space="preserve">Copies from the feedback that I received </w:t>
      </w:r>
    </w:p>
    <w:p w14:paraId="7A96917A" w14:textId="77777777" w:rsidR="00DE3D5F" w:rsidRPr="00226A57" w:rsidRDefault="00DE3D5F" w:rsidP="00DE3D5F">
      <w:pPr>
        <w:shd w:val="clear" w:color="auto" w:fill="FFFFFF"/>
        <w:spacing w:after="0" w:line="240" w:lineRule="auto"/>
        <w:rPr>
          <w:rFonts w:asciiTheme="minorBidi" w:eastAsia="Times New Roman" w:hAnsiTheme="minorBidi"/>
          <w:color w:val="000000"/>
          <w:sz w:val="27"/>
          <w:szCs w:val="27"/>
        </w:rPr>
      </w:pPr>
      <w:r w:rsidRPr="00226A57">
        <w:rPr>
          <w:rFonts w:asciiTheme="minorBidi" w:eastAsia="Times New Roman" w:hAnsiTheme="minorBidi"/>
          <w:color w:val="000000"/>
          <w:sz w:val="27"/>
          <w:szCs w:val="27"/>
        </w:rPr>
        <w:t> </w:t>
      </w:r>
    </w:p>
    <w:p w14:paraId="7D57F9B7" w14:textId="77777777" w:rsidR="00DE3D5F" w:rsidRPr="00226A57" w:rsidRDefault="00DE3D5F" w:rsidP="00DE3D5F">
      <w:pPr>
        <w:shd w:val="clear" w:color="auto" w:fill="FFFFFF"/>
        <w:spacing w:after="0" w:line="240" w:lineRule="auto"/>
        <w:rPr>
          <w:rFonts w:asciiTheme="minorBidi" w:eastAsia="Times New Roman" w:hAnsiTheme="minorBidi"/>
          <w:color w:val="666666"/>
          <w:sz w:val="18"/>
          <w:szCs w:val="18"/>
        </w:rPr>
      </w:pPr>
      <w:r w:rsidRPr="00226A57">
        <w:rPr>
          <w:rFonts w:asciiTheme="minorBidi" w:eastAsia="Times New Roman" w:hAnsiTheme="minorBidi"/>
          <w:color w:val="666666"/>
          <w:sz w:val="18"/>
          <w:szCs w:val="18"/>
        </w:rPr>
        <w:t xml:space="preserve">Reply from a resident doctor </w:t>
      </w:r>
    </w:p>
    <w:p w14:paraId="3313E02F" w14:textId="77777777" w:rsidR="00DE3D5F" w:rsidRPr="00226A57" w:rsidRDefault="00DE3D5F" w:rsidP="00DE3D5F">
      <w:pPr>
        <w:shd w:val="clear" w:color="auto" w:fill="FFFFFF"/>
        <w:spacing w:after="60" w:line="270" w:lineRule="atLeast"/>
        <w:textAlignment w:val="center"/>
        <w:rPr>
          <w:rFonts w:asciiTheme="minorBidi" w:eastAsia="Times New Roman" w:hAnsiTheme="minorBidi"/>
          <w:color w:val="666666"/>
          <w:sz w:val="2"/>
          <w:szCs w:val="2"/>
          <w:bdr w:val="none" w:sz="0" w:space="0" w:color="auto" w:frame="1"/>
        </w:rPr>
      </w:pPr>
      <w:r w:rsidRPr="00226A57">
        <w:rPr>
          <w:rFonts w:asciiTheme="minorBidi" w:eastAsia="Times New Roman" w:hAnsiTheme="minorBidi"/>
          <w:color w:val="333333"/>
          <w:sz w:val="18"/>
          <w:szCs w:val="18"/>
          <w:bdr w:val="none" w:sz="0" w:space="0" w:color="auto" w:frame="1"/>
        </w:rPr>
        <w:t>Narjis Ibraheem Al Shurafa</w:t>
      </w:r>
    </w:p>
    <w:p w14:paraId="1C8C4AE9" w14:textId="77777777" w:rsidR="00DE3D5F" w:rsidRPr="00226A57" w:rsidRDefault="00DE3D5F" w:rsidP="00DE3D5F">
      <w:pPr>
        <w:shd w:val="clear" w:color="auto" w:fill="FFFFFF"/>
        <w:spacing w:after="0" w:line="240" w:lineRule="auto"/>
        <w:rPr>
          <w:rFonts w:asciiTheme="minorBidi" w:eastAsia="Times New Roman" w:hAnsiTheme="minorBidi"/>
          <w:color w:val="666666"/>
          <w:sz w:val="21"/>
          <w:szCs w:val="21"/>
        </w:rPr>
      </w:pPr>
    </w:p>
    <w:p w14:paraId="4D228C55"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r w:rsidRPr="00226A57">
        <w:rPr>
          <w:rFonts w:asciiTheme="minorBidi" w:eastAsia="Times New Roman" w:hAnsiTheme="minorBidi"/>
          <w:color w:val="212121"/>
          <w:sz w:val="23"/>
          <w:szCs w:val="23"/>
        </w:rPr>
        <w:t>How long did it take to complete?</w:t>
      </w:r>
    </w:p>
    <w:p w14:paraId="416E81DB"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p>
    <w:p w14:paraId="47787464"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r w:rsidRPr="00226A57">
        <w:rPr>
          <w:rFonts w:asciiTheme="minorBidi" w:eastAsia="Times New Roman" w:hAnsiTheme="minorBidi"/>
          <w:color w:val="212121"/>
          <w:sz w:val="23"/>
          <w:szCs w:val="23"/>
        </w:rPr>
        <w:t>10-15 minutes</w:t>
      </w:r>
    </w:p>
    <w:p w14:paraId="73160541"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r w:rsidRPr="00226A57">
        <w:rPr>
          <w:rFonts w:asciiTheme="minorBidi" w:eastAsia="Times New Roman" w:hAnsiTheme="minorBidi"/>
          <w:color w:val="212121"/>
          <w:sz w:val="23"/>
          <w:szCs w:val="23"/>
        </w:rPr>
        <w:br/>
        <w:t>Thinking back over the questions, was there anything that you found difficult to answer? (which questions and why?)</w:t>
      </w:r>
    </w:p>
    <w:p w14:paraId="2ED48227"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p>
    <w:p w14:paraId="2991EF9B"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r w:rsidRPr="00226A57">
        <w:rPr>
          <w:rFonts w:asciiTheme="minorBidi" w:eastAsia="Times New Roman" w:hAnsiTheme="minorBidi"/>
          <w:color w:val="212121"/>
          <w:sz w:val="23"/>
          <w:szCs w:val="23"/>
        </w:rPr>
        <w:t>No</w:t>
      </w:r>
    </w:p>
    <w:p w14:paraId="5EA1D430"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r w:rsidRPr="00226A57">
        <w:rPr>
          <w:rFonts w:asciiTheme="minorBidi" w:eastAsia="Times New Roman" w:hAnsiTheme="minorBidi"/>
          <w:color w:val="212121"/>
          <w:sz w:val="23"/>
          <w:szCs w:val="23"/>
        </w:rPr>
        <w:br/>
        <w:t>Was there any wording or content that was confusing or ambiguous? (which questions and why?)</w:t>
      </w:r>
    </w:p>
    <w:p w14:paraId="01562F33"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p>
    <w:p w14:paraId="625D715F"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r w:rsidRPr="00226A57">
        <w:rPr>
          <w:rFonts w:asciiTheme="minorBidi" w:eastAsia="Times New Roman" w:hAnsiTheme="minorBidi"/>
          <w:color w:val="212121"/>
          <w:sz w:val="23"/>
          <w:szCs w:val="23"/>
        </w:rPr>
        <w:t>No</w:t>
      </w:r>
    </w:p>
    <w:p w14:paraId="35D32C0B"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r w:rsidRPr="00226A57">
        <w:rPr>
          <w:rFonts w:asciiTheme="minorBidi" w:eastAsia="Times New Roman" w:hAnsiTheme="minorBidi"/>
          <w:color w:val="212121"/>
          <w:sz w:val="23"/>
          <w:szCs w:val="23"/>
        </w:rPr>
        <w:br/>
        <w:t>Were there any key questions missing?</w:t>
      </w:r>
    </w:p>
    <w:p w14:paraId="014D81D5"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p>
    <w:p w14:paraId="157A8812"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r w:rsidRPr="00226A57">
        <w:rPr>
          <w:rFonts w:asciiTheme="minorBidi" w:eastAsia="Times New Roman" w:hAnsiTheme="minorBidi"/>
          <w:color w:val="212121"/>
          <w:sz w:val="23"/>
          <w:szCs w:val="23"/>
        </w:rPr>
        <w:t>No</w:t>
      </w:r>
    </w:p>
    <w:p w14:paraId="18C2DD27" w14:textId="77777777" w:rsidR="00DE3D5F" w:rsidRPr="00226A57" w:rsidRDefault="00DE3D5F" w:rsidP="00DE3D5F">
      <w:pPr>
        <w:shd w:val="clear" w:color="auto" w:fill="FFFFFF"/>
        <w:spacing w:after="0" w:line="240" w:lineRule="auto"/>
        <w:rPr>
          <w:rFonts w:asciiTheme="minorBidi" w:eastAsia="Times New Roman" w:hAnsiTheme="minorBidi"/>
          <w:color w:val="212121"/>
          <w:sz w:val="23"/>
          <w:szCs w:val="23"/>
        </w:rPr>
      </w:pPr>
    </w:p>
    <w:p w14:paraId="06AAF282" w14:textId="77777777" w:rsidR="00DE3D5F" w:rsidRPr="00226A57" w:rsidRDefault="00DE3D5F" w:rsidP="00DE3D5F">
      <w:pPr>
        <w:shd w:val="clear" w:color="auto" w:fill="FFFFFF"/>
        <w:bidi/>
        <w:spacing w:after="0" w:line="240" w:lineRule="auto"/>
        <w:rPr>
          <w:rFonts w:asciiTheme="minorBidi" w:eastAsia="Times New Roman" w:hAnsiTheme="minorBidi"/>
          <w:color w:val="212121"/>
          <w:sz w:val="23"/>
          <w:szCs w:val="23"/>
        </w:rPr>
      </w:pPr>
      <w:r w:rsidRPr="00226A57">
        <w:rPr>
          <w:rFonts w:asciiTheme="minorBidi" w:eastAsia="Times New Roman" w:hAnsiTheme="minorBidi"/>
          <w:b/>
          <w:bCs/>
          <w:color w:val="7F7F7F"/>
          <w:sz w:val="18"/>
          <w:szCs w:val="18"/>
        </w:rPr>
        <w:t> </w:t>
      </w:r>
    </w:p>
    <w:tbl>
      <w:tblPr>
        <w:tblW w:w="9360" w:type="dxa"/>
        <w:tblCellMar>
          <w:left w:w="0" w:type="dxa"/>
          <w:right w:w="0" w:type="dxa"/>
        </w:tblCellMar>
        <w:tblLook w:val="04A0" w:firstRow="1" w:lastRow="0" w:firstColumn="1" w:lastColumn="0" w:noHBand="0" w:noVBand="1"/>
      </w:tblPr>
      <w:tblGrid>
        <w:gridCol w:w="12954"/>
        <w:gridCol w:w="6"/>
      </w:tblGrid>
      <w:tr w:rsidR="00DE3D5F" w:rsidRPr="00226A57" w14:paraId="71AE8BDA" w14:textId="77777777" w:rsidTr="00282204">
        <w:tc>
          <w:tcPr>
            <w:tcW w:w="0" w:type="auto"/>
            <w:vAlign w:val="center"/>
            <w:hideMark/>
          </w:tcPr>
          <w:p w14:paraId="67260C13" w14:textId="77777777" w:rsidR="00DE3D5F" w:rsidRPr="00226A57" w:rsidRDefault="00DE3D5F" w:rsidP="00282204">
            <w:pPr>
              <w:rPr>
                <w:rFonts w:asciiTheme="minorBidi" w:hAnsiTheme="minorBidi"/>
              </w:rPr>
            </w:pPr>
            <w:r w:rsidRPr="00226A57">
              <w:rPr>
                <w:rFonts w:asciiTheme="minorBidi" w:hAnsiTheme="minorBidi"/>
              </w:rPr>
              <w:t>Reply from a consultant doctor</w:t>
            </w:r>
          </w:p>
          <w:tbl>
            <w:tblPr>
              <w:tblW w:w="12960" w:type="dxa"/>
              <w:tblCellMar>
                <w:left w:w="0" w:type="dxa"/>
                <w:right w:w="0" w:type="dxa"/>
              </w:tblCellMar>
              <w:tblLook w:val="04A0" w:firstRow="1" w:lastRow="0" w:firstColumn="1" w:lastColumn="0" w:noHBand="0" w:noVBand="1"/>
            </w:tblPr>
            <w:tblGrid>
              <w:gridCol w:w="12960"/>
            </w:tblGrid>
            <w:tr w:rsidR="00DE3D5F" w:rsidRPr="00226A57" w14:paraId="7DD81D03" w14:textId="77777777" w:rsidTr="00282204">
              <w:tc>
                <w:tcPr>
                  <w:tcW w:w="0" w:type="auto"/>
                  <w:noWrap/>
                  <w:vAlign w:val="center"/>
                  <w:hideMark/>
                </w:tcPr>
                <w:p w14:paraId="39AA28DB" w14:textId="77777777" w:rsidR="00DE3D5F" w:rsidRPr="00226A57" w:rsidRDefault="00DE3D5F" w:rsidP="00282204">
                  <w:pPr>
                    <w:spacing w:after="0" w:line="300" w:lineRule="atLeast"/>
                    <w:rPr>
                      <w:rFonts w:asciiTheme="minorBidi" w:eastAsia="Times New Roman" w:hAnsiTheme="minorBidi"/>
                      <w:sz w:val="24"/>
                      <w:szCs w:val="24"/>
                    </w:rPr>
                  </w:pPr>
                  <w:r w:rsidRPr="00226A57">
                    <w:rPr>
                      <w:rFonts w:asciiTheme="minorBidi" w:eastAsia="Times New Roman" w:hAnsiTheme="minorBidi"/>
                      <w:color w:val="5F6368"/>
                      <w:spacing w:val="5"/>
                      <w:sz w:val="24"/>
                      <w:szCs w:val="24"/>
                    </w:rPr>
                    <w:t>to me, </w:t>
                  </w:r>
                  <w:r w:rsidRPr="00226A57">
                    <w:rPr>
                      <w:rFonts w:asciiTheme="minorBidi" w:eastAsia="Times New Roman" w:hAnsiTheme="minorBidi"/>
                      <w:color w:val="5F6368"/>
                      <w:spacing w:val="5"/>
                      <w:sz w:val="24"/>
                      <w:szCs w:val="24"/>
                      <w:rtl/>
                    </w:rPr>
                    <w:t>نرجس</w:t>
                  </w:r>
                </w:p>
                <w:p w14:paraId="4FEE2396" w14:textId="77777777" w:rsidR="00DE3D5F" w:rsidRPr="00226A57" w:rsidRDefault="00DE3D5F" w:rsidP="00282204">
                  <w:pPr>
                    <w:spacing w:after="0" w:line="300" w:lineRule="atLeast"/>
                    <w:textAlignment w:val="top"/>
                    <w:rPr>
                      <w:rFonts w:asciiTheme="minorBidi" w:eastAsia="Times New Roman" w:hAnsiTheme="minorBidi"/>
                      <w:sz w:val="24"/>
                      <w:szCs w:val="24"/>
                    </w:rPr>
                  </w:pPr>
                  <w:r w:rsidRPr="00226A57">
                    <w:rPr>
                      <w:rFonts w:asciiTheme="minorBidi" w:eastAsia="Times New Roman" w:hAnsiTheme="minorBidi"/>
                      <w:noProof/>
                      <w:sz w:val="24"/>
                      <w:szCs w:val="24"/>
                    </w:rPr>
                    <w:drawing>
                      <wp:inline distT="0" distB="0" distL="0" distR="0" wp14:anchorId="0762ABDD" wp14:editId="6F67EEA9">
                        <wp:extent cx="6350" cy="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r>
          </w:tbl>
          <w:p w14:paraId="66DDEF07" w14:textId="77777777" w:rsidR="00DE3D5F" w:rsidRPr="00226A57" w:rsidRDefault="00DE3D5F" w:rsidP="00282204">
            <w:pPr>
              <w:spacing w:after="0" w:line="240" w:lineRule="auto"/>
              <w:rPr>
                <w:rFonts w:asciiTheme="minorBidi" w:eastAsia="Times New Roman" w:hAnsiTheme="minorBidi"/>
                <w:spacing w:val="3"/>
                <w:sz w:val="24"/>
                <w:szCs w:val="24"/>
              </w:rPr>
            </w:pPr>
          </w:p>
        </w:tc>
        <w:tc>
          <w:tcPr>
            <w:tcW w:w="0" w:type="auto"/>
            <w:vAlign w:val="center"/>
            <w:hideMark/>
          </w:tcPr>
          <w:p w14:paraId="6B27D1F5" w14:textId="77777777" w:rsidR="00DE3D5F" w:rsidRPr="00226A57" w:rsidRDefault="00DE3D5F" w:rsidP="00282204">
            <w:pPr>
              <w:spacing w:after="0" w:line="240" w:lineRule="auto"/>
              <w:rPr>
                <w:rFonts w:asciiTheme="minorBidi" w:eastAsia="Times New Roman" w:hAnsiTheme="minorBidi"/>
                <w:color w:val="444444"/>
                <w:spacing w:val="3"/>
                <w:sz w:val="24"/>
                <w:szCs w:val="24"/>
              </w:rPr>
            </w:pPr>
          </w:p>
        </w:tc>
      </w:tr>
    </w:tbl>
    <w:p w14:paraId="5038211B"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r w:rsidRPr="00226A57">
        <w:rPr>
          <w:rFonts w:asciiTheme="minorBidi" w:eastAsia="Times New Roman" w:hAnsiTheme="minorBidi"/>
          <w:color w:val="222222"/>
          <w:sz w:val="24"/>
          <w:szCs w:val="24"/>
        </w:rPr>
        <w:t>Good day.</w:t>
      </w:r>
    </w:p>
    <w:p w14:paraId="145AECD7"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r w:rsidRPr="00226A57">
        <w:rPr>
          <w:rFonts w:asciiTheme="minorBidi" w:eastAsia="Times New Roman" w:hAnsiTheme="minorBidi"/>
          <w:color w:val="222222"/>
          <w:sz w:val="24"/>
          <w:szCs w:val="24"/>
        </w:rPr>
        <w:t>These are may comments on the survey:</w:t>
      </w:r>
    </w:p>
    <w:p w14:paraId="7F3CBA62"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p>
    <w:p w14:paraId="57C75057"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p>
    <w:p w14:paraId="1461F47F"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r w:rsidRPr="00226A57">
        <w:rPr>
          <w:rFonts w:asciiTheme="minorBidi" w:eastAsia="Times New Roman" w:hAnsiTheme="minorBidi"/>
          <w:noProof/>
          <w:color w:val="222222"/>
          <w:sz w:val="24"/>
          <w:szCs w:val="24"/>
        </w:rPr>
        <w:drawing>
          <wp:inline distT="0" distB="0" distL="0" distR="0" wp14:anchorId="013BBE23" wp14:editId="6467133F">
            <wp:extent cx="4916658" cy="1913084"/>
            <wp:effectExtent l="0" t="0" r="0" b="0"/>
            <wp:docPr id="1557151121" name="Picture 15571511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67210" cy="1932754"/>
                    </a:xfrm>
                    <a:prstGeom prst="rect">
                      <a:avLst/>
                    </a:prstGeom>
                  </pic:spPr>
                </pic:pic>
              </a:graphicData>
            </a:graphic>
          </wp:inline>
        </w:drawing>
      </w:r>
    </w:p>
    <w:p w14:paraId="0CED6C47"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r w:rsidRPr="00226A57">
        <w:rPr>
          <w:rFonts w:asciiTheme="minorBidi" w:eastAsia="Times New Roman" w:hAnsiTheme="minorBidi"/>
          <w:color w:val="222222"/>
          <w:sz w:val="24"/>
          <w:szCs w:val="24"/>
        </w:rPr>
        <w:t>I did not understand what you meant by “Specialized Polyclinic” and “Non-Specialized Polyclinic”. I see patients in a walk-in as well as in family medicine (specialized) clinics.</w:t>
      </w:r>
    </w:p>
    <w:p w14:paraId="0B5FA5DB"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p>
    <w:p w14:paraId="6F6A6FAA"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p>
    <w:p w14:paraId="614AB3EF"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r w:rsidRPr="00226A57">
        <w:rPr>
          <w:rFonts w:asciiTheme="minorBidi" w:eastAsia="Times New Roman" w:hAnsiTheme="minorBidi"/>
          <w:noProof/>
          <w:color w:val="222222"/>
          <w:sz w:val="24"/>
          <w:szCs w:val="24"/>
        </w:rPr>
        <w:drawing>
          <wp:inline distT="0" distB="0" distL="0" distR="0" wp14:anchorId="6FB34179" wp14:editId="4AE3A3E3">
            <wp:extent cx="5240846" cy="1751428"/>
            <wp:effectExtent l="0" t="0" r="0" b="1270"/>
            <wp:docPr id="670452719" name="Picture 67045271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5275676" cy="1763068"/>
                    </a:xfrm>
                    <a:prstGeom prst="rect">
                      <a:avLst/>
                    </a:prstGeom>
                  </pic:spPr>
                </pic:pic>
              </a:graphicData>
            </a:graphic>
          </wp:inline>
        </w:drawing>
      </w:r>
    </w:p>
    <w:p w14:paraId="09E5B650"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p>
    <w:p w14:paraId="4C8FD069"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p>
    <w:p w14:paraId="443B3292"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p>
    <w:p w14:paraId="2E0FF07E"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r w:rsidRPr="00226A57">
        <w:rPr>
          <w:rFonts w:asciiTheme="minorBidi" w:eastAsia="Times New Roman" w:hAnsiTheme="minorBidi"/>
          <w:noProof/>
          <w:color w:val="222222"/>
          <w:sz w:val="24"/>
          <w:szCs w:val="24"/>
        </w:rPr>
        <w:drawing>
          <wp:inline distT="0" distB="0" distL="0" distR="0" wp14:anchorId="1A1308B8" wp14:editId="674238BC">
            <wp:extent cx="5465298" cy="1833880"/>
            <wp:effectExtent l="0" t="0" r="2540" b="0"/>
            <wp:docPr id="59" name="Picture 5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533051" cy="1856615"/>
                    </a:xfrm>
                    <a:prstGeom prst="rect">
                      <a:avLst/>
                    </a:prstGeom>
                  </pic:spPr>
                </pic:pic>
              </a:graphicData>
            </a:graphic>
          </wp:inline>
        </w:drawing>
      </w:r>
    </w:p>
    <w:p w14:paraId="3489E95E"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p>
    <w:p w14:paraId="29CA7B97"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r w:rsidRPr="00226A57">
        <w:rPr>
          <w:rFonts w:asciiTheme="minorBidi" w:eastAsia="Times New Roman" w:hAnsiTheme="minorBidi"/>
          <w:color w:val="222222"/>
          <w:sz w:val="24"/>
          <w:szCs w:val="24"/>
        </w:rPr>
        <w:t>I do not know what independent and dependent prescribing are.</w:t>
      </w:r>
    </w:p>
    <w:p w14:paraId="57F40B6C"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p>
    <w:p w14:paraId="48671795" w14:textId="77777777" w:rsidR="00DE3D5F" w:rsidRDefault="00DE3D5F" w:rsidP="00DE3D5F">
      <w:pPr>
        <w:shd w:val="clear" w:color="auto" w:fill="FFFFFF"/>
        <w:spacing w:after="0" w:line="240" w:lineRule="auto"/>
        <w:rPr>
          <w:rFonts w:asciiTheme="minorBidi" w:eastAsia="Times New Roman" w:hAnsiTheme="minorBidi"/>
          <w:color w:val="222222"/>
          <w:sz w:val="24"/>
          <w:szCs w:val="24"/>
        </w:rPr>
      </w:pPr>
      <w:r w:rsidRPr="00226A57">
        <w:rPr>
          <w:rFonts w:asciiTheme="minorBidi" w:eastAsia="Times New Roman" w:hAnsiTheme="minorBidi"/>
          <w:color w:val="222222"/>
          <w:sz w:val="24"/>
          <w:szCs w:val="24"/>
        </w:rPr>
        <w:t>I do not see much difference between my opinion about the roles of pharmacists “Currently” and “in the future”. I think the roles of pharmacists are vital currently and in the future. If the answers of other respondents are similar regarding both questions, I suggest deleting one of them.</w:t>
      </w:r>
      <w:r>
        <w:rPr>
          <w:rFonts w:asciiTheme="minorBidi" w:eastAsia="Times New Roman" w:hAnsiTheme="minorBidi"/>
          <w:color w:val="222222"/>
          <w:sz w:val="24"/>
          <w:szCs w:val="24"/>
        </w:rPr>
        <w:t xml:space="preserve"> </w:t>
      </w:r>
    </w:p>
    <w:p w14:paraId="360097CE"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r w:rsidRPr="00226A57">
        <w:rPr>
          <w:rFonts w:asciiTheme="minorBidi" w:eastAsia="Times New Roman" w:hAnsiTheme="minorBidi"/>
          <w:color w:val="222222"/>
          <w:sz w:val="24"/>
          <w:szCs w:val="24"/>
        </w:rPr>
        <w:t>Last point, in some questions, my answer is not applicable or I do not know. I think it is better to keep them as options.</w:t>
      </w:r>
    </w:p>
    <w:p w14:paraId="4FCC8A29"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p>
    <w:p w14:paraId="74DD15F1" w14:textId="77777777" w:rsidR="00DE3D5F" w:rsidRPr="00226A57" w:rsidRDefault="00DE3D5F" w:rsidP="00DE3D5F">
      <w:pPr>
        <w:shd w:val="clear" w:color="auto" w:fill="FFFFFF"/>
        <w:spacing w:after="0" w:line="240" w:lineRule="auto"/>
        <w:rPr>
          <w:rFonts w:asciiTheme="minorBidi" w:eastAsia="Times New Roman" w:hAnsiTheme="minorBidi"/>
          <w:color w:val="222222"/>
          <w:sz w:val="24"/>
          <w:szCs w:val="24"/>
        </w:rPr>
      </w:pPr>
      <w:r w:rsidRPr="00226A57">
        <w:rPr>
          <w:rFonts w:asciiTheme="minorBidi" w:eastAsia="Times New Roman" w:hAnsiTheme="minorBidi"/>
          <w:color w:val="222222"/>
          <w:sz w:val="24"/>
          <w:szCs w:val="24"/>
        </w:rPr>
        <w:t>Good luck.</w:t>
      </w:r>
    </w:p>
    <w:p w14:paraId="609FB097" w14:textId="77777777" w:rsidR="00DE3D5F" w:rsidRPr="00226A57" w:rsidRDefault="00DE3D5F" w:rsidP="00DE3D5F">
      <w:pPr>
        <w:rPr>
          <w:rFonts w:asciiTheme="minorBidi" w:hAnsiTheme="minorBidi"/>
        </w:rPr>
      </w:pPr>
      <w:r w:rsidRPr="00226A57">
        <w:rPr>
          <w:rFonts w:asciiTheme="minorBidi" w:hAnsiTheme="minorBidi"/>
        </w:rPr>
        <w:br w:type="page"/>
      </w:r>
    </w:p>
    <w:p w14:paraId="69467C60" w14:textId="77777777" w:rsidR="00DE3D5F" w:rsidRDefault="00DE3D5F" w:rsidP="00DE3D5F"/>
    <w:p w14:paraId="501E61D0" w14:textId="77777777" w:rsidR="00DE3D5F" w:rsidRDefault="00DE3D5F" w:rsidP="00DE3D5F">
      <w:bookmarkStart w:id="395" w:name="_Toc122626479"/>
      <w:r>
        <w:t>Re: **SPAM** Pilot Survey</w:t>
      </w:r>
      <w:bookmarkEnd w:id="395"/>
    </w:p>
    <w:p w14:paraId="389B5AD4" w14:textId="77777777" w:rsidR="00DE3D5F" w:rsidRPr="00982FBF" w:rsidRDefault="00DE3D5F" w:rsidP="00DE3D5F">
      <w:pPr>
        <w:shd w:val="clear" w:color="auto" w:fill="DDDDDD"/>
        <w:spacing w:line="270" w:lineRule="atLeast"/>
        <w:textAlignment w:val="bottom"/>
        <w:rPr>
          <w:rFonts w:ascii="Helvetica" w:hAnsi="Helvetica" w:cs="Helvetica"/>
          <w:color w:val="666666"/>
          <w:spacing w:val="5"/>
          <w:sz w:val="27"/>
          <w:szCs w:val="27"/>
        </w:rPr>
      </w:pPr>
      <w:r>
        <w:rPr>
          <w:rFonts w:ascii="Helvetica" w:hAnsi="Helvetica" w:cs="Helvetica"/>
          <w:color w:val="666666"/>
          <w:spacing w:val="5"/>
          <w:sz w:val="27"/>
          <w:szCs w:val="27"/>
        </w:rPr>
        <w:t>Inbox</w:t>
      </w:r>
    </w:p>
    <w:tbl>
      <w:tblPr>
        <w:tblW w:w="9373" w:type="dxa"/>
        <w:tblLayout w:type="fixed"/>
        <w:tblCellMar>
          <w:left w:w="0" w:type="dxa"/>
          <w:right w:w="0" w:type="dxa"/>
        </w:tblCellMar>
        <w:tblLook w:val="04A0" w:firstRow="1" w:lastRow="0" w:firstColumn="1" w:lastColumn="0" w:noHBand="0" w:noVBand="1"/>
      </w:tblPr>
      <w:tblGrid>
        <w:gridCol w:w="20"/>
        <w:gridCol w:w="20"/>
        <w:gridCol w:w="9313"/>
        <w:gridCol w:w="20"/>
      </w:tblGrid>
      <w:tr w:rsidR="00DE3D5F" w14:paraId="7F2921B6" w14:textId="77777777" w:rsidTr="00282204">
        <w:trPr>
          <w:gridAfter w:val="2"/>
          <w:wAfter w:w="9346" w:type="dxa"/>
        </w:trPr>
        <w:tc>
          <w:tcPr>
            <w:tcW w:w="20" w:type="dxa"/>
            <w:noWrap/>
            <w:hideMark/>
          </w:tcPr>
          <w:p w14:paraId="3AF850EE" w14:textId="77777777" w:rsidR="00DE3D5F" w:rsidRDefault="00DE3D5F" w:rsidP="00282204">
            <w:pPr>
              <w:jc w:val="right"/>
              <w:rPr>
                <w:rFonts w:ascii="Helvetica" w:hAnsi="Helvetica" w:cs="Helvetica"/>
                <w:color w:val="222222"/>
                <w:spacing w:val="3"/>
              </w:rPr>
            </w:pPr>
          </w:p>
        </w:tc>
        <w:tc>
          <w:tcPr>
            <w:tcW w:w="7" w:type="dxa"/>
            <w:noWrap/>
            <w:hideMark/>
          </w:tcPr>
          <w:p w14:paraId="63459319" w14:textId="77777777" w:rsidR="00DE3D5F" w:rsidRPr="00050A7A" w:rsidRDefault="00DE3D5F" w:rsidP="00282204">
            <w:pPr>
              <w:pStyle w:val="ListParagraph"/>
              <w:numPr>
                <w:ilvl w:val="0"/>
                <w:numId w:val="20"/>
              </w:numPr>
              <w:spacing w:line="270" w:lineRule="atLeast"/>
              <w:jc w:val="center"/>
              <w:rPr>
                <w:rFonts w:ascii="Helvetica" w:hAnsi="Helvetica" w:cs="Helvetica"/>
                <w:color w:val="444444"/>
                <w:spacing w:val="3"/>
              </w:rPr>
            </w:pPr>
            <w:r>
              <w:rPr>
                <w:noProof/>
              </w:rPr>
              <w:drawing>
                <wp:inline distT="0" distB="0" distL="0" distR="0" wp14:anchorId="72875F7B" wp14:editId="4E66F40F">
                  <wp:extent cx="6350" cy="6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r>
      <w:tr w:rsidR="00DE3D5F" w14:paraId="488F2352" w14:textId="77777777" w:rsidTr="00282204">
        <w:tc>
          <w:tcPr>
            <w:tcW w:w="9353" w:type="dxa"/>
            <w:gridSpan w:val="3"/>
            <w:vAlign w:val="center"/>
            <w:hideMark/>
          </w:tcPr>
          <w:tbl>
            <w:tblPr>
              <w:tblW w:w="12960" w:type="dxa"/>
              <w:tblLayout w:type="fixed"/>
              <w:tblCellMar>
                <w:left w:w="0" w:type="dxa"/>
                <w:right w:w="0" w:type="dxa"/>
              </w:tblCellMar>
              <w:tblLook w:val="04A0" w:firstRow="1" w:lastRow="0" w:firstColumn="1" w:lastColumn="0" w:noHBand="0" w:noVBand="1"/>
            </w:tblPr>
            <w:tblGrid>
              <w:gridCol w:w="12960"/>
            </w:tblGrid>
            <w:tr w:rsidR="00DE3D5F" w14:paraId="28E2C688" w14:textId="77777777" w:rsidTr="00282204">
              <w:tc>
                <w:tcPr>
                  <w:tcW w:w="12960" w:type="dxa"/>
                  <w:noWrap/>
                  <w:vAlign w:val="center"/>
                  <w:hideMark/>
                </w:tcPr>
                <w:p w14:paraId="67FF3814" w14:textId="77777777" w:rsidR="00DE3D5F" w:rsidRDefault="00DE3D5F" w:rsidP="00282204">
                  <w:pPr>
                    <w:spacing w:line="300" w:lineRule="atLeast"/>
                    <w:rPr>
                      <w:rFonts w:ascii="Helvetica" w:hAnsi="Helvetica" w:cs="Helvetica"/>
                    </w:rPr>
                  </w:pPr>
                  <w:r>
                    <w:rPr>
                      <w:rStyle w:val="hb"/>
                      <w:rFonts w:ascii="Helvetica" w:hAnsi="Helvetica" w:cs="Helvetica"/>
                      <w:color w:val="5F6368"/>
                      <w:spacing w:val="5"/>
                    </w:rPr>
                    <w:t>Reply from a pharmacist to </w:t>
                  </w:r>
                  <w:r>
                    <w:rPr>
                      <w:rStyle w:val="g2"/>
                      <w:rFonts w:ascii="Helvetica" w:hAnsi="Helvetica" w:cs="Helvetica"/>
                      <w:color w:val="5F6368"/>
                      <w:spacing w:val="5"/>
                    </w:rPr>
                    <w:t>me</w:t>
                  </w:r>
                </w:p>
                <w:p w14:paraId="451745EF" w14:textId="77777777" w:rsidR="00DE3D5F" w:rsidRDefault="00DE3D5F" w:rsidP="00282204">
                  <w:pPr>
                    <w:spacing w:line="300" w:lineRule="atLeast"/>
                    <w:textAlignment w:val="top"/>
                    <w:rPr>
                      <w:rFonts w:ascii="Helvetica" w:hAnsi="Helvetica" w:cs="Helvetica"/>
                    </w:rPr>
                  </w:pPr>
                  <w:r>
                    <w:rPr>
                      <w:rFonts w:ascii="Helvetica" w:hAnsi="Helvetica" w:cs="Helvetica"/>
                      <w:noProof/>
                    </w:rPr>
                    <w:drawing>
                      <wp:inline distT="0" distB="0" distL="0" distR="0" wp14:anchorId="5EADBF62" wp14:editId="4A940DEF">
                        <wp:extent cx="6350" cy="6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c>
            </w:tr>
          </w:tbl>
          <w:p w14:paraId="1EE707AE" w14:textId="77777777" w:rsidR="00DE3D5F" w:rsidRDefault="00DE3D5F" w:rsidP="00282204">
            <w:pPr>
              <w:spacing w:line="240" w:lineRule="auto"/>
              <w:rPr>
                <w:rFonts w:ascii="Helvetica" w:hAnsi="Helvetica" w:cs="Helvetica"/>
                <w:spacing w:val="3"/>
              </w:rPr>
            </w:pPr>
          </w:p>
        </w:tc>
        <w:tc>
          <w:tcPr>
            <w:tcW w:w="20" w:type="dxa"/>
            <w:vAlign w:val="center"/>
            <w:hideMark/>
          </w:tcPr>
          <w:p w14:paraId="201E6180" w14:textId="77777777" w:rsidR="00DE3D5F" w:rsidRDefault="00DE3D5F" w:rsidP="00282204">
            <w:pPr>
              <w:rPr>
                <w:rFonts w:ascii="Helvetica" w:hAnsi="Helvetica" w:cs="Helvetica"/>
                <w:color w:val="444444"/>
                <w:spacing w:val="3"/>
                <w:sz w:val="24"/>
                <w:szCs w:val="24"/>
              </w:rPr>
            </w:pPr>
          </w:p>
        </w:tc>
      </w:tr>
    </w:tbl>
    <w:p w14:paraId="364AE6FE" w14:textId="77777777" w:rsidR="00DE3D5F" w:rsidRDefault="00DE3D5F" w:rsidP="00DE3D5F">
      <w:pPr>
        <w:pStyle w:val="NormalWeb"/>
        <w:rPr>
          <w:rFonts w:ascii="Calibri" w:hAnsi="Calibri" w:cs="Calibri"/>
          <w:color w:val="000000"/>
        </w:rPr>
      </w:pPr>
      <w:r>
        <w:rPr>
          <w:rFonts w:ascii="Segoe UI" w:hAnsi="Segoe UI" w:cs="Segoe UI"/>
          <w:color w:val="212121"/>
          <w:sz w:val="23"/>
          <w:szCs w:val="23"/>
        </w:rPr>
        <w:t>How long did it take to complete?</w:t>
      </w:r>
    </w:p>
    <w:p w14:paraId="728C6ED2" w14:textId="77777777" w:rsidR="00DE3D5F" w:rsidRDefault="00DE3D5F" w:rsidP="00DE3D5F">
      <w:pPr>
        <w:pStyle w:val="NormalWeb"/>
        <w:rPr>
          <w:rFonts w:ascii="Calibri" w:hAnsi="Calibri" w:cs="Calibri"/>
          <w:color w:val="000000"/>
        </w:rPr>
      </w:pPr>
      <w:r>
        <w:rPr>
          <w:rFonts w:ascii="Calibri" w:hAnsi="Calibri" w:cs="Calibri"/>
          <w:color w:val="000000"/>
        </w:rPr>
        <w:t>around 15 - 20 minutes </w:t>
      </w:r>
      <w:r>
        <w:rPr>
          <w:rFonts w:ascii="Segoe UI" w:hAnsi="Segoe UI" w:cs="Segoe UI"/>
          <w:color w:val="212121"/>
          <w:sz w:val="23"/>
          <w:szCs w:val="23"/>
        </w:rPr>
        <w:br/>
      </w:r>
      <w:r>
        <w:rPr>
          <w:rFonts w:ascii="Segoe UI" w:hAnsi="Segoe UI" w:cs="Segoe UI"/>
          <w:color w:val="212121"/>
          <w:sz w:val="23"/>
          <w:szCs w:val="23"/>
        </w:rPr>
        <w:br/>
        <w:t>Thinking back over the questions, was there anything that you found difficult to answer? (which questions and why?)</w:t>
      </w:r>
    </w:p>
    <w:p w14:paraId="1084523F" w14:textId="77777777" w:rsidR="00DE3D5F" w:rsidRDefault="00DE3D5F" w:rsidP="00DE3D5F">
      <w:pPr>
        <w:pStyle w:val="NormalWeb"/>
        <w:rPr>
          <w:rFonts w:ascii="Calibri" w:hAnsi="Calibri" w:cs="Calibri"/>
          <w:color w:val="000000"/>
        </w:rPr>
      </w:pPr>
      <w:r>
        <w:rPr>
          <w:rFonts w:ascii="Calibri" w:hAnsi="Calibri" w:cs="Calibri"/>
          <w:color w:val="000000"/>
        </w:rPr>
        <w:t>No , all is clear</w:t>
      </w:r>
      <w:r>
        <w:rPr>
          <w:rFonts w:ascii="Segoe UI" w:hAnsi="Segoe UI" w:cs="Segoe UI"/>
          <w:color w:val="212121"/>
          <w:sz w:val="23"/>
          <w:szCs w:val="23"/>
        </w:rPr>
        <w:br/>
      </w:r>
      <w:r>
        <w:rPr>
          <w:rFonts w:ascii="Segoe UI" w:hAnsi="Segoe UI" w:cs="Segoe UI"/>
          <w:color w:val="212121"/>
          <w:sz w:val="23"/>
          <w:szCs w:val="23"/>
        </w:rPr>
        <w:br/>
        <w:t>Was there any wording or content that was confusing or ambiguous? (which questions and why?)</w:t>
      </w:r>
      <w:r>
        <w:rPr>
          <w:rFonts w:ascii="Segoe UI" w:hAnsi="Segoe UI" w:cs="Segoe UI"/>
          <w:color w:val="212121"/>
          <w:sz w:val="23"/>
          <w:szCs w:val="23"/>
        </w:rPr>
        <w:br/>
      </w:r>
      <w:r>
        <w:rPr>
          <w:rFonts w:ascii="Calibri" w:hAnsi="Calibri" w:cs="Calibri"/>
          <w:color w:val="000000"/>
        </w:rPr>
        <w:t>No</w:t>
      </w:r>
      <w:r>
        <w:rPr>
          <w:rFonts w:ascii="Segoe UI" w:hAnsi="Segoe UI" w:cs="Segoe UI"/>
          <w:color w:val="212121"/>
          <w:sz w:val="23"/>
          <w:szCs w:val="23"/>
        </w:rPr>
        <w:br/>
        <w:t>Were there any key questions missing?</w:t>
      </w:r>
    </w:p>
    <w:p w14:paraId="3F53FA5A" w14:textId="77777777" w:rsidR="00DE3D5F" w:rsidRPr="00876389" w:rsidRDefault="00DE3D5F" w:rsidP="00DE3D5F">
      <w:pPr>
        <w:pStyle w:val="NormalWeb"/>
        <w:rPr>
          <w:rFonts w:ascii="Segoe UI" w:hAnsi="Segoe UI" w:cs="Segoe UI"/>
          <w:color w:val="212121"/>
          <w:sz w:val="23"/>
          <w:szCs w:val="23"/>
          <w:lang w:val="fr-FR"/>
        </w:rPr>
      </w:pPr>
      <w:r w:rsidRPr="00876389">
        <w:rPr>
          <w:rFonts w:ascii="Segoe UI" w:hAnsi="Segoe UI" w:cs="Segoe UI"/>
          <w:color w:val="212121"/>
          <w:sz w:val="23"/>
          <w:szCs w:val="23"/>
          <w:lang w:val="fr-FR"/>
        </w:rPr>
        <w:t>No</w:t>
      </w:r>
    </w:p>
    <w:p w14:paraId="13B822C5" w14:textId="77777777" w:rsidR="00DE3D5F" w:rsidRPr="00876389" w:rsidRDefault="00DE3D5F" w:rsidP="00DE3D5F">
      <w:pPr>
        <w:rPr>
          <w:rFonts w:ascii="Segoe UI" w:eastAsia="Times New Roman" w:hAnsi="Segoe UI" w:cs="Segoe UI"/>
          <w:color w:val="212121"/>
          <w:sz w:val="23"/>
          <w:szCs w:val="23"/>
          <w:lang w:val="fr-FR"/>
        </w:rPr>
      </w:pPr>
    </w:p>
    <w:p w14:paraId="1A1A8B67" w14:textId="77777777" w:rsidR="00DE3D5F" w:rsidRPr="00876389" w:rsidRDefault="00DE3D5F" w:rsidP="00DE3D5F">
      <w:pPr>
        <w:rPr>
          <w:rFonts w:ascii="Gill Sans MT" w:eastAsiaTheme="minorEastAsia" w:hAnsi="Gill Sans MT"/>
          <w:sz w:val="24"/>
          <w:szCs w:val="24"/>
          <w:lang w:val="fr-FR" w:eastAsia="en-GB"/>
        </w:rPr>
      </w:pPr>
    </w:p>
    <w:p w14:paraId="15E6BBDA" w14:textId="77777777" w:rsidR="00DE3D5F" w:rsidRPr="00876389" w:rsidRDefault="00DE3D5F" w:rsidP="00220E87">
      <w:pPr>
        <w:spacing w:line="360" w:lineRule="auto"/>
        <w:rPr>
          <w:rFonts w:cstheme="minorHAnsi"/>
          <w:sz w:val="24"/>
          <w:szCs w:val="24"/>
          <w:lang w:val="fr-FR"/>
        </w:rPr>
        <w:sectPr w:rsidR="00DE3D5F" w:rsidRPr="00876389" w:rsidSect="00DE3D5F">
          <w:pgSz w:w="15840" w:h="12240" w:orient="landscape"/>
          <w:pgMar w:top="1440" w:right="1440" w:bottom="1440" w:left="1440" w:header="720" w:footer="720" w:gutter="0"/>
          <w:cols w:space="720"/>
          <w:docGrid w:linePitch="360"/>
        </w:sectPr>
      </w:pPr>
    </w:p>
    <w:p w14:paraId="6C47DB8D" w14:textId="77777777" w:rsidR="00BA110C" w:rsidRPr="00876389" w:rsidRDefault="00BA110C" w:rsidP="00BA110C">
      <w:pPr>
        <w:pStyle w:val="Heading1"/>
        <w:rPr>
          <w:rFonts w:eastAsiaTheme="minorEastAsia"/>
          <w:lang w:val="fr-FR" w:eastAsia="en-GB"/>
        </w:rPr>
      </w:pPr>
      <w:bookmarkStart w:id="396" w:name="_Toc124889212"/>
      <w:bookmarkStart w:id="397" w:name="_Toc124890449"/>
      <w:bookmarkStart w:id="398" w:name="_Ref125819352"/>
      <w:bookmarkStart w:id="399" w:name="_Toc126069993"/>
      <w:bookmarkStart w:id="400" w:name="_Toc127835998"/>
      <w:bookmarkStart w:id="401" w:name="_Toc128061928"/>
      <w:bookmarkStart w:id="402" w:name="_Toc148518773"/>
      <w:bookmarkStart w:id="403" w:name="_Toc150609782"/>
      <w:bookmarkStart w:id="404" w:name="_Toc153894239"/>
      <w:r w:rsidRPr="00876389">
        <w:rPr>
          <w:rFonts w:eastAsiaTheme="minorEastAsia"/>
          <w:lang w:val="fr-FR" w:eastAsia="en-GB"/>
        </w:rPr>
        <w:t>Appendix L: Participant Information Sheet (PIS)</w:t>
      </w:r>
      <w:bookmarkEnd w:id="396"/>
      <w:bookmarkEnd w:id="397"/>
      <w:bookmarkEnd w:id="398"/>
      <w:bookmarkEnd w:id="399"/>
      <w:bookmarkEnd w:id="400"/>
      <w:bookmarkEnd w:id="401"/>
      <w:bookmarkEnd w:id="402"/>
      <w:bookmarkEnd w:id="403"/>
      <w:bookmarkEnd w:id="404"/>
    </w:p>
    <w:p w14:paraId="1BBE9767" w14:textId="77777777" w:rsidR="00BA110C" w:rsidRPr="00876389" w:rsidRDefault="00BA110C" w:rsidP="00BA110C">
      <w:pPr>
        <w:rPr>
          <w:lang w:val="fr-FR"/>
        </w:rPr>
      </w:pPr>
    </w:p>
    <w:p w14:paraId="79C30289" w14:textId="77777777" w:rsidR="00BA110C" w:rsidRDefault="00000000" w:rsidP="00BA110C">
      <w:pPr>
        <w:rPr>
          <w:rStyle w:val="Hyperlink"/>
          <w:rFonts w:ascii="Gill Sans MT" w:eastAsiaTheme="minorEastAsia" w:hAnsi="Gill Sans MT"/>
          <w:sz w:val="24"/>
          <w:szCs w:val="24"/>
          <w:lang w:val="en-GB" w:eastAsia="en-GB"/>
        </w:rPr>
      </w:pPr>
      <w:hyperlink r:id="rId54" w:history="1">
        <w:r w:rsidR="00BA110C" w:rsidRPr="0092509B">
          <w:rPr>
            <w:rStyle w:val="Hyperlink"/>
            <w:rFonts w:ascii="Gill Sans MT" w:eastAsiaTheme="minorEastAsia" w:hAnsi="Gill Sans MT"/>
            <w:sz w:val="24"/>
            <w:szCs w:val="24"/>
            <w:lang w:val="en-GB" w:eastAsia="en-GB"/>
          </w:rPr>
          <w:t>C:\Users\n_shu\OneDrive\Desktop\Updated forms for Ethical Approval\Participant Information Sheet_for Questionnaire_Updated.docx</w:t>
        </w:r>
      </w:hyperlink>
    </w:p>
    <w:p w14:paraId="494543D8" w14:textId="77777777" w:rsidR="00BA110C" w:rsidRPr="00941D56" w:rsidRDefault="00BA110C" w:rsidP="00BA110C">
      <w:pPr>
        <w:rPr>
          <w:rStyle w:val="Hyperlink"/>
          <w:rFonts w:ascii="Gill Sans MT" w:eastAsiaTheme="minorEastAsia" w:hAnsi="Gill Sans MT"/>
          <w:color w:val="auto"/>
          <w:sz w:val="24"/>
          <w:szCs w:val="24"/>
          <w:u w:val="none"/>
          <w:lang w:val="en-GB" w:eastAsia="en-GB"/>
        </w:rPr>
      </w:pPr>
      <w:r w:rsidRPr="00941D56">
        <w:rPr>
          <w:rStyle w:val="Hyperlink"/>
          <w:rFonts w:ascii="Gill Sans MT" w:eastAsiaTheme="minorEastAsia" w:hAnsi="Gill Sans MT"/>
          <w:color w:val="auto"/>
          <w:sz w:val="24"/>
          <w:szCs w:val="24"/>
          <w:u w:val="none"/>
          <w:lang w:val="en-GB" w:eastAsia="en-GB"/>
        </w:rPr>
        <w:t xml:space="preserve">PIS for questionnaire </w:t>
      </w:r>
    </w:p>
    <w:p w14:paraId="01489BE6" w14:textId="77777777" w:rsidR="00BA110C" w:rsidRDefault="00BA110C" w:rsidP="00BA110C">
      <w:pPr>
        <w:rPr>
          <w:rFonts w:ascii="Gill Sans MT" w:eastAsiaTheme="minorEastAsia" w:hAnsi="Gill Sans MT"/>
          <w:sz w:val="24"/>
          <w:szCs w:val="24"/>
          <w:lang w:val="en-GB" w:eastAsia="en-GB"/>
        </w:rPr>
      </w:pPr>
      <w:r>
        <w:rPr>
          <w:noProof/>
        </w:rPr>
        <w:drawing>
          <wp:inline distT="0" distB="0" distL="0" distR="0" wp14:anchorId="3DAC22EE" wp14:editId="0FC4DFCD">
            <wp:extent cx="6411584" cy="2934032"/>
            <wp:effectExtent l="0" t="0" r="8890" b="0"/>
            <wp:docPr id="9" name="Picture 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Word&#10;&#10;Description automatically generated"/>
                    <pic:cNvPicPr/>
                  </pic:nvPicPr>
                  <pic:blipFill rotWithShape="1">
                    <a:blip r:embed="rId55"/>
                    <a:srcRect l="10305" t="28304" r="10224" b="10548"/>
                    <a:stretch/>
                  </pic:blipFill>
                  <pic:spPr bwMode="auto">
                    <a:xfrm>
                      <a:off x="0" y="0"/>
                      <a:ext cx="6472819" cy="2962054"/>
                    </a:xfrm>
                    <a:prstGeom prst="rect">
                      <a:avLst/>
                    </a:prstGeom>
                    <a:ln>
                      <a:noFill/>
                    </a:ln>
                    <a:extLst>
                      <a:ext uri="{53640926-AAD7-44D8-BBD7-CCE9431645EC}">
                        <a14:shadowObscured xmlns:a14="http://schemas.microsoft.com/office/drawing/2010/main"/>
                      </a:ext>
                    </a:extLst>
                  </pic:spPr>
                </pic:pic>
              </a:graphicData>
            </a:graphic>
          </wp:inline>
        </w:drawing>
      </w:r>
    </w:p>
    <w:p w14:paraId="599185A5" w14:textId="77777777" w:rsidR="00BA110C" w:rsidRDefault="00BA110C" w:rsidP="00BA110C"/>
    <w:p w14:paraId="3EC0E289" w14:textId="77777777" w:rsidR="00BA110C" w:rsidRDefault="00000000" w:rsidP="00BA110C">
      <w:pPr>
        <w:rPr>
          <w:rFonts w:ascii="Gill Sans MT" w:eastAsiaTheme="minorEastAsia" w:hAnsi="Gill Sans MT"/>
          <w:sz w:val="24"/>
          <w:szCs w:val="24"/>
          <w:lang w:val="en-GB" w:eastAsia="en-GB"/>
        </w:rPr>
      </w:pPr>
      <w:hyperlink r:id="rId56" w:history="1">
        <w:r w:rsidR="00BA110C" w:rsidRPr="0092509B">
          <w:rPr>
            <w:rStyle w:val="Hyperlink"/>
            <w:rFonts w:ascii="Gill Sans MT" w:eastAsiaTheme="minorEastAsia" w:hAnsi="Gill Sans MT"/>
            <w:sz w:val="24"/>
            <w:szCs w:val="24"/>
            <w:lang w:val="en-GB" w:eastAsia="en-GB"/>
          </w:rPr>
          <w:t>C:\Users\n_shu\OneDrive\Desktop\PIS+CF for Interview\Participant_Information_Sheet.docx</w:t>
        </w:r>
      </w:hyperlink>
    </w:p>
    <w:p w14:paraId="08BF6DAD" w14:textId="77777777" w:rsidR="00BA110C" w:rsidRDefault="00BA110C" w:rsidP="00BA110C">
      <w:pPr>
        <w:rPr>
          <w:rFonts w:ascii="Gill Sans MT" w:eastAsiaTheme="minorEastAsia" w:hAnsi="Gill Sans MT"/>
          <w:sz w:val="24"/>
          <w:szCs w:val="24"/>
          <w:lang w:val="en-GB" w:eastAsia="en-GB"/>
        </w:rPr>
      </w:pPr>
      <w:r>
        <w:rPr>
          <w:rFonts w:ascii="Gill Sans MT" w:eastAsiaTheme="minorEastAsia" w:hAnsi="Gill Sans MT"/>
          <w:sz w:val="24"/>
          <w:szCs w:val="24"/>
          <w:lang w:val="en-GB" w:eastAsia="en-GB"/>
        </w:rPr>
        <w:t xml:space="preserve">PIS for interviews </w:t>
      </w:r>
    </w:p>
    <w:p w14:paraId="32DF3966" w14:textId="77777777" w:rsidR="00BA110C" w:rsidRDefault="00BA110C" w:rsidP="00BA110C">
      <w:pPr>
        <w:jc w:val="center"/>
        <w:rPr>
          <w:rFonts w:ascii="Gill Sans MT" w:eastAsiaTheme="minorEastAsia" w:hAnsi="Gill Sans MT"/>
          <w:sz w:val="24"/>
          <w:szCs w:val="24"/>
          <w:lang w:val="en-GB" w:eastAsia="en-GB"/>
        </w:rPr>
      </w:pPr>
      <w:r>
        <w:rPr>
          <w:noProof/>
        </w:rPr>
        <w:drawing>
          <wp:inline distT="0" distB="0" distL="0" distR="0" wp14:anchorId="0ECA7F10" wp14:editId="09793626">
            <wp:extent cx="6475852" cy="2783205"/>
            <wp:effectExtent l="0" t="0" r="1270" b="0"/>
            <wp:docPr id="17" name="Picture 1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Word&#10;&#10;Description automatically generated"/>
                    <pic:cNvPicPr/>
                  </pic:nvPicPr>
                  <pic:blipFill rotWithShape="1">
                    <a:blip r:embed="rId57"/>
                    <a:srcRect l="10481" t="27863" r="10096" b="11453"/>
                    <a:stretch/>
                  </pic:blipFill>
                  <pic:spPr bwMode="auto">
                    <a:xfrm>
                      <a:off x="0" y="0"/>
                      <a:ext cx="6520825" cy="2802534"/>
                    </a:xfrm>
                    <a:prstGeom prst="rect">
                      <a:avLst/>
                    </a:prstGeom>
                    <a:ln>
                      <a:noFill/>
                    </a:ln>
                    <a:extLst>
                      <a:ext uri="{53640926-AAD7-44D8-BBD7-CCE9431645EC}">
                        <a14:shadowObscured xmlns:a14="http://schemas.microsoft.com/office/drawing/2010/main"/>
                      </a:ext>
                    </a:extLst>
                  </pic:spPr>
                </pic:pic>
              </a:graphicData>
            </a:graphic>
          </wp:inline>
        </w:drawing>
      </w:r>
      <w:r>
        <w:rPr>
          <w:rFonts w:ascii="Gill Sans MT" w:eastAsiaTheme="minorEastAsia" w:hAnsi="Gill Sans MT"/>
          <w:sz w:val="24"/>
          <w:szCs w:val="24"/>
          <w:lang w:val="en-GB" w:eastAsia="en-GB"/>
        </w:rPr>
        <w:br w:type="page"/>
      </w:r>
    </w:p>
    <w:p w14:paraId="38A9D6B2" w14:textId="77777777" w:rsidR="00BA110C" w:rsidRDefault="00BA110C" w:rsidP="00BA110C">
      <w:pPr>
        <w:pStyle w:val="Heading1"/>
        <w:rPr>
          <w:rFonts w:eastAsiaTheme="minorEastAsia"/>
          <w:lang w:val="en-GB" w:eastAsia="en-GB"/>
        </w:rPr>
      </w:pPr>
      <w:bookmarkStart w:id="405" w:name="_Ref124779511"/>
      <w:bookmarkStart w:id="406" w:name="_Toc124889213"/>
      <w:bookmarkStart w:id="407" w:name="_Toc124890450"/>
      <w:bookmarkStart w:id="408" w:name="_Toc126069994"/>
      <w:bookmarkStart w:id="409" w:name="_Toc127835999"/>
      <w:bookmarkStart w:id="410" w:name="_Toc128061929"/>
      <w:bookmarkStart w:id="411" w:name="_Toc148518774"/>
      <w:bookmarkStart w:id="412" w:name="_Toc150609783"/>
      <w:bookmarkStart w:id="413" w:name="_Toc153894240"/>
      <w:r>
        <w:rPr>
          <w:rFonts w:eastAsiaTheme="minorEastAsia"/>
          <w:lang w:val="en-GB" w:eastAsia="en-GB"/>
        </w:rPr>
        <w:t>Appendix M: Consent Form for interview</w:t>
      </w:r>
      <w:bookmarkEnd w:id="405"/>
      <w:bookmarkEnd w:id="406"/>
      <w:bookmarkEnd w:id="407"/>
      <w:bookmarkEnd w:id="408"/>
      <w:bookmarkEnd w:id="409"/>
      <w:bookmarkEnd w:id="410"/>
      <w:bookmarkEnd w:id="411"/>
      <w:bookmarkEnd w:id="412"/>
      <w:bookmarkEnd w:id="413"/>
    </w:p>
    <w:p w14:paraId="669E3FEE" w14:textId="77777777" w:rsidR="00BA110C" w:rsidRDefault="00000000" w:rsidP="00BA110C">
      <w:pPr>
        <w:spacing w:line="360" w:lineRule="auto"/>
        <w:rPr>
          <w:rFonts w:ascii="Gill Sans MT" w:eastAsiaTheme="minorEastAsia" w:hAnsi="Gill Sans MT"/>
          <w:sz w:val="24"/>
          <w:szCs w:val="24"/>
          <w:lang w:val="en-GB" w:eastAsia="en-GB"/>
        </w:rPr>
      </w:pPr>
      <w:hyperlink r:id="rId58" w:history="1">
        <w:r w:rsidR="00BA110C" w:rsidRPr="0092509B">
          <w:rPr>
            <w:rStyle w:val="Hyperlink"/>
            <w:rFonts w:ascii="Gill Sans MT" w:eastAsiaTheme="minorEastAsia" w:hAnsi="Gill Sans MT"/>
            <w:sz w:val="24"/>
            <w:szCs w:val="24"/>
            <w:lang w:val="en-GB" w:eastAsia="en-GB"/>
          </w:rPr>
          <w:t>C:\Users\n_shu\OneDrive\Desktop\PIS+CF for Interview\Consent Form_for the interview.docx</w:t>
        </w:r>
      </w:hyperlink>
    </w:p>
    <w:p w14:paraId="6007826C" w14:textId="77777777" w:rsidR="00BA110C" w:rsidRDefault="00BA110C" w:rsidP="00BA110C">
      <w:pPr>
        <w:spacing w:line="360" w:lineRule="auto"/>
        <w:rPr>
          <w:rFonts w:ascii="Gill Sans MT" w:eastAsiaTheme="minorEastAsia" w:hAnsi="Gill Sans MT"/>
          <w:sz w:val="24"/>
          <w:szCs w:val="24"/>
          <w:lang w:val="en-GB" w:eastAsia="en-GB"/>
        </w:rPr>
      </w:pPr>
      <w:r>
        <w:rPr>
          <w:noProof/>
        </w:rPr>
        <w:drawing>
          <wp:inline distT="0" distB="0" distL="0" distR="0" wp14:anchorId="0A1EFF2A" wp14:editId="622F99F0">
            <wp:extent cx="4786776" cy="6351182"/>
            <wp:effectExtent l="0" t="0" r="0" b="0"/>
            <wp:docPr id="65" name="Picture 6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 application, Word&#10;&#10;Description automatically generated"/>
                    <pic:cNvPicPr/>
                  </pic:nvPicPr>
                  <pic:blipFill rotWithShape="1">
                    <a:blip r:embed="rId59"/>
                    <a:srcRect l="37567" t="27985" r="37146" b="11157"/>
                    <a:stretch/>
                  </pic:blipFill>
                  <pic:spPr bwMode="auto">
                    <a:xfrm>
                      <a:off x="0" y="0"/>
                      <a:ext cx="4831252" cy="6410193"/>
                    </a:xfrm>
                    <a:prstGeom prst="rect">
                      <a:avLst/>
                    </a:prstGeom>
                    <a:ln>
                      <a:noFill/>
                    </a:ln>
                    <a:extLst>
                      <a:ext uri="{53640926-AAD7-44D8-BBD7-CCE9431645EC}">
                        <a14:shadowObscured xmlns:a14="http://schemas.microsoft.com/office/drawing/2010/main"/>
                      </a:ext>
                    </a:extLst>
                  </pic:spPr>
                </pic:pic>
              </a:graphicData>
            </a:graphic>
          </wp:inline>
        </w:drawing>
      </w:r>
    </w:p>
    <w:p w14:paraId="1B2357D5" w14:textId="77777777" w:rsidR="00BA110C" w:rsidRDefault="00BA110C" w:rsidP="00BA110C">
      <w:pPr>
        <w:spacing w:line="360" w:lineRule="auto"/>
        <w:rPr>
          <w:rFonts w:ascii="Gill Sans MT" w:eastAsiaTheme="minorEastAsia" w:hAnsi="Gill Sans MT"/>
          <w:sz w:val="24"/>
          <w:szCs w:val="24"/>
          <w:lang w:val="en-GB" w:eastAsia="en-GB"/>
        </w:rPr>
      </w:pPr>
      <w:r>
        <w:rPr>
          <w:noProof/>
        </w:rPr>
        <w:drawing>
          <wp:inline distT="0" distB="0" distL="0" distR="0" wp14:anchorId="5731886B" wp14:editId="224B50DB">
            <wp:extent cx="4933507" cy="6957866"/>
            <wp:effectExtent l="0" t="0" r="635" b="0"/>
            <wp:docPr id="66" name="Picture 6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application, Word&#10;&#10;Description automatically generated"/>
                    <pic:cNvPicPr/>
                  </pic:nvPicPr>
                  <pic:blipFill rotWithShape="1">
                    <a:blip r:embed="rId60"/>
                    <a:srcRect l="37567" t="27570" r="37148" b="9033"/>
                    <a:stretch/>
                  </pic:blipFill>
                  <pic:spPr bwMode="auto">
                    <a:xfrm>
                      <a:off x="0" y="0"/>
                      <a:ext cx="4951904" cy="6983811"/>
                    </a:xfrm>
                    <a:prstGeom prst="rect">
                      <a:avLst/>
                    </a:prstGeom>
                    <a:ln>
                      <a:noFill/>
                    </a:ln>
                    <a:extLst>
                      <a:ext uri="{53640926-AAD7-44D8-BBD7-CCE9431645EC}">
                        <a14:shadowObscured xmlns:a14="http://schemas.microsoft.com/office/drawing/2010/main"/>
                      </a:ext>
                    </a:extLst>
                  </pic:spPr>
                </pic:pic>
              </a:graphicData>
            </a:graphic>
          </wp:inline>
        </w:drawing>
      </w:r>
    </w:p>
    <w:p w14:paraId="35ED3DC0" w14:textId="77777777" w:rsidR="00BA110C" w:rsidRPr="00FB1597" w:rsidRDefault="00BA110C" w:rsidP="00BA110C">
      <w:pPr>
        <w:spacing w:line="360" w:lineRule="auto"/>
        <w:rPr>
          <w:rFonts w:ascii="Gill Sans MT" w:eastAsiaTheme="minorEastAsia" w:hAnsi="Gill Sans MT"/>
          <w:sz w:val="24"/>
          <w:szCs w:val="24"/>
          <w:lang w:val="en-GB" w:eastAsia="en-GB"/>
        </w:rPr>
      </w:pPr>
    </w:p>
    <w:p w14:paraId="6966D181" w14:textId="77777777" w:rsidR="00BA110C" w:rsidRDefault="00BA110C" w:rsidP="00BA110C">
      <w:pPr>
        <w:spacing w:line="360" w:lineRule="auto"/>
        <w:jc w:val="both"/>
        <w:rPr>
          <w:rFonts w:ascii="Gill Sans MT" w:eastAsiaTheme="minorEastAsia" w:hAnsi="Gill Sans MT"/>
          <w:sz w:val="24"/>
          <w:szCs w:val="24"/>
          <w:rtl/>
          <w:lang w:val="en-GB" w:eastAsia="en-GB"/>
        </w:rPr>
      </w:pPr>
    </w:p>
    <w:p w14:paraId="28802B24" w14:textId="77777777" w:rsidR="00BA110C" w:rsidRDefault="00BA110C" w:rsidP="00BA110C">
      <w:pPr>
        <w:rPr>
          <w:rFonts w:ascii="Arial" w:hAnsi="Arial" w:cs="Arial"/>
          <w:lang w:val="en-GB"/>
        </w:rPr>
      </w:pPr>
    </w:p>
    <w:p w14:paraId="5803BF6C" w14:textId="77777777" w:rsidR="00BA110C" w:rsidRDefault="00BA110C" w:rsidP="00BA110C">
      <w:pPr>
        <w:pStyle w:val="Heading1"/>
        <w:rPr>
          <w:lang w:val="en-GB"/>
        </w:rPr>
      </w:pPr>
      <w:bookmarkStart w:id="414" w:name="_Ref124780563"/>
      <w:bookmarkStart w:id="415" w:name="_Toc124889214"/>
      <w:bookmarkStart w:id="416" w:name="_Toc124890451"/>
      <w:bookmarkStart w:id="417" w:name="_Toc126069995"/>
      <w:bookmarkStart w:id="418" w:name="_Toc127836000"/>
      <w:bookmarkStart w:id="419" w:name="_Toc128061930"/>
      <w:bookmarkStart w:id="420" w:name="_Toc148518775"/>
      <w:bookmarkStart w:id="421" w:name="_Toc150609784"/>
      <w:bookmarkStart w:id="422" w:name="_Toc153894241"/>
      <w:r>
        <w:rPr>
          <w:lang w:val="en-GB"/>
        </w:rPr>
        <w:t>Appendix N: The University Approval Letter</w:t>
      </w:r>
      <w:bookmarkEnd w:id="414"/>
      <w:bookmarkEnd w:id="415"/>
      <w:bookmarkEnd w:id="416"/>
      <w:bookmarkEnd w:id="417"/>
      <w:bookmarkEnd w:id="418"/>
      <w:bookmarkEnd w:id="419"/>
      <w:bookmarkEnd w:id="420"/>
      <w:bookmarkEnd w:id="421"/>
      <w:bookmarkEnd w:id="422"/>
      <w:r>
        <w:rPr>
          <w:lang w:val="en-GB"/>
        </w:rPr>
        <w:t xml:space="preserve"> </w:t>
      </w:r>
    </w:p>
    <w:p w14:paraId="22D366AE" w14:textId="77777777" w:rsidR="00BA110C" w:rsidRDefault="00BA110C" w:rsidP="00BA110C">
      <w:pPr>
        <w:rPr>
          <w:lang w:val="en-GB"/>
        </w:rPr>
      </w:pPr>
    </w:p>
    <w:p w14:paraId="2316EFE3" w14:textId="77777777" w:rsidR="00BA110C" w:rsidRPr="000D124B" w:rsidRDefault="00000000" w:rsidP="00BA110C">
      <w:pPr>
        <w:rPr>
          <w:lang w:val="en-GB"/>
        </w:rPr>
      </w:pPr>
      <w:hyperlink r:id="rId61" w:history="1">
        <w:r w:rsidR="00BA110C" w:rsidRPr="000D124B">
          <w:rPr>
            <w:rStyle w:val="Hyperlink"/>
            <w:lang w:val="en-GB"/>
          </w:rPr>
          <w:t>C:\Users\n_shu\OneDrive\Desktop\Updated forms for Ethical Approval\036512 amendment approval letter April 2021.pdf</w:t>
        </w:r>
      </w:hyperlink>
    </w:p>
    <w:p w14:paraId="41FDA6AA" w14:textId="77777777" w:rsidR="00BA110C" w:rsidRPr="006B2FC7" w:rsidRDefault="00BA110C" w:rsidP="00BA110C">
      <w:pPr>
        <w:rPr>
          <w:rFonts w:ascii="Arial" w:hAnsi="Arial" w:cs="Arial"/>
          <w:lang w:val="en-GB"/>
        </w:rPr>
      </w:pPr>
      <w:r>
        <w:rPr>
          <w:noProof/>
        </w:rPr>
        <w:drawing>
          <wp:inline distT="0" distB="0" distL="0" distR="0" wp14:anchorId="3E69AF2F" wp14:editId="77727ECE">
            <wp:extent cx="4999121" cy="7101556"/>
            <wp:effectExtent l="0" t="0" r="0" b="4445"/>
            <wp:docPr id="784017184" name="Picture 7840171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62"/>
                    <a:srcRect l="33809" t="5760" r="33692" b="12167"/>
                    <a:stretch/>
                  </pic:blipFill>
                  <pic:spPr bwMode="auto">
                    <a:xfrm>
                      <a:off x="0" y="0"/>
                      <a:ext cx="5005121" cy="7110079"/>
                    </a:xfrm>
                    <a:prstGeom prst="rect">
                      <a:avLst/>
                    </a:prstGeom>
                    <a:ln>
                      <a:noFill/>
                    </a:ln>
                    <a:extLst>
                      <a:ext uri="{53640926-AAD7-44D8-BBD7-CCE9431645EC}">
                        <a14:shadowObscured xmlns:a14="http://schemas.microsoft.com/office/drawing/2010/main"/>
                      </a:ext>
                    </a:extLst>
                  </pic:spPr>
                </pic:pic>
              </a:graphicData>
            </a:graphic>
          </wp:inline>
        </w:drawing>
      </w:r>
    </w:p>
    <w:p w14:paraId="3AEFA15F" w14:textId="77777777" w:rsidR="00BA110C" w:rsidRDefault="00BA110C" w:rsidP="00BA110C">
      <w:pPr>
        <w:pStyle w:val="Heading1"/>
        <w:rPr>
          <w:lang w:val="en-GB"/>
        </w:rPr>
      </w:pPr>
      <w:bookmarkStart w:id="423" w:name="_Ref124780568"/>
      <w:bookmarkStart w:id="424" w:name="_Toc124889215"/>
      <w:bookmarkStart w:id="425" w:name="_Toc124890452"/>
      <w:bookmarkStart w:id="426" w:name="_Toc126069996"/>
      <w:bookmarkStart w:id="427" w:name="_Toc127836001"/>
      <w:bookmarkStart w:id="428" w:name="_Toc128061931"/>
      <w:bookmarkStart w:id="429" w:name="_Toc148518776"/>
      <w:bookmarkStart w:id="430" w:name="_Toc150609785"/>
      <w:bookmarkStart w:id="431" w:name="_Toc153894242"/>
      <w:r>
        <w:rPr>
          <w:lang w:val="en-GB"/>
        </w:rPr>
        <w:t>Appendix O: The Saudi MoH Approval Letter</w:t>
      </w:r>
      <w:bookmarkEnd w:id="423"/>
      <w:bookmarkEnd w:id="424"/>
      <w:bookmarkEnd w:id="425"/>
      <w:bookmarkEnd w:id="426"/>
      <w:bookmarkEnd w:id="427"/>
      <w:bookmarkEnd w:id="428"/>
      <w:bookmarkEnd w:id="429"/>
      <w:bookmarkEnd w:id="430"/>
      <w:bookmarkEnd w:id="431"/>
      <w:r>
        <w:rPr>
          <w:lang w:val="en-GB"/>
        </w:rPr>
        <w:t xml:space="preserve"> </w:t>
      </w:r>
    </w:p>
    <w:p w14:paraId="160E9CA5" w14:textId="77777777" w:rsidR="00BA110C" w:rsidRDefault="00000000" w:rsidP="00BA110C">
      <w:pPr>
        <w:rPr>
          <w:lang w:val="en-GB"/>
        </w:rPr>
      </w:pPr>
      <w:hyperlink r:id="rId63" w:history="1">
        <w:r w:rsidR="00BA110C" w:rsidRPr="00482C99">
          <w:rPr>
            <w:rStyle w:val="Hyperlink"/>
            <w:lang w:val="en-GB"/>
          </w:rPr>
          <w:t>C:\Users\n_shu\OneDrive\Desktop\Updated forms for Ethical Approval\IRB KFHH RCA 39A-32-2020.pdf</w:t>
        </w:r>
      </w:hyperlink>
    </w:p>
    <w:p w14:paraId="499C2555" w14:textId="77777777" w:rsidR="00BA110C" w:rsidRDefault="00BA110C" w:rsidP="00BA110C">
      <w:pPr>
        <w:rPr>
          <w:lang w:val="en-GB"/>
        </w:rPr>
      </w:pPr>
      <w:r>
        <w:rPr>
          <w:noProof/>
        </w:rPr>
        <w:drawing>
          <wp:inline distT="0" distB="0" distL="0" distR="0" wp14:anchorId="7E7791C7" wp14:editId="4C2083B1">
            <wp:extent cx="4301289" cy="6060833"/>
            <wp:effectExtent l="0" t="0" r="4445" b="0"/>
            <wp:docPr id="1905801998" name="Picture 19058019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64"/>
                    <a:srcRect l="33202" t="6841" r="32895" b="8232"/>
                    <a:stretch/>
                  </pic:blipFill>
                  <pic:spPr bwMode="auto">
                    <a:xfrm>
                      <a:off x="0" y="0"/>
                      <a:ext cx="4314448" cy="6079375"/>
                    </a:xfrm>
                    <a:prstGeom prst="rect">
                      <a:avLst/>
                    </a:prstGeom>
                    <a:ln>
                      <a:noFill/>
                    </a:ln>
                    <a:extLst>
                      <a:ext uri="{53640926-AAD7-44D8-BBD7-CCE9431645EC}">
                        <a14:shadowObscured xmlns:a14="http://schemas.microsoft.com/office/drawing/2010/main"/>
                      </a:ext>
                    </a:extLst>
                  </pic:spPr>
                </pic:pic>
              </a:graphicData>
            </a:graphic>
          </wp:inline>
        </w:drawing>
      </w:r>
    </w:p>
    <w:p w14:paraId="0650FAFC" w14:textId="77777777" w:rsidR="00BA110C" w:rsidRPr="00D66BFE" w:rsidRDefault="00BA110C" w:rsidP="00BA110C">
      <w:pPr>
        <w:rPr>
          <w:lang w:val="en-GB"/>
        </w:rPr>
      </w:pPr>
      <w:r>
        <w:rPr>
          <w:noProof/>
        </w:rPr>
        <w:drawing>
          <wp:inline distT="0" distB="0" distL="0" distR="0" wp14:anchorId="1668F5A5" wp14:editId="53A47456">
            <wp:extent cx="5095374" cy="7266892"/>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65"/>
                    <a:srcRect l="33108" t="5758" r="33171" b="8743"/>
                    <a:stretch/>
                  </pic:blipFill>
                  <pic:spPr bwMode="auto">
                    <a:xfrm>
                      <a:off x="0" y="0"/>
                      <a:ext cx="5108229" cy="7285225"/>
                    </a:xfrm>
                    <a:prstGeom prst="rect">
                      <a:avLst/>
                    </a:prstGeom>
                    <a:ln>
                      <a:noFill/>
                    </a:ln>
                    <a:extLst>
                      <a:ext uri="{53640926-AAD7-44D8-BBD7-CCE9431645EC}">
                        <a14:shadowObscured xmlns:a14="http://schemas.microsoft.com/office/drawing/2010/main"/>
                      </a:ext>
                    </a:extLst>
                  </pic:spPr>
                </pic:pic>
              </a:graphicData>
            </a:graphic>
          </wp:inline>
        </w:drawing>
      </w:r>
    </w:p>
    <w:p w14:paraId="6BB94580" w14:textId="77777777" w:rsidR="00BA110C" w:rsidRPr="006B2FC7" w:rsidRDefault="00BA110C" w:rsidP="00BA110C">
      <w:pPr>
        <w:rPr>
          <w:rFonts w:ascii="Arial" w:hAnsi="Arial" w:cs="Arial"/>
          <w:lang w:val="en-GB"/>
        </w:rPr>
      </w:pPr>
    </w:p>
    <w:p w14:paraId="1FB1CC88" w14:textId="77777777" w:rsidR="003715B5" w:rsidRDefault="003715B5" w:rsidP="00220E87">
      <w:pPr>
        <w:spacing w:line="360" w:lineRule="auto"/>
        <w:rPr>
          <w:rFonts w:cstheme="minorHAnsi"/>
          <w:sz w:val="24"/>
          <w:szCs w:val="24"/>
          <w:lang w:val="en-GB"/>
        </w:rPr>
        <w:sectPr w:rsidR="003715B5">
          <w:pgSz w:w="12240" w:h="15840"/>
          <w:pgMar w:top="1440" w:right="1440" w:bottom="1440" w:left="1440" w:header="720" w:footer="720" w:gutter="0"/>
          <w:cols w:space="720"/>
          <w:docGrid w:linePitch="360"/>
        </w:sectPr>
      </w:pPr>
    </w:p>
    <w:p w14:paraId="060BE618" w14:textId="77777777" w:rsidR="00D355D5" w:rsidRDefault="00D355D5" w:rsidP="00D355D5">
      <w:pPr>
        <w:pStyle w:val="Heading1"/>
        <w:rPr>
          <w:lang w:val="en-GB"/>
        </w:rPr>
      </w:pPr>
      <w:bookmarkStart w:id="432" w:name="_Ref126845521"/>
      <w:bookmarkStart w:id="433" w:name="_Toc127836002"/>
      <w:bookmarkStart w:id="434" w:name="_Toc128061932"/>
      <w:bookmarkStart w:id="435" w:name="_Toc148518777"/>
      <w:bookmarkStart w:id="436" w:name="_Toc150609786"/>
      <w:bookmarkStart w:id="437" w:name="_Toc153894243"/>
      <w:r>
        <w:rPr>
          <w:lang w:val="en-GB"/>
        </w:rPr>
        <w:t xml:space="preserve">Appendix P: </w:t>
      </w:r>
      <w:r w:rsidRPr="00AB3E1D">
        <w:rPr>
          <w:lang w:val="en-GB"/>
        </w:rPr>
        <w:t>Pharmaceutical care services provided to patients with diabetes.</w:t>
      </w:r>
      <w:bookmarkEnd w:id="432"/>
      <w:bookmarkEnd w:id="433"/>
      <w:bookmarkEnd w:id="434"/>
      <w:bookmarkEnd w:id="435"/>
      <w:bookmarkEnd w:id="436"/>
      <w:bookmarkEnd w:id="437"/>
    </w:p>
    <w:p w14:paraId="1186CFB5" w14:textId="77777777" w:rsidR="00D355D5" w:rsidRPr="00AB3E1D" w:rsidRDefault="00D355D5" w:rsidP="00D355D5">
      <w:pPr>
        <w:rPr>
          <w:lang w:val="en-GB"/>
        </w:rPr>
      </w:pPr>
    </w:p>
    <w:p w14:paraId="7BDB13F0" w14:textId="02AD6A82" w:rsidR="00D355D5" w:rsidRDefault="00D355D5" w:rsidP="00D355D5">
      <w:pPr>
        <w:pStyle w:val="Caption"/>
      </w:pPr>
      <w:bookmarkStart w:id="438" w:name="_Ref106900480"/>
      <w:bookmarkStart w:id="439" w:name="_Toc153894587"/>
      <w:r w:rsidRPr="00C9011A">
        <w:rPr>
          <w:sz w:val="24"/>
          <w:szCs w:val="24"/>
        </w:rPr>
        <w:t xml:space="preserve">Table </w:t>
      </w:r>
      <w:r w:rsidRPr="00C9011A">
        <w:rPr>
          <w:sz w:val="24"/>
          <w:szCs w:val="24"/>
        </w:rPr>
        <w:fldChar w:fldCharType="begin"/>
      </w:r>
      <w:r w:rsidRPr="00C9011A">
        <w:rPr>
          <w:sz w:val="24"/>
          <w:szCs w:val="24"/>
        </w:rPr>
        <w:instrText xml:space="preserve"> SEQ Table \* ARABIC </w:instrText>
      </w:r>
      <w:r w:rsidRPr="00C9011A">
        <w:rPr>
          <w:sz w:val="24"/>
          <w:szCs w:val="24"/>
        </w:rPr>
        <w:fldChar w:fldCharType="separate"/>
      </w:r>
      <w:r w:rsidR="009B31EB">
        <w:rPr>
          <w:noProof/>
          <w:sz w:val="24"/>
          <w:szCs w:val="24"/>
        </w:rPr>
        <w:t>33</w:t>
      </w:r>
      <w:r w:rsidRPr="00C9011A">
        <w:rPr>
          <w:sz w:val="24"/>
          <w:szCs w:val="24"/>
        </w:rPr>
        <w:fldChar w:fldCharType="end"/>
      </w:r>
      <w:bookmarkEnd w:id="438"/>
      <w:r w:rsidRPr="00C9011A">
        <w:rPr>
          <w:sz w:val="24"/>
          <w:szCs w:val="24"/>
        </w:rPr>
        <w:t xml:space="preserve">:  </w:t>
      </w:r>
      <w:r>
        <w:rPr>
          <w:sz w:val="24"/>
          <w:szCs w:val="24"/>
        </w:rPr>
        <w:t>Percentage</w:t>
      </w:r>
      <w:r w:rsidRPr="00547F65">
        <w:rPr>
          <w:sz w:val="24"/>
          <w:szCs w:val="24"/>
        </w:rPr>
        <w:t xml:space="preserve"> of pharmaceutical care services provided to patients with diabetes</w:t>
      </w:r>
      <w:bookmarkEnd w:id="439"/>
    </w:p>
    <w:p w14:paraId="1E98DF71" w14:textId="77777777" w:rsidR="00D355D5" w:rsidRDefault="00D355D5" w:rsidP="00D355D5"/>
    <w:tbl>
      <w:tblPr>
        <w:tblW w:w="13578" w:type="dxa"/>
        <w:jc w:val="center"/>
        <w:tblLook w:val="04A0" w:firstRow="1" w:lastRow="0" w:firstColumn="1" w:lastColumn="0" w:noHBand="0" w:noVBand="1"/>
      </w:tblPr>
      <w:tblGrid>
        <w:gridCol w:w="5209"/>
        <w:gridCol w:w="1393"/>
        <w:gridCol w:w="1177"/>
        <w:gridCol w:w="1771"/>
        <w:gridCol w:w="1177"/>
        <w:gridCol w:w="1231"/>
        <w:gridCol w:w="1620"/>
      </w:tblGrid>
      <w:tr w:rsidR="00D355D5" w:rsidRPr="00A067E2" w14:paraId="5B3431B5" w14:textId="77777777" w:rsidTr="00282204">
        <w:trPr>
          <w:trHeight w:val="277"/>
          <w:jc w:val="center"/>
        </w:trPr>
        <w:tc>
          <w:tcPr>
            <w:tcW w:w="5209" w:type="dxa"/>
            <w:vMerge w:val="restart"/>
            <w:shd w:val="clear" w:color="auto" w:fill="auto"/>
            <w:noWrap/>
            <w:vAlign w:val="center"/>
          </w:tcPr>
          <w:p w14:paraId="69C0B243" w14:textId="77777777" w:rsidR="00D355D5" w:rsidRPr="00A067E2" w:rsidRDefault="00D355D5" w:rsidP="00282204">
            <w:pPr>
              <w:spacing w:after="0" w:line="240" w:lineRule="auto"/>
              <w:rPr>
                <w:rFonts w:eastAsia="Times New Roman" w:cstheme="minorHAnsi"/>
              </w:rPr>
            </w:pPr>
            <w:r w:rsidRPr="00A067E2">
              <w:rPr>
                <w:rFonts w:eastAsia="Times New Roman" w:cstheme="minorHAnsi"/>
                <w:color w:val="000000"/>
              </w:rPr>
              <w:t>Diabetes-related services   </w:t>
            </w:r>
          </w:p>
        </w:tc>
        <w:tc>
          <w:tcPr>
            <w:tcW w:w="6749" w:type="dxa"/>
            <w:gridSpan w:val="5"/>
            <w:shd w:val="clear" w:color="auto" w:fill="auto"/>
            <w:noWrap/>
            <w:vAlign w:val="center"/>
          </w:tcPr>
          <w:p w14:paraId="2083A7BB"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Frequency*, % of providing service to patients, n = 30 pharmacists</w:t>
            </w:r>
          </w:p>
        </w:tc>
        <w:tc>
          <w:tcPr>
            <w:tcW w:w="1620" w:type="dxa"/>
            <w:vMerge w:val="restart"/>
            <w:shd w:val="clear" w:color="auto" w:fill="auto"/>
            <w:noWrap/>
            <w:vAlign w:val="center"/>
          </w:tcPr>
          <w:p w14:paraId="75C68048"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Median</w:t>
            </w:r>
            <w:r>
              <w:rPr>
                <w:rFonts w:eastAsia="Times New Roman" w:cstheme="minorHAnsi"/>
                <w:color w:val="000000"/>
              </w:rPr>
              <w:t xml:space="preserve"> </w:t>
            </w:r>
            <w:r w:rsidRPr="00A067E2">
              <w:rPr>
                <w:rFonts w:eastAsia="Times New Roman" w:cstheme="minorHAnsi"/>
                <w:color w:val="000000"/>
              </w:rPr>
              <w:t>(IQR)</w:t>
            </w:r>
          </w:p>
        </w:tc>
      </w:tr>
      <w:tr w:rsidR="00D355D5" w:rsidRPr="00A067E2" w14:paraId="3E2FB488" w14:textId="77777777" w:rsidTr="00282204">
        <w:trPr>
          <w:trHeight w:val="409"/>
          <w:jc w:val="center"/>
        </w:trPr>
        <w:tc>
          <w:tcPr>
            <w:tcW w:w="5209" w:type="dxa"/>
            <w:vMerge/>
            <w:tcBorders>
              <w:bottom w:val="single" w:sz="4" w:space="0" w:color="auto"/>
            </w:tcBorders>
            <w:shd w:val="clear" w:color="auto" w:fill="auto"/>
            <w:noWrap/>
            <w:vAlign w:val="bottom"/>
            <w:hideMark/>
          </w:tcPr>
          <w:p w14:paraId="7C63C7CA" w14:textId="77777777" w:rsidR="00D355D5" w:rsidRPr="00A067E2" w:rsidRDefault="00D355D5" w:rsidP="00282204">
            <w:pPr>
              <w:spacing w:after="0" w:line="240" w:lineRule="auto"/>
              <w:rPr>
                <w:rFonts w:eastAsia="Times New Roman" w:cstheme="minorHAnsi"/>
              </w:rPr>
            </w:pPr>
          </w:p>
        </w:tc>
        <w:tc>
          <w:tcPr>
            <w:tcW w:w="1393" w:type="dxa"/>
            <w:tcBorders>
              <w:bottom w:val="single" w:sz="4" w:space="0" w:color="auto"/>
            </w:tcBorders>
            <w:shd w:val="clear" w:color="auto" w:fill="auto"/>
            <w:noWrap/>
            <w:vAlign w:val="center"/>
            <w:hideMark/>
          </w:tcPr>
          <w:p w14:paraId="1AF484D3"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Never</w:t>
            </w:r>
          </w:p>
        </w:tc>
        <w:tc>
          <w:tcPr>
            <w:tcW w:w="1177" w:type="dxa"/>
            <w:tcBorders>
              <w:bottom w:val="single" w:sz="4" w:space="0" w:color="auto"/>
            </w:tcBorders>
            <w:shd w:val="clear" w:color="auto" w:fill="auto"/>
            <w:noWrap/>
            <w:vAlign w:val="center"/>
            <w:hideMark/>
          </w:tcPr>
          <w:p w14:paraId="3198509F"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Rarely</w:t>
            </w:r>
          </w:p>
        </w:tc>
        <w:tc>
          <w:tcPr>
            <w:tcW w:w="1771" w:type="dxa"/>
            <w:tcBorders>
              <w:bottom w:val="single" w:sz="4" w:space="0" w:color="auto"/>
            </w:tcBorders>
            <w:shd w:val="clear" w:color="auto" w:fill="auto"/>
            <w:noWrap/>
            <w:vAlign w:val="center"/>
            <w:hideMark/>
          </w:tcPr>
          <w:p w14:paraId="3B599F8E"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Sometimes</w:t>
            </w:r>
          </w:p>
        </w:tc>
        <w:tc>
          <w:tcPr>
            <w:tcW w:w="1177" w:type="dxa"/>
            <w:tcBorders>
              <w:bottom w:val="single" w:sz="4" w:space="0" w:color="auto"/>
            </w:tcBorders>
            <w:shd w:val="clear" w:color="auto" w:fill="auto"/>
            <w:noWrap/>
            <w:vAlign w:val="center"/>
            <w:hideMark/>
          </w:tcPr>
          <w:p w14:paraId="784AE279"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Often</w:t>
            </w:r>
          </w:p>
        </w:tc>
        <w:tc>
          <w:tcPr>
            <w:tcW w:w="1231" w:type="dxa"/>
            <w:tcBorders>
              <w:bottom w:val="single" w:sz="4" w:space="0" w:color="auto"/>
            </w:tcBorders>
            <w:shd w:val="clear" w:color="auto" w:fill="auto"/>
            <w:noWrap/>
            <w:vAlign w:val="center"/>
            <w:hideMark/>
          </w:tcPr>
          <w:p w14:paraId="6BDF3EA1"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Always</w:t>
            </w:r>
          </w:p>
        </w:tc>
        <w:tc>
          <w:tcPr>
            <w:tcW w:w="1620" w:type="dxa"/>
            <w:vMerge/>
            <w:tcBorders>
              <w:bottom w:val="single" w:sz="4" w:space="0" w:color="auto"/>
            </w:tcBorders>
            <w:shd w:val="clear" w:color="auto" w:fill="auto"/>
            <w:noWrap/>
            <w:vAlign w:val="center"/>
          </w:tcPr>
          <w:p w14:paraId="6E729E4C" w14:textId="77777777" w:rsidR="00D355D5" w:rsidRPr="00A067E2" w:rsidRDefault="00D355D5" w:rsidP="00282204">
            <w:pPr>
              <w:spacing w:after="0" w:line="240" w:lineRule="auto"/>
              <w:rPr>
                <w:rFonts w:eastAsia="Times New Roman" w:cstheme="minorHAnsi"/>
                <w:color w:val="000000"/>
              </w:rPr>
            </w:pPr>
          </w:p>
        </w:tc>
      </w:tr>
      <w:tr w:rsidR="00D355D5" w:rsidRPr="00A067E2" w14:paraId="79B0EE93" w14:textId="77777777" w:rsidTr="00282204">
        <w:trPr>
          <w:trHeight w:val="409"/>
          <w:jc w:val="center"/>
        </w:trPr>
        <w:tc>
          <w:tcPr>
            <w:tcW w:w="5209" w:type="dxa"/>
            <w:tcBorders>
              <w:top w:val="single" w:sz="4" w:space="0" w:color="auto"/>
            </w:tcBorders>
            <w:shd w:val="clear" w:color="auto" w:fill="auto"/>
            <w:noWrap/>
            <w:vAlign w:val="center"/>
          </w:tcPr>
          <w:p w14:paraId="472DA70A"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Preparing and Dispensing of Prescriptions</w:t>
            </w:r>
          </w:p>
        </w:tc>
        <w:tc>
          <w:tcPr>
            <w:tcW w:w="1393" w:type="dxa"/>
            <w:tcBorders>
              <w:top w:val="single" w:sz="4" w:space="0" w:color="auto"/>
            </w:tcBorders>
            <w:shd w:val="clear" w:color="auto" w:fill="auto"/>
            <w:noWrap/>
            <w:vAlign w:val="center"/>
          </w:tcPr>
          <w:p w14:paraId="3D6DF81C"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w:t>
            </w:r>
          </w:p>
        </w:tc>
        <w:tc>
          <w:tcPr>
            <w:tcW w:w="1177" w:type="dxa"/>
            <w:tcBorders>
              <w:top w:val="single" w:sz="4" w:space="0" w:color="auto"/>
            </w:tcBorders>
            <w:shd w:val="clear" w:color="auto" w:fill="auto"/>
            <w:noWrap/>
            <w:vAlign w:val="center"/>
          </w:tcPr>
          <w:p w14:paraId="3ED41CF8"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10</w:t>
            </w:r>
          </w:p>
        </w:tc>
        <w:tc>
          <w:tcPr>
            <w:tcW w:w="1771" w:type="dxa"/>
            <w:tcBorders>
              <w:top w:val="single" w:sz="4" w:space="0" w:color="auto"/>
            </w:tcBorders>
            <w:shd w:val="clear" w:color="auto" w:fill="auto"/>
            <w:noWrap/>
            <w:vAlign w:val="center"/>
          </w:tcPr>
          <w:p w14:paraId="6A6824EB"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17</w:t>
            </w:r>
          </w:p>
        </w:tc>
        <w:tc>
          <w:tcPr>
            <w:tcW w:w="1177" w:type="dxa"/>
            <w:tcBorders>
              <w:top w:val="single" w:sz="4" w:space="0" w:color="auto"/>
            </w:tcBorders>
            <w:shd w:val="clear" w:color="auto" w:fill="auto"/>
            <w:noWrap/>
            <w:vAlign w:val="center"/>
          </w:tcPr>
          <w:p w14:paraId="385D2882"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23</w:t>
            </w:r>
          </w:p>
        </w:tc>
        <w:tc>
          <w:tcPr>
            <w:tcW w:w="1231" w:type="dxa"/>
            <w:tcBorders>
              <w:top w:val="single" w:sz="4" w:space="0" w:color="auto"/>
            </w:tcBorders>
            <w:shd w:val="clear" w:color="auto" w:fill="auto"/>
            <w:noWrap/>
            <w:vAlign w:val="center"/>
          </w:tcPr>
          <w:p w14:paraId="68E7D499"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47</w:t>
            </w:r>
          </w:p>
        </w:tc>
        <w:tc>
          <w:tcPr>
            <w:tcW w:w="1620" w:type="dxa"/>
            <w:tcBorders>
              <w:top w:val="single" w:sz="4" w:space="0" w:color="auto"/>
            </w:tcBorders>
            <w:shd w:val="clear" w:color="auto" w:fill="auto"/>
            <w:noWrap/>
            <w:vAlign w:val="center"/>
          </w:tcPr>
          <w:p w14:paraId="20D3D577"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4 (3-5)</w:t>
            </w:r>
          </w:p>
        </w:tc>
      </w:tr>
      <w:tr w:rsidR="00D355D5" w:rsidRPr="00A067E2" w14:paraId="11169046" w14:textId="77777777" w:rsidTr="00282204">
        <w:trPr>
          <w:trHeight w:val="409"/>
          <w:jc w:val="center"/>
        </w:trPr>
        <w:tc>
          <w:tcPr>
            <w:tcW w:w="5209" w:type="dxa"/>
            <w:shd w:val="clear" w:color="auto" w:fill="auto"/>
            <w:noWrap/>
            <w:vAlign w:val="center"/>
            <w:hideMark/>
          </w:tcPr>
          <w:p w14:paraId="13BD6E06"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Verification of Prescriptions</w:t>
            </w:r>
          </w:p>
        </w:tc>
        <w:tc>
          <w:tcPr>
            <w:tcW w:w="1393" w:type="dxa"/>
            <w:shd w:val="clear" w:color="auto" w:fill="auto"/>
            <w:noWrap/>
            <w:vAlign w:val="center"/>
            <w:hideMark/>
          </w:tcPr>
          <w:p w14:paraId="65328FF4"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w:t>
            </w:r>
          </w:p>
        </w:tc>
        <w:tc>
          <w:tcPr>
            <w:tcW w:w="1177" w:type="dxa"/>
            <w:shd w:val="clear" w:color="auto" w:fill="auto"/>
            <w:noWrap/>
            <w:vAlign w:val="center"/>
            <w:hideMark/>
          </w:tcPr>
          <w:p w14:paraId="5FC9712F"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7</w:t>
            </w:r>
          </w:p>
        </w:tc>
        <w:tc>
          <w:tcPr>
            <w:tcW w:w="1771" w:type="dxa"/>
            <w:shd w:val="clear" w:color="auto" w:fill="auto"/>
            <w:noWrap/>
            <w:vAlign w:val="center"/>
            <w:hideMark/>
          </w:tcPr>
          <w:p w14:paraId="4E080758"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23</w:t>
            </w:r>
          </w:p>
        </w:tc>
        <w:tc>
          <w:tcPr>
            <w:tcW w:w="1177" w:type="dxa"/>
            <w:shd w:val="clear" w:color="auto" w:fill="auto"/>
            <w:noWrap/>
            <w:vAlign w:val="center"/>
            <w:hideMark/>
          </w:tcPr>
          <w:p w14:paraId="250E8AB2"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23</w:t>
            </w:r>
          </w:p>
        </w:tc>
        <w:tc>
          <w:tcPr>
            <w:tcW w:w="1231" w:type="dxa"/>
            <w:shd w:val="clear" w:color="auto" w:fill="auto"/>
            <w:noWrap/>
            <w:vAlign w:val="center"/>
            <w:hideMark/>
          </w:tcPr>
          <w:p w14:paraId="39EB8C55"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43</w:t>
            </w:r>
          </w:p>
        </w:tc>
        <w:tc>
          <w:tcPr>
            <w:tcW w:w="1620" w:type="dxa"/>
            <w:shd w:val="clear" w:color="auto" w:fill="auto"/>
            <w:noWrap/>
            <w:vAlign w:val="center"/>
            <w:hideMark/>
          </w:tcPr>
          <w:p w14:paraId="1C735F2A"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4 (3-5)</w:t>
            </w:r>
          </w:p>
        </w:tc>
      </w:tr>
      <w:tr w:rsidR="00D355D5" w:rsidRPr="00A067E2" w14:paraId="02B770A5" w14:textId="77777777" w:rsidTr="00282204">
        <w:trPr>
          <w:trHeight w:val="409"/>
          <w:jc w:val="center"/>
        </w:trPr>
        <w:tc>
          <w:tcPr>
            <w:tcW w:w="5209" w:type="dxa"/>
            <w:shd w:val="clear" w:color="auto" w:fill="auto"/>
            <w:noWrap/>
            <w:vAlign w:val="center"/>
            <w:hideMark/>
          </w:tcPr>
          <w:p w14:paraId="29A981E2"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 xml:space="preserve">Patient Counselling and Education </w:t>
            </w:r>
          </w:p>
        </w:tc>
        <w:tc>
          <w:tcPr>
            <w:tcW w:w="1393" w:type="dxa"/>
            <w:shd w:val="clear" w:color="auto" w:fill="auto"/>
            <w:noWrap/>
            <w:vAlign w:val="center"/>
            <w:hideMark/>
          </w:tcPr>
          <w:p w14:paraId="66E87445"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w:t>
            </w:r>
          </w:p>
        </w:tc>
        <w:tc>
          <w:tcPr>
            <w:tcW w:w="1177" w:type="dxa"/>
            <w:shd w:val="clear" w:color="auto" w:fill="auto"/>
            <w:noWrap/>
            <w:vAlign w:val="center"/>
            <w:hideMark/>
          </w:tcPr>
          <w:p w14:paraId="7EC16B9B"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7</w:t>
            </w:r>
          </w:p>
        </w:tc>
        <w:tc>
          <w:tcPr>
            <w:tcW w:w="1771" w:type="dxa"/>
            <w:shd w:val="clear" w:color="auto" w:fill="auto"/>
            <w:noWrap/>
            <w:vAlign w:val="center"/>
            <w:hideMark/>
          </w:tcPr>
          <w:p w14:paraId="5D4A12C4"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20</w:t>
            </w:r>
          </w:p>
        </w:tc>
        <w:tc>
          <w:tcPr>
            <w:tcW w:w="1177" w:type="dxa"/>
            <w:shd w:val="clear" w:color="auto" w:fill="auto"/>
            <w:noWrap/>
            <w:vAlign w:val="center"/>
            <w:hideMark/>
          </w:tcPr>
          <w:p w14:paraId="7DBED3F9"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27</w:t>
            </w:r>
          </w:p>
        </w:tc>
        <w:tc>
          <w:tcPr>
            <w:tcW w:w="1231" w:type="dxa"/>
            <w:shd w:val="clear" w:color="auto" w:fill="auto"/>
            <w:noWrap/>
            <w:vAlign w:val="center"/>
            <w:hideMark/>
          </w:tcPr>
          <w:p w14:paraId="1CD6F171"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43</w:t>
            </w:r>
          </w:p>
        </w:tc>
        <w:tc>
          <w:tcPr>
            <w:tcW w:w="1620" w:type="dxa"/>
            <w:shd w:val="clear" w:color="auto" w:fill="auto"/>
            <w:noWrap/>
            <w:vAlign w:val="center"/>
            <w:hideMark/>
          </w:tcPr>
          <w:p w14:paraId="7CF94ACC"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4 (3-5)</w:t>
            </w:r>
          </w:p>
        </w:tc>
      </w:tr>
      <w:tr w:rsidR="00D355D5" w:rsidRPr="00A067E2" w14:paraId="4C5804C4" w14:textId="77777777" w:rsidTr="00282204">
        <w:trPr>
          <w:trHeight w:val="409"/>
          <w:jc w:val="center"/>
        </w:trPr>
        <w:tc>
          <w:tcPr>
            <w:tcW w:w="5209" w:type="dxa"/>
            <w:shd w:val="clear" w:color="auto" w:fill="auto"/>
            <w:noWrap/>
            <w:vAlign w:val="center"/>
            <w:hideMark/>
          </w:tcPr>
          <w:p w14:paraId="52691938"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 xml:space="preserve">Hypoglycemia Management </w:t>
            </w:r>
          </w:p>
        </w:tc>
        <w:tc>
          <w:tcPr>
            <w:tcW w:w="1393" w:type="dxa"/>
            <w:shd w:val="clear" w:color="auto" w:fill="auto"/>
            <w:noWrap/>
            <w:vAlign w:val="center"/>
            <w:hideMark/>
          </w:tcPr>
          <w:p w14:paraId="24F96ACA"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7</w:t>
            </w:r>
          </w:p>
        </w:tc>
        <w:tc>
          <w:tcPr>
            <w:tcW w:w="1177" w:type="dxa"/>
            <w:shd w:val="clear" w:color="auto" w:fill="auto"/>
            <w:noWrap/>
            <w:vAlign w:val="center"/>
            <w:hideMark/>
          </w:tcPr>
          <w:p w14:paraId="0F829204"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20</w:t>
            </w:r>
          </w:p>
        </w:tc>
        <w:tc>
          <w:tcPr>
            <w:tcW w:w="1771" w:type="dxa"/>
            <w:shd w:val="clear" w:color="auto" w:fill="auto"/>
            <w:noWrap/>
            <w:vAlign w:val="center"/>
            <w:hideMark/>
          </w:tcPr>
          <w:p w14:paraId="1F2853A2"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23</w:t>
            </w:r>
          </w:p>
        </w:tc>
        <w:tc>
          <w:tcPr>
            <w:tcW w:w="1177" w:type="dxa"/>
            <w:shd w:val="clear" w:color="auto" w:fill="auto"/>
            <w:noWrap/>
            <w:vAlign w:val="center"/>
            <w:hideMark/>
          </w:tcPr>
          <w:p w14:paraId="691D3FD2"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33</w:t>
            </w:r>
          </w:p>
        </w:tc>
        <w:tc>
          <w:tcPr>
            <w:tcW w:w="1231" w:type="dxa"/>
            <w:shd w:val="clear" w:color="auto" w:fill="auto"/>
            <w:noWrap/>
            <w:vAlign w:val="center"/>
            <w:hideMark/>
          </w:tcPr>
          <w:p w14:paraId="2226508E"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17</w:t>
            </w:r>
          </w:p>
        </w:tc>
        <w:tc>
          <w:tcPr>
            <w:tcW w:w="1620" w:type="dxa"/>
            <w:shd w:val="clear" w:color="auto" w:fill="auto"/>
            <w:noWrap/>
            <w:vAlign w:val="center"/>
            <w:hideMark/>
          </w:tcPr>
          <w:p w14:paraId="32ED1554"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3.5 (2-4)</w:t>
            </w:r>
          </w:p>
        </w:tc>
      </w:tr>
      <w:tr w:rsidR="00D355D5" w:rsidRPr="00A067E2" w14:paraId="50BEA89E" w14:textId="77777777" w:rsidTr="00282204">
        <w:trPr>
          <w:trHeight w:val="409"/>
          <w:jc w:val="center"/>
        </w:trPr>
        <w:tc>
          <w:tcPr>
            <w:tcW w:w="5209" w:type="dxa"/>
            <w:shd w:val="clear" w:color="auto" w:fill="auto"/>
            <w:noWrap/>
            <w:vAlign w:val="center"/>
            <w:hideMark/>
          </w:tcPr>
          <w:p w14:paraId="67BBB775"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Medication Review</w:t>
            </w:r>
          </w:p>
        </w:tc>
        <w:tc>
          <w:tcPr>
            <w:tcW w:w="1393" w:type="dxa"/>
            <w:shd w:val="clear" w:color="auto" w:fill="auto"/>
            <w:noWrap/>
            <w:vAlign w:val="center"/>
            <w:hideMark/>
          </w:tcPr>
          <w:p w14:paraId="2779DEB2"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10</w:t>
            </w:r>
          </w:p>
        </w:tc>
        <w:tc>
          <w:tcPr>
            <w:tcW w:w="1177" w:type="dxa"/>
            <w:shd w:val="clear" w:color="auto" w:fill="auto"/>
            <w:noWrap/>
            <w:vAlign w:val="center"/>
            <w:hideMark/>
          </w:tcPr>
          <w:p w14:paraId="09610851"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7</w:t>
            </w:r>
          </w:p>
        </w:tc>
        <w:tc>
          <w:tcPr>
            <w:tcW w:w="1771" w:type="dxa"/>
            <w:shd w:val="clear" w:color="auto" w:fill="auto"/>
            <w:noWrap/>
            <w:vAlign w:val="center"/>
            <w:hideMark/>
          </w:tcPr>
          <w:p w14:paraId="6A88C0FF"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37</w:t>
            </w:r>
          </w:p>
        </w:tc>
        <w:tc>
          <w:tcPr>
            <w:tcW w:w="1177" w:type="dxa"/>
            <w:shd w:val="clear" w:color="auto" w:fill="auto"/>
            <w:noWrap/>
            <w:vAlign w:val="center"/>
            <w:hideMark/>
          </w:tcPr>
          <w:p w14:paraId="1B60F1F9"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17</w:t>
            </w:r>
          </w:p>
        </w:tc>
        <w:tc>
          <w:tcPr>
            <w:tcW w:w="1231" w:type="dxa"/>
            <w:shd w:val="clear" w:color="auto" w:fill="auto"/>
            <w:noWrap/>
            <w:vAlign w:val="center"/>
            <w:hideMark/>
          </w:tcPr>
          <w:p w14:paraId="712F902E"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30</w:t>
            </w:r>
          </w:p>
        </w:tc>
        <w:tc>
          <w:tcPr>
            <w:tcW w:w="1620" w:type="dxa"/>
            <w:shd w:val="clear" w:color="auto" w:fill="auto"/>
            <w:noWrap/>
            <w:vAlign w:val="center"/>
            <w:hideMark/>
          </w:tcPr>
          <w:p w14:paraId="48BB33CA"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 (3-5)</w:t>
            </w:r>
          </w:p>
        </w:tc>
      </w:tr>
      <w:tr w:rsidR="00D355D5" w:rsidRPr="00A067E2" w14:paraId="51EB7001" w14:textId="77777777" w:rsidTr="00282204">
        <w:trPr>
          <w:trHeight w:val="409"/>
          <w:jc w:val="center"/>
        </w:trPr>
        <w:tc>
          <w:tcPr>
            <w:tcW w:w="5209" w:type="dxa"/>
            <w:shd w:val="clear" w:color="auto" w:fill="auto"/>
            <w:noWrap/>
            <w:vAlign w:val="center"/>
            <w:hideMark/>
          </w:tcPr>
          <w:p w14:paraId="3D57A63E"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 xml:space="preserve">Blood Glucose Monitoring </w:t>
            </w:r>
          </w:p>
        </w:tc>
        <w:tc>
          <w:tcPr>
            <w:tcW w:w="1393" w:type="dxa"/>
            <w:shd w:val="clear" w:color="auto" w:fill="auto"/>
            <w:noWrap/>
            <w:vAlign w:val="center"/>
            <w:hideMark/>
          </w:tcPr>
          <w:p w14:paraId="66916120"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13</w:t>
            </w:r>
          </w:p>
        </w:tc>
        <w:tc>
          <w:tcPr>
            <w:tcW w:w="1177" w:type="dxa"/>
            <w:shd w:val="clear" w:color="auto" w:fill="auto"/>
            <w:noWrap/>
            <w:vAlign w:val="center"/>
            <w:hideMark/>
          </w:tcPr>
          <w:p w14:paraId="72480933"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23</w:t>
            </w:r>
          </w:p>
        </w:tc>
        <w:tc>
          <w:tcPr>
            <w:tcW w:w="1771" w:type="dxa"/>
            <w:shd w:val="clear" w:color="auto" w:fill="auto"/>
            <w:noWrap/>
            <w:vAlign w:val="center"/>
            <w:hideMark/>
          </w:tcPr>
          <w:p w14:paraId="5095DE0A"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20</w:t>
            </w:r>
          </w:p>
        </w:tc>
        <w:tc>
          <w:tcPr>
            <w:tcW w:w="1177" w:type="dxa"/>
            <w:shd w:val="clear" w:color="auto" w:fill="auto"/>
            <w:noWrap/>
            <w:vAlign w:val="center"/>
            <w:hideMark/>
          </w:tcPr>
          <w:p w14:paraId="207410DC"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20</w:t>
            </w:r>
          </w:p>
        </w:tc>
        <w:tc>
          <w:tcPr>
            <w:tcW w:w="1231" w:type="dxa"/>
            <w:shd w:val="clear" w:color="auto" w:fill="auto"/>
            <w:noWrap/>
            <w:vAlign w:val="center"/>
            <w:hideMark/>
          </w:tcPr>
          <w:p w14:paraId="1FB778A1"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23</w:t>
            </w:r>
          </w:p>
        </w:tc>
        <w:tc>
          <w:tcPr>
            <w:tcW w:w="1620" w:type="dxa"/>
            <w:shd w:val="clear" w:color="auto" w:fill="auto"/>
            <w:noWrap/>
            <w:vAlign w:val="center"/>
            <w:hideMark/>
          </w:tcPr>
          <w:p w14:paraId="5C9B6E83"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 (2-4.25)</w:t>
            </w:r>
          </w:p>
        </w:tc>
      </w:tr>
      <w:tr w:rsidR="00D355D5" w:rsidRPr="00A067E2" w14:paraId="7B71467C" w14:textId="77777777" w:rsidTr="00282204">
        <w:trPr>
          <w:trHeight w:val="409"/>
          <w:jc w:val="center"/>
        </w:trPr>
        <w:tc>
          <w:tcPr>
            <w:tcW w:w="5209" w:type="dxa"/>
            <w:shd w:val="clear" w:color="auto" w:fill="auto"/>
            <w:noWrap/>
            <w:vAlign w:val="center"/>
            <w:hideMark/>
          </w:tcPr>
          <w:p w14:paraId="5034BD17"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 xml:space="preserve">Medication Therapy Management </w:t>
            </w:r>
          </w:p>
        </w:tc>
        <w:tc>
          <w:tcPr>
            <w:tcW w:w="1393" w:type="dxa"/>
            <w:shd w:val="clear" w:color="auto" w:fill="auto"/>
            <w:noWrap/>
            <w:vAlign w:val="center"/>
            <w:hideMark/>
          </w:tcPr>
          <w:p w14:paraId="1246F652"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w:t>
            </w:r>
          </w:p>
        </w:tc>
        <w:tc>
          <w:tcPr>
            <w:tcW w:w="1177" w:type="dxa"/>
            <w:shd w:val="clear" w:color="auto" w:fill="auto"/>
            <w:noWrap/>
            <w:vAlign w:val="center"/>
            <w:hideMark/>
          </w:tcPr>
          <w:p w14:paraId="47646EE5"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23</w:t>
            </w:r>
          </w:p>
        </w:tc>
        <w:tc>
          <w:tcPr>
            <w:tcW w:w="1771" w:type="dxa"/>
            <w:shd w:val="clear" w:color="auto" w:fill="auto"/>
            <w:noWrap/>
            <w:vAlign w:val="center"/>
            <w:hideMark/>
          </w:tcPr>
          <w:p w14:paraId="72FF2F7D"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30</w:t>
            </w:r>
          </w:p>
        </w:tc>
        <w:tc>
          <w:tcPr>
            <w:tcW w:w="1177" w:type="dxa"/>
            <w:shd w:val="clear" w:color="auto" w:fill="auto"/>
            <w:noWrap/>
            <w:vAlign w:val="center"/>
            <w:hideMark/>
          </w:tcPr>
          <w:p w14:paraId="42CDC89E"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20</w:t>
            </w:r>
          </w:p>
        </w:tc>
        <w:tc>
          <w:tcPr>
            <w:tcW w:w="1231" w:type="dxa"/>
            <w:shd w:val="clear" w:color="auto" w:fill="auto"/>
            <w:noWrap/>
            <w:vAlign w:val="center"/>
            <w:hideMark/>
          </w:tcPr>
          <w:p w14:paraId="6B963920"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23</w:t>
            </w:r>
          </w:p>
        </w:tc>
        <w:tc>
          <w:tcPr>
            <w:tcW w:w="1620" w:type="dxa"/>
            <w:shd w:val="clear" w:color="auto" w:fill="auto"/>
            <w:noWrap/>
            <w:vAlign w:val="center"/>
            <w:hideMark/>
          </w:tcPr>
          <w:p w14:paraId="7D1A77C2"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 (2-4.25)</w:t>
            </w:r>
          </w:p>
        </w:tc>
      </w:tr>
      <w:tr w:rsidR="00D355D5" w:rsidRPr="00A067E2" w14:paraId="60A3AF7D" w14:textId="77777777" w:rsidTr="00282204">
        <w:trPr>
          <w:trHeight w:val="409"/>
          <w:jc w:val="center"/>
        </w:trPr>
        <w:tc>
          <w:tcPr>
            <w:tcW w:w="5209" w:type="dxa"/>
            <w:shd w:val="clear" w:color="auto" w:fill="auto"/>
            <w:noWrap/>
            <w:vAlign w:val="center"/>
            <w:hideMark/>
          </w:tcPr>
          <w:p w14:paraId="43A9EA60"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Co-Morbid Disease Education</w:t>
            </w:r>
          </w:p>
        </w:tc>
        <w:tc>
          <w:tcPr>
            <w:tcW w:w="1393" w:type="dxa"/>
            <w:shd w:val="clear" w:color="auto" w:fill="auto"/>
            <w:noWrap/>
            <w:vAlign w:val="center"/>
            <w:hideMark/>
          </w:tcPr>
          <w:p w14:paraId="68912AEE"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10</w:t>
            </w:r>
          </w:p>
        </w:tc>
        <w:tc>
          <w:tcPr>
            <w:tcW w:w="1177" w:type="dxa"/>
            <w:shd w:val="clear" w:color="auto" w:fill="auto"/>
            <w:noWrap/>
            <w:vAlign w:val="center"/>
            <w:hideMark/>
          </w:tcPr>
          <w:p w14:paraId="2428E64C"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13</w:t>
            </w:r>
          </w:p>
        </w:tc>
        <w:tc>
          <w:tcPr>
            <w:tcW w:w="1771" w:type="dxa"/>
            <w:shd w:val="clear" w:color="auto" w:fill="auto"/>
            <w:noWrap/>
            <w:vAlign w:val="center"/>
            <w:hideMark/>
          </w:tcPr>
          <w:p w14:paraId="5017B26C"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30</w:t>
            </w:r>
          </w:p>
        </w:tc>
        <w:tc>
          <w:tcPr>
            <w:tcW w:w="1177" w:type="dxa"/>
            <w:shd w:val="clear" w:color="auto" w:fill="auto"/>
            <w:noWrap/>
            <w:vAlign w:val="center"/>
            <w:hideMark/>
          </w:tcPr>
          <w:p w14:paraId="3824B7A5"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20</w:t>
            </w:r>
          </w:p>
        </w:tc>
        <w:tc>
          <w:tcPr>
            <w:tcW w:w="1231" w:type="dxa"/>
            <w:shd w:val="clear" w:color="auto" w:fill="auto"/>
            <w:noWrap/>
            <w:vAlign w:val="center"/>
            <w:hideMark/>
          </w:tcPr>
          <w:p w14:paraId="73A609AF"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27</w:t>
            </w:r>
          </w:p>
        </w:tc>
        <w:tc>
          <w:tcPr>
            <w:tcW w:w="1620" w:type="dxa"/>
            <w:shd w:val="clear" w:color="auto" w:fill="auto"/>
            <w:noWrap/>
            <w:vAlign w:val="center"/>
            <w:hideMark/>
          </w:tcPr>
          <w:p w14:paraId="43CE691F"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 (2.75-5)</w:t>
            </w:r>
          </w:p>
        </w:tc>
      </w:tr>
      <w:tr w:rsidR="00D355D5" w:rsidRPr="00A067E2" w14:paraId="1FEFE2B5" w14:textId="77777777" w:rsidTr="00282204">
        <w:trPr>
          <w:trHeight w:val="409"/>
          <w:jc w:val="center"/>
        </w:trPr>
        <w:tc>
          <w:tcPr>
            <w:tcW w:w="5209" w:type="dxa"/>
            <w:shd w:val="clear" w:color="auto" w:fill="auto"/>
            <w:noWrap/>
            <w:vAlign w:val="center"/>
            <w:hideMark/>
          </w:tcPr>
          <w:p w14:paraId="02903777"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Co-Morbid Disease Medication Management</w:t>
            </w:r>
          </w:p>
        </w:tc>
        <w:tc>
          <w:tcPr>
            <w:tcW w:w="1393" w:type="dxa"/>
            <w:shd w:val="clear" w:color="auto" w:fill="auto"/>
            <w:noWrap/>
            <w:vAlign w:val="center"/>
            <w:hideMark/>
          </w:tcPr>
          <w:p w14:paraId="71AC76AA"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10</w:t>
            </w:r>
          </w:p>
        </w:tc>
        <w:tc>
          <w:tcPr>
            <w:tcW w:w="1177" w:type="dxa"/>
            <w:shd w:val="clear" w:color="auto" w:fill="auto"/>
            <w:noWrap/>
            <w:vAlign w:val="center"/>
            <w:hideMark/>
          </w:tcPr>
          <w:p w14:paraId="00515EEF"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13</w:t>
            </w:r>
          </w:p>
        </w:tc>
        <w:tc>
          <w:tcPr>
            <w:tcW w:w="1771" w:type="dxa"/>
            <w:shd w:val="clear" w:color="auto" w:fill="auto"/>
            <w:noWrap/>
            <w:vAlign w:val="center"/>
            <w:hideMark/>
          </w:tcPr>
          <w:p w14:paraId="4CB3B517"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47</w:t>
            </w:r>
          </w:p>
        </w:tc>
        <w:tc>
          <w:tcPr>
            <w:tcW w:w="1177" w:type="dxa"/>
            <w:shd w:val="clear" w:color="auto" w:fill="auto"/>
            <w:noWrap/>
            <w:vAlign w:val="center"/>
            <w:hideMark/>
          </w:tcPr>
          <w:p w14:paraId="25370B06"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10</w:t>
            </w:r>
          </w:p>
        </w:tc>
        <w:tc>
          <w:tcPr>
            <w:tcW w:w="1231" w:type="dxa"/>
            <w:shd w:val="clear" w:color="auto" w:fill="auto"/>
            <w:noWrap/>
            <w:vAlign w:val="center"/>
            <w:hideMark/>
          </w:tcPr>
          <w:p w14:paraId="4BAEBAF9"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20</w:t>
            </w:r>
          </w:p>
        </w:tc>
        <w:tc>
          <w:tcPr>
            <w:tcW w:w="1620" w:type="dxa"/>
            <w:shd w:val="clear" w:color="auto" w:fill="auto"/>
            <w:noWrap/>
            <w:vAlign w:val="center"/>
            <w:hideMark/>
          </w:tcPr>
          <w:p w14:paraId="0947BB7A"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 (2.75-4)</w:t>
            </w:r>
          </w:p>
        </w:tc>
      </w:tr>
      <w:tr w:rsidR="00D355D5" w:rsidRPr="00A067E2" w14:paraId="7FC77C6C" w14:textId="77777777" w:rsidTr="00282204">
        <w:trPr>
          <w:trHeight w:val="409"/>
          <w:jc w:val="center"/>
        </w:trPr>
        <w:tc>
          <w:tcPr>
            <w:tcW w:w="5209" w:type="dxa"/>
            <w:shd w:val="clear" w:color="auto" w:fill="auto"/>
            <w:noWrap/>
            <w:vAlign w:val="center"/>
            <w:hideMark/>
          </w:tcPr>
          <w:p w14:paraId="50D8F3BF"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 xml:space="preserve">Healthy lifestyle Education </w:t>
            </w:r>
          </w:p>
        </w:tc>
        <w:tc>
          <w:tcPr>
            <w:tcW w:w="1393" w:type="dxa"/>
            <w:shd w:val="clear" w:color="auto" w:fill="auto"/>
            <w:noWrap/>
            <w:vAlign w:val="center"/>
            <w:hideMark/>
          </w:tcPr>
          <w:p w14:paraId="2E0BD6DB"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10</w:t>
            </w:r>
          </w:p>
        </w:tc>
        <w:tc>
          <w:tcPr>
            <w:tcW w:w="1177" w:type="dxa"/>
            <w:shd w:val="clear" w:color="auto" w:fill="auto"/>
            <w:noWrap/>
            <w:vAlign w:val="center"/>
            <w:hideMark/>
          </w:tcPr>
          <w:p w14:paraId="173E5BB0"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13</w:t>
            </w:r>
          </w:p>
        </w:tc>
        <w:tc>
          <w:tcPr>
            <w:tcW w:w="1771" w:type="dxa"/>
            <w:shd w:val="clear" w:color="auto" w:fill="auto"/>
            <w:noWrap/>
            <w:vAlign w:val="center"/>
            <w:hideMark/>
          </w:tcPr>
          <w:p w14:paraId="4E503765"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40</w:t>
            </w:r>
          </w:p>
        </w:tc>
        <w:tc>
          <w:tcPr>
            <w:tcW w:w="1177" w:type="dxa"/>
            <w:shd w:val="clear" w:color="auto" w:fill="auto"/>
            <w:noWrap/>
            <w:vAlign w:val="center"/>
            <w:hideMark/>
          </w:tcPr>
          <w:p w14:paraId="7669E9F7"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20</w:t>
            </w:r>
          </w:p>
        </w:tc>
        <w:tc>
          <w:tcPr>
            <w:tcW w:w="1231" w:type="dxa"/>
            <w:shd w:val="clear" w:color="auto" w:fill="auto"/>
            <w:noWrap/>
            <w:vAlign w:val="center"/>
            <w:hideMark/>
          </w:tcPr>
          <w:p w14:paraId="5841A57C"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17</w:t>
            </w:r>
          </w:p>
        </w:tc>
        <w:tc>
          <w:tcPr>
            <w:tcW w:w="1620" w:type="dxa"/>
            <w:shd w:val="clear" w:color="auto" w:fill="auto"/>
            <w:noWrap/>
            <w:vAlign w:val="center"/>
            <w:hideMark/>
          </w:tcPr>
          <w:p w14:paraId="69767085"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 (2.75-4)</w:t>
            </w:r>
          </w:p>
        </w:tc>
      </w:tr>
      <w:tr w:rsidR="00D355D5" w:rsidRPr="00A067E2" w14:paraId="1D8B005D" w14:textId="77777777" w:rsidTr="00282204">
        <w:trPr>
          <w:trHeight w:val="409"/>
          <w:jc w:val="center"/>
        </w:trPr>
        <w:tc>
          <w:tcPr>
            <w:tcW w:w="5209" w:type="dxa"/>
            <w:shd w:val="clear" w:color="auto" w:fill="auto"/>
            <w:noWrap/>
            <w:vAlign w:val="center"/>
            <w:hideMark/>
          </w:tcPr>
          <w:p w14:paraId="22FD40D5"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 xml:space="preserve">Dependent Prescribing of Diabetes Medications </w:t>
            </w:r>
          </w:p>
        </w:tc>
        <w:tc>
          <w:tcPr>
            <w:tcW w:w="1393" w:type="dxa"/>
            <w:shd w:val="clear" w:color="auto" w:fill="auto"/>
            <w:noWrap/>
            <w:vAlign w:val="center"/>
            <w:hideMark/>
          </w:tcPr>
          <w:p w14:paraId="68AD001F"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23</w:t>
            </w:r>
          </w:p>
        </w:tc>
        <w:tc>
          <w:tcPr>
            <w:tcW w:w="1177" w:type="dxa"/>
            <w:shd w:val="clear" w:color="auto" w:fill="auto"/>
            <w:noWrap/>
            <w:vAlign w:val="center"/>
            <w:hideMark/>
          </w:tcPr>
          <w:p w14:paraId="4FEA8FCF"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13</w:t>
            </w:r>
          </w:p>
        </w:tc>
        <w:tc>
          <w:tcPr>
            <w:tcW w:w="1771" w:type="dxa"/>
            <w:shd w:val="clear" w:color="auto" w:fill="auto"/>
            <w:noWrap/>
            <w:vAlign w:val="center"/>
            <w:hideMark/>
          </w:tcPr>
          <w:p w14:paraId="749BDD46"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27</w:t>
            </w:r>
          </w:p>
        </w:tc>
        <w:tc>
          <w:tcPr>
            <w:tcW w:w="1177" w:type="dxa"/>
            <w:shd w:val="clear" w:color="auto" w:fill="auto"/>
            <w:noWrap/>
            <w:vAlign w:val="center"/>
            <w:hideMark/>
          </w:tcPr>
          <w:p w14:paraId="1A84C7E9"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17</w:t>
            </w:r>
          </w:p>
        </w:tc>
        <w:tc>
          <w:tcPr>
            <w:tcW w:w="1231" w:type="dxa"/>
            <w:shd w:val="clear" w:color="auto" w:fill="auto"/>
            <w:noWrap/>
            <w:vAlign w:val="center"/>
            <w:hideMark/>
          </w:tcPr>
          <w:p w14:paraId="72F5E452"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20</w:t>
            </w:r>
          </w:p>
        </w:tc>
        <w:tc>
          <w:tcPr>
            <w:tcW w:w="1620" w:type="dxa"/>
            <w:shd w:val="clear" w:color="auto" w:fill="auto"/>
            <w:noWrap/>
            <w:vAlign w:val="center"/>
            <w:hideMark/>
          </w:tcPr>
          <w:p w14:paraId="5E452435"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3 (1.75-4)</w:t>
            </w:r>
          </w:p>
        </w:tc>
      </w:tr>
      <w:tr w:rsidR="00D355D5" w:rsidRPr="00A067E2" w14:paraId="2F7FE367" w14:textId="77777777" w:rsidTr="00282204">
        <w:trPr>
          <w:trHeight w:val="409"/>
          <w:jc w:val="center"/>
        </w:trPr>
        <w:tc>
          <w:tcPr>
            <w:tcW w:w="5209" w:type="dxa"/>
            <w:tcBorders>
              <w:bottom w:val="single" w:sz="4" w:space="0" w:color="auto"/>
            </w:tcBorders>
            <w:shd w:val="clear" w:color="auto" w:fill="auto"/>
            <w:noWrap/>
            <w:vAlign w:val="center"/>
            <w:hideMark/>
          </w:tcPr>
          <w:p w14:paraId="7899B3F7"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 xml:space="preserve">Independent Prescribing of Diabetes Medications </w:t>
            </w:r>
          </w:p>
        </w:tc>
        <w:tc>
          <w:tcPr>
            <w:tcW w:w="1393" w:type="dxa"/>
            <w:tcBorders>
              <w:bottom w:val="single" w:sz="4" w:space="0" w:color="auto"/>
            </w:tcBorders>
            <w:shd w:val="clear" w:color="auto" w:fill="auto"/>
            <w:noWrap/>
            <w:vAlign w:val="center"/>
            <w:hideMark/>
          </w:tcPr>
          <w:p w14:paraId="3B9A162C"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50</w:t>
            </w:r>
          </w:p>
        </w:tc>
        <w:tc>
          <w:tcPr>
            <w:tcW w:w="1177" w:type="dxa"/>
            <w:tcBorders>
              <w:bottom w:val="single" w:sz="4" w:space="0" w:color="auto"/>
            </w:tcBorders>
            <w:shd w:val="clear" w:color="auto" w:fill="auto"/>
            <w:noWrap/>
            <w:vAlign w:val="center"/>
            <w:hideMark/>
          </w:tcPr>
          <w:p w14:paraId="2151712D"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17</w:t>
            </w:r>
          </w:p>
        </w:tc>
        <w:tc>
          <w:tcPr>
            <w:tcW w:w="1771" w:type="dxa"/>
            <w:tcBorders>
              <w:bottom w:val="single" w:sz="4" w:space="0" w:color="auto"/>
            </w:tcBorders>
            <w:shd w:val="clear" w:color="auto" w:fill="auto"/>
            <w:noWrap/>
            <w:vAlign w:val="center"/>
            <w:hideMark/>
          </w:tcPr>
          <w:p w14:paraId="4C6F80FF"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10</w:t>
            </w:r>
          </w:p>
        </w:tc>
        <w:tc>
          <w:tcPr>
            <w:tcW w:w="1177" w:type="dxa"/>
            <w:tcBorders>
              <w:bottom w:val="single" w:sz="4" w:space="0" w:color="auto"/>
            </w:tcBorders>
            <w:shd w:val="clear" w:color="auto" w:fill="auto"/>
            <w:noWrap/>
            <w:vAlign w:val="center"/>
            <w:hideMark/>
          </w:tcPr>
          <w:p w14:paraId="6CB49292"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7</w:t>
            </w:r>
          </w:p>
        </w:tc>
        <w:tc>
          <w:tcPr>
            <w:tcW w:w="1231" w:type="dxa"/>
            <w:tcBorders>
              <w:bottom w:val="single" w:sz="4" w:space="0" w:color="auto"/>
            </w:tcBorders>
            <w:shd w:val="clear" w:color="auto" w:fill="auto"/>
            <w:noWrap/>
            <w:vAlign w:val="center"/>
            <w:hideMark/>
          </w:tcPr>
          <w:p w14:paraId="6667E65E"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17</w:t>
            </w:r>
          </w:p>
        </w:tc>
        <w:tc>
          <w:tcPr>
            <w:tcW w:w="1620" w:type="dxa"/>
            <w:tcBorders>
              <w:bottom w:val="single" w:sz="4" w:space="0" w:color="auto"/>
            </w:tcBorders>
            <w:shd w:val="clear" w:color="auto" w:fill="auto"/>
            <w:noWrap/>
            <w:vAlign w:val="center"/>
            <w:hideMark/>
          </w:tcPr>
          <w:p w14:paraId="3AFDA3C0" w14:textId="77777777" w:rsidR="00D355D5" w:rsidRPr="00A067E2" w:rsidRDefault="00D355D5" w:rsidP="00282204">
            <w:pPr>
              <w:spacing w:after="0" w:line="240" w:lineRule="auto"/>
              <w:rPr>
                <w:rFonts w:eastAsia="Times New Roman" w:cstheme="minorHAnsi"/>
                <w:color w:val="000000"/>
              </w:rPr>
            </w:pPr>
            <w:r w:rsidRPr="00A067E2">
              <w:rPr>
                <w:rFonts w:eastAsia="Times New Roman" w:cstheme="minorHAnsi"/>
                <w:color w:val="000000"/>
              </w:rPr>
              <w:t>1.5 (1-3.25)</w:t>
            </w:r>
          </w:p>
        </w:tc>
      </w:tr>
    </w:tbl>
    <w:p w14:paraId="5843BA69" w14:textId="77777777" w:rsidR="00D355D5" w:rsidRPr="00372863" w:rsidRDefault="00D355D5" w:rsidP="00D355D5">
      <w:pPr>
        <w:rPr>
          <w:sz w:val="20"/>
          <w:szCs w:val="20"/>
        </w:rPr>
      </w:pPr>
      <w:r w:rsidRPr="00372863">
        <w:t xml:space="preserve">*(1=Never, 2=Rarely, 3=Sometimes, 4=Often, 5= Always), </w:t>
      </w:r>
      <w:r>
        <w:t xml:space="preserve">IQR: </w:t>
      </w:r>
      <w:r w:rsidRPr="00372863">
        <w:t>Interquartile range</w:t>
      </w:r>
    </w:p>
    <w:p w14:paraId="39533FBD" w14:textId="77777777" w:rsidR="00D355D5" w:rsidRDefault="00D355D5" w:rsidP="00D355D5"/>
    <w:p w14:paraId="49C0F739" w14:textId="77777777" w:rsidR="00D355D5" w:rsidRDefault="00D355D5" w:rsidP="00D355D5"/>
    <w:p w14:paraId="0AD91D14" w14:textId="77777777" w:rsidR="00D355D5" w:rsidRDefault="00D355D5" w:rsidP="00D355D5">
      <w:pPr>
        <w:spacing w:after="0" w:line="360" w:lineRule="auto"/>
        <w:jc w:val="both"/>
        <w:rPr>
          <w:rFonts w:asciiTheme="minorBidi" w:hAnsiTheme="minorBidi"/>
          <w:sz w:val="24"/>
          <w:szCs w:val="24"/>
        </w:rPr>
      </w:pPr>
      <w:r w:rsidRPr="00611710">
        <w:rPr>
          <w:rFonts w:asciiTheme="minorBidi" w:hAnsiTheme="minorBidi"/>
          <w:sz w:val="24"/>
          <w:szCs w:val="24"/>
        </w:rPr>
        <w:t xml:space="preserve">What stands out in </w:t>
      </w:r>
      <w:r w:rsidRPr="001E0A8C">
        <w:rPr>
          <w:rFonts w:asciiTheme="minorBidi" w:hAnsiTheme="minorBidi"/>
          <w:color w:val="1F3864" w:themeColor="accent1" w:themeShade="80"/>
          <w:sz w:val="24"/>
          <w:szCs w:val="24"/>
        </w:rPr>
        <w:fldChar w:fldCharType="begin"/>
      </w:r>
      <w:r w:rsidRPr="001E0A8C">
        <w:rPr>
          <w:rFonts w:asciiTheme="minorBidi" w:hAnsiTheme="minorBidi"/>
          <w:color w:val="1F3864" w:themeColor="accent1" w:themeShade="80"/>
          <w:sz w:val="24"/>
          <w:szCs w:val="24"/>
        </w:rPr>
        <w:instrText xml:space="preserve"> REF _Ref106900480 \h  \* MERGEFORMAT </w:instrText>
      </w:r>
      <w:r w:rsidRPr="001E0A8C">
        <w:rPr>
          <w:rFonts w:asciiTheme="minorBidi" w:hAnsiTheme="minorBidi"/>
          <w:color w:val="1F3864" w:themeColor="accent1" w:themeShade="80"/>
          <w:sz w:val="24"/>
          <w:szCs w:val="24"/>
        </w:rPr>
      </w:r>
      <w:r w:rsidRPr="001E0A8C">
        <w:rPr>
          <w:rFonts w:asciiTheme="minorBidi" w:hAnsiTheme="minorBidi"/>
          <w:color w:val="1F3864" w:themeColor="accent1" w:themeShade="80"/>
          <w:sz w:val="24"/>
          <w:szCs w:val="24"/>
        </w:rPr>
        <w:fldChar w:fldCharType="separate"/>
      </w:r>
      <w:r w:rsidRPr="00B93DF7">
        <w:rPr>
          <w:rFonts w:asciiTheme="minorBidi" w:hAnsiTheme="minorBidi"/>
          <w:color w:val="1F3864" w:themeColor="accent1" w:themeShade="80"/>
          <w:sz w:val="24"/>
          <w:szCs w:val="24"/>
        </w:rPr>
        <w:t>Table 19</w:t>
      </w:r>
      <w:r w:rsidRPr="001E0A8C">
        <w:rPr>
          <w:rFonts w:asciiTheme="minorBidi" w:hAnsiTheme="minorBidi"/>
          <w:color w:val="1F3864" w:themeColor="accent1" w:themeShade="80"/>
          <w:sz w:val="24"/>
          <w:szCs w:val="24"/>
        </w:rPr>
        <w:fldChar w:fldCharType="end"/>
      </w:r>
      <w:r>
        <w:rPr>
          <w:rFonts w:asciiTheme="minorBidi" w:hAnsiTheme="minorBidi"/>
          <w:sz w:val="24"/>
          <w:szCs w:val="24"/>
        </w:rPr>
        <w:t xml:space="preserve"> </w:t>
      </w:r>
      <w:r w:rsidRPr="00611710">
        <w:rPr>
          <w:rFonts w:asciiTheme="minorBidi" w:hAnsiTheme="minorBidi"/>
          <w:sz w:val="24"/>
          <w:szCs w:val="24"/>
        </w:rPr>
        <w:t xml:space="preserve">is </w:t>
      </w:r>
      <w:r w:rsidRPr="000F2E23">
        <w:rPr>
          <w:rFonts w:asciiTheme="minorBidi" w:hAnsiTheme="minorBidi"/>
          <w:sz w:val="24"/>
          <w:szCs w:val="24"/>
        </w:rPr>
        <w:t xml:space="preserve">that primary care pharmacists in </w:t>
      </w:r>
      <w:r>
        <w:rPr>
          <w:rFonts w:asciiTheme="minorBidi" w:hAnsiTheme="minorBidi"/>
          <w:sz w:val="24"/>
          <w:szCs w:val="24"/>
        </w:rPr>
        <w:t>SA</w:t>
      </w:r>
      <w:r w:rsidRPr="000F2E23">
        <w:rPr>
          <w:rFonts w:asciiTheme="minorBidi" w:hAnsiTheme="minorBidi"/>
          <w:sz w:val="24"/>
          <w:szCs w:val="24"/>
        </w:rPr>
        <w:t xml:space="preserve"> regularly provide traditional pharmacy services to </w:t>
      </w:r>
      <w:r>
        <w:rPr>
          <w:rFonts w:asciiTheme="minorBidi" w:hAnsiTheme="minorBidi"/>
          <w:sz w:val="24"/>
          <w:szCs w:val="24"/>
        </w:rPr>
        <w:t>patients with diabetes. T</w:t>
      </w:r>
      <w:r w:rsidRPr="00FA3A77">
        <w:rPr>
          <w:rFonts w:asciiTheme="minorBidi" w:hAnsiTheme="minorBidi"/>
          <w:sz w:val="24"/>
          <w:szCs w:val="24"/>
        </w:rPr>
        <w:t xml:space="preserve">hey also provide some </w:t>
      </w:r>
      <w:r>
        <w:rPr>
          <w:rFonts w:asciiTheme="minorBidi" w:hAnsiTheme="minorBidi"/>
          <w:sz w:val="24"/>
          <w:szCs w:val="24"/>
        </w:rPr>
        <w:t xml:space="preserve">clinical </w:t>
      </w:r>
      <w:r w:rsidRPr="00FA3A77">
        <w:rPr>
          <w:rFonts w:asciiTheme="minorBidi" w:hAnsiTheme="minorBidi"/>
          <w:sz w:val="24"/>
          <w:szCs w:val="24"/>
        </w:rPr>
        <w:t>services; for example, they often offer hypoglycemia management service</w:t>
      </w:r>
      <w:r>
        <w:rPr>
          <w:rFonts w:asciiTheme="minorBidi" w:hAnsiTheme="minorBidi"/>
          <w:sz w:val="24"/>
          <w:szCs w:val="24"/>
        </w:rPr>
        <w:t>s</w:t>
      </w:r>
      <w:r w:rsidRPr="00FA3A77">
        <w:rPr>
          <w:rFonts w:asciiTheme="minorBidi" w:hAnsiTheme="minorBidi"/>
          <w:sz w:val="24"/>
          <w:szCs w:val="24"/>
        </w:rPr>
        <w:t>. They also occasionally provide other clinical activities</w:t>
      </w:r>
      <w:r>
        <w:rPr>
          <w:rFonts w:asciiTheme="minorBidi" w:hAnsiTheme="minorBidi"/>
          <w:sz w:val="24"/>
          <w:szCs w:val="24"/>
        </w:rPr>
        <w:t xml:space="preserve">. </w:t>
      </w:r>
      <w:r w:rsidRPr="00F32E65">
        <w:rPr>
          <w:rFonts w:asciiTheme="minorBidi" w:hAnsiTheme="minorBidi"/>
          <w:sz w:val="24"/>
          <w:szCs w:val="24"/>
        </w:rPr>
        <w:t>The median averages for medication therapy management, medication review, blood glucose monitoring, co-morbid disease education, co-</w:t>
      </w:r>
      <w:r w:rsidRPr="00FA3A77">
        <w:rPr>
          <w:rFonts w:asciiTheme="minorBidi" w:hAnsiTheme="minorBidi"/>
          <w:sz w:val="24"/>
          <w:szCs w:val="24"/>
        </w:rPr>
        <w:t>morbid disease medication management, healthy lifestyle education</w:t>
      </w:r>
      <w:r>
        <w:rPr>
          <w:rFonts w:asciiTheme="minorBidi" w:hAnsiTheme="minorBidi"/>
          <w:sz w:val="24"/>
          <w:szCs w:val="24"/>
        </w:rPr>
        <w:t xml:space="preserve">, and dependent prescribing of diabetes medication were equal (scoring 3), suggesting these services are sometimes provided to patients with diabetes. The IQR suggests that there was less variation in provision of </w:t>
      </w:r>
      <w:r w:rsidRPr="00FA3A77">
        <w:rPr>
          <w:rFonts w:asciiTheme="minorBidi" w:hAnsiTheme="minorBidi"/>
          <w:sz w:val="24"/>
          <w:szCs w:val="24"/>
        </w:rPr>
        <w:t>co-morbid disease medication management</w:t>
      </w:r>
      <w:r>
        <w:rPr>
          <w:rFonts w:asciiTheme="minorBidi" w:hAnsiTheme="minorBidi"/>
          <w:sz w:val="24"/>
          <w:szCs w:val="24"/>
        </w:rPr>
        <w:t xml:space="preserve"> and</w:t>
      </w:r>
      <w:r w:rsidRPr="00FA3A77">
        <w:rPr>
          <w:rFonts w:asciiTheme="minorBidi" w:hAnsiTheme="minorBidi"/>
          <w:sz w:val="24"/>
          <w:szCs w:val="24"/>
        </w:rPr>
        <w:t xml:space="preserve"> healthy lifestyle education</w:t>
      </w:r>
      <w:r>
        <w:rPr>
          <w:rFonts w:asciiTheme="minorBidi" w:hAnsiTheme="minorBidi"/>
          <w:sz w:val="24"/>
          <w:szCs w:val="24"/>
        </w:rPr>
        <w:t xml:space="preserve"> among the respondents, while there was more variation in provision of services such as </w:t>
      </w:r>
      <w:r w:rsidRPr="00FA3A77">
        <w:rPr>
          <w:rFonts w:asciiTheme="minorBidi" w:hAnsiTheme="minorBidi"/>
          <w:sz w:val="24"/>
          <w:szCs w:val="24"/>
        </w:rPr>
        <w:t>medication therapy management, blood glucose monitoring,</w:t>
      </w:r>
      <w:r>
        <w:rPr>
          <w:rFonts w:asciiTheme="minorBidi" w:hAnsiTheme="minorBidi"/>
          <w:sz w:val="24"/>
          <w:szCs w:val="24"/>
        </w:rPr>
        <w:t xml:space="preserve"> </w:t>
      </w:r>
      <w:r w:rsidRPr="00FA3A77">
        <w:rPr>
          <w:rFonts w:asciiTheme="minorBidi" w:hAnsiTheme="minorBidi"/>
          <w:sz w:val="24"/>
          <w:szCs w:val="24"/>
        </w:rPr>
        <w:t>co-morbid disease</w:t>
      </w:r>
      <w:r>
        <w:rPr>
          <w:rFonts w:asciiTheme="minorBidi" w:hAnsiTheme="minorBidi"/>
          <w:sz w:val="24"/>
          <w:szCs w:val="24"/>
        </w:rPr>
        <w:t xml:space="preserve"> education and dependent prescribing of diabetes medication.  </w:t>
      </w:r>
    </w:p>
    <w:p w14:paraId="463D33CD" w14:textId="77777777" w:rsidR="00D355D5" w:rsidRDefault="00D355D5" w:rsidP="00D355D5">
      <w:pPr>
        <w:spacing w:after="0" w:line="360" w:lineRule="auto"/>
        <w:jc w:val="both"/>
        <w:rPr>
          <w:rFonts w:asciiTheme="minorBidi" w:hAnsiTheme="minorBidi"/>
          <w:sz w:val="24"/>
          <w:szCs w:val="24"/>
        </w:rPr>
      </w:pPr>
    </w:p>
    <w:p w14:paraId="34F90768" w14:textId="77777777" w:rsidR="00D355D5" w:rsidRDefault="00D355D5" w:rsidP="00D355D5">
      <w:pPr>
        <w:spacing w:after="0" w:line="360" w:lineRule="auto"/>
        <w:jc w:val="both"/>
        <w:rPr>
          <w:rFonts w:asciiTheme="minorBidi" w:hAnsiTheme="minorBidi"/>
          <w:sz w:val="24"/>
          <w:szCs w:val="24"/>
        </w:rPr>
      </w:pPr>
    </w:p>
    <w:p w14:paraId="509DE2A4" w14:textId="77777777" w:rsidR="00D355D5" w:rsidRDefault="00D355D5" w:rsidP="00D355D5">
      <w:pPr>
        <w:spacing w:after="0" w:line="360" w:lineRule="auto"/>
        <w:jc w:val="both"/>
        <w:rPr>
          <w:rFonts w:asciiTheme="minorBidi" w:hAnsiTheme="minorBidi"/>
          <w:sz w:val="24"/>
          <w:szCs w:val="24"/>
        </w:rPr>
      </w:pPr>
    </w:p>
    <w:p w14:paraId="540CA0D1" w14:textId="77777777" w:rsidR="00D355D5" w:rsidRDefault="00D355D5" w:rsidP="00D355D5">
      <w:pPr>
        <w:spacing w:after="0" w:line="360" w:lineRule="auto"/>
        <w:jc w:val="both"/>
        <w:rPr>
          <w:rFonts w:asciiTheme="minorBidi" w:hAnsiTheme="minorBidi"/>
          <w:sz w:val="24"/>
          <w:szCs w:val="24"/>
        </w:rPr>
      </w:pPr>
    </w:p>
    <w:p w14:paraId="038259B5" w14:textId="77777777" w:rsidR="00D355D5" w:rsidRDefault="00D355D5" w:rsidP="00D355D5">
      <w:pPr>
        <w:spacing w:after="0" w:line="360" w:lineRule="auto"/>
        <w:jc w:val="both"/>
        <w:rPr>
          <w:rFonts w:asciiTheme="minorBidi" w:hAnsiTheme="minorBidi"/>
          <w:sz w:val="24"/>
          <w:szCs w:val="24"/>
        </w:rPr>
      </w:pPr>
    </w:p>
    <w:p w14:paraId="3AB817D2" w14:textId="77777777" w:rsidR="00D355D5" w:rsidRDefault="00D355D5" w:rsidP="00D355D5">
      <w:pPr>
        <w:spacing w:after="0" w:line="360" w:lineRule="auto"/>
        <w:jc w:val="both"/>
        <w:rPr>
          <w:rFonts w:asciiTheme="minorBidi" w:hAnsiTheme="minorBidi"/>
          <w:sz w:val="24"/>
          <w:szCs w:val="24"/>
        </w:rPr>
      </w:pPr>
    </w:p>
    <w:p w14:paraId="4376AD6E" w14:textId="77777777" w:rsidR="00D355D5" w:rsidRDefault="00D355D5" w:rsidP="00D355D5">
      <w:pPr>
        <w:spacing w:after="0" w:line="360" w:lineRule="auto"/>
        <w:jc w:val="both"/>
        <w:rPr>
          <w:rFonts w:asciiTheme="minorBidi" w:hAnsiTheme="minorBidi"/>
          <w:sz w:val="24"/>
          <w:szCs w:val="24"/>
        </w:rPr>
      </w:pPr>
    </w:p>
    <w:p w14:paraId="3AE81C25" w14:textId="77777777" w:rsidR="00D355D5" w:rsidRDefault="00D355D5" w:rsidP="00D355D5">
      <w:pPr>
        <w:spacing w:after="0" w:line="360" w:lineRule="auto"/>
        <w:jc w:val="both"/>
        <w:rPr>
          <w:rFonts w:asciiTheme="minorBidi" w:hAnsiTheme="minorBidi"/>
          <w:sz w:val="24"/>
          <w:szCs w:val="24"/>
        </w:rPr>
      </w:pPr>
    </w:p>
    <w:p w14:paraId="758C8058" w14:textId="77777777" w:rsidR="00D355D5" w:rsidRDefault="00D355D5" w:rsidP="00D355D5">
      <w:pPr>
        <w:spacing w:after="0" w:line="360" w:lineRule="auto"/>
        <w:jc w:val="both"/>
        <w:rPr>
          <w:rFonts w:asciiTheme="minorBidi" w:hAnsiTheme="minorBidi"/>
          <w:sz w:val="24"/>
          <w:szCs w:val="24"/>
        </w:rPr>
      </w:pPr>
    </w:p>
    <w:p w14:paraId="2A24A60F" w14:textId="77777777" w:rsidR="00D355D5" w:rsidRDefault="00D355D5" w:rsidP="00D355D5">
      <w:pPr>
        <w:spacing w:after="0" w:line="360" w:lineRule="auto"/>
        <w:jc w:val="both"/>
        <w:rPr>
          <w:rFonts w:asciiTheme="minorBidi" w:hAnsiTheme="minorBidi"/>
          <w:sz w:val="24"/>
          <w:szCs w:val="24"/>
        </w:rPr>
      </w:pPr>
    </w:p>
    <w:p w14:paraId="5B034B1D" w14:textId="77777777" w:rsidR="00D355D5" w:rsidRDefault="00D355D5" w:rsidP="00D355D5">
      <w:pPr>
        <w:spacing w:after="0" w:line="360" w:lineRule="auto"/>
        <w:jc w:val="both"/>
        <w:rPr>
          <w:rFonts w:asciiTheme="minorBidi" w:hAnsiTheme="minorBidi"/>
          <w:sz w:val="24"/>
          <w:szCs w:val="24"/>
        </w:rPr>
      </w:pPr>
    </w:p>
    <w:p w14:paraId="2865842F" w14:textId="77777777" w:rsidR="00D355D5" w:rsidRDefault="00D355D5" w:rsidP="00D355D5">
      <w:pPr>
        <w:spacing w:after="0" w:line="360" w:lineRule="auto"/>
        <w:jc w:val="both"/>
        <w:rPr>
          <w:rFonts w:asciiTheme="minorBidi" w:hAnsiTheme="minorBidi"/>
          <w:sz w:val="24"/>
          <w:szCs w:val="24"/>
        </w:rPr>
      </w:pPr>
    </w:p>
    <w:p w14:paraId="598CC116" w14:textId="77777777" w:rsidR="00D355D5" w:rsidRDefault="00D355D5" w:rsidP="00D355D5">
      <w:pPr>
        <w:spacing w:after="0" w:line="360" w:lineRule="auto"/>
        <w:jc w:val="both"/>
        <w:rPr>
          <w:rFonts w:asciiTheme="minorBidi" w:hAnsiTheme="minorBidi"/>
          <w:sz w:val="24"/>
          <w:szCs w:val="24"/>
        </w:rPr>
      </w:pPr>
    </w:p>
    <w:p w14:paraId="07D843CF" w14:textId="77777777" w:rsidR="00D355D5" w:rsidRDefault="00D355D5" w:rsidP="00D355D5">
      <w:pPr>
        <w:spacing w:after="0" w:line="360" w:lineRule="auto"/>
        <w:jc w:val="both"/>
        <w:rPr>
          <w:rFonts w:asciiTheme="minorBidi" w:hAnsiTheme="minorBidi"/>
          <w:sz w:val="24"/>
          <w:szCs w:val="24"/>
        </w:rPr>
      </w:pPr>
    </w:p>
    <w:p w14:paraId="596383FB" w14:textId="77777777" w:rsidR="006709C7" w:rsidRDefault="006709C7">
      <w:pPr>
        <w:rPr>
          <w:rFonts w:asciiTheme="majorHAnsi" w:eastAsiaTheme="majorEastAsia" w:hAnsiTheme="majorHAnsi" w:cstheme="majorBidi"/>
          <w:color w:val="2F5496" w:themeColor="accent1" w:themeShade="BF"/>
          <w:sz w:val="32"/>
          <w:szCs w:val="32"/>
          <w:lang w:val="en-AU" w:eastAsia="ja-JP"/>
        </w:rPr>
      </w:pPr>
      <w:bookmarkStart w:id="440" w:name="_Toc148518778"/>
      <w:r>
        <w:br w:type="page"/>
      </w:r>
    </w:p>
    <w:p w14:paraId="7CE21F22" w14:textId="522B1222" w:rsidR="00667B73" w:rsidRDefault="00D355D5" w:rsidP="00084E3F">
      <w:pPr>
        <w:pStyle w:val="Heading1"/>
      </w:pPr>
      <w:bookmarkStart w:id="441" w:name="_Ref149899310"/>
      <w:bookmarkStart w:id="442" w:name="_Toc150609787"/>
      <w:bookmarkStart w:id="443" w:name="_Toc153894244"/>
      <w:r>
        <w:t>Appendix</w:t>
      </w:r>
      <w:r w:rsidR="00472D1A">
        <w:t xml:space="preserve"> Q</w:t>
      </w:r>
      <w:r>
        <w:t>: Codebook</w:t>
      </w:r>
      <w:bookmarkEnd w:id="440"/>
      <w:r w:rsidR="00B40CF7">
        <w:t xml:space="preserve"> (</w:t>
      </w:r>
      <w:r w:rsidR="00667B73">
        <w:t>Codes</w:t>
      </w:r>
      <w:r w:rsidR="007D4332">
        <w:t xml:space="preserve"> and </w:t>
      </w:r>
      <w:r w:rsidR="00667B73">
        <w:t>Themes</w:t>
      </w:r>
      <w:r w:rsidR="00B40CF7">
        <w:t>)</w:t>
      </w:r>
      <w:bookmarkEnd w:id="441"/>
      <w:bookmarkEnd w:id="442"/>
      <w:bookmarkEnd w:id="443"/>
    </w:p>
    <w:p w14:paraId="4776A7B1" w14:textId="77777777" w:rsidR="00D355D5" w:rsidRDefault="00D355D5" w:rsidP="00D355D5">
      <w:pPr>
        <w:spacing w:after="0" w:line="360" w:lineRule="auto"/>
        <w:jc w:val="both"/>
        <w:rPr>
          <w:rFonts w:asciiTheme="minorBidi" w:hAnsiTheme="minorBidi"/>
          <w:sz w:val="24"/>
          <w:szCs w:val="24"/>
        </w:rPr>
      </w:pPr>
    </w:p>
    <w:p w14:paraId="2E0C0466" w14:textId="77777777" w:rsidR="00D355D5" w:rsidRPr="00EF5176" w:rsidRDefault="00D355D5" w:rsidP="00D355D5">
      <w:pPr>
        <w:pStyle w:val="CodebookTitle"/>
        <w:rPr>
          <w:b/>
          <w:bCs/>
          <w:sz w:val="32"/>
          <w:szCs w:val="32"/>
        </w:rPr>
      </w:pPr>
      <w:r w:rsidRPr="00EF5176">
        <w:rPr>
          <w:b/>
          <w:bCs/>
          <w:sz w:val="32"/>
          <w:szCs w:val="32"/>
        </w:rPr>
        <w:t>Pharmacists Involvement in Diabetes Primary Care Management in Saudi Arabia</w:t>
      </w:r>
    </w:p>
    <w:p w14:paraId="1E118164" w14:textId="77777777" w:rsidR="00D355D5" w:rsidRPr="007C577D" w:rsidRDefault="00D355D5" w:rsidP="007C577D">
      <w:pPr>
        <w:rPr>
          <w:sz w:val="24"/>
          <w:szCs w:val="24"/>
        </w:rPr>
      </w:pPr>
      <w:bookmarkStart w:id="444" w:name="_Toc148518779"/>
      <w:r w:rsidRPr="007C577D">
        <w:rPr>
          <w:sz w:val="24"/>
          <w:szCs w:val="24"/>
        </w:rPr>
        <w:t>Codes</w:t>
      </w:r>
      <w:r w:rsidRPr="007C577D">
        <w:rPr>
          <w:rFonts w:hint="cs"/>
          <w:sz w:val="24"/>
          <w:szCs w:val="24"/>
          <w:rtl/>
        </w:rPr>
        <w:t>\\</w:t>
      </w:r>
      <w:r w:rsidRPr="007C577D">
        <w:rPr>
          <w:sz w:val="24"/>
          <w:szCs w:val="24"/>
        </w:rPr>
        <w:t xml:space="preserve"> Themes</w:t>
      </w:r>
      <w:bookmarkEnd w:id="444"/>
      <w:r w:rsidRPr="007C577D">
        <w:rPr>
          <w:sz w:val="24"/>
          <w:szCs w:val="24"/>
        </w:rPr>
        <w:t xml:space="preserve"> </w:t>
      </w:r>
    </w:p>
    <w:p w14:paraId="209DA5FB" w14:textId="77777777" w:rsidR="00D355D5" w:rsidRPr="00486C40" w:rsidRDefault="00D355D5" w:rsidP="00D355D5">
      <w:pPr>
        <w:pStyle w:val="FolderDescription"/>
      </w:pPr>
    </w:p>
    <w:p w14:paraId="5AF5610E" w14:textId="77777777" w:rsidR="00D355D5" w:rsidRPr="00595D3A" w:rsidRDefault="00D355D5" w:rsidP="00D355D5">
      <w:r>
        <w:t xml:space="preserve">HCP Attitudes toward pharmacists Role </w:t>
      </w:r>
    </w:p>
    <w:p w14:paraId="12992BE2" w14:textId="77777777" w:rsidR="00D355D5" w:rsidRDefault="00D355D5" w:rsidP="00D355D5">
      <w:r>
        <w:t>Codes\\Attitude</w:t>
      </w:r>
    </w:p>
    <w:p w14:paraId="19352FC1" w14:textId="77777777" w:rsidR="00D355D5" w:rsidRDefault="00D355D5" w:rsidP="00D355D5">
      <w:r>
        <w:t>Attitude towards pharmacist's role in patient care</w:t>
      </w:r>
    </w:p>
    <w:tbl>
      <w:tblPr>
        <w:tblStyle w:val="NodesTable"/>
        <w:tblW w:w="5000" w:type="pct"/>
        <w:tblInd w:w="0" w:type="dxa"/>
        <w:tblLook w:val="0420" w:firstRow="1" w:lastRow="0" w:firstColumn="0" w:lastColumn="0" w:noHBand="0" w:noVBand="1"/>
      </w:tblPr>
      <w:tblGrid>
        <w:gridCol w:w="2646"/>
        <w:gridCol w:w="4518"/>
        <w:gridCol w:w="1078"/>
        <w:gridCol w:w="1113"/>
      </w:tblGrid>
      <w:tr w:rsidR="00D355D5" w14:paraId="3F79BE0D"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2875D0DD" w14:textId="77777777" w:rsidR="00D355D5" w:rsidRDefault="00D355D5" w:rsidP="00282204">
            <w:pPr>
              <w:pStyle w:val="TableHeader"/>
            </w:pPr>
            <w:r>
              <w:t>Name</w:t>
            </w:r>
          </w:p>
        </w:tc>
        <w:tc>
          <w:tcPr>
            <w:tcW w:w="2500" w:type="pct"/>
          </w:tcPr>
          <w:p w14:paraId="4ADA6848" w14:textId="77777777" w:rsidR="00D355D5" w:rsidRDefault="00D355D5" w:rsidP="00282204">
            <w:pPr>
              <w:pStyle w:val="TableHeader"/>
            </w:pPr>
            <w:r>
              <w:t xml:space="preserve">Description/Examples </w:t>
            </w:r>
          </w:p>
        </w:tc>
        <w:tc>
          <w:tcPr>
            <w:tcW w:w="500" w:type="pct"/>
          </w:tcPr>
          <w:p w14:paraId="37DF5C43" w14:textId="77777777" w:rsidR="00D355D5" w:rsidRDefault="00D355D5" w:rsidP="00282204">
            <w:pPr>
              <w:pStyle w:val="TableHeader"/>
            </w:pPr>
            <w:r>
              <w:t>Files/cases</w:t>
            </w:r>
          </w:p>
        </w:tc>
        <w:tc>
          <w:tcPr>
            <w:tcW w:w="500" w:type="pct"/>
          </w:tcPr>
          <w:p w14:paraId="0EE34278" w14:textId="77777777" w:rsidR="00D355D5" w:rsidRDefault="00D355D5" w:rsidP="00282204">
            <w:pPr>
              <w:pStyle w:val="TableHeader"/>
            </w:pPr>
            <w:r>
              <w:t>References</w:t>
            </w:r>
          </w:p>
        </w:tc>
      </w:tr>
      <w:tr w:rsidR="00D355D5" w14:paraId="253BE08D"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3C7CC500" w14:textId="77777777" w:rsidR="00D355D5" w:rsidRPr="00112B84" w:rsidRDefault="00D355D5" w:rsidP="00282204">
            <w:pPr>
              <w:spacing w:line="240" w:lineRule="auto"/>
              <w:jc w:val="both"/>
              <w:rPr>
                <w:rFonts w:hAnsiTheme="minorHAnsi" w:cstheme="minorHAnsi"/>
              </w:rPr>
            </w:pPr>
            <w:r w:rsidRPr="00112B84">
              <w:rPr>
                <w:rFonts w:hAnsiTheme="minorHAnsi" w:cstheme="minorHAnsi"/>
              </w:rPr>
              <w:t>Negative</w:t>
            </w:r>
          </w:p>
        </w:tc>
        <w:tc>
          <w:tcPr>
            <w:tcW w:w="2500" w:type="pct"/>
          </w:tcPr>
          <w:p w14:paraId="199E6765" w14:textId="77777777" w:rsidR="00D355D5" w:rsidRPr="00112B84" w:rsidRDefault="00D355D5" w:rsidP="00282204">
            <w:pPr>
              <w:spacing w:line="240" w:lineRule="auto"/>
              <w:jc w:val="both"/>
              <w:rPr>
                <w:rFonts w:hAnsiTheme="minorHAnsi" w:cstheme="minorHAnsi"/>
              </w:rPr>
            </w:pPr>
          </w:p>
        </w:tc>
        <w:tc>
          <w:tcPr>
            <w:tcW w:w="500" w:type="pct"/>
          </w:tcPr>
          <w:p w14:paraId="6CF151B9" w14:textId="77777777" w:rsidR="00D355D5" w:rsidRDefault="00D355D5" w:rsidP="00282204">
            <w:pPr>
              <w:pStyle w:val="RightAlign"/>
            </w:pPr>
          </w:p>
        </w:tc>
        <w:tc>
          <w:tcPr>
            <w:tcW w:w="500" w:type="pct"/>
          </w:tcPr>
          <w:p w14:paraId="00D923B7" w14:textId="77777777" w:rsidR="00D355D5" w:rsidRDefault="00D355D5" w:rsidP="00282204">
            <w:pPr>
              <w:pStyle w:val="RightAlign"/>
            </w:pPr>
          </w:p>
        </w:tc>
      </w:tr>
      <w:tr w:rsidR="00D355D5" w14:paraId="5A6C4D0B"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05223621" w14:textId="77777777" w:rsidR="00D355D5" w:rsidRPr="00112B84" w:rsidRDefault="00D355D5" w:rsidP="00282204">
            <w:pPr>
              <w:spacing w:line="240" w:lineRule="auto"/>
              <w:ind w:left="450"/>
              <w:jc w:val="both"/>
              <w:rPr>
                <w:rFonts w:hAnsiTheme="minorHAnsi" w:cstheme="minorHAnsi"/>
              </w:rPr>
            </w:pPr>
            <w:r w:rsidRPr="00112B84">
              <w:rPr>
                <w:rFonts w:hAnsiTheme="minorHAnsi" w:cstheme="minorHAnsi"/>
              </w:rPr>
              <w:t>Doctors</w:t>
            </w:r>
          </w:p>
        </w:tc>
        <w:tc>
          <w:tcPr>
            <w:tcW w:w="2500" w:type="pct"/>
          </w:tcPr>
          <w:p w14:paraId="0C8331BF" w14:textId="77777777" w:rsidR="00D355D5" w:rsidRPr="00112B84" w:rsidRDefault="00D355D5" w:rsidP="00282204">
            <w:pPr>
              <w:spacing w:line="240" w:lineRule="auto"/>
              <w:jc w:val="both"/>
              <w:rPr>
                <w:rFonts w:hAnsiTheme="minorHAnsi" w:cstheme="minorHAnsi"/>
                <w:lang w:val="en-GB"/>
              </w:rPr>
            </w:pPr>
            <w:r w:rsidRPr="00112B84">
              <w:rPr>
                <w:rFonts w:hAnsiTheme="minorHAnsi" w:cstheme="minorHAnsi"/>
                <w:lang w:val="en-GB"/>
              </w:rPr>
              <w:t>but I know many situation of my colleagues s</w:t>
            </w:r>
            <w:r>
              <w:rPr>
                <w:rFonts w:hAnsiTheme="minorHAnsi" w:cstheme="minorHAnsi"/>
                <w:lang w:val="en-GB"/>
              </w:rPr>
              <w:t>t</w:t>
            </w:r>
            <w:r w:rsidRPr="00112B84">
              <w:rPr>
                <w:rFonts w:hAnsiTheme="minorHAnsi" w:cstheme="minorHAnsi"/>
                <w:lang w:val="en-GB"/>
              </w:rPr>
              <w:t>ate that they get angry or uncomforted whenever they have been called by the pharmacist to question any order or question any changes in medication regardless for diabetic or non diabetic patients. they say we feel uncomfortable always the pharmacist is calling me and correct that or it is not allowed or decrease the dose; this is not the actual dose, is not an indication,D2</w:t>
            </w:r>
          </w:p>
          <w:p w14:paraId="20182C7D" w14:textId="77777777" w:rsidR="00D355D5" w:rsidRPr="00112B84" w:rsidRDefault="00D355D5" w:rsidP="00282204">
            <w:pPr>
              <w:spacing w:line="240" w:lineRule="auto"/>
              <w:jc w:val="both"/>
              <w:rPr>
                <w:rFonts w:hAnsiTheme="minorHAnsi" w:cstheme="minorHAnsi"/>
                <w:lang w:val="en-GB"/>
              </w:rPr>
            </w:pPr>
            <w:r w:rsidRPr="00112B84">
              <w:rPr>
                <w:rFonts w:hAnsiTheme="minorHAnsi" w:cstheme="minorHAnsi"/>
                <w:lang w:val="en-GB"/>
              </w:rPr>
              <w:t>I know it is a stressful situation sometimes for the beginner for somebody who's already have no let’s say a relationship or teamwork with his colleagues they are all stranger to him he might feel uncomfortable to be you know have a discussion with the pharmacist regarding the plan of care or something like.D2</w:t>
            </w:r>
          </w:p>
        </w:tc>
        <w:tc>
          <w:tcPr>
            <w:tcW w:w="500" w:type="pct"/>
          </w:tcPr>
          <w:p w14:paraId="5A6F8D2A" w14:textId="77777777" w:rsidR="00D355D5" w:rsidRDefault="00D355D5" w:rsidP="00282204">
            <w:pPr>
              <w:pStyle w:val="RightAlign"/>
            </w:pPr>
            <w:r>
              <w:t>1</w:t>
            </w:r>
          </w:p>
        </w:tc>
        <w:tc>
          <w:tcPr>
            <w:tcW w:w="500" w:type="pct"/>
          </w:tcPr>
          <w:p w14:paraId="04876CF9" w14:textId="77777777" w:rsidR="00D355D5" w:rsidRDefault="00D355D5" w:rsidP="00282204">
            <w:pPr>
              <w:pStyle w:val="RightAlign"/>
            </w:pPr>
            <w:r>
              <w:t>2</w:t>
            </w:r>
          </w:p>
        </w:tc>
      </w:tr>
      <w:tr w:rsidR="00D355D5" w14:paraId="33E0715C"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07D48EDE" w14:textId="77777777" w:rsidR="00D355D5" w:rsidRPr="00112B84" w:rsidRDefault="00D355D5" w:rsidP="00282204">
            <w:pPr>
              <w:spacing w:line="240" w:lineRule="auto"/>
              <w:ind w:left="450"/>
              <w:jc w:val="both"/>
              <w:rPr>
                <w:rFonts w:hAnsiTheme="minorHAnsi" w:cstheme="minorHAnsi"/>
              </w:rPr>
            </w:pPr>
            <w:r w:rsidRPr="00112B84">
              <w:rPr>
                <w:rFonts w:hAnsiTheme="minorHAnsi" w:cstheme="minorHAnsi"/>
              </w:rPr>
              <w:t>Nurses</w:t>
            </w:r>
          </w:p>
        </w:tc>
        <w:tc>
          <w:tcPr>
            <w:tcW w:w="2500" w:type="pct"/>
          </w:tcPr>
          <w:p w14:paraId="00799565" w14:textId="77777777" w:rsidR="00D355D5" w:rsidRPr="00112B84" w:rsidRDefault="00D355D5" w:rsidP="00282204">
            <w:pPr>
              <w:spacing w:line="240" w:lineRule="auto"/>
              <w:jc w:val="both"/>
              <w:rPr>
                <w:rFonts w:hAnsiTheme="minorHAnsi" w:cstheme="minorHAnsi"/>
              </w:rPr>
            </w:pPr>
          </w:p>
        </w:tc>
        <w:tc>
          <w:tcPr>
            <w:tcW w:w="500" w:type="pct"/>
          </w:tcPr>
          <w:p w14:paraId="536506C0" w14:textId="77777777" w:rsidR="00D355D5" w:rsidRDefault="00D355D5" w:rsidP="00282204">
            <w:pPr>
              <w:pStyle w:val="RightAlign"/>
            </w:pPr>
            <w:r>
              <w:t>0</w:t>
            </w:r>
          </w:p>
        </w:tc>
        <w:tc>
          <w:tcPr>
            <w:tcW w:w="500" w:type="pct"/>
          </w:tcPr>
          <w:p w14:paraId="65C0E364" w14:textId="77777777" w:rsidR="00D355D5" w:rsidRDefault="00D355D5" w:rsidP="00282204">
            <w:pPr>
              <w:pStyle w:val="RightAlign"/>
            </w:pPr>
            <w:r>
              <w:t>0</w:t>
            </w:r>
          </w:p>
        </w:tc>
      </w:tr>
      <w:tr w:rsidR="00D355D5" w14:paraId="2CCF533D"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44699DD4" w14:textId="77777777" w:rsidR="00D355D5" w:rsidRPr="00112B84" w:rsidRDefault="00D355D5" w:rsidP="00282204">
            <w:pPr>
              <w:spacing w:line="240" w:lineRule="auto"/>
              <w:ind w:left="450"/>
              <w:jc w:val="both"/>
              <w:rPr>
                <w:rFonts w:hAnsiTheme="minorHAnsi" w:cstheme="minorHAnsi"/>
              </w:rPr>
            </w:pPr>
            <w:r w:rsidRPr="00112B84">
              <w:rPr>
                <w:rFonts w:hAnsiTheme="minorHAnsi" w:cstheme="minorHAnsi"/>
              </w:rPr>
              <w:t>Pharmacists</w:t>
            </w:r>
          </w:p>
        </w:tc>
        <w:tc>
          <w:tcPr>
            <w:tcW w:w="2500" w:type="pct"/>
          </w:tcPr>
          <w:p w14:paraId="22D8ABD4" w14:textId="77777777" w:rsidR="00D355D5" w:rsidRPr="000B6B95" w:rsidRDefault="00D355D5" w:rsidP="00282204">
            <w:pPr>
              <w:spacing w:line="240" w:lineRule="auto"/>
              <w:rPr>
                <w:rFonts w:hAnsiTheme="minorHAnsi" w:cstheme="minorHAnsi"/>
                <w:lang w:val="en-GB" w:eastAsia="en-GB"/>
              </w:rPr>
            </w:pPr>
            <w:r w:rsidRPr="000B6B95">
              <w:rPr>
                <w:rFonts w:hAnsiTheme="minorHAnsi" w:cstheme="minorHAnsi"/>
                <w:lang w:val="en-GB" w:eastAsia="en-GB"/>
              </w:rPr>
              <w:t>Regarding policy makers, I think they want to activate the clinical role of pharmacists. Since pharmacy services in the PHCs focused on the traditional role of dispensing prescriptions to patients, the policymakers did not find an effective role for primary care pharmacists in providing patient-centred care services. Therefore, the decision was taken to close this service and replace it with community pharmacies.</w:t>
            </w:r>
            <w:r>
              <w:rPr>
                <w:rFonts w:hAnsiTheme="minorHAnsi" w:cstheme="minorHAnsi"/>
                <w:lang w:val="en-GB" w:eastAsia="en-GB"/>
              </w:rPr>
              <w:t xml:space="preserve"> Ph1</w:t>
            </w:r>
          </w:p>
          <w:p w14:paraId="6D44A760" w14:textId="77777777" w:rsidR="00D355D5" w:rsidRPr="009F0A8B" w:rsidRDefault="00D355D5" w:rsidP="00282204">
            <w:pPr>
              <w:spacing w:line="240" w:lineRule="auto"/>
              <w:jc w:val="both"/>
              <w:rPr>
                <w:rFonts w:hAnsiTheme="minorHAnsi" w:cstheme="minorHAnsi"/>
                <w:lang w:val="en-GB" w:eastAsia="en-GB"/>
              </w:rPr>
            </w:pPr>
            <w:r w:rsidRPr="009F0A8B">
              <w:rPr>
                <w:rFonts w:hAnsiTheme="minorHAnsi" w:cstheme="minorHAnsi"/>
                <w:lang w:val="en-GB" w:eastAsia="en-GB"/>
              </w:rPr>
              <w:t>some of them (doctors) ignore or let's say that they are unaware of the role of the pharmacist and the knowledge that they have.Ph2</w:t>
            </w:r>
          </w:p>
          <w:p w14:paraId="7DD5F306" w14:textId="77777777" w:rsidR="00D355D5" w:rsidRPr="009F0A8B" w:rsidRDefault="00D355D5" w:rsidP="00282204">
            <w:pPr>
              <w:spacing w:line="240" w:lineRule="auto"/>
              <w:jc w:val="both"/>
              <w:rPr>
                <w:rFonts w:cstheme="minorHAnsi"/>
              </w:rPr>
            </w:pPr>
            <w:r w:rsidRPr="009F0A8B">
              <w:rPr>
                <w:rFonts w:cstheme="minorHAnsi"/>
              </w:rPr>
              <w:t>the pharmacist may do it, but no one admits that the pharmacist provides it.Ph3</w:t>
            </w:r>
          </w:p>
          <w:p w14:paraId="13D935C7" w14:textId="77777777" w:rsidR="00D355D5" w:rsidRPr="009F0A8B" w:rsidRDefault="00D355D5" w:rsidP="00282204">
            <w:pPr>
              <w:spacing w:line="240" w:lineRule="auto"/>
              <w:jc w:val="both"/>
              <w:rPr>
                <w:rFonts w:cstheme="minorHAnsi"/>
              </w:rPr>
            </w:pPr>
            <w:r w:rsidRPr="009F0A8B">
              <w:rPr>
                <w:rFonts w:cstheme="minorHAnsi"/>
              </w:rPr>
              <w:t>Who do you mean by those who don't care about the pharmacist's opinion? doctors, nurses, patients, ...R</w:t>
            </w:r>
          </w:p>
          <w:p w14:paraId="0EF0CBDE" w14:textId="77777777" w:rsidR="00D355D5" w:rsidRPr="005A0C50" w:rsidRDefault="00D355D5" w:rsidP="00282204">
            <w:pPr>
              <w:spacing w:line="240" w:lineRule="auto"/>
              <w:jc w:val="both"/>
              <w:rPr>
                <w:rFonts w:cstheme="minorHAnsi"/>
                <w:sz w:val="24"/>
                <w:szCs w:val="24"/>
              </w:rPr>
            </w:pPr>
            <w:r w:rsidRPr="009F0A8B">
              <w:rPr>
                <w:rFonts w:cstheme="minorHAnsi"/>
              </w:rPr>
              <w:t>All of them. Although the pharmacist strives to serve patients.Ph3</w:t>
            </w:r>
          </w:p>
        </w:tc>
        <w:tc>
          <w:tcPr>
            <w:tcW w:w="500" w:type="pct"/>
          </w:tcPr>
          <w:p w14:paraId="46C9BC72" w14:textId="77777777" w:rsidR="00D355D5" w:rsidRDefault="00D355D5" w:rsidP="00282204">
            <w:pPr>
              <w:pStyle w:val="RightAlign"/>
            </w:pPr>
            <w:r>
              <w:t>3</w:t>
            </w:r>
          </w:p>
        </w:tc>
        <w:tc>
          <w:tcPr>
            <w:tcW w:w="500" w:type="pct"/>
          </w:tcPr>
          <w:p w14:paraId="444F2F1D" w14:textId="77777777" w:rsidR="00D355D5" w:rsidRDefault="00D355D5" w:rsidP="00282204">
            <w:pPr>
              <w:pStyle w:val="RightAlign"/>
            </w:pPr>
            <w:r>
              <w:t>4</w:t>
            </w:r>
          </w:p>
        </w:tc>
      </w:tr>
      <w:tr w:rsidR="00D355D5" w14:paraId="69580892"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28B90DA0" w14:textId="77777777" w:rsidR="00D355D5" w:rsidRPr="00112B84" w:rsidRDefault="00D355D5" w:rsidP="00282204">
            <w:pPr>
              <w:spacing w:line="240" w:lineRule="auto"/>
              <w:jc w:val="both"/>
              <w:rPr>
                <w:rFonts w:hAnsiTheme="minorHAnsi" w:cstheme="minorHAnsi"/>
              </w:rPr>
            </w:pPr>
            <w:r w:rsidRPr="00112B84">
              <w:rPr>
                <w:rFonts w:hAnsiTheme="minorHAnsi" w:cstheme="minorHAnsi"/>
              </w:rPr>
              <w:t>Neutral</w:t>
            </w:r>
          </w:p>
        </w:tc>
        <w:tc>
          <w:tcPr>
            <w:tcW w:w="2500" w:type="pct"/>
          </w:tcPr>
          <w:p w14:paraId="5E4C6B05" w14:textId="77777777" w:rsidR="00D355D5" w:rsidRPr="00112B84" w:rsidRDefault="00D355D5" w:rsidP="00282204">
            <w:pPr>
              <w:spacing w:line="240" w:lineRule="auto"/>
              <w:jc w:val="both"/>
              <w:rPr>
                <w:rFonts w:hAnsiTheme="minorHAnsi" w:cstheme="minorHAnsi"/>
              </w:rPr>
            </w:pPr>
          </w:p>
        </w:tc>
        <w:tc>
          <w:tcPr>
            <w:tcW w:w="500" w:type="pct"/>
          </w:tcPr>
          <w:p w14:paraId="34B28BFD" w14:textId="77777777" w:rsidR="00D355D5" w:rsidRDefault="00D355D5" w:rsidP="00282204">
            <w:pPr>
              <w:pStyle w:val="RightAlign"/>
            </w:pPr>
            <w:r>
              <w:t>0</w:t>
            </w:r>
          </w:p>
        </w:tc>
        <w:tc>
          <w:tcPr>
            <w:tcW w:w="500" w:type="pct"/>
          </w:tcPr>
          <w:p w14:paraId="40B13556" w14:textId="77777777" w:rsidR="00D355D5" w:rsidRDefault="00D355D5" w:rsidP="00282204">
            <w:pPr>
              <w:pStyle w:val="RightAlign"/>
            </w:pPr>
            <w:r>
              <w:t>0</w:t>
            </w:r>
          </w:p>
        </w:tc>
      </w:tr>
      <w:tr w:rsidR="00D355D5" w14:paraId="0FE29B3E"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714DAB31" w14:textId="77777777" w:rsidR="00D355D5" w:rsidRPr="00112B84" w:rsidRDefault="00D355D5" w:rsidP="00282204">
            <w:pPr>
              <w:spacing w:line="240" w:lineRule="auto"/>
              <w:ind w:left="450"/>
              <w:jc w:val="both"/>
              <w:rPr>
                <w:rFonts w:hAnsiTheme="minorHAnsi" w:cstheme="minorHAnsi"/>
              </w:rPr>
            </w:pPr>
            <w:r w:rsidRPr="00112B84">
              <w:rPr>
                <w:rFonts w:hAnsiTheme="minorHAnsi" w:cstheme="minorHAnsi"/>
              </w:rPr>
              <w:t>Doctors</w:t>
            </w:r>
          </w:p>
        </w:tc>
        <w:tc>
          <w:tcPr>
            <w:tcW w:w="2500" w:type="pct"/>
          </w:tcPr>
          <w:p w14:paraId="4BAD750E" w14:textId="77777777" w:rsidR="00D355D5" w:rsidRPr="00112B84" w:rsidRDefault="00D355D5" w:rsidP="00282204">
            <w:pPr>
              <w:spacing w:line="240" w:lineRule="auto"/>
              <w:jc w:val="both"/>
              <w:rPr>
                <w:rFonts w:hAnsiTheme="minorHAnsi" w:cstheme="minorHAnsi"/>
              </w:rPr>
            </w:pPr>
          </w:p>
        </w:tc>
        <w:tc>
          <w:tcPr>
            <w:tcW w:w="500" w:type="pct"/>
          </w:tcPr>
          <w:p w14:paraId="58707679" w14:textId="77777777" w:rsidR="00D355D5" w:rsidRDefault="00D355D5" w:rsidP="00282204">
            <w:pPr>
              <w:pStyle w:val="RightAlign"/>
            </w:pPr>
            <w:r>
              <w:t>1</w:t>
            </w:r>
          </w:p>
        </w:tc>
        <w:tc>
          <w:tcPr>
            <w:tcW w:w="500" w:type="pct"/>
          </w:tcPr>
          <w:p w14:paraId="6D7DD85F" w14:textId="77777777" w:rsidR="00D355D5" w:rsidRDefault="00D355D5" w:rsidP="00282204">
            <w:pPr>
              <w:pStyle w:val="RightAlign"/>
            </w:pPr>
            <w:r>
              <w:t>1</w:t>
            </w:r>
          </w:p>
        </w:tc>
      </w:tr>
      <w:tr w:rsidR="00D355D5" w14:paraId="3925A19A"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036A4E34" w14:textId="77777777" w:rsidR="00D355D5" w:rsidRPr="00112B84" w:rsidRDefault="00D355D5" w:rsidP="00282204">
            <w:pPr>
              <w:spacing w:line="240" w:lineRule="auto"/>
              <w:ind w:left="450"/>
              <w:jc w:val="both"/>
              <w:rPr>
                <w:rFonts w:hAnsiTheme="minorHAnsi" w:cstheme="minorHAnsi"/>
              </w:rPr>
            </w:pPr>
            <w:r w:rsidRPr="00112B84">
              <w:rPr>
                <w:rFonts w:hAnsiTheme="minorHAnsi" w:cstheme="minorHAnsi"/>
              </w:rPr>
              <w:t>Nurses</w:t>
            </w:r>
          </w:p>
        </w:tc>
        <w:tc>
          <w:tcPr>
            <w:tcW w:w="2500" w:type="pct"/>
          </w:tcPr>
          <w:p w14:paraId="2046C89B" w14:textId="77777777" w:rsidR="00D355D5" w:rsidRPr="00112B84" w:rsidRDefault="00D355D5" w:rsidP="00282204">
            <w:pPr>
              <w:spacing w:line="240" w:lineRule="auto"/>
              <w:jc w:val="both"/>
              <w:rPr>
                <w:rFonts w:hAnsiTheme="minorHAnsi" w:cstheme="minorHAnsi"/>
              </w:rPr>
            </w:pPr>
            <w:r w:rsidRPr="00FC6590">
              <w:rPr>
                <w:rFonts w:hAnsiTheme="minorHAnsi" w:cstheme="minorHAnsi"/>
              </w:rPr>
              <w:t>I have worked in health centres for 10 years, and for the first 5 years, I worked with pharmacists. Our experience or relationship with the pharmacist was superficial. If we needed medicine, they would dispense it to us. Sometimes, if there is an inquiry about a specific drug we use in the clinic, we ask them about the medication action and the side effects of it in brief, and this matter is rarely, and not often, I mean.</w:t>
            </w:r>
            <w:r>
              <w:rPr>
                <w:rFonts w:hAnsiTheme="minorHAnsi" w:cstheme="minorHAnsi"/>
              </w:rPr>
              <w:t xml:space="preserve"> N1</w:t>
            </w:r>
          </w:p>
        </w:tc>
        <w:tc>
          <w:tcPr>
            <w:tcW w:w="500" w:type="pct"/>
          </w:tcPr>
          <w:p w14:paraId="568AA020" w14:textId="77777777" w:rsidR="00D355D5" w:rsidRDefault="00D355D5" w:rsidP="00282204">
            <w:pPr>
              <w:pStyle w:val="RightAlign"/>
            </w:pPr>
            <w:r>
              <w:t>1</w:t>
            </w:r>
          </w:p>
        </w:tc>
        <w:tc>
          <w:tcPr>
            <w:tcW w:w="500" w:type="pct"/>
          </w:tcPr>
          <w:p w14:paraId="1F2DBFD9" w14:textId="77777777" w:rsidR="00D355D5" w:rsidRDefault="00D355D5" w:rsidP="00282204">
            <w:pPr>
              <w:pStyle w:val="RightAlign"/>
            </w:pPr>
            <w:r>
              <w:t>1</w:t>
            </w:r>
          </w:p>
        </w:tc>
      </w:tr>
      <w:tr w:rsidR="00D355D5" w14:paraId="31C11F2D"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73B56C81" w14:textId="77777777" w:rsidR="00D355D5" w:rsidRPr="00112B84" w:rsidRDefault="00D355D5" w:rsidP="00282204">
            <w:pPr>
              <w:spacing w:line="240" w:lineRule="auto"/>
              <w:ind w:left="450"/>
              <w:jc w:val="both"/>
              <w:rPr>
                <w:rFonts w:hAnsiTheme="minorHAnsi" w:cstheme="minorHAnsi"/>
              </w:rPr>
            </w:pPr>
            <w:r w:rsidRPr="00112B84">
              <w:rPr>
                <w:rFonts w:hAnsiTheme="minorHAnsi" w:cstheme="minorHAnsi"/>
              </w:rPr>
              <w:t>Pharmacists</w:t>
            </w:r>
          </w:p>
        </w:tc>
        <w:tc>
          <w:tcPr>
            <w:tcW w:w="2500" w:type="pct"/>
          </w:tcPr>
          <w:p w14:paraId="12108FB8" w14:textId="77777777" w:rsidR="00D355D5" w:rsidRPr="002C1D17" w:rsidRDefault="00D355D5" w:rsidP="00282204">
            <w:pPr>
              <w:spacing w:line="240" w:lineRule="auto"/>
              <w:jc w:val="both"/>
              <w:rPr>
                <w:rFonts w:hAnsiTheme="minorHAnsi" w:cstheme="minorHAnsi"/>
              </w:rPr>
            </w:pPr>
            <w:r w:rsidRPr="002C1D17">
              <w:rPr>
                <w:rFonts w:hAnsiTheme="minorHAnsi" w:cstheme="minorHAnsi"/>
                <w:lang w:val="en-GB" w:eastAsia="en-GB"/>
              </w:rPr>
              <w:t>Some doctors respond and accept the suggestion, and some don't.</w:t>
            </w:r>
            <w:r>
              <w:rPr>
                <w:rFonts w:hAnsiTheme="minorHAnsi" w:cstheme="minorHAnsi"/>
                <w:lang w:val="en-GB" w:eastAsia="en-GB"/>
              </w:rPr>
              <w:t xml:space="preserve"> </w:t>
            </w:r>
            <w:r w:rsidRPr="002C1D17">
              <w:rPr>
                <w:rFonts w:hAnsiTheme="minorHAnsi" w:cstheme="minorHAnsi"/>
                <w:lang w:val="en-GB" w:eastAsia="en-GB"/>
              </w:rPr>
              <w:t>Ph1</w:t>
            </w:r>
          </w:p>
        </w:tc>
        <w:tc>
          <w:tcPr>
            <w:tcW w:w="500" w:type="pct"/>
          </w:tcPr>
          <w:p w14:paraId="20664D41" w14:textId="77777777" w:rsidR="00D355D5" w:rsidRDefault="00D355D5" w:rsidP="00282204">
            <w:pPr>
              <w:pStyle w:val="RightAlign"/>
            </w:pPr>
            <w:r>
              <w:t>1</w:t>
            </w:r>
          </w:p>
        </w:tc>
        <w:tc>
          <w:tcPr>
            <w:tcW w:w="500" w:type="pct"/>
          </w:tcPr>
          <w:p w14:paraId="0FAE6E10" w14:textId="77777777" w:rsidR="00D355D5" w:rsidRDefault="00D355D5" w:rsidP="00282204">
            <w:pPr>
              <w:pStyle w:val="RightAlign"/>
            </w:pPr>
            <w:r>
              <w:t>1</w:t>
            </w:r>
          </w:p>
        </w:tc>
      </w:tr>
      <w:tr w:rsidR="00D355D5" w14:paraId="574CDCC0"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58D5C023" w14:textId="77777777" w:rsidR="00D355D5" w:rsidRPr="00112B84" w:rsidRDefault="00D355D5" w:rsidP="00282204">
            <w:pPr>
              <w:spacing w:line="240" w:lineRule="auto"/>
              <w:jc w:val="both"/>
              <w:rPr>
                <w:rFonts w:hAnsiTheme="minorHAnsi" w:cstheme="minorHAnsi"/>
              </w:rPr>
            </w:pPr>
            <w:r w:rsidRPr="00112B84">
              <w:rPr>
                <w:rFonts w:hAnsiTheme="minorHAnsi" w:cstheme="minorHAnsi"/>
              </w:rPr>
              <w:t>Positive</w:t>
            </w:r>
          </w:p>
        </w:tc>
        <w:tc>
          <w:tcPr>
            <w:tcW w:w="2500" w:type="pct"/>
          </w:tcPr>
          <w:p w14:paraId="1B38E0CC" w14:textId="77777777" w:rsidR="00D355D5" w:rsidRPr="00112B84" w:rsidRDefault="00D355D5" w:rsidP="00282204">
            <w:pPr>
              <w:spacing w:line="240" w:lineRule="auto"/>
              <w:jc w:val="both"/>
              <w:rPr>
                <w:rFonts w:hAnsiTheme="minorHAnsi" w:cstheme="minorHAnsi"/>
              </w:rPr>
            </w:pPr>
          </w:p>
        </w:tc>
        <w:tc>
          <w:tcPr>
            <w:tcW w:w="500" w:type="pct"/>
          </w:tcPr>
          <w:p w14:paraId="7014C308" w14:textId="77777777" w:rsidR="00D355D5" w:rsidRDefault="00D355D5" w:rsidP="00282204">
            <w:pPr>
              <w:pStyle w:val="RightAlign"/>
            </w:pPr>
            <w:r>
              <w:t>0</w:t>
            </w:r>
          </w:p>
        </w:tc>
        <w:tc>
          <w:tcPr>
            <w:tcW w:w="500" w:type="pct"/>
          </w:tcPr>
          <w:p w14:paraId="678AEA56" w14:textId="77777777" w:rsidR="00D355D5" w:rsidRDefault="00D355D5" w:rsidP="00282204">
            <w:pPr>
              <w:pStyle w:val="RightAlign"/>
            </w:pPr>
            <w:r>
              <w:t>0</w:t>
            </w:r>
          </w:p>
        </w:tc>
      </w:tr>
      <w:tr w:rsidR="00D355D5" w14:paraId="1C15F481"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3ABDA717" w14:textId="77777777" w:rsidR="00D355D5" w:rsidRPr="00112B84" w:rsidRDefault="00D355D5" w:rsidP="00282204">
            <w:pPr>
              <w:spacing w:line="240" w:lineRule="auto"/>
              <w:ind w:left="450"/>
              <w:jc w:val="both"/>
              <w:rPr>
                <w:rFonts w:hAnsiTheme="minorHAnsi" w:cstheme="minorHAnsi"/>
              </w:rPr>
            </w:pPr>
            <w:r w:rsidRPr="00112B84">
              <w:rPr>
                <w:rFonts w:hAnsiTheme="minorHAnsi" w:cstheme="minorHAnsi"/>
              </w:rPr>
              <w:t>Doctors</w:t>
            </w:r>
          </w:p>
        </w:tc>
        <w:tc>
          <w:tcPr>
            <w:tcW w:w="2500" w:type="pct"/>
          </w:tcPr>
          <w:p w14:paraId="18BFE211" w14:textId="77777777" w:rsidR="00D355D5" w:rsidRDefault="00D355D5" w:rsidP="00282204">
            <w:pPr>
              <w:spacing w:line="240" w:lineRule="auto"/>
              <w:jc w:val="both"/>
              <w:rPr>
                <w:rFonts w:hAnsiTheme="minorHAnsi" w:cstheme="minorHAnsi"/>
                <w:lang w:val="en-GB" w:eastAsia="en-GB"/>
              </w:rPr>
            </w:pPr>
            <w:r>
              <w:rPr>
                <w:rFonts w:hAnsiTheme="minorHAnsi" w:cstheme="minorHAnsi"/>
                <w:lang w:val="en-GB" w:eastAsia="en-GB"/>
              </w:rPr>
              <w:t>A</w:t>
            </w:r>
            <w:r w:rsidRPr="00112B84">
              <w:rPr>
                <w:rFonts w:hAnsiTheme="minorHAnsi" w:cstheme="minorHAnsi"/>
                <w:lang w:val="en-GB" w:eastAsia="en-GB"/>
              </w:rPr>
              <w:t xml:space="preserve"> pharmacist is an important figure. good. It was reassuring, pharmacists are superior to doctors in the knowledge of drugs. I always contact them by phone by the ground lines, and I always ask questions if I have any doubts about the drug or if I have a question about the availability of the drug or whether I can or cannot use it D1</w:t>
            </w:r>
          </w:p>
          <w:p w14:paraId="14506F4F" w14:textId="77777777" w:rsidR="00D355D5" w:rsidRPr="00112B84" w:rsidRDefault="00D355D5" w:rsidP="00282204">
            <w:pPr>
              <w:spacing w:line="240" w:lineRule="auto"/>
              <w:jc w:val="both"/>
              <w:rPr>
                <w:rFonts w:hAnsiTheme="minorHAnsi" w:cstheme="minorHAnsi"/>
                <w:lang w:val="en-GB" w:eastAsia="en-GB"/>
              </w:rPr>
            </w:pPr>
            <w:r>
              <w:rPr>
                <w:rFonts w:hAnsiTheme="minorHAnsi" w:cstheme="minorHAnsi"/>
                <w:i/>
                <w:iCs/>
                <w:lang w:val="en-GB" w:eastAsia="en-GB"/>
              </w:rPr>
              <w:t xml:space="preserve"> </w:t>
            </w:r>
            <w:r>
              <w:rPr>
                <w:rFonts w:hAnsiTheme="minorHAnsi" w:cstheme="minorHAnsi"/>
                <w:lang w:val="en-GB" w:eastAsia="en-GB"/>
              </w:rPr>
              <w:t xml:space="preserve">I </w:t>
            </w:r>
            <w:r w:rsidRPr="00112B84">
              <w:rPr>
                <w:rFonts w:hAnsiTheme="minorHAnsi" w:cstheme="minorHAnsi"/>
                <w:lang w:val="en-GB" w:eastAsia="en-GB"/>
              </w:rPr>
              <w:t>think pharmacists are great and important they have important roles they are important figures in the whole; the primary and secondary healthcare system. D1</w:t>
            </w:r>
          </w:p>
          <w:p w14:paraId="6CCAE7F6" w14:textId="77777777" w:rsidR="00D355D5" w:rsidRPr="00112B84" w:rsidRDefault="00D355D5" w:rsidP="00282204">
            <w:pPr>
              <w:spacing w:line="240" w:lineRule="auto"/>
              <w:jc w:val="both"/>
              <w:rPr>
                <w:rFonts w:hAnsiTheme="minorHAnsi" w:cstheme="minorHAnsi"/>
                <w:lang w:val="en-GB" w:eastAsia="en-GB"/>
              </w:rPr>
            </w:pPr>
            <w:r w:rsidRPr="00112B84">
              <w:rPr>
                <w:rFonts w:hAnsiTheme="minorHAnsi" w:cstheme="minorHAnsi"/>
                <w:lang w:val="en-GB" w:eastAsia="en-GB"/>
              </w:rPr>
              <w:t>I usually involve them and I feel they are part of the team,D</w:t>
            </w:r>
            <w:r>
              <w:rPr>
                <w:rFonts w:hAnsiTheme="minorHAnsi" w:cstheme="minorHAnsi"/>
                <w:lang w:val="en-GB" w:eastAsia="en-GB"/>
              </w:rPr>
              <w:t>2</w:t>
            </w:r>
          </w:p>
          <w:p w14:paraId="3F31C666" w14:textId="77777777" w:rsidR="00D355D5" w:rsidRPr="00112B84" w:rsidRDefault="00D355D5" w:rsidP="00282204">
            <w:pPr>
              <w:spacing w:line="240" w:lineRule="auto"/>
              <w:jc w:val="both"/>
              <w:rPr>
                <w:rFonts w:hAnsiTheme="minorHAnsi" w:cstheme="minorHAnsi"/>
                <w:lang w:val="en-GB" w:eastAsia="en-GB"/>
              </w:rPr>
            </w:pPr>
            <w:r w:rsidRPr="00112B84">
              <w:rPr>
                <w:rFonts w:hAnsiTheme="minorHAnsi" w:cstheme="minorHAnsi"/>
                <w:lang w:val="en-GB" w:eastAsia="en-GB"/>
              </w:rPr>
              <w:t>I said this is a healthy way of you know controlling the privilege I don't feel angry about it is a part of our mission to ensure everybody is taking a role in the management I have work in big hospital where a big consultant called by pharmacists stating no doctor sorry you're not having the privileged to prescribed this medication. I don't feel angry I don't feel discomfort with this regard D</w:t>
            </w:r>
            <w:r>
              <w:rPr>
                <w:rFonts w:hAnsiTheme="minorHAnsi" w:cstheme="minorHAnsi"/>
                <w:lang w:val="en-GB" w:eastAsia="en-GB"/>
              </w:rPr>
              <w:t>2</w:t>
            </w:r>
          </w:p>
        </w:tc>
        <w:tc>
          <w:tcPr>
            <w:tcW w:w="500" w:type="pct"/>
          </w:tcPr>
          <w:p w14:paraId="7394FE9C" w14:textId="77777777" w:rsidR="00D355D5" w:rsidRDefault="00D355D5" w:rsidP="00282204">
            <w:pPr>
              <w:pStyle w:val="RightAlign"/>
            </w:pPr>
            <w:r>
              <w:t>2</w:t>
            </w:r>
          </w:p>
        </w:tc>
        <w:tc>
          <w:tcPr>
            <w:tcW w:w="500" w:type="pct"/>
          </w:tcPr>
          <w:p w14:paraId="35F8926B" w14:textId="77777777" w:rsidR="00D355D5" w:rsidRDefault="00D355D5" w:rsidP="00282204">
            <w:pPr>
              <w:pStyle w:val="RightAlign"/>
            </w:pPr>
            <w:r>
              <w:t>7</w:t>
            </w:r>
          </w:p>
        </w:tc>
      </w:tr>
      <w:tr w:rsidR="00D355D5" w14:paraId="1C336D71" w14:textId="77777777" w:rsidTr="00282204">
        <w:trPr>
          <w:cnfStyle w:val="000000100000" w:firstRow="0" w:lastRow="0" w:firstColumn="0" w:lastColumn="0" w:oddVBand="0" w:evenVBand="0" w:oddHBand="1" w:evenHBand="0" w:firstRowFirstColumn="0" w:firstRowLastColumn="0" w:lastRowFirstColumn="0" w:lastRowLastColumn="0"/>
          <w:trHeight w:val="683"/>
        </w:trPr>
        <w:tc>
          <w:tcPr>
            <w:tcW w:w="1500" w:type="pct"/>
          </w:tcPr>
          <w:p w14:paraId="1151C658" w14:textId="77777777" w:rsidR="00D355D5" w:rsidRPr="00112B84" w:rsidRDefault="00D355D5" w:rsidP="00282204">
            <w:pPr>
              <w:spacing w:line="240" w:lineRule="auto"/>
              <w:ind w:left="450"/>
              <w:jc w:val="both"/>
              <w:rPr>
                <w:rFonts w:hAnsiTheme="minorHAnsi" w:cstheme="minorHAnsi"/>
              </w:rPr>
            </w:pPr>
            <w:r w:rsidRPr="00112B84">
              <w:rPr>
                <w:rFonts w:hAnsiTheme="minorHAnsi" w:cstheme="minorHAnsi"/>
              </w:rPr>
              <w:t>Nurses</w:t>
            </w:r>
          </w:p>
        </w:tc>
        <w:tc>
          <w:tcPr>
            <w:tcW w:w="2500" w:type="pct"/>
          </w:tcPr>
          <w:p w14:paraId="0932CA68" w14:textId="77777777" w:rsidR="00D355D5" w:rsidRPr="00FD2B96" w:rsidRDefault="00D355D5" w:rsidP="00282204">
            <w:pPr>
              <w:spacing w:line="240" w:lineRule="auto"/>
              <w:jc w:val="both"/>
              <w:rPr>
                <w:rFonts w:hAnsiTheme="minorHAnsi" w:cstheme="minorHAnsi"/>
              </w:rPr>
            </w:pPr>
            <w:r w:rsidRPr="00FD2B96">
              <w:rPr>
                <w:rFonts w:hAnsiTheme="minorHAnsi" w:cstheme="minorHAnsi"/>
              </w:rPr>
              <w:t>I see that the role of the pharmacist in the health centre is very important, especially with our experience now with the placement of the pharmacy outside the health centre.N2</w:t>
            </w:r>
          </w:p>
          <w:p w14:paraId="7C8BA03D" w14:textId="77777777" w:rsidR="00D355D5" w:rsidRPr="00FD2B96" w:rsidRDefault="00D355D5" w:rsidP="00282204">
            <w:pPr>
              <w:spacing w:line="240" w:lineRule="auto"/>
              <w:jc w:val="both"/>
              <w:rPr>
                <w:rFonts w:hAnsiTheme="minorHAnsi" w:cstheme="minorHAnsi"/>
              </w:rPr>
            </w:pPr>
            <w:r w:rsidRPr="00FD2B96">
              <w:rPr>
                <w:rFonts w:hAnsiTheme="minorHAnsi" w:cstheme="minorHAnsi"/>
              </w:rPr>
              <w:t>the role of the pharmacist is very, very important to complete the team in primary healthcare centres. I consider his role (the pharmacist's) equivalent to that of a doctor.N2</w:t>
            </w:r>
          </w:p>
          <w:p w14:paraId="138F47AA" w14:textId="77777777" w:rsidR="00D355D5" w:rsidRPr="00FD2B96" w:rsidRDefault="00D355D5" w:rsidP="00282204">
            <w:pPr>
              <w:spacing w:line="240" w:lineRule="auto"/>
              <w:jc w:val="both"/>
              <w:rPr>
                <w:rFonts w:hAnsiTheme="minorHAnsi" w:cstheme="minorHAnsi"/>
              </w:rPr>
            </w:pPr>
            <w:r w:rsidRPr="00FD2B96">
              <w:rPr>
                <w:rFonts w:hAnsiTheme="minorHAnsi" w:cstheme="minorHAnsi"/>
              </w:rPr>
              <w:t>Patients consider pharmacists the same degree as doctors, which I see; patients trust pharmacists. (This is what I see from patients trusting the pharmacist). For example, the patient says: the pharmacist told me such and such (he cites his words), and he says that to the doctor as well, and he also says that the pharmacist knows best because his studies focus on medicines and related matters, so he knows best. A number of patients say this to the doctor, and we hear them. For example, the patient says that I have consulted a pharmacist and his advice was very excellent, even better than the doctor; patients sometimes say that. N2</w:t>
            </w:r>
          </w:p>
          <w:p w14:paraId="7ABCEFD7" w14:textId="77777777" w:rsidR="00D355D5" w:rsidRPr="00FD2B96" w:rsidRDefault="00D355D5" w:rsidP="00282204">
            <w:pPr>
              <w:spacing w:line="240" w:lineRule="auto"/>
              <w:jc w:val="both"/>
              <w:rPr>
                <w:rFonts w:hAnsiTheme="minorHAnsi" w:cstheme="minorHAnsi"/>
              </w:rPr>
            </w:pPr>
            <w:r w:rsidRPr="00FD2B96">
              <w:rPr>
                <w:rFonts w:hAnsiTheme="minorHAnsi" w:cstheme="minorHAnsi"/>
              </w:rPr>
              <w:t>I trust the pharmacist. I told you before, regarding our fellow pharmacists who formerly worked in the centres, if a doctor from outside the centre writes me a new treatment, I don't talk (consult) with the centre's doctor about it; I speak to my pharmacist for treatment advice, and I still communicate with pharmacists to this day.N2</w:t>
            </w:r>
          </w:p>
          <w:p w14:paraId="3D49F5F4" w14:textId="77777777" w:rsidR="00D355D5" w:rsidRPr="00FD2B96" w:rsidRDefault="00D355D5" w:rsidP="00282204">
            <w:pPr>
              <w:spacing w:line="240" w:lineRule="auto"/>
              <w:jc w:val="both"/>
              <w:rPr>
                <w:rFonts w:hAnsiTheme="minorHAnsi" w:cstheme="minorHAnsi"/>
              </w:rPr>
            </w:pPr>
            <w:r w:rsidRPr="00FD2B96">
              <w:rPr>
                <w:rFonts w:hAnsiTheme="minorHAnsi" w:cstheme="minorHAnsi"/>
              </w:rPr>
              <w:t>For doctors, from this perspective, they see the role of the pharmacist is different. The doctor who really wants to activate the pharmacist's role says that I cannot prescribe a treatment without referring to the pharmacist because it complements me. I know this medicine is for this disease, and this is for this disease, but the effectiveness of the treatment on the patient who decides (knows) more? In my view, doctors who understand the actual role of the pharmacist actually say that the pharmacist decides this thing. Because his/her studies are centred around medications, he/she knows pharmacology.N2</w:t>
            </w:r>
          </w:p>
          <w:p w14:paraId="596D6C61" w14:textId="77777777" w:rsidR="00D355D5" w:rsidRPr="00FD2B96" w:rsidRDefault="00D355D5" w:rsidP="00282204">
            <w:pPr>
              <w:spacing w:line="240" w:lineRule="auto"/>
              <w:jc w:val="both"/>
              <w:rPr>
                <w:rFonts w:hAnsiTheme="minorHAnsi" w:cstheme="minorHAnsi"/>
              </w:rPr>
            </w:pPr>
            <w:r w:rsidRPr="00FD2B96">
              <w:rPr>
                <w:rFonts w:hAnsiTheme="minorHAnsi" w:cstheme="minorHAnsi"/>
              </w:rPr>
              <w:t xml:space="preserve">The pharmacist was an essential member of the team in PHCs, where he had an important role in patient care;N3 </w:t>
            </w:r>
          </w:p>
          <w:p w14:paraId="55E39DCD" w14:textId="77777777" w:rsidR="00D355D5" w:rsidRPr="00FD2B96" w:rsidRDefault="00D355D5" w:rsidP="00282204">
            <w:pPr>
              <w:spacing w:line="240" w:lineRule="auto"/>
              <w:jc w:val="both"/>
              <w:rPr>
                <w:rFonts w:hAnsiTheme="minorHAnsi" w:cstheme="minorHAnsi"/>
              </w:rPr>
            </w:pPr>
            <w:r w:rsidRPr="00FD2B96">
              <w:rPr>
                <w:rFonts w:hAnsiTheme="minorHAnsi" w:cstheme="minorHAnsi"/>
              </w:rPr>
              <w:t>Sometimes the patient is not confident or has doubts about the treatment plan, so he asks the pharmacist to tell him what is going on. Why did the doctor give him this treatment?N3</w:t>
            </w:r>
          </w:p>
          <w:p w14:paraId="1829B624" w14:textId="77777777" w:rsidR="00D355D5" w:rsidRPr="00FD2B96" w:rsidRDefault="00D355D5" w:rsidP="00282204">
            <w:pPr>
              <w:spacing w:line="240" w:lineRule="auto"/>
              <w:jc w:val="both"/>
              <w:rPr>
                <w:rFonts w:hAnsiTheme="minorHAnsi" w:cstheme="minorHAnsi"/>
              </w:rPr>
            </w:pPr>
            <w:r w:rsidRPr="00FD2B96">
              <w:rPr>
                <w:rFonts w:hAnsiTheme="minorHAnsi" w:cstheme="minorHAnsi"/>
              </w:rPr>
              <w:t>We feel confident and reassured because he is an expert in medicines, even if we are aware of medicine, but he is our reference in these matters.N3</w:t>
            </w:r>
          </w:p>
          <w:p w14:paraId="133D2F70" w14:textId="77777777" w:rsidR="00D355D5" w:rsidRPr="00FD2B96" w:rsidRDefault="00D355D5" w:rsidP="00282204">
            <w:pPr>
              <w:rPr>
                <w:rFonts w:hAnsiTheme="minorHAnsi" w:cstheme="minorHAnsi"/>
              </w:rPr>
            </w:pPr>
            <w:r w:rsidRPr="00FD2B96">
              <w:rPr>
                <w:rFonts w:hAnsiTheme="minorHAnsi" w:cstheme="minorHAnsi"/>
              </w:rPr>
              <w:t>the nurse looks at him as an assistant. I go to the pharmacist for help, especially in urgent cases; We refer to the pharmacist more than the doctor. N3</w:t>
            </w:r>
          </w:p>
          <w:p w14:paraId="2D51A38C" w14:textId="77777777" w:rsidR="00D355D5" w:rsidRPr="00FD2B96" w:rsidRDefault="00D355D5" w:rsidP="00282204">
            <w:pPr>
              <w:rPr>
                <w:rFonts w:hAnsiTheme="minorHAnsi" w:cstheme="minorHAnsi"/>
              </w:rPr>
            </w:pPr>
            <w:r w:rsidRPr="00FD2B96">
              <w:rPr>
                <w:rFonts w:hAnsiTheme="minorHAnsi" w:cstheme="minorHAnsi"/>
              </w:rPr>
              <w:t>I feel patients see pharmacists like doctors. Patients feel more confident in the treatment when the pharmacist confirms it and dispenses it.N3</w:t>
            </w:r>
          </w:p>
          <w:p w14:paraId="2FFBECC1" w14:textId="77777777" w:rsidR="00D355D5" w:rsidRPr="00FD2B96" w:rsidRDefault="00D355D5" w:rsidP="00282204">
            <w:pPr>
              <w:spacing w:line="240" w:lineRule="auto"/>
              <w:jc w:val="both"/>
              <w:rPr>
                <w:rFonts w:hAnsiTheme="minorHAnsi" w:cstheme="minorHAnsi"/>
                <w:lang w:val="en-GB" w:eastAsia="en-GB"/>
              </w:rPr>
            </w:pPr>
            <w:r w:rsidRPr="00FD2B96">
              <w:rPr>
                <w:rFonts w:hAnsiTheme="minorHAnsi" w:cstheme="minorHAnsi"/>
                <w:lang w:val="en-GB" w:eastAsia="en-GB"/>
              </w:rPr>
              <w:t>the pharmacist is a very effective member and the most accurate person. He gives very accurate information about how to deal with medicines, and we refer to him even before the doctors in the medical consultation. He is the most reliable person in all consultations, N4</w:t>
            </w:r>
          </w:p>
          <w:p w14:paraId="6EB6791C" w14:textId="77777777" w:rsidR="00D355D5" w:rsidRPr="00FD2B96" w:rsidRDefault="00D355D5" w:rsidP="00282204">
            <w:pPr>
              <w:spacing w:line="240" w:lineRule="auto"/>
              <w:jc w:val="both"/>
              <w:rPr>
                <w:rFonts w:hAnsiTheme="minorHAnsi" w:cstheme="minorHAnsi"/>
              </w:rPr>
            </w:pPr>
            <w:r w:rsidRPr="00FD2B96">
              <w:rPr>
                <w:rFonts w:hAnsiTheme="minorHAnsi" w:cstheme="minorHAnsi"/>
                <w:lang w:val="en-GB" w:eastAsia="en-GB"/>
              </w:rPr>
              <w:t>We always note that pharmacists are sometimes more accurate than doctors on dosages when consulting them N4</w:t>
            </w:r>
          </w:p>
        </w:tc>
        <w:tc>
          <w:tcPr>
            <w:tcW w:w="500" w:type="pct"/>
          </w:tcPr>
          <w:p w14:paraId="69510E92" w14:textId="77777777" w:rsidR="00D355D5" w:rsidRDefault="00D355D5" w:rsidP="00282204">
            <w:pPr>
              <w:pStyle w:val="RightAlign"/>
            </w:pPr>
            <w:r>
              <w:t>3</w:t>
            </w:r>
          </w:p>
        </w:tc>
        <w:tc>
          <w:tcPr>
            <w:tcW w:w="500" w:type="pct"/>
          </w:tcPr>
          <w:p w14:paraId="65A8EA5A" w14:textId="77777777" w:rsidR="00D355D5" w:rsidRDefault="00D355D5" w:rsidP="00282204">
            <w:pPr>
              <w:pStyle w:val="RightAlign"/>
            </w:pPr>
            <w:r>
              <w:t>12</w:t>
            </w:r>
          </w:p>
        </w:tc>
      </w:tr>
      <w:tr w:rsidR="00D355D5" w14:paraId="40710657"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7BFA4D5B" w14:textId="77777777" w:rsidR="00D355D5" w:rsidRPr="00112B84" w:rsidRDefault="00D355D5" w:rsidP="00282204">
            <w:pPr>
              <w:spacing w:line="240" w:lineRule="auto"/>
              <w:ind w:left="450"/>
              <w:jc w:val="both"/>
              <w:rPr>
                <w:rFonts w:hAnsiTheme="minorHAnsi" w:cstheme="minorHAnsi"/>
              </w:rPr>
            </w:pPr>
            <w:r w:rsidRPr="00112B84">
              <w:rPr>
                <w:rFonts w:hAnsiTheme="minorHAnsi" w:cstheme="minorHAnsi"/>
              </w:rPr>
              <w:t>Pharmacists</w:t>
            </w:r>
          </w:p>
        </w:tc>
        <w:tc>
          <w:tcPr>
            <w:tcW w:w="2500" w:type="pct"/>
          </w:tcPr>
          <w:p w14:paraId="4C769CEF" w14:textId="77777777" w:rsidR="00D355D5" w:rsidRPr="000B6B95" w:rsidRDefault="00D355D5" w:rsidP="00282204">
            <w:pPr>
              <w:spacing w:line="240" w:lineRule="auto"/>
              <w:jc w:val="both"/>
              <w:rPr>
                <w:rFonts w:hAnsiTheme="minorHAnsi" w:cstheme="minorHAnsi"/>
                <w:lang w:val="en-GB" w:eastAsia="en-GB"/>
              </w:rPr>
            </w:pPr>
            <w:r w:rsidRPr="000B6B95">
              <w:rPr>
                <w:rFonts w:hAnsiTheme="minorHAnsi" w:cstheme="minorHAnsi"/>
                <w:lang w:val="en-GB" w:eastAsia="en-GB"/>
              </w:rPr>
              <w:t>I feel proud of my profession as a pharmacist. Ph1</w:t>
            </w:r>
          </w:p>
          <w:p w14:paraId="7D6F66D8" w14:textId="77777777" w:rsidR="00D355D5" w:rsidRPr="000B6B95" w:rsidRDefault="00D355D5" w:rsidP="00282204">
            <w:pPr>
              <w:spacing w:line="240" w:lineRule="auto"/>
              <w:jc w:val="both"/>
              <w:rPr>
                <w:rFonts w:hAnsiTheme="minorHAnsi" w:cstheme="minorHAnsi"/>
                <w:lang w:val="en-GB" w:eastAsia="en-GB"/>
              </w:rPr>
            </w:pPr>
            <w:r w:rsidRPr="000B6B95">
              <w:rPr>
                <w:rFonts w:hAnsiTheme="minorHAnsi" w:cstheme="minorHAnsi"/>
                <w:lang w:eastAsia="en-GB"/>
              </w:rPr>
              <w:t>In general, there is trust in the pharmacist</w:t>
            </w:r>
            <w:r w:rsidRPr="000B6B95">
              <w:rPr>
                <w:rFonts w:hAnsiTheme="minorHAnsi" w:cstheme="minorHAnsi"/>
                <w:lang w:val="en-GB" w:eastAsia="en-GB"/>
              </w:rPr>
              <w:t>. Ph1</w:t>
            </w:r>
          </w:p>
          <w:p w14:paraId="35C96D7F" w14:textId="77777777" w:rsidR="00D355D5" w:rsidRPr="000B6B95" w:rsidRDefault="00D355D5" w:rsidP="00282204">
            <w:pPr>
              <w:spacing w:line="240" w:lineRule="auto"/>
              <w:jc w:val="both"/>
              <w:rPr>
                <w:rFonts w:hAnsiTheme="minorHAnsi" w:cstheme="minorHAnsi"/>
                <w:lang w:val="en-GB" w:eastAsia="en-GB"/>
              </w:rPr>
            </w:pPr>
            <w:r w:rsidRPr="000B6B95">
              <w:rPr>
                <w:rFonts w:hAnsiTheme="minorHAnsi" w:cstheme="minorHAnsi"/>
                <w:lang w:val="en-GB" w:eastAsia="en-GB"/>
              </w:rPr>
              <w:t>I feel confident because my discussion is supported by scientific evidence. Ph1</w:t>
            </w:r>
          </w:p>
          <w:p w14:paraId="0B7A72E3" w14:textId="77777777" w:rsidR="00D355D5" w:rsidRPr="000B6B95" w:rsidRDefault="00D355D5" w:rsidP="00282204">
            <w:pPr>
              <w:spacing w:line="240" w:lineRule="auto"/>
              <w:rPr>
                <w:rFonts w:hAnsiTheme="minorHAnsi" w:cstheme="minorHAnsi"/>
                <w:lang w:val="en-GB" w:eastAsia="en-GB"/>
              </w:rPr>
            </w:pPr>
            <w:r w:rsidRPr="000B6B95">
              <w:rPr>
                <w:rFonts w:hAnsiTheme="minorHAnsi" w:cstheme="minorHAnsi"/>
                <w:lang w:val="en-GB" w:eastAsia="en-GB"/>
              </w:rPr>
              <w:t>There are differences between those groups towards the pharmacist's role. I think that doctors appreciate and respect the pharmacist's role, as they look to the pharmacist as an assistant in choosing the appropriate treatment and determining the doses. They view the pharmacist's role as an important role in the patient care team. While the nursing look, I think, is different from that. I see the doctor's view of the pharmacist as more respectful. Ph1</w:t>
            </w:r>
          </w:p>
          <w:p w14:paraId="73962875" w14:textId="77777777" w:rsidR="00D355D5" w:rsidRPr="000B6B95" w:rsidRDefault="00D355D5" w:rsidP="00282204">
            <w:pPr>
              <w:spacing w:line="240" w:lineRule="auto"/>
              <w:rPr>
                <w:rFonts w:hAnsiTheme="minorHAnsi" w:cstheme="minorHAnsi"/>
                <w:lang w:val="en-GB" w:eastAsia="en-GB"/>
              </w:rPr>
            </w:pPr>
            <w:r w:rsidRPr="000B6B95">
              <w:rPr>
                <w:rFonts w:hAnsiTheme="minorHAnsi" w:cstheme="minorHAnsi"/>
                <w:lang w:val="en-GB" w:eastAsia="en-GB"/>
              </w:rPr>
              <w:t>Patients also respect the pharmacist's role, as I noticed that patients in PHCs take and give in talking with the pharmacist, which strengthens the relationship with him, so he respects the directives of pharmacists from my point of view more than other groups.</w:t>
            </w:r>
            <w:r>
              <w:rPr>
                <w:rFonts w:hAnsiTheme="minorHAnsi" w:cstheme="minorHAnsi"/>
                <w:lang w:val="en-GB" w:eastAsia="en-GB"/>
              </w:rPr>
              <w:t xml:space="preserve"> </w:t>
            </w:r>
            <w:r w:rsidRPr="000B6B95">
              <w:rPr>
                <w:rFonts w:hAnsiTheme="minorHAnsi" w:cstheme="minorHAnsi"/>
                <w:lang w:val="en-GB" w:eastAsia="en-GB"/>
              </w:rPr>
              <w:t>Ph1</w:t>
            </w:r>
          </w:p>
          <w:p w14:paraId="629B00F8" w14:textId="77777777" w:rsidR="00D355D5" w:rsidRPr="000B6B95" w:rsidRDefault="00D355D5" w:rsidP="00282204">
            <w:pPr>
              <w:spacing w:line="240" w:lineRule="auto"/>
              <w:rPr>
                <w:rFonts w:hAnsiTheme="minorHAnsi" w:cstheme="minorHAnsi"/>
                <w:lang w:val="en-GB" w:eastAsia="en-GB"/>
              </w:rPr>
            </w:pPr>
            <w:r w:rsidRPr="000B6B95">
              <w:rPr>
                <w:rFonts w:hAnsiTheme="minorHAnsi" w:cstheme="minorHAnsi"/>
                <w:lang w:val="en-GB" w:eastAsia="en-GB"/>
              </w:rPr>
              <w:t>Regarding policy makers, I think they want to activate the clinical role of pharmacists. Since pharmacy services in the PHCs focused on the traditional role of dispensing prescriptions to patients, the policymakers did not find an effective role for primary care pharmacists in providing patient-centred care services. Therefore, the decision was taken to close this service and replace it with community pharmacies.</w:t>
            </w:r>
            <w:r>
              <w:rPr>
                <w:rFonts w:hAnsiTheme="minorHAnsi" w:cstheme="minorHAnsi"/>
                <w:lang w:val="en-GB" w:eastAsia="en-GB"/>
              </w:rPr>
              <w:t xml:space="preserve"> Ph1</w:t>
            </w:r>
          </w:p>
          <w:p w14:paraId="6F811CA8" w14:textId="77777777" w:rsidR="00D355D5" w:rsidRPr="000B6B95" w:rsidRDefault="00D355D5" w:rsidP="00282204">
            <w:pPr>
              <w:spacing w:line="240" w:lineRule="auto"/>
              <w:rPr>
                <w:rFonts w:hAnsiTheme="minorHAnsi" w:cstheme="minorHAnsi"/>
                <w:lang w:val="en-GB" w:eastAsia="en-GB"/>
              </w:rPr>
            </w:pPr>
            <w:r w:rsidRPr="000B6B95">
              <w:rPr>
                <w:rFonts w:hAnsiTheme="minorHAnsi" w:cstheme="minorHAnsi"/>
                <w:lang w:val="en-GB" w:eastAsia="en-GB"/>
              </w:rPr>
              <w:t>the role of the pharmacist in these pharmacies should be expanded and not only dispensed prescriptions to the patient Ph1</w:t>
            </w:r>
          </w:p>
          <w:p w14:paraId="47354ED2" w14:textId="77777777" w:rsidR="00D355D5" w:rsidRPr="000B6B95" w:rsidRDefault="00D355D5" w:rsidP="00282204">
            <w:pPr>
              <w:spacing w:line="240" w:lineRule="auto"/>
              <w:rPr>
                <w:rFonts w:hAnsiTheme="minorHAnsi" w:cstheme="minorHAnsi"/>
                <w:lang w:val="en-GB" w:eastAsia="en-GB"/>
              </w:rPr>
            </w:pPr>
            <w:r w:rsidRPr="000B6B95">
              <w:rPr>
                <w:rFonts w:hAnsiTheme="minorHAnsi" w:cstheme="minorHAnsi"/>
                <w:lang w:val="en-GB" w:eastAsia="en-GB"/>
              </w:rPr>
              <w:t>In general, the doctors in the PHC where I worked respect the pharmacist well, and they do a great job in that, and they involve me in some cases, but not all.</w:t>
            </w:r>
            <w:r>
              <w:rPr>
                <w:rFonts w:hAnsiTheme="minorHAnsi" w:cstheme="minorHAnsi"/>
                <w:lang w:val="en-GB" w:eastAsia="en-GB"/>
              </w:rPr>
              <w:t xml:space="preserve"> </w:t>
            </w:r>
            <w:r w:rsidRPr="000B6B95">
              <w:rPr>
                <w:rFonts w:hAnsiTheme="minorHAnsi" w:cstheme="minorHAnsi"/>
                <w:lang w:val="en-GB" w:eastAsia="en-GB"/>
              </w:rPr>
              <w:t>Ph2</w:t>
            </w:r>
          </w:p>
          <w:p w14:paraId="631D9671" w14:textId="77777777" w:rsidR="00D355D5" w:rsidRPr="000B6B95" w:rsidRDefault="00D355D5" w:rsidP="00282204">
            <w:pPr>
              <w:spacing w:line="240" w:lineRule="auto"/>
              <w:rPr>
                <w:rFonts w:hAnsiTheme="minorHAnsi" w:cstheme="minorHAnsi"/>
                <w:lang w:val="en-GB" w:eastAsia="en-GB"/>
              </w:rPr>
            </w:pPr>
            <w:r w:rsidRPr="000B6B95">
              <w:rPr>
                <w:rFonts w:hAnsiTheme="minorHAnsi" w:cstheme="minorHAnsi"/>
                <w:lang w:val="en-GB" w:eastAsia="en-GB"/>
              </w:rPr>
              <w:t>Nurses sometimes go to the pharmacist to ask because they trust the pharmacistPh2</w:t>
            </w:r>
          </w:p>
          <w:p w14:paraId="01216A2F" w14:textId="77777777" w:rsidR="00D355D5" w:rsidRPr="000B6B95" w:rsidRDefault="00D355D5" w:rsidP="00282204">
            <w:pPr>
              <w:spacing w:line="240" w:lineRule="auto"/>
              <w:jc w:val="both"/>
              <w:rPr>
                <w:rFonts w:hAnsiTheme="minorHAnsi" w:cstheme="minorHAnsi"/>
                <w:lang w:val="en-GB" w:eastAsia="en-GB"/>
              </w:rPr>
            </w:pPr>
            <w:r w:rsidRPr="000B6B95">
              <w:rPr>
                <w:rFonts w:hAnsiTheme="minorHAnsi" w:cstheme="minorHAnsi"/>
                <w:lang w:val="en-GB" w:eastAsia="en-GB"/>
              </w:rPr>
              <w:t>Regarding doctors, in my experience, I dealt with a lot of doctors, some of them show the need of involving pharmacists in patients’ treatment plans, Ph2</w:t>
            </w:r>
          </w:p>
          <w:p w14:paraId="79F34D96" w14:textId="77777777" w:rsidR="00D355D5" w:rsidRPr="000B6B95" w:rsidRDefault="00D355D5" w:rsidP="00282204">
            <w:pPr>
              <w:spacing w:line="240" w:lineRule="auto"/>
              <w:jc w:val="both"/>
              <w:rPr>
                <w:rFonts w:hAnsiTheme="minorHAnsi" w:cstheme="minorHAnsi"/>
                <w:lang w:val="en-GB" w:eastAsia="en-GB"/>
              </w:rPr>
            </w:pPr>
            <w:r w:rsidRPr="000B6B95">
              <w:rPr>
                <w:rFonts w:hAnsiTheme="minorHAnsi" w:cstheme="minorHAnsi"/>
                <w:lang w:val="en-GB" w:eastAsia="en-GB"/>
              </w:rPr>
              <w:t>From my perspective, a pharmacist can play such an active role in the healthcare system nowadays to provide safe, effective, affordable medications to patients.Ph2</w:t>
            </w:r>
          </w:p>
          <w:p w14:paraId="05F45C66" w14:textId="77777777" w:rsidR="00D355D5" w:rsidRPr="000B6B95" w:rsidRDefault="00D355D5" w:rsidP="00282204">
            <w:pPr>
              <w:spacing w:line="240" w:lineRule="auto"/>
              <w:rPr>
                <w:rFonts w:hAnsiTheme="minorHAnsi" w:cstheme="minorHAnsi"/>
              </w:rPr>
            </w:pPr>
            <w:r w:rsidRPr="000B6B95">
              <w:rPr>
                <w:rFonts w:hAnsiTheme="minorHAnsi" w:cstheme="minorHAnsi"/>
              </w:rPr>
              <w:t>the majority, whether doctors or nurses have seen the role of pharmacists differently than before. In general, nurses have relied a lot on the pharmacist for medication consultations. They did not go to the doctor when they had questions about medications, they come to take a medication consultation from the pharmacist. Ph3</w:t>
            </w:r>
          </w:p>
          <w:p w14:paraId="0A895919" w14:textId="77777777" w:rsidR="00D355D5" w:rsidRPr="000B6B95" w:rsidRDefault="00D355D5" w:rsidP="00282204">
            <w:pPr>
              <w:spacing w:line="240" w:lineRule="auto"/>
              <w:rPr>
                <w:rFonts w:hAnsiTheme="minorHAnsi" w:cstheme="minorHAnsi"/>
              </w:rPr>
            </w:pPr>
            <w:r w:rsidRPr="000B6B95">
              <w:rPr>
                <w:rFonts w:hAnsiTheme="minorHAnsi" w:cstheme="minorHAnsi"/>
              </w:rPr>
              <w:t>I usually offer my suggestions, and sometimes they are accepted and sometimes not, but most of the time, they are taken into consideration, to be honest. Pharmacists play roles related to their field of work. They will not, of course, overtake the role of a physician who clinically examines patients, obtains lab results, etc. We practice within our scope of service as pharmacists. A professional pharmacist can intervene in planning or designing a patient's treatment plan.Ph3</w:t>
            </w:r>
          </w:p>
          <w:p w14:paraId="522BD5B8" w14:textId="77777777" w:rsidR="00D355D5" w:rsidRPr="000B6B95" w:rsidRDefault="00D355D5" w:rsidP="00282204">
            <w:pPr>
              <w:spacing w:line="240" w:lineRule="auto"/>
              <w:rPr>
                <w:rFonts w:hAnsiTheme="minorHAnsi" w:cstheme="minorHAnsi"/>
              </w:rPr>
            </w:pPr>
            <w:r w:rsidRPr="000B6B95">
              <w:rPr>
                <w:rFonts w:hAnsiTheme="minorHAnsi" w:cstheme="minorHAnsi"/>
              </w:rPr>
              <w:t>some people trust the pharmacist so much that he/she informs him/her that I take such and such medicines and have visited such a doctor.Ph3</w:t>
            </w:r>
          </w:p>
          <w:p w14:paraId="76B2D22D" w14:textId="77777777" w:rsidR="00D355D5" w:rsidRPr="000B6B95" w:rsidRDefault="00D355D5" w:rsidP="00282204">
            <w:pPr>
              <w:spacing w:line="240" w:lineRule="auto"/>
              <w:rPr>
                <w:rFonts w:hAnsiTheme="minorHAnsi" w:cstheme="minorHAnsi"/>
              </w:rPr>
            </w:pPr>
            <w:r w:rsidRPr="000B6B95">
              <w:rPr>
                <w:rFonts w:hAnsiTheme="minorHAnsi" w:cstheme="minorHAnsi"/>
              </w:rPr>
              <w:t>I feel proud of myself as a pharmacist, especially if I could deliver the message correctly and it was taken, and the patient benefited from it because this is my goal. In that case, I would be very proud.Ph3</w:t>
            </w:r>
          </w:p>
          <w:p w14:paraId="4535FC7D" w14:textId="77777777" w:rsidR="00D355D5" w:rsidRPr="000B6B95" w:rsidRDefault="00D355D5" w:rsidP="00282204">
            <w:pPr>
              <w:spacing w:line="240" w:lineRule="auto"/>
              <w:rPr>
                <w:rFonts w:hAnsiTheme="minorHAnsi" w:cstheme="minorHAnsi"/>
              </w:rPr>
            </w:pPr>
            <w:r w:rsidRPr="000B6B95">
              <w:rPr>
                <w:rFonts w:hAnsiTheme="minorHAnsi" w:cstheme="minorHAnsi"/>
              </w:rPr>
              <w:t>They (nurses) respect the pharmacist's opinion a lot in my workplace (in PHC). The situation may be different in other centres.Ph3</w:t>
            </w:r>
          </w:p>
          <w:p w14:paraId="43240FDE" w14:textId="77777777" w:rsidR="00D355D5" w:rsidRPr="000B6B95" w:rsidRDefault="00D355D5" w:rsidP="00282204">
            <w:pPr>
              <w:spacing w:line="240" w:lineRule="auto"/>
              <w:jc w:val="both"/>
              <w:rPr>
                <w:rFonts w:hAnsiTheme="minorHAnsi" w:cstheme="minorHAnsi"/>
                <w:lang w:val="en-GB" w:eastAsia="en-GB"/>
              </w:rPr>
            </w:pPr>
            <w:r w:rsidRPr="000B6B95">
              <w:rPr>
                <w:rFonts w:hAnsiTheme="minorHAnsi" w:cstheme="minorHAnsi"/>
                <w:lang w:val="en-GB" w:eastAsia="en-GB"/>
              </w:rPr>
              <w:t xml:space="preserve">I believe the pharmacist's role within the primary health care centre is very important, and this is not only for chronic patients. I hope the pharmacists return to work in PHCs. Ph3 </w:t>
            </w:r>
          </w:p>
          <w:p w14:paraId="598183ED" w14:textId="77777777" w:rsidR="00D355D5" w:rsidRPr="000B6B95" w:rsidRDefault="00D355D5" w:rsidP="00282204">
            <w:pPr>
              <w:spacing w:line="240" w:lineRule="auto"/>
              <w:jc w:val="both"/>
              <w:rPr>
                <w:rFonts w:hAnsiTheme="minorHAnsi" w:cstheme="minorHAnsi"/>
                <w:lang w:val="en-GB" w:eastAsia="en-GB"/>
              </w:rPr>
            </w:pPr>
            <w:r w:rsidRPr="000B6B95">
              <w:rPr>
                <w:rFonts w:hAnsiTheme="minorHAnsi" w:cstheme="minorHAnsi"/>
                <w:lang w:val="en-GB" w:eastAsia="en-GB"/>
              </w:rPr>
              <w:t>I noticed that consultants or specialists demand a pharmacist to be part of their team in managing patients, and they also consider the pharmacist's opinion, but the newcomers (juniors) rarely find such a thing with them.Ph3</w:t>
            </w:r>
          </w:p>
        </w:tc>
        <w:tc>
          <w:tcPr>
            <w:tcW w:w="500" w:type="pct"/>
          </w:tcPr>
          <w:p w14:paraId="58AEF17D" w14:textId="77777777" w:rsidR="00D355D5" w:rsidRDefault="00D355D5" w:rsidP="00282204">
            <w:pPr>
              <w:pStyle w:val="RightAlign"/>
            </w:pPr>
            <w:r>
              <w:t>3</w:t>
            </w:r>
          </w:p>
        </w:tc>
        <w:tc>
          <w:tcPr>
            <w:tcW w:w="500" w:type="pct"/>
          </w:tcPr>
          <w:p w14:paraId="4A7332CF" w14:textId="77777777" w:rsidR="00D355D5" w:rsidRDefault="00D355D5" w:rsidP="00282204">
            <w:pPr>
              <w:pStyle w:val="RightAlign"/>
            </w:pPr>
            <w:r>
              <w:t>19</w:t>
            </w:r>
          </w:p>
        </w:tc>
      </w:tr>
      <w:tr w:rsidR="00D355D5" w14:paraId="58B7D060"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4B0D1AF6" w14:textId="77777777" w:rsidR="00D355D5" w:rsidRDefault="00D355D5" w:rsidP="00282204">
            <w:pPr>
              <w:spacing w:line="240" w:lineRule="auto"/>
              <w:ind w:left="450"/>
              <w:jc w:val="both"/>
              <w:rPr>
                <w:rFonts w:hAnsiTheme="minorHAnsi" w:cstheme="minorHAnsi"/>
              </w:rPr>
            </w:pPr>
            <w:r w:rsidRPr="00112B84">
              <w:rPr>
                <w:rFonts w:hAnsiTheme="minorHAnsi" w:cstheme="minorHAnsi"/>
              </w:rPr>
              <w:t xml:space="preserve">Stereotype </w:t>
            </w:r>
            <w:r>
              <w:rPr>
                <w:rFonts w:hAnsiTheme="minorHAnsi" w:cstheme="minorHAnsi"/>
              </w:rPr>
              <w:t>of pharmacists working in PHCs</w:t>
            </w:r>
          </w:p>
          <w:p w14:paraId="50D023A9" w14:textId="77777777" w:rsidR="00D355D5" w:rsidRPr="00112B84" w:rsidRDefault="00D355D5" w:rsidP="00282204">
            <w:pPr>
              <w:spacing w:line="240" w:lineRule="auto"/>
              <w:ind w:left="450"/>
              <w:jc w:val="both"/>
              <w:rPr>
                <w:rFonts w:hAnsiTheme="minorHAnsi" w:cstheme="minorHAnsi"/>
              </w:rPr>
            </w:pPr>
            <w:r>
              <w:rPr>
                <w:rFonts w:hAnsiTheme="minorHAnsi" w:cstheme="minorHAnsi"/>
              </w:rPr>
              <w:t xml:space="preserve">Negative </w:t>
            </w:r>
          </w:p>
        </w:tc>
        <w:tc>
          <w:tcPr>
            <w:tcW w:w="2500" w:type="pct"/>
          </w:tcPr>
          <w:p w14:paraId="5BF4F17F" w14:textId="77777777" w:rsidR="00D355D5" w:rsidRPr="000B6B95" w:rsidRDefault="00D355D5" w:rsidP="00282204">
            <w:pPr>
              <w:spacing w:line="240" w:lineRule="auto"/>
              <w:jc w:val="both"/>
              <w:rPr>
                <w:rFonts w:hAnsiTheme="minorHAnsi" w:cstheme="minorHAnsi"/>
                <w:lang w:val="en-GB" w:eastAsia="en-GB"/>
              </w:rPr>
            </w:pPr>
            <w:r w:rsidRPr="000B6B95">
              <w:rPr>
                <w:rFonts w:hAnsiTheme="minorHAnsi" w:cstheme="minorHAnsi"/>
                <w:lang w:val="en-GB" w:eastAsia="en-GB"/>
              </w:rPr>
              <w:t>we have inherited the role of the pharmacist as dispenser due to the lack of the available qualified clinical pharmacist or bachelor degree pharmacist. Their role was very limited and as it is already stereotype that the the pharmacist is dispenser while their job and their background is totally different from the stereotype picture that inherited for long time for more than 30 years D2</w:t>
            </w:r>
          </w:p>
          <w:p w14:paraId="5EE16C94" w14:textId="77777777" w:rsidR="00D355D5" w:rsidRPr="000B6B95" w:rsidRDefault="00D355D5" w:rsidP="00282204">
            <w:pPr>
              <w:spacing w:line="240" w:lineRule="auto"/>
              <w:jc w:val="both"/>
              <w:rPr>
                <w:rFonts w:hAnsiTheme="minorHAnsi" w:cstheme="minorHAnsi"/>
                <w:lang w:val="en-GB" w:eastAsia="en-GB"/>
              </w:rPr>
            </w:pPr>
            <w:r w:rsidRPr="000B6B95">
              <w:rPr>
                <w:rFonts w:hAnsiTheme="minorHAnsi" w:cstheme="minorHAnsi"/>
                <w:lang w:val="en-GB" w:eastAsia="en-GB"/>
              </w:rPr>
              <w:t>in the secondary hospital maybe in the tertiary hospital they are more mature and they are you know mature system and will establish system for long time so they already absorb this attitude but for the primary care especially you know here Kingdom of Saudi Arabia I think it is inherited role because of this stereotyping because of the non-qualified or let's say not non qualifying the limited qualified pharmacist or pharmacy technician, limited qualified pharmacist technician which was graduated to fill the gaps of this dispending medication rather than you know covering the gaps of pharmacological serviceD2</w:t>
            </w:r>
          </w:p>
          <w:p w14:paraId="090F42A2" w14:textId="77777777" w:rsidR="00D355D5" w:rsidRPr="000B6B95" w:rsidRDefault="00D355D5" w:rsidP="00282204">
            <w:pPr>
              <w:spacing w:line="240" w:lineRule="auto"/>
              <w:jc w:val="both"/>
              <w:rPr>
                <w:rFonts w:hAnsiTheme="minorHAnsi" w:cstheme="minorHAnsi"/>
                <w:lang w:val="en-GB" w:eastAsia="en-GB"/>
              </w:rPr>
            </w:pPr>
            <w:r w:rsidRPr="000B6B95">
              <w:rPr>
                <w:rFonts w:hAnsiTheme="minorHAnsi" w:cstheme="minorHAnsi"/>
                <w:lang w:val="en-GB" w:eastAsia="en-GB"/>
              </w:rPr>
              <w:t>I feel that the pharmacist is the basis to dispense medicines for patients.N3</w:t>
            </w:r>
          </w:p>
          <w:p w14:paraId="297C04AA" w14:textId="77777777" w:rsidR="00D355D5" w:rsidRPr="000B6B95" w:rsidRDefault="00D355D5" w:rsidP="00282204">
            <w:pPr>
              <w:spacing w:line="240" w:lineRule="auto"/>
              <w:jc w:val="both"/>
              <w:rPr>
                <w:rFonts w:hAnsiTheme="minorHAnsi" w:cstheme="minorHAnsi"/>
              </w:rPr>
            </w:pPr>
            <w:r w:rsidRPr="000B6B95">
              <w:rPr>
                <w:rFonts w:hAnsiTheme="minorHAnsi" w:cstheme="minorHAnsi"/>
              </w:rPr>
              <w:t>As a pharmacist, I sometimes try to give my opinion on medicines to change the idea (view) towards the pharmacist, as the prevailing idea (view) was that the pharmacist's role is to dispense only medications without even talking to the patients. They just put lines on the medicine packs, and I am against this because my profession is more than just dispensing. For doctors who think/believe the pharmacist's role is only to dispense prescriptions, I tell them no, not just dispensing. To change this view, I have worked with the majority of my fellow pharmacists, each in their own way, through the discussions and knowledge they have, to show that a pharmacist is not just a dispenser but a nerve (core) in health institutions serving people and society. Ph3</w:t>
            </w:r>
          </w:p>
          <w:p w14:paraId="15CBAFFF" w14:textId="77777777" w:rsidR="00D355D5" w:rsidRPr="000B6B95" w:rsidRDefault="00D355D5" w:rsidP="00282204">
            <w:pPr>
              <w:spacing w:line="240" w:lineRule="auto"/>
              <w:jc w:val="both"/>
              <w:rPr>
                <w:rFonts w:hAnsiTheme="minorHAnsi" w:cstheme="minorHAnsi"/>
              </w:rPr>
            </w:pPr>
            <w:r w:rsidRPr="000B6B95">
              <w:rPr>
                <w:rFonts w:hAnsiTheme="minorHAnsi" w:cstheme="minorHAnsi"/>
              </w:rPr>
              <w:t>Patients may bring their medications and show them to the doctor and not to the pharmacist. Because, you know, the idea here in this country is that the pharmacist's role is only to dispense medications, and few people treat the pharmacist as if he/she were a doctor. Therefore, most people do not talk to a pharmacist and discuss these matters with their physician.Ph3</w:t>
            </w:r>
          </w:p>
          <w:p w14:paraId="422B92FE" w14:textId="77777777" w:rsidR="00D355D5" w:rsidRPr="000B6B95" w:rsidRDefault="00D355D5" w:rsidP="00282204">
            <w:pPr>
              <w:spacing w:line="240" w:lineRule="auto"/>
              <w:jc w:val="both"/>
              <w:rPr>
                <w:rFonts w:hAnsiTheme="minorHAnsi" w:cstheme="minorHAnsi"/>
              </w:rPr>
            </w:pPr>
            <w:r w:rsidRPr="000B6B95">
              <w:rPr>
                <w:rFonts w:hAnsiTheme="minorHAnsi" w:cstheme="minorHAnsi"/>
                <w:lang w:val="en-GB" w:eastAsia="en-GB"/>
              </w:rPr>
              <w:t>this is due to the influence of culture on us, what we grew up on, this person does this, and that person does that and so on.Ph3</w:t>
            </w:r>
          </w:p>
        </w:tc>
        <w:tc>
          <w:tcPr>
            <w:tcW w:w="500" w:type="pct"/>
          </w:tcPr>
          <w:p w14:paraId="1CB2ED72" w14:textId="77777777" w:rsidR="00D355D5" w:rsidRDefault="00D355D5" w:rsidP="00282204">
            <w:pPr>
              <w:pStyle w:val="RightAlign"/>
            </w:pPr>
            <w:r>
              <w:t>3</w:t>
            </w:r>
          </w:p>
        </w:tc>
        <w:tc>
          <w:tcPr>
            <w:tcW w:w="500" w:type="pct"/>
          </w:tcPr>
          <w:p w14:paraId="174BF9B8" w14:textId="77777777" w:rsidR="00D355D5" w:rsidRDefault="00D355D5" w:rsidP="00282204">
            <w:pPr>
              <w:pStyle w:val="RightAlign"/>
            </w:pPr>
            <w:r>
              <w:t>6</w:t>
            </w:r>
          </w:p>
        </w:tc>
      </w:tr>
      <w:tr w:rsidR="00D355D5" w14:paraId="0305A887"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1EC1C61F" w14:textId="77777777" w:rsidR="00D355D5" w:rsidRDefault="00D355D5" w:rsidP="00282204">
            <w:pPr>
              <w:spacing w:line="240" w:lineRule="auto"/>
              <w:ind w:left="450"/>
              <w:jc w:val="both"/>
              <w:rPr>
                <w:rFonts w:hAnsiTheme="minorHAnsi" w:cstheme="minorHAnsi"/>
              </w:rPr>
            </w:pPr>
            <w:r w:rsidRPr="00112B84">
              <w:rPr>
                <w:rFonts w:hAnsiTheme="minorHAnsi" w:cstheme="minorHAnsi"/>
              </w:rPr>
              <w:t xml:space="preserve">Stereotype </w:t>
            </w:r>
            <w:r>
              <w:rPr>
                <w:rFonts w:hAnsiTheme="minorHAnsi" w:cstheme="minorHAnsi"/>
              </w:rPr>
              <w:t xml:space="preserve">of pharmacists working in retail community pharmacy </w:t>
            </w:r>
          </w:p>
          <w:p w14:paraId="0ADA6589" w14:textId="77777777" w:rsidR="00D355D5" w:rsidRPr="00112B84" w:rsidRDefault="00D355D5" w:rsidP="00282204">
            <w:pPr>
              <w:spacing w:line="240" w:lineRule="auto"/>
              <w:ind w:left="450"/>
              <w:jc w:val="both"/>
              <w:rPr>
                <w:rFonts w:hAnsiTheme="minorHAnsi" w:cstheme="minorHAnsi"/>
              </w:rPr>
            </w:pPr>
            <w:r>
              <w:rPr>
                <w:rFonts w:hAnsiTheme="minorHAnsi" w:cstheme="minorHAnsi"/>
              </w:rPr>
              <w:t xml:space="preserve">Positive </w:t>
            </w:r>
          </w:p>
        </w:tc>
        <w:tc>
          <w:tcPr>
            <w:tcW w:w="2500" w:type="pct"/>
          </w:tcPr>
          <w:p w14:paraId="7775FD2D" w14:textId="77777777" w:rsidR="00D355D5" w:rsidRPr="00255AD7" w:rsidRDefault="00D355D5" w:rsidP="00282204">
            <w:pPr>
              <w:spacing w:line="240" w:lineRule="auto"/>
              <w:jc w:val="both"/>
              <w:rPr>
                <w:rFonts w:hAnsiTheme="minorHAnsi" w:cstheme="minorHAnsi"/>
                <w:lang w:val="en-GB" w:eastAsia="en-GB"/>
              </w:rPr>
            </w:pPr>
            <w:r w:rsidRPr="00255AD7">
              <w:rPr>
                <w:rFonts w:hAnsiTheme="minorHAnsi" w:cstheme="minorHAnsi"/>
                <w:lang w:val="en-GB" w:eastAsia="en-GB"/>
              </w:rPr>
              <w:t>‘The patient considers the pharmacist as a doctor, and we see this more often in retail community pharmacies. Patients go to community pharmacists to explain their condition and seek treatment. The role of the pharmacist is big and not simple.’N1</w:t>
            </w:r>
          </w:p>
          <w:p w14:paraId="047EA156" w14:textId="77777777" w:rsidR="00D355D5" w:rsidRPr="00255AD7" w:rsidRDefault="00D355D5" w:rsidP="00282204">
            <w:pPr>
              <w:spacing w:line="240" w:lineRule="auto"/>
              <w:jc w:val="both"/>
              <w:rPr>
                <w:rFonts w:hAnsiTheme="minorHAnsi" w:cstheme="minorHAnsi"/>
                <w:lang w:val="en-GB" w:eastAsia="en-GB"/>
              </w:rPr>
            </w:pPr>
            <w:r w:rsidRPr="00255AD7">
              <w:rPr>
                <w:rFonts w:hAnsiTheme="minorHAnsi" w:cstheme="minorHAnsi"/>
                <w:lang w:val="en-GB" w:eastAsia="en-GB"/>
              </w:rPr>
              <w:t>For me, the community is more aware of the pharmacist's role than the health staff. They do. When people get sick, many of them go to the pharmacy? What does it mean? This indicates that people have utilised the pharmacist's role and understood their (pharmacists) roles in patient care. they trust the pharmacist. There are people who do not go to the doctor for treatment; They go to the pharmacist. Previously, it was normal (a common practice) to get antibiotics from community retail pharmacies. People go to the pharmacy and are treated by pharmacists and received their treatment; this is from real experiences from my family, those around us and PHC consumers who come to us and say I went to a pharmacist who gave me this remedy, and I benefited from it after I came to you and it did not benefit of you. N2</w:t>
            </w:r>
          </w:p>
        </w:tc>
        <w:tc>
          <w:tcPr>
            <w:tcW w:w="500" w:type="pct"/>
          </w:tcPr>
          <w:p w14:paraId="090008A2" w14:textId="77777777" w:rsidR="00D355D5" w:rsidRDefault="00D355D5" w:rsidP="00282204">
            <w:pPr>
              <w:pStyle w:val="RightAlign"/>
            </w:pPr>
            <w:r>
              <w:t>2</w:t>
            </w:r>
          </w:p>
        </w:tc>
        <w:tc>
          <w:tcPr>
            <w:tcW w:w="500" w:type="pct"/>
          </w:tcPr>
          <w:p w14:paraId="6157DEA7" w14:textId="77777777" w:rsidR="00D355D5" w:rsidRDefault="00D355D5" w:rsidP="00282204">
            <w:pPr>
              <w:pStyle w:val="RightAlign"/>
            </w:pPr>
            <w:r>
              <w:t>2</w:t>
            </w:r>
          </w:p>
        </w:tc>
      </w:tr>
    </w:tbl>
    <w:p w14:paraId="0B1F0030" w14:textId="77777777" w:rsidR="00D355D5" w:rsidRDefault="00D355D5" w:rsidP="00D355D5">
      <w:pPr>
        <w:rPr>
          <w:rFonts w:asciiTheme="majorHAnsi" w:eastAsiaTheme="majorEastAsia" w:hAnsiTheme="majorHAnsi" w:cstheme="majorBidi"/>
          <w:color w:val="2F5496" w:themeColor="accent1" w:themeShade="BF"/>
          <w:sz w:val="32"/>
          <w:szCs w:val="32"/>
        </w:rPr>
      </w:pPr>
      <w:r>
        <w:br w:type="page"/>
      </w:r>
    </w:p>
    <w:p w14:paraId="3F56ED4F" w14:textId="77777777" w:rsidR="00D355D5" w:rsidRDefault="00D355D5" w:rsidP="00D355D5">
      <w:r>
        <w:t xml:space="preserve">Barriers to pharmacists providing clinical services to patients with diabetes  </w:t>
      </w:r>
    </w:p>
    <w:p w14:paraId="04DABF31" w14:textId="77777777" w:rsidR="00D355D5" w:rsidRDefault="00D355D5" w:rsidP="00D355D5">
      <w:r>
        <w:t>Codes\\Barriers</w:t>
      </w:r>
    </w:p>
    <w:p w14:paraId="56E57AA3" w14:textId="77777777" w:rsidR="00D355D5" w:rsidRDefault="00D355D5" w:rsidP="00D355D5">
      <w:pPr>
        <w:pStyle w:val="FolderDescription"/>
      </w:pPr>
    </w:p>
    <w:tbl>
      <w:tblPr>
        <w:tblStyle w:val="NodesTable"/>
        <w:tblW w:w="5000" w:type="pct"/>
        <w:tblInd w:w="0" w:type="dxa"/>
        <w:tblLook w:val="0420" w:firstRow="1" w:lastRow="0" w:firstColumn="0" w:lastColumn="0" w:noHBand="0" w:noVBand="1"/>
      </w:tblPr>
      <w:tblGrid>
        <w:gridCol w:w="2747"/>
        <w:gridCol w:w="4618"/>
        <w:gridCol w:w="877"/>
        <w:gridCol w:w="1113"/>
      </w:tblGrid>
      <w:tr w:rsidR="00D355D5" w14:paraId="71EA504C"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3C9EB620" w14:textId="77777777" w:rsidR="00D355D5" w:rsidRDefault="00D355D5" w:rsidP="00282204">
            <w:pPr>
              <w:pStyle w:val="TableHeader"/>
            </w:pPr>
            <w:r>
              <w:t>Name</w:t>
            </w:r>
          </w:p>
        </w:tc>
        <w:tc>
          <w:tcPr>
            <w:tcW w:w="2500" w:type="pct"/>
          </w:tcPr>
          <w:p w14:paraId="2FBDCD95" w14:textId="77777777" w:rsidR="00D355D5" w:rsidRDefault="00D355D5" w:rsidP="00282204">
            <w:pPr>
              <w:pStyle w:val="TableHeader"/>
            </w:pPr>
            <w:r>
              <w:t xml:space="preserve">Description/Examples </w:t>
            </w:r>
          </w:p>
        </w:tc>
        <w:tc>
          <w:tcPr>
            <w:tcW w:w="500" w:type="pct"/>
          </w:tcPr>
          <w:p w14:paraId="1F848C72" w14:textId="77777777" w:rsidR="00D355D5" w:rsidRDefault="00D355D5" w:rsidP="00282204">
            <w:pPr>
              <w:pStyle w:val="TableHeader"/>
            </w:pPr>
            <w:r>
              <w:t>Files</w:t>
            </w:r>
          </w:p>
        </w:tc>
        <w:tc>
          <w:tcPr>
            <w:tcW w:w="500" w:type="pct"/>
          </w:tcPr>
          <w:p w14:paraId="3B0CB78C" w14:textId="77777777" w:rsidR="00D355D5" w:rsidRDefault="00D355D5" w:rsidP="00282204">
            <w:pPr>
              <w:pStyle w:val="TableHeader"/>
            </w:pPr>
            <w:r>
              <w:t>References</w:t>
            </w:r>
          </w:p>
        </w:tc>
      </w:tr>
      <w:tr w:rsidR="00D355D5" w14:paraId="4E43E960"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451756AA" w14:textId="77777777" w:rsidR="00D355D5" w:rsidRDefault="00D355D5" w:rsidP="00282204">
            <w:r>
              <w:t>Access to patient record</w:t>
            </w:r>
          </w:p>
        </w:tc>
        <w:tc>
          <w:tcPr>
            <w:tcW w:w="2500" w:type="pct"/>
          </w:tcPr>
          <w:p w14:paraId="2B6496B2" w14:textId="77777777" w:rsidR="00D355D5" w:rsidRDefault="00D355D5" w:rsidP="00282204"/>
        </w:tc>
        <w:tc>
          <w:tcPr>
            <w:tcW w:w="500" w:type="pct"/>
          </w:tcPr>
          <w:p w14:paraId="4CF5E376" w14:textId="77777777" w:rsidR="00D355D5" w:rsidRDefault="00D355D5" w:rsidP="00282204">
            <w:pPr>
              <w:pStyle w:val="RightAlign"/>
            </w:pPr>
          </w:p>
        </w:tc>
        <w:tc>
          <w:tcPr>
            <w:tcW w:w="500" w:type="pct"/>
          </w:tcPr>
          <w:p w14:paraId="1023F392" w14:textId="77777777" w:rsidR="00D355D5" w:rsidRDefault="00D355D5" w:rsidP="00282204">
            <w:pPr>
              <w:pStyle w:val="RightAlign"/>
            </w:pPr>
          </w:p>
        </w:tc>
      </w:tr>
      <w:tr w:rsidR="00D355D5" w14:paraId="56961A68"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1E5CF0B4" w14:textId="77777777" w:rsidR="00D355D5" w:rsidRDefault="00D355D5" w:rsidP="00282204">
            <w:pPr>
              <w:ind w:left="450"/>
            </w:pPr>
            <w:r>
              <w:t>Difficult</w:t>
            </w:r>
          </w:p>
        </w:tc>
        <w:tc>
          <w:tcPr>
            <w:tcW w:w="2500" w:type="pct"/>
          </w:tcPr>
          <w:p w14:paraId="6E8AE149" w14:textId="77777777" w:rsidR="00D355D5" w:rsidRPr="0075296B" w:rsidRDefault="00D355D5" w:rsidP="00282204">
            <w:pPr>
              <w:spacing w:line="240" w:lineRule="auto"/>
              <w:rPr>
                <w:rFonts w:hAnsiTheme="minorHAnsi" w:cstheme="minorHAnsi"/>
                <w:lang w:val="en-GB" w:eastAsia="en-GB"/>
              </w:rPr>
            </w:pPr>
            <w:r w:rsidRPr="0075296B">
              <w:rPr>
                <w:rFonts w:hAnsiTheme="minorHAnsi" w:cstheme="minorHAnsi"/>
                <w:lang w:val="en-GB" w:eastAsia="en-GB"/>
              </w:rPr>
              <w:t>In the primary care centres, it was difficult to review /check the patient’s health record during the dispensing process, as the patient's health record at that time was a paper file and usually present in the doctor’s office, so it is difficult to bring it to the pharmacy and review it before the dispensing the Rx, so the fastest way was to communicate by phone with the doctor to inquire about the reason for the changes in the treatment plan.Ph1</w:t>
            </w:r>
          </w:p>
          <w:p w14:paraId="60F19AB0" w14:textId="77777777" w:rsidR="00D355D5" w:rsidRPr="0075296B" w:rsidRDefault="00D355D5" w:rsidP="00282204">
            <w:pPr>
              <w:spacing w:line="240" w:lineRule="auto"/>
              <w:rPr>
                <w:rFonts w:hAnsiTheme="minorHAnsi" w:cstheme="minorHAnsi"/>
                <w:lang w:val="en-GB" w:eastAsia="en-GB"/>
              </w:rPr>
            </w:pPr>
            <w:r w:rsidRPr="0075296B">
              <w:rPr>
                <w:rFonts w:hAnsiTheme="minorHAnsi" w:cstheme="minorHAnsi"/>
                <w:lang w:val="en-GB" w:eastAsia="en-GB"/>
              </w:rPr>
              <w:t>To view the patient’s file, I have to go to the doctor’s office to request the file. The clinic is usually busy, and the pharmacy is also. So, if I want to see a patient's file, I write a note on the prescription or on a side sheet to review the file at the end of the workday; If any issues arise from the file review, I must contact the patient in this regard.</w:t>
            </w:r>
            <w:r>
              <w:rPr>
                <w:rFonts w:hAnsiTheme="minorHAnsi" w:cstheme="minorHAnsi"/>
                <w:lang w:val="en-GB" w:eastAsia="en-GB"/>
              </w:rPr>
              <w:t>Ph1</w:t>
            </w:r>
          </w:p>
          <w:p w14:paraId="2FC844CE" w14:textId="77777777" w:rsidR="00D355D5" w:rsidRPr="0075296B" w:rsidRDefault="00D355D5" w:rsidP="00282204">
            <w:pPr>
              <w:spacing w:line="240" w:lineRule="auto"/>
              <w:jc w:val="both"/>
              <w:rPr>
                <w:rFonts w:hAnsiTheme="minorHAnsi" w:cstheme="minorHAnsi"/>
                <w:lang w:val="en-GB" w:eastAsia="en-GB"/>
              </w:rPr>
            </w:pPr>
            <w:r w:rsidRPr="0075296B">
              <w:rPr>
                <w:rFonts w:hAnsiTheme="minorHAnsi" w:cstheme="minorHAnsi"/>
                <w:lang w:val="en-GB" w:eastAsia="en-GB"/>
              </w:rPr>
              <w:t>Yeah, we can access the patient's file. Not during the dispensing. However, it depends on the number of patients waiting at the pharmacy window to dispense their prescriptions; as I work on my own, it also depends on the case.  If the case urgently needs to be looked into the file, yes, I go to the reception desk (where the files are kept) and have a look at it, and if there is anything to discuss with the doctors before dispensing, yes, I do. Or I go later to look at the patient's file.Ph2</w:t>
            </w:r>
          </w:p>
          <w:p w14:paraId="310457C5" w14:textId="77777777" w:rsidR="00D355D5" w:rsidRPr="0075296B" w:rsidRDefault="00D355D5" w:rsidP="00282204">
            <w:pPr>
              <w:spacing w:line="240" w:lineRule="auto"/>
              <w:rPr>
                <w:rFonts w:hAnsiTheme="minorHAnsi" w:cstheme="minorHAnsi"/>
              </w:rPr>
            </w:pPr>
            <w:r w:rsidRPr="0075296B">
              <w:rPr>
                <w:rFonts w:hAnsiTheme="minorHAnsi" w:cstheme="minorHAnsi"/>
              </w:rPr>
              <w:t>there is no time to look at the patient's health file in PHC. But in the hospital, I can easily access the patient's health record, so I look at the patient's lab results, because they're all in the system (on the computer), to make sure of his condition before dispensing treatment.Ph3</w:t>
            </w:r>
          </w:p>
        </w:tc>
        <w:tc>
          <w:tcPr>
            <w:tcW w:w="500" w:type="pct"/>
          </w:tcPr>
          <w:p w14:paraId="0EA7FE9B" w14:textId="77777777" w:rsidR="00D355D5" w:rsidRDefault="00D355D5" w:rsidP="00282204">
            <w:pPr>
              <w:pStyle w:val="RightAlign"/>
            </w:pPr>
            <w:r>
              <w:t>3</w:t>
            </w:r>
          </w:p>
        </w:tc>
        <w:tc>
          <w:tcPr>
            <w:tcW w:w="500" w:type="pct"/>
          </w:tcPr>
          <w:p w14:paraId="5DDF3236" w14:textId="77777777" w:rsidR="00D355D5" w:rsidRDefault="00D355D5" w:rsidP="00282204">
            <w:pPr>
              <w:pStyle w:val="RightAlign"/>
            </w:pPr>
            <w:r>
              <w:t>4</w:t>
            </w:r>
          </w:p>
        </w:tc>
      </w:tr>
      <w:tr w:rsidR="00D355D5" w14:paraId="2B6BA3A2"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577FEAFC" w14:textId="77777777" w:rsidR="00D355D5" w:rsidRDefault="00D355D5" w:rsidP="00282204">
            <w:pPr>
              <w:ind w:left="450"/>
            </w:pPr>
            <w:r>
              <w:t>Easy</w:t>
            </w:r>
          </w:p>
        </w:tc>
        <w:tc>
          <w:tcPr>
            <w:tcW w:w="2500" w:type="pct"/>
          </w:tcPr>
          <w:p w14:paraId="6166B244" w14:textId="77777777" w:rsidR="00D355D5" w:rsidRPr="0075296B" w:rsidRDefault="00D355D5" w:rsidP="00282204">
            <w:pPr>
              <w:spacing w:line="240" w:lineRule="auto"/>
              <w:rPr>
                <w:rFonts w:hAnsiTheme="minorHAnsi" w:cstheme="minorHAnsi"/>
              </w:rPr>
            </w:pPr>
          </w:p>
        </w:tc>
        <w:tc>
          <w:tcPr>
            <w:tcW w:w="500" w:type="pct"/>
          </w:tcPr>
          <w:p w14:paraId="3BD1CA0C" w14:textId="77777777" w:rsidR="00D355D5" w:rsidRDefault="00D355D5" w:rsidP="00282204">
            <w:pPr>
              <w:pStyle w:val="RightAlign"/>
            </w:pPr>
            <w:r>
              <w:t>0</w:t>
            </w:r>
          </w:p>
        </w:tc>
        <w:tc>
          <w:tcPr>
            <w:tcW w:w="500" w:type="pct"/>
          </w:tcPr>
          <w:p w14:paraId="7A41050C" w14:textId="77777777" w:rsidR="00D355D5" w:rsidRDefault="00D355D5" w:rsidP="00282204">
            <w:pPr>
              <w:pStyle w:val="RightAlign"/>
            </w:pPr>
            <w:r>
              <w:t>0</w:t>
            </w:r>
          </w:p>
        </w:tc>
      </w:tr>
      <w:tr w:rsidR="00D355D5" w14:paraId="66BB37E4"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5B714482" w14:textId="77777777" w:rsidR="00D355D5" w:rsidRDefault="00D355D5" w:rsidP="00282204">
            <w:r>
              <w:t>Availability of scientific and medical resources</w:t>
            </w:r>
          </w:p>
        </w:tc>
        <w:tc>
          <w:tcPr>
            <w:tcW w:w="2500" w:type="pct"/>
          </w:tcPr>
          <w:p w14:paraId="235E1415" w14:textId="77777777" w:rsidR="00D355D5" w:rsidRPr="009F7C11" w:rsidRDefault="00D355D5" w:rsidP="00282204">
            <w:pPr>
              <w:spacing w:line="240" w:lineRule="auto"/>
              <w:jc w:val="both"/>
              <w:rPr>
                <w:rFonts w:hAnsiTheme="minorHAnsi" w:cstheme="minorHAnsi"/>
                <w:lang w:val="en-GB" w:eastAsia="en-GB"/>
              </w:rPr>
            </w:pPr>
            <w:r w:rsidRPr="009F7C11">
              <w:rPr>
                <w:rFonts w:hAnsiTheme="minorHAnsi" w:cstheme="minorHAnsi"/>
                <w:lang w:val="en-GB" w:eastAsia="en-GB"/>
              </w:rPr>
              <w:t>The employee used to download the scientific resources on his/her personal mobile</w:t>
            </w:r>
            <w:r w:rsidRPr="009F7C11">
              <w:rPr>
                <w:rFonts w:hAnsiTheme="minorHAnsi" w:cstheme="minorHAnsi"/>
                <w:rtl/>
                <w:lang w:val="en-GB" w:eastAsia="en-GB"/>
              </w:rPr>
              <w:t>.</w:t>
            </w:r>
            <w:r w:rsidRPr="009F7C11">
              <w:rPr>
                <w:rFonts w:hAnsiTheme="minorHAnsi" w:cstheme="minorHAnsi"/>
                <w:lang w:val="en-GB" w:eastAsia="en-GB"/>
              </w:rPr>
              <w:t>Ph1</w:t>
            </w:r>
          </w:p>
          <w:p w14:paraId="6B352FD6" w14:textId="77777777" w:rsidR="00D355D5" w:rsidRPr="009F7C11" w:rsidRDefault="00D355D5" w:rsidP="00282204">
            <w:pPr>
              <w:spacing w:line="240" w:lineRule="auto"/>
              <w:jc w:val="both"/>
              <w:rPr>
                <w:rFonts w:hAnsiTheme="minorHAnsi" w:cstheme="minorHAnsi"/>
                <w:lang w:val="en-GB" w:eastAsia="en-GB"/>
              </w:rPr>
            </w:pPr>
            <w:r w:rsidRPr="009F7C11">
              <w:rPr>
                <w:rFonts w:hAnsiTheme="minorHAnsi" w:cstheme="minorHAnsi"/>
              </w:rPr>
              <w:t>I bought some medical references and made them available for everyone who works with me in the same centre to benefit from, and I do not allow anyone to take them outside the centre.Ph3</w:t>
            </w:r>
          </w:p>
        </w:tc>
        <w:tc>
          <w:tcPr>
            <w:tcW w:w="500" w:type="pct"/>
          </w:tcPr>
          <w:p w14:paraId="72790625" w14:textId="77777777" w:rsidR="00D355D5" w:rsidRPr="009F7C11" w:rsidRDefault="00D355D5" w:rsidP="00282204">
            <w:pPr>
              <w:pStyle w:val="RightAlign"/>
              <w:spacing w:line="240" w:lineRule="auto"/>
              <w:rPr>
                <w:rFonts w:hAnsiTheme="minorHAnsi" w:cstheme="minorHAnsi"/>
              </w:rPr>
            </w:pPr>
            <w:r>
              <w:rPr>
                <w:rFonts w:hAnsiTheme="minorHAnsi" w:cstheme="minorHAnsi"/>
              </w:rPr>
              <w:t>2</w:t>
            </w:r>
          </w:p>
        </w:tc>
        <w:tc>
          <w:tcPr>
            <w:tcW w:w="500" w:type="pct"/>
          </w:tcPr>
          <w:p w14:paraId="27EDBEBE" w14:textId="77777777" w:rsidR="00D355D5" w:rsidRPr="009F7C11" w:rsidRDefault="00D355D5" w:rsidP="00282204">
            <w:pPr>
              <w:pStyle w:val="RightAlign"/>
              <w:spacing w:line="240" w:lineRule="auto"/>
              <w:rPr>
                <w:rFonts w:hAnsiTheme="minorHAnsi" w:cstheme="minorHAnsi"/>
              </w:rPr>
            </w:pPr>
            <w:r>
              <w:rPr>
                <w:rFonts w:hAnsiTheme="minorHAnsi" w:cstheme="minorHAnsi"/>
              </w:rPr>
              <w:t>2</w:t>
            </w:r>
          </w:p>
        </w:tc>
      </w:tr>
      <w:tr w:rsidR="00D355D5" w14:paraId="6849745E"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375C20DC" w14:textId="77777777" w:rsidR="00D355D5" w:rsidRDefault="00D355D5" w:rsidP="00282204">
            <w:r>
              <w:t>Key Performance Indicator</w:t>
            </w:r>
          </w:p>
        </w:tc>
        <w:tc>
          <w:tcPr>
            <w:tcW w:w="2500" w:type="pct"/>
          </w:tcPr>
          <w:p w14:paraId="64657B80" w14:textId="77777777" w:rsidR="00D355D5" w:rsidRPr="004523ED" w:rsidRDefault="00D355D5" w:rsidP="00282204">
            <w:pPr>
              <w:spacing w:line="240" w:lineRule="auto"/>
              <w:jc w:val="both"/>
              <w:rPr>
                <w:rFonts w:hAnsiTheme="minorHAnsi" w:cstheme="minorHAnsi"/>
              </w:rPr>
            </w:pPr>
            <w:r w:rsidRPr="004523ED">
              <w:rPr>
                <w:rFonts w:hAnsiTheme="minorHAnsi" w:cstheme="minorHAnsi"/>
              </w:rPr>
              <w:t>to have KPIs to have a governors for the any preferred outcome would help in ensuring the you know the basic service already provided so I suggest to have good governance of the services we don't have a governance services, we usually have kpi of available medication we don't have KPI of those already educated or we're not looking for or it is not an important for the the director of any health care institution. To have it measure I think it would improve the situation. D2</w:t>
            </w:r>
          </w:p>
          <w:p w14:paraId="243FC6B4" w14:textId="77777777" w:rsidR="00D355D5" w:rsidRDefault="00D355D5" w:rsidP="00282204">
            <w:pPr>
              <w:spacing w:line="240" w:lineRule="auto"/>
              <w:jc w:val="both"/>
              <w:rPr>
                <w:rFonts w:hAnsiTheme="minorHAnsi" w:cstheme="minorHAnsi"/>
              </w:rPr>
            </w:pPr>
            <w:r w:rsidRPr="004523ED">
              <w:rPr>
                <w:rFonts w:hAnsiTheme="minorHAnsi" w:cstheme="minorHAnsi"/>
              </w:rPr>
              <w:t>In addition, it was not included in the assessment of job performance.</w:t>
            </w:r>
            <w:r>
              <w:rPr>
                <w:rFonts w:hAnsiTheme="minorHAnsi" w:cstheme="minorHAnsi"/>
              </w:rPr>
              <w:t xml:space="preserve"> </w:t>
            </w:r>
            <w:r w:rsidRPr="004523ED">
              <w:rPr>
                <w:rFonts w:hAnsiTheme="minorHAnsi" w:cstheme="minorHAnsi"/>
              </w:rPr>
              <w:t>Ph1</w:t>
            </w:r>
          </w:p>
          <w:p w14:paraId="3DB69BC4" w14:textId="77777777" w:rsidR="00D355D5" w:rsidRPr="004523ED" w:rsidRDefault="00D355D5" w:rsidP="00282204">
            <w:pPr>
              <w:spacing w:line="240" w:lineRule="auto"/>
              <w:jc w:val="both"/>
              <w:rPr>
                <w:rFonts w:hAnsiTheme="minorHAnsi" w:cstheme="minorHAnsi"/>
              </w:rPr>
            </w:pPr>
            <w:r w:rsidRPr="004523ED">
              <w:rPr>
                <w:rFonts w:hAnsiTheme="minorHAnsi" w:cstheme="minorHAnsi"/>
                <w:lang w:val="en-GB" w:eastAsia="en-GB"/>
              </w:rPr>
              <w:t>If there is an obligation, law, protocol or policy, or follow-up and supervision of the work of pharmacists by the supervisory authorities, and measuring consumer satisfaction [...] If we increase supervision, the performance will rise even if the person does not have diligence personally, he will try to reach the hardworking.</w:t>
            </w:r>
            <w:r>
              <w:rPr>
                <w:rFonts w:hAnsiTheme="minorHAnsi" w:cstheme="minorHAnsi"/>
                <w:lang w:val="en-GB" w:eastAsia="en-GB"/>
              </w:rPr>
              <w:t xml:space="preserve"> </w:t>
            </w:r>
            <w:r w:rsidRPr="004523ED">
              <w:rPr>
                <w:rFonts w:hAnsiTheme="minorHAnsi" w:cstheme="minorHAnsi"/>
                <w:lang w:val="en-GB" w:eastAsia="en-GB"/>
              </w:rPr>
              <w:t>N1</w:t>
            </w:r>
          </w:p>
        </w:tc>
        <w:tc>
          <w:tcPr>
            <w:tcW w:w="500" w:type="pct"/>
          </w:tcPr>
          <w:p w14:paraId="218286C5" w14:textId="77777777" w:rsidR="00D355D5" w:rsidRDefault="00D355D5" w:rsidP="00282204">
            <w:pPr>
              <w:pStyle w:val="RightAlign"/>
            </w:pPr>
            <w:r>
              <w:t>3</w:t>
            </w:r>
          </w:p>
        </w:tc>
        <w:tc>
          <w:tcPr>
            <w:tcW w:w="500" w:type="pct"/>
          </w:tcPr>
          <w:p w14:paraId="277901DE" w14:textId="77777777" w:rsidR="00D355D5" w:rsidRDefault="00D355D5" w:rsidP="00282204">
            <w:pPr>
              <w:pStyle w:val="RightAlign"/>
            </w:pPr>
            <w:r>
              <w:t>3</w:t>
            </w:r>
          </w:p>
        </w:tc>
      </w:tr>
      <w:tr w:rsidR="00D355D5" w14:paraId="0B6E9F3F"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6502285E" w14:textId="77777777" w:rsidR="00D355D5" w:rsidRDefault="00D355D5" w:rsidP="00282204">
            <w:r>
              <w:t>Lack of technology or electronic system</w:t>
            </w:r>
          </w:p>
        </w:tc>
        <w:tc>
          <w:tcPr>
            <w:tcW w:w="2500" w:type="pct"/>
          </w:tcPr>
          <w:p w14:paraId="1ED37F68" w14:textId="77777777" w:rsidR="00D355D5" w:rsidRPr="00C816B6" w:rsidRDefault="00D355D5" w:rsidP="00282204">
            <w:pPr>
              <w:spacing w:line="240" w:lineRule="auto"/>
              <w:rPr>
                <w:rFonts w:hAnsiTheme="minorHAnsi" w:cstheme="minorHAnsi"/>
                <w:lang w:eastAsia="en-GB"/>
              </w:rPr>
            </w:pPr>
            <w:r w:rsidRPr="00C816B6">
              <w:rPr>
                <w:rFonts w:hAnsiTheme="minorHAnsi" w:cstheme="minorHAnsi"/>
                <w:lang w:eastAsia="en-GB"/>
              </w:rPr>
              <w:t>When I worked in the PHCs, the system was paper-based; literally a waste of time and effort. Ph1</w:t>
            </w:r>
          </w:p>
          <w:p w14:paraId="32CB89C8" w14:textId="77777777" w:rsidR="00D355D5" w:rsidRPr="00C816B6" w:rsidRDefault="00D355D5" w:rsidP="00282204">
            <w:pPr>
              <w:spacing w:line="240" w:lineRule="auto"/>
              <w:jc w:val="both"/>
              <w:rPr>
                <w:rFonts w:hAnsiTheme="minorHAnsi" w:cstheme="minorHAnsi"/>
                <w:lang w:val="en-GB" w:eastAsia="en-GB"/>
              </w:rPr>
            </w:pPr>
            <w:r w:rsidRPr="00C816B6">
              <w:rPr>
                <w:rFonts w:hAnsiTheme="minorHAnsi" w:cstheme="minorHAnsi"/>
                <w:lang w:val="en-GB" w:eastAsia="en-GB"/>
              </w:rPr>
              <w:t>It was manual, paper-based system, and it was helpful. Ph2</w:t>
            </w:r>
          </w:p>
          <w:p w14:paraId="45717EB2" w14:textId="77777777" w:rsidR="00D355D5" w:rsidRDefault="00D355D5" w:rsidP="00282204">
            <w:pPr>
              <w:spacing w:line="240" w:lineRule="auto"/>
              <w:jc w:val="both"/>
              <w:rPr>
                <w:rFonts w:hAnsiTheme="minorHAnsi" w:cstheme="minorHAnsi"/>
                <w:lang w:val="en-GB" w:eastAsia="en-GB"/>
              </w:rPr>
            </w:pPr>
            <w:r w:rsidRPr="00C816B6">
              <w:rPr>
                <w:rFonts w:hAnsiTheme="minorHAnsi" w:cstheme="minorHAnsi"/>
                <w:lang w:val="en-GB" w:eastAsia="en-GB"/>
              </w:rPr>
              <w:t>Yeah, this file is for medications documentation only. We document any dosage adjustments or change in the brand of medication to tell the patient about. We also report the DC (discontinue) medications or that were refused.</w:t>
            </w:r>
            <w:r>
              <w:rPr>
                <w:rFonts w:hAnsiTheme="minorHAnsi" w:cstheme="minorHAnsi"/>
                <w:lang w:val="en-GB" w:eastAsia="en-GB"/>
              </w:rPr>
              <w:t xml:space="preserve"> </w:t>
            </w:r>
            <w:r w:rsidRPr="00C816B6">
              <w:rPr>
                <w:rFonts w:hAnsiTheme="minorHAnsi" w:cstheme="minorHAnsi"/>
                <w:lang w:val="en-GB" w:eastAsia="en-GB"/>
              </w:rPr>
              <w:t>Ph2</w:t>
            </w:r>
          </w:p>
          <w:p w14:paraId="2E163F9E" w14:textId="77777777" w:rsidR="00D355D5" w:rsidRPr="00C816B6" w:rsidRDefault="00D355D5" w:rsidP="00282204">
            <w:pPr>
              <w:spacing w:line="240" w:lineRule="auto"/>
              <w:jc w:val="both"/>
              <w:rPr>
                <w:rFonts w:hAnsiTheme="minorHAnsi" w:cstheme="minorHAnsi"/>
                <w:lang w:val="en-GB" w:eastAsia="en-GB"/>
              </w:rPr>
            </w:pPr>
            <w:r w:rsidRPr="00C54959">
              <w:rPr>
                <w:rFonts w:hAnsiTheme="minorHAnsi" w:cstheme="minorHAnsi"/>
                <w:lang w:val="en-GB" w:eastAsia="en-GB"/>
              </w:rPr>
              <w:t>We used to do it manually.</w:t>
            </w:r>
            <w:r>
              <w:rPr>
                <w:rFonts w:hAnsiTheme="minorHAnsi" w:cstheme="minorHAnsi"/>
                <w:lang w:val="en-GB" w:eastAsia="en-GB"/>
              </w:rPr>
              <w:t xml:space="preserve"> Ph3</w:t>
            </w:r>
          </w:p>
        </w:tc>
        <w:tc>
          <w:tcPr>
            <w:tcW w:w="500" w:type="pct"/>
          </w:tcPr>
          <w:p w14:paraId="269358C8" w14:textId="77777777" w:rsidR="00D355D5" w:rsidRDefault="00D355D5" w:rsidP="00282204">
            <w:pPr>
              <w:pStyle w:val="RightAlign"/>
            </w:pPr>
            <w:r>
              <w:t>3</w:t>
            </w:r>
          </w:p>
        </w:tc>
        <w:tc>
          <w:tcPr>
            <w:tcW w:w="500" w:type="pct"/>
          </w:tcPr>
          <w:p w14:paraId="7DC1B5F6" w14:textId="77777777" w:rsidR="00D355D5" w:rsidRDefault="00D355D5" w:rsidP="00282204">
            <w:pPr>
              <w:pStyle w:val="RightAlign"/>
            </w:pPr>
            <w:r>
              <w:t>3</w:t>
            </w:r>
          </w:p>
        </w:tc>
      </w:tr>
      <w:tr w:rsidR="00D355D5" w14:paraId="380BE5F8"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2DDFF78C" w14:textId="77777777" w:rsidR="00D355D5" w:rsidRDefault="00D355D5" w:rsidP="00282204">
            <w:r>
              <w:t>Lack of Job description</w:t>
            </w:r>
          </w:p>
        </w:tc>
        <w:tc>
          <w:tcPr>
            <w:tcW w:w="2500" w:type="pct"/>
          </w:tcPr>
          <w:p w14:paraId="04289087" w14:textId="77777777" w:rsidR="00D355D5" w:rsidRPr="00383A62" w:rsidRDefault="00D355D5" w:rsidP="00282204">
            <w:pPr>
              <w:spacing w:line="240" w:lineRule="auto"/>
              <w:jc w:val="both"/>
              <w:rPr>
                <w:rFonts w:hAnsiTheme="minorHAnsi" w:cstheme="minorHAnsi"/>
              </w:rPr>
            </w:pPr>
            <w:r w:rsidRPr="00383A62">
              <w:rPr>
                <w:rFonts w:hAnsiTheme="minorHAnsi" w:cstheme="minorHAnsi"/>
              </w:rPr>
              <w:t xml:space="preserve"> pharmacists, their role the guidelines as a pharmacist is not clear so we don't have a clinical practise guidelines that involve the clinical pharmacist very clearly putting a role mandated nationally by this clinical practice guidelines so I think defining the roles either by the mandating the involvement in the writing up the care plan or to involve them D2</w:t>
            </w:r>
          </w:p>
          <w:p w14:paraId="233D3647" w14:textId="77777777" w:rsidR="00D355D5" w:rsidRPr="00383A62" w:rsidRDefault="00D355D5" w:rsidP="00282204">
            <w:pPr>
              <w:spacing w:line="240" w:lineRule="auto"/>
              <w:jc w:val="both"/>
              <w:rPr>
                <w:rFonts w:hAnsiTheme="minorHAnsi" w:cstheme="minorHAnsi"/>
              </w:rPr>
            </w:pPr>
            <w:r w:rsidRPr="00383A62">
              <w:rPr>
                <w:rFonts w:hAnsiTheme="minorHAnsi" w:cstheme="minorHAnsi"/>
                <w:lang w:val="en-GB" w:eastAsia="en-GB"/>
              </w:rPr>
              <w:t>In addition, there was no difference between the pharmacist's role and the role of the pharmacy technician.</w:t>
            </w:r>
            <w:r>
              <w:rPr>
                <w:rFonts w:hAnsiTheme="minorHAnsi" w:cstheme="minorHAnsi"/>
                <w:lang w:val="en-GB" w:eastAsia="en-GB"/>
              </w:rPr>
              <w:t xml:space="preserve"> </w:t>
            </w:r>
            <w:r w:rsidRPr="00383A62">
              <w:rPr>
                <w:rFonts w:hAnsiTheme="minorHAnsi" w:cstheme="minorHAnsi"/>
                <w:lang w:val="en-GB" w:eastAsia="en-GB"/>
              </w:rPr>
              <w:t>Ph1</w:t>
            </w:r>
          </w:p>
        </w:tc>
        <w:tc>
          <w:tcPr>
            <w:tcW w:w="500" w:type="pct"/>
          </w:tcPr>
          <w:p w14:paraId="7E581436" w14:textId="77777777" w:rsidR="00D355D5" w:rsidRDefault="00D355D5" w:rsidP="00282204">
            <w:pPr>
              <w:pStyle w:val="RightAlign"/>
            </w:pPr>
            <w:r>
              <w:t>2</w:t>
            </w:r>
          </w:p>
        </w:tc>
        <w:tc>
          <w:tcPr>
            <w:tcW w:w="500" w:type="pct"/>
          </w:tcPr>
          <w:p w14:paraId="140C5454" w14:textId="77777777" w:rsidR="00D355D5" w:rsidRDefault="00D355D5" w:rsidP="00282204">
            <w:pPr>
              <w:pStyle w:val="RightAlign"/>
            </w:pPr>
            <w:r>
              <w:t>2</w:t>
            </w:r>
          </w:p>
        </w:tc>
      </w:tr>
      <w:tr w:rsidR="00D355D5" w14:paraId="0341976D"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3B823190" w14:textId="77777777" w:rsidR="00D355D5" w:rsidRDefault="00D355D5" w:rsidP="00282204">
            <w:r>
              <w:t>Lack of qualified pharmacists</w:t>
            </w:r>
          </w:p>
        </w:tc>
        <w:tc>
          <w:tcPr>
            <w:tcW w:w="2500" w:type="pct"/>
          </w:tcPr>
          <w:p w14:paraId="0CB42C52" w14:textId="77777777" w:rsidR="00D355D5" w:rsidRPr="000D4126" w:rsidRDefault="00D355D5" w:rsidP="00282204">
            <w:pPr>
              <w:spacing w:line="240" w:lineRule="auto"/>
              <w:jc w:val="both"/>
              <w:rPr>
                <w:rFonts w:hAnsiTheme="minorHAnsi" w:cstheme="minorHAnsi"/>
                <w:lang w:val="en-GB" w:eastAsia="en-GB"/>
              </w:rPr>
            </w:pPr>
            <w:r w:rsidRPr="000D4126">
              <w:rPr>
                <w:rFonts w:hAnsiTheme="minorHAnsi" w:cstheme="minorHAnsi"/>
                <w:lang w:val="en-GB" w:eastAsia="en-GB"/>
              </w:rPr>
              <w:t xml:space="preserve">Pharmacies in PHCs did not provide clinical services for many reasons: overwork, no time, and </w:t>
            </w:r>
            <w:r w:rsidRPr="000D4126">
              <w:rPr>
                <w:rFonts w:hAnsiTheme="minorHAnsi" w:cstheme="minorHAnsi"/>
                <w:b/>
                <w:bCs/>
                <w:lang w:val="en-GB" w:eastAsia="en-GB"/>
              </w:rPr>
              <w:t>lack of qualified pharmacists</w:t>
            </w:r>
            <w:r w:rsidRPr="000D4126">
              <w:rPr>
                <w:rFonts w:hAnsiTheme="minorHAnsi" w:cstheme="minorHAnsi"/>
                <w:lang w:val="en-GB" w:eastAsia="en-GB"/>
              </w:rPr>
              <w:t>.</w:t>
            </w:r>
            <w:r>
              <w:rPr>
                <w:rFonts w:hAnsiTheme="minorHAnsi" w:cstheme="minorHAnsi"/>
                <w:lang w:val="en-GB" w:eastAsia="en-GB"/>
              </w:rPr>
              <w:t xml:space="preserve"> </w:t>
            </w:r>
            <w:r w:rsidRPr="000D4126">
              <w:rPr>
                <w:rFonts w:hAnsiTheme="minorHAnsi" w:cstheme="minorHAnsi"/>
                <w:lang w:val="en-GB" w:eastAsia="en-GB"/>
              </w:rPr>
              <w:t>Ph1</w:t>
            </w:r>
          </w:p>
          <w:p w14:paraId="7714F271" w14:textId="77777777" w:rsidR="00D355D5" w:rsidRPr="000D4126" w:rsidRDefault="00D355D5" w:rsidP="00282204">
            <w:pPr>
              <w:spacing w:line="240" w:lineRule="auto"/>
              <w:jc w:val="both"/>
              <w:rPr>
                <w:rFonts w:hAnsiTheme="minorHAnsi" w:cstheme="minorHAnsi"/>
              </w:rPr>
            </w:pPr>
            <w:r w:rsidRPr="000D4126">
              <w:rPr>
                <w:rFonts w:hAnsiTheme="minorHAnsi" w:cstheme="minorHAnsi"/>
              </w:rPr>
              <w:t>Clinical services are not the duty of pharmacists as there were no clinical pharmacists in PHCs. Ph3</w:t>
            </w:r>
          </w:p>
        </w:tc>
        <w:tc>
          <w:tcPr>
            <w:tcW w:w="500" w:type="pct"/>
          </w:tcPr>
          <w:p w14:paraId="79A5E324" w14:textId="77777777" w:rsidR="00D355D5" w:rsidRDefault="00D355D5" w:rsidP="00282204">
            <w:pPr>
              <w:pStyle w:val="RightAlign"/>
            </w:pPr>
            <w:r>
              <w:t>2</w:t>
            </w:r>
          </w:p>
        </w:tc>
        <w:tc>
          <w:tcPr>
            <w:tcW w:w="500" w:type="pct"/>
          </w:tcPr>
          <w:p w14:paraId="6C07D349" w14:textId="77777777" w:rsidR="00D355D5" w:rsidRDefault="00D355D5" w:rsidP="00282204">
            <w:pPr>
              <w:pStyle w:val="RightAlign"/>
            </w:pPr>
            <w:r>
              <w:t>2</w:t>
            </w:r>
          </w:p>
        </w:tc>
      </w:tr>
      <w:tr w:rsidR="00D355D5" w14:paraId="494B5054"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065AE67A" w14:textId="77777777" w:rsidR="00D355D5" w:rsidRDefault="00D355D5" w:rsidP="00282204">
            <w:r>
              <w:t>Pharmacists</w:t>
            </w:r>
            <w:r>
              <w:t>’</w:t>
            </w:r>
            <w:r>
              <w:t xml:space="preserve"> shortages </w:t>
            </w:r>
          </w:p>
        </w:tc>
        <w:tc>
          <w:tcPr>
            <w:tcW w:w="2500" w:type="pct"/>
          </w:tcPr>
          <w:p w14:paraId="68487A70" w14:textId="77777777" w:rsidR="00D355D5" w:rsidRPr="00EC6C6F" w:rsidRDefault="00D355D5" w:rsidP="00282204">
            <w:pPr>
              <w:spacing w:line="240" w:lineRule="auto"/>
              <w:rPr>
                <w:rFonts w:hAnsiTheme="minorHAnsi" w:cstheme="minorHAnsi"/>
              </w:rPr>
            </w:pPr>
            <w:r w:rsidRPr="00EC6C6F">
              <w:rPr>
                <w:rFonts w:hAnsiTheme="minorHAnsi" w:cstheme="minorHAnsi"/>
              </w:rPr>
              <w:t>decreasing number of pharmacists being employed at PHCs. D1</w:t>
            </w:r>
          </w:p>
          <w:p w14:paraId="3F8DFA49" w14:textId="77777777" w:rsidR="00D355D5" w:rsidRPr="00EC6C6F" w:rsidRDefault="00D355D5" w:rsidP="00282204">
            <w:pPr>
              <w:spacing w:line="240" w:lineRule="auto"/>
              <w:jc w:val="both"/>
              <w:rPr>
                <w:rFonts w:hAnsiTheme="minorHAnsi" w:cstheme="minorHAnsi"/>
                <w:lang w:val="en-GB" w:eastAsia="en-GB"/>
              </w:rPr>
            </w:pPr>
            <w:r w:rsidRPr="00EC6C6F">
              <w:rPr>
                <w:rFonts w:hAnsiTheme="minorHAnsi" w:cstheme="minorHAnsi"/>
                <w:lang w:val="en-GB" w:eastAsia="en-GB"/>
              </w:rPr>
              <w:t>A pharmacist who works alone in a PHC has to do a lot of work regarding statistics, recording the number of medications and ordering medications. So working alone is a barrier because there is no time to do all these tasks, and they have to be sent monthly or at a specific time, but for me, I have to focus on the patients first of all and provide safe and effective medication to the patients. Ph2</w:t>
            </w:r>
          </w:p>
          <w:p w14:paraId="44C7AABF" w14:textId="77777777" w:rsidR="00D355D5" w:rsidRPr="00EC6C6F" w:rsidRDefault="00D355D5" w:rsidP="00282204">
            <w:pPr>
              <w:spacing w:line="240" w:lineRule="auto"/>
              <w:rPr>
                <w:rFonts w:hAnsiTheme="minorHAnsi" w:cstheme="minorHAnsi"/>
              </w:rPr>
            </w:pPr>
            <w:r w:rsidRPr="00EC6C6F">
              <w:rPr>
                <w:rFonts w:hAnsiTheme="minorHAnsi" w:cstheme="minorHAnsi"/>
              </w:rPr>
              <w:t xml:space="preserve">at the level of PHCs, pharmacists can do this task. However, shortages of pharmacists (pharmacy staff), and we are overwhelmed with administrative duties that take up a lot of my time, so I cannot educate myself, learn and update information in my </w:t>
            </w:r>
            <w:r w:rsidRPr="00EC6C6F">
              <w:rPr>
                <w:rFonts w:hAnsiTheme="minorHAnsi" w:cstheme="minorHAnsi"/>
                <w:lang w:val="en-GB"/>
              </w:rPr>
              <w:t>speciality</w:t>
            </w:r>
            <w:r w:rsidRPr="00EC6C6F">
              <w:rPr>
                <w:rFonts w:hAnsiTheme="minorHAnsi" w:cstheme="minorHAnsi"/>
              </w:rPr>
              <w:t>.</w:t>
            </w:r>
            <w:r>
              <w:rPr>
                <w:rFonts w:hAnsiTheme="minorHAnsi" w:cstheme="minorHAnsi"/>
              </w:rPr>
              <w:t xml:space="preserve"> </w:t>
            </w:r>
            <w:r w:rsidRPr="00EC6C6F">
              <w:rPr>
                <w:rFonts w:hAnsiTheme="minorHAnsi" w:cstheme="minorHAnsi"/>
              </w:rPr>
              <w:t>Ph3</w:t>
            </w:r>
          </w:p>
        </w:tc>
        <w:tc>
          <w:tcPr>
            <w:tcW w:w="500" w:type="pct"/>
          </w:tcPr>
          <w:p w14:paraId="3AEE2E44" w14:textId="77777777" w:rsidR="00D355D5" w:rsidRDefault="00D355D5" w:rsidP="00282204">
            <w:pPr>
              <w:pStyle w:val="RightAlign"/>
            </w:pPr>
            <w:r>
              <w:t>3</w:t>
            </w:r>
          </w:p>
        </w:tc>
        <w:tc>
          <w:tcPr>
            <w:tcW w:w="500" w:type="pct"/>
          </w:tcPr>
          <w:p w14:paraId="5E71A81D" w14:textId="77777777" w:rsidR="00D355D5" w:rsidRDefault="00D355D5" w:rsidP="00282204">
            <w:pPr>
              <w:pStyle w:val="RightAlign"/>
            </w:pPr>
            <w:r>
              <w:t>3</w:t>
            </w:r>
          </w:p>
        </w:tc>
      </w:tr>
      <w:tr w:rsidR="00D355D5" w14:paraId="5733DCD8"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695580A7" w14:textId="77777777" w:rsidR="00D355D5" w:rsidRDefault="00D355D5" w:rsidP="00282204">
            <w:r>
              <w:t>Lack of time</w:t>
            </w:r>
          </w:p>
        </w:tc>
        <w:tc>
          <w:tcPr>
            <w:tcW w:w="2500" w:type="pct"/>
          </w:tcPr>
          <w:p w14:paraId="10357437" w14:textId="77777777" w:rsidR="00D355D5" w:rsidRPr="0095257B" w:rsidRDefault="00D355D5" w:rsidP="00282204">
            <w:pPr>
              <w:spacing w:line="240" w:lineRule="auto"/>
              <w:jc w:val="both"/>
              <w:rPr>
                <w:rFonts w:hAnsiTheme="minorHAnsi" w:cstheme="minorHAnsi"/>
                <w:lang w:val="en-GB" w:eastAsia="en-GB"/>
              </w:rPr>
            </w:pPr>
            <w:r w:rsidRPr="0095257B">
              <w:rPr>
                <w:rFonts w:hAnsiTheme="minorHAnsi" w:cstheme="minorHAnsi"/>
                <w:lang w:val="en-GB" w:eastAsia="en-GB"/>
              </w:rPr>
              <w:t>I didn't have the time because I was so constrained by administrative and technical tasks.Ph1</w:t>
            </w:r>
          </w:p>
          <w:p w14:paraId="6DB82AE2" w14:textId="77777777" w:rsidR="00D355D5" w:rsidRPr="0095257B" w:rsidRDefault="00D355D5" w:rsidP="00282204">
            <w:pPr>
              <w:spacing w:line="240" w:lineRule="auto"/>
              <w:jc w:val="both"/>
              <w:rPr>
                <w:rFonts w:hAnsiTheme="minorHAnsi" w:cstheme="minorHAnsi"/>
                <w:lang w:val="en-GB" w:eastAsia="en-GB"/>
              </w:rPr>
            </w:pPr>
            <w:r w:rsidRPr="0095257B">
              <w:rPr>
                <w:rFonts w:hAnsiTheme="minorHAnsi" w:cstheme="minorHAnsi"/>
                <w:lang w:val="en-GB" w:eastAsia="en-GB"/>
              </w:rPr>
              <w:t>Pharmacies in PHCs did not provide clinical services for many reasons: overwork, no time, and lack of qualified pharmacists.Ph1</w:t>
            </w:r>
          </w:p>
          <w:p w14:paraId="4D521630" w14:textId="77777777" w:rsidR="00D355D5" w:rsidRPr="0095257B" w:rsidRDefault="00D355D5" w:rsidP="00282204">
            <w:pPr>
              <w:spacing w:line="240" w:lineRule="auto"/>
              <w:jc w:val="both"/>
              <w:rPr>
                <w:rFonts w:hAnsiTheme="minorHAnsi" w:cstheme="minorHAnsi"/>
                <w:lang w:val="en-GB" w:eastAsia="en-GB"/>
              </w:rPr>
            </w:pPr>
            <w:r w:rsidRPr="0095257B">
              <w:rPr>
                <w:rFonts w:hAnsiTheme="minorHAnsi" w:cstheme="minorHAnsi"/>
                <w:lang w:val="en-GB" w:eastAsia="en-GB"/>
              </w:rPr>
              <w:t>Also, we as pharmacists worked alone in the PHC; we didn't have time to counsel and educate the patient or intervene well with the patient treatment plan if there is a queue of patients waiting in front of the window to dispense their medicines.Ph2</w:t>
            </w:r>
          </w:p>
          <w:p w14:paraId="612A1377" w14:textId="77777777" w:rsidR="00D355D5" w:rsidRDefault="00D355D5" w:rsidP="00282204">
            <w:pPr>
              <w:spacing w:line="240" w:lineRule="auto"/>
              <w:jc w:val="both"/>
              <w:rPr>
                <w:rFonts w:hAnsiTheme="minorHAnsi" w:cstheme="minorHAnsi"/>
                <w:lang w:val="en-GB" w:eastAsia="en-GB"/>
              </w:rPr>
            </w:pPr>
            <w:r w:rsidRPr="0095257B">
              <w:rPr>
                <w:rFonts w:hAnsiTheme="minorHAnsi" w:cstheme="minorHAnsi"/>
                <w:lang w:val="en-GB" w:eastAsia="en-GB"/>
              </w:rPr>
              <w:t xml:space="preserve">A pharmacist who works alone in a PHC has to do a lot of work regarding statistics, recording the number of medications and ordering medications. So working alone is a barrier because there is no time to do all these tasks, and they have to be sent monthly or at a specific time, but for me, I have to focus on the patients first of all and provide safe and effective medication to the patients. </w:t>
            </w:r>
            <w:r>
              <w:rPr>
                <w:rFonts w:hAnsiTheme="minorHAnsi" w:cstheme="minorHAnsi"/>
                <w:lang w:val="en-GB" w:eastAsia="en-GB"/>
              </w:rPr>
              <w:t>Ph2</w:t>
            </w:r>
          </w:p>
          <w:p w14:paraId="2639A8E1" w14:textId="77777777" w:rsidR="00D355D5" w:rsidRPr="0060492B" w:rsidRDefault="00D355D5" w:rsidP="00282204">
            <w:pPr>
              <w:spacing w:line="240" w:lineRule="auto"/>
              <w:jc w:val="both"/>
              <w:rPr>
                <w:rFonts w:hAnsiTheme="minorHAnsi" w:cstheme="minorHAnsi"/>
                <w:lang w:val="en-GB" w:eastAsia="en-GB"/>
              </w:rPr>
            </w:pPr>
            <w:r w:rsidRPr="0060492B">
              <w:rPr>
                <w:rFonts w:hAnsiTheme="minorHAnsi" w:cstheme="minorHAnsi"/>
                <w:lang w:val="en-GB" w:eastAsia="en-GB"/>
              </w:rPr>
              <w:t>I do not have time to do education (self-learning or have continuous education).Ph3</w:t>
            </w:r>
          </w:p>
        </w:tc>
        <w:tc>
          <w:tcPr>
            <w:tcW w:w="500" w:type="pct"/>
          </w:tcPr>
          <w:p w14:paraId="0D1081C1" w14:textId="77777777" w:rsidR="00D355D5" w:rsidRDefault="00D355D5" w:rsidP="00282204">
            <w:pPr>
              <w:pStyle w:val="RightAlign"/>
            </w:pPr>
            <w:r>
              <w:t>3</w:t>
            </w:r>
          </w:p>
        </w:tc>
        <w:tc>
          <w:tcPr>
            <w:tcW w:w="500" w:type="pct"/>
          </w:tcPr>
          <w:p w14:paraId="4D4E7D90" w14:textId="77777777" w:rsidR="00D355D5" w:rsidRDefault="00D355D5" w:rsidP="00282204">
            <w:pPr>
              <w:pStyle w:val="RightAlign"/>
            </w:pPr>
            <w:r>
              <w:t>4</w:t>
            </w:r>
          </w:p>
        </w:tc>
      </w:tr>
      <w:tr w:rsidR="00D355D5" w14:paraId="376B16FF"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7BAC3B02" w14:textId="77777777" w:rsidR="00D355D5" w:rsidRDefault="00D355D5" w:rsidP="00282204">
            <w:r>
              <w:t>Lack of clinical training</w:t>
            </w:r>
          </w:p>
        </w:tc>
        <w:tc>
          <w:tcPr>
            <w:tcW w:w="2500" w:type="pct"/>
          </w:tcPr>
          <w:p w14:paraId="1960B530" w14:textId="77777777" w:rsidR="00D355D5" w:rsidRPr="0095257B" w:rsidRDefault="00D355D5" w:rsidP="00282204">
            <w:pPr>
              <w:spacing w:line="240" w:lineRule="auto"/>
              <w:rPr>
                <w:rFonts w:hAnsiTheme="minorHAnsi" w:cstheme="minorHAnsi"/>
                <w:lang w:val="en-GB" w:eastAsia="en-GB"/>
              </w:rPr>
            </w:pPr>
            <w:r w:rsidRPr="0095257B">
              <w:rPr>
                <w:rFonts w:hAnsiTheme="minorHAnsi" w:cstheme="minorHAnsi"/>
                <w:lang w:val="en-GB" w:eastAsia="en-GB"/>
              </w:rPr>
              <w:t>I would like to add one more thing. For the pharmacist’s role to be effective, they must undergo extensive training to be able to provide clinical services, for example, knowing how to read lab results and providing the best recommendations based on them. These things were not practised in the centres. A pharmacist needs intensive specialized training of at least 6 months to provide clinical services to patients.Ph1</w:t>
            </w:r>
          </w:p>
          <w:p w14:paraId="2E13B6D9" w14:textId="77777777" w:rsidR="00D355D5" w:rsidRPr="0095257B" w:rsidRDefault="00D355D5" w:rsidP="00282204">
            <w:pPr>
              <w:spacing w:line="240" w:lineRule="auto"/>
              <w:rPr>
                <w:rFonts w:hAnsiTheme="minorHAnsi" w:cstheme="minorHAnsi"/>
                <w:lang w:val="en-GB" w:eastAsia="en-GB"/>
              </w:rPr>
            </w:pPr>
            <w:r w:rsidRPr="0095257B">
              <w:rPr>
                <w:rFonts w:hAnsiTheme="minorHAnsi" w:cstheme="minorHAnsi"/>
              </w:rPr>
              <w:t>The lack of clinical pharmacists in the PHCs is a barrierPh3</w:t>
            </w:r>
          </w:p>
        </w:tc>
        <w:tc>
          <w:tcPr>
            <w:tcW w:w="500" w:type="pct"/>
          </w:tcPr>
          <w:p w14:paraId="455A7674" w14:textId="77777777" w:rsidR="00D355D5" w:rsidRDefault="00D355D5" w:rsidP="00282204">
            <w:pPr>
              <w:pStyle w:val="RightAlign"/>
            </w:pPr>
            <w:r>
              <w:t>2</w:t>
            </w:r>
          </w:p>
        </w:tc>
        <w:tc>
          <w:tcPr>
            <w:tcW w:w="500" w:type="pct"/>
          </w:tcPr>
          <w:p w14:paraId="3A7F0EE4" w14:textId="77777777" w:rsidR="00D355D5" w:rsidRDefault="00D355D5" w:rsidP="00282204">
            <w:pPr>
              <w:pStyle w:val="RightAlign"/>
            </w:pPr>
            <w:r>
              <w:t>3</w:t>
            </w:r>
          </w:p>
        </w:tc>
      </w:tr>
      <w:tr w:rsidR="00D355D5" w14:paraId="02C06B0D"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225E0A22" w14:textId="77777777" w:rsidR="00D355D5" w:rsidRDefault="00D355D5" w:rsidP="00282204">
            <w:r>
              <w:t xml:space="preserve">Communication skill </w:t>
            </w:r>
          </w:p>
        </w:tc>
        <w:tc>
          <w:tcPr>
            <w:tcW w:w="2500" w:type="pct"/>
          </w:tcPr>
          <w:p w14:paraId="0CB7777F" w14:textId="77777777" w:rsidR="00D355D5" w:rsidRPr="0095257B" w:rsidRDefault="00D355D5" w:rsidP="00282204">
            <w:pPr>
              <w:spacing w:line="240" w:lineRule="auto"/>
              <w:jc w:val="both"/>
              <w:rPr>
                <w:rFonts w:hAnsiTheme="minorHAnsi" w:cstheme="minorHAnsi"/>
                <w:lang w:val="en-GB" w:eastAsia="en-GB"/>
              </w:rPr>
            </w:pPr>
            <w:r w:rsidRPr="0095257B">
              <w:rPr>
                <w:rFonts w:hAnsiTheme="minorHAnsi" w:cstheme="minorHAnsi"/>
                <w:lang w:val="en-GB" w:eastAsia="en-GB"/>
              </w:rPr>
              <w:t>And this thing also depends on the pharmacist when he has good knowledge, which is a powerful weapon for him/her, so when conducting a discussion with doctors will be based on a scientific basis and not a personal opinion.</w:t>
            </w:r>
            <w:r>
              <w:rPr>
                <w:rFonts w:hAnsiTheme="minorHAnsi" w:cstheme="minorHAnsi"/>
                <w:lang w:val="en-GB" w:eastAsia="en-GB"/>
              </w:rPr>
              <w:t>Ph3</w:t>
            </w:r>
          </w:p>
        </w:tc>
        <w:tc>
          <w:tcPr>
            <w:tcW w:w="500" w:type="pct"/>
          </w:tcPr>
          <w:p w14:paraId="756FFF00" w14:textId="77777777" w:rsidR="00D355D5" w:rsidRDefault="00D355D5" w:rsidP="00282204">
            <w:pPr>
              <w:pStyle w:val="RightAlign"/>
            </w:pPr>
            <w:r>
              <w:t>1</w:t>
            </w:r>
          </w:p>
        </w:tc>
        <w:tc>
          <w:tcPr>
            <w:tcW w:w="500" w:type="pct"/>
          </w:tcPr>
          <w:p w14:paraId="6496A838" w14:textId="77777777" w:rsidR="00D355D5" w:rsidRDefault="00D355D5" w:rsidP="00282204">
            <w:pPr>
              <w:pStyle w:val="RightAlign"/>
            </w:pPr>
            <w:r>
              <w:t>1</w:t>
            </w:r>
          </w:p>
        </w:tc>
      </w:tr>
      <w:tr w:rsidR="00D355D5" w14:paraId="14764CD2"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2AD78B1F" w14:textId="77777777" w:rsidR="00D355D5" w:rsidRDefault="00D355D5" w:rsidP="00282204">
            <w:r>
              <w:t xml:space="preserve">Lack of postgraduate programmes for pharmacists  </w:t>
            </w:r>
          </w:p>
        </w:tc>
        <w:tc>
          <w:tcPr>
            <w:tcW w:w="2500" w:type="pct"/>
          </w:tcPr>
          <w:p w14:paraId="2A00DCFD" w14:textId="77777777" w:rsidR="00D355D5" w:rsidRPr="00C14A16" w:rsidRDefault="00D355D5" w:rsidP="00282204">
            <w:pPr>
              <w:spacing w:line="240" w:lineRule="auto"/>
              <w:jc w:val="both"/>
              <w:rPr>
                <w:rFonts w:hAnsiTheme="minorHAnsi" w:cstheme="minorHAnsi"/>
                <w:lang w:val="en-GB" w:eastAsia="en-GB"/>
              </w:rPr>
            </w:pPr>
            <w:r w:rsidRPr="00C14A16">
              <w:rPr>
                <w:rFonts w:hAnsiTheme="minorHAnsi" w:cstheme="minorHAnsi"/>
                <w:lang w:val="en-GB" w:eastAsia="en-GB"/>
              </w:rPr>
              <w:t>Yeah, this is my hope to be a specialised pharmacist, certified diabetes educator, as we are lacking in that, and I believe this will play an important role in better patient health outcomes.</w:t>
            </w:r>
            <w:r>
              <w:rPr>
                <w:rFonts w:hAnsiTheme="minorHAnsi" w:cstheme="minorHAnsi"/>
                <w:lang w:val="en-GB" w:eastAsia="en-GB"/>
              </w:rPr>
              <w:t xml:space="preserve"> Ph2</w:t>
            </w:r>
          </w:p>
          <w:p w14:paraId="7E2A8D47" w14:textId="77777777" w:rsidR="00D355D5" w:rsidRPr="000C592F" w:rsidRDefault="00D355D5" w:rsidP="00282204">
            <w:pPr>
              <w:spacing w:line="240" w:lineRule="auto"/>
              <w:jc w:val="both"/>
              <w:rPr>
                <w:rFonts w:hAnsiTheme="minorHAnsi" w:cstheme="minorHAnsi"/>
                <w:lang w:val="en-GB" w:eastAsia="en-GB"/>
              </w:rPr>
            </w:pPr>
            <w:r w:rsidRPr="00C14A16">
              <w:rPr>
                <w:rFonts w:hAnsiTheme="minorHAnsi" w:cstheme="minorHAnsi"/>
                <w:lang w:val="en-GB" w:eastAsia="en-GB"/>
              </w:rPr>
              <w:t>I meant is a certified programme that gives you a license as a specialist practitioner such as a diploma or postgraduate programme in a specific discipline. When you are a certified or licensed pharmacist in a particular speciality, this gives you an opportunity to enforce yourself and ask, for example, for an office to provide this service.</w:t>
            </w:r>
            <w:r>
              <w:rPr>
                <w:rFonts w:hAnsiTheme="minorHAnsi" w:cstheme="minorHAnsi"/>
                <w:lang w:val="en-GB" w:eastAsia="en-GB"/>
              </w:rPr>
              <w:t xml:space="preserve"> Ph2</w:t>
            </w:r>
          </w:p>
        </w:tc>
        <w:tc>
          <w:tcPr>
            <w:tcW w:w="500" w:type="pct"/>
          </w:tcPr>
          <w:p w14:paraId="417AE5E9" w14:textId="77777777" w:rsidR="00D355D5" w:rsidRDefault="00D355D5" w:rsidP="00282204">
            <w:pPr>
              <w:pStyle w:val="RightAlign"/>
            </w:pPr>
            <w:r>
              <w:t>1</w:t>
            </w:r>
          </w:p>
        </w:tc>
        <w:tc>
          <w:tcPr>
            <w:tcW w:w="500" w:type="pct"/>
          </w:tcPr>
          <w:p w14:paraId="22D30512" w14:textId="77777777" w:rsidR="00D355D5" w:rsidRDefault="00D355D5" w:rsidP="00282204">
            <w:pPr>
              <w:pStyle w:val="RightAlign"/>
            </w:pPr>
            <w:r>
              <w:t>2</w:t>
            </w:r>
          </w:p>
        </w:tc>
      </w:tr>
      <w:tr w:rsidR="00D355D5" w14:paraId="7B6E7D5B"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196DE07E" w14:textId="77777777" w:rsidR="00D355D5" w:rsidRDefault="00D355D5" w:rsidP="00282204">
            <w:r>
              <w:t>legislation</w:t>
            </w:r>
          </w:p>
        </w:tc>
        <w:tc>
          <w:tcPr>
            <w:tcW w:w="2500" w:type="pct"/>
          </w:tcPr>
          <w:p w14:paraId="274A1133" w14:textId="77777777" w:rsidR="00D355D5" w:rsidRPr="000C592F" w:rsidRDefault="00D355D5" w:rsidP="00282204">
            <w:pPr>
              <w:spacing w:line="240" w:lineRule="auto"/>
              <w:jc w:val="both"/>
              <w:rPr>
                <w:rFonts w:hAnsiTheme="minorHAnsi" w:cstheme="minorHAnsi"/>
              </w:rPr>
            </w:pPr>
            <w:r w:rsidRPr="000C592F">
              <w:rPr>
                <w:rFonts w:hAnsiTheme="minorHAnsi" w:cstheme="minorHAnsi"/>
              </w:rPr>
              <w:t>putting the rules will solve the problem, you know advising the service the education to be apart of the basic package beneficially package I think it would also solve a big problem because putting a rule will dissolve any discrimination I think if it is there.</w:t>
            </w:r>
            <w:r>
              <w:rPr>
                <w:rFonts w:hAnsiTheme="minorHAnsi" w:cstheme="minorHAnsi"/>
              </w:rPr>
              <w:t xml:space="preserve"> </w:t>
            </w:r>
            <w:r w:rsidRPr="000C592F">
              <w:rPr>
                <w:rFonts w:hAnsiTheme="minorHAnsi" w:cstheme="minorHAnsi"/>
              </w:rPr>
              <w:t>D2</w:t>
            </w:r>
          </w:p>
          <w:p w14:paraId="5F8299AF" w14:textId="77777777" w:rsidR="00D355D5" w:rsidRPr="000C592F" w:rsidRDefault="00D355D5" w:rsidP="00282204">
            <w:pPr>
              <w:spacing w:line="240" w:lineRule="auto"/>
              <w:jc w:val="both"/>
              <w:rPr>
                <w:rFonts w:hAnsiTheme="minorHAnsi" w:cstheme="minorHAnsi"/>
                <w:lang w:val="en-GB" w:eastAsia="en-GB"/>
              </w:rPr>
            </w:pPr>
            <w:r w:rsidRPr="000C592F">
              <w:rPr>
                <w:rFonts w:hAnsiTheme="minorHAnsi" w:cstheme="minorHAnsi"/>
                <w:lang w:val="en-GB" w:eastAsia="en-GB"/>
              </w:rPr>
              <w:t>In PHCs, the doctor is responsible for the entire treatment plan.</w:t>
            </w:r>
            <w:r>
              <w:rPr>
                <w:rFonts w:hAnsiTheme="minorHAnsi" w:cstheme="minorHAnsi"/>
                <w:lang w:val="en-GB" w:eastAsia="en-GB"/>
              </w:rPr>
              <w:t xml:space="preserve"> </w:t>
            </w:r>
            <w:r w:rsidRPr="000C592F">
              <w:rPr>
                <w:rFonts w:hAnsiTheme="minorHAnsi" w:cstheme="minorHAnsi"/>
                <w:lang w:val="en-GB" w:eastAsia="en-GB"/>
              </w:rPr>
              <w:t>Ph1</w:t>
            </w:r>
          </w:p>
          <w:p w14:paraId="304EA558" w14:textId="77777777" w:rsidR="00D355D5" w:rsidRPr="00F52848" w:rsidRDefault="00D355D5" w:rsidP="00282204">
            <w:pPr>
              <w:spacing w:line="240" w:lineRule="auto"/>
              <w:jc w:val="both"/>
              <w:rPr>
                <w:rFonts w:hAnsiTheme="minorHAnsi" w:cstheme="minorHAnsi"/>
              </w:rPr>
            </w:pPr>
            <w:r w:rsidRPr="000C592F">
              <w:rPr>
                <w:rFonts w:hAnsiTheme="minorHAnsi" w:cstheme="minorHAnsi"/>
              </w:rPr>
              <w:t>the system does not allow these services to be provided.  (legitimation)Ph3. Clinical services are not the duty of pharmacists as there were no clinical pharmacists in PHCs. Ph3</w:t>
            </w:r>
          </w:p>
        </w:tc>
        <w:tc>
          <w:tcPr>
            <w:tcW w:w="500" w:type="pct"/>
          </w:tcPr>
          <w:p w14:paraId="5429E17B" w14:textId="77777777" w:rsidR="00D355D5" w:rsidRDefault="00D355D5" w:rsidP="00282204">
            <w:pPr>
              <w:pStyle w:val="RightAlign"/>
            </w:pPr>
            <w:r>
              <w:t>3</w:t>
            </w:r>
          </w:p>
        </w:tc>
        <w:tc>
          <w:tcPr>
            <w:tcW w:w="500" w:type="pct"/>
          </w:tcPr>
          <w:p w14:paraId="65BC1495" w14:textId="77777777" w:rsidR="00D355D5" w:rsidRDefault="00D355D5" w:rsidP="00282204">
            <w:pPr>
              <w:pStyle w:val="RightAlign"/>
            </w:pPr>
            <w:r>
              <w:t>3</w:t>
            </w:r>
          </w:p>
        </w:tc>
      </w:tr>
      <w:tr w:rsidR="00D355D5" w14:paraId="65871597"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58CBF51B" w14:textId="77777777" w:rsidR="00D355D5" w:rsidRDefault="00D355D5" w:rsidP="00282204">
            <w:r>
              <w:t>Presence of a pharmacist in PHC</w:t>
            </w:r>
          </w:p>
        </w:tc>
        <w:tc>
          <w:tcPr>
            <w:tcW w:w="2500" w:type="pct"/>
          </w:tcPr>
          <w:p w14:paraId="23870020" w14:textId="77777777" w:rsidR="00D355D5" w:rsidRPr="00574039" w:rsidRDefault="00D355D5" w:rsidP="00282204">
            <w:pPr>
              <w:spacing w:line="240" w:lineRule="auto"/>
              <w:jc w:val="both"/>
              <w:rPr>
                <w:rFonts w:hAnsiTheme="minorHAnsi" w:cstheme="minorHAnsi"/>
                <w:lang w:val="en-GB" w:eastAsia="en-GB"/>
              </w:rPr>
            </w:pPr>
            <w:r w:rsidRPr="00574039">
              <w:rPr>
                <w:rFonts w:hAnsiTheme="minorHAnsi" w:cstheme="minorHAnsi"/>
                <w:lang w:val="en-GB" w:eastAsia="en-GB"/>
              </w:rPr>
              <w:t>closing all pharmacy services from PHCs and moving all pharmacy staff to work in hospitals Ph1</w:t>
            </w:r>
          </w:p>
          <w:p w14:paraId="0D1C9402" w14:textId="77777777" w:rsidR="00D355D5" w:rsidRPr="00574039" w:rsidRDefault="00D355D5" w:rsidP="00282204">
            <w:pPr>
              <w:spacing w:line="240" w:lineRule="auto"/>
              <w:jc w:val="both"/>
              <w:rPr>
                <w:rFonts w:hAnsiTheme="minorHAnsi" w:cstheme="minorHAnsi"/>
                <w:lang w:val="en-GB" w:eastAsia="en-GB"/>
              </w:rPr>
            </w:pPr>
            <w:r w:rsidRPr="00574039">
              <w:rPr>
                <w:rFonts w:hAnsiTheme="minorHAnsi" w:cstheme="minorHAnsi"/>
                <w:lang w:val="en-GB" w:eastAsia="en-GB"/>
              </w:rPr>
              <w:t>I have been moved from the PHC, but I believe that pharmacists can play an important and active role in patient care in PHC. Ph2</w:t>
            </w:r>
          </w:p>
          <w:p w14:paraId="1C66D60A" w14:textId="77777777" w:rsidR="00D355D5" w:rsidRPr="00574039" w:rsidRDefault="00D355D5" w:rsidP="00282204">
            <w:pPr>
              <w:spacing w:line="240" w:lineRule="auto"/>
              <w:jc w:val="both"/>
              <w:rPr>
                <w:rFonts w:hAnsiTheme="minorHAnsi" w:cstheme="minorHAnsi"/>
              </w:rPr>
            </w:pPr>
            <w:r w:rsidRPr="00574039">
              <w:rPr>
                <w:rFonts w:hAnsiTheme="minorHAnsi" w:cstheme="minorHAnsi"/>
              </w:rPr>
              <w:t>Unfortunately, the pharmacist's role is significantly reduced from the PHCs and shifted to hospitals during this period. All pharmacists were transferred to hospitals.Ph3</w:t>
            </w:r>
          </w:p>
          <w:p w14:paraId="302DF1C9" w14:textId="77777777" w:rsidR="00D355D5" w:rsidRPr="00574039" w:rsidRDefault="00D355D5" w:rsidP="00282204">
            <w:pPr>
              <w:spacing w:line="240" w:lineRule="auto"/>
              <w:jc w:val="both"/>
              <w:rPr>
                <w:rFonts w:hAnsiTheme="minorHAnsi" w:cstheme="minorHAnsi"/>
              </w:rPr>
            </w:pPr>
            <w:r w:rsidRPr="00574039">
              <w:rPr>
                <w:rFonts w:hAnsiTheme="minorHAnsi" w:cstheme="minorHAnsi"/>
              </w:rPr>
              <w:t>These patients now receive their medication from retail community pharmacies. That's why we were transferred to hospitals when the pharmacies in PHCs were closed. Ph3</w:t>
            </w:r>
          </w:p>
          <w:p w14:paraId="6DA16FAD" w14:textId="77777777" w:rsidR="00D355D5" w:rsidRPr="00574039" w:rsidRDefault="00D355D5" w:rsidP="00282204">
            <w:pPr>
              <w:spacing w:line="240" w:lineRule="auto"/>
              <w:jc w:val="both"/>
              <w:rPr>
                <w:rFonts w:hAnsiTheme="minorHAnsi" w:cstheme="minorHAnsi"/>
                <w:lang w:val="en-GB" w:eastAsia="en-GB"/>
              </w:rPr>
            </w:pPr>
            <w:r w:rsidRPr="00574039">
              <w:rPr>
                <w:rFonts w:hAnsiTheme="minorHAnsi" w:cstheme="minorHAnsi"/>
                <w:lang w:val="en-GB" w:eastAsia="en-GB"/>
              </w:rPr>
              <w:t>withdrawing all pharmacists from PHCs is an incorrect step from my point of view. The pharmacist's role in these centres is important, especially with the spread of chronic diseases and the development of services in the PHCs. Ph3</w:t>
            </w:r>
          </w:p>
          <w:p w14:paraId="654640DF" w14:textId="77777777" w:rsidR="00D355D5" w:rsidRPr="00574039" w:rsidRDefault="00D355D5" w:rsidP="00282204">
            <w:pPr>
              <w:spacing w:line="240" w:lineRule="auto"/>
              <w:jc w:val="both"/>
              <w:rPr>
                <w:rFonts w:hAnsiTheme="minorHAnsi" w:cstheme="minorHAnsi"/>
                <w:lang w:val="en-GB" w:eastAsia="en-GB"/>
              </w:rPr>
            </w:pPr>
            <w:r w:rsidRPr="00574039">
              <w:rPr>
                <w:rFonts w:hAnsiTheme="minorHAnsi" w:cstheme="minorHAnsi"/>
                <w:lang w:val="en-GB" w:eastAsia="en-GB"/>
              </w:rPr>
              <w:t>Currently no pharmacists work with us in PHC N1</w:t>
            </w:r>
          </w:p>
          <w:p w14:paraId="5333A31F" w14:textId="77777777" w:rsidR="00D355D5" w:rsidRPr="00574039" w:rsidRDefault="00D355D5" w:rsidP="00282204">
            <w:pPr>
              <w:spacing w:line="240" w:lineRule="auto"/>
              <w:jc w:val="both"/>
              <w:rPr>
                <w:rFonts w:hAnsiTheme="minorHAnsi" w:cstheme="minorHAnsi"/>
              </w:rPr>
            </w:pPr>
            <w:r w:rsidRPr="00574039">
              <w:rPr>
                <w:rFonts w:hAnsiTheme="minorHAnsi" w:cstheme="minorHAnsi"/>
              </w:rPr>
              <w:t>but now how can this be when there is no pharmacist in the centre?N2</w:t>
            </w:r>
          </w:p>
          <w:p w14:paraId="7F05BC9E" w14:textId="77777777" w:rsidR="00D355D5" w:rsidRPr="00574039" w:rsidRDefault="00D355D5" w:rsidP="00282204">
            <w:pPr>
              <w:spacing w:line="240" w:lineRule="auto"/>
              <w:jc w:val="both"/>
              <w:rPr>
                <w:rFonts w:hAnsiTheme="minorHAnsi" w:cstheme="minorHAnsi"/>
              </w:rPr>
            </w:pPr>
            <w:r w:rsidRPr="00574039">
              <w:rPr>
                <w:rFonts w:hAnsiTheme="minorHAnsi" w:cstheme="minorHAnsi"/>
              </w:rPr>
              <w:t>Unfortunately, this is no longer a thing as pharmacists have been moved to work in hospitals N3</w:t>
            </w:r>
          </w:p>
          <w:p w14:paraId="1A21E9DE" w14:textId="77777777" w:rsidR="00D355D5" w:rsidRPr="00574039" w:rsidRDefault="00D355D5" w:rsidP="00282204">
            <w:pPr>
              <w:spacing w:line="240" w:lineRule="auto"/>
              <w:jc w:val="both"/>
              <w:rPr>
                <w:rFonts w:hAnsiTheme="minorHAnsi" w:cstheme="minorHAnsi"/>
              </w:rPr>
            </w:pPr>
            <w:r w:rsidRPr="00574039">
              <w:rPr>
                <w:rFonts w:hAnsiTheme="minorHAnsi" w:cstheme="minorHAnsi"/>
              </w:rPr>
              <w:t>but currently, no pharmacists are working with us.N3</w:t>
            </w:r>
          </w:p>
          <w:p w14:paraId="2215B5DA" w14:textId="77777777" w:rsidR="00D355D5" w:rsidRPr="00574039" w:rsidRDefault="00D355D5" w:rsidP="00282204">
            <w:pPr>
              <w:spacing w:line="240" w:lineRule="auto"/>
              <w:jc w:val="both"/>
              <w:rPr>
                <w:rFonts w:hAnsiTheme="minorHAnsi" w:cstheme="minorHAnsi"/>
              </w:rPr>
            </w:pPr>
            <w:r w:rsidRPr="00574039">
              <w:rPr>
                <w:rFonts w:hAnsiTheme="minorHAnsi" w:cstheme="minorHAnsi"/>
              </w:rPr>
              <w:t>Currently, there are no pharmacists in PHCs N3</w:t>
            </w:r>
          </w:p>
          <w:p w14:paraId="35EE3B9F" w14:textId="77777777" w:rsidR="00D355D5" w:rsidRPr="00574039" w:rsidRDefault="00D355D5" w:rsidP="00282204">
            <w:pPr>
              <w:spacing w:line="240" w:lineRule="auto"/>
              <w:jc w:val="both"/>
              <w:rPr>
                <w:rFonts w:hAnsiTheme="minorHAnsi" w:cstheme="minorHAnsi"/>
                <w:lang w:val="en-GB" w:eastAsia="en-GB"/>
              </w:rPr>
            </w:pPr>
            <w:r w:rsidRPr="00574039">
              <w:rPr>
                <w:rFonts w:hAnsiTheme="minorHAnsi" w:cstheme="minorHAnsi"/>
                <w:lang w:val="en-GB" w:eastAsia="en-GB"/>
              </w:rPr>
              <w:t>with the current situation and changes that took place as a pharmacist is moved from the health centre N4</w:t>
            </w:r>
          </w:p>
        </w:tc>
        <w:tc>
          <w:tcPr>
            <w:tcW w:w="500" w:type="pct"/>
          </w:tcPr>
          <w:p w14:paraId="0F720AEC" w14:textId="77777777" w:rsidR="00D355D5" w:rsidRDefault="00D355D5" w:rsidP="00282204">
            <w:pPr>
              <w:pStyle w:val="RightAlign"/>
            </w:pPr>
            <w:r>
              <w:t>7</w:t>
            </w:r>
          </w:p>
        </w:tc>
        <w:tc>
          <w:tcPr>
            <w:tcW w:w="500" w:type="pct"/>
          </w:tcPr>
          <w:p w14:paraId="2519B024" w14:textId="77777777" w:rsidR="00D355D5" w:rsidRDefault="00D355D5" w:rsidP="00282204">
            <w:pPr>
              <w:pStyle w:val="RightAlign"/>
            </w:pPr>
            <w:r>
              <w:t>11</w:t>
            </w:r>
          </w:p>
        </w:tc>
      </w:tr>
      <w:tr w:rsidR="00D355D5" w14:paraId="19ACA230"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0A542AC2" w14:textId="77777777" w:rsidR="00D355D5" w:rsidRDefault="00D355D5" w:rsidP="00282204">
            <w:r>
              <w:t xml:space="preserve">Lack of a role model </w:t>
            </w:r>
          </w:p>
        </w:tc>
        <w:tc>
          <w:tcPr>
            <w:tcW w:w="2500" w:type="pct"/>
          </w:tcPr>
          <w:p w14:paraId="59F91357" w14:textId="77777777" w:rsidR="00D355D5" w:rsidRPr="00574039" w:rsidRDefault="00D355D5" w:rsidP="00282204">
            <w:pPr>
              <w:spacing w:line="240" w:lineRule="auto"/>
              <w:jc w:val="both"/>
              <w:rPr>
                <w:rFonts w:hAnsiTheme="minorHAnsi" w:cstheme="minorHAnsi"/>
              </w:rPr>
            </w:pPr>
            <w:r w:rsidRPr="00574039">
              <w:rPr>
                <w:rFonts w:hAnsiTheme="minorHAnsi" w:cstheme="minorHAnsi"/>
              </w:rPr>
              <w:t>there is a big job needed by the newly graduated clinical pharmacist in order to change this stereotype picture I don't think it is only the legislation rather than the role model, we don't have a role model in the primary care, role of the clinical pharmacist we don't have role model D2</w:t>
            </w:r>
          </w:p>
        </w:tc>
        <w:tc>
          <w:tcPr>
            <w:tcW w:w="500" w:type="pct"/>
          </w:tcPr>
          <w:p w14:paraId="4367D9A8" w14:textId="77777777" w:rsidR="00D355D5" w:rsidRDefault="00D355D5" w:rsidP="00282204">
            <w:pPr>
              <w:pStyle w:val="RightAlign"/>
            </w:pPr>
            <w:r>
              <w:t>1</w:t>
            </w:r>
          </w:p>
        </w:tc>
        <w:tc>
          <w:tcPr>
            <w:tcW w:w="500" w:type="pct"/>
          </w:tcPr>
          <w:p w14:paraId="0215CED6" w14:textId="77777777" w:rsidR="00D355D5" w:rsidRDefault="00D355D5" w:rsidP="00282204">
            <w:pPr>
              <w:pStyle w:val="RightAlign"/>
            </w:pPr>
            <w:r>
              <w:t>1</w:t>
            </w:r>
          </w:p>
        </w:tc>
      </w:tr>
      <w:tr w:rsidR="00D355D5" w14:paraId="529C88E3"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0ED6D8FE" w14:textId="77777777" w:rsidR="00D355D5" w:rsidRDefault="00D355D5" w:rsidP="00282204">
            <w:r>
              <w:t>The system in PHC</w:t>
            </w:r>
          </w:p>
        </w:tc>
        <w:tc>
          <w:tcPr>
            <w:tcW w:w="2500" w:type="pct"/>
          </w:tcPr>
          <w:p w14:paraId="634F52AD" w14:textId="77777777" w:rsidR="00D355D5" w:rsidRPr="00441D98" w:rsidRDefault="00D355D5" w:rsidP="00282204">
            <w:pPr>
              <w:spacing w:line="240" w:lineRule="auto"/>
              <w:jc w:val="both"/>
              <w:rPr>
                <w:rFonts w:hAnsiTheme="minorHAnsi" w:cstheme="minorHAnsi"/>
                <w:lang w:eastAsia="en-GB"/>
              </w:rPr>
            </w:pPr>
            <w:r w:rsidRPr="00441D98">
              <w:rPr>
                <w:rFonts w:hAnsiTheme="minorHAnsi" w:cstheme="minorHAnsi"/>
                <w:lang w:eastAsia="en-GB"/>
              </w:rPr>
              <w:t>whereas in the PHCs where I previously worked, there is no clear system that allows the pharmacist to stop dispensing the Rx. The doctor forces the pharmacist to dispense the Rx even if there is a medication error. The pharmacist is, in this case, obliged to dispense the prescription to the patient waiting at the window and resolve any prescribing errors later if there is an opportunity to do so. Ph1</w:t>
            </w:r>
          </w:p>
          <w:p w14:paraId="75239ED8" w14:textId="77777777" w:rsidR="00D355D5" w:rsidRPr="00441D98" w:rsidRDefault="00D355D5" w:rsidP="00282204">
            <w:pPr>
              <w:spacing w:line="240" w:lineRule="auto"/>
              <w:rPr>
                <w:rFonts w:hAnsiTheme="minorHAnsi" w:cstheme="minorHAnsi"/>
                <w:lang w:val="en-GB" w:eastAsia="en-GB"/>
              </w:rPr>
            </w:pPr>
            <w:r w:rsidRPr="00441D98">
              <w:rPr>
                <w:rFonts w:hAnsiTheme="minorHAnsi" w:cstheme="minorHAnsi"/>
                <w:lang w:val="en-GB" w:eastAsia="en-GB"/>
              </w:rPr>
              <w:t>Doctors in primary care centres are only responsible for making a treatment plan for patients.Ph1</w:t>
            </w:r>
          </w:p>
          <w:p w14:paraId="7291C92A" w14:textId="77777777" w:rsidR="00D355D5" w:rsidRPr="00573C0C" w:rsidRDefault="00D355D5" w:rsidP="00282204">
            <w:pPr>
              <w:spacing w:line="240" w:lineRule="auto"/>
              <w:jc w:val="both"/>
              <w:rPr>
                <w:rFonts w:hAnsiTheme="minorHAnsi" w:cstheme="minorHAnsi"/>
              </w:rPr>
            </w:pPr>
            <w:r w:rsidRPr="00441D98">
              <w:rPr>
                <w:rFonts w:hAnsiTheme="minorHAnsi" w:cstheme="minorHAnsi"/>
              </w:rPr>
              <w:t>Another thing, sometimes the pharmacist does not have the privilege/authority/power; he can't speak for them (his opinion is neither heard nor taken into account); Therefore, he does not feel willing/the desire to participate in this aspect (in patients’ management). I do not know how to explain this; aah, pause...So, he does not feel like participating in this aspect. Ph3</w:t>
            </w:r>
          </w:p>
        </w:tc>
        <w:tc>
          <w:tcPr>
            <w:tcW w:w="500" w:type="pct"/>
          </w:tcPr>
          <w:p w14:paraId="5DDF4478" w14:textId="77777777" w:rsidR="00D355D5" w:rsidRDefault="00D355D5" w:rsidP="00282204">
            <w:pPr>
              <w:pStyle w:val="RightAlign"/>
            </w:pPr>
            <w:r>
              <w:t>2</w:t>
            </w:r>
          </w:p>
        </w:tc>
        <w:tc>
          <w:tcPr>
            <w:tcW w:w="500" w:type="pct"/>
          </w:tcPr>
          <w:p w14:paraId="5952A54E" w14:textId="77777777" w:rsidR="00D355D5" w:rsidRDefault="00D355D5" w:rsidP="00282204">
            <w:pPr>
              <w:pStyle w:val="RightAlign"/>
            </w:pPr>
            <w:r>
              <w:t>3</w:t>
            </w:r>
          </w:p>
        </w:tc>
      </w:tr>
      <w:tr w:rsidR="00D355D5" w14:paraId="039D4BD3"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5A3C475A" w14:textId="77777777" w:rsidR="00D355D5" w:rsidRDefault="00D355D5" w:rsidP="00282204">
            <w:r>
              <w:t>Work environment in PHC</w:t>
            </w:r>
          </w:p>
        </w:tc>
        <w:tc>
          <w:tcPr>
            <w:tcW w:w="2500" w:type="pct"/>
          </w:tcPr>
          <w:p w14:paraId="558A2E32" w14:textId="77777777" w:rsidR="00D355D5" w:rsidRPr="00441D98" w:rsidRDefault="00D355D5" w:rsidP="00632ED7">
            <w:pPr>
              <w:spacing w:line="240" w:lineRule="auto"/>
              <w:jc w:val="both"/>
              <w:rPr>
                <w:rFonts w:hAnsiTheme="minorHAnsi" w:cstheme="minorHAnsi"/>
                <w:lang w:val="en-GB" w:eastAsia="en-GB"/>
              </w:rPr>
            </w:pPr>
            <w:r w:rsidRPr="00441D98">
              <w:rPr>
                <w:rFonts w:hAnsiTheme="minorHAnsi" w:cstheme="minorHAnsi"/>
                <w:lang w:val="en-GB" w:eastAsia="en-GB"/>
              </w:rPr>
              <w:t>Doctors in primary care centres are only responsible for making a treatment plan for patients.Ph1</w:t>
            </w:r>
          </w:p>
          <w:p w14:paraId="311B2096" w14:textId="77777777" w:rsidR="00D355D5" w:rsidRPr="00441D98" w:rsidRDefault="00D355D5" w:rsidP="00282204">
            <w:pPr>
              <w:spacing w:line="240" w:lineRule="auto"/>
              <w:jc w:val="both"/>
              <w:rPr>
                <w:rFonts w:hAnsiTheme="minorHAnsi" w:cstheme="minorHAnsi"/>
                <w:lang w:val="en-GB" w:eastAsia="en-GB"/>
              </w:rPr>
            </w:pPr>
            <w:r w:rsidRPr="00441D98">
              <w:rPr>
                <w:rFonts w:hAnsiTheme="minorHAnsi" w:cstheme="minorHAnsi"/>
                <w:lang w:val="en-GB" w:eastAsia="en-GB"/>
              </w:rPr>
              <w:t>I served in PHCs several years and did not learn as much as I did in a year of working in the hospital. My information about medication has enriched this year, so now, my evaluation of the treatment plan is completely different from my previous experience working in PHCs. Now, I feel that I am practising my actual role as a pharmacist.Ph1</w:t>
            </w:r>
          </w:p>
          <w:p w14:paraId="78BDEDF6" w14:textId="77777777" w:rsidR="00D355D5" w:rsidRPr="00441D98" w:rsidRDefault="00D355D5" w:rsidP="00282204">
            <w:pPr>
              <w:spacing w:line="240" w:lineRule="auto"/>
              <w:jc w:val="both"/>
              <w:rPr>
                <w:rFonts w:hAnsiTheme="minorHAnsi" w:cstheme="minorHAnsi"/>
                <w:lang w:val="en-GB" w:eastAsia="en-GB"/>
              </w:rPr>
            </w:pPr>
            <w:r w:rsidRPr="00441D98">
              <w:rPr>
                <w:rFonts w:hAnsiTheme="minorHAnsi" w:cstheme="minorHAnsi"/>
                <w:lang w:val="en-GB" w:eastAsia="en-GB"/>
              </w:rPr>
              <w:t>The role of the pharmacist in PHCs should be expanded to provide patient-centred services. The role of the pharmacy should be clearly defined for the medical team. We studied Therapeutic at the University, and any pharmacist would hope to apply what he learned, but the work environment in PHCs was not encouraging to practise the clinical role. In addition, there was no support system for it.Ph1</w:t>
            </w:r>
          </w:p>
          <w:p w14:paraId="295EDD8C" w14:textId="77777777" w:rsidR="00D355D5" w:rsidRPr="00441D98" w:rsidRDefault="00D355D5" w:rsidP="00282204">
            <w:pPr>
              <w:spacing w:line="240" w:lineRule="auto"/>
              <w:jc w:val="both"/>
              <w:rPr>
                <w:rFonts w:hAnsiTheme="minorHAnsi" w:cstheme="minorHAnsi"/>
              </w:rPr>
            </w:pPr>
            <w:r w:rsidRPr="00441D98">
              <w:rPr>
                <w:rFonts w:hAnsiTheme="minorHAnsi" w:cstheme="minorHAnsi"/>
              </w:rPr>
              <w:t>I'm one of the people who didn't listen to me when I was working in the PHC, as I demanded to have a library in the PHC. When I was working in the hospital, and before working hours began, I would go to the library, read, and then go to work. I asked for this, but no one listened to me.Ph3</w:t>
            </w:r>
          </w:p>
          <w:p w14:paraId="3765FBFB" w14:textId="77777777" w:rsidR="00D355D5" w:rsidRPr="00441D98" w:rsidRDefault="00D355D5" w:rsidP="00282204">
            <w:pPr>
              <w:spacing w:line="240" w:lineRule="auto"/>
              <w:jc w:val="both"/>
              <w:rPr>
                <w:rFonts w:hAnsiTheme="minorHAnsi" w:cstheme="minorHAnsi"/>
                <w:lang w:eastAsia="en-GB"/>
              </w:rPr>
            </w:pPr>
          </w:p>
          <w:p w14:paraId="5E80A7E5" w14:textId="77777777" w:rsidR="00D355D5" w:rsidRPr="00441D98" w:rsidRDefault="00D355D5" w:rsidP="00282204">
            <w:pPr>
              <w:bidi/>
              <w:spacing w:line="240" w:lineRule="auto"/>
              <w:ind w:left="360"/>
              <w:jc w:val="both"/>
              <w:rPr>
                <w:rFonts w:hAnsiTheme="minorHAnsi" w:cstheme="minorHAnsi"/>
                <w:lang w:val="en-GB" w:eastAsia="en-GB"/>
              </w:rPr>
            </w:pPr>
          </w:p>
          <w:p w14:paraId="08B5E29F" w14:textId="77777777" w:rsidR="00D355D5" w:rsidRPr="00441D98" w:rsidRDefault="00D355D5" w:rsidP="00282204">
            <w:pPr>
              <w:spacing w:line="240" w:lineRule="auto"/>
              <w:jc w:val="both"/>
              <w:rPr>
                <w:rFonts w:hAnsiTheme="minorHAnsi" w:cstheme="minorHAnsi"/>
                <w:lang w:val="en-GB"/>
              </w:rPr>
            </w:pPr>
          </w:p>
        </w:tc>
        <w:tc>
          <w:tcPr>
            <w:tcW w:w="500" w:type="pct"/>
          </w:tcPr>
          <w:p w14:paraId="44C3ACDA" w14:textId="77777777" w:rsidR="00D355D5" w:rsidRDefault="00D355D5" w:rsidP="00282204">
            <w:pPr>
              <w:pStyle w:val="RightAlign"/>
            </w:pPr>
            <w:r>
              <w:t>6</w:t>
            </w:r>
          </w:p>
        </w:tc>
        <w:tc>
          <w:tcPr>
            <w:tcW w:w="500" w:type="pct"/>
          </w:tcPr>
          <w:p w14:paraId="21CAFECA" w14:textId="77777777" w:rsidR="00D355D5" w:rsidRDefault="00D355D5" w:rsidP="00282204">
            <w:pPr>
              <w:pStyle w:val="RightAlign"/>
            </w:pPr>
            <w:r>
              <w:t>6</w:t>
            </w:r>
          </w:p>
        </w:tc>
      </w:tr>
      <w:tr w:rsidR="00D355D5" w14:paraId="5CD93057"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44729938" w14:textId="77777777" w:rsidR="00D355D5" w:rsidRDefault="00D355D5" w:rsidP="00282204">
            <w:r>
              <w:t xml:space="preserve">Policies and procedures </w:t>
            </w:r>
          </w:p>
        </w:tc>
        <w:tc>
          <w:tcPr>
            <w:tcW w:w="2500" w:type="pct"/>
          </w:tcPr>
          <w:p w14:paraId="7B6CE2B1" w14:textId="77777777" w:rsidR="00D355D5" w:rsidRDefault="00D355D5" w:rsidP="00282204">
            <w:pPr>
              <w:spacing w:line="240" w:lineRule="auto"/>
              <w:ind w:left="54"/>
              <w:jc w:val="both"/>
              <w:rPr>
                <w:rFonts w:hAnsiTheme="minorHAnsi" w:cstheme="minorHAnsi"/>
                <w:lang w:val="en-GB" w:eastAsia="en-GB"/>
              </w:rPr>
            </w:pPr>
            <w:r w:rsidRPr="0039246A">
              <w:rPr>
                <w:rFonts w:hAnsiTheme="minorHAnsi" w:cstheme="minorHAnsi"/>
                <w:lang w:val="en-GB" w:eastAsia="en-GB"/>
              </w:rPr>
              <w:t>The role of pharmacists was limited. There was no protocol, no policy or procedures to enforce this, and no document (guidelines) that said a pharmacist should do these things. The situation depended on the pharmacist and his initiative in providing services to the patient other than dispensing treatment. Some explain to the patient, for example, the side effects, but not routinely and not for all patients.’ N1</w:t>
            </w:r>
          </w:p>
          <w:p w14:paraId="1B4188FA" w14:textId="77777777" w:rsidR="00D355D5" w:rsidRPr="00DB3010" w:rsidRDefault="00D355D5" w:rsidP="00282204">
            <w:pPr>
              <w:rPr>
                <w:rFonts w:ascii="Gill Sans MT" w:hAnsi="Gill Sans MT"/>
                <w:sz w:val="24"/>
                <w:szCs w:val="24"/>
                <w:lang w:val="en-GB" w:eastAsia="en-GB"/>
              </w:rPr>
            </w:pPr>
            <w:r w:rsidRPr="00DB3010">
              <w:rPr>
                <w:rFonts w:hAnsiTheme="minorHAnsi" w:cstheme="minorHAnsi"/>
                <w:lang w:val="en-GB" w:eastAsia="en-GB"/>
              </w:rPr>
              <w:t>However, nothing is written about the involvement of pharmacists in the treatment plan for each newly diagnosed patient.</w:t>
            </w:r>
            <w:r>
              <w:rPr>
                <w:rFonts w:hAnsiTheme="minorHAnsi" w:cstheme="minorHAnsi"/>
                <w:lang w:val="en-GB" w:eastAsia="en-GB"/>
              </w:rPr>
              <w:t xml:space="preserve"> </w:t>
            </w:r>
            <w:r w:rsidRPr="00DB3010">
              <w:rPr>
                <w:rFonts w:hAnsiTheme="minorHAnsi" w:cstheme="minorHAnsi"/>
                <w:lang w:val="en-GB" w:eastAsia="en-GB"/>
              </w:rPr>
              <w:t>Ph2</w:t>
            </w:r>
          </w:p>
        </w:tc>
        <w:tc>
          <w:tcPr>
            <w:tcW w:w="500" w:type="pct"/>
          </w:tcPr>
          <w:p w14:paraId="3C30AF38" w14:textId="77777777" w:rsidR="00D355D5" w:rsidRDefault="00D355D5" w:rsidP="00282204">
            <w:pPr>
              <w:pStyle w:val="RightAlign"/>
            </w:pPr>
            <w:r>
              <w:t>2</w:t>
            </w:r>
          </w:p>
        </w:tc>
        <w:tc>
          <w:tcPr>
            <w:tcW w:w="500" w:type="pct"/>
          </w:tcPr>
          <w:p w14:paraId="32BECD5D" w14:textId="77777777" w:rsidR="00D355D5" w:rsidRDefault="00D355D5" w:rsidP="00282204">
            <w:pPr>
              <w:pStyle w:val="RightAlign"/>
            </w:pPr>
            <w:r>
              <w:t>2</w:t>
            </w:r>
          </w:p>
        </w:tc>
      </w:tr>
      <w:tr w:rsidR="00D355D5" w14:paraId="3E0CA91D"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1320655B" w14:textId="77777777" w:rsidR="00D355D5" w:rsidRDefault="00D355D5" w:rsidP="00282204">
            <w:r>
              <w:t>Workload</w:t>
            </w:r>
          </w:p>
        </w:tc>
        <w:tc>
          <w:tcPr>
            <w:tcW w:w="2500" w:type="pct"/>
          </w:tcPr>
          <w:p w14:paraId="5CDD0F2D" w14:textId="77777777" w:rsidR="00D355D5" w:rsidRPr="002E72B9" w:rsidRDefault="00D355D5" w:rsidP="00282204">
            <w:pPr>
              <w:spacing w:line="240" w:lineRule="auto"/>
              <w:jc w:val="both"/>
              <w:rPr>
                <w:rFonts w:hAnsiTheme="minorHAnsi" w:cstheme="minorHAnsi"/>
                <w:lang w:val="en-GB" w:eastAsia="en-GB"/>
              </w:rPr>
            </w:pPr>
            <w:r w:rsidRPr="002E72B9">
              <w:rPr>
                <w:rFonts w:hAnsiTheme="minorHAnsi" w:cstheme="minorHAnsi"/>
                <w:lang w:val="en-GB" w:eastAsia="en-GB"/>
              </w:rPr>
              <w:t>The clinic is usually busy, and the pharmacy is also.</w:t>
            </w:r>
            <w:r>
              <w:rPr>
                <w:rFonts w:hAnsiTheme="minorHAnsi" w:cstheme="minorHAnsi"/>
                <w:lang w:val="en-GB" w:eastAsia="en-GB"/>
              </w:rPr>
              <w:t xml:space="preserve"> </w:t>
            </w:r>
            <w:r w:rsidRPr="002E72B9">
              <w:rPr>
                <w:rFonts w:hAnsiTheme="minorHAnsi" w:cstheme="minorHAnsi"/>
                <w:lang w:val="en-GB" w:eastAsia="en-GB"/>
              </w:rPr>
              <w:t>Ph1</w:t>
            </w:r>
          </w:p>
          <w:p w14:paraId="279C1740" w14:textId="77777777" w:rsidR="00D355D5" w:rsidRPr="002E72B9" w:rsidRDefault="00D355D5" w:rsidP="00282204">
            <w:pPr>
              <w:spacing w:line="240" w:lineRule="auto"/>
              <w:jc w:val="both"/>
              <w:rPr>
                <w:rFonts w:hAnsiTheme="minorHAnsi" w:cstheme="minorHAnsi"/>
                <w:lang w:val="en-GB" w:eastAsia="en-GB"/>
              </w:rPr>
            </w:pPr>
            <w:r w:rsidRPr="002E72B9">
              <w:rPr>
                <w:rFonts w:hAnsiTheme="minorHAnsi" w:cstheme="minorHAnsi"/>
                <w:lang w:val="en-GB" w:eastAsia="en-GB"/>
              </w:rPr>
              <w:t>work duties were a barrier; my duties in the PHCs mainly focused on administrative and technical tasks such as dispensing, inventory, making orders, statistics, etc., and there was no time to interfere with patients' treatment plans.Ph1</w:t>
            </w:r>
          </w:p>
          <w:p w14:paraId="2A34CD4A" w14:textId="77777777" w:rsidR="00D355D5" w:rsidRPr="002E72B9" w:rsidRDefault="00D355D5" w:rsidP="00282204">
            <w:pPr>
              <w:spacing w:line="240" w:lineRule="auto"/>
              <w:jc w:val="both"/>
              <w:rPr>
                <w:rFonts w:hAnsiTheme="minorHAnsi" w:cstheme="minorHAnsi"/>
                <w:lang w:val="en-GB" w:eastAsia="en-GB"/>
              </w:rPr>
            </w:pPr>
            <w:r w:rsidRPr="002E72B9">
              <w:rPr>
                <w:rFonts w:hAnsiTheme="minorHAnsi" w:cstheme="minorHAnsi"/>
                <w:lang w:val="en-GB" w:eastAsia="en-GB"/>
              </w:rPr>
              <w:t>The pharmacy is usually operated with a pharmacy employee, either a pharmacist or a pharmacy technician. This employee must provide the service of traditional pharmacy practice, mainly to dispense prescriptions to patients and perform all technical and administrative tasks.</w:t>
            </w:r>
          </w:p>
          <w:p w14:paraId="46B45DF5" w14:textId="77777777" w:rsidR="00D355D5" w:rsidRPr="002E72B9" w:rsidRDefault="00D355D5" w:rsidP="00282204">
            <w:pPr>
              <w:spacing w:line="240" w:lineRule="auto"/>
              <w:jc w:val="both"/>
              <w:rPr>
                <w:rFonts w:hAnsiTheme="minorHAnsi" w:cstheme="minorHAnsi"/>
                <w:lang w:val="en-GB" w:eastAsia="en-GB"/>
              </w:rPr>
            </w:pPr>
            <w:r w:rsidRPr="002E72B9">
              <w:rPr>
                <w:rFonts w:hAnsiTheme="minorHAnsi" w:cstheme="minorHAnsi"/>
                <w:lang w:val="en-GB" w:eastAsia="en-GB"/>
              </w:rPr>
              <w:t>Pharmacies in PHCs did not provide clinical services for many reasons: overwork, no time, and lack of qualified pharmacists.Ph1</w:t>
            </w:r>
          </w:p>
          <w:p w14:paraId="10856430" w14:textId="77777777" w:rsidR="00D355D5" w:rsidRPr="002E72B9" w:rsidRDefault="00D355D5" w:rsidP="00282204">
            <w:pPr>
              <w:spacing w:line="240" w:lineRule="auto"/>
              <w:jc w:val="both"/>
              <w:rPr>
                <w:rFonts w:hAnsiTheme="minorHAnsi" w:cstheme="minorHAnsi"/>
                <w:lang w:val="en-GB" w:eastAsia="en-GB"/>
              </w:rPr>
            </w:pPr>
            <w:r w:rsidRPr="002E72B9">
              <w:rPr>
                <w:rFonts w:hAnsiTheme="minorHAnsi" w:cstheme="minorHAnsi"/>
                <w:lang w:val="en-GB" w:eastAsia="en-GB"/>
              </w:rPr>
              <w:t>One of the barriers to pharmacists' intervention in the patients' treatment plans in PHCs is work pressure, as the workload is disproportionate to the workforce.Ph1</w:t>
            </w:r>
          </w:p>
          <w:p w14:paraId="6861334B" w14:textId="77777777" w:rsidR="00D355D5" w:rsidRPr="002E72B9" w:rsidRDefault="00D355D5" w:rsidP="00282204">
            <w:pPr>
              <w:spacing w:line="240" w:lineRule="auto"/>
              <w:jc w:val="both"/>
              <w:rPr>
                <w:rFonts w:hAnsiTheme="minorHAnsi" w:cstheme="minorHAnsi"/>
              </w:rPr>
            </w:pPr>
            <w:r w:rsidRPr="002E72B9">
              <w:rPr>
                <w:rFonts w:hAnsiTheme="minorHAnsi" w:cstheme="minorHAnsi"/>
              </w:rPr>
              <w:t>we probably do not update our information. With a lot of work and administrative duties in the PHC, I do not have time to do education (self-learning or have continuous education).Ph3</w:t>
            </w:r>
          </w:p>
        </w:tc>
        <w:tc>
          <w:tcPr>
            <w:tcW w:w="500" w:type="pct"/>
          </w:tcPr>
          <w:p w14:paraId="73F9A460" w14:textId="77777777" w:rsidR="00D355D5" w:rsidRDefault="00D355D5" w:rsidP="00282204">
            <w:pPr>
              <w:pStyle w:val="RightAlign"/>
            </w:pPr>
            <w:r>
              <w:t>3</w:t>
            </w:r>
          </w:p>
        </w:tc>
        <w:tc>
          <w:tcPr>
            <w:tcW w:w="500" w:type="pct"/>
          </w:tcPr>
          <w:p w14:paraId="4B23F8CD" w14:textId="77777777" w:rsidR="00D355D5" w:rsidRDefault="00D355D5" w:rsidP="00282204">
            <w:pPr>
              <w:pStyle w:val="RightAlign"/>
            </w:pPr>
            <w:r>
              <w:t>7</w:t>
            </w:r>
          </w:p>
        </w:tc>
      </w:tr>
      <w:tr w:rsidR="00D355D5" w14:paraId="208E0733"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06C092CF" w14:textId="77777777" w:rsidR="00D355D5" w:rsidRDefault="00D355D5" w:rsidP="00282204">
            <w:r>
              <w:t>Underestimate pharmacists</w:t>
            </w:r>
            <w:r>
              <w:t>’</w:t>
            </w:r>
            <w:r>
              <w:t xml:space="preserve"> role </w:t>
            </w:r>
          </w:p>
          <w:p w14:paraId="24CCB770" w14:textId="77777777" w:rsidR="00D355D5" w:rsidRDefault="00D355D5" w:rsidP="00282204"/>
        </w:tc>
        <w:tc>
          <w:tcPr>
            <w:tcW w:w="2500" w:type="pct"/>
          </w:tcPr>
          <w:p w14:paraId="5CA60BEB" w14:textId="77777777" w:rsidR="00D355D5" w:rsidRPr="001F750C" w:rsidRDefault="00D355D5" w:rsidP="00282204">
            <w:pPr>
              <w:spacing w:line="240" w:lineRule="auto"/>
              <w:jc w:val="both"/>
              <w:rPr>
                <w:rFonts w:hAnsiTheme="minorHAnsi" w:cstheme="minorHAnsi"/>
              </w:rPr>
            </w:pPr>
            <w:r w:rsidRPr="006050F3">
              <w:t xml:space="preserve">the barrier is I think the underestimation by you know sometimes even </w:t>
            </w:r>
            <w:r w:rsidRPr="001F750C">
              <w:rPr>
                <w:rFonts w:hAnsiTheme="minorHAnsi" w:cstheme="minorHAnsi"/>
              </w:rPr>
              <w:t>among us as a physician we sometime underestimate each other even among the specialties. I think the underestimation of the role the pharmacists if I can say anything go after 20 year experience in the medical field, the physician, they think themselves in the top and below them maybe the nurses and the third to them is the pharmacists even the nurses they think themselves as superior one.D2</w:t>
            </w:r>
          </w:p>
          <w:p w14:paraId="6924141B" w14:textId="77777777" w:rsidR="00D355D5" w:rsidRDefault="00D355D5" w:rsidP="00282204">
            <w:pPr>
              <w:spacing w:line="240" w:lineRule="auto"/>
              <w:jc w:val="both"/>
            </w:pPr>
            <w:r w:rsidRPr="001F750C">
              <w:rPr>
                <w:rFonts w:hAnsiTheme="minorHAnsi" w:cstheme="minorHAnsi"/>
                <w:lang w:val="en-GB" w:eastAsia="en-GB"/>
              </w:rPr>
              <w:t>My primary role in the health centre was close to the technician's role and focused on preparing medication requests for the centre, receiving and counting medication requests, documenting them in the record, and making monthly and annual statistics on dispensing medications and dispensing medications to the patient.Ph1</w:t>
            </w:r>
          </w:p>
        </w:tc>
        <w:tc>
          <w:tcPr>
            <w:tcW w:w="500" w:type="pct"/>
          </w:tcPr>
          <w:p w14:paraId="28243291" w14:textId="77777777" w:rsidR="00D355D5" w:rsidRDefault="00D355D5" w:rsidP="00282204">
            <w:pPr>
              <w:pStyle w:val="RightAlign"/>
            </w:pPr>
            <w:r>
              <w:t>2</w:t>
            </w:r>
          </w:p>
        </w:tc>
        <w:tc>
          <w:tcPr>
            <w:tcW w:w="500" w:type="pct"/>
          </w:tcPr>
          <w:p w14:paraId="0FB4A797" w14:textId="77777777" w:rsidR="00D355D5" w:rsidRDefault="00D355D5" w:rsidP="00282204">
            <w:pPr>
              <w:pStyle w:val="RightAlign"/>
            </w:pPr>
            <w:r>
              <w:t>2</w:t>
            </w:r>
          </w:p>
        </w:tc>
      </w:tr>
      <w:tr w:rsidR="00D355D5" w14:paraId="7D9C5718"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03B703FA" w14:textId="77777777" w:rsidR="00D355D5" w:rsidRDefault="00D355D5" w:rsidP="00282204">
            <w:r>
              <w:t>Scope of pharmacy practice in PHC</w:t>
            </w:r>
          </w:p>
        </w:tc>
        <w:tc>
          <w:tcPr>
            <w:tcW w:w="2500" w:type="pct"/>
          </w:tcPr>
          <w:p w14:paraId="1F203622" w14:textId="77777777" w:rsidR="00D355D5" w:rsidRPr="004C5DFE" w:rsidRDefault="00D355D5" w:rsidP="00282204">
            <w:pPr>
              <w:spacing w:line="240" w:lineRule="auto"/>
              <w:jc w:val="both"/>
              <w:rPr>
                <w:rFonts w:hAnsiTheme="minorHAnsi" w:cstheme="minorHAnsi"/>
                <w:lang w:val="en-GB" w:eastAsia="en-GB"/>
              </w:rPr>
            </w:pPr>
            <w:r w:rsidRPr="004C5DFE">
              <w:rPr>
                <w:rFonts w:hAnsiTheme="minorHAnsi" w:cstheme="minorHAnsi"/>
                <w:lang w:val="en-GB" w:eastAsia="en-GB"/>
              </w:rPr>
              <w:t>The clinical role (clinical services) was not among the essential services of primary care pharmacy practice. In addition, it was not included in the assessment of job performance. Even if I wanted to provide clinical services to the patients,</w:t>
            </w:r>
            <w:r>
              <w:rPr>
                <w:rFonts w:hAnsiTheme="minorHAnsi" w:cstheme="minorHAnsi"/>
                <w:lang w:val="en-GB" w:eastAsia="en-GB"/>
              </w:rPr>
              <w:t>Ph1</w:t>
            </w:r>
          </w:p>
          <w:p w14:paraId="31C9858D" w14:textId="77777777" w:rsidR="00D355D5" w:rsidRPr="004C5DFE" w:rsidRDefault="00D355D5" w:rsidP="00282204">
            <w:pPr>
              <w:spacing w:line="240" w:lineRule="auto"/>
              <w:jc w:val="both"/>
              <w:rPr>
                <w:rFonts w:hAnsiTheme="minorHAnsi" w:cstheme="minorHAnsi"/>
                <w:lang w:val="en-GB" w:eastAsia="en-GB"/>
              </w:rPr>
            </w:pPr>
            <w:r w:rsidRPr="004C5DFE">
              <w:rPr>
                <w:rFonts w:hAnsiTheme="minorHAnsi" w:cstheme="minorHAnsi"/>
                <w:lang w:val="en-GB" w:eastAsia="en-GB"/>
              </w:rPr>
              <w:t>The pharmacy is usually operated with a pharmacy employee, either a pharmacist or a pharmacy technician. This employee must provide the service of traditional pharmacy practice, mainly to dispense prescriptions to patients and perform all technical and administrative tasks.</w:t>
            </w:r>
            <w:r>
              <w:rPr>
                <w:rFonts w:hAnsiTheme="minorHAnsi" w:cstheme="minorHAnsi"/>
                <w:lang w:val="en-GB" w:eastAsia="en-GB"/>
              </w:rPr>
              <w:t xml:space="preserve"> Ph1</w:t>
            </w:r>
          </w:p>
          <w:p w14:paraId="1B154BD7" w14:textId="77777777" w:rsidR="00D355D5" w:rsidRPr="004C5DFE" w:rsidRDefault="00D355D5" w:rsidP="00282204">
            <w:pPr>
              <w:spacing w:line="240" w:lineRule="auto"/>
              <w:jc w:val="both"/>
              <w:rPr>
                <w:rFonts w:hAnsiTheme="minorHAnsi" w:cstheme="minorHAnsi"/>
                <w:lang w:val="en-GB" w:eastAsia="en-GB"/>
              </w:rPr>
            </w:pPr>
            <w:r w:rsidRPr="004C5DFE">
              <w:rPr>
                <w:rFonts w:hAnsiTheme="minorHAnsi" w:cstheme="minorHAnsi"/>
                <w:lang w:val="en-GB" w:eastAsia="en-GB"/>
              </w:rPr>
              <w:t>Some pharmacists try to play clinical roles, but this is not mandatory under pharmacy policy. It is based on personal efforts with no clear guidance for the role of clinical pharmacy practice. Playing a clinical role was basically optional.Ph1</w:t>
            </w:r>
          </w:p>
          <w:p w14:paraId="1B0B33E0" w14:textId="77777777" w:rsidR="00D355D5" w:rsidRPr="004C5DFE" w:rsidRDefault="00D355D5" w:rsidP="00282204">
            <w:pPr>
              <w:spacing w:line="240" w:lineRule="auto"/>
              <w:jc w:val="both"/>
              <w:rPr>
                <w:rFonts w:hAnsiTheme="minorHAnsi" w:cstheme="minorHAnsi"/>
              </w:rPr>
            </w:pPr>
            <w:r w:rsidRPr="004C5DFE">
              <w:rPr>
                <w:rFonts w:hAnsiTheme="minorHAnsi" w:cstheme="minorHAnsi"/>
              </w:rPr>
              <w:t>Just as the doctor has a role in treating the patient, the pharmacist also has a big role in that. In particular, the clinical pharmacist has a role in the treatment plan and discussing it with the doctor as well as with the patient to get the right message across (to deliver the best service in patient care). This practice does not exist and is not allowed/ permitted. This is one of the barriers.Ph3</w:t>
            </w:r>
          </w:p>
          <w:p w14:paraId="17D1D7C4" w14:textId="77777777" w:rsidR="00D355D5" w:rsidRPr="004C5DFE" w:rsidRDefault="00D355D5" w:rsidP="00282204">
            <w:pPr>
              <w:spacing w:line="240" w:lineRule="auto"/>
              <w:jc w:val="both"/>
              <w:rPr>
                <w:rFonts w:hAnsiTheme="minorHAnsi" w:cstheme="minorHAnsi"/>
              </w:rPr>
            </w:pPr>
            <w:r w:rsidRPr="004C5DFE">
              <w:rPr>
                <w:rFonts w:hAnsiTheme="minorHAnsi" w:cstheme="minorHAnsi"/>
              </w:rPr>
              <w:t xml:space="preserve">Clinical services are not the duty of pharmacists as there were no clinical pharmacists in PHCs. Ph3 </w:t>
            </w:r>
          </w:p>
        </w:tc>
        <w:tc>
          <w:tcPr>
            <w:tcW w:w="500" w:type="pct"/>
          </w:tcPr>
          <w:p w14:paraId="684F474D" w14:textId="77777777" w:rsidR="00D355D5" w:rsidRDefault="00D355D5" w:rsidP="00282204">
            <w:pPr>
              <w:pStyle w:val="RightAlign"/>
            </w:pPr>
            <w:r>
              <w:t>2</w:t>
            </w:r>
          </w:p>
        </w:tc>
        <w:tc>
          <w:tcPr>
            <w:tcW w:w="500" w:type="pct"/>
          </w:tcPr>
          <w:p w14:paraId="446F51A7" w14:textId="77777777" w:rsidR="00D355D5" w:rsidRDefault="00D355D5" w:rsidP="00282204">
            <w:pPr>
              <w:pStyle w:val="RightAlign"/>
            </w:pPr>
            <w:r>
              <w:t>5</w:t>
            </w:r>
          </w:p>
        </w:tc>
      </w:tr>
      <w:tr w:rsidR="00D355D5" w14:paraId="38A5B402"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71C63558" w14:textId="77777777" w:rsidR="00D355D5" w:rsidRDefault="00D355D5" w:rsidP="00282204">
            <w:pPr>
              <w:spacing w:line="240" w:lineRule="auto"/>
            </w:pPr>
            <w:r>
              <w:t xml:space="preserve">Pharmacists themselves </w:t>
            </w:r>
          </w:p>
        </w:tc>
        <w:tc>
          <w:tcPr>
            <w:tcW w:w="2500" w:type="pct"/>
          </w:tcPr>
          <w:p w14:paraId="5BF95419" w14:textId="77777777" w:rsidR="00D355D5" w:rsidRPr="00875BB7" w:rsidRDefault="00D355D5" w:rsidP="00282204">
            <w:pPr>
              <w:spacing w:line="240" w:lineRule="auto"/>
              <w:jc w:val="both"/>
              <w:rPr>
                <w:rFonts w:hAnsiTheme="minorHAnsi" w:cstheme="minorHAnsi"/>
                <w:lang w:val="en-GB" w:eastAsia="en-GB"/>
              </w:rPr>
            </w:pPr>
            <w:r w:rsidRPr="00875BB7">
              <w:rPr>
                <w:rFonts w:hAnsiTheme="minorHAnsi" w:cstheme="minorHAnsi"/>
                <w:lang w:val="en-GB" w:eastAsia="en-GB"/>
              </w:rPr>
              <w:t>I do believe that the barrier comes from the pharmacists themselves first of all, and there are other barriers for sure, but the barrier first come from the person (pharmacist) who puts these barriers, and if there are barriers, I believe he/she can break these barriers and expand his/her influence and improve him/ her self as a healthcare provider to be an active member in the healthcare team.Ph2</w:t>
            </w:r>
          </w:p>
          <w:p w14:paraId="071C28EA" w14:textId="77777777" w:rsidR="00D355D5" w:rsidRPr="00875BB7" w:rsidRDefault="00D355D5" w:rsidP="00282204">
            <w:pPr>
              <w:spacing w:line="240" w:lineRule="auto"/>
              <w:jc w:val="both"/>
              <w:rPr>
                <w:rFonts w:hAnsiTheme="minorHAnsi" w:cstheme="minorHAnsi"/>
                <w:lang w:val="en-GB" w:eastAsia="en-GB"/>
              </w:rPr>
            </w:pPr>
            <w:r w:rsidRPr="00875BB7">
              <w:rPr>
                <w:rFonts w:hAnsiTheme="minorHAnsi" w:cstheme="minorHAnsi"/>
                <w:lang w:val="en-GB" w:eastAsia="en-GB"/>
              </w:rPr>
              <w:t>How the pharmacist presents himself, shows his knowledge, participates in the management plan, if he/she is doing this, he/she will cross all these barriers.Ph2</w:t>
            </w:r>
          </w:p>
          <w:p w14:paraId="5E5A46B6" w14:textId="77777777" w:rsidR="00D355D5" w:rsidRPr="00875BB7" w:rsidRDefault="00D355D5" w:rsidP="00282204">
            <w:pPr>
              <w:spacing w:line="240" w:lineRule="auto"/>
              <w:jc w:val="both"/>
              <w:rPr>
                <w:rFonts w:hAnsiTheme="minorHAnsi" w:cstheme="minorHAnsi"/>
                <w:lang w:val="en-GB" w:eastAsia="en-GB"/>
              </w:rPr>
            </w:pPr>
            <w:r w:rsidRPr="00875BB7">
              <w:rPr>
                <w:rFonts w:hAnsiTheme="minorHAnsi" w:cstheme="minorHAnsi"/>
                <w:lang w:val="en-GB" w:eastAsia="en-GB"/>
              </w:rPr>
              <w:t>if he put his knowledge, he will let the others recognise the importance of pharmacists in the setting he/she works at. And make them rely on him or her by expanding his influence and involving her/himself in the treatment plan, educating patients, being an active member in the healthcare team, he will improve himself like this way. Ph2</w:t>
            </w:r>
          </w:p>
          <w:p w14:paraId="4857ACAD" w14:textId="77777777" w:rsidR="00D355D5" w:rsidRPr="00875BB7" w:rsidRDefault="00D355D5" w:rsidP="00282204">
            <w:pPr>
              <w:spacing w:line="240" w:lineRule="auto"/>
              <w:jc w:val="both"/>
              <w:rPr>
                <w:rFonts w:hAnsiTheme="minorHAnsi" w:cstheme="minorHAnsi"/>
                <w:lang w:val="en-GB" w:eastAsia="en-GB"/>
              </w:rPr>
            </w:pPr>
            <w:r w:rsidRPr="00875BB7">
              <w:rPr>
                <w:rFonts w:hAnsiTheme="minorHAnsi" w:cstheme="minorHAnsi"/>
                <w:lang w:val="en-GB" w:eastAsia="en-GB"/>
              </w:rPr>
              <w:t>If the pharmacist puts himself in a limited area and only keeps him/herself inside the pharmacy, this will not help him/her improve or be recognised. Ph2</w:t>
            </w:r>
          </w:p>
          <w:p w14:paraId="66884CA6" w14:textId="77777777" w:rsidR="00D355D5" w:rsidRPr="00875BB7" w:rsidRDefault="00D355D5" w:rsidP="00282204">
            <w:pPr>
              <w:spacing w:line="240" w:lineRule="auto"/>
              <w:jc w:val="both"/>
              <w:rPr>
                <w:rFonts w:hAnsiTheme="minorHAnsi" w:cstheme="minorHAnsi"/>
                <w:lang w:val="en-GB" w:eastAsia="en-GB"/>
              </w:rPr>
            </w:pPr>
            <w:r w:rsidRPr="00875BB7">
              <w:rPr>
                <w:rFonts w:hAnsiTheme="minorHAnsi" w:cstheme="minorHAnsi"/>
                <w:lang w:val="en-GB" w:eastAsia="en-GB"/>
              </w:rPr>
              <w:t xml:space="preserve">This is the pharmacist's role in grabbing patients' attention, making them trust the pharmacist, and being more confident about their role in the patient's care. This will make the patient seek advice from the pharmacist, ask him and discuss with him. When you show your concern to patients, they will come to you.Ph2 </w:t>
            </w:r>
          </w:p>
        </w:tc>
        <w:tc>
          <w:tcPr>
            <w:tcW w:w="500" w:type="pct"/>
          </w:tcPr>
          <w:p w14:paraId="15F17A69" w14:textId="77777777" w:rsidR="00D355D5" w:rsidRDefault="00D355D5" w:rsidP="00282204">
            <w:pPr>
              <w:pStyle w:val="RightAlign"/>
              <w:spacing w:line="240" w:lineRule="auto"/>
            </w:pPr>
            <w:r>
              <w:t>1</w:t>
            </w:r>
          </w:p>
        </w:tc>
        <w:tc>
          <w:tcPr>
            <w:tcW w:w="500" w:type="pct"/>
          </w:tcPr>
          <w:p w14:paraId="6BF1DC84" w14:textId="77777777" w:rsidR="00D355D5" w:rsidRDefault="00D355D5" w:rsidP="00282204">
            <w:pPr>
              <w:pStyle w:val="RightAlign"/>
              <w:spacing w:line="240" w:lineRule="auto"/>
            </w:pPr>
            <w:r>
              <w:t>5</w:t>
            </w:r>
          </w:p>
        </w:tc>
      </w:tr>
      <w:tr w:rsidR="00D355D5" w14:paraId="79218A46"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47F77489" w14:textId="77777777" w:rsidR="00D355D5" w:rsidRDefault="00D355D5" w:rsidP="00282204">
            <w:pPr>
              <w:spacing w:line="240" w:lineRule="auto"/>
            </w:pPr>
            <w:r>
              <w:t xml:space="preserve">Hierarchy system/superiority </w:t>
            </w:r>
          </w:p>
        </w:tc>
        <w:tc>
          <w:tcPr>
            <w:tcW w:w="2500" w:type="pct"/>
          </w:tcPr>
          <w:p w14:paraId="7B3E945E" w14:textId="77777777" w:rsidR="00D355D5" w:rsidRPr="0063644C" w:rsidRDefault="00D355D5" w:rsidP="00282204">
            <w:pPr>
              <w:spacing w:line="240" w:lineRule="auto"/>
              <w:jc w:val="both"/>
              <w:rPr>
                <w:rFonts w:hAnsiTheme="minorHAnsi" w:cstheme="minorHAnsi"/>
              </w:rPr>
            </w:pPr>
            <w:r w:rsidRPr="0063644C">
              <w:rPr>
                <w:rFonts w:hAnsiTheme="minorHAnsi" w:cstheme="minorHAnsi"/>
              </w:rPr>
              <w:t>the physician, they think themselves in the top and below them maybe the nurses and the third to them is the pharmacists even the nurses they think themselves as superior one. D2</w:t>
            </w:r>
          </w:p>
          <w:p w14:paraId="2ACEC9DE" w14:textId="77777777" w:rsidR="00D355D5" w:rsidRPr="0063644C" w:rsidRDefault="00D355D5" w:rsidP="00282204">
            <w:pPr>
              <w:spacing w:line="240" w:lineRule="auto"/>
              <w:jc w:val="both"/>
              <w:rPr>
                <w:rFonts w:hAnsiTheme="minorHAnsi" w:cstheme="minorHAnsi"/>
                <w:lang w:val="en-GB" w:eastAsia="en-GB"/>
              </w:rPr>
            </w:pPr>
            <w:r w:rsidRPr="0063644C">
              <w:rPr>
                <w:rFonts w:hAnsiTheme="minorHAnsi" w:cstheme="minorHAnsi"/>
                <w:lang w:val="en-GB" w:eastAsia="en-GB"/>
              </w:rPr>
              <w:t>I remembered something that happened to me in a primary health care centre when a pharmacist gives a lecture in the continuing education program for healthcare providers, continuing education hours don't count for doctors unless the lecturer is a doctor, and that's what I was told when we applied for the accreditation of continuing education hours. The justification was that doctors (physicians) hold a higher education or qualification than pharmacists, so they cannot award CME hours to physicians if the program is offered only by pharmacists. To solve this problem, some doctors suggested adding doctors to the educational program to accredit the hours to the attendees from doctors. I do not know why this attitude towards pharmacists. Our lectures include information about treatments, drug safety, and other relevant medication-related topics from our field in which we are experts. Ph2</w:t>
            </w:r>
          </w:p>
          <w:p w14:paraId="5A231CE4" w14:textId="77777777" w:rsidR="00D355D5" w:rsidRPr="0063644C" w:rsidRDefault="00D355D5" w:rsidP="00282204">
            <w:pPr>
              <w:spacing w:line="240" w:lineRule="auto"/>
              <w:jc w:val="both"/>
              <w:rPr>
                <w:rFonts w:hAnsiTheme="minorHAnsi" w:cstheme="minorHAnsi"/>
              </w:rPr>
            </w:pPr>
            <w:r w:rsidRPr="0063644C">
              <w:rPr>
                <w:rFonts w:hAnsiTheme="minorHAnsi" w:cstheme="minorHAnsi"/>
              </w:rPr>
              <w:t>I don't deny that there are frustrations; there are sometimes. When the doctor does not compromise and does not discuss me professionally by sharing and referring to the medical references that he relies on to treat a particular condition, although I start the discussion and mention to him/her that the patient's condition is such and such, he/she may have the right (best) approach in treating this condition, but he should tell me about it and discuss it with me. We should discuss and professionally present opinions when treating a patient's condition and not take it personally and prove that I am a pharmacist or a doctor. Such situations can cause frustration for the pharmacist.Ph3</w:t>
            </w:r>
          </w:p>
          <w:p w14:paraId="10184F77" w14:textId="77777777" w:rsidR="00D355D5" w:rsidRPr="0063644C" w:rsidRDefault="00D355D5" w:rsidP="00282204">
            <w:pPr>
              <w:spacing w:line="240" w:lineRule="auto"/>
              <w:jc w:val="both"/>
              <w:rPr>
                <w:rFonts w:hAnsiTheme="minorHAnsi" w:cstheme="minorHAnsi"/>
                <w:lang w:val="en-GB" w:eastAsia="en-GB"/>
              </w:rPr>
            </w:pPr>
            <w:r w:rsidRPr="0063644C">
              <w:rPr>
                <w:rFonts w:hAnsiTheme="minorHAnsi" w:cstheme="minorHAnsi"/>
                <w:lang w:val="en-GB" w:eastAsia="en-GB"/>
              </w:rPr>
              <w:t>As I mentioned to you, some doctors consider the pharmacist.... and the higher a person's scientific degree, the less he has this view. The newly graduated doctor thinks he knows everything, so when someone disagrees with his opinion, he gets upset, and we used to have these situations. He considers it interference, even if my intervention is correct/proper because this is my job; he does not understand this, but when I work with consultants, they are more accepting. And we notice this difference in treating us as pharmacists.Ph3</w:t>
            </w:r>
          </w:p>
        </w:tc>
        <w:tc>
          <w:tcPr>
            <w:tcW w:w="500" w:type="pct"/>
          </w:tcPr>
          <w:p w14:paraId="0FAD4CA5" w14:textId="77777777" w:rsidR="00D355D5" w:rsidRDefault="00D355D5" w:rsidP="00282204">
            <w:pPr>
              <w:pStyle w:val="RightAlign"/>
              <w:spacing w:line="240" w:lineRule="auto"/>
            </w:pPr>
            <w:r>
              <w:t>3</w:t>
            </w:r>
          </w:p>
        </w:tc>
        <w:tc>
          <w:tcPr>
            <w:tcW w:w="500" w:type="pct"/>
          </w:tcPr>
          <w:p w14:paraId="06620334" w14:textId="77777777" w:rsidR="00D355D5" w:rsidRDefault="00D355D5" w:rsidP="00282204">
            <w:pPr>
              <w:pStyle w:val="RightAlign"/>
              <w:spacing w:line="240" w:lineRule="auto"/>
            </w:pPr>
            <w:r>
              <w:t>4</w:t>
            </w:r>
          </w:p>
        </w:tc>
      </w:tr>
      <w:tr w:rsidR="00D355D5" w14:paraId="308F964E"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16C29BF7" w14:textId="77777777" w:rsidR="00D355D5" w:rsidRDefault="00D355D5" w:rsidP="00282204">
            <w:pPr>
              <w:spacing w:line="240" w:lineRule="auto"/>
            </w:pPr>
            <w:r>
              <w:t xml:space="preserve">Lack of leadership support </w:t>
            </w:r>
          </w:p>
        </w:tc>
        <w:tc>
          <w:tcPr>
            <w:tcW w:w="2500" w:type="pct"/>
          </w:tcPr>
          <w:p w14:paraId="42E60203" w14:textId="77777777" w:rsidR="00D355D5" w:rsidRPr="006C4F2D" w:rsidRDefault="00D355D5" w:rsidP="00282204">
            <w:pPr>
              <w:spacing w:line="240" w:lineRule="auto"/>
              <w:jc w:val="both"/>
              <w:rPr>
                <w:rFonts w:hAnsiTheme="minorHAnsi" w:cstheme="minorHAnsi"/>
                <w:lang w:val="en-GB" w:eastAsia="en-GB"/>
              </w:rPr>
            </w:pPr>
            <w:r w:rsidRPr="006C4F2D">
              <w:rPr>
                <w:rFonts w:hAnsiTheme="minorHAnsi" w:cstheme="minorHAnsi"/>
                <w:lang w:val="en-GB" w:eastAsia="en-GB"/>
              </w:rPr>
              <w:t>There was no pharmacy profession development team in PHCs supporting pharmacists to provide clinical services to patients. Ph1</w:t>
            </w:r>
          </w:p>
          <w:p w14:paraId="0CE7F82C" w14:textId="77777777" w:rsidR="00D355D5" w:rsidRPr="006050F3" w:rsidRDefault="00D355D5" w:rsidP="00282204">
            <w:pPr>
              <w:spacing w:line="240" w:lineRule="auto"/>
              <w:jc w:val="both"/>
            </w:pPr>
            <w:r w:rsidRPr="006C4F2D">
              <w:rPr>
                <w:rFonts w:hAnsiTheme="minorHAnsi" w:cstheme="minorHAnsi"/>
              </w:rPr>
              <w:t>There is never, never, any support in the PHCs. (There is no support for PHCs).</w:t>
            </w:r>
            <w:r>
              <w:rPr>
                <w:rFonts w:hAnsiTheme="minorHAnsi" w:cstheme="minorHAnsi"/>
              </w:rPr>
              <w:t xml:space="preserve"> </w:t>
            </w:r>
            <w:r w:rsidRPr="006C4F2D">
              <w:rPr>
                <w:rFonts w:hAnsiTheme="minorHAnsi" w:cstheme="minorHAnsi"/>
              </w:rPr>
              <w:t>Ph3</w:t>
            </w:r>
          </w:p>
        </w:tc>
        <w:tc>
          <w:tcPr>
            <w:tcW w:w="500" w:type="pct"/>
          </w:tcPr>
          <w:p w14:paraId="3A28639C" w14:textId="77777777" w:rsidR="00D355D5" w:rsidRDefault="00D355D5" w:rsidP="00282204">
            <w:pPr>
              <w:pStyle w:val="RightAlign"/>
              <w:spacing w:line="240" w:lineRule="auto"/>
            </w:pPr>
            <w:r>
              <w:t>2</w:t>
            </w:r>
          </w:p>
        </w:tc>
        <w:tc>
          <w:tcPr>
            <w:tcW w:w="500" w:type="pct"/>
          </w:tcPr>
          <w:p w14:paraId="3A823748" w14:textId="77777777" w:rsidR="00D355D5" w:rsidRDefault="00D355D5" w:rsidP="00282204">
            <w:pPr>
              <w:pStyle w:val="RightAlign"/>
              <w:spacing w:line="240" w:lineRule="auto"/>
            </w:pPr>
            <w:r>
              <w:t>2</w:t>
            </w:r>
          </w:p>
        </w:tc>
      </w:tr>
      <w:tr w:rsidR="00D355D5" w14:paraId="6974F822"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0F85FD50" w14:textId="77777777" w:rsidR="00D355D5" w:rsidRDefault="00D355D5" w:rsidP="00282204">
            <w:pPr>
              <w:spacing w:line="240" w:lineRule="auto"/>
            </w:pPr>
            <w:r>
              <w:t>Lack awareness of pharmacists</w:t>
            </w:r>
            <w:r>
              <w:t>’</w:t>
            </w:r>
            <w:r>
              <w:t xml:space="preserve"> clinical roles </w:t>
            </w:r>
          </w:p>
        </w:tc>
        <w:tc>
          <w:tcPr>
            <w:tcW w:w="2500" w:type="pct"/>
          </w:tcPr>
          <w:p w14:paraId="2253AAC6" w14:textId="77777777" w:rsidR="00D355D5" w:rsidRPr="006B23FB" w:rsidRDefault="00D355D5" w:rsidP="00282204">
            <w:pPr>
              <w:spacing w:line="240" w:lineRule="auto"/>
              <w:jc w:val="both"/>
              <w:rPr>
                <w:rFonts w:hAnsiTheme="minorHAnsi" w:cstheme="minorHAnsi"/>
                <w:lang w:val="en-GB" w:eastAsia="en-GB"/>
              </w:rPr>
            </w:pPr>
            <w:r w:rsidRPr="006B23FB">
              <w:rPr>
                <w:rFonts w:hAnsiTheme="minorHAnsi" w:cstheme="minorHAnsi"/>
                <w:lang w:val="en-GB" w:eastAsia="en-GB"/>
              </w:rPr>
              <w:t>Other barriers related to health care providers and their perception of pharmacists, you know, are related to their awareness of the pharmacist's role in primary care.Ph2</w:t>
            </w:r>
          </w:p>
          <w:p w14:paraId="7ECB370E" w14:textId="77777777" w:rsidR="00D355D5" w:rsidRPr="006B23FB" w:rsidRDefault="00D355D5" w:rsidP="00282204">
            <w:pPr>
              <w:spacing w:line="240" w:lineRule="auto"/>
              <w:jc w:val="both"/>
              <w:rPr>
                <w:rFonts w:hAnsiTheme="minorHAnsi" w:cstheme="minorHAnsi"/>
                <w:lang w:val="en-GB" w:eastAsia="en-GB"/>
              </w:rPr>
            </w:pPr>
            <w:r w:rsidRPr="006B23FB">
              <w:rPr>
                <w:rFonts w:hAnsiTheme="minorHAnsi" w:cstheme="minorHAnsi"/>
                <w:lang w:val="en-GB" w:eastAsia="en-GB"/>
              </w:rPr>
              <w:t>Nurses sometimes go to the pharmacist to ask because they trust the pharmacist and are aware of their role. And some nurses do not go to the pharmacist because they do not know that the pharmacist knows better about medicines and calculating doses. Ph2</w:t>
            </w:r>
          </w:p>
          <w:p w14:paraId="550C1F14" w14:textId="77777777" w:rsidR="00D355D5" w:rsidRPr="006B23FB" w:rsidRDefault="00D355D5" w:rsidP="00282204">
            <w:pPr>
              <w:spacing w:line="240" w:lineRule="auto"/>
              <w:jc w:val="both"/>
              <w:rPr>
                <w:rFonts w:hAnsiTheme="minorHAnsi" w:cstheme="minorHAnsi"/>
                <w:lang w:val="en-GB" w:eastAsia="en-GB"/>
              </w:rPr>
            </w:pPr>
            <w:r w:rsidRPr="006B23FB">
              <w:rPr>
                <w:rFonts w:hAnsiTheme="minorHAnsi" w:cstheme="minorHAnsi"/>
                <w:lang w:val="en-GB" w:eastAsia="en-GB"/>
              </w:rPr>
              <w:t>let's say that they are unaware of the role of the pharmacist and the knowledge that they have.Ph2</w:t>
            </w:r>
          </w:p>
        </w:tc>
        <w:tc>
          <w:tcPr>
            <w:tcW w:w="500" w:type="pct"/>
          </w:tcPr>
          <w:p w14:paraId="4D111A02" w14:textId="77777777" w:rsidR="00D355D5" w:rsidRDefault="00D355D5" w:rsidP="00282204">
            <w:pPr>
              <w:pStyle w:val="RightAlign"/>
              <w:spacing w:line="240" w:lineRule="auto"/>
            </w:pPr>
            <w:r>
              <w:t>1</w:t>
            </w:r>
          </w:p>
        </w:tc>
        <w:tc>
          <w:tcPr>
            <w:tcW w:w="500" w:type="pct"/>
          </w:tcPr>
          <w:p w14:paraId="241F8D1B" w14:textId="77777777" w:rsidR="00D355D5" w:rsidRDefault="00D355D5" w:rsidP="00282204">
            <w:pPr>
              <w:pStyle w:val="RightAlign"/>
              <w:spacing w:line="240" w:lineRule="auto"/>
            </w:pPr>
            <w:r>
              <w:t>3</w:t>
            </w:r>
          </w:p>
        </w:tc>
      </w:tr>
      <w:tr w:rsidR="00D355D5" w14:paraId="35BE1711"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47601A73" w14:textId="77777777" w:rsidR="00D355D5" w:rsidRDefault="00D355D5" w:rsidP="00282204">
            <w:pPr>
              <w:spacing w:line="240" w:lineRule="auto"/>
            </w:pPr>
            <w:r>
              <w:t xml:space="preserve">Lack of a privet room to counsel patients </w:t>
            </w:r>
          </w:p>
        </w:tc>
        <w:tc>
          <w:tcPr>
            <w:tcW w:w="2500" w:type="pct"/>
          </w:tcPr>
          <w:p w14:paraId="4CE38F69" w14:textId="77777777" w:rsidR="00D355D5" w:rsidRPr="0004200E" w:rsidRDefault="00D355D5" w:rsidP="00282204">
            <w:pPr>
              <w:spacing w:line="240" w:lineRule="auto"/>
              <w:jc w:val="both"/>
              <w:rPr>
                <w:rFonts w:hAnsiTheme="minorHAnsi" w:cstheme="minorHAnsi"/>
                <w:lang w:val="en-GB" w:eastAsia="en-GB"/>
              </w:rPr>
            </w:pPr>
            <w:r w:rsidRPr="0004200E">
              <w:rPr>
                <w:rFonts w:hAnsiTheme="minorHAnsi" w:cstheme="minorHAnsi"/>
                <w:lang w:val="en-GB" w:eastAsia="en-GB"/>
              </w:rPr>
              <w:t>The other barrier related to patients, maybe space-wise, there is no private place to counsel patients because the infrastructure of the pharmacy in PHC, with a small window, yes, it is a barrier.Ph2</w:t>
            </w:r>
          </w:p>
          <w:p w14:paraId="51017C9F" w14:textId="77777777" w:rsidR="00D355D5" w:rsidRPr="0004200E" w:rsidRDefault="00D355D5" w:rsidP="00282204">
            <w:pPr>
              <w:spacing w:line="240" w:lineRule="auto"/>
              <w:jc w:val="both"/>
              <w:rPr>
                <w:rFonts w:hAnsiTheme="minorHAnsi" w:cstheme="minorHAnsi"/>
              </w:rPr>
            </w:pPr>
            <w:r w:rsidRPr="0004200E">
              <w:rPr>
                <w:rFonts w:hAnsiTheme="minorHAnsi" w:cstheme="minorHAnsi"/>
              </w:rPr>
              <w:t>From the system of the PHC, in the centre, the pharmacist does not have a private room to sit with patients such as those with chronic diseases and those with polypharmacy. I don't have that facility when I want to talk to a patient about a treatment plan, which is another barrier.Ph3</w:t>
            </w:r>
          </w:p>
        </w:tc>
        <w:tc>
          <w:tcPr>
            <w:tcW w:w="500" w:type="pct"/>
          </w:tcPr>
          <w:p w14:paraId="4116B28F" w14:textId="77777777" w:rsidR="00D355D5" w:rsidRDefault="00D355D5" w:rsidP="00282204">
            <w:pPr>
              <w:pStyle w:val="RightAlign"/>
              <w:spacing w:line="240" w:lineRule="auto"/>
            </w:pPr>
            <w:r>
              <w:t>2</w:t>
            </w:r>
          </w:p>
        </w:tc>
        <w:tc>
          <w:tcPr>
            <w:tcW w:w="500" w:type="pct"/>
          </w:tcPr>
          <w:p w14:paraId="1ECCE6C7" w14:textId="77777777" w:rsidR="00D355D5" w:rsidRDefault="00D355D5" w:rsidP="00282204">
            <w:pPr>
              <w:pStyle w:val="RightAlign"/>
              <w:spacing w:line="240" w:lineRule="auto"/>
            </w:pPr>
            <w:r>
              <w:t>2</w:t>
            </w:r>
          </w:p>
        </w:tc>
      </w:tr>
      <w:tr w:rsidR="00D355D5" w14:paraId="2F1C99F2"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5887B88C" w14:textId="77777777" w:rsidR="00D355D5" w:rsidRDefault="00D355D5" w:rsidP="00282204">
            <w:pPr>
              <w:spacing w:line="240" w:lineRule="auto"/>
            </w:pPr>
            <w:r>
              <w:t xml:space="preserve">Knowledge related issue </w:t>
            </w:r>
          </w:p>
        </w:tc>
        <w:tc>
          <w:tcPr>
            <w:tcW w:w="2500" w:type="pct"/>
          </w:tcPr>
          <w:p w14:paraId="69BFB6BD" w14:textId="77777777" w:rsidR="00D355D5" w:rsidRDefault="00D355D5" w:rsidP="00282204">
            <w:pPr>
              <w:spacing w:line="240" w:lineRule="auto"/>
              <w:jc w:val="both"/>
              <w:rPr>
                <w:rFonts w:hAnsiTheme="minorHAnsi" w:cstheme="minorHAnsi"/>
                <w:lang w:val="en-GB" w:eastAsia="en-GB"/>
              </w:rPr>
            </w:pPr>
            <w:r w:rsidRPr="00441D98">
              <w:rPr>
                <w:rFonts w:hAnsiTheme="minorHAnsi" w:cstheme="minorHAnsi"/>
                <w:lang w:val="en-GB" w:eastAsia="en-GB"/>
              </w:rPr>
              <w:t>I served in PHCs several years and did not learn as much as I did in a year of working in the hospital. My information about medication has enriched this year, so now, my evaluation of the treatment plan is completely different from my previous experience working in PHCs</w:t>
            </w:r>
            <w:r>
              <w:rPr>
                <w:rFonts w:hAnsiTheme="minorHAnsi" w:cstheme="minorHAnsi"/>
                <w:lang w:val="en-GB" w:eastAsia="en-GB"/>
              </w:rPr>
              <w:t>. Ph1</w:t>
            </w:r>
          </w:p>
          <w:p w14:paraId="7AD24F5E" w14:textId="77777777" w:rsidR="00D355D5" w:rsidRPr="0004200E" w:rsidRDefault="00D355D5" w:rsidP="00282204">
            <w:pPr>
              <w:spacing w:line="240" w:lineRule="auto"/>
              <w:jc w:val="both"/>
              <w:rPr>
                <w:rFonts w:hAnsiTheme="minorHAnsi" w:cstheme="minorHAnsi"/>
              </w:rPr>
            </w:pPr>
            <w:r w:rsidRPr="0004200E">
              <w:rPr>
                <w:rFonts w:hAnsiTheme="minorHAnsi" w:cstheme="minorHAnsi"/>
              </w:rPr>
              <w:t>The patient has the right to be educated about the medications he is taking, but the knowledge is not strong for most of us. That is why we are just dispensers.Ph3</w:t>
            </w:r>
          </w:p>
          <w:p w14:paraId="713BB9C3" w14:textId="77777777" w:rsidR="00D355D5" w:rsidRPr="00EA7B9F" w:rsidRDefault="00D355D5" w:rsidP="00282204">
            <w:pPr>
              <w:spacing w:line="240" w:lineRule="auto"/>
              <w:jc w:val="both"/>
              <w:rPr>
                <w:rFonts w:hAnsiTheme="minorHAnsi" w:cstheme="minorHAnsi"/>
                <w:lang w:val="en-GB" w:eastAsia="en-GB"/>
              </w:rPr>
            </w:pPr>
            <w:r w:rsidRPr="0004200E">
              <w:rPr>
                <w:rFonts w:hAnsiTheme="minorHAnsi" w:cstheme="minorHAnsi"/>
                <w:lang w:val="en-GB" w:eastAsia="en-GB"/>
              </w:rPr>
              <w:t>And this thing also depends on the pharmacist when he has good knowledge, which is a powerful weapon for him/her, so when conducting a discussion with doctors will be based on a scientific basis and not a personal opinion.Ph3</w:t>
            </w:r>
          </w:p>
        </w:tc>
        <w:tc>
          <w:tcPr>
            <w:tcW w:w="500" w:type="pct"/>
          </w:tcPr>
          <w:p w14:paraId="1B526E58" w14:textId="77777777" w:rsidR="00D355D5" w:rsidRDefault="00D355D5" w:rsidP="00282204">
            <w:pPr>
              <w:pStyle w:val="RightAlign"/>
              <w:spacing w:line="240" w:lineRule="auto"/>
            </w:pPr>
            <w:r>
              <w:t>2</w:t>
            </w:r>
          </w:p>
        </w:tc>
        <w:tc>
          <w:tcPr>
            <w:tcW w:w="500" w:type="pct"/>
          </w:tcPr>
          <w:p w14:paraId="445FED3A" w14:textId="77777777" w:rsidR="00D355D5" w:rsidRDefault="00D355D5" w:rsidP="00282204">
            <w:pPr>
              <w:pStyle w:val="RightAlign"/>
              <w:spacing w:line="240" w:lineRule="auto"/>
            </w:pPr>
            <w:r>
              <w:t>3</w:t>
            </w:r>
          </w:p>
        </w:tc>
      </w:tr>
      <w:tr w:rsidR="00D355D5" w14:paraId="777C0D4D"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774AA483" w14:textId="77777777" w:rsidR="00D355D5" w:rsidRDefault="00D355D5" w:rsidP="00282204">
            <w:pPr>
              <w:spacing w:line="240" w:lineRule="auto"/>
            </w:pPr>
            <w:r>
              <w:t>Lack of clinical pharmacists</w:t>
            </w:r>
            <w:r>
              <w:t>’</w:t>
            </w:r>
            <w:r>
              <w:t xml:space="preserve"> staff </w:t>
            </w:r>
          </w:p>
        </w:tc>
        <w:tc>
          <w:tcPr>
            <w:tcW w:w="2500" w:type="pct"/>
          </w:tcPr>
          <w:p w14:paraId="0596405C" w14:textId="77777777" w:rsidR="00D355D5" w:rsidRPr="00031A71" w:rsidRDefault="00D355D5" w:rsidP="00282204">
            <w:pPr>
              <w:spacing w:line="240" w:lineRule="auto"/>
              <w:jc w:val="both"/>
              <w:rPr>
                <w:rFonts w:hAnsiTheme="minorHAnsi" w:cstheme="minorHAnsi"/>
              </w:rPr>
            </w:pPr>
            <w:r w:rsidRPr="00031A71">
              <w:rPr>
                <w:rFonts w:hAnsiTheme="minorHAnsi" w:cstheme="minorHAnsi"/>
              </w:rPr>
              <w:t>We were looking forward to having clinical pharmacists in PHCs, each supervising a number of PHCs to serve chronic patients, Ph3</w:t>
            </w:r>
          </w:p>
        </w:tc>
        <w:tc>
          <w:tcPr>
            <w:tcW w:w="500" w:type="pct"/>
          </w:tcPr>
          <w:p w14:paraId="702FCC2E" w14:textId="77777777" w:rsidR="00D355D5" w:rsidRDefault="00D355D5" w:rsidP="00282204">
            <w:pPr>
              <w:pStyle w:val="RightAlign"/>
              <w:spacing w:line="240" w:lineRule="auto"/>
            </w:pPr>
            <w:r>
              <w:t>1</w:t>
            </w:r>
          </w:p>
        </w:tc>
        <w:tc>
          <w:tcPr>
            <w:tcW w:w="500" w:type="pct"/>
          </w:tcPr>
          <w:p w14:paraId="74B8FAD7" w14:textId="77777777" w:rsidR="00D355D5" w:rsidRDefault="00D355D5" w:rsidP="00282204">
            <w:pPr>
              <w:pStyle w:val="RightAlign"/>
              <w:spacing w:line="240" w:lineRule="auto"/>
            </w:pPr>
            <w:r>
              <w:t>1</w:t>
            </w:r>
          </w:p>
        </w:tc>
      </w:tr>
    </w:tbl>
    <w:p w14:paraId="30C96379" w14:textId="59D5B101" w:rsidR="00D355D5" w:rsidRDefault="00D355D5" w:rsidP="00632ED7">
      <w:r>
        <w:t>Codes\\Communication</w:t>
      </w:r>
    </w:p>
    <w:tbl>
      <w:tblPr>
        <w:tblStyle w:val="NodesTable"/>
        <w:tblW w:w="5000" w:type="pct"/>
        <w:tblInd w:w="0" w:type="dxa"/>
        <w:tblLook w:val="0420" w:firstRow="1" w:lastRow="0" w:firstColumn="0" w:lastColumn="0" w:noHBand="0" w:noVBand="1"/>
      </w:tblPr>
      <w:tblGrid>
        <w:gridCol w:w="2747"/>
        <w:gridCol w:w="4618"/>
        <w:gridCol w:w="877"/>
        <w:gridCol w:w="1113"/>
      </w:tblGrid>
      <w:tr w:rsidR="00D355D5" w14:paraId="415A463E"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38F9F917" w14:textId="77777777" w:rsidR="00D355D5" w:rsidRDefault="00D355D5" w:rsidP="00282204">
            <w:pPr>
              <w:pStyle w:val="TableHeader"/>
            </w:pPr>
            <w:r>
              <w:t>Name</w:t>
            </w:r>
          </w:p>
        </w:tc>
        <w:tc>
          <w:tcPr>
            <w:tcW w:w="2500" w:type="pct"/>
          </w:tcPr>
          <w:p w14:paraId="68D5C2EA" w14:textId="77777777" w:rsidR="00D355D5" w:rsidRDefault="00D355D5" w:rsidP="00282204">
            <w:pPr>
              <w:pStyle w:val="TableHeader"/>
            </w:pPr>
            <w:r>
              <w:t>Description</w:t>
            </w:r>
          </w:p>
        </w:tc>
        <w:tc>
          <w:tcPr>
            <w:tcW w:w="500" w:type="pct"/>
          </w:tcPr>
          <w:p w14:paraId="6BA389DC" w14:textId="77777777" w:rsidR="00D355D5" w:rsidRDefault="00D355D5" w:rsidP="00282204">
            <w:pPr>
              <w:pStyle w:val="TableHeader"/>
            </w:pPr>
            <w:r>
              <w:t>Files</w:t>
            </w:r>
          </w:p>
        </w:tc>
        <w:tc>
          <w:tcPr>
            <w:tcW w:w="500" w:type="pct"/>
          </w:tcPr>
          <w:p w14:paraId="7BECAA9D" w14:textId="77777777" w:rsidR="00D355D5" w:rsidRDefault="00D355D5" w:rsidP="00282204">
            <w:pPr>
              <w:pStyle w:val="TableHeader"/>
            </w:pPr>
            <w:r>
              <w:t>References</w:t>
            </w:r>
          </w:p>
        </w:tc>
      </w:tr>
      <w:tr w:rsidR="00D355D5" w14:paraId="26D6F197"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3F458015" w14:textId="77777777" w:rsidR="00D355D5" w:rsidRDefault="00D355D5" w:rsidP="00282204">
            <w:r>
              <w:t>Contacting</w:t>
            </w:r>
          </w:p>
        </w:tc>
        <w:tc>
          <w:tcPr>
            <w:tcW w:w="2500" w:type="pct"/>
          </w:tcPr>
          <w:p w14:paraId="684F6B03" w14:textId="77777777" w:rsidR="00D355D5" w:rsidRDefault="00D355D5" w:rsidP="00282204"/>
        </w:tc>
        <w:tc>
          <w:tcPr>
            <w:tcW w:w="500" w:type="pct"/>
          </w:tcPr>
          <w:p w14:paraId="49C93392" w14:textId="77777777" w:rsidR="00D355D5" w:rsidRDefault="00D355D5" w:rsidP="00282204">
            <w:pPr>
              <w:pStyle w:val="RightAlign"/>
            </w:pPr>
            <w:r>
              <w:t>1</w:t>
            </w:r>
          </w:p>
        </w:tc>
        <w:tc>
          <w:tcPr>
            <w:tcW w:w="500" w:type="pct"/>
          </w:tcPr>
          <w:p w14:paraId="46CC4DF1" w14:textId="77777777" w:rsidR="00D355D5" w:rsidRDefault="00D355D5" w:rsidP="00282204">
            <w:pPr>
              <w:pStyle w:val="RightAlign"/>
            </w:pPr>
            <w:r>
              <w:t>4</w:t>
            </w:r>
          </w:p>
        </w:tc>
      </w:tr>
      <w:tr w:rsidR="00D355D5" w14:paraId="793E2015"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1EFEFBEF" w14:textId="77777777" w:rsidR="00D355D5" w:rsidRDefault="00D355D5" w:rsidP="00282204">
            <w:r>
              <w:t xml:space="preserve">Doctor </w:t>
            </w:r>
          </w:p>
        </w:tc>
        <w:tc>
          <w:tcPr>
            <w:tcW w:w="2500" w:type="pct"/>
          </w:tcPr>
          <w:p w14:paraId="3713BDA4" w14:textId="77777777" w:rsidR="00D355D5" w:rsidRPr="006050F3" w:rsidRDefault="00D355D5" w:rsidP="00282204">
            <w:pPr>
              <w:spacing w:line="240" w:lineRule="auto"/>
              <w:jc w:val="both"/>
            </w:pPr>
            <w:r w:rsidRPr="006050F3">
              <w:t>So the information was shared by the pharmacist and said your patient is not taking the prescription he took only few tablets because he got a lot of stuck there in his home the message would be very clear that the patient is having poor compliance OK even if he did not come for refill at schedule refilled the pharmacist will you know analyse this information as a poor compliance,D2</w:t>
            </w:r>
            <w:r w:rsidRPr="006050F3">
              <w:t>…</w:t>
            </w:r>
            <w:r w:rsidRPr="006050F3">
              <w:t>.. so I think sharing the information through the team, the treating team,  will it is a very valuable any behavioural any let say a comment from the patient to the pharmacist is a valuable comment that might add a key role in the management of the chronic disease I think. D2</w:t>
            </w:r>
          </w:p>
        </w:tc>
        <w:tc>
          <w:tcPr>
            <w:tcW w:w="500" w:type="pct"/>
          </w:tcPr>
          <w:p w14:paraId="0B5F10CD" w14:textId="77777777" w:rsidR="00D355D5" w:rsidRDefault="00D355D5" w:rsidP="00282204">
            <w:pPr>
              <w:pStyle w:val="RightAlign"/>
            </w:pPr>
            <w:r>
              <w:t>1</w:t>
            </w:r>
          </w:p>
        </w:tc>
        <w:tc>
          <w:tcPr>
            <w:tcW w:w="500" w:type="pct"/>
          </w:tcPr>
          <w:p w14:paraId="5914423E" w14:textId="77777777" w:rsidR="00D355D5" w:rsidRDefault="00D355D5" w:rsidP="00282204">
            <w:pPr>
              <w:pStyle w:val="RightAlign"/>
            </w:pPr>
            <w:r>
              <w:t>1</w:t>
            </w:r>
          </w:p>
        </w:tc>
      </w:tr>
      <w:tr w:rsidR="00D355D5" w14:paraId="7EDCB026"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5F61C47B" w14:textId="77777777" w:rsidR="00D355D5" w:rsidRDefault="00D355D5" w:rsidP="00282204">
            <w:r>
              <w:t>Relationship</w:t>
            </w:r>
          </w:p>
        </w:tc>
        <w:tc>
          <w:tcPr>
            <w:tcW w:w="2500" w:type="pct"/>
          </w:tcPr>
          <w:p w14:paraId="44BB9074" w14:textId="77777777" w:rsidR="00D355D5" w:rsidRDefault="00D355D5" w:rsidP="00282204"/>
        </w:tc>
        <w:tc>
          <w:tcPr>
            <w:tcW w:w="500" w:type="pct"/>
          </w:tcPr>
          <w:p w14:paraId="6AA18FF3" w14:textId="77777777" w:rsidR="00D355D5" w:rsidRDefault="00D355D5" w:rsidP="00282204">
            <w:pPr>
              <w:pStyle w:val="RightAlign"/>
            </w:pPr>
            <w:r>
              <w:t>1</w:t>
            </w:r>
          </w:p>
        </w:tc>
        <w:tc>
          <w:tcPr>
            <w:tcW w:w="500" w:type="pct"/>
          </w:tcPr>
          <w:p w14:paraId="531C4700" w14:textId="77777777" w:rsidR="00D355D5" w:rsidRDefault="00D355D5" w:rsidP="00282204">
            <w:pPr>
              <w:pStyle w:val="RightAlign"/>
            </w:pPr>
            <w:r>
              <w:t>3</w:t>
            </w:r>
          </w:p>
        </w:tc>
      </w:tr>
    </w:tbl>
    <w:p w14:paraId="735EAA3F" w14:textId="77777777" w:rsidR="00D355D5" w:rsidRDefault="00D355D5" w:rsidP="00D355D5"/>
    <w:p w14:paraId="11B62A40" w14:textId="77777777" w:rsidR="00D355D5" w:rsidRDefault="00D355D5" w:rsidP="00D355D5">
      <w:r>
        <w:t>Codes\\Expectations</w:t>
      </w:r>
    </w:p>
    <w:p w14:paraId="147F9A5E" w14:textId="77777777" w:rsidR="00D355D5" w:rsidRDefault="00D355D5" w:rsidP="00D355D5">
      <w:r>
        <w:t>Healthcare providers expectations of pharmacists</w:t>
      </w:r>
    </w:p>
    <w:tbl>
      <w:tblPr>
        <w:tblStyle w:val="NodesTable"/>
        <w:tblW w:w="5000" w:type="pct"/>
        <w:tblInd w:w="0" w:type="dxa"/>
        <w:tblLook w:val="0420" w:firstRow="1" w:lastRow="0" w:firstColumn="0" w:lastColumn="0" w:noHBand="0" w:noVBand="1"/>
      </w:tblPr>
      <w:tblGrid>
        <w:gridCol w:w="2747"/>
        <w:gridCol w:w="4618"/>
        <w:gridCol w:w="877"/>
        <w:gridCol w:w="1113"/>
      </w:tblGrid>
      <w:tr w:rsidR="00D355D5" w14:paraId="4A2FD036"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7E51B5B4" w14:textId="77777777" w:rsidR="00D355D5" w:rsidRDefault="00D355D5" w:rsidP="00282204">
            <w:pPr>
              <w:pStyle w:val="TableHeader"/>
            </w:pPr>
            <w:r>
              <w:t>Name</w:t>
            </w:r>
          </w:p>
        </w:tc>
        <w:tc>
          <w:tcPr>
            <w:tcW w:w="2500" w:type="pct"/>
          </w:tcPr>
          <w:p w14:paraId="1FB4A504" w14:textId="77777777" w:rsidR="00D355D5" w:rsidRDefault="00D355D5" w:rsidP="00282204">
            <w:pPr>
              <w:pStyle w:val="TableHeader"/>
            </w:pPr>
            <w:r>
              <w:t>Description</w:t>
            </w:r>
          </w:p>
        </w:tc>
        <w:tc>
          <w:tcPr>
            <w:tcW w:w="500" w:type="pct"/>
          </w:tcPr>
          <w:p w14:paraId="702B5035" w14:textId="77777777" w:rsidR="00D355D5" w:rsidRDefault="00D355D5" w:rsidP="00282204">
            <w:pPr>
              <w:pStyle w:val="TableHeader"/>
            </w:pPr>
            <w:r>
              <w:t>Files</w:t>
            </w:r>
          </w:p>
        </w:tc>
        <w:tc>
          <w:tcPr>
            <w:tcW w:w="500" w:type="pct"/>
          </w:tcPr>
          <w:p w14:paraId="48B10594" w14:textId="77777777" w:rsidR="00D355D5" w:rsidRDefault="00D355D5" w:rsidP="00282204">
            <w:pPr>
              <w:pStyle w:val="TableHeader"/>
            </w:pPr>
            <w:r>
              <w:t>References</w:t>
            </w:r>
          </w:p>
        </w:tc>
      </w:tr>
      <w:tr w:rsidR="00D355D5" w14:paraId="7D5EDF79"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27539277" w14:textId="77777777" w:rsidR="00D355D5" w:rsidRDefault="00D355D5" w:rsidP="00282204">
            <w:r>
              <w:t xml:space="preserve">Doctor </w:t>
            </w:r>
          </w:p>
        </w:tc>
        <w:tc>
          <w:tcPr>
            <w:tcW w:w="2500" w:type="pct"/>
          </w:tcPr>
          <w:p w14:paraId="4C26B9D1" w14:textId="77777777" w:rsidR="00D355D5" w:rsidRDefault="00D355D5" w:rsidP="00282204">
            <w:pPr>
              <w:spacing w:line="240" w:lineRule="auto"/>
              <w:jc w:val="both"/>
              <w:rPr>
                <w:lang w:val="en-GB"/>
              </w:rPr>
            </w:pPr>
            <w:r w:rsidRPr="00AF206A">
              <w:rPr>
                <w:lang w:val="en-GB"/>
              </w:rPr>
              <w:t>I'm expecting to have you know</w:t>
            </w:r>
            <w:r>
              <w:rPr>
                <w:lang w:val="en-GB"/>
              </w:rPr>
              <w:t xml:space="preserve"> involvement of the pharmacist more in the </w:t>
            </w:r>
            <w:r w:rsidRPr="00EA0896">
              <w:rPr>
                <w:lang w:val="en-GB"/>
              </w:rPr>
              <w:t>decision for initiation</w:t>
            </w:r>
            <w:r>
              <w:rPr>
                <w:lang w:val="en-GB"/>
              </w:rPr>
              <w:t xml:space="preserve"> of</w:t>
            </w:r>
            <w:r w:rsidRPr="00EA0896">
              <w:rPr>
                <w:lang w:val="en-GB"/>
              </w:rPr>
              <w:t xml:space="preserve"> medication </w:t>
            </w:r>
            <w:r>
              <w:rPr>
                <w:lang w:val="en-GB"/>
              </w:rPr>
              <w:t>be</w:t>
            </w:r>
            <w:r w:rsidRPr="00EA0896">
              <w:rPr>
                <w:lang w:val="en-GB"/>
              </w:rPr>
              <w:t xml:space="preserve">cause we don't have a clear guidance of the first line here </w:t>
            </w:r>
            <w:r>
              <w:rPr>
                <w:lang w:val="en-GB"/>
              </w:rPr>
              <w:t xml:space="preserve">in SA. D2 </w:t>
            </w:r>
          </w:p>
          <w:p w14:paraId="04B377EC" w14:textId="77777777" w:rsidR="00D355D5" w:rsidRPr="006050F3" w:rsidRDefault="00D355D5" w:rsidP="00282204">
            <w:pPr>
              <w:spacing w:line="240" w:lineRule="auto"/>
              <w:jc w:val="both"/>
              <w:rPr>
                <w:lang w:val="en-GB"/>
              </w:rPr>
            </w:pPr>
            <w:r w:rsidRPr="006050F3">
              <w:rPr>
                <w:lang w:val="en-GB"/>
              </w:rPr>
              <w:t>you know the refill issue I always have sometimes 15 visits just for refill or 15 calls just for refills. I have seen even in the tertiary hospitals the nurse is responsible for refill medication. and I'm wondering if this role should be directed to the pharmacist at least to have the pharmacist to do refill D2</w:t>
            </w:r>
            <w:r w:rsidRPr="006050F3">
              <w:rPr>
                <w:lang w:val="en-GB"/>
              </w:rPr>
              <w:t>…</w:t>
            </w:r>
            <w:r w:rsidRPr="006050F3">
              <w:rPr>
                <w:lang w:val="en-GB"/>
              </w:rPr>
              <w:t xml:space="preserve"> so the pharmacist this number one, the role of refill might be given to the pharmacists. Number 2 with regard of the very clear you know indication of the pharmacological treatment  sometimes we get condition like for example the UTI in female so any symptomatic UTI could be prescribed antibiotics unless it is  contraindicated otherwise I don't have to confirm the diagnosis, this is also another role, another one for thyroid function it is easy to adjust thyroid medication so if somebody who's already diagnosed after confirmation of two measurement of TSH and T4 and he already stable so I think the clinical pharmacist can adjust the dose and totally you know manage the hypothyroidism patient by dispending same dose or adjusting the medication. I think there is many rules in the chronic disease and non-chronic disease for the clinical pharmacist especially at primary care it is is tailored and you know the risk management, the risk have been studied Well and controlled I think they might have a very clear role in more than 10 maybe conditions that should be managed totally under supervision of minimal consultation with the Gp of family physician.D2 </w:t>
            </w:r>
          </w:p>
          <w:p w14:paraId="740C48E9" w14:textId="77777777" w:rsidR="00D355D5" w:rsidRPr="006050F3" w:rsidRDefault="00D355D5" w:rsidP="00282204">
            <w:pPr>
              <w:spacing w:line="240" w:lineRule="auto"/>
              <w:jc w:val="both"/>
              <w:rPr>
                <w:lang w:val="en-GB"/>
              </w:rPr>
            </w:pPr>
            <w:r w:rsidRPr="006050F3">
              <w:rPr>
                <w:lang w:val="en-GB"/>
              </w:rPr>
              <w:t>Yeah agree. also I think drug drug interaction we have notice sometimes specially if the patient have a complex medical condition supposing he have heart failure he is following up in the cardiac centre and he also having diabetes hypertension he's getting osteoarthritis, he's following in the orthopaedic, he is having hypothyroidism he is flowing up with endocrine and sometimes we have found that patient have or on  2 types of beta blockers or2 types of ACE inhibitors or one ACE plus one ARBs so I think this is now the any kind of services that might improve the drug drug interaction or the issues of polypharmacy is very crucial.D2</w:t>
            </w:r>
          </w:p>
        </w:tc>
        <w:tc>
          <w:tcPr>
            <w:tcW w:w="500" w:type="pct"/>
          </w:tcPr>
          <w:p w14:paraId="16560AFB" w14:textId="77777777" w:rsidR="00D355D5" w:rsidRDefault="00D355D5" w:rsidP="00282204">
            <w:pPr>
              <w:pStyle w:val="RightAlign"/>
            </w:pPr>
            <w:r>
              <w:t>1</w:t>
            </w:r>
          </w:p>
        </w:tc>
        <w:tc>
          <w:tcPr>
            <w:tcW w:w="500" w:type="pct"/>
          </w:tcPr>
          <w:p w14:paraId="7DF00E3B" w14:textId="77777777" w:rsidR="00D355D5" w:rsidRDefault="00D355D5" w:rsidP="00282204">
            <w:pPr>
              <w:pStyle w:val="RightAlign"/>
            </w:pPr>
            <w:r>
              <w:t>5</w:t>
            </w:r>
          </w:p>
        </w:tc>
      </w:tr>
      <w:tr w:rsidR="00D355D5" w14:paraId="7A8400EE"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3BB0107B" w14:textId="77777777" w:rsidR="00D355D5" w:rsidRDefault="00D355D5" w:rsidP="00282204">
            <w:r>
              <w:t xml:space="preserve">Pharmacists </w:t>
            </w:r>
          </w:p>
        </w:tc>
        <w:tc>
          <w:tcPr>
            <w:tcW w:w="2500" w:type="pct"/>
          </w:tcPr>
          <w:p w14:paraId="6C750B55" w14:textId="77777777" w:rsidR="00D355D5" w:rsidRPr="00CE5C34" w:rsidRDefault="00D355D5" w:rsidP="00282204">
            <w:pPr>
              <w:spacing w:line="240" w:lineRule="auto"/>
              <w:jc w:val="both"/>
              <w:rPr>
                <w:lang w:val="en-GB"/>
              </w:rPr>
            </w:pPr>
            <w:r w:rsidRPr="00CE5C34">
              <w:rPr>
                <w:lang w:val="en-GB"/>
              </w:rPr>
              <w:t>From my perspective, a pharmacist can play such an active role in the healthcare system nowadays to provide safe, effective, affordable medications to patients.Ph2</w:t>
            </w:r>
          </w:p>
        </w:tc>
        <w:tc>
          <w:tcPr>
            <w:tcW w:w="500" w:type="pct"/>
          </w:tcPr>
          <w:p w14:paraId="6140B51C" w14:textId="77777777" w:rsidR="00D355D5" w:rsidRDefault="00D355D5" w:rsidP="00282204">
            <w:pPr>
              <w:pStyle w:val="RightAlign"/>
            </w:pPr>
            <w:r>
              <w:t>1</w:t>
            </w:r>
          </w:p>
          <w:p w14:paraId="0A70EF7B" w14:textId="77777777" w:rsidR="00D355D5" w:rsidRDefault="00D355D5" w:rsidP="00282204">
            <w:pPr>
              <w:pStyle w:val="RightAlign"/>
            </w:pPr>
            <w:r>
              <w:t>3</w:t>
            </w:r>
          </w:p>
        </w:tc>
        <w:tc>
          <w:tcPr>
            <w:tcW w:w="500" w:type="pct"/>
          </w:tcPr>
          <w:p w14:paraId="29A00246" w14:textId="77777777" w:rsidR="00D355D5" w:rsidRDefault="00D355D5" w:rsidP="00282204">
            <w:pPr>
              <w:pStyle w:val="RightAlign"/>
            </w:pPr>
            <w:r>
              <w:t>3</w:t>
            </w:r>
          </w:p>
        </w:tc>
      </w:tr>
      <w:tr w:rsidR="00D355D5" w14:paraId="15EE2651"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3524B1EF" w14:textId="77777777" w:rsidR="00D355D5" w:rsidRDefault="00D355D5" w:rsidP="00282204">
            <w:r>
              <w:t xml:space="preserve">Nurses </w:t>
            </w:r>
          </w:p>
        </w:tc>
        <w:tc>
          <w:tcPr>
            <w:tcW w:w="2500" w:type="pct"/>
          </w:tcPr>
          <w:p w14:paraId="5BCAE0E2" w14:textId="77777777" w:rsidR="00D355D5" w:rsidRPr="00CE5C34" w:rsidRDefault="00D355D5" w:rsidP="00282204">
            <w:pPr>
              <w:spacing w:line="240" w:lineRule="auto"/>
              <w:jc w:val="both"/>
              <w:rPr>
                <w:lang w:val="en-GB"/>
              </w:rPr>
            </w:pPr>
            <w:r w:rsidRPr="00CE5C34">
              <w:rPr>
                <w:lang w:val="en-GB"/>
              </w:rPr>
              <w:t>I expect the pharmacist to be able to practice health education. N3</w:t>
            </w:r>
          </w:p>
          <w:p w14:paraId="11222DBF" w14:textId="77777777" w:rsidR="00D355D5" w:rsidRPr="00CE5C34" w:rsidRDefault="00D355D5" w:rsidP="00282204">
            <w:pPr>
              <w:spacing w:line="240" w:lineRule="auto"/>
              <w:jc w:val="both"/>
              <w:rPr>
                <w:lang w:val="en-GB"/>
              </w:rPr>
            </w:pPr>
            <w:r w:rsidRPr="00CE5C34">
              <w:rPr>
                <w:lang w:val="en-GB"/>
              </w:rPr>
              <w:t>Yes, the pharmacist's role in health education is vital. N3</w:t>
            </w:r>
          </w:p>
        </w:tc>
        <w:tc>
          <w:tcPr>
            <w:tcW w:w="500" w:type="pct"/>
          </w:tcPr>
          <w:p w14:paraId="6741C496" w14:textId="77777777" w:rsidR="00D355D5" w:rsidRDefault="00D355D5" w:rsidP="00282204">
            <w:pPr>
              <w:pStyle w:val="RightAlign"/>
            </w:pPr>
            <w:r>
              <w:t>4</w:t>
            </w:r>
          </w:p>
        </w:tc>
        <w:tc>
          <w:tcPr>
            <w:tcW w:w="500" w:type="pct"/>
          </w:tcPr>
          <w:p w14:paraId="611FA447" w14:textId="77777777" w:rsidR="00D355D5" w:rsidRDefault="00D355D5" w:rsidP="00282204">
            <w:pPr>
              <w:pStyle w:val="RightAlign"/>
            </w:pPr>
            <w:r>
              <w:t>8</w:t>
            </w:r>
          </w:p>
        </w:tc>
      </w:tr>
    </w:tbl>
    <w:p w14:paraId="068D28E5" w14:textId="77777777" w:rsidR="00D355D5" w:rsidRDefault="00D355D5" w:rsidP="00D355D5">
      <w:pPr>
        <w:pStyle w:val="FolderDescription"/>
      </w:pPr>
    </w:p>
    <w:p w14:paraId="70669BCD" w14:textId="77777777" w:rsidR="00D355D5" w:rsidRDefault="00D355D5" w:rsidP="00D355D5">
      <w:r>
        <w:t>Codes\\Experiences</w:t>
      </w:r>
    </w:p>
    <w:tbl>
      <w:tblPr>
        <w:tblStyle w:val="NodesTable"/>
        <w:tblW w:w="5000" w:type="pct"/>
        <w:tblInd w:w="0" w:type="dxa"/>
        <w:tblLook w:val="0420" w:firstRow="1" w:lastRow="0" w:firstColumn="0" w:lastColumn="0" w:noHBand="0" w:noVBand="1"/>
      </w:tblPr>
      <w:tblGrid>
        <w:gridCol w:w="2747"/>
        <w:gridCol w:w="4618"/>
        <w:gridCol w:w="877"/>
        <w:gridCol w:w="1113"/>
      </w:tblGrid>
      <w:tr w:rsidR="00D355D5" w14:paraId="63848E6A"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2B73F3AC" w14:textId="77777777" w:rsidR="00D355D5" w:rsidRDefault="00D355D5" w:rsidP="00282204">
            <w:pPr>
              <w:pStyle w:val="TableHeader"/>
            </w:pPr>
            <w:r>
              <w:t>Name</w:t>
            </w:r>
          </w:p>
        </w:tc>
        <w:tc>
          <w:tcPr>
            <w:tcW w:w="2500" w:type="pct"/>
          </w:tcPr>
          <w:p w14:paraId="1A57CC0D" w14:textId="77777777" w:rsidR="00D355D5" w:rsidRDefault="00D355D5" w:rsidP="00282204">
            <w:pPr>
              <w:pStyle w:val="TableHeader"/>
            </w:pPr>
            <w:r>
              <w:t xml:space="preserve">Description/Examples </w:t>
            </w:r>
          </w:p>
        </w:tc>
        <w:tc>
          <w:tcPr>
            <w:tcW w:w="500" w:type="pct"/>
          </w:tcPr>
          <w:p w14:paraId="353BDBE6" w14:textId="77777777" w:rsidR="00D355D5" w:rsidRDefault="00D355D5" w:rsidP="00282204">
            <w:pPr>
              <w:pStyle w:val="TableHeader"/>
            </w:pPr>
            <w:r>
              <w:t>Files</w:t>
            </w:r>
          </w:p>
        </w:tc>
        <w:tc>
          <w:tcPr>
            <w:tcW w:w="500" w:type="pct"/>
          </w:tcPr>
          <w:p w14:paraId="546FE3D7" w14:textId="77777777" w:rsidR="00D355D5" w:rsidRDefault="00D355D5" w:rsidP="00282204">
            <w:pPr>
              <w:pStyle w:val="TableHeader"/>
            </w:pPr>
            <w:r>
              <w:t>References</w:t>
            </w:r>
          </w:p>
        </w:tc>
      </w:tr>
      <w:tr w:rsidR="00D355D5" w14:paraId="5BD25D25"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6F585424" w14:textId="77777777" w:rsidR="00D355D5" w:rsidRDefault="00D355D5" w:rsidP="00282204">
            <w:r>
              <w:t>Bad</w:t>
            </w:r>
          </w:p>
        </w:tc>
        <w:tc>
          <w:tcPr>
            <w:tcW w:w="2500" w:type="pct"/>
          </w:tcPr>
          <w:p w14:paraId="2AA0EEE7" w14:textId="77777777" w:rsidR="00D355D5" w:rsidRDefault="00D355D5" w:rsidP="00282204">
            <w:r w:rsidRPr="00112B84">
              <w:rPr>
                <w:rFonts w:hAnsiTheme="minorHAnsi" w:cstheme="minorHAnsi"/>
                <w:lang w:val="en-GB" w:eastAsia="en-GB"/>
              </w:rPr>
              <w:t>we faced a lot of pharmacist that even they don't speak with the with the patient just writing one two or something like that next please,</w:t>
            </w:r>
            <w:r>
              <w:rPr>
                <w:rFonts w:hAnsiTheme="minorHAnsi" w:cstheme="minorHAnsi"/>
                <w:lang w:val="en-GB" w:eastAsia="en-GB"/>
              </w:rPr>
              <w:t xml:space="preserve"> and ..D1</w:t>
            </w:r>
          </w:p>
        </w:tc>
        <w:tc>
          <w:tcPr>
            <w:tcW w:w="500" w:type="pct"/>
          </w:tcPr>
          <w:p w14:paraId="7AF9D746" w14:textId="77777777" w:rsidR="00D355D5" w:rsidRDefault="00D355D5" w:rsidP="00282204">
            <w:pPr>
              <w:pStyle w:val="RightAlign"/>
            </w:pPr>
            <w:r>
              <w:t>1</w:t>
            </w:r>
          </w:p>
        </w:tc>
        <w:tc>
          <w:tcPr>
            <w:tcW w:w="500" w:type="pct"/>
          </w:tcPr>
          <w:p w14:paraId="5DC4A3F2" w14:textId="77777777" w:rsidR="00D355D5" w:rsidRDefault="00D355D5" w:rsidP="00282204">
            <w:pPr>
              <w:pStyle w:val="RightAlign"/>
            </w:pPr>
            <w:r>
              <w:t>1</w:t>
            </w:r>
          </w:p>
        </w:tc>
      </w:tr>
      <w:tr w:rsidR="00D355D5" w14:paraId="1E3D6D34"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304C334D" w14:textId="77777777" w:rsidR="00D355D5" w:rsidRDefault="00D355D5" w:rsidP="00282204">
            <w:r>
              <w:t xml:space="preserve">Neutral </w:t>
            </w:r>
          </w:p>
        </w:tc>
        <w:tc>
          <w:tcPr>
            <w:tcW w:w="2500" w:type="pct"/>
          </w:tcPr>
          <w:p w14:paraId="7658E929" w14:textId="77777777" w:rsidR="00D355D5" w:rsidRPr="00112B84" w:rsidRDefault="00D355D5" w:rsidP="00282204">
            <w:pPr>
              <w:rPr>
                <w:rFonts w:hAnsiTheme="minorHAnsi" w:cstheme="minorHAnsi"/>
                <w:lang w:val="en-GB" w:eastAsia="en-GB"/>
              </w:rPr>
            </w:pPr>
            <w:r w:rsidRPr="00FC6590">
              <w:rPr>
                <w:rFonts w:hAnsiTheme="minorHAnsi" w:cstheme="minorHAnsi"/>
              </w:rPr>
              <w:t>I have worked in health centres for 10 years, and for the first 5 years, I worked with pharmacists. Our experience or relationship with the pharmacist was superficial. If we needed medicine, they would dispense it to us. Sometimes, if there is an inquiry about a specific drug we use in the clinic, we ask them about the medication action and the side effects of it in brief, and this matter is rarely, and not often, I mean.</w:t>
            </w:r>
            <w:r>
              <w:rPr>
                <w:rFonts w:hAnsiTheme="minorHAnsi" w:cstheme="minorHAnsi"/>
              </w:rPr>
              <w:t xml:space="preserve"> N1</w:t>
            </w:r>
          </w:p>
        </w:tc>
        <w:tc>
          <w:tcPr>
            <w:tcW w:w="500" w:type="pct"/>
          </w:tcPr>
          <w:p w14:paraId="4BF5C214" w14:textId="77777777" w:rsidR="00D355D5" w:rsidRDefault="00D355D5" w:rsidP="00282204">
            <w:pPr>
              <w:pStyle w:val="RightAlign"/>
            </w:pPr>
            <w:r>
              <w:t>1</w:t>
            </w:r>
          </w:p>
        </w:tc>
        <w:tc>
          <w:tcPr>
            <w:tcW w:w="500" w:type="pct"/>
          </w:tcPr>
          <w:p w14:paraId="2E236098" w14:textId="77777777" w:rsidR="00D355D5" w:rsidRDefault="00D355D5" w:rsidP="00282204">
            <w:pPr>
              <w:pStyle w:val="RightAlign"/>
            </w:pPr>
            <w:r>
              <w:t>1</w:t>
            </w:r>
          </w:p>
        </w:tc>
      </w:tr>
      <w:tr w:rsidR="00D355D5" w14:paraId="1C6A31B0"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35933065" w14:textId="77777777" w:rsidR="00D355D5" w:rsidRDefault="00D355D5" w:rsidP="00282204">
            <w:r w:rsidRPr="00CE5C34">
              <w:rPr>
                <w:lang w:val="en-GB"/>
              </w:rPr>
              <w:t xml:space="preserve">Good </w:t>
            </w:r>
          </w:p>
        </w:tc>
        <w:tc>
          <w:tcPr>
            <w:tcW w:w="2500" w:type="pct"/>
          </w:tcPr>
          <w:p w14:paraId="6AB457A0" w14:textId="77777777" w:rsidR="00D355D5" w:rsidRDefault="00D355D5" w:rsidP="00282204">
            <w:r>
              <w:t>For example: Job satisfaction ?!</w:t>
            </w:r>
          </w:p>
        </w:tc>
        <w:tc>
          <w:tcPr>
            <w:tcW w:w="500" w:type="pct"/>
          </w:tcPr>
          <w:p w14:paraId="23927329" w14:textId="77777777" w:rsidR="00D355D5" w:rsidRDefault="00D355D5" w:rsidP="00282204">
            <w:pPr>
              <w:pStyle w:val="RightAlign"/>
            </w:pPr>
            <w:r>
              <w:t>8</w:t>
            </w:r>
          </w:p>
        </w:tc>
        <w:tc>
          <w:tcPr>
            <w:tcW w:w="500" w:type="pct"/>
          </w:tcPr>
          <w:p w14:paraId="4458C429" w14:textId="77777777" w:rsidR="00D355D5" w:rsidRDefault="00D355D5" w:rsidP="00282204">
            <w:pPr>
              <w:pStyle w:val="RightAlign"/>
            </w:pPr>
            <w:r>
              <w:t>13</w:t>
            </w:r>
          </w:p>
        </w:tc>
      </w:tr>
      <w:tr w:rsidR="00D355D5" w14:paraId="5372E5FA"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3100E9C8" w14:textId="77777777" w:rsidR="00D355D5" w:rsidRPr="00CE5C34" w:rsidRDefault="00D355D5" w:rsidP="00282204">
            <w:pPr>
              <w:spacing w:line="240" w:lineRule="auto"/>
              <w:jc w:val="both"/>
              <w:rPr>
                <w:lang w:val="en-GB"/>
              </w:rPr>
            </w:pPr>
            <w:r>
              <w:t>Doctor</w:t>
            </w:r>
          </w:p>
        </w:tc>
        <w:tc>
          <w:tcPr>
            <w:tcW w:w="2500" w:type="pct"/>
          </w:tcPr>
          <w:p w14:paraId="0B156404" w14:textId="77777777" w:rsidR="00D355D5" w:rsidRPr="00DB7DBA" w:rsidRDefault="00D355D5" w:rsidP="00282204">
            <w:pPr>
              <w:spacing w:line="240" w:lineRule="auto"/>
              <w:jc w:val="both"/>
              <w:rPr>
                <w:rFonts w:hAnsiTheme="minorHAnsi" w:cstheme="minorHAnsi"/>
                <w:lang w:val="en-GB"/>
              </w:rPr>
            </w:pPr>
            <w:r w:rsidRPr="00DB7DBA">
              <w:rPr>
                <w:rFonts w:hAnsiTheme="minorHAnsi" w:cstheme="minorHAnsi"/>
                <w:lang w:val="en-GB"/>
              </w:rPr>
              <w:t>It was good. It was reassuring having somebody close by with more information about the drugs because pharmacists are superior to doctors in the knowledge of drugs, their components, their side effects, their medical use. So personally, I always call the pharmacist; even when I worked in the emergency department, I always contact them by phone by the ground lines, and I always ask questions if I have any doubts about the drug or if I have a question about the availability of the drug or whether I can or cannot use it as a General practitioner.</w:t>
            </w:r>
            <w:r>
              <w:rPr>
                <w:rFonts w:hAnsiTheme="minorHAnsi" w:cstheme="minorHAnsi"/>
                <w:lang w:val="en-GB"/>
              </w:rPr>
              <w:t xml:space="preserve"> D1</w:t>
            </w:r>
          </w:p>
          <w:p w14:paraId="4EAAB66F" w14:textId="77777777" w:rsidR="00D355D5" w:rsidRPr="00DB7DBA" w:rsidRDefault="00D355D5" w:rsidP="00282204">
            <w:pPr>
              <w:spacing w:line="240" w:lineRule="auto"/>
              <w:jc w:val="both"/>
              <w:rPr>
                <w:rFonts w:hAnsiTheme="minorHAnsi" w:cstheme="minorHAnsi"/>
                <w:lang w:val="en-GB"/>
              </w:rPr>
            </w:pPr>
            <w:r w:rsidRPr="00DB7DBA">
              <w:rPr>
                <w:rFonts w:hAnsiTheme="minorHAnsi" w:cstheme="minorHAnsi"/>
                <w:lang w:val="en-GB"/>
              </w:rPr>
              <w:t>I was lucky to have somebody who is more eager and expert in the pharmacy, he is having/holding bachelor’s degree so always we have a lovely discussion about the changing the plan or shifting from one to another brand or another classes equivalent and what is the equivalent dose how to shift, it is yes, yeah. D1</w:t>
            </w:r>
          </w:p>
          <w:p w14:paraId="06259705" w14:textId="77777777" w:rsidR="00D355D5" w:rsidRPr="00DB7DBA" w:rsidRDefault="00D355D5" w:rsidP="00282204">
            <w:pPr>
              <w:spacing w:line="240" w:lineRule="auto"/>
              <w:jc w:val="both"/>
              <w:rPr>
                <w:rFonts w:hAnsiTheme="minorHAnsi" w:cstheme="minorHAnsi"/>
                <w:lang w:val="en-GB"/>
              </w:rPr>
            </w:pPr>
            <w:r w:rsidRPr="00DB7DBA">
              <w:rPr>
                <w:rFonts w:hAnsiTheme="minorHAnsi" w:cstheme="minorHAnsi"/>
                <w:lang w:val="en-GB" w:eastAsia="en-GB"/>
              </w:rPr>
              <w:t>and we face somebody who was eager D2</w:t>
            </w:r>
          </w:p>
        </w:tc>
        <w:tc>
          <w:tcPr>
            <w:tcW w:w="500" w:type="pct"/>
          </w:tcPr>
          <w:p w14:paraId="6B1F545C" w14:textId="77777777" w:rsidR="00D355D5" w:rsidRDefault="00D355D5" w:rsidP="00282204">
            <w:pPr>
              <w:pStyle w:val="RightAlign"/>
            </w:pPr>
            <w:r>
              <w:t>2</w:t>
            </w:r>
          </w:p>
        </w:tc>
        <w:tc>
          <w:tcPr>
            <w:tcW w:w="500" w:type="pct"/>
          </w:tcPr>
          <w:p w14:paraId="2BF43A72" w14:textId="77777777" w:rsidR="00D355D5" w:rsidRDefault="00D355D5" w:rsidP="00282204">
            <w:pPr>
              <w:pStyle w:val="RightAlign"/>
            </w:pPr>
            <w:r>
              <w:t>3</w:t>
            </w:r>
          </w:p>
        </w:tc>
      </w:tr>
      <w:tr w:rsidR="00D355D5" w14:paraId="1DB0469D"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79ED9B5B" w14:textId="77777777" w:rsidR="00D355D5" w:rsidRDefault="00D355D5" w:rsidP="00282204">
            <w:r>
              <w:t xml:space="preserve">Pharmacists </w:t>
            </w:r>
          </w:p>
        </w:tc>
        <w:tc>
          <w:tcPr>
            <w:tcW w:w="2500" w:type="pct"/>
          </w:tcPr>
          <w:p w14:paraId="2B6DF5B6" w14:textId="77777777" w:rsidR="00D355D5" w:rsidRDefault="00D355D5" w:rsidP="00282204">
            <w:pPr>
              <w:rPr>
                <w:lang w:val="en-GB"/>
              </w:rPr>
            </w:pPr>
            <w:r w:rsidRPr="003131A9">
              <w:rPr>
                <w:lang w:val="en-GB"/>
              </w:rPr>
              <w:t>My relationship as a pharmacist with patients and doctors in the health centre was closer than it is currently in the hospital; since the place is smaller, the number of patients is less, and the patient</w:t>
            </w:r>
            <w:r w:rsidRPr="003131A9">
              <w:rPr>
                <w:lang w:val="en-GB"/>
              </w:rPr>
              <w:t>’</w:t>
            </w:r>
            <w:r w:rsidRPr="003131A9">
              <w:rPr>
                <w:lang w:val="en-GB"/>
              </w:rPr>
              <w:t>s frequency to the centre is more. Hence, our relationship as a team is like the family relationship.</w:t>
            </w:r>
            <w:r>
              <w:rPr>
                <w:lang w:val="en-GB"/>
              </w:rPr>
              <w:t xml:space="preserve"> </w:t>
            </w:r>
            <w:r w:rsidRPr="003131A9">
              <w:rPr>
                <w:lang w:val="en-GB"/>
              </w:rPr>
              <w:t>Ph1</w:t>
            </w:r>
          </w:p>
          <w:p w14:paraId="34780023" w14:textId="77777777" w:rsidR="00D355D5" w:rsidRDefault="00D355D5" w:rsidP="00282204">
            <w:pPr>
              <w:spacing w:line="240" w:lineRule="auto"/>
              <w:rPr>
                <w:lang w:val="en-GB"/>
              </w:rPr>
            </w:pPr>
            <w:r w:rsidRPr="008A3CED">
              <w:rPr>
                <w:lang w:val="en-GB"/>
              </w:rPr>
              <w:t>It was a fantastic (excellent) experience. Ph1</w:t>
            </w:r>
          </w:p>
          <w:p w14:paraId="7AAA2151" w14:textId="77777777" w:rsidR="00D355D5" w:rsidRPr="00051FAD" w:rsidRDefault="00D355D5" w:rsidP="00282204">
            <w:pPr>
              <w:spacing w:line="240" w:lineRule="auto"/>
              <w:jc w:val="both"/>
              <w:rPr>
                <w:lang w:val="en-GB"/>
              </w:rPr>
            </w:pPr>
            <w:r w:rsidRPr="00051FAD">
              <w:rPr>
                <w:lang w:val="en-GB"/>
              </w:rPr>
              <w:t>It is a nice feeling. I feel job satisfaction from doing my role as a pharmacist rather than a dispenser. When I discuss the doctor, I feel proud of my profession as a pharmacist. Ph1</w:t>
            </w:r>
          </w:p>
          <w:p w14:paraId="6BCD2220" w14:textId="77777777" w:rsidR="00D355D5" w:rsidRPr="008A3CED" w:rsidRDefault="00D355D5" w:rsidP="00282204">
            <w:pPr>
              <w:spacing w:line="240" w:lineRule="auto"/>
              <w:jc w:val="both"/>
              <w:rPr>
                <w:lang w:val="en-GB"/>
              </w:rPr>
            </w:pPr>
            <w:r w:rsidRPr="008A3CED">
              <w:rPr>
                <w:lang w:val="en-GB"/>
              </w:rPr>
              <w:t>My experience working in a primary care pharmacy was different. I feel it brings me closer to the patients. Communication is easier and, in general, more patient-focused than in the hospital. I feel there is a difference between the hospital and the primary care centres in how to deal with patients.</w:t>
            </w:r>
            <w:r>
              <w:rPr>
                <w:lang w:val="en-GB"/>
              </w:rPr>
              <w:t xml:space="preserve"> </w:t>
            </w:r>
            <w:r w:rsidRPr="008A3CED">
              <w:rPr>
                <w:lang w:val="en-GB"/>
              </w:rPr>
              <w:t>Ph2</w:t>
            </w:r>
          </w:p>
          <w:p w14:paraId="37A30FA6" w14:textId="77777777" w:rsidR="00D355D5" w:rsidRPr="003131A9" w:rsidRDefault="00D355D5" w:rsidP="00282204">
            <w:pPr>
              <w:spacing w:line="240" w:lineRule="auto"/>
              <w:jc w:val="both"/>
              <w:rPr>
                <w:lang w:val="en-GB"/>
              </w:rPr>
            </w:pPr>
            <w:r w:rsidRPr="008A3CED">
              <w:rPr>
                <w:lang w:val="en-GB"/>
              </w:rPr>
              <w:t>In PHCs, there are limited staff there, so you feel it is easy to reach and communicate with them. The conflict within PHCs staff is less than in the hospital, and access to staff is easier. We work as a family in the PHCs.Ph2</w:t>
            </w:r>
          </w:p>
        </w:tc>
        <w:tc>
          <w:tcPr>
            <w:tcW w:w="500" w:type="pct"/>
          </w:tcPr>
          <w:p w14:paraId="059C2E0C" w14:textId="77777777" w:rsidR="00D355D5" w:rsidRDefault="00D355D5" w:rsidP="00282204">
            <w:pPr>
              <w:pStyle w:val="RightAlign"/>
            </w:pPr>
            <w:r>
              <w:t>3</w:t>
            </w:r>
          </w:p>
        </w:tc>
        <w:tc>
          <w:tcPr>
            <w:tcW w:w="500" w:type="pct"/>
          </w:tcPr>
          <w:p w14:paraId="539F348F" w14:textId="77777777" w:rsidR="00D355D5" w:rsidRDefault="00D355D5" w:rsidP="00282204">
            <w:pPr>
              <w:pStyle w:val="RightAlign"/>
            </w:pPr>
            <w:r>
              <w:t>5</w:t>
            </w:r>
          </w:p>
        </w:tc>
      </w:tr>
      <w:tr w:rsidR="00D355D5" w14:paraId="26C1BD21"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0E91C7C2" w14:textId="77777777" w:rsidR="00D355D5" w:rsidRDefault="00D355D5" w:rsidP="00282204">
            <w:r>
              <w:t xml:space="preserve">Nurses </w:t>
            </w:r>
          </w:p>
        </w:tc>
        <w:tc>
          <w:tcPr>
            <w:tcW w:w="2500" w:type="pct"/>
          </w:tcPr>
          <w:p w14:paraId="09A92556" w14:textId="77777777" w:rsidR="00D355D5" w:rsidRPr="005F6B1F" w:rsidRDefault="00D355D5" w:rsidP="00282204">
            <w:pPr>
              <w:rPr>
                <w:lang w:val="en-GB"/>
              </w:rPr>
            </w:pPr>
            <w:r w:rsidRPr="005F6B1F">
              <w:rPr>
                <w:lang w:val="en-GB"/>
              </w:rPr>
              <w:t>Previously, the pharmacist was in the centre; I watched them as I worked in the pharmacy with the pharmacist in the PHC. The pharmacist introduced anything new to me and informed me that this medicine is from different companies. N2</w:t>
            </w:r>
          </w:p>
          <w:p w14:paraId="390A0F23" w14:textId="77777777" w:rsidR="00D355D5" w:rsidRDefault="00D355D5" w:rsidP="00282204">
            <w:pPr>
              <w:rPr>
                <w:lang w:val="en-GB"/>
              </w:rPr>
            </w:pPr>
            <w:r w:rsidRPr="003131A9">
              <w:rPr>
                <w:lang w:val="en-GB"/>
              </w:rPr>
              <w:t>Dealing with the pharmacist was very smooth because the pharmacist works in more than one role as he works in dispensing medicines to us. He is someone we can refer to for consultation and also gives us the best ways to the administration of medicines and accurate doses. N4</w:t>
            </w:r>
          </w:p>
          <w:p w14:paraId="51F382B6" w14:textId="77777777" w:rsidR="00D355D5" w:rsidRPr="009C342C" w:rsidRDefault="00D355D5" w:rsidP="00282204">
            <w:pPr>
              <w:rPr>
                <w:lang w:val="en-GB"/>
              </w:rPr>
            </w:pPr>
            <w:r w:rsidRPr="009C342C">
              <w:rPr>
                <w:lang w:val="en-GB"/>
              </w:rPr>
              <w:t>They used to meet patients face to face and explain to them exactly how to handle medicines. Pharmacists in PHCs used to ask patients about the details of their medications, how to take them, and any side effects they might experience. Also, they are used to spotting any issues with drug interactions. There was beautiful communication between patients and the pharmacist in our clinic. N3</w:t>
            </w:r>
          </w:p>
          <w:p w14:paraId="05EA6786" w14:textId="77777777" w:rsidR="00D355D5" w:rsidRPr="009C342C" w:rsidRDefault="00D355D5" w:rsidP="00282204">
            <w:pPr>
              <w:rPr>
                <w:lang w:val="en-GB"/>
              </w:rPr>
            </w:pPr>
            <w:r w:rsidRPr="009C342C">
              <w:rPr>
                <w:lang w:val="en-GB"/>
              </w:rPr>
              <w:t>We worked as an integrated team because nurses have a superficial knowledge of medicines, so the pharmacist benefited us enormously. When I give an injection or particular medication, I used to refer to and ask the pharmacist more than the doctor because he knows more about medicines: their side effects, how to deal with narcotic medication, and so on.....N3</w:t>
            </w:r>
          </w:p>
          <w:p w14:paraId="0C922645" w14:textId="77777777" w:rsidR="00D355D5" w:rsidRPr="009C342C" w:rsidRDefault="00D355D5" w:rsidP="00282204">
            <w:pPr>
              <w:rPr>
                <w:lang w:val="en-GB"/>
              </w:rPr>
            </w:pPr>
            <w:r w:rsidRPr="009C342C">
              <w:rPr>
                <w:lang w:val="en-GB"/>
              </w:rPr>
              <w:t>Dealing with the pharmacist was very smooth because the pharmacist works in more than one role as he works in dispensing medicines to us. He is someone we can refer to for consultation and also gives us the best ways to the administration of medicines and accurate doses.N4</w:t>
            </w:r>
          </w:p>
          <w:p w14:paraId="5DD2ED72" w14:textId="77777777" w:rsidR="00D355D5" w:rsidRDefault="00D355D5" w:rsidP="00282204">
            <w:pPr>
              <w:spacing w:line="240" w:lineRule="auto"/>
              <w:rPr>
                <w:lang w:val="en-GB"/>
              </w:rPr>
            </w:pPr>
            <w:r w:rsidRPr="009C342C">
              <w:rPr>
                <w:lang w:val="en-GB"/>
              </w:rPr>
              <w:t>the work depends on teamwork from several disciplines. We provide preventive plan services to clients or patients. Of course, to be multidisciplinary, it has to be teamwork. There must be teamwork to continue providing the service because the work is interconnected. For example, the way medicines are stored, and the nurse's adherence to the rules of storing and keeping medications in the way the pharmacist gives is one of the effective ways to treat the patient. The role is mutual for all health workers, and as I mentioned at the beginning, the pharmacist is irreplaceable.</w:t>
            </w:r>
            <w:r>
              <w:rPr>
                <w:lang w:val="en-GB"/>
              </w:rPr>
              <w:t xml:space="preserve"> </w:t>
            </w:r>
            <w:r w:rsidRPr="009C342C">
              <w:rPr>
                <w:lang w:val="en-GB"/>
              </w:rPr>
              <w:t>N4</w:t>
            </w:r>
          </w:p>
          <w:p w14:paraId="7FEC1A15" w14:textId="77777777" w:rsidR="00D355D5" w:rsidRPr="004E70B7" w:rsidRDefault="00D355D5" w:rsidP="00282204">
            <w:pPr>
              <w:spacing w:line="240" w:lineRule="auto"/>
              <w:rPr>
                <w:lang w:val="en-GB"/>
              </w:rPr>
            </w:pPr>
          </w:p>
        </w:tc>
        <w:tc>
          <w:tcPr>
            <w:tcW w:w="500" w:type="pct"/>
          </w:tcPr>
          <w:p w14:paraId="1FB19882" w14:textId="77777777" w:rsidR="00D355D5" w:rsidRDefault="00D355D5" w:rsidP="00282204">
            <w:pPr>
              <w:pStyle w:val="RightAlign"/>
            </w:pPr>
            <w:r>
              <w:t>3</w:t>
            </w:r>
          </w:p>
        </w:tc>
        <w:tc>
          <w:tcPr>
            <w:tcW w:w="500" w:type="pct"/>
          </w:tcPr>
          <w:p w14:paraId="7B3476E2" w14:textId="77777777" w:rsidR="00D355D5" w:rsidRDefault="00D355D5" w:rsidP="00282204">
            <w:pPr>
              <w:pStyle w:val="RightAlign"/>
            </w:pPr>
            <w:r>
              <w:t>6</w:t>
            </w:r>
          </w:p>
        </w:tc>
      </w:tr>
    </w:tbl>
    <w:p w14:paraId="71816CBB" w14:textId="77777777" w:rsidR="00D355D5" w:rsidRDefault="00D355D5" w:rsidP="00D355D5">
      <w:pPr>
        <w:pStyle w:val="FolderDescription"/>
      </w:pPr>
    </w:p>
    <w:p w14:paraId="0D3548A8" w14:textId="77777777" w:rsidR="00D355D5" w:rsidRDefault="00D355D5" w:rsidP="00D355D5">
      <w:r>
        <w:t>Codes\\Facilitators</w:t>
      </w:r>
    </w:p>
    <w:tbl>
      <w:tblPr>
        <w:tblStyle w:val="NodesTable"/>
        <w:tblW w:w="5000" w:type="pct"/>
        <w:tblInd w:w="0" w:type="dxa"/>
        <w:tblLook w:val="0420" w:firstRow="1" w:lastRow="0" w:firstColumn="0" w:lastColumn="0" w:noHBand="0" w:noVBand="1"/>
      </w:tblPr>
      <w:tblGrid>
        <w:gridCol w:w="2747"/>
        <w:gridCol w:w="4618"/>
        <w:gridCol w:w="877"/>
        <w:gridCol w:w="1113"/>
      </w:tblGrid>
      <w:tr w:rsidR="00D355D5" w14:paraId="33084F02"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50311F49" w14:textId="77777777" w:rsidR="00D355D5" w:rsidRDefault="00D355D5" w:rsidP="00282204">
            <w:pPr>
              <w:pStyle w:val="TableHeader"/>
            </w:pPr>
            <w:r>
              <w:t>Name</w:t>
            </w:r>
          </w:p>
        </w:tc>
        <w:tc>
          <w:tcPr>
            <w:tcW w:w="2500" w:type="pct"/>
          </w:tcPr>
          <w:p w14:paraId="078A0D96" w14:textId="77777777" w:rsidR="00D355D5" w:rsidRPr="00E00ED3" w:rsidRDefault="00D355D5" w:rsidP="00282204">
            <w:pPr>
              <w:pStyle w:val="TableHeader"/>
              <w:spacing w:line="240" w:lineRule="auto"/>
              <w:rPr>
                <w:rFonts w:asciiTheme="minorHAnsi" w:hAnsiTheme="minorHAnsi" w:cstheme="minorHAnsi"/>
              </w:rPr>
            </w:pPr>
            <w:r w:rsidRPr="00E00ED3">
              <w:rPr>
                <w:rFonts w:asciiTheme="minorHAnsi" w:hAnsiTheme="minorHAnsi" w:cstheme="minorHAnsi"/>
              </w:rPr>
              <w:t>Description</w:t>
            </w:r>
          </w:p>
        </w:tc>
        <w:tc>
          <w:tcPr>
            <w:tcW w:w="500" w:type="pct"/>
          </w:tcPr>
          <w:p w14:paraId="5637F3B4" w14:textId="77777777" w:rsidR="00D355D5" w:rsidRDefault="00D355D5" w:rsidP="00282204">
            <w:pPr>
              <w:pStyle w:val="TableHeader"/>
            </w:pPr>
            <w:r>
              <w:t>Files</w:t>
            </w:r>
          </w:p>
        </w:tc>
        <w:tc>
          <w:tcPr>
            <w:tcW w:w="500" w:type="pct"/>
          </w:tcPr>
          <w:p w14:paraId="3B8D33C8" w14:textId="77777777" w:rsidR="00D355D5" w:rsidRDefault="00D355D5" w:rsidP="00282204">
            <w:pPr>
              <w:pStyle w:val="TableHeader"/>
            </w:pPr>
            <w:r>
              <w:t>References</w:t>
            </w:r>
          </w:p>
        </w:tc>
      </w:tr>
      <w:tr w:rsidR="00D355D5" w14:paraId="11978D21"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60CBC0EA" w14:textId="77777777" w:rsidR="00D355D5" w:rsidRDefault="00D355D5" w:rsidP="00282204">
            <w:r>
              <w:t>Pharmacist willingness to provide clinical services in PHCs</w:t>
            </w:r>
          </w:p>
        </w:tc>
        <w:tc>
          <w:tcPr>
            <w:tcW w:w="2500" w:type="pct"/>
          </w:tcPr>
          <w:p w14:paraId="03B4ABE6" w14:textId="77777777" w:rsidR="00D355D5" w:rsidRPr="00E00ED3" w:rsidRDefault="00D355D5" w:rsidP="00282204">
            <w:pPr>
              <w:spacing w:line="240" w:lineRule="auto"/>
              <w:rPr>
                <w:rFonts w:hAnsiTheme="minorHAnsi" w:cstheme="minorHAnsi"/>
                <w:lang w:val="en-GB" w:eastAsia="en-GB"/>
              </w:rPr>
            </w:pPr>
            <w:r w:rsidRPr="00E00ED3">
              <w:rPr>
                <w:rFonts w:hAnsiTheme="minorHAnsi" w:cstheme="minorHAnsi"/>
                <w:lang w:val="en-GB" w:eastAsia="en-GB"/>
              </w:rPr>
              <w:t>They should be welcoming if the doctor had to call them to the clinic room to explain to the patient and explain as a team how to use a certain drug for diabetes on as a team on how to use certain drugs for diabetes D1</w:t>
            </w:r>
          </w:p>
          <w:p w14:paraId="453356B1" w14:textId="77777777" w:rsidR="00D355D5" w:rsidRPr="00E00ED3" w:rsidRDefault="00D355D5" w:rsidP="00282204">
            <w:pPr>
              <w:spacing w:line="240" w:lineRule="auto"/>
              <w:rPr>
                <w:rFonts w:hAnsiTheme="minorHAnsi" w:cstheme="minorHAnsi"/>
                <w:lang w:val="en-GB" w:eastAsia="en-GB"/>
              </w:rPr>
            </w:pPr>
            <w:r w:rsidRPr="00E00ED3">
              <w:rPr>
                <w:rFonts w:hAnsiTheme="minorHAnsi" w:cstheme="minorHAnsi"/>
                <w:lang w:val="en-GB" w:eastAsia="en-GB"/>
              </w:rPr>
              <w:t>Indeed, reviewing medicines is one of the pharmacist's roles. Doctors have to take care of the patients' medical condition and delegate matters related to medications to the pharmacist.Ph1</w:t>
            </w:r>
          </w:p>
          <w:p w14:paraId="5D91B0B8" w14:textId="77777777" w:rsidR="00D355D5" w:rsidRPr="00E00ED3" w:rsidRDefault="00D355D5" w:rsidP="00282204">
            <w:pPr>
              <w:spacing w:line="240" w:lineRule="auto"/>
              <w:rPr>
                <w:rFonts w:hAnsiTheme="minorHAnsi" w:cstheme="minorHAnsi"/>
                <w:lang w:val="en-GB" w:eastAsia="en-GB"/>
              </w:rPr>
            </w:pPr>
            <w:r w:rsidRPr="00E00ED3">
              <w:rPr>
                <w:rFonts w:hAnsiTheme="minorHAnsi" w:cstheme="minorHAnsi"/>
                <w:lang w:val="en-GB" w:eastAsia="en-GB"/>
              </w:rPr>
              <w:t>As a primary care pharmacist, I would very much like to return to work in PHCs. There I feel that I am closer to the patient than the hospital, so my service to them would be better.Ph1</w:t>
            </w:r>
          </w:p>
          <w:p w14:paraId="39357CAE" w14:textId="77777777" w:rsidR="00D355D5" w:rsidRPr="00E00ED3" w:rsidRDefault="00D355D5" w:rsidP="00282204">
            <w:pPr>
              <w:spacing w:line="240" w:lineRule="auto"/>
              <w:jc w:val="both"/>
              <w:rPr>
                <w:rFonts w:hAnsiTheme="minorHAnsi" w:cstheme="minorHAnsi"/>
                <w:lang w:val="en-GB" w:eastAsia="en-GB"/>
              </w:rPr>
            </w:pPr>
            <w:r w:rsidRPr="00E00ED3">
              <w:rPr>
                <w:rFonts w:hAnsiTheme="minorHAnsi" w:cstheme="minorHAnsi"/>
                <w:lang w:val="en-GB" w:eastAsia="en-GB"/>
              </w:rPr>
              <w:t>I like this so much. I like to search, be involved, and feel satisfied when I do that because I want to do my job in the best way that I can.Ph2</w:t>
            </w:r>
          </w:p>
          <w:p w14:paraId="53FCE006" w14:textId="77777777" w:rsidR="00D355D5" w:rsidRDefault="00D355D5" w:rsidP="00282204">
            <w:pPr>
              <w:spacing w:line="240" w:lineRule="auto"/>
              <w:jc w:val="both"/>
              <w:rPr>
                <w:rFonts w:hAnsiTheme="minorHAnsi" w:cstheme="minorHAnsi"/>
                <w:lang w:val="en-GB" w:eastAsia="en-GB"/>
              </w:rPr>
            </w:pPr>
            <w:r w:rsidRPr="00E00ED3">
              <w:rPr>
                <w:rFonts w:hAnsiTheme="minorHAnsi" w:cstheme="minorHAnsi"/>
                <w:lang w:val="en-GB" w:eastAsia="en-GB"/>
              </w:rPr>
              <w:t>Primary healthcare centres are suitable places to provide clinical pharmacy services to patients, catch/capture new diagnostic patients, contribute to public health promotion and prevention, and help patients in controlling their disease in the early stage, in a primary care setting, is the best practice, not too late when they need to be transferred to hospitals. Treating patients from the beginning will help them take control of their condition.Ph2</w:t>
            </w:r>
          </w:p>
          <w:p w14:paraId="272B2497" w14:textId="77777777" w:rsidR="00D355D5" w:rsidRPr="002937D3" w:rsidRDefault="00D355D5" w:rsidP="00282204">
            <w:pPr>
              <w:spacing w:line="240" w:lineRule="auto"/>
              <w:jc w:val="both"/>
              <w:rPr>
                <w:rFonts w:cstheme="minorHAnsi"/>
              </w:rPr>
            </w:pPr>
            <w:r w:rsidRPr="002937D3">
              <w:rPr>
                <w:rFonts w:cstheme="minorHAnsi"/>
              </w:rPr>
              <w:t>Yes, of course, if this is offered to them and given the opportunity to participate in diabetes management , why not.Ph3</w:t>
            </w:r>
          </w:p>
          <w:p w14:paraId="3D27899A" w14:textId="77777777" w:rsidR="00D355D5" w:rsidRPr="002937D3" w:rsidRDefault="00D355D5" w:rsidP="00282204">
            <w:pPr>
              <w:spacing w:line="240" w:lineRule="auto"/>
              <w:jc w:val="both"/>
              <w:rPr>
                <w:rFonts w:cstheme="minorHAnsi"/>
              </w:rPr>
            </w:pPr>
            <w:r w:rsidRPr="002937D3">
              <w:rPr>
                <w:rFonts w:cstheme="minorHAnsi"/>
              </w:rPr>
              <w:t>Certainly, if pharmacist takes over this task (manage medication-related issues), this will help them (doctors and nurses)  in this aspect. This is one of the benefits of involving the pharmacist in treating patients.</w:t>
            </w:r>
          </w:p>
          <w:p w14:paraId="30D69D22" w14:textId="77777777" w:rsidR="00D355D5" w:rsidRPr="002937D3" w:rsidRDefault="00D355D5" w:rsidP="00282204">
            <w:pPr>
              <w:spacing w:line="240" w:lineRule="auto"/>
              <w:jc w:val="both"/>
              <w:rPr>
                <w:rFonts w:cstheme="minorHAnsi"/>
                <w:lang w:val="en-GB" w:eastAsia="en-GB"/>
              </w:rPr>
            </w:pPr>
            <w:r w:rsidRPr="002937D3">
              <w:rPr>
                <w:rFonts w:cstheme="minorHAnsi"/>
                <w:lang w:val="en-GB" w:eastAsia="en-GB"/>
              </w:rPr>
              <w:t>I hope that the role of pharmacists in PHCs returns. Their role is important.Ph3</w:t>
            </w:r>
          </w:p>
          <w:p w14:paraId="3456E011" w14:textId="77777777" w:rsidR="00D355D5" w:rsidRPr="002937D3" w:rsidRDefault="00D355D5" w:rsidP="00282204">
            <w:pPr>
              <w:spacing w:line="240" w:lineRule="auto"/>
              <w:jc w:val="both"/>
              <w:rPr>
                <w:rFonts w:cstheme="minorHAnsi"/>
                <w:lang w:val="en-GB" w:eastAsia="en-GB"/>
              </w:rPr>
            </w:pPr>
            <w:r w:rsidRPr="002937D3">
              <w:rPr>
                <w:rFonts w:cstheme="minorHAnsi"/>
                <w:lang w:val="en-GB" w:eastAsia="en-GB"/>
              </w:rPr>
              <w:t>I hope that there will be clinical pharmacists in the PHCs so that patients can benefit from them, especially chronic patients, because this is the interest, even if the pharmacy is closed and the medicine is not dispensed from the PHCs. Ph3</w:t>
            </w:r>
          </w:p>
          <w:p w14:paraId="03DEC74B" w14:textId="77777777" w:rsidR="00D355D5" w:rsidRPr="002937D3" w:rsidRDefault="00D355D5" w:rsidP="00282204">
            <w:pPr>
              <w:spacing w:line="240" w:lineRule="auto"/>
              <w:jc w:val="both"/>
              <w:rPr>
                <w:rFonts w:cstheme="minorHAnsi"/>
              </w:rPr>
            </w:pPr>
            <w:r w:rsidRPr="002937D3">
              <w:rPr>
                <w:rFonts w:cstheme="minorHAnsi"/>
                <w:lang w:val="en-GB" w:eastAsia="en-GB"/>
              </w:rPr>
              <w:t>the presence of a clinical pharmacist is necessary in the PHCs, and it is not a requirement for him to have a master's degree or a PhD degree to provide clinical services in PHCs, a pharmacist with a bachelor's degree with practical experience in this field, in addition to offering a training course to prepare the pharmacists to do these tasks. In this case, we will find the giving from pharmacists that will reflect better (positive) results in serving patients.Ph3</w:t>
            </w:r>
          </w:p>
        </w:tc>
        <w:tc>
          <w:tcPr>
            <w:tcW w:w="500" w:type="pct"/>
          </w:tcPr>
          <w:p w14:paraId="149036EE" w14:textId="77777777" w:rsidR="00D355D5" w:rsidRDefault="00D355D5" w:rsidP="00282204">
            <w:pPr>
              <w:pStyle w:val="RightAlign"/>
            </w:pPr>
            <w:r>
              <w:t>4</w:t>
            </w:r>
          </w:p>
        </w:tc>
        <w:tc>
          <w:tcPr>
            <w:tcW w:w="500" w:type="pct"/>
          </w:tcPr>
          <w:p w14:paraId="7B980227" w14:textId="77777777" w:rsidR="00D355D5" w:rsidRDefault="00D355D5" w:rsidP="00282204">
            <w:pPr>
              <w:pStyle w:val="RightAlign"/>
            </w:pPr>
            <w:r>
              <w:t>10</w:t>
            </w:r>
          </w:p>
        </w:tc>
      </w:tr>
      <w:tr w:rsidR="00D355D5" w14:paraId="4C6BA6BE"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7E0DE14F" w14:textId="77777777" w:rsidR="00D355D5" w:rsidRDefault="00D355D5" w:rsidP="00282204">
            <w:r>
              <w:t xml:space="preserve">Expert pharmacists available to </w:t>
            </w:r>
          </w:p>
        </w:tc>
        <w:tc>
          <w:tcPr>
            <w:tcW w:w="2500" w:type="pct"/>
          </w:tcPr>
          <w:p w14:paraId="758987FC" w14:textId="77777777" w:rsidR="00D355D5" w:rsidRPr="002E5E03" w:rsidRDefault="00D355D5" w:rsidP="00282204">
            <w:pPr>
              <w:spacing w:line="240" w:lineRule="auto"/>
              <w:rPr>
                <w:rFonts w:cstheme="minorHAnsi"/>
                <w:lang w:val="en-GB" w:eastAsia="en-GB"/>
              </w:rPr>
            </w:pPr>
            <w:r w:rsidRPr="002E5E03">
              <w:rPr>
                <w:rFonts w:cstheme="minorHAnsi"/>
                <w:lang w:val="en-GB" w:eastAsia="en-GB"/>
              </w:rPr>
              <w:t>the presence of a clinical pharmacist is necessary in the PHCs, and it is not a requirement for him to have a master's degree or a PhD degree to provide clinical services in PHCs, a pharmacist with a bachelor's degree with practical experience in this field, in addition to offering a training course to prepare the pharmacists to do these tasks. In this case, we will find the giving from pharmacists that will reflect better (positive) results in serving patients. Ph3</w:t>
            </w:r>
          </w:p>
        </w:tc>
        <w:tc>
          <w:tcPr>
            <w:tcW w:w="500" w:type="pct"/>
          </w:tcPr>
          <w:p w14:paraId="3832CB27" w14:textId="77777777" w:rsidR="00D355D5" w:rsidRDefault="00D355D5" w:rsidP="00282204">
            <w:pPr>
              <w:pStyle w:val="RightAlign"/>
            </w:pPr>
            <w:r>
              <w:t>1</w:t>
            </w:r>
          </w:p>
        </w:tc>
        <w:tc>
          <w:tcPr>
            <w:tcW w:w="500" w:type="pct"/>
          </w:tcPr>
          <w:p w14:paraId="0FA873B5" w14:textId="77777777" w:rsidR="00D355D5" w:rsidRDefault="00D355D5" w:rsidP="00282204">
            <w:pPr>
              <w:pStyle w:val="RightAlign"/>
            </w:pPr>
            <w:r>
              <w:t>1</w:t>
            </w:r>
          </w:p>
        </w:tc>
      </w:tr>
      <w:tr w:rsidR="00D355D5" w14:paraId="2C0F96F3"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58E8A582" w14:textId="77777777" w:rsidR="00D355D5" w:rsidRDefault="00D355D5" w:rsidP="00282204">
            <w:r>
              <w:t>Privilege</w:t>
            </w:r>
          </w:p>
        </w:tc>
        <w:tc>
          <w:tcPr>
            <w:tcW w:w="2500" w:type="pct"/>
          </w:tcPr>
          <w:p w14:paraId="702247F0" w14:textId="77777777" w:rsidR="00D355D5" w:rsidRPr="002E5E03" w:rsidRDefault="00D355D5" w:rsidP="00282204">
            <w:pPr>
              <w:spacing w:line="240" w:lineRule="auto"/>
              <w:rPr>
                <w:rFonts w:cstheme="minorHAnsi"/>
                <w:lang w:val="en-GB" w:eastAsia="en-GB"/>
              </w:rPr>
            </w:pPr>
            <w:r w:rsidRPr="002E5E03">
              <w:rPr>
                <w:rFonts w:cstheme="minorHAnsi"/>
                <w:lang w:val="en-GB" w:eastAsia="en-GB"/>
              </w:rPr>
              <w:t>Pharmacists authorise to stop dispensing Rx in certain circumstances</w:t>
            </w:r>
          </w:p>
        </w:tc>
        <w:tc>
          <w:tcPr>
            <w:tcW w:w="500" w:type="pct"/>
          </w:tcPr>
          <w:p w14:paraId="6E2EA89D" w14:textId="77777777" w:rsidR="00D355D5" w:rsidRDefault="00D355D5" w:rsidP="00282204">
            <w:pPr>
              <w:pStyle w:val="RightAlign"/>
            </w:pPr>
            <w:r>
              <w:t>2</w:t>
            </w:r>
          </w:p>
        </w:tc>
        <w:tc>
          <w:tcPr>
            <w:tcW w:w="500" w:type="pct"/>
          </w:tcPr>
          <w:p w14:paraId="0F077491" w14:textId="77777777" w:rsidR="00D355D5" w:rsidRDefault="00D355D5" w:rsidP="00282204">
            <w:pPr>
              <w:pStyle w:val="RightAlign"/>
            </w:pPr>
            <w:r>
              <w:t>2</w:t>
            </w:r>
          </w:p>
        </w:tc>
      </w:tr>
      <w:tr w:rsidR="00D355D5" w14:paraId="080AE2E8"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6D1EAB8F" w14:textId="77777777" w:rsidR="00D355D5" w:rsidRDefault="00D355D5" w:rsidP="00282204">
            <w:r>
              <w:t xml:space="preserve">Technology/Electronic system </w:t>
            </w:r>
          </w:p>
        </w:tc>
        <w:tc>
          <w:tcPr>
            <w:tcW w:w="2500" w:type="pct"/>
          </w:tcPr>
          <w:p w14:paraId="4CA8917F" w14:textId="77777777" w:rsidR="00D355D5" w:rsidRPr="002E5E03" w:rsidRDefault="00D355D5" w:rsidP="00282204">
            <w:pPr>
              <w:spacing w:line="240" w:lineRule="auto"/>
              <w:rPr>
                <w:rFonts w:cstheme="minorHAnsi"/>
                <w:lang w:val="en-GB" w:eastAsia="en-GB"/>
              </w:rPr>
            </w:pPr>
            <w:r w:rsidRPr="002E5E03">
              <w:rPr>
                <w:rFonts w:cstheme="minorHAnsi"/>
                <w:lang w:val="en-GB" w:eastAsia="en-GB"/>
              </w:rPr>
              <w:t>While now in the hospital, the situation is entirely different; the system is digitalised, the prescriptions are electronic, and the ability to access the patient</w:t>
            </w:r>
            <w:r w:rsidRPr="002E5E03">
              <w:rPr>
                <w:rFonts w:cstheme="minorHAnsi"/>
                <w:lang w:val="en-GB" w:eastAsia="en-GB"/>
              </w:rPr>
              <w:t>’</w:t>
            </w:r>
            <w:r w:rsidRPr="002E5E03">
              <w:rPr>
                <w:rFonts w:cstheme="minorHAnsi"/>
                <w:lang w:val="en-GB" w:eastAsia="en-GB"/>
              </w:rPr>
              <w:t>s health record to see all the information I need to make sure that the medications prescribed to the patient are correct. The system is completely different in the PHCs than in the hospital.Ph1</w:t>
            </w:r>
          </w:p>
          <w:p w14:paraId="79E29B69" w14:textId="77777777" w:rsidR="00D355D5" w:rsidRPr="002E5E03" w:rsidRDefault="00D355D5" w:rsidP="00282204">
            <w:pPr>
              <w:spacing w:line="240" w:lineRule="auto"/>
              <w:rPr>
                <w:rFonts w:cstheme="minorHAnsi"/>
                <w:lang w:val="en-GB" w:eastAsia="en-GB"/>
              </w:rPr>
            </w:pPr>
            <w:r w:rsidRPr="002E5E03">
              <w:rPr>
                <w:rFonts w:cstheme="minorHAnsi"/>
                <w:lang w:val="en-GB" w:eastAsia="en-GB"/>
              </w:rPr>
              <w:t>The presence of the electronic system reduces all these processes; the Rx is only dispensed after verifying the patient</w:t>
            </w:r>
            <w:r w:rsidRPr="002E5E03">
              <w:rPr>
                <w:rFonts w:cstheme="minorHAnsi"/>
                <w:lang w:val="en-GB" w:eastAsia="en-GB"/>
              </w:rPr>
              <w:t>’</w:t>
            </w:r>
            <w:r w:rsidRPr="002E5E03">
              <w:rPr>
                <w:rFonts w:cstheme="minorHAnsi"/>
                <w:lang w:val="en-GB" w:eastAsia="en-GB"/>
              </w:rPr>
              <w:t>s health status by reviewing their electronic health record.Ph1</w:t>
            </w:r>
          </w:p>
          <w:p w14:paraId="05710907" w14:textId="77777777" w:rsidR="00D355D5" w:rsidRPr="002E5E03" w:rsidRDefault="00D355D5" w:rsidP="00282204">
            <w:pPr>
              <w:spacing w:line="240" w:lineRule="auto"/>
              <w:rPr>
                <w:rFonts w:cstheme="minorHAnsi"/>
                <w:lang w:val="en-GB" w:eastAsia="en-GB"/>
              </w:rPr>
            </w:pPr>
            <w:r w:rsidRPr="002E5E03">
              <w:rPr>
                <w:rFonts w:cstheme="minorHAnsi"/>
                <w:lang w:val="en-GB" w:eastAsia="en-GB"/>
              </w:rPr>
              <w:t>if something does not go right in terms of medication errors, such as wrong indication, wrong dose or something else, the pharmacist has the authority to stop dispensing the Rx with justification, and the alert will appear to the prescriber (doctor), who must complete the necessary action in order to proceed the dispensing process.Ph1</w:t>
            </w:r>
          </w:p>
          <w:p w14:paraId="5C740B03" w14:textId="77777777" w:rsidR="00D355D5" w:rsidRPr="002E5E03" w:rsidRDefault="00D355D5" w:rsidP="00282204">
            <w:pPr>
              <w:spacing w:line="240" w:lineRule="auto"/>
              <w:rPr>
                <w:rFonts w:cstheme="minorHAnsi"/>
                <w:lang w:val="en-GB" w:eastAsia="en-GB"/>
              </w:rPr>
            </w:pPr>
            <w:r w:rsidRPr="002E5E03">
              <w:rPr>
                <w:rFonts w:cstheme="minorHAnsi"/>
                <w:lang w:val="en-GB" w:eastAsia="en-GB"/>
              </w:rPr>
              <w:t>PHCs are now working on the electronic shift, and the electronic health record is now available in these centres, but unfortunately, the pharmacies located there have been closed with this substantial shift</w:t>
            </w:r>
            <w:r w:rsidRPr="002E5E03">
              <w:rPr>
                <w:rFonts w:cstheme="minorHAnsi"/>
                <w:rtl/>
                <w:lang w:val="en-GB" w:eastAsia="en-GB"/>
              </w:rPr>
              <w:t>.</w:t>
            </w:r>
            <w:r w:rsidRPr="002E5E03">
              <w:rPr>
                <w:rFonts w:cstheme="minorHAnsi"/>
                <w:lang w:val="en-GB" w:eastAsia="en-GB"/>
              </w:rPr>
              <w:t>Ph1</w:t>
            </w:r>
          </w:p>
          <w:p w14:paraId="6AD75824" w14:textId="77777777" w:rsidR="00D355D5" w:rsidRPr="002E5E03" w:rsidRDefault="00D355D5" w:rsidP="00282204">
            <w:pPr>
              <w:spacing w:line="240" w:lineRule="auto"/>
              <w:rPr>
                <w:rFonts w:cstheme="minorHAnsi"/>
                <w:lang w:val="en-GB" w:eastAsia="en-GB"/>
              </w:rPr>
            </w:pPr>
            <w:r w:rsidRPr="002E5E03">
              <w:rPr>
                <w:rFonts w:cstheme="minorHAnsi"/>
                <w:lang w:val="en-GB" w:eastAsia="en-GB"/>
              </w:rPr>
              <w:t>With the current electronic system, the pharmacist can stop dispensing the Rx in case there is an error in the prescription until it is corrected, so the doctor (prescriber) sometimes contacts the pharmacist to find out the reason for stopping the prescription, although the system clarifies the reasons that led to the pharmacist stopping the dispensing of the Rx. The current electronic system gave this authority to the pharmacist, whereas in the PHCs where I previously worked, there is no clear system that allows the pharmacist to stop dispensing the prescription Ph1</w:t>
            </w:r>
          </w:p>
          <w:p w14:paraId="625D460D" w14:textId="77777777" w:rsidR="00D355D5" w:rsidRPr="002E5E03" w:rsidRDefault="00D355D5" w:rsidP="00282204">
            <w:pPr>
              <w:spacing w:line="240" w:lineRule="auto"/>
              <w:rPr>
                <w:rFonts w:cstheme="minorHAnsi"/>
                <w:lang w:val="en-GB" w:eastAsia="en-GB"/>
              </w:rPr>
            </w:pPr>
            <w:r w:rsidRPr="002E5E03">
              <w:rPr>
                <w:rFonts w:cstheme="minorHAnsi"/>
                <w:lang w:val="en-GB" w:eastAsia="en-GB"/>
              </w:rPr>
              <w:t>now the electronic system has been entered to PHCs, but there is no pharmacist at the moment</w:t>
            </w:r>
            <w:r w:rsidRPr="002E5E03">
              <w:rPr>
                <w:rFonts w:cstheme="minorHAnsi"/>
                <w:rtl/>
                <w:lang w:val="en-GB" w:eastAsia="en-GB"/>
              </w:rPr>
              <w:t>!</w:t>
            </w:r>
            <w:r w:rsidRPr="002E5E03">
              <w:rPr>
                <w:rFonts w:cstheme="minorHAnsi"/>
                <w:lang w:val="en-GB" w:eastAsia="en-GB"/>
              </w:rPr>
              <w:t xml:space="preserve"> Ph1</w:t>
            </w:r>
          </w:p>
          <w:p w14:paraId="2F554CFF" w14:textId="77777777" w:rsidR="00D355D5" w:rsidRPr="002E5E03" w:rsidRDefault="00D355D5" w:rsidP="00282204">
            <w:pPr>
              <w:spacing w:line="240" w:lineRule="auto"/>
              <w:rPr>
                <w:rFonts w:cstheme="minorHAnsi"/>
                <w:lang w:val="en-GB" w:eastAsia="en-GB"/>
              </w:rPr>
            </w:pPr>
            <w:r w:rsidRPr="002E5E03">
              <w:rPr>
                <w:rFonts w:cstheme="minorHAnsi"/>
                <w:lang w:val="en-GB" w:eastAsia="en-GB"/>
              </w:rPr>
              <w:t>My role is now somewhat better. Working with the electronic system, I can intervene by stopping the Rx from being dispensed and documenting justifications for this, while in the PHCs, this privilege was not available to pharmacists.Ph1</w:t>
            </w:r>
          </w:p>
          <w:p w14:paraId="7677982B" w14:textId="77777777" w:rsidR="00D355D5" w:rsidRPr="002E5E03" w:rsidRDefault="00D355D5" w:rsidP="00282204">
            <w:pPr>
              <w:spacing w:line="240" w:lineRule="auto"/>
              <w:rPr>
                <w:rFonts w:cstheme="minorHAnsi"/>
                <w:lang w:val="en-GB" w:eastAsia="en-GB"/>
              </w:rPr>
            </w:pPr>
            <w:r w:rsidRPr="002E5E03">
              <w:rPr>
                <w:rFonts w:cstheme="minorHAnsi"/>
                <w:lang w:val="en-GB" w:eastAsia="en-GB"/>
              </w:rPr>
              <w:t>I mean, there is no time to look at the patient's health file. But in the hospital, I can easily access the patient's health record, so I look at the patient's lab results, because they're all in the system (on the computer), to make sure of his condition before dispensing treatment.Ph3</w:t>
            </w:r>
          </w:p>
        </w:tc>
        <w:tc>
          <w:tcPr>
            <w:tcW w:w="500" w:type="pct"/>
          </w:tcPr>
          <w:p w14:paraId="6515990A" w14:textId="77777777" w:rsidR="00D355D5" w:rsidRDefault="00D355D5" w:rsidP="00282204">
            <w:pPr>
              <w:pStyle w:val="RightAlign"/>
            </w:pPr>
            <w:r>
              <w:t>2</w:t>
            </w:r>
          </w:p>
        </w:tc>
        <w:tc>
          <w:tcPr>
            <w:tcW w:w="500" w:type="pct"/>
          </w:tcPr>
          <w:p w14:paraId="089CF25F" w14:textId="77777777" w:rsidR="00D355D5" w:rsidRDefault="00D355D5" w:rsidP="00282204">
            <w:pPr>
              <w:pStyle w:val="RightAlign"/>
            </w:pPr>
            <w:r>
              <w:t>8</w:t>
            </w:r>
          </w:p>
        </w:tc>
      </w:tr>
      <w:tr w:rsidR="00D355D5" w14:paraId="2AF1F7FB"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24AFA132" w14:textId="77777777" w:rsidR="00D355D5" w:rsidRDefault="00D355D5" w:rsidP="00282204">
            <w:r>
              <w:t xml:space="preserve">Vision 2030 and transformation of healthcare system  </w:t>
            </w:r>
          </w:p>
        </w:tc>
        <w:tc>
          <w:tcPr>
            <w:tcW w:w="2500" w:type="pct"/>
          </w:tcPr>
          <w:p w14:paraId="00C7B683" w14:textId="77777777" w:rsidR="00D355D5" w:rsidRPr="00C43021" w:rsidRDefault="00D355D5" w:rsidP="00282204">
            <w:pPr>
              <w:spacing w:line="240" w:lineRule="auto"/>
              <w:jc w:val="both"/>
              <w:rPr>
                <w:rFonts w:cstheme="minorHAnsi"/>
                <w:lang w:val="en-GB" w:eastAsia="en-GB"/>
              </w:rPr>
            </w:pPr>
            <w:r w:rsidRPr="00C43021">
              <w:rPr>
                <w:rFonts w:cstheme="minorHAnsi"/>
                <w:lang w:val="en-GB" w:eastAsia="en-GB"/>
              </w:rPr>
              <w:t>for the time being after maturation of our services and looking forward to the 2030 I think we have to think differently in order just to raise the level, change the attitude and have role in this.D2</w:t>
            </w:r>
          </w:p>
          <w:p w14:paraId="08B16DAD" w14:textId="77777777" w:rsidR="00D355D5" w:rsidRPr="00C43021" w:rsidRDefault="00D355D5" w:rsidP="00282204">
            <w:pPr>
              <w:spacing w:line="240" w:lineRule="auto"/>
              <w:jc w:val="both"/>
              <w:rPr>
                <w:rFonts w:cstheme="minorHAnsi"/>
                <w:lang w:val="en-GB" w:eastAsia="en-GB"/>
              </w:rPr>
            </w:pPr>
            <w:r w:rsidRPr="00C43021">
              <w:rPr>
                <w:rFonts w:cstheme="minorHAnsi"/>
                <w:lang w:val="en-GB" w:eastAsia="en-GB"/>
              </w:rPr>
              <w:t>you know we are in the transformation stage. They are trying to make these changes now, but you know it is in its beginning, so the results are not clear now; we have to see the advantages and disadvantages of these changes and what to apply, and their benefits for this stage then test them.Ph2</w:t>
            </w:r>
          </w:p>
          <w:p w14:paraId="19C92E2A" w14:textId="77777777" w:rsidR="00D355D5" w:rsidRPr="00C43021" w:rsidRDefault="00D355D5" w:rsidP="00282204">
            <w:pPr>
              <w:spacing w:line="240" w:lineRule="auto"/>
              <w:jc w:val="both"/>
              <w:rPr>
                <w:rFonts w:cstheme="minorHAnsi"/>
                <w:lang w:val="en-GB" w:eastAsia="en-GB"/>
              </w:rPr>
            </w:pPr>
            <w:r w:rsidRPr="00C43021">
              <w:rPr>
                <w:rFonts w:cstheme="minorHAnsi"/>
                <w:lang w:val="en-GB" w:eastAsia="en-GB"/>
              </w:rPr>
              <w:t>I think this stage is promising because it breaks the traditional thinking of pharmacists who only receive Rx, prepare and dispense medications for patients; now, I will say this stage is promising for evaluating the primary health care system to expand the role of pharmacists. That is what we've been looking for and working on, but that was behind the scenes, and now it's well coming to light.Ph2</w:t>
            </w:r>
          </w:p>
          <w:p w14:paraId="55FCB598" w14:textId="77777777" w:rsidR="00D355D5" w:rsidRPr="00C43021" w:rsidRDefault="00D355D5" w:rsidP="00282204">
            <w:pPr>
              <w:spacing w:line="240" w:lineRule="auto"/>
              <w:jc w:val="both"/>
              <w:rPr>
                <w:rFonts w:cstheme="minorHAnsi"/>
                <w:lang w:val="en-GB" w:eastAsia="en-GB"/>
              </w:rPr>
            </w:pPr>
            <w:r w:rsidRPr="00C43021">
              <w:rPr>
                <w:rFonts w:cstheme="minorHAnsi"/>
                <w:lang w:val="en-GB" w:eastAsia="en-GB"/>
              </w:rPr>
              <w:t>Through this transformation and Vision 2030, which is about modifications regarding health and education, we hope that pharmacy practice and the pharmacy profession will flourish in the coming period.Ph2</w:t>
            </w:r>
          </w:p>
          <w:p w14:paraId="5ACF707B" w14:textId="77777777" w:rsidR="00D355D5" w:rsidRPr="00C43021" w:rsidRDefault="00D355D5" w:rsidP="00282204">
            <w:pPr>
              <w:spacing w:line="240" w:lineRule="auto"/>
              <w:jc w:val="both"/>
              <w:rPr>
                <w:rFonts w:cstheme="minorHAnsi"/>
                <w:lang w:val="en-GB" w:eastAsia="en-GB"/>
              </w:rPr>
            </w:pPr>
            <w:r w:rsidRPr="00C43021">
              <w:rPr>
                <w:rFonts w:cstheme="minorHAnsi"/>
                <w:lang w:val="en-GB" w:eastAsia="en-GB"/>
              </w:rPr>
              <w:t>Dispensing service was a major obstacle to clinical service delivery. Stopping the dispensing of prescriptions from the PHCs may be beneficial for pharmacists to provide clinical services. Ph3</w:t>
            </w:r>
          </w:p>
        </w:tc>
        <w:tc>
          <w:tcPr>
            <w:tcW w:w="500" w:type="pct"/>
          </w:tcPr>
          <w:p w14:paraId="631B0230" w14:textId="77777777" w:rsidR="00D355D5" w:rsidRDefault="00D355D5" w:rsidP="00282204">
            <w:pPr>
              <w:pStyle w:val="RightAlign"/>
            </w:pPr>
            <w:r>
              <w:t>3</w:t>
            </w:r>
          </w:p>
        </w:tc>
        <w:tc>
          <w:tcPr>
            <w:tcW w:w="500" w:type="pct"/>
          </w:tcPr>
          <w:p w14:paraId="1E2FCDAC" w14:textId="77777777" w:rsidR="00D355D5" w:rsidRDefault="00D355D5" w:rsidP="00282204">
            <w:pPr>
              <w:pStyle w:val="RightAlign"/>
            </w:pPr>
            <w:r>
              <w:t>5</w:t>
            </w:r>
          </w:p>
        </w:tc>
      </w:tr>
      <w:tr w:rsidR="00D355D5" w14:paraId="59BE0D7A"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1FC33060" w14:textId="77777777" w:rsidR="00D355D5" w:rsidRDefault="00D355D5" w:rsidP="00282204">
            <w:r>
              <w:t xml:space="preserve">Doctor and pharmacist working at the same building </w:t>
            </w:r>
          </w:p>
        </w:tc>
        <w:tc>
          <w:tcPr>
            <w:tcW w:w="2500" w:type="pct"/>
          </w:tcPr>
          <w:p w14:paraId="1E23A4B3"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it will help pharmacists, first of all, I think it is permanent to be in the same building with a phone to connect to any doctor, D1</w:t>
            </w:r>
          </w:p>
        </w:tc>
        <w:tc>
          <w:tcPr>
            <w:tcW w:w="500" w:type="pct"/>
          </w:tcPr>
          <w:p w14:paraId="587227FD" w14:textId="77777777" w:rsidR="00D355D5" w:rsidRDefault="00D355D5" w:rsidP="00282204">
            <w:pPr>
              <w:pStyle w:val="RightAlign"/>
            </w:pPr>
            <w:r>
              <w:t>1</w:t>
            </w:r>
          </w:p>
        </w:tc>
        <w:tc>
          <w:tcPr>
            <w:tcW w:w="500" w:type="pct"/>
          </w:tcPr>
          <w:p w14:paraId="2E750142" w14:textId="77777777" w:rsidR="00D355D5" w:rsidRDefault="00D355D5" w:rsidP="00282204">
            <w:pPr>
              <w:pStyle w:val="RightAlign"/>
            </w:pPr>
            <w:r>
              <w:t>1</w:t>
            </w:r>
          </w:p>
        </w:tc>
      </w:tr>
      <w:tr w:rsidR="00D355D5" w14:paraId="38D91842"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6B17EC9E" w14:textId="77777777" w:rsidR="00D355D5" w:rsidRDefault="00D355D5" w:rsidP="00282204">
            <w:r>
              <w:t xml:space="preserve">A need for a patient educator </w:t>
            </w:r>
          </w:p>
        </w:tc>
        <w:tc>
          <w:tcPr>
            <w:tcW w:w="2500" w:type="pct"/>
          </w:tcPr>
          <w:p w14:paraId="0FDD4770"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we need to enforce more in the education of patients at least about the class at least to know the class, the class of the medication in order to avoid the overdose or duplication of medication even you know sometimes changing the brand.</w:t>
            </w:r>
            <w:r>
              <w:rPr>
                <w:rFonts w:cstheme="minorHAnsi"/>
                <w:lang w:val="en-GB" w:eastAsia="en-GB"/>
              </w:rPr>
              <w:t xml:space="preserve"> </w:t>
            </w:r>
            <w:r w:rsidRPr="001A71FF">
              <w:rPr>
                <w:rFonts w:cstheme="minorHAnsi"/>
                <w:lang w:val="en-GB" w:eastAsia="en-GB"/>
              </w:rPr>
              <w:t>D2</w:t>
            </w:r>
          </w:p>
          <w:p w14:paraId="370A45AA"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if the clinical pharmacist or the pharmacist is a smart one he might ask the patient to bring all his medication because maybe in the last two years we have change a lot of brands available in the primary care from different companies maybe the same let's Valsartan we get 5 or 6 brands sometimes the patient is illiterate he might continue to use double dose, he might think this is a new medication prescribed by his physician so he might take 2 medication and sometimes I face thisD2</w:t>
            </w:r>
          </w:p>
          <w:p w14:paraId="201F6A85"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the education and should be a paid service even as a part of dispending medication. I am dreaming that there should be a pharmaceutical education  programme that be a part of each chronic disease is not to encourage patient compliance to the medication or to the diet or exercise but also educate him about the proper use, timing even the timing before or after, this is you know a big issue, everybody they don't know when to take even if they have been on this medication for 30 years still they are asking when to take this medication even with simple ones like Levothyroxine, they don't know so I think anything even if it's paid services it would be added value and impact on the care of diabetic and chronic disease patients.D2</w:t>
            </w:r>
          </w:p>
          <w:p w14:paraId="70462909" w14:textId="77777777" w:rsidR="00D355D5" w:rsidRPr="001A71FF" w:rsidRDefault="00D355D5" w:rsidP="00282204">
            <w:pPr>
              <w:spacing w:line="240" w:lineRule="auto"/>
              <w:jc w:val="both"/>
              <w:rPr>
                <w:rFonts w:cstheme="minorHAnsi"/>
                <w:lang w:val="en-GB" w:eastAsia="en-GB"/>
              </w:rPr>
            </w:pPr>
            <w:r>
              <w:rPr>
                <w:rFonts w:cstheme="minorHAnsi"/>
                <w:lang w:val="en-GB" w:eastAsia="en-GB"/>
              </w:rPr>
              <w:t xml:space="preserve">I </w:t>
            </w:r>
            <w:r w:rsidRPr="001A71FF">
              <w:rPr>
                <w:rFonts w:cstheme="minorHAnsi"/>
                <w:lang w:val="en-GB" w:eastAsia="en-GB"/>
              </w:rPr>
              <w:t>think defining the roles either by the mandating the involvement in the writing up the care plan or to involve them in the education, patient education I think it would be a facilitator also.</w:t>
            </w:r>
            <w:r>
              <w:rPr>
                <w:rFonts w:cstheme="minorHAnsi"/>
                <w:lang w:val="en-GB" w:eastAsia="en-GB"/>
              </w:rPr>
              <w:t xml:space="preserve"> </w:t>
            </w:r>
            <w:r w:rsidRPr="001A71FF">
              <w:rPr>
                <w:rFonts w:cstheme="minorHAnsi"/>
                <w:lang w:val="en-GB" w:eastAsia="en-GB"/>
              </w:rPr>
              <w:t>D2</w:t>
            </w:r>
          </w:p>
          <w:p w14:paraId="4EA12B5D"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Pharmacists</w:t>
            </w:r>
            <w:r w:rsidRPr="001A71FF">
              <w:rPr>
                <w:rFonts w:cstheme="minorHAnsi"/>
                <w:lang w:val="en-GB" w:eastAsia="en-GB"/>
              </w:rPr>
              <w:t>’</w:t>
            </w:r>
            <w:r w:rsidRPr="001A71FF">
              <w:rPr>
                <w:rFonts w:cstheme="minorHAnsi"/>
                <w:lang w:val="en-GB" w:eastAsia="en-GB"/>
              </w:rPr>
              <w:t xml:space="preserve"> role is very, very important in educating diabetics in terms of their commitment to taking their medications, the importance of adherence to taking medications and interactions, etc., thier role in treating and educating patients with chronic diseases in general, not just diabetes, and also other conditions N2</w:t>
            </w:r>
          </w:p>
        </w:tc>
        <w:tc>
          <w:tcPr>
            <w:tcW w:w="500" w:type="pct"/>
          </w:tcPr>
          <w:p w14:paraId="18097A9C" w14:textId="77777777" w:rsidR="00D355D5" w:rsidRDefault="00D355D5" w:rsidP="00282204">
            <w:pPr>
              <w:pStyle w:val="RightAlign"/>
            </w:pPr>
            <w:r>
              <w:t>2</w:t>
            </w:r>
          </w:p>
        </w:tc>
        <w:tc>
          <w:tcPr>
            <w:tcW w:w="500" w:type="pct"/>
          </w:tcPr>
          <w:p w14:paraId="3EB174C2" w14:textId="77777777" w:rsidR="00D355D5" w:rsidRDefault="00D355D5" w:rsidP="00282204">
            <w:pPr>
              <w:pStyle w:val="RightAlign"/>
            </w:pPr>
            <w:r>
              <w:t>5</w:t>
            </w:r>
          </w:p>
        </w:tc>
      </w:tr>
      <w:tr w:rsidR="00D355D5" w14:paraId="2E58C8D8"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7B847763" w14:textId="77777777" w:rsidR="00D355D5" w:rsidRDefault="00D355D5" w:rsidP="00282204">
            <w:r>
              <w:t>A need for medication review service for to avoid adverse effects of medications.</w:t>
            </w:r>
          </w:p>
          <w:p w14:paraId="23E501E2" w14:textId="77777777" w:rsidR="00D355D5" w:rsidRDefault="00D355D5" w:rsidP="00282204">
            <w:r>
              <w:t xml:space="preserve"> </w:t>
            </w:r>
          </w:p>
          <w:p w14:paraId="23860AC1" w14:textId="77777777" w:rsidR="00D355D5" w:rsidRDefault="00D355D5" w:rsidP="00282204">
            <w:r>
              <w:t xml:space="preserve">Medication Safety Related Issue </w:t>
            </w:r>
          </w:p>
        </w:tc>
        <w:tc>
          <w:tcPr>
            <w:tcW w:w="2500" w:type="pct"/>
          </w:tcPr>
          <w:p w14:paraId="685744CF" w14:textId="77777777" w:rsidR="00D355D5" w:rsidRDefault="00D355D5" w:rsidP="00282204">
            <w:pPr>
              <w:spacing w:line="240" w:lineRule="auto"/>
              <w:jc w:val="both"/>
              <w:rPr>
                <w:rFonts w:cstheme="minorHAnsi"/>
                <w:lang w:val="en-GB" w:eastAsia="en-GB"/>
              </w:rPr>
            </w:pPr>
            <w:r w:rsidRPr="001A71FF">
              <w:rPr>
                <w:rFonts w:cstheme="minorHAnsi"/>
                <w:lang w:val="en-GB" w:eastAsia="en-GB"/>
              </w:rPr>
              <w:t>Regarding polypharmacy is a complex one I think if there is any effort as I stated before in  the chronic disease specially their medication related issues to the polypharmacy and literecy I think it would have a huge impact on the .. even in the decreasing the admission you know sometimes drug drug interaction or over dose of the medication related to diabetic, diabetes do not present itself alone, they are hypertensive at the same times dyslipidaemia at the same time obese and at the same time maybe we get even more than 2 medication for days for the hypertension so electrolyte disturbances is common, and over dose will increase the chance of electric disturbance so if we have any intervention with regard of the polypharmacy I think this will decrease the admission due to the electrolyte disturbances related to be polypharmacy. D2</w:t>
            </w:r>
          </w:p>
          <w:p w14:paraId="76F7A9F7" w14:textId="77777777" w:rsidR="00D355D5" w:rsidRPr="00D14E88" w:rsidRDefault="00D355D5" w:rsidP="00282204">
            <w:pPr>
              <w:spacing w:line="240" w:lineRule="auto"/>
              <w:jc w:val="both"/>
            </w:pPr>
            <w:r w:rsidRPr="00494A10">
              <w:t>I think you know in this regard I think of the role of the pharmacist is a crucial one D2</w:t>
            </w:r>
          </w:p>
        </w:tc>
        <w:tc>
          <w:tcPr>
            <w:tcW w:w="500" w:type="pct"/>
          </w:tcPr>
          <w:p w14:paraId="164050BC" w14:textId="77777777" w:rsidR="00D355D5" w:rsidRDefault="00D355D5" w:rsidP="00282204">
            <w:pPr>
              <w:pStyle w:val="RightAlign"/>
            </w:pPr>
            <w:r>
              <w:t>2</w:t>
            </w:r>
          </w:p>
        </w:tc>
        <w:tc>
          <w:tcPr>
            <w:tcW w:w="500" w:type="pct"/>
          </w:tcPr>
          <w:p w14:paraId="3C65F445" w14:textId="77777777" w:rsidR="00D355D5" w:rsidRDefault="00D355D5" w:rsidP="00282204">
            <w:pPr>
              <w:pStyle w:val="RightAlign"/>
            </w:pPr>
            <w:r>
              <w:t>2</w:t>
            </w:r>
          </w:p>
        </w:tc>
      </w:tr>
      <w:tr w:rsidR="00D355D5" w14:paraId="17535C00"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1F1DCEC7" w14:textId="77777777" w:rsidR="00D355D5" w:rsidRDefault="00D355D5" w:rsidP="00282204">
            <w:r>
              <w:t>A need for MTM</w:t>
            </w:r>
          </w:p>
        </w:tc>
        <w:tc>
          <w:tcPr>
            <w:tcW w:w="2500" w:type="pct"/>
          </w:tcPr>
          <w:p w14:paraId="559266A2"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I think the diabetic educator is having some roles that might intercept with the pharmacist especially with Insulin initiation, I don't know maybe I would suggest that pharmacist might involve in insulin initiation, sometimes even in the diabetic centre, in the busy clinic, he would say shift this one to the insulin and that is it. He would go to the to the diabetic educator and he will be prescribed the dose and titration so I do suggest that the role might be shifted to the the pharmacist at least to titrate insulin, at least to titrate insulin, or to adjust the insulin after the initiation plan by physician. D2</w:t>
            </w:r>
          </w:p>
        </w:tc>
        <w:tc>
          <w:tcPr>
            <w:tcW w:w="500" w:type="pct"/>
          </w:tcPr>
          <w:p w14:paraId="6C78337C" w14:textId="77777777" w:rsidR="00D355D5" w:rsidRDefault="00D355D5" w:rsidP="00282204">
            <w:pPr>
              <w:pStyle w:val="RightAlign"/>
            </w:pPr>
            <w:r>
              <w:t>1</w:t>
            </w:r>
          </w:p>
        </w:tc>
        <w:tc>
          <w:tcPr>
            <w:tcW w:w="500" w:type="pct"/>
          </w:tcPr>
          <w:p w14:paraId="5A5C05B2" w14:textId="77777777" w:rsidR="00D355D5" w:rsidRDefault="00D355D5" w:rsidP="00282204">
            <w:pPr>
              <w:pStyle w:val="RightAlign"/>
            </w:pPr>
            <w:r>
              <w:t>1</w:t>
            </w:r>
          </w:p>
        </w:tc>
      </w:tr>
      <w:tr w:rsidR="00D355D5" w14:paraId="0AF46086"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73FD39C6" w14:textId="77777777" w:rsidR="00D355D5" w:rsidRDefault="00D355D5" w:rsidP="00282204">
            <w:r>
              <w:t xml:space="preserve">Desire of HCP to having a pharmacists in their team </w:t>
            </w:r>
          </w:p>
        </w:tc>
        <w:tc>
          <w:tcPr>
            <w:tcW w:w="2500" w:type="pct"/>
          </w:tcPr>
          <w:p w14:paraId="549E4F99"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they should also be numbers, important members of any medical team taking care of diabetic patient. D1</w:t>
            </w:r>
          </w:p>
          <w:p w14:paraId="5860855C"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I will feel reassured because pharmacists are close to the medications, they are up to date for the medications and vaccines, and anything involving drugs which is important. D1</w:t>
            </w:r>
          </w:p>
          <w:p w14:paraId="09E90007"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I hope that pharmacists return to their places in health centres. The medical staff and patient need pharmacists. This is what we all wish for.</w:t>
            </w:r>
            <w:r w:rsidRPr="001A71FF">
              <w:rPr>
                <w:rFonts w:cstheme="minorHAnsi"/>
                <w:lang w:val="en-GB" w:eastAsia="en-GB"/>
              </w:rPr>
              <w:t>’</w:t>
            </w:r>
            <w:r w:rsidRPr="001A71FF">
              <w:rPr>
                <w:rFonts w:cstheme="minorHAnsi"/>
                <w:lang w:val="en-GB" w:eastAsia="en-GB"/>
              </w:rPr>
              <w:t xml:space="preserve"> N1</w:t>
            </w:r>
          </w:p>
          <w:p w14:paraId="4AB2CBB5" w14:textId="77777777" w:rsidR="00D355D5" w:rsidRPr="001A71FF" w:rsidRDefault="00D355D5" w:rsidP="00282204">
            <w:pPr>
              <w:spacing w:line="240" w:lineRule="auto"/>
              <w:rPr>
                <w:rFonts w:cstheme="minorHAnsi"/>
                <w:lang w:val="en-GB" w:eastAsia="en-GB"/>
              </w:rPr>
            </w:pPr>
            <w:r w:rsidRPr="001A71FF">
              <w:rPr>
                <w:rFonts w:cstheme="minorHAnsi"/>
                <w:lang w:val="en-GB" w:eastAsia="en-GB"/>
              </w:rPr>
              <w:t>I think the doctor feels as I said, reassured, yeah she felt more, when she prescribe the medication she feeks more safe after asking the pharmacist. D1</w:t>
            </w:r>
          </w:p>
          <w:p w14:paraId="483DBD50"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The role of the pharmacist is very, very important in healthcare centres. Unfortunately, we missed it greatly. Even the staff in the centre need to resort (return) to the pharmacist.N2</w:t>
            </w:r>
          </w:p>
          <w:p w14:paraId="039488BF"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 xml:space="preserve">As I mentioned to you before. Even we, as healthcare providers, the pharmacist used to help us. The doctors also referred to the pharmacist in medication-related issues such as medication side effects, which medication works better than another for a particular condition </w:t>
            </w:r>
            <w:r w:rsidRPr="001A71FF">
              <w:rPr>
                <w:rFonts w:cstheme="minorHAnsi"/>
                <w:lang w:val="en-GB" w:eastAsia="en-GB"/>
              </w:rPr>
              <w:t>–</w:t>
            </w:r>
            <w:r w:rsidRPr="001A71FF">
              <w:rPr>
                <w:rFonts w:cstheme="minorHAnsi"/>
                <w:lang w:val="en-GB" w:eastAsia="en-GB"/>
              </w:rPr>
              <w:t xml:space="preserve"> any medication related issues frankly we used to turn to the pharmacist. N2</w:t>
            </w:r>
          </w:p>
          <w:p w14:paraId="744EC354"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I hope that even if I retire, the pharmacist's role return to PHCs. I hope so, and I hope every day and I repeat this wish whenever I see patients come out and then return to the centre with their medicine bag, and they say; They didn't tell us about these drugs, they didn't tell us.N2</w:t>
            </w:r>
          </w:p>
          <w:p w14:paraId="0CA85359"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I hope that pharmacists will return to primary care centres because their role is effective; frankly, it is unacceptable to forbid the patient from pharmacists services in the centre. The pharmacist has a big, big and big role for patients.N3</w:t>
            </w:r>
          </w:p>
          <w:p w14:paraId="30922B1D" w14:textId="77777777" w:rsidR="00D355D5" w:rsidRDefault="00D355D5" w:rsidP="00282204">
            <w:pPr>
              <w:spacing w:line="240" w:lineRule="auto"/>
              <w:jc w:val="both"/>
              <w:rPr>
                <w:rFonts w:cstheme="minorHAnsi"/>
                <w:lang w:val="en-GB" w:eastAsia="en-GB"/>
              </w:rPr>
            </w:pPr>
            <w:r w:rsidRPr="001A71FF">
              <w:rPr>
                <w:rFonts w:cstheme="minorHAnsi"/>
                <w:lang w:val="en-GB" w:eastAsia="en-GB"/>
              </w:rPr>
              <w:t>There are specialised pharmacists for diabetes educators we can refer diabetes patients to.Ph2</w:t>
            </w:r>
          </w:p>
          <w:p w14:paraId="728CD0B2" w14:textId="77777777" w:rsidR="00D355D5" w:rsidRPr="00891E24" w:rsidRDefault="00D355D5" w:rsidP="00282204">
            <w:pPr>
              <w:spacing w:line="240" w:lineRule="auto"/>
              <w:jc w:val="both"/>
              <w:rPr>
                <w:lang w:val="en-GB"/>
              </w:rPr>
            </w:pPr>
            <w:r w:rsidRPr="006050F3">
              <w:rPr>
                <w:lang w:val="en-GB"/>
              </w:rPr>
              <w:t xml:space="preserve">the refill issue I always have sometimes 15 visits just for refill or 15 calls just for refills. I have seen even in the tertiary hospitals the nurse is responsible for refill medication. and I'm wondering if this role should be directed to the pharmacist at least to have the pharmacist to do refill </w:t>
            </w:r>
            <w:r w:rsidRPr="006050F3">
              <w:rPr>
                <w:lang w:val="en-GB"/>
              </w:rPr>
              <w:t>…</w:t>
            </w:r>
            <w:r w:rsidRPr="006050F3">
              <w:rPr>
                <w:lang w:val="en-GB"/>
              </w:rPr>
              <w:t xml:space="preserve"> I think this is now the any kind of services that might improve the drug drug interaction or the issues of polypharmacy is very crucial.D2</w:t>
            </w:r>
          </w:p>
        </w:tc>
        <w:tc>
          <w:tcPr>
            <w:tcW w:w="500" w:type="pct"/>
          </w:tcPr>
          <w:p w14:paraId="1F2F42B7" w14:textId="77777777" w:rsidR="00D355D5" w:rsidRDefault="00D355D5" w:rsidP="00282204">
            <w:pPr>
              <w:pStyle w:val="RightAlign"/>
            </w:pPr>
            <w:r>
              <w:t>6</w:t>
            </w:r>
          </w:p>
        </w:tc>
        <w:tc>
          <w:tcPr>
            <w:tcW w:w="500" w:type="pct"/>
          </w:tcPr>
          <w:p w14:paraId="731F184E" w14:textId="77777777" w:rsidR="00D355D5" w:rsidRDefault="00D355D5" w:rsidP="00282204">
            <w:pPr>
              <w:pStyle w:val="RightAlign"/>
            </w:pPr>
            <w:r>
              <w:t>10</w:t>
            </w:r>
          </w:p>
        </w:tc>
      </w:tr>
      <w:tr w:rsidR="00D355D5" w14:paraId="16ED7717"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5C27B5A4" w14:textId="77777777" w:rsidR="00D355D5" w:rsidRDefault="00D355D5" w:rsidP="00282204">
            <w:r>
              <w:t xml:space="preserve">A need for a multidisciplinary team work to optimise patient care </w:t>
            </w:r>
          </w:p>
        </w:tc>
        <w:tc>
          <w:tcPr>
            <w:tcW w:w="2500" w:type="pct"/>
          </w:tcPr>
          <w:p w14:paraId="7A7040EC"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a chronic disease patient such as a diabetic,  will receive the service of care from the doctor's side only, I mean from one side. If the doctor is busy, overwhelmed and stressed, he won't give me my right to care, but this will complete when the patient  get part of the doctor's care and part of the pharmacist's care. N2</w:t>
            </w:r>
          </w:p>
          <w:p w14:paraId="3F77909A"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Having a pharmacist on the diabetes care team is important and necessary to give the right messages in the right place.N2</w:t>
            </w:r>
          </w:p>
        </w:tc>
        <w:tc>
          <w:tcPr>
            <w:tcW w:w="500" w:type="pct"/>
          </w:tcPr>
          <w:p w14:paraId="68F328F4" w14:textId="77777777" w:rsidR="00D355D5" w:rsidRDefault="00D355D5" w:rsidP="00282204">
            <w:pPr>
              <w:pStyle w:val="RightAlign"/>
            </w:pPr>
            <w:r>
              <w:t>1</w:t>
            </w:r>
          </w:p>
        </w:tc>
        <w:tc>
          <w:tcPr>
            <w:tcW w:w="500" w:type="pct"/>
          </w:tcPr>
          <w:p w14:paraId="5376FDA5" w14:textId="77777777" w:rsidR="00D355D5" w:rsidRDefault="00D355D5" w:rsidP="00282204">
            <w:pPr>
              <w:pStyle w:val="RightAlign"/>
            </w:pPr>
            <w:r>
              <w:t>2</w:t>
            </w:r>
          </w:p>
        </w:tc>
      </w:tr>
      <w:tr w:rsidR="00D355D5" w14:paraId="186F7D46"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2EFE6029" w14:textId="77777777" w:rsidR="00D355D5" w:rsidRDefault="00D355D5" w:rsidP="00282204">
            <w:r>
              <w:t xml:space="preserve">Delegate some doctors tasks to decrease their workload </w:t>
            </w:r>
          </w:p>
        </w:tc>
        <w:tc>
          <w:tcPr>
            <w:tcW w:w="2500" w:type="pct"/>
          </w:tcPr>
          <w:p w14:paraId="6FBBBE36"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Of course, if there is a pharmacist present, they will do it (medication review) to ease the burden on the doctors and reduce the time it takes to perform this task which takes the time of treating patients. N3</w:t>
            </w:r>
          </w:p>
        </w:tc>
        <w:tc>
          <w:tcPr>
            <w:tcW w:w="500" w:type="pct"/>
          </w:tcPr>
          <w:p w14:paraId="107D1C19" w14:textId="77777777" w:rsidR="00D355D5" w:rsidRDefault="00D355D5" w:rsidP="00282204">
            <w:pPr>
              <w:pStyle w:val="RightAlign"/>
            </w:pPr>
            <w:r>
              <w:t>1</w:t>
            </w:r>
          </w:p>
        </w:tc>
        <w:tc>
          <w:tcPr>
            <w:tcW w:w="500" w:type="pct"/>
          </w:tcPr>
          <w:p w14:paraId="2AABB5F0" w14:textId="77777777" w:rsidR="00D355D5" w:rsidRDefault="00D355D5" w:rsidP="00282204">
            <w:pPr>
              <w:pStyle w:val="RightAlign"/>
            </w:pPr>
            <w:r>
              <w:t>1</w:t>
            </w:r>
          </w:p>
        </w:tc>
      </w:tr>
      <w:tr w:rsidR="00D355D5" w14:paraId="33B13548"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0825AC0B" w14:textId="77777777" w:rsidR="00D355D5" w:rsidRDefault="00D355D5" w:rsidP="00282204">
            <w:r>
              <w:t xml:space="preserve">Clinical pharmacy services in other healthcare settings in SA </w:t>
            </w:r>
          </w:p>
        </w:tc>
        <w:tc>
          <w:tcPr>
            <w:tcW w:w="2500" w:type="pct"/>
          </w:tcPr>
          <w:p w14:paraId="2845CBA8"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I was having training in one of the cardiac centre in Riyadh where there was a clinical pharmacist. A patient was admitted as having heart failure and they just wrote heart failure and the clinical pharmacist will have the role in the management the cardiologist will have only minimal intervention when he was admitting this patient he just monitor his progress of improvement all the interventions; the pharmacological interventions were done by the clinical pharmacist. For diabetes no I have never seen a clinical pharmacist involving in diabetes management.</w:t>
            </w:r>
            <w:r>
              <w:rPr>
                <w:rFonts w:cstheme="minorHAnsi"/>
                <w:lang w:val="en-GB" w:eastAsia="en-GB"/>
              </w:rPr>
              <w:t xml:space="preserve"> </w:t>
            </w:r>
            <w:r w:rsidRPr="001A71FF">
              <w:rPr>
                <w:rFonts w:cstheme="minorHAnsi"/>
                <w:lang w:val="en-GB" w:eastAsia="en-GB"/>
              </w:rPr>
              <w:t>D2</w:t>
            </w:r>
          </w:p>
          <w:p w14:paraId="18A2C593" w14:textId="77777777" w:rsidR="00D355D5" w:rsidRDefault="00D355D5" w:rsidP="00282204">
            <w:pPr>
              <w:spacing w:line="240" w:lineRule="auto"/>
              <w:jc w:val="both"/>
              <w:rPr>
                <w:rFonts w:cstheme="minorHAnsi"/>
                <w:lang w:val="en-GB" w:eastAsia="en-GB"/>
              </w:rPr>
            </w:pPr>
            <w:r w:rsidRPr="001A71FF">
              <w:rPr>
                <w:rFonts w:cstheme="minorHAnsi"/>
                <w:lang w:val="en-GB" w:eastAsia="en-GB"/>
              </w:rPr>
              <w:t>Some regions in Saudi Arabia have these programmes and provide clinical pharmacy services, but some regions are behind, and we hope that such programmes will be offered, and clinical pharmacy services will be implemented, in the near future in our region.Ph2</w:t>
            </w:r>
          </w:p>
          <w:p w14:paraId="37824E34" w14:textId="77777777" w:rsidR="00D355D5" w:rsidRPr="001A71FF" w:rsidRDefault="00D355D5" w:rsidP="00282204">
            <w:pPr>
              <w:rPr>
                <w:rFonts w:cstheme="minorHAnsi"/>
                <w:lang w:val="en-GB" w:eastAsia="en-GB"/>
              </w:rPr>
            </w:pPr>
            <w:r w:rsidRPr="00022868">
              <w:rPr>
                <w:rFonts w:cstheme="minorHAnsi"/>
                <w:lang w:val="en-GB" w:eastAsia="en-GB"/>
              </w:rPr>
              <w:t>I didn't get the chance and I didn't really see any clinics that are specialised for diabetic patients and foot care, I think they only have that in Saudi Aramco to my knowledge. D1</w:t>
            </w:r>
          </w:p>
        </w:tc>
        <w:tc>
          <w:tcPr>
            <w:tcW w:w="500" w:type="pct"/>
          </w:tcPr>
          <w:p w14:paraId="1CFEE467" w14:textId="77777777" w:rsidR="00D355D5" w:rsidRDefault="00D355D5" w:rsidP="00282204">
            <w:pPr>
              <w:pStyle w:val="RightAlign"/>
            </w:pPr>
            <w:r>
              <w:t>3</w:t>
            </w:r>
          </w:p>
        </w:tc>
        <w:tc>
          <w:tcPr>
            <w:tcW w:w="500" w:type="pct"/>
          </w:tcPr>
          <w:p w14:paraId="798D1024" w14:textId="77777777" w:rsidR="00D355D5" w:rsidRDefault="00D355D5" w:rsidP="00282204">
            <w:pPr>
              <w:pStyle w:val="RightAlign"/>
            </w:pPr>
            <w:r>
              <w:t>3</w:t>
            </w:r>
          </w:p>
        </w:tc>
      </w:tr>
      <w:tr w:rsidR="00D355D5" w14:paraId="77666FFE"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3055DCE8" w14:textId="77777777" w:rsidR="00D355D5" w:rsidRDefault="00D355D5" w:rsidP="00282204">
            <w:r>
              <w:t xml:space="preserve">Initiatives </w:t>
            </w:r>
          </w:p>
        </w:tc>
        <w:tc>
          <w:tcPr>
            <w:tcW w:w="2500" w:type="pct"/>
          </w:tcPr>
          <w:p w14:paraId="69086A46"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There is an initiative called the Virtual Clinic for medication consultation in our hospital (Qatif General Hospital); the patient contacts a pharmacist in case of seeking medical advice.Ph1</w:t>
            </w:r>
          </w:p>
          <w:p w14:paraId="02E1EFE7"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Does this service target/serve primary care centre patients?R</w:t>
            </w:r>
          </w:p>
          <w:p w14:paraId="30BD16AF"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Participant: No, this is only for hospital patients, primary care patients whose pharmaceutical services are assumed to be provided by community pharmacies.Ph1</w:t>
            </w:r>
          </w:p>
          <w:p w14:paraId="611C0008"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No, it does not exist at all. These virtual clinics are affiliated with the hospital and serve their patients, not the PHCs' patients.Ph3</w:t>
            </w:r>
          </w:p>
          <w:p w14:paraId="0A3A1631"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One recently launched service is the drug delivery service for chronic disease patients. This is one of the services that the pharmacist can explain to the patient about medicines and how to use them. The service was launched during the COVID-19 pandemic, and patients benefited from it. Two people, one of whom is a pharmacist, go out to provide treatment to patients in their homes, explain and review their medications, and ask them how they are doing with the treatment. Are there any side effects of medications? This is one of the services that has really made it easy for patients to benefit.</w:t>
            </w:r>
            <w:r w:rsidRPr="001A71FF">
              <w:rPr>
                <w:rFonts w:cstheme="minorHAnsi"/>
                <w:lang w:val="en-GB" w:eastAsia="en-GB"/>
              </w:rPr>
              <w:t>’</w:t>
            </w:r>
            <w:r w:rsidRPr="001A71FF">
              <w:rPr>
                <w:rFonts w:cstheme="minorHAnsi"/>
                <w:lang w:val="en-GB" w:eastAsia="en-GB"/>
              </w:rPr>
              <w:t xml:space="preserve"> N4</w:t>
            </w:r>
          </w:p>
          <w:p w14:paraId="7171FCC3"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w:t>
            </w:r>
            <w:r w:rsidRPr="001A71FF">
              <w:rPr>
                <w:rFonts w:cstheme="minorHAnsi"/>
                <w:lang w:val="en-GB" w:eastAsia="en-GB"/>
              </w:rPr>
              <w:t>Currently, this service is only a delivery service. In the days of the pandemic, it was a delivery service with education by a pharmacist.</w:t>
            </w:r>
            <w:r w:rsidRPr="001A71FF">
              <w:rPr>
                <w:rFonts w:cstheme="minorHAnsi"/>
                <w:lang w:val="en-GB" w:eastAsia="en-GB"/>
              </w:rPr>
              <w:t>’</w:t>
            </w:r>
            <w:r w:rsidRPr="001A71FF">
              <w:rPr>
                <w:rFonts w:cstheme="minorHAnsi"/>
                <w:lang w:val="en-GB" w:eastAsia="en-GB"/>
              </w:rPr>
              <w:t xml:space="preserve"> N4</w:t>
            </w:r>
          </w:p>
        </w:tc>
        <w:tc>
          <w:tcPr>
            <w:tcW w:w="500" w:type="pct"/>
          </w:tcPr>
          <w:p w14:paraId="3CFAB010" w14:textId="77777777" w:rsidR="00D355D5" w:rsidRDefault="00D355D5" w:rsidP="00282204">
            <w:pPr>
              <w:pStyle w:val="RightAlign"/>
            </w:pPr>
            <w:r>
              <w:t>3</w:t>
            </w:r>
          </w:p>
        </w:tc>
        <w:tc>
          <w:tcPr>
            <w:tcW w:w="500" w:type="pct"/>
          </w:tcPr>
          <w:p w14:paraId="78412CF3" w14:textId="77777777" w:rsidR="00D355D5" w:rsidRDefault="00D355D5" w:rsidP="00282204">
            <w:pPr>
              <w:pStyle w:val="RightAlign"/>
            </w:pPr>
            <w:r>
              <w:t>5</w:t>
            </w:r>
          </w:p>
        </w:tc>
      </w:tr>
      <w:tr w:rsidR="00D355D5" w14:paraId="2ACD1706"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2FE35E15" w14:textId="77777777" w:rsidR="00D355D5" w:rsidRDefault="00D355D5" w:rsidP="00282204">
            <w:r>
              <w:t xml:space="preserve">Initiatives to involving a pharmacists to chronic care  </w:t>
            </w:r>
          </w:p>
        </w:tc>
        <w:tc>
          <w:tcPr>
            <w:tcW w:w="2500" w:type="pct"/>
          </w:tcPr>
          <w:p w14:paraId="409D1A61"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You mentioned that there is a plan to involve pharmacists in treating patients with chronic diseases? Was this initiative recently or long ago?</w:t>
            </w:r>
          </w:p>
          <w:p w14:paraId="6609D167"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Participant: They have administrative plans. The treatment plans should be put by a doctor and a pharmacist. I mean, the doctor does not prescribe medicines unless he consults the pharmacist, especially if the pharmacist is knowledgeable and has great experience as a consultant or with a master's, i.e. what is prescribed only after consulting the pharmacist. This was the plan.N3</w:t>
            </w:r>
          </w:p>
          <w:p w14:paraId="21B35847" w14:textId="77777777" w:rsidR="00D355D5" w:rsidRPr="001A71FF" w:rsidRDefault="00D355D5" w:rsidP="00282204">
            <w:pPr>
              <w:spacing w:line="240" w:lineRule="auto"/>
              <w:jc w:val="both"/>
              <w:rPr>
                <w:rFonts w:cstheme="minorHAnsi"/>
                <w:lang w:val="en-GB" w:eastAsia="en-GB"/>
              </w:rPr>
            </w:pPr>
            <w:r w:rsidRPr="001A71FF">
              <w:rPr>
                <w:rFonts w:cstheme="minorHAnsi"/>
                <w:lang w:val="en-GB" w:eastAsia="en-GB"/>
              </w:rPr>
              <w:t>, I have heard that there is a trend to establish specialized pharmacy services in PHCs.Ph1</w:t>
            </w:r>
          </w:p>
        </w:tc>
        <w:tc>
          <w:tcPr>
            <w:tcW w:w="500" w:type="pct"/>
          </w:tcPr>
          <w:p w14:paraId="784E58EE" w14:textId="77777777" w:rsidR="00D355D5" w:rsidRDefault="00D355D5" w:rsidP="00282204">
            <w:pPr>
              <w:pStyle w:val="RightAlign"/>
            </w:pPr>
            <w:r>
              <w:t>2</w:t>
            </w:r>
          </w:p>
        </w:tc>
        <w:tc>
          <w:tcPr>
            <w:tcW w:w="500" w:type="pct"/>
          </w:tcPr>
          <w:p w14:paraId="70B6AB0D" w14:textId="77777777" w:rsidR="00D355D5" w:rsidRDefault="00D355D5" w:rsidP="00282204">
            <w:pPr>
              <w:pStyle w:val="RightAlign"/>
            </w:pPr>
            <w:r>
              <w:t>2</w:t>
            </w:r>
          </w:p>
        </w:tc>
      </w:tr>
    </w:tbl>
    <w:p w14:paraId="18F8FA0E" w14:textId="77777777" w:rsidR="00D355D5" w:rsidRPr="007871CA" w:rsidRDefault="00D355D5" w:rsidP="00D355D5">
      <w:r>
        <w:t>Codes\\Suggestions to add pharmacists to DM team</w:t>
      </w:r>
    </w:p>
    <w:tbl>
      <w:tblPr>
        <w:tblStyle w:val="NodesTable"/>
        <w:tblW w:w="5000" w:type="pct"/>
        <w:tblInd w:w="0" w:type="dxa"/>
        <w:tblLook w:val="0420" w:firstRow="1" w:lastRow="0" w:firstColumn="0" w:lastColumn="0" w:noHBand="0" w:noVBand="1"/>
      </w:tblPr>
      <w:tblGrid>
        <w:gridCol w:w="2747"/>
        <w:gridCol w:w="4618"/>
        <w:gridCol w:w="877"/>
        <w:gridCol w:w="1113"/>
      </w:tblGrid>
      <w:tr w:rsidR="00D355D5" w14:paraId="1E74A5CD"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229D9965" w14:textId="77777777" w:rsidR="00D355D5" w:rsidRDefault="00D355D5" w:rsidP="00282204">
            <w:pPr>
              <w:pStyle w:val="TableHeader"/>
            </w:pPr>
            <w:r>
              <w:t>Name</w:t>
            </w:r>
          </w:p>
        </w:tc>
        <w:tc>
          <w:tcPr>
            <w:tcW w:w="2500" w:type="pct"/>
          </w:tcPr>
          <w:p w14:paraId="131274E9" w14:textId="77777777" w:rsidR="00D355D5" w:rsidRDefault="00D355D5" w:rsidP="00282204">
            <w:pPr>
              <w:pStyle w:val="TableHeader"/>
            </w:pPr>
            <w:r>
              <w:t>Description</w:t>
            </w:r>
          </w:p>
        </w:tc>
        <w:tc>
          <w:tcPr>
            <w:tcW w:w="500" w:type="pct"/>
          </w:tcPr>
          <w:p w14:paraId="461BD17B" w14:textId="77777777" w:rsidR="00D355D5" w:rsidRDefault="00D355D5" w:rsidP="00282204">
            <w:pPr>
              <w:pStyle w:val="TableHeader"/>
            </w:pPr>
            <w:r>
              <w:t>Files</w:t>
            </w:r>
          </w:p>
        </w:tc>
        <w:tc>
          <w:tcPr>
            <w:tcW w:w="500" w:type="pct"/>
          </w:tcPr>
          <w:p w14:paraId="3440366C" w14:textId="77777777" w:rsidR="00D355D5" w:rsidRDefault="00D355D5" w:rsidP="00282204">
            <w:pPr>
              <w:pStyle w:val="TableHeader"/>
            </w:pPr>
            <w:r>
              <w:t>References</w:t>
            </w:r>
          </w:p>
        </w:tc>
      </w:tr>
      <w:tr w:rsidR="00D355D5" w14:paraId="4E13170D"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7C0977C5" w14:textId="77777777" w:rsidR="00D355D5" w:rsidRDefault="00D355D5" w:rsidP="00282204">
            <w:r>
              <w:t xml:space="preserve">Enforced by regulation </w:t>
            </w:r>
          </w:p>
        </w:tc>
        <w:tc>
          <w:tcPr>
            <w:tcW w:w="2500" w:type="pct"/>
          </w:tcPr>
          <w:p w14:paraId="1244B9A7" w14:textId="77777777" w:rsidR="00D355D5" w:rsidRPr="003A2C71" w:rsidRDefault="00D355D5" w:rsidP="00282204">
            <w:pPr>
              <w:jc w:val="both"/>
              <w:rPr>
                <w:rFonts w:cstheme="minorHAnsi"/>
                <w:lang w:val="en-GB" w:eastAsia="en-GB"/>
              </w:rPr>
            </w:pPr>
            <w:r w:rsidRPr="003A2C71">
              <w:rPr>
                <w:rFonts w:cstheme="minorHAnsi"/>
                <w:lang w:val="en-GB" w:eastAsia="en-GB"/>
              </w:rPr>
              <w:t>I agree if you don't have a role put it as a basic and mandatory to involve the pharmacist in the team and you know here in Saudi Arabia we got the CIBAHI. The CIBAHI is the accredited accreditation body they have mandate to have care plan for each chronic disease patient. they mandate to have a plan by team, team should be consistent at least from 2 (a nurse and physician). you can add health educator, or you can add dentist what if there is a suggestion to add the pharmacist what if the CIBAHI say the pharmacist part of the care plan is mandatory if it is mandatory, it would be an essential safety requirement without scoring 3 out of three there will be a denial of accreditation so it would be enforced by rule. D2</w:t>
            </w:r>
          </w:p>
          <w:p w14:paraId="71930386" w14:textId="77777777" w:rsidR="00D355D5" w:rsidRPr="003A2C71" w:rsidRDefault="00D355D5" w:rsidP="00282204">
            <w:pPr>
              <w:spacing w:line="240" w:lineRule="auto"/>
              <w:jc w:val="both"/>
              <w:rPr>
                <w:rFonts w:cstheme="minorHAnsi"/>
                <w:lang w:val="en-GB" w:eastAsia="en-GB"/>
              </w:rPr>
            </w:pPr>
            <w:r w:rsidRPr="003A2C71">
              <w:rPr>
                <w:rFonts w:cstheme="minorHAnsi"/>
                <w:lang w:val="en-GB" w:eastAsia="en-GB"/>
              </w:rPr>
              <w:t>I think as a suggestion to add the role of the pharmacy to the care plan to put it as a mandatory to have the pharmacist role in the care plan of the chronic disease as a mandatory so the care plan wouldn't be fully scored by the accreditation body if the pharmacist did not involve in the care plan, this is one suggestion to overcome any barriers or something like that.D2</w:t>
            </w:r>
          </w:p>
          <w:p w14:paraId="2FFB0CF0" w14:textId="77777777" w:rsidR="00D355D5" w:rsidRPr="003A2C71" w:rsidRDefault="00D355D5" w:rsidP="00282204">
            <w:pPr>
              <w:spacing w:line="240" w:lineRule="auto"/>
              <w:jc w:val="both"/>
              <w:rPr>
                <w:rFonts w:cstheme="minorHAnsi"/>
                <w:lang w:val="en-GB" w:eastAsia="en-GB"/>
              </w:rPr>
            </w:pPr>
            <w:r w:rsidRPr="003A2C71">
              <w:rPr>
                <w:rFonts w:cstheme="minorHAnsi"/>
                <w:lang w:val="en-GB" w:eastAsia="en-GB"/>
              </w:rPr>
              <w:t>From my point of view now, with the closure of pharmacies in PHCs, each group of centres has at least one pharmacist to refer to. Currently, the healthcare sector is divided into zones: for example, our health sector is divided to the eastern, southern, northwestern, etc. We required at least one pharmacist in each zone to be consulted by primary healthcare providers; Patients are referred to him, doctors and other health care providers refer to him.N2</w:t>
            </w:r>
          </w:p>
        </w:tc>
        <w:tc>
          <w:tcPr>
            <w:tcW w:w="500" w:type="pct"/>
          </w:tcPr>
          <w:p w14:paraId="4D2C2456" w14:textId="77777777" w:rsidR="00D355D5" w:rsidRDefault="00D355D5" w:rsidP="00282204">
            <w:pPr>
              <w:pStyle w:val="RightAlign"/>
            </w:pPr>
            <w:r>
              <w:t>2</w:t>
            </w:r>
          </w:p>
        </w:tc>
        <w:tc>
          <w:tcPr>
            <w:tcW w:w="500" w:type="pct"/>
          </w:tcPr>
          <w:p w14:paraId="317AC638" w14:textId="77777777" w:rsidR="00D355D5" w:rsidRDefault="00D355D5" w:rsidP="00282204">
            <w:pPr>
              <w:pStyle w:val="RightAlign"/>
            </w:pPr>
            <w:r>
              <w:t>3</w:t>
            </w:r>
          </w:p>
        </w:tc>
      </w:tr>
    </w:tbl>
    <w:p w14:paraId="4D683D37" w14:textId="77777777" w:rsidR="00D355D5" w:rsidRPr="007871CA" w:rsidRDefault="00D355D5" w:rsidP="00D355D5">
      <w:pPr>
        <w:pStyle w:val="FolderDescription"/>
      </w:pPr>
    </w:p>
    <w:p w14:paraId="33014B9C" w14:textId="77777777" w:rsidR="00D355D5" w:rsidRDefault="00D355D5" w:rsidP="00D355D5"/>
    <w:p w14:paraId="53BE7756" w14:textId="77777777" w:rsidR="00D355D5" w:rsidRDefault="00D355D5" w:rsidP="00D355D5">
      <w:r>
        <w:br w:type="page"/>
      </w:r>
    </w:p>
    <w:p w14:paraId="4CF50C03" w14:textId="77777777" w:rsidR="00D355D5" w:rsidRDefault="00D355D5" w:rsidP="00D355D5">
      <w:r>
        <w:t>Codes\\Impact of closing pharmacies located in PHC</w:t>
      </w:r>
    </w:p>
    <w:tbl>
      <w:tblPr>
        <w:tblStyle w:val="NodesTable"/>
        <w:tblW w:w="5000" w:type="pct"/>
        <w:tblInd w:w="0" w:type="dxa"/>
        <w:tblLook w:val="0420" w:firstRow="1" w:lastRow="0" w:firstColumn="0" w:lastColumn="0" w:noHBand="0" w:noVBand="1"/>
      </w:tblPr>
      <w:tblGrid>
        <w:gridCol w:w="2747"/>
        <w:gridCol w:w="4618"/>
        <w:gridCol w:w="877"/>
        <w:gridCol w:w="1113"/>
      </w:tblGrid>
      <w:tr w:rsidR="00D355D5" w14:paraId="1E22FB74"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6FDAACE6" w14:textId="77777777" w:rsidR="00D355D5" w:rsidRDefault="00D355D5" w:rsidP="00282204">
            <w:pPr>
              <w:pStyle w:val="TableHeader"/>
            </w:pPr>
            <w:r>
              <w:t>Name</w:t>
            </w:r>
          </w:p>
        </w:tc>
        <w:tc>
          <w:tcPr>
            <w:tcW w:w="2500" w:type="pct"/>
          </w:tcPr>
          <w:p w14:paraId="3327DD48" w14:textId="77777777" w:rsidR="00D355D5" w:rsidRDefault="00D355D5" w:rsidP="00282204">
            <w:pPr>
              <w:pStyle w:val="TableHeader"/>
            </w:pPr>
            <w:r>
              <w:t>Description</w:t>
            </w:r>
          </w:p>
        </w:tc>
        <w:tc>
          <w:tcPr>
            <w:tcW w:w="500" w:type="pct"/>
          </w:tcPr>
          <w:p w14:paraId="1B60D206" w14:textId="77777777" w:rsidR="00D355D5" w:rsidRDefault="00D355D5" w:rsidP="00282204">
            <w:pPr>
              <w:pStyle w:val="TableHeader"/>
            </w:pPr>
            <w:r>
              <w:t>Files</w:t>
            </w:r>
          </w:p>
        </w:tc>
        <w:tc>
          <w:tcPr>
            <w:tcW w:w="500" w:type="pct"/>
          </w:tcPr>
          <w:p w14:paraId="6C65F2DD" w14:textId="77777777" w:rsidR="00D355D5" w:rsidRDefault="00D355D5" w:rsidP="00282204">
            <w:pPr>
              <w:pStyle w:val="TableHeader"/>
            </w:pPr>
            <w:r>
              <w:t>References</w:t>
            </w:r>
          </w:p>
        </w:tc>
      </w:tr>
      <w:tr w:rsidR="00D355D5" w14:paraId="511BFA60"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3F154BA9" w14:textId="77777777" w:rsidR="00D355D5" w:rsidRDefault="00D355D5" w:rsidP="00282204">
            <w:r>
              <w:t>Positive impact</w:t>
            </w:r>
          </w:p>
        </w:tc>
        <w:tc>
          <w:tcPr>
            <w:tcW w:w="2500" w:type="pct"/>
          </w:tcPr>
          <w:p w14:paraId="2F0466EA" w14:textId="77777777" w:rsidR="00D355D5" w:rsidRDefault="00D355D5" w:rsidP="00282204"/>
        </w:tc>
        <w:tc>
          <w:tcPr>
            <w:tcW w:w="500" w:type="pct"/>
          </w:tcPr>
          <w:p w14:paraId="56ECF4A6" w14:textId="77777777" w:rsidR="00D355D5" w:rsidRDefault="00D355D5" w:rsidP="00282204">
            <w:pPr>
              <w:pStyle w:val="RightAlign"/>
            </w:pPr>
            <w:r>
              <w:t>1</w:t>
            </w:r>
          </w:p>
        </w:tc>
        <w:tc>
          <w:tcPr>
            <w:tcW w:w="500" w:type="pct"/>
          </w:tcPr>
          <w:p w14:paraId="5B7275BF" w14:textId="77777777" w:rsidR="00D355D5" w:rsidRDefault="00D355D5" w:rsidP="00282204">
            <w:pPr>
              <w:pStyle w:val="RightAlign"/>
            </w:pPr>
            <w:r>
              <w:t>2</w:t>
            </w:r>
          </w:p>
        </w:tc>
      </w:tr>
      <w:tr w:rsidR="00D355D5" w14:paraId="5E3DBA83"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3961147C" w14:textId="77777777" w:rsidR="00D355D5" w:rsidRDefault="00D355D5" w:rsidP="00282204">
            <w:r>
              <w:t>Availability of medications &amp; Working hours</w:t>
            </w:r>
          </w:p>
        </w:tc>
        <w:tc>
          <w:tcPr>
            <w:tcW w:w="2500" w:type="pct"/>
          </w:tcPr>
          <w:p w14:paraId="5C5BAA31" w14:textId="77777777" w:rsidR="00D355D5" w:rsidRDefault="00D355D5" w:rsidP="00282204">
            <w:r w:rsidRPr="00961181">
              <w:rPr>
                <w:rFonts w:hAnsiTheme="minorHAnsi" w:cstheme="minorHAnsi"/>
                <w:lang w:val="en-GB" w:eastAsia="en-GB"/>
              </w:rPr>
              <w:t>There are many advantages. If the medication is not available, the patient does not have to buy it from a community pharmacy; he can get it free from any community pharmacies contracted with the Ministry of Health. In addition, a community pharmacy service is often available 24/7. So, it is convenient for patients, flexible opening timings and easy to access. Ph1</w:t>
            </w:r>
          </w:p>
        </w:tc>
        <w:tc>
          <w:tcPr>
            <w:tcW w:w="500" w:type="pct"/>
          </w:tcPr>
          <w:p w14:paraId="439D0F23" w14:textId="77777777" w:rsidR="00D355D5" w:rsidRDefault="00D355D5" w:rsidP="00282204">
            <w:pPr>
              <w:pStyle w:val="RightAlign"/>
            </w:pPr>
            <w:r>
              <w:t>1</w:t>
            </w:r>
          </w:p>
        </w:tc>
        <w:tc>
          <w:tcPr>
            <w:tcW w:w="500" w:type="pct"/>
          </w:tcPr>
          <w:p w14:paraId="7B5A9CC9" w14:textId="77777777" w:rsidR="00D355D5" w:rsidRDefault="00D355D5" w:rsidP="00282204">
            <w:pPr>
              <w:pStyle w:val="RightAlign"/>
            </w:pPr>
            <w:r>
              <w:t>2</w:t>
            </w:r>
          </w:p>
        </w:tc>
      </w:tr>
      <w:tr w:rsidR="00D355D5" w14:paraId="0831E8C1"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01291839" w14:textId="77777777" w:rsidR="00D355D5" w:rsidRDefault="00D355D5" w:rsidP="00282204">
            <w:r>
              <w:t>Negative impact</w:t>
            </w:r>
          </w:p>
        </w:tc>
        <w:tc>
          <w:tcPr>
            <w:tcW w:w="2500" w:type="pct"/>
          </w:tcPr>
          <w:p w14:paraId="2092F403" w14:textId="77777777" w:rsidR="00D355D5" w:rsidRDefault="00D355D5" w:rsidP="00282204"/>
        </w:tc>
        <w:tc>
          <w:tcPr>
            <w:tcW w:w="500" w:type="pct"/>
          </w:tcPr>
          <w:p w14:paraId="40A7DE7F" w14:textId="77777777" w:rsidR="00D355D5" w:rsidRDefault="00D355D5" w:rsidP="00282204">
            <w:pPr>
              <w:pStyle w:val="RightAlign"/>
            </w:pPr>
          </w:p>
        </w:tc>
        <w:tc>
          <w:tcPr>
            <w:tcW w:w="500" w:type="pct"/>
          </w:tcPr>
          <w:p w14:paraId="030F9774" w14:textId="77777777" w:rsidR="00D355D5" w:rsidRDefault="00D355D5" w:rsidP="00282204">
            <w:pPr>
              <w:pStyle w:val="RightAlign"/>
            </w:pPr>
          </w:p>
        </w:tc>
      </w:tr>
      <w:tr w:rsidR="00D355D5" w14:paraId="12BD263A"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7DBADCA6" w14:textId="77777777" w:rsidR="00D355D5" w:rsidRDefault="00D355D5" w:rsidP="00282204">
            <w:pPr>
              <w:ind w:left="450"/>
            </w:pPr>
            <w:r>
              <w:t>Patient education</w:t>
            </w:r>
          </w:p>
        </w:tc>
        <w:tc>
          <w:tcPr>
            <w:tcW w:w="2500" w:type="pct"/>
          </w:tcPr>
          <w:p w14:paraId="04AFC768"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This change has affected patients, especially chronic disease patients, including diabetics, by not knowing their medications. Patients are not given instructions to take medicine and the importance of being regular in taking it; unfortunately, all of these things are not currently available to them.</w:t>
            </w:r>
            <w:r>
              <w:rPr>
                <w:rFonts w:hAnsiTheme="minorHAnsi" w:cstheme="minorHAnsi"/>
                <w:lang w:val="en-GB" w:eastAsia="en-GB"/>
              </w:rPr>
              <w:t xml:space="preserve"> </w:t>
            </w:r>
            <w:r w:rsidRPr="003E3224">
              <w:rPr>
                <w:rFonts w:hAnsiTheme="minorHAnsi" w:cstheme="minorHAnsi"/>
                <w:lang w:val="en-GB" w:eastAsia="en-GB"/>
              </w:rPr>
              <w:t>N2</w:t>
            </w:r>
          </w:p>
          <w:p w14:paraId="668195C1" w14:textId="77777777" w:rsidR="00D355D5"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I used to get more right before, but now I don't get the pharmacist role at all in PHCs. I currently receive my medications from retail community pharmacies, as I get them from a grocery store; that will be even better if you buy them.N2</w:t>
            </w:r>
          </w:p>
          <w:p w14:paraId="145AF711" w14:textId="77777777" w:rsidR="00D355D5"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Unfortunately, they (pharmacists in the retail community pharmacy) give patients their medicines without written instructions; Nothing is written on them.N2</w:t>
            </w:r>
          </w:p>
          <w:p w14:paraId="00C4F483"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they have also limited role in the education regarding drug drug interaction and sometimes they miss even writing up in the medication, there is no written instruction on the medication, there's no label so lot of issues regarding the pharmacy (there is no labelling of the medication), a lot of issues regarding the community pharmacy I think. D2</w:t>
            </w:r>
          </w:p>
          <w:p w14:paraId="1EE4F4F2" w14:textId="77777777" w:rsidR="00D355D5" w:rsidRDefault="00D355D5" w:rsidP="00282204">
            <w:pPr>
              <w:rPr>
                <w:rFonts w:cstheme="minorHAnsi"/>
              </w:rPr>
            </w:pPr>
            <w:r w:rsidRPr="00E929CB">
              <w:rPr>
                <w:rFonts w:cstheme="minorHAnsi"/>
              </w:rPr>
              <w:t>When the patient talks with the pharmacist, this improves his understanding of the treatment and affects his taking the treatment correctly, so the effectiveness of the treatment is more.</w:t>
            </w:r>
            <w:r>
              <w:rPr>
                <w:rFonts w:cstheme="minorHAnsi"/>
              </w:rPr>
              <w:t xml:space="preserve"> Ph3</w:t>
            </w:r>
          </w:p>
          <w:p w14:paraId="5095B9F6"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They practice only as dispensing pharmacists; they dispense prescriptions without knowing the patient's diagnosis or any other patient's health condition. They dispense medications without any instructions on how to use the medicines as they are not labelled, and no education is provided to the patients Ph1</w:t>
            </w:r>
          </w:p>
          <w:p w14:paraId="1B0BF3BD"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 xml:space="preserve">His job seems to be limited to handing out to patients their medications. Ph1 </w:t>
            </w:r>
          </w:p>
          <w:p w14:paraId="349261E4"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Closure of pharmacies from PHCs definitely has negative impacts on patient care because patients used to receive their medicines from the pharmacist with clear instructions about each medication while now, they go to obtain their medications from retail community pharmacies as if they were buying shampoo or soap. There is no patient education at all about their medication, and there is not even a medication label on medication packages. Ph1</w:t>
            </w:r>
          </w:p>
          <w:p w14:paraId="6EC24590" w14:textId="77777777" w:rsidR="00D355D5" w:rsidRPr="00877529" w:rsidRDefault="00D355D5" w:rsidP="00282204">
            <w:pPr>
              <w:rPr>
                <w:rFonts w:cstheme="minorHAnsi"/>
              </w:rPr>
            </w:pPr>
            <w:r w:rsidRPr="003E3224">
              <w:rPr>
                <w:rFonts w:hAnsiTheme="minorHAnsi" w:cstheme="minorHAnsi"/>
                <w:lang w:val="en-GB" w:eastAsia="en-GB"/>
              </w:rPr>
              <w:t>Pharmacists in external pharmacies (community pharmacies) are just dispensers. Sometimes or most of the time, they give the medication to the patient without any instructions written on it, even how to use it. This is the patient's right; how to use the medication: the label is preferable to be printed in Arabic and English, especially since it is from the community pharmacy. But this does not exist</w:t>
            </w:r>
            <w:r>
              <w:rPr>
                <w:rFonts w:hAnsiTheme="minorHAnsi" w:cstheme="minorHAnsi"/>
                <w:lang w:val="en-GB" w:eastAsia="en-GB"/>
              </w:rPr>
              <w:t>…Ph3</w:t>
            </w:r>
          </w:p>
        </w:tc>
        <w:tc>
          <w:tcPr>
            <w:tcW w:w="500" w:type="pct"/>
          </w:tcPr>
          <w:p w14:paraId="2DF38812" w14:textId="77777777" w:rsidR="00D355D5" w:rsidRDefault="00D355D5" w:rsidP="00282204">
            <w:pPr>
              <w:pStyle w:val="RightAlign"/>
            </w:pPr>
            <w:r>
              <w:t>4</w:t>
            </w:r>
          </w:p>
        </w:tc>
        <w:tc>
          <w:tcPr>
            <w:tcW w:w="500" w:type="pct"/>
          </w:tcPr>
          <w:p w14:paraId="72B7DD99" w14:textId="77777777" w:rsidR="00D355D5" w:rsidRDefault="00D355D5" w:rsidP="00282204">
            <w:pPr>
              <w:pStyle w:val="RightAlign"/>
            </w:pPr>
            <w:r>
              <w:t>9</w:t>
            </w:r>
          </w:p>
        </w:tc>
      </w:tr>
      <w:tr w:rsidR="00D355D5" w14:paraId="14DC83DD"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7D704B6B" w14:textId="77777777" w:rsidR="00D355D5" w:rsidRDefault="00D355D5" w:rsidP="00282204">
            <w:pPr>
              <w:ind w:left="450"/>
            </w:pPr>
            <w:r>
              <w:t>Medication Errors</w:t>
            </w:r>
          </w:p>
        </w:tc>
        <w:tc>
          <w:tcPr>
            <w:tcW w:w="2500" w:type="pct"/>
          </w:tcPr>
          <w:p w14:paraId="580A4B98"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We have noted that the patient might have double doses of medicine because this medicine is sometimes dispensed to the patient from different companies without any notification from the dispenser (community pharmacist).  Suppose the patient has the remaining medication from this month and goes in the next month to dispense the Rx; the community pharmacist may dispense another brand of that medication (from another company). In this case, the patient may take a double dose of the medication due to different brands.Ph1</w:t>
            </w:r>
          </w:p>
          <w:p w14:paraId="1E02ECA6"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The biggest problem for the patient's health is doubling the doses and the reason I mentioned earlier. The other problem is dispensing the alternatives. And this could be a big problem for those on Insulins. For example, if the patient is taking insulin from a specific company and if this is not available, the alternative is given to him without informing the prescriber (doctor) or patient about it. The patient may take what he has from the previous medication plus the alternative one without knowing!Ph1</w:t>
            </w:r>
          </w:p>
          <w:p w14:paraId="713D5B64" w14:textId="77777777" w:rsidR="00D355D5" w:rsidRDefault="00D355D5" w:rsidP="00282204">
            <w:pPr>
              <w:rPr>
                <w:rFonts w:hAnsiTheme="minorHAnsi" w:cstheme="minorHAnsi"/>
                <w:lang w:val="en-GB" w:eastAsia="en-GB"/>
              </w:rPr>
            </w:pPr>
            <w:r w:rsidRPr="003E3224">
              <w:rPr>
                <w:rFonts w:hAnsiTheme="minorHAnsi" w:cstheme="minorHAnsi"/>
                <w:lang w:val="en-GB" w:eastAsia="en-GB"/>
              </w:rPr>
              <w:t>As a result of the lack of connection as well as communication between these two health settings, we sometimes see that a doctor may mistakenly write a medication for a patient in the prescription, and the community pharmacist dispenses it.’ N1</w:t>
            </w:r>
          </w:p>
          <w:p w14:paraId="59E80948" w14:textId="77777777" w:rsidR="00D355D5"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patient sending a photo of the same medication they said we have shortage of this and this, Ok this is just a duplicate why you are sending the two, he said I received from the pharmacist. You know we have a community pharmacy now, which is outside the PHC so we don’t know which brand will be dispensed to patient sometimes D2</w:t>
            </w:r>
          </w:p>
          <w:p w14:paraId="35B8F609" w14:textId="77777777" w:rsidR="00D355D5" w:rsidRPr="00112388"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But now, most of the patients I see are taking their treatments (medications) completely wrong because prescription dispensing is indirect. The pharmacy was inside the primary health care centre, so prescriptions are dispensed directly, face to face, but now who goes to the pharmacy, as I told you, one of the patient's relatives, father, son, brother or daughter, and brings the medicines, so the information about taking the treatment may arrive incorrect to the patient. And patients sometimes take their treatments completely wrong. Now there is no direct contact between the pharmacist and the patient. N3</w:t>
            </w:r>
          </w:p>
        </w:tc>
        <w:tc>
          <w:tcPr>
            <w:tcW w:w="500" w:type="pct"/>
          </w:tcPr>
          <w:p w14:paraId="13C379CF" w14:textId="77777777" w:rsidR="00D355D5" w:rsidRDefault="00D355D5" w:rsidP="00282204">
            <w:pPr>
              <w:pStyle w:val="RightAlign"/>
            </w:pPr>
            <w:r>
              <w:t>4</w:t>
            </w:r>
          </w:p>
        </w:tc>
        <w:tc>
          <w:tcPr>
            <w:tcW w:w="500" w:type="pct"/>
          </w:tcPr>
          <w:p w14:paraId="4D24B910" w14:textId="77777777" w:rsidR="00D355D5" w:rsidRDefault="00D355D5" w:rsidP="00282204">
            <w:pPr>
              <w:pStyle w:val="RightAlign"/>
            </w:pPr>
            <w:r>
              <w:t>5</w:t>
            </w:r>
          </w:p>
        </w:tc>
      </w:tr>
      <w:tr w:rsidR="00D355D5" w14:paraId="2FF3677F"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6ABB8216" w14:textId="77777777" w:rsidR="00D355D5" w:rsidRDefault="00D355D5" w:rsidP="00282204">
            <w:pPr>
              <w:ind w:left="450"/>
            </w:pPr>
            <w:r>
              <w:t xml:space="preserve">Working hours </w:t>
            </w:r>
          </w:p>
        </w:tc>
        <w:tc>
          <w:tcPr>
            <w:tcW w:w="2500" w:type="pct"/>
          </w:tcPr>
          <w:p w14:paraId="367A66CD" w14:textId="77777777" w:rsidR="00D355D5" w:rsidRPr="004E2A2A" w:rsidRDefault="00D355D5" w:rsidP="00282204">
            <w:pPr>
              <w:spacing w:line="240" w:lineRule="auto"/>
              <w:ind w:left="52"/>
              <w:jc w:val="both"/>
            </w:pPr>
            <w:r w:rsidRPr="004E2A2A">
              <w:t>I would like to mention that we have just received a circular and a text message from the Ministry of Health stating that the dispensing of prescriptions from Al-Dawaa pharmacies (retail community pharmacies) will take place during official working hours only, Sunday to Thursday from 8 am to 4 pm except for Friday and Saturday it will be all day!</w:t>
            </w:r>
            <w:r>
              <w:t xml:space="preserve"> N2</w:t>
            </w:r>
          </w:p>
          <w:p w14:paraId="10C69407" w14:textId="77777777" w:rsidR="00D355D5" w:rsidRPr="004E2A2A" w:rsidRDefault="00D355D5" w:rsidP="00282204">
            <w:pPr>
              <w:spacing w:line="240" w:lineRule="auto"/>
              <w:ind w:left="52"/>
              <w:jc w:val="both"/>
            </w:pPr>
            <w:r w:rsidRPr="004E2A2A">
              <w:t>Imagine a diabetic is taking insulin, and his appointment with the doctor is at 3:45 pm; By the time he finished his appointment and reaches the pharmacy, the service is closed! How can the patient wait without treatment until the next day!</w:t>
            </w:r>
            <w:r>
              <w:t xml:space="preserve"> N3</w:t>
            </w:r>
          </w:p>
          <w:p w14:paraId="2D2983F2" w14:textId="77777777" w:rsidR="00D355D5" w:rsidRPr="004E2A2A" w:rsidRDefault="00D355D5" w:rsidP="00282204">
            <w:pPr>
              <w:spacing w:line="240" w:lineRule="auto"/>
              <w:ind w:left="52"/>
              <w:jc w:val="both"/>
            </w:pPr>
            <w:r w:rsidRPr="004E2A2A">
              <w:t>Now I feel the situation is difficult, especially the dispensing prescriptions for patients from the retail community pharmacy has become from 8 am to 4 pm during weekdays, which means the same situation when the pharmacy located in the PHC. So why let patients, especially the elderly, have trouble dispensing their prescriptions from an external branch, in addition to the fact that it is dispensed incorrectly for him. N3</w:t>
            </w:r>
          </w:p>
        </w:tc>
        <w:tc>
          <w:tcPr>
            <w:tcW w:w="500" w:type="pct"/>
          </w:tcPr>
          <w:p w14:paraId="2CB7A59E" w14:textId="77777777" w:rsidR="00D355D5" w:rsidRDefault="00D355D5" w:rsidP="00282204">
            <w:pPr>
              <w:pStyle w:val="RightAlign"/>
            </w:pPr>
          </w:p>
        </w:tc>
        <w:tc>
          <w:tcPr>
            <w:tcW w:w="500" w:type="pct"/>
          </w:tcPr>
          <w:p w14:paraId="1C597BE9" w14:textId="77777777" w:rsidR="00D355D5" w:rsidRDefault="00D355D5" w:rsidP="00282204">
            <w:pPr>
              <w:pStyle w:val="RightAlign"/>
            </w:pPr>
          </w:p>
        </w:tc>
      </w:tr>
      <w:tr w:rsidR="00D355D5" w14:paraId="0AE1F6A5"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27D6426A" w14:textId="77777777" w:rsidR="00D355D5" w:rsidRDefault="00D355D5" w:rsidP="00282204">
            <w:pPr>
              <w:ind w:left="450"/>
            </w:pPr>
            <w:r>
              <w:t xml:space="preserve">Transportation/ additional trip to get medication </w:t>
            </w:r>
          </w:p>
        </w:tc>
        <w:tc>
          <w:tcPr>
            <w:tcW w:w="2500" w:type="pct"/>
          </w:tcPr>
          <w:p w14:paraId="61BE96BA" w14:textId="77777777" w:rsidR="00D355D5" w:rsidRPr="004E2A2A" w:rsidRDefault="00D355D5" w:rsidP="00282204">
            <w:pPr>
              <w:spacing w:line="240" w:lineRule="auto"/>
              <w:ind w:left="52"/>
              <w:jc w:val="both"/>
            </w:pPr>
            <w:r w:rsidRPr="004E2A2A">
              <w:t>Now, patients are stressed by moving from one pharmacy to another, as the prescription is sometimes partially dispensed. The patient has to look for the rest of his medications in other pharmacies to complete the treatment as prescribed. The current situation is tragic for patients and us. N2</w:t>
            </w:r>
          </w:p>
          <w:p w14:paraId="67A93C94" w14:textId="77777777" w:rsidR="00D355D5" w:rsidRPr="004E2A2A" w:rsidRDefault="00D355D5" w:rsidP="00282204">
            <w:pPr>
              <w:spacing w:line="240" w:lineRule="auto"/>
              <w:ind w:left="52"/>
              <w:jc w:val="both"/>
            </w:pPr>
            <w:r w:rsidRPr="004E2A2A">
              <w:t>I think this is better than going out without medications, especially for elderly who need a car to go to external community pharmacies to dispense their prescriptions. Or they may wait for their children to bring their medications from there. This may lead to a delay in treatment. So, of course, it is best for these patients to dispense prescriptions from inside the PHC. This is my personal opinion.Ph3</w:t>
            </w:r>
          </w:p>
        </w:tc>
        <w:tc>
          <w:tcPr>
            <w:tcW w:w="500" w:type="pct"/>
          </w:tcPr>
          <w:p w14:paraId="6285DFE4" w14:textId="77777777" w:rsidR="00D355D5" w:rsidRDefault="00D355D5" w:rsidP="00282204">
            <w:pPr>
              <w:pStyle w:val="RightAlign"/>
            </w:pPr>
            <w:r>
              <w:t>2</w:t>
            </w:r>
          </w:p>
        </w:tc>
        <w:tc>
          <w:tcPr>
            <w:tcW w:w="500" w:type="pct"/>
          </w:tcPr>
          <w:p w14:paraId="44EB1DC5" w14:textId="77777777" w:rsidR="00D355D5" w:rsidRDefault="00D355D5" w:rsidP="00282204">
            <w:pPr>
              <w:pStyle w:val="RightAlign"/>
            </w:pPr>
            <w:r>
              <w:t>2</w:t>
            </w:r>
          </w:p>
        </w:tc>
      </w:tr>
      <w:tr w:rsidR="00D355D5" w14:paraId="2F17417D"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19BFD6E2" w14:textId="77777777" w:rsidR="00D355D5" w:rsidRDefault="00D355D5" w:rsidP="00282204">
            <w:pPr>
              <w:ind w:left="450"/>
            </w:pPr>
            <w:r>
              <w:t xml:space="preserve">Moving pharmacists from PHCs </w:t>
            </w:r>
          </w:p>
        </w:tc>
        <w:tc>
          <w:tcPr>
            <w:tcW w:w="2500" w:type="pct"/>
          </w:tcPr>
          <w:p w14:paraId="6FA365C1" w14:textId="77777777" w:rsidR="00D355D5" w:rsidRPr="004E2A2A" w:rsidRDefault="00D355D5" w:rsidP="00282204">
            <w:pPr>
              <w:spacing w:line="240" w:lineRule="auto"/>
              <w:ind w:left="52"/>
              <w:jc w:val="both"/>
            </w:pPr>
            <w:r w:rsidRPr="004E2A2A">
              <w:t>It is not accepted that pharmacists be taken out of the primary care centres. They were a great assistant to the doctors and nurses for the nursing staff N3</w:t>
            </w:r>
          </w:p>
          <w:p w14:paraId="6A838C28" w14:textId="77777777" w:rsidR="00D355D5" w:rsidRPr="004E2A2A" w:rsidRDefault="00D355D5" w:rsidP="00282204">
            <w:pPr>
              <w:spacing w:line="240" w:lineRule="auto"/>
              <w:ind w:left="52"/>
              <w:jc w:val="both"/>
            </w:pPr>
            <w:r w:rsidRPr="004E2A2A">
              <w:t>But closing all pharmacy services from PHCs and moving all pharmacy staff to work in hospitals was not the right approach, in my opinion.Ph1</w:t>
            </w:r>
          </w:p>
          <w:p w14:paraId="53A4BBDD" w14:textId="77777777" w:rsidR="00D355D5" w:rsidRPr="004E2A2A" w:rsidRDefault="00D355D5" w:rsidP="00282204">
            <w:pPr>
              <w:spacing w:line="240" w:lineRule="auto"/>
              <w:ind w:left="52"/>
              <w:jc w:val="both"/>
            </w:pPr>
            <w:r w:rsidRPr="004E2A2A">
              <w:t>Unfortunately, the pharmacist's role is significantly reduced from the PHCs and shifted to hospitals during this period. All pharmacists were transferred to hospitals. There are very few pharmacist assistants in the PHCs to dispense medications from pharmacies that are still there. The role of the pharmacist is now minimal in PHCs.Ph3</w:t>
            </w:r>
          </w:p>
          <w:p w14:paraId="71C7E540" w14:textId="77777777" w:rsidR="00D355D5" w:rsidRPr="004E2A2A" w:rsidRDefault="00D355D5" w:rsidP="00282204">
            <w:pPr>
              <w:spacing w:line="240" w:lineRule="auto"/>
            </w:pPr>
            <w:r w:rsidRPr="004E2A2A">
              <w:t>These patients now receive their medication from retail community pharmacies. That's why we were transferred to hospitals when the pharmacies in PHCs were closed.Ph3</w:t>
            </w:r>
          </w:p>
          <w:p w14:paraId="1CB2AB88" w14:textId="77777777" w:rsidR="00D355D5" w:rsidRPr="004E2A2A" w:rsidRDefault="00D355D5" w:rsidP="00282204">
            <w:pPr>
              <w:spacing w:line="240" w:lineRule="auto"/>
              <w:ind w:left="52"/>
            </w:pPr>
            <w:r w:rsidRPr="004E2A2A">
              <w:t>withdrawing all pharmacists from PHCs is an incorrect step from my point of view. The pharmacist's role in these centres is important, especially with the spread of chronic diseases and the development of services in the PHCs. Currently, specialist doctors and consultants are working in these centres, which will help.Ph3</w:t>
            </w:r>
          </w:p>
        </w:tc>
        <w:tc>
          <w:tcPr>
            <w:tcW w:w="500" w:type="pct"/>
          </w:tcPr>
          <w:p w14:paraId="0D6B4DD0" w14:textId="77777777" w:rsidR="00D355D5" w:rsidRDefault="00D355D5" w:rsidP="00282204">
            <w:pPr>
              <w:pStyle w:val="RightAlign"/>
            </w:pPr>
            <w:r>
              <w:t>3</w:t>
            </w:r>
          </w:p>
        </w:tc>
        <w:tc>
          <w:tcPr>
            <w:tcW w:w="500" w:type="pct"/>
          </w:tcPr>
          <w:p w14:paraId="6894CA06" w14:textId="77777777" w:rsidR="00D355D5" w:rsidRDefault="00D355D5" w:rsidP="00282204">
            <w:pPr>
              <w:pStyle w:val="RightAlign"/>
            </w:pPr>
            <w:r>
              <w:t>5</w:t>
            </w:r>
          </w:p>
        </w:tc>
      </w:tr>
      <w:tr w:rsidR="00D355D5" w14:paraId="275DABC2"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2A38352C" w14:textId="77777777" w:rsidR="00D355D5" w:rsidRDefault="00D355D5" w:rsidP="00282204">
            <w:pPr>
              <w:ind w:left="450"/>
            </w:pPr>
            <w:r>
              <w:t xml:space="preserve">Availability of medications </w:t>
            </w:r>
          </w:p>
        </w:tc>
        <w:tc>
          <w:tcPr>
            <w:tcW w:w="2500" w:type="pct"/>
          </w:tcPr>
          <w:p w14:paraId="495CADE1" w14:textId="77777777" w:rsidR="00D355D5" w:rsidRPr="00A41720" w:rsidRDefault="00D355D5" w:rsidP="00282204">
            <w:pPr>
              <w:spacing w:line="240" w:lineRule="auto"/>
              <w:ind w:left="52"/>
              <w:jc w:val="both"/>
            </w:pPr>
            <w:r w:rsidRPr="00A41720">
              <w:t>I was in a situation when I went to dispense treatment from them, I went to one of the pharmacies, and there was one medicine out of the 3 medicines in the prescription, so I went out and went to another pharmacy, and the same situation was that the treatment was not fully available. Then I said, enough, that is not acceptable. I am an employee in the Ministry of Health, and I can buy medicine anyway. Let us suppose that a poor patient (with limited income) suffering from hypertension and diabetes comes to you to receive the treatment, and you tell him the treatment is not available. What is his fault, and who is responsible for that?</w:t>
            </w:r>
            <w:r>
              <w:t xml:space="preserve"> </w:t>
            </w:r>
            <w:r w:rsidRPr="00A41720">
              <w:t xml:space="preserve">N2 </w:t>
            </w:r>
          </w:p>
          <w:p w14:paraId="038762DD" w14:textId="77777777" w:rsidR="00D355D5" w:rsidRPr="00A41720" w:rsidRDefault="00D355D5" w:rsidP="00282204">
            <w:pPr>
              <w:spacing w:line="240" w:lineRule="auto"/>
              <w:ind w:left="52"/>
              <w:jc w:val="both"/>
            </w:pPr>
            <w:r w:rsidRPr="00A41720">
              <w:t>Now, the patient struggles to get his medication from</w:t>
            </w:r>
            <w:r>
              <w:t xml:space="preserve"> </w:t>
            </w:r>
            <w:r w:rsidRPr="00A41720">
              <w:t>retail community pharmacies. Sometimes the medication is unavailable, and the patient is asked to come in later.</w:t>
            </w:r>
            <w:r>
              <w:t xml:space="preserve"> </w:t>
            </w:r>
            <w:r w:rsidRPr="00A41720">
              <w:t xml:space="preserve">Ph3 </w:t>
            </w:r>
          </w:p>
        </w:tc>
        <w:tc>
          <w:tcPr>
            <w:tcW w:w="500" w:type="pct"/>
          </w:tcPr>
          <w:p w14:paraId="7BE86EC1" w14:textId="77777777" w:rsidR="00D355D5" w:rsidRDefault="00D355D5" w:rsidP="00282204">
            <w:pPr>
              <w:pStyle w:val="RightAlign"/>
            </w:pPr>
            <w:r>
              <w:t>2</w:t>
            </w:r>
          </w:p>
        </w:tc>
        <w:tc>
          <w:tcPr>
            <w:tcW w:w="500" w:type="pct"/>
          </w:tcPr>
          <w:p w14:paraId="1EEDE457" w14:textId="77777777" w:rsidR="00D355D5" w:rsidRDefault="00D355D5" w:rsidP="00282204">
            <w:pPr>
              <w:pStyle w:val="RightAlign"/>
            </w:pPr>
            <w:r>
              <w:t>2</w:t>
            </w:r>
          </w:p>
        </w:tc>
      </w:tr>
      <w:tr w:rsidR="00D355D5" w14:paraId="0B41FD2E"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4F92F643" w14:textId="77777777" w:rsidR="00D355D5" w:rsidRDefault="00D355D5" w:rsidP="00282204">
            <w:pPr>
              <w:ind w:left="450"/>
            </w:pPr>
            <w:r>
              <w:t xml:space="preserve">Lack of communication between HCPs </w:t>
            </w:r>
          </w:p>
        </w:tc>
        <w:tc>
          <w:tcPr>
            <w:tcW w:w="2500" w:type="pct"/>
          </w:tcPr>
          <w:p w14:paraId="53FE3870" w14:textId="77777777" w:rsidR="00D355D5" w:rsidRPr="00A41720" w:rsidRDefault="00D355D5" w:rsidP="00282204">
            <w:pPr>
              <w:spacing w:line="240" w:lineRule="auto"/>
              <w:ind w:left="52"/>
              <w:jc w:val="both"/>
            </w:pPr>
            <w:r w:rsidRPr="00A41720">
              <w:t>Is there any communication between you and those pharmacists working in the retail community pharmacy; have they ever called you or the attended doctor for any reason?</w:t>
            </w:r>
          </w:p>
          <w:p w14:paraId="5AC80132" w14:textId="77777777" w:rsidR="00D355D5" w:rsidRPr="00A41720" w:rsidRDefault="00D355D5" w:rsidP="00282204">
            <w:pPr>
              <w:spacing w:line="240" w:lineRule="auto"/>
              <w:ind w:left="52"/>
              <w:jc w:val="both"/>
            </w:pPr>
            <w:r w:rsidRPr="00A41720">
              <w:t>Participant: No, never, never. N2</w:t>
            </w:r>
          </w:p>
          <w:p w14:paraId="45E2B334" w14:textId="77777777" w:rsidR="00D355D5" w:rsidRPr="00A41720" w:rsidRDefault="00D355D5" w:rsidP="00282204">
            <w:pPr>
              <w:spacing w:line="240" w:lineRule="auto"/>
              <w:ind w:left="52"/>
              <w:jc w:val="both"/>
            </w:pPr>
            <w:r w:rsidRPr="00A41720">
              <w:t>Never, there isn't currently any communication between primary healthcare centre doctors and community pharmacists. N3</w:t>
            </w:r>
          </w:p>
          <w:p w14:paraId="2501BC24" w14:textId="77777777" w:rsidR="00D355D5" w:rsidRPr="00A41720" w:rsidRDefault="00D355D5" w:rsidP="00282204">
            <w:pPr>
              <w:spacing w:line="240" w:lineRule="auto"/>
              <w:ind w:left="52"/>
              <w:jc w:val="both"/>
            </w:pPr>
            <w:r w:rsidRPr="00A41720">
              <w:t>Prescriptions from PHCs are dispensed through retail community pharmacies separate from these centres. Community pharmacists work in isolation without any contact with the medical team in PHCs. . In addition, there is no connection or relationship between them and patients. They are unaware of the patient's condition. Ph1</w:t>
            </w:r>
          </w:p>
          <w:p w14:paraId="4E9B7A48" w14:textId="77777777" w:rsidR="00D355D5" w:rsidRPr="00A41720" w:rsidRDefault="00D355D5" w:rsidP="00282204">
            <w:pPr>
              <w:spacing w:line="240" w:lineRule="auto"/>
              <w:ind w:left="52"/>
            </w:pPr>
            <w:r w:rsidRPr="00CA1FDE">
              <w:t>The current situation is different. No pharmacist currently works in PHCs, so the doctor cannot discuss the treatment plan with him. There is no room for discussion. The pharmacist works in a private pharmacy, so the discussion cannot be performed. Assuming the pharmacist sees something about the treatment, he discusses the patient to return to the doctor, which can be done now. Sometimes the doctor is not convinced of the patient's words, unlike if a professional person was discussing it. Patients cannot deliver the pharmacist's point of view regarding their medications the same way the competent pharmacist can present it. Therefore, there is currently a missing link/part in team working. The pharmacist is now missing out of the health centre's care team. The problem now is the communication between the doctor and the retail community pharmacist.</w:t>
            </w:r>
            <w:r>
              <w:t xml:space="preserve"> N4</w:t>
            </w:r>
          </w:p>
        </w:tc>
        <w:tc>
          <w:tcPr>
            <w:tcW w:w="500" w:type="pct"/>
          </w:tcPr>
          <w:p w14:paraId="3DAF07C1" w14:textId="77777777" w:rsidR="00D355D5" w:rsidRDefault="00D355D5" w:rsidP="00282204">
            <w:pPr>
              <w:pStyle w:val="RightAlign"/>
            </w:pPr>
            <w:r>
              <w:t>4</w:t>
            </w:r>
          </w:p>
        </w:tc>
        <w:tc>
          <w:tcPr>
            <w:tcW w:w="500" w:type="pct"/>
          </w:tcPr>
          <w:p w14:paraId="7EC94AA8" w14:textId="77777777" w:rsidR="00D355D5" w:rsidRDefault="00D355D5" w:rsidP="00282204">
            <w:pPr>
              <w:pStyle w:val="RightAlign"/>
            </w:pPr>
            <w:r>
              <w:t>4</w:t>
            </w:r>
          </w:p>
        </w:tc>
      </w:tr>
      <w:tr w:rsidR="00D355D5" w14:paraId="3CB855E8"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7D9A81C8" w14:textId="77777777" w:rsidR="00D355D5" w:rsidRDefault="00D355D5" w:rsidP="00282204">
            <w:pPr>
              <w:ind w:left="450"/>
            </w:pPr>
            <w:r>
              <w:t xml:space="preserve">Lack of Medication information centre </w:t>
            </w:r>
          </w:p>
        </w:tc>
        <w:tc>
          <w:tcPr>
            <w:tcW w:w="2500" w:type="pct"/>
          </w:tcPr>
          <w:p w14:paraId="2B71DF14" w14:textId="77777777" w:rsidR="00D355D5" w:rsidRPr="002F46D9" w:rsidRDefault="00D355D5" w:rsidP="00282204">
            <w:pPr>
              <w:spacing w:line="240" w:lineRule="auto"/>
              <w:jc w:val="both"/>
            </w:pPr>
            <w:r w:rsidRPr="002F46D9">
              <w:t>Now we don't have any information on these matters (medication related information). Now it depends on your personal effort to search for information.N2</w:t>
            </w:r>
          </w:p>
          <w:p w14:paraId="4A87BAD6" w14:textId="77777777" w:rsidR="00D355D5" w:rsidRPr="002F46D9" w:rsidRDefault="00D355D5" w:rsidP="00282204">
            <w:pPr>
              <w:spacing w:line="240" w:lineRule="auto"/>
              <w:jc w:val="both"/>
            </w:pPr>
            <w:r w:rsidRPr="002F46D9">
              <w:t>Now the doctor relies on the Wasfaty program (electronic system) in the first place. Doctors prescribe the medicines available in this program and consult if they need a consultation; of course, the consultation was easy for them by just calling the pharmacy through the internal transfer, now let them find someone to consult! N2</w:t>
            </w:r>
          </w:p>
          <w:p w14:paraId="541782E6" w14:textId="77777777" w:rsidR="00D355D5" w:rsidRPr="002F46D9" w:rsidRDefault="00D355D5" w:rsidP="00282204">
            <w:pPr>
              <w:spacing w:line="240" w:lineRule="auto"/>
              <w:jc w:val="both"/>
            </w:pPr>
            <w:r w:rsidRPr="002F46D9">
              <w:t>The first obstacle at present is the lack of a pharmacist in PHCs. If a doctor needs a medication consultation, now it is not easy to find someone to consult; he does not know who to turn to. N2</w:t>
            </w:r>
          </w:p>
        </w:tc>
        <w:tc>
          <w:tcPr>
            <w:tcW w:w="500" w:type="pct"/>
          </w:tcPr>
          <w:p w14:paraId="2505A59F" w14:textId="77777777" w:rsidR="00D355D5" w:rsidRDefault="00D355D5" w:rsidP="00282204">
            <w:pPr>
              <w:pStyle w:val="RightAlign"/>
            </w:pPr>
            <w:r>
              <w:t>1</w:t>
            </w:r>
          </w:p>
        </w:tc>
        <w:tc>
          <w:tcPr>
            <w:tcW w:w="500" w:type="pct"/>
          </w:tcPr>
          <w:p w14:paraId="64AF8619" w14:textId="77777777" w:rsidR="00D355D5" w:rsidRDefault="00D355D5" w:rsidP="00282204">
            <w:pPr>
              <w:pStyle w:val="RightAlign"/>
            </w:pPr>
            <w:r>
              <w:t>3</w:t>
            </w:r>
          </w:p>
        </w:tc>
      </w:tr>
      <w:tr w:rsidR="00D355D5" w14:paraId="007D94AA"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06C4838B" w14:textId="77777777" w:rsidR="00D355D5" w:rsidRDefault="00D355D5" w:rsidP="00282204">
            <w:pPr>
              <w:ind w:left="450"/>
            </w:pPr>
            <w:r>
              <w:t>Negative views of HCP toward closing pharmacies and moving pharmacist away from PHC</w:t>
            </w:r>
          </w:p>
        </w:tc>
        <w:tc>
          <w:tcPr>
            <w:tcW w:w="2500" w:type="pct"/>
          </w:tcPr>
          <w:p w14:paraId="3BF7324E" w14:textId="77777777" w:rsidR="00D355D5" w:rsidRPr="009E43DF" w:rsidRDefault="00D355D5" w:rsidP="00282204">
            <w:pPr>
              <w:spacing w:line="240" w:lineRule="auto"/>
              <w:jc w:val="both"/>
            </w:pPr>
            <w:r>
              <w:t>“</w:t>
            </w:r>
            <w:r w:rsidRPr="009E43DF">
              <w:t>pharmacy is separated from any healthcare centres. The pharmacy is not at the same building which make it more difficult for the patient to get the medicine; and which also make transportation a barrier. The fourth point or I think the fifth point, it also makes it harder for healthcare practitioners to get in touch with pharmacists since they are in a different building and they don</w:t>
            </w:r>
            <w:r w:rsidRPr="009E43DF">
              <w:t>’</w:t>
            </w:r>
            <w:r w:rsidRPr="009E43DF">
              <w:t>t know which pharmacy the patient will go to and which pharmacists.</w:t>
            </w:r>
            <w:r w:rsidRPr="009E43DF">
              <w:t>”</w:t>
            </w:r>
            <w:r w:rsidRPr="009E43DF">
              <w:t xml:space="preserve"> D1</w:t>
            </w:r>
          </w:p>
          <w:p w14:paraId="1551A6C4" w14:textId="77777777" w:rsidR="00D355D5" w:rsidRPr="009E43DF" w:rsidRDefault="00D355D5" w:rsidP="00282204">
            <w:pPr>
              <w:spacing w:line="240" w:lineRule="auto"/>
              <w:jc w:val="both"/>
            </w:pPr>
            <w:r w:rsidRPr="009E43DF">
              <w:t>“</w:t>
            </w:r>
            <w:r w:rsidRPr="009E43DF">
              <w:t>The current policy or way, they are trying to improve the health care system by removing the pharmacists from PHCs. Unfortunately, I don</w:t>
            </w:r>
            <w:r w:rsidRPr="009E43DF">
              <w:t>’</w:t>
            </w:r>
            <w:r w:rsidRPr="009E43DF">
              <w:t>t think they are in the right direction. I think it is a regression, not a progression, because it is harder to keep in touch with pharmacists involved, and it is harder for the patients to get to the pharmacy to get their medications. It removes the pharmacists from the healthcare institute.</w:t>
            </w:r>
            <w:r w:rsidRPr="009E43DF">
              <w:t>”</w:t>
            </w:r>
            <w:r w:rsidRPr="009E43DF">
              <w:t>D1</w:t>
            </w:r>
          </w:p>
          <w:p w14:paraId="78776B2A" w14:textId="77777777" w:rsidR="00D355D5" w:rsidRDefault="00D355D5" w:rsidP="00282204">
            <w:pPr>
              <w:spacing w:line="240" w:lineRule="auto"/>
              <w:jc w:val="both"/>
            </w:pPr>
            <w:r w:rsidRPr="00CF18DC">
              <w:t>It was also planned that pharmacists would give lectures and seminars about the basics of medication information and how to communicate this information to patients, including medications' side effects and things related to the therapy. Unfortunately, this matter has become nothing because the doctors are busy; therefore, there are no lectures now, the pharmacists would do this, but currently, no pharmacists are working with us.</w:t>
            </w:r>
            <w:r>
              <w:t xml:space="preserve"> N3</w:t>
            </w:r>
          </w:p>
          <w:p w14:paraId="185732C8" w14:textId="77777777" w:rsidR="00D355D5" w:rsidRDefault="00D355D5" w:rsidP="00282204">
            <w:pPr>
              <w:spacing w:line="240" w:lineRule="auto"/>
              <w:jc w:val="both"/>
            </w:pPr>
            <w:r w:rsidRPr="009E43DF">
              <w:t>the patient's path in the PHC used to go to the chronic disease nurse, then to the doctor, and then to the pharmacist to receive his/her medications, and this path was correct. But now, there are significant obstacles; for example, elderly patients cannot go to the pharmacy, and most patients with chronic diseases are elderly, so they cannot go to the pharmacy to receive their medicine themselves. The one who takes medication for him from the pharmacy may not understand the medication and cannot deliver the correct treatment information N3</w:t>
            </w:r>
          </w:p>
          <w:p w14:paraId="6443D455" w14:textId="77777777" w:rsidR="00D355D5" w:rsidRPr="009E43DF" w:rsidRDefault="00D355D5" w:rsidP="00282204">
            <w:pPr>
              <w:spacing w:line="240" w:lineRule="auto"/>
              <w:jc w:val="both"/>
            </w:pPr>
            <w:r w:rsidRPr="009E43DF">
              <w:t>Most of our patients (chronic disease patients) have reduced their visits to the health centre because they find it difficult to come to the centre and then go to external pharmacies (community retail pharmacies) to receive medicines. That's why patients ask their doctor to prescribe them for 6 months or more as the refill prescription is now open (allowed) for a year. Therefore, there is no follow-up for those patients, and most of our patients are elderly, so how can treatment be given to them, for example, for 9 months (or longer) without following up and monitoring their health condition. Even if the patient is uncontrolled, the doctor can prescribe him 9 months and tell him 9 months later, come to me while he is not in control! N3</w:t>
            </w:r>
          </w:p>
          <w:p w14:paraId="1935AB21" w14:textId="77777777" w:rsidR="00D355D5" w:rsidRPr="009E43DF" w:rsidRDefault="00D355D5" w:rsidP="00282204">
            <w:pPr>
              <w:spacing w:line="240" w:lineRule="auto"/>
              <w:jc w:val="both"/>
            </w:pPr>
            <w:r w:rsidRPr="009E43DF">
              <w:t>dispensing the treatment to patients for a long time, and the dose probably didn't work for them, is totally wrong. Dispensing the treatment for 9 months or a year is entirely wrong. But suppose the pharmacy is in the same health centre as before. In that case, the patient will not find it difficult to visit the health centre even daily as we used to offer him treatment (dispensing the prescriptions) and the dose is adjusted for patients during monitoring. Now, there is no monitoring of chronic disease patients; this is unfair (unacceptable at all) for them, staying for 9 months without being seen. N3</w:t>
            </w:r>
          </w:p>
          <w:p w14:paraId="3AF2DA32" w14:textId="77777777" w:rsidR="00D355D5" w:rsidRPr="009E43DF" w:rsidRDefault="00D355D5" w:rsidP="00282204">
            <w:pPr>
              <w:spacing w:line="240" w:lineRule="auto"/>
              <w:jc w:val="both"/>
            </w:pPr>
            <w:r w:rsidRPr="009E43DF">
              <w:t>The situation became worse, if there were a pharmacist in the centre, there would be better coordination, but now there is no coordination at all. This is one of the cons of closing the pharmacy in the healthcare centre. N3</w:t>
            </w:r>
          </w:p>
          <w:p w14:paraId="11A97567" w14:textId="77777777" w:rsidR="00D355D5" w:rsidRPr="009E43DF" w:rsidRDefault="00D355D5" w:rsidP="00282204">
            <w:pPr>
              <w:spacing w:line="240" w:lineRule="auto"/>
              <w:jc w:val="both"/>
            </w:pPr>
            <w:r w:rsidRPr="009E43DF">
              <w:t>I would say there should not be a complete closure of all pharmacy services from PHCs because patients need a pharmacist in the centre to review patients' medications or at least there is oversight of pharmacy practice in community pharmacies Ph1</w:t>
            </w:r>
          </w:p>
          <w:p w14:paraId="2D099D9A" w14:textId="77777777" w:rsidR="00D355D5" w:rsidRPr="009E43DF" w:rsidRDefault="00D355D5" w:rsidP="00282204">
            <w:pPr>
              <w:spacing w:line="240" w:lineRule="auto"/>
              <w:jc w:val="both"/>
            </w:pPr>
            <w:r w:rsidRPr="009E43DF">
              <w:t>‘</w:t>
            </w:r>
            <w:r w:rsidRPr="009E43DF">
              <w:t>Now the situation is worse. Previously it was better when the pharmacist was in the primary health care centre. He was better in terms of communication with the patient. Pharmacists sometimes take patients' medication histories and directly discuss matters relating to their medication, but now there is no such thing, unfortunately.</w:t>
            </w:r>
            <w:r w:rsidRPr="009E43DF">
              <w:t>’</w:t>
            </w:r>
            <w:r w:rsidRPr="009E43DF">
              <w:t xml:space="preserve"> N1</w:t>
            </w:r>
          </w:p>
          <w:p w14:paraId="64EFE4BA" w14:textId="77777777" w:rsidR="00D355D5" w:rsidRPr="002F46D9" w:rsidRDefault="00D355D5" w:rsidP="00282204">
            <w:pPr>
              <w:spacing w:line="240" w:lineRule="auto"/>
              <w:jc w:val="both"/>
            </w:pPr>
            <w:r w:rsidRPr="009E43DF">
              <w:t>For me, it's best for patients to get their medicines from PHCs, where the pharmacist completes the doctor's role. Also, this relieves patients when they leave the centre with complete treatment.</w:t>
            </w:r>
            <w:r>
              <w:t xml:space="preserve"> </w:t>
            </w:r>
            <w:r w:rsidRPr="009E43DF">
              <w:t>Ph3</w:t>
            </w:r>
          </w:p>
        </w:tc>
        <w:tc>
          <w:tcPr>
            <w:tcW w:w="500" w:type="pct"/>
          </w:tcPr>
          <w:p w14:paraId="62268DDB" w14:textId="77777777" w:rsidR="00D355D5" w:rsidRDefault="00D355D5" w:rsidP="00282204">
            <w:pPr>
              <w:pStyle w:val="RightAlign"/>
            </w:pPr>
            <w:r>
              <w:t>5</w:t>
            </w:r>
          </w:p>
        </w:tc>
        <w:tc>
          <w:tcPr>
            <w:tcW w:w="500" w:type="pct"/>
          </w:tcPr>
          <w:p w14:paraId="7C1D0609" w14:textId="77777777" w:rsidR="00D355D5" w:rsidRDefault="00D355D5" w:rsidP="00282204">
            <w:pPr>
              <w:pStyle w:val="RightAlign"/>
            </w:pPr>
            <w:r>
              <w:t>10</w:t>
            </w:r>
          </w:p>
        </w:tc>
      </w:tr>
    </w:tbl>
    <w:p w14:paraId="6CBCE7F1" w14:textId="77777777" w:rsidR="00D355D5" w:rsidRDefault="00D355D5" w:rsidP="00D355D5">
      <w:pPr>
        <w:pStyle w:val="FolderDescription"/>
      </w:pPr>
    </w:p>
    <w:p w14:paraId="261AEC82" w14:textId="77777777" w:rsidR="00D355D5" w:rsidRDefault="00D355D5" w:rsidP="00D355D5">
      <w:r>
        <w:t>Codes\\Pharmacist's role</w:t>
      </w:r>
    </w:p>
    <w:p w14:paraId="71F00214" w14:textId="77777777" w:rsidR="00D355D5" w:rsidRDefault="00D355D5" w:rsidP="00D355D5">
      <w:pPr>
        <w:pStyle w:val="FolderDescription"/>
      </w:pPr>
      <w:r>
        <w:t>Main services provided by pharmacists in patient managment in primary healthcare centre</w:t>
      </w:r>
    </w:p>
    <w:tbl>
      <w:tblPr>
        <w:tblStyle w:val="NodesTable"/>
        <w:tblW w:w="5000" w:type="pct"/>
        <w:tblInd w:w="0" w:type="dxa"/>
        <w:tblLook w:val="0420" w:firstRow="1" w:lastRow="0" w:firstColumn="0" w:lastColumn="0" w:noHBand="0" w:noVBand="1"/>
      </w:tblPr>
      <w:tblGrid>
        <w:gridCol w:w="2747"/>
        <w:gridCol w:w="4618"/>
        <w:gridCol w:w="877"/>
        <w:gridCol w:w="1113"/>
      </w:tblGrid>
      <w:tr w:rsidR="00D355D5" w14:paraId="066C589B"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1F8CA4B7" w14:textId="77777777" w:rsidR="00D355D5" w:rsidRDefault="00D355D5" w:rsidP="00282204">
            <w:pPr>
              <w:pStyle w:val="TableHeader"/>
            </w:pPr>
            <w:r>
              <w:t>Name</w:t>
            </w:r>
          </w:p>
        </w:tc>
        <w:tc>
          <w:tcPr>
            <w:tcW w:w="2500" w:type="pct"/>
          </w:tcPr>
          <w:p w14:paraId="7197C63C" w14:textId="77777777" w:rsidR="00D355D5" w:rsidRDefault="00D355D5" w:rsidP="00282204">
            <w:pPr>
              <w:pStyle w:val="TableHeader"/>
            </w:pPr>
            <w:r>
              <w:t>Description</w:t>
            </w:r>
          </w:p>
        </w:tc>
        <w:tc>
          <w:tcPr>
            <w:tcW w:w="500" w:type="pct"/>
          </w:tcPr>
          <w:p w14:paraId="669CF01E" w14:textId="77777777" w:rsidR="00D355D5" w:rsidRDefault="00D355D5" w:rsidP="00282204">
            <w:pPr>
              <w:pStyle w:val="TableHeader"/>
            </w:pPr>
            <w:r>
              <w:t>Files</w:t>
            </w:r>
          </w:p>
        </w:tc>
        <w:tc>
          <w:tcPr>
            <w:tcW w:w="500" w:type="pct"/>
          </w:tcPr>
          <w:p w14:paraId="2DB4A6B6" w14:textId="77777777" w:rsidR="00D355D5" w:rsidRDefault="00D355D5" w:rsidP="00282204">
            <w:pPr>
              <w:pStyle w:val="TableHeader"/>
            </w:pPr>
            <w:r>
              <w:t>References</w:t>
            </w:r>
          </w:p>
        </w:tc>
      </w:tr>
      <w:tr w:rsidR="00D355D5" w14:paraId="4164A67F"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058FE68A" w14:textId="77777777" w:rsidR="00D355D5" w:rsidRDefault="00D355D5" w:rsidP="00282204">
            <w:r>
              <w:t>Traditional role (Prepare&amp; dispense Rx)</w:t>
            </w:r>
          </w:p>
        </w:tc>
        <w:tc>
          <w:tcPr>
            <w:tcW w:w="2500" w:type="pct"/>
          </w:tcPr>
          <w:p w14:paraId="7C8BE065" w14:textId="77777777" w:rsidR="00D355D5" w:rsidRPr="003507A6" w:rsidRDefault="00D355D5" w:rsidP="00282204">
            <w:pPr>
              <w:spacing w:line="240" w:lineRule="auto"/>
              <w:jc w:val="both"/>
            </w:pPr>
            <w:r w:rsidRPr="003507A6">
              <w:t>In the pharmacy, as you know, there is a file for every patient with a chronic condition to document all the medications for that patient, and we keep this record in the pharmacy. We check/review these medications every time they visit the centre to dispense their refill prescriptions. We check what they need and prepare their medication by calculating the exact numbers they need, so what I'm saying here is that we take care of all chronic conditions, not specifically diabetes.</w:t>
            </w:r>
            <w:r>
              <w:t xml:space="preserve"> </w:t>
            </w:r>
            <w:r w:rsidRPr="003507A6">
              <w:t>Ph2</w:t>
            </w:r>
          </w:p>
          <w:p w14:paraId="1D2C7F99" w14:textId="77777777" w:rsidR="00D355D5" w:rsidRPr="003507A6" w:rsidRDefault="00D355D5" w:rsidP="00282204">
            <w:pPr>
              <w:spacing w:line="240" w:lineRule="auto"/>
              <w:jc w:val="both"/>
            </w:pPr>
            <w:r w:rsidRPr="003507A6">
              <w:t>The pharmacist's role is often to dispense the medication and make sure that medication is compatible with the diagnosis [</w:t>
            </w:r>
            <w:r w:rsidRPr="003507A6">
              <w:t>…</w:t>
            </w:r>
            <w:r w:rsidRPr="003507A6">
              <w:t>] He/she checks the drug name, dosage, etc. They usually write these things out, how often before and after eating and a little to educate the patient about medicines. These are what actually a pharmacist does [</w:t>
            </w:r>
            <w:r w:rsidRPr="003507A6">
              <w:t>…</w:t>
            </w:r>
            <w:r w:rsidRPr="003507A6">
              <w:t>] basically dispensing medication orders!</w:t>
            </w:r>
            <w:r w:rsidRPr="003507A6">
              <w:t>’</w:t>
            </w:r>
            <w:r w:rsidRPr="003507A6">
              <w:t xml:space="preserve"> N1</w:t>
            </w:r>
          </w:p>
        </w:tc>
        <w:tc>
          <w:tcPr>
            <w:tcW w:w="500" w:type="pct"/>
          </w:tcPr>
          <w:p w14:paraId="4F27E2A1" w14:textId="77777777" w:rsidR="00D355D5" w:rsidRDefault="00D355D5" w:rsidP="00282204">
            <w:pPr>
              <w:pStyle w:val="RightAlign"/>
            </w:pPr>
            <w:r>
              <w:t>2</w:t>
            </w:r>
          </w:p>
          <w:p w14:paraId="482E105B" w14:textId="77777777" w:rsidR="00D355D5" w:rsidRDefault="00D355D5" w:rsidP="00282204">
            <w:pPr>
              <w:pStyle w:val="RightAlign"/>
            </w:pPr>
            <w:r>
              <w:t>2</w:t>
            </w:r>
          </w:p>
        </w:tc>
        <w:tc>
          <w:tcPr>
            <w:tcW w:w="500" w:type="pct"/>
          </w:tcPr>
          <w:p w14:paraId="2A36530B" w14:textId="77777777" w:rsidR="00D355D5" w:rsidRDefault="00D355D5" w:rsidP="00282204">
            <w:pPr>
              <w:pStyle w:val="RightAlign"/>
            </w:pPr>
            <w:r>
              <w:t>2</w:t>
            </w:r>
          </w:p>
          <w:p w14:paraId="011C9AA0" w14:textId="77777777" w:rsidR="00D355D5" w:rsidRDefault="00D355D5" w:rsidP="00282204">
            <w:pPr>
              <w:pStyle w:val="RightAlign"/>
            </w:pPr>
            <w:r>
              <w:t>6</w:t>
            </w:r>
          </w:p>
        </w:tc>
      </w:tr>
      <w:tr w:rsidR="00D355D5" w14:paraId="445BD81C"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4D541CB8" w14:textId="77777777" w:rsidR="00D355D5" w:rsidRDefault="00D355D5" w:rsidP="00282204">
            <w:r>
              <w:t>Beyond dispensing medication (working on the principle of patient outcomes and safety)</w:t>
            </w:r>
          </w:p>
        </w:tc>
        <w:tc>
          <w:tcPr>
            <w:tcW w:w="2500" w:type="pct"/>
          </w:tcPr>
          <w:p w14:paraId="2EDEA832" w14:textId="77777777" w:rsidR="00D355D5" w:rsidRPr="004122A0" w:rsidRDefault="00D355D5" w:rsidP="00282204">
            <w:pPr>
              <w:spacing w:line="240" w:lineRule="auto"/>
              <w:jc w:val="both"/>
            </w:pPr>
            <w:r w:rsidRPr="004122A0">
              <w:t>His role is not limited to the delivery of medicine. He can provide health awareness, medication education and even treatment to patients. For example, some of the services we provide to the patient in the dressing, such as giving injections, some pharmacists are diligent and perform this role. (They practice this). N2</w:t>
            </w:r>
          </w:p>
          <w:p w14:paraId="2EE7487A" w14:textId="77777777" w:rsidR="00D355D5" w:rsidRPr="004122A0" w:rsidRDefault="00D355D5" w:rsidP="00282204">
            <w:pPr>
              <w:spacing w:line="240" w:lineRule="auto"/>
              <w:jc w:val="both"/>
            </w:pPr>
            <w:r w:rsidRPr="004122A0">
              <w:t>he used to meet patients face to face and explain to them exactly how to handle medicines. Pharmacists in PHCs used to ask patients about the details of their medications, how to take them, and any side effects they might experience. Also, they are used to spotting any issues with drug interactions. There was beautiful communication between patients and the pharmacist in our clinic. N3</w:t>
            </w:r>
          </w:p>
          <w:p w14:paraId="79D440A4" w14:textId="77777777" w:rsidR="00D355D5" w:rsidRPr="004122A0" w:rsidRDefault="00D355D5" w:rsidP="00282204">
            <w:pPr>
              <w:spacing w:line="240" w:lineRule="auto"/>
              <w:jc w:val="both"/>
            </w:pPr>
            <w:r w:rsidRPr="004122A0">
              <w:t>How can pharmacists involve in the patient's management plan?  This plan must be done with a pharmacist in line with the guidelines in the healthcare system, and according to the guideline, the pharmacist can be involved in providing clinical services, which plays an important role in treating patients. For example, pharmacists have to check lab results, such as checking kidney function tests. I did that before; I used to calculate an estimated glomerular filtration rate and check HbA1c level when I was in the PHC. However, I have been moved from the PHC, but I believe that pharmacists can play an important and active role in patient care in PHC, updating medical staff with the new evolutions in medication treatments, such as diabetes management, and providing patient education. Ph2</w:t>
            </w:r>
          </w:p>
          <w:p w14:paraId="5EC0C8FD" w14:textId="77777777" w:rsidR="00D355D5" w:rsidRPr="004122A0" w:rsidRDefault="00D355D5" w:rsidP="00282204">
            <w:pPr>
              <w:spacing w:line="240" w:lineRule="auto"/>
              <w:jc w:val="both"/>
            </w:pPr>
            <w:r w:rsidRPr="004122A0">
              <w:t>my role as a pharmacist was to make sure that the medication was prescribed and dispensed to the patient correctly and safely. If something was doubtful in the prescription, I had to take preliminary information from the patient without explaining to the patient the reason for taking this, and it had to be related to the medication's dispensing. At the same time, I contacted the doctor because most of the doctors were juniors (recent graduates), had little work experience, so of course, there was a discussion about the basis of prescribing this medication or if the dosage was incorrect, and it often is incorrect. From the discussion between me and them, some doctors were convinced and corrected the prescription because I gave them the references that I rely on.Ph3</w:t>
            </w:r>
          </w:p>
          <w:p w14:paraId="24EB8407" w14:textId="77777777" w:rsidR="00D355D5" w:rsidRPr="004122A0" w:rsidRDefault="00D355D5" w:rsidP="00282204">
            <w:pPr>
              <w:spacing w:line="240" w:lineRule="auto"/>
              <w:jc w:val="both"/>
            </w:pPr>
            <w:r w:rsidRPr="004122A0">
              <w:t>Our role as pharmacists is to suggest alternative medications available in our pharmacy if the prescribed medication is not available.Ph3</w:t>
            </w:r>
          </w:p>
          <w:p w14:paraId="7A34CC84" w14:textId="77777777" w:rsidR="00D355D5" w:rsidRPr="004122A0" w:rsidRDefault="00D355D5" w:rsidP="00282204">
            <w:pPr>
              <w:spacing w:line="240" w:lineRule="auto"/>
              <w:jc w:val="both"/>
            </w:pPr>
            <w:r w:rsidRPr="004122A0">
              <w:t>Our responsibilities as pharmacists are to deliver the medication at the right dose and at the right time to the right patient. Ph3</w:t>
            </w:r>
          </w:p>
          <w:p w14:paraId="5696EB33" w14:textId="77777777" w:rsidR="00D355D5" w:rsidRPr="004122A0" w:rsidRDefault="00D355D5" w:rsidP="00282204">
            <w:pPr>
              <w:spacing w:line="240" w:lineRule="auto"/>
              <w:jc w:val="both"/>
            </w:pPr>
            <w:r w:rsidRPr="004122A0">
              <w:t xml:space="preserve">Ordering medications, checking and dispensing prescriptions, providing instructions to patients regarding their treatments, and educating patients; nutritionally, for example, by advising them to reduce carbohydrates and sugar, and also educating them about drug-drug interactions as well as drug-food interactions. These are among my duties as a pharmacist in the PHC. </w:t>
            </w:r>
            <w:r>
              <w:t>Ph3</w:t>
            </w:r>
          </w:p>
          <w:p w14:paraId="76C9D81E" w14:textId="77777777" w:rsidR="00D355D5" w:rsidRPr="004122A0" w:rsidRDefault="00D355D5" w:rsidP="00282204">
            <w:pPr>
              <w:spacing w:line="240" w:lineRule="auto"/>
              <w:jc w:val="both"/>
            </w:pPr>
            <w:r w:rsidRPr="004122A0">
              <w:t>Pharmacists in the PHC are so accustomed to knowing patients by their names, condition, and medications that they treat them according to their psychological state. This will not happen outside the centre (at the external pharmacy) for sure.Ph3</w:t>
            </w:r>
          </w:p>
          <w:p w14:paraId="3874F9E0" w14:textId="77777777" w:rsidR="00D355D5" w:rsidRPr="004122A0" w:rsidRDefault="00D355D5" w:rsidP="00282204">
            <w:pPr>
              <w:spacing w:line="240" w:lineRule="auto"/>
              <w:jc w:val="both"/>
            </w:pPr>
            <w:r w:rsidRPr="004122A0">
              <w:t>We are mostly involved in designing, implementing and monitoring treatment plans to obtain the best treatment outcomes for patients.Ph3</w:t>
            </w:r>
          </w:p>
          <w:p w14:paraId="7AA2CD54" w14:textId="77777777" w:rsidR="00D355D5" w:rsidRPr="004122A0" w:rsidRDefault="00D355D5" w:rsidP="00282204">
            <w:pPr>
              <w:spacing w:line="240" w:lineRule="auto"/>
              <w:jc w:val="both"/>
            </w:pPr>
            <w:r w:rsidRPr="004122A0">
              <w:t>as you know, pharmacies in the PHCs are closed and we are moved to work in the hospital. Our role in the hospital is now more scrutinized to ensure the safe prescribing and safe dispensing of medications to patients. This is the most important thing we are working on; Correcting prescriptions, such as correcting the dosage, and giving necessary directions to the patients about their medications to deliver these medications safely and effectively.Ph3</w:t>
            </w:r>
          </w:p>
          <w:p w14:paraId="52AC103E" w14:textId="77777777" w:rsidR="00D355D5" w:rsidRPr="004122A0" w:rsidRDefault="00D355D5" w:rsidP="00282204">
            <w:pPr>
              <w:spacing w:line="240" w:lineRule="auto"/>
              <w:jc w:val="both"/>
            </w:pPr>
            <w:r w:rsidRPr="004122A0">
              <w:t xml:space="preserve">For safety, of course, we must look for what is right and best in treatment.Ph3 </w:t>
            </w:r>
          </w:p>
          <w:p w14:paraId="2DF7F6C3" w14:textId="77777777" w:rsidR="00D355D5" w:rsidRPr="004122A0" w:rsidRDefault="00D355D5" w:rsidP="00282204">
            <w:pPr>
              <w:spacing w:line="240" w:lineRule="auto"/>
              <w:jc w:val="both"/>
            </w:pPr>
            <w:r w:rsidRPr="004122A0">
              <w:t>We sometimes discover that a patient has the same prescribed medication from different healthcare settings with different brands, which leads to extra doses.Ph3</w:t>
            </w:r>
          </w:p>
          <w:p w14:paraId="1CC26152" w14:textId="77777777" w:rsidR="00D355D5" w:rsidRPr="004122A0" w:rsidRDefault="00D355D5" w:rsidP="00282204">
            <w:pPr>
              <w:spacing w:line="240" w:lineRule="auto"/>
              <w:jc w:val="both"/>
            </w:pPr>
            <w:r w:rsidRPr="004122A0">
              <w:t>The nature of our work deals with medications, thus the pharmacy profession is very sensitive. Our mission is to provide the right prescriptions and the right dispensing to the right patient.Ph3</w:t>
            </w:r>
          </w:p>
          <w:p w14:paraId="681C4F64" w14:textId="77777777" w:rsidR="00D355D5" w:rsidRPr="003507A6" w:rsidRDefault="00D355D5" w:rsidP="00282204">
            <w:pPr>
              <w:spacing w:line="240" w:lineRule="auto"/>
              <w:jc w:val="both"/>
            </w:pPr>
            <w:r w:rsidRPr="004122A0">
              <w:t xml:space="preserve">The first benefit will </w:t>
            </w:r>
            <w:r>
              <w:t>o</w:t>
            </w:r>
            <w:r w:rsidRPr="004122A0">
              <w:t>ccrue to patients. They will take appropriate medication and education; this is first benefit. The second benefit may be on the financial level of the medications, as they may not be dispensed in such large quantities. The patient who is being followed up in the PHC is not required to be given medications from the beginning because he is being closely monitored and followed up properly, so I think we will save medications. (If medicines are given to the patient from the PHC, the use of medications will be monitored)</w:t>
            </w:r>
            <w:r>
              <w:t xml:space="preserve"> </w:t>
            </w:r>
            <w:r w:rsidRPr="004122A0">
              <w:t>Ph3</w:t>
            </w:r>
          </w:p>
        </w:tc>
        <w:tc>
          <w:tcPr>
            <w:tcW w:w="500" w:type="pct"/>
          </w:tcPr>
          <w:p w14:paraId="211EAFE8" w14:textId="77777777" w:rsidR="00D355D5" w:rsidRDefault="00D355D5" w:rsidP="00282204">
            <w:pPr>
              <w:pStyle w:val="RightAlign"/>
            </w:pPr>
            <w:r>
              <w:t>4</w:t>
            </w:r>
          </w:p>
        </w:tc>
        <w:tc>
          <w:tcPr>
            <w:tcW w:w="500" w:type="pct"/>
          </w:tcPr>
          <w:p w14:paraId="314F256F" w14:textId="77777777" w:rsidR="00D355D5" w:rsidRDefault="00D355D5" w:rsidP="00282204">
            <w:pPr>
              <w:pStyle w:val="RightAlign"/>
            </w:pPr>
            <w:r>
              <w:t>14</w:t>
            </w:r>
          </w:p>
        </w:tc>
      </w:tr>
      <w:tr w:rsidR="00D355D5" w14:paraId="288B1645"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127E7A46" w14:textId="77777777" w:rsidR="00D355D5" w:rsidRDefault="00D355D5" w:rsidP="00282204">
            <w:pPr>
              <w:spacing w:line="240" w:lineRule="auto"/>
              <w:jc w:val="both"/>
            </w:pPr>
            <w:r>
              <w:t xml:space="preserve">Discuss </w:t>
            </w:r>
            <w:r w:rsidRPr="0086694E">
              <w:t xml:space="preserve">a medication management plan with doctor and nurses </w:t>
            </w:r>
          </w:p>
        </w:tc>
        <w:tc>
          <w:tcPr>
            <w:tcW w:w="2500" w:type="pct"/>
          </w:tcPr>
          <w:p w14:paraId="19258994" w14:textId="77777777" w:rsidR="00D355D5" w:rsidRPr="0086694E" w:rsidRDefault="00D355D5" w:rsidP="00282204">
            <w:pPr>
              <w:spacing w:line="240" w:lineRule="auto"/>
              <w:jc w:val="both"/>
            </w:pPr>
            <w:r w:rsidRPr="0086694E">
              <w:t>yes of course, I usually I might consult the pharmacists with regard of sometimes about available options and available brands  and sometimes might consult about the dosing of some medication, might have discussion of you know converting somebody from one plan to another like if he was on regular insulin how to shift or using mix insulin how intensify sometimes we have a discussion with the pharmacist just do clear it from both sides because sometimes he might find that the patient have been shifted and he want to clarify whether this is written by mistake or written intentionly so he might call back me to just confirm that the order or to question about the dose so usually it is kind of a team work rather than just an order by the physician.D2</w:t>
            </w:r>
          </w:p>
          <w:p w14:paraId="501BA471" w14:textId="77777777" w:rsidR="00D355D5" w:rsidRPr="0086694E" w:rsidRDefault="00D355D5" w:rsidP="00282204">
            <w:pPr>
              <w:spacing w:line="240" w:lineRule="auto"/>
              <w:jc w:val="both"/>
            </w:pPr>
            <w:r w:rsidRPr="0086694E">
              <w:t>Sometimes yes as I stated before regarding questioning of the maximum dose sometimes regarding the changing because they have you know medication card which is the blue book. The medication card is the you know registration of all pharmacological intervention by the physician over times, so if there is a change in the plan, sometimes the pharmacist might call back the ordering physician to clarifying the situation why you are changing from this to that. yes I have sometimes as I stated before a discussion about the changing the plan or advising in choosing more optimal option or available options rather than just having the you know the plan that done only by the physician.D2</w:t>
            </w:r>
          </w:p>
          <w:p w14:paraId="4F806D4C" w14:textId="77777777" w:rsidR="00D355D5" w:rsidRPr="0086694E" w:rsidRDefault="00D355D5" w:rsidP="00282204">
            <w:pPr>
              <w:spacing w:line="240" w:lineRule="auto"/>
              <w:jc w:val="both"/>
            </w:pPr>
            <w:r w:rsidRPr="0086694E">
              <w:t>We used to discuss new cases, and there was a discussion between us (the attending physician, pharmacist and nurse). Shall we start treatment (pharmacological treatment) to the patient, or do we wait a bit? The pharmacist has a vital role with us.N3</w:t>
            </w:r>
          </w:p>
          <w:p w14:paraId="0CEDEC2E" w14:textId="77777777" w:rsidR="00D355D5" w:rsidRPr="0086694E" w:rsidRDefault="00D355D5" w:rsidP="00282204">
            <w:pPr>
              <w:spacing w:line="240" w:lineRule="auto"/>
              <w:jc w:val="both"/>
            </w:pPr>
            <w:r w:rsidRPr="0086694E">
              <w:t>No, the pharmacist has no role at the beginning of the treatment plan.Ph1</w:t>
            </w:r>
          </w:p>
          <w:p w14:paraId="1E8A65F2" w14:textId="77777777" w:rsidR="00D355D5" w:rsidRPr="0086694E" w:rsidRDefault="00D355D5" w:rsidP="00282204">
            <w:pPr>
              <w:spacing w:line="240" w:lineRule="auto"/>
              <w:jc w:val="both"/>
            </w:pPr>
            <w:r w:rsidRPr="0086694E">
              <w:t>No, it is not like this, not exactly as you said; the doctor in the PHC used to call the pharmacist to consult in some cases, not in every case.  As a pharmacist, when I see a prescription for a newly diagnosed diabetic and starts the treatment with sulfonylureas. In such a case, I wonder and call the doctor to clarify this matter.</w:t>
            </w:r>
            <w:r>
              <w:t xml:space="preserve"> </w:t>
            </w:r>
            <w:r w:rsidRPr="0086694E">
              <w:t>Ph2</w:t>
            </w:r>
          </w:p>
          <w:p w14:paraId="3E75C876" w14:textId="77777777" w:rsidR="00D355D5" w:rsidRDefault="00D355D5" w:rsidP="00282204">
            <w:pPr>
              <w:spacing w:line="240" w:lineRule="auto"/>
              <w:jc w:val="both"/>
            </w:pPr>
            <w:r w:rsidRPr="0086694E">
              <w:t>Honestly, I don't remember being asked to do this (participate in a treatment plan for a diabetic patient) in PHC, but on a supervisory level, we generally discuss these with doctors and medical supplies, but in PHC, I don't remember.Ph3</w:t>
            </w:r>
          </w:p>
          <w:p w14:paraId="47981EA6" w14:textId="77777777" w:rsidR="00D355D5" w:rsidRDefault="00D355D5" w:rsidP="00282204">
            <w:pPr>
              <w:spacing w:line="240" w:lineRule="auto"/>
              <w:jc w:val="both"/>
            </w:pPr>
            <w:r w:rsidRPr="00026088">
              <w:t>Yeah, I didn't hear him, but when I was an internal student, I did hear my doctor, my supervisor which I trained under, I did hear him and he is always asking pharmacists, and thinking many times over before prescribing this particular medication. D1</w:t>
            </w:r>
          </w:p>
        </w:tc>
        <w:tc>
          <w:tcPr>
            <w:tcW w:w="500" w:type="pct"/>
          </w:tcPr>
          <w:p w14:paraId="31DCA098" w14:textId="77777777" w:rsidR="00D355D5" w:rsidRDefault="00D355D5" w:rsidP="00282204">
            <w:pPr>
              <w:pStyle w:val="RightAlign"/>
            </w:pPr>
            <w:r>
              <w:t>6</w:t>
            </w:r>
          </w:p>
        </w:tc>
        <w:tc>
          <w:tcPr>
            <w:tcW w:w="500" w:type="pct"/>
          </w:tcPr>
          <w:p w14:paraId="7809BC56" w14:textId="77777777" w:rsidR="00D355D5" w:rsidRDefault="00D355D5" w:rsidP="00282204">
            <w:pPr>
              <w:pStyle w:val="RightAlign"/>
            </w:pPr>
            <w:r>
              <w:t>7</w:t>
            </w:r>
          </w:p>
        </w:tc>
      </w:tr>
      <w:tr w:rsidR="00D355D5" w14:paraId="0B1F1A6E"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7AE2259C" w14:textId="77777777" w:rsidR="00D355D5" w:rsidRDefault="00D355D5" w:rsidP="00282204">
            <w:r>
              <w:t>Discuss medication related problem/issue</w:t>
            </w:r>
          </w:p>
        </w:tc>
        <w:tc>
          <w:tcPr>
            <w:tcW w:w="2500" w:type="pct"/>
          </w:tcPr>
          <w:p w14:paraId="50C9DBFD" w14:textId="77777777" w:rsidR="00D355D5" w:rsidRPr="00FD4772" w:rsidRDefault="00D355D5" w:rsidP="00282204">
            <w:pPr>
              <w:spacing w:line="240" w:lineRule="auto"/>
              <w:jc w:val="both"/>
            </w:pPr>
            <w:r w:rsidRPr="00FD4772">
              <w:t>sometimes make suggestions to the doctor, especially when a patient complains of side effects of a particular medicine; we identify these issues when the patient refuses to receive his medication because it causes dizziness, nausea, or shaking. In this case, we contact the doctor to report this issue and suggest alternatives. Some doctors respond and accept the suggestion, and some don't.</w:t>
            </w:r>
            <w:r>
              <w:t xml:space="preserve"> </w:t>
            </w:r>
            <w:r w:rsidRPr="00FD4772">
              <w:t>Ph1</w:t>
            </w:r>
          </w:p>
          <w:p w14:paraId="6B095EBC" w14:textId="77777777" w:rsidR="00D355D5" w:rsidRPr="00FD4772" w:rsidRDefault="00D355D5" w:rsidP="00282204">
            <w:pPr>
              <w:spacing w:line="240" w:lineRule="auto"/>
              <w:jc w:val="both"/>
            </w:pPr>
            <w:r w:rsidRPr="00FD4772">
              <w:t>For DM patients, in PHC, we have a chance to interact with patients more, and that's what I used to do with them when I was working in the centre.  The patient's drug profile helps me with this, as I can find medication-related issues, such as why the medication was not prescribed or patient was not taking his/her medication, was it because it was refused or stopped? We document these issues in this file; then, I can discuss these (medication-related issues) with the patient and doctors as well.Ph2</w:t>
            </w:r>
          </w:p>
          <w:p w14:paraId="61844CBA" w14:textId="77777777" w:rsidR="00D355D5" w:rsidRPr="00FD4772" w:rsidRDefault="00D355D5" w:rsidP="00282204">
            <w:pPr>
              <w:spacing w:line="240" w:lineRule="auto"/>
              <w:jc w:val="both"/>
            </w:pPr>
            <w:r w:rsidRPr="00FD4772">
              <w:t>I remember some cases, for example, when a patient told me that she got tired of her pills because she felt tired, chilled, and weak when she took them. I asked her how she takes her medication? She told me that she takes glibenclamide three times a day with metformin. While it was prescribed to her twice a day. I told the doctor about this problem, explained how she should take her medication, and then she felt better. Ph2</w:t>
            </w:r>
          </w:p>
          <w:p w14:paraId="2B807448" w14:textId="77777777" w:rsidR="00D355D5" w:rsidRPr="00FD4772" w:rsidRDefault="00D355D5" w:rsidP="00282204">
            <w:pPr>
              <w:spacing w:line="240" w:lineRule="auto"/>
              <w:jc w:val="both"/>
            </w:pPr>
            <w:r w:rsidRPr="00FD4772">
              <w:t>Yes of course,  sometimes we get some maybe you know that diabetes and hypertension or chronic  diseases in general, patient my hide something from one member if we have a clear discussion and a clear pathway of sharing information we might know the actual situation.D2</w:t>
            </w:r>
          </w:p>
          <w:p w14:paraId="79F9B988" w14:textId="77777777" w:rsidR="00D355D5" w:rsidRDefault="00D355D5" w:rsidP="00282204">
            <w:pPr>
              <w:spacing w:line="240" w:lineRule="auto"/>
              <w:jc w:val="both"/>
            </w:pPr>
            <w:r w:rsidRPr="00FD4772">
              <w:t xml:space="preserve">chronic patients often have polypharmacy (more than five medications); In these cases, there may be medications from the same group. Here lies the role of the professional pharmacist in discussing the specialist doctor and expressing an opinion on such cases to avoid the side effects that may occur as a result of taking these two medications. Sometimes some doctors unintentionally don't care about this matter, or let's say they don't pay attention to these issues. Therefore, pharmacists help doctors address these issues to provide optimal patient care.Ph3 </w:t>
            </w:r>
          </w:p>
          <w:p w14:paraId="7C4F8C44" w14:textId="77777777" w:rsidR="00D355D5" w:rsidRPr="00FD4772" w:rsidRDefault="00D355D5" w:rsidP="00282204">
            <w:pPr>
              <w:spacing w:line="240" w:lineRule="auto"/>
              <w:jc w:val="both"/>
            </w:pPr>
            <w:r w:rsidRPr="00B16F5A">
              <w:t>We sometimes discover that a patient has the same prescribed medication from different healthcare settings with different brands, which leads to extra doses. Ph3</w:t>
            </w:r>
          </w:p>
        </w:tc>
        <w:tc>
          <w:tcPr>
            <w:tcW w:w="500" w:type="pct"/>
          </w:tcPr>
          <w:p w14:paraId="12C50245" w14:textId="77777777" w:rsidR="00D355D5" w:rsidRDefault="00D355D5" w:rsidP="00282204">
            <w:pPr>
              <w:pStyle w:val="RightAlign"/>
            </w:pPr>
            <w:r>
              <w:t>4</w:t>
            </w:r>
          </w:p>
        </w:tc>
        <w:tc>
          <w:tcPr>
            <w:tcW w:w="500" w:type="pct"/>
          </w:tcPr>
          <w:p w14:paraId="2AF4C465" w14:textId="77777777" w:rsidR="00D355D5" w:rsidRDefault="00D355D5" w:rsidP="00282204">
            <w:pPr>
              <w:pStyle w:val="RightAlign"/>
            </w:pPr>
            <w:r>
              <w:t>6</w:t>
            </w:r>
          </w:p>
        </w:tc>
      </w:tr>
      <w:tr w:rsidR="00D355D5" w14:paraId="7068DC3E"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4345A93B" w14:textId="77777777" w:rsidR="00D355D5" w:rsidRDefault="00D355D5" w:rsidP="00282204">
            <w:r>
              <w:t>Medication Review</w:t>
            </w:r>
          </w:p>
        </w:tc>
        <w:tc>
          <w:tcPr>
            <w:tcW w:w="2500" w:type="pct"/>
          </w:tcPr>
          <w:p w14:paraId="627A09E8" w14:textId="77777777" w:rsidR="00D355D5" w:rsidRPr="00494A10" w:rsidRDefault="00D355D5" w:rsidP="00282204">
            <w:pPr>
              <w:spacing w:line="240" w:lineRule="auto"/>
              <w:jc w:val="both"/>
            </w:pPr>
            <w:r w:rsidRPr="00494A10">
              <w:t>So, if I want to see a patient's file, I write a note on the prescription or on a side sheet to review the file at the end of the workday; If any issues arise from the file review, I must contact the patient in this regard.</w:t>
            </w:r>
            <w:r>
              <w:t xml:space="preserve"> </w:t>
            </w:r>
            <w:r w:rsidRPr="00494A10">
              <w:t>Ph1</w:t>
            </w:r>
          </w:p>
          <w:p w14:paraId="7EDB0270" w14:textId="77777777" w:rsidR="00D355D5" w:rsidRDefault="00D355D5" w:rsidP="00282204">
            <w:pPr>
              <w:spacing w:line="240" w:lineRule="auto"/>
              <w:jc w:val="both"/>
            </w:pPr>
            <w:r w:rsidRPr="00494A10">
              <w:t>Indeed, reviewing medicines is one of the pharmacist's roles. Doctors have to take care of the patients' medical condition and delegate matters related to medications to the pharmacist.</w:t>
            </w:r>
            <w:r>
              <w:t xml:space="preserve"> </w:t>
            </w:r>
            <w:r w:rsidRPr="00494A10">
              <w:t>Ph1</w:t>
            </w:r>
          </w:p>
          <w:p w14:paraId="32F977E0" w14:textId="77777777" w:rsidR="00D355D5" w:rsidRPr="00494A10" w:rsidRDefault="00D355D5" w:rsidP="00282204">
            <w:pPr>
              <w:spacing w:line="240" w:lineRule="auto"/>
              <w:jc w:val="both"/>
            </w:pPr>
            <w:r w:rsidRPr="004F5C64">
              <w:t xml:space="preserve">Well, I think both (doctor and pharmacist) should do it. I think the doctor who is responsible for prescribing the medicine and if there is any mistake who will be the one who has to answer to any committee; so he should </w:t>
            </w:r>
            <w:r w:rsidRPr="004F5C64">
              <w:t>“</w:t>
            </w:r>
            <w:r w:rsidRPr="004F5C64">
              <w:t>you have to do your own work.</w:t>
            </w:r>
            <w:r w:rsidRPr="004F5C64">
              <w:t>”</w:t>
            </w:r>
            <w:r w:rsidRPr="004F5C64">
              <w:t xml:space="preserve">  He should review the medication of each single patient, he is responsible for that, and if we are talking about a committee, we need to report things to, let</w:t>
            </w:r>
            <w:r w:rsidRPr="004F5C64">
              <w:t>’</w:t>
            </w:r>
            <w:r w:rsidRPr="004F5C64">
              <w:t>s say, the ministry of health. There is no problem if the doctor, as ahead of the team, gives a part for the pharmacists, let's say, give them the part to review the medicines after him.  D1</w:t>
            </w:r>
          </w:p>
        </w:tc>
        <w:tc>
          <w:tcPr>
            <w:tcW w:w="500" w:type="pct"/>
          </w:tcPr>
          <w:p w14:paraId="2778A983" w14:textId="77777777" w:rsidR="00D355D5" w:rsidRDefault="00D355D5" w:rsidP="00282204">
            <w:pPr>
              <w:pStyle w:val="RightAlign"/>
              <w:jc w:val="center"/>
            </w:pPr>
            <w:r>
              <w:t>2</w:t>
            </w:r>
          </w:p>
        </w:tc>
        <w:tc>
          <w:tcPr>
            <w:tcW w:w="500" w:type="pct"/>
          </w:tcPr>
          <w:p w14:paraId="5B0BD7F6" w14:textId="77777777" w:rsidR="00D355D5" w:rsidRDefault="00D355D5" w:rsidP="00282204">
            <w:pPr>
              <w:pStyle w:val="RightAlign"/>
            </w:pPr>
            <w:r>
              <w:t>3</w:t>
            </w:r>
          </w:p>
        </w:tc>
      </w:tr>
      <w:tr w:rsidR="00D355D5" w14:paraId="44433F06"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01D63B9A" w14:textId="77777777" w:rsidR="00D355D5" w:rsidRDefault="00D355D5" w:rsidP="00282204">
            <w:r>
              <w:t>Patient Education</w:t>
            </w:r>
          </w:p>
        </w:tc>
        <w:tc>
          <w:tcPr>
            <w:tcW w:w="2500" w:type="pct"/>
          </w:tcPr>
          <w:p w14:paraId="12B926D7" w14:textId="77777777" w:rsidR="00D355D5" w:rsidRPr="000D7D3E" w:rsidRDefault="00D355D5" w:rsidP="00282204">
            <w:pPr>
              <w:spacing w:line="240" w:lineRule="auto"/>
              <w:jc w:val="both"/>
            </w:pPr>
            <w:r w:rsidRPr="000D7D3E">
              <w:t>The pharmacist has a significant role because sometimes the patient is uncontrol, and a new medication, such as insulin, has to be prescribed/started. So the pharmacist has an active role with the doctor in treating patients. He is the link between the doctor and the patient. The pharmacist educates the patient about why the doctor should start insulin. We are working as a team N3</w:t>
            </w:r>
          </w:p>
          <w:p w14:paraId="6413B9CE" w14:textId="77777777" w:rsidR="00D355D5" w:rsidRPr="000D7D3E" w:rsidRDefault="00D355D5" w:rsidP="00282204">
            <w:pPr>
              <w:spacing w:line="240" w:lineRule="auto"/>
              <w:jc w:val="both"/>
            </w:pPr>
            <w:r w:rsidRPr="000D7D3E">
              <w:t>overcrowding. Some centres are very crowded, but some excellent pharmacists can communicate with the patient even for 5 minutes while dispensing Rx. but some excellent pharmacists can even communicate with patients for 5 minutes while dispensing Rx.The pharmacist dispenses medications, gives instructions to patients, and checks that they understand how to take their medication. N3</w:t>
            </w:r>
          </w:p>
          <w:p w14:paraId="63CC116A" w14:textId="77777777" w:rsidR="00D355D5" w:rsidRPr="000D7D3E" w:rsidRDefault="00D355D5" w:rsidP="00282204">
            <w:pPr>
              <w:spacing w:line="240" w:lineRule="auto"/>
              <w:jc w:val="both"/>
            </w:pPr>
            <w:r w:rsidRPr="000D7D3E">
              <w:t>pharmacists at the PHCs, we focused on this point by notifying the patient of a change of company. In addition, we used to ask patients to bring all the medications they take with them at the time of dispensing to review their medications and alert them about similar medications they may have. While now they do not receive, such as a service at the community pharmacy.Ph1</w:t>
            </w:r>
          </w:p>
          <w:p w14:paraId="26C4F9D5" w14:textId="77777777" w:rsidR="00D355D5" w:rsidRDefault="00D355D5" w:rsidP="00282204">
            <w:pPr>
              <w:spacing w:line="240" w:lineRule="auto"/>
              <w:jc w:val="both"/>
            </w:pPr>
            <w:r w:rsidRPr="000D7D3E">
              <w:t>providing instructions to patients regarding their treatments, and educating patients; nutritionally, for example, by advising them to reduce carbohydrates and sugar, and also educating them about drug-drug interactions as well as drug-food interactions.Ph3</w:t>
            </w:r>
          </w:p>
        </w:tc>
        <w:tc>
          <w:tcPr>
            <w:tcW w:w="500" w:type="pct"/>
          </w:tcPr>
          <w:p w14:paraId="6DB1308D" w14:textId="77777777" w:rsidR="00D355D5" w:rsidRDefault="00D355D5" w:rsidP="00282204">
            <w:pPr>
              <w:pStyle w:val="RightAlign"/>
            </w:pPr>
            <w:r>
              <w:t>3</w:t>
            </w:r>
          </w:p>
        </w:tc>
        <w:tc>
          <w:tcPr>
            <w:tcW w:w="500" w:type="pct"/>
          </w:tcPr>
          <w:p w14:paraId="41A078B3" w14:textId="77777777" w:rsidR="00D355D5" w:rsidRDefault="00D355D5" w:rsidP="00282204">
            <w:pPr>
              <w:pStyle w:val="RightAlign"/>
            </w:pPr>
            <w:r>
              <w:t>4</w:t>
            </w:r>
          </w:p>
        </w:tc>
      </w:tr>
      <w:tr w:rsidR="00D355D5" w14:paraId="2D5C95E1"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62D59468" w14:textId="77777777" w:rsidR="00D355D5" w:rsidRDefault="00D355D5" w:rsidP="00282204">
            <w:r>
              <w:t>Patient and HCP education</w:t>
            </w:r>
          </w:p>
        </w:tc>
        <w:tc>
          <w:tcPr>
            <w:tcW w:w="2500" w:type="pct"/>
          </w:tcPr>
          <w:p w14:paraId="36AB41B5" w14:textId="77777777" w:rsidR="00D355D5" w:rsidRPr="00251587" w:rsidRDefault="00D355D5" w:rsidP="00282204">
            <w:pPr>
              <w:spacing w:line="240" w:lineRule="auto"/>
              <w:jc w:val="both"/>
            </w:pPr>
            <w:r w:rsidRPr="00251587">
              <w:t>actually, we lack the rule of somebody to advise the sometimes even the simple things like the titration of the metformin. patient might be a newly diagnostic diabetic while the Gp write metformin  dose of 1 gram bid which is should goes with the titration I think the guidance or having somebody who is senior in this area will add a lot in regard of the you know initiation in regard of the education not only to the patient but also to the healthcare workers, sometimes the healthcare workers like the lack the guidance from somebody who's expert in the field.D2</w:t>
            </w:r>
          </w:p>
          <w:p w14:paraId="6304941E" w14:textId="77777777" w:rsidR="00D355D5" w:rsidRDefault="00D355D5" w:rsidP="00282204">
            <w:pPr>
              <w:spacing w:line="240" w:lineRule="auto"/>
              <w:jc w:val="both"/>
            </w:pPr>
            <w:r w:rsidRPr="00251587">
              <w:t>As I stated before and especially with the diabetes, we know medication might cause GI side effects especially with metformin, most for the time we patients have GI side effects. So, Pharmacist sometimes he might advise the patient to take this in the middle of the meal, or take it on full stomach don</w:t>
            </w:r>
            <w:r w:rsidRPr="00251587">
              <w:t>’</w:t>
            </w:r>
            <w:r w:rsidRPr="00251587">
              <w:t>t  take it on empty stomach. I think I hear lot of instruction given by a pharmacist which is a valid one which is I learned from it myself that the pharmacist have educated the patient about the possible side effect given a clear instruction and clear education about how to ameliorate and how to build the tolerance of the side effect we know that the most of these side effects will disappear within two weeks most of the time I think the rule of the pharmacist instead of you know skipping the medication or discontinue of the medication which is a bigger problem sometimes the in the let's say corner stone medication corner stone medication due to the strong side effect which might be overcome when the when you have good pharmacist who might involve more with the patient in the education in order to have a good compliance D2</w:t>
            </w:r>
          </w:p>
        </w:tc>
        <w:tc>
          <w:tcPr>
            <w:tcW w:w="500" w:type="pct"/>
          </w:tcPr>
          <w:p w14:paraId="41B33B29" w14:textId="77777777" w:rsidR="00D355D5" w:rsidRDefault="00D355D5" w:rsidP="00282204">
            <w:pPr>
              <w:pStyle w:val="RightAlign"/>
            </w:pPr>
            <w:r>
              <w:t>1</w:t>
            </w:r>
          </w:p>
        </w:tc>
        <w:tc>
          <w:tcPr>
            <w:tcW w:w="500" w:type="pct"/>
          </w:tcPr>
          <w:p w14:paraId="13F15BD4" w14:textId="77777777" w:rsidR="00D355D5" w:rsidRDefault="00D355D5" w:rsidP="00282204">
            <w:pPr>
              <w:pStyle w:val="RightAlign"/>
            </w:pPr>
            <w:r>
              <w:t>2</w:t>
            </w:r>
          </w:p>
        </w:tc>
      </w:tr>
      <w:tr w:rsidR="00D355D5" w14:paraId="5918DDFA"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53EEA59D" w14:textId="77777777" w:rsidR="00D355D5" w:rsidRDefault="00D355D5" w:rsidP="00282204">
            <w:r>
              <w:t xml:space="preserve">HCP education </w:t>
            </w:r>
          </w:p>
        </w:tc>
        <w:tc>
          <w:tcPr>
            <w:tcW w:w="2500" w:type="pct"/>
          </w:tcPr>
          <w:p w14:paraId="05545FD1" w14:textId="77777777" w:rsidR="00D355D5" w:rsidRDefault="00D355D5" w:rsidP="00282204">
            <w:pPr>
              <w:spacing w:line="240" w:lineRule="auto"/>
              <w:jc w:val="both"/>
            </w:pPr>
            <w:r w:rsidRPr="00B926A7">
              <w:t>as pharmacists were going to make lectures and seminars for nurse staff to introduce the nursing to how to deliver the medications information to the patients, including side effects of medications and things related to medical treatment. Still, this matter has become scattered because the doctors are busy, and there are no lectures, but pharmacists would do this thing, but now no pharmacists are working with us.</w:t>
            </w:r>
            <w:r>
              <w:t xml:space="preserve"> N3</w:t>
            </w:r>
          </w:p>
          <w:p w14:paraId="10EC77FF" w14:textId="77777777" w:rsidR="00D355D5" w:rsidRDefault="00D355D5" w:rsidP="00282204">
            <w:pPr>
              <w:spacing w:line="240" w:lineRule="auto"/>
              <w:jc w:val="both"/>
            </w:pPr>
            <w:r w:rsidRPr="006A3CFF">
              <w:t>We always note that pharmacists are sometimes more accurate than doctors on dosages when consulting them, even in the medications storage requirements such as temperature and other specific conditions for storage of medications to maintain their efficacy. Another issue that no one was paying attention to is the medicine's expiration date after opening (the stability of medications after opening). We are in the health centre. For example, when we use ointments, syrup, normal saline, etc., the pharmacy sets policies and procedures to keep medicines effective after opening and how long we can use them. All these guidelines set by pharmacists are important and help in the patient's treatment and treatment efficacy. N4</w:t>
            </w:r>
          </w:p>
          <w:p w14:paraId="5AC42569" w14:textId="77777777" w:rsidR="00D355D5" w:rsidRPr="006A3CFF" w:rsidRDefault="00D355D5" w:rsidP="00282204">
            <w:pPr>
              <w:spacing w:line="240" w:lineRule="auto"/>
              <w:jc w:val="both"/>
            </w:pPr>
            <w:r w:rsidRPr="0063644C">
              <w:rPr>
                <w:rFonts w:hAnsiTheme="minorHAnsi" w:cstheme="minorHAnsi"/>
                <w:lang w:val="en-GB" w:eastAsia="en-GB"/>
              </w:rPr>
              <w:t>when a pharmacist gives a lecture in the continuing education program for healthcare providers</w:t>
            </w:r>
            <w:r>
              <w:rPr>
                <w:rFonts w:hAnsiTheme="minorHAnsi" w:cstheme="minorHAnsi"/>
                <w:lang w:val="en-GB" w:eastAsia="en-GB"/>
              </w:rPr>
              <w:t xml:space="preserve"> Ph2</w:t>
            </w:r>
          </w:p>
        </w:tc>
        <w:tc>
          <w:tcPr>
            <w:tcW w:w="500" w:type="pct"/>
          </w:tcPr>
          <w:p w14:paraId="31DC1AB1" w14:textId="77777777" w:rsidR="00D355D5" w:rsidRDefault="00D355D5" w:rsidP="00282204">
            <w:pPr>
              <w:pStyle w:val="RightAlign"/>
            </w:pPr>
            <w:r>
              <w:t>3</w:t>
            </w:r>
          </w:p>
        </w:tc>
        <w:tc>
          <w:tcPr>
            <w:tcW w:w="500" w:type="pct"/>
          </w:tcPr>
          <w:p w14:paraId="63F8C134" w14:textId="77777777" w:rsidR="00D355D5" w:rsidRDefault="00D355D5" w:rsidP="00282204">
            <w:pPr>
              <w:pStyle w:val="RightAlign"/>
            </w:pPr>
            <w:r>
              <w:t>3</w:t>
            </w:r>
          </w:p>
        </w:tc>
      </w:tr>
      <w:tr w:rsidR="00D355D5" w14:paraId="27566EC2"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2A08A3DA" w14:textId="77777777" w:rsidR="00D355D5" w:rsidRDefault="00D355D5" w:rsidP="00282204">
            <w:r>
              <w:t>Verification Rx before dispensing</w:t>
            </w:r>
          </w:p>
        </w:tc>
        <w:tc>
          <w:tcPr>
            <w:tcW w:w="2500" w:type="pct"/>
          </w:tcPr>
          <w:p w14:paraId="2882A87B" w14:textId="77777777" w:rsidR="00D355D5" w:rsidRPr="00AB137D" w:rsidRDefault="00D355D5" w:rsidP="00282204">
            <w:pPr>
              <w:spacing w:line="240" w:lineRule="auto"/>
              <w:jc w:val="both"/>
            </w:pPr>
            <w:r w:rsidRPr="00AB137D">
              <w:t>we usually review the prescription and make sure exactly what medications the patient is using. If any change is made in the patient's prescription (Rx)/patients' medications, for example, in the dose or frequency of the medication or a change of medication to another medication, I contact the doctor to inquire about the reason for any change. I also ask the patient about this change and whether it is based on laboratory results. I only dispense the Rx after making sure with the doctor and patient about any change in the patient's Rx. Ph1</w:t>
            </w:r>
          </w:p>
          <w:p w14:paraId="378638B2" w14:textId="77777777" w:rsidR="00D355D5" w:rsidRPr="00AB137D" w:rsidRDefault="00D355D5" w:rsidP="00282204">
            <w:pPr>
              <w:spacing w:line="240" w:lineRule="auto"/>
              <w:jc w:val="both"/>
            </w:pPr>
            <w:r w:rsidRPr="00AB137D">
              <w:t xml:space="preserve">I notify the prescriber via phone call of any prescribing errors before dispensing. Then I have to dispense the Rx to the patient waiting at the window.Ph1 </w:t>
            </w:r>
          </w:p>
          <w:p w14:paraId="3339DF7A" w14:textId="77777777" w:rsidR="00D355D5" w:rsidRDefault="00D355D5" w:rsidP="00282204">
            <w:pPr>
              <w:spacing w:line="240" w:lineRule="auto"/>
              <w:jc w:val="both"/>
            </w:pPr>
            <w:r w:rsidRPr="00AB137D">
              <w:t>my role as a pharmacist was to make sure that the medication was prescribed and dispensed to the patient correctly and safely. If something was doubtful in the prescription, I had to take preliminary information from the patient without explaining to the patient the reason for taking this, and it had to be related to the medication's dispensing. At the same time, I contacted the doctor because most of the doctors were juniors (recent graduates), had little work experience, so of course, there was a discussion about the basis of prescribing this medication or if the dosage was incorrect, and it often is incorrect. From the discussion between me and them, some doctors were convinced and corrected the prescription because I gave them the references that I rely on. Ph3</w:t>
            </w:r>
          </w:p>
        </w:tc>
        <w:tc>
          <w:tcPr>
            <w:tcW w:w="500" w:type="pct"/>
          </w:tcPr>
          <w:p w14:paraId="4E3F2ADA" w14:textId="77777777" w:rsidR="00D355D5" w:rsidRDefault="00D355D5" w:rsidP="00282204">
            <w:pPr>
              <w:pStyle w:val="RightAlign"/>
            </w:pPr>
            <w:r>
              <w:t>2</w:t>
            </w:r>
          </w:p>
        </w:tc>
        <w:tc>
          <w:tcPr>
            <w:tcW w:w="500" w:type="pct"/>
          </w:tcPr>
          <w:p w14:paraId="685BDDBC" w14:textId="77777777" w:rsidR="00D355D5" w:rsidRDefault="00D355D5" w:rsidP="00282204">
            <w:pPr>
              <w:pStyle w:val="RightAlign"/>
            </w:pPr>
            <w:r>
              <w:t>3</w:t>
            </w:r>
          </w:p>
        </w:tc>
      </w:tr>
      <w:tr w:rsidR="00D355D5" w14:paraId="74A78EDB"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39E3CCD0" w14:textId="77777777" w:rsidR="00D355D5" w:rsidRDefault="00D355D5" w:rsidP="00282204">
            <w:r>
              <w:t xml:space="preserve">Reporting Medication Errors </w:t>
            </w:r>
          </w:p>
        </w:tc>
        <w:tc>
          <w:tcPr>
            <w:tcW w:w="2500" w:type="pct"/>
          </w:tcPr>
          <w:p w14:paraId="73351436" w14:textId="77777777" w:rsidR="00D355D5" w:rsidRPr="0072272D" w:rsidRDefault="00D355D5" w:rsidP="00282204">
            <w:pPr>
              <w:spacing w:line="240" w:lineRule="auto"/>
            </w:pPr>
            <w:r w:rsidRPr="0072272D">
              <w:t>They do call us if we write a prescription that doesn't go with the diagnosis written; most of them do call. Some of them don't call, they don't call you personally, but they report it to their higher authorities.</w:t>
            </w:r>
            <w:r>
              <w:t xml:space="preserve"> D1</w:t>
            </w:r>
          </w:p>
          <w:p w14:paraId="565554DA" w14:textId="77777777" w:rsidR="00D355D5" w:rsidRPr="006B7FCE" w:rsidRDefault="00D355D5" w:rsidP="00282204">
            <w:pPr>
              <w:spacing w:line="240" w:lineRule="auto"/>
              <w:jc w:val="both"/>
            </w:pPr>
            <w:r w:rsidRPr="006B7FCE">
              <w:t>I notify the prescriber via phone call of any prescribing errors before dispensing. Then I have to dispense the Rx to the patient waiting at the window. Another reason that forces me to dispense is the queue of patients waiting for seeing the doctor and receiving their medications from the pharmacy. Doctors usually tell me when I call them to report prescribing errors; they will come to the pharmacy to correct the error when they have a chance. With busy working days, they forget to come to the pharmacy; therefore, I have to report these errors, and actions were taken. Sometimes I collect all the prescriptions with medication errors and go to the doctors' clinics at the end of the workday to have them corrected.Ph1</w:t>
            </w:r>
          </w:p>
          <w:p w14:paraId="22A50524" w14:textId="77777777" w:rsidR="00D355D5" w:rsidRDefault="00D355D5" w:rsidP="00282204">
            <w:pPr>
              <w:spacing w:line="240" w:lineRule="auto"/>
              <w:jc w:val="both"/>
            </w:pPr>
            <w:r w:rsidRPr="006B7FCE">
              <w:t>We also detect medication errors. For example, if there is a mistake was made by doctors from not giving the usual dose or miss writing any medication for the patient, the pharmacist contacts the prescribers to notify them. Ph2</w:t>
            </w:r>
          </w:p>
          <w:p w14:paraId="2FC2F6AB" w14:textId="77777777" w:rsidR="00D355D5" w:rsidRPr="006B7FCE" w:rsidRDefault="00D355D5" w:rsidP="00282204">
            <w:pPr>
              <w:spacing w:line="240" w:lineRule="auto"/>
              <w:jc w:val="both"/>
            </w:pPr>
            <w:r w:rsidRPr="00144DA1">
              <w:t>At that time, we had a pharmacist responsible for documenting reports of medication errors to submit them to the responsible authorities in the management of the first health cluster in the eastern region</w:t>
            </w:r>
            <w:r>
              <w:t>.</w:t>
            </w:r>
            <w:r w:rsidRPr="00144DA1">
              <w:t xml:space="preserve"> N2</w:t>
            </w:r>
          </w:p>
        </w:tc>
        <w:tc>
          <w:tcPr>
            <w:tcW w:w="500" w:type="pct"/>
          </w:tcPr>
          <w:p w14:paraId="657DC7A0" w14:textId="77777777" w:rsidR="00D355D5" w:rsidRDefault="00D355D5" w:rsidP="00282204">
            <w:pPr>
              <w:pStyle w:val="RightAlign"/>
            </w:pPr>
            <w:r>
              <w:t>4</w:t>
            </w:r>
          </w:p>
        </w:tc>
        <w:tc>
          <w:tcPr>
            <w:tcW w:w="500" w:type="pct"/>
          </w:tcPr>
          <w:p w14:paraId="2560263C" w14:textId="77777777" w:rsidR="00D355D5" w:rsidRDefault="00D355D5" w:rsidP="00282204">
            <w:pPr>
              <w:pStyle w:val="RightAlign"/>
            </w:pPr>
            <w:r>
              <w:t>4</w:t>
            </w:r>
          </w:p>
        </w:tc>
      </w:tr>
      <w:tr w:rsidR="00D355D5" w14:paraId="0E4903B3"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5B205733" w14:textId="77777777" w:rsidR="00D355D5" w:rsidRDefault="00D355D5" w:rsidP="00282204">
            <w:r>
              <w:t xml:space="preserve">Medication consultation/Medication information service </w:t>
            </w:r>
          </w:p>
        </w:tc>
        <w:tc>
          <w:tcPr>
            <w:tcW w:w="2500" w:type="pct"/>
          </w:tcPr>
          <w:p w14:paraId="02BE323F" w14:textId="77777777" w:rsidR="00D355D5" w:rsidRDefault="00D355D5" w:rsidP="00282204">
            <w:pPr>
              <w:spacing w:line="240" w:lineRule="auto"/>
              <w:jc w:val="both"/>
            </w:pPr>
            <w:r w:rsidRPr="006B7FCE">
              <w:t>Patients show their medicine to the doctor and pharmacist and say: These are my prescribed medicines from here and there. Is it safe to take them with my medication? Is there a conflict between them and these things? N2</w:t>
            </w:r>
          </w:p>
          <w:p w14:paraId="559A51E2" w14:textId="77777777" w:rsidR="00D355D5" w:rsidRPr="006B7FCE" w:rsidRDefault="00D355D5" w:rsidP="00282204">
            <w:pPr>
              <w:spacing w:line="240" w:lineRule="auto"/>
              <w:jc w:val="both"/>
            </w:pPr>
            <w:r w:rsidRPr="006B7FCE">
              <w:t>I always see doctors talking to and consulting the pharmacist when they prescribe medications or add a new treatment.</w:t>
            </w:r>
            <w:r>
              <w:t>N2</w:t>
            </w:r>
          </w:p>
          <w:p w14:paraId="1C443162" w14:textId="77777777" w:rsidR="00D355D5" w:rsidRPr="006B7FCE" w:rsidRDefault="00D355D5" w:rsidP="00282204">
            <w:pPr>
              <w:spacing w:line="240" w:lineRule="auto"/>
              <w:jc w:val="both"/>
            </w:pPr>
            <w:r w:rsidRPr="006B7FCE">
              <w:t xml:space="preserve">His role was as a pharmacological advisor. Doctors sometimes resorted to pharmacists for medication consultation. The doctor asked the pharmacist whether to start this medication or prefer another one; what is the best option to treat a patient? </w:t>
            </w:r>
            <w:r>
              <w:t>N3</w:t>
            </w:r>
          </w:p>
          <w:p w14:paraId="7F2744C1" w14:textId="77777777" w:rsidR="00D355D5" w:rsidRPr="006B7FCE" w:rsidRDefault="00D355D5" w:rsidP="00282204">
            <w:pPr>
              <w:spacing w:line="240" w:lineRule="auto"/>
              <w:jc w:val="both"/>
            </w:pPr>
            <w:r w:rsidRPr="006B7FCE">
              <w:t>Doctors would turn to the pharmacist as a pharmacological advisor to ensure/confirm the patient's treatment. N3</w:t>
            </w:r>
          </w:p>
        </w:tc>
        <w:tc>
          <w:tcPr>
            <w:tcW w:w="500" w:type="pct"/>
          </w:tcPr>
          <w:p w14:paraId="20859D3F" w14:textId="77777777" w:rsidR="00D355D5" w:rsidRDefault="00D355D5" w:rsidP="00282204">
            <w:pPr>
              <w:pStyle w:val="RightAlign"/>
            </w:pPr>
            <w:r>
              <w:t>2</w:t>
            </w:r>
          </w:p>
        </w:tc>
        <w:tc>
          <w:tcPr>
            <w:tcW w:w="500" w:type="pct"/>
          </w:tcPr>
          <w:p w14:paraId="40EE3A8D" w14:textId="77777777" w:rsidR="00D355D5" w:rsidRDefault="00D355D5" w:rsidP="00282204">
            <w:pPr>
              <w:pStyle w:val="RightAlign"/>
            </w:pPr>
            <w:r>
              <w:t>4</w:t>
            </w:r>
          </w:p>
        </w:tc>
      </w:tr>
      <w:tr w:rsidR="00D355D5" w14:paraId="5BC07B80"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221FA0A7" w14:textId="77777777" w:rsidR="00D355D5" w:rsidRDefault="00D355D5" w:rsidP="00282204">
            <w:r>
              <w:t>Participating in a patient treatment plan/MTM</w:t>
            </w:r>
          </w:p>
        </w:tc>
        <w:tc>
          <w:tcPr>
            <w:tcW w:w="2500" w:type="pct"/>
          </w:tcPr>
          <w:p w14:paraId="3262EA1B" w14:textId="77777777" w:rsidR="00D355D5" w:rsidRPr="006B7FCE" w:rsidRDefault="00D355D5" w:rsidP="00282204">
            <w:pPr>
              <w:spacing w:line="240" w:lineRule="auto"/>
              <w:jc w:val="both"/>
            </w:pPr>
            <w:r w:rsidRPr="006B7FCE">
              <w:t>the pharmacist participates and is highly involved in patients' treatment plans. I always see doctors talking to and consulting the pharmacist when they prescribe medications or add a new treatment. They discuss all issues related to the patient's condition, including laboratory results. I have noticed that the pharmacist makes suggestions and asks if the patient is taking other medications, so I used to see this practice by the pharmacist. N2</w:t>
            </w:r>
          </w:p>
          <w:p w14:paraId="17BBD392" w14:textId="77777777" w:rsidR="00D355D5" w:rsidRPr="006B7FCE" w:rsidRDefault="00D355D5" w:rsidP="00282204">
            <w:pPr>
              <w:spacing w:line="240" w:lineRule="auto"/>
              <w:jc w:val="both"/>
            </w:pPr>
            <w:r w:rsidRPr="006B7FCE">
              <w:t>Yes, in primary care, we have the opportunity to participate in the medication therapy management for all chronic patients; as I said earlier, it's not specified for DM. We make sure that the drug is given safely to patients. For example, if there is any change in a patient's medication, we can detect this by reviewing the patient's drug profile that I mentioned before. We review the patient's medication by documenting and updating any changes in the medications in this file. So through this, you can see if there is any change in prescribing the medication itself, the dose, frequency, etc.</w:t>
            </w:r>
            <w:r>
              <w:t xml:space="preserve"> </w:t>
            </w:r>
            <w:r w:rsidRPr="006B7FCE">
              <w:t>Ph2</w:t>
            </w:r>
          </w:p>
        </w:tc>
        <w:tc>
          <w:tcPr>
            <w:tcW w:w="500" w:type="pct"/>
          </w:tcPr>
          <w:p w14:paraId="1BB03FA3" w14:textId="77777777" w:rsidR="00D355D5" w:rsidRDefault="00D355D5" w:rsidP="00282204">
            <w:pPr>
              <w:pStyle w:val="RightAlign"/>
            </w:pPr>
            <w:r>
              <w:t>2</w:t>
            </w:r>
          </w:p>
        </w:tc>
        <w:tc>
          <w:tcPr>
            <w:tcW w:w="500" w:type="pct"/>
          </w:tcPr>
          <w:p w14:paraId="53862183" w14:textId="77777777" w:rsidR="00D355D5" w:rsidRDefault="00D355D5" w:rsidP="00282204">
            <w:pPr>
              <w:pStyle w:val="RightAlign"/>
            </w:pPr>
            <w:r>
              <w:t>2</w:t>
            </w:r>
          </w:p>
        </w:tc>
      </w:tr>
    </w:tbl>
    <w:p w14:paraId="024EC056" w14:textId="77777777" w:rsidR="00D355D5" w:rsidRDefault="00D355D5" w:rsidP="00D355D5">
      <w:r>
        <w:t>Codes\\Retail Community Pharmacy (Attitudes /perceptions /experience of participants toward retail pharmacy)</w:t>
      </w:r>
    </w:p>
    <w:tbl>
      <w:tblPr>
        <w:tblStyle w:val="NodesTable"/>
        <w:tblW w:w="5000" w:type="pct"/>
        <w:tblInd w:w="0" w:type="dxa"/>
        <w:tblLook w:val="0420" w:firstRow="1" w:lastRow="0" w:firstColumn="0" w:lastColumn="0" w:noHBand="0" w:noVBand="1"/>
      </w:tblPr>
      <w:tblGrid>
        <w:gridCol w:w="2747"/>
        <w:gridCol w:w="4618"/>
        <w:gridCol w:w="877"/>
        <w:gridCol w:w="1113"/>
      </w:tblGrid>
      <w:tr w:rsidR="00D355D5" w14:paraId="3164CDA0"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223546C3" w14:textId="77777777" w:rsidR="00D355D5" w:rsidRDefault="00D355D5" w:rsidP="00282204">
            <w:pPr>
              <w:pStyle w:val="TableHeader"/>
            </w:pPr>
            <w:r>
              <w:t>Name</w:t>
            </w:r>
          </w:p>
        </w:tc>
        <w:tc>
          <w:tcPr>
            <w:tcW w:w="2500" w:type="pct"/>
          </w:tcPr>
          <w:p w14:paraId="70E85E10" w14:textId="77777777" w:rsidR="00D355D5" w:rsidRDefault="00D355D5" w:rsidP="00282204">
            <w:pPr>
              <w:pStyle w:val="TableHeader"/>
            </w:pPr>
            <w:r>
              <w:t>Description</w:t>
            </w:r>
          </w:p>
        </w:tc>
        <w:tc>
          <w:tcPr>
            <w:tcW w:w="500" w:type="pct"/>
          </w:tcPr>
          <w:p w14:paraId="1D6D77A3" w14:textId="77777777" w:rsidR="00D355D5" w:rsidRDefault="00D355D5" w:rsidP="00282204">
            <w:pPr>
              <w:pStyle w:val="TableHeader"/>
            </w:pPr>
            <w:r>
              <w:t>Files</w:t>
            </w:r>
          </w:p>
        </w:tc>
        <w:tc>
          <w:tcPr>
            <w:tcW w:w="500" w:type="pct"/>
          </w:tcPr>
          <w:p w14:paraId="0B936A61" w14:textId="77777777" w:rsidR="00D355D5" w:rsidRDefault="00D355D5" w:rsidP="00282204">
            <w:pPr>
              <w:pStyle w:val="TableHeader"/>
            </w:pPr>
            <w:r>
              <w:t>References</w:t>
            </w:r>
          </w:p>
        </w:tc>
      </w:tr>
      <w:tr w:rsidR="00D355D5" w14:paraId="2E43B34A"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03314A6C" w14:textId="77777777" w:rsidR="00D355D5" w:rsidRDefault="00D355D5" w:rsidP="00282204">
            <w:r>
              <w:t>Positive</w:t>
            </w:r>
          </w:p>
        </w:tc>
        <w:tc>
          <w:tcPr>
            <w:tcW w:w="2500" w:type="pct"/>
          </w:tcPr>
          <w:p w14:paraId="1500B5CD" w14:textId="77777777" w:rsidR="00D355D5" w:rsidRPr="00255AD7" w:rsidRDefault="00D355D5" w:rsidP="00282204">
            <w:pPr>
              <w:spacing w:line="240" w:lineRule="auto"/>
              <w:jc w:val="both"/>
              <w:rPr>
                <w:rFonts w:hAnsiTheme="minorHAnsi" w:cstheme="minorHAnsi"/>
                <w:lang w:val="en-GB" w:eastAsia="en-GB"/>
              </w:rPr>
            </w:pPr>
            <w:r w:rsidRPr="00255AD7">
              <w:rPr>
                <w:rFonts w:hAnsiTheme="minorHAnsi" w:cstheme="minorHAnsi"/>
                <w:lang w:val="en-GB" w:eastAsia="en-GB"/>
              </w:rPr>
              <w:t>‘The patient considers the pharmacist as a doctor, and we see this more often in retail community pharmacies. Patients go to community pharmacists to explain their condition and seek treatment. The role of the pharmacist is big and not simple.’N1</w:t>
            </w:r>
          </w:p>
          <w:p w14:paraId="574B4587" w14:textId="77777777" w:rsidR="00D355D5" w:rsidRPr="0022403F" w:rsidRDefault="00D355D5" w:rsidP="00282204">
            <w:pPr>
              <w:spacing w:line="240" w:lineRule="auto"/>
              <w:jc w:val="both"/>
              <w:rPr>
                <w:rFonts w:cstheme="minorHAnsi"/>
                <w:sz w:val="24"/>
                <w:szCs w:val="24"/>
                <w:lang w:val="en-GB" w:eastAsia="en-GB"/>
              </w:rPr>
            </w:pPr>
            <w:r w:rsidRPr="00255AD7">
              <w:rPr>
                <w:rFonts w:hAnsiTheme="minorHAnsi" w:cstheme="minorHAnsi"/>
                <w:lang w:val="en-GB" w:eastAsia="en-GB"/>
              </w:rPr>
              <w:t>For me, the community is more aware of the pharmacist's role than the health staff. They do. When people get sick, many of them go to the pharmacy? What does it mean? This indicates that people have utilised the pharmacist's role and understood their (pharmacists) roles in patient care. they trust the pharmacist. There are people who do not go to the doctor for treatment; They go to the pharmacist. Previously, it was normal (a common practice) to get antibiotics from community retail pharmacies. People go to the pharmacy and are treated by pharmacists and received their treatment; this is from real experiences from my family, those around us and PHC consumers who come to us and say I went to a pharmacist who gave me this remedy, and I benefited from it after I came to you and it did not benefit of you. N2</w:t>
            </w:r>
          </w:p>
        </w:tc>
        <w:tc>
          <w:tcPr>
            <w:tcW w:w="500" w:type="pct"/>
          </w:tcPr>
          <w:p w14:paraId="7DB72488" w14:textId="77777777" w:rsidR="00D355D5" w:rsidRDefault="00D355D5" w:rsidP="00282204">
            <w:pPr>
              <w:pStyle w:val="RightAlign"/>
            </w:pPr>
            <w:r>
              <w:t>2</w:t>
            </w:r>
          </w:p>
        </w:tc>
        <w:tc>
          <w:tcPr>
            <w:tcW w:w="500" w:type="pct"/>
          </w:tcPr>
          <w:p w14:paraId="76016319" w14:textId="77777777" w:rsidR="00D355D5" w:rsidRDefault="00D355D5" w:rsidP="00282204">
            <w:pPr>
              <w:pStyle w:val="RightAlign"/>
            </w:pPr>
            <w:r>
              <w:t>2</w:t>
            </w:r>
          </w:p>
        </w:tc>
      </w:tr>
      <w:tr w:rsidR="00D355D5" w14:paraId="6DBA897A"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7641E570" w14:textId="77777777" w:rsidR="00D355D5" w:rsidRDefault="00D355D5" w:rsidP="00282204">
            <w:r>
              <w:t xml:space="preserve">Negative </w:t>
            </w:r>
          </w:p>
        </w:tc>
        <w:tc>
          <w:tcPr>
            <w:tcW w:w="2500" w:type="pct"/>
          </w:tcPr>
          <w:p w14:paraId="590BE56F" w14:textId="77777777" w:rsidR="00D355D5" w:rsidRPr="0022403F" w:rsidRDefault="00D355D5" w:rsidP="00282204">
            <w:pPr>
              <w:spacing w:line="360" w:lineRule="auto"/>
              <w:jc w:val="both"/>
              <w:rPr>
                <w:rFonts w:cstheme="minorHAnsi"/>
                <w:sz w:val="24"/>
                <w:szCs w:val="24"/>
                <w:lang w:val="en-GB" w:eastAsia="en-GB"/>
              </w:rPr>
            </w:pPr>
          </w:p>
        </w:tc>
        <w:tc>
          <w:tcPr>
            <w:tcW w:w="500" w:type="pct"/>
          </w:tcPr>
          <w:p w14:paraId="386DB4F5" w14:textId="77777777" w:rsidR="00D355D5" w:rsidRDefault="00D355D5" w:rsidP="00282204">
            <w:pPr>
              <w:pStyle w:val="RightAlign"/>
            </w:pPr>
          </w:p>
        </w:tc>
        <w:tc>
          <w:tcPr>
            <w:tcW w:w="500" w:type="pct"/>
          </w:tcPr>
          <w:p w14:paraId="63C3E87A" w14:textId="77777777" w:rsidR="00D355D5" w:rsidRDefault="00D355D5" w:rsidP="00282204">
            <w:pPr>
              <w:pStyle w:val="RightAlign"/>
            </w:pPr>
          </w:p>
        </w:tc>
      </w:tr>
      <w:tr w:rsidR="00D355D5" w14:paraId="36B07BE7"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28390283" w14:textId="77777777" w:rsidR="00D355D5" w:rsidRDefault="00D355D5" w:rsidP="00282204">
            <w:r>
              <w:t xml:space="preserve">Negative viewed toward retail community pharmacies </w:t>
            </w:r>
          </w:p>
          <w:p w14:paraId="2E22125D" w14:textId="77777777" w:rsidR="00D355D5" w:rsidRDefault="00D355D5" w:rsidP="00282204">
            <w:r>
              <w:t>Poor Practice</w:t>
            </w:r>
          </w:p>
          <w:p w14:paraId="6C274B28" w14:textId="77777777" w:rsidR="00D355D5" w:rsidRDefault="00D355D5" w:rsidP="00282204">
            <w:r>
              <w:t xml:space="preserve">Lack of patient education </w:t>
            </w:r>
          </w:p>
          <w:p w14:paraId="3A7B2169" w14:textId="77777777" w:rsidR="00D355D5" w:rsidRDefault="00D355D5" w:rsidP="00282204"/>
        </w:tc>
        <w:tc>
          <w:tcPr>
            <w:tcW w:w="2500" w:type="pct"/>
          </w:tcPr>
          <w:p w14:paraId="20BD97EE"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This change has affected patients, especially chronic disease patients, including diabetics, by not knowing their medications. Patients are not given instructions to take medicine and the importance of being regular in taking it; unfortunately, all of these things are not currently available to them.</w:t>
            </w:r>
            <w:r>
              <w:rPr>
                <w:rFonts w:hAnsiTheme="minorHAnsi" w:cstheme="minorHAnsi"/>
                <w:lang w:val="en-GB" w:eastAsia="en-GB"/>
              </w:rPr>
              <w:t xml:space="preserve"> </w:t>
            </w:r>
            <w:r w:rsidRPr="003E3224">
              <w:rPr>
                <w:rFonts w:hAnsiTheme="minorHAnsi" w:cstheme="minorHAnsi"/>
                <w:lang w:val="en-GB" w:eastAsia="en-GB"/>
              </w:rPr>
              <w:t>N2</w:t>
            </w:r>
          </w:p>
          <w:p w14:paraId="247A56AF" w14:textId="77777777" w:rsidR="00D355D5"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I used to get more right before, but now I don't get the pharmacist role at all in PHCs. I currently receive my medications from retail community pharmacies, as I get them from a grocery store; that will be even better if you buy them.N2</w:t>
            </w:r>
          </w:p>
          <w:p w14:paraId="045C4D85" w14:textId="77777777" w:rsidR="00D355D5"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Unfortunately, they (pharmacists in the retail community pharmacy) give patients their medicines without written instructions; Nothing is written on them.N2</w:t>
            </w:r>
          </w:p>
          <w:p w14:paraId="6416A7E7"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they have also limited role in the education regarding drug drug interaction and sometimes they miss even writing up in the medication, there is no written instruction on the medication, there's no label so lot of issues regarding the pharmacy (there is no labelling of the medication), a lot of issues regarding the community pharmacy I think. D2</w:t>
            </w:r>
          </w:p>
          <w:p w14:paraId="543438C9"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Do pharmacists working in retail community pharmacy provide medication education to patients?</w:t>
            </w:r>
          </w:p>
          <w:p w14:paraId="72735820"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No, no no, with all due respect to them, no.Ph3</w:t>
            </w:r>
          </w:p>
          <w:p w14:paraId="4E08AD0C"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They practice only as dispensing pharmacists; they dispense prescriptions without knowing the patient's diagnosis or any other patient's health condition. They dispense medications without any instructions on how to use the medicines as they are not labelled, and no education is provided to the patients Ph1</w:t>
            </w:r>
          </w:p>
          <w:p w14:paraId="3DE39514"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 xml:space="preserve">His job seems to be limited to handing out to patients their medications. Ph1 </w:t>
            </w:r>
          </w:p>
          <w:p w14:paraId="5EDAF36F"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Closure of pharmacies from PHCs definitely has negative impacts on patient care because patients used to receive their medicines from the pharmacist with clear instructions about each medication while now, they go to obtain their medications from retail community pharmacies as if they were buying shampoo or soap. There is no patient education at all about their medication, and there is not even a medication label on medication packages. Ph1</w:t>
            </w:r>
          </w:p>
          <w:p w14:paraId="10B9DAFE"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Pharmacists in external pharmacies (community pharmacies) are just dispensers. Sometimes or most of the time, they give the medication to the patient without any instructions written on it, even how to use it. This is the patient's right; how to use the medication: the label is preferable to be printed in Arabic and English, especially since it is from the community pharmacy. But this does not exist</w:t>
            </w:r>
            <w:r>
              <w:rPr>
                <w:rFonts w:hAnsiTheme="minorHAnsi" w:cstheme="minorHAnsi"/>
                <w:lang w:val="en-GB" w:eastAsia="en-GB"/>
              </w:rPr>
              <w:t>…</w:t>
            </w:r>
          </w:p>
        </w:tc>
        <w:tc>
          <w:tcPr>
            <w:tcW w:w="500" w:type="pct"/>
          </w:tcPr>
          <w:p w14:paraId="45130ACE" w14:textId="77777777" w:rsidR="00D355D5" w:rsidRDefault="00D355D5" w:rsidP="00282204">
            <w:pPr>
              <w:pStyle w:val="RightAlign"/>
            </w:pPr>
            <w:r>
              <w:t>5</w:t>
            </w:r>
          </w:p>
        </w:tc>
        <w:tc>
          <w:tcPr>
            <w:tcW w:w="500" w:type="pct"/>
          </w:tcPr>
          <w:p w14:paraId="06925416" w14:textId="77777777" w:rsidR="00D355D5" w:rsidRDefault="00D355D5" w:rsidP="00282204">
            <w:pPr>
              <w:pStyle w:val="RightAlign"/>
            </w:pPr>
            <w:r>
              <w:t>9</w:t>
            </w:r>
          </w:p>
        </w:tc>
      </w:tr>
      <w:tr w:rsidR="00D355D5" w14:paraId="4C0F4F1B"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2B8E1154" w14:textId="77777777" w:rsidR="00D355D5" w:rsidRDefault="00D355D5" w:rsidP="00282204">
            <w:r>
              <w:t xml:space="preserve">Bad experience with a retail community pharmacy </w:t>
            </w:r>
          </w:p>
        </w:tc>
        <w:tc>
          <w:tcPr>
            <w:tcW w:w="2500" w:type="pct"/>
          </w:tcPr>
          <w:p w14:paraId="043B9724" w14:textId="77777777" w:rsidR="00D355D5"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We always face patient complaints daily by returning to the health centre after taking medication from external pharmacies; outside the centre (retail community pharmacy). They do not alert patients. For example, when changing companies, these things happen constantly; companies change almost monthly. Previously, the pharmacist was in the centre…the pharmacist alerted patients by explaining that these pills are the same treatment as you from the previous month, but the company is different. Currently, these matters are not provided to patients, and through my personal experience, I am a patient with chronic diseases; when I go to the retail community pharmacy to receive my medications, the pharmacist gives me the treatment, as if I were buying grocery items, exactly doesn't act like a pharmacist; not once did he give me instructions regarding my treatment, let alone the elderly who go to them to receive their medicines.N2</w:t>
            </w:r>
          </w:p>
          <w:p w14:paraId="7D21E876"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 xml:space="preserve">I </w:t>
            </w:r>
            <w:r>
              <w:rPr>
                <w:rFonts w:hAnsiTheme="minorHAnsi" w:cstheme="minorHAnsi"/>
                <w:lang w:val="en-GB" w:eastAsia="en-GB"/>
              </w:rPr>
              <w:t xml:space="preserve">went to retail pharmacy to </w:t>
            </w:r>
            <w:r w:rsidRPr="003E3224">
              <w:rPr>
                <w:rFonts w:hAnsiTheme="minorHAnsi" w:cstheme="minorHAnsi"/>
                <w:lang w:val="en-GB" w:eastAsia="en-GB"/>
              </w:rPr>
              <w:t>dispense my mother's medicines</w:t>
            </w:r>
            <w:r>
              <w:rPr>
                <w:rFonts w:hAnsiTheme="minorHAnsi" w:cstheme="minorHAnsi"/>
                <w:lang w:val="en-GB" w:eastAsia="en-GB"/>
              </w:rPr>
              <w:t>. I</w:t>
            </w:r>
            <w:r w:rsidRPr="003E3224">
              <w:rPr>
                <w:rFonts w:hAnsiTheme="minorHAnsi" w:cstheme="minorHAnsi"/>
                <w:lang w:val="en-GB" w:eastAsia="en-GB"/>
              </w:rPr>
              <w:t xml:space="preserve"> get the medicine without any written instructions on it and mention it to them: Why don't you write on the medication! Even though I am a pharmacist and I know what medicines are and how they are used, I have the e-prescription, and it shows how to take them. But I demand patients' rights and pay attention to that indirectly by saying why you don't write the instructions on the medications. The pharmacist told me that the</w:t>
            </w:r>
            <w:r>
              <w:rPr>
                <w:rFonts w:hAnsiTheme="minorHAnsi" w:cstheme="minorHAnsi"/>
                <w:lang w:val="en-GB" w:eastAsia="en-GB"/>
              </w:rPr>
              <w:t xml:space="preserve"> </w:t>
            </w:r>
            <w:r w:rsidRPr="003E3224">
              <w:rPr>
                <w:rFonts w:hAnsiTheme="minorHAnsi" w:cstheme="minorHAnsi"/>
                <w:lang w:val="en-GB" w:eastAsia="en-GB"/>
              </w:rPr>
              <w:t>machine that prints the labels is broken. Of course, this response is absurd.</w:t>
            </w:r>
            <w:r>
              <w:rPr>
                <w:rFonts w:hAnsiTheme="minorHAnsi" w:cstheme="minorHAnsi"/>
                <w:lang w:val="en-GB" w:eastAsia="en-GB"/>
              </w:rPr>
              <w:t xml:space="preserve"> </w:t>
            </w:r>
            <w:r w:rsidRPr="003E3224">
              <w:rPr>
                <w:rFonts w:hAnsiTheme="minorHAnsi" w:cstheme="minorHAnsi"/>
                <w:lang w:val="en-GB" w:eastAsia="en-GB"/>
              </w:rPr>
              <w:t>Ph3</w:t>
            </w:r>
          </w:p>
        </w:tc>
        <w:tc>
          <w:tcPr>
            <w:tcW w:w="500" w:type="pct"/>
          </w:tcPr>
          <w:p w14:paraId="18DFF367" w14:textId="77777777" w:rsidR="00D355D5" w:rsidRDefault="00D355D5" w:rsidP="00282204">
            <w:pPr>
              <w:pStyle w:val="RightAlign"/>
            </w:pPr>
            <w:r>
              <w:t>2</w:t>
            </w:r>
          </w:p>
        </w:tc>
        <w:tc>
          <w:tcPr>
            <w:tcW w:w="500" w:type="pct"/>
          </w:tcPr>
          <w:p w14:paraId="628965B2" w14:textId="77777777" w:rsidR="00D355D5" w:rsidRDefault="00D355D5" w:rsidP="00282204">
            <w:pPr>
              <w:pStyle w:val="RightAlign"/>
            </w:pPr>
            <w:r>
              <w:t>2</w:t>
            </w:r>
          </w:p>
        </w:tc>
      </w:tr>
      <w:tr w:rsidR="00D355D5" w14:paraId="08E2DCB3"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025A98CD" w14:textId="77777777" w:rsidR="00D355D5" w:rsidRDefault="00D355D5" w:rsidP="00282204">
            <w:r>
              <w:t xml:space="preserve">Issue related to patient safety </w:t>
            </w:r>
          </w:p>
        </w:tc>
        <w:tc>
          <w:tcPr>
            <w:tcW w:w="2500" w:type="pct"/>
          </w:tcPr>
          <w:p w14:paraId="68A4A9B7"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patient sending a photo of the same medication they said we have shortage of this and this, Ok this is just a duplicate why you are sending the two, he said I received from the pharmacist. You know we have a community pharmacy now, which is outside the PHC so we don’t know which brand will be dispensed to patient sometimes D2</w:t>
            </w:r>
          </w:p>
          <w:p w14:paraId="100FC8FF"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But now, most of the patients I see are taking their treatments (medications) completely wrong because prescription dispensing is indirect. The pharmacy was inside the primary health care centre, so prescriptions are dispensed directly, face to face, but now who goes to the pharmacy, as I told you, one of the patient's relatives, father, son, brother or daughter, and brings the medicines, so the information about taking the treatment may arrive incorrect to the patient. And patients sometimes take their treatments completely wrong. Now there is no direct contact between the pharmacist and the patient. N3</w:t>
            </w:r>
          </w:p>
          <w:p w14:paraId="489E9E40"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We have noted that the patient might have double doses of medicine because this medicine is sometimes dispensed to the patient from different companies without any notification from the dispenser (community pharmacist).  Suppose the patient has the remaining medication from this month and goes in the next month to dispense the Rx; the community pharmacist may dispense another brand of that medication (from another company). In this case, the patient may take a double dose of the medication due to different brands.Ph1</w:t>
            </w:r>
          </w:p>
          <w:p w14:paraId="0829DF43"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The biggest problem for the patient's health is doubling the doses and the reason I mentioned earlier. The other problem is dispensing the alternatives. And this could be a big problem for those on Insulins. For example, if the patient is taking insulin from a specific company and if this is not available, the alternative is given to him without informing the prescriber (doctor) or patient about it. The patient may take what he has from the previous medication plus the alternative one without knowing!Ph1</w:t>
            </w:r>
          </w:p>
          <w:p w14:paraId="4966B0EE"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As a result of the lack of connection as well as communication between these two health settings, we sometimes see that a doctor may mistakenly write a medication for a patient in the prescription, and the community pharmacist dispenses it.’ N1</w:t>
            </w:r>
          </w:p>
        </w:tc>
        <w:tc>
          <w:tcPr>
            <w:tcW w:w="500" w:type="pct"/>
          </w:tcPr>
          <w:p w14:paraId="039E7F05" w14:textId="77777777" w:rsidR="00D355D5" w:rsidRDefault="00D355D5" w:rsidP="00282204">
            <w:pPr>
              <w:pStyle w:val="RightAlign"/>
            </w:pPr>
            <w:r>
              <w:t>4</w:t>
            </w:r>
          </w:p>
        </w:tc>
        <w:tc>
          <w:tcPr>
            <w:tcW w:w="500" w:type="pct"/>
          </w:tcPr>
          <w:p w14:paraId="727B8D26" w14:textId="77777777" w:rsidR="00D355D5" w:rsidRDefault="00D355D5" w:rsidP="00282204">
            <w:pPr>
              <w:pStyle w:val="RightAlign"/>
            </w:pPr>
            <w:r>
              <w:t>5</w:t>
            </w:r>
          </w:p>
        </w:tc>
      </w:tr>
      <w:tr w:rsidR="00D355D5" w14:paraId="0CF57306"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0239761B" w14:textId="77777777" w:rsidR="00D355D5" w:rsidRDefault="00D355D5" w:rsidP="00282204">
            <w:r>
              <w:t>Lack of communication between HCP</w:t>
            </w:r>
          </w:p>
        </w:tc>
        <w:tc>
          <w:tcPr>
            <w:tcW w:w="2500" w:type="pct"/>
          </w:tcPr>
          <w:p w14:paraId="71748A53"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Currently there is no clear pathway although there is a contact number is appearing in the profile of physician prescribing, but they are not calling I haven't received any calls from the community pharmacy D2</w:t>
            </w:r>
          </w:p>
          <w:p w14:paraId="1EEB8BEA"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In addition, there is no contact with the prescriber (doctor)</w:t>
            </w:r>
            <w:r>
              <w:rPr>
                <w:rFonts w:hAnsiTheme="minorHAnsi" w:cstheme="minorHAnsi"/>
                <w:lang w:val="en-GB" w:eastAsia="en-GB"/>
              </w:rPr>
              <w:t xml:space="preserve"> </w:t>
            </w:r>
            <w:r w:rsidRPr="003E3224">
              <w:rPr>
                <w:rFonts w:hAnsiTheme="minorHAnsi" w:cstheme="minorHAnsi"/>
                <w:lang w:val="en-GB" w:eastAsia="en-GB"/>
              </w:rPr>
              <w:t>Ph1</w:t>
            </w:r>
          </w:p>
          <w:p w14:paraId="4D6360DB"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the alternative is given to him without informing the prescriber (doctor) or patient about itPh1</w:t>
            </w:r>
          </w:p>
          <w:p w14:paraId="78878B05"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As a result of the lack of connection as well as communication between these two health settings, we sometimes see that a doctor may mistakenly write a medication for a patient in the prescription, and the community pharmacist dispenses it.’ N1</w:t>
            </w:r>
          </w:p>
          <w:p w14:paraId="02ED3A61" w14:textId="77777777" w:rsidR="00D355D5" w:rsidRPr="003E3224"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‘Now there is no communication or feedback from community pharmacists. Some patients come back to us and ask: why have you changed my medication? When referring to the doctor’s prescription, the doctor wrote the same name as the requested medication, but we do not know the reasons for the change. There is no communication and no feedback to the doctor from community pharmacists.’N1</w:t>
            </w:r>
          </w:p>
        </w:tc>
        <w:tc>
          <w:tcPr>
            <w:tcW w:w="500" w:type="pct"/>
          </w:tcPr>
          <w:p w14:paraId="61E53C94" w14:textId="77777777" w:rsidR="00D355D5" w:rsidRDefault="00D355D5" w:rsidP="00282204">
            <w:pPr>
              <w:pStyle w:val="RightAlign"/>
            </w:pPr>
            <w:r>
              <w:t>3</w:t>
            </w:r>
          </w:p>
        </w:tc>
        <w:tc>
          <w:tcPr>
            <w:tcW w:w="500" w:type="pct"/>
          </w:tcPr>
          <w:p w14:paraId="3251F374" w14:textId="77777777" w:rsidR="00D355D5" w:rsidRDefault="00D355D5" w:rsidP="00282204">
            <w:pPr>
              <w:pStyle w:val="RightAlign"/>
            </w:pPr>
            <w:r>
              <w:t>5</w:t>
            </w:r>
          </w:p>
        </w:tc>
      </w:tr>
      <w:tr w:rsidR="00D355D5" w14:paraId="125BE1DC"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3F4A6467" w14:textId="77777777" w:rsidR="00D355D5" w:rsidRDefault="00D355D5" w:rsidP="00282204">
            <w:r>
              <w:t>Recommendation to improve the practice</w:t>
            </w:r>
          </w:p>
        </w:tc>
        <w:tc>
          <w:tcPr>
            <w:tcW w:w="2500" w:type="pct"/>
          </w:tcPr>
          <w:p w14:paraId="23FA983D" w14:textId="77777777" w:rsidR="00D355D5" w:rsidRDefault="00D355D5" w:rsidP="00282204">
            <w:pPr>
              <w:spacing w:line="240" w:lineRule="auto"/>
              <w:jc w:val="both"/>
              <w:rPr>
                <w:rFonts w:hAnsiTheme="minorHAnsi" w:cstheme="minorHAnsi"/>
                <w:lang w:val="en-GB" w:eastAsia="en-GB"/>
              </w:rPr>
            </w:pPr>
            <w:r w:rsidRPr="003E3224">
              <w:rPr>
                <w:rFonts w:hAnsiTheme="minorHAnsi" w:cstheme="minorHAnsi"/>
                <w:lang w:val="en-GB" w:eastAsia="en-GB"/>
              </w:rPr>
              <w:t>I hope qualified pharmacists will be assigned to community pharmacies to take care of patients, especially patients with chronic diseases.Ph1</w:t>
            </w:r>
          </w:p>
          <w:p w14:paraId="5FAF2750" w14:textId="77777777" w:rsidR="00D355D5" w:rsidRPr="003E3224" w:rsidRDefault="00D355D5" w:rsidP="00282204">
            <w:pPr>
              <w:spacing w:line="240" w:lineRule="auto"/>
              <w:jc w:val="both"/>
              <w:rPr>
                <w:rFonts w:hAnsiTheme="minorHAnsi" w:cstheme="minorHAnsi"/>
                <w:lang w:val="en-GB" w:eastAsia="en-GB"/>
              </w:rPr>
            </w:pPr>
            <w:r w:rsidRPr="009E43DF">
              <w:t>at least there is oversight of pharmacy practice in community pharmacies Ph1</w:t>
            </w:r>
          </w:p>
        </w:tc>
        <w:tc>
          <w:tcPr>
            <w:tcW w:w="500" w:type="pct"/>
          </w:tcPr>
          <w:p w14:paraId="5D840905" w14:textId="77777777" w:rsidR="00D355D5" w:rsidRDefault="00D355D5" w:rsidP="00282204">
            <w:pPr>
              <w:pStyle w:val="RightAlign"/>
            </w:pPr>
            <w:r>
              <w:t>1</w:t>
            </w:r>
          </w:p>
        </w:tc>
        <w:tc>
          <w:tcPr>
            <w:tcW w:w="500" w:type="pct"/>
          </w:tcPr>
          <w:p w14:paraId="2D5AE04E" w14:textId="77777777" w:rsidR="00D355D5" w:rsidRDefault="00D355D5" w:rsidP="00282204">
            <w:pPr>
              <w:pStyle w:val="RightAlign"/>
            </w:pPr>
            <w:r>
              <w:t>2</w:t>
            </w:r>
          </w:p>
        </w:tc>
      </w:tr>
    </w:tbl>
    <w:p w14:paraId="69F4805F" w14:textId="77777777" w:rsidR="00D355D5" w:rsidRDefault="00D355D5" w:rsidP="00D355D5"/>
    <w:p w14:paraId="63EDB957" w14:textId="77777777" w:rsidR="00D355D5" w:rsidRDefault="00D355D5" w:rsidP="00D355D5">
      <w:r>
        <w:t>Codes\\Pharmaceutical Care</w:t>
      </w:r>
    </w:p>
    <w:tbl>
      <w:tblPr>
        <w:tblStyle w:val="NodesTable"/>
        <w:tblW w:w="4998" w:type="pct"/>
        <w:tblInd w:w="5" w:type="dxa"/>
        <w:tblLook w:val="0420" w:firstRow="1" w:lastRow="0" w:firstColumn="0" w:lastColumn="0" w:noHBand="0" w:noVBand="1"/>
      </w:tblPr>
      <w:tblGrid>
        <w:gridCol w:w="2745"/>
        <w:gridCol w:w="4617"/>
        <w:gridCol w:w="876"/>
        <w:gridCol w:w="1113"/>
      </w:tblGrid>
      <w:tr w:rsidR="00D355D5" w14:paraId="78724BA1"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31EC2FF9" w14:textId="77777777" w:rsidR="00D355D5" w:rsidRDefault="00D355D5" w:rsidP="00282204">
            <w:pPr>
              <w:pStyle w:val="TableHeader"/>
            </w:pPr>
            <w:r>
              <w:t>Name</w:t>
            </w:r>
          </w:p>
        </w:tc>
        <w:tc>
          <w:tcPr>
            <w:tcW w:w="2500" w:type="pct"/>
          </w:tcPr>
          <w:p w14:paraId="4CF9367A" w14:textId="77777777" w:rsidR="00D355D5" w:rsidRDefault="00D355D5" w:rsidP="00282204">
            <w:pPr>
              <w:pStyle w:val="TableHeader"/>
            </w:pPr>
            <w:r>
              <w:t>Description</w:t>
            </w:r>
          </w:p>
        </w:tc>
        <w:tc>
          <w:tcPr>
            <w:tcW w:w="500" w:type="pct"/>
          </w:tcPr>
          <w:p w14:paraId="0FABCA0E" w14:textId="77777777" w:rsidR="00D355D5" w:rsidRDefault="00D355D5" w:rsidP="00282204">
            <w:pPr>
              <w:pStyle w:val="TableHeader"/>
            </w:pPr>
            <w:r>
              <w:t>Files</w:t>
            </w:r>
          </w:p>
        </w:tc>
        <w:tc>
          <w:tcPr>
            <w:tcW w:w="500" w:type="pct"/>
          </w:tcPr>
          <w:p w14:paraId="4C73257F" w14:textId="77777777" w:rsidR="00D355D5" w:rsidRDefault="00D355D5" w:rsidP="00282204">
            <w:pPr>
              <w:pStyle w:val="TableHeader"/>
            </w:pPr>
            <w:r>
              <w:t>References</w:t>
            </w:r>
          </w:p>
        </w:tc>
      </w:tr>
      <w:tr w:rsidR="00D355D5" w14:paraId="4DEBEF86"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53CC5F2A" w14:textId="77777777" w:rsidR="00D355D5" w:rsidRPr="00E929CB" w:rsidRDefault="00D355D5" w:rsidP="00282204">
            <w:pPr>
              <w:spacing w:line="240" w:lineRule="auto"/>
              <w:jc w:val="both"/>
              <w:rPr>
                <w:rFonts w:hAnsiTheme="minorHAnsi" w:cstheme="minorHAnsi"/>
              </w:rPr>
            </w:pPr>
            <w:r w:rsidRPr="00E929CB">
              <w:rPr>
                <w:rFonts w:hAnsiTheme="minorHAnsi" w:cstheme="minorHAnsi"/>
              </w:rPr>
              <w:t xml:space="preserve">Lack of documentation of pharmacists’ intervention/ contribution </w:t>
            </w:r>
          </w:p>
        </w:tc>
        <w:tc>
          <w:tcPr>
            <w:tcW w:w="2500" w:type="pct"/>
          </w:tcPr>
          <w:p w14:paraId="626BBBE0" w14:textId="77777777" w:rsidR="00D355D5" w:rsidRPr="00E929CB" w:rsidRDefault="00D355D5" w:rsidP="00282204">
            <w:pPr>
              <w:spacing w:line="240" w:lineRule="auto"/>
              <w:jc w:val="both"/>
              <w:rPr>
                <w:rFonts w:hAnsiTheme="minorHAnsi" w:cstheme="minorHAnsi"/>
                <w:lang w:val="en-GB" w:eastAsia="en-GB"/>
              </w:rPr>
            </w:pPr>
            <w:r w:rsidRPr="00E929CB">
              <w:rPr>
                <w:rFonts w:hAnsiTheme="minorHAnsi" w:cstheme="minorHAnsi"/>
                <w:lang w:val="en-GB" w:eastAsia="en-GB"/>
              </w:rPr>
              <w:t>However, nothing is written about the involvement of pharmacists in the treatment plan for each newly diagnosed patient.Ph2</w:t>
            </w:r>
          </w:p>
          <w:p w14:paraId="5A13769C" w14:textId="77777777" w:rsidR="00D355D5" w:rsidRPr="00E929CB" w:rsidRDefault="00D355D5" w:rsidP="00282204">
            <w:pPr>
              <w:spacing w:line="240" w:lineRule="auto"/>
              <w:jc w:val="both"/>
              <w:rPr>
                <w:rFonts w:hAnsiTheme="minorHAnsi" w:cstheme="minorHAnsi"/>
              </w:rPr>
            </w:pPr>
            <w:r w:rsidRPr="00E929CB">
              <w:rPr>
                <w:rFonts w:hAnsiTheme="minorHAnsi" w:cstheme="minorHAnsi"/>
              </w:rPr>
              <w:t xml:space="preserve">Every patient with a chronic condition has a medication file. We used to do it manually. There was one file called the patients' medication file. It included the names of patients with chronic diseases and their medications in doses and quantities they need each month. This was a paper file then converted into an electronic file from the supplier, in which only the medications taken by the chronic patient are mentioned in doses and quantities. </w:t>
            </w:r>
            <w:r w:rsidRPr="00E929CB">
              <w:rPr>
                <w:rFonts w:hAnsiTheme="minorHAnsi" w:cstheme="minorHAnsi"/>
                <w:b/>
                <w:bCs/>
              </w:rPr>
              <w:t>But the other services I provide as a pharmacist to the patient are all verbally</w:t>
            </w:r>
            <w:r w:rsidRPr="00E929CB">
              <w:rPr>
                <w:rFonts w:hAnsiTheme="minorHAnsi" w:cstheme="minorHAnsi"/>
              </w:rPr>
              <w:t>.Ph3</w:t>
            </w:r>
          </w:p>
          <w:p w14:paraId="37BA30A3" w14:textId="77777777" w:rsidR="00D355D5" w:rsidRPr="00E929CB" w:rsidRDefault="00D355D5" w:rsidP="00282204">
            <w:pPr>
              <w:spacing w:line="240" w:lineRule="auto"/>
              <w:jc w:val="both"/>
              <w:rPr>
                <w:rFonts w:hAnsiTheme="minorHAnsi" w:cstheme="minorHAnsi"/>
              </w:rPr>
            </w:pPr>
            <w:r w:rsidRPr="00E929CB">
              <w:rPr>
                <w:rFonts w:hAnsiTheme="minorHAnsi" w:cstheme="minorHAnsi"/>
              </w:rPr>
              <w:t>There is no documentation of this (medication review), and this may be discovered by chance when the patient mentions that he visited a hospital/clinic X and received treatment from them, and so on.</w:t>
            </w:r>
          </w:p>
        </w:tc>
        <w:tc>
          <w:tcPr>
            <w:tcW w:w="500" w:type="pct"/>
          </w:tcPr>
          <w:p w14:paraId="7CE8C19E" w14:textId="77777777" w:rsidR="00D355D5" w:rsidRDefault="00D355D5" w:rsidP="00282204">
            <w:pPr>
              <w:pStyle w:val="RightAlign"/>
              <w:spacing w:line="240" w:lineRule="auto"/>
              <w:jc w:val="both"/>
            </w:pPr>
          </w:p>
        </w:tc>
        <w:tc>
          <w:tcPr>
            <w:tcW w:w="500" w:type="pct"/>
          </w:tcPr>
          <w:p w14:paraId="0858B387" w14:textId="77777777" w:rsidR="00D355D5" w:rsidRDefault="00D355D5" w:rsidP="00282204">
            <w:pPr>
              <w:pStyle w:val="RightAlign"/>
              <w:spacing w:line="240" w:lineRule="auto"/>
              <w:jc w:val="both"/>
            </w:pPr>
          </w:p>
        </w:tc>
      </w:tr>
      <w:tr w:rsidR="00D355D5" w14:paraId="3CD36E82" w14:textId="77777777" w:rsidTr="00282204">
        <w:trPr>
          <w:cnfStyle w:val="000000010000" w:firstRow="0" w:lastRow="0" w:firstColumn="0" w:lastColumn="0" w:oddVBand="0" w:evenVBand="0" w:oddHBand="0" w:evenHBand="1" w:firstRowFirstColumn="0" w:firstRowLastColumn="0" w:lastRowFirstColumn="0" w:lastRowLastColumn="0"/>
        </w:trPr>
        <w:tc>
          <w:tcPr>
            <w:tcW w:w="1500" w:type="pct"/>
          </w:tcPr>
          <w:p w14:paraId="6F50CB55" w14:textId="77777777" w:rsidR="00D355D5" w:rsidRPr="00E929CB" w:rsidRDefault="00D355D5" w:rsidP="00282204">
            <w:pPr>
              <w:spacing w:line="240" w:lineRule="auto"/>
              <w:jc w:val="both"/>
            </w:pPr>
            <w:r w:rsidRPr="00E929CB">
              <w:t xml:space="preserve">Communicating with patients </w:t>
            </w:r>
          </w:p>
        </w:tc>
        <w:tc>
          <w:tcPr>
            <w:tcW w:w="2500" w:type="pct"/>
          </w:tcPr>
          <w:p w14:paraId="09956C0D" w14:textId="77777777" w:rsidR="00D355D5" w:rsidRPr="00E929CB" w:rsidRDefault="00D355D5" w:rsidP="00282204">
            <w:pPr>
              <w:spacing w:line="240" w:lineRule="auto"/>
              <w:jc w:val="both"/>
              <w:rPr>
                <w:rFonts w:ascii="Gill Sans MT" w:hAnsi="Gill Sans MT"/>
                <w:lang w:val="en-GB" w:eastAsia="en-GB"/>
              </w:rPr>
            </w:pPr>
            <w:r w:rsidRPr="00E929CB">
              <w:rPr>
                <w:rFonts w:cstheme="minorHAnsi"/>
              </w:rPr>
              <w:t>When the patient talks with the pharmacist, this improves his understanding of the treatment and affects his taking the treatment correctly, so the effectiveness of the treatment is more.</w:t>
            </w:r>
          </w:p>
        </w:tc>
        <w:tc>
          <w:tcPr>
            <w:tcW w:w="500" w:type="pct"/>
          </w:tcPr>
          <w:p w14:paraId="445EDF0D" w14:textId="77777777" w:rsidR="00D355D5" w:rsidRDefault="00D355D5" w:rsidP="00282204">
            <w:pPr>
              <w:pStyle w:val="RightAlign"/>
              <w:spacing w:line="240" w:lineRule="auto"/>
              <w:jc w:val="both"/>
            </w:pPr>
          </w:p>
        </w:tc>
        <w:tc>
          <w:tcPr>
            <w:tcW w:w="500" w:type="pct"/>
          </w:tcPr>
          <w:p w14:paraId="069FD5A2" w14:textId="77777777" w:rsidR="00D355D5" w:rsidRDefault="00D355D5" w:rsidP="00282204">
            <w:pPr>
              <w:pStyle w:val="RightAlign"/>
              <w:spacing w:line="240" w:lineRule="auto"/>
              <w:jc w:val="both"/>
            </w:pPr>
          </w:p>
        </w:tc>
      </w:tr>
    </w:tbl>
    <w:p w14:paraId="16435615" w14:textId="77777777" w:rsidR="00D355D5" w:rsidRDefault="00D355D5" w:rsidP="00D355D5">
      <w:r>
        <w:t xml:space="preserve">Codes\\PHC services to diabetes care </w:t>
      </w:r>
    </w:p>
    <w:tbl>
      <w:tblPr>
        <w:tblStyle w:val="NodesTable"/>
        <w:tblW w:w="5000" w:type="pct"/>
        <w:tblInd w:w="0" w:type="dxa"/>
        <w:tblLook w:val="0420" w:firstRow="1" w:lastRow="0" w:firstColumn="0" w:lastColumn="0" w:noHBand="0" w:noVBand="1"/>
      </w:tblPr>
      <w:tblGrid>
        <w:gridCol w:w="2747"/>
        <w:gridCol w:w="4618"/>
        <w:gridCol w:w="877"/>
        <w:gridCol w:w="1113"/>
      </w:tblGrid>
      <w:tr w:rsidR="00D355D5" w14:paraId="4E0F5AFD" w14:textId="77777777" w:rsidTr="00282204">
        <w:trPr>
          <w:cnfStyle w:val="100000000000" w:firstRow="1" w:lastRow="0" w:firstColumn="0" w:lastColumn="0" w:oddVBand="0" w:evenVBand="0" w:oddHBand="0" w:evenHBand="0" w:firstRowFirstColumn="0" w:firstRowLastColumn="0" w:lastRowFirstColumn="0" w:lastRowLastColumn="0"/>
          <w:tblHeader/>
        </w:trPr>
        <w:tc>
          <w:tcPr>
            <w:tcW w:w="1500" w:type="pct"/>
          </w:tcPr>
          <w:p w14:paraId="304A29D7" w14:textId="77777777" w:rsidR="00D355D5" w:rsidRDefault="00D355D5" w:rsidP="00282204">
            <w:pPr>
              <w:pStyle w:val="TableHeader"/>
              <w:spacing w:line="240" w:lineRule="auto"/>
              <w:jc w:val="both"/>
            </w:pPr>
            <w:r>
              <w:t>Name</w:t>
            </w:r>
          </w:p>
        </w:tc>
        <w:tc>
          <w:tcPr>
            <w:tcW w:w="2500" w:type="pct"/>
          </w:tcPr>
          <w:p w14:paraId="2833D827" w14:textId="77777777" w:rsidR="00D355D5" w:rsidRDefault="00D355D5" w:rsidP="00282204">
            <w:pPr>
              <w:pStyle w:val="TableHeader"/>
              <w:spacing w:line="240" w:lineRule="auto"/>
              <w:jc w:val="both"/>
            </w:pPr>
            <w:r>
              <w:t>Description</w:t>
            </w:r>
          </w:p>
        </w:tc>
        <w:tc>
          <w:tcPr>
            <w:tcW w:w="500" w:type="pct"/>
          </w:tcPr>
          <w:p w14:paraId="67F808BD" w14:textId="77777777" w:rsidR="00D355D5" w:rsidRDefault="00D355D5" w:rsidP="00282204">
            <w:pPr>
              <w:pStyle w:val="TableHeader"/>
              <w:spacing w:line="240" w:lineRule="auto"/>
              <w:jc w:val="both"/>
            </w:pPr>
            <w:r>
              <w:t>Files</w:t>
            </w:r>
          </w:p>
        </w:tc>
        <w:tc>
          <w:tcPr>
            <w:tcW w:w="500" w:type="pct"/>
          </w:tcPr>
          <w:p w14:paraId="317419D2" w14:textId="77777777" w:rsidR="00D355D5" w:rsidRDefault="00D355D5" w:rsidP="00282204">
            <w:pPr>
              <w:pStyle w:val="TableHeader"/>
              <w:spacing w:line="240" w:lineRule="auto"/>
              <w:jc w:val="both"/>
            </w:pPr>
            <w:r>
              <w:t>References</w:t>
            </w:r>
          </w:p>
        </w:tc>
      </w:tr>
      <w:tr w:rsidR="00D355D5" w14:paraId="5B9B6492" w14:textId="77777777" w:rsidTr="00282204">
        <w:trPr>
          <w:cnfStyle w:val="000000100000" w:firstRow="0" w:lastRow="0" w:firstColumn="0" w:lastColumn="0" w:oddVBand="0" w:evenVBand="0" w:oddHBand="1" w:evenHBand="0" w:firstRowFirstColumn="0" w:firstRowLastColumn="0" w:lastRowFirstColumn="0" w:lastRowLastColumn="0"/>
        </w:trPr>
        <w:tc>
          <w:tcPr>
            <w:tcW w:w="1500" w:type="pct"/>
          </w:tcPr>
          <w:p w14:paraId="3E22839D" w14:textId="77777777" w:rsidR="00D355D5" w:rsidRDefault="00D355D5" w:rsidP="00282204">
            <w:pPr>
              <w:spacing w:line="240" w:lineRule="auto"/>
              <w:jc w:val="both"/>
            </w:pPr>
          </w:p>
        </w:tc>
        <w:tc>
          <w:tcPr>
            <w:tcW w:w="2500" w:type="pct"/>
          </w:tcPr>
          <w:p w14:paraId="4D1FE07F" w14:textId="77777777" w:rsidR="00D355D5" w:rsidRPr="00E929CB" w:rsidRDefault="00D355D5" w:rsidP="00282204">
            <w:pPr>
              <w:spacing w:line="240" w:lineRule="auto"/>
              <w:jc w:val="both"/>
              <w:rPr>
                <w:rFonts w:cstheme="minorHAnsi"/>
              </w:rPr>
            </w:pPr>
            <w:r w:rsidRPr="00E929CB">
              <w:rPr>
                <w:rFonts w:cstheme="minorHAnsi"/>
              </w:rPr>
              <w:t>Patients with chronic diseases such as diabetes are usually diagnosed by resident doctors working in a PHC. Then, the patient is referred to a specialist or consultant working in the hospital. Follow-up is done in the PHC. If the doctor in the PHC is a specialist or a consultant, the treatment and monitoring plan are provided by the PHC.</w:t>
            </w:r>
            <w:r>
              <w:rPr>
                <w:rFonts w:cstheme="minorHAnsi"/>
              </w:rPr>
              <w:t xml:space="preserve"> Ph3</w:t>
            </w:r>
          </w:p>
          <w:p w14:paraId="5AF44665" w14:textId="77777777" w:rsidR="00D355D5" w:rsidRPr="00E929CB" w:rsidRDefault="00D355D5" w:rsidP="00282204">
            <w:pPr>
              <w:spacing w:line="240" w:lineRule="auto"/>
              <w:jc w:val="both"/>
              <w:rPr>
                <w:rFonts w:cstheme="minorHAnsi"/>
              </w:rPr>
            </w:pPr>
            <w:r w:rsidRPr="00E929CB">
              <w:rPr>
                <w:rFonts w:cstheme="minorHAnsi"/>
              </w:rPr>
              <w:t>In the PHC, we sometimes do close monitoring by dispensing the treatment for a week, for example, and ask the patient to re-visit the centre to see if the medications have worked or any other issues.</w:t>
            </w:r>
            <w:r>
              <w:rPr>
                <w:rFonts w:cstheme="minorHAnsi"/>
              </w:rPr>
              <w:t xml:space="preserve"> Ph3</w:t>
            </w:r>
          </w:p>
          <w:p w14:paraId="683D7DDC" w14:textId="77777777" w:rsidR="00D355D5" w:rsidRPr="000B6A8A" w:rsidRDefault="00D355D5" w:rsidP="00282204">
            <w:pPr>
              <w:spacing w:line="240" w:lineRule="auto"/>
              <w:jc w:val="both"/>
              <w:rPr>
                <w:rFonts w:cstheme="minorHAnsi"/>
              </w:rPr>
            </w:pPr>
            <w:r w:rsidRPr="00E929CB">
              <w:rPr>
                <w:rFonts w:cstheme="minorHAnsi"/>
              </w:rPr>
              <w:t>The monitoring of patients' treatment plans in PHCs is provided by the attending physician.Ph3</w:t>
            </w:r>
          </w:p>
        </w:tc>
        <w:tc>
          <w:tcPr>
            <w:tcW w:w="500" w:type="pct"/>
          </w:tcPr>
          <w:p w14:paraId="1A1253B7" w14:textId="77777777" w:rsidR="00D355D5" w:rsidRDefault="00D355D5" w:rsidP="00282204">
            <w:pPr>
              <w:pStyle w:val="RightAlign"/>
              <w:spacing w:line="240" w:lineRule="auto"/>
              <w:jc w:val="both"/>
            </w:pPr>
            <w:r>
              <w:t>1</w:t>
            </w:r>
          </w:p>
        </w:tc>
        <w:tc>
          <w:tcPr>
            <w:tcW w:w="500" w:type="pct"/>
          </w:tcPr>
          <w:p w14:paraId="4C225172" w14:textId="77777777" w:rsidR="00D355D5" w:rsidRDefault="00D355D5" w:rsidP="00282204">
            <w:pPr>
              <w:pStyle w:val="RightAlign"/>
              <w:spacing w:line="240" w:lineRule="auto"/>
              <w:jc w:val="both"/>
            </w:pPr>
            <w:r>
              <w:t xml:space="preserve"> 3</w:t>
            </w:r>
          </w:p>
        </w:tc>
      </w:tr>
    </w:tbl>
    <w:p w14:paraId="736E0CED" w14:textId="77777777" w:rsidR="00D355D5" w:rsidRDefault="00D355D5" w:rsidP="00D355D5"/>
    <w:p w14:paraId="70B82BBC" w14:textId="77777777" w:rsidR="00D355D5" w:rsidRDefault="00D355D5" w:rsidP="00D355D5">
      <w:pPr>
        <w:spacing w:after="0" w:line="360" w:lineRule="auto"/>
        <w:jc w:val="both"/>
        <w:rPr>
          <w:rFonts w:asciiTheme="minorBidi" w:hAnsiTheme="minorBidi"/>
          <w:sz w:val="24"/>
          <w:szCs w:val="24"/>
        </w:rPr>
      </w:pPr>
    </w:p>
    <w:p w14:paraId="6472C833" w14:textId="77777777" w:rsidR="00D355D5" w:rsidRDefault="00D355D5" w:rsidP="00D355D5">
      <w:pPr>
        <w:spacing w:after="0" w:line="360" w:lineRule="auto"/>
        <w:jc w:val="both"/>
        <w:rPr>
          <w:rFonts w:asciiTheme="minorBidi" w:hAnsiTheme="minorBidi"/>
          <w:sz w:val="24"/>
          <w:szCs w:val="24"/>
        </w:rPr>
      </w:pPr>
    </w:p>
    <w:p w14:paraId="227744F0" w14:textId="77777777" w:rsidR="00D355D5" w:rsidRDefault="00D355D5" w:rsidP="00D355D5">
      <w:pPr>
        <w:spacing w:after="0" w:line="360" w:lineRule="auto"/>
        <w:jc w:val="both"/>
        <w:rPr>
          <w:rFonts w:asciiTheme="minorBidi" w:hAnsiTheme="minorBidi"/>
          <w:sz w:val="24"/>
          <w:szCs w:val="24"/>
        </w:rPr>
      </w:pPr>
    </w:p>
    <w:p w14:paraId="549C810E" w14:textId="77777777" w:rsidR="00D355D5" w:rsidRDefault="00D355D5" w:rsidP="00D355D5">
      <w:pPr>
        <w:spacing w:after="0" w:line="360" w:lineRule="auto"/>
        <w:jc w:val="both"/>
        <w:rPr>
          <w:rFonts w:asciiTheme="minorBidi" w:hAnsiTheme="minorBidi"/>
          <w:sz w:val="24"/>
          <w:szCs w:val="24"/>
        </w:rPr>
      </w:pPr>
    </w:p>
    <w:p w14:paraId="130FD612" w14:textId="77777777" w:rsidR="00D355D5" w:rsidRDefault="00D355D5" w:rsidP="00D355D5">
      <w:pPr>
        <w:spacing w:after="0" w:line="360" w:lineRule="auto"/>
        <w:jc w:val="both"/>
        <w:rPr>
          <w:rFonts w:asciiTheme="minorBidi" w:hAnsiTheme="minorBidi"/>
          <w:sz w:val="24"/>
          <w:szCs w:val="24"/>
        </w:rPr>
      </w:pPr>
    </w:p>
    <w:p w14:paraId="28294FAD" w14:textId="2C345311" w:rsidR="007130C0" w:rsidRDefault="007130C0">
      <w:pPr>
        <w:rPr>
          <w:rFonts w:asciiTheme="majorHAnsi" w:eastAsiaTheme="majorEastAsia" w:hAnsiTheme="majorHAnsi" w:cstheme="majorBidi"/>
          <w:color w:val="2F5496" w:themeColor="accent1" w:themeShade="BF"/>
          <w:sz w:val="32"/>
          <w:szCs w:val="32"/>
        </w:rPr>
      </w:pPr>
    </w:p>
    <w:p w14:paraId="41D4CBBF" w14:textId="346B639C" w:rsidR="00220E87" w:rsidRDefault="00060466" w:rsidP="00FB7677">
      <w:pPr>
        <w:pStyle w:val="Heading1"/>
        <w:rPr>
          <w:lang w:val="en-GB"/>
        </w:rPr>
      </w:pPr>
      <w:bookmarkStart w:id="445" w:name="_Toc148518781"/>
      <w:bookmarkStart w:id="446" w:name="_Ref149899427"/>
      <w:bookmarkStart w:id="447" w:name="_Toc150609788"/>
      <w:bookmarkStart w:id="448" w:name="_Toc153894245"/>
      <w:r>
        <w:rPr>
          <w:lang w:val="en-GB"/>
        </w:rPr>
        <w:t xml:space="preserve">Appendix </w:t>
      </w:r>
      <w:r w:rsidR="00472D1A">
        <w:rPr>
          <w:lang w:val="en-GB"/>
        </w:rPr>
        <w:t>R</w:t>
      </w:r>
      <w:r w:rsidR="00FB7677">
        <w:rPr>
          <w:lang w:val="en-GB"/>
        </w:rPr>
        <w:t xml:space="preserve">: Covid </w:t>
      </w:r>
      <w:r w:rsidR="009C415F">
        <w:rPr>
          <w:lang w:val="en-GB"/>
        </w:rPr>
        <w:t>impact form</w:t>
      </w:r>
      <w:bookmarkEnd w:id="445"/>
      <w:bookmarkEnd w:id="446"/>
      <w:bookmarkEnd w:id="447"/>
      <w:bookmarkEnd w:id="448"/>
      <w:r w:rsidR="009C415F">
        <w:rPr>
          <w:lang w:val="en-GB"/>
        </w:rPr>
        <w:t xml:space="preserve"> </w:t>
      </w:r>
    </w:p>
    <w:p w14:paraId="444B7C3F" w14:textId="77777777" w:rsidR="00733A08" w:rsidRPr="00733A08" w:rsidRDefault="00733A08" w:rsidP="00733A08">
      <w:pPr>
        <w:rPr>
          <w:lang w:val="en-GB"/>
        </w:rPr>
      </w:pPr>
    </w:p>
    <w:p w14:paraId="102263EF" w14:textId="77777777" w:rsidR="00E338F5" w:rsidRDefault="00E338F5" w:rsidP="00E338F5">
      <w:pPr>
        <w:jc w:val="center"/>
        <w:rPr>
          <w:b/>
          <w:bCs/>
        </w:rPr>
      </w:pPr>
      <w:r w:rsidRPr="001839C9">
        <w:rPr>
          <w:b/>
          <w:bCs/>
        </w:rPr>
        <w:t>THE UNIVERSITY OF SHEFFIELD</w:t>
      </w:r>
      <w:r>
        <w:rPr>
          <w:b/>
          <w:bCs/>
        </w:rPr>
        <w:t xml:space="preserve">: </w:t>
      </w:r>
      <w:r w:rsidRPr="001839C9">
        <w:rPr>
          <w:b/>
          <w:bCs/>
        </w:rPr>
        <w:t xml:space="preserve">COVID-19 </w:t>
      </w:r>
      <w:r>
        <w:rPr>
          <w:b/>
          <w:bCs/>
        </w:rPr>
        <w:t>IMPACT</w:t>
      </w:r>
      <w:r w:rsidRPr="001839C9">
        <w:rPr>
          <w:b/>
          <w:bCs/>
        </w:rPr>
        <w:t xml:space="preserve"> FORM</w:t>
      </w:r>
    </w:p>
    <w:p w14:paraId="1260844B" w14:textId="77777777" w:rsidR="00E338F5" w:rsidRPr="009933AF" w:rsidRDefault="00E338F5" w:rsidP="00E338F5">
      <w:pPr>
        <w:jc w:val="center"/>
        <w:rPr>
          <w:rFonts w:ascii="TUOS Blake" w:hAnsi="TUOS Blake"/>
        </w:rPr>
      </w:pPr>
      <w:r w:rsidRPr="009933AF">
        <w:rPr>
          <w:rFonts w:ascii="TUOS Blake" w:hAnsi="TUOS Blake"/>
        </w:rPr>
        <w:t>This form is not compulsory but is intended to be a helpful note to examiners. You may submit this form alongside (not in) your thesis. The purpose of the form is to detail how your thesis has been impacted by the Covid-19 disruption.</w:t>
      </w:r>
    </w:p>
    <w:tbl>
      <w:tblPr>
        <w:tblStyle w:val="TableGrid"/>
        <w:tblW w:w="0" w:type="auto"/>
        <w:tblLook w:val="04A0" w:firstRow="1" w:lastRow="0" w:firstColumn="1" w:lastColumn="0" w:noHBand="0" w:noVBand="1"/>
      </w:tblPr>
      <w:tblGrid>
        <w:gridCol w:w="4537"/>
        <w:gridCol w:w="4479"/>
      </w:tblGrid>
      <w:tr w:rsidR="00E338F5" w14:paraId="2F11D836" w14:textId="77777777" w:rsidTr="00282204">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BFFB21" w14:textId="77777777" w:rsidR="00E338F5" w:rsidRDefault="00E338F5" w:rsidP="00282204">
            <w:r>
              <w:rPr>
                <w:b/>
              </w:rPr>
              <w:t>STUDENT’S DETAILS</w:t>
            </w:r>
          </w:p>
        </w:tc>
      </w:tr>
      <w:tr w:rsidR="00E338F5" w14:paraId="7828B54C" w14:textId="77777777" w:rsidTr="00282204">
        <w:tc>
          <w:tcPr>
            <w:tcW w:w="4537" w:type="dxa"/>
            <w:tcBorders>
              <w:top w:val="single" w:sz="4" w:space="0" w:color="auto"/>
              <w:left w:val="single" w:sz="4" w:space="0" w:color="auto"/>
              <w:bottom w:val="single" w:sz="4" w:space="0" w:color="auto"/>
              <w:right w:val="single" w:sz="4" w:space="0" w:color="auto"/>
            </w:tcBorders>
            <w:hideMark/>
          </w:tcPr>
          <w:p w14:paraId="5AA0646F" w14:textId="77777777" w:rsidR="00E338F5" w:rsidRDefault="00E338F5" w:rsidP="00282204">
            <w:pPr>
              <w:spacing w:after="120"/>
            </w:pPr>
            <w:r>
              <w:t xml:space="preserve">Name: </w:t>
            </w:r>
            <w:r w:rsidRPr="00692C24">
              <w:t>Narjis Al Shurafa</w:t>
            </w:r>
          </w:p>
          <w:p w14:paraId="5639E7D7" w14:textId="77777777" w:rsidR="00E338F5" w:rsidRDefault="00E338F5" w:rsidP="00282204">
            <w:pPr>
              <w:spacing w:after="120"/>
            </w:pPr>
          </w:p>
        </w:tc>
        <w:tc>
          <w:tcPr>
            <w:tcW w:w="4479" w:type="dxa"/>
            <w:tcBorders>
              <w:top w:val="single" w:sz="4" w:space="0" w:color="auto"/>
              <w:left w:val="single" w:sz="4" w:space="0" w:color="auto"/>
              <w:bottom w:val="single" w:sz="4" w:space="0" w:color="auto"/>
              <w:right w:val="single" w:sz="4" w:space="0" w:color="auto"/>
            </w:tcBorders>
            <w:hideMark/>
          </w:tcPr>
          <w:p w14:paraId="06800411" w14:textId="77777777" w:rsidR="00E338F5" w:rsidRDefault="00E338F5" w:rsidP="00282204">
            <w:pPr>
              <w:spacing w:after="120"/>
            </w:pPr>
            <w:r>
              <w:t>Registration Number: 180280205</w:t>
            </w:r>
          </w:p>
        </w:tc>
      </w:tr>
      <w:tr w:rsidR="00E338F5" w14:paraId="1C09AD29" w14:textId="77777777" w:rsidTr="00282204">
        <w:tc>
          <w:tcPr>
            <w:tcW w:w="4537" w:type="dxa"/>
            <w:tcBorders>
              <w:top w:val="single" w:sz="4" w:space="0" w:color="auto"/>
              <w:left w:val="single" w:sz="4" w:space="0" w:color="auto"/>
              <w:bottom w:val="single" w:sz="4" w:space="0" w:color="auto"/>
              <w:right w:val="single" w:sz="4" w:space="0" w:color="auto"/>
            </w:tcBorders>
            <w:hideMark/>
          </w:tcPr>
          <w:p w14:paraId="4CC01C7F" w14:textId="77777777" w:rsidR="00E338F5" w:rsidRPr="008F32A0" w:rsidRDefault="00E338F5" w:rsidP="00282204">
            <w:pPr>
              <w:spacing w:after="120"/>
            </w:pPr>
            <w:r w:rsidRPr="008F32A0">
              <w:t>Department: School of Health and Related Research</w:t>
            </w:r>
          </w:p>
          <w:p w14:paraId="0111FF98" w14:textId="77777777" w:rsidR="00E338F5" w:rsidRDefault="00E338F5" w:rsidP="00282204">
            <w:pPr>
              <w:spacing w:after="120"/>
            </w:pPr>
          </w:p>
        </w:tc>
        <w:tc>
          <w:tcPr>
            <w:tcW w:w="4479" w:type="dxa"/>
            <w:tcBorders>
              <w:top w:val="single" w:sz="4" w:space="0" w:color="auto"/>
              <w:left w:val="single" w:sz="4" w:space="0" w:color="auto"/>
              <w:bottom w:val="single" w:sz="4" w:space="0" w:color="auto"/>
              <w:right w:val="single" w:sz="4" w:space="0" w:color="auto"/>
            </w:tcBorders>
            <w:hideMark/>
          </w:tcPr>
          <w:p w14:paraId="2A871A53" w14:textId="77777777" w:rsidR="00E338F5" w:rsidRDefault="00E338F5" w:rsidP="00282204">
            <w:pPr>
              <w:spacing w:after="120"/>
            </w:pPr>
            <w:r>
              <w:t xml:space="preserve">Faculty: </w:t>
            </w:r>
            <w:r w:rsidRPr="008F32A0">
              <w:t>Faculty of Medicine and Dentistry and Health</w:t>
            </w:r>
          </w:p>
        </w:tc>
      </w:tr>
      <w:tr w:rsidR="00E338F5" w14:paraId="79090319" w14:textId="77777777" w:rsidTr="00282204">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A44B60E" w14:textId="77777777" w:rsidR="00E338F5" w:rsidRPr="00CD28C0" w:rsidRDefault="00E338F5" w:rsidP="00282204">
            <w:pPr>
              <w:rPr>
                <w:b/>
                <w:bCs/>
              </w:rPr>
            </w:pPr>
            <w:r w:rsidRPr="00CD28C0">
              <w:rPr>
                <w:b/>
                <w:bCs/>
              </w:rPr>
              <w:t>Please provide a brief summary of the work you were planning to complete before covid-19 restrictions were implemented (max 300 words)</w:t>
            </w:r>
          </w:p>
        </w:tc>
      </w:tr>
      <w:tr w:rsidR="00E338F5" w14:paraId="16E1DFF0" w14:textId="77777777" w:rsidTr="00282204">
        <w:tc>
          <w:tcPr>
            <w:tcW w:w="9016" w:type="dxa"/>
            <w:gridSpan w:val="2"/>
            <w:tcBorders>
              <w:top w:val="single" w:sz="4" w:space="0" w:color="auto"/>
              <w:left w:val="single" w:sz="4" w:space="0" w:color="auto"/>
              <w:bottom w:val="single" w:sz="4" w:space="0" w:color="auto"/>
              <w:right w:val="single" w:sz="4" w:space="0" w:color="auto"/>
            </w:tcBorders>
          </w:tcPr>
          <w:p w14:paraId="69C8CDAA" w14:textId="77777777" w:rsidR="00E338F5" w:rsidRDefault="00E338F5" w:rsidP="00282204">
            <w:pPr>
              <w:spacing w:after="160" w:line="276" w:lineRule="auto"/>
              <w:jc w:val="both"/>
              <w:rPr>
                <w:bCs/>
              </w:rPr>
            </w:pPr>
            <w:r>
              <w:rPr>
                <w:bCs/>
              </w:rPr>
              <w:t xml:space="preserve">Due to the Covid-19 pandemic, it was slightly challenging to collect data, as the study targeted primary healthcare providers (doctors, pharmacists, and nurses) in Saudi Arabia. Since the data collection period for the first phase (online survey) was at the peak of the pandemic (March to June 2021), participants' engagement was minimal. Therefore, we needed to slightly adjust the methods to approach the target population. </w:t>
            </w:r>
            <w:r w:rsidRPr="00CB2E13">
              <w:rPr>
                <w:bCs/>
              </w:rPr>
              <w:t xml:space="preserve">An amendment form was submitted to the university and the Ministry of Health of Saudi Arabia, and </w:t>
            </w:r>
            <w:r w:rsidRPr="00AA72E0">
              <w:rPr>
                <w:bCs/>
              </w:rPr>
              <w:t>obtaining t</w:t>
            </w:r>
            <w:r w:rsidRPr="00CB2E13">
              <w:rPr>
                <w:bCs/>
              </w:rPr>
              <w:t>heir approval</w:t>
            </w:r>
            <w:r>
              <w:rPr>
                <w:bCs/>
              </w:rPr>
              <w:t>s</w:t>
            </w:r>
            <w:r w:rsidRPr="00CB2E13">
              <w:rPr>
                <w:bCs/>
              </w:rPr>
              <w:t xml:space="preserve"> took some time.</w:t>
            </w:r>
            <w:r>
              <w:rPr>
                <w:bCs/>
              </w:rPr>
              <w:t xml:space="preserve"> </w:t>
            </w:r>
          </w:p>
          <w:p w14:paraId="5786EF10" w14:textId="77777777" w:rsidR="00E338F5" w:rsidRDefault="00E338F5" w:rsidP="00282204">
            <w:pPr>
              <w:spacing w:after="160" w:line="276" w:lineRule="auto"/>
              <w:jc w:val="both"/>
              <w:rPr>
                <w:bCs/>
              </w:rPr>
            </w:pPr>
            <w:r w:rsidRPr="00CC69A5">
              <w:rPr>
                <w:bCs/>
              </w:rPr>
              <w:t xml:space="preserve">The data collection for the second phase was proposed to be face-to-face interviews with the participants at their workplace. </w:t>
            </w:r>
            <w:r w:rsidRPr="00AA72E0">
              <w:rPr>
                <w:bCs/>
              </w:rPr>
              <w:t xml:space="preserve">However, due to </w:t>
            </w:r>
            <w:r w:rsidRPr="00CC69A5">
              <w:rPr>
                <w:bCs/>
              </w:rPr>
              <w:t xml:space="preserve">the COVID-19 </w:t>
            </w:r>
            <w:r>
              <w:rPr>
                <w:bCs/>
              </w:rPr>
              <w:t>restrictions</w:t>
            </w:r>
            <w:r w:rsidRPr="00CC69A5">
              <w:rPr>
                <w:bCs/>
              </w:rPr>
              <w:t xml:space="preserve">, </w:t>
            </w:r>
            <w:r>
              <w:rPr>
                <w:bCs/>
              </w:rPr>
              <w:t>in-person</w:t>
            </w:r>
            <w:r w:rsidRPr="00CC69A5">
              <w:rPr>
                <w:bCs/>
              </w:rPr>
              <w:t xml:space="preserve"> interviews were conducted remotely via Google meet in accordance with the University of Sheffield</w:t>
            </w:r>
            <w:r>
              <w:rPr>
                <w:bCs/>
                <w:color w:val="FF0000"/>
              </w:rPr>
              <w:t xml:space="preserve"> </w:t>
            </w:r>
            <w:r w:rsidRPr="00AA72E0">
              <w:rPr>
                <w:bCs/>
              </w:rPr>
              <w:t>policy</w:t>
            </w:r>
            <w:r w:rsidRPr="00CC69A5">
              <w:rPr>
                <w:bCs/>
              </w:rPr>
              <w:t>.</w:t>
            </w:r>
          </w:p>
          <w:p w14:paraId="6E8E1FC3" w14:textId="77777777" w:rsidR="00E338F5" w:rsidRDefault="00E338F5" w:rsidP="00282204">
            <w:pPr>
              <w:spacing w:after="160" w:line="276" w:lineRule="auto"/>
              <w:jc w:val="both"/>
              <w:rPr>
                <w:bCs/>
              </w:rPr>
            </w:pPr>
            <w:r w:rsidRPr="00AA72E0">
              <w:rPr>
                <w:bCs/>
              </w:rPr>
              <w:t xml:space="preserve">Video calls via Google meet were </w:t>
            </w:r>
            <w:r>
              <w:rPr>
                <w:bCs/>
              </w:rPr>
              <w:t>considered</w:t>
            </w:r>
            <w:r w:rsidRPr="00AA72E0">
              <w:rPr>
                <w:bCs/>
              </w:rPr>
              <w:t xml:space="preserve"> to be an alternative method to conduct</w:t>
            </w:r>
            <w:r>
              <w:rPr>
                <w:bCs/>
              </w:rPr>
              <w:t xml:space="preserve"> one-to-one</w:t>
            </w:r>
            <w:r w:rsidRPr="00AA72E0">
              <w:rPr>
                <w:bCs/>
              </w:rPr>
              <w:t>.</w:t>
            </w:r>
            <w:r w:rsidRPr="00CC69A5">
              <w:rPr>
                <w:bCs/>
              </w:rPr>
              <w:t xml:space="preserve"> </w:t>
            </w:r>
            <w:r>
              <w:rPr>
                <w:bCs/>
              </w:rPr>
              <w:t>However, i</w:t>
            </w:r>
            <w:r w:rsidRPr="00AA72E0">
              <w:rPr>
                <w:bCs/>
              </w:rPr>
              <w:t>t was noted that some participants preferred to attend the remote interviews with their camera off especially female participants explained by Saudi society being conservative. This made it difficult to establish a rapport and appreciate the non-verbal communication perspective of the interview.</w:t>
            </w:r>
            <w:r>
              <w:rPr>
                <w:bCs/>
              </w:rPr>
              <w:t xml:space="preserve">  </w:t>
            </w:r>
          </w:p>
          <w:p w14:paraId="5D656BB5" w14:textId="77777777" w:rsidR="00E338F5" w:rsidRPr="00AA72E0" w:rsidRDefault="00E338F5" w:rsidP="00282204">
            <w:pPr>
              <w:spacing w:after="160" w:line="276" w:lineRule="auto"/>
              <w:jc w:val="both"/>
              <w:rPr>
                <w:bCs/>
                <w:strike/>
              </w:rPr>
            </w:pPr>
            <w:r w:rsidRPr="00CC69A5">
              <w:rPr>
                <w:bCs/>
              </w:rPr>
              <w:t xml:space="preserve">I </w:t>
            </w:r>
            <w:r w:rsidRPr="00AA72E0">
              <w:rPr>
                <w:bCs/>
              </w:rPr>
              <w:t xml:space="preserve">do </w:t>
            </w:r>
            <w:r w:rsidRPr="00CC69A5">
              <w:rPr>
                <w:bCs/>
              </w:rPr>
              <w:t xml:space="preserve">believe </w:t>
            </w:r>
            <w:r w:rsidRPr="00AA72E0">
              <w:rPr>
                <w:bCs/>
              </w:rPr>
              <w:t xml:space="preserve">that remote interviews negatively impacted </w:t>
            </w:r>
            <w:r w:rsidRPr="00CC69A5">
              <w:rPr>
                <w:bCs/>
              </w:rPr>
              <w:t xml:space="preserve">the number of participants at this stage. </w:t>
            </w:r>
          </w:p>
        </w:tc>
      </w:tr>
      <w:tr w:rsidR="00E338F5" w14:paraId="526C5D80" w14:textId="77777777" w:rsidTr="00282204">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58C437" w14:textId="77777777" w:rsidR="00E338F5" w:rsidRPr="00CD28C0" w:rsidRDefault="00E338F5" w:rsidP="00282204">
            <w:pPr>
              <w:rPr>
                <w:b/>
                <w:bCs/>
              </w:rPr>
            </w:pPr>
            <w:r w:rsidRPr="009933AF">
              <w:rPr>
                <w:b/>
                <w:bCs/>
              </w:rPr>
              <w:t>Please provide a summary of plans for specific studies you were intending to conduct in the future (see note 1) (max 300 words)</w:t>
            </w:r>
          </w:p>
        </w:tc>
      </w:tr>
      <w:tr w:rsidR="00E338F5" w14:paraId="5C3D2072" w14:textId="77777777" w:rsidTr="00282204">
        <w:tc>
          <w:tcPr>
            <w:tcW w:w="9016" w:type="dxa"/>
            <w:gridSpan w:val="2"/>
            <w:tcBorders>
              <w:top w:val="single" w:sz="4" w:space="0" w:color="auto"/>
              <w:left w:val="single" w:sz="4" w:space="0" w:color="auto"/>
              <w:bottom w:val="single" w:sz="4" w:space="0" w:color="auto"/>
              <w:right w:val="single" w:sz="4" w:space="0" w:color="auto"/>
            </w:tcBorders>
          </w:tcPr>
          <w:p w14:paraId="224BEA84" w14:textId="77777777" w:rsidR="00E338F5" w:rsidRPr="00846716" w:rsidRDefault="00E338F5" w:rsidP="00282204">
            <w:pPr>
              <w:rPr>
                <w:bCs/>
              </w:rPr>
            </w:pPr>
            <w:r w:rsidRPr="00846716">
              <w:rPr>
                <w:rFonts w:ascii="TUOS Blake" w:hAnsi="TUOS Blake"/>
                <w:bCs/>
              </w:rPr>
              <w:t xml:space="preserve">My ambition is to publish my study to have an opportunity to contribute to our healthcare system. One of my goals was to publish parts of my thesis before the submission deadline and before the VIVA, but due to the COVID-19 pandemic, </w:t>
            </w:r>
            <w:r>
              <w:rPr>
                <w:rFonts w:ascii="TUOS Blake" w:hAnsi="TUOS Blake"/>
                <w:bCs/>
              </w:rPr>
              <w:t>i</w:t>
            </w:r>
            <w:r w:rsidRPr="00846716">
              <w:rPr>
                <w:rFonts w:ascii="TUOS Blake" w:hAnsi="TUOS Blake"/>
                <w:bCs/>
              </w:rPr>
              <w:t>t was challenging to reach my goal. I was working on the first paper for publication but could not submit it to the journal due to unfortunate circumstances. The supervisors then advised me to focus on writing the thesis to improve the quality of my study.</w:t>
            </w:r>
            <w:r w:rsidRPr="00846716">
              <w:rPr>
                <w:rFonts w:ascii="TUOS Blake" w:hAnsi="TUOS Blake"/>
                <w:bCs/>
              </w:rPr>
              <w:br/>
              <w:t>I believe publication is a gateway that would aid my future career progression competent and innovative scholarship practitioner, researcher, educator, administrator and leader in healthcare services to improve health systems at the national and international levels.</w:t>
            </w:r>
          </w:p>
          <w:p w14:paraId="55709CD3" w14:textId="77777777" w:rsidR="00E338F5" w:rsidRDefault="00E338F5" w:rsidP="00282204"/>
        </w:tc>
      </w:tr>
      <w:tr w:rsidR="00E338F5" w14:paraId="52EEE3B5" w14:textId="77777777" w:rsidTr="00282204">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128E6E" w14:textId="77777777" w:rsidR="00E338F5" w:rsidRPr="00CD28C0" w:rsidRDefault="00E338F5" w:rsidP="00282204">
            <w:pPr>
              <w:rPr>
                <w:b/>
                <w:bCs/>
              </w:rPr>
            </w:pPr>
            <w:r>
              <w:rPr>
                <w:b/>
                <w:bCs/>
              </w:rPr>
              <w:t>Where relevant</w:t>
            </w:r>
            <w:r w:rsidRPr="00CD28C0">
              <w:rPr>
                <w:b/>
                <w:bCs/>
              </w:rPr>
              <w:t>, please provide details of changes to your personal circumstances</w:t>
            </w:r>
            <w:r>
              <w:rPr>
                <w:b/>
                <w:bCs/>
              </w:rPr>
              <w:t xml:space="preserve"> (see note 2) (max 150 words)</w:t>
            </w:r>
          </w:p>
        </w:tc>
      </w:tr>
      <w:tr w:rsidR="00E338F5" w14:paraId="60E893E4" w14:textId="77777777" w:rsidTr="00282204">
        <w:tc>
          <w:tcPr>
            <w:tcW w:w="9016" w:type="dxa"/>
            <w:gridSpan w:val="2"/>
            <w:tcBorders>
              <w:top w:val="single" w:sz="4" w:space="0" w:color="auto"/>
              <w:left w:val="single" w:sz="4" w:space="0" w:color="auto"/>
              <w:bottom w:val="single" w:sz="4" w:space="0" w:color="auto"/>
              <w:right w:val="single" w:sz="4" w:space="0" w:color="auto"/>
            </w:tcBorders>
          </w:tcPr>
          <w:p w14:paraId="31A2771D" w14:textId="77777777" w:rsidR="00E338F5" w:rsidRPr="00AA72E0" w:rsidRDefault="00E338F5" w:rsidP="00282204">
            <w:pPr>
              <w:tabs>
                <w:tab w:val="left" w:pos="7150"/>
              </w:tabs>
              <w:jc w:val="both"/>
            </w:pPr>
            <w:r w:rsidRPr="00AA72E0">
              <w:t xml:space="preserve">COVID-19 pandemic has also influenced my personal life and made the responsibility of looking after my children greater </w:t>
            </w:r>
            <w:r>
              <w:t>because of the</w:t>
            </w:r>
            <w:r w:rsidRPr="00AA72E0">
              <w:t xml:space="preserve"> closure of schools. This </w:t>
            </w:r>
            <w:r>
              <w:t>might have impacted</w:t>
            </w:r>
            <w:r w:rsidRPr="00AA72E0">
              <w:t xml:space="preserve"> </w:t>
            </w:r>
            <w:r>
              <w:t xml:space="preserve">on my performance </w:t>
            </w:r>
            <w:r w:rsidRPr="00AA72E0">
              <w:t>and working in an efficient manner.</w:t>
            </w:r>
            <w:r>
              <w:t xml:space="preserve"> </w:t>
            </w:r>
          </w:p>
          <w:p w14:paraId="40C05DA4" w14:textId="77777777" w:rsidR="00E338F5" w:rsidRPr="004B3D2B" w:rsidRDefault="00E338F5" w:rsidP="00282204">
            <w:pPr>
              <w:jc w:val="both"/>
            </w:pPr>
            <w:r w:rsidRPr="004B3D2B">
              <w:t xml:space="preserve">During March of 2022, I had to return to Saudi Arabia to look after my mother and act as her carer following invasive surgery. </w:t>
            </w:r>
          </w:p>
          <w:p w14:paraId="2ED528B5" w14:textId="77777777" w:rsidR="00E338F5" w:rsidRDefault="00E338F5" w:rsidP="00282204">
            <w:pPr>
              <w:jc w:val="both"/>
            </w:pPr>
            <w:r w:rsidRPr="004B3D2B">
              <w:t xml:space="preserve">I also struggled with online learning as I do believe that I tend to learn more in face-to-face sessions. </w:t>
            </w:r>
            <w:r>
              <w:t xml:space="preserve">Due to the lockdown, there was no </w:t>
            </w:r>
            <w:r w:rsidRPr="004B3D2B">
              <w:t>opportun</w:t>
            </w:r>
            <w:r>
              <w:t>ity</w:t>
            </w:r>
            <w:r w:rsidRPr="004B3D2B">
              <w:t xml:space="preserve"> to engage in activities </w:t>
            </w:r>
            <w:r>
              <w:t>to</w:t>
            </w:r>
            <w:r w:rsidRPr="004B3D2B">
              <w:t xml:space="preserve"> improve my communication skills</w:t>
            </w:r>
            <w:r>
              <w:t>;</w:t>
            </w:r>
            <w:r w:rsidRPr="004B3D2B">
              <w:t xml:space="preserve"> given that English is not my first language. However, </w:t>
            </w:r>
            <w:r>
              <w:t xml:space="preserve">I was </w:t>
            </w:r>
            <w:r w:rsidRPr="004B3D2B">
              <w:t>determined to work on that aspect</w:t>
            </w:r>
            <w:r>
              <w:t>.</w:t>
            </w:r>
            <w:r w:rsidRPr="004B3D2B">
              <w:t xml:space="preserve"> </w:t>
            </w:r>
            <w:r>
              <w:t>Therefore,</w:t>
            </w:r>
            <w:r w:rsidRPr="004B3D2B">
              <w:t xml:space="preserve"> </w:t>
            </w:r>
            <w:r>
              <w:t xml:space="preserve">once the training courses resumed on the campus, I </w:t>
            </w:r>
            <w:r w:rsidRPr="004B3D2B">
              <w:t>sign</w:t>
            </w:r>
            <w:r>
              <w:t>ed</w:t>
            </w:r>
            <w:r w:rsidRPr="004B3D2B">
              <w:t xml:space="preserve"> for multiple courses to </w:t>
            </w:r>
            <w:r>
              <w:t xml:space="preserve">enhance my speaking skills and </w:t>
            </w:r>
            <w:r w:rsidRPr="004B3D2B">
              <w:t xml:space="preserve">prepare myself for the VIVA. </w:t>
            </w:r>
          </w:p>
          <w:p w14:paraId="42877036" w14:textId="77777777" w:rsidR="00E338F5" w:rsidRPr="00AC5DBB" w:rsidRDefault="00E338F5" w:rsidP="00282204">
            <w:pPr>
              <w:jc w:val="both"/>
              <w:rPr>
                <w:color w:val="FF0000"/>
              </w:rPr>
            </w:pPr>
          </w:p>
        </w:tc>
      </w:tr>
      <w:tr w:rsidR="00E338F5" w14:paraId="7330D486" w14:textId="77777777" w:rsidTr="00282204">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7E8E95" w14:textId="77777777" w:rsidR="00E338F5" w:rsidRPr="00CD28C0" w:rsidRDefault="00E338F5" w:rsidP="00282204">
            <w:pPr>
              <w:rPr>
                <w:b/>
                <w:bCs/>
              </w:rPr>
            </w:pPr>
            <w:r w:rsidRPr="00CD28C0">
              <w:rPr>
                <w:b/>
                <w:bCs/>
              </w:rPr>
              <w:t xml:space="preserve">If your thesis includes </w:t>
            </w:r>
            <w:r>
              <w:rPr>
                <w:b/>
                <w:bCs/>
              </w:rPr>
              <w:t>C</w:t>
            </w:r>
            <w:r w:rsidRPr="00CD28C0">
              <w:rPr>
                <w:b/>
                <w:bCs/>
              </w:rPr>
              <w:t>ovid-related research, please include a brief statement of how it relates to your overall research aims</w:t>
            </w:r>
            <w:r>
              <w:rPr>
                <w:b/>
                <w:bCs/>
              </w:rPr>
              <w:t xml:space="preserve"> (see note 3) (max 150 words)</w:t>
            </w:r>
          </w:p>
        </w:tc>
      </w:tr>
      <w:tr w:rsidR="00E338F5" w14:paraId="2C1D6A9B" w14:textId="77777777" w:rsidTr="00282204">
        <w:tc>
          <w:tcPr>
            <w:tcW w:w="9016" w:type="dxa"/>
            <w:gridSpan w:val="2"/>
            <w:tcBorders>
              <w:top w:val="single" w:sz="4" w:space="0" w:color="auto"/>
              <w:left w:val="single" w:sz="4" w:space="0" w:color="auto"/>
              <w:bottom w:val="single" w:sz="4" w:space="0" w:color="auto"/>
              <w:right w:val="single" w:sz="4" w:space="0" w:color="auto"/>
            </w:tcBorders>
          </w:tcPr>
          <w:p w14:paraId="33561630" w14:textId="77777777" w:rsidR="00E338F5" w:rsidRDefault="00E338F5" w:rsidP="00282204"/>
          <w:p w14:paraId="089DEC82" w14:textId="77777777" w:rsidR="00E338F5" w:rsidRDefault="00E338F5" w:rsidP="00282204">
            <w:r>
              <w:t>NA</w:t>
            </w:r>
          </w:p>
          <w:p w14:paraId="2D86EC21" w14:textId="77777777" w:rsidR="00E338F5" w:rsidRDefault="00E338F5" w:rsidP="00282204"/>
        </w:tc>
      </w:tr>
      <w:tr w:rsidR="00E338F5" w14:paraId="423264F8" w14:textId="77777777" w:rsidTr="00282204">
        <w:tc>
          <w:tcPr>
            <w:tcW w:w="901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8F941F" w14:textId="77777777" w:rsidR="00E338F5" w:rsidRPr="00CD28C0" w:rsidRDefault="00E338F5" w:rsidP="00282204">
            <w:pPr>
              <w:rPr>
                <w:b/>
                <w:bCs/>
              </w:rPr>
            </w:pPr>
            <w:r w:rsidRPr="00CD28C0">
              <w:rPr>
                <w:b/>
                <w:bCs/>
              </w:rPr>
              <w:t xml:space="preserve">Please provide details of any previous funded extension, tuition-free extension or non-medical </w:t>
            </w:r>
            <w:r>
              <w:rPr>
                <w:b/>
                <w:bCs/>
              </w:rPr>
              <w:t>C</w:t>
            </w:r>
            <w:r w:rsidRPr="00CD28C0">
              <w:rPr>
                <w:b/>
                <w:bCs/>
              </w:rPr>
              <w:t xml:space="preserve">ovid-related leave of absence approved since </w:t>
            </w:r>
            <w:r>
              <w:rPr>
                <w:b/>
                <w:bCs/>
              </w:rPr>
              <w:t>M</w:t>
            </w:r>
            <w:r w:rsidRPr="00CD28C0">
              <w:rPr>
                <w:b/>
                <w:bCs/>
              </w:rPr>
              <w:t>arch 2020</w:t>
            </w:r>
          </w:p>
        </w:tc>
      </w:tr>
      <w:tr w:rsidR="00E338F5" w14:paraId="319144BD" w14:textId="77777777" w:rsidTr="00282204">
        <w:tc>
          <w:tcPr>
            <w:tcW w:w="9016" w:type="dxa"/>
            <w:gridSpan w:val="2"/>
            <w:tcBorders>
              <w:top w:val="single" w:sz="4" w:space="0" w:color="auto"/>
              <w:left w:val="single" w:sz="4" w:space="0" w:color="auto"/>
              <w:bottom w:val="single" w:sz="4" w:space="0" w:color="auto"/>
              <w:right w:val="single" w:sz="4" w:space="0" w:color="auto"/>
            </w:tcBorders>
          </w:tcPr>
          <w:p w14:paraId="225853BD" w14:textId="77777777" w:rsidR="00E338F5" w:rsidRDefault="00E338F5" w:rsidP="00282204">
            <w:pPr>
              <w:jc w:val="both"/>
            </w:pPr>
            <w:r w:rsidRPr="004B3D2B">
              <w:t>The initial plan was to submit my thesis on the 28</w:t>
            </w:r>
            <w:r w:rsidRPr="004B3D2B">
              <w:rPr>
                <w:vertAlign w:val="superscript"/>
              </w:rPr>
              <w:t>th</w:t>
            </w:r>
            <w:r w:rsidRPr="004B3D2B">
              <w:t xml:space="preserve"> of August 2022 when I applied for the Postgraduate Research Student Publication Scholarship scheme. However, the application did</w:t>
            </w:r>
            <w:r>
              <w:t xml:space="preserve"> not</w:t>
            </w:r>
            <w:r w:rsidRPr="004B3D2B">
              <w:t xml:space="preserve"> go through due </w:t>
            </w:r>
            <w:r>
              <w:t xml:space="preserve">to </w:t>
            </w:r>
            <w:r w:rsidRPr="004B3D2B">
              <w:t>delay</w:t>
            </w:r>
            <w:r>
              <w:t>s</w:t>
            </w:r>
            <w:r w:rsidRPr="004B3D2B">
              <w:t xml:space="preserve"> caused by COVID-19. Therefore, I lost that opportunity and paid </w:t>
            </w:r>
            <w:r>
              <w:t>the</w:t>
            </w:r>
            <w:r w:rsidRPr="004B3D2B">
              <w:t xml:space="preserve"> extended tuition fee</w:t>
            </w:r>
            <w:r>
              <w:t xml:space="preserve">. </w:t>
            </w:r>
          </w:p>
        </w:tc>
      </w:tr>
    </w:tbl>
    <w:p w14:paraId="2D06E0A7" w14:textId="77777777" w:rsidR="00E338F5" w:rsidRPr="009933AF" w:rsidRDefault="00E338F5" w:rsidP="00E338F5">
      <w:pPr>
        <w:rPr>
          <w:rFonts w:ascii="TUOS Blake" w:hAnsi="TUOS Blake"/>
        </w:rPr>
      </w:pPr>
      <w:r w:rsidRPr="009933AF">
        <w:rPr>
          <w:rFonts w:ascii="TUOS Blake" w:hAnsi="TUOS Blake"/>
          <w:b/>
          <w:bCs/>
        </w:rPr>
        <w:t>Note 1.</w:t>
      </w:r>
      <w:r w:rsidRPr="009933AF">
        <w:rPr>
          <w:rFonts w:ascii="TUOS Blake" w:hAnsi="TUOS Blake"/>
        </w:rPr>
        <w:t xml:space="preserve"> This information could form a basis for discussion at the viva examination and give Examiners additional means to assess the volume and standard of the work completed. Detailed information could be included in a future work section in the thesis itself.</w:t>
      </w:r>
    </w:p>
    <w:p w14:paraId="7BE51FE9" w14:textId="77777777" w:rsidR="00E338F5" w:rsidRPr="009933AF" w:rsidRDefault="00E338F5" w:rsidP="00E338F5">
      <w:pPr>
        <w:rPr>
          <w:rFonts w:ascii="TUOS Blake" w:hAnsi="TUOS Blake"/>
        </w:rPr>
      </w:pPr>
      <w:r w:rsidRPr="009933AF">
        <w:rPr>
          <w:rFonts w:ascii="TUOS Blake" w:hAnsi="TUOS Blake"/>
          <w:b/>
          <w:bCs/>
        </w:rPr>
        <w:t>Note 2.</w:t>
      </w:r>
      <w:r w:rsidRPr="009933AF">
        <w:rPr>
          <w:rFonts w:ascii="TUOS Blake" w:hAnsi="TUOS Blake"/>
        </w:rPr>
        <w:t xml:space="preserve"> For example, ill health or additional caring responsibilities. additional difficulty related to an underlying disability, returned to clinical service, or has worked in a voluntary capacity for Covid-related research. These data could contextualise the judgement made by Examiners as to the most appropriate outcome.</w:t>
      </w:r>
    </w:p>
    <w:p w14:paraId="26BDEDCF" w14:textId="68930BFD" w:rsidR="000E6E3F" w:rsidRPr="00540A84" w:rsidRDefault="00E338F5" w:rsidP="00540A84">
      <w:pPr>
        <w:rPr>
          <w:rFonts w:ascii="TUOS Blake" w:hAnsi="TUOS Blake"/>
        </w:rPr>
        <w:sectPr w:rsidR="000E6E3F" w:rsidRPr="00540A84">
          <w:pgSz w:w="12240" w:h="15840"/>
          <w:pgMar w:top="1440" w:right="1440" w:bottom="1440" w:left="1440" w:header="720" w:footer="720" w:gutter="0"/>
          <w:cols w:space="720"/>
          <w:docGrid w:linePitch="360"/>
        </w:sectPr>
      </w:pPr>
      <w:r w:rsidRPr="009933AF">
        <w:rPr>
          <w:rFonts w:ascii="TUOS Blake" w:hAnsi="TUOS Blake"/>
          <w:b/>
          <w:bCs/>
        </w:rPr>
        <w:t>Note 3.</w:t>
      </w:r>
      <w:r w:rsidRPr="009933AF">
        <w:rPr>
          <w:rFonts w:ascii="TUOS Blake" w:hAnsi="TUOS Blake"/>
        </w:rPr>
        <w:t xml:space="preserve"> If in doubt, consult with your supervisor and Departmental PGR Lead.</w:t>
      </w:r>
    </w:p>
    <w:p w14:paraId="2F5D172A" w14:textId="3E93267F" w:rsidR="00610EEE" w:rsidRDefault="00610EEE" w:rsidP="008365E2"/>
    <w:sectPr w:rsidR="00610E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011BB" w14:textId="77777777" w:rsidR="000A47E1" w:rsidRDefault="000A47E1" w:rsidP="00F2388F">
      <w:pPr>
        <w:spacing w:after="0" w:line="240" w:lineRule="auto"/>
      </w:pPr>
      <w:r>
        <w:separator/>
      </w:r>
    </w:p>
  </w:endnote>
  <w:endnote w:type="continuationSeparator" w:id="0">
    <w:p w14:paraId="5973D9CA" w14:textId="77777777" w:rsidR="000A47E1" w:rsidRDefault="000A47E1" w:rsidP="00F2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TUOS Blake">
    <w:altName w:val="Calibri"/>
    <w:charset w:val="00"/>
    <w:family w:val="swiss"/>
    <w:pitch w:val="variable"/>
    <w:sig w:usb0="8000002F" w:usb1="4000004A" w:usb2="00000000" w:usb3="00000000" w:csb0="00000011"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810199"/>
      <w:docPartObj>
        <w:docPartGallery w:val="Page Numbers (Bottom of Page)"/>
        <w:docPartUnique/>
      </w:docPartObj>
    </w:sdtPr>
    <w:sdtEndPr>
      <w:rPr>
        <w:noProof/>
      </w:rPr>
    </w:sdtEndPr>
    <w:sdtContent>
      <w:p w14:paraId="0B0DBA2A" w14:textId="77777777" w:rsidR="00563EE9" w:rsidRDefault="007130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B9023" w14:textId="77777777" w:rsidR="00563EE9" w:rsidRDefault="00563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5C2B4" w14:textId="77777777" w:rsidR="000A47E1" w:rsidRDefault="000A47E1" w:rsidP="00F2388F">
      <w:pPr>
        <w:spacing w:after="0" w:line="240" w:lineRule="auto"/>
      </w:pPr>
      <w:r>
        <w:separator/>
      </w:r>
    </w:p>
  </w:footnote>
  <w:footnote w:type="continuationSeparator" w:id="0">
    <w:p w14:paraId="03DB5043" w14:textId="77777777" w:rsidR="000A47E1" w:rsidRDefault="000A47E1" w:rsidP="00F23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9" type="#_x0000_t75" style="width:.85pt;height:.85pt;visibility:visible" o:bullet="t">
        <v:imagedata r:id="rId1" o:title=""/>
      </v:shape>
    </w:pict>
  </w:numPicBullet>
  <w:abstractNum w:abstractNumId="0" w15:restartNumberingAfterBreak="0">
    <w:nsid w:val="0A86751C"/>
    <w:multiLevelType w:val="hybridMultilevel"/>
    <w:tmpl w:val="A418A3CA"/>
    <w:lvl w:ilvl="0" w:tplc="0FCA3F8A">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CEA0BF6"/>
    <w:multiLevelType w:val="multilevel"/>
    <w:tmpl w:val="0409001D"/>
    <w:numStyleLink w:val="Singlepunch"/>
  </w:abstractNum>
  <w:abstractNum w:abstractNumId="2" w15:restartNumberingAfterBreak="0">
    <w:nsid w:val="0E43589D"/>
    <w:multiLevelType w:val="multilevel"/>
    <w:tmpl w:val="0C42A230"/>
    <w:lvl w:ilvl="0">
      <w:start w:val="7"/>
      <w:numFmt w:val="decimal"/>
      <w:lvlText w:val="%1."/>
      <w:lvlJc w:val="left"/>
      <w:pPr>
        <w:ind w:left="126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340" w:hanging="144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 w15:restartNumberingAfterBreak="0">
    <w:nsid w:val="12E62806"/>
    <w:multiLevelType w:val="hybridMultilevel"/>
    <w:tmpl w:val="2D6CFB78"/>
    <w:lvl w:ilvl="0" w:tplc="ECE8102A">
      <w:start w:val="1"/>
      <w:numFmt w:val="bullet"/>
      <w:lvlText w:val=""/>
      <w:lvlPicBulletId w:val="0"/>
      <w:lvlJc w:val="left"/>
      <w:pPr>
        <w:tabs>
          <w:tab w:val="num" w:pos="720"/>
        </w:tabs>
        <w:ind w:left="720" w:hanging="360"/>
      </w:pPr>
      <w:rPr>
        <w:rFonts w:ascii="Symbol" w:hAnsi="Symbol" w:hint="default"/>
      </w:rPr>
    </w:lvl>
    <w:lvl w:ilvl="1" w:tplc="96D28590" w:tentative="1">
      <w:start w:val="1"/>
      <w:numFmt w:val="bullet"/>
      <w:lvlText w:val=""/>
      <w:lvlJc w:val="left"/>
      <w:pPr>
        <w:tabs>
          <w:tab w:val="num" w:pos="1440"/>
        </w:tabs>
        <w:ind w:left="1440" w:hanging="360"/>
      </w:pPr>
      <w:rPr>
        <w:rFonts w:ascii="Symbol" w:hAnsi="Symbol" w:hint="default"/>
      </w:rPr>
    </w:lvl>
    <w:lvl w:ilvl="2" w:tplc="444445A2" w:tentative="1">
      <w:start w:val="1"/>
      <w:numFmt w:val="bullet"/>
      <w:lvlText w:val=""/>
      <w:lvlJc w:val="left"/>
      <w:pPr>
        <w:tabs>
          <w:tab w:val="num" w:pos="2160"/>
        </w:tabs>
        <w:ind w:left="2160" w:hanging="360"/>
      </w:pPr>
      <w:rPr>
        <w:rFonts w:ascii="Symbol" w:hAnsi="Symbol" w:hint="default"/>
      </w:rPr>
    </w:lvl>
    <w:lvl w:ilvl="3" w:tplc="D4846180" w:tentative="1">
      <w:start w:val="1"/>
      <w:numFmt w:val="bullet"/>
      <w:lvlText w:val=""/>
      <w:lvlJc w:val="left"/>
      <w:pPr>
        <w:tabs>
          <w:tab w:val="num" w:pos="2880"/>
        </w:tabs>
        <w:ind w:left="2880" w:hanging="360"/>
      </w:pPr>
      <w:rPr>
        <w:rFonts w:ascii="Symbol" w:hAnsi="Symbol" w:hint="default"/>
      </w:rPr>
    </w:lvl>
    <w:lvl w:ilvl="4" w:tplc="C9F41FC4" w:tentative="1">
      <w:start w:val="1"/>
      <w:numFmt w:val="bullet"/>
      <w:lvlText w:val=""/>
      <w:lvlJc w:val="left"/>
      <w:pPr>
        <w:tabs>
          <w:tab w:val="num" w:pos="3600"/>
        </w:tabs>
        <w:ind w:left="3600" w:hanging="360"/>
      </w:pPr>
      <w:rPr>
        <w:rFonts w:ascii="Symbol" w:hAnsi="Symbol" w:hint="default"/>
      </w:rPr>
    </w:lvl>
    <w:lvl w:ilvl="5" w:tplc="21B6A01A" w:tentative="1">
      <w:start w:val="1"/>
      <w:numFmt w:val="bullet"/>
      <w:lvlText w:val=""/>
      <w:lvlJc w:val="left"/>
      <w:pPr>
        <w:tabs>
          <w:tab w:val="num" w:pos="4320"/>
        </w:tabs>
        <w:ind w:left="4320" w:hanging="360"/>
      </w:pPr>
      <w:rPr>
        <w:rFonts w:ascii="Symbol" w:hAnsi="Symbol" w:hint="default"/>
      </w:rPr>
    </w:lvl>
    <w:lvl w:ilvl="6" w:tplc="8B082EAC" w:tentative="1">
      <w:start w:val="1"/>
      <w:numFmt w:val="bullet"/>
      <w:lvlText w:val=""/>
      <w:lvlJc w:val="left"/>
      <w:pPr>
        <w:tabs>
          <w:tab w:val="num" w:pos="5040"/>
        </w:tabs>
        <w:ind w:left="5040" w:hanging="360"/>
      </w:pPr>
      <w:rPr>
        <w:rFonts w:ascii="Symbol" w:hAnsi="Symbol" w:hint="default"/>
      </w:rPr>
    </w:lvl>
    <w:lvl w:ilvl="7" w:tplc="C5841044" w:tentative="1">
      <w:start w:val="1"/>
      <w:numFmt w:val="bullet"/>
      <w:lvlText w:val=""/>
      <w:lvlJc w:val="left"/>
      <w:pPr>
        <w:tabs>
          <w:tab w:val="num" w:pos="5760"/>
        </w:tabs>
        <w:ind w:left="5760" w:hanging="360"/>
      </w:pPr>
      <w:rPr>
        <w:rFonts w:ascii="Symbol" w:hAnsi="Symbol" w:hint="default"/>
      </w:rPr>
    </w:lvl>
    <w:lvl w:ilvl="8" w:tplc="7982DFE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3B2961"/>
    <w:multiLevelType w:val="hybridMultilevel"/>
    <w:tmpl w:val="2DFC9908"/>
    <w:lvl w:ilvl="0" w:tplc="C554CEB0">
      <w:start w:val="4"/>
      <w:numFmt w:val="bullet"/>
      <w:lvlText w:val="•"/>
      <w:lvlJc w:val="left"/>
      <w:pPr>
        <w:ind w:left="2160" w:hanging="720"/>
      </w:pPr>
      <w:rPr>
        <w:rFonts w:ascii="Arial" w:eastAsia="Times New Roman" w:hAnsi="Aria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0005D3"/>
    <w:multiLevelType w:val="hybridMultilevel"/>
    <w:tmpl w:val="2B8881F6"/>
    <w:lvl w:ilvl="0" w:tplc="566845D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88145A"/>
    <w:multiLevelType w:val="hybridMultilevel"/>
    <w:tmpl w:val="06069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55D72"/>
    <w:multiLevelType w:val="hybridMultilevel"/>
    <w:tmpl w:val="81AE54BE"/>
    <w:lvl w:ilvl="0" w:tplc="FC828F6A">
      <w:start w:val="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92D3F25"/>
    <w:multiLevelType w:val="hybridMultilevel"/>
    <w:tmpl w:val="F8B4A56C"/>
    <w:lvl w:ilvl="0" w:tplc="D0840908">
      <w:start w:val="7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8F5ABE"/>
    <w:multiLevelType w:val="multilevel"/>
    <w:tmpl w:val="E014FBB8"/>
    <w:lvl w:ilvl="0">
      <w:start w:val="1"/>
      <w:numFmt w:val="decimal"/>
      <w:lvlText w:val="%1."/>
      <w:lvlJc w:val="left"/>
      <w:pPr>
        <w:ind w:left="7110" w:hanging="360"/>
      </w:pPr>
    </w:lvl>
    <w:lvl w:ilvl="1">
      <w:start w:val="1"/>
      <w:numFmt w:val="decimal"/>
      <w:pStyle w:val="Heading2"/>
      <w:lvlText w:val="%1.%2."/>
      <w:lvlJc w:val="left"/>
      <w:pPr>
        <w:ind w:left="1566" w:hanging="432"/>
      </w:pPr>
      <w:rPr>
        <w:rFonts w:asciiTheme="minorBidi" w:hAnsiTheme="minorBidi" w:cstheme="minorBidi" w:hint="default"/>
        <w:b w:val="0"/>
        <w:bCs w:val="0"/>
        <w:color w:val="2F5496" w:themeColor="accent1" w:themeShade="BF"/>
        <w:sz w:val="26"/>
        <w:szCs w:val="26"/>
      </w:rPr>
    </w:lvl>
    <w:lvl w:ilvl="2">
      <w:start w:val="1"/>
      <w:numFmt w:val="decimal"/>
      <w:pStyle w:val="Heading3"/>
      <w:lvlText w:val="%1.%2.%3."/>
      <w:lvlJc w:val="left"/>
      <w:pPr>
        <w:ind w:left="594" w:hanging="504"/>
      </w:pPr>
    </w:lvl>
    <w:lvl w:ilvl="3">
      <w:start w:val="1"/>
      <w:numFmt w:val="decimal"/>
      <w:lvlText w:val="%1.%2.%3.%4."/>
      <w:lvlJc w:val="left"/>
      <w:pPr>
        <w:ind w:left="1098" w:hanging="648"/>
      </w:pPr>
      <w:rPr>
        <w:sz w:val="24"/>
        <w:szCs w:val="24"/>
        <w:lang w:val="en-GB"/>
      </w:rPr>
    </w:lvl>
    <w:lvl w:ilvl="4">
      <w:start w:val="1"/>
      <w:numFmt w:val="decimal"/>
      <w:lvlText w:val="%1.%2.%3.%4.%5."/>
      <w:lvlJc w:val="left"/>
      <w:pPr>
        <w:ind w:left="13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3756A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F8367B"/>
    <w:multiLevelType w:val="multilevel"/>
    <w:tmpl w:val="87A0A9A0"/>
    <w:lvl w:ilvl="0">
      <w:start w:val="4"/>
      <w:numFmt w:val="decimal"/>
      <w:lvlText w:val="%1."/>
      <w:lvlJc w:val="left"/>
      <w:pPr>
        <w:ind w:left="420" w:hanging="420"/>
      </w:pPr>
      <w:rPr>
        <w:rFonts w:hint="default"/>
      </w:rPr>
    </w:lvl>
    <w:lvl w:ilvl="1">
      <w:start w:val="1"/>
      <w:numFmt w:val="decimal"/>
      <w:lvlText w:val="%1.%2."/>
      <w:lvlJc w:val="left"/>
      <w:pPr>
        <w:ind w:left="41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6F2024B"/>
    <w:multiLevelType w:val="hybridMultilevel"/>
    <w:tmpl w:val="9F504088"/>
    <w:lvl w:ilvl="0" w:tplc="3C4EF12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614F9F"/>
    <w:multiLevelType w:val="multilevel"/>
    <w:tmpl w:val="DBC0E8BA"/>
    <w:styleLink w:val="CurrentList1"/>
    <w:lvl w:ilvl="0">
      <w:start w:val="1"/>
      <w:numFmt w:val="decimal"/>
      <w:lvlText w:val="%1."/>
      <w:lvlJc w:val="left"/>
      <w:pPr>
        <w:ind w:left="7110" w:hanging="360"/>
      </w:pPr>
    </w:lvl>
    <w:lvl w:ilvl="1">
      <w:start w:val="1"/>
      <w:numFmt w:val="decimal"/>
      <w:lvlText w:val="%1.%2."/>
      <w:lvlJc w:val="left"/>
      <w:pPr>
        <w:ind w:left="1566" w:hanging="432"/>
      </w:pPr>
      <w:rPr>
        <w:lang w:val="en-GB"/>
      </w:rPr>
    </w:lvl>
    <w:lvl w:ilvl="2">
      <w:start w:val="1"/>
      <w:numFmt w:val="decimal"/>
      <w:lvlText w:val="%1.%2.%3."/>
      <w:lvlJc w:val="left"/>
      <w:pPr>
        <w:ind w:left="5634" w:hanging="504"/>
      </w:pPr>
    </w:lvl>
    <w:lvl w:ilvl="3">
      <w:start w:val="1"/>
      <w:numFmt w:val="decimal"/>
      <w:lvlText w:val="%1.%2.%3.%4."/>
      <w:lvlJc w:val="left"/>
      <w:pPr>
        <w:ind w:left="2358" w:hanging="648"/>
      </w:pPr>
      <w:rPr>
        <w:lang w:val="en-G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16F5944"/>
    <w:multiLevelType w:val="multilevel"/>
    <w:tmpl w:val="0409001D"/>
    <w:lvl w:ilvl="0">
      <w:start w:val="1"/>
      <w:numFmt w:val="decimal"/>
      <w:lvlText w:val="%1)"/>
      <w:lvlJc w:val="left"/>
      <w:pPr>
        <w:ind w:left="63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5184383"/>
    <w:multiLevelType w:val="multilevel"/>
    <w:tmpl w:val="6980B8A4"/>
    <w:lvl w:ilvl="0">
      <w:start w:val="7"/>
      <w:numFmt w:val="decimal"/>
      <w:lvlText w:val="%1"/>
      <w:lvlJc w:val="left"/>
      <w:pPr>
        <w:ind w:left="530" w:hanging="530"/>
      </w:pPr>
      <w:rPr>
        <w:rFonts w:hint="default"/>
      </w:rPr>
    </w:lvl>
    <w:lvl w:ilvl="1">
      <w:start w:val="4"/>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9000E67"/>
    <w:multiLevelType w:val="hybridMultilevel"/>
    <w:tmpl w:val="9B2A2D7C"/>
    <w:lvl w:ilvl="0" w:tplc="3F5ABD0C">
      <w:start w:val="1"/>
      <w:numFmt w:val="bullet"/>
      <w:lvlText w:val=""/>
      <w:lvlJc w:val="left"/>
      <w:pPr>
        <w:ind w:left="1800" w:hanging="360"/>
      </w:pPr>
      <w:rPr>
        <w:rFonts w:ascii="Symbol" w:hAnsi="Symbol" w:hint="default"/>
        <w:sz w:val="14"/>
        <w:szCs w:val="18"/>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19" w15:restartNumberingAfterBreak="0">
    <w:nsid w:val="5DB711F0"/>
    <w:multiLevelType w:val="hybridMultilevel"/>
    <w:tmpl w:val="408C9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801D45"/>
    <w:multiLevelType w:val="hybridMultilevel"/>
    <w:tmpl w:val="4816D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F772E67"/>
    <w:multiLevelType w:val="multilevel"/>
    <w:tmpl w:val="CE36883E"/>
    <w:lvl w:ilvl="0">
      <w:start w:val="7"/>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0624C21"/>
    <w:multiLevelType w:val="hybridMultilevel"/>
    <w:tmpl w:val="77D23108"/>
    <w:lvl w:ilvl="0" w:tplc="9204223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017258"/>
    <w:multiLevelType w:val="hybridMultilevel"/>
    <w:tmpl w:val="A418A3CA"/>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64BC4A27"/>
    <w:multiLevelType w:val="hybridMultilevel"/>
    <w:tmpl w:val="3F309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3F3B97"/>
    <w:multiLevelType w:val="hybridMultilevel"/>
    <w:tmpl w:val="8692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7B2372"/>
    <w:multiLevelType w:val="multilevel"/>
    <w:tmpl w:val="FCC4B180"/>
    <w:lvl w:ilvl="0">
      <w:start w:val="7"/>
      <w:numFmt w:val="decimal"/>
      <w:lvlText w:val="%1."/>
      <w:lvlJc w:val="left"/>
      <w:pPr>
        <w:ind w:left="600" w:hanging="60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531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7" w15:restartNumberingAfterBreak="0">
    <w:nsid w:val="6BF441F5"/>
    <w:multiLevelType w:val="hybridMultilevel"/>
    <w:tmpl w:val="0AE8C0B6"/>
    <w:lvl w:ilvl="0" w:tplc="F3F6AB68">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D7A3827"/>
    <w:multiLevelType w:val="hybridMultilevel"/>
    <w:tmpl w:val="DAEC17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4D3E2D"/>
    <w:multiLevelType w:val="hybridMultilevel"/>
    <w:tmpl w:val="071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171336"/>
    <w:multiLevelType w:val="multilevel"/>
    <w:tmpl w:val="8200C982"/>
    <w:lvl w:ilvl="0">
      <w:start w:val="6"/>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4"/>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CA50F81"/>
    <w:multiLevelType w:val="multilevel"/>
    <w:tmpl w:val="0DBE6D6E"/>
    <w:lvl w:ilvl="0">
      <w:start w:val="6"/>
      <w:numFmt w:val="decimal"/>
      <w:lvlText w:val="%1."/>
      <w:lvlJc w:val="left"/>
      <w:pPr>
        <w:ind w:left="600" w:hanging="600"/>
      </w:pPr>
      <w:rPr>
        <w:rFonts w:hint="default"/>
      </w:rPr>
    </w:lvl>
    <w:lvl w:ilvl="1">
      <w:start w:val="4"/>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D8C49B4"/>
    <w:multiLevelType w:val="multilevel"/>
    <w:tmpl w:val="38B84502"/>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5"/>
      <w:numFmt w:val="decimal"/>
      <w:isLgl/>
      <w:lvlText w:val="%1.%2.%3."/>
      <w:lvlJc w:val="left"/>
      <w:pPr>
        <w:ind w:left="1200" w:hanging="84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399447735">
    <w:abstractNumId w:val="10"/>
  </w:num>
  <w:num w:numId="2" w16cid:durableId="519661456">
    <w:abstractNumId w:val="20"/>
  </w:num>
  <w:num w:numId="3" w16cid:durableId="1067146618">
    <w:abstractNumId w:val="11"/>
  </w:num>
  <w:num w:numId="4" w16cid:durableId="1341932927">
    <w:abstractNumId w:val="9"/>
  </w:num>
  <w:num w:numId="5" w16cid:durableId="1548176965">
    <w:abstractNumId w:val="27"/>
  </w:num>
  <w:num w:numId="6" w16cid:durableId="20840590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2312301">
    <w:abstractNumId w:val="15"/>
  </w:num>
  <w:num w:numId="8" w16cid:durableId="1025516876">
    <w:abstractNumId w:val="32"/>
  </w:num>
  <w:num w:numId="9" w16cid:durableId="1323194824">
    <w:abstractNumId w:val="14"/>
  </w:num>
  <w:num w:numId="10" w16cid:durableId="1358769874">
    <w:abstractNumId w:val="8"/>
  </w:num>
  <w:num w:numId="11" w16cid:durableId="15038969">
    <w:abstractNumId w:val="29"/>
  </w:num>
  <w:num w:numId="12" w16cid:durableId="171342127">
    <w:abstractNumId w:val="4"/>
  </w:num>
  <w:num w:numId="13" w16cid:durableId="1480338936">
    <w:abstractNumId w:val="18"/>
  </w:num>
  <w:num w:numId="14" w16cid:durableId="1927494115">
    <w:abstractNumId w:val="12"/>
  </w:num>
  <w:num w:numId="15" w16cid:durableId="382557097">
    <w:abstractNumId w:val="30"/>
  </w:num>
  <w:num w:numId="16" w16cid:durableId="2085957278">
    <w:abstractNumId w:val="2"/>
  </w:num>
  <w:num w:numId="17" w16cid:durableId="1462729767">
    <w:abstractNumId w:val="26"/>
  </w:num>
  <w:num w:numId="18" w16cid:durableId="410583141">
    <w:abstractNumId w:val="1"/>
  </w:num>
  <w:num w:numId="19" w16cid:durableId="1584297521">
    <w:abstractNumId w:val="22"/>
  </w:num>
  <w:num w:numId="20" w16cid:durableId="587926335">
    <w:abstractNumId w:val="3"/>
  </w:num>
  <w:num w:numId="21" w16cid:durableId="18451661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3313220">
    <w:abstractNumId w:val="7"/>
  </w:num>
  <w:num w:numId="23" w16cid:durableId="1616131461">
    <w:abstractNumId w:val="17"/>
  </w:num>
  <w:num w:numId="24" w16cid:durableId="438792176">
    <w:abstractNumId w:val="10"/>
    <w:lvlOverride w:ilvl="0">
      <w:startOverride w:val="3"/>
    </w:lvlOverride>
    <w:lvlOverride w:ilvl="1">
      <w:startOverride w:val="1"/>
    </w:lvlOverride>
  </w:num>
  <w:num w:numId="25" w16cid:durableId="662469574">
    <w:abstractNumId w:val="10"/>
    <w:lvlOverride w:ilvl="0">
      <w:startOverride w:val="3"/>
    </w:lvlOverride>
    <w:lvlOverride w:ilvl="1">
      <w:startOverride w:val="1"/>
    </w:lvlOverride>
  </w:num>
  <w:num w:numId="26" w16cid:durableId="1492332602">
    <w:abstractNumId w:val="0"/>
  </w:num>
  <w:num w:numId="27" w16cid:durableId="1548910391">
    <w:abstractNumId w:val="23"/>
  </w:num>
  <w:num w:numId="28" w16cid:durableId="1084377818">
    <w:abstractNumId w:val="31"/>
  </w:num>
  <w:num w:numId="29" w16cid:durableId="517696126">
    <w:abstractNumId w:val="19"/>
  </w:num>
  <w:num w:numId="30" w16cid:durableId="467938035">
    <w:abstractNumId w:val="21"/>
  </w:num>
  <w:num w:numId="31" w16cid:durableId="672293349">
    <w:abstractNumId w:val="5"/>
  </w:num>
  <w:num w:numId="32" w16cid:durableId="1813713122">
    <w:abstractNumId w:val="25"/>
  </w:num>
  <w:num w:numId="33" w16cid:durableId="192769984">
    <w:abstractNumId w:val="13"/>
  </w:num>
  <w:num w:numId="34" w16cid:durableId="422802559">
    <w:abstractNumId w:val="6"/>
  </w:num>
  <w:num w:numId="35" w16cid:durableId="1524132681">
    <w:abstractNumId w:val="24"/>
  </w:num>
  <w:num w:numId="36" w16cid:durableId="2112964745">
    <w:abstractNumId w:val="28"/>
  </w:num>
  <w:num w:numId="37" w16cid:durableId="10565092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EE"/>
    <w:rsid w:val="000046AB"/>
    <w:rsid w:val="00005E28"/>
    <w:rsid w:val="00011B67"/>
    <w:rsid w:val="00011F1A"/>
    <w:rsid w:val="00012107"/>
    <w:rsid w:val="00013F50"/>
    <w:rsid w:val="00016C11"/>
    <w:rsid w:val="00016DA1"/>
    <w:rsid w:val="00024E88"/>
    <w:rsid w:val="0002561B"/>
    <w:rsid w:val="00027968"/>
    <w:rsid w:val="0003056F"/>
    <w:rsid w:val="000344D7"/>
    <w:rsid w:val="00034C0F"/>
    <w:rsid w:val="00035508"/>
    <w:rsid w:val="0003563C"/>
    <w:rsid w:val="000359E8"/>
    <w:rsid w:val="00040033"/>
    <w:rsid w:val="00040960"/>
    <w:rsid w:val="00041626"/>
    <w:rsid w:val="00046204"/>
    <w:rsid w:val="000507B7"/>
    <w:rsid w:val="00052D21"/>
    <w:rsid w:val="000558B4"/>
    <w:rsid w:val="00055C0B"/>
    <w:rsid w:val="0005783B"/>
    <w:rsid w:val="00060466"/>
    <w:rsid w:val="00065BCB"/>
    <w:rsid w:val="00065D97"/>
    <w:rsid w:val="00065DDB"/>
    <w:rsid w:val="00066B4E"/>
    <w:rsid w:val="0006707F"/>
    <w:rsid w:val="00067900"/>
    <w:rsid w:val="00070662"/>
    <w:rsid w:val="0007148C"/>
    <w:rsid w:val="00072973"/>
    <w:rsid w:val="0007384E"/>
    <w:rsid w:val="000764A9"/>
    <w:rsid w:val="00081561"/>
    <w:rsid w:val="00084E3F"/>
    <w:rsid w:val="00085459"/>
    <w:rsid w:val="000875DA"/>
    <w:rsid w:val="00090894"/>
    <w:rsid w:val="00090DA0"/>
    <w:rsid w:val="0009483B"/>
    <w:rsid w:val="00096B26"/>
    <w:rsid w:val="00097B44"/>
    <w:rsid w:val="000A1D35"/>
    <w:rsid w:val="000A2452"/>
    <w:rsid w:val="000A2E7D"/>
    <w:rsid w:val="000A33FC"/>
    <w:rsid w:val="000A47E1"/>
    <w:rsid w:val="000A551A"/>
    <w:rsid w:val="000A7F62"/>
    <w:rsid w:val="000B2609"/>
    <w:rsid w:val="000B2F68"/>
    <w:rsid w:val="000B330D"/>
    <w:rsid w:val="000B4552"/>
    <w:rsid w:val="000B69CE"/>
    <w:rsid w:val="000B6A30"/>
    <w:rsid w:val="000B7227"/>
    <w:rsid w:val="000C1C7E"/>
    <w:rsid w:val="000C4FA4"/>
    <w:rsid w:val="000C719F"/>
    <w:rsid w:val="000D1AC1"/>
    <w:rsid w:val="000D6701"/>
    <w:rsid w:val="000D7093"/>
    <w:rsid w:val="000D72BA"/>
    <w:rsid w:val="000D789A"/>
    <w:rsid w:val="000E1462"/>
    <w:rsid w:val="000E2E6F"/>
    <w:rsid w:val="000E324F"/>
    <w:rsid w:val="000E3C39"/>
    <w:rsid w:val="000E3F77"/>
    <w:rsid w:val="000E41E6"/>
    <w:rsid w:val="000E6581"/>
    <w:rsid w:val="000E6779"/>
    <w:rsid w:val="000E6E3F"/>
    <w:rsid w:val="000E7A3E"/>
    <w:rsid w:val="000E7D8E"/>
    <w:rsid w:val="000F36F1"/>
    <w:rsid w:val="000F3DAE"/>
    <w:rsid w:val="000F421B"/>
    <w:rsid w:val="000F5DF4"/>
    <w:rsid w:val="000F6156"/>
    <w:rsid w:val="000F670C"/>
    <w:rsid w:val="000F729B"/>
    <w:rsid w:val="00101469"/>
    <w:rsid w:val="00103595"/>
    <w:rsid w:val="001046B7"/>
    <w:rsid w:val="00106938"/>
    <w:rsid w:val="00107096"/>
    <w:rsid w:val="001072D1"/>
    <w:rsid w:val="00107A97"/>
    <w:rsid w:val="00112874"/>
    <w:rsid w:val="00113E68"/>
    <w:rsid w:val="001148E7"/>
    <w:rsid w:val="0011668C"/>
    <w:rsid w:val="001170FD"/>
    <w:rsid w:val="00117949"/>
    <w:rsid w:val="0012026D"/>
    <w:rsid w:val="00122A97"/>
    <w:rsid w:val="00123FDB"/>
    <w:rsid w:val="00125DD4"/>
    <w:rsid w:val="001301B3"/>
    <w:rsid w:val="00130B06"/>
    <w:rsid w:val="00130D8D"/>
    <w:rsid w:val="00131563"/>
    <w:rsid w:val="00133385"/>
    <w:rsid w:val="001371C9"/>
    <w:rsid w:val="00137EFB"/>
    <w:rsid w:val="00137F09"/>
    <w:rsid w:val="00140020"/>
    <w:rsid w:val="00141EE1"/>
    <w:rsid w:val="00142163"/>
    <w:rsid w:val="00142C09"/>
    <w:rsid w:val="0014346B"/>
    <w:rsid w:val="00143A57"/>
    <w:rsid w:val="00146BCF"/>
    <w:rsid w:val="001518C3"/>
    <w:rsid w:val="00152077"/>
    <w:rsid w:val="001525D8"/>
    <w:rsid w:val="00153F71"/>
    <w:rsid w:val="00154A5A"/>
    <w:rsid w:val="00156C16"/>
    <w:rsid w:val="00157A75"/>
    <w:rsid w:val="001606B7"/>
    <w:rsid w:val="00160C40"/>
    <w:rsid w:val="00163E29"/>
    <w:rsid w:val="00166938"/>
    <w:rsid w:val="00167D23"/>
    <w:rsid w:val="0017497A"/>
    <w:rsid w:val="00181BFC"/>
    <w:rsid w:val="00186558"/>
    <w:rsid w:val="001873E7"/>
    <w:rsid w:val="00187D4F"/>
    <w:rsid w:val="00190761"/>
    <w:rsid w:val="001930EC"/>
    <w:rsid w:val="001950C0"/>
    <w:rsid w:val="001950F8"/>
    <w:rsid w:val="001968F5"/>
    <w:rsid w:val="00197256"/>
    <w:rsid w:val="001A0CCD"/>
    <w:rsid w:val="001A1E23"/>
    <w:rsid w:val="001A3348"/>
    <w:rsid w:val="001A4B95"/>
    <w:rsid w:val="001A52D0"/>
    <w:rsid w:val="001A54E4"/>
    <w:rsid w:val="001B1FCB"/>
    <w:rsid w:val="001B2A53"/>
    <w:rsid w:val="001B2C8F"/>
    <w:rsid w:val="001B3A6C"/>
    <w:rsid w:val="001B77F6"/>
    <w:rsid w:val="001C01AD"/>
    <w:rsid w:val="001C225C"/>
    <w:rsid w:val="001C37F7"/>
    <w:rsid w:val="001C65EB"/>
    <w:rsid w:val="001C679B"/>
    <w:rsid w:val="001C74C1"/>
    <w:rsid w:val="001D02BD"/>
    <w:rsid w:val="001D300C"/>
    <w:rsid w:val="001D5E6D"/>
    <w:rsid w:val="001D6014"/>
    <w:rsid w:val="001E0F6C"/>
    <w:rsid w:val="001E14EA"/>
    <w:rsid w:val="001E4DB9"/>
    <w:rsid w:val="001E5139"/>
    <w:rsid w:val="001E6432"/>
    <w:rsid w:val="001E6FED"/>
    <w:rsid w:val="001F26F8"/>
    <w:rsid w:val="001F32E0"/>
    <w:rsid w:val="0020051F"/>
    <w:rsid w:val="00200F94"/>
    <w:rsid w:val="0020234B"/>
    <w:rsid w:val="00202D15"/>
    <w:rsid w:val="00203798"/>
    <w:rsid w:val="00207638"/>
    <w:rsid w:val="0021035A"/>
    <w:rsid w:val="0021118F"/>
    <w:rsid w:val="002126E0"/>
    <w:rsid w:val="002155E3"/>
    <w:rsid w:val="00217407"/>
    <w:rsid w:val="00220325"/>
    <w:rsid w:val="00220E87"/>
    <w:rsid w:val="00220EF8"/>
    <w:rsid w:val="00223CE5"/>
    <w:rsid w:val="00225E03"/>
    <w:rsid w:val="00226F7F"/>
    <w:rsid w:val="00232C11"/>
    <w:rsid w:val="00232F39"/>
    <w:rsid w:val="00233314"/>
    <w:rsid w:val="0023444A"/>
    <w:rsid w:val="002361A9"/>
    <w:rsid w:val="00237727"/>
    <w:rsid w:val="00237799"/>
    <w:rsid w:val="00240138"/>
    <w:rsid w:val="00241975"/>
    <w:rsid w:val="00250CC3"/>
    <w:rsid w:val="00251A61"/>
    <w:rsid w:val="00252E84"/>
    <w:rsid w:val="00254CD2"/>
    <w:rsid w:val="00255F82"/>
    <w:rsid w:val="00257935"/>
    <w:rsid w:val="002609F7"/>
    <w:rsid w:val="00261052"/>
    <w:rsid w:val="00261C15"/>
    <w:rsid w:val="00262256"/>
    <w:rsid w:val="00266DE2"/>
    <w:rsid w:val="00266DF3"/>
    <w:rsid w:val="002673BF"/>
    <w:rsid w:val="00267600"/>
    <w:rsid w:val="002676CE"/>
    <w:rsid w:val="00267CF1"/>
    <w:rsid w:val="002720C3"/>
    <w:rsid w:val="00272D36"/>
    <w:rsid w:val="00273782"/>
    <w:rsid w:val="002756AD"/>
    <w:rsid w:val="00276849"/>
    <w:rsid w:val="00281DAA"/>
    <w:rsid w:val="00282204"/>
    <w:rsid w:val="00282479"/>
    <w:rsid w:val="00282E00"/>
    <w:rsid w:val="00283C83"/>
    <w:rsid w:val="0028406F"/>
    <w:rsid w:val="00290E28"/>
    <w:rsid w:val="00292577"/>
    <w:rsid w:val="002938F3"/>
    <w:rsid w:val="00296FB7"/>
    <w:rsid w:val="002A0356"/>
    <w:rsid w:val="002A1305"/>
    <w:rsid w:val="002A16EC"/>
    <w:rsid w:val="002A2241"/>
    <w:rsid w:val="002A2AD2"/>
    <w:rsid w:val="002A5F9C"/>
    <w:rsid w:val="002A6400"/>
    <w:rsid w:val="002A7FE0"/>
    <w:rsid w:val="002B0001"/>
    <w:rsid w:val="002B62A3"/>
    <w:rsid w:val="002B693D"/>
    <w:rsid w:val="002B786B"/>
    <w:rsid w:val="002C081E"/>
    <w:rsid w:val="002C0961"/>
    <w:rsid w:val="002C1344"/>
    <w:rsid w:val="002C2725"/>
    <w:rsid w:val="002C27A9"/>
    <w:rsid w:val="002C2ED3"/>
    <w:rsid w:val="002C30B3"/>
    <w:rsid w:val="002C5385"/>
    <w:rsid w:val="002C73A1"/>
    <w:rsid w:val="002D114E"/>
    <w:rsid w:val="002D1733"/>
    <w:rsid w:val="002D1C60"/>
    <w:rsid w:val="002D4696"/>
    <w:rsid w:val="002D481E"/>
    <w:rsid w:val="002D5EC5"/>
    <w:rsid w:val="002D6988"/>
    <w:rsid w:val="002E1113"/>
    <w:rsid w:val="002E2D31"/>
    <w:rsid w:val="002E2FAF"/>
    <w:rsid w:val="002E3D1C"/>
    <w:rsid w:val="002E496F"/>
    <w:rsid w:val="002E543D"/>
    <w:rsid w:val="002E5CD6"/>
    <w:rsid w:val="002E625C"/>
    <w:rsid w:val="002E7F5E"/>
    <w:rsid w:val="002F3037"/>
    <w:rsid w:val="002F3C1E"/>
    <w:rsid w:val="002F5F9F"/>
    <w:rsid w:val="002F6EDF"/>
    <w:rsid w:val="002F7B1C"/>
    <w:rsid w:val="002F7BF5"/>
    <w:rsid w:val="003001E1"/>
    <w:rsid w:val="003012AD"/>
    <w:rsid w:val="0030131C"/>
    <w:rsid w:val="00302E07"/>
    <w:rsid w:val="003035FD"/>
    <w:rsid w:val="0030507F"/>
    <w:rsid w:val="00306344"/>
    <w:rsid w:val="00306680"/>
    <w:rsid w:val="00306929"/>
    <w:rsid w:val="00307121"/>
    <w:rsid w:val="00307210"/>
    <w:rsid w:val="0031078C"/>
    <w:rsid w:val="00310DAC"/>
    <w:rsid w:val="00312930"/>
    <w:rsid w:val="00312A36"/>
    <w:rsid w:val="00314127"/>
    <w:rsid w:val="00314C4A"/>
    <w:rsid w:val="003160F9"/>
    <w:rsid w:val="00316308"/>
    <w:rsid w:val="00325A3D"/>
    <w:rsid w:val="00326342"/>
    <w:rsid w:val="003265CA"/>
    <w:rsid w:val="00326F6F"/>
    <w:rsid w:val="00330067"/>
    <w:rsid w:val="00330793"/>
    <w:rsid w:val="00331993"/>
    <w:rsid w:val="00333C1C"/>
    <w:rsid w:val="00333F07"/>
    <w:rsid w:val="003341B8"/>
    <w:rsid w:val="00336708"/>
    <w:rsid w:val="00336A51"/>
    <w:rsid w:val="00337920"/>
    <w:rsid w:val="00337BBF"/>
    <w:rsid w:val="0034212E"/>
    <w:rsid w:val="003425D3"/>
    <w:rsid w:val="0034434A"/>
    <w:rsid w:val="003466F5"/>
    <w:rsid w:val="00346DDA"/>
    <w:rsid w:val="0034770B"/>
    <w:rsid w:val="003514A0"/>
    <w:rsid w:val="003515FA"/>
    <w:rsid w:val="00354AC8"/>
    <w:rsid w:val="00354E1E"/>
    <w:rsid w:val="0035584C"/>
    <w:rsid w:val="003579A3"/>
    <w:rsid w:val="00360D0A"/>
    <w:rsid w:val="00361C2A"/>
    <w:rsid w:val="00364131"/>
    <w:rsid w:val="0036432F"/>
    <w:rsid w:val="00364505"/>
    <w:rsid w:val="00366774"/>
    <w:rsid w:val="00370E70"/>
    <w:rsid w:val="003715B5"/>
    <w:rsid w:val="00381A9B"/>
    <w:rsid w:val="00383282"/>
    <w:rsid w:val="00383B4F"/>
    <w:rsid w:val="00384ADE"/>
    <w:rsid w:val="00385271"/>
    <w:rsid w:val="00390009"/>
    <w:rsid w:val="003901FF"/>
    <w:rsid w:val="00390A2E"/>
    <w:rsid w:val="00390EB1"/>
    <w:rsid w:val="0039145E"/>
    <w:rsid w:val="00394E37"/>
    <w:rsid w:val="0039546D"/>
    <w:rsid w:val="003954A6"/>
    <w:rsid w:val="0039686B"/>
    <w:rsid w:val="003A1711"/>
    <w:rsid w:val="003A2D46"/>
    <w:rsid w:val="003A315D"/>
    <w:rsid w:val="003A44BB"/>
    <w:rsid w:val="003A63B7"/>
    <w:rsid w:val="003A6693"/>
    <w:rsid w:val="003B0B94"/>
    <w:rsid w:val="003B1373"/>
    <w:rsid w:val="003B25F3"/>
    <w:rsid w:val="003B3C3B"/>
    <w:rsid w:val="003B567A"/>
    <w:rsid w:val="003C0590"/>
    <w:rsid w:val="003C2669"/>
    <w:rsid w:val="003C3581"/>
    <w:rsid w:val="003C4403"/>
    <w:rsid w:val="003C49C5"/>
    <w:rsid w:val="003C5C94"/>
    <w:rsid w:val="003C6624"/>
    <w:rsid w:val="003C6C10"/>
    <w:rsid w:val="003D3B25"/>
    <w:rsid w:val="003E0533"/>
    <w:rsid w:val="003E0B39"/>
    <w:rsid w:val="003E1E90"/>
    <w:rsid w:val="003E3897"/>
    <w:rsid w:val="003E45D9"/>
    <w:rsid w:val="003E4A88"/>
    <w:rsid w:val="003F00E7"/>
    <w:rsid w:val="003F09C2"/>
    <w:rsid w:val="003F3D87"/>
    <w:rsid w:val="003F59E9"/>
    <w:rsid w:val="003F73A9"/>
    <w:rsid w:val="00401496"/>
    <w:rsid w:val="004019BE"/>
    <w:rsid w:val="00401FAC"/>
    <w:rsid w:val="00402C45"/>
    <w:rsid w:val="00402D29"/>
    <w:rsid w:val="00405348"/>
    <w:rsid w:val="00407AAE"/>
    <w:rsid w:val="0041151E"/>
    <w:rsid w:val="00412CD9"/>
    <w:rsid w:val="00420107"/>
    <w:rsid w:val="004228D0"/>
    <w:rsid w:val="0042308E"/>
    <w:rsid w:val="00423FED"/>
    <w:rsid w:val="0042722B"/>
    <w:rsid w:val="00432E1F"/>
    <w:rsid w:val="004330EB"/>
    <w:rsid w:val="00434E4A"/>
    <w:rsid w:val="0043510B"/>
    <w:rsid w:val="00435111"/>
    <w:rsid w:val="00437E44"/>
    <w:rsid w:val="0044230F"/>
    <w:rsid w:val="00444B9F"/>
    <w:rsid w:val="004454BD"/>
    <w:rsid w:val="004458E8"/>
    <w:rsid w:val="00445B18"/>
    <w:rsid w:val="00446458"/>
    <w:rsid w:val="00447C7B"/>
    <w:rsid w:val="004515F8"/>
    <w:rsid w:val="0045199B"/>
    <w:rsid w:val="00452654"/>
    <w:rsid w:val="00453A7B"/>
    <w:rsid w:val="00454134"/>
    <w:rsid w:val="00454D03"/>
    <w:rsid w:val="0045520A"/>
    <w:rsid w:val="004552BD"/>
    <w:rsid w:val="00456887"/>
    <w:rsid w:val="00460DF8"/>
    <w:rsid w:val="00464FB6"/>
    <w:rsid w:val="00467EDF"/>
    <w:rsid w:val="00471B9D"/>
    <w:rsid w:val="00472D1A"/>
    <w:rsid w:val="004762DC"/>
    <w:rsid w:val="00477204"/>
    <w:rsid w:val="00477736"/>
    <w:rsid w:val="00477A66"/>
    <w:rsid w:val="0048040D"/>
    <w:rsid w:val="0048337E"/>
    <w:rsid w:val="00484D6A"/>
    <w:rsid w:val="00484DC6"/>
    <w:rsid w:val="00485619"/>
    <w:rsid w:val="0048623C"/>
    <w:rsid w:val="00490508"/>
    <w:rsid w:val="00491CCD"/>
    <w:rsid w:val="004930B6"/>
    <w:rsid w:val="0049448B"/>
    <w:rsid w:val="0049658D"/>
    <w:rsid w:val="00497F6F"/>
    <w:rsid w:val="004A01A2"/>
    <w:rsid w:val="004A04C5"/>
    <w:rsid w:val="004A1352"/>
    <w:rsid w:val="004A4B4F"/>
    <w:rsid w:val="004A4B72"/>
    <w:rsid w:val="004A4F45"/>
    <w:rsid w:val="004A59BF"/>
    <w:rsid w:val="004A7618"/>
    <w:rsid w:val="004B0514"/>
    <w:rsid w:val="004B32E5"/>
    <w:rsid w:val="004B510D"/>
    <w:rsid w:val="004C009F"/>
    <w:rsid w:val="004C1609"/>
    <w:rsid w:val="004C48A8"/>
    <w:rsid w:val="004C4C32"/>
    <w:rsid w:val="004C5C5E"/>
    <w:rsid w:val="004D1F40"/>
    <w:rsid w:val="004D2E3F"/>
    <w:rsid w:val="004D3719"/>
    <w:rsid w:val="004D3C4D"/>
    <w:rsid w:val="004D5B20"/>
    <w:rsid w:val="004E278E"/>
    <w:rsid w:val="004E295B"/>
    <w:rsid w:val="004E2A80"/>
    <w:rsid w:val="004E5A1F"/>
    <w:rsid w:val="004E61FE"/>
    <w:rsid w:val="004F0077"/>
    <w:rsid w:val="004F0079"/>
    <w:rsid w:val="004F3BAC"/>
    <w:rsid w:val="004F444B"/>
    <w:rsid w:val="004F5A1C"/>
    <w:rsid w:val="004F7907"/>
    <w:rsid w:val="00505610"/>
    <w:rsid w:val="00507978"/>
    <w:rsid w:val="00507D48"/>
    <w:rsid w:val="00510752"/>
    <w:rsid w:val="005156B8"/>
    <w:rsid w:val="0051586D"/>
    <w:rsid w:val="005162D4"/>
    <w:rsid w:val="005172A0"/>
    <w:rsid w:val="00517328"/>
    <w:rsid w:val="00520DD0"/>
    <w:rsid w:val="00527873"/>
    <w:rsid w:val="005279F6"/>
    <w:rsid w:val="00531889"/>
    <w:rsid w:val="005333E4"/>
    <w:rsid w:val="00535E8D"/>
    <w:rsid w:val="00535E93"/>
    <w:rsid w:val="00537ACF"/>
    <w:rsid w:val="00537B46"/>
    <w:rsid w:val="005403E3"/>
    <w:rsid w:val="005407A1"/>
    <w:rsid w:val="00540A84"/>
    <w:rsid w:val="005410CF"/>
    <w:rsid w:val="00544921"/>
    <w:rsid w:val="005471B4"/>
    <w:rsid w:val="00547248"/>
    <w:rsid w:val="00547D9C"/>
    <w:rsid w:val="005503BA"/>
    <w:rsid w:val="00553236"/>
    <w:rsid w:val="00554134"/>
    <w:rsid w:val="00555300"/>
    <w:rsid w:val="00555CAB"/>
    <w:rsid w:val="0056054D"/>
    <w:rsid w:val="005619EA"/>
    <w:rsid w:val="00562373"/>
    <w:rsid w:val="00562419"/>
    <w:rsid w:val="00563094"/>
    <w:rsid w:val="00563EE9"/>
    <w:rsid w:val="00563F1E"/>
    <w:rsid w:val="005641FF"/>
    <w:rsid w:val="00564AE9"/>
    <w:rsid w:val="00567F8F"/>
    <w:rsid w:val="0057496F"/>
    <w:rsid w:val="00577ECB"/>
    <w:rsid w:val="005812B9"/>
    <w:rsid w:val="00582B4D"/>
    <w:rsid w:val="00583C16"/>
    <w:rsid w:val="00584451"/>
    <w:rsid w:val="00586711"/>
    <w:rsid w:val="0059119C"/>
    <w:rsid w:val="00592865"/>
    <w:rsid w:val="00593D76"/>
    <w:rsid w:val="00595678"/>
    <w:rsid w:val="00595AB4"/>
    <w:rsid w:val="005A23C1"/>
    <w:rsid w:val="005A2B59"/>
    <w:rsid w:val="005A4B5D"/>
    <w:rsid w:val="005A670C"/>
    <w:rsid w:val="005B096D"/>
    <w:rsid w:val="005B5434"/>
    <w:rsid w:val="005B79FF"/>
    <w:rsid w:val="005C1513"/>
    <w:rsid w:val="005C5F9C"/>
    <w:rsid w:val="005C7E3B"/>
    <w:rsid w:val="005D0F8D"/>
    <w:rsid w:val="005D0FD4"/>
    <w:rsid w:val="005D2E2F"/>
    <w:rsid w:val="005D30DE"/>
    <w:rsid w:val="005D33F5"/>
    <w:rsid w:val="005D378D"/>
    <w:rsid w:val="005D3953"/>
    <w:rsid w:val="005D58C0"/>
    <w:rsid w:val="005D666B"/>
    <w:rsid w:val="005E1C5E"/>
    <w:rsid w:val="005E2910"/>
    <w:rsid w:val="005E3B00"/>
    <w:rsid w:val="005E6B5E"/>
    <w:rsid w:val="005F1B23"/>
    <w:rsid w:val="005F2D78"/>
    <w:rsid w:val="005F3496"/>
    <w:rsid w:val="005F66EB"/>
    <w:rsid w:val="005F7CD3"/>
    <w:rsid w:val="006023F5"/>
    <w:rsid w:val="00602D74"/>
    <w:rsid w:val="00603C3D"/>
    <w:rsid w:val="00603CA2"/>
    <w:rsid w:val="006041FA"/>
    <w:rsid w:val="00604E10"/>
    <w:rsid w:val="00610EEE"/>
    <w:rsid w:val="00615396"/>
    <w:rsid w:val="00615C51"/>
    <w:rsid w:val="0061600E"/>
    <w:rsid w:val="0061756D"/>
    <w:rsid w:val="00617F72"/>
    <w:rsid w:val="0062109B"/>
    <w:rsid w:val="006217AA"/>
    <w:rsid w:val="006227A6"/>
    <w:rsid w:val="00623226"/>
    <w:rsid w:val="00623B2D"/>
    <w:rsid w:val="00624606"/>
    <w:rsid w:val="006259FD"/>
    <w:rsid w:val="00626270"/>
    <w:rsid w:val="00627987"/>
    <w:rsid w:val="0063192D"/>
    <w:rsid w:val="00632ED7"/>
    <w:rsid w:val="00636284"/>
    <w:rsid w:val="006363B4"/>
    <w:rsid w:val="00640300"/>
    <w:rsid w:val="00641D59"/>
    <w:rsid w:val="006427A8"/>
    <w:rsid w:val="00643045"/>
    <w:rsid w:val="0064423E"/>
    <w:rsid w:val="00644754"/>
    <w:rsid w:val="00645720"/>
    <w:rsid w:val="0064593B"/>
    <w:rsid w:val="00645C08"/>
    <w:rsid w:val="00647562"/>
    <w:rsid w:val="006479A2"/>
    <w:rsid w:val="00650646"/>
    <w:rsid w:val="006508CF"/>
    <w:rsid w:val="00650F77"/>
    <w:rsid w:val="00655275"/>
    <w:rsid w:val="00655A23"/>
    <w:rsid w:val="0065619E"/>
    <w:rsid w:val="00657070"/>
    <w:rsid w:val="00657503"/>
    <w:rsid w:val="00657B90"/>
    <w:rsid w:val="00662781"/>
    <w:rsid w:val="0066299B"/>
    <w:rsid w:val="00663E98"/>
    <w:rsid w:val="006670C4"/>
    <w:rsid w:val="00667B73"/>
    <w:rsid w:val="00667FD5"/>
    <w:rsid w:val="006700B7"/>
    <w:rsid w:val="006704BC"/>
    <w:rsid w:val="006709C7"/>
    <w:rsid w:val="00670B61"/>
    <w:rsid w:val="00674C3E"/>
    <w:rsid w:val="0068213C"/>
    <w:rsid w:val="00683238"/>
    <w:rsid w:val="00684249"/>
    <w:rsid w:val="006844C5"/>
    <w:rsid w:val="00684BF1"/>
    <w:rsid w:val="00685ED2"/>
    <w:rsid w:val="00687D9F"/>
    <w:rsid w:val="00687E80"/>
    <w:rsid w:val="0069099C"/>
    <w:rsid w:val="006912E4"/>
    <w:rsid w:val="00693973"/>
    <w:rsid w:val="00694F93"/>
    <w:rsid w:val="006A056B"/>
    <w:rsid w:val="006A1195"/>
    <w:rsid w:val="006A1538"/>
    <w:rsid w:val="006A179A"/>
    <w:rsid w:val="006A5346"/>
    <w:rsid w:val="006A547F"/>
    <w:rsid w:val="006A7F1E"/>
    <w:rsid w:val="006B4E4B"/>
    <w:rsid w:val="006B4E90"/>
    <w:rsid w:val="006C1E9E"/>
    <w:rsid w:val="006C3C3B"/>
    <w:rsid w:val="006C4219"/>
    <w:rsid w:val="006C520D"/>
    <w:rsid w:val="006C56FA"/>
    <w:rsid w:val="006D3840"/>
    <w:rsid w:val="006D418B"/>
    <w:rsid w:val="006D5B39"/>
    <w:rsid w:val="006D5DE0"/>
    <w:rsid w:val="006D6A45"/>
    <w:rsid w:val="006D7D45"/>
    <w:rsid w:val="006E056C"/>
    <w:rsid w:val="006E09B1"/>
    <w:rsid w:val="006E12FA"/>
    <w:rsid w:val="006E3DC7"/>
    <w:rsid w:val="006E6390"/>
    <w:rsid w:val="006F1D12"/>
    <w:rsid w:val="006F434E"/>
    <w:rsid w:val="006F581E"/>
    <w:rsid w:val="006F625D"/>
    <w:rsid w:val="006F6BA9"/>
    <w:rsid w:val="006F73E9"/>
    <w:rsid w:val="006F73F7"/>
    <w:rsid w:val="00700C34"/>
    <w:rsid w:val="00700FFA"/>
    <w:rsid w:val="00701102"/>
    <w:rsid w:val="007041AA"/>
    <w:rsid w:val="0070503A"/>
    <w:rsid w:val="00705EAE"/>
    <w:rsid w:val="00710016"/>
    <w:rsid w:val="007130C0"/>
    <w:rsid w:val="007141D8"/>
    <w:rsid w:val="00716E3D"/>
    <w:rsid w:val="00721982"/>
    <w:rsid w:val="007226EE"/>
    <w:rsid w:val="00724543"/>
    <w:rsid w:val="007275B3"/>
    <w:rsid w:val="00730BA7"/>
    <w:rsid w:val="00730E0A"/>
    <w:rsid w:val="007323E7"/>
    <w:rsid w:val="00733170"/>
    <w:rsid w:val="0073351B"/>
    <w:rsid w:val="007337A9"/>
    <w:rsid w:val="00733A08"/>
    <w:rsid w:val="007340D3"/>
    <w:rsid w:val="00734B93"/>
    <w:rsid w:val="007361CE"/>
    <w:rsid w:val="007371BF"/>
    <w:rsid w:val="00742CC3"/>
    <w:rsid w:val="007445EB"/>
    <w:rsid w:val="00745BDA"/>
    <w:rsid w:val="00746758"/>
    <w:rsid w:val="00747BE4"/>
    <w:rsid w:val="00751AE8"/>
    <w:rsid w:val="00753021"/>
    <w:rsid w:val="007530D5"/>
    <w:rsid w:val="007530E2"/>
    <w:rsid w:val="00753124"/>
    <w:rsid w:val="007556C3"/>
    <w:rsid w:val="00755815"/>
    <w:rsid w:val="00755CED"/>
    <w:rsid w:val="00756461"/>
    <w:rsid w:val="00757AA2"/>
    <w:rsid w:val="00760596"/>
    <w:rsid w:val="00760BAD"/>
    <w:rsid w:val="007647BC"/>
    <w:rsid w:val="00764B5D"/>
    <w:rsid w:val="00765EEA"/>
    <w:rsid w:val="007663A7"/>
    <w:rsid w:val="0077018A"/>
    <w:rsid w:val="00770BA7"/>
    <w:rsid w:val="00772090"/>
    <w:rsid w:val="007802FC"/>
    <w:rsid w:val="007803E2"/>
    <w:rsid w:val="00781224"/>
    <w:rsid w:val="00786714"/>
    <w:rsid w:val="00787380"/>
    <w:rsid w:val="007876D4"/>
    <w:rsid w:val="00787A35"/>
    <w:rsid w:val="0079046D"/>
    <w:rsid w:val="00792B81"/>
    <w:rsid w:val="00793651"/>
    <w:rsid w:val="00793AE0"/>
    <w:rsid w:val="00793EEA"/>
    <w:rsid w:val="00794B47"/>
    <w:rsid w:val="007965E9"/>
    <w:rsid w:val="00796BC2"/>
    <w:rsid w:val="00797733"/>
    <w:rsid w:val="0079780A"/>
    <w:rsid w:val="007A0729"/>
    <w:rsid w:val="007A3CD7"/>
    <w:rsid w:val="007A3EF4"/>
    <w:rsid w:val="007A4CAB"/>
    <w:rsid w:val="007A6B43"/>
    <w:rsid w:val="007B14C8"/>
    <w:rsid w:val="007B168D"/>
    <w:rsid w:val="007B2E1F"/>
    <w:rsid w:val="007B4B30"/>
    <w:rsid w:val="007B5165"/>
    <w:rsid w:val="007B680B"/>
    <w:rsid w:val="007B6CF4"/>
    <w:rsid w:val="007B6D94"/>
    <w:rsid w:val="007B7A2C"/>
    <w:rsid w:val="007C1AEC"/>
    <w:rsid w:val="007C577D"/>
    <w:rsid w:val="007C5CC7"/>
    <w:rsid w:val="007C6088"/>
    <w:rsid w:val="007C726E"/>
    <w:rsid w:val="007D4332"/>
    <w:rsid w:val="007D4561"/>
    <w:rsid w:val="007D5751"/>
    <w:rsid w:val="007D5857"/>
    <w:rsid w:val="007E0640"/>
    <w:rsid w:val="007E3FCD"/>
    <w:rsid w:val="007F04DE"/>
    <w:rsid w:val="007F396D"/>
    <w:rsid w:val="007F53D8"/>
    <w:rsid w:val="007F5476"/>
    <w:rsid w:val="007F5C7A"/>
    <w:rsid w:val="007F709C"/>
    <w:rsid w:val="007F7660"/>
    <w:rsid w:val="007F7C41"/>
    <w:rsid w:val="00800097"/>
    <w:rsid w:val="00801010"/>
    <w:rsid w:val="008010BA"/>
    <w:rsid w:val="008074E4"/>
    <w:rsid w:val="00810F65"/>
    <w:rsid w:val="008124EA"/>
    <w:rsid w:val="008139F9"/>
    <w:rsid w:val="00815D00"/>
    <w:rsid w:val="00820F5C"/>
    <w:rsid w:val="00821B82"/>
    <w:rsid w:val="00822E50"/>
    <w:rsid w:val="008241BF"/>
    <w:rsid w:val="00824D55"/>
    <w:rsid w:val="0082622E"/>
    <w:rsid w:val="00826A9A"/>
    <w:rsid w:val="00826F98"/>
    <w:rsid w:val="00827032"/>
    <w:rsid w:val="0083311A"/>
    <w:rsid w:val="0083536E"/>
    <w:rsid w:val="008353A5"/>
    <w:rsid w:val="00835E10"/>
    <w:rsid w:val="008365E2"/>
    <w:rsid w:val="008412A3"/>
    <w:rsid w:val="00842264"/>
    <w:rsid w:val="0084427D"/>
    <w:rsid w:val="008445AD"/>
    <w:rsid w:val="00845917"/>
    <w:rsid w:val="00855CEE"/>
    <w:rsid w:val="00857339"/>
    <w:rsid w:val="00857AE2"/>
    <w:rsid w:val="008608DF"/>
    <w:rsid w:val="0086125C"/>
    <w:rsid w:val="00861696"/>
    <w:rsid w:val="0086203D"/>
    <w:rsid w:val="008623ED"/>
    <w:rsid w:val="00864449"/>
    <w:rsid w:val="00864C64"/>
    <w:rsid w:val="00867E79"/>
    <w:rsid w:val="008740D8"/>
    <w:rsid w:val="00874996"/>
    <w:rsid w:val="0087556B"/>
    <w:rsid w:val="00875828"/>
    <w:rsid w:val="00876389"/>
    <w:rsid w:val="008804E2"/>
    <w:rsid w:val="0088188E"/>
    <w:rsid w:val="00883E86"/>
    <w:rsid w:val="00887AAD"/>
    <w:rsid w:val="008924DF"/>
    <w:rsid w:val="00894FD5"/>
    <w:rsid w:val="00896825"/>
    <w:rsid w:val="00897DA2"/>
    <w:rsid w:val="008A0052"/>
    <w:rsid w:val="008A19AF"/>
    <w:rsid w:val="008A1C74"/>
    <w:rsid w:val="008A4C56"/>
    <w:rsid w:val="008A5E09"/>
    <w:rsid w:val="008B1139"/>
    <w:rsid w:val="008B1B1B"/>
    <w:rsid w:val="008B1D16"/>
    <w:rsid w:val="008B537E"/>
    <w:rsid w:val="008B6420"/>
    <w:rsid w:val="008C23D3"/>
    <w:rsid w:val="008C3603"/>
    <w:rsid w:val="008C5B4B"/>
    <w:rsid w:val="008C65B1"/>
    <w:rsid w:val="008C6A2B"/>
    <w:rsid w:val="008C6F5D"/>
    <w:rsid w:val="008C7645"/>
    <w:rsid w:val="008D095D"/>
    <w:rsid w:val="008D0B5F"/>
    <w:rsid w:val="008D1533"/>
    <w:rsid w:val="008D2DED"/>
    <w:rsid w:val="008D35FA"/>
    <w:rsid w:val="008D6B6C"/>
    <w:rsid w:val="008D7843"/>
    <w:rsid w:val="008E0023"/>
    <w:rsid w:val="008E3042"/>
    <w:rsid w:val="008E3261"/>
    <w:rsid w:val="008E3E51"/>
    <w:rsid w:val="008E4B52"/>
    <w:rsid w:val="008E4BBB"/>
    <w:rsid w:val="008E52ED"/>
    <w:rsid w:val="008E5769"/>
    <w:rsid w:val="008E5AC0"/>
    <w:rsid w:val="008F0DAD"/>
    <w:rsid w:val="008F152E"/>
    <w:rsid w:val="008F16B4"/>
    <w:rsid w:val="008F1F7F"/>
    <w:rsid w:val="008F4C73"/>
    <w:rsid w:val="008F7721"/>
    <w:rsid w:val="00900C5A"/>
    <w:rsid w:val="00902630"/>
    <w:rsid w:val="0090339A"/>
    <w:rsid w:val="00905CBA"/>
    <w:rsid w:val="00907E60"/>
    <w:rsid w:val="00910C34"/>
    <w:rsid w:val="00911AE5"/>
    <w:rsid w:val="009120C2"/>
    <w:rsid w:val="00912788"/>
    <w:rsid w:val="00914349"/>
    <w:rsid w:val="009159CC"/>
    <w:rsid w:val="00915FF8"/>
    <w:rsid w:val="0091686C"/>
    <w:rsid w:val="0092052D"/>
    <w:rsid w:val="00921B60"/>
    <w:rsid w:val="00922A89"/>
    <w:rsid w:val="00922F0D"/>
    <w:rsid w:val="009272B0"/>
    <w:rsid w:val="009301DD"/>
    <w:rsid w:val="00931370"/>
    <w:rsid w:val="009319AF"/>
    <w:rsid w:val="00932A59"/>
    <w:rsid w:val="00934695"/>
    <w:rsid w:val="009346C6"/>
    <w:rsid w:val="00935868"/>
    <w:rsid w:val="00936162"/>
    <w:rsid w:val="00936CA4"/>
    <w:rsid w:val="009410D8"/>
    <w:rsid w:val="00941389"/>
    <w:rsid w:val="00941883"/>
    <w:rsid w:val="00943B04"/>
    <w:rsid w:val="00944868"/>
    <w:rsid w:val="00947A9C"/>
    <w:rsid w:val="00947BDA"/>
    <w:rsid w:val="009548A4"/>
    <w:rsid w:val="00955AE4"/>
    <w:rsid w:val="00957643"/>
    <w:rsid w:val="00961146"/>
    <w:rsid w:val="00962D67"/>
    <w:rsid w:val="0096625E"/>
    <w:rsid w:val="00971521"/>
    <w:rsid w:val="009719FC"/>
    <w:rsid w:val="00972374"/>
    <w:rsid w:val="00975538"/>
    <w:rsid w:val="00983C27"/>
    <w:rsid w:val="00983CFC"/>
    <w:rsid w:val="009851F1"/>
    <w:rsid w:val="009868C9"/>
    <w:rsid w:val="00987404"/>
    <w:rsid w:val="009907F6"/>
    <w:rsid w:val="00992C2B"/>
    <w:rsid w:val="00995E41"/>
    <w:rsid w:val="00996795"/>
    <w:rsid w:val="009A4C90"/>
    <w:rsid w:val="009A4E6B"/>
    <w:rsid w:val="009A5DDE"/>
    <w:rsid w:val="009B063C"/>
    <w:rsid w:val="009B229C"/>
    <w:rsid w:val="009B31EB"/>
    <w:rsid w:val="009B324A"/>
    <w:rsid w:val="009B35A1"/>
    <w:rsid w:val="009B52DE"/>
    <w:rsid w:val="009B5A8D"/>
    <w:rsid w:val="009B5F7F"/>
    <w:rsid w:val="009B666C"/>
    <w:rsid w:val="009B6F56"/>
    <w:rsid w:val="009B70E8"/>
    <w:rsid w:val="009B7BE4"/>
    <w:rsid w:val="009C1E5F"/>
    <w:rsid w:val="009C2440"/>
    <w:rsid w:val="009C3AA5"/>
    <w:rsid w:val="009C415F"/>
    <w:rsid w:val="009C504E"/>
    <w:rsid w:val="009D1FE4"/>
    <w:rsid w:val="009D2B25"/>
    <w:rsid w:val="009D4F09"/>
    <w:rsid w:val="009D63CF"/>
    <w:rsid w:val="009D647F"/>
    <w:rsid w:val="009E0092"/>
    <w:rsid w:val="009E0FBA"/>
    <w:rsid w:val="009E243A"/>
    <w:rsid w:val="009E44CF"/>
    <w:rsid w:val="009E5F11"/>
    <w:rsid w:val="009E68D4"/>
    <w:rsid w:val="009F036E"/>
    <w:rsid w:val="009F48D4"/>
    <w:rsid w:val="009F4E58"/>
    <w:rsid w:val="009F6DDF"/>
    <w:rsid w:val="00A0034D"/>
    <w:rsid w:val="00A008B4"/>
    <w:rsid w:val="00A059F6"/>
    <w:rsid w:val="00A0676D"/>
    <w:rsid w:val="00A11427"/>
    <w:rsid w:val="00A11440"/>
    <w:rsid w:val="00A11482"/>
    <w:rsid w:val="00A13EAE"/>
    <w:rsid w:val="00A15E4A"/>
    <w:rsid w:val="00A1760C"/>
    <w:rsid w:val="00A17B09"/>
    <w:rsid w:val="00A17CD2"/>
    <w:rsid w:val="00A2338B"/>
    <w:rsid w:val="00A23AA7"/>
    <w:rsid w:val="00A249DF"/>
    <w:rsid w:val="00A276A8"/>
    <w:rsid w:val="00A27B3A"/>
    <w:rsid w:val="00A30AA5"/>
    <w:rsid w:val="00A31A3E"/>
    <w:rsid w:val="00A3418F"/>
    <w:rsid w:val="00A41E4C"/>
    <w:rsid w:val="00A4395A"/>
    <w:rsid w:val="00A474A7"/>
    <w:rsid w:val="00A47F08"/>
    <w:rsid w:val="00A554DF"/>
    <w:rsid w:val="00A56245"/>
    <w:rsid w:val="00A56308"/>
    <w:rsid w:val="00A56632"/>
    <w:rsid w:val="00A566F4"/>
    <w:rsid w:val="00A57FA9"/>
    <w:rsid w:val="00A60A79"/>
    <w:rsid w:val="00A709FF"/>
    <w:rsid w:val="00A72612"/>
    <w:rsid w:val="00A72E3B"/>
    <w:rsid w:val="00A76AC5"/>
    <w:rsid w:val="00A7706D"/>
    <w:rsid w:val="00A82C56"/>
    <w:rsid w:val="00A837E4"/>
    <w:rsid w:val="00A85BD0"/>
    <w:rsid w:val="00A86FFB"/>
    <w:rsid w:val="00A87B78"/>
    <w:rsid w:val="00A9270F"/>
    <w:rsid w:val="00A92782"/>
    <w:rsid w:val="00A932C8"/>
    <w:rsid w:val="00A942DE"/>
    <w:rsid w:val="00A95611"/>
    <w:rsid w:val="00A96FE1"/>
    <w:rsid w:val="00AA1853"/>
    <w:rsid w:val="00AA1FD1"/>
    <w:rsid w:val="00AA21DA"/>
    <w:rsid w:val="00AA45DE"/>
    <w:rsid w:val="00AB6D4B"/>
    <w:rsid w:val="00AB6E80"/>
    <w:rsid w:val="00AC1DA5"/>
    <w:rsid w:val="00AC4BF9"/>
    <w:rsid w:val="00AC6EF3"/>
    <w:rsid w:val="00AC75DF"/>
    <w:rsid w:val="00AD0595"/>
    <w:rsid w:val="00AD11DB"/>
    <w:rsid w:val="00AD66CE"/>
    <w:rsid w:val="00AD7039"/>
    <w:rsid w:val="00AE19FC"/>
    <w:rsid w:val="00AE3610"/>
    <w:rsid w:val="00AE4EE9"/>
    <w:rsid w:val="00AE50EB"/>
    <w:rsid w:val="00AE720D"/>
    <w:rsid w:val="00AE77FF"/>
    <w:rsid w:val="00AE7E9C"/>
    <w:rsid w:val="00AF18F1"/>
    <w:rsid w:val="00AF1D06"/>
    <w:rsid w:val="00AF260B"/>
    <w:rsid w:val="00AF3C1E"/>
    <w:rsid w:val="00AF58D8"/>
    <w:rsid w:val="00AF72E3"/>
    <w:rsid w:val="00B01CD9"/>
    <w:rsid w:val="00B03A79"/>
    <w:rsid w:val="00B04D0A"/>
    <w:rsid w:val="00B134CA"/>
    <w:rsid w:val="00B21509"/>
    <w:rsid w:val="00B21C9A"/>
    <w:rsid w:val="00B223D3"/>
    <w:rsid w:val="00B27788"/>
    <w:rsid w:val="00B30A36"/>
    <w:rsid w:val="00B32D0A"/>
    <w:rsid w:val="00B35486"/>
    <w:rsid w:val="00B3572D"/>
    <w:rsid w:val="00B35A68"/>
    <w:rsid w:val="00B35F44"/>
    <w:rsid w:val="00B37D29"/>
    <w:rsid w:val="00B40CF7"/>
    <w:rsid w:val="00B41E61"/>
    <w:rsid w:val="00B42854"/>
    <w:rsid w:val="00B44276"/>
    <w:rsid w:val="00B47EEF"/>
    <w:rsid w:val="00B50C57"/>
    <w:rsid w:val="00B50E6B"/>
    <w:rsid w:val="00B51025"/>
    <w:rsid w:val="00B5108E"/>
    <w:rsid w:val="00B51E71"/>
    <w:rsid w:val="00B557CC"/>
    <w:rsid w:val="00B57DD7"/>
    <w:rsid w:val="00B605FA"/>
    <w:rsid w:val="00B61567"/>
    <w:rsid w:val="00B61FFF"/>
    <w:rsid w:val="00B62E47"/>
    <w:rsid w:val="00B639A6"/>
    <w:rsid w:val="00B63D6B"/>
    <w:rsid w:val="00B64113"/>
    <w:rsid w:val="00B644D1"/>
    <w:rsid w:val="00B65B9D"/>
    <w:rsid w:val="00B65C6B"/>
    <w:rsid w:val="00B66194"/>
    <w:rsid w:val="00B6778D"/>
    <w:rsid w:val="00B70059"/>
    <w:rsid w:val="00B70301"/>
    <w:rsid w:val="00B7090B"/>
    <w:rsid w:val="00B71450"/>
    <w:rsid w:val="00B7224C"/>
    <w:rsid w:val="00B7276A"/>
    <w:rsid w:val="00B734DA"/>
    <w:rsid w:val="00B7351F"/>
    <w:rsid w:val="00B73E6E"/>
    <w:rsid w:val="00B80350"/>
    <w:rsid w:val="00B81449"/>
    <w:rsid w:val="00B82B5E"/>
    <w:rsid w:val="00B8310D"/>
    <w:rsid w:val="00B83528"/>
    <w:rsid w:val="00B8364D"/>
    <w:rsid w:val="00B839D4"/>
    <w:rsid w:val="00B8647A"/>
    <w:rsid w:val="00B86614"/>
    <w:rsid w:val="00B86764"/>
    <w:rsid w:val="00B90030"/>
    <w:rsid w:val="00B90351"/>
    <w:rsid w:val="00B91B49"/>
    <w:rsid w:val="00B91C3D"/>
    <w:rsid w:val="00B941CE"/>
    <w:rsid w:val="00B95158"/>
    <w:rsid w:val="00B96342"/>
    <w:rsid w:val="00B9668F"/>
    <w:rsid w:val="00B97F24"/>
    <w:rsid w:val="00BA0FE1"/>
    <w:rsid w:val="00BA110C"/>
    <w:rsid w:val="00BA1D49"/>
    <w:rsid w:val="00BA6A01"/>
    <w:rsid w:val="00BB35EB"/>
    <w:rsid w:val="00BB5F41"/>
    <w:rsid w:val="00BC082B"/>
    <w:rsid w:val="00BC0C9D"/>
    <w:rsid w:val="00BC331B"/>
    <w:rsid w:val="00BC4C49"/>
    <w:rsid w:val="00BC55CE"/>
    <w:rsid w:val="00BC6800"/>
    <w:rsid w:val="00BC78F1"/>
    <w:rsid w:val="00BD12E7"/>
    <w:rsid w:val="00BD4E1A"/>
    <w:rsid w:val="00BD7856"/>
    <w:rsid w:val="00BE112A"/>
    <w:rsid w:val="00BE136B"/>
    <w:rsid w:val="00BE16A1"/>
    <w:rsid w:val="00BE1D40"/>
    <w:rsid w:val="00BE3884"/>
    <w:rsid w:val="00BE3AA7"/>
    <w:rsid w:val="00BE4D01"/>
    <w:rsid w:val="00BE5253"/>
    <w:rsid w:val="00BE59B7"/>
    <w:rsid w:val="00BE7B90"/>
    <w:rsid w:val="00BF1B19"/>
    <w:rsid w:val="00BF27F0"/>
    <w:rsid w:val="00C00774"/>
    <w:rsid w:val="00C0192F"/>
    <w:rsid w:val="00C03031"/>
    <w:rsid w:val="00C0363A"/>
    <w:rsid w:val="00C03C1E"/>
    <w:rsid w:val="00C03D5C"/>
    <w:rsid w:val="00C05369"/>
    <w:rsid w:val="00C10318"/>
    <w:rsid w:val="00C12E7B"/>
    <w:rsid w:val="00C16131"/>
    <w:rsid w:val="00C20134"/>
    <w:rsid w:val="00C20186"/>
    <w:rsid w:val="00C21A72"/>
    <w:rsid w:val="00C23B87"/>
    <w:rsid w:val="00C268C2"/>
    <w:rsid w:val="00C320EB"/>
    <w:rsid w:val="00C3237C"/>
    <w:rsid w:val="00C33F72"/>
    <w:rsid w:val="00C34AED"/>
    <w:rsid w:val="00C3543A"/>
    <w:rsid w:val="00C36573"/>
    <w:rsid w:val="00C36633"/>
    <w:rsid w:val="00C403D1"/>
    <w:rsid w:val="00C40A42"/>
    <w:rsid w:val="00C40CE7"/>
    <w:rsid w:val="00C41338"/>
    <w:rsid w:val="00C416FD"/>
    <w:rsid w:val="00C41C65"/>
    <w:rsid w:val="00C43357"/>
    <w:rsid w:val="00C448D5"/>
    <w:rsid w:val="00C451E8"/>
    <w:rsid w:val="00C457D0"/>
    <w:rsid w:val="00C46341"/>
    <w:rsid w:val="00C46563"/>
    <w:rsid w:val="00C46DE1"/>
    <w:rsid w:val="00C50692"/>
    <w:rsid w:val="00C569DE"/>
    <w:rsid w:val="00C56A28"/>
    <w:rsid w:val="00C56CC4"/>
    <w:rsid w:val="00C60046"/>
    <w:rsid w:val="00C632B0"/>
    <w:rsid w:val="00C63885"/>
    <w:rsid w:val="00C63FA8"/>
    <w:rsid w:val="00C66AF2"/>
    <w:rsid w:val="00C66ECB"/>
    <w:rsid w:val="00C66F2A"/>
    <w:rsid w:val="00C67DC2"/>
    <w:rsid w:val="00C67F42"/>
    <w:rsid w:val="00C72D31"/>
    <w:rsid w:val="00C731E8"/>
    <w:rsid w:val="00C74363"/>
    <w:rsid w:val="00C8653B"/>
    <w:rsid w:val="00C87CE5"/>
    <w:rsid w:val="00C9042B"/>
    <w:rsid w:val="00C9234C"/>
    <w:rsid w:val="00C95731"/>
    <w:rsid w:val="00C957A6"/>
    <w:rsid w:val="00C95C21"/>
    <w:rsid w:val="00C96411"/>
    <w:rsid w:val="00C96E31"/>
    <w:rsid w:val="00CA1130"/>
    <w:rsid w:val="00CA13CA"/>
    <w:rsid w:val="00CA3555"/>
    <w:rsid w:val="00CA573E"/>
    <w:rsid w:val="00CA7838"/>
    <w:rsid w:val="00CB0AF4"/>
    <w:rsid w:val="00CB1CBF"/>
    <w:rsid w:val="00CB3716"/>
    <w:rsid w:val="00CB417E"/>
    <w:rsid w:val="00CB46F6"/>
    <w:rsid w:val="00CB47EB"/>
    <w:rsid w:val="00CB54DB"/>
    <w:rsid w:val="00CB694C"/>
    <w:rsid w:val="00CB6BB5"/>
    <w:rsid w:val="00CC0633"/>
    <w:rsid w:val="00CC1BA2"/>
    <w:rsid w:val="00CC2533"/>
    <w:rsid w:val="00CC3629"/>
    <w:rsid w:val="00CC78AE"/>
    <w:rsid w:val="00CD1B34"/>
    <w:rsid w:val="00CD2E48"/>
    <w:rsid w:val="00CD3ED7"/>
    <w:rsid w:val="00CD411E"/>
    <w:rsid w:val="00CD5823"/>
    <w:rsid w:val="00CD6421"/>
    <w:rsid w:val="00CD7C9F"/>
    <w:rsid w:val="00CE2443"/>
    <w:rsid w:val="00CE4311"/>
    <w:rsid w:val="00CE625C"/>
    <w:rsid w:val="00CE7A6A"/>
    <w:rsid w:val="00CF391B"/>
    <w:rsid w:val="00CF45C6"/>
    <w:rsid w:val="00CF5E6B"/>
    <w:rsid w:val="00D05BE7"/>
    <w:rsid w:val="00D0667F"/>
    <w:rsid w:val="00D07A26"/>
    <w:rsid w:val="00D1097B"/>
    <w:rsid w:val="00D11D35"/>
    <w:rsid w:val="00D12B97"/>
    <w:rsid w:val="00D13176"/>
    <w:rsid w:val="00D15858"/>
    <w:rsid w:val="00D15909"/>
    <w:rsid w:val="00D1644A"/>
    <w:rsid w:val="00D17178"/>
    <w:rsid w:val="00D17478"/>
    <w:rsid w:val="00D174DB"/>
    <w:rsid w:val="00D17C98"/>
    <w:rsid w:val="00D24490"/>
    <w:rsid w:val="00D25CA4"/>
    <w:rsid w:val="00D2628F"/>
    <w:rsid w:val="00D268CE"/>
    <w:rsid w:val="00D27CEE"/>
    <w:rsid w:val="00D31EC9"/>
    <w:rsid w:val="00D3228C"/>
    <w:rsid w:val="00D32B8E"/>
    <w:rsid w:val="00D3552B"/>
    <w:rsid w:val="00D355D5"/>
    <w:rsid w:val="00D35AB2"/>
    <w:rsid w:val="00D36813"/>
    <w:rsid w:val="00D4326C"/>
    <w:rsid w:val="00D44119"/>
    <w:rsid w:val="00D44486"/>
    <w:rsid w:val="00D448C3"/>
    <w:rsid w:val="00D46117"/>
    <w:rsid w:val="00D52142"/>
    <w:rsid w:val="00D537FC"/>
    <w:rsid w:val="00D53957"/>
    <w:rsid w:val="00D54E7C"/>
    <w:rsid w:val="00D55AFF"/>
    <w:rsid w:val="00D57288"/>
    <w:rsid w:val="00D57B95"/>
    <w:rsid w:val="00D62D8D"/>
    <w:rsid w:val="00D63549"/>
    <w:rsid w:val="00D65240"/>
    <w:rsid w:val="00D70204"/>
    <w:rsid w:val="00D70470"/>
    <w:rsid w:val="00D712FC"/>
    <w:rsid w:val="00D75069"/>
    <w:rsid w:val="00D7599A"/>
    <w:rsid w:val="00D75CD4"/>
    <w:rsid w:val="00D768A0"/>
    <w:rsid w:val="00D77024"/>
    <w:rsid w:val="00D7757D"/>
    <w:rsid w:val="00D80A7B"/>
    <w:rsid w:val="00D8149F"/>
    <w:rsid w:val="00D84BE1"/>
    <w:rsid w:val="00D854B5"/>
    <w:rsid w:val="00D86B77"/>
    <w:rsid w:val="00D87872"/>
    <w:rsid w:val="00D90530"/>
    <w:rsid w:val="00D9083B"/>
    <w:rsid w:val="00D95712"/>
    <w:rsid w:val="00D96236"/>
    <w:rsid w:val="00D9637F"/>
    <w:rsid w:val="00D96EB1"/>
    <w:rsid w:val="00D97274"/>
    <w:rsid w:val="00DA190F"/>
    <w:rsid w:val="00DA429D"/>
    <w:rsid w:val="00DB19C7"/>
    <w:rsid w:val="00DB2073"/>
    <w:rsid w:val="00DB240E"/>
    <w:rsid w:val="00DB345F"/>
    <w:rsid w:val="00DB4827"/>
    <w:rsid w:val="00DC1A7A"/>
    <w:rsid w:val="00DC3702"/>
    <w:rsid w:val="00DC3B4A"/>
    <w:rsid w:val="00DC4BDE"/>
    <w:rsid w:val="00DD0B76"/>
    <w:rsid w:val="00DD229F"/>
    <w:rsid w:val="00DD2D39"/>
    <w:rsid w:val="00DD4AA8"/>
    <w:rsid w:val="00DD6E5B"/>
    <w:rsid w:val="00DD7D05"/>
    <w:rsid w:val="00DE0118"/>
    <w:rsid w:val="00DE0BB4"/>
    <w:rsid w:val="00DE10ED"/>
    <w:rsid w:val="00DE1516"/>
    <w:rsid w:val="00DE3D5F"/>
    <w:rsid w:val="00DE4B1B"/>
    <w:rsid w:val="00DE611F"/>
    <w:rsid w:val="00DE6356"/>
    <w:rsid w:val="00DE6C17"/>
    <w:rsid w:val="00DE7A80"/>
    <w:rsid w:val="00DE7EEF"/>
    <w:rsid w:val="00DF006F"/>
    <w:rsid w:val="00DF31CF"/>
    <w:rsid w:val="00DF41BC"/>
    <w:rsid w:val="00DF544E"/>
    <w:rsid w:val="00DF62F0"/>
    <w:rsid w:val="00DF670A"/>
    <w:rsid w:val="00DF6777"/>
    <w:rsid w:val="00DF73F8"/>
    <w:rsid w:val="00DF772E"/>
    <w:rsid w:val="00E05F15"/>
    <w:rsid w:val="00E06855"/>
    <w:rsid w:val="00E068EC"/>
    <w:rsid w:val="00E11772"/>
    <w:rsid w:val="00E11AE9"/>
    <w:rsid w:val="00E124CA"/>
    <w:rsid w:val="00E131BB"/>
    <w:rsid w:val="00E13433"/>
    <w:rsid w:val="00E13E6D"/>
    <w:rsid w:val="00E155A1"/>
    <w:rsid w:val="00E15B42"/>
    <w:rsid w:val="00E15F71"/>
    <w:rsid w:val="00E161A2"/>
    <w:rsid w:val="00E17ACC"/>
    <w:rsid w:val="00E2027A"/>
    <w:rsid w:val="00E207AD"/>
    <w:rsid w:val="00E2226B"/>
    <w:rsid w:val="00E25412"/>
    <w:rsid w:val="00E25EF5"/>
    <w:rsid w:val="00E278F8"/>
    <w:rsid w:val="00E30C3D"/>
    <w:rsid w:val="00E338F5"/>
    <w:rsid w:val="00E33AFC"/>
    <w:rsid w:val="00E36830"/>
    <w:rsid w:val="00E37BDA"/>
    <w:rsid w:val="00E40853"/>
    <w:rsid w:val="00E4641C"/>
    <w:rsid w:val="00E47259"/>
    <w:rsid w:val="00E5238C"/>
    <w:rsid w:val="00E60BB5"/>
    <w:rsid w:val="00E61B26"/>
    <w:rsid w:val="00E6451E"/>
    <w:rsid w:val="00E64928"/>
    <w:rsid w:val="00E654A4"/>
    <w:rsid w:val="00E65BF9"/>
    <w:rsid w:val="00E66F24"/>
    <w:rsid w:val="00E70D18"/>
    <w:rsid w:val="00E710C0"/>
    <w:rsid w:val="00E71E9C"/>
    <w:rsid w:val="00E72624"/>
    <w:rsid w:val="00E73CE5"/>
    <w:rsid w:val="00E75286"/>
    <w:rsid w:val="00E75688"/>
    <w:rsid w:val="00E7661F"/>
    <w:rsid w:val="00E80611"/>
    <w:rsid w:val="00E80B95"/>
    <w:rsid w:val="00E81257"/>
    <w:rsid w:val="00E832BE"/>
    <w:rsid w:val="00E8415C"/>
    <w:rsid w:val="00E90849"/>
    <w:rsid w:val="00E920D4"/>
    <w:rsid w:val="00E92158"/>
    <w:rsid w:val="00E93BFC"/>
    <w:rsid w:val="00E953DE"/>
    <w:rsid w:val="00E9548C"/>
    <w:rsid w:val="00E97A7A"/>
    <w:rsid w:val="00E97CBA"/>
    <w:rsid w:val="00EA2477"/>
    <w:rsid w:val="00EA395D"/>
    <w:rsid w:val="00EA39CD"/>
    <w:rsid w:val="00EA715A"/>
    <w:rsid w:val="00EB01E5"/>
    <w:rsid w:val="00EB2FE7"/>
    <w:rsid w:val="00EB5759"/>
    <w:rsid w:val="00EB5FD9"/>
    <w:rsid w:val="00EB73BE"/>
    <w:rsid w:val="00EB7639"/>
    <w:rsid w:val="00EB7F85"/>
    <w:rsid w:val="00EC05E1"/>
    <w:rsid w:val="00EC6E4A"/>
    <w:rsid w:val="00EC7B73"/>
    <w:rsid w:val="00EE60AF"/>
    <w:rsid w:val="00EE61D4"/>
    <w:rsid w:val="00EE64DE"/>
    <w:rsid w:val="00EF09BE"/>
    <w:rsid w:val="00EF2A03"/>
    <w:rsid w:val="00EF59A2"/>
    <w:rsid w:val="00EF59F3"/>
    <w:rsid w:val="00EF669A"/>
    <w:rsid w:val="00F01240"/>
    <w:rsid w:val="00F04DC3"/>
    <w:rsid w:val="00F11F03"/>
    <w:rsid w:val="00F129FF"/>
    <w:rsid w:val="00F12AA9"/>
    <w:rsid w:val="00F141C1"/>
    <w:rsid w:val="00F14C96"/>
    <w:rsid w:val="00F17188"/>
    <w:rsid w:val="00F21427"/>
    <w:rsid w:val="00F218B3"/>
    <w:rsid w:val="00F21C2A"/>
    <w:rsid w:val="00F23369"/>
    <w:rsid w:val="00F2388F"/>
    <w:rsid w:val="00F243F1"/>
    <w:rsid w:val="00F30FE2"/>
    <w:rsid w:val="00F311E0"/>
    <w:rsid w:val="00F35888"/>
    <w:rsid w:val="00F41F4E"/>
    <w:rsid w:val="00F43866"/>
    <w:rsid w:val="00F43CFF"/>
    <w:rsid w:val="00F44D14"/>
    <w:rsid w:val="00F46E04"/>
    <w:rsid w:val="00F47691"/>
    <w:rsid w:val="00F47F1C"/>
    <w:rsid w:val="00F51068"/>
    <w:rsid w:val="00F5356C"/>
    <w:rsid w:val="00F53AEC"/>
    <w:rsid w:val="00F5708C"/>
    <w:rsid w:val="00F570C3"/>
    <w:rsid w:val="00F64F77"/>
    <w:rsid w:val="00F65552"/>
    <w:rsid w:val="00F666BD"/>
    <w:rsid w:val="00F677C7"/>
    <w:rsid w:val="00F70B0D"/>
    <w:rsid w:val="00F718AC"/>
    <w:rsid w:val="00F71FDD"/>
    <w:rsid w:val="00F72A61"/>
    <w:rsid w:val="00F74633"/>
    <w:rsid w:val="00F761E3"/>
    <w:rsid w:val="00F76F24"/>
    <w:rsid w:val="00F81B8D"/>
    <w:rsid w:val="00F8515B"/>
    <w:rsid w:val="00F851A8"/>
    <w:rsid w:val="00F85F1B"/>
    <w:rsid w:val="00F9281A"/>
    <w:rsid w:val="00F93CCC"/>
    <w:rsid w:val="00F945C0"/>
    <w:rsid w:val="00F96DE6"/>
    <w:rsid w:val="00FA12AD"/>
    <w:rsid w:val="00FA3524"/>
    <w:rsid w:val="00FA3E6C"/>
    <w:rsid w:val="00FA4C8F"/>
    <w:rsid w:val="00FA6591"/>
    <w:rsid w:val="00FA7940"/>
    <w:rsid w:val="00FB1571"/>
    <w:rsid w:val="00FB1D96"/>
    <w:rsid w:val="00FB7677"/>
    <w:rsid w:val="00FC0103"/>
    <w:rsid w:val="00FC0DD0"/>
    <w:rsid w:val="00FC1057"/>
    <w:rsid w:val="00FC447B"/>
    <w:rsid w:val="00FC4D5A"/>
    <w:rsid w:val="00FC4E86"/>
    <w:rsid w:val="00FC4F23"/>
    <w:rsid w:val="00FC6037"/>
    <w:rsid w:val="00FC6A13"/>
    <w:rsid w:val="00FC7A61"/>
    <w:rsid w:val="00FC7ED1"/>
    <w:rsid w:val="00FC7FAA"/>
    <w:rsid w:val="00FD03B9"/>
    <w:rsid w:val="00FD18C9"/>
    <w:rsid w:val="00FD2036"/>
    <w:rsid w:val="00FD2CFA"/>
    <w:rsid w:val="00FD3666"/>
    <w:rsid w:val="00FD6328"/>
    <w:rsid w:val="00FD672B"/>
    <w:rsid w:val="00FD6CFB"/>
    <w:rsid w:val="00FD7EBC"/>
    <w:rsid w:val="00FE1E92"/>
    <w:rsid w:val="00FE314B"/>
    <w:rsid w:val="00FE63C7"/>
    <w:rsid w:val="00FE6722"/>
    <w:rsid w:val="00FE7410"/>
    <w:rsid w:val="00FF073D"/>
    <w:rsid w:val="00FF1CCC"/>
    <w:rsid w:val="00FF1FBD"/>
    <w:rsid w:val="00FF323F"/>
    <w:rsid w:val="00FF3466"/>
    <w:rsid w:val="00FF65A9"/>
    <w:rsid w:val="00FF6756"/>
    <w:rsid w:val="00FF76B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88817"/>
  <w15:docId w15:val="{2CB282BE-1AD1-426A-B563-A51AF2217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0E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0EEE"/>
    <w:pPr>
      <w:keepNext/>
      <w:keepLines/>
      <w:numPr>
        <w:ilvl w:val="1"/>
        <w:numId w:val="1"/>
      </w:numPr>
      <w:spacing w:before="40" w:after="120" w:line="256" w:lineRule="auto"/>
      <w:ind w:left="3942"/>
      <w:outlineLvl w:val="1"/>
    </w:pPr>
    <w:rPr>
      <w:rFonts w:ascii="Arial" w:eastAsiaTheme="majorEastAsia" w:hAnsi="Arial"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10EEE"/>
    <w:pPr>
      <w:keepNext/>
      <w:keepLines/>
      <w:numPr>
        <w:ilvl w:val="2"/>
        <w:numId w:val="1"/>
      </w:numPr>
      <w:spacing w:before="40" w:after="120" w:line="256" w:lineRule="auto"/>
      <w:ind w:left="1944"/>
      <w:outlineLvl w:val="2"/>
    </w:pPr>
    <w:rPr>
      <w:rFonts w:ascii="Arial" w:eastAsiaTheme="majorEastAsia" w:hAnsi="Arial"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10EEE"/>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10EE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10EEE"/>
    <w:pPr>
      <w:keepNext/>
      <w:keepLines/>
      <w:spacing w:before="40" w:after="0" w:line="256" w:lineRule="auto"/>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610EEE"/>
    <w:pPr>
      <w:keepNext/>
      <w:keepLines/>
      <w:spacing w:before="40" w:after="0" w:line="256" w:lineRule="auto"/>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610EEE"/>
    <w:pPr>
      <w:keepNext/>
      <w:keepLines/>
      <w:spacing w:before="40" w:after="0" w:line="25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10EEE"/>
    <w:pPr>
      <w:keepNext/>
      <w:keepLines/>
      <w:spacing w:before="40" w:after="0" w:line="25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610EEE"/>
    <w:pPr>
      <w:spacing w:line="240" w:lineRule="auto"/>
    </w:pPr>
    <w:rPr>
      <w:sz w:val="20"/>
      <w:szCs w:val="20"/>
    </w:rPr>
  </w:style>
  <w:style w:type="character" w:customStyle="1" w:styleId="CommentTextChar">
    <w:name w:val="Comment Text Char"/>
    <w:basedOn w:val="DefaultParagraphFont"/>
    <w:link w:val="CommentText"/>
    <w:uiPriority w:val="99"/>
    <w:rsid w:val="00610EEE"/>
    <w:rPr>
      <w:sz w:val="20"/>
      <w:szCs w:val="20"/>
    </w:rPr>
  </w:style>
  <w:style w:type="character" w:customStyle="1" w:styleId="Heading1Char">
    <w:name w:val="Heading 1 Char"/>
    <w:basedOn w:val="DefaultParagraphFont"/>
    <w:link w:val="Heading1"/>
    <w:uiPriority w:val="9"/>
    <w:rsid w:val="00610EE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0EEE"/>
    <w:rPr>
      <w:rFonts w:ascii="Arial" w:eastAsiaTheme="majorEastAsia" w:hAnsi="Arial" w:cstheme="majorBidi"/>
      <w:color w:val="2F5496" w:themeColor="accent1" w:themeShade="BF"/>
      <w:sz w:val="26"/>
      <w:szCs w:val="26"/>
    </w:rPr>
  </w:style>
  <w:style w:type="character" w:customStyle="1" w:styleId="Heading3Char">
    <w:name w:val="Heading 3 Char"/>
    <w:basedOn w:val="DefaultParagraphFont"/>
    <w:link w:val="Heading3"/>
    <w:uiPriority w:val="9"/>
    <w:rsid w:val="00610EEE"/>
    <w:rPr>
      <w:rFonts w:ascii="Arial" w:eastAsiaTheme="majorEastAsia" w:hAnsi="Arial" w:cstheme="majorBidi"/>
      <w:color w:val="1F3763" w:themeColor="accent1" w:themeShade="7F"/>
      <w:sz w:val="24"/>
      <w:szCs w:val="24"/>
    </w:rPr>
  </w:style>
  <w:style w:type="character" w:customStyle="1" w:styleId="Heading4Char">
    <w:name w:val="Heading 4 Char"/>
    <w:basedOn w:val="DefaultParagraphFont"/>
    <w:link w:val="Heading4"/>
    <w:uiPriority w:val="9"/>
    <w:rsid w:val="00610EE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10EE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610EE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610EE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610E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0EEE"/>
    <w:rPr>
      <w:rFonts w:asciiTheme="majorHAnsi" w:eastAsiaTheme="majorEastAsia" w:hAnsiTheme="majorHAnsi" w:cstheme="majorBidi"/>
      <w:i/>
      <w:iCs/>
      <w:color w:val="272727" w:themeColor="text1" w:themeTint="D8"/>
      <w:sz w:val="21"/>
      <w:szCs w:val="21"/>
    </w:rPr>
  </w:style>
  <w:style w:type="character" w:customStyle="1" w:styleId="lookup-resultcontent">
    <w:name w:val="lookup-result__content"/>
    <w:basedOn w:val="DefaultParagraphFont"/>
    <w:rsid w:val="00610EEE"/>
  </w:style>
  <w:style w:type="character" w:styleId="CommentReference">
    <w:name w:val="annotation reference"/>
    <w:basedOn w:val="DefaultParagraphFont"/>
    <w:uiPriority w:val="99"/>
    <w:semiHidden/>
    <w:unhideWhenUsed/>
    <w:rsid w:val="00610EEE"/>
    <w:rPr>
      <w:sz w:val="16"/>
      <w:szCs w:val="16"/>
    </w:rPr>
  </w:style>
  <w:style w:type="paragraph" w:styleId="Caption">
    <w:name w:val="caption"/>
    <w:basedOn w:val="Normal"/>
    <w:next w:val="Normal"/>
    <w:uiPriority w:val="35"/>
    <w:unhideWhenUsed/>
    <w:qFormat/>
    <w:rsid w:val="00610EEE"/>
    <w:pPr>
      <w:spacing w:after="200" w:line="240" w:lineRule="auto"/>
    </w:pPr>
    <w:rPr>
      <w:i/>
      <w:iCs/>
      <w:color w:val="44546A" w:themeColor="text2"/>
      <w:sz w:val="18"/>
      <w:szCs w:val="18"/>
    </w:rPr>
  </w:style>
  <w:style w:type="table" w:styleId="TableGrid">
    <w:name w:val="Table Grid"/>
    <w:basedOn w:val="TableNormal"/>
    <w:uiPriority w:val="59"/>
    <w:rsid w:val="00610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10EEE"/>
    <w:rPr>
      <w:rFonts w:ascii="Segoe UI" w:hAnsi="Segoe UI" w:cs="Segoe UI" w:hint="default"/>
      <w:sz w:val="18"/>
      <w:szCs w:val="18"/>
    </w:rPr>
  </w:style>
  <w:style w:type="paragraph" w:styleId="NoSpacing">
    <w:name w:val="No Spacing"/>
    <w:uiPriority w:val="1"/>
    <w:qFormat/>
    <w:rsid w:val="00610EEE"/>
    <w:pPr>
      <w:spacing w:after="0" w:line="240" w:lineRule="auto"/>
    </w:pPr>
  </w:style>
  <w:style w:type="paragraph" w:styleId="TOCHeading">
    <w:name w:val="TOC Heading"/>
    <w:basedOn w:val="Heading1"/>
    <w:next w:val="Normal"/>
    <w:uiPriority w:val="39"/>
    <w:unhideWhenUsed/>
    <w:qFormat/>
    <w:rsid w:val="00610EEE"/>
    <w:pPr>
      <w:spacing w:before="480" w:line="276" w:lineRule="auto"/>
      <w:outlineLvl w:val="9"/>
    </w:pPr>
    <w:rPr>
      <w:b/>
      <w:bCs/>
      <w:sz w:val="28"/>
      <w:szCs w:val="28"/>
    </w:rPr>
  </w:style>
  <w:style w:type="paragraph" w:styleId="TOC1">
    <w:name w:val="toc 1"/>
    <w:basedOn w:val="Normal"/>
    <w:next w:val="Normal"/>
    <w:autoRedefine/>
    <w:uiPriority w:val="39"/>
    <w:unhideWhenUsed/>
    <w:rsid w:val="00E92158"/>
    <w:pPr>
      <w:tabs>
        <w:tab w:val="left" w:pos="440"/>
        <w:tab w:val="right" w:leader="dot" w:pos="9350"/>
      </w:tabs>
      <w:spacing w:before="120" w:after="0" w:line="256" w:lineRule="auto"/>
    </w:pPr>
    <w:rPr>
      <w:rFonts w:cstheme="minorHAnsi"/>
      <w:b/>
      <w:bCs/>
      <w:i/>
      <w:iCs/>
      <w:sz w:val="24"/>
      <w:szCs w:val="24"/>
    </w:rPr>
  </w:style>
  <w:style w:type="paragraph" w:styleId="TOC2">
    <w:name w:val="toc 2"/>
    <w:basedOn w:val="Normal"/>
    <w:next w:val="Normal"/>
    <w:autoRedefine/>
    <w:uiPriority w:val="39"/>
    <w:unhideWhenUsed/>
    <w:rsid w:val="00610EEE"/>
    <w:pPr>
      <w:spacing w:before="120" w:after="0" w:line="256" w:lineRule="auto"/>
      <w:ind w:left="220"/>
    </w:pPr>
    <w:rPr>
      <w:rFonts w:cstheme="minorHAnsi"/>
      <w:b/>
      <w:bCs/>
    </w:rPr>
  </w:style>
  <w:style w:type="paragraph" w:styleId="TOC3">
    <w:name w:val="toc 3"/>
    <w:basedOn w:val="Normal"/>
    <w:next w:val="Normal"/>
    <w:autoRedefine/>
    <w:uiPriority w:val="39"/>
    <w:unhideWhenUsed/>
    <w:rsid w:val="00610EEE"/>
    <w:pPr>
      <w:spacing w:after="0" w:line="256" w:lineRule="auto"/>
      <w:ind w:left="440"/>
    </w:pPr>
    <w:rPr>
      <w:rFonts w:cstheme="minorHAnsi"/>
      <w:sz w:val="20"/>
      <w:szCs w:val="20"/>
    </w:rPr>
  </w:style>
  <w:style w:type="character" w:styleId="Hyperlink">
    <w:name w:val="Hyperlink"/>
    <w:basedOn w:val="DefaultParagraphFont"/>
    <w:uiPriority w:val="99"/>
    <w:unhideWhenUsed/>
    <w:rsid w:val="00610EEE"/>
    <w:rPr>
      <w:color w:val="0563C1" w:themeColor="hyperlink"/>
      <w:u w:val="single"/>
    </w:rPr>
  </w:style>
  <w:style w:type="paragraph" w:styleId="TableofFigures">
    <w:name w:val="table of figures"/>
    <w:basedOn w:val="Normal"/>
    <w:next w:val="Normal"/>
    <w:uiPriority w:val="99"/>
    <w:unhideWhenUsed/>
    <w:rsid w:val="00610EEE"/>
    <w:pPr>
      <w:spacing w:after="0" w:line="256" w:lineRule="auto"/>
    </w:pPr>
  </w:style>
  <w:style w:type="paragraph" w:styleId="Header">
    <w:name w:val="header"/>
    <w:basedOn w:val="Normal"/>
    <w:link w:val="HeaderChar"/>
    <w:uiPriority w:val="99"/>
    <w:unhideWhenUsed/>
    <w:rsid w:val="00610E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0EEE"/>
  </w:style>
  <w:style w:type="paragraph" w:styleId="Footer">
    <w:name w:val="footer"/>
    <w:basedOn w:val="Normal"/>
    <w:link w:val="FooterChar"/>
    <w:uiPriority w:val="99"/>
    <w:unhideWhenUsed/>
    <w:rsid w:val="00610E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EEE"/>
  </w:style>
  <w:style w:type="character" w:styleId="Strong">
    <w:name w:val="Strong"/>
    <w:basedOn w:val="DefaultParagraphFont"/>
    <w:uiPriority w:val="22"/>
    <w:qFormat/>
    <w:rsid w:val="00610EEE"/>
    <w:rPr>
      <w:b/>
      <w:bCs/>
    </w:rPr>
  </w:style>
  <w:style w:type="character" w:customStyle="1" w:styleId="f51">
    <w:name w:val="f51"/>
    <w:rsid w:val="00610EEE"/>
    <w:rPr>
      <w:rFonts w:ascii="Arial" w:hAnsi="Arial" w:cs="Arial" w:hint="default"/>
      <w:sz w:val="18"/>
      <w:szCs w:val="18"/>
    </w:rPr>
  </w:style>
  <w:style w:type="paragraph" w:styleId="BalloonText">
    <w:name w:val="Balloon Text"/>
    <w:basedOn w:val="Normal"/>
    <w:link w:val="BalloonTextChar"/>
    <w:uiPriority w:val="99"/>
    <w:semiHidden/>
    <w:unhideWhenUsed/>
    <w:rsid w:val="00610E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EEE"/>
    <w:rPr>
      <w:rFonts w:ascii="Segoe UI" w:hAnsi="Segoe UI" w:cs="Segoe UI"/>
      <w:sz w:val="18"/>
      <w:szCs w:val="18"/>
    </w:rPr>
  </w:style>
  <w:style w:type="paragraph" w:styleId="ListParagraph">
    <w:name w:val="List Paragraph"/>
    <w:basedOn w:val="Normal"/>
    <w:link w:val="ListParagraphChar"/>
    <w:uiPriority w:val="34"/>
    <w:qFormat/>
    <w:rsid w:val="00610EEE"/>
    <w:pPr>
      <w:ind w:left="720"/>
      <w:contextualSpacing/>
    </w:pPr>
  </w:style>
  <w:style w:type="paragraph" w:styleId="Quote">
    <w:name w:val="Quote"/>
    <w:basedOn w:val="Normal"/>
    <w:next w:val="Normal"/>
    <w:link w:val="QuoteChar"/>
    <w:uiPriority w:val="29"/>
    <w:qFormat/>
    <w:rsid w:val="00610EEE"/>
    <w:pPr>
      <w:spacing w:before="200" w:line="256"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610EEE"/>
    <w:rPr>
      <w:i/>
      <w:iCs/>
      <w:color w:val="404040" w:themeColor="text1" w:themeTint="BF"/>
    </w:rPr>
  </w:style>
  <w:style w:type="character" w:customStyle="1" w:styleId="selectable">
    <w:name w:val="selectable"/>
    <w:basedOn w:val="DefaultParagraphFont"/>
    <w:rsid w:val="00610EEE"/>
  </w:style>
  <w:style w:type="paragraph" w:styleId="Revision">
    <w:name w:val="Revision"/>
    <w:hidden/>
    <w:uiPriority w:val="99"/>
    <w:semiHidden/>
    <w:rsid w:val="00610EEE"/>
    <w:pPr>
      <w:spacing w:after="0" w:line="240" w:lineRule="auto"/>
    </w:pPr>
  </w:style>
  <w:style w:type="paragraph" w:styleId="CommentSubject">
    <w:name w:val="annotation subject"/>
    <w:basedOn w:val="CommentText"/>
    <w:next w:val="CommentText"/>
    <w:link w:val="CommentSubjectChar"/>
    <w:uiPriority w:val="99"/>
    <w:semiHidden/>
    <w:unhideWhenUsed/>
    <w:rsid w:val="00610EEE"/>
    <w:rPr>
      <w:b/>
      <w:bCs/>
    </w:rPr>
  </w:style>
  <w:style w:type="character" w:customStyle="1" w:styleId="CommentSubjectChar">
    <w:name w:val="Comment Subject Char"/>
    <w:basedOn w:val="CommentTextChar"/>
    <w:link w:val="CommentSubject"/>
    <w:uiPriority w:val="99"/>
    <w:semiHidden/>
    <w:rsid w:val="00610EEE"/>
    <w:rPr>
      <w:b/>
      <w:bCs/>
      <w:sz w:val="20"/>
      <w:szCs w:val="20"/>
    </w:rPr>
  </w:style>
  <w:style w:type="paragraph" w:styleId="TOC4">
    <w:name w:val="toc 4"/>
    <w:basedOn w:val="Normal"/>
    <w:next w:val="Normal"/>
    <w:autoRedefine/>
    <w:uiPriority w:val="39"/>
    <w:unhideWhenUsed/>
    <w:rsid w:val="00610EEE"/>
    <w:pPr>
      <w:spacing w:after="0" w:line="256" w:lineRule="auto"/>
      <w:ind w:left="660"/>
    </w:pPr>
    <w:rPr>
      <w:rFonts w:cstheme="minorHAnsi"/>
      <w:sz w:val="20"/>
      <w:szCs w:val="20"/>
    </w:rPr>
  </w:style>
  <w:style w:type="paragraph" w:styleId="TOC5">
    <w:name w:val="toc 5"/>
    <w:basedOn w:val="Normal"/>
    <w:next w:val="Normal"/>
    <w:autoRedefine/>
    <w:uiPriority w:val="39"/>
    <w:unhideWhenUsed/>
    <w:rsid w:val="00610EEE"/>
    <w:pPr>
      <w:spacing w:after="0" w:line="256" w:lineRule="auto"/>
      <w:ind w:left="880"/>
    </w:pPr>
    <w:rPr>
      <w:rFonts w:cstheme="minorHAnsi"/>
      <w:sz w:val="20"/>
      <w:szCs w:val="20"/>
    </w:rPr>
  </w:style>
  <w:style w:type="paragraph" w:styleId="TOC6">
    <w:name w:val="toc 6"/>
    <w:basedOn w:val="Normal"/>
    <w:next w:val="Normal"/>
    <w:autoRedefine/>
    <w:uiPriority w:val="39"/>
    <w:unhideWhenUsed/>
    <w:rsid w:val="00610EEE"/>
    <w:pPr>
      <w:spacing w:after="0" w:line="256" w:lineRule="auto"/>
      <w:ind w:left="1100"/>
    </w:pPr>
    <w:rPr>
      <w:rFonts w:cstheme="minorHAnsi"/>
      <w:sz w:val="20"/>
      <w:szCs w:val="20"/>
    </w:rPr>
  </w:style>
  <w:style w:type="paragraph" w:styleId="TOC7">
    <w:name w:val="toc 7"/>
    <w:basedOn w:val="Normal"/>
    <w:next w:val="Normal"/>
    <w:autoRedefine/>
    <w:uiPriority w:val="39"/>
    <w:unhideWhenUsed/>
    <w:rsid w:val="00610EEE"/>
    <w:pPr>
      <w:spacing w:after="0" w:line="256" w:lineRule="auto"/>
      <w:ind w:left="1320"/>
    </w:pPr>
    <w:rPr>
      <w:rFonts w:cstheme="minorHAnsi"/>
      <w:sz w:val="20"/>
      <w:szCs w:val="20"/>
    </w:rPr>
  </w:style>
  <w:style w:type="paragraph" w:styleId="TOC8">
    <w:name w:val="toc 8"/>
    <w:basedOn w:val="Normal"/>
    <w:next w:val="Normal"/>
    <w:autoRedefine/>
    <w:uiPriority w:val="39"/>
    <w:unhideWhenUsed/>
    <w:rsid w:val="00610EEE"/>
    <w:pPr>
      <w:spacing w:after="0" w:line="256" w:lineRule="auto"/>
      <w:ind w:left="1540"/>
    </w:pPr>
    <w:rPr>
      <w:rFonts w:cstheme="minorHAnsi"/>
      <w:sz w:val="20"/>
      <w:szCs w:val="20"/>
    </w:rPr>
  </w:style>
  <w:style w:type="paragraph" w:styleId="TOC9">
    <w:name w:val="toc 9"/>
    <w:basedOn w:val="Normal"/>
    <w:next w:val="Normal"/>
    <w:autoRedefine/>
    <w:uiPriority w:val="39"/>
    <w:unhideWhenUsed/>
    <w:rsid w:val="00610EEE"/>
    <w:pPr>
      <w:spacing w:after="0" w:line="256" w:lineRule="auto"/>
      <w:ind w:left="1760"/>
    </w:pPr>
    <w:rPr>
      <w:rFonts w:cstheme="minorHAnsi"/>
      <w:sz w:val="20"/>
      <w:szCs w:val="20"/>
    </w:rPr>
  </w:style>
  <w:style w:type="character" w:customStyle="1" w:styleId="apple-converted-space">
    <w:name w:val="apple-converted-space"/>
    <w:basedOn w:val="DefaultParagraphFont"/>
    <w:rsid w:val="00610EEE"/>
  </w:style>
  <w:style w:type="character" w:customStyle="1" w:styleId="ref-journal">
    <w:name w:val="ref-journal"/>
    <w:basedOn w:val="DefaultParagraphFont"/>
    <w:rsid w:val="00610EEE"/>
  </w:style>
  <w:style w:type="character" w:customStyle="1" w:styleId="ref-vol">
    <w:name w:val="ref-vol"/>
    <w:basedOn w:val="DefaultParagraphFont"/>
    <w:rsid w:val="00610EEE"/>
  </w:style>
  <w:style w:type="paragraph" w:styleId="NormalWeb">
    <w:name w:val="Normal (Web)"/>
    <w:basedOn w:val="Normal"/>
    <w:uiPriority w:val="99"/>
    <w:unhideWhenUsed/>
    <w:rsid w:val="00610E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cite-authors">
    <w:name w:val="highwire-cite-authors"/>
    <w:basedOn w:val="DefaultParagraphFont"/>
    <w:rsid w:val="00610EEE"/>
  </w:style>
  <w:style w:type="character" w:customStyle="1" w:styleId="nlm-surname">
    <w:name w:val="nlm-surname"/>
    <w:basedOn w:val="DefaultParagraphFont"/>
    <w:rsid w:val="00610EEE"/>
  </w:style>
  <w:style w:type="character" w:customStyle="1" w:styleId="nlm-given-names">
    <w:name w:val="nlm-given-names"/>
    <w:basedOn w:val="DefaultParagraphFont"/>
    <w:rsid w:val="00610EEE"/>
  </w:style>
  <w:style w:type="character" w:customStyle="1" w:styleId="highwire-cite-title">
    <w:name w:val="highwire-cite-title"/>
    <w:basedOn w:val="DefaultParagraphFont"/>
    <w:rsid w:val="00610EEE"/>
  </w:style>
  <w:style w:type="character" w:customStyle="1" w:styleId="highwire-cite-metadata-journal">
    <w:name w:val="highwire-cite-metadata-journal"/>
    <w:basedOn w:val="DefaultParagraphFont"/>
    <w:rsid w:val="00610EEE"/>
  </w:style>
  <w:style w:type="character" w:customStyle="1" w:styleId="highwire-cite-metadata-date">
    <w:name w:val="highwire-cite-metadata-date"/>
    <w:basedOn w:val="DefaultParagraphFont"/>
    <w:rsid w:val="00610EEE"/>
  </w:style>
  <w:style w:type="character" w:customStyle="1" w:styleId="highwire-cite-metadata-volume">
    <w:name w:val="highwire-cite-metadata-volume"/>
    <w:basedOn w:val="DefaultParagraphFont"/>
    <w:rsid w:val="00610EEE"/>
  </w:style>
  <w:style w:type="character" w:styleId="UnresolvedMention">
    <w:name w:val="Unresolved Mention"/>
    <w:basedOn w:val="DefaultParagraphFont"/>
    <w:uiPriority w:val="99"/>
    <w:semiHidden/>
    <w:unhideWhenUsed/>
    <w:rsid w:val="00610EEE"/>
    <w:rPr>
      <w:color w:val="605E5C"/>
      <w:shd w:val="clear" w:color="auto" w:fill="E1DFDD"/>
    </w:rPr>
  </w:style>
  <w:style w:type="character" w:customStyle="1" w:styleId="referencestring-name">
    <w:name w:val="reference__string-name"/>
    <w:basedOn w:val="DefaultParagraphFont"/>
    <w:rsid w:val="00610EEE"/>
  </w:style>
  <w:style w:type="character" w:customStyle="1" w:styleId="referenceyear">
    <w:name w:val="reference__year"/>
    <w:basedOn w:val="DefaultParagraphFont"/>
    <w:rsid w:val="00610EEE"/>
  </w:style>
  <w:style w:type="character" w:customStyle="1" w:styleId="referencesource">
    <w:name w:val="reference__source"/>
    <w:basedOn w:val="DefaultParagraphFont"/>
    <w:rsid w:val="00610EEE"/>
  </w:style>
  <w:style w:type="character" w:customStyle="1" w:styleId="referenceedition">
    <w:name w:val="reference__edition"/>
    <w:basedOn w:val="DefaultParagraphFont"/>
    <w:rsid w:val="00610EEE"/>
  </w:style>
  <w:style w:type="character" w:customStyle="1" w:styleId="referencepublisher-name">
    <w:name w:val="reference__publisher-name"/>
    <w:basedOn w:val="DefaultParagraphFont"/>
    <w:rsid w:val="00610EEE"/>
  </w:style>
  <w:style w:type="character" w:customStyle="1" w:styleId="referencepublisher-loc">
    <w:name w:val="reference__publisher-loc"/>
    <w:basedOn w:val="DefaultParagraphFont"/>
    <w:rsid w:val="00610EEE"/>
  </w:style>
  <w:style w:type="numbering" w:styleId="111111">
    <w:name w:val="Outline List 2"/>
    <w:basedOn w:val="NoList"/>
    <w:uiPriority w:val="99"/>
    <w:semiHidden/>
    <w:unhideWhenUsed/>
    <w:rsid w:val="00610EEE"/>
    <w:pPr>
      <w:numPr>
        <w:numId w:val="3"/>
      </w:numPr>
    </w:pPr>
  </w:style>
  <w:style w:type="character" w:customStyle="1" w:styleId="citation-publication-date">
    <w:name w:val="citation-publication-date"/>
    <w:basedOn w:val="DefaultParagraphFont"/>
    <w:rsid w:val="00610EEE"/>
  </w:style>
  <w:style w:type="character" w:styleId="Emphasis">
    <w:name w:val="Emphasis"/>
    <w:basedOn w:val="DefaultParagraphFont"/>
    <w:uiPriority w:val="20"/>
    <w:qFormat/>
    <w:rsid w:val="00610EEE"/>
    <w:rPr>
      <w:i/>
      <w:iCs/>
    </w:rPr>
  </w:style>
  <w:style w:type="character" w:customStyle="1" w:styleId="ListParagraphChar">
    <w:name w:val="List Paragraph Char"/>
    <w:basedOn w:val="DefaultParagraphFont"/>
    <w:link w:val="ListParagraph"/>
    <w:uiPriority w:val="34"/>
    <w:rsid w:val="00610EEE"/>
  </w:style>
  <w:style w:type="character" w:styleId="FollowedHyperlink">
    <w:name w:val="FollowedHyperlink"/>
    <w:basedOn w:val="DefaultParagraphFont"/>
    <w:uiPriority w:val="99"/>
    <w:semiHidden/>
    <w:unhideWhenUsed/>
    <w:rsid w:val="00610EEE"/>
    <w:rPr>
      <w:color w:val="954F72"/>
      <w:u w:val="single"/>
    </w:rPr>
  </w:style>
  <w:style w:type="paragraph" w:customStyle="1" w:styleId="msonormal0">
    <w:name w:val="msonormal"/>
    <w:basedOn w:val="Normal"/>
    <w:rsid w:val="00610E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610EEE"/>
    <w:pPr>
      <w:pBdr>
        <w:top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610EEE"/>
    <w:pPr>
      <w:pBdr>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7">
    <w:name w:val="xl67"/>
    <w:basedOn w:val="Normal"/>
    <w:rsid w:val="00610EEE"/>
    <w:pPr>
      <w:pBdr>
        <w:right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8">
    <w:name w:val="xl68"/>
    <w:basedOn w:val="Normal"/>
    <w:rsid w:val="00610EEE"/>
    <w:pPr>
      <w:pBdr>
        <w:bottom w:val="single" w:sz="8" w:space="0" w:color="auto"/>
        <w:right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9">
    <w:name w:val="xl69"/>
    <w:basedOn w:val="Normal"/>
    <w:rsid w:val="00610EEE"/>
    <w:pPr>
      <w:pBdr>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610EEE"/>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610EEE"/>
    <w:pPr>
      <w:pBdr>
        <w:top w:val="single" w:sz="8" w:space="0" w:color="auto"/>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72">
    <w:name w:val="xl72"/>
    <w:basedOn w:val="Normal"/>
    <w:rsid w:val="00610EEE"/>
    <w:pPr>
      <w:pBdr>
        <w:right w:val="single" w:sz="8"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73">
    <w:name w:val="xl73"/>
    <w:basedOn w:val="Normal"/>
    <w:rsid w:val="00610EE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610EE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10205"/>
      <w:sz w:val="18"/>
      <w:szCs w:val="18"/>
    </w:rPr>
  </w:style>
  <w:style w:type="paragraph" w:customStyle="1" w:styleId="xl75">
    <w:name w:val="xl75"/>
    <w:basedOn w:val="Normal"/>
    <w:rsid w:val="00610EEE"/>
    <w:pPr>
      <w:pBdr>
        <w:bottom w:val="single" w:sz="8" w:space="0" w:color="auto"/>
        <w:right w:val="single" w:sz="8" w:space="0" w:color="auto"/>
      </w:pBdr>
      <w:shd w:val="clear" w:color="000000" w:fill="E2EFD9"/>
      <w:spacing w:before="100" w:beforeAutospacing="1" w:after="100" w:afterAutospacing="1" w:line="240" w:lineRule="auto"/>
      <w:jc w:val="center"/>
      <w:textAlignment w:val="center"/>
    </w:pPr>
    <w:rPr>
      <w:rFonts w:ascii="Arial" w:eastAsia="Times New Roman" w:hAnsi="Arial" w:cs="Arial"/>
      <w:color w:val="010205"/>
      <w:sz w:val="18"/>
      <w:szCs w:val="18"/>
    </w:rPr>
  </w:style>
  <w:style w:type="paragraph" w:customStyle="1" w:styleId="xl76">
    <w:name w:val="xl76"/>
    <w:basedOn w:val="Normal"/>
    <w:rsid w:val="00610EE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264A60"/>
      <w:sz w:val="24"/>
      <w:szCs w:val="24"/>
    </w:rPr>
  </w:style>
  <w:style w:type="paragraph" w:customStyle="1" w:styleId="xl77">
    <w:name w:val="xl77"/>
    <w:basedOn w:val="Normal"/>
    <w:rsid w:val="00610EEE"/>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10205"/>
      <w:sz w:val="18"/>
      <w:szCs w:val="18"/>
    </w:rPr>
  </w:style>
  <w:style w:type="paragraph" w:customStyle="1" w:styleId="xl78">
    <w:name w:val="xl78"/>
    <w:basedOn w:val="Normal"/>
    <w:rsid w:val="00610EEE"/>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9">
    <w:name w:val="xl79"/>
    <w:basedOn w:val="Normal"/>
    <w:rsid w:val="00610EEE"/>
    <w:pPr>
      <w:pBdr>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610EEE"/>
    <w:pPr>
      <w:pBdr>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610EEE"/>
    <w:pPr>
      <w:pBdr>
        <w:top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610EEE"/>
    <w:pPr>
      <w:pBdr>
        <w:top w:val="single" w:sz="8" w:space="0" w:color="auto"/>
        <w:lef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3">
    <w:name w:val="xl83"/>
    <w:basedOn w:val="Normal"/>
    <w:rsid w:val="00610EEE"/>
    <w:pPr>
      <w:pBdr>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610EEE"/>
    <w:pPr>
      <w:pBdr>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Normal"/>
    <w:rsid w:val="00610EEE"/>
    <w:pPr>
      <w:pBdr>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6">
    <w:name w:val="xl86"/>
    <w:basedOn w:val="Normal"/>
    <w:rsid w:val="00610EEE"/>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264A60"/>
      <w:sz w:val="18"/>
      <w:szCs w:val="18"/>
    </w:rPr>
  </w:style>
  <w:style w:type="paragraph" w:customStyle="1" w:styleId="xl87">
    <w:name w:val="xl87"/>
    <w:basedOn w:val="Normal"/>
    <w:rsid w:val="00610EE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264A60"/>
      <w:sz w:val="18"/>
      <w:szCs w:val="18"/>
    </w:rPr>
  </w:style>
  <w:style w:type="paragraph" w:customStyle="1" w:styleId="xl88">
    <w:name w:val="xl88"/>
    <w:basedOn w:val="Normal"/>
    <w:rsid w:val="00610EE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264A60"/>
      <w:sz w:val="18"/>
      <w:szCs w:val="18"/>
    </w:rPr>
  </w:style>
  <w:style w:type="paragraph" w:customStyle="1" w:styleId="xl89">
    <w:name w:val="xl89"/>
    <w:basedOn w:val="Normal"/>
    <w:rsid w:val="00610EE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264A60"/>
      <w:sz w:val="24"/>
      <w:szCs w:val="24"/>
    </w:rPr>
  </w:style>
  <w:style w:type="paragraph" w:customStyle="1" w:styleId="xl90">
    <w:name w:val="xl90"/>
    <w:basedOn w:val="Normal"/>
    <w:rsid w:val="00610EE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264A60"/>
      <w:sz w:val="24"/>
      <w:szCs w:val="24"/>
    </w:rPr>
  </w:style>
  <w:style w:type="paragraph" w:customStyle="1" w:styleId="xl91">
    <w:name w:val="xl91"/>
    <w:basedOn w:val="Normal"/>
    <w:rsid w:val="00610EE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Normal"/>
    <w:rsid w:val="00610EE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3">
    <w:name w:val="xl93"/>
    <w:basedOn w:val="Normal"/>
    <w:rsid w:val="00610EE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264A60"/>
      <w:sz w:val="24"/>
      <w:szCs w:val="24"/>
    </w:rPr>
  </w:style>
  <w:style w:type="paragraph" w:customStyle="1" w:styleId="xl94">
    <w:name w:val="xl94"/>
    <w:basedOn w:val="Normal"/>
    <w:rsid w:val="00610EE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264A60"/>
      <w:sz w:val="24"/>
      <w:szCs w:val="24"/>
    </w:rPr>
  </w:style>
  <w:style w:type="paragraph" w:customStyle="1" w:styleId="xl95">
    <w:name w:val="xl95"/>
    <w:basedOn w:val="Normal"/>
    <w:rsid w:val="00610EE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6">
    <w:name w:val="xl96"/>
    <w:basedOn w:val="Normal"/>
    <w:rsid w:val="00610EE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7">
    <w:name w:val="xl97"/>
    <w:basedOn w:val="Normal"/>
    <w:rsid w:val="00610EE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264A60"/>
      <w:sz w:val="24"/>
      <w:szCs w:val="24"/>
    </w:rPr>
  </w:style>
  <w:style w:type="paragraph" w:customStyle="1" w:styleId="xl98">
    <w:name w:val="xl98"/>
    <w:basedOn w:val="Normal"/>
    <w:rsid w:val="00610EEE"/>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10205"/>
      <w:sz w:val="18"/>
      <w:szCs w:val="18"/>
    </w:rPr>
  </w:style>
  <w:style w:type="paragraph" w:customStyle="1" w:styleId="xl99">
    <w:name w:val="xl99"/>
    <w:basedOn w:val="Normal"/>
    <w:rsid w:val="00610EEE"/>
    <w:pPr>
      <w:pBdr>
        <w:bottom w:val="single" w:sz="8" w:space="0" w:color="auto"/>
        <w:right w:val="single" w:sz="8" w:space="0" w:color="auto"/>
      </w:pBdr>
      <w:shd w:val="clear" w:color="000000" w:fill="E2EFD9"/>
      <w:spacing w:before="100" w:beforeAutospacing="1" w:after="100" w:afterAutospacing="1" w:line="240" w:lineRule="auto"/>
      <w:jc w:val="center"/>
      <w:textAlignment w:val="center"/>
    </w:pPr>
    <w:rPr>
      <w:rFonts w:ascii="Arial" w:eastAsia="Times New Roman" w:hAnsi="Arial" w:cs="Arial"/>
      <w:color w:val="010205"/>
      <w:sz w:val="18"/>
      <w:szCs w:val="18"/>
    </w:rPr>
  </w:style>
  <w:style w:type="paragraph" w:customStyle="1" w:styleId="pf0">
    <w:name w:val="pf0"/>
    <w:basedOn w:val="Normal"/>
    <w:rsid w:val="00610EEE"/>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Singlepunch">
    <w:name w:val="Single punch"/>
    <w:rsid w:val="00610EEE"/>
    <w:pPr>
      <w:numPr>
        <w:numId w:val="7"/>
      </w:numPr>
    </w:pPr>
  </w:style>
  <w:style w:type="character" w:customStyle="1" w:styleId="il">
    <w:name w:val="il"/>
    <w:basedOn w:val="DefaultParagraphFont"/>
    <w:rsid w:val="00610EEE"/>
  </w:style>
  <w:style w:type="numbering" w:customStyle="1" w:styleId="CurrentList1">
    <w:name w:val="Current List1"/>
    <w:uiPriority w:val="99"/>
    <w:rsid w:val="00610EEE"/>
    <w:pPr>
      <w:numPr>
        <w:numId w:val="9"/>
      </w:numPr>
    </w:pPr>
  </w:style>
  <w:style w:type="table" w:customStyle="1" w:styleId="QTable">
    <w:name w:val="QTable"/>
    <w:uiPriority w:val="99"/>
    <w:qFormat/>
    <w:rsid w:val="00610EEE"/>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610EEE"/>
    <w:pPr>
      <w:spacing w:after="0" w:line="240" w:lineRule="auto"/>
      <w:jc w:val="center"/>
    </w:pPr>
    <w:rPr>
      <w:rFonts w:eastAsiaTheme="minorEastAsia"/>
      <w:sz w:val="20"/>
      <w:szCs w:val="20"/>
      <w:lang w:val="en-GB" w:eastAsia="zh-CN"/>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610EEE"/>
    <w:pPr>
      <w:spacing w:after="0" w:line="240" w:lineRule="auto"/>
      <w:jc w:val="center"/>
    </w:pPr>
    <w:rPr>
      <w:rFonts w:eastAsiaTheme="minorEastAsia"/>
      <w:sz w:val="20"/>
      <w:szCs w:val="20"/>
      <w:lang w:val="en-GB" w:eastAsia="zh-CN"/>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610EEE"/>
    <w:pPr>
      <w:spacing w:after="0" w:line="240" w:lineRule="auto"/>
      <w:jc w:val="center"/>
    </w:pPr>
    <w:rPr>
      <w:rFonts w:eastAsiaTheme="minorEastAsia"/>
      <w:sz w:val="20"/>
      <w:szCs w:val="20"/>
      <w:lang w:val="en-GB" w:eastAsia="zh-CN"/>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610EEE"/>
    <w:pPr>
      <w:spacing w:after="0" w:line="240" w:lineRule="auto"/>
    </w:pPr>
    <w:rPr>
      <w:rFonts w:eastAsiaTheme="minorEastAsia"/>
      <w:sz w:val="20"/>
      <w:szCs w:val="20"/>
      <w:lang w:val="en-GB" w:eastAsia="zh-CN"/>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610EEE"/>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610EEE"/>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610EEE"/>
    <w:pPr>
      <w:spacing w:after="0" w:line="240" w:lineRule="auto"/>
      <w:jc w:val="center"/>
    </w:pPr>
    <w:rPr>
      <w:rFonts w:eastAsiaTheme="minorEastAsia"/>
      <w:sz w:val="20"/>
      <w:szCs w:val="20"/>
      <w:lang w:val="en-GB" w:eastAsia="zh-CN"/>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610EEE"/>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610EEE"/>
    <w:pPr>
      <w:pBdr>
        <w:top w:val="single" w:sz="160" w:space="0" w:color="499FD1"/>
      </w:pBdr>
      <w:spacing w:before="80" w:after="0" w:line="240" w:lineRule="auto"/>
    </w:pPr>
    <w:rPr>
      <w:rFonts w:eastAsiaTheme="minorEastAsia"/>
    </w:rPr>
  </w:style>
  <w:style w:type="paragraph" w:customStyle="1" w:styleId="QSummary">
    <w:name w:val="QSummary"/>
    <w:basedOn w:val="Normal"/>
    <w:qFormat/>
    <w:rsid w:val="00610EEE"/>
    <w:pPr>
      <w:spacing w:after="0" w:line="276" w:lineRule="auto"/>
    </w:pPr>
    <w:rPr>
      <w:rFonts w:eastAsiaTheme="minorEastAsia"/>
      <w:b/>
    </w:rPr>
  </w:style>
  <w:style w:type="table" w:customStyle="1" w:styleId="QQuestionIconTable">
    <w:name w:val="QQuestionIconTable"/>
    <w:uiPriority w:val="99"/>
    <w:qFormat/>
    <w:rsid w:val="00610EEE"/>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10EEE"/>
    <w:pPr>
      <w:pBdr>
        <w:left w:val="single" w:sz="4" w:space="4" w:color="D9D9D9" w:themeColor="background1" w:themeShade="D9"/>
        <w:right w:val="single" w:sz="4" w:space="4" w:color="D9D9D9" w:themeColor="background1" w:themeShade="D9"/>
      </w:pBdr>
      <w:shd w:val="clear" w:color="auto" w:fill="D9D9D9" w:themeFill="background1" w:themeFillShade="D9"/>
      <w:spacing w:after="0" w:line="276" w:lineRule="auto"/>
    </w:pPr>
    <w:rPr>
      <w:rFonts w:eastAsiaTheme="minorEastAsia"/>
      <w:b/>
      <w:sz w:val="32"/>
    </w:rPr>
  </w:style>
  <w:style w:type="table" w:customStyle="1" w:styleId="QBar">
    <w:name w:val="QBar"/>
    <w:uiPriority w:val="99"/>
    <w:qFormat/>
    <w:rsid w:val="00610EEE"/>
    <w:pPr>
      <w:spacing w:after="0" w:line="240" w:lineRule="auto"/>
    </w:pPr>
    <w:rPr>
      <w:rFonts w:eastAsiaTheme="minorEastAsia"/>
      <w:sz w:val="18"/>
      <w:szCs w:val="20"/>
      <w:lang w:val="en-GB" w:eastAsia="zh-CN"/>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610EEE"/>
    <w:pPr>
      <w:spacing w:after="0" w:line="240" w:lineRule="auto"/>
    </w:pPr>
    <w:rPr>
      <w:rFonts w:eastAsiaTheme="minorEastAsia"/>
      <w:b/>
      <w:color w:val="FFFFFF" w:themeColor="background1"/>
      <w:sz w:val="20"/>
      <w:szCs w:val="20"/>
      <w:lang w:val="en-GB" w:eastAsia="zh-CN"/>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610EEE"/>
    <w:pPr>
      <w:spacing w:after="0" w:line="240" w:lineRule="auto"/>
    </w:pPr>
    <w:rPr>
      <w:rFonts w:eastAsiaTheme="minorEastAsia"/>
      <w:color w:val="FFFFFF" w:themeColor="background1"/>
    </w:rPr>
  </w:style>
  <w:style w:type="paragraph" w:customStyle="1" w:styleId="WhiteCompositeLabel">
    <w:name w:val="WhiteCompositeLabel"/>
    <w:next w:val="Normal"/>
    <w:rsid w:val="00610EEE"/>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610EEE"/>
    <w:pPr>
      <w:spacing w:before="43" w:after="43" w:line="240" w:lineRule="auto"/>
      <w:jc w:val="center"/>
    </w:pPr>
    <w:rPr>
      <w:rFonts w:ascii="Calibri" w:eastAsia="Times New Roman" w:hAnsi="Calibri" w:cs="Times New Roman"/>
      <w:b/>
    </w:rPr>
  </w:style>
  <w:style w:type="numbering" w:customStyle="1" w:styleId="Multipunch">
    <w:name w:val="Multi punch"/>
    <w:rsid w:val="00610EEE"/>
    <w:pPr>
      <w:numPr>
        <w:numId w:val="10"/>
      </w:numPr>
    </w:pPr>
  </w:style>
  <w:style w:type="paragraph" w:customStyle="1" w:styleId="QDisplayLogic">
    <w:name w:val="QDisplayLogic"/>
    <w:basedOn w:val="Normal"/>
    <w:qFormat/>
    <w:rsid w:val="00610EEE"/>
    <w:pPr>
      <w:shd w:val="clear" w:color="auto" w:fill="6898BB"/>
      <w:spacing w:before="120" w:after="120" w:line="240" w:lineRule="auto"/>
    </w:pPr>
    <w:rPr>
      <w:rFonts w:eastAsiaTheme="minorEastAsia"/>
      <w:i/>
      <w:color w:val="FFFFFF"/>
      <w:sz w:val="20"/>
    </w:rPr>
  </w:style>
  <w:style w:type="paragraph" w:customStyle="1" w:styleId="QSkipLogic">
    <w:name w:val="QSkipLogic"/>
    <w:basedOn w:val="Normal"/>
    <w:qFormat/>
    <w:rsid w:val="00610EEE"/>
    <w:pPr>
      <w:shd w:val="clear" w:color="auto" w:fill="8D8D8D"/>
      <w:spacing w:before="120" w:after="120" w:line="240" w:lineRule="auto"/>
    </w:pPr>
    <w:rPr>
      <w:rFonts w:eastAsiaTheme="minorEastAsia"/>
      <w:i/>
      <w:color w:val="FFFFFF"/>
      <w:sz w:val="20"/>
    </w:rPr>
  </w:style>
  <w:style w:type="paragraph" w:customStyle="1" w:styleId="SingleLineText">
    <w:name w:val="SingleLineText"/>
    <w:next w:val="Normal"/>
    <w:rsid w:val="00610EEE"/>
    <w:pPr>
      <w:spacing w:after="0" w:line="240" w:lineRule="auto"/>
    </w:pPr>
    <w:rPr>
      <w:rFonts w:eastAsiaTheme="minorEastAsia"/>
    </w:rPr>
  </w:style>
  <w:style w:type="paragraph" w:customStyle="1" w:styleId="QDynamicChoices">
    <w:name w:val="QDynamicChoices"/>
    <w:basedOn w:val="Normal"/>
    <w:qFormat/>
    <w:rsid w:val="00610EEE"/>
    <w:pPr>
      <w:shd w:val="clear" w:color="auto" w:fill="6FAC3D"/>
      <w:spacing w:before="120" w:after="120" w:line="240" w:lineRule="auto"/>
    </w:pPr>
    <w:rPr>
      <w:rFonts w:eastAsiaTheme="minorEastAsia"/>
      <w:i/>
      <w:color w:val="FFFFFF"/>
      <w:sz w:val="20"/>
    </w:rPr>
  </w:style>
  <w:style w:type="paragraph" w:customStyle="1" w:styleId="QReusableChoices">
    <w:name w:val="QReusableChoices"/>
    <w:basedOn w:val="Normal"/>
    <w:qFormat/>
    <w:rsid w:val="00610EEE"/>
    <w:pPr>
      <w:shd w:val="clear" w:color="auto" w:fill="3EA18E"/>
      <w:spacing w:before="120" w:after="120" w:line="240" w:lineRule="auto"/>
    </w:pPr>
    <w:rPr>
      <w:rFonts w:eastAsiaTheme="minorEastAsia"/>
      <w:i/>
      <w:color w:val="FFFFFF"/>
      <w:sz w:val="20"/>
    </w:rPr>
  </w:style>
  <w:style w:type="paragraph" w:customStyle="1" w:styleId="H1">
    <w:name w:val="H1"/>
    <w:next w:val="Normal"/>
    <w:rsid w:val="00610EEE"/>
    <w:pPr>
      <w:spacing w:after="240" w:line="240" w:lineRule="auto"/>
    </w:pPr>
    <w:rPr>
      <w:rFonts w:eastAsiaTheme="minorEastAsia"/>
      <w:b/>
      <w:color w:val="000000"/>
      <w:sz w:val="64"/>
      <w:szCs w:val="64"/>
    </w:rPr>
  </w:style>
  <w:style w:type="paragraph" w:customStyle="1" w:styleId="H2">
    <w:name w:val="H2"/>
    <w:next w:val="Normal"/>
    <w:rsid w:val="00610EEE"/>
    <w:pPr>
      <w:spacing w:after="240" w:line="240" w:lineRule="auto"/>
    </w:pPr>
    <w:rPr>
      <w:rFonts w:eastAsiaTheme="minorEastAsia"/>
      <w:b/>
      <w:color w:val="000000"/>
      <w:sz w:val="48"/>
      <w:szCs w:val="48"/>
    </w:rPr>
  </w:style>
  <w:style w:type="paragraph" w:customStyle="1" w:styleId="H3">
    <w:name w:val="H3"/>
    <w:next w:val="Normal"/>
    <w:rsid w:val="00610EEE"/>
    <w:pPr>
      <w:spacing w:after="120" w:line="240" w:lineRule="auto"/>
    </w:pPr>
    <w:rPr>
      <w:rFonts w:eastAsiaTheme="minorEastAsia"/>
      <w:b/>
      <w:color w:val="000000"/>
      <w:sz w:val="36"/>
      <w:szCs w:val="36"/>
    </w:rPr>
  </w:style>
  <w:style w:type="paragraph" w:customStyle="1" w:styleId="BlockStartLabel">
    <w:name w:val="BlockStartLabel"/>
    <w:basedOn w:val="Normal"/>
    <w:qFormat/>
    <w:rsid w:val="00610EEE"/>
    <w:pPr>
      <w:spacing w:before="120" w:after="120" w:line="240" w:lineRule="auto"/>
    </w:pPr>
    <w:rPr>
      <w:rFonts w:eastAsiaTheme="minorEastAsia"/>
      <w:b/>
      <w:color w:val="CCCCCC"/>
    </w:rPr>
  </w:style>
  <w:style w:type="paragraph" w:customStyle="1" w:styleId="BlockEndLabel">
    <w:name w:val="BlockEndLabel"/>
    <w:basedOn w:val="Normal"/>
    <w:qFormat/>
    <w:rsid w:val="00610EEE"/>
    <w:pPr>
      <w:spacing w:before="120" w:after="0" w:line="240" w:lineRule="auto"/>
    </w:pPr>
    <w:rPr>
      <w:rFonts w:eastAsiaTheme="minorEastAsia"/>
      <w:b/>
      <w:color w:val="CCCCCC"/>
    </w:rPr>
  </w:style>
  <w:style w:type="paragraph" w:customStyle="1" w:styleId="BlockSeparator">
    <w:name w:val="BlockSeparator"/>
    <w:basedOn w:val="Normal"/>
    <w:qFormat/>
    <w:rsid w:val="00610EEE"/>
    <w:pPr>
      <w:pBdr>
        <w:bottom w:val="single" w:sz="8" w:space="0" w:color="CCCCCC"/>
      </w:pBdr>
      <w:spacing w:after="0" w:line="120" w:lineRule="auto"/>
      <w:jc w:val="center"/>
    </w:pPr>
    <w:rPr>
      <w:rFonts w:eastAsiaTheme="minorEastAsia"/>
      <w:b/>
      <w:color w:val="CCCCCC"/>
    </w:rPr>
  </w:style>
  <w:style w:type="paragraph" w:customStyle="1" w:styleId="QuestionSeparator">
    <w:name w:val="QuestionSeparator"/>
    <w:basedOn w:val="Normal"/>
    <w:qFormat/>
    <w:rsid w:val="00610EEE"/>
    <w:pPr>
      <w:pBdr>
        <w:top w:val="dashed" w:sz="8" w:space="0" w:color="CCCCCC"/>
      </w:pBdr>
      <w:spacing w:before="120" w:after="120" w:line="120" w:lineRule="auto"/>
    </w:pPr>
    <w:rPr>
      <w:rFonts w:eastAsiaTheme="minorEastAsia"/>
    </w:rPr>
  </w:style>
  <w:style w:type="paragraph" w:customStyle="1" w:styleId="Dropdown">
    <w:name w:val="Dropdown"/>
    <w:basedOn w:val="Normal"/>
    <w:qFormat/>
    <w:rsid w:val="00610EEE"/>
    <w:pPr>
      <w:pBdr>
        <w:top w:val="single" w:sz="4" w:space="4" w:color="CCCCCC"/>
        <w:left w:val="single" w:sz="4" w:space="4" w:color="CCCCCC"/>
        <w:bottom w:val="single" w:sz="4" w:space="4" w:color="CCCCCC"/>
        <w:right w:val="single" w:sz="4" w:space="4" w:color="CCCCCC"/>
      </w:pBdr>
      <w:spacing w:before="120" w:after="120" w:line="240" w:lineRule="auto"/>
    </w:pPr>
    <w:rPr>
      <w:rFonts w:eastAsiaTheme="minorEastAsia"/>
    </w:rPr>
  </w:style>
  <w:style w:type="paragraph" w:customStyle="1" w:styleId="TextEntryLine">
    <w:name w:val="TextEntryLine"/>
    <w:basedOn w:val="Normal"/>
    <w:qFormat/>
    <w:rsid w:val="00610EEE"/>
    <w:pPr>
      <w:spacing w:before="240" w:after="0" w:line="240" w:lineRule="auto"/>
    </w:pPr>
    <w:rPr>
      <w:rFonts w:eastAsiaTheme="minorEastAsia"/>
    </w:rPr>
  </w:style>
  <w:style w:type="character" w:styleId="PageNumber">
    <w:name w:val="page number"/>
    <w:basedOn w:val="DefaultParagraphFont"/>
    <w:uiPriority w:val="99"/>
    <w:semiHidden/>
    <w:unhideWhenUsed/>
    <w:rsid w:val="00610EEE"/>
  </w:style>
  <w:style w:type="paragraph" w:customStyle="1" w:styleId="SFGreen">
    <w:name w:val="SFGreen"/>
    <w:basedOn w:val="Normal"/>
    <w:qFormat/>
    <w:rsid w:val="00610EEE"/>
    <w:pPr>
      <w:pBdr>
        <w:top w:val="single" w:sz="4" w:space="4" w:color="D1D9BD"/>
        <w:left w:val="single" w:sz="4" w:space="4" w:color="D1D9BD"/>
        <w:bottom w:val="single" w:sz="4" w:space="4" w:color="D1D9BD"/>
        <w:right w:val="single" w:sz="4" w:space="4" w:color="D1D9BD"/>
      </w:pBdr>
      <w:shd w:val="clear" w:color="auto" w:fill="EDF2E3"/>
      <w:spacing w:after="0" w:line="276" w:lineRule="auto"/>
    </w:pPr>
    <w:rPr>
      <w:rFonts w:eastAsiaTheme="minorEastAsia"/>
      <w:b/>
      <w:color w:val="809163"/>
    </w:rPr>
  </w:style>
  <w:style w:type="paragraph" w:customStyle="1" w:styleId="SFBlue">
    <w:name w:val="SFBlue"/>
    <w:basedOn w:val="Normal"/>
    <w:qFormat/>
    <w:rsid w:val="00610EEE"/>
    <w:pPr>
      <w:pBdr>
        <w:top w:val="single" w:sz="4" w:space="4" w:color="C3CDDB"/>
        <w:left w:val="single" w:sz="4" w:space="4" w:color="C3CDDB"/>
        <w:bottom w:val="single" w:sz="4" w:space="4" w:color="C3CDDB"/>
        <w:right w:val="single" w:sz="4" w:space="4" w:color="C3CDDB"/>
      </w:pBdr>
      <w:shd w:val="clear" w:color="auto" w:fill="E6ECF5"/>
      <w:spacing w:after="0" w:line="276" w:lineRule="auto"/>
    </w:pPr>
    <w:rPr>
      <w:rFonts w:eastAsiaTheme="minorEastAsia"/>
      <w:b/>
      <w:color w:val="426092"/>
    </w:rPr>
  </w:style>
  <w:style w:type="paragraph" w:customStyle="1" w:styleId="SFPurple">
    <w:name w:val="SFPurple"/>
    <w:basedOn w:val="Normal"/>
    <w:qFormat/>
    <w:rsid w:val="00610EEE"/>
    <w:pPr>
      <w:pBdr>
        <w:top w:val="single" w:sz="4" w:space="4" w:color="D1C0D1"/>
        <w:left w:val="single" w:sz="4" w:space="4" w:color="D1C0D1"/>
        <w:bottom w:val="single" w:sz="4" w:space="4" w:color="D1C0D1"/>
        <w:right w:val="single" w:sz="4" w:space="4" w:color="D1C0D1"/>
      </w:pBdr>
      <w:shd w:val="clear" w:color="auto" w:fill="F2E3F2"/>
      <w:spacing w:after="0" w:line="276" w:lineRule="auto"/>
    </w:pPr>
    <w:rPr>
      <w:rFonts w:eastAsiaTheme="minorEastAsia"/>
      <w:b/>
      <w:color w:val="916391"/>
    </w:rPr>
  </w:style>
  <w:style w:type="paragraph" w:customStyle="1" w:styleId="SFGray">
    <w:name w:val="SFGray"/>
    <w:basedOn w:val="Normal"/>
    <w:qFormat/>
    <w:rsid w:val="00610EEE"/>
    <w:pPr>
      <w:pBdr>
        <w:top w:val="single" w:sz="4" w:space="4" w:color="CFCFCF"/>
        <w:left w:val="single" w:sz="4" w:space="4" w:color="CFCFCF"/>
        <w:bottom w:val="single" w:sz="4" w:space="4" w:color="CFCFCF"/>
        <w:right w:val="single" w:sz="4" w:space="4" w:color="CFCFCF"/>
      </w:pBdr>
      <w:shd w:val="clear" w:color="auto" w:fill="F2F2F2"/>
      <w:spacing w:after="0" w:line="276" w:lineRule="auto"/>
    </w:pPr>
    <w:rPr>
      <w:rFonts w:eastAsiaTheme="minorEastAsia"/>
      <w:b/>
      <w:color w:val="555555"/>
    </w:rPr>
  </w:style>
  <w:style w:type="paragraph" w:customStyle="1" w:styleId="SFRed">
    <w:name w:val="SFRed"/>
    <w:basedOn w:val="Normal"/>
    <w:qFormat/>
    <w:rsid w:val="00610EEE"/>
    <w:pPr>
      <w:pBdr>
        <w:top w:val="single" w:sz="4" w:space="4" w:color="700606"/>
        <w:left w:val="single" w:sz="4" w:space="4" w:color="700606"/>
        <w:bottom w:val="single" w:sz="4" w:space="4" w:color="700606"/>
        <w:right w:val="single" w:sz="4" w:space="4" w:color="700606"/>
      </w:pBdr>
      <w:shd w:val="clear" w:color="auto" w:fill="8C0707"/>
      <w:spacing w:after="0" w:line="276" w:lineRule="auto"/>
    </w:pPr>
    <w:rPr>
      <w:rFonts w:eastAsiaTheme="minorEastAsia"/>
      <w:b/>
      <w:color w:val="FFFFFF"/>
    </w:rPr>
  </w:style>
  <w:style w:type="paragraph" w:customStyle="1" w:styleId="QPlaceholderAlert">
    <w:name w:val="QPlaceholderAlert"/>
    <w:basedOn w:val="Normal"/>
    <w:qFormat/>
    <w:rsid w:val="00610EEE"/>
    <w:pPr>
      <w:spacing w:after="0" w:line="276" w:lineRule="auto"/>
    </w:pPr>
    <w:rPr>
      <w:rFonts w:eastAsiaTheme="minorEastAsia"/>
      <w:color w:val="FF0000"/>
    </w:rPr>
  </w:style>
  <w:style w:type="paragraph" w:customStyle="1" w:styleId="2AutoList1">
    <w:name w:val="2AutoList1"/>
    <w:link w:val="2AutoList1Char"/>
    <w:rsid w:val="00610EEE"/>
    <w:pPr>
      <w:widowControl w:val="0"/>
      <w:tabs>
        <w:tab w:val="left" w:pos="720"/>
        <w:tab w:val="left" w:pos="1440"/>
      </w:tabs>
      <w:autoSpaceDE w:val="0"/>
      <w:autoSpaceDN w:val="0"/>
      <w:spacing w:after="0" w:line="240" w:lineRule="auto"/>
      <w:ind w:left="1440" w:hanging="720"/>
      <w:jc w:val="both"/>
    </w:pPr>
    <w:rPr>
      <w:rFonts w:ascii="Times New Roman" w:eastAsiaTheme="minorEastAsia" w:hAnsi="Times New Roman" w:cs="Times New Roman"/>
      <w:sz w:val="24"/>
      <w:szCs w:val="24"/>
      <w:lang w:val="en-AU"/>
    </w:rPr>
  </w:style>
  <w:style w:type="character" w:customStyle="1" w:styleId="2AutoList1Char">
    <w:name w:val="2AutoList1 Char"/>
    <w:link w:val="2AutoList1"/>
    <w:rsid w:val="00610EEE"/>
    <w:rPr>
      <w:rFonts w:ascii="Times New Roman" w:eastAsiaTheme="minorEastAsia" w:hAnsi="Times New Roman" w:cs="Times New Roman"/>
      <w:sz w:val="24"/>
      <w:szCs w:val="24"/>
      <w:lang w:val="en-AU"/>
    </w:rPr>
  </w:style>
  <w:style w:type="character" w:customStyle="1" w:styleId="hb">
    <w:name w:val="hb"/>
    <w:basedOn w:val="DefaultParagraphFont"/>
    <w:rsid w:val="00610EEE"/>
  </w:style>
  <w:style w:type="character" w:customStyle="1" w:styleId="g2">
    <w:name w:val="g2"/>
    <w:basedOn w:val="DefaultParagraphFont"/>
    <w:rsid w:val="00610EEE"/>
  </w:style>
  <w:style w:type="paragraph" w:styleId="Title">
    <w:name w:val="Title"/>
    <w:basedOn w:val="Normal"/>
    <w:next w:val="Normal"/>
    <w:link w:val="TitleChar"/>
    <w:uiPriority w:val="10"/>
    <w:qFormat/>
    <w:rsid w:val="00610E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EEE"/>
    <w:rPr>
      <w:rFonts w:asciiTheme="majorHAnsi" w:eastAsiaTheme="majorEastAsia" w:hAnsiTheme="majorHAnsi" w:cstheme="majorBidi"/>
      <w:spacing w:val="-10"/>
      <w:kern w:val="28"/>
      <w:sz w:val="56"/>
      <w:szCs w:val="56"/>
    </w:rPr>
  </w:style>
  <w:style w:type="paragraph" w:customStyle="1" w:styleId="CodebookTitle">
    <w:name w:val="Codebook Title"/>
    <w:rsid w:val="00610EEE"/>
    <w:pPr>
      <w:jc w:val="center"/>
    </w:pPr>
    <w:rPr>
      <w:rFonts w:asciiTheme="majorHAnsi" w:eastAsiaTheme="majorEastAsia" w:hAnsiTheme="majorHAnsi" w:cstheme="majorBidi"/>
      <w:color w:val="5B9BD5"/>
      <w:sz w:val="48"/>
      <w:szCs w:val="48"/>
      <w:lang w:val="en-AU" w:eastAsia="ja-JP"/>
    </w:rPr>
  </w:style>
  <w:style w:type="paragraph" w:customStyle="1" w:styleId="FolderName">
    <w:name w:val="Folder Name"/>
    <w:next w:val="FolderDescription"/>
    <w:qFormat/>
    <w:rsid w:val="00610EEE"/>
    <w:pPr>
      <w:keepNext/>
      <w:keepLines/>
      <w:spacing w:before="240" w:after="0"/>
      <w:outlineLvl w:val="0"/>
    </w:pPr>
    <w:rPr>
      <w:rFonts w:asciiTheme="majorHAnsi" w:eastAsiaTheme="majorEastAsia" w:hAnsiTheme="majorHAnsi" w:cstheme="majorBidi"/>
      <w:color w:val="2F5496" w:themeColor="accent1" w:themeShade="BF"/>
      <w:sz w:val="32"/>
      <w:szCs w:val="32"/>
      <w:lang w:val="en-AU" w:eastAsia="ja-JP"/>
    </w:rPr>
  </w:style>
  <w:style w:type="paragraph" w:customStyle="1" w:styleId="FolderDescription">
    <w:name w:val="Folder Description"/>
    <w:basedOn w:val="Normal"/>
    <w:qFormat/>
    <w:rsid w:val="00610EEE"/>
    <w:pPr>
      <w:keepNext/>
      <w:keepLines/>
    </w:pPr>
    <w:rPr>
      <w:rFonts w:asciiTheme="majorHAnsi" w:eastAsiaTheme="majorEastAsia" w:hAnsiTheme="majorHAnsi" w:cstheme="majorBidi"/>
      <w:lang w:val="en-AU" w:eastAsia="ja-JP"/>
    </w:rPr>
  </w:style>
  <w:style w:type="paragraph" w:customStyle="1" w:styleId="TableHeader">
    <w:name w:val="Table Header"/>
    <w:rsid w:val="00610EEE"/>
    <w:rPr>
      <w:rFonts w:asciiTheme="majorHAnsi" w:eastAsiaTheme="majorEastAsia" w:hAnsiTheme="majorHAnsi" w:cstheme="majorBidi"/>
      <w:color w:val="FFFFFF"/>
      <w:lang w:val="en-AU" w:eastAsia="ja-JP"/>
    </w:rPr>
  </w:style>
  <w:style w:type="paragraph" w:customStyle="1" w:styleId="RightAlign">
    <w:name w:val="Right Align"/>
    <w:basedOn w:val="Normal"/>
    <w:rsid w:val="00610EEE"/>
    <w:pPr>
      <w:jc w:val="right"/>
    </w:pPr>
    <w:rPr>
      <w:rFonts w:eastAsiaTheme="minorEastAsia" w:hAnsi="Times New Roman" w:cs="Times New Roman"/>
      <w:lang w:val="en-AU" w:eastAsia="ja-JP"/>
    </w:rPr>
  </w:style>
  <w:style w:type="table" w:customStyle="1" w:styleId="NodesTable">
    <w:name w:val="Nodes Table"/>
    <w:rsid w:val="00610EEE"/>
    <w:rPr>
      <w:rFonts w:eastAsiaTheme="minorEastAsia"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paragraph" w:customStyle="1" w:styleId="Footer1">
    <w:name w:val="Footer1"/>
    <w:basedOn w:val="Normal"/>
    <w:rsid w:val="00610EEE"/>
    <w:rPr>
      <w:rFonts w:asciiTheme="majorHAnsi" w:eastAsiaTheme="majorEastAsia" w:hAnsiTheme="majorHAnsi" w:cstheme="majorBidi"/>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4256">
      <w:bodyDiv w:val="1"/>
      <w:marLeft w:val="0"/>
      <w:marRight w:val="0"/>
      <w:marTop w:val="0"/>
      <w:marBottom w:val="0"/>
      <w:divBdr>
        <w:top w:val="none" w:sz="0" w:space="0" w:color="auto"/>
        <w:left w:val="none" w:sz="0" w:space="0" w:color="auto"/>
        <w:bottom w:val="none" w:sz="0" w:space="0" w:color="auto"/>
        <w:right w:val="none" w:sz="0" w:space="0" w:color="auto"/>
      </w:divBdr>
      <w:divsChild>
        <w:div w:id="494881436">
          <w:marLeft w:val="0"/>
          <w:marRight w:val="0"/>
          <w:marTop w:val="0"/>
          <w:marBottom w:val="0"/>
          <w:divBdr>
            <w:top w:val="none" w:sz="0" w:space="0" w:color="auto"/>
            <w:left w:val="none" w:sz="0" w:space="0" w:color="auto"/>
            <w:bottom w:val="none" w:sz="0" w:space="0" w:color="auto"/>
            <w:right w:val="none" w:sz="0" w:space="0" w:color="auto"/>
          </w:divBdr>
        </w:div>
        <w:div w:id="1696693127">
          <w:marLeft w:val="0"/>
          <w:marRight w:val="0"/>
          <w:marTop w:val="0"/>
          <w:marBottom w:val="0"/>
          <w:divBdr>
            <w:top w:val="none" w:sz="0" w:space="0" w:color="auto"/>
            <w:left w:val="none" w:sz="0" w:space="0" w:color="auto"/>
            <w:bottom w:val="none" w:sz="0" w:space="0" w:color="auto"/>
            <w:right w:val="none" w:sz="0" w:space="0" w:color="auto"/>
          </w:divBdr>
        </w:div>
        <w:div w:id="638455821">
          <w:marLeft w:val="0"/>
          <w:marRight w:val="0"/>
          <w:marTop w:val="0"/>
          <w:marBottom w:val="0"/>
          <w:divBdr>
            <w:top w:val="none" w:sz="0" w:space="0" w:color="auto"/>
            <w:left w:val="none" w:sz="0" w:space="0" w:color="auto"/>
            <w:bottom w:val="none" w:sz="0" w:space="0" w:color="auto"/>
            <w:right w:val="none" w:sz="0" w:space="0" w:color="auto"/>
          </w:divBdr>
        </w:div>
        <w:div w:id="1115514698">
          <w:marLeft w:val="0"/>
          <w:marRight w:val="0"/>
          <w:marTop w:val="0"/>
          <w:marBottom w:val="0"/>
          <w:divBdr>
            <w:top w:val="none" w:sz="0" w:space="0" w:color="auto"/>
            <w:left w:val="none" w:sz="0" w:space="0" w:color="auto"/>
            <w:bottom w:val="none" w:sz="0" w:space="0" w:color="auto"/>
            <w:right w:val="none" w:sz="0" w:space="0" w:color="auto"/>
          </w:divBdr>
        </w:div>
        <w:div w:id="509948012">
          <w:marLeft w:val="0"/>
          <w:marRight w:val="0"/>
          <w:marTop w:val="0"/>
          <w:marBottom w:val="0"/>
          <w:divBdr>
            <w:top w:val="none" w:sz="0" w:space="0" w:color="auto"/>
            <w:left w:val="none" w:sz="0" w:space="0" w:color="auto"/>
            <w:bottom w:val="none" w:sz="0" w:space="0" w:color="auto"/>
            <w:right w:val="none" w:sz="0" w:space="0" w:color="auto"/>
          </w:divBdr>
        </w:div>
        <w:div w:id="749502425">
          <w:marLeft w:val="0"/>
          <w:marRight w:val="0"/>
          <w:marTop w:val="0"/>
          <w:marBottom w:val="0"/>
          <w:divBdr>
            <w:top w:val="none" w:sz="0" w:space="0" w:color="auto"/>
            <w:left w:val="none" w:sz="0" w:space="0" w:color="auto"/>
            <w:bottom w:val="none" w:sz="0" w:space="0" w:color="auto"/>
            <w:right w:val="none" w:sz="0" w:space="0" w:color="auto"/>
          </w:divBdr>
        </w:div>
        <w:div w:id="1146362741">
          <w:marLeft w:val="0"/>
          <w:marRight w:val="0"/>
          <w:marTop w:val="0"/>
          <w:marBottom w:val="0"/>
          <w:divBdr>
            <w:top w:val="none" w:sz="0" w:space="0" w:color="auto"/>
            <w:left w:val="none" w:sz="0" w:space="0" w:color="auto"/>
            <w:bottom w:val="none" w:sz="0" w:space="0" w:color="auto"/>
            <w:right w:val="none" w:sz="0" w:space="0" w:color="auto"/>
          </w:divBdr>
        </w:div>
        <w:div w:id="2047683161">
          <w:marLeft w:val="0"/>
          <w:marRight w:val="0"/>
          <w:marTop w:val="0"/>
          <w:marBottom w:val="0"/>
          <w:divBdr>
            <w:top w:val="none" w:sz="0" w:space="0" w:color="auto"/>
            <w:left w:val="none" w:sz="0" w:space="0" w:color="auto"/>
            <w:bottom w:val="none" w:sz="0" w:space="0" w:color="auto"/>
            <w:right w:val="none" w:sz="0" w:space="0" w:color="auto"/>
          </w:divBdr>
        </w:div>
        <w:div w:id="989283764">
          <w:marLeft w:val="0"/>
          <w:marRight w:val="0"/>
          <w:marTop w:val="0"/>
          <w:marBottom w:val="0"/>
          <w:divBdr>
            <w:top w:val="none" w:sz="0" w:space="0" w:color="auto"/>
            <w:left w:val="none" w:sz="0" w:space="0" w:color="auto"/>
            <w:bottom w:val="none" w:sz="0" w:space="0" w:color="auto"/>
            <w:right w:val="none" w:sz="0" w:space="0" w:color="auto"/>
          </w:divBdr>
        </w:div>
        <w:div w:id="798456093">
          <w:marLeft w:val="0"/>
          <w:marRight w:val="0"/>
          <w:marTop w:val="0"/>
          <w:marBottom w:val="0"/>
          <w:divBdr>
            <w:top w:val="none" w:sz="0" w:space="0" w:color="auto"/>
            <w:left w:val="none" w:sz="0" w:space="0" w:color="auto"/>
            <w:bottom w:val="none" w:sz="0" w:space="0" w:color="auto"/>
            <w:right w:val="none" w:sz="0" w:space="0" w:color="auto"/>
          </w:divBdr>
        </w:div>
        <w:div w:id="1804883650">
          <w:marLeft w:val="0"/>
          <w:marRight w:val="0"/>
          <w:marTop w:val="0"/>
          <w:marBottom w:val="0"/>
          <w:divBdr>
            <w:top w:val="none" w:sz="0" w:space="0" w:color="auto"/>
            <w:left w:val="none" w:sz="0" w:space="0" w:color="auto"/>
            <w:bottom w:val="none" w:sz="0" w:space="0" w:color="auto"/>
            <w:right w:val="none" w:sz="0" w:space="0" w:color="auto"/>
          </w:divBdr>
        </w:div>
      </w:divsChild>
    </w:div>
    <w:div w:id="333342522">
      <w:bodyDiv w:val="1"/>
      <w:marLeft w:val="0"/>
      <w:marRight w:val="0"/>
      <w:marTop w:val="0"/>
      <w:marBottom w:val="0"/>
      <w:divBdr>
        <w:top w:val="none" w:sz="0" w:space="0" w:color="auto"/>
        <w:left w:val="none" w:sz="0" w:space="0" w:color="auto"/>
        <w:bottom w:val="none" w:sz="0" w:space="0" w:color="auto"/>
        <w:right w:val="none" w:sz="0" w:space="0" w:color="auto"/>
      </w:divBdr>
    </w:div>
    <w:div w:id="1526941726">
      <w:bodyDiv w:val="1"/>
      <w:marLeft w:val="0"/>
      <w:marRight w:val="0"/>
      <w:marTop w:val="0"/>
      <w:marBottom w:val="0"/>
      <w:divBdr>
        <w:top w:val="none" w:sz="0" w:space="0" w:color="auto"/>
        <w:left w:val="none" w:sz="0" w:space="0" w:color="auto"/>
        <w:bottom w:val="none" w:sz="0" w:space="0" w:color="auto"/>
        <w:right w:val="none" w:sz="0" w:space="0" w:color="auto"/>
      </w:divBdr>
      <w:divsChild>
        <w:div w:id="907376918">
          <w:marLeft w:val="0"/>
          <w:marRight w:val="0"/>
          <w:marTop w:val="0"/>
          <w:marBottom w:val="0"/>
          <w:divBdr>
            <w:top w:val="none" w:sz="0" w:space="0" w:color="auto"/>
            <w:left w:val="none" w:sz="0" w:space="0" w:color="auto"/>
            <w:bottom w:val="none" w:sz="0" w:space="0" w:color="auto"/>
            <w:right w:val="none" w:sz="0" w:space="0" w:color="auto"/>
          </w:divBdr>
        </w:div>
        <w:div w:id="1895893632">
          <w:marLeft w:val="0"/>
          <w:marRight w:val="0"/>
          <w:marTop w:val="0"/>
          <w:marBottom w:val="0"/>
          <w:divBdr>
            <w:top w:val="none" w:sz="0" w:space="0" w:color="auto"/>
            <w:left w:val="none" w:sz="0" w:space="0" w:color="auto"/>
            <w:bottom w:val="none" w:sz="0" w:space="0" w:color="auto"/>
            <w:right w:val="none" w:sz="0" w:space="0" w:color="auto"/>
          </w:divBdr>
        </w:div>
        <w:div w:id="1784381354">
          <w:marLeft w:val="0"/>
          <w:marRight w:val="0"/>
          <w:marTop w:val="0"/>
          <w:marBottom w:val="0"/>
          <w:divBdr>
            <w:top w:val="none" w:sz="0" w:space="0" w:color="auto"/>
            <w:left w:val="none" w:sz="0" w:space="0" w:color="auto"/>
            <w:bottom w:val="none" w:sz="0" w:space="0" w:color="auto"/>
            <w:right w:val="none" w:sz="0" w:space="0" w:color="auto"/>
          </w:divBdr>
        </w:div>
        <w:div w:id="1359771458">
          <w:marLeft w:val="0"/>
          <w:marRight w:val="0"/>
          <w:marTop w:val="0"/>
          <w:marBottom w:val="0"/>
          <w:divBdr>
            <w:top w:val="none" w:sz="0" w:space="0" w:color="auto"/>
            <w:left w:val="none" w:sz="0" w:space="0" w:color="auto"/>
            <w:bottom w:val="none" w:sz="0" w:space="0" w:color="auto"/>
            <w:right w:val="none" w:sz="0" w:space="0" w:color="auto"/>
          </w:divBdr>
        </w:div>
        <w:div w:id="1545947909">
          <w:marLeft w:val="0"/>
          <w:marRight w:val="0"/>
          <w:marTop w:val="0"/>
          <w:marBottom w:val="0"/>
          <w:divBdr>
            <w:top w:val="none" w:sz="0" w:space="0" w:color="auto"/>
            <w:left w:val="none" w:sz="0" w:space="0" w:color="auto"/>
            <w:bottom w:val="none" w:sz="0" w:space="0" w:color="auto"/>
            <w:right w:val="none" w:sz="0" w:space="0" w:color="auto"/>
          </w:divBdr>
        </w:div>
        <w:div w:id="338849793">
          <w:marLeft w:val="0"/>
          <w:marRight w:val="0"/>
          <w:marTop w:val="0"/>
          <w:marBottom w:val="0"/>
          <w:divBdr>
            <w:top w:val="none" w:sz="0" w:space="0" w:color="auto"/>
            <w:left w:val="none" w:sz="0" w:space="0" w:color="auto"/>
            <w:bottom w:val="none" w:sz="0" w:space="0" w:color="auto"/>
            <w:right w:val="none" w:sz="0" w:space="0" w:color="auto"/>
          </w:divBdr>
        </w:div>
        <w:div w:id="1926961700">
          <w:marLeft w:val="0"/>
          <w:marRight w:val="0"/>
          <w:marTop w:val="0"/>
          <w:marBottom w:val="0"/>
          <w:divBdr>
            <w:top w:val="none" w:sz="0" w:space="0" w:color="auto"/>
            <w:left w:val="none" w:sz="0" w:space="0" w:color="auto"/>
            <w:bottom w:val="none" w:sz="0" w:space="0" w:color="auto"/>
            <w:right w:val="none" w:sz="0" w:space="0" w:color="auto"/>
          </w:divBdr>
        </w:div>
        <w:div w:id="1629820942">
          <w:marLeft w:val="0"/>
          <w:marRight w:val="0"/>
          <w:marTop w:val="0"/>
          <w:marBottom w:val="0"/>
          <w:divBdr>
            <w:top w:val="none" w:sz="0" w:space="0" w:color="auto"/>
            <w:left w:val="none" w:sz="0" w:space="0" w:color="auto"/>
            <w:bottom w:val="none" w:sz="0" w:space="0" w:color="auto"/>
            <w:right w:val="none" w:sz="0" w:space="0" w:color="auto"/>
          </w:divBdr>
        </w:div>
        <w:div w:id="1412460552">
          <w:marLeft w:val="0"/>
          <w:marRight w:val="0"/>
          <w:marTop w:val="0"/>
          <w:marBottom w:val="0"/>
          <w:divBdr>
            <w:top w:val="none" w:sz="0" w:space="0" w:color="auto"/>
            <w:left w:val="none" w:sz="0" w:space="0" w:color="auto"/>
            <w:bottom w:val="none" w:sz="0" w:space="0" w:color="auto"/>
            <w:right w:val="none" w:sz="0" w:space="0" w:color="auto"/>
          </w:divBdr>
        </w:div>
        <w:div w:id="301034592">
          <w:marLeft w:val="0"/>
          <w:marRight w:val="0"/>
          <w:marTop w:val="0"/>
          <w:marBottom w:val="0"/>
          <w:divBdr>
            <w:top w:val="none" w:sz="0" w:space="0" w:color="auto"/>
            <w:left w:val="none" w:sz="0" w:space="0" w:color="auto"/>
            <w:bottom w:val="none" w:sz="0" w:space="0" w:color="auto"/>
            <w:right w:val="none" w:sz="0" w:space="0" w:color="auto"/>
          </w:divBdr>
        </w:div>
        <w:div w:id="1046683332">
          <w:marLeft w:val="0"/>
          <w:marRight w:val="0"/>
          <w:marTop w:val="0"/>
          <w:marBottom w:val="0"/>
          <w:divBdr>
            <w:top w:val="none" w:sz="0" w:space="0" w:color="auto"/>
            <w:left w:val="none" w:sz="0" w:space="0" w:color="auto"/>
            <w:bottom w:val="none" w:sz="0" w:space="0" w:color="auto"/>
            <w:right w:val="none" w:sz="0" w:space="0" w:color="auto"/>
          </w:divBdr>
        </w:div>
      </w:divsChild>
    </w:div>
    <w:div w:id="1798179849">
      <w:bodyDiv w:val="1"/>
      <w:marLeft w:val="0"/>
      <w:marRight w:val="0"/>
      <w:marTop w:val="0"/>
      <w:marBottom w:val="0"/>
      <w:divBdr>
        <w:top w:val="none" w:sz="0" w:space="0" w:color="auto"/>
        <w:left w:val="none" w:sz="0" w:space="0" w:color="auto"/>
        <w:bottom w:val="none" w:sz="0" w:space="0" w:color="auto"/>
        <w:right w:val="none" w:sz="0" w:space="0" w:color="auto"/>
      </w:divBdr>
    </w:div>
    <w:div w:id="1855730844">
      <w:bodyDiv w:val="1"/>
      <w:marLeft w:val="0"/>
      <w:marRight w:val="0"/>
      <w:marTop w:val="0"/>
      <w:marBottom w:val="0"/>
      <w:divBdr>
        <w:top w:val="none" w:sz="0" w:space="0" w:color="auto"/>
        <w:left w:val="none" w:sz="0" w:space="0" w:color="auto"/>
        <w:bottom w:val="none" w:sz="0" w:space="0" w:color="auto"/>
        <w:right w:val="none" w:sz="0" w:space="0" w:color="auto"/>
      </w:divBdr>
    </w:div>
    <w:div w:id="2041054711">
      <w:bodyDiv w:val="1"/>
      <w:marLeft w:val="0"/>
      <w:marRight w:val="0"/>
      <w:marTop w:val="0"/>
      <w:marBottom w:val="0"/>
      <w:divBdr>
        <w:top w:val="none" w:sz="0" w:space="0" w:color="auto"/>
        <w:left w:val="none" w:sz="0" w:space="0" w:color="auto"/>
        <w:bottom w:val="none" w:sz="0" w:space="0" w:color="auto"/>
        <w:right w:val="none" w:sz="0" w:space="0" w:color="auto"/>
      </w:divBdr>
      <w:divsChild>
        <w:div w:id="8455460">
          <w:marLeft w:val="0"/>
          <w:marRight w:val="0"/>
          <w:marTop w:val="0"/>
          <w:marBottom w:val="0"/>
          <w:divBdr>
            <w:top w:val="none" w:sz="0" w:space="0" w:color="auto"/>
            <w:left w:val="none" w:sz="0" w:space="0" w:color="auto"/>
            <w:bottom w:val="none" w:sz="0" w:space="0" w:color="auto"/>
            <w:right w:val="none" w:sz="0" w:space="0" w:color="auto"/>
          </w:divBdr>
        </w:div>
        <w:div w:id="1063136089">
          <w:marLeft w:val="0"/>
          <w:marRight w:val="0"/>
          <w:marTop w:val="0"/>
          <w:marBottom w:val="0"/>
          <w:divBdr>
            <w:top w:val="none" w:sz="0" w:space="0" w:color="auto"/>
            <w:left w:val="none" w:sz="0" w:space="0" w:color="auto"/>
            <w:bottom w:val="none" w:sz="0" w:space="0" w:color="auto"/>
            <w:right w:val="none" w:sz="0" w:space="0" w:color="auto"/>
          </w:divBdr>
        </w:div>
        <w:div w:id="12341012">
          <w:marLeft w:val="0"/>
          <w:marRight w:val="0"/>
          <w:marTop w:val="0"/>
          <w:marBottom w:val="0"/>
          <w:divBdr>
            <w:top w:val="none" w:sz="0" w:space="0" w:color="auto"/>
            <w:left w:val="none" w:sz="0" w:space="0" w:color="auto"/>
            <w:bottom w:val="none" w:sz="0" w:space="0" w:color="auto"/>
            <w:right w:val="none" w:sz="0" w:space="0" w:color="auto"/>
          </w:divBdr>
        </w:div>
        <w:div w:id="16042623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1.gif"/><Relationship Id="rId55" Type="http://schemas.openxmlformats.org/officeDocument/2006/relationships/image" Target="media/image25.png"/><Relationship Id="rId63" Type="http://schemas.openxmlformats.org/officeDocument/2006/relationships/hyperlink" Target="file:///C:\Users\n_shu\OneDrive\Desktop\Updated%20forms%20for%20Ethical%20Approval\IRB%20KFHH%20RCA%2039A-32-2020.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hyperlink" Target="file:///C:\Users\n_shu\OneDrive\Desktop\PIS+CF%20for%20Interview\Consent%20Form_for%20the%20interview.docx"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file:///C:\Users\n_shu\OneDrive\Desktop\Updated%20forms%20for%20Ethical%20Approval\036512%20amendment%20approval%20letter%20April%202021.pdf" TargetMode="Externa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s://scharr.eu.qualtrics.com/CP/File.php?F=F_6mSX860I0n7nFau" TargetMode="External"/><Relationship Id="rId56" Type="http://schemas.openxmlformats.org/officeDocument/2006/relationships/hyperlink" Target="file:///C:\Users\n_shu\OneDrive\Desktop\PIS+CF%20for%20Interview\Participant_Information_Sheet.docx" TargetMode="External"/><Relationship Id="rId64" Type="http://schemas.openxmlformats.org/officeDocument/2006/relationships/image" Target="media/image30.png"/><Relationship Id="rId8" Type="http://schemas.openxmlformats.org/officeDocument/2006/relationships/image" Target="media/image2.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image" Target="media/image13.png"/><Relationship Id="rId54" Type="http://schemas.openxmlformats.org/officeDocument/2006/relationships/hyperlink" Target="file:///C:\Users\n_shu\OneDrive\Desktop\Updated%20forms%20for%20Ethical%20Approval\Participant%20Information%20Sheet_for%20Questionnaire_Updated.docx" TargetMode="Externa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image" Target="media/image26.png"/><Relationship Id="rId10" Type="http://schemas.openxmlformats.org/officeDocument/2006/relationships/hyperlink" Target="https://www.sheffield.ac.uk/polopoly_fs/1.821413!/file/2019_UoS_retention_schedule_rewrite_v2.3.pdf"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Draft%20for%20IP%20and%20DP.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Charts%20included%20in%20Result%20Chapter.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Charts%20included%20in%20Result%20Chapte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Draft%20for%20IP%20and%20D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Charts%20included%20in%20Result%20Chapt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b815ca293b0c3827/Desktop/Thesis%20writing%20progress/New%20created%20charts%203%20August%20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Pharmaceutical Care Services Provided to Patients with Diabetes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Sheet9!$B$6</c:f>
              <c:strCache>
                <c:ptCount val="1"/>
                <c:pt idx="0">
                  <c:v>Never</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Sheet9!$A$7:$A$18</c:f>
              <c:strCache>
                <c:ptCount val="12"/>
                <c:pt idx="0">
                  <c:v>Preparing and Dispensing of Prescriptions</c:v>
                </c:pt>
                <c:pt idx="1">
                  <c:v>Verification of Prescriptions</c:v>
                </c:pt>
                <c:pt idx="2">
                  <c:v>Patient Counselling and Education </c:v>
                </c:pt>
                <c:pt idx="3">
                  <c:v>Hypoglycemia Management </c:v>
                </c:pt>
                <c:pt idx="4">
                  <c:v>Medication Review</c:v>
                </c:pt>
                <c:pt idx="5">
                  <c:v>Blood Glucose Monitoring </c:v>
                </c:pt>
                <c:pt idx="6">
                  <c:v>Medication Therapy Management </c:v>
                </c:pt>
                <c:pt idx="7">
                  <c:v>Co-Morbid Disease Education</c:v>
                </c:pt>
                <c:pt idx="8">
                  <c:v>Co-Morbid Disease Medication Management</c:v>
                </c:pt>
                <c:pt idx="9">
                  <c:v>Healthy lifestyle Education </c:v>
                </c:pt>
                <c:pt idx="10">
                  <c:v>Dependent Prescribing of Diabetes Medications </c:v>
                </c:pt>
                <c:pt idx="11">
                  <c:v>Independent Prescribing of Diabetes Medications </c:v>
                </c:pt>
              </c:strCache>
            </c:strRef>
          </c:cat>
          <c:val>
            <c:numRef>
              <c:f>Sheet9!$B$7:$B$18</c:f>
              <c:numCache>
                <c:formatCode>General</c:formatCode>
                <c:ptCount val="12"/>
                <c:pt idx="0">
                  <c:v>3</c:v>
                </c:pt>
                <c:pt idx="1">
                  <c:v>3</c:v>
                </c:pt>
                <c:pt idx="2">
                  <c:v>3</c:v>
                </c:pt>
                <c:pt idx="3">
                  <c:v>7</c:v>
                </c:pt>
                <c:pt idx="4">
                  <c:v>10</c:v>
                </c:pt>
                <c:pt idx="5">
                  <c:v>13</c:v>
                </c:pt>
                <c:pt idx="6">
                  <c:v>3</c:v>
                </c:pt>
                <c:pt idx="7">
                  <c:v>10</c:v>
                </c:pt>
                <c:pt idx="8">
                  <c:v>10</c:v>
                </c:pt>
                <c:pt idx="9">
                  <c:v>10</c:v>
                </c:pt>
                <c:pt idx="10">
                  <c:v>23</c:v>
                </c:pt>
                <c:pt idx="11">
                  <c:v>50</c:v>
                </c:pt>
              </c:numCache>
            </c:numRef>
          </c:val>
          <c:extLst>
            <c:ext xmlns:c16="http://schemas.microsoft.com/office/drawing/2014/chart" uri="{C3380CC4-5D6E-409C-BE32-E72D297353CC}">
              <c16:uniqueId val="{00000000-CDF2-4915-A66F-4694F1DCF3C9}"/>
            </c:ext>
          </c:extLst>
        </c:ser>
        <c:ser>
          <c:idx val="1"/>
          <c:order val="1"/>
          <c:tx>
            <c:strRef>
              <c:f>Sheet9!$C$6</c:f>
              <c:strCache>
                <c:ptCount val="1"/>
                <c:pt idx="0">
                  <c:v>Rarely</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Sheet9!$A$7:$A$18</c:f>
              <c:strCache>
                <c:ptCount val="12"/>
                <c:pt idx="0">
                  <c:v>Preparing and Dispensing of Prescriptions</c:v>
                </c:pt>
                <c:pt idx="1">
                  <c:v>Verification of Prescriptions</c:v>
                </c:pt>
                <c:pt idx="2">
                  <c:v>Patient Counselling and Education </c:v>
                </c:pt>
                <c:pt idx="3">
                  <c:v>Hypoglycemia Management </c:v>
                </c:pt>
                <c:pt idx="4">
                  <c:v>Medication Review</c:v>
                </c:pt>
                <c:pt idx="5">
                  <c:v>Blood Glucose Monitoring </c:v>
                </c:pt>
                <c:pt idx="6">
                  <c:v>Medication Therapy Management </c:v>
                </c:pt>
                <c:pt idx="7">
                  <c:v>Co-Morbid Disease Education</c:v>
                </c:pt>
                <c:pt idx="8">
                  <c:v>Co-Morbid Disease Medication Management</c:v>
                </c:pt>
                <c:pt idx="9">
                  <c:v>Healthy lifestyle Education </c:v>
                </c:pt>
                <c:pt idx="10">
                  <c:v>Dependent Prescribing of Diabetes Medications </c:v>
                </c:pt>
                <c:pt idx="11">
                  <c:v>Independent Prescribing of Diabetes Medications </c:v>
                </c:pt>
              </c:strCache>
            </c:strRef>
          </c:cat>
          <c:val>
            <c:numRef>
              <c:f>Sheet9!$C$7:$C$18</c:f>
              <c:numCache>
                <c:formatCode>General</c:formatCode>
                <c:ptCount val="12"/>
                <c:pt idx="0">
                  <c:v>10</c:v>
                </c:pt>
                <c:pt idx="1">
                  <c:v>7</c:v>
                </c:pt>
                <c:pt idx="2">
                  <c:v>7</c:v>
                </c:pt>
                <c:pt idx="3">
                  <c:v>20</c:v>
                </c:pt>
                <c:pt idx="4">
                  <c:v>7</c:v>
                </c:pt>
                <c:pt idx="5">
                  <c:v>23</c:v>
                </c:pt>
                <c:pt idx="6">
                  <c:v>23</c:v>
                </c:pt>
                <c:pt idx="7">
                  <c:v>13</c:v>
                </c:pt>
                <c:pt idx="8">
                  <c:v>13</c:v>
                </c:pt>
                <c:pt idx="9">
                  <c:v>13</c:v>
                </c:pt>
                <c:pt idx="10">
                  <c:v>13</c:v>
                </c:pt>
                <c:pt idx="11">
                  <c:v>17</c:v>
                </c:pt>
              </c:numCache>
            </c:numRef>
          </c:val>
          <c:extLst>
            <c:ext xmlns:c16="http://schemas.microsoft.com/office/drawing/2014/chart" uri="{C3380CC4-5D6E-409C-BE32-E72D297353CC}">
              <c16:uniqueId val="{00000001-CDF2-4915-A66F-4694F1DCF3C9}"/>
            </c:ext>
          </c:extLst>
        </c:ser>
        <c:ser>
          <c:idx val="2"/>
          <c:order val="2"/>
          <c:tx>
            <c:strRef>
              <c:f>Sheet9!$D$6</c:f>
              <c:strCache>
                <c:ptCount val="1"/>
                <c:pt idx="0">
                  <c:v>Sometimes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Sheet9!$A$7:$A$18</c:f>
              <c:strCache>
                <c:ptCount val="12"/>
                <c:pt idx="0">
                  <c:v>Preparing and Dispensing of Prescriptions</c:v>
                </c:pt>
                <c:pt idx="1">
                  <c:v>Verification of Prescriptions</c:v>
                </c:pt>
                <c:pt idx="2">
                  <c:v>Patient Counselling and Education </c:v>
                </c:pt>
                <c:pt idx="3">
                  <c:v>Hypoglycemia Management </c:v>
                </c:pt>
                <c:pt idx="4">
                  <c:v>Medication Review</c:v>
                </c:pt>
                <c:pt idx="5">
                  <c:v>Blood Glucose Monitoring </c:v>
                </c:pt>
                <c:pt idx="6">
                  <c:v>Medication Therapy Management </c:v>
                </c:pt>
                <c:pt idx="7">
                  <c:v>Co-Morbid Disease Education</c:v>
                </c:pt>
                <c:pt idx="8">
                  <c:v>Co-Morbid Disease Medication Management</c:v>
                </c:pt>
                <c:pt idx="9">
                  <c:v>Healthy lifestyle Education </c:v>
                </c:pt>
                <c:pt idx="10">
                  <c:v>Dependent Prescribing of Diabetes Medications </c:v>
                </c:pt>
                <c:pt idx="11">
                  <c:v>Independent Prescribing of Diabetes Medications </c:v>
                </c:pt>
              </c:strCache>
            </c:strRef>
          </c:cat>
          <c:val>
            <c:numRef>
              <c:f>Sheet9!$D$7:$D$18</c:f>
              <c:numCache>
                <c:formatCode>General</c:formatCode>
                <c:ptCount val="12"/>
                <c:pt idx="0">
                  <c:v>17</c:v>
                </c:pt>
                <c:pt idx="1">
                  <c:v>23</c:v>
                </c:pt>
                <c:pt idx="2">
                  <c:v>20</c:v>
                </c:pt>
                <c:pt idx="3">
                  <c:v>23</c:v>
                </c:pt>
                <c:pt idx="4">
                  <c:v>37</c:v>
                </c:pt>
                <c:pt idx="5">
                  <c:v>20</c:v>
                </c:pt>
                <c:pt idx="6">
                  <c:v>30</c:v>
                </c:pt>
                <c:pt idx="7">
                  <c:v>30</c:v>
                </c:pt>
                <c:pt idx="8">
                  <c:v>47</c:v>
                </c:pt>
                <c:pt idx="9">
                  <c:v>40</c:v>
                </c:pt>
                <c:pt idx="10">
                  <c:v>27</c:v>
                </c:pt>
                <c:pt idx="11">
                  <c:v>10</c:v>
                </c:pt>
              </c:numCache>
            </c:numRef>
          </c:val>
          <c:extLst>
            <c:ext xmlns:c16="http://schemas.microsoft.com/office/drawing/2014/chart" uri="{C3380CC4-5D6E-409C-BE32-E72D297353CC}">
              <c16:uniqueId val="{00000002-CDF2-4915-A66F-4694F1DCF3C9}"/>
            </c:ext>
          </c:extLst>
        </c:ser>
        <c:ser>
          <c:idx val="3"/>
          <c:order val="3"/>
          <c:tx>
            <c:strRef>
              <c:f>Sheet9!$E$6</c:f>
              <c:strCache>
                <c:ptCount val="1"/>
                <c:pt idx="0">
                  <c:v>Often</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Sheet9!$A$7:$A$18</c:f>
              <c:strCache>
                <c:ptCount val="12"/>
                <c:pt idx="0">
                  <c:v>Preparing and Dispensing of Prescriptions</c:v>
                </c:pt>
                <c:pt idx="1">
                  <c:v>Verification of Prescriptions</c:v>
                </c:pt>
                <c:pt idx="2">
                  <c:v>Patient Counselling and Education </c:v>
                </c:pt>
                <c:pt idx="3">
                  <c:v>Hypoglycemia Management </c:v>
                </c:pt>
                <c:pt idx="4">
                  <c:v>Medication Review</c:v>
                </c:pt>
                <c:pt idx="5">
                  <c:v>Blood Glucose Monitoring </c:v>
                </c:pt>
                <c:pt idx="6">
                  <c:v>Medication Therapy Management </c:v>
                </c:pt>
                <c:pt idx="7">
                  <c:v>Co-Morbid Disease Education</c:v>
                </c:pt>
                <c:pt idx="8">
                  <c:v>Co-Morbid Disease Medication Management</c:v>
                </c:pt>
                <c:pt idx="9">
                  <c:v>Healthy lifestyle Education </c:v>
                </c:pt>
                <c:pt idx="10">
                  <c:v>Dependent Prescribing of Diabetes Medications </c:v>
                </c:pt>
                <c:pt idx="11">
                  <c:v>Independent Prescribing of Diabetes Medications </c:v>
                </c:pt>
              </c:strCache>
            </c:strRef>
          </c:cat>
          <c:val>
            <c:numRef>
              <c:f>Sheet9!$E$7:$E$18</c:f>
              <c:numCache>
                <c:formatCode>General</c:formatCode>
                <c:ptCount val="12"/>
                <c:pt idx="0">
                  <c:v>23</c:v>
                </c:pt>
                <c:pt idx="1">
                  <c:v>23</c:v>
                </c:pt>
                <c:pt idx="2">
                  <c:v>27</c:v>
                </c:pt>
                <c:pt idx="3">
                  <c:v>33</c:v>
                </c:pt>
                <c:pt idx="4">
                  <c:v>17</c:v>
                </c:pt>
                <c:pt idx="5">
                  <c:v>20</c:v>
                </c:pt>
                <c:pt idx="6">
                  <c:v>20</c:v>
                </c:pt>
                <c:pt idx="7">
                  <c:v>20</c:v>
                </c:pt>
                <c:pt idx="8">
                  <c:v>10</c:v>
                </c:pt>
                <c:pt idx="9">
                  <c:v>20</c:v>
                </c:pt>
                <c:pt idx="10">
                  <c:v>17</c:v>
                </c:pt>
                <c:pt idx="11">
                  <c:v>7</c:v>
                </c:pt>
              </c:numCache>
            </c:numRef>
          </c:val>
          <c:extLst>
            <c:ext xmlns:c16="http://schemas.microsoft.com/office/drawing/2014/chart" uri="{C3380CC4-5D6E-409C-BE32-E72D297353CC}">
              <c16:uniqueId val="{00000003-CDF2-4915-A66F-4694F1DCF3C9}"/>
            </c:ext>
          </c:extLst>
        </c:ser>
        <c:ser>
          <c:idx val="4"/>
          <c:order val="4"/>
          <c:tx>
            <c:strRef>
              <c:f>Sheet9!$F$6</c:f>
              <c:strCache>
                <c:ptCount val="1"/>
                <c:pt idx="0">
                  <c:v>Always</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Sheet9!$A$7:$A$18</c:f>
              <c:strCache>
                <c:ptCount val="12"/>
                <c:pt idx="0">
                  <c:v>Preparing and Dispensing of Prescriptions</c:v>
                </c:pt>
                <c:pt idx="1">
                  <c:v>Verification of Prescriptions</c:v>
                </c:pt>
                <c:pt idx="2">
                  <c:v>Patient Counselling and Education </c:v>
                </c:pt>
                <c:pt idx="3">
                  <c:v>Hypoglycemia Management </c:v>
                </c:pt>
                <c:pt idx="4">
                  <c:v>Medication Review</c:v>
                </c:pt>
                <c:pt idx="5">
                  <c:v>Blood Glucose Monitoring </c:v>
                </c:pt>
                <c:pt idx="6">
                  <c:v>Medication Therapy Management </c:v>
                </c:pt>
                <c:pt idx="7">
                  <c:v>Co-Morbid Disease Education</c:v>
                </c:pt>
                <c:pt idx="8">
                  <c:v>Co-Morbid Disease Medication Management</c:v>
                </c:pt>
                <c:pt idx="9">
                  <c:v>Healthy lifestyle Education </c:v>
                </c:pt>
                <c:pt idx="10">
                  <c:v>Dependent Prescribing of Diabetes Medications </c:v>
                </c:pt>
                <c:pt idx="11">
                  <c:v>Independent Prescribing of Diabetes Medications </c:v>
                </c:pt>
              </c:strCache>
            </c:strRef>
          </c:cat>
          <c:val>
            <c:numRef>
              <c:f>Sheet9!$F$7:$F$18</c:f>
              <c:numCache>
                <c:formatCode>General</c:formatCode>
                <c:ptCount val="12"/>
                <c:pt idx="0">
                  <c:v>47</c:v>
                </c:pt>
                <c:pt idx="1">
                  <c:v>43</c:v>
                </c:pt>
                <c:pt idx="2">
                  <c:v>43</c:v>
                </c:pt>
                <c:pt idx="3">
                  <c:v>17</c:v>
                </c:pt>
                <c:pt idx="4">
                  <c:v>30</c:v>
                </c:pt>
                <c:pt idx="5">
                  <c:v>23</c:v>
                </c:pt>
                <c:pt idx="6">
                  <c:v>23</c:v>
                </c:pt>
                <c:pt idx="7">
                  <c:v>27</c:v>
                </c:pt>
                <c:pt idx="8">
                  <c:v>20</c:v>
                </c:pt>
                <c:pt idx="9">
                  <c:v>17</c:v>
                </c:pt>
                <c:pt idx="10">
                  <c:v>20</c:v>
                </c:pt>
                <c:pt idx="11">
                  <c:v>17</c:v>
                </c:pt>
              </c:numCache>
            </c:numRef>
          </c:val>
          <c:extLst>
            <c:ext xmlns:c16="http://schemas.microsoft.com/office/drawing/2014/chart" uri="{C3380CC4-5D6E-409C-BE32-E72D297353CC}">
              <c16:uniqueId val="{00000004-CDF2-4915-A66F-4694F1DCF3C9}"/>
            </c:ext>
          </c:extLst>
        </c:ser>
        <c:dLbls>
          <c:dLblPos val="ctr"/>
          <c:showLegendKey val="0"/>
          <c:showVal val="1"/>
          <c:showCatName val="0"/>
          <c:showSerName val="0"/>
          <c:showPercent val="0"/>
          <c:showBubbleSize val="0"/>
        </c:dLbls>
        <c:gapWidth val="150"/>
        <c:overlap val="100"/>
        <c:axId val="967728768"/>
        <c:axId val="967720448"/>
      </c:barChart>
      <c:catAx>
        <c:axId val="967728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67720448"/>
        <c:crosses val="autoZero"/>
        <c:auto val="1"/>
        <c:lblAlgn val="ctr"/>
        <c:lblOffset val="100"/>
        <c:noMultiLvlLbl val="0"/>
      </c:catAx>
      <c:valAx>
        <c:axId val="96772044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772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Healthcare Professionals' Opinion toward Potential Impact of Pharmacist Involvement in Diabetes Primary Care Management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2"/>
          <c:order val="0"/>
          <c:tx>
            <c:strRef>
              <c:f>'[Draft for IP and DP.xlsx]Sheet16'!$D$5</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'[Draft for IP and DP.xlsx]Sheet16'!$A$6:$A$21</c:f>
              <c:strCache>
                <c:ptCount val="16"/>
                <c:pt idx="0">
                  <c:v>Pharmacists can reduce medication errors in practice</c:v>
                </c:pt>
                <c:pt idx="1">
                  <c:v>Pharmacists can help doctors to prescribe safely</c:v>
                </c:pt>
                <c:pt idx="2">
                  <c:v>Pharmacists can improve prescribing practice</c:v>
                </c:pt>
                <c:pt idx="3">
                  <c:v>Pharmacists can be an important and integral part of the diabetes management team  </c:v>
                </c:pt>
                <c:pt idx="4">
                  <c:v>Pharmacists can help doctors to prescribe cost-effectively</c:v>
                </c:pt>
                <c:pt idx="5">
                  <c:v>Involvement of pharmacists in MDT could increase job satisfaction for pharmacists</c:v>
                </c:pt>
                <c:pt idx="6">
                  <c:v>Pharmacists can provide drug information to physicians to help in decision-making regarding medicines </c:v>
                </c:pt>
                <c:pt idx="7">
                  <c:v>Collaborative work of pharmacists with other HCPs can improve the quality of healthcare services</c:v>
                </c:pt>
                <c:pt idx="8">
                  <c:v>Pharmacists working in the primary care team can make doctors’ job easier by addressing medication-related problems</c:v>
                </c:pt>
                <c:pt idx="9">
                  <c:v>Use of pharmacist’s skills and knowledge in diabetes primary care management can improve patient outcomes</c:v>
                </c:pt>
                <c:pt idx="10">
                  <c:v>Pharmacists can make the management of patients’ medication more efficient</c:v>
                </c:pt>
                <c:pt idx="11">
                  <c:v>Pharmacists can help with co-management of complex patients</c:v>
                </c:pt>
                <c:pt idx="12">
                  <c:v>Pharmacists working in the primary care team can make nurses’ job easier by addressing medication-related problems</c:v>
                </c:pt>
                <c:pt idx="13">
                  <c:v>Pharmacists can assess patients’ clinical needs and perform a comprehensive medicines assessment</c:v>
                </c:pt>
                <c:pt idx="14">
                  <c:v>Pharmacists are able to independently prescribe cost-effectively</c:v>
                </c:pt>
                <c:pt idx="15">
                  <c:v>Pharmacists are able to independently prescribe safely</c:v>
                </c:pt>
              </c:strCache>
            </c:strRef>
          </c:cat>
          <c:val>
            <c:numRef>
              <c:f>'[Draft for IP and DP.xlsx]Sheet16'!$D$6:$D$21</c:f>
              <c:numCache>
                <c:formatCode>0</c:formatCode>
                <c:ptCount val="16"/>
                <c:pt idx="0">
                  <c:v>2.8</c:v>
                </c:pt>
                <c:pt idx="1">
                  <c:v>1.9</c:v>
                </c:pt>
                <c:pt idx="2">
                  <c:v>2.8</c:v>
                </c:pt>
                <c:pt idx="3">
                  <c:v>3.8</c:v>
                </c:pt>
                <c:pt idx="4">
                  <c:v>2.8</c:v>
                </c:pt>
                <c:pt idx="5">
                  <c:v>2.8</c:v>
                </c:pt>
                <c:pt idx="6">
                  <c:v>3.6999999999999997</c:v>
                </c:pt>
                <c:pt idx="7">
                  <c:v>3.6999999999999997</c:v>
                </c:pt>
                <c:pt idx="8">
                  <c:v>2.8</c:v>
                </c:pt>
                <c:pt idx="9">
                  <c:v>4.6999999999999993</c:v>
                </c:pt>
                <c:pt idx="10">
                  <c:v>5.6999999999999993</c:v>
                </c:pt>
                <c:pt idx="11">
                  <c:v>5.6999999999999993</c:v>
                </c:pt>
                <c:pt idx="12">
                  <c:v>3.6999999999999997</c:v>
                </c:pt>
                <c:pt idx="13">
                  <c:v>7.5</c:v>
                </c:pt>
                <c:pt idx="14">
                  <c:v>14.100000000000001</c:v>
                </c:pt>
                <c:pt idx="15">
                  <c:v>22.7</c:v>
                </c:pt>
              </c:numCache>
            </c:numRef>
          </c:val>
          <c:extLst>
            <c:ext xmlns:c16="http://schemas.microsoft.com/office/drawing/2014/chart" uri="{C3380CC4-5D6E-409C-BE32-E72D297353CC}">
              <c16:uniqueId val="{00000000-B725-4DA5-99F8-EFB2B7B0C4E4}"/>
            </c:ext>
          </c:extLst>
        </c:ser>
        <c:ser>
          <c:idx val="3"/>
          <c:order val="1"/>
          <c:tx>
            <c:strRef>
              <c:f>'[Draft for IP and DP.xlsx]Sheet16'!$E$5</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'[Draft for IP and DP.xlsx]Sheet16'!$A$6:$A$21</c:f>
              <c:strCache>
                <c:ptCount val="16"/>
                <c:pt idx="0">
                  <c:v>Pharmacists can reduce medication errors in practice</c:v>
                </c:pt>
                <c:pt idx="1">
                  <c:v>Pharmacists can help doctors to prescribe safely</c:v>
                </c:pt>
                <c:pt idx="2">
                  <c:v>Pharmacists can improve prescribing practice</c:v>
                </c:pt>
                <c:pt idx="3">
                  <c:v>Pharmacists can be an important and integral part of the diabetes management team  </c:v>
                </c:pt>
                <c:pt idx="4">
                  <c:v>Pharmacists can help doctors to prescribe cost-effectively</c:v>
                </c:pt>
                <c:pt idx="5">
                  <c:v>Involvement of pharmacists in MDT could increase job satisfaction for pharmacists</c:v>
                </c:pt>
                <c:pt idx="6">
                  <c:v>Pharmacists can provide drug information to physicians to help in decision-making regarding medicines </c:v>
                </c:pt>
                <c:pt idx="7">
                  <c:v>Collaborative work of pharmacists with other HCPs can improve the quality of healthcare services</c:v>
                </c:pt>
                <c:pt idx="8">
                  <c:v>Pharmacists working in the primary care team can make doctors’ job easier by addressing medication-related problems</c:v>
                </c:pt>
                <c:pt idx="9">
                  <c:v>Use of pharmacist’s skills and knowledge in diabetes primary care management can improve patient outcomes</c:v>
                </c:pt>
                <c:pt idx="10">
                  <c:v>Pharmacists can make the management of patients’ medication more efficient</c:v>
                </c:pt>
                <c:pt idx="11">
                  <c:v>Pharmacists can help with co-management of complex patients</c:v>
                </c:pt>
                <c:pt idx="12">
                  <c:v>Pharmacists working in the primary care team can make nurses’ job easier by addressing medication-related problems</c:v>
                </c:pt>
                <c:pt idx="13">
                  <c:v>Pharmacists can assess patients’ clinical needs and perform a comprehensive medicines assessment</c:v>
                </c:pt>
                <c:pt idx="14">
                  <c:v>Pharmacists are able to independently prescribe cost-effectively</c:v>
                </c:pt>
                <c:pt idx="15">
                  <c:v>Pharmacists are able to independently prescribe safely</c:v>
                </c:pt>
              </c:strCache>
            </c:strRef>
          </c:cat>
          <c:val>
            <c:numRef>
              <c:f>'[Draft for IP and DP.xlsx]Sheet16'!$E$6:$E$21</c:f>
              <c:numCache>
                <c:formatCode>0</c:formatCode>
                <c:ptCount val="16"/>
                <c:pt idx="0">
                  <c:v>2.8</c:v>
                </c:pt>
                <c:pt idx="1">
                  <c:v>6.6</c:v>
                </c:pt>
                <c:pt idx="2">
                  <c:v>6.6</c:v>
                </c:pt>
                <c:pt idx="3">
                  <c:v>5.7</c:v>
                </c:pt>
                <c:pt idx="4">
                  <c:v>6.6</c:v>
                </c:pt>
                <c:pt idx="5">
                  <c:v>7.6</c:v>
                </c:pt>
                <c:pt idx="6">
                  <c:v>6.6</c:v>
                </c:pt>
                <c:pt idx="7">
                  <c:v>6.6</c:v>
                </c:pt>
                <c:pt idx="8">
                  <c:v>8.5</c:v>
                </c:pt>
                <c:pt idx="9">
                  <c:v>6.6</c:v>
                </c:pt>
                <c:pt idx="10">
                  <c:v>6.6</c:v>
                </c:pt>
                <c:pt idx="11">
                  <c:v>7.6</c:v>
                </c:pt>
                <c:pt idx="12">
                  <c:v>17</c:v>
                </c:pt>
                <c:pt idx="13">
                  <c:v>16</c:v>
                </c:pt>
                <c:pt idx="14">
                  <c:v>22.6</c:v>
                </c:pt>
                <c:pt idx="15">
                  <c:v>24.5</c:v>
                </c:pt>
              </c:numCache>
            </c:numRef>
          </c:val>
          <c:extLst>
            <c:ext xmlns:c16="http://schemas.microsoft.com/office/drawing/2014/chart" uri="{C3380CC4-5D6E-409C-BE32-E72D297353CC}">
              <c16:uniqueId val="{00000001-B725-4DA5-99F8-EFB2B7B0C4E4}"/>
            </c:ext>
          </c:extLst>
        </c:ser>
        <c:ser>
          <c:idx val="6"/>
          <c:order val="2"/>
          <c:tx>
            <c:strRef>
              <c:f>'[Draft for IP and DP.xlsx]Sheet16'!$H$5</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'[Draft for IP and DP.xlsx]Sheet16'!$A$6:$A$21</c:f>
              <c:strCache>
                <c:ptCount val="16"/>
                <c:pt idx="0">
                  <c:v>Pharmacists can reduce medication errors in practice</c:v>
                </c:pt>
                <c:pt idx="1">
                  <c:v>Pharmacists can help doctors to prescribe safely</c:v>
                </c:pt>
                <c:pt idx="2">
                  <c:v>Pharmacists can improve prescribing practice</c:v>
                </c:pt>
                <c:pt idx="3">
                  <c:v>Pharmacists can be an important and integral part of the diabetes management team  </c:v>
                </c:pt>
                <c:pt idx="4">
                  <c:v>Pharmacists can help doctors to prescribe cost-effectively</c:v>
                </c:pt>
                <c:pt idx="5">
                  <c:v>Involvement of pharmacists in MDT could increase job satisfaction for pharmacists</c:v>
                </c:pt>
                <c:pt idx="6">
                  <c:v>Pharmacists can provide drug information to physicians to help in decision-making regarding medicines </c:v>
                </c:pt>
                <c:pt idx="7">
                  <c:v>Collaborative work of pharmacists with other HCPs can improve the quality of healthcare services</c:v>
                </c:pt>
                <c:pt idx="8">
                  <c:v>Pharmacists working in the primary care team can make doctors’ job easier by addressing medication-related problems</c:v>
                </c:pt>
                <c:pt idx="9">
                  <c:v>Use of pharmacist’s skills and knowledge in diabetes primary care management can improve patient outcomes</c:v>
                </c:pt>
                <c:pt idx="10">
                  <c:v>Pharmacists can make the management of patients’ medication more efficient</c:v>
                </c:pt>
                <c:pt idx="11">
                  <c:v>Pharmacists can help with co-management of complex patients</c:v>
                </c:pt>
                <c:pt idx="12">
                  <c:v>Pharmacists working in the primary care team can make nurses’ job easier by addressing medication-related problems</c:v>
                </c:pt>
                <c:pt idx="13">
                  <c:v>Pharmacists can assess patients’ clinical needs and perform a comprehensive medicines assessment</c:v>
                </c:pt>
                <c:pt idx="14">
                  <c:v>Pharmacists are able to independently prescribe cost-effectively</c:v>
                </c:pt>
                <c:pt idx="15">
                  <c:v>Pharmacists are able to independently prescribe safely</c:v>
                </c:pt>
              </c:strCache>
            </c:strRef>
          </c:cat>
          <c:val>
            <c:numRef>
              <c:f>'[Draft for IP and DP.xlsx]Sheet16'!$H$6:$H$21</c:f>
              <c:numCache>
                <c:formatCode>0</c:formatCode>
                <c:ptCount val="16"/>
                <c:pt idx="0">
                  <c:v>94.3</c:v>
                </c:pt>
                <c:pt idx="1">
                  <c:v>91.5</c:v>
                </c:pt>
                <c:pt idx="2">
                  <c:v>90.6</c:v>
                </c:pt>
                <c:pt idx="3">
                  <c:v>90.5</c:v>
                </c:pt>
                <c:pt idx="4">
                  <c:v>90.3</c:v>
                </c:pt>
                <c:pt idx="5">
                  <c:v>89.7</c:v>
                </c:pt>
                <c:pt idx="6">
                  <c:v>89.6</c:v>
                </c:pt>
                <c:pt idx="7">
                  <c:v>89.6</c:v>
                </c:pt>
                <c:pt idx="8">
                  <c:v>88.7</c:v>
                </c:pt>
                <c:pt idx="9">
                  <c:v>88.6</c:v>
                </c:pt>
                <c:pt idx="10">
                  <c:v>87.7</c:v>
                </c:pt>
                <c:pt idx="11">
                  <c:v>86.800000000000011</c:v>
                </c:pt>
                <c:pt idx="12">
                  <c:v>79.3</c:v>
                </c:pt>
                <c:pt idx="13">
                  <c:v>76.5</c:v>
                </c:pt>
                <c:pt idx="14">
                  <c:v>63.2</c:v>
                </c:pt>
                <c:pt idx="15">
                  <c:v>52.800000000000004</c:v>
                </c:pt>
              </c:numCache>
            </c:numRef>
          </c:val>
          <c:extLst>
            <c:ext xmlns:c16="http://schemas.microsoft.com/office/drawing/2014/chart" uri="{C3380CC4-5D6E-409C-BE32-E72D297353CC}">
              <c16:uniqueId val="{00000002-B725-4DA5-99F8-EFB2B7B0C4E4}"/>
            </c:ext>
          </c:extLst>
        </c:ser>
        <c:dLbls>
          <c:dLblPos val="ctr"/>
          <c:showLegendKey val="0"/>
          <c:showVal val="1"/>
          <c:showCatName val="0"/>
          <c:showSerName val="0"/>
          <c:showPercent val="0"/>
          <c:showBubbleSize val="0"/>
        </c:dLbls>
        <c:gapWidth val="150"/>
        <c:overlap val="100"/>
        <c:axId val="1967255999"/>
        <c:axId val="1967253503"/>
      </c:barChart>
      <c:catAx>
        <c:axId val="1967255999"/>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crossAx val="1967253503"/>
        <c:crossesAt val="0"/>
        <c:auto val="1"/>
        <c:lblAlgn val="ctr"/>
        <c:lblOffset val="100"/>
        <c:noMultiLvlLbl val="0"/>
      </c:catAx>
      <c:valAx>
        <c:axId val="196725350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7255999"/>
        <c:crosses val="autoZero"/>
        <c:crossBetween val="between"/>
      </c:valAx>
      <c:spPr>
        <a:noFill/>
        <a:ln>
          <a:noFill/>
        </a:ln>
        <a:effectLst/>
      </c:spPr>
    </c:plotArea>
    <c:legend>
      <c:legendPos val="b"/>
      <c:layout>
        <c:manualLayout>
          <c:xMode val="edge"/>
          <c:yMode val="edge"/>
          <c:x val="0.52633325445952328"/>
          <c:y val="0.94810496091315921"/>
          <c:w val="0.34609978421706827"/>
          <c:h val="4.065403189259615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Views on Potential Impact of Pharmacist Involvement in Diabetes Care (1)</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Sheet5!$E$6</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Sheet5!$A$7:$B$30</c:f>
              <c:multiLvlStrCache>
                <c:ptCount val="24"/>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pt idx="21">
                    <c:v>Doctor</c:v>
                  </c:pt>
                  <c:pt idx="22">
                    <c:v>Pharmacist</c:v>
                  </c:pt>
                  <c:pt idx="23">
                    <c:v>Nurse</c:v>
                  </c:pt>
                </c:lvl>
                <c:lvl>
                  <c:pt idx="0">
                    <c:v>Reduce medication errors in practice</c:v>
                  </c:pt>
                  <c:pt idx="3">
                    <c:v>Help doctors to prescribe safely</c:v>
                  </c:pt>
                  <c:pt idx="6">
                    <c:v>Improve prescribing practice </c:v>
                  </c:pt>
                  <c:pt idx="9">
                    <c:v>Be an important and integral part of the medical team for diabetes management</c:v>
                  </c:pt>
                  <c:pt idx="12">
                    <c:v>Help doctors to prescribe cost-effectively</c:v>
                  </c:pt>
                  <c:pt idx="15">
                    <c:v>Increase the level of job satisfaction for pharmacists</c:v>
                  </c:pt>
                  <c:pt idx="18">
                    <c:v>Provide drug information to physicians to help in decision-making regarding medicines to treat the patient’s condition</c:v>
                  </c:pt>
                  <c:pt idx="21">
                    <c:v>Improve the quality of healthcare services</c:v>
                  </c:pt>
                </c:lvl>
              </c:multiLvlStrCache>
            </c:multiLvlStrRef>
          </c:cat>
          <c:val>
            <c:numRef>
              <c:f>Sheet5!$E$7:$E$30</c:f>
              <c:numCache>
                <c:formatCode>General</c:formatCode>
                <c:ptCount val="24"/>
                <c:pt idx="0">
                  <c:v>0</c:v>
                </c:pt>
                <c:pt idx="1">
                  <c:v>0</c:v>
                </c:pt>
                <c:pt idx="2">
                  <c:v>11</c:v>
                </c:pt>
                <c:pt idx="3">
                  <c:v>0</c:v>
                </c:pt>
                <c:pt idx="4">
                  <c:v>0</c:v>
                </c:pt>
                <c:pt idx="5">
                  <c:v>7</c:v>
                </c:pt>
                <c:pt idx="6">
                  <c:v>2</c:v>
                </c:pt>
                <c:pt idx="7">
                  <c:v>0</c:v>
                </c:pt>
                <c:pt idx="8">
                  <c:v>7</c:v>
                </c:pt>
                <c:pt idx="9">
                  <c:v>2</c:v>
                </c:pt>
                <c:pt idx="10">
                  <c:v>3</c:v>
                </c:pt>
                <c:pt idx="11">
                  <c:v>7</c:v>
                </c:pt>
                <c:pt idx="12">
                  <c:v>2</c:v>
                </c:pt>
                <c:pt idx="13">
                  <c:v>0</c:v>
                </c:pt>
                <c:pt idx="14">
                  <c:v>7</c:v>
                </c:pt>
                <c:pt idx="15">
                  <c:v>0</c:v>
                </c:pt>
                <c:pt idx="16">
                  <c:v>3</c:v>
                </c:pt>
                <c:pt idx="17">
                  <c:v>7</c:v>
                </c:pt>
                <c:pt idx="18">
                  <c:v>0</c:v>
                </c:pt>
                <c:pt idx="19">
                  <c:v>6</c:v>
                </c:pt>
                <c:pt idx="20">
                  <c:v>7</c:v>
                </c:pt>
                <c:pt idx="21">
                  <c:v>2</c:v>
                </c:pt>
                <c:pt idx="22">
                  <c:v>3</c:v>
                </c:pt>
                <c:pt idx="23">
                  <c:v>7</c:v>
                </c:pt>
              </c:numCache>
            </c:numRef>
          </c:val>
          <c:extLst>
            <c:ext xmlns:c16="http://schemas.microsoft.com/office/drawing/2014/chart" uri="{C3380CC4-5D6E-409C-BE32-E72D297353CC}">
              <c16:uniqueId val="{00000000-4A5D-499B-AE61-764567264AE6}"/>
            </c:ext>
          </c:extLst>
        </c:ser>
        <c:ser>
          <c:idx val="3"/>
          <c:order val="1"/>
          <c:tx>
            <c:strRef>
              <c:f>Sheet5!$F$6</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Sheet5!$A$7:$B$30</c:f>
              <c:multiLvlStrCache>
                <c:ptCount val="24"/>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pt idx="21">
                    <c:v>Doctor</c:v>
                  </c:pt>
                  <c:pt idx="22">
                    <c:v>Pharmacist</c:v>
                  </c:pt>
                  <c:pt idx="23">
                    <c:v>Nurse</c:v>
                  </c:pt>
                </c:lvl>
                <c:lvl>
                  <c:pt idx="0">
                    <c:v>Reduce medication errors in practice</c:v>
                  </c:pt>
                  <c:pt idx="3">
                    <c:v>Help doctors to prescribe safely</c:v>
                  </c:pt>
                  <c:pt idx="6">
                    <c:v>Improve prescribing practice </c:v>
                  </c:pt>
                  <c:pt idx="9">
                    <c:v>Be an important and integral part of the medical team for diabetes management</c:v>
                  </c:pt>
                  <c:pt idx="12">
                    <c:v>Help doctors to prescribe cost-effectively</c:v>
                  </c:pt>
                  <c:pt idx="15">
                    <c:v>Increase the level of job satisfaction for pharmacists</c:v>
                  </c:pt>
                  <c:pt idx="18">
                    <c:v>Provide drug information to physicians to help in decision-making regarding medicines to treat the patient’s condition</c:v>
                  </c:pt>
                  <c:pt idx="21">
                    <c:v>Improve the quality of healthcare services</c:v>
                  </c:pt>
                </c:lvl>
              </c:multiLvlStrCache>
            </c:multiLvlStrRef>
          </c:cat>
          <c:val>
            <c:numRef>
              <c:f>Sheet5!$F$7:$F$30</c:f>
              <c:numCache>
                <c:formatCode>General</c:formatCode>
                <c:ptCount val="24"/>
                <c:pt idx="0">
                  <c:v>2</c:v>
                </c:pt>
                <c:pt idx="1">
                  <c:v>0</c:v>
                </c:pt>
                <c:pt idx="2">
                  <c:v>7</c:v>
                </c:pt>
                <c:pt idx="3">
                  <c:v>8</c:v>
                </c:pt>
                <c:pt idx="4">
                  <c:v>3</c:v>
                </c:pt>
                <c:pt idx="5">
                  <c:v>7</c:v>
                </c:pt>
                <c:pt idx="6">
                  <c:v>8</c:v>
                </c:pt>
                <c:pt idx="7">
                  <c:v>3</c:v>
                </c:pt>
                <c:pt idx="8">
                  <c:v>7</c:v>
                </c:pt>
                <c:pt idx="9">
                  <c:v>4</c:v>
                </c:pt>
                <c:pt idx="10">
                  <c:v>10</c:v>
                </c:pt>
                <c:pt idx="11">
                  <c:v>4</c:v>
                </c:pt>
                <c:pt idx="12">
                  <c:v>8</c:v>
                </c:pt>
                <c:pt idx="13">
                  <c:v>3</c:v>
                </c:pt>
                <c:pt idx="14">
                  <c:v>7</c:v>
                </c:pt>
                <c:pt idx="15">
                  <c:v>10</c:v>
                </c:pt>
                <c:pt idx="16">
                  <c:v>0</c:v>
                </c:pt>
                <c:pt idx="17">
                  <c:v>11</c:v>
                </c:pt>
                <c:pt idx="18">
                  <c:v>8</c:v>
                </c:pt>
                <c:pt idx="19">
                  <c:v>3</c:v>
                </c:pt>
                <c:pt idx="20">
                  <c:v>7</c:v>
                </c:pt>
                <c:pt idx="21">
                  <c:v>8</c:v>
                </c:pt>
                <c:pt idx="22">
                  <c:v>3</c:v>
                </c:pt>
                <c:pt idx="23">
                  <c:v>7</c:v>
                </c:pt>
              </c:numCache>
            </c:numRef>
          </c:val>
          <c:extLst>
            <c:ext xmlns:c16="http://schemas.microsoft.com/office/drawing/2014/chart" uri="{C3380CC4-5D6E-409C-BE32-E72D297353CC}">
              <c16:uniqueId val="{00000001-4A5D-499B-AE61-764567264AE6}"/>
            </c:ext>
          </c:extLst>
        </c:ser>
        <c:ser>
          <c:idx val="6"/>
          <c:order val="2"/>
          <c:tx>
            <c:strRef>
              <c:f>Sheet5!$I$6</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Sheet5!$A$7:$B$30</c:f>
              <c:multiLvlStrCache>
                <c:ptCount val="24"/>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pt idx="21">
                    <c:v>Doctor</c:v>
                  </c:pt>
                  <c:pt idx="22">
                    <c:v>Pharmacist</c:v>
                  </c:pt>
                  <c:pt idx="23">
                    <c:v>Nurse</c:v>
                  </c:pt>
                </c:lvl>
                <c:lvl>
                  <c:pt idx="0">
                    <c:v>Reduce medication errors in practice</c:v>
                  </c:pt>
                  <c:pt idx="3">
                    <c:v>Help doctors to prescribe safely</c:v>
                  </c:pt>
                  <c:pt idx="6">
                    <c:v>Improve prescribing practice </c:v>
                  </c:pt>
                  <c:pt idx="9">
                    <c:v>Be an important and integral part of the medical team for diabetes management</c:v>
                  </c:pt>
                  <c:pt idx="12">
                    <c:v>Help doctors to prescribe cost-effectively</c:v>
                  </c:pt>
                  <c:pt idx="15">
                    <c:v>Increase the level of job satisfaction for pharmacists</c:v>
                  </c:pt>
                  <c:pt idx="18">
                    <c:v>Provide drug information to physicians to help in decision-making regarding medicines to treat the patient’s condition</c:v>
                  </c:pt>
                  <c:pt idx="21">
                    <c:v>Improve the quality of healthcare services</c:v>
                  </c:pt>
                </c:lvl>
              </c:multiLvlStrCache>
            </c:multiLvlStrRef>
          </c:cat>
          <c:val>
            <c:numRef>
              <c:f>Sheet5!$I$7:$I$30</c:f>
              <c:numCache>
                <c:formatCode>General</c:formatCode>
                <c:ptCount val="24"/>
                <c:pt idx="0">
                  <c:v>98</c:v>
                </c:pt>
                <c:pt idx="1">
                  <c:v>100</c:v>
                </c:pt>
                <c:pt idx="2">
                  <c:v>81</c:v>
                </c:pt>
                <c:pt idx="3">
                  <c:v>92</c:v>
                </c:pt>
                <c:pt idx="4">
                  <c:v>97</c:v>
                </c:pt>
                <c:pt idx="5">
                  <c:v>85</c:v>
                </c:pt>
                <c:pt idx="6">
                  <c:v>90</c:v>
                </c:pt>
                <c:pt idx="7">
                  <c:v>97</c:v>
                </c:pt>
                <c:pt idx="8">
                  <c:v>86</c:v>
                </c:pt>
                <c:pt idx="9">
                  <c:v>94</c:v>
                </c:pt>
                <c:pt idx="10">
                  <c:v>87</c:v>
                </c:pt>
                <c:pt idx="11">
                  <c:v>89</c:v>
                </c:pt>
                <c:pt idx="12">
                  <c:v>90</c:v>
                </c:pt>
                <c:pt idx="13">
                  <c:v>96</c:v>
                </c:pt>
                <c:pt idx="14">
                  <c:v>85</c:v>
                </c:pt>
                <c:pt idx="15">
                  <c:v>90</c:v>
                </c:pt>
                <c:pt idx="16">
                  <c:v>97</c:v>
                </c:pt>
                <c:pt idx="17">
                  <c:v>82</c:v>
                </c:pt>
                <c:pt idx="18">
                  <c:v>92</c:v>
                </c:pt>
                <c:pt idx="19">
                  <c:v>90</c:v>
                </c:pt>
                <c:pt idx="20">
                  <c:v>86</c:v>
                </c:pt>
                <c:pt idx="21">
                  <c:v>90</c:v>
                </c:pt>
                <c:pt idx="22">
                  <c:v>93</c:v>
                </c:pt>
                <c:pt idx="23">
                  <c:v>86</c:v>
                </c:pt>
              </c:numCache>
            </c:numRef>
          </c:val>
          <c:extLst>
            <c:ext xmlns:c16="http://schemas.microsoft.com/office/drawing/2014/chart" uri="{C3380CC4-5D6E-409C-BE32-E72D297353CC}">
              <c16:uniqueId val="{00000002-4A5D-499B-AE61-764567264AE6}"/>
            </c:ext>
          </c:extLst>
        </c:ser>
        <c:dLbls>
          <c:dLblPos val="ctr"/>
          <c:showLegendKey val="0"/>
          <c:showVal val="1"/>
          <c:showCatName val="0"/>
          <c:showSerName val="0"/>
          <c:showPercent val="0"/>
          <c:showBubbleSize val="0"/>
        </c:dLbls>
        <c:gapWidth val="150"/>
        <c:overlap val="100"/>
        <c:axId val="2108136848"/>
        <c:axId val="2108119376"/>
      </c:barChart>
      <c:catAx>
        <c:axId val="210813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08119376"/>
        <c:crosses val="autoZero"/>
        <c:auto val="1"/>
        <c:lblAlgn val="ctr"/>
        <c:lblOffset val="100"/>
        <c:noMultiLvlLbl val="0"/>
      </c:catAx>
      <c:valAx>
        <c:axId val="21081193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136848"/>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Views on Potential Impact of Pharmacist Involvement in Diabetes Care (2)</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Sheet5!$E$31</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Sheet5!$A$32:$B$55</c:f>
              <c:multiLvlStrCache>
                <c:ptCount val="24"/>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pt idx="21">
                    <c:v>Doctor</c:v>
                  </c:pt>
                  <c:pt idx="22">
                    <c:v>Pharmacist</c:v>
                  </c:pt>
                  <c:pt idx="23">
                    <c:v>Nurse</c:v>
                  </c:pt>
                </c:lvl>
                <c:lvl>
                  <c:pt idx="0">
                    <c:v>Make doctors’ job easier by reducing their workload and decreasing amount of time spent addressing medication-related problems</c:v>
                  </c:pt>
                  <c:pt idx="3">
                    <c:v>Improve patient outcomes</c:v>
                  </c:pt>
                  <c:pt idx="6">
                    <c:v>Make the management of patients’ medication more efficient</c:v>
                  </c:pt>
                  <c:pt idx="9">
                    <c:v>Help with co-management of complex patients</c:v>
                  </c:pt>
                  <c:pt idx="12">
                    <c:v>Make nurses’ job easier by reducing their workload and decreasing amount of time spent addressing medication-related problems</c:v>
                  </c:pt>
                  <c:pt idx="15">
                    <c:v>Pharmacists can assess patients’ clinical needs and perform a comprehensive medicines assessment</c:v>
                  </c:pt>
                  <c:pt idx="18">
                    <c:v>Pharmacists are able to independently prescribe cost-effectively</c:v>
                  </c:pt>
                  <c:pt idx="21">
                    <c:v>Pharmacists are able to independently prescribe safely</c:v>
                  </c:pt>
                </c:lvl>
              </c:multiLvlStrCache>
            </c:multiLvlStrRef>
          </c:cat>
          <c:val>
            <c:numRef>
              <c:f>Sheet5!$E$32:$E$55</c:f>
              <c:numCache>
                <c:formatCode>General</c:formatCode>
                <c:ptCount val="24"/>
                <c:pt idx="0">
                  <c:v>0</c:v>
                </c:pt>
                <c:pt idx="1">
                  <c:v>0</c:v>
                </c:pt>
                <c:pt idx="2">
                  <c:v>7</c:v>
                </c:pt>
                <c:pt idx="3">
                  <c:v>6</c:v>
                </c:pt>
                <c:pt idx="4">
                  <c:v>0</c:v>
                </c:pt>
                <c:pt idx="5">
                  <c:v>7</c:v>
                </c:pt>
                <c:pt idx="6">
                  <c:v>4</c:v>
                </c:pt>
                <c:pt idx="7">
                  <c:v>6</c:v>
                </c:pt>
                <c:pt idx="8">
                  <c:v>7</c:v>
                </c:pt>
                <c:pt idx="9">
                  <c:v>2</c:v>
                </c:pt>
                <c:pt idx="10">
                  <c:v>6</c:v>
                </c:pt>
                <c:pt idx="11">
                  <c:v>11</c:v>
                </c:pt>
                <c:pt idx="12">
                  <c:v>4</c:v>
                </c:pt>
                <c:pt idx="13">
                  <c:v>0</c:v>
                </c:pt>
                <c:pt idx="14">
                  <c:v>7</c:v>
                </c:pt>
                <c:pt idx="15">
                  <c:v>8</c:v>
                </c:pt>
                <c:pt idx="16">
                  <c:v>3</c:v>
                </c:pt>
                <c:pt idx="17">
                  <c:v>11</c:v>
                </c:pt>
                <c:pt idx="18">
                  <c:v>22</c:v>
                </c:pt>
                <c:pt idx="19">
                  <c:v>7</c:v>
                </c:pt>
                <c:pt idx="20">
                  <c:v>8</c:v>
                </c:pt>
                <c:pt idx="21">
                  <c:v>39</c:v>
                </c:pt>
                <c:pt idx="22">
                  <c:v>7</c:v>
                </c:pt>
                <c:pt idx="23">
                  <c:v>11</c:v>
                </c:pt>
              </c:numCache>
            </c:numRef>
          </c:val>
          <c:extLst>
            <c:ext xmlns:c16="http://schemas.microsoft.com/office/drawing/2014/chart" uri="{C3380CC4-5D6E-409C-BE32-E72D297353CC}">
              <c16:uniqueId val="{00000000-987F-419F-A185-148AF3B9C47B}"/>
            </c:ext>
          </c:extLst>
        </c:ser>
        <c:ser>
          <c:idx val="3"/>
          <c:order val="1"/>
          <c:tx>
            <c:strRef>
              <c:f>Sheet5!$F$31</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Sheet5!$A$32:$B$55</c:f>
              <c:multiLvlStrCache>
                <c:ptCount val="24"/>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pt idx="21">
                    <c:v>Doctor</c:v>
                  </c:pt>
                  <c:pt idx="22">
                    <c:v>Pharmacist</c:v>
                  </c:pt>
                  <c:pt idx="23">
                    <c:v>Nurse</c:v>
                  </c:pt>
                </c:lvl>
                <c:lvl>
                  <c:pt idx="0">
                    <c:v>Make doctors’ job easier by reducing their workload and decreasing amount of time spent addressing medication-related problems</c:v>
                  </c:pt>
                  <c:pt idx="3">
                    <c:v>Improve patient outcomes</c:v>
                  </c:pt>
                  <c:pt idx="6">
                    <c:v>Make the management of patients’ medication more efficient</c:v>
                  </c:pt>
                  <c:pt idx="9">
                    <c:v>Help with co-management of complex patients</c:v>
                  </c:pt>
                  <c:pt idx="12">
                    <c:v>Make nurses’ job easier by reducing their workload and decreasing amount of time spent addressing medication-related problems</c:v>
                  </c:pt>
                  <c:pt idx="15">
                    <c:v>Pharmacists can assess patients’ clinical needs and perform a comprehensive medicines assessment</c:v>
                  </c:pt>
                  <c:pt idx="18">
                    <c:v>Pharmacists are able to independently prescribe cost-effectively</c:v>
                  </c:pt>
                  <c:pt idx="21">
                    <c:v>Pharmacists are able to independently prescribe safely</c:v>
                  </c:pt>
                </c:lvl>
              </c:multiLvlStrCache>
            </c:multiLvlStrRef>
          </c:cat>
          <c:val>
            <c:numRef>
              <c:f>Sheet5!$F$32:$F$55</c:f>
              <c:numCache>
                <c:formatCode>General</c:formatCode>
                <c:ptCount val="24"/>
                <c:pt idx="0">
                  <c:v>6</c:v>
                </c:pt>
                <c:pt idx="1">
                  <c:v>7</c:v>
                </c:pt>
                <c:pt idx="2">
                  <c:v>15</c:v>
                </c:pt>
                <c:pt idx="3">
                  <c:v>6</c:v>
                </c:pt>
                <c:pt idx="4">
                  <c:v>7</c:v>
                </c:pt>
                <c:pt idx="5">
                  <c:v>7</c:v>
                </c:pt>
                <c:pt idx="6">
                  <c:v>8</c:v>
                </c:pt>
                <c:pt idx="7">
                  <c:v>3</c:v>
                </c:pt>
                <c:pt idx="8">
                  <c:v>7</c:v>
                </c:pt>
                <c:pt idx="9">
                  <c:v>6</c:v>
                </c:pt>
                <c:pt idx="10">
                  <c:v>10</c:v>
                </c:pt>
                <c:pt idx="11">
                  <c:v>7</c:v>
                </c:pt>
                <c:pt idx="12">
                  <c:v>25</c:v>
                </c:pt>
                <c:pt idx="13">
                  <c:v>7</c:v>
                </c:pt>
                <c:pt idx="14">
                  <c:v>15</c:v>
                </c:pt>
                <c:pt idx="15">
                  <c:v>25</c:v>
                </c:pt>
                <c:pt idx="16">
                  <c:v>10</c:v>
                </c:pt>
                <c:pt idx="17">
                  <c:v>7</c:v>
                </c:pt>
                <c:pt idx="18">
                  <c:v>35</c:v>
                </c:pt>
                <c:pt idx="19">
                  <c:v>13</c:v>
                </c:pt>
                <c:pt idx="20">
                  <c:v>11</c:v>
                </c:pt>
                <c:pt idx="21">
                  <c:v>35</c:v>
                </c:pt>
                <c:pt idx="22">
                  <c:v>20</c:v>
                </c:pt>
                <c:pt idx="23">
                  <c:v>11</c:v>
                </c:pt>
              </c:numCache>
            </c:numRef>
          </c:val>
          <c:extLst>
            <c:ext xmlns:c16="http://schemas.microsoft.com/office/drawing/2014/chart" uri="{C3380CC4-5D6E-409C-BE32-E72D297353CC}">
              <c16:uniqueId val="{00000001-987F-419F-A185-148AF3B9C47B}"/>
            </c:ext>
          </c:extLst>
        </c:ser>
        <c:ser>
          <c:idx val="6"/>
          <c:order val="2"/>
          <c:tx>
            <c:strRef>
              <c:f>Sheet5!$I$31</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Sheet5!$A$32:$B$55</c:f>
              <c:multiLvlStrCache>
                <c:ptCount val="24"/>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pt idx="21">
                    <c:v>Doctor</c:v>
                  </c:pt>
                  <c:pt idx="22">
                    <c:v>Pharmacist</c:v>
                  </c:pt>
                  <c:pt idx="23">
                    <c:v>Nurse</c:v>
                  </c:pt>
                </c:lvl>
                <c:lvl>
                  <c:pt idx="0">
                    <c:v>Make doctors’ job easier by reducing their workload and decreasing amount of time spent addressing medication-related problems</c:v>
                  </c:pt>
                  <c:pt idx="3">
                    <c:v>Improve patient outcomes</c:v>
                  </c:pt>
                  <c:pt idx="6">
                    <c:v>Make the management of patients’ medication more efficient</c:v>
                  </c:pt>
                  <c:pt idx="9">
                    <c:v>Help with co-management of complex patients</c:v>
                  </c:pt>
                  <c:pt idx="12">
                    <c:v>Make nurses’ job easier by reducing their workload and decreasing amount of time spent addressing medication-related problems</c:v>
                  </c:pt>
                  <c:pt idx="15">
                    <c:v>Pharmacists can assess patients’ clinical needs and perform a comprehensive medicines assessment</c:v>
                  </c:pt>
                  <c:pt idx="18">
                    <c:v>Pharmacists are able to independently prescribe cost-effectively</c:v>
                  </c:pt>
                  <c:pt idx="21">
                    <c:v>Pharmacists are able to independently prescribe safely</c:v>
                  </c:pt>
                </c:lvl>
              </c:multiLvlStrCache>
            </c:multiLvlStrRef>
          </c:cat>
          <c:val>
            <c:numRef>
              <c:f>Sheet5!$I$32:$I$55</c:f>
              <c:numCache>
                <c:formatCode>General</c:formatCode>
                <c:ptCount val="24"/>
                <c:pt idx="0">
                  <c:v>92</c:v>
                </c:pt>
                <c:pt idx="1">
                  <c:v>93</c:v>
                </c:pt>
                <c:pt idx="2">
                  <c:v>78</c:v>
                </c:pt>
                <c:pt idx="3">
                  <c:v>88</c:v>
                </c:pt>
                <c:pt idx="4">
                  <c:v>93</c:v>
                </c:pt>
                <c:pt idx="5">
                  <c:v>86</c:v>
                </c:pt>
                <c:pt idx="6">
                  <c:v>88</c:v>
                </c:pt>
                <c:pt idx="7">
                  <c:v>90</c:v>
                </c:pt>
                <c:pt idx="8">
                  <c:v>86</c:v>
                </c:pt>
                <c:pt idx="9">
                  <c:v>92</c:v>
                </c:pt>
                <c:pt idx="10">
                  <c:v>83</c:v>
                </c:pt>
                <c:pt idx="11">
                  <c:v>82</c:v>
                </c:pt>
                <c:pt idx="12">
                  <c:v>72</c:v>
                </c:pt>
                <c:pt idx="13">
                  <c:v>94</c:v>
                </c:pt>
                <c:pt idx="14">
                  <c:v>78</c:v>
                </c:pt>
                <c:pt idx="15">
                  <c:v>68</c:v>
                </c:pt>
                <c:pt idx="16">
                  <c:v>86</c:v>
                </c:pt>
                <c:pt idx="17">
                  <c:v>81</c:v>
                </c:pt>
                <c:pt idx="18">
                  <c:v>43</c:v>
                </c:pt>
                <c:pt idx="19">
                  <c:v>80</c:v>
                </c:pt>
                <c:pt idx="20">
                  <c:v>81</c:v>
                </c:pt>
                <c:pt idx="21">
                  <c:v>26</c:v>
                </c:pt>
                <c:pt idx="22">
                  <c:v>73</c:v>
                </c:pt>
                <c:pt idx="23">
                  <c:v>78</c:v>
                </c:pt>
              </c:numCache>
            </c:numRef>
          </c:val>
          <c:extLst>
            <c:ext xmlns:c16="http://schemas.microsoft.com/office/drawing/2014/chart" uri="{C3380CC4-5D6E-409C-BE32-E72D297353CC}">
              <c16:uniqueId val="{00000002-987F-419F-A185-148AF3B9C47B}"/>
            </c:ext>
          </c:extLst>
        </c:ser>
        <c:dLbls>
          <c:dLblPos val="ctr"/>
          <c:showLegendKey val="0"/>
          <c:showVal val="1"/>
          <c:showCatName val="0"/>
          <c:showSerName val="0"/>
          <c:showPercent val="0"/>
          <c:showBubbleSize val="0"/>
        </c:dLbls>
        <c:gapWidth val="150"/>
        <c:overlap val="100"/>
        <c:axId val="192366480"/>
        <c:axId val="192365232"/>
      </c:barChart>
      <c:catAx>
        <c:axId val="19236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365232"/>
        <c:crosses val="autoZero"/>
        <c:auto val="1"/>
        <c:lblAlgn val="ctr"/>
        <c:lblOffset val="100"/>
        <c:noMultiLvlLbl val="0"/>
      </c:catAx>
      <c:valAx>
        <c:axId val="1923652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3664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Respondents' views according to the country issuing their qualifications; Views on Potential Impact of Pharmacist Involvement in Diabetes Care (1)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'[New created charts 3 August 2022.xlsx]Sheet15'!$E$5</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'[New created charts 3 August 2022.xlsx]Sheet15'!$A$6:$B$21</c:f>
              <c:multiLvlStrCache>
                <c:ptCount val="16"/>
                <c:lvl>
                  <c:pt idx="0">
                    <c:v>SA </c:v>
                  </c:pt>
                  <c:pt idx="1">
                    <c:v>Other</c:v>
                  </c:pt>
                  <c:pt idx="2">
                    <c:v>SA</c:v>
                  </c:pt>
                  <c:pt idx="3">
                    <c:v>Other</c:v>
                  </c:pt>
                  <c:pt idx="4">
                    <c:v>SA</c:v>
                  </c:pt>
                  <c:pt idx="5">
                    <c:v>Other</c:v>
                  </c:pt>
                  <c:pt idx="6">
                    <c:v>SA</c:v>
                  </c:pt>
                  <c:pt idx="7">
                    <c:v>Other</c:v>
                  </c:pt>
                  <c:pt idx="8">
                    <c:v>SA</c:v>
                  </c:pt>
                  <c:pt idx="9">
                    <c:v>Other</c:v>
                  </c:pt>
                  <c:pt idx="10">
                    <c:v>SA</c:v>
                  </c:pt>
                  <c:pt idx="11">
                    <c:v>Other</c:v>
                  </c:pt>
                  <c:pt idx="12">
                    <c:v>SA</c:v>
                  </c:pt>
                  <c:pt idx="13">
                    <c:v>Other</c:v>
                  </c:pt>
                  <c:pt idx="14">
                    <c:v>SA</c:v>
                  </c:pt>
                  <c:pt idx="15">
                    <c:v>Other</c:v>
                  </c:pt>
                </c:lvl>
                <c:lvl>
                  <c:pt idx="0">
                    <c:v>Reduce medication errors in practice</c:v>
                  </c:pt>
                  <c:pt idx="2">
                    <c:v>Help doctors to prescribe safely</c:v>
                  </c:pt>
                  <c:pt idx="4">
                    <c:v>Improve prescribing practice </c:v>
                  </c:pt>
                  <c:pt idx="6">
                    <c:v>Be an important and integral part of the medical team for diabetes management</c:v>
                  </c:pt>
                  <c:pt idx="8">
                    <c:v>Help doctors to prescribe cost-effectively</c:v>
                  </c:pt>
                  <c:pt idx="10">
                    <c:v>Increase the level of job satisfaction for pharmacists</c:v>
                  </c:pt>
                  <c:pt idx="12">
                    <c:v>Provide drug information to physicians to help in decision-making regarding medicines to treat the patient’s condition</c:v>
                  </c:pt>
                  <c:pt idx="14">
                    <c:v>Improve the quality of healthcare services</c:v>
                  </c:pt>
                </c:lvl>
              </c:multiLvlStrCache>
            </c:multiLvlStrRef>
          </c:cat>
          <c:val>
            <c:numRef>
              <c:f>'[New created charts 3 August 2022.xlsx]Sheet15'!$E$6:$E$21</c:f>
              <c:numCache>
                <c:formatCode>General</c:formatCode>
                <c:ptCount val="16"/>
                <c:pt idx="0">
                  <c:v>3</c:v>
                </c:pt>
                <c:pt idx="1">
                  <c:v>0</c:v>
                </c:pt>
                <c:pt idx="2">
                  <c:v>2</c:v>
                </c:pt>
                <c:pt idx="3">
                  <c:v>0</c:v>
                </c:pt>
                <c:pt idx="4">
                  <c:v>3</c:v>
                </c:pt>
                <c:pt idx="5">
                  <c:v>0</c:v>
                </c:pt>
                <c:pt idx="6">
                  <c:v>5</c:v>
                </c:pt>
                <c:pt idx="7">
                  <c:v>0</c:v>
                </c:pt>
                <c:pt idx="8">
                  <c:v>3</c:v>
                </c:pt>
                <c:pt idx="9">
                  <c:v>0</c:v>
                </c:pt>
                <c:pt idx="10">
                  <c:v>3</c:v>
                </c:pt>
                <c:pt idx="11">
                  <c:v>0</c:v>
                </c:pt>
                <c:pt idx="12">
                  <c:v>4</c:v>
                </c:pt>
                <c:pt idx="13">
                  <c:v>0</c:v>
                </c:pt>
                <c:pt idx="14">
                  <c:v>4</c:v>
                </c:pt>
                <c:pt idx="15">
                  <c:v>0</c:v>
                </c:pt>
              </c:numCache>
            </c:numRef>
          </c:val>
          <c:extLst>
            <c:ext xmlns:c16="http://schemas.microsoft.com/office/drawing/2014/chart" uri="{C3380CC4-5D6E-409C-BE32-E72D297353CC}">
              <c16:uniqueId val="{00000000-54F4-4791-8D5A-1FAD6C326957}"/>
            </c:ext>
          </c:extLst>
        </c:ser>
        <c:ser>
          <c:idx val="3"/>
          <c:order val="1"/>
          <c:tx>
            <c:strRef>
              <c:f>'[New created charts 3 August 2022.xlsx]Sheet15'!$F$5</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'[New created charts 3 August 2022.xlsx]Sheet15'!$A$6:$B$21</c:f>
              <c:multiLvlStrCache>
                <c:ptCount val="16"/>
                <c:lvl>
                  <c:pt idx="0">
                    <c:v>SA </c:v>
                  </c:pt>
                  <c:pt idx="1">
                    <c:v>Other</c:v>
                  </c:pt>
                  <c:pt idx="2">
                    <c:v>SA</c:v>
                  </c:pt>
                  <c:pt idx="3">
                    <c:v>Other</c:v>
                  </c:pt>
                  <c:pt idx="4">
                    <c:v>SA</c:v>
                  </c:pt>
                  <c:pt idx="5">
                    <c:v>Other</c:v>
                  </c:pt>
                  <c:pt idx="6">
                    <c:v>SA</c:v>
                  </c:pt>
                  <c:pt idx="7">
                    <c:v>Other</c:v>
                  </c:pt>
                  <c:pt idx="8">
                    <c:v>SA</c:v>
                  </c:pt>
                  <c:pt idx="9">
                    <c:v>Other</c:v>
                  </c:pt>
                  <c:pt idx="10">
                    <c:v>SA</c:v>
                  </c:pt>
                  <c:pt idx="11">
                    <c:v>Other</c:v>
                  </c:pt>
                  <c:pt idx="12">
                    <c:v>SA</c:v>
                  </c:pt>
                  <c:pt idx="13">
                    <c:v>Other</c:v>
                  </c:pt>
                  <c:pt idx="14">
                    <c:v>SA</c:v>
                  </c:pt>
                  <c:pt idx="15">
                    <c:v>Other</c:v>
                  </c:pt>
                </c:lvl>
                <c:lvl>
                  <c:pt idx="0">
                    <c:v>Reduce medication errors in practice</c:v>
                  </c:pt>
                  <c:pt idx="2">
                    <c:v>Help doctors to prescribe safely</c:v>
                  </c:pt>
                  <c:pt idx="4">
                    <c:v>Improve prescribing practice </c:v>
                  </c:pt>
                  <c:pt idx="6">
                    <c:v>Be an important and integral part of the medical team for diabetes management</c:v>
                  </c:pt>
                  <c:pt idx="8">
                    <c:v>Help doctors to prescribe cost-effectively</c:v>
                  </c:pt>
                  <c:pt idx="10">
                    <c:v>Increase the level of job satisfaction for pharmacists</c:v>
                  </c:pt>
                  <c:pt idx="12">
                    <c:v>Provide drug information to physicians to help in decision-making regarding medicines to treat the patient’s condition</c:v>
                  </c:pt>
                  <c:pt idx="14">
                    <c:v>Improve the quality of healthcare services</c:v>
                  </c:pt>
                </c:lvl>
              </c:multiLvlStrCache>
            </c:multiLvlStrRef>
          </c:cat>
          <c:val>
            <c:numRef>
              <c:f>'[New created charts 3 August 2022.xlsx]Sheet15'!$F$6:$F$21</c:f>
              <c:numCache>
                <c:formatCode>General</c:formatCode>
                <c:ptCount val="16"/>
                <c:pt idx="0">
                  <c:v>3</c:v>
                </c:pt>
                <c:pt idx="1">
                  <c:v>0</c:v>
                </c:pt>
                <c:pt idx="2">
                  <c:v>8</c:v>
                </c:pt>
                <c:pt idx="3">
                  <c:v>0</c:v>
                </c:pt>
                <c:pt idx="4">
                  <c:v>7</c:v>
                </c:pt>
                <c:pt idx="5">
                  <c:v>6</c:v>
                </c:pt>
                <c:pt idx="6">
                  <c:v>7</c:v>
                </c:pt>
                <c:pt idx="7">
                  <c:v>0</c:v>
                </c:pt>
                <c:pt idx="8">
                  <c:v>7</c:v>
                </c:pt>
                <c:pt idx="9">
                  <c:v>6</c:v>
                </c:pt>
                <c:pt idx="10">
                  <c:v>8</c:v>
                </c:pt>
                <c:pt idx="11">
                  <c:v>6</c:v>
                </c:pt>
                <c:pt idx="12">
                  <c:v>8</c:v>
                </c:pt>
                <c:pt idx="13">
                  <c:v>0</c:v>
                </c:pt>
                <c:pt idx="14">
                  <c:v>7</c:v>
                </c:pt>
                <c:pt idx="15">
                  <c:v>6</c:v>
                </c:pt>
              </c:numCache>
            </c:numRef>
          </c:val>
          <c:extLst>
            <c:ext xmlns:c16="http://schemas.microsoft.com/office/drawing/2014/chart" uri="{C3380CC4-5D6E-409C-BE32-E72D297353CC}">
              <c16:uniqueId val="{00000001-54F4-4791-8D5A-1FAD6C326957}"/>
            </c:ext>
          </c:extLst>
        </c:ser>
        <c:ser>
          <c:idx val="6"/>
          <c:order val="2"/>
          <c:tx>
            <c:strRef>
              <c:f>'[New created charts 3 August 2022.xlsx]Sheet15'!$I$5</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'[New created charts 3 August 2022.xlsx]Sheet15'!$A$6:$B$21</c:f>
              <c:multiLvlStrCache>
                <c:ptCount val="16"/>
                <c:lvl>
                  <c:pt idx="0">
                    <c:v>SA </c:v>
                  </c:pt>
                  <c:pt idx="1">
                    <c:v>Other</c:v>
                  </c:pt>
                  <c:pt idx="2">
                    <c:v>SA</c:v>
                  </c:pt>
                  <c:pt idx="3">
                    <c:v>Other</c:v>
                  </c:pt>
                  <c:pt idx="4">
                    <c:v>SA</c:v>
                  </c:pt>
                  <c:pt idx="5">
                    <c:v>Other</c:v>
                  </c:pt>
                  <c:pt idx="6">
                    <c:v>SA</c:v>
                  </c:pt>
                  <c:pt idx="7">
                    <c:v>Other</c:v>
                  </c:pt>
                  <c:pt idx="8">
                    <c:v>SA</c:v>
                  </c:pt>
                  <c:pt idx="9">
                    <c:v>Other</c:v>
                  </c:pt>
                  <c:pt idx="10">
                    <c:v>SA</c:v>
                  </c:pt>
                  <c:pt idx="11">
                    <c:v>Other</c:v>
                  </c:pt>
                  <c:pt idx="12">
                    <c:v>SA</c:v>
                  </c:pt>
                  <c:pt idx="13">
                    <c:v>Other</c:v>
                  </c:pt>
                  <c:pt idx="14">
                    <c:v>SA</c:v>
                  </c:pt>
                  <c:pt idx="15">
                    <c:v>Other</c:v>
                  </c:pt>
                </c:lvl>
                <c:lvl>
                  <c:pt idx="0">
                    <c:v>Reduce medication errors in practice</c:v>
                  </c:pt>
                  <c:pt idx="2">
                    <c:v>Help doctors to prescribe safely</c:v>
                  </c:pt>
                  <c:pt idx="4">
                    <c:v>Improve prescribing practice </c:v>
                  </c:pt>
                  <c:pt idx="6">
                    <c:v>Be an important and integral part of the medical team for diabetes management</c:v>
                  </c:pt>
                  <c:pt idx="8">
                    <c:v>Help doctors to prescribe cost-effectively</c:v>
                  </c:pt>
                  <c:pt idx="10">
                    <c:v>Increase the level of job satisfaction for pharmacists</c:v>
                  </c:pt>
                  <c:pt idx="12">
                    <c:v>Provide drug information to physicians to help in decision-making regarding medicines to treat the patient’s condition</c:v>
                  </c:pt>
                  <c:pt idx="14">
                    <c:v>Improve the quality of healthcare services</c:v>
                  </c:pt>
                </c:lvl>
              </c:multiLvlStrCache>
            </c:multiLvlStrRef>
          </c:cat>
          <c:val>
            <c:numRef>
              <c:f>'[New created charts 3 August 2022.xlsx]Sheet15'!$I$6:$I$21</c:f>
              <c:numCache>
                <c:formatCode>General</c:formatCode>
                <c:ptCount val="16"/>
                <c:pt idx="0">
                  <c:v>93</c:v>
                </c:pt>
                <c:pt idx="1">
                  <c:v>100</c:v>
                </c:pt>
                <c:pt idx="2">
                  <c:v>90</c:v>
                </c:pt>
                <c:pt idx="3">
                  <c:v>100</c:v>
                </c:pt>
                <c:pt idx="4">
                  <c:v>90</c:v>
                </c:pt>
                <c:pt idx="5">
                  <c:v>94</c:v>
                </c:pt>
                <c:pt idx="6">
                  <c:v>89</c:v>
                </c:pt>
                <c:pt idx="7">
                  <c:v>100</c:v>
                </c:pt>
                <c:pt idx="8">
                  <c:v>90</c:v>
                </c:pt>
                <c:pt idx="9">
                  <c:v>95</c:v>
                </c:pt>
                <c:pt idx="10">
                  <c:v>89</c:v>
                </c:pt>
                <c:pt idx="11">
                  <c:v>94</c:v>
                </c:pt>
                <c:pt idx="12">
                  <c:v>87</c:v>
                </c:pt>
                <c:pt idx="13">
                  <c:v>100</c:v>
                </c:pt>
                <c:pt idx="14">
                  <c:v>88</c:v>
                </c:pt>
                <c:pt idx="15">
                  <c:v>95</c:v>
                </c:pt>
              </c:numCache>
            </c:numRef>
          </c:val>
          <c:extLst>
            <c:ext xmlns:c16="http://schemas.microsoft.com/office/drawing/2014/chart" uri="{C3380CC4-5D6E-409C-BE32-E72D297353CC}">
              <c16:uniqueId val="{00000002-54F4-4791-8D5A-1FAD6C326957}"/>
            </c:ext>
          </c:extLst>
        </c:ser>
        <c:dLbls>
          <c:dLblPos val="ctr"/>
          <c:showLegendKey val="0"/>
          <c:showVal val="1"/>
          <c:showCatName val="0"/>
          <c:showSerName val="0"/>
          <c:showPercent val="0"/>
          <c:showBubbleSize val="0"/>
        </c:dLbls>
        <c:gapWidth val="150"/>
        <c:overlap val="100"/>
        <c:axId val="798583184"/>
        <c:axId val="798575696"/>
      </c:barChart>
      <c:catAx>
        <c:axId val="79858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575696"/>
        <c:crosses val="autoZero"/>
        <c:auto val="1"/>
        <c:lblAlgn val="ctr"/>
        <c:lblOffset val="100"/>
        <c:noMultiLvlLbl val="0"/>
      </c:catAx>
      <c:valAx>
        <c:axId val="798575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58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Respondents' views according to the country issuing their qualifications; Views on Potential Impact of Pharmacist Involvement in Diabetes Care (2)</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percentStacked"/>
        <c:varyColors val="0"/>
        <c:ser>
          <c:idx val="2"/>
          <c:order val="0"/>
          <c:tx>
            <c:strRef>
              <c:f>'[New created charts 3 August 2022.xlsx]Sheet15'!$E$22</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'[New created charts 3 August 2022.xlsx]Sheet15'!$A$23:$B$38</c:f>
              <c:multiLvlStrCache>
                <c:ptCount val="16"/>
                <c:lvl>
                  <c:pt idx="0">
                    <c:v>SA</c:v>
                  </c:pt>
                  <c:pt idx="1">
                    <c:v>Other</c:v>
                  </c:pt>
                  <c:pt idx="2">
                    <c:v>SA</c:v>
                  </c:pt>
                  <c:pt idx="3">
                    <c:v>Other</c:v>
                  </c:pt>
                  <c:pt idx="4">
                    <c:v>SA</c:v>
                  </c:pt>
                  <c:pt idx="5">
                    <c:v>Other</c:v>
                  </c:pt>
                  <c:pt idx="6">
                    <c:v>SA</c:v>
                  </c:pt>
                  <c:pt idx="7">
                    <c:v>Other</c:v>
                  </c:pt>
                  <c:pt idx="8">
                    <c:v>SA</c:v>
                  </c:pt>
                  <c:pt idx="9">
                    <c:v>Other</c:v>
                  </c:pt>
                  <c:pt idx="10">
                    <c:v>SA</c:v>
                  </c:pt>
                  <c:pt idx="11">
                    <c:v>Other</c:v>
                  </c:pt>
                  <c:pt idx="12">
                    <c:v>SA</c:v>
                  </c:pt>
                  <c:pt idx="13">
                    <c:v>Other</c:v>
                  </c:pt>
                  <c:pt idx="14">
                    <c:v>SA</c:v>
                  </c:pt>
                  <c:pt idx="15">
                    <c:v>Other</c:v>
                  </c:pt>
                </c:lvl>
                <c:lvl>
                  <c:pt idx="0">
                    <c:v>Make doctors’ job easier by reducing their workload and decreasing amount of time spent addressing medication-related problems</c:v>
                  </c:pt>
                  <c:pt idx="2">
                    <c:v>Improve patient outcomes</c:v>
                  </c:pt>
                  <c:pt idx="4">
                    <c:v>Make the management of patients’ medication more efficient</c:v>
                  </c:pt>
                  <c:pt idx="6">
                    <c:v>Help with co-management of complex patients</c:v>
                  </c:pt>
                  <c:pt idx="8">
                    <c:v>Make nurses’ job easier by reducing their workload and decreasing amount of time spent addressing medication-related problems</c:v>
                  </c:pt>
                  <c:pt idx="10">
                    <c:v>Pharmacists can assess patients’ clinical needs and perform a comprehensive medicines assessment</c:v>
                  </c:pt>
                  <c:pt idx="12">
                    <c:v>Pharmacists are able to independently prescribe cost-effectively</c:v>
                  </c:pt>
                  <c:pt idx="14">
                    <c:v>Pharmacists are able to independently prescribe safely</c:v>
                  </c:pt>
                </c:lvl>
              </c:multiLvlStrCache>
            </c:multiLvlStrRef>
          </c:cat>
          <c:val>
            <c:numRef>
              <c:f>'[New created charts 3 August 2022.xlsx]Sheet15'!$E$23:$E$38</c:f>
              <c:numCache>
                <c:formatCode>General</c:formatCode>
                <c:ptCount val="16"/>
                <c:pt idx="0">
                  <c:v>3</c:v>
                </c:pt>
                <c:pt idx="1">
                  <c:v>0</c:v>
                </c:pt>
                <c:pt idx="2">
                  <c:v>5</c:v>
                </c:pt>
                <c:pt idx="3">
                  <c:v>0</c:v>
                </c:pt>
                <c:pt idx="4">
                  <c:v>6</c:v>
                </c:pt>
                <c:pt idx="5">
                  <c:v>6</c:v>
                </c:pt>
                <c:pt idx="6">
                  <c:v>7</c:v>
                </c:pt>
                <c:pt idx="7">
                  <c:v>0</c:v>
                </c:pt>
                <c:pt idx="8">
                  <c:v>4</c:v>
                </c:pt>
                <c:pt idx="9">
                  <c:v>0</c:v>
                </c:pt>
                <c:pt idx="10">
                  <c:v>8</c:v>
                </c:pt>
                <c:pt idx="11">
                  <c:v>6</c:v>
                </c:pt>
                <c:pt idx="12">
                  <c:v>13</c:v>
                </c:pt>
                <c:pt idx="13">
                  <c:v>18</c:v>
                </c:pt>
                <c:pt idx="14">
                  <c:v>21</c:v>
                </c:pt>
                <c:pt idx="15">
                  <c:v>35</c:v>
                </c:pt>
              </c:numCache>
            </c:numRef>
          </c:val>
          <c:extLst>
            <c:ext xmlns:c16="http://schemas.microsoft.com/office/drawing/2014/chart" uri="{C3380CC4-5D6E-409C-BE32-E72D297353CC}">
              <c16:uniqueId val="{00000000-2D2F-49AC-8C86-8385DC30C195}"/>
            </c:ext>
          </c:extLst>
        </c:ser>
        <c:ser>
          <c:idx val="3"/>
          <c:order val="1"/>
          <c:tx>
            <c:strRef>
              <c:f>'[New created charts 3 August 2022.xlsx]Sheet15'!$F$22</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'[New created charts 3 August 2022.xlsx]Sheet15'!$A$23:$B$38</c:f>
              <c:multiLvlStrCache>
                <c:ptCount val="16"/>
                <c:lvl>
                  <c:pt idx="0">
                    <c:v>SA</c:v>
                  </c:pt>
                  <c:pt idx="1">
                    <c:v>Other</c:v>
                  </c:pt>
                  <c:pt idx="2">
                    <c:v>SA</c:v>
                  </c:pt>
                  <c:pt idx="3">
                    <c:v>Other</c:v>
                  </c:pt>
                  <c:pt idx="4">
                    <c:v>SA</c:v>
                  </c:pt>
                  <c:pt idx="5">
                    <c:v>Other</c:v>
                  </c:pt>
                  <c:pt idx="6">
                    <c:v>SA</c:v>
                  </c:pt>
                  <c:pt idx="7">
                    <c:v>Other</c:v>
                  </c:pt>
                  <c:pt idx="8">
                    <c:v>SA</c:v>
                  </c:pt>
                  <c:pt idx="9">
                    <c:v>Other</c:v>
                  </c:pt>
                  <c:pt idx="10">
                    <c:v>SA</c:v>
                  </c:pt>
                  <c:pt idx="11">
                    <c:v>Other</c:v>
                  </c:pt>
                  <c:pt idx="12">
                    <c:v>SA</c:v>
                  </c:pt>
                  <c:pt idx="13">
                    <c:v>Other</c:v>
                  </c:pt>
                  <c:pt idx="14">
                    <c:v>SA</c:v>
                  </c:pt>
                  <c:pt idx="15">
                    <c:v>Other</c:v>
                  </c:pt>
                </c:lvl>
                <c:lvl>
                  <c:pt idx="0">
                    <c:v>Make doctors’ job easier by reducing their workload and decreasing amount of time spent addressing medication-related problems</c:v>
                  </c:pt>
                  <c:pt idx="2">
                    <c:v>Improve patient outcomes</c:v>
                  </c:pt>
                  <c:pt idx="4">
                    <c:v>Make the management of patients’ medication more efficient</c:v>
                  </c:pt>
                  <c:pt idx="6">
                    <c:v>Help with co-management of complex patients</c:v>
                  </c:pt>
                  <c:pt idx="8">
                    <c:v>Make nurses’ job easier by reducing their workload and decreasing amount of time spent addressing medication-related problems</c:v>
                  </c:pt>
                  <c:pt idx="10">
                    <c:v>Pharmacists can assess patients’ clinical needs and perform a comprehensive medicines assessment</c:v>
                  </c:pt>
                  <c:pt idx="12">
                    <c:v>Pharmacists are able to independently prescribe cost-effectively</c:v>
                  </c:pt>
                  <c:pt idx="14">
                    <c:v>Pharmacists are able to independently prescribe safely</c:v>
                  </c:pt>
                </c:lvl>
              </c:multiLvlStrCache>
            </c:multiLvlStrRef>
          </c:cat>
          <c:val>
            <c:numRef>
              <c:f>'[New created charts 3 August 2022.xlsx]Sheet15'!$F$23:$F$38</c:f>
              <c:numCache>
                <c:formatCode>General</c:formatCode>
                <c:ptCount val="16"/>
                <c:pt idx="0">
                  <c:v>9</c:v>
                </c:pt>
                <c:pt idx="1">
                  <c:v>6</c:v>
                </c:pt>
                <c:pt idx="2">
                  <c:v>7</c:v>
                </c:pt>
                <c:pt idx="3">
                  <c:v>6</c:v>
                </c:pt>
                <c:pt idx="4">
                  <c:v>8</c:v>
                </c:pt>
                <c:pt idx="5">
                  <c:v>0</c:v>
                </c:pt>
                <c:pt idx="6">
                  <c:v>9</c:v>
                </c:pt>
                <c:pt idx="7">
                  <c:v>0</c:v>
                </c:pt>
                <c:pt idx="8">
                  <c:v>16</c:v>
                </c:pt>
                <c:pt idx="9">
                  <c:v>24</c:v>
                </c:pt>
                <c:pt idx="10">
                  <c:v>14</c:v>
                </c:pt>
                <c:pt idx="11">
                  <c:v>29</c:v>
                </c:pt>
                <c:pt idx="12">
                  <c:v>24</c:v>
                </c:pt>
                <c:pt idx="13">
                  <c:v>18</c:v>
                </c:pt>
                <c:pt idx="14">
                  <c:v>26</c:v>
                </c:pt>
                <c:pt idx="15">
                  <c:v>18</c:v>
                </c:pt>
              </c:numCache>
            </c:numRef>
          </c:val>
          <c:extLst>
            <c:ext xmlns:c16="http://schemas.microsoft.com/office/drawing/2014/chart" uri="{C3380CC4-5D6E-409C-BE32-E72D297353CC}">
              <c16:uniqueId val="{00000001-2D2F-49AC-8C86-8385DC30C195}"/>
            </c:ext>
          </c:extLst>
        </c:ser>
        <c:ser>
          <c:idx val="6"/>
          <c:order val="2"/>
          <c:tx>
            <c:strRef>
              <c:f>'[New created charts 3 August 2022.xlsx]Sheet15'!$I$22</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'[New created charts 3 August 2022.xlsx]Sheet15'!$A$23:$B$38</c:f>
              <c:multiLvlStrCache>
                <c:ptCount val="16"/>
                <c:lvl>
                  <c:pt idx="0">
                    <c:v>SA</c:v>
                  </c:pt>
                  <c:pt idx="1">
                    <c:v>Other</c:v>
                  </c:pt>
                  <c:pt idx="2">
                    <c:v>SA</c:v>
                  </c:pt>
                  <c:pt idx="3">
                    <c:v>Other</c:v>
                  </c:pt>
                  <c:pt idx="4">
                    <c:v>SA</c:v>
                  </c:pt>
                  <c:pt idx="5">
                    <c:v>Other</c:v>
                  </c:pt>
                  <c:pt idx="6">
                    <c:v>SA</c:v>
                  </c:pt>
                  <c:pt idx="7">
                    <c:v>Other</c:v>
                  </c:pt>
                  <c:pt idx="8">
                    <c:v>SA</c:v>
                  </c:pt>
                  <c:pt idx="9">
                    <c:v>Other</c:v>
                  </c:pt>
                  <c:pt idx="10">
                    <c:v>SA</c:v>
                  </c:pt>
                  <c:pt idx="11">
                    <c:v>Other</c:v>
                  </c:pt>
                  <c:pt idx="12">
                    <c:v>SA</c:v>
                  </c:pt>
                  <c:pt idx="13">
                    <c:v>Other</c:v>
                  </c:pt>
                  <c:pt idx="14">
                    <c:v>SA</c:v>
                  </c:pt>
                  <c:pt idx="15">
                    <c:v>Other</c:v>
                  </c:pt>
                </c:lvl>
                <c:lvl>
                  <c:pt idx="0">
                    <c:v>Make doctors’ job easier by reducing their workload and decreasing amount of time spent addressing medication-related problems</c:v>
                  </c:pt>
                  <c:pt idx="2">
                    <c:v>Improve patient outcomes</c:v>
                  </c:pt>
                  <c:pt idx="4">
                    <c:v>Make the management of patients’ medication more efficient</c:v>
                  </c:pt>
                  <c:pt idx="6">
                    <c:v>Help with co-management of complex patients</c:v>
                  </c:pt>
                  <c:pt idx="8">
                    <c:v>Make nurses’ job easier by reducing their workload and decreasing amount of time spent addressing medication-related problems</c:v>
                  </c:pt>
                  <c:pt idx="10">
                    <c:v>Pharmacists can assess patients’ clinical needs and perform a comprehensive medicines assessment</c:v>
                  </c:pt>
                  <c:pt idx="12">
                    <c:v>Pharmacists are able to independently prescribe cost-effectively</c:v>
                  </c:pt>
                  <c:pt idx="14">
                    <c:v>Pharmacists are able to independently prescribe safely</c:v>
                  </c:pt>
                </c:lvl>
              </c:multiLvlStrCache>
            </c:multiLvlStrRef>
          </c:cat>
          <c:val>
            <c:numRef>
              <c:f>'[New created charts 3 August 2022.xlsx]Sheet15'!$I$23:$I$38</c:f>
              <c:numCache>
                <c:formatCode>General</c:formatCode>
                <c:ptCount val="16"/>
                <c:pt idx="0">
                  <c:v>88</c:v>
                </c:pt>
                <c:pt idx="1">
                  <c:v>95</c:v>
                </c:pt>
                <c:pt idx="2">
                  <c:v>87</c:v>
                </c:pt>
                <c:pt idx="3">
                  <c:v>95</c:v>
                </c:pt>
                <c:pt idx="4">
                  <c:v>86</c:v>
                </c:pt>
                <c:pt idx="5">
                  <c:v>94</c:v>
                </c:pt>
                <c:pt idx="6">
                  <c:v>84</c:v>
                </c:pt>
                <c:pt idx="7">
                  <c:v>100</c:v>
                </c:pt>
                <c:pt idx="8">
                  <c:v>80</c:v>
                </c:pt>
                <c:pt idx="9">
                  <c:v>77</c:v>
                </c:pt>
                <c:pt idx="10">
                  <c:v>78</c:v>
                </c:pt>
                <c:pt idx="11">
                  <c:v>65</c:v>
                </c:pt>
                <c:pt idx="12">
                  <c:v>63</c:v>
                </c:pt>
                <c:pt idx="13">
                  <c:v>64</c:v>
                </c:pt>
                <c:pt idx="14">
                  <c:v>54</c:v>
                </c:pt>
                <c:pt idx="15">
                  <c:v>48</c:v>
                </c:pt>
              </c:numCache>
            </c:numRef>
          </c:val>
          <c:extLst>
            <c:ext xmlns:c16="http://schemas.microsoft.com/office/drawing/2014/chart" uri="{C3380CC4-5D6E-409C-BE32-E72D297353CC}">
              <c16:uniqueId val="{00000002-2D2F-49AC-8C86-8385DC30C195}"/>
            </c:ext>
          </c:extLst>
        </c:ser>
        <c:dLbls>
          <c:dLblPos val="ctr"/>
          <c:showLegendKey val="0"/>
          <c:showVal val="1"/>
          <c:showCatName val="0"/>
          <c:showSerName val="0"/>
          <c:showPercent val="0"/>
          <c:showBubbleSize val="0"/>
        </c:dLbls>
        <c:gapWidth val="150"/>
        <c:overlap val="100"/>
        <c:axId val="896840896"/>
        <c:axId val="896843808"/>
      </c:barChart>
      <c:catAx>
        <c:axId val="8968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843808"/>
        <c:crosses val="autoZero"/>
        <c:auto val="1"/>
        <c:lblAlgn val="ctr"/>
        <c:lblOffset val="100"/>
        <c:noMultiLvlLbl val="0"/>
      </c:catAx>
      <c:valAx>
        <c:axId val="896843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84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effectLst/>
              </a:rPr>
              <a:t>Respondents' views based on their experiences; Views on Potential Impact of Pharmacist Involvement in Diabetes Care (1)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Sheet14!$E$4</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Sheet14!$A$5:$B$28</c:f>
              <c:multiLvlStrCache>
                <c:ptCount val="24"/>
                <c:lvl>
                  <c:pt idx="0">
                    <c:v>0-5</c:v>
                  </c:pt>
                  <c:pt idx="1">
                    <c:v>&gt;5-10</c:v>
                  </c:pt>
                  <c:pt idx="2">
                    <c:v>&gt;10</c:v>
                  </c:pt>
                  <c:pt idx="3">
                    <c:v>0-5</c:v>
                  </c:pt>
                  <c:pt idx="4">
                    <c:v>&gt;5-10</c:v>
                  </c:pt>
                  <c:pt idx="5">
                    <c:v>&gt;10</c:v>
                  </c:pt>
                  <c:pt idx="6">
                    <c:v>0-5</c:v>
                  </c:pt>
                  <c:pt idx="7">
                    <c:v>&gt;5-10</c:v>
                  </c:pt>
                  <c:pt idx="8">
                    <c:v>&gt;10</c:v>
                  </c:pt>
                  <c:pt idx="9">
                    <c:v>0-5</c:v>
                  </c:pt>
                  <c:pt idx="10">
                    <c:v>&gt;5-10</c:v>
                  </c:pt>
                  <c:pt idx="11">
                    <c:v>&gt;10</c:v>
                  </c:pt>
                  <c:pt idx="12">
                    <c:v>0-5</c:v>
                  </c:pt>
                  <c:pt idx="13">
                    <c:v>&gt;5-10</c:v>
                  </c:pt>
                  <c:pt idx="14">
                    <c:v>&gt;10</c:v>
                  </c:pt>
                  <c:pt idx="15">
                    <c:v>0-5</c:v>
                  </c:pt>
                  <c:pt idx="16">
                    <c:v>&gt;5-10</c:v>
                  </c:pt>
                  <c:pt idx="17">
                    <c:v>&gt;10</c:v>
                  </c:pt>
                  <c:pt idx="18">
                    <c:v>0-5</c:v>
                  </c:pt>
                  <c:pt idx="19">
                    <c:v>&gt;5-10</c:v>
                  </c:pt>
                  <c:pt idx="20">
                    <c:v>&gt;10</c:v>
                  </c:pt>
                  <c:pt idx="21">
                    <c:v>0-5</c:v>
                  </c:pt>
                  <c:pt idx="22">
                    <c:v>&gt;5-10</c:v>
                  </c:pt>
                  <c:pt idx="23">
                    <c:v>&gt;10</c:v>
                  </c:pt>
                </c:lvl>
                <c:lvl>
                  <c:pt idx="0">
                    <c:v>Reduce medication errors in practice</c:v>
                  </c:pt>
                  <c:pt idx="3">
                    <c:v>Help doctors to prescribe safely</c:v>
                  </c:pt>
                  <c:pt idx="6">
                    <c:v>Improve prescribing practice </c:v>
                  </c:pt>
                  <c:pt idx="9">
                    <c:v>Be an important and integral part of the medical team for diabetes management</c:v>
                  </c:pt>
                  <c:pt idx="12">
                    <c:v>Help doctors to prescribe cost-effectively</c:v>
                  </c:pt>
                  <c:pt idx="15">
                    <c:v>Increase the level of job satisfaction for pharmacists</c:v>
                  </c:pt>
                  <c:pt idx="18">
                    <c:v>Provide drug information to physicians to help in decision-making regarding medicines to treat the patients</c:v>
                  </c:pt>
                  <c:pt idx="21">
                    <c:v>Improve the quality of healthcare services</c:v>
                  </c:pt>
                </c:lvl>
              </c:multiLvlStrCache>
            </c:multiLvlStrRef>
          </c:cat>
          <c:val>
            <c:numRef>
              <c:f>Sheet14!$E$5:$E$28</c:f>
              <c:numCache>
                <c:formatCode>General</c:formatCode>
                <c:ptCount val="24"/>
                <c:pt idx="0">
                  <c:v>11</c:v>
                </c:pt>
                <c:pt idx="1">
                  <c:v>0</c:v>
                </c:pt>
                <c:pt idx="2">
                  <c:v>1</c:v>
                </c:pt>
                <c:pt idx="3">
                  <c:v>11</c:v>
                </c:pt>
                <c:pt idx="4">
                  <c:v>0</c:v>
                </c:pt>
                <c:pt idx="5">
                  <c:v>0</c:v>
                </c:pt>
                <c:pt idx="6">
                  <c:v>11</c:v>
                </c:pt>
                <c:pt idx="7">
                  <c:v>5</c:v>
                </c:pt>
                <c:pt idx="8">
                  <c:v>0</c:v>
                </c:pt>
                <c:pt idx="9">
                  <c:v>11</c:v>
                </c:pt>
                <c:pt idx="10">
                  <c:v>0</c:v>
                </c:pt>
                <c:pt idx="11">
                  <c:v>3</c:v>
                </c:pt>
                <c:pt idx="12">
                  <c:v>11</c:v>
                </c:pt>
                <c:pt idx="13">
                  <c:v>0</c:v>
                </c:pt>
                <c:pt idx="14">
                  <c:v>1</c:v>
                </c:pt>
                <c:pt idx="15">
                  <c:v>11</c:v>
                </c:pt>
                <c:pt idx="16">
                  <c:v>0</c:v>
                </c:pt>
                <c:pt idx="17">
                  <c:v>1</c:v>
                </c:pt>
                <c:pt idx="18">
                  <c:v>11</c:v>
                </c:pt>
                <c:pt idx="19">
                  <c:v>0</c:v>
                </c:pt>
                <c:pt idx="20">
                  <c:v>2</c:v>
                </c:pt>
                <c:pt idx="21">
                  <c:v>11</c:v>
                </c:pt>
                <c:pt idx="22">
                  <c:v>5</c:v>
                </c:pt>
                <c:pt idx="23">
                  <c:v>1</c:v>
                </c:pt>
              </c:numCache>
            </c:numRef>
          </c:val>
          <c:extLst>
            <c:ext xmlns:c16="http://schemas.microsoft.com/office/drawing/2014/chart" uri="{C3380CC4-5D6E-409C-BE32-E72D297353CC}">
              <c16:uniqueId val="{00000000-306E-487B-BAA3-F68ABE73135A}"/>
            </c:ext>
          </c:extLst>
        </c:ser>
        <c:ser>
          <c:idx val="3"/>
          <c:order val="1"/>
          <c:tx>
            <c:strRef>
              <c:f>Sheet14!$F$4</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Sheet14!$A$5:$B$28</c:f>
              <c:multiLvlStrCache>
                <c:ptCount val="24"/>
                <c:lvl>
                  <c:pt idx="0">
                    <c:v>0-5</c:v>
                  </c:pt>
                  <c:pt idx="1">
                    <c:v>&gt;5-10</c:v>
                  </c:pt>
                  <c:pt idx="2">
                    <c:v>&gt;10</c:v>
                  </c:pt>
                  <c:pt idx="3">
                    <c:v>0-5</c:v>
                  </c:pt>
                  <c:pt idx="4">
                    <c:v>&gt;5-10</c:v>
                  </c:pt>
                  <c:pt idx="5">
                    <c:v>&gt;10</c:v>
                  </c:pt>
                  <c:pt idx="6">
                    <c:v>0-5</c:v>
                  </c:pt>
                  <c:pt idx="7">
                    <c:v>&gt;5-10</c:v>
                  </c:pt>
                  <c:pt idx="8">
                    <c:v>&gt;10</c:v>
                  </c:pt>
                  <c:pt idx="9">
                    <c:v>0-5</c:v>
                  </c:pt>
                  <c:pt idx="10">
                    <c:v>&gt;5-10</c:v>
                  </c:pt>
                  <c:pt idx="11">
                    <c:v>&gt;10</c:v>
                  </c:pt>
                  <c:pt idx="12">
                    <c:v>0-5</c:v>
                  </c:pt>
                  <c:pt idx="13">
                    <c:v>&gt;5-10</c:v>
                  </c:pt>
                  <c:pt idx="14">
                    <c:v>&gt;10</c:v>
                  </c:pt>
                  <c:pt idx="15">
                    <c:v>0-5</c:v>
                  </c:pt>
                  <c:pt idx="16">
                    <c:v>&gt;5-10</c:v>
                  </c:pt>
                  <c:pt idx="17">
                    <c:v>&gt;10</c:v>
                  </c:pt>
                  <c:pt idx="18">
                    <c:v>0-5</c:v>
                  </c:pt>
                  <c:pt idx="19">
                    <c:v>&gt;5-10</c:v>
                  </c:pt>
                  <c:pt idx="20">
                    <c:v>&gt;10</c:v>
                  </c:pt>
                  <c:pt idx="21">
                    <c:v>0-5</c:v>
                  </c:pt>
                  <c:pt idx="22">
                    <c:v>&gt;5-10</c:v>
                  </c:pt>
                  <c:pt idx="23">
                    <c:v>&gt;10</c:v>
                  </c:pt>
                </c:lvl>
                <c:lvl>
                  <c:pt idx="0">
                    <c:v>Reduce medication errors in practice</c:v>
                  </c:pt>
                  <c:pt idx="3">
                    <c:v>Help doctors to prescribe safely</c:v>
                  </c:pt>
                  <c:pt idx="6">
                    <c:v>Improve prescribing practice </c:v>
                  </c:pt>
                  <c:pt idx="9">
                    <c:v>Be an important and integral part of the medical team for diabetes management</c:v>
                  </c:pt>
                  <c:pt idx="12">
                    <c:v>Help doctors to prescribe cost-effectively</c:v>
                  </c:pt>
                  <c:pt idx="15">
                    <c:v>Increase the level of job satisfaction for pharmacists</c:v>
                  </c:pt>
                  <c:pt idx="18">
                    <c:v>Provide drug information to physicians to help in decision-making regarding medicines to treat the patients</c:v>
                  </c:pt>
                  <c:pt idx="21">
                    <c:v>Improve the quality of healthcare services</c:v>
                  </c:pt>
                </c:lvl>
              </c:multiLvlStrCache>
            </c:multiLvlStrRef>
          </c:cat>
          <c:val>
            <c:numRef>
              <c:f>Sheet14!$F$5:$F$28</c:f>
              <c:numCache>
                <c:formatCode>General</c:formatCode>
                <c:ptCount val="24"/>
                <c:pt idx="0">
                  <c:v>0</c:v>
                </c:pt>
                <c:pt idx="1">
                  <c:v>0</c:v>
                </c:pt>
                <c:pt idx="2">
                  <c:v>4</c:v>
                </c:pt>
                <c:pt idx="3">
                  <c:v>0</c:v>
                </c:pt>
                <c:pt idx="4">
                  <c:v>5</c:v>
                </c:pt>
                <c:pt idx="5">
                  <c:v>9</c:v>
                </c:pt>
                <c:pt idx="6">
                  <c:v>6</c:v>
                </c:pt>
                <c:pt idx="7">
                  <c:v>5</c:v>
                </c:pt>
                <c:pt idx="8">
                  <c:v>7</c:v>
                </c:pt>
                <c:pt idx="9">
                  <c:v>0</c:v>
                </c:pt>
                <c:pt idx="10">
                  <c:v>11</c:v>
                </c:pt>
                <c:pt idx="11">
                  <c:v>6</c:v>
                </c:pt>
                <c:pt idx="12">
                  <c:v>6</c:v>
                </c:pt>
                <c:pt idx="13">
                  <c:v>5</c:v>
                </c:pt>
                <c:pt idx="14">
                  <c:v>7</c:v>
                </c:pt>
                <c:pt idx="15">
                  <c:v>6</c:v>
                </c:pt>
                <c:pt idx="16">
                  <c:v>11</c:v>
                </c:pt>
                <c:pt idx="17">
                  <c:v>7</c:v>
                </c:pt>
                <c:pt idx="18">
                  <c:v>0</c:v>
                </c:pt>
                <c:pt idx="19">
                  <c:v>11</c:v>
                </c:pt>
                <c:pt idx="20">
                  <c:v>7</c:v>
                </c:pt>
                <c:pt idx="21">
                  <c:v>17</c:v>
                </c:pt>
                <c:pt idx="22">
                  <c:v>5</c:v>
                </c:pt>
                <c:pt idx="23">
                  <c:v>4</c:v>
                </c:pt>
              </c:numCache>
            </c:numRef>
          </c:val>
          <c:extLst>
            <c:ext xmlns:c16="http://schemas.microsoft.com/office/drawing/2014/chart" uri="{C3380CC4-5D6E-409C-BE32-E72D297353CC}">
              <c16:uniqueId val="{00000001-306E-487B-BAA3-F68ABE73135A}"/>
            </c:ext>
          </c:extLst>
        </c:ser>
        <c:ser>
          <c:idx val="6"/>
          <c:order val="2"/>
          <c:tx>
            <c:strRef>
              <c:f>Sheet14!$I$4</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Sheet14!$A$5:$B$28</c:f>
              <c:multiLvlStrCache>
                <c:ptCount val="24"/>
                <c:lvl>
                  <c:pt idx="0">
                    <c:v>0-5</c:v>
                  </c:pt>
                  <c:pt idx="1">
                    <c:v>&gt;5-10</c:v>
                  </c:pt>
                  <c:pt idx="2">
                    <c:v>&gt;10</c:v>
                  </c:pt>
                  <c:pt idx="3">
                    <c:v>0-5</c:v>
                  </c:pt>
                  <c:pt idx="4">
                    <c:v>&gt;5-10</c:v>
                  </c:pt>
                  <c:pt idx="5">
                    <c:v>&gt;10</c:v>
                  </c:pt>
                  <c:pt idx="6">
                    <c:v>0-5</c:v>
                  </c:pt>
                  <c:pt idx="7">
                    <c:v>&gt;5-10</c:v>
                  </c:pt>
                  <c:pt idx="8">
                    <c:v>&gt;10</c:v>
                  </c:pt>
                  <c:pt idx="9">
                    <c:v>0-5</c:v>
                  </c:pt>
                  <c:pt idx="10">
                    <c:v>&gt;5-10</c:v>
                  </c:pt>
                  <c:pt idx="11">
                    <c:v>&gt;10</c:v>
                  </c:pt>
                  <c:pt idx="12">
                    <c:v>0-5</c:v>
                  </c:pt>
                  <c:pt idx="13">
                    <c:v>&gt;5-10</c:v>
                  </c:pt>
                  <c:pt idx="14">
                    <c:v>&gt;10</c:v>
                  </c:pt>
                  <c:pt idx="15">
                    <c:v>0-5</c:v>
                  </c:pt>
                  <c:pt idx="16">
                    <c:v>&gt;5-10</c:v>
                  </c:pt>
                  <c:pt idx="17">
                    <c:v>&gt;10</c:v>
                  </c:pt>
                  <c:pt idx="18">
                    <c:v>0-5</c:v>
                  </c:pt>
                  <c:pt idx="19">
                    <c:v>&gt;5-10</c:v>
                  </c:pt>
                  <c:pt idx="20">
                    <c:v>&gt;10</c:v>
                  </c:pt>
                  <c:pt idx="21">
                    <c:v>0-5</c:v>
                  </c:pt>
                  <c:pt idx="22">
                    <c:v>&gt;5-10</c:v>
                  </c:pt>
                  <c:pt idx="23">
                    <c:v>&gt;10</c:v>
                  </c:pt>
                </c:lvl>
                <c:lvl>
                  <c:pt idx="0">
                    <c:v>Reduce medication errors in practice</c:v>
                  </c:pt>
                  <c:pt idx="3">
                    <c:v>Help doctors to prescribe safely</c:v>
                  </c:pt>
                  <c:pt idx="6">
                    <c:v>Improve prescribing practice </c:v>
                  </c:pt>
                  <c:pt idx="9">
                    <c:v>Be an important and integral part of the medical team for diabetes management</c:v>
                  </c:pt>
                  <c:pt idx="12">
                    <c:v>Help doctors to prescribe cost-effectively</c:v>
                  </c:pt>
                  <c:pt idx="15">
                    <c:v>Increase the level of job satisfaction for pharmacists</c:v>
                  </c:pt>
                  <c:pt idx="18">
                    <c:v>Provide drug information to physicians to help in decision-making regarding medicines to treat the patients</c:v>
                  </c:pt>
                  <c:pt idx="21">
                    <c:v>Improve the quality of healthcare services</c:v>
                  </c:pt>
                </c:lvl>
              </c:multiLvlStrCache>
            </c:multiLvlStrRef>
          </c:cat>
          <c:val>
            <c:numRef>
              <c:f>Sheet14!$I$5:$I$28</c:f>
              <c:numCache>
                <c:formatCode>General</c:formatCode>
                <c:ptCount val="24"/>
                <c:pt idx="0">
                  <c:v>89</c:v>
                </c:pt>
                <c:pt idx="1">
                  <c:v>100</c:v>
                </c:pt>
                <c:pt idx="2">
                  <c:v>94</c:v>
                </c:pt>
                <c:pt idx="3">
                  <c:v>89</c:v>
                </c:pt>
                <c:pt idx="4">
                  <c:v>95</c:v>
                </c:pt>
                <c:pt idx="5">
                  <c:v>91</c:v>
                </c:pt>
                <c:pt idx="6">
                  <c:v>83</c:v>
                </c:pt>
                <c:pt idx="7">
                  <c:v>90</c:v>
                </c:pt>
                <c:pt idx="8">
                  <c:v>93</c:v>
                </c:pt>
                <c:pt idx="9">
                  <c:v>88</c:v>
                </c:pt>
                <c:pt idx="10">
                  <c:v>89</c:v>
                </c:pt>
                <c:pt idx="11">
                  <c:v>92</c:v>
                </c:pt>
                <c:pt idx="12">
                  <c:v>83</c:v>
                </c:pt>
                <c:pt idx="13">
                  <c:v>95</c:v>
                </c:pt>
                <c:pt idx="14">
                  <c:v>92</c:v>
                </c:pt>
                <c:pt idx="15">
                  <c:v>83</c:v>
                </c:pt>
                <c:pt idx="16">
                  <c:v>89</c:v>
                </c:pt>
                <c:pt idx="17">
                  <c:v>91</c:v>
                </c:pt>
                <c:pt idx="18">
                  <c:v>88</c:v>
                </c:pt>
                <c:pt idx="19">
                  <c:v>90</c:v>
                </c:pt>
                <c:pt idx="20">
                  <c:v>90</c:v>
                </c:pt>
                <c:pt idx="21">
                  <c:v>72</c:v>
                </c:pt>
                <c:pt idx="22">
                  <c:v>90</c:v>
                </c:pt>
                <c:pt idx="23">
                  <c:v>94</c:v>
                </c:pt>
              </c:numCache>
            </c:numRef>
          </c:val>
          <c:extLst>
            <c:ext xmlns:c16="http://schemas.microsoft.com/office/drawing/2014/chart" uri="{C3380CC4-5D6E-409C-BE32-E72D297353CC}">
              <c16:uniqueId val="{00000002-306E-487B-BAA3-F68ABE73135A}"/>
            </c:ext>
          </c:extLst>
        </c:ser>
        <c:dLbls>
          <c:dLblPos val="ctr"/>
          <c:showLegendKey val="0"/>
          <c:showVal val="1"/>
          <c:showCatName val="0"/>
          <c:showSerName val="0"/>
          <c:showPercent val="0"/>
          <c:showBubbleSize val="0"/>
        </c:dLbls>
        <c:gapWidth val="150"/>
        <c:overlap val="100"/>
        <c:axId val="2102114720"/>
        <c:axId val="2102114304"/>
      </c:barChart>
      <c:catAx>
        <c:axId val="21021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114304"/>
        <c:crosses val="autoZero"/>
        <c:auto val="1"/>
        <c:lblAlgn val="ctr"/>
        <c:lblOffset val="100"/>
        <c:noMultiLvlLbl val="0"/>
      </c:catAx>
      <c:valAx>
        <c:axId val="21021143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11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Respondents' views based on their experiences; Views on Potential Impact of Pharmacist Involvement in Diabetes Care (2)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Sheet14!$E$29</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Sheet14!$A$30:$B$53</c:f>
              <c:multiLvlStrCache>
                <c:ptCount val="24"/>
                <c:lvl>
                  <c:pt idx="0">
                    <c:v>0-5</c:v>
                  </c:pt>
                  <c:pt idx="1">
                    <c:v>&gt;5-10</c:v>
                  </c:pt>
                  <c:pt idx="2">
                    <c:v>&gt;10</c:v>
                  </c:pt>
                  <c:pt idx="3">
                    <c:v>0-5</c:v>
                  </c:pt>
                  <c:pt idx="4">
                    <c:v>&gt;5-10</c:v>
                  </c:pt>
                  <c:pt idx="5">
                    <c:v>&gt;10</c:v>
                  </c:pt>
                  <c:pt idx="6">
                    <c:v>0-5</c:v>
                  </c:pt>
                  <c:pt idx="7">
                    <c:v>&gt;5-10</c:v>
                  </c:pt>
                  <c:pt idx="8">
                    <c:v>&gt;10</c:v>
                  </c:pt>
                  <c:pt idx="9">
                    <c:v>0-5</c:v>
                  </c:pt>
                  <c:pt idx="10">
                    <c:v>&gt;5-10</c:v>
                  </c:pt>
                  <c:pt idx="11">
                    <c:v>&gt;10</c:v>
                  </c:pt>
                  <c:pt idx="12">
                    <c:v>0-5</c:v>
                  </c:pt>
                  <c:pt idx="13">
                    <c:v>&gt;5-10</c:v>
                  </c:pt>
                  <c:pt idx="14">
                    <c:v>&gt;10</c:v>
                  </c:pt>
                  <c:pt idx="15">
                    <c:v>0-5</c:v>
                  </c:pt>
                  <c:pt idx="16">
                    <c:v>&gt;5-10</c:v>
                  </c:pt>
                  <c:pt idx="17">
                    <c:v>&gt;10</c:v>
                  </c:pt>
                  <c:pt idx="18">
                    <c:v>0-5</c:v>
                  </c:pt>
                  <c:pt idx="19">
                    <c:v>&gt;5-10</c:v>
                  </c:pt>
                  <c:pt idx="20">
                    <c:v>&gt;10</c:v>
                  </c:pt>
                  <c:pt idx="21">
                    <c:v>0-5</c:v>
                  </c:pt>
                  <c:pt idx="22">
                    <c:v>&gt;5-10</c:v>
                  </c:pt>
                  <c:pt idx="23">
                    <c:v>&gt;10</c:v>
                  </c:pt>
                </c:lvl>
                <c:lvl>
                  <c:pt idx="0">
                    <c:v>Make doctors’ job easier by addressing medication-related problems</c:v>
                  </c:pt>
                  <c:pt idx="3">
                    <c:v>Use of pharmacist’s skills and knowledge in diabetes primary care management can improve patient outcomes</c:v>
                  </c:pt>
                  <c:pt idx="6">
                    <c:v>Make the management of patients’ medication more efficient</c:v>
                  </c:pt>
                  <c:pt idx="9">
                    <c:v>Help with co-management of complex patients</c:v>
                  </c:pt>
                  <c:pt idx="12">
                    <c:v>Make nurses’ job easier by addressing medication-related problems</c:v>
                  </c:pt>
                  <c:pt idx="15">
                    <c:v>Pharmacists can assess patients’ clinical needs and perform a comprehensive medicines assessment</c:v>
                  </c:pt>
                  <c:pt idx="18">
                    <c:v>Pharmacists are able to independently prescribe cost-effectively</c:v>
                  </c:pt>
                  <c:pt idx="21">
                    <c:v>Pharmacists are able to independently prescribe safely</c:v>
                  </c:pt>
                </c:lvl>
              </c:multiLvlStrCache>
            </c:multiLvlStrRef>
          </c:cat>
          <c:val>
            <c:numRef>
              <c:f>Sheet14!$E$30:$E$53</c:f>
              <c:numCache>
                <c:formatCode>General</c:formatCode>
                <c:ptCount val="24"/>
                <c:pt idx="0">
                  <c:v>11</c:v>
                </c:pt>
                <c:pt idx="1">
                  <c:v>0</c:v>
                </c:pt>
                <c:pt idx="2">
                  <c:v>1</c:v>
                </c:pt>
                <c:pt idx="3">
                  <c:v>22</c:v>
                </c:pt>
                <c:pt idx="4">
                  <c:v>5</c:v>
                </c:pt>
                <c:pt idx="5">
                  <c:v>0</c:v>
                </c:pt>
                <c:pt idx="6">
                  <c:v>17</c:v>
                </c:pt>
                <c:pt idx="7">
                  <c:v>0</c:v>
                </c:pt>
                <c:pt idx="8">
                  <c:v>4</c:v>
                </c:pt>
                <c:pt idx="9">
                  <c:v>17</c:v>
                </c:pt>
                <c:pt idx="10">
                  <c:v>0</c:v>
                </c:pt>
                <c:pt idx="11">
                  <c:v>4</c:v>
                </c:pt>
                <c:pt idx="12">
                  <c:v>11</c:v>
                </c:pt>
                <c:pt idx="13">
                  <c:v>0</c:v>
                </c:pt>
                <c:pt idx="14">
                  <c:v>2</c:v>
                </c:pt>
                <c:pt idx="15">
                  <c:v>23</c:v>
                </c:pt>
                <c:pt idx="16">
                  <c:v>5</c:v>
                </c:pt>
                <c:pt idx="17">
                  <c:v>4</c:v>
                </c:pt>
                <c:pt idx="18">
                  <c:v>23</c:v>
                </c:pt>
                <c:pt idx="19">
                  <c:v>16</c:v>
                </c:pt>
                <c:pt idx="20">
                  <c:v>12</c:v>
                </c:pt>
                <c:pt idx="21">
                  <c:v>39</c:v>
                </c:pt>
                <c:pt idx="22">
                  <c:v>21</c:v>
                </c:pt>
                <c:pt idx="23">
                  <c:v>19</c:v>
                </c:pt>
              </c:numCache>
            </c:numRef>
          </c:val>
          <c:extLst>
            <c:ext xmlns:c16="http://schemas.microsoft.com/office/drawing/2014/chart" uri="{C3380CC4-5D6E-409C-BE32-E72D297353CC}">
              <c16:uniqueId val="{00000000-14E5-4B54-A29A-AAE6BFCAD600}"/>
            </c:ext>
          </c:extLst>
        </c:ser>
        <c:ser>
          <c:idx val="3"/>
          <c:order val="1"/>
          <c:tx>
            <c:strRef>
              <c:f>Sheet14!$F$29</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Sheet14!$A$30:$B$53</c:f>
              <c:multiLvlStrCache>
                <c:ptCount val="24"/>
                <c:lvl>
                  <c:pt idx="0">
                    <c:v>0-5</c:v>
                  </c:pt>
                  <c:pt idx="1">
                    <c:v>&gt;5-10</c:v>
                  </c:pt>
                  <c:pt idx="2">
                    <c:v>&gt;10</c:v>
                  </c:pt>
                  <c:pt idx="3">
                    <c:v>0-5</c:v>
                  </c:pt>
                  <c:pt idx="4">
                    <c:v>&gt;5-10</c:v>
                  </c:pt>
                  <c:pt idx="5">
                    <c:v>&gt;10</c:v>
                  </c:pt>
                  <c:pt idx="6">
                    <c:v>0-5</c:v>
                  </c:pt>
                  <c:pt idx="7">
                    <c:v>&gt;5-10</c:v>
                  </c:pt>
                  <c:pt idx="8">
                    <c:v>&gt;10</c:v>
                  </c:pt>
                  <c:pt idx="9">
                    <c:v>0-5</c:v>
                  </c:pt>
                  <c:pt idx="10">
                    <c:v>&gt;5-10</c:v>
                  </c:pt>
                  <c:pt idx="11">
                    <c:v>&gt;10</c:v>
                  </c:pt>
                  <c:pt idx="12">
                    <c:v>0-5</c:v>
                  </c:pt>
                  <c:pt idx="13">
                    <c:v>&gt;5-10</c:v>
                  </c:pt>
                  <c:pt idx="14">
                    <c:v>&gt;10</c:v>
                  </c:pt>
                  <c:pt idx="15">
                    <c:v>0-5</c:v>
                  </c:pt>
                  <c:pt idx="16">
                    <c:v>&gt;5-10</c:v>
                  </c:pt>
                  <c:pt idx="17">
                    <c:v>&gt;10</c:v>
                  </c:pt>
                  <c:pt idx="18">
                    <c:v>0-5</c:v>
                  </c:pt>
                  <c:pt idx="19">
                    <c:v>&gt;5-10</c:v>
                  </c:pt>
                  <c:pt idx="20">
                    <c:v>&gt;10</c:v>
                  </c:pt>
                  <c:pt idx="21">
                    <c:v>0-5</c:v>
                  </c:pt>
                  <c:pt idx="22">
                    <c:v>&gt;5-10</c:v>
                  </c:pt>
                  <c:pt idx="23">
                    <c:v>&gt;10</c:v>
                  </c:pt>
                </c:lvl>
                <c:lvl>
                  <c:pt idx="0">
                    <c:v>Make doctors’ job easier by addressing medication-related problems</c:v>
                  </c:pt>
                  <c:pt idx="3">
                    <c:v>Use of pharmacist’s skills and knowledge in diabetes primary care management can improve patient outcomes</c:v>
                  </c:pt>
                  <c:pt idx="6">
                    <c:v>Make the management of patients’ medication more efficient</c:v>
                  </c:pt>
                  <c:pt idx="9">
                    <c:v>Help with co-management of complex patients</c:v>
                  </c:pt>
                  <c:pt idx="12">
                    <c:v>Make nurses’ job easier by addressing medication-related problems</c:v>
                  </c:pt>
                  <c:pt idx="15">
                    <c:v>Pharmacists can assess patients’ clinical needs and perform a comprehensive medicines assessment</c:v>
                  </c:pt>
                  <c:pt idx="18">
                    <c:v>Pharmacists are able to independently prescribe cost-effectively</c:v>
                  </c:pt>
                  <c:pt idx="21">
                    <c:v>Pharmacists are able to independently prescribe safely</c:v>
                  </c:pt>
                </c:lvl>
              </c:multiLvlStrCache>
            </c:multiLvlStrRef>
          </c:cat>
          <c:val>
            <c:numRef>
              <c:f>Sheet14!$F$30:$F$53</c:f>
              <c:numCache>
                <c:formatCode>General</c:formatCode>
                <c:ptCount val="24"/>
                <c:pt idx="0">
                  <c:v>6</c:v>
                </c:pt>
                <c:pt idx="1">
                  <c:v>5</c:v>
                </c:pt>
                <c:pt idx="2">
                  <c:v>10</c:v>
                </c:pt>
                <c:pt idx="3">
                  <c:v>11</c:v>
                </c:pt>
                <c:pt idx="4">
                  <c:v>5</c:v>
                </c:pt>
                <c:pt idx="5">
                  <c:v>6</c:v>
                </c:pt>
                <c:pt idx="6">
                  <c:v>6</c:v>
                </c:pt>
                <c:pt idx="7">
                  <c:v>0</c:v>
                </c:pt>
                <c:pt idx="8">
                  <c:v>9</c:v>
                </c:pt>
                <c:pt idx="9">
                  <c:v>0</c:v>
                </c:pt>
                <c:pt idx="10">
                  <c:v>5</c:v>
                </c:pt>
                <c:pt idx="11">
                  <c:v>10</c:v>
                </c:pt>
                <c:pt idx="12">
                  <c:v>28</c:v>
                </c:pt>
                <c:pt idx="13">
                  <c:v>21</c:v>
                </c:pt>
                <c:pt idx="14">
                  <c:v>13</c:v>
                </c:pt>
                <c:pt idx="15">
                  <c:v>17</c:v>
                </c:pt>
                <c:pt idx="16">
                  <c:v>21</c:v>
                </c:pt>
                <c:pt idx="17">
                  <c:v>15</c:v>
                </c:pt>
                <c:pt idx="18">
                  <c:v>17</c:v>
                </c:pt>
                <c:pt idx="19">
                  <c:v>42</c:v>
                </c:pt>
                <c:pt idx="20">
                  <c:v>19</c:v>
                </c:pt>
                <c:pt idx="21">
                  <c:v>33</c:v>
                </c:pt>
                <c:pt idx="22">
                  <c:v>42</c:v>
                </c:pt>
                <c:pt idx="23">
                  <c:v>17</c:v>
                </c:pt>
              </c:numCache>
            </c:numRef>
          </c:val>
          <c:extLst>
            <c:ext xmlns:c16="http://schemas.microsoft.com/office/drawing/2014/chart" uri="{C3380CC4-5D6E-409C-BE32-E72D297353CC}">
              <c16:uniqueId val="{00000001-14E5-4B54-A29A-AAE6BFCAD600}"/>
            </c:ext>
          </c:extLst>
        </c:ser>
        <c:ser>
          <c:idx val="6"/>
          <c:order val="2"/>
          <c:tx>
            <c:strRef>
              <c:f>Sheet14!$I$29</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Sheet14!$A$30:$B$53</c:f>
              <c:multiLvlStrCache>
                <c:ptCount val="24"/>
                <c:lvl>
                  <c:pt idx="0">
                    <c:v>0-5</c:v>
                  </c:pt>
                  <c:pt idx="1">
                    <c:v>&gt;5-10</c:v>
                  </c:pt>
                  <c:pt idx="2">
                    <c:v>&gt;10</c:v>
                  </c:pt>
                  <c:pt idx="3">
                    <c:v>0-5</c:v>
                  </c:pt>
                  <c:pt idx="4">
                    <c:v>&gt;5-10</c:v>
                  </c:pt>
                  <c:pt idx="5">
                    <c:v>&gt;10</c:v>
                  </c:pt>
                  <c:pt idx="6">
                    <c:v>0-5</c:v>
                  </c:pt>
                  <c:pt idx="7">
                    <c:v>&gt;5-10</c:v>
                  </c:pt>
                  <c:pt idx="8">
                    <c:v>&gt;10</c:v>
                  </c:pt>
                  <c:pt idx="9">
                    <c:v>0-5</c:v>
                  </c:pt>
                  <c:pt idx="10">
                    <c:v>&gt;5-10</c:v>
                  </c:pt>
                  <c:pt idx="11">
                    <c:v>&gt;10</c:v>
                  </c:pt>
                  <c:pt idx="12">
                    <c:v>0-5</c:v>
                  </c:pt>
                  <c:pt idx="13">
                    <c:v>&gt;5-10</c:v>
                  </c:pt>
                  <c:pt idx="14">
                    <c:v>&gt;10</c:v>
                  </c:pt>
                  <c:pt idx="15">
                    <c:v>0-5</c:v>
                  </c:pt>
                  <c:pt idx="16">
                    <c:v>&gt;5-10</c:v>
                  </c:pt>
                  <c:pt idx="17">
                    <c:v>&gt;10</c:v>
                  </c:pt>
                  <c:pt idx="18">
                    <c:v>0-5</c:v>
                  </c:pt>
                  <c:pt idx="19">
                    <c:v>&gt;5-10</c:v>
                  </c:pt>
                  <c:pt idx="20">
                    <c:v>&gt;10</c:v>
                  </c:pt>
                  <c:pt idx="21">
                    <c:v>0-5</c:v>
                  </c:pt>
                  <c:pt idx="22">
                    <c:v>&gt;5-10</c:v>
                  </c:pt>
                  <c:pt idx="23">
                    <c:v>&gt;10</c:v>
                  </c:pt>
                </c:lvl>
                <c:lvl>
                  <c:pt idx="0">
                    <c:v>Make doctors’ job easier by addressing medication-related problems</c:v>
                  </c:pt>
                  <c:pt idx="3">
                    <c:v>Use of pharmacist’s skills and knowledge in diabetes primary care management can improve patient outcomes</c:v>
                  </c:pt>
                  <c:pt idx="6">
                    <c:v>Make the management of patients’ medication more efficient</c:v>
                  </c:pt>
                  <c:pt idx="9">
                    <c:v>Help with co-management of complex patients</c:v>
                  </c:pt>
                  <c:pt idx="12">
                    <c:v>Make nurses’ job easier by addressing medication-related problems</c:v>
                  </c:pt>
                  <c:pt idx="15">
                    <c:v>Pharmacists can assess patients’ clinical needs and perform a comprehensive medicines assessment</c:v>
                  </c:pt>
                  <c:pt idx="18">
                    <c:v>Pharmacists are able to independently prescribe cost-effectively</c:v>
                  </c:pt>
                  <c:pt idx="21">
                    <c:v>Pharmacists are able to independently prescribe safely</c:v>
                  </c:pt>
                </c:lvl>
              </c:multiLvlStrCache>
            </c:multiLvlStrRef>
          </c:cat>
          <c:val>
            <c:numRef>
              <c:f>Sheet14!$I$30:$I$53</c:f>
              <c:numCache>
                <c:formatCode>General</c:formatCode>
                <c:ptCount val="24"/>
                <c:pt idx="0">
                  <c:v>83</c:v>
                </c:pt>
                <c:pt idx="1">
                  <c:v>95</c:v>
                </c:pt>
                <c:pt idx="2">
                  <c:v>89</c:v>
                </c:pt>
                <c:pt idx="3">
                  <c:v>67</c:v>
                </c:pt>
                <c:pt idx="4">
                  <c:v>90</c:v>
                </c:pt>
                <c:pt idx="5">
                  <c:v>95</c:v>
                </c:pt>
                <c:pt idx="6">
                  <c:v>78</c:v>
                </c:pt>
                <c:pt idx="7">
                  <c:v>100</c:v>
                </c:pt>
                <c:pt idx="8">
                  <c:v>87</c:v>
                </c:pt>
                <c:pt idx="9">
                  <c:v>83</c:v>
                </c:pt>
                <c:pt idx="10">
                  <c:v>95</c:v>
                </c:pt>
                <c:pt idx="11">
                  <c:v>85</c:v>
                </c:pt>
                <c:pt idx="12">
                  <c:v>61</c:v>
                </c:pt>
                <c:pt idx="13">
                  <c:v>79</c:v>
                </c:pt>
                <c:pt idx="14">
                  <c:v>84</c:v>
                </c:pt>
                <c:pt idx="15">
                  <c:v>61</c:v>
                </c:pt>
                <c:pt idx="16">
                  <c:v>74</c:v>
                </c:pt>
                <c:pt idx="17">
                  <c:v>81</c:v>
                </c:pt>
                <c:pt idx="18">
                  <c:v>61</c:v>
                </c:pt>
                <c:pt idx="19">
                  <c:v>43</c:v>
                </c:pt>
                <c:pt idx="20">
                  <c:v>70</c:v>
                </c:pt>
                <c:pt idx="21">
                  <c:v>28</c:v>
                </c:pt>
                <c:pt idx="22">
                  <c:v>37</c:v>
                </c:pt>
                <c:pt idx="23">
                  <c:v>64</c:v>
                </c:pt>
              </c:numCache>
            </c:numRef>
          </c:val>
          <c:extLst>
            <c:ext xmlns:c16="http://schemas.microsoft.com/office/drawing/2014/chart" uri="{C3380CC4-5D6E-409C-BE32-E72D297353CC}">
              <c16:uniqueId val="{00000002-14E5-4B54-A29A-AAE6BFCAD600}"/>
            </c:ext>
          </c:extLst>
        </c:ser>
        <c:dLbls>
          <c:dLblPos val="ctr"/>
          <c:showLegendKey val="0"/>
          <c:showVal val="1"/>
          <c:showCatName val="0"/>
          <c:showSerName val="0"/>
          <c:showPercent val="0"/>
          <c:showBubbleSize val="0"/>
        </c:dLbls>
        <c:gapWidth val="150"/>
        <c:overlap val="100"/>
        <c:axId val="1125263104"/>
        <c:axId val="1125243968"/>
      </c:barChart>
      <c:catAx>
        <c:axId val="112526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243968"/>
        <c:crosses val="autoZero"/>
        <c:auto val="1"/>
        <c:lblAlgn val="ctr"/>
        <c:lblOffset val="100"/>
        <c:noMultiLvlLbl val="0"/>
      </c:catAx>
      <c:valAx>
        <c:axId val="1125243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526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Barriers to pharmacists providing clinical services to patients with diabetes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2"/>
          <c:order val="0"/>
          <c:tx>
            <c:strRef>
              <c:f>'[Charts included in Result Chapter.xlsx]Sheet15'!$D$3</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included in Result Chapter.xlsx]Sheet15'!$A$4:$A$25</c:f>
              <c:strCache>
                <c:ptCount val="22"/>
                <c:pt idx="0">
                  <c:v>Lack of well-defined pharmacist role </c:v>
                </c:pt>
                <c:pt idx="1">
                  <c:v>Lack of a private room to interview patients and advise them </c:v>
                </c:pt>
                <c:pt idx="2">
                  <c:v>Lack of awareness of the clinical role of pharmacist by healthcare providers</c:v>
                </c:pt>
                <c:pt idx="3">
                  <c:v>Lack of clinical experience of pharmacists </c:v>
                </c:pt>
                <c:pt idx="4">
                  <c:v>Under-utilisation of pharmacist roles in primary healthcare centres</c:v>
                </c:pt>
                <c:pt idx="5">
                  <c:v>Lack of access to patients' medical records for pharmacists </c:v>
                </c:pt>
                <c:pt idx="6">
                  <c:v>Inadequate teamwork among healthcare professionals in the primary healthcare centres</c:v>
                </c:pt>
                <c:pt idx="7">
                  <c:v>Lack of clinical education of pharmacists</c:v>
                </c:pt>
                <c:pt idx="8">
                  <c:v>Resistance to the clinical role of pharmacists by healthcare providers </c:v>
                </c:pt>
                <c:pt idx="9">
                  <c:v>Lack of qualified pharmacy staff working at primary healthcare centres</c:v>
                </c:pt>
                <c:pt idx="10">
                  <c:v>Resistance to change among healthcare providers </c:v>
                </c:pt>
                <c:pt idx="11">
                  <c:v>Lack of prescribing authority for pharmacists</c:v>
                </c:pt>
                <c:pt idx="12">
                  <c:v>Administrations duties of pharmacists </c:v>
                </c:pt>
                <c:pt idx="13">
                  <c:v>The current primary care centre infrastructure </c:v>
                </c:pt>
                <c:pt idx="14">
                  <c:v>Managers’ attitudes toward pharmacists’ role </c:v>
                </c:pt>
                <c:pt idx="15">
                  <c:v>Policymakers’ attitudes toward pharmacists’ role </c:v>
                </c:pt>
                <c:pt idx="16">
                  <c:v>Lack of time </c:v>
                </c:pt>
                <c:pt idx="17">
                  <c:v>Lack of communication skills of pharmacists</c:v>
                </c:pt>
                <c:pt idx="18">
                  <c:v>Lack of confidence of pharmacists in themselves and their ability </c:v>
                </c:pt>
                <c:pt idx="19">
                  <c:v>Pharmacist willingness to take on new roles </c:v>
                </c:pt>
                <c:pt idx="20">
                  <c:v>Lack of healthcare professionals’ confidence in pharmacists’ abilities </c:v>
                </c:pt>
                <c:pt idx="21">
                  <c:v>Patients' attitudes toward pharmacists’ role</c:v>
                </c:pt>
              </c:strCache>
            </c:strRef>
          </c:cat>
          <c:val>
            <c:numRef>
              <c:f>'[Charts included in Result Chapter.xlsx]Sheet15'!$D$4:$D$25</c:f>
              <c:numCache>
                <c:formatCode>0</c:formatCode>
                <c:ptCount val="22"/>
                <c:pt idx="0">
                  <c:v>2.8</c:v>
                </c:pt>
                <c:pt idx="1">
                  <c:v>6.6</c:v>
                </c:pt>
                <c:pt idx="2">
                  <c:v>2.8</c:v>
                </c:pt>
                <c:pt idx="3">
                  <c:v>7.5</c:v>
                </c:pt>
                <c:pt idx="4">
                  <c:v>2.8</c:v>
                </c:pt>
                <c:pt idx="5">
                  <c:v>9.3999999999999986</c:v>
                </c:pt>
                <c:pt idx="6">
                  <c:v>8.5</c:v>
                </c:pt>
                <c:pt idx="7">
                  <c:v>9.3999999999999986</c:v>
                </c:pt>
                <c:pt idx="8">
                  <c:v>9.5</c:v>
                </c:pt>
                <c:pt idx="9">
                  <c:v>8.5</c:v>
                </c:pt>
                <c:pt idx="10">
                  <c:v>13.200000000000001</c:v>
                </c:pt>
                <c:pt idx="11">
                  <c:v>7.6</c:v>
                </c:pt>
                <c:pt idx="12">
                  <c:v>7.6</c:v>
                </c:pt>
                <c:pt idx="13">
                  <c:v>10.3</c:v>
                </c:pt>
                <c:pt idx="14">
                  <c:v>15.100000000000001</c:v>
                </c:pt>
                <c:pt idx="15">
                  <c:v>10.3</c:v>
                </c:pt>
                <c:pt idx="16">
                  <c:v>18</c:v>
                </c:pt>
                <c:pt idx="17">
                  <c:v>19.8</c:v>
                </c:pt>
                <c:pt idx="18">
                  <c:v>17</c:v>
                </c:pt>
                <c:pt idx="19">
                  <c:v>14.100000000000001</c:v>
                </c:pt>
                <c:pt idx="20">
                  <c:v>17</c:v>
                </c:pt>
                <c:pt idx="21">
                  <c:v>26.5</c:v>
                </c:pt>
              </c:numCache>
            </c:numRef>
          </c:val>
          <c:extLst>
            <c:ext xmlns:c16="http://schemas.microsoft.com/office/drawing/2014/chart" uri="{C3380CC4-5D6E-409C-BE32-E72D297353CC}">
              <c16:uniqueId val="{00000000-A123-4EDC-AC5C-44864069488B}"/>
            </c:ext>
          </c:extLst>
        </c:ser>
        <c:ser>
          <c:idx val="3"/>
          <c:order val="1"/>
          <c:tx>
            <c:strRef>
              <c:f>'[Charts included in Result Chapter.xlsx]Sheet15'!$E$3</c:f>
              <c:strCache>
                <c:ptCount val="1"/>
                <c:pt idx="0">
                  <c:v>Neither agree nor disagree</c:v>
                </c:pt>
              </c:strCache>
            </c:strRef>
          </c:tx>
          <c:spPr>
            <a:solidFill>
              <a:srgbClr val="FFF9E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included in Result Chapter.xlsx]Sheet15'!$A$4:$A$25</c:f>
              <c:strCache>
                <c:ptCount val="22"/>
                <c:pt idx="0">
                  <c:v>Lack of well-defined pharmacist role </c:v>
                </c:pt>
                <c:pt idx="1">
                  <c:v>Lack of a private room to interview patients and advise them </c:v>
                </c:pt>
                <c:pt idx="2">
                  <c:v>Lack of awareness of the clinical role of pharmacist by healthcare providers</c:v>
                </c:pt>
                <c:pt idx="3">
                  <c:v>Lack of clinical experience of pharmacists </c:v>
                </c:pt>
                <c:pt idx="4">
                  <c:v>Under-utilisation of pharmacist roles in primary healthcare centres</c:v>
                </c:pt>
                <c:pt idx="5">
                  <c:v>Lack of access to patients' medical records for pharmacists </c:v>
                </c:pt>
                <c:pt idx="6">
                  <c:v>Inadequate teamwork among healthcare professionals in the primary healthcare centres</c:v>
                </c:pt>
                <c:pt idx="7">
                  <c:v>Lack of clinical education of pharmacists</c:v>
                </c:pt>
                <c:pt idx="8">
                  <c:v>Resistance to the clinical role of pharmacists by healthcare providers </c:v>
                </c:pt>
                <c:pt idx="9">
                  <c:v>Lack of qualified pharmacy staff working at primary healthcare centres</c:v>
                </c:pt>
                <c:pt idx="10">
                  <c:v>Resistance to change among healthcare providers </c:v>
                </c:pt>
                <c:pt idx="11">
                  <c:v>Lack of prescribing authority for pharmacists</c:v>
                </c:pt>
                <c:pt idx="12">
                  <c:v>Administrations duties of pharmacists </c:v>
                </c:pt>
                <c:pt idx="13">
                  <c:v>The current primary care centre infrastructure </c:v>
                </c:pt>
                <c:pt idx="14">
                  <c:v>Managers’ attitudes toward pharmacists’ role </c:v>
                </c:pt>
                <c:pt idx="15">
                  <c:v>Policymakers’ attitudes toward pharmacists’ role </c:v>
                </c:pt>
                <c:pt idx="16">
                  <c:v>Lack of time </c:v>
                </c:pt>
                <c:pt idx="17">
                  <c:v>Lack of communication skills of pharmacists</c:v>
                </c:pt>
                <c:pt idx="18">
                  <c:v>Lack of confidence of pharmacists in themselves and their ability </c:v>
                </c:pt>
                <c:pt idx="19">
                  <c:v>Pharmacist willingness to take on new roles </c:v>
                </c:pt>
                <c:pt idx="20">
                  <c:v>Lack of healthcare professionals’ confidence in pharmacists’ abilities </c:v>
                </c:pt>
                <c:pt idx="21">
                  <c:v>Patients' attitudes toward pharmacists’ role</c:v>
                </c:pt>
              </c:strCache>
            </c:strRef>
          </c:cat>
          <c:val>
            <c:numRef>
              <c:f>'[Charts included in Result Chapter.xlsx]Sheet15'!$E$4:$E$25</c:f>
              <c:numCache>
                <c:formatCode>0</c:formatCode>
                <c:ptCount val="22"/>
                <c:pt idx="0">
                  <c:v>11.3</c:v>
                </c:pt>
                <c:pt idx="1">
                  <c:v>9.4</c:v>
                </c:pt>
                <c:pt idx="2">
                  <c:v>14.2</c:v>
                </c:pt>
                <c:pt idx="3">
                  <c:v>9.4</c:v>
                </c:pt>
                <c:pt idx="4">
                  <c:v>17.899999999999999</c:v>
                </c:pt>
                <c:pt idx="5">
                  <c:v>11.3</c:v>
                </c:pt>
                <c:pt idx="6">
                  <c:v>14.2</c:v>
                </c:pt>
                <c:pt idx="7">
                  <c:v>15.1</c:v>
                </c:pt>
                <c:pt idx="8">
                  <c:v>15.1</c:v>
                </c:pt>
                <c:pt idx="9">
                  <c:v>17</c:v>
                </c:pt>
                <c:pt idx="10">
                  <c:v>12.3</c:v>
                </c:pt>
                <c:pt idx="11">
                  <c:v>19.8</c:v>
                </c:pt>
                <c:pt idx="12">
                  <c:v>22.6</c:v>
                </c:pt>
                <c:pt idx="13">
                  <c:v>21.7</c:v>
                </c:pt>
                <c:pt idx="14">
                  <c:v>17.899999999999999</c:v>
                </c:pt>
                <c:pt idx="15">
                  <c:v>24.5</c:v>
                </c:pt>
                <c:pt idx="16">
                  <c:v>17.899999999999999</c:v>
                </c:pt>
                <c:pt idx="17">
                  <c:v>17</c:v>
                </c:pt>
                <c:pt idx="18">
                  <c:v>19.8</c:v>
                </c:pt>
                <c:pt idx="19">
                  <c:v>23.6</c:v>
                </c:pt>
                <c:pt idx="20">
                  <c:v>21.7</c:v>
                </c:pt>
                <c:pt idx="21">
                  <c:v>16</c:v>
                </c:pt>
              </c:numCache>
            </c:numRef>
          </c:val>
          <c:extLst>
            <c:ext xmlns:c16="http://schemas.microsoft.com/office/drawing/2014/chart" uri="{C3380CC4-5D6E-409C-BE32-E72D297353CC}">
              <c16:uniqueId val="{00000001-A123-4EDC-AC5C-44864069488B}"/>
            </c:ext>
          </c:extLst>
        </c:ser>
        <c:ser>
          <c:idx val="6"/>
          <c:order val="2"/>
          <c:tx>
            <c:strRef>
              <c:f>'[Charts included in Result Chapter.xlsx]Sheet15'!$H$3</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included in Result Chapter.xlsx]Sheet15'!$A$4:$A$25</c:f>
              <c:strCache>
                <c:ptCount val="22"/>
                <c:pt idx="0">
                  <c:v>Lack of well-defined pharmacist role </c:v>
                </c:pt>
                <c:pt idx="1">
                  <c:v>Lack of a private room to interview patients and advise them </c:v>
                </c:pt>
                <c:pt idx="2">
                  <c:v>Lack of awareness of the clinical role of pharmacist by healthcare providers</c:v>
                </c:pt>
                <c:pt idx="3">
                  <c:v>Lack of clinical experience of pharmacists </c:v>
                </c:pt>
                <c:pt idx="4">
                  <c:v>Under-utilisation of pharmacist roles in primary healthcare centres</c:v>
                </c:pt>
                <c:pt idx="5">
                  <c:v>Lack of access to patients' medical records for pharmacists </c:v>
                </c:pt>
                <c:pt idx="6">
                  <c:v>Inadequate teamwork among healthcare professionals in the primary healthcare centres</c:v>
                </c:pt>
                <c:pt idx="7">
                  <c:v>Lack of clinical education of pharmacists</c:v>
                </c:pt>
                <c:pt idx="8">
                  <c:v>Resistance to the clinical role of pharmacists by healthcare providers </c:v>
                </c:pt>
                <c:pt idx="9">
                  <c:v>Lack of qualified pharmacy staff working at primary healthcare centres</c:v>
                </c:pt>
                <c:pt idx="10">
                  <c:v>Resistance to change among healthcare providers </c:v>
                </c:pt>
                <c:pt idx="11">
                  <c:v>Lack of prescribing authority for pharmacists</c:v>
                </c:pt>
                <c:pt idx="12">
                  <c:v>Administrations duties of pharmacists </c:v>
                </c:pt>
                <c:pt idx="13">
                  <c:v>The current primary care centre infrastructure </c:v>
                </c:pt>
                <c:pt idx="14">
                  <c:v>Managers’ attitudes toward pharmacists’ role </c:v>
                </c:pt>
                <c:pt idx="15">
                  <c:v>Policymakers’ attitudes toward pharmacists’ role </c:v>
                </c:pt>
                <c:pt idx="16">
                  <c:v>Lack of time </c:v>
                </c:pt>
                <c:pt idx="17">
                  <c:v>Lack of communication skills of pharmacists</c:v>
                </c:pt>
                <c:pt idx="18">
                  <c:v>Lack of confidence of pharmacists in themselves and their ability </c:v>
                </c:pt>
                <c:pt idx="19">
                  <c:v>Pharmacist willingness to take on new roles </c:v>
                </c:pt>
                <c:pt idx="20">
                  <c:v>Lack of healthcare professionals’ confidence in pharmacists’ abilities </c:v>
                </c:pt>
                <c:pt idx="21">
                  <c:v>Patients' attitudes toward pharmacists’ role</c:v>
                </c:pt>
              </c:strCache>
            </c:strRef>
          </c:cat>
          <c:val>
            <c:numRef>
              <c:f>'[Charts included in Result Chapter.xlsx]Sheet15'!$H$4:$H$25</c:f>
              <c:numCache>
                <c:formatCode>0</c:formatCode>
                <c:ptCount val="22"/>
                <c:pt idx="0">
                  <c:v>85.9</c:v>
                </c:pt>
                <c:pt idx="1">
                  <c:v>84</c:v>
                </c:pt>
                <c:pt idx="2">
                  <c:v>83.1</c:v>
                </c:pt>
                <c:pt idx="3">
                  <c:v>83</c:v>
                </c:pt>
                <c:pt idx="4">
                  <c:v>79.3</c:v>
                </c:pt>
                <c:pt idx="5">
                  <c:v>79.2</c:v>
                </c:pt>
                <c:pt idx="6">
                  <c:v>77.400000000000006</c:v>
                </c:pt>
                <c:pt idx="7">
                  <c:v>75.5</c:v>
                </c:pt>
                <c:pt idx="8">
                  <c:v>75.5</c:v>
                </c:pt>
                <c:pt idx="9">
                  <c:v>74.599999999999994</c:v>
                </c:pt>
                <c:pt idx="10">
                  <c:v>74.5</c:v>
                </c:pt>
                <c:pt idx="11">
                  <c:v>72.7</c:v>
                </c:pt>
                <c:pt idx="12">
                  <c:v>69.8</c:v>
                </c:pt>
                <c:pt idx="13">
                  <c:v>68</c:v>
                </c:pt>
                <c:pt idx="14">
                  <c:v>67</c:v>
                </c:pt>
                <c:pt idx="15">
                  <c:v>65.099999999999994</c:v>
                </c:pt>
                <c:pt idx="16">
                  <c:v>64.099999999999994</c:v>
                </c:pt>
                <c:pt idx="17">
                  <c:v>63.2</c:v>
                </c:pt>
                <c:pt idx="18">
                  <c:v>63.2</c:v>
                </c:pt>
                <c:pt idx="19">
                  <c:v>62.2</c:v>
                </c:pt>
                <c:pt idx="20">
                  <c:v>61.3</c:v>
                </c:pt>
                <c:pt idx="21">
                  <c:v>57.5</c:v>
                </c:pt>
              </c:numCache>
            </c:numRef>
          </c:val>
          <c:extLst>
            <c:ext xmlns:c16="http://schemas.microsoft.com/office/drawing/2014/chart" uri="{C3380CC4-5D6E-409C-BE32-E72D297353CC}">
              <c16:uniqueId val="{00000002-A123-4EDC-AC5C-44864069488B}"/>
            </c:ext>
          </c:extLst>
        </c:ser>
        <c:dLbls>
          <c:dLblPos val="ctr"/>
          <c:showLegendKey val="0"/>
          <c:showVal val="1"/>
          <c:showCatName val="0"/>
          <c:showSerName val="0"/>
          <c:showPercent val="0"/>
          <c:showBubbleSize val="0"/>
        </c:dLbls>
        <c:gapWidth val="150"/>
        <c:overlap val="100"/>
        <c:axId val="1990608767"/>
        <c:axId val="1990604607"/>
      </c:barChart>
      <c:catAx>
        <c:axId val="1990608767"/>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604607"/>
        <c:crosses val="autoZero"/>
        <c:auto val="1"/>
        <c:lblAlgn val="ctr"/>
        <c:lblOffset val="100"/>
        <c:noMultiLvlLbl val="0"/>
      </c:catAx>
      <c:valAx>
        <c:axId val="1990604607"/>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060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Barriers to primary care pharmacists providing clinical services to patients with diabetes (1)</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Sheet8!$E$6</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Sheet8!$A$7:$B$27</c:f>
              <c:multiLvlStrCache>
                <c:ptCount val="21"/>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lvl>
                <c:lvl>
                  <c:pt idx="0">
                    <c:v>The current primary care centre infrastructure </c:v>
                  </c:pt>
                  <c:pt idx="3">
                    <c:v>Inadequate teamwork among healthcare professionals in the primary healthcare centres</c:v>
                  </c:pt>
                  <c:pt idx="6">
                    <c:v>Resistance to change among healthcare providers </c:v>
                  </c:pt>
                  <c:pt idx="9">
                    <c:v>Policymakers’ attitudes toward pharmacists’ role </c:v>
                  </c:pt>
                  <c:pt idx="12">
                    <c:v>Managers’ attitudes toward pharmacists’ role </c:v>
                  </c:pt>
                  <c:pt idx="15">
                    <c:v>Patients' attitudes toward pharmacists’ role </c:v>
                  </c:pt>
                  <c:pt idx="18">
                    <c:v>Lack of healthcare professionals’ confidence in pharmacists’ abilities </c:v>
                  </c:pt>
                </c:lvl>
              </c:multiLvlStrCache>
            </c:multiLvlStrRef>
          </c:cat>
          <c:val>
            <c:numRef>
              <c:f>Sheet8!$E$7:$E$27</c:f>
              <c:numCache>
                <c:formatCode>General</c:formatCode>
                <c:ptCount val="21"/>
                <c:pt idx="0">
                  <c:v>12</c:v>
                </c:pt>
                <c:pt idx="1">
                  <c:v>3</c:v>
                </c:pt>
                <c:pt idx="2">
                  <c:v>15</c:v>
                </c:pt>
                <c:pt idx="3">
                  <c:v>12</c:v>
                </c:pt>
                <c:pt idx="4">
                  <c:v>3</c:v>
                </c:pt>
                <c:pt idx="5">
                  <c:v>7</c:v>
                </c:pt>
                <c:pt idx="6">
                  <c:v>18</c:v>
                </c:pt>
                <c:pt idx="7">
                  <c:v>13</c:v>
                </c:pt>
                <c:pt idx="8">
                  <c:v>4</c:v>
                </c:pt>
                <c:pt idx="9">
                  <c:v>12</c:v>
                </c:pt>
                <c:pt idx="10">
                  <c:v>7</c:v>
                </c:pt>
                <c:pt idx="11">
                  <c:v>11</c:v>
                </c:pt>
                <c:pt idx="12">
                  <c:v>20</c:v>
                </c:pt>
                <c:pt idx="13">
                  <c:v>10</c:v>
                </c:pt>
                <c:pt idx="14">
                  <c:v>11</c:v>
                </c:pt>
                <c:pt idx="15">
                  <c:v>33</c:v>
                </c:pt>
                <c:pt idx="16">
                  <c:v>24</c:v>
                </c:pt>
                <c:pt idx="17">
                  <c:v>19</c:v>
                </c:pt>
                <c:pt idx="18">
                  <c:v>16</c:v>
                </c:pt>
                <c:pt idx="19">
                  <c:v>23</c:v>
                </c:pt>
                <c:pt idx="20">
                  <c:v>11</c:v>
                </c:pt>
              </c:numCache>
            </c:numRef>
          </c:val>
          <c:extLst>
            <c:ext xmlns:c16="http://schemas.microsoft.com/office/drawing/2014/chart" uri="{C3380CC4-5D6E-409C-BE32-E72D297353CC}">
              <c16:uniqueId val="{00000000-EC93-429A-B2E7-6BB3F693A799}"/>
            </c:ext>
          </c:extLst>
        </c:ser>
        <c:ser>
          <c:idx val="3"/>
          <c:order val="1"/>
          <c:tx>
            <c:strRef>
              <c:f>Sheet8!$F$6</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Sheet8!$A$7:$B$27</c:f>
              <c:multiLvlStrCache>
                <c:ptCount val="21"/>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lvl>
                <c:lvl>
                  <c:pt idx="0">
                    <c:v>The current primary care centre infrastructure </c:v>
                  </c:pt>
                  <c:pt idx="3">
                    <c:v>Inadequate teamwork among healthcare professionals in the primary healthcare centres</c:v>
                  </c:pt>
                  <c:pt idx="6">
                    <c:v>Resistance to change among healthcare providers </c:v>
                  </c:pt>
                  <c:pt idx="9">
                    <c:v>Policymakers’ attitudes toward pharmacists’ role </c:v>
                  </c:pt>
                  <c:pt idx="12">
                    <c:v>Managers’ attitudes toward pharmacists’ role </c:v>
                  </c:pt>
                  <c:pt idx="15">
                    <c:v>Patients' attitudes toward pharmacists’ role </c:v>
                  </c:pt>
                  <c:pt idx="18">
                    <c:v>Lack of healthcare professionals’ confidence in pharmacists’ abilities </c:v>
                  </c:pt>
                </c:lvl>
              </c:multiLvlStrCache>
            </c:multiLvlStrRef>
          </c:cat>
          <c:val>
            <c:numRef>
              <c:f>Sheet8!$F$7:$F$27</c:f>
              <c:numCache>
                <c:formatCode>General</c:formatCode>
                <c:ptCount val="21"/>
                <c:pt idx="0">
                  <c:v>18</c:v>
                </c:pt>
                <c:pt idx="1">
                  <c:v>20</c:v>
                </c:pt>
                <c:pt idx="2">
                  <c:v>30</c:v>
                </c:pt>
                <c:pt idx="3">
                  <c:v>16</c:v>
                </c:pt>
                <c:pt idx="4">
                  <c:v>10</c:v>
                </c:pt>
                <c:pt idx="5">
                  <c:v>15</c:v>
                </c:pt>
                <c:pt idx="6">
                  <c:v>10</c:v>
                </c:pt>
                <c:pt idx="7">
                  <c:v>13</c:v>
                </c:pt>
                <c:pt idx="8">
                  <c:v>15</c:v>
                </c:pt>
                <c:pt idx="9">
                  <c:v>31</c:v>
                </c:pt>
                <c:pt idx="10">
                  <c:v>20</c:v>
                </c:pt>
                <c:pt idx="11">
                  <c:v>19</c:v>
                </c:pt>
                <c:pt idx="12">
                  <c:v>25</c:v>
                </c:pt>
                <c:pt idx="13">
                  <c:v>10</c:v>
                </c:pt>
                <c:pt idx="14">
                  <c:v>15</c:v>
                </c:pt>
                <c:pt idx="15">
                  <c:v>18</c:v>
                </c:pt>
                <c:pt idx="16">
                  <c:v>20</c:v>
                </c:pt>
                <c:pt idx="17">
                  <c:v>7</c:v>
                </c:pt>
                <c:pt idx="18">
                  <c:v>31</c:v>
                </c:pt>
                <c:pt idx="19">
                  <c:v>13</c:v>
                </c:pt>
                <c:pt idx="20">
                  <c:v>15</c:v>
                </c:pt>
              </c:numCache>
            </c:numRef>
          </c:val>
          <c:extLst>
            <c:ext xmlns:c16="http://schemas.microsoft.com/office/drawing/2014/chart" uri="{C3380CC4-5D6E-409C-BE32-E72D297353CC}">
              <c16:uniqueId val="{00000001-EC93-429A-B2E7-6BB3F693A799}"/>
            </c:ext>
          </c:extLst>
        </c:ser>
        <c:ser>
          <c:idx val="6"/>
          <c:order val="2"/>
          <c:tx>
            <c:strRef>
              <c:f>Sheet8!$I$6</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Sheet8!$A$7:$B$27</c:f>
              <c:multiLvlStrCache>
                <c:ptCount val="21"/>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lvl>
                <c:lvl>
                  <c:pt idx="0">
                    <c:v>The current primary care centre infrastructure </c:v>
                  </c:pt>
                  <c:pt idx="3">
                    <c:v>Inadequate teamwork among healthcare professionals in the primary healthcare centres</c:v>
                  </c:pt>
                  <c:pt idx="6">
                    <c:v>Resistance to change among healthcare providers </c:v>
                  </c:pt>
                  <c:pt idx="9">
                    <c:v>Policymakers’ attitudes toward pharmacists’ role </c:v>
                  </c:pt>
                  <c:pt idx="12">
                    <c:v>Managers’ attitudes toward pharmacists’ role </c:v>
                  </c:pt>
                  <c:pt idx="15">
                    <c:v>Patients' attitudes toward pharmacists’ role </c:v>
                  </c:pt>
                  <c:pt idx="18">
                    <c:v>Lack of healthcare professionals’ confidence in pharmacists’ abilities </c:v>
                  </c:pt>
                </c:lvl>
              </c:multiLvlStrCache>
            </c:multiLvlStrRef>
          </c:cat>
          <c:val>
            <c:numRef>
              <c:f>Sheet8!$I$7:$I$27</c:f>
              <c:numCache>
                <c:formatCode>General</c:formatCode>
                <c:ptCount val="21"/>
                <c:pt idx="0">
                  <c:v>69</c:v>
                </c:pt>
                <c:pt idx="1">
                  <c:v>76</c:v>
                </c:pt>
                <c:pt idx="2">
                  <c:v>56</c:v>
                </c:pt>
                <c:pt idx="3">
                  <c:v>71</c:v>
                </c:pt>
                <c:pt idx="4">
                  <c:v>86</c:v>
                </c:pt>
                <c:pt idx="5">
                  <c:v>78</c:v>
                </c:pt>
                <c:pt idx="6">
                  <c:v>71</c:v>
                </c:pt>
                <c:pt idx="7">
                  <c:v>73</c:v>
                </c:pt>
                <c:pt idx="8">
                  <c:v>82</c:v>
                </c:pt>
                <c:pt idx="9">
                  <c:v>57</c:v>
                </c:pt>
                <c:pt idx="10">
                  <c:v>73</c:v>
                </c:pt>
                <c:pt idx="11">
                  <c:v>71</c:v>
                </c:pt>
                <c:pt idx="12">
                  <c:v>55</c:v>
                </c:pt>
                <c:pt idx="13">
                  <c:v>80</c:v>
                </c:pt>
                <c:pt idx="14">
                  <c:v>74</c:v>
                </c:pt>
                <c:pt idx="15">
                  <c:v>49</c:v>
                </c:pt>
                <c:pt idx="16">
                  <c:v>57</c:v>
                </c:pt>
                <c:pt idx="17">
                  <c:v>74</c:v>
                </c:pt>
                <c:pt idx="18">
                  <c:v>53</c:v>
                </c:pt>
                <c:pt idx="19">
                  <c:v>64</c:v>
                </c:pt>
                <c:pt idx="20">
                  <c:v>74</c:v>
                </c:pt>
              </c:numCache>
            </c:numRef>
          </c:val>
          <c:extLst>
            <c:ext xmlns:c16="http://schemas.microsoft.com/office/drawing/2014/chart" uri="{C3380CC4-5D6E-409C-BE32-E72D297353CC}">
              <c16:uniqueId val="{00000002-EC93-429A-B2E7-6BB3F693A799}"/>
            </c:ext>
          </c:extLst>
        </c:ser>
        <c:dLbls>
          <c:dLblPos val="ctr"/>
          <c:showLegendKey val="0"/>
          <c:showVal val="1"/>
          <c:showCatName val="0"/>
          <c:showSerName val="0"/>
          <c:showPercent val="0"/>
          <c:showBubbleSize val="0"/>
        </c:dLbls>
        <c:gapWidth val="150"/>
        <c:overlap val="100"/>
        <c:axId val="758835328"/>
        <c:axId val="758842400"/>
      </c:barChart>
      <c:catAx>
        <c:axId val="75883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842400"/>
        <c:crosses val="autoZero"/>
        <c:auto val="1"/>
        <c:lblAlgn val="ctr"/>
        <c:lblOffset val="100"/>
        <c:noMultiLvlLbl val="0"/>
      </c:catAx>
      <c:valAx>
        <c:axId val="75884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83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Barriers to primary care pharmacists providing clinical services to patients with diabetes (2)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Sheet8!$E$28</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Sheet8!$A$29:$B$52</c:f>
              <c:multiLvlStrCache>
                <c:ptCount val="24"/>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pt idx="21">
                    <c:v>Doctor</c:v>
                  </c:pt>
                  <c:pt idx="22">
                    <c:v>Pharmacist</c:v>
                  </c:pt>
                  <c:pt idx="23">
                    <c:v>Nurse</c:v>
                  </c:pt>
                </c:lvl>
                <c:lvl>
                  <c:pt idx="0">
                    <c:v>Lack of clinical education of pharmacists</c:v>
                  </c:pt>
                  <c:pt idx="3">
                    <c:v>Lack of clinical experience of pharmacists </c:v>
                  </c:pt>
                  <c:pt idx="6">
                    <c:v>Lack of communication skills of pharmacists </c:v>
                  </c:pt>
                  <c:pt idx="9">
                    <c:v>Lack of confidence of pharmacists in themselves and their ability </c:v>
                  </c:pt>
                  <c:pt idx="12">
                    <c:v>Pharmacist willingness to take on new roles </c:v>
                  </c:pt>
                  <c:pt idx="15">
                    <c:v>Lack of qualified pharmacy staff working at primary healthcare centres </c:v>
                  </c:pt>
                  <c:pt idx="18">
                    <c:v>Lack of time </c:v>
                  </c:pt>
                  <c:pt idx="21">
                    <c:v>Lack of prescribing authority for pharmacists </c:v>
                  </c:pt>
                </c:lvl>
              </c:multiLvlStrCache>
            </c:multiLvlStrRef>
          </c:cat>
          <c:val>
            <c:numRef>
              <c:f>Sheet8!$E$29:$E$52</c:f>
              <c:numCache>
                <c:formatCode>General</c:formatCode>
                <c:ptCount val="24"/>
                <c:pt idx="0">
                  <c:v>4</c:v>
                </c:pt>
                <c:pt idx="1">
                  <c:v>16</c:v>
                </c:pt>
                <c:pt idx="2">
                  <c:v>11</c:v>
                </c:pt>
                <c:pt idx="3">
                  <c:v>4</c:v>
                </c:pt>
                <c:pt idx="4">
                  <c:v>13</c:v>
                </c:pt>
                <c:pt idx="5">
                  <c:v>8</c:v>
                </c:pt>
                <c:pt idx="6">
                  <c:v>27</c:v>
                </c:pt>
                <c:pt idx="7">
                  <c:v>16</c:v>
                </c:pt>
                <c:pt idx="8">
                  <c:v>11</c:v>
                </c:pt>
                <c:pt idx="9">
                  <c:v>16</c:v>
                </c:pt>
                <c:pt idx="10">
                  <c:v>17</c:v>
                </c:pt>
                <c:pt idx="11">
                  <c:v>18</c:v>
                </c:pt>
                <c:pt idx="12">
                  <c:v>10</c:v>
                </c:pt>
                <c:pt idx="13">
                  <c:v>27</c:v>
                </c:pt>
                <c:pt idx="14">
                  <c:v>7</c:v>
                </c:pt>
                <c:pt idx="15">
                  <c:v>6</c:v>
                </c:pt>
                <c:pt idx="16">
                  <c:v>10</c:v>
                </c:pt>
                <c:pt idx="17">
                  <c:v>11</c:v>
                </c:pt>
                <c:pt idx="18">
                  <c:v>18</c:v>
                </c:pt>
                <c:pt idx="19">
                  <c:v>20</c:v>
                </c:pt>
                <c:pt idx="20">
                  <c:v>14</c:v>
                </c:pt>
                <c:pt idx="21">
                  <c:v>6</c:v>
                </c:pt>
                <c:pt idx="22">
                  <c:v>10</c:v>
                </c:pt>
                <c:pt idx="23">
                  <c:v>7</c:v>
                </c:pt>
              </c:numCache>
            </c:numRef>
          </c:val>
          <c:extLst>
            <c:ext xmlns:c16="http://schemas.microsoft.com/office/drawing/2014/chart" uri="{C3380CC4-5D6E-409C-BE32-E72D297353CC}">
              <c16:uniqueId val="{00000000-BB79-43B1-82C9-D2AE5A316ADC}"/>
            </c:ext>
          </c:extLst>
        </c:ser>
        <c:ser>
          <c:idx val="3"/>
          <c:order val="1"/>
          <c:tx>
            <c:strRef>
              <c:f>Sheet8!$F$28</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Sheet8!$A$29:$B$52</c:f>
              <c:multiLvlStrCache>
                <c:ptCount val="24"/>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pt idx="21">
                    <c:v>Doctor</c:v>
                  </c:pt>
                  <c:pt idx="22">
                    <c:v>Pharmacist</c:v>
                  </c:pt>
                  <c:pt idx="23">
                    <c:v>Nurse</c:v>
                  </c:pt>
                </c:lvl>
                <c:lvl>
                  <c:pt idx="0">
                    <c:v>Lack of clinical education of pharmacists</c:v>
                  </c:pt>
                  <c:pt idx="3">
                    <c:v>Lack of clinical experience of pharmacists </c:v>
                  </c:pt>
                  <c:pt idx="6">
                    <c:v>Lack of communication skills of pharmacists </c:v>
                  </c:pt>
                  <c:pt idx="9">
                    <c:v>Lack of confidence of pharmacists in themselves and their ability </c:v>
                  </c:pt>
                  <c:pt idx="12">
                    <c:v>Pharmacist willingness to take on new roles </c:v>
                  </c:pt>
                  <c:pt idx="15">
                    <c:v>Lack of qualified pharmacy staff working at primary healthcare centres </c:v>
                  </c:pt>
                  <c:pt idx="18">
                    <c:v>Lack of time </c:v>
                  </c:pt>
                  <c:pt idx="21">
                    <c:v>Lack of prescribing authority for pharmacists </c:v>
                  </c:pt>
                </c:lvl>
              </c:multiLvlStrCache>
            </c:multiLvlStrRef>
          </c:cat>
          <c:val>
            <c:numRef>
              <c:f>Sheet8!$F$29:$F$52</c:f>
              <c:numCache>
                <c:formatCode>General</c:formatCode>
                <c:ptCount val="24"/>
                <c:pt idx="0">
                  <c:v>20</c:v>
                </c:pt>
                <c:pt idx="1">
                  <c:v>7</c:v>
                </c:pt>
                <c:pt idx="2">
                  <c:v>15</c:v>
                </c:pt>
                <c:pt idx="3">
                  <c:v>8</c:v>
                </c:pt>
                <c:pt idx="4">
                  <c:v>7</c:v>
                </c:pt>
                <c:pt idx="5">
                  <c:v>15</c:v>
                </c:pt>
                <c:pt idx="6">
                  <c:v>22</c:v>
                </c:pt>
                <c:pt idx="7">
                  <c:v>17</c:v>
                </c:pt>
                <c:pt idx="8">
                  <c:v>7</c:v>
                </c:pt>
                <c:pt idx="9">
                  <c:v>27</c:v>
                </c:pt>
                <c:pt idx="10">
                  <c:v>10</c:v>
                </c:pt>
                <c:pt idx="11">
                  <c:v>19</c:v>
                </c:pt>
                <c:pt idx="12">
                  <c:v>33</c:v>
                </c:pt>
                <c:pt idx="13">
                  <c:v>17</c:v>
                </c:pt>
                <c:pt idx="14">
                  <c:v>15</c:v>
                </c:pt>
                <c:pt idx="15">
                  <c:v>22</c:v>
                </c:pt>
                <c:pt idx="16">
                  <c:v>10</c:v>
                </c:pt>
                <c:pt idx="17">
                  <c:v>15</c:v>
                </c:pt>
                <c:pt idx="18">
                  <c:v>20</c:v>
                </c:pt>
                <c:pt idx="19">
                  <c:v>13</c:v>
                </c:pt>
                <c:pt idx="20">
                  <c:v>19</c:v>
                </c:pt>
                <c:pt idx="21">
                  <c:v>20</c:v>
                </c:pt>
                <c:pt idx="22">
                  <c:v>17</c:v>
                </c:pt>
                <c:pt idx="23">
                  <c:v>22</c:v>
                </c:pt>
              </c:numCache>
            </c:numRef>
          </c:val>
          <c:extLst>
            <c:ext xmlns:c16="http://schemas.microsoft.com/office/drawing/2014/chart" uri="{C3380CC4-5D6E-409C-BE32-E72D297353CC}">
              <c16:uniqueId val="{00000001-BB79-43B1-82C9-D2AE5A316ADC}"/>
            </c:ext>
          </c:extLst>
        </c:ser>
        <c:ser>
          <c:idx val="6"/>
          <c:order val="2"/>
          <c:tx>
            <c:strRef>
              <c:f>Sheet8!$I$28</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Sheet8!$A$29:$B$52</c:f>
              <c:multiLvlStrCache>
                <c:ptCount val="24"/>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pt idx="21">
                    <c:v>Doctor</c:v>
                  </c:pt>
                  <c:pt idx="22">
                    <c:v>Pharmacist</c:v>
                  </c:pt>
                  <c:pt idx="23">
                    <c:v>Nurse</c:v>
                  </c:pt>
                </c:lvl>
                <c:lvl>
                  <c:pt idx="0">
                    <c:v>Lack of clinical education of pharmacists</c:v>
                  </c:pt>
                  <c:pt idx="3">
                    <c:v>Lack of clinical experience of pharmacists </c:v>
                  </c:pt>
                  <c:pt idx="6">
                    <c:v>Lack of communication skills of pharmacists </c:v>
                  </c:pt>
                  <c:pt idx="9">
                    <c:v>Lack of confidence of pharmacists in themselves and their ability </c:v>
                  </c:pt>
                  <c:pt idx="12">
                    <c:v>Pharmacist willingness to take on new roles </c:v>
                  </c:pt>
                  <c:pt idx="15">
                    <c:v>Lack of qualified pharmacy staff working at primary healthcare centres </c:v>
                  </c:pt>
                  <c:pt idx="18">
                    <c:v>Lack of time </c:v>
                  </c:pt>
                  <c:pt idx="21">
                    <c:v>Lack of prescribing authority for pharmacists </c:v>
                  </c:pt>
                </c:lvl>
              </c:multiLvlStrCache>
            </c:multiLvlStrRef>
          </c:cat>
          <c:val>
            <c:numRef>
              <c:f>Sheet8!$I$29:$I$52</c:f>
              <c:numCache>
                <c:formatCode>General</c:formatCode>
                <c:ptCount val="24"/>
                <c:pt idx="0">
                  <c:v>75</c:v>
                </c:pt>
                <c:pt idx="1">
                  <c:v>77</c:v>
                </c:pt>
                <c:pt idx="2">
                  <c:v>74</c:v>
                </c:pt>
                <c:pt idx="3">
                  <c:v>87</c:v>
                </c:pt>
                <c:pt idx="4">
                  <c:v>80</c:v>
                </c:pt>
                <c:pt idx="5">
                  <c:v>78</c:v>
                </c:pt>
                <c:pt idx="6">
                  <c:v>51</c:v>
                </c:pt>
                <c:pt idx="7">
                  <c:v>67</c:v>
                </c:pt>
                <c:pt idx="8">
                  <c:v>82</c:v>
                </c:pt>
                <c:pt idx="9">
                  <c:v>57</c:v>
                </c:pt>
                <c:pt idx="10">
                  <c:v>73</c:v>
                </c:pt>
                <c:pt idx="11">
                  <c:v>63</c:v>
                </c:pt>
                <c:pt idx="12">
                  <c:v>57</c:v>
                </c:pt>
                <c:pt idx="13">
                  <c:v>57</c:v>
                </c:pt>
                <c:pt idx="14">
                  <c:v>78</c:v>
                </c:pt>
                <c:pt idx="15">
                  <c:v>71</c:v>
                </c:pt>
                <c:pt idx="16">
                  <c:v>80</c:v>
                </c:pt>
                <c:pt idx="17">
                  <c:v>74</c:v>
                </c:pt>
                <c:pt idx="18">
                  <c:v>61</c:v>
                </c:pt>
                <c:pt idx="19">
                  <c:v>67</c:v>
                </c:pt>
                <c:pt idx="20">
                  <c:v>67</c:v>
                </c:pt>
                <c:pt idx="21">
                  <c:v>73</c:v>
                </c:pt>
                <c:pt idx="22">
                  <c:v>74</c:v>
                </c:pt>
                <c:pt idx="23">
                  <c:v>70</c:v>
                </c:pt>
              </c:numCache>
            </c:numRef>
          </c:val>
          <c:extLst>
            <c:ext xmlns:c16="http://schemas.microsoft.com/office/drawing/2014/chart" uri="{C3380CC4-5D6E-409C-BE32-E72D297353CC}">
              <c16:uniqueId val="{00000002-BB79-43B1-82C9-D2AE5A316ADC}"/>
            </c:ext>
          </c:extLst>
        </c:ser>
        <c:dLbls>
          <c:dLblPos val="ctr"/>
          <c:showLegendKey val="0"/>
          <c:showVal val="1"/>
          <c:showCatName val="0"/>
          <c:showSerName val="0"/>
          <c:showPercent val="0"/>
          <c:showBubbleSize val="0"/>
        </c:dLbls>
        <c:gapWidth val="150"/>
        <c:overlap val="100"/>
        <c:axId val="1041716800"/>
        <c:axId val="1041723456"/>
      </c:barChart>
      <c:catAx>
        <c:axId val="104171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723456"/>
        <c:crosses val="autoZero"/>
        <c:auto val="1"/>
        <c:lblAlgn val="ctr"/>
        <c:lblOffset val="100"/>
        <c:noMultiLvlLbl val="0"/>
      </c:catAx>
      <c:valAx>
        <c:axId val="104172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71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Views of Healthcare Professionals on Potential Pharmacist Involvement in Diabetes Care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'[Charts included in Result Chapter.xlsx]Sheet3'!$E$5</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 included in Result Chapter.xlsx]Sheet3'!$A$6:$B$29</c:f>
              <c:multiLvlStrCache>
                <c:ptCount val="24"/>
                <c:lvl>
                  <c:pt idx="0">
                    <c:v>Current</c:v>
                  </c:pt>
                  <c:pt idx="1">
                    <c:v>Future</c:v>
                  </c:pt>
                  <c:pt idx="2">
                    <c:v>Current</c:v>
                  </c:pt>
                  <c:pt idx="3">
                    <c:v>Future</c:v>
                  </c:pt>
                  <c:pt idx="4">
                    <c:v>Current</c:v>
                  </c:pt>
                  <c:pt idx="5">
                    <c:v>Future</c:v>
                  </c:pt>
                  <c:pt idx="6">
                    <c:v>Current</c:v>
                  </c:pt>
                  <c:pt idx="7">
                    <c:v>Future</c:v>
                  </c:pt>
                  <c:pt idx="8">
                    <c:v>Current</c:v>
                  </c:pt>
                  <c:pt idx="9">
                    <c:v>Future</c:v>
                  </c:pt>
                  <c:pt idx="10">
                    <c:v>Current</c:v>
                  </c:pt>
                  <c:pt idx="11">
                    <c:v>Future</c:v>
                  </c:pt>
                  <c:pt idx="12">
                    <c:v>Current</c:v>
                  </c:pt>
                  <c:pt idx="13">
                    <c:v>Future</c:v>
                  </c:pt>
                  <c:pt idx="14">
                    <c:v>Current</c:v>
                  </c:pt>
                  <c:pt idx="15">
                    <c:v>Future</c:v>
                  </c:pt>
                  <c:pt idx="16">
                    <c:v>Current</c:v>
                  </c:pt>
                  <c:pt idx="17">
                    <c:v>Future</c:v>
                  </c:pt>
                  <c:pt idx="18">
                    <c:v>Current</c:v>
                  </c:pt>
                  <c:pt idx="19">
                    <c:v>Future</c:v>
                  </c:pt>
                  <c:pt idx="20">
                    <c:v>Current</c:v>
                  </c:pt>
                  <c:pt idx="21">
                    <c:v>Future</c:v>
                  </c:pt>
                  <c:pt idx="22">
                    <c:v>Current</c:v>
                  </c:pt>
                  <c:pt idx="23">
                    <c:v>Future</c:v>
                  </c:pt>
                </c:lvl>
                <c:lvl>
                  <c:pt idx="0">
                    <c:v>Medication Therapy Management</c:v>
                  </c:pt>
                  <c:pt idx="2">
                    <c:v>Medication Review</c:v>
                  </c:pt>
                  <c:pt idx="4">
                    <c:v>Co-Morbid Disease Education</c:v>
                  </c:pt>
                  <c:pt idx="6">
                    <c:v>Co-Morbid Disease Medication Management  </c:v>
                  </c:pt>
                  <c:pt idx="8">
                    <c:v>Blood Glucose Monitoring </c:v>
                  </c:pt>
                  <c:pt idx="10">
                    <c:v>Hypoglycemia Management </c:v>
                  </c:pt>
                  <c:pt idx="12">
                    <c:v>Verification of Prescriptions </c:v>
                  </c:pt>
                  <c:pt idx="14">
                    <c:v>Preparing and Dispensing of Prescriptions </c:v>
                  </c:pt>
                  <c:pt idx="16">
                    <c:v>Patient Counselling and Education </c:v>
                  </c:pt>
                  <c:pt idx="18">
                    <c:v>Healthy lifestyle Education </c:v>
                  </c:pt>
                  <c:pt idx="20">
                    <c:v>Dependent Prescribing of Diabetes Medications </c:v>
                  </c:pt>
                  <c:pt idx="22">
                    <c:v>Independent Prescribing of Diabetes Medications  </c:v>
                  </c:pt>
                </c:lvl>
              </c:multiLvlStrCache>
            </c:multiLvlStrRef>
          </c:cat>
          <c:val>
            <c:numRef>
              <c:f>'[Charts included in Result Chapter.xlsx]Sheet3'!$E$6:$E$29</c:f>
              <c:numCache>
                <c:formatCode>0</c:formatCode>
                <c:ptCount val="24"/>
                <c:pt idx="0">
                  <c:v>18.899999999999999</c:v>
                </c:pt>
                <c:pt idx="1">
                  <c:v>14.100000000000001</c:v>
                </c:pt>
                <c:pt idx="2">
                  <c:v>12.32</c:v>
                </c:pt>
                <c:pt idx="3">
                  <c:v>5.6999999999999993</c:v>
                </c:pt>
                <c:pt idx="4">
                  <c:v>20.700000000000003</c:v>
                </c:pt>
                <c:pt idx="5">
                  <c:v>12.3</c:v>
                </c:pt>
                <c:pt idx="6">
                  <c:v>15.1</c:v>
                </c:pt>
                <c:pt idx="7">
                  <c:v>9.5</c:v>
                </c:pt>
                <c:pt idx="8">
                  <c:v>21.700000000000003</c:v>
                </c:pt>
                <c:pt idx="9">
                  <c:v>14.2</c:v>
                </c:pt>
                <c:pt idx="10">
                  <c:v>16</c:v>
                </c:pt>
                <c:pt idx="11">
                  <c:v>7.6</c:v>
                </c:pt>
                <c:pt idx="12">
                  <c:v>8.5</c:v>
                </c:pt>
                <c:pt idx="13">
                  <c:v>6.6</c:v>
                </c:pt>
                <c:pt idx="14">
                  <c:v>9.5</c:v>
                </c:pt>
                <c:pt idx="15">
                  <c:v>8.5</c:v>
                </c:pt>
                <c:pt idx="16">
                  <c:v>6.6</c:v>
                </c:pt>
                <c:pt idx="17">
                  <c:v>3.8</c:v>
                </c:pt>
                <c:pt idx="18">
                  <c:v>17</c:v>
                </c:pt>
                <c:pt idx="19">
                  <c:v>8.5</c:v>
                </c:pt>
                <c:pt idx="20">
                  <c:v>21.7</c:v>
                </c:pt>
                <c:pt idx="21">
                  <c:v>17</c:v>
                </c:pt>
                <c:pt idx="22">
                  <c:v>42.4</c:v>
                </c:pt>
                <c:pt idx="23">
                  <c:v>41.599999999999994</c:v>
                </c:pt>
              </c:numCache>
            </c:numRef>
          </c:val>
          <c:extLst>
            <c:ext xmlns:c16="http://schemas.microsoft.com/office/drawing/2014/chart" uri="{C3380CC4-5D6E-409C-BE32-E72D297353CC}">
              <c16:uniqueId val="{00000000-5C90-48FC-A118-3F01FE4DC836}"/>
            </c:ext>
          </c:extLst>
        </c:ser>
        <c:ser>
          <c:idx val="3"/>
          <c:order val="1"/>
          <c:tx>
            <c:strRef>
              <c:f>'[Charts included in Result Chapter.xlsx]Sheet3'!$F$5</c:f>
              <c:strCache>
                <c:ptCount val="1"/>
                <c:pt idx="0">
                  <c:v>Neither agree nor disagree </c:v>
                </c:pt>
              </c:strCache>
            </c:strRef>
          </c:tx>
          <c:spPr>
            <a:solidFill>
              <a:srgbClr val="FFF9E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 included in Result Chapter.xlsx]Sheet3'!$A$6:$B$29</c:f>
              <c:multiLvlStrCache>
                <c:ptCount val="24"/>
                <c:lvl>
                  <c:pt idx="0">
                    <c:v>Current</c:v>
                  </c:pt>
                  <c:pt idx="1">
                    <c:v>Future</c:v>
                  </c:pt>
                  <c:pt idx="2">
                    <c:v>Current</c:v>
                  </c:pt>
                  <c:pt idx="3">
                    <c:v>Future</c:v>
                  </c:pt>
                  <c:pt idx="4">
                    <c:v>Current</c:v>
                  </c:pt>
                  <c:pt idx="5">
                    <c:v>Future</c:v>
                  </c:pt>
                  <c:pt idx="6">
                    <c:v>Current</c:v>
                  </c:pt>
                  <c:pt idx="7">
                    <c:v>Future</c:v>
                  </c:pt>
                  <c:pt idx="8">
                    <c:v>Current</c:v>
                  </c:pt>
                  <c:pt idx="9">
                    <c:v>Future</c:v>
                  </c:pt>
                  <c:pt idx="10">
                    <c:v>Current</c:v>
                  </c:pt>
                  <c:pt idx="11">
                    <c:v>Future</c:v>
                  </c:pt>
                  <c:pt idx="12">
                    <c:v>Current</c:v>
                  </c:pt>
                  <c:pt idx="13">
                    <c:v>Future</c:v>
                  </c:pt>
                  <c:pt idx="14">
                    <c:v>Current</c:v>
                  </c:pt>
                  <c:pt idx="15">
                    <c:v>Future</c:v>
                  </c:pt>
                  <c:pt idx="16">
                    <c:v>Current</c:v>
                  </c:pt>
                  <c:pt idx="17">
                    <c:v>Future</c:v>
                  </c:pt>
                  <c:pt idx="18">
                    <c:v>Current</c:v>
                  </c:pt>
                  <c:pt idx="19">
                    <c:v>Future</c:v>
                  </c:pt>
                  <c:pt idx="20">
                    <c:v>Current</c:v>
                  </c:pt>
                  <c:pt idx="21">
                    <c:v>Future</c:v>
                  </c:pt>
                  <c:pt idx="22">
                    <c:v>Current</c:v>
                  </c:pt>
                  <c:pt idx="23">
                    <c:v>Future</c:v>
                  </c:pt>
                </c:lvl>
                <c:lvl>
                  <c:pt idx="0">
                    <c:v>Medication Therapy Management</c:v>
                  </c:pt>
                  <c:pt idx="2">
                    <c:v>Medication Review</c:v>
                  </c:pt>
                  <c:pt idx="4">
                    <c:v>Co-Morbid Disease Education</c:v>
                  </c:pt>
                  <c:pt idx="6">
                    <c:v>Co-Morbid Disease Medication Management  </c:v>
                  </c:pt>
                  <c:pt idx="8">
                    <c:v>Blood Glucose Monitoring </c:v>
                  </c:pt>
                  <c:pt idx="10">
                    <c:v>Hypoglycemia Management </c:v>
                  </c:pt>
                  <c:pt idx="12">
                    <c:v>Verification of Prescriptions </c:v>
                  </c:pt>
                  <c:pt idx="14">
                    <c:v>Preparing and Dispensing of Prescriptions </c:v>
                  </c:pt>
                  <c:pt idx="16">
                    <c:v>Patient Counselling and Education </c:v>
                  </c:pt>
                  <c:pt idx="18">
                    <c:v>Healthy lifestyle Education </c:v>
                  </c:pt>
                  <c:pt idx="20">
                    <c:v>Dependent Prescribing of Diabetes Medications </c:v>
                  </c:pt>
                  <c:pt idx="22">
                    <c:v>Independent Prescribing of Diabetes Medications  </c:v>
                  </c:pt>
                </c:lvl>
              </c:multiLvlStrCache>
            </c:multiLvlStrRef>
          </c:cat>
          <c:val>
            <c:numRef>
              <c:f>'[Charts included in Result Chapter.xlsx]Sheet3'!$F$6:$F$29</c:f>
              <c:numCache>
                <c:formatCode>0</c:formatCode>
                <c:ptCount val="24"/>
                <c:pt idx="0">
                  <c:v>14.2</c:v>
                </c:pt>
                <c:pt idx="1">
                  <c:v>6.6</c:v>
                </c:pt>
                <c:pt idx="2">
                  <c:v>10.4</c:v>
                </c:pt>
                <c:pt idx="3">
                  <c:v>6.6</c:v>
                </c:pt>
                <c:pt idx="4">
                  <c:v>8.5</c:v>
                </c:pt>
                <c:pt idx="5">
                  <c:v>8.5</c:v>
                </c:pt>
                <c:pt idx="6">
                  <c:v>15.1</c:v>
                </c:pt>
                <c:pt idx="7">
                  <c:v>9.4</c:v>
                </c:pt>
                <c:pt idx="8">
                  <c:v>13.2</c:v>
                </c:pt>
                <c:pt idx="9">
                  <c:v>10.4</c:v>
                </c:pt>
                <c:pt idx="10">
                  <c:v>14.2</c:v>
                </c:pt>
                <c:pt idx="11">
                  <c:v>13.2</c:v>
                </c:pt>
                <c:pt idx="12">
                  <c:v>5.7</c:v>
                </c:pt>
                <c:pt idx="13">
                  <c:v>2.8</c:v>
                </c:pt>
                <c:pt idx="14">
                  <c:v>9.4</c:v>
                </c:pt>
                <c:pt idx="15">
                  <c:v>3.8</c:v>
                </c:pt>
                <c:pt idx="16">
                  <c:v>8.5</c:v>
                </c:pt>
                <c:pt idx="17">
                  <c:v>3.8</c:v>
                </c:pt>
                <c:pt idx="18">
                  <c:v>20.8</c:v>
                </c:pt>
                <c:pt idx="19">
                  <c:v>21.7</c:v>
                </c:pt>
                <c:pt idx="20">
                  <c:v>17</c:v>
                </c:pt>
                <c:pt idx="21">
                  <c:v>14.2</c:v>
                </c:pt>
                <c:pt idx="22">
                  <c:v>18.899999999999999</c:v>
                </c:pt>
                <c:pt idx="23">
                  <c:v>17</c:v>
                </c:pt>
              </c:numCache>
            </c:numRef>
          </c:val>
          <c:extLst>
            <c:ext xmlns:c16="http://schemas.microsoft.com/office/drawing/2014/chart" uri="{C3380CC4-5D6E-409C-BE32-E72D297353CC}">
              <c16:uniqueId val="{00000001-5C90-48FC-A118-3F01FE4DC836}"/>
            </c:ext>
          </c:extLst>
        </c:ser>
        <c:ser>
          <c:idx val="6"/>
          <c:order val="2"/>
          <c:tx>
            <c:strRef>
              <c:f>'[Charts included in Result Chapter.xlsx]Sheet3'!$I$5</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 included in Result Chapter.xlsx]Sheet3'!$A$6:$B$29</c:f>
              <c:multiLvlStrCache>
                <c:ptCount val="24"/>
                <c:lvl>
                  <c:pt idx="0">
                    <c:v>Current</c:v>
                  </c:pt>
                  <c:pt idx="1">
                    <c:v>Future</c:v>
                  </c:pt>
                  <c:pt idx="2">
                    <c:v>Current</c:v>
                  </c:pt>
                  <c:pt idx="3">
                    <c:v>Future</c:v>
                  </c:pt>
                  <c:pt idx="4">
                    <c:v>Current</c:v>
                  </c:pt>
                  <c:pt idx="5">
                    <c:v>Future</c:v>
                  </c:pt>
                  <c:pt idx="6">
                    <c:v>Current</c:v>
                  </c:pt>
                  <c:pt idx="7">
                    <c:v>Future</c:v>
                  </c:pt>
                  <c:pt idx="8">
                    <c:v>Current</c:v>
                  </c:pt>
                  <c:pt idx="9">
                    <c:v>Future</c:v>
                  </c:pt>
                  <c:pt idx="10">
                    <c:v>Current</c:v>
                  </c:pt>
                  <c:pt idx="11">
                    <c:v>Future</c:v>
                  </c:pt>
                  <c:pt idx="12">
                    <c:v>Current</c:v>
                  </c:pt>
                  <c:pt idx="13">
                    <c:v>Future</c:v>
                  </c:pt>
                  <c:pt idx="14">
                    <c:v>Current</c:v>
                  </c:pt>
                  <c:pt idx="15">
                    <c:v>Future</c:v>
                  </c:pt>
                  <c:pt idx="16">
                    <c:v>Current</c:v>
                  </c:pt>
                  <c:pt idx="17">
                    <c:v>Future</c:v>
                  </c:pt>
                  <c:pt idx="18">
                    <c:v>Current</c:v>
                  </c:pt>
                  <c:pt idx="19">
                    <c:v>Future</c:v>
                  </c:pt>
                  <c:pt idx="20">
                    <c:v>Current</c:v>
                  </c:pt>
                  <c:pt idx="21">
                    <c:v>Future</c:v>
                  </c:pt>
                  <c:pt idx="22">
                    <c:v>Current</c:v>
                  </c:pt>
                  <c:pt idx="23">
                    <c:v>Future</c:v>
                  </c:pt>
                </c:lvl>
                <c:lvl>
                  <c:pt idx="0">
                    <c:v>Medication Therapy Management</c:v>
                  </c:pt>
                  <c:pt idx="2">
                    <c:v>Medication Review</c:v>
                  </c:pt>
                  <c:pt idx="4">
                    <c:v>Co-Morbid Disease Education</c:v>
                  </c:pt>
                  <c:pt idx="6">
                    <c:v>Co-Morbid Disease Medication Management  </c:v>
                  </c:pt>
                  <c:pt idx="8">
                    <c:v>Blood Glucose Monitoring </c:v>
                  </c:pt>
                  <c:pt idx="10">
                    <c:v>Hypoglycemia Management </c:v>
                  </c:pt>
                  <c:pt idx="12">
                    <c:v>Verification of Prescriptions </c:v>
                  </c:pt>
                  <c:pt idx="14">
                    <c:v>Preparing and Dispensing of Prescriptions </c:v>
                  </c:pt>
                  <c:pt idx="16">
                    <c:v>Patient Counselling and Education </c:v>
                  </c:pt>
                  <c:pt idx="18">
                    <c:v>Healthy lifestyle Education </c:v>
                  </c:pt>
                  <c:pt idx="20">
                    <c:v>Dependent Prescribing of Diabetes Medications </c:v>
                  </c:pt>
                  <c:pt idx="22">
                    <c:v>Independent Prescribing of Diabetes Medications  </c:v>
                  </c:pt>
                </c:lvl>
              </c:multiLvlStrCache>
            </c:multiLvlStrRef>
          </c:cat>
          <c:val>
            <c:numRef>
              <c:f>'[Charts included in Result Chapter.xlsx]Sheet3'!$I$6:$I$29</c:f>
              <c:numCache>
                <c:formatCode>0</c:formatCode>
                <c:ptCount val="24"/>
                <c:pt idx="0">
                  <c:v>67</c:v>
                </c:pt>
                <c:pt idx="1">
                  <c:v>79.199999999999989</c:v>
                </c:pt>
                <c:pt idx="2">
                  <c:v>77.400000000000006</c:v>
                </c:pt>
                <c:pt idx="3">
                  <c:v>87.8</c:v>
                </c:pt>
                <c:pt idx="4">
                  <c:v>70.800000000000011</c:v>
                </c:pt>
                <c:pt idx="5">
                  <c:v>79.2</c:v>
                </c:pt>
                <c:pt idx="6">
                  <c:v>69.8</c:v>
                </c:pt>
                <c:pt idx="7">
                  <c:v>81.2</c:v>
                </c:pt>
                <c:pt idx="8">
                  <c:v>65.099999999999994</c:v>
                </c:pt>
                <c:pt idx="9">
                  <c:v>75.400000000000006</c:v>
                </c:pt>
                <c:pt idx="10">
                  <c:v>69.8</c:v>
                </c:pt>
                <c:pt idx="11">
                  <c:v>79.2</c:v>
                </c:pt>
                <c:pt idx="12">
                  <c:v>85.800000000000011</c:v>
                </c:pt>
                <c:pt idx="13">
                  <c:v>90.6</c:v>
                </c:pt>
                <c:pt idx="14">
                  <c:v>81.099999999999994</c:v>
                </c:pt>
                <c:pt idx="15">
                  <c:v>87.8</c:v>
                </c:pt>
                <c:pt idx="16">
                  <c:v>84.9</c:v>
                </c:pt>
                <c:pt idx="17">
                  <c:v>92.4</c:v>
                </c:pt>
                <c:pt idx="18">
                  <c:v>62.3</c:v>
                </c:pt>
                <c:pt idx="19">
                  <c:v>69.900000000000006</c:v>
                </c:pt>
                <c:pt idx="20">
                  <c:v>61.300000000000004</c:v>
                </c:pt>
                <c:pt idx="21">
                  <c:v>68.900000000000006</c:v>
                </c:pt>
                <c:pt idx="22">
                  <c:v>38.700000000000003</c:v>
                </c:pt>
                <c:pt idx="23">
                  <c:v>41.5</c:v>
                </c:pt>
              </c:numCache>
            </c:numRef>
          </c:val>
          <c:extLst>
            <c:ext xmlns:c16="http://schemas.microsoft.com/office/drawing/2014/chart" uri="{C3380CC4-5D6E-409C-BE32-E72D297353CC}">
              <c16:uniqueId val="{00000002-5C90-48FC-A118-3F01FE4DC836}"/>
            </c:ext>
          </c:extLst>
        </c:ser>
        <c:dLbls>
          <c:dLblPos val="ctr"/>
          <c:showLegendKey val="0"/>
          <c:showVal val="1"/>
          <c:showCatName val="0"/>
          <c:showSerName val="0"/>
          <c:showPercent val="0"/>
          <c:showBubbleSize val="0"/>
        </c:dLbls>
        <c:gapWidth val="150"/>
        <c:overlap val="100"/>
        <c:axId val="1999801423"/>
        <c:axId val="1999805167"/>
      </c:barChart>
      <c:catAx>
        <c:axId val="199980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805167"/>
        <c:crosses val="autoZero"/>
        <c:auto val="1"/>
        <c:lblAlgn val="ctr"/>
        <c:lblOffset val="100"/>
        <c:noMultiLvlLbl val="0"/>
      </c:catAx>
      <c:valAx>
        <c:axId val="1999805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9801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Barriers to primary care pharmacists providing clinical services to patients with diabetes (3)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Sheet8!$E$53</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Sheet8!$A$54:$B$74</c:f>
              <c:multiLvlStrCache>
                <c:ptCount val="21"/>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lvl>
                <c:lvl>
                  <c:pt idx="0">
                    <c:v>Lack of access to patients' medical records for pharmacists </c:v>
                  </c:pt>
                  <c:pt idx="3">
                    <c:v>Lack of a private room to interview patients and advise them </c:v>
                  </c:pt>
                  <c:pt idx="6">
                    <c:v>Lack of well-defined pharmacist role </c:v>
                  </c:pt>
                  <c:pt idx="9">
                    <c:v>Lack of awareness of the clinical role of pharmacist by healthcare providers </c:v>
                  </c:pt>
                  <c:pt idx="12">
                    <c:v>Resistance to the clinical role of pharmacists by healthcare providers </c:v>
                  </c:pt>
                  <c:pt idx="15">
                    <c:v>Administrations duties of pharmacists </c:v>
                  </c:pt>
                  <c:pt idx="18">
                    <c:v>Under-utilisation of pharmacist roles in primary healthcare centres </c:v>
                  </c:pt>
                </c:lvl>
              </c:multiLvlStrCache>
            </c:multiLvlStrRef>
          </c:cat>
          <c:val>
            <c:numRef>
              <c:f>Sheet8!$E$54:$E$74</c:f>
              <c:numCache>
                <c:formatCode>General</c:formatCode>
                <c:ptCount val="21"/>
                <c:pt idx="0">
                  <c:v>12</c:v>
                </c:pt>
                <c:pt idx="1">
                  <c:v>10</c:v>
                </c:pt>
                <c:pt idx="2">
                  <c:v>4</c:v>
                </c:pt>
                <c:pt idx="3">
                  <c:v>8</c:v>
                </c:pt>
                <c:pt idx="4">
                  <c:v>6</c:v>
                </c:pt>
                <c:pt idx="5">
                  <c:v>4</c:v>
                </c:pt>
                <c:pt idx="6">
                  <c:v>2</c:v>
                </c:pt>
                <c:pt idx="7">
                  <c:v>3</c:v>
                </c:pt>
                <c:pt idx="8">
                  <c:v>4</c:v>
                </c:pt>
                <c:pt idx="9">
                  <c:v>2</c:v>
                </c:pt>
                <c:pt idx="10">
                  <c:v>3</c:v>
                </c:pt>
                <c:pt idx="11">
                  <c:v>4</c:v>
                </c:pt>
                <c:pt idx="12">
                  <c:v>8</c:v>
                </c:pt>
                <c:pt idx="13">
                  <c:v>13</c:v>
                </c:pt>
                <c:pt idx="14">
                  <c:v>7</c:v>
                </c:pt>
                <c:pt idx="15">
                  <c:v>6</c:v>
                </c:pt>
                <c:pt idx="16">
                  <c:v>10</c:v>
                </c:pt>
                <c:pt idx="17">
                  <c:v>7</c:v>
                </c:pt>
                <c:pt idx="18">
                  <c:v>0</c:v>
                </c:pt>
                <c:pt idx="19">
                  <c:v>3</c:v>
                </c:pt>
                <c:pt idx="20">
                  <c:v>7</c:v>
                </c:pt>
              </c:numCache>
            </c:numRef>
          </c:val>
          <c:extLst>
            <c:ext xmlns:c16="http://schemas.microsoft.com/office/drawing/2014/chart" uri="{C3380CC4-5D6E-409C-BE32-E72D297353CC}">
              <c16:uniqueId val="{00000000-1537-4923-8235-E67334DDB938}"/>
            </c:ext>
          </c:extLst>
        </c:ser>
        <c:ser>
          <c:idx val="3"/>
          <c:order val="1"/>
          <c:tx>
            <c:strRef>
              <c:f>Sheet8!$F$53</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Sheet8!$A$54:$B$74</c:f>
              <c:multiLvlStrCache>
                <c:ptCount val="21"/>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lvl>
                <c:lvl>
                  <c:pt idx="0">
                    <c:v>Lack of access to patients' medical records for pharmacists </c:v>
                  </c:pt>
                  <c:pt idx="3">
                    <c:v>Lack of a private room to interview patients and advise them </c:v>
                  </c:pt>
                  <c:pt idx="6">
                    <c:v>Lack of well-defined pharmacist role </c:v>
                  </c:pt>
                  <c:pt idx="9">
                    <c:v>Lack of awareness of the clinical role of pharmacist by healthcare providers </c:v>
                  </c:pt>
                  <c:pt idx="12">
                    <c:v>Resistance to the clinical role of pharmacists by healthcare providers </c:v>
                  </c:pt>
                  <c:pt idx="15">
                    <c:v>Administrations duties of pharmacists </c:v>
                  </c:pt>
                  <c:pt idx="18">
                    <c:v>Under-utilisation of pharmacist roles in primary healthcare centres </c:v>
                  </c:pt>
                </c:lvl>
              </c:multiLvlStrCache>
            </c:multiLvlStrRef>
          </c:cat>
          <c:val>
            <c:numRef>
              <c:f>Sheet8!$F$54:$F$74</c:f>
              <c:numCache>
                <c:formatCode>General</c:formatCode>
                <c:ptCount val="21"/>
                <c:pt idx="0">
                  <c:v>12</c:v>
                </c:pt>
                <c:pt idx="1">
                  <c:v>7</c:v>
                </c:pt>
                <c:pt idx="2">
                  <c:v>15</c:v>
                </c:pt>
                <c:pt idx="3">
                  <c:v>10</c:v>
                </c:pt>
                <c:pt idx="4">
                  <c:v>10</c:v>
                </c:pt>
                <c:pt idx="5">
                  <c:v>7</c:v>
                </c:pt>
                <c:pt idx="6">
                  <c:v>12</c:v>
                </c:pt>
                <c:pt idx="7">
                  <c:v>3</c:v>
                </c:pt>
                <c:pt idx="8">
                  <c:v>19</c:v>
                </c:pt>
                <c:pt idx="9">
                  <c:v>14</c:v>
                </c:pt>
                <c:pt idx="10">
                  <c:v>13</c:v>
                </c:pt>
                <c:pt idx="11">
                  <c:v>15</c:v>
                </c:pt>
                <c:pt idx="12">
                  <c:v>20</c:v>
                </c:pt>
                <c:pt idx="13">
                  <c:v>10</c:v>
                </c:pt>
                <c:pt idx="14">
                  <c:v>11</c:v>
                </c:pt>
                <c:pt idx="15">
                  <c:v>27</c:v>
                </c:pt>
                <c:pt idx="16">
                  <c:v>27</c:v>
                </c:pt>
                <c:pt idx="17">
                  <c:v>11</c:v>
                </c:pt>
                <c:pt idx="18">
                  <c:v>18</c:v>
                </c:pt>
                <c:pt idx="19">
                  <c:v>20</c:v>
                </c:pt>
                <c:pt idx="20">
                  <c:v>15</c:v>
                </c:pt>
              </c:numCache>
            </c:numRef>
          </c:val>
          <c:extLst>
            <c:ext xmlns:c16="http://schemas.microsoft.com/office/drawing/2014/chart" uri="{C3380CC4-5D6E-409C-BE32-E72D297353CC}">
              <c16:uniqueId val="{00000001-1537-4923-8235-E67334DDB938}"/>
            </c:ext>
          </c:extLst>
        </c:ser>
        <c:ser>
          <c:idx val="6"/>
          <c:order val="2"/>
          <c:tx>
            <c:strRef>
              <c:f>Sheet8!$I$53</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Sheet8!$A$54:$B$74</c:f>
              <c:multiLvlStrCache>
                <c:ptCount val="21"/>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lvl>
                <c:lvl>
                  <c:pt idx="0">
                    <c:v>Lack of access to patients' medical records for pharmacists </c:v>
                  </c:pt>
                  <c:pt idx="3">
                    <c:v>Lack of a private room to interview patients and advise them </c:v>
                  </c:pt>
                  <c:pt idx="6">
                    <c:v>Lack of well-defined pharmacist role </c:v>
                  </c:pt>
                  <c:pt idx="9">
                    <c:v>Lack of awareness of the clinical role of pharmacist by healthcare providers </c:v>
                  </c:pt>
                  <c:pt idx="12">
                    <c:v>Resistance to the clinical role of pharmacists by healthcare providers </c:v>
                  </c:pt>
                  <c:pt idx="15">
                    <c:v>Administrations duties of pharmacists </c:v>
                  </c:pt>
                  <c:pt idx="18">
                    <c:v>Under-utilisation of pharmacist roles in primary healthcare centres </c:v>
                  </c:pt>
                </c:lvl>
              </c:multiLvlStrCache>
            </c:multiLvlStrRef>
          </c:cat>
          <c:val>
            <c:numRef>
              <c:f>Sheet8!$I$54:$I$74</c:f>
              <c:numCache>
                <c:formatCode>General</c:formatCode>
                <c:ptCount val="21"/>
                <c:pt idx="0">
                  <c:v>75</c:v>
                </c:pt>
                <c:pt idx="1">
                  <c:v>84</c:v>
                </c:pt>
                <c:pt idx="2">
                  <c:v>81</c:v>
                </c:pt>
                <c:pt idx="3">
                  <c:v>81</c:v>
                </c:pt>
                <c:pt idx="4">
                  <c:v>83</c:v>
                </c:pt>
                <c:pt idx="5">
                  <c:v>89</c:v>
                </c:pt>
                <c:pt idx="6">
                  <c:v>85</c:v>
                </c:pt>
                <c:pt idx="7">
                  <c:v>93</c:v>
                </c:pt>
                <c:pt idx="8">
                  <c:v>78</c:v>
                </c:pt>
                <c:pt idx="9">
                  <c:v>84</c:v>
                </c:pt>
                <c:pt idx="10">
                  <c:v>83</c:v>
                </c:pt>
                <c:pt idx="11">
                  <c:v>81</c:v>
                </c:pt>
                <c:pt idx="12">
                  <c:v>71</c:v>
                </c:pt>
                <c:pt idx="13">
                  <c:v>76</c:v>
                </c:pt>
                <c:pt idx="14">
                  <c:v>82</c:v>
                </c:pt>
                <c:pt idx="15">
                  <c:v>67</c:v>
                </c:pt>
                <c:pt idx="16">
                  <c:v>63</c:v>
                </c:pt>
                <c:pt idx="17">
                  <c:v>82</c:v>
                </c:pt>
                <c:pt idx="18">
                  <c:v>81</c:v>
                </c:pt>
                <c:pt idx="19">
                  <c:v>76</c:v>
                </c:pt>
                <c:pt idx="20">
                  <c:v>78</c:v>
                </c:pt>
              </c:numCache>
            </c:numRef>
          </c:val>
          <c:extLst>
            <c:ext xmlns:c16="http://schemas.microsoft.com/office/drawing/2014/chart" uri="{C3380CC4-5D6E-409C-BE32-E72D297353CC}">
              <c16:uniqueId val="{00000002-1537-4923-8235-E67334DDB938}"/>
            </c:ext>
          </c:extLst>
        </c:ser>
        <c:dLbls>
          <c:dLblPos val="ctr"/>
          <c:showLegendKey val="0"/>
          <c:showVal val="1"/>
          <c:showCatName val="0"/>
          <c:showSerName val="0"/>
          <c:showPercent val="0"/>
          <c:showBubbleSize val="0"/>
        </c:dLbls>
        <c:gapWidth val="150"/>
        <c:overlap val="100"/>
        <c:axId val="945714064"/>
        <c:axId val="945709488"/>
      </c:barChart>
      <c:catAx>
        <c:axId val="94571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709488"/>
        <c:crosses val="autoZero"/>
        <c:auto val="1"/>
        <c:lblAlgn val="ctr"/>
        <c:lblOffset val="100"/>
        <c:noMultiLvlLbl val="0"/>
      </c:catAx>
      <c:valAx>
        <c:axId val="945709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71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Pharmacists should be involved in Independent Prescribing of Diabetes Medications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'[Draft for IP and DP.xlsx]Sheet12'!$R$5</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'[Draft for IP and DP.xlsx]Sheet12'!$N$6:$O$11</c:f>
              <c:multiLvlStrCache>
                <c:ptCount val="6"/>
                <c:lvl>
                  <c:pt idx="0">
                    <c:v>Currently</c:v>
                  </c:pt>
                  <c:pt idx="1">
                    <c:v>In the future</c:v>
                  </c:pt>
                  <c:pt idx="2">
                    <c:v>Currently</c:v>
                  </c:pt>
                  <c:pt idx="3">
                    <c:v>In the future</c:v>
                  </c:pt>
                  <c:pt idx="4">
                    <c:v>Currently</c:v>
                  </c:pt>
                  <c:pt idx="5">
                    <c:v>In the future</c:v>
                  </c:pt>
                </c:lvl>
                <c:lvl>
                  <c:pt idx="0">
                    <c:v>Doctor</c:v>
                  </c:pt>
                  <c:pt idx="2">
                    <c:v>Pharmacist</c:v>
                  </c:pt>
                  <c:pt idx="4">
                    <c:v>Nurse</c:v>
                  </c:pt>
                </c:lvl>
              </c:multiLvlStrCache>
            </c:multiLvlStrRef>
          </c:cat>
          <c:val>
            <c:numRef>
              <c:f>'[Draft for IP and DP.xlsx]Sheet12'!$R$6:$R$11</c:f>
              <c:numCache>
                <c:formatCode>0</c:formatCode>
                <c:ptCount val="6"/>
                <c:pt idx="0">
                  <c:v>67.300000000000011</c:v>
                </c:pt>
                <c:pt idx="1">
                  <c:v>71.400000000000006</c:v>
                </c:pt>
                <c:pt idx="2">
                  <c:v>23.3</c:v>
                </c:pt>
                <c:pt idx="3">
                  <c:v>16.7</c:v>
                </c:pt>
                <c:pt idx="4">
                  <c:v>18.5</c:v>
                </c:pt>
                <c:pt idx="5">
                  <c:v>14.8</c:v>
                </c:pt>
              </c:numCache>
            </c:numRef>
          </c:val>
          <c:extLst>
            <c:ext xmlns:c16="http://schemas.microsoft.com/office/drawing/2014/chart" uri="{C3380CC4-5D6E-409C-BE32-E72D297353CC}">
              <c16:uniqueId val="{00000000-A3CD-479A-B578-6ED92EEDB4F9}"/>
            </c:ext>
          </c:extLst>
        </c:ser>
        <c:ser>
          <c:idx val="3"/>
          <c:order val="1"/>
          <c:tx>
            <c:strRef>
              <c:f>'[Draft for IP and DP.xlsx]Sheet12'!$S$5</c:f>
              <c:strCache>
                <c:ptCount val="1"/>
                <c:pt idx="0">
                  <c:v>Neither agree nor disagree</c:v>
                </c:pt>
              </c:strCache>
            </c:strRef>
          </c:tx>
          <c:spPr>
            <a:solidFill>
              <a:srgbClr val="FFF9E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'[Draft for IP and DP.xlsx]Sheet12'!$N$6:$O$11</c:f>
              <c:multiLvlStrCache>
                <c:ptCount val="6"/>
                <c:lvl>
                  <c:pt idx="0">
                    <c:v>Currently</c:v>
                  </c:pt>
                  <c:pt idx="1">
                    <c:v>In the future</c:v>
                  </c:pt>
                  <c:pt idx="2">
                    <c:v>Currently</c:v>
                  </c:pt>
                  <c:pt idx="3">
                    <c:v>In the future</c:v>
                  </c:pt>
                  <c:pt idx="4">
                    <c:v>Currently</c:v>
                  </c:pt>
                  <c:pt idx="5">
                    <c:v>In the future</c:v>
                  </c:pt>
                </c:lvl>
                <c:lvl>
                  <c:pt idx="0">
                    <c:v>Doctor</c:v>
                  </c:pt>
                  <c:pt idx="2">
                    <c:v>Pharmacist</c:v>
                  </c:pt>
                  <c:pt idx="4">
                    <c:v>Nurse</c:v>
                  </c:pt>
                </c:lvl>
              </c:multiLvlStrCache>
            </c:multiLvlStrRef>
          </c:cat>
          <c:val>
            <c:numRef>
              <c:f>'[Draft for IP and DP.xlsx]Sheet12'!$S$6:$S$11</c:f>
              <c:numCache>
                <c:formatCode>0</c:formatCode>
                <c:ptCount val="6"/>
                <c:pt idx="0">
                  <c:v>18.399999999999999</c:v>
                </c:pt>
                <c:pt idx="1">
                  <c:v>14.3</c:v>
                </c:pt>
                <c:pt idx="2">
                  <c:v>26.7</c:v>
                </c:pt>
                <c:pt idx="3">
                  <c:v>30</c:v>
                </c:pt>
                <c:pt idx="4">
                  <c:v>11.1</c:v>
                </c:pt>
                <c:pt idx="5">
                  <c:v>7.4</c:v>
                </c:pt>
              </c:numCache>
            </c:numRef>
          </c:val>
          <c:extLst>
            <c:ext xmlns:c16="http://schemas.microsoft.com/office/drawing/2014/chart" uri="{C3380CC4-5D6E-409C-BE32-E72D297353CC}">
              <c16:uniqueId val="{00000001-A3CD-479A-B578-6ED92EEDB4F9}"/>
            </c:ext>
          </c:extLst>
        </c:ser>
        <c:ser>
          <c:idx val="6"/>
          <c:order val="2"/>
          <c:tx>
            <c:strRef>
              <c:f>'[Draft for IP and DP.xlsx]Sheet12'!$V$5</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'[Draft for IP and DP.xlsx]Sheet12'!$N$6:$O$11</c:f>
              <c:multiLvlStrCache>
                <c:ptCount val="6"/>
                <c:lvl>
                  <c:pt idx="0">
                    <c:v>Currently</c:v>
                  </c:pt>
                  <c:pt idx="1">
                    <c:v>In the future</c:v>
                  </c:pt>
                  <c:pt idx="2">
                    <c:v>Currently</c:v>
                  </c:pt>
                  <c:pt idx="3">
                    <c:v>In the future</c:v>
                  </c:pt>
                  <c:pt idx="4">
                    <c:v>Currently</c:v>
                  </c:pt>
                  <c:pt idx="5">
                    <c:v>In the future</c:v>
                  </c:pt>
                </c:lvl>
                <c:lvl>
                  <c:pt idx="0">
                    <c:v>Doctor</c:v>
                  </c:pt>
                  <c:pt idx="2">
                    <c:v>Pharmacist</c:v>
                  </c:pt>
                  <c:pt idx="4">
                    <c:v>Nurse</c:v>
                  </c:pt>
                </c:lvl>
              </c:multiLvlStrCache>
            </c:multiLvlStrRef>
          </c:cat>
          <c:val>
            <c:numRef>
              <c:f>'[Draft for IP and DP.xlsx]Sheet12'!$V$6:$V$11</c:f>
              <c:numCache>
                <c:formatCode>0</c:formatCode>
                <c:ptCount val="6"/>
                <c:pt idx="0">
                  <c:v>14</c:v>
                </c:pt>
                <c:pt idx="1">
                  <c:v>14.2</c:v>
                </c:pt>
                <c:pt idx="2">
                  <c:v>50</c:v>
                </c:pt>
                <c:pt idx="3">
                  <c:v>53.3</c:v>
                </c:pt>
                <c:pt idx="4">
                  <c:v>70.400000000000006</c:v>
                </c:pt>
                <c:pt idx="5">
                  <c:v>77.8</c:v>
                </c:pt>
              </c:numCache>
            </c:numRef>
          </c:val>
          <c:extLst>
            <c:ext xmlns:c16="http://schemas.microsoft.com/office/drawing/2014/chart" uri="{C3380CC4-5D6E-409C-BE32-E72D297353CC}">
              <c16:uniqueId val="{00000002-A3CD-479A-B578-6ED92EEDB4F9}"/>
            </c:ext>
          </c:extLst>
        </c:ser>
        <c:dLbls>
          <c:dLblPos val="ctr"/>
          <c:showLegendKey val="0"/>
          <c:showVal val="1"/>
          <c:showCatName val="0"/>
          <c:showSerName val="0"/>
          <c:showPercent val="0"/>
          <c:showBubbleSize val="0"/>
        </c:dLbls>
        <c:gapWidth val="150"/>
        <c:overlap val="100"/>
        <c:axId val="362513743"/>
        <c:axId val="362519567"/>
      </c:barChart>
      <c:catAx>
        <c:axId val="36251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62519567"/>
        <c:crosses val="autoZero"/>
        <c:auto val="1"/>
        <c:lblAlgn val="ctr"/>
        <c:lblOffset val="100"/>
        <c:noMultiLvlLbl val="0"/>
      </c:catAx>
      <c:valAx>
        <c:axId val="3625195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513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u="none" strike="noStrike" baseline="0">
                <a:effectLst/>
              </a:rPr>
              <a:t>Opinions of healthcare professionals about the current involvement of pharmacists in these diabetes-related services</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Sheet11!$E$4</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Sheet11!$A$5:$B$22</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Medication Therapy Management</c:v>
                  </c:pt>
                  <c:pt idx="3">
                    <c:v>Medication Review</c:v>
                  </c:pt>
                  <c:pt idx="6">
                    <c:v>Co-Morbid Disease Education</c:v>
                  </c:pt>
                  <c:pt idx="9">
                    <c:v>Co-Morbid Disease Medication Management</c:v>
                  </c:pt>
                  <c:pt idx="12">
                    <c:v>Blood Glucose Monitoring</c:v>
                  </c:pt>
                  <c:pt idx="15">
                    <c:v>Hypoglycemia Management</c:v>
                  </c:pt>
                </c:lvl>
              </c:multiLvlStrCache>
            </c:multiLvlStrRef>
          </c:cat>
          <c:val>
            <c:numRef>
              <c:f>Sheet11!$E$5:$E$22</c:f>
              <c:numCache>
                <c:formatCode>General</c:formatCode>
                <c:ptCount val="18"/>
                <c:pt idx="0">
                  <c:v>18</c:v>
                </c:pt>
                <c:pt idx="1">
                  <c:v>13</c:v>
                </c:pt>
                <c:pt idx="2">
                  <c:v>7</c:v>
                </c:pt>
                <c:pt idx="3">
                  <c:v>18</c:v>
                </c:pt>
                <c:pt idx="4">
                  <c:v>7</c:v>
                </c:pt>
                <c:pt idx="5">
                  <c:v>7</c:v>
                </c:pt>
                <c:pt idx="6">
                  <c:v>30</c:v>
                </c:pt>
                <c:pt idx="7">
                  <c:v>6</c:v>
                </c:pt>
                <c:pt idx="8">
                  <c:v>19</c:v>
                </c:pt>
                <c:pt idx="9">
                  <c:v>24</c:v>
                </c:pt>
                <c:pt idx="10">
                  <c:v>0</c:v>
                </c:pt>
                <c:pt idx="11">
                  <c:v>15</c:v>
                </c:pt>
                <c:pt idx="12">
                  <c:v>34</c:v>
                </c:pt>
                <c:pt idx="13">
                  <c:v>7</c:v>
                </c:pt>
                <c:pt idx="14">
                  <c:v>15</c:v>
                </c:pt>
                <c:pt idx="15">
                  <c:v>30</c:v>
                </c:pt>
                <c:pt idx="16">
                  <c:v>3</c:v>
                </c:pt>
                <c:pt idx="17">
                  <c:v>4</c:v>
                </c:pt>
              </c:numCache>
            </c:numRef>
          </c:val>
          <c:extLst>
            <c:ext xmlns:c16="http://schemas.microsoft.com/office/drawing/2014/chart" uri="{C3380CC4-5D6E-409C-BE32-E72D297353CC}">
              <c16:uniqueId val="{00000000-3D28-4D8F-A45F-B4B9C9BAAC3D}"/>
            </c:ext>
          </c:extLst>
        </c:ser>
        <c:ser>
          <c:idx val="3"/>
          <c:order val="1"/>
          <c:tx>
            <c:strRef>
              <c:f>Sheet11!$F$4</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Sheet11!$A$5:$B$22</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Medication Therapy Management</c:v>
                  </c:pt>
                  <c:pt idx="3">
                    <c:v>Medication Review</c:v>
                  </c:pt>
                  <c:pt idx="6">
                    <c:v>Co-Morbid Disease Education</c:v>
                  </c:pt>
                  <c:pt idx="9">
                    <c:v>Co-Morbid Disease Medication Management</c:v>
                  </c:pt>
                  <c:pt idx="12">
                    <c:v>Blood Glucose Monitoring</c:v>
                  </c:pt>
                  <c:pt idx="15">
                    <c:v>Hypoglycemia Management</c:v>
                  </c:pt>
                </c:lvl>
              </c:multiLvlStrCache>
            </c:multiLvlStrRef>
          </c:cat>
          <c:val>
            <c:numRef>
              <c:f>Sheet11!$F$5:$F$22</c:f>
              <c:numCache>
                <c:formatCode>General</c:formatCode>
                <c:ptCount val="18"/>
                <c:pt idx="0">
                  <c:v>16</c:v>
                </c:pt>
                <c:pt idx="1">
                  <c:v>10</c:v>
                </c:pt>
                <c:pt idx="2">
                  <c:v>15</c:v>
                </c:pt>
                <c:pt idx="3">
                  <c:v>6</c:v>
                </c:pt>
                <c:pt idx="4">
                  <c:v>13</c:v>
                </c:pt>
                <c:pt idx="5">
                  <c:v>15</c:v>
                </c:pt>
                <c:pt idx="6">
                  <c:v>10</c:v>
                </c:pt>
                <c:pt idx="7">
                  <c:v>3</c:v>
                </c:pt>
                <c:pt idx="8">
                  <c:v>11</c:v>
                </c:pt>
                <c:pt idx="9">
                  <c:v>10</c:v>
                </c:pt>
                <c:pt idx="10">
                  <c:v>20</c:v>
                </c:pt>
                <c:pt idx="11">
                  <c:v>19</c:v>
                </c:pt>
                <c:pt idx="12">
                  <c:v>8</c:v>
                </c:pt>
                <c:pt idx="13">
                  <c:v>10</c:v>
                </c:pt>
                <c:pt idx="14">
                  <c:v>26</c:v>
                </c:pt>
                <c:pt idx="15">
                  <c:v>8</c:v>
                </c:pt>
                <c:pt idx="16">
                  <c:v>10</c:v>
                </c:pt>
                <c:pt idx="17">
                  <c:v>30</c:v>
                </c:pt>
              </c:numCache>
            </c:numRef>
          </c:val>
          <c:extLst>
            <c:ext xmlns:c16="http://schemas.microsoft.com/office/drawing/2014/chart" uri="{C3380CC4-5D6E-409C-BE32-E72D297353CC}">
              <c16:uniqueId val="{00000001-3D28-4D8F-A45F-B4B9C9BAAC3D}"/>
            </c:ext>
          </c:extLst>
        </c:ser>
        <c:ser>
          <c:idx val="6"/>
          <c:order val="2"/>
          <c:tx>
            <c:strRef>
              <c:f>Sheet11!$I$4</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Sheet11!$A$5:$B$22</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Medication Therapy Management</c:v>
                  </c:pt>
                  <c:pt idx="3">
                    <c:v>Medication Review</c:v>
                  </c:pt>
                  <c:pt idx="6">
                    <c:v>Co-Morbid Disease Education</c:v>
                  </c:pt>
                  <c:pt idx="9">
                    <c:v>Co-Morbid Disease Medication Management</c:v>
                  </c:pt>
                  <c:pt idx="12">
                    <c:v>Blood Glucose Monitoring</c:v>
                  </c:pt>
                  <c:pt idx="15">
                    <c:v>Hypoglycemia Management</c:v>
                  </c:pt>
                </c:lvl>
              </c:multiLvlStrCache>
            </c:multiLvlStrRef>
          </c:cat>
          <c:val>
            <c:numRef>
              <c:f>Sheet11!$I$5:$I$22</c:f>
              <c:numCache>
                <c:formatCode>General</c:formatCode>
                <c:ptCount val="18"/>
                <c:pt idx="0">
                  <c:v>55</c:v>
                </c:pt>
                <c:pt idx="1">
                  <c:v>77</c:v>
                </c:pt>
                <c:pt idx="2">
                  <c:v>78</c:v>
                </c:pt>
                <c:pt idx="3">
                  <c:v>76</c:v>
                </c:pt>
                <c:pt idx="4">
                  <c:v>80</c:v>
                </c:pt>
                <c:pt idx="5">
                  <c:v>78</c:v>
                </c:pt>
                <c:pt idx="6">
                  <c:v>59</c:v>
                </c:pt>
                <c:pt idx="7">
                  <c:v>90</c:v>
                </c:pt>
                <c:pt idx="8">
                  <c:v>70</c:v>
                </c:pt>
                <c:pt idx="9">
                  <c:v>65</c:v>
                </c:pt>
                <c:pt idx="10">
                  <c:v>80</c:v>
                </c:pt>
                <c:pt idx="11">
                  <c:v>67</c:v>
                </c:pt>
                <c:pt idx="12">
                  <c:v>57</c:v>
                </c:pt>
                <c:pt idx="13">
                  <c:v>83</c:v>
                </c:pt>
                <c:pt idx="14">
                  <c:v>60</c:v>
                </c:pt>
                <c:pt idx="15">
                  <c:v>61</c:v>
                </c:pt>
                <c:pt idx="16">
                  <c:v>87</c:v>
                </c:pt>
                <c:pt idx="17">
                  <c:v>67</c:v>
                </c:pt>
              </c:numCache>
            </c:numRef>
          </c:val>
          <c:extLst>
            <c:ext xmlns:c16="http://schemas.microsoft.com/office/drawing/2014/chart" uri="{C3380CC4-5D6E-409C-BE32-E72D297353CC}">
              <c16:uniqueId val="{00000002-3D28-4D8F-A45F-B4B9C9BAAC3D}"/>
            </c:ext>
          </c:extLst>
        </c:ser>
        <c:dLbls>
          <c:dLblPos val="ctr"/>
          <c:showLegendKey val="0"/>
          <c:showVal val="1"/>
          <c:showCatName val="0"/>
          <c:showSerName val="0"/>
          <c:showPercent val="0"/>
          <c:showBubbleSize val="0"/>
        </c:dLbls>
        <c:gapWidth val="150"/>
        <c:overlap val="100"/>
        <c:axId val="945715728"/>
        <c:axId val="945718640"/>
      </c:barChart>
      <c:catAx>
        <c:axId val="94571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718640"/>
        <c:crosses val="autoZero"/>
        <c:auto val="1"/>
        <c:lblAlgn val="ctr"/>
        <c:lblOffset val="100"/>
        <c:noMultiLvlLbl val="0"/>
      </c:catAx>
      <c:valAx>
        <c:axId val="9457186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715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2"/>
          <c:order val="0"/>
          <c:tx>
            <c:strRef>
              <c:f>Sheet11!$E$23</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Sheet11!$A$24:$B$41</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Verification of Prescriptions</c:v>
                  </c:pt>
                  <c:pt idx="3">
                    <c:v>Preparing and Dispensing of Prescriptions</c:v>
                  </c:pt>
                  <c:pt idx="6">
                    <c:v>Patient Counselling and Education</c:v>
                  </c:pt>
                  <c:pt idx="9">
                    <c:v>Healthy lifestyle Education</c:v>
                  </c:pt>
                  <c:pt idx="12">
                    <c:v>Dependent Prescribing of Diabetes Medications</c:v>
                  </c:pt>
                  <c:pt idx="15">
                    <c:v>Independent Prescribing of Diabetes Medications</c:v>
                  </c:pt>
                </c:lvl>
              </c:multiLvlStrCache>
            </c:multiLvlStrRef>
          </c:cat>
          <c:val>
            <c:numRef>
              <c:f>Sheet11!$E$24:$E$41</c:f>
              <c:numCache>
                <c:formatCode>General</c:formatCode>
                <c:ptCount val="18"/>
                <c:pt idx="0">
                  <c:v>10</c:v>
                </c:pt>
                <c:pt idx="1">
                  <c:v>6</c:v>
                </c:pt>
                <c:pt idx="2">
                  <c:v>8</c:v>
                </c:pt>
                <c:pt idx="3">
                  <c:v>12</c:v>
                </c:pt>
                <c:pt idx="4">
                  <c:v>6</c:v>
                </c:pt>
                <c:pt idx="5">
                  <c:v>8</c:v>
                </c:pt>
                <c:pt idx="6">
                  <c:v>8</c:v>
                </c:pt>
                <c:pt idx="7">
                  <c:v>6</c:v>
                </c:pt>
                <c:pt idx="8">
                  <c:v>4</c:v>
                </c:pt>
                <c:pt idx="9">
                  <c:v>24</c:v>
                </c:pt>
                <c:pt idx="10">
                  <c:v>6</c:v>
                </c:pt>
                <c:pt idx="11">
                  <c:v>15</c:v>
                </c:pt>
                <c:pt idx="12">
                  <c:v>32</c:v>
                </c:pt>
                <c:pt idx="13">
                  <c:v>13</c:v>
                </c:pt>
                <c:pt idx="14">
                  <c:v>11</c:v>
                </c:pt>
                <c:pt idx="15">
                  <c:v>68</c:v>
                </c:pt>
                <c:pt idx="16">
                  <c:v>23</c:v>
                </c:pt>
                <c:pt idx="17">
                  <c:v>19</c:v>
                </c:pt>
              </c:numCache>
            </c:numRef>
          </c:val>
          <c:extLst>
            <c:ext xmlns:c16="http://schemas.microsoft.com/office/drawing/2014/chart" uri="{C3380CC4-5D6E-409C-BE32-E72D297353CC}">
              <c16:uniqueId val="{00000000-DAF5-40FB-B82B-91A0BCEE0E1C}"/>
            </c:ext>
          </c:extLst>
        </c:ser>
        <c:ser>
          <c:idx val="3"/>
          <c:order val="1"/>
          <c:tx>
            <c:strRef>
              <c:f>Sheet11!$F$23</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Sheet11!$A$24:$B$41</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Verification of Prescriptions</c:v>
                  </c:pt>
                  <c:pt idx="3">
                    <c:v>Preparing and Dispensing of Prescriptions</c:v>
                  </c:pt>
                  <c:pt idx="6">
                    <c:v>Patient Counselling and Education</c:v>
                  </c:pt>
                  <c:pt idx="9">
                    <c:v>Healthy lifestyle Education</c:v>
                  </c:pt>
                  <c:pt idx="12">
                    <c:v>Dependent Prescribing of Diabetes Medications</c:v>
                  </c:pt>
                  <c:pt idx="15">
                    <c:v>Independent Prescribing of Diabetes Medications</c:v>
                  </c:pt>
                </c:lvl>
              </c:multiLvlStrCache>
            </c:multiLvlStrRef>
          </c:cat>
          <c:val>
            <c:numRef>
              <c:f>Sheet11!$F$24:$F$41</c:f>
              <c:numCache>
                <c:formatCode>General</c:formatCode>
                <c:ptCount val="18"/>
                <c:pt idx="0">
                  <c:v>2</c:v>
                </c:pt>
                <c:pt idx="1">
                  <c:v>7</c:v>
                </c:pt>
                <c:pt idx="2">
                  <c:v>11</c:v>
                </c:pt>
                <c:pt idx="3">
                  <c:v>2</c:v>
                </c:pt>
                <c:pt idx="4">
                  <c:v>17</c:v>
                </c:pt>
                <c:pt idx="5">
                  <c:v>15</c:v>
                </c:pt>
                <c:pt idx="6">
                  <c:v>8</c:v>
                </c:pt>
                <c:pt idx="7">
                  <c:v>3</c:v>
                </c:pt>
                <c:pt idx="8">
                  <c:v>15</c:v>
                </c:pt>
                <c:pt idx="9">
                  <c:v>22</c:v>
                </c:pt>
                <c:pt idx="10">
                  <c:v>20</c:v>
                </c:pt>
                <c:pt idx="11">
                  <c:v>19</c:v>
                </c:pt>
                <c:pt idx="12">
                  <c:v>10</c:v>
                </c:pt>
                <c:pt idx="13">
                  <c:v>30</c:v>
                </c:pt>
                <c:pt idx="14">
                  <c:v>15</c:v>
                </c:pt>
                <c:pt idx="15">
                  <c:v>18</c:v>
                </c:pt>
                <c:pt idx="16">
                  <c:v>27</c:v>
                </c:pt>
                <c:pt idx="17">
                  <c:v>11</c:v>
                </c:pt>
              </c:numCache>
            </c:numRef>
          </c:val>
          <c:extLst>
            <c:ext xmlns:c16="http://schemas.microsoft.com/office/drawing/2014/chart" uri="{C3380CC4-5D6E-409C-BE32-E72D297353CC}">
              <c16:uniqueId val="{00000001-DAF5-40FB-B82B-91A0BCEE0E1C}"/>
            </c:ext>
          </c:extLst>
        </c:ser>
        <c:ser>
          <c:idx val="6"/>
          <c:order val="2"/>
          <c:tx>
            <c:strRef>
              <c:f>Sheet11!$I$23</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Sheet11!$A$24:$B$41</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Verification of Prescriptions</c:v>
                  </c:pt>
                  <c:pt idx="3">
                    <c:v>Preparing and Dispensing of Prescriptions</c:v>
                  </c:pt>
                  <c:pt idx="6">
                    <c:v>Patient Counselling and Education</c:v>
                  </c:pt>
                  <c:pt idx="9">
                    <c:v>Healthy lifestyle Education</c:v>
                  </c:pt>
                  <c:pt idx="12">
                    <c:v>Dependent Prescribing of Diabetes Medications</c:v>
                  </c:pt>
                  <c:pt idx="15">
                    <c:v>Independent Prescribing of Diabetes Medications</c:v>
                  </c:pt>
                </c:lvl>
              </c:multiLvlStrCache>
            </c:multiLvlStrRef>
          </c:cat>
          <c:val>
            <c:numRef>
              <c:f>Sheet11!$I$24:$I$41</c:f>
              <c:numCache>
                <c:formatCode>General</c:formatCode>
                <c:ptCount val="18"/>
                <c:pt idx="0">
                  <c:v>88</c:v>
                </c:pt>
                <c:pt idx="1">
                  <c:v>87</c:v>
                </c:pt>
                <c:pt idx="2">
                  <c:v>82</c:v>
                </c:pt>
                <c:pt idx="3">
                  <c:v>86</c:v>
                </c:pt>
                <c:pt idx="4">
                  <c:v>77</c:v>
                </c:pt>
                <c:pt idx="5">
                  <c:v>78</c:v>
                </c:pt>
                <c:pt idx="6">
                  <c:v>84</c:v>
                </c:pt>
                <c:pt idx="7">
                  <c:v>90</c:v>
                </c:pt>
                <c:pt idx="8">
                  <c:v>82</c:v>
                </c:pt>
                <c:pt idx="9">
                  <c:v>53</c:v>
                </c:pt>
                <c:pt idx="10">
                  <c:v>73</c:v>
                </c:pt>
                <c:pt idx="11">
                  <c:v>67</c:v>
                </c:pt>
                <c:pt idx="12">
                  <c:v>57</c:v>
                </c:pt>
                <c:pt idx="13">
                  <c:v>57</c:v>
                </c:pt>
                <c:pt idx="14">
                  <c:v>74</c:v>
                </c:pt>
                <c:pt idx="15">
                  <c:v>14</c:v>
                </c:pt>
                <c:pt idx="16">
                  <c:v>50</c:v>
                </c:pt>
                <c:pt idx="17">
                  <c:v>71</c:v>
                </c:pt>
              </c:numCache>
            </c:numRef>
          </c:val>
          <c:extLst>
            <c:ext xmlns:c16="http://schemas.microsoft.com/office/drawing/2014/chart" uri="{C3380CC4-5D6E-409C-BE32-E72D297353CC}">
              <c16:uniqueId val="{00000002-DAF5-40FB-B82B-91A0BCEE0E1C}"/>
            </c:ext>
          </c:extLst>
        </c:ser>
        <c:dLbls>
          <c:dLblPos val="ctr"/>
          <c:showLegendKey val="0"/>
          <c:showVal val="1"/>
          <c:showCatName val="0"/>
          <c:showSerName val="0"/>
          <c:showPercent val="0"/>
          <c:showBubbleSize val="0"/>
        </c:dLbls>
        <c:gapWidth val="150"/>
        <c:overlap val="100"/>
        <c:axId val="945720720"/>
        <c:axId val="945712400"/>
      </c:barChart>
      <c:catAx>
        <c:axId val="94572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712400"/>
        <c:crosses val="autoZero"/>
        <c:auto val="1"/>
        <c:lblAlgn val="ctr"/>
        <c:lblOffset val="100"/>
        <c:noMultiLvlLbl val="0"/>
      </c:catAx>
      <c:valAx>
        <c:axId val="9457124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72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Different opinions of healthcare professionals about the current involvement of pharmacists in these diabetes-related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'[Charts included in Result Chapter.xlsx]Sheet6'!$E$5</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 included in Result Chapter.xlsx]Sheet6'!$A$6:$B$26</c:f>
              <c:multiLvlStrCache>
                <c:ptCount val="21"/>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lvl>
                <c:lvl>
                  <c:pt idx="0">
                    <c:v>Medication Therapy Management</c:v>
                  </c:pt>
                  <c:pt idx="3">
                    <c:v>Co-Morbid Disease Education</c:v>
                  </c:pt>
                  <c:pt idx="6">
                    <c:v>Co-Morbid Disease Medication Management</c:v>
                  </c:pt>
                  <c:pt idx="9">
                    <c:v>Blood Glucose Monitoring</c:v>
                  </c:pt>
                  <c:pt idx="12">
                    <c:v>Hypoglycemia Management</c:v>
                  </c:pt>
                  <c:pt idx="15">
                    <c:v>Patient Counselling and Education</c:v>
                  </c:pt>
                  <c:pt idx="18">
                    <c:v>Healthy lifestyle Education</c:v>
                  </c:pt>
                </c:lvl>
              </c:multiLvlStrCache>
            </c:multiLvlStrRef>
          </c:cat>
          <c:val>
            <c:numRef>
              <c:f>'[Charts included in Result Chapter.xlsx]Sheet6'!$E$6:$E$26</c:f>
              <c:numCache>
                <c:formatCode>0</c:formatCode>
                <c:ptCount val="21"/>
                <c:pt idx="0">
                  <c:v>18.5</c:v>
                </c:pt>
                <c:pt idx="1">
                  <c:v>13.3</c:v>
                </c:pt>
                <c:pt idx="2">
                  <c:v>7.4</c:v>
                </c:pt>
                <c:pt idx="3">
                  <c:v>30.599999999999998</c:v>
                </c:pt>
                <c:pt idx="4">
                  <c:v>6.6</c:v>
                </c:pt>
                <c:pt idx="5">
                  <c:v>18.5</c:v>
                </c:pt>
                <c:pt idx="6">
                  <c:v>24.4</c:v>
                </c:pt>
                <c:pt idx="7">
                  <c:v>0</c:v>
                </c:pt>
                <c:pt idx="8">
                  <c:v>14.8</c:v>
                </c:pt>
                <c:pt idx="9">
                  <c:v>34</c:v>
                </c:pt>
                <c:pt idx="10">
                  <c:v>7</c:v>
                </c:pt>
                <c:pt idx="11">
                  <c:v>15</c:v>
                </c:pt>
                <c:pt idx="12">
                  <c:v>30</c:v>
                </c:pt>
                <c:pt idx="13">
                  <c:v>3</c:v>
                </c:pt>
                <c:pt idx="14">
                  <c:v>4</c:v>
                </c:pt>
                <c:pt idx="15">
                  <c:v>8</c:v>
                </c:pt>
                <c:pt idx="16">
                  <c:v>6</c:v>
                </c:pt>
                <c:pt idx="17">
                  <c:v>4</c:v>
                </c:pt>
                <c:pt idx="18">
                  <c:v>24</c:v>
                </c:pt>
                <c:pt idx="19">
                  <c:v>6</c:v>
                </c:pt>
                <c:pt idx="20">
                  <c:v>15</c:v>
                </c:pt>
              </c:numCache>
            </c:numRef>
          </c:val>
          <c:extLst>
            <c:ext xmlns:c16="http://schemas.microsoft.com/office/drawing/2014/chart" uri="{C3380CC4-5D6E-409C-BE32-E72D297353CC}">
              <c16:uniqueId val="{00000000-3C81-4B77-A175-4CAA5DDF787F}"/>
            </c:ext>
          </c:extLst>
        </c:ser>
        <c:ser>
          <c:idx val="3"/>
          <c:order val="1"/>
          <c:tx>
            <c:strRef>
              <c:f>'[Charts included in Result Chapter.xlsx]Sheet6'!$F$5</c:f>
              <c:strCache>
                <c:ptCount val="1"/>
                <c:pt idx="0">
                  <c:v>Neither agree nor disagree</c:v>
                </c:pt>
              </c:strCache>
            </c:strRef>
          </c:tx>
          <c:spPr>
            <a:solidFill>
              <a:srgbClr val="FFF9E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 included in Result Chapter.xlsx]Sheet6'!$A$6:$B$26</c:f>
              <c:multiLvlStrCache>
                <c:ptCount val="21"/>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lvl>
                <c:lvl>
                  <c:pt idx="0">
                    <c:v>Medication Therapy Management</c:v>
                  </c:pt>
                  <c:pt idx="3">
                    <c:v>Co-Morbid Disease Education</c:v>
                  </c:pt>
                  <c:pt idx="6">
                    <c:v>Co-Morbid Disease Medication Management</c:v>
                  </c:pt>
                  <c:pt idx="9">
                    <c:v>Blood Glucose Monitoring</c:v>
                  </c:pt>
                  <c:pt idx="12">
                    <c:v>Hypoglycemia Management</c:v>
                  </c:pt>
                  <c:pt idx="15">
                    <c:v>Patient Counselling and Education</c:v>
                  </c:pt>
                  <c:pt idx="18">
                    <c:v>Healthy lifestyle Education</c:v>
                  </c:pt>
                </c:lvl>
              </c:multiLvlStrCache>
            </c:multiLvlStrRef>
          </c:cat>
          <c:val>
            <c:numRef>
              <c:f>'[Charts included in Result Chapter.xlsx]Sheet6'!$F$6:$F$26</c:f>
              <c:numCache>
                <c:formatCode>0</c:formatCode>
                <c:ptCount val="21"/>
                <c:pt idx="0">
                  <c:v>16.3</c:v>
                </c:pt>
                <c:pt idx="1">
                  <c:v>10</c:v>
                </c:pt>
                <c:pt idx="2">
                  <c:v>14.8</c:v>
                </c:pt>
                <c:pt idx="3">
                  <c:v>10.199999999999999</c:v>
                </c:pt>
                <c:pt idx="4">
                  <c:v>3.3</c:v>
                </c:pt>
                <c:pt idx="5">
                  <c:v>11.1</c:v>
                </c:pt>
                <c:pt idx="6">
                  <c:v>10.199999999999999</c:v>
                </c:pt>
                <c:pt idx="7">
                  <c:v>20</c:v>
                </c:pt>
                <c:pt idx="8">
                  <c:v>18.5</c:v>
                </c:pt>
                <c:pt idx="9">
                  <c:v>8</c:v>
                </c:pt>
                <c:pt idx="10">
                  <c:v>10</c:v>
                </c:pt>
                <c:pt idx="11">
                  <c:v>26</c:v>
                </c:pt>
                <c:pt idx="12">
                  <c:v>8</c:v>
                </c:pt>
                <c:pt idx="13">
                  <c:v>10</c:v>
                </c:pt>
                <c:pt idx="14">
                  <c:v>30</c:v>
                </c:pt>
                <c:pt idx="15" formatCode="General">
                  <c:v>8</c:v>
                </c:pt>
                <c:pt idx="16" formatCode="General">
                  <c:v>3</c:v>
                </c:pt>
                <c:pt idx="17" formatCode="General">
                  <c:v>15</c:v>
                </c:pt>
                <c:pt idx="18">
                  <c:v>22</c:v>
                </c:pt>
                <c:pt idx="19">
                  <c:v>20</c:v>
                </c:pt>
                <c:pt idx="20">
                  <c:v>19</c:v>
                </c:pt>
              </c:numCache>
            </c:numRef>
          </c:val>
          <c:extLst>
            <c:ext xmlns:c16="http://schemas.microsoft.com/office/drawing/2014/chart" uri="{C3380CC4-5D6E-409C-BE32-E72D297353CC}">
              <c16:uniqueId val="{00000001-3C81-4B77-A175-4CAA5DDF787F}"/>
            </c:ext>
          </c:extLst>
        </c:ser>
        <c:ser>
          <c:idx val="6"/>
          <c:order val="2"/>
          <c:tx>
            <c:strRef>
              <c:f>'[Charts included in Result Chapter.xlsx]Sheet6'!$I$5</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 included in Result Chapter.xlsx]Sheet6'!$A$6:$B$26</c:f>
              <c:multiLvlStrCache>
                <c:ptCount val="21"/>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pt idx="18">
                    <c:v>Doctor</c:v>
                  </c:pt>
                  <c:pt idx="19">
                    <c:v>Pharmacist</c:v>
                  </c:pt>
                  <c:pt idx="20">
                    <c:v>Nurse</c:v>
                  </c:pt>
                </c:lvl>
                <c:lvl>
                  <c:pt idx="0">
                    <c:v>Medication Therapy Management</c:v>
                  </c:pt>
                  <c:pt idx="3">
                    <c:v>Co-Morbid Disease Education</c:v>
                  </c:pt>
                  <c:pt idx="6">
                    <c:v>Co-Morbid Disease Medication Management</c:v>
                  </c:pt>
                  <c:pt idx="9">
                    <c:v>Blood Glucose Monitoring</c:v>
                  </c:pt>
                  <c:pt idx="12">
                    <c:v>Hypoglycemia Management</c:v>
                  </c:pt>
                  <c:pt idx="15">
                    <c:v>Patient Counselling and Education</c:v>
                  </c:pt>
                  <c:pt idx="18">
                    <c:v>Healthy lifestyle Education</c:v>
                  </c:pt>
                </c:lvl>
              </c:multiLvlStrCache>
            </c:multiLvlStrRef>
          </c:cat>
          <c:val>
            <c:numRef>
              <c:f>'[Charts included in Result Chapter.xlsx]Sheet6'!$I$6:$I$26</c:f>
              <c:numCache>
                <c:formatCode>0</c:formatCode>
                <c:ptCount val="21"/>
                <c:pt idx="0">
                  <c:v>55.1</c:v>
                </c:pt>
                <c:pt idx="1">
                  <c:v>76.7</c:v>
                </c:pt>
                <c:pt idx="2">
                  <c:v>77.8</c:v>
                </c:pt>
                <c:pt idx="3">
                  <c:v>59.2</c:v>
                </c:pt>
                <c:pt idx="4">
                  <c:v>90</c:v>
                </c:pt>
                <c:pt idx="5">
                  <c:v>70.399999999999991</c:v>
                </c:pt>
                <c:pt idx="6">
                  <c:v>65.3</c:v>
                </c:pt>
                <c:pt idx="7">
                  <c:v>80</c:v>
                </c:pt>
                <c:pt idx="8">
                  <c:v>66.599999999999994</c:v>
                </c:pt>
                <c:pt idx="9">
                  <c:v>57</c:v>
                </c:pt>
                <c:pt idx="10">
                  <c:v>83</c:v>
                </c:pt>
                <c:pt idx="11">
                  <c:v>60</c:v>
                </c:pt>
                <c:pt idx="12">
                  <c:v>61</c:v>
                </c:pt>
                <c:pt idx="13">
                  <c:v>87</c:v>
                </c:pt>
                <c:pt idx="14">
                  <c:v>67</c:v>
                </c:pt>
                <c:pt idx="15">
                  <c:v>84</c:v>
                </c:pt>
                <c:pt idx="16">
                  <c:v>90</c:v>
                </c:pt>
                <c:pt idx="17">
                  <c:v>82</c:v>
                </c:pt>
                <c:pt idx="18">
                  <c:v>53</c:v>
                </c:pt>
                <c:pt idx="19">
                  <c:v>73</c:v>
                </c:pt>
                <c:pt idx="20">
                  <c:v>67</c:v>
                </c:pt>
              </c:numCache>
            </c:numRef>
          </c:val>
          <c:extLst>
            <c:ext xmlns:c16="http://schemas.microsoft.com/office/drawing/2014/chart" uri="{C3380CC4-5D6E-409C-BE32-E72D297353CC}">
              <c16:uniqueId val="{00000002-3C81-4B77-A175-4CAA5DDF787F}"/>
            </c:ext>
          </c:extLst>
        </c:ser>
        <c:dLbls>
          <c:dLblPos val="ctr"/>
          <c:showLegendKey val="0"/>
          <c:showVal val="1"/>
          <c:showCatName val="0"/>
          <c:showSerName val="0"/>
          <c:showPercent val="0"/>
          <c:showBubbleSize val="0"/>
        </c:dLbls>
        <c:gapWidth val="150"/>
        <c:overlap val="100"/>
        <c:axId val="39937888"/>
        <c:axId val="39920832"/>
      </c:barChart>
      <c:catAx>
        <c:axId val="3993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39920832"/>
        <c:crosses val="autoZero"/>
        <c:auto val="1"/>
        <c:lblAlgn val="ctr"/>
        <c:lblOffset val="100"/>
        <c:noMultiLvlLbl val="0"/>
      </c:catAx>
      <c:valAx>
        <c:axId val="39920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3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u="none" strike="noStrike" baseline="0">
                <a:effectLst/>
              </a:rPr>
              <a:t>Opinions of healthcare professionals about the involvement of pharmacists in diabetes-related services in the future</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Sheet12!$E$4</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Sheet12!$A$5:$B$22</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Medication Therapy Management</c:v>
                  </c:pt>
                  <c:pt idx="3">
                    <c:v>Medication Review</c:v>
                  </c:pt>
                  <c:pt idx="6">
                    <c:v>Co-Morbid Disease Education</c:v>
                  </c:pt>
                  <c:pt idx="9">
                    <c:v>Co-Morbid Disease Medication Management</c:v>
                  </c:pt>
                  <c:pt idx="12">
                    <c:v>Blood Glucose Monitoring</c:v>
                  </c:pt>
                  <c:pt idx="15">
                    <c:v>Hypoglycemia Management</c:v>
                  </c:pt>
                </c:lvl>
              </c:multiLvlStrCache>
            </c:multiLvlStrRef>
          </c:cat>
          <c:val>
            <c:numRef>
              <c:f>Sheet12!$E$5:$E$22</c:f>
              <c:numCache>
                <c:formatCode>General</c:formatCode>
                <c:ptCount val="18"/>
                <c:pt idx="0">
                  <c:v>16</c:v>
                </c:pt>
                <c:pt idx="1">
                  <c:v>10</c:v>
                </c:pt>
                <c:pt idx="2">
                  <c:v>5</c:v>
                </c:pt>
                <c:pt idx="3">
                  <c:v>6</c:v>
                </c:pt>
                <c:pt idx="4">
                  <c:v>3</c:v>
                </c:pt>
                <c:pt idx="5">
                  <c:v>7</c:v>
                </c:pt>
                <c:pt idx="6">
                  <c:v>18</c:v>
                </c:pt>
                <c:pt idx="7">
                  <c:v>6</c:v>
                </c:pt>
                <c:pt idx="8">
                  <c:v>7</c:v>
                </c:pt>
                <c:pt idx="9">
                  <c:v>14</c:v>
                </c:pt>
                <c:pt idx="10">
                  <c:v>0</c:v>
                </c:pt>
                <c:pt idx="11">
                  <c:v>11</c:v>
                </c:pt>
                <c:pt idx="12">
                  <c:v>24</c:v>
                </c:pt>
                <c:pt idx="13">
                  <c:v>3</c:v>
                </c:pt>
                <c:pt idx="14">
                  <c:v>7</c:v>
                </c:pt>
                <c:pt idx="15">
                  <c:v>14</c:v>
                </c:pt>
                <c:pt idx="16">
                  <c:v>3</c:v>
                </c:pt>
                <c:pt idx="17">
                  <c:v>0</c:v>
                </c:pt>
              </c:numCache>
            </c:numRef>
          </c:val>
          <c:extLst>
            <c:ext xmlns:c16="http://schemas.microsoft.com/office/drawing/2014/chart" uri="{C3380CC4-5D6E-409C-BE32-E72D297353CC}">
              <c16:uniqueId val="{00000000-0DC4-4DE1-AF99-921FE5A27CAF}"/>
            </c:ext>
          </c:extLst>
        </c:ser>
        <c:ser>
          <c:idx val="3"/>
          <c:order val="1"/>
          <c:tx>
            <c:strRef>
              <c:f>Sheet12!$F$4</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Sheet12!$A$5:$B$22</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Medication Therapy Management</c:v>
                  </c:pt>
                  <c:pt idx="3">
                    <c:v>Medication Review</c:v>
                  </c:pt>
                  <c:pt idx="6">
                    <c:v>Co-Morbid Disease Education</c:v>
                  </c:pt>
                  <c:pt idx="9">
                    <c:v>Co-Morbid Disease Medication Management</c:v>
                  </c:pt>
                  <c:pt idx="12">
                    <c:v>Blood Glucose Monitoring</c:v>
                  </c:pt>
                  <c:pt idx="15">
                    <c:v>Hypoglycemia Management</c:v>
                  </c:pt>
                </c:lvl>
              </c:multiLvlStrCache>
            </c:multiLvlStrRef>
          </c:cat>
          <c:val>
            <c:numRef>
              <c:f>Sheet12!$F$5:$F$22</c:f>
              <c:numCache>
                <c:formatCode>General</c:formatCode>
                <c:ptCount val="18"/>
                <c:pt idx="0">
                  <c:v>6</c:v>
                </c:pt>
                <c:pt idx="1">
                  <c:v>0</c:v>
                </c:pt>
                <c:pt idx="2">
                  <c:v>15</c:v>
                </c:pt>
                <c:pt idx="3">
                  <c:v>4</c:v>
                </c:pt>
                <c:pt idx="4">
                  <c:v>10</c:v>
                </c:pt>
                <c:pt idx="5">
                  <c:v>7</c:v>
                </c:pt>
                <c:pt idx="6">
                  <c:v>10</c:v>
                </c:pt>
                <c:pt idx="7">
                  <c:v>0</c:v>
                </c:pt>
                <c:pt idx="8">
                  <c:v>15</c:v>
                </c:pt>
                <c:pt idx="9">
                  <c:v>10</c:v>
                </c:pt>
                <c:pt idx="10">
                  <c:v>10</c:v>
                </c:pt>
                <c:pt idx="11">
                  <c:v>7</c:v>
                </c:pt>
                <c:pt idx="12">
                  <c:v>10</c:v>
                </c:pt>
                <c:pt idx="13">
                  <c:v>7</c:v>
                </c:pt>
                <c:pt idx="14">
                  <c:v>15</c:v>
                </c:pt>
                <c:pt idx="15">
                  <c:v>14</c:v>
                </c:pt>
                <c:pt idx="16">
                  <c:v>7</c:v>
                </c:pt>
                <c:pt idx="17">
                  <c:v>19</c:v>
                </c:pt>
              </c:numCache>
            </c:numRef>
          </c:val>
          <c:extLst>
            <c:ext xmlns:c16="http://schemas.microsoft.com/office/drawing/2014/chart" uri="{C3380CC4-5D6E-409C-BE32-E72D297353CC}">
              <c16:uniqueId val="{00000001-0DC4-4DE1-AF99-921FE5A27CAF}"/>
            </c:ext>
          </c:extLst>
        </c:ser>
        <c:ser>
          <c:idx val="6"/>
          <c:order val="2"/>
          <c:tx>
            <c:strRef>
              <c:f>Sheet12!$I$4</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Sheet12!$A$5:$B$22</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Medication Therapy Management</c:v>
                  </c:pt>
                  <c:pt idx="3">
                    <c:v>Medication Review</c:v>
                  </c:pt>
                  <c:pt idx="6">
                    <c:v>Co-Morbid Disease Education</c:v>
                  </c:pt>
                  <c:pt idx="9">
                    <c:v>Co-Morbid Disease Medication Management</c:v>
                  </c:pt>
                  <c:pt idx="12">
                    <c:v>Blood Glucose Monitoring</c:v>
                  </c:pt>
                  <c:pt idx="15">
                    <c:v>Hypoglycemia Management</c:v>
                  </c:pt>
                </c:lvl>
              </c:multiLvlStrCache>
            </c:multiLvlStrRef>
          </c:cat>
          <c:val>
            <c:numRef>
              <c:f>Sheet12!$I$5:$I$22</c:f>
              <c:numCache>
                <c:formatCode>General</c:formatCode>
                <c:ptCount val="18"/>
                <c:pt idx="0">
                  <c:v>78</c:v>
                </c:pt>
                <c:pt idx="1">
                  <c:v>90</c:v>
                </c:pt>
                <c:pt idx="2">
                  <c:v>71</c:v>
                </c:pt>
                <c:pt idx="3">
                  <c:v>90</c:v>
                </c:pt>
                <c:pt idx="4">
                  <c:v>86</c:v>
                </c:pt>
                <c:pt idx="5">
                  <c:v>86</c:v>
                </c:pt>
                <c:pt idx="6">
                  <c:v>72</c:v>
                </c:pt>
                <c:pt idx="7">
                  <c:v>94</c:v>
                </c:pt>
                <c:pt idx="8">
                  <c:v>78</c:v>
                </c:pt>
                <c:pt idx="9">
                  <c:v>76</c:v>
                </c:pt>
                <c:pt idx="10">
                  <c:v>90</c:v>
                </c:pt>
                <c:pt idx="11">
                  <c:v>82</c:v>
                </c:pt>
                <c:pt idx="12">
                  <c:v>65</c:v>
                </c:pt>
                <c:pt idx="13">
                  <c:v>90</c:v>
                </c:pt>
                <c:pt idx="14">
                  <c:v>78</c:v>
                </c:pt>
                <c:pt idx="15">
                  <c:v>72</c:v>
                </c:pt>
                <c:pt idx="16">
                  <c:v>90</c:v>
                </c:pt>
                <c:pt idx="17">
                  <c:v>82</c:v>
                </c:pt>
              </c:numCache>
            </c:numRef>
          </c:val>
          <c:extLst>
            <c:ext xmlns:c16="http://schemas.microsoft.com/office/drawing/2014/chart" uri="{C3380CC4-5D6E-409C-BE32-E72D297353CC}">
              <c16:uniqueId val="{00000002-0DC4-4DE1-AF99-921FE5A27CAF}"/>
            </c:ext>
          </c:extLst>
        </c:ser>
        <c:dLbls>
          <c:dLblPos val="ctr"/>
          <c:showLegendKey val="0"/>
          <c:showVal val="1"/>
          <c:showCatName val="0"/>
          <c:showSerName val="0"/>
          <c:showPercent val="0"/>
          <c:showBubbleSize val="0"/>
        </c:dLbls>
        <c:gapWidth val="150"/>
        <c:overlap val="100"/>
        <c:axId val="758835744"/>
        <c:axId val="758837824"/>
      </c:barChart>
      <c:catAx>
        <c:axId val="75883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837824"/>
        <c:crosses val="autoZero"/>
        <c:auto val="1"/>
        <c:lblAlgn val="ctr"/>
        <c:lblOffset val="100"/>
        <c:noMultiLvlLbl val="0"/>
      </c:catAx>
      <c:valAx>
        <c:axId val="7588378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8357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2"/>
          <c:order val="0"/>
          <c:tx>
            <c:strRef>
              <c:f>Sheet12!$E$23</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Sheet12!$A$24:$B$41</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Verification of Prescriptions</c:v>
                  </c:pt>
                  <c:pt idx="3">
                    <c:v>Preparing and Dispensing of Prescriptions</c:v>
                  </c:pt>
                  <c:pt idx="6">
                    <c:v>Patient Counselling and Education</c:v>
                  </c:pt>
                  <c:pt idx="9">
                    <c:v>Healthy lifestyle Education</c:v>
                  </c:pt>
                  <c:pt idx="12">
                    <c:v>Dependent Prescribing of Diabetes Medications</c:v>
                  </c:pt>
                  <c:pt idx="15">
                    <c:v>Independent Prescribing of Diabetes Medications</c:v>
                  </c:pt>
                </c:lvl>
              </c:multiLvlStrCache>
            </c:multiLvlStrRef>
          </c:cat>
          <c:val>
            <c:numRef>
              <c:f>Sheet12!$E$24:$E$41</c:f>
              <c:numCache>
                <c:formatCode>General</c:formatCode>
                <c:ptCount val="18"/>
                <c:pt idx="0">
                  <c:v>6</c:v>
                </c:pt>
                <c:pt idx="1">
                  <c:v>6</c:v>
                </c:pt>
                <c:pt idx="2">
                  <c:v>8</c:v>
                </c:pt>
                <c:pt idx="3">
                  <c:v>8</c:v>
                </c:pt>
                <c:pt idx="4">
                  <c:v>6</c:v>
                </c:pt>
                <c:pt idx="5">
                  <c:v>11</c:v>
                </c:pt>
                <c:pt idx="6">
                  <c:v>4</c:v>
                </c:pt>
                <c:pt idx="7">
                  <c:v>3</c:v>
                </c:pt>
                <c:pt idx="8">
                  <c:v>4</c:v>
                </c:pt>
                <c:pt idx="9">
                  <c:v>14</c:v>
                </c:pt>
                <c:pt idx="10">
                  <c:v>3</c:v>
                </c:pt>
                <c:pt idx="11">
                  <c:v>4</c:v>
                </c:pt>
                <c:pt idx="12">
                  <c:v>20</c:v>
                </c:pt>
                <c:pt idx="13">
                  <c:v>13</c:v>
                </c:pt>
                <c:pt idx="14">
                  <c:v>14</c:v>
                </c:pt>
                <c:pt idx="15">
                  <c:v>72</c:v>
                </c:pt>
                <c:pt idx="16">
                  <c:v>17</c:v>
                </c:pt>
                <c:pt idx="17">
                  <c:v>15</c:v>
                </c:pt>
              </c:numCache>
            </c:numRef>
          </c:val>
          <c:extLst>
            <c:ext xmlns:c16="http://schemas.microsoft.com/office/drawing/2014/chart" uri="{C3380CC4-5D6E-409C-BE32-E72D297353CC}">
              <c16:uniqueId val="{00000000-26A8-4C31-A1B2-9E9EEAB983DC}"/>
            </c:ext>
          </c:extLst>
        </c:ser>
        <c:ser>
          <c:idx val="3"/>
          <c:order val="1"/>
          <c:tx>
            <c:strRef>
              <c:f>Sheet12!$F$23</c:f>
              <c:strCache>
                <c:ptCount val="1"/>
                <c:pt idx="0">
                  <c:v>Neither agree nor disagree</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Sheet12!$A$24:$B$41</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Verification of Prescriptions</c:v>
                  </c:pt>
                  <c:pt idx="3">
                    <c:v>Preparing and Dispensing of Prescriptions</c:v>
                  </c:pt>
                  <c:pt idx="6">
                    <c:v>Patient Counselling and Education</c:v>
                  </c:pt>
                  <c:pt idx="9">
                    <c:v>Healthy lifestyle Education</c:v>
                  </c:pt>
                  <c:pt idx="12">
                    <c:v>Dependent Prescribing of Diabetes Medications</c:v>
                  </c:pt>
                  <c:pt idx="15">
                    <c:v>Independent Prescribing of Diabetes Medications</c:v>
                  </c:pt>
                </c:lvl>
              </c:multiLvlStrCache>
            </c:multiLvlStrRef>
          </c:cat>
          <c:val>
            <c:numRef>
              <c:f>Sheet12!$F$24:$F$41</c:f>
              <c:numCache>
                <c:formatCode>General</c:formatCode>
                <c:ptCount val="18"/>
                <c:pt idx="0">
                  <c:v>0</c:v>
                </c:pt>
                <c:pt idx="1">
                  <c:v>3</c:v>
                </c:pt>
                <c:pt idx="2">
                  <c:v>7</c:v>
                </c:pt>
                <c:pt idx="3">
                  <c:v>2</c:v>
                </c:pt>
                <c:pt idx="4">
                  <c:v>7</c:v>
                </c:pt>
                <c:pt idx="5">
                  <c:v>4</c:v>
                </c:pt>
                <c:pt idx="6">
                  <c:v>2</c:v>
                </c:pt>
                <c:pt idx="7">
                  <c:v>3</c:v>
                </c:pt>
                <c:pt idx="8">
                  <c:v>7</c:v>
                </c:pt>
                <c:pt idx="9">
                  <c:v>29</c:v>
                </c:pt>
                <c:pt idx="10">
                  <c:v>17</c:v>
                </c:pt>
                <c:pt idx="11">
                  <c:v>15</c:v>
                </c:pt>
                <c:pt idx="12">
                  <c:v>8</c:v>
                </c:pt>
                <c:pt idx="13">
                  <c:v>30</c:v>
                </c:pt>
                <c:pt idx="14">
                  <c:v>7</c:v>
                </c:pt>
                <c:pt idx="15">
                  <c:v>14</c:v>
                </c:pt>
                <c:pt idx="16">
                  <c:v>30</c:v>
                </c:pt>
                <c:pt idx="17">
                  <c:v>7</c:v>
                </c:pt>
              </c:numCache>
            </c:numRef>
          </c:val>
          <c:extLst>
            <c:ext xmlns:c16="http://schemas.microsoft.com/office/drawing/2014/chart" uri="{C3380CC4-5D6E-409C-BE32-E72D297353CC}">
              <c16:uniqueId val="{00000001-26A8-4C31-A1B2-9E9EEAB983DC}"/>
            </c:ext>
          </c:extLst>
        </c:ser>
        <c:ser>
          <c:idx val="6"/>
          <c:order val="2"/>
          <c:tx>
            <c:strRef>
              <c:f>Sheet12!$I$23</c:f>
              <c:strCache>
                <c:ptCount val="1"/>
                <c:pt idx="0">
                  <c:v>Agree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Sheet12!$A$24:$B$41</c:f>
              <c:multiLvlStrCache>
                <c:ptCount val="18"/>
                <c:lvl>
                  <c:pt idx="0">
                    <c:v>Doctor</c:v>
                  </c:pt>
                  <c:pt idx="1">
                    <c:v>Pharmacist</c:v>
                  </c:pt>
                  <c:pt idx="2">
                    <c:v>Nurse</c:v>
                  </c:pt>
                  <c:pt idx="3">
                    <c:v>Doctor</c:v>
                  </c:pt>
                  <c:pt idx="4">
                    <c:v>Pharmacist</c:v>
                  </c:pt>
                  <c:pt idx="5">
                    <c:v>Nurse</c:v>
                  </c:pt>
                  <c:pt idx="6">
                    <c:v>Doctor</c:v>
                  </c:pt>
                  <c:pt idx="7">
                    <c:v>Pharmacist</c:v>
                  </c:pt>
                  <c:pt idx="8">
                    <c:v>Nurse</c:v>
                  </c:pt>
                  <c:pt idx="9">
                    <c:v>Doctor</c:v>
                  </c:pt>
                  <c:pt idx="10">
                    <c:v>Pharmacist</c:v>
                  </c:pt>
                  <c:pt idx="11">
                    <c:v>Nurse</c:v>
                  </c:pt>
                  <c:pt idx="12">
                    <c:v>Doctor</c:v>
                  </c:pt>
                  <c:pt idx="13">
                    <c:v>Pharmacist</c:v>
                  </c:pt>
                  <c:pt idx="14">
                    <c:v>Nurse</c:v>
                  </c:pt>
                  <c:pt idx="15">
                    <c:v>Doctor</c:v>
                  </c:pt>
                  <c:pt idx="16">
                    <c:v>Pharmacist</c:v>
                  </c:pt>
                  <c:pt idx="17">
                    <c:v>Nurse</c:v>
                  </c:pt>
                </c:lvl>
                <c:lvl>
                  <c:pt idx="0">
                    <c:v>Verification of Prescriptions</c:v>
                  </c:pt>
                  <c:pt idx="3">
                    <c:v>Preparing and Dispensing of Prescriptions</c:v>
                  </c:pt>
                  <c:pt idx="6">
                    <c:v>Patient Counselling and Education</c:v>
                  </c:pt>
                  <c:pt idx="9">
                    <c:v>Healthy lifestyle Education</c:v>
                  </c:pt>
                  <c:pt idx="12">
                    <c:v>Dependent Prescribing of Diabetes Medications</c:v>
                  </c:pt>
                  <c:pt idx="15">
                    <c:v>Independent Prescribing of Diabetes Medications</c:v>
                  </c:pt>
                </c:lvl>
              </c:multiLvlStrCache>
            </c:multiLvlStrRef>
          </c:cat>
          <c:val>
            <c:numRef>
              <c:f>Sheet12!$I$24:$I$41</c:f>
              <c:numCache>
                <c:formatCode>General</c:formatCode>
                <c:ptCount val="18"/>
                <c:pt idx="0">
                  <c:v>94</c:v>
                </c:pt>
                <c:pt idx="1">
                  <c:v>90</c:v>
                </c:pt>
                <c:pt idx="2">
                  <c:v>85</c:v>
                </c:pt>
                <c:pt idx="3">
                  <c:v>89</c:v>
                </c:pt>
                <c:pt idx="4">
                  <c:v>87</c:v>
                </c:pt>
                <c:pt idx="5">
                  <c:v>85</c:v>
                </c:pt>
                <c:pt idx="6">
                  <c:v>94</c:v>
                </c:pt>
                <c:pt idx="7">
                  <c:v>94</c:v>
                </c:pt>
                <c:pt idx="8">
                  <c:v>89</c:v>
                </c:pt>
                <c:pt idx="9">
                  <c:v>57</c:v>
                </c:pt>
                <c:pt idx="10">
                  <c:v>80</c:v>
                </c:pt>
                <c:pt idx="11">
                  <c:v>81</c:v>
                </c:pt>
                <c:pt idx="12">
                  <c:v>72</c:v>
                </c:pt>
                <c:pt idx="13">
                  <c:v>57</c:v>
                </c:pt>
                <c:pt idx="14">
                  <c:v>78</c:v>
                </c:pt>
                <c:pt idx="15">
                  <c:v>14</c:v>
                </c:pt>
                <c:pt idx="16">
                  <c:v>53</c:v>
                </c:pt>
                <c:pt idx="17">
                  <c:v>78</c:v>
                </c:pt>
              </c:numCache>
            </c:numRef>
          </c:val>
          <c:extLst>
            <c:ext xmlns:c16="http://schemas.microsoft.com/office/drawing/2014/chart" uri="{C3380CC4-5D6E-409C-BE32-E72D297353CC}">
              <c16:uniqueId val="{00000002-26A8-4C31-A1B2-9E9EEAB983DC}"/>
            </c:ext>
          </c:extLst>
        </c:ser>
        <c:dLbls>
          <c:dLblPos val="ctr"/>
          <c:showLegendKey val="0"/>
          <c:showVal val="1"/>
          <c:showCatName val="0"/>
          <c:showSerName val="0"/>
          <c:showPercent val="0"/>
          <c:showBubbleSize val="0"/>
        </c:dLbls>
        <c:gapWidth val="150"/>
        <c:overlap val="100"/>
        <c:axId val="2102085184"/>
        <c:axId val="2102068960"/>
      </c:barChart>
      <c:catAx>
        <c:axId val="21020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68960"/>
        <c:crosses val="autoZero"/>
        <c:auto val="1"/>
        <c:lblAlgn val="ctr"/>
        <c:lblOffset val="100"/>
        <c:noMultiLvlLbl val="0"/>
      </c:catAx>
      <c:valAx>
        <c:axId val="21020689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85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t>Different opinions from healthcare professionals about the role of pharmacists in prescribing now and in the future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2"/>
          <c:order val="0"/>
          <c:tx>
            <c:strRef>
              <c:f>Sheet7!$F$4</c:f>
              <c:strCache>
                <c:ptCount val="1"/>
                <c:pt idx="0">
                  <c:v>Disagree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Sheet7!$A$5:$C$16</c:f>
              <c:multiLvlStrCache>
                <c:ptCount val="12"/>
                <c:lvl>
                  <c:pt idx="0">
                    <c:v>Currently</c:v>
                  </c:pt>
                  <c:pt idx="1">
                    <c:v>In the future</c:v>
                  </c:pt>
                  <c:pt idx="2">
                    <c:v>Currently</c:v>
                  </c:pt>
                  <c:pt idx="3">
                    <c:v>In the future</c:v>
                  </c:pt>
                  <c:pt idx="4">
                    <c:v>Currently</c:v>
                  </c:pt>
                  <c:pt idx="5">
                    <c:v>In the future</c:v>
                  </c:pt>
                  <c:pt idx="6">
                    <c:v>Currently</c:v>
                  </c:pt>
                  <c:pt idx="7">
                    <c:v>In the future</c:v>
                  </c:pt>
                  <c:pt idx="8">
                    <c:v>Currently</c:v>
                  </c:pt>
                  <c:pt idx="9">
                    <c:v>In the future</c:v>
                  </c:pt>
                  <c:pt idx="10">
                    <c:v>Currently</c:v>
                  </c:pt>
                  <c:pt idx="11">
                    <c:v>In the future</c:v>
                  </c:pt>
                </c:lvl>
                <c:lvl>
                  <c:pt idx="0">
                    <c:v>Doctor</c:v>
                  </c:pt>
                  <c:pt idx="2">
                    <c:v>Pharmacist</c:v>
                  </c:pt>
                  <c:pt idx="4">
                    <c:v>Nurse</c:v>
                  </c:pt>
                  <c:pt idx="6">
                    <c:v>Doctor</c:v>
                  </c:pt>
                  <c:pt idx="8">
                    <c:v>Pharmacist</c:v>
                  </c:pt>
                  <c:pt idx="10">
                    <c:v>Nurse</c:v>
                  </c:pt>
                </c:lvl>
                <c:lvl>
                  <c:pt idx="0">
                    <c:v>Independent Prescribing of Diabetes Medications</c:v>
                  </c:pt>
                  <c:pt idx="6">
                    <c:v>Dependent Prescribing of Diabetes Medications</c:v>
                  </c:pt>
                </c:lvl>
              </c:multiLvlStrCache>
            </c:multiLvlStrRef>
          </c:cat>
          <c:val>
            <c:numRef>
              <c:f>Sheet7!$F$5:$F$16</c:f>
              <c:numCache>
                <c:formatCode>General</c:formatCode>
                <c:ptCount val="12"/>
                <c:pt idx="0">
                  <c:v>68</c:v>
                </c:pt>
                <c:pt idx="1">
                  <c:v>72</c:v>
                </c:pt>
                <c:pt idx="2">
                  <c:v>23</c:v>
                </c:pt>
                <c:pt idx="3">
                  <c:v>17</c:v>
                </c:pt>
                <c:pt idx="4">
                  <c:v>19</c:v>
                </c:pt>
                <c:pt idx="5">
                  <c:v>15</c:v>
                </c:pt>
                <c:pt idx="6">
                  <c:v>32</c:v>
                </c:pt>
                <c:pt idx="7">
                  <c:v>20</c:v>
                </c:pt>
                <c:pt idx="8">
                  <c:v>13</c:v>
                </c:pt>
                <c:pt idx="9">
                  <c:v>13</c:v>
                </c:pt>
                <c:pt idx="10">
                  <c:v>11</c:v>
                </c:pt>
                <c:pt idx="11">
                  <c:v>14</c:v>
                </c:pt>
              </c:numCache>
            </c:numRef>
          </c:val>
          <c:extLst>
            <c:ext xmlns:c16="http://schemas.microsoft.com/office/drawing/2014/chart" uri="{C3380CC4-5D6E-409C-BE32-E72D297353CC}">
              <c16:uniqueId val="{00000000-887B-4DC4-81CF-E92BFF3AEDB5}"/>
            </c:ext>
          </c:extLst>
        </c:ser>
        <c:ser>
          <c:idx val="3"/>
          <c:order val="1"/>
          <c:tx>
            <c:strRef>
              <c:f>Sheet7!$G$4</c:f>
              <c:strCache>
                <c:ptCount val="1"/>
                <c:pt idx="0">
                  <c:v>Neither agree nor disagree</c:v>
                </c:pt>
              </c:strCache>
            </c:strRef>
          </c:tx>
          <c:spPr>
            <a:solidFill>
              <a:srgbClr val="FFF9E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Sheet7!$A$5:$C$16</c:f>
              <c:multiLvlStrCache>
                <c:ptCount val="12"/>
                <c:lvl>
                  <c:pt idx="0">
                    <c:v>Currently</c:v>
                  </c:pt>
                  <c:pt idx="1">
                    <c:v>In the future</c:v>
                  </c:pt>
                  <c:pt idx="2">
                    <c:v>Currently</c:v>
                  </c:pt>
                  <c:pt idx="3">
                    <c:v>In the future</c:v>
                  </c:pt>
                  <c:pt idx="4">
                    <c:v>Currently</c:v>
                  </c:pt>
                  <c:pt idx="5">
                    <c:v>In the future</c:v>
                  </c:pt>
                  <c:pt idx="6">
                    <c:v>Currently</c:v>
                  </c:pt>
                  <c:pt idx="7">
                    <c:v>In the future</c:v>
                  </c:pt>
                  <c:pt idx="8">
                    <c:v>Currently</c:v>
                  </c:pt>
                  <c:pt idx="9">
                    <c:v>In the future</c:v>
                  </c:pt>
                  <c:pt idx="10">
                    <c:v>Currently</c:v>
                  </c:pt>
                  <c:pt idx="11">
                    <c:v>In the future</c:v>
                  </c:pt>
                </c:lvl>
                <c:lvl>
                  <c:pt idx="0">
                    <c:v>Doctor</c:v>
                  </c:pt>
                  <c:pt idx="2">
                    <c:v>Pharmacist</c:v>
                  </c:pt>
                  <c:pt idx="4">
                    <c:v>Nurse</c:v>
                  </c:pt>
                  <c:pt idx="6">
                    <c:v>Doctor</c:v>
                  </c:pt>
                  <c:pt idx="8">
                    <c:v>Pharmacist</c:v>
                  </c:pt>
                  <c:pt idx="10">
                    <c:v>Nurse</c:v>
                  </c:pt>
                </c:lvl>
                <c:lvl>
                  <c:pt idx="0">
                    <c:v>Independent Prescribing of Diabetes Medications</c:v>
                  </c:pt>
                  <c:pt idx="6">
                    <c:v>Dependent Prescribing of Diabetes Medications</c:v>
                  </c:pt>
                </c:lvl>
              </c:multiLvlStrCache>
            </c:multiLvlStrRef>
          </c:cat>
          <c:val>
            <c:numRef>
              <c:f>Sheet7!$G$5:$G$16</c:f>
              <c:numCache>
                <c:formatCode>General</c:formatCode>
                <c:ptCount val="12"/>
                <c:pt idx="0">
                  <c:v>18</c:v>
                </c:pt>
                <c:pt idx="1">
                  <c:v>14</c:v>
                </c:pt>
                <c:pt idx="2">
                  <c:v>27</c:v>
                </c:pt>
                <c:pt idx="3">
                  <c:v>30</c:v>
                </c:pt>
                <c:pt idx="4">
                  <c:v>11</c:v>
                </c:pt>
                <c:pt idx="5">
                  <c:v>7</c:v>
                </c:pt>
                <c:pt idx="6">
                  <c:v>10</c:v>
                </c:pt>
                <c:pt idx="7">
                  <c:v>8</c:v>
                </c:pt>
                <c:pt idx="8">
                  <c:v>30</c:v>
                </c:pt>
                <c:pt idx="9">
                  <c:v>30</c:v>
                </c:pt>
                <c:pt idx="10">
                  <c:v>15</c:v>
                </c:pt>
                <c:pt idx="11">
                  <c:v>7</c:v>
                </c:pt>
              </c:numCache>
            </c:numRef>
          </c:val>
          <c:extLst>
            <c:ext xmlns:c16="http://schemas.microsoft.com/office/drawing/2014/chart" uri="{C3380CC4-5D6E-409C-BE32-E72D297353CC}">
              <c16:uniqueId val="{00000001-887B-4DC4-81CF-E92BFF3AEDB5}"/>
            </c:ext>
          </c:extLst>
        </c:ser>
        <c:ser>
          <c:idx val="6"/>
          <c:order val="2"/>
          <c:tx>
            <c:strRef>
              <c:f>Sheet7!$J$4</c:f>
              <c:strCache>
                <c:ptCount val="1"/>
                <c:pt idx="0">
                  <c:v>Agree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Sheet7!$A$5:$C$16</c:f>
              <c:multiLvlStrCache>
                <c:ptCount val="12"/>
                <c:lvl>
                  <c:pt idx="0">
                    <c:v>Currently</c:v>
                  </c:pt>
                  <c:pt idx="1">
                    <c:v>In the future</c:v>
                  </c:pt>
                  <c:pt idx="2">
                    <c:v>Currently</c:v>
                  </c:pt>
                  <c:pt idx="3">
                    <c:v>In the future</c:v>
                  </c:pt>
                  <c:pt idx="4">
                    <c:v>Currently</c:v>
                  </c:pt>
                  <c:pt idx="5">
                    <c:v>In the future</c:v>
                  </c:pt>
                  <c:pt idx="6">
                    <c:v>Currently</c:v>
                  </c:pt>
                  <c:pt idx="7">
                    <c:v>In the future</c:v>
                  </c:pt>
                  <c:pt idx="8">
                    <c:v>Currently</c:v>
                  </c:pt>
                  <c:pt idx="9">
                    <c:v>In the future</c:v>
                  </c:pt>
                  <c:pt idx="10">
                    <c:v>Currently</c:v>
                  </c:pt>
                  <c:pt idx="11">
                    <c:v>In the future</c:v>
                  </c:pt>
                </c:lvl>
                <c:lvl>
                  <c:pt idx="0">
                    <c:v>Doctor</c:v>
                  </c:pt>
                  <c:pt idx="2">
                    <c:v>Pharmacist</c:v>
                  </c:pt>
                  <c:pt idx="4">
                    <c:v>Nurse</c:v>
                  </c:pt>
                  <c:pt idx="6">
                    <c:v>Doctor</c:v>
                  </c:pt>
                  <c:pt idx="8">
                    <c:v>Pharmacist</c:v>
                  </c:pt>
                  <c:pt idx="10">
                    <c:v>Nurse</c:v>
                  </c:pt>
                </c:lvl>
                <c:lvl>
                  <c:pt idx="0">
                    <c:v>Independent Prescribing of Diabetes Medications</c:v>
                  </c:pt>
                  <c:pt idx="6">
                    <c:v>Dependent Prescribing of Diabetes Medications</c:v>
                  </c:pt>
                </c:lvl>
              </c:multiLvlStrCache>
            </c:multiLvlStrRef>
          </c:cat>
          <c:val>
            <c:numRef>
              <c:f>Sheet7!$J$5:$J$16</c:f>
              <c:numCache>
                <c:formatCode>General</c:formatCode>
                <c:ptCount val="12"/>
                <c:pt idx="0">
                  <c:v>14</c:v>
                </c:pt>
                <c:pt idx="1">
                  <c:v>14</c:v>
                </c:pt>
                <c:pt idx="2">
                  <c:v>50</c:v>
                </c:pt>
                <c:pt idx="3">
                  <c:v>53</c:v>
                </c:pt>
                <c:pt idx="4">
                  <c:v>71</c:v>
                </c:pt>
                <c:pt idx="5">
                  <c:v>78</c:v>
                </c:pt>
                <c:pt idx="6">
                  <c:v>57</c:v>
                </c:pt>
                <c:pt idx="7">
                  <c:v>72</c:v>
                </c:pt>
                <c:pt idx="8">
                  <c:v>57</c:v>
                </c:pt>
                <c:pt idx="9">
                  <c:v>57</c:v>
                </c:pt>
                <c:pt idx="10">
                  <c:v>74</c:v>
                </c:pt>
                <c:pt idx="11">
                  <c:v>78</c:v>
                </c:pt>
              </c:numCache>
            </c:numRef>
          </c:val>
          <c:extLst>
            <c:ext xmlns:c16="http://schemas.microsoft.com/office/drawing/2014/chart" uri="{C3380CC4-5D6E-409C-BE32-E72D297353CC}">
              <c16:uniqueId val="{00000002-887B-4DC4-81CF-E92BFF3AEDB5}"/>
            </c:ext>
          </c:extLst>
        </c:ser>
        <c:dLbls>
          <c:dLblPos val="ctr"/>
          <c:showLegendKey val="0"/>
          <c:showVal val="1"/>
          <c:showCatName val="0"/>
          <c:showSerName val="0"/>
          <c:showPercent val="0"/>
          <c:showBubbleSize val="0"/>
        </c:dLbls>
        <c:gapWidth val="150"/>
        <c:overlap val="100"/>
        <c:axId val="76853984"/>
        <c:axId val="76856896"/>
      </c:barChart>
      <c:catAx>
        <c:axId val="7685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6856896"/>
        <c:crosses val="autoZero"/>
        <c:auto val="1"/>
        <c:lblAlgn val="ctr"/>
        <c:lblOffset val="100"/>
        <c:noMultiLvlLbl val="0"/>
      </c:catAx>
      <c:valAx>
        <c:axId val="76856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5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F598-FADA-4617-B5AC-53F4A78AA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446</Pages>
  <Words>360984</Words>
  <Characters>2057612</Characters>
  <Application>Microsoft Office Word</Application>
  <DocSecurity>0</DocSecurity>
  <Lines>17146</Lines>
  <Paragraphs>4827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Abstract</vt:lpstr>
      <vt:lpstr>Acknowledgements</vt:lpstr>
      <vt:lpstr>Chapter One: Introduction and Background</vt:lpstr>
      <vt:lpstr>    Introduction</vt:lpstr>
      <vt:lpstr>    The national transformation programme of the Saudi Ministry of Health </vt:lpstr>
      <vt:lpstr>    Primary healthcare in Saudi Arabia</vt:lpstr>
      <vt:lpstr>    My motivation and reflection for undertaken this research Reflexivity and person</vt:lpstr>
      <vt:lpstr>    Role of pharmacists in PHCs in Saudi Arabia  </vt:lpstr>
    </vt:vector>
  </TitlesOfParts>
  <Company/>
  <LinksUpToDate>false</LinksUpToDate>
  <CharactersWithSpaces>2413769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Narjis Al Shurafa</dc:creator>
  <cp:keywords/>
  <dc:description/>
  <cp:lastModifiedBy>Narjis Al Shurafa</cp:lastModifiedBy>
  <cp:revision>14</cp:revision>
  <dcterms:created xsi:type="dcterms:W3CDTF">2023-12-19T15:14:00Z</dcterms:created>
  <dcterms:modified xsi:type="dcterms:W3CDTF">2023-12-21T00:03:00Z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65e36957-89cb-3b27-9832-0b3e92811b35</vt:lpwstr>
  </property>
  <property fmtid="{D5CDD505-2E9C-101B-9397-08002B2CF9AE}" pid="24" name="Mendeley Citation Style_1">
    <vt:lpwstr>http://www.zotero.org/styles/harvard1</vt:lpwstr>
  </property>
</Properties>
</file>